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28A14">
      <w:pPr>
        <w:topLinePunct/>
        <w:adjustRightInd w:val="0"/>
        <w:snapToGrid w:val="0"/>
        <w:spacing w:line="288" w:lineRule="auto"/>
        <w:jc w:val="center"/>
        <w:rPr>
          <w:rFonts w:ascii="Arial" w:hAnsi="Arial" w:eastAsia="宋体" w:cs="Arial"/>
          <w:snapToGrid w:val="0"/>
          <w:sz w:val="52"/>
          <w:szCs w:val="72"/>
          <w:lang w:eastAsia="zh-CN"/>
        </w:rPr>
      </w:pPr>
      <w:bookmarkStart w:id="233" w:name="_GoBack"/>
      <w:bookmarkEnd w:id="233"/>
      <w:r>
        <w:rPr>
          <w:rFonts w:hint="eastAsia" w:ascii="Arial" w:hAnsi="Arial" w:eastAsia="宋体" w:cs="Arial"/>
          <w:b/>
          <w:snapToGrid w:val="0"/>
          <w:sz w:val="52"/>
          <w:lang w:eastAsia="zh-CN"/>
        </w:rPr>
        <w:t>行业及</w:t>
      </w:r>
    </w:p>
    <w:p w14:paraId="3EBF86CA">
      <w:pPr>
        <w:topLinePunct/>
        <w:adjustRightInd w:val="0"/>
        <w:snapToGrid w:val="0"/>
        <w:spacing w:line="288" w:lineRule="auto"/>
        <w:jc w:val="center"/>
        <w:rPr>
          <w:rFonts w:ascii="Arial" w:hAnsi="Arial" w:eastAsia="宋体" w:cs="Arial"/>
          <w:snapToGrid w:val="0"/>
          <w:sz w:val="52"/>
          <w:szCs w:val="72"/>
          <w:lang w:eastAsia="zh-CN"/>
        </w:rPr>
      </w:pPr>
      <w:r>
        <w:rPr>
          <w:rFonts w:ascii="Arial" w:hAnsi="Arial" w:eastAsia="宋体" w:cs="Arial"/>
          <w:b/>
          <w:snapToGrid w:val="0"/>
          <w:sz w:val="52"/>
          <w:lang w:eastAsia="zh-CN"/>
        </w:rPr>
        <w:t>FDA</w:t>
      </w:r>
      <w:r>
        <w:rPr>
          <w:rFonts w:hint="eastAsia" w:ascii="Arial" w:hAnsi="Arial" w:eastAsia="宋体" w:cs="Arial"/>
          <w:b/>
          <w:snapToGrid w:val="0"/>
          <w:sz w:val="52"/>
          <w:lang w:eastAsia="zh-CN"/>
        </w:rPr>
        <w:t>工作人员指南：</w:t>
      </w:r>
    </w:p>
    <w:p w14:paraId="3768F0CC">
      <w:pPr>
        <w:topLinePunct/>
        <w:adjustRightInd w:val="0"/>
        <w:snapToGrid w:val="0"/>
        <w:spacing w:line="288" w:lineRule="auto"/>
        <w:jc w:val="center"/>
        <w:rPr>
          <w:rFonts w:ascii="Arial" w:hAnsi="Arial" w:eastAsia="宋体" w:cs="Arial"/>
          <w:snapToGrid w:val="0"/>
          <w:sz w:val="36"/>
          <w:szCs w:val="52"/>
          <w:lang w:eastAsia="zh-CN"/>
        </w:rPr>
      </w:pPr>
      <w:r>
        <w:rPr>
          <w:rFonts w:hint="eastAsia" w:ascii="Arial" w:hAnsi="Arial" w:eastAsia="宋体" w:cs="Arial"/>
          <w:b/>
          <w:snapToGrid w:val="0"/>
          <w:sz w:val="36"/>
          <w:lang w:eastAsia="zh-CN"/>
        </w:rPr>
        <w:t>组合产品的</w:t>
      </w:r>
      <w:bookmarkStart w:id="0" w:name="OLE_LINK23"/>
      <w:bookmarkStart w:id="1" w:name="OLE_LINK26"/>
      <w:r>
        <w:rPr>
          <w:rFonts w:hint="eastAsia" w:ascii="Arial" w:hAnsi="Arial" w:eastAsia="宋体" w:cs="Arial"/>
          <w:b/>
          <w:snapToGrid w:val="0"/>
          <w:sz w:val="36"/>
          <w:lang w:eastAsia="zh-CN"/>
        </w:rPr>
        <w:t>现行良好生产规范</w:t>
      </w:r>
      <w:bookmarkEnd w:id="0"/>
      <w:bookmarkEnd w:id="1"/>
      <w:r>
        <w:rPr>
          <w:rFonts w:hint="eastAsia" w:ascii="Arial" w:hAnsi="Arial" w:eastAsia="宋体" w:cs="Arial"/>
          <w:b/>
          <w:snapToGrid w:val="0"/>
          <w:sz w:val="36"/>
          <w:lang w:eastAsia="zh-CN"/>
        </w:rPr>
        <w:t>要求</w:t>
      </w:r>
    </w:p>
    <w:p w14:paraId="1E89BD0A">
      <w:pPr>
        <w:topLinePunct/>
        <w:adjustRightInd w:val="0"/>
        <w:snapToGrid w:val="0"/>
        <w:spacing w:after="224" w:afterLines="75" w:line="288" w:lineRule="auto"/>
        <w:jc w:val="center"/>
        <w:rPr>
          <w:rFonts w:ascii="Arial" w:hAnsi="Arial" w:eastAsia="宋体" w:cs="Arial"/>
          <w:snapToGrid w:val="0"/>
          <w:sz w:val="36"/>
          <w:szCs w:val="40"/>
          <w:lang w:eastAsia="zh-CN"/>
        </w:rPr>
      </w:pPr>
      <w:r>
        <w:rPr>
          <w:rFonts w:hint="eastAsia" w:ascii="Arial" w:hAnsi="Arial" w:eastAsia="宋体" w:cs="Arial"/>
          <w:b/>
          <w:i/>
          <w:snapToGrid w:val="0"/>
          <w:sz w:val="36"/>
          <w:lang w:eastAsia="zh-CN"/>
        </w:rPr>
        <w:t>最终指南</w:t>
      </w:r>
    </w:p>
    <w:p w14:paraId="3C6B88A2">
      <w:pPr>
        <w:pStyle w:val="22"/>
        <w:topLinePunct/>
        <w:adjustRightInd w:val="0"/>
        <w:snapToGrid w:val="0"/>
        <w:spacing w:after="224" w:afterLines="75" w:line="288" w:lineRule="auto"/>
        <w:ind w:left="0" w:firstLine="0"/>
        <w:jc w:val="center"/>
        <w:outlineLvl w:val="9"/>
        <w:rPr>
          <w:rFonts w:ascii="Arial" w:hAnsi="Arial" w:eastAsia="宋体" w:cs="Arial"/>
          <w:snapToGrid w:val="0"/>
          <w:sz w:val="24"/>
          <w:lang w:eastAsia="zh-CN"/>
        </w:rPr>
      </w:pPr>
    </w:p>
    <w:p w14:paraId="056B304D">
      <w:pPr>
        <w:pStyle w:val="22"/>
        <w:topLinePunct/>
        <w:adjustRightInd w:val="0"/>
        <w:snapToGrid w:val="0"/>
        <w:spacing w:after="224" w:afterLines="75" w:line="288" w:lineRule="auto"/>
        <w:ind w:left="0" w:firstLine="0"/>
        <w:jc w:val="center"/>
        <w:outlineLvl w:val="9"/>
        <w:rPr>
          <w:rFonts w:ascii="Arial" w:hAnsi="Arial" w:eastAsia="宋体" w:cs="Arial"/>
          <w:b w:val="0"/>
          <w:bCs w:val="0"/>
          <w:snapToGrid w:val="0"/>
          <w:sz w:val="24"/>
          <w:lang w:eastAsia="zh-CN"/>
        </w:rPr>
      </w:pPr>
      <w:bookmarkStart w:id="2" w:name="_Toc498640460"/>
      <w:r>
        <w:rPr>
          <w:rFonts w:hint="eastAsia" w:ascii="Arial" w:hAnsi="Arial" w:eastAsia="宋体" w:cs="Arial"/>
          <w:snapToGrid w:val="0"/>
          <w:sz w:val="24"/>
          <w:lang w:eastAsia="zh-CN"/>
        </w:rPr>
        <w:t>本文件的草案于2015年1月发布。</w:t>
      </w:r>
      <w:bookmarkEnd w:id="2"/>
    </w:p>
    <w:p w14:paraId="132C0915">
      <w:pPr>
        <w:topLinePunct/>
        <w:adjustRightInd w:val="0"/>
        <w:snapToGrid w:val="0"/>
        <w:spacing w:line="288" w:lineRule="auto"/>
        <w:jc w:val="center"/>
        <w:rPr>
          <w:rFonts w:ascii="Arial" w:hAnsi="Arial" w:eastAsia="宋体" w:cs="Arial"/>
          <w:i/>
          <w:snapToGrid w:val="0"/>
          <w:sz w:val="24"/>
          <w:lang w:eastAsia="zh-CN"/>
        </w:rPr>
      </w:pPr>
      <w:r>
        <w:rPr>
          <w:rFonts w:hint="eastAsia" w:ascii="Arial" w:hAnsi="Arial" w:eastAsia="宋体" w:cs="Arial"/>
          <w:i/>
          <w:snapToGrid w:val="0"/>
          <w:sz w:val="24"/>
          <w:lang w:eastAsia="zh-CN"/>
        </w:rPr>
        <w:t>获取其它副本的地址：</w:t>
      </w:r>
    </w:p>
    <w:p w14:paraId="3A0C52CB">
      <w:pPr>
        <w:topLinePunct/>
        <w:adjustRightInd w:val="0"/>
        <w:snapToGrid w:val="0"/>
        <w:spacing w:line="288" w:lineRule="auto"/>
        <w:jc w:val="center"/>
        <w:rPr>
          <w:rFonts w:ascii="Arial" w:hAnsi="Arial" w:eastAsia="宋体" w:cs="Arial"/>
          <w:i/>
          <w:snapToGrid w:val="0"/>
          <w:sz w:val="24"/>
          <w:lang w:eastAsia="zh-CN"/>
        </w:rPr>
      </w:pPr>
      <w:r>
        <w:rPr>
          <w:rFonts w:hint="eastAsia" w:ascii="Arial" w:hAnsi="Arial" w:eastAsia="宋体" w:cs="Arial"/>
          <w:i/>
          <w:snapToGrid w:val="0"/>
          <w:sz w:val="24"/>
          <w:lang w:eastAsia="zh-CN"/>
        </w:rPr>
        <w:t>组合产品办公室</w:t>
      </w:r>
    </w:p>
    <w:p w14:paraId="6AA8FEC1">
      <w:pPr>
        <w:topLinePunct/>
        <w:adjustRightInd w:val="0"/>
        <w:snapToGrid w:val="0"/>
        <w:spacing w:line="288" w:lineRule="auto"/>
        <w:jc w:val="center"/>
        <w:rPr>
          <w:rFonts w:ascii="Arial" w:hAnsi="Arial" w:eastAsia="宋体" w:cs="Arial"/>
          <w:i/>
          <w:snapToGrid w:val="0"/>
          <w:sz w:val="24"/>
          <w:lang w:eastAsia="zh-CN"/>
        </w:rPr>
      </w:pPr>
      <w:r>
        <w:rPr>
          <w:rFonts w:hint="eastAsia" w:ascii="Arial" w:hAnsi="Arial" w:eastAsia="宋体" w:cs="Arial"/>
          <w:i/>
          <w:snapToGrid w:val="0"/>
          <w:sz w:val="24"/>
          <w:lang w:eastAsia="zh-CN"/>
        </w:rPr>
        <w:t>食品药品监督管理局</w:t>
      </w:r>
    </w:p>
    <w:p w14:paraId="674F368E">
      <w:pPr>
        <w:topLinePunct/>
        <w:adjustRightInd w:val="0"/>
        <w:snapToGrid w:val="0"/>
        <w:spacing w:line="288" w:lineRule="auto"/>
        <w:jc w:val="center"/>
        <w:rPr>
          <w:rFonts w:ascii="Arial" w:hAnsi="Arial" w:eastAsia="宋体" w:cs="Arial"/>
          <w:snapToGrid w:val="0"/>
          <w:sz w:val="24"/>
          <w:szCs w:val="24"/>
        </w:rPr>
      </w:pPr>
      <w:r>
        <w:rPr>
          <w:rFonts w:hint="eastAsia" w:ascii="Arial" w:hAnsi="Arial" w:eastAsia="宋体" w:cs="Arial"/>
          <w:i/>
          <w:snapToGrid w:val="0"/>
          <w:sz w:val="24"/>
          <w:lang w:eastAsia="zh-CN"/>
        </w:rPr>
        <w:t>地址：</w:t>
      </w:r>
      <w:r>
        <w:rPr>
          <w:rFonts w:ascii="Arial" w:hAnsi="Arial" w:eastAsia="宋体" w:cs="Arial"/>
          <w:i/>
          <w:snapToGrid w:val="0"/>
          <w:sz w:val="24"/>
        </w:rPr>
        <w:t>WO32, Hub/Mail Room #5129 10903 New Hampshire Avenue</w:t>
      </w:r>
    </w:p>
    <w:p w14:paraId="627C98E5">
      <w:pPr>
        <w:topLinePunct/>
        <w:adjustRightInd w:val="0"/>
        <w:snapToGrid w:val="0"/>
        <w:spacing w:line="288" w:lineRule="auto"/>
        <w:jc w:val="center"/>
        <w:rPr>
          <w:rFonts w:ascii="Arial" w:hAnsi="Arial" w:eastAsia="宋体" w:cs="Arial"/>
          <w:snapToGrid w:val="0"/>
          <w:sz w:val="24"/>
          <w:szCs w:val="24"/>
        </w:rPr>
      </w:pPr>
      <w:r>
        <w:rPr>
          <w:rFonts w:ascii="Arial" w:hAnsi="Arial" w:eastAsia="宋体" w:cs="Arial"/>
          <w:i/>
          <w:snapToGrid w:val="0"/>
          <w:sz w:val="24"/>
        </w:rPr>
        <w:t>Silver Spring, MD 20993 （</w:t>
      </w:r>
      <w:r>
        <w:rPr>
          <w:rFonts w:hint="eastAsia" w:ascii="Arial" w:hAnsi="Arial" w:eastAsia="宋体" w:cs="Arial"/>
          <w:i/>
          <w:snapToGrid w:val="0"/>
          <w:sz w:val="24"/>
          <w:lang w:eastAsia="zh-CN"/>
        </w:rPr>
        <w:t>电话</w:t>
      </w:r>
      <w:r>
        <w:rPr>
          <w:rFonts w:ascii="Arial" w:hAnsi="Arial" w:eastAsia="宋体" w:cs="Arial"/>
          <w:i/>
          <w:snapToGrid w:val="0"/>
          <w:sz w:val="24"/>
        </w:rPr>
        <w:t>）301-796-8930</w:t>
      </w:r>
    </w:p>
    <w:p w14:paraId="26AC8BC3">
      <w:pPr>
        <w:topLinePunct/>
        <w:adjustRightInd w:val="0"/>
        <w:snapToGrid w:val="0"/>
        <w:spacing w:line="288" w:lineRule="auto"/>
        <w:jc w:val="center"/>
        <w:rPr>
          <w:rFonts w:ascii="Arial" w:hAnsi="Arial" w:eastAsia="宋体" w:cs="Arial"/>
          <w:snapToGrid w:val="0"/>
          <w:sz w:val="24"/>
          <w:szCs w:val="24"/>
        </w:rPr>
      </w:pPr>
      <w:r>
        <w:rPr>
          <w:rFonts w:ascii="Arial" w:hAnsi="Arial" w:eastAsia="宋体" w:cs="Arial"/>
          <w:i/>
          <w:snapToGrid w:val="0"/>
          <w:sz w:val="24"/>
        </w:rPr>
        <w:t>（</w:t>
      </w:r>
      <w:r>
        <w:rPr>
          <w:rFonts w:hint="eastAsia" w:ascii="Arial" w:hAnsi="Arial" w:eastAsia="宋体" w:cs="Arial"/>
          <w:i/>
          <w:snapToGrid w:val="0"/>
          <w:sz w:val="24"/>
          <w:lang w:eastAsia="zh-CN"/>
        </w:rPr>
        <w:t>传真</w:t>
      </w:r>
      <w:r>
        <w:rPr>
          <w:rFonts w:ascii="Arial" w:hAnsi="Arial" w:eastAsia="宋体" w:cs="Arial"/>
          <w:i/>
          <w:snapToGrid w:val="0"/>
          <w:sz w:val="24"/>
        </w:rPr>
        <w:t>）301-847-8619</w:t>
      </w:r>
    </w:p>
    <w:p w14:paraId="000D2EE8">
      <w:pPr>
        <w:topLinePunct/>
        <w:adjustRightInd w:val="0"/>
        <w:snapToGrid w:val="0"/>
        <w:spacing w:after="224" w:afterLines="75" w:line="288" w:lineRule="auto"/>
        <w:jc w:val="center"/>
        <w:rPr>
          <w:rFonts w:ascii="Arial" w:hAnsi="Arial" w:eastAsia="宋体" w:cs="Arial"/>
          <w:snapToGrid w:val="0"/>
          <w:sz w:val="24"/>
          <w:szCs w:val="24"/>
        </w:rPr>
      </w:pPr>
      <w:r>
        <w:fldChar w:fldCharType="begin"/>
      </w:r>
      <w:r>
        <w:instrText xml:space="preserve"> HYPERLINK "http://www.fda.gov/oc/combination" \h </w:instrText>
      </w:r>
      <w:r>
        <w:fldChar w:fldCharType="separate"/>
      </w:r>
      <w:r>
        <w:rPr>
          <w:rFonts w:ascii="Arial" w:hAnsi="Arial" w:eastAsia="宋体" w:cs="Arial"/>
          <w:i/>
          <w:snapToGrid w:val="0"/>
          <w:color w:val="0000FF"/>
          <w:sz w:val="24"/>
          <w:u w:val="single" w:color="0000FF"/>
        </w:rPr>
        <w:t>http: //www.fda.gov/oc/combination</w:t>
      </w:r>
      <w:r>
        <w:rPr>
          <w:rFonts w:ascii="Arial" w:hAnsi="Arial" w:eastAsia="宋体" w:cs="Arial"/>
          <w:i/>
          <w:snapToGrid w:val="0"/>
          <w:color w:val="0000FF"/>
          <w:sz w:val="24"/>
          <w:u w:val="single" w:color="0000FF"/>
        </w:rPr>
        <w:fldChar w:fldCharType="end"/>
      </w:r>
    </w:p>
    <w:p w14:paraId="260A1D8C">
      <w:pPr>
        <w:pStyle w:val="5"/>
        <w:topLinePunct/>
        <w:adjustRightInd w:val="0"/>
        <w:snapToGrid w:val="0"/>
        <w:spacing w:after="224" w:afterLines="75" w:line="288" w:lineRule="auto"/>
        <w:ind w:left="0" w:firstLine="0"/>
        <w:jc w:val="both"/>
        <w:rPr>
          <w:rFonts w:ascii="Arial" w:hAnsi="Arial" w:eastAsia="宋体" w:cs="Arial"/>
          <w:snapToGrid w:val="0"/>
          <w:lang w:eastAsia="zh-CN"/>
        </w:rPr>
      </w:pPr>
    </w:p>
    <w:p w14:paraId="6CB3CEB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有关本文件的问题，联系组合产品办公室，电话</w:t>
      </w:r>
      <w:r>
        <w:rPr>
          <w:rFonts w:ascii="Arial" w:hAnsi="Arial" w:eastAsia="宋体" w:cs="Arial"/>
          <w:snapToGrid w:val="0"/>
          <w:lang w:eastAsia="zh-CN"/>
        </w:rPr>
        <w:t>301-796-8930</w:t>
      </w:r>
      <w:r>
        <w:rPr>
          <w:rFonts w:hint="eastAsia" w:ascii="Arial" w:hAnsi="Arial" w:eastAsia="宋体" w:cs="Arial"/>
          <w:snapToGrid w:val="0"/>
          <w:lang w:eastAsia="zh-CN"/>
        </w:rPr>
        <w:t>或邮箱</w:t>
      </w:r>
      <w:r>
        <w:fldChar w:fldCharType="begin"/>
      </w:r>
      <w:r>
        <w:instrText xml:space="preserve"> HYPERLINK "mailto:combination@fda.gov" \h </w:instrText>
      </w:r>
      <w:r>
        <w:fldChar w:fldCharType="separate"/>
      </w:r>
      <w:r>
        <w:rPr>
          <w:rFonts w:ascii="Arial" w:hAnsi="Arial" w:eastAsia="宋体" w:cs="Arial"/>
          <w:snapToGrid w:val="0"/>
          <w:color w:val="0000FF"/>
          <w:u w:val="single" w:color="0000FF"/>
          <w:lang w:eastAsia="zh-CN"/>
        </w:rPr>
        <w:t>combination@fda.gov</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21C29668">
      <w:pPr>
        <w:pStyle w:val="5"/>
        <w:topLinePunct/>
        <w:adjustRightInd w:val="0"/>
        <w:snapToGrid w:val="0"/>
        <w:spacing w:after="224" w:afterLines="75" w:line="288" w:lineRule="auto"/>
        <w:ind w:left="0" w:firstLine="0"/>
        <w:jc w:val="both"/>
        <w:rPr>
          <w:rFonts w:ascii="Arial" w:hAnsi="Arial" w:eastAsia="宋体" w:cs="Arial"/>
          <w:snapToGrid w:val="0"/>
          <w:lang w:eastAsia="zh-CN"/>
        </w:rPr>
      </w:pPr>
    </w:p>
    <w:p w14:paraId="47D701BF">
      <w:pPr>
        <w:pStyle w:val="5"/>
        <w:topLinePunct/>
        <w:adjustRightInd w:val="0"/>
        <w:snapToGrid w:val="0"/>
        <w:spacing w:after="224" w:afterLines="75" w:line="288" w:lineRule="auto"/>
        <w:ind w:left="0" w:firstLine="0"/>
        <w:jc w:val="both"/>
        <w:rPr>
          <w:rFonts w:ascii="Arial" w:hAnsi="Arial" w:eastAsia="宋体" w:cs="Arial"/>
          <w:snapToGrid w:val="0"/>
          <w:lang w:eastAsia="zh-CN"/>
        </w:rPr>
      </w:pPr>
    </w:p>
    <w:p w14:paraId="0E5E8946">
      <w:pPr>
        <w:topLinePunct/>
        <w:adjustRightInd w:val="0"/>
        <w:snapToGrid w:val="0"/>
        <w:spacing w:line="288" w:lineRule="auto"/>
        <w:jc w:val="center"/>
        <w:rPr>
          <w:rFonts w:ascii="Arial" w:hAnsi="Arial" w:eastAsia="宋体" w:cs="Arial"/>
          <w:b/>
          <w:snapToGrid w:val="0"/>
          <w:sz w:val="24"/>
          <w:lang w:eastAsia="zh-CN"/>
        </w:rPr>
      </w:pPr>
      <w:r>
        <w:rPr>
          <w:rFonts w:hint="eastAsia" w:ascii="Arial" w:hAnsi="Arial" w:eastAsia="宋体" w:cs="Arial"/>
          <w:b/>
          <w:snapToGrid w:val="0"/>
          <w:sz w:val="24"/>
          <w:lang w:eastAsia="zh-CN"/>
        </w:rPr>
        <w:t>美国卫生和人类服务署</w:t>
      </w:r>
    </w:p>
    <w:p w14:paraId="0308A69A">
      <w:pPr>
        <w:topLinePunct/>
        <w:adjustRightInd w:val="0"/>
        <w:snapToGrid w:val="0"/>
        <w:spacing w:line="288" w:lineRule="auto"/>
        <w:jc w:val="center"/>
        <w:rPr>
          <w:rFonts w:ascii="Arial" w:hAnsi="Arial" w:eastAsia="宋体" w:cs="Arial"/>
          <w:snapToGrid w:val="0"/>
          <w:sz w:val="24"/>
          <w:szCs w:val="24"/>
          <w:lang w:eastAsia="zh-CN"/>
        </w:rPr>
      </w:pPr>
      <w:r>
        <w:rPr>
          <w:rFonts w:hint="eastAsia" w:ascii="Arial" w:hAnsi="Arial" w:eastAsia="宋体" w:cs="Arial"/>
          <w:b/>
          <w:snapToGrid w:val="0"/>
          <w:sz w:val="24"/>
          <w:lang w:eastAsia="zh-CN"/>
        </w:rPr>
        <w:t>食品药品监督管理局</w:t>
      </w:r>
    </w:p>
    <w:p w14:paraId="33225985">
      <w:pPr>
        <w:topLinePunct/>
        <w:adjustRightInd w:val="0"/>
        <w:snapToGrid w:val="0"/>
        <w:spacing w:line="288" w:lineRule="auto"/>
        <w:jc w:val="center"/>
        <w:rPr>
          <w:rFonts w:ascii="Arial" w:hAnsi="Arial" w:eastAsia="宋体" w:cs="Arial"/>
          <w:b/>
          <w:snapToGrid w:val="0"/>
          <w:sz w:val="24"/>
          <w:lang w:eastAsia="zh-CN"/>
        </w:rPr>
      </w:pPr>
      <w:r>
        <w:rPr>
          <w:rFonts w:hint="eastAsia" w:ascii="Arial" w:hAnsi="Arial" w:eastAsia="宋体" w:cs="Arial"/>
          <w:b/>
          <w:snapToGrid w:val="0"/>
          <w:sz w:val="24"/>
          <w:lang w:eastAsia="zh-CN"/>
        </w:rPr>
        <w:t>局长办公室下辖组合产品办公室</w:t>
      </w:r>
      <w:r>
        <w:rPr>
          <w:rFonts w:ascii="Arial" w:hAnsi="Arial" w:eastAsia="宋体" w:cs="Arial"/>
          <w:b/>
          <w:snapToGrid w:val="0"/>
          <w:sz w:val="24"/>
          <w:lang w:eastAsia="zh-CN"/>
        </w:rPr>
        <w:t>（OCP）</w:t>
      </w:r>
    </w:p>
    <w:p w14:paraId="21775181">
      <w:pPr>
        <w:topLinePunct/>
        <w:adjustRightInd w:val="0"/>
        <w:snapToGrid w:val="0"/>
        <w:spacing w:line="288" w:lineRule="auto"/>
        <w:jc w:val="center"/>
        <w:rPr>
          <w:rFonts w:ascii="Arial" w:hAnsi="Arial" w:eastAsia="宋体" w:cs="Arial"/>
          <w:snapToGrid w:val="0"/>
          <w:sz w:val="24"/>
          <w:szCs w:val="24"/>
          <w:lang w:eastAsia="zh-CN"/>
        </w:rPr>
      </w:pPr>
      <w:r>
        <w:rPr>
          <w:rFonts w:ascii="Arial" w:hAnsi="Arial" w:eastAsia="宋体" w:cs="Arial"/>
          <w:b/>
          <w:snapToGrid w:val="0"/>
          <w:sz w:val="24"/>
          <w:lang w:eastAsia="zh-CN"/>
        </w:rPr>
        <w:t>生物制剂</w:t>
      </w:r>
      <w:bookmarkStart w:id="3" w:name="OLE_LINK216"/>
      <w:r>
        <w:rPr>
          <w:rFonts w:ascii="Arial" w:hAnsi="Arial" w:eastAsia="宋体" w:cs="Arial"/>
          <w:b/>
          <w:snapToGrid w:val="0"/>
          <w:sz w:val="24"/>
          <w:lang w:eastAsia="zh-CN"/>
        </w:rPr>
        <w:t>评价和研究中心</w:t>
      </w:r>
      <w:bookmarkEnd w:id="3"/>
      <w:bookmarkStart w:id="4" w:name="OLE_LINK214"/>
      <w:bookmarkStart w:id="5" w:name="OLE_LINK215"/>
      <w:r>
        <w:rPr>
          <w:rFonts w:ascii="Arial" w:hAnsi="Arial" w:eastAsia="宋体" w:cs="Arial"/>
          <w:b/>
          <w:snapToGrid w:val="0"/>
          <w:sz w:val="24"/>
          <w:lang w:eastAsia="zh-CN"/>
        </w:rPr>
        <w:t>（CBER</w:t>
      </w:r>
      <w:bookmarkEnd w:id="4"/>
      <w:bookmarkEnd w:id="5"/>
      <w:r>
        <w:rPr>
          <w:rFonts w:ascii="Arial" w:hAnsi="Arial" w:eastAsia="宋体" w:cs="Arial"/>
          <w:b/>
          <w:snapToGrid w:val="0"/>
          <w:sz w:val="24"/>
          <w:lang w:eastAsia="zh-CN"/>
        </w:rPr>
        <w:t>）</w:t>
      </w:r>
    </w:p>
    <w:p w14:paraId="633263E0">
      <w:pPr>
        <w:topLinePunct/>
        <w:adjustRightInd w:val="0"/>
        <w:snapToGrid w:val="0"/>
        <w:spacing w:line="288" w:lineRule="auto"/>
        <w:jc w:val="center"/>
        <w:rPr>
          <w:rFonts w:ascii="Arial" w:hAnsi="Arial" w:eastAsia="宋体" w:cs="Arial"/>
          <w:b/>
          <w:snapToGrid w:val="0"/>
          <w:sz w:val="24"/>
          <w:lang w:eastAsia="zh-CN"/>
        </w:rPr>
      </w:pPr>
      <w:r>
        <w:rPr>
          <w:rFonts w:ascii="Arial" w:hAnsi="Arial" w:eastAsia="宋体" w:cs="Arial"/>
          <w:b/>
          <w:snapToGrid w:val="0"/>
          <w:sz w:val="24"/>
          <w:lang w:eastAsia="zh-CN"/>
        </w:rPr>
        <w:t>药品评价和研究中心（CDER）</w:t>
      </w:r>
    </w:p>
    <w:p w14:paraId="4A7616D7">
      <w:pPr>
        <w:topLinePunct/>
        <w:adjustRightInd w:val="0"/>
        <w:snapToGrid w:val="0"/>
        <w:spacing w:line="288" w:lineRule="auto"/>
        <w:jc w:val="center"/>
        <w:rPr>
          <w:rFonts w:ascii="Arial" w:hAnsi="Arial" w:eastAsia="宋体" w:cs="Arial"/>
          <w:snapToGrid w:val="0"/>
          <w:sz w:val="24"/>
          <w:szCs w:val="24"/>
          <w:lang w:eastAsia="zh-CN"/>
        </w:rPr>
      </w:pPr>
      <w:r>
        <w:rPr>
          <w:rFonts w:hint="eastAsia" w:ascii="Arial" w:hAnsi="Arial" w:eastAsia="宋体" w:cs="Arial"/>
          <w:b/>
          <w:snapToGrid w:val="0"/>
          <w:sz w:val="24"/>
          <w:lang w:eastAsia="zh-CN"/>
        </w:rPr>
        <w:t>器械和放射卫生中心</w:t>
      </w:r>
      <w:bookmarkStart w:id="6" w:name="OLE_LINK3"/>
      <w:bookmarkStart w:id="7" w:name="OLE_LINK4"/>
      <w:r>
        <w:rPr>
          <w:rFonts w:ascii="Arial" w:hAnsi="Arial" w:eastAsia="宋体" w:cs="Arial"/>
          <w:b/>
          <w:snapToGrid w:val="0"/>
          <w:sz w:val="24"/>
          <w:lang w:eastAsia="zh-CN"/>
        </w:rPr>
        <w:t>（CDRH</w:t>
      </w:r>
      <w:bookmarkEnd w:id="6"/>
      <w:bookmarkEnd w:id="7"/>
      <w:r>
        <w:rPr>
          <w:rFonts w:ascii="Arial" w:hAnsi="Arial" w:eastAsia="宋体" w:cs="Arial"/>
          <w:b/>
          <w:snapToGrid w:val="0"/>
          <w:sz w:val="24"/>
          <w:lang w:eastAsia="zh-CN"/>
        </w:rPr>
        <w:t>）</w:t>
      </w:r>
    </w:p>
    <w:p w14:paraId="04BF0DF7">
      <w:pPr>
        <w:topLinePunct/>
        <w:adjustRightInd w:val="0"/>
        <w:snapToGrid w:val="0"/>
        <w:spacing w:line="288" w:lineRule="auto"/>
        <w:jc w:val="center"/>
        <w:rPr>
          <w:rFonts w:ascii="Arial" w:hAnsi="Arial" w:eastAsia="宋体" w:cs="Arial"/>
          <w:snapToGrid w:val="0"/>
          <w:sz w:val="24"/>
          <w:szCs w:val="24"/>
          <w:lang w:eastAsia="zh-CN"/>
        </w:rPr>
      </w:pPr>
      <w:r>
        <w:rPr>
          <w:rFonts w:hint="eastAsia" w:ascii="Arial" w:hAnsi="Arial" w:eastAsia="宋体" w:cs="Arial"/>
          <w:b/>
          <w:snapToGrid w:val="0"/>
          <w:sz w:val="24"/>
          <w:lang w:eastAsia="zh-CN"/>
        </w:rPr>
        <w:t>法规事务办公室</w:t>
      </w:r>
      <w:r>
        <w:rPr>
          <w:rFonts w:ascii="Arial" w:hAnsi="Arial" w:eastAsia="宋体" w:cs="Arial"/>
          <w:b/>
          <w:snapToGrid w:val="0"/>
          <w:sz w:val="24"/>
          <w:lang w:eastAsia="zh-CN"/>
        </w:rPr>
        <w:t>（ORA）</w:t>
      </w:r>
    </w:p>
    <w:p w14:paraId="780D9B87">
      <w:pPr>
        <w:topLinePunct/>
        <w:adjustRightInd w:val="0"/>
        <w:snapToGrid w:val="0"/>
        <w:spacing w:line="288" w:lineRule="auto"/>
        <w:jc w:val="center"/>
        <w:rPr>
          <w:rFonts w:ascii="Arial" w:hAnsi="Arial" w:eastAsia="宋体" w:cs="Arial"/>
          <w:b/>
          <w:snapToGrid w:val="0"/>
          <w:sz w:val="24"/>
          <w:lang w:eastAsia="zh-CN"/>
        </w:rPr>
      </w:pPr>
    </w:p>
    <w:p w14:paraId="28E8429B">
      <w:pPr>
        <w:topLinePunct/>
        <w:adjustRightInd w:val="0"/>
        <w:snapToGrid w:val="0"/>
        <w:spacing w:line="288" w:lineRule="auto"/>
        <w:jc w:val="center"/>
        <w:rPr>
          <w:rFonts w:ascii="Arial" w:hAnsi="Arial" w:eastAsia="宋体" w:cs="Arial"/>
          <w:b/>
          <w:snapToGrid w:val="0"/>
          <w:sz w:val="24"/>
          <w:lang w:eastAsia="zh-CN"/>
        </w:rPr>
      </w:pPr>
    </w:p>
    <w:p w14:paraId="43A0A704">
      <w:pPr>
        <w:topLinePunct/>
        <w:adjustRightInd w:val="0"/>
        <w:snapToGrid w:val="0"/>
        <w:spacing w:line="288" w:lineRule="auto"/>
        <w:jc w:val="center"/>
        <w:rPr>
          <w:rFonts w:ascii="Arial" w:hAnsi="Arial" w:eastAsia="宋体" w:cs="Arial"/>
          <w:snapToGrid w:val="0"/>
          <w:sz w:val="24"/>
          <w:szCs w:val="24"/>
          <w:lang w:eastAsia="zh-CN"/>
        </w:rPr>
      </w:pPr>
      <w:r>
        <w:rPr>
          <w:rFonts w:ascii="Arial" w:hAnsi="Arial" w:eastAsia="宋体" w:cs="Arial"/>
          <w:b/>
          <w:snapToGrid w:val="0"/>
          <w:sz w:val="24"/>
        </w:rPr>
        <w:t>2017</w:t>
      </w:r>
      <w:r>
        <w:rPr>
          <w:rFonts w:hint="eastAsia" w:ascii="Arial" w:hAnsi="Arial" w:eastAsia="宋体" w:cs="Arial"/>
          <w:b/>
          <w:snapToGrid w:val="0"/>
          <w:sz w:val="24"/>
          <w:lang w:eastAsia="zh-CN"/>
        </w:rPr>
        <w:t>年1月</w:t>
      </w:r>
    </w:p>
    <w:p w14:paraId="4AA01549">
      <w:pPr>
        <w:topLinePunct/>
        <w:adjustRightInd w:val="0"/>
        <w:snapToGrid w:val="0"/>
        <w:spacing w:after="224" w:afterLines="75" w:line="288" w:lineRule="auto"/>
        <w:jc w:val="center"/>
        <w:rPr>
          <w:rFonts w:ascii="Arial" w:hAnsi="Arial" w:eastAsia="宋体" w:cs="Arial"/>
          <w:snapToGrid w:val="0"/>
          <w:sz w:val="28"/>
          <w:szCs w:val="30"/>
          <w:lang w:eastAsia="zh-CN"/>
        </w:rPr>
      </w:pPr>
      <w:r>
        <w:rPr>
          <w:rFonts w:ascii="Arial" w:hAnsi="Arial" w:eastAsia="宋体" w:cs="Arial"/>
          <w:snapToGrid w:val="0"/>
          <w:sz w:val="24"/>
          <w:szCs w:val="24"/>
        </w:rPr>
        <w:br w:type="page"/>
      </w:r>
      <w:r>
        <w:rPr>
          <w:rFonts w:hint="eastAsia" w:ascii="Arial" w:hAnsi="Arial" w:eastAsia="宋体" w:cs="Arial"/>
          <w:b/>
          <w:snapToGrid w:val="0"/>
          <w:sz w:val="28"/>
          <w:lang w:eastAsia="zh-CN"/>
        </w:rPr>
        <w:t>目录</w:t>
      </w:r>
    </w:p>
    <w:p w14:paraId="2F508D06">
      <w:pPr>
        <w:pStyle w:val="12"/>
        <w:rPr>
          <w:kern w:val="2"/>
          <w:sz w:val="21"/>
          <w:lang w:eastAsia="zh-CN"/>
        </w:rPr>
      </w:pPr>
      <w:r>
        <w:rPr>
          <w:snapToGrid w:val="0"/>
          <w:lang w:eastAsia="zh-CN"/>
        </w:rPr>
        <w:fldChar w:fldCharType="begin"/>
      </w:r>
      <w:r>
        <w:rPr>
          <w:snapToGrid w:val="0"/>
          <w:lang w:eastAsia="zh-CN"/>
        </w:rPr>
        <w:instrText xml:space="preserve"> </w:instrText>
      </w:r>
      <w:r>
        <w:rPr>
          <w:rFonts w:hint="eastAsia"/>
          <w:snapToGrid w:val="0"/>
          <w:lang w:eastAsia="zh-CN"/>
        </w:rPr>
        <w:instrText xml:space="preserve">TOC \f \h \z \t "标题 11,1,标题 21,2"</w:instrText>
      </w:r>
      <w:r>
        <w:rPr>
          <w:snapToGrid w:val="0"/>
          <w:lang w:eastAsia="zh-CN"/>
        </w:rPr>
        <w:instrText xml:space="preserve"> </w:instrText>
      </w:r>
      <w:r>
        <w:rPr>
          <w:snapToGrid w:val="0"/>
          <w:lang w:eastAsia="zh-CN"/>
        </w:rPr>
        <w:fldChar w:fldCharType="separate"/>
      </w:r>
    </w:p>
    <w:p w14:paraId="677107FE">
      <w:pPr>
        <w:pStyle w:val="10"/>
        <w:rPr>
          <w:kern w:val="2"/>
          <w:sz w:val="21"/>
          <w:lang w:eastAsia="zh-CN"/>
        </w:rPr>
      </w:pPr>
      <w:r>
        <w:fldChar w:fldCharType="begin"/>
      </w:r>
      <w:r>
        <w:instrText xml:space="preserve"> HYPERLINK \l "_Toc498640461" </w:instrText>
      </w:r>
      <w:r>
        <w:fldChar w:fldCharType="separate"/>
      </w:r>
      <w:r>
        <w:rPr>
          <w:rStyle w:val="16"/>
        </w:rPr>
        <w:t>I.</w:t>
      </w:r>
      <w:r>
        <w:rPr>
          <w:kern w:val="2"/>
          <w:sz w:val="21"/>
          <w:lang w:eastAsia="zh-CN"/>
        </w:rPr>
        <w:tab/>
      </w:r>
      <w:r>
        <w:rPr>
          <w:rStyle w:val="16"/>
          <w:rFonts w:hint="eastAsia" w:eastAsia="宋体"/>
          <w:lang w:eastAsia="zh-CN"/>
        </w:rPr>
        <w:t>引言</w:t>
      </w:r>
      <w:r>
        <w:tab/>
      </w:r>
      <w:r>
        <w:fldChar w:fldCharType="begin"/>
      </w:r>
      <w:r>
        <w:instrText xml:space="preserve"> PAGEREF _Toc498640461 \h </w:instrText>
      </w:r>
      <w:r>
        <w:fldChar w:fldCharType="separate"/>
      </w:r>
      <w:r>
        <w:t>3</w:t>
      </w:r>
      <w:r>
        <w:fldChar w:fldCharType="end"/>
      </w:r>
      <w:r>
        <w:fldChar w:fldCharType="end"/>
      </w:r>
    </w:p>
    <w:p w14:paraId="79231328">
      <w:pPr>
        <w:pStyle w:val="10"/>
        <w:rPr>
          <w:kern w:val="2"/>
          <w:sz w:val="21"/>
          <w:lang w:eastAsia="zh-CN"/>
        </w:rPr>
      </w:pPr>
      <w:r>
        <w:fldChar w:fldCharType="begin"/>
      </w:r>
      <w:r>
        <w:instrText xml:space="preserve"> HYPERLINK \l "_Toc498640462" </w:instrText>
      </w:r>
      <w:r>
        <w:fldChar w:fldCharType="separate"/>
      </w:r>
      <w:r>
        <w:rPr>
          <w:rStyle w:val="16"/>
        </w:rPr>
        <w:t>II.</w:t>
      </w:r>
      <w:r>
        <w:rPr>
          <w:kern w:val="2"/>
          <w:sz w:val="21"/>
          <w:lang w:eastAsia="zh-CN"/>
        </w:rPr>
        <w:tab/>
      </w:r>
      <w:r>
        <w:rPr>
          <w:rStyle w:val="16"/>
          <w:rFonts w:hint="eastAsia" w:eastAsia="宋体"/>
          <w:lang w:eastAsia="zh-CN"/>
        </w:rPr>
        <w:t>背景</w:t>
      </w:r>
      <w:r>
        <w:tab/>
      </w:r>
      <w:r>
        <w:fldChar w:fldCharType="begin"/>
      </w:r>
      <w:r>
        <w:instrText xml:space="preserve"> PAGEREF _Toc498640462 \h </w:instrText>
      </w:r>
      <w:r>
        <w:fldChar w:fldCharType="separate"/>
      </w:r>
      <w:r>
        <w:t>4</w:t>
      </w:r>
      <w:r>
        <w:fldChar w:fldCharType="end"/>
      </w:r>
      <w:r>
        <w:fldChar w:fldCharType="end"/>
      </w:r>
    </w:p>
    <w:p w14:paraId="395D0FE3">
      <w:pPr>
        <w:pStyle w:val="12"/>
        <w:rPr>
          <w:kern w:val="2"/>
          <w:sz w:val="21"/>
          <w:lang w:eastAsia="zh-CN"/>
        </w:rPr>
      </w:pPr>
      <w:r>
        <w:fldChar w:fldCharType="begin"/>
      </w:r>
      <w:r>
        <w:instrText xml:space="preserve"> HYPERLINK \l "_Toc498640463" </w:instrText>
      </w:r>
      <w:r>
        <w:fldChar w:fldCharType="separate"/>
      </w:r>
      <w:r>
        <w:rPr>
          <w:rStyle w:val="16"/>
          <w:rFonts w:cs="Arial"/>
          <w:snapToGrid w:val="0"/>
          <w:spacing w:val="-1"/>
          <w:w w:val="99"/>
        </w:rPr>
        <w:t>A.</w:t>
      </w:r>
      <w:r>
        <w:rPr>
          <w:kern w:val="2"/>
          <w:sz w:val="21"/>
          <w:lang w:eastAsia="zh-CN"/>
        </w:rPr>
        <w:tab/>
      </w:r>
      <w:r>
        <w:rPr>
          <w:rStyle w:val="16"/>
          <w:rFonts w:hint="eastAsia" w:eastAsia="宋体" w:cs="Arial"/>
          <w:snapToGrid w:val="0"/>
          <w:lang w:eastAsia="zh-CN"/>
        </w:rPr>
        <w:t>组合产品定义</w:t>
      </w:r>
      <w:r>
        <w:tab/>
      </w:r>
      <w:r>
        <w:fldChar w:fldCharType="begin"/>
      </w:r>
      <w:r>
        <w:instrText xml:space="preserve"> PAGEREF _Toc498640463 \h </w:instrText>
      </w:r>
      <w:r>
        <w:fldChar w:fldCharType="separate"/>
      </w:r>
      <w:r>
        <w:t>4</w:t>
      </w:r>
      <w:r>
        <w:fldChar w:fldCharType="end"/>
      </w:r>
      <w:r>
        <w:fldChar w:fldCharType="end"/>
      </w:r>
    </w:p>
    <w:p w14:paraId="6342290E">
      <w:pPr>
        <w:pStyle w:val="12"/>
        <w:rPr>
          <w:kern w:val="2"/>
          <w:sz w:val="21"/>
          <w:lang w:eastAsia="zh-CN"/>
        </w:rPr>
      </w:pPr>
      <w:r>
        <w:fldChar w:fldCharType="begin"/>
      </w:r>
      <w:r>
        <w:instrText xml:space="preserve"> HYPERLINK \l "_Toc498640464" </w:instrText>
      </w:r>
      <w:r>
        <w:fldChar w:fldCharType="separate"/>
      </w:r>
      <w:r>
        <w:rPr>
          <w:rStyle w:val="16"/>
          <w:rFonts w:cs="Arial"/>
          <w:snapToGrid w:val="0"/>
          <w:spacing w:val="-1"/>
          <w:w w:val="99"/>
          <w:lang w:eastAsia="zh-CN"/>
        </w:rPr>
        <w:t>B.</w:t>
      </w:r>
      <w:r>
        <w:rPr>
          <w:kern w:val="2"/>
          <w:sz w:val="21"/>
          <w:lang w:eastAsia="zh-CN"/>
        </w:rPr>
        <w:tab/>
      </w:r>
      <w:r>
        <w:rPr>
          <w:rStyle w:val="16"/>
          <w:rFonts w:hint="eastAsia" w:eastAsia="宋体" w:cs="Arial"/>
          <w:snapToGrid w:val="0"/>
          <w:lang w:eastAsia="zh-CN"/>
        </w:rPr>
        <w:t>质量和现行良好生产规范</w:t>
      </w:r>
      <w:r>
        <w:tab/>
      </w:r>
      <w:r>
        <w:fldChar w:fldCharType="begin"/>
      </w:r>
      <w:r>
        <w:instrText xml:space="preserve"> PAGEREF _Toc498640464 \h </w:instrText>
      </w:r>
      <w:r>
        <w:fldChar w:fldCharType="separate"/>
      </w:r>
      <w:r>
        <w:t>5</w:t>
      </w:r>
      <w:r>
        <w:fldChar w:fldCharType="end"/>
      </w:r>
      <w:r>
        <w:fldChar w:fldCharType="end"/>
      </w:r>
    </w:p>
    <w:p w14:paraId="05C1F255">
      <w:pPr>
        <w:pStyle w:val="12"/>
        <w:rPr>
          <w:kern w:val="2"/>
          <w:sz w:val="21"/>
          <w:lang w:eastAsia="zh-CN"/>
        </w:rPr>
      </w:pPr>
      <w:r>
        <w:fldChar w:fldCharType="begin"/>
      </w:r>
      <w:r>
        <w:instrText xml:space="preserve"> HYPERLINK \l "_Toc498640465" </w:instrText>
      </w:r>
      <w:r>
        <w:fldChar w:fldCharType="separate"/>
      </w:r>
      <w:r>
        <w:rPr>
          <w:rStyle w:val="16"/>
          <w:rFonts w:cs="Arial"/>
          <w:snapToGrid w:val="0"/>
          <w:spacing w:val="-1"/>
          <w:w w:val="99"/>
        </w:rPr>
        <w:t>C.</w:t>
      </w:r>
      <w:r>
        <w:rPr>
          <w:kern w:val="2"/>
          <w:sz w:val="21"/>
          <w:lang w:eastAsia="zh-CN"/>
        </w:rPr>
        <w:tab/>
      </w:r>
      <w:r>
        <w:rPr>
          <w:rStyle w:val="16"/>
          <w:rFonts w:hint="eastAsia" w:eastAsia="宋体" w:cs="Arial"/>
          <w:snapToGrid w:val="0"/>
          <w:lang w:eastAsia="zh-CN"/>
        </w:rPr>
        <w:t>最终规则概述</w:t>
      </w:r>
      <w:r>
        <w:tab/>
      </w:r>
      <w:r>
        <w:fldChar w:fldCharType="begin"/>
      </w:r>
      <w:r>
        <w:instrText xml:space="preserve"> PAGEREF _Toc498640465 \h </w:instrText>
      </w:r>
      <w:r>
        <w:fldChar w:fldCharType="separate"/>
      </w:r>
      <w:r>
        <w:t>5</w:t>
      </w:r>
      <w:r>
        <w:fldChar w:fldCharType="end"/>
      </w:r>
      <w:r>
        <w:fldChar w:fldCharType="end"/>
      </w:r>
    </w:p>
    <w:p w14:paraId="17990D31">
      <w:pPr>
        <w:pStyle w:val="12"/>
        <w:rPr>
          <w:kern w:val="2"/>
          <w:sz w:val="21"/>
          <w:lang w:eastAsia="zh-CN"/>
        </w:rPr>
      </w:pPr>
      <w:r>
        <w:fldChar w:fldCharType="begin"/>
      </w:r>
      <w:r>
        <w:instrText xml:space="preserve"> HYPERLINK \l "_Toc498640466" </w:instrText>
      </w:r>
      <w:r>
        <w:fldChar w:fldCharType="separate"/>
      </w:r>
      <w:r>
        <w:rPr>
          <w:rStyle w:val="16"/>
          <w:rFonts w:cs="Arial"/>
          <w:snapToGrid w:val="0"/>
          <w:spacing w:val="-1"/>
          <w:w w:val="99"/>
          <w:lang w:eastAsia="zh-CN"/>
        </w:rPr>
        <w:t>D.</w:t>
      </w:r>
      <w:r>
        <w:rPr>
          <w:kern w:val="2"/>
          <w:sz w:val="21"/>
          <w:lang w:eastAsia="zh-CN"/>
        </w:rPr>
        <w:tab/>
      </w:r>
      <w:r>
        <w:rPr>
          <w:rStyle w:val="16"/>
          <w:rFonts w:hint="eastAsia" w:eastAsia="宋体" w:cs="Arial"/>
          <w:snapToGrid w:val="0"/>
          <w:lang w:eastAsia="zh-CN"/>
        </w:rPr>
        <w:t>首要中心和其它机构部门的角色</w:t>
      </w:r>
      <w:r>
        <w:tab/>
      </w:r>
      <w:r>
        <w:fldChar w:fldCharType="begin"/>
      </w:r>
      <w:r>
        <w:instrText xml:space="preserve"> PAGEREF _Toc498640466 \h </w:instrText>
      </w:r>
      <w:r>
        <w:fldChar w:fldCharType="separate"/>
      </w:r>
      <w:r>
        <w:t>9</w:t>
      </w:r>
      <w:r>
        <w:fldChar w:fldCharType="end"/>
      </w:r>
      <w:r>
        <w:fldChar w:fldCharType="end"/>
      </w:r>
    </w:p>
    <w:p w14:paraId="4426F952">
      <w:pPr>
        <w:pStyle w:val="10"/>
        <w:rPr>
          <w:kern w:val="2"/>
          <w:sz w:val="21"/>
          <w:lang w:eastAsia="zh-CN"/>
        </w:rPr>
      </w:pPr>
      <w:r>
        <w:fldChar w:fldCharType="begin"/>
      </w:r>
      <w:r>
        <w:instrText xml:space="preserve"> HYPERLINK \l "_Toc498640467" </w:instrText>
      </w:r>
      <w:r>
        <w:fldChar w:fldCharType="separate"/>
      </w:r>
      <w:r>
        <w:rPr>
          <w:rStyle w:val="16"/>
          <w:lang w:eastAsia="zh-CN"/>
        </w:rPr>
        <w:t>III.</w:t>
      </w:r>
      <w:r>
        <w:rPr>
          <w:kern w:val="2"/>
          <w:sz w:val="21"/>
          <w:lang w:eastAsia="zh-CN"/>
        </w:rPr>
        <w:tab/>
      </w:r>
      <w:r>
        <w:rPr>
          <w:rStyle w:val="16"/>
          <w:rFonts w:hint="eastAsia" w:eastAsia="宋体"/>
          <w:lang w:eastAsia="zh-CN"/>
        </w:rPr>
        <w:t>对</w:t>
      </w:r>
      <w:r>
        <w:rPr>
          <w:rStyle w:val="16"/>
          <w:rFonts w:eastAsia="宋体"/>
          <w:lang w:eastAsia="zh-CN"/>
        </w:rPr>
        <w:t>CGMP</w:t>
      </w:r>
      <w:r>
        <w:rPr>
          <w:rStyle w:val="16"/>
          <w:rFonts w:hint="eastAsia" w:eastAsia="宋体"/>
          <w:lang w:eastAsia="zh-CN"/>
        </w:rPr>
        <w:t>合规的一般考虑</w:t>
      </w:r>
      <w:r>
        <w:tab/>
      </w:r>
      <w:r>
        <w:fldChar w:fldCharType="begin"/>
      </w:r>
      <w:r>
        <w:instrText xml:space="preserve"> PAGEREF _Toc498640467 \h </w:instrText>
      </w:r>
      <w:r>
        <w:fldChar w:fldCharType="separate"/>
      </w:r>
      <w:r>
        <w:t>9</w:t>
      </w:r>
      <w:r>
        <w:fldChar w:fldCharType="end"/>
      </w:r>
      <w:r>
        <w:fldChar w:fldCharType="end"/>
      </w:r>
    </w:p>
    <w:p w14:paraId="718AC9B4">
      <w:pPr>
        <w:pStyle w:val="12"/>
        <w:rPr>
          <w:kern w:val="2"/>
          <w:sz w:val="21"/>
          <w:lang w:eastAsia="zh-CN"/>
        </w:rPr>
      </w:pPr>
      <w:r>
        <w:fldChar w:fldCharType="begin"/>
      </w:r>
      <w:r>
        <w:instrText xml:space="preserve"> HYPERLINK \l "_Toc498640468" </w:instrText>
      </w:r>
      <w:r>
        <w:fldChar w:fldCharType="separate"/>
      </w:r>
      <w:r>
        <w:rPr>
          <w:rStyle w:val="16"/>
          <w:rFonts w:cs="Arial"/>
          <w:snapToGrid w:val="0"/>
          <w:spacing w:val="-1"/>
          <w:w w:val="99"/>
        </w:rPr>
        <w:t>A.</w:t>
      </w:r>
      <w:r>
        <w:rPr>
          <w:kern w:val="2"/>
          <w:sz w:val="21"/>
          <w:lang w:eastAsia="zh-CN"/>
        </w:rPr>
        <w:tab/>
      </w:r>
      <w:r>
        <w:rPr>
          <w:rStyle w:val="16"/>
          <w:rFonts w:hint="eastAsia" w:eastAsia="宋体" w:cs="Arial"/>
          <w:snapToGrid w:val="0"/>
          <w:lang w:eastAsia="zh-CN"/>
        </w:rPr>
        <w:t>证明合规性</w:t>
      </w:r>
      <w:r>
        <w:tab/>
      </w:r>
      <w:r>
        <w:fldChar w:fldCharType="begin"/>
      </w:r>
      <w:r>
        <w:instrText xml:space="preserve"> PAGEREF _Toc498640468 \h </w:instrText>
      </w:r>
      <w:r>
        <w:fldChar w:fldCharType="separate"/>
      </w:r>
      <w:r>
        <w:t>10</w:t>
      </w:r>
      <w:r>
        <w:fldChar w:fldCharType="end"/>
      </w:r>
      <w:r>
        <w:fldChar w:fldCharType="end"/>
      </w:r>
    </w:p>
    <w:p w14:paraId="65428EC5">
      <w:pPr>
        <w:pStyle w:val="12"/>
        <w:rPr>
          <w:kern w:val="2"/>
          <w:sz w:val="21"/>
          <w:lang w:eastAsia="zh-CN"/>
        </w:rPr>
      </w:pPr>
      <w:r>
        <w:fldChar w:fldCharType="begin"/>
      </w:r>
      <w:r>
        <w:instrText xml:space="preserve"> HYPERLINK \l "_Toc498640469" </w:instrText>
      </w:r>
      <w:r>
        <w:fldChar w:fldCharType="separate"/>
      </w:r>
      <w:r>
        <w:rPr>
          <w:rStyle w:val="16"/>
          <w:rFonts w:cs="Arial"/>
          <w:snapToGrid w:val="0"/>
          <w:spacing w:val="-1"/>
          <w:w w:val="99"/>
        </w:rPr>
        <w:t>B.</w:t>
      </w:r>
      <w:r>
        <w:rPr>
          <w:kern w:val="2"/>
          <w:sz w:val="21"/>
          <w:lang w:eastAsia="zh-CN"/>
        </w:rPr>
        <w:tab/>
      </w:r>
      <w:r>
        <w:rPr>
          <w:rStyle w:val="16"/>
          <w:rFonts w:hint="eastAsia" w:eastAsia="宋体" w:cs="Arial"/>
          <w:snapToGrid w:val="0"/>
          <w:lang w:eastAsia="zh-CN"/>
        </w:rPr>
        <w:t>试验用产品</w:t>
      </w:r>
      <w:r>
        <w:tab/>
      </w:r>
      <w:r>
        <w:fldChar w:fldCharType="begin"/>
      </w:r>
      <w:r>
        <w:instrText xml:space="preserve"> PAGEREF _Toc498640469 \h </w:instrText>
      </w:r>
      <w:r>
        <w:fldChar w:fldCharType="separate"/>
      </w:r>
      <w:r>
        <w:t>11</w:t>
      </w:r>
      <w:r>
        <w:fldChar w:fldCharType="end"/>
      </w:r>
      <w:r>
        <w:fldChar w:fldCharType="end"/>
      </w:r>
    </w:p>
    <w:p w14:paraId="3E0C6EBE">
      <w:pPr>
        <w:pStyle w:val="12"/>
        <w:rPr>
          <w:kern w:val="2"/>
          <w:sz w:val="21"/>
          <w:lang w:eastAsia="zh-CN"/>
        </w:rPr>
      </w:pPr>
      <w:r>
        <w:fldChar w:fldCharType="begin"/>
      </w:r>
      <w:r>
        <w:instrText xml:space="preserve"> HYPERLINK \l "_Toc498640470" </w:instrText>
      </w:r>
      <w:r>
        <w:fldChar w:fldCharType="separate"/>
      </w:r>
      <w:r>
        <w:rPr>
          <w:rStyle w:val="16"/>
          <w:rFonts w:cs="Arial"/>
          <w:snapToGrid w:val="0"/>
          <w:spacing w:val="-1"/>
          <w:w w:val="99"/>
        </w:rPr>
        <w:t>C.</w:t>
      </w:r>
      <w:r>
        <w:rPr>
          <w:kern w:val="2"/>
          <w:sz w:val="21"/>
          <w:lang w:eastAsia="zh-CN"/>
        </w:rPr>
        <w:tab/>
      </w:r>
      <w:r>
        <w:rPr>
          <w:rStyle w:val="16"/>
          <w:rFonts w:hint="eastAsia" w:eastAsia="宋体" w:cs="Arial"/>
          <w:snapToGrid w:val="0"/>
          <w:lang w:eastAsia="zh-CN"/>
        </w:rPr>
        <w:t>定义和术语</w:t>
      </w:r>
      <w:r>
        <w:tab/>
      </w:r>
      <w:r>
        <w:fldChar w:fldCharType="begin"/>
      </w:r>
      <w:r>
        <w:instrText xml:space="preserve"> PAGEREF _Toc498640470 \h </w:instrText>
      </w:r>
      <w:r>
        <w:fldChar w:fldCharType="separate"/>
      </w:r>
      <w:r>
        <w:t>12</w:t>
      </w:r>
      <w:r>
        <w:fldChar w:fldCharType="end"/>
      </w:r>
      <w:r>
        <w:fldChar w:fldCharType="end"/>
      </w:r>
    </w:p>
    <w:p w14:paraId="6FB4C33C">
      <w:pPr>
        <w:pStyle w:val="12"/>
        <w:rPr>
          <w:kern w:val="2"/>
          <w:sz w:val="21"/>
          <w:lang w:eastAsia="zh-CN"/>
        </w:rPr>
      </w:pPr>
      <w:r>
        <w:fldChar w:fldCharType="begin"/>
      </w:r>
      <w:r>
        <w:instrText xml:space="preserve"> HYPERLINK \l "_Toc498640471" </w:instrText>
      </w:r>
      <w:r>
        <w:fldChar w:fldCharType="separate"/>
      </w:r>
      <w:r>
        <w:rPr>
          <w:rStyle w:val="16"/>
          <w:rFonts w:cs="Arial"/>
          <w:snapToGrid w:val="0"/>
          <w:spacing w:val="-1"/>
          <w:w w:val="99"/>
          <w:lang w:eastAsia="zh-CN"/>
        </w:rPr>
        <w:t>D.</w:t>
      </w:r>
      <w:r>
        <w:rPr>
          <w:kern w:val="2"/>
          <w:sz w:val="21"/>
          <w:lang w:eastAsia="zh-CN"/>
        </w:rPr>
        <w:tab/>
      </w:r>
      <w:r>
        <w:rPr>
          <w:rStyle w:val="16"/>
          <w:rFonts w:hint="eastAsia" w:eastAsia="宋体" w:cs="Arial"/>
          <w:snapToGrid w:val="0"/>
          <w:lang w:eastAsia="zh-CN"/>
        </w:rPr>
        <w:t>哪些</w:t>
      </w:r>
      <w:r>
        <w:rPr>
          <w:rStyle w:val="16"/>
          <w:rFonts w:eastAsia="宋体" w:cs="Arial"/>
          <w:snapToGrid w:val="0"/>
          <w:lang w:eastAsia="zh-CN"/>
        </w:rPr>
        <w:t>CGMP</w:t>
      </w:r>
      <w:r>
        <w:rPr>
          <w:rStyle w:val="16"/>
          <w:rFonts w:hint="eastAsia" w:eastAsia="宋体" w:cs="Arial"/>
          <w:snapToGrid w:val="0"/>
          <w:lang w:eastAsia="zh-CN"/>
        </w:rPr>
        <w:t>要求适用于一种产品或机构？</w:t>
      </w:r>
      <w:r>
        <w:tab/>
      </w:r>
      <w:r>
        <w:fldChar w:fldCharType="begin"/>
      </w:r>
      <w:r>
        <w:instrText xml:space="preserve"> PAGEREF _Toc498640471 \h </w:instrText>
      </w:r>
      <w:r>
        <w:fldChar w:fldCharType="separate"/>
      </w:r>
      <w:r>
        <w:t>15</w:t>
      </w:r>
      <w:r>
        <w:fldChar w:fldCharType="end"/>
      </w:r>
      <w:r>
        <w:fldChar w:fldCharType="end"/>
      </w:r>
    </w:p>
    <w:p w14:paraId="62FE0855">
      <w:pPr>
        <w:pStyle w:val="12"/>
        <w:rPr>
          <w:kern w:val="2"/>
          <w:sz w:val="21"/>
          <w:lang w:eastAsia="zh-CN"/>
        </w:rPr>
      </w:pPr>
      <w:r>
        <w:fldChar w:fldCharType="begin"/>
      </w:r>
      <w:r>
        <w:instrText xml:space="preserve"> HYPERLINK \l "_Toc498640472" </w:instrText>
      </w:r>
      <w:r>
        <w:fldChar w:fldCharType="separate"/>
      </w:r>
      <w:r>
        <w:rPr>
          <w:rStyle w:val="16"/>
          <w:rFonts w:cs="Arial"/>
          <w:snapToGrid w:val="0"/>
          <w:spacing w:val="-1"/>
          <w:w w:val="99"/>
          <w:lang w:eastAsia="zh-CN"/>
        </w:rPr>
        <w:t>E.</w:t>
      </w:r>
      <w:r>
        <w:rPr>
          <w:kern w:val="2"/>
          <w:sz w:val="21"/>
          <w:lang w:eastAsia="zh-CN"/>
        </w:rPr>
        <w:tab/>
      </w:r>
      <w:r>
        <w:rPr>
          <w:rStyle w:val="16"/>
          <w:rFonts w:hint="eastAsia" w:eastAsia="宋体" w:cs="Arial"/>
          <w:snapToGrid w:val="0"/>
          <w:lang w:eastAsia="zh-CN"/>
        </w:rPr>
        <w:t>组合产品变更的控制程序</w:t>
      </w:r>
      <w:r>
        <w:tab/>
      </w:r>
      <w:r>
        <w:fldChar w:fldCharType="begin"/>
      </w:r>
      <w:r>
        <w:instrText xml:space="preserve"> PAGEREF _Toc498640472 \h </w:instrText>
      </w:r>
      <w:r>
        <w:fldChar w:fldCharType="separate"/>
      </w:r>
      <w:r>
        <w:t>18</w:t>
      </w:r>
      <w:r>
        <w:fldChar w:fldCharType="end"/>
      </w:r>
      <w:r>
        <w:fldChar w:fldCharType="end"/>
      </w:r>
    </w:p>
    <w:p w14:paraId="273AD625">
      <w:pPr>
        <w:pStyle w:val="10"/>
        <w:rPr>
          <w:kern w:val="2"/>
          <w:sz w:val="21"/>
          <w:lang w:eastAsia="zh-CN"/>
        </w:rPr>
      </w:pPr>
      <w:r>
        <w:fldChar w:fldCharType="begin"/>
      </w:r>
      <w:r>
        <w:instrText xml:space="preserve"> HYPERLINK \l "_Toc498640473" </w:instrText>
      </w:r>
      <w:r>
        <w:fldChar w:fldCharType="separate"/>
      </w:r>
      <w:r>
        <w:rPr>
          <w:rStyle w:val="16"/>
        </w:rPr>
        <w:t>IV.</w:t>
      </w:r>
      <w:r>
        <w:rPr>
          <w:kern w:val="2"/>
          <w:sz w:val="21"/>
          <w:lang w:eastAsia="zh-CN"/>
        </w:rPr>
        <w:tab/>
      </w:r>
      <w:r>
        <w:rPr>
          <w:rStyle w:val="16"/>
          <w:rFonts w:hint="eastAsia" w:eastAsia="宋体"/>
          <w:lang w:eastAsia="zh-CN"/>
        </w:rPr>
        <w:t>关于</w:t>
      </w:r>
      <w:r>
        <w:rPr>
          <w:rStyle w:val="16"/>
          <w:rFonts w:eastAsia="宋体"/>
          <w:lang w:eastAsia="zh-CN"/>
        </w:rPr>
        <w:t>21 CFR 4.4</w:t>
      </w:r>
      <w:r>
        <w:rPr>
          <w:rStyle w:val="16"/>
          <w:rFonts w:hint="eastAsia" w:eastAsia="宋体"/>
          <w:lang w:eastAsia="zh-CN"/>
        </w:rPr>
        <w:t>（</w:t>
      </w:r>
      <w:r>
        <w:rPr>
          <w:rStyle w:val="16"/>
          <w:rFonts w:eastAsia="宋体"/>
          <w:lang w:eastAsia="zh-CN"/>
        </w:rPr>
        <w:t>b</w:t>
      </w:r>
      <w:r>
        <w:rPr>
          <w:rStyle w:val="16"/>
          <w:rFonts w:hint="eastAsia" w:eastAsia="宋体"/>
          <w:lang w:eastAsia="zh-CN"/>
        </w:rPr>
        <w:t>）中指定的</w:t>
      </w:r>
      <w:r>
        <w:rPr>
          <w:rStyle w:val="16"/>
          <w:rFonts w:eastAsia="宋体"/>
          <w:lang w:eastAsia="zh-CN"/>
        </w:rPr>
        <w:t>CGMP</w:t>
      </w:r>
      <w:r>
        <w:rPr>
          <w:rStyle w:val="16"/>
          <w:rFonts w:hint="eastAsia" w:eastAsia="宋体"/>
          <w:lang w:eastAsia="zh-CN"/>
        </w:rPr>
        <w:t>要求，我需要了解哪些内容？</w:t>
      </w:r>
      <w:r>
        <w:tab/>
      </w:r>
      <w:r>
        <w:fldChar w:fldCharType="begin"/>
      </w:r>
      <w:r>
        <w:instrText xml:space="preserve"> PAGEREF _Toc498640473 \h </w:instrText>
      </w:r>
      <w:r>
        <w:fldChar w:fldCharType="separate"/>
      </w:r>
      <w:r>
        <w:t>19</w:t>
      </w:r>
      <w:r>
        <w:fldChar w:fldCharType="end"/>
      </w:r>
      <w:r>
        <w:fldChar w:fldCharType="end"/>
      </w:r>
    </w:p>
    <w:p w14:paraId="67169379">
      <w:pPr>
        <w:pStyle w:val="12"/>
        <w:rPr>
          <w:kern w:val="2"/>
          <w:sz w:val="21"/>
          <w:lang w:eastAsia="zh-CN"/>
        </w:rPr>
      </w:pPr>
      <w:r>
        <w:fldChar w:fldCharType="begin"/>
      </w:r>
      <w:r>
        <w:instrText xml:space="preserve"> HYPERLINK \l "_Toc498640474" </w:instrText>
      </w:r>
      <w:r>
        <w:fldChar w:fldCharType="separate"/>
      </w:r>
      <w:r>
        <w:rPr>
          <w:rStyle w:val="16"/>
          <w:rFonts w:cs="Arial"/>
          <w:snapToGrid w:val="0"/>
          <w:spacing w:val="-1"/>
          <w:w w:val="99"/>
          <w:lang w:eastAsia="zh-CN"/>
        </w:rPr>
        <w:t>A.</w:t>
      </w:r>
      <w:r>
        <w:rPr>
          <w:kern w:val="2"/>
          <w:sz w:val="21"/>
          <w:lang w:eastAsia="zh-CN"/>
        </w:rPr>
        <w:tab/>
      </w:r>
      <w:r>
        <w:rPr>
          <w:rStyle w:val="16"/>
          <w:rFonts w:eastAsia="宋体" w:cs="Arial"/>
          <w:snapToGrid w:val="0"/>
          <w:lang w:eastAsia="zh-CN"/>
        </w:rPr>
        <w:t>21 CFR 4.4</w:t>
      </w:r>
      <w:r>
        <w:rPr>
          <w:rStyle w:val="16"/>
          <w:rFonts w:hint="eastAsia" w:eastAsia="宋体" w:cs="Arial"/>
          <w:snapToGrid w:val="0"/>
          <w:lang w:eastAsia="zh-CN"/>
        </w:rPr>
        <w:t>（</w:t>
      </w:r>
      <w:r>
        <w:rPr>
          <w:rStyle w:val="16"/>
          <w:rFonts w:eastAsia="宋体" w:cs="Arial"/>
          <w:snapToGrid w:val="0"/>
          <w:lang w:eastAsia="zh-CN"/>
        </w:rPr>
        <w:t>b</w:t>
      </w:r>
      <w:r>
        <w:rPr>
          <w:rStyle w:val="16"/>
          <w:rFonts w:hint="eastAsia" w:eastAsia="宋体" w:cs="Arial"/>
          <w:snapToGrid w:val="0"/>
          <w:lang w:eastAsia="zh-CN"/>
        </w:rPr>
        <w:t>）（</w:t>
      </w:r>
      <w:r>
        <w:rPr>
          <w:rStyle w:val="16"/>
          <w:rFonts w:eastAsia="宋体" w:cs="Arial"/>
          <w:snapToGrid w:val="0"/>
          <w:lang w:eastAsia="zh-CN"/>
        </w:rPr>
        <w:t>1</w:t>
      </w:r>
      <w:r>
        <w:rPr>
          <w:rStyle w:val="16"/>
          <w:rFonts w:hint="eastAsia" w:eastAsia="宋体" w:cs="Arial"/>
          <w:snapToGrid w:val="0"/>
          <w:lang w:eastAsia="zh-CN"/>
        </w:rPr>
        <w:t>）中指定的器械</w:t>
      </w:r>
      <w:r>
        <w:rPr>
          <w:rStyle w:val="16"/>
          <w:rFonts w:eastAsia="宋体" w:cs="Arial"/>
          <w:snapToGrid w:val="0"/>
          <w:lang w:eastAsia="zh-CN"/>
        </w:rPr>
        <w:t>QS</w:t>
      </w:r>
      <w:r>
        <w:rPr>
          <w:rStyle w:val="16"/>
          <w:rFonts w:hint="eastAsia" w:eastAsia="宋体" w:cs="Arial"/>
          <w:snapToGrid w:val="0"/>
          <w:lang w:eastAsia="zh-CN"/>
        </w:rPr>
        <w:t>规章的条款</w:t>
      </w:r>
      <w:r>
        <w:tab/>
      </w:r>
      <w:r>
        <w:fldChar w:fldCharType="begin"/>
      </w:r>
      <w:r>
        <w:instrText xml:space="preserve"> PAGEREF _Toc498640474 \h </w:instrText>
      </w:r>
      <w:r>
        <w:fldChar w:fldCharType="separate"/>
      </w:r>
      <w:r>
        <w:t>19</w:t>
      </w:r>
      <w:r>
        <w:fldChar w:fldCharType="end"/>
      </w:r>
      <w:r>
        <w:fldChar w:fldCharType="end"/>
      </w:r>
    </w:p>
    <w:p w14:paraId="46A64696">
      <w:pPr>
        <w:pStyle w:val="12"/>
        <w:rPr>
          <w:kern w:val="2"/>
          <w:sz w:val="21"/>
          <w:lang w:eastAsia="zh-CN"/>
        </w:rPr>
      </w:pPr>
      <w:r>
        <w:fldChar w:fldCharType="begin"/>
      </w:r>
      <w:r>
        <w:instrText xml:space="preserve"> HYPERLINK \l "_Toc498640475" </w:instrText>
      </w:r>
      <w:r>
        <w:fldChar w:fldCharType="separate"/>
      </w:r>
      <w:r>
        <w:rPr>
          <w:rStyle w:val="16"/>
          <w:rFonts w:cs="Arial"/>
          <w:snapToGrid w:val="0"/>
          <w:spacing w:val="-1"/>
          <w:w w:val="99"/>
          <w:lang w:eastAsia="zh-CN"/>
        </w:rPr>
        <w:t>B.</w:t>
      </w:r>
      <w:r>
        <w:rPr>
          <w:kern w:val="2"/>
          <w:sz w:val="21"/>
          <w:lang w:eastAsia="zh-CN"/>
        </w:rPr>
        <w:tab/>
      </w:r>
      <w:r>
        <w:rPr>
          <w:rStyle w:val="16"/>
          <w:rFonts w:eastAsia="宋体" w:cs="Arial"/>
          <w:snapToGrid w:val="0"/>
          <w:lang w:eastAsia="zh-CN"/>
        </w:rPr>
        <w:t>21 CFR 4.4</w:t>
      </w:r>
      <w:r>
        <w:rPr>
          <w:rStyle w:val="16"/>
          <w:rFonts w:hint="eastAsia" w:eastAsia="宋体" w:cs="Arial"/>
          <w:snapToGrid w:val="0"/>
          <w:lang w:eastAsia="zh-CN"/>
        </w:rPr>
        <w:t>（</w:t>
      </w:r>
      <w:r>
        <w:rPr>
          <w:rStyle w:val="16"/>
          <w:rFonts w:eastAsia="宋体" w:cs="Arial"/>
          <w:snapToGrid w:val="0"/>
          <w:lang w:eastAsia="zh-CN"/>
        </w:rPr>
        <w:t>b</w:t>
      </w:r>
      <w:r>
        <w:rPr>
          <w:rStyle w:val="16"/>
          <w:rFonts w:hint="eastAsia" w:eastAsia="宋体" w:cs="Arial"/>
          <w:snapToGrid w:val="0"/>
          <w:lang w:eastAsia="zh-CN"/>
        </w:rPr>
        <w:t>）（</w:t>
      </w:r>
      <w:r>
        <w:rPr>
          <w:rStyle w:val="16"/>
          <w:rFonts w:eastAsia="宋体" w:cs="Arial"/>
          <w:snapToGrid w:val="0"/>
          <w:lang w:eastAsia="zh-CN"/>
        </w:rPr>
        <w:t>2</w:t>
      </w:r>
      <w:r>
        <w:rPr>
          <w:rStyle w:val="16"/>
          <w:rFonts w:hint="eastAsia" w:eastAsia="宋体" w:cs="Arial"/>
          <w:snapToGrid w:val="0"/>
          <w:lang w:eastAsia="zh-CN"/>
        </w:rPr>
        <w:t>）中指定的药品</w:t>
      </w:r>
      <w:r>
        <w:rPr>
          <w:rStyle w:val="16"/>
          <w:rFonts w:eastAsia="宋体" w:cs="Arial"/>
          <w:snapToGrid w:val="0"/>
          <w:lang w:eastAsia="zh-CN"/>
        </w:rPr>
        <w:t>CGMPs</w:t>
      </w:r>
      <w:r>
        <w:rPr>
          <w:rStyle w:val="16"/>
          <w:rFonts w:hint="eastAsia" w:eastAsia="宋体" w:cs="Arial"/>
          <w:snapToGrid w:val="0"/>
          <w:lang w:eastAsia="zh-CN"/>
        </w:rPr>
        <w:t>的条款</w:t>
      </w:r>
      <w:r>
        <w:tab/>
      </w:r>
      <w:r>
        <w:fldChar w:fldCharType="begin"/>
      </w:r>
      <w:r>
        <w:instrText xml:space="preserve"> PAGEREF _Toc498640475 \h </w:instrText>
      </w:r>
      <w:r>
        <w:fldChar w:fldCharType="separate"/>
      </w:r>
      <w:r>
        <w:t>28</w:t>
      </w:r>
      <w:r>
        <w:fldChar w:fldCharType="end"/>
      </w:r>
      <w:r>
        <w:fldChar w:fldCharType="end"/>
      </w:r>
    </w:p>
    <w:p w14:paraId="13877D73">
      <w:pPr>
        <w:pStyle w:val="12"/>
        <w:rPr>
          <w:kern w:val="2"/>
          <w:sz w:val="21"/>
          <w:lang w:eastAsia="zh-CN"/>
        </w:rPr>
      </w:pPr>
      <w:r>
        <w:fldChar w:fldCharType="begin"/>
      </w:r>
      <w:r>
        <w:instrText xml:space="preserve"> HYPERLINK \l "_Toc498640476" </w:instrText>
      </w:r>
      <w:r>
        <w:fldChar w:fldCharType="separate"/>
      </w:r>
      <w:r>
        <w:rPr>
          <w:rStyle w:val="16"/>
          <w:rFonts w:cs="Arial"/>
          <w:snapToGrid w:val="0"/>
          <w:spacing w:val="-1"/>
          <w:w w:val="99"/>
          <w:lang w:eastAsia="zh-CN"/>
        </w:rPr>
        <w:t>C.</w:t>
      </w:r>
      <w:r>
        <w:rPr>
          <w:kern w:val="2"/>
          <w:sz w:val="21"/>
          <w:lang w:eastAsia="zh-CN"/>
        </w:rPr>
        <w:tab/>
      </w:r>
      <w:r>
        <w:rPr>
          <w:rStyle w:val="16"/>
          <w:rFonts w:hint="eastAsia" w:eastAsia="宋体" w:cs="Arial"/>
          <w:snapToGrid w:val="0"/>
          <w:lang w:eastAsia="zh-CN"/>
        </w:rPr>
        <w:t>包含生物制剂和</w:t>
      </w:r>
      <w:r>
        <w:rPr>
          <w:rStyle w:val="16"/>
          <w:rFonts w:eastAsia="宋体" w:cs="Arial"/>
          <w:snapToGrid w:val="0"/>
          <w:lang w:eastAsia="zh-CN"/>
        </w:rPr>
        <w:t>HCT/Ps</w:t>
      </w:r>
      <w:r>
        <w:rPr>
          <w:rStyle w:val="16"/>
          <w:rFonts w:hint="eastAsia" w:eastAsia="宋体" w:cs="Arial"/>
          <w:snapToGrid w:val="0"/>
          <w:lang w:eastAsia="zh-CN"/>
        </w:rPr>
        <w:t>的组合产品</w:t>
      </w:r>
      <w:r>
        <w:tab/>
      </w:r>
      <w:r>
        <w:fldChar w:fldCharType="begin"/>
      </w:r>
      <w:r>
        <w:instrText xml:space="preserve"> PAGEREF _Toc498640476 \h </w:instrText>
      </w:r>
      <w:r>
        <w:fldChar w:fldCharType="separate"/>
      </w:r>
      <w:r>
        <w:t>38</w:t>
      </w:r>
      <w:r>
        <w:fldChar w:fldCharType="end"/>
      </w:r>
      <w:r>
        <w:fldChar w:fldCharType="end"/>
      </w:r>
    </w:p>
    <w:p w14:paraId="57FF08EC">
      <w:pPr>
        <w:pStyle w:val="10"/>
        <w:rPr>
          <w:kern w:val="2"/>
          <w:sz w:val="21"/>
          <w:lang w:eastAsia="zh-CN"/>
        </w:rPr>
      </w:pPr>
      <w:r>
        <w:fldChar w:fldCharType="begin"/>
      </w:r>
      <w:r>
        <w:instrText xml:space="preserve"> HYPERLINK \l "_Toc498640477" </w:instrText>
      </w:r>
      <w:r>
        <w:fldChar w:fldCharType="separate"/>
      </w:r>
      <w:r>
        <w:rPr>
          <w:rStyle w:val="16"/>
          <w:lang w:eastAsia="zh-CN"/>
        </w:rPr>
        <w:t>V.</w:t>
      </w:r>
      <w:r>
        <w:rPr>
          <w:kern w:val="2"/>
          <w:sz w:val="21"/>
          <w:lang w:eastAsia="zh-CN"/>
        </w:rPr>
        <w:tab/>
      </w:r>
      <w:r>
        <w:rPr>
          <w:rStyle w:val="16"/>
          <w:rFonts w:eastAsia="宋体"/>
          <w:lang w:eastAsia="zh-CN"/>
        </w:rPr>
        <w:t>CGMP</w:t>
      </w:r>
      <w:r>
        <w:rPr>
          <w:rStyle w:val="16"/>
          <w:rFonts w:hint="eastAsia" w:eastAsia="宋体"/>
          <w:lang w:eastAsia="zh-CN"/>
        </w:rPr>
        <w:t>要求对具体类型组合产品的应用</w:t>
      </w:r>
      <w:r>
        <w:tab/>
      </w:r>
      <w:r>
        <w:fldChar w:fldCharType="begin"/>
      </w:r>
      <w:r>
        <w:instrText xml:space="preserve"> PAGEREF _Toc498640477 \h </w:instrText>
      </w:r>
      <w:r>
        <w:fldChar w:fldCharType="separate"/>
      </w:r>
      <w:r>
        <w:t>40</w:t>
      </w:r>
      <w:r>
        <w:fldChar w:fldCharType="end"/>
      </w:r>
      <w:r>
        <w:fldChar w:fldCharType="end"/>
      </w:r>
    </w:p>
    <w:p w14:paraId="1E1235B1">
      <w:pPr>
        <w:pStyle w:val="12"/>
        <w:rPr>
          <w:kern w:val="2"/>
          <w:sz w:val="21"/>
          <w:lang w:eastAsia="zh-CN"/>
        </w:rPr>
      </w:pPr>
      <w:r>
        <w:fldChar w:fldCharType="begin"/>
      </w:r>
      <w:r>
        <w:instrText xml:space="preserve"> HYPERLINK \l "_Toc498640478" </w:instrText>
      </w:r>
      <w:r>
        <w:fldChar w:fldCharType="separate"/>
      </w:r>
      <w:r>
        <w:rPr>
          <w:rStyle w:val="16"/>
          <w:rFonts w:cs="Arial"/>
          <w:snapToGrid w:val="0"/>
          <w:spacing w:val="-1"/>
          <w:w w:val="99"/>
        </w:rPr>
        <w:t>A.</w:t>
      </w:r>
      <w:r>
        <w:rPr>
          <w:kern w:val="2"/>
          <w:sz w:val="21"/>
          <w:lang w:eastAsia="zh-CN"/>
        </w:rPr>
        <w:tab/>
      </w:r>
      <w:r>
        <w:rPr>
          <w:rStyle w:val="16"/>
          <w:rFonts w:hint="eastAsia" w:eastAsia="宋体" w:cs="Arial"/>
          <w:snapToGrid w:val="0"/>
          <w:lang w:eastAsia="zh-CN"/>
        </w:rPr>
        <w:t>载药注射器</w:t>
      </w:r>
      <w:r>
        <w:tab/>
      </w:r>
      <w:r>
        <w:fldChar w:fldCharType="begin"/>
      </w:r>
      <w:r>
        <w:instrText xml:space="preserve"> PAGEREF _Toc498640478 \h </w:instrText>
      </w:r>
      <w:r>
        <w:fldChar w:fldCharType="separate"/>
      </w:r>
      <w:r>
        <w:t>41</w:t>
      </w:r>
      <w:r>
        <w:fldChar w:fldCharType="end"/>
      </w:r>
      <w:r>
        <w:fldChar w:fldCharType="end"/>
      </w:r>
    </w:p>
    <w:p w14:paraId="26B29158">
      <w:pPr>
        <w:pStyle w:val="12"/>
        <w:rPr>
          <w:kern w:val="2"/>
          <w:sz w:val="21"/>
          <w:lang w:eastAsia="zh-CN"/>
        </w:rPr>
      </w:pPr>
      <w:r>
        <w:fldChar w:fldCharType="begin"/>
      </w:r>
      <w:r>
        <w:instrText xml:space="preserve"> HYPERLINK \l "_Toc498640479" </w:instrText>
      </w:r>
      <w:r>
        <w:fldChar w:fldCharType="separate"/>
      </w:r>
      <w:r>
        <w:rPr>
          <w:rStyle w:val="16"/>
          <w:rFonts w:cs="Arial"/>
          <w:snapToGrid w:val="0"/>
          <w:spacing w:val="-1"/>
          <w:w w:val="99"/>
        </w:rPr>
        <w:t>B.</w:t>
      </w:r>
      <w:r>
        <w:rPr>
          <w:kern w:val="2"/>
          <w:sz w:val="21"/>
          <w:lang w:eastAsia="zh-CN"/>
        </w:rPr>
        <w:tab/>
      </w:r>
      <w:r>
        <w:rPr>
          <w:rStyle w:val="16"/>
          <w:rFonts w:hint="eastAsia" w:eastAsia="宋体" w:cs="Arial"/>
          <w:snapToGrid w:val="0"/>
          <w:lang w:eastAsia="zh-CN"/>
        </w:rPr>
        <w:t>药物涂层网状织物</w:t>
      </w:r>
      <w:r>
        <w:tab/>
      </w:r>
      <w:r>
        <w:fldChar w:fldCharType="begin"/>
      </w:r>
      <w:r>
        <w:instrText xml:space="preserve"> PAGEREF _Toc498640479 \h </w:instrText>
      </w:r>
      <w:r>
        <w:fldChar w:fldCharType="separate"/>
      </w:r>
      <w:r>
        <w:t>46</w:t>
      </w:r>
      <w:r>
        <w:fldChar w:fldCharType="end"/>
      </w:r>
      <w:r>
        <w:fldChar w:fldCharType="end"/>
      </w:r>
    </w:p>
    <w:p w14:paraId="7EB22653">
      <w:pPr>
        <w:pStyle w:val="12"/>
        <w:rPr>
          <w:kern w:val="2"/>
          <w:sz w:val="21"/>
          <w:lang w:eastAsia="zh-CN"/>
        </w:rPr>
      </w:pPr>
      <w:r>
        <w:fldChar w:fldCharType="begin"/>
      </w:r>
      <w:r>
        <w:instrText xml:space="preserve"> HYPERLINK \l "_Toc498640480" </w:instrText>
      </w:r>
      <w:r>
        <w:fldChar w:fldCharType="separate"/>
      </w:r>
      <w:r>
        <w:rPr>
          <w:rStyle w:val="16"/>
          <w:rFonts w:cs="Arial"/>
          <w:snapToGrid w:val="0"/>
          <w:spacing w:val="-1"/>
          <w:w w:val="99"/>
          <w:lang w:eastAsia="zh-CN"/>
        </w:rPr>
        <w:t>C.</w:t>
      </w:r>
      <w:r>
        <w:rPr>
          <w:kern w:val="2"/>
          <w:sz w:val="21"/>
          <w:lang w:eastAsia="zh-CN"/>
        </w:rPr>
        <w:tab/>
      </w:r>
      <w:r>
        <w:rPr>
          <w:rStyle w:val="16"/>
          <w:rFonts w:hint="eastAsia" w:eastAsia="宋体" w:cs="Arial"/>
          <w:snapToGrid w:val="0"/>
          <w:lang w:eastAsia="zh-CN"/>
        </w:rPr>
        <w:t>药物洗脱支架（</w:t>
      </w:r>
      <w:r>
        <w:rPr>
          <w:rStyle w:val="16"/>
          <w:rFonts w:eastAsia="宋体" w:cs="Arial"/>
          <w:snapToGrid w:val="0"/>
          <w:lang w:eastAsia="zh-CN"/>
        </w:rPr>
        <w:t>DES</w:t>
      </w:r>
      <w:r>
        <w:rPr>
          <w:rStyle w:val="16"/>
          <w:rFonts w:hint="eastAsia" w:eastAsia="宋体" w:cs="Arial"/>
          <w:snapToGrid w:val="0"/>
          <w:lang w:eastAsia="zh-CN"/>
        </w:rPr>
        <w:t>）</w:t>
      </w:r>
      <w:r>
        <w:tab/>
      </w:r>
      <w:r>
        <w:fldChar w:fldCharType="begin"/>
      </w:r>
      <w:r>
        <w:instrText xml:space="preserve"> PAGEREF _Toc498640480 \h </w:instrText>
      </w:r>
      <w:r>
        <w:fldChar w:fldCharType="separate"/>
      </w:r>
      <w:r>
        <w:t>49</w:t>
      </w:r>
      <w:r>
        <w:fldChar w:fldCharType="end"/>
      </w:r>
      <w:r>
        <w:fldChar w:fldCharType="end"/>
      </w:r>
    </w:p>
    <w:p w14:paraId="7F732459">
      <w:pPr>
        <w:pStyle w:val="10"/>
        <w:rPr>
          <w:kern w:val="2"/>
          <w:sz w:val="21"/>
          <w:lang w:eastAsia="zh-CN"/>
        </w:rPr>
      </w:pPr>
      <w:r>
        <w:fldChar w:fldCharType="begin"/>
      </w:r>
      <w:r>
        <w:instrText xml:space="preserve"> HYPERLINK \l "_Toc498640481" </w:instrText>
      </w:r>
      <w:r>
        <w:fldChar w:fldCharType="separate"/>
      </w:r>
      <w:r>
        <w:rPr>
          <w:rStyle w:val="16"/>
        </w:rPr>
        <w:t>VI.</w:t>
      </w:r>
      <w:r>
        <w:rPr>
          <w:kern w:val="2"/>
          <w:sz w:val="21"/>
          <w:lang w:eastAsia="zh-CN"/>
        </w:rPr>
        <w:tab/>
      </w:r>
      <w:r>
        <w:rPr>
          <w:rStyle w:val="16"/>
          <w:rFonts w:hint="eastAsia" w:eastAsia="宋体"/>
          <w:lang w:eastAsia="zh-CN"/>
        </w:rPr>
        <w:t>联系我们</w:t>
      </w:r>
      <w:r>
        <w:tab/>
      </w:r>
      <w:r>
        <w:fldChar w:fldCharType="begin"/>
      </w:r>
      <w:r>
        <w:instrText xml:space="preserve"> PAGEREF _Toc498640481 \h </w:instrText>
      </w:r>
      <w:r>
        <w:fldChar w:fldCharType="separate"/>
      </w:r>
      <w:r>
        <w:t>53</w:t>
      </w:r>
      <w:r>
        <w:fldChar w:fldCharType="end"/>
      </w:r>
      <w:r>
        <w:fldChar w:fldCharType="end"/>
      </w:r>
    </w:p>
    <w:p w14:paraId="2762DB1B">
      <w:pPr>
        <w:pStyle w:val="10"/>
        <w:rPr>
          <w:kern w:val="2"/>
          <w:sz w:val="21"/>
          <w:lang w:eastAsia="zh-CN"/>
        </w:rPr>
      </w:pPr>
      <w:r>
        <w:fldChar w:fldCharType="begin"/>
      </w:r>
      <w:r>
        <w:instrText xml:space="preserve"> HYPERLINK \l "_Toc498640482" </w:instrText>
      </w:r>
      <w:r>
        <w:fldChar w:fldCharType="separate"/>
      </w:r>
      <w:r>
        <w:rPr>
          <w:rStyle w:val="16"/>
        </w:rPr>
        <w:t>VII.</w:t>
      </w:r>
      <w:r>
        <w:rPr>
          <w:kern w:val="2"/>
          <w:sz w:val="21"/>
          <w:lang w:eastAsia="zh-CN"/>
        </w:rPr>
        <w:tab/>
      </w:r>
      <w:r>
        <w:rPr>
          <w:rStyle w:val="16"/>
          <w:rFonts w:hint="eastAsia" w:eastAsia="宋体"/>
          <w:lang w:eastAsia="zh-CN"/>
        </w:rPr>
        <w:t>术语表</w:t>
      </w:r>
      <w:r>
        <w:tab/>
      </w:r>
      <w:r>
        <w:fldChar w:fldCharType="begin"/>
      </w:r>
      <w:r>
        <w:instrText xml:space="preserve"> PAGEREF _Toc498640482 \h </w:instrText>
      </w:r>
      <w:r>
        <w:fldChar w:fldCharType="separate"/>
      </w:r>
      <w:r>
        <w:t>54</w:t>
      </w:r>
      <w:r>
        <w:fldChar w:fldCharType="end"/>
      </w:r>
      <w:r>
        <w:fldChar w:fldCharType="end"/>
      </w:r>
    </w:p>
    <w:p w14:paraId="2FBA35E1">
      <w:pPr>
        <w:pStyle w:val="10"/>
        <w:rPr>
          <w:kern w:val="2"/>
          <w:sz w:val="21"/>
          <w:lang w:eastAsia="zh-CN"/>
        </w:rPr>
      </w:pPr>
      <w:r>
        <w:fldChar w:fldCharType="begin"/>
      </w:r>
      <w:r>
        <w:instrText xml:space="preserve"> HYPERLINK \l "_Toc498640483" </w:instrText>
      </w:r>
      <w:r>
        <w:fldChar w:fldCharType="separate"/>
      </w:r>
      <w:r>
        <w:rPr>
          <w:rStyle w:val="16"/>
          <w:lang w:eastAsia="zh-CN"/>
        </w:rPr>
        <w:t>VIII.</w:t>
      </w:r>
      <w:r>
        <w:rPr>
          <w:kern w:val="2"/>
          <w:sz w:val="21"/>
          <w:lang w:eastAsia="zh-CN"/>
        </w:rPr>
        <w:tab/>
      </w:r>
      <w:r>
        <w:rPr>
          <w:rStyle w:val="16"/>
          <w:rFonts w:hint="eastAsia" w:eastAsia="宋体"/>
          <w:lang w:eastAsia="zh-CN"/>
        </w:rPr>
        <w:t>参考文献</w:t>
      </w:r>
      <w:r>
        <w:tab/>
      </w:r>
      <w:r>
        <w:fldChar w:fldCharType="begin"/>
      </w:r>
      <w:r>
        <w:instrText xml:space="preserve"> PAGEREF _Toc498640483 \h </w:instrText>
      </w:r>
      <w:r>
        <w:fldChar w:fldCharType="separate"/>
      </w:r>
      <w:r>
        <w:t>56</w:t>
      </w:r>
      <w:r>
        <w:fldChar w:fldCharType="end"/>
      </w:r>
      <w:r>
        <w:fldChar w:fldCharType="end"/>
      </w:r>
    </w:p>
    <w:p w14:paraId="68BF6A59">
      <w:pPr>
        <w:topLinePunct/>
        <w:adjustRightInd w:val="0"/>
        <w:snapToGrid w:val="0"/>
        <w:spacing w:after="224" w:afterLines="75"/>
        <w:jc w:val="both"/>
        <w:rPr>
          <w:rFonts w:ascii="Arial" w:hAnsi="Arial" w:eastAsia="宋体" w:cs="Arial"/>
          <w:snapToGrid w:val="0"/>
          <w:sz w:val="24"/>
          <w:lang w:eastAsia="zh-CN"/>
        </w:rPr>
      </w:pPr>
      <w:r>
        <w:rPr>
          <w:rFonts w:ascii="Arial" w:hAnsi="Arial" w:eastAsia="宋体" w:cs="Arial"/>
          <w:snapToGrid w:val="0"/>
          <w:sz w:val="24"/>
          <w:lang w:eastAsia="zh-CN"/>
        </w:rPr>
        <w:fldChar w:fldCharType="end"/>
      </w:r>
    </w:p>
    <w:p w14:paraId="00D46B53">
      <w:pPr>
        <w:topLinePunct/>
        <w:adjustRightInd w:val="0"/>
        <w:snapToGrid w:val="0"/>
        <w:spacing w:after="224" w:afterLines="75"/>
        <w:jc w:val="both"/>
        <w:rPr>
          <w:rFonts w:ascii="Arial" w:hAnsi="Arial" w:eastAsia="宋体" w:cs="Arial"/>
          <w:snapToGrid w:val="0"/>
          <w:sz w:val="24"/>
          <w:lang w:eastAsia="zh-CN"/>
        </w:rPr>
      </w:pPr>
    </w:p>
    <w:p w14:paraId="3B91803C">
      <w:pPr>
        <w:topLinePunct/>
        <w:adjustRightInd w:val="0"/>
        <w:snapToGrid w:val="0"/>
        <w:spacing w:after="224" w:afterLines="75"/>
        <w:jc w:val="both"/>
        <w:rPr>
          <w:rFonts w:ascii="Arial" w:hAnsi="Arial" w:eastAsia="宋体" w:cs="Arial"/>
          <w:snapToGrid w:val="0"/>
          <w:sz w:val="24"/>
          <w:lang w:eastAsia="zh-CN"/>
        </w:rPr>
        <w:sectPr>
          <w:footerReference r:id="rId4" w:type="default"/>
          <w:pgSz w:w="11906" w:h="16838"/>
          <w:pgMar w:top="1134" w:right="1440" w:bottom="1134" w:left="1440" w:header="720" w:footer="720" w:gutter="0"/>
          <w:cols w:space="720" w:num="1"/>
          <w:docGrid w:type="lines" w:linePitch="299" w:charSpace="0"/>
        </w:sectPr>
      </w:pPr>
    </w:p>
    <w:p w14:paraId="143B39CE">
      <w:pPr>
        <w:topLinePunct/>
        <w:adjustRightInd w:val="0"/>
        <w:snapToGrid w:val="0"/>
        <w:spacing w:after="224" w:afterLines="75"/>
        <w:jc w:val="center"/>
        <w:rPr>
          <w:rFonts w:ascii="Arial" w:hAnsi="Arial" w:eastAsia="宋体" w:cs="Arial"/>
          <w:snapToGrid w:val="0"/>
          <w:sz w:val="28"/>
          <w:szCs w:val="30"/>
          <w:lang w:eastAsia="zh-CN"/>
        </w:rPr>
      </w:pPr>
      <w:r>
        <w:rPr>
          <w:rFonts w:hint="eastAsia" w:ascii="Arial" w:hAnsi="Arial" w:eastAsia="宋体" w:cs="Arial"/>
          <w:b/>
          <w:snapToGrid w:val="0"/>
          <w:sz w:val="28"/>
          <w:lang w:eastAsia="zh-CN"/>
        </w:rPr>
        <w:t>行业及</w:t>
      </w:r>
      <w:r>
        <w:rPr>
          <w:rFonts w:ascii="Arial" w:hAnsi="Arial" w:eastAsia="宋体" w:cs="Arial"/>
          <w:b/>
          <w:snapToGrid w:val="0"/>
          <w:sz w:val="28"/>
          <w:lang w:eastAsia="zh-CN"/>
        </w:rPr>
        <w:t>FDA</w:t>
      </w:r>
      <w:r>
        <w:rPr>
          <w:rFonts w:hint="eastAsia" w:ascii="Arial" w:hAnsi="Arial" w:eastAsia="宋体" w:cs="Arial"/>
          <w:b/>
          <w:snapToGrid w:val="0"/>
          <w:sz w:val="28"/>
          <w:lang w:eastAsia="zh-CN"/>
        </w:rPr>
        <w:t>工作人员指南：</w:t>
      </w:r>
    </w:p>
    <w:p w14:paraId="553FA6EC">
      <w:pPr>
        <w:topLinePunct/>
        <w:adjustRightInd w:val="0"/>
        <w:snapToGrid w:val="0"/>
        <w:spacing w:after="224" w:afterLines="75" w:line="288" w:lineRule="auto"/>
        <w:jc w:val="center"/>
        <w:rPr>
          <w:rFonts w:ascii="Arial" w:hAnsi="Arial" w:eastAsia="宋体" w:cs="Arial"/>
          <w:snapToGrid w:val="0"/>
          <w:sz w:val="24"/>
          <w:szCs w:val="20"/>
          <w:lang w:eastAsia="zh-CN"/>
        </w:rPr>
      </w:pPr>
      <w:r>
        <w:rPr>
          <w:rFonts w:hint="eastAsia" w:ascii="Arial" w:hAnsi="Arial" w:eastAsia="宋体" w:cs="Arial"/>
          <w:b/>
          <w:snapToGrid w:val="0"/>
          <w:sz w:val="28"/>
          <w:lang w:eastAsia="zh-CN"/>
        </w:rPr>
        <w:t>组合产品的现行良好生产规范要求</w:t>
      </w:r>
      <w:r>
        <w:rPr>
          <w:rStyle w:val="17"/>
          <w:rFonts w:ascii="Arial" w:hAnsi="Arial" w:eastAsia="宋体" w:cs="Arial"/>
          <w:b/>
          <w:snapToGrid w:val="0"/>
          <w:sz w:val="28"/>
          <w:lang w:eastAsia="zh-CN"/>
        </w:rPr>
        <w:footnoteReference w:id="0"/>
      </w:r>
    </w:p>
    <w:p w14:paraId="0D6023FE">
      <w:pPr>
        <w:pBdr>
          <w:top w:val="thinThickSmallGap" w:color="auto" w:sz="24" w:space="1"/>
          <w:left w:val="thinThickSmallGap" w:color="auto" w:sz="24" w:space="4"/>
          <w:bottom w:val="thickThinSmallGap" w:color="auto" w:sz="24" w:space="1"/>
          <w:right w:val="thickThinSmallGap" w:color="auto" w:sz="24" w:space="4"/>
        </w:pBdr>
        <w:topLinePunct/>
        <w:adjustRightInd w:val="0"/>
        <w:snapToGrid w:val="0"/>
        <w:spacing w:after="224" w:afterLines="75" w:line="288" w:lineRule="auto"/>
        <w:jc w:val="both"/>
        <w:rPr>
          <w:rFonts w:ascii="Arial" w:hAnsi="Arial" w:eastAsia="宋体" w:cs="Arial"/>
          <w:snapToGrid w:val="0"/>
          <w:sz w:val="24"/>
          <w:szCs w:val="20"/>
          <w:lang w:eastAsia="zh-CN"/>
        </w:rPr>
      </w:pPr>
      <w:r>
        <w:rPr>
          <w:rFonts w:hint="eastAsia" w:ascii="Arial" w:hAnsi="Arial" w:eastAsia="宋体" w:cs="Arial"/>
          <w:snapToGrid w:val="0"/>
          <w:sz w:val="24"/>
          <w:szCs w:val="20"/>
          <w:lang w:eastAsia="zh-CN"/>
        </w:rPr>
        <w:t>本指南代表食品药品监督管理局（简称FDA或机构）目前关于该主题的思考。其不确立任何人创造或赋予权利，也不会对FDA或公众产生约束。如果替代方法满足适用的法律法规的要求，则可以使用该方法。如果您想讨论另一种方法，请联系本指南标题页列出的负责本指南的FDA办公室。</w:t>
      </w:r>
    </w:p>
    <w:p w14:paraId="07A263C7">
      <w:pPr>
        <w:topLinePunct/>
        <w:adjustRightInd w:val="0"/>
        <w:snapToGrid w:val="0"/>
        <w:spacing w:after="224" w:afterLines="75" w:line="288" w:lineRule="auto"/>
        <w:jc w:val="both"/>
        <w:rPr>
          <w:rFonts w:ascii="Arial" w:hAnsi="Arial" w:eastAsia="宋体" w:cs="Arial"/>
          <w:snapToGrid w:val="0"/>
          <w:sz w:val="24"/>
          <w:szCs w:val="20"/>
          <w:lang w:eastAsia="zh-CN"/>
        </w:rPr>
      </w:pPr>
    </w:p>
    <w:p w14:paraId="35C8A45F">
      <w:pPr>
        <w:pStyle w:val="21"/>
        <w:numPr>
          <w:ilvl w:val="0"/>
          <w:numId w:val="1"/>
        </w:numPr>
        <w:tabs>
          <w:tab w:val="left" w:pos="1060"/>
        </w:tabs>
        <w:topLinePunct/>
        <w:adjustRightInd w:val="0"/>
        <w:snapToGrid w:val="0"/>
        <w:spacing w:after="224" w:afterLines="75" w:line="288" w:lineRule="auto"/>
        <w:ind w:left="0" w:firstLine="0"/>
        <w:jc w:val="both"/>
        <w:outlineLvl w:val="9"/>
        <w:rPr>
          <w:rFonts w:ascii="Arial" w:hAnsi="Arial" w:eastAsia="宋体" w:cs="Arial"/>
          <w:b w:val="0"/>
          <w:bCs w:val="0"/>
          <w:snapToGrid w:val="0"/>
          <w:sz w:val="28"/>
        </w:rPr>
      </w:pPr>
      <w:bookmarkStart w:id="8" w:name="I._Introduction"/>
      <w:bookmarkEnd w:id="8"/>
      <w:bookmarkStart w:id="9" w:name="_bookmark0"/>
      <w:bookmarkEnd w:id="9"/>
      <w:bookmarkStart w:id="10" w:name="_Toc498640461"/>
      <w:r>
        <w:rPr>
          <w:rFonts w:hint="eastAsia" w:ascii="Arial" w:hAnsi="Arial" w:eastAsia="宋体" w:cs="Arial"/>
          <w:snapToGrid w:val="0"/>
          <w:sz w:val="28"/>
          <w:lang w:eastAsia="zh-CN"/>
        </w:rPr>
        <w:t>引言</w:t>
      </w:r>
      <w:bookmarkEnd w:id="10"/>
    </w:p>
    <w:p w14:paraId="0ECDC09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本指南描述并解释FDA于2013年1月22日发布的组合产品现行良好生产规范</w:t>
      </w:r>
      <w:r>
        <w:rPr>
          <w:rFonts w:ascii="Arial" w:hAnsi="Arial" w:eastAsia="宋体" w:cs="Arial"/>
          <w:snapToGrid w:val="0"/>
          <w:lang w:eastAsia="zh-CN"/>
        </w:rPr>
        <w:t>（CGMP）</w:t>
      </w:r>
      <w:r>
        <w:rPr>
          <w:rFonts w:hint="eastAsia" w:ascii="Arial" w:hAnsi="Arial" w:eastAsia="宋体" w:cs="Arial"/>
          <w:snapToGrid w:val="0"/>
          <w:lang w:eastAsia="zh-CN"/>
        </w:rPr>
        <w:t>中要求的最终规则（简称最终规则）</w:t>
      </w:r>
      <w:r>
        <w:rPr>
          <w:rStyle w:val="17"/>
          <w:rFonts w:ascii="Arial" w:hAnsi="Arial" w:eastAsia="宋体" w:cs="Arial"/>
          <w:snapToGrid w:val="0"/>
          <w:lang w:eastAsia="zh-CN"/>
        </w:rPr>
        <w:footnoteReference w:id="1"/>
      </w:r>
      <w:r>
        <w:rPr>
          <w:rFonts w:hint="eastAsia" w:ascii="Arial" w:hAnsi="Arial" w:eastAsia="宋体" w:cs="Arial"/>
          <w:snapToGrid w:val="0"/>
          <w:lang w:eastAsia="zh-CN"/>
        </w:rPr>
        <w:t>。</w:t>
      </w:r>
      <w:r>
        <w:rPr>
          <w:rFonts w:ascii="Arial" w:hAnsi="Arial" w:eastAsia="宋体" w:cs="Arial"/>
          <w:snapToGrid w:val="0"/>
          <w:lang w:eastAsia="zh-CN"/>
        </w:rPr>
        <w:t>（</w:t>
      </w:r>
      <w:r>
        <w:rPr>
          <w:rFonts w:hint="eastAsia" w:ascii="Arial" w:hAnsi="Arial" w:eastAsia="宋体" w:cs="Arial"/>
          <w:snapToGrid w:val="0"/>
          <w:lang w:eastAsia="zh-CN"/>
        </w:rPr>
        <w:t>美国联邦法规</w:t>
      </w:r>
      <w:r>
        <w:rPr>
          <w:rFonts w:ascii="Arial" w:hAnsi="Arial" w:eastAsia="宋体" w:cs="Arial"/>
          <w:snapToGrid w:val="0"/>
          <w:lang w:eastAsia="zh-CN"/>
        </w:rPr>
        <w:t>（CFR）21</w:t>
      </w:r>
      <w:r>
        <w:rPr>
          <w:rFonts w:hint="eastAsia" w:ascii="Arial" w:hAnsi="Arial" w:eastAsia="宋体" w:cs="Arial"/>
          <w:snapToGrid w:val="0"/>
          <w:lang w:eastAsia="zh-CN"/>
        </w:rPr>
        <w:t>章第</w:t>
      </w:r>
      <w:r>
        <w:rPr>
          <w:rFonts w:ascii="Arial" w:hAnsi="Arial" w:eastAsia="宋体" w:cs="Arial"/>
          <w:snapToGrid w:val="0"/>
          <w:lang w:eastAsia="zh-CN"/>
        </w:rPr>
        <w:t>4</w:t>
      </w:r>
      <w:r>
        <w:rPr>
          <w:rFonts w:hint="eastAsia" w:ascii="Arial" w:hAnsi="Arial" w:eastAsia="宋体" w:cs="Arial"/>
          <w:snapToGrid w:val="0"/>
          <w:lang w:eastAsia="zh-CN"/>
        </w:rPr>
        <w:t>部分</w:t>
      </w:r>
      <w:r>
        <w:rPr>
          <w:rFonts w:ascii="Arial" w:hAnsi="Arial" w:eastAsia="宋体" w:cs="Arial"/>
          <w:snapToGrid w:val="0"/>
          <w:lang w:eastAsia="zh-CN"/>
        </w:rPr>
        <w:t>）</w:t>
      </w:r>
      <w:r>
        <w:rPr>
          <w:rFonts w:hint="eastAsia" w:ascii="Arial" w:hAnsi="Arial" w:eastAsia="宋体" w:cs="Arial"/>
          <w:snapToGrid w:val="0"/>
          <w:lang w:eastAsia="zh-CN"/>
        </w:rPr>
        <w:t>。本最终规则发布前，尽管已经存在对药品、器械、生物制剂和人类细胞、组织及基于细胞和组织的产品</w:t>
      </w:r>
      <w:r>
        <w:rPr>
          <w:rFonts w:ascii="Arial" w:hAnsi="Arial" w:eastAsia="宋体" w:cs="Arial"/>
          <w:snapToGrid w:val="0"/>
          <w:lang w:eastAsia="zh-CN"/>
        </w:rPr>
        <w:t>（HCT/Ps）</w:t>
      </w:r>
      <w:r>
        <w:rPr>
          <w:rFonts w:hint="eastAsia" w:ascii="Arial" w:hAnsi="Arial" w:eastAsia="宋体" w:cs="Arial"/>
          <w:snapToGrid w:val="0"/>
          <w:lang w:eastAsia="zh-CN"/>
        </w:rPr>
        <w:t>进行规定的</w:t>
      </w:r>
      <w:r>
        <w:rPr>
          <w:rFonts w:ascii="Arial" w:hAnsi="Arial" w:eastAsia="宋体" w:cs="Arial"/>
          <w:snapToGrid w:val="0"/>
          <w:lang w:eastAsia="zh-CN"/>
        </w:rPr>
        <w:t>CGMP</w:t>
      </w:r>
      <w:r>
        <w:rPr>
          <w:rFonts w:hint="eastAsia" w:ascii="Arial" w:hAnsi="Arial" w:eastAsia="宋体" w:cs="Arial"/>
          <w:snapToGrid w:val="0"/>
          <w:lang w:eastAsia="zh-CN"/>
        </w:rPr>
        <w:t>条例，却没有条例阐明和解释这些</w:t>
      </w:r>
      <w:r>
        <w:rPr>
          <w:rFonts w:ascii="Arial" w:hAnsi="Arial" w:eastAsia="宋体" w:cs="Arial"/>
          <w:snapToGrid w:val="0"/>
          <w:lang w:eastAsia="zh-CN"/>
        </w:rPr>
        <w:t>CGMP</w:t>
      </w:r>
      <w:r>
        <w:rPr>
          <w:rFonts w:hint="eastAsia" w:ascii="Arial" w:hAnsi="Arial" w:eastAsia="宋体" w:cs="Arial"/>
          <w:snapToGrid w:val="0"/>
          <w:lang w:eastAsia="zh-CN"/>
        </w:rPr>
        <w:t>对组合产品要求的应用。最终规则未确立任何新要求；目的是阐明药品、器械和生物制剂组合成组合产品时适用的</w:t>
      </w:r>
      <w:r>
        <w:rPr>
          <w:rFonts w:ascii="Arial" w:hAnsi="Arial" w:eastAsia="宋体" w:cs="Arial"/>
          <w:snapToGrid w:val="0"/>
          <w:lang w:eastAsia="zh-CN"/>
        </w:rPr>
        <w:t>CGMP</w:t>
      </w:r>
      <w:r>
        <w:rPr>
          <w:rFonts w:hint="eastAsia" w:ascii="Arial" w:hAnsi="Arial" w:eastAsia="宋体" w:cs="Arial"/>
          <w:snapToGrid w:val="0"/>
          <w:lang w:eastAsia="zh-CN"/>
        </w:rPr>
        <w:t>要求，并提出透明、简化的规管架构供公司在证明符合适用的</w:t>
      </w:r>
      <w:r>
        <w:rPr>
          <w:rFonts w:ascii="Arial" w:hAnsi="Arial" w:eastAsia="宋体" w:cs="Arial"/>
          <w:snapToGrid w:val="0"/>
          <w:lang w:eastAsia="zh-CN"/>
        </w:rPr>
        <w:t>CGMP</w:t>
      </w:r>
      <w:r>
        <w:rPr>
          <w:rFonts w:hint="eastAsia" w:ascii="Arial" w:hAnsi="Arial" w:eastAsia="宋体" w:cs="Arial"/>
          <w:snapToGrid w:val="0"/>
          <w:lang w:eastAsia="zh-CN"/>
        </w:rPr>
        <w:t>要求时使用。</w:t>
      </w:r>
      <w:r>
        <w:rPr>
          <w:rStyle w:val="17"/>
          <w:rFonts w:ascii="Arial" w:hAnsi="Arial" w:eastAsia="宋体" w:cs="Arial"/>
          <w:snapToGrid w:val="0"/>
          <w:lang w:eastAsia="zh-CN"/>
        </w:rPr>
        <w:footnoteReference w:id="2"/>
      </w:r>
      <w:r>
        <w:rPr>
          <w:rFonts w:hint="eastAsia" w:ascii="Arial" w:hAnsi="Arial" w:eastAsia="宋体" w:cs="Arial"/>
          <w:snapToGrid w:val="0"/>
          <w:vertAlign w:val="superscript"/>
          <w:lang w:eastAsia="zh-CN"/>
        </w:rPr>
        <w:t xml:space="preserve"> </w:t>
      </w:r>
    </w:p>
    <w:p w14:paraId="34ECB30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本文件的第</w:t>
      </w:r>
      <w:r>
        <w:rPr>
          <w:rFonts w:ascii="Arial" w:hAnsi="Arial" w:eastAsia="宋体" w:cs="Arial"/>
          <w:snapToGrid w:val="0"/>
          <w:lang w:eastAsia="zh-CN"/>
        </w:rPr>
        <w:t>II</w:t>
      </w:r>
      <w:r>
        <w:rPr>
          <w:rFonts w:hint="eastAsia" w:ascii="Arial" w:hAnsi="Arial" w:eastAsia="宋体" w:cs="Arial"/>
          <w:snapToGrid w:val="0"/>
          <w:lang w:eastAsia="zh-CN"/>
        </w:rPr>
        <w:t>节规定了</w:t>
      </w:r>
      <w:r>
        <w:rPr>
          <w:rFonts w:hint="eastAsia" w:ascii="宋体" w:hAnsi="宋体" w:eastAsia="宋体" w:cs="Arial"/>
          <w:snapToGrid w:val="0"/>
          <w:lang w:eastAsia="zh-CN"/>
        </w:rPr>
        <w:t>“</w:t>
      </w:r>
      <w:r>
        <w:rPr>
          <w:rFonts w:hint="eastAsia" w:ascii="Arial" w:hAnsi="Arial" w:eastAsia="宋体" w:cs="Arial"/>
          <w:snapToGrid w:val="0"/>
          <w:lang w:eastAsia="zh-CN"/>
        </w:rPr>
        <w:t>组合产品</w:t>
      </w:r>
      <w:r>
        <w:rPr>
          <w:rFonts w:hint="eastAsia" w:ascii="宋体" w:hAnsi="宋体" w:eastAsia="宋体" w:cs="Arial"/>
          <w:snapToGrid w:val="0"/>
          <w:lang w:eastAsia="zh-CN"/>
        </w:rPr>
        <w:t>”</w:t>
      </w:r>
      <w:r>
        <w:rPr>
          <w:rFonts w:hint="eastAsia" w:ascii="Arial" w:hAnsi="Arial" w:eastAsia="宋体" w:cs="Arial"/>
          <w:snapToGrid w:val="0"/>
          <w:lang w:eastAsia="zh-CN"/>
        </w:rPr>
        <w:t>的定义、最终规则概述，并描述领导中心和其它机构部门</w:t>
      </w:r>
      <w:r>
        <w:rPr>
          <w:rStyle w:val="17"/>
          <w:rFonts w:ascii="Arial" w:hAnsi="Arial" w:eastAsia="宋体" w:cs="Arial"/>
          <w:snapToGrid w:val="0"/>
          <w:lang w:eastAsia="zh-CN"/>
        </w:rPr>
        <w:footnoteReference w:id="3"/>
      </w:r>
      <w:r>
        <w:rPr>
          <w:rFonts w:hint="eastAsia" w:ascii="Arial" w:hAnsi="Arial" w:eastAsia="宋体" w:cs="Arial"/>
          <w:snapToGrid w:val="0"/>
          <w:lang w:eastAsia="zh-CN"/>
        </w:rPr>
        <w:t>在关于组合产品</w:t>
      </w:r>
      <w:r>
        <w:rPr>
          <w:rFonts w:ascii="Arial" w:hAnsi="Arial" w:eastAsia="宋体" w:cs="Arial"/>
          <w:snapToGrid w:val="0"/>
          <w:lang w:eastAsia="zh-CN"/>
        </w:rPr>
        <w:t>CGMP</w:t>
      </w:r>
      <w:r>
        <w:rPr>
          <w:rFonts w:hint="eastAsia" w:ascii="Arial" w:hAnsi="Arial" w:eastAsia="宋体" w:cs="Arial"/>
          <w:snapToGrid w:val="0"/>
          <w:lang w:eastAsia="zh-CN"/>
        </w:rPr>
        <w:t>问题中所起的作用。第</w:t>
      </w:r>
      <w:r>
        <w:rPr>
          <w:rFonts w:ascii="Arial" w:hAnsi="Arial" w:eastAsia="宋体" w:cs="Arial"/>
          <w:snapToGrid w:val="0"/>
          <w:lang w:eastAsia="zh-CN"/>
        </w:rPr>
        <w:t>III</w:t>
      </w:r>
      <w:r>
        <w:rPr>
          <w:rFonts w:hint="eastAsia" w:ascii="Arial" w:hAnsi="Arial" w:eastAsia="宋体" w:cs="Arial"/>
          <w:snapToGrid w:val="0"/>
          <w:lang w:eastAsia="zh-CN"/>
        </w:rPr>
        <w:t>节提出了对组合产品符合</w:t>
      </w:r>
      <w:r>
        <w:rPr>
          <w:rFonts w:ascii="Arial" w:hAnsi="Arial" w:eastAsia="宋体" w:cs="Arial"/>
          <w:snapToGrid w:val="0"/>
          <w:lang w:eastAsia="zh-CN"/>
        </w:rPr>
        <w:t>CGMP</w:t>
      </w:r>
      <w:r>
        <w:rPr>
          <w:rFonts w:hint="eastAsia" w:ascii="Arial" w:hAnsi="Arial" w:eastAsia="宋体" w:cs="Arial"/>
          <w:snapToGrid w:val="0"/>
          <w:lang w:eastAsia="zh-CN"/>
        </w:rPr>
        <w:t>的某些一般考虑。第</w:t>
      </w:r>
      <w:r>
        <w:rPr>
          <w:rFonts w:ascii="Arial" w:hAnsi="Arial" w:eastAsia="宋体" w:cs="Arial"/>
          <w:snapToGrid w:val="0"/>
          <w:lang w:eastAsia="zh-CN"/>
        </w:rPr>
        <w:t>IV</w:t>
      </w:r>
      <w:r>
        <w:rPr>
          <w:rFonts w:hint="eastAsia" w:ascii="Arial" w:hAnsi="Arial" w:eastAsia="宋体" w:cs="Arial"/>
          <w:snapToGrid w:val="0"/>
          <w:lang w:eastAsia="zh-CN"/>
        </w:rPr>
        <w:t>节描述了最终规则中提出的</w:t>
      </w:r>
      <w:r>
        <w:rPr>
          <w:rFonts w:ascii="Arial" w:hAnsi="Arial" w:eastAsia="宋体" w:cs="Arial"/>
          <w:snapToGrid w:val="0"/>
          <w:lang w:eastAsia="zh-CN"/>
        </w:rPr>
        <w:t>CGMP</w:t>
      </w:r>
      <w:r>
        <w:rPr>
          <w:rFonts w:hint="eastAsia" w:ascii="Arial" w:hAnsi="Arial" w:eastAsia="宋体" w:cs="Arial"/>
          <w:snapToGrid w:val="0"/>
          <w:lang w:eastAsia="zh-CN"/>
        </w:rPr>
        <w:t>具体要求的目的和内容。最后，第</w:t>
      </w:r>
      <w:r>
        <w:rPr>
          <w:rFonts w:ascii="Arial" w:hAnsi="Arial" w:eastAsia="宋体" w:cs="Arial"/>
          <w:snapToGrid w:val="0"/>
          <w:lang w:eastAsia="zh-CN"/>
        </w:rPr>
        <w:t>V</w:t>
      </w:r>
      <w:r>
        <w:rPr>
          <w:rFonts w:hint="eastAsia" w:ascii="Arial" w:hAnsi="Arial" w:eastAsia="宋体" w:cs="Arial"/>
          <w:snapToGrid w:val="0"/>
          <w:lang w:eastAsia="zh-CN"/>
        </w:rPr>
        <w:t>节对阐明特定类型组合产品如何遵守特定</w:t>
      </w:r>
      <w:r>
        <w:rPr>
          <w:rFonts w:ascii="Arial" w:hAnsi="Arial" w:eastAsia="宋体" w:cs="Arial"/>
          <w:snapToGrid w:val="0"/>
          <w:lang w:eastAsia="zh-CN"/>
        </w:rPr>
        <w:t>CGMP</w:t>
      </w:r>
      <w:r>
        <w:rPr>
          <w:rFonts w:hint="eastAsia" w:ascii="Arial" w:hAnsi="Arial" w:eastAsia="宋体" w:cs="Arial"/>
          <w:snapToGrid w:val="0"/>
          <w:lang w:eastAsia="zh-CN"/>
        </w:rPr>
        <w:t>要求的假设情境作出分析。编写本指南过程中，机构也参考了对药品、器械、生物制剂和</w:t>
      </w:r>
      <w:r>
        <w:rPr>
          <w:rFonts w:ascii="Arial" w:hAnsi="Arial" w:eastAsia="宋体" w:cs="Arial"/>
          <w:snapToGrid w:val="0"/>
          <w:lang w:eastAsia="zh-CN"/>
        </w:rPr>
        <w:t>HCT/Ps</w:t>
      </w:r>
      <w:r>
        <w:rPr>
          <w:rFonts w:hint="eastAsia" w:ascii="Arial" w:hAnsi="Arial" w:eastAsia="宋体" w:cs="Arial"/>
          <w:snapToGrid w:val="0"/>
          <w:lang w:eastAsia="zh-CN"/>
        </w:rPr>
        <w:t>提出</w:t>
      </w:r>
      <w:r>
        <w:rPr>
          <w:rFonts w:ascii="Arial" w:hAnsi="Arial" w:eastAsia="宋体" w:cs="Arial"/>
          <w:snapToGrid w:val="0"/>
          <w:lang w:eastAsia="zh-CN"/>
        </w:rPr>
        <w:t>CGMP</w:t>
      </w:r>
      <w:r>
        <w:rPr>
          <w:rFonts w:hint="eastAsia" w:ascii="Arial" w:hAnsi="Arial" w:eastAsia="宋体" w:cs="Arial"/>
          <w:snapToGrid w:val="0"/>
          <w:lang w:eastAsia="zh-CN"/>
        </w:rPr>
        <w:t>要求的原有指南和其它资源，以进一步告知组合产品制造商应如何遵守</w:t>
      </w:r>
      <w:r>
        <w:rPr>
          <w:rFonts w:ascii="Arial" w:hAnsi="Arial" w:eastAsia="宋体" w:cs="Arial"/>
          <w:snapToGrid w:val="0"/>
          <w:lang w:eastAsia="zh-CN"/>
        </w:rPr>
        <w:t>CGMP</w:t>
      </w:r>
      <w:r>
        <w:rPr>
          <w:rFonts w:hint="eastAsia" w:ascii="Arial" w:hAnsi="Arial" w:eastAsia="宋体" w:cs="Arial"/>
          <w:snapToGrid w:val="0"/>
          <w:lang w:eastAsia="zh-CN"/>
        </w:rPr>
        <w:t>要求。</w:t>
      </w:r>
    </w:p>
    <w:p w14:paraId="095C74A8">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1" w:name="_bookmark1"/>
      <w:bookmarkEnd w:id="11"/>
      <w:bookmarkStart w:id="12" w:name="_bookmark4"/>
      <w:bookmarkEnd w:id="12"/>
      <w:r>
        <w:rPr>
          <w:rFonts w:ascii="Arial" w:hAnsi="Arial" w:eastAsia="宋体" w:cs="Arial"/>
          <w:snapToGrid w:val="0"/>
          <w:sz w:val="24"/>
          <w:szCs w:val="20"/>
          <w:lang w:eastAsia="zh-CN"/>
        </w:rPr>
        <w:br w:type="page"/>
      </w:r>
    </w:p>
    <w:p w14:paraId="2F7A5CB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FDA的指导性文件，包括本指南在内，不具有法律强制性。相反，本指南表明了本机构对某一主题的当前的见解，除非引用具体的法规或法律要求，否则只应视为建议。在本机构指南中使用词语</w:t>
      </w:r>
      <w:r>
        <w:rPr>
          <w:rFonts w:hint="eastAsia" w:ascii="宋体" w:hAnsi="宋体" w:eastAsia="宋体" w:cs="Arial"/>
          <w:snapToGrid w:val="0"/>
          <w:lang w:eastAsia="zh-CN"/>
        </w:rPr>
        <w:t>“</w:t>
      </w:r>
      <w:r>
        <w:rPr>
          <w:rFonts w:hint="eastAsia" w:ascii="Arial" w:hAnsi="Arial" w:eastAsia="宋体" w:cs="Arial"/>
          <w:snapToGrid w:val="0"/>
          <w:lang w:eastAsia="zh-CN"/>
        </w:rPr>
        <w:t>应</w:t>
      </w:r>
      <w:r>
        <w:rPr>
          <w:rFonts w:hint="eastAsia" w:ascii="宋体" w:hAnsi="宋体" w:eastAsia="宋体" w:cs="Arial"/>
          <w:snapToGrid w:val="0"/>
          <w:lang w:eastAsia="zh-CN"/>
        </w:rPr>
        <w:t>”</w:t>
      </w:r>
      <w:r>
        <w:rPr>
          <w:rFonts w:hint="eastAsia" w:ascii="Arial" w:hAnsi="Arial" w:eastAsia="宋体" w:cs="Arial"/>
          <w:snapToGrid w:val="0"/>
          <w:lang w:eastAsia="zh-CN"/>
        </w:rPr>
        <w:t>是指建议或推荐进行某一事项，并非强制要求。</w:t>
      </w:r>
    </w:p>
    <w:p w14:paraId="3E766484">
      <w:pPr>
        <w:pStyle w:val="21"/>
        <w:numPr>
          <w:ilvl w:val="0"/>
          <w:numId w:val="1"/>
        </w:numPr>
        <w:tabs>
          <w:tab w:val="left" w:pos="840"/>
        </w:tabs>
        <w:topLinePunct/>
        <w:adjustRightInd w:val="0"/>
        <w:snapToGrid w:val="0"/>
        <w:spacing w:after="224" w:afterLines="75" w:line="288" w:lineRule="auto"/>
        <w:ind w:left="0" w:firstLine="0"/>
        <w:jc w:val="both"/>
        <w:outlineLvl w:val="9"/>
        <w:rPr>
          <w:rFonts w:ascii="Arial" w:hAnsi="Arial" w:eastAsia="宋体" w:cs="Arial"/>
          <w:b w:val="0"/>
          <w:bCs w:val="0"/>
          <w:snapToGrid w:val="0"/>
          <w:sz w:val="28"/>
        </w:rPr>
      </w:pPr>
      <w:bookmarkStart w:id="13" w:name="_bookmark5"/>
      <w:bookmarkEnd w:id="13"/>
      <w:bookmarkStart w:id="14" w:name="II._Background"/>
      <w:bookmarkEnd w:id="14"/>
      <w:bookmarkStart w:id="15" w:name="_Toc498640462"/>
      <w:r>
        <w:rPr>
          <w:rFonts w:hint="eastAsia" w:ascii="Arial" w:hAnsi="Arial" w:eastAsia="宋体" w:cs="Arial"/>
          <w:snapToGrid w:val="0"/>
          <w:sz w:val="28"/>
          <w:lang w:eastAsia="zh-CN"/>
        </w:rPr>
        <w:t>背景</w:t>
      </w:r>
      <w:bookmarkEnd w:id="15"/>
    </w:p>
    <w:p w14:paraId="15788534">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rPr>
      </w:pPr>
      <w:bookmarkStart w:id="16" w:name="A._Definition_of_a_combination_product"/>
      <w:bookmarkEnd w:id="16"/>
      <w:bookmarkStart w:id="17" w:name="_bookmark6"/>
      <w:bookmarkEnd w:id="17"/>
      <w:bookmarkStart w:id="18" w:name="_Toc498640463"/>
      <w:r>
        <w:rPr>
          <w:rFonts w:hint="eastAsia" w:ascii="Arial" w:hAnsi="Arial" w:eastAsia="宋体" w:cs="Arial"/>
          <w:snapToGrid w:val="0"/>
          <w:sz w:val="24"/>
          <w:lang w:eastAsia="zh-CN"/>
        </w:rPr>
        <w:t>组合产品定义</w:t>
      </w:r>
      <w:bookmarkEnd w:id="18"/>
    </w:p>
    <w:p w14:paraId="29056F6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如第3部分</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3</w:t>
      </w:r>
      <w:r>
        <w:rPr>
          <w:rFonts w:hint="eastAsia" w:ascii="Arial" w:hAnsi="Arial" w:eastAsia="宋体" w:cs="Arial"/>
          <w:snapToGrid w:val="0"/>
          <w:lang w:eastAsia="zh-CN"/>
        </w:rPr>
        <w:t>部分</w:t>
      </w:r>
      <w:r>
        <w:rPr>
          <w:rFonts w:ascii="Arial" w:hAnsi="Arial" w:eastAsia="宋体" w:cs="Arial"/>
          <w:snapToGrid w:val="0"/>
          <w:lang w:eastAsia="zh-CN"/>
        </w:rPr>
        <w:t>）</w:t>
      </w:r>
      <w:r>
        <w:rPr>
          <w:rFonts w:hint="eastAsia" w:ascii="Arial" w:hAnsi="Arial" w:eastAsia="宋体" w:cs="Arial"/>
          <w:snapToGrid w:val="0"/>
          <w:lang w:eastAsia="zh-CN"/>
        </w:rPr>
        <w:t>提出的，组合产品是指由两种或两种以上不同类型医疗产品组成的产品（即药品、器械和／或生物制剂的相互组合）。</w:t>
      </w:r>
      <w:r>
        <w:rPr>
          <w:rStyle w:val="17"/>
          <w:rFonts w:ascii="Arial" w:hAnsi="Arial" w:eastAsia="宋体" w:cs="Arial"/>
          <w:snapToGrid w:val="0"/>
          <w:lang w:eastAsia="zh-CN"/>
        </w:rPr>
        <w:footnoteReference w:id="4"/>
      </w:r>
      <w:r>
        <w:rPr>
          <w:rFonts w:hint="eastAsia" w:ascii="Arial" w:hAnsi="Arial" w:eastAsia="宋体" w:cs="Arial"/>
          <w:snapToGrid w:val="0"/>
          <w:lang w:eastAsia="zh-CN"/>
        </w:rPr>
        <w:t>组合产品中包含的药品、器械和生物制剂称为组合产品的</w:t>
      </w:r>
      <w:r>
        <w:rPr>
          <w:rFonts w:hint="eastAsia" w:ascii="宋体" w:hAnsi="宋体" w:eastAsia="宋体" w:cs="Arial"/>
          <w:snapToGrid w:val="0"/>
          <w:lang w:eastAsia="zh-CN"/>
        </w:rPr>
        <w:t>“</w:t>
      </w:r>
      <w:r>
        <w:rPr>
          <w:rFonts w:hint="eastAsia" w:ascii="Arial" w:hAnsi="Arial" w:eastAsia="宋体" w:cs="Arial"/>
          <w:snapToGrid w:val="0"/>
          <w:lang w:eastAsia="zh-CN"/>
        </w:rPr>
        <w:t>组成部分</w:t>
      </w:r>
      <w:r>
        <w:rPr>
          <w:rFonts w:hint="eastAsia" w:ascii="宋体" w:hAnsi="宋体" w:eastAsia="宋体" w:cs="Arial"/>
          <w:snapToGrid w:val="0"/>
          <w:lang w:eastAsia="zh-CN"/>
        </w:rPr>
        <w:t>”</w:t>
      </w:r>
      <w:r>
        <w:rPr>
          <w:rFonts w:hint="eastAsia" w:ascii="Arial" w:hAnsi="Arial" w:eastAsia="宋体" w:cs="Arial"/>
          <w:snapToGrid w:val="0"/>
          <w:lang w:eastAsia="zh-CN"/>
        </w:rPr>
        <w:t>。</w:t>
      </w:r>
    </w:p>
    <w:p w14:paraId="07D5DCC8">
      <w:pPr>
        <w:pStyle w:val="5"/>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3.2（e）</w:t>
      </w:r>
      <w:r>
        <w:rPr>
          <w:rFonts w:hint="eastAsia" w:ascii="Arial" w:hAnsi="Arial" w:eastAsia="宋体" w:cs="Arial"/>
          <w:snapToGrid w:val="0"/>
          <w:lang w:eastAsia="zh-CN"/>
        </w:rPr>
        <w:t>，组合产品包括：</w:t>
      </w:r>
    </w:p>
    <w:p w14:paraId="63BB9B26">
      <w:pPr>
        <w:numPr>
          <w:ilvl w:val="2"/>
          <w:numId w:val="1"/>
        </w:numPr>
        <w:tabs>
          <w:tab w:val="left" w:pos="1624"/>
        </w:tabs>
        <w:topLinePunct/>
        <w:adjustRightInd w:val="0"/>
        <w:snapToGrid w:val="0"/>
        <w:spacing w:after="224" w:afterLines="75" w:line="288" w:lineRule="auto"/>
        <w:ind w:left="1609" w:leftChars="515" w:hanging="476"/>
        <w:jc w:val="both"/>
        <w:rPr>
          <w:rFonts w:ascii="Arial" w:hAnsi="Arial" w:eastAsia="宋体" w:cs="Arial"/>
          <w:snapToGrid w:val="0"/>
          <w:sz w:val="24"/>
          <w:szCs w:val="24"/>
          <w:lang w:eastAsia="zh-CN"/>
        </w:rPr>
      </w:pPr>
      <w:r>
        <w:rPr>
          <w:rFonts w:hint="eastAsia" w:ascii="Arial" w:hAnsi="Arial" w:eastAsia="宋体" w:cs="Arial"/>
          <w:snapToGrid w:val="0"/>
          <w:sz w:val="24"/>
          <w:szCs w:val="24"/>
          <w:lang w:eastAsia="zh-CN"/>
        </w:rPr>
        <w:t>由两种或两种以上规定的组成部分，即药品／器械、生物制剂／器械、药品／生物制剂、或药品／器械／生物品构成的，通过物理、化学方式或其它方式组合或混合成为单个实体的产品（</w:t>
      </w:r>
      <w:r>
        <w:rPr>
          <w:rFonts w:hint="eastAsia" w:ascii="宋体" w:hAnsi="宋体" w:eastAsia="宋体" w:cs="Arial"/>
          <w:i/>
          <w:snapToGrid w:val="0"/>
          <w:sz w:val="24"/>
          <w:szCs w:val="24"/>
          <w:lang w:eastAsia="zh-CN"/>
        </w:rPr>
        <w:t>“</w:t>
      </w:r>
      <w:r>
        <w:rPr>
          <w:rFonts w:hint="eastAsia" w:ascii="Arial" w:hAnsi="Arial" w:eastAsia="宋体" w:cs="Arial"/>
          <w:i/>
          <w:snapToGrid w:val="0"/>
          <w:sz w:val="24"/>
          <w:szCs w:val="24"/>
          <w:lang w:eastAsia="zh-CN"/>
        </w:rPr>
        <w:t>单个实体</w:t>
      </w:r>
      <w:r>
        <w:rPr>
          <w:rFonts w:hint="eastAsia" w:ascii="宋体" w:hAnsi="宋体" w:eastAsia="宋体" w:cs="Arial"/>
          <w:i/>
          <w:snapToGrid w:val="0"/>
          <w:sz w:val="24"/>
          <w:szCs w:val="24"/>
          <w:lang w:eastAsia="zh-CN"/>
        </w:rPr>
        <w:t>”</w:t>
      </w:r>
      <w:r>
        <w:rPr>
          <w:rFonts w:hint="eastAsia" w:ascii="Arial" w:hAnsi="Arial" w:eastAsia="宋体" w:cs="Arial"/>
          <w:i/>
          <w:snapToGrid w:val="0"/>
          <w:sz w:val="24"/>
          <w:szCs w:val="24"/>
          <w:lang w:eastAsia="zh-CN"/>
        </w:rPr>
        <w:t>组合产品，比如载药注射器或药物洗脱支架</w:t>
      </w:r>
      <w:r>
        <w:rPr>
          <w:rFonts w:hint="eastAsia" w:ascii="Arial" w:hAnsi="Arial" w:eastAsia="宋体" w:cs="Arial"/>
          <w:snapToGrid w:val="0"/>
          <w:sz w:val="24"/>
          <w:szCs w:val="24"/>
          <w:lang w:eastAsia="zh-CN"/>
        </w:rPr>
        <w:t>）；</w:t>
      </w:r>
    </w:p>
    <w:p w14:paraId="26387ECB">
      <w:pPr>
        <w:numPr>
          <w:ilvl w:val="2"/>
          <w:numId w:val="1"/>
        </w:numPr>
        <w:tabs>
          <w:tab w:val="left" w:pos="1624"/>
        </w:tabs>
        <w:topLinePunct/>
        <w:adjustRightInd w:val="0"/>
        <w:snapToGrid w:val="0"/>
        <w:spacing w:after="224" w:afterLines="75" w:line="288" w:lineRule="auto"/>
        <w:ind w:left="1609" w:leftChars="515" w:hanging="476"/>
        <w:jc w:val="both"/>
        <w:rPr>
          <w:rFonts w:ascii="Arial" w:hAnsi="Arial" w:eastAsia="宋体" w:cs="Arial"/>
          <w:snapToGrid w:val="0"/>
          <w:sz w:val="24"/>
          <w:szCs w:val="24"/>
          <w:lang w:eastAsia="zh-CN"/>
        </w:rPr>
      </w:pPr>
      <w:r>
        <w:rPr>
          <w:rFonts w:hint="eastAsia" w:ascii="Arial" w:hAnsi="Arial" w:eastAsia="宋体" w:cs="Arial"/>
          <w:snapToGrid w:val="0"/>
          <w:sz w:val="24"/>
          <w:szCs w:val="24"/>
          <w:lang w:eastAsia="zh-CN"/>
        </w:rPr>
        <w:t>两种或两种以上不同产品一起包装在单个包装内或作为一个单位包装，并由药品和器械产品、器械和生物制剂或生物制剂和药品组成（</w:t>
      </w:r>
      <w:r>
        <w:rPr>
          <w:rFonts w:hint="eastAsia" w:ascii="宋体" w:hAnsi="宋体" w:eastAsia="宋体" w:cs="Arial"/>
          <w:i/>
          <w:snapToGrid w:val="0"/>
          <w:sz w:val="24"/>
          <w:szCs w:val="24"/>
          <w:lang w:eastAsia="zh-CN"/>
        </w:rPr>
        <w:t>“</w:t>
      </w:r>
      <w:r>
        <w:rPr>
          <w:rFonts w:hint="eastAsia" w:ascii="Arial" w:hAnsi="Arial" w:eastAsia="宋体" w:cs="Arial"/>
          <w:i/>
          <w:snapToGrid w:val="0"/>
          <w:sz w:val="24"/>
          <w:szCs w:val="24"/>
          <w:lang w:eastAsia="zh-CN"/>
        </w:rPr>
        <w:t>组合包装</w:t>
      </w:r>
      <w:r>
        <w:rPr>
          <w:rFonts w:hint="eastAsia" w:ascii="宋体" w:hAnsi="宋体" w:eastAsia="宋体" w:cs="Arial"/>
          <w:i/>
          <w:snapToGrid w:val="0"/>
          <w:sz w:val="24"/>
          <w:szCs w:val="24"/>
          <w:lang w:eastAsia="zh-CN"/>
        </w:rPr>
        <w:t>”</w:t>
      </w:r>
      <w:r>
        <w:rPr>
          <w:rFonts w:hint="eastAsia" w:ascii="Arial" w:hAnsi="Arial" w:eastAsia="宋体" w:cs="Arial"/>
          <w:i/>
          <w:snapToGrid w:val="0"/>
          <w:sz w:val="24"/>
          <w:szCs w:val="24"/>
          <w:lang w:eastAsia="zh-CN"/>
        </w:rPr>
        <w:t>组合产品，比如手术工具包或急救箱</w:t>
      </w:r>
      <w:r>
        <w:rPr>
          <w:rFonts w:hint="eastAsia" w:ascii="Arial" w:hAnsi="Arial" w:eastAsia="宋体" w:cs="Arial"/>
          <w:snapToGrid w:val="0"/>
          <w:sz w:val="24"/>
          <w:szCs w:val="24"/>
          <w:lang w:eastAsia="zh-CN"/>
        </w:rPr>
        <w:t>）；</w:t>
      </w:r>
    </w:p>
    <w:p w14:paraId="38DF6F18">
      <w:pPr>
        <w:numPr>
          <w:ilvl w:val="2"/>
          <w:numId w:val="1"/>
        </w:numPr>
        <w:tabs>
          <w:tab w:val="left" w:pos="1624"/>
        </w:tabs>
        <w:topLinePunct/>
        <w:adjustRightInd w:val="0"/>
        <w:snapToGrid w:val="0"/>
        <w:spacing w:after="224" w:afterLines="75" w:line="288" w:lineRule="auto"/>
        <w:ind w:left="1609" w:leftChars="515" w:hanging="476"/>
        <w:jc w:val="both"/>
        <w:rPr>
          <w:rFonts w:ascii="Arial" w:hAnsi="Arial" w:eastAsia="宋体" w:cs="Arial"/>
          <w:snapToGrid w:val="0"/>
          <w:lang w:eastAsia="zh-CN"/>
        </w:rPr>
      </w:pPr>
      <w:r>
        <w:rPr>
          <w:rFonts w:hint="eastAsia" w:ascii="Arial" w:hAnsi="Arial" w:eastAsia="宋体" w:cs="Arial"/>
          <w:snapToGrid w:val="0"/>
          <w:lang w:eastAsia="zh-CN"/>
        </w:rPr>
        <w:t>单独包装的且根据其临床试验计划或提议标签预期仅与一种经批准的，单独指定的药品、器械或生物制剂共同使用的药品、器械或生物制剂，且为达到预期用途、</w:t>
      </w:r>
      <w:r>
        <w:rPr>
          <w:rFonts w:hint="eastAsia" w:ascii="Arial" w:hAnsi="Arial" w:eastAsia="宋体" w:cs="Arial"/>
          <w:snapToGrid w:val="0"/>
          <w:sz w:val="24"/>
          <w:szCs w:val="24"/>
          <w:lang w:eastAsia="zh-CN"/>
        </w:rPr>
        <w:t>适应症或</w:t>
      </w:r>
      <w:r>
        <w:rPr>
          <w:rFonts w:hint="eastAsia" w:ascii="Arial" w:hAnsi="Arial" w:eastAsia="宋体" w:cs="Arial"/>
          <w:snapToGrid w:val="0"/>
          <w:lang w:eastAsia="zh-CN"/>
        </w:rPr>
        <w:t>效果，需要同时使用这两种产品且拟议中的产品得到批准后，经批准产品的标签将需要更改（例如，反映预期用途、剂型、剂量、</w:t>
      </w:r>
      <w:r>
        <w:rPr>
          <w:rFonts w:hint="eastAsia" w:ascii="Arial" w:hAnsi="Arial" w:eastAsia="宋体" w:cs="Arial"/>
          <w:snapToGrid w:val="0"/>
          <w:sz w:val="24"/>
          <w:szCs w:val="24"/>
          <w:lang w:eastAsia="zh-CN"/>
        </w:rPr>
        <w:t>给药途径的变化或剂量的显著变化</w:t>
      </w:r>
      <w:r>
        <w:rPr>
          <w:rFonts w:hint="eastAsia" w:ascii="Arial" w:hAnsi="Arial" w:eastAsia="宋体" w:cs="Arial"/>
          <w:snapToGrid w:val="0"/>
          <w:sz w:val="24"/>
          <w:lang w:eastAsia="zh-CN"/>
        </w:rPr>
        <w:t>）（</w:t>
      </w:r>
      <w:r>
        <w:rPr>
          <w:rFonts w:hint="eastAsia" w:ascii="宋体" w:hAnsi="宋体" w:eastAsia="宋体" w:cs="Arial"/>
          <w:i/>
          <w:snapToGrid w:val="0"/>
          <w:sz w:val="24"/>
          <w:lang w:eastAsia="zh-CN"/>
        </w:rPr>
        <w:t>“</w:t>
      </w:r>
      <w:r>
        <w:rPr>
          <w:rFonts w:hint="eastAsia" w:ascii="Arial" w:hAnsi="Arial" w:eastAsia="宋体" w:cs="Arial"/>
          <w:i/>
          <w:snapToGrid w:val="0"/>
          <w:sz w:val="24"/>
          <w:lang w:eastAsia="zh-CN"/>
        </w:rPr>
        <w:t>交叉标签</w:t>
      </w:r>
      <w:r>
        <w:rPr>
          <w:rFonts w:hint="eastAsia" w:ascii="宋体" w:hAnsi="宋体" w:eastAsia="宋体" w:cs="Arial"/>
          <w:i/>
          <w:snapToGrid w:val="0"/>
          <w:sz w:val="24"/>
          <w:lang w:eastAsia="zh-CN"/>
        </w:rPr>
        <w:t>”</w:t>
      </w:r>
      <w:r>
        <w:rPr>
          <w:rFonts w:hint="eastAsia" w:ascii="Arial" w:hAnsi="Arial" w:eastAsia="宋体" w:cs="Arial"/>
          <w:i/>
          <w:snapToGrid w:val="0"/>
          <w:sz w:val="24"/>
          <w:lang w:eastAsia="zh-CN"/>
        </w:rPr>
        <w:t>组合产品，发光器械和光活化药物可能属于这种情况</w:t>
      </w:r>
      <w:r>
        <w:rPr>
          <w:rFonts w:hint="eastAsia" w:ascii="Arial" w:hAnsi="Arial" w:eastAsia="宋体" w:cs="Arial"/>
          <w:snapToGrid w:val="0"/>
          <w:sz w:val="24"/>
          <w:lang w:eastAsia="zh-CN"/>
        </w:rPr>
        <w:t>）；或</w:t>
      </w:r>
    </w:p>
    <w:p w14:paraId="7B774DBA">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21F1A3AA">
      <w:pPr>
        <w:numPr>
          <w:ilvl w:val="2"/>
          <w:numId w:val="1"/>
        </w:numPr>
        <w:tabs>
          <w:tab w:val="left" w:pos="1624"/>
        </w:tabs>
        <w:topLinePunct/>
        <w:adjustRightInd w:val="0"/>
        <w:snapToGrid w:val="0"/>
        <w:spacing w:after="224" w:afterLines="75" w:line="288" w:lineRule="auto"/>
        <w:ind w:left="1609" w:leftChars="515" w:hanging="476"/>
        <w:jc w:val="both"/>
        <w:rPr>
          <w:rFonts w:ascii="Arial" w:hAnsi="Arial" w:eastAsia="宋体" w:cs="Arial"/>
          <w:snapToGrid w:val="0"/>
          <w:sz w:val="24"/>
          <w:lang w:eastAsia="zh-CN"/>
        </w:rPr>
      </w:pPr>
      <w:r>
        <w:rPr>
          <w:rFonts w:hint="eastAsia" w:ascii="Arial" w:hAnsi="Arial" w:eastAsia="宋体" w:cs="Arial"/>
          <w:snapToGrid w:val="0"/>
          <w:sz w:val="24"/>
          <w:lang w:eastAsia="zh-CN"/>
        </w:rPr>
        <w:t>单独包装的且根据其建议标签仅与另一种单独指定的试验用药品、器械或生物制剂共同使用的所有试验用药品、器械或生物制剂，且为达到预期用途、指征或效果，需要同时使用这两种产品（</w:t>
      </w:r>
      <w:r>
        <w:rPr>
          <w:rFonts w:hint="eastAsia" w:ascii="Arial" w:hAnsi="Arial" w:eastAsia="宋体" w:cs="Arial"/>
          <w:i/>
          <w:snapToGrid w:val="0"/>
          <w:sz w:val="24"/>
          <w:lang w:eastAsia="zh-CN"/>
        </w:rPr>
        <w:t>另一类交叉标签组合产品</w:t>
      </w:r>
      <w:r>
        <w:rPr>
          <w:rFonts w:hint="eastAsia" w:ascii="Arial" w:hAnsi="Arial" w:eastAsia="宋体" w:cs="Arial"/>
          <w:snapToGrid w:val="0"/>
          <w:sz w:val="24"/>
          <w:lang w:eastAsia="zh-CN"/>
        </w:rPr>
        <w:t>）。</w:t>
      </w:r>
    </w:p>
    <w:p w14:paraId="6AFDD2BB">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19" w:name="B._Quality_and_Current_Good_Manufacturin"/>
      <w:bookmarkEnd w:id="19"/>
      <w:bookmarkStart w:id="20" w:name="_bookmark8"/>
      <w:bookmarkEnd w:id="20"/>
      <w:bookmarkStart w:id="21" w:name="_Toc498640464"/>
      <w:r>
        <w:rPr>
          <w:rFonts w:hint="eastAsia" w:ascii="Arial" w:hAnsi="Arial" w:eastAsia="宋体" w:cs="Arial"/>
          <w:snapToGrid w:val="0"/>
          <w:sz w:val="24"/>
          <w:lang w:eastAsia="zh-CN"/>
        </w:rPr>
        <w:t>质量和现行良好生产规范</w:t>
      </w:r>
      <w:bookmarkEnd w:id="21"/>
    </w:p>
    <w:p w14:paraId="3E977BB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FDA的其中一个目标是保证始终符合适用要求和规格的优质药品、生物制剂、器械和组合产品持续可用。药品</w:t>
      </w:r>
      <w:r>
        <w:rPr>
          <w:rFonts w:ascii="Arial" w:hAnsi="Arial" w:eastAsia="宋体" w:cs="Arial"/>
          <w:snapToGrid w:val="0"/>
          <w:lang w:eastAsia="zh-CN"/>
        </w:rPr>
        <w:t>CGMP</w:t>
      </w:r>
      <w:r>
        <w:rPr>
          <w:rFonts w:hint="eastAsia" w:ascii="Arial" w:hAnsi="Arial" w:eastAsia="宋体" w:cs="Arial"/>
          <w:snapToGrid w:val="0"/>
          <w:lang w:eastAsia="zh-CN"/>
        </w:rPr>
        <w:t>和器械质量体系（</w:t>
      </w:r>
      <w:r>
        <w:rPr>
          <w:rFonts w:ascii="Arial" w:hAnsi="Arial" w:eastAsia="宋体" w:cs="Arial"/>
          <w:snapToGrid w:val="0"/>
          <w:lang w:eastAsia="zh-CN"/>
        </w:rPr>
        <w:t>QS</w:t>
      </w:r>
      <w:r>
        <w:rPr>
          <w:rFonts w:hint="eastAsia" w:ascii="Arial" w:hAnsi="Arial" w:eastAsia="宋体" w:cs="Arial"/>
          <w:snapToGrid w:val="0"/>
          <w:lang w:eastAsia="zh-CN"/>
        </w:rPr>
        <w:t>）规章，以及生物制剂和</w:t>
      </w:r>
      <w:r>
        <w:rPr>
          <w:rFonts w:ascii="Arial" w:hAnsi="Arial" w:eastAsia="宋体" w:cs="Arial"/>
          <w:snapToGrid w:val="0"/>
          <w:lang w:eastAsia="zh-CN"/>
        </w:rPr>
        <w:t>HCT/Ps</w:t>
      </w:r>
      <w:r>
        <w:rPr>
          <w:rFonts w:hint="eastAsia" w:ascii="Arial" w:hAnsi="Arial" w:eastAsia="宋体" w:cs="Arial"/>
          <w:snapToGrid w:val="0"/>
          <w:lang w:eastAsia="zh-CN"/>
        </w:rPr>
        <w:t>的现行良好组织规范的CGMP为帮助确保产品质量提供最低要求。这些条例中的核心要求对保证制造工艺及机构的适宜设计、监测和控制的体系进行规定。其中包括建立强有力的质量管理体系，采用适当的优质原材料，基于合理的设计原则建立稳固的制造和控制程序，以及检测并调查产品质量偏差。此外，这些条例规定，系统应对其进行持续评估并在适当情况下执行纠正措施。</w:t>
      </w:r>
    </w:p>
    <w:p w14:paraId="1F893524">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rPr>
      </w:pPr>
      <w:bookmarkStart w:id="22" w:name="C._Overview_of_the_final_rule"/>
      <w:bookmarkEnd w:id="22"/>
      <w:bookmarkStart w:id="23" w:name="_bookmark9"/>
      <w:bookmarkEnd w:id="23"/>
      <w:bookmarkStart w:id="24" w:name="_Toc498640465"/>
      <w:r>
        <w:rPr>
          <w:rFonts w:hint="eastAsia" w:ascii="Arial" w:hAnsi="Arial" w:eastAsia="宋体" w:cs="Arial"/>
          <w:snapToGrid w:val="0"/>
          <w:sz w:val="24"/>
          <w:lang w:eastAsia="zh-CN"/>
        </w:rPr>
        <w:t>最终规则概述</w:t>
      </w:r>
      <w:bookmarkEnd w:id="24"/>
    </w:p>
    <w:p w14:paraId="33F66DD4">
      <w:pPr>
        <w:pStyle w:val="23"/>
        <w:numPr>
          <w:ilvl w:val="0"/>
          <w:numId w:val="2"/>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25" w:name="1._Summary_of_the_Final_Rule"/>
      <w:bookmarkEnd w:id="25"/>
      <w:bookmarkStart w:id="26" w:name="_bookmark10"/>
      <w:bookmarkEnd w:id="26"/>
      <w:r>
        <w:rPr>
          <w:rFonts w:hint="eastAsia" w:ascii="Arial" w:hAnsi="Arial" w:eastAsia="宋体" w:cs="Arial"/>
          <w:snapToGrid w:val="0"/>
          <w:lang w:eastAsia="zh-CN"/>
        </w:rPr>
        <w:t>最终规则摘要</w:t>
      </w:r>
    </w:p>
    <w:p w14:paraId="0D647BAC">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组合产品的组成部分在组合后仍保持其监管状态（例如作为药品或器械）。最终规则阐明，适用于各组成部分的</w:t>
      </w:r>
      <w:r>
        <w:rPr>
          <w:rFonts w:ascii="Arial" w:hAnsi="Arial" w:eastAsia="宋体" w:cs="Arial"/>
          <w:snapToGrid w:val="0"/>
          <w:lang w:eastAsia="zh-CN"/>
        </w:rPr>
        <w:t>CGMP</w:t>
      </w:r>
      <w:r>
        <w:rPr>
          <w:rFonts w:hint="eastAsia" w:ascii="Arial" w:hAnsi="Arial" w:eastAsia="宋体" w:cs="Arial"/>
          <w:snapToGrid w:val="0"/>
          <w:lang w:eastAsia="zh-CN"/>
        </w:rPr>
        <w:t>要求也适用于其构成的组合产品。本指导性文件中的</w:t>
      </w:r>
      <w:r>
        <w:rPr>
          <w:rFonts w:hint="eastAsia" w:ascii="宋体" w:hAnsi="宋体" w:eastAsia="宋体" w:cs="Arial"/>
          <w:snapToGrid w:val="0"/>
          <w:lang w:eastAsia="zh-CN"/>
        </w:rPr>
        <w:t>“</w:t>
      </w:r>
      <w:r>
        <w:rPr>
          <w:rFonts w:ascii="Arial" w:hAnsi="Arial" w:eastAsia="宋体" w:cs="Arial"/>
          <w:snapToGrid w:val="0"/>
          <w:lang w:eastAsia="zh-CN"/>
        </w:rPr>
        <w:t>CGMP</w:t>
      </w:r>
      <w:r>
        <w:rPr>
          <w:rFonts w:hint="eastAsia" w:ascii="Arial" w:hAnsi="Arial" w:eastAsia="宋体" w:cs="Arial"/>
          <w:snapToGrid w:val="0"/>
          <w:lang w:eastAsia="zh-CN"/>
        </w:rPr>
        <w:t>操作系统</w:t>
      </w:r>
      <w:r>
        <w:rPr>
          <w:rFonts w:hint="eastAsia" w:ascii="宋体" w:hAnsi="宋体" w:eastAsia="宋体" w:cs="Arial"/>
          <w:snapToGrid w:val="0"/>
          <w:lang w:eastAsia="zh-CN"/>
        </w:rPr>
        <w:t>”</w:t>
      </w:r>
      <w:r>
        <w:rPr>
          <w:rFonts w:hint="eastAsia" w:ascii="Arial" w:hAnsi="Arial" w:eastAsia="宋体" w:cs="Arial"/>
          <w:snapToGrid w:val="0"/>
          <w:lang w:eastAsia="zh-CN"/>
        </w:rPr>
        <w:t xml:space="preserve">指机构内为解决并满足适用于组合产品制造商的现行良好生产规范要求而设计并执行的操作系统。 </w:t>
      </w:r>
    </w:p>
    <w:p w14:paraId="2BC8C60B">
      <w:pPr>
        <w:topLinePunct/>
        <w:adjustRightInd w:val="0"/>
        <w:snapToGrid w:val="0"/>
        <w:spacing w:after="224" w:afterLines="75" w:line="288" w:lineRule="auto"/>
        <w:jc w:val="both"/>
        <w:rPr>
          <w:rFonts w:ascii="Arial" w:hAnsi="Arial" w:eastAsia="宋体" w:cs="Arial"/>
          <w:snapToGrid w:val="0"/>
          <w:sz w:val="24"/>
          <w:lang w:eastAsia="zh-CN"/>
        </w:rPr>
      </w:pPr>
      <w:r>
        <w:rPr>
          <w:rFonts w:hint="eastAsia" w:ascii="Arial" w:hAnsi="Arial" w:eastAsia="宋体" w:cs="Arial"/>
          <w:snapToGrid w:val="0"/>
          <w:sz w:val="24"/>
          <w:lang w:eastAsia="zh-CN"/>
        </w:rPr>
        <w:t>对组合产品的</w:t>
      </w:r>
      <w:r>
        <w:rPr>
          <w:rFonts w:ascii="Arial" w:hAnsi="Arial" w:eastAsia="宋体" w:cs="Arial"/>
          <w:snapToGrid w:val="0"/>
          <w:sz w:val="24"/>
          <w:lang w:eastAsia="zh-CN"/>
        </w:rPr>
        <w:t>CGMP</w:t>
      </w:r>
      <w:r>
        <w:rPr>
          <w:rFonts w:hint="eastAsia" w:ascii="Arial" w:hAnsi="Arial" w:eastAsia="宋体" w:cs="Arial"/>
          <w:snapToGrid w:val="0"/>
          <w:sz w:val="24"/>
          <w:lang w:eastAsia="zh-CN"/>
        </w:rPr>
        <w:t>要求的最终规则适用于所有组合产品。交叉标签组合产品组成部分完全在不同机构中制造的，其</w:t>
      </w:r>
      <w:r>
        <w:rPr>
          <w:rFonts w:ascii="Arial" w:hAnsi="Arial" w:eastAsia="宋体" w:cs="Arial"/>
          <w:snapToGrid w:val="0"/>
          <w:sz w:val="24"/>
          <w:lang w:eastAsia="zh-CN"/>
        </w:rPr>
        <w:t>CGMP</w:t>
      </w:r>
      <w:r>
        <w:rPr>
          <w:rFonts w:hint="eastAsia" w:ascii="Arial" w:hAnsi="Arial" w:eastAsia="宋体" w:cs="Arial"/>
          <w:snapToGrid w:val="0"/>
          <w:sz w:val="24"/>
          <w:lang w:eastAsia="zh-CN"/>
        </w:rPr>
        <w:t>要求与它们作为独立产品（不属于组合产品一部分）时的</w:t>
      </w:r>
      <w:r>
        <w:rPr>
          <w:rFonts w:ascii="Arial" w:hAnsi="Arial" w:eastAsia="宋体" w:cs="Arial"/>
          <w:snapToGrid w:val="0"/>
          <w:sz w:val="24"/>
          <w:lang w:eastAsia="zh-CN"/>
        </w:rPr>
        <w:t>CGMP</w:t>
      </w:r>
      <w:r>
        <w:rPr>
          <w:rFonts w:hint="eastAsia" w:ascii="Arial" w:hAnsi="Arial" w:eastAsia="宋体" w:cs="Arial"/>
          <w:snapToGrid w:val="0"/>
          <w:sz w:val="24"/>
          <w:lang w:eastAsia="zh-CN"/>
        </w:rPr>
        <w:t>要求相同（例如对于一种药品／器械组合产品，仅</w:t>
      </w:r>
      <w:r>
        <w:rPr>
          <w:rFonts w:ascii="Arial" w:hAnsi="Arial" w:eastAsia="宋体" w:cs="Arial"/>
          <w:snapToGrid w:val="0"/>
          <w:sz w:val="24"/>
          <w:lang w:eastAsia="zh-CN"/>
        </w:rPr>
        <w:t>210</w:t>
      </w:r>
      <w:r>
        <w:rPr>
          <w:rFonts w:hint="eastAsia" w:ascii="Arial" w:hAnsi="Arial" w:eastAsia="宋体" w:cs="Arial"/>
          <w:snapToGrid w:val="0"/>
          <w:sz w:val="24"/>
          <w:lang w:eastAsia="zh-CN"/>
        </w:rPr>
        <w:t>和</w:t>
      </w:r>
      <w:r>
        <w:rPr>
          <w:rFonts w:ascii="Arial" w:hAnsi="Arial" w:eastAsia="宋体" w:cs="Arial"/>
          <w:snapToGrid w:val="0"/>
          <w:sz w:val="24"/>
          <w:lang w:eastAsia="zh-CN"/>
        </w:rPr>
        <w:t>211</w:t>
      </w:r>
      <w:r>
        <w:rPr>
          <w:rFonts w:hint="eastAsia" w:ascii="Arial" w:hAnsi="Arial" w:eastAsia="宋体" w:cs="Arial"/>
          <w:snapToGrid w:val="0"/>
          <w:sz w:val="24"/>
          <w:lang w:eastAsia="zh-CN"/>
        </w:rPr>
        <w:t>部分</w:t>
      </w:r>
      <w:r>
        <w:rPr>
          <w:rFonts w:ascii="Arial" w:hAnsi="Arial" w:eastAsia="宋体" w:cs="Arial"/>
          <w:snapToGrid w:val="0"/>
          <w:sz w:val="24"/>
          <w:lang w:eastAsia="zh-CN"/>
        </w:rPr>
        <w:t>（21 CFR</w:t>
      </w:r>
      <w:r>
        <w:rPr>
          <w:rFonts w:hint="eastAsia" w:ascii="Arial" w:hAnsi="Arial" w:eastAsia="宋体" w:cs="Arial"/>
          <w:snapToGrid w:val="0"/>
          <w:sz w:val="24"/>
          <w:lang w:eastAsia="zh-CN"/>
        </w:rPr>
        <w:t>第</w:t>
      </w:r>
      <w:r>
        <w:rPr>
          <w:rFonts w:ascii="Arial" w:hAnsi="Arial" w:eastAsia="宋体" w:cs="Arial"/>
          <w:snapToGrid w:val="0"/>
          <w:sz w:val="24"/>
          <w:lang w:eastAsia="zh-CN"/>
        </w:rPr>
        <w:t>210</w:t>
      </w:r>
      <w:r>
        <w:rPr>
          <w:rFonts w:hint="eastAsia" w:ascii="Arial" w:hAnsi="Arial" w:eastAsia="宋体" w:cs="Arial"/>
          <w:snapToGrid w:val="0"/>
          <w:sz w:val="24"/>
          <w:lang w:eastAsia="zh-CN"/>
        </w:rPr>
        <w:t>和</w:t>
      </w:r>
      <w:r>
        <w:rPr>
          <w:rFonts w:ascii="Arial" w:hAnsi="Arial" w:eastAsia="宋体" w:cs="Arial"/>
          <w:snapToGrid w:val="0"/>
          <w:sz w:val="24"/>
          <w:lang w:eastAsia="zh-CN"/>
        </w:rPr>
        <w:t>211</w:t>
      </w:r>
      <w:r>
        <w:rPr>
          <w:rFonts w:hint="eastAsia" w:ascii="Arial" w:hAnsi="Arial" w:eastAsia="宋体" w:cs="Arial"/>
          <w:snapToGrid w:val="0"/>
          <w:sz w:val="24"/>
          <w:lang w:eastAsia="zh-CN"/>
        </w:rPr>
        <w:t>部分</w:t>
      </w:r>
      <w:r>
        <w:rPr>
          <w:rFonts w:ascii="Arial" w:hAnsi="Arial" w:eastAsia="宋体" w:cs="Arial"/>
          <w:snapToGrid w:val="0"/>
          <w:sz w:val="24"/>
          <w:lang w:eastAsia="zh-CN"/>
        </w:rPr>
        <w:t>）</w:t>
      </w:r>
      <w:r>
        <w:rPr>
          <w:rFonts w:hint="eastAsia" w:ascii="Arial" w:hAnsi="Arial" w:eastAsia="宋体" w:cs="Arial"/>
          <w:snapToGrid w:val="0"/>
          <w:sz w:val="24"/>
          <w:lang w:eastAsia="zh-CN"/>
        </w:rPr>
        <w:t>适用于交叉标签组合产品药品组成部分的制造，仅</w:t>
      </w:r>
      <w:r>
        <w:rPr>
          <w:rFonts w:ascii="Arial" w:hAnsi="Arial" w:eastAsia="宋体" w:cs="Arial"/>
          <w:snapToGrid w:val="0"/>
          <w:sz w:val="24"/>
          <w:lang w:eastAsia="zh-CN"/>
        </w:rPr>
        <w:t>820</w:t>
      </w:r>
      <w:r>
        <w:rPr>
          <w:rFonts w:hint="eastAsia" w:ascii="Arial" w:hAnsi="Arial" w:eastAsia="宋体" w:cs="Arial"/>
          <w:snapToGrid w:val="0"/>
          <w:sz w:val="24"/>
          <w:lang w:eastAsia="zh-CN"/>
        </w:rPr>
        <w:t>部分</w:t>
      </w:r>
      <w:r>
        <w:rPr>
          <w:rFonts w:ascii="Arial" w:hAnsi="Arial" w:eastAsia="宋体" w:cs="Arial"/>
          <w:snapToGrid w:val="0"/>
          <w:sz w:val="24"/>
          <w:lang w:eastAsia="zh-CN"/>
        </w:rPr>
        <w:t>（21 CFR</w:t>
      </w:r>
      <w:r>
        <w:rPr>
          <w:rFonts w:hint="eastAsia" w:ascii="Arial" w:hAnsi="Arial" w:eastAsia="宋体" w:cs="Arial"/>
          <w:snapToGrid w:val="0"/>
          <w:sz w:val="24"/>
          <w:lang w:eastAsia="zh-CN"/>
        </w:rPr>
        <w:t>第</w:t>
      </w:r>
      <w:r>
        <w:rPr>
          <w:rFonts w:ascii="Arial" w:hAnsi="Arial" w:eastAsia="宋体" w:cs="Arial"/>
          <w:snapToGrid w:val="0"/>
          <w:sz w:val="24"/>
          <w:lang w:eastAsia="zh-CN"/>
        </w:rPr>
        <w:t>820</w:t>
      </w:r>
      <w:r>
        <w:rPr>
          <w:rFonts w:hint="eastAsia" w:ascii="Arial" w:hAnsi="Arial" w:eastAsia="宋体" w:cs="Arial"/>
          <w:snapToGrid w:val="0"/>
          <w:sz w:val="24"/>
          <w:lang w:eastAsia="zh-CN"/>
        </w:rPr>
        <w:t>部分</w:t>
      </w:r>
      <w:r>
        <w:rPr>
          <w:rFonts w:ascii="Arial" w:hAnsi="Arial" w:eastAsia="宋体" w:cs="Arial"/>
          <w:snapToGrid w:val="0"/>
          <w:sz w:val="24"/>
          <w:lang w:eastAsia="zh-CN"/>
        </w:rPr>
        <w:t>）</w:t>
      </w:r>
      <w:r>
        <w:rPr>
          <w:rFonts w:hint="eastAsia" w:ascii="Arial" w:hAnsi="Arial" w:eastAsia="宋体" w:cs="Arial"/>
          <w:snapToGrid w:val="0"/>
          <w:sz w:val="24"/>
          <w:lang w:eastAsia="zh-CN"/>
        </w:rPr>
        <w:t>适用于器械组成部分）。关于交叉标签组合产品，第4部分的唯一目的是阐明适用于药品、器械或生物制剂的</w:t>
      </w:r>
      <w:r>
        <w:rPr>
          <w:rFonts w:ascii="Arial" w:hAnsi="Arial" w:eastAsia="宋体" w:cs="Arial"/>
          <w:snapToGrid w:val="0"/>
          <w:sz w:val="24"/>
          <w:lang w:eastAsia="zh-CN"/>
        </w:rPr>
        <w:t>CGMP</w:t>
      </w:r>
      <w:r>
        <w:rPr>
          <w:rFonts w:hint="eastAsia" w:ascii="Arial" w:hAnsi="Arial" w:eastAsia="宋体" w:cs="Arial"/>
          <w:snapToGrid w:val="0"/>
          <w:sz w:val="24"/>
          <w:lang w:eastAsia="zh-CN"/>
        </w:rPr>
        <w:t>义务在它们作为交叉标签组合产品的组成部分时也适用。</w:t>
      </w:r>
    </w:p>
    <w:p w14:paraId="5A3F596B">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72BA7C2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由于交叉标签组合产品的组成部分仅需遵守其作为独立产品时适用的要求（例如药品组成部分需遵守第211部分或器械组成部分需遵守第820部分），因此（下文讨论的）</w:t>
      </w:r>
      <w:r>
        <w:rPr>
          <w:rFonts w:hint="eastAsia" w:ascii="宋体" w:hAnsi="宋体" w:eastAsia="宋体" w:cs="Arial"/>
          <w:snapToGrid w:val="0"/>
          <w:lang w:eastAsia="zh-CN"/>
        </w:rPr>
        <w:t>“</w:t>
      </w:r>
      <w:r>
        <w:rPr>
          <w:rFonts w:hint="eastAsia" w:ascii="Arial" w:hAnsi="Arial" w:eastAsia="宋体" w:cs="Arial"/>
          <w:snapToGrid w:val="0"/>
          <w:lang w:eastAsia="zh-CN"/>
        </w:rPr>
        <w:t>简化方法</w:t>
      </w:r>
      <w:r>
        <w:rPr>
          <w:rFonts w:hint="eastAsia" w:ascii="宋体" w:hAnsi="宋体" w:eastAsia="宋体" w:cs="Arial"/>
          <w:snapToGrid w:val="0"/>
          <w:lang w:eastAsia="zh-CN"/>
        </w:rPr>
        <w:t>”</w:t>
      </w:r>
      <w:r>
        <w:rPr>
          <w:rFonts w:hint="eastAsia" w:ascii="Arial" w:hAnsi="Arial" w:eastAsia="宋体" w:cs="Arial"/>
          <w:snapToGrid w:val="0"/>
          <w:lang w:eastAsia="zh-CN"/>
        </w:rPr>
        <w:t>通常与其不相关或对其不适用。然而，如果交叉标签组合产品的组成部分在同一机构中制造，制造过程就会类似于组合包装组合产品的组成部分在同一机构制造的情况。因此，在同一机构中制造交叉标签组合产品时，机构不会反对使用简化的CGMP操作系统来制造组合产品，而不是在该机构内分别使用不同的系统制造各组成部分。我们认为这个方法与第4部分的原则一致。</w:t>
      </w:r>
    </w:p>
    <w:p w14:paraId="674F573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对于单个实体组合产品和组合包装组合产品，第4部分指出了两种证明符合</w:t>
      </w:r>
      <w:r>
        <w:rPr>
          <w:rFonts w:ascii="Arial" w:hAnsi="Arial" w:eastAsia="宋体" w:cs="Arial"/>
          <w:snapToGrid w:val="0"/>
          <w:lang w:eastAsia="zh-CN"/>
        </w:rPr>
        <w:t>CGMP</w:t>
      </w:r>
      <w:r>
        <w:rPr>
          <w:rFonts w:hint="eastAsia" w:ascii="Arial" w:hAnsi="Arial" w:eastAsia="宋体" w:cs="Arial"/>
          <w:snapToGrid w:val="0"/>
          <w:lang w:eastAsia="zh-CN"/>
        </w:rPr>
        <w:t>要求的方法。根据第一种方法，制造商证明符合适用于组合产品内包含的各组成部分的所有</w:t>
      </w:r>
      <w:r>
        <w:rPr>
          <w:rFonts w:ascii="Arial" w:hAnsi="Arial" w:eastAsia="宋体" w:cs="Arial"/>
          <w:snapToGrid w:val="0"/>
          <w:lang w:eastAsia="zh-CN"/>
        </w:rPr>
        <w:t>CGMP</w:t>
      </w:r>
      <w:r>
        <w:rPr>
          <w:rFonts w:hint="eastAsia" w:ascii="Arial" w:hAnsi="Arial" w:eastAsia="宋体" w:cs="Arial"/>
          <w:snapToGrid w:val="0"/>
          <w:lang w:eastAsia="zh-CN"/>
        </w:rPr>
        <w:t>条例。</w:t>
      </w:r>
      <w:r>
        <w:rPr>
          <w:rStyle w:val="17"/>
          <w:rFonts w:ascii="Arial" w:hAnsi="Arial" w:eastAsia="宋体" w:cs="Arial"/>
          <w:snapToGrid w:val="0"/>
          <w:lang w:eastAsia="zh-CN"/>
        </w:rPr>
        <w:footnoteReference w:id="5"/>
      </w:r>
      <w:r>
        <w:rPr>
          <w:rFonts w:hint="eastAsia" w:ascii="Arial" w:hAnsi="Arial" w:eastAsia="宋体" w:cs="Arial"/>
          <w:snapToGrid w:val="0"/>
          <w:lang w:eastAsia="zh-CN"/>
        </w:rPr>
        <w:t>根据第二种方法，制造商对既包含药品也包含器械的组合产品实施简化方法，证明其符合药品</w:t>
      </w:r>
      <w:r>
        <w:rPr>
          <w:rFonts w:ascii="Arial" w:hAnsi="Arial" w:eastAsia="宋体" w:cs="Arial"/>
          <w:snapToGrid w:val="0"/>
          <w:lang w:eastAsia="zh-CN"/>
        </w:rPr>
        <w:t>CGMP（21 CFR</w:t>
      </w:r>
      <w:r>
        <w:rPr>
          <w:rFonts w:hint="eastAsia" w:ascii="Arial" w:hAnsi="Arial" w:eastAsia="宋体" w:cs="Arial"/>
          <w:snapToGrid w:val="0"/>
          <w:lang w:eastAsia="zh-CN"/>
        </w:rPr>
        <w:t>第</w:t>
      </w:r>
      <w:r>
        <w:rPr>
          <w:rFonts w:ascii="Arial" w:hAnsi="Arial" w:eastAsia="宋体" w:cs="Arial"/>
          <w:snapToGrid w:val="0"/>
          <w:lang w:eastAsia="zh-CN"/>
        </w:rPr>
        <w:t>210</w:t>
      </w:r>
      <w:r>
        <w:rPr>
          <w:rFonts w:hint="eastAsia" w:ascii="Arial" w:hAnsi="Arial" w:eastAsia="宋体" w:cs="Arial"/>
          <w:snapToGrid w:val="0"/>
          <w:lang w:eastAsia="zh-CN"/>
        </w:rPr>
        <w:t>和</w:t>
      </w:r>
      <w:r>
        <w:rPr>
          <w:rFonts w:ascii="Arial" w:hAnsi="Arial" w:eastAsia="宋体" w:cs="Arial"/>
          <w:snapToGrid w:val="0"/>
          <w:lang w:eastAsia="zh-CN"/>
        </w:rPr>
        <w:t>211</w:t>
      </w:r>
      <w:r>
        <w:rPr>
          <w:rFonts w:hint="eastAsia" w:ascii="Arial" w:hAnsi="Arial" w:eastAsia="宋体" w:cs="Arial"/>
          <w:snapToGrid w:val="0"/>
          <w:lang w:eastAsia="zh-CN"/>
        </w:rPr>
        <w:t>部分</w:t>
      </w:r>
      <w:r>
        <w:rPr>
          <w:rFonts w:ascii="Arial" w:hAnsi="Arial" w:eastAsia="宋体" w:cs="Arial"/>
          <w:snapToGrid w:val="0"/>
          <w:lang w:eastAsia="zh-CN"/>
        </w:rPr>
        <w:t>）</w:t>
      </w:r>
      <w:r>
        <w:rPr>
          <w:rFonts w:hint="eastAsia" w:ascii="Arial" w:hAnsi="Arial" w:eastAsia="宋体" w:cs="Arial"/>
          <w:snapToGrid w:val="0"/>
          <w:lang w:eastAsia="zh-CN"/>
        </w:rPr>
        <w:t>或器械质量体系</w:t>
      </w:r>
      <w:r>
        <w:rPr>
          <w:rFonts w:ascii="Arial" w:hAnsi="Arial" w:eastAsia="宋体" w:cs="Arial"/>
          <w:snapToGrid w:val="0"/>
          <w:lang w:eastAsia="zh-CN"/>
        </w:rPr>
        <w:t>（QS）</w:t>
      </w:r>
      <w:r>
        <w:rPr>
          <w:rFonts w:hint="eastAsia" w:ascii="Arial" w:hAnsi="Arial" w:eastAsia="宋体" w:cs="Arial"/>
          <w:snapToGrid w:val="0"/>
          <w:lang w:eastAsia="zh-CN"/>
        </w:rPr>
        <w:t>规章</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820</w:t>
      </w:r>
      <w:r>
        <w:rPr>
          <w:rFonts w:hint="eastAsia" w:ascii="Arial" w:hAnsi="Arial" w:eastAsia="宋体" w:cs="Arial"/>
          <w:snapToGrid w:val="0"/>
          <w:lang w:eastAsia="zh-CN"/>
        </w:rPr>
        <w:t>部分</w:t>
      </w:r>
      <w:r>
        <w:rPr>
          <w:rFonts w:ascii="Arial" w:hAnsi="Arial" w:eastAsia="宋体" w:cs="Arial"/>
          <w:snapToGrid w:val="0"/>
          <w:lang w:eastAsia="zh-CN"/>
        </w:rPr>
        <w:t>）</w:t>
      </w:r>
      <w:r>
        <w:rPr>
          <w:rFonts w:hint="eastAsia" w:ascii="Arial" w:hAnsi="Arial" w:eastAsia="宋体" w:cs="Arial"/>
          <w:snapToGrid w:val="0"/>
          <w:lang w:eastAsia="zh-CN"/>
        </w:rPr>
        <w:t>，并证明其符合两种</w:t>
      </w:r>
      <w:r>
        <w:rPr>
          <w:rFonts w:ascii="Arial" w:hAnsi="Arial" w:eastAsia="宋体" w:cs="Arial"/>
          <w:snapToGrid w:val="0"/>
          <w:lang w:eastAsia="zh-CN"/>
        </w:rPr>
        <w:t>CGMP</w:t>
      </w:r>
      <w:r>
        <w:rPr>
          <w:rFonts w:hint="eastAsia" w:ascii="Arial" w:hAnsi="Arial" w:eastAsia="宋体" w:cs="Arial"/>
          <w:snapToGrid w:val="0"/>
          <w:lang w:eastAsia="zh-CN"/>
        </w:rPr>
        <w:t>要求中另一套要求的指定条款。</w:t>
      </w:r>
      <w:r>
        <w:rPr>
          <w:rStyle w:val="17"/>
          <w:rFonts w:ascii="Arial" w:hAnsi="Arial" w:eastAsia="宋体" w:cs="Arial"/>
          <w:snapToGrid w:val="0"/>
          <w:lang w:eastAsia="zh-CN"/>
        </w:rPr>
        <w:footnoteReference w:id="6"/>
      </w:r>
      <w:r>
        <w:rPr>
          <w:rFonts w:ascii="Arial" w:hAnsi="Arial" w:eastAsia="宋体" w:cs="Arial"/>
          <w:snapToGrid w:val="0"/>
          <w:vertAlign w:val="superscript"/>
          <w:lang w:eastAsia="zh-CN"/>
        </w:rPr>
        <w:t>,</w:t>
      </w:r>
      <w:r>
        <w:rPr>
          <w:rStyle w:val="17"/>
          <w:rFonts w:ascii="Arial" w:hAnsi="Arial" w:eastAsia="宋体" w:cs="Arial"/>
          <w:snapToGrid w:val="0"/>
          <w:lang w:eastAsia="zh-CN"/>
        </w:rPr>
        <w:footnoteReference w:id="7"/>
      </w:r>
      <w:r>
        <w:rPr>
          <w:rFonts w:hint="eastAsia" w:ascii="Arial" w:hAnsi="Arial" w:eastAsia="宋体" w:cs="Arial"/>
          <w:snapToGrid w:val="0"/>
          <w:lang w:eastAsia="zh-CN"/>
        </w:rPr>
        <w:t>此外，对于包含生物制剂的组合产品，制造商必须证明符合第600至680部分（</w:t>
      </w:r>
      <w:r>
        <w:rPr>
          <w:rFonts w:ascii="Arial" w:hAnsi="Arial" w:eastAsia="宋体" w:cs="Arial"/>
          <w:snapToGrid w:val="0"/>
          <w:lang w:eastAsia="zh-CN"/>
        </w:rPr>
        <w:t>21 CFR</w:t>
      </w:r>
      <w:r>
        <w:rPr>
          <w:rFonts w:hint="eastAsia" w:ascii="Arial" w:hAnsi="Arial" w:eastAsia="宋体" w:cs="Arial"/>
          <w:snapToGrid w:val="0"/>
          <w:lang w:eastAsia="zh-CN"/>
        </w:rPr>
        <w:t>第600至680部分）中针对生物制剂的</w:t>
      </w:r>
      <w:r>
        <w:rPr>
          <w:rFonts w:ascii="Arial" w:hAnsi="Arial" w:eastAsia="宋体" w:cs="Arial"/>
          <w:snapToGrid w:val="0"/>
          <w:lang w:eastAsia="zh-CN"/>
        </w:rPr>
        <w:t>CGMP</w:t>
      </w:r>
      <w:r>
        <w:rPr>
          <w:rFonts w:hint="eastAsia" w:ascii="Arial" w:hAnsi="Arial" w:eastAsia="宋体" w:cs="Arial"/>
          <w:snapToGrid w:val="0"/>
          <w:lang w:eastAsia="zh-CN"/>
        </w:rPr>
        <w:t>要求。对于包含任何</w:t>
      </w:r>
      <w:r>
        <w:rPr>
          <w:rFonts w:ascii="Arial" w:hAnsi="Arial" w:eastAsia="宋体" w:cs="Arial"/>
          <w:snapToGrid w:val="0"/>
          <w:lang w:eastAsia="zh-CN"/>
        </w:rPr>
        <w:t>HCT/P</w:t>
      </w:r>
      <w:r>
        <w:rPr>
          <w:rFonts w:hint="eastAsia" w:ascii="Arial" w:hAnsi="Arial" w:eastAsia="宋体" w:cs="Arial"/>
          <w:snapToGrid w:val="0"/>
          <w:lang w:eastAsia="zh-CN"/>
        </w:rPr>
        <w:t>的组合产品，制造商必须证明其符合第</w:t>
      </w:r>
      <w:r>
        <w:rPr>
          <w:rFonts w:ascii="Arial" w:hAnsi="Arial" w:eastAsia="宋体" w:cs="Arial"/>
          <w:snapToGrid w:val="0"/>
          <w:lang w:eastAsia="zh-CN"/>
        </w:rPr>
        <w:t>1271</w:t>
      </w:r>
      <w:r>
        <w:rPr>
          <w:rFonts w:hint="eastAsia" w:ascii="Arial" w:hAnsi="Arial" w:eastAsia="宋体" w:cs="Arial"/>
          <w:snapToGrid w:val="0"/>
          <w:lang w:eastAsia="zh-CN"/>
        </w:rPr>
        <w:t>部分的条例</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1271</w:t>
      </w:r>
      <w:r>
        <w:rPr>
          <w:rFonts w:hint="eastAsia" w:ascii="Arial" w:hAnsi="Arial" w:eastAsia="宋体" w:cs="Arial"/>
          <w:snapToGrid w:val="0"/>
          <w:lang w:eastAsia="zh-CN"/>
        </w:rPr>
        <w:t>部分</w:t>
      </w:r>
      <w:r>
        <w:rPr>
          <w:rFonts w:ascii="Arial" w:hAnsi="Arial" w:eastAsia="宋体" w:cs="Arial"/>
          <w:snapToGrid w:val="0"/>
          <w:lang w:eastAsia="zh-CN"/>
        </w:rPr>
        <w:t>）</w:t>
      </w:r>
      <w:r>
        <w:rPr>
          <w:rFonts w:hint="eastAsia" w:ascii="Arial" w:hAnsi="Arial" w:eastAsia="宋体" w:cs="Arial"/>
          <w:snapToGrid w:val="0"/>
          <w:lang w:eastAsia="zh-CN"/>
        </w:rPr>
        <w:t>—包括</w:t>
      </w:r>
      <w:bookmarkStart w:id="27" w:name="OLE_LINK22"/>
      <w:bookmarkStart w:id="28" w:name="OLE_LINK21"/>
      <w:r>
        <w:rPr>
          <w:rFonts w:hint="eastAsia" w:ascii="Arial" w:hAnsi="Arial" w:eastAsia="宋体" w:cs="Arial"/>
          <w:snapToGrid w:val="0"/>
          <w:lang w:eastAsia="zh-CN"/>
        </w:rPr>
        <w:t>现行良好组织规范</w:t>
      </w:r>
      <w:bookmarkEnd w:id="27"/>
      <w:bookmarkEnd w:id="28"/>
      <w:r>
        <w:rPr>
          <w:rFonts w:ascii="Arial" w:hAnsi="Arial" w:eastAsia="宋体" w:cs="Arial"/>
          <w:snapToGrid w:val="0"/>
          <w:lang w:eastAsia="zh-CN"/>
        </w:rPr>
        <w:t>（CGTP）</w:t>
      </w:r>
      <w:r>
        <w:rPr>
          <w:rFonts w:hint="eastAsia" w:ascii="Arial" w:hAnsi="Arial" w:eastAsia="宋体" w:cs="Arial"/>
          <w:snapToGrid w:val="0"/>
          <w:lang w:eastAsia="zh-CN"/>
        </w:rPr>
        <w:t>要求和捐献者资格要求。</w:t>
      </w:r>
      <w:r>
        <w:rPr>
          <w:rStyle w:val="17"/>
          <w:rFonts w:ascii="Arial" w:hAnsi="Arial" w:eastAsia="宋体" w:cs="Arial"/>
          <w:snapToGrid w:val="0"/>
          <w:lang w:eastAsia="zh-CN"/>
        </w:rPr>
        <w:footnoteReference w:id="8"/>
      </w:r>
      <w:r>
        <w:rPr>
          <w:rFonts w:ascii="Arial" w:hAnsi="Arial" w:eastAsia="宋体" w:cs="Arial"/>
          <w:snapToGrid w:val="0"/>
          <w:vertAlign w:val="superscript"/>
          <w:lang w:eastAsia="zh-CN"/>
        </w:rPr>
        <w:t xml:space="preserve">, </w:t>
      </w:r>
      <w:r>
        <w:rPr>
          <w:rStyle w:val="17"/>
          <w:rFonts w:ascii="Arial" w:hAnsi="Arial" w:eastAsia="宋体" w:cs="Arial"/>
          <w:snapToGrid w:val="0"/>
          <w:lang w:eastAsia="zh-CN"/>
        </w:rPr>
        <w:footnoteReference w:id="9"/>
      </w:r>
      <w:r>
        <w:rPr>
          <w:rFonts w:ascii="Arial" w:hAnsi="Arial" w:eastAsia="宋体" w:cs="Arial"/>
          <w:snapToGrid w:val="0"/>
          <w:vertAlign w:val="superscript"/>
          <w:lang w:eastAsia="zh-CN"/>
        </w:rPr>
        <w:t xml:space="preserve">, </w:t>
      </w:r>
      <w:r>
        <w:rPr>
          <w:rStyle w:val="17"/>
          <w:rFonts w:ascii="Arial" w:hAnsi="Arial" w:eastAsia="宋体" w:cs="Arial"/>
          <w:snapToGrid w:val="0"/>
          <w:lang w:eastAsia="zh-CN"/>
        </w:rPr>
        <w:footnoteReference w:id="10"/>
      </w:r>
    </w:p>
    <w:p w14:paraId="59A0FBF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特别地，</w:t>
      </w:r>
      <w:r>
        <w:rPr>
          <w:rFonts w:ascii="Arial" w:hAnsi="Arial" w:eastAsia="宋体" w:cs="Arial"/>
          <w:snapToGrid w:val="0"/>
          <w:lang w:eastAsia="zh-CN"/>
        </w:rPr>
        <w:t>21 CFR 4.4（b）</w:t>
      </w:r>
      <w:r>
        <w:rPr>
          <w:rFonts w:hint="eastAsia" w:ascii="Arial" w:hAnsi="Arial" w:eastAsia="宋体" w:cs="Arial"/>
          <w:snapToGrid w:val="0"/>
          <w:lang w:eastAsia="zh-CN"/>
        </w:rPr>
        <w:t>中的简化方法规定，组合产品制造商可通过设计并实施一种证明符合下面其中一种要求的</w:t>
      </w:r>
      <w:r>
        <w:rPr>
          <w:rFonts w:ascii="Arial" w:hAnsi="Arial" w:eastAsia="宋体" w:cs="Arial"/>
          <w:snapToGrid w:val="0"/>
          <w:lang w:eastAsia="zh-CN"/>
        </w:rPr>
        <w:t>CGMP</w:t>
      </w:r>
      <w:r>
        <w:rPr>
          <w:rFonts w:hint="eastAsia" w:ascii="Arial" w:hAnsi="Arial" w:eastAsia="宋体" w:cs="Arial"/>
          <w:snapToGrid w:val="0"/>
          <w:lang w:eastAsia="zh-CN"/>
        </w:rPr>
        <w:t>操作系统以同时满足药品</w:t>
      </w:r>
      <w:r>
        <w:rPr>
          <w:rFonts w:ascii="Arial" w:hAnsi="Arial" w:eastAsia="宋体" w:cs="Arial"/>
          <w:snapToGrid w:val="0"/>
          <w:lang w:eastAsia="zh-CN"/>
        </w:rPr>
        <w:t>CGMP</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w:t>
      </w:r>
    </w:p>
    <w:p w14:paraId="2B172DE1">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29" w:name="_bookmark13"/>
      <w:bookmarkEnd w:id="29"/>
      <w:r>
        <w:rPr>
          <w:rFonts w:ascii="Arial" w:hAnsi="Arial" w:eastAsia="宋体" w:cs="Arial"/>
          <w:snapToGrid w:val="0"/>
          <w:sz w:val="24"/>
          <w:szCs w:val="20"/>
          <w:lang w:eastAsia="zh-CN"/>
        </w:rPr>
        <w:br w:type="page"/>
      </w:r>
    </w:p>
    <w:p w14:paraId="7755673D">
      <w:pPr>
        <w:pStyle w:val="5"/>
        <w:numPr>
          <w:ilvl w:val="0"/>
          <w:numId w:val="3"/>
        </w:numPr>
        <w:topLinePunct/>
        <w:adjustRightInd w:val="0"/>
        <w:snapToGrid w:val="0"/>
        <w:spacing w:after="224" w:afterLines="75" w:line="288" w:lineRule="auto"/>
        <w:ind w:left="994" w:leftChars="262" w:hanging="418"/>
        <w:jc w:val="both"/>
        <w:rPr>
          <w:rFonts w:ascii="Arial" w:hAnsi="Arial" w:eastAsia="宋体" w:cs="Arial"/>
          <w:snapToGrid w:val="0"/>
          <w:lang w:eastAsia="zh-CN"/>
        </w:rPr>
      </w:pPr>
      <w:r>
        <w:rPr>
          <w:rFonts w:hint="eastAsia" w:ascii="Arial" w:hAnsi="Arial" w:eastAsia="宋体" w:cs="Arial"/>
          <w:snapToGrid w:val="0"/>
          <w:lang w:eastAsia="zh-CN"/>
        </w:rPr>
        <w:t>药品</w:t>
      </w:r>
      <w:r>
        <w:rPr>
          <w:rFonts w:ascii="Arial" w:hAnsi="Arial" w:eastAsia="宋体" w:cs="Arial"/>
          <w:snapToGrid w:val="0"/>
          <w:lang w:eastAsia="zh-CN"/>
        </w:rPr>
        <w:t>CGMP</w:t>
      </w:r>
      <w:r>
        <w:rPr>
          <w:rFonts w:hint="eastAsia" w:ascii="Arial" w:hAnsi="Arial" w:eastAsia="宋体" w:cs="Arial"/>
          <w:snapToGrid w:val="0"/>
          <w:lang w:eastAsia="zh-CN"/>
        </w:rPr>
        <w:t>和依照</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）（基于药品</w:t>
      </w:r>
      <w:r>
        <w:rPr>
          <w:rFonts w:ascii="Arial" w:hAnsi="Arial" w:eastAsia="宋体" w:cs="Arial"/>
          <w:snapToGrid w:val="0"/>
          <w:lang w:eastAsia="zh-CN"/>
        </w:rPr>
        <w:t>CGMP</w:t>
      </w:r>
      <w:r>
        <w:rPr>
          <w:rFonts w:hint="eastAsia" w:ascii="Arial" w:hAnsi="Arial" w:eastAsia="宋体" w:cs="Arial"/>
          <w:snapToGrid w:val="0"/>
          <w:lang w:eastAsia="zh-CN"/>
        </w:rPr>
        <w:t>的简化方法）从器械</w:t>
      </w:r>
      <w:r>
        <w:rPr>
          <w:rFonts w:ascii="Arial" w:hAnsi="Arial" w:eastAsia="宋体" w:cs="Arial"/>
          <w:snapToGrid w:val="0"/>
          <w:lang w:eastAsia="zh-CN"/>
        </w:rPr>
        <w:t>QS</w:t>
      </w:r>
      <w:r>
        <w:rPr>
          <w:rFonts w:hint="eastAsia" w:ascii="Arial" w:hAnsi="Arial" w:eastAsia="宋体" w:cs="Arial"/>
          <w:snapToGrid w:val="0"/>
          <w:lang w:eastAsia="zh-CN"/>
        </w:rPr>
        <w:t>规章中产生的条款：</w:t>
      </w:r>
    </w:p>
    <w:p w14:paraId="4648D366">
      <w:pPr>
        <w:pStyle w:val="5"/>
        <w:numPr>
          <w:ilvl w:val="0"/>
          <w:numId w:val="4"/>
        </w:numPr>
        <w:tabs>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21 CFR 820.20</w:t>
      </w:r>
      <w:r>
        <w:rPr>
          <w:rFonts w:ascii="Arial" w:hAnsi="Arial" w:eastAsia="宋体" w:cs="Arial"/>
          <w:snapToGrid w:val="0"/>
        </w:rPr>
        <w:tab/>
      </w:r>
      <w:r>
        <w:rPr>
          <w:rFonts w:hint="eastAsia" w:ascii="Arial" w:hAnsi="Arial" w:eastAsia="宋体" w:cs="Arial"/>
          <w:snapToGrid w:val="0"/>
          <w:lang w:eastAsia="zh-CN"/>
        </w:rPr>
        <w:t>管理责任</w:t>
      </w:r>
    </w:p>
    <w:p w14:paraId="66774A31">
      <w:pPr>
        <w:pStyle w:val="5"/>
        <w:numPr>
          <w:ilvl w:val="0"/>
          <w:numId w:val="4"/>
        </w:numPr>
        <w:tabs>
          <w:tab w:val="left" w:pos="1194"/>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CFR 820.30</w:t>
      </w:r>
      <w:r>
        <w:rPr>
          <w:rFonts w:ascii="Arial" w:hAnsi="Arial" w:eastAsia="宋体" w:cs="Arial"/>
          <w:snapToGrid w:val="0"/>
        </w:rPr>
        <w:tab/>
      </w:r>
      <w:r>
        <w:rPr>
          <w:rFonts w:hint="eastAsia" w:ascii="Arial" w:hAnsi="Arial" w:eastAsia="宋体" w:cs="Arial"/>
          <w:snapToGrid w:val="0"/>
          <w:lang w:eastAsia="zh-CN"/>
        </w:rPr>
        <w:t>设计控制</w:t>
      </w:r>
    </w:p>
    <w:p w14:paraId="7BBAAD74">
      <w:pPr>
        <w:pStyle w:val="5"/>
        <w:numPr>
          <w:ilvl w:val="0"/>
          <w:numId w:val="4"/>
        </w:numPr>
        <w:tabs>
          <w:tab w:val="left" w:pos="1262"/>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21 CFR 820.50</w:t>
      </w:r>
      <w:r>
        <w:rPr>
          <w:rFonts w:ascii="Arial" w:hAnsi="Arial" w:eastAsia="宋体" w:cs="Arial"/>
          <w:snapToGrid w:val="0"/>
        </w:rPr>
        <w:tab/>
      </w:r>
      <w:r>
        <w:rPr>
          <w:rFonts w:hint="eastAsia" w:ascii="Arial" w:hAnsi="Arial" w:eastAsia="宋体" w:cs="Arial"/>
          <w:snapToGrid w:val="0"/>
          <w:lang w:eastAsia="zh-CN"/>
        </w:rPr>
        <w:t>采购控制</w:t>
      </w:r>
    </w:p>
    <w:p w14:paraId="3A0C8CB8">
      <w:pPr>
        <w:pStyle w:val="5"/>
        <w:numPr>
          <w:ilvl w:val="0"/>
          <w:numId w:val="4"/>
        </w:numPr>
        <w:tabs>
          <w:tab w:val="left" w:pos="1248"/>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lang w:eastAsia="zh-CN"/>
        </w:rPr>
      </w:pPr>
      <w:r>
        <w:rPr>
          <w:rFonts w:ascii="Arial" w:hAnsi="Arial" w:eastAsia="宋体" w:cs="Arial"/>
          <w:snapToGrid w:val="0"/>
          <w:lang w:eastAsia="zh-CN"/>
        </w:rPr>
        <w:t>21 CFR 820.100</w:t>
      </w:r>
      <w:r>
        <w:rPr>
          <w:rFonts w:ascii="Arial" w:hAnsi="Arial" w:eastAsia="宋体" w:cs="Arial"/>
          <w:snapToGrid w:val="0"/>
          <w:lang w:eastAsia="zh-CN"/>
        </w:rPr>
        <w:tab/>
      </w:r>
      <w:r>
        <w:rPr>
          <w:rFonts w:hint="eastAsia" w:ascii="Arial" w:hAnsi="Arial" w:eastAsia="宋体" w:cs="Arial"/>
          <w:snapToGrid w:val="0"/>
          <w:lang w:eastAsia="zh-CN"/>
        </w:rPr>
        <w:t>纠正和预防措施</w:t>
      </w:r>
    </w:p>
    <w:p w14:paraId="5F9118F4">
      <w:pPr>
        <w:pStyle w:val="5"/>
        <w:numPr>
          <w:ilvl w:val="0"/>
          <w:numId w:val="4"/>
        </w:numPr>
        <w:tabs>
          <w:tab w:val="left" w:pos="1181"/>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21 CFR 820.170</w:t>
      </w:r>
      <w:r>
        <w:rPr>
          <w:rFonts w:ascii="Arial" w:hAnsi="Arial" w:eastAsia="宋体" w:cs="Arial"/>
          <w:snapToGrid w:val="0"/>
        </w:rPr>
        <w:tab/>
      </w:r>
      <w:r>
        <w:rPr>
          <w:rFonts w:hint="eastAsia" w:ascii="Arial" w:hAnsi="Arial" w:eastAsia="宋体" w:cs="Arial"/>
          <w:snapToGrid w:val="0"/>
          <w:lang w:eastAsia="zh-CN"/>
        </w:rPr>
        <w:t>安装</w:t>
      </w:r>
    </w:p>
    <w:p w14:paraId="464F4428">
      <w:pPr>
        <w:pStyle w:val="5"/>
        <w:numPr>
          <w:ilvl w:val="0"/>
          <w:numId w:val="4"/>
        </w:numPr>
        <w:tabs>
          <w:tab w:val="left" w:pos="1248"/>
          <w:tab w:val="left" w:pos="1498"/>
          <w:tab w:val="left" w:pos="4111"/>
        </w:tabs>
        <w:topLinePunct/>
        <w:adjustRightInd w:val="0"/>
        <w:snapToGrid w:val="0"/>
        <w:spacing w:after="224" w:afterLines="75" w:line="288" w:lineRule="auto"/>
        <w:ind w:left="1494" w:leftChars="450" w:hanging="504" w:hangingChars="210"/>
        <w:jc w:val="both"/>
        <w:rPr>
          <w:rFonts w:ascii="Arial" w:hAnsi="Arial" w:eastAsia="宋体" w:cs="Arial"/>
          <w:snapToGrid w:val="0"/>
        </w:rPr>
      </w:pPr>
      <w:r>
        <w:rPr>
          <w:rFonts w:ascii="Arial" w:hAnsi="Arial" w:eastAsia="宋体" w:cs="Arial"/>
          <w:snapToGrid w:val="0"/>
        </w:rPr>
        <w:t>21 CFR 820.200</w:t>
      </w:r>
      <w:r>
        <w:rPr>
          <w:rFonts w:ascii="Arial" w:hAnsi="Arial" w:eastAsia="宋体" w:cs="Arial"/>
          <w:snapToGrid w:val="0"/>
        </w:rPr>
        <w:tab/>
      </w:r>
      <w:r>
        <w:rPr>
          <w:rFonts w:hint="eastAsia" w:ascii="Arial" w:hAnsi="Arial" w:eastAsia="宋体" w:cs="Arial"/>
          <w:snapToGrid w:val="0"/>
          <w:lang w:eastAsia="zh-CN"/>
        </w:rPr>
        <w:t>维修</w:t>
      </w:r>
    </w:p>
    <w:p w14:paraId="51C4CE93">
      <w:pPr>
        <w:topLinePunct/>
        <w:adjustRightInd w:val="0"/>
        <w:snapToGrid w:val="0"/>
        <w:spacing w:after="224" w:afterLines="75" w:line="288" w:lineRule="auto"/>
        <w:ind w:left="990" w:leftChars="450"/>
        <w:jc w:val="both"/>
        <w:rPr>
          <w:rFonts w:ascii="Arial" w:hAnsi="Arial" w:eastAsia="宋体" w:cs="Arial"/>
          <w:snapToGrid w:val="0"/>
          <w:sz w:val="24"/>
          <w:szCs w:val="24"/>
          <w:lang w:eastAsia="zh-CN"/>
        </w:rPr>
      </w:pPr>
      <w:r>
        <w:rPr>
          <w:rFonts w:hint="eastAsia" w:ascii="Arial" w:hAnsi="Arial" w:eastAsia="宋体" w:cs="Arial"/>
          <w:i/>
          <w:snapToGrid w:val="0"/>
          <w:sz w:val="24"/>
          <w:lang w:eastAsia="zh-CN"/>
        </w:rPr>
        <w:t>或</w:t>
      </w:r>
    </w:p>
    <w:p w14:paraId="13E2F6F7">
      <w:pPr>
        <w:pStyle w:val="5"/>
        <w:numPr>
          <w:ilvl w:val="0"/>
          <w:numId w:val="3"/>
        </w:numPr>
        <w:topLinePunct/>
        <w:adjustRightInd w:val="0"/>
        <w:snapToGrid w:val="0"/>
        <w:spacing w:after="224" w:afterLines="75" w:line="288" w:lineRule="auto"/>
        <w:ind w:left="994" w:leftChars="262" w:hanging="418"/>
        <w:jc w:val="both"/>
        <w:rPr>
          <w:rFonts w:ascii="Arial" w:hAnsi="Arial" w:eastAsia="宋体" w:cs="Arial"/>
          <w:snapToGrid w:val="0"/>
          <w:lang w:eastAsia="zh-CN"/>
        </w:rPr>
      </w:pPr>
      <w:r>
        <w:rPr>
          <w:rFonts w:hint="eastAsia" w:ascii="Arial" w:hAnsi="Arial" w:eastAsia="宋体" w:cs="Arial"/>
          <w:snapToGrid w:val="0"/>
          <w:lang w:eastAsia="zh-CN"/>
        </w:rPr>
        <w:t>器械</w:t>
      </w:r>
      <w:r>
        <w:rPr>
          <w:rFonts w:ascii="Arial" w:hAnsi="Arial" w:eastAsia="宋体" w:cs="Arial"/>
          <w:snapToGrid w:val="0"/>
          <w:lang w:eastAsia="zh-CN"/>
        </w:rPr>
        <w:t>QS</w:t>
      </w:r>
      <w:r>
        <w:rPr>
          <w:rFonts w:hint="eastAsia" w:ascii="Arial" w:hAnsi="Arial" w:eastAsia="宋体" w:cs="Arial"/>
          <w:snapToGrid w:val="0"/>
          <w:lang w:eastAsia="zh-CN"/>
        </w:rPr>
        <w:t>规章和依照</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）（基于器械</w:t>
      </w:r>
      <w:r>
        <w:rPr>
          <w:rFonts w:ascii="Arial" w:hAnsi="Arial" w:eastAsia="宋体" w:cs="Arial"/>
          <w:snapToGrid w:val="0"/>
          <w:lang w:eastAsia="zh-CN"/>
        </w:rPr>
        <w:t>QS</w:t>
      </w:r>
      <w:r>
        <w:rPr>
          <w:rFonts w:hint="eastAsia" w:ascii="Arial" w:hAnsi="Arial" w:eastAsia="宋体" w:cs="Arial"/>
          <w:snapToGrid w:val="0"/>
          <w:lang w:eastAsia="zh-CN"/>
        </w:rPr>
        <w:t>规章的简化方法）从药品</w:t>
      </w:r>
      <w:r>
        <w:rPr>
          <w:rFonts w:ascii="Arial" w:hAnsi="Arial" w:eastAsia="宋体" w:cs="Arial"/>
          <w:snapToGrid w:val="0"/>
          <w:lang w:eastAsia="zh-CN"/>
        </w:rPr>
        <w:t>CGMP</w:t>
      </w:r>
      <w:r>
        <w:rPr>
          <w:rFonts w:hint="eastAsia" w:ascii="Arial" w:hAnsi="Arial" w:eastAsia="宋体" w:cs="Arial"/>
          <w:snapToGrid w:val="0"/>
          <w:lang w:eastAsia="zh-CN"/>
        </w:rPr>
        <w:t>中产生的条款</w:t>
      </w:r>
    </w:p>
    <w:p w14:paraId="2F69CEF7">
      <w:pPr>
        <w:pStyle w:val="5"/>
        <w:numPr>
          <w:ilvl w:val="0"/>
          <w:numId w:val="5"/>
        </w:numPr>
        <w:tabs>
          <w:tab w:val="left" w:pos="1512"/>
          <w:tab w:val="left" w:pos="4111"/>
        </w:tabs>
        <w:topLinePunct/>
        <w:adjustRightInd w:val="0"/>
        <w:snapToGrid w:val="0"/>
        <w:spacing w:line="288" w:lineRule="auto"/>
        <w:ind w:left="4110" w:leftChars="450" w:hanging="3120" w:hangingChars="1300"/>
        <w:jc w:val="both"/>
        <w:rPr>
          <w:rFonts w:ascii="Arial" w:hAnsi="Arial" w:eastAsia="宋体" w:cs="Arial"/>
          <w:snapToGrid w:val="0"/>
          <w:lang w:eastAsia="zh-CN"/>
        </w:rPr>
      </w:pPr>
      <w:r>
        <w:rPr>
          <w:rFonts w:ascii="Arial" w:hAnsi="Arial" w:eastAsia="宋体" w:cs="Arial"/>
          <w:snapToGrid w:val="0"/>
          <w:lang w:eastAsia="zh-CN"/>
        </w:rPr>
        <w:t>21 CFR 211.84</w:t>
      </w:r>
      <w:r>
        <w:rPr>
          <w:rFonts w:ascii="Arial" w:hAnsi="Arial" w:eastAsia="宋体" w:cs="Arial"/>
          <w:snapToGrid w:val="0"/>
          <w:lang w:eastAsia="zh-CN"/>
        </w:rPr>
        <w:tab/>
      </w:r>
      <w:r>
        <w:rPr>
          <w:rFonts w:hint="eastAsia" w:ascii="Arial" w:hAnsi="Arial" w:eastAsia="宋体" w:cs="Arial"/>
          <w:snapToGrid w:val="0"/>
          <w:lang w:eastAsia="zh-CN"/>
        </w:rPr>
        <w:t>所有成分、药品容器和密封件的测试，及批准或否决</w:t>
      </w:r>
    </w:p>
    <w:p w14:paraId="762C1915">
      <w:pPr>
        <w:pStyle w:val="5"/>
        <w:numPr>
          <w:ilvl w:val="0"/>
          <w:numId w:val="5"/>
        </w:numPr>
        <w:tabs>
          <w:tab w:val="left" w:pos="1194"/>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CFR 211.103</w:t>
      </w:r>
      <w:r>
        <w:rPr>
          <w:rFonts w:ascii="Arial" w:hAnsi="Arial" w:eastAsia="宋体" w:cs="Arial"/>
          <w:snapToGrid w:val="0"/>
        </w:rPr>
        <w:tab/>
      </w:r>
      <w:r>
        <w:rPr>
          <w:rFonts w:hint="eastAsia" w:ascii="Arial" w:hAnsi="Arial" w:eastAsia="宋体" w:cs="Arial"/>
          <w:snapToGrid w:val="0"/>
          <w:lang w:eastAsia="zh-CN"/>
        </w:rPr>
        <w:t>产量计算</w:t>
      </w:r>
    </w:p>
    <w:p w14:paraId="2244869D">
      <w:pPr>
        <w:pStyle w:val="5"/>
        <w:numPr>
          <w:ilvl w:val="0"/>
          <w:numId w:val="5"/>
        </w:numPr>
        <w:tabs>
          <w:tab w:val="left" w:pos="1262"/>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lang w:eastAsia="zh-CN"/>
        </w:rPr>
      </w:pPr>
      <w:r>
        <w:rPr>
          <w:rFonts w:ascii="Arial" w:hAnsi="Arial" w:eastAsia="宋体" w:cs="Arial"/>
          <w:snapToGrid w:val="0"/>
          <w:lang w:eastAsia="zh-CN"/>
        </w:rPr>
        <w:t>21 CFR 211.132</w:t>
      </w:r>
      <w:r>
        <w:rPr>
          <w:rFonts w:ascii="Arial" w:hAnsi="Arial" w:eastAsia="宋体" w:cs="Arial"/>
          <w:snapToGrid w:val="0"/>
          <w:lang w:eastAsia="zh-CN"/>
        </w:rPr>
        <w:tab/>
      </w:r>
      <w:r>
        <w:rPr>
          <w:rFonts w:hint="eastAsia" w:ascii="Arial" w:hAnsi="Arial" w:eastAsia="宋体" w:cs="Arial"/>
          <w:snapToGrid w:val="0"/>
          <w:lang w:eastAsia="zh-CN"/>
        </w:rPr>
        <w:t>人用非处方（</w:t>
      </w:r>
      <w:r>
        <w:rPr>
          <w:rFonts w:ascii="Arial" w:hAnsi="Arial" w:eastAsia="宋体" w:cs="Arial"/>
          <w:snapToGrid w:val="0"/>
          <w:lang w:eastAsia="zh-CN"/>
        </w:rPr>
        <w:t>OTC</w:t>
      </w:r>
      <w:r>
        <w:rPr>
          <w:rFonts w:hint="eastAsia" w:ascii="Arial" w:hAnsi="Arial" w:eastAsia="宋体" w:cs="Arial"/>
          <w:snapToGrid w:val="0"/>
          <w:lang w:eastAsia="zh-CN"/>
        </w:rPr>
        <w:t>）药的显窃启包装要求</w:t>
      </w:r>
    </w:p>
    <w:p w14:paraId="59768689">
      <w:pPr>
        <w:pStyle w:val="5"/>
        <w:numPr>
          <w:ilvl w:val="0"/>
          <w:numId w:val="5"/>
        </w:numPr>
        <w:tabs>
          <w:tab w:val="left" w:pos="1248"/>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21 CFR 211.137</w:t>
      </w:r>
      <w:r>
        <w:rPr>
          <w:rFonts w:ascii="Arial" w:hAnsi="Arial" w:eastAsia="宋体" w:cs="Arial"/>
          <w:snapToGrid w:val="0"/>
        </w:rPr>
        <w:tab/>
      </w:r>
      <w:r>
        <w:rPr>
          <w:rFonts w:hint="eastAsia" w:ascii="Arial" w:hAnsi="Arial" w:eastAsia="宋体" w:cs="Arial"/>
          <w:snapToGrid w:val="0"/>
          <w:lang w:eastAsia="zh-CN"/>
        </w:rPr>
        <w:t>到期日</w:t>
      </w:r>
    </w:p>
    <w:p w14:paraId="387EB2CF">
      <w:pPr>
        <w:pStyle w:val="5"/>
        <w:numPr>
          <w:ilvl w:val="0"/>
          <w:numId w:val="5"/>
        </w:numPr>
        <w:tabs>
          <w:tab w:val="left" w:pos="1181"/>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lang w:eastAsia="zh-CN"/>
        </w:rPr>
      </w:pPr>
      <w:r>
        <w:rPr>
          <w:rFonts w:ascii="Arial" w:hAnsi="Arial" w:eastAsia="宋体" w:cs="Arial"/>
          <w:snapToGrid w:val="0"/>
          <w:lang w:eastAsia="zh-CN"/>
        </w:rPr>
        <w:t>21 CFR 211.165</w:t>
      </w:r>
      <w:r>
        <w:rPr>
          <w:rFonts w:ascii="Arial" w:hAnsi="Arial" w:eastAsia="宋体" w:cs="Arial"/>
          <w:snapToGrid w:val="0"/>
          <w:lang w:eastAsia="zh-CN"/>
        </w:rPr>
        <w:tab/>
      </w:r>
      <w:r>
        <w:rPr>
          <w:rFonts w:hint="eastAsia" w:ascii="Arial" w:hAnsi="Arial" w:eastAsia="宋体" w:cs="Arial"/>
          <w:snapToGrid w:val="0"/>
          <w:lang w:eastAsia="zh-CN"/>
        </w:rPr>
        <w:t>销售前的检验与发布</w:t>
      </w:r>
    </w:p>
    <w:p w14:paraId="52179018">
      <w:pPr>
        <w:pStyle w:val="5"/>
        <w:numPr>
          <w:ilvl w:val="0"/>
          <w:numId w:val="5"/>
        </w:numPr>
        <w:tabs>
          <w:tab w:val="left" w:pos="1248"/>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21 CFR 211.166</w:t>
      </w:r>
      <w:r>
        <w:rPr>
          <w:rFonts w:ascii="Arial" w:hAnsi="Arial" w:eastAsia="宋体" w:cs="Arial"/>
          <w:snapToGrid w:val="0"/>
        </w:rPr>
        <w:tab/>
      </w:r>
      <w:r>
        <w:rPr>
          <w:rFonts w:hint="eastAsia" w:ascii="Arial" w:hAnsi="Arial" w:eastAsia="宋体" w:cs="Arial"/>
          <w:snapToGrid w:val="0"/>
          <w:lang w:eastAsia="zh-CN"/>
        </w:rPr>
        <w:t>稳定性测试</w:t>
      </w:r>
    </w:p>
    <w:p w14:paraId="6F672C2D">
      <w:pPr>
        <w:pStyle w:val="5"/>
        <w:numPr>
          <w:ilvl w:val="0"/>
          <w:numId w:val="5"/>
        </w:numPr>
        <w:tabs>
          <w:tab w:val="left" w:pos="1314"/>
          <w:tab w:val="left" w:pos="1498"/>
          <w:tab w:val="left" w:pos="4111"/>
        </w:tabs>
        <w:topLinePunct/>
        <w:adjustRightInd w:val="0"/>
        <w:snapToGrid w:val="0"/>
        <w:spacing w:line="288" w:lineRule="auto"/>
        <w:ind w:left="1494" w:leftChars="450" w:hanging="504" w:hangingChars="210"/>
        <w:jc w:val="both"/>
        <w:rPr>
          <w:rFonts w:ascii="Arial" w:hAnsi="Arial" w:eastAsia="宋体" w:cs="Arial"/>
          <w:snapToGrid w:val="0"/>
        </w:rPr>
      </w:pPr>
      <w:r>
        <w:rPr>
          <w:rFonts w:ascii="Arial" w:hAnsi="Arial" w:eastAsia="宋体" w:cs="Arial"/>
          <w:snapToGrid w:val="0"/>
        </w:rPr>
        <w:t>CFR 211.167</w:t>
      </w:r>
      <w:r>
        <w:rPr>
          <w:rFonts w:ascii="Arial" w:hAnsi="Arial" w:eastAsia="宋体" w:cs="Arial"/>
          <w:snapToGrid w:val="0"/>
        </w:rPr>
        <w:tab/>
      </w:r>
      <w:r>
        <w:rPr>
          <w:rFonts w:hint="eastAsia" w:ascii="Arial" w:hAnsi="Arial" w:eastAsia="宋体" w:cs="Arial"/>
          <w:snapToGrid w:val="0"/>
          <w:lang w:eastAsia="zh-CN"/>
        </w:rPr>
        <w:t>特殊测试要求</w:t>
      </w:r>
    </w:p>
    <w:p w14:paraId="6783722A">
      <w:pPr>
        <w:pStyle w:val="5"/>
        <w:numPr>
          <w:ilvl w:val="0"/>
          <w:numId w:val="5"/>
        </w:numPr>
        <w:tabs>
          <w:tab w:val="left" w:pos="1382"/>
          <w:tab w:val="left" w:pos="1498"/>
          <w:tab w:val="left" w:pos="4111"/>
        </w:tabs>
        <w:topLinePunct/>
        <w:adjustRightInd w:val="0"/>
        <w:snapToGrid w:val="0"/>
        <w:spacing w:after="224" w:afterLines="75" w:line="288" w:lineRule="auto"/>
        <w:ind w:left="1494" w:leftChars="450" w:hanging="504" w:hangingChars="210"/>
        <w:jc w:val="both"/>
        <w:rPr>
          <w:rFonts w:ascii="Arial" w:hAnsi="Arial" w:eastAsia="宋体" w:cs="Arial"/>
          <w:snapToGrid w:val="0"/>
        </w:rPr>
      </w:pPr>
      <w:r>
        <w:rPr>
          <w:rFonts w:ascii="Arial" w:hAnsi="Arial" w:eastAsia="宋体" w:cs="Arial"/>
          <w:snapToGrid w:val="0"/>
        </w:rPr>
        <w:t>CFR 211.170</w:t>
      </w:r>
      <w:r>
        <w:rPr>
          <w:rFonts w:ascii="Arial" w:hAnsi="Arial" w:eastAsia="宋体" w:cs="Arial"/>
          <w:snapToGrid w:val="0"/>
        </w:rPr>
        <w:tab/>
      </w:r>
      <w:r>
        <w:rPr>
          <w:rFonts w:hint="eastAsia" w:ascii="Arial" w:hAnsi="Arial" w:eastAsia="宋体" w:cs="Arial"/>
          <w:snapToGrid w:val="0"/>
          <w:lang w:eastAsia="zh-CN"/>
        </w:rPr>
        <w:t>保留样品</w:t>
      </w:r>
    </w:p>
    <w:p w14:paraId="74FE18E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基于机构内所采用制造工艺的细节或根据机构内从事的其它制造活动等，制造商可能更偏爱其中的一种方法。不要求制造商根据对组合产品首要作用模式（</w:t>
      </w:r>
      <w:r>
        <w:rPr>
          <w:rFonts w:ascii="Arial" w:hAnsi="Arial" w:eastAsia="宋体" w:cs="Arial"/>
          <w:snapToGrid w:val="0"/>
          <w:lang w:eastAsia="zh-CN"/>
        </w:rPr>
        <w:t>PMOA</w:t>
      </w:r>
      <w:r>
        <w:rPr>
          <w:rFonts w:hint="eastAsia" w:ascii="Arial" w:hAnsi="Arial" w:eastAsia="宋体" w:cs="Arial"/>
          <w:snapToGrid w:val="0"/>
          <w:lang w:eastAsia="zh-CN"/>
        </w:rPr>
        <w:t>）的组成部分进行规定的</w:t>
      </w:r>
      <w:r>
        <w:rPr>
          <w:rFonts w:ascii="Arial" w:hAnsi="Arial" w:eastAsia="宋体" w:cs="Arial"/>
          <w:snapToGrid w:val="0"/>
          <w:lang w:eastAsia="zh-CN"/>
        </w:rPr>
        <w:t>CGMP</w:t>
      </w:r>
      <w:r>
        <w:rPr>
          <w:rFonts w:hint="eastAsia" w:ascii="Arial" w:hAnsi="Arial" w:eastAsia="宋体" w:cs="Arial"/>
          <w:snapToGrid w:val="0"/>
          <w:lang w:eastAsia="zh-CN"/>
        </w:rPr>
        <w:t>条例选择简化方法（见下面的</w:t>
      </w:r>
      <w:r>
        <w:rPr>
          <w:rFonts w:ascii="Arial" w:hAnsi="Arial" w:eastAsia="宋体" w:cs="Arial"/>
          <w:snapToGrid w:val="0"/>
          <w:lang w:eastAsia="zh-CN"/>
        </w:rPr>
        <w:t>II.D</w:t>
      </w:r>
      <w:r>
        <w:rPr>
          <w:rFonts w:hint="eastAsia" w:ascii="Arial" w:hAnsi="Arial" w:eastAsia="宋体" w:cs="Arial"/>
          <w:snapToGrid w:val="0"/>
          <w:lang w:eastAsia="zh-CN"/>
        </w:rPr>
        <w:t>）。例如，如果一种药品—器械组合产品的药品组成部分规定了产品的</w:t>
      </w:r>
      <w:r>
        <w:rPr>
          <w:rFonts w:ascii="Arial" w:hAnsi="Arial" w:eastAsia="宋体" w:cs="Arial"/>
          <w:snapToGrid w:val="0"/>
          <w:lang w:eastAsia="zh-CN"/>
        </w:rPr>
        <w:t>PMOA</w:t>
      </w:r>
      <w:r>
        <w:rPr>
          <w:rFonts w:hint="eastAsia" w:ascii="Arial" w:hAnsi="Arial" w:eastAsia="宋体" w:cs="Arial"/>
          <w:snapToGrid w:val="0"/>
          <w:lang w:eastAsia="zh-CN"/>
        </w:rPr>
        <w:t>，那么该组合产品的制造商可选择采纳基于器械</w:t>
      </w:r>
      <w:r>
        <w:rPr>
          <w:rFonts w:ascii="Arial" w:hAnsi="Arial" w:eastAsia="宋体" w:cs="Arial"/>
          <w:snapToGrid w:val="0"/>
          <w:lang w:eastAsia="zh-CN"/>
        </w:rPr>
        <w:t>QS</w:t>
      </w:r>
      <w:r>
        <w:rPr>
          <w:rFonts w:hint="eastAsia" w:ascii="Arial" w:hAnsi="Arial" w:eastAsia="宋体" w:cs="Arial"/>
          <w:snapToGrid w:val="0"/>
          <w:lang w:eastAsia="zh-CN"/>
        </w:rPr>
        <w:t>规章或基于药品</w:t>
      </w:r>
      <w:r>
        <w:rPr>
          <w:rFonts w:ascii="Arial" w:hAnsi="Arial" w:eastAsia="宋体" w:cs="Arial"/>
          <w:snapToGrid w:val="0"/>
          <w:lang w:eastAsia="zh-CN"/>
        </w:rPr>
        <w:t>CGMP</w:t>
      </w:r>
      <w:r>
        <w:rPr>
          <w:rFonts w:hint="eastAsia" w:ascii="Arial" w:hAnsi="Arial" w:eastAsia="宋体" w:cs="Arial"/>
          <w:snapToGrid w:val="0"/>
          <w:lang w:eastAsia="zh-CN"/>
        </w:rPr>
        <w:t>的简化方法，也可选择开发一种完全符合药品</w:t>
      </w:r>
      <w:r>
        <w:rPr>
          <w:rFonts w:ascii="Arial" w:hAnsi="Arial" w:eastAsia="宋体" w:cs="Arial"/>
          <w:snapToGrid w:val="0"/>
          <w:lang w:eastAsia="zh-CN"/>
        </w:rPr>
        <w:t>CGMP</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规章适用条款规范的</w:t>
      </w:r>
      <w:r>
        <w:rPr>
          <w:rFonts w:ascii="Arial" w:hAnsi="Arial" w:eastAsia="宋体" w:cs="Arial"/>
          <w:snapToGrid w:val="0"/>
          <w:lang w:eastAsia="zh-CN"/>
        </w:rPr>
        <w:t>CGMP</w:t>
      </w:r>
      <w:r>
        <w:rPr>
          <w:rFonts w:hint="eastAsia" w:ascii="Arial" w:hAnsi="Arial" w:eastAsia="宋体" w:cs="Arial"/>
          <w:snapToGrid w:val="0"/>
          <w:lang w:eastAsia="zh-CN"/>
        </w:rPr>
        <w:t xml:space="preserve">操作系统。 </w:t>
      </w:r>
    </w:p>
    <w:p w14:paraId="20CBB3F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c</w:t>
      </w:r>
      <w:r>
        <w:rPr>
          <w:rFonts w:hint="eastAsia" w:ascii="Arial" w:hAnsi="Arial" w:eastAsia="宋体" w:cs="Arial"/>
          <w:snapToGrid w:val="0"/>
          <w:lang w:eastAsia="zh-CN"/>
        </w:rPr>
        <w:t>）规定如果一个机构仅制造组合包装组合产品或单个实体组合产品的单一类型的组成部分（例如一种药品组成部分或一种器械组成部分），那么该机构仅受该组成部分的</w:t>
      </w:r>
      <w:r>
        <w:rPr>
          <w:rFonts w:ascii="Arial" w:hAnsi="Arial" w:eastAsia="宋体" w:cs="Arial"/>
          <w:snapToGrid w:val="0"/>
          <w:lang w:eastAsia="zh-CN"/>
        </w:rPr>
        <w:t>CGMP</w:t>
      </w:r>
      <w:r>
        <w:rPr>
          <w:rFonts w:hint="eastAsia" w:ascii="Arial" w:hAnsi="Arial" w:eastAsia="宋体" w:cs="Arial"/>
          <w:snapToGrid w:val="0"/>
          <w:lang w:eastAsia="zh-CN"/>
        </w:rPr>
        <w:t>条例的约束（即药品受第211部分约束，器械受第820部分约束，生物制剂受第600至680部分中针对生物制剂条例的约束，</w:t>
      </w:r>
      <w:r>
        <w:rPr>
          <w:rFonts w:ascii="Arial" w:hAnsi="Arial" w:eastAsia="宋体" w:cs="Arial"/>
          <w:snapToGrid w:val="0"/>
          <w:lang w:eastAsia="zh-CN"/>
        </w:rPr>
        <w:t>HCT/P</w:t>
      </w:r>
      <w:r>
        <w:rPr>
          <w:rFonts w:hint="eastAsia" w:ascii="Arial" w:hAnsi="Arial" w:eastAsia="宋体" w:cs="Arial"/>
          <w:snapToGrid w:val="0"/>
          <w:lang w:eastAsia="zh-CN"/>
        </w:rPr>
        <w:t>受第</w:t>
      </w:r>
      <w:r>
        <w:rPr>
          <w:rFonts w:ascii="Arial" w:hAnsi="Arial" w:eastAsia="宋体" w:cs="Arial"/>
          <w:snapToGrid w:val="0"/>
          <w:lang w:eastAsia="zh-CN"/>
        </w:rPr>
        <w:t>1271</w:t>
      </w:r>
      <w:r>
        <w:rPr>
          <w:rFonts w:hint="eastAsia" w:ascii="Arial" w:hAnsi="Arial" w:eastAsia="宋体" w:cs="Arial"/>
          <w:snapToGrid w:val="0"/>
          <w:lang w:eastAsia="zh-CN"/>
        </w:rPr>
        <w:t>部分约束）。</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d</w:t>
      </w:r>
      <w:r>
        <w:rPr>
          <w:rFonts w:hint="eastAsia" w:ascii="Arial" w:hAnsi="Arial" w:eastAsia="宋体" w:cs="Arial"/>
          <w:snapToGrid w:val="0"/>
          <w:lang w:eastAsia="zh-CN"/>
        </w:rPr>
        <w:t>）规定当单个实体或组合包装组合产品中包含的两种或两种以上类型组成部分时抵达同一机构，或这些组成部分在同一机构制造时，则该机构必须遵守第4部分描述的适用于该机构内制造活动的所有</w:t>
      </w:r>
      <w:r>
        <w:rPr>
          <w:rFonts w:ascii="Arial" w:hAnsi="Arial" w:eastAsia="宋体" w:cs="Arial"/>
          <w:snapToGrid w:val="0"/>
          <w:lang w:eastAsia="zh-CN"/>
        </w:rPr>
        <w:t>CGMP</w:t>
      </w:r>
      <w:r>
        <w:rPr>
          <w:rFonts w:hint="eastAsia" w:ascii="Arial" w:hAnsi="Arial" w:eastAsia="宋体" w:cs="Arial"/>
          <w:snapToGrid w:val="0"/>
          <w:lang w:eastAsia="zh-CN"/>
        </w:rPr>
        <w:t>要求，并可使用</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）中提供的简化方法证明符合这些要求。</w:t>
      </w:r>
    </w:p>
    <w:p w14:paraId="0B1B73D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类似地，如果一个机构在制造不属于组合产品组成部分的药品或器械的同时也制造组合产品，那么适用于独立销售药品或器械的</w:t>
      </w:r>
      <w:r>
        <w:rPr>
          <w:rFonts w:ascii="Arial" w:hAnsi="Arial" w:eastAsia="宋体" w:cs="Arial"/>
          <w:snapToGrid w:val="0"/>
          <w:lang w:eastAsia="zh-CN"/>
        </w:rPr>
        <w:t>CGMP</w:t>
      </w:r>
      <w:r>
        <w:rPr>
          <w:rFonts w:hint="eastAsia" w:ascii="Arial" w:hAnsi="Arial" w:eastAsia="宋体" w:cs="Arial"/>
          <w:snapToGrid w:val="0"/>
          <w:lang w:eastAsia="zh-CN"/>
        </w:rPr>
        <w:t>要求不变（即分别遵守第</w:t>
      </w:r>
      <w:r>
        <w:rPr>
          <w:rFonts w:ascii="Arial" w:hAnsi="Arial" w:eastAsia="宋体" w:cs="Arial"/>
          <w:snapToGrid w:val="0"/>
          <w:lang w:eastAsia="zh-CN"/>
        </w:rPr>
        <w:t>210/211</w:t>
      </w:r>
      <w:r>
        <w:rPr>
          <w:rFonts w:hint="eastAsia" w:ascii="Arial" w:hAnsi="Arial" w:eastAsia="宋体" w:cs="Arial"/>
          <w:snapToGrid w:val="0"/>
          <w:lang w:eastAsia="zh-CN"/>
        </w:rPr>
        <w:t>部分或第</w:t>
      </w:r>
      <w:r>
        <w:rPr>
          <w:rFonts w:ascii="Arial" w:hAnsi="Arial" w:eastAsia="宋体" w:cs="Arial"/>
          <w:snapToGrid w:val="0"/>
          <w:lang w:eastAsia="zh-CN"/>
        </w:rPr>
        <w:t>820</w:t>
      </w:r>
      <w:r>
        <w:rPr>
          <w:rFonts w:hint="eastAsia" w:ascii="Arial" w:hAnsi="Arial" w:eastAsia="宋体" w:cs="Arial"/>
          <w:snapToGrid w:val="0"/>
          <w:lang w:eastAsia="zh-CN"/>
        </w:rPr>
        <w:t>部分）。相应地，如果一个机构既制造受第820部分约束的独立销售器械也制造组合产品，则不能采用基于药品</w:t>
      </w:r>
      <w:r>
        <w:rPr>
          <w:rFonts w:ascii="Arial" w:hAnsi="Arial" w:eastAsia="宋体" w:cs="Arial"/>
          <w:snapToGrid w:val="0"/>
          <w:lang w:eastAsia="zh-CN"/>
        </w:rPr>
        <w:t>CGMP</w:t>
      </w:r>
      <w:r>
        <w:rPr>
          <w:rFonts w:hint="eastAsia" w:ascii="Arial" w:hAnsi="Arial" w:eastAsia="宋体" w:cs="Arial"/>
          <w:snapToGrid w:val="0"/>
          <w:lang w:eastAsia="zh-CN"/>
        </w:rPr>
        <w:t>的简化操作系统（尽管已用于制造组合产品）制造器械，原因是这种操作系统仅包含有限的，指定的</w:t>
      </w:r>
      <w:r>
        <w:rPr>
          <w:rFonts w:ascii="Arial" w:hAnsi="Arial" w:eastAsia="宋体" w:cs="Arial"/>
          <w:snapToGrid w:val="0"/>
          <w:lang w:eastAsia="zh-CN"/>
        </w:rPr>
        <w:t>QS</w:t>
      </w:r>
      <w:r>
        <w:rPr>
          <w:rFonts w:hint="eastAsia" w:ascii="Arial" w:hAnsi="Arial" w:eastAsia="宋体" w:cs="Arial"/>
          <w:snapToGrid w:val="0"/>
          <w:lang w:eastAsia="zh-CN"/>
        </w:rPr>
        <w:t>规章条款。然而，器械和组合产品均可采用基于器械</w:t>
      </w:r>
      <w:r>
        <w:rPr>
          <w:rFonts w:ascii="Arial" w:hAnsi="Arial" w:eastAsia="宋体" w:cs="Arial"/>
          <w:snapToGrid w:val="0"/>
          <w:lang w:eastAsia="zh-CN"/>
        </w:rPr>
        <w:t>QS</w:t>
      </w:r>
      <w:r>
        <w:rPr>
          <w:rFonts w:hint="eastAsia" w:ascii="Arial" w:hAnsi="Arial" w:eastAsia="宋体" w:cs="Arial"/>
          <w:snapToGrid w:val="0"/>
          <w:lang w:eastAsia="zh-CN"/>
        </w:rPr>
        <w:t>规章的简化操作系统制造，且不属于组合产品组成部分的器械仅受第820部分的约束。</w:t>
      </w:r>
    </w:p>
    <w:p w14:paraId="6DE54F49">
      <w:pPr>
        <w:pStyle w:val="23"/>
        <w:numPr>
          <w:ilvl w:val="0"/>
          <w:numId w:val="2"/>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30" w:name="2._Documentation_of_CGMP_Approach"/>
      <w:bookmarkEnd w:id="30"/>
      <w:r>
        <w:rPr>
          <w:rFonts w:ascii="Arial" w:hAnsi="Arial" w:eastAsia="宋体" w:cs="Arial"/>
          <w:snapToGrid w:val="0"/>
        </w:rPr>
        <w:t>CGMP</w:t>
      </w:r>
      <w:r>
        <w:rPr>
          <w:rFonts w:hint="eastAsia" w:ascii="Arial" w:hAnsi="Arial" w:eastAsia="宋体" w:cs="Arial"/>
          <w:snapToGrid w:val="0"/>
          <w:lang w:eastAsia="zh-CN"/>
        </w:rPr>
        <w:t>方法的文件资料</w:t>
      </w:r>
    </w:p>
    <w:p w14:paraId="3386FA1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组合产品制造商应能够确定证明符合第4部分所需要的所有文件，并准备好供</w:t>
      </w:r>
      <w:r>
        <w:rPr>
          <w:rFonts w:ascii="Arial" w:hAnsi="Arial" w:eastAsia="宋体" w:cs="Arial"/>
          <w:snapToGrid w:val="0"/>
          <w:lang w:eastAsia="zh-CN"/>
        </w:rPr>
        <w:t>FDA</w:t>
      </w:r>
      <w:r>
        <w:rPr>
          <w:rFonts w:hint="eastAsia" w:ascii="Arial" w:hAnsi="Arial" w:eastAsia="宋体" w:cs="Arial"/>
          <w:snapToGrid w:val="0"/>
          <w:lang w:eastAsia="zh-CN"/>
        </w:rPr>
        <w:t>检查。机构的质量体系文件应指出该机构制造组合产品所用的</w:t>
      </w:r>
      <w:r>
        <w:rPr>
          <w:rFonts w:ascii="Arial" w:hAnsi="Arial" w:eastAsia="宋体" w:cs="Arial"/>
          <w:snapToGrid w:val="0"/>
          <w:lang w:eastAsia="zh-CN"/>
        </w:rPr>
        <w:t>CGMP</w:t>
      </w:r>
      <w:r>
        <w:rPr>
          <w:rFonts w:hint="eastAsia" w:ascii="Arial" w:hAnsi="Arial" w:eastAsia="宋体" w:cs="Arial"/>
          <w:snapToGrid w:val="0"/>
          <w:lang w:eastAsia="zh-CN"/>
        </w:rPr>
        <w:t>操作系统且制造商应在调查开始时与调查者分享该信息。对于执行简化方法（见上文中</w:t>
      </w:r>
      <w:r>
        <w:rPr>
          <w:rFonts w:ascii="Arial" w:hAnsi="Arial" w:eastAsia="宋体" w:cs="Arial"/>
          <w:snapToGrid w:val="0"/>
          <w:lang w:eastAsia="zh-CN"/>
        </w:rPr>
        <w:t>II.B.1</w:t>
      </w:r>
      <w:r>
        <w:rPr>
          <w:rFonts w:hint="eastAsia" w:ascii="Arial" w:hAnsi="Arial" w:eastAsia="宋体" w:cs="Arial"/>
          <w:snapToGrid w:val="0"/>
          <w:lang w:eastAsia="zh-CN"/>
        </w:rPr>
        <w:t>）的组合产品制造商，基础</w:t>
      </w:r>
      <w:r>
        <w:rPr>
          <w:rFonts w:ascii="Arial" w:hAnsi="Arial" w:eastAsia="宋体" w:cs="Arial"/>
          <w:snapToGrid w:val="0"/>
          <w:lang w:eastAsia="zh-CN"/>
        </w:rPr>
        <w:t>CGMP</w:t>
      </w:r>
      <w:r>
        <w:rPr>
          <w:rFonts w:hint="eastAsia" w:ascii="Arial" w:hAnsi="Arial" w:eastAsia="宋体" w:cs="Arial"/>
          <w:snapToGrid w:val="0"/>
          <w:lang w:eastAsia="zh-CN"/>
        </w:rPr>
        <w:t>操作系统</w:t>
      </w:r>
      <w:r>
        <w:rPr>
          <w:rFonts w:ascii="Arial" w:hAnsi="Arial" w:eastAsia="宋体" w:cs="Arial"/>
          <w:snapToGrid w:val="0"/>
          <w:lang w:eastAsia="zh-CN"/>
        </w:rPr>
        <w:t>（</w:t>
      </w:r>
      <w:r>
        <w:rPr>
          <w:rFonts w:hint="eastAsia" w:ascii="Arial" w:hAnsi="Arial" w:eastAsia="宋体" w:cs="Arial"/>
          <w:snapToGrid w:val="0"/>
          <w:lang w:eastAsia="zh-CN"/>
        </w:rPr>
        <w:t>即</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210/211</w:t>
      </w:r>
      <w:r>
        <w:rPr>
          <w:rFonts w:hint="eastAsia" w:ascii="Arial" w:hAnsi="Arial" w:eastAsia="宋体" w:cs="Arial"/>
          <w:snapToGrid w:val="0"/>
          <w:lang w:eastAsia="zh-CN"/>
        </w:rPr>
        <w:t>部分或</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820</w:t>
      </w:r>
      <w:r>
        <w:rPr>
          <w:rFonts w:hint="eastAsia" w:ascii="Arial" w:hAnsi="Arial" w:eastAsia="宋体" w:cs="Arial"/>
          <w:snapToGrid w:val="0"/>
          <w:lang w:eastAsia="zh-CN"/>
        </w:rPr>
        <w:t>部分</w:t>
      </w:r>
      <w:r>
        <w:rPr>
          <w:rFonts w:ascii="Arial" w:hAnsi="Arial" w:eastAsia="宋体" w:cs="Arial"/>
          <w:snapToGrid w:val="0"/>
          <w:lang w:eastAsia="zh-CN"/>
        </w:rPr>
        <w:t>）</w:t>
      </w:r>
      <w:r>
        <w:rPr>
          <w:rFonts w:hint="eastAsia" w:ascii="Arial" w:hAnsi="Arial" w:eastAsia="宋体" w:cs="Arial"/>
          <w:snapToGrid w:val="0"/>
          <w:lang w:eastAsia="zh-CN"/>
        </w:rPr>
        <w:t>的检查通常和与其相关的现有合规计划和政策一致。对于非基础系统的指定条款，FDA预期使用针对这些条款的合规计划和政策元素。</w:t>
      </w:r>
      <w:r>
        <w:rPr>
          <w:rStyle w:val="17"/>
          <w:rFonts w:ascii="Arial" w:hAnsi="Arial" w:eastAsia="宋体" w:cs="Arial"/>
          <w:snapToGrid w:val="0"/>
          <w:lang w:eastAsia="zh-CN"/>
        </w:rPr>
        <w:footnoteReference w:id="11"/>
      </w:r>
    </w:p>
    <w:p w14:paraId="10A7BFE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在第4部分颁布前，组合产品的制造商就必须证明符合适用其组合产品各组成部分的所有</w:t>
      </w:r>
      <w:r>
        <w:rPr>
          <w:rFonts w:ascii="Arial" w:hAnsi="Arial" w:eastAsia="宋体" w:cs="Arial"/>
          <w:snapToGrid w:val="0"/>
          <w:lang w:eastAsia="zh-CN"/>
        </w:rPr>
        <w:t>CGMP</w:t>
      </w:r>
      <w:r>
        <w:rPr>
          <w:rFonts w:hint="eastAsia" w:ascii="Arial" w:hAnsi="Arial" w:eastAsia="宋体" w:cs="Arial"/>
          <w:snapToGrid w:val="0"/>
          <w:lang w:eastAsia="zh-CN"/>
        </w:rPr>
        <w:t>要求。现在，制造商还应确保他们的</w:t>
      </w:r>
      <w:r>
        <w:rPr>
          <w:rFonts w:ascii="Arial" w:hAnsi="Arial" w:eastAsia="宋体" w:cs="Arial"/>
          <w:snapToGrid w:val="0"/>
          <w:lang w:eastAsia="zh-CN"/>
        </w:rPr>
        <w:t>CGMP</w:t>
      </w:r>
      <w:r>
        <w:rPr>
          <w:rFonts w:hint="eastAsia" w:ascii="Arial" w:hAnsi="Arial" w:eastAsia="宋体" w:cs="Arial"/>
          <w:snapToGrid w:val="0"/>
          <w:lang w:eastAsia="zh-CN"/>
        </w:rPr>
        <w:t>程序和过程符合第4部分规定的规管架构。如果需要改变操作系统以达到合规，制造商应记录为确保持续的产品安全性和有效性所采取的措施。检查期间制造商应做好准备讨论所用方法。</w:t>
      </w:r>
    </w:p>
    <w:p w14:paraId="4D0548A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需要解决</w:t>
      </w:r>
      <w:r>
        <w:rPr>
          <w:rFonts w:ascii="Arial" w:hAnsi="Arial" w:eastAsia="宋体" w:cs="Arial"/>
          <w:snapToGrid w:val="0"/>
          <w:lang w:eastAsia="zh-CN"/>
        </w:rPr>
        <w:t>CGMP</w:t>
      </w:r>
      <w:r>
        <w:rPr>
          <w:rFonts w:hint="eastAsia" w:ascii="Arial" w:hAnsi="Arial" w:eastAsia="宋体" w:cs="Arial"/>
          <w:snapToGrid w:val="0"/>
          <w:lang w:eastAsia="zh-CN"/>
        </w:rPr>
        <w:t>问题（作为上市前审核的一部分）的组合产品制造商应在上市前提交资料中指出是否按照简化方法操作，如果是，指出是基于药品</w:t>
      </w:r>
      <w:r>
        <w:rPr>
          <w:rFonts w:ascii="Arial" w:hAnsi="Arial" w:eastAsia="宋体" w:cs="Arial"/>
          <w:snapToGrid w:val="0"/>
          <w:lang w:eastAsia="zh-CN"/>
        </w:rPr>
        <w:t>CGMP</w:t>
      </w:r>
      <w:r>
        <w:rPr>
          <w:rFonts w:hint="eastAsia" w:ascii="Arial" w:hAnsi="Arial" w:eastAsia="宋体" w:cs="Arial"/>
          <w:snapToGrid w:val="0"/>
          <w:lang w:eastAsia="zh-CN"/>
        </w:rPr>
        <w:t>的简化方法还是基于</w:t>
      </w:r>
      <w:r>
        <w:rPr>
          <w:rFonts w:ascii="Arial" w:hAnsi="Arial" w:eastAsia="宋体" w:cs="Arial"/>
          <w:snapToGrid w:val="0"/>
          <w:lang w:eastAsia="zh-CN"/>
        </w:rPr>
        <w:t>QS</w:t>
      </w:r>
      <w:r>
        <w:rPr>
          <w:rFonts w:hint="eastAsia" w:ascii="Arial" w:hAnsi="Arial" w:eastAsia="宋体" w:cs="Arial"/>
          <w:snapToGrid w:val="0"/>
          <w:lang w:eastAsia="zh-CN"/>
        </w:rPr>
        <w:t>规章的简化方法。</w:t>
      </w:r>
      <w:r>
        <w:rPr>
          <w:rStyle w:val="17"/>
          <w:rFonts w:ascii="Arial" w:hAnsi="Arial" w:eastAsia="宋体" w:cs="Arial"/>
          <w:snapToGrid w:val="0"/>
          <w:lang w:eastAsia="zh-CN"/>
        </w:rPr>
        <w:footnoteReference w:id="12"/>
      </w:r>
      <w:r>
        <w:rPr>
          <w:rFonts w:hint="eastAsia" w:ascii="Arial" w:hAnsi="Arial" w:eastAsia="宋体" w:cs="Arial"/>
          <w:snapToGrid w:val="0"/>
          <w:lang w:eastAsia="zh-CN"/>
        </w:rPr>
        <w:t>在上市前提交资料中，应指出每个相关机构的</w:t>
      </w:r>
      <w:r>
        <w:rPr>
          <w:rFonts w:ascii="Arial" w:hAnsi="Arial" w:eastAsia="宋体" w:cs="Arial"/>
          <w:snapToGrid w:val="0"/>
          <w:lang w:eastAsia="zh-CN"/>
        </w:rPr>
        <w:t>CGMP</w:t>
      </w:r>
      <w:r>
        <w:rPr>
          <w:rFonts w:hint="eastAsia" w:ascii="Arial" w:hAnsi="Arial" w:eastAsia="宋体" w:cs="Arial"/>
          <w:snapToGrid w:val="0"/>
          <w:lang w:eastAsia="zh-CN"/>
        </w:rPr>
        <w:t>方法。对于新药申请（</w:t>
      </w:r>
      <w:r>
        <w:rPr>
          <w:rFonts w:ascii="Arial" w:hAnsi="Arial" w:eastAsia="宋体" w:cs="Arial"/>
          <w:snapToGrid w:val="0"/>
          <w:lang w:eastAsia="zh-CN"/>
        </w:rPr>
        <w:t>NDA</w:t>
      </w:r>
      <w:r>
        <w:rPr>
          <w:rFonts w:hint="eastAsia" w:ascii="Arial" w:hAnsi="Arial" w:eastAsia="宋体" w:cs="Arial"/>
          <w:snapToGrid w:val="0"/>
          <w:lang w:eastAsia="zh-CN"/>
        </w:rPr>
        <w:t>），生物制剂许可申请（</w:t>
      </w:r>
      <w:r>
        <w:rPr>
          <w:rFonts w:ascii="Arial" w:hAnsi="Arial" w:eastAsia="宋体" w:cs="Arial"/>
          <w:snapToGrid w:val="0"/>
          <w:lang w:eastAsia="zh-CN"/>
        </w:rPr>
        <w:t>BLA</w:t>
      </w:r>
      <w:r>
        <w:rPr>
          <w:rFonts w:hint="eastAsia" w:ascii="Arial" w:hAnsi="Arial" w:eastAsia="宋体" w:cs="Arial"/>
          <w:snapToGrid w:val="0"/>
          <w:lang w:eastAsia="zh-CN"/>
        </w:rPr>
        <w:t>）和简化新药申请（</w:t>
      </w:r>
      <w:r>
        <w:rPr>
          <w:rFonts w:ascii="Arial" w:hAnsi="Arial" w:eastAsia="宋体" w:cs="Arial"/>
          <w:snapToGrid w:val="0"/>
          <w:lang w:eastAsia="zh-CN"/>
        </w:rPr>
        <w:t>ANDA</w:t>
      </w:r>
      <w:r>
        <w:rPr>
          <w:rFonts w:hint="eastAsia" w:ascii="Arial" w:hAnsi="Arial" w:eastAsia="宋体" w:cs="Arial"/>
          <w:snapToGrid w:val="0"/>
          <w:lang w:eastAsia="zh-CN"/>
        </w:rPr>
        <w:t>），应在通用技术文件（</w:t>
      </w:r>
      <w:r>
        <w:rPr>
          <w:rFonts w:ascii="Arial" w:hAnsi="Arial" w:eastAsia="宋体" w:cs="Arial"/>
          <w:snapToGrid w:val="0"/>
          <w:lang w:eastAsia="zh-CN"/>
        </w:rPr>
        <w:t>CTD</w:t>
      </w:r>
      <w:r>
        <w:rPr>
          <w:rFonts w:hint="eastAsia" w:ascii="Arial" w:hAnsi="Arial" w:eastAsia="宋体" w:cs="Arial"/>
          <w:snapToGrid w:val="0"/>
          <w:lang w:eastAsia="zh-CN"/>
        </w:rPr>
        <w:t>）中描述</w:t>
      </w:r>
      <w:r>
        <w:rPr>
          <w:rFonts w:ascii="Arial" w:hAnsi="Arial" w:eastAsia="宋体" w:cs="Arial"/>
          <w:snapToGrid w:val="0"/>
          <w:lang w:eastAsia="zh-CN"/>
        </w:rPr>
        <w:t>CGMP</w:t>
      </w:r>
      <w:r>
        <w:rPr>
          <w:rFonts w:hint="eastAsia" w:ascii="Arial" w:hAnsi="Arial" w:eastAsia="宋体" w:cs="Arial"/>
          <w:snapToGrid w:val="0"/>
          <w:lang w:eastAsia="zh-CN"/>
        </w:rPr>
        <w:t>方法。关于</w:t>
      </w:r>
      <w:r>
        <w:rPr>
          <w:rFonts w:ascii="Arial" w:hAnsi="Arial" w:eastAsia="宋体" w:cs="Arial"/>
          <w:snapToGrid w:val="0"/>
          <w:lang w:eastAsia="zh-CN"/>
        </w:rPr>
        <w:t>CTD</w:t>
      </w:r>
      <w:r>
        <w:rPr>
          <w:rFonts w:hint="eastAsia" w:ascii="Arial" w:hAnsi="Arial" w:eastAsia="宋体" w:cs="Arial"/>
          <w:snapToGrid w:val="0"/>
          <w:lang w:eastAsia="zh-CN"/>
        </w:rPr>
        <w:t>内布局的其它细节，见《</w:t>
      </w:r>
      <w:r>
        <w:rPr>
          <w:rFonts w:ascii="Arial" w:hAnsi="Arial" w:eastAsia="宋体" w:cs="Arial"/>
          <w:i/>
          <w:snapToGrid w:val="0"/>
          <w:lang w:eastAsia="zh-CN"/>
        </w:rPr>
        <w:t>eCTD</w:t>
      </w:r>
      <w:r>
        <w:rPr>
          <w:rFonts w:hint="eastAsia" w:ascii="Arial" w:hAnsi="Arial" w:eastAsia="宋体" w:cs="Arial"/>
          <w:i/>
          <w:snapToGrid w:val="0"/>
          <w:lang w:eastAsia="zh-CN"/>
        </w:rPr>
        <w:t>技术一致性指南</w:t>
      </w:r>
      <w:r>
        <w:rPr>
          <w:rFonts w:hint="eastAsia" w:ascii="Arial" w:hAnsi="Arial" w:eastAsia="宋体" w:cs="Arial"/>
          <w:snapToGrid w:val="0"/>
          <w:lang w:eastAsia="zh-CN"/>
        </w:rPr>
        <w:t>》第</w:t>
      </w:r>
      <w:r>
        <w:rPr>
          <w:rFonts w:ascii="Arial" w:hAnsi="Arial" w:eastAsia="宋体" w:cs="Arial"/>
          <w:snapToGrid w:val="0"/>
          <w:lang w:eastAsia="zh-CN"/>
        </w:rPr>
        <w:t>3.3.2</w:t>
      </w:r>
      <w:r>
        <w:rPr>
          <w:rFonts w:hint="eastAsia" w:ascii="Arial" w:hAnsi="Arial" w:eastAsia="宋体" w:cs="Arial"/>
          <w:snapToGrid w:val="0"/>
          <w:lang w:eastAsia="zh-CN"/>
        </w:rPr>
        <w:t>节。</w:t>
      </w:r>
      <w:r>
        <w:rPr>
          <w:rStyle w:val="17"/>
          <w:rFonts w:ascii="Arial" w:hAnsi="Arial" w:eastAsia="宋体" w:cs="Arial"/>
          <w:snapToGrid w:val="0"/>
          <w:lang w:eastAsia="zh-CN"/>
        </w:rPr>
        <w:footnoteReference w:id="13"/>
      </w:r>
      <w:r>
        <w:rPr>
          <w:rFonts w:hint="eastAsia" w:ascii="Arial" w:hAnsi="Arial" w:eastAsia="宋体" w:cs="Arial"/>
          <w:snapToGrid w:val="0"/>
          <w:lang w:eastAsia="zh-CN"/>
        </w:rPr>
        <w:t>对于上市前批准（</w:t>
      </w:r>
      <w:r>
        <w:rPr>
          <w:rFonts w:ascii="Arial" w:hAnsi="Arial" w:eastAsia="宋体" w:cs="Arial"/>
          <w:snapToGrid w:val="0"/>
          <w:lang w:eastAsia="zh-CN"/>
        </w:rPr>
        <w:t>PMA</w:t>
      </w:r>
      <w:r>
        <w:rPr>
          <w:rFonts w:hint="eastAsia" w:ascii="Arial" w:hAnsi="Arial" w:eastAsia="宋体" w:cs="Arial"/>
          <w:snapToGrid w:val="0"/>
          <w:lang w:eastAsia="zh-CN"/>
        </w:rPr>
        <w:t>），</w:t>
      </w:r>
      <w:r>
        <w:rPr>
          <w:rFonts w:ascii="Arial" w:hAnsi="Arial" w:eastAsia="宋体" w:cs="Arial"/>
          <w:snapToGrid w:val="0"/>
          <w:lang w:eastAsia="zh-CN"/>
        </w:rPr>
        <w:t>CGMP</w:t>
      </w:r>
      <w:r>
        <w:rPr>
          <w:rFonts w:hint="eastAsia" w:ascii="Arial" w:hAnsi="Arial" w:eastAsia="宋体" w:cs="Arial"/>
          <w:snapToGrid w:val="0"/>
          <w:lang w:eastAsia="zh-CN"/>
        </w:rPr>
        <w:t>方法应在</w:t>
      </w:r>
      <w:r>
        <w:rPr>
          <w:rFonts w:ascii="Arial" w:hAnsi="Arial" w:eastAsia="宋体" w:cs="Arial"/>
          <w:snapToGrid w:val="0"/>
          <w:lang w:eastAsia="zh-CN"/>
        </w:rPr>
        <w:t>PMA</w:t>
      </w:r>
      <w:r>
        <w:rPr>
          <w:rFonts w:hint="eastAsia" w:ascii="Arial" w:hAnsi="Arial" w:eastAsia="宋体" w:cs="Arial"/>
          <w:snapToGrid w:val="0"/>
          <w:lang w:eastAsia="zh-CN"/>
        </w:rPr>
        <w:t>的制造部门（标准化</w:t>
      </w:r>
      <w:r>
        <w:rPr>
          <w:rFonts w:ascii="Arial" w:hAnsi="Arial" w:eastAsia="宋体" w:cs="Arial"/>
          <w:snapToGrid w:val="0"/>
          <w:lang w:eastAsia="zh-CN"/>
        </w:rPr>
        <w:t>PMA</w:t>
      </w:r>
      <w:r>
        <w:rPr>
          <w:rFonts w:hint="eastAsia" w:ascii="Arial" w:hAnsi="Arial" w:eastAsia="宋体" w:cs="Arial"/>
          <w:snapToGrid w:val="0"/>
          <w:lang w:eastAsia="zh-CN"/>
        </w:rPr>
        <w:t>的制造模块）有案可查。</w:t>
      </w:r>
    </w:p>
    <w:p w14:paraId="797B8AD6">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4AF908C0">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31" w:name="D._The_role_of_the_lead_center_and_other"/>
      <w:bookmarkEnd w:id="31"/>
      <w:bookmarkStart w:id="32" w:name="_bookmark19"/>
      <w:bookmarkEnd w:id="32"/>
      <w:bookmarkStart w:id="33" w:name="_Toc498640466"/>
      <w:r>
        <w:rPr>
          <w:rFonts w:hint="eastAsia" w:ascii="Arial" w:hAnsi="Arial" w:eastAsia="宋体" w:cs="Arial"/>
          <w:snapToGrid w:val="0"/>
          <w:sz w:val="24"/>
          <w:lang w:eastAsia="zh-CN"/>
        </w:rPr>
        <w:t>首要中心和其它机构部门的角色</w:t>
      </w:r>
      <w:bookmarkEnd w:id="33"/>
    </w:p>
    <w:p w14:paraId="71297D3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组合产品会被指派给一个机构中心，该机构中心对其上市前审核和监管有优先管辖权（即首要地位）。根据联邦食品、药品和化妆品法案</w:t>
      </w:r>
      <w:r>
        <w:rPr>
          <w:rFonts w:ascii="Arial" w:hAnsi="Arial" w:eastAsia="宋体" w:cs="Arial"/>
          <w:snapToGrid w:val="0"/>
          <w:lang w:eastAsia="zh-CN"/>
        </w:rPr>
        <w:t>（FD&amp;C</w:t>
      </w:r>
      <w:r>
        <w:rPr>
          <w:rFonts w:hint="eastAsia" w:ascii="Arial" w:hAnsi="Arial" w:eastAsia="宋体" w:cs="Arial"/>
          <w:snapToGrid w:val="0"/>
          <w:lang w:eastAsia="zh-CN"/>
        </w:rPr>
        <w:t>法案</w:t>
      </w:r>
      <w:r>
        <w:rPr>
          <w:rFonts w:ascii="Arial" w:hAnsi="Arial" w:eastAsia="宋体" w:cs="Arial"/>
          <w:snapToGrid w:val="0"/>
          <w:lang w:eastAsia="zh-CN"/>
        </w:rPr>
        <w:t>）（21 U.S.C.351（g）</w:t>
      </w:r>
      <w:r>
        <w:rPr>
          <w:rFonts w:hint="eastAsia" w:ascii="Arial" w:hAnsi="Arial" w:eastAsia="宋体" w:cs="Arial"/>
          <w:snapToGrid w:val="0"/>
          <w:lang w:eastAsia="zh-CN"/>
        </w:rPr>
        <w:t>的第</w:t>
      </w:r>
      <w:r>
        <w:rPr>
          <w:rFonts w:ascii="Arial" w:hAnsi="Arial" w:eastAsia="宋体" w:cs="Arial"/>
          <w:snapToGrid w:val="0"/>
          <w:lang w:eastAsia="zh-CN"/>
        </w:rPr>
        <w:t>503（g）（1）</w:t>
      </w:r>
      <w:r>
        <w:rPr>
          <w:rFonts w:hint="eastAsia" w:ascii="Arial" w:hAnsi="Arial" w:eastAsia="宋体" w:cs="Arial"/>
          <w:snapToGrid w:val="0"/>
          <w:lang w:eastAsia="zh-CN"/>
        </w:rPr>
        <w:t>节，首要中心的指派应基于对规定组合产品</w:t>
      </w:r>
      <w:r>
        <w:rPr>
          <w:rFonts w:ascii="Arial" w:hAnsi="Arial" w:eastAsia="宋体" w:cs="Arial"/>
          <w:snapToGrid w:val="0"/>
          <w:lang w:eastAsia="zh-CN"/>
        </w:rPr>
        <w:t>PMOA</w:t>
      </w:r>
      <w:r>
        <w:rPr>
          <w:rFonts w:hint="eastAsia" w:ascii="Arial" w:hAnsi="Arial" w:eastAsia="宋体" w:cs="Arial"/>
          <w:snapToGrid w:val="0"/>
          <w:lang w:eastAsia="zh-CN"/>
        </w:rPr>
        <w:t>的组成部分的判定。</w:t>
      </w:r>
      <w:r>
        <w:rPr>
          <w:rStyle w:val="17"/>
          <w:rFonts w:ascii="Arial" w:hAnsi="Arial" w:eastAsia="宋体" w:cs="Arial"/>
          <w:snapToGrid w:val="0"/>
          <w:lang w:eastAsia="zh-CN"/>
        </w:rPr>
        <w:footnoteReference w:id="14"/>
      </w:r>
    </w:p>
    <w:p w14:paraId="4750DB5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例如，如果一个器械—生物制剂组合产品由生物制剂提供</w:t>
      </w:r>
      <w:r>
        <w:rPr>
          <w:rFonts w:ascii="Arial" w:hAnsi="Arial" w:eastAsia="宋体" w:cs="Arial"/>
          <w:snapToGrid w:val="0"/>
          <w:lang w:eastAsia="zh-CN"/>
        </w:rPr>
        <w:t>PMOA</w:t>
      </w:r>
      <w:r>
        <w:rPr>
          <w:rFonts w:hint="eastAsia" w:ascii="Arial" w:hAnsi="Arial" w:eastAsia="宋体" w:cs="Arial"/>
          <w:snapToGrid w:val="0"/>
          <w:lang w:eastAsia="zh-CN"/>
        </w:rPr>
        <w:t>，则负责该生物制剂上市前审核的中心对该组合产品的管理有优先管辖权。负责组合产品上市前审核的首要中心在确保符合</w:t>
      </w:r>
      <w:r>
        <w:rPr>
          <w:rFonts w:ascii="Arial" w:hAnsi="Arial" w:eastAsia="宋体" w:cs="Arial"/>
          <w:snapToGrid w:val="0"/>
          <w:lang w:eastAsia="zh-CN"/>
        </w:rPr>
        <w:t>CGMP</w:t>
      </w:r>
      <w:r>
        <w:rPr>
          <w:rFonts w:hint="eastAsia" w:ascii="Arial" w:hAnsi="Arial" w:eastAsia="宋体" w:cs="Arial"/>
          <w:snapToGrid w:val="0"/>
          <w:lang w:eastAsia="zh-CN"/>
        </w:rPr>
        <w:t>法规要求方面也起主导作用。无论</w:t>
      </w:r>
      <w:r>
        <w:rPr>
          <w:rFonts w:ascii="Arial" w:hAnsi="Arial" w:eastAsia="宋体" w:cs="Arial"/>
          <w:snapToGrid w:val="0"/>
          <w:lang w:eastAsia="zh-CN"/>
        </w:rPr>
        <w:t>PMOA</w:t>
      </w:r>
      <w:r>
        <w:rPr>
          <w:rFonts w:hint="eastAsia" w:ascii="Arial" w:hAnsi="Arial" w:eastAsia="宋体" w:cs="Arial"/>
          <w:snapToGrid w:val="0"/>
          <w:lang w:eastAsia="zh-CN"/>
        </w:rPr>
        <w:t>如何规定，各机构部门都应酌情进行调整以实现高效可行的的</w:t>
      </w:r>
      <w:r>
        <w:rPr>
          <w:rFonts w:ascii="Arial" w:hAnsi="Arial" w:eastAsia="宋体" w:cs="Arial"/>
          <w:snapToGrid w:val="0"/>
          <w:lang w:eastAsia="zh-CN"/>
        </w:rPr>
        <w:t>CGMP</w:t>
      </w:r>
      <w:r>
        <w:rPr>
          <w:rFonts w:hint="eastAsia" w:ascii="Arial" w:hAnsi="Arial" w:eastAsia="宋体" w:cs="Arial"/>
          <w:snapToGrid w:val="0"/>
          <w:lang w:eastAsia="zh-CN"/>
        </w:rPr>
        <w:t>管理监督，包括适当的</w:t>
      </w:r>
      <w:r>
        <w:rPr>
          <w:rFonts w:ascii="Arial" w:hAnsi="Arial" w:eastAsia="宋体" w:cs="Arial"/>
          <w:snapToGrid w:val="0"/>
          <w:lang w:eastAsia="zh-CN"/>
        </w:rPr>
        <w:t>CGMP</w:t>
      </w:r>
      <w:r>
        <w:rPr>
          <w:rFonts w:hint="eastAsia" w:ascii="Arial" w:hAnsi="Arial" w:eastAsia="宋体" w:cs="Arial"/>
          <w:snapToGrid w:val="0"/>
          <w:lang w:eastAsia="zh-CN"/>
        </w:rPr>
        <w:t>检查。</w:t>
      </w:r>
    </w:p>
    <w:p w14:paraId="52DC436C">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首要中心是制造商的首要联络点。根据需要，制造商也可联系组合产品办公室</w:t>
      </w:r>
      <w:r>
        <w:rPr>
          <w:rFonts w:ascii="Arial" w:hAnsi="Arial" w:eastAsia="宋体" w:cs="Arial"/>
          <w:snapToGrid w:val="0"/>
          <w:lang w:eastAsia="zh-CN"/>
        </w:rPr>
        <w:t>（OCP）</w:t>
      </w:r>
      <w:r>
        <w:rPr>
          <w:rFonts w:hint="eastAsia" w:ascii="Arial" w:hAnsi="Arial" w:eastAsia="宋体" w:cs="Arial"/>
          <w:snapToGrid w:val="0"/>
          <w:lang w:eastAsia="zh-CN"/>
        </w:rPr>
        <w:t>请求帮助，以确定适当的联络点（包括首要中心内的联络点），解决实质性问题，或以其他方式促进与机构的互动或机构各部门（包括各中心和法规事务办公室</w:t>
      </w:r>
      <w:r>
        <w:rPr>
          <w:rFonts w:ascii="Arial" w:hAnsi="Arial" w:eastAsia="宋体" w:cs="Arial"/>
          <w:snapToGrid w:val="0"/>
          <w:lang w:eastAsia="zh-CN"/>
        </w:rPr>
        <w:t>（ORA）</w:t>
      </w:r>
      <w:r>
        <w:rPr>
          <w:rFonts w:hint="eastAsia" w:ascii="Arial" w:hAnsi="Arial" w:eastAsia="宋体" w:cs="Arial"/>
          <w:snapToGrid w:val="0"/>
          <w:lang w:eastAsia="zh-CN"/>
        </w:rPr>
        <w:t>）之间的合作。</w:t>
      </w:r>
    </w:p>
    <w:p w14:paraId="0237B3D6">
      <w:pPr>
        <w:pStyle w:val="21"/>
        <w:numPr>
          <w:ilvl w:val="0"/>
          <w:numId w:val="1"/>
        </w:numPr>
        <w:tabs>
          <w:tab w:val="left" w:pos="840"/>
        </w:tabs>
        <w:topLinePunct/>
        <w:adjustRightInd w:val="0"/>
        <w:snapToGrid w:val="0"/>
        <w:spacing w:after="224" w:afterLines="75" w:line="288" w:lineRule="auto"/>
        <w:ind w:left="0" w:firstLine="0"/>
        <w:jc w:val="both"/>
        <w:outlineLvl w:val="9"/>
        <w:rPr>
          <w:rFonts w:ascii="Arial" w:hAnsi="Arial" w:eastAsia="宋体" w:cs="Arial"/>
          <w:b w:val="0"/>
          <w:bCs w:val="0"/>
          <w:snapToGrid w:val="0"/>
          <w:sz w:val="28"/>
          <w:lang w:eastAsia="zh-CN"/>
        </w:rPr>
      </w:pPr>
      <w:bookmarkStart w:id="34" w:name="III._General_Considerations_for_CGMP_Com"/>
      <w:bookmarkEnd w:id="34"/>
      <w:bookmarkStart w:id="35" w:name="_bookmark20"/>
      <w:bookmarkEnd w:id="35"/>
      <w:bookmarkStart w:id="36" w:name="OLE_LINK7"/>
      <w:bookmarkStart w:id="37" w:name="OLE_LINK8"/>
      <w:bookmarkStart w:id="38" w:name="_Toc498640467"/>
      <w:r>
        <w:rPr>
          <w:rFonts w:hint="eastAsia" w:ascii="Arial" w:hAnsi="Arial" w:eastAsia="宋体" w:cs="Arial"/>
          <w:snapToGrid w:val="0"/>
          <w:sz w:val="28"/>
          <w:lang w:eastAsia="zh-CN"/>
        </w:rPr>
        <w:t>对</w:t>
      </w:r>
      <w:r>
        <w:rPr>
          <w:rFonts w:ascii="Arial" w:hAnsi="Arial" w:eastAsia="宋体" w:cs="Arial"/>
          <w:snapToGrid w:val="0"/>
          <w:sz w:val="28"/>
          <w:lang w:eastAsia="zh-CN"/>
        </w:rPr>
        <w:t>CGMP</w:t>
      </w:r>
      <w:r>
        <w:rPr>
          <w:rFonts w:hint="eastAsia" w:ascii="Arial" w:hAnsi="Arial" w:eastAsia="宋体" w:cs="Arial"/>
          <w:snapToGrid w:val="0"/>
          <w:sz w:val="28"/>
          <w:lang w:eastAsia="zh-CN"/>
        </w:rPr>
        <w:t>合规的一般考虑</w:t>
      </w:r>
      <w:bookmarkEnd w:id="36"/>
      <w:bookmarkEnd w:id="37"/>
      <w:bookmarkEnd w:id="38"/>
    </w:p>
    <w:p w14:paraId="3CF79C3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本节解决</w:t>
      </w:r>
      <w:bookmarkStart w:id="39" w:name="OLE_LINK10"/>
      <w:bookmarkStart w:id="40" w:name="OLE_LINK9"/>
      <w:r>
        <w:rPr>
          <w:rFonts w:hint="eastAsia" w:ascii="Arial" w:hAnsi="Arial" w:eastAsia="宋体" w:cs="Arial"/>
          <w:snapToGrid w:val="0"/>
          <w:lang w:eastAsia="zh-CN"/>
        </w:rPr>
        <w:t>组合产品</w:t>
      </w:r>
      <w:r>
        <w:rPr>
          <w:rFonts w:ascii="Arial" w:hAnsi="Arial" w:eastAsia="宋体" w:cs="Arial"/>
          <w:snapToGrid w:val="0"/>
          <w:lang w:eastAsia="zh-CN"/>
        </w:rPr>
        <w:t>CGMP</w:t>
      </w:r>
      <w:r>
        <w:rPr>
          <w:rFonts w:hint="eastAsia" w:ascii="Arial" w:hAnsi="Arial" w:eastAsia="宋体" w:cs="Arial"/>
          <w:snapToGrid w:val="0"/>
          <w:lang w:eastAsia="zh-CN"/>
        </w:rPr>
        <w:t>合规的某些一般性考虑</w:t>
      </w:r>
      <w:bookmarkEnd w:id="39"/>
      <w:bookmarkEnd w:id="40"/>
      <w:r>
        <w:rPr>
          <w:rFonts w:hint="eastAsia" w:ascii="Arial" w:hAnsi="Arial" w:eastAsia="宋体" w:cs="Arial"/>
          <w:snapToGrid w:val="0"/>
          <w:lang w:eastAsia="zh-CN"/>
        </w:rPr>
        <w:t>。注意本指南仅解决</w:t>
      </w:r>
      <w:r>
        <w:rPr>
          <w:rFonts w:ascii="Arial" w:hAnsi="Arial" w:eastAsia="宋体" w:cs="Arial"/>
          <w:snapToGrid w:val="0"/>
          <w:lang w:eastAsia="zh-CN"/>
        </w:rPr>
        <w:t>CGMP</w:t>
      </w:r>
      <w:r>
        <w:rPr>
          <w:rFonts w:hint="eastAsia" w:ascii="Arial" w:hAnsi="Arial" w:eastAsia="宋体" w:cs="Arial"/>
          <w:snapToGrid w:val="0"/>
          <w:lang w:eastAsia="zh-CN"/>
        </w:rPr>
        <w:t>要求。产品设计、预期用途或制造可能有其他适用要求，包括因变动导致需要提交上市前提交资料。</w:t>
      </w:r>
    </w:p>
    <w:p w14:paraId="3F1CD416">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41" w:name="_bookmark21"/>
      <w:bookmarkEnd w:id="41"/>
      <w:bookmarkStart w:id="42" w:name="_bookmark22"/>
      <w:bookmarkEnd w:id="42"/>
      <w:r>
        <w:rPr>
          <w:rFonts w:ascii="Arial" w:hAnsi="Arial" w:eastAsia="宋体" w:cs="Arial"/>
          <w:snapToGrid w:val="0"/>
          <w:sz w:val="24"/>
          <w:szCs w:val="20"/>
          <w:lang w:eastAsia="zh-CN"/>
        </w:rPr>
        <w:br w:type="page"/>
      </w:r>
    </w:p>
    <w:p w14:paraId="60053798">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rPr>
      </w:pPr>
      <w:bookmarkStart w:id="43" w:name="A._Demonstrating_compliance"/>
      <w:bookmarkEnd w:id="43"/>
      <w:bookmarkStart w:id="44" w:name="_bookmark23"/>
      <w:bookmarkEnd w:id="44"/>
      <w:bookmarkStart w:id="45" w:name="_Toc498640468"/>
      <w:r>
        <w:rPr>
          <w:rFonts w:hint="eastAsia" w:ascii="Arial" w:hAnsi="Arial" w:eastAsia="宋体" w:cs="Arial"/>
          <w:snapToGrid w:val="0"/>
          <w:sz w:val="24"/>
          <w:lang w:eastAsia="zh-CN"/>
        </w:rPr>
        <w:t>证明合规性</w:t>
      </w:r>
      <w:bookmarkEnd w:id="45"/>
    </w:p>
    <w:p w14:paraId="51E70F88">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最终原则为组合包装和单一实体组合产品制造商指出两种证明符合适用</w:t>
      </w:r>
      <w:r>
        <w:rPr>
          <w:rFonts w:ascii="Arial" w:hAnsi="Arial" w:eastAsia="宋体" w:cs="Arial"/>
          <w:snapToGrid w:val="0"/>
          <w:lang w:eastAsia="zh-CN"/>
        </w:rPr>
        <w:t>CGMP</w:t>
      </w:r>
      <w:r>
        <w:rPr>
          <w:rFonts w:hint="eastAsia" w:ascii="Arial" w:hAnsi="Arial" w:eastAsia="宋体" w:cs="Arial"/>
          <w:snapToGrid w:val="0"/>
          <w:lang w:eastAsia="zh-CN"/>
        </w:rPr>
        <w:t>要求的方法。机构预期在第</w:t>
      </w:r>
      <w:r>
        <w:rPr>
          <w:rFonts w:ascii="Arial" w:hAnsi="Arial" w:eastAsia="宋体" w:cs="Arial"/>
          <w:snapToGrid w:val="0"/>
          <w:lang w:eastAsia="zh-CN"/>
        </w:rPr>
        <w:t>4</w:t>
      </w:r>
      <w:r>
        <w:rPr>
          <w:rFonts w:hint="eastAsia" w:ascii="Arial" w:hAnsi="Arial" w:eastAsia="宋体" w:cs="Arial"/>
          <w:snapToGrid w:val="0"/>
          <w:lang w:eastAsia="zh-CN"/>
        </w:rPr>
        <w:t>部分应用术语</w:t>
      </w:r>
      <w:r>
        <w:rPr>
          <w:rFonts w:hint="eastAsia" w:ascii="宋体" w:hAnsi="宋体" w:eastAsia="宋体" w:cs="Arial"/>
          <w:snapToGrid w:val="0"/>
          <w:lang w:eastAsia="zh-CN"/>
        </w:rPr>
        <w:t>“</w:t>
      </w:r>
      <w:r>
        <w:rPr>
          <w:rFonts w:hint="eastAsia" w:ascii="Arial" w:hAnsi="Arial" w:eastAsia="宋体" w:cs="Arial"/>
          <w:snapToGrid w:val="0"/>
          <w:lang w:eastAsia="zh-CN"/>
        </w:rPr>
        <w:t>证明</w:t>
      </w:r>
      <w:r>
        <w:rPr>
          <w:rFonts w:hint="eastAsia" w:ascii="宋体" w:hAnsi="宋体" w:eastAsia="宋体" w:cs="Arial"/>
          <w:snapToGrid w:val="0"/>
          <w:lang w:eastAsia="zh-CN"/>
        </w:rPr>
        <w:t>”</w:t>
      </w:r>
      <w:r>
        <w:rPr>
          <w:rFonts w:hint="eastAsia" w:ascii="Arial" w:hAnsi="Arial" w:eastAsia="宋体" w:cs="Arial"/>
          <w:snapToGrid w:val="0"/>
          <w:lang w:eastAsia="zh-CN"/>
        </w:rPr>
        <w:t>，目的是履行</w:t>
      </w:r>
      <w:r>
        <w:rPr>
          <w:rFonts w:ascii="Arial" w:hAnsi="Arial" w:eastAsia="宋体" w:cs="Arial"/>
          <w:snapToGrid w:val="0"/>
          <w:lang w:eastAsia="zh-CN"/>
        </w:rPr>
        <w:t>21 CFR 4.3</w:t>
      </w:r>
      <w:r>
        <w:rPr>
          <w:rFonts w:hint="eastAsia" w:ascii="Arial" w:hAnsi="Arial" w:eastAsia="宋体" w:cs="Arial"/>
          <w:snapToGrid w:val="0"/>
          <w:lang w:eastAsia="zh-CN"/>
        </w:rPr>
        <w:t>中列出的潜在</w:t>
      </w:r>
      <w:r>
        <w:rPr>
          <w:rFonts w:ascii="Arial" w:hAnsi="Arial" w:eastAsia="宋体" w:cs="Arial"/>
          <w:snapToGrid w:val="0"/>
          <w:lang w:eastAsia="zh-CN"/>
        </w:rPr>
        <w:t>CGMP</w:t>
      </w:r>
      <w:r>
        <w:rPr>
          <w:rFonts w:hint="eastAsia" w:ascii="Arial" w:hAnsi="Arial" w:eastAsia="宋体" w:cs="Arial"/>
          <w:snapToGrid w:val="0"/>
          <w:lang w:eastAsia="zh-CN"/>
        </w:rPr>
        <w:t>法规。制造商必须证明符合适用于组成部分和组合产品的各项</w:t>
      </w:r>
      <w:r>
        <w:rPr>
          <w:rFonts w:ascii="Arial" w:hAnsi="Arial" w:eastAsia="宋体" w:cs="Arial"/>
          <w:snapToGrid w:val="0"/>
          <w:lang w:eastAsia="zh-CN"/>
        </w:rPr>
        <w:t>CGMP</w:t>
      </w:r>
      <w:r>
        <w:rPr>
          <w:rFonts w:hint="eastAsia" w:ascii="Arial" w:hAnsi="Arial" w:eastAsia="宋体" w:cs="Arial"/>
          <w:snapToGrid w:val="0"/>
          <w:lang w:eastAsia="zh-CN"/>
        </w:rPr>
        <w:t>要求。</w:t>
      </w:r>
      <w:r>
        <w:rPr>
          <w:rStyle w:val="17"/>
          <w:rFonts w:ascii="Arial" w:hAnsi="Arial" w:eastAsia="宋体" w:cs="Arial"/>
          <w:snapToGrid w:val="0"/>
          <w:lang w:eastAsia="zh-CN"/>
        </w:rPr>
        <w:footnoteReference w:id="15"/>
      </w:r>
    </w:p>
    <w:p w14:paraId="5F22428C">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如果使用简化方法，制造商必须证明符合药品</w:t>
      </w:r>
      <w:r>
        <w:rPr>
          <w:rFonts w:ascii="Arial" w:hAnsi="Arial" w:eastAsia="宋体" w:cs="Arial"/>
          <w:snapToGrid w:val="0"/>
          <w:lang w:eastAsia="zh-CN"/>
        </w:rPr>
        <w:t>CGMP</w:t>
      </w:r>
      <w:r>
        <w:rPr>
          <w:rFonts w:hint="eastAsia" w:ascii="Arial" w:hAnsi="Arial" w:eastAsia="宋体" w:cs="Arial"/>
          <w:snapToGrid w:val="0"/>
          <w:lang w:eastAsia="zh-CN"/>
        </w:rPr>
        <w:t>或器械</w:t>
      </w:r>
      <w:r>
        <w:rPr>
          <w:rFonts w:ascii="Arial" w:hAnsi="Arial" w:eastAsia="宋体" w:cs="Arial"/>
          <w:snapToGrid w:val="0"/>
          <w:lang w:eastAsia="zh-CN"/>
        </w:rPr>
        <w:t>QS</w:t>
      </w:r>
      <w:r>
        <w:rPr>
          <w:rFonts w:hint="eastAsia" w:ascii="Arial" w:hAnsi="Arial" w:eastAsia="宋体" w:cs="Arial"/>
          <w:snapToGrid w:val="0"/>
          <w:lang w:eastAsia="zh-CN"/>
        </w:rPr>
        <w:t>规章的所有相关条款，且符合</w:t>
      </w:r>
      <w:r>
        <w:rPr>
          <w:rFonts w:ascii="Arial" w:hAnsi="Arial" w:eastAsia="宋体" w:cs="Arial"/>
          <w:snapToGrid w:val="0"/>
          <w:lang w:eastAsia="zh-CN"/>
        </w:rPr>
        <w:t>21 CFR 4.4（b）</w:t>
      </w:r>
      <w:r>
        <w:rPr>
          <w:rFonts w:hint="eastAsia" w:ascii="Arial" w:hAnsi="Arial" w:eastAsia="宋体" w:cs="Arial"/>
          <w:snapToGrid w:val="0"/>
          <w:lang w:eastAsia="zh-CN"/>
        </w:rPr>
        <w:t>中适用于产品的另一套（或几套）</w:t>
      </w:r>
      <w:r>
        <w:rPr>
          <w:rFonts w:ascii="Arial" w:hAnsi="Arial" w:eastAsia="宋体" w:cs="Arial"/>
          <w:snapToGrid w:val="0"/>
          <w:lang w:eastAsia="zh-CN"/>
        </w:rPr>
        <w:t>CGMP</w:t>
      </w:r>
      <w:r>
        <w:rPr>
          <w:rFonts w:hint="eastAsia" w:ascii="Arial" w:hAnsi="Arial" w:eastAsia="宋体" w:cs="Arial"/>
          <w:snapToGrid w:val="0"/>
          <w:lang w:eastAsia="zh-CN"/>
        </w:rPr>
        <w:t>要求中的指定条款）。本指南的第</w:t>
      </w:r>
      <w:r>
        <w:rPr>
          <w:rFonts w:ascii="Arial" w:hAnsi="Arial" w:eastAsia="宋体" w:cs="Arial"/>
          <w:snapToGrid w:val="0"/>
          <w:lang w:eastAsia="zh-CN"/>
        </w:rPr>
        <w:t>IV</w:t>
      </w:r>
      <w:r>
        <w:rPr>
          <w:rFonts w:hint="eastAsia" w:ascii="Arial" w:hAnsi="Arial" w:eastAsia="宋体" w:cs="Arial"/>
          <w:snapToGrid w:val="0"/>
          <w:lang w:eastAsia="zh-CN"/>
        </w:rPr>
        <w:t>节提供关于如何证明符合</w:t>
      </w:r>
      <w:r>
        <w:rPr>
          <w:rFonts w:ascii="Arial" w:hAnsi="Arial" w:eastAsia="宋体" w:cs="Arial"/>
          <w:snapToGrid w:val="0"/>
          <w:lang w:eastAsia="zh-CN"/>
        </w:rPr>
        <w:t>21 CFR4.4（b）</w:t>
      </w:r>
      <w:r>
        <w:rPr>
          <w:rFonts w:hint="eastAsia" w:ascii="Arial" w:hAnsi="Arial" w:eastAsia="宋体" w:cs="Arial"/>
          <w:snapToGrid w:val="0"/>
          <w:lang w:eastAsia="zh-CN"/>
        </w:rPr>
        <w:t>中指定条例的进一步指导。除</w:t>
      </w:r>
      <w:r>
        <w:rPr>
          <w:rFonts w:ascii="Arial" w:hAnsi="Arial" w:eastAsia="宋体" w:cs="Arial"/>
          <w:snapToGrid w:val="0"/>
          <w:lang w:eastAsia="zh-CN"/>
        </w:rPr>
        <w:t>21 CFR 4.4（b）</w:t>
      </w:r>
      <w:r>
        <w:rPr>
          <w:rFonts w:hint="eastAsia" w:ascii="Arial" w:hAnsi="Arial" w:eastAsia="宋体" w:cs="Arial"/>
          <w:snapToGrid w:val="0"/>
          <w:lang w:eastAsia="zh-CN"/>
        </w:rPr>
        <w:t>中的指定条款外，执行简化方法的制造商不需证明符合非基础要求的其它具体条款（例如采用基于药品</w:t>
      </w:r>
      <w:r>
        <w:rPr>
          <w:rFonts w:ascii="Arial" w:hAnsi="Arial" w:eastAsia="宋体" w:cs="Arial"/>
          <w:snapToGrid w:val="0"/>
          <w:lang w:eastAsia="zh-CN"/>
        </w:rPr>
        <w:t>CGMP</w:t>
      </w:r>
      <w:r>
        <w:rPr>
          <w:rFonts w:hint="eastAsia" w:ascii="Arial" w:hAnsi="Arial" w:eastAsia="宋体" w:cs="Arial"/>
          <w:snapToGrid w:val="0"/>
          <w:lang w:eastAsia="zh-CN"/>
        </w:rPr>
        <w:t>简化方法的制造商，必须证明符合适用的药品</w:t>
      </w:r>
      <w:r>
        <w:rPr>
          <w:rFonts w:ascii="Arial" w:hAnsi="Arial" w:eastAsia="宋体" w:cs="Arial"/>
          <w:snapToGrid w:val="0"/>
          <w:lang w:eastAsia="zh-CN"/>
        </w:rPr>
        <w:t>CGMP</w:t>
      </w:r>
      <w:r>
        <w:rPr>
          <w:rFonts w:hint="eastAsia" w:ascii="Arial" w:hAnsi="Arial" w:eastAsia="宋体" w:cs="Arial"/>
          <w:snapToGrid w:val="0"/>
          <w:lang w:eastAsia="zh-CN"/>
        </w:rPr>
        <w:t>和第820部分中指定的6项条款（如适用），但无需证明符合第820部分的其它具体条款）。</w:t>
      </w:r>
    </w:p>
    <w:p w14:paraId="2E31440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中规定的，如果第4部分下的适用条例之间互相冲突，则由最明确适用于所考虑的组成部分的条例取代更通用的条例。该条款的目的是解决条例间的任何可能存在的冲突。该条款不作为机构要求制造商证明符合第4部分未指出的适用于制造商的其它条款的依据。</w:t>
      </w:r>
    </w:p>
    <w:p w14:paraId="190E780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第4部分指定的来自药品</w:t>
      </w:r>
      <w:r>
        <w:rPr>
          <w:rFonts w:ascii="Arial" w:hAnsi="Arial" w:eastAsia="宋体" w:cs="Arial"/>
          <w:snapToGrid w:val="0"/>
          <w:lang w:eastAsia="zh-CN"/>
        </w:rPr>
        <w:t>CGMP</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规章的其中一些条款分别参照第</w:t>
      </w:r>
      <w:r>
        <w:rPr>
          <w:rFonts w:ascii="Arial" w:hAnsi="Arial" w:eastAsia="宋体" w:cs="Arial"/>
          <w:snapToGrid w:val="0"/>
          <w:lang w:eastAsia="zh-CN"/>
        </w:rPr>
        <w:t>211</w:t>
      </w:r>
      <w:r>
        <w:rPr>
          <w:rFonts w:hint="eastAsia" w:ascii="Arial" w:hAnsi="Arial" w:eastAsia="宋体" w:cs="Arial"/>
          <w:snapToGrid w:val="0"/>
          <w:lang w:eastAsia="zh-CN"/>
        </w:rPr>
        <w:t>和</w:t>
      </w:r>
      <w:r>
        <w:rPr>
          <w:rFonts w:ascii="Arial" w:hAnsi="Arial" w:eastAsia="宋体" w:cs="Arial"/>
          <w:snapToGrid w:val="0"/>
          <w:lang w:eastAsia="zh-CN"/>
        </w:rPr>
        <w:t>820</w:t>
      </w:r>
      <w:r>
        <w:rPr>
          <w:rFonts w:hint="eastAsia" w:ascii="Arial" w:hAnsi="Arial" w:eastAsia="宋体" w:cs="Arial"/>
          <w:snapToGrid w:val="0"/>
          <w:lang w:eastAsia="zh-CN"/>
        </w:rPr>
        <w:t>部分的其它条款。这产生了一个问题，即制造商是否必须明确证明符合这些参照条款。FDA认为制造商仅执行基于药品</w:t>
      </w:r>
      <w:r>
        <w:rPr>
          <w:rFonts w:ascii="Arial" w:hAnsi="Arial" w:eastAsia="宋体" w:cs="Arial"/>
          <w:snapToGrid w:val="0"/>
          <w:lang w:eastAsia="zh-CN"/>
        </w:rPr>
        <w:t>CGMP</w:t>
      </w:r>
      <w:r>
        <w:rPr>
          <w:rFonts w:hint="eastAsia" w:ascii="Arial" w:hAnsi="Arial" w:eastAsia="宋体" w:cs="Arial"/>
          <w:snapToGrid w:val="0"/>
          <w:lang w:eastAsia="zh-CN"/>
        </w:rPr>
        <w:t>或基于器械</w:t>
      </w:r>
      <w:r>
        <w:rPr>
          <w:rFonts w:ascii="Arial" w:hAnsi="Arial" w:eastAsia="宋体" w:cs="Arial"/>
          <w:snapToGrid w:val="0"/>
          <w:lang w:eastAsia="zh-CN"/>
        </w:rPr>
        <w:t>QS</w:t>
      </w:r>
      <w:r>
        <w:rPr>
          <w:rFonts w:hint="eastAsia" w:ascii="Arial" w:hAnsi="Arial" w:eastAsia="宋体" w:cs="Arial"/>
          <w:snapToGrid w:val="0"/>
          <w:lang w:eastAsia="zh-CN"/>
        </w:rPr>
        <w:t>规章的</w:t>
      </w:r>
      <w:r>
        <w:rPr>
          <w:rFonts w:ascii="Arial" w:hAnsi="Arial" w:eastAsia="宋体" w:cs="Arial"/>
          <w:snapToGrid w:val="0"/>
          <w:lang w:eastAsia="zh-CN"/>
        </w:rPr>
        <w:t>CGMP</w:t>
      </w:r>
      <w:r>
        <w:rPr>
          <w:rFonts w:hint="eastAsia" w:ascii="Arial" w:hAnsi="Arial" w:eastAsia="宋体" w:cs="Arial"/>
          <w:snapToGrid w:val="0"/>
          <w:lang w:eastAsia="zh-CN"/>
        </w:rPr>
        <w:t>简化方法其中之一，就能充分解决这些参照条款的预期。</w:t>
      </w:r>
    </w:p>
    <w:p w14:paraId="5321B76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例如，</w:t>
      </w:r>
      <w:r>
        <w:rPr>
          <w:rFonts w:ascii="Arial" w:hAnsi="Arial" w:eastAsia="宋体" w:cs="Arial"/>
          <w:snapToGrid w:val="0"/>
          <w:lang w:eastAsia="zh-CN"/>
        </w:rPr>
        <w:t>21 CFR 211.170</w:t>
      </w:r>
      <w:r>
        <w:rPr>
          <w:rFonts w:hint="eastAsia" w:ascii="Arial" w:hAnsi="Arial" w:eastAsia="宋体" w:cs="Arial"/>
          <w:snapToGrid w:val="0"/>
          <w:lang w:eastAsia="zh-CN"/>
        </w:rPr>
        <w:t>（保留样品）参考了</w:t>
      </w:r>
      <w:r>
        <w:rPr>
          <w:rFonts w:ascii="Arial" w:hAnsi="Arial" w:eastAsia="宋体" w:cs="Arial"/>
          <w:snapToGrid w:val="0"/>
          <w:lang w:eastAsia="zh-CN"/>
        </w:rPr>
        <w:t>21 CFR 211.192</w:t>
      </w:r>
      <w:r>
        <w:rPr>
          <w:rFonts w:hint="eastAsia" w:ascii="Arial" w:hAnsi="Arial" w:eastAsia="宋体" w:cs="Arial"/>
          <w:snapToGrid w:val="0"/>
          <w:lang w:eastAsia="zh-CN"/>
        </w:rPr>
        <w:t>（生产记录审核）。然而，</w:t>
      </w:r>
      <w:r>
        <w:rPr>
          <w:rFonts w:ascii="Arial" w:hAnsi="Arial" w:eastAsia="宋体" w:cs="Arial"/>
          <w:snapToGrid w:val="0"/>
          <w:lang w:eastAsia="zh-CN"/>
        </w:rPr>
        <w:t>21 CFR 211.192</w:t>
      </w:r>
      <w:r>
        <w:rPr>
          <w:rFonts w:hint="eastAsia" w:ascii="Arial" w:hAnsi="Arial" w:eastAsia="宋体" w:cs="Arial"/>
          <w:snapToGrid w:val="0"/>
          <w:lang w:eastAsia="zh-CN"/>
        </w:rPr>
        <w:t>不是</w:t>
      </w:r>
      <w:r>
        <w:rPr>
          <w:rFonts w:ascii="Arial" w:hAnsi="Arial" w:eastAsia="宋体" w:cs="Arial"/>
          <w:snapToGrid w:val="0"/>
          <w:lang w:eastAsia="zh-CN"/>
        </w:rPr>
        <w:t>21 CFR 4.4（b）（2）</w:t>
      </w:r>
      <w:r>
        <w:rPr>
          <w:rFonts w:hint="eastAsia" w:ascii="Arial" w:hAnsi="Arial" w:eastAsia="宋体" w:cs="Arial"/>
          <w:snapToGrid w:val="0"/>
          <w:lang w:eastAsia="zh-CN"/>
        </w:rPr>
        <w:t>中的指定条款，原因是该部分的要求包含在第</w:t>
      </w:r>
      <w:r>
        <w:rPr>
          <w:rFonts w:ascii="Arial" w:hAnsi="Arial" w:eastAsia="宋体" w:cs="Arial"/>
          <w:snapToGrid w:val="0"/>
          <w:lang w:eastAsia="zh-CN"/>
        </w:rPr>
        <w:t>820</w:t>
      </w:r>
      <w:r>
        <w:rPr>
          <w:rFonts w:hint="eastAsia" w:ascii="Arial" w:hAnsi="Arial" w:eastAsia="宋体" w:cs="Arial"/>
          <w:snapToGrid w:val="0"/>
          <w:lang w:eastAsia="zh-CN"/>
        </w:rPr>
        <w:t>部分中。特别是根据</w:t>
      </w:r>
      <w:r>
        <w:rPr>
          <w:rFonts w:ascii="Arial" w:hAnsi="Arial" w:eastAsia="宋体" w:cs="Arial"/>
          <w:snapToGrid w:val="0"/>
          <w:lang w:eastAsia="zh-CN"/>
        </w:rPr>
        <w:t>21 CFR 820.100</w:t>
      </w:r>
      <w:r>
        <w:rPr>
          <w:rFonts w:hint="eastAsia" w:ascii="Arial" w:hAnsi="Arial" w:eastAsia="宋体" w:cs="Arial"/>
          <w:snapToGrid w:val="0"/>
          <w:lang w:eastAsia="zh-CN"/>
        </w:rPr>
        <w:t>中的</w:t>
      </w:r>
      <w:r>
        <w:rPr>
          <w:rFonts w:ascii="Arial" w:hAnsi="Arial" w:eastAsia="宋体" w:cs="Arial"/>
          <w:snapToGrid w:val="0"/>
          <w:lang w:eastAsia="zh-CN"/>
        </w:rPr>
        <w:t>CAPA</w:t>
      </w:r>
      <w:r>
        <w:rPr>
          <w:rFonts w:hint="eastAsia" w:ascii="Arial" w:hAnsi="Arial" w:eastAsia="宋体" w:cs="Arial"/>
          <w:snapToGrid w:val="0"/>
          <w:lang w:eastAsia="zh-CN"/>
        </w:rPr>
        <w:t>要求，按照基于器械</w:t>
      </w:r>
      <w:r>
        <w:rPr>
          <w:rFonts w:ascii="Arial" w:hAnsi="Arial" w:eastAsia="宋体" w:cs="Arial"/>
          <w:snapToGrid w:val="0"/>
          <w:lang w:eastAsia="zh-CN"/>
        </w:rPr>
        <w:t>QS</w:t>
      </w:r>
      <w:r>
        <w:rPr>
          <w:rFonts w:hint="eastAsia" w:ascii="Arial" w:hAnsi="Arial" w:eastAsia="宋体" w:cs="Arial"/>
          <w:snapToGrid w:val="0"/>
          <w:lang w:eastAsia="zh-CN"/>
        </w:rPr>
        <w:t>规章简化方法操作的制造商应该准备满足</w:t>
      </w:r>
      <w:r>
        <w:rPr>
          <w:rFonts w:ascii="Arial" w:hAnsi="Arial" w:eastAsia="宋体" w:cs="Arial"/>
          <w:snapToGrid w:val="0"/>
          <w:lang w:eastAsia="zh-CN"/>
        </w:rPr>
        <w:t>21 CFR</w:t>
      </w:r>
      <w:r>
        <w:rPr>
          <w:rFonts w:hint="eastAsia" w:ascii="Arial" w:hAnsi="Arial" w:eastAsia="宋体" w:cs="Arial"/>
          <w:snapToGrid w:val="0"/>
          <w:lang w:eastAsia="zh-CN"/>
        </w:rPr>
        <w:t xml:space="preserve"> </w:t>
      </w:r>
      <w:r>
        <w:rPr>
          <w:rFonts w:ascii="Arial" w:hAnsi="Arial" w:eastAsia="宋体" w:cs="Arial"/>
          <w:snapToGrid w:val="0"/>
          <w:lang w:eastAsia="zh-CN"/>
        </w:rPr>
        <w:t>211.192</w:t>
      </w:r>
      <w:r>
        <w:rPr>
          <w:rFonts w:hint="eastAsia" w:ascii="Arial" w:hAnsi="Arial" w:eastAsia="宋体" w:cs="Arial"/>
          <w:snapToGrid w:val="0"/>
          <w:lang w:eastAsia="zh-CN"/>
        </w:rPr>
        <w:t>要求的系统。类似地，</w:t>
      </w:r>
      <w:r>
        <w:rPr>
          <w:rFonts w:ascii="Arial" w:hAnsi="Arial" w:eastAsia="宋体" w:cs="Arial"/>
          <w:snapToGrid w:val="0"/>
          <w:lang w:eastAsia="zh-CN"/>
        </w:rPr>
        <w:t>21 CFR 211.103 （</w:t>
      </w:r>
      <w:r>
        <w:rPr>
          <w:rFonts w:hint="eastAsia" w:ascii="Arial" w:hAnsi="Arial" w:eastAsia="宋体" w:cs="Arial"/>
          <w:snapToGrid w:val="0"/>
          <w:lang w:eastAsia="zh-CN"/>
        </w:rPr>
        <w:t>产量计算</w:t>
      </w:r>
      <w:r>
        <w:rPr>
          <w:rFonts w:ascii="Arial" w:hAnsi="Arial" w:eastAsia="宋体" w:cs="Arial"/>
          <w:snapToGrid w:val="0"/>
          <w:lang w:eastAsia="zh-CN"/>
        </w:rPr>
        <w:t>）</w:t>
      </w:r>
      <w:r>
        <w:rPr>
          <w:rFonts w:hint="eastAsia" w:ascii="Arial" w:hAnsi="Arial" w:eastAsia="宋体" w:cs="Arial"/>
          <w:snapToGrid w:val="0"/>
          <w:lang w:eastAsia="zh-CN"/>
        </w:rPr>
        <w:t>在使用自动化设备计算产量和保持对这类设备的适当控制方面参考了</w:t>
      </w:r>
      <w:r>
        <w:rPr>
          <w:rFonts w:ascii="Arial" w:hAnsi="Arial" w:eastAsia="宋体" w:cs="Arial"/>
          <w:snapToGrid w:val="0"/>
          <w:lang w:eastAsia="zh-CN"/>
        </w:rPr>
        <w:t>21 CFR 211.68（</w:t>
      </w:r>
      <w:r>
        <w:rPr>
          <w:rFonts w:hint="eastAsia" w:ascii="Arial" w:hAnsi="Arial" w:eastAsia="宋体" w:cs="Arial"/>
          <w:snapToGrid w:val="0"/>
          <w:lang w:eastAsia="zh-CN"/>
        </w:rPr>
        <w:t>自动化设备、机械化设备和电子设备</w:t>
      </w:r>
      <w:r>
        <w:rPr>
          <w:rFonts w:ascii="Arial" w:hAnsi="Arial" w:eastAsia="宋体" w:cs="Arial"/>
          <w:snapToGrid w:val="0"/>
          <w:lang w:eastAsia="zh-CN"/>
        </w:rPr>
        <w:t>）</w:t>
      </w:r>
      <w:r>
        <w:rPr>
          <w:rFonts w:hint="eastAsia" w:ascii="Arial" w:hAnsi="Arial" w:eastAsia="宋体" w:cs="Arial"/>
          <w:snapToGrid w:val="0"/>
          <w:lang w:eastAsia="zh-CN"/>
        </w:rPr>
        <w:t>。</w:t>
      </w:r>
      <w:r>
        <w:rPr>
          <w:rFonts w:ascii="Arial" w:hAnsi="Arial" w:eastAsia="宋体" w:cs="Arial"/>
          <w:snapToGrid w:val="0"/>
          <w:lang w:eastAsia="zh-CN"/>
        </w:rPr>
        <w:t>21 CFR 820.70（i）</w:t>
      </w:r>
      <w:r>
        <w:rPr>
          <w:rFonts w:hint="eastAsia" w:ascii="Arial" w:hAnsi="Arial" w:eastAsia="宋体" w:cs="Arial"/>
          <w:snapToGrid w:val="0"/>
          <w:lang w:eastAsia="zh-CN"/>
        </w:rPr>
        <w:t>中相应的条款（适用于基于器械QS规章的简化方法）要求对自动化数据处理系统的预期用途进行。另举一例，</w:t>
      </w:r>
      <w:r>
        <w:rPr>
          <w:rFonts w:ascii="Arial" w:hAnsi="Arial" w:eastAsia="宋体" w:cs="Arial"/>
          <w:snapToGrid w:val="0"/>
          <w:lang w:eastAsia="zh-CN"/>
        </w:rPr>
        <w:t>21 CFR820.3</w:t>
      </w:r>
      <w:r>
        <w:rPr>
          <w:rFonts w:hint="eastAsia" w:ascii="Arial" w:hAnsi="Arial" w:eastAsia="宋体" w:cs="Arial"/>
          <w:snapToGrid w:val="0"/>
          <w:lang w:eastAsia="zh-CN"/>
        </w:rPr>
        <w:t>中设计输出的定义提到了</w:t>
      </w:r>
      <w:r>
        <w:rPr>
          <w:rFonts w:hint="eastAsia" w:ascii="宋体" w:hAnsi="宋体" w:eastAsia="宋体" w:cs="Arial"/>
          <w:snapToGrid w:val="0"/>
          <w:lang w:eastAsia="zh-CN"/>
        </w:rPr>
        <w:t>“</w:t>
      </w:r>
      <w:r>
        <w:rPr>
          <w:rFonts w:hint="eastAsia" w:ascii="Arial" w:hAnsi="Arial" w:eastAsia="宋体" w:cs="Arial"/>
          <w:snapToGrid w:val="0"/>
          <w:lang w:eastAsia="zh-CN"/>
        </w:rPr>
        <w:t>器械主记录</w:t>
      </w:r>
      <w:r>
        <w:rPr>
          <w:rFonts w:hint="eastAsia" w:ascii="宋体" w:hAnsi="宋体" w:eastAsia="宋体" w:cs="Arial"/>
          <w:snapToGrid w:val="0"/>
          <w:lang w:eastAsia="zh-CN"/>
        </w:rPr>
        <w:t>”</w:t>
      </w:r>
      <w:r>
        <w:rPr>
          <w:rFonts w:hint="eastAsia" w:ascii="Arial" w:hAnsi="Arial" w:eastAsia="宋体" w:cs="Arial"/>
          <w:snapToGrid w:val="0"/>
          <w:lang w:eastAsia="zh-CN"/>
        </w:rPr>
        <w:t>。第211和820部分对</w:t>
      </w:r>
      <w:r>
        <w:rPr>
          <w:rFonts w:hint="eastAsia" w:ascii="宋体" w:hAnsi="宋体" w:eastAsia="宋体" w:cs="Arial"/>
          <w:snapToGrid w:val="0"/>
          <w:lang w:eastAsia="zh-CN"/>
        </w:rPr>
        <w:t>“</w:t>
      </w:r>
      <w:r>
        <w:rPr>
          <w:rFonts w:hint="eastAsia" w:ascii="Arial" w:hAnsi="Arial" w:eastAsia="宋体" w:cs="Arial"/>
          <w:snapToGrid w:val="0"/>
          <w:lang w:eastAsia="zh-CN"/>
        </w:rPr>
        <w:t>主记录</w:t>
      </w:r>
      <w:r>
        <w:rPr>
          <w:rFonts w:hint="eastAsia" w:ascii="宋体" w:hAnsi="宋体" w:eastAsia="宋体" w:cs="Arial"/>
          <w:snapToGrid w:val="0"/>
          <w:lang w:eastAsia="zh-CN"/>
        </w:rPr>
        <w:t>”</w:t>
      </w:r>
      <w:r>
        <w:rPr>
          <w:rFonts w:hint="eastAsia" w:ascii="Arial" w:hAnsi="Arial" w:eastAsia="宋体" w:cs="Arial"/>
          <w:snapToGrid w:val="0"/>
          <w:lang w:eastAsia="zh-CN"/>
        </w:rPr>
        <w:t>均有要求（</w:t>
      </w:r>
      <w:r>
        <w:rPr>
          <w:rFonts w:ascii="Arial" w:hAnsi="Arial" w:eastAsia="宋体" w:cs="Arial"/>
          <w:snapToGrid w:val="0"/>
          <w:lang w:eastAsia="zh-CN"/>
        </w:rPr>
        <w:t>21 CFR 211.186</w:t>
      </w:r>
      <w:r>
        <w:rPr>
          <w:rFonts w:hint="eastAsia" w:ascii="Arial" w:hAnsi="Arial" w:eastAsia="宋体" w:cs="Arial"/>
          <w:snapToGrid w:val="0"/>
          <w:lang w:eastAsia="zh-CN"/>
        </w:rPr>
        <w:t>中，主生产和控制记录和</w:t>
      </w:r>
      <w:r>
        <w:rPr>
          <w:rFonts w:ascii="Arial" w:hAnsi="Arial" w:eastAsia="宋体" w:cs="Arial"/>
          <w:snapToGrid w:val="0"/>
          <w:lang w:eastAsia="zh-CN"/>
        </w:rPr>
        <w:t>21 CFR 820.181</w:t>
      </w:r>
      <w:r>
        <w:rPr>
          <w:rFonts w:hint="eastAsia" w:ascii="Arial" w:hAnsi="Arial" w:eastAsia="宋体" w:cs="Arial"/>
          <w:snapToGrid w:val="0"/>
          <w:lang w:eastAsia="zh-CN"/>
        </w:rPr>
        <w:t>中，器械主记录）。FDA认为这些主记录条款的实质性预期彼此一致且控制产品开发和制造需要这些条款。</w:t>
      </w:r>
    </w:p>
    <w:p w14:paraId="5667DDBC">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55246F6B">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除</w:t>
      </w:r>
      <w:r>
        <w:rPr>
          <w:rFonts w:ascii="Arial" w:hAnsi="Arial" w:eastAsia="宋体" w:cs="Arial"/>
          <w:snapToGrid w:val="0"/>
          <w:lang w:eastAsia="zh-CN"/>
        </w:rPr>
        <w:t>21 CFR 4.4（b）</w:t>
      </w:r>
      <w:r>
        <w:rPr>
          <w:rFonts w:hint="eastAsia" w:ascii="Arial" w:hAnsi="Arial" w:eastAsia="宋体" w:cs="Arial"/>
          <w:snapToGrid w:val="0"/>
          <w:lang w:eastAsia="zh-CN"/>
        </w:rPr>
        <w:t>指定条款外，本指南不重点说明如何证明符合其它药品</w:t>
      </w:r>
      <w:r>
        <w:rPr>
          <w:rFonts w:ascii="Arial" w:hAnsi="Arial" w:eastAsia="宋体" w:cs="Arial"/>
          <w:snapToGrid w:val="0"/>
          <w:lang w:eastAsia="zh-CN"/>
        </w:rPr>
        <w:t>CGMP</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规章条款。这些条例的其它条款解决各种关于生产中用料、机构和设备、记录、标签、人员、投入、测试和销售等生产注意事项。</w:t>
      </w:r>
    </w:p>
    <w:p w14:paraId="4E24BA8E">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rPr>
      </w:pPr>
      <w:bookmarkStart w:id="46" w:name="B._Investigational_products"/>
      <w:bookmarkEnd w:id="46"/>
      <w:bookmarkStart w:id="47" w:name="_bookmark25"/>
      <w:bookmarkEnd w:id="47"/>
      <w:bookmarkStart w:id="48" w:name="_Toc498640469"/>
      <w:r>
        <w:rPr>
          <w:rFonts w:hint="eastAsia" w:ascii="Arial" w:hAnsi="Arial" w:eastAsia="宋体" w:cs="Arial"/>
          <w:snapToGrid w:val="0"/>
          <w:sz w:val="24"/>
          <w:lang w:eastAsia="zh-CN"/>
        </w:rPr>
        <w:t>试验用产品</w:t>
      </w:r>
      <w:bookmarkEnd w:id="48"/>
    </w:p>
    <w:p w14:paraId="6FBB601B">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第4部分不改变基础的药品、器械、生物制剂和</w:t>
      </w:r>
      <w:r>
        <w:rPr>
          <w:rFonts w:ascii="Arial" w:hAnsi="Arial" w:eastAsia="宋体" w:cs="Arial"/>
          <w:snapToGrid w:val="0"/>
          <w:lang w:eastAsia="zh-CN"/>
        </w:rPr>
        <w:t>HCT/Ps CGMP</w:t>
      </w:r>
      <w:r>
        <w:rPr>
          <w:rFonts w:hint="eastAsia" w:ascii="Arial" w:hAnsi="Arial" w:eastAsia="宋体" w:cs="Arial"/>
          <w:snapToGrid w:val="0"/>
          <w:lang w:eastAsia="zh-CN"/>
        </w:rPr>
        <w:t>条例的适用范围。特别地，第4部分不改变这些</w:t>
      </w:r>
      <w:r>
        <w:rPr>
          <w:rFonts w:ascii="Arial" w:hAnsi="Arial" w:eastAsia="宋体" w:cs="Arial"/>
          <w:snapToGrid w:val="0"/>
          <w:lang w:eastAsia="zh-CN"/>
        </w:rPr>
        <w:t>CGMP</w:t>
      </w:r>
      <w:r>
        <w:rPr>
          <w:rFonts w:hint="eastAsia" w:ascii="Arial" w:hAnsi="Arial" w:eastAsia="宋体" w:cs="Arial"/>
          <w:snapToGrid w:val="0"/>
          <w:lang w:eastAsia="zh-CN"/>
        </w:rPr>
        <w:t>条例对试验用产品的适用性。</w:t>
      </w:r>
    </w:p>
    <w:p w14:paraId="7F3D093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供1期研究使用的试验用药品受</w:t>
      </w:r>
      <w:r>
        <w:rPr>
          <w:rFonts w:ascii="Arial" w:hAnsi="Arial" w:eastAsia="宋体" w:cs="Arial"/>
          <w:snapToGrid w:val="0"/>
          <w:lang w:eastAsia="zh-CN"/>
        </w:rPr>
        <w:t>21 U.S.C. 351（a）（2）（B）</w:t>
      </w:r>
      <w:r>
        <w:rPr>
          <w:rFonts w:hint="eastAsia" w:ascii="Arial" w:hAnsi="Arial" w:eastAsia="宋体" w:cs="Arial"/>
          <w:snapToGrid w:val="0"/>
          <w:lang w:eastAsia="zh-CN"/>
        </w:rPr>
        <w:t>中提出的法定要求的约束。此类药品的生产通常免于遵守第</w:t>
      </w:r>
      <w:r>
        <w:rPr>
          <w:rFonts w:ascii="Arial" w:hAnsi="Arial" w:eastAsia="宋体" w:cs="Arial"/>
          <w:snapToGrid w:val="0"/>
          <w:lang w:eastAsia="zh-CN"/>
        </w:rPr>
        <w:t>210</w:t>
      </w:r>
      <w:r>
        <w:rPr>
          <w:rFonts w:hint="eastAsia" w:ascii="Arial" w:hAnsi="Arial" w:eastAsia="宋体" w:cs="Arial"/>
          <w:snapToGrid w:val="0"/>
          <w:lang w:eastAsia="zh-CN"/>
        </w:rPr>
        <w:t>和</w:t>
      </w:r>
      <w:r>
        <w:rPr>
          <w:rFonts w:ascii="Arial" w:hAnsi="Arial" w:eastAsia="宋体" w:cs="Arial"/>
          <w:snapToGrid w:val="0"/>
          <w:lang w:eastAsia="zh-CN"/>
        </w:rPr>
        <w:t>211</w:t>
      </w:r>
      <w:r>
        <w:rPr>
          <w:rStyle w:val="17"/>
          <w:rFonts w:ascii="Arial" w:hAnsi="Arial" w:eastAsia="宋体" w:cs="Arial"/>
          <w:snapToGrid w:val="0"/>
          <w:lang w:eastAsia="zh-CN"/>
        </w:rPr>
        <w:footnoteReference w:id="16"/>
      </w:r>
      <w:r>
        <w:rPr>
          <w:rFonts w:hint="eastAsia" w:ascii="Arial" w:hAnsi="Arial" w:eastAsia="宋体" w:cs="Arial"/>
          <w:snapToGrid w:val="0"/>
          <w:lang w:eastAsia="zh-CN"/>
        </w:rPr>
        <w:t>部分的条例，因此也包含供1期研究使用的药品组成部分的试验用组合产品也不必遵守这些条例。然而，一旦一种试验用组合产品或药品组成部分可供申办方用于2期或3期研究，该豁免政策就不再适用，也不适用于已经合法销售的药品。关于研究阶段的其它信息，见</w:t>
      </w:r>
      <w:r>
        <w:rPr>
          <w:rFonts w:ascii="Arial" w:hAnsi="Arial" w:eastAsia="宋体" w:cs="Arial"/>
          <w:snapToGrid w:val="0"/>
          <w:lang w:eastAsia="zh-CN"/>
        </w:rPr>
        <w:t>21 CFR 312.21</w:t>
      </w:r>
      <w:r>
        <w:rPr>
          <w:rFonts w:hint="eastAsia" w:ascii="Arial" w:hAnsi="Arial" w:eastAsia="宋体" w:cs="Arial"/>
          <w:snapToGrid w:val="0"/>
          <w:lang w:eastAsia="zh-CN"/>
        </w:rPr>
        <w:t>。</w:t>
      </w:r>
    </w:p>
    <w:p w14:paraId="4FEFCA5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812.1</w:t>
      </w:r>
      <w:r>
        <w:rPr>
          <w:rFonts w:hint="eastAsia" w:ascii="Arial" w:hAnsi="Arial" w:eastAsia="宋体" w:cs="Arial"/>
          <w:snapToGrid w:val="0"/>
          <w:lang w:eastAsia="zh-CN"/>
        </w:rPr>
        <w:t>，除</w:t>
      </w:r>
      <w:r>
        <w:rPr>
          <w:rFonts w:ascii="Arial" w:hAnsi="Arial" w:eastAsia="宋体" w:cs="Arial"/>
          <w:snapToGrid w:val="0"/>
          <w:lang w:eastAsia="zh-CN"/>
        </w:rPr>
        <w:t>21 CFR 820.30</w:t>
      </w:r>
      <w:r>
        <w:rPr>
          <w:rFonts w:hint="eastAsia" w:ascii="Arial" w:hAnsi="Arial" w:eastAsia="宋体" w:cs="Arial"/>
          <w:snapToGrid w:val="0"/>
          <w:lang w:eastAsia="zh-CN"/>
        </w:rPr>
        <w:t>中的设计控制要求外，试验用器械免于遵守第820部分。该豁免政策也适用于包含器械组成部分的组合产品的制造。包含一种器械组成部分的试验用组合产品受设计控制的约束（器械组成部分免于遵守设计控制时除外，见下面的</w:t>
      </w:r>
      <w:r>
        <w:rPr>
          <w:rFonts w:ascii="Arial" w:hAnsi="Arial" w:eastAsia="宋体" w:cs="Arial"/>
          <w:snapToGrid w:val="0"/>
          <w:lang w:eastAsia="zh-CN"/>
        </w:rPr>
        <w:t>III.C.3</w:t>
      </w:r>
      <w:r>
        <w:rPr>
          <w:rFonts w:hint="eastAsia" w:ascii="Arial" w:hAnsi="Arial" w:eastAsia="宋体" w:cs="Arial"/>
          <w:snapToGrid w:val="0"/>
          <w:lang w:eastAsia="zh-CN"/>
        </w:rPr>
        <w:t>），但不受第820部分其它条款的约束。一旦公司确定产品可能有临床实用性且管理部门已决心进行进一步开发，应尽早开始设计控制（亦见下面的</w:t>
      </w:r>
      <w:r>
        <w:rPr>
          <w:rFonts w:ascii="Arial" w:hAnsi="Arial" w:eastAsia="宋体" w:cs="Arial"/>
          <w:snapToGrid w:val="0"/>
          <w:lang w:eastAsia="zh-CN"/>
        </w:rPr>
        <w:t>IV.A.2</w:t>
      </w:r>
      <w:r>
        <w:rPr>
          <w:rFonts w:hint="eastAsia" w:ascii="Arial" w:hAnsi="Arial" w:eastAsia="宋体" w:cs="Arial"/>
          <w:snapToGrid w:val="0"/>
          <w:lang w:eastAsia="zh-CN"/>
        </w:rPr>
        <w:t>）。</w:t>
      </w:r>
      <w:r>
        <w:rPr>
          <w:rStyle w:val="17"/>
          <w:rFonts w:ascii="Arial" w:hAnsi="Arial" w:eastAsia="宋体" w:cs="Arial"/>
          <w:snapToGrid w:val="0"/>
          <w:lang w:eastAsia="zh-CN"/>
        </w:rPr>
        <w:footnoteReference w:id="17"/>
      </w:r>
    </w:p>
    <w:p w14:paraId="42E53A5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机构认为这些豁免政策（免于遵守第211和820部分的要求）适用于组合产品和组合产品组成部分，无论它们是用于器械临床研究豁免</w:t>
      </w:r>
      <w:r>
        <w:rPr>
          <w:rFonts w:ascii="Arial" w:hAnsi="Arial" w:eastAsia="宋体" w:cs="Arial"/>
          <w:snapToGrid w:val="0"/>
          <w:lang w:eastAsia="zh-CN"/>
        </w:rPr>
        <w:t>（IDE）</w:t>
      </w:r>
      <w:r>
        <w:rPr>
          <w:rFonts w:hint="eastAsia" w:ascii="Arial" w:hAnsi="Arial" w:eastAsia="宋体" w:cs="Arial"/>
          <w:snapToGrid w:val="0"/>
          <w:lang w:eastAsia="zh-CN"/>
        </w:rPr>
        <w:t>还是临床适用新药申请</w:t>
      </w:r>
      <w:r>
        <w:rPr>
          <w:rFonts w:ascii="Arial" w:hAnsi="Arial" w:eastAsia="宋体" w:cs="Arial"/>
          <w:snapToGrid w:val="0"/>
          <w:lang w:eastAsia="zh-CN"/>
        </w:rPr>
        <w:t>（IND）</w:t>
      </w:r>
      <w:r>
        <w:rPr>
          <w:rFonts w:hint="eastAsia" w:ascii="Arial" w:hAnsi="Arial" w:eastAsia="宋体" w:cs="Arial"/>
          <w:snapToGrid w:val="0"/>
          <w:lang w:eastAsia="zh-CN"/>
        </w:rPr>
        <w:t>的研究。然而，即使这些豁免政策适用时，也应采用适合于试验用产品的方法、机构和制造控制。当制定并应用适当的生产规范时，机构建议将生产环境中可能对试验用组合产品产生不利影响的危险和相关风险考虑在内。</w:t>
      </w:r>
    </w:p>
    <w:p w14:paraId="1278A961">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49" w:name="_bookmark27"/>
      <w:bookmarkEnd w:id="49"/>
      <w:r>
        <w:rPr>
          <w:rFonts w:ascii="Arial" w:hAnsi="Arial" w:eastAsia="宋体" w:cs="Arial"/>
          <w:snapToGrid w:val="0"/>
          <w:sz w:val="24"/>
          <w:szCs w:val="20"/>
          <w:lang w:eastAsia="zh-CN"/>
        </w:rPr>
        <w:br w:type="page"/>
      </w:r>
    </w:p>
    <w:p w14:paraId="248335D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关于试验用产品</w:t>
      </w:r>
      <w:r>
        <w:rPr>
          <w:rFonts w:ascii="Arial" w:hAnsi="Arial" w:eastAsia="宋体" w:cs="Arial"/>
          <w:snapToGrid w:val="0"/>
          <w:lang w:eastAsia="zh-CN"/>
        </w:rPr>
        <w:t>CGMP</w:t>
      </w:r>
      <w:r>
        <w:rPr>
          <w:rFonts w:hint="eastAsia" w:ascii="Arial" w:hAnsi="Arial" w:eastAsia="宋体" w:cs="Arial"/>
          <w:snapToGrid w:val="0"/>
          <w:lang w:eastAsia="zh-CN"/>
        </w:rPr>
        <w:t>要求的进一步信息，见</w:t>
      </w:r>
      <w:r>
        <w:rPr>
          <w:rFonts w:ascii="Arial" w:hAnsi="Arial" w:eastAsia="宋体" w:cs="Arial"/>
          <w:snapToGrid w:val="0"/>
          <w:lang w:eastAsia="zh-CN"/>
        </w:rPr>
        <w:t>21 CFR 210.2（c）</w:t>
      </w:r>
      <w:r>
        <w:rPr>
          <w:rFonts w:hint="eastAsia" w:ascii="Arial" w:hAnsi="Arial" w:eastAsia="宋体" w:cs="Arial"/>
          <w:snapToGrid w:val="0"/>
          <w:lang w:eastAsia="zh-CN"/>
        </w:rPr>
        <w:t>，</w:t>
      </w:r>
      <w:r>
        <w:rPr>
          <w:rFonts w:ascii="Arial" w:hAnsi="Arial" w:eastAsia="宋体" w:cs="Arial"/>
          <w:snapToGrid w:val="0"/>
          <w:lang w:eastAsia="zh-CN"/>
        </w:rPr>
        <w:t>21 CFR 820.1</w:t>
      </w:r>
      <w:r>
        <w:rPr>
          <w:rFonts w:hint="eastAsia" w:ascii="Arial" w:hAnsi="Arial" w:eastAsia="宋体" w:cs="Arial"/>
          <w:snapToGrid w:val="0"/>
          <w:lang w:eastAsia="zh-CN"/>
        </w:rPr>
        <w:t>，</w:t>
      </w:r>
      <w:r>
        <w:rPr>
          <w:rFonts w:ascii="Arial" w:hAnsi="Arial" w:eastAsia="宋体" w:cs="Arial"/>
          <w:snapToGrid w:val="0"/>
          <w:lang w:eastAsia="zh-CN"/>
        </w:rPr>
        <w:t>61</w:t>
      </w:r>
      <w:r>
        <w:rPr>
          <w:rFonts w:hint="eastAsia" w:ascii="Arial" w:hAnsi="Arial" w:eastAsia="宋体" w:cs="Arial"/>
          <w:snapToGrid w:val="0"/>
          <w:lang w:eastAsia="zh-CN"/>
        </w:rPr>
        <w:t>联邦公报</w:t>
      </w:r>
      <w:r>
        <w:rPr>
          <w:rFonts w:ascii="Arial" w:hAnsi="Arial" w:eastAsia="宋体" w:cs="Arial"/>
          <w:snapToGrid w:val="0"/>
          <w:lang w:eastAsia="zh-CN"/>
        </w:rPr>
        <w:t>（FR）52,616-52,617</w:t>
      </w:r>
      <w:r>
        <w:rPr>
          <w:rFonts w:hint="eastAsia" w:ascii="Arial" w:hAnsi="Arial" w:eastAsia="宋体" w:cs="Arial"/>
          <w:snapToGrid w:val="0"/>
          <w:lang w:eastAsia="zh-CN"/>
        </w:rPr>
        <w:t>，和关于《1期试验用药品</w:t>
      </w:r>
      <w:r>
        <w:rPr>
          <w:rFonts w:ascii="Arial" w:hAnsi="Arial" w:eastAsia="宋体" w:cs="Arial"/>
          <w:snapToGrid w:val="0"/>
          <w:lang w:eastAsia="zh-CN"/>
        </w:rPr>
        <w:t>CGMP</w:t>
      </w:r>
      <w:r>
        <w:rPr>
          <w:rFonts w:hint="eastAsia" w:ascii="Arial" w:hAnsi="Arial" w:eastAsia="宋体" w:cs="Arial"/>
          <w:snapToGrid w:val="0"/>
          <w:lang w:eastAsia="zh-CN"/>
        </w:rPr>
        <w:t>》</w:t>
      </w:r>
      <w:r>
        <w:rPr>
          <w:rFonts w:ascii="Arial" w:hAnsi="Arial" w:eastAsia="宋体" w:cs="Arial"/>
          <w:snapToGrid w:val="0"/>
          <w:lang w:eastAsia="zh-CN"/>
        </w:rPr>
        <w:t>（2008</w:t>
      </w:r>
      <w:r>
        <w:rPr>
          <w:rFonts w:hint="eastAsia" w:ascii="Arial" w:hAnsi="Arial" w:eastAsia="宋体" w:cs="Arial"/>
          <w:snapToGrid w:val="0"/>
          <w:lang w:eastAsia="zh-CN"/>
        </w:rPr>
        <w:t>年7月</w:t>
      </w:r>
      <w:r>
        <w:rPr>
          <w:rFonts w:ascii="Arial" w:hAnsi="Arial" w:eastAsia="宋体" w:cs="Arial"/>
          <w:snapToGrid w:val="0"/>
          <w:lang w:eastAsia="zh-CN"/>
        </w:rPr>
        <w:t>）</w:t>
      </w:r>
      <w:r>
        <w:rPr>
          <w:rFonts w:hint="eastAsia" w:ascii="Arial" w:hAnsi="Arial" w:eastAsia="宋体" w:cs="Arial"/>
          <w:snapToGrid w:val="0"/>
          <w:lang w:eastAsia="zh-CN"/>
        </w:rPr>
        <w:t>的行业指南。如制造商对针对其组合产品的</w:t>
      </w:r>
      <w:r>
        <w:rPr>
          <w:rFonts w:ascii="Arial" w:hAnsi="Arial" w:eastAsia="宋体" w:cs="Arial"/>
          <w:snapToGrid w:val="0"/>
          <w:lang w:eastAsia="zh-CN"/>
        </w:rPr>
        <w:t>IDE</w:t>
      </w:r>
      <w:r>
        <w:rPr>
          <w:rFonts w:hint="eastAsia" w:ascii="Arial" w:hAnsi="Arial" w:eastAsia="宋体" w:cs="Arial"/>
          <w:snapToGrid w:val="0"/>
          <w:lang w:eastAsia="zh-CN"/>
        </w:rPr>
        <w:t>或</w:t>
      </w:r>
      <w:r>
        <w:rPr>
          <w:rFonts w:ascii="Arial" w:hAnsi="Arial" w:eastAsia="宋体" w:cs="Arial"/>
          <w:snapToGrid w:val="0"/>
          <w:lang w:eastAsia="zh-CN"/>
        </w:rPr>
        <w:t>IND</w:t>
      </w:r>
      <w:r>
        <w:rPr>
          <w:rFonts w:hint="eastAsia" w:ascii="Arial" w:hAnsi="Arial" w:eastAsia="宋体" w:cs="Arial"/>
          <w:snapToGrid w:val="0"/>
          <w:lang w:eastAsia="zh-CN"/>
        </w:rPr>
        <w:t>要求有疑问，请联系首要中心或</w:t>
      </w:r>
      <w:r>
        <w:rPr>
          <w:rFonts w:ascii="Arial" w:hAnsi="Arial" w:eastAsia="宋体" w:cs="Arial"/>
          <w:snapToGrid w:val="0"/>
          <w:lang w:eastAsia="zh-CN"/>
        </w:rPr>
        <w:t>OCP</w:t>
      </w:r>
      <w:r>
        <w:rPr>
          <w:rFonts w:hint="eastAsia" w:ascii="Arial" w:hAnsi="Arial" w:eastAsia="宋体" w:cs="Arial"/>
          <w:snapToGrid w:val="0"/>
          <w:lang w:eastAsia="zh-CN"/>
        </w:rPr>
        <w:t>（如果需要的话）帮助。</w:t>
      </w:r>
    </w:p>
    <w:p w14:paraId="61B22E7B">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rPr>
      </w:pPr>
      <w:bookmarkStart w:id="50" w:name="C._Definitions_and_terminology"/>
      <w:bookmarkEnd w:id="50"/>
      <w:bookmarkStart w:id="51" w:name="_bookmark28"/>
      <w:bookmarkEnd w:id="51"/>
      <w:bookmarkStart w:id="52" w:name="_Toc498640470"/>
      <w:r>
        <w:rPr>
          <w:rFonts w:hint="eastAsia" w:ascii="Arial" w:hAnsi="Arial" w:eastAsia="宋体" w:cs="Arial"/>
          <w:snapToGrid w:val="0"/>
          <w:sz w:val="24"/>
          <w:lang w:eastAsia="zh-CN"/>
        </w:rPr>
        <w:t>定义和术语</w:t>
      </w:r>
      <w:bookmarkEnd w:id="52"/>
    </w:p>
    <w:p w14:paraId="6783B3D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除非</w:t>
      </w:r>
      <w:r>
        <w:rPr>
          <w:rFonts w:ascii="Arial" w:hAnsi="Arial" w:eastAsia="宋体" w:cs="Arial"/>
          <w:snapToGrid w:val="0"/>
          <w:lang w:eastAsia="zh-CN"/>
        </w:rPr>
        <w:t>21 CFR</w:t>
      </w:r>
      <w:r>
        <w:rPr>
          <w:rFonts w:hint="eastAsia" w:ascii="Arial" w:hAnsi="Arial" w:eastAsia="宋体" w:cs="Arial"/>
          <w:snapToGrid w:val="0"/>
          <w:lang w:eastAsia="zh-CN"/>
        </w:rPr>
        <w:t>第4部分另有明确说明，否则所用术语的意义与在基本的参照条例中的意义相同。本节论述了组合产品中的术语</w:t>
      </w:r>
      <w:r>
        <w:rPr>
          <w:rFonts w:hint="eastAsia" w:ascii="宋体" w:hAnsi="宋体" w:eastAsia="宋体" w:cs="Arial"/>
          <w:snapToGrid w:val="0"/>
          <w:lang w:eastAsia="zh-CN"/>
        </w:rPr>
        <w:t>“</w:t>
      </w:r>
      <w:r>
        <w:rPr>
          <w:rFonts w:hint="eastAsia" w:ascii="Arial" w:hAnsi="Arial" w:eastAsia="宋体" w:cs="Arial"/>
          <w:snapToGrid w:val="0"/>
          <w:lang w:eastAsia="zh-CN"/>
        </w:rPr>
        <w:t>制造</w:t>
      </w:r>
      <w:r>
        <w:rPr>
          <w:rFonts w:hint="eastAsia" w:ascii="宋体" w:hAnsi="宋体" w:eastAsia="宋体" w:cs="Arial"/>
          <w:snapToGrid w:val="0"/>
          <w:lang w:eastAsia="zh-CN"/>
        </w:rPr>
        <w:t>”</w:t>
      </w:r>
      <w:r>
        <w:rPr>
          <w:rFonts w:hint="eastAsia" w:ascii="Arial" w:hAnsi="Arial" w:eastAsia="宋体" w:cs="Arial"/>
          <w:snapToGrid w:val="0"/>
          <w:lang w:eastAsia="zh-CN"/>
        </w:rPr>
        <w:t>和</w:t>
      </w:r>
      <w:r>
        <w:rPr>
          <w:rFonts w:hint="eastAsia" w:ascii="宋体" w:hAnsi="宋体" w:eastAsia="宋体" w:cs="Arial"/>
          <w:snapToGrid w:val="0"/>
          <w:lang w:eastAsia="zh-CN"/>
        </w:rPr>
        <w:t>“</w:t>
      </w:r>
      <w:r>
        <w:rPr>
          <w:rFonts w:hint="eastAsia" w:ascii="Arial" w:hAnsi="Arial" w:eastAsia="宋体" w:cs="Arial"/>
          <w:snapToGrid w:val="0"/>
          <w:lang w:eastAsia="zh-CN"/>
        </w:rPr>
        <w:t>制造商</w:t>
      </w:r>
      <w:r>
        <w:rPr>
          <w:rFonts w:hint="eastAsia" w:ascii="宋体" w:hAnsi="宋体" w:eastAsia="宋体" w:cs="Arial"/>
          <w:snapToGrid w:val="0"/>
          <w:lang w:eastAsia="zh-CN"/>
        </w:rPr>
        <w:t>”</w:t>
      </w:r>
      <w:r>
        <w:rPr>
          <w:rFonts w:hint="eastAsia"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组成部分</w:t>
      </w:r>
      <w:r>
        <w:rPr>
          <w:rFonts w:hint="eastAsia" w:ascii="宋体" w:hAnsi="宋体" w:eastAsia="宋体" w:cs="Arial"/>
          <w:snapToGrid w:val="0"/>
          <w:lang w:eastAsia="zh-CN"/>
        </w:rPr>
        <w:t>”</w:t>
      </w:r>
      <w:r>
        <w:rPr>
          <w:rFonts w:hint="eastAsia" w:ascii="Arial" w:hAnsi="Arial" w:eastAsia="宋体" w:cs="Arial"/>
          <w:snapToGrid w:val="0"/>
          <w:lang w:eastAsia="zh-CN"/>
        </w:rPr>
        <w:t>和</w:t>
      </w:r>
      <w:r>
        <w:rPr>
          <w:rFonts w:hint="eastAsia" w:ascii="宋体" w:hAnsi="宋体" w:eastAsia="宋体" w:cs="Arial"/>
          <w:snapToGrid w:val="0"/>
          <w:lang w:eastAsia="zh-CN"/>
        </w:rPr>
        <w:t>“</w:t>
      </w:r>
      <w:r>
        <w:rPr>
          <w:rFonts w:hint="eastAsia" w:ascii="Arial" w:hAnsi="Arial" w:eastAsia="宋体" w:cs="Arial"/>
          <w:snapToGrid w:val="0"/>
          <w:lang w:eastAsia="zh-CN"/>
        </w:rPr>
        <w:t>成分</w:t>
      </w:r>
      <w:r>
        <w:rPr>
          <w:rFonts w:hint="eastAsia" w:ascii="宋体" w:hAnsi="宋体" w:eastAsia="宋体" w:cs="Arial"/>
          <w:snapToGrid w:val="0"/>
          <w:lang w:eastAsia="zh-CN"/>
        </w:rPr>
        <w:t>”</w:t>
      </w:r>
      <w:r>
        <w:rPr>
          <w:rFonts w:hint="eastAsia"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器械</w:t>
      </w:r>
      <w:r>
        <w:rPr>
          <w:rFonts w:hint="eastAsia" w:ascii="宋体" w:hAnsi="宋体" w:eastAsia="宋体" w:cs="Arial"/>
          <w:snapToGrid w:val="0"/>
          <w:lang w:eastAsia="zh-CN"/>
        </w:rPr>
        <w:t>”</w:t>
      </w:r>
      <w:r>
        <w:rPr>
          <w:rFonts w:hint="eastAsia" w:ascii="Arial" w:hAnsi="Arial" w:eastAsia="宋体" w:cs="Arial"/>
          <w:snapToGrid w:val="0"/>
          <w:lang w:eastAsia="zh-CN"/>
        </w:rPr>
        <w:t>和药品</w:t>
      </w:r>
      <w:r>
        <w:rPr>
          <w:rFonts w:hint="eastAsia" w:ascii="宋体" w:hAnsi="宋体" w:eastAsia="宋体" w:cs="Arial"/>
          <w:snapToGrid w:val="0"/>
          <w:lang w:eastAsia="zh-CN"/>
        </w:rPr>
        <w:t>“</w:t>
      </w:r>
      <w:r>
        <w:rPr>
          <w:rFonts w:hint="eastAsia" w:ascii="Arial" w:hAnsi="Arial" w:eastAsia="宋体" w:cs="Arial"/>
          <w:snapToGrid w:val="0"/>
          <w:lang w:eastAsia="zh-CN"/>
        </w:rPr>
        <w:t>容器</w:t>
      </w:r>
      <w:r>
        <w:rPr>
          <w:rFonts w:hint="eastAsia" w:ascii="宋体" w:hAnsi="宋体" w:eastAsia="宋体" w:cs="Arial"/>
          <w:snapToGrid w:val="0"/>
          <w:lang w:eastAsia="zh-CN"/>
        </w:rPr>
        <w:t>”</w:t>
      </w:r>
      <w:r>
        <w:rPr>
          <w:rFonts w:hint="eastAsia" w:ascii="Arial" w:hAnsi="Arial" w:eastAsia="宋体" w:cs="Arial"/>
          <w:snapToGrid w:val="0"/>
          <w:lang w:eastAsia="zh-CN"/>
        </w:rPr>
        <w:t>与</w:t>
      </w:r>
      <w:r>
        <w:rPr>
          <w:rFonts w:hint="eastAsia" w:ascii="宋体" w:hAnsi="宋体" w:eastAsia="宋体" w:cs="Arial"/>
          <w:snapToGrid w:val="0"/>
          <w:lang w:eastAsia="zh-CN"/>
        </w:rPr>
        <w:t>“</w:t>
      </w:r>
      <w:r>
        <w:rPr>
          <w:rFonts w:hint="eastAsia" w:ascii="Arial" w:hAnsi="Arial" w:eastAsia="宋体" w:cs="Arial"/>
          <w:snapToGrid w:val="0"/>
          <w:lang w:eastAsia="zh-CN"/>
        </w:rPr>
        <w:t>密封件</w:t>
      </w:r>
      <w:r>
        <w:rPr>
          <w:rFonts w:hint="eastAsia" w:ascii="宋体" w:hAnsi="宋体" w:eastAsia="宋体" w:cs="Arial"/>
          <w:snapToGrid w:val="0"/>
          <w:lang w:eastAsia="zh-CN"/>
        </w:rPr>
        <w:t>”</w:t>
      </w:r>
      <w:r>
        <w:rPr>
          <w:rFonts w:hint="eastAsia" w:ascii="Arial" w:hAnsi="Arial" w:eastAsia="宋体" w:cs="Arial"/>
          <w:snapToGrid w:val="0"/>
          <w:lang w:eastAsia="zh-CN"/>
        </w:rPr>
        <w:t>的含义和意义。本节还论述了作为一种组合包装组合产品的</w:t>
      </w:r>
      <w:r>
        <w:rPr>
          <w:rFonts w:hint="eastAsia" w:ascii="宋体" w:hAnsi="宋体" w:eastAsia="宋体" w:cs="Arial"/>
          <w:snapToGrid w:val="0"/>
          <w:lang w:eastAsia="zh-CN"/>
        </w:rPr>
        <w:t>“</w:t>
      </w:r>
      <w:r>
        <w:rPr>
          <w:rFonts w:hint="eastAsia" w:ascii="Arial" w:hAnsi="Arial" w:eastAsia="宋体" w:cs="Arial"/>
          <w:snapToGrid w:val="0"/>
          <w:lang w:eastAsia="zh-CN"/>
        </w:rPr>
        <w:t>便利工具盒</w:t>
      </w:r>
      <w:r>
        <w:rPr>
          <w:rFonts w:hint="eastAsia" w:ascii="宋体" w:hAnsi="宋体" w:eastAsia="宋体" w:cs="Arial"/>
          <w:snapToGrid w:val="0"/>
          <w:lang w:eastAsia="zh-CN"/>
        </w:rPr>
        <w:t>”</w:t>
      </w:r>
      <w:r>
        <w:rPr>
          <w:rFonts w:hint="eastAsia" w:ascii="Arial" w:hAnsi="Arial" w:eastAsia="宋体" w:cs="Arial"/>
          <w:snapToGrid w:val="0"/>
          <w:lang w:eastAsia="zh-CN"/>
        </w:rPr>
        <w:t>的含义。其它相关定义见第4部分和基本</w:t>
      </w:r>
      <w:r>
        <w:rPr>
          <w:rFonts w:ascii="Arial" w:hAnsi="Arial" w:eastAsia="宋体" w:cs="Arial"/>
          <w:snapToGrid w:val="0"/>
          <w:lang w:eastAsia="zh-CN"/>
        </w:rPr>
        <w:t>CGMP</w:t>
      </w:r>
      <w:r>
        <w:rPr>
          <w:rFonts w:hint="eastAsia" w:ascii="Arial" w:hAnsi="Arial" w:eastAsia="宋体" w:cs="Arial"/>
          <w:snapToGrid w:val="0"/>
          <w:lang w:eastAsia="zh-CN"/>
        </w:rPr>
        <w:t>条例（见</w:t>
      </w:r>
      <w:r>
        <w:rPr>
          <w:rFonts w:ascii="Arial" w:hAnsi="Arial" w:eastAsia="宋体" w:cs="Arial"/>
          <w:snapToGrid w:val="0"/>
          <w:lang w:eastAsia="zh-CN"/>
        </w:rPr>
        <w:t>21 CFR 210.3</w:t>
      </w:r>
      <w:r>
        <w:rPr>
          <w:rFonts w:hint="eastAsia" w:ascii="Arial" w:hAnsi="Arial" w:eastAsia="宋体" w:cs="Arial"/>
          <w:snapToGrid w:val="0"/>
          <w:lang w:eastAsia="zh-CN"/>
        </w:rPr>
        <w:t>，</w:t>
      </w:r>
      <w:r>
        <w:rPr>
          <w:rFonts w:ascii="Arial" w:hAnsi="Arial" w:eastAsia="宋体" w:cs="Arial"/>
          <w:snapToGrid w:val="0"/>
          <w:lang w:eastAsia="zh-CN"/>
        </w:rPr>
        <w:t>21 CFR 211.3</w:t>
      </w:r>
      <w:r>
        <w:rPr>
          <w:rFonts w:hint="eastAsia" w:ascii="Arial" w:hAnsi="Arial" w:eastAsia="宋体" w:cs="Arial"/>
          <w:snapToGrid w:val="0"/>
          <w:lang w:eastAsia="zh-CN"/>
        </w:rPr>
        <w:t>，</w:t>
      </w:r>
      <w:r>
        <w:rPr>
          <w:rFonts w:ascii="Arial" w:hAnsi="Arial" w:eastAsia="宋体" w:cs="Arial"/>
          <w:snapToGrid w:val="0"/>
          <w:lang w:eastAsia="zh-CN"/>
        </w:rPr>
        <w:t>21 CFR 600.3</w:t>
      </w:r>
      <w:r>
        <w:rPr>
          <w:rFonts w:hint="eastAsia" w:ascii="Arial" w:hAnsi="Arial" w:eastAsia="宋体" w:cs="Arial"/>
          <w:snapToGrid w:val="0"/>
          <w:lang w:eastAsia="zh-CN"/>
        </w:rPr>
        <w:t>，</w:t>
      </w:r>
      <w:r>
        <w:rPr>
          <w:rFonts w:ascii="Arial" w:hAnsi="Arial" w:eastAsia="宋体" w:cs="Arial"/>
          <w:snapToGrid w:val="0"/>
          <w:lang w:eastAsia="zh-CN"/>
        </w:rPr>
        <w:t>21 CFR 606.3</w:t>
      </w:r>
      <w:r>
        <w:rPr>
          <w:rFonts w:hint="eastAsia" w:ascii="Arial" w:hAnsi="Arial" w:eastAsia="宋体" w:cs="Arial"/>
          <w:snapToGrid w:val="0"/>
          <w:lang w:eastAsia="zh-CN"/>
        </w:rPr>
        <w:t>，</w:t>
      </w:r>
      <w:r>
        <w:rPr>
          <w:rFonts w:ascii="Arial" w:hAnsi="Arial" w:eastAsia="宋体" w:cs="Arial"/>
          <w:snapToGrid w:val="0"/>
          <w:lang w:eastAsia="zh-CN"/>
        </w:rPr>
        <w:t>21 CFR 820.3</w:t>
      </w:r>
      <w:r>
        <w:rPr>
          <w:rFonts w:hint="eastAsia" w:ascii="Arial" w:hAnsi="Arial" w:eastAsia="宋体" w:cs="Arial"/>
          <w:snapToGrid w:val="0"/>
          <w:lang w:eastAsia="zh-CN"/>
        </w:rPr>
        <w:t>，和</w:t>
      </w:r>
      <w:r>
        <w:rPr>
          <w:rFonts w:ascii="Arial" w:hAnsi="Arial" w:eastAsia="宋体" w:cs="Arial"/>
          <w:snapToGrid w:val="0"/>
          <w:lang w:eastAsia="zh-CN"/>
        </w:rPr>
        <w:t>21 CFR 1271.3</w:t>
      </w:r>
      <w:r>
        <w:rPr>
          <w:rFonts w:hint="eastAsia" w:ascii="Arial" w:hAnsi="Arial" w:eastAsia="宋体" w:cs="Arial"/>
          <w:snapToGrid w:val="0"/>
          <w:lang w:eastAsia="zh-CN"/>
        </w:rPr>
        <w:t>等）。</w:t>
      </w:r>
    </w:p>
    <w:p w14:paraId="378A8B5D">
      <w:pPr>
        <w:pStyle w:val="23"/>
        <w:numPr>
          <w:ilvl w:val="0"/>
          <w:numId w:val="6"/>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53" w:name="1._“Manufacture”_and_“manufacturer”"/>
      <w:bookmarkEnd w:id="53"/>
      <w:r>
        <w:rPr>
          <w:rFonts w:hint="eastAsia" w:ascii="宋体" w:hAnsi="宋体" w:eastAsia="宋体" w:cs="Arial"/>
          <w:snapToGrid w:val="0"/>
          <w:lang w:eastAsia="zh-CN"/>
        </w:rPr>
        <w:t>“</w:t>
      </w:r>
      <w:r>
        <w:rPr>
          <w:rFonts w:hint="eastAsia" w:ascii="Arial" w:hAnsi="Arial" w:eastAsia="宋体" w:cs="Arial"/>
          <w:snapToGrid w:val="0"/>
          <w:lang w:eastAsia="zh-CN"/>
        </w:rPr>
        <w:t>制造</w:t>
      </w:r>
      <w:r>
        <w:rPr>
          <w:rFonts w:hint="eastAsia" w:ascii="宋体" w:hAnsi="宋体" w:eastAsia="宋体" w:cs="Arial"/>
          <w:snapToGrid w:val="0"/>
          <w:lang w:eastAsia="zh-CN"/>
        </w:rPr>
        <w:t>”</w:t>
      </w:r>
      <w:r>
        <w:rPr>
          <w:rFonts w:hint="eastAsia" w:ascii="Arial" w:hAnsi="Arial" w:eastAsia="宋体" w:cs="Arial"/>
          <w:snapToGrid w:val="0"/>
          <w:lang w:eastAsia="zh-CN"/>
        </w:rPr>
        <w:t>和</w:t>
      </w:r>
      <w:r>
        <w:rPr>
          <w:rFonts w:hint="eastAsia" w:ascii="宋体" w:hAnsi="宋体" w:eastAsia="宋体" w:cs="Arial"/>
          <w:snapToGrid w:val="0"/>
          <w:lang w:eastAsia="zh-CN"/>
        </w:rPr>
        <w:t>“</w:t>
      </w:r>
      <w:r>
        <w:rPr>
          <w:rFonts w:hint="eastAsia" w:ascii="Arial" w:hAnsi="Arial" w:eastAsia="宋体" w:cs="Arial"/>
          <w:snapToGrid w:val="0"/>
          <w:lang w:eastAsia="zh-CN"/>
        </w:rPr>
        <w:t>制造商</w:t>
      </w:r>
      <w:r>
        <w:rPr>
          <w:rFonts w:hint="eastAsia" w:ascii="宋体" w:hAnsi="宋体" w:eastAsia="宋体" w:cs="Arial"/>
          <w:snapToGrid w:val="0"/>
          <w:lang w:eastAsia="zh-CN"/>
        </w:rPr>
        <w:t>”</w:t>
      </w:r>
    </w:p>
    <w:p w14:paraId="04B343E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第4部分中术语</w:t>
      </w:r>
      <w:r>
        <w:rPr>
          <w:rFonts w:hint="eastAsia" w:ascii="宋体" w:hAnsi="宋体" w:eastAsia="宋体" w:cs="Arial"/>
          <w:snapToGrid w:val="0"/>
          <w:lang w:eastAsia="zh-CN"/>
        </w:rPr>
        <w:t>“</w:t>
      </w:r>
      <w:r>
        <w:rPr>
          <w:rFonts w:hint="eastAsia" w:ascii="Arial" w:hAnsi="Arial" w:eastAsia="宋体" w:cs="Arial"/>
          <w:snapToGrid w:val="0"/>
          <w:lang w:eastAsia="zh-CN"/>
        </w:rPr>
        <w:t>制造</w:t>
      </w:r>
      <w:r>
        <w:rPr>
          <w:rFonts w:hint="eastAsia" w:ascii="宋体" w:hAnsi="宋体" w:eastAsia="宋体" w:cs="Arial"/>
          <w:snapToGrid w:val="0"/>
          <w:lang w:eastAsia="zh-CN"/>
        </w:rPr>
        <w:t>”</w:t>
      </w:r>
      <w:r>
        <w:rPr>
          <w:rFonts w:hint="eastAsia" w:ascii="Arial" w:hAnsi="Arial" w:eastAsia="宋体" w:cs="Arial"/>
          <w:snapToGrid w:val="0"/>
          <w:lang w:eastAsia="zh-CN"/>
        </w:rPr>
        <w:t>的定义规定为，包含所有视为属于药品、器械、生物制剂和</w:t>
      </w:r>
      <w:r>
        <w:rPr>
          <w:rFonts w:ascii="Arial" w:hAnsi="Arial" w:eastAsia="宋体" w:cs="Arial"/>
          <w:snapToGrid w:val="0"/>
          <w:lang w:eastAsia="zh-CN"/>
        </w:rPr>
        <w:t>HCT/Ps</w:t>
      </w:r>
      <w:r>
        <w:rPr>
          <w:rFonts w:hint="eastAsia" w:ascii="Arial" w:hAnsi="Arial" w:eastAsia="宋体" w:cs="Arial"/>
          <w:snapToGrid w:val="0"/>
          <w:lang w:eastAsia="zh-CN"/>
        </w:rPr>
        <w:t>生产范围的活动。相应地，</w:t>
      </w:r>
      <w:r>
        <w:rPr>
          <w:rFonts w:ascii="Arial" w:hAnsi="Arial" w:eastAsia="宋体" w:cs="Arial"/>
          <w:snapToGrid w:val="0"/>
          <w:lang w:eastAsia="zh-CN"/>
        </w:rPr>
        <w:t>21 CFR 4.2</w:t>
      </w:r>
      <w:r>
        <w:rPr>
          <w:rFonts w:hint="eastAsia" w:ascii="Arial" w:hAnsi="Arial" w:eastAsia="宋体" w:cs="Arial"/>
          <w:snapToGrid w:val="0"/>
          <w:lang w:eastAsia="zh-CN"/>
        </w:rPr>
        <w:t>中</w:t>
      </w:r>
      <w:r>
        <w:rPr>
          <w:rFonts w:hint="eastAsia" w:ascii="宋体" w:hAnsi="宋体" w:eastAsia="宋体" w:cs="Arial"/>
          <w:snapToGrid w:val="0"/>
          <w:lang w:eastAsia="zh-CN"/>
        </w:rPr>
        <w:t>“</w:t>
      </w:r>
      <w:r>
        <w:rPr>
          <w:rFonts w:hint="eastAsia" w:ascii="Arial" w:hAnsi="Arial" w:eastAsia="宋体" w:cs="Arial"/>
          <w:snapToGrid w:val="0"/>
          <w:lang w:eastAsia="zh-CN"/>
        </w:rPr>
        <w:t>制造</w:t>
      </w:r>
      <w:r>
        <w:rPr>
          <w:rFonts w:hint="eastAsia" w:ascii="宋体" w:hAnsi="宋体" w:eastAsia="宋体" w:cs="Arial"/>
          <w:snapToGrid w:val="0"/>
          <w:lang w:eastAsia="zh-CN"/>
        </w:rPr>
        <w:t>”</w:t>
      </w:r>
      <w:r>
        <w:rPr>
          <w:rFonts w:hint="eastAsia" w:ascii="Arial" w:hAnsi="Arial" w:eastAsia="宋体" w:cs="Arial"/>
          <w:snapToGrid w:val="0"/>
          <w:lang w:eastAsia="zh-CN"/>
        </w:rPr>
        <w:t>的定义包括但不限于设计、制造、装配、填充、加工、测试、贴标签、包装、重新包装、仓贮、和储存。例如，如果一个公司设计一种药品-器械组合产品，则该设计活动即构成该产品制造的一部分，而设计工作所在机构即为制造机构。该公司作为执行设计活动的制造商受第4部分的约束，即使组合产品制造的所有其它方面（例如制造、贴标签或打包）均由另一个实体执行。类似地，负责组合产品仓贮和储存的机构将受</w:t>
      </w:r>
      <w:r>
        <w:rPr>
          <w:rFonts w:ascii="Arial" w:hAnsi="Arial" w:eastAsia="宋体" w:cs="Arial"/>
          <w:snapToGrid w:val="0"/>
          <w:lang w:eastAsia="zh-CN"/>
        </w:rPr>
        <w:t>21 CFR 211.142 （</w:t>
      </w:r>
      <w:r>
        <w:rPr>
          <w:rFonts w:hint="eastAsia" w:ascii="Arial" w:hAnsi="Arial" w:eastAsia="宋体" w:cs="Arial"/>
          <w:snapToGrid w:val="0"/>
          <w:lang w:eastAsia="zh-CN"/>
        </w:rPr>
        <w:t>入库程序</w:t>
      </w:r>
      <w:r>
        <w:rPr>
          <w:rFonts w:ascii="Arial" w:hAnsi="Arial" w:eastAsia="宋体" w:cs="Arial"/>
          <w:snapToGrid w:val="0"/>
          <w:lang w:eastAsia="zh-CN"/>
        </w:rPr>
        <w:t>）</w:t>
      </w:r>
      <w:r>
        <w:rPr>
          <w:rFonts w:hint="eastAsia" w:ascii="Arial" w:hAnsi="Arial" w:eastAsia="宋体" w:cs="Arial"/>
          <w:snapToGrid w:val="0"/>
          <w:lang w:eastAsia="zh-CN"/>
        </w:rPr>
        <w:t>和</w:t>
      </w:r>
      <w:r>
        <w:rPr>
          <w:rFonts w:ascii="Arial" w:hAnsi="Arial" w:eastAsia="宋体" w:cs="Arial"/>
          <w:snapToGrid w:val="0"/>
          <w:lang w:eastAsia="zh-CN"/>
        </w:rPr>
        <w:t>／</w:t>
      </w:r>
      <w:r>
        <w:rPr>
          <w:rFonts w:hint="eastAsia" w:ascii="Arial" w:hAnsi="Arial" w:eastAsia="宋体" w:cs="Arial"/>
          <w:snapToGrid w:val="0"/>
          <w:lang w:eastAsia="zh-CN"/>
        </w:rPr>
        <w:t>或</w:t>
      </w:r>
      <w:r>
        <w:rPr>
          <w:rFonts w:ascii="Arial" w:hAnsi="Arial" w:eastAsia="宋体" w:cs="Arial"/>
          <w:snapToGrid w:val="0"/>
          <w:lang w:eastAsia="zh-CN"/>
        </w:rPr>
        <w:t>21 CFR 820.150 （</w:t>
      </w:r>
      <w:r>
        <w:rPr>
          <w:rFonts w:hint="eastAsia" w:ascii="Arial" w:hAnsi="Arial" w:eastAsia="宋体" w:cs="Arial"/>
          <w:snapToGrid w:val="0"/>
          <w:lang w:eastAsia="zh-CN"/>
        </w:rPr>
        <w:t>储存</w:t>
      </w:r>
      <w:r>
        <w:rPr>
          <w:rFonts w:ascii="Arial" w:hAnsi="Arial" w:eastAsia="宋体" w:cs="Arial"/>
          <w:snapToGrid w:val="0"/>
          <w:lang w:eastAsia="zh-CN"/>
        </w:rPr>
        <w:t>）</w:t>
      </w:r>
      <w:r>
        <w:rPr>
          <w:rFonts w:hint="eastAsia" w:ascii="Arial" w:hAnsi="Arial" w:eastAsia="宋体" w:cs="Arial"/>
          <w:snapToGrid w:val="0"/>
          <w:lang w:eastAsia="zh-CN"/>
        </w:rPr>
        <w:t>等相关</w:t>
      </w:r>
      <w:r>
        <w:rPr>
          <w:rFonts w:ascii="Arial" w:hAnsi="Arial" w:eastAsia="宋体" w:cs="Arial"/>
          <w:snapToGrid w:val="0"/>
          <w:lang w:eastAsia="zh-CN"/>
        </w:rPr>
        <w:t>CGMP</w:t>
      </w:r>
      <w:r>
        <w:rPr>
          <w:rFonts w:hint="eastAsia" w:ascii="Arial" w:hAnsi="Arial" w:eastAsia="宋体" w:cs="Arial"/>
          <w:snapToGrid w:val="0"/>
          <w:lang w:eastAsia="zh-CN"/>
        </w:rPr>
        <w:t>要求的约束，这取决于机构是否应用了简化方法，如果是，应用了哪种简化方法。</w:t>
      </w:r>
    </w:p>
    <w:p w14:paraId="7F97626F">
      <w:pPr>
        <w:pStyle w:val="23"/>
        <w:numPr>
          <w:ilvl w:val="0"/>
          <w:numId w:val="6"/>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lang w:eastAsia="zh-CN"/>
        </w:rPr>
      </w:pPr>
      <w:bookmarkStart w:id="54" w:name="2._“Constituent_part”_versus_“component”"/>
      <w:bookmarkEnd w:id="54"/>
      <w:r>
        <w:rPr>
          <w:rFonts w:ascii="宋体" w:hAnsi="宋体" w:eastAsia="宋体" w:cs="Arial"/>
          <w:snapToGrid w:val="0"/>
          <w:lang w:eastAsia="zh-CN"/>
        </w:rPr>
        <w:t>“</w:t>
      </w:r>
      <w:r>
        <w:rPr>
          <w:rFonts w:hint="eastAsia" w:ascii="Arial" w:hAnsi="Arial" w:eastAsia="宋体" w:cs="Arial"/>
          <w:snapToGrid w:val="0"/>
          <w:lang w:eastAsia="zh-CN"/>
        </w:rPr>
        <w:t>组成部分</w:t>
      </w:r>
      <w:r>
        <w:rPr>
          <w:rFonts w:ascii="宋体" w:hAnsi="宋体" w:eastAsia="宋体" w:cs="Arial"/>
          <w:snapToGrid w:val="0"/>
          <w:lang w:eastAsia="zh-CN"/>
        </w:rPr>
        <w:t>”</w:t>
      </w:r>
      <w:r>
        <w:rPr>
          <w:rFonts w:hint="eastAsia" w:ascii="Arial" w:hAnsi="Arial" w:eastAsia="宋体" w:cs="Arial"/>
          <w:snapToGrid w:val="0"/>
          <w:lang w:eastAsia="zh-CN"/>
        </w:rPr>
        <w:t>对比</w:t>
      </w:r>
      <w:r>
        <w:rPr>
          <w:rFonts w:ascii="宋体" w:hAnsi="宋体" w:eastAsia="宋体" w:cs="Arial"/>
          <w:snapToGrid w:val="0"/>
          <w:lang w:eastAsia="zh-CN"/>
        </w:rPr>
        <w:t>“</w:t>
      </w:r>
      <w:r>
        <w:rPr>
          <w:rFonts w:hint="eastAsia" w:ascii="Arial" w:hAnsi="Arial" w:eastAsia="宋体" w:cs="Arial"/>
          <w:snapToGrid w:val="0"/>
          <w:lang w:eastAsia="zh-CN"/>
        </w:rPr>
        <w:t>成分</w:t>
      </w:r>
      <w:r>
        <w:rPr>
          <w:rFonts w:ascii="宋体" w:hAnsi="宋体" w:eastAsia="宋体" w:cs="Arial"/>
          <w:snapToGrid w:val="0"/>
          <w:lang w:eastAsia="zh-CN"/>
        </w:rPr>
        <w:t>”</w:t>
      </w:r>
    </w:p>
    <w:p w14:paraId="1EE80157">
      <w:pPr>
        <w:pStyle w:val="5"/>
        <w:topLinePunct/>
        <w:adjustRightInd w:val="0"/>
        <w:snapToGrid w:val="0"/>
        <w:spacing w:after="224" w:afterLines="75" w:line="288" w:lineRule="auto"/>
        <w:ind w:left="0" w:firstLine="0"/>
        <w:jc w:val="both"/>
        <w:rPr>
          <w:rFonts w:ascii="Arial" w:hAnsi="Arial" w:eastAsia="宋体" w:cs="Arial"/>
          <w:snapToGrid w:val="0"/>
          <w:szCs w:val="29"/>
          <w:lang w:eastAsia="zh-CN"/>
        </w:rPr>
      </w:pPr>
      <w:r>
        <w:rPr>
          <w:rFonts w:hint="eastAsia" w:ascii="Arial" w:hAnsi="Arial" w:eastAsia="宋体" w:cs="Arial"/>
          <w:snapToGrid w:val="0"/>
          <w:lang w:eastAsia="zh-CN"/>
        </w:rPr>
        <w:t>机构使用术语</w:t>
      </w:r>
      <w:r>
        <w:rPr>
          <w:rFonts w:hint="eastAsia" w:ascii="宋体" w:hAnsi="宋体" w:eastAsia="宋体" w:cs="Arial"/>
          <w:snapToGrid w:val="0"/>
          <w:lang w:eastAsia="zh-CN"/>
        </w:rPr>
        <w:t>“</w:t>
      </w:r>
      <w:r>
        <w:rPr>
          <w:rFonts w:hint="eastAsia" w:ascii="Arial" w:hAnsi="Arial" w:eastAsia="宋体" w:cs="Arial"/>
          <w:snapToGrid w:val="0"/>
          <w:lang w:eastAsia="zh-CN"/>
        </w:rPr>
        <w:t>组成部分</w:t>
      </w:r>
      <w:r>
        <w:rPr>
          <w:rFonts w:hint="eastAsia" w:ascii="宋体" w:hAnsi="宋体" w:eastAsia="宋体" w:cs="Arial"/>
          <w:snapToGrid w:val="0"/>
          <w:lang w:eastAsia="zh-CN"/>
        </w:rPr>
        <w:t>”</w:t>
      </w:r>
      <w:r>
        <w:rPr>
          <w:rFonts w:hint="eastAsia" w:ascii="Arial" w:hAnsi="Arial" w:eastAsia="宋体" w:cs="Arial"/>
          <w:snapToGrid w:val="0"/>
          <w:lang w:eastAsia="zh-CN"/>
        </w:rPr>
        <w:t>作为对组合产品内包含的药品、器械或生物制剂的简称。根据药品</w:t>
      </w:r>
      <w:r>
        <w:rPr>
          <w:rFonts w:ascii="Arial" w:hAnsi="Arial" w:eastAsia="宋体" w:cs="Arial"/>
          <w:snapToGrid w:val="0"/>
          <w:lang w:eastAsia="zh-CN"/>
        </w:rPr>
        <w:t>CGMP</w:t>
      </w:r>
      <w:r>
        <w:rPr>
          <w:rFonts w:hint="eastAsia" w:ascii="Arial" w:hAnsi="Arial" w:eastAsia="宋体" w:cs="Arial"/>
          <w:snapToGrid w:val="0"/>
          <w:lang w:eastAsia="zh-CN"/>
        </w:rPr>
        <w:t>，</w:t>
      </w:r>
      <w:r>
        <w:rPr>
          <w:rFonts w:hint="eastAsia" w:ascii="宋体" w:hAnsi="宋体" w:eastAsia="宋体" w:cs="Arial"/>
          <w:snapToGrid w:val="0"/>
          <w:lang w:eastAsia="zh-CN"/>
        </w:rPr>
        <w:t>“</w:t>
      </w:r>
      <w:r>
        <w:rPr>
          <w:rFonts w:hint="eastAsia" w:ascii="Arial" w:hAnsi="Arial" w:eastAsia="宋体" w:cs="Arial"/>
          <w:snapToGrid w:val="0"/>
          <w:lang w:eastAsia="zh-CN"/>
        </w:rPr>
        <w:t>成分</w:t>
      </w:r>
      <w:r>
        <w:rPr>
          <w:rFonts w:hint="eastAsia" w:ascii="宋体" w:hAnsi="宋体" w:eastAsia="宋体" w:cs="Arial"/>
          <w:snapToGrid w:val="0"/>
          <w:lang w:eastAsia="zh-CN"/>
        </w:rPr>
        <w:t>”</w:t>
      </w:r>
      <w:r>
        <w:rPr>
          <w:rFonts w:hint="eastAsia" w:ascii="Arial" w:hAnsi="Arial" w:eastAsia="宋体" w:cs="Arial"/>
          <w:snapToGrid w:val="0"/>
          <w:lang w:eastAsia="zh-CN"/>
        </w:rPr>
        <w:t>的定义是</w:t>
      </w:r>
      <w:r>
        <w:rPr>
          <w:rFonts w:hint="eastAsia" w:ascii="宋体" w:hAnsi="宋体" w:eastAsia="宋体" w:cs="Arial"/>
          <w:snapToGrid w:val="0"/>
          <w:lang w:eastAsia="zh-CN"/>
        </w:rPr>
        <w:t>“</w:t>
      </w:r>
      <w:r>
        <w:rPr>
          <w:rFonts w:hint="eastAsia" w:ascii="Arial" w:hAnsi="Arial" w:eastAsia="宋体" w:cs="Arial"/>
          <w:snapToGrid w:val="0"/>
          <w:lang w:eastAsia="zh-CN"/>
        </w:rPr>
        <w:t>药品制造中使用的所有的要素，包括可能不会出现在一药品中的要素。</w:t>
      </w:r>
      <w:r>
        <w:rPr>
          <w:rFonts w:hint="eastAsia" w:ascii="宋体" w:hAnsi="宋体" w:eastAsia="宋体" w:cs="Arial"/>
          <w:snapToGrid w:val="0"/>
          <w:lang w:eastAsia="zh-CN"/>
        </w:rPr>
        <w:t>”</w:t>
      </w:r>
      <w:r>
        <w:rPr>
          <w:rStyle w:val="17"/>
          <w:rFonts w:ascii="宋体" w:hAnsi="宋体" w:eastAsia="宋体" w:cs="Arial"/>
          <w:snapToGrid w:val="0"/>
          <w:lang w:eastAsia="zh-CN"/>
        </w:rPr>
        <w:footnoteReference w:id="18"/>
      </w:r>
      <w:r>
        <w:rPr>
          <w:rFonts w:hint="eastAsia" w:ascii="Arial" w:hAnsi="Arial" w:eastAsia="宋体" w:cs="Arial"/>
          <w:snapToGrid w:val="0"/>
          <w:lang w:eastAsia="zh-CN"/>
        </w:rPr>
        <w:t>根据器械</w:t>
      </w:r>
      <w:r>
        <w:rPr>
          <w:rFonts w:ascii="Arial" w:hAnsi="Arial" w:eastAsia="宋体" w:cs="Arial"/>
          <w:snapToGrid w:val="0"/>
          <w:lang w:eastAsia="zh-CN"/>
        </w:rPr>
        <w:t>QS</w:t>
      </w:r>
      <w:r>
        <w:rPr>
          <w:rFonts w:hint="eastAsia" w:ascii="Arial" w:hAnsi="Arial" w:eastAsia="宋体" w:cs="Arial"/>
          <w:snapToGrid w:val="0"/>
          <w:lang w:eastAsia="zh-CN"/>
        </w:rPr>
        <w:t>规章，术语</w:t>
      </w:r>
      <w:r>
        <w:rPr>
          <w:rFonts w:hint="eastAsia" w:ascii="宋体" w:hAnsi="宋体" w:eastAsia="宋体" w:cs="Arial"/>
          <w:snapToGrid w:val="0"/>
          <w:lang w:eastAsia="zh-CN"/>
        </w:rPr>
        <w:t>“</w:t>
      </w:r>
      <w:r>
        <w:rPr>
          <w:rFonts w:hint="eastAsia" w:ascii="Arial" w:hAnsi="Arial" w:eastAsia="宋体" w:cs="Arial"/>
          <w:snapToGrid w:val="0"/>
          <w:lang w:eastAsia="zh-CN"/>
        </w:rPr>
        <w:t>成分</w:t>
      </w:r>
      <w:r>
        <w:rPr>
          <w:rFonts w:hint="eastAsia" w:ascii="宋体" w:hAnsi="宋体" w:eastAsia="宋体" w:cs="Arial"/>
          <w:snapToGrid w:val="0"/>
          <w:lang w:eastAsia="zh-CN"/>
        </w:rPr>
        <w:t>”</w:t>
      </w:r>
      <w:r>
        <w:rPr>
          <w:rFonts w:hint="eastAsia" w:ascii="Arial" w:hAnsi="Arial" w:eastAsia="宋体" w:cs="Arial"/>
          <w:snapToGrid w:val="0"/>
          <w:lang w:eastAsia="zh-CN"/>
        </w:rPr>
        <w:t>的定义是</w:t>
      </w:r>
      <w:r>
        <w:rPr>
          <w:rFonts w:hint="eastAsia" w:ascii="宋体" w:hAnsi="宋体" w:eastAsia="宋体" w:cs="Arial"/>
          <w:snapToGrid w:val="0"/>
          <w:lang w:eastAsia="zh-CN"/>
        </w:rPr>
        <w:t>“</w:t>
      </w:r>
      <w:r>
        <w:rPr>
          <w:rFonts w:hint="eastAsia" w:ascii="Arial" w:hAnsi="Arial" w:eastAsia="宋体" w:cs="Arial"/>
          <w:snapToGrid w:val="0"/>
          <w:lang w:eastAsia="zh-CN"/>
        </w:rPr>
        <w:t>确定包成为成品的、已包装的和贴好标签的器械的一部分的所有</w:t>
      </w:r>
      <w:bookmarkStart w:id="55" w:name="OLE_LINK1"/>
      <w:bookmarkStart w:id="56" w:name="OLE_LINK2"/>
      <w:r>
        <w:rPr>
          <w:rFonts w:hint="eastAsia" w:ascii="Arial" w:hAnsi="Arial" w:eastAsia="宋体" w:cs="Arial"/>
          <w:snapToGrid w:val="0"/>
          <w:lang w:eastAsia="zh-CN"/>
        </w:rPr>
        <w:t>原料、物质、零件、部件、软件、固件</w:t>
      </w:r>
      <w:bookmarkEnd w:id="55"/>
      <w:bookmarkEnd w:id="56"/>
      <w:r>
        <w:rPr>
          <w:rFonts w:hint="eastAsia" w:ascii="Arial" w:hAnsi="Arial" w:eastAsia="宋体" w:cs="Arial"/>
          <w:snapToGrid w:val="0"/>
          <w:lang w:eastAsia="zh-CN"/>
        </w:rPr>
        <w:t>、标签或装配件。</w:t>
      </w:r>
      <w:r>
        <w:rPr>
          <w:rFonts w:hint="eastAsia" w:ascii="宋体" w:hAnsi="宋体" w:eastAsia="宋体" w:cs="Arial"/>
          <w:snapToGrid w:val="0"/>
          <w:lang w:eastAsia="zh-CN"/>
        </w:rPr>
        <w:t>”</w:t>
      </w:r>
      <w:r>
        <w:rPr>
          <w:rStyle w:val="17"/>
          <w:rFonts w:ascii="宋体" w:hAnsi="宋体" w:eastAsia="宋体" w:cs="Arial"/>
          <w:snapToGrid w:val="0"/>
          <w:lang w:eastAsia="zh-CN"/>
        </w:rPr>
        <w:footnoteReference w:id="19"/>
      </w:r>
      <w:r>
        <w:rPr>
          <w:rFonts w:hint="eastAsia" w:ascii="Arial" w:hAnsi="Arial" w:eastAsia="宋体" w:cs="Arial"/>
          <w:snapToGrid w:val="0"/>
          <w:lang w:eastAsia="zh-CN"/>
        </w:rPr>
        <w:t>成分可包含能进一步加工为成品器械的子装配体。相比之下，成品器械是指</w:t>
      </w:r>
      <w:r>
        <w:rPr>
          <w:rFonts w:hint="eastAsia" w:ascii="宋体" w:hAnsi="宋体" w:eastAsia="宋体" w:cs="Arial"/>
          <w:snapToGrid w:val="0"/>
          <w:lang w:eastAsia="zh-CN"/>
        </w:rPr>
        <w:t>“</w:t>
      </w:r>
      <w:r>
        <w:rPr>
          <w:rFonts w:hint="eastAsia" w:ascii="Arial" w:hAnsi="Arial" w:eastAsia="宋体" w:cs="Arial"/>
          <w:snapToGrid w:val="0"/>
          <w:lang w:eastAsia="zh-CN"/>
        </w:rPr>
        <w:t>适合使用或能够运行的器械，无论是否包装好，贴有标签或经过灭菌</w:t>
      </w:r>
      <w:r>
        <w:rPr>
          <w:rFonts w:hint="eastAsia" w:ascii="宋体" w:hAnsi="宋体" w:eastAsia="宋体" w:cs="Arial"/>
          <w:snapToGrid w:val="0"/>
          <w:lang w:eastAsia="zh-CN"/>
        </w:rPr>
        <w:t>”</w:t>
      </w:r>
      <w:r>
        <w:rPr>
          <w:rStyle w:val="17"/>
          <w:rFonts w:ascii="宋体" w:hAnsi="宋体" w:eastAsia="宋体" w:cs="Arial"/>
          <w:snapToGrid w:val="0"/>
          <w:lang w:eastAsia="zh-CN"/>
        </w:rPr>
        <w:footnoteReference w:id="20"/>
      </w:r>
      <w:r>
        <w:rPr>
          <w:rFonts w:hint="eastAsia" w:ascii="Arial" w:hAnsi="Arial" w:eastAsia="宋体" w:cs="Arial"/>
          <w:snapToGrid w:val="0"/>
          <w:lang w:eastAsia="zh-CN"/>
        </w:rPr>
        <w:t>，将融入组合产品的器械组成部分属于这种情况。</w:t>
      </w:r>
      <w:r>
        <w:rPr>
          <w:rStyle w:val="17"/>
          <w:rFonts w:ascii="Arial" w:hAnsi="Arial" w:eastAsia="宋体" w:cs="Arial"/>
          <w:snapToGrid w:val="0"/>
          <w:lang w:eastAsia="zh-CN"/>
        </w:rPr>
        <w:footnoteReference w:id="21"/>
      </w:r>
      <w:r>
        <w:rPr>
          <w:rFonts w:ascii="Arial" w:hAnsi="Arial" w:eastAsia="宋体" w:cs="Arial"/>
          <w:snapToGrid w:val="0"/>
          <w:lang w:eastAsia="zh-CN"/>
        </w:rPr>
        <w:br w:type="page"/>
      </w:r>
    </w:p>
    <w:p w14:paraId="6EB29FBC">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仅制造器械成分，包括组合产品所用器械成分的机构，第4部分规定其不受器械</w:t>
      </w:r>
      <w:r>
        <w:rPr>
          <w:rFonts w:ascii="Arial" w:hAnsi="Arial" w:eastAsia="宋体" w:cs="Arial"/>
          <w:snapToGrid w:val="0"/>
          <w:lang w:eastAsia="zh-CN"/>
        </w:rPr>
        <w:t>QS</w:t>
      </w:r>
      <w:r>
        <w:rPr>
          <w:rFonts w:hint="eastAsia" w:ascii="Arial" w:hAnsi="Arial" w:eastAsia="宋体" w:cs="Arial"/>
          <w:snapToGrid w:val="0"/>
          <w:lang w:eastAsia="zh-CN"/>
        </w:rPr>
        <w:t>规章的约束。</w:t>
      </w:r>
      <w:r>
        <w:rPr>
          <w:rStyle w:val="17"/>
          <w:rFonts w:ascii="Arial" w:hAnsi="Arial" w:eastAsia="宋体" w:cs="Arial"/>
          <w:snapToGrid w:val="0"/>
          <w:lang w:eastAsia="zh-CN"/>
        </w:rPr>
        <w:footnoteReference w:id="22"/>
      </w:r>
      <w:r>
        <w:rPr>
          <w:rFonts w:hint="eastAsia" w:ascii="Arial" w:hAnsi="Arial" w:eastAsia="宋体" w:cs="Arial"/>
          <w:snapToGrid w:val="0"/>
          <w:lang w:eastAsia="zh-CN"/>
        </w:rPr>
        <w:t>类似地，仅制造活性药物成分</w:t>
      </w:r>
      <w:r>
        <w:rPr>
          <w:rFonts w:ascii="Arial" w:hAnsi="Arial" w:eastAsia="宋体" w:cs="Arial"/>
          <w:snapToGrid w:val="0"/>
          <w:lang w:eastAsia="zh-CN"/>
        </w:rPr>
        <w:t>（API）</w:t>
      </w:r>
      <w:r>
        <w:rPr>
          <w:rFonts w:hint="eastAsia" w:ascii="Arial" w:hAnsi="Arial" w:eastAsia="宋体" w:cs="Arial"/>
          <w:snapToGrid w:val="0"/>
          <w:lang w:eastAsia="zh-CN"/>
        </w:rPr>
        <w:t>的机构，尽管受</w:t>
      </w:r>
      <w:r>
        <w:rPr>
          <w:rFonts w:ascii="Arial" w:hAnsi="Arial" w:eastAsia="宋体" w:cs="Arial"/>
          <w:snapToGrid w:val="0"/>
          <w:lang w:eastAsia="zh-CN"/>
        </w:rPr>
        <w:t>FD&amp;C</w:t>
      </w:r>
      <w:r>
        <w:rPr>
          <w:rFonts w:hint="eastAsia" w:ascii="Arial" w:hAnsi="Arial" w:eastAsia="宋体" w:cs="Arial"/>
          <w:snapToGrid w:val="0"/>
          <w:lang w:eastAsia="zh-CN"/>
        </w:rPr>
        <w:t>法案501部分</w:t>
      </w:r>
      <w:r>
        <w:rPr>
          <w:rFonts w:ascii="Arial" w:hAnsi="Arial" w:eastAsia="宋体" w:cs="Arial"/>
          <w:snapToGrid w:val="0"/>
          <w:lang w:eastAsia="zh-CN"/>
        </w:rPr>
        <w:t>（21 U.S.C. 351）</w:t>
      </w:r>
      <w:r>
        <w:rPr>
          <w:rFonts w:hint="eastAsia" w:ascii="Arial" w:hAnsi="Arial" w:eastAsia="宋体" w:cs="Arial"/>
          <w:snapToGrid w:val="0"/>
          <w:lang w:eastAsia="zh-CN"/>
        </w:rPr>
        <w:t>的法定</w:t>
      </w:r>
      <w:r>
        <w:rPr>
          <w:rFonts w:ascii="Arial" w:hAnsi="Arial" w:eastAsia="宋体" w:cs="Arial"/>
          <w:snapToGrid w:val="0"/>
          <w:lang w:eastAsia="zh-CN"/>
        </w:rPr>
        <w:t>CGMP</w:t>
      </w:r>
      <w:r>
        <w:rPr>
          <w:rFonts w:hint="eastAsia" w:ascii="Arial" w:hAnsi="Arial" w:eastAsia="宋体" w:cs="Arial"/>
          <w:snapToGrid w:val="0"/>
          <w:lang w:eastAsia="zh-CN"/>
        </w:rPr>
        <w:t>要求的约束，但不受第</w:t>
      </w:r>
      <w:r>
        <w:rPr>
          <w:rFonts w:ascii="Arial" w:hAnsi="Arial" w:eastAsia="宋体" w:cs="Arial"/>
          <w:snapToGrid w:val="0"/>
          <w:lang w:eastAsia="zh-CN"/>
        </w:rPr>
        <w:t>211</w:t>
      </w:r>
      <w:r>
        <w:rPr>
          <w:rFonts w:hint="eastAsia" w:ascii="Arial" w:hAnsi="Arial" w:eastAsia="宋体" w:cs="Arial"/>
          <w:snapToGrid w:val="0"/>
          <w:lang w:eastAsia="zh-CN"/>
        </w:rPr>
        <w:t>部分的约束。第4部分规定，若其药品成分用于组合产品，则此药品成分制造机构不受第</w:t>
      </w:r>
      <w:r>
        <w:rPr>
          <w:rFonts w:ascii="Arial" w:hAnsi="Arial" w:eastAsia="宋体" w:cs="Arial"/>
          <w:snapToGrid w:val="0"/>
          <w:lang w:eastAsia="zh-CN"/>
        </w:rPr>
        <w:t>211</w:t>
      </w:r>
      <w:r>
        <w:rPr>
          <w:rFonts w:hint="eastAsia" w:ascii="Arial" w:hAnsi="Arial" w:eastAsia="宋体" w:cs="Arial"/>
          <w:snapToGrid w:val="0"/>
          <w:lang w:eastAsia="zh-CN"/>
        </w:rPr>
        <w:t>部分的约束。然而，制造由成分组成的药品-器械组合产品的机构受第211和820部分的约束，且必须遵守第4部分规定的两套条例。</w:t>
      </w:r>
      <w:r>
        <w:rPr>
          <w:rStyle w:val="17"/>
          <w:rFonts w:ascii="Arial" w:hAnsi="Arial" w:eastAsia="宋体" w:cs="Arial"/>
          <w:snapToGrid w:val="0"/>
          <w:lang w:eastAsia="zh-CN"/>
        </w:rPr>
        <w:footnoteReference w:id="23"/>
      </w:r>
    </w:p>
    <w:p w14:paraId="50C708D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简而言之，第4部分的术语</w:t>
      </w:r>
      <w:r>
        <w:rPr>
          <w:rFonts w:hint="eastAsia" w:ascii="宋体" w:hAnsi="宋体" w:eastAsia="宋体" w:cs="Arial"/>
          <w:snapToGrid w:val="0"/>
          <w:lang w:eastAsia="zh-CN"/>
        </w:rPr>
        <w:t>“</w:t>
      </w:r>
      <w:r>
        <w:rPr>
          <w:rFonts w:hint="eastAsia" w:ascii="Arial" w:hAnsi="Arial" w:eastAsia="宋体" w:cs="Arial"/>
          <w:snapToGrid w:val="0"/>
          <w:lang w:eastAsia="zh-CN"/>
        </w:rPr>
        <w:t>组成部分</w:t>
      </w:r>
      <w:r>
        <w:rPr>
          <w:rFonts w:hint="eastAsia" w:ascii="宋体" w:hAnsi="宋体" w:eastAsia="宋体" w:cs="Arial"/>
          <w:snapToGrid w:val="0"/>
          <w:lang w:eastAsia="zh-CN"/>
        </w:rPr>
        <w:t>”</w:t>
      </w:r>
      <w:r>
        <w:rPr>
          <w:rFonts w:hint="eastAsia" w:ascii="Arial" w:hAnsi="Arial" w:eastAsia="宋体" w:cs="Arial"/>
          <w:snapToGrid w:val="0"/>
          <w:lang w:eastAsia="zh-CN"/>
        </w:rPr>
        <w:t>和</w:t>
      </w:r>
      <w:r>
        <w:rPr>
          <w:rFonts w:ascii="Arial" w:hAnsi="Arial" w:eastAsia="宋体" w:cs="Arial"/>
          <w:snapToGrid w:val="0"/>
          <w:lang w:eastAsia="zh-CN"/>
        </w:rPr>
        <w:t>CGMP</w:t>
      </w:r>
      <w:r>
        <w:rPr>
          <w:rFonts w:hint="eastAsia" w:ascii="Arial" w:hAnsi="Arial" w:eastAsia="宋体" w:cs="Arial"/>
          <w:snapToGrid w:val="0"/>
          <w:lang w:eastAsia="zh-CN"/>
        </w:rPr>
        <w:t>条例中的</w:t>
      </w:r>
      <w:r>
        <w:rPr>
          <w:rFonts w:hint="eastAsia" w:ascii="宋体" w:hAnsi="宋体" w:eastAsia="宋体" w:cs="Arial"/>
          <w:snapToGrid w:val="0"/>
          <w:lang w:eastAsia="zh-CN"/>
        </w:rPr>
        <w:t>“</w:t>
      </w:r>
      <w:r>
        <w:rPr>
          <w:rFonts w:hint="eastAsia" w:ascii="Arial" w:hAnsi="Arial" w:eastAsia="宋体" w:cs="Arial"/>
          <w:snapToGrid w:val="0"/>
          <w:lang w:eastAsia="zh-CN"/>
        </w:rPr>
        <w:t>成分</w:t>
      </w:r>
      <w:r>
        <w:rPr>
          <w:rFonts w:hint="eastAsia" w:ascii="宋体" w:hAnsi="宋体" w:eastAsia="宋体" w:cs="Arial"/>
          <w:snapToGrid w:val="0"/>
          <w:lang w:eastAsia="zh-CN"/>
        </w:rPr>
        <w:t>”</w:t>
      </w:r>
      <w:r>
        <w:rPr>
          <w:rFonts w:hint="eastAsia" w:ascii="Arial" w:hAnsi="Arial" w:eastAsia="宋体" w:cs="Arial"/>
          <w:snapToGrid w:val="0"/>
          <w:lang w:eastAsia="zh-CN"/>
        </w:rPr>
        <w:t>服务于不同的监管目的。第4部分使用的术语</w:t>
      </w:r>
      <w:r>
        <w:rPr>
          <w:rFonts w:hint="eastAsia" w:ascii="宋体" w:hAnsi="宋体" w:eastAsia="宋体" w:cs="Arial"/>
          <w:snapToGrid w:val="0"/>
          <w:lang w:eastAsia="zh-CN"/>
        </w:rPr>
        <w:t>“</w:t>
      </w:r>
      <w:r>
        <w:rPr>
          <w:rFonts w:hint="eastAsia" w:ascii="Arial" w:hAnsi="Arial" w:eastAsia="宋体" w:cs="Arial"/>
          <w:snapToGrid w:val="0"/>
          <w:lang w:eastAsia="zh-CN"/>
        </w:rPr>
        <w:t>组成部分</w:t>
      </w:r>
      <w:r>
        <w:rPr>
          <w:rFonts w:hint="eastAsia" w:ascii="宋体" w:hAnsi="宋体" w:eastAsia="宋体" w:cs="Arial"/>
          <w:snapToGrid w:val="0"/>
          <w:lang w:eastAsia="zh-CN"/>
        </w:rPr>
        <w:t>”</w:t>
      </w:r>
      <w:r>
        <w:rPr>
          <w:rFonts w:hint="eastAsia" w:ascii="Arial" w:hAnsi="Arial" w:eastAsia="宋体" w:cs="Arial"/>
          <w:snapToGrid w:val="0"/>
          <w:lang w:eastAsia="zh-CN"/>
        </w:rPr>
        <w:t>指包含于组合产品内的药品、器械和生物制剂且不改变术语</w:t>
      </w:r>
      <w:r>
        <w:rPr>
          <w:rFonts w:hint="eastAsia" w:ascii="宋体" w:hAnsi="宋体" w:eastAsia="宋体" w:cs="Arial"/>
          <w:snapToGrid w:val="0"/>
          <w:lang w:eastAsia="zh-CN"/>
        </w:rPr>
        <w:t>“</w:t>
      </w:r>
      <w:r>
        <w:rPr>
          <w:rFonts w:hint="eastAsia" w:ascii="Arial" w:hAnsi="Arial" w:eastAsia="宋体" w:cs="Arial"/>
          <w:snapToGrid w:val="0"/>
          <w:lang w:eastAsia="zh-CN"/>
        </w:rPr>
        <w:t>成分</w:t>
      </w:r>
      <w:r>
        <w:rPr>
          <w:rFonts w:hint="eastAsia" w:ascii="宋体" w:hAnsi="宋体" w:eastAsia="宋体" w:cs="Arial"/>
          <w:snapToGrid w:val="0"/>
          <w:lang w:eastAsia="zh-CN"/>
        </w:rPr>
        <w:t>”</w:t>
      </w:r>
      <w:r>
        <w:rPr>
          <w:rFonts w:hint="eastAsia" w:ascii="Arial" w:hAnsi="Arial" w:eastAsia="宋体" w:cs="Arial"/>
          <w:snapToGrid w:val="0"/>
          <w:lang w:eastAsia="zh-CN"/>
        </w:rPr>
        <w:t>的定义，也不改变</w:t>
      </w:r>
      <w:r>
        <w:rPr>
          <w:rFonts w:ascii="Arial" w:hAnsi="Arial" w:eastAsia="宋体" w:cs="Arial"/>
          <w:snapToGrid w:val="0"/>
          <w:lang w:eastAsia="zh-CN"/>
        </w:rPr>
        <w:t>21 CFR 4.3</w:t>
      </w:r>
      <w:r>
        <w:rPr>
          <w:rFonts w:hint="eastAsia" w:ascii="Arial" w:hAnsi="Arial" w:eastAsia="宋体" w:cs="Arial"/>
          <w:snapToGrid w:val="0"/>
          <w:lang w:eastAsia="zh-CN"/>
        </w:rPr>
        <w:t>中列出的条例对成分制造商的适用情况。</w:t>
      </w:r>
    </w:p>
    <w:p w14:paraId="6B1036B6">
      <w:pPr>
        <w:pStyle w:val="23"/>
        <w:numPr>
          <w:ilvl w:val="0"/>
          <w:numId w:val="6"/>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lang w:eastAsia="zh-CN"/>
        </w:rPr>
      </w:pPr>
      <w:bookmarkStart w:id="57" w:name="3._Drug_containers_and_closures_versus_d"/>
      <w:bookmarkEnd w:id="57"/>
      <w:bookmarkStart w:id="58" w:name="_bookmark29"/>
      <w:bookmarkEnd w:id="58"/>
      <w:r>
        <w:rPr>
          <w:rFonts w:hint="eastAsia" w:ascii="Arial" w:hAnsi="Arial" w:eastAsia="宋体" w:cs="Arial"/>
          <w:snapToGrid w:val="0"/>
          <w:lang w:eastAsia="zh-CN"/>
        </w:rPr>
        <w:t>药品容器和密封件对比输送器械</w:t>
      </w:r>
    </w:p>
    <w:p w14:paraId="55786B3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机构对纯粹的药品容器和密封件与也是器械的容器和密封件进行了区分。两者的本质区别通常为物品可输送它所容纳的药物还是仅储存药物。如果物品仅储存药物，那么它作为一种容器或密封件只受药品</w:t>
      </w:r>
      <w:r>
        <w:rPr>
          <w:rFonts w:ascii="Arial" w:hAnsi="Arial" w:eastAsia="宋体" w:cs="Arial"/>
          <w:snapToGrid w:val="0"/>
          <w:lang w:eastAsia="zh-CN"/>
        </w:rPr>
        <w:t>CGMP</w:t>
      </w:r>
      <w:r>
        <w:rPr>
          <w:rFonts w:hint="eastAsia" w:ascii="Arial" w:hAnsi="Arial" w:eastAsia="宋体" w:cs="Arial"/>
          <w:snapToGrid w:val="0"/>
          <w:lang w:eastAsia="zh-CN"/>
        </w:rPr>
        <w:t>的约束。如果一个物体既储存或包含药品，同时也输送药品，则其可能也是一种器械，除需遵守与药品容器和密封件相关的要求外，还受器械</w:t>
      </w:r>
      <w:r>
        <w:rPr>
          <w:rFonts w:ascii="Arial" w:hAnsi="Arial" w:eastAsia="宋体" w:cs="Arial"/>
          <w:snapToGrid w:val="0"/>
          <w:lang w:eastAsia="zh-CN"/>
        </w:rPr>
        <w:t>QS</w:t>
      </w:r>
      <w:r>
        <w:rPr>
          <w:rFonts w:hint="eastAsia" w:ascii="Arial" w:hAnsi="Arial" w:eastAsia="宋体" w:cs="Arial"/>
          <w:snapToGrid w:val="0"/>
          <w:lang w:eastAsia="zh-CN"/>
        </w:rPr>
        <w:t>规章的约束。</w:t>
      </w:r>
    </w:p>
    <w:p w14:paraId="35AA4E6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容器密封系统是共同容纳和保护药品的包装部件的总和。如次级包装是用于为药物产品提供额外的保护，则容器密封系统包括初级包装和次级包装部件。</w:t>
      </w:r>
      <w:r>
        <w:rPr>
          <w:rStyle w:val="17"/>
          <w:rFonts w:ascii="Arial" w:hAnsi="Arial" w:eastAsia="宋体" w:cs="Arial"/>
          <w:snapToGrid w:val="0"/>
          <w:lang w:eastAsia="zh-CN"/>
        </w:rPr>
        <w:footnoteReference w:id="24"/>
      </w:r>
      <w:r>
        <w:rPr>
          <w:rFonts w:hint="eastAsia" w:ascii="Arial" w:hAnsi="Arial" w:eastAsia="宋体" w:cs="Arial"/>
          <w:snapToGrid w:val="0"/>
          <w:lang w:eastAsia="zh-CN"/>
        </w:rPr>
        <w:t>属于器械组成部分的容器密封系统要素包括活塞式注射器，定量吸入器（</w:t>
      </w:r>
      <w:r>
        <w:rPr>
          <w:rFonts w:ascii="Arial" w:hAnsi="Arial" w:eastAsia="宋体" w:cs="Arial"/>
          <w:snapToGrid w:val="0"/>
          <w:lang w:eastAsia="zh-CN"/>
        </w:rPr>
        <w:t>MDIs</w:t>
      </w:r>
      <w:r>
        <w:rPr>
          <w:rFonts w:hint="eastAsia" w:ascii="Arial" w:hAnsi="Arial" w:eastAsia="宋体" w:cs="Arial"/>
          <w:snapToGrid w:val="0"/>
          <w:lang w:eastAsia="zh-CN"/>
        </w:rPr>
        <w:t>）和静脉注射（</w:t>
      </w:r>
      <w:r>
        <w:rPr>
          <w:rFonts w:ascii="Arial" w:hAnsi="Arial" w:eastAsia="宋体" w:cs="Arial"/>
          <w:snapToGrid w:val="0"/>
          <w:lang w:eastAsia="zh-CN"/>
        </w:rPr>
        <w:t>IV</w:t>
      </w:r>
      <w:r>
        <w:rPr>
          <w:rFonts w:hint="eastAsia" w:ascii="Arial" w:hAnsi="Arial" w:eastAsia="宋体" w:cs="Arial"/>
          <w:snapToGrid w:val="0"/>
          <w:lang w:eastAsia="zh-CN"/>
        </w:rPr>
        <w:t>）液体容器（比如含生理盐水或抗凝血剂的</w:t>
      </w:r>
      <w:r>
        <w:rPr>
          <w:rFonts w:ascii="Arial" w:hAnsi="Arial" w:eastAsia="宋体" w:cs="Arial"/>
          <w:snapToGrid w:val="0"/>
          <w:lang w:eastAsia="zh-CN"/>
        </w:rPr>
        <w:t>IV</w:t>
      </w:r>
      <w:r>
        <w:rPr>
          <w:rFonts w:hint="eastAsia" w:ascii="Arial" w:hAnsi="Arial" w:eastAsia="宋体" w:cs="Arial"/>
          <w:snapToGrid w:val="0"/>
          <w:lang w:eastAsia="zh-CN"/>
        </w:rPr>
        <w:t>袋），它们既储存又输送他们所容纳的药品或生物制剂。</w:t>
      </w:r>
      <w:r>
        <w:rPr>
          <w:rStyle w:val="17"/>
          <w:rFonts w:ascii="Arial" w:hAnsi="Arial" w:eastAsia="宋体" w:cs="Arial"/>
          <w:snapToGrid w:val="0"/>
          <w:lang w:eastAsia="zh-CN"/>
        </w:rPr>
        <w:footnoteReference w:id="25"/>
      </w:r>
      <w:r>
        <w:rPr>
          <w:rFonts w:hint="eastAsia" w:ascii="Arial" w:hAnsi="Arial" w:eastAsia="宋体" w:cs="Arial"/>
          <w:snapToGrid w:val="0"/>
          <w:lang w:eastAsia="zh-CN"/>
        </w:rPr>
        <w:t>对于</w:t>
      </w:r>
      <w:bookmarkStart w:id="59" w:name="OLE_LINK14"/>
      <w:bookmarkStart w:id="60" w:name="OLE_LINK13"/>
      <w:r>
        <w:rPr>
          <w:rFonts w:ascii="Arial" w:hAnsi="Arial" w:eastAsia="宋体" w:cs="Arial"/>
          <w:snapToGrid w:val="0"/>
          <w:lang w:eastAsia="zh-CN"/>
        </w:rPr>
        <w:t>IV</w:t>
      </w:r>
      <w:bookmarkEnd w:id="59"/>
      <w:bookmarkEnd w:id="60"/>
      <w:r>
        <w:rPr>
          <w:rFonts w:hint="eastAsia" w:ascii="Arial" w:hAnsi="Arial" w:eastAsia="宋体" w:cs="Arial"/>
          <w:snapToGrid w:val="0"/>
          <w:lang w:eastAsia="zh-CN"/>
        </w:rPr>
        <w:t>容器，药品通过</w:t>
      </w:r>
      <w:r>
        <w:rPr>
          <w:rFonts w:ascii="Arial" w:hAnsi="Arial" w:eastAsia="宋体" w:cs="Arial"/>
          <w:snapToGrid w:val="0"/>
          <w:lang w:eastAsia="zh-CN"/>
        </w:rPr>
        <w:t>IV</w:t>
      </w:r>
      <w:r>
        <w:rPr>
          <w:rFonts w:hint="eastAsia" w:ascii="Arial" w:hAnsi="Arial" w:eastAsia="宋体" w:cs="Arial"/>
          <w:snapToGrid w:val="0"/>
          <w:lang w:eastAsia="zh-CN"/>
        </w:rPr>
        <w:t>线输送至患者体内。</w:t>
      </w:r>
    </w:p>
    <w:p w14:paraId="6D9667B4">
      <w:pPr>
        <w:pStyle w:val="5"/>
        <w:topLinePunct/>
        <w:adjustRightInd w:val="0"/>
        <w:snapToGrid w:val="0"/>
        <w:spacing w:after="224" w:afterLines="75" w:line="288" w:lineRule="auto"/>
        <w:ind w:left="0" w:firstLine="0"/>
        <w:jc w:val="both"/>
        <w:rPr>
          <w:rFonts w:ascii="Arial" w:hAnsi="Arial" w:eastAsia="宋体" w:cs="Arial"/>
          <w:snapToGrid w:val="0"/>
          <w:lang w:eastAsia="zh-CN"/>
        </w:rPr>
      </w:pPr>
      <w:bookmarkStart w:id="61" w:name="_bookmark34"/>
      <w:bookmarkEnd w:id="61"/>
      <w:r>
        <w:rPr>
          <w:rFonts w:ascii="Arial" w:hAnsi="Arial" w:eastAsia="宋体" w:cs="Arial"/>
          <w:snapToGrid w:val="0"/>
          <w:szCs w:val="20"/>
          <w:lang w:eastAsia="zh-CN"/>
        </w:rPr>
        <w:br w:type="page"/>
      </w:r>
      <w:r>
        <w:rPr>
          <w:rFonts w:hint="eastAsia" w:ascii="Arial" w:hAnsi="Arial" w:eastAsia="宋体" w:cs="Arial"/>
          <w:snapToGrid w:val="0"/>
          <w:lang w:eastAsia="zh-CN"/>
        </w:rPr>
        <w:t>机构允许某些器械免于遵守器械</w:t>
      </w:r>
      <w:r>
        <w:rPr>
          <w:rFonts w:ascii="Arial" w:hAnsi="Arial" w:eastAsia="宋体" w:cs="Arial"/>
          <w:snapToGrid w:val="0"/>
          <w:lang w:eastAsia="zh-CN"/>
        </w:rPr>
        <w:t>QS</w:t>
      </w:r>
      <w:r>
        <w:rPr>
          <w:rFonts w:hint="eastAsia" w:ascii="Arial" w:hAnsi="Arial" w:eastAsia="宋体" w:cs="Arial"/>
          <w:snapToGrid w:val="0"/>
          <w:lang w:eastAsia="zh-CN"/>
        </w:rPr>
        <w:t>规章的所有或某些条款。例如，</w:t>
      </w:r>
      <w:r>
        <w:rPr>
          <w:rFonts w:ascii="Arial" w:hAnsi="Arial" w:eastAsia="宋体" w:cs="Arial"/>
          <w:snapToGrid w:val="0"/>
          <w:lang w:eastAsia="zh-CN"/>
        </w:rPr>
        <w:t>21 CFR 880.6430</w:t>
      </w:r>
      <w:r>
        <w:rPr>
          <w:rFonts w:hint="eastAsia" w:ascii="Arial" w:hAnsi="Arial" w:eastAsia="宋体" w:cs="Arial"/>
          <w:snapToGrid w:val="0"/>
          <w:lang w:eastAsia="zh-CN"/>
        </w:rPr>
        <w:t>允许液体药物分配器（量杯、滴管等）免于遵守器械</w:t>
      </w:r>
      <w:r>
        <w:rPr>
          <w:rFonts w:ascii="Arial" w:hAnsi="Arial" w:eastAsia="宋体" w:cs="Arial"/>
          <w:snapToGrid w:val="0"/>
          <w:lang w:eastAsia="zh-CN"/>
        </w:rPr>
        <w:t>QS</w:t>
      </w:r>
      <w:r>
        <w:rPr>
          <w:rFonts w:hint="eastAsia" w:ascii="Arial" w:hAnsi="Arial" w:eastAsia="宋体" w:cs="Arial"/>
          <w:snapToGrid w:val="0"/>
          <w:lang w:eastAsia="zh-CN"/>
        </w:rPr>
        <w:t>规章的所有条款，</w:t>
      </w:r>
      <w:r>
        <w:rPr>
          <w:rFonts w:ascii="Arial" w:hAnsi="Arial" w:eastAsia="宋体" w:cs="Arial"/>
          <w:snapToGrid w:val="0"/>
          <w:lang w:eastAsia="zh-CN"/>
        </w:rPr>
        <w:t>820.180</w:t>
      </w:r>
      <w:r>
        <w:rPr>
          <w:rFonts w:hint="eastAsia" w:ascii="Arial" w:hAnsi="Arial" w:eastAsia="宋体" w:cs="Arial"/>
          <w:snapToGrid w:val="0"/>
          <w:lang w:eastAsia="zh-CN"/>
        </w:rPr>
        <w:t>和</w:t>
      </w:r>
      <w:r>
        <w:rPr>
          <w:rFonts w:ascii="Arial" w:hAnsi="Arial" w:eastAsia="宋体" w:cs="Arial"/>
          <w:snapToGrid w:val="0"/>
          <w:lang w:eastAsia="zh-CN"/>
        </w:rPr>
        <w:t>820.198</w:t>
      </w:r>
      <w:r>
        <w:rPr>
          <w:rFonts w:hint="eastAsia" w:ascii="Arial" w:hAnsi="Arial" w:eastAsia="宋体" w:cs="Arial"/>
          <w:snapToGrid w:val="0"/>
          <w:lang w:eastAsia="zh-CN"/>
        </w:rPr>
        <w:t>除外。这类豁免政策可扩大范围至组合产品的器械组成部分和它们所属的组合产品。如果对药品-器械组合产品中器械组成部分的豁免政策涵盖</w:t>
      </w:r>
      <w:r>
        <w:rPr>
          <w:rFonts w:ascii="Arial" w:hAnsi="Arial" w:eastAsia="宋体" w:cs="Arial"/>
          <w:snapToGrid w:val="0"/>
          <w:lang w:eastAsia="zh-CN"/>
        </w:rPr>
        <w:t>21CFR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）中包含的所有第820部分的条款，那么只要</w:t>
      </w:r>
      <w:r>
        <w:rPr>
          <w:rFonts w:ascii="Arial" w:hAnsi="Arial" w:eastAsia="宋体" w:cs="Arial"/>
          <w:snapToGrid w:val="0"/>
          <w:lang w:eastAsia="zh-CN"/>
        </w:rPr>
        <w:t>CGMP</w:t>
      </w:r>
      <w:r>
        <w:rPr>
          <w:rFonts w:hint="eastAsia" w:ascii="Arial" w:hAnsi="Arial" w:eastAsia="宋体" w:cs="Arial"/>
          <w:snapToGrid w:val="0"/>
          <w:lang w:eastAsia="zh-CN"/>
        </w:rPr>
        <w:t>操作系统符合第211部分（无需证明符合第820部分），机构就认为组合产品制造商</w:t>
      </w:r>
      <w:r>
        <w:rPr>
          <w:rFonts w:ascii="Arial" w:hAnsi="Arial" w:eastAsia="宋体" w:cs="Arial"/>
          <w:snapToGrid w:val="0"/>
          <w:lang w:eastAsia="zh-CN"/>
        </w:rPr>
        <w:t>CGMP</w:t>
      </w:r>
      <w:r>
        <w:rPr>
          <w:rFonts w:hint="eastAsia" w:ascii="Arial" w:hAnsi="Arial" w:eastAsia="宋体" w:cs="Arial"/>
          <w:snapToGrid w:val="0"/>
          <w:lang w:eastAsia="zh-CN"/>
        </w:rPr>
        <w:t>合规。然而，如果通常免于遵守第820部分所有或某些条款的一种器械是容器密封系统的一部分，例如，如果一种滴管成为药瓶瓶盖的一部分，则其可能是器械的一种新用途，因此可能导致免于遵守第</w:t>
      </w:r>
      <w:r>
        <w:rPr>
          <w:rFonts w:ascii="Arial" w:hAnsi="Arial" w:eastAsia="宋体" w:cs="Arial"/>
          <w:snapToGrid w:val="0"/>
          <w:lang w:eastAsia="zh-CN"/>
        </w:rPr>
        <w:t>820</w:t>
      </w:r>
      <w:r>
        <w:rPr>
          <w:rFonts w:hint="eastAsia" w:ascii="Arial" w:hAnsi="Arial" w:eastAsia="宋体" w:cs="Arial"/>
          <w:snapToGrid w:val="0"/>
          <w:lang w:eastAsia="zh-CN"/>
        </w:rPr>
        <w:t>部分的政策不适用。</w:t>
      </w:r>
      <w:r>
        <w:rPr>
          <w:rStyle w:val="17"/>
          <w:rFonts w:ascii="Arial" w:hAnsi="Arial" w:eastAsia="宋体" w:cs="Arial"/>
          <w:snapToGrid w:val="0"/>
          <w:lang w:eastAsia="zh-CN"/>
        </w:rPr>
        <w:footnoteReference w:id="26"/>
      </w:r>
      <w:r>
        <w:rPr>
          <w:rFonts w:hint="eastAsia" w:ascii="Arial" w:hAnsi="Arial" w:eastAsia="宋体" w:cs="Arial"/>
          <w:snapToGrid w:val="0"/>
          <w:lang w:eastAsia="zh-CN"/>
        </w:rPr>
        <w:t>无论如何，当器械成为容器密封系统的一部分时，必须按照第211部分的规定把器械作为容器密封系统的一部分来处理（例如</w:t>
      </w:r>
      <w:r>
        <w:rPr>
          <w:rFonts w:ascii="Arial" w:hAnsi="Arial" w:eastAsia="宋体" w:cs="Arial"/>
          <w:snapToGrid w:val="0"/>
          <w:lang w:eastAsia="zh-CN"/>
        </w:rPr>
        <w:t>21 CFR 211.84</w:t>
      </w:r>
      <w:r>
        <w:rPr>
          <w:rFonts w:hint="eastAsia" w:ascii="Arial" w:hAnsi="Arial" w:eastAsia="宋体" w:cs="Arial"/>
          <w:snapToGrid w:val="0"/>
          <w:lang w:eastAsia="zh-CN"/>
        </w:rPr>
        <w:t>，</w:t>
      </w:r>
      <w:r>
        <w:rPr>
          <w:rFonts w:ascii="Arial" w:hAnsi="Arial" w:eastAsia="宋体" w:cs="Arial"/>
          <w:snapToGrid w:val="0"/>
          <w:lang w:eastAsia="zh-CN"/>
        </w:rPr>
        <w:t>211.165</w:t>
      </w:r>
      <w:r>
        <w:rPr>
          <w:rFonts w:hint="eastAsia" w:ascii="Arial" w:hAnsi="Arial" w:eastAsia="宋体" w:cs="Arial"/>
          <w:snapToGrid w:val="0"/>
          <w:lang w:eastAsia="zh-CN"/>
        </w:rPr>
        <w:t>和</w:t>
      </w:r>
      <w:r>
        <w:rPr>
          <w:rFonts w:ascii="Arial" w:hAnsi="Arial" w:eastAsia="宋体" w:cs="Arial"/>
          <w:snapToGrid w:val="0"/>
          <w:lang w:eastAsia="zh-CN"/>
        </w:rPr>
        <w:t>211.166</w:t>
      </w:r>
      <w:r>
        <w:rPr>
          <w:rFonts w:hint="eastAsia" w:ascii="Arial" w:hAnsi="Arial" w:eastAsia="宋体" w:cs="Arial"/>
          <w:snapToGrid w:val="0"/>
          <w:lang w:eastAsia="zh-CN"/>
        </w:rPr>
        <w:t>的要求，见</w:t>
      </w:r>
      <w:r>
        <w:rPr>
          <w:rFonts w:ascii="Arial" w:hAnsi="Arial" w:eastAsia="宋体" w:cs="Arial"/>
          <w:snapToGrid w:val="0"/>
          <w:lang w:eastAsia="zh-CN"/>
        </w:rPr>
        <w:t>IV.B</w:t>
      </w:r>
      <w:r>
        <w:rPr>
          <w:rFonts w:hint="eastAsia" w:ascii="Arial" w:hAnsi="Arial" w:eastAsia="宋体" w:cs="Arial"/>
          <w:snapToGrid w:val="0"/>
          <w:lang w:eastAsia="zh-CN"/>
        </w:rPr>
        <w:t>部分的讨论）。</w:t>
      </w:r>
    </w:p>
    <w:p w14:paraId="0806D79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如制造商认为一种有输送属性的容器密封系统不是器械，或认为一种器械组成部分可免于遵守器械</w:t>
      </w:r>
      <w:r>
        <w:rPr>
          <w:rFonts w:ascii="Arial" w:hAnsi="Arial" w:eastAsia="宋体" w:cs="Arial"/>
          <w:snapToGrid w:val="0"/>
          <w:lang w:eastAsia="zh-CN"/>
        </w:rPr>
        <w:t>QS</w:t>
      </w:r>
      <w:r>
        <w:rPr>
          <w:rFonts w:hint="eastAsia" w:ascii="Arial" w:hAnsi="Arial" w:eastAsia="宋体" w:cs="Arial"/>
          <w:snapToGrid w:val="0"/>
          <w:lang w:eastAsia="zh-CN"/>
        </w:rPr>
        <w:t>规章的某些或全部条款，那么应将其评估记录下来。如果制造商不确定容器密封系统或其中的一种要素，是否应作为一种器械受到监管，或对免于遵守第820部分的政策是否适用，我们鼓励制造商根据需要与首要中心或</w:t>
      </w:r>
      <w:r>
        <w:rPr>
          <w:rFonts w:ascii="Arial" w:hAnsi="Arial" w:eastAsia="宋体" w:cs="Arial"/>
          <w:snapToGrid w:val="0"/>
          <w:lang w:eastAsia="zh-CN"/>
        </w:rPr>
        <w:t>OCP</w:t>
      </w:r>
      <w:r>
        <w:rPr>
          <w:rFonts w:hint="eastAsia" w:ascii="Arial" w:hAnsi="Arial" w:eastAsia="宋体" w:cs="Arial"/>
          <w:snapToGrid w:val="0"/>
          <w:lang w:eastAsia="zh-CN"/>
        </w:rPr>
        <w:t>讨论该问题。</w:t>
      </w:r>
    </w:p>
    <w:p w14:paraId="4B3AE9C2">
      <w:pPr>
        <w:pStyle w:val="23"/>
        <w:numPr>
          <w:ilvl w:val="0"/>
          <w:numId w:val="6"/>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62" w:name="4._Convenience_kits"/>
      <w:bookmarkEnd w:id="62"/>
      <w:r>
        <w:rPr>
          <w:rFonts w:hint="eastAsia" w:ascii="Arial" w:hAnsi="Arial" w:eastAsia="宋体" w:cs="Arial"/>
          <w:snapToGrid w:val="0"/>
          <w:lang w:eastAsia="zh-CN"/>
        </w:rPr>
        <w:t>便利工具盒</w:t>
      </w:r>
    </w:p>
    <w:p w14:paraId="2808883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包含两种或两种以上不同类型医疗产品（例如一种器械和一种药品）的工具盒是一种组合包装组合产品，因此第4部分适用于此类工具盒的制造。哪些CGMP要求适用于工具盒制造商取决于工具盒中包含哪些产品。</w:t>
      </w:r>
    </w:p>
    <w:p w14:paraId="606EB72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如果该工具盒仅包含：</w:t>
      </w:r>
      <w:r>
        <w:rPr>
          <w:rFonts w:ascii="Arial" w:hAnsi="Arial" w:eastAsia="宋体" w:cs="Arial"/>
          <w:snapToGrid w:val="0"/>
          <w:lang w:eastAsia="zh-CN"/>
        </w:rPr>
        <w:t>1）</w:t>
      </w:r>
      <w:r>
        <w:rPr>
          <w:rFonts w:hint="eastAsia" w:ascii="Arial" w:hAnsi="Arial" w:eastAsia="宋体" w:cs="Arial"/>
          <w:snapToGrid w:val="0"/>
          <w:lang w:eastAsia="zh-CN"/>
        </w:rPr>
        <w:t>合法独立销售的产品，和</w:t>
      </w:r>
      <w:r>
        <w:rPr>
          <w:rFonts w:ascii="Arial" w:hAnsi="Arial" w:eastAsia="宋体" w:cs="Arial"/>
          <w:snapToGrid w:val="0"/>
          <w:lang w:eastAsia="zh-CN"/>
        </w:rPr>
        <w:t>2）</w:t>
      </w:r>
      <w:r>
        <w:rPr>
          <w:rFonts w:hint="eastAsia" w:ascii="Arial" w:hAnsi="Arial" w:eastAsia="宋体" w:cs="Arial"/>
          <w:snapToGrid w:val="0"/>
          <w:lang w:eastAsia="zh-CN"/>
        </w:rPr>
        <w:t>在工具盒内的包装与独立销售时的包装相同的产品（包括任何用于独立销售的标签），那么它就是一个</w:t>
      </w:r>
      <w:r>
        <w:rPr>
          <w:rFonts w:hint="eastAsia" w:ascii="宋体" w:hAnsi="宋体" w:eastAsia="宋体" w:cs="Arial"/>
          <w:snapToGrid w:val="0"/>
          <w:lang w:eastAsia="zh-CN"/>
        </w:rPr>
        <w:t>“</w:t>
      </w:r>
      <w:r>
        <w:rPr>
          <w:rFonts w:hint="eastAsia" w:ascii="Arial" w:hAnsi="Arial" w:eastAsia="宋体" w:cs="Arial"/>
          <w:snapToGrid w:val="0"/>
          <w:lang w:eastAsia="zh-CN"/>
        </w:rPr>
        <w:t>便利工具盒</w:t>
      </w:r>
      <w:r>
        <w:rPr>
          <w:rFonts w:hint="eastAsia" w:ascii="宋体" w:hAnsi="宋体" w:eastAsia="宋体" w:cs="Arial"/>
          <w:snapToGrid w:val="0"/>
          <w:lang w:eastAsia="zh-CN"/>
        </w:rPr>
        <w:t>”</w:t>
      </w:r>
      <w:r>
        <w:rPr>
          <w:rStyle w:val="17"/>
          <w:rFonts w:ascii="宋体" w:hAnsi="宋体" w:eastAsia="宋体" w:cs="Arial"/>
          <w:snapToGrid w:val="0"/>
          <w:lang w:eastAsia="zh-CN"/>
        </w:rPr>
        <w:footnoteReference w:id="27"/>
      </w:r>
      <w:r>
        <w:rPr>
          <w:rFonts w:hint="eastAsia" w:ascii="Arial" w:hAnsi="Arial" w:eastAsia="宋体" w:cs="Arial"/>
          <w:snapToGrid w:val="0"/>
          <w:lang w:eastAsia="zh-CN"/>
        </w:rPr>
        <w:t>，且制造组合产品的唯一步骤为装配、包装、贴标签、各种灭菌和对工具盒本身的进一步加工。相应地，工具盒制造商仅需证明符合关于上述制造活动的</w:t>
      </w:r>
      <w:r>
        <w:rPr>
          <w:rFonts w:ascii="Arial" w:hAnsi="Arial" w:eastAsia="宋体" w:cs="Arial"/>
          <w:snapToGrid w:val="0"/>
          <w:lang w:eastAsia="zh-CN"/>
        </w:rPr>
        <w:t>CGMP</w:t>
      </w:r>
      <w:r>
        <w:rPr>
          <w:rFonts w:hint="eastAsia" w:ascii="Arial" w:hAnsi="Arial" w:eastAsia="宋体" w:cs="Arial"/>
          <w:snapToGrid w:val="0"/>
          <w:lang w:eastAsia="zh-CN"/>
        </w:rPr>
        <w:t>要求。</w:t>
      </w:r>
    </w:p>
    <w:p w14:paraId="77391A10">
      <w:pPr>
        <w:topLinePunct/>
        <w:adjustRightInd w:val="0"/>
        <w:snapToGrid w:val="0"/>
        <w:spacing w:after="224" w:afterLines="75" w:line="288" w:lineRule="auto"/>
        <w:jc w:val="both"/>
        <w:rPr>
          <w:rFonts w:ascii="Arial" w:hAnsi="Arial" w:eastAsia="宋体" w:cs="Arial"/>
          <w:snapToGrid w:val="0"/>
          <w:sz w:val="24"/>
          <w:szCs w:val="29"/>
          <w:lang w:eastAsia="zh-CN"/>
        </w:rPr>
      </w:pPr>
      <w:r>
        <w:rPr>
          <w:rFonts w:ascii="Arial" w:hAnsi="Arial" w:eastAsia="宋体" w:cs="Arial"/>
          <w:snapToGrid w:val="0"/>
          <w:sz w:val="24"/>
          <w:szCs w:val="20"/>
          <w:lang w:eastAsia="zh-CN"/>
        </w:rPr>
        <w:br w:type="page"/>
      </w:r>
    </w:p>
    <w:p w14:paraId="735B2C9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工具盒制造商应仔细分析哪些</w:t>
      </w:r>
      <w:r>
        <w:rPr>
          <w:rFonts w:ascii="Arial" w:hAnsi="Arial" w:eastAsia="宋体" w:cs="Arial"/>
          <w:snapToGrid w:val="0"/>
          <w:lang w:eastAsia="zh-CN"/>
        </w:rPr>
        <w:t>CGMP</w:t>
      </w:r>
      <w:r>
        <w:rPr>
          <w:rFonts w:hint="eastAsia" w:ascii="Arial" w:hAnsi="Arial" w:eastAsia="宋体" w:cs="Arial"/>
          <w:snapToGrid w:val="0"/>
          <w:lang w:eastAsia="zh-CN"/>
        </w:rPr>
        <w:t>要求适用于工具盒。</w:t>
      </w:r>
      <w:r>
        <w:fldChar w:fldCharType="begin"/>
      </w:r>
      <w:r>
        <w:instrText xml:space="preserve"> HYPERLINK \l "_bookmark37" </w:instrText>
      </w:r>
      <w:r>
        <w:fldChar w:fldCharType="separate"/>
      </w:r>
      <w:r>
        <w:rPr>
          <w:rFonts w:ascii="Arial" w:hAnsi="Arial" w:eastAsia="宋体" w:cs="Arial"/>
          <w:snapToGrid w:val="0"/>
          <w:vertAlign w:val="superscript"/>
          <w:lang w:eastAsia="zh-CN"/>
        </w:rPr>
        <w:t>27</w:t>
      </w:r>
      <w:r>
        <w:rPr>
          <w:rFonts w:ascii="Arial" w:hAnsi="Arial" w:eastAsia="宋体" w:cs="Arial"/>
          <w:snapToGrid w:val="0"/>
          <w:vertAlign w:val="superscript"/>
          <w:lang w:eastAsia="zh-CN"/>
        </w:rPr>
        <w:fldChar w:fldCharType="end"/>
      </w:r>
      <w:r>
        <w:rPr>
          <w:rFonts w:hint="eastAsia" w:ascii="Arial" w:hAnsi="Arial" w:eastAsia="宋体" w:cs="Arial"/>
          <w:snapToGrid w:val="0"/>
          <w:lang w:eastAsia="zh-CN"/>
        </w:rPr>
        <w:t>如果一个工具盒包含任何重新包装的、重贴标签的或以其它方式修改后的独立销售产品，那么该工具盒就不是便利工具盒。同样地，如果工具盒制造商提供的工具盒标签改变了某个组成部分的预期用途，那么该工具盒也不是便利工具盒。在这些情况中，制造商需证明符合适用于各组成部分及整个产品的</w:t>
      </w:r>
      <w:r>
        <w:rPr>
          <w:rFonts w:ascii="Arial" w:hAnsi="Arial" w:eastAsia="宋体" w:cs="Arial"/>
          <w:snapToGrid w:val="0"/>
          <w:lang w:eastAsia="zh-CN"/>
        </w:rPr>
        <w:t>CGMP</w:t>
      </w:r>
      <w:r>
        <w:rPr>
          <w:rFonts w:hint="eastAsia" w:ascii="Arial" w:hAnsi="Arial" w:eastAsia="宋体" w:cs="Arial"/>
          <w:snapToGrid w:val="0"/>
          <w:lang w:eastAsia="zh-CN"/>
        </w:rPr>
        <w:t>要求。而且，如果一种器械组成部分在独立销售时免于遵守器械</w:t>
      </w:r>
      <w:r>
        <w:rPr>
          <w:rFonts w:ascii="Arial" w:hAnsi="Arial" w:eastAsia="宋体" w:cs="Arial"/>
          <w:snapToGrid w:val="0"/>
          <w:lang w:eastAsia="zh-CN"/>
        </w:rPr>
        <w:t>QS</w:t>
      </w:r>
      <w:r>
        <w:rPr>
          <w:rFonts w:hint="eastAsia" w:ascii="Arial" w:hAnsi="Arial" w:eastAsia="宋体" w:cs="Arial"/>
          <w:snapToGrid w:val="0"/>
          <w:lang w:eastAsia="zh-CN"/>
        </w:rPr>
        <w:t>规章，但它在工具盒内有新的的预期用途，那么工具盒制造商可能不能声称免于遵守第</w:t>
      </w:r>
      <w:r>
        <w:rPr>
          <w:rFonts w:ascii="Arial" w:hAnsi="Arial" w:eastAsia="宋体" w:cs="Arial"/>
          <w:snapToGrid w:val="0"/>
          <w:lang w:eastAsia="zh-CN"/>
        </w:rPr>
        <w:t>820</w:t>
      </w:r>
      <w:r>
        <w:rPr>
          <w:rFonts w:hint="eastAsia" w:ascii="Arial" w:hAnsi="Arial" w:eastAsia="宋体" w:cs="Arial"/>
          <w:snapToGrid w:val="0"/>
          <w:lang w:eastAsia="zh-CN"/>
        </w:rPr>
        <w:t>部分。</w:t>
      </w:r>
    </w:p>
    <w:p w14:paraId="52805306">
      <w:pPr>
        <w:pStyle w:val="5"/>
        <w:topLinePunct/>
        <w:adjustRightInd w:val="0"/>
        <w:snapToGrid w:val="0"/>
        <w:spacing w:after="224" w:afterLines="75" w:line="288" w:lineRule="auto"/>
        <w:ind w:left="0" w:firstLine="0"/>
        <w:jc w:val="both"/>
        <w:rPr>
          <w:rFonts w:ascii="Arial" w:hAnsi="Arial" w:eastAsia="宋体" w:cs="Arial"/>
          <w:snapToGrid w:val="0"/>
          <w:szCs w:val="14"/>
          <w:lang w:eastAsia="zh-CN"/>
        </w:rPr>
      </w:pPr>
      <w:r>
        <w:rPr>
          <w:rFonts w:hint="eastAsia" w:ascii="Arial" w:hAnsi="Arial" w:eastAsia="宋体" w:cs="Arial"/>
          <w:snapToGrid w:val="0"/>
          <w:lang w:eastAsia="zh-CN"/>
        </w:rPr>
        <w:t>组合包装组合产品制造商，包括便利工具盒制造商，应仔细考虑所有灭菌过程对组合包装内物品的影响。</w:t>
      </w:r>
      <w:r>
        <w:rPr>
          <w:rStyle w:val="17"/>
          <w:rFonts w:ascii="Arial" w:hAnsi="Arial" w:eastAsia="宋体" w:cs="Arial"/>
          <w:snapToGrid w:val="0"/>
          <w:lang w:eastAsia="zh-CN"/>
        </w:rPr>
        <w:footnoteReference w:id="28"/>
      </w:r>
      <w:r>
        <w:rPr>
          <w:rFonts w:hint="eastAsia" w:ascii="Arial" w:hAnsi="Arial" w:eastAsia="宋体" w:cs="Arial"/>
          <w:snapToGrid w:val="0"/>
          <w:lang w:eastAsia="zh-CN"/>
        </w:rPr>
        <w:t>例如，某种组成部分可能对进一步加工敏感，外科缝合线可能属于这种情况。类似地，一些适用于器械的灭菌方法，比如辐照，对很多药物不适用。而且，可能有必要进行其它验证以证实每次重复灭菌后安全性和有效性无退化。例如，制造商应考虑重复灭菌是否影响工具盒内每个产品的稳定性、材料属性和保质期贮藏寿命。还可能需要考虑其它问题，包括灭菌过程的有效性，以确保工具盒内的每种组成部分无菌（视情况而定）。</w:t>
      </w:r>
      <w:r>
        <w:rPr>
          <w:rStyle w:val="17"/>
          <w:rFonts w:ascii="Arial" w:hAnsi="Arial" w:eastAsia="宋体" w:cs="Arial"/>
          <w:snapToGrid w:val="0"/>
          <w:lang w:eastAsia="zh-CN"/>
        </w:rPr>
        <w:footnoteReference w:id="29"/>
      </w:r>
    </w:p>
    <w:p w14:paraId="4BA9766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制造商认为工具盒符合便利工具盒的定义或器械组成部分（及所属工具盒）不应受第820部分要求的约束，那么应将评估记录下来。我们鼓励不确定其工具盒是否为便利工具盒，或对第820部分要求的适用性有疑问的工具盒制造商根据需要联系首要中心或</w:t>
      </w:r>
      <w:r>
        <w:rPr>
          <w:rFonts w:ascii="Arial" w:hAnsi="Arial" w:eastAsia="宋体" w:cs="Arial"/>
          <w:snapToGrid w:val="0"/>
          <w:lang w:eastAsia="zh-CN"/>
        </w:rPr>
        <w:t>OCP</w:t>
      </w:r>
      <w:r>
        <w:rPr>
          <w:rFonts w:hint="eastAsia" w:ascii="Arial" w:hAnsi="Arial" w:eastAsia="宋体" w:cs="Arial"/>
          <w:snapToGrid w:val="0"/>
          <w:lang w:eastAsia="zh-CN"/>
        </w:rPr>
        <w:t>。</w:t>
      </w:r>
    </w:p>
    <w:p w14:paraId="1DC3CFA5">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63" w:name="D._What_CGMP_requirements_apply_to_a_pro"/>
      <w:bookmarkEnd w:id="63"/>
      <w:bookmarkStart w:id="64" w:name="_bookmark40"/>
      <w:bookmarkEnd w:id="64"/>
      <w:bookmarkStart w:id="65" w:name="_Toc498640471"/>
      <w:r>
        <w:rPr>
          <w:rFonts w:hint="eastAsia" w:ascii="Arial" w:hAnsi="Arial" w:eastAsia="宋体" w:cs="Arial"/>
          <w:snapToGrid w:val="0"/>
          <w:sz w:val="24"/>
          <w:lang w:eastAsia="zh-CN"/>
        </w:rPr>
        <w:t>哪些</w:t>
      </w:r>
      <w:r>
        <w:rPr>
          <w:rFonts w:ascii="Arial" w:hAnsi="Arial" w:eastAsia="宋体" w:cs="Arial"/>
          <w:snapToGrid w:val="0"/>
          <w:sz w:val="24"/>
          <w:lang w:eastAsia="zh-CN"/>
        </w:rPr>
        <w:t>CGMP</w:t>
      </w:r>
      <w:r>
        <w:rPr>
          <w:rFonts w:hint="eastAsia" w:ascii="Arial" w:hAnsi="Arial" w:eastAsia="宋体" w:cs="Arial"/>
          <w:snapToGrid w:val="0"/>
          <w:sz w:val="24"/>
          <w:lang w:eastAsia="zh-CN"/>
        </w:rPr>
        <w:t>要求适用于一种产品或机构？</w:t>
      </w:r>
      <w:bookmarkEnd w:id="65"/>
    </w:p>
    <w:p w14:paraId="5225FE49">
      <w:pPr>
        <w:topLinePunct/>
        <w:adjustRightInd w:val="0"/>
        <w:snapToGrid w:val="0"/>
        <w:spacing w:after="224" w:afterLines="75" w:line="288" w:lineRule="auto"/>
        <w:jc w:val="both"/>
        <w:rPr>
          <w:rFonts w:ascii="Arial" w:hAnsi="Arial" w:eastAsia="宋体" w:cs="Arial"/>
          <w:snapToGrid w:val="0"/>
          <w:sz w:val="24"/>
          <w:szCs w:val="24"/>
          <w:lang w:eastAsia="zh-CN"/>
        </w:rPr>
      </w:pPr>
      <w:r>
        <w:rPr>
          <w:rFonts w:hint="eastAsia" w:ascii="Arial" w:hAnsi="Arial" w:eastAsia="宋体" w:cs="Arial"/>
          <w:snapToGrid w:val="0"/>
          <w:lang w:eastAsia="zh-CN"/>
        </w:rPr>
        <w:t>尽管组合产品制造商必须证明符合</w:t>
      </w:r>
      <w:r>
        <w:rPr>
          <w:rFonts w:ascii="Arial" w:hAnsi="Arial" w:eastAsia="宋体" w:cs="Arial"/>
          <w:snapToGrid w:val="0"/>
          <w:lang w:eastAsia="zh-CN"/>
        </w:rPr>
        <w:t>21 CFR 4.3</w:t>
      </w:r>
      <w:r>
        <w:rPr>
          <w:rFonts w:hint="eastAsia" w:ascii="Arial" w:hAnsi="Arial" w:eastAsia="宋体" w:cs="Arial"/>
          <w:snapToGrid w:val="0"/>
          <w:lang w:eastAsia="zh-CN"/>
        </w:rPr>
        <w:t>中适用于其组合产品的所有</w:t>
      </w:r>
      <w:r>
        <w:rPr>
          <w:rFonts w:ascii="Arial" w:hAnsi="Arial" w:eastAsia="宋体" w:cs="Arial"/>
          <w:snapToGrid w:val="0"/>
          <w:lang w:eastAsia="zh-CN"/>
        </w:rPr>
        <w:t>CGMP</w:t>
      </w:r>
      <w:r>
        <w:rPr>
          <w:rFonts w:hint="eastAsia" w:ascii="Arial" w:hAnsi="Arial" w:eastAsia="宋体" w:cs="Arial"/>
          <w:snapToGrid w:val="0"/>
          <w:lang w:eastAsia="zh-CN"/>
        </w:rPr>
        <w:t>条例，但如上面讨论的，他们可通过</w:t>
      </w:r>
      <w:r>
        <w:rPr>
          <w:rFonts w:ascii="Arial" w:hAnsi="Arial" w:eastAsia="宋体" w:cs="Arial"/>
          <w:snapToGrid w:val="0"/>
          <w:lang w:eastAsia="zh-CN"/>
        </w:rPr>
        <w:t>21 CFR 4.4（b）</w:t>
      </w:r>
      <w:r>
        <w:rPr>
          <w:rFonts w:hint="eastAsia" w:ascii="Arial" w:hAnsi="Arial" w:eastAsia="宋体" w:cs="Arial"/>
          <w:snapToGrid w:val="0"/>
          <w:lang w:eastAsia="zh-CN"/>
        </w:rPr>
        <w:t>中的其中一种简化方法证明符合药品</w:t>
      </w:r>
      <w:r>
        <w:rPr>
          <w:rFonts w:hint="eastAsia" w:ascii="Arial" w:hAnsi="Arial" w:eastAsia="宋体" w:cs="Arial"/>
          <w:snapToGrid w:val="0"/>
          <w:sz w:val="24"/>
          <w:szCs w:val="24"/>
          <w:lang w:eastAsia="zh-CN"/>
        </w:rPr>
        <w:t>CGMP和器械</w:t>
      </w:r>
      <w:r>
        <w:rPr>
          <w:rFonts w:ascii="Arial" w:hAnsi="Arial" w:eastAsia="宋体" w:cs="Arial"/>
          <w:snapToGrid w:val="0"/>
          <w:sz w:val="24"/>
          <w:szCs w:val="24"/>
          <w:lang w:eastAsia="zh-CN"/>
        </w:rPr>
        <w:t>QS</w:t>
      </w:r>
      <w:r>
        <w:rPr>
          <w:rFonts w:hint="eastAsia" w:ascii="Arial" w:hAnsi="Arial" w:eastAsia="宋体" w:cs="Arial"/>
          <w:snapToGrid w:val="0"/>
          <w:sz w:val="24"/>
          <w:szCs w:val="24"/>
          <w:lang w:eastAsia="zh-CN"/>
        </w:rPr>
        <w:t>规章要求。而且，并非</w:t>
      </w:r>
      <w:r>
        <w:rPr>
          <w:rFonts w:ascii="Arial" w:hAnsi="Arial" w:eastAsia="宋体" w:cs="Arial"/>
          <w:snapToGrid w:val="0"/>
          <w:sz w:val="24"/>
          <w:szCs w:val="24"/>
          <w:lang w:eastAsia="zh-CN"/>
        </w:rPr>
        <w:t>21 CFR 4.3</w:t>
      </w:r>
      <w:r>
        <w:rPr>
          <w:rFonts w:hint="eastAsia" w:ascii="Arial" w:hAnsi="Arial" w:eastAsia="宋体" w:cs="Arial"/>
          <w:snapToGrid w:val="0"/>
          <w:sz w:val="24"/>
          <w:szCs w:val="24"/>
          <w:lang w:eastAsia="zh-CN"/>
        </w:rPr>
        <w:t>中列出的</w:t>
      </w:r>
      <w:r>
        <w:rPr>
          <w:rFonts w:ascii="Arial" w:hAnsi="Arial" w:eastAsia="宋体" w:cs="Arial"/>
          <w:snapToGrid w:val="0"/>
          <w:sz w:val="24"/>
          <w:szCs w:val="24"/>
          <w:lang w:eastAsia="zh-CN"/>
        </w:rPr>
        <w:t>CGMP</w:t>
      </w:r>
      <w:r>
        <w:rPr>
          <w:rFonts w:hint="eastAsia" w:ascii="Arial" w:hAnsi="Arial" w:eastAsia="宋体" w:cs="Arial"/>
          <w:snapToGrid w:val="0"/>
          <w:sz w:val="24"/>
          <w:szCs w:val="24"/>
          <w:lang w:eastAsia="zh-CN"/>
        </w:rPr>
        <w:t>条例的所有条款都可能适用于一种具体的组合产品或组成部分。</w:t>
      </w:r>
    </w:p>
    <w:p w14:paraId="0197191F">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66" w:name="_bookmark41"/>
      <w:bookmarkEnd w:id="66"/>
      <w:bookmarkStart w:id="67" w:name="_bookmark43"/>
      <w:bookmarkEnd w:id="67"/>
      <w:bookmarkStart w:id="68" w:name="_bookmark42"/>
      <w:bookmarkEnd w:id="68"/>
      <w:r>
        <w:rPr>
          <w:rFonts w:ascii="Arial" w:hAnsi="Arial" w:eastAsia="宋体" w:cs="Arial"/>
          <w:snapToGrid w:val="0"/>
          <w:sz w:val="24"/>
          <w:szCs w:val="20"/>
          <w:lang w:eastAsia="zh-CN"/>
        </w:rPr>
        <w:br w:type="page"/>
      </w:r>
    </w:p>
    <w:p w14:paraId="76F3E2B7">
      <w:pPr>
        <w:pStyle w:val="23"/>
        <w:numPr>
          <w:ilvl w:val="0"/>
          <w:numId w:val="7"/>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lang w:eastAsia="zh-CN"/>
        </w:rPr>
      </w:pPr>
      <w:bookmarkStart w:id="69" w:name="1._Applicability_of_CGMP_requirements_to"/>
      <w:bookmarkEnd w:id="69"/>
      <w:r>
        <w:rPr>
          <w:rFonts w:ascii="Arial" w:hAnsi="Arial" w:eastAsia="宋体" w:cs="Arial"/>
          <w:snapToGrid w:val="0"/>
          <w:lang w:eastAsia="zh-CN"/>
        </w:rPr>
        <w:t>CGMP</w:t>
      </w:r>
      <w:r>
        <w:rPr>
          <w:rFonts w:hint="eastAsia" w:ascii="Arial" w:hAnsi="Arial" w:eastAsia="宋体" w:cs="Arial"/>
          <w:snapToGrid w:val="0"/>
          <w:lang w:eastAsia="zh-CN"/>
        </w:rPr>
        <w:t>要求对产品的适用性</w:t>
      </w:r>
    </w:p>
    <w:p w14:paraId="017B849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本指导性规则的序文说明了哪些</w:t>
      </w:r>
      <w:r>
        <w:rPr>
          <w:rFonts w:ascii="Arial" w:hAnsi="Arial" w:eastAsia="宋体" w:cs="Arial"/>
          <w:snapToGrid w:val="0"/>
          <w:lang w:eastAsia="zh-CN"/>
        </w:rPr>
        <w:t>CGMP</w:t>
      </w:r>
      <w:r>
        <w:rPr>
          <w:rFonts w:hint="eastAsia" w:ascii="Arial" w:hAnsi="Arial" w:eastAsia="宋体" w:cs="Arial"/>
          <w:snapToGrid w:val="0"/>
          <w:lang w:eastAsia="zh-CN"/>
        </w:rPr>
        <w:t>要求适用于哪些组合产品</w:t>
      </w:r>
      <w:r>
        <w:rPr>
          <w:rFonts w:ascii="Arial" w:hAnsi="Arial" w:eastAsia="宋体" w:cs="Arial"/>
          <w:snapToGrid w:val="0"/>
          <w:lang w:eastAsia="zh-CN"/>
        </w:rPr>
        <w:t>（</w:t>
      </w:r>
      <w:r>
        <w:rPr>
          <w:rFonts w:hint="eastAsia" w:ascii="Arial" w:hAnsi="Arial" w:eastAsia="宋体" w:cs="Arial"/>
          <w:snapToGrid w:val="0"/>
          <w:lang w:eastAsia="zh-CN"/>
        </w:rPr>
        <w:t>见</w:t>
      </w:r>
      <w:r>
        <w:rPr>
          <w:rFonts w:ascii="Arial" w:hAnsi="Arial" w:eastAsia="宋体" w:cs="Arial"/>
          <w:snapToGrid w:val="0"/>
          <w:lang w:eastAsia="zh-CN"/>
        </w:rPr>
        <w:t>48426</w:t>
      </w:r>
      <w:r>
        <w:rPr>
          <w:rFonts w:hint="eastAsia" w:ascii="Arial" w:hAnsi="Arial" w:eastAsia="宋体" w:cs="Arial"/>
          <w:snapToGrid w:val="0"/>
          <w:lang w:eastAsia="zh-CN"/>
        </w:rPr>
        <w:t>的</w:t>
      </w:r>
      <w:r>
        <w:rPr>
          <w:rFonts w:ascii="Arial" w:hAnsi="Arial" w:eastAsia="宋体" w:cs="Arial"/>
          <w:snapToGrid w:val="0"/>
          <w:lang w:eastAsia="zh-CN"/>
        </w:rPr>
        <w:t>74 FR）</w:t>
      </w:r>
      <w:r>
        <w:rPr>
          <w:rFonts w:hint="eastAsia" w:ascii="Arial" w:hAnsi="Arial" w:eastAsia="宋体" w:cs="Arial"/>
          <w:snapToGrid w:val="0"/>
          <w:lang w:eastAsia="zh-CN"/>
        </w:rPr>
        <w:t>，注意例如仅非处方</w:t>
      </w:r>
      <w:r>
        <w:rPr>
          <w:rFonts w:ascii="Arial" w:hAnsi="Arial" w:eastAsia="宋体" w:cs="Arial"/>
          <w:snapToGrid w:val="0"/>
          <w:lang w:eastAsia="zh-CN"/>
        </w:rPr>
        <w:t>（OTC）</w:t>
      </w:r>
      <w:r>
        <w:rPr>
          <w:rFonts w:hint="eastAsia" w:ascii="Arial" w:hAnsi="Arial" w:eastAsia="宋体" w:cs="Arial"/>
          <w:snapToGrid w:val="0"/>
          <w:lang w:eastAsia="zh-CN"/>
        </w:rPr>
        <w:t>组合产品必须遵守药品</w:t>
      </w:r>
      <w:r>
        <w:rPr>
          <w:rFonts w:ascii="Arial" w:hAnsi="Arial" w:eastAsia="宋体" w:cs="Arial"/>
          <w:snapToGrid w:val="0"/>
          <w:lang w:eastAsia="zh-CN"/>
        </w:rPr>
        <w:t>CGMP</w:t>
      </w:r>
      <w:r>
        <w:rPr>
          <w:rFonts w:hint="eastAsia" w:ascii="Arial" w:hAnsi="Arial" w:eastAsia="宋体" w:cs="Arial"/>
          <w:snapToGrid w:val="0"/>
          <w:lang w:eastAsia="zh-CN"/>
        </w:rPr>
        <w:t>中的显窃启包装要求且仅包含需安装或需维修器械组成部分的组合产品必须遵守器械</w:t>
      </w:r>
      <w:r>
        <w:rPr>
          <w:rFonts w:ascii="Arial" w:hAnsi="Arial" w:eastAsia="宋体" w:cs="Arial"/>
          <w:snapToGrid w:val="0"/>
          <w:lang w:eastAsia="zh-CN"/>
        </w:rPr>
        <w:t>QS</w:t>
      </w:r>
      <w:r>
        <w:rPr>
          <w:rFonts w:hint="eastAsia" w:ascii="Arial" w:hAnsi="Arial" w:eastAsia="宋体" w:cs="Arial"/>
          <w:snapToGrid w:val="0"/>
          <w:lang w:eastAsia="zh-CN"/>
        </w:rPr>
        <w:t>规章中的安装和维修要求。最终规则的序文解决了对包含生物制剂组成部分组合产品的类似考虑，阐明很多对生物制剂的要求仅适用于特定类型的生物制剂。例如，血液和血液成分受第</w:t>
      </w:r>
      <w:r>
        <w:rPr>
          <w:rFonts w:ascii="Arial" w:hAnsi="Arial" w:eastAsia="宋体" w:cs="Arial"/>
          <w:snapToGrid w:val="0"/>
          <w:lang w:eastAsia="zh-CN"/>
        </w:rPr>
        <w:t>606</w:t>
      </w:r>
      <w:r>
        <w:rPr>
          <w:rFonts w:hint="eastAsia" w:ascii="Arial" w:hAnsi="Arial" w:eastAsia="宋体" w:cs="Arial"/>
          <w:snapToGrid w:val="0"/>
          <w:lang w:eastAsia="zh-CN"/>
        </w:rPr>
        <w:t>部分</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606</w:t>
      </w:r>
      <w:r>
        <w:rPr>
          <w:rFonts w:hint="eastAsia" w:ascii="Arial" w:hAnsi="Arial" w:eastAsia="宋体" w:cs="Arial"/>
          <w:snapToGrid w:val="0"/>
          <w:lang w:eastAsia="zh-CN"/>
        </w:rPr>
        <w:t>部分</w:t>
      </w:r>
      <w:r>
        <w:rPr>
          <w:rFonts w:ascii="Arial" w:hAnsi="Arial" w:eastAsia="宋体" w:cs="Arial"/>
          <w:snapToGrid w:val="0"/>
          <w:lang w:eastAsia="zh-CN"/>
        </w:rPr>
        <w:t>）</w:t>
      </w:r>
      <w:r>
        <w:rPr>
          <w:rFonts w:hint="eastAsia" w:ascii="Arial" w:hAnsi="Arial" w:eastAsia="宋体" w:cs="Arial"/>
          <w:snapToGrid w:val="0"/>
          <w:lang w:eastAsia="zh-CN"/>
        </w:rPr>
        <w:t>中针对此类产品的</w:t>
      </w:r>
      <w:r>
        <w:rPr>
          <w:rFonts w:ascii="Arial" w:hAnsi="Arial" w:eastAsia="宋体" w:cs="Arial"/>
          <w:snapToGrid w:val="0"/>
          <w:lang w:eastAsia="zh-CN"/>
        </w:rPr>
        <w:t>CGMP</w:t>
      </w:r>
      <w:r>
        <w:rPr>
          <w:rFonts w:hint="eastAsia" w:ascii="Arial" w:hAnsi="Arial" w:eastAsia="宋体" w:cs="Arial"/>
          <w:snapToGrid w:val="0"/>
          <w:lang w:eastAsia="zh-CN"/>
        </w:rPr>
        <w:t>要求的约束。此外，利用孢子形成微生物制造的疫苗将受</w:t>
      </w:r>
      <w:r>
        <w:rPr>
          <w:rFonts w:ascii="Arial" w:hAnsi="Arial" w:eastAsia="宋体" w:cs="Arial"/>
          <w:snapToGrid w:val="0"/>
          <w:lang w:eastAsia="zh-CN"/>
        </w:rPr>
        <w:t>21 CFR 600.11（e）（3）</w:t>
      </w:r>
      <w:r>
        <w:rPr>
          <w:rFonts w:hint="eastAsia" w:ascii="Arial" w:hAnsi="Arial" w:eastAsia="宋体" w:cs="Arial"/>
          <w:snapToGrid w:val="0"/>
          <w:lang w:eastAsia="zh-CN"/>
        </w:rPr>
        <w:t>的约束。</w:t>
      </w:r>
    </w:p>
    <w:p w14:paraId="496D32D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类似地，并不是所有</w:t>
      </w:r>
      <w:r>
        <w:rPr>
          <w:rFonts w:ascii="Arial" w:hAnsi="Arial" w:eastAsia="宋体" w:cs="Arial"/>
          <w:snapToGrid w:val="0"/>
          <w:lang w:eastAsia="zh-CN"/>
        </w:rPr>
        <w:t>CGMP</w:t>
      </w:r>
      <w:r>
        <w:rPr>
          <w:rFonts w:hint="eastAsia" w:ascii="Arial" w:hAnsi="Arial" w:eastAsia="宋体" w:cs="Arial"/>
          <w:snapToGrid w:val="0"/>
          <w:lang w:eastAsia="zh-CN"/>
        </w:rPr>
        <w:t>要求都适用于仅执行组合产品特定方面制造活动的机构。如</w:t>
      </w:r>
      <w:r>
        <w:rPr>
          <w:rFonts w:ascii="Arial" w:hAnsi="Arial" w:eastAsia="宋体" w:cs="Arial"/>
          <w:snapToGrid w:val="0"/>
          <w:lang w:eastAsia="zh-CN"/>
        </w:rPr>
        <w:t>21 CFR 210.2（b）</w:t>
      </w:r>
      <w:r>
        <w:rPr>
          <w:rFonts w:hint="eastAsia" w:ascii="Arial" w:hAnsi="Arial" w:eastAsia="宋体" w:cs="Arial"/>
          <w:snapToGrid w:val="0"/>
          <w:lang w:eastAsia="zh-CN"/>
        </w:rPr>
        <w:t>和</w:t>
      </w:r>
      <w:r>
        <w:rPr>
          <w:rFonts w:ascii="Arial" w:hAnsi="Arial" w:eastAsia="宋体" w:cs="Arial"/>
          <w:snapToGrid w:val="0"/>
          <w:lang w:eastAsia="zh-CN"/>
        </w:rPr>
        <w:t>820.1（a）（1）</w:t>
      </w:r>
      <w:r>
        <w:rPr>
          <w:rFonts w:hint="eastAsia" w:ascii="Arial" w:hAnsi="Arial" w:eastAsia="宋体" w:cs="Arial"/>
          <w:snapToGrid w:val="0"/>
          <w:lang w:eastAsia="zh-CN"/>
        </w:rPr>
        <w:t>中所述，仅从事受第210、</w:t>
      </w:r>
      <w:r>
        <w:rPr>
          <w:rFonts w:ascii="Arial" w:hAnsi="Arial" w:eastAsia="宋体" w:cs="Arial"/>
          <w:snapToGrid w:val="0"/>
          <w:lang w:eastAsia="zh-CN"/>
        </w:rPr>
        <w:t>211</w:t>
      </w:r>
      <w:r>
        <w:rPr>
          <w:rFonts w:hint="eastAsia" w:ascii="Arial" w:hAnsi="Arial" w:eastAsia="宋体" w:cs="Arial"/>
          <w:snapToGrid w:val="0"/>
          <w:lang w:eastAsia="zh-CN"/>
        </w:rPr>
        <w:t>、</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680</w:t>
      </w:r>
      <w:r>
        <w:rPr>
          <w:rFonts w:hint="eastAsia" w:ascii="Arial" w:hAnsi="Arial" w:eastAsia="宋体" w:cs="Arial"/>
          <w:snapToGrid w:val="0"/>
          <w:lang w:eastAsia="zh-CN"/>
        </w:rPr>
        <w:t>、</w:t>
      </w:r>
      <w:r>
        <w:rPr>
          <w:rFonts w:ascii="Arial" w:hAnsi="Arial" w:eastAsia="宋体" w:cs="Arial"/>
          <w:snapToGrid w:val="0"/>
          <w:lang w:eastAsia="zh-CN"/>
        </w:rPr>
        <w:t>820</w:t>
      </w:r>
      <w:r>
        <w:rPr>
          <w:rFonts w:hint="eastAsia" w:ascii="Arial" w:hAnsi="Arial" w:eastAsia="宋体" w:cs="Arial"/>
          <w:snapToGrid w:val="0"/>
          <w:lang w:eastAsia="zh-CN"/>
        </w:rPr>
        <w:t>和</w:t>
      </w:r>
      <w:r>
        <w:rPr>
          <w:rFonts w:ascii="Arial" w:hAnsi="Arial" w:eastAsia="宋体" w:cs="Arial"/>
          <w:snapToGrid w:val="0"/>
          <w:lang w:eastAsia="zh-CN"/>
        </w:rPr>
        <w:t>1271</w:t>
      </w:r>
      <w:r>
        <w:rPr>
          <w:rFonts w:hint="eastAsia" w:ascii="Arial" w:hAnsi="Arial" w:eastAsia="宋体" w:cs="Arial"/>
          <w:snapToGrid w:val="0"/>
          <w:lang w:eastAsia="zh-CN"/>
        </w:rPr>
        <w:t>部分中条例约束的某些操作的实体，只需遵守适用于这些操作的条例。例如，如果机构制造的组合包装组合产品包含一种依据药品</w:t>
      </w:r>
      <w:r>
        <w:rPr>
          <w:rFonts w:ascii="Arial" w:hAnsi="Arial" w:eastAsia="宋体" w:cs="Arial"/>
          <w:snapToGrid w:val="0"/>
          <w:lang w:eastAsia="zh-CN"/>
        </w:rPr>
        <w:t>CGMP</w:t>
      </w:r>
      <w:r>
        <w:rPr>
          <w:rFonts w:hint="eastAsia" w:ascii="Arial" w:hAnsi="Arial" w:eastAsia="宋体" w:cs="Arial"/>
          <w:snapToGrid w:val="0"/>
          <w:lang w:eastAsia="zh-CN"/>
        </w:rPr>
        <w:t>制造的成品的、已包装好的且是从另一机构中接收的药品，则无需计算该药品组成部分的产量。</w:t>
      </w:r>
    </w:p>
    <w:p w14:paraId="7E587CEC">
      <w:pPr>
        <w:pStyle w:val="23"/>
        <w:numPr>
          <w:ilvl w:val="0"/>
          <w:numId w:val="7"/>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lang w:eastAsia="zh-CN"/>
        </w:rPr>
      </w:pPr>
      <w:bookmarkStart w:id="70" w:name="2._What_is_the_meaning_of_“where_appropr"/>
      <w:bookmarkEnd w:id="70"/>
      <w:r>
        <w:rPr>
          <w:rFonts w:ascii="Arial" w:hAnsi="Arial" w:eastAsia="宋体" w:cs="Arial"/>
          <w:snapToGrid w:val="0"/>
          <w:lang w:eastAsia="zh-CN"/>
        </w:rPr>
        <w:t>CGMP</w:t>
      </w:r>
      <w:r>
        <w:rPr>
          <w:rFonts w:hint="eastAsia" w:ascii="Arial" w:hAnsi="Arial" w:eastAsia="宋体" w:cs="Arial"/>
          <w:snapToGrid w:val="0"/>
          <w:lang w:eastAsia="zh-CN"/>
        </w:rPr>
        <w:t>，</w:t>
      </w:r>
      <w:r>
        <w:rPr>
          <w:rFonts w:ascii="Arial" w:hAnsi="Arial" w:eastAsia="宋体" w:cs="Arial"/>
          <w:snapToGrid w:val="0"/>
          <w:lang w:eastAsia="zh-CN"/>
        </w:rPr>
        <w:t>QS</w:t>
      </w:r>
      <w:r>
        <w:rPr>
          <w:rFonts w:hint="eastAsia" w:ascii="Arial" w:hAnsi="Arial" w:eastAsia="宋体" w:cs="Arial"/>
          <w:snapToGrid w:val="0"/>
          <w:lang w:eastAsia="zh-CN"/>
        </w:rPr>
        <w:t>和</w:t>
      </w:r>
      <w:r>
        <w:rPr>
          <w:rFonts w:ascii="Arial" w:hAnsi="Arial" w:eastAsia="宋体" w:cs="Arial"/>
          <w:snapToGrid w:val="0"/>
          <w:lang w:eastAsia="zh-CN"/>
        </w:rPr>
        <w:t>CGTP</w:t>
      </w:r>
      <w:r>
        <w:rPr>
          <w:rFonts w:hint="eastAsia" w:ascii="Arial" w:hAnsi="Arial" w:eastAsia="宋体" w:cs="Arial"/>
          <w:snapToGrid w:val="0"/>
          <w:lang w:eastAsia="zh-CN"/>
        </w:rPr>
        <w:t>条例中的</w:t>
      </w:r>
      <w:r>
        <w:rPr>
          <w:rFonts w:hint="eastAsia" w:ascii="宋体" w:hAnsi="宋体" w:eastAsia="宋体" w:cs="Arial"/>
          <w:snapToGrid w:val="0"/>
          <w:lang w:eastAsia="zh-CN"/>
        </w:rPr>
        <w:t>“</w:t>
      </w:r>
      <w:r>
        <w:rPr>
          <w:rFonts w:hint="eastAsia" w:ascii="Arial" w:hAnsi="Arial" w:eastAsia="宋体" w:cs="Arial"/>
          <w:snapToGrid w:val="0"/>
          <w:lang w:eastAsia="zh-CN"/>
        </w:rPr>
        <w:t>适当情况下</w:t>
      </w:r>
      <w:r>
        <w:rPr>
          <w:rFonts w:hint="eastAsia" w:ascii="宋体" w:hAnsi="宋体" w:eastAsia="宋体" w:cs="Arial"/>
          <w:snapToGrid w:val="0"/>
          <w:lang w:eastAsia="zh-CN"/>
        </w:rPr>
        <w:t>”</w:t>
      </w:r>
      <w:r>
        <w:rPr>
          <w:rFonts w:hint="eastAsia" w:ascii="Arial" w:hAnsi="Arial" w:eastAsia="宋体" w:cs="Arial"/>
          <w:snapToGrid w:val="0"/>
          <w:lang w:eastAsia="zh-CN"/>
        </w:rPr>
        <w:t>是什么意思？</w:t>
      </w:r>
    </w:p>
    <w:p w14:paraId="62BEE8D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根据第4部分规定，各公司必须证明符合适用于他们产品和机构的所有条例。然而，药品</w:t>
      </w:r>
      <w:r>
        <w:rPr>
          <w:rFonts w:ascii="Arial" w:hAnsi="Arial" w:eastAsia="宋体" w:cs="Arial"/>
          <w:snapToGrid w:val="0"/>
          <w:lang w:eastAsia="zh-CN"/>
        </w:rPr>
        <w:t>CGMP</w:t>
      </w:r>
      <w:r>
        <w:rPr>
          <w:rFonts w:hint="eastAsia" w:ascii="Arial" w:hAnsi="Arial" w:eastAsia="宋体" w:cs="Arial"/>
          <w:snapToGrid w:val="0"/>
          <w:lang w:eastAsia="zh-CN"/>
        </w:rPr>
        <w:t>、器械QS规章和</w:t>
      </w:r>
      <w:r>
        <w:rPr>
          <w:rFonts w:ascii="Arial" w:hAnsi="Arial" w:eastAsia="宋体" w:cs="Arial"/>
          <w:snapToGrid w:val="0"/>
          <w:lang w:eastAsia="zh-CN"/>
        </w:rPr>
        <w:t>HCT/Ps</w:t>
      </w:r>
      <w:r>
        <w:rPr>
          <w:rFonts w:hint="eastAsia" w:ascii="Arial" w:hAnsi="Arial" w:eastAsia="宋体" w:cs="Arial"/>
          <w:snapToGrid w:val="0"/>
          <w:lang w:eastAsia="zh-CN"/>
        </w:rPr>
        <w:t>的</w:t>
      </w:r>
      <w:r>
        <w:rPr>
          <w:rFonts w:ascii="Arial" w:hAnsi="Arial" w:eastAsia="宋体" w:cs="Arial"/>
          <w:snapToGrid w:val="0"/>
          <w:lang w:eastAsia="zh-CN"/>
        </w:rPr>
        <w:t>CGTP</w:t>
      </w:r>
      <w:r>
        <w:rPr>
          <w:rFonts w:hint="eastAsia" w:ascii="Arial" w:hAnsi="Arial" w:eastAsia="宋体" w:cs="Arial"/>
          <w:snapToGrid w:val="0"/>
          <w:lang w:eastAsia="zh-CN"/>
        </w:rPr>
        <w:t>中使用诸如</w:t>
      </w:r>
      <w:r>
        <w:rPr>
          <w:rFonts w:hint="eastAsia" w:ascii="宋体" w:hAnsi="宋体" w:eastAsia="宋体" w:cs="Arial"/>
          <w:snapToGrid w:val="0"/>
          <w:lang w:eastAsia="zh-CN"/>
        </w:rPr>
        <w:t>“</w:t>
      </w:r>
      <w:r>
        <w:rPr>
          <w:rFonts w:hint="eastAsia" w:ascii="Arial" w:hAnsi="Arial" w:eastAsia="宋体" w:cs="Arial"/>
          <w:snapToGrid w:val="0"/>
          <w:lang w:eastAsia="zh-CN"/>
        </w:rPr>
        <w:t>适当情况下</w:t>
      </w:r>
      <w:r>
        <w:rPr>
          <w:rFonts w:hint="eastAsia" w:ascii="宋体" w:hAnsi="宋体" w:eastAsia="宋体" w:cs="Arial"/>
          <w:snapToGrid w:val="0"/>
          <w:lang w:eastAsia="zh-CN"/>
        </w:rPr>
        <w:t>”</w:t>
      </w:r>
      <w:r>
        <w:rPr>
          <w:rFonts w:hint="eastAsia" w:ascii="Arial" w:hAnsi="Arial" w:eastAsia="宋体" w:cs="Arial"/>
          <w:snapToGrid w:val="0"/>
          <w:lang w:eastAsia="zh-CN"/>
        </w:rPr>
        <w:t>或</w:t>
      </w:r>
      <w:r>
        <w:rPr>
          <w:rFonts w:hint="eastAsia" w:ascii="宋体" w:hAnsi="宋体" w:eastAsia="宋体" w:cs="Arial"/>
          <w:snapToGrid w:val="0"/>
          <w:lang w:eastAsia="zh-CN"/>
        </w:rPr>
        <w:t>“</w:t>
      </w:r>
      <w:r>
        <w:rPr>
          <w:rFonts w:hint="eastAsia" w:ascii="Arial" w:hAnsi="Arial" w:eastAsia="宋体" w:cs="Arial"/>
          <w:snapToGrid w:val="0"/>
          <w:lang w:eastAsia="zh-CN"/>
        </w:rPr>
        <w:t>必要时</w:t>
      </w:r>
      <w:r>
        <w:rPr>
          <w:rFonts w:hint="eastAsia" w:ascii="宋体" w:hAnsi="宋体" w:eastAsia="宋体" w:cs="Arial"/>
          <w:snapToGrid w:val="0"/>
          <w:lang w:eastAsia="zh-CN"/>
        </w:rPr>
        <w:t>”</w:t>
      </w:r>
      <w:r>
        <w:rPr>
          <w:rFonts w:hint="eastAsia" w:ascii="Arial" w:hAnsi="Arial" w:eastAsia="宋体" w:cs="Arial"/>
          <w:snapToGrid w:val="0"/>
          <w:lang w:eastAsia="zh-CN"/>
        </w:rPr>
        <w:t>等语言，承认在某些情况下某些措施可能没有必要或不适用，但在需要时，制造商则必须执行这类措施。这类语言表明各公司有机会决定某项这类措施或方法对某种特定产品或他们正从事的具体制造活动不适用或没有必要并记录依据。</w:t>
      </w:r>
      <w:r>
        <w:rPr>
          <w:rStyle w:val="17"/>
          <w:rFonts w:ascii="Arial" w:hAnsi="Arial" w:eastAsia="宋体" w:cs="Arial"/>
          <w:snapToGrid w:val="0"/>
          <w:lang w:eastAsia="zh-CN"/>
        </w:rPr>
        <w:footnoteReference w:id="30"/>
      </w:r>
      <w:r>
        <w:rPr>
          <w:rFonts w:hint="eastAsia" w:ascii="Arial" w:hAnsi="Arial" w:eastAsia="宋体" w:cs="Arial"/>
          <w:snapToGrid w:val="0"/>
          <w:lang w:eastAsia="zh-CN"/>
        </w:rPr>
        <w:t>这类依据通常应保留在质量体系文件中且根据产品类型和相关上市前提交义务，在执行前可能需要得到机构审核。</w:t>
      </w:r>
    </w:p>
    <w:p w14:paraId="273C6D04">
      <w:pPr>
        <w:topLinePunct/>
        <w:adjustRightInd w:val="0"/>
        <w:snapToGrid w:val="0"/>
        <w:spacing w:after="224" w:afterLines="75" w:line="288" w:lineRule="auto"/>
        <w:jc w:val="both"/>
        <w:rPr>
          <w:rFonts w:ascii="Arial" w:hAnsi="Arial" w:eastAsia="宋体" w:cs="Arial"/>
          <w:snapToGrid w:val="0"/>
          <w:sz w:val="24"/>
          <w:szCs w:val="29"/>
          <w:lang w:eastAsia="zh-CN"/>
        </w:rPr>
      </w:pPr>
      <w:r>
        <w:rPr>
          <w:rFonts w:ascii="Arial" w:hAnsi="Arial" w:eastAsia="宋体" w:cs="Arial"/>
          <w:snapToGrid w:val="0"/>
          <w:sz w:val="24"/>
          <w:szCs w:val="20"/>
          <w:lang w:eastAsia="zh-CN"/>
        </w:rPr>
        <w:br w:type="page"/>
      </w:r>
    </w:p>
    <w:p w14:paraId="1005F4C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例如，</w:t>
      </w:r>
      <w:r>
        <w:rPr>
          <w:rFonts w:ascii="Arial" w:hAnsi="Arial" w:eastAsia="宋体" w:cs="Arial"/>
          <w:snapToGrid w:val="0"/>
          <w:lang w:eastAsia="zh-CN"/>
        </w:rPr>
        <w:t>21 CFR 820.30（i）</w:t>
      </w:r>
      <w:r>
        <w:rPr>
          <w:rFonts w:hint="eastAsia" w:ascii="Arial" w:hAnsi="Arial" w:eastAsia="宋体" w:cs="Arial"/>
          <w:snapToGrid w:val="0"/>
          <w:lang w:eastAsia="zh-CN"/>
        </w:rPr>
        <w:t>规定每个制造商建立</w:t>
      </w:r>
      <w:r>
        <w:rPr>
          <w:rStyle w:val="17"/>
          <w:rFonts w:ascii="Arial" w:hAnsi="Arial" w:eastAsia="宋体" w:cs="Arial"/>
          <w:snapToGrid w:val="0"/>
          <w:lang w:eastAsia="zh-CN"/>
        </w:rPr>
        <w:footnoteReference w:id="31"/>
      </w:r>
      <w:r>
        <w:rPr>
          <w:rFonts w:hint="eastAsia" w:ascii="Arial" w:hAnsi="Arial" w:eastAsia="宋体" w:cs="Arial"/>
          <w:snapToGrid w:val="0"/>
          <w:lang w:eastAsia="zh-CN"/>
        </w:rPr>
        <w:t>并维护</w:t>
      </w:r>
      <w:r>
        <w:rPr>
          <w:rFonts w:hint="eastAsia" w:ascii="宋体" w:hAnsi="宋体" w:eastAsia="宋体" w:cs="Arial"/>
          <w:snapToGrid w:val="0"/>
          <w:lang w:eastAsia="zh-CN"/>
        </w:rPr>
        <w:t>“</w:t>
      </w:r>
      <w:r>
        <w:rPr>
          <w:rFonts w:hint="eastAsia" w:ascii="Arial" w:hAnsi="Arial" w:eastAsia="宋体" w:cs="Arial"/>
          <w:snapToGrid w:val="0"/>
          <w:lang w:eastAsia="zh-CN"/>
        </w:rPr>
        <w:t>执行前鉴定、记录、确认或适当情况下验证、审核和批准设计变更</w:t>
      </w:r>
      <w:r>
        <w:rPr>
          <w:rFonts w:hint="eastAsia" w:ascii="宋体" w:hAnsi="宋体" w:eastAsia="宋体" w:cs="Arial"/>
          <w:snapToGrid w:val="0"/>
          <w:lang w:eastAsia="zh-CN"/>
        </w:rPr>
        <w:t>”</w:t>
      </w:r>
      <w:r>
        <w:rPr>
          <w:rFonts w:hint="eastAsia" w:ascii="Arial" w:hAnsi="Arial" w:eastAsia="宋体" w:cs="Arial"/>
          <w:snapToGrid w:val="0"/>
          <w:lang w:eastAsia="zh-CN"/>
        </w:rPr>
        <w:t>的程序（着重强调）。设计变更，比如材料属性或尺寸规格变更，如果可通过适当的测量和测试方法得到验证，则可能不需要确认。然而，可能影响用户需要的变更，比如用户界面变更，可能需要确认。类似地，第211部分要求在</w:t>
      </w:r>
      <w:r>
        <w:rPr>
          <w:rFonts w:hint="eastAsia" w:ascii="宋体" w:hAnsi="宋体" w:eastAsia="宋体" w:cs="Arial"/>
          <w:snapToGrid w:val="0"/>
          <w:lang w:eastAsia="zh-CN"/>
        </w:rPr>
        <w:t>“</w:t>
      </w:r>
      <w:r>
        <w:rPr>
          <w:rFonts w:hint="eastAsia" w:ascii="Arial" w:hAnsi="Arial" w:eastAsia="宋体" w:cs="Arial"/>
          <w:snapToGrid w:val="0"/>
          <w:lang w:eastAsia="zh-CN"/>
        </w:rPr>
        <w:t>适当时</w:t>
      </w:r>
      <w:r>
        <w:rPr>
          <w:rFonts w:hint="eastAsia" w:ascii="宋体" w:hAnsi="宋体" w:eastAsia="宋体" w:cs="Arial"/>
          <w:snapToGrid w:val="0"/>
          <w:lang w:eastAsia="zh-CN"/>
        </w:rPr>
        <w:t>”</w:t>
      </w:r>
      <w:r>
        <w:rPr>
          <w:rFonts w:hint="eastAsia" w:ascii="Arial" w:hAnsi="Arial" w:eastAsia="宋体" w:cs="Arial"/>
          <w:snapToGrid w:val="0"/>
          <w:lang w:eastAsia="zh-CN"/>
        </w:rPr>
        <w:t>履行某些义务</w:t>
      </w:r>
      <w:r>
        <w:rPr>
          <w:rFonts w:ascii="Arial" w:hAnsi="Arial" w:eastAsia="宋体" w:cs="Arial"/>
          <w:snapToGrid w:val="0"/>
          <w:lang w:eastAsia="zh-CN"/>
        </w:rPr>
        <w:t>（</w:t>
      </w:r>
      <w:r>
        <w:rPr>
          <w:rFonts w:hint="eastAsia" w:ascii="Arial" w:hAnsi="Arial" w:eastAsia="宋体" w:cs="Arial"/>
          <w:snapToGrid w:val="0"/>
          <w:lang w:eastAsia="zh-CN"/>
        </w:rPr>
        <w:t>例如</w:t>
      </w:r>
      <w:r>
        <w:rPr>
          <w:rFonts w:ascii="Arial" w:hAnsi="Arial" w:eastAsia="宋体" w:cs="Arial"/>
          <w:snapToGrid w:val="0"/>
          <w:lang w:eastAsia="zh-CN"/>
        </w:rPr>
        <w:t>21 CFR 211.84（a）</w:t>
      </w:r>
      <w:r>
        <w:rPr>
          <w:rFonts w:hint="eastAsia" w:ascii="Arial" w:hAnsi="Arial" w:eastAsia="宋体" w:cs="Arial"/>
          <w:snapToGrid w:val="0"/>
          <w:lang w:eastAsia="zh-CN"/>
        </w:rPr>
        <w:t xml:space="preserve">规定质量控制部门发放药品前要对成分、容器和密封件进行抽样、测试或检查）。例如，如果目视检查足以评价容器的关键属性，则可能不需要对其测试。 </w:t>
      </w:r>
    </w:p>
    <w:p w14:paraId="16E92613">
      <w:pPr>
        <w:pStyle w:val="23"/>
        <w:numPr>
          <w:ilvl w:val="0"/>
          <w:numId w:val="7"/>
        </w:numPr>
        <w:tabs>
          <w:tab w:val="left" w:pos="1200"/>
        </w:tabs>
        <w:topLinePunct/>
        <w:adjustRightInd w:val="0"/>
        <w:snapToGrid w:val="0"/>
        <w:spacing w:after="224" w:afterLines="75" w:line="288" w:lineRule="auto"/>
        <w:ind w:left="1218" w:leftChars="327" w:hanging="499" w:hangingChars="207"/>
        <w:jc w:val="both"/>
        <w:outlineLvl w:val="9"/>
        <w:rPr>
          <w:rFonts w:ascii="Arial" w:hAnsi="Arial" w:eastAsia="宋体" w:cs="Arial"/>
          <w:b w:val="0"/>
          <w:bCs w:val="0"/>
          <w:i w:val="0"/>
          <w:snapToGrid w:val="0"/>
          <w:lang w:eastAsia="zh-CN"/>
        </w:rPr>
      </w:pPr>
      <w:bookmarkStart w:id="71" w:name="3._What_CGMP_responsibilities_apply_to_s"/>
      <w:bookmarkEnd w:id="71"/>
      <w:r>
        <w:rPr>
          <w:rFonts w:hint="eastAsia" w:ascii="Arial" w:hAnsi="Arial" w:eastAsia="宋体" w:cs="Arial"/>
          <w:snapToGrid w:val="0"/>
          <w:lang w:eastAsia="zh-CN"/>
        </w:rPr>
        <w:t>哪些</w:t>
      </w:r>
      <w:r>
        <w:rPr>
          <w:rFonts w:ascii="Arial" w:hAnsi="Arial" w:eastAsia="宋体" w:cs="Arial"/>
          <w:snapToGrid w:val="0"/>
          <w:lang w:eastAsia="zh-CN"/>
        </w:rPr>
        <w:t>CGMP</w:t>
      </w:r>
      <w:r>
        <w:rPr>
          <w:rFonts w:hint="eastAsia" w:ascii="Arial" w:hAnsi="Arial" w:eastAsia="宋体" w:cs="Arial"/>
          <w:snapToGrid w:val="0"/>
          <w:lang w:eastAsia="zh-CN"/>
        </w:rPr>
        <w:t>责任适用于具体制造商和机构，以及如何实现设备间CGMP的协调？</w:t>
      </w:r>
    </w:p>
    <w:p w14:paraId="61C16D7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制造组合产品组成部分或完整组合产品的机构必须遵守适用于该机构内发生的各制造过程的</w:t>
      </w:r>
      <w:r>
        <w:rPr>
          <w:rFonts w:ascii="Arial" w:hAnsi="Arial" w:eastAsia="宋体" w:cs="Arial"/>
          <w:snapToGrid w:val="0"/>
          <w:lang w:eastAsia="zh-CN"/>
        </w:rPr>
        <w:t>CGMP</w:t>
      </w:r>
      <w:r>
        <w:rPr>
          <w:rFonts w:hint="eastAsia" w:ascii="Arial" w:hAnsi="Arial" w:eastAsia="宋体" w:cs="Arial"/>
          <w:snapToGrid w:val="0"/>
          <w:lang w:eastAsia="zh-CN"/>
        </w:rPr>
        <w:t>要求。此外，即使不直接参与产品制造，组合产品所有人（</w:t>
      </w:r>
      <w:bookmarkStart w:id="72" w:name="OLE_LINK37"/>
      <w:bookmarkStart w:id="73" w:name="OLE_LINK50"/>
      <w:r>
        <w:rPr>
          <w:rFonts w:hint="eastAsia" w:ascii="Arial" w:hAnsi="Arial" w:eastAsia="宋体" w:cs="Arial"/>
          <w:snapToGrid w:val="0"/>
          <w:lang w:eastAsia="zh-CN"/>
        </w:rPr>
        <w:t>产品上市许可持有</w:t>
      </w:r>
      <w:bookmarkEnd w:id="72"/>
      <w:bookmarkEnd w:id="73"/>
      <w:r>
        <w:rPr>
          <w:rFonts w:hint="eastAsia" w:ascii="Arial" w:hAnsi="Arial" w:eastAsia="宋体" w:cs="Arial"/>
          <w:snapToGrid w:val="0"/>
          <w:lang w:eastAsia="zh-CN"/>
        </w:rPr>
        <w:t>人）仍保留产品的全部责任。如下面概述的，质量协议和质量审核可帮助保证符合适用的</w:t>
      </w:r>
      <w:r>
        <w:rPr>
          <w:rFonts w:ascii="Arial" w:hAnsi="Arial" w:eastAsia="宋体" w:cs="Arial"/>
          <w:snapToGrid w:val="0"/>
          <w:lang w:eastAsia="zh-CN"/>
        </w:rPr>
        <w:t>CGMP</w:t>
      </w:r>
      <w:r>
        <w:rPr>
          <w:rFonts w:hint="eastAsia" w:ascii="Arial" w:hAnsi="Arial" w:eastAsia="宋体" w:cs="Arial"/>
          <w:snapToGrid w:val="0"/>
          <w:lang w:eastAsia="zh-CN"/>
        </w:rPr>
        <w:t>要求。</w:t>
      </w:r>
    </w:p>
    <w:p w14:paraId="1FE1EDA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仅制造预期成为组合产品组成部分的成品器械的机构（即不参与组合产品的任何其它制造）仅须遵守器械</w:t>
      </w:r>
      <w:r>
        <w:rPr>
          <w:rFonts w:ascii="Arial" w:hAnsi="Arial" w:eastAsia="宋体" w:cs="Arial"/>
          <w:snapToGrid w:val="0"/>
          <w:lang w:eastAsia="zh-CN"/>
        </w:rPr>
        <w:t>QS</w:t>
      </w:r>
      <w:r>
        <w:rPr>
          <w:rFonts w:hint="eastAsia" w:ascii="Arial" w:hAnsi="Arial" w:eastAsia="宋体" w:cs="Arial"/>
          <w:snapToGrid w:val="0"/>
          <w:lang w:eastAsia="zh-CN"/>
        </w:rPr>
        <w:t>规章。类似地，仅制造预期成为组合产品组成部分的药品的机构（即不参与组合产品的任何其它制造）仅须遵守药品</w:t>
      </w:r>
      <w:r>
        <w:rPr>
          <w:rFonts w:ascii="Arial" w:hAnsi="Arial" w:eastAsia="宋体" w:cs="Arial"/>
          <w:snapToGrid w:val="0"/>
          <w:lang w:eastAsia="zh-CN"/>
        </w:rPr>
        <w:t>CGMP</w:t>
      </w:r>
      <w:r>
        <w:rPr>
          <w:rFonts w:hint="eastAsia" w:ascii="Arial" w:hAnsi="Arial" w:eastAsia="宋体" w:cs="Arial"/>
          <w:snapToGrid w:val="0"/>
          <w:lang w:eastAsia="zh-CN"/>
        </w:rPr>
        <w:t>。即使一个机构仅制造组合产品的一种类型组成部分，</w:t>
      </w:r>
      <w:r>
        <w:rPr>
          <w:rFonts w:ascii="Arial" w:hAnsi="Arial" w:eastAsia="宋体" w:cs="Arial"/>
          <w:snapToGrid w:val="0"/>
          <w:lang w:eastAsia="zh-CN"/>
        </w:rPr>
        <w:t>CGMP</w:t>
      </w:r>
      <w:r>
        <w:rPr>
          <w:rFonts w:hint="eastAsia" w:ascii="Arial" w:hAnsi="Arial" w:eastAsia="宋体" w:cs="Arial"/>
          <w:snapToGrid w:val="0"/>
          <w:lang w:eastAsia="zh-CN"/>
        </w:rPr>
        <w:t>操作系统仍应考虑组合产品作为整体的注意事项（适用时）。在对组成部分的制造工艺做出变更前，</w:t>
      </w:r>
      <w:r>
        <w:rPr>
          <w:rFonts w:ascii="Arial" w:hAnsi="Arial" w:eastAsia="宋体" w:cs="Arial"/>
          <w:snapToGrid w:val="0"/>
          <w:lang w:eastAsia="zh-CN"/>
        </w:rPr>
        <w:t>CGMP</w:t>
      </w:r>
      <w:r>
        <w:rPr>
          <w:rFonts w:hint="eastAsia" w:ascii="Arial" w:hAnsi="Arial" w:eastAsia="宋体" w:cs="Arial"/>
          <w:snapToGrid w:val="0"/>
          <w:lang w:eastAsia="zh-CN"/>
        </w:rPr>
        <w:t>操作系统应确保考虑此类变更是否会影响该组成部分的性能和／或与其它组成部分的相互作用，如果是，还需考虑组合产品的安全性和有效性是否会受影响。与组成部分制造商的质量协议是确保组成部分变更对组合产品制造商或其所有人公开透明的一种方法。</w:t>
      </w:r>
    </w:p>
    <w:p w14:paraId="21CDA1BB">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某些</w:t>
      </w:r>
      <w:r>
        <w:rPr>
          <w:rFonts w:ascii="Arial" w:hAnsi="Arial" w:eastAsia="宋体" w:cs="Arial"/>
          <w:snapToGrid w:val="0"/>
          <w:lang w:eastAsia="zh-CN"/>
        </w:rPr>
        <w:t>CGMP</w:t>
      </w:r>
      <w:r>
        <w:rPr>
          <w:rFonts w:hint="eastAsia" w:ascii="Arial" w:hAnsi="Arial" w:eastAsia="宋体" w:cs="Arial"/>
          <w:snapToGrid w:val="0"/>
          <w:lang w:eastAsia="zh-CN"/>
        </w:rPr>
        <w:t>要求是对整体产品的要求，比如设计控制，某些要求将整体制造工艺作为首要考虑，比如</w:t>
      </w:r>
      <w:r>
        <w:rPr>
          <w:rFonts w:ascii="Arial" w:hAnsi="Arial" w:eastAsia="宋体" w:cs="Arial"/>
          <w:snapToGrid w:val="0"/>
          <w:lang w:eastAsia="zh-CN"/>
        </w:rPr>
        <w:t>CAPA</w:t>
      </w:r>
      <w:r>
        <w:rPr>
          <w:rFonts w:hint="eastAsia" w:ascii="Arial" w:hAnsi="Arial" w:eastAsia="宋体" w:cs="Arial"/>
          <w:snapToGrid w:val="0"/>
          <w:lang w:eastAsia="zh-CN"/>
        </w:rPr>
        <w:t>要求。以一个收集输入</w:t>
      </w:r>
      <w:r>
        <w:rPr>
          <w:rFonts w:ascii="Arial" w:hAnsi="Arial" w:eastAsia="宋体" w:cs="Arial"/>
          <w:snapToGrid w:val="0"/>
          <w:lang w:eastAsia="zh-CN"/>
        </w:rPr>
        <w:t>CAPA</w:t>
      </w:r>
      <w:r>
        <w:rPr>
          <w:rFonts w:hint="eastAsia" w:ascii="Arial" w:hAnsi="Arial" w:eastAsia="宋体" w:cs="Arial"/>
          <w:snapToGrid w:val="0"/>
          <w:lang w:eastAsia="zh-CN"/>
        </w:rPr>
        <w:t>系统中的组合产品不合规数据的制造机构为例。如果检测到需要变更产品设计或工艺设计的问题，该变更可能要求改变另一机构中的制造活动，否则制定或执行变更的专业技术可能存留在另一机构中。类似地，仅处理客户电话的机构可能给负责所有质量数据趋势和管理</w:t>
      </w:r>
      <w:r>
        <w:rPr>
          <w:rFonts w:ascii="Arial" w:hAnsi="Arial" w:eastAsia="宋体" w:cs="Arial"/>
          <w:snapToGrid w:val="0"/>
          <w:lang w:eastAsia="zh-CN"/>
        </w:rPr>
        <w:t>CAPA</w:t>
      </w:r>
      <w:r>
        <w:rPr>
          <w:rFonts w:hint="eastAsia" w:ascii="Arial" w:hAnsi="Arial" w:eastAsia="宋体" w:cs="Arial"/>
          <w:snapToGrid w:val="0"/>
          <w:lang w:eastAsia="zh-CN"/>
        </w:rPr>
        <w:t>系统的另一机构提供相关投诉数据。各机构共同分享的</w:t>
      </w:r>
      <w:r>
        <w:rPr>
          <w:rFonts w:ascii="Arial" w:hAnsi="Arial" w:eastAsia="宋体" w:cs="Arial"/>
          <w:snapToGrid w:val="0"/>
          <w:lang w:eastAsia="zh-CN"/>
        </w:rPr>
        <w:t>CAPA</w:t>
      </w:r>
      <w:r>
        <w:rPr>
          <w:rFonts w:hint="eastAsia" w:ascii="Arial" w:hAnsi="Arial" w:eastAsia="宋体" w:cs="Arial"/>
          <w:snapToGrid w:val="0"/>
          <w:lang w:eastAsia="zh-CN"/>
        </w:rPr>
        <w:t>系统，或互相之间有既定联系的各机构指定</w:t>
      </w:r>
      <w:r>
        <w:rPr>
          <w:rFonts w:ascii="Arial" w:hAnsi="Arial" w:eastAsia="宋体" w:cs="Arial"/>
          <w:snapToGrid w:val="0"/>
          <w:lang w:eastAsia="zh-CN"/>
        </w:rPr>
        <w:t>CAPA</w:t>
      </w:r>
      <w:r>
        <w:rPr>
          <w:rFonts w:hint="eastAsia" w:ascii="Arial" w:hAnsi="Arial" w:eastAsia="宋体" w:cs="Arial"/>
          <w:snapToGrid w:val="0"/>
          <w:lang w:eastAsia="zh-CN"/>
        </w:rPr>
        <w:t>系统，可能有助于处理需要多机构合作的问题。无论采用哪种方法，</w:t>
      </w:r>
      <w:r>
        <w:rPr>
          <w:rFonts w:ascii="Arial" w:hAnsi="Arial" w:eastAsia="宋体" w:cs="Arial"/>
          <w:snapToGrid w:val="0"/>
          <w:lang w:eastAsia="zh-CN"/>
        </w:rPr>
        <w:t>CAPA</w:t>
      </w:r>
      <w:r>
        <w:rPr>
          <w:rFonts w:hint="eastAsia" w:ascii="Arial" w:hAnsi="Arial" w:eastAsia="宋体" w:cs="Arial"/>
          <w:snapToGrid w:val="0"/>
          <w:lang w:eastAsia="zh-CN"/>
        </w:rPr>
        <w:t>系统都应允许信息在各机构和组合产品制造商之间充分流动并适当调查和解决确定的</w:t>
      </w:r>
      <w:r>
        <w:rPr>
          <w:rFonts w:ascii="Arial" w:hAnsi="Arial" w:eastAsia="宋体" w:cs="Arial"/>
          <w:snapToGrid w:val="0"/>
          <w:lang w:eastAsia="zh-CN"/>
        </w:rPr>
        <w:t>CAPA</w:t>
      </w:r>
      <w:r>
        <w:rPr>
          <w:rFonts w:hint="eastAsia" w:ascii="Arial" w:hAnsi="Arial" w:eastAsia="宋体" w:cs="Arial"/>
          <w:snapToGrid w:val="0"/>
          <w:lang w:eastAsia="zh-CN"/>
        </w:rPr>
        <w:t>问题。</w:t>
      </w:r>
    </w:p>
    <w:p w14:paraId="78FDB91B">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7B98A61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发生在多个机构的制造活动和相关</w:t>
      </w:r>
      <w:r>
        <w:rPr>
          <w:rFonts w:ascii="Arial" w:hAnsi="Arial" w:eastAsia="宋体" w:cs="Arial"/>
          <w:snapToGrid w:val="0"/>
          <w:lang w:eastAsia="zh-CN"/>
        </w:rPr>
        <w:t>CGMP</w:t>
      </w:r>
      <w:r>
        <w:rPr>
          <w:rFonts w:hint="eastAsia" w:ascii="Arial" w:hAnsi="Arial" w:eastAsia="宋体" w:cs="Arial"/>
          <w:snapToGrid w:val="0"/>
          <w:lang w:eastAsia="zh-CN"/>
        </w:rPr>
        <w:t>操作系统应恰当配合。各组合产品制造机构都应有具体说明其职责的文件，且成品组合产品制造商应可获得该文件。例如，如果成品组合产品制造商委托技术规格开发者设计成品产品，该制造商应持有设计控制记录或可获得这些记录（如果它们在技术规格制定者手中）。此外，制造商应保证技术规格开发者维持有合理的的设计控制系统。另举一例，如果产品测试发生在委托测试机构中，成品组合产品制造商应持有所进行测试和在委托机构中应用的控制措施的文件记录，或者或能够获得这些文件记录（如果其在委托机构手中）。相应地，制造商应解决获得这类记录的途径和其它问题，作为供应商评价和监督的一部分。</w:t>
      </w:r>
    </w:p>
    <w:p w14:paraId="16306F5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为确保组合产品的所有制造机构</w:t>
      </w:r>
      <w:r>
        <w:rPr>
          <w:rFonts w:ascii="Arial" w:hAnsi="Arial" w:eastAsia="宋体" w:cs="Arial"/>
          <w:snapToGrid w:val="0"/>
          <w:lang w:eastAsia="zh-CN"/>
        </w:rPr>
        <w:t>CGMP</w:t>
      </w:r>
      <w:r>
        <w:rPr>
          <w:rFonts w:hint="eastAsia" w:ascii="Arial" w:hAnsi="Arial" w:eastAsia="宋体" w:cs="Arial"/>
          <w:snapToGrid w:val="0"/>
          <w:lang w:eastAsia="zh-CN"/>
        </w:rPr>
        <w:t>合规，可采取的措施包括审计和其它监督活动。例如，当有多个机构参与制造过程时，所有人可通过协调各机构间的互动，包括与各机构和供应商达成全面质量协议，来促进</w:t>
      </w:r>
      <w:r>
        <w:rPr>
          <w:rFonts w:ascii="Arial" w:hAnsi="Arial" w:eastAsia="宋体" w:cs="Arial"/>
          <w:snapToGrid w:val="0"/>
          <w:lang w:eastAsia="zh-CN"/>
        </w:rPr>
        <w:t>CGMP</w:t>
      </w:r>
      <w:r>
        <w:rPr>
          <w:rFonts w:hint="eastAsia" w:ascii="Arial" w:hAnsi="Arial" w:eastAsia="宋体" w:cs="Arial"/>
          <w:snapToGrid w:val="0"/>
          <w:lang w:eastAsia="zh-CN"/>
        </w:rPr>
        <w:t>合规。例如，这些质量协议可指定将执行活动的机构，并开发和维护证明符合特定</w:t>
      </w:r>
      <w:r>
        <w:rPr>
          <w:rFonts w:ascii="Arial" w:hAnsi="Arial" w:eastAsia="宋体" w:cs="Arial"/>
          <w:snapToGrid w:val="0"/>
          <w:lang w:eastAsia="zh-CN"/>
        </w:rPr>
        <w:t>CGMP</w:t>
      </w:r>
      <w:r>
        <w:rPr>
          <w:rFonts w:hint="eastAsia" w:ascii="Arial" w:hAnsi="Arial" w:eastAsia="宋体" w:cs="Arial"/>
          <w:snapToGrid w:val="0"/>
          <w:lang w:eastAsia="zh-CN"/>
        </w:rPr>
        <w:t>要求所需文件（例如基于各机构所实施的制造活动）。这些协议也可能对机构为确保符合</w:t>
      </w:r>
      <w:r>
        <w:rPr>
          <w:rFonts w:ascii="Arial" w:hAnsi="Arial" w:eastAsia="宋体" w:cs="Arial"/>
          <w:snapToGrid w:val="0"/>
          <w:lang w:eastAsia="zh-CN"/>
        </w:rPr>
        <w:t>CGMP</w:t>
      </w:r>
      <w:r>
        <w:rPr>
          <w:rFonts w:hint="eastAsia" w:ascii="Arial" w:hAnsi="Arial" w:eastAsia="宋体" w:cs="Arial"/>
          <w:snapToGrid w:val="0"/>
          <w:lang w:eastAsia="zh-CN"/>
        </w:rPr>
        <w:t>要求而将采取的措施和所有人为该机构规定的所有其它相关职责进行详述。例如，所有人可把最终组合产品的制造承包给一个委托制造机构，并在供应商协议中详述该机构的</w:t>
      </w:r>
      <w:r>
        <w:rPr>
          <w:rFonts w:ascii="Arial" w:hAnsi="Arial" w:eastAsia="宋体" w:cs="Arial"/>
          <w:snapToGrid w:val="0"/>
          <w:lang w:eastAsia="zh-CN"/>
        </w:rPr>
        <w:t>CGMP</w:t>
      </w:r>
      <w:r>
        <w:rPr>
          <w:rFonts w:hint="eastAsia" w:ascii="Arial" w:hAnsi="Arial" w:eastAsia="宋体" w:cs="Arial"/>
          <w:snapToGrid w:val="0"/>
          <w:lang w:eastAsia="zh-CN"/>
        </w:rPr>
        <w:t>职责和应采取的方法。</w:t>
      </w:r>
    </w:p>
    <w:p w14:paraId="5E2BB9E9">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74" w:name="_bookmark46"/>
      <w:bookmarkEnd w:id="74"/>
      <w:bookmarkStart w:id="75" w:name="E._Control_of_changes_to_a_combination_p"/>
      <w:bookmarkEnd w:id="75"/>
      <w:bookmarkStart w:id="76" w:name="_Toc498640472"/>
      <w:r>
        <w:rPr>
          <w:rFonts w:hint="eastAsia" w:ascii="Arial" w:hAnsi="Arial" w:eastAsia="宋体" w:cs="Arial"/>
          <w:snapToGrid w:val="0"/>
          <w:sz w:val="24"/>
          <w:lang w:eastAsia="zh-CN"/>
        </w:rPr>
        <w:t>组合产品变更的控制程序</w:t>
      </w:r>
      <w:bookmarkEnd w:id="76"/>
    </w:p>
    <w:p w14:paraId="60E4F5E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尽管不是组合产品特有的问题，但参与组合产品制造的各制造商之间的变更协调仍是一个重要的</w:t>
      </w:r>
      <w:r>
        <w:rPr>
          <w:rFonts w:ascii="Arial" w:hAnsi="Arial" w:eastAsia="宋体" w:cs="Arial"/>
          <w:snapToGrid w:val="0"/>
          <w:lang w:eastAsia="zh-CN"/>
        </w:rPr>
        <w:t>CGMP</w:t>
      </w:r>
      <w:r>
        <w:rPr>
          <w:rFonts w:hint="eastAsia" w:ascii="Arial" w:hAnsi="Arial" w:eastAsia="宋体" w:cs="Arial"/>
          <w:snapToGrid w:val="0"/>
          <w:lang w:eastAsia="zh-CN"/>
        </w:rPr>
        <w:t>问题。应适当考虑组合产品或其组成部分变更可能对组合产品造成的任何可能的安全性和有效性问题。</w:t>
      </w:r>
    </w:p>
    <w:p w14:paraId="0C11122E">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820.50</w:t>
      </w:r>
      <w:r>
        <w:rPr>
          <w:rFonts w:hint="eastAsia" w:ascii="Arial" w:hAnsi="Arial" w:eastAsia="宋体" w:cs="Arial"/>
          <w:snapToGrid w:val="0"/>
          <w:lang w:eastAsia="zh-CN"/>
        </w:rPr>
        <w:t>，单个实体和组合包装组合产品制造商必须与他们的供应商，承包商和咨询顾问建立协议，以接收（可能情况下的）产品变更或服务变更通知。如果变更可能影响下游制造工艺或组合产品本身的质量，那么该通知应说明供应商对其工艺或它制造的产品（包括API，其它药物成分，或容器密封系统）做出的变更。这些组合产品制造商也应建立成分、容器／密封件和组成部分的验收程序，以确保在把它们并入最终组合产品前对对组合产品的安全性或有效性的所有至关重要的变更进行检测和评价。</w:t>
      </w:r>
      <w:r>
        <w:rPr>
          <w:rStyle w:val="17"/>
          <w:rFonts w:ascii="Arial" w:hAnsi="Arial" w:eastAsia="宋体" w:cs="Arial"/>
          <w:snapToGrid w:val="0"/>
          <w:lang w:eastAsia="zh-CN"/>
        </w:rPr>
        <w:footnoteReference w:id="32"/>
      </w:r>
    </w:p>
    <w:p w14:paraId="36B1D417">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7B64361B">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类似地，如果一个实体制造交叉标签组合产品的一种组成部分，另一实体制造另一种组成部分，那么两个实体均应设立程序，通知彼此可能影响组合产品安全性或有效性的变更，并证实各自组成部分的规格仍适当或已按需更新规格，以确保组合产品仍安全有效。例如，交叉组合产品的药品组成部分的变更可能导致需要对器械组成部分做出设计变更，以保持组合产品安全有效。相应地，知晓和评估药品变更以决定是否需要对该组合产品的器械组成部分做出变更，对于满足</w:t>
      </w:r>
      <w:r>
        <w:rPr>
          <w:rFonts w:ascii="Arial" w:hAnsi="Arial" w:eastAsia="宋体" w:cs="Arial"/>
          <w:snapToGrid w:val="0"/>
          <w:lang w:eastAsia="zh-CN"/>
        </w:rPr>
        <w:t>21 CFR 820.30</w:t>
      </w:r>
      <w:r>
        <w:rPr>
          <w:rFonts w:hint="eastAsia" w:ascii="Arial" w:hAnsi="Arial" w:eastAsia="宋体" w:cs="Arial"/>
          <w:snapToGrid w:val="0"/>
          <w:lang w:eastAsia="zh-CN"/>
        </w:rPr>
        <w:t>中对器械的设计控制要求可能很重要。类似地，交叉标签组合产品器械组成部分的变更可能导致需要对药品组成部分做出变更，该变更可能是化学、生产和质控</w:t>
      </w:r>
      <w:r>
        <w:rPr>
          <w:rFonts w:ascii="Arial" w:hAnsi="Arial" w:eastAsia="宋体" w:cs="Arial"/>
          <w:snapToGrid w:val="0"/>
          <w:lang w:eastAsia="zh-CN"/>
        </w:rPr>
        <w:t>（CMC）</w:t>
      </w:r>
      <w:r>
        <w:rPr>
          <w:rFonts w:hint="eastAsia" w:ascii="Arial" w:hAnsi="Arial" w:eastAsia="宋体" w:cs="Arial"/>
          <w:snapToGrid w:val="0"/>
          <w:lang w:eastAsia="zh-CN"/>
        </w:rPr>
        <w:t>方面的变更。</w:t>
      </w:r>
      <w:r>
        <w:rPr>
          <w:rStyle w:val="17"/>
          <w:rFonts w:ascii="Arial" w:hAnsi="Arial" w:eastAsia="宋体" w:cs="Arial"/>
          <w:snapToGrid w:val="0"/>
          <w:lang w:eastAsia="zh-CN"/>
        </w:rPr>
        <w:footnoteReference w:id="33"/>
      </w:r>
      <w:r>
        <w:rPr>
          <w:rFonts w:ascii="Arial" w:hAnsi="Arial" w:eastAsia="宋体" w:cs="Arial"/>
          <w:snapToGrid w:val="0"/>
          <w:vertAlign w:val="superscript"/>
        </w:rPr>
        <w:t xml:space="preserve">, </w:t>
      </w:r>
      <w:r>
        <w:rPr>
          <w:rStyle w:val="17"/>
          <w:rFonts w:ascii="Arial" w:hAnsi="Arial" w:eastAsia="宋体" w:cs="Arial"/>
          <w:snapToGrid w:val="0"/>
        </w:rPr>
        <w:footnoteReference w:id="34"/>
      </w:r>
    </w:p>
    <w:p w14:paraId="484889AC">
      <w:pPr>
        <w:pStyle w:val="21"/>
        <w:numPr>
          <w:ilvl w:val="0"/>
          <w:numId w:val="1"/>
        </w:numPr>
        <w:tabs>
          <w:tab w:val="left" w:pos="841"/>
        </w:tabs>
        <w:topLinePunct/>
        <w:adjustRightInd w:val="0"/>
        <w:snapToGrid w:val="0"/>
        <w:spacing w:after="224" w:afterLines="75" w:line="288" w:lineRule="auto"/>
        <w:ind w:left="841" w:hanging="841"/>
        <w:jc w:val="both"/>
        <w:outlineLvl w:val="9"/>
        <w:rPr>
          <w:rFonts w:ascii="Arial" w:hAnsi="Arial" w:eastAsia="宋体" w:cs="Arial"/>
          <w:b w:val="0"/>
          <w:bCs w:val="0"/>
          <w:snapToGrid w:val="0"/>
          <w:sz w:val="28"/>
          <w:lang w:eastAsia="zh-CN"/>
        </w:rPr>
      </w:pPr>
      <w:bookmarkStart w:id="77" w:name="IV._What_do_I_need_to_know_about_the_CGM"/>
      <w:bookmarkEnd w:id="77"/>
      <w:bookmarkStart w:id="78" w:name="_bookmark47"/>
      <w:bookmarkEnd w:id="78"/>
      <w:bookmarkStart w:id="79" w:name="_Toc498640473"/>
      <w:r>
        <w:rPr>
          <w:rFonts w:hint="eastAsia" w:ascii="Arial" w:hAnsi="Arial" w:eastAsia="宋体" w:cs="Arial"/>
          <w:snapToGrid w:val="0"/>
          <w:sz w:val="28"/>
          <w:lang w:eastAsia="zh-CN"/>
        </w:rPr>
        <w:t>关于</w:t>
      </w:r>
      <w:r>
        <w:rPr>
          <w:rFonts w:ascii="Arial" w:hAnsi="Arial" w:eastAsia="宋体" w:cs="Arial"/>
          <w:snapToGrid w:val="0"/>
          <w:sz w:val="28"/>
          <w:lang w:eastAsia="zh-CN"/>
        </w:rPr>
        <w:t>21 CFR 4.4（b）</w:t>
      </w:r>
      <w:r>
        <w:rPr>
          <w:rFonts w:hint="eastAsia" w:ascii="Arial" w:hAnsi="Arial" w:eastAsia="宋体" w:cs="Arial"/>
          <w:snapToGrid w:val="0"/>
          <w:sz w:val="28"/>
          <w:lang w:eastAsia="zh-CN"/>
        </w:rPr>
        <w:t>中指定的</w:t>
      </w:r>
      <w:r>
        <w:rPr>
          <w:rFonts w:ascii="Arial" w:hAnsi="Arial" w:eastAsia="宋体" w:cs="Arial"/>
          <w:snapToGrid w:val="0"/>
          <w:sz w:val="28"/>
          <w:lang w:eastAsia="zh-CN"/>
        </w:rPr>
        <w:t>CGMP</w:t>
      </w:r>
      <w:r>
        <w:rPr>
          <w:rFonts w:hint="eastAsia" w:ascii="Arial" w:hAnsi="Arial" w:eastAsia="宋体" w:cs="Arial"/>
          <w:snapToGrid w:val="0"/>
          <w:sz w:val="28"/>
          <w:lang w:eastAsia="zh-CN"/>
        </w:rPr>
        <w:t>要求，我需要了解哪些内容？</w:t>
      </w:r>
      <w:bookmarkEnd w:id="79"/>
    </w:p>
    <w:p w14:paraId="188BD3AE">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80" w:name="A._Provisions_from_the_device_QS_regulat"/>
      <w:bookmarkEnd w:id="80"/>
      <w:bookmarkStart w:id="81" w:name="_bookmark48"/>
      <w:bookmarkEnd w:id="81"/>
      <w:bookmarkStart w:id="82" w:name="_Toc498640474"/>
      <w:r>
        <w:rPr>
          <w:rFonts w:ascii="Arial" w:hAnsi="Arial" w:eastAsia="宋体" w:cs="Arial"/>
          <w:snapToGrid w:val="0"/>
          <w:sz w:val="24"/>
          <w:lang w:eastAsia="zh-CN"/>
        </w:rPr>
        <w:t>21 CFR 4.4（b）（1）</w:t>
      </w:r>
      <w:r>
        <w:rPr>
          <w:rFonts w:hint="eastAsia" w:ascii="Arial" w:hAnsi="Arial" w:eastAsia="宋体" w:cs="Arial"/>
          <w:snapToGrid w:val="0"/>
          <w:sz w:val="24"/>
          <w:lang w:eastAsia="zh-CN"/>
        </w:rPr>
        <w:t>中指定的器械QS规章的条款</w:t>
      </w:r>
      <w:bookmarkEnd w:id="82"/>
    </w:p>
    <w:p w14:paraId="0E8B48A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本节提供对器械</w:t>
      </w:r>
      <w:r>
        <w:rPr>
          <w:rFonts w:ascii="Arial" w:hAnsi="Arial" w:eastAsia="宋体" w:cs="Arial"/>
          <w:snapToGrid w:val="0"/>
          <w:lang w:eastAsia="zh-CN"/>
        </w:rPr>
        <w:t>QS</w:t>
      </w:r>
      <w:r>
        <w:rPr>
          <w:rFonts w:hint="eastAsia" w:ascii="Arial" w:hAnsi="Arial" w:eastAsia="宋体" w:cs="Arial"/>
          <w:snapToGrid w:val="0"/>
          <w:lang w:eastAsia="zh-CN"/>
        </w:rPr>
        <w:t>规章的指定条款的概述，包括对组合产品应用这些器械</w:t>
      </w:r>
      <w:r>
        <w:rPr>
          <w:rFonts w:ascii="Arial" w:hAnsi="Arial" w:eastAsia="宋体" w:cs="Arial"/>
          <w:snapToGrid w:val="0"/>
          <w:lang w:eastAsia="zh-CN"/>
        </w:rPr>
        <w:t>QS</w:t>
      </w:r>
      <w:r>
        <w:rPr>
          <w:rFonts w:hint="eastAsia" w:ascii="Arial" w:hAnsi="Arial" w:eastAsia="宋体" w:cs="Arial"/>
          <w:snapToGrid w:val="0"/>
          <w:lang w:eastAsia="zh-CN"/>
        </w:rPr>
        <w:t>规章要求时的注意事项。当采用</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）确立的基于药品</w:t>
      </w:r>
      <w:r>
        <w:rPr>
          <w:rFonts w:ascii="Arial" w:hAnsi="Arial" w:eastAsia="宋体" w:cs="Arial"/>
          <w:snapToGrid w:val="0"/>
          <w:lang w:eastAsia="zh-CN"/>
        </w:rPr>
        <w:t>CGMP</w:t>
      </w:r>
      <w:r>
        <w:rPr>
          <w:rFonts w:hint="eastAsia" w:ascii="Arial" w:hAnsi="Arial" w:eastAsia="宋体" w:cs="Arial"/>
          <w:snapToGrid w:val="0"/>
          <w:lang w:eastAsia="zh-CN"/>
        </w:rPr>
        <w:t>的简化方法时，包含器械组成部分的单个实体和组合包装组合产品的制造商必须证明符合这些条款。该讨论的目的不是提供全面分析，而是帮助制造商——尤其是可能对器械</w:t>
      </w:r>
      <w:r>
        <w:rPr>
          <w:rFonts w:ascii="Arial" w:hAnsi="Arial" w:eastAsia="宋体" w:cs="Arial"/>
          <w:snapToGrid w:val="0"/>
          <w:lang w:eastAsia="zh-CN"/>
        </w:rPr>
        <w:t>QS</w:t>
      </w:r>
      <w:r>
        <w:rPr>
          <w:rFonts w:hint="eastAsia" w:ascii="Arial" w:hAnsi="Arial" w:eastAsia="宋体" w:cs="Arial"/>
          <w:snapToGrid w:val="0"/>
          <w:lang w:eastAsia="zh-CN"/>
        </w:rPr>
        <w:t>规章不太熟悉的药品和生物制剂制造商——理解</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）中指定的器械</w:t>
      </w:r>
      <w:r>
        <w:rPr>
          <w:rFonts w:ascii="Arial" w:hAnsi="Arial" w:eastAsia="宋体" w:cs="Arial"/>
          <w:snapToGrid w:val="0"/>
          <w:lang w:eastAsia="zh-CN"/>
        </w:rPr>
        <w:t>QS</w:t>
      </w:r>
      <w:r>
        <w:rPr>
          <w:rFonts w:hint="eastAsia" w:ascii="Arial" w:hAnsi="Arial" w:eastAsia="宋体" w:cs="Arial"/>
          <w:snapToGrid w:val="0"/>
          <w:lang w:eastAsia="zh-CN"/>
        </w:rPr>
        <w:t>规章条款的目的和基本要素。本节也引用了可能有益的其它指导性文件。</w:t>
      </w:r>
      <w:r>
        <w:rPr>
          <w:rStyle w:val="17"/>
          <w:rFonts w:ascii="Arial" w:hAnsi="Arial" w:eastAsia="宋体" w:cs="Arial"/>
          <w:snapToGrid w:val="0"/>
          <w:lang w:eastAsia="zh-CN"/>
        </w:rPr>
        <w:footnoteReference w:id="35"/>
      </w:r>
      <w:r>
        <w:rPr>
          <w:rFonts w:hint="eastAsia" w:ascii="Arial" w:hAnsi="Arial" w:eastAsia="宋体" w:cs="Arial"/>
          <w:snapToGrid w:val="0"/>
          <w:lang w:eastAsia="zh-CN"/>
        </w:rPr>
        <w:t>第V节呈现假设示例，提供了关于如何对组合产品应用这些条款的额外指导。</w:t>
      </w:r>
    </w:p>
    <w:p w14:paraId="4724D34E">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2D2C7968">
      <w:pPr>
        <w:pStyle w:val="23"/>
        <w:numPr>
          <w:ilvl w:val="0"/>
          <w:numId w:val="8"/>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83" w:name="1._Management_responsibility_(21_CFR_820"/>
      <w:bookmarkEnd w:id="83"/>
      <w:bookmarkStart w:id="84" w:name="_bookmark52"/>
      <w:bookmarkEnd w:id="84"/>
      <w:r>
        <w:rPr>
          <w:rFonts w:hint="eastAsia" w:ascii="Arial" w:hAnsi="Arial" w:eastAsia="宋体" w:cs="Arial"/>
          <w:snapToGrid w:val="0"/>
          <w:lang w:eastAsia="zh-CN"/>
        </w:rPr>
        <w:t>管理责任</w:t>
      </w:r>
      <w:r>
        <w:rPr>
          <w:rFonts w:hint="eastAsia" w:ascii="Arial" w:hAnsi="Arial" w:eastAsia="宋体" w:cs="Arial"/>
          <w:snapToGrid w:val="0"/>
        </w:rPr>
        <w:t>（</w:t>
      </w:r>
      <w:r>
        <w:rPr>
          <w:rFonts w:ascii="Arial" w:hAnsi="Arial" w:eastAsia="宋体" w:cs="Arial"/>
          <w:snapToGrid w:val="0"/>
        </w:rPr>
        <w:t>21 CFR 820.20</w:t>
      </w:r>
      <w:r>
        <w:rPr>
          <w:rFonts w:hint="eastAsia" w:ascii="Arial" w:hAnsi="Arial" w:eastAsia="宋体" w:cs="Arial"/>
          <w:snapToGrid w:val="0"/>
        </w:rPr>
        <w:t>）</w:t>
      </w:r>
    </w:p>
    <w:p w14:paraId="740BA7B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820.20</w:t>
      </w:r>
      <w:r>
        <w:rPr>
          <w:rFonts w:hint="eastAsia" w:ascii="Arial" w:hAnsi="Arial" w:eastAsia="宋体" w:cs="Arial"/>
          <w:snapToGrid w:val="0"/>
          <w:lang w:eastAsia="zh-CN"/>
        </w:rPr>
        <w:t>中的要求确保有行政责任的管理人员（即制造商内有权建立或对质量方针和质量体系做出更改的高级雇员）</w:t>
      </w:r>
      <w:r>
        <w:rPr>
          <w:rFonts w:ascii="Arial" w:hAnsi="Arial" w:eastAsia="宋体" w:cs="Arial"/>
          <w:snapToGrid w:val="0"/>
          <w:lang w:eastAsia="zh-CN"/>
        </w:rPr>
        <w:t>21 CFR 820.3（n）</w:t>
      </w:r>
      <w:r>
        <w:rPr>
          <w:rFonts w:hint="eastAsia" w:ascii="Arial" w:hAnsi="Arial" w:eastAsia="宋体" w:cs="Arial"/>
          <w:snapToGrid w:val="0"/>
          <w:lang w:eastAsia="zh-CN"/>
        </w:rPr>
        <w:t>。</w:t>
      </w:r>
      <w:r>
        <w:rPr>
          <w:rStyle w:val="17"/>
          <w:rFonts w:ascii="Arial" w:hAnsi="Arial" w:eastAsia="宋体" w:cs="Arial"/>
          <w:snapToGrid w:val="0"/>
          <w:lang w:eastAsia="zh-CN"/>
        </w:rPr>
        <w:footnoteReference w:id="36"/>
      </w:r>
      <w:r>
        <w:rPr>
          <w:rFonts w:hint="eastAsia" w:ascii="Arial" w:hAnsi="Arial" w:eastAsia="宋体" w:cs="Arial"/>
          <w:snapToGrid w:val="0"/>
          <w:lang w:eastAsia="zh-CN"/>
        </w:rPr>
        <w:t>积极参与质量体系监督，并表示期望有行政责任的管理人员积极持续地投身于质量体系制定和执行。</w:t>
      </w:r>
      <w:r>
        <w:rPr>
          <w:rStyle w:val="17"/>
          <w:rFonts w:ascii="Arial" w:hAnsi="Arial" w:eastAsia="宋体" w:cs="Arial"/>
          <w:snapToGrid w:val="0"/>
          <w:lang w:eastAsia="zh-CN"/>
        </w:rPr>
        <w:footnoteReference w:id="37"/>
      </w:r>
      <w:r>
        <w:rPr>
          <w:rFonts w:hint="eastAsia" w:ascii="Arial" w:hAnsi="Arial" w:eastAsia="宋体" w:cs="Arial"/>
          <w:snapToGrid w:val="0"/>
          <w:lang w:eastAsia="zh-CN"/>
        </w:rPr>
        <w:t>药品的法定</w:t>
      </w:r>
      <w:r>
        <w:rPr>
          <w:rFonts w:ascii="Arial" w:hAnsi="Arial" w:eastAsia="宋体" w:cs="Arial"/>
          <w:snapToGrid w:val="0"/>
          <w:lang w:eastAsia="zh-CN"/>
        </w:rPr>
        <w:t>CGMP</w:t>
      </w:r>
      <w:r>
        <w:rPr>
          <w:rFonts w:hint="eastAsia" w:ascii="Arial" w:hAnsi="Arial" w:eastAsia="宋体" w:cs="Arial"/>
          <w:snapToGrid w:val="0"/>
          <w:lang w:eastAsia="zh-CN"/>
        </w:rPr>
        <w:t>条款和条例建立了与管理责任相关的要求，且机构也发布了关于该话题的指导性文件。</w:t>
      </w:r>
      <w:r>
        <w:rPr>
          <w:rStyle w:val="17"/>
          <w:rFonts w:ascii="Arial" w:hAnsi="Arial" w:eastAsia="宋体" w:cs="Arial"/>
          <w:snapToGrid w:val="0"/>
          <w:lang w:eastAsia="zh-CN"/>
        </w:rPr>
        <w:footnoteReference w:id="38"/>
      </w:r>
      <w:r>
        <w:rPr>
          <w:rFonts w:hint="eastAsia" w:ascii="Arial" w:hAnsi="Arial" w:eastAsia="宋体" w:cs="Arial"/>
          <w:snapToGrid w:val="0"/>
          <w:lang w:eastAsia="zh-CN"/>
        </w:rPr>
        <w:t>然而，</w:t>
      </w:r>
      <w:r>
        <w:rPr>
          <w:rFonts w:ascii="Arial" w:hAnsi="Arial" w:eastAsia="宋体" w:cs="Arial"/>
          <w:snapToGrid w:val="0"/>
          <w:lang w:eastAsia="zh-CN"/>
        </w:rPr>
        <w:t>21 CFR 820.20</w:t>
      </w:r>
      <w:r>
        <w:rPr>
          <w:rFonts w:hint="eastAsia" w:ascii="Arial" w:hAnsi="Arial" w:eastAsia="宋体" w:cs="Arial"/>
          <w:snapToGrid w:val="0"/>
          <w:lang w:eastAsia="zh-CN"/>
        </w:rPr>
        <w:t>中的一些具体要求在药品</w:t>
      </w:r>
      <w:r>
        <w:rPr>
          <w:rFonts w:ascii="Arial" w:hAnsi="Arial" w:eastAsia="宋体" w:cs="Arial"/>
          <w:snapToGrid w:val="0"/>
          <w:lang w:eastAsia="zh-CN"/>
        </w:rPr>
        <w:t>CGMP</w:t>
      </w:r>
      <w:r>
        <w:rPr>
          <w:rFonts w:hint="eastAsia" w:ascii="Arial" w:hAnsi="Arial" w:eastAsia="宋体" w:cs="Arial"/>
          <w:snapToGrid w:val="0"/>
          <w:lang w:eastAsia="zh-CN"/>
        </w:rPr>
        <w:t>要求中未得到明确解决，且包含器械组成部分的组合产品的制造商必须确保满足</w:t>
      </w:r>
      <w:r>
        <w:rPr>
          <w:rFonts w:ascii="Arial" w:hAnsi="Arial" w:eastAsia="宋体" w:cs="Arial"/>
          <w:snapToGrid w:val="0"/>
          <w:lang w:eastAsia="zh-CN"/>
        </w:rPr>
        <w:t>21 CFR 820.20</w:t>
      </w:r>
      <w:r>
        <w:rPr>
          <w:rFonts w:hint="eastAsia" w:ascii="Arial" w:hAnsi="Arial" w:eastAsia="宋体" w:cs="Arial"/>
          <w:snapToGrid w:val="0"/>
          <w:lang w:eastAsia="zh-CN"/>
        </w:rPr>
        <w:t xml:space="preserve">中要求的要素。 </w:t>
      </w:r>
    </w:p>
    <w:p w14:paraId="008FCD05">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组合产品制造商必须建立并维护一个合理的组织结构以确保根据</w:t>
      </w:r>
      <w:r>
        <w:rPr>
          <w:rFonts w:ascii="Arial" w:hAnsi="Arial" w:eastAsia="宋体" w:cs="Arial"/>
          <w:snapToGrid w:val="0"/>
          <w:lang w:eastAsia="zh-CN"/>
        </w:rPr>
        <w:t>CGMP</w:t>
      </w:r>
      <w:r>
        <w:rPr>
          <w:rFonts w:hint="eastAsia" w:ascii="Arial" w:hAnsi="Arial" w:eastAsia="宋体" w:cs="Arial"/>
          <w:snapToGrid w:val="0"/>
          <w:lang w:eastAsia="zh-CN"/>
        </w:rPr>
        <w:t>要求设计并生产产品。该结构必须：确定管理、执行和评估与质量相关工作的所有人员的适当责任、职权和相互关系；为管理、工作执行和评估活动提供足够资源；并包含一位委任管理人员，负责确保有效建立和维护质量体系要求，并负责向有行政责任的管理人员报告质量体系的执行情况。</w:t>
      </w:r>
      <w:r>
        <w:rPr>
          <w:rStyle w:val="17"/>
          <w:rFonts w:ascii="Arial" w:hAnsi="Arial" w:eastAsia="宋体" w:cs="Arial"/>
          <w:snapToGrid w:val="0"/>
          <w:lang w:eastAsia="zh-CN"/>
        </w:rPr>
        <w:footnoteReference w:id="39"/>
      </w:r>
      <w:r>
        <w:rPr>
          <w:rFonts w:hint="eastAsia" w:ascii="Arial" w:hAnsi="Arial" w:eastAsia="宋体" w:cs="Arial"/>
          <w:snapToGrid w:val="0"/>
          <w:lang w:eastAsia="zh-CN"/>
        </w:rPr>
        <w:t>有行政责任的管理人员必须建立质量方针和质量目标并承诺保证质量。</w:t>
      </w:r>
      <w:r>
        <w:rPr>
          <w:rStyle w:val="17"/>
          <w:rFonts w:ascii="Arial" w:hAnsi="Arial" w:eastAsia="宋体" w:cs="Arial"/>
          <w:snapToGrid w:val="0"/>
          <w:lang w:eastAsia="zh-CN"/>
        </w:rPr>
        <w:footnoteReference w:id="40"/>
      </w:r>
      <w:r>
        <w:rPr>
          <w:rFonts w:hint="eastAsia" w:ascii="Arial" w:hAnsi="Arial" w:eastAsia="宋体" w:cs="Arial"/>
          <w:snapToGrid w:val="0"/>
          <w:lang w:eastAsia="zh-CN"/>
        </w:rPr>
        <w:t>质量计划和质量体系程序应反映这些方针和目标。</w:t>
      </w:r>
      <w:r>
        <w:rPr>
          <w:rStyle w:val="17"/>
          <w:rFonts w:ascii="Arial" w:hAnsi="Arial" w:eastAsia="宋体" w:cs="Arial"/>
          <w:snapToGrid w:val="0"/>
          <w:lang w:eastAsia="zh-CN"/>
        </w:rPr>
        <w:footnoteReference w:id="41"/>
      </w:r>
    </w:p>
    <w:p w14:paraId="5D7CB26C">
      <w:pPr>
        <w:pStyle w:val="11"/>
        <w:spacing w:line="300"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05A25DE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质量计划必须明确与正在设计和制造的组合产品相关的质量规范，资源和活动且必须确定如何满足质量要求。</w:t>
      </w:r>
      <w:r>
        <w:rPr>
          <w:rStyle w:val="17"/>
          <w:rFonts w:ascii="Arial" w:hAnsi="Arial" w:eastAsia="宋体" w:cs="Arial"/>
          <w:snapToGrid w:val="0"/>
          <w:lang w:eastAsia="zh-CN"/>
        </w:rPr>
        <w:footnoteReference w:id="42"/>
      </w:r>
      <w:r>
        <w:rPr>
          <w:rFonts w:hint="eastAsia" w:ascii="Arial" w:hAnsi="Arial" w:eastAsia="宋体" w:cs="Arial"/>
          <w:snapToGrid w:val="0"/>
          <w:lang w:eastAsia="zh-CN"/>
        </w:rPr>
        <w:t>该计划可以是一份独立文件，或者它可以引用制造商质量体系的要素。</w:t>
      </w:r>
    </w:p>
    <w:p w14:paraId="6D025B1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质量体系程序</w:t>
      </w:r>
      <w:r>
        <w:rPr>
          <w:rFonts w:ascii="Arial" w:hAnsi="Arial" w:eastAsia="宋体" w:cs="Arial"/>
          <w:snapToGrid w:val="0"/>
          <w:lang w:eastAsia="zh-CN"/>
        </w:rPr>
        <w:t>（21 CFR 820.20（e））</w:t>
      </w:r>
      <w:r>
        <w:rPr>
          <w:rFonts w:hint="eastAsia" w:ascii="Arial" w:hAnsi="Arial" w:eastAsia="宋体" w:cs="Arial"/>
          <w:snapToGrid w:val="0"/>
          <w:lang w:eastAsia="zh-CN"/>
        </w:rPr>
        <w:t>确保遵守适用于组合产品的</w:t>
      </w:r>
      <w:r>
        <w:rPr>
          <w:rFonts w:ascii="Arial" w:hAnsi="Arial" w:eastAsia="宋体" w:cs="Arial"/>
          <w:snapToGrid w:val="0"/>
          <w:lang w:eastAsia="zh-CN"/>
        </w:rPr>
        <w:t>CGMP</w:t>
      </w:r>
      <w:r>
        <w:rPr>
          <w:rFonts w:hint="eastAsia" w:ascii="Arial" w:hAnsi="Arial" w:eastAsia="宋体" w:cs="Arial"/>
          <w:snapToGrid w:val="0"/>
          <w:lang w:eastAsia="zh-CN"/>
        </w:rPr>
        <w:t>的所有方面。</w:t>
      </w:r>
      <w:r>
        <w:rPr>
          <w:rStyle w:val="17"/>
          <w:rFonts w:ascii="Arial" w:hAnsi="Arial" w:eastAsia="宋体" w:cs="Arial"/>
          <w:snapToGrid w:val="0"/>
          <w:lang w:eastAsia="zh-CN"/>
        </w:rPr>
        <w:footnoteReference w:id="43"/>
      </w:r>
      <w:r>
        <w:rPr>
          <w:rFonts w:hint="eastAsia" w:ascii="Arial" w:hAnsi="Arial" w:eastAsia="宋体" w:cs="Arial"/>
          <w:snapToGrid w:val="0"/>
          <w:lang w:eastAsia="zh-CN"/>
        </w:rPr>
        <w:t>组合产品制造商的程序和操作指南的数量、复杂度和结构可能随以下因素而变化，比如制造商的组织结构和正在制造的组合产品的复杂度。药品制造商可能已根据</w:t>
      </w:r>
      <w:r>
        <w:rPr>
          <w:rFonts w:ascii="Arial" w:hAnsi="Arial" w:eastAsia="宋体" w:cs="Arial"/>
          <w:snapToGrid w:val="0"/>
          <w:lang w:eastAsia="zh-CN"/>
        </w:rPr>
        <w:t>21 CFR 211.22</w:t>
      </w:r>
      <w:r>
        <w:rPr>
          <w:rFonts w:hint="eastAsia" w:ascii="Arial" w:hAnsi="Arial" w:eastAsia="宋体" w:cs="Arial"/>
          <w:snapToGrid w:val="0"/>
          <w:lang w:eastAsia="zh-CN"/>
        </w:rPr>
        <w:t>中对质量控制部门的要求设立了一些此类程序，可引用这些程序并按需扩大以满足</w:t>
      </w:r>
      <w:r>
        <w:rPr>
          <w:rFonts w:ascii="Arial" w:hAnsi="Arial" w:eastAsia="宋体" w:cs="Arial"/>
          <w:snapToGrid w:val="0"/>
          <w:lang w:eastAsia="zh-CN"/>
        </w:rPr>
        <w:t>21 CFR 820.20</w:t>
      </w:r>
      <w:r>
        <w:rPr>
          <w:rFonts w:hint="eastAsia" w:ascii="Arial" w:hAnsi="Arial" w:eastAsia="宋体" w:cs="Arial"/>
          <w:snapToGrid w:val="0"/>
          <w:lang w:eastAsia="zh-CN"/>
        </w:rPr>
        <w:t xml:space="preserve">的要求。 </w:t>
      </w:r>
    </w:p>
    <w:p w14:paraId="5787784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有行政责任的管理人员必须定期审查质量体系的适用性和有效性，包括确保质量体系满足已确立的质量方针和目标。</w:t>
      </w:r>
      <w:r>
        <w:rPr>
          <w:rStyle w:val="17"/>
          <w:rFonts w:ascii="Arial" w:hAnsi="Arial" w:eastAsia="宋体" w:cs="Arial"/>
          <w:snapToGrid w:val="0"/>
          <w:lang w:eastAsia="zh-CN"/>
        </w:rPr>
        <w:footnoteReference w:id="44"/>
      </w:r>
      <w:r>
        <w:rPr>
          <w:rFonts w:hint="eastAsia" w:ascii="Arial" w:hAnsi="Arial" w:eastAsia="宋体" w:cs="Arial"/>
          <w:snapToGrid w:val="0"/>
          <w:lang w:eastAsia="zh-CN"/>
        </w:rPr>
        <w:t>必须在规定的时间间隔内实施这些审查并达到足够的频率。管理人员审查程序应确保管理人员有足够的权力从受委托执行组合产品制造活动的机构获得相关信息。</w:t>
      </w:r>
    </w:p>
    <w:p w14:paraId="003B8B5C">
      <w:pPr>
        <w:pStyle w:val="23"/>
        <w:numPr>
          <w:ilvl w:val="0"/>
          <w:numId w:val="8"/>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85" w:name="_bookmark57"/>
      <w:bookmarkEnd w:id="85"/>
      <w:bookmarkStart w:id="86" w:name="2._Design_controls_(21_CFR_820.30)"/>
      <w:bookmarkEnd w:id="86"/>
      <w:r>
        <w:rPr>
          <w:rFonts w:hint="eastAsia" w:ascii="Arial" w:hAnsi="Arial" w:eastAsia="宋体" w:cs="Arial"/>
          <w:snapToGrid w:val="0"/>
          <w:lang w:eastAsia="zh-CN"/>
        </w:rPr>
        <w:t>设计控制</w:t>
      </w:r>
      <w:r>
        <w:rPr>
          <w:rFonts w:hint="eastAsia" w:ascii="Arial" w:hAnsi="Arial" w:eastAsia="宋体" w:cs="Arial"/>
          <w:snapToGrid w:val="0"/>
        </w:rPr>
        <w:t>（</w:t>
      </w:r>
      <w:r>
        <w:rPr>
          <w:rFonts w:ascii="Arial" w:hAnsi="Arial" w:eastAsia="宋体" w:cs="Arial"/>
          <w:snapToGrid w:val="0"/>
        </w:rPr>
        <w:t>21 CFR 820.30</w:t>
      </w:r>
      <w:r>
        <w:rPr>
          <w:rFonts w:hint="eastAsia" w:ascii="Arial" w:hAnsi="Arial" w:eastAsia="宋体" w:cs="Arial"/>
          <w:snapToGrid w:val="0"/>
        </w:rPr>
        <w:t>）</w:t>
      </w:r>
    </w:p>
    <w:p w14:paraId="4AA553E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规则的序文相当详细地讨论了对组合产品的设计控制要求。</w:t>
      </w:r>
      <w:r>
        <w:rPr>
          <w:rStyle w:val="17"/>
          <w:rFonts w:ascii="Arial" w:hAnsi="Arial" w:eastAsia="宋体" w:cs="Arial"/>
          <w:snapToGrid w:val="0"/>
          <w:lang w:eastAsia="zh-CN"/>
        </w:rPr>
        <w:footnoteReference w:id="45"/>
      </w:r>
      <w:r>
        <w:rPr>
          <w:rFonts w:hint="eastAsia" w:ascii="Arial" w:hAnsi="Arial" w:eastAsia="宋体" w:cs="Arial"/>
          <w:snapToGrid w:val="0"/>
          <w:lang w:eastAsia="zh-CN"/>
        </w:rPr>
        <w:t>本节讨论的设计控制适用于所含器械组成部分受这些设计控制约束的单一实体或组合包装组合产品。</w:t>
      </w:r>
      <w:r>
        <w:rPr>
          <w:rStyle w:val="17"/>
          <w:rFonts w:ascii="Arial" w:hAnsi="Arial" w:eastAsia="宋体" w:cs="Arial"/>
          <w:snapToGrid w:val="0"/>
          <w:lang w:eastAsia="zh-CN"/>
        </w:rPr>
        <w:footnoteReference w:id="46"/>
      </w:r>
      <w:r>
        <w:rPr>
          <w:rFonts w:hint="eastAsia" w:ascii="Arial" w:hAnsi="Arial" w:eastAsia="宋体" w:cs="Arial"/>
          <w:snapToGrid w:val="0"/>
          <w:lang w:eastAsia="zh-CN"/>
        </w:rPr>
        <w:t>设计控制活动证实各组成部分之间无不良相互作用，并确保它们联合组成的组合产品安全有效并按预期完成。</w:t>
      </w:r>
    </w:p>
    <w:p w14:paraId="115138D7">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87" w:name="_bookmark60"/>
      <w:bookmarkEnd w:id="87"/>
      <w:r>
        <w:rPr>
          <w:rFonts w:ascii="Arial" w:hAnsi="Arial" w:eastAsia="宋体" w:cs="Arial"/>
          <w:snapToGrid w:val="0"/>
          <w:sz w:val="24"/>
          <w:szCs w:val="20"/>
          <w:lang w:eastAsia="zh-CN"/>
        </w:rPr>
        <w:br w:type="page"/>
      </w:r>
    </w:p>
    <w:p w14:paraId="00F686C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以下描述了设计控制要求和必须为组合包装和单个实体组合产品保留的文件。</w:t>
      </w:r>
      <w:r>
        <w:rPr>
          <w:rStyle w:val="17"/>
          <w:rFonts w:ascii="Arial" w:hAnsi="Arial" w:eastAsia="宋体" w:cs="Arial"/>
          <w:snapToGrid w:val="0"/>
          <w:lang w:eastAsia="zh-CN"/>
        </w:rPr>
        <w:footnoteReference w:id="47"/>
      </w:r>
      <w:r>
        <w:rPr>
          <w:rFonts w:hint="eastAsia" w:ascii="Arial" w:hAnsi="Arial" w:eastAsia="宋体" w:cs="Arial"/>
          <w:snapToGrid w:val="0"/>
          <w:lang w:eastAsia="zh-CN"/>
        </w:rPr>
        <w:t>尽管药物开发重点是药物注意事项，但当证明遵守组合产品设计控制，考虑组合产品的其它组成部分及它们如何相互关联时，很多药物开发规范（例如质量源于设计原则</w:t>
      </w:r>
      <w:r>
        <w:rPr>
          <w:rStyle w:val="17"/>
          <w:rFonts w:ascii="Arial" w:hAnsi="Arial" w:eastAsia="宋体" w:cs="Arial"/>
          <w:snapToGrid w:val="0"/>
          <w:lang w:eastAsia="zh-CN"/>
        </w:rPr>
        <w:footnoteReference w:id="48"/>
      </w:r>
      <w:r>
        <w:rPr>
          <w:rFonts w:hint="eastAsia" w:ascii="Arial" w:hAnsi="Arial" w:eastAsia="宋体" w:cs="Arial"/>
          <w:snapToGrid w:val="0"/>
          <w:lang w:eastAsia="zh-CN"/>
        </w:rPr>
        <w:t>）均可作为参考和基础。机构承认</w:t>
      </w:r>
      <w:r>
        <w:rPr>
          <w:rFonts w:ascii="Arial" w:hAnsi="Arial" w:eastAsia="宋体" w:cs="Arial"/>
          <w:snapToGrid w:val="0"/>
          <w:lang w:eastAsia="zh-CN"/>
        </w:rPr>
        <w:t>21 CFR 820.30</w:t>
      </w:r>
      <w:r>
        <w:rPr>
          <w:rFonts w:hint="eastAsia" w:ascii="Arial" w:hAnsi="Arial" w:eastAsia="宋体" w:cs="Arial"/>
          <w:snapToGrid w:val="0"/>
          <w:lang w:eastAsia="zh-CN"/>
        </w:rPr>
        <w:t>中使用的术语可能与药物开发所用术语不同。制造商应能够就他们所用术语如何与设计控制原则和要求相关与机构沟通。</w:t>
      </w:r>
    </w:p>
    <w:p w14:paraId="4E91E460">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设计控制要求适用于产品研发期间的活动及上市后的设计或制造工艺变更。相应地，可实施下面描述的活动作为上市前研发的一部分并反映在提交的文件中作为上市授权过程的一部分。无论活动何时发生或无论相关记录保存在哪里，</w:t>
      </w:r>
      <w:r>
        <w:rPr>
          <w:rFonts w:ascii="Arial" w:hAnsi="Arial" w:eastAsia="宋体" w:cs="Arial"/>
          <w:snapToGrid w:val="0"/>
          <w:lang w:eastAsia="zh-CN"/>
        </w:rPr>
        <w:t>CGMP</w:t>
      </w:r>
      <w:r>
        <w:rPr>
          <w:rFonts w:hint="eastAsia" w:ascii="Arial" w:hAnsi="Arial" w:eastAsia="宋体" w:cs="Arial"/>
          <w:snapToGrid w:val="0"/>
          <w:lang w:eastAsia="zh-CN"/>
        </w:rPr>
        <w:t>操作系统均应包含或引用适当的文件以确保FDA可随时获得并检查该文件。</w:t>
      </w:r>
      <w:r>
        <w:rPr>
          <w:rStyle w:val="17"/>
          <w:rFonts w:ascii="Arial" w:hAnsi="Arial" w:eastAsia="宋体" w:cs="Arial"/>
          <w:snapToGrid w:val="0"/>
          <w:lang w:eastAsia="zh-CN"/>
        </w:rPr>
        <w:footnoteReference w:id="49"/>
      </w:r>
    </w:p>
    <w:p w14:paraId="29E5444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 xml:space="preserve">设计控制过程的范围和复杂度和相关文件将随产品变化。以一种已独立合法销售的药品为例，它作为也包含输送器械的组合产品的一部分销售时，其配方、给药途径和预期用途与独立销售时相同。当认为输送器械配置可行且适于开发时，设计控制即开始。将药品属性输入设计控制活动中，重点确保器械恰当输送药品且与器械接触时药品质量不会受到不良影响。相反，对于一种由新药品和器械组成部分构成的新组合产品，设计控制确保药品和器械协调开发构成的最终组合产品满足用户需要并达到预期用途。设计控制活动的广泛程度和产品的相关文件也应与产品开发阶段相适应。 </w:t>
      </w:r>
    </w:p>
    <w:p w14:paraId="22C2D9AC">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作为设计控制的一部分，必须建立设计和开发计划以描述或引用设计和开发活动和规定落实责任。计划必须指出并描述与不同小组和提供或引起设计和开发过程输入的活动的联系。</w:t>
      </w:r>
      <w:r>
        <w:rPr>
          <w:rStyle w:val="17"/>
          <w:rFonts w:ascii="Arial" w:hAnsi="Arial" w:eastAsia="宋体" w:cs="Arial"/>
          <w:snapToGrid w:val="0"/>
          <w:lang w:eastAsia="zh-CN"/>
        </w:rPr>
        <w:footnoteReference w:id="50"/>
      </w:r>
    </w:p>
    <w:p w14:paraId="58815DCD">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2BE501EF">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组合产品的设计输入要求应包含以下考虑，比如性能特点、安全性和可靠性要求及产品用户和患者的预期需求。</w:t>
      </w:r>
      <w:r>
        <w:rPr>
          <w:rStyle w:val="17"/>
          <w:rFonts w:ascii="Arial" w:hAnsi="Arial" w:eastAsia="宋体" w:cs="Arial"/>
          <w:snapToGrid w:val="0"/>
          <w:lang w:eastAsia="zh-CN"/>
        </w:rPr>
        <w:footnoteReference w:id="51"/>
      </w:r>
      <w:r>
        <w:rPr>
          <w:rFonts w:hint="eastAsia" w:ascii="Arial" w:hAnsi="Arial" w:eastAsia="宋体" w:cs="Arial"/>
          <w:snapToGrid w:val="0"/>
          <w:lang w:eastAsia="zh-CN"/>
        </w:rPr>
        <w:t>应在产品开发早期考虑设计输入以确保开发工作与产品预期用途一致，包括含患者在内的用户需求。一旦确定设计输入，则必须根据这些输入开发设计输出（例如规格和工程图纸）。</w:t>
      </w:r>
      <w:r>
        <w:rPr>
          <w:rStyle w:val="17"/>
          <w:rFonts w:ascii="Arial" w:hAnsi="Arial" w:eastAsia="宋体" w:cs="Arial"/>
          <w:snapToGrid w:val="0"/>
          <w:lang w:eastAsia="zh-CN"/>
        </w:rPr>
        <w:footnoteReference w:id="52"/>
      </w:r>
      <w:r>
        <w:rPr>
          <w:rFonts w:hint="eastAsia" w:ascii="Arial" w:hAnsi="Arial" w:eastAsia="宋体" w:cs="Arial"/>
          <w:snapToGrid w:val="0"/>
          <w:lang w:eastAsia="zh-CN"/>
        </w:rPr>
        <w:t>一旦为所有设计输入确定好设计输出，必须实施设计验证和确认活动以确保组合产品设计输出满足设计输入要求，包括用户需求和预期用途。也要求进行设计审核以确保在产品设计开发的适当阶段计划和实施正式的、备有证明文件的设计审核，</w:t>
      </w:r>
      <w:r>
        <w:rPr>
          <w:rStyle w:val="17"/>
          <w:rFonts w:ascii="Arial" w:hAnsi="Arial" w:eastAsia="宋体" w:cs="Arial"/>
          <w:snapToGrid w:val="0"/>
          <w:lang w:eastAsia="zh-CN"/>
        </w:rPr>
        <w:footnoteReference w:id="53"/>
      </w:r>
      <w:r>
        <w:rPr>
          <w:rFonts w:hint="eastAsia" w:ascii="Arial" w:hAnsi="Arial" w:eastAsia="宋体" w:cs="Arial"/>
          <w:snapToGrid w:val="0"/>
          <w:lang w:eastAsia="zh-CN"/>
        </w:rPr>
        <w:t>且所有这些活动必须记录在设计历史文件中。</w:t>
      </w:r>
      <w:r>
        <w:rPr>
          <w:rStyle w:val="17"/>
          <w:rFonts w:ascii="Arial" w:hAnsi="Arial" w:eastAsia="宋体" w:cs="Arial"/>
          <w:snapToGrid w:val="0"/>
          <w:lang w:eastAsia="zh-CN"/>
        </w:rPr>
        <w:footnoteReference w:id="54"/>
      </w:r>
    </w:p>
    <w:p w14:paraId="0F0351D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设计输入确保设计要求适合处理产品预期用途，设计输出包含产品规格文件，随着开发进展可对比设计输入评价该文件。类似地，药物开发中的目标药品的质量概况（</w:t>
      </w:r>
      <w:r>
        <w:rPr>
          <w:rFonts w:ascii="Arial" w:hAnsi="Arial" w:eastAsia="宋体" w:cs="Arial"/>
          <w:snapToGrid w:val="0"/>
          <w:lang w:eastAsia="zh-CN"/>
        </w:rPr>
        <w:t>QTPP</w:t>
      </w:r>
      <w:r>
        <w:rPr>
          <w:rFonts w:hint="eastAsia" w:ascii="Arial" w:hAnsi="Arial" w:eastAsia="宋体" w:cs="Arial"/>
          <w:snapToGrid w:val="0"/>
          <w:lang w:eastAsia="zh-CN"/>
        </w:rPr>
        <w:t>）包含对药品质量特征的前瞻性考虑，以确保将药品安全性和有效性纳入期望质量考虑中。制造商可鉴定应处于适当限制、范围或分布内的潜在关键质量属性（</w:t>
      </w:r>
      <w:r>
        <w:rPr>
          <w:rFonts w:ascii="Arial" w:hAnsi="Arial" w:eastAsia="宋体" w:cs="Arial"/>
          <w:snapToGrid w:val="0"/>
          <w:lang w:eastAsia="zh-CN"/>
        </w:rPr>
        <w:t>CQAs</w:t>
      </w:r>
      <w:r>
        <w:rPr>
          <w:rFonts w:hint="eastAsia" w:ascii="Arial" w:hAnsi="Arial" w:eastAsia="宋体" w:cs="Arial"/>
          <w:snapToGrid w:val="0"/>
          <w:lang w:eastAsia="zh-CN"/>
        </w:rPr>
        <w:t>）或药品属性以确保产品质量，并在产品开发过程中改进这些</w:t>
      </w:r>
      <w:r>
        <w:rPr>
          <w:rFonts w:ascii="Arial" w:hAnsi="Arial" w:eastAsia="宋体" w:cs="Arial"/>
          <w:snapToGrid w:val="0"/>
          <w:lang w:eastAsia="zh-CN"/>
        </w:rPr>
        <w:t>CQAs</w:t>
      </w:r>
      <w:r>
        <w:rPr>
          <w:rFonts w:hint="eastAsia" w:ascii="Arial" w:hAnsi="Arial" w:eastAsia="宋体" w:cs="Arial"/>
          <w:snapToGrid w:val="0"/>
          <w:lang w:eastAsia="zh-CN"/>
        </w:rPr>
        <w:t>。可对组合产品应用</w:t>
      </w:r>
      <w:r>
        <w:rPr>
          <w:rFonts w:ascii="Arial" w:hAnsi="Arial" w:eastAsia="宋体" w:cs="Arial"/>
          <w:snapToGrid w:val="0"/>
          <w:lang w:eastAsia="zh-CN"/>
        </w:rPr>
        <w:t>QTPP</w:t>
      </w:r>
      <w:r>
        <w:rPr>
          <w:rFonts w:hint="eastAsia" w:ascii="Arial" w:hAnsi="Arial" w:eastAsia="宋体" w:cs="Arial"/>
          <w:snapToGrid w:val="0"/>
          <w:lang w:eastAsia="zh-CN"/>
        </w:rPr>
        <w:t>和</w:t>
      </w:r>
      <w:r>
        <w:rPr>
          <w:rFonts w:ascii="Arial" w:hAnsi="Arial" w:eastAsia="宋体" w:cs="Arial"/>
          <w:snapToGrid w:val="0"/>
          <w:lang w:eastAsia="zh-CN"/>
        </w:rPr>
        <w:t>CQA</w:t>
      </w:r>
      <w:r>
        <w:rPr>
          <w:rFonts w:hint="eastAsia" w:ascii="Arial" w:hAnsi="Arial" w:eastAsia="宋体" w:cs="Arial"/>
          <w:snapToGrid w:val="0"/>
          <w:lang w:eastAsia="zh-CN"/>
        </w:rPr>
        <w:t>原则，但应符合设计输入和输出要求。此外，开发组合产品时，药品组成部分的</w:t>
      </w:r>
      <w:r>
        <w:rPr>
          <w:rFonts w:ascii="Arial" w:hAnsi="Arial" w:eastAsia="宋体" w:cs="Arial"/>
          <w:snapToGrid w:val="0"/>
          <w:lang w:eastAsia="zh-CN"/>
        </w:rPr>
        <w:t>QTPP</w:t>
      </w:r>
      <w:r>
        <w:rPr>
          <w:rFonts w:hint="eastAsia" w:ascii="Arial" w:hAnsi="Arial" w:eastAsia="宋体" w:cs="Arial"/>
          <w:snapToGrid w:val="0"/>
          <w:lang w:eastAsia="zh-CN"/>
        </w:rPr>
        <w:t>和</w:t>
      </w:r>
      <w:r>
        <w:rPr>
          <w:rFonts w:ascii="Arial" w:hAnsi="Arial" w:eastAsia="宋体" w:cs="Arial"/>
          <w:snapToGrid w:val="0"/>
          <w:lang w:eastAsia="zh-CN"/>
        </w:rPr>
        <w:t>CQA</w:t>
      </w:r>
      <w:r>
        <w:rPr>
          <w:rFonts w:hint="eastAsia" w:ascii="Arial" w:hAnsi="Arial" w:eastAsia="宋体" w:cs="Arial"/>
          <w:snapToGrid w:val="0"/>
          <w:lang w:eastAsia="zh-CN"/>
        </w:rPr>
        <w:t>可能有助于建立组合产品的设计输入和设计输出。</w:t>
      </w:r>
    </w:p>
    <w:p w14:paraId="65021B5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验证指通过对客观证据的检查和准备，表明已满足指定要求的证明。</w:t>
      </w:r>
      <w:r>
        <w:rPr>
          <w:rStyle w:val="17"/>
          <w:rFonts w:ascii="Arial" w:hAnsi="Arial" w:eastAsia="宋体" w:cs="Arial"/>
          <w:snapToGrid w:val="0"/>
          <w:lang w:eastAsia="zh-CN"/>
        </w:rPr>
        <w:footnoteReference w:id="55"/>
      </w:r>
      <w:r>
        <w:rPr>
          <w:rFonts w:hint="eastAsia" w:ascii="Arial" w:hAnsi="Arial" w:eastAsia="宋体" w:cs="Arial"/>
          <w:snapToGrid w:val="0"/>
          <w:lang w:eastAsia="zh-CN"/>
        </w:rPr>
        <w:t>设计验证证实开发的产品与设计团队开发设计输入时的设想一致，但不一定会证实产品用于其预期用途安全有效。设计验证活动可能包括，如性能试验、安全试验或目视检查等。</w:t>
      </w:r>
    </w:p>
    <w:p w14:paraId="3B6F902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设计确认指通过客观证据证实产品规格符合用户需求和预期用途。</w:t>
      </w:r>
      <w:r>
        <w:rPr>
          <w:rStyle w:val="17"/>
          <w:rFonts w:ascii="Arial" w:hAnsi="Arial" w:eastAsia="宋体" w:cs="Arial"/>
          <w:snapToGrid w:val="0"/>
          <w:lang w:eastAsia="zh-CN"/>
        </w:rPr>
        <w:footnoteReference w:id="56"/>
      </w:r>
      <w:r>
        <w:rPr>
          <w:rFonts w:hint="eastAsia" w:ascii="Arial" w:hAnsi="Arial" w:eastAsia="宋体" w:cs="Arial"/>
          <w:snapToGrid w:val="0"/>
          <w:lang w:eastAsia="zh-CN"/>
        </w:rPr>
        <w:t>设计确认确保正确设计产品以达到其预期用途，并包含实际或模拟使用条件下的生产单元或等同物测试（提供适当依据</w:t>
      </w:r>
      <w:r>
        <w:rPr>
          <w:rStyle w:val="17"/>
          <w:rFonts w:ascii="Arial" w:hAnsi="Arial" w:eastAsia="宋体" w:cs="Arial"/>
          <w:snapToGrid w:val="0"/>
          <w:lang w:eastAsia="zh-CN"/>
        </w:rPr>
        <w:footnoteReference w:id="57"/>
      </w:r>
      <w:r>
        <w:rPr>
          <w:rFonts w:hint="eastAsia" w:ascii="Arial" w:hAnsi="Arial" w:eastAsia="宋体" w:cs="Arial"/>
          <w:snapToGrid w:val="0"/>
          <w:lang w:eastAsia="zh-CN"/>
        </w:rPr>
        <w:t>）。</w:t>
      </w:r>
    </w:p>
    <w:p w14:paraId="0FEA2BF9">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88" w:name="_bookmark74"/>
      <w:bookmarkEnd w:id="88"/>
      <w:bookmarkStart w:id="89" w:name="_bookmark73"/>
      <w:bookmarkEnd w:id="89"/>
      <w:bookmarkStart w:id="90" w:name="_bookmark70"/>
      <w:bookmarkEnd w:id="90"/>
      <w:r>
        <w:rPr>
          <w:rFonts w:ascii="Arial" w:hAnsi="Arial" w:eastAsia="宋体" w:cs="Arial"/>
          <w:snapToGrid w:val="0"/>
          <w:sz w:val="24"/>
          <w:szCs w:val="20"/>
          <w:lang w:eastAsia="zh-CN"/>
        </w:rPr>
        <w:br w:type="page"/>
      </w:r>
    </w:p>
    <w:p w14:paraId="0D834BA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例如，设计确认活动可能包含模拟使用测试或临床／非临床评价，包括人为因素</w:t>
      </w:r>
      <w:r>
        <w:rPr>
          <w:rStyle w:val="17"/>
          <w:rFonts w:ascii="Arial" w:hAnsi="Arial" w:eastAsia="宋体" w:cs="Arial"/>
          <w:snapToGrid w:val="0"/>
          <w:lang w:eastAsia="zh-CN"/>
        </w:rPr>
        <w:footnoteReference w:id="58"/>
      </w:r>
      <w:r>
        <w:rPr>
          <w:rFonts w:hint="eastAsia" w:ascii="Arial" w:hAnsi="Arial" w:eastAsia="宋体" w:cs="Arial"/>
          <w:snapToGrid w:val="0"/>
          <w:lang w:eastAsia="zh-CN"/>
        </w:rPr>
        <w:t>和软件确认。一些设计验证（例如试验台和／或临床前测试）和确认（例如适当情况下的人为因素测试）通常在组合产品安全性和功效临床研究开始前完成，而临床研究也是设计确认的一部分。可适当借用支持组合产品组成部分安全性和／或功效的临床研究作为整个组合产品累积设计确认工作的一部分。</w:t>
      </w:r>
    </w:p>
    <w:p w14:paraId="41D6248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此外，适当情况下制造商必须执行风险分析，</w:t>
      </w:r>
      <w:r>
        <w:rPr>
          <w:rStyle w:val="17"/>
          <w:rFonts w:ascii="Arial" w:hAnsi="Arial" w:eastAsia="宋体" w:cs="Arial"/>
          <w:snapToGrid w:val="0"/>
          <w:lang w:eastAsia="zh-CN"/>
        </w:rPr>
        <w:footnoteReference w:id="59"/>
      </w:r>
      <w:r>
        <w:rPr>
          <w:rFonts w:hint="eastAsia" w:ascii="Arial" w:hAnsi="Arial" w:eastAsia="宋体" w:cs="Arial"/>
          <w:snapToGrid w:val="0"/>
          <w:lang w:eastAsia="zh-CN"/>
        </w:rPr>
        <w:t>且应在设计过程早期开始并贯穿产品生命周期。风险分析应能够鉴定不可接受风险以便减轻它们。风险分析影响设计控制的其它方面和包括采购控制在内的附加活动（见</w:t>
      </w:r>
      <w:r>
        <w:rPr>
          <w:rFonts w:ascii="Arial" w:hAnsi="Arial" w:eastAsia="宋体" w:cs="Arial"/>
          <w:snapToGrid w:val="0"/>
          <w:lang w:eastAsia="zh-CN"/>
        </w:rPr>
        <w:t>IV.A.3</w:t>
      </w:r>
      <w:r>
        <w:rPr>
          <w:rFonts w:hint="eastAsia" w:ascii="Arial" w:hAnsi="Arial" w:eastAsia="宋体" w:cs="Arial"/>
          <w:snapToGrid w:val="0"/>
          <w:lang w:eastAsia="zh-CN"/>
        </w:rPr>
        <w:t>）。尽管对作为组合产品组成部分产品的现有风险分析可能相关，但风险分析应包含组合产品作为整体时的考虑，以鉴定与其设计、制造工艺和预期用途相关的风险。一些风险在设计开发初期就可鉴定出来并通过设计输入解决，而其它风险可能在产品开发后期、上市前审核期间或从上市后经验中（包括不良事件报告）才显现出来并用于确定是否有设计的任何方面需要修改。解决实施器械和药品风险管理活动比如风险评估、风险控制、风险报告和风险审核的标准和指南可作为了解组合产品此类活动的合适参考。</w:t>
      </w:r>
      <w:r>
        <w:rPr>
          <w:rStyle w:val="17"/>
          <w:rFonts w:ascii="Arial" w:hAnsi="Arial" w:eastAsia="宋体" w:cs="Arial"/>
          <w:snapToGrid w:val="0"/>
          <w:lang w:eastAsia="zh-CN"/>
        </w:rPr>
        <w:footnoteReference w:id="60"/>
      </w:r>
      <w:r>
        <w:rPr>
          <w:rFonts w:hint="eastAsia" w:ascii="Arial" w:hAnsi="Arial" w:eastAsia="宋体" w:cs="Arial"/>
          <w:snapToGrid w:val="0"/>
          <w:lang w:eastAsia="zh-CN"/>
        </w:rPr>
        <w:t>而且，根据药物开发规范实施的药品组成部分的风险评估和管理活动可能成为组合产品整体风险分析的要素。</w:t>
      </w:r>
    </w:p>
    <w:p w14:paraId="1BB59B9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 xml:space="preserve"> </w:t>
      </w:r>
      <w:r>
        <w:rPr>
          <w:rFonts w:hint="eastAsia" w:ascii="Arial" w:hAnsi="Arial" w:eastAsia="宋体" w:cs="Arial"/>
          <w:snapToGrid w:val="0"/>
          <w:lang w:eastAsia="zh-CN"/>
        </w:rPr>
        <w:t>制造商必须建立并维护设计移交程序以确保把设计规格有效转变为生产方法和程序。</w:t>
      </w:r>
      <w:r>
        <w:rPr>
          <w:rStyle w:val="17"/>
          <w:rFonts w:ascii="Arial" w:hAnsi="Arial" w:eastAsia="宋体" w:cs="Arial"/>
          <w:snapToGrid w:val="0"/>
          <w:lang w:eastAsia="zh-CN"/>
        </w:rPr>
        <w:footnoteReference w:id="61"/>
      </w:r>
      <w:r>
        <w:rPr>
          <w:rFonts w:hint="eastAsia" w:ascii="Arial" w:hAnsi="Arial" w:eastAsia="宋体" w:cs="Arial"/>
          <w:snapToGrid w:val="0"/>
          <w:lang w:eastAsia="zh-CN"/>
        </w:rPr>
        <w:t>设计移交是制造商品时产品设计和制造过程的桥梁。</w:t>
      </w:r>
    </w:p>
    <w:p w14:paraId="13F9A5F4">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5C7B32A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要求制造商建立确保在执行前鉴定、记录、确认或适当情况下验证、审核和批准设计要求变更的程序。</w:t>
      </w:r>
      <w:r>
        <w:rPr>
          <w:rStyle w:val="17"/>
          <w:rFonts w:ascii="Arial" w:hAnsi="Arial" w:eastAsia="宋体" w:cs="Arial"/>
          <w:snapToGrid w:val="0"/>
          <w:lang w:eastAsia="zh-CN"/>
        </w:rPr>
        <w:footnoteReference w:id="62"/>
      </w:r>
      <w:r>
        <w:rPr>
          <w:rFonts w:hint="eastAsia" w:ascii="Arial" w:hAnsi="Arial" w:eastAsia="宋体" w:cs="Arial"/>
          <w:snapToGrid w:val="0"/>
          <w:lang w:eastAsia="zh-CN"/>
        </w:rPr>
        <w:t>一旦制造商批准初始设计输入，即开始应用变更控制措施。</w:t>
      </w:r>
      <w:r>
        <w:rPr>
          <w:rStyle w:val="17"/>
          <w:rFonts w:ascii="Arial" w:hAnsi="Arial" w:eastAsia="宋体" w:cs="Arial"/>
          <w:snapToGrid w:val="0"/>
          <w:lang w:eastAsia="zh-CN"/>
        </w:rPr>
        <w:footnoteReference w:id="63"/>
      </w:r>
      <w:r>
        <w:rPr>
          <w:rFonts w:hint="eastAsia" w:ascii="Arial" w:hAnsi="Arial" w:eastAsia="宋体" w:cs="Arial"/>
          <w:snapToGrid w:val="0"/>
          <w:lang w:eastAsia="zh-CN"/>
        </w:rPr>
        <w:t>变更控制过程对于管理组合产品原始设计过程期间和设计移交至制造部门后的设计变更都是必不可少的。</w:t>
      </w:r>
      <w:r>
        <w:rPr>
          <w:rStyle w:val="17"/>
          <w:rFonts w:ascii="Arial" w:hAnsi="Arial" w:eastAsia="宋体" w:cs="Arial"/>
          <w:snapToGrid w:val="0"/>
          <w:lang w:eastAsia="zh-CN"/>
        </w:rPr>
        <w:footnoteReference w:id="64"/>
      </w:r>
      <w:r>
        <w:rPr>
          <w:rFonts w:hint="eastAsia" w:ascii="Arial" w:hAnsi="Arial" w:eastAsia="宋体" w:cs="Arial"/>
          <w:snapToGrid w:val="0"/>
          <w:lang w:eastAsia="zh-CN"/>
        </w:rPr>
        <w:t>必须保留这些变更记录作为设计历史文件的一部分（</w:t>
      </w:r>
      <w:r>
        <w:rPr>
          <w:rFonts w:ascii="Arial" w:hAnsi="Arial" w:eastAsia="宋体" w:cs="Arial"/>
          <w:snapToGrid w:val="0"/>
          <w:lang w:eastAsia="zh-CN"/>
        </w:rPr>
        <w:t>21 CFR 820.30</w:t>
      </w:r>
      <w:r>
        <w:rPr>
          <w:rFonts w:hint="eastAsia" w:ascii="Arial" w:hAnsi="Arial" w:eastAsia="宋体" w:cs="Arial"/>
          <w:snapToGrid w:val="0"/>
          <w:lang w:eastAsia="zh-CN"/>
        </w:rPr>
        <w:t>（</w:t>
      </w:r>
      <w:r>
        <w:rPr>
          <w:rFonts w:ascii="Arial" w:hAnsi="Arial" w:eastAsia="宋体" w:cs="Arial"/>
          <w:snapToGrid w:val="0"/>
          <w:lang w:eastAsia="zh-CN"/>
        </w:rPr>
        <w:t>j</w:t>
      </w:r>
      <w:r>
        <w:rPr>
          <w:rFonts w:hint="eastAsia" w:ascii="Arial" w:hAnsi="Arial" w:eastAsia="宋体" w:cs="Arial"/>
          <w:snapToGrid w:val="0"/>
          <w:lang w:eastAsia="zh-CN"/>
        </w:rPr>
        <w:t>））。它们创造了设计的发展史，在调查故障或评价所提议的其它产品变更的适宜性时很重要。只要设计变更和移交过程符合</w:t>
      </w:r>
      <w:r>
        <w:rPr>
          <w:rFonts w:ascii="Arial" w:hAnsi="Arial" w:eastAsia="宋体" w:cs="Arial"/>
          <w:snapToGrid w:val="0"/>
          <w:lang w:eastAsia="zh-CN"/>
        </w:rPr>
        <w:t>21 CFR 820.30</w:t>
      </w:r>
      <w:r>
        <w:rPr>
          <w:rFonts w:hint="eastAsia" w:ascii="Arial" w:hAnsi="Arial" w:eastAsia="宋体" w:cs="Arial"/>
          <w:snapToGrid w:val="0"/>
          <w:lang w:eastAsia="zh-CN"/>
        </w:rPr>
        <w:t>，制造商可选择采用不同的上市前（与上市后相对）变更过程以适应临床试验阶段通常存在的快速、迭代的设计过程。</w:t>
      </w:r>
    </w:p>
    <w:p w14:paraId="02D868A8">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组合产品的设计历史文件（</w:t>
      </w:r>
      <w:r>
        <w:rPr>
          <w:rFonts w:ascii="Arial" w:hAnsi="Arial" w:eastAsia="宋体" w:cs="Arial"/>
          <w:snapToGrid w:val="0"/>
          <w:lang w:eastAsia="zh-CN"/>
        </w:rPr>
        <w:t>DHF</w:t>
      </w:r>
      <w:r>
        <w:rPr>
          <w:rFonts w:hint="eastAsia" w:ascii="Arial" w:hAnsi="Arial" w:eastAsia="宋体" w:cs="Arial"/>
          <w:snapToGrid w:val="0"/>
          <w:lang w:eastAsia="zh-CN"/>
        </w:rPr>
        <w:t>）应记录与组成部分联合应用相关的所有设计问题。</w:t>
      </w:r>
      <w:r>
        <w:rPr>
          <w:rFonts w:ascii="Arial" w:hAnsi="Arial" w:eastAsia="宋体" w:cs="Arial"/>
          <w:snapToGrid w:val="0"/>
          <w:lang w:eastAsia="zh-CN"/>
        </w:rPr>
        <w:t>DHF</w:t>
      </w:r>
      <w:r>
        <w:rPr>
          <w:rFonts w:hint="eastAsia" w:ascii="Arial" w:hAnsi="Arial" w:eastAsia="宋体" w:cs="Arial"/>
          <w:snapToGrid w:val="0"/>
          <w:lang w:eastAsia="zh-CN"/>
        </w:rPr>
        <w:t>可能不需要记录关于单个组成部分已证实特征的设计和开发计划，例如，如果组合包装组合产品的药品组成部分之前已得到过可以用于相同适应症，那么就无需再考虑药品组成部分的安全性和有效性。如果一种成品器械、药品或生物制剂是采购的，那么不要求组合产品制造商对该组成部分的这类之前审核过的特征进行回顾性地</w:t>
      </w:r>
      <w:r>
        <w:rPr>
          <w:rFonts w:hint="eastAsia" w:ascii="宋体" w:hAnsi="宋体" w:eastAsia="宋体" w:cs="Arial"/>
          <w:snapToGrid w:val="0"/>
          <w:lang w:eastAsia="zh-CN"/>
        </w:rPr>
        <w:t>“</w:t>
      </w:r>
      <w:r>
        <w:rPr>
          <w:rFonts w:hint="eastAsia" w:ascii="Arial" w:hAnsi="Arial" w:eastAsia="宋体" w:cs="Arial"/>
          <w:snapToGrid w:val="0"/>
          <w:lang w:eastAsia="zh-CN"/>
        </w:rPr>
        <w:t>设计</w:t>
      </w:r>
      <w:r>
        <w:rPr>
          <w:rFonts w:hint="eastAsia" w:ascii="宋体" w:hAnsi="宋体" w:eastAsia="宋体" w:cs="Arial"/>
          <w:snapToGrid w:val="0"/>
          <w:lang w:eastAsia="zh-CN"/>
        </w:rPr>
        <w:t>”</w:t>
      </w:r>
      <w:r>
        <w:rPr>
          <w:rFonts w:hint="eastAsia" w:ascii="Arial" w:hAnsi="Arial" w:eastAsia="宋体" w:cs="Arial"/>
          <w:snapToGrid w:val="0"/>
          <w:lang w:eastAsia="zh-CN"/>
        </w:rPr>
        <w:t>。但组合产品制造商应彻底理解组成部分的现有设计规格以对其在组合产品中的使用执行恰当的设计控制。</w:t>
      </w:r>
      <w:r>
        <w:rPr>
          <w:rStyle w:val="17"/>
          <w:rFonts w:ascii="Arial" w:hAnsi="Arial" w:eastAsia="宋体" w:cs="Arial"/>
          <w:snapToGrid w:val="0"/>
          <w:lang w:eastAsia="zh-CN"/>
        </w:rPr>
        <w:footnoteReference w:id="65"/>
      </w:r>
      <w:r>
        <w:rPr>
          <w:rFonts w:hint="eastAsia" w:ascii="Arial" w:hAnsi="Arial" w:eastAsia="宋体" w:cs="Arial"/>
          <w:snapToGrid w:val="0"/>
          <w:lang w:eastAsia="zh-CN"/>
        </w:rPr>
        <w:t>如果需要将一种单独开发的药品、器械或生物制剂组成部分进行修改以用于组合产品，制造商必须评估必须执行哪些设计控制活动以确保组合产品的安全性和有效性（例如药品新配方或器械新特性）。</w:t>
      </w:r>
      <w:r>
        <w:rPr>
          <w:rStyle w:val="17"/>
          <w:rFonts w:ascii="Arial" w:hAnsi="Arial" w:eastAsia="宋体" w:cs="Arial"/>
          <w:snapToGrid w:val="0"/>
          <w:lang w:eastAsia="zh-CN"/>
        </w:rPr>
        <w:footnoteReference w:id="66"/>
      </w:r>
    </w:p>
    <w:p w14:paraId="2C26576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组合产品的</w:t>
      </w:r>
      <w:r>
        <w:rPr>
          <w:rFonts w:ascii="Arial" w:hAnsi="Arial" w:eastAsia="宋体" w:cs="Arial"/>
          <w:snapToGrid w:val="0"/>
          <w:lang w:eastAsia="zh-CN"/>
        </w:rPr>
        <w:t>DHF</w:t>
      </w:r>
      <w:r>
        <w:rPr>
          <w:rFonts w:hint="eastAsia" w:ascii="Arial" w:hAnsi="Arial" w:eastAsia="宋体" w:cs="Arial"/>
          <w:snapToGrid w:val="0"/>
          <w:lang w:eastAsia="zh-CN"/>
        </w:rPr>
        <w:t>可适当借用和参照开发数据和数据系统。从药品开发过渡至组合产品开发的制造商应评价现有开发文件和系统并评估可能需要哪些（如果有）变更以证明符合</w:t>
      </w:r>
      <w:r>
        <w:rPr>
          <w:rFonts w:ascii="Arial" w:hAnsi="Arial" w:eastAsia="宋体" w:cs="Arial"/>
          <w:snapToGrid w:val="0"/>
          <w:lang w:eastAsia="zh-CN"/>
        </w:rPr>
        <w:t>21 CFR</w:t>
      </w:r>
      <w:r>
        <w:rPr>
          <w:rFonts w:hint="eastAsia" w:ascii="Arial" w:hAnsi="Arial" w:eastAsia="宋体" w:cs="Arial"/>
          <w:snapToGrid w:val="0"/>
          <w:lang w:eastAsia="zh-CN"/>
        </w:rPr>
        <w:t xml:space="preserve"> </w:t>
      </w:r>
      <w:r>
        <w:rPr>
          <w:rFonts w:ascii="Arial" w:hAnsi="Arial" w:eastAsia="宋体" w:cs="Arial"/>
          <w:snapToGrid w:val="0"/>
          <w:lang w:eastAsia="zh-CN"/>
        </w:rPr>
        <w:t>820.30</w:t>
      </w:r>
      <w:r>
        <w:rPr>
          <w:rFonts w:hint="eastAsia" w:ascii="Arial" w:hAnsi="Arial" w:eastAsia="宋体" w:cs="Arial"/>
          <w:snapToGrid w:val="0"/>
          <w:lang w:eastAsia="zh-CN"/>
        </w:rPr>
        <w:t>。制造商应能够在上市前提交资料中和在检查时向FDA解释他们的规范和术语如何匹配</w:t>
      </w:r>
      <w:r>
        <w:rPr>
          <w:rFonts w:ascii="Arial" w:hAnsi="Arial" w:eastAsia="宋体" w:cs="Arial"/>
          <w:snapToGrid w:val="0"/>
          <w:lang w:eastAsia="zh-CN"/>
        </w:rPr>
        <w:t>21 CFR 820.30</w:t>
      </w:r>
      <w:r>
        <w:rPr>
          <w:rFonts w:hint="eastAsia" w:ascii="Arial" w:hAnsi="Arial" w:eastAsia="宋体" w:cs="Arial"/>
          <w:snapToGrid w:val="0"/>
          <w:lang w:eastAsia="zh-CN"/>
        </w:rPr>
        <w:t>中的要求，并能够鉴定和准备好证明符合设计控制要求所需的所有文件供FDA检查。</w:t>
      </w:r>
    </w:p>
    <w:p w14:paraId="0A5AEF94">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91" w:name="_bookmark81"/>
      <w:bookmarkEnd w:id="91"/>
      <w:bookmarkStart w:id="92" w:name="_bookmark85"/>
      <w:bookmarkEnd w:id="92"/>
      <w:bookmarkStart w:id="93" w:name="_bookmark84"/>
      <w:bookmarkEnd w:id="93"/>
      <w:r>
        <w:rPr>
          <w:rFonts w:ascii="Arial" w:hAnsi="Arial" w:eastAsia="宋体" w:cs="Arial"/>
          <w:snapToGrid w:val="0"/>
          <w:sz w:val="24"/>
          <w:szCs w:val="20"/>
          <w:lang w:eastAsia="zh-CN"/>
        </w:rPr>
        <w:br w:type="page"/>
      </w:r>
    </w:p>
    <w:p w14:paraId="442D5AC2">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如果制造商正在评价当前销售的组合产品的设计控制措施和文件是否充分，则审查组合产品的上市前提交资料、产品风险预测和上市后经验可能对其有所帮助。基于该审查结果可决定是否需要额外的测试和文件。FDA鼓励组合产品制造商把关于他们设计控制措施和文件充分性的具体问题提交给他们产品的首要中心和OCP（如需要）并请求帮助。关于设计控制的进一步信息，见最终器械QS规章的序文。</w:t>
      </w:r>
      <w:r>
        <w:rPr>
          <w:rStyle w:val="17"/>
          <w:rFonts w:ascii="Arial" w:hAnsi="Arial" w:eastAsia="宋体" w:cs="Arial"/>
          <w:snapToGrid w:val="0"/>
          <w:lang w:eastAsia="zh-CN"/>
        </w:rPr>
        <w:footnoteReference w:id="67"/>
      </w:r>
    </w:p>
    <w:p w14:paraId="60388300">
      <w:pPr>
        <w:pStyle w:val="23"/>
        <w:numPr>
          <w:ilvl w:val="0"/>
          <w:numId w:val="8"/>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94" w:name="3._Purchasing_controls_(21_CFR_820.50)"/>
      <w:bookmarkEnd w:id="94"/>
      <w:r>
        <w:rPr>
          <w:rFonts w:hint="eastAsia" w:ascii="Arial" w:hAnsi="Arial" w:eastAsia="宋体" w:cs="Arial"/>
          <w:snapToGrid w:val="0"/>
          <w:lang w:eastAsia="zh-CN"/>
        </w:rPr>
        <w:t>采购控制</w:t>
      </w:r>
      <w:r>
        <w:rPr>
          <w:rFonts w:hint="eastAsia" w:ascii="Arial" w:hAnsi="Arial" w:eastAsia="宋体" w:cs="Arial"/>
          <w:snapToGrid w:val="0"/>
        </w:rPr>
        <w:t>（</w:t>
      </w:r>
      <w:r>
        <w:rPr>
          <w:rFonts w:ascii="Arial" w:hAnsi="Arial" w:eastAsia="宋体" w:cs="Arial"/>
          <w:snapToGrid w:val="0"/>
        </w:rPr>
        <w:t>21 CFR 820.50</w:t>
      </w:r>
      <w:r>
        <w:rPr>
          <w:rFonts w:hint="eastAsia" w:ascii="Arial" w:hAnsi="Arial" w:eastAsia="宋体" w:cs="Arial"/>
          <w:snapToGrid w:val="0"/>
        </w:rPr>
        <w:t>）</w:t>
      </w:r>
    </w:p>
    <w:p w14:paraId="4EE38D7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w:t>
      </w:r>
      <w:r>
        <w:rPr>
          <w:rFonts w:ascii="Arial" w:hAnsi="Arial" w:eastAsia="宋体" w:cs="Arial"/>
          <w:snapToGrid w:val="0"/>
          <w:lang w:eastAsia="zh-CN"/>
        </w:rPr>
        <w:t>21 CFR</w:t>
      </w:r>
      <w:r>
        <w:rPr>
          <w:rFonts w:hint="eastAsia" w:ascii="Arial" w:hAnsi="Arial" w:eastAsia="宋体" w:cs="Arial"/>
          <w:snapToGrid w:val="0"/>
          <w:lang w:eastAsia="zh-CN"/>
        </w:rPr>
        <w:t xml:space="preserve"> </w:t>
      </w:r>
      <w:r>
        <w:rPr>
          <w:rFonts w:ascii="Arial" w:hAnsi="Arial" w:eastAsia="宋体" w:cs="Arial"/>
          <w:snapToGrid w:val="0"/>
          <w:lang w:eastAsia="zh-CN"/>
        </w:rPr>
        <w:t>820.50</w:t>
      </w:r>
      <w:r>
        <w:rPr>
          <w:rFonts w:hint="eastAsia" w:ascii="Arial" w:hAnsi="Arial" w:eastAsia="宋体" w:cs="Arial"/>
          <w:snapToGrid w:val="0"/>
          <w:lang w:eastAsia="zh-CN"/>
        </w:rPr>
        <w:t>中所述，包含器械组成部分的单一实体和组合包装组合产品制造商必须控制采购的产品</w:t>
      </w:r>
      <w:r>
        <w:rPr>
          <w:rStyle w:val="17"/>
          <w:rFonts w:ascii="Arial" w:hAnsi="Arial" w:eastAsia="宋体" w:cs="Arial"/>
          <w:snapToGrid w:val="0"/>
          <w:lang w:eastAsia="zh-CN"/>
        </w:rPr>
        <w:footnoteReference w:id="68"/>
      </w:r>
      <w:r>
        <w:rPr>
          <w:rFonts w:hint="eastAsia" w:ascii="Arial" w:hAnsi="Arial" w:eastAsia="宋体" w:cs="Arial"/>
          <w:snapToGrid w:val="0"/>
          <w:lang w:eastAsia="zh-CN"/>
        </w:rPr>
        <w:t>和服务。他们必须对机构接收的用于组合产品制造的产品、这些产品的所有供应商和所获服务的供应商（比如最终灭菌由外部实体实施）建立此类采购控制（</w:t>
      </w:r>
      <w:r>
        <w:rPr>
          <w:rFonts w:ascii="Arial" w:hAnsi="Arial" w:eastAsia="宋体" w:cs="Arial"/>
          <w:snapToGrid w:val="0"/>
          <w:lang w:eastAsia="zh-CN"/>
        </w:rPr>
        <w:t>21CFR 820.50</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））。之前仅制造药品而不制造器械或组合产品的机构，很可能根据第</w:t>
      </w:r>
      <w:r>
        <w:rPr>
          <w:rFonts w:ascii="Arial" w:hAnsi="Arial" w:eastAsia="宋体" w:cs="Arial"/>
          <w:snapToGrid w:val="0"/>
          <w:lang w:eastAsia="zh-CN"/>
        </w:rPr>
        <w:t>211</w:t>
      </w:r>
      <w:r>
        <w:rPr>
          <w:rFonts w:hint="eastAsia" w:ascii="Arial" w:hAnsi="Arial" w:eastAsia="宋体" w:cs="Arial"/>
          <w:snapToGrid w:val="0"/>
          <w:lang w:eastAsia="zh-CN"/>
        </w:rPr>
        <w:t>部分子部分</w:t>
      </w:r>
      <w:r>
        <w:rPr>
          <w:rFonts w:ascii="Arial" w:hAnsi="Arial" w:eastAsia="宋体" w:cs="Arial"/>
          <w:snapToGrid w:val="0"/>
          <w:lang w:eastAsia="zh-CN"/>
        </w:rPr>
        <w:t>E</w:t>
      </w:r>
      <w:r>
        <w:rPr>
          <w:rFonts w:hint="eastAsia" w:ascii="Arial" w:hAnsi="Arial" w:eastAsia="宋体" w:cs="Arial"/>
          <w:snapToGrid w:val="0"/>
          <w:lang w:eastAsia="zh-CN"/>
        </w:rPr>
        <w:t>建立了相关程序。然而，如果这些程序不能证明符合</w:t>
      </w:r>
      <w:r>
        <w:rPr>
          <w:rFonts w:ascii="Arial" w:hAnsi="Arial" w:eastAsia="宋体" w:cs="Arial"/>
          <w:snapToGrid w:val="0"/>
          <w:lang w:eastAsia="zh-CN"/>
        </w:rPr>
        <w:t>21 CFR 820.50</w:t>
      </w:r>
      <w:r>
        <w:rPr>
          <w:rFonts w:hint="eastAsia" w:ascii="Arial" w:hAnsi="Arial" w:eastAsia="宋体" w:cs="Arial"/>
          <w:snapToGrid w:val="0"/>
          <w:lang w:eastAsia="zh-CN"/>
        </w:rPr>
        <w:t>的具体要求，则必须扩大这些程序以满足要求。</w:t>
      </w:r>
    </w:p>
    <w:p w14:paraId="09DF7149">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制造商必须对潜在供应商进行评价并基于评价结果确定对他们实行的控制类型和程度。</w:t>
      </w:r>
      <w:r>
        <w:rPr>
          <w:rStyle w:val="17"/>
          <w:rFonts w:ascii="Arial" w:hAnsi="Arial" w:eastAsia="宋体" w:cs="Arial"/>
          <w:snapToGrid w:val="0"/>
          <w:lang w:eastAsia="zh-CN"/>
        </w:rPr>
        <w:footnoteReference w:id="69"/>
      </w:r>
      <w:r>
        <w:rPr>
          <w:rFonts w:hint="eastAsia" w:ascii="Arial" w:hAnsi="Arial" w:eastAsia="宋体" w:cs="Arial"/>
          <w:snapToGrid w:val="0"/>
          <w:lang w:eastAsia="zh-CN"/>
        </w:rPr>
        <w:t>制造商可基于以下因素设计和实施这类评价，比如与供应产品或服务相关的风险和产品或服务规格的复杂度。制造商必须建立并保留采购产品和服务的可接受供应商记录，</w:t>
      </w:r>
      <w:r>
        <w:rPr>
          <w:rStyle w:val="17"/>
          <w:rFonts w:ascii="Arial" w:hAnsi="Arial" w:eastAsia="宋体" w:cs="Arial"/>
          <w:snapToGrid w:val="0"/>
          <w:lang w:eastAsia="zh-CN"/>
        </w:rPr>
        <w:footnoteReference w:id="70"/>
      </w:r>
      <w:r>
        <w:rPr>
          <w:rFonts w:hint="eastAsia" w:ascii="Arial" w:hAnsi="Arial" w:eastAsia="宋体" w:cs="Arial"/>
          <w:snapToGrid w:val="0"/>
          <w:lang w:eastAsia="zh-CN"/>
        </w:rPr>
        <w:t>并建立和维护清晰描述或提及对接收产品和服务具体要求的数据（例如有相关条款的合同）。</w:t>
      </w:r>
      <w:r>
        <w:rPr>
          <w:rStyle w:val="17"/>
          <w:rFonts w:ascii="Arial" w:hAnsi="Arial" w:eastAsia="宋体" w:cs="Arial"/>
          <w:snapToGrid w:val="0"/>
          <w:lang w:eastAsia="zh-CN"/>
        </w:rPr>
        <w:footnoteReference w:id="71"/>
      </w:r>
    </w:p>
    <w:p w14:paraId="2BA906C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促进采购控制的一种方法是精心安排与供应商的采购协议。可能情况下，这类协议用于确保组合产品制造商能够得到关于产品、制造工艺或所获服务变更的通知。</w:t>
      </w:r>
      <w:r>
        <w:rPr>
          <w:rStyle w:val="17"/>
          <w:rFonts w:ascii="Arial" w:hAnsi="Arial" w:eastAsia="宋体" w:cs="Arial"/>
          <w:snapToGrid w:val="0"/>
          <w:lang w:eastAsia="zh-CN"/>
        </w:rPr>
        <w:footnoteReference w:id="72"/>
      </w:r>
      <w:r>
        <w:rPr>
          <w:rFonts w:hint="eastAsia" w:ascii="Arial" w:hAnsi="Arial" w:eastAsia="宋体" w:cs="Arial"/>
          <w:snapToGrid w:val="0"/>
          <w:lang w:eastAsia="zh-CN"/>
        </w:rPr>
        <w:t>这类变更通知不仅促进遵守采购控制义务而且可能促进遵守其它法规要求，包括完成额外的设计验证测试以解决变更的设计控制义务（例如，当也是容器密封件的器械组成部分的材料变更时，确保维持药品组成部分的纯度和稳定性的义务）。如果不可能获得这类通知，组合产品制造商应执行额外的控制措施以确保鉴定出这些变更并采取适当措施。组合产品制造商应确保协议的结构恰当，无论是通过与供应商和委托制造商建立的直接协议还是通过证实这些参与方之间有充分协议。例如，组合产品制造商可选择与一个直接给委托制造机构提供材料的材料供应商建立变更协议。</w:t>
      </w:r>
    </w:p>
    <w:p w14:paraId="1759DCD6">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95" w:name="_bookmark86"/>
      <w:bookmarkEnd w:id="95"/>
      <w:bookmarkStart w:id="96" w:name="_bookmark89"/>
      <w:bookmarkEnd w:id="96"/>
      <w:r>
        <w:rPr>
          <w:rFonts w:ascii="Arial" w:hAnsi="Arial" w:eastAsia="宋体" w:cs="Arial"/>
          <w:snapToGrid w:val="0"/>
          <w:sz w:val="24"/>
          <w:szCs w:val="20"/>
          <w:lang w:eastAsia="zh-CN"/>
        </w:rPr>
        <w:br w:type="page"/>
      </w:r>
    </w:p>
    <w:p w14:paraId="487CC4F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注意无论采购控制措施的本质如何，组合产品制造商都必须遵守</w:t>
      </w:r>
      <w:r>
        <w:rPr>
          <w:rFonts w:ascii="Arial" w:hAnsi="Arial" w:eastAsia="宋体" w:cs="Arial"/>
          <w:snapToGrid w:val="0"/>
          <w:lang w:eastAsia="zh-CN"/>
        </w:rPr>
        <w:t>21 CFR 211.84</w:t>
      </w:r>
      <w:r>
        <w:rPr>
          <w:rFonts w:hint="eastAsia" w:ascii="Arial" w:hAnsi="Arial" w:eastAsia="宋体" w:cs="Arial"/>
          <w:snapToGrid w:val="0"/>
          <w:lang w:eastAsia="zh-CN"/>
        </w:rPr>
        <w:t>中关于药品成分及产品容器和密封件的测试要求。（</w:t>
      </w:r>
      <w:r>
        <w:fldChar w:fldCharType="begin"/>
      </w:r>
      <w:r>
        <w:instrText xml:space="preserve"> HYPERLINK \l "_bookmark95" </w:instrText>
      </w:r>
      <w:r>
        <w:fldChar w:fldCharType="separate"/>
      </w:r>
      <w:r>
        <w:rPr>
          <w:rFonts w:hint="eastAsia" w:ascii="Arial" w:hAnsi="Arial" w:eastAsia="宋体" w:cs="Arial"/>
          <w:snapToGrid w:val="0"/>
          <w:lang w:eastAsia="zh-CN"/>
        </w:rPr>
        <w:t>见下面的</w:t>
      </w:r>
      <w:r>
        <w:rPr>
          <w:rFonts w:ascii="Arial" w:hAnsi="Arial" w:eastAsia="宋体" w:cs="Arial"/>
          <w:snapToGrid w:val="0"/>
          <w:lang w:eastAsia="zh-CN"/>
        </w:rPr>
        <w:t xml:space="preserve">IV.B.1 </w:t>
      </w:r>
      <w:r>
        <w:rPr>
          <w:rFonts w:ascii="Arial" w:hAnsi="Arial" w:eastAsia="宋体" w:cs="Arial"/>
          <w:snapToGrid w:val="0"/>
          <w:lang w:eastAsia="zh-CN"/>
        </w:rPr>
        <w:fldChar w:fldCharType="end"/>
      </w:r>
      <w:r>
        <w:rPr>
          <w:rFonts w:hint="eastAsia" w:ascii="Arial" w:hAnsi="Arial" w:eastAsia="宋体" w:cs="Arial"/>
          <w:snapToGrid w:val="0"/>
          <w:lang w:eastAsia="zh-CN"/>
        </w:rPr>
        <w:t>）。</w:t>
      </w:r>
    </w:p>
    <w:p w14:paraId="1B361FEC">
      <w:pPr>
        <w:pStyle w:val="23"/>
        <w:numPr>
          <w:ilvl w:val="0"/>
          <w:numId w:val="8"/>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lang w:eastAsia="zh-CN"/>
        </w:rPr>
      </w:pPr>
      <w:bookmarkStart w:id="97" w:name="4._Corrective_and_Preventive_Actions_(21"/>
      <w:bookmarkEnd w:id="97"/>
      <w:r>
        <w:rPr>
          <w:rFonts w:hint="eastAsia" w:ascii="Arial" w:hAnsi="Arial" w:eastAsia="宋体" w:cs="Arial"/>
          <w:snapToGrid w:val="0"/>
          <w:lang w:eastAsia="zh-CN"/>
        </w:rPr>
        <w:t>纠正预防措施（</w:t>
      </w:r>
      <w:r>
        <w:rPr>
          <w:rFonts w:ascii="Arial" w:hAnsi="Arial" w:eastAsia="宋体" w:cs="Arial"/>
          <w:snapToGrid w:val="0"/>
          <w:lang w:eastAsia="zh-CN"/>
        </w:rPr>
        <w:t>21 CFR 820.100</w:t>
      </w:r>
      <w:r>
        <w:rPr>
          <w:rFonts w:hint="eastAsia" w:ascii="Arial" w:hAnsi="Arial" w:eastAsia="宋体" w:cs="Arial"/>
          <w:snapToGrid w:val="0"/>
          <w:lang w:eastAsia="zh-CN"/>
        </w:rPr>
        <w:t>）</w:t>
      </w:r>
    </w:p>
    <w:p w14:paraId="0072571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820.100</w:t>
      </w:r>
      <w:r>
        <w:rPr>
          <w:rFonts w:hint="eastAsia" w:ascii="Arial" w:hAnsi="Arial" w:eastAsia="宋体" w:cs="Arial"/>
          <w:snapToGrid w:val="0"/>
          <w:lang w:eastAsia="zh-CN"/>
        </w:rPr>
        <w:t>，含器械组成部分的组合包装或单个实体组合产品制造商必须建立并维护执行</w:t>
      </w:r>
      <w:r>
        <w:rPr>
          <w:rFonts w:ascii="Arial" w:hAnsi="Arial" w:eastAsia="宋体" w:cs="Arial"/>
          <w:snapToGrid w:val="0"/>
          <w:lang w:eastAsia="zh-CN"/>
        </w:rPr>
        <w:t>CAPA</w:t>
      </w:r>
      <w:r>
        <w:rPr>
          <w:rFonts w:hint="eastAsia" w:ascii="Arial" w:hAnsi="Arial" w:eastAsia="宋体" w:cs="Arial"/>
          <w:snapToGrid w:val="0"/>
          <w:lang w:eastAsia="zh-CN"/>
        </w:rPr>
        <w:t>的程序。药品</w:t>
      </w:r>
      <w:r>
        <w:rPr>
          <w:rFonts w:ascii="Arial" w:hAnsi="Arial" w:eastAsia="宋体" w:cs="Arial"/>
          <w:snapToGrid w:val="0"/>
          <w:lang w:eastAsia="zh-CN"/>
        </w:rPr>
        <w:t>CGMP</w:t>
      </w:r>
      <w:r>
        <w:rPr>
          <w:rFonts w:hint="eastAsia" w:ascii="Arial" w:hAnsi="Arial" w:eastAsia="宋体" w:cs="Arial"/>
          <w:snapToGrid w:val="0"/>
          <w:lang w:eastAsia="zh-CN"/>
        </w:rPr>
        <w:t>中的相关要求包括</w:t>
      </w:r>
      <w:r>
        <w:rPr>
          <w:rFonts w:ascii="Arial" w:hAnsi="Arial" w:eastAsia="宋体" w:cs="Arial"/>
          <w:snapToGrid w:val="0"/>
          <w:lang w:eastAsia="zh-CN"/>
        </w:rPr>
        <w:t>21 CFR 211.192</w:t>
      </w:r>
      <w:r>
        <w:rPr>
          <w:rFonts w:hint="eastAsia" w:ascii="Arial" w:hAnsi="Arial" w:eastAsia="宋体" w:cs="Arial"/>
          <w:snapToGrid w:val="0"/>
          <w:lang w:eastAsia="zh-CN"/>
        </w:rPr>
        <w:t>和</w:t>
      </w:r>
      <w:r>
        <w:rPr>
          <w:rFonts w:ascii="Arial" w:hAnsi="Arial" w:eastAsia="宋体" w:cs="Arial"/>
          <w:snapToGrid w:val="0"/>
          <w:lang w:eastAsia="zh-CN"/>
        </w:rPr>
        <w:t>21 CFR 211.180</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Style w:val="17"/>
          <w:rFonts w:ascii="Arial" w:hAnsi="Arial" w:eastAsia="宋体" w:cs="Arial"/>
          <w:snapToGrid w:val="0"/>
          <w:lang w:eastAsia="zh-CN"/>
        </w:rPr>
        <w:footnoteReference w:id="73"/>
      </w:r>
      <w:r>
        <w:rPr>
          <w:rFonts w:hint="eastAsia" w:ascii="Arial" w:hAnsi="Arial" w:eastAsia="宋体" w:cs="Arial"/>
          <w:snapToGrid w:val="0"/>
          <w:lang w:eastAsia="zh-CN"/>
        </w:rPr>
        <w:t>在需要时，组合产品制造商必须对其机构内出现的问题实施</w:t>
      </w:r>
      <w:r>
        <w:rPr>
          <w:rFonts w:ascii="Arial" w:hAnsi="Arial" w:eastAsia="宋体" w:cs="Arial"/>
          <w:snapToGrid w:val="0"/>
          <w:lang w:eastAsia="zh-CN"/>
        </w:rPr>
        <w:t>CAPA</w:t>
      </w:r>
      <w:r>
        <w:rPr>
          <w:rFonts w:hint="eastAsia" w:ascii="Arial" w:hAnsi="Arial" w:eastAsia="宋体" w:cs="Arial"/>
          <w:snapToGrid w:val="0"/>
          <w:lang w:eastAsia="zh-CN"/>
        </w:rPr>
        <w:t>措施。适当时，所有相关制造商应参与跨机构工作，以确定问题的根本原因和纠正这类问题并预防复发的适当措施。组合产品制造商应记录这些活动。</w:t>
      </w:r>
      <w:r>
        <w:rPr>
          <w:rStyle w:val="17"/>
          <w:rFonts w:ascii="Arial" w:hAnsi="Arial" w:eastAsia="宋体" w:cs="Arial"/>
          <w:snapToGrid w:val="0"/>
          <w:lang w:eastAsia="zh-CN"/>
        </w:rPr>
        <w:footnoteReference w:id="74"/>
      </w:r>
      <w:r>
        <w:rPr>
          <w:rFonts w:hint="eastAsia" w:ascii="Arial" w:hAnsi="Arial" w:eastAsia="宋体" w:cs="Arial"/>
          <w:snapToGrid w:val="0"/>
          <w:lang w:eastAsia="zh-CN"/>
        </w:rPr>
        <w:t>组合产品</w:t>
      </w:r>
      <w:r>
        <w:rPr>
          <w:rFonts w:ascii="Arial" w:hAnsi="Arial" w:eastAsia="宋体" w:cs="Arial"/>
          <w:snapToGrid w:val="0"/>
          <w:lang w:eastAsia="zh-CN"/>
        </w:rPr>
        <w:t>CAPA</w:t>
      </w:r>
      <w:r>
        <w:rPr>
          <w:rFonts w:hint="eastAsia" w:ascii="Arial" w:hAnsi="Arial" w:eastAsia="宋体" w:cs="Arial"/>
          <w:snapToGrid w:val="0"/>
          <w:lang w:eastAsia="zh-CN"/>
        </w:rPr>
        <w:t>过程也应考虑所有组成部分和整个组合产品纠正和预防措施的可能影响。</w:t>
      </w:r>
    </w:p>
    <w:p w14:paraId="691DF8D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尽管组合产品制造商可灵活协调各机构的</w:t>
      </w:r>
      <w:r>
        <w:rPr>
          <w:rFonts w:ascii="Arial" w:hAnsi="Arial" w:eastAsia="宋体" w:cs="Arial"/>
          <w:snapToGrid w:val="0"/>
          <w:lang w:eastAsia="zh-CN"/>
        </w:rPr>
        <w:t>CAPA</w:t>
      </w:r>
      <w:r>
        <w:rPr>
          <w:rFonts w:hint="eastAsia" w:ascii="Arial" w:hAnsi="Arial" w:eastAsia="宋体" w:cs="Arial"/>
          <w:snapToGrid w:val="0"/>
          <w:lang w:eastAsia="zh-CN"/>
        </w:rPr>
        <w:t>系统，但他们要负责确保满足</w:t>
      </w:r>
      <w:r>
        <w:rPr>
          <w:rFonts w:ascii="Arial" w:hAnsi="Arial" w:eastAsia="宋体" w:cs="Arial"/>
          <w:snapToGrid w:val="0"/>
          <w:lang w:eastAsia="zh-CN"/>
        </w:rPr>
        <w:t>21 CFR 820.100</w:t>
      </w:r>
      <w:r>
        <w:rPr>
          <w:rFonts w:hint="eastAsia" w:ascii="Arial" w:hAnsi="Arial" w:eastAsia="宋体" w:cs="Arial"/>
          <w:snapToGrid w:val="0"/>
          <w:lang w:eastAsia="zh-CN"/>
        </w:rPr>
        <w:t>的要求。制造商应确保对相关机构的活动实施适当全面审核以确定是何原因导致现有或潜在的问题，这可能包括制造问题，偏差，或组成部分或整个组合产品不合格。制造商应设立适当的机制以确保鉴定出问题，采取纠正和预防复发的措施，和执行必要的变更。制造商应采取针对所有相关机构的所有相关制造步骤的适当措施（这可能包括</w:t>
      </w:r>
      <w:r>
        <w:rPr>
          <w:rFonts w:ascii="Arial" w:hAnsi="Arial" w:eastAsia="宋体" w:cs="Arial"/>
          <w:snapToGrid w:val="0"/>
          <w:lang w:eastAsia="zh-CN"/>
        </w:rPr>
        <w:t>CAPAs</w:t>
      </w:r>
      <w:r>
        <w:rPr>
          <w:rFonts w:hint="eastAsia" w:ascii="Arial" w:hAnsi="Arial" w:eastAsia="宋体" w:cs="Arial"/>
          <w:snapToGrid w:val="0"/>
          <w:lang w:eastAsia="zh-CN"/>
        </w:rPr>
        <w:t>）以纠正问题和防止或缓解它们进一步发展。</w:t>
      </w:r>
    </w:p>
    <w:p w14:paraId="05E8FFA2">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1BDF69C9">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98" w:name="B._Provisions_from_the_drug_CGMPs_specif"/>
      <w:bookmarkEnd w:id="98"/>
      <w:bookmarkStart w:id="99" w:name="_bookmark94"/>
      <w:bookmarkEnd w:id="99"/>
      <w:bookmarkStart w:id="100" w:name="_Toc498640475"/>
      <w:r>
        <w:rPr>
          <w:rFonts w:ascii="Arial" w:hAnsi="Arial" w:eastAsia="宋体" w:cs="Arial"/>
          <w:snapToGrid w:val="0"/>
          <w:sz w:val="24"/>
          <w:lang w:eastAsia="zh-CN"/>
        </w:rPr>
        <w:t>21 CFR 4.4</w:t>
      </w:r>
      <w:r>
        <w:rPr>
          <w:rFonts w:hint="eastAsia" w:ascii="Arial" w:hAnsi="Arial" w:eastAsia="宋体" w:cs="Arial"/>
          <w:snapToGrid w:val="0"/>
          <w:sz w:val="24"/>
          <w:lang w:eastAsia="zh-CN"/>
        </w:rPr>
        <w:t>（</w:t>
      </w:r>
      <w:r>
        <w:rPr>
          <w:rFonts w:ascii="Arial" w:hAnsi="Arial" w:eastAsia="宋体" w:cs="Arial"/>
          <w:snapToGrid w:val="0"/>
          <w:sz w:val="24"/>
          <w:lang w:eastAsia="zh-CN"/>
        </w:rPr>
        <w:t>b</w:t>
      </w:r>
      <w:r>
        <w:rPr>
          <w:rFonts w:hint="eastAsia" w:ascii="Arial" w:hAnsi="Arial" w:eastAsia="宋体" w:cs="Arial"/>
          <w:snapToGrid w:val="0"/>
          <w:sz w:val="24"/>
          <w:lang w:eastAsia="zh-CN"/>
        </w:rPr>
        <w:t>）（</w:t>
      </w:r>
      <w:r>
        <w:rPr>
          <w:rFonts w:ascii="Arial" w:hAnsi="Arial" w:eastAsia="宋体" w:cs="Arial"/>
          <w:snapToGrid w:val="0"/>
          <w:sz w:val="24"/>
          <w:lang w:eastAsia="zh-CN"/>
        </w:rPr>
        <w:t>2</w:t>
      </w:r>
      <w:r>
        <w:rPr>
          <w:rFonts w:hint="eastAsia" w:ascii="Arial" w:hAnsi="Arial" w:eastAsia="宋体" w:cs="Arial"/>
          <w:snapToGrid w:val="0"/>
          <w:sz w:val="24"/>
          <w:lang w:eastAsia="zh-CN"/>
        </w:rPr>
        <w:t>）中指定的药品</w:t>
      </w:r>
      <w:r>
        <w:rPr>
          <w:rFonts w:ascii="Arial" w:hAnsi="Arial" w:eastAsia="宋体" w:cs="Arial"/>
          <w:snapToGrid w:val="0"/>
          <w:sz w:val="24"/>
          <w:lang w:eastAsia="zh-CN"/>
        </w:rPr>
        <w:t>CGMPs</w:t>
      </w:r>
      <w:r>
        <w:rPr>
          <w:rFonts w:hint="eastAsia" w:ascii="Arial" w:hAnsi="Arial" w:eastAsia="宋体" w:cs="Arial"/>
          <w:snapToGrid w:val="0"/>
          <w:sz w:val="24"/>
          <w:lang w:eastAsia="zh-CN"/>
        </w:rPr>
        <w:t>的条款</w:t>
      </w:r>
      <w:bookmarkEnd w:id="100"/>
    </w:p>
    <w:p w14:paraId="3BB5ADC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本节提供对药品</w:t>
      </w:r>
      <w:r>
        <w:rPr>
          <w:rFonts w:ascii="Arial" w:hAnsi="Arial" w:eastAsia="宋体" w:cs="Arial"/>
          <w:snapToGrid w:val="0"/>
          <w:lang w:eastAsia="zh-CN"/>
        </w:rPr>
        <w:t>CGMPs</w:t>
      </w:r>
      <w:r>
        <w:rPr>
          <w:rFonts w:hint="eastAsia" w:ascii="Arial" w:hAnsi="Arial" w:eastAsia="宋体" w:cs="Arial"/>
          <w:snapToGrid w:val="0"/>
          <w:lang w:eastAsia="zh-CN"/>
        </w:rPr>
        <w:t>中的条款的简要说明，包括对组合产品应用这些要求时的注意事项。当采用</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）确立的基于器械</w:t>
      </w:r>
      <w:r>
        <w:rPr>
          <w:rFonts w:ascii="Arial" w:hAnsi="Arial" w:eastAsia="宋体" w:cs="Arial"/>
          <w:snapToGrid w:val="0"/>
          <w:lang w:eastAsia="zh-CN"/>
        </w:rPr>
        <w:t>QS</w:t>
      </w:r>
      <w:r>
        <w:rPr>
          <w:rFonts w:hint="eastAsia" w:ascii="Arial" w:hAnsi="Arial" w:eastAsia="宋体" w:cs="Arial"/>
          <w:snapToGrid w:val="0"/>
          <w:lang w:eastAsia="zh-CN"/>
        </w:rPr>
        <w:t>规章的简化方法时，单个实体和组合包装组合产品的制造商必须证明符合这些条款。该讨论的目的不是提供全面分析，而是帮助制造商—尤其是可能对药品</w:t>
      </w:r>
      <w:r>
        <w:rPr>
          <w:rFonts w:ascii="Arial" w:hAnsi="Arial" w:eastAsia="宋体" w:cs="Arial"/>
          <w:snapToGrid w:val="0"/>
          <w:lang w:eastAsia="zh-CN"/>
        </w:rPr>
        <w:t>CGMP</w:t>
      </w:r>
      <w:r>
        <w:rPr>
          <w:rFonts w:hint="eastAsia" w:ascii="Arial" w:hAnsi="Arial" w:eastAsia="宋体" w:cs="Arial"/>
          <w:snapToGrid w:val="0"/>
          <w:lang w:eastAsia="zh-CN"/>
        </w:rPr>
        <w:t>不太熟悉的器械制造商—理解</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）中指定的药品</w:t>
      </w:r>
      <w:r>
        <w:rPr>
          <w:rFonts w:ascii="Arial" w:hAnsi="Arial" w:eastAsia="宋体" w:cs="Arial"/>
          <w:snapToGrid w:val="0"/>
          <w:lang w:eastAsia="zh-CN"/>
        </w:rPr>
        <w:t>CGMP</w:t>
      </w:r>
      <w:r>
        <w:rPr>
          <w:rFonts w:hint="eastAsia" w:ascii="Arial" w:hAnsi="Arial" w:eastAsia="宋体" w:cs="Arial"/>
          <w:snapToGrid w:val="0"/>
          <w:lang w:eastAsia="zh-CN"/>
        </w:rPr>
        <w:t>条款的目的和基本要素以及为这类制造商提供额外指导。</w:t>
      </w:r>
    </w:p>
    <w:p w14:paraId="57535EA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指定的药品</w:t>
      </w:r>
      <w:r>
        <w:rPr>
          <w:rFonts w:ascii="Arial" w:hAnsi="Arial" w:eastAsia="宋体" w:cs="Arial"/>
          <w:snapToGrid w:val="0"/>
          <w:lang w:eastAsia="zh-CN"/>
        </w:rPr>
        <w:t>CGMPs</w:t>
      </w:r>
      <w:r>
        <w:rPr>
          <w:rFonts w:hint="eastAsia" w:ascii="Arial" w:hAnsi="Arial" w:eastAsia="宋体" w:cs="Arial"/>
          <w:snapToGrid w:val="0"/>
          <w:lang w:eastAsia="zh-CN"/>
        </w:rPr>
        <w:t>条款包括测试要求和对药品成分、药品容器和密封件、药品组成部分或整个组合产品批次或批量的其它验证程序要求。组合产品制造商应在所有生产阶段建立程序对</w:t>
      </w:r>
      <w:r>
        <w:rPr>
          <w:rFonts w:hint="eastAsia" w:ascii="宋体" w:hAnsi="宋体" w:eastAsia="宋体" w:cs="Arial"/>
          <w:snapToGrid w:val="0"/>
          <w:lang w:eastAsia="zh-CN"/>
        </w:rPr>
        <w:t>“</w:t>
      </w:r>
      <w:r>
        <w:rPr>
          <w:rFonts w:hint="eastAsia" w:ascii="Arial" w:hAnsi="Arial" w:eastAsia="宋体" w:cs="Arial"/>
          <w:snapToGrid w:val="0"/>
          <w:lang w:eastAsia="zh-CN"/>
        </w:rPr>
        <w:t>批次</w:t>
      </w:r>
      <w:r>
        <w:rPr>
          <w:rFonts w:hint="eastAsia" w:ascii="宋体" w:hAnsi="宋体" w:eastAsia="宋体" w:cs="Arial"/>
          <w:snapToGrid w:val="0"/>
          <w:lang w:eastAsia="zh-CN"/>
        </w:rPr>
        <w:t>”</w:t>
      </w:r>
      <w:r>
        <w:rPr>
          <w:rFonts w:hint="eastAsia" w:ascii="Arial" w:hAnsi="Arial" w:eastAsia="宋体" w:cs="Arial"/>
          <w:snapToGrid w:val="0"/>
          <w:lang w:eastAsia="zh-CN"/>
        </w:rPr>
        <w:t>或</w:t>
      </w:r>
      <w:r>
        <w:rPr>
          <w:rFonts w:hint="eastAsia" w:ascii="宋体" w:hAnsi="宋体" w:eastAsia="宋体" w:cs="Arial"/>
          <w:snapToGrid w:val="0"/>
          <w:lang w:eastAsia="zh-CN"/>
        </w:rPr>
        <w:t>“</w:t>
      </w:r>
      <w:r>
        <w:rPr>
          <w:rFonts w:hint="eastAsia" w:ascii="Arial" w:hAnsi="Arial" w:eastAsia="宋体" w:cs="Arial"/>
          <w:snapToGrid w:val="0"/>
          <w:lang w:eastAsia="zh-CN"/>
        </w:rPr>
        <w:t>批量</w:t>
      </w:r>
      <w:r>
        <w:rPr>
          <w:rFonts w:hint="eastAsia" w:ascii="宋体" w:hAnsi="宋体" w:eastAsia="宋体" w:cs="Arial"/>
          <w:snapToGrid w:val="0"/>
          <w:lang w:eastAsia="zh-CN"/>
        </w:rPr>
        <w:t>”</w:t>
      </w:r>
      <w:r>
        <w:rPr>
          <w:rFonts w:hint="eastAsia" w:ascii="Arial" w:hAnsi="Arial" w:eastAsia="宋体" w:cs="Arial"/>
          <w:snapToGrid w:val="0"/>
          <w:lang w:eastAsia="zh-CN"/>
        </w:rPr>
        <w:t>进行说明，对来料、中间体和成品产品所用的所有批次和批量编号系统进行说明。这些程序使制造商能够把组成部分、成分和中间体的批次或批量与它们构成的组合产品的具体批次或批量联系起来。这些程序使得追溯抽样和测试、包装和贴标签活动成为可能，且在评估和回应投诉和不良事件等问题时很重要。设计的主生产和控制记录应能够实现这种可追溯性。应准备好对大批次和小批次定义、控制措施和追踪的说明供检查时审核。</w:t>
      </w:r>
    </w:p>
    <w:p w14:paraId="0D36E3B7">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01" w:name="_bookmark95"/>
      <w:bookmarkEnd w:id="101"/>
      <w:bookmarkStart w:id="102" w:name="1._Testing_and_approval_or_rejection_of_"/>
      <w:bookmarkEnd w:id="102"/>
      <w:r>
        <w:rPr>
          <w:rFonts w:hint="eastAsia" w:ascii="Arial" w:hAnsi="Arial" w:eastAsia="宋体" w:cs="Arial"/>
          <w:snapToGrid w:val="0"/>
          <w:lang w:eastAsia="zh-CN"/>
        </w:rPr>
        <w:t>药品成分、容器和密封件的测试，和批准或否决</w:t>
      </w:r>
      <w:r>
        <w:rPr>
          <w:rFonts w:ascii="Arial" w:hAnsi="Arial" w:eastAsia="宋体" w:cs="Arial"/>
          <w:snapToGrid w:val="0"/>
          <w:lang w:eastAsia="zh-CN"/>
        </w:rPr>
        <w:t>（21 CFR 211.84）</w:t>
      </w:r>
    </w:p>
    <w:p w14:paraId="31C1C2F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必须根据</w:t>
      </w:r>
      <w:r>
        <w:rPr>
          <w:rFonts w:ascii="Arial" w:hAnsi="Arial" w:eastAsia="宋体" w:cs="Arial"/>
          <w:snapToGrid w:val="0"/>
          <w:lang w:eastAsia="zh-CN"/>
        </w:rPr>
        <w:t>21CFR 211.84</w:t>
      </w:r>
      <w:r>
        <w:rPr>
          <w:rFonts w:hint="eastAsia" w:ascii="Arial" w:hAnsi="Arial" w:eastAsia="宋体" w:cs="Arial"/>
          <w:snapToGrid w:val="0"/>
          <w:lang w:eastAsia="zh-CN"/>
        </w:rPr>
        <w:t>对药品成分、容器和密封件进行测试。药品成分指预期用于药品制造的所有配料，包括可能不包含于药品中的配料。</w:t>
      </w:r>
      <w:r>
        <w:rPr>
          <w:rStyle w:val="17"/>
          <w:rFonts w:ascii="Arial" w:hAnsi="Arial" w:eastAsia="宋体" w:cs="Arial"/>
          <w:snapToGrid w:val="0"/>
          <w:lang w:eastAsia="zh-CN"/>
        </w:rPr>
        <w:footnoteReference w:id="75"/>
      </w:r>
      <w:r>
        <w:rPr>
          <w:rFonts w:hint="eastAsia" w:ascii="Arial" w:hAnsi="Arial" w:eastAsia="宋体" w:cs="Arial"/>
          <w:snapToGrid w:val="0"/>
          <w:lang w:eastAsia="zh-CN"/>
        </w:rPr>
        <w:t>容器密封系统是共同装盛和保护药品的包装部件的总和。这包括主要包装和次级包装部件，预期为药品提供额外保护的是次级包装部件。</w:t>
      </w:r>
      <w:r>
        <w:rPr>
          <w:rStyle w:val="17"/>
          <w:rFonts w:ascii="Arial" w:hAnsi="Arial" w:eastAsia="宋体" w:cs="Arial"/>
          <w:snapToGrid w:val="0"/>
          <w:lang w:eastAsia="zh-CN"/>
        </w:rPr>
        <w:footnoteReference w:id="76"/>
      </w:r>
      <w:r>
        <w:rPr>
          <w:rFonts w:hint="eastAsia" w:ascii="Arial" w:hAnsi="Arial" w:eastAsia="宋体" w:cs="Arial"/>
          <w:snapToGrid w:val="0"/>
          <w:lang w:eastAsia="zh-CN"/>
        </w:rPr>
        <w:t>包装部件的例子包括安瓿、小瓶、螺帽、塞子和顶封。如</w:t>
      </w:r>
      <w:r>
        <w:rPr>
          <w:rFonts w:ascii="Arial" w:hAnsi="Arial" w:eastAsia="宋体" w:cs="Arial"/>
          <w:snapToGrid w:val="0"/>
          <w:lang w:eastAsia="zh-CN"/>
        </w:rPr>
        <w:t>III.C.3</w:t>
      </w:r>
      <w:r>
        <w:rPr>
          <w:rFonts w:hint="eastAsia" w:ascii="Arial" w:hAnsi="Arial" w:eastAsia="宋体" w:cs="Arial"/>
          <w:snapToGrid w:val="0"/>
          <w:lang w:eastAsia="zh-CN"/>
        </w:rPr>
        <w:t>节讨论的，也可将容器密封系统和容器密封系统要素也可作为器械进行监管。</w:t>
      </w:r>
    </w:p>
    <w:p w14:paraId="0D2356B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除非器械组成部分也是药品容器或密封件或其中一部分，否则组合产品制造商不需证明器械组成部分或制造器械组成部分所用物料符合该条款。例如，对于一个根据</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）（基于器械QS规章的简化方法）确立的</w:t>
      </w:r>
      <w:r>
        <w:rPr>
          <w:rFonts w:ascii="Arial" w:hAnsi="Arial" w:eastAsia="宋体" w:cs="Arial"/>
          <w:snapToGrid w:val="0"/>
          <w:lang w:eastAsia="zh-CN"/>
        </w:rPr>
        <w:t>CGMP</w:t>
      </w:r>
      <w:r>
        <w:rPr>
          <w:rFonts w:hint="eastAsia" w:ascii="Arial" w:hAnsi="Arial" w:eastAsia="宋体" w:cs="Arial"/>
          <w:snapToGrid w:val="0"/>
          <w:lang w:eastAsia="zh-CN"/>
        </w:rPr>
        <w:t>操作系统，如果物料仅用于制造不属于药品容器或密封件一部分的器械组成部分（例如一种组合包装器械），那么制造商仅需证明符合第</w:t>
      </w:r>
      <w:r>
        <w:rPr>
          <w:rFonts w:ascii="Arial" w:hAnsi="Arial" w:eastAsia="宋体" w:cs="Arial"/>
          <w:snapToGrid w:val="0"/>
          <w:lang w:eastAsia="zh-CN"/>
        </w:rPr>
        <w:t>820</w:t>
      </w:r>
      <w:r>
        <w:rPr>
          <w:rFonts w:hint="eastAsia" w:ascii="Arial" w:hAnsi="Arial" w:eastAsia="宋体" w:cs="Arial"/>
          <w:snapToGrid w:val="0"/>
          <w:lang w:eastAsia="zh-CN"/>
        </w:rPr>
        <w:t>部分的适用条款以显示对该器械组成部分这类材料的恰当控制（包括</w:t>
      </w:r>
      <w:r>
        <w:rPr>
          <w:rFonts w:ascii="Arial" w:hAnsi="Arial" w:eastAsia="宋体" w:cs="Arial"/>
          <w:snapToGrid w:val="0"/>
          <w:lang w:eastAsia="zh-CN"/>
        </w:rPr>
        <w:t>21CFR 820.30</w:t>
      </w:r>
      <w:r>
        <w:rPr>
          <w:rFonts w:hint="eastAsia" w:ascii="Arial" w:hAnsi="Arial" w:eastAsia="宋体" w:cs="Arial"/>
          <w:snapToGrid w:val="0"/>
          <w:lang w:eastAsia="zh-CN"/>
        </w:rPr>
        <w:t>，</w:t>
      </w:r>
      <w:r>
        <w:rPr>
          <w:rFonts w:ascii="Arial" w:hAnsi="Arial" w:eastAsia="宋体" w:cs="Arial"/>
          <w:snapToGrid w:val="0"/>
          <w:lang w:eastAsia="zh-CN"/>
        </w:rPr>
        <w:t>820.50</w:t>
      </w:r>
      <w:r>
        <w:rPr>
          <w:rFonts w:hint="eastAsia" w:ascii="Arial" w:hAnsi="Arial" w:eastAsia="宋体" w:cs="Arial"/>
          <w:snapToGrid w:val="0"/>
          <w:lang w:eastAsia="zh-CN"/>
        </w:rPr>
        <w:t>，</w:t>
      </w:r>
      <w:r>
        <w:rPr>
          <w:rFonts w:ascii="Arial" w:hAnsi="Arial" w:eastAsia="宋体" w:cs="Arial"/>
          <w:snapToGrid w:val="0"/>
          <w:lang w:eastAsia="zh-CN"/>
        </w:rPr>
        <w:t>820.80，</w:t>
      </w:r>
      <w:r>
        <w:rPr>
          <w:rFonts w:hint="eastAsia" w:ascii="Arial" w:hAnsi="Arial" w:eastAsia="宋体" w:cs="Arial"/>
          <w:snapToGrid w:val="0"/>
          <w:lang w:eastAsia="zh-CN"/>
        </w:rPr>
        <w:t>和</w:t>
      </w:r>
      <w:r>
        <w:rPr>
          <w:rFonts w:ascii="Arial" w:hAnsi="Arial" w:eastAsia="宋体" w:cs="Arial"/>
          <w:snapToGrid w:val="0"/>
          <w:lang w:eastAsia="zh-CN"/>
        </w:rPr>
        <w:t>820.86</w:t>
      </w:r>
      <w:r>
        <w:rPr>
          <w:rFonts w:hint="eastAsia" w:ascii="Arial" w:hAnsi="Arial" w:eastAsia="宋体" w:cs="Arial"/>
          <w:snapToGrid w:val="0"/>
          <w:lang w:eastAsia="zh-CN"/>
        </w:rPr>
        <w:t>）。</w:t>
      </w:r>
    </w:p>
    <w:p w14:paraId="48FA48FF">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1D847C4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211.84</w:t>
      </w:r>
      <w:r>
        <w:rPr>
          <w:rFonts w:hint="eastAsia" w:ascii="Arial" w:hAnsi="Arial" w:eastAsia="宋体" w:cs="Arial"/>
          <w:snapToGrid w:val="0"/>
          <w:lang w:eastAsia="zh-CN"/>
        </w:rPr>
        <w:t>详述了如何抽样、测试、检查和认可或否决药品成分、容器和密封件。</w:t>
      </w:r>
      <w:r>
        <w:rPr>
          <w:rFonts w:ascii="Arial" w:hAnsi="Arial" w:eastAsia="宋体" w:cs="Arial"/>
          <w:snapToGrid w:val="0"/>
          <w:lang w:eastAsia="zh-CN"/>
        </w:rPr>
        <w:t>21 CFR 211.84</w:t>
      </w:r>
      <w:r>
        <w:rPr>
          <w:rFonts w:hint="eastAsia" w:ascii="Arial" w:hAnsi="Arial" w:eastAsia="宋体" w:cs="Arial"/>
          <w:snapToGrid w:val="0"/>
          <w:lang w:eastAsia="zh-CN"/>
        </w:rPr>
        <w:t>允许一定程度上依赖于供应商的分析报告来代替这类测试，前提是实施过某种鉴定试验且制造商通过在适当时间间隔内对测试结果进行适当确认已经证实供应商分析的可靠度。这些条款扩大并更详细地说明了</w:t>
      </w:r>
      <w:r>
        <w:rPr>
          <w:rFonts w:ascii="Arial" w:hAnsi="Arial" w:eastAsia="宋体" w:cs="Arial"/>
          <w:snapToGrid w:val="0"/>
          <w:lang w:eastAsia="zh-CN"/>
        </w:rPr>
        <w:t>21 CFR 820.80</w:t>
      </w:r>
      <w:r>
        <w:rPr>
          <w:rFonts w:hint="eastAsia" w:ascii="Arial" w:hAnsi="Arial" w:eastAsia="宋体" w:cs="Arial"/>
          <w:snapToGrid w:val="0"/>
          <w:lang w:eastAsia="zh-CN"/>
        </w:rPr>
        <w:t>明文规定的验收活动要求。相应地，如果机构已经建立基于</w:t>
      </w:r>
      <w:r>
        <w:rPr>
          <w:rFonts w:ascii="Arial" w:hAnsi="Arial" w:eastAsia="宋体" w:cs="Arial"/>
          <w:snapToGrid w:val="0"/>
          <w:lang w:eastAsia="zh-CN"/>
        </w:rPr>
        <w:t>21 CFR 820.80</w:t>
      </w:r>
      <w:r>
        <w:rPr>
          <w:rFonts w:hint="eastAsia" w:ascii="Arial" w:hAnsi="Arial" w:eastAsia="宋体" w:cs="Arial"/>
          <w:snapToGrid w:val="0"/>
          <w:lang w:eastAsia="zh-CN"/>
        </w:rPr>
        <w:t>的验收程序，那么可适当按需扩大这些现有程序并包含</w:t>
      </w:r>
      <w:r>
        <w:rPr>
          <w:rFonts w:ascii="Arial" w:hAnsi="Arial" w:eastAsia="宋体" w:cs="Arial"/>
          <w:snapToGrid w:val="0"/>
          <w:lang w:eastAsia="zh-CN"/>
        </w:rPr>
        <w:t>21 CFR 211.84</w:t>
      </w:r>
      <w:r>
        <w:rPr>
          <w:rFonts w:hint="eastAsia" w:ascii="Arial" w:hAnsi="Arial" w:eastAsia="宋体" w:cs="Arial"/>
          <w:snapToGrid w:val="0"/>
          <w:lang w:eastAsia="zh-CN"/>
        </w:rPr>
        <w:t>的合规措施以遵守</w:t>
      </w:r>
      <w:r>
        <w:rPr>
          <w:rFonts w:ascii="Arial" w:hAnsi="Arial" w:eastAsia="宋体" w:cs="Arial"/>
          <w:snapToGrid w:val="0"/>
          <w:lang w:eastAsia="zh-CN"/>
        </w:rPr>
        <w:t>21 CFR 211.84</w:t>
      </w:r>
      <w:r>
        <w:rPr>
          <w:rFonts w:hint="eastAsia" w:ascii="Arial" w:hAnsi="Arial" w:eastAsia="宋体" w:cs="Arial"/>
          <w:snapToGrid w:val="0"/>
          <w:lang w:eastAsia="zh-CN"/>
        </w:rPr>
        <w:t>要求。</w:t>
      </w:r>
    </w:p>
    <w:p w14:paraId="32B02CC4">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在质量控制部门进行抽样、测试或适当时的检查和发布使用前，禁止使用任何批量的药品成分、容器和密封件。</w:t>
      </w:r>
      <w:r>
        <w:rPr>
          <w:rStyle w:val="17"/>
          <w:rFonts w:ascii="Arial" w:hAnsi="Arial" w:eastAsia="宋体" w:cs="Arial"/>
          <w:snapToGrid w:val="0"/>
          <w:lang w:eastAsia="zh-CN"/>
        </w:rPr>
        <w:footnoteReference w:id="77"/>
      </w:r>
      <w:r>
        <w:rPr>
          <w:rFonts w:hint="eastAsia" w:ascii="Arial" w:hAnsi="Arial" w:eastAsia="宋体" w:cs="Arial"/>
          <w:snapToGrid w:val="0"/>
          <w:lang w:eastAsia="zh-CN"/>
        </w:rPr>
        <w:t>收集的每个批量的样品必须能够代表整个批量。</w:t>
      </w:r>
      <w:r>
        <w:rPr>
          <w:rStyle w:val="17"/>
          <w:rFonts w:ascii="Arial" w:hAnsi="Arial" w:eastAsia="宋体" w:cs="Arial"/>
          <w:snapToGrid w:val="0"/>
          <w:lang w:eastAsia="zh-CN"/>
        </w:rPr>
        <w:footnoteReference w:id="78"/>
      </w:r>
      <w:r>
        <w:rPr>
          <w:rFonts w:hint="eastAsia" w:ascii="Arial" w:hAnsi="Arial" w:eastAsia="宋体" w:cs="Arial"/>
          <w:snapToGrid w:val="0"/>
          <w:lang w:eastAsia="zh-CN"/>
        </w:rPr>
        <w:t>必须根据</w:t>
      </w:r>
      <w:r>
        <w:rPr>
          <w:rFonts w:ascii="Arial" w:hAnsi="Arial" w:eastAsia="宋体" w:cs="Arial"/>
          <w:snapToGrid w:val="0"/>
          <w:lang w:eastAsia="zh-CN"/>
        </w:rPr>
        <w:t>21 CFR 211.84</w:t>
      </w:r>
      <w:r>
        <w:rPr>
          <w:rFonts w:hint="eastAsia" w:ascii="Arial" w:hAnsi="Arial" w:eastAsia="宋体" w:cs="Arial"/>
          <w:snapToGrid w:val="0"/>
          <w:lang w:eastAsia="zh-CN"/>
        </w:rPr>
        <w:t>中规定的程序对这些代表性样品进行收集测试或检查。除其它方面外，这些程序还要求恰当的抽样技术以防止抽样成分或其它物料感染。</w:t>
      </w:r>
      <w:r>
        <w:rPr>
          <w:rStyle w:val="17"/>
          <w:rFonts w:ascii="Arial" w:hAnsi="Arial" w:eastAsia="宋体" w:cs="Arial"/>
          <w:snapToGrid w:val="0"/>
          <w:lang w:eastAsia="zh-CN"/>
        </w:rPr>
        <w:footnoteReference w:id="79"/>
      </w:r>
      <w:r>
        <w:rPr>
          <w:rFonts w:hint="eastAsia" w:ascii="Arial" w:hAnsi="Arial" w:eastAsia="宋体" w:cs="Arial"/>
          <w:snapToGrid w:val="0"/>
          <w:lang w:eastAsia="zh-CN"/>
        </w:rPr>
        <w:t>此外，抽样容器数量和从每种容器取出的物料量必须基于适当的标准（例如成分可变性，置信水平，期望的精确度，供应商过去的质量史和分析所需数量）。</w:t>
      </w:r>
      <w:r>
        <w:rPr>
          <w:rStyle w:val="17"/>
          <w:rFonts w:ascii="Arial" w:hAnsi="Arial" w:eastAsia="宋体" w:cs="Arial"/>
          <w:snapToGrid w:val="0"/>
          <w:lang w:eastAsia="zh-CN"/>
        </w:rPr>
        <w:footnoteReference w:id="80"/>
      </w:r>
      <w:r>
        <w:rPr>
          <w:rFonts w:ascii="Arial" w:hAnsi="Arial" w:eastAsia="宋体" w:cs="Arial"/>
          <w:snapToGrid w:val="0"/>
          <w:vertAlign w:val="superscript"/>
          <w:lang w:eastAsia="zh-CN"/>
        </w:rPr>
        <w:t xml:space="preserve">, </w:t>
      </w:r>
      <w:r>
        <w:rPr>
          <w:rStyle w:val="17"/>
          <w:rFonts w:ascii="Arial" w:hAnsi="Arial" w:eastAsia="宋体" w:cs="Arial"/>
          <w:snapToGrid w:val="0"/>
          <w:lang w:eastAsia="zh-CN"/>
        </w:rPr>
        <w:footnoteReference w:id="81"/>
      </w:r>
    </w:p>
    <w:p w14:paraId="119C4248">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03" w:name="2._Calculation_of_Yield_(21_CFR_211.103)"/>
      <w:bookmarkEnd w:id="103"/>
      <w:r>
        <w:rPr>
          <w:rFonts w:hint="eastAsia" w:ascii="Arial" w:hAnsi="Arial" w:eastAsia="宋体" w:cs="Arial"/>
          <w:snapToGrid w:val="0"/>
          <w:lang w:eastAsia="zh-CN"/>
        </w:rPr>
        <w:t>产量计算</w:t>
      </w:r>
      <w:r>
        <w:rPr>
          <w:rFonts w:ascii="Arial" w:hAnsi="Arial" w:eastAsia="宋体" w:cs="Arial"/>
          <w:snapToGrid w:val="0"/>
          <w:lang w:eastAsia="zh-CN"/>
        </w:rPr>
        <w:t>（21 CFR 211.103）</w:t>
      </w:r>
    </w:p>
    <w:p w14:paraId="5A40DE3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必须按照</w:t>
      </w:r>
      <w:r>
        <w:rPr>
          <w:rFonts w:ascii="Arial" w:hAnsi="Arial" w:eastAsia="宋体" w:cs="Arial"/>
          <w:snapToGrid w:val="0"/>
          <w:lang w:eastAsia="zh-CN"/>
        </w:rPr>
        <w:t>21 CFR 211.103</w:t>
      </w:r>
      <w:r>
        <w:rPr>
          <w:rFonts w:hint="eastAsia" w:ascii="Arial" w:hAnsi="Arial" w:eastAsia="宋体" w:cs="Arial"/>
          <w:snapToGrid w:val="0"/>
          <w:lang w:eastAsia="zh-CN"/>
        </w:rPr>
        <w:t>的描述确定组合产品药品组成部分的实际产量和理论产量百分比。产量过量或不足可能表明生产工艺存在问题，包括设备故障，设备故障可能影响产品质量，且在仅使用基于样品的发放测试时可能不能发现或不能尽快发现。应调查超出与理论产量已确定和记录的允许偏差范围之外的实际产量差异。</w:t>
      </w:r>
    </w:p>
    <w:p w14:paraId="5D1BC4A0">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4D33396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211.103</w:t>
      </w:r>
      <w:r>
        <w:rPr>
          <w:rFonts w:hint="eastAsia" w:ascii="Arial" w:hAnsi="Arial" w:eastAsia="宋体" w:cs="Arial"/>
          <w:snapToGrid w:val="0"/>
          <w:lang w:eastAsia="zh-CN"/>
        </w:rPr>
        <w:t>中的产量计算要求适用于组合产品的药品组成部分。关于制造组合产品期间所使用和丢失的器械组成部分和成分数量的数据在确保根据</w:t>
      </w:r>
      <w:r>
        <w:rPr>
          <w:rFonts w:ascii="Arial" w:hAnsi="Arial" w:eastAsia="宋体" w:cs="Arial"/>
          <w:snapToGrid w:val="0"/>
          <w:lang w:eastAsia="zh-CN"/>
        </w:rPr>
        <w:t>21 CFR 211.100</w:t>
      </w:r>
      <w:r>
        <w:rPr>
          <w:rFonts w:hint="eastAsia" w:ascii="Arial" w:hAnsi="Arial" w:eastAsia="宋体" w:cs="Arial"/>
          <w:snapToGrid w:val="0"/>
          <w:lang w:eastAsia="zh-CN"/>
        </w:rPr>
        <w:t>或</w:t>
      </w:r>
      <w:r>
        <w:rPr>
          <w:rFonts w:ascii="Arial" w:hAnsi="Arial" w:eastAsia="宋体" w:cs="Arial"/>
          <w:snapToGrid w:val="0"/>
          <w:lang w:eastAsia="zh-CN"/>
        </w:rPr>
        <w:t>21 CFR</w:t>
      </w:r>
      <w:r>
        <w:rPr>
          <w:rFonts w:hint="eastAsia" w:ascii="Arial" w:hAnsi="Arial" w:eastAsia="宋体" w:cs="Arial"/>
          <w:snapToGrid w:val="0"/>
          <w:lang w:eastAsia="zh-CN"/>
        </w:rPr>
        <w:t xml:space="preserve"> </w:t>
      </w:r>
      <w:r>
        <w:rPr>
          <w:rFonts w:ascii="Arial" w:hAnsi="Arial" w:eastAsia="宋体" w:cs="Arial"/>
          <w:snapToGrid w:val="0"/>
          <w:lang w:eastAsia="zh-CN"/>
        </w:rPr>
        <w:t>820.70</w:t>
      </w:r>
      <w:r>
        <w:rPr>
          <w:rFonts w:hint="eastAsia" w:ascii="Arial" w:hAnsi="Arial" w:eastAsia="宋体" w:cs="Arial"/>
          <w:snapToGrid w:val="0"/>
          <w:lang w:eastAsia="zh-CN"/>
        </w:rPr>
        <w:t>对制造工艺进行适当控制中十分必要，但不需要对器械组成部分进行</w:t>
      </w:r>
      <w:r>
        <w:rPr>
          <w:rFonts w:ascii="Arial" w:hAnsi="Arial" w:eastAsia="宋体" w:cs="Arial"/>
          <w:snapToGrid w:val="0"/>
          <w:lang w:eastAsia="zh-CN"/>
        </w:rPr>
        <w:t>21 CFR 211.103</w:t>
      </w:r>
      <w:r>
        <w:rPr>
          <w:rFonts w:hint="eastAsia" w:ascii="Arial" w:hAnsi="Arial" w:eastAsia="宋体" w:cs="Arial"/>
          <w:snapToGrid w:val="0"/>
          <w:lang w:eastAsia="zh-CN"/>
        </w:rPr>
        <w:t>中规定的产量计算。然而，组合产品制造期间器械组成部分出现的问题可能影响药品产量并导致需要做进一步调查。例如，由于注射器针头不合格引起的载药注射器不合格可能导致批次／批量中的相应药品丢失。将记录任何丢失并作为药品组成部分产量计算的一部分，且对该丢失原因的调查应指出导致这些器械不合格的制造问题。</w:t>
      </w:r>
    </w:p>
    <w:p w14:paraId="1B83D92B">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在药品组成部分和整体组合产品制造、加工、包装和仓贮的每一适当阶段结束时必须确定产量。</w:t>
      </w:r>
      <w:r>
        <w:rPr>
          <w:rStyle w:val="17"/>
          <w:rFonts w:ascii="Arial" w:hAnsi="Arial" w:eastAsia="宋体" w:cs="Arial"/>
          <w:snapToGrid w:val="0"/>
          <w:lang w:eastAsia="zh-CN"/>
        </w:rPr>
        <w:footnoteReference w:id="82"/>
      </w:r>
      <w:r>
        <w:rPr>
          <w:rFonts w:hint="eastAsia" w:ascii="Arial" w:hAnsi="Arial" w:eastAsia="宋体" w:cs="Arial"/>
          <w:snapToGrid w:val="0"/>
          <w:lang w:eastAsia="zh-CN"/>
        </w:rPr>
        <w:t>相应地，应在成分、中间体或产品可能丢失的每个阶段进行产量计算，包括并入组合产品前的药物配制期间，并入组合产品期间（例如填充或涂层）和（可能的）包装期间。这些计算必须由一人执行，另一人独立验证。如果产量是按照</w:t>
      </w:r>
      <w:r>
        <w:rPr>
          <w:rFonts w:ascii="Arial" w:hAnsi="Arial" w:eastAsia="宋体" w:cs="Arial"/>
          <w:snapToGrid w:val="0"/>
          <w:lang w:eastAsia="zh-CN"/>
        </w:rPr>
        <w:t>21 CFR 211.68</w:t>
      </w:r>
      <w:r>
        <w:rPr>
          <w:rFonts w:hint="eastAsia" w:ascii="Arial" w:hAnsi="Arial" w:eastAsia="宋体" w:cs="Arial"/>
          <w:snapToGrid w:val="0"/>
          <w:lang w:eastAsia="zh-CN"/>
        </w:rPr>
        <w:t>由自动化设备计算，那么必须由一人单独验证。</w:t>
      </w:r>
      <w:r>
        <w:rPr>
          <w:rStyle w:val="17"/>
          <w:rFonts w:ascii="Arial" w:hAnsi="Arial" w:eastAsia="宋体" w:cs="Arial"/>
          <w:snapToGrid w:val="0"/>
          <w:lang w:eastAsia="zh-CN"/>
        </w:rPr>
        <w:footnoteReference w:id="83"/>
      </w:r>
    </w:p>
    <w:p w14:paraId="0B0004E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对于所执行制造工艺的每个适当阶段，应记录该阶段进行产量计算所用公式和所得数据。按照基于器械</w:t>
      </w:r>
      <w:r>
        <w:rPr>
          <w:rFonts w:ascii="Arial" w:hAnsi="Arial" w:eastAsia="宋体" w:cs="Arial"/>
          <w:snapToGrid w:val="0"/>
          <w:lang w:eastAsia="zh-CN"/>
        </w:rPr>
        <w:t>QS</w:t>
      </w:r>
      <w:r>
        <w:rPr>
          <w:rFonts w:hint="eastAsia" w:ascii="Arial" w:hAnsi="Arial" w:eastAsia="宋体" w:cs="Arial"/>
          <w:snapToGrid w:val="0"/>
          <w:lang w:eastAsia="zh-CN"/>
        </w:rPr>
        <w:t>规章系统操作的制造商，其产量计算文件可并入现有第</w:t>
      </w:r>
      <w:r>
        <w:rPr>
          <w:rFonts w:ascii="Arial" w:hAnsi="Arial" w:eastAsia="宋体" w:cs="Arial"/>
          <w:snapToGrid w:val="0"/>
          <w:lang w:eastAsia="zh-CN"/>
        </w:rPr>
        <w:t>820</w:t>
      </w:r>
      <w:r>
        <w:rPr>
          <w:rFonts w:hint="eastAsia" w:ascii="Arial" w:hAnsi="Arial" w:eastAsia="宋体" w:cs="Arial"/>
          <w:snapToGrid w:val="0"/>
          <w:lang w:eastAsia="zh-CN"/>
        </w:rPr>
        <w:t>部分文件（例如，作为器械历史记录的一部分，</w:t>
      </w:r>
      <w:r>
        <w:rPr>
          <w:rFonts w:ascii="Arial" w:hAnsi="Arial" w:eastAsia="宋体" w:cs="Arial"/>
          <w:snapToGrid w:val="0"/>
          <w:lang w:eastAsia="zh-CN"/>
        </w:rPr>
        <w:t>21 CFR 820.184</w:t>
      </w:r>
      <w:r>
        <w:rPr>
          <w:rFonts w:hint="eastAsia" w:ascii="Arial" w:hAnsi="Arial" w:eastAsia="宋体" w:cs="Arial"/>
          <w:snapToGrid w:val="0"/>
          <w:lang w:eastAsia="zh-CN"/>
        </w:rPr>
        <w:t>）。这些记录应包含实际产量，理论产量百分比，及最大和最小理论产量百分比，超出该范围应对药品组成部分进行调查，包括药品加工期间和与组合产品其它组成部分结合期间。</w:t>
      </w:r>
    </w:p>
    <w:p w14:paraId="19033C7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如果由第三方制造用于组合产品的药品，则该制造商负责在它执行的药品制造工艺的适当阶段遵守产量计算要求，但组合产品制造商负责确保供应商满足这些要求，作为组合产品制造商根据</w:t>
      </w:r>
      <w:r>
        <w:rPr>
          <w:rFonts w:ascii="Arial" w:hAnsi="Arial" w:eastAsia="宋体" w:cs="Arial"/>
          <w:snapToGrid w:val="0"/>
          <w:lang w:eastAsia="zh-CN"/>
        </w:rPr>
        <w:t>21CFR 820.50</w:t>
      </w:r>
      <w:r>
        <w:rPr>
          <w:rFonts w:hint="eastAsia" w:ascii="Arial" w:hAnsi="Arial" w:eastAsia="宋体" w:cs="Arial"/>
          <w:snapToGrid w:val="0"/>
          <w:lang w:eastAsia="zh-CN"/>
        </w:rPr>
        <w:t>对其产品进行采购控制的一部分。</w:t>
      </w:r>
    </w:p>
    <w:p w14:paraId="48E73F5A">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04" w:name="3._Tamper-evident_packaging_requirements"/>
      <w:bookmarkEnd w:id="104"/>
      <w:r>
        <w:rPr>
          <w:rFonts w:hint="eastAsia" w:ascii="Arial" w:hAnsi="Arial" w:eastAsia="宋体" w:cs="Arial"/>
          <w:snapToGrid w:val="0"/>
          <w:lang w:eastAsia="zh-CN"/>
        </w:rPr>
        <w:t>人用非处方药的显窃启包装要求</w:t>
      </w:r>
      <w:r>
        <w:rPr>
          <w:rFonts w:ascii="Arial" w:hAnsi="Arial" w:eastAsia="宋体" w:cs="Arial"/>
          <w:snapToGrid w:val="0"/>
          <w:lang w:eastAsia="zh-CN"/>
        </w:rPr>
        <w:t>（21 CFR 211.132）</w:t>
      </w:r>
    </w:p>
    <w:p w14:paraId="1F0E8F2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OTC</w:t>
      </w:r>
      <w:r>
        <w:rPr>
          <w:rFonts w:hint="eastAsia" w:ascii="Arial" w:hAnsi="Arial" w:eastAsia="宋体" w:cs="Arial"/>
          <w:snapToGrid w:val="0"/>
          <w:lang w:eastAsia="zh-CN"/>
        </w:rPr>
        <w:t>组合产品制造商必须遵守</w:t>
      </w:r>
      <w:r>
        <w:rPr>
          <w:rFonts w:ascii="Arial" w:hAnsi="Arial" w:eastAsia="宋体" w:cs="Arial"/>
          <w:snapToGrid w:val="0"/>
          <w:lang w:eastAsia="zh-CN"/>
        </w:rPr>
        <w:t>21CFR 211.132</w:t>
      </w:r>
      <w:r>
        <w:rPr>
          <w:rFonts w:hint="eastAsia" w:ascii="Arial" w:hAnsi="Arial" w:eastAsia="宋体" w:cs="Arial"/>
          <w:snapToGrid w:val="0"/>
          <w:lang w:eastAsia="zh-CN"/>
        </w:rPr>
        <w:t>的要求。要求的控制措施包括提醒客户注意产品包装保护性特性的显窃启包装和标签。这些控制措施对于提高</w:t>
      </w:r>
      <w:r>
        <w:rPr>
          <w:rFonts w:ascii="Arial" w:hAnsi="Arial" w:eastAsia="宋体" w:cs="Arial"/>
          <w:snapToGrid w:val="0"/>
          <w:lang w:eastAsia="zh-CN"/>
        </w:rPr>
        <w:t>OTC</w:t>
      </w:r>
      <w:r>
        <w:rPr>
          <w:rFonts w:hint="eastAsia" w:ascii="Arial" w:hAnsi="Arial" w:eastAsia="宋体" w:cs="Arial"/>
          <w:snapToGrid w:val="0"/>
          <w:lang w:eastAsia="zh-CN"/>
        </w:rPr>
        <w:t>组合产品包装的安全性和确保</w:t>
      </w:r>
      <w:r>
        <w:rPr>
          <w:rFonts w:ascii="Arial" w:hAnsi="Arial" w:eastAsia="宋体" w:cs="Arial"/>
          <w:snapToGrid w:val="0"/>
          <w:lang w:eastAsia="zh-CN"/>
        </w:rPr>
        <w:t>OTC</w:t>
      </w:r>
      <w:r>
        <w:rPr>
          <w:rFonts w:hint="eastAsia" w:ascii="Arial" w:hAnsi="Arial" w:eastAsia="宋体" w:cs="Arial"/>
          <w:snapToGrid w:val="0"/>
          <w:lang w:eastAsia="zh-CN"/>
        </w:rPr>
        <w:t>组合产品的安全性和有效性很重要。</w:t>
      </w:r>
    </w:p>
    <w:p w14:paraId="02575BF9">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08C8FD4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对于单一实体组合产品，显窃启包装要求适用于组合产品的整体包装。对于组合包装组合产品，可把药品组成部分恰当包装于更大的组合包装内，只要适用于该组合产品的包装和标签要求允许这种方法，即满足显窃启包装要求。</w:t>
      </w:r>
    </w:p>
    <w:p w14:paraId="1D57089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某些组合产品可能免于遵守</w:t>
      </w:r>
      <w:r>
        <w:rPr>
          <w:rFonts w:ascii="Arial" w:hAnsi="Arial" w:eastAsia="宋体" w:cs="Arial"/>
          <w:snapToGrid w:val="0"/>
          <w:lang w:eastAsia="zh-CN"/>
        </w:rPr>
        <w:t>OTC</w:t>
      </w:r>
      <w:r>
        <w:rPr>
          <w:rFonts w:hint="eastAsia" w:ascii="Arial" w:hAnsi="Arial" w:eastAsia="宋体" w:cs="Arial"/>
          <w:snapToGrid w:val="0"/>
          <w:lang w:eastAsia="zh-CN"/>
        </w:rPr>
        <w:t>显窃启包装要求</w:t>
      </w:r>
      <w:r>
        <w:rPr>
          <w:rStyle w:val="17"/>
          <w:rFonts w:ascii="Arial" w:hAnsi="Arial" w:eastAsia="宋体" w:cs="Arial"/>
          <w:snapToGrid w:val="0"/>
          <w:lang w:eastAsia="zh-CN"/>
        </w:rPr>
        <w:footnoteReference w:id="84"/>
      </w:r>
      <w:r>
        <w:rPr>
          <w:rFonts w:ascii="Arial" w:hAnsi="Arial" w:eastAsia="宋体" w:cs="Arial"/>
          <w:snapToGrid w:val="0"/>
          <w:lang w:eastAsia="zh-CN"/>
        </w:rPr>
        <w:t xml:space="preserve"> </w:t>
      </w:r>
      <w:r>
        <w:rPr>
          <w:rFonts w:hint="eastAsia" w:ascii="Arial" w:hAnsi="Arial" w:eastAsia="宋体" w:cs="Arial"/>
          <w:snapToGrid w:val="0"/>
          <w:lang w:eastAsia="zh-CN"/>
        </w:rPr>
        <w:t>（例如与牙刷组合包装的牙膏）或包装上免于标有显窃启特性声明</w:t>
      </w:r>
      <w:r>
        <w:rPr>
          <w:rStyle w:val="17"/>
          <w:rFonts w:ascii="Arial" w:hAnsi="Arial" w:eastAsia="宋体" w:cs="Arial"/>
          <w:snapToGrid w:val="0"/>
          <w:lang w:eastAsia="zh-CN"/>
        </w:rPr>
        <w:footnoteReference w:id="85"/>
      </w:r>
      <w:r>
        <w:rPr>
          <w:rFonts w:ascii="Arial" w:hAnsi="Arial" w:eastAsia="宋体" w:cs="Arial"/>
          <w:snapToGrid w:val="0"/>
          <w:lang w:eastAsia="zh-CN"/>
        </w:rPr>
        <w:t xml:space="preserve"> </w:t>
      </w:r>
      <w:r>
        <w:rPr>
          <w:rFonts w:hint="eastAsia" w:ascii="Arial" w:hAnsi="Arial" w:eastAsia="宋体" w:cs="Arial"/>
          <w:snapToGrid w:val="0"/>
          <w:lang w:eastAsia="zh-CN"/>
        </w:rPr>
        <w:t>（例如，盐水通鼻气雾喷雾器）。</w:t>
      </w:r>
    </w:p>
    <w:p w14:paraId="1B9D3FC6">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211.132</w:t>
      </w:r>
      <w:r>
        <w:rPr>
          <w:rFonts w:hint="eastAsia" w:ascii="Arial" w:hAnsi="Arial" w:eastAsia="宋体" w:cs="Arial"/>
          <w:snapToGrid w:val="0"/>
          <w:lang w:eastAsia="zh-CN"/>
        </w:rPr>
        <w:t>（</w:t>
      </w:r>
      <w:r>
        <w:rPr>
          <w:rFonts w:ascii="Arial" w:hAnsi="Arial" w:eastAsia="宋体" w:cs="Arial"/>
          <w:snapToGrid w:val="0"/>
          <w:lang w:eastAsia="zh-CN"/>
        </w:rPr>
        <w:t>d</w:t>
      </w:r>
      <w:r>
        <w:rPr>
          <w:rFonts w:hint="eastAsia" w:ascii="Arial" w:hAnsi="Arial" w:eastAsia="宋体" w:cs="Arial"/>
          <w:snapToGrid w:val="0"/>
          <w:lang w:eastAsia="zh-CN"/>
        </w:rPr>
        <w:t>）制造商可请求</w:t>
      </w:r>
      <w:r>
        <w:rPr>
          <w:rFonts w:ascii="Arial" w:hAnsi="Arial" w:eastAsia="宋体" w:cs="Arial"/>
          <w:snapToGrid w:val="0"/>
          <w:lang w:eastAsia="zh-CN"/>
        </w:rPr>
        <w:t>OTC</w:t>
      </w:r>
      <w:r>
        <w:rPr>
          <w:rFonts w:hint="eastAsia" w:ascii="Arial" w:hAnsi="Arial" w:eastAsia="宋体" w:cs="Arial"/>
          <w:snapToGrid w:val="0"/>
          <w:lang w:eastAsia="zh-CN"/>
        </w:rPr>
        <w:t>组合产品免于遵守显窃启包装和标签要求。如果制造商对一种已获批</w:t>
      </w:r>
      <w:r>
        <w:rPr>
          <w:rFonts w:ascii="Arial" w:hAnsi="Arial" w:eastAsia="宋体" w:cs="Arial"/>
          <w:snapToGrid w:val="0"/>
          <w:lang w:eastAsia="zh-CN"/>
        </w:rPr>
        <w:t>OTC</w:t>
      </w:r>
      <w:r>
        <w:rPr>
          <w:rFonts w:hint="eastAsia" w:ascii="Arial" w:hAnsi="Arial" w:eastAsia="宋体" w:cs="Arial"/>
          <w:snapToGrid w:val="0"/>
          <w:lang w:eastAsia="zh-CN"/>
        </w:rPr>
        <w:t>产品的包装和标签做出变更以符合</w:t>
      </w:r>
      <w:r>
        <w:rPr>
          <w:rFonts w:ascii="Arial" w:hAnsi="Arial" w:eastAsia="宋体" w:cs="Arial"/>
          <w:snapToGrid w:val="0"/>
          <w:lang w:eastAsia="zh-CN"/>
        </w:rPr>
        <w:t>21 CFR 211.132</w:t>
      </w:r>
      <w:r>
        <w:rPr>
          <w:rFonts w:hint="eastAsia" w:ascii="Arial" w:hAnsi="Arial" w:eastAsia="宋体" w:cs="Arial"/>
          <w:snapToGrid w:val="0"/>
          <w:lang w:eastAsia="zh-CN"/>
        </w:rPr>
        <w:t>的要求，则在销售前必须通知组合产品首要中心。</w:t>
      </w:r>
      <w:r>
        <w:rPr>
          <w:rStyle w:val="17"/>
          <w:rFonts w:ascii="Arial" w:hAnsi="Arial" w:eastAsia="宋体" w:cs="Arial"/>
          <w:snapToGrid w:val="0"/>
          <w:lang w:eastAsia="zh-CN"/>
        </w:rPr>
        <w:footnoteReference w:id="86"/>
      </w:r>
    </w:p>
    <w:p w14:paraId="007333C8">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05" w:name="4._Expiration_dating_(21_CFR_211.137)"/>
      <w:bookmarkEnd w:id="105"/>
      <w:bookmarkStart w:id="106" w:name="_bookmark105"/>
      <w:bookmarkEnd w:id="106"/>
      <w:r>
        <w:rPr>
          <w:rFonts w:hint="eastAsia" w:ascii="Arial" w:hAnsi="Arial" w:eastAsia="宋体" w:cs="Arial"/>
          <w:snapToGrid w:val="0"/>
          <w:lang w:eastAsia="zh-CN"/>
        </w:rPr>
        <w:t>到期日</w:t>
      </w:r>
      <w:r>
        <w:rPr>
          <w:rFonts w:ascii="Arial" w:hAnsi="Arial" w:eastAsia="宋体" w:cs="Arial"/>
          <w:snapToGrid w:val="0"/>
          <w:lang w:eastAsia="zh-CN"/>
        </w:rPr>
        <w:t>（21 CFR 211.137）</w:t>
      </w:r>
    </w:p>
    <w:p w14:paraId="7CB8031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211.137</w:t>
      </w:r>
      <w:r>
        <w:rPr>
          <w:rFonts w:hint="eastAsia" w:ascii="Arial" w:hAnsi="Arial" w:eastAsia="宋体" w:cs="Arial"/>
          <w:snapToGrid w:val="0"/>
          <w:lang w:eastAsia="zh-CN"/>
        </w:rPr>
        <w:t>通过要求产品在标签上注明到期日以帮助确保药品（或组合产品的药品组成部分）满足适用的均一性、</w:t>
      </w:r>
      <w:bookmarkStart w:id="107" w:name="OLE_LINK6"/>
      <w:bookmarkStart w:id="108" w:name="OLE_LINK5"/>
      <w:r>
        <w:rPr>
          <w:rFonts w:hint="eastAsia" w:ascii="Arial" w:hAnsi="Arial" w:eastAsia="宋体" w:cs="Arial"/>
          <w:snapToGrid w:val="0"/>
          <w:lang w:eastAsia="zh-CN"/>
        </w:rPr>
        <w:t>效价或含量、质量和纯度</w:t>
      </w:r>
      <w:bookmarkEnd w:id="107"/>
      <w:bookmarkEnd w:id="108"/>
      <w:r>
        <w:rPr>
          <w:rFonts w:hint="eastAsia" w:ascii="Arial" w:hAnsi="Arial" w:eastAsia="宋体" w:cs="Arial"/>
          <w:snapToGrid w:val="0"/>
          <w:lang w:eastAsia="zh-CN"/>
        </w:rPr>
        <w:t>标准以供使用。该日期必须考虑标签中陈述的所有储存条件且必须基于</w:t>
      </w:r>
      <w:r>
        <w:rPr>
          <w:rFonts w:ascii="Arial" w:hAnsi="Arial" w:eastAsia="宋体" w:cs="Arial"/>
          <w:snapToGrid w:val="0"/>
          <w:lang w:eastAsia="zh-CN"/>
        </w:rPr>
        <w:t>21 CFR 211.166</w:t>
      </w:r>
      <w:r>
        <w:rPr>
          <w:rFonts w:hint="eastAsia" w:ascii="Arial" w:hAnsi="Arial" w:eastAsia="宋体" w:cs="Arial"/>
          <w:snapToGrid w:val="0"/>
          <w:lang w:eastAsia="zh-CN"/>
        </w:rPr>
        <w:t>中描述的适当稳定性测试（见</w:t>
      </w:r>
      <w:r>
        <w:rPr>
          <w:rFonts w:ascii="Arial" w:hAnsi="Arial" w:eastAsia="宋体" w:cs="Arial"/>
          <w:snapToGrid w:val="0"/>
          <w:lang w:eastAsia="zh-CN"/>
        </w:rPr>
        <w:t>IV.B.6</w:t>
      </w:r>
      <w:r>
        <w:rPr>
          <w:rFonts w:hint="eastAsia" w:ascii="Arial" w:hAnsi="Arial" w:eastAsia="宋体" w:cs="Arial"/>
          <w:snapToGrid w:val="0"/>
          <w:lang w:eastAsia="zh-CN"/>
        </w:rPr>
        <w:t>）。</w:t>
      </w:r>
      <w:r>
        <w:rPr>
          <w:rStyle w:val="17"/>
          <w:rFonts w:ascii="Arial" w:hAnsi="Arial" w:eastAsia="宋体" w:cs="Arial"/>
          <w:snapToGrid w:val="0"/>
          <w:lang w:eastAsia="zh-CN"/>
        </w:rPr>
        <w:footnoteReference w:id="87"/>
      </w:r>
      <w:r>
        <w:rPr>
          <w:rFonts w:hint="eastAsia" w:ascii="Arial" w:hAnsi="Arial" w:eastAsia="宋体" w:cs="Arial"/>
          <w:snapToGrid w:val="0"/>
          <w:lang w:eastAsia="zh-CN"/>
        </w:rPr>
        <w:t>到期日也必须考虑所有其它适用的保质期注意事项（例如对于以无菌形式提供的产品，确保其包装材料保持其完整性因而保持无菌屏障的持续时间）。在某些情况下，药品组成部分可能没有到期日，原因是现行规章规定其免于遵守这个要求。</w:t>
      </w:r>
      <w:r>
        <w:rPr>
          <w:rStyle w:val="17"/>
          <w:rFonts w:ascii="Arial" w:hAnsi="Arial" w:eastAsia="宋体" w:cs="Arial"/>
          <w:snapToGrid w:val="0"/>
          <w:lang w:eastAsia="zh-CN"/>
        </w:rPr>
        <w:footnoteReference w:id="88"/>
      </w:r>
      <w:r>
        <w:rPr>
          <w:rFonts w:hint="eastAsia" w:ascii="Arial" w:hAnsi="Arial" w:eastAsia="宋体" w:cs="Arial"/>
          <w:snapToGrid w:val="0"/>
          <w:lang w:eastAsia="zh-CN"/>
        </w:rPr>
        <w:t>类似地，一些器械组成部分可能没有到期日。</w:t>
      </w:r>
    </w:p>
    <w:p w14:paraId="7912B63B">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当要求标明到期日时，可以给组合产品的各组成部分单独标明到期日或也可给整个组合产品标明到期日。通常，当组合包装组合产品的各组成部分能单独使用时，应单独标明每个组成部分的到期日。如果整个组合包装组合产品只标有一个到期日，则该日期应为所有组成部分的最早到期日／最短保质期。组合产品的到期日可能短于其各组成部分单独销售时的到期日或保质期。组合产品保质期更短的原因可能包括组合时各组成部分间相互作用，其它制造步骤的影响或由各组成部分结合引起的其它差异。</w:t>
      </w:r>
    </w:p>
    <w:p w14:paraId="0C9ADA19">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09" w:name="_bookmark106"/>
      <w:bookmarkEnd w:id="109"/>
      <w:bookmarkStart w:id="110" w:name="_bookmark110"/>
      <w:bookmarkEnd w:id="110"/>
      <w:r>
        <w:rPr>
          <w:rFonts w:ascii="Arial" w:hAnsi="Arial" w:eastAsia="宋体" w:cs="Arial"/>
          <w:snapToGrid w:val="0"/>
          <w:sz w:val="24"/>
          <w:szCs w:val="20"/>
          <w:lang w:eastAsia="zh-CN"/>
        </w:rPr>
        <w:br w:type="page"/>
      </w:r>
    </w:p>
    <w:p w14:paraId="36A40316">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11" w:name="_bookmark111"/>
      <w:bookmarkEnd w:id="111"/>
      <w:bookmarkStart w:id="112" w:name="5._Testing_and_release_for_distribution_"/>
      <w:bookmarkEnd w:id="112"/>
      <w:r>
        <w:rPr>
          <w:rFonts w:hint="eastAsia" w:ascii="Arial" w:hAnsi="Arial" w:eastAsia="宋体" w:cs="Arial"/>
          <w:snapToGrid w:val="0"/>
          <w:lang w:eastAsia="zh-CN"/>
        </w:rPr>
        <w:t>销售前的检验与发布</w:t>
      </w:r>
      <w:r>
        <w:rPr>
          <w:rFonts w:ascii="Arial" w:hAnsi="Arial" w:eastAsia="宋体" w:cs="Arial"/>
          <w:snapToGrid w:val="0"/>
          <w:lang w:eastAsia="zh-CN"/>
        </w:rPr>
        <w:t>（21 CFR 211.165）</w:t>
      </w:r>
    </w:p>
    <w:p w14:paraId="396FA1E8">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销售前的检验与发放对药品制造和质量控制至关重要。</w:t>
      </w:r>
      <w:r>
        <w:rPr>
          <w:rFonts w:ascii="Arial" w:hAnsi="Arial" w:eastAsia="宋体" w:cs="Arial"/>
          <w:snapToGrid w:val="0"/>
          <w:lang w:eastAsia="zh-CN"/>
        </w:rPr>
        <w:t>21 CFR 211.165</w:t>
      </w:r>
      <w:r>
        <w:rPr>
          <w:rFonts w:hint="eastAsia" w:ascii="Arial" w:hAnsi="Arial" w:eastAsia="宋体" w:cs="Arial"/>
          <w:snapToGrid w:val="0"/>
          <w:lang w:eastAsia="zh-CN"/>
        </w:rPr>
        <w:t>要求发布前对所有批次的药品实施适当实验室测定确保其与最终审定规格（包括每种活性成分的均一性和效价或含量）的一致性符合要求。</w:t>
      </w:r>
      <w:r>
        <w:rPr>
          <w:rFonts w:ascii="Arial" w:hAnsi="Arial" w:eastAsia="宋体" w:cs="Arial"/>
          <w:snapToGrid w:val="0"/>
          <w:lang w:eastAsia="zh-CN"/>
        </w:rPr>
        <w:t>21 CFR 211.165</w:t>
      </w:r>
      <w:r>
        <w:rPr>
          <w:rFonts w:hint="eastAsia" w:ascii="Arial" w:hAnsi="Arial" w:eastAsia="宋体" w:cs="Arial"/>
          <w:snapToGrid w:val="0"/>
          <w:lang w:eastAsia="zh-CN"/>
        </w:rPr>
        <w:t>还要求必要时对要求无有害微生物的所有批次药品进行适当的实验室测试。此外，必须采用书面程序描述抽样和测试计划。</w:t>
      </w:r>
      <w:r>
        <w:rPr>
          <w:rStyle w:val="17"/>
          <w:rFonts w:ascii="Arial" w:hAnsi="Arial" w:eastAsia="宋体" w:cs="Arial"/>
          <w:snapToGrid w:val="0"/>
          <w:lang w:eastAsia="zh-CN"/>
        </w:rPr>
        <w:footnoteReference w:id="89"/>
      </w:r>
    </w:p>
    <w:p w14:paraId="2A4BBF37">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相应地，制造商必须测试所有批次的组合产品以确定其药品组成部分与最终书面规范的一致性符合要求。</w:t>
      </w:r>
      <w:r>
        <w:rPr>
          <w:rStyle w:val="17"/>
          <w:rFonts w:ascii="Arial" w:hAnsi="Arial" w:eastAsia="宋体" w:cs="Arial"/>
          <w:snapToGrid w:val="0"/>
          <w:lang w:eastAsia="zh-CN"/>
        </w:rPr>
        <w:footnoteReference w:id="90"/>
      </w:r>
      <w:r>
        <w:rPr>
          <w:rFonts w:hint="eastAsia" w:ascii="Arial" w:hAnsi="Arial" w:eastAsia="宋体" w:cs="Arial"/>
          <w:snapToGrid w:val="0"/>
          <w:lang w:eastAsia="zh-CN"/>
        </w:rPr>
        <w:t>对于单一实体组合产品，必须对所有批次的组合产品实施实验室测试；对于组合包装组合产品，必须对所有批次的药品组成部分实施实验室测试。</w:t>
      </w:r>
      <w:r>
        <w:rPr>
          <w:rStyle w:val="17"/>
          <w:rFonts w:ascii="Arial" w:hAnsi="Arial" w:eastAsia="宋体" w:cs="Arial"/>
          <w:snapToGrid w:val="0"/>
          <w:lang w:eastAsia="zh-CN"/>
        </w:rPr>
        <w:footnoteReference w:id="91"/>
      </w:r>
      <w:r>
        <w:rPr>
          <w:rFonts w:hint="eastAsia" w:ascii="Arial" w:hAnsi="Arial" w:eastAsia="宋体" w:cs="Arial"/>
          <w:snapToGrid w:val="0"/>
          <w:lang w:eastAsia="zh-CN"/>
        </w:rPr>
        <w:t>该测试确保所有批次满足适当的批准和发放规格。</w:t>
      </w:r>
      <w:r>
        <w:rPr>
          <w:rStyle w:val="17"/>
          <w:rFonts w:ascii="Arial" w:hAnsi="Arial" w:eastAsia="宋体" w:cs="Arial"/>
          <w:snapToGrid w:val="0"/>
          <w:lang w:eastAsia="zh-CN"/>
        </w:rPr>
        <w:footnoteReference w:id="92"/>
      </w:r>
      <w:r>
        <w:rPr>
          <w:rFonts w:hint="eastAsia" w:ascii="Arial" w:hAnsi="Arial" w:eastAsia="宋体" w:cs="Arial"/>
          <w:snapToGrid w:val="0"/>
          <w:lang w:eastAsia="zh-CN"/>
        </w:rPr>
        <w:t>应保留所实施试验和所用验收标准的详细清单以备检查。</w:t>
      </w:r>
      <w:r>
        <w:rPr>
          <w:rStyle w:val="17"/>
          <w:rFonts w:ascii="Arial" w:hAnsi="Arial" w:eastAsia="宋体" w:cs="Arial"/>
          <w:snapToGrid w:val="0"/>
          <w:lang w:eastAsia="zh-CN"/>
        </w:rPr>
        <w:footnoteReference w:id="93"/>
      </w:r>
    </w:p>
    <w:p w14:paraId="6044C85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在某些情况下，对于单一实体组合产品，制造商可能希望使用不是成品组合产品的样品（但能代表成品组合产品受试特征和属性）代替来自成品组合产品批次的实际单位进行测试以确定药品组成部分是否满足最终规格。如果制造商能证实（包括适当情况下通过衔接性试验和其它定量方法）样品与成品组合产品之间的任何制造工艺差异不影响药品组成部分，本机构不反对这类方法。这类方法应有适当依据和数据作为支持并需与首要中心和OCP（如果需要）讨论。</w:t>
      </w:r>
    </w:p>
    <w:p w14:paraId="02B0F74E">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13" w:name="_bookmark116"/>
      <w:bookmarkEnd w:id="113"/>
      <w:bookmarkStart w:id="114" w:name="_bookmark112"/>
      <w:bookmarkEnd w:id="114"/>
      <w:r>
        <w:rPr>
          <w:rFonts w:ascii="Arial" w:hAnsi="Arial" w:eastAsia="宋体" w:cs="Arial"/>
          <w:snapToGrid w:val="0"/>
          <w:sz w:val="24"/>
          <w:szCs w:val="20"/>
          <w:lang w:eastAsia="zh-CN"/>
        </w:rPr>
        <w:br w:type="page"/>
      </w:r>
    </w:p>
    <w:p w14:paraId="17808D1F">
      <w:pPr>
        <w:pStyle w:val="5"/>
        <w:tabs>
          <w:tab w:val="left" w:pos="1080"/>
        </w:tabs>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如果一个机构正在制造的药物产品将作为一种组成部分提供给另一机构或制造商并包含于组合包装组合产品内，则药品制造机构应实施适当和充分的实验室测试，然后才能根据</w:t>
      </w:r>
      <w:r>
        <w:rPr>
          <w:rFonts w:ascii="Arial" w:hAnsi="Arial" w:eastAsia="宋体" w:cs="Arial"/>
          <w:snapToGrid w:val="0"/>
          <w:lang w:eastAsia="zh-CN"/>
        </w:rPr>
        <w:t>21 CFR 211.165</w:t>
      </w:r>
      <w:r>
        <w:rPr>
          <w:rFonts w:hint="eastAsia" w:ascii="Arial" w:hAnsi="Arial" w:eastAsia="宋体" w:cs="Arial"/>
          <w:snapToGrid w:val="0"/>
          <w:lang w:eastAsia="zh-CN"/>
        </w:rPr>
        <w:t>发放药品组成部分以供销售。对于包含器械组成部分的组合产品，组合产品制造商负责通过按照</w:t>
      </w:r>
      <w:r>
        <w:rPr>
          <w:rFonts w:ascii="Arial" w:hAnsi="Arial" w:eastAsia="宋体" w:cs="Arial"/>
          <w:snapToGrid w:val="0"/>
          <w:lang w:eastAsia="zh-CN"/>
        </w:rPr>
        <w:t>21 CFR 820.50</w:t>
      </w:r>
      <w:r>
        <w:rPr>
          <w:rFonts w:hint="eastAsia" w:ascii="Arial" w:hAnsi="Arial" w:eastAsia="宋体" w:cs="Arial"/>
          <w:snapToGrid w:val="0"/>
          <w:lang w:eastAsia="zh-CN"/>
        </w:rPr>
        <w:t>中规定的采购控制确保药品组成部分符合指定要求，包括实验室测试要求。在成品组合包装组合产品的剩余制造过程中也应实施适当的测试或检查（比如目视检查）以确保药品组成部分一直符合其最终规格。</w:t>
      </w:r>
    </w:p>
    <w:p w14:paraId="7B1FD26E">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15" w:name="6._Stability_testing_(21_CFR_211.166)"/>
      <w:bookmarkEnd w:id="115"/>
      <w:r>
        <w:rPr>
          <w:rFonts w:hint="eastAsia" w:ascii="Arial" w:hAnsi="Arial" w:eastAsia="宋体" w:cs="Arial"/>
          <w:snapToGrid w:val="0"/>
          <w:lang w:eastAsia="zh-CN"/>
        </w:rPr>
        <w:t>稳定性测试</w:t>
      </w:r>
      <w:r>
        <w:rPr>
          <w:rFonts w:ascii="Arial" w:hAnsi="Arial" w:eastAsia="宋体" w:cs="Arial"/>
          <w:snapToGrid w:val="0"/>
          <w:lang w:eastAsia="zh-CN"/>
        </w:rPr>
        <w:t>（21 CFR 211.166）</w:t>
      </w:r>
    </w:p>
    <w:p w14:paraId="4C8E59C5">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ascii="Arial" w:hAnsi="Arial" w:eastAsia="宋体" w:cs="Arial"/>
          <w:snapToGrid w:val="0"/>
          <w:lang w:eastAsia="zh-CN"/>
        </w:rPr>
        <w:t>21 CFR 211.166</w:t>
      </w:r>
      <w:r>
        <w:rPr>
          <w:rFonts w:hint="eastAsia" w:ascii="Arial" w:hAnsi="Arial" w:eastAsia="宋体" w:cs="Arial"/>
          <w:snapToGrid w:val="0"/>
          <w:lang w:eastAsia="zh-CN"/>
        </w:rPr>
        <w:t>要求设计测试计划以评估药品稳定性特征。此外，</w:t>
      </w:r>
      <w:r>
        <w:rPr>
          <w:rFonts w:ascii="Arial" w:hAnsi="Arial" w:eastAsia="宋体" w:cs="Arial"/>
          <w:snapToGrid w:val="0"/>
          <w:lang w:eastAsia="zh-CN"/>
        </w:rPr>
        <w:t>21 CFR 211.166</w:t>
      </w:r>
      <w:r>
        <w:rPr>
          <w:rFonts w:hint="eastAsia" w:ascii="Arial" w:hAnsi="Arial" w:eastAsia="宋体" w:cs="Arial"/>
          <w:snapToGrid w:val="0"/>
          <w:lang w:eastAsia="zh-CN"/>
        </w:rPr>
        <w:t>提出要求的测试计划要素，包括关于样本量、测试用样品储存条件的要素和其它与测试方法学和频率相关的要素。</w:t>
      </w:r>
      <w:r>
        <w:rPr>
          <w:rStyle w:val="17"/>
          <w:rFonts w:ascii="Arial" w:hAnsi="Arial" w:eastAsia="宋体" w:cs="Arial"/>
          <w:snapToGrid w:val="0"/>
          <w:lang w:eastAsia="zh-CN"/>
        </w:rPr>
        <w:footnoteReference w:id="94"/>
      </w:r>
    </w:p>
    <w:p w14:paraId="082207A2">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执行稳定性测试的目的是确定适当的储存条件和到期日（见第</w:t>
      </w:r>
      <w:r>
        <w:fldChar w:fldCharType="begin"/>
      </w:r>
      <w:r>
        <w:instrText xml:space="preserve"> HYPERLINK \l "_bookmark47" </w:instrText>
      </w:r>
      <w:r>
        <w:fldChar w:fldCharType="separate"/>
      </w:r>
      <w:r>
        <w:rPr>
          <w:rFonts w:ascii="Arial" w:hAnsi="Arial" w:eastAsia="宋体" w:cs="Arial"/>
          <w:snapToGrid w:val="0"/>
          <w:lang w:eastAsia="zh-CN"/>
        </w:rPr>
        <w:t>IV</w:t>
      </w:r>
      <w:r>
        <w:rPr>
          <w:rFonts w:hint="eastAsia" w:ascii="Arial" w:hAnsi="Arial" w:eastAsia="宋体" w:cs="Arial"/>
          <w:snapToGrid w:val="0"/>
          <w:lang w:eastAsia="zh-CN"/>
        </w:rPr>
        <w:t>部分</w:t>
      </w:r>
      <w:r>
        <w:rPr>
          <w:rFonts w:ascii="Arial" w:hAnsi="Arial" w:eastAsia="宋体" w:cs="Arial"/>
          <w:snapToGrid w:val="0"/>
          <w:lang w:eastAsia="zh-CN"/>
        </w:rPr>
        <w:t>.</w:t>
      </w:r>
      <w:r>
        <w:rPr>
          <w:rFonts w:ascii="Arial" w:hAnsi="Arial" w:eastAsia="宋体" w:cs="Arial"/>
          <w:snapToGrid w:val="0"/>
          <w:lang w:eastAsia="zh-CN"/>
        </w:rPr>
        <w:fldChar w:fldCharType="end"/>
      </w:r>
      <w:r>
        <w:fldChar w:fldCharType="begin"/>
      </w:r>
      <w:r>
        <w:instrText xml:space="preserve"> HYPERLINK \l "_bookmark94" </w:instrText>
      </w:r>
      <w:r>
        <w:fldChar w:fldCharType="separate"/>
      </w:r>
      <w:r>
        <w:rPr>
          <w:rFonts w:ascii="Arial" w:hAnsi="Arial" w:eastAsia="宋体" w:cs="Arial"/>
          <w:snapToGrid w:val="0"/>
          <w:lang w:eastAsia="zh-CN"/>
        </w:rPr>
        <w:t>B.</w:t>
      </w:r>
      <w:r>
        <w:rPr>
          <w:rFonts w:ascii="Arial" w:hAnsi="Arial" w:eastAsia="宋体" w:cs="Arial"/>
          <w:snapToGrid w:val="0"/>
          <w:lang w:eastAsia="zh-CN"/>
        </w:rPr>
        <w:fldChar w:fldCharType="end"/>
      </w:r>
      <w:r>
        <w:fldChar w:fldCharType="begin"/>
      </w:r>
      <w:r>
        <w:instrText xml:space="preserve"> HYPERLINK \l "_bookmark105" </w:instrText>
      </w:r>
      <w:r>
        <w:fldChar w:fldCharType="separate"/>
      </w:r>
      <w:r>
        <w:rPr>
          <w:rFonts w:ascii="Arial" w:hAnsi="Arial" w:eastAsia="宋体" w:cs="Arial"/>
          <w:snapToGrid w:val="0"/>
          <w:lang w:eastAsia="zh-CN"/>
        </w:rPr>
        <w:t>4</w:t>
      </w:r>
      <w:r>
        <w:rPr>
          <w:rFonts w:ascii="Arial" w:hAnsi="Arial" w:eastAsia="宋体" w:cs="Arial"/>
          <w:snapToGrid w:val="0"/>
          <w:lang w:eastAsia="zh-CN"/>
        </w:rPr>
        <w:fldChar w:fldCharType="end"/>
      </w:r>
      <w:r>
        <w:rPr>
          <w:rFonts w:hint="eastAsia" w:ascii="Arial" w:hAnsi="Arial" w:eastAsia="宋体" w:cs="Arial"/>
          <w:snapToGrid w:val="0"/>
          <w:lang w:eastAsia="zh-CN"/>
        </w:rPr>
        <w:t>）。除其它考虑外，该测试必须能够评价药品储存在销售时所用容器密封系统中对其稳定性有何影响，该容器密封系统可能是一种器械组成部分（或构成器械组成部分的成分）。</w:t>
      </w:r>
      <w:r>
        <w:rPr>
          <w:rStyle w:val="17"/>
          <w:rFonts w:ascii="Arial" w:hAnsi="Arial" w:eastAsia="宋体" w:cs="Arial"/>
          <w:snapToGrid w:val="0"/>
          <w:lang w:eastAsia="zh-CN"/>
        </w:rPr>
        <w:footnoteReference w:id="95"/>
      </w:r>
      <w:r>
        <w:rPr>
          <w:rFonts w:hint="eastAsia" w:ascii="Arial" w:hAnsi="Arial" w:eastAsia="宋体" w:cs="Arial"/>
          <w:snapToGrid w:val="0"/>
          <w:lang w:eastAsia="zh-CN"/>
        </w:rPr>
        <w:t>对于单个实一组合产品，必须在并入成品组合产品时对药品组成部分执行该测试。</w:t>
      </w:r>
      <w:r>
        <w:rPr>
          <w:rStyle w:val="17"/>
          <w:rFonts w:ascii="Arial" w:hAnsi="Arial" w:eastAsia="宋体" w:cs="Arial"/>
          <w:snapToGrid w:val="0"/>
          <w:lang w:eastAsia="zh-CN"/>
        </w:rPr>
        <w:footnoteReference w:id="96"/>
      </w:r>
    </w:p>
    <w:p w14:paraId="22035178">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如果有充分依据，并（在适当时）经过FDA审核，本机构不反对采用交叉法和矩阵法进行稳定性研究。</w:t>
      </w:r>
      <w:r>
        <w:rPr>
          <w:rStyle w:val="17"/>
          <w:rFonts w:ascii="Arial" w:hAnsi="Arial" w:eastAsia="宋体" w:cs="Arial"/>
          <w:snapToGrid w:val="0"/>
          <w:lang w:eastAsia="zh-CN"/>
        </w:rPr>
        <w:footnoteReference w:id="97"/>
      </w:r>
      <w:r>
        <w:rPr>
          <w:rFonts w:hint="eastAsia" w:ascii="Arial" w:hAnsi="Arial" w:eastAsia="宋体" w:cs="Arial"/>
          <w:snapToGrid w:val="0"/>
          <w:lang w:eastAsia="zh-CN"/>
        </w:rPr>
        <w:t>本机构也不反对新产品开发期间借用已上市组合产品的稳定性数据，前提是有充分的依据并（在适当时）经过FDA审核。特别地，比如目的是确定新组合产品的到期日，如果新产品是对现有已上市组合产品的修改且该修改不会影响药品组成部分稳定性（例如，药物涂层球囊的导管长度改变，而球囊成分保持不变）且对到期日无显著影响，则这种借用可接受。</w:t>
      </w:r>
      <w:r>
        <w:rPr>
          <w:rStyle w:val="17"/>
          <w:rFonts w:ascii="Arial" w:hAnsi="Arial" w:eastAsia="宋体" w:cs="Arial"/>
          <w:snapToGrid w:val="0"/>
          <w:lang w:eastAsia="zh-CN"/>
        </w:rPr>
        <w:footnoteReference w:id="98"/>
      </w:r>
    </w:p>
    <w:p w14:paraId="5F0968A8">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16" w:name="_bookmark120"/>
      <w:bookmarkEnd w:id="116"/>
      <w:bookmarkStart w:id="117" w:name="_bookmark119"/>
      <w:bookmarkEnd w:id="117"/>
      <w:r>
        <w:rPr>
          <w:rFonts w:ascii="Arial" w:hAnsi="Arial" w:eastAsia="宋体" w:cs="Arial"/>
          <w:snapToGrid w:val="0"/>
          <w:sz w:val="24"/>
          <w:szCs w:val="20"/>
          <w:lang w:eastAsia="zh-CN"/>
        </w:rPr>
        <w:br w:type="page"/>
      </w:r>
    </w:p>
    <w:p w14:paraId="2D1D958B">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如果一种新产品有不太可能影响药品稳定性的细微差异（例如，包含在之前用于确定到期日的球囊尺寸矩阵内的一种不同尺寸药物涂层球囊，且无其它与稳定性相关的变更，例如涂层施工工艺不变），</w:t>
      </w:r>
      <w:r>
        <w:rPr>
          <w:rStyle w:val="17"/>
          <w:rFonts w:ascii="Arial" w:hAnsi="Arial" w:eastAsia="宋体" w:cs="Arial"/>
          <w:snapToGrid w:val="0"/>
          <w:lang w:eastAsia="zh-CN"/>
        </w:rPr>
        <w:footnoteReference w:id="99"/>
      </w:r>
      <w:r>
        <w:rPr>
          <w:rFonts w:hint="eastAsia" w:ascii="Arial" w:hAnsi="Arial" w:eastAsia="宋体" w:cs="Arial"/>
          <w:snapToGrid w:val="0"/>
          <w:lang w:eastAsia="zh-CN"/>
        </w:rPr>
        <w:t>则本机构不反对在适当阶段：</w:t>
      </w:r>
      <w:r>
        <w:rPr>
          <w:rFonts w:ascii="Arial" w:hAnsi="Arial" w:eastAsia="宋体" w:cs="Arial"/>
          <w:snapToGrid w:val="0"/>
          <w:lang w:eastAsia="zh-CN"/>
        </w:rPr>
        <w:t>i</w:t>
      </w:r>
      <w:r>
        <w:rPr>
          <w:rFonts w:hint="eastAsia" w:ascii="Arial" w:hAnsi="Arial" w:eastAsia="宋体" w:cs="Arial"/>
          <w:snapToGrid w:val="0"/>
          <w:lang w:eastAsia="zh-CN"/>
        </w:rPr>
        <w:t>）使用之前产生的现有产品（或产品系列）的稳定性数据以支持减少新产品稳定性数据要求（例如，仅产生短期加速数据）或</w:t>
      </w:r>
      <w:r>
        <w:rPr>
          <w:rFonts w:ascii="Arial" w:hAnsi="Arial" w:eastAsia="宋体" w:cs="Arial"/>
          <w:snapToGrid w:val="0"/>
          <w:lang w:eastAsia="zh-CN"/>
        </w:rPr>
        <w:t>ii</w:t>
      </w:r>
      <w:r>
        <w:rPr>
          <w:rFonts w:hint="eastAsia" w:ascii="Arial" w:hAnsi="Arial" w:eastAsia="宋体" w:cs="Arial"/>
          <w:snapToGrid w:val="0"/>
          <w:lang w:eastAsia="zh-CN"/>
        </w:rPr>
        <w:t>）把产品并入现有已上市产品的持续稳定性计划，前提是现有产品或产品系列的稳定性数据趋势和稳定性历史足够稳健以达到该目的。关于此类方法，申请人应联系他们产品的首要中心或</w:t>
      </w:r>
      <w:r>
        <w:rPr>
          <w:rFonts w:ascii="Arial" w:hAnsi="Arial" w:eastAsia="宋体" w:cs="Arial"/>
          <w:snapToGrid w:val="0"/>
          <w:lang w:eastAsia="zh-CN"/>
        </w:rPr>
        <w:t>OCP</w:t>
      </w:r>
      <w:r>
        <w:rPr>
          <w:rFonts w:hint="eastAsia" w:ascii="Arial" w:hAnsi="Arial" w:eastAsia="宋体" w:cs="Arial"/>
          <w:snapToGrid w:val="0"/>
          <w:lang w:eastAsia="zh-CN"/>
        </w:rPr>
        <w:t>（如果需要）。</w:t>
      </w:r>
      <w:r>
        <w:rPr>
          <w:rStyle w:val="17"/>
          <w:rFonts w:ascii="Arial" w:hAnsi="Arial" w:eastAsia="宋体" w:cs="Arial"/>
          <w:snapToGrid w:val="0"/>
          <w:lang w:eastAsia="zh-CN"/>
        </w:rPr>
        <w:footnoteReference w:id="100"/>
      </w:r>
    </w:p>
    <w:p w14:paraId="1C0D55D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 xml:space="preserve">当组合产品任何组成部分发生变更时，应评价是否需要新的稳定性研究。例如，制造过程变更，包括储存药品或有药品涂层的器械组成部分的尺寸或形状变更，或这类器械组成部分结构材料的变更，可能影响药品稳定性。 </w:t>
      </w:r>
    </w:p>
    <w:p w14:paraId="59ADA31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负责建立和管理稳定性计划。如果一个组合产品制造商从另一制造商处采购一种药品并包含在其组合包装组合产品内，则该组合产品制造商负责确保药品置于组合包装产品内销售时的稳定性，可通过适当机制达到该目的，比如执行采购控制以确保药品制造商稳定性测试的充分性或实施额外稳定性测试（见</w:t>
      </w:r>
      <w:r>
        <w:rPr>
          <w:rFonts w:ascii="Arial" w:hAnsi="Arial" w:eastAsia="宋体" w:cs="Arial"/>
          <w:snapToGrid w:val="0"/>
          <w:lang w:eastAsia="zh-CN"/>
        </w:rPr>
        <w:t>21 CFR 820.50</w:t>
      </w:r>
      <w:r>
        <w:rPr>
          <w:rFonts w:hint="eastAsia" w:ascii="Arial" w:hAnsi="Arial" w:eastAsia="宋体" w:cs="Arial"/>
          <w:snapToGrid w:val="0"/>
          <w:lang w:eastAsia="zh-CN"/>
        </w:rPr>
        <w:t>）。这类监督文件应包含在</w:t>
      </w:r>
      <w:r>
        <w:rPr>
          <w:rFonts w:ascii="Arial" w:hAnsi="Arial" w:eastAsia="宋体" w:cs="Arial"/>
          <w:snapToGrid w:val="0"/>
          <w:lang w:eastAsia="zh-CN"/>
        </w:rPr>
        <w:t>CGMP</w:t>
      </w:r>
      <w:r>
        <w:rPr>
          <w:rFonts w:hint="eastAsia" w:ascii="Arial" w:hAnsi="Arial" w:eastAsia="宋体" w:cs="Arial"/>
          <w:snapToGrid w:val="0"/>
          <w:lang w:eastAsia="zh-CN"/>
        </w:rPr>
        <w:t>记录中。</w:t>
      </w:r>
    </w:p>
    <w:p w14:paraId="4CB3066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组合包装组合产品的药品组成部分有到期日，且可提供文件证明对组合包装产品实施的任何额外的制造操作预期不会影响组成部分，包括其容器密封系统，那么组合产品制造商可以依赖该到期日以代替实施新的稳定性研究。</w:t>
      </w:r>
    </w:p>
    <w:p w14:paraId="1C830C58">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79A5069D">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18" w:name="7._Special_testing_requirements_(21_CFR_"/>
      <w:bookmarkEnd w:id="118"/>
      <w:r>
        <w:rPr>
          <w:rFonts w:hint="eastAsia" w:ascii="Arial" w:hAnsi="Arial" w:eastAsia="宋体" w:cs="Arial"/>
          <w:snapToGrid w:val="0"/>
          <w:lang w:eastAsia="zh-CN"/>
        </w:rPr>
        <w:t>特殊检验要求</w:t>
      </w:r>
      <w:r>
        <w:rPr>
          <w:rFonts w:ascii="Arial" w:hAnsi="Arial" w:eastAsia="宋体" w:cs="Arial"/>
          <w:snapToGrid w:val="0"/>
          <w:lang w:eastAsia="zh-CN"/>
        </w:rPr>
        <w:t>（21 CFR 211.167）</w:t>
      </w:r>
    </w:p>
    <w:p w14:paraId="18AAE7B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211.167</w:t>
      </w:r>
      <w:r>
        <w:rPr>
          <w:rFonts w:hint="eastAsia" w:ascii="Arial" w:hAnsi="Arial" w:eastAsia="宋体" w:cs="Arial"/>
          <w:snapToGrid w:val="0"/>
          <w:lang w:eastAsia="zh-CN"/>
        </w:rPr>
        <w:t>对适用于有特殊性质的药品的成批测试确定了要求。特别地，</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）要求对声称无菌和／或无热原的药品实施适当实验室测试以确定符合这类要求；</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）要求对眼膏实施适当测试以确定符合关于存在异物和刺激性物质或粗糙物的规格；和</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c</w:t>
      </w:r>
      <w:r>
        <w:rPr>
          <w:rFonts w:hint="eastAsia" w:ascii="Arial" w:hAnsi="Arial" w:eastAsia="宋体" w:cs="Arial"/>
          <w:snapToGrid w:val="0"/>
          <w:lang w:eastAsia="zh-CN"/>
        </w:rPr>
        <w:t>）要求对控释剂型实施适当实验室测试以确定符合每种活性成分的释放速度规格。</w:t>
      </w:r>
    </w:p>
    <w:p w14:paraId="41D2A95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只当组合产品或其药品组成部分符合以上描述三种情况的其中一种或多种时，</w:t>
      </w:r>
      <w:r>
        <w:rPr>
          <w:rFonts w:ascii="Arial" w:hAnsi="Arial" w:eastAsia="宋体" w:cs="Arial"/>
          <w:snapToGrid w:val="0"/>
          <w:lang w:eastAsia="zh-CN"/>
        </w:rPr>
        <w:t>21 CFR 211.167</w:t>
      </w:r>
      <w:r>
        <w:rPr>
          <w:rFonts w:hint="eastAsia" w:ascii="Arial" w:hAnsi="Arial" w:eastAsia="宋体" w:cs="Arial"/>
          <w:snapToGrid w:val="0"/>
          <w:lang w:eastAsia="zh-CN"/>
        </w:rPr>
        <w:t>中指定的特殊检验要求才适用于组合产品。根据产品的具体情况，可能要求对药品组成部分或整个组合产品进行特殊检验。</w:t>
      </w:r>
    </w:p>
    <w:p w14:paraId="2A8FF9A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关于</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），成批检验要求将适用于单一实体组合产品（比如载药注射器）的药品组成部分和成品组合产品以确保组合产品销售时无菌且无热原。相比之下，如果疫苗小瓶与空注射器组合包装在一起，</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）中的要求将仅适用于疫苗小瓶。</w:t>
      </w:r>
      <w:r>
        <w:rPr>
          <w:rStyle w:val="17"/>
          <w:rFonts w:ascii="Arial" w:hAnsi="Arial" w:eastAsia="宋体" w:cs="Arial"/>
          <w:snapToGrid w:val="0"/>
          <w:lang w:eastAsia="zh-CN"/>
        </w:rPr>
        <w:footnoteReference w:id="101"/>
      </w:r>
      <w:r>
        <w:rPr>
          <w:rFonts w:hint="eastAsia" w:ascii="Arial" w:hAnsi="Arial" w:eastAsia="宋体" w:cs="Arial"/>
          <w:snapToGrid w:val="0"/>
          <w:lang w:eastAsia="zh-CN"/>
        </w:rPr>
        <w:t>类似的分析适用于含眼膏的单一实体组合产品与组合包装组合产品遵守</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）的情况。</w:t>
      </w:r>
    </w:p>
    <w:p w14:paraId="77021FD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实施热原和内毒素检验时，可能允许在某些情况下基于成品药品而不是成品组合产品定义</w:t>
      </w:r>
      <w:r>
        <w:rPr>
          <w:rFonts w:hint="eastAsia" w:ascii="宋体" w:hAnsi="宋体" w:eastAsia="宋体" w:cs="Arial"/>
          <w:snapToGrid w:val="0"/>
          <w:lang w:eastAsia="zh-CN"/>
        </w:rPr>
        <w:t>“</w:t>
      </w:r>
      <w:r>
        <w:rPr>
          <w:rFonts w:hint="eastAsia" w:ascii="Arial" w:hAnsi="Arial" w:eastAsia="宋体" w:cs="Arial"/>
          <w:snapToGrid w:val="0"/>
          <w:lang w:eastAsia="zh-CN"/>
        </w:rPr>
        <w:t>批次</w:t>
      </w:r>
      <w:r>
        <w:rPr>
          <w:rFonts w:hint="eastAsia" w:ascii="宋体" w:hAnsi="宋体" w:eastAsia="宋体" w:cs="Arial"/>
          <w:snapToGrid w:val="0"/>
          <w:lang w:eastAsia="zh-CN"/>
        </w:rPr>
        <w:t>”</w:t>
      </w:r>
      <w:r>
        <w:rPr>
          <w:rFonts w:hint="eastAsia" w:ascii="Arial" w:hAnsi="Arial" w:eastAsia="宋体" w:cs="Arial"/>
          <w:snapToGrid w:val="0"/>
          <w:lang w:eastAsia="zh-CN"/>
        </w:rPr>
        <w:t xml:space="preserve">。例如，基于将批次定义为含药品组成部分的组合产品的亚成分可能是可以接受的。然而，这种方法的可行性将取决于很多因素，包括：为减少／限制热原和内毒素而进行的适当上游控制；组成部分的化学或材料介导产热原性，及因为该操作发生在批次定义的制造步骤之后，而产生热原和内毒素进入组合产品的风险。例如，对于某些产品，在中间制造步骤对材料进行内毒素检验是可能的，因此可能不需检验单一实体组合产品中的内毒素。 </w:t>
      </w:r>
    </w:p>
    <w:p w14:paraId="3CCDF67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c</w:t>
      </w:r>
      <w:r>
        <w:rPr>
          <w:rFonts w:hint="eastAsia" w:ascii="Arial" w:hAnsi="Arial" w:eastAsia="宋体" w:cs="Arial"/>
          <w:snapToGrid w:val="0"/>
          <w:lang w:eastAsia="zh-CN"/>
        </w:rPr>
        <w:t>）将适用于组合包装组合产品的控释药品组成部分，也适用于控释单一实体组合产品，以确认活性成分释放速度。例如，经皮药物贴剂或药物洗脱盘或支架依据</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c</w:t>
      </w:r>
      <w:r>
        <w:rPr>
          <w:rFonts w:hint="eastAsia" w:ascii="Arial" w:hAnsi="Arial" w:eastAsia="宋体" w:cs="Arial"/>
          <w:snapToGrid w:val="0"/>
          <w:lang w:eastAsia="zh-CN"/>
        </w:rPr>
        <w:t>）。</w:t>
      </w:r>
    </w:p>
    <w:p w14:paraId="7B935AE4">
      <w:pPr>
        <w:pStyle w:val="5"/>
        <w:topLinePunct/>
        <w:adjustRightInd w:val="0"/>
        <w:snapToGrid w:val="0"/>
        <w:spacing w:after="224" w:afterLines="75" w:line="288" w:lineRule="auto"/>
        <w:ind w:left="0" w:firstLine="0"/>
        <w:jc w:val="both"/>
        <w:rPr>
          <w:rFonts w:ascii="Arial" w:hAnsi="Arial" w:eastAsia="宋体" w:cs="Arial"/>
          <w:snapToGrid w:val="0"/>
          <w:szCs w:val="20"/>
          <w:lang w:eastAsia="zh-CN"/>
        </w:rPr>
      </w:pPr>
      <w:r>
        <w:rPr>
          <w:rFonts w:ascii="Arial" w:hAnsi="Arial" w:eastAsia="宋体" w:cs="Arial"/>
          <w:snapToGrid w:val="0"/>
          <w:szCs w:val="20"/>
          <w:lang w:eastAsia="zh-CN"/>
        </w:rPr>
        <w:br w:type="page"/>
      </w:r>
    </w:p>
    <w:p w14:paraId="50588D4A">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与药品和器械一样，如果有适当数据作为支持，对某些组合产品采取参数放行或许可接受。执行这类方法并将其包含于上市前提交资料之前，应与首要中心或</w:t>
      </w:r>
      <w:r>
        <w:rPr>
          <w:rFonts w:ascii="Arial" w:hAnsi="Arial" w:eastAsia="宋体" w:cs="Arial"/>
          <w:snapToGrid w:val="0"/>
          <w:lang w:eastAsia="zh-CN"/>
        </w:rPr>
        <w:t>OCP</w:t>
      </w:r>
      <w:r>
        <w:rPr>
          <w:rFonts w:hint="eastAsia" w:ascii="Arial" w:hAnsi="Arial" w:eastAsia="宋体" w:cs="Arial"/>
          <w:snapToGrid w:val="0"/>
          <w:lang w:eastAsia="zh-CN"/>
        </w:rPr>
        <w:t>（如果需要）进行讨论。</w:t>
      </w:r>
      <w:r>
        <w:rPr>
          <w:rStyle w:val="17"/>
          <w:rFonts w:ascii="Arial" w:hAnsi="Arial" w:eastAsia="宋体" w:cs="Arial"/>
          <w:snapToGrid w:val="0"/>
          <w:lang w:eastAsia="zh-CN"/>
        </w:rPr>
        <w:footnoteReference w:id="102"/>
      </w:r>
    </w:p>
    <w:p w14:paraId="315B2FB4">
      <w:pPr>
        <w:pStyle w:val="23"/>
        <w:numPr>
          <w:ilvl w:val="0"/>
          <w:numId w:val="9"/>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119" w:name="8._Reserve_samples_(21_CFR_211.170)"/>
      <w:bookmarkEnd w:id="119"/>
      <w:r>
        <w:rPr>
          <w:rFonts w:hint="eastAsia" w:ascii="Arial" w:hAnsi="Arial" w:eastAsia="宋体" w:cs="Arial"/>
          <w:snapToGrid w:val="0"/>
          <w:lang w:eastAsia="zh-CN"/>
        </w:rPr>
        <w:t>保留样品</w:t>
      </w:r>
      <w:r>
        <w:rPr>
          <w:rFonts w:hint="eastAsia" w:ascii="Arial" w:hAnsi="Arial" w:eastAsia="宋体" w:cs="Arial"/>
          <w:snapToGrid w:val="0"/>
        </w:rPr>
        <w:t>（</w:t>
      </w:r>
      <w:r>
        <w:rPr>
          <w:rFonts w:ascii="Arial" w:hAnsi="Arial" w:eastAsia="宋体" w:cs="Arial"/>
          <w:snapToGrid w:val="0"/>
        </w:rPr>
        <w:t>21 CFR 211.170</w:t>
      </w:r>
      <w:r>
        <w:rPr>
          <w:rFonts w:hint="eastAsia" w:ascii="Arial" w:hAnsi="Arial" w:eastAsia="宋体" w:cs="Arial"/>
          <w:snapToGrid w:val="0"/>
        </w:rPr>
        <w:t>）</w:t>
      </w:r>
    </w:p>
    <w:p w14:paraId="64D8956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与药品和生物制剂一样，需要保留样品帮助确保销售中组合产品的安全性和有效性。例如，保留样品用于解决某些产品投诉，评价稳定性问题和评估不良事件起因。组合产品的药品组成部分必须满足</w:t>
      </w:r>
      <w:r>
        <w:rPr>
          <w:rFonts w:ascii="Arial" w:hAnsi="Arial" w:eastAsia="宋体" w:cs="Arial"/>
          <w:snapToGrid w:val="0"/>
          <w:lang w:eastAsia="zh-CN"/>
        </w:rPr>
        <w:t>21 CFR 211.170</w:t>
      </w:r>
      <w:r>
        <w:rPr>
          <w:rFonts w:hint="eastAsia" w:ascii="Arial" w:hAnsi="Arial" w:eastAsia="宋体" w:cs="Arial"/>
          <w:snapToGrid w:val="0"/>
          <w:lang w:eastAsia="zh-CN"/>
        </w:rPr>
        <w:t>的保留样品要求。</w:t>
      </w:r>
    </w:p>
    <w:p w14:paraId="6CB771E4">
      <w:pPr>
        <w:pStyle w:val="5"/>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211.170</w:t>
      </w:r>
      <w:r>
        <w:rPr>
          <w:rFonts w:hint="eastAsia" w:ascii="Arial" w:hAnsi="Arial" w:eastAsia="宋体" w:cs="Arial"/>
          <w:snapToGrid w:val="0"/>
          <w:lang w:eastAsia="zh-CN"/>
        </w:rPr>
        <w:t>，保存的保留样品必须能同时代表</w:t>
      </w:r>
    </w:p>
    <w:p w14:paraId="250A95C3">
      <w:pPr>
        <w:pStyle w:val="5"/>
        <w:numPr>
          <w:ilvl w:val="2"/>
          <w:numId w:val="10"/>
        </w:numPr>
        <w:tabs>
          <w:tab w:val="left" w:pos="1134"/>
        </w:tabs>
        <w:topLinePunct/>
        <w:adjustRightInd w:val="0"/>
        <w:snapToGrid w:val="0"/>
        <w:spacing w:after="149" w:afterLines="50" w:line="288" w:lineRule="auto"/>
        <w:ind w:left="719" w:leftChars="327" w:firstLine="0"/>
        <w:jc w:val="both"/>
        <w:rPr>
          <w:rFonts w:ascii="Arial" w:hAnsi="Arial" w:eastAsia="宋体" w:cs="Arial"/>
          <w:snapToGrid w:val="0"/>
        </w:rPr>
      </w:pPr>
      <w:r>
        <w:rPr>
          <w:rFonts w:hint="eastAsia" w:ascii="Arial" w:hAnsi="Arial" w:eastAsia="宋体" w:cs="Arial"/>
          <w:snapToGrid w:val="0"/>
          <w:lang w:eastAsia="zh-CN"/>
        </w:rPr>
        <w:t>所有批次的活性成分</w:t>
      </w:r>
      <w:r>
        <w:rPr>
          <w:rFonts w:hint="eastAsia" w:ascii="Arial" w:hAnsi="Arial" w:eastAsia="宋体" w:cs="Arial"/>
          <w:snapToGrid w:val="0"/>
        </w:rPr>
        <w:t>（</w:t>
      </w:r>
      <w:r>
        <w:rPr>
          <w:rFonts w:ascii="Arial" w:hAnsi="Arial" w:eastAsia="宋体" w:cs="Arial"/>
          <w:snapToGrid w:val="0"/>
        </w:rPr>
        <w:t>21 CFR 211.170</w:t>
      </w:r>
      <w:r>
        <w:rPr>
          <w:rFonts w:hint="eastAsia" w:ascii="Arial" w:hAnsi="Arial" w:eastAsia="宋体" w:cs="Arial"/>
          <w:snapToGrid w:val="0"/>
        </w:rPr>
        <w:t>（</w:t>
      </w:r>
      <w:r>
        <w:rPr>
          <w:rFonts w:ascii="Arial" w:hAnsi="Arial" w:eastAsia="宋体" w:cs="Arial"/>
          <w:snapToGrid w:val="0"/>
        </w:rPr>
        <w:t>a</w:t>
      </w:r>
      <w:r>
        <w:rPr>
          <w:rFonts w:hint="eastAsia" w:ascii="Arial" w:hAnsi="Arial" w:eastAsia="宋体" w:cs="Arial"/>
          <w:snapToGrid w:val="0"/>
        </w:rPr>
        <w:t>））</w:t>
      </w:r>
      <w:r>
        <w:rPr>
          <w:rFonts w:ascii="Arial" w:hAnsi="Arial" w:eastAsia="宋体" w:cs="Arial"/>
          <w:snapToGrid w:val="0"/>
        </w:rPr>
        <w:t>，</w:t>
      </w:r>
      <w:r>
        <w:rPr>
          <w:rFonts w:hint="eastAsia" w:ascii="Arial" w:hAnsi="Arial" w:eastAsia="宋体" w:cs="Arial"/>
          <w:snapToGrid w:val="0"/>
          <w:lang w:eastAsia="zh-CN"/>
        </w:rPr>
        <w:t>和</w:t>
      </w:r>
    </w:p>
    <w:p w14:paraId="17F7D33C">
      <w:pPr>
        <w:pStyle w:val="5"/>
        <w:numPr>
          <w:ilvl w:val="2"/>
          <w:numId w:val="10"/>
        </w:numPr>
        <w:tabs>
          <w:tab w:val="left" w:pos="1134"/>
        </w:tabs>
        <w:topLinePunct/>
        <w:adjustRightInd w:val="0"/>
        <w:snapToGrid w:val="0"/>
        <w:spacing w:after="224" w:afterLines="75" w:line="288" w:lineRule="auto"/>
        <w:ind w:left="719" w:leftChars="327" w:firstLine="0"/>
        <w:jc w:val="both"/>
        <w:rPr>
          <w:rFonts w:ascii="Arial" w:hAnsi="Arial" w:eastAsia="宋体" w:cs="Arial"/>
          <w:snapToGrid w:val="0"/>
          <w:lang w:eastAsia="zh-CN"/>
        </w:rPr>
      </w:pPr>
      <w:r>
        <w:rPr>
          <w:rFonts w:hint="eastAsia" w:ascii="Arial" w:hAnsi="Arial" w:eastAsia="宋体" w:cs="Arial"/>
          <w:snapToGrid w:val="0"/>
          <w:lang w:eastAsia="zh-CN"/>
        </w:rPr>
        <w:t>所有批量或批次的药品（</w:t>
      </w:r>
      <w:r>
        <w:rPr>
          <w:rFonts w:ascii="Arial" w:hAnsi="Arial" w:eastAsia="宋体" w:cs="Arial"/>
          <w:snapToGrid w:val="0"/>
          <w:lang w:eastAsia="zh-CN"/>
        </w:rPr>
        <w:t>21 CFR 211.170</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p>
    <w:p w14:paraId="4293AAAB">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除用于无菌性和产热原性测试的样品外，剩余保留样品的数量必须至少为实施所有要求测试所需数量的两倍。</w:t>
      </w:r>
      <w:r>
        <w:rPr>
          <w:rStyle w:val="17"/>
          <w:rFonts w:ascii="Arial" w:hAnsi="Arial" w:eastAsia="宋体" w:cs="Arial"/>
          <w:snapToGrid w:val="0"/>
          <w:lang w:eastAsia="zh-CN"/>
        </w:rPr>
        <w:footnoteReference w:id="103"/>
      </w:r>
      <w:r>
        <w:rPr>
          <w:rFonts w:hint="eastAsia" w:ascii="Arial" w:hAnsi="Arial" w:eastAsia="宋体" w:cs="Arial"/>
          <w:snapToGrid w:val="0"/>
          <w:lang w:eastAsia="zh-CN"/>
        </w:rPr>
        <w:t>此外，药品的保留样品必须保留和储存在与产品标签一致的储存条件中，并储存在与药品销售时所用直接容器密封系统相同或特征基本相同的直接容器密封系统中。</w:t>
      </w:r>
      <w:r>
        <w:rPr>
          <w:rStyle w:val="17"/>
          <w:rFonts w:ascii="Arial" w:hAnsi="Arial" w:eastAsia="宋体" w:cs="Arial"/>
          <w:snapToGrid w:val="0"/>
          <w:lang w:eastAsia="zh-CN"/>
        </w:rPr>
        <w:footnoteReference w:id="104"/>
      </w:r>
    </w:p>
    <w:p w14:paraId="6E6486C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相应地，单一实体和组合包装组合产品制造商同样必须保存他们（如果有）收到的，以任何形式（例如，作为散装活性药物成分或以并入中间体的形式）到达机构的所有批量活性成分的保留样品。</w:t>
      </w:r>
    </w:p>
    <w:p w14:paraId="2868B1A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对于组合包装组合产品，可通过把药物组成部分样品保持在其直接容器密封系统内满足保存药品保留样品的要求，无需保留任何器械或器械部分的样品。</w:t>
      </w:r>
      <w:r>
        <w:rPr>
          <w:rStyle w:val="17"/>
          <w:rFonts w:ascii="Arial" w:hAnsi="Arial" w:eastAsia="宋体" w:cs="Arial"/>
          <w:snapToGrid w:val="0"/>
          <w:lang w:eastAsia="zh-CN"/>
        </w:rPr>
        <w:footnoteReference w:id="105"/>
      </w:r>
      <w:r>
        <w:rPr>
          <w:rFonts w:hint="eastAsia" w:ascii="Arial" w:hAnsi="Arial" w:eastAsia="宋体" w:cs="Arial"/>
          <w:snapToGrid w:val="0"/>
          <w:lang w:eastAsia="zh-CN"/>
        </w:rPr>
        <w:t>对于单一实体组合产品，药品保留样品应为销售包装中与药品接触器械组成部分或其部件内的或在其上面的药品组成部分。</w:t>
      </w:r>
    </w:p>
    <w:p w14:paraId="1DE93942">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20" w:name="_bookmark125"/>
      <w:bookmarkEnd w:id="120"/>
      <w:bookmarkStart w:id="121" w:name="_bookmark126"/>
      <w:bookmarkEnd w:id="121"/>
      <w:r>
        <w:rPr>
          <w:rFonts w:ascii="Arial" w:hAnsi="Arial" w:eastAsia="宋体" w:cs="Arial"/>
          <w:snapToGrid w:val="0"/>
          <w:sz w:val="24"/>
          <w:szCs w:val="20"/>
          <w:lang w:eastAsia="zh-CN"/>
        </w:rPr>
        <w:br w:type="page"/>
      </w:r>
    </w:p>
    <w:p w14:paraId="34FD872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制造商必须检查药品样品是否变质，调查变质证据并记录和保留这类检查的结果。</w:t>
      </w:r>
      <w:r>
        <w:rPr>
          <w:rStyle w:val="17"/>
          <w:rFonts w:ascii="Arial" w:hAnsi="Arial" w:eastAsia="宋体" w:cs="Arial"/>
          <w:snapToGrid w:val="0"/>
          <w:lang w:eastAsia="zh-CN"/>
        </w:rPr>
        <w:footnoteReference w:id="106"/>
      </w:r>
      <w:r>
        <w:rPr>
          <w:rFonts w:hint="eastAsia" w:ascii="Arial" w:hAnsi="Arial" w:eastAsia="宋体" w:cs="Arial"/>
          <w:snapToGrid w:val="0"/>
          <w:lang w:eastAsia="zh-CN"/>
        </w:rPr>
        <w:t>药品保留样品通常必须保存至药品到期日后1年；某些放射性和</w:t>
      </w:r>
      <w:r>
        <w:rPr>
          <w:rFonts w:ascii="Arial" w:hAnsi="Arial" w:eastAsia="宋体" w:cs="Arial"/>
          <w:snapToGrid w:val="0"/>
          <w:lang w:eastAsia="zh-CN"/>
        </w:rPr>
        <w:t>OTC</w:t>
      </w:r>
      <w:r>
        <w:rPr>
          <w:rFonts w:hint="eastAsia" w:ascii="Arial" w:hAnsi="Arial" w:eastAsia="宋体" w:cs="Arial"/>
          <w:snapToGrid w:val="0"/>
          <w:lang w:eastAsia="zh-CN"/>
        </w:rPr>
        <w:t>药品的保留时间不同。</w:t>
      </w:r>
      <w:r>
        <w:rPr>
          <w:rStyle w:val="17"/>
          <w:rFonts w:ascii="Arial" w:hAnsi="Arial" w:eastAsia="宋体" w:cs="Arial"/>
          <w:snapToGrid w:val="0"/>
          <w:lang w:eastAsia="zh-CN"/>
        </w:rPr>
        <w:footnoteReference w:id="107"/>
      </w:r>
      <w:r>
        <w:rPr>
          <w:rFonts w:hint="eastAsia" w:ascii="Arial" w:hAnsi="Arial" w:eastAsia="宋体" w:cs="Arial"/>
          <w:snapToGrid w:val="0"/>
          <w:lang w:eastAsia="zh-CN"/>
        </w:rPr>
        <w:t>活性成分样品通常必须保存至最后一批量含活性成分组合产品到期日后1年。</w:t>
      </w:r>
      <w:r>
        <w:rPr>
          <w:rStyle w:val="17"/>
          <w:rFonts w:ascii="Arial" w:hAnsi="Arial" w:eastAsia="宋体" w:cs="Arial"/>
          <w:snapToGrid w:val="0"/>
          <w:lang w:eastAsia="zh-CN"/>
        </w:rPr>
        <w:footnoteReference w:id="108"/>
      </w:r>
      <w:r>
        <w:rPr>
          <w:rFonts w:hint="eastAsia" w:ascii="Arial" w:hAnsi="Arial" w:eastAsia="宋体" w:cs="Arial"/>
          <w:snapToGrid w:val="0"/>
          <w:lang w:eastAsia="zh-CN"/>
        </w:rPr>
        <w:t>相应地，散装原料药所有批量的样品应保留至使用该批量活性成分的最后一批量组合产品到期日后1年。</w:t>
      </w:r>
    </w:p>
    <w:p w14:paraId="394329C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组合产品制造商可选择把他们的</w:t>
      </w:r>
      <w:r>
        <w:rPr>
          <w:rFonts w:ascii="Arial" w:hAnsi="Arial" w:eastAsia="宋体" w:cs="Arial"/>
          <w:snapToGrid w:val="0"/>
          <w:lang w:eastAsia="zh-CN"/>
        </w:rPr>
        <w:t>API</w:t>
      </w:r>
      <w:r>
        <w:rPr>
          <w:rFonts w:hint="eastAsia" w:ascii="Arial" w:hAnsi="Arial" w:eastAsia="宋体" w:cs="Arial"/>
          <w:snapToGrid w:val="0"/>
          <w:lang w:eastAsia="zh-CN"/>
        </w:rPr>
        <w:t>，药品</w:t>
      </w:r>
      <w:r>
        <w:rPr>
          <w:rFonts w:ascii="Arial" w:hAnsi="Arial" w:eastAsia="宋体" w:cs="Arial"/>
          <w:snapToGrid w:val="0"/>
          <w:lang w:eastAsia="zh-CN"/>
        </w:rPr>
        <w:t>／</w:t>
      </w:r>
      <w:r>
        <w:rPr>
          <w:rFonts w:hint="eastAsia" w:ascii="Arial" w:hAnsi="Arial" w:eastAsia="宋体" w:cs="Arial"/>
          <w:snapToGrid w:val="0"/>
          <w:lang w:eastAsia="zh-CN"/>
        </w:rPr>
        <w:t>生物制剂组成部分，或成品组合产品的保留样品保存在组合产品制造机构之外的地点。在这些情况下，组合产品制造商应有适当的控制措施确保持续满足</w:t>
      </w:r>
      <w:r>
        <w:rPr>
          <w:rFonts w:ascii="Arial" w:hAnsi="Arial" w:eastAsia="宋体" w:cs="Arial"/>
          <w:snapToGrid w:val="0"/>
          <w:lang w:eastAsia="zh-CN"/>
        </w:rPr>
        <w:t>21CFR 211.170</w:t>
      </w:r>
      <w:r>
        <w:rPr>
          <w:rFonts w:hint="eastAsia" w:ascii="Arial" w:hAnsi="Arial" w:eastAsia="宋体" w:cs="Arial"/>
          <w:snapToGrid w:val="0"/>
          <w:lang w:eastAsia="zh-CN"/>
        </w:rPr>
        <w:t>的要求。这类控制措施应包含与保留样品保存机构的协议，以确保储存条件适当，组合产品制造商能获得该样品，有能力分析保留样品（如果需要）和保存足够数量的所有批量样品。</w:t>
      </w:r>
    </w:p>
    <w:p w14:paraId="2C23880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对于组合产品，保持适当数量的每所有批量的活性成分和处于销售时所用直接容器／密封件的所有批量或批次的药品组成部分的保留样品通常即足够。对于单一实体组合产品，器械组成部分可能是药品的容器／密封件或容器／密封件的其中一部分，或容器／密封件可能不同于器械组成部分。例如，对于一个药物洗脱支架或人工椎间盘，或载药注射器，通常应把整个组合产品作为保留样品。相比之下，例如，如果组合产品包含注射系统（器械组成部分），且用户向其插入含药品的载药试剂盒，那么仅载药试剂盒保留样品通常足以符合药品样品保留要求。然而，注射系统应可用，以确保对保留样品的测试。</w:t>
      </w:r>
    </w:p>
    <w:p w14:paraId="3F9E64F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想要保留和储存代表成品药品组成部分或（适当时）组合产品但不与其完全相同的保留样品的制造商，应包含充分依据和数据支持：</w:t>
      </w:r>
    </w:p>
    <w:p w14:paraId="346AFCCB">
      <w:pPr>
        <w:pStyle w:val="5"/>
        <w:numPr>
          <w:ilvl w:val="3"/>
          <w:numId w:val="10"/>
        </w:numPr>
        <w:topLinePunct/>
        <w:adjustRightInd w:val="0"/>
        <w:snapToGrid w:val="0"/>
        <w:spacing w:after="224" w:afterLines="75" w:line="288" w:lineRule="auto"/>
        <w:ind w:left="1276" w:leftChars="327" w:hanging="557"/>
        <w:jc w:val="both"/>
        <w:rPr>
          <w:rFonts w:ascii="Arial" w:hAnsi="Arial" w:eastAsia="宋体" w:cs="Arial"/>
          <w:snapToGrid w:val="0"/>
          <w:lang w:eastAsia="zh-CN"/>
        </w:rPr>
      </w:pPr>
      <w:r>
        <w:rPr>
          <w:rFonts w:hint="eastAsia" w:ascii="Arial" w:hAnsi="Arial" w:eastAsia="宋体" w:cs="Arial"/>
          <w:snapToGrid w:val="0"/>
          <w:lang w:eastAsia="zh-CN"/>
        </w:rPr>
        <w:t>保留样品与成品组合产品的所有制造工艺差异都不影响药品组成部分（见上面</w:t>
      </w:r>
      <w:r>
        <w:rPr>
          <w:rFonts w:ascii="Arial" w:hAnsi="Arial" w:eastAsia="宋体" w:cs="Arial"/>
          <w:snapToGrid w:val="0"/>
          <w:lang w:eastAsia="zh-CN"/>
        </w:rPr>
        <w:t>IV.B.5</w:t>
      </w:r>
      <w:r>
        <w:rPr>
          <w:rFonts w:hint="eastAsia" w:ascii="Arial" w:hAnsi="Arial" w:eastAsia="宋体" w:cs="Arial"/>
          <w:snapToGrid w:val="0"/>
          <w:lang w:eastAsia="zh-CN"/>
        </w:rPr>
        <w:t>的讨论）；</w:t>
      </w:r>
    </w:p>
    <w:p w14:paraId="0911EE7E">
      <w:pPr>
        <w:pStyle w:val="5"/>
        <w:numPr>
          <w:ilvl w:val="3"/>
          <w:numId w:val="10"/>
        </w:numPr>
        <w:topLinePunct/>
        <w:adjustRightInd w:val="0"/>
        <w:snapToGrid w:val="0"/>
        <w:spacing w:after="224" w:afterLines="75" w:line="288" w:lineRule="auto"/>
        <w:ind w:left="1276" w:leftChars="327" w:hanging="557"/>
        <w:jc w:val="both"/>
        <w:rPr>
          <w:rFonts w:ascii="Arial" w:hAnsi="Arial" w:eastAsia="宋体" w:cs="Arial"/>
          <w:snapToGrid w:val="0"/>
          <w:lang w:eastAsia="zh-CN"/>
        </w:rPr>
      </w:pPr>
      <w:r>
        <w:rPr>
          <w:rFonts w:hint="eastAsia" w:ascii="Arial" w:hAnsi="Arial" w:eastAsia="宋体" w:cs="Arial"/>
          <w:snapToGrid w:val="0"/>
          <w:lang w:eastAsia="zh-CN"/>
        </w:rPr>
        <w:t>直接容器／密封件与药品在供销售组合产品内所在直接容器／密封件的特征基本相同（如果未使用实际的直接容器密封件），以及</w:t>
      </w:r>
    </w:p>
    <w:p w14:paraId="1BED42B2">
      <w:pPr>
        <w:pStyle w:val="5"/>
        <w:numPr>
          <w:ilvl w:val="3"/>
          <w:numId w:val="10"/>
        </w:numPr>
        <w:topLinePunct/>
        <w:adjustRightInd w:val="0"/>
        <w:snapToGrid w:val="0"/>
        <w:spacing w:after="224" w:afterLines="75" w:line="288" w:lineRule="auto"/>
        <w:ind w:left="1276" w:leftChars="327" w:hanging="557"/>
        <w:jc w:val="both"/>
        <w:rPr>
          <w:rFonts w:ascii="Arial" w:hAnsi="Arial" w:eastAsia="宋体" w:cs="Arial"/>
          <w:snapToGrid w:val="0"/>
          <w:lang w:eastAsia="zh-CN"/>
        </w:rPr>
      </w:pPr>
      <w:r>
        <w:rPr>
          <w:rFonts w:hint="eastAsia" w:ascii="Arial" w:hAnsi="Arial" w:eastAsia="宋体" w:cs="Arial"/>
          <w:snapToGrid w:val="0"/>
          <w:lang w:eastAsia="zh-CN"/>
        </w:rPr>
        <w:t>提议的代表性样品适宜进行其所代表的药品组成部分的所有要求测试。</w:t>
      </w:r>
    </w:p>
    <w:p w14:paraId="02EEB344">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22" w:name="_bookmark131"/>
      <w:bookmarkEnd w:id="122"/>
      <w:bookmarkStart w:id="123" w:name="_bookmark129"/>
      <w:bookmarkEnd w:id="123"/>
      <w:r>
        <w:rPr>
          <w:rFonts w:ascii="Arial" w:hAnsi="Arial" w:eastAsia="宋体" w:cs="Arial"/>
          <w:snapToGrid w:val="0"/>
          <w:sz w:val="24"/>
          <w:szCs w:val="20"/>
          <w:lang w:eastAsia="zh-CN"/>
        </w:rPr>
        <w:br w:type="page"/>
      </w:r>
    </w:p>
    <w:p w14:paraId="7262A253">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正常情况下，应保留完整样品供进行所有测试。作为一种替代方法，保存恰当定义和确认的替代品进行某些测试，同时保留完整的组合产品样品进行其它测试或许是可以做到的。交叉法和矩阵法或许也可接受，正如可使用来自较大批次的有代表性的批量样品也是可接受的（例如，定义广泛的批次中各尺寸代表性样品，该批次中包括相同系列涂层组合产品的多个尺寸）。</w:t>
      </w:r>
      <w:r>
        <w:rPr>
          <w:rStyle w:val="17"/>
          <w:rFonts w:ascii="Arial" w:hAnsi="Arial" w:eastAsia="宋体" w:cs="Arial"/>
          <w:snapToGrid w:val="0"/>
          <w:lang w:eastAsia="zh-CN"/>
        </w:rPr>
        <w:footnoteReference w:id="109"/>
      </w:r>
    </w:p>
    <w:p w14:paraId="1670818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建议考虑使用新方法遵守保留样品要求的制造商与他们组合产品的首要中心或</w:t>
      </w:r>
      <w:r>
        <w:rPr>
          <w:rFonts w:ascii="Arial" w:hAnsi="Arial" w:eastAsia="宋体" w:cs="Arial"/>
          <w:snapToGrid w:val="0"/>
          <w:lang w:eastAsia="zh-CN"/>
        </w:rPr>
        <w:t>OCP</w:t>
      </w:r>
      <w:r>
        <w:rPr>
          <w:rFonts w:hint="eastAsia" w:ascii="Arial" w:hAnsi="Arial" w:eastAsia="宋体" w:cs="Arial"/>
          <w:snapToGrid w:val="0"/>
          <w:lang w:eastAsia="zh-CN"/>
        </w:rPr>
        <w:t>（如果需要）讨论这些方法。</w:t>
      </w:r>
    </w:p>
    <w:p w14:paraId="0BD3E531">
      <w:pPr>
        <w:pStyle w:val="22"/>
        <w:numPr>
          <w:ilvl w:val="1"/>
          <w:numId w:val="1"/>
        </w:numPr>
        <w:tabs>
          <w:tab w:val="left" w:pos="118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124" w:name="C._Combination_products_that_include_bio"/>
      <w:bookmarkEnd w:id="124"/>
      <w:bookmarkStart w:id="125" w:name="_bookmark132"/>
      <w:bookmarkEnd w:id="125"/>
      <w:bookmarkStart w:id="126" w:name="_Toc498640476"/>
      <w:r>
        <w:rPr>
          <w:rFonts w:hint="eastAsia" w:ascii="Arial" w:hAnsi="Arial" w:eastAsia="宋体" w:cs="Arial"/>
          <w:snapToGrid w:val="0"/>
          <w:sz w:val="24"/>
          <w:lang w:eastAsia="zh-CN"/>
        </w:rPr>
        <w:t>包含生物制剂和</w:t>
      </w:r>
      <w:r>
        <w:rPr>
          <w:rFonts w:ascii="Arial" w:hAnsi="Arial" w:eastAsia="宋体" w:cs="Arial"/>
          <w:snapToGrid w:val="0"/>
          <w:sz w:val="24"/>
          <w:lang w:eastAsia="zh-CN"/>
        </w:rPr>
        <w:t>HCT/P</w:t>
      </w:r>
      <w:r>
        <w:rPr>
          <w:rFonts w:hint="eastAsia" w:ascii="Arial" w:hAnsi="Arial" w:eastAsia="宋体" w:cs="Arial"/>
          <w:snapToGrid w:val="0"/>
          <w:sz w:val="24"/>
          <w:lang w:eastAsia="zh-CN"/>
        </w:rPr>
        <w:t>s的组合产品</w:t>
      </w:r>
      <w:bookmarkEnd w:id="126"/>
    </w:p>
    <w:p w14:paraId="0897A30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除遵守第4部分指出的适用药品</w:t>
      </w:r>
      <w:r>
        <w:rPr>
          <w:rFonts w:ascii="Arial" w:hAnsi="Arial" w:eastAsia="宋体" w:cs="Arial"/>
          <w:snapToGrid w:val="0"/>
          <w:lang w:eastAsia="zh-CN"/>
        </w:rPr>
        <w:t>CGMP</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规章要求外，含生物制剂或</w:t>
      </w:r>
      <w:r>
        <w:rPr>
          <w:rFonts w:ascii="Arial" w:hAnsi="Arial" w:eastAsia="宋体" w:cs="Arial"/>
          <w:snapToGrid w:val="0"/>
          <w:lang w:eastAsia="zh-CN"/>
        </w:rPr>
        <w:t>HCT/P</w:t>
      </w:r>
      <w:r>
        <w:rPr>
          <w:rFonts w:hint="eastAsia" w:ascii="Arial" w:hAnsi="Arial" w:eastAsia="宋体" w:cs="Arial"/>
          <w:snapToGrid w:val="0"/>
          <w:lang w:eastAsia="zh-CN"/>
        </w:rPr>
        <w:t>组合产品的制造商必须遵守适用于不是组合产品一部分时的生物制剂或</w:t>
      </w:r>
      <w:r>
        <w:rPr>
          <w:rFonts w:ascii="Arial" w:hAnsi="Arial" w:eastAsia="宋体" w:cs="Arial"/>
          <w:snapToGrid w:val="0"/>
          <w:lang w:eastAsia="zh-CN"/>
        </w:rPr>
        <w:t>HCT/P</w:t>
      </w:r>
      <w:r>
        <w:rPr>
          <w:rFonts w:hint="eastAsia" w:ascii="Arial" w:hAnsi="Arial" w:eastAsia="宋体" w:cs="Arial"/>
          <w:snapToGrid w:val="0"/>
          <w:lang w:eastAsia="zh-CN"/>
        </w:rPr>
        <w:t>的要求。</w:t>
      </w:r>
    </w:p>
    <w:p w14:paraId="092C1890">
      <w:pPr>
        <w:pStyle w:val="23"/>
        <w:numPr>
          <w:ilvl w:val="0"/>
          <w:numId w:val="11"/>
        </w:numPr>
        <w:tabs>
          <w:tab w:val="left" w:pos="1180"/>
        </w:tabs>
        <w:topLinePunct/>
        <w:adjustRightInd w:val="0"/>
        <w:snapToGrid w:val="0"/>
        <w:spacing w:after="224" w:afterLines="75" w:line="288" w:lineRule="auto"/>
        <w:ind w:left="719" w:leftChars="327" w:firstLine="0"/>
        <w:jc w:val="both"/>
        <w:outlineLvl w:val="9"/>
        <w:rPr>
          <w:rFonts w:ascii="Arial" w:hAnsi="Arial" w:eastAsia="宋体" w:cs="Arial"/>
          <w:snapToGrid w:val="0"/>
          <w:lang w:eastAsia="zh-CN"/>
        </w:rPr>
      </w:pPr>
      <w:bookmarkStart w:id="127" w:name="1._Complying_with_CGMP_requirements_for_"/>
      <w:bookmarkEnd w:id="127"/>
      <w:r>
        <w:rPr>
          <w:rFonts w:hint="eastAsia" w:ascii="Arial" w:hAnsi="Arial" w:eastAsia="宋体" w:cs="Arial"/>
          <w:snapToGrid w:val="0"/>
          <w:lang w:eastAsia="zh-CN"/>
        </w:rPr>
        <w:t>遵守生物制剂</w:t>
      </w:r>
      <w:r>
        <w:rPr>
          <w:rFonts w:ascii="Arial" w:hAnsi="Arial" w:eastAsia="宋体" w:cs="Arial"/>
          <w:snapToGrid w:val="0"/>
          <w:lang w:eastAsia="zh-CN"/>
        </w:rPr>
        <w:t>CGMP</w:t>
      </w:r>
      <w:r>
        <w:rPr>
          <w:rFonts w:hint="eastAsia" w:ascii="Arial" w:hAnsi="Arial" w:eastAsia="宋体" w:cs="Arial"/>
          <w:snapToGrid w:val="0"/>
          <w:lang w:eastAsia="zh-CN"/>
        </w:rPr>
        <w:t>要求</w:t>
      </w:r>
    </w:p>
    <w:p w14:paraId="0BFF79E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记住，根据其定义，受</w:t>
      </w:r>
      <w:r>
        <w:rPr>
          <w:rFonts w:ascii="Arial" w:hAnsi="Arial" w:eastAsia="宋体" w:cs="Arial"/>
          <w:snapToGrid w:val="0"/>
          <w:lang w:eastAsia="zh-CN"/>
        </w:rPr>
        <w:t>PHS</w:t>
      </w:r>
      <w:r>
        <w:rPr>
          <w:rFonts w:hint="eastAsia" w:ascii="Arial" w:hAnsi="Arial" w:eastAsia="宋体" w:cs="Arial"/>
          <w:snapToGrid w:val="0"/>
          <w:lang w:eastAsia="zh-CN"/>
        </w:rPr>
        <w:t>法案第</w:t>
      </w:r>
      <w:r>
        <w:rPr>
          <w:rFonts w:ascii="Arial" w:hAnsi="Arial" w:eastAsia="宋体" w:cs="Arial"/>
          <w:snapToGrid w:val="0"/>
          <w:lang w:eastAsia="zh-CN"/>
        </w:rPr>
        <w:t>351</w:t>
      </w:r>
      <w:r>
        <w:rPr>
          <w:rFonts w:hint="eastAsia" w:ascii="Arial" w:hAnsi="Arial" w:eastAsia="宋体" w:cs="Arial"/>
          <w:snapToGrid w:val="0"/>
          <w:lang w:eastAsia="zh-CN"/>
        </w:rPr>
        <w:t>节监管的生物制剂也是一种药品或器械，这点很重要。相应地，除第</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680</w:t>
      </w:r>
      <w:r>
        <w:rPr>
          <w:rFonts w:hint="eastAsia" w:ascii="Arial" w:hAnsi="Arial" w:eastAsia="宋体" w:cs="Arial"/>
          <w:snapToGrid w:val="0"/>
          <w:lang w:eastAsia="zh-CN"/>
        </w:rPr>
        <w:t>部分的要求外，无论是否为组合产品的组成部分，生物制剂总是受药品</w:t>
      </w:r>
      <w:r>
        <w:rPr>
          <w:rFonts w:ascii="Arial" w:hAnsi="Arial" w:eastAsia="宋体" w:cs="Arial"/>
          <w:snapToGrid w:val="0"/>
          <w:lang w:eastAsia="zh-CN"/>
        </w:rPr>
        <w:t>CGMP</w:t>
      </w:r>
      <w:r>
        <w:rPr>
          <w:rFonts w:hint="eastAsia" w:ascii="Arial" w:hAnsi="Arial" w:eastAsia="宋体" w:cs="Arial"/>
          <w:snapToGrid w:val="0"/>
          <w:lang w:eastAsia="zh-CN"/>
        </w:rPr>
        <w:t>或器械QS规章的约束。第</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w:t>
      </w:r>
      <w:r>
        <w:rPr>
          <w:rFonts w:hint="eastAsia" w:ascii="Arial" w:hAnsi="Arial" w:eastAsia="宋体" w:cs="Arial"/>
          <w:snapToGrid w:val="0"/>
          <w:lang w:eastAsia="zh-CN"/>
        </w:rPr>
        <w:t>0部分的生物制剂</w:t>
      </w:r>
      <w:r>
        <w:rPr>
          <w:rFonts w:ascii="Arial" w:hAnsi="Arial" w:eastAsia="宋体" w:cs="Arial"/>
          <w:snapToGrid w:val="0"/>
          <w:lang w:eastAsia="zh-CN"/>
        </w:rPr>
        <w:t>CGMP</w:t>
      </w:r>
      <w:r>
        <w:rPr>
          <w:rFonts w:hint="eastAsia" w:ascii="Arial" w:hAnsi="Arial" w:eastAsia="宋体" w:cs="Arial"/>
          <w:snapToGrid w:val="0"/>
          <w:lang w:eastAsia="zh-CN"/>
        </w:rPr>
        <w:t>要求扩大了药品</w:t>
      </w:r>
      <w:r>
        <w:rPr>
          <w:rFonts w:ascii="Arial" w:hAnsi="Arial" w:eastAsia="宋体" w:cs="Arial"/>
          <w:snapToGrid w:val="0"/>
          <w:lang w:eastAsia="zh-CN"/>
        </w:rPr>
        <w:t>CGMP</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规章的内容以确保充分考虑生物制剂问题。第</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w:t>
      </w:r>
      <w:r>
        <w:rPr>
          <w:rFonts w:hint="eastAsia" w:ascii="Arial" w:hAnsi="Arial" w:eastAsia="宋体" w:cs="Arial"/>
          <w:snapToGrid w:val="0"/>
          <w:lang w:eastAsia="zh-CN"/>
        </w:rPr>
        <w:t>0部分的生物制剂</w:t>
      </w:r>
      <w:r>
        <w:rPr>
          <w:rFonts w:ascii="Arial" w:hAnsi="Arial" w:eastAsia="宋体" w:cs="Arial"/>
          <w:snapToGrid w:val="0"/>
          <w:lang w:eastAsia="zh-CN"/>
        </w:rPr>
        <w:t>CGMP</w:t>
      </w:r>
      <w:r>
        <w:rPr>
          <w:rFonts w:hint="eastAsia" w:ascii="Arial" w:hAnsi="Arial" w:eastAsia="宋体" w:cs="Arial"/>
          <w:snapToGrid w:val="0"/>
          <w:lang w:eastAsia="zh-CN"/>
        </w:rPr>
        <w:t>要求解决生物制剂造成的特殊挑战，包括由它们的相对复杂引起的挑战。实际上，对于生物制剂，制造程序的一致性可作为确保产品安全性、纯度和效价的一种首要方法。</w:t>
      </w:r>
    </w:p>
    <w:p w14:paraId="3CB6E3F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如果组合产品包含一种生物制剂组成部分，则必须满足第</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w:t>
      </w:r>
      <w:r>
        <w:rPr>
          <w:rFonts w:hint="eastAsia" w:ascii="Arial" w:hAnsi="Arial" w:eastAsia="宋体" w:cs="Arial"/>
          <w:snapToGrid w:val="0"/>
          <w:lang w:eastAsia="zh-CN"/>
        </w:rPr>
        <w:t>0部分的生物制剂</w:t>
      </w:r>
      <w:r>
        <w:rPr>
          <w:rFonts w:ascii="Arial" w:hAnsi="Arial" w:eastAsia="宋体" w:cs="Arial"/>
          <w:snapToGrid w:val="0"/>
          <w:lang w:eastAsia="zh-CN"/>
        </w:rPr>
        <w:t>CGMP</w:t>
      </w:r>
      <w:r>
        <w:rPr>
          <w:rFonts w:hint="eastAsia" w:ascii="Arial" w:hAnsi="Arial" w:eastAsia="宋体" w:cs="Arial"/>
          <w:snapToGrid w:val="0"/>
          <w:lang w:eastAsia="zh-CN"/>
        </w:rPr>
        <w:t>要求。然而，第</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w:t>
      </w:r>
      <w:r>
        <w:rPr>
          <w:rFonts w:hint="eastAsia" w:ascii="Arial" w:hAnsi="Arial" w:eastAsia="宋体" w:cs="Arial"/>
          <w:snapToGrid w:val="0"/>
          <w:lang w:eastAsia="zh-CN"/>
        </w:rPr>
        <w:t>0部分的很多要求仅适用于某些类型生物制剂。例如，尽管第</w:t>
      </w:r>
      <w:r>
        <w:rPr>
          <w:rFonts w:ascii="Arial" w:hAnsi="Arial" w:eastAsia="宋体" w:cs="Arial"/>
          <w:snapToGrid w:val="0"/>
          <w:lang w:eastAsia="zh-CN"/>
        </w:rPr>
        <w:t>600</w:t>
      </w:r>
      <w:r>
        <w:rPr>
          <w:rFonts w:hint="eastAsia" w:ascii="Arial" w:hAnsi="Arial" w:eastAsia="宋体" w:cs="Arial"/>
          <w:snapToGrid w:val="0"/>
          <w:lang w:eastAsia="zh-CN"/>
        </w:rPr>
        <w:t>部分大体上解决了生物制剂问题，但只有利用孢子形成微生物制造的产品符合</w:t>
      </w:r>
      <w:r>
        <w:rPr>
          <w:rFonts w:ascii="Arial" w:hAnsi="Arial" w:eastAsia="宋体" w:cs="Arial"/>
          <w:snapToGrid w:val="0"/>
          <w:lang w:eastAsia="zh-CN"/>
        </w:rPr>
        <w:t>21 CFR 600.11</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3</w:t>
      </w:r>
      <w:r>
        <w:rPr>
          <w:rFonts w:hint="eastAsia" w:ascii="Arial" w:hAnsi="Arial" w:eastAsia="宋体" w:cs="Arial"/>
          <w:snapToGrid w:val="0"/>
          <w:lang w:eastAsia="zh-CN"/>
        </w:rPr>
        <w:t>）的规定（与孢子形成微生物一起发挥作用）。类似地，仅血液和血液成分受第</w:t>
      </w:r>
      <w:r>
        <w:rPr>
          <w:rFonts w:ascii="Arial" w:hAnsi="Arial" w:eastAsia="宋体" w:cs="Arial"/>
          <w:snapToGrid w:val="0"/>
          <w:lang w:eastAsia="zh-CN"/>
        </w:rPr>
        <w:t>606</w:t>
      </w:r>
      <w:r>
        <w:rPr>
          <w:rFonts w:hint="eastAsia" w:ascii="Arial" w:hAnsi="Arial" w:eastAsia="宋体" w:cs="Arial"/>
          <w:snapToGrid w:val="0"/>
          <w:lang w:eastAsia="zh-CN"/>
        </w:rPr>
        <w:t>部分中关于这类产品的</w:t>
      </w:r>
      <w:r>
        <w:rPr>
          <w:rFonts w:ascii="Arial" w:hAnsi="Arial" w:eastAsia="宋体" w:cs="Arial"/>
          <w:snapToGrid w:val="0"/>
          <w:lang w:eastAsia="zh-CN"/>
        </w:rPr>
        <w:t>CGMP</w:t>
      </w:r>
      <w:r>
        <w:rPr>
          <w:rFonts w:hint="eastAsia" w:ascii="Arial" w:hAnsi="Arial" w:eastAsia="宋体" w:cs="Arial"/>
          <w:snapToGrid w:val="0"/>
          <w:lang w:eastAsia="zh-CN"/>
        </w:rPr>
        <w:t>要求的约束。此外，适用于给定产品的生物制剂</w:t>
      </w:r>
      <w:r>
        <w:rPr>
          <w:rFonts w:ascii="Arial" w:hAnsi="Arial" w:eastAsia="宋体" w:cs="Arial"/>
          <w:snapToGrid w:val="0"/>
          <w:lang w:eastAsia="zh-CN"/>
        </w:rPr>
        <w:t>CGMP</w:t>
      </w:r>
      <w:r>
        <w:rPr>
          <w:rFonts w:hint="eastAsia" w:ascii="Arial" w:hAnsi="Arial" w:eastAsia="宋体" w:cs="Arial"/>
          <w:snapToGrid w:val="0"/>
          <w:lang w:eastAsia="zh-CN"/>
        </w:rPr>
        <w:t>要求可随特定生物产品的具体考虑而变化。</w:t>
      </w:r>
    </w:p>
    <w:p w14:paraId="1A8D8712">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28" w:name="_bookmark133"/>
      <w:bookmarkEnd w:id="128"/>
      <w:r>
        <w:rPr>
          <w:rFonts w:ascii="Arial" w:hAnsi="Arial" w:eastAsia="宋体" w:cs="Arial"/>
          <w:snapToGrid w:val="0"/>
          <w:sz w:val="24"/>
          <w:szCs w:val="20"/>
          <w:lang w:eastAsia="zh-CN"/>
        </w:rPr>
        <w:br w:type="page"/>
      </w:r>
    </w:p>
    <w:p w14:paraId="2C6D714C">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简言之，对于含生物制剂组成部分的特定组合产品，为符合</w:t>
      </w:r>
      <w:r>
        <w:rPr>
          <w:rFonts w:ascii="Arial" w:hAnsi="Arial" w:eastAsia="宋体" w:cs="Arial"/>
          <w:snapToGrid w:val="0"/>
          <w:lang w:eastAsia="zh-CN"/>
        </w:rPr>
        <w:t>21 CFR 4.3</w:t>
      </w:r>
      <w:r>
        <w:rPr>
          <w:rFonts w:hint="eastAsia" w:ascii="Arial" w:hAnsi="Arial" w:eastAsia="宋体" w:cs="Arial"/>
          <w:snapToGrid w:val="0"/>
          <w:lang w:eastAsia="zh-CN"/>
        </w:rPr>
        <w:t>和</w:t>
      </w:r>
      <w:r>
        <w:rPr>
          <w:rFonts w:ascii="Arial" w:hAnsi="Arial" w:eastAsia="宋体" w:cs="Arial"/>
          <w:snapToGrid w:val="0"/>
          <w:lang w:eastAsia="zh-CN"/>
        </w:rPr>
        <w:t>4.4</w:t>
      </w:r>
      <w:r>
        <w:rPr>
          <w:rFonts w:hint="eastAsia" w:ascii="Arial" w:hAnsi="Arial" w:eastAsia="宋体" w:cs="Arial"/>
          <w:snapToGrid w:val="0"/>
          <w:lang w:eastAsia="zh-CN"/>
        </w:rPr>
        <w:t>（</w:t>
      </w:r>
      <w:r>
        <w:rPr>
          <w:rFonts w:ascii="Arial" w:hAnsi="Arial" w:eastAsia="宋体" w:cs="Arial"/>
          <w:snapToGrid w:val="0"/>
          <w:lang w:eastAsia="zh-CN"/>
        </w:rPr>
        <w:t>c</w:t>
      </w:r>
      <w:r>
        <w:rPr>
          <w:rFonts w:hint="eastAsia" w:ascii="Arial" w:hAnsi="Arial" w:eastAsia="宋体" w:cs="Arial"/>
          <w:snapToGrid w:val="0"/>
          <w:lang w:eastAsia="zh-CN"/>
        </w:rPr>
        <w:t>）必须满足的第</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680</w:t>
      </w:r>
      <w:r>
        <w:rPr>
          <w:rFonts w:hint="eastAsia" w:ascii="Arial" w:hAnsi="Arial" w:eastAsia="宋体" w:cs="Arial"/>
          <w:snapToGrid w:val="0"/>
          <w:lang w:eastAsia="zh-CN"/>
        </w:rPr>
        <w:t>部分的具体要求将取决于其所含生物制剂类型。本机构愿意与制造商讨论这些要求以确保</w:t>
      </w:r>
      <w:r>
        <w:rPr>
          <w:rFonts w:ascii="Arial" w:hAnsi="Arial" w:eastAsia="宋体" w:cs="Arial"/>
          <w:snapToGrid w:val="0"/>
          <w:lang w:eastAsia="zh-CN"/>
        </w:rPr>
        <w:t>CGMP</w:t>
      </w:r>
      <w:r>
        <w:rPr>
          <w:rFonts w:hint="eastAsia" w:ascii="Arial" w:hAnsi="Arial" w:eastAsia="宋体" w:cs="Arial"/>
          <w:snapToGrid w:val="0"/>
          <w:lang w:eastAsia="zh-CN"/>
        </w:rPr>
        <w:t>操作系统健全有效。如果制造商有关于这些要求的问题，他们可联系他们组合产品的首要中心或</w:t>
      </w:r>
      <w:r>
        <w:rPr>
          <w:rFonts w:ascii="Arial" w:hAnsi="Arial" w:eastAsia="宋体" w:cs="Arial"/>
          <w:snapToGrid w:val="0"/>
          <w:lang w:eastAsia="zh-CN"/>
        </w:rPr>
        <w:t>OCP</w:t>
      </w:r>
      <w:r>
        <w:rPr>
          <w:rFonts w:hint="eastAsia" w:ascii="Arial" w:hAnsi="Arial" w:eastAsia="宋体" w:cs="Arial"/>
          <w:snapToGrid w:val="0"/>
          <w:lang w:eastAsia="zh-CN"/>
        </w:rPr>
        <w:t>（如果需要）请求帮助。</w:t>
      </w:r>
    </w:p>
    <w:p w14:paraId="33596A0F">
      <w:pPr>
        <w:pStyle w:val="23"/>
        <w:numPr>
          <w:ilvl w:val="0"/>
          <w:numId w:val="1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129" w:name="2._Complying_with_CGMPs_for_HCT/Ps"/>
      <w:bookmarkEnd w:id="129"/>
      <w:r>
        <w:rPr>
          <w:rFonts w:hint="eastAsia" w:ascii="Arial" w:hAnsi="Arial" w:eastAsia="宋体" w:cs="Arial"/>
          <w:snapToGrid w:val="0"/>
          <w:lang w:eastAsia="zh-CN"/>
        </w:rPr>
        <w:t>遵守</w:t>
      </w:r>
      <w:r>
        <w:rPr>
          <w:rFonts w:ascii="Arial" w:hAnsi="Arial" w:eastAsia="宋体" w:cs="Arial"/>
          <w:snapToGrid w:val="0"/>
        </w:rPr>
        <w:t>HCT/Ps</w:t>
      </w:r>
      <w:r>
        <w:rPr>
          <w:rFonts w:hint="eastAsia" w:ascii="Arial" w:hAnsi="Arial" w:eastAsia="宋体" w:cs="Arial"/>
          <w:snapToGrid w:val="0"/>
          <w:lang w:eastAsia="zh-CN"/>
        </w:rPr>
        <w:t>的</w:t>
      </w:r>
      <w:r>
        <w:rPr>
          <w:rFonts w:ascii="Arial" w:hAnsi="Arial" w:eastAsia="宋体" w:cs="Arial"/>
          <w:snapToGrid w:val="0"/>
        </w:rPr>
        <w:t>CGMPs</w:t>
      </w:r>
    </w:p>
    <w:p w14:paraId="4AE5D524">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不只受</w:t>
      </w:r>
      <w:r>
        <w:rPr>
          <w:rFonts w:ascii="Arial" w:hAnsi="Arial" w:eastAsia="宋体" w:cs="Arial"/>
          <w:snapToGrid w:val="0"/>
          <w:lang w:eastAsia="zh-CN"/>
        </w:rPr>
        <w:t>PHS</w:t>
      </w:r>
      <w:r>
        <w:rPr>
          <w:rFonts w:hint="eastAsia" w:ascii="Arial" w:hAnsi="Arial" w:eastAsia="宋体" w:cs="Arial"/>
          <w:snapToGrid w:val="0"/>
          <w:lang w:eastAsia="zh-CN"/>
        </w:rPr>
        <w:t>法案</w:t>
      </w:r>
      <w:r>
        <w:rPr>
          <w:rFonts w:ascii="Arial" w:hAnsi="Arial" w:eastAsia="宋体" w:cs="Arial"/>
          <w:snapToGrid w:val="0"/>
          <w:lang w:eastAsia="zh-CN"/>
        </w:rPr>
        <w:t>361</w:t>
      </w:r>
      <w:r>
        <w:rPr>
          <w:rFonts w:hint="eastAsia" w:ascii="Arial" w:hAnsi="Arial" w:eastAsia="宋体" w:cs="Arial"/>
          <w:snapToGrid w:val="0"/>
          <w:lang w:eastAsia="zh-CN"/>
        </w:rPr>
        <w:t>节和第</w:t>
      </w:r>
      <w:r>
        <w:rPr>
          <w:rFonts w:ascii="Arial" w:hAnsi="Arial" w:eastAsia="宋体" w:cs="Arial"/>
          <w:snapToGrid w:val="0"/>
          <w:lang w:eastAsia="zh-CN"/>
        </w:rPr>
        <w:t>1271</w:t>
      </w:r>
      <w:r>
        <w:rPr>
          <w:rFonts w:hint="eastAsia" w:ascii="Arial" w:hAnsi="Arial" w:eastAsia="宋体" w:cs="Arial"/>
          <w:snapToGrid w:val="0"/>
          <w:lang w:eastAsia="zh-CN"/>
        </w:rPr>
        <w:t>部分监管的</w:t>
      </w:r>
      <w:r>
        <w:rPr>
          <w:rFonts w:ascii="Arial" w:hAnsi="Arial" w:eastAsia="宋体" w:cs="Arial"/>
          <w:snapToGrid w:val="0"/>
          <w:lang w:eastAsia="zh-CN"/>
        </w:rPr>
        <w:t>HCT/P</w:t>
      </w:r>
      <w:r>
        <w:rPr>
          <w:rFonts w:hint="eastAsia" w:ascii="Arial" w:hAnsi="Arial" w:eastAsia="宋体" w:cs="Arial"/>
          <w:snapToGrid w:val="0"/>
          <w:lang w:eastAsia="zh-CN"/>
        </w:rPr>
        <w:t>也作为一种药品、器械或生物制剂受监管。</w:t>
      </w:r>
      <w:r>
        <w:rPr>
          <w:rStyle w:val="17"/>
          <w:rFonts w:ascii="Arial" w:hAnsi="Arial" w:eastAsia="宋体" w:cs="Arial"/>
          <w:snapToGrid w:val="0"/>
          <w:lang w:eastAsia="zh-CN"/>
        </w:rPr>
        <w:footnoteReference w:id="110"/>
      </w:r>
      <w:r>
        <w:rPr>
          <w:rFonts w:hint="eastAsia" w:ascii="Arial" w:hAnsi="Arial" w:eastAsia="宋体" w:cs="Arial"/>
          <w:snapToGrid w:val="0"/>
          <w:lang w:eastAsia="zh-CN"/>
        </w:rPr>
        <w:t>药品</w:t>
      </w:r>
      <w:r>
        <w:rPr>
          <w:rFonts w:ascii="Arial" w:hAnsi="Arial" w:eastAsia="宋体" w:cs="Arial"/>
          <w:snapToGrid w:val="0"/>
          <w:lang w:eastAsia="zh-CN"/>
        </w:rPr>
        <w:t>CGMP</w:t>
      </w:r>
      <w:r>
        <w:rPr>
          <w:rFonts w:hint="eastAsia" w:ascii="Arial" w:hAnsi="Arial" w:eastAsia="宋体" w:cs="Arial"/>
          <w:snapToGrid w:val="0"/>
          <w:lang w:eastAsia="zh-CN"/>
        </w:rPr>
        <w:t>、器械</w:t>
      </w:r>
      <w:r>
        <w:rPr>
          <w:rFonts w:ascii="Arial" w:hAnsi="Arial" w:eastAsia="宋体" w:cs="Arial"/>
          <w:snapToGrid w:val="0"/>
          <w:lang w:eastAsia="zh-CN"/>
        </w:rPr>
        <w:t>QS</w:t>
      </w:r>
      <w:r>
        <w:rPr>
          <w:rFonts w:hint="eastAsia" w:ascii="Arial" w:hAnsi="Arial" w:eastAsia="宋体" w:cs="Arial"/>
          <w:snapToGrid w:val="0"/>
          <w:lang w:eastAsia="zh-CN"/>
        </w:rPr>
        <w:t>规章和第</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680</w:t>
      </w:r>
      <w:r>
        <w:rPr>
          <w:rFonts w:hint="eastAsia" w:ascii="Arial" w:hAnsi="Arial" w:eastAsia="宋体" w:cs="Arial"/>
          <w:snapToGrid w:val="0"/>
          <w:lang w:eastAsia="zh-CN"/>
        </w:rPr>
        <w:t>部分的要求中哪一项个适用于</w:t>
      </w:r>
      <w:r>
        <w:rPr>
          <w:rFonts w:ascii="Arial" w:hAnsi="Arial" w:eastAsia="宋体" w:cs="Arial"/>
          <w:snapToGrid w:val="0"/>
          <w:lang w:eastAsia="zh-CN"/>
        </w:rPr>
        <w:t>HCT/P</w:t>
      </w:r>
      <w:r>
        <w:rPr>
          <w:rFonts w:hint="eastAsia" w:ascii="Arial" w:hAnsi="Arial" w:eastAsia="宋体" w:cs="Arial"/>
          <w:snapToGrid w:val="0"/>
          <w:lang w:eastAsia="zh-CN"/>
        </w:rPr>
        <w:t>取决于产品是作为一种药品、器械还是生物制剂受监管。</w:t>
      </w:r>
      <w:r>
        <w:rPr>
          <w:rStyle w:val="17"/>
          <w:rFonts w:ascii="Arial" w:hAnsi="Arial" w:eastAsia="宋体" w:cs="Arial"/>
          <w:snapToGrid w:val="0"/>
          <w:lang w:eastAsia="zh-CN"/>
        </w:rPr>
        <w:footnoteReference w:id="111"/>
      </w:r>
      <w:r>
        <w:rPr>
          <w:rFonts w:ascii="Arial" w:hAnsi="Arial" w:eastAsia="宋体" w:cs="Arial"/>
          <w:snapToGrid w:val="0"/>
          <w:lang w:eastAsia="zh-CN"/>
        </w:rPr>
        <w:t>HCT/P</w:t>
      </w:r>
      <w:r>
        <w:rPr>
          <w:rFonts w:hint="eastAsia" w:ascii="Arial" w:hAnsi="Arial" w:eastAsia="宋体" w:cs="Arial"/>
          <w:snapToGrid w:val="0"/>
          <w:lang w:eastAsia="zh-CN"/>
        </w:rPr>
        <w:t>的</w:t>
      </w:r>
      <w:r>
        <w:rPr>
          <w:rFonts w:ascii="Arial" w:hAnsi="Arial" w:eastAsia="宋体" w:cs="Arial"/>
          <w:snapToGrid w:val="0"/>
          <w:lang w:eastAsia="zh-CN"/>
        </w:rPr>
        <w:t>CGMP</w:t>
      </w:r>
      <w:r>
        <w:rPr>
          <w:rFonts w:hint="eastAsia" w:ascii="Arial" w:hAnsi="Arial" w:eastAsia="宋体" w:cs="Arial"/>
          <w:snapToGrid w:val="0"/>
          <w:lang w:eastAsia="zh-CN"/>
        </w:rPr>
        <w:t>和</w:t>
      </w:r>
      <w:r>
        <w:rPr>
          <w:rFonts w:ascii="Arial" w:hAnsi="Arial" w:eastAsia="宋体" w:cs="Arial"/>
          <w:snapToGrid w:val="0"/>
          <w:lang w:eastAsia="zh-CN"/>
        </w:rPr>
        <w:t>CGTP</w:t>
      </w:r>
      <w:r>
        <w:rPr>
          <w:rFonts w:hint="eastAsia" w:ascii="Arial" w:hAnsi="Arial" w:eastAsia="宋体" w:cs="Arial"/>
          <w:snapToGrid w:val="0"/>
          <w:lang w:eastAsia="zh-CN"/>
        </w:rPr>
        <w:t>相互补充且不相互替代，除非规章有特别说明。如果第</w:t>
      </w:r>
      <w:r>
        <w:rPr>
          <w:rFonts w:ascii="Arial" w:hAnsi="Arial" w:eastAsia="宋体" w:cs="Arial"/>
          <w:snapToGrid w:val="0"/>
          <w:lang w:eastAsia="zh-CN"/>
        </w:rPr>
        <w:t>1271</w:t>
      </w:r>
      <w:r>
        <w:rPr>
          <w:rFonts w:hint="eastAsia" w:ascii="Arial" w:hAnsi="Arial" w:eastAsia="宋体" w:cs="Arial"/>
          <w:snapToGrid w:val="0"/>
          <w:lang w:eastAsia="zh-CN"/>
        </w:rPr>
        <w:t>部分的某个条例与第</w:t>
      </w:r>
      <w:r>
        <w:rPr>
          <w:rFonts w:ascii="Arial" w:hAnsi="Arial" w:eastAsia="宋体" w:cs="Arial"/>
          <w:snapToGrid w:val="0"/>
          <w:lang w:eastAsia="zh-CN"/>
        </w:rPr>
        <w:t>210</w:t>
      </w:r>
      <w:r>
        <w:rPr>
          <w:rFonts w:hint="eastAsia" w:ascii="Arial" w:hAnsi="Arial" w:eastAsia="宋体" w:cs="Arial"/>
          <w:snapToGrid w:val="0"/>
          <w:lang w:eastAsia="zh-CN"/>
        </w:rPr>
        <w:t>，</w:t>
      </w:r>
      <w:r>
        <w:rPr>
          <w:rFonts w:ascii="Arial" w:hAnsi="Arial" w:eastAsia="宋体" w:cs="Arial"/>
          <w:snapToGrid w:val="0"/>
          <w:lang w:eastAsia="zh-CN"/>
        </w:rPr>
        <w:t>211</w:t>
      </w:r>
      <w:r>
        <w:rPr>
          <w:rFonts w:hint="eastAsia" w:ascii="Arial" w:hAnsi="Arial" w:eastAsia="宋体" w:cs="Arial"/>
          <w:snapToGrid w:val="0"/>
          <w:lang w:eastAsia="zh-CN"/>
        </w:rPr>
        <w:t>，</w:t>
      </w:r>
      <w:r>
        <w:rPr>
          <w:rFonts w:ascii="Arial" w:hAnsi="Arial" w:eastAsia="宋体" w:cs="Arial"/>
          <w:snapToGrid w:val="0"/>
          <w:lang w:eastAsia="zh-CN"/>
        </w:rPr>
        <w:t>600</w:t>
      </w:r>
      <w:r>
        <w:rPr>
          <w:rFonts w:hint="eastAsia" w:ascii="Arial" w:hAnsi="Arial" w:eastAsia="宋体" w:cs="Arial"/>
          <w:snapToGrid w:val="0"/>
          <w:lang w:eastAsia="zh-CN"/>
        </w:rPr>
        <w:t>至</w:t>
      </w:r>
      <w:r>
        <w:rPr>
          <w:rFonts w:ascii="Arial" w:hAnsi="Arial" w:eastAsia="宋体" w:cs="Arial"/>
          <w:snapToGrid w:val="0"/>
          <w:lang w:eastAsia="zh-CN"/>
        </w:rPr>
        <w:t>680</w:t>
      </w:r>
      <w:r>
        <w:rPr>
          <w:rFonts w:hint="eastAsia" w:ascii="Arial" w:hAnsi="Arial" w:eastAsia="宋体" w:cs="Arial"/>
          <w:snapToGrid w:val="0"/>
          <w:lang w:eastAsia="zh-CN"/>
        </w:rPr>
        <w:t>，或</w:t>
      </w:r>
      <w:r>
        <w:rPr>
          <w:rFonts w:ascii="Arial" w:hAnsi="Arial" w:eastAsia="宋体" w:cs="Arial"/>
          <w:snapToGrid w:val="0"/>
          <w:lang w:eastAsia="zh-CN"/>
        </w:rPr>
        <w:t>820</w:t>
      </w:r>
      <w:r>
        <w:rPr>
          <w:rFonts w:hint="eastAsia" w:ascii="Arial" w:hAnsi="Arial" w:eastAsia="宋体" w:cs="Arial"/>
          <w:snapToGrid w:val="0"/>
          <w:lang w:eastAsia="zh-CN"/>
        </w:rPr>
        <w:t>部分的某个要求有冲突，则更明确适用于产品的条例取代更通用的条例。</w:t>
      </w:r>
      <w:r>
        <w:rPr>
          <w:rStyle w:val="17"/>
          <w:rFonts w:ascii="Arial" w:hAnsi="Arial" w:eastAsia="宋体" w:cs="Arial"/>
          <w:snapToGrid w:val="0"/>
          <w:lang w:eastAsia="zh-CN"/>
        </w:rPr>
        <w:footnoteReference w:id="112"/>
      </w:r>
    </w:p>
    <w:p w14:paraId="6812C779">
      <w:pPr>
        <w:topLinePunct/>
        <w:adjustRightInd w:val="0"/>
        <w:snapToGrid w:val="0"/>
        <w:spacing w:after="224" w:afterLines="75" w:line="288" w:lineRule="auto"/>
        <w:jc w:val="both"/>
        <w:rPr>
          <w:rFonts w:ascii="Arial" w:hAnsi="Arial" w:eastAsia="宋体" w:cs="Arial"/>
          <w:snapToGrid w:val="0"/>
          <w:sz w:val="24"/>
          <w:szCs w:val="24"/>
          <w:lang w:eastAsia="zh-CN"/>
        </w:rPr>
      </w:pPr>
      <w:r>
        <w:rPr>
          <w:rFonts w:hint="eastAsia" w:ascii="Arial" w:hAnsi="Arial" w:eastAsia="宋体" w:cs="Arial"/>
          <w:snapToGrid w:val="0"/>
          <w:sz w:val="24"/>
          <w:lang w:eastAsia="zh-CN"/>
        </w:rPr>
        <w:t>设计</w:t>
      </w:r>
      <w:r>
        <w:rPr>
          <w:rFonts w:ascii="Arial" w:hAnsi="Arial" w:eastAsia="宋体" w:cs="Arial"/>
          <w:snapToGrid w:val="0"/>
          <w:sz w:val="24"/>
          <w:lang w:eastAsia="zh-CN"/>
        </w:rPr>
        <w:t>CGTPs</w:t>
      </w:r>
      <w:r>
        <w:rPr>
          <w:rFonts w:hint="eastAsia" w:ascii="Arial" w:hAnsi="Arial" w:eastAsia="宋体" w:cs="Arial"/>
          <w:snapToGrid w:val="0"/>
          <w:sz w:val="24"/>
          <w:lang w:eastAsia="zh-CN"/>
        </w:rPr>
        <w:t>（包括第</w:t>
      </w:r>
      <w:r>
        <w:rPr>
          <w:rFonts w:ascii="Arial" w:hAnsi="Arial" w:eastAsia="宋体" w:cs="Arial"/>
          <w:snapToGrid w:val="0"/>
          <w:sz w:val="24"/>
          <w:lang w:eastAsia="zh-CN"/>
        </w:rPr>
        <w:t>1271</w:t>
      </w:r>
      <w:r>
        <w:rPr>
          <w:rFonts w:hint="eastAsia" w:ascii="Arial" w:hAnsi="Arial" w:eastAsia="宋体" w:cs="Arial"/>
          <w:snapToGrid w:val="0"/>
          <w:sz w:val="24"/>
          <w:lang w:eastAsia="zh-CN"/>
        </w:rPr>
        <w:t>部分对</w:t>
      </w:r>
      <w:r>
        <w:rPr>
          <w:rFonts w:ascii="Arial" w:hAnsi="Arial" w:eastAsia="宋体" w:cs="Arial"/>
          <w:snapToGrid w:val="0"/>
          <w:sz w:val="24"/>
          <w:lang w:eastAsia="zh-CN"/>
        </w:rPr>
        <w:t>HCT/Ps</w:t>
      </w:r>
      <w:r>
        <w:rPr>
          <w:rFonts w:hint="eastAsia" w:ascii="Arial" w:hAnsi="Arial" w:eastAsia="宋体" w:cs="Arial"/>
          <w:snapToGrid w:val="0"/>
          <w:sz w:val="24"/>
          <w:lang w:eastAsia="zh-CN"/>
        </w:rPr>
        <w:t>制造的捐献者资格要求）的目的是阻止传染病的引入、传播、扩散，因此对于保护公共卫生必不可少。相应地，现行</w:t>
      </w:r>
      <w:r>
        <w:rPr>
          <w:rFonts w:ascii="Arial" w:hAnsi="Arial" w:eastAsia="宋体" w:cs="Arial"/>
          <w:snapToGrid w:val="0"/>
          <w:sz w:val="24"/>
          <w:lang w:eastAsia="zh-CN"/>
        </w:rPr>
        <w:t>CGTPs</w:t>
      </w:r>
      <w:r>
        <w:rPr>
          <w:rFonts w:hint="eastAsia" w:ascii="Arial" w:hAnsi="Arial" w:eastAsia="宋体" w:cs="Arial"/>
          <w:snapToGrid w:val="0"/>
          <w:sz w:val="24"/>
          <w:lang w:eastAsia="zh-CN"/>
        </w:rPr>
        <w:t>适用于含</w:t>
      </w:r>
      <w:r>
        <w:rPr>
          <w:rFonts w:ascii="Arial" w:hAnsi="Arial" w:eastAsia="宋体" w:cs="Arial"/>
          <w:snapToGrid w:val="0"/>
          <w:sz w:val="24"/>
          <w:lang w:eastAsia="zh-CN"/>
        </w:rPr>
        <w:t>HCT/P</w:t>
      </w:r>
      <w:r>
        <w:rPr>
          <w:rFonts w:hint="eastAsia" w:ascii="Arial" w:hAnsi="Arial" w:eastAsia="宋体" w:cs="Arial"/>
          <w:snapToGrid w:val="0"/>
          <w:sz w:val="24"/>
          <w:lang w:eastAsia="zh-CN"/>
        </w:rPr>
        <w:t>的组合产品。然而，第</w:t>
      </w:r>
      <w:r>
        <w:rPr>
          <w:rFonts w:ascii="Arial" w:hAnsi="Arial" w:eastAsia="宋体" w:cs="Arial"/>
          <w:snapToGrid w:val="0"/>
          <w:sz w:val="24"/>
          <w:lang w:eastAsia="zh-CN"/>
        </w:rPr>
        <w:t>1271</w:t>
      </w:r>
      <w:r>
        <w:rPr>
          <w:rFonts w:hint="eastAsia" w:ascii="Arial" w:hAnsi="Arial" w:eastAsia="宋体" w:cs="Arial"/>
          <w:snapToGrid w:val="0"/>
          <w:sz w:val="24"/>
          <w:lang w:eastAsia="zh-CN"/>
        </w:rPr>
        <w:t>部分某些章节的要求与药品</w:t>
      </w:r>
      <w:r>
        <w:rPr>
          <w:rFonts w:ascii="Arial" w:hAnsi="Arial" w:eastAsia="宋体" w:cs="Arial"/>
          <w:snapToGrid w:val="0"/>
          <w:sz w:val="24"/>
          <w:lang w:eastAsia="zh-CN"/>
        </w:rPr>
        <w:t>CGMPs</w:t>
      </w:r>
      <w:r>
        <w:rPr>
          <w:rFonts w:hint="eastAsia" w:ascii="Arial" w:hAnsi="Arial" w:eastAsia="宋体" w:cs="Arial"/>
          <w:snapToGrid w:val="0"/>
          <w:sz w:val="24"/>
          <w:lang w:eastAsia="zh-CN"/>
        </w:rPr>
        <w:t>和器械</w:t>
      </w:r>
      <w:r>
        <w:rPr>
          <w:rFonts w:ascii="Arial" w:hAnsi="Arial" w:eastAsia="宋体" w:cs="Arial"/>
          <w:snapToGrid w:val="0"/>
          <w:sz w:val="24"/>
          <w:lang w:eastAsia="zh-CN"/>
        </w:rPr>
        <w:t>QS</w:t>
      </w:r>
      <w:r>
        <w:rPr>
          <w:rFonts w:hint="eastAsia" w:ascii="Arial" w:hAnsi="Arial" w:eastAsia="宋体" w:cs="Arial"/>
          <w:snapToGrid w:val="0"/>
          <w:sz w:val="24"/>
          <w:lang w:eastAsia="zh-CN"/>
        </w:rPr>
        <w:t>规章的要求重叠。第</w:t>
      </w:r>
      <w:r>
        <w:rPr>
          <w:rFonts w:ascii="Arial" w:hAnsi="Arial" w:eastAsia="宋体" w:cs="Arial"/>
          <w:snapToGrid w:val="0"/>
          <w:sz w:val="24"/>
          <w:lang w:eastAsia="zh-CN"/>
        </w:rPr>
        <w:t>1271</w:t>
      </w:r>
      <w:r>
        <w:rPr>
          <w:rFonts w:hint="eastAsia" w:ascii="Arial" w:hAnsi="Arial" w:eastAsia="宋体" w:cs="Arial"/>
          <w:snapToGrid w:val="0"/>
          <w:sz w:val="24"/>
          <w:lang w:eastAsia="zh-CN"/>
        </w:rPr>
        <w:t>部分和行业指南《现行良好组织规范</w:t>
      </w:r>
      <w:r>
        <w:rPr>
          <w:rFonts w:ascii="Arial" w:hAnsi="Arial" w:eastAsia="宋体" w:cs="Arial"/>
          <w:snapToGrid w:val="0"/>
          <w:sz w:val="24"/>
          <w:lang w:eastAsia="zh-CN"/>
        </w:rPr>
        <w:t>（CGTP）</w:t>
      </w:r>
      <w:r>
        <w:rPr>
          <w:rFonts w:hint="eastAsia" w:ascii="Arial" w:hAnsi="Arial" w:eastAsia="宋体" w:cs="Arial"/>
          <w:snapToGrid w:val="0"/>
          <w:sz w:val="24"/>
          <w:lang w:eastAsia="zh-CN"/>
        </w:rPr>
        <w:t>和对人类细胞、组织及细胞和组织产品</w:t>
      </w:r>
      <w:r>
        <w:rPr>
          <w:rFonts w:ascii="Arial" w:hAnsi="Arial" w:eastAsia="宋体" w:cs="Arial"/>
          <w:snapToGrid w:val="0"/>
          <w:sz w:val="24"/>
          <w:lang w:eastAsia="zh-CN"/>
        </w:rPr>
        <w:t>（HCT/Ps）</w:t>
      </w:r>
      <w:r>
        <w:rPr>
          <w:rFonts w:hint="eastAsia" w:ascii="Arial" w:hAnsi="Arial" w:eastAsia="宋体" w:cs="Arial"/>
          <w:snapToGrid w:val="0"/>
          <w:sz w:val="24"/>
          <w:lang w:eastAsia="zh-CN"/>
        </w:rPr>
        <w:t>制造商的其它要求</w:t>
      </w:r>
      <w:r>
        <w:rPr>
          <w:rFonts w:ascii="Arial" w:hAnsi="Arial" w:eastAsia="宋体" w:cs="Arial"/>
          <w:snapToGrid w:val="0"/>
          <w:sz w:val="24"/>
          <w:lang w:eastAsia="zh-CN"/>
        </w:rPr>
        <w:t>（CGTP</w:t>
      </w:r>
      <w:r>
        <w:rPr>
          <w:rFonts w:hint="eastAsia" w:ascii="Arial" w:hAnsi="Arial" w:eastAsia="宋体" w:cs="Arial"/>
          <w:snapToGrid w:val="0"/>
          <w:sz w:val="24"/>
          <w:lang w:eastAsia="zh-CN"/>
        </w:rPr>
        <w:t>指南</w:t>
      </w:r>
      <w:r>
        <w:rPr>
          <w:rFonts w:ascii="Arial" w:hAnsi="Arial" w:eastAsia="宋体" w:cs="Arial"/>
          <w:snapToGrid w:val="0"/>
          <w:sz w:val="24"/>
          <w:lang w:eastAsia="zh-CN"/>
        </w:rPr>
        <w:t>）</w:t>
      </w:r>
      <w:r>
        <w:rPr>
          <w:rFonts w:hint="eastAsia" w:ascii="Arial" w:hAnsi="Arial" w:eastAsia="宋体" w:cs="Arial"/>
          <w:snapToGrid w:val="0"/>
          <w:sz w:val="24"/>
          <w:lang w:eastAsia="zh-CN"/>
        </w:rPr>
        <w:t>》解决了这些重叠要求。</w:t>
      </w:r>
    </w:p>
    <w:p w14:paraId="680C132F">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30" w:name="_bookmark136"/>
      <w:bookmarkEnd w:id="130"/>
      <w:r>
        <w:rPr>
          <w:rFonts w:ascii="Arial" w:hAnsi="Arial" w:eastAsia="宋体" w:cs="Arial"/>
          <w:snapToGrid w:val="0"/>
          <w:sz w:val="24"/>
          <w:szCs w:val="20"/>
          <w:lang w:eastAsia="zh-CN"/>
        </w:rPr>
        <w:br w:type="page"/>
      </w:r>
    </w:p>
    <w:p w14:paraId="7C6D0FA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snapToGrid w:val="0"/>
          <w:lang w:eastAsia="zh-CN"/>
        </w:rPr>
        <w:t>21 CFR 1271.150</w:t>
      </w:r>
      <w:r>
        <w:rPr>
          <w:rFonts w:hint="eastAsia" w:ascii="Arial" w:hAnsi="Arial" w:eastAsia="宋体" w:cs="Arial"/>
          <w:snapToGrid w:val="0"/>
          <w:lang w:eastAsia="zh-CN"/>
        </w:rPr>
        <w:t>（</w:t>
      </w:r>
      <w:r>
        <w:rPr>
          <w:rFonts w:ascii="Arial" w:hAnsi="Arial" w:eastAsia="宋体" w:cs="Arial"/>
          <w:snapToGrid w:val="0"/>
          <w:lang w:eastAsia="zh-CN"/>
        </w:rPr>
        <w:t>d</w:t>
      </w:r>
      <w:r>
        <w:rPr>
          <w:rFonts w:hint="eastAsia" w:ascii="Arial" w:hAnsi="Arial" w:eastAsia="宋体" w:cs="Arial"/>
          <w:snapToGrid w:val="0"/>
          <w:lang w:eastAsia="zh-CN"/>
        </w:rPr>
        <w:t>）解释，对于作为生物制剂、药品或器械受监管的</w:t>
      </w:r>
      <w:r>
        <w:rPr>
          <w:rFonts w:ascii="Arial" w:hAnsi="Arial" w:eastAsia="宋体" w:cs="Arial"/>
          <w:snapToGrid w:val="0"/>
          <w:lang w:eastAsia="zh-CN"/>
        </w:rPr>
        <w:t>HCT/Ps</w:t>
      </w:r>
      <w:r>
        <w:rPr>
          <w:rFonts w:hint="eastAsia" w:ascii="Arial" w:hAnsi="Arial" w:eastAsia="宋体" w:cs="Arial"/>
          <w:snapToGrid w:val="0"/>
          <w:lang w:eastAsia="zh-CN"/>
        </w:rPr>
        <w:t>，第</w:t>
      </w:r>
      <w:r>
        <w:rPr>
          <w:rFonts w:ascii="Arial" w:hAnsi="Arial" w:eastAsia="宋体" w:cs="Arial"/>
          <w:snapToGrid w:val="0"/>
          <w:lang w:eastAsia="zh-CN"/>
        </w:rPr>
        <w:t>1271</w:t>
      </w:r>
      <w:r>
        <w:rPr>
          <w:rFonts w:hint="eastAsia" w:ascii="Arial" w:hAnsi="Arial" w:eastAsia="宋体" w:cs="Arial"/>
          <w:snapToGrid w:val="0"/>
          <w:lang w:eastAsia="zh-CN"/>
        </w:rPr>
        <w:t>部分的子部分</w:t>
      </w:r>
      <w:r>
        <w:rPr>
          <w:rFonts w:ascii="Arial" w:hAnsi="Arial" w:eastAsia="宋体" w:cs="Arial"/>
          <w:snapToGrid w:val="0"/>
          <w:lang w:eastAsia="zh-CN"/>
        </w:rPr>
        <w:t>D</w:t>
      </w:r>
      <w:r>
        <w:rPr>
          <w:rFonts w:hint="eastAsia" w:ascii="Arial" w:hAnsi="Arial" w:eastAsia="宋体" w:cs="Arial"/>
          <w:snapToGrid w:val="0"/>
          <w:lang w:eastAsia="zh-CN"/>
        </w:rPr>
        <w:t>和子部分C中包含的程序和第</w:t>
      </w:r>
      <w:r>
        <w:rPr>
          <w:rFonts w:ascii="Arial" w:hAnsi="Arial" w:eastAsia="宋体" w:cs="Arial"/>
          <w:snapToGrid w:val="0"/>
          <w:lang w:eastAsia="zh-CN"/>
        </w:rPr>
        <w:t>210</w:t>
      </w:r>
      <w:r>
        <w:rPr>
          <w:rFonts w:hint="eastAsia" w:ascii="Arial" w:hAnsi="Arial" w:eastAsia="宋体" w:cs="Arial"/>
          <w:snapToGrid w:val="0"/>
          <w:lang w:eastAsia="zh-CN"/>
        </w:rPr>
        <w:t>、</w:t>
      </w:r>
      <w:r>
        <w:rPr>
          <w:rFonts w:ascii="Arial" w:hAnsi="Arial" w:eastAsia="宋体" w:cs="Arial"/>
          <w:snapToGrid w:val="0"/>
          <w:lang w:eastAsia="zh-CN"/>
        </w:rPr>
        <w:t>211</w:t>
      </w:r>
      <w:r>
        <w:rPr>
          <w:rFonts w:hint="eastAsia" w:ascii="Arial" w:hAnsi="Arial" w:eastAsia="宋体" w:cs="Arial"/>
          <w:snapToGrid w:val="0"/>
          <w:lang w:eastAsia="zh-CN"/>
        </w:rPr>
        <w:t>和</w:t>
      </w:r>
      <w:r>
        <w:rPr>
          <w:rFonts w:ascii="Arial" w:hAnsi="Arial" w:eastAsia="宋体" w:cs="Arial"/>
          <w:snapToGrid w:val="0"/>
          <w:lang w:eastAsia="zh-CN"/>
        </w:rPr>
        <w:t>820</w:t>
      </w:r>
      <w:r>
        <w:rPr>
          <w:rFonts w:hint="eastAsia" w:ascii="Arial" w:hAnsi="Arial" w:eastAsia="宋体" w:cs="Arial"/>
          <w:snapToGrid w:val="0"/>
          <w:lang w:eastAsia="zh-CN"/>
        </w:rPr>
        <w:t>部分包含的程序相互补充。因此，如果符合第</w:t>
      </w:r>
      <w:r>
        <w:rPr>
          <w:rFonts w:ascii="Arial" w:hAnsi="Arial" w:eastAsia="宋体" w:cs="Arial"/>
          <w:snapToGrid w:val="0"/>
          <w:lang w:eastAsia="zh-CN"/>
        </w:rPr>
        <w:t>211</w:t>
      </w:r>
      <w:r>
        <w:rPr>
          <w:rFonts w:hint="eastAsia" w:ascii="Arial" w:hAnsi="Arial" w:eastAsia="宋体" w:cs="Arial"/>
          <w:snapToGrid w:val="0"/>
          <w:lang w:eastAsia="zh-CN"/>
        </w:rPr>
        <w:t>或</w:t>
      </w:r>
      <w:r>
        <w:rPr>
          <w:rFonts w:ascii="Arial" w:hAnsi="Arial" w:eastAsia="宋体" w:cs="Arial"/>
          <w:snapToGrid w:val="0"/>
          <w:lang w:eastAsia="zh-CN"/>
        </w:rPr>
        <w:t>820</w:t>
      </w:r>
      <w:r>
        <w:rPr>
          <w:rFonts w:hint="eastAsia" w:ascii="Arial" w:hAnsi="Arial" w:eastAsia="宋体" w:cs="Arial"/>
          <w:snapToGrid w:val="0"/>
          <w:lang w:eastAsia="zh-CN"/>
        </w:rPr>
        <w:t>部分的某些条款，那么也可能部分或全部符合第</w:t>
      </w:r>
      <w:r>
        <w:rPr>
          <w:rFonts w:ascii="Arial" w:hAnsi="Arial" w:eastAsia="宋体" w:cs="Arial"/>
          <w:snapToGrid w:val="0"/>
          <w:lang w:eastAsia="zh-CN"/>
        </w:rPr>
        <w:t>1271</w:t>
      </w:r>
      <w:r>
        <w:rPr>
          <w:rFonts w:hint="eastAsia" w:ascii="Arial" w:hAnsi="Arial" w:eastAsia="宋体" w:cs="Arial"/>
          <w:snapToGrid w:val="0"/>
          <w:lang w:eastAsia="zh-CN"/>
        </w:rPr>
        <w:t>部分的某些条款。然而，对于某些问题，</w:t>
      </w:r>
      <w:r>
        <w:rPr>
          <w:rFonts w:ascii="Arial" w:hAnsi="Arial" w:eastAsia="宋体" w:cs="Arial"/>
          <w:snapToGrid w:val="0"/>
          <w:lang w:eastAsia="zh-CN"/>
        </w:rPr>
        <w:t>CGTP</w:t>
      </w:r>
      <w:r>
        <w:rPr>
          <w:rFonts w:hint="eastAsia" w:ascii="Arial" w:hAnsi="Arial" w:eastAsia="宋体" w:cs="Arial"/>
          <w:snapToGrid w:val="0"/>
          <w:lang w:eastAsia="zh-CN"/>
        </w:rPr>
        <w:t>要求将需要额外的制造规范。根据</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w:t>
      </w:r>
      <w:r>
        <w:rPr>
          <w:rFonts w:ascii="Arial" w:hAnsi="Arial" w:eastAsia="宋体" w:cs="Arial"/>
          <w:snapToGrid w:val="0"/>
          <w:lang w:eastAsia="zh-CN"/>
        </w:rPr>
        <w:t>,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）或</w:t>
      </w:r>
      <w:r>
        <w:rPr>
          <w:rFonts w:ascii="Arial" w:hAnsi="Arial" w:eastAsia="宋体" w:cs="Arial"/>
          <w:snapToGrid w:val="0"/>
          <w:lang w:eastAsia="zh-CN"/>
        </w:rPr>
        <w:t>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），如果即将扩大的系统是</w:t>
      </w:r>
      <w:r>
        <w:rPr>
          <w:rFonts w:ascii="Arial" w:hAnsi="Arial" w:eastAsia="宋体" w:cs="Arial"/>
          <w:snapToGrid w:val="0"/>
          <w:lang w:eastAsia="zh-CN"/>
        </w:rPr>
        <w:t>21 CFR 211</w:t>
      </w:r>
      <w:r>
        <w:rPr>
          <w:rFonts w:hint="eastAsia" w:ascii="Arial" w:hAnsi="Arial" w:eastAsia="宋体" w:cs="Arial"/>
          <w:snapToGrid w:val="0"/>
          <w:lang w:eastAsia="zh-CN"/>
        </w:rPr>
        <w:t>规定的药品制造系统，或第</w:t>
      </w:r>
      <w:r>
        <w:rPr>
          <w:rFonts w:ascii="Arial" w:hAnsi="Arial" w:eastAsia="宋体" w:cs="Arial"/>
          <w:snapToGrid w:val="0"/>
          <w:lang w:eastAsia="zh-CN"/>
        </w:rPr>
        <w:t>820</w:t>
      </w:r>
      <w:r>
        <w:rPr>
          <w:rFonts w:hint="eastAsia" w:ascii="Arial" w:hAnsi="Arial" w:eastAsia="宋体" w:cs="Arial"/>
          <w:snapToGrid w:val="0"/>
          <w:lang w:eastAsia="zh-CN"/>
        </w:rPr>
        <w:t>部分规定的器械制造系统，或证明符合</w:t>
      </w:r>
      <w:r>
        <w:rPr>
          <w:rFonts w:ascii="Arial" w:hAnsi="Arial" w:eastAsia="宋体" w:cs="Arial"/>
          <w:snapToGrid w:val="0"/>
          <w:lang w:eastAsia="zh-CN"/>
        </w:rPr>
        <w:t>21 CFR 211</w:t>
      </w:r>
      <w:r>
        <w:rPr>
          <w:rFonts w:hint="eastAsia" w:ascii="Arial" w:hAnsi="Arial" w:eastAsia="宋体" w:cs="Arial"/>
          <w:snapToGrid w:val="0"/>
          <w:lang w:eastAsia="zh-CN"/>
        </w:rPr>
        <w:t>和</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820</w:t>
      </w:r>
      <w:r>
        <w:rPr>
          <w:rFonts w:hint="eastAsia" w:ascii="Arial" w:hAnsi="Arial" w:eastAsia="宋体" w:cs="Arial"/>
          <w:snapToGrid w:val="0"/>
          <w:lang w:eastAsia="zh-CN"/>
        </w:rPr>
        <w:t>部分的组合产品制造系统，那么为完全符合第</w:t>
      </w:r>
      <w:r>
        <w:rPr>
          <w:rFonts w:ascii="Arial" w:hAnsi="Arial" w:eastAsia="宋体" w:cs="Arial"/>
          <w:snapToGrid w:val="0"/>
          <w:lang w:eastAsia="zh-CN"/>
        </w:rPr>
        <w:t>1271</w:t>
      </w:r>
      <w:r>
        <w:rPr>
          <w:rFonts w:hint="eastAsia" w:ascii="Arial" w:hAnsi="Arial" w:eastAsia="宋体" w:cs="Arial"/>
          <w:snapToGrid w:val="0"/>
          <w:lang w:eastAsia="zh-CN"/>
        </w:rPr>
        <w:t>部分中针对含</w:t>
      </w:r>
      <w:r>
        <w:rPr>
          <w:rFonts w:ascii="Arial" w:hAnsi="Arial" w:eastAsia="宋体" w:cs="Arial"/>
          <w:snapToGrid w:val="0"/>
          <w:lang w:eastAsia="zh-CN"/>
        </w:rPr>
        <w:t>HCT/P</w:t>
      </w:r>
      <w:r>
        <w:rPr>
          <w:rFonts w:hint="eastAsia" w:ascii="Arial" w:hAnsi="Arial" w:eastAsia="宋体" w:cs="Arial"/>
          <w:snapToGrid w:val="0"/>
          <w:lang w:eastAsia="zh-CN"/>
        </w:rPr>
        <w:t>组合产品的</w:t>
      </w:r>
      <w:r>
        <w:rPr>
          <w:rFonts w:ascii="Arial" w:hAnsi="Arial" w:eastAsia="宋体" w:cs="Arial"/>
          <w:snapToGrid w:val="0"/>
          <w:lang w:eastAsia="zh-CN"/>
        </w:rPr>
        <w:t>CGTP</w:t>
      </w:r>
      <w:r>
        <w:rPr>
          <w:rFonts w:hint="eastAsia" w:ascii="Arial" w:hAnsi="Arial" w:eastAsia="宋体" w:cs="Arial"/>
          <w:snapToGrid w:val="0"/>
          <w:lang w:eastAsia="zh-CN"/>
        </w:rPr>
        <w:t>要求可能需要对现有</w:t>
      </w:r>
      <w:r>
        <w:rPr>
          <w:rFonts w:ascii="Arial" w:hAnsi="Arial" w:eastAsia="宋体" w:cs="Arial"/>
          <w:snapToGrid w:val="0"/>
          <w:lang w:eastAsia="zh-CN"/>
        </w:rPr>
        <w:t>CGMP</w:t>
      </w:r>
      <w:r>
        <w:rPr>
          <w:rFonts w:hint="eastAsia" w:ascii="Arial" w:hAnsi="Arial" w:eastAsia="宋体" w:cs="Arial"/>
          <w:snapToGrid w:val="0"/>
          <w:lang w:eastAsia="zh-CN"/>
        </w:rPr>
        <w:t>操作系统所做的调整也许不同。</w:t>
      </w:r>
    </w:p>
    <w:p w14:paraId="27E72F6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更多信息，见《</w:t>
      </w:r>
      <w:r>
        <w:rPr>
          <w:rFonts w:ascii="Arial" w:hAnsi="Arial" w:eastAsia="宋体" w:cs="Arial"/>
          <w:snapToGrid w:val="0"/>
          <w:lang w:eastAsia="zh-CN"/>
        </w:rPr>
        <w:t>CGTP</w:t>
      </w:r>
      <w:r>
        <w:rPr>
          <w:rFonts w:hint="eastAsia" w:ascii="Arial" w:hAnsi="Arial" w:eastAsia="宋体" w:cs="Arial"/>
          <w:snapToGrid w:val="0"/>
          <w:lang w:eastAsia="zh-CN"/>
        </w:rPr>
        <w:t>指南》</w:t>
      </w:r>
      <w:r>
        <w:rPr>
          <w:rFonts w:hint="eastAsia" w:ascii="Arial" w:hAnsi="Arial" w:eastAsia="宋体" w:cs="Arial"/>
          <w:i/>
          <w:snapToGrid w:val="0"/>
          <w:lang w:eastAsia="zh-CN"/>
        </w:rPr>
        <w:t>。</w:t>
      </w:r>
      <w:r>
        <w:rPr>
          <w:rFonts w:hint="eastAsia" w:ascii="Arial" w:hAnsi="Arial" w:eastAsia="宋体" w:cs="Arial"/>
          <w:snapToGrid w:val="0"/>
          <w:lang w:eastAsia="zh-CN"/>
        </w:rPr>
        <w:t>FDA明白含</w:t>
      </w:r>
      <w:r>
        <w:rPr>
          <w:rFonts w:ascii="Arial" w:hAnsi="Arial" w:eastAsia="宋体" w:cs="Arial"/>
          <w:snapToGrid w:val="0"/>
          <w:lang w:eastAsia="zh-CN"/>
        </w:rPr>
        <w:t>HCT/P</w:t>
      </w:r>
      <w:r>
        <w:rPr>
          <w:rFonts w:hint="eastAsia" w:ascii="Arial" w:hAnsi="Arial" w:eastAsia="宋体" w:cs="Arial"/>
          <w:snapToGrid w:val="0"/>
          <w:lang w:eastAsia="zh-CN"/>
        </w:rPr>
        <w:t>组合产品的制造考虑和义务的复杂度。相应地，本机构鼓励制造商联系他们产品的首要中心或</w:t>
      </w:r>
      <w:r>
        <w:rPr>
          <w:rFonts w:ascii="Arial" w:hAnsi="Arial" w:eastAsia="宋体" w:cs="Arial"/>
          <w:snapToGrid w:val="0"/>
          <w:lang w:eastAsia="zh-CN"/>
        </w:rPr>
        <w:t>OCP</w:t>
      </w:r>
      <w:r>
        <w:rPr>
          <w:rFonts w:hint="eastAsia" w:ascii="Arial" w:hAnsi="Arial" w:eastAsia="宋体" w:cs="Arial"/>
          <w:snapToGrid w:val="0"/>
          <w:lang w:eastAsia="zh-CN"/>
        </w:rPr>
        <w:t>（如果需要）咨询关于如何遵守针对他们特定产品的</w:t>
      </w:r>
      <w:r>
        <w:rPr>
          <w:rFonts w:ascii="Arial" w:hAnsi="Arial" w:eastAsia="宋体" w:cs="Arial"/>
          <w:snapToGrid w:val="0"/>
          <w:lang w:eastAsia="zh-CN"/>
        </w:rPr>
        <w:t>CGMP</w:t>
      </w:r>
      <w:r>
        <w:rPr>
          <w:rFonts w:hint="eastAsia" w:ascii="Arial" w:hAnsi="Arial" w:eastAsia="宋体" w:cs="Arial"/>
          <w:snapToGrid w:val="0"/>
          <w:lang w:eastAsia="zh-CN"/>
        </w:rPr>
        <w:t>要求的问题。</w:t>
      </w:r>
    </w:p>
    <w:p w14:paraId="450B3317">
      <w:pPr>
        <w:pStyle w:val="21"/>
        <w:numPr>
          <w:ilvl w:val="0"/>
          <w:numId w:val="1"/>
        </w:numPr>
        <w:tabs>
          <w:tab w:val="left" w:pos="820"/>
        </w:tabs>
        <w:topLinePunct/>
        <w:adjustRightInd w:val="0"/>
        <w:snapToGrid w:val="0"/>
        <w:spacing w:after="224" w:afterLines="75" w:line="288" w:lineRule="auto"/>
        <w:ind w:left="0" w:firstLine="0"/>
        <w:jc w:val="both"/>
        <w:outlineLvl w:val="9"/>
        <w:rPr>
          <w:rFonts w:ascii="Arial" w:hAnsi="Arial" w:eastAsia="宋体" w:cs="Arial"/>
          <w:b w:val="0"/>
          <w:bCs w:val="0"/>
          <w:snapToGrid w:val="0"/>
          <w:sz w:val="28"/>
          <w:lang w:eastAsia="zh-CN"/>
        </w:rPr>
      </w:pPr>
      <w:bookmarkStart w:id="131" w:name="V._Application_of_CGMP_requirements_to_s"/>
      <w:bookmarkEnd w:id="131"/>
      <w:bookmarkStart w:id="132" w:name="_bookmark137"/>
      <w:bookmarkEnd w:id="132"/>
      <w:bookmarkStart w:id="133" w:name="_Toc498640477"/>
      <w:r>
        <w:rPr>
          <w:rFonts w:ascii="Arial" w:hAnsi="Arial" w:eastAsia="宋体" w:cs="Arial"/>
          <w:snapToGrid w:val="0"/>
          <w:sz w:val="28"/>
          <w:lang w:eastAsia="zh-CN"/>
        </w:rPr>
        <w:t>CGMP</w:t>
      </w:r>
      <w:r>
        <w:rPr>
          <w:rFonts w:hint="eastAsia" w:ascii="Arial" w:hAnsi="Arial" w:eastAsia="宋体" w:cs="Arial"/>
          <w:snapToGrid w:val="0"/>
          <w:sz w:val="28"/>
          <w:lang w:eastAsia="zh-CN"/>
        </w:rPr>
        <w:t>要求对具体类型组合产品的应用</w:t>
      </w:r>
      <w:bookmarkEnd w:id="133"/>
    </w:p>
    <w:p w14:paraId="465E15B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本节解决的假设情景集中于三种类型组合产品。尽管这些类型组合产品均受药品</w:t>
      </w:r>
      <w:r>
        <w:rPr>
          <w:rFonts w:ascii="Arial" w:hAnsi="Arial" w:eastAsia="宋体" w:cs="Arial"/>
          <w:snapToGrid w:val="0"/>
          <w:lang w:eastAsia="zh-CN"/>
        </w:rPr>
        <w:t>CGMPs</w:t>
      </w:r>
      <w:r>
        <w:rPr>
          <w:rFonts w:hint="eastAsia" w:ascii="Arial" w:hAnsi="Arial" w:eastAsia="宋体" w:cs="Arial"/>
          <w:snapToGrid w:val="0"/>
          <w:lang w:eastAsia="zh-CN"/>
        </w:rPr>
        <w:t>和器械QS规章的约束，但每个示例都着重解决与</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）指定</w:t>
      </w:r>
      <w:r>
        <w:rPr>
          <w:rFonts w:ascii="Arial" w:hAnsi="Arial" w:eastAsia="宋体" w:cs="Arial"/>
          <w:snapToGrid w:val="0"/>
          <w:lang w:eastAsia="zh-CN"/>
        </w:rPr>
        <w:t>CGMP</w:t>
      </w:r>
      <w:r>
        <w:rPr>
          <w:rFonts w:hint="eastAsia" w:ascii="Arial" w:hAnsi="Arial" w:eastAsia="宋体" w:cs="Arial"/>
          <w:snapToGrid w:val="0"/>
          <w:lang w:eastAsia="zh-CN"/>
        </w:rPr>
        <w:t>条款相关的特定</w:t>
      </w:r>
      <w:r>
        <w:rPr>
          <w:rFonts w:ascii="Arial" w:hAnsi="Arial" w:eastAsia="宋体" w:cs="Arial"/>
          <w:snapToGrid w:val="0"/>
          <w:lang w:eastAsia="zh-CN"/>
        </w:rPr>
        <w:t>CGMP</w:t>
      </w:r>
      <w:r>
        <w:rPr>
          <w:rFonts w:hint="eastAsia" w:ascii="Arial" w:hAnsi="Arial" w:eastAsia="宋体" w:cs="Arial"/>
          <w:snapToGrid w:val="0"/>
          <w:lang w:eastAsia="zh-CN"/>
        </w:rPr>
        <w:t>考虑。具体来说：</w:t>
      </w:r>
    </w:p>
    <w:p w14:paraId="504EF34E">
      <w:pPr>
        <w:pStyle w:val="5"/>
        <w:numPr>
          <w:ilvl w:val="0"/>
          <w:numId w:val="12"/>
        </w:numPr>
        <w:tabs>
          <w:tab w:val="left" w:pos="820"/>
        </w:tabs>
        <w:topLinePunct/>
        <w:adjustRightInd w:val="0"/>
        <w:snapToGrid w:val="0"/>
        <w:spacing w:after="224" w:afterLines="75" w:line="288" w:lineRule="auto"/>
        <w:ind w:hanging="394"/>
        <w:jc w:val="both"/>
        <w:rPr>
          <w:rFonts w:ascii="Arial" w:hAnsi="Arial" w:eastAsia="宋体" w:cs="Arial"/>
          <w:snapToGrid w:val="0"/>
          <w:lang w:eastAsia="zh-CN"/>
        </w:rPr>
      </w:pPr>
      <w:r>
        <w:rPr>
          <w:rFonts w:ascii="Arial" w:hAnsi="Arial" w:eastAsia="宋体" w:cs="Arial"/>
          <w:snapToGrid w:val="0"/>
          <w:lang w:eastAsia="zh-CN"/>
        </w:rPr>
        <w:t>A</w:t>
      </w:r>
      <w:r>
        <w:rPr>
          <w:rFonts w:hint="eastAsia" w:ascii="Arial" w:hAnsi="Arial" w:eastAsia="宋体" w:cs="Arial"/>
          <w:snapToGrid w:val="0"/>
          <w:lang w:eastAsia="zh-CN"/>
        </w:rPr>
        <w:t>部分，载药注射器示例，重点讨论如果制造商的</w:t>
      </w:r>
      <w:r>
        <w:rPr>
          <w:rFonts w:ascii="Arial" w:hAnsi="Arial" w:eastAsia="宋体" w:cs="Arial"/>
          <w:snapToGrid w:val="0"/>
          <w:lang w:eastAsia="zh-CN"/>
        </w:rPr>
        <w:t>CGMP</w:t>
      </w:r>
      <w:r>
        <w:rPr>
          <w:rFonts w:hint="eastAsia" w:ascii="Arial" w:hAnsi="Arial" w:eastAsia="宋体" w:cs="Arial"/>
          <w:snapToGrid w:val="0"/>
          <w:lang w:eastAsia="zh-CN"/>
        </w:rPr>
        <w:t>操作系统采取基于药品</w:t>
      </w:r>
      <w:r>
        <w:rPr>
          <w:rFonts w:ascii="Arial" w:hAnsi="Arial" w:eastAsia="宋体" w:cs="Arial"/>
          <w:snapToGrid w:val="0"/>
          <w:lang w:eastAsia="zh-CN"/>
        </w:rPr>
        <w:t>CGMP</w:t>
      </w:r>
      <w:r>
        <w:rPr>
          <w:rFonts w:hint="eastAsia" w:ascii="Arial" w:hAnsi="Arial" w:eastAsia="宋体" w:cs="Arial"/>
          <w:snapToGrid w:val="0"/>
          <w:lang w:eastAsia="zh-CN"/>
        </w:rPr>
        <w:t>的简化方法，应如何遵守</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）中指定的器械</w:t>
      </w:r>
      <w:r>
        <w:rPr>
          <w:rFonts w:ascii="Arial" w:hAnsi="Arial" w:eastAsia="宋体" w:cs="Arial"/>
          <w:snapToGrid w:val="0"/>
          <w:lang w:eastAsia="zh-CN"/>
        </w:rPr>
        <w:t>QS</w:t>
      </w:r>
      <w:r>
        <w:rPr>
          <w:rFonts w:hint="eastAsia" w:ascii="Arial" w:hAnsi="Arial" w:eastAsia="宋体" w:cs="Arial"/>
          <w:snapToGrid w:val="0"/>
          <w:lang w:eastAsia="zh-CN"/>
        </w:rPr>
        <w:t>规章条款。</w:t>
      </w:r>
    </w:p>
    <w:p w14:paraId="4495C732">
      <w:pPr>
        <w:pStyle w:val="5"/>
        <w:numPr>
          <w:ilvl w:val="0"/>
          <w:numId w:val="12"/>
        </w:numPr>
        <w:tabs>
          <w:tab w:val="left" w:pos="820"/>
        </w:tabs>
        <w:topLinePunct/>
        <w:adjustRightInd w:val="0"/>
        <w:snapToGrid w:val="0"/>
        <w:spacing w:after="224" w:afterLines="75" w:line="288" w:lineRule="auto"/>
        <w:ind w:hanging="394"/>
        <w:jc w:val="both"/>
        <w:rPr>
          <w:rFonts w:ascii="Arial" w:hAnsi="Arial" w:eastAsia="宋体" w:cs="Arial"/>
          <w:snapToGrid w:val="0"/>
          <w:lang w:eastAsia="zh-CN"/>
        </w:rPr>
      </w:pPr>
      <w:r>
        <w:rPr>
          <w:rFonts w:ascii="Arial" w:hAnsi="Arial" w:eastAsia="宋体" w:cs="Arial"/>
          <w:snapToGrid w:val="0"/>
          <w:lang w:eastAsia="zh-CN"/>
        </w:rPr>
        <w:t>B</w:t>
      </w:r>
      <w:r>
        <w:rPr>
          <w:rFonts w:hint="eastAsia" w:ascii="Arial" w:hAnsi="Arial" w:eastAsia="宋体" w:cs="Arial"/>
          <w:snapToGrid w:val="0"/>
          <w:lang w:eastAsia="zh-CN"/>
        </w:rPr>
        <w:t>部分，药物涂层网片示例，重点讨论一种药品组成部分与一种器械结合后遵守某些器械</w:t>
      </w:r>
      <w:r>
        <w:rPr>
          <w:rFonts w:ascii="Arial" w:hAnsi="Arial" w:eastAsia="宋体" w:cs="Arial"/>
          <w:snapToGrid w:val="0"/>
          <w:lang w:eastAsia="zh-CN"/>
        </w:rPr>
        <w:t>QS</w:t>
      </w:r>
      <w:r>
        <w:rPr>
          <w:rFonts w:hint="eastAsia" w:ascii="Arial" w:hAnsi="Arial" w:eastAsia="宋体" w:cs="Arial"/>
          <w:snapToGrid w:val="0"/>
          <w:lang w:eastAsia="zh-CN"/>
        </w:rPr>
        <w:t>规章的注意事项。</w:t>
      </w:r>
    </w:p>
    <w:p w14:paraId="64D961CB">
      <w:pPr>
        <w:pStyle w:val="5"/>
        <w:numPr>
          <w:ilvl w:val="0"/>
          <w:numId w:val="12"/>
        </w:numPr>
        <w:tabs>
          <w:tab w:val="left" w:pos="820"/>
        </w:tabs>
        <w:topLinePunct/>
        <w:adjustRightInd w:val="0"/>
        <w:snapToGrid w:val="0"/>
        <w:spacing w:after="224" w:afterLines="75" w:line="288" w:lineRule="auto"/>
        <w:ind w:hanging="394"/>
        <w:jc w:val="both"/>
        <w:rPr>
          <w:rFonts w:ascii="Arial" w:hAnsi="Arial" w:eastAsia="宋体" w:cs="Arial"/>
          <w:snapToGrid w:val="0"/>
          <w:lang w:eastAsia="zh-CN"/>
        </w:rPr>
      </w:pPr>
      <w:r>
        <w:rPr>
          <w:rFonts w:ascii="Arial" w:hAnsi="Arial" w:eastAsia="宋体" w:cs="Arial"/>
          <w:snapToGrid w:val="0"/>
          <w:lang w:eastAsia="zh-CN"/>
        </w:rPr>
        <w:t>C</w:t>
      </w:r>
      <w:r>
        <w:rPr>
          <w:rFonts w:hint="eastAsia" w:ascii="Arial" w:hAnsi="Arial" w:eastAsia="宋体" w:cs="Arial"/>
          <w:snapToGrid w:val="0"/>
          <w:lang w:eastAsia="zh-CN"/>
        </w:rPr>
        <w:t>部分，药物洗脱支架（</w:t>
      </w:r>
      <w:r>
        <w:rPr>
          <w:rFonts w:ascii="Arial" w:hAnsi="Arial" w:eastAsia="宋体" w:cs="Arial"/>
          <w:snapToGrid w:val="0"/>
          <w:lang w:eastAsia="zh-CN"/>
        </w:rPr>
        <w:t>DES</w:t>
      </w:r>
      <w:r>
        <w:rPr>
          <w:rFonts w:hint="eastAsia" w:ascii="Arial" w:hAnsi="Arial" w:eastAsia="宋体" w:cs="Arial"/>
          <w:snapToGrid w:val="0"/>
          <w:lang w:eastAsia="zh-CN"/>
        </w:rPr>
        <w:t>）示例，重点讨论如果制造商的</w:t>
      </w:r>
      <w:r>
        <w:rPr>
          <w:rFonts w:ascii="Arial" w:hAnsi="Arial" w:eastAsia="宋体" w:cs="Arial"/>
          <w:snapToGrid w:val="0"/>
          <w:lang w:eastAsia="zh-CN"/>
        </w:rPr>
        <w:t>CGMP</w:t>
      </w:r>
      <w:r>
        <w:rPr>
          <w:rFonts w:hint="eastAsia" w:ascii="Arial" w:hAnsi="Arial" w:eastAsia="宋体" w:cs="Arial"/>
          <w:snapToGrid w:val="0"/>
          <w:lang w:eastAsia="zh-CN"/>
        </w:rPr>
        <w:t>操作系统采取基于器械</w:t>
      </w:r>
      <w:r>
        <w:rPr>
          <w:rFonts w:ascii="Arial" w:hAnsi="Arial" w:eastAsia="宋体" w:cs="Arial"/>
          <w:snapToGrid w:val="0"/>
          <w:lang w:eastAsia="zh-CN"/>
        </w:rPr>
        <w:t>QS</w:t>
      </w:r>
      <w:r>
        <w:rPr>
          <w:rFonts w:hint="eastAsia" w:ascii="Arial" w:hAnsi="Arial" w:eastAsia="宋体" w:cs="Arial"/>
          <w:snapToGrid w:val="0"/>
          <w:lang w:eastAsia="zh-CN"/>
        </w:rPr>
        <w:t>规章的简化方法，应如何遵守</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）中指定的药品</w:t>
      </w:r>
      <w:r>
        <w:rPr>
          <w:rFonts w:ascii="Arial" w:hAnsi="Arial" w:eastAsia="宋体" w:cs="Arial"/>
          <w:snapToGrid w:val="0"/>
          <w:lang w:eastAsia="zh-CN"/>
        </w:rPr>
        <w:t>CGMP</w:t>
      </w:r>
      <w:r>
        <w:rPr>
          <w:rFonts w:hint="eastAsia" w:ascii="Arial" w:hAnsi="Arial" w:eastAsia="宋体" w:cs="Arial"/>
          <w:snapToGrid w:val="0"/>
          <w:lang w:eastAsia="zh-CN"/>
        </w:rPr>
        <w:t>条款。</w:t>
      </w:r>
    </w:p>
    <w:p w14:paraId="5ABCD44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本讨论仅强调组合产品可能引发的与</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）中指定</w:t>
      </w:r>
      <w:r>
        <w:rPr>
          <w:rFonts w:ascii="Arial" w:hAnsi="Arial" w:eastAsia="宋体" w:cs="Arial"/>
          <w:snapToGrid w:val="0"/>
          <w:lang w:eastAsia="zh-CN"/>
        </w:rPr>
        <w:t>CGMP</w:t>
      </w:r>
      <w:r>
        <w:rPr>
          <w:rFonts w:hint="eastAsia" w:ascii="Arial" w:hAnsi="Arial" w:eastAsia="宋体" w:cs="Arial"/>
          <w:snapToGrid w:val="0"/>
          <w:lang w:eastAsia="zh-CN"/>
        </w:rPr>
        <w:t>条款相关的某些问题和解决这些问题的考虑。该讨论可能有助于理解本部分解决的</w:t>
      </w:r>
      <w:r>
        <w:rPr>
          <w:rFonts w:ascii="Arial" w:hAnsi="Arial" w:eastAsia="宋体" w:cs="Arial"/>
          <w:snapToGrid w:val="0"/>
          <w:lang w:eastAsia="zh-CN"/>
        </w:rPr>
        <w:t>CGMP</w:t>
      </w:r>
      <w:r>
        <w:rPr>
          <w:rFonts w:hint="eastAsia" w:ascii="Arial" w:hAnsi="Arial" w:eastAsia="宋体" w:cs="Arial"/>
          <w:snapToGrid w:val="0"/>
          <w:lang w:eastAsia="zh-CN"/>
        </w:rPr>
        <w:t>条款不仅针对假设情景中的组合产品类型，也适用于其它类型组合产品。然而，该讨论不反映对假设情景中讨论的产品类型或其它类型组合产品所需解决的</w:t>
      </w:r>
      <w:r>
        <w:rPr>
          <w:rFonts w:ascii="Arial" w:hAnsi="Arial" w:eastAsia="宋体" w:cs="Arial"/>
          <w:snapToGrid w:val="0"/>
          <w:lang w:eastAsia="zh-CN"/>
        </w:rPr>
        <w:t>CGMP</w:t>
      </w:r>
      <w:r>
        <w:rPr>
          <w:rFonts w:hint="eastAsia" w:ascii="Arial" w:hAnsi="Arial" w:eastAsia="宋体" w:cs="Arial"/>
          <w:snapToGrid w:val="0"/>
          <w:lang w:eastAsia="zh-CN"/>
        </w:rPr>
        <w:t>问题的完整分析。此外，具体产品可能引发下面呈现的假设情景中未考虑的独特问题。如果制造商有关于他们特定产</w:t>
      </w:r>
    </w:p>
    <w:p w14:paraId="3C012AC3">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70DCD63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品的具体问题，本机构建议他们联系产品的首要中心和</w:t>
      </w:r>
      <w:r>
        <w:rPr>
          <w:rFonts w:ascii="Arial" w:hAnsi="Arial" w:eastAsia="宋体" w:cs="Arial"/>
          <w:snapToGrid w:val="0"/>
          <w:lang w:eastAsia="zh-CN"/>
        </w:rPr>
        <w:t>OCP</w:t>
      </w:r>
      <w:r>
        <w:rPr>
          <w:rFonts w:hint="eastAsia" w:ascii="Arial" w:hAnsi="Arial" w:eastAsia="宋体" w:cs="Arial"/>
          <w:snapToGrid w:val="0"/>
          <w:lang w:eastAsia="zh-CN"/>
        </w:rPr>
        <w:t>（如果需要）请求帮助。</w:t>
      </w:r>
    </w:p>
    <w:p w14:paraId="5C3615E6">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rPr>
      </w:pPr>
      <w:bookmarkStart w:id="134" w:name="A._Prefilled_syringe"/>
      <w:bookmarkEnd w:id="134"/>
      <w:bookmarkStart w:id="135" w:name="_bookmark138"/>
      <w:bookmarkEnd w:id="135"/>
      <w:bookmarkStart w:id="136" w:name="_Toc498640478"/>
      <w:r>
        <w:rPr>
          <w:rFonts w:hint="eastAsia" w:ascii="Arial" w:hAnsi="Arial" w:eastAsia="宋体" w:cs="Arial"/>
          <w:snapToGrid w:val="0"/>
          <w:sz w:val="24"/>
          <w:lang w:eastAsia="zh-CN"/>
        </w:rPr>
        <w:t>载药注射器</w:t>
      </w:r>
      <w:bookmarkEnd w:id="136"/>
    </w:p>
    <w:p w14:paraId="71C93CD5">
      <w:pPr>
        <w:pStyle w:val="23"/>
        <w:numPr>
          <w:ilvl w:val="0"/>
          <w:numId w:val="13"/>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r>
        <w:rPr>
          <w:rFonts w:hint="eastAsia" w:ascii="Arial" w:hAnsi="Arial" w:eastAsia="宋体" w:cs="Arial"/>
          <w:snapToGrid w:val="0"/>
          <w:lang w:eastAsia="zh-CN"/>
        </w:rPr>
        <w:t>情景描述</w:t>
      </w:r>
    </w:p>
    <w:p w14:paraId="613B642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药品制造商（制造商</w:t>
      </w:r>
      <w:r>
        <w:rPr>
          <w:rFonts w:ascii="Arial" w:hAnsi="Arial" w:eastAsia="宋体" w:cs="Arial"/>
          <w:snapToGrid w:val="0"/>
          <w:lang w:eastAsia="zh-CN"/>
        </w:rPr>
        <w:t>A</w:t>
      </w:r>
      <w:r>
        <w:rPr>
          <w:rFonts w:hint="eastAsia" w:ascii="Arial" w:hAnsi="Arial" w:eastAsia="宋体" w:cs="Arial"/>
          <w:snapToGrid w:val="0"/>
          <w:lang w:eastAsia="zh-CN"/>
        </w:rPr>
        <w:t>）计划以载药注射器的形式销售一种药品。</w:t>
      </w:r>
      <w:r>
        <w:rPr>
          <w:rStyle w:val="17"/>
          <w:rFonts w:ascii="Arial" w:hAnsi="Arial" w:eastAsia="宋体" w:cs="Arial"/>
          <w:snapToGrid w:val="0"/>
          <w:lang w:eastAsia="zh-CN"/>
        </w:rPr>
        <w:footnoteReference w:id="113"/>
      </w:r>
      <w:r>
        <w:rPr>
          <w:rFonts w:hint="eastAsia" w:ascii="Arial" w:hAnsi="Arial" w:eastAsia="宋体" w:cs="Arial"/>
          <w:snapToGrid w:val="0"/>
          <w:lang w:eastAsia="zh-CN"/>
        </w:rPr>
        <w:t>制造商A已经有该药品的上市许可并打算申请以载药注射器形式销售的上市许可。药品配方无变化。制造商A将从供应商（制造商B）处购买现成的注射器部件，而供应商（制造商B）也使用相同部件制造成品注射器。制造商A将组装注射器部件，在其管理的一个机构内预先填充注射器然后在该机构包装、贴标签和销售该载药注射器。</w:t>
      </w:r>
    </w:p>
    <w:p w14:paraId="34302C3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w:t>
      </w:r>
      <w:r>
        <w:rPr>
          <w:rFonts w:ascii="Arial" w:hAnsi="Arial" w:eastAsia="宋体" w:cs="Arial"/>
          <w:snapToGrid w:val="0"/>
          <w:lang w:eastAsia="zh-CN"/>
        </w:rPr>
        <w:t>A</w:t>
      </w:r>
      <w:r>
        <w:rPr>
          <w:rFonts w:hint="eastAsia" w:ascii="Arial" w:hAnsi="Arial" w:eastAsia="宋体" w:cs="Arial"/>
          <w:snapToGrid w:val="0"/>
          <w:lang w:eastAsia="zh-CN"/>
        </w:rPr>
        <w:t>的机构已经存在药品</w:t>
      </w:r>
      <w:r>
        <w:rPr>
          <w:rFonts w:ascii="Arial" w:hAnsi="Arial" w:eastAsia="宋体" w:cs="Arial"/>
          <w:snapToGrid w:val="0"/>
          <w:lang w:eastAsia="zh-CN"/>
        </w:rPr>
        <w:t>CGMP</w:t>
      </w:r>
      <w:r>
        <w:rPr>
          <w:rFonts w:hint="eastAsia" w:ascii="Arial" w:hAnsi="Arial" w:eastAsia="宋体" w:cs="Arial"/>
          <w:snapToGrid w:val="0"/>
          <w:lang w:eastAsia="zh-CN"/>
        </w:rPr>
        <w:t>操作系统。由于根据</w:t>
      </w:r>
      <w:r>
        <w:rPr>
          <w:rFonts w:ascii="Arial" w:hAnsi="Arial" w:eastAsia="宋体" w:cs="Arial"/>
          <w:snapToGrid w:val="0"/>
          <w:lang w:eastAsia="zh-CN"/>
        </w:rPr>
        <w:t>21 CFR 3.2</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）载药注射器属于单一实体组合产品，制造商A必须证明同时符合药品</w:t>
      </w:r>
      <w:r>
        <w:rPr>
          <w:rFonts w:ascii="Arial" w:hAnsi="Arial" w:eastAsia="宋体" w:cs="Arial"/>
          <w:snapToGrid w:val="0"/>
          <w:lang w:eastAsia="zh-CN"/>
        </w:rPr>
        <w:t>CGMPs</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w:t>
      </w:r>
      <w:r>
        <w:rPr>
          <w:rStyle w:val="17"/>
          <w:rFonts w:ascii="Arial" w:hAnsi="Arial" w:eastAsia="宋体" w:cs="Arial"/>
          <w:snapToGrid w:val="0"/>
          <w:lang w:eastAsia="zh-CN"/>
        </w:rPr>
        <w:footnoteReference w:id="114"/>
      </w:r>
      <w:r>
        <w:rPr>
          <w:rFonts w:hint="eastAsia" w:ascii="Arial" w:hAnsi="Arial" w:eastAsia="宋体" w:cs="Arial"/>
          <w:snapToGrid w:val="0"/>
          <w:lang w:eastAsia="zh-CN"/>
        </w:rPr>
        <w:t>为达到该目的，制造商</w:t>
      </w:r>
      <w:r>
        <w:rPr>
          <w:rFonts w:ascii="Arial" w:hAnsi="Arial" w:eastAsia="宋体" w:cs="Arial"/>
          <w:snapToGrid w:val="0"/>
          <w:lang w:eastAsia="zh-CN"/>
        </w:rPr>
        <w:t>A</w:t>
      </w:r>
      <w:r>
        <w:rPr>
          <w:rFonts w:hint="eastAsia" w:ascii="Arial" w:hAnsi="Arial" w:eastAsia="宋体" w:cs="Arial"/>
          <w:snapToGrid w:val="0"/>
          <w:lang w:eastAsia="zh-CN"/>
        </w:rPr>
        <w:t>选择利用</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）中基于药品</w:t>
      </w:r>
      <w:r>
        <w:rPr>
          <w:rFonts w:ascii="Arial" w:hAnsi="Arial" w:eastAsia="宋体" w:cs="Arial"/>
          <w:snapToGrid w:val="0"/>
          <w:lang w:eastAsia="zh-CN"/>
        </w:rPr>
        <w:t>CGMP</w:t>
      </w:r>
      <w:r>
        <w:rPr>
          <w:rFonts w:hint="eastAsia" w:ascii="Arial" w:hAnsi="Arial" w:eastAsia="宋体" w:cs="Arial"/>
          <w:snapToGrid w:val="0"/>
          <w:lang w:eastAsia="zh-CN"/>
        </w:rPr>
        <w:t>的简化方法建立一种</w:t>
      </w:r>
      <w:r>
        <w:rPr>
          <w:rFonts w:ascii="Arial" w:hAnsi="Arial" w:eastAsia="宋体" w:cs="Arial"/>
          <w:snapToGrid w:val="0"/>
          <w:lang w:eastAsia="zh-CN"/>
        </w:rPr>
        <w:t>CGMP</w:t>
      </w:r>
      <w:r>
        <w:rPr>
          <w:rFonts w:hint="eastAsia" w:ascii="Arial" w:hAnsi="Arial" w:eastAsia="宋体" w:cs="Arial"/>
          <w:snapToGrid w:val="0"/>
          <w:lang w:eastAsia="zh-CN"/>
        </w:rPr>
        <w:t>操作系统。尽管制造商</w:t>
      </w:r>
      <w:r>
        <w:rPr>
          <w:rFonts w:ascii="Arial" w:hAnsi="Arial" w:eastAsia="宋体" w:cs="Arial"/>
          <w:snapToGrid w:val="0"/>
          <w:lang w:eastAsia="zh-CN"/>
        </w:rPr>
        <w:t>A</w:t>
      </w:r>
      <w:r>
        <w:rPr>
          <w:rFonts w:hint="eastAsia" w:ascii="Arial" w:hAnsi="Arial" w:eastAsia="宋体" w:cs="Arial"/>
          <w:snapToGrid w:val="0"/>
          <w:lang w:eastAsia="zh-CN"/>
        </w:rPr>
        <w:t>必须确保其操作系统完全符合适用于该产品的药品</w:t>
      </w:r>
      <w:r>
        <w:rPr>
          <w:rFonts w:ascii="Arial" w:hAnsi="Arial" w:eastAsia="宋体" w:cs="Arial"/>
          <w:snapToGrid w:val="0"/>
          <w:lang w:eastAsia="zh-CN"/>
        </w:rPr>
        <w:t>CGMPs</w:t>
      </w:r>
      <w:r>
        <w:rPr>
          <w:rFonts w:hint="eastAsia" w:ascii="Arial" w:hAnsi="Arial" w:eastAsia="宋体" w:cs="Arial"/>
          <w:snapToGrid w:val="0"/>
          <w:lang w:eastAsia="zh-CN"/>
        </w:rPr>
        <w:t>，但考虑到因包含器械组成部分引发的所有问题，该示例重点讨论证明符合</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）中指定的器械</w:t>
      </w:r>
      <w:r>
        <w:rPr>
          <w:rFonts w:ascii="Arial" w:hAnsi="Arial" w:eastAsia="宋体" w:cs="Arial"/>
          <w:snapToGrid w:val="0"/>
          <w:lang w:eastAsia="zh-CN"/>
        </w:rPr>
        <w:t>QS</w:t>
      </w:r>
      <w:r>
        <w:rPr>
          <w:rFonts w:hint="eastAsia" w:ascii="Arial" w:hAnsi="Arial" w:eastAsia="宋体" w:cs="Arial"/>
          <w:snapToGrid w:val="0"/>
          <w:lang w:eastAsia="zh-CN"/>
        </w:rPr>
        <w:t>规章条款时的考虑。</w:t>
      </w:r>
    </w:p>
    <w:p w14:paraId="59A24E8D">
      <w:pPr>
        <w:pStyle w:val="23"/>
        <w:numPr>
          <w:ilvl w:val="0"/>
          <w:numId w:val="13"/>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137" w:name="2._Compliance_with_device_QS_regulation_"/>
      <w:bookmarkEnd w:id="137"/>
      <w:r>
        <w:rPr>
          <w:rFonts w:hint="eastAsia" w:ascii="Arial" w:hAnsi="Arial" w:eastAsia="宋体" w:cs="Arial"/>
          <w:snapToGrid w:val="0"/>
          <w:lang w:eastAsia="zh-CN"/>
        </w:rPr>
        <w:t>遵守器械</w:t>
      </w:r>
      <w:r>
        <w:rPr>
          <w:rFonts w:ascii="Arial" w:hAnsi="Arial" w:eastAsia="宋体" w:cs="Arial"/>
          <w:snapToGrid w:val="0"/>
        </w:rPr>
        <w:t>QS</w:t>
      </w:r>
      <w:r>
        <w:rPr>
          <w:rFonts w:hint="eastAsia" w:ascii="Arial" w:hAnsi="Arial" w:eastAsia="宋体" w:cs="Arial"/>
          <w:snapToGrid w:val="0"/>
          <w:lang w:eastAsia="zh-CN"/>
        </w:rPr>
        <w:t>规章要求</w:t>
      </w:r>
    </w:p>
    <w:p w14:paraId="7082BA8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选择利用</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）中基于药品</w:t>
      </w:r>
      <w:r>
        <w:rPr>
          <w:rFonts w:ascii="Arial" w:hAnsi="Arial" w:eastAsia="宋体" w:cs="Arial"/>
          <w:snapToGrid w:val="0"/>
          <w:lang w:eastAsia="zh-CN"/>
        </w:rPr>
        <w:t>CGMP</w:t>
      </w:r>
      <w:r>
        <w:rPr>
          <w:rFonts w:hint="eastAsia" w:ascii="Arial" w:hAnsi="Arial" w:eastAsia="宋体" w:cs="Arial"/>
          <w:snapToGrid w:val="0"/>
          <w:lang w:eastAsia="zh-CN"/>
        </w:rPr>
        <w:t>的简化方法后，除证明符合药品</w:t>
      </w:r>
      <w:r>
        <w:rPr>
          <w:rFonts w:ascii="Arial" w:hAnsi="Arial" w:eastAsia="宋体" w:cs="Arial"/>
          <w:snapToGrid w:val="0"/>
          <w:lang w:eastAsia="zh-CN"/>
        </w:rPr>
        <w:t>CGMPs</w:t>
      </w:r>
      <w:r>
        <w:rPr>
          <w:rFonts w:hint="eastAsia" w:ascii="Arial" w:hAnsi="Arial" w:eastAsia="宋体" w:cs="Arial"/>
          <w:snapToGrid w:val="0"/>
          <w:lang w:eastAsia="zh-CN"/>
        </w:rPr>
        <w:t>外，制造商</w:t>
      </w:r>
      <w:r>
        <w:rPr>
          <w:rFonts w:ascii="Arial" w:hAnsi="Arial" w:eastAsia="宋体" w:cs="Arial"/>
          <w:snapToGrid w:val="0"/>
          <w:lang w:eastAsia="zh-CN"/>
        </w:rPr>
        <w:t>A</w:t>
      </w:r>
      <w:r>
        <w:rPr>
          <w:rFonts w:hint="eastAsia" w:ascii="Arial" w:hAnsi="Arial" w:eastAsia="宋体" w:cs="Arial"/>
          <w:snapToGrid w:val="0"/>
          <w:lang w:eastAsia="zh-CN"/>
        </w:rPr>
        <w:t>必须遵守</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）中指定的器械质量体系（</w:t>
      </w:r>
      <w:r>
        <w:rPr>
          <w:rFonts w:ascii="Arial" w:hAnsi="Arial" w:eastAsia="宋体" w:cs="Arial"/>
          <w:snapToGrid w:val="0"/>
          <w:lang w:eastAsia="zh-CN"/>
        </w:rPr>
        <w:t>QS</w:t>
      </w:r>
      <w:r>
        <w:rPr>
          <w:rFonts w:hint="eastAsia" w:ascii="Arial" w:hAnsi="Arial" w:eastAsia="宋体" w:cs="Arial"/>
          <w:snapToGrid w:val="0"/>
          <w:lang w:eastAsia="zh-CN"/>
        </w:rPr>
        <w:t>）的条款。对于每个指定条款，本讨论为想要满足器械QS规章要求的组合产品制造商提供可仿效的考虑和活动。</w:t>
      </w:r>
    </w:p>
    <w:p w14:paraId="72622181">
      <w:pPr>
        <w:numPr>
          <w:ilvl w:val="1"/>
          <w:numId w:val="13"/>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bookmarkStart w:id="138" w:name="a)_21_CFR_820.20,_Management_Responsibil"/>
      <w:bookmarkEnd w:id="138"/>
      <w:r>
        <w:rPr>
          <w:rFonts w:ascii="Arial" w:hAnsi="Arial" w:eastAsia="宋体" w:cs="Arial"/>
          <w:i/>
          <w:snapToGrid w:val="0"/>
          <w:sz w:val="24"/>
        </w:rPr>
        <w:t>21 CFR 820.20</w:t>
      </w:r>
      <w:r>
        <w:rPr>
          <w:rFonts w:hint="eastAsia" w:ascii="Arial" w:hAnsi="Arial" w:eastAsia="宋体" w:cs="Arial"/>
          <w:i/>
          <w:snapToGrid w:val="0"/>
          <w:sz w:val="24"/>
          <w:lang w:eastAsia="zh-CN"/>
        </w:rPr>
        <w:t>，管理责任</w:t>
      </w:r>
    </w:p>
    <w:p w14:paraId="4E1BC187">
      <w:pPr>
        <w:pStyle w:val="5"/>
        <w:tabs>
          <w:tab w:val="left" w:pos="960"/>
        </w:tabs>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尽管</w:t>
      </w:r>
      <w:r>
        <w:rPr>
          <w:rFonts w:ascii="Arial" w:hAnsi="Arial" w:eastAsia="宋体" w:cs="Arial"/>
          <w:snapToGrid w:val="0"/>
          <w:lang w:eastAsia="zh-CN"/>
        </w:rPr>
        <w:t>FD&amp;C</w:t>
      </w:r>
      <w:r>
        <w:rPr>
          <w:rFonts w:hint="eastAsia" w:ascii="Arial" w:hAnsi="Arial" w:eastAsia="宋体" w:cs="Arial"/>
          <w:snapToGrid w:val="0"/>
          <w:lang w:eastAsia="zh-CN"/>
        </w:rPr>
        <w:t>法案第</w:t>
      </w:r>
      <w:r>
        <w:rPr>
          <w:rFonts w:ascii="Arial" w:hAnsi="Arial" w:eastAsia="宋体" w:cs="Arial"/>
          <w:snapToGrid w:val="0"/>
          <w:lang w:eastAsia="zh-CN"/>
        </w:rPr>
        <w:t>501</w:t>
      </w:r>
      <w:r>
        <w:rPr>
          <w:rFonts w:hint="eastAsia" w:ascii="Arial" w:hAnsi="Arial" w:eastAsia="宋体" w:cs="Arial"/>
          <w:snapToGrid w:val="0"/>
          <w:lang w:eastAsia="zh-CN"/>
        </w:rPr>
        <w:t>节（</w:t>
      </w:r>
      <w:r>
        <w:rPr>
          <w:rFonts w:ascii="Arial" w:hAnsi="Arial" w:eastAsia="宋体" w:cs="Arial"/>
          <w:snapToGrid w:val="0"/>
          <w:lang w:eastAsia="zh-CN"/>
        </w:rPr>
        <w:t>21 U.S.C. 351</w:t>
      </w:r>
      <w:r>
        <w:rPr>
          <w:rFonts w:hint="eastAsia" w:ascii="Arial" w:hAnsi="Arial" w:eastAsia="宋体" w:cs="Arial"/>
          <w:snapToGrid w:val="0"/>
          <w:lang w:eastAsia="zh-CN"/>
        </w:rPr>
        <w:t>）和</w:t>
      </w:r>
      <w:r>
        <w:rPr>
          <w:rFonts w:ascii="Arial" w:hAnsi="Arial" w:eastAsia="宋体" w:cs="Arial"/>
          <w:snapToGrid w:val="0"/>
          <w:lang w:eastAsia="zh-CN"/>
        </w:rPr>
        <w:t>21 CFR 211.22</w:t>
      </w:r>
      <w:r>
        <w:rPr>
          <w:rFonts w:hint="eastAsia" w:ascii="Arial" w:hAnsi="Arial" w:eastAsia="宋体" w:cs="Arial"/>
          <w:snapToGrid w:val="0"/>
          <w:lang w:eastAsia="zh-CN"/>
        </w:rPr>
        <w:t>，</w:t>
      </w:r>
      <w:r>
        <w:rPr>
          <w:rFonts w:ascii="Arial" w:hAnsi="Arial" w:eastAsia="宋体" w:cs="Arial"/>
          <w:snapToGrid w:val="0"/>
          <w:lang w:eastAsia="zh-CN"/>
        </w:rPr>
        <w:t>211.25</w:t>
      </w:r>
      <w:r>
        <w:rPr>
          <w:rFonts w:hint="eastAsia" w:ascii="Arial" w:hAnsi="Arial" w:eastAsia="宋体" w:cs="Arial"/>
          <w:snapToGrid w:val="0"/>
          <w:lang w:eastAsia="zh-CN"/>
        </w:rPr>
        <w:t>和211.180规定了与管理责任相关要求，但制造商A必须确保其</w:t>
      </w:r>
      <w:r>
        <w:rPr>
          <w:rFonts w:ascii="Arial" w:hAnsi="Arial" w:eastAsia="宋体" w:cs="Arial"/>
          <w:snapToGrid w:val="0"/>
          <w:lang w:eastAsia="zh-CN"/>
        </w:rPr>
        <w:t>CGMP</w:t>
      </w:r>
      <w:r>
        <w:rPr>
          <w:rFonts w:hint="eastAsia" w:ascii="Arial" w:hAnsi="Arial" w:eastAsia="宋体" w:cs="Arial"/>
          <w:snapToGrid w:val="0"/>
          <w:lang w:eastAsia="zh-CN"/>
        </w:rPr>
        <w:t>操作系统符合</w:t>
      </w:r>
      <w:r>
        <w:rPr>
          <w:rFonts w:ascii="Arial" w:hAnsi="Arial" w:eastAsia="宋体" w:cs="Arial"/>
          <w:snapToGrid w:val="0"/>
          <w:lang w:eastAsia="zh-CN"/>
        </w:rPr>
        <w:t>21 CFR 820.20</w:t>
      </w:r>
      <w:r>
        <w:rPr>
          <w:rFonts w:hint="eastAsia" w:ascii="Arial" w:hAnsi="Arial" w:eastAsia="宋体" w:cs="Arial"/>
          <w:snapToGrid w:val="0"/>
          <w:lang w:eastAsia="zh-CN"/>
        </w:rPr>
        <w:t>中的具体要求（</w:t>
      </w:r>
      <w:r>
        <w:fldChar w:fldCharType="begin"/>
      </w:r>
      <w:r>
        <w:instrText xml:space="preserve"> HYPERLINK \l "_bookmark52" </w:instrText>
      </w:r>
      <w:r>
        <w:fldChar w:fldCharType="separate"/>
      </w:r>
      <w:r>
        <w:rPr>
          <w:rFonts w:ascii="Arial" w:hAnsi="Arial" w:eastAsia="宋体" w:cs="Arial"/>
          <w:snapToGrid w:val="0"/>
          <w:lang w:eastAsia="zh-CN"/>
        </w:rPr>
        <w:t>IV.A.1</w:t>
      </w:r>
      <w:r>
        <w:rPr>
          <w:rFonts w:ascii="Arial" w:hAnsi="Arial" w:eastAsia="宋体" w:cs="Arial"/>
          <w:snapToGrid w:val="0"/>
          <w:lang w:eastAsia="zh-CN"/>
        </w:rPr>
        <w:fldChar w:fldCharType="end"/>
      </w:r>
      <w:r>
        <w:rPr>
          <w:rFonts w:hint="eastAsia" w:ascii="Arial" w:hAnsi="Arial" w:eastAsia="宋体" w:cs="Arial"/>
          <w:snapToGrid w:val="0"/>
          <w:lang w:eastAsia="zh-CN"/>
        </w:rPr>
        <w:t>中有更详细的讨论）。</w:t>
      </w:r>
      <w:r>
        <w:rPr>
          <w:rStyle w:val="17"/>
          <w:rFonts w:ascii="Arial" w:hAnsi="Arial" w:eastAsia="宋体" w:cs="Arial"/>
          <w:snapToGrid w:val="0"/>
          <w:lang w:eastAsia="zh-CN"/>
        </w:rPr>
        <w:footnoteReference w:id="115"/>
      </w:r>
    </w:p>
    <w:p w14:paraId="3406FD28">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39" w:name="_bookmark139"/>
      <w:bookmarkEnd w:id="139"/>
      <w:bookmarkStart w:id="140" w:name="_bookmark141"/>
      <w:bookmarkEnd w:id="140"/>
      <w:r>
        <w:rPr>
          <w:rFonts w:ascii="Arial" w:hAnsi="Arial" w:eastAsia="宋体" w:cs="Arial"/>
          <w:snapToGrid w:val="0"/>
          <w:sz w:val="24"/>
          <w:szCs w:val="20"/>
          <w:lang w:eastAsia="zh-CN"/>
        </w:rPr>
        <w:br w:type="page"/>
      </w:r>
    </w:p>
    <w:p w14:paraId="282EA44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例如，制造商A应审查其现存的</w:t>
      </w:r>
      <w:r>
        <w:rPr>
          <w:rFonts w:ascii="Arial" w:hAnsi="Arial" w:eastAsia="宋体" w:cs="Arial"/>
          <w:snapToGrid w:val="0"/>
          <w:lang w:eastAsia="zh-CN"/>
        </w:rPr>
        <w:t>CGMP</w:t>
      </w:r>
      <w:r>
        <w:rPr>
          <w:rFonts w:hint="eastAsia" w:ascii="Arial" w:hAnsi="Arial" w:eastAsia="宋体" w:cs="Arial"/>
          <w:snapToGrid w:val="0"/>
          <w:lang w:eastAsia="zh-CN"/>
        </w:rPr>
        <w:t>操作系统以评估为遵守该条款是否需要做出变更。作为该审查的一部分，制造商A中有行政责任的管理人员应审查机构的质量方针并制定和执行适当的监督程序（如果还未设立这类程序）以确保方针和监督充分。监督程序应清晰描述有行政责任的管理人员任命的、负责执行质量方针（包括把其转变为方法和程序）和机构内该产品</w:t>
      </w:r>
      <w:r>
        <w:rPr>
          <w:rFonts w:ascii="Arial" w:hAnsi="Arial" w:eastAsia="宋体" w:cs="Arial"/>
          <w:snapToGrid w:val="0"/>
          <w:lang w:eastAsia="zh-CN"/>
        </w:rPr>
        <w:t>CGMP</w:t>
      </w:r>
      <w:r>
        <w:rPr>
          <w:rFonts w:hint="eastAsia" w:ascii="Arial" w:hAnsi="Arial" w:eastAsia="宋体" w:cs="Arial"/>
          <w:snapToGrid w:val="0"/>
          <w:lang w:eastAsia="zh-CN"/>
        </w:rPr>
        <w:t>操作系统的人员。</w:t>
      </w:r>
    </w:p>
    <w:p w14:paraId="284A933C">
      <w:pPr>
        <w:numPr>
          <w:ilvl w:val="1"/>
          <w:numId w:val="13"/>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bookmarkStart w:id="141" w:name="b)_21_CFR_820.30,_Design_Controls"/>
      <w:bookmarkEnd w:id="141"/>
      <w:r>
        <w:rPr>
          <w:rFonts w:ascii="Arial" w:hAnsi="Arial" w:eastAsia="宋体" w:cs="Arial"/>
          <w:i/>
          <w:snapToGrid w:val="0"/>
          <w:sz w:val="24"/>
        </w:rPr>
        <w:t>21 CFR 820.3</w:t>
      </w:r>
      <w:r>
        <w:rPr>
          <w:rFonts w:hint="eastAsia" w:ascii="Arial" w:hAnsi="Arial" w:eastAsia="宋体" w:cs="Arial"/>
          <w:i/>
          <w:snapToGrid w:val="0"/>
          <w:sz w:val="24"/>
          <w:lang w:eastAsia="zh-CN"/>
        </w:rPr>
        <w:t>，设计控制</w:t>
      </w:r>
    </w:p>
    <w:p w14:paraId="584C0B49">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A负责建立和维持组合产品设计控制活动程序。在该情景中，制造商A是所有人且制造载药注射器。相应地，制造商A负责作为组合产品的一部分的注射器的设计控制活动，且对组合产品负全面责任。然而，制造商A从制造商B（另一制造商）处购买注射器部件，且制造商B也用相同的部件制造成品注射器。因此，制造商A可以借用制造商B对其成品注射器所用设计控制中针对注射器的设计控制文件。</w:t>
      </w:r>
      <w:r>
        <w:rPr>
          <w:rStyle w:val="17"/>
          <w:rFonts w:ascii="Arial" w:hAnsi="Arial" w:eastAsia="宋体" w:cs="Arial"/>
          <w:snapToGrid w:val="0"/>
          <w:lang w:eastAsia="zh-CN"/>
        </w:rPr>
        <w:footnoteReference w:id="116"/>
      </w:r>
      <w:r>
        <w:rPr>
          <w:rFonts w:hint="eastAsia" w:ascii="Arial" w:hAnsi="Arial" w:eastAsia="宋体" w:cs="Arial"/>
          <w:snapToGrid w:val="0"/>
          <w:lang w:eastAsia="zh-CN"/>
        </w:rPr>
        <w:t>由于除把药品放进注射器外，没有对药品做出其它改变，因此药品作为一种注射器设计输入进入设计控制过程，以确保注射器的设计反映对药品特征的充分考虑，如下所示。</w:t>
      </w:r>
    </w:p>
    <w:p w14:paraId="0B39218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A应采取的第一步为审查制造商B的设计控制数据以确定注射器与药品一同使用会引发哪些新问题，并评估因此可能需要哪些额外的设计控制活动。例如，制造商A可以证明只有引发的新设计问题涉及作为储存药品容器／密封件的注射器性能且注射器和药品的接触程度可能影响其作为输送系统的性能，可能符合这种情况。无论如何，制造商A必须确保根据</w:t>
      </w:r>
      <w:r>
        <w:rPr>
          <w:rFonts w:ascii="Arial" w:hAnsi="Arial" w:eastAsia="宋体" w:cs="Arial"/>
          <w:snapToGrid w:val="0"/>
          <w:lang w:eastAsia="zh-CN"/>
        </w:rPr>
        <w:t>21 CFR 820.30</w:t>
      </w:r>
      <w:r>
        <w:rPr>
          <w:rFonts w:hint="eastAsia" w:ascii="Arial" w:hAnsi="Arial" w:eastAsia="宋体" w:cs="Arial"/>
          <w:snapToGrid w:val="0"/>
          <w:lang w:eastAsia="zh-CN"/>
        </w:rPr>
        <w:t>解决组合产品的所有设计考虑。</w:t>
      </w:r>
    </w:p>
    <w:p w14:paraId="7B9EA554">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42" w:name="_bookmark142"/>
      <w:bookmarkEnd w:id="142"/>
      <w:r>
        <w:rPr>
          <w:rFonts w:ascii="Arial" w:hAnsi="Arial" w:eastAsia="宋体" w:cs="Arial"/>
          <w:snapToGrid w:val="0"/>
          <w:sz w:val="24"/>
          <w:szCs w:val="20"/>
          <w:lang w:eastAsia="zh-CN"/>
        </w:rPr>
        <w:br w:type="page"/>
      </w:r>
    </w:p>
    <w:p w14:paraId="18F4E370">
      <w:pPr>
        <w:pStyle w:val="5"/>
        <w:numPr>
          <w:ilvl w:val="2"/>
          <w:numId w:val="13"/>
        </w:numPr>
        <w:tabs>
          <w:tab w:val="left" w:pos="2999"/>
          <w:tab w:val="left" w:pos="3000"/>
        </w:tabs>
        <w:topLinePunct/>
        <w:adjustRightInd w:val="0"/>
        <w:snapToGrid w:val="0"/>
        <w:spacing w:after="224" w:afterLines="75" w:line="288" w:lineRule="auto"/>
        <w:ind w:left="2552" w:leftChars="1160" w:firstLine="0"/>
        <w:jc w:val="both"/>
        <w:rPr>
          <w:rFonts w:ascii="Arial" w:hAnsi="Arial" w:eastAsia="宋体" w:cs="Arial"/>
          <w:snapToGrid w:val="0"/>
        </w:rPr>
      </w:pPr>
      <w:r>
        <w:rPr>
          <w:rFonts w:hint="eastAsia" w:ascii="Arial" w:hAnsi="Arial" w:eastAsia="宋体" w:cs="Arial"/>
          <w:snapToGrid w:val="0"/>
          <w:u w:val="single" w:color="000000"/>
          <w:lang w:eastAsia="zh-CN"/>
        </w:rPr>
        <w:t>设计输入和输出</w:t>
      </w:r>
    </w:p>
    <w:p w14:paraId="4976AF5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下表包含该载药注射器设计输入、用户需求和相关设计输出的示例。</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5D2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tcPr>
          <w:p w14:paraId="7CB23287">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设计输入</w:t>
            </w:r>
            <w:r>
              <w:rPr>
                <w:rFonts w:ascii="Arial" w:hAnsi="Arial" w:eastAsia="宋体" w:cs="Arial"/>
                <w:i/>
                <w:snapToGrid w:val="0"/>
                <w:sz w:val="21"/>
              </w:rPr>
              <w:t>／</w:t>
            </w:r>
            <w:r>
              <w:rPr>
                <w:rFonts w:hint="eastAsia" w:ascii="Arial" w:hAnsi="Arial" w:eastAsia="宋体" w:cs="Arial"/>
                <w:i/>
                <w:snapToGrid w:val="0"/>
                <w:sz w:val="21"/>
                <w:lang w:eastAsia="zh-CN"/>
              </w:rPr>
              <w:t>用户需求</w:t>
            </w:r>
          </w:p>
        </w:tc>
        <w:tc>
          <w:tcPr>
            <w:tcW w:w="2500" w:type="pct"/>
          </w:tcPr>
          <w:p w14:paraId="00D5242C">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设计输出</w:t>
            </w:r>
          </w:p>
        </w:tc>
      </w:tr>
      <w:tr w14:paraId="0A3F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F76774E">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要求的最小／最大药品输送剂量</w:t>
            </w:r>
          </w:p>
        </w:tc>
        <w:tc>
          <w:tcPr>
            <w:tcW w:w="2500" w:type="pct"/>
          </w:tcPr>
          <w:p w14:paraId="3CC6EF5D">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注射器尺寸、标志线等的图纸／规格</w:t>
            </w:r>
          </w:p>
        </w:tc>
      </w:tr>
      <w:tr w14:paraId="36F6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7EC8EEF">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药品黏度和期望的／要求的输送速度</w:t>
            </w:r>
          </w:p>
        </w:tc>
        <w:tc>
          <w:tcPr>
            <w:tcW w:w="2500" w:type="pct"/>
          </w:tcPr>
          <w:p w14:paraId="2AD070E5">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针孔、下滑力等的图纸／规格</w:t>
            </w:r>
          </w:p>
        </w:tc>
      </w:tr>
      <w:tr w14:paraId="25BF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E47A28B">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预期使用条件（例如预期用户经验／教育水平）</w:t>
            </w:r>
          </w:p>
        </w:tc>
        <w:tc>
          <w:tcPr>
            <w:tcW w:w="2500" w:type="pct"/>
          </w:tcPr>
          <w:p w14:paraId="1BB98D2D">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szCs w:val="24"/>
                <w:lang w:eastAsia="zh-CN"/>
              </w:rPr>
              <w:t>载药注射器标签的内容和阅读水平</w:t>
            </w:r>
          </w:p>
        </w:tc>
      </w:tr>
      <w:tr w14:paraId="536B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42F6B83">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载药注射器的最大和最小允许温度</w:t>
            </w:r>
          </w:p>
        </w:tc>
        <w:tc>
          <w:tcPr>
            <w:tcW w:w="2500" w:type="pct"/>
          </w:tcPr>
          <w:p w14:paraId="09DC1017">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载药注射器的包装／标签规格</w:t>
            </w:r>
          </w:p>
        </w:tc>
      </w:tr>
      <w:tr w14:paraId="0BBE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6252A787">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在预期保质期内药品和注射器的相互接触不会导致药品或注射器降解</w:t>
            </w:r>
          </w:p>
        </w:tc>
        <w:tc>
          <w:tcPr>
            <w:tcW w:w="2500" w:type="pct"/>
          </w:tcPr>
          <w:p w14:paraId="0E45AA5E">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接触药品的注射器材料规格</w:t>
            </w:r>
          </w:p>
        </w:tc>
      </w:tr>
      <w:tr w14:paraId="07C3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F3B128F">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预期运输方法和适当储存条件</w:t>
            </w:r>
          </w:p>
        </w:tc>
        <w:tc>
          <w:tcPr>
            <w:tcW w:w="2500" w:type="pct"/>
          </w:tcPr>
          <w:p w14:paraId="3205B52B">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初级包装和次级包装设计图纸／规格、可接受储存条件标签</w:t>
            </w:r>
          </w:p>
        </w:tc>
      </w:tr>
      <w:tr w14:paraId="2523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40760B9">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药品输送方法</w:t>
            </w:r>
            <w:r>
              <w:rPr>
                <w:rFonts w:ascii="Arial" w:hAnsi="Arial" w:eastAsia="宋体" w:cs="Arial"/>
                <w:snapToGrid w:val="0"/>
                <w:sz w:val="21"/>
                <w:lang w:eastAsia="zh-CN"/>
              </w:rPr>
              <w:t>（</w:t>
            </w:r>
            <w:r>
              <w:rPr>
                <w:rFonts w:hint="eastAsia" w:ascii="Arial" w:hAnsi="Arial" w:eastAsia="宋体" w:cs="Arial"/>
                <w:snapToGrid w:val="0"/>
                <w:sz w:val="21"/>
                <w:lang w:eastAsia="zh-CN"/>
              </w:rPr>
              <w:t>例如，有针输送或无针输送</w:t>
            </w:r>
            <w:r>
              <w:rPr>
                <w:rFonts w:ascii="Arial" w:hAnsi="Arial" w:eastAsia="宋体" w:cs="Arial"/>
                <w:snapToGrid w:val="0"/>
                <w:sz w:val="21"/>
                <w:lang w:eastAsia="zh-CN"/>
              </w:rPr>
              <w:t>）</w:t>
            </w:r>
          </w:p>
        </w:tc>
        <w:tc>
          <w:tcPr>
            <w:tcW w:w="2500" w:type="pct"/>
          </w:tcPr>
          <w:p w14:paraId="601C1F6F">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针头和／或其它相关注射器部件的图纸／规格</w:t>
            </w:r>
          </w:p>
        </w:tc>
      </w:tr>
    </w:tbl>
    <w:p w14:paraId="4B5E5E6D">
      <w:pPr>
        <w:topLinePunct/>
        <w:adjustRightInd w:val="0"/>
        <w:snapToGrid w:val="0"/>
        <w:spacing w:after="224" w:afterLines="75" w:line="288" w:lineRule="auto"/>
        <w:jc w:val="both"/>
        <w:rPr>
          <w:rFonts w:ascii="Arial" w:hAnsi="Arial" w:eastAsia="宋体" w:cs="Arial"/>
          <w:snapToGrid w:val="0"/>
          <w:sz w:val="24"/>
          <w:szCs w:val="17"/>
          <w:lang w:eastAsia="zh-CN"/>
        </w:rPr>
      </w:pPr>
    </w:p>
    <w:p w14:paraId="053265F8">
      <w:pPr>
        <w:pStyle w:val="5"/>
        <w:numPr>
          <w:ilvl w:val="2"/>
          <w:numId w:val="13"/>
        </w:numPr>
        <w:tabs>
          <w:tab w:val="left" w:pos="2999"/>
          <w:tab w:val="left" w:pos="3000"/>
        </w:tabs>
        <w:topLinePunct/>
        <w:adjustRightInd w:val="0"/>
        <w:snapToGrid w:val="0"/>
        <w:spacing w:after="224" w:afterLines="75" w:line="288" w:lineRule="auto"/>
        <w:ind w:left="2552" w:leftChars="1160" w:firstLine="0"/>
        <w:jc w:val="both"/>
        <w:rPr>
          <w:rFonts w:ascii="Arial" w:hAnsi="Arial" w:eastAsia="宋体" w:cs="Arial"/>
          <w:snapToGrid w:val="0"/>
        </w:rPr>
      </w:pPr>
      <w:r>
        <w:rPr>
          <w:rFonts w:hint="eastAsia" w:ascii="Arial" w:hAnsi="Arial" w:eastAsia="宋体" w:cs="Arial"/>
          <w:snapToGrid w:val="0"/>
          <w:u w:val="single" w:color="000000"/>
          <w:lang w:eastAsia="zh-CN"/>
        </w:rPr>
        <w:t>设计验证和确认</w:t>
      </w:r>
    </w:p>
    <w:p w14:paraId="5AE6BD2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制造商A确定了所有设计输入的设计输出后，必须执行设计验证和确认活动以确保组合产品满足设计输入要求，包括用户需求和预期用途。</w:t>
      </w:r>
      <w:r>
        <w:rPr>
          <w:rStyle w:val="17"/>
          <w:rFonts w:ascii="Arial" w:hAnsi="Arial" w:eastAsia="宋体" w:cs="Arial"/>
          <w:snapToGrid w:val="0"/>
          <w:lang w:eastAsia="zh-CN"/>
        </w:rPr>
        <w:footnoteReference w:id="117"/>
      </w:r>
      <w:r>
        <w:rPr>
          <w:rFonts w:hint="eastAsia" w:ascii="Arial" w:hAnsi="Arial" w:eastAsia="宋体" w:cs="Arial"/>
          <w:snapToGrid w:val="0"/>
          <w:lang w:eastAsia="zh-CN"/>
        </w:rPr>
        <w:t>对载药注射器的适当测试包括：用注射器输送药物的试验台测试以确保药品输送可重复且精确；对已包装好注射器的冲击和振动测试以确保运输时无损坏或丢失完整性；确认预期用户能充分遵守使用说明书；其它人为因素研究；生物相容性测试；</w:t>
      </w:r>
      <w:r>
        <w:rPr>
          <w:rStyle w:val="17"/>
          <w:rFonts w:ascii="Arial" w:hAnsi="Arial" w:eastAsia="宋体" w:cs="Arial"/>
          <w:snapToGrid w:val="0"/>
          <w:lang w:eastAsia="zh-CN"/>
        </w:rPr>
        <w:footnoteReference w:id="118"/>
      </w:r>
      <w:r>
        <w:rPr>
          <w:rFonts w:hint="eastAsia" w:ascii="Arial" w:hAnsi="Arial" w:eastAsia="宋体" w:cs="Arial"/>
          <w:snapToGrid w:val="0"/>
          <w:lang w:eastAsia="zh-CN"/>
        </w:rPr>
        <w:t>药品和注射器相容性研究；</w:t>
      </w:r>
      <w:bookmarkStart w:id="143" w:name="OLE_LINK29"/>
      <w:bookmarkStart w:id="144" w:name="OLE_LINK30"/>
      <w:r>
        <w:rPr>
          <w:rFonts w:hint="eastAsia" w:ascii="Arial" w:hAnsi="Arial" w:eastAsia="宋体" w:cs="Arial"/>
          <w:snapToGrid w:val="0"/>
          <w:lang w:eastAsia="zh-CN"/>
        </w:rPr>
        <w:t>可萃取物和可浸出物测试</w:t>
      </w:r>
      <w:bookmarkEnd w:id="143"/>
      <w:bookmarkEnd w:id="144"/>
      <w:r>
        <w:rPr>
          <w:rFonts w:hint="eastAsia" w:ascii="Arial" w:hAnsi="Arial" w:eastAsia="宋体" w:cs="Arial"/>
          <w:snapToGrid w:val="0"/>
          <w:lang w:eastAsia="zh-CN"/>
        </w:rPr>
        <w:t>；验证载药注射器可用于所有预期输送方法（即有针、无针）。根据</w:t>
      </w:r>
      <w:r>
        <w:rPr>
          <w:rFonts w:ascii="Arial" w:hAnsi="Arial" w:eastAsia="宋体" w:cs="Arial"/>
          <w:snapToGrid w:val="0"/>
          <w:lang w:eastAsia="zh-CN"/>
        </w:rPr>
        <w:t>21 CFR 820.30</w:t>
      </w:r>
      <w:r>
        <w:rPr>
          <w:rFonts w:hint="eastAsia" w:ascii="Arial" w:hAnsi="Arial" w:eastAsia="宋体" w:cs="Arial"/>
          <w:snapToGrid w:val="0"/>
          <w:lang w:eastAsia="zh-CN"/>
        </w:rPr>
        <w:t>（</w:t>
      </w:r>
      <w:r>
        <w:rPr>
          <w:rFonts w:ascii="Arial" w:hAnsi="Arial" w:eastAsia="宋体" w:cs="Arial"/>
          <w:snapToGrid w:val="0"/>
          <w:lang w:eastAsia="zh-CN"/>
        </w:rPr>
        <w:t>j</w:t>
      </w:r>
      <w:r>
        <w:rPr>
          <w:rFonts w:hint="eastAsia" w:ascii="Arial" w:hAnsi="Arial" w:eastAsia="宋体" w:cs="Arial"/>
          <w:snapToGrid w:val="0"/>
          <w:lang w:eastAsia="zh-CN"/>
        </w:rPr>
        <w:t>）这些活动将记录于</w:t>
      </w:r>
      <w:r>
        <w:rPr>
          <w:rFonts w:ascii="Arial" w:hAnsi="Arial" w:eastAsia="宋体" w:cs="Arial"/>
          <w:snapToGrid w:val="0"/>
          <w:lang w:eastAsia="zh-CN"/>
        </w:rPr>
        <w:t>DHF</w:t>
      </w:r>
      <w:r>
        <w:rPr>
          <w:rFonts w:hint="eastAsia" w:ascii="Arial" w:hAnsi="Arial" w:eastAsia="宋体" w:cs="Arial"/>
          <w:snapToGrid w:val="0"/>
          <w:lang w:eastAsia="zh-CN"/>
        </w:rPr>
        <w:t>且根据</w:t>
      </w:r>
      <w:r>
        <w:rPr>
          <w:rFonts w:ascii="Arial" w:hAnsi="Arial" w:eastAsia="宋体" w:cs="Arial"/>
          <w:snapToGrid w:val="0"/>
          <w:lang w:eastAsia="zh-CN"/>
        </w:rPr>
        <w:t>21 CFR 820.30</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）和（</w:t>
      </w:r>
      <w:r>
        <w:rPr>
          <w:rFonts w:ascii="Arial" w:hAnsi="Arial" w:eastAsia="宋体" w:cs="Arial"/>
          <w:snapToGrid w:val="0"/>
          <w:lang w:eastAsia="zh-CN"/>
        </w:rPr>
        <w:t>i</w:t>
      </w:r>
      <w:r>
        <w:rPr>
          <w:rFonts w:hint="eastAsia" w:ascii="Arial" w:hAnsi="Arial" w:eastAsia="宋体" w:cs="Arial"/>
          <w:snapToGrid w:val="0"/>
          <w:lang w:eastAsia="zh-CN"/>
        </w:rPr>
        <w:t>），受到设计变更和审核要求的约束。</w:t>
      </w:r>
    </w:p>
    <w:p w14:paraId="51D7CF28">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45" w:name="_bookmark143"/>
      <w:bookmarkEnd w:id="145"/>
      <w:r>
        <w:rPr>
          <w:rFonts w:ascii="Arial" w:hAnsi="Arial" w:eastAsia="宋体" w:cs="Arial"/>
          <w:snapToGrid w:val="0"/>
          <w:sz w:val="24"/>
          <w:szCs w:val="20"/>
          <w:lang w:eastAsia="zh-CN"/>
        </w:rPr>
        <w:br w:type="page"/>
      </w:r>
    </w:p>
    <w:p w14:paraId="2494B53A">
      <w:pPr>
        <w:pStyle w:val="5"/>
        <w:numPr>
          <w:ilvl w:val="2"/>
          <w:numId w:val="13"/>
        </w:numPr>
        <w:tabs>
          <w:tab w:val="left" w:pos="2999"/>
          <w:tab w:val="left" w:pos="3000"/>
        </w:tabs>
        <w:topLinePunct/>
        <w:adjustRightInd w:val="0"/>
        <w:snapToGrid w:val="0"/>
        <w:spacing w:after="224" w:afterLines="75" w:line="288" w:lineRule="auto"/>
        <w:ind w:left="2552" w:leftChars="1160" w:firstLine="0"/>
        <w:jc w:val="both"/>
        <w:rPr>
          <w:rFonts w:ascii="Arial" w:hAnsi="Arial" w:eastAsia="宋体" w:cs="Arial"/>
          <w:snapToGrid w:val="0"/>
        </w:rPr>
      </w:pPr>
      <w:r>
        <w:rPr>
          <w:rFonts w:hint="eastAsia" w:ascii="Arial" w:hAnsi="Arial" w:eastAsia="宋体" w:cs="Arial"/>
          <w:snapToGrid w:val="0"/>
          <w:u w:val="single" w:color="000000"/>
          <w:lang w:eastAsia="zh-CN"/>
        </w:rPr>
        <w:t>风险分析</w:t>
      </w:r>
    </w:p>
    <w:p w14:paraId="68BCA547">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w:t>
      </w:r>
      <w:r>
        <w:rPr>
          <w:rFonts w:ascii="Arial" w:hAnsi="Arial" w:eastAsia="宋体" w:cs="Arial"/>
          <w:snapToGrid w:val="0"/>
          <w:lang w:eastAsia="zh-CN"/>
        </w:rPr>
        <w:t>A</w:t>
      </w:r>
      <w:r>
        <w:rPr>
          <w:rFonts w:hint="eastAsia" w:ascii="Arial" w:hAnsi="Arial" w:eastAsia="宋体" w:cs="Arial"/>
          <w:snapToGrid w:val="0"/>
          <w:lang w:eastAsia="zh-CN"/>
        </w:rPr>
        <w:t>应确定与载药注射器设计、制造工艺和预期用途相关的风险并减少或减轻任何不可接受风险。</w:t>
      </w:r>
      <w:r>
        <w:rPr>
          <w:rStyle w:val="17"/>
          <w:rFonts w:ascii="Arial" w:hAnsi="Arial" w:eastAsia="宋体" w:cs="Arial"/>
          <w:snapToGrid w:val="0"/>
          <w:lang w:eastAsia="zh-CN"/>
        </w:rPr>
        <w:footnoteReference w:id="119"/>
      </w:r>
      <w:r>
        <w:rPr>
          <w:rFonts w:hint="eastAsia" w:ascii="Arial" w:hAnsi="Arial" w:eastAsia="宋体" w:cs="Arial"/>
          <w:snapToGrid w:val="0"/>
          <w:lang w:eastAsia="zh-CN"/>
        </w:rPr>
        <w:t>下表列出与载药注射器相关的某些潜在风险和可能减轻这些风险的措施。</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5220"/>
      </w:tblGrid>
      <w:tr w14:paraId="1CF2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tcPr>
          <w:p w14:paraId="4C3C3829">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风险</w:t>
            </w:r>
          </w:p>
        </w:tc>
        <w:tc>
          <w:tcPr>
            <w:tcW w:w="5220" w:type="dxa"/>
          </w:tcPr>
          <w:p w14:paraId="7E11D4F9">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减轻措施</w:t>
            </w:r>
          </w:p>
        </w:tc>
      </w:tr>
      <w:tr w14:paraId="523E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tcPr>
          <w:p w14:paraId="7CD3E930">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注射器内填充的药品剂量错误</w:t>
            </w:r>
          </w:p>
        </w:tc>
        <w:tc>
          <w:tcPr>
            <w:tcW w:w="5220" w:type="dxa"/>
          </w:tcPr>
          <w:p w14:paraId="5FAEBF9D">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中间体验收测试，工艺确认</w:t>
            </w:r>
          </w:p>
        </w:tc>
      </w:tr>
      <w:tr w14:paraId="20CA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tcPr>
          <w:p w14:paraId="4F83929B">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丧失无菌性</w:t>
            </w:r>
          </w:p>
        </w:tc>
        <w:tc>
          <w:tcPr>
            <w:tcW w:w="5220" w:type="dxa"/>
          </w:tcPr>
          <w:p w14:paraId="4E470003">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容器-密封件完整性测试，包装确认／测试</w:t>
            </w:r>
          </w:p>
        </w:tc>
      </w:tr>
      <w:tr w14:paraId="6DD6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tcPr>
          <w:p w14:paraId="2596B762">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药品受注射器结构材料污染</w:t>
            </w:r>
          </w:p>
        </w:tc>
        <w:tc>
          <w:tcPr>
            <w:tcW w:w="5220" w:type="dxa"/>
          </w:tcPr>
          <w:p w14:paraId="3EE387F7">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采购控制（包括对来自注射器部件制造商的部件的验收活动），中间体和成品产品测试以确保制造期间和产品保质期期间无污染物进入</w:t>
            </w:r>
          </w:p>
        </w:tc>
      </w:tr>
      <w:tr w14:paraId="31F0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tcPr>
          <w:p w14:paraId="0FF16986">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使用时注射器故障</w:t>
            </w:r>
          </w:p>
        </w:tc>
        <w:tc>
          <w:tcPr>
            <w:tcW w:w="5220" w:type="dxa"/>
          </w:tcPr>
          <w:p w14:paraId="563AF4EB">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注射器的设计验证测试，对注射器部件制造商的采购控制</w:t>
            </w:r>
          </w:p>
        </w:tc>
      </w:tr>
    </w:tbl>
    <w:p w14:paraId="77858FA1">
      <w:pPr>
        <w:topLinePunct/>
        <w:adjustRightInd w:val="0"/>
        <w:snapToGrid w:val="0"/>
        <w:spacing w:after="224" w:afterLines="75" w:line="288" w:lineRule="auto"/>
        <w:jc w:val="both"/>
        <w:rPr>
          <w:rFonts w:ascii="Arial" w:hAnsi="Arial" w:eastAsia="宋体" w:cs="Arial"/>
          <w:snapToGrid w:val="0"/>
          <w:sz w:val="24"/>
          <w:szCs w:val="17"/>
          <w:lang w:eastAsia="zh-CN"/>
        </w:rPr>
      </w:pPr>
    </w:p>
    <w:p w14:paraId="33A34784">
      <w:pPr>
        <w:pStyle w:val="5"/>
        <w:numPr>
          <w:ilvl w:val="2"/>
          <w:numId w:val="13"/>
        </w:numPr>
        <w:tabs>
          <w:tab w:val="left" w:pos="2999"/>
          <w:tab w:val="left" w:pos="3000"/>
        </w:tabs>
        <w:topLinePunct/>
        <w:adjustRightInd w:val="0"/>
        <w:snapToGrid w:val="0"/>
        <w:spacing w:after="224" w:afterLines="75" w:line="288" w:lineRule="auto"/>
        <w:ind w:left="2552" w:leftChars="1160" w:firstLine="0"/>
        <w:jc w:val="both"/>
        <w:rPr>
          <w:rFonts w:ascii="Arial" w:hAnsi="Arial" w:eastAsia="宋体" w:cs="Arial"/>
          <w:snapToGrid w:val="0"/>
        </w:rPr>
      </w:pPr>
      <w:r>
        <w:rPr>
          <w:rFonts w:hint="eastAsia" w:ascii="Arial" w:hAnsi="Arial" w:eastAsia="宋体" w:cs="Arial"/>
          <w:snapToGrid w:val="0"/>
          <w:u w:val="single" w:color="000000"/>
          <w:lang w:eastAsia="zh-CN"/>
        </w:rPr>
        <w:t>设计变更</w:t>
      </w:r>
    </w:p>
    <w:p w14:paraId="2996BF4D">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制造商A也必须设立确保执行前鉴定、记录、确认和／或验证、审核和批准任何设计要求变更的程序。</w:t>
      </w:r>
      <w:r>
        <w:rPr>
          <w:rStyle w:val="17"/>
          <w:rFonts w:ascii="Arial" w:hAnsi="Arial" w:eastAsia="宋体" w:cs="Arial"/>
          <w:snapToGrid w:val="0"/>
          <w:lang w:eastAsia="zh-CN"/>
        </w:rPr>
        <w:footnoteReference w:id="120"/>
      </w:r>
      <w:r>
        <w:rPr>
          <w:rFonts w:hint="eastAsia" w:ascii="Arial" w:hAnsi="Arial" w:eastAsia="宋体" w:cs="Arial"/>
          <w:snapToGrid w:val="0"/>
          <w:lang w:eastAsia="zh-CN"/>
        </w:rPr>
        <w:t>这些活动应包含审核初始风险分析，审核和批准修改的设计输入和输出，以及审核并批准设计变更。例如，在改变与药品接触注射器的某种材料前，制造商A应实施验证活动以确保改变材料后组合产品在到期日前性能特点不会退化。</w:t>
      </w:r>
      <w:r>
        <w:rPr>
          <w:rStyle w:val="17"/>
          <w:rFonts w:ascii="Arial" w:hAnsi="Arial" w:eastAsia="宋体" w:cs="Arial"/>
          <w:snapToGrid w:val="0"/>
          <w:lang w:eastAsia="zh-CN"/>
        </w:rPr>
        <w:footnoteReference w:id="121"/>
      </w:r>
      <w:r>
        <w:rPr>
          <w:rFonts w:hint="eastAsia" w:ascii="Arial" w:hAnsi="Arial" w:eastAsia="宋体" w:cs="Arial"/>
          <w:snapToGrid w:val="0"/>
          <w:lang w:eastAsia="zh-CN"/>
        </w:rPr>
        <w:t>同样，如果改变药品配方，实施的设计控制活动应包含，例如证实新配方不降低注射器性能的验证活动。所有这类信息需成为</w:t>
      </w:r>
      <w:r>
        <w:rPr>
          <w:rFonts w:ascii="Arial" w:hAnsi="Arial" w:eastAsia="宋体" w:cs="Arial"/>
          <w:snapToGrid w:val="0"/>
          <w:lang w:eastAsia="zh-CN"/>
        </w:rPr>
        <w:t>DHF</w:t>
      </w:r>
      <w:r>
        <w:rPr>
          <w:rFonts w:hint="eastAsia" w:ascii="Arial" w:hAnsi="Arial" w:eastAsia="宋体" w:cs="Arial"/>
          <w:snapToGrid w:val="0"/>
          <w:lang w:eastAsia="zh-CN"/>
        </w:rPr>
        <w:t>的一部分。</w:t>
      </w:r>
      <w:r>
        <w:rPr>
          <w:rStyle w:val="17"/>
          <w:rFonts w:ascii="Arial" w:hAnsi="Arial" w:eastAsia="宋体" w:cs="Arial"/>
          <w:snapToGrid w:val="0"/>
          <w:lang w:eastAsia="zh-CN"/>
        </w:rPr>
        <w:footnoteReference w:id="122"/>
      </w:r>
    </w:p>
    <w:p w14:paraId="26894A6A">
      <w:pPr>
        <w:pStyle w:val="5"/>
        <w:numPr>
          <w:ilvl w:val="2"/>
          <w:numId w:val="13"/>
        </w:numPr>
        <w:tabs>
          <w:tab w:val="left" w:pos="2999"/>
          <w:tab w:val="left" w:pos="3000"/>
        </w:tabs>
        <w:topLinePunct/>
        <w:adjustRightInd w:val="0"/>
        <w:snapToGrid w:val="0"/>
        <w:spacing w:after="224" w:afterLines="75" w:line="288" w:lineRule="auto"/>
        <w:ind w:left="2552" w:leftChars="1160" w:firstLine="0"/>
        <w:jc w:val="both"/>
        <w:rPr>
          <w:rFonts w:ascii="Arial" w:hAnsi="Arial" w:eastAsia="宋体" w:cs="Arial"/>
          <w:snapToGrid w:val="0"/>
        </w:rPr>
      </w:pPr>
      <w:r>
        <w:rPr>
          <w:rFonts w:hint="eastAsia" w:ascii="Arial" w:hAnsi="Arial" w:eastAsia="宋体" w:cs="Arial"/>
          <w:snapToGrid w:val="0"/>
          <w:u w:val="single" w:color="000000"/>
          <w:lang w:eastAsia="zh-CN"/>
        </w:rPr>
        <w:t>设计历史文件</w:t>
      </w:r>
    </w:p>
    <w:p w14:paraId="34CC5AC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 xml:space="preserve"> DHF可参考或指出位于别处的信息，前提是参考或指示足够精确使得需要时可随时获得必要信息，包括供检查的信息。例如，可依靠注射器部件制造商的设计文件要素以支持组合产品</w:t>
      </w:r>
      <w:r>
        <w:rPr>
          <w:rFonts w:ascii="Arial" w:hAnsi="Arial" w:eastAsia="宋体" w:cs="Arial"/>
          <w:snapToGrid w:val="0"/>
          <w:lang w:eastAsia="zh-CN"/>
        </w:rPr>
        <w:t>DHF</w:t>
      </w:r>
      <w:r>
        <w:rPr>
          <w:rFonts w:hint="eastAsia" w:ascii="Arial" w:hAnsi="Arial" w:eastAsia="宋体" w:cs="Arial"/>
          <w:snapToGrid w:val="0"/>
          <w:lang w:eastAsia="zh-CN"/>
        </w:rPr>
        <w:t>。关于注射器的这类信息可储存在制造商B（注射器部件制造商）的机构中，前提是制造商A接受检查时可在适当时间获得必要文件。制造商A应确保通过采购控制（</w:t>
      </w:r>
      <w:r>
        <w:rPr>
          <w:rFonts w:ascii="Arial" w:hAnsi="Arial" w:eastAsia="宋体" w:cs="Arial"/>
          <w:snapToGrid w:val="0"/>
          <w:lang w:eastAsia="zh-CN"/>
        </w:rPr>
        <w:t>21 CFR 820.50</w:t>
      </w:r>
      <w:r>
        <w:rPr>
          <w:rFonts w:hint="eastAsia" w:ascii="Arial" w:hAnsi="Arial" w:eastAsia="宋体" w:cs="Arial"/>
          <w:snapToGrid w:val="0"/>
          <w:lang w:eastAsia="zh-CN"/>
        </w:rPr>
        <w:t>）中的与制造商B的供应商协议获得这类文件。</w:t>
      </w:r>
      <w:r>
        <w:rPr>
          <w:rFonts w:ascii="Arial" w:hAnsi="Arial" w:eastAsia="宋体" w:cs="Arial"/>
          <w:snapToGrid w:val="0"/>
          <w:lang w:eastAsia="zh-CN"/>
        </w:rPr>
        <w:t>DHF</w:t>
      </w:r>
      <w:r>
        <w:rPr>
          <w:rFonts w:hint="eastAsia" w:ascii="Arial" w:hAnsi="Arial" w:eastAsia="宋体" w:cs="Arial"/>
          <w:snapToGrid w:val="0"/>
          <w:lang w:eastAsia="zh-CN"/>
        </w:rPr>
        <w:t>可引用发生在设计工作之前的为把药品并入载药注射器的药品开发文件并作为组合产品设计工作的一种输入（尽管这类仅针对药品的开发本身不受设计控制约束）。</w:t>
      </w:r>
    </w:p>
    <w:p w14:paraId="7943E113">
      <w:pPr>
        <w:numPr>
          <w:ilvl w:val="1"/>
          <w:numId w:val="13"/>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bookmarkStart w:id="146" w:name="c)_21_CFR_820.50,_Purchasing_Controls"/>
      <w:bookmarkEnd w:id="146"/>
      <w:r>
        <w:rPr>
          <w:rFonts w:ascii="Arial" w:hAnsi="Arial" w:eastAsia="宋体" w:cs="Arial"/>
          <w:i/>
          <w:snapToGrid w:val="0"/>
          <w:sz w:val="24"/>
        </w:rPr>
        <w:t>21 CFR 820.50</w:t>
      </w:r>
      <w:r>
        <w:rPr>
          <w:rFonts w:hint="eastAsia" w:ascii="Arial" w:hAnsi="Arial" w:eastAsia="宋体" w:cs="Arial"/>
          <w:i/>
          <w:snapToGrid w:val="0"/>
          <w:sz w:val="24"/>
          <w:lang w:eastAsia="zh-CN"/>
        </w:rPr>
        <w:t>，采购控制</w:t>
      </w:r>
    </w:p>
    <w:p w14:paraId="3AAEAB06">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ascii="Arial" w:hAnsi="Arial" w:eastAsia="宋体" w:cs="Arial"/>
          <w:snapToGrid w:val="0"/>
          <w:lang w:eastAsia="zh-CN"/>
        </w:rPr>
        <w:t>21 CFR 820.50</w:t>
      </w:r>
      <w:r>
        <w:rPr>
          <w:rFonts w:hint="eastAsia" w:ascii="Arial" w:hAnsi="Arial" w:eastAsia="宋体" w:cs="Arial"/>
          <w:snapToGrid w:val="0"/>
          <w:lang w:eastAsia="zh-CN"/>
        </w:rPr>
        <w:t>要求制造商A控制其采购活动，包括控制注射器部件的采购活动。</w:t>
      </w:r>
      <w:r>
        <w:rPr>
          <w:rStyle w:val="17"/>
          <w:rFonts w:ascii="Arial" w:hAnsi="Arial" w:eastAsia="宋体" w:cs="Arial"/>
          <w:snapToGrid w:val="0"/>
          <w:lang w:eastAsia="zh-CN"/>
        </w:rPr>
        <w:footnoteReference w:id="123"/>
      </w:r>
      <w:r>
        <w:rPr>
          <w:rFonts w:hint="eastAsia" w:ascii="Arial" w:hAnsi="Arial" w:eastAsia="宋体" w:cs="Arial"/>
          <w:snapToGrid w:val="0"/>
          <w:lang w:eastAsia="zh-CN"/>
        </w:rPr>
        <w:t>例如，如果注射器筒和柱塞的材料对确保与药品无不良反应至关重要，制造商A应组织与制造商B的采购协议以确保制造商A能在执行任何变更前得到关于该材料的变更通知。类似地，如果制造商A委托外部机构进行载药注射器的最终灭菌，制造商A也必须有针对该灭菌服务提供部门的适当控制。</w:t>
      </w:r>
      <w:r>
        <w:rPr>
          <w:rStyle w:val="17"/>
          <w:rFonts w:ascii="Arial" w:hAnsi="Arial" w:eastAsia="宋体" w:cs="Arial"/>
          <w:snapToGrid w:val="0"/>
          <w:lang w:eastAsia="zh-CN"/>
        </w:rPr>
        <w:footnoteReference w:id="124"/>
      </w:r>
    </w:p>
    <w:p w14:paraId="4F621EAC">
      <w:pPr>
        <w:numPr>
          <w:ilvl w:val="1"/>
          <w:numId w:val="13"/>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lang w:eastAsia="zh-CN"/>
        </w:rPr>
      </w:pPr>
      <w:bookmarkStart w:id="147" w:name="d)_21_CFR_820.100,_Corrective_and_Preven"/>
      <w:bookmarkEnd w:id="147"/>
      <w:r>
        <w:rPr>
          <w:rFonts w:ascii="Arial" w:hAnsi="Arial" w:eastAsia="宋体" w:cs="Arial"/>
          <w:i/>
          <w:snapToGrid w:val="0"/>
          <w:sz w:val="24"/>
          <w:lang w:eastAsia="zh-CN"/>
        </w:rPr>
        <w:t>21 CFR 820.100</w:t>
      </w:r>
      <w:r>
        <w:rPr>
          <w:rFonts w:hint="eastAsia" w:ascii="Arial" w:hAnsi="Arial" w:eastAsia="宋体" w:cs="Arial"/>
          <w:i/>
          <w:snapToGrid w:val="0"/>
          <w:sz w:val="24"/>
          <w:lang w:eastAsia="zh-CN"/>
        </w:rPr>
        <w:t>，纠正预防措施</w:t>
      </w:r>
    </w:p>
    <w:p w14:paraId="17B45A2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要求制造商A建立和维持针对组合产品的</w:t>
      </w:r>
      <w:r>
        <w:rPr>
          <w:rFonts w:ascii="Arial" w:hAnsi="Arial" w:eastAsia="宋体" w:cs="Arial"/>
          <w:snapToGrid w:val="0"/>
          <w:lang w:eastAsia="zh-CN"/>
        </w:rPr>
        <w:t>CAPA</w:t>
      </w:r>
      <w:r>
        <w:rPr>
          <w:rFonts w:hint="eastAsia" w:ascii="Arial" w:hAnsi="Arial" w:eastAsia="宋体" w:cs="Arial"/>
          <w:snapToGrid w:val="0"/>
          <w:lang w:eastAsia="zh-CN"/>
        </w:rPr>
        <w:t>程序。以下列举两个可能出现的问题和解决它们的典范步骤：</w:t>
      </w:r>
    </w:p>
    <w:p w14:paraId="60F7610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问题</w:t>
      </w:r>
      <w:r>
        <w:rPr>
          <w:rFonts w:ascii="Arial" w:hAnsi="Arial" w:eastAsia="宋体" w:cs="Arial"/>
          <w:snapToGrid w:val="0"/>
          <w:lang w:eastAsia="zh-CN"/>
        </w:rPr>
        <w:t>1：</w:t>
      </w:r>
      <w:r>
        <w:rPr>
          <w:rFonts w:hint="eastAsia" w:ascii="Arial" w:hAnsi="Arial" w:eastAsia="宋体" w:cs="Arial"/>
          <w:snapToGrid w:val="0"/>
          <w:lang w:eastAsia="zh-CN"/>
        </w:rPr>
        <w:t>制造商A已经执行中间制造验证程序以证实注射器内所填充药量正确，并分析该验证活动数据，查看不合格情况。制造商A注意到与注射器内所填充药量相关的不合格增加并因此建立</w:t>
      </w:r>
      <w:r>
        <w:rPr>
          <w:rFonts w:ascii="Arial" w:hAnsi="Arial" w:eastAsia="宋体" w:cs="Arial"/>
          <w:snapToGrid w:val="0"/>
          <w:lang w:eastAsia="zh-CN"/>
        </w:rPr>
        <w:t>CAPA</w:t>
      </w:r>
      <w:r>
        <w:rPr>
          <w:rFonts w:hint="eastAsia" w:ascii="Arial" w:hAnsi="Arial" w:eastAsia="宋体" w:cs="Arial"/>
          <w:snapToGrid w:val="0"/>
          <w:lang w:eastAsia="zh-CN"/>
        </w:rPr>
        <w:t>以调查该问题。调查完不恰当填充量的原因后，制造商A确定填充设备的维护程序是导致错误填充量的原因。制造商A更新了维护程序并执行验证／确认测试以证实更新纠正了该问题且不引起新问题。</w:t>
      </w:r>
    </w:p>
    <w:p w14:paraId="084ACF7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问题</w:t>
      </w:r>
      <w:r>
        <w:rPr>
          <w:rFonts w:ascii="Arial" w:hAnsi="Arial" w:eastAsia="宋体" w:cs="Arial"/>
          <w:snapToGrid w:val="0"/>
          <w:lang w:eastAsia="zh-CN"/>
        </w:rPr>
        <w:t xml:space="preserve">2: </w:t>
      </w:r>
      <w:r>
        <w:rPr>
          <w:rFonts w:hint="eastAsia" w:ascii="Arial" w:hAnsi="Arial" w:eastAsia="宋体" w:cs="Arial"/>
          <w:snapToGrid w:val="0"/>
          <w:lang w:eastAsia="zh-CN"/>
        </w:rPr>
        <w:t>制造商A开始收到越来越多的关于注射器无菌包装有破洞或其它损坏的客户投诉并设立</w:t>
      </w:r>
      <w:r>
        <w:rPr>
          <w:rFonts w:ascii="Arial" w:hAnsi="Arial" w:eastAsia="宋体" w:cs="Arial"/>
          <w:snapToGrid w:val="0"/>
          <w:lang w:eastAsia="zh-CN"/>
        </w:rPr>
        <w:t>CAPA</w:t>
      </w:r>
      <w:r>
        <w:rPr>
          <w:rFonts w:hint="eastAsia" w:ascii="Arial" w:hAnsi="Arial" w:eastAsia="宋体" w:cs="Arial"/>
          <w:snapToGrid w:val="0"/>
          <w:lang w:eastAsia="zh-CN"/>
        </w:rPr>
        <w:t>调查该问题。</w:t>
      </w:r>
      <w:r>
        <w:rPr>
          <w:rFonts w:ascii="Arial" w:hAnsi="Arial" w:eastAsia="宋体" w:cs="Arial"/>
          <w:snapToGrid w:val="0"/>
          <w:lang w:eastAsia="zh-CN"/>
        </w:rPr>
        <w:t>CAPA</w:t>
      </w:r>
      <w:r>
        <w:rPr>
          <w:rFonts w:hint="eastAsia" w:ascii="Arial" w:hAnsi="Arial" w:eastAsia="宋体" w:cs="Arial"/>
          <w:snapToGrid w:val="0"/>
          <w:lang w:eastAsia="zh-CN"/>
        </w:rPr>
        <w:t>发现制造商B对某个注射器部件做出变更以致其出现锐边，该锐边在运输时可损坏无菌袋。制造商A与制造商B合作消除锐边或寻找新供应商。制造商A还需要增加采购说明内容和验收试验步骤确保对注射器部件执行目视检查。制造商A重复进行相关设计验证测试以确保新注射器满足所有设计要求且运输时不会导致无菌袋损坏。</w:t>
      </w:r>
    </w:p>
    <w:p w14:paraId="73600B84">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48" w:name="_bookmark150"/>
      <w:bookmarkEnd w:id="148"/>
      <w:r>
        <w:rPr>
          <w:rFonts w:ascii="Arial" w:hAnsi="Arial" w:eastAsia="宋体" w:cs="Arial"/>
          <w:snapToGrid w:val="0"/>
          <w:sz w:val="24"/>
          <w:szCs w:val="20"/>
          <w:lang w:eastAsia="zh-CN"/>
        </w:rPr>
        <w:br w:type="page"/>
      </w:r>
    </w:p>
    <w:p w14:paraId="36939790">
      <w:pPr>
        <w:numPr>
          <w:ilvl w:val="1"/>
          <w:numId w:val="13"/>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lang w:eastAsia="zh-CN"/>
        </w:rPr>
      </w:pPr>
      <w:bookmarkStart w:id="149" w:name="e)_21_CFR_820.170,_Installation_and_820."/>
      <w:bookmarkEnd w:id="149"/>
      <w:r>
        <w:rPr>
          <w:rFonts w:ascii="Arial" w:hAnsi="Arial" w:eastAsia="宋体" w:cs="Arial"/>
          <w:i/>
          <w:snapToGrid w:val="0"/>
          <w:sz w:val="24"/>
          <w:lang w:eastAsia="zh-CN"/>
        </w:rPr>
        <w:t>21 CFR 820.170</w:t>
      </w:r>
      <w:r>
        <w:rPr>
          <w:rFonts w:hint="eastAsia" w:ascii="Arial" w:hAnsi="Arial" w:eastAsia="宋体" w:cs="Arial"/>
          <w:i/>
          <w:snapToGrid w:val="0"/>
          <w:sz w:val="24"/>
          <w:lang w:eastAsia="zh-CN"/>
        </w:rPr>
        <w:t>，安装和</w:t>
      </w:r>
      <w:r>
        <w:rPr>
          <w:rFonts w:ascii="Arial" w:hAnsi="Arial" w:eastAsia="宋体" w:cs="Arial"/>
          <w:i/>
          <w:snapToGrid w:val="0"/>
          <w:sz w:val="24"/>
          <w:lang w:eastAsia="zh-CN"/>
        </w:rPr>
        <w:t>820.200</w:t>
      </w:r>
      <w:r>
        <w:rPr>
          <w:rFonts w:hint="eastAsia" w:ascii="Arial" w:hAnsi="Arial" w:eastAsia="宋体" w:cs="Arial"/>
          <w:i/>
          <w:snapToGrid w:val="0"/>
          <w:sz w:val="24"/>
          <w:lang w:eastAsia="zh-CN"/>
        </w:rPr>
        <w:t>，维修</w:t>
      </w:r>
    </w:p>
    <w:p w14:paraId="08BD904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由于载药注射器不需要安装或维修活动，因此安装和维修要求不适用。</w:t>
      </w:r>
    </w:p>
    <w:p w14:paraId="0D8FEB21">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rPr>
      </w:pPr>
      <w:bookmarkStart w:id="150" w:name="_bookmark151"/>
      <w:bookmarkEnd w:id="150"/>
      <w:bookmarkStart w:id="151" w:name="B._Drug-coated_mesh"/>
      <w:bookmarkEnd w:id="151"/>
      <w:bookmarkStart w:id="152" w:name="_Toc498640479"/>
      <w:r>
        <w:rPr>
          <w:rFonts w:hint="eastAsia" w:ascii="Arial" w:hAnsi="Arial" w:eastAsia="宋体" w:cs="Arial"/>
          <w:snapToGrid w:val="0"/>
          <w:sz w:val="24"/>
          <w:lang w:eastAsia="zh-CN"/>
        </w:rPr>
        <w:t>药物涂层网状织物</w:t>
      </w:r>
      <w:bookmarkEnd w:id="152"/>
    </w:p>
    <w:p w14:paraId="1961B984">
      <w:pPr>
        <w:pStyle w:val="23"/>
        <w:numPr>
          <w:ilvl w:val="0"/>
          <w:numId w:val="14"/>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r>
        <w:rPr>
          <w:rFonts w:hint="eastAsia" w:ascii="Arial" w:hAnsi="Arial" w:eastAsia="宋体" w:cs="Arial"/>
          <w:snapToGrid w:val="0"/>
          <w:lang w:eastAsia="zh-CN"/>
        </w:rPr>
        <w:t>情景描述</w:t>
      </w:r>
    </w:p>
    <w:p w14:paraId="755174A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A计划销售一种带有药物涂层的合成外科网片。制造商A拥有无涂层网片的上市许可。制造商A想把药物涂在网片上以治疗产品植入位置的感染。制造商B有销售治疗这类器械植入位置感染的局部用药的许可，但药物剂型不适宜作为网片涂层。制造商A已经与制造商B建立业务关系以使用药品并开发支持其获得涂层网片的上市许可所需数据。制造商B将制造喷涂于网片的药物剂型，制造商A将制造成品药物涂层网片组合产品。</w:t>
      </w:r>
    </w:p>
    <w:p w14:paraId="43F38829">
      <w:pPr>
        <w:pStyle w:val="23"/>
        <w:numPr>
          <w:ilvl w:val="0"/>
          <w:numId w:val="14"/>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153" w:name="2._Compliance_with_QS_regulation_require"/>
      <w:bookmarkEnd w:id="153"/>
      <w:r>
        <w:rPr>
          <w:rFonts w:hint="eastAsia" w:ascii="Arial" w:hAnsi="Arial" w:eastAsia="宋体" w:cs="Arial"/>
          <w:snapToGrid w:val="0"/>
          <w:lang w:eastAsia="zh-CN"/>
        </w:rPr>
        <w:t>遵守QS规章要求</w:t>
      </w:r>
    </w:p>
    <w:p w14:paraId="27C9A60C">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3.2</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），涂层网片产品是单一实体组合产品。因此，针对该组合产品，制造商A同时受药品</w:t>
      </w:r>
      <w:r>
        <w:rPr>
          <w:rFonts w:ascii="Arial" w:hAnsi="Arial" w:eastAsia="宋体" w:cs="Arial"/>
          <w:snapToGrid w:val="0"/>
          <w:lang w:eastAsia="zh-CN"/>
        </w:rPr>
        <w:t>CGMPs</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规章的约束。相应地，根据</w:t>
      </w:r>
      <w:r>
        <w:rPr>
          <w:rFonts w:ascii="Arial" w:hAnsi="Arial" w:eastAsia="宋体" w:cs="Arial"/>
          <w:snapToGrid w:val="0"/>
          <w:lang w:eastAsia="zh-CN"/>
        </w:rPr>
        <w:t>21 CFR 4.4</w:t>
      </w:r>
      <w:r>
        <w:rPr>
          <w:rFonts w:hint="eastAsia" w:ascii="Arial" w:hAnsi="Arial" w:eastAsia="宋体" w:cs="Arial"/>
          <w:snapToGrid w:val="0"/>
          <w:lang w:eastAsia="zh-CN"/>
        </w:rPr>
        <w:t>允许的其中一种方法，制造商A必须确保其</w:t>
      </w:r>
      <w:r>
        <w:rPr>
          <w:rFonts w:ascii="Arial" w:hAnsi="Arial" w:eastAsia="宋体" w:cs="Arial"/>
          <w:snapToGrid w:val="0"/>
          <w:lang w:eastAsia="zh-CN"/>
        </w:rPr>
        <w:t>CGMP</w:t>
      </w:r>
      <w:r>
        <w:rPr>
          <w:rFonts w:hint="eastAsia" w:ascii="Arial" w:hAnsi="Arial" w:eastAsia="宋体" w:cs="Arial"/>
          <w:snapToGrid w:val="0"/>
          <w:lang w:eastAsia="zh-CN"/>
        </w:rPr>
        <w:t>操作系统同时遵守器械QS规章和药品</w:t>
      </w:r>
      <w:r>
        <w:rPr>
          <w:rFonts w:ascii="Arial" w:hAnsi="Arial" w:eastAsia="宋体" w:cs="Arial"/>
          <w:snapToGrid w:val="0"/>
          <w:lang w:eastAsia="zh-CN"/>
        </w:rPr>
        <w:t>CGMPs</w:t>
      </w:r>
      <w:r>
        <w:rPr>
          <w:rFonts w:hint="eastAsia" w:ascii="Arial" w:hAnsi="Arial" w:eastAsia="宋体" w:cs="Arial"/>
          <w:snapToGrid w:val="0"/>
          <w:lang w:eastAsia="zh-CN"/>
        </w:rPr>
        <w:t>。由于制造商A已经在销售无涂层网片，它已经有基于器械QS规章的操作系统并针对该组合产品选择按照基于器械QS规章的简化方法操作。本节重点讨论由组合产品包含药品组成部分引起的设计控制和采购控制考虑。</w:t>
      </w:r>
    </w:p>
    <w:p w14:paraId="13591B87">
      <w:pPr>
        <w:numPr>
          <w:ilvl w:val="1"/>
          <w:numId w:val="14"/>
        </w:numPr>
        <w:tabs>
          <w:tab w:val="left" w:pos="1560"/>
        </w:tabs>
        <w:topLinePunct/>
        <w:adjustRightInd w:val="0"/>
        <w:snapToGrid w:val="0"/>
        <w:spacing w:after="224" w:afterLines="75" w:line="288" w:lineRule="auto"/>
        <w:ind w:left="1441" w:leftChars="655" w:firstLine="0"/>
        <w:jc w:val="both"/>
        <w:rPr>
          <w:rFonts w:ascii="Arial" w:hAnsi="Arial" w:eastAsia="宋体" w:cs="Arial"/>
          <w:snapToGrid w:val="0"/>
          <w:sz w:val="24"/>
          <w:szCs w:val="24"/>
        </w:rPr>
      </w:pPr>
      <w:bookmarkStart w:id="154" w:name="a)_21_CFR_820.30,_Design_Controls"/>
      <w:bookmarkEnd w:id="154"/>
      <w:r>
        <w:rPr>
          <w:rFonts w:ascii="Arial" w:hAnsi="Arial" w:eastAsia="宋体" w:cs="Arial"/>
          <w:i/>
          <w:snapToGrid w:val="0"/>
          <w:sz w:val="24"/>
        </w:rPr>
        <w:t>21 CFR 820.30</w:t>
      </w:r>
      <w:r>
        <w:rPr>
          <w:rFonts w:hint="eastAsia" w:ascii="Arial" w:hAnsi="Arial" w:eastAsia="宋体" w:cs="Arial"/>
          <w:i/>
          <w:snapToGrid w:val="0"/>
          <w:sz w:val="24"/>
          <w:lang w:eastAsia="zh-CN"/>
        </w:rPr>
        <w:t>，设计控制</w:t>
      </w:r>
    </w:p>
    <w:p w14:paraId="3637954E">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组合产品药品组成部分设计控制过程的一个重点是确保药物涂层网片用于治疗植入位置的感染安全且有效。相应地，例如如果已知晓能有效治疗感染的必要药物剂量，那么可将其作为输入（如果还不知晓精确剂量，那么将产品洗脱安全有效剂量作为输</w:t>
      </w:r>
      <w:r>
        <w:rPr>
          <w:rFonts w:ascii="Arial" w:hAnsi="Arial" w:eastAsia="宋体" w:cs="Arial"/>
          <w:snapToGrid w:val="0"/>
          <w:lang w:eastAsia="zh-CN"/>
        </w:rPr>
        <w:br w:type="page"/>
      </w:r>
      <w:r>
        <w:rPr>
          <w:rFonts w:hint="eastAsia" w:ascii="Arial" w:hAnsi="Arial" w:eastAsia="宋体" w:cs="Arial"/>
          <w:snapToGrid w:val="0"/>
          <w:lang w:eastAsia="zh-CN"/>
        </w:rPr>
        <w:t>入）；将需要建立设计输出及确认和验证以确保从网片上洗脱的药物达到要求剂量。</w:t>
      </w:r>
      <w:r>
        <w:rPr>
          <w:rStyle w:val="17"/>
          <w:rFonts w:ascii="Arial" w:hAnsi="Arial" w:eastAsia="宋体" w:cs="Arial"/>
          <w:snapToGrid w:val="0"/>
          <w:lang w:eastAsia="zh-CN"/>
        </w:rPr>
        <w:footnoteReference w:id="125"/>
      </w:r>
      <w:r>
        <w:rPr>
          <w:rFonts w:hint="eastAsia" w:ascii="Arial" w:hAnsi="Arial" w:eastAsia="宋体" w:cs="Arial"/>
          <w:snapToGrid w:val="0"/>
          <w:lang w:eastAsia="zh-CN"/>
        </w:rPr>
        <w:t>此外，必须实施风险分析以鉴定所有与设计、制造和网片使用相关的风险。</w:t>
      </w:r>
      <w:r>
        <w:rPr>
          <w:rStyle w:val="17"/>
          <w:rFonts w:ascii="Arial" w:hAnsi="Arial" w:eastAsia="宋体" w:cs="Arial"/>
          <w:snapToGrid w:val="0"/>
          <w:lang w:eastAsia="zh-CN"/>
        </w:rPr>
        <w:footnoteReference w:id="126"/>
      </w:r>
      <w:r>
        <w:rPr>
          <w:rFonts w:hint="eastAsia" w:ascii="Arial" w:hAnsi="Arial" w:eastAsia="宋体" w:cs="Arial"/>
          <w:snapToGrid w:val="0"/>
          <w:lang w:eastAsia="zh-CN"/>
        </w:rPr>
        <w:t>然后应确定并执行减轻措施以解决已鉴定的所有风险。设计审核应涵盖这些内容和产品的其它相关设计考虑，且执行这些审核时应有针对药品和器械问题的专业人员（且与受审核设计阶段无关的个人）在场。把产品设计转变为产品规格时应解决药品组成部分用于组合产品的所有重要方面。</w:t>
      </w:r>
      <w:r>
        <w:rPr>
          <w:rStyle w:val="17"/>
          <w:rFonts w:ascii="Arial" w:hAnsi="Arial" w:eastAsia="宋体" w:cs="Arial"/>
          <w:snapToGrid w:val="0"/>
          <w:lang w:eastAsia="zh-CN"/>
        </w:rPr>
        <w:footnoteReference w:id="127"/>
      </w:r>
    </w:p>
    <w:p w14:paraId="6578C679">
      <w:pPr>
        <w:pStyle w:val="5"/>
        <w:numPr>
          <w:ilvl w:val="2"/>
          <w:numId w:val="14"/>
        </w:numPr>
        <w:tabs>
          <w:tab w:val="left" w:pos="2280"/>
        </w:tabs>
        <w:topLinePunct/>
        <w:adjustRightInd w:val="0"/>
        <w:snapToGrid w:val="0"/>
        <w:spacing w:after="224" w:afterLines="75" w:line="288" w:lineRule="auto"/>
        <w:ind w:left="1441" w:leftChars="655" w:firstLine="0"/>
        <w:jc w:val="both"/>
        <w:rPr>
          <w:rFonts w:ascii="Arial" w:hAnsi="Arial" w:eastAsia="宋体" w:cs="Arial"/>
          <w:snapToGrid w:val="0"/>
        </w:rPr>
      </w:pPr>
      <w:r>
        <w:rPr>
          <w:rFonts w:hint="eastAsia" w:ascii="Arial" w:hAnsi="Arial" w:eastAsia="宋体" w:cs="Arial"/>
          <w:snapToGrid w:val="0"/>
          <w:u w:val="single" w:color="000000"/>
          <w:lang w:eastAsia="zh-CN"/>
        </w:rPr>
        <w:t>设计输入和输出</w:t>
      </w:r>
    </w:p>
    <w:p w14:paraId="17CF024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下表包含与包含药品组成部分相关的设计输入（包括用户需求）和相应设计输出示例。</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860"/>
      </w:tblGrid>
      <w:tr w14:paraId="6F05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0" w:type="dxa"/>
          </w:tcPr>
          <w:p w14:paraId="5663AEED">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设计输入</w:t>
            </w:r>
            <w:r>
              <w:rPr>
                <w:rFonts w:ascii="Arial" w:hAnsi="Arial" w:eastAsia="宋体" w:cs="Arial"/>
                <w:i/>
                <w:snapToGrid w:val="0"/>
                <w:sz w:val="21"/>
              </w:rPr>
              <w:t>／</w:t>
            </w:r>
            <w:r>
              <w:rPr>
                <w:rFonts w:hint="eastAsia" w:ascii="Arial" w:hAnsi="Arial" w:eastAsia="宋体" w:cs="Arial"/>
                <w:i/>
                <w:snapToGrid w:val="0"/>
                <w:sz w:val="21"/>
                <w:lang w:eastAsia="zh-CN"/>
              </w:rPr>
              <w:t>用户需求</w:t>
            </w:r>
          </w:p>
        </w:tc>
        <w:tc>
          <w:tcPr>
            <w:tcW w:w="4860" w:type="dxa"/>
          </w:tcPr>
          <w:p w14:paraId="1FCC38A5">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设计输出</w:t>
            </w:r>
          </w:p>
        </w:tc>
      </w:tr>
      <w:tr w14:paraId="0787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14:paraId="28BA6597">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要求的药物输送剂量和输送速度</w:t>
            </w:r>
          </w:p>
        </w:tc>
        <w:tc>
          <w:tcPr>
            <w:tcW w:w="4860" w:type="dxa"/>
          </w:tcPr>
          <w:p w14:paraId="027D3C85">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药物剂型和浓度、涂层厚度、涂层均匀性、制造工艺要求、允许储存条件</w:t>
            </w:r>
          </w:p>
        </w:tc>
      </w:tr>
      <w:tr w14:paraId="63FD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14:paraId="1E7470C5">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预期使用条件（例如，用于的解剖位置，外科技术）</w:t>
            </w:r>
          </w:p>
        </w:tc>
        <w:tc>
          <w:tcPr>
            <w:tcW w:w="4860" w:type="dxa"/>
          </w:tcPr>
          <w:p w14:paraId="61AAA46D">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标签</w:t>
            </w:r>
            <w:r>
              <w:rPr>
                <w:rFonts w:ascii="Arial" w:hAnsi="Arial" w:eastAsia="宋体" w:cs="Arial"/>
                <w:snapToGrid w:val="0"/>
                <w:sz w:val="21"/>
                <w:lang w:eastAsia="zh-CN"/>
              </w:rPr>
              <w:t>（</w:t>
            </w:r>
            <w:r>
              <w:rPr>
                <w:rFonts w:hint="eastAsia" w:ascii="Arial" w:hAnsi="Arial" w:eastAsia="宋体" w:cs="Arial"/>
                <w:snapToGrid w:val="0"/>
                <w:sz w:val="21"/>
                <w:lang w:eastAsia="zh-CN"/>
              </w:rPr>
              <w:t>使用说明书</w:t>
            </w:r>
            <w:r>
              <w:rPr>
                <w:rFonts w:ascii="Arial" w:hAnsi="Arial" w:eastAsia="宋体" w:cs="Arial"/>
                <w:snapToGrid w:val="0"/>
                <w:sz w:val="21"/>
                <w:lang w:eastAsia="zh-CN"/>
              </w:rPr>
              <w:t>）</w:t>
            </w:r>
            <w:r>
              <w:rPr>
                <w:rFonts w:hint="eastAsia" w:ascii="Arial" w:hAnsi="Arial" w:eastAsia="宋体" w:cs="Arial"/>
                <w:snapToGrid w:val="0"/>
                <w:sz w:val="21"/>
                <w:lang w:eastAsia="zh-CN"/>
              </w:rPr>
              <w:t>，确保手术置入期间不会损坏网片或涂层的材料</w:t>
            </w:r>
            <w:r>
              <w:rPr>
                <w:rFonts w:ascii="Arial" w:hAnsi="Arial" w:eastAsia="宋体" w:cs="Arial"/>
                <w:snapToGrid w:val="0"/>
                <w:sz w:val="21"/>
                <w:lang w:eastAsia="zh-CN"/>
              </w:rPr>
              <w:t>／</w:t>
            </w:r>
            <w:r>
              <w:rPr>
                <w:rFonts w:hint="eastAsia" w:ascii="Arial" w:hAnsi="Arial" w:eastAsia="宋体" w:cs="Arial"/>
                <w:snapToGrid w:val="0"/>
                <w:sz w:val="21"/>
                <w:lang w:eastAsia="zh-CN"/>
              </w:rPr>
              <w:t>药物成分</w:t>
            </w:r>
          </w:p>
        </w:tc>
      </w:tr>
      <w:tr w14:paraId="3C3C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14:paraId="4613C572">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组合产品运输、搬运和储存期间的最高允许温度</w:t>
            </w:r>
          </w:p>
        </w:tc>
        <w:tc>
          <w:tcPr>
            <w:tcW w:w="4860" w:type="dxa"/>
          </w:tcPr>
          <w:p w14:paraId="303AE3CC">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组合产品的包装／标签规格</w:t>
            </w:r>
          </w:p>
        </w:tc>
      </w:tr>
      <w:tr w14:paraId="303C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14:paraId="0B74D6B0">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预期保质期内药品无不可接受降解</w:t>
            </w:r>
          </w:p>
        </w:tc>
        <w:tc>
          <w:tcPr>
            <w:tcW w:w="4860" w:type="dxa"/>
          </w:tcPr>
          <w:p w14:paraId="63997E5C">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与药物剂型接触材料的规格和包装规格，保质期标签</w:t>
            </w:r>
          </w:p>
        </w:tc>
      </w:tr>
      <w:tr w14:paraId="4C82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14:paraId="17D97C45">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预期保质期内外科网片无降解</w:t>
            </w:r>
          </w:p>
        </w:tc>
        <w:tc>
          <w:tcPr>
            <w:tcW w:w="4860" w:type="dxa"/>
          </w:tcPr>
          <w:p w14:paraId="61A47342">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网片材料、药物剂型和包装的规格，保质期标签</w:t>
            </w:r>
          </w:p>
        </w:tc>
      </w:tr>
    </w:tbl>
    <w:p w14:paraId="279D0E6D">
      <w:pPr>
        <w:topLinePunct/>
        <w:adjustRightInd w:val="0"/>
        <w:snapToGrid w:val="0"/>
        <w:spacing w:after="224" w:afterLines="75" w:line="288" w:lineRule="auto"/>
        <w:jc w:val="both"/>
        <w:rPr>
          <w:rFonts w:ascii="Arial" w:hAnsi="Arial" w:eastAsia="宋体" w:cs="Arial"/>
          <w:snapToGrid w:val="0"/>
          <w:sz w:val="24"/>
          <w:szCs w:val="17"/>
          <w:lang w:eastAsia="zh-CN"/>
        </w:rPr>
      </w:pPr>
    </w:p>
    <w:p w14:paraId="0D1A96F6">
      <w:pPr>
        <w:pStyle w:val="5"/>
        <w:numPr>
          <w:ilvl w:val="2"/>
          <w:numId w:val="14"/>
        </w:numPr>
        <w:tabs>
          <w:tab w:val="left" w:pos="2280"/>
        </w:tabs>
        <w:topLinePunct/>
        <w:adjustRightInd w:val="0"/>
        <w:snapToGrid w:val="0"/>
        <w:spacing w:after="224" w:afterLines="75" w:line="288" w:lineRule="auto"/>
        <w:ind w:left="1441" w:leftChars="655" w:firstLine="0"/>
        <w:jc w:val="both"/>
        <w:rPr>
          <w:rFonts w:ascii="Arial" w:hAnsi="Arial" w:eastAsia="宋体" w:cs="Arial"/>
          <w:snapToGrid w:val="0"/>
        </w:rPr>
      </w:pPr>
      <w:r>
        <w:rPr>
          <w:rFonts w:hint="eastAsia" w:ascii="Arial" w:hAnsi="Arial" w:eastAsia="宋体" w:cs="Arial"/>
          <w:snapToGrid w:val="0"/>
          <w:u w:val="single" w:color="000000"/>
          <w:lang w:eastAsia="zh-CN"/>
        </w:rPr>
        <w:t>设计验证和确认</w:t>
      </w:r>
    </w:p>
    <w:p w14:paraId="31C2EDEA">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以下描述了几种设计验证和确认活动：</w:t>
      </w:r>
    </w:p>
    <w:p w14:paraId="666FA4D8">
      <w:pPr>
        <w:pStyle w:val="5"/>
        <w:numPr>
          <w:ilvl w:val="0"/>
          <w:numId w:val="15"/>
        </w:numPr>
        <w:topLinePunct/>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药物涂层网片的一种预期用途是治疗感染。制造商A必须获得充分临床数据（设计确认）以确保药物与网片结合时能有效治疗感染且不会引发安全问题。</w:t>
      </w:r>
      <w:r>
        <w:rPr>
          <w:rStyle w:val="17"/>
          <w:rFonts w:ascii="Arial" w:hAnsi="Arial" w:eastAsia="宋体" w:cs="Arial"/>
          <w:snapToGrid w:val="0"/>
          <w:lang w:eastAsia="zh-CN"/>
        </w:rPr>
        <w:footnoteReference w:id="128"/>
      </w:r>
      <w:r>
        <w:rPr>
          <w:rFonts w:hint="eastAsia" w:ascii="Arial" w:hAnsi="Arial" w:eastAsia="宋体" w:cs="Arial"/>
          <w:snapToGrid w:val="0"/>
          <w:lang w:eastAsia="zh-CN"/>
        </w:rPr>
        <w:t>本研究的设计输出将包含涂层剂型的药物浓度（在对制造商B的采购控制中指定该内容）和涂层厚度（由制造商A在涂层施工工艺控制中指定该内容）。</w:t>
      </w:r>
    </w:p>
    <w:p w14:paraId="3A9937B6">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55" w:name="_bookmark152"/>
      <w:bookmarkEnd w:id="155"/>
      <w:bookmarkStart w:id="156" w:name="_bookmark155"/>
      <w:bookmarkEnd w:id="156"/>
      <w:bookmarkStart w:id="157" w:name="_bookmark154"/>
      <w:bookmarkEnd w:id="157"/>
      <w:r>
        <w:rPr>
          <w:rFonts w:ascii="Arial" w:hAnsi="Arial" w:eastAsia="宋体" w:cs="Arial"/>
          <w:snapToGrid w:val="0"/>
          <w:sz w:val="24"/>
          <w:szCs w:val="20"/>
          <w:lang w:eastAsia="zh-CN"/>
        </w:rPr>
        <w:br w:type="page"/>
      </w:r>
    </w:p>
    <w:p w14:paraId="1DD7AF3B">
      <w:pPr>
        <w:pStyle w:val="5"/>
        <w:numPr>
          <w:ilvl w:val="0"/>
          <w:numId w:val="15"/>
        </w:numPr>
        <w:topLinePunct/>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用户需求是医生按照说明使用网片产品不会损坏药物涂层或网片材料。制造商A必须验证涂层网片的机械性能使得产品能够承受手术过程中的预期压力且仍按预期表现。</w:t>
      </w:r>
      <w:r>
        <w:rPr>
          <w:rStyle w:val="17"/>
          <w:rFonts w:ascii="Arial" w:hAnsi="Arial" w:eastAsia="宋体" w:cs="Arial"/>
          <w:snapToGrid w:val="0"/>
          <w:lang w:eastAsia="zh-CN"/>
        </w:rPr>
        <w:footnoteReference w:id="129"/>
      </w:r>
      <w:r>
        <w:rPr>
          <w:rFonts w:hint="eastAsia" w:ascii="Arial" w:hAnsi="Arial" w:eastAsia="宋体" w:cs="Arial"/>
          <w:snapToGrid w:val="0"/>
          <w:lang w:eastAsia="zh-CN"/>
        </w:rPr>
        <w:t>验证结果将用于定义和制定组合产品设计输出，包括制造期间中间验收测试标准，药物涂层网片的适当产品规格和使用说明书。</w:t>
      </w:r>
    </w:p>
    <w:p w14:paraId="1EF19983">
      <w:pPr>
        <w:pStyle w:val="5"/>
        <w:numPr>
          <w:ilvl w:val="0"/>
          <w:numId w:val="15"/>
        </w:numPr>
        <w:topLinePunct/>
        <w:adjustRightInd w:val="0"/>
        <w:snapToGrid w:val="0"/>
        <w:spacing w:after="224"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设计过程的另一种输入是产品保质期与药物剂型和网片稳定性一致。制造商A将执行设计验证测试比如老化后的试验台测试以证实网片材料的关键性能属性在储存期间或与药物涂层接触后无退化，并执行稳定性研究</w:t>
      </w:r>
      <w:r>
        <w:rPr>
          <w:rStyle w:val="17"/>
          <w:rFonts w:ascii="Arial" w:hAnsi="Arial" w:eastAsia="宋体" w:cs="Arial"/>
          <w:snapToGrid w:val="0"/>
          <w:lang w:eastAsia="zh-CN"/>
        </w:rPr>
        <w:footnoteReference w:id="130"/>
      </w:r>
      <w:r>
        <w:rPr>
          <w:rFonts w:hint="eastAsia" w:ascii="Arial" w:hAnsi="Arial" w:eastAsia="宋体" w:cs="Arial"/>
          <w:snapToGrid w:val="0"/>
          <w:lang w:eastAsia="zh-CN"/>
        </w:rPr>
        <w:t>以确保药品性质在预期保质期内无退化。由该过程引发的设计输出将包括标注的组合产品到期日和储存条件及包装设计规格。</w:t>
      </w:r>
    </w:p>
    <w:p w14:paraId="3D61134B">
      <w:pPr>
        <w:pStyle w:val="5"/>
        <w:numPr>
          <w:ilvl w:val="2"/>
          <w:numId w:val="14"/>
        </w:numPr>
        <w:tabs>
          <w:tab w:val="left" w:pos="2280"/>
        </w:tabs>
        <w:topLinePunct/>
        <w:adjustRightInd w:val="0"/>
        <w:snapToGrid w:val="0"/>
        <w:spacing w:after="224" w:afterLines="75" w:line="288" w:lineRule="auto"/>
        <w:ind w:left="1441" w:leftChars="655" w:firstLine="0"/>
        <w:jc w:val="both"/>
        <w:rPr>
          <w:rFonts w:ascii="Arial" w:hAnsi="Arial" w:eastAsia="宋体" w:cs="Arial"/>
          <w:snapToGrid w:val="0"/>
        </w:rPr>
      </w:pPr>
      <w:r>
        <w:rPr>
          <w:rFonts w:hint="eastAsia" w:ascii="Arial" w:hAnsi="Arial" w:eastAsia="宋体" w:cs="Arial"/>
          <w:snapToGrid w:val="0"/>
          <w:u w:val="single" w:color="000000"/>
          <w:lang w:eastAsia="zh-CN"/>
        </w:rPr>
        <w:t>风险分析和减轻措施</w:t>
      </w:r>
    </w:p>
    <w:p w14:paraId="359B1B2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下表列出与药物涂层外科网片相关的一些潜在风险和可能减轻这些风险的措施。</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5130"/>
      </w:tblGrid>
      <w:tr w14:paraId="4A41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tcPr>
          <w:p w14:paraId="626D80B5">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风险</w:t>
            </w:r>
          </w:p>
        </w:tc>
        <w:tc>
          <w:tcPr>
            <w:tcW w:w="5130" w:type="dxa"/>
          </w:tcPr>
          <w:p w14:paraId="6055F8EE">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i/>
                <w:snapToGrid w:val="0"/>
                <w:sz w:val="21"/>
                <w:lang w:eastAsia="zh-CN"/>
              </w:rPr>
              <w:t>减轻措施</w:t>
            </w:r>
          </w:p>
        </w:tc>
      </w:tr>
      <w:tr w14:paraId="7BED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tcPr>
          <w:p w14:paraId="5B81A4B4">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涂层内药物浓度不足以治疗感染（例如由于网片表面药物涂层不充足或涂层不均匀），输送速度不适当</w:t>
            </w:r>
          </w:p>
        </w:tc>
        <w:tc>
          <w:tcPr>
            <w:tcW w:w="5130" w:type="dxa"/>
          </w:tcPr>
          <w:p w14:paraId="402EDED3">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组合产品临床测试，中间验收测试，制造工艺确认</w:t>
            </w:r>
          </w:p>
        </w:tc>
      </w:tr>
      <w:tr w14:paraId="1DF7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tcPr>
          <w:p w14:paraId="0A236A51">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使用或储存期间网片受腐蚀或药品降解</w:t>
            </w:r>
          </w:p>
        </w:tc>
        <w:tc>
          <w:tcPr>
            <w:tcW w:w="5130" w:type="dxa"/>
          </w:tcPr>
          <w:p w14:paraId="541A2BD0">
            <w:pPr>
              <w:pStyle w:val="25"/>
              <w:topLinePunct/>
              <w:adjustRightInd w:val="0"/>
              <w:snapToGrid w:val="0"/>
              <w:spacing w:before="44" w:beforeLines="15" w:line="276" w:lineRule="auto"/>
              <w:jc w:val="both"/>
              <w:rPr>
                <w:rFonts w:ascii="Arial" w:hAnsi="Arial" w:eastAsia="宋体" w:cs="Arial"/>
                <w:snapToGrid w:val="0"/>
                <w:sz w:val="21"/>
                <w:szCs w:val="24"/>
                <w:lang w:eastAsia="zh-CN"/>
              </w:rPr>
            </w:pPr>
            <w:r>
              <w:rPr>
                <w:rFonts w:hint="eastAsia" w:ascii="Arial" w:hAnsi="Arial" w:eastAsia="宋体" w:cs="Arial"/>
                <w:snapToGrid w:val="0"/>
                <w:sz w:val="21"/>
                <w:lang w:eastAsia="zh-CN"/>
              </w:rPr>
              <w:t>设计验证测试（试验台），临床测试，标签（使用说明书、到期日），对药品供应商的采购控制，规格和其它工艺控制</w:t>
            </w:r>
          </w:p>
        </w:tc>
      </w:tr>
    </w:tbl>
    <w:p w14:paraId="1C38CEB9">
      <w:pPr>
        <w:topLinePunct/>
        <w:adjustRightInd w:val="0"/>
        <w:snapToGrid w:val="0"/>
        <w:spacing w:after="224" w:afterLines="75" w:line="288" w:lineRule="auto"/>
        <w:jc w:val="both"/>
        <w:rPr>
          <w:rFonts w:ascii="Arial" w:hAnsi="Arial" w:eastAsia="宋体" w:cs="Arial"/>
          <w:snapToGrid w:val="0"/>
          <w:sz w:val="24"/>
          <w:szCs w:val="17"/>
          <w:lang w:eastAsia="zh-CN"/>
        </w:rPr>
      </w:pPr>
    </w:p>
    <w:p w14:paraId="70CE6C72">
      <w:pPr>
        <w:pStyle w:val="5"/>
        <w:numPr>
          <w:ilvl w:val="2"/>
          <w:numId w:val="14"/>
        </w:numPr>
        <w:tabs>
          <w:tab w:val="left" w:pos="2280"/>
        </w:tabs>
        <w:topLinePunct/>
        <w:adjustRightInd w:val="0"/>
        <w:snapToGrid w:val="0"/>
        <w:spacing w:after="224" w:afterLines="75" w:line="288" w:lineRule="auto"/>
        <w:ind w:left="1441" w:leftChars="655" w:firstLine="0"/>
        <w:jc w:val="both"/>
        <w:rPr>
          <w:rFonts w:ascii="Arial" w:hAnsi="Arial" w:eastAsia="宋体" w:cs="Arial"/>
          <w:snapToGrid w:val="0"/>
        </w:rPr>
      </w:pPr>
      <w:r>
        <w:rPr>
          <w:rFonts w:hint="eastAsia" w:ascii="Arial" w:hAnsi="Arial" w:eastAsia="宋体" w:cs="Arial"/>
          <w:snapToGrid w:val="0"/>
          <w:u w:val="single" w:color="000000"/>
          <w:lang w:eastAsia="zh-CN"/>
        </w:rPr>
        <w:t>设计历史文件</w:t>
      </w:r>
    </w:p>
    <w:p w14:paraId="6E9DDE7D">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药物涂层网片的DHF必须解决</w:t>
      </w:r>
      <w:r>
        <w:rPr>
          <w:rFonts w:ascii="Arial" w:hAnsi="Arial" w:eastAsia="宋体" w:cs="Arial"/>
          <w:snapToGrid w:val="0"/>
          <w:lang w:eastAsia="zh-CN"/>
        </w:rPr>
        <w:t>21 CFR 820.30</w:t>
      </w:r>
      <w:r>
        <w:rPr>
          <w:rFonts w:hint="eastAsia" w:ascii="Arial" w:hAnsi="Arial" w:eastAsia="宋体" w:cs="Arial"/>
          <w:snapToGrid w:val="0"/>
          <w:lang w:eastAsia="zh-CN"/>
        </w:rPr>
        <w:t>要求的所有设计控制活动（见上面</w:t>
      </w:r>
      <w:r>
        <w:rPr>
          <w:rFonts w:ascii="Arial" w:hAnsi="Arial" w:eastAsia="宋体" w:cs="Arial"/>
          <w:snapToGrid w:val="0"/>
          <w:lang w:eastAsia="zh-CN"/>
        </w:rPr>
        <w:t>IV.A.2</w:t>
      </w:r>
      <w:r>
        <w:rPr>
          <w:rFonts w:hint="eastAsia" w:ascii="Arial" w:hAnsi="Arial" w:eastAsia="宋体" w:cs="Arial"/>
          <w:snapToGrid w:val="0"/>
          <w:lang w:eastAsia="zh-CN"/>
        </w:rPr>
        <w:t>的总结）。设计控制活动中获得的信息将作为该组合产品上市前审核的一部分进行评估（例如药物剂型的适宜性和网片与药物的相容性）。相应地，DHF所含大部分信息将作为上市前审核过程的一部分提交。制造商A可选择以参见这类上市前文件的方式把这类信息并入DHF。无论制造商A选择哪种方法，必须确保所有要求的设计历史信息随时可供FDA审核。</w:t>
      </w:r>
    </w:p>
    <w:p w14:paraId="65B25123">
      <w:pPr>
        <w:pStyle w:val="5"/>
        <w:topLinePunct/>
        <w:adjustRightInd w:val="0"/>
        <w:snapToGrid w:val="0"/>
        <w:spacing w:after="224" w:afterLines="75" w:line="288" w:lineRule="auto"/>
        <w:ind w:left="0" w:firstLine="0"/>
        <w:jc w:val="both"/>
        <w:rPr>
          <w:rFonts w:ascii="Arial" w:hAnsi="Arial" w:eastAsia="宋体" w:cs="Arial"/>
          <w:snapToGrid w:val="0"/>
          <w:szCs w:val="20"/>
          <w:lang w:eastAsia="zh-CN"/>
        </w:rPr>
      </w:pPr>
      <w:r>
        <w:rPr>
          <w:rFonts w:ascii="Arial" w:hAnsi="Arial" w:eastAsia="宋体" w:cs="Arial"/>
          <w:snapToGrid w:val="0"/>
          <w:szCs w:val="20"/>
          <w:lang w:eastAsia="zh-CN"/>
        </w:rPr>
        <w:t xml:space="preserve"> </w:t>
      </w:r>
      <w:r>
        <w:rPr>
          <w:rFonts w:ascii="Arial" w:hAnsi="Arial" w:eastAsia="宋体" w:cs="Arial"/>
          <w:snapToGrid w:val="0"/>
          <w:szCs w:val="20"/>
          <w:lang w:eastAsia="zh-CN"/>
        </w:rPr>
        <w:br w:type="page"/>
      </w:r>
    </w:p>
    <w:p w14:paraId="4E02ED6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外科网片的</w:t>
      </w:r>
      <w:r>
        <w:rPr>
          <w:rFonts w:ascii="Arial" w:hAnsi="Arial" w:eastAsia="宋体" w:cs="Arial"/>
          <w:snapToGrid w:val="0"/>
          <w:lang w:eastAsia="zh-CN"/>
        </w:rPr>
        <w:t>DHF</w:t>
      </w:r>
      <w:r>
        <w:rPr>
          <w:rFonts w:hint="eastAsia" w:ascii="Arial" w:hAnsi="Arial" w:eastAsia="宋体" w:cs="Arial"/>
          <w:snapToGrid w:val="0"/>
          <w:lang w:eastAsia="zh-CN"/>
        </w:rPr>
        <w:t>必须包含组合产品的设计输入、输出、验证和确认数据，及设计审核结果。制定与药品组成部分相关的设计控制时，制造商A可依赖药品独立销售时的安全、功效、质量和原位剂量数据。这些支持药品获批的现有数据可作为组合产品</w:t>
      </w:r>
      <w:r>
        <w:rPr>
          <w:rFonts w:ascii="Arial" w:hAnsi="Arial" w:eastAsia="宋体" w:cs="Arial"/>
          <w:snapToGrid w:val="0"/>
          <w:lang w:eastAsia="zh-CN"/>
        </w:rPr>
        <w:t>DHF</w:t>
      </w:r>
      <w:r>
        <w:rPr>
          <w:rFonts w:hint="eastAsia" w:ascii="Arial" w:hAnsi="Arial" w:eastAsia="宋体" w:cs="Arial"/>
          <w:snapToGrid w:val="0"/>
          <w:lang w:eastAsia="zh-CN"/>
        </w:rPr>
        <w:t>的参考，帮助制定药品组成部分和整个组合产品设计输入，从而促进组合产品开发过程。</w:t>
      </w:r>
    </w:p>
    <w:p w14:paraId="2833BDAD">
      <w:pPr>
        <w:numPr>
          <w:ilvl w:val="1"/>
          <w:numId w:val="14"/>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bookmarkStart w:id="158" w:name="b)_21_CFR_820.50,_Purchasing_Controls"/>
      <w:bookmarkEnd w:id="158"/>
      <w:r>
        <w:rPr>
          <w:rFonts w:ascii="Arial" w:hAnsi="Arial" w:eastAsia="宋体" w:cs="Arial"/>
          <w:i/>
          <w:snapToGrid w:val="0"/>
          <w:sz w:val="24"/>
        </w:rPr>
        <w:t>21 CFR 820.50</w:t>
      </w:r>
      <w:r>
        <w:rPr>
          <w:rFonts w:hint="eastAsia" w:ascii="Arial" w:hAnsi="Arial" w:eastAsia="宋体" w:cs="Arial"/>
          <w:i/>
          <w:snapToGrid w:val="0"/>
          <w:sz w:val="24"/>
          <w:lang w:eastAsia="zh-CN"/>
        </w:rPr>
        <w:t>，采购控制</w:t>
      </w:r>
    </w:p>
    <w:p w14:paraId="5C313869">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制造商A已经依据</w:t>
      </w:r>
      <w:r>
        <w:rPr>
          <w:rFonts w:ascii="Arial" w:hAnsi="Arial" w:eastAsia="宋体" w:cs="Arial"/>
          <w:snapToGrid w:val="0"/>
          <w:lang w:eastAsia="zh-CN"/>
        </w:rPr>
        <w:t>21 CFR 820.50</w:t>
      </w:r>
      <w:r>
        <w:rPr>
          <w:rFonts w:hint="eastAsia" w:ascii="Arial" w:hAnsi="Arial" w:eastAsia="宋体" w:cs="Arial"/>
          <w:snapToGrid w:val="0"/>
          <w:lang w:eastAsia="zh-CN"/>
        </w:rPr>
        <w:t>建立控制采购／供应商活动的程序。根据该条款，制造商A必须确保建立并维持对制造商B的适当采购控制。特别地，基于与药品和供应商相关的风险，制造商A必须把制造商B作为潜在药品供应商进行评估并确定选定制造商B作为供应商后将对其执行的控制类型和程度。</w:t>
      </w:r>
      <w:r>
        <w:rPr>
          <w:rStyle w:val="17"/>
          <w:rFonts w:ascii="Arial" w:hAnsi="Arial" w:eastAsia="宋体" w:cs="Arial"/>
          <w:snapToGrid w:val="0"/>
          <w:lang w:eastAsia="zh-CN"/>
        </w:rPr>
        <w:footnoteReference w:id="131"/>
      </w:r>
    </w:p>
    <w:p w14:paraId="1A10902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关于药品组成部分的采购控制（</w:t>
      </w:r>
      <w:r>
        <w:rPr>
          <w:rFonts w:ascii="Arial" w:hAnsi="Arial" w:eastAsia="宋体" w:cs="Arial"/>
          <w:snapToGrid w:val="0"/>
          <w:lang w:eastAsia="zh-CN"/>
        </w:rPr>
        <w:t>21 CFR 211.84</w:t>
      </w:r>
      <w:r>
        <w:rPr>
          <w:rFonts w:hint="eastAsia" w:ascii="Arial" w:hAnsi="Arial" w:eastAsia="宋体" w:cs="Arial"/>
          <w:snapToGrid w:val="0"/>
          <w:lang w:eastAsia="zh-CN"/>
        </w:rPr>
        <w:t>中规定的验收活动）应重点确保制造商B提供的药品满足制造商A在设计控制过程中确定的规格。制造商A应与制造商B建立采购协议以确保制造商B执行变更前通知制造商A可能影响组合产品性能的任何变更。通知应说明药物规格、成分、药物涂层载体材料的成分，或药物制造工艺或机构的变更。可能要求制造商A对这类提议变更进行额外的设计验证和／或确认。例如，根据</w:t>
      </w:r>
      <w:r>
        <w:rPr>
          <w:rFonts w:ascii="Arial" w:hAnsi="Arial" w:eastAsia="宋体" w:cs="Arial"/>
          <w:snapToGrid w:val="0"/>
          <w:lang w:eastAsia="zh-CN"/>
        </w:rPr>
        <w:t>21CFR 820.30</w:t>
      </w:r>
      <w:r>
        <w:rPr>
          <w:rFonts w:hint="eastAsia" w:ascii="Arial" w:hAnsi="Arial" w:eastAsia="宋体" w:cs="Arial"/>
          <w:snapToGrid w:val="0"/>
          <w:lang w:eastAsia="zh-CN"/>
        </w:rPr>
        <w:t>（</w:t>
      </w:r>
      <w:r>
        <w:rPr>
          <w:rFonts w:ascii="Arial" w:hAnsi="Arial" w:eastAsia="宋体" w:cs="Arial"/>
          <w:snapToGrid w:val="0"/>
          <w:lang w:eastAsia="zh-CN"/>
        </w:rPr>
        <w:t>i</w:t>
      </w:r>
      <w:r>
        <w:rPr>
          <w:rFonts w:hint="eastAsia" w:ascii="Arial" w:hAnsi="Arial" w:eastAsia="宋体" w:cs="Arial"/>
          <w:snapToGrid w:val="0"/>
          <w:lang w:eastAsia="zh-CN"/>
        </w:rPr>
        <w:t>）的要求，可能有必要进行证实维持药品纯度和稳定性的验证测试。</w:t>
      </w:r>
    </w:p>
    <w:p w14:paraId="3E216D71">
      <w:pPr>
        <w:pStyle w:val="22"/>
        <w:numPr>
          <w:ilvl w:val="1"/>
          <w:numId w:val="1"/>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snapToGrid w:val="0"/>
          <w:sz w:val="24"/>
          <w:lang w:eastAsia="zh-CN"/>
        </w:rPr>
      </w:pPr>
      <w:bookmarkStart w:id="159" w:name="C._Drug_Eluting_Stent_(DES)"/>
      <w:bookmarkEnd w:id="159"/>
      <w:bookmarkStart w:id="160" w:name="_bookmark158"/>
      <w:bookmarkEnd w:id="160"/>
      <w:bookmarkStart w:id="161" w:name="_Toc498640480"/>
      <w:r>
        <w:rPr>
          <w:rFonts w:hint="eastAsia" w:ascii="Arial" w:hAnsi="Arial" w:eastAsia="宋体" w:cs="Arial"/>
          <w:snapToGrid w:val="0"/>
          <w:sz w:val="24"/>
          <w:lang w:eastAsia="zh-CN"/>
        </w:rPr>
        <w:t>药物洗脱支架（</w:t>
      </w:r>
      <w:r>
        <w:rPr>
          <w:rFonts w:ascii="Arial" w:hAnsi="Arial" w:eastAsia="宋体" w:cs="Arial"/>
          <w:snapToGrid w:val="0"/>
          <w:sz w:val="24"/>
          <w:lang w:eastAsia="zh-CN"/>
        </w:rPr>
        <w:t>DES</w:t>
      </w:r>
      <w:r>
        <w:rPr>
          <w:rFonts w:hint="eastAsia" w:ascii="Arial" w:hAnsi="Arial" w:eastAsia="宋体" w:cs="Arial"/>
          <w:snapToGrid w:val="0"/>
          <w:sz w:val="24"/>
          <w:lang w:eastAsia="zh-CN"/>
        </w:rPr>
        <w:t>）</w:t>
      </w:r>
      <w:bookmarkEnd w:id="161"/>
    </w:p>
    <w:p w14:paraId="62547AA3">
      <w:pPr>
        <w:pStyle w:val="23"/>
        <w:numPr>
          <w:ilvl w:val="0"/>
          <w:numId w:val="16"/>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rPr>
      </w:pPr>
      <w:bookmarkStart w:id="162" w:name="1._Scenario_Description"/>
      <w:bookmarkEnd w:id="162"/>
      <w:r>
        <w:rPr>
          <w:rFonts w:hint="eastAsia" w:ascii="Arial" w:hAnsi="Arial" w:eastAsia="宋体" w:cs="Arial"/>
          <w:snapToGrid w:val="0"/>
          <w:lang w:eastAsia="zh-CN"/>
        </w:rPr>
        <w:t>情景描述</w:t>
      </w:r>
    </w:p>
    <w:p w14:paraId="73B9BCF0">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本情景中制造商A是（由带有药物涂层的支架组成的）药物洗脱支架（</w:t>
      </w:r>
      <w:r>
        <w:rPr>
          <w:rFonts w:ascii="Arial" w:hAnsi="Arial" w:eastAsia="宋体" w:cs="Arial"/>
          <w:snapToGrid w:val="0"/>
          <w:lang w:eastAsia="zh-CN"/>
        </w:rPr>
        <w:t>DES</w:t>
      </w:r>
      <w:r>
        <w:rPr>
          <w:rFonts w:hint="eastAsia" w:ascii="Arial" w:hAnsi="Arial" w:eastAsia="宋体" w:cs="Arial"/>
          <w:snapToGrid w:val="0"/>
          <w:lang w:eastAsia="zh-CN"/>
        </w:rPr>
        <w:t>）的所有人。制造商B制造活性药物成分（</w:t>
      </w:r>
      <w:r>
        <w:rPr>
          <w:rFonts w:ascii="Arial" w:hAnsi="Arial" w:eastAsia="宋体" w:cs="Arial"/>
          <w:snapToGrid w:val="0"/>
          <w:lang w:eastAsia="zh-CN"/>
        </w:rPr>
        <w:t>API</w:t>
      </w:r>
      <w:r>
        <w:rPr>
          <w:rFonts w:hint="eastAsia" w:ascii="Arial" w:hAnsi="Arial" w:eastAsia="宋体" w:cs="Arial"/>
          <w:snapToGrid w:val="0"/>
          <w:lang w:eastAsia="zh-CN"/>
        </w:rPr>
        <w:t>或散装原料药），制造商C制造一种聚合物，该聚合物将与散装原料药结合形成支架涂层，制造商D制造用作产品初级包装的材料。制造商A分别从制造商B和制造商C采购散装原料药和聚合物，然后配制药物涂层溶液并在自己的机构内将其涂在支架上。在同一机构，制造商A用从制造商D购买的初级包装材料包装</w:t>
      </w:r>
      <w:r>
        <w:rPr>
          <w:rFonts w:ascii="Arial" w:hAnsi="Arial" w:eastAsia="宋体" w:cs="Arial"/>
          <w:snapToGrid w:val="0"/>
          <w:lang w:eastAsia="zh-CN"/>
        </w:rPr>
        <w:t>DES</w:t>
      </w:r>
      <w:r>
        <w:rPr>
          <w:rFonts w:hint="eastAsia" w:ascii="Arial" w:hAnsi="Arial" w:eastAsia="宋体" w:cs="Arial"/>
          <w:snapToGrid w:val="0"/>
          <w:lang w:eastAsia="zh-CN"/>
        </w:rPr>
        <w:t>。</w:t>
      </w:r>
    </w:p>
    <w:p w14:paraId="4F0E54BB">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217D4C6E">
      <w:pPr>
        <w:pStyle w:val="23"/>
        <w:numPr>
          <w:ilvl w:val="0"/>
          <w:numId w:val="16"/>
        </w:numPr>
        <w:tabs>
          <w:tab w:val="left" w:pos="1200"/>
        </w:tabs>
        <w:topLinePunct/>
        <w:adjustRightInd w:val="0"/>
        <w:snapToGrid w:val="0"/>
        <w:spacing w:after="224" w:afterLines="75" w:line="288" w:lineRule="auto"/>
        <w:ind w:left="719" w:leftChars="327" w:firstLine="0"/>
        <w:jc w:val="both"/>
        <w:outlineLvl w:val="9"/>
        <w:rPr>
          <w:rFonts w:ascii="Arial" w:hAnsi="Arial" w:eastAsia="宋体" w:cs="Arial"/>
          <w:b w:val="0"/>
          <w:bCs w:val="0"/>
          <w:i w:val="0"/>
          <w:snapToGrid w:val="0"/>
          <w:lang w:eastAsia="zh-CN"/>
        </w:rPr>
      </w:pPr>
      <w:bookmarkStart w:id="163" w:name="2._Compliance_with_drug_CGMP_requirement"/>
      <w:bookmarkEnd w:id="163"/>
      <w:r>
        <w:rPr>
          <w:rFonts w:hint="eastAsia" w:ascii="Arial" w:hAnsi="Arial" w:eastAsia="宋体" w:cs="Arial"/>
          <w:snapToGrid w:val="0"/>
          <w:lang w:eastAsia="zh-CN"/>
        </w:rPr>
        <w:t>遵守药品</w:t>
      </w:r>
      <w:r>
        <w:rPr>
          <w:rFonts w:ascii="Arial" w:hAnsi="Arial" w:eastAsia="宋体" w:cs="Arial"/>
          <w:snapToGrid w:val="0"/>
          <w:lang w:eastAsia="zh-CN"/>
        </w:rPr>
        <w:t>CGMP</w:t>
      </w:r>
      <w:r>
        <w:rPr>
          <w:rFonts w:hint="eastAsia" w:ascii="Arial" w:hAnsi="Arial" w:eastAsia="宋体" w:cs="Arial"/>
          <w:snapToGrid w:val="0"/>
          <w:lang w:eastAsia="zh-CN"/>
        </w:rPr>
        <w:t>要求</w:t>
      </w:r>
    </w:p>
    <w:p w14:paraId="3C0D6B1C">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w:t>
      </w:r>
      <w:r>
        <w:rPr>
          <w:rFonts w:ascii="Arial" w:hAnsi="Arial" w:eastAsia="宋体" w:cs="Arial"/>
          <w:snapToGrid w:val="0"/>
          <w:lang w:eastAsia="zh-CN"/>
        </w:rPr>
        <w:t>21 CFR 3.2</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）定义的，</w:t>
      </w:r>
      <w:r>
        <w:rPr>
          <w:rFonts w:ascii="Arial" w:hAnsi="Arial" w:eastAsia="宋体" w:cs="Arial"/>
          <w:snapToGrid w:val="0"/>
          <w:lang w:eastAsia="zh-CN"/>
        </w:rPr>
        <w:t>DES</w:t>
      </w:r>
      <w:r>
        <w:rPr>
          <w:rFonts w:hint="eastAsia" w:ascii="Arial" w:hAnsi="Arial" w:eastAsia="宋体" w:cs="Arial"/>
          <w:snapToGrid w:val="0"/>
          <w:lang w:eastAsia="zh-CN"/>
        </w:rPr>
        <w:t>是单一实体组合产品，因此同时受药品</w:t>
      </w:r>
      <w:r>
        <w:rPr>
          <w:rFonts w:ascii="Arial" w:hAnsi="Arial" w:eastAsia="宋体" w:cs="Arial"/>
          <w:snapToGrid w:val="0"/>
          <w:lang w:eastAsia="zh-CN"/>
        </w:rPr>
        <w:t>CGMPs</w:t>
      </w:r>
      <w:r>
        <w:rPr>
          <w:rFonts w:hint="eastAsia" w:ascii="Arial" w:hAnsi="Arial" w:eastAsia="宋体" w:cs="Arial"/>
          <w:snapToGrid w:val="0"/>
          <w:lang w:eastAsia="zh-CN"/>
        </w:rPr>
        <w:t>和器械QS规章的约束。作为一种器械制造商，制造商A已经有为遵守器械QS规章设计的</w:t>
      </w:r>
      <w:r>
        <w:rPr>
          <w:rFonts w:ascii="Arial" w:hAnsi="Arial" w:eastAsia="宋体" w:cs="Arial"/>
          <w:snapToGrid w:val="0"/>
          <w:lang w:eastAsia="zh-CN"/>
        </w:rPr>
        <w:t>CGMP</w:t>
      </w:r>
      <w:r>
        <w:rPr>
          <w:rFonts w:hint="eastAsia" w:ascii="Arial" w:hAnsi="Arial" w:eastAsia="宋体" w:cs="Arial"/>
          <w:snapToGrid w:val="0"/>
          <w:lang w:eastAsia="zh-CN"/>
        </w:rPr>
        <w:t>操作系统并根据</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）选择为DES建立基于器械QS规章的简化方法。尽管制造商A必须确保该操作系统遵守器械QS规章，但考虑到由包含药品组成部分引发的所有问题，本示例重点讨论遵守</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）中指定药品</w:t>
      </w:r>
      <w:r>
        <w:rPr>
          <w:rFonts w:ascii="Arial" w:hAnsi="Arial" w:eastAsia="宋体" w:cs="Arial"/>
          <w:snapToGrid w:val="0"/>
          <w:lang w:eastAsia="zh-CN"/>
        </w:rPr>
        <w:t>CGMP</w:t>
      </w:r>
      <w:r>
        <w:rPr>
          <w:rFonts w:hint="eastAsia" w:ascii="Arial" w:hAnsi="Arial" w:eastAsia="宋体" w:cs="Arial"/>
          <w:snapToGrid w:val="0"/>
          <w:lang w:eastAsia="zh-CN"/>
        </w:rPr>
        <w:t xml:space="preserve">条款的考虑。 </w:t>
      </w:r>
    </w:p>
    <w:p w14:paraId="5B762DD5">
      <w:pPr>
        <w:numPr>
          <w:ilvl w:val="1"/>
          <w:numId w:val="16"/>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lang w:eastAsia="zh-CN"/>
        </w:rPr>
      </w:pPr>
      <w:bookmarkStart w:id="164" w:name="a)_21_CFR_211.84,_Testing_and_approval_o"/>
      <w:bookmarkEnd w:id="164"/>
      <w:r>
        <w:rPr>
          <w:rFonts w:ascii="Arial" w:hAnsi="Arial" w:eastAsia="宋体" w:cs="Arial"/>
          <w:i/>
          <w:snapToGrid w:val="0"/>
          <w:sz w:val="24"/>
          <w:lang w:eastAsia="zh-CN"/>
        </w:rPr>
        <w:t>21 CFR 211.84</w:t>
      </w:r>
      <w:r>
        <w:rPr>
          <w:rFonts w:hint="eastAsia" w:ascii="Arial" w:hAnsi="Arial" w:eastAsia="宋体" w:cs="Arial"/>
          <w:i/>
          <w:snapToGrid w:val="0"/>
          <w:sz w:val="24"/>
          <w:lang w:eastAsia="zh-CN"/>
        </w:rPr>
        <w:t>，药品成分、产品容器和密封件的测试，和批准或否决</w:t>
      </w:r>
    </w:p>
    <w:p w14:paraId="573D4F8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制造商A有根据</w:t>
      </w:r>
      <w:r>
        <w:rPr>
          <w:rFonts w:ascii="Arial" w:hAnsi="Arial" w:eastAsia="宋体" w:cs="Arial"/>
          <w:snapToGrid w:val="0"/>
          <w:lang w:eastAsia="zh-CN"/>
        </w:rPr>
        <w:t>21 CFR 820.50</w:t>
      </w:r>
      <w:r>
        <w:rPr>
          <w:rFonts w:hint="eastAsia" w:ascii="Arial" w:hAnsi="Arial" w:eastAsia="宋体" w:cs="Arial"/>
          <w:snapToGrid w:val="0"/>
          <w:lang w:eastAsia="zh-CN"/>
        </w:rPr>
        <w:t>和</w:t>
      </w:r>
      <w:r>
        <w:rPr>
          <w:rFonts w:ascii="Arial" w:hAnsi="Arial" w:eastAsia="宋体" w:cs="Arial"/>
          <w:snapToGrid w:val="0"/>
          <w:lang w:eastAsia="zh-CN"/>
        </w:rPr>
        <w:t>21 CFR 820.80</w:t>
      </w:r>
      <w:r>
        <w:rPr>
          <w:rFonts w:hint="eastAsia" w:ascii="Arial" w:hAnsi="Arial" w:eastAsia="宋体" w:cs="Arial"/>
          <w:snapToGrid w:val="0"/>
          <w:lang w:eastAsia="zh-CN"/>
        </w:rPr>
        <w:t>设立的基于供应商、承包商和咨询顾问满足质量和其它指定要求的能力对他们进行评价的控制措施和控制来料的控制措施。根据</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），制造商A必须按需扩大其现有</w:t>
      </w:r>
      <w:r>
        <w:rPr>
          <w:rFonts w:ascii="Arial" w:hAnsi="Arial" w:eastAsia="宋体" w:cs="Arial"/>
          <w:snapToGrid w:val="0"/>
          <w:lang w:eastAsia="zh-CN"/>
        </w:rPr>
        <w:t>CGMP</w:t>
      </w:r>
      <w:r>
        <w:rPr>
          <w:rFonts w:hint="eastAsia" w:ascii="Arial" w:hAnsi="Arial" w:eastAsia="宋体" w:cs="Arial"/>
          <w:snapToGrid w:val="0"/>
          <w:lang w:eastAsia="zh-CN"/>
        </w:rPr>
        <w:t>操作系统以满足</w:t>
      </w:r>
      <w:r>
        <w:rPr>
          <w:rFonts w:ascii="Arial" w:hAnsi="Arial" w:eastAsia="宋体" w:cs="Arial"/>
          <w:snapToGrid w:val="0"/>
          <w:lang w:eastAsia="zh-CN"/>
        </w:rPr>
        <w:t>21 CFR 211.84</w:t>
      </w:r>
      <w:r>
        <w:rPr>
          <w:rFonts w:hint="eastAsia" w:ascii="Arial" w:hAnsi="Arial" w:eastAsia="宋体" w:cs="Arial"/>
          <w:snapToGrid w:val="0"/>
          <w:lang w:eastAsia="zh-CN"/>
        </w:rPr>
        <w:t>中适用于DES的要求。</w:t>
      </w:r>
    </w:p>
    <w:p w14:paraId="5D20E7C8">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820.50</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），制造商A对DES的采购控制必须包含对散装原料药供应商（制造商B）、涂层聚合物供应商（制造商C）和初级包装材料供应商（制造商D）的评价。此外，在其机构内的</w:t>
      </w:r>
      <w:r>
        <w:rPr>
          <w:rFonts w:ascii="Arial" w:hAnsi="Arial" w:eastAsia="宋体" w:cs="Arial"/>
          <w:snapToGrid w:val="0"/>
          <w:lang w:eastAsia="zh-CN"/>
        </w:rPr>
        <w:t>CGMP</w:t>
      </w:r>
      <w:r>
        <w:rPr>
          <w:rFonts w:hint="eastAsia" w:ascii="Arial" w:hAnsi="Arial" w:eastAsia="宋体" w:cs="Arial"/>
          <w:snapToGrid w:val="0"/>
          <w:lang w:eastAsia="zh-CN"/>
        </w:rPr>
        <w:t>操作系统内，制造商A有确定已制造产品验收状态的控制措施。</w:t>
      </w:r>
      <w:r>
        <w:rPr>
          <w:rFonts w:ascii="Arial" w:hAnsi="Arial" w:eastAsia="宋体" w:cs="Arial"/>
          <w:snapToGrid w:val="0"/>
          <w:lang w:eastAsia="zh-CN"/>
        </w:rPr>
        <w:t>21 CFR 211.84</w:t>
      </w:r>
      <w:r>
        <w:rPr>
          <w:rFonts w:hint="eastAsia" w:ascii="Arial" w:hAnsi="Arial" w:eastAsia="宋体" w:cs="Arial"/>
          <w:snapToGrid w:val="0"/>
          <w:lang w:eastAsia="zh-CN"/>
        </w:rPr>
        <w:t>规定的制造商A的责任与器械QS规章规定的各种义务和控制措施有关。</w:t>
      </w:r>
    </w:p>
    <w:p w14:paraId="27A4F4E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211.84</w:t>
      </w:r>
      <w:r>
        <w:rPr>
          <w:rFonts w:hint="eastAsia" w:ascii="Arial" w:hAnsi="Arial" w:eastAsia="宋体" w:cs="Arial"/>
          <w:snapToGrid w:val="0"/>
          <w:lang w:eastAsia="zh-CN"/>
        </w:rPr>
        <w:t>，制造商A必须对分别由制造商B、C和D供应的散装原料药、聚合物和初级包装材料进行抽样、测试或（酌情）检查，以确定是否应批准或否决它们的使用。应对初级包装材料进行目视检查以确保接收自制造商D的材料是正确的指定材料。必须测试每个批量的散装原料药和聚合物以验证其与纯度、质量和效价或含量书面规格的一致性。</w:t>
      </w:r>
      <w:r>
        <w:rPr>
          <w:rStyle w:val="17"/>
          <w:rFonts w:ascii="Arial" w:hAnsi="Arial" w:eastAsia="宋体" w:cs="Arial"/>
          <w:snapToGrid w:val="0"/>
          <w:lang w:eastAsia="zh-CN"/>
        </w:rPr>
        <w:footnoteReference w:id="132"/>
      </w:r>
      <w:r>
        <w:rPr>
          <w:rFonts w:hint="eastAsia" w:ascii="Arial" w:hAnsi="Arial" w:eastAsia="宋体" w:cs="Arial"/>
          <w:snapToGrid w:val="0"/>
          <w:lang w:eastAsia="zh-CN"/>
        </w:rPr>
        <w:t>由于无菌药物洗脱支架的性质和预期用途，测试必须包含对散装原料药和聚合物的微生物学测试。</w:t>
      </w:r>
    </w:p>
    <w:p w14:paraId="5777F8C5">
      <w:pPr>
        <w:topLinePunct/>
        <w:adjustRightInd w:val="0"/>
        <w:snapToGrid w:val="0"/>
        <w:spacing w:after="224" w:afterLines="75" w:line="288" w:lineRule="auto"/>
        <w:jc w:val="both"/>
        <w:rPr>
          <w:rFonts w:ascii="Arial" w:hAnsi="Arial" w:eastAsia="宋体" w:cs="Arial"/>
          <w:snapToGrid w:val="0"/>
          <w:sz w:val="24"/>
          <w:szCs w:val="20"/>
          <w:lang w:eastAsia="zh-CN"/>
        </w:rPr>
      </w:pPr>
      <w:r>
        <w:rPr>
          <w:rFonts w:ascii="Arial" w:hAnsi="Arial" w:eastAsia="宋体" w:cs="Arial"/>
          <w:snapToGrid w:val="0"/>
          <w:sz w:val="24"/>
          <w:szCs w:val="20"/>
          <w:lang w:eastAsia="zh-CN"/>
        </w:rPr>
        <w:br w:type="page"/>
      </w:r>
    </w:p>
    <w:p w14:paraId="19E27510">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在某些情况下，制造商A可依赖供应商的分析报告以代替实施某些测试。例如，如果制造商B恰好在把材料运输给制造商A之前对散装原料药实施了一致性测试（为确保材料满足适当的纯度、效价或含量和质量规格的测试），则制造商A可以接受分析报告，而不用亲自执行对这些特征的测试，但要符合以下条件。</w:t>
      </w:r>
      <w:r>
        <w:rPr>
          <w:rStyle w:val="17"/>
          <w:rFonts w:ascii="Arial" w:hAnsi="Arial" w:eastAsia="宋体" w:cs="Arial"/>
          <w:snapToGrid w:val="0"/>
          <w:lang w:eastAsia="zh-CN"/>
        </w:rPr>
        <w:footnoteReference w:id="133"/>
      </w:r>
    </w:p>
    <w:p w14:paraId="34A1230B">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制造商A仍负责在收到每个小批次的散装原料药后实施至少一次具体均一性测试，即使该批次伴有分析报告。</w:t>
      </w:r>
      <w:r>
        <w:rPr>
          <w:rStyle w:val="17"/>
          <w:rFonts w:ascii="Arial" w:hAnsi="Arial" w:eastAsia="宋体" w:cs="Arial"/>
          <w:snapToGrid w:val="0"/>
          <w:lang w:eastAsia="zh-CN"/>
        </w:rPr>
        <w:footnoteReference w:id="134"/>
      </w:r>
      <w:r>
        <w:rPr>
          <w:rFonts w:hint="eastAsia" w:ascii="Arial" w:hAnsi="Arial" w:eastAsia="宋体" w:cs="Arial"/>
          <w:snapToGrid w:val="0"/>
          <w:lang w:eastAsia="zh-CN"/>
        </w:rPr>
        <w:t>对分析报告的依赖也取决于制造商A通过在适当时间间隔对测试结果进行适当确认所建立的对供应商分析的信度。</w:t>
      </w:r>
      <w:r>
        <w:rPr>
          <w:rStyle w:val="17"/>
          <w:rFonts w:ascii="Arial" w:hAnsi="Arial" w:eastAsia="宋体" w:cs="Arial"/>
          <w:snapToGrid w:val="0"/>
          <w:lang w:eastAsia="zh-CN"/>
        </w:rPr>
        <w:footnoteReference w:id="135"/>
      </w:r>
      <w:r>
        <w:rPr>
          <w:rFonts w:hint="eastAsia" w:ascii="Arial" w:hAnsi="Arial" w:eastAsia="宋体" w:cs="Arial"/>
          <w:snapToGrid w:val="0"/>
          <w:lang w:eastAsia="zh-CN"/>
        </w:rPr>
        <w:t>可通过初始采购控制和随后在适当时间间隔实施控制对供应商做出评价。如果制造商C对其提供给制造商A的聚合物实施一致性测试，类似分析也适用。制造商A所进行的来料检查或测试和所有分析报告的接收必须发生在使用材料制造DES前。</w:t>
      </w:r>
    </w:p>
    <w:p w14:paraId="72F112E2">
      <w:pPr>
        <w:numPr>
          <w:ilvl w:val="1"/>
          <w:numId w:val="16"/>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bookmarkStart w:id="165" w:name="b)_21_CFR_211.103,_Calculation_of_yield"/>
      <w:bookmarkEnd w:id="165"/>
      <w:r>
        <w:rPr>
          <w:rFonts w:ascii="Arial" w:hAnsi="Arial" w:eastAsia="宋体" w:cs="Arial"/>
          <w:i/>
          <w:snapToGrid w:val="0"/>
          <w:sz w:val="24"/>
        </w:rPr>
        <w:t>21 CFR 211.103</w:t>
      </w:r>
      <w:r>
        <w:rPr>
          <w:rFonts w:hint="eastAsia" w:ascii="Arial" w:hAnsi="Arial" w:eastAsia="宋体" w:cs="Arial"/>
          <w:i/>
          <w:snapToGrid w:val="0"/>
          <w:sz w:val="24"/>
          <w:lang w:eastAsia="zh-CN"/>
        </w:rPr>
        <w:t>，产量计算</w:t>
      </w:r>
    </w:p>
    <w:p w14:paraId="7C6AF635">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应在给支架施加涂层之前或之后的制造过程中的所有适当步骤，包括配制涂层时，实施产量计算。</w:t>
      </w:r>
      <w:r>
        <w:rPr>
          <w:rStyle w:val="17"/>
          <w:rFonts w:ascii="Arial" w:hAnsi="Arial" w:eastAsia="宋体" w:cs="Arial"/>
          <w:snapToGrid w:val="0"/>
          <w:lang w:eastAsia="zh-CN"/>
        </w:rPr>
        <w:footnoteReference w:id="136"/>
      </w:r>
      <w:r>
        <w:rPr>
          <w:rFonts w:hint="eastAsia" w:ascii="Arial" w:hAnsi="Arial" w:eastAsia="宋体" w:cs="Arial"/>
          <w:snapToGrid w:val="0"/>
          <w:lang w:eastAsia="zh-CN"/>
        </w:rPr>
        <w:t>制造商A负责其机构内适当制造阶段的产量计算，包括给DES涂抹涂层和DES的包装阶段。产量计算所用公式和产生的数据应保留在制造商A的批量生产和控制记录中。</w:t>
      </w:r>
    </w:p>
    <w:p w14:paraId="7784A26C">
      <w:pPr>
        <w:numPr>
          <w:ilvl w:val="1"/>
          <w:numId w:val="16"/>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lang w:eastAsia="zh-CN"/>
        </w:rPr>
      </w:pPr>
      <w:bookmarkStart w:id="166" w:name="c)_21_CFR_211.132,_Tamper-evident_packag"/>
      <w:bookmarkEnd w:id="166"/>
      <w:r>
        <w:rPr>
          <w:rFonts w:ascii="Arial" w:hAnsi="Arial" w:eastAsia="宋体" w:cs="Arial"/>
          <w:i/>
          <w:snapToGrid w:val="0"/>
          <w:sz w:val="24"/>
          <w:lang w:eastAsia="zh-CN"/>
        </w:rPr>
        <w:t>21 CFR 211.132</w:t>
      </w:r>
      <w:r>
        <w:rPr>
          <w:rFonts w:hint="eastAsia" w:ascii="Arial" w:hAnsi="Arial" w:eastAsia="宋体" w:cs="Arial"/>
          <w:i/>
          <w:snapToGrid w:val="0"/>
          <w:sz w:val="24"/>
          <w:lang w:eastAsia="zh-CN"/>
        </w:rPr>
        <w:t>，人用非处方</w:t>
      </w:r>
      <w:r>
        <w:rPr>
          <w:rFonts w:ascii="Arial" w:hAnsi="Arial" w:eastAsia="宋体" w:cs="Arial"/>
          <w:i/>
          <w:snapToGrid w:val="0"/>
          <w:sz w:val="24"/>
          <w:lang w:eastAsia="zh-CN"/>
        </w:rPr>
        <w:t>（OTC）</w:t>
      </w:r>
      <w:r>
        <w:rPr>
          <w:rFonts w:hint="eastAsia" w:ascii="Arial" w:hAnsi="Arial" w:eastAsia="宋体" w:cs="Arial"/>
          <w:i/>
          <w:snapToGrid w:val="0"/>
          <w:sz w:val="24"/>
          <w:lang w:eastAsia="zh-CN"/>
        </w:rPr>
        <w:t>药的显窃启包装要求</w:t>
      </w:r>
    </w:p>
    <w:p w14:paraId="29A8C21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由于药物洗脱支架不是</w:t>
      </w:r>
      <w:r>
        <w:rPr>
          <w:rFonts w:ascii="Arial" w:hAnsi="Arial" w:eastAsia="宋体" w:cs="Arial"/>
          <w:snapToGrid w:val="0"/>
          <w:lang w:eastAsia="zh-CN"/>
        </w:rPr>
        <w:t>OTC</w:t>
      </w:r>
      <w:r>
        <w:rPr>
          <w:rFonts w:hint="eastAsia" w:ascii="Arial" w:hAnsi="Arial" w:eastAsia="宋体" w:cs="Arial"/>
          <w:snapToGrid w:val="0"/>
          <w:lang w:eastAsia="zh-CN"/>
        </w:rPr>
        <w:t>产品，因此该法规要求不适用。</w:t>
      </w:r>
    </w:p>
    <w:p w14:paraId="68334658">
      <w:pPr>
        <w:numPr>
          <w:ilvl w:val="1"/>
          <w:numId w:val="16"/>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bookmarkStart w:id="167" w:name="d)_21_CFR_211.137,_Expiration_dating"/>
      <w:bookmarkEnd w:id="167"/>
      <w:r>
        <w:rPr>
          <w:rFonts w:ascii="Arial" w:hAnsi="Arial" w:eastAsia="宋体" w:cs="Arial"/>
          <w:i/>
          <w:snapToGrid w:val="0"/>
          <w:sz w:val="24"/>
        </w:rPr>
        <w:t>21 CFR 211.137</w:t>
      </w:r>
      <w:r>
        <w:rPr>
          <w:rFonts w:hint="eastAsia" w:ascii="Arial" w:hAnsi="Arial" w:eastAsia="宋体" w:cs="Arial"/>
          <w:i/>
          <w:snapToGrid w:val="0"/>
          <w:sz w:val="24"/>
          <w:lang w:eastAsia="zh-CN"/>
        </w:rPr>
        <w:t>，到期日</w:t>
      </w:r>
    </w:p>
    <w:p w14:paraId="54284826">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作为组合产品制造商，制造商A负责确定成品组合产品标签上的到期日。必须基于来自成品包装</w:t>
      </w:r>
      <w:r>
        <w:rPr>
          <w:rFonts w:ascii="Arial" w:hAnsi="Arial" w:eastAsia="宋体" w:cs="Arial"/>
          <w:snapToGrid w:val="0"/>
          <w:lang w:eastAsia="zh-CN"/>
        </w:rPr>
        <w:t>DES</w:t>
      </w:r>
      <w:r>
        <w:rPr>
          <w:rFonts w:hint="eastAsia" w:ascii="Arial" w:hAnsi="Arial" w:eastAsia="宋体" w:cs="Arial"/>
          <w:snapToGrid w:val="0"/>
          <w:lang w:eastAsia="zh-CN"/>
        </w:rPr>
        <w:t>稳定性研究的数据确定到期日，且也应考虑设计控制中要求的其它保质期问题。这些问题包括支架和聚合物的功能性及涂层和包装的完整性。</w:t>
      </w:r>
      <w:r>
        <w:rPr>
          <w:rStyle w:val="17"/>
          <w:rFonts w:ascii="Arial" w:hAnsi="Arial" w:eastAsia="宋体" w:cs="Arial"/>
          <w:snapToGrid w:val="0"/>
          <w:lang w:eastAsia="zh-CN"/>
        </w:rPr>
        <w:footnoteReference w:id="137"/>
      </w:r>
    </w:p>
    <w:p w14:paraId="25708B17">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68" w:name="_bookmark161"/>
      <w:bookmarkEnd w:id="168"/>
      <w:bookmarkStart w:id="169" w:name="_bookmark162"/>
      <w:bookmarkEnd w:id="169"/>
      <w:r>
        <w:rPr>
          <w:rFonts w:ascii="Arial" w:hAnsi="Arial" w:eastAsia="宋体" w:cs="Arial"/>
          <w:snapToGrid w:val="0"/>
          <w:sz w:val="24"/>
          <w:szCs w:val="20"/>
          <w:lang w:eastAsia="zh-CN"/>
        </w:rPr>
        <w:br w:type="page"/>
      </w:r>
    </w:p>
    <w:p w14:paraId="12E1B7A7">
      <w:pPr>
        <w:numPr>
          <w:ilvl w:val="1"/>
          <w:numId w:val="16"/>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lang w:eastAsia="zh-CN"/>
        </w:rPr>
      </w:pPr>
      <w:bookmarkStart w:id="170" w:name="e)_21_CFR_211.165,_Testing_and_release_f"/>
      <w:bookmarkEnd w:id="170"/>
      <w:r>
        <w:rPr>
          <w:rFonts w:ascii="Arial" w:hAnsi="Arial" w:eastAsia="宋体" w:cs="Arial"/>
          <w:i/>
          <w:snapToGrid w:val="0"/>
          <w:sz w:val="24"/>
          <w:lang w:eastAsia="zh-CN"/>
        </w:rPr>
        <w:t>21 CFR 211.165</w:t>
      </w:r>
      <w:r>
        <w:rPr>
          <w:rFonts w:hint="eastAsia" w:ascii="Arial" w:hAnsi="Arial" w:eastAsia="宋体" w:cs="Arial"/>
          <w:i/>
          <w:snapToGrid w:val="0"/>
          <w:sz w:val="24"/>
          <w:lang w:eastAsia="zh-CN"/>
        </w:rPr>
        <w:t>，销售前的检验与发布</w:t>
      </w:r>
    </w:p>
    <w:p w14:paraId="52E542A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制造商A必须测试所有批次的成品组合产品以确定其与产品最终书面规格的一致性。</w:t>
      </w:r>
      <w:r>
        <w:rPr>
          <w:rStyle w:val="17"/>
          <w:rFonts w:ascii="Arial" w:hAnsi="Arial" w:eastAsia="宋体" w:cs="Arial"/>
          <w:snapToGrid w:val="0"/>
          <w:lang w:eastAsia="zh-CN"/>
        </w:rPr>
        <w:footnoteReference w:id="138"/>
      </w:r>
      <w:r>
        <w:rPr>
          <w:rFonts w:hint="eastAsia" w:ascii="Arial" w:hAnsi="Arial" w:eastAsia="宋体" w:cs="Arial"/>
          <w:snapToGrid w:val="0"/>
          <w:lang w:eastAsia="zh-CN"/>
        </w:rPr>
        <w:t>对DES实施的所有测试的详细列表和验收标准应并入制造、生产和实验室系统文件。应准备好所有分析实验的说明，并以文件形式记录在标准操作流程中。以下提供了药物洗脱支架的通用测试清单：</w:t>
      </w:r>
    </w:p>
    <w:p w14:paraId="454F264E">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lang w:eastAsia="zh-CN"/>
        </w:rPr>
        <w:t>外观</w:t>
      </w:r>
    </w:p>
    <w:p w14:paraId="7E0F1AA0">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lang w:eastAsia="zh-CN"/>
        </w:rPr>
        <w:t>鉴定</w:t>
      </w:r>
    </w:p>
    <w:p w14:paraId="325D4D59">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rPr>
        <w:t>含量测定</w:t>
      </w:r>
    </w:p>
    <w:p w14:paraId="4ED6080C">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rPr>
        <w:t>杂质和降解产品</w:t>
      </w:r>
    </w:p>
    <w:p w14:paraId="3CB8221D">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rPr>
        <w:t>含量均匀度</w:t>
      </w:r>
    </w:p>
    <w:p w14:paraId="5B76BE1D">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lang w:eastAsia="zh-CN"/>
        </w:rPr>
      </w:pPr>
      <w:r>
        <w:rPr>
          <w:rFonts w:hint="eastAsia" w:ascii="Arial" w:hAnsi="Arial" w:eastAsia="宋体" w:cs="Arial"/>
          <w:snapToGrid w:val="0"/>
          <w:lang w:eastAsia="zh-CN"/>
        </w:rPr>
        <w:t>药物释放速度（速释和／或缓释速度）</w:t>
      </w:r>
    </w:p>
    <w:p w14:paraId="40958AE6">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rPr>
        <w:t>包装完整性和无菌保证</w:t>
      </w:r>
    </w:p>
    <w:p w14:paraId="4598E96A">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rPr>
        <w:t>内毒素</w:t>
      </w:r>
    </w:p>
    <w:p w14:paraId="264F6B8B">
      <w:pPr>
        <w:pStyle w:val="5"/>
        <w:numPr>
          <w:ilvl w:val="0"/>
          <w:numId w:val="17"/>
        </w:numPr>
        <w:tabs>
          <w:tab w:val="left" w:pos="1120"/>
        </w:tabs>
        <w:topLinePunct/>
        <w:adjustRightInd w:val="0"/>
        <w:snapToGrid w:val="0"/>
        <w:spacing w:line="288" w:lineRule="auto"/>
        <w:ind w:left="1118" w:leftChars="326" w:hanging="401"/>
        <w:jc w:val="both"/>
        <w:rPr>
          <w:rFonts w:ascii="Arial" w:hAnsi="Arial" w:eastAsia="宋体" w:cs="Arial"/>
          <w:snapToGrid w:val="0"/>
        </w:rPr>
      </w:pPr>
      <w:r>
        <w:rPr>
          <w:rFonts w:hint="eastAsia" w:ascii="Arial" w:hAnsi="Arial" w:eastAsia="宋体" w:cs="Arial"/>
          <w:snapToGrid w:val="0"/>
        </w:rPr>
        <w:t>颗粒物</w:t>
      </w:r>
    </w:p>
    <w:p w14:paraId="3D21E03A">
      <w:pPr>
        <w:pStyle w:val="5"/>
        <w:numPr>
          <w:ilvl w:val="0"/>
          <w:numId w:val="17"/>
        </w:numPr>
        <w:tabs>
          <w:tab w:val="left" w:pos="1120"/>
        </w:tabs>
        <w:topLinePunct/>
        <w:adjustRightInd w:val="0"/>
        <w:snapToGrid w:val="0"/>
        <w:spacing w:after="224" w:afterLines="75" w:line="288" w:lineRule="auto"/>
        <w:ind w:left="1118" w:leftChars="326" w:hanging="401"/>
        <w:jc w:val="both"/>
        <w:rPr>
          <w:rFonts w:ascii="Arial" w:hAnsi="Arial" w:eastAsia="宋体" w:cs="Arial"/>
          <w:snapToGrid w:val="0"/>
          <w:lang w:eastAsia="zh-CN"/>
        </w:rPr>
      </w:pPr>
      <w:r>
        <w:rPr>
          <w:rFonts w:hint="eastAsia" w:ascii="Arial" w:hAnsi="Arial" w:eastAsia="宋体" w:cs="Arial"/>
          <w:snapToGrid w:val="0"/>
          <w:lang w:eastAsia="zh-CN"/>
        </w:rPr>
        <w:t>适用情况下的其它测试（包括聚合物分子量、残余单体、催化剂和其它添加剂测试）</w:t>
      </w:r>
    </w:p>
    <w:p w14:paraId="0B2AA992">
      <w:pPr>
        <w:numPr>
          <w:ilvl w:val="1"/>
          <w:numId w:val="16"/>
        </w:numPr>
        <w:tabs>
          <w:tab w:val="left" w:pos="1560"/>
        </w:tabs>
        <w:topLinePunct/>
        <w:adjustRightInd w:val="0"/>
        <w:snapToGrid w:val="0"/>
        <w:spacing w:after="224" w:afterLines="75" w:line="288" w:lineRule="auto"/>
        <w:ind w:left="717" w:leftChars="326" w:firstLine="0"/>
        <w:jc w:val="both"/>
        <w:rPr>
          <w:rFonts w:ascii="Arial" w:hAnsi="Arial" w:eastAsia="宋体" w:cs="Arial"/>
          <w:snapToGrid w:val="0"/>
          <w:sz w:val="24"/>
          <w:szCs w:val="24"/>
        </w:rPr>
      </w:pPr>
      <w:bookmarkStart w:id="171" w:name="f)_21_CFR_211.166,_Stability_testing"/>
      <w:bookmarkEnd w:id="171"/>
      <w:r>
        <w:rPr>
          <w:rFonts w:ascii="Arial" w:hAnsi="Arial" w:eastAsia="宋体" w:cs="Arial"/>
          <w:i/>
          <w:snapToGrid w:val="0"/>
          <w:sz w:val="24"/>
        </w:rPr>
        <w:t>21 CFR 211.166</w:t>
      </w:r>
      <w:r>
        <w:rPr>
          <w:rFonts w:hint="eastAsia" w:ascii="Arial" w:hAnsi="Arial" w:eastAsia="宋体" w:cs="Arial"/>
          <w:i/>
          <w:snapToGrid w:val="0"/>
          <w:sz w:val="24"/>
          <w:lang w:eastAsia="zh-CN"/>
        </w:rPr>
        <w:t>，稳定性测试</w:t>
      </w:r>
    </w:p>
    <w:p w14:paraId="6A3AE5F4">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最终DES产品的稳定性测试应解决以下问题：外观、含量测定／药品含量、杂质／降解产品、药物释放速度、颗粒物、无菌性和包装完整性。</w:t>
      </w:r>
      <w:r>
        <w:rPr>
          <w:rFonts w:ascii="Arial" w:hAnsi="Arial" w:eastAsia="宋体" w:cs="Arial"/>
          <w:snapToGrid w:val="0"/>
          <w:lang w:eastAsia="zh-CN"/>
        </w:rPr>
        <w:t>21 CFR 211.165</w:t>
      </w:r>
      <w:r>
        <w:rPr>
          <w:rFonts w:hint="eastAsia" w:ascii="Arial" w:hAnsi="Arial" w:eastAsia="宋体" w:cs="Arial"/>
          <w:snapToGrid w:val="0"/>
          <w:lang w:eastAsia="zh-CN"/>
        </w:rPr>
        <w:t>下的批号发放方法也可能适用于稳定性测试。应充分确认稳定性测试的分析性程序适宜证明稳定性。</w:t>
      </w:r>
      <w:r>
        <w:rPr>
          <w:rStyle w:val="17"/>
          <w:rFonts w:ascii="Arial" w:hAnsi="Arial" w:eastAsia="宋体" w:cs="Arial"/>
          <w:snapToGrid w:val="0"/>
          <w:lang w:eastAsia="zh-CN"/>
        </w:rPr>
        <w:footnoteReference w:id="139"/>
      </w:r>
    </w:p>
    <w:p w14:paraId="30EEE1A0">
      <w:pPr>
        <w:numPr>
          <w:ilvl w:val="1"/>
          <w:numId w:val="16"/>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lang w:eastAsia="zh-CN"/>
        </w:rPr>
      </w:pPr>
      <w:bookmarkStart w:id="172" w:name="g)_21_CFR_211.167,_Special_testing_requi"/>
      <w:bookmarkEnd w:id="172"/>
      <w:r>
        <w:rPr>
          <w:rFonts w:ascii="Arial" w:hAnsi="Arial" w:eastAsia="宋体" w:cs="Arial"/>
          <w:i/>
          <w:snapToGrid w:val="0"/>
          <w:sz w:val="24"/>
          <w:lang w:eastAsia="zh-CN"/>
        </w:rPr>
        <w:t>21 CFR 211.167</w:t>
      </w:r>
      <w:r>
        <w:rPr>
          <w:rFonts w:hint="eastAsia" w:ascii="Arial" w:hAnsi="Arial" w:eastAsia="宋体" w:cs="Arial"/>
          <w:i/>
          <w:snapToGrid w:val="0"/>
          <w:sz w:val="24"/>
          <w:lang w:eastAsia="zh-CN"/>
        </w:rPr>
        <w:t>，特殊检验要求</w:t>
      </w:r>
    </w:p>
    <w:p w14:paraId="5B65591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根据</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a</w:t>
      </w:r>
      <w:r>
        <w:rPr>
          <w:rFonts w:hint="eastAsia" w:ascii="Arial" w:hAnsi="Arial" w:eastAsia="宋体" w:cs="Arial"/>
          <w:snapToGrid w:val="0"/>
          <w:lang w:eastAsia="zh-CN"/>
        </w:rPr>
        <w:t>），由于这类产品（DES）声称无菌且无热原，因此制造商A必须实施或委托实施对DES的测试。此外，由于</w:t>
      </w:r>
      <w:r>
        <w:rPr>
          <w:rFonts w:ascii="Arial" w:hAnsi="Arial" w:eastAsia="宋体" w:cs="Arial"/>
          <w:snapToGrid w:val="0"/>
          <w:lang w:eastAsia="zh-CN"/>
        </w:rPr>
        <w:t>DES</w:t>
      </w:r>
      <w:r>
        <w:rPr>
          <w:rFonts w:hint="eastAsia" w:ascii="Arial" w:hAnsi="Arial" w:eastAsia="宋体" w:cs="Arial"/>
          <w:snapToGrid w:val="0"/>
          <w:lang w:eastAsia="zh-CN"/>
        </w:rPr>
        <w:t>构成控释剂型，因此必须实施</w:t>
      </w:r>
      <w:r>
        <w:rPr>
          <w:rFonts w:ascii="Arial" w:hAnsi="Arial" w:eastAsia="宋体" w:cs="Arial"/>
          <w:snapToGrid w:val="0"/>
          <w:lang w:eastAsia="zh-CN"/>
        </w:rPr>
        <w:t>21 CFR 211.167</w:t>
      </w:r>
      <w:r>
        <w:rPr>
          <w:rFonts w:hint="eastAsia" w:ascii="Arial" w:hAnsi="Arial" w:eastAsia="宋体" w:cs="Arial"/>
          <w:snapToGrid w:val="0"/>
          <w:lang w:eastAsia="zh-CN"/>
        </w:rPr>
        <w:t>（</w:t>
      </w:r>
      <w:r>
        <w:rPr>
          <w:rFonts w:ascii="Arial" w:hAnsi="Arial" w:eastAsia="宋体" w:cs="Arial"/>
          <w:snapToGrid w:val="0"/>
          <w:lang w:eastAsia="zh-CN"/>
        </w:rPr>
        <w:t>c</w:t>
      </w:r>
      <w:r>
        <w:rPr>
          <w:rFonts w:hint="eastAsia" w:ascii="Arial" w:hAnsi="Arial" w:eastAsia="宋体" w:cs="Arial"/>
          <w:snapToGrid w:val="0"/>
          <w:lang w:eastAsia="zh-CN"/>
        </w:rPr>
        <w:t>）中的测试。</w:t>
      </w:r>
    </w:p>
    <w:p w14:paraId="0E7D3167">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73" w:name="_bookmark166"/>
      <w:bookmarkEnd w:id="173"/>
      <w:bookmarkStart w:id="174" w:name="_bookmark165"/>
      <w:bookmarkEnd w:id="174"/>
      <w:bookmarkStart w:id="175" w:name="_bookmark167"/>
      <w:bookmarkEnd w:id="175"/>
      <w:r>
        <w:rPr>
          <w:rFonts w:ascii="Arial" w:hAnsi="Arial" w:eastAsia="宋体" w:cs="Arial"/>
          <w:snapToGrid w:val="0"/>
          <w:sz w:val="24"/>
          <w:szCs w:val="20"/>
          <w:lang w:eastAsia="zh-CN"/>
        </w:rPr>
        <w:br w:type="page"/>
      </w:r>
    </w:p>
    <w:p w14:paraId="4D920707">
      <w:pPr>
        <w:numPr>
          <w:ilvl w:val="1"/>
          <w:numId w:val="16"/>
        </w:numPr>
        <w:tabs>
          <w:tab w:val="left" w:pos="1560"/>
        </w:tabs>
        <w:topLinePunct/>
        <w:adjustRightInd w:val="0"/>
        <w:snapToGrid w:val="0"/>
        <w:spacing w:after="224" w:afterLines="75" w:line="288" w:lineRule="auto"/>
        <w:ind w:left="719" w:leftChars="327" w:firstLine="0"/>
        <w:jc w:val="both"/>
        <w:rPr>
          <w:rFonts w:ascii="Arial" w:hAnsi="Arial" w:eastAsia="宋体" w:cs="Arial"/>
          <w:snapToGrid w:val="0"/>
          <w:sz w:val="24"/>
          <w:szCs w:val="24"/>
        </w:rPr>
      </w:pPr>
      <w:bookmarkStart w:id="176" w:name="h)_21_CFR_211.170,_Reserve_samples"/>
      <w:bookmarkEnd w:id="176"/>
      <w:r>
        <w:rPr>
          <w:rFonts w:ascii="Arial" w:hAnsi="Arial" w:eastAsia="宋体" w:cs="Arial"/>
          <w:i/>
          <w:snapToGrid w:val="0"/>
          <w:sz w:val="24"/>
        </w:rPr>
        <w:t>21 CFR 211.17</w:t>
      </w:r>
      <w:r>
        <w:rPr>
          <w:rFonts w:hint="eastAsia" w:ascii="Arial" w:hAnsi="Arial" w:eastAsia="宋体" w:cs="Arial"/>
          <w:i/>
          <w:snapToGrid w:val="0"/>
          <w:sz w:val="24"/>
          <w:lang w:eastAsia="zh-CN"/>
        </w:rPr>
        <w:t>，保留样品</w:t>
      </w:r>
    </w:p>
    <w:p w14:paraId="228FDEBB">
      <w:pPr>
        <w:pStyle w:val="5"/>
        <w:topLinePunct/>
        <w:adjustRightInd w:val="0"/>
        <w:snapToGrid w:val="0"/>
        <w:spacing w:after="224" w:afterLines="75" w:line="288" w:lineRule="auto"/>
        <w:ind w:left="0" w:firstLine="0"/>
        <w:jc w:val="both"/>
        <w:rPr>
          <w:rFonts w:ascii="Arial" w:hAnsi="Arial" w:eastAsia="宋体" w:cs="Arial"/>
          <w:snapToGrid w:val="0"/>
          <w:szCs w:val="16"/>
          <w:lang w:eastAsia="zh-CN"/>
        </w:rPr>
      </w:pPr>
      <w:r>
        <w:rPr>
          <w:rFonts w:hint="eastAsia" w:ascii="Arial" w:hAnsi="Arial" w:eastAsia="宋体" w:cs="Arial"/>
          <w:snapToGrid w:val="0"/>
          <w:lang w:eastAsia="zh-CN"/>
        </w:rPr>
        <w:t>制造商A必须保存代表组合产品所用的各批量活性成分和各批量或批次已制成、包装好的DES的保留样品。</w:t>
      </w:r>
      <w:r>
        <w:rPr>
          <w:rStyle w:val="17"/>
          <w:rFonts w:ascii="Arial" w:hAnsi="Arial" w:eastAsia="宋体" w:cs="Arial"/>
          <w:snapToGrid w:val="0"/>
          <w:lang w:eastAsia="zh-CN"/>
        </w:rPr>
        <w:footnoteReference w:id="140"/>
      </w:r>
      <w:r>
        <w:rPr>
          <w:rFonts w:hint="eastAsia" w:ascii="Arial" w:hAnsi="Arial" w:eastAsia="宋体" w:cs="Arial"/>
          <w:snapToGrid w:val="0"/>
          <w:lang w:eastAsia="zh-CN"/>
        </w:rPr>
        <w:t>除用于无菌性和热原测试的样品外，剩余保留样品的数量必须至少为实施活性成分和成品DES所有要求测试所需数量的两倍。保留样品的保存时间必须符合</w:t>
      </w:r>
      <w:r>
        <w:rPr>
          <w:rFonts w:ascii="Arial" w:hAnsi="Arial" w:eastAsia="宋体" w:cs="Arial"/>
          <w:snapToGrid w:val="0"/>
          <w:lang w:eastAsia="zh-CN"/>
        </w:rPr>
        <w:t>21 CFR 211.170</w:t>
      </w:r>
      <w:r>
        <w:rPr>
          <w:rFonts w:hint="eastAsia" w:ascii="Arial" w:hAnsi="Arial" w:eastAsia="宋体" w:cs="Arial"/>
          <w:snapToGrid w:val="0"/>
          <w:lang w:eastAsia="zh-CN"/>
        </w:rPr>
        <w:t>的要求。</w:t>
      </w:r>
      <w:r>
        <w:rPr>
          <w:rStyle w:val="17"/>
          <w:rFonts w:ascii="Arial" w:hAnsi="Arial" w:eastAsia="宋体" w:cs="Arial"/>
          <w:snapToGrid w:val="0"/>
          <w:lang w:eastAsia="zh-CN"/>
        </w:rPr>
        <w:footnoteReference w:id="141"/>
      </w:r>
      <w:r>
        <w:rPr>
          <w:rFonts w:hint="eastAsia" w:ascii="Arial" w:hAnsi="Arial" w:eastAsia="宋体" w:cs="Arial"/>
          <w:snapToGrid w:val="0"/>
          <w:lang w:eastAsia="zh-CN"/>
        </w:rPr>
        <w:t>活性成分的样品必须保留至使用该批次活性成分的最后一批成品药物洗脱支架到期日后1年。</w:t>
      </w:r>
      <w:r>
        <w:rPr>
          <w:rStyle w:val="17"/>
          <w:rFonts w:ascii="Arial" w:hAnsi="Arial" w:eastAsia="宋体" w:cs="Arial"/>
          <w:snapToGrid w:val="0"/>
          <w:lang w:eastAsia="zh-CN"/>
        </w:rPr>
        <w:footnoteReference w:id="142"/>
      </w:r>
      <w:r>
        <w:rPr>
          <w:rFonts w:hint="eastAsia" w:ascii="Arial" w:hAnsi="Arial" w:eastAsia="宋体" w:cs="Arial"/>
          <w:snapToGrid w:val="0"/>
          <w:lang w:eastAsia="zh-CN"/>
        </w:rPr>
        <w:t>每个批量或批次成品</w:t>
      </w:r>
      <w:r>
        <w:rPr>
          <w:rFonts w:ascii="Arial" w:hAnsi="Arial" w:eastAsia="宋体" w:cs="Arial"/>
          <w:snapToGrid w:val="0"/>
          <w:lang w:eastAsia="zh-CN"/>
        </w:rPr>
        <w:t>DES</w:t>
      </w:r>
      <w:r>
        <w:rPr>
          <w:rFonts w:hint="eastAsia" w:ascii="Arial" w:hAnsi="Arial" w:eastAsia="宋体" w:cs="Arial"/>
          <w:snapToGrid w:val="0"/>
          <w:lang w:eastAsia="zh-CN"/>
        </w:rPr>
        <w:t>的样品必须保存至组合产品到期日后1年。</w:t>
      </w:r>
      <w:r>
        <w:rPr>
          <w:rStyle w:val="17"/>
          <w:rFonts w:ascii="Arial" w:hAnsi="Arial" w:eastAsia="宋体" w:cs="Arial"/>
          <w:snapToGrid w:val="0"/>
          <w:lang w:eastAsia="zh-CN"/>
        </w:rPr>
        <w:footnoteReference w:id="143"/>
      </w:r>
      <w:r>
        <w:rPr>
          <w:rFonts w:hint="eastAsia" w:ascii="Arial" w:hAnsi="Arial" w:eastAsia="宋体" w:cs="Arial"/>
          <w:snapToGrid w:val="0"/>
          <w:lang w:eastAsia="zh-CN"/>
        </w:rPr>
        <w:t>如果制造商A将保留样品保存在第三方储存机构，则制造商A应通过采购控制（</w:t>
      </w:r>
      <w:r>
        <w:rPr>
          <w:rFonts w:ascii="Arial" w:hAnsi="Arial" w:eastAsia="宋体" w:cs="Arial"/>
          <w:snapToGrid w:val="0"/>
          <w:lang w:eastAsia="zh-CN"/>
        </w:rPr>
        <w:t>21 CFR 820.50</w:t>
      </w:r>
      <w:r>
        <w:rPr>
          <w:rFonts w:hint="eastAsia" w:ascii="Arial" w:hAnsi="Arial" w:eastAsia="宋体" w:cs="Arial"/>
          <w:snapToGrid w:val="0"/>
          <w:lang w:eastAsia="zh-CN"/>
        </w:rPr>
        <w:t>）确保该机构能满足适用</w:t>
      </w:r>
      <w:r>
        <w:rPr>
          <w:rFonts w:ascii="Arial" w:hAnsi="Arial" w:eastAsia="宋体" w:cs="Arial"/>
          <w:snapToGrid w:val="0"/>
          <w:lang w:eastAsia="zh-CN"/>
        </w:rPr>
        <w:t>CGMP</w:t>
      </w:r>
      <w:r>
        <w:rPr>
          <w:rFonts w:hint="eastAsia" w:ascii="Arial" w:hAnsi="Arial" w:eastAsia="宋体" w:cs="Arial"/>
          <w:snapToGrid w:val="0"/>
          <w:lang w:eastAsia="zh-CN"/>
        </w:rPr>
        <w:t>要求。</w:t>
      </w:r>
      <w:r>
        <w:rPr>
          <w:rStyle w:val="17"/>
          <w:rFonts w:ascii="Arial" w:hAnsi="Arial" w:eastAsia="宋体" w:cs="Arial"/>
          <w:snapToGrid w:val="0"/>
          <w:lang w:eastAsia="zh-CN"/>
        </w:rPr>
        <w:footnoteReference w:id="144"/>
      </w:r>
    </w:p>
    <w:p w14:paraId="6A7DB408">
      <w:pPr>
        <w:pStyle w:val="21"/>
        <w:numPr>
          <w:ilvl w:val="0"/>
          <w:numId w:val="1"/>
        </w:numPr>
        <w:tabs>
          <w:tab w:val="left" w:pos="841"/>
        </w:tabs>
        <w:topLinePunct/>
        <w:adjustRightInd w:val="0"/>
        <w:snapToGrid w:val="0"/>
        <w:spacing w:after="224" w:afterLines="75" w:line="288" w:lineRule="auto"/>
        <w:ind w:left="0" w:firstLine="0"/>
        <w:jc w:val="both"/>
        <w:outlineLvl w:val="9"/>
        <w:rPr>
          <w:rFonts w:ascii="Arial" w:hAnsi="Arial" w:eastAsia="宋体" w:cs="Arial"/>
          <w:b w:val="0"/>
          <w:bCs w:val="0"/>
          <w:snapToGrid w:val="0"/>
          <w:sz w:val="28"/>
        </w:rPr>
      </w:pPr>
      <w:bookmarkStart w:id="177" w:name="_bookmark168"/>
      <w:bookmarkEnd w:id="177"/>
      <w:bookmarkStart w:id="178" w:name="VI._Contact_Us"/>
      <w:bookmarkEnd w:id="178"/>
      <w:bookmarkStart w:id="179" w:name="_Toc498640481"/>
      <w:r>
        <w:rPr>
          <w:rFonts w:hint="eastAsia" w:ascii="Arial" w:hAnsi="Arial" w:eastAsia="宋体" w:cs="Arial"/>
          <w:snapToGrid w:val="0"/>
          <w:sz w:val="28"/>
          <w:lang w:eastAsia="zh-CN"/>
        </w:rPr>
        <w:t>联系我们</w:t>
      </w:r>
      <w:bookmarkEnd w:id="179"/>
    </w:p>
    <w:p w14:paraId="6472F3E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如果读完本指南后有关于组合产品</w:t>
      </w:r>
      <w:r>
        <w:rPr>
          <w:rFonts w:ascii="Arial" w:hAnsi="Arial" w:eastAsia="宋体" w:cs="Arial"/>
          <w:snapToGrid w:val="0"/>
          <w:lang w:eastAsia="zh-CN"/>
        </w:rPr>
        <w:t>CGMP</w:t>
      </w:r>
      <w:r>
        <w:rPr>
          <w:rFonts w:hint="eastAsia" w:ascii="Arial" w:hAnsi="Arial" w:eastAsia="宋体" w:cs="Arial"/>
          <w:snapToGrid w:val="0"/>
          <w:lang w:eastAsia="zh-CN"/>
        </w:rPr>
        <w:t>要求合规和本文件引用材料的问题，我们鼓励您联系我们。我们建议您首先联系您产品的首要中心。然而，您也可以联系</w:t>
      </w:r>
      <w:r>
        <w:rPr>
          <w:rFonts w:ascii="Arial" w:hAnsi="Arial" w:eastAsia="宋体" w:cs="Arial"/>
          <w:snapToGrid w:val="0"/>
          <w:lang w:eastAsia="zh-CN"/>
        </w:rPr>
        <w:t>OCP</w:t>
      </w:r>
      <w:r>
        <w:rPr>
          <w:rFonts w:hint="eastAsia" w:ascii="Arial" w:hAnsi="Arial" w:eastAsia="宋体" w:cs="Arial"/>
          <w:snapToGrid w:val="0"/>
          <w:lang w:eastAsia="zh-CN"/>
        </w:rPr>
        <w:t>请求帮助。下面是各中心和</w:t>
      </w:r>
      <w:r>
        <w:rPr>
          <w:rFonts w:ascii="Arial" w:hAnsi="Arial" w:eastAsia="宋体" w:cs="Arial"/>
          <w:snapToGrid w:val="0"/>
          <w:lang w:eastAsia="zh-CN"/>
        </w:rPr>
        <w:t>OCP</w:t>
      </w:r>
      <w:r>
        <w:rPr>
          <w:rFonts w:hint="eastAsia" w:ascii="Arial" w:hAnsi="Arial" w:eastAsia="宋体" w:cs="Arial"/>
          <w:snapToGrid w:val="0"/>
          <w:lang w:eastAsia="zh-CN"/>
        </w:rPr>
        <w:t>的联络点。当请求关于组合产品问题的反馈时，您需要遵守产品首要中心的现有流程（例如，向</w:t>
      </w:r>
      <w:r>
        <w:rPr>
          <w:rFonts w:ascii="Arial" w:hAnsi="Arial" w:eastAsia="宋体" w:cs="Arial"/>
          <w:snapToGrid w:val="0"/>
          <w:lang w:eastAsia="zh-CN"/>
        </w:rPr>
        <w:t>CBER/CDER</w:t>
      </w:r>
      <w:r>
        <w:rPr>
          <w:rFonts w:hint="eastAsia" w:ascii="Arial" w:hAnsi="Arial" w:eastAsia="宋体" w:cs="Arial"/>
          <w:snapToGrid w:val="0"/>
          <w:lang w:eastAsia="zh-CN"/>
        </w:rPr>
        <w:t>提交会议请求，</w:t>
      </w:r>
      <w:r>
        <w:rPr>
          <w:rStyle w:val="17"/>
          <w:rFonts w:ascii="Arial" w:hAnsi="Arial" w:eastAsia="宋体" w:cs="Arial"/>
          <w:snapToGrid w:val="0"/>
          <w:lang w:eastAsia="zh-CN"/>
        </w:rPr>
        <w:footnoteReference w:id="145"/>
      </w:r>
      <w:r>
        <w:rPr>
          <w:rFonts w:hint="eastAsia" w:ascii="Arial" w:hAnsi="Arial" w:eastAsia="宋体" w:cs="Arial"/>
          <w:snapToGrid w:val="0"/>
          <w:lang w:eastAsia="zh-CN"/>
        </w:rPr>
        <w:t>给</w:t>
      </w:r>
      <w:r>
        <w:rPr>
          <w:rFonts w:ascii="Arial" w:hAnsi="Arial" w:eastAsia="宋体" w:cs="Arial"/>
          <w:snapToGrid w:val="0"/>
          <w:lang w:eastAsia="zh-CN"/>
        </w:rPr>
        <w:t>CDRH</w:t>
      </w:r>
      <w:r>
        <w:rPr>
          <w:rFonts w:hint="eastAsia" w:ascii="Arial" w:hAnsi="Arial" w:eastAsia="宋体" w:cs="Arial"/>
          <w:snapToGrid w:val="0"/>
          <w:lang w:eastAsia="zh-CN"/>
        </w:rPr>
        <w:t>的预提交资料</w:t>
      </w:r>
      <w:r>
        <w:rPr>
          <w:rStyle w:val="17"/>
          <w:rFonts w:ascii="Arial" w:hAnsi="Arial" w:eastAsia="宋体" w:cs="Arial"/>
          <w:snapToGrid w:val="0"/>
          <w:lang w:eastAsia="zh-CN"/>
        </w:rPr>
        <w:footnoteReference w:id="146"/>
      </w:r>
      <w:r>
        <w:rPr>
          <w:rFonts w:hint="eastAsia" w:ascii="Arial" w:hAnsi="Arial" w:eastAsia="宋体" w:cs="Arial"/>
          <w:snapToGrid w:val="0"/>
          <w:lang w:eastAsia="zh-CN"/>
        </w:rPr>
        <w:t>）。</w:t>
      </w:r>
    </w:p>
    <w:p w14:paraId="1F0ED69F">
      <w:pPr>
        <w:pStyle w:val="5"/>
        <w:topLinePunct/>
        <w:adjustRightInd w:val="0"/>
        <w:snapToGrid w:val="0"/>
        <w:spacing w:after="224" w:afterLines="75" w:line="288" w:lineRule="auto"/>
        <w:ind w:left="719" w:leftChars="327" w:firstLine="0"/>
        <w:jc w:val="both"/>
        <w:rPr>
          <w:rFonts w:ascii="Arial" w:hAnsi="Arial" w:eastAsia="宋体" w:cs="Arial"/>
          <w:snapToGrid w:val="0"/>
        </w:rPr>
      </w:pPr>
      <w:r>
        <w:rPr>
          <w:rFonts w:ascii="Arial" w:hAnsi="Arial" w:eastAsia="宋体" w:cs="Arial"/>
          <w:snapToGrid w:val="0"/>
        </w:rPr>
        <w:t>1. CBER</w:t>
      </w:r>
    </w:p>
    <w:p w14:paraId="5C2D22E0">
      <w:pPr>
        <w:pStyle w:val="5"/>
        <w:topLinePunct/>
        <w:adjustRightInd w:val="0"/>
        <w:snapToGrid w:val="0"/>
        <w:spacing w:line="288" w:lineRule="auto"/>
        <w:ind w:left="2552" w:leftChars="451" w:hanging="1560" w:hangingChars="650"/>
        <w:jc w:val="both"/>
        <w:rPr>
          <w:rFonts w:ascii="Arial" w:hAnsi="Arial" w:eastAsia="宋体" w:cs="Arial"/>
          <w:snapToGrid w:val="0"/>
          <w:lang w:eastAsia="zh-CN"/>
        </w:rPr>
      </w:pPr>
      <w:r>
        <w:rPr>
          <w:rFonts w:hint="eastAsia" w:ascii="Arial" w:hAnsi="Arial" w:eastAsia="宋体" w:cs="Arial"/>
          <w:snapToGrid w:val="0"/>
          <w:lang w:eastAsia="zh-CN"/>
        </w:rPr>
        <w:t>邮寄地址：</w:t>
      </w:r>
      <w:r>
        <w:rPr>
          <w:rFonts w:ascii="Arial" w:hAnsi="Arial" w:eastAsia="宋体" w:cs="Arial"/>
          <w:snapToGrid w:val="0"/>
        </w:rPr>
        <w:tab/>
      </w:r>
      <w:bookmarkStart w:id="180" w:name="OLE_LINK43"/>
      <w:bookmarkStart w:id="181" w:name="OLE_LINK42"/>
      <w:r>
        <w:rPr>
          <w:rFonts w:ascii="Arial" w:hAnsi="Arial" w:eastAsia="宋体" w:cs="Arial"/>
          <w:snapToGrid w:val="0"/>
        </w:rPr>
        <w:t xml:space="preserve">Office of Communication, </w:t>
      </w:r>
      <w:bookmarkStart w:id="182" w:name="OLE_LINK40"/>
      <w:bookmarkStart w:id="183" w:name="OLE_LINK41"/>
      <w:r>
        <w:rPr>
          <w:rFonts w:ascii="Arial" w:hAnsi="Arial" w:eastAsia="宋体" w:cs="Arial"/>
          <w:snapToGrid w:val="0"/>
        </w:rPr>
        <w:t>Outreach and Development</w:t>
      </w:r>
      <w:bookmarkEnd w:id="182"/>
      <w:bookmarkEnd w:id="183"/>
      <w:r>
        <w:rPr>
          <w:rFonts w:ascii="Arial" w:hAnsi="Arial" w:eastAsia="宋体" w:cs="Arial"/>
          <w:snapToGrid w:val="0"/>
        </w:rPr>
        <w:t xml:space="preserve"> </w:t>
      </w:r>
      <w:r>
        <w:rPr>
          <w:rFonts w:hint="eastAsia" w:ascii="Arial" w:hAnsi="Arial" w:eastAsia="宋体" w:cs="Arial"/>
          <w:snapToGrid w:val="0"/>
        </w:rPr>
        <w:t>（</w:t>
      </w:r>
      <w:r>
        <w:rPr>
          <w:rFonts w:ascii="Arial" w:hAnsi="Arial" w:eastAsia="宋体" w:cs="Arial"/>
          <w:snapToGrid w:val="0"/>
        </w:rPr>
        <w:t>OCOD</w:t>
      </w:r>
      <w:bookmarkEnd w:id="180"/>
      <w:bookmarkEnd w:id="181"/>
      <w:r>
        <w:rPr>
          <w:rFonts w:hint="eastAsia" w:ascii="Arial" w:hAnsi="Arial" w:eastAsia="宋体" w:cs="Arial"/>
          <w:snapToGrid w:val="0"/>
        </w:rPr>
        <w:t>）</w:t>
      </w:r>
    </w:p>
    <w:p w14:paraId="57F8C313">
      <w:pPr>
        <w:pStyle w:val="5"/>
        <w:topLinePunct/>
        <w:adjustRightInd w:val="0"/>
        <w:snapToGrid w:val="0"/>
        <w:spacing w:line="288" w:lineRule="auto"/>
        <w:ind w:left="2552" w:leftChars="451" w:hanging="1560" w:hangingChars="650"/>
        <w:jc w:val="both"/>
        <w:rPr>
          <w:rFonts w:ascii="Arial" w:hAnsi="Arial" w:eastAsia="宋体" w:cs="Arial"/>
          <w:snapToGrid w:val="0"/>
          <w:lang w:eastAsia="zh-CN"/>
        </w:rPr>
      </w:pPr>
      <w:r>
        <w:rPr>
          <w:rFonts w:ascii="Arial" w:hAnsi="Arial" w:eastAsia="宋体" w:cs="Arial"/>
          <w:snapToGrid w:val="0"/>
          <w:lang w:eastAsia="zh-CN"/>
        </w:rPr>
        <w:tab/>
      </w:r>
      <w:r>
        <w:rPr>
          <w:rFonts w:hint="eastAsia" w:ascii="Arial" w:hAnsi="Arial" w:eastAsia="宋体" w:cs="Arial"/>
          <w:snapToGrid w:val="0"/>
          <w:lang w:eastAsia="zh-CN"/>
        </w:rPr>
        <w:t>（通信、外联与发展办公室）</w:t>
      </w:r>
    </w:p>
    <w:p w14:paraId="78E51355">
      <w:pPr>
        <w:pStyle w:val="5"/>
        <w:topLinePunct/>
        <w:adjustRightInd w:val="0"/>
        <w:snapToGrid w:val="0"/>
        <w:spacing w:line="288" w:lineRule="auto"/>
        <w:ind w:left="2552" w:leftChars="451" w:hanging="1560" w:hangingChars="650"/>
        <w:jc w:val="both"/>
        <w:rPr>
          <w:rFonts w:ascii="Arial" w:hAnsi="Arial" w:eastAsia="宋体" w:cs="Arial"/>
          <w:snapToGrid w:val="0"/>
        </w:rPr>
      </w:pPr>
      <w:r>
        <w:rPr>
          <w:rFonts w:hint="eastAsia" w:ascii="Arial" w:hAnsi="Arial" w:eastAsia="宋体" w:cs="Arial"/>
          <w:snapToGrid w:val="0"/>
          <w:lang w:eastAsia="zh-CN"/>
        </w:rPr>
        <w:tab/>
      </w:r>
      <w:r>
        <w:rPr>
          <w:rFonts w:ascii="Arial" w:hAnsi="Arial" w:eastAsia="宋体" w:cs="Arial"/>
          <w:snapToGrid w:val="0"/>
        </w:rPr>
        <w:t>10903 New Hampshire Avenue</w:t>
      </w:r>
    </w:p>
    <w:p w14:paraId="3A7B7DE4">
      <w:pPr>
        <w:pStyle w:val="5"/>
        <w:topLinePunct/>
        <w:adjustRightInd w:val="0"/>
        <w:snapToGrid w:val="0"/>
        <w:spacing w:line="288" w:lineRule="auto"/>
        <w:ind w:left="2552" w:leftChars="451" w:hanging="1560" w:hangingChars="650"/>
        <w:jc w:val="both"/>
        <w:rPr>
          <w:rFonts w:ascii="Arial" w:hAnsi="Arial" w:eastAsia="宋体" w:cs="Arial"/>
          <w:snapToGrid w:val="0"/>
        </w:rPr>
      </w:pPr>
      <w:r>
        <w:rPr>
          <w:rFonts w:hint="eastAsia" w:ascii="Arial" w:hAnsi="Arial" w:eastAsia="宋体" w:cs="Arial"/>
          <w:snapToGrid w:val="0"/>
          <w:lang w:eastAsia="zh-CN"/>
        </w:rPr>
        <w:tab/>
      </w:r>
      <w:r>
        <w:rPr>
          <w:rFonts w:ascii="Arial" w:hAnsi="Arial" w:eastAsia="宋体" w:cs="Arial"/>
          <w:snapToGrid w:val="0"/>
        </w:rPr>
        <w:t>Building 71, Room 3128 Silver Spring, MD 20993</w:t>
      </w:r>
    </w:p>
    <w:p w14:paraId="51C6214A">
      <w:pPr>
        <w:pStyle w:val="5"/>
        <w:topLinePunct/>
        <w:adjustRightInd w:val="0"/>
        <w:snapToGrid w:val="0"/>
        <w:spacing w:line="288" w:lineRule="auto"/>
        <w:ind w:left="2552" w:leftChars="451" w:hanging="1560" w:hangingChars="650"/>
        <w:jc w:val="both"/>
        <w:rPr>
          <w:rFonts w:ascii="Arial" w:hAnsi="Arial" w:eastAsia="宋体" w:cs="Arial"/>
          <w:snapToGrid w:val="0"/>
        </w:rPr>
      </w:pPr>
      <w:r>
        <w:rPr>
          <w:rFonts w:hint="eastAsia" w:ascii="Arial" w:hAnsi="Arial" w:eastAsia="宋体" w:cs="Arial"/>
          <w:snapToGrid w:val="0"/>
          <w:lang w:eastAsia="zh-CN"/>
        </w:rPr>
        <w:t>电话：</w:t>
      </w:r>
      <w:r>
        <w:rPr>
          <w:rFonts w:ascii="Arial" w:hAnsi="Arial" w:eastAsia="宋体" w:cs="Arial"/>
          <w:snapToGrid w:val="0"/>
        </w:rPr>
        <w:tab/>
      </w:r>
      <w:r>
        <w:rPr>
          <w:rFonts w:ascii="Arial" w:hAnsi="Arial" w:eastAsia="宋体" w:cs="Arial"/>
          <w:snapToGrid w:val="0"/>
        </w:rPr>
        <w:t>1-800-835-4709 or 240-402-8010</w:t>
      </w:r>
    </w:p>
    <w:p w14:paraId="7ED3F026">
      <w:pPr>
        <w:pStyle w:val="5"/>
        <w:topLinePunct/>
        <w:adjustRightInd w:val="0"/>
        <w:snapToGrid w:val="0"/>
        <w:spacing w:line="288" w:lineRule="auto"/>
        <w:ind w:left="2552" w:leftChars="451" w:hanging="1560" w:hangingChars="650"/>
        <w:jc w:val="both"/>
        <w:rPr>
          <w:rFonts w:ascii="Arial" w:hAnsi="Arial" w:eastAsia="宋体" w:cs="Arial"/>
          <w:snapToGrid w:val="0"/>
        </w:rPr>
      </w:pPr>
      <w:r>
        <w:rPr>
          <w:rFonts w:hint="eastAsia" w:ascii="Arial" w:hAnsi="Arial" w:eastAsia="宋体" w:cs="Arial"/>
          <w:snapToGrid w:val="0"/>
          <w:lang w:eastAsia="zh-CN"/>
        </w:rPr>
        <w:t>邮箱：</w:t>
      </w:r>
      <w:r>
        <w:rPr>
          <w:rFonts w:ascii="Arial" w:hAnsi="Arial" w:eastAsia="宋体" w:cs="Arial"/>
          <w:snapToGrid w:val="0"/>
        </w:rPr>
        <w:tab/>
      </w:r>
      <w:r>
        <w:fldChar w:fldCharType="begin"/>
      </w:r>
      <w:r>
        <w:instrText xml:space="preserve"> HYPERLINK "mailto:ocod@fda.hhs.gov" \h </w:instrText>
      </w:r>
      <w:r>
        <w:fldChar w:fldCharType="separate"/>
      </w:r>
      <w:r>
        <w:rPr>
          <w:rFonts w:ascii="Arial" w:hAnsi="Arial" w:eastAsia="宋体" w:cs="Arial"/>
          <w:snapToGrid w:val="0"/>
          <w:color w:val="0000FF"/>
          <w:u w:val="single" w:color="0000FF"/>
        </w:rPr>
        <w:t>ocod@fda.hhs.gov</w:t>
      </w:r>
      <w:r>
        <w:rPr>
          <w:rFonts w:ascii="Arial" w:hAnsi="Arial" w:eastAsia="宋体" w:cs="Arial"/>
          <w:snapToGrid w:val="0"/>
          <w:color w:val="0000FF"/>
          <w:u w:val="single" w:color="0000FF"/>
        </w:rPr>
        <w:fldChar w:fldCharType="end"/>
      </w:r>
    </w:p>
    <w:p w14:paraId="23E33DF1">
      <w:pPr>
        <w:topLinePunct/>
        <w:adjustRightInd w:val="0"/>
        <w:snapToGrid w:val="0"/>
        <w:spacing w:after="224" w:afterLines="75" w:line="288" w:lineRule="auto"/>
        <w:jc w:val="both"/>
        <w:rPr>
          <w:rFonts w:ascii="Arial" w:hAnsi="Arial" w:eastAsia="宋体" w:cs="Arial"/>
          <w:snapToGrid w:val="0"/>
          <w:sz w:val="24"/>
          <w:szCs w:val="20"/>
          <w:lang w:eastAsia="zh-CN"/>
        </w:rPr>
      </w:pPr>
      <w:bookmarkStart w:id="184" w:name="_bookmark169"/>
      <w:bookmarkEnd w:id="184"/>
      <w:r>
        <w:rPr>
          <w:rFonts w:ascii="Arial" w:hAnsi="Arial" w:eastAsia="宋体" w:cs="Arial"/>
          <w:snapToGrid w:val="0"/>
          <w:sz w:val="24"/>
          <w:szCs w:val="20"/>
          <w:lang w:eastAsia="zh-CN"/>
        </w:rPr>
        <w:br w:type="page"/>
      </w:r>
    </w:p>
    <w:tbl>
      <w:tblPr>
        <w:tblStyle w:val="18"/>
        <w:tblW w:w="4764" w:type="pct"/>
        <w:tblInd w:w="426" w:type="dxa"/>
        <w:tblLayout w:type="autofit"/>
        <w:tblCellMar>
          <w:top w:w="0" w:type="dxa"/>
          <w:left w:w="0" w:type="dxa"/>
          <w:bottom w:w="0" w:type="dxa"/>
          <w:right w:w="0" w:type="dxa"/>
        </w:tblCellMar>
      </w:tblPr>
      <w:tblGrid>
        <w:gridCol w:w="424"/>
        <w:gridCol w:w="1416"/>
        <w:gridCol w:w="6760"/>
      </w:tblGrid>
      <w:tr w14:paraId="645E2E97">
        <w:tblPrEx>
          <w:tblCellMar>
            <w:top w:w="0" w:type="dxa"/>
            <w:left w:w="0" w:type="dxa"/>
            <w:bottom w:w="0" w:type="dxa"/>
            <w:right w:w="0" w:type="dxa"/>
          </w:tblCellMar>
        </w:tblPrEx>
        <w:tc>
          <w:tcPr>
            <w:tcW w:w="247" w:type="pct"/>
            <w:tcBorders>
              <w:top w:val="nil"/>
              <w:left w:val="nil"/>
              <w:bottom w:val="nil"/>
              <w:right w:val="nil"/>
            </w:tcBorders>
          </w:tcPr>
          <w:p w14:paraId="5A009B28">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2.</w:t>
            </w:r>
          </w:p>
        </w:tc>
        <w:tc>
          <w:tcPr>
            <w:tcW w:w="823" w:type="pct"/>
            <w:tcBorders>
              <w:top w:val="nil"/>
              <w:left w:val="nil"/>
              <w:bottom w:val="nil"/>
              <w:right w:val="nil"/>
            </w:tcBorders>
          </w:tcPr>
          <w:p w14:paraId="70EE2476">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CDER</w:t>
            </w:r>
          </w:p>
          <w:p w14:paraId="364C2A4A">
            <w:pPr>
              <w:pStyle w:val="25"/>
              <w:topLinePunct/>
              <w:adjustRightInd w:val="0"/>
              <w:snapToGrid w:val="0"/>
              <w:spacing w:before="44" w:beforeLines="15" w:line="300" w:lineRule="auto"/>
              <w:jc w:val="both"/>
              <w:rPr>
                <w:rFonts w:ascii="Arial" w:hAnsi="Arial" w:eastAsia="宋体" w:cs="Arial"/>
                <w:snapToGrid w:val="0"/>
                <w:sz w:val="24"/>
                <w:szCs w:val="24"/>
              </w:rPr>
            </w:pPr>
            <w:r>
              <w:rPr>
                <w:rFonts w:hint="eastAsia" w:ascii="Arial" w:hAnsi="Arial" w:eastAsia="宋体" w:cs="Arial"/>
                <w:snapToGrid w:val="0"/>
                <w:sz w:val="24"/>
                <w:szCs w:val="18"/>
                <w:lang w:eastAsia="zh-CN"/>
              </w:rPr>
              <w:t>邮寄地址：</w:t>
            </w:r>
          </w:p>
        </w:tc>
        <w:tc>
          <w:tcPr>
            <w:tcW w:w="3930" w:type="pct"/>
            <w:tcBorders>
              <w:top w:val="nil"/>
              <w:left w:val="nil"/>
              <w:bottom w:val="nil"/>
              <w:right w:val="nil"/>
            </w:tcBorders>
          </w:tcPr>
          <w:p w14:paraId="126D652A">
            <w:pPr>
              <w:pStyle w:val="25"/>
              <w:topLinePunct/>
              <w:adjustRightInd w:val="0"/>
              <w:snapToGrid w:val="0"/>
              <w:spacing w:before="44" w:beforeLines="15" w:line="300" w:lineRule="auto"/>
              <w:jc w:val="both"/>
              <w:rPr>
                <w:rFonts w:ascii="Arial" w:hAnsi="Arial" w:eastAsia="宋体" w:cs="Arial"/>
                <w:snapToGrid w:val="0"/>
                <w:sz w:val="24"/>
                <w:szCs w:val="24"/>
              </w:rPr>
            </w:pPr>
          </w:p>
          <w:p w14:paraId="5165274F">
            <w:pPr>
              <w:pStyle w:val="25"/>
              <w:topLinePunct/>
              <w:adjustRightInd w:val="0"/>
              <w:snapToGrid w:val="0"/>
              <w:spacing w:before="44" w:beforeLines="15" w:line="300" w:lineRule="auto"/>
              <w:jc w:val="both"/>
              <w:rPr>
                <w:rFonts w:ascii="Arial" w:hAnsi="Arial" w:eastAsia="宋体" w:cs="Arial"/>
                <w:snapToGrid w:val="0"/>
                <w:sz w:val="24"/>
                <w:lang w:eastAsia="zh-CN"/>
              </w:rPr>
            </w:pPr>
            <w:bookmarkStart w:id="185" w:name="OLE_LINK44"/>
            <w:bookmarkStart w:id="186" w:name="OLE_LINK45"/>
            <w:r>
              <w:rPr>
                <w:rFonts w:ascii="Arial" w:hAnsi="Arial" w:eastAsia="宋体" w:cs="Arial"/>
                <w:snapToGrid w:val="0"/>
                <w:sz w:val="24"/>
              </w:rPr>
              <w:t>Division of Drug Information</w:t>
            </w:r>
            <w:bookmarkEnd w:id="185"/>
            <w:bookmarkEnd w:id="186"/>
            <w:r>
              <w:rPr>
                <w:rFonts w:ascii="Arial" w:hAnsi="Arial" w:eastAsia="宋体" w:cs="Arial"/>
                <w:snapToGrid w:val="0"/>
                <w:sz w:val="24"/>
              </w:rPr>
              <w:t xml:space="preserve"> （DDI）</w:t>
            </w:r>
            <w:r>
              <w:rPr>
                <w:rFonts w:hint="eastAsia" w:ascii="Arial" w:hAnsi="Arial" w:eastAsia="宋体" w:cs="Arial"/>
                <w:snapToGrid w:val="0"/>
                <w:sz w:val="24"/>
                <w:lang w:eastAsia="zh-CN"/>
              </w:rPr>
              <w:t>（</w:t>
            </w:r>
            <w:r>
              <w:rPr>
                <w:rFonts w:hint="eastAsia" w:ascii="Arial" w:hAnsi="Arial" w:eastAsia="宋体" w:cs="Arial"/>
                <w:snapToGrid w:val="0"/>
                <w:sz w:val="24"/>
                <w:szCs w:val="18"/>
                <w:lang w:eastAsia="zh-CN"/>
              </w:rPr>
              <w:t>药品信息分部</w:t>
            </w:r>
            <w:r>
              <w:rPr>
                <w:rFonts w:hint="eastAsia" w:ascii="Arial" w:hAnsi="Arial" w:eastAsia="宋体" w:cs="Arial"/>
                <w:snapToGrid w:val="0"/>
                <w:sz w:val="24"/>
                <w:lang w:eastAsia="zh-CN"/>
              </w:rPr>
              <w:t>）</w:t>
            </w:r>
          </w:p>
        </w:tc>
      </w:tr>
      <w:tr w14:paraId="7093B572">
        <w:tblPrEx>
          <w:tblCellMar>
            <w:top w:w="0" w:type="dxa"/>
            <w:left w:w="0" w:type="dxa"/>
            <w:bottom w:w="0" w:type="dxa"/>
            <w:right w:w="0" w:type="dxa"/>
          </w:tblCellMar>
        </w:tblPrEx>
        <w:tc>
          <w:tcPr>
            <w:tcW w:w="247" w:type="pct"/>
            <w:tcBorders>
              <w:top w:val="nil"/>
              <w:left w:val="nil"/>
              <w:bottom w:val="nil"/>
              <w:right w:val="nil"/>
            </w:tcBorders>
          </w:tcPr>
          <w:p w14:paraId="62C9208B">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5DE10F9D">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17A1112F">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Hillandale Building</w:t>
            </w:r>
          </w:p>
        </w:tc>
      </w:tr>
      <w:tr w14:paraId="60D1DF71">
        <w:tblPrEx>
          <w:tblCellMar>
            <w:top w:w="0" w:type="dxa"/>
            <w:left w:w="0" w:type="dxa"/>
            <w:bottom w:w="0" w:type="dxa"/>
            <w:right w:w="0" w:type="dxa"/>
          </w:tblCellMar>
        </w:tblPrEx>
        <w:tc>
          <w:tcPr>
            <w:tcW w:w="247" w:type="pct"/>
            <w:tcBorders>
              <w:top w:val="nil"/>
              <w:left w:val="nil"/>
              <w:bottom w:val="nil"/>
              <w:right w:val="nil"/>
            </w:tcBorders>
          </w:tcPr>
          <w:p w14:paraId="5AED7E79">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4CD122D7">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12718974">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10001 New Hampshire Avenue</w:t>
            </w:r>
          </w:p>
        </w:tc>
      </w:tr>
      <w:tr w14:paraId="07473017">
        <w:tblPrEx>
          <w:tblCellMar>
            <w:top w:w="0" w:type="dxa"/>
            <w:left w:w="0" w:type="dxa"/>
            <w:bottom w:w="0" w:type="dxa"/>
            <w:right w:w="0" w:type="dxa"/>
          </w:tblCellMar>
        </w:tblPrEx>
        <w:tc>
          <w:tcPr>
            <w:tcW w:w="247" w:type="pct"/>
            <w:tcBorders>
              <w:top w:val="nil"/>
              <w:left w:val="nil"/>
              <w:bottom w:val="nil"/>
              <w:right w:val="nil"/>
            </w:tcBorders>
          </w:tcPr>
          <w:p w14:paraId="5C05D55A">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00F1BE8B">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6B8B8F9D">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Silver Spring, MD 20993</w:t>
            </w:r>
          </w:p>
        </w:tc>
      </w:tr>
      <w:tr w14:paraId="1ABA82DF">
        <w:tblPrEx>
          <w:tblCellMar>
            <w:top w:w="0" w:type="dxa"/>
            <w:left w:w="0" w:type="dxa"/>
            <w:bottom w:w="0" w:type="dxa"/>
            <w:right w:w="0" w:type="dxa"/>
          </w:tblCellMar>
        </w:tblPrEx>
        <w:tc>
          <w:tcPr>
            <w:tcW w:w="247" w:type="pct"/>
            <w:tcBorders>
              <w:top w:val="nil"/>
              <w:left w:val="nil"/>
              <w:bottom w:val="nil"/>
              <w:right w:val="nil"/>
            </w:tcBorders>
          </w:tcPr>
          <w:p w14:paraId="36A2517A">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55776F19">
            <w:pPr>
              <w:pStyle w:val="25"/>
              <w:topLinePunct/>
              <w:adjustRightInd w:val="0"/>
              <w:snapToGrid w:val="0"/>
              <w:spacing w:before="44" w:beforeLines="15" w:line="300" w:lineRule="auto"/>
              <w:jc w:val="both"/>
              <w:rPr>
                <w:rFonts w:ascii="Arial" w:hAnsi="Arial" w:eastAsia="宋体" w:cs="Arial"/>
                <w:snapToGrid w:val="0"/>
                <w:sz w:val="24"/>
                <w:szCs w:val="24"/>
                <w:lang w:eastAsia="zh-CN"/>
              </w:rPr>
            </w:pPr>
            <w:r>
              <w:rPr>
                <w:rFonts w:hint="eastAsia" w:ascii="Arial" w:hAnsi="Arial" w:eastAsia="宋体" w:cs="Arial"/>
                <w:snapToGrid w:val="0"/>
                <w:sz w:val="24"/>
                <w:lang w:eastAsia="zh-CN"/>
              </w:rPr>
              <w:t>电话：</w:t>
            </w:r>
          </w:p>
        </w:tc>
        <w:tc>
          <w:tcPr>
            <w:tcW w:w="3930" w:type="pct"/>
            <w:tcBorders>
              <w:top w:val="nil"/>
              <w:left w:val="nil"/>
              <w:bottom w:val="nil"/>
              <w:right w:val="nil"/>
            </w:tcBorders>
          </w:tcPr>
          <w:p w14:paraId="0DCFB5C1">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1-855-543-3784 or 301-796-3400</w:t>
            </w:r>
          </w:p>
        </w:tc>
      </w:tr>
      <w:tr w14:paraId="3C595C5D">
        <w:tblPrEx>
          <w:tblCellMar>
            <w:top w:w="0" w:type="dxa"/>
            <w:left w:w="0" w:type="dxa"/>
            <w:bottom w:w="0" w:type="dxa"/>
            <w:right w:w="0" w:type="dxa"/>
          </w:tblCellMar>
        </w:tblPrEx>
        <w:tc>
          <w:tcPr>
            <w:tcW w:w="247" w:type="pct"/>
            <w:tcBorders>
              <w:top w:val="nil"/>
              <w:left w:val="nil"/>
              <w:bottom w:val="nil"/>
              <w:right w:val="nil"/>
            </w:tcBorders>
          </w:tcPr>
          <w:p w14:paraId="02C86E92">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21CF0225">
            <w:pPr>
              <w:pStyle w:val="25"/>
              <w:topLinePunct/>
              <w:adjustRightInd w:val="0"/>
              <w:snapToGrid w:val="0"/>
              <w:spacing w:before="44" w:beforeLines="15" w:line="300" w:lineRule="auto"/>
              <w:jc w:val="both"/>
              <w:rPr>
                <w:rFonts w:ascii="Arial" w:hAnsi="Arial" w:eastAsia="宋体" w:cs="Arial"/>
                <w:snapToGrid w:val="0"/>
                <w:sz w:val="24"/>
                <w:szCs w:val="24"/>
                <w:lang w:eastAsia="zh-CN"/>
              </w:rPr>
            </w:pPr>
            <w:r>
              <w:rPr>
                <w:rFonts w:hint="eastAsia" w:ascii="Arial" w:hAnsi="Arial" w:eastAsia="宋体" w:cs="Arial"/>
                <w:snapToGrid w:val="0"/>
                <w:sz w:val="24"/>
                <w:lang w:eastAsia="zh-CN"/>
              </w:rPr>
              <w:t>邮箱：</w:t>
            </w:r>
          </w:p>
        </w:tc>
        <w:tc>
          <w:tcPr>
            <w:tcW w:w="3930" w:type="pct"/>
            <w:tcBorders>
              <w:top w:val="nil"/>
              <w:left w:val="nil"/>
              <w:bottom w:val="nil"/>
              <w:right w:val="nil"/>
            </w:tcBorders>
          </w:tcPr>
          <w:p w14:paraId="2E503329">
            <w:pPr>
              <w:pStyle w:val="25"/>
              <w:topLinePunct/>
              <w:adjustRightInd w:val="0"/>
              <w:snapToGrid w:val="0"/>
              <w:spacing w:before="44" w:beforeLines="15" w:line="300" w:lineRule="auto"/>
              <w:jc w:val="both"/>
              <w:rPr>
                <w:rFonts w:ascii="Arial" w:hAnsi="Arial" w:eastAsia="宋体" w:cs="Arial"/>
                <w:snapToGrid w:val="0"/>
                <w:sz w:val="24"/>
                <w:szCs w:val="24"/>
              </w:rPr>
            </w:pPr>
            <w:r>
              <w:fldChar w:fldCharType="begin"/>
            </w:r>
            <w:r>
              <w:instrText xml:space="preserve"> HYPERLINK "mailto:druginfo@fda.hhs.gov" \h </w:instrText>
            </w:r>
            <w:r>
              <w:fldChar w:fldCharType="separate"/>
            </w:r>
            <w:r>
              <w:rPr>
                <w:rFonts w:ascii="Arial" w:hAnsi="Arial" w:eastAsia="宋体" w:cs="Arial"/>
                <w:snapToGrid w:val="0"/>
                <w:color w:val="0000FF"/>
                <w:sz w:val="24"/>
                <w:u w:val="single" w:color="0000FF"/>
              </w:rPr>
              <w:t>druginfo@fda.hhs.gov</w:t>
            </w:r>
            <w:r>
              <w:rPr>
                <w:rFonts w:ascii="Arial" w:hAnsi="Arial" w:eastAsia="宋体" w:cs="Arial"/>
                <w:snapToGrid w:val="0"/>
                <w:color w:val="0000FF"/>
                <w:sz w:val="24"/>
                <w:u w:val="single" w:color="0000FF"/>
              </w:rPr>
              <w:fldChar w:fldCharType="end"/>
            </w:r>
          </w:p>
        </w:tc>
      </w:tr>
      <w:tr w14:paraId="61B61F57">
        <w:tblPrEx>
          <w:tblCellMar>
            <w:top w:w="0" w:type="dxa"/>
            <w:left w:w="0" w:type="dxa"/>
            <w:bottom w:w="0" w:type="dxa"/>
            <w:right w:w="0" w:type="dxa"/>
          </w:tblCellMar>
        </w:tblPrEx>
        <w:tc>
          <w:tcPr>
            <w:tcW w:w="247" w:type="pct"/>
            <w:tcBorders>
              <w:top w:val="nil"/>
              <w:left w:val="nil"/>
              <w:bottom w:val="nil"/>
              <w:right w:val="nil"/>
            </w:tcBorders>
          </w:tcPr>
          <w:p w14:paraId="38450E67">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3.</w:t>
            </w:r>
          </w:p>
        </w:tc>
        <w:tc>
          <w:tcPr>
            <w:tcW w:w="823" w:type="pct"/>
            <w:tcBorders>
              <w:top w:val="nil"/>
              <w:left w:val="nil"/>
              <w:bottom w:val="nil"/>
              <w:right w:val="nil"/>
            </w:tcBorders>
          </w:tcPr>
          <w:p w14:paraId="2685EBBD">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CDRH</w:t>
            </w:r>
          </w:p>
        </w:tc>
        <w:tc>
          <w:tcPr>
            <w:tcW w:w="3930" w:type="pct"/>
            <w:tcBorders>
              <w:top w:val="nil"/>
              <w:left w:val="nil"/>
              <w:bottom w:val="nil"/>
              <w:right w:val="nil"/>
            </w:tcBorders>
          </w:tcPr>
          <w:p w14:paraId="44285DCA">
            <w:pPr>
              <w:topLinePunct/>
              <w:adjustRightInd w:val="0"/>
              <w:snapToGrid w:val="0"/>
              <w:spacing w:before="44" w:beforeLines="15" w:line="300" w:lineRule="auto"/>
              <w:jc w:val="both"/>
              <w:rPr>
                <w:rFonts w:ascii="Arial" w:hAnsi="Arial" w:eastAsia="宋体" w:cs="Arial"/>
                <w:snapToGrid w:val="0"/>
                <w:sz w:val="24"/>
              </w:rPr>
            </w:pPr>
          </w:p>
        </w:tc>
      </w:tr>
      <w:tr w14:paraId="7AA9F9F1">
        <w:tblPrEx>
          <w:tblCellMar>
            <w:top w:w="0" w:type="dxa"/>
            <w:left w:w="0" w:type="dxa"/>
            <w:bottom w:w="0" w:type="dxa"/>
            <w:right w:w="0" w:type="dxa"/>
          </w:tblCellMar>
        </w:tblPrEx>
        <w:tc>
          <w:tcPr>
            <w:tcW w:w="247" w:type="pct"/>
            <w:tcBorders>
              <w:top w:val="nil"/>
              <w:left w:val="nil"/>
              <w:bottom w:val="nil"/>
              <w:right w:val="nil"/>
            </w:tcBorders>
          </w:tcPr>
          <w:p w14:paraId="21445C6A">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3A84D65E">
            <w:pPr>
              <w:pStyle w:val="25"/>
              <w:topLinePunct/>
              <w:adjustRightInd w:val="0"/>
              <w:snapToGrid w:val="0"/>
              <w:spacing w:before="44" w:beforeLines="15" w:line="300" w:lineRule="auto"/>
              <w:jc w:val="both"/>
              <w:rPr>
                <w:rFonts w:ascii="Arial" w:hAnsi="Arial" w:eastAsia="宋体" w:cs="Arial"/>
                <w:snapToGrid w:val="0"/>
                <w:sz w:val="24"/>
                <w:szCs w:val="24"/>
              </w:rPr>
            </w:pPr>
            <w:r>
              <w:rPr>
                <w:rFonts w:hint="eastAsia" w:ascii="Arial" w:hAnsi="Arial" w:eastAsia="宋体" w:cs="Arial"/>
                <w:snapToGrid w:val="0"/>
                <w:sz w:val="24"/>
                <w:szCs w:val="18"/>
                <w:lang w:eastAsia="zh-CN"/>
              </w:rPr>
              <w:t>邮寄地址：</w:t>
            </w:r>
          </w:p>
        </w:tc>
        <w:tc>
          <w:tcPr>
            <w:tcW w:w="3930" w:type="pct"/>
            <w:tcBorders>
              <w:top w:val="nil"/>
              <w:left w:val="nil"/>
              <w:bottom w:val="nil"/>
              <w:right w:val="nil"/>
            </w:tcBorders>
          </w:tcPr>
          <w:p w14:paraId="33EC2A4F">
            <w:pPr>
              <w:pStyle w:val="25"/>
              <w:topLinePunct/>
              <w:adjustRightInd w:val="0"/>
              <w:snapToGrid w:val="0"/>
              <w:spacing w:before="44" w:beforeLines="15" w:line="300" w:lineRule="auto"/>
              <w:jc w:val="both"/>
              <w:rPr>
                <w:rFonts w:ascii="Arial" w:hAnsi="Arial" w:eastAsia="宋体" w:cs="Arial"/>
                <w:snapToGrid w:val="0"/>
                <w:sz w:val="24"/>
                <w:szCs w:val="24"/>
              </w:rPr>
            </w:pPr>
            <w:bookmarkStart w:id="187" w:name="OLE_LINK47"/>
            <w:bookmarkStart w:id="188" w:name="OLE_LINK46"/>
            <w:r>
              <w:rPr>
                <w:rFonts w:ascii="Arial" w:hAnsi="Arial" w:eastAsia="宋体" w:cs="Arial"/>
                <w:snapToGrid w:val="0"/>
                <w:sz w:val="24"/>
              </w:rPr>
              <w:t>Division of Industry and Consumer Education</w:t>
            </w:r>
            <w:bookmarkEnd w:id="187"/>
            <w:bookmarkEnd w:id="188"/>
            <w:r>
              <w:rPr>
                <w:rFonts w:ascii="Arial" w:hAnsi="Arial" w:eastAsia="宋体" w:cs="Arial"/>
                <w:snapToGrid w:val="0"/>
                <w:sz w:val="24"/>
              </w:rPr>
              <w:t xml:space="preserve"> （DICE）</w:t>
            </w:r>
          </w:p>
        </w:tc>
      </w:tr>
      <w:tr w14:paraId="4C1018DB">
        <w:tblPrEx>
          <w:tblCellMar>
            <w:top w:w="0" w:type="dxa"/>
            <w:left w:w="0" w:type="dxa"/>
            <w:bottom w:w="0" w:type="dxa"/>
            <w:right w:w="0" w:type="dxa"/>
          </w:tblCellMar>
        </w:tblPrEx>
        <w:tc>
          <w:tcPr>
            <w:tcW w:w="247" w:type="pct"/>
            <w:tcBorders>
              <w:top w:val="nil"/>
              <w:left w:val="nil"/>
              <w:bottom w:val="nil"/>
              <w:right w:val="nil"/>
            </w:tcBorders>
          </w:tcPr>
          <w:p w14:paraId="7F622CA2">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01B22C42">
            <w:pPr>
              <w:pStyle w:val="25"/>
              <w:topLinePunct/>
              <w:adjustRightInd w:val="0"/>
              <w:snapToGrid w:val="0"/>
              <w:spacing w:before="44" w:beforeLines="15" w:line="300" w:lineRule="auto"/>
              <w:jc w:val="both"/>
              <w:rPr>
                <w:rFonts w:ascii="Arial" w:hAnsi="Arial" w:eastAsia="宋体" w:cs="Arial"/>
                <w:snapToGrid w:val="0"/>
                <w:sz w:val="24"/>
                <w:szCs w:val="18"/>
                <w:lang w:eastAsia="zh-CN"/>
              </w:rPr>
            </w:pPr>
          </w:p>
        </w:tc>
        <w:tc>
          <w:tcPr>
            <w:tcW w:w="3930" w:type="pct"/>
            <w:tcBorders>
              <w:top w:val="nil"/>
              <w:left w:val="nil"/>
              <w:bottom w:val="nil"/>
              <w:right w:val="nil"/>
            </w:tcBorders>
          </w:tcPr>
          <w:p w14:paraId="4249DCBA">
            <w:pPr>
              <w:pStyle w:val="25"/>
              <w:topLinePunct/>
              <w:adjustRightInd w:val="0"/>
              <w:snapToGrid w:val="0"/>
              <w:spacing w:before="44" w:beforeLines="15" w:line="300" w:lineRule="auto"/>
              <w:jc w:val="both"/>
              <w:rPr>
                <w:rFonts w:ascii="Arial" w:hAnsi="Arial" w:eastAsia="宋体" w:cs="Arial"/>
                <w:snapToGrid w:val="0"/>
                <w:sz w:val="24"/>
                <w:lang w:eastAsia="zh-CN"/>
              </w:rPr>
            </w:pPr>
            <w:r>
              <w:rPr>
                <w:rFonts w:hint="eastAsia" w:ascii="Arial" w:hAnsi="Arial" w:eastAsia="宋体" w:cs="Arial"/>
                <w:snapToGrid w:val="0"/>
                <w:sz w:val="24"/>
                <w:lang w:eastAsia="zh-CN"/>
              </w:rPr>
              <w:t>（行业及消费者教育分部）</w:t>
            </w:r>
          </w:p>
        </w:tc>
      </w:tr>
      <w:tr w14:paraId="3BD23299">
        <w:tblPrEx>
          <w:tblCellMar>
            <w:top w:w="0" w:type="dxa"/>
            <w:left w:w="0" w:type="dxa"/>
            <w:bottom w:w="0" w:type="dxa"/>
            <w:right w:w="0" w:type="dxa"/>
          </w:tblCellMar>
        </w:tblPrEx>
        <w:tc>
          <w:tcPr>
            <w:tcW w:w="247" w:type="pct"/>
            <w:tcBorders>
              <w:top w:val="nil"/>
              <w:left w:val="nil"/>
              <w:bottom w:val="nil"/>
              <w:right w:val="nil"/>
            </w:tcBorders>
          </w:tcPr>
          <w:p w14:paraId="77F748BB">
            <w:pPr>
              <w:topLinePunct/>
              <w:adjustRightInd w:val="0"/>
              <w:snapToGrid w:val="0"/>
              <w:spacing w:before="44" w:beforeLines="15" w:line="300" w:lineRule="auto"/>
              <w:jc w:val="both"/>
              <w:rPr>
                <w:rFonts w:ascii="Arial" w:hAnsi="Arial" w:eastAsia="宋体" w:cs="Arial"/>
                <w:snapToGrid w:val="0"/>
                <w:sz w:val="24"/>
                <w:lang w:eastAsia="zh-CN"/>
              </w:rPr>
            </w:pPr>
          </w:p>
        </w:tc>
        <w:tc>
          <w:tcPr>
            <w:tcW w:w="823" w:type="pct"/>
            <w:tcBorders>
              <w:top w:val="nil"/>
              <w:left w:val="nil"/>
              <w:bottom w:val="nil"/>
              <w:right w:val="nil"/>
            </w:tcBorders>
          </w:tcPr>
          <w:p w14:paraId="1BE42A82">
            <w:pPr>
              <w:topLinePunct/>
              <w:adjustRightInd w:val="0"/>
              <w:snapToGrid w:val="0"/>
              <w:spacing w:before="44" w:beforeLines="15" w:line="300" w:lineRule="auto"/>
              <w:jc w:val="both"/>
              <w:rPr>
                <w:rFonts w:ascii="Arial" w:hAnsi="Arial" w:eastAsia="宋体" w:cs="Arial"/>
                <w:snapToGrid w:val="0"/>
                <w:sz w:val="24"/>
                <w:lang w:eastAsia="zh-CN"/>
              </w:rPr>
            </w:pPr>
          </w:p>
        </w:tc>
        <w:tc>
          <w:tcPr>
            <w:tcW w:w="3930" w:type="pct"/>
            <w:tcBorders>
              <w:top w:val="nil"/>
              <w:left w:val="nil"/>
              <w:bottom w:val="nil"/>
              <w:right w:val="nil"/>
            </w:tcBorders>
          </w:tcPr>
          <w:p w14:paraId="0DA87FC5">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10903 New Hampshire Avenue</w:t>
            </w:r>
          </w:p>
        </w:tc>
      </w:tr>
      <w:tr w14:paraId="1AF3E8C6">
        <w:tblPrEx>
          <w:tblCellMar>
            <w:top w:w="0" w:type="dxa"/>
            <w:left w:w="0" w:type="dxa"/>
            <w:bottom w:w="0" w:type="dxa"/>
            <w:right w:w="0" w:type="dxa"/>
          </w:tblCellMar>
        </w:tblPrEx>
        <w:tc>
          <w:tcPr>
            <w:tcW w:w="247" w:type="pct"/>
            <w:tcBorders>
              <w:top w:val="nil"/>
              <w:left w:val="nil"/>
              <w:bottom w:val="nil"/>
              <w:right w:val="nil"/>
            </w:tcBorders>
          </w:tcPr>
          <w:p w14:paraId="0186ACD6">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58FA4400">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45DC158B">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Building 66, Room 4621</w:t>
            </w:r>
          </w:p>
        </w:tc>
      </w:tr>
      <w:tr w14:paraId="3E65114A">
        <w:tblPrEx>
          <w:tblCellMar>
            <w:top w:w="0" w:type="dxa"/>
            <w:left w:w="0" w:type="dxa"/>
            <w:bottom w:w="0" w:type="dxa"/>
            <w:right w:w="0" w:type="dxa"/>
          </w:tblCellMar>
        </w:tblPrEx>
        <w:tc>
          <w:tcPr>
            <w:tcW w:w="247" w:type="pct"/>
            <w:tcBorders>
              <w:top w:val="nil"/>
              <w:left w:val="nil"/>
              <w:bottom w:val="nil"/>
              <w:right w:val="nil"/>
            </w:tcBorders>
          </w:tcPr>
          <w:p w14:paraId="553F11AA">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3ADE7B7A">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304DD496">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Silver Spring, MD 20993</w:t>
            </w:r>
          </w:p>
        </w:tc>
      </w:tr>
      <w:tr w14:paraId="6A90B310">
        <w:tblPrEx>
          <w:tblCellMar>
            <w:top w:w="0" w:type="dxa"/>
            <w:left w:w="0" w:type="dxa"/>
            <w:bottom w:w="0" w:type="dxa"/>
            <w:right w:w="0" w:type="dxa"/>
          </w:tblCellMar>
        </w:tblPrEx>
        <w:tc>
          <w:tcPr>
            <w:tcW w:w="247" w:type="pct"/>
            <w:tcBorders>
              <w:top w:val="nil"/>
              <w:left w:val="nil"/>
              <w:bottom w:val="nil"/>
              <w:right w:val="nil"/>
            </w:tcBorders>
          </w:tcPr>
          <w:p w14:paraId="51E5DC95">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0119FE5C">
            <w:pPr>
              <w:pStyle w:val="25"/>
              <w:topLinePunct/>
              <w:adjustRightInd w:val="0"/>
              <w:snapToGrid w:val="0"/>
              <w:spacing w:before="44" w:beforeLines="15" w:line="300" w:lineRule="auto"/>
              <w:jc w:val="both"/>
              <w:rPr>
                <w:rFonts w:ascii="Arial" w:hAnsi="Arial" w:eastAsia="宋体" w:cs="Arial"/>
                <w:snapToGrid w:val="0"/>
                <w:sz w:val="24"/>
                <w:szCs w:val="24"/>
              </w:rPr>
            </w:pPr>
            <w:r>
              <w:rPr>
                <w:rFonts w:hint="eastAsia" w:ascii="Arial" w:hAnsi="Arial" w:eastAsia="宋体" w:cs="Arial"/>
                <w:snapToGrid w:val="0"/>
                <w:sz w:val="24"/>
                <w:lang w:eastAsia="zh-CN"/>
              </w:rPr>
              <w:t>电话：</w:t>
            </w:r>
          </w:p>
        </w:tc>
        <w:tc>
          <w:tcPr>
            <w:tcW w:w="3930" w:type="pct"/>
            <w:tcBorders>
              <w:top w:val="nil"/>
              <w:left w:val="nil"/>
              <w:bottom w:val="nil"/>
              <w:right w:val="nil"/>
            </w:tcBorders>
          </w:tcPr>
          <w:p w14:paraId="18B18B66">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1-800-638-2041 or 301-796-7100</w:t>
            </w:r>
          </w:p>
        </w:tc>
      </w:tr>
      <w:tr w14:paraId="76EC8ACE">
        <w:tblPrEx>
          <w:tblCellMar>
            <w:top w:w="0" w:type="dxa"/>
            <w:left w:w="0" w:type="dxa"/>
            <w:bottom w:w="0" w:type="dxa"/>
            <w:right w:w="0" w:type="dxa"/>
          </w:tblCellMar>
        </w:tblPrEx>
        <w:tc>
          <w:tcPr>
            <w:tcW w:w="247" w:type="pct"/>
            <w:tcBorders>
              <w:top w:val="nil"/>
              <w:left w:val="nil"/>
              <w:bottom w:val="nil"/>
              <w:right w:val="nil"/>
            </w:tcBorders>
          </w:tcPr>
          <w:p w14:paraId="5A4A8941">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3B57FD7B">
            <w:pPr>
              <w:pStyle w:val="25"/>
              <w:topLinePunct/>
              <w:adjustRightInd w:val="0"/>
              <w:snapToGrid w:val="0"/>
              <w:spacing w:before="44" w:beforeLines="15" w:line="300" w:lineRule="auto"/>
              <w:jc w:val="both"/>
              <w:rPr>
                <w:rFonts w:ascii="Arial" w:hAnsi="Arial" w:eastAsia="宋体" w:cs="Arial"/>
                <w:snapToGrid w:val="0"/>
                <w:sz w:val="24"/>
                <w:szCs w:val="24"/>
              </w:rPr>
            </w:pPr>
            <w:r>
              <w:rPr>
                <w:rFonts w:hint="eastAsia" w:ascii="Arial" w:hAnsi="Arial" w:eastAsia="宋体" w:cs="Arial"/>
                <w:snapToGrid w:val="0"/>
                <w:sz w:val="24"/>
                <w:lang w:eastAsia="zh-CN"/>
              </w:rPr>
              <w:t>邮箱：</w:t>
            </w:r>
          </w:p>
        </w:tc>
        <w:tc>
          <w:tcPr>
            <w:tcW w:w="3930" w:type="pct"/>
            <w:tcBorders>
              <w:top w:val="nil"/>
              <w:left w:val="nil"/>
              <w:bottom w:val="nil"/>
              <w:right w:val="nil"/>
            </w:tcBorders>
          </w:tcPr>
          <w:p w14:paraId="6AB20987">
            <w:pPr>
              <w:pStyle w:val="25"/>
              <w:topLinePunct/>
              <w:adjustRightInd w:val="0"/>
              <w:snapToGrid w:val="0"/>
              <w:spacing w:before="44" w:beforeLines="15" w:line="300" w:lineRule="auto"/>
              <w:jc w:val="both"/>
              <w:rPr>
                <w:rFonts w:ascii="Arial" w:hAnsi="Arial" w:eastAsia="宋体" w:cs="Arial"/>
                <w:snapToGrid w:val="0"/>
                <w:sz w:val="24"/>
                <w:szCs w:val="24"/>
              </w:rPr>
            </w:pPr>
            <w:r>
              <w:fldChar w:fldCharType="begin"/>
            </w:r>
            <w:r>
              <w:instrText xml:space="preserve"> HYPERLINK "mailto:DICE@fda.hhs.gov" \h </w:instrText>
            </w:r>
            <w:r>
              <w:fldChar w:fldCharType="separate"/>
            </w:r>
            <w:r>
              <w:rPr>
                <w:rFonts w:ascii="Arial" w:hAnsi="Arial" w:eastAsia="宋体" w:cs="Arial"/>
                <w:snapToGrid w:val="0"/>
                <w:color w:val="0000FF"/>
                <w:sz w:val="24"/>
                <w:u w:val="single" w:color="0000FF"/>
              </w:rPr>
              <w:t>DICE@fda.hhs.gov</w:t>
            </w:r>
            <w:r>
              <w:rPr>
                <w:rFonts w:ascii="Arial" w:hAnsi="Arial" w:eastAsia="宋体" w:cs="Arial"/>
                <w:snapToGrid w:val="0"/>
                <w:color w:val="0000FF"/>
                <w:sz w:val="24"/>
                <w:u w:val="single" w:color="0000FF"/>
              </w:rPr>
              <w:fldChar w:fldCharType="end"/>
            </w:r>
          </w:p>
        </w:tc>
      </w:tr>
      <w:tr w14:paraId="1389ECA5">
        <w:tblPrEx>
          <w:tblCellMar>
            <w:top w:w="0" w:type="dxa"/>
            <w:left w:w="0" w:type="dxa"/>
            <w:bottom w:w="0" w:type="dxa"/>
            <w:right w:w="0" w:type="dxa"/>
          </w:tblCellMar>
        </w:tblPrEx>
        <w:tc>
          <w:tcPr>
            <w:tcW w:w="247" w:type="pct"/>
            <w:tcBorders>
              <w:top w:val="nil"/>
              <w:left w:val="nil"/>
              <w:bottom w:val="nil"/>
              <w:right w:val="nil"/>
            </w:tcBorders>
          </w:tcPr>
          <w:p w14:paraId="6535A7FC">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4.</w:t>
            </w:r>
          </w:p>
        </w:tc>
        <w:tc>
          <w:tcPr>
            <w:tcW w:w="823" w:type="pct"/>
            <w:tcBorders>
              <w:top w:val="nil"/>
              <w:left w:val="nil"/>
              <w:bottom w:val="nil"/>
              <w:right w:val="nil"/>
            </w:tcBorders>
          </w:tcPr>
          <w:p w14:paraId="042B1FAE">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OCP</w:t>
            </w:r>
          </w:p>
        </w:tc>
        <w:tc>
          <w:tcPr>
            <w:tcW w:w="3930" w:type="pct"/>
            <w:tcBorders>
              <w:top w:val="nil"/>
              <w:left w:val="nil"/>
              <w:bottom w:val="nil"/>
              <w:right w:val="nil"/>
            </w:tcBorders>
          </w:tcPr>
          <w:p w14:paraId="6C12578F">
            <w:pPr>
              <w:topLinePunct/>
              <w:adjustRightInd w:val="0"/>
              <w:snapToGrid w:val="0"/>
              <w:spacing w:before="44" w:beforeLines="15" w:line="300" w:lineRule="auto"/>
              <w:jc w:val="both"/>
              <w:rPr>
                <w:rFonts w:ascii="Arial" w:hAnsi="Arial" w:eastAsia="宋体" w:cs="Arial"/>
                <w:snapToGrid w:val="0"/>
                <w:sz w:val="24"/>
              </w:rPr>
            </w:pPr>
          </w:p>
        </w:tc>
      </w:tr>
      <w:tr w14:paraId="1739FCAB">
        <w:tblPrEx>
          <w:tblCellMar>
            <w:top w:w="0" w:type="dxa"/>
            <w:left w:w="0" w:type="dxa"/>
            <w:bottom w:w="0" w:type="dxa"/>
            <w:right w:w="0" w:type="dxa"/>
          </w:tblCellMar>
        </w:tblPrEx>
        <w:tc>
          <w:tcPr>
            <w:tcW w:w="247" w:type="pct"/>
            <w:tcBorders>
              <w:top w:val="nil"/>
              <w:left w:val="nil"/>
              <w:bottom w:val="nil"/>
              <w:right w:val="nil"/>
            </w:tcBorders>
          </w:tcPr>
          <w:p w14:paraId="1F25B579">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009A3117">
            <w:pPr>
              <w:pStyle w:val="25"/>
              <w:topLinePunct/>
              <w:adjustRightInd w:val="0"/>
              <w:snapToGrid w:val="0"/>
              <w:spacing w:before="44" w:beforeLines="15" w:line="300" w:lineRule="auto"/>
              <w:jc w:val="both"/>
              <w:rPr>
                <w:rFonts w:ascii="Arial" w:hAnsi="Arial" w:eastAsia="宋体" w:cs="Arial"/>
                <w:snapToGrid w:val="0"/>
                <w:sz w:val="24"/>
                <w:szCs w:val="24"/>
              </w:rPr>
            </w:pPr>
            <w:r>
              <w:rPr>
                <w:rFonts w:hint="eastAsia" w:ascii="Arial" w:hAnsi="Arial" w:eastAsia="宋体" w:cs="Arial"/>
                <w:snapToGrid w:val="0"/>
                <w:sz w:val="24"/>
                <w:szCs w:val="18"/>
                <w:lang w:eastAsia="zh-CN"/>
              </w:rPr>
              <w:t>邮寄地址：</w:t>
            </w:r>
          </w:p>
        </w:tc>
        <w:tc>
          <w:tcPr>
            <w:tcW w:w="3930" w:type="pct"/>
            <w:tcBorders>
              <w:top w:val="nil"/>
              <w:left w:val="nil"/>
              <w:bottom w:val="nil"/>
              <w:right w:val="nil"/>
            </w:tcBorders>
          </w:tcPr>
          <w:p w14:paraId="13806FDF">
            <w:pPr>
              <w:pStyle w:val="25"/>
              <w:topLinePunct/>
              <w:adjustRightInd w:val="0"/>
              <w:snapToGrid w:val="0"/>
              <w:spacing w:before="44" w:beforeLines="15" w:line="300" w:lineRule="auto"/>
              <w:jc w:val="both"/>
              <w:rPr>
                <w:rFonts w:ascii="Arial" w:hAnsi="Arial" w:eastAsia="宋体" w:cs="Arial"/>
                <w:snapToGrid w:val="0"/>
                <w:sz w:val="24"/>
                <w:szCs w:val="24"/>
                <w:lang w:eastAsia="zh-CN"/>
              </w:rPr>
            </w:pPr>
            <w:r>
              <w:rPr>
                <w:rFonts w:ascii="Arial" w:hAnsi="Arial" w:eastAsia="宋体" w:cs="Arial"/>
                <w:snapToGrid w:val="0"/>
                <w:sz w:val="24"/>
              </w:rPr>
              <w:t>Office of Combination Products</w:t>
            </w:r>
            <w:r>
              <w:rPr>
                <w:rFonts w:hint="eastAsia" w:ascii="Arial" w:hAnsi="Arial" w:eastAsia="宋体" w:cs="Arial"/>
                <w:snapToGrid w:val="0"/>
                <w:sz w:val="24"/>
                <w:lang w:eastAsia="zh-CN"/>
              </w:rPr>
              <w:t>（组合产品办公室）</w:t>
            </w:r>
          </w:p>
        </w:tc>
      </w:tr>
      <w:tr w14:paraId="6EFECE9B">
        <w:tblPrEx>
          <w:tblCellMar>
            <w:top w:w="0" w:type="dxa"/>
            <w:left w:w="0" w:type="dxa"/>
            <w:bottom w:w="0" w:type="dxa"/>
            <w:right w:w="0" w:type="dxa"/>
          </w:tblCellMar>
        </w:tblPrEx>
        <w:tc>
          <w:tcPr>
            <w:tcW w:w="247" w:type="pct"/>
            <w:tcBorders>
              <w:top w:val="nil"/>
              <w:left w:val="nil"/>
              <w:bottom w:val="nil"/>
              <w:right w:val="nil"/>
            </w:tcBorders>
          </w:tcPr>
          <w:p w14:paraId="3C42B4F1">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2E41198D">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6EDD68EE">
            <w:pPr>
              <w:pStyle w:val="25"/>
              <w:topLinePunct/>
              <w:adjustRightInd w:val="0"/>
              <w:snapToGrid w:val="0"/>
              <w:spacing w:before="44" w:beforeLines="15" w:line="300" w:lineRule="auto"/>
              <w:jc w:val="both"/>
              <w:rPr>
                <w:rFonts w:ascii="Arial" w:hAnsi="Arial" w:eastAsia="宋体" w:cs="Arial"/>
                <w:snapToGrid w:val="0"/>
                <w:sz w:val="24"/>
                <w:szCs w:val="24"/>
                <w:lang w:eastAsia="zh-CN"/>
              </w:rPr>
            </w:pPr>
            <w:r>
              <w:rPr>
                <w:rFonts w:ascii="Arial" w:hAnsi="Arial" w:eastAsia="宋体" w:cs="Arial"/>
                <w:snapToGrid w:val="0"/>
                <w:sz w:val="24"/>
              </w:rPr>
              <w:t>Food and Drug Administration</w:t>
            </w:r>
            <w:r>
              <w:rPr>
                <w:rFonts w:hint="eastAsia" w:ascii="Arial" w:hAnsi="Arial" w:eastAsia="宋体" w:cs="Arial"/>
                <w:snapToGrid w:val="0"/>
                <w:sz w:val="24"/>
                <w:lang w:eastAsia="zh-CN"/>
              </w:rPr>
              <w:t>（</w:t>
            </w:r>
            <w:r>
              <w:rPr>
                <w:rFonts w:hint="eastAsia" w:ascii="Arial" w:hAnsi="Arial" w:eastAsia="宋体" w:cs="Arial"/>
                <w:snapToGrid w:val="0"/>
                <w:sz w:val="24"/>
                <w:szCs w:val="18"/>
                <w:lang w:eastAsia="zh-CN"/>
              </w:rPr>
              <w:t>食品药品监督管理局</w:t>
            </w:r>
            <w:r>
              <w:rPr>
                <w:rFonts w:hint="eastAsia" w:ascii="Arial" w:hAnsi="Arial" w:eastAsia="宋体" w:cs="Arial"/>
                <w:snapToGrid w:val="0"/>
                <w:sz w:val="24"/>
                <w:lang w:eastAsia="zh-CN"/>
              </w:rPr>
              <w:t>）</w:t>
            </w:r>
          </w:p>
        </w:tc>
      </w:tr>
      <w:tr w14:paraId="60746DD1">
        <w:tblPrEx>
          <w:tblCellMar>
            <w:top w:w="0" w:type="dxa"/>
            <w:left w:w="0" w:type="dxa"/>
            <w:bottom w:w="0" w:type="dxa"/>
            <w:right w:w="0" w:type="dxa"/>
          </w:tblCellMar>
        </w:tblPrEx>
        <w:tc>
          <w:tcPr>
            <w:tcW w:w="247" w:type="pct"/>
            <w:tcBorders>
              <w:top w:val="nil"/>
              <w:left w:val="nil"/>
              <w:bottom w:val="nil"/>
              <w:right w:val="nil"/>
            </w:tcBorders>
          </w:tcPr>
          <w:p w14:paraId="4BB2D5DE">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3142B7AD">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62A3E84A">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10903 New Hampshire Avenue</w:t>
            </w:r>
          </w:p>
        </w:tc>
      </w:tr>
      <w:tr w14:paraId="2AECE15A">
        <w:tblPrEx>
          <w:tblCellMar>
            <w:top w:w="0" w:type="dxa"/>
            <w:left w:w="0" w:type="dxa"/>
            <w:bottom w:w="0" w:type="dxa"/>
            <w:right w:w="0" w:type="dxa"/>
          </w:tblCellMar>
        </w:tblPrEx>
        <w:tc>
          <w:tcPr>
            <w:tcW w:w="247" w:type="pct"/>
            <w:tcBorders>
              <w:top w:val="nil"/>
              <w:left w:val="nil"/>
              <w:bottom w:val="nil"/>
              <w:right w:val="nil"/>
            </w:tcBorders>
          </w:tcPr>
          <w:p w14:paraId="627711C1">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45BA93C4">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5A76C899">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Building 32, Hub/Mail Room #5129</w:t>
            </w:r>
          </w:p>
        </w:tc>
      </w:tr>
      <w:tr w14:paraId="1D540AC1">
        <w:tblPrEx>
          <w:tblCellMar>
            <w:top w:w="0" w:type="dxa"/>
            <w:left w:w="0" w:type="dxa"/>
            <w:bottom w:w="0" w:type="dxa"/>
            <w:right w:w="0" w:type="dxa"/>
          </w:tblCellMar>
        </w:tblPrEx>
        <w:tc>
          <w:tcPr>
            <w:tcW w:w="247" w:type="pct"/>
            <w:tcBorders>
              <w:top w:val="nil"/>
              <w:left w:val="nil"/>
              <w:bottom w:val="nil"/>
              <w:right w:val="nil"/>
            </w:tcBorders>
          </w:tcPr>
          <w:p w14:paraId="03563BEA">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3BDFFAB0">
            <w:pPr>
              <w:topLinePunct/>
              <w:adjustRightInd w:val="0"/>
              <w:snapToGrid w:val="0"/>
              <w:spacing w:before="44" w:beforeLines="15" w:line="300" w:lineRule="auto"/>
              <w:jc w:val="both"/>
              <w:rPr>
                <w:rFonts w:ascii="Arial" w:hAnsi="Arial" w:eastAsia="宋体" w:cs="Arial"/>
                <w:snapToGrid w:val="0"/>
                <w:sz w:val="24"/>
              </w:rPr>
            </w:pPr>
          </w:p>
        </w:tc>
        <w:tc>
          <w:tcPr>
            <w:tcW w:w="3930" w:type="pct"/>
            <w:tcBorders>
              <w:top w:val="nil"/>
              <w:left w:val="nil"/>
              <w:bottom w:val="nil"/>
              <w:right w:val="nil"/>
            </w:tcBorders>
          </w:tcPr>
          <w:p w14:paraId="1075E0E8">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Silver Spring, MD 20993</w:t>
            </w:r>
          </w:p>
        </w:tc>
      </w:tr>
      <w:tr w14:paraId="343C7487">
        <w:tblPrEx>
          <w:tblCellMar>
            <w:top w:w="0" w:type="dxa"/>
            <w:left w:w="0" w:type="dxa"/>
            <w:bottom w:w="0" w:type="dxa"/>
            <w:right w:w="0" w:type="dxa"/>
          </w:tblCellMar>
        </w:tblPrEx>
        <w:tc>
          <w:tcPr>
            <w:tcW w:w="247" w:type="pct"/>
            <w:tcBorders>
              <w:top w:val="nil"/>
              <w:left w:val="nil"/>
              <w:bottom w:val="nil"/>
              <w:right w:val="nil"/>
            </w:tcBorders>
          </w:tcPr>
          <w:p w14:paraId="0C4FD977">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0C85BE18">
            <w:pPr>
              <w:pStyle w:val="25"/>
              <w:topLinePunct/>
              <w:adjustRightInd w:val="0"/>
              <w:snapToGrid w:val="0"/>
              <w:spacing w:before="44" w:beforeLines="15" w:line="300" w:lineRule="auto"/>
              <w:jc w:val="both"/>
              <w:rPr>
                <w:rFonts w:ascii="Arial" w:hAnsi="Arial" w:eastAsia="宋体" w:cs="Arial"/>
                <w:snapToGrid w:val="0"/>
                <w:sz w:val="24"/>
                <w:szCs w:val="24"/>
              </w:rPr>
            </w:pPr>
            <w:r>
              <w:rPr>
                <w:rFonts w:hint="eastAsia" w:ascii="Arial" w:hAnsi="Arial" w:eastAsia="宋体" w:cs="Arial"/>
                <w:snapToGrid w:val="0"/>
                <w:sz w:val="24"/>
                <w:lang w:eastAsia="zh-CN"/>
              </w:rPr>
              <w:t>电话：</w:t>
            </w:r>
          </w:p>
        </w:tc>
        <w:tc>
          <w:tcPr>
            <w:tcW w:w="3930" w:type="pct"/>
            <w:tcBorders>
              <w:top w:val="nil"/>
              <w:left w:val="nil"/>
              <w:bottom w:val="nil"/>
              <w:right w:val="nil"/>
            </w:tcBorders>
          </w:tcPr>
          <w:p w14:paraId="02D176DA">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301-796-8930</w:t>
            </w:r>
          </w:p>
        </w:tc>
      </w:tr>
      <w:tr w14:paraId="70EFCEB4">
        <w:tblPrEx>
          <w:tblCellMar>
            <w:top w:w="0" w:type="dxa"/>
            <w:left w:w="0" w:type="dxa"/>
            <w:bottom w:w="0" w:type="dxa"/>
            <w:right w:w="0" w:type="dxa"/>
          </w:tblCellMar>
        </w:tblPrEx>
        <w:tc>
          <w:tcPr>
            <w:tcW w:w="247" w:type="pct"/>
            <w:tcBorders>
              <w:top w:val="nil"/>
              <w:left w:val="nil"/>
              <w:bottom w:val="nil"/>
              <w:right w:val="nil"/>
            </w:tcBorders>
          </w:tcPr>
          <w:p w14:paraId="3B7753A8">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40E71DBF">
            <w:pPr>
              <w:pStyle w:val="25"/>
              <w:topLinePunct/>
              <w:adjustRightInd w:val="0"/>
              <w:snapToGrid w:val="0"/>
              <w:spacing w:before="44" w:beforeLines="15" w:line="300" w:lineRule="auto"/>
              <w:jc w:val="both"/>
              <w:rPr>
                <w:rFonts w:ascii="Arial" w:hAnsi="Arial" w:eastAsia="宋体" w:cs="Arial"/>
                <w:snapToGrid w:val="0"/>
                <w:sz w:val="24"/>
                <w:szCs w:val="24"/>
                <w:lang w:eastAsia="zh-CN"/>
              </w:rPr>
            </w:pPr>
            <w:r>
              <w:rPr>
                <w:rFonts w:hint="eastAsia" w:ascii="Arial" w:hAnsi="Arial" w:eastAsia="宋体" w:cs="Arial"/>
                <w:snapToGrid w:val="0"/>
                <w:sz w:val="24"/>
                <w:lang w:eastAsia="zh-CN"/>
              </w:rPr>
              <w:t>传真：</w:t>
            </w:r>
          </w:p>
        </w:tc>
        <w:tc>
          <w:tcPr>
            <w:tcW w:w="3930" w:type="pct"/>
            <w:tcBorders>
              <w:top w:val="nil"/>
              <w:left w:val="nil"/>
              <w:bottom w:val="nil"/>
              <w:right w:val="nil"/>
            </w:tcBorders>
          </w:tcPr>
          <w:p w14:paraId="052AE740">
            <w:pPr>
              <w:pStyle w:val="25"/>
              <w:topLinePunct/>
              <w:adjustRightInd w:val="0"/>
              <w:snapToGrid w:val="0"/>
              <w:spacing w:before="44" w:beforeLines="15" w:line="300" w:lineRule="auto"/>
              <w:jc w:val="both"/>
              <w:rPr>
                <w:rFonts w:ascii="Arial" w:hAnsi="Arial" w:eastAsia="宋体" w:cs="Arial"/>
                <w:snapToGrid w:val="0"/>
                <w:sz w:val="24"/>
                <w:szCs w:val="24"/>
              </w:rPr>
            </w:pPr>
            <w:r>
              <w:rPr>
                <w:rFonts w:ascii="Arial" w:hAnsi="Arial" w:eastAsia="宋体" w:cs="Arial"/>
                <w:snapToGrid w:val="0"/>
                <w:sz w:val="24"/>
              </w:rPr>
              <w:t>301-847-8619</w:t>
            </w:r>
          </w:p>
        </w:tc>
      </w:tr>
      <w:tr w14:paraId="4E70898B">
        <w:tblPrEx>
          <w:tblCellMar>
            <w:top w:w="0" w:type="dxa"/>
            <w:left w:w="0" w:type="dxa"/>
            <w:bottom w:w="0" w:type="dxa"/>
            <w:right w:w="0" w:type="dxa"/>
          </w:tblCellMar>
        </w:tblPrEx>
        <w:tc>
          <w:tcPr>
            <w:tcW w:w="247" w:type="pct"/>
            <w:tcBorders>
              <w:top w:val="nil"/>
              <w:left w:val="nil"/>
              <w:bottom w:val="nil"/>
              <w:right w:val="nil"/>
            </w:tcBorders>
          </w:tcPr>
          <w:p w14:paraId="2815C8B9">
            <w:pPr>
              <w:topLinePunct/>
              <w:adjustRightInd w:val="0"/>
              <w:snapToGrid w:val="0"/>
              <w:spacing w:before="44" w:beforeLines="15" w:line="300" w:lineRule="auto"/>
              <w:jc w:val="both"/>
              <w:rPr>
                <w:rFonts w:ascii="Arial" w:hAnsi="Arial" w:eastAsia="宋体" w:cs="Arial"/>
                <w:snapToGrid w:val="0"/>
                <w:sz w:val="24"/>
              </w:rPr>
            </w:pPr>
          </w:p>
        </w:tc>
        <w:tc>
          <w:tcPr>
            <w:tcW w:w="823" w:type="pct"/>
            <w:tcBorders>
              <w:top w:val="nil"/>
              <w:left w:val="nil"/>
              <w:bottom w:val="nil"/>
              <w:right w:val="nil"/>
            </w:tcBorders>
          </w:tcPr>
          <w:p w14:paraId="03DD7F03">
            <w:pPr>
              <w:pStyle w:val="25"/>
              <w:topLinePunct/>
              <w:adjustRightInd w:val="0"/>
              <w:snapToGrid w:val="0"/>
              <w:spacing w:before="44" w:beforeLines="15" w:line="300" w:lineRule="auto"/>
              <w:jc w:val="both"/>
              <w:rPr>
                <w:rFonts w:ascii="Arial" w:hAnsi="Arial" w:eastAsia="宋体" w:cs="Arial"/>
                <w:snapToGrid w:val="0"/>
                <w:sz w:val="24"/>
                <w:szCs w:val="24"/>
                <w:lang w:eastAsia="zh-CN"/>
              </w:rPr>
            </w:pPr>
            <w:r>
              <w:rPr>
                <w:rFonts w:hint="eastAsia" w:ascii="Arial" w:hAnsi="Arial" w:eastAsia="宋体" w:cs="Arial"/>
                <w:snapToGrid w:val="0"/>
                <w:sz w:val="24"/>
                <w:lang w:eastAsia="zh-CN"/>
              </w:rPr>
              <w:t>邮箱：</w:t>
            </w:r>
          </w:p>
        </w:tc>
        <w:tc>
          <w:tcPr>
            <w:tcW w:w="3930" w:type="pct"/>
            <w:tcBorders>
              <w:top w:val="nil"/>
              <w:left w:val="nil"/>
              <w:bottom w:val="nil"/>
              <w:right w:val="nil"/>
            </w:tcBorders>
          </w:tcPr>
          <w:p w14:paraId="499F05BF">
            <w:pPr>
              <w:pStyle w:val="25"/>
              <w:topLinePunct/>
              <w:adjustRightInd w:val="0"/>
              <w:snapToGrid w:val="0"/>
              <w:spacing w:before="44" w:beforeLines="15" w:line="300" w:lineRule="auto"/>
              <w:jc w:val="both"/>
              <w:rPr>
                <w:rFonts w:ascii="Arial" w:hAnsi="Arial" w:eastAsia="宋体" w:cs="Arial"/>
                <w:snapToGrid w:val="0"/>
                <w:sz w:val="24"/>
                <w:szCs w:val="24"/>
              </w:rPr>
            </w:pPr>
            <w:r>
              <w:fldChar w:fldCharType="begin"/>
            </w:r>
            <w:r>
              <w:instrText xml:space="preserve"> HYPERLINK "mailto:combination@fda.gov" \h </w:instrText>
            </w:r>
            <w:r>
              <w:fldChar w:fldCharType="separate"/>
            </w:r>
            <w:r>
              <w:rPr>
                <w:rFonts w:ascii="Arial" w:hAnsi="Arial" w:eastAsia="宋体" w:cs="Arial"/>
                <w:snapToGrid w:val="0"/>
                <w:color w:val="0000FF"/>
                <w:sz w:val="24"/>
                <w:u w:val="single" w:color="0000FF"/>
              </w:rPr>
              <w:t>combination@fda.gov</w:t>
            </w:r>
            <w:r>
              <w:rPr>
                <w:rFonts w:ascii="Arial" w:hAnsi="Arial" w:eastAsia="宋体" w:cs="Arial"/>
                <w:snapToGrid w:val="0"/>
                <w:color w:val="0000FF"/>
                <w:sz w:val="24"/>
                <w:u w:val="single" w:color="0000FF"/>
              </w:rPr>
              <w:fldChar w:fldCharType="end"/>
            </w:r>
          </w:p>
        </w:tc>
      </w:tr>
    </w:tbl>
    <w:p w14:paraId="2DAC620D">
      <w:pPr>
        <w:topLinePunct/>
        <w:adjustRightInd w:val="0"/>
        <w:snapToGrid w:val="0"/>
        <w:spacing w:after="224" w:afterLines="75" w:line="288" w:lineRule="auto"/>
        <w:jc w:val="both"/>
        <w:rPr>
          <w:rFonts w:ascii="Arial" w:hAnsi="Arial" w:eastAsia="宋体" w:cs="Arial"/>
          <w:snapToGrid w:val="0"/>
          <w:sz w:val="2"/>
          <w:szCs w:val="2"/>
        </w:rPr>
      </w:pPr>
    </w:p>
    <w:p w14:paraId="1F1B9BB1">
      <w:pPr>
        <w:pStyle w:val="21"/>
        <w:numPr>
          <w:ilvl w:val="0"/>
          <w:numId w:val="1"/>
        </w:numPr>
        <w:tabs>
          <w:tab w:val="left" w:pos="840"/>
        </w:tabs>
        <w:topLinePunct/>
        <w:adjustRightInd w:val="0"/>
        <w:snapToGrid w:val="0"/>
        <w:spacing w:after="224" w:afterLines="75" w:line="288" w:lineRule="auto"/>
        <w:ind w:left="0" w:firstLine="0"/>
        <w:jc w:val="both"/>
        <w:outlineLvl w:val="9"/>
        <w:rPr>
          <w:rFonts w:ascii="Arial" w:hAnsi="Arial" w:eastAsia="宋体" w:cs="Arial"/>
          <w:b w:val="0"/>
          <w:bCs w:val="0"/>
          <w:snapToGrid w:val="0"/>
          <w:sz w:val="28"/>
        </w:rPr>
      </w:pPr>
      <w:bookmarkStart w:id="189" w:name="VII._Glossary"/>
      <w:bookmarkEnd w:id="189"/>
      <w:bookmarkStart w:id="190" w:name="_bookmark176"/>
      <w:bookmarkEnd w:id="190"/>
      <w:bookmarkStart w:id="191" w:name="_Toc498640482"/>
      <w:r>
        <w:rPr>
          <w:rFonts w:hint="eastAsia" w:ascii="Arial" w:hAnsi="Arial" w:eastAsia="宋体" w:cs="Arial"/>
          <w:snapToGrid w:val="0"/>
          <w:sz w:val="28"/>
          <w:lang w:eastAsia="zh-CN"/>
        </w:rPr>
        <w:t>术语表</w:t>
      </w:r>
      <w:bookmarkEnd w:id="191"/>
    </w:p>
    <w:p w14:paraId="0513AE5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snapToGrid w:val="0"/>
          <w:lang w:eastAsia="zh-CN"/>
        </w:rPr>
        <w:t>注意：本术语表仅供本指导性文件使用。从联邦法规摘取的定义包含相关的出处。</w:t>
      </w:r>
    </w:p>
    <w:p w14:paraId="6B3915F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组成部分：</w:t>
      </w:r>
      <w:r>
        <w:rPr>
          <w:rFonts w:hint="eastAsia" w:ascii="Arial" w:hAnsi="Arial" w:eastAsia="宋体" w:cs="Arial"/>
          <w:snapToGrid w:val="0"/>
          <w:lang w:eastAsia="zh-CN"/>
        </w:rPr>
        <w:t>构成组合产品一部分的药品、器械或生物制剂。（</w:t>
      </w:r>
      <w:r>
        <w:rPr>
          <w:rFonts w:ascii="Arial" w:hAnsi="Arial" w:eastAsia="宋体" w:cs="Arial"/>
          <w:snapToGrid w:val="0"/>
          <w:lang w:eastAsia="zh-CN"/>
        </w:rPr>
        <w:t>21 CFR 4.2</w:t>
      </w:r>
      <w:r>
        <w:rPr>
          <w:rFonts w:hint="eastAsia" w:ascii="Arial" w:hAnsi="Arial" w:eastAsia="宋体" w:cs="Arial"/>
          <w:snapToGrid w:val="0"/>
          <w:lang w:eastAsia="zh-CN"/>
        </w:rPr>
        <w:t>）</w:t>
      </w:r>
    </w:p>
    <w:p w14:paraId="68629FF3">
      <w:pPr>
        <w:pStyle w:val="5"/>
        <w:topLinePunct/>
        <w:adjustRightInd w:val="0"/>
        <w:snapToGrid w:val="0"/>
        <w:spacing w:after="224" w:afterLines="75" w:line="288" w:lineRule="auto"/>
        <w:ind w:left="0" w:firstLine="0"/>
        <w:jc w:val="both"/>
        <w:rPr>
          <w:rFonts w:ascii="Arial" w:hAnsi="Arial" w:eastAsia="宋体" w:cs="Arial"/>
          <w:snapToGrid w:val="0"/>
          <w:lang w:eastAsia="zh-CN"/>
        </w:rPr>
      </w:pPr>
      <w:bookmarkStart w:id="192" w:name="OLE_LINK49"/>
      <w:bookmarkStart w:id="193" w:name="OLE_LINK48"/>
      <w:r>
        <w:rPr>
          <w:rFonts w:hint="eastAsia" w:ascii="Arial" w:hAnsi="Arial" w:eastAsia="宋体" w:cs="Arial"/>
          <w:b/>
          <w:snapToGrid w:val="0"/>
          <w:lang w:eastAsia="zh-CN"/>
        </w:rPr>
        <w:t>组合包装组合产</w:t>
      </w:r>
      <w:bookmarkEnd w:id="192"/>
      <w:bookmarkEnd w:id="193"/>
      <w:r>
        <w:rPr>
          <w:rFonts w:hint="eastAsia" w:ascii="Arial" w:hAnsi="Arial" w:eastAsia="宋体" w:cs="Arial"/>
          <w:b/>
          <w:snapToGrid w:val="0"/>
          <w:lang w:eastAsia="zh-CN"/>
        </w:rPr>
        <w:t>品：</w:t>
      </w:r>
      <w:r>
        <w:rPr>
          <w:rFonts w:hint="eastAsia" w:ascii="Arial" w:hAnsi="Arial" w:eastAsia="宋体" w:cs="Arial"/>
          <w:snapToGrid w:val="0"/>
          <w:lang w:eastAsia="zh-CN"/>
        </w:rPr>
        <w:t>两种或两种以上不同产品同时包装在单个包装内或作为一个单位并由药品和器械产品、器械和生物制剂，或生物制剂和药品组成。</w:t>
      </w:r>
      <w:r>
        <w:rPr>
          <w:rFonts w:ascii="Arial" w:hAnsi="Arial" w:eastAsia="宋体" w:cs="Arial"/>
          <w:snapToGrid w:val="0"/>
          <w:lang w:eastAsia="zh-CN"/>
        </w:rPr>
        <w:t xml:space="preserve"> </w:t>
      </w:r>
      <w:r>
        <w:rPr>
          <w:rFonts w:hint="eastAsia" w:ascii="Arial" w:hAnsi="Arial" w:eastAsia="宋体" w:cs="Arial"/>
          <w:snapToGrid w:val="0"/>
          <w:lang w:eastAsia="zh-CN"/>
        </w:rPr>
        <w:t>（</w:t>
      </w:r>
      <w:r>
        <w:rPr>
          <w:rFonts w:ascii="Arial" w:hAnsi="Arial" w:eastAsia="宋体" w:cs="Arial"/>
          <w:snapToGrid w:val="0"/>
          <w:lang w:eastAsia="zh-CN"/>
        </w:rPr>
        <w:t>21 CFR 3.2</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2</w:t>
      </w:r>
      <w:r>
        <w:rPr>
          <w:rFonts w:hint="eastAsia" w:ascii="Arial" w:hAnsi="Arial" w:eastAsia="宋体" w:cs="Arial"/>
          <w:snapToGrid w:val="0"/>
          <w:lang w:eastAsia="zh-CN"/>
        </w:rPr>
        <w:t>））</w:t>
      </w:r>
    </w:p>
    <w:p w14:paraId="68D4727F">
      <w:pPr>
        <w:pStyle w:val="5"/>
        <w:topLinePunct/>
        <w:adjustRightInd w:val="0"/>
        <w:snapToGrid w:val="0"/>
        <w:spacing w:after="224" w:afterLines="75" w:line="288" w:lineRule="auto"/>
        <w:ind w:left="0" w:firstLine="0"/>
        <w:jc w:val="both"/>
        <w:rPr>
          <w:rFonts w:ascii="Arial" w:hAnsi="Arial" w:eastAsia="宋体" w:cs="Arial"/>
          <w:snapToGrid w:val="0"/>
          <w:szCs w:val="20"/>
          <w:lang w:eastAsia="zh-CN"/>
        </w:rPr>
      </w:pPr>
      <w:r>
        <w:rPr>
          <w:rFonts w:hint="eastAsia" w:ascii="Arial" w:hAnsi="Arial" w:eastAsia="宋体" w:cs="Arial"/>
          <w:b/>
          <w:snapToGrid w:val="0"/>
          <w:lang w:eastAsia="zh-CN"/>
        </w:rPr>
        <w:t>交叉标签组合产品：</w:t>
      </w:r>
      <w:r>
        <w:rPr>
          <w:rFonts w:ascii="Arial" w:hAnsi="Arial" w:eastAsia="宋体" w:cs="Arial"/>
          <w:snapToGrid w:val="0"/>
          <w:lang w:eastAsia="zh-CN"/>
        </w:rPr>
        <w:t xml:space="preserve"> </w:t>
      </w:r>
      <w:r>
        <w:rPr>
          <w:rFonts w:hint="eastAsia" w:ascii="Arial" w:hAnsi="Arial" w:eastAsia="宋体" w:cs="Arial"/>
          <w:snapToGrid w:val="0"/>
          <w:lang w:eastAsia="zh-CN"/>
        </w:rPr>
        <w:t>（</w:t>
      </w:r>
      <w:r>
        <w:rPr>
          <w:rFonts w:ascii="Arial" w:hAnsi="Arial" w:eastAsia="宋体" w:cs="Arial"/>
          <w:snapToGrid w:val="0"/>
          <w:lang w:eastAsia="zh-CN"/>
        </w:rPr>
        <w:t>i</w:t>
      </w:r>
      <w:r>
        <w:rPr>
          <w:rFonts w:hint="eastAsia" w:ascii="Arial" w:hAnsi="Arial" w:eastAsia="宋体" w:cs="Arial"/>
          <w:snapToGrid w:val="0"/>
          <w:lang w:eastAsia="zh-CN"/>
        </w:rPr>
        <w:t>）单独包装的且根据其临床试验计划或提议标签预期仅与一种经批准的，单独指定的药品、器械或生物制剂共同使用的一种药品、器械或生物制剂，且为达到预期用途、适应症或效果，需要同时使用这两种产品且提议产品得到批准后，经批准产品的标签将需要更改，例如，以反映预期用途、剂型、剂量、给药途径的变化或剂量的显著变化；或（</w:t>
      </w:r>
      <w:r>
        <w:rPr>
          <w:rFonts w:ascii="Arial" w:hAnsi="Arial" w:eastAsia="宋体" w:cs="Arial"/>
          <w:snapToGrid w:val="0"/>
          <w:lang w:eastAsia="zh-CN"/>
        </w:rPr>
        <w:t>ii</w:t>
      </w:r>
      <w:r>
        <w:rPr>
          <w:rFonts w:hint="eastAsia" w:ascii="Arial" w:hAnsi="Arial" w:eastAsia="宋体" w:cs="Arial"/>
          <w:snapToGrid w:val="0"/>
          <w:lang w:eastAsia="zh-CN"/>
        </w:rPr>
        <w:t>）单独包装的且根据其提议标签仅与另一种单独指定的试验用药品、器械或生物制剂共同使用的所有试验用药品、器械或生物制剂且为达到预期用途、指示或效果需要同时使用这两种产品。（</w:t>
      </w:r>
      <w:r>
        <w:rPr>
          <w:rFonts w:ascii="Arial" w:hAnsi="Arial" w:eastAsia="宋体" w:cs="Arial"/>
          <w:snapToGrid w:val="0"/>
          <w:lang w:eastAsia="zh-CN"/>
        </w:rPr>
        <w:t>21 CFR 3.2</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3</w:t>
      </w:r>
      <w:r>
        <w:rPr>
          <w:rFonts w:hint="eastAsia" w:ascii="Arial" w:hAnsi="Arial" w:eastAsia="宋体" w:cs="Arial"/>
          <w:snapToGrid w:val="0"/>
          <w:lang w:eastAsia="zh-CN"/>
        </w:rPr>
        <w:t>）和</w:t>
      </w:r>
      <w:r>
        <w:rPr>
          <w:rFonts w:ascii="Arial" w:hAnsi="Arial" w:eastAsia="宋体" w:cs="Arial"/>
          <w:snapToGrid w:val="0"/>
          <w:lang w:eastAsia="zh-CN"/>
        </w:rPr>
        <w:t>21 CFR 3.2</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4</w:t>
      </w:r>
      <w:r>
        <w:rPr>
          <w:rFonts w:hint="eastAsia" w:ascii="Arial" w:hAnsi="Arial" w:eastAsia="宋体" w:cs="Arial"/>
          <w:snapToGrid w:val="0"/>
          <w:lang w:eastAsia="zh-CN"/>
        </w:rPr>
        <w:t>））</w:t>
      </w:r>
    </w:p>
    <w:p w14:paraId="337DE953">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基于器械</w:t>
      </w:r>
      <w:r>
        <w:rPr>
          <w:rFonts w:ascii="Arial" w:hAnsi="Arial" w:eastAsia="宋体" w:cs="Arial"/>
          <w:b/>
          <w:snapToGrid w:val="0"/>
          <w:lang w:eastAsia="zh-CN"/>
        </w:rPr>
        <w:t>QS</w:t>
      </w:r>
      <w:r>
        <w:rPr>
          <w:rFonts w:hint="eastAsia" w:ascii="Arial" w:hAnsi="Arial" w:eastAsia="宋体" w:cs="Arial"/>
          <w:b/>
          <w:snapToGrid w:val="0"/>
          <w:lang w:eastAsia="zh-CN"/>
        </w:rPr>
        <w:t>规章的简化方法：</w:t>
      </w:r>
      <w:r>
        <w:rPr>
          <w:rFonts w:hint="eastAsia" w:ascii="Arial" w:hAnsi="Arial" w:eastAsia="宋体" w:cs="Arial"/>
          <w:snapToGrid w:val="0"/>
          <w:lang w:eastAsia="zh-CN"/>
        </w:rPr>
        <w:t>预期证明符合器械QS规章的所有条款和依照21 CFR 4.4（b）（2）符合药品CGMP中的以下条款的</w:t>
      </w:r>
      <w:r>
        <w:rPr>
          <w:rFonts w:ascii="Arial" w:hAnsi="Arial" w:eastAsia="宋体" w:cs="Arial"/>
          <w:snapToGrid w:val="0"/>
          <w:lang w:eastAsia="zh-CN"/>
        </w:rPr>
        <w:t>CGMP</w:t>
      </w:r>
      <w:r>
        <w:rPr>
          <w:rFonts w:hint="eastAsia" w:ascii="Arial" w:hAnsi="Arial" w:eastAsia="宋体" w:cs="Arial"/>
          <w:snapToGrid w:val="0"/>
          <w:lang w:eastAsia="zh-CN"/>
        </w:rPr>
        <w:t>操作系统：</w:t>
      </w:r>
    </w:p>
    <w:p w14:paraId="3F10A48B">
      <w:pPr>
        <w:pStyle w:val="5"/>
        <w:numPr>
          <w:ilvl w:val="0"/>
          <w:numId w:val="18"/>
        </w:numPr>
        <w:tabs>
          <w:tab w:val="left" w:pos="1456"/>
          <w:tab w:val="left" w:pos="3699"/>
        </w:tabs>
        <w:topLinePunct/>
        <w:adjustRightInd w:val="0"/>
        <w:snapToGrid w:val="0"/>
        <w:spacing w:line="288" w:lineRule="auto"/>
        <w:ind w:left="3685" w:leftChars="386" w:hanging="2836" w:hangingChars="1182"/>
        <w:jc w:val="both"/>
        <w:rPr>
          <w:rFonts w:ascii="Arial" w:hAnsi="Arial" w:eastAsia="宋体" w:cs="Arial"/>
          <w:snapToGrid w:val="0"/>
          <w:lang w:eastAsia="zh-CN"/>
        </w:rPr>
      </w:pPr>
      <w:r>
        <w:rPr>
          <w:rFonts w:ascii="Arial" w:hAnsi="Arial" w:eastAsia="宋体" w:cs="Arial"/>
          <w:snapToGrid w:val="0"/>
          <w:lang w:eastAsia="zh-CN"/>
        </w:rPr>
        <w:t>21 CFR 211.84</w:t>
      </w:r>
      <w:r>
        <w:rPr>
          <w:rFonts w:ascii="Arial" w:hAnsi="Arial" w:eastAsia="宋体" w:cs="Arial"/>
          <w:snapToGrid w:val="0"/>
          <w:lang w:eastAsia="zh-CN"/>
        </w:rPr>
        <w:tab/>
      </w:r>
      <w:r>
        <w:rPr>
          <w:rFonts w:hint="eastAsia" w:ascii="Arial" w:hAnsi="Arial" w:eastAsia="宋体" w:cs="Arial"/>
          <w:snapToGrid w:val="0"/>
          <w:lang w:eastAsia="zh-CN"/>
        </w:rPr>
        <w:t>所有成分、药品容器和密封件的测试，和批准或否决</w:t>
      </w:r>
    </w:p>
    <w:p w14:paraId="357482A4">
      <w:pPr>
        <w:pStyle w:val="5"/>
        <w:numPr>
          <w:ilvl w:val="0"/>
          <w:numId w:val="18"/>
        </w:numPr>
        <w:tabs>
          <w:tab w:val="left" w:pos="1456"/>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CFR 211.103</w:t>
      </w:r>
      <w:r>
        <w:rPr>
          <w:rFonts w:ascii="Arial" w:hAnsi="Arial" w:eastAsia="宋体" w:cs="Arial"/>
          <w:snapToGrid w:val="0"/>
        </w:rPr>
        <w:tab/>
      </w:r>
      <w:r>
        <w:rPr>
          <w:rFonts w:hint="eastAsia" w:ascii="Arial" w:hAnsi="Arial" w:eastAsia="宋体" w:cs="Arial"/>
          <w:snapToGrid w:val="0"/>
          <w:lang w:eastAsia="zh-CN"/>
        </w:rPr>
        <w:t>产量计算</w:t>
      </w:r>
    </w:p>
    <w:p w14:paraId="0DAFDC57">
      <w:pPr>
        <w:pStyle w:val="5"/>
        <w:numPr>
          <w:ilvl w:val="0"/>
          <w:numId w:val="18"/>
        </w:numPr>
        <w:tabs>
          <w:tab w:val="left" w:pos="1456"/>
          <w:tab w:val="left" w:pos="3699"/>
        </w:tabs>
        <w:topLinePunct/>
        <w:adjustRightInd w:val="0"/>
        <w:snapToGrid w:val="0"/>
        <w:spacing w:line="288" w:lineRule="auto"/>
        <w:ind w:left="3685" w:leftChars="386" w:hanging="2836" w:hangingChars="1182"/>
        <w:jc w:val="both"/>
        <w:rPr>
          <w:rFonts w:ascii="Arial" w:hAnsi="Arial" w:eastAsia="宋体" w:cs="Arial"/>
          <w:snapToGrid w:val="0"/>
          <w:lang w:eastAsia="zh-CN"/>
        </w:rPr>
      </w:pPr>
      <w:r>
        <w:rPr>
          <w:rFonts w:ascii="Arial" w:hAnsi="Arial" w:eastAsia="宋体" w:cs="Arial"/>
          <w:snapToGrid w:val="0"/>
          <w:lang w:eastAsia="zh-CN"/>
        </w:rPr>
        <w:t>21 CFR 211.132</w:t>
      </w:r>
      <w:r>
        <w:rPr>
          <w:rFonts w:ascii="Arial" w:hAnsi="Arial" w:eastAsia="宋体" w:cs="Arial"/>
          <w:snapToGrid w:val="0"/>
          <w:lang w:eastAsia="zh-CN"/>
        </w:rPr>
        <w:tab/>
      </w:r>
      <w:r>
        <w:rPr>
          <w:rFonts w:hint="eastAsia" w:ascii="Arial" w:hAnsi="Arial" w:eastAsia="宋体" w:cs="Arial"/>
          <w:snapToGrid w:val="0"/>
          <w:lang w:eastAsia="zh-CN"/>
        </w:rPr>
        <w:t>人用非处方（</w:t>
      </w:r>
      <w:r>
        <w:rPr>
          <w:rFonts w:ascii="Arial" w:hAnsi="Arial" w:eastAsia="宋体" w:cs="Arial"/>
          <w:snapToGrid w:val="0"/>
          <w:lang w:eastAsia="zh-CN"/>
        </w:rPr>
        <w:t>OTC</w:t>
      </w:r>
      <w:r>
        <w:rPr>
          <w:rFonts w:hint="eastAsia" w:ascii="Arial" w:hAnsi="Arial" w:eastAsia="宋体" w:cs="Arial"/>
          <w:snapToGrid w:val="0"/>
          <w:lang w:eastAsia="zh-CN"/>
        </w:rPr>
        <w:t>）药的显窃启包装要求</w:t>
      </w:r>
    </w:p>
    <w:p w14:paraId="229A9B46">
      <w:pPr>
        <w:pStyle w:val="5"/>
        <w:numPr>
          <w:ilvl w:val="0"/>
          <w:numId w:val="18"/>
        </w:numPr>
        <w:tabs>
          <w:tab w:val="left" w:pos="1456"/>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21 CFR 211.137</w:t>
      </w:r>
      <w:r>
        <w:rPr>
          <w:rFonts w:ascii="Arial" w:hAnsi="Arial" w:eastAsia="宋体" w:cs="Arial"/>
          <w:snapToGrid w:val="0"/>
        </w:rPr>
        <w:tab/>
      </w:r>
      <w:r>
        <w:rPr>
          <w:rFonts w:hint="eastAsia" w:ascii="Arial" w:hAnsi="Arial" w:eastAsia="宋体" w:cs="Arial"/>
          <w:snapToGrid w:val="0"/>
          <w:lang w:eastAsia="zh-CN"/>
        </w:rPr>
        <w:t>到期日</w:t>
      </w:r>
    </w:p>
    <w:p w14:paraId="5551C905">
      <w:pPr>
        <w:pStyle w:val="5"/>
        <w:numPr>
          <w:ilvl w:val="0"/>
          <w:numId w:val="18"/>
        </w:numPr>
        <w:tabs>
          <w:tab w:val="left" w:pos="1456"/>
          <w:tab w:val="left" w:pos="3699"/>
        </w:tabs>
        <w:topLinePunct/>
        <w:adjustRightInd w:val="0"/>
        <w:snapToGrid w:val="0"/>
        <w:spacing w:line="288" w:lineRule="auto"/>
        <w:ind w:left="3685" w:leftChars="386" w:hanging="2836" w:hangingChars="1182"/>
        <w:jc w:val="both"/>
        <w:rPr>
          <w:rFonts w:ascii="Arial" w:hAnsi="Arial" w:eastAsia="宋体" w:cs="Arial"/>
          <w:snapToGrid w:val="0"/>
          <w:lang w:eastAsia="zh-CN"/>
        </w:rPr>
      </w:pPr>
      <w:r>
        <w:rPr>
          <w:rFonts w:ascii="Arial" w:hAnsi="Arial" w:eastAsia="宋体" w:cs="Arial"/>
          <w:snapToGrid w:val="0"/>
          <w:lang w:eastAsia="zh-CN"/>
        </w:rPr>
        <w:t>21 CFR 211.165</w:t>
      </w:r>
      <w:r>
        <w:rPr>
          <w:rFonts w:ascii="Arial" w:hAnsi="Arial" w:eastAsia="宋体" w:cs="Arial"/>
          <w:snapToGrid w:val="0"/>
          <w:lang w:eastAsia="zh-CN"/>
        </w:rPr>
        <w:tab/>
      </w:r>
      <w:r>
        <w:rPr>
          <w:rFonts w:hint="eastAsia" w:ascii="Arial" w:hAnsi="Arial" w:eastAsia="宋体" w:cs="Arial"/>
          <w:snapToGrid w:val="0"/>
          <w:lang w:eastAsia="zh-CN"/>
        </w:rPr>
        <w:t>销售前的检验与发放</w:t>
      </w:r>
    </w:p>
    <w:p w14:paraId="1F7FB9E3">
      <w:pPr>
        <w:pStyle w:val="5"/>
        <w:numPr>
          <w:ilvl w:val="0"/>
          <w:numId w:val="18"/>
        </w:numPr>
        <w:tabs>
          <w:tab w:val="left" w:pos="1456"/>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21 CFR 211.166</w:t>
      </w:r>
      <w:r>
        <w:rPr>
          <w:rFonts w:ascii="Arial" w:hAnsi="Arial" w:eastAsia="宋体" w:cs="Arial"/>
          <w:snapToGrid w:val="0"/>
        </w:rPr>
        <w:tab/>
      </w:r>
      <w:r>
        <w:rPr>
          <w:rFonts w:hint="eastAsia" w:ascii="Arial" w:hAnsi="Arial" w:eastAsia="宋体" w:cs="Arial"/>
          <w:snapToGrid w:val="0"/>
          <w:lang w:eastAsia="zh-CN"/>
        </w:rPr>
        <w:t>稳定性测试</w:t>
      </w:r>
    </w:p>
    <w:p w14:paraId="133A50C2">
      <w:pPr>
        <w:pStyle w:val="5"/>
        <w:numPr>
          <w:ilvl w:val="0"/>
          <w:numId w:val="18"/>
        </w:numPr>
        <w:tabs>
          <w:tab w:val="left" w:pos="1456"/>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CFR 211.167</w:t>
      </w:r>
      <w:r>
        <w:rPr>
          <w:rFonts w:ascii="Arial" w:hAnsi="Arial" w:eastAsia="宋体" w:cs="Arial"/>
          <w:snapToGrid w:val="0"/>
        </w:rPr>
        <w:tab/>
      </w:r>
      <w:r>
        <w:rPr>
          <w:rFonts w:hint="eastAsia" w:ascii="Arial" w:hAnsi="Arial" w:eastAsia="宋体" w:cs="Arial"/>
          <w:snapToGrid w:val="0"/>
          <w:lang w:eastAsia="zh-CN"/>
        </w:rPr>
        <w:t>特殊检验要求</w:t>
      </w:r>
    </w:p>
    <w:p w14:paraId="1E488BF7">
      <w:pPr>
        <w:pStyle w:val="5"/>
        <w:numPr>
          <w:ilvl w:val="0"/>
          <w:numId w:val="18"/>
        </w:numPr>
        <w:tabs>
          <w:tab w:val="left" w:pos="1456"/>
          <w:tab w:val="left" w:pos="3699"/>
        </w:tabs>
        <w:topLinePunct/>
        <w:adjustRightInd w:val="0"/>
        <w:snapToGrid w:val="0"/>
        <w:spacing w:after="224" w:afterLines="75" w:line="288" w:lineRule="auto"/>
        <w:ind w:left="3685" w:leftChars="386" w:hanging="2836" w:hangingChars="1182"/>
        <w:jc w:val="both"/>
        <w:rPr>
          <w:rFonts w:ascii="Arial" w:hAnsi="Arial" w:eastAsia="宋体" w:cs="Arial"/>
          <w:snapToGrid w:val="0"/>
        </w:rPr>
      </w:pPr>
      <w:r>
        <w:rPr>
          <w:rFonts w:ascii="Arial" w:hAnsi="Arial" w:eastAsia="宋体" w:cs="Arial"/>
          <w:snapToGrid w:val="0"/>
        </w:rPr>
        <w:t>CFR 211.170</w:t>
      </w:r>
      <w:r>
        <w:rPr>
          <w:rFonts w:ascii="Arial" w:hAnsi="Arial" w:eastAsia="宋体" w:cs="Arial"/>
          <w:snapToGrid w:val="0"/>
        </w:rPr>
        <w:tab/>
      </w:r>
      <w:r>
        <w:rPr>
          <w:rFonts w:hint="eastAsia" w:ascii="Arial" w:hAnsi="Arial" w:eastAsia="宋体" w:cs="Arial"/>
          <w:snapToGrid w:val="0"/>
          <w:lang w:eastAsia="zh-CN"/>
        </w:rPr>
        <w:t>保留样品</w:t>
      </w:r>
    </w:p>
    <w:p w14:paraId="3F19649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药品</w:t>
      </w:r>
      <w:r>
        <w:rPr>
          <w:rFonts w:ascii="Arial" w:hAnsi="Arial" w:eastAsia="宋体" w:cs="Arial"/>
          <w:b/>
          <w:snapToGrid w:val="0"/>
          <w:lang w:eastAsia="zh-CN"/>
        </w:rPr>
        <w:t xml:space="preserve">CGMP: </w:t>
      </w:r>
      <w:r>
        <w:rPr>
          <w:rFonts w:ascii="Arial" w:hAnsi="Arial" w:eastAsia="宋体" w:cs="Arial"/>
          <w:snapToGrid w:val="0"/>
          <w:lang w:eastAsia="zh-CN"/>
        </w:rPr>
        <w:t>21 CFR</w:t>
      </w:r>
      <w:r>
        <w:rPr>
          <w:rFonts w:hint="eastAsia" w:ascii="Arial" w:hAnsi="Arial" w:eastAsia="宋体" w:cs="Arial"/>
          <w:snapToGrid w:val="0"/>
          <w:lang w:eastAsia="zh-CN"/>
        </w:rPr>
        <w:t>第</w:t>
      </w:r>
      <w:r>
        <w:rPr>
          <w:rFonts w:ascii="Arial" w:hAnsi="Arial" w:eastAsia="宋体" w:cs="Arial"/>
          <w:snapToGrid w:val="0"/>
          <w:lang w:eastAsia="zh-CN"/>
        </w:rPr>
        <w:t>210</w:t>
      </w:r>
      <w:r>
        <w:rPr>
          <w:rFonts w:hint="eastAsia" w:ascii="Arial" w:hAnsi="Arial" w:eastAsia="宋体" w:cs="Arial"/>
          <w:snapToGrid w:val="0"/>
          <w:lang w:eastAsia="zh-CN"/>
        </w:rPr>
        <w:t>和第</w:t>
      </w:r>
      <w:r>
        <w:rPr>
          <w:rFonts w:ascii="Arial" w:hAnsi="Arial" w:eastAsia="宋体" w:cs="Arial"/>
          <w:snapToGrid w:val="0"/>
          <w:lang w:eastAsia="zh-CN"/>
        </w:rPr>
        <w:t>211</w:t>
      </w:r>
      <w:r>
        <w:rPr>
          <w:rFonts w:hint="eastAsia" w:ascii="Arial" w:hAnsi="Arial" w:eastAsia="宋体" w:cs="Arial"/>
          <w:snapToGrid w:val="0"/>
          <w:lang w:eastAsia="zh-CN"/>
        </w:rPr>
        <w:t>部分提出的现行良好生产规范条例。（</w:t>
      </w:r>
      <w:r>
        <w:rPr>
          <w:rFonts w:ascii="Arial" w:hAnsi="Arial" w:eastAsia="宋体" w:cs="Arial"/>
          <w:snapToGrid w:val="0"/>
          <w:lang w:eastAsia="zh-CN"/>
        </w:rPr>
        <w:t>21 CFR 4.2</w:t>
      </w:r>
      <w:r>
        <w:rPr>
          <w:rFonts w:hint="eastAsia" w:ascii="Arial" w:hAnsi="Arial" w:eastAsia="宋体" w:cs="Arial"/>
          <w:snapToGrid w:val="0"/>
          <w:lang w:eastAsia="zh-CN"/>
        </w:rPr>
        <w:t>）</w:t>
      </w:r>
    </w:p>
    <w:p w14:paraId="1EEABF34">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基于药品</w:t>
      </w:r>
      <w:r>
        <w:rPr>
          <w:rFonts w:ascii="Arial" w:hAnsi="Arial" w:eastAsia="宋体" w:cs="Arial"/>
          <w:b/>
          <w:snapToGrid w:val="0"/>
          <w:lang w:eastAsia="zh-CN"/>
        </w:rPr>
        <w:t>CGMP</w:t>
      </w:r>
      <w:r>
        <w:rPr>
          <w:rFonts w:hint="eastAsia" w:ascii="Arial" w:hAnsi="Arial" w:eastAsia="宋体" w:cs="Arial"/>
          <w:b/>
          <w:snapToGrid w:val="0"/>
          <w:lang w:eastAsia="zh-CN"/>
        </w:rPr>
        <w:t>的简化方法：</w:t>
      </w:r>
      <w:r>
        <w:rPr>
          <w:rFonts w:hint="eastAsia" w:ascii="Arial" w:hAnsi="Arial" w:eastAsia="宋体" w:cs="Arial"/>
          <w:snapToGrid w:val="0"/>
          <w:lang w:eastAsia="zh-CN"/>
        </w:rPr>
        <w:t>预期证明符合药品</w:t>
      </w:r>
      <w:r>
        <w:rPr>
          <w:rFonts w:ascii="Arial" w:hAnsi="Arial" w:eastAsia="宋体" w:cs="Arial"/>
          <w:snapToGrid w:val="0"/>
          <w:lang w:eastAsia="zh-CN"/>
        </w:rPr>
        <w:t>CGMP</w:t>
      </w:r>
      <w:r>
        <w:rPr>
          <w:rFonts w:hint="eastAsia" w:ascii="Arial" w:hAnsi="Arial" w:eastAsia="宋体" w:cs="Arial"/>
          <w:snapToGrid w:val="0"/>
          <w:lang w:eastAsia="zh-CN"/>
        </w:rPr>
        <w:t>的所有条款和依照</w:t>
      </w:r>
      <w:r>
        <w:rPr>
          <w:rFonts w:ascii="Arial" w:hAnsi="Arial" w:eastAsia="宋体" w:cs="Arial"/>
          <w:snapToGrid w:val="0"/>
          <w:lang w:eastAsia="zh-CN"/>
        </w:rPr>
        <w:t>21 CFR 4.4</w:t>
      </w:r>
      <w:r>
        <w:rPr>
          <w:rFonts w:hint="eastAsia" w:ascii="Arial" w:hAnsi="Arial" w:eastAsia="宋体" w:cs="Arial"/>
          <w:snapToGrid w:val="0"/>
          <w:lang w:eastAsia="zh-CN"/>
        </w:rPr>
        <w:t>（</w:t>
      </w:r>
      <w:r>
        <w:rPr>
          <w:rFonts w:ascii="Arial" w:hAnsi="Arial" w:eastAsia="宋体" w:cs="Arial"/>
          <w:snapToGrid w:val="0"/>
          <w:lang w:eastAsia="zh-CN"/>
        </w:rPr>
        <w:t>b</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）符合器械</w:t>
      </w:r>
      <w:r>
        <w:rPr>
          <w:rFonts w:ascii="Arial" w:hAnsi="Arial" w:eastAsia="宋体" w:cs="Arial"/>
          <w:snapToGrid w:val="0"/>
          <w:lang w:eastAsia="zh-CN"/>
        </w:rPr>
        <w:t>QS</w:t>
      </w:r>
      <w:r>
        <w:rPr>
          <w:rFonts w:hint="eastAsia" w:ascii="Arial" w:hAnsi="Arial" w:eastAsia="宋体" w:cs="Arial"/>
          <w:snapToGrid w:val="0"/>
          <w:lang w:eastAsia="zh-CN"/>
        </w:rPr>
        <w:t>规章中的以下条款的</w:t>
      </w:r>
      <w:r>
        <w:rPr>
          <w:rFonts w:ascii="Arial" w:hAnsi="Arial" w:eastAsia="宋体" w:cs="Arial"/>
          <w:snapToGrid w:val="0"/>
          <w:lang w:eastAsia="zh-CN"/>
        </w:rPr>
        <w:t>CGMP</w:t>
      </w:r>
      <w:r>
        <w:rPr>
          <w:rFonts w:hint="eastAsia" w:ascii="Arial" w:hAnsi="Arial" w:eastAsia="宋体" w:cs="Arial"/>
          <w:snapToGrid w:val="0"/>
          <w:lang w:eastAsia="zh-CN"/>
        </w:rPr>
        <w:t>操作系统：</w:t>
      </w:r>
    </w:p>
    <w:p w14:paraId="2187B0D3">
      <w:pPr>
        <w:pStyle w:val="5"/>
        <w:numPr>
          <w:ilvl w:val="0"/>
          <w:numId w:val="19"/>
        </w:numPr>
        <w:tabs>
          <w:tab w:val="left" w:pos="1418"/>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21 CFR 820.20</w:t>
      </w:r>
      <w:r>
        <w:rPr>
          <w:rFonts w:ascii="Arial" w:hAnsi="Arial" w:eastAsia="宋体" w:cs="Arial"/>
          <w:snapToGrid w:val="0"/>
        </w:rPr>
        <w:tab/>
      </w:r>
      <w:r>
        <w:rPr>
          <w:rFonts w:hint="eastAsia" w:ascii="Arial" w:hAnsi="Arial" w:eastAsia="宋体" w:cs="Arial"/>
          <w:snapToGrid w:val="0"/>
          <w:lang w:eastAsia="zh-CN"/>
        </w:rPr>
        <w:t>管理责任</w:t>
      </w:r>
    </w:p>
    <w:p w14:paraId="76578794">
      <w:pPr>
        <w:pStyle w:val="5"/>
        <w:numPr>
          <w:ilvl w:val="0"/>
          <w:numId w:val="19"/>
        </w:numPr>
        <w:tabs>
          <w:tab w:val="left" w:pos="1418"/>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CFR 820.30</w:t>
      </w:r>
      <w:r>
        <w:rPr>
          <w:rFonts w:ascii="Arial" w:hAnsi="Arial" w:eastAsia="宋体" w:cs="Arial"/>
          <w:snapToGrid w:val="0"/>
        </w:rPr>
        <w:tab/>
      </w:r>
      <w:r>
        <w:rPr>
          <w:rFonts w:hint="eastAsia" w:ascii="Arial" w:hAnsi="Arial" w:eastAsia="宋体" w:cs="Arial"/>
          <w:snapToGrid w:val="0"/>
          <w:lang w:eastAsia="zh-CN"/>
        </w:rPr>
        <w:t>设计控制</w:t>
      </w:r>
    </w:p>
    <w:p w14:paraId="137DCA41">
      <w:pPr>
        <w:pStyle w:val="5"/>
        <w:numPr>
          <w:ilvl w:val="0"/>
          <w:numId w:val="19"/>
        </w:numPr>
        <w:tabs>
          <w:tab w:val="left" w:pos="1418"/>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21 CFR 820.50</w:t>
      </w:r>
      <w:r>
        <w:rPr>
          <w:rFonts w:ascii="Arial" w:hAnsi="Arial" w:eastAsia="宋体" w:cs="Arial"/>
          <w:snapToGrid w:val="0"/>
        </w:rPr>
        <w:tab/>
      </w:r>
      <w:r>
        <w:rPr>
          <w:rFonts w:hint="eastAsia" w:ascii="Arial" w:hAnsi="Arial" w:eastAsia="宋体" w:cs="Arial"/>
          <w:snapToGrid w:val="0"/>
          <w:lang w:eastAsia="zh-CN"/>
        </w:rPr>
        <w:t>采购控制</w:t>
      </w:r>
    </w:p>
    <w:p w14:paraId="73672AFE">
      <w:pPr>
        <w:pStyle w:val="5"/>
        <w:numPr>
          <w:ilvl w:val="0"/>
          <w:numId w:val="19"/>
        </w:numPr>
        <w:tabs>
          <w:tab w:val="left" w:pos="1418"/>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21 CFR 820.100</w:t>
      </w:r>
      <w:r>
        <w:rPr>
          <w:rFonts w:ascii="Arial" w:hAnsi="Arial" w:eastAsia="宋体" w:cs="Arial"/>
          <w:snapToGrid w:val="0"/>
        </w:rPr>
        <w:tab/>
      </w:r>
      <w:r>
        <w:rPr>
          <w:rFonts w:hint="eastAsia" w:ascii="Arial" w:hAnsi="Arial" w:eastAsia="宋体" w:cs="Arial"/>
          <w:snapToGrid w:val="0"/>
          <w:lang w:eastAsia="zh-CN"/>
        </w:rPr>
        <w:t>纠正预防措施</w:t>
      </w:r>
    </w:p>
    <w:p w14:paraId="723065A1">
      <w:pPr>
        <w:pStyle w:val="5"/>
        <w:numPr>
          <w:ilvl w:val="0"/>
          <w:numId w:val="19"/>
        </w:numPr>
        <w:tabs>
          <w:tab w:val="left" w:pos="1418"/>
          <w:tab w:val="left" w:pos="3699"/>
        </w:tabs>
        <w:topLinePunct/>
        <w:adjustRightInd w:val="0"/>
        <w:snapToGrid w:val="0"/>
        <w:spacing w:line="288" w:lineRule="auto"/>
        <w:ind w:left="3685" w:leftChars="386" w:hanging="2836" w:hangingChars="1182"/>
        <w:jc w:val="both"/>
        <w:rPr>
          <w:rFonts w:ascii="Arial" w:hAnsi="Arial" w:eastAsia="宋体" w:cs="Arial"/>
          <w:snapToGrid w:val="0"/>
        </w:rPr>
      </w:pPr>
      <w:r>
        <w:rPr>
          <w:rFonts w:ascii="Arial" w:hAnsi="Arial" w:eastAsia="宋体" w:cs="Arial"/>
          <w:snapToGrid w:val="0"/>
        </w:rPr>
        <w:t>21 CFR 820.170</w:t>
      </w:r>
      <w:r>
        <w:rPr>
          <w:rFonts w:ascii="Arial" w:hAnsi="Arial" w:eastAsia="宋体" w:cs="Arial"/>
          <w:snapToGrid w:val="0"/>
        </w:rPr>
        <w:tab/>
      </w:r>
      <w:r>
        <w:rPr>
          <w:rFonts w:hint="eastAsia" w:ascii="Arial" w:hAnsi="Arial" w:eastAsia="宋体" w:cs="Arial"/>
          <w:snapToGrid w:val="0"/>
          <w:lang w:eastAsia="zh-CN"/>
        </w:rPr>
        <w:t>安装</w:t>
      </w:r>
    </w:p>
    <w:p w14:paraId="5AB7597B">
      <w:pPr>
        <w:pStyle w:val="5"/>
        <w:numPr>
          <w:ilvl w:val="0"/>
          <w:numId w:val="19"/>
        </w:numPr>
        <w:tabs>
          <w:tab w:val="left" w:pos="1418"/>
          <w:tab w:val="left" w:pos="3699"/>
        </w:tabs>
        <w:topLinePunct/>
        <w:adjustRightInd w:val="0"/>
        <w:snapToGrid w:val="0"/>
        <w:spacing w:after="224" w:afterLines="75" w:line="288" w:lineRule="auto"/>
        <w:ind w:left="3685" w:leftChars="386" w:hanging="2836" w:hangingChars="1182"/>
        <w:jc w:val="both"/>
        <w:rPr>
          <w:rFonts w:ascii="Arial" w:hAnsi="Arial" w:eastAsia="宋体" w:cs="Arial"/>
          <w:snapToGrid w:val="0"/>
        </w:rPr>
      </w:pPr>
      <w:r>
        <w:rPr>
          <w:rFonts w:ascii="Arial" w:hAnsi="Arial" w:eastAsia="宋体" w:cs="Arial"/>
          <w:snapToGrid w:val="0"/>
        </w:rPr>
        <w:t>21 CFR 820.200</w:t>
      </w:r>
      <w:r>
        <w:rPr>
          <w:rFonts w:ascii="Arial" w:hAnsi="Arial" w:eastAsia="宋体" w:cs="Arial"/>
          <w:snapToGrid w:val="0"/>
        </w:rPr>
        <w:tab/>
      </w:r>
      <w:r>
        <w:rPr>
          <w:rFonts w:hint="eastAsia" w:ascii="Arial" w:hAnsi="Arial" w:eastAsia="宋体" w:cs="Arial"/>
          <w:snapToGrid w:val="0"/>
          <w:lang w:eastAsia="zh-CN"/>
        </w:rPr>
        <w:t>维修</w:t>
      </w:r>
    </w:p>
    <w:p w14:paraId="07479BD2">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首要中心：</w:t>
      </w:r>
      <w:r>
        <w:rPr>
          <w:rFonts w:hint="eastAsia" w:ascii="Arial" w:hAnsi="Arial" w:eastAsia="宋体" w:cs="Arial"/>
          <w:snapToGrid w:val="0"/>
          <w:lang w:eastAsia="zh-CN"/>
        </w:rPr>
        <w:t>对组合产品上市前审核和监管有优先管辖权的FDA中心（</w:t>
      </w:r>
      <w:r>
        <w:rPr>
          <w:rFonts w:ascii="Arial" w:hAnsi="Arial" w:eastAsia="宋体" w:cs="Arial"/>
          <w:snapToGrid w:val="0"/>
          <w:lang w:eastAsia="zh-CN"/>
        </w:rPr>
        <w:t>CBER</w:t>
      </w:r>
      <w:r>
        <w:rPr>
          <w:rFonts w:hint="eastAsia" w:ascii="Arial" w:hAnsi="Arial" w:eastAsia="宋体" w:cs="Arial"/>
          <w:snapToGrid w:val="0"/>
          <w:lang w:eastAsia="zh-CN"/>
        </w:rPr>
        <w:t>、</w:t>
      </w:r>
      <w:r>
        <w:rPr>
          <w:rFonts w:ascii="Arial" w:hAnsi="Arial" w:eastAsia="宋体" w:cs="Arial"/>
          <w:snapToGrid w:val="0"/>
          <w:lang w:eastAsia="zh-CN"/>
        </w:rPr>
        <w:t>CDER</w:t>
      </w:r>
      <w:r>
        <w:rPr>
          <w:rFonts w:hint="eastAsia" w:ascii="Arial" w:hAnsi="Arial" w:eastAsia="宋体" w:cs="Arial"/>
          <w:snapToGrid w:val="0"/>
          <w:lang w:eastAsia="zh-CN"/>
        </w:rPr>
        <w:t>或</w:t>
      </w:r>
      <w:r>
        <w:rPr>
          <w:rFonts w:ascii="Arial" w:hAnsi="Arial" w:eastAsia="宋体" w:cs="Arial"/>
          <w:snapToGrid w:val="0"/>
          <w:lang w:eastAsia="zh-CN"/>
        </w:rPr>
        <w:t>CDRH</w:t>
      </w:r>
      <w:r>
        <w:rPr>
          <w:rFonts w:hint="eastAsia" w:ascii="Arial" w:hAnsi="Arial" w:eastAsia="宋体" w:cs="Arial"/>
          <w:snapToGrid w:val="0"/>
          <w:lang w:eastAsia="zh-CN"/>
        </w:rPr>
        <w:t>）。</w:t>
      </w:r>
    </w:p>
    <w:p w14:paraId="038F7471">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制造：</w:t>
      </w:r>
      <w:r>
        <w:rPr>
          <w:rFonts w:hint="eastAsia" w:ascii="Arial" w:hAnsi="Arial" w:eastAsia="宋体" w:cs="Arial"/>
          <w:snapToGrid w:val="0"/>
          <w:lang w:eastAsia="zh-CN"/>
        </w:rPr>
        <w:t>包括但不限于设计、制造、装配、填充、加工、测试、贴标签、包装、重新包装、仓贮、和储存。（</w:t>
      </w:r>
      <w:r>
        <w:rPr>
          <w:rFonts w:ascii="Arial" w:hAnsi="Arial" w:eastAsia="宋体" w:cs="Arial"/>
          <w:snapToGrid w:val="0"/>
          <w:lang w:eastAsia="zh-CN"/>
        </w:rPr>
        <w:t>21 CFR 4.2</w:t>
      </w:r>
      <w:r>
        <w:rPr>
          <w:rFonts w:hint="eastAsia" w:ascii="Arial" w:hAnsi="Arial" w:eastAsia="宋体" w:cs="Arial"/>
          <w:snapToGrid w:val="0"/>
          <w:lang w:eastAsia="zh-CN"/>
        </w:rPr>
        <w:t>）</w:t>
      </w:r>
    </w:p>
    <w:p w14:paraId="076A013B">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ascii="Arial" w:hAnsi="Arial" w:eastAsia="宋体" w:cs="Arial"/>
          <w:b/>
          <w:snapToGrid w:val="0"/>
          <w:lang w:eastAsia="zh-CN"/>
        </w:rPr>
        <w:t>CGMP</w:t>
      </w:r>
      <w:r>
        <w:rPr>
          <w:rFonts w:hint="eastAsia" w:ascii="Arial" w:hAnsi="Arial" w:eastAsia="宋体" w:cs="Arial"/>
          <w:b/>
          <w:snapToGrid w:val="0"/>
          <w:lang w:eastAsia="zh-CN"/>
        </w:rPr>
        <w:t>操作系统：</w:t>
      </w:r>
      <w:r>
        <w:rPr>
          <w:rFonts w:hint="eastAsia" w:ascii="Arial" w:hAnsi="Arial" w:eastAsia="宋体" w:cs="Arial"/>
          <w:snapToGrid w:val="0"/>
          <w:lang w:eastAsia="zh-CN"/>
        </w:rPr>
        <w:t>机构内为解决并满足组合产品现行良好生产规范要求设计并执行的操作系统。</w:t>
      </w:r>
      <w:r>
        <w:rPr>
          <w:rFonts w:ascii="Arial" w:hAnsi="Arial" w:eastAsia="宋体" w:cs="Arial"/>
          <w:snapToGrid w:val="0"/>
          <w:lang w:eastAsia="zh-CN"/>
        </w:rPr>
        <w:t xml:space="preserve"> </w:t>
      </w:r>
      <w:r>
        <w:rPr>
          <w:rFonts w:hint="eastAsia" w:ascii="Arial" w:hAnsi="Arial" w:eastAsia="宋体" w:cs="Arial"/>
          <w:snapToGrid w:val="0"/>
          <w:lang w:eastAsia="zh-CN"/>
        </w:rPr>
        <w:t>（</w:t>
      </w:r>
      <w:r>
        <w:rPr>
          <w:rFonts w:ascii="Arial" w:hAnsi="Arial" w:eastAsia="宋体" w:cs="Arial"/>
          <w:snapToGrid w:val="0"/>
          <w:lang w:eastAsia="zh-CN"/>
        </w:rPr>
        <w:t>21 CFR 4.2</w:t>
      </w:r>
      <w:r>
        <w:rPr>
          <w:rFonts w:hint="eastAsia" w:ascii="Arial" w:hAnsi="Arial" w:eastAsia="宋体" w:cs="Arial"/>
          <w:snapToGrid w:val="0"/>
          <w:lang w:eastAsia="zh-CN"/>
        </w:rPr>
        <w:t>）</w:t>
      </w:r>
    </w:p>
    <w:p w14:paraId="3A43F48E">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所有人：</w:t>
      </w:r>
      <w:r>
        <w:rPr>
          <w:rFonts w:hint="eastAsia" w:ascii="Arial" w:hAnsi="Arial" w:eastAsia="宋体" w:cs="Arial"/>
          <w:snapToGrid w:val="0"/>
          <w:lang w:eastAsia="zh-CN"/>
        </w:rPr>
        <w:t>在本指南中，指持有组合产品上市许可的实体（无论该实体是否直接参与产品制造）。</w:t>
      </w:r>
    </w:p>
    <w:p w14:paraId="15EBDDF3">
      <w:pPr>
        <w:topLinePunct/>
        <w:adjustRightInd w:val="0"/>
        <w:snapToGrid w:val="0"/>
        <w:spacing w:after="224" w:afterLines="75" w:line="288" w:lineRule="auto"/>
        <w:jc w:val="both"/>
        <w:rPr>
          <w:rFonts w:ascii="Arial" w:hAnsi="Arial" w:eastAsia="宋体" w:cs="Arial"/>
          <w:snapToGrid w:val="0"/>
          <w:sz w:val="24"/>
          <w:szCs w:val="24"/>
          <w:lang w:eastAsia="zh-CN"/>
        </w:rPr>
      </w:pPr>
      <w:r>
        <w:rPr>
          <w:rFonts w:hint="eastAsia" w:ascii="Arial" w:hAnsi="Arial" w:eastAsia="宋体" w:cs="Arial"/>
          <w:b/>
          <w:snapToGrid w:val="0"/>
          <w:sz w:val="24"/>
          <w:lang w:eastAsia="zh-CN"/>
        </w:rPr>
        <w:t>器械</w:t>
      </w:r>
      <w:r>
        <w:rPr>
          <w:rFonts w:ascii="Arial" w:hAnsi="Arial" w:eastAsia="宋体" w:cs="Arial"/>
          <w:b/>
          <w:snapToGrid w:val="0"/>
          <w:sz w:val="24"/>
          <w:lang w:eastAsia="zh-CN"/>
        </w:rPr>
        <w:t>QS</w:t>
      </w:r>
      <w:r>
        <w:rPr>
          <w:rFonts w:hint="eastAsia" w:ascii="Arial" w:hAnsi="Arial" w:eastAsia="宋体" w:cs="Arial"/>
          <w:b/>
          <w:snapToGrid w:val="0"/>
          <w:sz w:val="24"/>
          <w:lang w:eastAsia="zh-CN"/>
        </w:rPr>
        <w:t>规章：</w:t>
      </w:r>
      <w:r>
        <w:rPr>
          <w:rFonts w:ascii="Arial" w:hAnsi="Arial" w:eastAsia="宋体" w:cs="Arial"/>
          <w:snapToGrid w:val="0"/>
          <w:sz w:val="24"/>
          <w:lang w:eastAsia="zh-CN"/>
        </w:rPr>
        <w:t>21 CFR</w:t>
      </w:r>
      <w:r>
        <w:rPr>
          <w:rFonts w:hint="eastAsia" w:ascii="Arial" w:hAnsi="Arial" w:eastAsia="宋体" w:cs="Arial"/>
          <w:snapToGrid w:val="0"/>
          <w:sz w:val="24"/>
          <w:lang w:eastAsia="zh-CN"/>
        </w:rPr>
        <w:t>第</w:t>
      </w:r>
      <w:r>
        <w:rPr>
          <w:rFonts w:ascii="Arial" w:hAnsi="Arial" w:eastAsia="宋体" w:cs="Arial"/>
          <w:snapToGrid w:val="0"/>
          <w:sz w:val="24"/>
          <w:lang w:eastAsia="zh-CN"/>
        </w:rPr>
        <w:t>820</w:t>
      </w:r>
      <w:r>
        <w:rPr>
          <w:rFonts w:hint="eastAsia" w:ascii="Arial" w:hAnsi="Arial" w:eastAsia="宋体" w:cs="Arial"/>
          <w:snapToGrid w:val="0"/>
          <w:sz w:val="24"/>
          <w:lang w:eastAsia="zh-CN"/>
        </w:rPr>
        <w:t>部分中的质量体系规章。</w:t>
      </w:r>
      <w:r>
        <w:rPr>
          <w:rFonts w:ascii="Arial" w:hAnsi="Arial" w:eastAsia="宋体" w:cs="Arial"/>
          <w:snapToGrid w:val="0"/>
          <w:sz w:val="24"/>
          <w:lang w:eastAsia="zh-CN"/>
        </w:rPr>
        <w:t>（21 CFR 4.2）</w:t>
      </w:r>
    </w:p>
    <w:p w14:paraId="167CC44F">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单一实体组合产品：</w:t>
      </w:r>
      <w:r>
        <w:rPr>
          <w:rFonts w:hint="eastAsia" w:ascii="Arial" w:hAnsi="Arial" w:eastAsia="宋体" w:cs="Arial"/>
          <w:snapToGrid w:val="0"/>
          <w:lang w:eastAsia="zh-CN"/>
        </w:rPr>
        <w:t>由两种或两种以上受监管组成部分，即药品</w:t>
      </w:r>
      <w:r>
        <w:rPr>
          <w:rFonts w:ascii="Arial" w:hAnsi="Arial" w:eastAsia="宋体" w:cs="Arial"/>
          <w:snapToGrid w:val="0"/>
          <w:lang w:eastAsia="zh-CN"/>
        </w:rPr>
        <w:t>／</w:t>
      </w:r>
      <w:r>
        <w:rPr>
          <w:rFonts w:hint="eastAsia" w:ascii="Arial" w:hAnsi="Arial" w:eastAsia="宋体" w:cs="Arial"/>
          <w:snapToGrid w:val="0"/>
          <w:lang w:eastAsia="zh-CN"/>
        </w:rPr>
        <w:t>器械、生物制剂</w:t>
      </w:r>
      <w:r>
        <w:rPr>
          <w:rFonts w:ascii="Arial" w:hAnsi="Arial" w:eastAsia="宋体" w:cs="Arial"/>
          <w:snapToGrid w:val="0"/>
          <w:lang w:eastAsia="zh-CN"/>
        </w:rPr>
        <w:t>／</w:t>
      </w:r>
      <w:r>
        <w:rPr>
          <w:rFonts w:hint="eastAsia" w:ascii="Arial" w:hAnsi="Arial" w:eastAsia="宋体" w:cs="Arial"/>
          <w:snapToGrid w:val="0"/>
          <w:lang w:eastAsia="zh-CN"/>
        </w:rPr>
        <w:t>器械、药品</w:t>
      </w:r>
      <w:r>
        <w:rPr>
          <w:rFonts w:ascii="Arial" w:hAnsi="Arial" w:eastAsia="宋体" w:cs="Arial"/>
          <w:snapToGrid w:val="0"/>
          <w:lang w:eastAsia="zh-CN"/>
        </w:rPr>
        <w:t>／</w:t>
      </w:r>
      <w:r>
        <w:rPr>
          <w:rFonts w:hint="eastAsia" w:ascii="Arial" w:hAnsi="Arial" w:eastAsia="宋体" w:cs="Arial"/>
          <w:snapToGrid w:val="0"/>
          <w:lang w:eastAsia="zh-CN"/>
        </w:rPr>
        <w:t>生物制剂、或药品</w:t>
      </w:r>
      <w:r>
        <w:rPr>
          <w:rFonts w:ascii="Arial" w:hAnsi="Arial" w:eastAsia="宋体" w:cs="Arial"/>
          <w:snapToGrid w:val="0"/>
          <w:lang w:eastAsia="zh-CN"/>
        </w:rPr>
        <w:t>／</w:t>
      </w:r>
      <w:r>
        <w:rPr>
          <w:rFonts w:hint="eastAsia" w:ascii="Arial" w:hAnsi="Arial" w:eastAsia="宋体" w:cs="Arial"/>
          <w:snapToGrid w:val="0"/>
          <w:lang w:eastAsia="zh-CN"/>
        </w:rPr>
        <w:t>器械</w:t>
      </w:r>
      <w:r>
        <w:rPr>
          <w:rFonts w:ascii="Arial" w:hAnsi="Arial" w:eastAsia="宋体" w:cs="Arial"/>
          <w:snapToGrid w:val="0"/>
          <w:lang w:eastAsia="zh-CN"/>
        </w:rPr>
        <w:t>／</w:t>
      </w:r>
      <w:r>
        <w:rPr>
          <w:rFonts w:hint="eastAsia" w:ascii="Arial" w:hAnsi="Arial" w:eastAsia="宋体" w:cs="Arial"/>
          <w:snapToGrid w:val="0"/>
          <w:lang w:eastAsia="zh-CN"/>
        </w:rPr>
        <w:t>生物制剂构成的，通过物理、化学方式或其它方式组合或混合并作为单一实体生产的产品。（</w:t>
      </w:r>
      <w:r>
        <w:rPr>
          <w:rFonts w:ascii="Arial" w:hAnsi="Arial" w:eastAsia="宋体" w:cs="Arial"/>
          <w:snapToGrid w:val="0"/>
          <w:lang w:eastAsia="zh-CN"/>
        </w:rPr>
        <w:t>21CFR 3.2</w:t>
      </w:r>
      <w:r>
        <w:rPr>
          <w:rFonts w:hint="eastAsia" w:ascii="Arial" w:hAnsi="Arial" w:eastAsia="宋体" w:cs="Arial"/>
          <w:snapToGrid w:val="0"/>
          <w:lang w:eastAsia="zh-CN"/>
        </w:rPr>
        <w:t>（</w:t>
      </w:r>
      <w:r>
        <w:rPr>
          <w:rFonts w:ascii="Arial" w:hAnsi="Arial" w:eastAsia="宋体" w:cs="Arial"/>
          <w:snapToGrid w:val="0"/>
          <w:lang w:eastAsia="zh-CN"/>
        </w:rPr>
        <w:t>e</w:t>
      </w:r>
      <w:r>
        <w:rPr>
          <w:rFonts w:hint="eastAsia" w:ascii="Arial" w:hAnsi="Arial" w:eastAsia="宋体" w:cs="Arial"/>
          <w:snapToGrid w:val="0"/>
          <w:lang w:eastAsia="zh-CN"/>
        </w:rPr>
        <w:t>）（</w:t>
      </w:r>
      <w:r>
        <w:rPr>
          <w:rFonts w:ascii="Arial" w:hAnsi="Arial" w:eastAsia="宋体" w:cs="Arial"/>
          <w:snapToGrid w:val="0"/>
          <w:lang w:eastAsia="zh-CN"/>
        </w:rPr>
        <w:t>1</w:t>
      </w:r>
      <w:r>
        <w:rPr>
          <w:rFonts w:hint="eastAsia" w:ascii="Arial" w:hAnsi="Arial" w:eastAsia="宋体" w:cs="Arial"/>
          <w:snapToGrid w:val="0"/>
          <w:lang w:eastAsia="zh-CN"/>
        </w:rPr>
        <w:t>））</w:t>
      </w:r>
    </w:p>
    <w:p w14:paraId="2F10A1F6">
      <w:pPr>
        <w:pStyle w:val="5"/>
        <w:topLinePunct/>
        <w:adjustRightInd w:val="0"/>
        <w:snapToGrid w:val="0"/>
        <w:spacing w:after="224" w:afterLines="75" w:line="288" w:lineRule="auto"/>
        <w:ind w:left="0" w:firstLine="0"/>
        <w:jc w:val="both"/>
        <w:rPr>
          <w:rFonts w:ascii="Arial" w:hAnsi="Arial" w:eastAsia="宋体" w:cs="Arial"/>
          <w:snapToGrid w:val="0"/>
          <w:lang w:eastAsia="zh-CN"/>
        </w:rPr>
      </w:pPr>
      <w:r>
        <w:rPr>
          <w:rFonts w:hint="eastAsia" w:ascii="Arial" w:hAnsi="Arial" w:eastAsia="宋体" w:cs="Arial"/>
          <w:b/>
          <w:snapToGrid w:val="0"/>
          <w:lang w:eastAsia="zh-CN"/>
        </w:rPr>
        <w:t>简化方法：</w:t>
      </w:r>
      <w:r>
        <w:rPr>
          <w:rFonts w:ascii="Arial" w:hAnsi="Arial" w:eastAsia="宋体" w:cs="Arial"/>
          <w:snapToGrid w:val="0"/>
          <w:lang w:eastAsia="zh-CN"/>
        </w:rPr>
        <w:t>21 CFR</w:t>
      </w:r>
      <w:r>
        <w:rPr>
          <w:rFonts w:hint="eastAsia" w:ascii="Arial" w:hAnsi="Arial" w:eastAsia="宋体" w:cs="Arial"/>
          <w:snapToGrid w:val="0"/>
          <w:lang w:eastAsia="zh-CN"/>
        </w:rPr>
        <w:t>第4部分许可的两种方法中的任一方法，这两种方法允许组合产品制造商设计并实施证明符合第</w:t>
      </w:r>
      <w:r>
        <w:rPr>
          <w:rFonts w:ascii="Arial" w:hAnsi="Arial" w:eastAsia="宋体" w:cs="Arial"/>
          <w:snapToGrid w:val="0"/>
          <w:lang w:eastAsia="zh-CN"/>
        </w:rPr>
        <w:t>211</w:t>
      </w:r>
      <w:r>
        <w:rPr>
          <w:rFonts w:hint="eastAsia" w:ascii="Arial" w:hAnsi="Arial" w:eastAsia="宋体" w:cs="Arial"/>
          <w:snapToGrid w:val="0"/>
          <w:lang w:eastAsia="zh-CN"/>
        </w:rPr>
        <w:t>或第820部分的全部条款和两者中另一套条例中指定条款的</w:t>
      </w:r>
      <w:r>
        <w:rPr>
          <w:rFonts w:ascii="Arial" w:hAnsi="Arial" w:eastAsia="宋体" w:cs="Arial"/>
          <w:snapToGrid w:val="0"/>
          <w:lang w:eastAsia="zh-CN"/>
        </w:rPr>
        <w:t>CGMP</w:t>
      </w:r>
      <w:r>
        <w:rPr>
          <w:rFonts w:hint="eastAsia" w:ascii="Arial" w:hAnsi="Arial" w:eastAsia="宋体" w:cs="Arial"/>
          <w:snapToGrid w:val="0"/>
          <w:lang w:eastAsia="zh-CN"/>
        </w:rPr>
        <w:t>操作系统，以证明同时满足药品</w:t>
      </w:r>
      <w:r>
        <w:rPr>
          <w:rFonts w:ascii="Arial" w:hAnsi="Arial" w:eastAsia="宋体" w:cs="Arial"/>
          <w:snapToGrid w:val="0"/>
          <w:lang w:eastAsia="zh-CN"/>
        </w:rPr>
        <w:t>CGMP</w:t>
      </w:r>
      <w:r>
        <w:rPr>
          <w:rFonts w:hint="eastAsia" w:ascii="Arial" w:hAnsi="Arial" w:eastAsia="宋体" w:cs="Arial"/>
          <w:snapToGrid w:val="0"/>
          <w:lang w:eastAsia="zh-CN"/>
        </w:rPr>
        <w:t>和器械</w:t>
      </w:r>
      <w:r>
        <w:rPr>
          <w:rFonts w:ascii="Arial" w:hAnsi="Arial" w:eastAsia="宋体" w:cs="Arial"/>
          <w:snapToGrid w:val="0"/>
          <w:lang w:eastAsia="zh-CN"/>
        </w:rPr>
        <w:t>QS</w:t>
      </w:r>
      <w:r>
        <w:rPr>
          <w:rFonts w:hint="eastAsia" w:ascii="Arial" w:hAnsi="Arial" w:eastAsia="宋体" w:cs="Arial"/>
          <w:snapToGrid w:val="0"/>
          <w:lang w:eastAsia="zh-CN"/>
        </w:rPr>
        <w:t>规章。</w:t>
      </w:r>
    </w:p>
    <w:p w14:paraId="6C2B5384">
      <w:pPr>
        <w:pStyle w:val="21"/>
        <w:numPr>
          <w:ilvl w:val="0"/>
          <w:numId w:val="1"/>
        </w:numPr>
        <w:tabs>
          <w:tab w:val="left" w:pos="840"/>
        </w:tabs>
        <w:topLinePunct/>
        <w:adjustRightInd w:val="0"/>
        <w:snapToGrid w:val="0"/>
        <w:spacing w:after="224" w:afterLines="75" w:line="288" w:lineRule="auto"/>
        <w:ind w:left="0" w:firstLine="0"/>
        <w:jc w:val="both"/>
        <w:outlineLvl w:val="9"/>
        <w:rPr>
          <w:rFonts w:ascii="Arial" w:hAnsi="Arial" w:eastAsia="宋体" w:cs="Arial"/>
          <w:b w:val="0"/>
          <w:bCs w:val="0"/>
          <w:snapToGrid w:val="0"/>
          <w:sz w:val="28"/>
          <w:lang w:eastAsia="zh-CN"/>
        </w:rPr>
      </w:pPr>
      <w:bookmarkStart w:id="194" w:name="VIII._References"/>
      <w:bookmarkEnd w:id="194"/>
      <w:bookmarkStart w:id="195" w:name="_bookmark177"/>
      <w:bookmarkEnd w:id="195"/>
      <w:bookmarkStart w:id="196" w:name="_Toc498640483"/>
      <w:r>
        <w:rPr>
          <w:rFonts w:hint="eastAsia" w:ascii="Arial" w:hAnsi="Arial" w:eastAsia="宋体" w:cs="Arial"/>
          <w:snapToGrid w:val="0"/>
          <w:sz w:val="28"/>
          <w:lang w:eastAsia="zh-CN"/>
        </w:rPr>
        <w:t>参考文献</w:t>
      </w:r>
      <w:bookmarkEnd w:id="196"/>
    </w:p>
    <w:p w14:paraId="2D981040">
      <w:pPr>
        <w:topLinePunct/>
        <w:adjustRightInd w:val="0"/>
        <w:snapToGrid w:val="0"/>
        <w:spacing w:after="224" w:afterLines="75" w:line="288" w:lineRule="auto"/>
        <w:jc w:val="center"/>
        <w:rPr>
          <w:rFonts w:ascii="Arial" w:hAnsi="Arial" w:eastAsia="宋体" w:cs="Arial"/>
          <w:snapToGrid w:val="0"/>
          <w:sz w:val="24"/>
          <w:szCs w:val="24"/>
          <w:lang w:eastAsia="zh-CN"/>
        </w:rPr>
      </w:pPr>
      <w:r>
        <w:rPr>
          <w:rFonts w:hint="eastAsia" w:ascii="Arial" w:hAnsi="Arial" w:eastAsia="宋体" w:cs="Arial"/>
          <w:i/>
          <w:snapToGrid w:val="0"/>
          <w:sz w:val="24"/>
          <w:lang w:eastAsia="zh-CN"/>
        </w:rPr>
        <w:t>器械</w:t>
      </w:r>
    </w:p>
    <w:p w14:paraId="75615DA5">
      <w:pPr>
        <w:pStyle w:val="5"/>
        <w:numPr>
          <w:ilvl w:val="0"/>
          <w:numId w:val="20"/>
        </w:numPr>
        <w:tabs>
          <w:tab w:val="left" w:pos="840"/>
        </w:tabs>
        <w:topLinePunct/>
        <w:adjustRightInd w:val="0"/>
        <w:snapToGrid w:val="0"/>
        <w:spacing w:after="224" w:afterLines="75" w:line="288" w:lineRule="auto"/>
        <w:ind w:left="426" w:hanging="426"/>
        <w:jc w:val="left"/>
        <w:rPr>
          <w:rFonts w:ascii="Arial" w:hAnsi="Arial" w:eastAsia="宋体" w:cs="Arial"/>
          <w:snapToGrid w:val="0"/>
          <w:lang w:eastAsia="zh-CN"/>
        </w:rPr>
      </w:pPr>
      <w:r>
        <w:rPr>
          <w:rFonts w:hint="eastAsia" w:ascii="Arial" w:hAnsi="Arial" w:eastAsia="宋体" w:cs="Arial"/>
          <w:snapToGrid w:val="0"/>
          <w:lang w:eastAsia="zh-CN"/>
        </w:rPr>
        <w:t>人为因素和可用性工程对医疗器械的应用</w:t>
      </w:r>
      <w:r>
        <w:fldChar w:fldCharType="begin"/>
      </w:r>
      <w:r>
        <w:instrText xml:space="preserve"> HYPERLINK "file:///\\\\shundajiayi\\翻译客户\\翻译客户\\交流中心\\2017\\9月\\0928石慧\\需要翻译的指导原则（三）\\需要翻译的指导原则（三）\\（http:\\www.fda.gov\\downloads\\MedicalDevices\\...\\UCM259760.pdf）" </w:instrText>
      </w:r>
      <w:r>
        <w:fldChar w:fldCharType="separate"/>
      </w:r>
      <w:r>
        <w:rPr>
          <w:rStyle w:val="16"/>
          <w:rFonts w:ascii="Arial" w:hAnsi="Arial" w:eastAsia="宋体" w:cs="Arial"/>
          <w:snapToGrid w:val="0"/>
          <w:lang w:eastAsia="zh-CN"/>
        </w:rPr>
        <w:t xml:space="preserve"> </w:t>
      </w:r>
      <w:r>
        <w:rPr>
          <w:rStyle w:val="16"/>
          <w:rFonts w:hint="eastAsia" w:ascii="Arial" w:hAnsi="Arial" w:eastAsia="宋体" w:cs="Arial"/>
          <w:snapToGrid w:val="0"/>
          <w:lang w:eastAsia="zh-CN"/>
        </w:rPr>
        <w:t>（</w:t>
      </w:r>
      <w:r>
        <w:rPr>
          <w:rStyle w:val="16"/>
          <w:rFonts w:ascii="Arial" w:hAnsi="Arial" w:eastAsia="宋体" w:cs="Arial"/>
          <w:snapToGrid w:val="0"/>
          <w:lang w:eastAsia="zh-CN"/>
        </w:rPr>
        <w:t>http://www.fda.gov/downloads/MedicalDevices/.../UCM259760.pdf</w:t>
      </w:r>
      <w:r>
        <w:rPr>
          <w:rStyle w:val="16"/>
          <w:rFonts w:hint="eastAsia" w:ascii="Arial" w:hAnsi="Arial" w:eastAsia="宋体" w:cs="Arial"/>
          <w:snapToGrid w:val="0"/>
          <w:lang w:eastAsia="zh-CN"/>
        </w:rPr>
        <w:t>）</w:t>
      </w:r>
      <w:r>
        <w:rPr>
          <w:rStyle w:val="16"/>
          <w:rFonts w:hint="eastAsia" w:ascii="Arial" w:hAnsi="Arial" w:eastAsia="宋体" w:cs="Arial"/>
          <w:snapToGrid w:val="0"/>
          <w:lang w:eastAsia="zh-CN"/>
        </w:rPr>
        <w:fldChar w:fldCharType="end"/>
      </w:r>
      <w:r>
        <w:rPr>
          <w:rFonts w:ascii="Arial" w:hAnsi="Arial" w:eastAsia="宋体" w:cs="Arial"/>
          <w:snapToGrid w:val="0"/>
          <w:lang w:eastAsia="zh-CN"/>
        </w:rPr>
        <w:t xml:space="preserve"> </w:t>
      </w:r>
      <w:r>
        <w:rPr>
          <w:rFonts w:hint="eastAsia" w:ascii="Arial" w:hAnsi="Arial" w:eastAsia="宋体" w:cs="Arial"/>
          <w:snapToGrid w:val="0"/>
          <w:lang w:eastAsia="zh-CN"/>
        </w:rPr>
        <w:t>（</w:t>
      </w:r>
      <w:r>
        <w:rPr>
          <w:rFonts w:ascii="Arial" w:hAnsi="Arial" w:eastAsia="宋体" w:cs="Arial"/>
          <w:snapToGrid w:val="0"/>
          <w:lang w:eastAsia="zh-CN"/>
        </w:rPr>
        <w:t>2016</w:t>
      </w:r>
      <w:r>
        <w:rPr>
          <w:rFonts w:hint="eastAsia" w:ascii="Arial" w:hAnsi="Arial" w:eastAsia="宋体" w:cs="Arial"/>
          <w:snapToGrid w:val="0"/>
          <w:lang w:eastAsia="zh-CN"/>
        </w:rPr>
        <w:t>年2月）</w:t>
      </w:r>
    </w:p>
    <w:p w14:paraId="3B27D876">
      <w:pPr>
        <w:pStyle w:val="5"/>
        <w:numPr>
          <w:ilvl w:val="0"/>
          <w:numId w:val="20"/>
        </w:numPr>
        <w:tabs>
          <w:tab w:val="left" w:pos="840"/>
        </w:tabs>
        <w:topLinePunct/>
        <w:adjustRightInd w:val="0"/>
        <w:snapToGrid w:val="0"/>
        <w:spacing w:after="224" w:afterLines="75" w:line="288" w:lineRule="auto"/>
        <w:ind w:left="426" w:hanging="426"/>
        <w:jc w:val="left"/>
        <w:rPr>
          <w:rFonts w:ascii="Arial" w:hAnsi="Arial" w:eastAsia="宋体" w:cs="Arial"/>
          <w:snapToGrid w:val="0"/>
          <w:lang w:eastAsia="zh-CN"/>
        </w:rPr>
      </w:pPr>
      <w:r>
        <w:rPr>
          <w:rFonts w:hint="eastAsia" w:ascii="Arial" w:hAnsi="Arial" w:eastAsia="宋体" w:cs="Arial"/>
          <w:snapToGrid w:val="0"/>
          <w:lang w:eastAsia="zh-CN"/>
        </w:rPr>
        <w:t>医疗器械制造商设计控制指南，行业指南（</w:t>
      </w:r>
      <w:r>
        <w:rPr>
          <w:rFonts w:ascii="Arial" w:hAnsi="Arial" w:eastAsia="宋体" w:cs="Arial"/>
          <w:snapToGrid w:val="0"/>
          <w:lang w:eastAsia="zh-CN"/>
        </w:rPr>
        <w:t>1997</w:t>
      </w:r>
      <w:r>
        <w:rPr>
          <w:rFonts w:hint="eastAsia" w:ascii="Arial" w:hAnsi="Arial" w:eastAsia="宋体" w:cs="Arial"/>
          <w:snapToGrid w:val="0"/>
          <w:lang w:eastAsia="zh-CN"/>
        </w:rPr>
        <w:t>年3月）（</w:t>
      </w:r>
      <w:r>
        <w:fldChar w:fldCharType="begin"/>
      </w:r>
      <w:r>
        <w:instrText xml:space="preserve"> HYPERLINK "http://www.fda.gov/downloads/MedicalDevices/DeviceRegulationandGuidance/Guidanc" </w:instrText>
      </w:r>
      <w:r>
        <w:fldChar w:fldCharType="separate"/>
      </w:r>
      <w:r>
        <w:rPr>
          <w:rStyle w:val="16"/>
          <w:rFonts w:ascii="Arial" w:hAnsi="Arial" w:eastAsia="宋体" w:cs="Arial"/>
          <w:snapToGrid w:val="0"/>
          <w:u w:color="0000FF"/>
          <w:lang w:eastAsia="zh-CN"/>
        </w:rPr>
        <w:t>http://www.fda.gov/downloads/MedicalDevices/DeviceRegulationandGuidance/Guidanc</w:t>
      </w:r>
      <w:r>
        <w:rPr>
          <w:rStyle w:val="16"/>
          <w:rFonts w:ascii="Arial" w:hAnsi="Arial" w:eastAsia="宋体" w:cs="Arial"/>
          <w:snapToGrid w:val="0"/>
          <w:u w:color="0000FF"/>
          <w:lang w:eastAsia="zh-CN"/>
        </w:rPr>
        <w:fldChar w:fldCharType="end"/>
      </w:r>
      <w:r>
        <w:fldChar w:fldCharType="begin"/>
      </w:r>
      <w:r>
        <w:instrText xml:space="preserve"> HYPERLINK "http://www.fda.gov/downloads/MedicalDevices/DeviceRegulationandGuidance/GuidanceDocuments/ucm070642.pdf" \h </w:instrText>
      </w:r>
      <w:r>
        <w:fldChar w:fldCharType="separate"/>
      </w:r>
      <w:r>
        <w:rPr>
          <w:rFonts w:ascii="Arial" w:hAnsi="Arial" w:eastAsia="宋体" w:cs="Arial"/>
          <w:snapToGrid w:val="0"/>
          <w:color w:val="0000FF"/>
          <w:u w:val="single" w:color="0000FF"/>
          <w:lang w:eastAsia="zh-CN"/>
        </w:rPr>
        <w:t>eDocuments/ucm070642.pdf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559B671D">
      <w:pPr>
        <w:pStyle w:val="5"/>
        <w:numPr>
          <w:ilvl w:val="0"/>
          <w:numId w:val="20"/>
        </w:numPr>
        <w:tabs>
          <w:tab w:val="left" w:pos="840"/>
        </w:tabs>
        <w:topLinePunct/>
        <w:adjustRightInd w:val="0"/>
        <w:snapToGrid w:val="0"/>
        <w:spacing w:after="224" w:afterLines="75" w:line="288" w:lineRule="auto"/>
        <w:ind w:left="426" w:hanging="426"/>
        <w:jc w:val="left"/>
        <w:rPr>
          <w:rFonts w:ascii="Arial" w:hAnsi="Arial" w:eastAsia="宋体" w:cs="Arial"/>
          <w:snapToGrid w:val="0"/>
          <w:lang w:eastAsia="zh-CN"/>
        </w:rPr>
      </w:pPr>
      <w:r>
        <w:rPr>
          <w:rFonts w:hint="eastAsia" w:ascii="Arial" w:hAnsi="Arial" w:eastAsia="宋体" w:cs="Arial"/>
          <w:snapToGrid w:val="0"/>
          <w:lang w:eastAsia="zh-CN"/>
        </w:rPr>
        <w:t>输送药品和生物制剂的玻璃注射器</w:t>
      </w:r>
      <w:bookmarkStart w:id="197" w:name="OLE_LINK25"/>
      <w:bookmarkStart w:id="198" w:name="OLE_LINK24"/>
      <w:r>
        <w:rPr>
          <w:rFonts w:hint="eastAsia" w:ascii="Arial" w:hAnsi="Arial" w:eastAsia="宋体" w:cs="Arial"/>
          <w:snapToGrid w:val="0"/>
          <w:lang w:eastAsia="zh-CN"/>
        </w:rPr>
        <w:t>：国际标准化组织（</w:t>
      </w:r>
      <w:r>
        <w:rPr>
          <w:rFonts w:ascii="Arial" w:hAnsi="Arial" w:eastAsia="宋体" w:cs="Arial"/>
          <w:snapToGrid w:val="0"/>
          <w:lang w:eastAsia="zh-CN"/>
        </w:rPr>
        <w:t>ISO</w:t>
      </w:r>
      <w:r>
        <w:rPr>
          <w:rFonts w:hint="eastAsia" w:ascii="Arial" w:hAnsi="Arial" w:eastAsia="宋体" w:cs="Arial"/>
          <w:snapToGrid w:val="0"/>
          <w:lang w:eastAsia="zh-CN"/>
        </w:rPr>
        <w:t>）</w:t>
      </w:r>
      <w:bookmarkEnd w:id="197"/>
      <w:bookmarkEnd w:id="198"/>
      <w:r>
        <w:rPr>
          <w:rFonts w:hint="eastAsia" w:ascii="Arial" w:hAnsi="Arial" w:eastAsia="宋体" w:cs="Arial"/>
          <w:snapToGrid w:val="0"/>
          <w:lang w:eastAsia="zh-CN"/>
        </w:rPr>
        <w:t>标准</w:t>
      </w:r>
      <w:r>
        <w:rPr>
          <w:rFonts w:ascii="Arial" w:hAnsi="Arial" w:eastAsia="宋体" w:cs="Arial"/>
          <w:snapToGrid w:val="0"/>
          <w:lang w:eastAsia="zh-CN"/>
        </w:rPr>
        <w:t>11040-4</w:t>
      </w:r>
      <w:r>
        <w:rPr>
          <w:rFonts w:hint="eastAsia" w:ascii="Arial" w:hAnsi="Arial" w:eastAsia="宋体" w:cs="Arial"/>
          <w:snapToGrid w:val="0"/>
          <w:lang w:eastAsia="zh-CN"/>
        </w:rPr>
        <w:t>的补充技术资料</w:t>
      </w:r>
      <w:r>
        <w:rPr>
          <w:rFonts w:ascii="Arial" w:hAnsi="Arial" w:eastAsia="宋体" w:cs="Arial"/>
          <w:snapToGrid w:val="0"/>
          <w:lang w:eastAsia="zh-CN"/>
        </w:rPr>
        <w:t>–</w:t>
      </w:r>
      <w:r>
        <w:rPr>
          <w:rFonts w:hint="eastAsia" w:ascii="Arial" w:hAnsi="Arial" w:eastAsia="宋体" w:cs="Arial"/>
          <w:snapToGrid w:val="0"/>
          <w:lang w:eastAsia="zh-CN"/>
        </w:rPr>
        <w:t>行业及FDA工作人员指南草案（</w:t>
      </w:r>
      <w:r>
        <w:rPr>
          <w:rFonts w:ascii="Arial" w:hAnsi="Arial" w:eastAsia="宋体" w:cs="Arial"/>
          <w:snapToGrid w:val="0"/>
          <w:lang w:eastAsia="zh-CN"/>
        </w:rPr>
        <w:t>2013</w:t>
      </w:r>
      <w:r>
        <w:rPr>
          <w:rFonts w:hint="eastAsia" w:ascii="Arial" w:hAnsi="Arial" w:eastAsia="宋体" w:cs="Arial"/>
          <w:snapToGrid w:val="0"/>
          <w:lang w:eastAsia="zh-CN"/>
        </w:rPr>
        <w:t>年4月）</w:t>
      </w:r>
      <w:r>
        <w:fldChar w:fldCharType="begin"/>
      </w:r>
      <w:r>
        <w:instrText xml:space="preserve"> HYPERLINK "file:///\\\\shundajiayi\\翻译客户\\翻译客户\\交流中心\\2017\\9月\\0928石慧\\需要翻译的指导原则（三）\\需要翻译的指导原则（三）\\（http:\\www.fda.gov\\downloads\\RegulatoryInformation\\Guidances\\UCM346181.pdf）" </w:instrText>
      </w:r>
      <w:r>
        <w:fldChar w:fldCharType="separate"/>
      </w:r>
      <w:r>
        <w:rPr>
          <w:rStyle w:val="16"/>
          <w:rFonts w:ascii="Arial" w:hAnsi="Arial" w:eastAsia="宋体" w:cs="Arial"/>
          <w:snapToGrid w:val="0"/>
          <w:lang w:eastAsia="zh-CN"/>
        </w:rPr>
        <w:t xml:space="preserve"> </w:t>
      </w:r>
      <w:r>
        <w:rPr>
          <w:rStyle w:val="16"/>
          <w:rFonts w:hint="eastAsia" w:ascii="Arial" w:hAnsi="Arial" w:eastAsia="宋体" w:cs="Arial"/>
          <w:snapToGrid w:val="0"/>
          <w:lang w:eastAsia="zh-CN"/>
        </w:rPr>
        <w:t>（</w:t>
      </w:r>
      <w:r>
        <w:rPr>
          <w:rStyle w:val="16"/>
          <w:rFonts w:ascii="Arial" w:hAnsi="Arial" w:eastAsia="宋体" w:cs="Arial"/>
          <w:snapToGrid w:val="0"/>
          <w:lang w:eastAsia="zh-CN"/>
        </w:rPr>
        <w:t>http://www.fda.gov/downloads/RegulatoryInformation/Guidances/UCM346181.pdf</w:t>
      </w:r>
      <w:r>
        <w:rPr>
          <w:rStyle w:val="16"/>
          <w:rFonts w:hint="eastAsia" w:ascii="Arial" w:hAnsi="Arial" w:eastAsia="宋体" w:cs="Arial"/>
          <w:snapToGrid w:val="0"/>
          <w:lang w:eastAsia="zh-CN"/>
        </w:rPr>
        <w:t>）</w:t>
      </w:r>
      <w:r>
        <w:rPr>
          <w:rStyle w:val="16"/>
          <w:rFonts w:hint="eastAsia" w:ascii="Arial" w:hAnsi="Arial" w:eastAsia="宋体" w:cs="Arial"/>
          <w:snapToGrid w:val="0"/>
          <w:lang w:eastAsia="zh-CN"/>
        </w:rPr>
        <w:fldChar w:fldCharType="end"/>
      </w:r>
    </w:p>
    <w:p w14:paraId="6825587E">
      <w:pPr>
        <w:pStyle w:val="5"/>
        <w:numPr>
          <w:ilvl w:val="0"/>
          <w:numId w:val="20"/>
        </w:numPr>
        <w:tabs>
          <w:tab w:val="left" w:pos="840"/>
        </w:tabs>
        <w:topLinePunct/>
        <w:adjustRightInd w:val="0"/>
        <w:snapToGrid w:val="0"/>
        <w:spacing w:after="224" w:afterLines="75" w:line="288" w:lineRule="auto"/>
        <w:ind w:left="426" w:hanging="426"/>
        <w:jc w:val="left"/>
        <w:rPr>
          <w:rFonts w:ascii="Arial" w:hAnsi="Arial" w:eastAsia="宋体" w:cs="Arial"/>
          <w:snapToGrid w:val="0"/>
          <w:lang w:eastAsia="zh-CN"/>
        </w:rPr>
      </w:pPr>
      <w:r>
        <w:rPr>
          <w:rFonts w:hint="eastAsia" w:ascii="Arial" w:hAnsi="Arial" w:eastAsia="宋体" w:cs="Arial"/>
          <w:snapToGrid w:val="0"/>
          <w:lang w:eastAsia="zh-CN"/>
        </w:rPr>
        <w:t>某些上市前申请审核的质量体系资料，行业及FDA工作人员指南（</w:t>
      </w:r>
      <w:r>
        <w:rPr>
          <w:rFonts w:ascii="Arial" w:hAnsi="Arial" w:eastAsia="宋体" w:cs="Arial"/>
          <w:snapToGrid w:val="0"/>
          <w:lang w:eastAsia="zh-CN"/>
        </w:rPr>
        <w:t>2003</w:t>
      </w:r>
      <w:r>
        <w:rPr>
          <w:rFonts w:hint="eastAsia" w:ascii="Arial" w:hAnsi="Arial" w:eastAsia="宋体" w:cs="Arial"/>
          <w:snapToGrid w:val="0"/>
          <w:lang w:eastAsia="zh-CN"/>
        </w:rPr>
        <w:t>年2月3日）（</w:t>
      </w:r>
      <w:r>
        <w:fldChar w:fldCharType="begin"/>
      </w:r>
      <w:r>
        <w:instrText xml:space="preserve"> HYPERLINK "http://www.fda.gov/downloads/MedicalDevices/DeviceRegulationandGuidance/Guidanc" </w:instrText>
      </w:r>
      <w:r>
        <w:fldChar w:fldCharType="separate"/>
      </w:r>
      <w:r>
        <w:rPr>
          <w:rStyle w:val="16"/>
          <w:rFonts w:ascii="Arial" w:hAnsi="Arial" w:eastAsia="宋体" w:cs="Arial"/>
          <w:snapToGrid w:val="0"/>
          <w:u w:color="0000FF"/>
          <w:lang w:eastAsia="zh-CN"/>
        </w:rPr>
        <w:t>http://www.fda.gov/downloads/MedicalDevices/DeviceRegulationandGuidance/Guidanc</w:t>
      </w:r>
      <w:r>
        <w:rPr>
          <w:rStyle w:val="16"/>
          <w:rFonts w:ascii="Arial" w:hAnsi="Arial" w:eastAsia="宋体" w:cs="Arial"/>
          <w:snapToGrid w:val="0"/>
          <w:u w:color="0000FF"/>
          <w:lang w:eastAsia="zh-CN"/>
        </w:rPr>
        <w:fldChar w:fldCharType="end"/>
      </w:r>
      <w:r>
        <w:fldChar w:fldCharType="begin"/>
      </w:r>
      <w:r>
        <w:instrText xml:space="preserve"> HYPERLINK "http://www.fda.gov/downloads/MedicalDevices/DeviceRegulationandGuidance/GuidanceDocuments/ucm070899.pdf" \h </w:instrText>
      </w:r>
      <w:r>
        <w:fldChar w:fldCharType="separate"/>
      </w:r>
      <w:r>
        <w:rPr>
          <w:rFonts w:ascii="Arial" w:hAnsi="Arial" w:eastAsia="宋体" w:cs="Arial"/>
          <w:snapToGrid w:val="0"/>
          <w:color w:val="0000FF"/>
          <w:u w:val="single" w:color="0000FF"/>
          <w:lang w:eastAsia="zh-CN"/>
        </w:rPr>
        <w:t>eDocuments/ucm070899.pdf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7F02FDA3">
      <w:pPr>
        <w:pStyle w:val="5"/>
        <w:numPr>
          <w:ilvl w:val="0"/>
          <w:numId w:val="20"/>
        </w:numPr>
        <w:tabs>
          <w:tab w:val="left" w:pos="840"/>
        </w:tabs>
        <w:topLinePunct/>
        <w:adjustRightInd w:val="0"/>
        <w:snapToGrid w:val="0"/>
        <w:spacing w:after="224" w:afterLines="75" w:line="288" w:lineRule="auto"/>
        <w:ind w:left="426" w:hanging="426"/>
        <w:jc w:val="left"/>
        <w:rPr>
          <w:rFonts w:ascii="Arial" w:hAnsi="Arial" w:eastAsia="宋体" w:cs="Arial"/>
          <w:snapToGrid w:val="0"/>
          <w:lang w:eastAsia="zh-CN"/>
        </w:rPr>
      </w:pPr>
      <w:r>
        <w:rPr>
          <w:rFonts w:hint="eastAsia" w:ascii="Arial" w:hAnsi="Arial" w:eastAsia="宋体" w:cs="Arial"/>
          <w:snapToGrid w:val="0"/>
          <w:lang w:eastAsia="zh-CN"/>
        </w:rPr>
        <w:t>请求得到关于医疗器械提交资料的反馈：预提交程序和</w:t>
      </w:r>
      <w:bookmarkStart w:id="199" w:name="OLE_LINK12"/>
      <w:bookmarkStart w:id="200" w:name="OLE_LINK17"/>
      <w:r>
        <w:rPr>
          <w:rFonts w:hint="eastAsia" w:ascii="Arial" w:hAnsi="Arial" w:eastAsia="宋体" w:cs="Arial"/>
          <w:snapToGrid w:val="0"/>
          <w:lang w:eastAsia="zh-CN"/>
        </w:rPr>
        <w:t>与食品药品监督管理局工作人员的会议</w:t>
      </w:r>
      <w:bookmarkEnd w:id="199"/>
      <w:bookmarkEnd w:id="200"/>
      <w:r>
        <w:rPr>
          <w:rFonts w:hint="eastAsia" w:ascii="Arial" w:hAnsi="Arial" w:eastAsia="宋体" w:cs="Arial"/>
          <w:snapToGrid w:val="0"/>
          <w:lang w:eastAsia="zh-CN"/>
        </w:rPr>
        <w:t>，行业指南（</w:t>
      </w:r>
      <w:r>
        <w:rPr>
          <w:rFonts w:ascii="Arial" w:hAnsi="Arial" w:eastAsia="宋体" w:cs="Arial"/>
          <w:snapToGrid w:val="0"/>
          <w:lang w:eastAsia="zh-CN"/>
        </w:rPr>
        <w:t>2014</w:t>
      </w:r>
      <w:r>
        <w:rPr>
          <w:rFonts w:hint="eastAsia" w:ascii="Arial" w:hAnsi="Arial" w:eastAsia="宋体" w:cs="Arial"/>
          <w:snapToGrid w:val="0"/>
          <w:lang w:eastAsia="zh-CN"/>
        </w:rPr>
        <w:t>年2月）（</w:t>
      </w:r>
      <w:r>
        <w:fldChar w:fldCharType="begin"/>
      </w:r>
      <w:r>
        <w:instrText xml:space="preserve"> HYPERLINK "http://www.fda.gov/downloads/medicaldevices/deviceregulationandguidance/guidanced" </w:instrText>
      </w:r>
      <w:r>
        <w:fldChar w:fldCharType="separate"/>
      </w:r>
      <w:r>
        <w:rPr>
          <w:rStyle w:val="16"/>
          <w:rFonts w:ascii="Arial" w:hAnsi="Arial" w:eastAsia="宋体" w:cs="Arial"/>
          <w:snapToGrid w:val="0"/>
          <w:u w:color="0000FF"/>
          <w:lang w:eastAsia="zh-CN"/>
        </w:rPr>
        <w:t>http://www.fda.gov/downloads/medicaldevices/deviceregulationandguidance/guidanced</w:t>
      </w:r>
      <w:r>
        <w:rPr>
          <w:rStyle w:val="16"/>
          <w:rFonts w:ascii="Arial" w:hAnsi="Arial" w:eastAsia="宋体" w:cs="Arial"/>
          <w:snapToGrid w:val="0"/>
          <w:u w:color="0000FF"/>
          <w:lang w:eastAsia="zh-CN"/>
        </w:rPr>
        <w:fldChar w:fldCharType="end"/>
      </w:r>
      <w:r>
        <w:fldChar w:fldCharType="begin"/>
      </w:r>
      <w:r>
        <w:instrText xml:space="preserve"> HYPERLINK "http://www.fda.gov/downloads/medicaldevices/deviceregulationandguidance/guidancedocuments/ucm311176.pdf" \h </w:instrText>
      </w:r>
      <w:r>
        <w:fldChar w:fldCharType="separate"/>
      </w:r>
      <w:r>
        <w:rPr>
          <w:rFonts w:ascii="Arial" w:hAnsi="Arial" w:eastAsia="宋体" w:cs="Arial"/>
          <w:snapToGrid w:val="0"/>
          <w:color w:val="0000FF"/>
          <w:u w:val="single" w:color="0000FF"/>
          <w:lang w:eastAsia="zh-CN"/>
        </w:rPr>
        <w:t>ocuments/ucm311176.pdf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78685258">
      <w:pPr>
        <w:pStyle w:val="5"/>
        <w:numPr>
          <w:ilvl w:val="0"/>
          <w:numId w:val="20"/>
        </w:numPr>
        <w:tabs>
          <w:tab w:val="left" w:pos="426"/>
        </w:tabs>
        <w:topLinePunct/>
        <w:adjustRightInd w:val="0"/>
        <w:snapToGrid w:val="0"/>
        <w:spacing w:after="224" w:afterLines="75" w:line="288" w:lineRule="auto"/>
        <w:ind w:left="426" w:hanging="426"/>
        <w:jc w:val="left"/>
        <w:rPr>
          <w:rFonts w:ascii="Arial" w:hAnsi="Arial" w:eastAsia="宋体" w:cs="Arial"/>
          <w:snapToGrid w:val="0"/>
          <w:lang w:eastAsia="zh-CN"/>
        </w:rPr>
      </w:pPr>
      <w:r>
        <w:rPr>
          <w:rFonts w:hint="eastAsia" w:ascii="Arial" w:hAnsi="Arial" w:eastAsia="宋体" w:cs="Arial"/>
          <w:snapToGrid w:val="0"/>
          <w:lang w:eastAsia="zh-CN"/>
        </w:rPr>
        <w:t>临床和外科用无菌便利工具盒，行业指南（</w:t>
      </w:r>
      <w:r>
        <w:rPr>
          <w:rFonts w:ascii="Arial" w:hAnsi="Arial" w:eastAsia="宋体" w:cs="Arial"/>
          <w:snapToGrid w:val="0"/>
          <w:lang w:eastAsia="zh-CN"/>
        </w:rPr>
        <w:t>2002</w:t>
      </w:r>
      <w:r>
        <w:rPr>
          <w:rFonts w:hint="eastAsia" w:ascii="Arial" w:hAnsi="Arial" w:eastAsia="宋体" w:cs="Arial"/>
          <w:snapToGrid w:val="0"/>
          <w:lang w:eastAsia="zh-CN"/>
        </w:rPr>
        <w:t xml:space="preserve">年1月） </w:t>
      </w:r>
      <w:r>
        <w:fldChar w:fldCharType="begin"/>
      </w:r>
      <w:r>
        <w:instrText xml:space="preserve"> HYPERLINK "file:///\\\\shundajiayi\\翻译客户\\翻译客户\\交流中心\\2017\\9月\\0928石慧\\需要翻译的指导原则（三）\\需要翻译的指导原则（三）\\（http:\\www.fda.gov\\downloads\\MedicalDevices\\DeviceRegulationandGuidance\\Guidanc" </w:instrText>
      </w:r>
      <w:r>
        <w:fldChar w:fldCharType="separate"/>
      </w:r>
      <w:r>
        <w:rPr>
          <w:rStyle w:val="16"/>
          <w:rFonts w:hint="eastAsia" w:ascii="Arial" w:hAnsi="Arial" w:eastAsia="宋体" w:cs="Arial"/>
          <w:snapToGrid w:val="0"/>
          <w:lang w:eastAsia="zh-CN"/>
        </w:rPr>
        <w:t>（</w:t>
      </w:r>
      <w:r>
        <w:rPr>
          <w:rStyle w:val="16"/>
          <w:rFonts w:ascii="Arial" w:hAnsi="Arial" w:eastAsia="宋体" w:cs="Arial"/>
          <w:snapToGrid w:val="0"/>
          <w:lang w:eastAsia="zh-CN"/>
        </w:rPr>
        <w:t>http://www.fda.gov/downloads/MedicalDevices/DeviceRegulationandGuidance/Guidanc</w:t>
      </w:r>
      <w:r>
        <w:rPr>
          <w:rStyle w:val="16"/>
          <w:rFonts w:ascii="Arial" w:hAnsi="Arial" w:eastAsia="宋体" w:cs="Arial"/>
          <w:snapToGrid w:val="0"/>
          <w:lang w:eastAsia="zh-CN"/>
        </w:rPr>
        <w:fldChar w:fldCharType="end"/>
      </w:r>
      <w:r>
        <w:rPr>
          <w:rFonts w:ascii="Arial" w:hAnsi="Arial" w:eastAsia="宋体" w:cs="Arial"/>
          <w:snapToGrid w:val="0"/>
          <w:lang w:eastAsia="zh-CN"/>
        </w:rPr>
        <w:t>eDocuments/ucm071029.pdf</w:t>
      </w:r>
      <w:r>
        <w:rPr>
          <w:rFonts w:hint="eastAsia" w:ascii="Arial" w:hAnsi="Arial" w:eastAsia="宋体" w:cs="Arial"/>
          <w:snapToGrid w:val="0"/>
          <w:lang w:eastAsia="zh-CN"/>
        </w:rPr>
        <w:t>）</w:t>
      </w:r>
    </w:p>
    <w:p w14:paraId="4F393221">
      <w:pPr>
        <w:pStyle w:val="5"/>
        <w:numPr>
          <w:ilvl w:val="0"/>
          <w:numId w:val="20"/>
        </w:numPr>
        <w:tabs>
          <w:tab w:val="left" w:pos="426"/>
          <w:tab w:val="left" w:pos="460"/>
        </w:tabs>
        <w:topLinePunct/>
        <w:adjustRightInd w:val="0"/>
        <w:snapToGrid w:val="0"/>
        <w:spacing w:after="224" w:afterLines="75" w:line="288" w:lineRule="auto"/>
        <w:ind w:left="426" w:hanging="426"/>
        <w:jc w:val="left"/>
        <w:rPr>
          <w:rFonts w:ascii="Arial" w:hAnsi="Arial" w:eastAsia="宋体" w:cs="Arial"/>
          <w:snapToGrid w:val="0"/>
          <w:lang w:eastAsia="zh-CN"/>
        </w:rPr>
      </w:pPr>
      <w:r>
        <w:rPr>
          <w:rFonts w:hint="eastAsia" w:ascii="Arial" w:hAnsi="Arial" w:eastAsia="宋体" w:cs="Arial"/>
          <w:snapToGrid w:val="0"/>
          <w:lang w:eastAsia="zh-CN"/>
        </w:rPr>
        <w:t>采用国际标准</w:t>
      </w:r>
      <w:r>
        <w:rPr>
          <w:rFonts w:ascii="Arial" w:hAnsi="Arial" w:eastAsia="宋体" w:cs="Arial"/>
          <w:snapToGrid w:val="0"/>
          <w:lang w:eastAsia="zh-CN"/>
        </w:rPr>
        <w:t>ISO- 1 10993, "</w:t>
      </w:r>
      <w:r>
        <w:rPr>
          <w:rFonts w:hint="eastAsia" w:ascii="Arial" w:hAnsi="Arial" w:eastAsia="宋体" w:cs="Arial"/>
          <w:snapToGrid w:val="0"/>
          <w:lang w:eastAsia="zh-CN"/>
        </w:rPr>
        <w:t>两种医疗器械的生物学评价第</w:t>
      </w:r>
      <w:r>
        <w:rPr>
          <w:rFonts w:ascii="Arial" w:hAnsi="Arial" w:eastAsia="宋体" w:cs="Arial"/>
          <w:snapToGrid w:val="0"/>
          <w:lang w:eastAsia="zh-CN"/>
        </w:rPr>
        <w:t>1</w:t>
      </w:r>
      <w:r>
        <w:rPr>
          <w:rFonts w:hint="eastAsia" w:ascii="Arial" w:hAnsi="Arial" w:eastAsia="宋体" w:cs="Arial"/>
          <w:snapToGrid w:val="0"/>
          <w:lang w:eastAsia="zh-CN"/>
        </w:rPr>
        <w:t>部分：评价</w:t>
      </w:r>
      <w:r>
        <w:rPr>
          <w:rFonts w:ascii="Arial" w:hAnsi="Arial" w:eastAsia="宋体" w:cs="Arial"/>
          <w:snapToGrid w:val="0"/>
          <w:lang w:eastAsia="zh-CN"/>
        </w:rPr>
        <w:t>3</w:t>
      </w:r>
      <w:r>
        <w:rPr>
          <w:rFonts w:hint="eastAsia" w:ascii="Arial" w:hAnsi="Arial" w:eastAsia="宋体" w:cs="Arial"/>
          <w:snapToGrid w:val="0"/>
          <w:lang w:eastAsia="zh-CN"/>
        </w:rPr>
        <w:t>和测试</w:t>
      </w:r>
      <w:r>
        <w:rPr>
          <w:rFonts w:ascii="Arial" w:hAnsi="Arial" w:eastAsia="宋体" w:cs="Arial"/>
          <w:snapToGrid w:val="0"/>
          <w:lang w:eastAsia="zh-CN"/>
        </w:rPr>
        <w:t>"</w:t>
      </w:r>
      <w:r>
        <w:rPr>
          <w:rFonts w:hint="eastAsia" w:ascii="Arial" w:hAnsi="Arial" w:eastAsia="宋体" w:cs="Arial"/>
          <w:snapToGrid w:val="0"/>
          <w:lang w:eastAsia="zh-CN"/>
        </w:rPr>
        <w:t>，行业指南草案（</w:t>
      </w:r>
      <w:r>
        <w:fldChar w:fldCharType="begin"/>
      </w:r>
      <w:r>
        <w:instrText xml:space="preserve"> HYPERLINK "http://www.fda.gov/downloads/medicaldevices/deviceregulationandguidance/guidanced" </w:instrText>
      </w:r>
      <w:r>
        <w:fldChar w:fldCharType="separate"/>
      </w:r>
      <w:r>
        <w:rPr>
          <w:rStyle w:val="16"/>
          <w:rFonts w:ascii="Arial" w:hAnsi="Arial" w:eastAsia="宋体" w:cs="Arial"/>
          <w:snapToGrid w:val="0"/>
          <w:u w:color="0000FF"/>
          <w:lang w:eastAsia="zh-CN"/>
        </w:rPr>
        <w:t>http://www.fda.gov/downloads/medicaldevices/deviceregulationandguidance/guidanced</w:t>
      </w:r>
      <w:r>
        <w:rPr>
          <w:rStyle w:val="16"/>
          <w:rFonts w:ascii="Arial" w:hAnsi="Arial" w:eastAsia="宋体" w:cs="Arial"/>
          <w:snapToGrid w:val="0"/>
          <w:u w:color="0000FF"/>
          <w:lang w:eastAsia="zh-CN"/>
        </w:rPr>
        <w:fldChar w:fldCharType="end"/>
      </w:r>
      <w:r>
        <w:fldChar w:fldCharType="begin"/>
      </w:r>
      <w:r>
        <w:instrText xml:space="preserve"> HYPERLINK "http://www.fda.gov/downloads/medicaldevices/deviceregulationandguidance/guidancedocuments/ucm348890.pdf" \h </w:instrText>
      </w:r>
      <w:r>
        <w:fldChar w:fldCharType="separate"/>
      </w:r>
      <w:r>
        <w:rPr>
          <w:rFonts w:ascii="Arial" w:hAnsi="Arial" w:eastAsia="宋体" w:cs="Arial"/>
          <w:snapToGrid w:val="0"/>
          <w:color w:val="0000FF"/>
          <w:u w:val="single" w:color="0000FF"/>
          <w:lang w:eastAsia="zh-CN"/>
        </w:rPr>
        <w:t>ocuments/ucm348890.pdf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5D5F3C78">
      <w:pPr>
        <w:topLinePunct/>
        <w:adjustRightInd w:val="0"/>
        <w:snapToGrid w:val="0"/>
        <w:spacing w:after="224" w:afterLines="75" w:line="288" w:lineRule="auto"/>
        <w:jc w:val="center"/>
        <w:rPr>
          <w:rFonts w:ascii="Arial" w:hAnsi="Arial" w:eastAsia="宋体" w:cs="Arial"/>
          <w:snapToGrid w:val="0"/>
          <w:sz w:val="24"/>
          <w:szCs w:val="24"/>
          <w:lang w:eastAsia="zh-CN"/>
        </w:rPr>
      </w:pPr>
      <w:r>
        <w:rPr>
          <w:rFonts w:hint="eastAsia" w:ascii="Arial" w:hAnsi="Arial" w:eastAsia="宋体" w:cs="Arial"/>
          <w:i/>
          <w:snapToGrid w:val="0"/>
          <w:sz w:val="24"/>
          <w:lang w:eastAsia="zh-CN"/>
        </w:rPr>
        <w:t>药品</w:t>
      </w:r>
    </w:p>
    <w:p w14:paraId="24C35057">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r>
        <w:rPr>
          <w:rFonts w:ascii="Arial" w:hAnsi="Arial" w:eastAsia="宋体" w:cs="Arial"/>
          <w:snapToGrid w:val="0"/>
        </w:rPr>
        <w:t>1</w:t>
      </w:r>
      <w:r>
        <w:rPr>
          <w:rFonts w:hint="eastAsia" w:ascii="Arial" w:hAnsi="Arial" w:eastAsia="宋体" w:cs="Arial"/>
          <w:snapToGrid w:val="0"/>
          <w:lang w:eastAsia="zh-CN"/>
        </w:rPr>
        <w:t>期试验用药品的</w:t>
      </w:r>
      <w:r>
        <w:rPr>
          <w:rFonts w:ascii="Arial" w:hAnsi="Arial" w:eastAsia="宋体" w:cs="Arial"/>
          <w:snapToGrid w:val="0"/>
        </w:rPr>
        <w:t>CGMP</w:t>
      </w:r>
      <w:r>
        <w:rPr>
          <w:rFonts w:hint="eastAsia" w:ascii="Arial" w:hAnsi="Arial" w:eastAsia="宋体" w:cs="Arial"/>
          <w:snapToGrid w:val="0"/>
          <w:lang w:eastAsia="zh-CN"/>
        </w:rPr>
        <w:t>，行业指南</w:t>
      </w:r>
      <w:r>
        <w:rPr>
          <w:rFonts w:hint="eastAsia" w:ascii="Arial" w:hAnsi="Arial" w:eastAsia="宋体" w:cs="Arial"/>
          <w:snapToGrid w:val="0"/>
        </w:rPr>
        <w:t>（</w:t>
      </w:r>
      <w:r>
        <w:rPr>
          <w:rFonts w:ascii="Arial" w:hAnsi="Arial" w:eastAsia="宋体" w:cs="Arial"/>
          <w:snapToGrid w:val="0"/>
        </w:rPr>
        <w:t>2008</w:t>
      </w:r>
      <w:r>
        <w:rPr>
          <w:rFonts w:hint="eastAsia" w:ascii="Arial" w:hAnsi="Arial" w:eastAsia="宋体" w:cs="Arial"/>
          <w:snapToGrid w:val="0"/>
          <w:lang w:eastAsia="zh-CN"/>
        </w:rPr>
        <w:t>年7月</w:t>
      </w:r>
      <w:r>
        <w:rPr>
          <w:rFonts w:hint="eastAsia" w:ascii="Arial" w:hAnsi="Arial" w:eastAsia="宋体" w:cs="Arial"/>
          <w:snapToGrid w:val="0"/>
        </w:rPr>
        <w:t>）（</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rPr>
        <w:t>http://www.fda.gov/downloads/Drugs/GuidanceComplianceRegulatoryInformation/Guid</w:t>
      </w:r>
      <w:r>
        <w:rPr>
          <w:rStyle w:val="16"/>
          <w:rFonts w:ascii="Arial" w:hAnsi="Arial" w:eastAsia="宋体" w:cs="Arial"/>
          <w:snapToGrid w:val="0"/>
          <w:u w:color="0000FF"/>
        </w:rPr>
        <w:fldChar w:fldCharType="end"/>
      </w:r>
      <w:r>
        <w:fldChar w:fldCharType="begin"/>
      </w:r>
      <w:r>
        <w:instrText xml:space="preserve"> HYPERLINK "http://www.fda.gov/downloads/Drugs/GuidanceComplianceRegulatoryInformation/Guidances/UCM070273.pdf" \h </w:instrText>
      </w:r>
      <w:r>
        <w:fldChar w:fldCharType="separate"/>
      </w:r>
      <w:r>
        <w:rPr>
          <w:rFonts w:ascii="Arial" w:hAnsi="Arial" w:eastAsia="宋体" w:cs="Arial"/>
          <w:snapToGrid w:val="0"/>
          <w:color w:val="0000FF"/>
          <w:u w:val="single" w:color="0000FF"/>
        </w:rPr>
        <w:t>ances/UCM070273.pdf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7D5FCDC5">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r>
        <w:rPr>
          <w:rFonts w:hint="eastAsia" w:ascii="Arial" w:hAnsi="Arial" w:eastAsia="宋体" w:cs="Arial"/>
          <w:snapToGrid w:val="0"/>
          <w:lang w:eastAsia="zh-CN"/>
        </w:rPr>
        <w:t>人用药品和生物制剂包装用容器密封系统：化学、生产和质控文件，行业指南，（</w:t>
      </w:r>
      <w:r>
        <w:rPr>
          <w:rFonts w:ascii="Arial" w:hAnsi="Arial" w:eastAsia="宋体" w:cs="Arial"/>
          <w:snapToGrid w:val="0"/>
          <w:lang w:eastAsia="zh-CN"/>
        </w:rPr>
        <w:t>1999</w:t>
      </w:r>
      <w:r>
        <w:rPr>
          <w:rFonts w:hint="eastAsia" w:ascii="Arial" w:hAnsi="Arial" w:eastAsia="宋体" w:cs="Arial"/>
          <w:snapToGrid w:val="0"/>
          <w:lang w:eastAsia="zh-CN"/>
        </w:rPr>
        <w:t>年5月）（</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lang w:eastAsia="zh-CN"/>
        </w:rPr>
        <w:t>http://www.fda.gov/downloads/Drugs/GuidanceComplianceRegulatoryInformation/Guid</w:t>
      </w:r>
      <w:r>
        <w:rPr>
          <w:rStyle w:val="16"/>
          <w:rFonts w:ascii="Arial" w:hAnsi="Arial" w:eastAsia="宋体" w:cs="Arial"/>
          <w:snapToGrid w:val="0"/>
          <w:u w:color="0000FF"/>
          <w:lang w:eastAsia="zh-CN"/>
        </w:rPr>
        <w:fldChar w:fldCharType="end"/>
      </w:r>
      <w:r>
        <w:fldChar w:fldCharType="begin"/>
      </w:r>
      <w:r>
        <w:instrText xml:space="preserve"> HYPERLINK "http://www.fda.gov/downloads/Drugs/GuidanceComplianceRegulatoryInformation/Guidances/UCM070551.pdf" \h </w:instrText>
      </w:r>
      <w:r>
        <w:fldChar w:fldCharType="separate"/>
      </w:r>
      <w:r>
        <w:rPr>
          <w:rFonts w:ascii="Arial" w:hAnsi="Arial" w:eastAsia="宋体" w:cs="Arial"/>
          <w:snapToGrid w:val="0"/>
          <w:color w:val="0000FF"/>
          <w:u w:val="single" w:color="0000FF"/>
          <w:lang w:eastAsia="zh-CN"/>
        </w:rPr>
        <w:t>ances/UCM070551.pdf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5B3A4420">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r>
        <w:rPr>
          <w:rFonts w:hint="eastAsia" w:ascii="Arial" w:hAnsi="Arial" w:eastAsia="宋体" w:cs="Arial"/>
          <w:snapToGrid w:val="0"/>
          <w:lang w:eastAsia="zh-CN"/>
        </w:rPr>
        <w:t>药品委托生产安排：质量协议，行业指南（</w:t>
      </w:r>
      <w:r>
        <w:rPr>
          <w:rFonts w:ascii="Arial" w:hAnsi="Arial" w:eastAsia="宋体" w:cs="Arial"/>
          <w:snapToGrid w:val="0"/>
          <w:lang w:eastAsia="zh-CN"/>
        </w:rPr>
        <w:t>2016</w:t>
      </w:r>
      <w:r>
        <w:rPr>
          <w:rFonts w:hint="eastAsia" w:ascii="Arial" w:hAnsi="Arial" w:eastAsia="宋体" w:cs="Arial"/>
          <w:snapToGrid w:val="0"/>
          <w:lang w:eastAsia="zh-CN"/>
        </w:rPr>
        <w:t>年11月）（</w:t>
      </w:r>
      <w:r>
        <w:fldChar w:fldCharType="begin"/>
      </w:r>
      <w:r>
        <w:instrText xml:space="preserve"> HYPERLINK "http://www.fda.gov/downloads/drugs/guidancecomplianceregulatoryinformation/guidan" </w:instrText>
      </w:r>
      <w:r>
        <w:fldChar w:fldCharType="separate"/>
      </w:r>
      <w:r>
        <w:rPr>
          <w:rStyle w:val="16"/>
          <w:rFonts w:ascii="Arial" w:hAnsi="Arial" w:eastAsia="宋体" w:cs="Arial"/>
          <w:snapToGrid w:val="0"/>
          <w:u w:color="0000FF"/>
          <w:lang w:eastAsia="zh-CN"/>
        </w:rPr>
        <w:t>http://www.fda.gov/downloads/drugs/guidancecomplianceregulatoryinformation/guidan</w:t>
      </w:r>
      <w:r>
        <w:rPr>
          <w:rStyle w:val="16"/>
          <w:rFonts w:ascii="Arial" w:hAnsi="Arial" w:eastAsia="宋体" w:cs="Arial"/>
          <w:snapToGrid w:val="0"/>
          <w:u w:color="0000FF"/>
          <w:lang w:eastAsia="zh-CN"/>
        </w:rPr>
        <w:fldChar w:fldCharType="end"/>
      </w:r>
      <w:r>
        <w:rPr>
          <w:rFonts w:ascii="Arial" w:hAnsi="Arial" w:eastAsia="宋体" w:cs="Arial"/>
          <w:snapToGrid w:val="0"/>
          <w:color w:val="0000FF"/>
          <w:lang w:eastAsia="zh-CN"/>
        </w:rPr>
        <w:t xml:space="preserve"> </w:t>
      </w:r>
      <w:r>
        <w:fldChar w:fldCharType="begin"/>
      </w:r>
      <w:r>
        <w:instrText xml:space="preserve"> HYPERLINK "http://www.fda.gov/downloads/drugs/guidancecomplianceregulatoryinformation/guidances/ucm353925.pdf" \h </w:instrText>
      </w:r>
      <w:r>
        <w:fldChar w:fldCharType="separate"/>
      </w:r>
      <w:r>
        <w:rPr>
          <w:rFonts w:ascii="Arial" w:hAnsi="Arial" w:eastAsia="宋体" w:cs="Arial"/>
          <w:snapToGrid w:val="0"/>
          <w:color w:val="0000FF"/>
          <w:lang w:eastAsia="zh-CN"/>
        </w:rPr>
        <w:t xml:space="preserve"> </w:t>
      </w:r>
      <w:r>
        <w:rPr>
          <w:rFonts w:ascii="Arial" w:hAnsi="Arial" w:eastAsia="宋体" w:cs="Arial"/>
          <w:snapToGrid w:val="0"/>
          <w:color w:val="0000FF"/>
          <w:u w:val="single" w:color="0000FF"/>
          <w:lang w:eastAsia="zh-CN"/>
        </w:rPr>
        <w:t>ces/ucm353925.pdf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0415E891">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bookmarkStart w:id="201" w:name="OLE_LINK28"/>
      <w:bookmarkStart w:id="202" w:name="OLE_LINK27"/>
      <w:r>
        <w:rPr>
          <w:rFonts w:ascii="Arial" w:hAnsi="Arial" w:eastAsia="宋体" w:cs="Arial"/>
          <w:snapToGrid w:val="0"/>
        </w:rPr>
        <w:t>FD</w:t>
      </w:r>
      <w:bookmarkEnd w:id="201"/>
      <w:bookmarkEnd w:id="202"/>
      <w:r>
        <w:rPr>
          <w:rFonts w:hint="eastAsia" w:ascii="Arial" w:hAnsi="Arial" w:eastAsia="宋体" w:cs="Arial"/>
          <w:snapToGrid w:val="0"/>
          <w:lang w:eastAsia="zh-CN"/>
        </w:rPr>
        <w:t>A与申办方或申请人的正式会议，行业指南</w:t>
      </w:r>
      <w:r>
        <w:rPr>
          <w:rFonts w:hint="eastAsia" w:ascii="Arial" w:hAnsi="Arial" w:eastAsia="宋体" w:cs="Arial"/>
          <w:snapToGrid w:val="0"/>
        </w:rPr>
        <w:t>（</w:t>
      </w:r>
      <w:r>
        <w:rPr>
          <w:rFonts w:ascii="Arial" w:hAnsi="Arial" w:eastAsia="宋体" w:cs="Arial"/>
          <w:snapToGrid w:val="0"/>
        </w:rPr>
        <w:t>2015</w:t>
      </w:r>
      <w:r>
        <w:rPr>
          <w:rFonts w:hint="eastAsia" w:ascii="Arial" w:hAnsi="Arial" w:eastAsia="宋体" w:cs="Arial"/>
          <w:snapToGrid w:val="0"/>
          <w:lang w:eastAsia="zh-CN"/>
        </w:rPr>
        <w:t>年3月</w:t>
      </w:r>
      <w:r>
        <w:rPr>
          <w:rFonts w:hint="eastAsia" w:ascii="Arial" w:hAnsi="Arial" w:eastAsia="宋体" w:cs="Arial"/>
          <w:snapToGrid w:val="0"/>
        </w:rPr>
        <w:t>）（</w:t>
      </w:r>
      <w:r>
        <w:fldChar w:fldCharType="begin"/>
      </w:r>
      <w:r>
        <w:instrText xml:space="preserve"> HYPERLINK "http://www.fda.gov/downloads/drugs/guidancecomplianceregulatoryinformation/guidan" </w:instrText>
      </w:r>
      <w:r>
        <w:fldChar w:fldCharType="separate"/>
      </w:r>
      <w:r>
        <w:rPr>
          <w:rStyle w:val="16"/>
          <w:rFonts w:ascii="Arial" w:hAnsi="Arial" w:eastAsia="宋体" w:cs="Arial"/>
          <w:snapToGrid w:val="0"/>
          <w:u w:color="0000FF"/>
        </w:rPr>
        <w:t>http://www.fda.gov/downloads/drugs/guidancecomplianceregulatoryinformation/guidan</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"http://www.fda.gov/downloads/drugs/guidancecomplianceregulatoryinformation/guidances/ucm437431.pdf"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ces/ucm437431.pdf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6C5182BF">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bookmarkStart w:id="203" w:name="OLE_LINK36"/>
      <w:bookmarkStart w:id="204" w:name="OLE_LINK35"/>
      <w:r>
        <w:rPr>
          <w:rFonts w:hint="eastAsia" w:ascii="Arial" w:hAnsi="Arial" w:eastAsia="宋体" w:cs="Arial"/>
          <w:snapToGrid w:val="0"/>
          <w:lang w:eastAsia="zh-CN"/>
        </w:rPr>
        <w:t>调查制药生产的不合格</w:t>
      </w:r>
      <w:r>
        <w:rPr>
          <w:rFonts w:hint="eastAsia" w:ascii="Arial" w:hAnsi="Arial" w:eastAsia="宋体" w:cs="Arial"/>
          <w:snapToGrid w:val="0"/>
        </w:rPr>
        <w:t>（</w:t>
      </w:r>
      <w:r>
        <w:rPr>
          <w:rFonts w:ascii="Arial" w:hAnsi="Arial" w:eastAsia="宋体" w:cs="Arial"/>
          <w:snapToGrid w:val="0"/>
        </w:rPr>
        <w:t>OOS</w:t>
      </w:r>
      <w:r>
        <w:rPr>
          <w:rFonts w:hint="eastAsia" w:ascii="Arial" w:hAnsi="Arial" w:eastAsia="宋体" w:cs="Arial"/>
          <w:snapToGrid w:val="0"/>
        </w:rPr>
        <w:t>）</w:t>
      </w:r>
      <w:r>
        <w:rPr>
          <w:rFonts w:hint="eastAsia" w:ascii="Arial" w:hAnsi="Arial" w:eastAsia="宋体" w:cs="Arial"/>
          <w:snapToGrid w:val="0"/>
          <w:lang w:eastAsia="zh-CN"/>
        </w:rPr>
        <w:t>试验结果</w:t>
      </w:r>
      <w:bookmarkEnd w:id="203"/>
      <w:bookmarkEnd w:id="204"/>
      <w:r>
        <w:rPr>
          <w:rFonts w:hint="eastAsia" w:ascii="Arial" w:hAnsi="Arial" w:eastAsia="宋体" w:cs="Arial"/>
          <w:snapToGrid w:val="0"/>
          <w:lang w:eastAsia="zh-CN"/>
        </w:rPr>
        <w:t>，行业指南</w:t>
      </w:r>
      <w:r>
        <w:rPr>
          <w:rFonts w:hint="eastAsia" w:ascii="Arial" w:hAnsi="Arial" w:eastAsia="宋体" w:cs="Arial"/>
          <w:snapToGrid w:val="0"/>
        </w:rPr>
        <w:t>（</w:t>
      </w:r>
      <w:r>
        <w:rPr>
          <w:rFonts w:ascii="Arial" w:hAnsi="Arial" w:eastAsia="宋体" w:cs="Arial"/>
          <w:snapToGrid w:val="0"/>
        </w:rPr>
        <w:t>2006</w:t>
      </w:r>
      <w:r>
        <w:rPr>
          <w:rFonts w:hint="eastAsia" w:ascii="Arial" w:hAnsi="Arial" w:eastAsia="宋体" w:cs="Arial"/>
          <w:snapToGrid w:val="0"/>
          <w:lang w:eastAsia="zh-CN"/>
        </w:rPr>
        <w:t>年10月</w:t>
      </w:r>
      <w:r>
        <w:rPr>
          <w:rFonts w:hint="eastAsia" w:ascii="Arial" w:hAnsi="Arial" w:eastAsia="宋体" w:cs="Arial"/>
          <w:snapToGrid w:val="0"/>
        </w:rPr>
        <w:t>）（</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rPr>
        <w:t>http://www.fda.gov/downloads/Drugs/GuidanceComplianceRegulatoryInformation/Guid</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"http://www.fda.gov/downloads/Drugs/GuidanceComplianceRegulatoryInformation/Guidances/UCM070287.pdf"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ances/UCM070287.pdf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7617FFB7">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bookmarkStart w:id="205" w:name="OLE_LINK34"/>
      <w:bookmarkStart w:id="206" w:name="OLE_LINK31"/>
      <w:r>
        <w:rPr>
          <w:rFonts w:hint="eastAsia" w:ascii="Arial" w:hAnsi="Arial" w:eastAsia="宋体" w:cs="Arial"/>
          <w:snapToGrid w:val="0"/>
          <w:lang w:eastAsia="zh-CN"/>
        </w:rPr>
        <w:t>工艺确</w:t>
      </w:r>
      <w:bookmarkEnd w:id="205"/>
      <w:bookmarkEnd w:id="206"/>
      <w:r>
        <w:rPr>
          <w:rFonts w:hint="eastAsia" w:ascii="Arial" w:hAnsi="Arial" w:eastAsia="宋体" w:cs="Arial"/>
          <w:snapToGrid w:val="0"/>
          <w:lang w:eastAsia="zh-CN"/>
        </w:rPr>
        <w:t>认：一般原则与规范，行业指南</w:t>
      </w:r>
      <w:r>
        <w:rPr>
          <w:rFonts w:hint="eastAsia" w:ascii="Arial" w:hAnsi="Arial" w:eastAsia="宋体" w:cs="Arial"/>
          <w:snapToGrid w:val="0"/>
        </w:rPr>
        <w:t>（</w:t>
      </w:r>
      <w:r>
        <w:rPr>
          <w:rFonts w:ascii="Arial" w:hAnsi="Arial" w:eastAsia="宋体" w:cs="Arial"/>
          <w:snapToGrid w:val="0"/>
        </w:rPr>
        <w:t>2011</w:t>
      </w:r>
      <w:r>
        <w:rPr>
          <w:rFonts w:hint="eastAsia" w:ascii="Arial" w:hAnsi="Arial" w:eastAsia="宋体" w:cs="Arial"/>
          <w:snapToGrid w:val="0"/>
          <w:lang w:eastAsia="zh-CN"/>
        </w:rPr>
        <w:t>年1月</w:t>
      </w:r>
      <w:r>
        <w:rPr>
          <w:rFonts w:hint="eastAsia" w:ascii="Arial" w:hAnsi="Arial" w:eastAsia="宋体" w:cs="Arial"/>
          <w:snapToGrid w:val="0"/>
        </w:rPr>
        <w:t>）（</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rPr>
        <w:t>http://www.fda.gov/downloads/Drugs/GuidanceComplianceRegulatoryInformation/Guid</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"http://www.fda.gov/downloads/Drugs/GuidanceComplianceRegulatoryInformation/Guidances/UCM070336.pdf"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ances/UCM070336.pdf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02CCFEC4">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r>
        <w:rPr>
          <w:rFonts w:ascii="Arial" w:hAnsi="Arial" w:eastAsia="宋体" w:cs="Arial"/>
          <w:snapToGrid w:val="0"/>
        </w:rPr>
        <w:t>Q1A</w:t>
      </w:r>
      <w:r>
        <w:rPr>
          <w:rFonts w:hint="eastAsia" w:ascii="Arial" w:hAnsi="Arial" w:eastAsia="宋体" w:cs="Arial"/>
          <w:snapToGrid w:val="0"/>
        </w:rPr>
        <w:t>（</w:t>
      </w:r>
      <w:r>
        <w:rPr>
          <w:rFonts w:ascii="Arial" w:hAnsi="Arial" w:eastAsia="宋体" w:cs="Arial"/>
          <w:snapToGrid w:val="0"/>
        </w:rPr>
        <w:t>R2</w:t>
      </w:r>
      <w:r>
        <w:rPr>
          <w:rFonts w:hint="eastAsia" w:ascii="Arial" w:hAnsi="Arial" w:eastAsia="宋体" w:cs="Arial"/>
          <w:snapToGrid w:val="0"/>
        </w:rPr>
        <w:t>）新原料药和制剂稳定性测试</w:t>
      </w:r>
      <w:r>
        <w:rPr>
          <w:rFonts w:hint="eastAsia" w:ascii="Arial" w:hAnsi="Arial" w:eastAsia="宋体" w:cs="Arial"/>
          <w:snapToGrid w:val="0"/>
          <w:lang w:eastAsia="zh-CN"/>
        </w:rPr>
        <w:t>，行业指南</w:t>
      </w:r>
      <w:r>
        <w:rPr>
          <w:rFonts w:hint="eastAsia" w:ascii="Arial" w:hAnsi="Arial" w:eastAsia="宋体" w:cs="Arial"/>
          <w:snapToGrid w:val="0"/>
        </w:rPr>
        <w:t>（</w:t>
      </w:r>
      <w:r>
        <w:rPr>
          <w:rFonts w:ascii="Arial" w:hAnsi="Arial" w:eastAsia="宋体" w:cs="Arial"/>
          <w:snapToGrid w:val="0"/>
        </w:rPr>
        <w:t>2003</w:t>
      </w:r>
      <w:r>
        <w:rPr>
          <w:rFonts w:hint="eastAsia" w:ascii="Arial" w:hAnsi="Arial" w:eastAsia="宋体" w:cs="Arial"/>
          <w:snapToGrid w:val="0"/>
          <w:lang w:eastAsia="zh-CN"/>
        </w:rPr>
        <w:t>年11月</w:t>
      </w:r>
      <w:r>
        <w:rPr>
          <w:rFonts w:hint="eastAsia" w:ascii="Arial" w:hAnsi="Arial" w:eastAsia="宋体" w:cs="Arial"/>
          <w:snapToGrid w:val="0"/>
        </w:rPr>
        <w:t>）（</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rPr>
        <w:t>http://www.fda.gov/downloads/Drugs/GuidanceComplianceRegulatoryInformation/Guid</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"http://www.fda.gov/downloads/Drugs/GuidanceComplianceRegulatoryInformation/Guidances/UCM073369.pdf"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ances/UCM073369.pdf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14CBC08A">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r>
        <w:rPr>
          <w:rFonts w:ascii="Arial" w:hAnsi="Arial" w:eastAsia="宋体" w:cs="Arial"/>
          <w:snapToGrid w:val="0"/>
          <w:lang w:eastAsia="zh-CN"/>
        </w:rPr>
        <w:t>Q1B</w:t>
      </w:r>
      <w:r>
        <w:rPr>
          <w:rFonts w:hint="eastAsia" w:ascii="Arial" w:hAnsi="Arial" w:eastAsia="宋体" w:cs="Arial"/>
          <w:snapToGrid w:val="0"/>
          <w:lang w:eastAsia="zh-CN"/>
        </w:rPr>
        <w:t>原料药和制剂的光稳定性测试，行业指南（</w:t>
      </w:r>
      <w:r>
        <w:rPr>
          <w:rFonts w:ascii="Arial" w:hAnsi="Arial" w:eastAsia="宋体" w:cs="Arial"/>
          <w:snapToGrid w:val="0"/>
          <w:lang w:eastAsia="zh-CN"/>
        </w:rPr>
        <w:t>1996</w:t>
      </w:r>
      <w:r>
        <w:rPr>
          <w:rFonts w:hint="eastAsia" w:ascii="Arial" w:hAnsi="Arial" w:eastAsia="宋体" w:cs="Arial"/>
          <w:snapToGrid w:val="0"/>
          <w:lang w:eastAsia="zh-CN"/>
        </w:rPr>
        <w:t>年11月）</w:t>
      </w:r>
      <w:r>
        <w:rPr>
          <w:rFonts w:hint="eastAsia" w:ascii="Arial" w:hAnsi="Arial" w:eastAsia="宋体" w:cs="Arial"/>
          <w:snapToGrid w:val="0"/>
        </w:rPr>
        <w:t>（</w:t>
      </w:r>
      <w:r>
        <w:fldChar w:fldCharType="begin"/>
      </w:r>
      <w:r>
        <w:instrText xml:space="preserve"> HYPERLINK "http://www.fda.gov/downloads/drugs/guidancecomplianceregulatoryinformation/guidan" </w:instrText>
      </w:r>
      <w:r>
        <w:fldChar w:fldCharType="separate"/>
      </w:r>
      <w:r>
        <w:rPr>
          <w:rStyle w:val="16"/>
          <w:rFonts w:ascii="Arial" w:hAnsi="Arial" w:eastAsia="宋体" w:cs="Arial"/>
          <w:snapToGrid w:val="0"/>
          <w:u w:color="0000FF"/>
        </w:rPr>
        <w:t>http://www.fda.gov/downloads/drugs/guidancecomplianceregulatoryinformation/guidan</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"http://www.fda.gov/downloads/drugs/guidancecomplianceregulatoryinformation/guidances/ucm073373.pdf"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ces/ucm073373.pdf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44FD760D">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bookmarkStart w:id="207" w:name="OLE_LINK38"/>
      <w:bookmarkStart w:id="208" w:name="OLE_LINK39"/>
      <w:r>
        <w:rPr>
          <w:rFonts w:ascii="Arial" w:hAnsi="Arial" w:eastAsia="宋体" w:cs="Arial"/>
          <w:snapToGrid w:val="0"/>
          <w:lang w:eastAsia="zh-CN"/>
        </w:rPr>
        <w:t>Q1C</w:t>
      </w:r>
      <w:bookmarkEnd w:id="207"/>
      <w:bookmarkEnd w:id="208"/>
      <w:r>
        <w:rPr>
          <w:rFonts w:hint="eastAsia" w:ascii="Arial" w:hAnsi="Arial" w:eastAsia="宋体" w:cs="Arial"/>
          <w:snapToGrid w:val="0"/>
          <w:lang w:eastAsia="zh-CN"/>
        </w:rPr>
        <w:t>新剂型的稳定性测试，行业指南（</w:t>
      </w:r>
      <w:r>
        <w:rPr>
          <w:rFonts w:ascii="Arial" w:hAnsi="Arial" w:eastAsia="宋体" w:cs="Arial"/>
          <w:snapToGrid w:val="0"/>
          <w:lang w:eastAsia="zh-CN"/>
        </w:rPr>
        <w:t>1996</w:t>
      </w:r>
      <w:r>
        <w:rPr>
          <w:rFonts w:hint="eastAsia" w:ascii="Arial" w:hAnsi="Arial" w:eastAsia="宋体" w:cs="Arial"/>
          <w:snapToGrid w:val="0"/>
          <w:lang w:eastAsia="zh-CN"/>
        </w:rPr>
        <w:t>年11月）（</w:t>
      </w:r>
      <w:r>
        <w:fldChar w:fldCharType="begin"/>
      </w:r>
      <w:r>
        <w:instrText xml:space="preserve"> HYPERLINK "http://www.fda.gov/downloads/drugs/guidancecomplianceregulatoryinformation/guidan" </w:instrText>
      </w:r>
      <w:r>
        <w:fldChar w:fldCharType="separate"/>
      </w:r>
      <w:r>
        <w:rPr>
          <w:rStyle w:val="16"/>
          <w:rFonts w:ascii="Arial" w:hAnsi="Arial" w:eastAsia="宋体" w:cs="Arial"/>
          <w:snapToGrid w:val="0"/>
          <w:u w:color="0000FF"/>
          <w:lang w:eastAsia="zh-CN"/>
        </w:rPr>
        <w:t>http://www.fda.gov/downloads/drugs/guidancecomplianceregulatoryinformation/guidan</w:t>
      </w:r>
      <w:r>
        <w:rPr>
          <w:rStyle w:val="16"/>
          <w:rFonts w:ascii="Arial" w:hAnsi="Arial" w:eastAsia="宋体" w:cs="Arial"/>
          <w:snapToGrid w:val="0"/>
          <w:u w:color="0000FF"/>
          <w:lang w:eastAsia="zh-CN"/>
        </w:rPr>
        <w:fldChar w:fldCharType="end"/>
      </w:r>
      <w:r>
        <w:rPr>
          <w:rFonts w:ascii="Arial" w:hAnsi="Arial" w:eastAsia="宋体" w:cs="Arial"/>
          <w:snapToGrid w:val="0"/>
          <w:color w:val="0000FF"/>
          <w:lang w:eastAsia="zh-CN"/>
        </w:rPr>
        <w:t xml:space="preserve"> </w:t>
      </w:r>
      <w:r>
        <w:fldChar w:fldCharType="begin"/>
      </w:r>
      <w:r>
        <w:instrText xml:space="preserve"> HYPERLINK "http://www.fda.gov/downloads/drugs/guidancecomplianceregulatoryinformation/guidances/ucm073374.pdf" \h </w:instrText>
      </w:r>
      <w:r>
        <w:fldChar w:fldCharType="separate"/>
      </w:r>
      <w:r>
        <w:rPr>
          <w:rFonts w:ascii="Arial" w:hAnsi="Arial" w:eastAsia="宋体" w:cs="Arial"/>
          <w:snapToGrid w:val="0"/>
          <w:color w:val="0000FF"/>
          <w:lang w:eastAsia="zh-CN"/>
        </w:rPr>
        <w:t xml:space="preserve"> </w:t>
      </w:r>
      <w:r>
        <w:rPr>
          <w:rFonts w:ascii="Arial" w:hAnsi="Arial" w:eastAsia="宋体" w:cs="Arial"/>
          <w:snapToGrid w:val="0"/>
          <w:color w:val="0000FF"/>
          <w:u w:val="single" w:color="0000FF"/>
          <w:lang w:eastAsia="zh-CN"/>
        </w:rPr>
        <w:t>ces/ucm073374.pdf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4903AB3A">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bookmarkStart w:id="209" w:name="OLE_LINK58"/>
      <w:bookmarkStart w:id="210" w:name="OLE_LINK57"/>
      <w:r>
        <w:rPr>
          <w:rFonts w:ascii="Arial" w:hAnsi="Arial" w:eastAsia="宋体" w:cs="Arial"/>
          <w:snapToGrid w:val="0"/>
          <w:lang w:eastAsia="zh-CN"/>
        </w:rPr>
        <w:t>Q1D</w:t>
      </w:r>
      <w:r>
        <w:rPr>
          <w:rFonts w:hint="eastAsia" w:ascii="Arial" w:hAnsi="Arial" w:eastAsia="宋体" w:cs="Arial"/>
          <w:snapToGrid w:val="0"/>
          <w:lang w:eastAsia="zh-CN"/>
        </w:rPr>
        <w:t>新原料药和制剂稳定性测试的交叉和矩阵设计</w:t>
      </w:r>
      <w:bookmarkEnd w:id="209"/>
      <w:bookmarkEnd w:id="210"/>
      <w:r>
        <w:rPr>
          <w:rFonts w:hint="eastAsia" w:ascii="Arial" w:hAnsi="Arial" w:eastAsia="宋体" w:cs="Arial"/>
          <w:snapToGrid w:val="0"/>
          <w:lang w:eastAsia="zh-CN"/>
        </w:rPr>
        <w:t>，行业指南（</w:t>
      </w:r>
      <w:r>
        <w:rPr>
          <w:rFonts w:ascii="Arial" w:hAnsi="Arial" w:eastAsia="宋体" w:cs="Arial"/>
          <w:snapToGrid w:val="0"/>
          <w:lang w:eastAsia="zh-CN"/>
        </w:rPr>
        <w:t>2003</w:t>
      </w:r>
      <w:r>
        <w:rPr>
          <w:rFonts w:hint="eastAsia" w:ascii="Arial" w:hAnsi="Arial" w:eastAsia="宋体" w:cs="Arial"/>
          <w:snapToGrid w:val="0"/>
          <w:lang w:eastAsia="zh-CN"/>
        </w:rPr>
        <w:t>年1月）（</w:t>
      </w:r>
      <w:r>
        <w:fldChar w:fldCharType="begin"/>
      </w:r>
      <w:r>
        <w:instrText xml:space="preserve"> HYPERLINK "http://www.fda.gov/downloads/Drugs/.../Guidances/ucm073379.pdf" \h </w:instrText>
      </w:r>
      <w:r>
        <w:fldChar w:fldCharType="separate"/>
      </w:r>
      <w:r>
        <w:rPr>
          <w:rFonts w:ascii="Arial" w:hAnsi="Arial" w:eastAsia="宋体" w:cs="Arial"/>
          <w:snapToGrid w:val="0"/>
          <w:color w:val="0000FF"/>
          <w:u w:val="single" w:color="0000FF"/>
          <w:lang w:eastAsia="zh-CN"/>
        </w:rPr>
        <w:t>http: //www.fda.gov/downloads/Drugs/.../Guidances/ucm073379.pdf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444EFBD0">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bookmarkStart w:id="211" w:name="OLE_LINK59"/>
      <w:bookmarkStart w:id="212" w:name="OLE_LINK60"/>
      <w:r>
        <w:rPr>
          <w:rFonts w:ascii="Arial" w:hAnsi="Arial" w:eastAsia="宋体" w:cs="Arial"/>
          <w:snapToGrid w:val="0"/>
        </w:rPr>
        <w:t>Q1E</w:t>
      </w:r>
      <w:bookmarkEnd w:id="211"/>
      <w:bookmarkEnd w:id="212"/>
      <w:r>
        <w:rPr>
          <w:rFonts w:hint="eastAsia" w:ascii="Arial" w:hAnsi="Arial" w:eastAsia="宋体" w:cs="Arial"/>
          <w:snapToGrid w:val="0"/>
          <w:lang w:eastAsia="zh-CN"/>
        </w:rPr>
        <w:t>稳定性数据评价，行业指南</w:t>
      </w:r>
      <w:r>
        <w:rPr>
          <w:rFonts w:hint="eastAsia" w:ascii="Arial" w:hAnsi="Arial" w:eastAsia="宋体" w:cs="Arial"/>
          <w:snapToGrid w:val="0"/>
        </w:rPr>
        <w:t>（</w:t>
      </w:r>
      <w:r>
        <w:rPr>
          <w:rFonts w:ascii="Arial" w:hAnsi="Arial" w:eastAsia="宋体" w:cs="Arial"/>
          <w:snapToGrid w:val="0"/>
        </w:rPr>
        <w:t>2004</w:t>
      </w:r>
      <w:r>
        <w:rPr>
          <w:rFonts w:hint="eastAsia" w:ascii="Arial" w:hAnsi="Arial" w:eastAsia="宋体" w:cs="Arial"/>
          <w:snapToGrid w:val="0"/>
          <w:lang w:eastAsia="zh-CN"/>
        </w:rPr>
        <w:t>年6月</w:t>
      </w:r>
      <w:r>
        <w:rPr>
          <w:rFonts w:hint="eastAsia" w:ascii="Arial" w:hAnsi="Arial" w:eastAsia="宋体" w:cs="Arial"/>
          <w:snapToGrid w:val="0"/>
        </w:rPr>
        <w:t>）（</w:t>
      </w:r>
      <w:r>
        <w:fldChar w:fldCharType="begin"/>
      </w:r>
      <w:r>
        <w:instrText xml:space="preserve"> HYPERLINK "http://www.fda.gov/downloads/drugs/guidancecomplianceregulatoryinformation/guidances/ucm073380.pdf" \h </w:instrText>
      </w:r>
      <w:r>
        <w:fldChar w:fldCharType="separate"/>
      </w:r>
      <w:r>
        <w:rPr>
          <w:rFonts w:ascii="Arial" w:hAnsi="Arial" w:eastAsia="宋体" w:cs="Arial"/>
          <w:snapToGrid w:val="0"/>
          <w:color w:val="0000FF"/>
          <w:u w:val="single" w:color="0000FF"/>
        </w:rPr>
        <w:t>http: //www.fda.gov/downloads/drugs/guidancecomplianceregulatoryinformation/guidan</w:t>
      </w:r>
      <w:r>
        <w:rPr>
          <w:rFonts w:ascii="Arial" w:hAnsi="Arial" w:eastAsia="宋体" w:cs="Arial"/>
          <w:snapToGrid w:val="0"/>
          <w:color w:val="0000FF"/>
          <w:u w:val="single"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"http://www.fda.gov/downloads/drugs/guidancecomplianceregulatoryinformation/guidances/ucm073380.pdf"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ces/ucm073380.pdf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3C0F8A7A">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bookmarkStart w:id="213" w:name="OLE_LINK62"/>
      <w:bookmarkStart w:id="214" w:name="OLE_LINK61"/>
      <w:r>
        <w:rPr>
          <w:rFonts w:ascii="Arial" w:hAnsi="Arial" w:eastAsia="宋体" w:cs="Arial"/>
          <w:snapToGrid w:val="0"/>
        </w:rPr>
        <w:t>Q7A</w:t>
      </w:r>
      <w:bookmarkEnd w:id="213"/>
      <w:bookmarkEnd w:id="214"/>
      <w:r>
        <w:rPr>
          <w:rFonts w:hint="eastAsia" w:ascii="Arial" w:hAnsi="Arial" w:eastAsia="宋体" w:cs="Arial"/>
          <w:snapToGrid w:val="0"/>
          <w:lang w:eastAsia="zh-CN"/>
        </w:rPr>
        <w:t>活性药物成分的良好生产规范指南，行业指南</w:t>
      </w:r>
      <w:r>
        <w:rPr>
          <w:rFonts w:hint="eastAsia" w:ascii="Arial" w:hAnsi="Arial" w:eastAsia="宋体" w:cs="Arial"/>
          <w:snapToGrid w:val="0"/>
        </w:rPr>
        <w:t>（</w:t>
      </w:r>
      <w:r>
        <w:rPr>
          <w:rFonts w:ascii="Arial" w:hAnsi="Arial" w:eastAsia="宋体" w:cs="Arial"/>
          <w:snapToGrid w:val="0"/>
        </w:rPr>
        <w:t>2001</w:t>
      </w:r>
      <w:r>
        <w:rPr>
          <w:rFonts w:hint="eastAsia" w:ascii="Arial" w:hAnsi="Arial" w:eastAsia="宋体" w:cs="Arial"/>
          <w:snapToGrid w:val="0"/>
          <w:lang w:eastAsia="zh-CN"/>
        </w:rPr>
        <w:t>年8月</w:t>
      </w:r>
      <w:r>
        <w:rPr>
          <w:rFonts w:hint="eastAsia" w:ascii="Arial" w:hAnsi="Arial" w:eastAsia="宋体" w:cs="Arial"/>
          <w:snapToGrid w:val="0"/>
        </w:rPr>
        <w:t>）（</w:t>
      </w:r>
      <w:r>
        <w:fldChar w:fldCharType="begin"/>
      </w:r>
      <w:r>
        <w:instrText xml:space="preserve"> HYPERLINK "http://www.fda.gov/ICECI/ComplianceManuals/CompliancePolicyGuidanceManual/uc" </w:instrText>
      </w:r>
      <w:r>
        <w:fldChar w:fldCharType="separate"/>
      </w:r>
      <w:r>
        <w:rPr>
          <w:rStyle w:val="16"/>
          <w:rFonts w:ascii="Arial" w:hAnsi="Arial" w:eastAsia="宋体" w:cs="Arial"/>
          <w:snapToGrid w:val="0"/>
          <w:u w:color="0000FF"/>
        </w:rPr>
        <w:t>http://www.fda.gov/ICECI/ComplianceManuals/CompliancePolicyGuidanceManual/uc</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"http://www.fda.gov/ICECI/ComplianceManuals/CompliancePolicyGuidanceManual/ucm200364.htm"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m200364.htm</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7F0BA9F8">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bookmarkStart w:id="215" w:name="OLE_LINK63"/>
      <w:bookmarkStart w:id="216" w:name="OLE_LINK64"/>
      <w:r>
        <w:rPr>
          <w:rFonts w:ascii="Arial" w:hAnsi="Arial" w:eastAsia="宋体" w:cs="Arial"/>
          <w:snapToGrid w:val="0"/>
          <w:lang w:eastAsia="zh-CN"/>
        </w:rPr>
        <w:t>Q8</w:t>
      </w:r>
      <w:r>
        <w:rPr>
          <w:rFonts w:hint="eastAsia" w:ascii="Arial" w:hAnsi="Arial" w:eastAsia="宋体" w:cs="Arial"/>
          <w:snapToGrid w:val="0"/>
          <w:lang w:eastAsia="zh-CN"/>
        </w:rPr>
        <w:t>（</w:t>
      </w:r>
      <w:r>
        <w:rPr>
          <w:rFonts w:ascii="Arial" w:hAnsi="Arial" w:eastAsia="宋体" w:cs="Arial"/>
          <w:snapToGrid w:val="0"/>
          <w:lang w:eastAsia="zh-CN"/>
        </w:rPr>
        <w:t>R2</w:t>
      </w:r>
      <w:r>
        <w:rPr>
          <w:rFonts w:hint="eastAsia" w:ascii="Arial" w:hAnsi="Arial" w:eastAsia="宋体" w:cs="Arial"/>
          <w:snapToGrid w:val="0"/>
          <w:lang w:eastAsia="zh-CN"/>
        </w:rPr>
        <w:t>）</w:t>
      </w:r>
      <w:bookmarkEnd w:id="215"/>
      <w:bookmarkEnd w:id="216"/>
      <w:r>
        <w:rPr>
          <w:rFonts w:hint="eastAsia" w:ascii="Arial" w:hAnsi="Arial" w:eastAsia="宋体" w:cs="Arial"/>
          <w:snapToGrid w:val="0"/>
          <w:lang w:eastAsia="zh-CN"/>
        </w:rPr>
        <w:t>药物开发，行业指南（</w:t>
      </w:r>
      <w:r>
        <w:rPr>
          <w:rFonts w:ascii="Arial" w:hAnsi="Arial" w:eastAsia="宋体" w:cs="Arial"/>
          <w:snapToGrid w:val="0"/>
          <w:lang w:eastAsia="zh-CN"/>
        </w:rPr>
        <w:t>2009</w:t>
      </w:r>
      <w:r>
        <w:rPr>
          <w:rFonts w:hint="eastAsia" w:ascii="Arial" w:hAnsi="Arial" w:eastAsia="宋体" w:cs="Arial"/>
          <w:snapToGrid w:val="0"/>
          <w:lang w:eastAsia="zh-CN"/>
        </w:rPr>
        <w:t>年11月）（</w:t>
      </w:r>
      <w:r>
        <w:fldChar w:fldCharType="begin"/>
      </w:r>
      <w:r>
        <w:instrText xml:space="preserve"> HYPERLINK "http://www.fda.gov/downloads/Drugs/.../Guidances/ucm073507.pdf" </w:instrText>
      </w:r>
      <w:r>
        <w:fldChar w:fldCharType="separate"/>
      </w:r>
      <w:r>
        <w:rPr>
          <w:rStyle w:val="16"/>
          <w:rFonts w:ascii="Arial" w:hAnsi="Arial" w:eastAsia="宋体" w:cs="Arial"/>
          <w:snapToGrid w:val="0"/>
          <w:u w:color="0000FF"/>
          <w:lang w:eastAsia="zh-CN"/>
        </w:rPr>
        <w:t>http://www.fda.gov/downloads/Drugs/.../Guidances/ucm073507.pdf</w:t>
      </w:r>
      <w:r>
        <w:rPr>
          <w:rStyle w:val="16"/>
          <w:rFonts w:ascii="Arial" w:hAnsi="Arial" w:eastAsia="宋体" w:cs="Arial"/>
          <w:snapToGrid w:val="0"/>
          <w:u w:color="0000FF"/>
          <w:lang w:eastAsia="zh-CN"/>
        </w:rPr>
        <w:fldChar w:fldCharType="end"/>
      </w:r>
      <w:r>
        <w:rPr>
          <w:rFonts w:hint="eastAsia" w:ascii="Arial" w:hAnsi="Arial" w:eastAsia="宋体" w:cs="Arial"/>
          <w:snapToGrid w:val="0"/>
          <w:lang w:eastAsia="zh-CN"/>
        </w:rPr>
        <w:t>）</w:t>
      </w:r>
    </w:p>
    <w:p w14:paraId="79FA5BD7">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r>
        <w:rPr>
          <w:rFonts w:ascii="Arial" w:hAnsi="Arial" w:eastAsia="宋体" w:cs="Arial"/>
          <w:snapToGrid w:val="0"/>
          <w:lang w:eastAsia="zh-CN"/>
        </w:rPr>
        <w:t>Q9</w:t>
      </w:r>
      <w:r>
        <w:rPr>
          <w:rFonts w:hint="eastAsia" w:ascii="Arial" w:hAnsi="Arial" w:eastAsia="宋体" w:cs="Arial"/>
          <w:snapToGrid w:val="0"/>
          <w:lang w:eastAsia="zh-CN"/>
        </w:rPr>
        <w:t>质量风险管理，行业指南（</w:t>
      </w:r>
      <w:r>
        <w:rPr>
          <w:rFonts w:ascii="Arial" w:hAnsi="Arial" w:eastAsia="宋体" w:cs="Arial"/>
          <w:snapToGrid w:val="0"/>
          <w:lang w:eastAsia="zh-CN"/>
        </w:rPr>
        <w:t>2006</w:t>
      </w:r>
      <w:r>
        <w:rPr>
          <w:rFonts w:hint="eastAsia" w:ascii="Arial" w:hAnsi="Arial" w:eastAsia="宋体" w:cs="Arial"/>
          <w:snapToGrid w:val="0"/>
          <w:lang w:eastAsia="zh-CN"/>
        </w:rPr>
        <w:t>年6月）（</w:t>
      </w:r>
      <w:r>
        <w:fldChar w:fldCharType="begin"/>
      </w:r>
      <w:r>
        <w:instrText xml:space="preserve"> HYPERLINK "http://www.fda.gov/downloads/Drugs/.../Guidances/ucm073511.pdf" </w:instrText>
      </w:r>
      <w:r>
        <w:fldChar w:fldCharType="separate"/>
      </w:r>
      <w:r>
        <w:rPr>
          <w:rStyle w:val="16"/>
          <w:rFonts w:ascii="Arial" w:hAnsi="Arial" w:eastAsia="宋体" w:cs="Arial"/>
          <w:snapToGrid w:val="0"/>
          <w:u w:color="0000FF"/>
          <w:lang w:eastAsia="zh-CN"/>
        </w:rPr>
        <w:t>http://www.fda.gov/downloads/Drugs/.../Guidances/ucm073511.pdf</w:t>
      </w:r>
      <w:r>
        <w:rPr>
          <w:rStyle w:val="16"/>
          <w:rFonts w:ascii="Arial" w:hAnsi="Arial" w:eastAsia="宋体" w:cs="Arial"/>
          <w:snapToGrid w:val="0"/>
          <w:u w:color="0000FF"/>
          <w:lang w:eastAsia="zh-CN"/>
        </w:rPr>
        <w:fldChar w:fldCharType="end"/>
      </w:r>
      <w:r>
        <w:rPr>
          <w:rFonts w:hint="eastAsia" w:ascii="Arial" w:hAnsi="Arial" w:eastAsia="宋体" w:cs="Arial"/>
          <w:snapToGrid w:val="0"/>
          <w:lang w:eastAsia="zh-CN"/>
        </w:rPr>
        <w:t>）</w:t>
      </w:r>
    </w:p>
    <w:p w14:paraId="6FEB38DD">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rPr>
      </w:pPr>
      <w:r>
        <w:rPr>
          <w:rFonts w:ascii="Arial" w:hAnsi="Arial" w:eastAsia="宋体" w:cs="Arial"/>
          <w:snapToGrid w:val="0"/>
        </w:rPr>
        <w:t>Q10</w:t>
      </w:r>
      <w:r>
        <w:rPr>
          <w:rFonts w:hint="eastAsia" w:ascii="Arial" w:hAnsi="Arial" w:eastAsia="宋体" w:cs="Arial"/>
          <w:snapToGrid w:val="0"/>
          <w:lang w:eastAsia="zh-CN"/>
        </w:rPr>
        <w:t>药品质量体系，行业指南</w:t>
      </w:r>
      <w:r>
        <w:rPr>
          <w:rFonts w:hint="eastAsia" w:ascii="Arial" w:hAnsi="Arial" w:eastAsia="宋体" w:cs="Arial"/>
          <w:snapToGrid w:val="0"/>
        </w:rPr>
        <w:t>（</w:t>
      </w:r>
      <w:r>
        <w:rPr>
          <w:rFonts w:ascii="Arial" w:hAnsi="Arial" w:eastAsia="宋体" w:cs="Arial"/>
          <w:snapToGrid w:val="0"/>
        </w:rPr>
        <w:t>2009</w:t>
      </w:r>
      <w:r>
        <w:rPr>
          <w:rFonts w:hint="eastAsia" w:ascii="Arial" w:hAnsi="Arial" w:eastAsia="宋体" w:cs="Arial"/>
          <w:snapToGrid w:val="0"/>
          <w:lang w:eastAsia="zh-CN"/>
        </w:rPr>
        <w:t>年4月</w:t>
      </w:r>
      <w:r>
        <w:rPr>
          <w:rFonts w:hint="eastAsia" w:ascii="Arial" w:hAnsi="Arial" w:eastAsia="宋体" w:cs="Arial"/>
          <w:snapToGrid w:val="0"/>
        </w:rPr>
        <w:t>）（</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rPr>
        <w:t>http://www.fda.gov/downloads/Drugs/GuidanceComplianceRegulatoryInformation/Guid</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"http://www.fda.gov/downloads/Drugs/GuidanceComplianceRegulatoryInformation/Guidances/UCM073517.pdf"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ances/UCM073517.pdf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033248DF">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r>
        <w:rPr>
          <w:rFonts w:hint="eastAsia" w:ascii="Arial" w:hAnsi="Arial" w:eastAsia="宋体" w:cs="Arial"/>
          <w:snapToGrid w:val="0"/>
          <w:lang w:eastAsia="zh-CN"/>
        </w:rPr>
        <w:t>无菌工艺生产的无菌药品</w:t>
      </w:r>
      <w:r>
        <w:rPr>
          <w:rFonts w:ascii="Arial" w:hAnsi="Arial" w:eastAsia="宋体" w:cs="Arial"/>
          <w:snapToGrid w:val="0"/>
          <w:lang w:eastAsia="zh-CN"/>
        </w:rPr>
        <w:t>—</w:t>
      </w:r>
      <w:r>
        <w:rPr>
          <w:rFonts w:hint="eastAsia" w:ascii="Arial" w:hAnsi="Arial" w:eastAsia="宋体" w:cs="Arial"/>
          <w:snapToGrid w:val="0"/>
          <w:lang w:eastAsia="zh-CN"/>
        </w:rPr>
        <w:t>现行良好生产规范，行业指南（</w:t>
      </w:r>
      <w:r>
        <w:rPr>
          <w:rFonts w:ascii="Arial" w:hAnsi="Arial" w:eastAsia="宋体" w:cs="Arial"/>
          <w:snapToGrid w:val="0"/>
          <w:lang w:eastAsia="zh-CN"/>
        </w:rPr>
        <w:t>2004</w:t>
      </w:r>
      <w:r>
        <w:rPr>
          <w:rFonts w:hint="eastAsia" w:ascii="Arial" w:hAnsi="Arial" w:eastAsia="宋体" w:cs="Arial"/>
          <w:snapToGrid w:val="0"/>
          <w:lang w:eastAsia="zh-CN"/>
        </w:rPr>
        <w:t>年9月）</w:t>
      </w:r>
      <w:r>
        <w:rPr>
          <w:rFonts w:ascii="Arial" w:hAnsi="Arial" w:eastAsia="宋体" w:cs="Arial"/>
          <w:snapToGrid w:val="0"/>
          <w:lang w:eastAsia="zh-CN"/>
        </w:rPr>
        <w:br w:type="textWrapping"/>
      </w:r>
      <w:r>
        <w:rPr>
          <w:rFonts w:hint="eastAsia" w:ascii="Arial" w:hAnsi="Arial" w:eastAsia="宋体" w:cs="Arial"/>
          <w:snapToGrid w:val="0"/>
          <w:lang w:eastAsia="zh-CN"/>
        </w:rPr>
        <w:t>（</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lang w:eastAsia="zh-CN"/>
        </w:rPr>
        <w:t>http://www.fda.gov/downloads/Drugs/GuidanceComplianceRegulatoryInformation/Guid</w:t>
      </w:r>
      <w:r>
        <w:rPr>
          <w:rStyle w:val="16"/>
          <w:rFonts w:ascii="Arial" w:hAnsi="Arial" w:eastAsia="宋体" w:cs="Arial"/>
          <w:snapToGrid w:val="0"/>
          <w:u w:color="0000FF"/>
          <w:lang w:eastAsia="zh-CN"/>
        </w:rPr>
        <w:fldChar w:fldCharType="end"/>
      </w:r>
      <w:r>
        <w:rPr>
          <w:rFonts w:ascii="Arial" w:hAnsi="Arial" w:eastAsia="宋体" w:cs="Arial"/>
          <w:snapToGrid w:val="0"/>
          <w:color w:val="0000FF"/>
          <w:lang w:eastAsia="zh-CN"/>
        </w:rPr>
        <w:t xml:space="preserve"> </w:t>
      </w:r>
      <w:r>
        <w:fldChar w:fldCharType="begin"/>
      </w:r>
      <w:r>
        <w:instrText xml:space="preserve"> HYPERLINK "http://www.fda.gov/downloads/Drugs/GuidanceComplianceRegulatoryInformation/Guidances/UCM070342.pdf" \h </w:instrText>
      </w:r>
      <w:r>
        <w:fldChar w:fldCharType="separate"/>
      </w:r>
      <w:r>
        <w:rPr>
          <w:rFonts w:ascii="Arial" w:hAnsi="Arial" w:eastAsia="宋体" w:cs="Arial"/>
          <w:snapToGrid w:val="0"/>
          <w:color w:val="0000FF"/>
          <w:lang w:eastAsia="zh-CN"/>
        </w:rPr>
        <w:t xml:space="preserve"> </w:t>
      </w:r>
      <w:r>
        <w:rPr>
          <w:rFonts w:ascii="Arial" w:hAnsi="Arial" w:eastAsia="宋体" w:cs="Arial"/>
          <w:snapToGrid w:val="0"/>
          <w:color w:val="0000FF"/>
          <w:u w:val="single" w:color="0000FF"/>
          <w:lang w:eastAsia="zh-CN"/>
        </w:rPr>
        <w:t>ances/UCM070342.pdf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370F2453">
      <w:pPr>
        <w:pStyle w:val="5"/>
        <w:numPr>
          <w:ilvl w:val="0"/>
          <w:numId w:val="20"/>
        </w:numPr>
        <w:tabs>
          <w:tab w:val="left" w:pos="460"/>
        </w:tabs>
        <w:topLinePunct/>
        <w:adjustRightInd w:val="0"/>
        <w:snapToGrid w:val="0"/>
        <w:spacing w:after="224" w:afterLines="75" w:line="288" w:lineRule="auto"/>
        <w:ind w:left="460" w:hanging="460"/>
        <w:jc w:val="left"/>
        <w:rPr>
          <w:rFonts w:ascii="Arial" w:hAnsi="Arial" w:eastAsia="宋体" w:cs="Arial"/>
          <w:snapToGrid w:val="0"/>
          <w:lang w:eastAsia="zh-CN"/>
        </w:rPr>
      </w:pPr>
      <w:r>
        <w:rPr>
          <w:rFonts w:hint="eastAsia" w:ascii="Arial" w:hAnsi="Arial" w:eastAsia="宋体" w:cs="Arial"/>
          <w:snapToGrid w:val="0"/>
          <w:lang w:eastAsia="zh-CN"/>
        </w:rPr>
        <w:t>提交用于申请最终湿热灭菌的人用药和兽用药参数放行的文件，行业指南（</w:t>
      </w:r>
      <w:r>
        <w:rPr>
          <w:rFonts w:ascii="Arial" w:hAnsi="Arial" w:eastAsia="宋体" w:cs="Arial"/>
          <w:snapToGrid w:val="0"/>
          <w:lang w:eastAsia="zh-CN"/>
        </w:rPr>
        <w:t>2010</w:t>
      </w:r>
      <w:r>
        <w:rPr>
          <w:rFonts w:hint="eastAsia" w:ascii="Arial" w:hAnsi="Arial" w:eastAsia="宋体" w:cs="Arial"/>
          <w:snapToGrid w:val="0"/>
          <w:lang w:eastAsia="zh-CN"/>
        </w:rPr>
        <w:t>年2月）（</w:t>
      </w:r>
      <w:r>
        <w:fldChar w:fldCharType="begin"/>
      </w:r>
      <w:r>
        <w:instrText xml:space="preserve"> HYPERLINK "http://www.fda.gov/downloads/drugs/guidancecomplianceregulatoryinformation/guidan" </w:instrText>
      </w:r>
      <w:r>
        <w:fldChar w:fldCharType="separate"/>
      </w:r>
      <w:r>
        <w:rPr>
          <w:rStyle w:val="16"/>
          <w:rFonts w:ascii="Arial" w:hAnsi="Arial" w:eastAsia="宋体" w:cs="Arial"/>
          <w:snapToGrid w:val="0"/>
          <w:u w:color="0000FF"/>
          <w:lang w:eastAsia="zh-CN"/>
        </w:rPr>
        <w:t>http://www.fda.gov/downloads/drugs/guidancecomplianceregulatoryinformation/guidan</w:t>
      </w:r>
      <w:r>
        <w:rPr>
          <w:rStyle w:val="16"/>
          <w:rFonts w:ascii="Arial" w:hAnsi="Arial" w:eastAsia="宋体" w:cs="Arial"/>
          <w:snapToGrid w:val="0"/>
          <w:u w:color="0000FF"/>
          <w:lang w:eastAsia="zh-CN"/>
        </w:rPr>
        <w:fldChar w:fldCharType="end"/>
      </w:r>
      <w:r>
        <w:rPr>
          <w:rFonts w:ascii="Arial" w:hAnsi="Arial" w:eastAsia="宋体" w:cs="Arial"/>
          <w:snapToGrid w:val="0"/>
          <w:color w:val="0000FF"/>
          <w:lang w:eastAsia="zh-CN"/>
        </w:rPr>
        <w:t xml:space="preserve"> </w:t>
      </w:r>
      <w:r>
        <w:fldChar w:fldCharType="begin"/>
      </w:r>
      <w:r>
        <w:instrText xml:space="preserve"> HYPERLINK "http://www.fda.gov/downloads/drugs/guidancecomplianceregulatoryinformation/guidances/ucm437431.pdf" \h </w:instrText>
      </w:r>
      <w:r>
        <w:fldChar w:fldCharType="separate"/>
      </w:r>
      <w:r>
        <w:rPr>
          <w:rFonts w:ascii="Arial" w:hAnsi="Arial" w:eastAsia="宋体" w:cs="Arial"/>
          <w:snapToGrid w:val="0"/>
          <w:color w:val="0000FF"/>
          <w:lang w:eastAsia="zh-CN"/>
        </w:rPr>
        <w:t xml:space="preserve"> </w:t>
      </w:r>
      <w:r>
        <w:rPr>
          <w:rFonts w:ascii="Arial" w:hAnsi="Arial" w:eastAsia="宋体" w:cs="Arial"/>
          <w:snapToGrid w:val="0"/>
          <w:color w:val="0000FF"/>
          <w:u w:val="single" w:color="0000FF"/>
          <w:lang w:eastAsia="zh-CN"/>
        </w:rPr>
        <w:t>ces/ucm437431.pdf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3EA37D7F">
      <w:pPr>
        <w:topLinePunct/>
        <w:adjustRightInd w:val="0"/>
        <w:snapToGrid w:val="0"/>
        <w:spacing w:after="224" w:afterLines="75" w:line="288" w:lineRule="auto"/>
        <w:jc w:val="center"/>
        <w:rPr>
          <w:rFonts w:ascii="Arial" w:hAnsi="Arial" w:eastAsia="宋体" w:cs="Arial"/>
          <w:snapToGrid w:val="0"/>
          <w:sz w:val="24"/>
          <w:szCs w:val="24"/>
          <w:lang w:eastAsia="zh-CN"/>
        </w:rPr>
      </w:pPr>
      <w:r>
        <w:rPr>
          <w:rFonts w:hint="eastAsia" w:ascii="Arial" w:hAnsi="Arial" w:eastAsia="宋体" w:cs="Arial"/>
          <w:i/>
          <w:snapToGrid w:val="0"/>
          <w:sz w:val="24"/>
          <w:lang w:eastAsia="zh-CN"/>
        </w:rPr>
        <w:t>生物制剂</w:t>
      </w:r>
    </w:p>
    <w:p w14:paraId="7040DEF9">
      <w:pPr>
        <w:pStyle w:val="5"/>
        <w:numPr>
          <w:ilvl w:val="0"/>
          <w:numId w:val="21"/>
        </w:numPr>
        <w:tabs>
          <w:tab w:val="left" w:pos="460"/>
        </w:tabs>
        <w:topLinePunct/>
        <w:adjustRightInd w:val="0"/>
        <w:snapToGrid w:val="0"/>
        <w:spacing w:after="224" w:afterLines="75" w:line="288" w:lineRule="auto"/>
        <w:ind w:hanging="460"/>
        <w:rPr>
          <w:rFonts w:ascii="Arial" w:hAnsi="Arial" w:eastAsia="宋体" w:cs="Arial"/>
          <w:snapToGrid w:val="0"/>
        </w:rPr>
      </w:pPr>
      <w:bookmarkStart w:id="217" w:name="OLE_LINK68"/>
      <w:bookmarkStart w:id="218" w:name="OLE_LINK69"/>
      <w:r>
        <w:rPr>
          <w:rFonts w:hint="eastAsia" w:ascii="Arial" w:hAnsi="Arial" w:eastAsia="宋体" w:cs="Arial"/>
          <w:snapToGrid w:val="0"/>
          <w:lang w:eastAsia="zh-CN"/>
        </w:rPr>
        <w:t>获批生物制剂的</w:t>
      </w:r>
      <w:bookmarkEnd w:id="217"/>
      <w:bookmarkEnd w:id="218"/>
      <w:r>
        <w:rPr>
          <w:rFonts w:hint="eastAsia" w:ascii="Arial" w:hAnsi="Arial" w:eastAsia="宋体" w:cs="Arial"/>
          <w:snapToGrid w:val="0"/>
          <w:lang w:eastAsia="zh-CN"/>
        </w:rPr>
        <w:t>合作生产安排，行业指南（</w:t>
      </w:r>
      <w:r>
        <w:rPr>
          <w:rFonts w:ascii="Arial" w:hAnsi="Arial" w:eastAsia="宋体" w:cs="Arial"/>
          <w:snapToGrid w:val="0"/>
          <w:lang w:eastAsia="zh-CN"/>
        </w:rPr>
        <w:t>2008</w:t>
      </w:r>
      <w:r>
        <w:rPr>
          <w:rFonts w:hint="eastAsia" w:ascii="Arial" w:hAnsi="Arial" w:eastAsia="宋体" w:cs="Arial"/>
          <w:snapToGrid w:val="0"/>
          <w:lang w:eastAsia="zh-CN"/>
        </w:rPr>
        <w:t>年11月）（</w:t>
      </w:r>
      <w:r>
        <w:fldChar w:fldCharType="begin"/>
      </w:r>
      <w:r>
        <w:instrText xml:space="preserve"> HYPERLINK "http://www.fda.gov/downloads/BiologicsBloodVaccines/GuidanceComplianceRegulator" </w:instrText>
      </w:r>
      <w:r>
        <w:fldChar w:fldCharType="separate"/>
      </w:r>
      <w:r>
        <w:rPr>
          <w:rStyle w:val="16"/>
          <w:rFonts w:ascii="Arial" w:hAnsi="Arial" w:eastAsia="宋体" w:cs="Arial"/>
          <w:snapToGrid w:val="0"/>
          <w:u w:color="0000FF"/>
          <w:lang w:eastAsia="zh-CN"/>
        </w:rPr>
        <w:t>http://www.fda.gov/downloads/BiologicsBloodVaccines/GuidanceComplianceRegulator</w:t>
      </w:r>
      <w:r>
        <w:rPr>
          <w:rStyle w:val="16"/>
          <w:rFonts w:ascii="Arial" w:hAnsi="Arial" w:eastAsia="宋体" w:cs="Arial"/>
          <w:snapToGrid w:val="0"/>
          <w:u w:color="0000FF"/>
          <w:lang w:eastAsia="zh-CN"/>
        </w:rPr>
        <w:fldChar w:fldCharType="end"/>
      </w:r>
      <w:r>
        <w:fldChar w:fldCharType="begin"/>
      </w:r>
      <w:r>
        <w:instrText xml:space="preserve"> HYPERLINK "http://www.fda.gov/downloads/BiologicsBloodVaccines/GuidanceComplianceRegulatoryInformation/Guidances/General/UCM069908.pdf" \h </w:instrText>
      </w:r>
      <w:r>
        <w:fldChar w:fldCharType="separate"/>
      </w:r>
      <w:r>
        <w:rPr>
          <w:rFonts w:ascii="Arial" w:hAnsi="Arial" w:eastAsia="宋体" w:cs="Arial"/>
          <w:snapToGrid w:val="0"/>
          <w:color w:val="0000FF"/>
          <w:u w:val="single" w:color="0000FF"/>
        </w:rPr>
        <w:t>yInformation/Guidances/General/UCM069908.pdf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103F4C9E">
      <w:pPr>
        <w:rPr>
          <w:rFonts w:ascii="Arial" w:hAnsi="Arial" w:eastAsia="宋体" w:cs="Arial"/>
          <w:i/>
          <w:snapToGrid w:val="0"/>
          <w:sz w:val="24"/>
        </w:rPr>
      </w:pPr>
      <w:r>
        <w:rPr>
          <w:rFonts w:ascii="Arial" w:hAnsi="Arial" w:eastAsia="宋体" w:cs="Arial"/>
          <w:i/>
          <w:snapToGrid w:val="0"/>
          <w:sz w:val="24"/>
        </w:rPr>
        <w:br w:type="page"/>
      </w:r>
    </w:p>
    <w:p w14:paraId="64FA3C45">
      <w:pPr>
        <w:topLinePunct/>
        <w:adjustRightInd w:val="0"/>
        <w:snapToGrid w:val="0"/>
        <w:spacing w:after="224" w:afterLines="75" w:line="288" w:lineRule="auto"/>
        <w:ind w:left="460" w:hanging="460"/>
        <w:jc w:val="center"/>
        <w:rPr>
          <w:rFonts w:ascii="Arial" w:hAnsi="Arial" w:eastAsia="宋体" w:cs="Arial"/>
          <w:snapToGrid w:val="0"/>
          <w:sz w:val="24"/>
          <w:szCs w:val="24"/>
        </w:rPr>
      </w:pPr>
      <w:r>
        <w:rPr>
          <w:rFonts w:ascii="Arial" w:hAnsi="Arial" w:eastAsia="宋体" w:cs="Arial"/>
          <w:i/>
          <w:snapToGrid w:val="0"/>
          <w:sz w:val="24"/>
        </w:rPr>
        <w:t>HCT/Ps</w:t>
      </w:r>
    </w:p>
    <w:p w14:paraId="08FE5F73">
      <w:pPr>
        <w:pStyle w:val="5"/>
        <w:numPr>
          <w:ilvl w:val="0"/>
          <w:numId w:val="21"/>
        </w:numPr>
        <w:tabs>
          <w:tab w:val="left" w:pos="460"/>
        </w:tabs>
        <w:topLinePunct/>
        <w:adjustRightInd w:val="0"/>
        <w:snapToGrid w:val="0"/>
        <w:spacing w:after="224" w:afterLines="75" w:line="288" w:lineRule="auto"/>
        <w:ind w:hanging="460"/>
        <w:rPr>
          <w:rFonts w:ascii="Arial" w:hAnsi="Arial" w:eastAsia="宋体" w:cs="Arial"/>
          <w:snapToGrid w:val="0"/>
        </w:rPr>
      </w:pPr>
      <w:r>
        <w:rPr>
          <w:rFonts w:hint="eastAsia" w:ascii="Arial" w:hAnsi="Arial" w:eastAsia="宋体" w:cs="Arial"/>
          <w:snapToGrid w:val="0"/>
          <w:lang w:eastAsia="zh-CN"/>
        </w:rPr>
        <w:t>现行良好组织规范</w:t>
      </w:r>
      <w:r>
        <w:rPr>
          <w:rFonts w:hint="eastAsia" w:ascii="Arial" w:hAnsi="Arial" w:eastAsia="宋体" w:cs="Arial"/>
          <w:snapToGrid w:val="0"/>
        </w:rPr>
        <w:t>（</w:t>
      </w:r>
      <w:r>
        <w:rPr>
          <w:rFonts w:ascii="Arial" w:hAnsi="Arial" w:eastAsia="宋体" w:cs="Arial"/>
          <w:snapToGrid w:val="0"/>
        </w:rPr>
        <w:t>CGTP</w:t>
      </w:r>
      <w:r>
        <w:rPr>
          <w:rFonts w:hint="eastAsia" w:ascii="Arial" w:hAnsi="Arial" w:eastAsia="宋体" w:cs="Arial"/>
          <w:snapToGrid w:val="0"/>
        </w:rPr>
        <w:t>）</w:t>
      </w:r>
      <w:r>
        <w:rPr>
          <w:rFonts w:hint="eastAsia" w:ascii="Arial" w:hAnsi="Arial" w:eastAsia="宋体" w:cs="Arial"/>
          <w:snapToGrid w:val="0"/>
          <w:lang w:eastAsia="zh-CN"/>
        </w:rPr>
        <w:t>和对人类细胞、组织，及细胞与组织产品</w:t>
      </w:r>
      <w:r>
        <w:rPr>
          <w:rFonts w:hint="eastAsia" w:ascii="Arial" w:hAnsi="Arial" w:eastAsia="宋体" w:cs="Arial"/>
          <w:snapToGrid w:val="0"/>
        </w:rPr>
        <w:t>（</w:t>
      </w:r>
      <w:r>
        <w:rPr>
          <w:rFonts w:ascii="Arial" w:hAnsi="Arial" w:eastAsia="宋体" w:cs="Arial"/>
          <w:snapToGrid w:val="0"/>
        </w:rPr>
        <w:t>HCT/Ps</w:t>
      </w:r>
      <w:r>
        <w:rPr>
          <w:rFonts w:hint="eastAsia" w:ascii="Arial" w:hAnsi="Arial" w:eastAsia="宋体" w:cs="Arial"/>
          <w:snapToGrid w:val="0"/>
        </w:rPr>
        <w:t>）</w:t>
      </w:r>
      <w:r>
        <w:rPr>
          <w:rFonts w:hint="eastAsia" w:ascii="Arial" w:hAnsi="Arial" w:eastAsia="宋体" w:cs="Arial"/>
          <w:snapToGrid w:val="0"/>
          <w:lang w:eastAsia="zh-CN"/>
        </w:rPr>
        <w:t>制造商的其他要求，行业指南</w:t>
      </w:r>
      <w:r>
        <w:rPr>
          <w:rFonts w:hint="eastAsia" w:ascii="Arial" w:hAnsi="Arial" w:eastAsia="宋体" w:cs="Arial"/>
          <w:snapToGrid w:val="0"/>
        </w:rPr>
        <w:t>（</w:t>
      </w:r>
      <w:r>
        <w:rPr>
          <w:rFonts w:ascii="Arial" w:hAnsi="Arial" w:eastAsia="宋体" w:cs="Arial"/>
          <w:snapToGrid w:val="0"/>
        </w:rPr>
        <w:t>2011</w:t>
      </w:r>
      <w:r>
        <w:rPr>
          <w:rFonts w:hint="eastAsia" w:ascii="Arial" w:hAnsi="Arial" w:eastAsia="宋体" w:cs="Arial"/>
          <w:snapToGrid w:val="0"/>
          <w:lang w:eastAsia="zh-CN"/>
        </w:rPr>
        <w:t>年12月</w:t>
      </w:r>
      <w:r>
        <w:rPr>
          <w:rFonts w:hint="eastAsia" w:ascii="Arial" w:hAnsi="Arial" w:eastAsia="宋体" w:cs="Arial"/>
          <w:snapToGrid w:val="0"/>
        </w:rPr>
        <w:t>）（</w:t>
      </w:r>
      <w:r>
        <w:fldChar w:fldCharType="begin"/>
      </w:r>
      <w:r>
        <w:instrText xml:space="preserve"> HYPERLINK "http://www.fda.gov/downloads/BiologicsBloodVaccines/GuidanceComplianceRegulator" </w:instrText>
      </w:r>
      <w:r>
        <w:fldChar w:fldCharType="separate"/>
      </w:r>
      <w:r>
        <w:rPr>
          <w:rStyle w:val="16"/>
          <w:rFonts w:ascii="Arial" w:hAnsi="Arial" w:eastAsia="宋体" w:cs="Arial"/>
          <w:snapToGrid w:val="0"/>
          <w:u w:color="0000FF"/>
        </w:rPr>
        <w:t>http://www.fda.gov/downloads/BiologicsBloodVaccines/GuidanceComplianceRegulator</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"http://www.fda.gov/downloads/BiologicsBloodVaccines/GuidanceComplianceRegulatoryInformation/Guidances/Tissue/UCM285223.pdf"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yInformation/Guidances/Tissue/UCM285223.pdf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6B0EBB26">
      <w:pPr>
        <w:topLinePunct/>
        <w:adjustRightInd w:val="0"/>
        <w:snapToGrid w:val="0"/>
        <w:spacing w:after="224" w:afterLines="75" w:line="288" w:lineRule="auto"/>
        <w:jc w:val="center"/>
        <w:rPr>
          <w:rFonts w:ascii="Arial" w:hAnsi="Arial" w:eastAsia="宋体" w:cs="Arial"/>
          <w:snapToGrid w:val="0"/>
          <w:sz w:val="24"/>
          <w:szCs w:val="24"/>
          <w:lang w:eastAsia="zh-CN"/>
        </w:rPr>
      </w:pPr>
      <w:r>
        <w:rPr>
          <w:rFonts w:hint="eastAsia" w:ascii="Arial" w:hAnsi="Arial" w:eastAsia="宋体" w:cs="Arial"/>
          <w:i/>
          <w:snapToGrid w:val="0"/>
          <w:sz w:val="24"/>
          <w:lang w:eastAsia="zh-CN"/>
        </w:rPr>
        <w:t>组合产品</w:t>
      </w:r>
    </w:p>
    <w:p w14:paraId="208B43AA">
      <w:pPr>
        <w:pStyle w:val="5"/>
        <w:numPr>
          <w:ilvl w:val="0"/>
          <w:numId w:val="21"/>
        </w:numPr>
        <w:tabs>
          <w:tab w:val="left" w:pos="460"/>
        </w:tabs>
        <w:topLinePunct/>
        <w:adjustRightInd w:val="0"/>
        <w:snapToGrid w:val="0"/>
        <w:spacing w:after="224" w:afterLines="75" w:line="288" w:lineRule="auto"/>
        <w:ind w:hanging="460"/>
        <w:rPr>
          <w:rFonts w:ascii="Arial" w:hAnsi="Arial" w:eastAsia="宋体" w:cs="Arial"/>
          <w:snapToGrid w:val="0"/>
          <w:lang w:eastAsia="zh-CN"/>
        </w:rPr>
      </w:pPr>
      <w:r>
        <w:rPr>
          <w:rFonts w:hint="eastAsia" w:ascii="Arial" w:hAnsi="Arial" w:eastAsia="宋体" w:cs="Arial"/>
          <w:snapToGrid w:val="0"/>
          <w:lang w:eastAsia="zh-CN"/>
        </w:rPr>
        <w:t>冠状动脉药物洗脱支架</w:t>
      </w:r>
      <w:r>
        <w:rPr>
          <w:rFonts w:ascii="Arial" w:hAnsi="Arial" w:eastAsia="宋体" w:cs="Arial"/>
          <w:snapToGrid w:val="0"/>
          <w:lang w:eastAsia="zh-CN"/>
        </w:rPr>
        <w:t>–</w:t>
      </w:r>
      <w:r>
        <w:rPr>
          <w:rFonts w:hint="eastAsia" w:ascii="Arial" w:hAnsi="Arial" w:eastAsia="宋体" w:cs="Arial"/>
          <w:snapToGrid w:val="0"/>
          <w:lang w:eastAsia="zh-CN"/>
        </w:rPr>
        <w:t>非临床和临床研究，行业指南草案（</w:t>
      </w:r>
      <w:r>
        <w:rPr>
          <w:rFonts w:ascii="Arial" w:hAnsi="Arial" w:eastAsia="宋体" w:cs="Arial"/>
          <w:snapToGrid w:val="0"/>
          <w:lang w:eastAsia="zh-CN"/>
        </w:rPr>
        <w:t>2008</w:t>
      </w:r>
      <w:r>
        <w:rPr>
          <w:rFonts w:hint="eastAsia" w:ascii="Arial" w:hAnsi="Arial" w:eastAsia="宋体" w:cs="Arial"/>
          <w:snapToGrid w:val="0"/>
          <w:lang w:eastAsia="zh-CN"/>
        </w:rPr>
        <w:t>年3月）（</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lang w:eastAsia="zh-CN"/>
        </w:rPr>
        <w:t>http://www.fda.gov/downloads/Drugs/GuidanceComplianceRegulatoryInformation/Guid</w:t>
      </w:r>
      <w:r>
        <w:rPr>
          <w:rStyle w:val="16"/>
          <w:rFonts w:ascii="Arial" w:hAnsi="Arial" w:eastAsia="宋体" w:cs="Arial"/>
          <w:snapToGrid w:val="0"/>
          <w:u w:color="0000FF"/>
          <w:lang w:eastAsia="zh-CN"/>
        </w:rPr>
        <w:fldChar w:fldCharType="end"/>
      </w:r>
      <w:r>
        <w:rPr>
          <w:rFonts w:ascii="Arial" w:hAnsi="Arial" w:eastAsia="宋体" w:cs="Arial"/>
          <w:snapToGrid w:val="0"/>
          <w:color w:val="0000FF"/>
          <w:lang w:eastAsia="zh-CN"/>
        </w:rPr>
        <w:t xml:space="preserve"> </w:t>
      </w:r>
      <w:r>
        <w:fldChar w:fldCharType="begin"/>
      </w:r>
      <w:r>
        <w:instrText xml:space="preserve"> HYPERLINK "http://www.fda.gov/downloads/Drugs/GuidanceComplianceRegulatoryInformation/Guidances/UCM228704.pdf" \h </w:instrText>
      </w:r>
      <w:r>
        <w:fldChar w:fldCharType="separate"/>
      </w:r>
      <w:r>
        <w:rPr>
          <w:rFonts w:ascii="Arial" w:hAnsi="Arial" w:eastAsia="宋体" w:cs="Arial"/>
          <w:snapToGrid w:val="0"/>
          <w:color w:val="0000FF"/>
          <w:lang w:eastAsia="zh-CN"/>
        </w:rPr>
        <w:t xml:space="preserve"> </w:t>
      </w:r>
      <w:r>
        <w:rPr>
          <w:rFonts w:ascii="Arial" w:hAnsi="Arial" w:eastAsia="宋体" w:cs="Arial"/>
          <w:snapToGrid w:val="0"/>
          <w:color w:val="0000FF"/>
          <w:u w:val="single" w:color="0000FF"/>
          <w:lang w:eastAsia="zh-CN"/>
        </w:rPr>
        <w:t>ances/UCM228704.pdf</w:t>
      </w:r>
      <w:r>
        <w:rPr>
          <w:rFonts w:ascii="Arial" w:hAnsi="Arial" w:eastAsia="宋体" w:cs="Arial"/>
          <w:snapToGrid w:val="0"/>
          <w:color w:val="0000FF"/>
          <w:u w:val="single" w:color="0000FF"/>
          <w:lang w:eastAsia="zh-CN"/>
        </w:rPr>
        <w:fldChar w:fldCharType="end"/>
      </w:r>
      <w:r>
        <w:rPr>
          <w:rFonts w:hint="eastAsia" w:ascii="Arial" w:hAnsi="Arial" w:eastAsia="宋体" w:cs="Arial"/>
          <w:snapToGrid w:val="0"/>
          <w:lang w:eastAsia="zh-CN"/>
        </w:rPr>
        <w:t>）</w:t>
      </w:r>
    </w:p>
    <w:p w14:paraId="4F60531E">
      <w:pPr>
        <w:pStyle w:val="5"/>
        <w:numPr>
          <w:ilvl w:val="0"/>
          <w:numId w:val="21"/>
        </w:numPr>
        <w:tabs>
          <w:tab w:val="left" w:pos="460"/>
        </w:tabs>
        <w:topLinePunct/>
        <w:adjustRightInd w:val="0"/>
        <w:snapToGrid w:val="0"/>
        <w:spacing w:after="224" w:afterLines="75" w:line="288" w:lineRule="auto"/>
        <w:ind w:hanging="460"/>
        <w:rPr>
          <w:rFonts w:ascii="Arial" w:hAnsi="Arial" w:eastAsia="宋体" w:cs="Arial"/>
          <w:snapToGrid w:val="0"/>
          <w:lang w:eastAsia="zh-CN"/>
        </w:rPr>
      </w:pPr>
      <w:r>
        <w:rPr>
          <w:rFonts w:hint="eastAsia" w:ascii="Arial" w:hAnsi="Arial" w:eastAsia="宋体" w:cs="Arial"/>
          <w:snapToGrid w:val="0"/>
          <w:lang w:eastAsia="zh-CN"/>
        </w:rPr>
        <w:t>如何书写属性界定申请，行业指南（</w:t>
      </w:r>
      <w:r>
        <w:rPr>
          <w:rFonts w:ascii="Arial" w:hAnsi="Arial" w:eastAsia="宋体" w:cs="Arial"/>
          <w:snapToGrid w:val="0"/>
          <w:lang w:eastAsia="zh-CN"/>
        </w:rPr>
        <w:t>2011</w:t>
      </w:r>
      <w:r>
        <w:rPr>
          <w:rFonts w:hint="eastAsia" w:ascii="Arial" w:hAnsi="Arial" w:eastAsia="宋体" w:cs="Arial"/>
          <w:snapToGrid w:val="0"/>
          <w:lang w:eastAsia="zh-CN"/>
        </w:rPr>
        <w:t>年4月）（</w:t>
      </w:r>
      <w:r>
        <w:fldChar w:fldCharType="begin"/>
      </w:r>
      <w:r>
        <w:instrText xml:space="preserve"> HYPERLINK "http://www.fda.gov/RegulatoryInformation/Guidances/ucm126053.htm" </w:instrText>
      </w:r>
      <w:r>
        <w:fldChar w:fldCharType="separate"/>
      </w:r>
      <w:r>
        <w:rPr>
          <w:rStyle w:val="16"/>
          <w:rFonts w:ascii="Arial" w:hAnsi="Arial" w:eastAsia="宋体" w:cs="Arial"/>
          <w:snapToGrid w:val="0"/>
          <w:u w:color="0000FF"/>
          <w:lang w:eastAsia="zh-CN"/>
        </w:rPr>
        <w:t>http://www.fda.gov/RegulatoryInformation/Guidances/ucm126053.htm</w:t>
      </w:r>
      <w:r>
        <w:rPr>
          <w:rStyle w:val="16"/>
          <w:rFonts w:ascii="Arial" w:hAnsi="Arial" w:eastAsia="宋体" w:cs="Arial"/>
          <w:snapToGrid w:val="0"/>
          <w:u w:color="0000FF"/>
          <w:lang w:eastAsia="zh-CN"/>
        </w:rPr>
        <w:fldChar w:fldCharType="end"/>
      </w:r>
      <w:r>
        <w:rPr>
          <w:rFonts w:hint="eastAsia" w:ascii="Arial" w:hAnsi="Arial" w:eastAsia="宋体" w:cs="Arial"/>
          <w:snapToGrid w:val="0"/>
          <w:lang w:eastAsia="zh-CN"/>
        </w:rPr>
        <w:t>）</w:t>
      </w:r>
    </w:p>
    <w:p w14:paraId="14D3C5C9">
      <w:pPr>
        <w:pStyle w:val="5"/>
        <w:numPr>
          <w:ilvl w:val="0"/>
          <w:numId w:val="21"/>
        </w:numPr>
        <w:tabs>
          <w:tab w:val="left" w:pos="460"/>
        </w:tabs>
        <w:topLinePunct/>
        <w:adjustRightInd w:val="0"/>
        <w:snapToGrid w:val="0"/>
        <w:spacing w:after="224" w:afterLines="75" w:line="288" w:lineRule="auto"/>
        <w:ind w:hanging="460"/>
        <w:rPr>
          <w:rFonts w:ascii="Arial" w:hAnsi="Arial" w:eastAsia="宋体" w:cs="Arial"/>
          <w:snapToGrid w:val="0"/>
        </w:rPr>
      </w:pPr>
      <w:r>
        <w:rPr>
          <w:rFonts w:hint="eastAsia" w:ascii="Arial" w:hAnsi="Arial" w:eastAsia="宋体" w:cs="Arial"/>
          <w:snapToGrid w:val="0"/>
          <w:lang w:eastAsia="zh-CN"/>
        </w:rPr>
        <w:t>组合产品设计和开发时的人为因素研究和相关临床研究考虑，</w:t>
      </w:r>
      <w:bookmarkStart w:id="219" w:name="OLE_LINK19"/>
      <w:bookmarkStart w:id="220" w:name="OLE_LINK20"/>
      <w:r>
        <w:rPr>
          <w:rFonts w:hint="eastAsia" w:ascii="Arial" w:hAnsi="Arial" w:eastAsia="宋体" w:cs="Arial"/>
          <w:snapToGrid w:val="0"/>
          <w:lang w:eastAsia="zh-CN"/>
        </w:rPr>
        <w:t>行业及FDA工作人员指南草案</w:t>
      </w:r>
      <w:bookmarkEnd w:id="219"/>
      <w:bookmarkEnd w:id="220"/>
      <w:r>
        <w:rPr>
          <w:rFonts w:hint="eastAsia" w:ascii="Arial" w:hAnsi="Arial" w:eastAsia="宋体" w:cs="Arial"/>
          <w:snapToGrid w:val="0"/>
        </w:rPr>
        <w:t>（</w:t>
      </w:r>
      <w:r>
        <w:rPr>
          <w:rFonts w:ascii="Arial" w:hAnsi="Arial" w:eastAsia="宋体" w:cs="Arial"/>
          <w:snapToGrid w:val="0"/>
        </w:rPr>
        <w:t>2016</w:t>
      </w:r>
      <w:r>
        <w:rPr>
          <w:rFonts w:hint="eastAsia" w:ascii="Arial" w:hAnsi="Arial" w:eastAsia="宋体" w:cs="Arial"/>
          <w:snapToGrid w:val="0"/>
          <w:lang w:eastAsia="zh-CN"/>
        </w:rPr>
        <w:t>年2月</w:t>
      </w:r>
      <w:r>
        <w:rPr>
          <w:rFonts w:hint="eastAsia" w:ascii="Arial" w:hAnsi="Arial" w:eastAsia="宋体" w:cs="Arial"/>
          <w:snapToGrid w:val="0"/>
        </w:rPr>
        <w:t>）</w:t>
      </w:r>
      <w:r>
        <w:rPr>
          <w:rFonts w:ascii="Arial" w:hAnsi="Arial" w:eastAsia="宋体" w:cs="Arial"/>
          <w:snapToGrid w:val="0"/>
          <w:lang w:eastAsia="zh-CN"/>
        </w:rPr>
        <w:br w:type="textWrapping"/>
      </w:r>
      <w:r>
        <w:rPr>
          <w:rFonts w:hint="eastAsia" w:ascii="Arial" w:hAnsi="Arial" w:eastAsia="宋体" w:cs="Arial"/>
          <w:snapToGrid w:val="0"/>
        </w:rPr>
        <w:t>（</w:t>
      </w:r>
      <w:r>
        <w:fldChar w:fldCharType="begin"/>
      </w:r>
      <w:r>
        <w:instrText xml:space="preserve"> HYPERLINK "http://www.fda.gov/ucm/groups/fdagov-public/@fdagov-" </w:instrText>
      </w:r>
      <w:r>
        <w:fldChar w:fldCharType="separate"/>
      </w:r>
      <w:r>
        <w:rPr>
          <w:rStyle w:val="16"/>
          <w:rFonts w:ascii="Arial" w:hAnsi="Arial" w:eastAsia="宋体" w:cs="Arial"/>
          <w:snapToGrid w:val="0"/>
          <w:u w:color="0000FF"/>
        </w:rPr>
        <w:t>http://www.fda.gov/ucm/groups/fdagov-public/@fdagov-</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"http://www.fda.gov/ucm/groups/fdagov-public/%40fdagov-afdagen/documents/document/ucm484345.pdf"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afdagen/documents/document/ucm484345.pdf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5F7B3452">
      <w:pPr>
        <w:pStyle w:val="5"/>
        <w:numPr>
          <w:ilvl w:val="0"/>
          <w:numId w:val="21"/>
        </w:numPr>
        <w:tabs>
          <w:tab w:val="left" w:pos="460"/>
        </w:tabs>
        <w:topLinePunct/>
        <w:adjustRightInd w:val="0"/>
        <w:snapToGrid w:val="0"/>
        <w:spacing w:after="224" w:afterLines="75" w:line="288" w:lineRule="auto"/>
        <w:ind w:hanging="460"/>
        <w:rPr>
          <w:rFonts w:ascii="Arial" w:hAnsi="Arial" w:eastAsia="宋体" w:cs="Arial"/>
          <w:snapToGrid w:val="0"/>
          <w:lang w:eastAsia="zh-CN"/>
        </w:rPr>
      </w:pPr>
      <w:bookmarkStart w:id="221" w:name="OLE_LINK15"/>
      <w:bookmarkStart w:id="222" w:name="OLE_LINK16"/>
      <w:r>
        <w:rPr>
          <w:rFonts w:hint="eastAsia" w:ascii="Arial" w:hAnsi="Arial" w:eastAsia="宋体" w:cs="Arial"/>
          <w:snapToGrid w:val="0"/>
          <w:lang w:eastAsia="zh-CN"/>
        </w:rPr>
        <w:t>预期与药品和生物制剂共同使用的笔式注射器、喷嘴或相关注射器的技术考虑，</w:t>
      </w:r>
      <w:bookmarkEnd w:id="221"/>
      <w:bookmarkEnd w:id="222"/>
      <w:r>
        <w:rPr>
          <w:rFonts w:hint="eastAsia" w:ascii="Arial" w:hAnsi="Arial" w:eastAsia="宋体" w:cs="Arial"/>
          <w:snapToGrid w:val="0"/>
          <w:lang w:eastAsia="zh-CN"/>
        </w:rPr>
        <w:t>行业及FDA工作人员指南（</w:t>
      </w:r>
      <w:r>
        <w:rPr>
          <w:rFonts w:ascii="Arial" w:hAnsi="Arial" w:eastAsia="宋体" w:cs="Arial"/>
          <w:snapToGrid w:val="0"/>
          <w:lang w:eastAsia="zh-CN"/>
        </w:rPr>
        <w:t>2013</w:t>
      </w:r>
      <w:r>
        <w:rPr>
          <w:rFonts w:hint="eastAsia" w:ascii="Arial" w:hAnsi="Arial" w:eastAsia="宋体" w:cs="Arial"/>
          <w:snapToGrid w:val="0"/>
          <w:lang w:eastAsia="zh-CN"/>
        </w:rPr>
        <w:t>年6月）（</w:t>
      </w:r>
      <w:r>
        <w:fldChar w:fldCharType="begin"/>
      </w:r>
      <w:r>
        <w:instrText xml:space="preserve"> HYPERLINK "http://www.fda.gov/downloads/RegulatoryInformation/Guidances/UCM147095.pdf" </w:instrText>
      </w:r>
      <w:r>
        <w:fldChar w:fldCharType="separate"/>
      </w:r>
      <w:r>
        <w:rPr>
          <w:rStyle w:val="16"/>
          <w:rFonts w:ascii="Arial" w:hAnsi="Arial" w:eastAsia="宋体" w:cs="Arial"/>
          <w:snapToGrid w:val="0"/>
          <w:u w:color="0000FF"/>
          <w:lang w:eastAsia="zh-CN"/>
        </w:rPr>
        <w:t>http://www.fda.gov/downloads/RegulatoryInformation/Guidances/UCM147095.pdf</w:t>
      </w:r>
      <w:r>
        <w:rPr>
          <w:rStyle w:val="16"/>
          <w:rFonts w:ascii="Arial" w:hAnsi="Arial" w:eastAsia="宋体" w:cs="Arial"/>
          <w:snapToGrid w:val="0"/>
          <w:u w:color="0000FF"/>
          <w:lang w:eastAsia="zh-CN"/>
        </w:rPr>
        <w:fldChar w:fldCharType="end"/>
      </w:r>
      <w:r>
        <w:rPr>
          <w:rFonts w:hint="eastAsia" w:ascii="Arial" w:hAnsi="Arial" w:eastAsia="宋体" w:cs="Arial"/>
          <w:snapToGrid w:val="0"/>
          <w:lang w:eastAsia="zh-CN"/>
        </w:rPr>
        <w:t>）</w:t>
      </w:r>
    </w:p>
    <w:p w14:paraId="2F296D93">
      <w:pPr>
        <w:topLinePunct/>
        <w:adjustRightInd w:val="0"/>
        <w:snapToGrid w:val="0"/>
        <w:spacing w:after="224" w:afterLines="75" w:line="288" w:lineRule="auto"/>
        <w:ind w:left="460" w:hanging="460"/>
        <w:jc w:val="center"/>
        <w:rPr>
          <w:rFonts w:ascii="Arial" w:hAnsi="Arial" w:eastAsia="宋体" w:cs="Arial"/>
          <w:snapToGrid w:val="0"/>
          <w:sz w:val="24"/>
          <w:szCs w:val="24"/>
          <w:lang w:eastAsia="zh-CN"/>
        </w:rPr>
      </w:pPr>
      <w:r>
        <w:rPr>
          <w:rFonts w:hint="eastAsia" w:ascii="Arial" w:hAnsi="Arial" w:eastAsia="宋体" w:cs="Arial"/>
          <w:i/>
          <w:snapToGrid w:val="0"/>
          <w:sz w:val="24"/>
          <w:lang w:eastAsia="zh-CN"/>
        </w:rPr>
        <w:t>通用</w:t>
      </w:r>
    </w:p>
    <w:p w14:paraId="18343C22">
      <w:pPr>
        <w:pStyle w:val="5"/>
        <w:numPr>
          <w:ilvl w:val="0"/>
          <w:numId w:val="21"/>
        </w:numPr>
        <w:tabs>
          <w:tab w:val="left" w:pos="460"/>
        </w:tabs>
        <w:topLinePunct/>
        <w:adjustRightInd w:val="0"/>
        <w:snapToGrid w:val="0"/>
        <w:spacing w:after="224" w:afterLines="75" w:line="288" w:lineRule="auto"/>
        <w:ind w:hanging="460"/>
        <w:rPr>
          <w:rFonts w:ascii="Arial" w:hAnsi="Arial" w:eastAsia="宋体" w:cs="Arial"/>
          <w:snapToGrid w:val="0"/>
        </w:rPr>
      </w:pPr>
      <w:r>
        <w:rPr>
          <w:rFonts w:hint="eastAsia" w:ascii="Arial" w:hAnsi="Arial" w:eastAsia="宋体" w:cs="Arial"/>
          <w:snapToGrid w:val="0"/>
          <w:lang w:eastAsia="zh-CN"/>
        </w:rPr>
        <w:t>热原和内毒素检验：问与答，行业指南</w:t>
      </w:r>
      <w:r>
        <w:rPr>
          <w:rFonts w:hint="eastAsia" w:ascii="Arial" w:hAnsi="Arial" w:eastAsia="宋体" w:cs="Arial"/>
          <w:snapToGrid w:val="0"/>
        </w:rPr>
        <w:t>（</w:t>
      </w:r>
      <w:r>
        <w:rPr>
          <w:rFonts w:ascii="Arial" w:hAnsi="Arial" w:eastAsia="宋体" w:cs="Arial"/>
          <w:snapToGrid w:val="0"/>
        </w:rPr>
        <w:t>2012</w:t>
      </w:r>
      <w:r>
        <w:rPr>
          <w:rFonts w:hint="eastAsia" w:ascii="Arial" w:hAnsi="Arial" w:eastAsia="宋体" w:cs="Arial"/>
          <w:snapToGrid w:val="0"/>
          <w:lang w:eastAsia="zh-CN"/>
        </w:rPr>
        <w:t>年6月</w:t>
      </w:r>
      <w:r>
        <w:rPr>
          <w:rFonts w:hint="eastAsia" w:ascii="Arial" w:hAnsi="Arial" w:eastAsia="宋体" w:cs="Arial"/>
          <w:snapToGrid w:val="0"/>
        </w:rPr>
        <w:t>）</w:t>
      </w:r>
      <w:r>
        <w:rPr>
          <w:rFonts w:ascii="Arial" w:hAnsi="Arial" w:eastAsia="宋体" w:cs="Arial"/>
          <w:snapToGrid w:val="0"/>
          <w:lang w:eastAsia="zh-CN"/>
        </w:rPr>
        <w:t xml:space="preserve"> </w:t>
      </w:r>
      <w:r>
        <w:rPr>
          <w:rFonts w:ascii="Arial" w:hAnsi="Arial" w:eastAsia="宋体" w:cs="Arial"/>
          <w:snapToGrid w:val="0"/>
          <w:lang w:eastAsia="zh-CN"/>
        </w:rPr>
        <w:br w:type="textWrapping"/>
      </w:r>
      <w:r>
        <w:rPr>
          <w:rFonts w:hint="eastAsia" w:ascii="Arial" w:hAnsi="Arial" w:eastAsia="宋体" w:cs="Arial"/>
          <w:snapToGrid w:val="0"/>
        </w:rPr>
        <w:t>（</w:t>
      </w:r>
      <w:r>
        <w:fldChar w:fldCharType="begin"/>
      </w:r>
      <w:r>
        <w:instrText xml:space="preserve"> HYPERLINK "http://www.fda.gov/downloads/Drugs/GuidanceComplianceRegulatoryInformation/Guid" </w:instrText>
      </w:r>
      <w:r>
        <w:fldChar w:fldCharType="separate"/>
      </w:r>
      <w:r>
        <w:rPr>
          <w:rStyle w:val="16"/>
          <w:rFonts w:ascii="Arial" w:hAnsi="Arial" w:eastAsia="宋体" w:cs="Arial"/>
          <w:snapToGrid w:val="0"/>
          <w:u w:color="0000FF"/>
        </w:rPr>
        <w:t>http://www.fda.gov/downloads/Drugs/GuidanceComplianceRegulatoryInformation/Guid</w:t>
      </w:r>
      <w:r>
        <w:rPr>
          <w:rStyle w:val="16"/>
          <w:rFonts w:ascii="Arial" w:hAnsi="Arial" w:eastAsia="宋体" w:cs="Arial"/>
          <w:snapToGrid w:val="0"/>
          <w:u w:color="0000FF"/>
        </w:rPr>
        <w:fldChar w:fldCharType="end"/>
      </w:r>
      <w:r>
        <w:rPr>
          <w:rFonts w:ascii="Arial" w:hAnsi="Arial" w:eastAsia="宋体" w:cs="Arial"/>
          <w:snapToGrid w:val="0"/>
          <w:color w:val="0000FF"/>
        </w:rPr>
        <w:t xml:space="preserve"> </w:t>
      </w:r>
      <w:r>
        <w:fldChar w:fldCharType="begin"/>
      </w:r>
      <w:r>
        <w:instrText xml:space="preserve"> HYPERLINK "http://www.fda.gov/downloads/Drugs/GuidanceComplianceRegulatoryInformation/Guidances/UCM310098.pdf" \h </w:instrText>
      </w:r>
      <w:r>
        <w:fldChar w:fldCharType="separate"/>
      </w:r>
      <w:r>
        <w:rPr>
          <w:rFonts w:ascii="Arial" w:hAnsi="Arial" w:eastAsia="宋体" w:cs="Arial"/>
          <w:snapToGrid w:val="0"/>
          <w:color w:val="0000FF"/>
        </w:rPr>
        <w:t xml:space="preserve"> </w:t>
      </w:r>
      <w:r>
        <w:rPr>
          <w:rFonts w:ascii="Arial" w:hAnsi="Arial" w:eastAsia="宋体" w:cs="Arial"/>
          <w:snapToGrid w:val="0"/>
          <w:color w:val="0000FF"/>
          <w:u w:val="single" w:color="0000FF"/>
        </w:rPr>
        <w:t>ances/UCM310098.pdf</w:t>
      </w:r>
      <w:r>
        <w:rPr>
          <w:rFonts w:ascii="Arial" w:hAnsi="Arial" w:eastAsia="宋体" w:cs="Arial"/>
          <w:snapToGrid w:val="0"/>
          <w:color w:val="0000FF"/>
          <w:u w:val="single" w:color="0000FF"/>
        </w:rPr>
        <w:fldChar w:fldCharType="end"/>
      </w:r>
      <w:r>
        <w:rPr>
          <w:rFonts w:hint="eastAsia" w:ascii="Arial" w:hAnsi="Arial" w:eastAsia="宋体" w:cs="Arial"/>
          <w:snapToGrid w:val="0"/>
        </w:rPr>
        <w:t>）</w:t>
      </w:r>
    </w:p>
    <w:p w14:paraId="62EAEABB">
      <w:pPr>
        <w:topLinePunct/>
        <w:adjustRightInd w:val="0"/>
        <w:snapToGrid w:val="0"/>
        <w:spacing w:line="288" w:lineRule="auto"/>
        <w:jc w:val="center"/>
        <w:rPr>
          <w:rFonts w:hint="eastAsia" w:eastAsia="宋体"/>
          <w:lang w:eastAsia="zh-CN"/>
        </w:rPr>
      </w:pPr>
    </w:p>
    <w:p w14:paraId="0991B193">
      <w:pPr>
        <w:topLinePunct/>
        <w:adjustRightInd w:val="0"/>
        <w:snapToGrid w:val="0"/>
        <w:spacing w:line="288" w:lineRule="auto"/>
        <w:jc w:val="center"/>
        <w:rPr>
          <w:rFonts w:hint="eastAsia" w:eastAsia="宋体"/>
          <w:lang w:eastAsia="zh-CN"/>
        </w:rPr>
      </w:pPr>
    </w:p>
    <w:p w14:paraId="3336DF2C">
      <w:pPr>
        <w:topLinePunct/>
        <w:adjustRightInd w:val="0"/>
        <w:snapToGrid w:val="0"/>
        <w:spacing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F939D">
    <w:pPr>
      <w:spacing w:line="14" w:lineRule="auto"/>
      <w:rPr>
        <w:rFonts w:ascii="Arial" w:hAnsi="Arial" w:eastAsia="宋体"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D950">
    <w:pPr>
      <w:rPr>
        <w:rFonts w:ascii="Arial" w:hAnsi="Arial" w:eastAsia="宋体" w:cs="Arial"/>
        <w:sz w:val="21"/>
        <w:szCs w:val="20"/>
        <w:lang w:eastAsia="zh-CN"/>
      </w:rPr>
    </w:pPr>
  </w:p>
  <w:p w14:paraId="26581888">
    <w:pPr>
      <w:jc w:val="center"/>
      <w:rPr>
        <w:rFonts w:ascii="Arial" w:hAnsi="Arial" w:eastAsia="宋体" w:cs="Arial"/>
        <w:sz w:val="21"/>
        <w:szCs w:val="20"/>
        <w:lang w:eastAsia="zh-CN"/>
      </w:rPr>
    </w:pPr>
    <w:r>
      <w:rPr>
        <w:rFonts w:ascii="Arial" w:hAnsi="Arial" w:eastAsia="宋体" w:cs="Arial"/>
        <w:sz w:val="21"/>
        <w:szCs w:val="20"/>
        <w:lang w:eastAsia="zh-CN"/>
      </w:rPr>
      <w:fldChar w:fldCharType="begin"/>
    </w:r>
    <w:r>
      <w:rPr>
        <w:rFonts w:ascii="Arial" w:hAnsi="Arial" w:eastAsia="宋体" w:cs="Arial"/>
        <w:sz w:val="21"/>
        <w:szCs w:val="20"/>
        <w:lang w:eastAsia="zh-CN"/>
      </w:rPr>
      <w:instrText xml:space="preserve">PAGE   \* MERGEFORMAT</w:instrText>
    </w:r>
    <w:r>
      <w:rPr>
        <w:rFonts w:ascii="Arial" w:hAnsi="Arial" w:eastAsia="宋体" w:cs="Arial"/>
        <w:sz w:val="21"/>
        <w:szCs w:val="20"/>
        <w:lang w:eastAsia="zh-CN"/>
      </w:rPr>
      <w:fldChar w:fldCharType="separate"/>
    </w:r>
    <w:r>
      <w:rPr>
        <w:rFonts w:ascii="Arial" w:hAnsi="Arial" w:eastAsia="宋体" w:cs="Arial"/>
        <w:sz w:val="21"/>
        <w:szCs w:val="20"/>
        <w:lang w:val="zh-CN" w:eastAsia="zh-CN"/>
      </w:rPr>
      <w:t>3</w:t>
    </w:r>
    <w:r>
      <w:rPr>
        <w:rFonts w:ascii="Arial" w:hAnsi="Arial" w:eastAsia="宋体" w:cs="Arial"/>
        <w:sz w:val="21"/>
        <w:szCs w:val="20"/>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94">
    <w:p>
      <w:r>
        <w:separator/>
      </w:r>
    </w:p>
  </w:footnote>
  <w:footnote w:type="continuationSeparator" w:id="295">
    <w:p>
      <w:r>
        <w:continuationSeparator/>
      </w:r>
    </w:p>
  </w:footnote>
  <w:footnote w:id="0">
    <w:p w14:paraId="2E9C3DC8">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本指导性文件由局长办公室下辖组合产品办公室与生物制品评价和研究中心、药品评价和研究中心、器械和放射卫生中心及法规事务办公室联合准备。</w:t>
      </w:r>
    </w:p>
  </w:footnote>
  <w:footnote w:id="1">
    <w:p w14:paraId="2DB13DFF">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见组合产品现行生产管理规范要求，78 FR 4307 （2013年1月22日）。</w:t>
      </w:r>
    </w:p>
  </w:footnote>
  <w:footnote w:id="2">
    <w:p w14:paraId="3DBDAFB3">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如最终规则序言中所述，在21 CFR第4部分颁布之前，组合产品受其各种组成部分所适用的CGMP要求的约束。尽管在第4部分颁布前开发的产品通常称</w:t>
      </w:r>
      <w:r>
        <w:rPr>
          <w:rFonts w:ascii="宋体" w:hAnsi="宋体" w:eastAsia="宋体" w:cs="Arial"/>
          <w:snapToGrid w:val="0"/>
          <w:sz w:val="21"/>
          <w:szCs w:val="21"/>
          <w:lang w:eastAsia="zh-CN"/>
        </w:rPr>
        <w:t>为“旧有”组</w:t>
      </w:r>
      <w:r>
        <w:rPr>
          <w:rFonts w:ascii="Arial" w:hAnsi="Arial" w:eastAsia="宋体" w:cs="Arial"/>
          <w:snapToGrid w:val="0"/>
          <w:sz w:val="21"/>
          <w:szCs w:val="21"/>
          <w:lang w:eastAsia="zh-CN"/>
        </w:rPr>
        <w:t>合产品，但在本指导性文件中FDA有意不使用该术语，以防止相关人士误以为在第4部分颁布之前开发的产品应履行的CGMP义务少于第4部分颁布之后开发的产品。</w:t>
      </w:r>
    </w:p>
  </w:footnote>
  <w:footnote w:id="3">
    <w:p w14:paraId="39030C38">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21 CFR 3.2（b）中对</w:t>
      </w:r>
      <w:r>
        <w:rPr>
          <w:rFonts w:ascii="宋体" w:hAnsi="宋体" w:eastAsia="宋体" w:cs="Arial"/>
          <w:snapToGrid w:val="0"/>
          <w:sz w:val="21"/>
          <w:szCs w:val="21"/>
          <w:lang w:eastAsia="zh-CN"/>
        </w:rPr>
        <w:t>“机构部门”的</w:t>
      </w:r>
      <w:r>
        <w:rPr>
          <w:rFonts w:ascii="Arial" w:hAnsi="Arial" w:eastAsia="宋体" w:cs="Arial"/>
          <w:snapToGrid w:val="0"/>
          <w:sz w:val="21"/>
          <w:szCs w:val="21"/>
          <w:lang w:eastAsia="zh-CN"/>
        </w:rPr>
        <w:t>定义是</w:t>
      </w:r>
      <w:r>
        <w:rPr>
          <w:rFonts w:ascii="宋体" w:hAnsi="宋体" w:eastAsia="宋体" w:cs="Arial"/>
          <w:snapToGrid w:val="0"/>
          <w:sz w:val="21"/>
          <w:szCs w:val="21"/>
          <w:lang w:eastAsia="zh-CN"/>
        </w:rPr>
        <w:t>“生</w:t>
      </w:r>
      <w:r>
        <w:rPr>
          <w:rFonts w:ascii="Arial" w:hAnsi="Arial" w:eastAsia="宋体" w:cs="Arial"/>
          <w:snapToGrid w:val="0"/>
          <w:sz w:val="21"/>
          <w:szCs w:val="21"/>
          <w:lang w:eastAsia="zh-CN"/>
        </w:rPr>
        <w:t>物制品评价和研究中心、器械和放射卫生中心、药品评价和研究中心或机构的替代组织性部</w:t>
      </w:r>
      <w:r>
        <w:rPr>
          <w:rFonts w:ascii="宋体" w:hAnsi="宋体" w:eastAsia="宋体" w:cs="Arial"/>
          <w:snapToGrid w:val="0"/>
          <w:sz w:val="21"/>
          <w:szCs w:val="21"/>
          <w:lang w:eastAsia="zh-CN"/>
        </w:rPr>
        <w:t>门”</w:t>
      </w:r>
      <w:r>
        <w:rPr>
          <w:rFonts w:ascii="Arial" w:hAnsi="Arial" w:eastAsia="宋体" w:cs="Arial"/>
          <w:snapToGrid w:val="0"/>
          <w:sz w:val="21"/>
          <w:szCs w:val="21"/>
          <w:lang w:eastAsia="zh-CN"/>
        </w:rPr>
        <w:t>。</w:t>
      </w:r>
    </w:p>
  </w:footnote>
  <w:footnote w:id="4">
    <w:p w14:paraId="2FCC2954">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本指导性文件中提到的任何适用于含一种药品组成部分的组合产品的</w:t>
      </w:r>
      <w:r>
        <w:rPr>
          <w:rFonts w:ascii="Arial" w:hAnsi="Arial" w:eastAsia="宋体" w:cs="Arial"/>
          <w:snapToGrid w:val="0"/>
          <w:sz w:val="21"/>
          <w:szCs w:val="21"/>
          <w:lang w:eastAsia="zh-CN"/>
        </w:rPr>
        <w:t>CGMP</w:t>
      </w:r>
      <w:r>
        <w:rPr>
          <w:rFonts w:hint="eastAsia" w:ascii="Arial" w:hAnsi="Arial" w:eastAsia="宋体" w:cs="Arial"/>
          <w:snapToGrid w:val="0"/>
          <w:sz w:val="21"/>
          <w:szCs w:val="21"/>
          <w:lang w:eastAsia="zh-CN"/>
        </w:rPr>
        <w:t>要求应理解为也适用于任何含一种生物制品组成部分的组合产品，原因是生物制品组成部分也作为一种药品受联邦食品、药品和化妆品法案（</w:t>
      </w:r>
      <w:r>
        <w:rPr>
          <w:rFonts w:ascii="Arial" w:hAnsi="Arial" w:eastAsia="宋体" w:cs="Arial"/>
          <w:snapToGrid w:val="0"/>
          <w:sz w:val="21"/>
          <w:szCs w:val="21"/>
          <w:lang w:eastAsia="zh-CN"/>
        </w:rPr>
        <w:t>FD&amp;C</w:t>
      </w:r>
      <w:r>
        <w:rPr>
          <w:rFonts w:hint="eastAsia" w:ascii="Arial" w:hAnsi="Arial" w:eastAsia="宋体" w:cs="Arial"/>
          <w:snapToGrid w:val="0"/>
          <w:sz w:val="21"/>
          <w:szCs w:val="21"/>
          <w:lang w:eastAsia="zh-CN"/>
        </w:rPr>
        <w:t>法案）的监管，且提到的任何适用于含一种器械组成部分的组合产品的</w:t>
      </w:r>
      <w:r>
        <w:rPr>
          <w:rFonts w:ascii="Arial" w:hAnsi="Arial" w:eastAsia="宋体" w:cs="Arial"/>
          <w:snapToGrid w:val="0"/>
          <w:sz w:val="21"/>
          <w:szCs w:val="21"/>
          <w:lang w:eastAsia="zh-CN"/>
        </w:rPr>
        <w:t>CGMP</w:t>
      </w:r>
      <w:r>
        <w:rPr>
          <w:rFonts w:hint="eastAsia" w:ascii="Arial" w:hAnsi="Arial" w:eastAsia="宋体" w:cs="Arial"/>
          <w:snapToGrid w:val="0"/>
          <w:sz w:val="21"/>
          <w:szCs w:val="21"/>
          <w:lang w:eastAsia="zh-CN"/>
        </w:rPr>
        <w:t>要求应理解为也适用于任何含一种生物制品组成部分的组合产品，原因是生物制品组成部分也作为一种器械受</w:t>
      </w:r>
      <w:r>
        <w:rPr>
          <w:rFonts w:ascii="Arial" w:hAnsi="Arial" w:eastAsia="宋体" w:cs="Arial"/>
          <w:snapToGrid w:val="0"/>
          <w:sz w:val="21"/>
          <w:szCs w:val="21"/>
          <w:lang w:eastAsia="zh-CN"/>
        </w:rPr>
        <w:t>FD&amp;C</w:t>
      </w:r>
      <w:r>
        <w:rPr>
          <w:rFonts w:hint="eastAsia" w:ascii="Arial" w:hAnsi="Arial" w:eastAsia="宋体" w:cs="Arial"/>
          <w:snapToGrid w:val="0"/>
          <w:sz w:val="21"/>
          <w:szCs w:val="21"/>
          <w:lang w:eastAsia="zh-CN"/>
        </w:rPr>
        <w:t>法案的监管。</w:t>
      </w:r>
    </w:p>
  </w:footnote>
  <w:footnote w:id="5">
    <w:p w14:paraId="00506EDF">
      <w:pPr>
        <w:pStyle w:val="11"/>
        <w:spacing w:line="300" w:lineRule="auto"/>
        <w:jc w:val="both"/>
        <w:rPr>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4.4（a）</w:t>
      </w:r>
      <w:r>
        <w:rPr>
          <w:rFonts w:hint="eastAsia" w:ascii="Arial" w:hAnsi="Arial" w:eastAsia="宋体" w:cs="Arial"/>
          <w:snapToGrid w:val="0"/>
          <w:sz w:val="21"/>
          <w:szCs w:val="21"/>
          <w:lang w:eastAsia="zh-CN"/>
        </w:rPr>
        <w:t>。</w:t>
      </w:r>
    </w:p>
  </w:footnote>
  <w:footnote w:id="6">
    <w:p w14:paraId="4100865D">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4.4（b）</w:t>
      </w:r>
      <w:r>
        <w:rPr>
          <w:rFonts w:hint="eastAsia" w:ascii="Arial" w:hAnsi="Arial" w:eastAsia="宋体" w:cs="Arial"/>
          <w:snapToGrid w:val="0"/>
          <w:sz w:val="21"/>
          <w:szCs w:val="21"/>
          <w:lang w:eastAsia="zh-CN"/>
        </w:rPr>
        <w:t>。</w:t>
      </w:r>
    </w:p>
  </w:footnote>
  <w:footnote w:id="7">
    <w:p w14:paraId="7B32F234">
      <w:pPr>
        <w:pStyle w:val="11"/>
        <w:spacing w:line="300" w:lineRule="auto"/>
        <w:jc w:val="both"/>
        <w:rPr>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尽</w:t>
      </w:r>
      <w:r>
        <w:rPr>
          <w:rFonts w:hint="eastAsia" w:ascii="Arial" w:hAnsi="Arial" w:eastAsia="宋体" w:cs="Arial"/>
          <w:snapToGrid w:val="0"/>
          <w:sz w:val="21"/>
          <w:szCs w:val="21"/>
          <w:lang w:eastAsia="zh-CN"/>
        </w:rPr>
        <w:t>管</w:t>
      </w:r>
      <w:r>
        <w:rPr>
          <w:rFonts w:ascii="Arial" w:hAnsi="Arial" w:eastAsia="宋体" w:cs="Arial"/>
          <w:snapToGrid w:val="0"/>
          <w:sz w:val="21"/>
          <w:szCs w:val="21"/>
          <w:lang w:eastAsia="zh-CN"/>
        </w:rPr>
        <w:t>21 CFR 211</w:t>
      </w:r>
      <w:r>
        <w:rPr>
          <w:rFonts w:hint="eastAsia" w:ascii="Arial" w:hAnsi="Arial" w:eastAsia="宋体" w:cs="Arial"/>
          <w:snapToGrid w:val="0"/>
          <w:sz w:val="21"/>
          <w:szCs w:val="21"/>
          <w:lang w:eastAsia="zh-CN"/>
        </w:rPr>
        <w:t>要求适用于所有组合产品（因为组合产品总是含药品和／或生物制品），但</w:t>
      </w:r>
      <w:r>
        <w:rPr>
          <w:rFonts w:ascii="Arial" w:hAnsi="Arial" w:eastAsia="宋体" w:cs="Arial"/>
          <w:snapToGrid w:val="0"/>
          <w:sz w:val="21"/>
          <w:szCs w:val="21"/>
          <w:lang w:eastAsia="zh-CN"/>
        </w:rPr>
        <w:t>21 CFR 820</w:t>
      </w:r>
      <w:r>
        <w:rPr>
          <w:rFonts w:hint="eastAsia" w:ascii="Arial" w:hAnsi="Arial" w:eastAsia="宋体" w:cs="Arial"/>
          <w:snapToGrid w:val="0"/>
          <w:sz w:val="21"/>
          <w:szCs w:val="21"/>
          <w:lang w:eastAsia="zh-CN"/>
        </w:rPr>
        <w:t>要求仅适用于含器械组成部分的组合产品。</w:t>
      </w:r>
    </w:p>
  </w:footnote>
  <w:footnote w:id="8">
    <w:p w14:paraId="1A4ABFC6">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4.4（a）</w:t>
      </w:r>
      <w:r>
        <w:rPr>
          <w:rFonts w:hint="eastAsia" w:ascii="Arial" w:hAnsi="Arial" w:eastAsia="宋体" w:cs="Arial"/>
          <w:snapToGrid w:val="0"/>
          <w:sz w:val="21"/>
          <w:szCs w:val="21"/>
          <w:lang w:eastAsia="zh-CN"/>
        </w:rPr>
        <w:t>和</w:t>
      </w:r>
      <w:r>
        <w:rPr>
          <w:rFonts w:ascii="Arial" w:hAnsi="Arial" w:eastAsia="宋体" w:cs="Arial"/>
          <w:snapToGrid w:val="0"/>
          <w:sz w:val="21"/>
          <w:szCs w:val="21"/>
          <w:lang w:eastAsia="zh-CN"/>
        </w:rPr>
        <w:t>（b）</w:t>
      </w:r>
      <w:r>
        <w:rPr>
          <w:rFonts w:hint="eastAsia" w:ascii="Arial" w:hAnsi="Arial" w:eastAsia="宋体" w:cs="Arial"/>
          <w:snapToGrid w:val="0"/>
          <w:sz w:val="21"/>
          <w:szCs w:val="21"/>
          <w:lang w:eastAsia="zh-CN"/>
        </w:rPr>
        <w:t>。</w:t>
      </w:r>
    </w:p>
  </w:footnote>
  <w:footnote w:id="9">
    <w:p w14:paraId="4A622940">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如后面</w:t>
      </w:r>
      <w:r>
        <w:rPr>
          <w:rFonts w:ascii="Arial" w:hAnsi="Arial" w:eastAsia="宋体" w:cs="Arial"/>
          <w:snapToGrid w:val="0"/>
          <w:sz w:val="21"/>
          <w:szCs w:val="21"/>
          <w:lang w:eastAsia="zh-CN"/>
        </w:rPr>
        <w:t>IV.C</w:t>
      </w:r>
      <w:r>
        <w:rPr>
          <w:rFonts w:hint="eastAsia" w:ascii="Arial" w:hAnsi="Arial" w:eastAsia="宋体" w:cs="Arial"/>
          <w:snapToGrid w:val="0"/>
          <w:sz w:val="21"/>
          <w:szCs w:val="21"/>
          <w:lang w:eastAsia="zh-CN"/>
        </w:rPr>
        <w:t>部分讨论的，当</w:t>
      </w:r>
      <w:r>
        <w:rPr>
          <w:rFonts w:ascii="Arial" w:hAnsi="Arial" w:eastAsia="宋体" w:cs="Arial"/>
          <w:snapToGrid w:val="0"/>
          <w:sz w:val="21"/>
          <w:szCs w:val="21"/>
          <w:lang w:eastAsia="zh-CN"/>
        </w:rPr>
        <w:t>HCT/P</w:t>
      </w:r>
      <w:r>
        <w:rPr>
          <w:rFonts w:hint="eastAsia" w:ascii="Arial" w:hAnsi="Arial" w:eastAsia="宋体" w:cs="Arial"/>
          <w:snapToGrid w:val="0"/>
          <w:sz w:val="21"/>
          <w:szCs w:val="21"/>
          <w:lang w:eastAsia="zh-CN"/>
        </w:rPr>
        <w:t>由于不满足</w:t>
      </w:r>
      <w:r>
        <w:rPr>
          <w:rFonts w:ascii="Arial" w:hAnsi="Arial" w:eastAsia="宋体" w:cs="Arial"/>
          <w:snapToGrid w:val="0"/>
          <w:sz w:val="21"/>
          <w:szCs w:val="21"/>
          <w:lang w:eastAsia="zh-CN"/>
        </w:rPr>
        <w:t>21 CFR 1271.10</w:t>
      </w:r>
      <w:r>
        <w:rPr>
          <w:rFonts w:hint="eastAsia" w:ascii="Arial" w:hAnsi="Arial" w:eastAsia="宋体" w:cs="Arial"/>
          <w:snapToGrid w:val="0"/>
          <w:sz w:val="21"/>
          <w:szCs w:val="21"/>
          <w:lang w:eastAsia="zh-CN"/>
        </w:rPr>
        <w:t>中的一种或多种标准，而被规定为一种药品、器械和／或生物制品，因此不只受</w:t>
      </w:r>
      <w:r>
        <w:rPr>
          <w:rFonts w:ascii="Arial" w:hAnsi="Arial" w:eastAsia="宋体" w:cs="Arial"/>
          <w:snapToGrid w:val="0"/>
          <w:sz w:val="21"/>
          <w:szCs w:val="21"/>
          <w:lang w:eastAsia="zh-CN"/>
        </w:rPr>
        <w:t>PHS</w:t>
      </w:r>
      <w:r>
        <w:rPr>
          <w:rFonts w:hint="eastAsia" w:ascii="Arial" w:hAnsi="Arial" w:eastAsia="宋体" w:cs="Arial"/>
          <w:snapToGrid w:val="0"/>
          <w:sz w:val="21"/>
          <w:szCs w:val="21"/>
          <w:lang w:eastAsia="zh-CN"/>
        </w:rPr>
        <w:t>法案第</w:t>
      </w:r>
      <w:r>
        <w:rPr>
          <w:rFonts w:ascii="Arial" w:hAnsi="Arial" w:eastAsia="宋体" w:cs="Arial"/>
          <w:snapToGrid w:val="0"/>
          <w:sz w:val="21"/>
          <w:szCs w:val="21"/>
          <w:lang w:eastAsia="zh-CN"/>
        </w:rPr>
        <w:t>361</w:t>
      </w:r>
      <w:r>
        <w:rPr>
          <w:rFonts w:hint="eastAsia" w:ascii="Arial" w:hAnsi="Arial" w:eastAsia="宋体" w:cs="Arial"/>
          <w:snapToGrid w:val="0"/>
          <w:sz w:val="21"/>
          <w:szCs w:val="21"/>
          <w:lang w:eastAsia="zh-CN"/>
        </w:rPr>
        <w:t>部分的约束时，可以作为组合产品的一种</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组成部分</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1271.20</w:t>
      </w:r>
      <w:r>
        <w:rPr>
          <w:rFonts w:hint="eastAsia" w:ascii="Arial" w:hAnsi="Arial" w:eastAsia="宋体" w:cs="Arial"/>
          <w:snapToGrid w:val="0"/>
          <w:sz w:val="21"/>
          <w:szCs w:val="21"/>
          <w:lang w:eastAsia="zh-CN"/>
        </w:rPr>
        <w:t>。</w:t>
      </w:r>
    </w:p>
  </w:footnote>
  <w:footnote w:id="10">
    <w:p w14:paraId="3641EC0C">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在第</w:t>
      </w:r>
      <w:r>
        <w:rPr>
          <w:rFonts w:ascii="Arial" w:hAnsi="Arial" w:eastAsia="宋体" w:cs="Arial"/>
          <w:snapToGrid w:val="0"/>
          <w:sz w:val="21"/>
          <w:szCs w:val="21"/>
          <w:lang w:eastAsia="zh-CN"/>
        </w:rPr>
        <w:t>4</w:t>
      </w:r>
      <w:r>
        <w:rPr>
          <w:rFonts w:hint="eastAsia" w:ascii="Arial" w:hAnsi="Arial" w:eastAsia="宋体" w:cs="Arial"/>
          <w:snapToGrid w:val="0"/>
          <w:sz w:val="21"/>
          <w:szCs w:val="21"/>
          <w:lang w:eastAsia="zh-CN"/>
        </w:rPr>
        <w:t>部分中，FDA用术语</w:t>
      </w:r>
      <w:r>
        <w:rPr>
          <w:rFonts w:hint="eastAsia" w:ascii="宋体" w:hAnsi="宋体" w:eastAsia="宋体" w:cs="Arial"/>
          <w:snapToGrid w:val="0"/>
          <w:sz w:val="21"/>
          <w:szCs w:val="21"/>
          <w:lang w:eastAsia="zh-CN"/>
        </w:rPr>
        <w:t>“</w:t>
      </w:r>
      <w:r>
        <w:rPr>
          <w:rFonts w:ascii="Arial" w:hAnsi="Arial" w:eastAsia="宋体" w:cs="Arial"/>
          <w:snapToGrid w:val="0"/>
          <w:sz w:val="21"/>
          <w:szCs w:val="21"/>
          <w:lang w:eastAsia="zh-CN"/>
        </w:rPr>
        <w:t>CGMP</w:t>
      </w:r>
      <w:r>
        <w:rPr>
          <w:rFonts w:hint="eastAsia" w:ascii="Arial" w:hAnsi="Arial" w:eastAsia="宋体" w:cs="Arial"/>
          <w:snapToGrid w:val="0"/>
          <w:sz w:val="21"/>
          <w:szCs w:val="21"/>
          <w:lang w:eastAsia="zh-CN"/>
        </w:rPr>
        <w:t>要求</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包含了第600至680部分的标准所含的可能适用于生物制品的所有此类要求。我们注意到生物制品和包含生物制品组成部分的组合产品必须遵守第600至680部分中所有适用要求。由于第600至680部分中的很多要求不视为</w:t>
      </w:r>
      <w:r>
        <w:rPr>
          <w:rFonts w:ascii="Arial" w:hAnsi="Arial" w:eastAsia="宋体" w:cs="Arial"/>
          <w:snapToGrid w:val="0"/>
          <w:sz w:val="21"/>
          <w:szCs w:val="21"/>
          <w:lang w:eastAsia="zh-CN"/>
        </w:rPr>
        <w:t>CGMP</w:t>
      </w:r>
      <w:r>
        <w:rPr>
          <w:rFonts w:hint="eastAsia" w:ascii="Arial" w:hAnsi="Arial" w:eastAsia="宋体" w:cs="Arial"/>
          <w:snapToGrid w:val="0"/>
          <w:sz w:val="21"/>
          <w:szCs w:val="21"/>
          <w:lang w:eastAsia="zh-CN"/>
        </w:rPr>
        <w:t>要求，因此第4部分未解决这类要求且这类要求不是本指南的重点。</w:t>
      </w:r>
    </w:p>
  </w:footnote>
  <w:footnote w:id="11">
    <w:p w14:paraId="741862ED">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现有药品、器械和生物制品的合规计划指导性手册（CPGM）清单，见</w:t>
      </w:r>
      <w:r>
        <w:rPr>
          <w:rFonts w:ascii="Arial" w:hAnsi="Arial" w:eastAsia="宋体" w:cs="Arial"/>
          <w:snapToGrid w:val="0"/>
          <w:color w:val="0000FF"/>
          <w:sz w:val="21"/>
          <w:szCs w:val="21"/>
          <w:lang w:eastAsia="zh-CN"/>
        </w:rPr>
        <w:t xml:space="preserve"> </w:t>
      </w:r>
      <w:r>
        <w:fldChar w:fldCharType="begin"/>
      </w:r>
      <w:r>
        <w:instrText xml:space="preserve"> HYPERLINK "http://www.fda.gov/ICECI/ComplianceManuals/ComplianceProgramManual/ucm2005382.htm" \h </w:instrText>
      </w:r>
      <w:r>
        <w:fldChar w:fldCharType="separate"/>
      </w:r>
      <w:r>
        <w:rPr>
          <w:rFonts w:ascii="Arial" w:hAnsi="Arial" w:eastAsia="宋体" w:cs="Arial"/>
          <w:snapToGrid w:val="0"/>
          <w:color w:val="0000FF"/>
          <w:sz w:val="21"/>
          <w:szCs w:val="21"/>
          <w:u w:val="single" w:color="0000FF"/>
          <w:lang w:eastAsia="zh-CN"/>
        </w:rPr>
        <w:t>http: //www.fda.gov/ICECI/ComplianceManuals/ComplianceProgramManual/ucm2005382.htm</w:t>
      </w:r>
      <w:r>
        <w:rPr>
          <w:rFonts w:ascii="Arial" w:hAnsi="Arial" w:eastAsia="宋体" w:cs="Arial"/>
          <w:snapToGrid w:val="0"/>
          <w:sz w:val="21"/>
          <w:szCs w:val="21"/>
          <w:lang w:eastAsia="zh-CN"/>
        </w:rPr>
        <w:t>.</w:t>
      </w:r>
      <w:r>
        <w:rPr>
          <w:rFonts w:ascii="Arial" w:hAnsi="Arial" w:eastAsia="宋体" w:cs="Arial"/>
          <w:snapToGrid w:val="0"/>
          <w:sz w:val="21"/>
          <w:szCs w:val="21"/>
          <w:lang w:eastAsia="zh-CN"/>
        </w:rPr>
        <w:fldChar w:fldCharType="end"/>
      </w:r>
    </w:p>
  </w:footnote>
  <w:footnote w:id="12">
    <w:p w14:paraId="66F207B1">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510（k）通过前，提交CGMP信息不是常规要求。如上文中讨论的，510（k）组合产品的制造商应在其机构的质量体系文件中指出他们的CGMP操作系统。</w:t>
      </w:r>
    </w:p>
  </w:footnote>
  <w:footnote w:id="13">
    <w:p w14:paraId="0C5DB4A8">
      <w:pPr>
        <w:pStyle w:val="11"/>
        <w:wordWrap w:val="0"/>
        <w:spacing w:line="300" w:lineRule="auto"/>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获取方式：</w:t>
      </w:r>
      <w:r>
        <w:rPr>
          <w:rFonts w:ascii="Arial" w:hAnsi="Arial" w:eastAsia="宋体" w:cs="Arial"/>
          <w:snapToGrid w:val="0"/>
          <w:color w:val="0000FF"/>
          <w:sz w:val="21"/>
          <w:szCs w:val="21"/>
        </w:rPr>
        <w:t xml:space="preserve"> </w:t>
      </w:r>
      <w:r>
        <w:rPr>
          <w:rFonts w:hint="eastAsia" w:ascii="Arial" w:hAnsi="Arial" w:eastAsia="宋体" w:cs="Arial"/>
          <w:snapToGrid w:val="0"/>
          <w:color w:val="0000FF"/>
          <w:sz w:val="21"/>
          <w:szCs w:val="21"/>
          <w:lang w:eastAsia="zh-CN"/>
        </w:rPr>
        <w:br w:type="textWrapping"/>
      </w:r>
      <w:r>
        <w:fldChar w:fldCharType="begin"/>
      </w:r>
      <w:r>
        <w:instrText xml:space="preserve"> HYPERLINK "http://www.fda.gov/downloads/Drugs/DevelopmentApprovalProcess/FormsSubmissionRequirements/ElectronicSubmissions/UCM465411.pdf" \h </w:instrText>
      </w:r>
      <w:r>
        <w:fldChar w:fldCharType="separate"/>
      </w:r>
      <w:r>
        <w:rPr>
          <w:rFonts w:ascii="Arial" w:hAnsi="Arial" w:eastAsia="宋体" w:cs="Arial"/>
          <w:snapToGrid w:val="0"/>
          <w:color w:val="0000FF"/>
          <w:sz w:val="21"/>
          <w:szCs w:val="21"/>
          <w:u w:val="single" w:color="0000FF"/>
        </w:rPr>
        <w:t>http: //www.fda.gov/downloads/Drugs/DevelopmentApprovalProcess/FormsSubmissionRequirements/ElectronicSub</w:t>
      </w:r>
      <w:r>
        <w:rPr>
          <w:rFonts w:ascii="Arial" w:hAnsi="Arial" w:eastAsia="宋体" w:cs="Arial"/>
          <w:snapToGrid w:val="0"/>
          <w:color w:val="0000FF"/>
          <w:sz w:val="21"/>
          <w:szCs w:val="21"/>
          <w:u w:val="single" w:color="0000FF"/>
        </w:rPr>
        <w:fldChar w:fldCharType="end"/>
      </w:r>
      <w:r>
        <w:rPr>
          <w:rFonts w:ascii="Arial" w:hAnsi="Arial" w:eastAsia="宋体" w:cs="Arial"/>
          <w:snapToGrid w:val="0"/>
          <w:color w:val="0000FF"/>
          <w:sz w:val="21"/>
          <w:szCs w:val="21"/>
        </w:rPr>
        <w:t xml:space="preserve"> </w:t>
      </w:r>
      <w:r>
        <w:fldChar w:fldCharType="begin"/>
      </w:r>
      <w:r>
        <w:instrText xml:space="preserve"> HYPERLINK "http://www.fda.gov/downloads/Drugs/DevelopmentApprovalProcess/FormsSubmissionRequirements/ElectronicSubmissions/UCM465411.pdf" \h </w:instrText>
      </w:r>
      <w:r>
        <w:fldChar w:fldCharType="separate"/>
      </w:r>
      <w:r>
        <w:rPr>
          <w:rFonts w:ascii="Arial" w:hAnsi="Arial" w:eastAsia="宋体" w:cs="Arial"/>
          <w:snapToGrid w:val="0"/>
          <w:color w:val="0000FF"/>
          <w:sz w:val="21"/>
          <w:szCs w:val="21"/>
        </w:rPr>
        <w:t xml:space="preserve"> </w:t>
      </w:r>
      <w:r>
        <w:rPr>
          <w:rFonts w:ascii="Arial" w:hAnsi="Arial" w:eastAsia="宋体" w:cs="Arial"/>
          <w:snapToGrid w:val="0"/>
          <w:color w:val="0000FF"/>
          <w:sz w:val="21"/>
          <w:szCs w:val="21"/>
          <w:u w:val="single" w:color="0000FF"/>
        </w:rPr>
        <w:t>missions/UCM465411.pdf.</w:t>
      </w:r>
      <w:r>
        <w:rPr>
          <w:rFonts w:ascii="Arial" w:hAnsi="Arial" w:eastAsia="宋体" w:cs="Arial"/>
          <w:snapToGrid w:val="0"/>
          <w:color w:val="0000FF"/>
          <w:sz w:val="21"/>
          <w:szCs w:val="21"/>
          <w:u w:val="single" w:color="0000FF"/>
        </w:rPr>
        <w:fldChar w:fldCharType="end"/>
      </w:r>
    </w:p>
  </w:footnote>
  <w:footnote w:id="14">
    <w:p w14:paraId="334A420A">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组合产品的</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首要作用模式</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是指规定组合产品最重要治疗作用的单一作用模式（药品、器械或生物制品）。最重要治疗作用是指预期最有助于实现组合产品的总体预期治疗效果的一种作用模式。见</w:t>
      </w:r>
      <w:r>
        <w:rPr>
          <w:rFonts w:ascii="Arial" w:hAnsi="Arial" w:eastAsia="宋体" w:cs="Arial"/>
          <w:snapToGrid w:val="0"/>
          <w:sz w:val="21"/>
          <w:szCs w:val="21"/>
          <w:lang w:eastAsia="zh-CN"/>
        </w:rPr>
        <w:t>21 CFR 3.2</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k</w:t>
      </w:r>
      <w:r>
        <w:rPr>
          <w:rFonts w:hint="eastAsia" w:ascii="Arial" w:hAnsi="Arial" w:eastAsia="宋体" w:cs="Arial"/>
          <w:snapToGrid w:val="0"/>
          <w:sz w:val="21"/>
          <w:szCs w:val="21"/>
          <w:lang w:eastAsia="zh-CN"/>
        </w:rPr>
        <w:t>）（对</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作用模式</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和</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治疗</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进行了定义），和（m）（对首要作用模式进行了定义)。关于产品分类、归属和</w:t>
      </w:r>
      <w:r>
        <w:rPr>
          <w:rFonts w:ascii="Arial" w:hAnsi="Arial" w:eastAsia="宋体" w:cs="Arial"/>
          <w:snapToGrid w:val="0"/>
          <w:sz w:val="21"/>
          <w:szCs w:val="21"/>
          <w:lang w:eastAsia="zh-CN"/>
        </w:rPr>
        <w:t>PMOA</w:t>
      </w:r>
      <w:r>
        <w:rPr>
          <w:rFonts w:hint="eastAsia" w:ascii="Arial" w:hAnsi="Arial" w:eastAsia="宋体" w:cs="Arial"/>
          <w:snapToGrid w:val="0"/>
          <w:sz w:val="21"/>
          <w:szCs w:val="21"/>
          <w:lang w:eastAsia="zh-CN"/>
        </w:rPr>
        <w:t>的更多信息，见行业指南《如何书写属性界定申请（</w:t>
      </w:r>
      <w:r>
        <w:rPr>
          <w:rFonts w:ascii="Arial" w:hAnsi="Arial" w:eastAsia="宋体" w:cs="Arial"/>
          <w:snapToGrid w:val="0"/>
          <w:sz w:val="21"/>
          <w:szCs w:val="21"/>
          <w:lang w:eastAsia="zh-CN"/>
        </w:rPr>
        <w:t>RFD</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2011</w:t>
      </w:r>
      <w:r>
        <w:rPr>
          <w:rFonts w:hint="eastAsia" w:ascii="Arial" w:hAnsi="Arial" w:eastAsia="宋体" w:cs="Arial"/>
          <w:snapToGrid w:val="0"/>
          <w:sz w:val="21"/>
          <w:szCs w:val="21"/>
          <w:lang w:eastAsia="zh-CN"/>
        </w:rPr>
        <w:t>年4月）。</w:t>
      </w:r>
    </w:p>
  </w:footnote>
  <w:footnote w:id="15">
    <w:p w14:paraId="58D5282E">
      <w:pPr>
        <w:pStyle w:val="11"/>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21 CFR第4部分。</w:t>
      </w:r>
    </w:p>
  </w:footnote>
  <w:footnote w:id="16">
    <w:p w14:paraId="0A5FB560">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210.2（c）。</w:t>
      </w:r>
    </w:p>
  </w:footnote>
  <w:footnote w:id="17">
    <w:p w14:paraId="457E24A8">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器械QS规章（</w:t>
      </w:r>
      <w:r>
        <w:rPr>
          <w:rFonts w:ascii="Arial" w:hAnsi="Arial" w:eastAsia="宋体" w:cs="Arial"/>
          <w:snapToGrid w:val="0"/>
          <w:sz w:val="21"/>
          <w:szCs w:val="21"/>
          <w:lang w:eastAsia="zh-CN"/>
        </w:rPr>
        <w:t>61 FR 52602</w:t>
      </w:r>
      <w:r>
        <w:rPr>
          <w:rFonts w:hint="eastAsia" w:ascii="Arial" w:hAnsi="Arial" w:eastAsia="宋体" w:cs="Arial"/>
          <w:snapToGrid w:val="0"/>
          <w:sz w:val="21"/>
          <w:szCs w:val="21"/>
          <w:lang w:eastAsia="zh-CN"/>
        </w:rPr>
        <w:t>）的序文中规定了设计控制何时适用于处于设计生命周期早期产品的其他细节：</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设计控制要求不适用于概念开发和可行性研究。然而，一旦决定开发一种设计，必须建立计划以确定设计要求的充分性并确保最终将投入生产的设计满足已批准的要求。</w:t>
      </w:r>
      <w:r>
        <w:rPr>
          <w:rFonts w:hint="eastAsia" w:ascii="宋体" w:hAnsi="宋体" w:eastAsia="宋体" w:cs="Arial"/>
          <w:snapToGrid w:val="0"/>
          <w:sz w:val="21"/>
          <w:szCs w:val="21"/>
          <w:lang w:eastAsia="zh-CN"/>
        </w:rPr>
        <w:t>”</w:t>
      </w:r>
      <w:bookmarkStart w:id="223" w:name="OLE_LINK32"/>
      <w:bookmarkStart w:id="224" w:name="OLE_LINK33"/>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61 FR 52616</w:t>
      </w:r>
      <w:r>
        <w:rPr>
          <w:rFonts w:hint="eastAsia" w:ascii="Arial" w:hAnsi="Arial" w:eastAsia="宋体" w:cs="Arial"/>
          <w:snapToGrid w:val="0"/>
          <w:sz w:val="21"/>
          <w:szCs w:val="21"/>
          <w:lang w:eastAsia="zh-CN"/>
        </w:rPr>
        <w:t>，注释</w:t>
      </w:r>
      <w:r>
        <w:rPr>
          <w:rFonts w:ascii="Arial" w:hAnsi="Arial" w:eastAsia="宋体" w:cs="Arial"/>
          <w:snapToGrid w:val="0"/>
          <w:sz w:val="21"/>
          <w:szCs w:val="21"/>
          <w:lang w:eastAsia="zh-CN"/>
        </w:rPr>
        <w:t>62</w:t>
      </w:r>
      <w:bookmarkEnd w:id="223"/>
      <w:bookmarkEnd w:id="224"/>
      <w:r>
        <w:rPr>
          <w:rFonts w:hint="eastAsia" w:ascii="Arial" w:hAnsi="Arial" w:eastAsia="宋体" w:cs="Arial"/>
          <w:snapToGrid w:val="0"/>
          <w:sz w:val="21"/>
          <w:szCs w:val="21"/>
          <w:lang w:eastAsia="zh-CN"/>
        </w:rPr>
        <w:t>）</w:t>
      </w:r>
    </w:p>
  </w:footnote>
  <w:footnote w:id="18">
    <w:p w14:paraId="13C12C8E">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21 CFR 210.3。</w:t>
      </w:r>
    </w:p>
  </w:footnote>
  <w:footnote w:id="19">
    <w:p w14:paraId="05D1F8D9">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21 CFR 820.3（c）。</w:t>
      </w:r>
    </w:p>
  </w:footnote>
  <w:footnote w:id="20">
    <w:p w14:paraId="36ABF90A">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21 CFR 820.3（l）。</w:t>
      </w:r>
    </w:p>
  </w:footnote>
  <w:footnote w:id="21">
    <w:p w14:paraId="2897738E">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 xml:space="preserve"> 21 CFR 4.2。</w:t>
      </w:r>
    </w:p>
  </w:footnote>
  <w:footnote w:id="22">
    <w:p w14:paraId="5770D856">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820.1（a）。</w:t>
      </w:r>
    </w:p>
  </w:footnote>
  <w:footnote w:id="23">
    <w:p w14:paraId="40E3540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见78 FR 4313-4314，注释15。</w:t>
      </w:r>
    </w:p>
  </w:footnote>
  <w:footnote w:id="24">
    <w:p w14:paraId="0969ADEC">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见行业指南</w:t>
      </w:r>
      <w:r>
        <w:rPr>
          <w:rFonts w:ascii="Arial" w:hAnsi="Arial" w:eastAsia="宋体" w:cs="Arial"/>
          <w:i/>
          <w:snapToGrid w:val="0"/>
          <w:sz w:val="21"/>
          <w:szCs w:val="21"/>
          <w:lang w:eastAsia="zh-CN"/>
        </w:rPr>
        <w:t>人用药品和生物制品包装用容器密封系统：化学、生产和质控文件</w:t>
      </w:r>
      <w:r>
        <w:rPr>
          <w:rFonts w:ascii="Arial" w:hAnsi="Arial" w:eastAsia="宋体" w:cs="Arial"/>
          <w:snapToGrid w:val="0"/>
          <w:sz w:val="21"/>
          <w:szCs w:val="21"/>
          <w:lang w:eastAsia="zh-CN"/>
        </w:rPr>
        <w:t>（1999年5月）。</w:t>
      </w:r>
    </w:p>
  </w:footnote>
  <w:footnote w:id="25">
    <w:p w14:paraId="2FB5C9A3">
      <w:pPr>
        <w:pStyle w:val="11"/>
        <w:spacing w:line="300" w:lineRule="auto"/>
        <w:jc w:val="both"/>
        <w:rPr>
          <w:lang w:eastAsia="zh-CN"/>
        </w:rPr>
      </w:pPr>
      <w:r>
        <w:rPr>
          <w:rStyle w:val="17"/>
          <w:sz w:val="21"/>
          <w:szCs w:val="21"/>
        </w:rPr>
        <w:footnoteRef/>
      </w:r>
      <w:r>
        <w:rPr>
          <w:rFonts w:hint="eastAsia" w:ascii="Arial" w:hAnsi="Arial" w:eastAsia="宋体" w:cs="Arial"/>
          <w:snapToGrid w:val="0"/>
          <w:sz w:val="21"/>
          <w:szCs w:val="21"/>
          <w:lang w:eastAsia="zh-CN"/>
        </w:rPr>
        <w:t>本机构注意到机构的其它指导性文件把含药品的注射器和其它器械作为药品的</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容器密封件</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处理并重点讨论与它们作为容器密封件的使用相关的考虑，同时仅以总结的方式处理其它适用要求，原因是这些容器密封件也作为器械受监管。例如，见</w:t>
      </w:r>
      <w:r>
        <w:rPr>
          <w:rFonts w:hint="eastAsia" w:ascii="Arial" w:hAnsi="Arial" w:eastAsia="宋体" w:cs="Arial"/>
          <w:i/>
          <w:snapToGrid w:val="0"/>
          <w:sz w:val="21"/>
          <w:szCs w:val="21"/>
          <w:lang w:eastAsia="zh-CN"/>
        </w:rPr>
        <w:t>行业指南人用药品和生物制品包装用容器密封系统</w:t>
      </w:r>
      <w:r>
        <w:rPr>
          <w:rFonts w:ascii="Arial" w:hAnsi="Arial" w:eastAsia="宋体" w:cs="Arial"/>
          <w:i/>
          <w:snapToGrid w:val="0"/>
          <w:sz w:val="21"/>
          <w:szCs w:val="21"/>
          <w:lang w:eastAsia="zh-CN"/>
        </w:rPr>
        <w:t>[1999]</w:t>
      </w:r>
      <w:r>
        <w:rPr>
          <w:rFonts w:hint="eastAsia" w:ascii="Arial" w:hAnsi="Arial" w:eastAsia="宋体" w:cs="Arial"/>
          <w:i/>
          <w:snapToGrid w:val="0"/>
          <w:sz w:val="21"/>
          <w:szCs w:val="21"/>
          <w:lang w:eastAsia="zh-CN"/>
        </w:rPr>
        <w:t>。</w:t>
      </w:r>
      <w:r>
        <w:rPr>
          <w:rFonts w:hint="eastAsia" w:ascii="Arial" w:hAnsi="Arial" w:eastAsia="宋体" w:cs="Arial"/>
          <w:snapToGrid w:val="0"/>
          <w:sz w:val="21"/>
          <w:szCs w:val="21"/>
          <w:lang w:eastAsia="zh-CN"/>
        </w:rPr>
        <w:t>如本部分和本指导性文件的其它部分反映的，由于这类器械储存一种药品，因此受容器密封要求的约束。然而，由于它们也是器械，因此他们及所属的组合产品也受其它要求的约束，包括第820部分的要求。</w:t>
      </w:r>
    </w:p>
  </w:footnote>
  <w:footnote w:id="26">
    <w:p w14:paraId="7BC07F0A">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尽管超出本指导性文件的范围，我们注意到组合产品组成部分预期用途的变更可能需要由FDA进行上市前审核。</w:t>
      </w:r>
    </w:p>
  </w:footnote>
  <w:footnote w:id="27">
    <w:p w14:paraId="15DDDDC9">
      <w:pPr>
        <w:pStyle w:val="11"/>
        <w:spacing w:line="300" w:lineRule="auto"/>
        <w:jc w:val="both"/>
        <w:rPr>
          <w:sz w:val="15"/>
          <w:lang w:eastAsia="zh-CN"/>
        </w:rPr>
      </w:pPr>
      <w:r>
        <w:rPr>
          <w:rStyle w:val="17"/>
          <w:sz w:val="15"/>
        </w:rPr>
        <w:footnoteRef/>
      </w:r>
      <w:r>
        <w:rPr>
          <w:rFonts w:hint="eastAsia" w:ascii="Arial" w:hAnsi="Arial" w:eastAsia="宋体" w:cs="Arial"/>
          <w:snapToGrid w:val="0"/>
          <w:sz w:val="21"/>
          <w:szCs w:val="20"/>
          <w:lang w:eastAsia="zh-CN"/>
        </w:rPr>
        <w:t>本指南使用的术语</w:t>
      </w:r>
      <w:r>
        <w:rPr>
          <w:rFonts w:hint="eastAsia" w:ascii="宋体" w:hAnsi="宋体" w:eastAsia="宋体" w:cs="Arial"/>
          <w:snapToGrid w:val="0"/>
          <w:sz w:val="21"/>
          <w:szCs w:val="20"/>
          <w:lang w:eastAsia="zh-CN"/>
        </w:rPr>
        <w:t>“</w:t>
      </w:r>
      <w:r>
        <w:rPr>
          <w:rFonts w:hint="eastAsia" w:ascii="Arial" w:hAnsi="Arial" w:eastAsia="宋体" w:cs="Arial"/>
          <w:snapToGrid w:val="0"/>
          <w:sz w:val="21"/>
          <w:szCs w:val="20"/>
          <w:lang w:eastAsia="zh-CN"/>
        </w:rPr>
        <w:t>便利工具盒</w:t>
      </w:r>
      <w:r>
        <w:rPr>
          <w:rFonts w:hint="eastAsia" w:ascii="宋体" w:hAnsi="宋体" w:eastAsia="宋体" w:cs="Arial"/>
          <w:snapToGrid w:val="0"/>
          <w:sz w:val="21"/>
          <w:szCs w:val="20"/>
          <w:lang w:eastAsia="zh-CN"/>
        </w:rPr>
        <w:t>”</w:t>
      </w:r>
      <w:r>
        <w:rPr>
          <w:rFonts w:hint="eastAsia" w:ascii="Arial" w:hAnsi="Arial" w:eastAsia="宋体" w:cs="Arial"/>
          <w:snapToGrid w:val="0"/>
          <w:sz w:val="21"/>
          <w:szCs w:val="20"/>
          <w:lang w:eastAsia="zh-CN"/>
        </w:rPr>
        <w:t>仅包含本节呈现的定义，首次提出是在第4部分的序文中（见</w:t>
      </w:r>
      <w:r>
        <w:rPr>
          <w:rFonts w:ascii="Arial" w:hAnsi="Arial" w:eastAsia="宋体" w:cs="Arial"/>
          <w:snapToGrid w:val="0"/>
          <w:sz w:val="21"/>
          <w:szCs w:val="20"/>
          <w:lang w:eastAsia="zh-CN"/>
        </w:rPr>
        <w:t>78 FR 4310</w:t>
      </w:r>
      <w:r>
        <w:rPr>
          <w:rFonts w:hint="eastAsia" w:ascii="Arial" w:hAnsi="Arial" w:eastAsia="宋体" w:cs="Arial"/>
          <w:snapToGrid w:val="0"/>
          <w:sz w:val="21"/>
          <w:szCs w:val="20"/>
          <w:lang w:eastAsia="zh-CN"/>
        </w:rPr>
        <w:t>）。其它FDA条例中使用的术语</w:t>
      </w:r>
      <w:r>
        <w:rPr>
          <w:rFonts w:hint="eastAsia" w:ascii="宋体" w:hAnsi="宋体" w:eastAsia="宋体" w:cs="Arial"/>
          <w:snapToGrid w:val="0"/>
          <w:sz w:val="21"/>
          <w:szCs w:val="20"/>
          <w:lang w:eastAsia="zh-CN"/>
        </w:rPr>
        <w:t>“</w:t>
      </w:r>
      <w:r>
        <w:rPr>
          <w:rFonts w:hint="eastAsia" w:ascii="Arial" w:hAnsi="Arial" w:eastAsia="宋体" w:cs="Arial"/>
          <w:snapToGrid w:val="0"/>
          <w:sz w:val="21"/>
          <w:szCs w:val="20"/>
          <w:lang w:eastAsia="zh-CN"/>
        </w:rPr>
        <w:t>便利工具盒</w:t>
      </w:r>
      <w:r>
        <w:rPr>
          <w:rFonts w:hint="eastAsia" w:ascii="宋体" w:hAnsi="宋体" w:eastAsia="宋体" w:cs="Arial"/>
          <w:snapToGrid w:val="0"/>
          <w:sz w:val="21"/>
          <w:szCs w:val="20"/>
          <w:lang w:eastAsia="zh-CN"/>
        </w:rPr>
        <w:t>”</w:t>
      </w:r>
      <w:r>
        <w:rPr>
          <w:rFonts w:hint="eastAsia" w:ascii="Arial" w:hAnsi="Arial" w:eastAsia="宋体" w:cs="Arial"/>
          <w:snapToGrid w:val="0"/>
          <w:sz w:val="21"/>
          <w:szCs w:val="20"/>
          <w:lang w:eastAsia="zh-CN"/>
        </w:rPr>
        <w:t>与本文意义不同。例如，见</w:t>
      </w:r>
      <w:r>
        <w:rPr>
          <w:rFonts w:ascii="Arial" w:hAnsi="Arial" w:eastAsia="宋体" w:cs="Arial"/>
          <w:snapToGrid w:val="0"/>
          <w:sz w:val="21"/>
          <w:szCs w:val="20"/>
          <w:lang w:eastAsia="zh-CN"/>
        </w:rPr>
        <w:t>21 CFR 801.3</w:t>
      </w:r>
      <w:r>
        <w:rPr>
          <w:rFonts w:hint="eastAsia" w:ascii="Arial" w:hAnsi="Arial" w:eastAsia="宋体" w:cs="Arial"/>
          <w:snapToGrid w:val="0"/>
          <w:sz w:val="21"/>
          <w:szCs w:val="20"/>
          <w:lang w:eastAsia="zh-CN"/>
        </w:rPr>
        <w:t>。</w:t>
      </w:r>
    </w:p>
  </w:footnote>
  <w:footnote w:id="28">
    <w:p w14:paraId="7119F29E">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例如，见21 CFR 211.166。</w:t>
      </w:r>
    </w:p>
  </w:footnote>
  <w:footnote w:id="29">
    <w:p w14:paraId="08D07A68">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例如，见行业指南：《</w:t>
      </w:r>
      <w:r>
        <w:rPr>
          <w:rFonts w:hint="eastAsia" w:ascii="Arial" w:hAnsi="Arial" w:eastAsia="宋体" w:cs="Arial"/>
          <w:snapToGrid w:val="0"/>
          <w:sz w:val="21"/>
          <w:szCs w:val="21"/>
          <w:lang w:eastAsia="zh-CN"/>
        </w:rPr>
        <w:t>临床和外科用无菌便利工具盒</w:t>
      </w:r>
      <w:r>
        <w:rPr>
          <w:rFonts w:ascii="Arial" w:hAnsi="Arial" w:eastAsia="宋体" w:cs="Arial"/>
          <w:snapToGrid w:val="0"/>
          <w:sz w:val="21"/>
          <w:szCs w:val="21"/>
          <w:lang w:eastAsia="zh-CN"/>
        </w:rPr>
        <w:t>》（2002年1月）。</w:t>
      </w:r>
    </w:p>
  </w:footnote>
  <w:footnote w:id="30">
    <w:p w14:paraId="0A623B58">
      <w:pPr>
        <w:pStyle w:val="11"/>
        <w:spacing w:line="300" w:lineRule="auto"/>
        <w:jc w:val="both"/>
        <w:rPr>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根</w:t>
      </w:r>
      <w:r>
        <w:rPr>
          <w:rFonts w:hint="eastAsia" w:ascii="Arial" w:hAnsi="Arial" w:eastAsia="宋体" w:cs="Arial"/>
          <w:snapToGrid w:val="0"/>
          <w:sz w:val="21"/>
          <w:szCs w:val="21"/>
          <w:lang w:eastAsia="zh-CN"/>
        </w:rPr>
        <w:t>据</w:t>
      </w:r>
      <w:r>
        <w:rPr>
          <w:rFonts w:ascii="Arial" w:hAnsi="Arial" w:eastAsia="宋体" w:cs="Arial"/>
          <w:snapToGrid w:val="0"/>
          <w:sz w:val="21"/>
          <w:szCs w:val="21"/>
          <w:lang w:eastAsia="zh-CN"/>
        </w:rPr>
        <w:t>21 CFR 820.1</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a</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3</w:t>
      </w:r>
      <w:r>
        <w:rPr>
          <w:rFonts w:hint="eastAsia" w:ascii="Arial" w:hAnsi="Arial" w:eastAsia="宋体" w:cs="Arial"/>
          <w:snapToGrid w:val="0"/>
          <w:sz w:val="21"/>
          <w:szCs w:val="21"/>
          <w:lang w:eastAsia="zh-CN"/>
        </w:rPr>
        <w:t>）和</w:t>
      </w:r>
      <w:r>
        <w:rPr>
          <w:rFonts w:ascii="Arial" w:hAnsi="Arial" w:eastAsia="宋体" w:cs="Arial"/>
          <w:snapToGrid w:val="0"/>
          <w:sz w:val="21"/>
          <w:szCs w:val="21"/>
          <w:lang w:eastAsia="zh-CN"/>
        </w:rPr>
        <w:t>1271.150</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e</w:t>
      </w:r>
      <w:r>
        <w:rPr>
          <w:rFonts w:hint="eastAsia" w:ascii="Arial" w:hAnsi="Arial" w:eastAsia="宋体" w:cs="Arial"/>
          <w:snapToGrid w:val="0"/>
          <w:sz w:val="21"/>
          <w:szCs w:val="21"/>
          <w:lang w:eastAsia="zh-CN"/>
        </w:rPr>
        <w:t>），举例来说，如果不执行某项要求，按理可以推出会导致产品不符合指定要求的。则此项要求即符合</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适当情况下</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中的</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适当</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二字。对于</w:t>
      </w:r>
      <w:r>
        <w:rPr>
          <w:rFonts w:ascii="Arial" w:hAnsi="Arial" w:eastAsia="宋体" w:cs="Arial"/>
          <w:snapToGrid w:val="0"/>
          <w:sz w:val="21"/>
          <w:szCs w:val="21"/>
          <w:lang w:eastAsia="zh-CN"/>
        </w:rPr>
        <w:t>HCT/P</w:t>
      </w:r>
      <w:r>
        <w:rPr>
          <w:rFonts w:hint="eastAsia" w:ascii="Arial" w:hAnsi="Arial" w:eastAsia="宋体" w:cs="Arial"/>
          <w:snapToGrid w:val="0"/>
          <w:sz w:val="21"/>
          <w:szCs w:val="21"/>
          <w:lang w:eastAsia="zh-CN"/>
        </w:rPr>
        <w:t>，这些要求可能与阻止传染病的传入、传播或扩散相关，或指制造商不能实施任何必要纠正措施的情况。根据以上条款，除非制造商可提供依据证明要求不适当，否则认为要求适当。</w:t>
      </w:r>
    </w:p>
  </w:footnote>
  <w:footnote w:id="31">
    <w:p w14:paraId="4FA57A12">
      <w:pPr>
        <w:pStyle w:val="11"/>
        <w:spacing w:line="300" w:lineRule="auto"/>
        <w:jc w:val="both"/>
        <w:rPr>
          <w:rFonts w:ascii="宋体" w:hAnsi="宋体" w:eastAsia="宋体"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21 CFR 820.3（k）规</w:t>
      </w:r>
      <w:r>
        <w:rPr>
          <w:rFonts w:ascii="宋体" w:hAnsi="宋体" w:eastAsia="宋体" w:cs="Arial"/>
          <w:snapToGrid w:val="0"/>
          <w:sz w:val="21"/>
          <w:szCs w:val="21"/>
          <w:lang w:eastAsia="zh-CN"/>
        </w:rPr>
        <w:t>定“</w:t>
      </w:r>
      <w:r>
        <w:rPr>
          <w:rFonts w:ascii="宋体" w:hAnsi="宋体" w:eastAsia="宋体" w:cs="Arial"/>
          <w:i/>
          <w:snapToGrid w:val="0"/>
          <w:sz w:val="21"/>
          <w:szCs w:val="21"/>
          <w:lang w:eastAsia="zh-CN"/>
        </w:rPr>
        <w:t>建立</w:t>
      </w:r>
      <w:r>
        <w:rPr>
          <w:rFonts w:ascii="宋体" w:hAnsi="宋体" w:eastAsia="宋体" w:cs="Arial"/>
          <w:snapToGrid w:val="0"/>
          <w:sz w:val="21"/>
          <w:szCs w:val="21"/>
          <w:lang w:eastAsia="zh-CN"/>
        </w:rPr>
        <w:t>指</w:t>
      </w:r>
      <w:r>
        <w:rPr>
          <w:rFonts w:ascii="Arial" w:hAnsi="Arial" w:eastAsia="宋体" w:cs="Arial"/>
          <w:snapToGrid w:val="0"/>
          <w:sz w:val="21"/>
          <w:szCs w:val="21"/>
          <w:lang w:eastAsia="zh-CN"/>
        </w:rPr>
        <w:t>定义、记录（以书面形式或电子版），和执</w:t>
      </w:r>
      <w:r>
        <w:rPr>
          <w:rFonts w:ascii="宋体" w:hAnsi="宋体" w:eastAsia="宋体" w:cs="Arial"/>
          <w:snapToGrid w:val="0"/>
          <w:sz w:val="21"/>
          <w:szCs w:val="21"/>
          <w:lang w:eastAsia="zh-CN"/>
        </w:rPr>
        <w:t>行。”</w:t>
      </w:r>
    </w:p>
  </w:footnote>
  <w:footnote w:id="32">
    <w:p w14:paraId="3FB0AA39">
      <w:pPr>
        <w:pStyle w:val="11"/>
        <w:spacing w:line="300" w:lineRule="auto"/>
        <w:jc w:val="both"/>
        <w:rPr>
          <w:lang w:eastAsia="zh-CN"/>
        </w:rPr>
      </w:pPr>
      <w:r>
        <w:rPr>
          <w:rStyle w:val="17"/>
          <w:sz w:val="15"/>
        </w:rPr>
        <w:footnoteRef/>
      </w:r>
      <w:r>
        <w:rPr>
          <w:sz w:val="15"/>
          <w:lang w:eastAsia="zh-CN"/>
        </w:rPr>
        <w:t xml:space="preserve"> </w:t>
      </w:r>
      <w:r>
        <w:rPr>
          <w:rFonts w:ascii="Arial" w:hAnsi="Arial" w:eastAsia="宋体" w:cs="Arial"/>
          <w:snapToGrid w:val="0"/>
          <w:sz w:val="21"/>
          <w:lang w:eastAsia="zh-CN"/>
        </w:rPr>
        <w:t>21 CFR 211.84</w:t>
      </w:r>
      <w:r>
        <w:rPr>
          <w:rFonts w:hint="eastAsia" w:ascii="Arial" w:hAnsi="Arial" w:eastAsia="宋体" w:cs="Arial"/>
          <w:snapToGrid w:val="0"/>
          <w:sz w:val="21"/>
          <w:lang w:eastAsia="zh-CN"/>
        </w:rPr>
        <w:t>详述了制造商必须如何抽样、测试、检查和认可或否决药品成分、容器和密封件。</w:t>
      </w:r>
    </w:p>
  </w:footnote>
  <w:footnote w:id="33">
    <w:p w14:paraId="7665DB92">
      <w:pPr>
        <w:pStyle w:val="11"/>
        <w:spacing w:line="300" w:lineRule="auto"/>
        <w:rPr>
          <w:rFonts w:ascii="Arial" w:hAnsi="Arial" w:cs="Arial"/>
          <w:sz w:val="15"/>
          <w:lang w:eastAsia="zh-CN"/>
        </w:rPr>
      </w:pPr>
      <w:r>
        <w:rPr>
          <w:rStyle w:val="17"/>
          <w:rFonts w:ascii="Arial" w:hAnsi="Arial" w:cs="Arial"/>
          <w:sz w:val="15"/>
        </w:rPr>
        <w:footnoteRef/>
      </w:r>
      <w:r>
        <w:rPr>
          <w:rFonts w:ascii="Arial" w:hAnsi="Arial" w:eastAsia="宋体" w:cs="Arial"/>
          <w:snapToGrid w:val="0"/>
          <w:sz w:val="21"/>
          <w:szCs w:val="20"/>
          <w:lang w:eastAsia="zh-CN"/>
        </w:rPr>
        <w:t>与CMC话题相关指南的其它信息，见FDA的网页：</w:t>
      </w:r>
      <w:r>
        <w:rPr>
          <w:rFonts w:ascii="Arial" w:hAnsi="Arial" w:eastAsia="宋体" w:cs="Arial"/>
          <w:snapToGrid w:val="0"/>
          <w:color w:val="0000FF"/>
          <w:sz w:val="21"/>
          <w:szCs w:val="20"/>
          <w:lang w:eastAsia="zh-CN"/>
        </w:rPr>
        <w:t xml:space="preserve"> </w:t>
      </w:r>
      <w:r>
        <w:fldChar w:fldCharType="begin"/>
      </w:r>
      <w:r>
        <w:instrText xml:space="preserve"> HYPERLINK "http://www.fda.gov/Drugs/GuidanceComplianceRegulatoryInformation/Guidances/ucm064979.htm." </w:instrText>
      </w:r>
      <w:r>
        <w:fldChar w:fldCharType="separate"/>
      </w:r>
      <w:r>
        <w:rPr>
          <w:rStyle w:val="16"/>
          <w:rFonts w:ascii="Arial" w:hAnsi="Arial" w:eastAsia="宋体" w:cs="Arial"/>
          <w:snapToGrid w:val="0"/>
          <w:sz w:val="21"/>
          <w:szCs w:val="20"/>
          <w:u w:color="0000FF"/>
          <w:lang w:eastAsia="zh-CN"/>
        </w:rPr>
        <w:t>http: //www.fda.gov/Drugs/GuidanceComplianceRegulatoryInformation/Guidances/ucm064979.htm</w:t>
      </w:r>
      <w:r>
        <w:rPr>
          <w:rStyle w:val="16"/>
          <w:rFonts w:ascii="Arial" w:hAnsi="Arial" w:eastAsia="宋体" w:cs="Arial"/>
          <w:snapToGrid w:val="0"/>
          <w:sz w:val="21"/>
          <w:szCs w:val="20"/>
          <w:lang w:eastAsia="zh-CN"/>
        </w:rPr>
        <w:t>.</w:t>
      </w:r>
      <w:r>
        <w:rPr>
          <w:rStyle w:val="16"/>
          <w:rFonts w:ascii="Arial" w:hAnsi="Arial" w:eastAsia="宋体" w:cs="Arial"/>
          <w:snapToGrid w:val="0"/>
          <w:sz w:val="21"/>
          <w:szCs w:val="20"/>
          <w:lang w:eastAsia="zh-CN"/>
        </w:rPr>
        <w:fldChar w:fldCharType="end"/>
      </w:r>
    </w:p>
  </w:footnote>
  <w:footnote w:id="34">
    <w:p w14:paraId="0268E11A">
      <w:pPr>
        <w:pStyle w:val="11"/>
        <w:spacing w:line="300" w:lineRule="auto"/>
        <w:jc w:val="both"/>
        <w:rPr>
          <w:rFonts w:ascii="Arial" w:hAnsi="Arial" w:cs="Arial"/>
          <w:sz w:val="15"/>
          <w:lang w:eastAsia="zh-CN"/>
        </w:rPr>
      </w:pPr>
      <w:r>
        <w:rPr>
          <w:rStyle w:val="17"/>
          <w:rFonts w:ascii="Arial" w:hAnsi="Arial" w:cs="Arial"/>
          <w:sz w:val="15"/>
        </w:rPr>
        <w:footnoteRef/>
      </w:r>
      <w:r>
        <w:rPr>
          <w:rFonts w:ascii="Arial" w:hAnsi="Arial" w:eastAsia="宋体" w:cs="Arial"/>
          <w:snapToGrid w:val="0"/>
          <w:sz w:val="21"/>
          <w:lang w:eastAsia="zh-CN"/>
        </w:rPr>
        <w:t>尽</w:t>
      </w:r>
      <w:r>
        <w:rPr>
          <w:rFonts w:hint="eastAsia" w:ascii="Arial" w:hAnsi="Arial" w:eastAsia="宋体" w:cs="Arial"/>
          <w:snapToGrid w:val="0"/>
          <w:sz w:val="21"/>
          <w:lang w:eastAsia="zh-CN"/>
        </w:rPr>
        <w:t>管超出本指导性文件的范围，但要注意的是，产品所有人可能有义务把变更告知本机构或在做出变更前请求机构批准，这取决于变更的本质。例如，见</w:t>
      </w:r>
      <w:r>
        <w:rPr>
          <w:rFonts w:ascii="Arial" w:hAnsi="Arial" w:eastAsia="宋体" w:cs="Arial"/>
          <w:snapToGrid w:val="0"/>
          <w:sz w:val="21"/>
          <w:lang w:eastAsia="zh-CN"/>
        </w:rPr>
        <w:t>21 CFR 314.70</w:t>
      </w:r>
      <w:r>
        <w:rPr>
          <w:rFonts w:hint="eastAsia" w:ascii="Arial" w:hAnsi="Arial" w:eastAsia="宋体" w:cs="Arial"/>
          <w:snapToGrid w:val="0"/>
          <w:sz w:val="21"/>
          <w:lang w:eastAsia="zh-CN"/>
        </w:rPr>
        <w:t>，</w:t>
      </w:r>
      <w:r>
        <w:rPr>
          <w:rFonts w:ascii="Arial" w:hAnsi="Arial" w:eastAsia="宋体" w:cs="Arial"/>
          <w:snapToGrid w:val="0"/>
          <w:sz w:val="21"/>
          <w:lang w:eastAsia="zh-CN"/>
        </w:rPr>
        <w:t>601.12, 807.81（a）（3）</w:t>
      </w:r>
      <w:r>
        <w:rPr>
          <w:rFonts w:hint="eastAsia" w:ascii="Arial" w:hAnsi="Arial" w:eastAsia="宋体" w:cs="Arial"/>
          <w:snapToGrid w:val="0"/>
          <w:sz w:val="21"/>
          <w:lang w:eastAsia="zh-CN"/>
        </w:rPr>
        <w:t>和</w:t>
      </w:r>
      <w:r>
        <w:rPr>
          <w:rFonts w:ascii="Arial" w:hAnsi="Arial" w:eastAsia="宋体" w:cs="Arial"/>
          <w:snapToGrid w:val="0"/>
          <w:sz w:val="21"/>
          <w:lang w:eastAsia="zh-CN"/>
        </w:rPr>
        <w:t>814.39</w:t>
      </w:r>
      <w:r>
        <w:rPr>
          <w:rFonts w:hint="eastAsia" w:ascii="Arial" w:hAnsi="Arial" w:eastAsia="宋体" w:cs="Arial"/>
          <w:snapToGrid w:val="0"/>
          <w:sz w:val="21"/>
          <w:lang w:eastAsia="zh-CN"/>
        </w:rPr>
        <w:t>。相应地，为确保符合其它法规要求（除</w:t>
      </w:r>
      <w:r>
        <w:rPr>
          <w:rFonts w:ascii="Arial" w:hAnsi="Arial" w:eastAsia="宋体" w:cs="Arial"/>
          <w:snapToGrid w:val="0"/>
          <w:sz w:val="21"/>
          <w:lang w:eastAsia="zh-CN"/>
        </w:rPr>
        <w:t>CGMP</w:t>
      </w:r>
      <w:r>
        <w:rPr>
          <w:rFonts w:hint="eastAsia" w:ascii="Arial" w:hAnsi="Arial" w:eastAsia="宋体" w:cs="Arial"/>
          <w:snapToGrid w:val="0"/>
          <w:sz w:val="21"/>
          <w:lang w:eastAsia="zh-CN"/>
        </w:rPr>
        <w:t>要求外），对组合产品变更和制</w:t>
      </w:r>
      <w:r>
        <w:rPr>
          <w:rFonts w:ascii="Arial" w:hAnsi="Arial" w:eastAsia="宋体" w:cs="Arial"/>
          <w:snapToGrid w:val="0"/>
          <w:sz w:val="21"/>
          <w:lang w:eastAsia="zh-CN"/>
        </w:rPr>
        <w:t>造组合产品所用工艺和机构的控制可能很重要。</w:t>
      </w:r>
    </w:p>
  </w:footnote>
  <w:footnote w:id="35">
    <w:p w14:paraId="619FFC16">
      <w:pPr>
        <w:pStyle w:val="11"/>
        <w:spacing w:line="300" w:lineRule="auto"/>
        <w:jc w:val="both"/>
        <w:rPr>
          <w:lang w:eastAsia="zh-CN"/>
        </w:rPr>
      </w:pPr>
      <w:r>
        <w:rPr>
          <w:rStyle w:val="17"/>
          <w:rFonts w:ascii="Arial" w:hAnsi="Arial" w:cs="Arial"/>
          <w:sz w:val="15"/>
        </w:rPr>
        <w:footnoteRef/>
      </w:r>
      <w:r>
        <w:rPr>
          <w:rFonts w:ascii="Arial" w:hAnsi="Arial" w:eastAsia="宋体" w:cs="Arial"/>
          <w:snapToGrid w:val="0"/>
          <w:sz w:val="21"/>
          <w:lang w:eastAsia="zh-CN"/>
        </w:rPr>
        <w:t>本</w:t>
      </w:r>
      <w:r>
        <w:rPr>
          <w:rFonts w:hint="eastAsia" w:ascii="Arial" w:hAnsi="Arial" w:eastAsia="宋体" w:cs="Arial"/>
          <w:snapToGrid w:val="0"/>
          <w:sz w:val="21"/>
          <w:lang w:eastAsia="zh-CN"/>
        </w:rPr>
        <w:t>部分不解决</w:t>
      </w:r>
      <w:r>
        <w:rPr>
          <w:rFonts w:ascii="Arial" w:hAnsi="Arial" w:eastAsia="宋体" w:cs="Arial"/>
          <w:snapToGrid w:val="0"/>
          <w:sz w:val="21"/>
          <w:lang w:eastAsia="zh-CN"/>
        </w:rPr>
        <w:t>21 CFR 4.4（b）（1）（v）</w:t>
      </w:r>
      <w:r>
        <w:rPr>
          <w:rFonts w:hint="eastAsia" w:ascii="Arial" w:hAnsi="Arial" w:eastAsia="宋体" w:cs="Arial"/>
          <w:snapToGrid w:val="0"/>
          <w:sz w:val="21"/>
          <w:lang w:eastAsia="zh-CN"/>
        </w:rPr>
        <w:t>和</w:t>
      </w:r>
      <w:r>
        <w:rPr>
          <w:rFonts w:ascii="Arial" w:hAnsi="Arial" w:eastAsia="宋体" w:cs="Arial"/>
          <w:snapToGrid w:val="0"/>
          <w:sz w:val="21"/>
          <w:lang w:eastAsia="zh-CN"/>
        </w:rPr>
        <w:t>（vi）</w:t>
      </w:r>
      <w:r>
        <w:rPr>
          <w:rFonts w:hint="eastAsia" w:ascii="Arial" w:hAnsi="Arial" w:eastAsia="宋体" w:cs="Arial"/>
          <w:snapToGrid w:val="0"/>
          <w:sz w:val="21"/>
          <w:lang w:eastAsia="zh-CN"/>
        </w:rPr>
        <w:t>，这两节分别要求制造商证明符合</w:t>
      </w:r>
      <w:r>
        <w:rPr>
          <w:rFonts w:ascii="Arial" w:hAnsi="Arial" w:eastAsia="宋体" w:cs="Arial"/>
          <w:snapToGrid w:val="0"/>
          <w:sz w:val="21"/>
          <w:lang w:eastAsia="zh-CN"/>
        </w:rPr>
        <w:t>21 CFR 820.170</w:t>
      </w:r>
      <w:r>
        <w:rPr>
          <w:rFonts w:hint="eastAsia" w:ascii="Arial" w:hAnsi="Arial" w:eastAsia="宋体" w:cs="Arial"/>
          <w:snapToGrid w:val="0"/>
          <w:sz w:val="21"/>
          <w:lang w:eastAsia="zh-CN"/>
        </w:rPr>
        <w:t>和</w:t>
      </w:r>
      <w:r>
        <w:rPr>
          <w:rFonts w:ascii="Arial" w:hAnsi="Arial" w:eastAsia="宋体" w:cs="Arial"/>
          <w:snapToGrid w:val="0"/>
          <w:sz w:val="21"/>
          <w:lang w:eastAsia="zh-CN"/>
        </w:rPr>
        <w:t>820.200</w:t>
      </w:r>
      <w:r>
        <w:rPr>
          <w:rFonts w:hint="eastAsia" w:ascii="Arial" w:hAnsi="Arial" w:eastAsia="宋体" w:cs="Arial"/>
          <w:snapToGrid w:val="0"/>
          <w:sz w:val="21"/>
          <w:lang w:eastAsia="zh-CN"/>
        </w:rPr>
        <w:t>中的安装和维修要求。</w:t>
      </w:r>
      <w:r>
        <w:rPr>
          <w:rFonts w:ascii="Arial" w:hAnsi="Arial" w:eastAsia="宋体" w:cs="Arial"/>
          <w:snapToGrid w:val="0"/>
          <w:sz w:val="21"/>
          <w:lang w:eastAsia="zh-CN"/>
        </w:rPr>
        <w:t>21 CFR 4.4（b）（1）</w:t>
      </w:r>
      <w:r>
        <w:rPr>
          <w:rFonts w:hint="eastAsia" w:ascii="Arial" w:hAnsi="Arial" w:eastAsia="宋体" w:cs="Arial"/>
          <w:snapToGrid w:val="0"/>
          <w:sz w:val="21"/>
          <w:lang w:eastAsia="zh-CN"/>
        </w:rPr>
        <w:t>中包含这些要求以确保当适用于单个实体或组合包装组合产品时制造商遵守它们。然而，机构预期需安装和需维修器械很少成为这类组合产品的组成部分。如果它们是组合产品的组成部分，更可能是作为交叉标签组合产品的组成部分单独制造并销售。在这种情况下，如</w:t>
      </w:r>
      <w:r>
        <w:fldChar w:fldCharType="begin"/>
      </w:r>
      <w:r>
        <w:instrText xml:space="preserve"> HYPERLINK \l "_bookmark10" </w:instrText>
      </w:r>
      <w:r>
        <w:fldChar w:fldCharType="separate"/>
      </w:r>
      <w:r>
        <w:rPr>
          <w:rFonts w:ascii="Arial" w:hAnsi="Arial" w:eastAsia="宋体" w:cs="Arial"/>
          <w:snapToGrid w:val="0"/>
          <w:sz w:val="21"/>
          <w:lang w:eastAsia="zh-CN"/>
        </w:rPr>
        <w:t>II.C.1</w:t>
      </w:r>
      <w:r>
        <w:rPr>
          <w:rFonts w:ascii="Arial" w:hAnsi="Arial" w:eastAsia="宋体" w:cs="Arial"/>
          <w:snapToGrid w:val="0"/>
          <w:sz w:val="21"/>
          <w:lang w:eastAsia="zh-CN"/>
        </w:rPr>
        <w:fldChar w:fldCharType="end"/>
      </w:r>
      <w:r>
        <w:rPr>
          <w:rFonts w:ascii="Arial" w:hAnsi="Arial" w:eastAsia="宋体" w:cs="Arial"/>
          <w:snapToGrid w:val="0"/>
          <w:sz w:val="21"/>
          <w:lang w:eastAsia="zh-CN"/>
        </w:rPr>
        <w:t xml:space="preserve"> </w:t>
      </w:r>
      <w:r>
        <w:fldChar w:fldCharType="begin"/>
      </w:r>
      <w:r>
        <w:instrText xml:space="preserve"> HYPERLINK \l "_bookmark8" </w:instrText>
      </w:r>
      <w:r>
        <w:fldChar w:fldCharType="separate"/>
      </w:r>
      <w:r>
        <w:rPr>
          <w:rFonts w:ascii="Arial" w:hAnsi="Arial" w:eastAsia="宋体" w:cs="Arial"/>
          <w:snapToGrid w:val="0"/>
          <w:sz w:val="21"/>
          <w:lang w:eastAsia="zh-CN"/>
        </w:rPr>
        <w:t>II.B</w:t>
      </w:r>
      <w:r>
        <w:rPr>
          <w:rFonts w:ascii="Arial" w:hAnsi="Arial" w:eastAsia="宋体" w:cs="Arial"/>
          <w:snapToGrid w:val="0"/>
          <w:sz w:val="21"/>
          <w:lang w:eastAsia="zh-CN"/>
        </w:rPr>
        <w:fldChar w:fldCharType="end"/>
      </w:r>
      <w:r>
        <w:rPr>
          <w:rFonts w:hint="eastAsia" w:ascii="Arial" w:hAnsi="Arial" w:eastAsia="宋体" w:cs="Arial"/>
          <w:snapToGrid w:val="0"/>
          <w:sz w:val="21"/>
          <w:lang w:eastAsia="zh-CN"/>
        </w:rPr>
        <w:t>部分讨论的，每个组成部分制造商将受与它制造的组成部分相关的</w:t>
      </w:r>
      <w:r>
        <w:rPr>
          <w:rFonts w:ascii="Arial" w:hAnsi="Arial" w:eastAsia="宋体" w:cs="Arial"/>
          <w:snapToGrid w:val="0"/>
          <w:sz w:val="21"/>
          <w:lang w:eastAsia="zh-CN"/>
        </w:rPr>
        <w:t>CGMP</w:t>
      </w:r>
      <w:r>
        <w:rPr>
          <w:rFonts w:hint="eastAsia" w:ascii="Arial" w:hAnsi="Arial" w:eastAsia="宋体" w:cs="Arial"/>
          <w:snapToGrid w:val="0"/>
          <w:sz w:val="21"/>
          <w:lang w:eastAsia="zh-CN"/>
        </w:rPr>
        <w:t>要求的约束。相应地，这种交叉标签组合产品的器械组成部分将受安装和维修要求的约束。</w:t>
      </w:r>
    </w:p>
  </w:footnote>
  <w:footnote w:id="36">
    <w:p w14:paraId="602646A1">
      <w:pPr>
        <w:pStyle w:val="11"/>
        <w:rPr>
          <w:rFonts w:ascii="Arial" w:hAnsi="Arial" w:cs="Arial"/>
          <w:lang w:eastAsia="zh-CN"/>
        </w:rPr>
      </w:pPr>
      <w:r>
        <w:rPr>
          <w:rStyle w:val="17"/>
          <w:rFonts w:ascii="Arial" w:hAnsi="Arial" w:cs="Arial"/>
        </w:rPr>
        <w:footnoteRef/>
      </w:r>
      <w:r>
        <w:rPr>
          <w:rFonts w:ascii="Arial" w:hAnsi="Arial" w:cs="Arial"/>
          <w:lang w:eastAsia="zh-CN"/>
        </w:rPr>
        <w:t xml:space="preserve"> </w:t>
      </w:r>
      <w:r>
        <w:rPr>
          <w:rFonts w:hint="eastAsia" w:ascii="Arial" w:hAnsi="Arial" w:cs="Arial"/>
          <w:lang w:eastAsia="zh-CN"/>
        </w:rPr>
        <w:t>21 CFR 820.3（n）。</w:t>
      </w:r>
    </w:p>
  </w:footnote>
  <w:footnote w:id="37">
    <w:p w14:paraId="3A3AFD43">
      <w:pPr>
        <w:pStyle w:val="11"/>
        <w:spacing w:line="300" w:lineRule="auto"/>
        <w:jc w:val="both"/>
        <w:rPr>
          <w:sz w:val="15"/>
          <w:lang w:eastAsia="zh-CN"/>
        </w:rPr>
      </w:pPr>
      <w:r>
        <w:rPr>
          <w:rStyle w:val="17"/>
          <w:rFonts w:ascii="Arial" w:hAnsi="Arial" w:cs="Arial"/>
          <w:sz w:val="15"/>
        </w:rPr>
        <w:footnoteRef/>
      </w:r>
      <w:r>
        <w:rPr>
          <w:rFonts w:ascii="Arial" w:hAnsi="Arial" w:eastAsia="宋体" w:cs="Arial"/>
          <w:snapToGrid w:val="0"/>
          <w:sz w:val="21"/>
          <w:szCs w:val="20"/>
          <w:lang w:eastAsia="zh-CN"/>
        </w:rPr>
        <w:t>如</w:t>
      </w:r>
      <w:r>
        <w:rPr>
          <w:rFonts w:hint="eastAsia" w:ascii="Arial" w:hAnsi="Arial" w:eastAsia="宋体" w:cs="Arial"/>
          <w:snapToGrid w:val="0"/>
          <w:sz w:val="21"/>
          <w:szCs w:val="20"/>
          <w:lang w:eastAsia="zh-CN"/>
        </w:rPr>
        <w:t>器械</w:t>
      </w:r>
      <w:r>
        <w:rPr>
          <w:rFonts w:ascii="Arial" w:hAnsi="Arial" w:eastAsia="宋体" w:cs="Arial"/>
          <w:snapToGrid w:val="0"/>
          <w:sz w:val="21"/>
          <w:szCs w:val="20"/>
          <w:lang w:eastAsia="zh-CN"/>
        </w:rPr>
        <w:t>QS</w:t>
      </w:r>
      <w:r>
        <w:rPr>
          <w:rFonts w:hint="eastAsia" w:ascii="Arial" w:hAnsi="Arial" w:eastAsia="宋体" w:cs="Arial"/>
          <w:snapToGrid w:val="0"/>
          <w:sz w:val="21"/>
          <w:szCs w:val="20"/>
          <w:lang w:eastAsia="zh-CN"/>
        </w:rPr>
        <w:t>规章的序文所述，</w:t>
      </w:r>
      <w:r>
        <w:rPr>
          <w:rFonts w:hint="eastAsia" w:ascii="宋体" w:hAnsi="宋体" w:eastAsia="宋体" w:cs="Arial"/>
          <w:snapToGrid w:val="0"/>
          <w:sz w:val="21"/>
          <w:szCs w:val="20"/>
          <w:lang w:eastAsia="zh-CN"/>
        </w:rPr>
        <w:t>“</w:t>
      </w:r>
      <w:r>
        <w:rPr>
          <w:rFonts w:hint="eastAsia" w:ascii="Arial" w:hAnsi="Arial" w:eastAsia="宋体" w:cs="Arial"/>
          <w:snapToGrid w:val="0"/>
          <w:sz w:val="21"/>
          <w:szCs w:val="20"/>
          <w:lang w:eastAsia="zh-CN"/>
        </w:rPr>
        <w:t>有行政责任的管理人员是有权建立并对公司的质量方针做出变更的管理人员。可授与确立质量目标，将这类目标转变为实际方法和程序和执行质量体系的权力。本规章不禁止授权。然而，建立质量方针和确保其得到遵守是最高级别管理人员的责任。毫无疑问从事适当的行动确保雇员们理解管理人员的政策和目标是管理人员的责任。理解是一个学习过程，可通过培训和强化达到。管理人员通过积极明显持续地投身于质量体系加强对方针和目标的理解。这种投入可表现为提供充足资源和培训以支持质量体系制定和执行。</w:t>
      </w:r>
      <w:r>
        <w:rPr>
          <w:rFonts w:hint="eastAsia" w:ascii="宋体" w:hAnsi="宋体" w:eastAsia="宋体" w:cs="Arial"/>
          <w:snapToGrid w:val="0"/>
          <w:sz w:val="21"/>
          <w:szCs w:val="20"/>
          <w:lang w:eastAsia="zh-CN"/>
        </w:rPr>
        <w:t>”</w:t>
      </w:r>
      <w:r>
        <w:rPr>
          <w:rFonts w:hint="eastAsia" w:ascii="Arial" w:hAnsi="Arial" w:eastAsia="宋体" w:cs="Arial"/>
          <w:snapToGrid w:val="0"/>
          <w:sz w:val="21"/>
          <w:szCs w:val="20"/>
          <w:lang w:eastAsia="zh-CN"/>
        </w:rPr>
        <w:t>（</w:t>
      </w:r>
      <w:r>
        <w:rPr>
          <w:rFonts w:ascii="Arial" w:hAnsi="Arial" w:eastAsia="宋体" w:cs="Arial"/>
          <w:snapToGrid w:val="0"/>
          <w:sz w:val="21"/>
          <w:szCs w:val="20"/>
          <w:lang w:eastAsia="zh-CN"/>
        </w:rPr>
        <w:t>61 FR 52602-52612</w:t>
      </w:r>
      <w:r>
        <w:rPr>
          <w:rFonts w:hint="eastAsia" w:ascii="Arial" w:hAnsi="Arial" w:eastAsia="宋体" w:cs="Arial"/>
          <w:snapToGrid w:val="0"/>
          <w:sz w:val="21"/>
          <w:szCs w:val="20"/>
          <w:lang w:eastAsia="zh-CN"/>
        </w:rPr>
        <w:t>）</w:t>
      </w:r>
    </w:p>
  </w:footnote>
  <w:footnote w:id="38">
    <w:p w14:paraId="1A8DDCF6">
      <w:pPr>
        <w:pStyle w:val="11"/>
        <w:spacing w:line="300" w:lineRule="auto"/>
        <w:jc w:val="both"/>
        <w:rPr>
          <w:sz w:val="15"/>
          <w:lang w:eastAsia="zh-CN"/>
        </w:rPr>
      </w:pPr>
      <w:r>
        <w:rPr>
          <w:rStyle w:val="17"/>
          <w:rFonts w:ascii="Arial" w:hAnsi="Arial" w:cs="Arial"/>
          <w:sz w:val="15"/>
        </w:rPr>
        <w:footnoteRef/>
      </w:r>
      <w:r>
        <w:rPr>
          <w:rFonts w:ascii="Arial" w:hAnsi="Arial" w:eastAsia="宋体" w:cs="Arial"/>
          <w:snapToGrid w:val="0"/>
          <w:sz w:val="21"/>
          <w:szCs w:val="20"/>
          <w:lang w:eastAsia="zh-CN"/>
        </w:rPr>
        <w:t>见</w:t>
      </w:r>
      <w:r>
        <w:rPr>
          <w:rFonts w:ascii="Arial" w:hAnsi="Arial" w:eastAsia="宋体" w:cs="Arial"/>
          <w:snapToGrid w:val="0"/>
          <w:sz w:val="21"/>
          <w:lang w:eastAsia="zh-CN"/>
        </w:rPr>
        <w:t>FD&amp;C</w:t>
      </w:r>
      <w:r>
        <w:rPr>
          <w:rFonts w:hint="eastAsia" w:ascii="Arial" w:hAnsi="Arial" w:eastAsia="宋体" w:cs="Arial"/>
          <w:snapToGrid w:val="0"/>
          <w:sz w:val="21"/>
          <w:lang w:eastAsia="zh-CN"/>
        </w:rPr>
        <w:t>法案</w:t>
      </w:r>
      <w:r>
        <w:rPr>
          <w:rFonts w:ascii="Arial" w:hAnsi="Arial" w:eastAsia="宋体" w:cs="Arial"/>
          <w:snapToGrid w:val="0"/>
          <w:sz w:val="21"/>
          <w:lang w:eastAsia="zh-CN"/>
        </w:rPr>
        <w:t>501</w:t>
      </w:r>
      <w:r>
        <w:rPr>
          <w:rFonts w:hint="eastAsia" w:ascii="Arial" w:hAnsi="Arial" w:eastAsia="宋体" w:cs="Arial"/>
          <w:snapToGrid w:val="0"/>
          <w:sz w:val="21"/>
          <w:lang w:eastAsia="zh-CN"/>
        </w:rPr>
        <w:t>节</w:t>
      </w:r>
      <w:r>
        <w:rPr>
          <w:rFonts w:ascii="Arial" w:hAnsi="Arial" w:eastAsia="宋体" w:cs="Arial"/>
          <w:snapToGrid w:val="0"/>
          <w:sz w:val="21"/>
          <w:lang w:eastAsia="zh-CN"/>
        </w:rPr>
        <w:t>[21 USC 351]</w:t>
      </w:r>
      <w:r>
        <w:rPr>
          <w:rFonts w:hint="eastAsia" w:ascii="Arial" w:hAnsi="Arial" w:eastAsia="宋体" w:cs="Arial"/>
          <w:snapToGrid w:val="0"/>
          <w:sz w:val="21"/>
          <w:lang w:eastAsia="zh-CN"/>
        </w:rPr>
        <w:t>，它要求确保产品质量的监督和控制措施，包括管理风险和确定原料、中间体和成品药品的安全（确定</w:t>
      </w:r>
      <w:r>
        <w:rPr>
          <w:rFonts w:hint="eastAsia" w:ascii="宋体" w:hAnsi="宋体" w:eastAsia="宋体" w:cs="Arial"/>
          <w:snapToGrid w:val="0"/>
          <w:sz w:val="21"/>
          <w:lang w:eastAsia="zh-CN"/>
        </w:rPr>
        <w:t>“</w:t>
      </w:r>
      <w:r>
        <w:rPr>
          <w:rFonts w:hint="eastAsia" w:ascii="Arial" w:hAnsi="Arial" w:eastAsia="宋体" w:cs="Arial"/>
          <w:snapToGrid w:val="0"/>
          <w:sz w:val="21"/>
          <w:lang w:eastAsia="zh-CN"/>
        </w:rPr>
        <w:t>现行良好生产规范</w:t>
      </w:r>
      <w:r>
        <w:rPr>
          <w:rFonts w:hint="eastAsia" w:ascii="宋体" w:hAnsi="宋体" w:eastAsia="宋体" w:cs="Arial"/>
          <w:snapToGrid w:val="0"/>
          <w:sz w:val="21"/>
          <w:lang w:eastAsia="zh-CN"/>
        </w:rPr>
        <w:t>”</w:t>
      </w:r>
      <w:r>
        <w:rPr>
          <w:rFonts w:hint="eastAsia" w:ascii="Arial" w:hAnsi="Arial" w:eastAsia="宋体" w:cs="Arial"/>
          <w:snapToGrid w:val="0"/>
          <w:sz w:val="21"/>
          <w:lang w:eastAsia="zh-CN"/>
        </w:rPr>
        <w:t>包括对制造和控制措施的管理监督以确保质量和生命周期风险管理）。也见</w:t>
      </w:r>
      <w:r>
        <w:rPr>
          <w:rFonts w:ascii="Arial" w:hAnsi="Arial" w:eastAsia="宋体" w:cs="Arial"/>
          <w:snapToGrid w:val="0"/>
          <w:sz w:val="21"/>
          <w:szCs w:val="20"/>
          <w:lang w:eastAsia="zh-CN"/>
        </w:rPr>
        <w:t>21 CFR 211.22</w:t>
      </w:r>
      <w:r>
        <w:rPr>
          <w:rFonts w:hint="eastAsia" w:ascii="Arial" w:hAnsi="Arial" w:eastAsia="宋体" w:cs="Arial"/>
          <w:snapToGrid w:val="0"/>
          <w:sz w:val="21"/>
          <w:szCs w:val="20"/>
          <w:lang w:eastAsia="zh-CN"/>
        </w:rPr>
        <w:t>，</w:t>
      </w:r>
      <w:r>
        <w:rPr>
          <w:rFonts w:ascii="Arial" w:hAnsi="Arial" w:eastAsia="宋体" w:cs="Arial"/>
          <w:snapToGrid w:val="0"/>
          <w:sz w:val="21"/>
          <w:szCs w:val="20"/>
          <w:lang w:eastAsia="zh-CN"/>
        </w:rPr>
        <w:t>211.25</w:t>
      </w:r>
      <w:r>
        <w:rPr>
          <w:rFonts w:hint="eastAsia" w:ascii="Arial" w:hAnsi="Arial" w:eastAsia="宋体" w:cs="Arial"/>
          <w:snapToGrid w:val="0"/>
          <w:sz w:val="21"/>
          <w:szCs w:val="20"/>
          <w:lang w:eastAsia="zh-CN"/>
        </w:rPr>
        <w:t>和</w:t>
      </w:r>
      <w:r>
        <w:rPr>
          <w:rFonts w:ascii="Arial" w:hAnsi="Arial" w:eastAsia="宋体" w:cs="Arial"/>
          <w:snapToGrid w:val="0"/>
          <w:sz w:val="21"/>
          <w:szCs w:val="20"/>
          <w:lang w:eastAsia="zh-CN"/>
        </w:rPr>
        <w:t>211.180</w:t>
      </w:r>
      <w:r>
        <w:rPr>
          <w:rFonts w:hint="eastAsia" w:ascii="Arial" w:hAnsi="Arial" w:eastAsia="宋体" w:cs="Arial"/>
          <w:snapToGrid w:val="0"/>
          <w:sz w:val="21"/>
          <w:szCs w:val="20"/>
          <w:lang w:eastAsia="zh-CN"/>
        </w:rPr>
        <w:t>；和行业指南</w:t>
      </w:r>
      <w:r>
        <w:rPr>
          <w:rFonts w:ascii="Arial" w:hAnsi="Arial" w:eastAsia="宋体" w:cs="Arial"/>
          <w:i/>
          <w:snapToGrid w:val="0"/>
          <w:sz w:val="21"/>
          <w:szCs w:val="20"/>
          <w:lang w:eastAsia="zh-CN"/>
        </w:rPr>
        <w:t>Q10</w:t>
      </w:r>
      <w:r>
        <w:rPr>
          <w:rFonts w:hint="eastAsia" w:ascii="Arial" w:hAnsi="Arial" w:eastAsia="宋体" w:cs="Arial"/>
          <w:i/>
          <w:snapToGrid w:val="0"/>
          <w:sz w:val="21"/>
          <w:szCs w:val="20"/>
          <w:lang w:eastAsia="zh-CN"/>
        </w:rPr>
        <w:t>药品质量体系</w:t>
      </w:r>
      <w:r>
        <w:rPr>
          <w:rFonts w:hint="eastAsia" w:ascii="Arial" w:hAnsi="Arial" w:eastAsia="宋体" w:cs="Arial"/>
          <w:snapToGrid w:val="0"/>
          <w:sz w:val="21"/>
          <w:szCs w:val="20"/>
          <w:lang w:eastAsia="zh-CN"/>
        </w:rPr>
        <w:t>（</w:t>
      </w:r>
      <w:r>
        <w:rPr>
          <w:rFonts w:ascii="Arial" w:hAnsi="Arial" w:eastAsia="宋体" w:cs="Arial"/>
          <w:snapToGrid w:val="0"/>
          <w:sz w:val="21"/>
          <w:szCs w:val="20"/>
          <w:lang w:eastAsia="zh-CN"/>
        </w:rPr>
        <w:t>2009</w:t>
      </w:r>
      <w:r>
        <w:rPr>
          <w:rFonts w:hint="eastAsia" w:ascii="Arial" w:hAnsi="Arial" w:eastAsia="宋体" w:cs="Arial"/>
          <w:snapToGrid w:val="0"/>
          <w:sz w:val="21"/>
          <w:szCs w:val="20"/>
          <w:lang w:eastAsia="zh-CN"/>
        </w:rPr>
        <w:t>年4月）。</w:t>
      </w:r>
    </w:p>
  </w:footnote>
  <w:footnote w:id="39">
    <w:p w14:paraId="2F29A244">
      <w:pPr>
        <w:pStyle w:val="11"/>
        <w:spacing w:line="300" w:lineRule="auto"/>
        <w:jc w:val="both"/>
        <w:rPr>
          <w:sz w:val="15"/>
          <w:lang w:eastAsia="zh-CN"/>
        </w:rPr>
      </w:pPr>
      <w:r>
        <w:rPr>
          <w:rStyle w:val="17"/>
          <w:rFonts w:ascii="Arial" w:hAnsi="Arial" w:cs="Arial"/>
          <w:sz w:val="15"/>
        </w:rPr>
        <w:footnoteRef/>
      </w:r>
      <w:r>
        <w:rPr>
          <w:rFonts w:ascii="Arial" w:hAnsi="Arial" w:cs="Arial"/>
          <w:sz w:val="15"/>
        </w:rPr>
        <w:t xml:space="preserve">  </w:t>
      </w:r>
      <w:r>
        <w:rPr>
          <w:rFonts w:ascii="Arial" w:hAnsi="Arial" w:eastAsia="宋体" w:cs="Arial"/>
          <w:snapToGrid w:val="0"/>
          <w:sz w:val="21"/>
        </w:rPr>
        <w:t>21 CFR 820.20（b）</w:t>
      </w:r>
      <w:r>
        <w:rPr>
          <w:rFonts w:hint="eastAsia" w:ascii="Arial" w:hAnsi="Arial" w:eastAsia="宋体" w:cs="Arial"/>
          <w:snapToGrid w:val="0"/>
          <w:sz w:val="21"/>
          <w:lang w:eastAsia="zh-CN"/>
        </w:rPr>
        <w:t>。</w:t>
      </w:r>
    </w:p>
  </w:footnote>
  <w:footnote w:id="40">
    <w:p w14:paraId="3FD4B1FB">
      <w:pPr>
        <w:pStyle w:val="11"/>
        <w:spacing w:line="300" w:lineRule="auto"/>
        <w:jc w:val="both"/>
        <w:rPr>
          <w:sz w:val="15"/>
          <w:lang w:eastAsia="zh-CN"/>
        </w:rPr>
      </w:pPr>
      <w:r>
        <w:rPr>
          <w:rStyle w:val="17"/>
          <w:rFonts w:ascii="Arial" w:hAnsi="Arial" w:cs="Arial"/>
          <w:sz w:val="15"/>
        </w:rPr>
        <w:footnoteRef/>
      </w:r>
      <w:r>
        <w:rPr>
          <w:rFonts w:hint="eastAsia"/>
          <w:sz w:val="15"/>
          <w:lang w:eastAsia="zh-CN"/>
        </w:rPr>
        <w:t xml:space="preserve"> </w:t>
      </w:r>
      <w:r>
        <w:rPr>
          <w:rFonts w:ascii="Arial" w:hAnsi="Arial" w:eastAsia="宋体" w:cs="Arial"/>
          <w:snapToGrid w:val="0"/>
          <w:sz w:val="21"/>
        </w:rPr>
        <w:t>21 CFR 820.20（a</w:t>
      </w:r>
      <w:r>
        <w:rPr>
          <w:rFonts w:ascii="Arial" w:hAnsi="Arial" w:eastAsia="宋体" w:cs="Arial"/>
          <w:snapToGrid w:val="0"/>
          <w:lang w:eastAsia="zh-CN"/>
        </w:rPr>
        <w:t>）</w:t>
      </w:r>
      <w:r>
        <w:rPr>
          <w:rFonts w:hint="eastAsia" w:ascii="Arial" w:hAnsi="Arial" w:eastAsia="宋体" w:cs="Arial"/>
          <w:snapToGrid w:val="0"/>
          <w:lang w:eastAsia="zh-CN"/>
        </w:rPr>
        <w:t>。</w:t>
      </w:r>
    </w:p>
  </w:footnote>
  <w:footnote w:id="41">
    <w:p w14:paraId="04FF043B">
      <w:pPr>
        <w:pStyle w:val="11"/>
        <w:spacing w:line="300" w:lineRule="auto"/>
        <w:jc w:val="both"/>
        <w:rPr>
          <w:lang w:eastAsia="zh-CN"/>
        </w:rPr>
      </w:pPr>
      <w:r>
        <w:rPr>
          <w:rStyle w:val="17"/>
          <w:rFonts w:ascii="Arial" w:hAnsi="Arial" w:cs="Arial"/>
          <w:sz w:val="15"/>
        </w:rPr>
        <w:footnoteRef/>
      </w:r>
      <w:r>
        <w:rPr>
          <w:rFonts w:hint="eastAsia"/>
          <w:sz w:val="15"/>
          <w:lang w:eastAsia="zh-CN"/>
        </w:rPr>
        <w:t xml:space="preserve"> </w:t>
      </w:r>
      <w:r>
        <w:rPr>
          <w:sz w:val="15"/>
        </w:rPr>
        <w:t xml:space="preserve"> </w:t>
      </w:r>
      <w:r>
        <w:rPr>
          <w:rFonts w:ascii="Arial" w:hAnsi="Arial" w:eastAsia="宋体" w:cs="Arial"/>
          <w:snapToGrid w:val="0"/>
          <w:sz w:val="21"/>
          <w:lang w:eastAsia="zh-CN"/>
        </w:rPr>
        <w:t>见</w:t>
      </w:r>
      <w:r>
        <w:rPr>
          <w:rFonts w:ascii="Arial" w:hAnsi="Arial" w:eastAsia="宋体" w:cs="Arial"/>
          <w:snapToGrid w:val="0"/>
          <w:sz w:val="21"/>
        </w:rPr>
        <w:t>21 CFR 820.20（d）</w:t>
      </w:r>
      <w:r>
        <w:rPr>
          <w:rFonts w:hint="eastAsia" w:ascii="Arial" w:hAnsi="Arial" w:eastAsia="宋体" w:cs="Arial"/>
          <w:snapToGrid w:val="0"/>
          <w:sz w:val="21"/>
          <w:lang w:eastAsia="zh-CN"/>
        </w:rPr>
        <w:t>和</w:t>
      </w:r>
      <w:r>
        <w:rPr>
          <w:rFonts w:ascii="Arial" w:hAnsi="Arial" w:eastAsia="宋体" w:cs="Arial"/>
          <w:snapToGrid w:val="0"/>
          <w:sz w:val="21"/>
        </w:rPr>
        <w:t>（e）</w:t>
      </w:r>
      <w:r>
        <w:rPr>
          <w:rFonts w:hint="eastAsia" w:ascii="Arial" w:hAnsi="Arial" w:eastAsia="宋体" w:cs="Arial"/>
          <w:snapToGrid w:val="0"/>
          <w:sz w:val="21"/>
          <w:lang w:eastAsia="zh-CN"/>
        </w:rPr>
        <w:t>。</w:t>
      </w:r>
    </w:p>
  </w:footnote>
  <w:footnote w:id="42">
    <w:p w14:paraId="2E7D6C9E">
      <w:pPr>
        <w:pStyle w:val="11"/>
        <w:spacing w:line="300" w:lineRule="auto"/>
        <w:jc w:val="both"/>
        <w:rPr>
          <w:sz w:val="21"/>
          <w:szCs w:val="21"/>
          <w:lang w:eastAsia="zh-CN"/>
        </w:rPr>
      </w:pPr>
      <w:r>
        <w:rPr>
          <w:rStyle w:val="17"/>
          <w:sz w:val="21"/>
          <w:szCs w:val="21"/>
        </w:rPr>
        <w:footnoteRef/>
      </w:r>
      <w:r>
        <w:rPr>
          <w:rFonts w:ascii="Arial" w:hAnsi="Arial" w:eastAsia="宋体" w:cs="Arial"/>
          <w:snapToGrid w:val="0"/>
          <w:sz w:val="21"/>
          <w:szCs w:val="21"/>
        </w:rPr>
        <w:t>21 CFR 820.20（d）</w:t>
      </w:r>
      <w:r>
        <w:rPr>
          <w:rFonts w:hint="eastAsia" w:ascii="Arial" w:hAnsi="Arial" w:eastAsia="宋体" w:cs="Arial"/>
          <w:snapToGrid w:val="0"/>
          <w:sz w:val="21"/>
          <w:szCs w:val="21"/>
          <w:lang w:eastAsia="zh-CN"/>
        </w:rPr>
        <w:t>。</w:t>
      </w:r>
    </w:p>
  </w:footnote>
  <w:footnote w:id="43">
    <w:p w14:paraId="5C263E7A">
      <w:pPr>
        <w:pStyle w:val="11"/>
        <w:spacing w:line="300" w:lineRule="auto"/>
        <w:jc w:val="both"/>
        <w:rPr>
          <w:sz w:val="21"/>
          <w:szCs w:val="21"/>
          <w:lang w:eastAsia="zh-CN"/>
        </w:rPr>
      </w:pPr>
      <w:r>
        <w:rPr>
          <w:rStyle w:val="17"/>
          <w:sz w:val="21"/>
          <w:szCs w:val="21"/>
        </w:rPr>
        <w:footnoteRef/>
      </w:r>
      <w:r>
        <w:rPr>
          <w:rFonts w:ascii="Arial" w:hAnsi="Arial" w:eastAsia="宋体" w:cs="Arial"/>
          <w:snapToGrid w:val="0"/>
          <w:sz w:val="21"/>
          <w:szCs w:val="21"/>
        </w:rPr>
        <w:t>21 CFR 820.20（e）</w:t>
      </w:r>
      <w:r>
        <w:rPr>
          <w:rFonts w:hint="eastAsia" w:ascii="Arial" w:hAnsi="Arial" w:eastAsia="宋体" w:cs="Arial"/>
          <w:snapToGrid w:val="0"/>
          <w:sz w:val="21"/>
          <w:szCs w:val="21"/>
          <w:lang w:eastAsia="zh-CN"/>
        </w:rPr>
        <w:t>。</w:t>
      </w:r>
    </w:p>
  </w:footnote>
  <w:footnote w:id="44">
    <w:p w14:paraId="2A81EB47">
      <w:pPr>
        <w:pStyle w:val="11"/>
        <w:spacing w:line="300" w:lineRule="auto"/>
        <w:jc w:val="both"/>
        <w:rPr>
          <w:sz w:val="21"/>
          <w:szCs w:val="21"/>
          <w:lang w:eastAsia="zh-CN"/>
        </w:rPr>
      </w:pPr>
      <w:r>
        <w:rPr>
          <w:rStyle w:val="17"/>
          <w:sz w:val="21"/>
          <w:szCs w:val="21"/>
        </w:rPr>
        <w:footnoteRef/>
      </w:r>
      <w:r>
        <w:rPr>
          <w:sz w:val="21"/>
          <w:szCs w:val="21"/>
        </w:rPr>
        <w:t xml:space="preserve"> </w:t>
      </w:r>
      <w:r>
        <w:rPr>
          <w:rFonts w:ascii="Arial" w:hAnsi="Arial" w:eastAsia="宋体" w:cs="Arial"/>
          <w:snapToGrid w:val="0"/>
          <w:sz w:val="21"/>
          <w:szCs w:val="21"/>
        </w:rPr>
        <w:t>21 CFR 820.20（c）</w:t>
      </w:r>
      <w:r>
        <w:rPr>
          <w:rFonts w:hint="eastAsia" w:ascii="Arial" w:hAnsi="Arial" w:eastAsia="宋体" w:cs="Arial"/>
          <w:snapToGrid w:val="0"/>
          <w:sz w:val="21"/>
          <w:szCs w:val="21"/>
          <w:lang w:eastAsia="zh-CN"/>
        </w:rPr>
        <w:t>。</w:t>
      </w:r>
    </w:p>
  </w:footnote>
  <w:footnote w:id="45">
    <w:p w14:paraId="1605C174">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78 FR 4314-4315</w:t>
      </w:r>
      <w:r>
        <w:rPr>
          <w:rFonts w:hint="eastAsia" w:ascii="Arial" w:hAnsi="Arial" w:eastAsia="宋体" w:cs="Arial"/>
          <w:snapToGrid w:val="0"/>
          <w:sz w:val="21"/>
          <w:szCs w:val="21"/>
          <w:lang w:eastAsia="zh-CN"/>
        </w:rPr>
        <w:t>。</w:t>
      </w:r>
    </w:p>
  </w:footnote>
  <w:footnote w:id="46">
    <w:p w14:paraId="4B0787E7">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如果制造商声称器械组成部分或组合产品免于遵守</w:t>
      </w:r>
      <w:r>
        <w:rPr>
          <w:rFonts w:ascii="Arial" w:hAnsi="Arial" w:eastAsia="宋体" w:cs="Arial"/>
          <w:snapToGrid w:val="0"/>
          <w:sz w:val="21"/>
          <w:szCs w:val="21"/>
          <w:lang w:eastAsia="zh-CN"/>
        </w:rPr>
        <w:t>21 CFR 820.30</w:t>
      </w:r>
      <w:r>
        <w:rPr>
          <w:rFonts w:hint="eastAsia" w:ascii="Arial" w:hAnsi="Arial" w:eastAsia="宋体" w:cs="Arial"/>
          <w:snapToGrid w:val="0"/>
          <w:sz w:val="21"/>
          <w:szCs w:val="21"/>
          <w:lang w:eastAsia="zh-CN"/>
        </w:rPr>
        <w:t>，那么应记录其评估以支持该决定。见本指导性文件的</w:t>
      </w:r>
      <w:r>
        <w:rPr>
          <w:rFonts w:ascii="Arial" w:hAnsi="Arial" w:eastAsia="宋体" w:cs="Arial"/>
          <w:snapToGrid w:val="0"/>
          <w:sz w:val="21"/>
          <w:szCs w:val="21"/>
          <w:lang w:eastAsia="zh-CN"/>
        </w:rPr>
        <w:t>III.C.3</w:t>
      </w:r>
      <w:r>
        <w:rPr>
          <w:rFonts w:hint="eastAsia" w:ascii="Arial" w:hAnsi="Arial" w:eastAsia="宋体" w:cs="Arial"/>
          <w:snapToGrid w:val="0"/>
          <w:sz w:val="21"/>
          <w:szCs w:val="21"/>
          <w:lang w:eastAsia="zh-CN"/>
        </w:rPr>
        <w:t>和</w:t>
      </w:r>
      <w:r>
        <w:rPr>
          <w:rFonts w:ascii="Arial" w:hAnsi="Arial" w:eastAsia="宋体" w:cs="Arial"/>
          <w:snapToGrid w:val="0"/>
          <w:sz w:val="21"/>
          <w:szCs w:val="21"/>
          <w:lang w:eastAsia="zh-CN"/>
        </w:rPr>
        <w:t>C.4</w:t>
      </w:r>
      <w:r>
        <w:rPr>
          <w:rFonts w:hint="eastAsia" w:ascii="Arial" w:hAnsi="Arial" w:eastAsia="宋体" w:cs="Arial"/>
          <w:snapToGrid w:val="0"/>
          <w:sz w:val="21"/>
          <w:szCs w:val="21"/>
          <w:lang w:eastAsia="zh-CN"/>
        </w:rPr>
        <w:t>；也见</w:t>
      </w:r>
      <w:r>
        <w:rPr>
          <w:rFonts w:ascii="Arial" w:hAnsi="Arial" w:eastAsia="宋体" w:cs="Arial"/>
          <w:snapToGrid w:val="0"/>
          <w:sz w:val="21"/>
          <w:szCs w:val="21"/>
          <w:lang w:eastAsia="zh-CN"/>
        </w:rPr>
        <w:t>21 CFR 820.30（a）（1）</w:t>
      </w:r>
      <w:r>
        <w:rPr>
          <w:rFonts w:hint="eastAsia" w:ascii="Arial" w:hAnsi="Arial" w:eastAsia="宋体" w:cs="Arial"/>
          <w:snapToGrid w:val="0"/>
          <w:sz w:val="21"/>
          <w:szCs w:val="21"/>
          <w:lang w:eastAsia="zh-CN"/>
        </w:rPr>
        <w:t>。</w:t>
      </w:r>
    </w:p>
  </w:footnote>
  <w:footnote w:id="47">
    <w:p w14:paraId="08DECC3D">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尽管不属于</w:t>
      </w:r>
      <w:r>
        <w:rPr>
          <w:rFonts w:ascii="Arial" w:hAnsi="Arial" w:eastAsia="宋体" w:cs="Arial"/>
          <w:snapToGrid w:val="0"/>
          <w:sz w:val="21"/>
          <w:szCs w:val="21"/>
          <w:lang w:eastAsia="zh-CN"/>
        </w:rPr>
        <w:t>21 CFR 4.4（b）（1）</w:t>
      </w:r>
      <w:r>
        <w:rPr>
          <w:rFonts w:hint="eastAsia" w:ascii="Arial" w:hAnsi="Arial" w:eastAsia="宋体" w:cs="Arial"/>
          <w:snapToGrid w:val="0"/>
          <w:sz w:val="21"/>
          <w:szCs w:val="21"/>
          <w:lang w:eastAsia="zh-CN"/>
        </w:rPr>
        <w:t>的范围，但要注意交叉标签组合产品器械组成部分的设计控制过程和设计历史文件应解决器械作为组合产品一部分的适用性，包括它和组合产品其它组成部分的相互作用和相互关系。</w:t>
      </w:r>
    </w:p>
  </w:footnote>
  <w:footnote w:id="48">
    <w:p w14:paraId="7DDA6C97">
      <w:pPr>
        <w:pStyle w:val="11"/>
        <w:spacing w:line="300" w:lineRule="auto"/>
        <w:rPr>
          <w:sz w:val="21"/>
          <w:szCs w:val="21"/>
          <w:lang w:eastAsia="zh-CN"/>
        </w:rPr>
      </w:pPr>
      <w:r>
        <w:rPr>
          <w:rStyle w:val="17"/>
          <w:sz w:val="21"/>
          <w:szCs w:val="21"/>
        </w:rPr>
        <w:footnoteRef/>
      </w:r>
      <w:r>
        <w:rPr>
          <w:rFonts w:hint="eastAsia" w:ascii="Arial" w:hAnsi="Arial" w:eastAsia="宋体" w:cs="Arial"/>
          <w:snapToGrid w:val="0"/>
          <w:sz w:val="21"/>
          <w:szCs w:val="21"/>
          <w:lang w:eastAsia="zh-CN"/>
        </w:rPr>
        <w:t>见关于</w:t>
      </w:r>
      <w:r>
        <w:rPr>
          <w:rFonts w:ascii="Arial" w:hAnsi="Arial" w:eastAsia="宋体" w:cs="Arial"/>
          <w:i/>
          <w:snapToGrid w:val="0"/>
          <w:sz w:val="21"/>
          <w:szCs w:val="21"/>
          <w:lang w:eastAsia="zh-CN"/>
        </w:rPr>
        <w:t>Q8（R2）</w:t>
      </w:r>
      <w:r>
        <w:rPr>
          <w:rFonts w:hint="eastAsia" w:ascii="Arial" w:hAnsi="Arial" w:eastAsia="宋体" w:cs="Arial"/>
          <w:snapToGrid w:val="0"/>
          <w:sz w:val="21"/>
          <w:szCs w:val="21"/>
          <w:lang w:eastAsia="zh-CN"/>
        </w:rPr>
        <w:t>《药物开发》行业指南</w:t>
      </w:r>
      <w:r>
        <w:rPr>
          <w:rFonts w:ascii="Arial" w:hAnsi="Arial" w:eastAsia="宋体" w:cs="Arial"/>
          <w:snapToGrid w:val="0"/>
          <w:sz w:val="21"/>
          <w:szCs w:val="21"/>
          <w:lang w:eastAsia="zh-CN"/>
        </w:rPr>
        <w:t>（2009</w:t>
      </w:r>
      <w:r>
        <w:rPr>
          <w:rFonts w:hint="eastAsia" w:ascii="Arial" w:hAnsi="Arial" w:eastAsia="宋体" w:cs="Arial"/>
          <w:snapToGrid w:val="0"/>
          <w:sz w:val="21"/>
          <w:szCs w:val="21"/>
          <w:lang w:eastAsia="zh-CN"/>
        </w:rPr>
        <w:t>年11月</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br w:type="textWrapping"/>
      </w:r>
      <w:r>
        <w:rPr>
          <w:rFonts w:ascii="Arial" w:hAnsi="Arial" w:eastAsia="宋体" w:cs="Arial"/>
          <w:snapToGrid w:val="0"/>
          <w:color w:val="0000FF"/>
          <w:sz w:val="21"/>
          <w:szCs w:val="21"/>
          <w:lang w:eastAsia="zh-CN"/>
        </w:rPr>
        <w:t xml:space="preserve"> </w:t>
      </w:r>
      <w:r>
        <w:fldChar w:fldCharType="begin"/>
      </w:r>
      <w:r>
        <w:instrText xml:space="preserve"> HYPERLINK "http://www.fda.gov/downloads/Drugs/.../Guidances/ucm073507.pdf." </w:instrText>
      </w:r>
      <w:r>
        <w:fldChar w:fldCharType="separate"/>
      </w:r>
      <w:r>
        <w:rPr>
          <w:rStyle w:val="16"/>
          <w:rFonts w:ascii="Arial" w:hAnsi="Arial" w:eastAsia="宋体" w:cs="Arial"/>
          <w:snapToGrid w:val="0"/>
          <w:sz w:val="21"/>
          <w:szCs w:val="21"/>
          <w:u w:color="0000FF"/>
          <w:lang w:eastAsia="zh-CN"/>
        </w:rPr>
        <w:t>http: //www.fda.gov/downloads/Drugs/.../Guidances/ucm073507.pdf</w:t>
      </w:r>
      <w:r>
        <w:rPr>
          <w:rStyle w:val="16"/>
          <w:rFonts w:ascii="Arial" w:hAnsi="Arial" w:eastAsia="宋体" w:cs="Arial"/>
          <w:snapToGrid w:val="0"/>
          <w:sz w:val="21"/>
          <w:szCs w:val="21"/>
          <w:lang w:eastAsia="zh-CN"/>
        </w:rPr>
        <w:t>.</w:t>
      </w:r>
      <w:r>
        <w:rPr>
          <w:rStyle w:val="16"/>
          <w:rFonts w:ascii="Arial" w:hAnsi="Arial" w:eastAsia="宋体" w:cs="Arial"/>
          <w:snapToGrid w:val="0"/>
          <w:sz w:val="21"/>
          <w:szCs w:val="21"/>
          <w:lang w:eastAsia="zh-CN"/>
        </w:rPr>
        <w:fldChar w:fldCharType="end"/>
      </w:r>
    </w:p>
  </w:footnote>
  <w:footnote w:id="49">
    <w:p w14:paraId="683F4E7C">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820.30（j）</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820.180</w:t>
      </w:r>
      <w:r>
        <w:rPr>
          <w:rFonts w:hint="eastAsia" w:ascii="Arial" w:hAnsi="Arial" w:eastAsia="宋体" w:cs="Arial"/>
          <w:snapToGrid w:val="0"/>
          <w:sz w:val="21"/>
          <w:szCs w:val="21"/>
          <w:lang w:eastAsia="zh-CN"/>
        </w:rPr>
        <w:t>和</w:t>
      </w:r>
      <w:r>
        <w:rPr>
          <w:rFonts w:ascii="Arial" w:hAnsi="Arial" w:eastAsia="宋体" w:cs="Arial"/>
          <w:snapToGrid w:val="0"/>
          <w:sz w:val="21"/>
          <w:szCs w:val="21"/>
          <w:lang w:eastAsia="zh-CN"/>
        </w:rPr>
        <w:t>211.180</w:t>
      </w:r>
      <w:r>
        <w:rPr>
          <w:rFonts w:hint="eastAsia" w:ascii="Arial" w:hAnsi="Arial" w:eastAsia="宋体" w:cs="Arial"/>
          <w:snapToGrid w:val="0"/>
          <w:sz w:val="21"/>
          <w:szCs w:val="21"/>
          <w:lang w:eastAsia="zh-CN"/>
        </w:rPr>
        <w:t>。</w:t>
      </w:r>
    </w:p>
  </w:footnote>
  <w:footnote w:id="50">
    <w:p w14:paraId="60C6CF13">
      <w:pPr>
        <w:pStyle w:val="11"/>
        <w:spacing w:line="300" w:lineRule="auto"/>
        <w:jc w:val="both"/>
        <w:rPr>
          <w:sz w:val="21"/>
          <w:szCs w:val="21"/>
          <w:lang w:eastAsia="zh-CN"/>
        </w:rPr>
      </w:pPr>
      <w:r>
        <w:rPr>
          <w:rStyle w:val="17"/>
          <w:sz w:val="21"/>
          <w:szCs w:val="21"/>
        </w:rPr>
        <w:footnoteRef/>
      </w:r>
      <w:r>
        <w:rPr>
          <w:sz w:val="21"/>
          <w:szCs w:val="21"/>
        </w:rPr>
        <w:t xml:space="preserve"> </w:t>
      </w:r>
      <w:r>
        <w:rPr>
          <w:rFonts w:ascii="Arial" w:hAnsi="Arial" w:eastAsia="宋体" w:cs="Arial"/>
          <w:snapToGrid w:val="0"/>
          <w:sz w:val="21"/>
          <w:szCs w:val="21"/>
          <w:lang w:eastAsia="zh-CN"/>
        </w:rPr>
        <w:t>21 CFR 820.30（b）</w:t>
      </w:r>
      <w:r>
        <w:rPr>
          <w:rFonts w:hint="eastAsia" w:ascii="Arial" w:hAnsi="Arial" w:eastAsia="宋体" w:cs="Arial"/>
          <w:snapToGrid w:val="0"/>
          <w:sz w:val="21"/>
          <w:szCs w:val="21"/>
          <w:lang w:eastAsia="zh-CN"/>
        </w:rPr>
        <w:t>。</w:t>
      </w:r>
    </w:p>
  </w:footnote>
  <w:footnote w:id="51">
    <w:p w14:paraId="09A09D37">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rPr>
        <w:t>21 CFR 820.30（c）</w:t>
      </w:r>
      <w:r>
        <w:rPr>
          <w:rFonts w:hint="eastAsia" w:ascii="Arial" w:hAnsi="Arial" w:eastAsia="宋体" w:cs="Arial"/>
          <w:snapToGrid w:val="0"/>
          <w:sz w:val="21"/>
          <w:szCs w:val="21"/>
          <w:lang w:eastAsia="zh-CN"/>
        </w:rPr>
        <w:t>。</w:t>
      </w:r>
    </w:p>
  </w:footnote>
  <w:footnote w:id="52">
    <w:p w14:paraId="68C2FBC7">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rPr>
        <w:t>21 CFR 820.30（d）</w:t>
      </w:r>
      <w:r>
        <w:rPr>
          <w:rFonts w:hint="eastAsia" w:ascii="Arial" w:hAnsi="Arial" w:eastAsia="宋体" w:cs="Arial"/>
          <w:snapToGrid w:val="0"/>
          <w:sz w:val="21"/>
          <w:szCs w:val="21"/>
          <w:lang w:eastAsia="zh-CN"/>
        </w:rPr>
        <w:t>。</w:t>
      </w:r>
    </w:p>
  </w:footnote>
  <w:footnote w:id="53">
    <w:p w14:paraId="305C1128">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rPr>
        <w:t>21 CFR 820.30（e）</w:t>
      </w:r>
      <w:r>
        <w:rPr>
          <w:rFonts w:hint="eastAsia" w:ascii="Arial" w:hAnsi="Arial" w:eastAsia="宋体" w:cs="Arial"/>
          <w:snapToGrid w:val="0"/>
          <w:sz w:val="21"/>
          <w:szCs w:val="21"/>
          <w:lang w:eastAsia="zh-CN"/>
        </w:rPr>
        <w:t>。</w:t>
      </w:r>
    </w:p>
  </w:footnote>
  <w:footnote w:id="54">
    <w:p w14:paraId="50C9DFB9">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rPr>
        <w:t>21 CFR 820.30（j）</w:t>
      </w:r>
      <w:r>
        <w:rPr>
          <w:rFonts w:hint="eastAsia" w:ascii="Arial" w:hAnsi="Arial" w:eastAsia="宋体" w:cs="Arial"/>
          <w:snapToGrid w:val="0"/>
          <w:sz w:val="21"/>
          <w:szCs w:val="21"/>
          <w:lang w:eastAsia="zh-CN"/>
        </w:rPr>
        <w:t>。</w:t>
      </w:r>
    </w:p>
  </w:footnote>
  <w:footnote w:id="55">
    <w:p w14:paraId="27785903">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rPr>
        <w:t>21 CFR 820.30（f）</w:t>
      </w:r>
      <w:r>
        <w:rPr>
          <w:rFonts w:hint="eastAsia" w:ascii="Arial" w:hAnsi="Arial" w:eastAsia="宋体" w:cs="Arial"/>
          <w:snapToGrid w:val="0"/>
          <w:sz w:val="21"/>
          <w:szCs w:val="21"/>
          <w:lang w:eastAsia="zh-CN"/>
        </w:rPr>
        <w:t>和</w:t>
      </w:r>
      <w:r>
        <w:rPr>
          <w:rFonts w:ascii="Arial" w:hAnsi="Arial" w:eastAsia="宋体" w:cs="Arial"/>
          <w:snapToGrid w:val="0"/>
          <w:sz w:val="21"/>
          <w:szCs w:val="21"/>
        </w:rPr>
        <w:t>21 CFR 820.3（aa）</w:t>
      </w:r>
      <w:r>
        <w:rPr>
          <w:rFonts w:hint="eastAsia" w:ascii="Arial" w:hAnsi="Arial" w:eastAsia="宋体" w:cs="Arial"/>
          <w:snapToGrid w:val="0"/>
          <w:sz w:val="21"/>
          <w:szCs w:val="21"/>
          <w:lang w:eastAsia="zh-CN"/>
        </w:rPr>
        <w:t>。</w:t>
      </w:r>
    </w:p>
  </w:footnote>
  <w:footnote w:id="56">
    <w:p w14:paraId="624525A3">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820.30（g）</w:t>
      </w:r>
      <w:r>
        <w:rPr>
          <w:rFonts w:hint="eastAsia" w:ascii="Arial" w:hAnsi="Arial" w:eastAsia="宋体" w:cs="Arial"/>
          <w:snapToGrid w:val="0"/>
          <w:sz w:val="21"/>
          <w:szCs w:val="21"/>
          <w:lang w:eastAsia="zh-CN"/>
        </w:rPr>
        <w:t>和</w:t>
      </w:r>
      <w:r>
        <w:rPr>
          <w:rFonts w:ascii="Arial" w:hAnsi="Arial" w:eastAsia="宋体" w:cs="Arial"/>
          <w:snapToGrid w:val="0"/>
          <w:sz w:val="21"/>
          <w:szCs w:val="21"/>
          <w:lang w:eastAsia="zh-CN"/>
        </w:rPr>
        <w:t>21 CFR 820.3（z）（2）</w:t>
      </w:r>
      <w:r>
        <w:rPr>
          <w:rFonts w:hint="eastAsia" w:ascii="Arial" w:hAnsi="Arial" w:eastAsia="宋体" w:cs="Arial"/>
          <w:snapToGrid w:val="0"/>
          <w:sz w:val="21"/>
          <w:szCs w:val="21"/>
          <w:lang w:eastAsia="zh-CN"/>
        </w:rPr>
        <w:t>。</w:t>
      </w:r>
    </w:p>
  </w:footnote>
  <w:footnote w:id="57">
    <w:p w14:paraId="387BE6DB">
      <w:pPr>
        <w:pStyle w:val="11"/>
        <w:spacing w:line="300" w:lineRule="auto"/>
        <w:jc w:val="both"/>
        <w:rPr>
          <w:lang w:eastAsia="zh-CN"/>
        </w:rPr>
      </w:pPr>
      <w:r>
        <w:rPr>
          <w:rStyle w:val="17"/>
          <w:sz w:val="21"/>
          <w:szCs w:val="21"/>
        </w:rPr>
        <w:footnoteRef/>
      </w:r>
      <w:r>
        <w:rPr>
          <w:rFonts w:hint="eastAsia" w:ascii="Arial" w:hAnsi="Arial" w:eastAsia="宋体" w:cs="Arial"/>
          <w:snapToGrid w:val="0"/>
          <w:sz w:val="21"/>
          <w:szCs w:val="21"/>
          <w:lang w:eastAsia="zh-CN"/>
        </w:rPr>
        <w:t>器械</w:t>
      </w:r>
      <w:r>
        <w:rPr>
          <w:rFonts w:ascii="Arial" w:hAnsi="Arial" w:eastAsia="宋体" w:cs="Arial"/>
          <w:snapToGrid w:val="0"/>
          <w:sz w:val="21"/>
          <w:szCs w:val="21"/>
          <w:lang w:eastAsia="zh-CN"/>
        </w:rPr>
        <w:t>QS</w:t>
      </w:r>
      <w:r>
        <w:rPr>
          <w:rFonts w:hint="eastAsia" w:ascii="Arial" w:hAnsi="Arial" w:eastAsia="宋体" w:cs="Arial"/>
          <w:snapToGrid w:val="0"/>
          <w:sz w:val="21"/>
          <w:szCs w:val="21"/>
          <w:lang w:eastAsia="zh-CN"/>
        </w:rPr>
        <w:t>规章（</w:t>
      </w:r>
      <w:r>
        <w:rPr>
          <w:rFonts w:ascii="Arial" w:hAnsi="Arial" w:eastAsia="宋体" w:cs="Arial"/>
          <w:snapToGrid w:val="0"/>
          <w:sz w:val="21"/>
          <w:szCs w:val="21"/>
          <w:lang w:eastAsia="zh-CN"/>
        </w:rPr>
        <w:t>61 FR 52619</w:t>
      </w:r>
      <w:r>
        <w:rPr>
          <w:rFonts w:hint="eastAsia" w:ascii="Arial" w:hAnsi="Arial" w:eastAsia="宋体" w:cs="Arial"/>
          <w:snapToGrid w:val="0"/>
          <w:sz w:val="21"/>
          <w:szCs w:val="21"/>
          <w:lang w:eastAsia="zh-CN"/>
        </w:rPr>
        <w:t>）的序文规定了关于等同物</w:t>
      </w:r>
      <w:r>
        <w:rPr>
          <w:rFonts w:hint="eastAsia" w:ascii="Arial" w:hAnsi="Arial" w:eastAsia="宋体" w:cs="Arial"/>
          <w:snapToGrid w:val="0"/>
          <w:sz w:val="21"/>
          <w:szCs w:val="20"/>
          <w:lang w:eastAsia="zh-CN"/>
        </w:rPr>
        <w:t>使用</w:t>
      </w:r>
      <w:r>
        <w:rPr>
          <w:rFonts w:hint="eastAsia" w:ascii="Arial" w:hAnsi="Arial" w:eastAsia="宋体" w:cs="Arial"/>
          <w:snapToGrid w:val="0"/>
          <w:sz w:val="21"/>
          <w:szCs w:val="21"/>
          <w:lang w:eastAsia="zh-CN"/>
        </w:rPr>
        <w:t>的其他细节：</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当在最终设计确认中使用等同器械时，制造商必须把器械制造过程和制造过程与初始生产的相似或可能的不同之处详细记录在文件中。如果有差异，制造商必须提供依据说明为何设计确认结果对于生产单元，生产批量或生产有效。</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对于一种组合产品，该文件和依据必须解释包含一种药品或生物制品所引起的考虑，包括药品／生物制品组成部分或整个组合产品制造工艺的等同性。应记录等同性的基本原理且可能需要</w:t>
      </w:r>
      <w:bookmarkStart w:id="225" w:name="OLE_LINK18"/>
      <w:bookmarkStart w:id="226" w:name="OLE_LINK11"/>
      <w:r>
        <w:rPr>
          <w:rFonts w:hint="eastAsia" w:ascii="Arial" w:hAnsi="Arial" w:eastAsia="宋体" w:cs="Arial"/>
          <w:snapToGrid w:val="0"/>
          <w:sz w:val="21"/>
          <w:szCs w:val="21"/>
          <w:lang w:eastAsia="zh-CN"/>
        </w:rPr>
        <w:t>进行衔接性试验</w:t>
      </w:r>
      <w:bookmarkEnd w:id="225"/>
      <w:bookmarkEnd w:id="226"/>
      <w:r>
        <w:rPr>
          <w:rFonts w:hint="eastAsia" w:ascii="Arial" w:hAnsi="Arial" w:eastAsia="宋体" w:cs="Arial"/>
          <w:snapToGrid w:val="0"/>
          <w:sz w:val="21"/>
          <w:szCs w:val="21"/>
          <w:lang w:eastAsia="zh-CN"/>
        </w:rPr>
        <w:t>，完成可比性方案或其它试验数据以证明用于设计确认的产品可代表制造商预期销售的组合产品。</w:t>
      </w:r>
    </w:p>
  </w:footnote>
  <w:footnote w:id="58">
    <w:p w14:paraId="49FA7027">
      <w:pPr>
        <w:pStyle w:val="11"/>
        <w:spacing w:line="300" w:lineRule="auto"/>
        <w:jc w:val="both"/>
        <w:rPr>
          <w:sz w:val="15"/>
          <w:lang w:eastAsia="zh-CN"/>
        </w:rPr>
      </w:pPr>
      <w:r>
        <w:rPr>
          <w:rStyle w:val="17"/>
          <w:sz w:val="15"/>
        </w:rPr>
        <w:footnoteRef/>
      </w:r>
      <w:r>
        <w:rPr>
          <w:rFonts w:hint="eastAsia" w:ascii="Arial" w:hAnsi="Arial" w:eastAsia="宋体" w:cs="Arial"/>
          <w:snapToGrid w:val="0"/>
          <w:sz w:val="21"/>
          <w:szCs w:val="20"/>
          <w:lang w:eastAsia="zh-CN"/>
        </w:rPr>
        <w:t>关于组合产品人为因素的更多信息，见行业及FDA工作人员指南草案《组合产品设计和开发时的人为因素研究和相关临床研究考虑》（</w:t>
      </w:r>
      <w:r>
        <w:rPr>
          <w:rFonts w:ascii="Arial" w:hAnsi="Arial" w:eastAsia="宋体" w:cs="Arial"/>
          <w:snapToGrid w:val="0"/>
          <w:sz w:val="21"/>
          <w:szCs w:val="20"/>
          <w:lang w:eastAsia="zh-CN"/>
        </w:rPr>
        <w:t>2016</w:t>
      </w:r>
      <w:r>
        <w:rPr>
          <w:rFonts w:hint="eastAsia" w:ascii="Arial" w:hAnsi="Arial" w:eastAsia="宋体" w:cs="Arial"/>
          <w:snapToGrid w:val="0"/>
          <w:sz w:val="21"/>
          <w:szCs w:val="20"/>
          <w:lang w:eastAsia="zh-CN"/>
        </w:rPr>
        <w:t>年2月）。一旦最终确定，本文件将代表机构目前关于该主题的思考。</w:t>
      </w:r>
    </w:p>
  </w:footnote>
  <w:footnote w:id="59">
    <w:p w14:paraId="417E1610">
      <w:pPr>
        <w:pStyle w:val="11"/>
        <w:spacing w:line="300" w:lineRule="auto"/>
        <w:jc w:val="both"/>
        <w:rPr>
          <w:sz w:val="15"/>
          <w:lang w:eastAsia="zh-CN"/>
        </w:rPr>
      </w:pPr>
      <w:r>
        <w:rPr>
          <w:rStyle w:val="17"/>
          <w:sz w:val="15"/>
        </w:rPr>
        <w:footnoteRef/>
      </w:r>
      <w:r>
        <w:rPr>
          <w:sz w:val="15"/>
          <w:lang w:eastAsia="zh-CN"/>
        </w:rPr>
        <w:t xml:space="preserve"> </w:t>
      </w:r>
      <w:r>
        <w:rPr>
          <w:rFonts w:ascii="Arial" w:hAnsi="Arial" w:eastAsia="宋体" w:cs="Arial"/>
          <w:snapToGrid w:val="0"/>
          <w:sz w:val="21"/>
          <w:lang w:eastAsia="zh-CN"/>
        </w:rPr>
        <w:t>21 CFR 820.30（g）</w:t>
      </w:r>
      <w:r>
        <w:rPr>
          <w:rFonts w:hint="eastAsia" w:ascii="Arial" w:hAnsi="Arial" w:eastAsia="宋体" w:cs="Arial"/>
          <w:snapToGrid w:val="0"/>
          <w:sz w:val="21"/>
          <w:lang w:eastAsia="zh-CN"/>
        </w:rPr>
        <w:t>。</w:t>
      </w:r>
    </w:p>
  </w:footnote>
  <w:footnote w:id="60">
    <w:p w14:paraId="0E66A49F">
      <w:pPr>
        <w:pStyle w:val="11"/>
        <w:spacing w:line="300" w:lineRule="auto"/>
        <w:jc w:val="both"/>
        <w:rPr>
          <w:sz w:val="15"/>
          <w:lang w:eastAsia="zh-CN"/>
        </w:rPr>
      </w:pPr>
      <w:r>
        <w:rPr>
          <w:rStyle w:val="17"/>
          <w:sz w:val="15"/>
        </w:rPr>
        <w:footnoteRef/>
      </w:r>
      <w:r>
        <w:rPr>
          <w:rFonts w:hint="eastAsia" w:ascii="Arial" w:hAnsi="Arial" w:eastAsia="宋体" w:cs="Arial"/>
          <w:snapToGrid w:val="0"/>
          <w:sz w:val="21"/>
          <w:szCs w:val="20"/>
          <w:lang w:eastAsia="zh-CN"/>
        </w:rPr>
        <w:t>关于风险分析和风险管理的更多信息，见</w:t>
      </w:r>
      <w:r>
        <w:rPr>
          <w:rFonts w:ascii="Arial" w:hAnsi="Arial" w:eastAsia="宋体" w:cs="Arial"/>
          <w:snapToGrid w:val="0"/>
          <w:sz w:val="21"/>
          <w:szCs w:val="20"/>
          <w:lang w:eastAsia="zh-CN"/>
        </w:rPr>
        <w:t>ISO 14971</w:t>
      </w:r>
      <w:r>
        <w:rPr>
          <w:rFonts w:hint="eastAsia" w:ascii="Arial" w:hAnsi="Arial" w:eastAsia="宋体" w:cs="Arial"/>
          <w:snapToGrid w:val="0"/>
          <w:sz w:val="21"/>
          <w:szCs w:val="20"/>
          <w:lang w:eastAsia="zh-CN"/>
        </w:rPr>
        <w:t>《风险管理</w:t>
      </w:r>
      <w:r>
        <w:rPr>
          <w:rFonts w:ascii="Arial" w:hAnsi="Arial" w:eastAsia="宋体" w:cs="Arial"/>
          <w:snapToGrid w:val="0"/>
          <w:sz w:val="21"/>
          <w:szCs w:val="20"/>
          <w:lang w:eastAsia="zh-CN"/>
        </w:rPr>
        <w:t>-</w:t>
      </w:r>
      <w:r>
        <w:rPr>
          <w:rFonts w:hint="eastAsia" w:ascii="Arial" w:hAnsi="Arial" w:eastAsia="宋体" w:cs="Arial"/>
          <w:snapToGrid w:val="0"/>
          <w:sz w:val="21"/>
          <w:szCs w:val="20"/>
          <w:lang w:eastAsia="zh-CN"/>
        </w:rPr>
        <w:t>医疗器械和FDA行业指南</w:t>
      </w:r>
      <w:r>
        <w:rPr>
          <w:rFonts w:ascii="Arial" w:hAnsi="Arial" w:eastAsia="宋体" w:cs="Arial"/>
          <w:snapToGrid w:val="0"/>
          <w:sz w:val="21"/>
          <w:szCs w:val="20"/>
          <w:lang w:eastAsia="zh-CN"/>
        </w:rPr>
        <w:t>Q9</w:t>
      </w:r>
      <w:r>
        <w:rPr>
          <w:rFonts w:hint="eastAsia" w:ascii="Arial" w:hAnsi="Arial" w:eastAsia="宋体" w:cs="Arial"/>
          <w:snapToGrid w:val="0"/>
          <w:sz w:val="21"/>
          <w:szCs w:val="20"/>
          <w:lang w:eastAsia="zh-CN"/>
        </w:rPr>
        <w:t>质量风险管理》</w:t>
      </w:r>
      <w:r>
        <w:rPr>
          <w:rFonts w:ascii="Arial" w:hAnsi="Arial" w:eastAsia="宋体" w:cs="Arial"/>
          <w:i/>
          <w:snapToGrid w:val="0"/>
          <w:sz w:val="21"/>
          <w:szCs w:val="20"/>
          <w:lang w:eastAsia="zh-CN"/>
        </w:rPr>
        <w:t xml:space="preserve"> </w:t>
      </w:r>
      <w:r>
        <w:rPr>
          <w:rFonts w:hint="eastAsia" w:ascii="Arial" w:hAnsi="Arial" w:eastAsia="宋体" w:cs="Arial"/>
          <w:snapToGrid w:val="0"/>
          <w:sz w:val="21"/>
          <w:szCs w:val="20"/>
          <w:lang w:eastAsia="zh-CN"/>
        </w:rPr>
        <w:t>（</w:t>
      </w:r>
      <w:r>
        <w:rPr>
          <w:rFonts w:ascii="Arial" w:hAnsi="Arial" w:eastAsia="宋体" w:cs="Arial"/>
          <w:snapToGrid w:val="0"/>
          <w:sz w:val="21"/>
          <w:szCs w:val="20"/>
          <w:lang w:eastAsia="zh-CN"/>
        </w:rPr>
        <w:t>2006</w:t>
      </w:r>
      <w:r>
        <w:rPr>
          <w:rFonts w:hint="eastAsia" w:ascii="Arial" w:hAnsi="Arial" w:eastAsia="宋体" w:cs="Arial"/>
          <w:snapToGrid w:val="0"/>
          <w:sz w:val="21"/>
          <w:szCs w:val="20"/>
          <w:lang w:eastAsia="zh-CN"/>
        </w:rPr>
        <w:t>年6月）。</w:t>
      </w:r>
    </w:p>
  </w:footnote>
  <w:footnote w:id="61">
    <w:p w14:paraId="07A22242">
      <w:pPr>
        <w:pStyle w:val="11"/>
        <w:spacing w:line="300" w:lineRule="auto"/>
        <w:jc w:val="both"/>
        <w:rPr>
          <w:sz w:val="15"/>
          <w:lang w:eastAsia="zh-CN"/>
        </w:rPr>
      </w:pPr>
      <w:r>
        <w:rPr>
          <w:rStyle w:val="17"/>
          <w:sz w:val="15"/>
        </w:rPr>
        <w:footnoteRef/>
      </w:r>
      <w:r>
        <w:rPr>
          <w:sz w:val="15"/>
        </w:rPr>
        <w:t xml:space="preserve"> </w:t>
      </w:r>
      <w:r>
        <w:rPr>
          <w:rFonts w:ascii="Arial" w:hAnsi="Arial" w:eastAsia="宋体" w:cs="Arial"/>
          <w:snapToGrid w:val="0"/>
          <w:sz w:val="21"/>
          <w:lang w:eastAsia="zh-CN"/>
        </w:rPr>
        <w:t>21 CFR 820.30（h）</w:t>
      </w:r>
      <w:r>
        <w:rPr>
          <w:rFonts w:hint="eastAsia" w:ascii="Arial" w:hAnsi="Arial" w:eastAsia="宋体" w:cs="Arial"/>
          <w:snapToGrid w:val="0"/>
          <w:sz w:val="21"/>
          <w:lang w:eastAsia="zh-CN"/>
        </w:rPr>
        <w:t>。</w:t>
      </w:r>
    </w:p>
  </w:footnote>
  <w:footnote w:id="62">
    <w:p w14:paraId="4B06F1BB">
      <w:pPr>
        <w:pStyle w:val="11"/>
        <w:spacing w:line="300" w:lineRule="auto"/>
        <w:jc w:val="both"/>
        <w:rPr>
          <w:sz w:val="21"/>
          <w:szCs w:val="21"/>
          <w:lang w:eastAsia="zh-CN"/>
        </w:rPr>
      </w:pPr>
      <w:r>
        <w:rPr>
          <w:rStyle w:val="17"/>
          <w:sz w:val="21"/>
          <w:szCs w:val="21"/>
        </w:rPr>
        <w:footnoteRef/>
      </w:r>
      <w:r>
        <w:rPr>
          <w:sz w:val="21"/>
          <w:szCs w:val="21"/>
        </w:rPr>
        <w:t xml:space="preserve"> </w:t>
      </w:r>
      <w:r>
        <w:rPr>
          <w:rFonts w:ascii="Arial" w:hAnsi="Arial" w:eastAsia="宋体" w:cs="Arial"/>
          <w:snapToGrid w:val="0"/>
          <w:sz w:val="21"/>
          <w:szCs w:val="21"/>
          <w:lang w:eastAsia="zh-CN"/>
        </w:rPr>
        <w:t>21 CFR 820.30（i）</w:t>
      </w:r>
      <w:r>
        <w:rPr>
          <w:rFonts w:hint="eastAsia" w:ascii="Arial" w:hAnsi="Arial" w:eastAsia="宋体" w:cs="Arial"/>
          <w:snapToGrid w:val="0"/>
          <w:sz w:val="21"/>
          <w:szCs w:val="21"/>
          <w:lang w:eastAsia="zh-CN"/>
        </w:rPr>
        <w:t>。</w:t>
      </w:r>
    </w:p>
  </w:footnote>
  <w:footnote w:id="63">
    <w:p w14:paraId="0E83C4D3">
      <w:pPr>
        <w:pStyle w:val="11"/>
        <w:spacing w:line="300" w:lineRule="auto"/>
        <w:jc w:val="both"/>
        <w:rPr>
          <w:sz w:val="21"/>
          <w:szCs w:val="21"/>
          <w:lang w:eastAsia="zh-CN"/>
        </w:rPr>
      </w:pPr>
      <w:r>
        <w:rPr>
          <w:rStyle w:val="17"/>
          <w:sz w:val="21"/>
          <w:szCs w:val="21"/>
        </w:rPr>
        <w:footnoteRef/>
      </w:r>
      <w:r>
        <w:rPr>
          <w:sz w:val="21"/>
          <w:szCs w:val="21"/>
          <w:lang w:eastAsia="zh-CN"/>
        </w:rPr>
        <w:t xml:space="preserve"> </w:t>
      </w:r>
      <w:r>
        <w:rPr>
          <w:rFonts w:ascii="Arial" w:hAnsi="Arial" w:eastAsia="宋体" w:cs="Arial"/>
          <w:snapToGrid w:val="0"/>
          <w:sz w:val="21"/>
          <w:szCs w:val="21"/>
          <w:lang w:eastAsia="zh-CN"/>
        </w:rPr>
        <w:t>61 FR 52621</w:t>
      </w:r>
      <w:r>
        <w:rPr>
          <w:rFonts w:hint="eastAsia" w:ascii="Arial" w:hAnsi="Arial" w:eastAsia="宋体" w:cs="Arial"/>
          <w:snapToGrid w:val="0"/>
          <w:sz w:val="21"/>
          <w:szCs w:val="21"/>
          <w:lang w:eastAsia="zh-CN"/>
        </w:rPr>
        <w:t>，注释</w:t>
      </w:r>
      <w:r>
        <w:rPr>
          <w:rFonts w:ascii="Arial" w:hAnsi="Arial" w:eastAsia="宋体" w:cs="Arial"/>
          <w:snapToGrid w:val="0"/>
          <w:sz w:val="21"/>
          <w:szCs w:val="21"/>
          <w:lang w:eastAsia="zh-CN"/>
        </w:rPr>
        <w:t>87</w:t>
      </w:r>
      <w:r>
        <w:rPr>
          <w:rFonts w:hint="eastAsia" w:ascii="Arial" w:hAnsi="Arial" w:eastAsia="宋体" w:cs="Arial"/>
          <w:snapToGrid w:val="0"/>
          <w:sz w:val="21"/>
          <w:szCs w:val="21"/>
          <w:lang w:eastAsia="zh-CN"/>
        </w:rPr>
        <w:t>。</w:t>
      </w:r>
    </w:p>
  </w:footnote>
  <w:footnote w:id="64">
    <w:p w14:paraId="161F626A">
      <w:pPr>
        <w:pStyle w:val="11"/>
        <w:spacing w:line="300" w:lineRule="auto"/>
        <w:jc w:val="both"/>
        <w:rPr>
          <w:sz w:val="21"/>
          <w:szCs w:val="21"/>
          <w:lang w:eastAsia="zh-CN"/>
        </w:rPr>
      </w:pPr>
      <w:r>
        <w:rPr>
          <w:rStyle w:val="17"/>
          <w:sz w:val="21"/>
          <w:szCs w:val="21"/>
        </w:rPr>
        <w:footnoteRef/>
      </w:r>
      <w:r>
        <w:rPr>
          <w:sz w:val="21"/>
          <w:szCs w:val="21"/>
          <w:lang w:eastAsia="zh-CN"/>
        </w:rPr>
        <w:t xml:space="preserve"> </w:t>
      </w:r>
      <w:r>
        <w:rPr>
          <w:rFonts w:ascii="Arial" w:hAnsi="Arial" w:eastAsia="宋体" w:cs="Arial"/>
          <w:snapToGrid w:val="0"/>
          <w:sz w:val="21"/>
          <w:szCs w:val="21"/>
          <w:lang w:eastAsia="zh-CN"/>
        </w:rPr>
        <w:t>21 CFR 820.30（h）</w:t>
      </w:r>
      <w:r>
        <w:rPr>
          <w:rFonts w:hint="eastAsia" w:ascii="Arial" w:hAnsi="Arial" w:eastAsia="宋体" w:cs="Arial"/>
          <w:snapToGrid w:val="0"/>
          <w:sz w:val="21"/>
          <w:szCs w:val="21"/>
          <w:lang w:eastAsia="zh-CN"/>
        </w:rPr>
        <w:t>。</w:t>
      </w:r>
    </w:p>
  </w:footnote>
  <w:footnote w:id="65">
    <w:p w14:paraId="153B1349">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类似地，如果组合产品制造商采购将包含在组合产品内的器械成分，且器械成分供应商正在用相同或类似的成分制造一种成品器械并因此受器械</w:t>
      </w:r>
      <w:r>
        <w:rPr>
          <w:rFonts w:ascii="Arial" w:hAnsi="Arial" w:eastAsia="宋体" w:cs="Arial"/>
          <w:snapToGrid w:val="0"/>
          <w:sz w:val="21"/>
          <w:szCs w:val="21"/>
          <w:lang w:eastAsia="zh-CN"/>
        </w:rPr>
        <w:t>QS</w:t>
      </w:r>
      <w:r>
        <w:rPr>
          <w:rFonts w:hint="eastAsia" w:ascii="Arial" w:hAnsi="Arial" w:eastAsia="宋体" w:cs="Arial"/>
          <w:snapToGrid w:val="0"/>
          <w:sz w:val="21"/>
          <w:szCs w:val="21"/>
          <w:lang w:eastAsia="zh-CN"/>
        </w:rPr>
        <w:t>规章的约束，那么组合产品制造商在开发组合产品的整体设计控制时或许可以借用该供应商的设计控制要素。通常组合产品制造商和供应商之间规定维护和分享设计信息的正式协议应涵盖这些借用信息。如果成分供应商本身未遵守器械</w:t>
      </w:r>
      <w:r>
        <w:rPr>
          <w:rFonts w:ascii="Arial" w:hAnsi="Arial" w:eastAsia="宋体" w:cs="Arial"/>
          <w:snapToGrid w:val="0"/>
          <w:sz w:val="21"/>
          <w:szCs w:val="21"/>
          <w:lang w:eastAsia="zh-CN"/>
        </w:rPr>
        <w:t>QS</w:t>
      </w:r>
      <w:r>
        <w:rPr>
          <w:rFonts w:hint="eastAsia" w:ascii="Arial" w:hAnsi="Arial" w:eastAsia="宋体" w:cs="Arial"/>
          <w:snapToGrid w:val="0"/>
          <w:sz w:val="21"/>
          <w:szCs w:val="21"/>
          <w:lang w:eastAsia="zh-CN"/>
        </w:rPr>
        <w:t>规章，则组合产品制造商的关于器械组成部分的设计控制活动很可能需要更广泛。</w:t>
      </w:r>
    </w:p>
  </w:footnote>
  <w:footnote w:id="66">
    <w:p w14:paraId="5AE02B9D">
      <w:pPr>
        <w:pStyle w:val="11"/>
        <w:spacing w:line="300" w:lineRule="auto"/>
        <w:jc w:val="both"/>
        <w:rPr>
          <w:lang w:eastAsia="zh-CN"/>
        </w:rPr>
      </w:pPr>
      <w:r>
        <w:rPr>
          <w:rStyle w:val="17"/>
          <w:sz w:val="21"/>
          <w:szCs w:val="21"/>
        </w:rPr>
        <w:footnoteRef/>
      </w:r>
      <w:r>
        <w:rPr>
          <w:sz w:val="21"/>
          <w:szCs w:val="21"/>
          <w:lang w:eastAsia="zh-CN"/>
        </w:rPr>
        <w:t xml:space="preserve"> </w:t>
      </w:r>
      <w:r>
        <w:rPr>
          <w:rFonts w:ascii="Arial" w:hAnsi="Arial" w:eastAsia="宋体" w:cs="Arial"/>
          <w:snapToGrid w:val="0"/>
          <w:sz w:val="21"/>
          <w:szCs w:val="21"/>
          <w:lang w:eastAsia="zh-CN"/>
        </w:rPr>
        <w:t>21 CFR 820.30（c）</w:t>
      </w:r>
      <w:r>
        <w:rPr>
          <w:rFonts w:hint="eastAsia" w:ascii="Arial" w:hAnsi="Arial" w:eastAsia="宋体" w:cs="Arial"/>
          <w:snapToGrid w:val="0"/>
          <w:sz w:val="21"/>
          <w:szCs w:val="21"/>
          <w:lang w:eastAsia="zh-CN"/>
        </w:rPr>
        <w:t>。</w:t>
      </w:r>
    </w:p>
  </w:footnote>
  <w:footnote w:id="67">
    <w:p w14:paraId="2D89C67C">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见医疗器械；现行良好生产规范</w:t>
      </w:r>
      <w:r>
        <w:rPr>
          <w:rFonts w:ascii="Arial" w:hAnsi="Arial" w:eastAsia="宋体" w:cs="Arial"/>
          <w:snapToGrid w:val="0"/>
          <w:sz w:val="21"/>
          <w:szCs w:val="21"/>
          <w:lang w:eastAsia="zh-CN"/>
        </w:rPr>
        <w:t>（CGMP）</w:t>
      </w:r>
      <w:r>
        <w:rPr>
          <w:rFonts w:hint="eastAsia" w:ascii="Arial" w:hAnsi="Arial" w:eastAsia="宋体" w:cs="Arial"/>
          <w:snapToGrid w:val="0"/>
          <w:sz w:val="21"/>
          <w:szCs w:val="21"/>
          <w:lang w:eastAsia="zh-CN"/>
        </w:rPr>
        <w:t>最终规则；质量体系规章，</w:t>
      </w:r>
      <w:r>
        <w:rPr>
          <w:rFonts w:ascii="Arial" w:hAnsi="Arial" w:eastAsia="宋体" w:cs="Arial"/>
          <w:snapToGrid w:val="0"/>
          <w:sz w:val="21"/>
          <w:szCs w:val="21"/>
          <w:lang w:eastAsia="zh-CN"/>
        </w:rPr>
        <w:t>61 FR 52602-52662 （1996</w:t>
      </w:r>
      <w:r>
        <w:rPr>
          <w:rFonts w:hint="eastAsia" w:ascii="Arial" w:hAnsi="Arial" w:eastAsia="宋体" w:cs="Arial"/>
          <w:snapToGrid w:val="0"/>
          <w:sz w:val="21"/>
          <w:szCs w:val="21"/>
          <w:lang w:eastAsia="zh-CN"/>
        </w:rPr>
        <w:t>年10月7日</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w:t>
      </w:r>
    </w:p>
  </w:footnote>
  <w:footnote w:id="68">
    <w:p w14:paraId="4E488514">
      <w:pPr>
        <w:pStyle w:val="11"/>
        <w:spacing w:line="300" w:lineRule="auto"/>
        <w:jc w:val="both"/>
        <w:rPr>
          <w:sz w:val="21"/>
          <w:szCs w:val="21"/>
          <w:lang w:eastAsia="zh-CN"/>
        </w:rPr>
      </w:pPr>
      <w:r>
        <w:rPr>
          <w:rStyle w:val="17"/>
          <w:rFonts w:ascii="Arial" w:hAnsi="Arial" w:cs="Arial"/>
          <w:sz w:val="21"/>
          <w:szCs w:val="21"/>
        </w:rPr>
        <w:footnoteRef/>
      </w:r>
      <w:r>
        <w:rPr>
          <w:rFonts w:hint="eastAsia" w:ascii="Arial" w:hAnsi="Arial" w:eastAsia="宋体" w:cs="Arial"/>
          <w:snapToGrid w:val="0"/>
          <w:sz w:val="21"/>
          <w:szCs w:val="21"/>
          <w:lang w:eastAsia="zh-CN"/>
        </w:rPr>
        <w:t>根据</w:t>
      </w:r>
      <w:r>
        <w:rPr>
          <w:rFonts w:ascii="Arial" w:hAnsi="Arial" w:eastAsia="宋体" w:cs="Arial"/>
          <w:snapToGrid w:val="0"/>
          <w:sz w:val="21"/>
          <w:szCs w:val="21"/>
          <w:lang w:eastAsia="zh-CN"/>
        </w:rPr>
        <w:t>21 CFR 820.3</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r</w:t>
      </w:r>
      <w:r>
        <w:rPr>
          <w:rFonts w:hint="eastAsia" w:ascii="Arial" w:hAnsi="Arial" w:eastAsia="宋体" w:cs="Arial"/>
          <w:snapToGrid w:val="0"/>
          <w:sz w:val="21"/>
          <w:szCs w:val="21"/>
          <w:lang w:eastAsia="zh-CN"/>
        </w:rPr>
        <w:t>），术语</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产品</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除包括中间体和成品物品外，还包括成分和制造物料。</w:t>
      </w:r>
    </w:p>
  </w:footnote>
  <w:footnote w:id="69">
    <w:p w14:paraId="2A02ACC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820.50（a）（2）。</w:t>
      </w:r>
    </w:p>
  </w:footnote>
  <w:footnote w:id="70">
    <w:p w14:paraId="54F17010">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820.50（a）（3）。</w:t>
      </w:r>
    </w:p>
  </w:footnote>
  <w:footnote w:id="71">
    <w:p w14:paraId="153917D5">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820.50（b）。</w:t>
      </w:r>
    </w:p>
  </w:footnote>
  <w:footnote w:id="72">
    <w:p w14:paraId="31303212">
      <w:pPr>
        <w:pStyle w:val="11"/>
        <w:spacing w:line="300" w:lineRule="auto"/>
        <w:jc w:val="both"/>
        <w:rPr>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820.50（b）</w:t>
      </w:r>
      <w:r>
        <w:rPr>
          <w:rFonts w:hint="eastAsia" w:ascii="Arial" w:hAnsi="Arial" w:eastAsia="宋体" w:cs="Arial"/>
          <w:snapToGrid w:val="0"/>
          <w:sz w:val="21"/>
          <w:szCs w:val="21"/>
          <w:lang w:eastAsia="zh-CN"/>
        </w:rPr>
        <w:t>。</w:t>
      </w:r>
    </w:p>
  </w:footnote>
  <w:footnote w:id="73">
    <w:p w14:paraId="0EC58A19">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也见</w:t>
      </w:r>
      <w:r>
        <w:rPr>
          <w:rFonts w:ascii="Arial" w:hAnsi="Arial" w:eastAsia="宋体" w:cs="Arial"/>
          <w:snapToGrid w:val="0"/>
          <w:sz w:val="21"/>
          <w:szCs w:val="21"/>
          <w:lang w:eastAsia="zh-CN"/>
        </w:rPr>
        <w:t>FDA</w:t>
      </w:r>
      <w:r>
        <w:rPr>
          <w:rFonts w:hint="eastAsia" w:ascii="Arial" w:hAnsi="Arial" w:eastAsia="宋体" w:cs="Arial"/>
          <w:snapToGrid w:val="0"/>
          <w:sz w:val="21"/>
          <w:szCs w:val="21"/>
          <w:lang w:eastAsia="zh-CN"/>
        </w:rPr>
        <w:t>行业指南，《调查制药生产的不合格</w:t>
      </w:r>
      <w:r>
        <w:rPr>
          <w:rFonts w:ascii="Arial" w:hAnsi="Arial" w:eastAsia="宋体" w:cs="Arial"/>
          <w:snapToGrid w:val="0"/>
          <w:sz w:val="21"/>
          <w:szCs w:val="21"/>
          <w:lang w:eastAsia="zh-CN"/>
        </w:rPr>
        <w:t>（OOS）</w:t>
      </w:r>
      <w:r>
        <w:rPr>
          <w:rFonts w:hint="eastAsia" w:ascii="Arial" w:hAnsi="Arial" w:eastAsia="宋体" w:cs="Arial"/>
          <w:snapToGrid w:val="0"/>
          <w:sz w:val="21"/>
          <w:szCs w:val="21"/>
          <w:lang w:eastAsia="zh-CN"/>
        </w:rPr>
        <w:t>试验结果》</w:t>
      </w:r>
      <w:r>
        <w:rPr>
          <w:rFonts w:ascii="Arial" w:hAnsi="Arial" w:eastAsia="宋体" w:cs="Arial"/>
          <w:snapToGrid w:val="0"/>
          <w:sz w:val="21"/>
          <w:szCs w:val="21"/>
          <w:lang w:eastAsia="zh-CN"/>
        </w:rPr>
        <w:t>（2006</w:t>
      </w:r>
      <w:r>
        <w:rPr>
          <w:rFonts w:hint="eastAsia" w:ascii="Arial" w:hAnsi="Arial" w:eastAsia="宋体" w:cs="Arial"/>
          <w:snapToGrid w:val="0"/>
          <w:sz w:val="21"/>
          <w:szCs w:val="21"/>
          <w:lang w:eastAsia="zh-CN"/>
        </w:rPr>
        <w:t>年10月</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，它讨论了对药品</w:t>
      </w:r>
      <w:r>
        <w:rPr>
          <w:rFonts w:ascii="Arial" w:hAnsi="Arial" w:eastAsia="宋体" w:cs="Arial"/>
          <w:snapToGrid w:val="0"/>
          <w:sz w:val="21"/>
          <w:szCs w:val="21"/>
          <w:lang w:eastAsia="zh-CN"/>
        </w:rPr>
        <w:t>OOS</w:t>
      </w:r>
      <w:r>
        <w:rPr>
          <w:rFonts w:hint="eastAsia" w:ascii="Arial" w:hAnsi="Arial" w:eastAsia="宋体" w:cs="Arial"/>
          <w:snapToGrid w:val="0"/>
          <w:sz w:val="21"/>
          <w:szCs w:val="21"/>
          <w:lang w:eastAsia="zh-CN"/>
        </w:rPr>
        <w:t>结果，包括根据</w:t>
      </w:r>
      <w:r>
        <w:rPr>
          <w:rFonts w:ascii="Arial" w:hAnsi="Arial" w:eastAsia="宋体" w:cs="Arial"/>
          <w:snapToGrid w:val="0"/>
          <w:sz w:val="21"/>
          <w:szCs w:val="21"/>
          <w:lang w:eastAsia="zh-CN"/>
        </w:rPr>
        <w:t>21 CFR 211.165 （21 CFR</w:t>
      </w:r>
      <w:r>
        <w:rPr>
          <w:rFonts w:hint="eastAsia" w:ascii="Arial" w:hAnsi="Arial" w:eastAsia="宋体" w:cs="Arial"/>
          <w:snapToGrid w:val="0"/>
          <w:sz w:val="21"/>
          <w:szCs w:val="21"/>
          <w:lang w:eastAsia="zh-CN"/>
        </w:rPr>
        <w:t>第</w:t>
      </w:r>
      <w:r>
        <w:rPr>
          <w:rFonts w:ascii="Arial" w:hAnsi="Arial" w:eastAsia="宋体" w:cs="Arial"/>
          <w:snapToGrid w:val="0"/>
          <w:sz w:val="21"/>
          <w:szCs w:val="21"/>
          <w:lang w:eastAsia="zh-CN"/>
        </w:rPr>
        <w:t>4</w:t>
      </w:r>
      <w:r>
        <w:rPr>
          <w:rFonts w:hint="eastAsia" w:ascii="Arial" w:hAnsi="Arial" w:eastAsia="宋体" w:cs="Arial"/>
          <w:snapToGrid w:val="0"/>
          <w:sz w:val="21"/>
          <w:szCs w:val="21"/>
          <w:lang w:eastAsia="zh-CN"/>
        </w:rPr>
        <w:t>部分指定的条款</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所获结果的适当鉴定、评估和调查。来自</w:t>
      </w:r>
      <w:r>
        <w:rPr>
          <w:rFonts w:ascii="Arial" w:hAnsi="Arial" w:eastAsia="宋体" w:cs="Arial"/>
          <w:snapToGrid w:val="0"/>
          <w:sz w:val="21"/>
          <w:szCs w:val="21"/>
          <w:lang w:eastAsia="zh-CN"/>
        </w:rPr>
        <w:t>OOS</w:t>
      </w:r>
      <w:r>
        <w:rPr>
          <w:rFonts w:hint="eastAsia" w:ascii="Arial" w:hAnsi="Arial" w:eastAsia="宋体" w:cs="Arial"/>
          <w:snapToGrid w:val="0"/>
          <w:sz w:val="21"/>
          <w:szCs w:val="21"/>
          <w:lang w:eastAsia="zh-CN"/>
        </w:rPr>
        <w:t>调查的质量数据和所有相关纠正措施应通过组合产品制造商的质量体系处理。此外，FDA行业指南，</w:t>
      </w:r>
      <w:r>
        <w:rPr>
          <w:rFonts w:ascii="Arial" w:hAnsi="Arial" w:eastAsia="宋体" w:cs="Arial"/>
          <w:snapToGrid w:val="0"/>
          <w:sz w:val="21"/>
          <w:szCs w:val="21"/>
          <w:lang w:eastAsia="zh-CN"/>
        </w:rPr>
        <w:t>ICH</w:t>
      </w:r>
      <w:r>
        <w:rPr>
          <w:rFonts w:ascii="Arial" w:hAnsi="Arial" w:eastAsia="宋体" w:cs="Arial"/>
          <w:i/>
          <w:snapToGrid w:val="0"/>
          <w:sz w:val="21"/>
          <w:szCs w:val="21"/>
          <w:lang w:eastAsia="zh-CN"/>
        </w:rPr>
        <w:t xml:space="preserve"> </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 xml:space="preserve"> Q10</w:t>
      </w:r>
      <w:r>
        <w:rPr>
          <w:rFonts w:hint="eastAsia" w:ascii="Arial" w:hAnsi="Arial" w:eastAsia="宋体" w:cs="Arial"/>
          <w:snapToGrid w:val="0"/>
          <w:sz w:val="21"/>
          <w:szCs w:val="21"/>
          <w:lang w:eastAsia="zh-CN"/>
        </w:rPr>
        <w:t>药品质量体系》</w:t>
      </w:r>
      <w:r>
        <w:rPr>
          <w:rFonts w:ascii="Arial" w:hAnsi="Arial" w:eastAsia="宋体" w:cs="Arial"/>
          <w:i/>
          <w:snapToGrid w:val="0"/>
          <w:sz w:val="21"/>
          <w:szCs w:val="21"/>
          <w:lang w:eastAsia="zh-CN"/>
        </w:rPr>
        <w:t xml:space="preserve"> </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2009</w:t>
      </w:r>
      <w:r>
        <w:rPr>
          <w:rFonts w:hint="eastAsia" w:ascii="Arial" w:hAnsi="Arial" w:eastAsia="宋体" w:cs="Arial"/>
          <w:snapToGrid w:val="0"/>
          <w:sz w:val="21"/>
          <w:szCs w:val="21"/>
          <w:lang w:eastAsia="zh-CN"/>
        </w:rPr>
        <w:t>年4月）包含对预防措施和（出现故障或其它问题时的）纠正措施的其他建议。</w:t>
      </w:r>
    </w:p>
  </w:footnote>
  <w:footnote w:id="74">
    <w:p w14:paraId="0C618859">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进一步的指南见</w:t>
      </w:r>
      <w:r>
        <w:rPr>
          <w:rFonts w:ascii="Arial" w:hAnsi="Arial" w:eastAsia="宋体" w:cs="Arial"/>
          <w:snapToGrid w:val="0"/>
          <w:sz w:val="21"/>
          <w:szCs w:val="21"/>
          <w:lang w:eastAsia="zh-CN"/>
        </w:rPr>
        <w:t>61 FR 52633-52635</w:t>
      </w:r>
      <w:r>
        <w:rPr>
          <w:rFonts w:hint="eastAsia" w:ascii="Arial" w:hAnsi="Arial" w:eastAsia="宋体" w:cs="Arial"/>
          <w:snapToGrid w:val="0"/>
          <w:sz w:val="21"/>
          <w:szCs w:val="21"/>
          <w:lang w:eastAsia="zh-CN"/>
        </w:rPr>
        <w:t>器械QS规章的序文，注释</w:t>
      </w:r>
      <w:r>
        <w:rPr>
          <w:rFonts w:ascii="Arial" w:hAnsi="Arial" w:eastAsia="宋体" w:cs="Arial"/>
          <w:snapToGrid w:val="0"/>
          <w:sz w:val="21"/>
          <w:szCs w:val="21"/>
          <w:lang w:eastAsia="zh-CN"/>
        </w:rPr>
        <w:t>158-166</w:t>
      </w:r>
      <w:r>
        <w:rPr>
          <w:rFonts w:hint="eastAsia" w:ascii="Arial" w:hAnsi="Arial" w:eastAsia="宋体" w:cs="Arial"/>
          <w:snapToGrid w:val="0"/>
          <w:sz w:val="21"/>
          <w:szCs w:val="21"/>
          <w:lang w:eastAsia="zh-CN"/>
        </w:rPr>
        <w:t>。</w:t>
      </w:r>
    </w:p>
  </w:footnote>
  <w:footnote w:id="75">
    <w:p w14:paraId="4270CC1B">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210.3（b）（3）</w:t>
      </w:r>
      <w:r>
        <w:rPr>
          <w:rFonts w:hint="eastAsia" w:ascii="Arial" w:hAnsi="Arial" w:eastAsia="宋体" w:cs="Arial"/>
          <w:snapToGrid w:val="0"/>
          <w:sz w:val="21"/>
          <w:szCs w:val="21"/>
          <w:lang w:eastAsia="zh-CN"/>
        </w:rPr>
        <w:t>。</w:t>
      </w:r>
    </w:p>
  </w:footnote>
  <w:footnote w:id="76">
    <w:p w14:paraId="25881B27">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见行业指南</w:t>
      </w:r>
      <w:r>
        <w:rPr>
          <w:rFonts w:hint="eastAsia" w:ascii="Arial" w:hAnsi="Arial" w:eastAsia="宋体" w:cs="Arial"/>
          <w:i/>
          <w:snapToGrid w:val="0"/>
          <w:sz w:val="21"/>
          <w:szCs w:val="21"/>
          <w:lang w:eastAsia="zh-CN"/>
        </w:rPr>
        <w:t>人用药品和生物制品包装用容器密封系统：化学、生产和质控文件</w:t>
      </w:r>
      <w:r>
        <w:rPr>
          <w:rFonts w:ascii="Arial" w:hAnsi="Arial" w:eastAsia="宋体" w:cs="Arial"/>
          <w:snapToGrid w:val="0"/>
          <w:sz w:val="21"/>
          <w:szCs w:val="21"/>
          <w:lang w:eastAsia="zh-CN"/>
        </w:rPr>
        <w:t>（1999</w:t>
      </w:r>
      <w:r>
        <w:rPr>
          <w:rFonts w:hint="eastAsia" w:ascii="Arial" w:hAnsi="Arial" w:eastAsia="宋体" w:cs="Arial"/>
          <w:snapToGrid w:val="0"/>
          <w:sz w:val="21"/>
          <w:szCs w:val="21"/>
          <w:lang w:eastAsia="zh-CN"/>
        </w:rPr>
        <w:t>年5月</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w:t>
      </w:r>
    </w:p>
  </w:footnote>
  <w:footnote w:id="77">
    <w:p w14:paraId="47331EB3">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211.84（a）</w:t>
      </w:r>
      <w:r>
        <w:rPr>
          <w:rFonts w:hint="eastAsia" w:ascii="Arial" w:hAnsi="Arial" w:eastAsia="宋体" w:cs="Arial"/>
          <w:snapToGrid w:val="0"/>
          <w:sz w:val="21"/>
          <w:szCs w:val="21"/>
          <w:lang w:eastAsia="zh-CN"/>
        </w:rPr>
        <w:t>。</w:t>
      </w:r>
    </w:p>
  </w:footnote>
  <w:footnote w:id="78">
    <w:p w14:paraId="19FC1FA5">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211.84（b）</w:t>
      </w:r>
      <w:r>
        <w:rPr>
          <w:rFonts w:hint="eastAsia" w:ascii="Arial" w:hAnsi="Arial" w:eastAsia="宋体" w:cs="Arial"/>
          <w:snapToGrid w:val="0"/>
          <w:sz w:val="21"/>
          <w:szCs w:val="21"/>
          <w:lang w:eastAsia="zh-CN"/>
        </w:rPr>
        <w:t>。</w:t>
      </w:r>
    </w:p>
  </w:footnote>
  <w:footnote w:id="79">
    <w:p w14:paraId="050CD9B2">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211.84（c）</w:t>
      </w:r>
      <w:r>
        <w:rPr>
          <w:rFonts w:hint="eastAsia" w:ascii="Arial" w:hAnsi="Arial" w:eastAsia="宋体" w:cs="Arial"/>
          <w:snapToGrid w:val="0"/>
          <w:sz w:val="21"/>
          <w:szCs w:val="21"/>
          <w:lang w:eastAsia="zh-CN"/>
        </w:rPr>
        <w:t>。</w:t>
      </w:r>
    </w:p>
  </w:footnote>
  <w:footnote w:id="80">
    <w:p w14:paraId="44231F99">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211.84（b）</w:t>
      </w:r>
      <w:r>
        <w:rPr>
          <w:rFonts w:hint="eastAsia" w:ascii="Arial" w:hAnsi="Arial" w:eastAsia="宋体" w:cs="Arial"/>
          <w:snapToGrid w:val="0"/>
          <w:sz w:val="21"/>
          <w:szCs w:val="21"/>
          <w:lang w:eastAsia="zh-CN"/>
        </w:rPr>
        <w:t>。</w:t>
      </w:r>
    </w:p>
  </w:footnote>
  <w:footnote w:id="81">
    <w:p w14:paraId="368B2649">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可能对变量抽样和属性抽样有用的一些参考文件分别包括</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美国测试和材料标准（</w:t>
      </w:r>
      <w:r>
        <w:rPr>
          <w:rFonts w:ascii="Arial" w:hAnsi="Arial" w:eastAsia="宋体" w:cs="Arial"/>
          <w:snapToGrid w:val="0"/>
          <w:sz w:val="21"/>
          <w:szCs w:val="21"/>
          <w:lang w:eastAsia="zh-CN"/>
        </w:rPr>
        <w:t>ASTM</w:t>
      </w:r>
      <w:r>
        <w:rPr>
          <w:rFonts w:hint="eastAsia" w:ascii="Arial" w:hAnsi="Arial" w:eastAsia="宋体" w:cs="Arial"/>
          <w:snapToGrid w:val="0"/>
          <w:sz w:val="21"/>
          <w:szCs w:val="21"/>
          <w:lang w:eastAsia="zh-CN"/>
        </w:rPr>
        <w:t>）标准</w:t>
      </w:r>
      <w:r>
        <w:rPr>
          <w:rFonts w:ascii="Arial" w:hAnsi="Arial" w:eastAsia="宋体" w:cs="Arial"/>
          <w:snapToGrid w:val="0"/>
          <w:sz w:val="21"/>
          <w:szCs w:val="21"/>
          <w:lang w:eastAsia="zh-CN"/>
        </w:rPr>
        <w:t>E2709</w:t>
      </w:r>
      <w:r>
        <w:rPr>
          <w:rFonts w:hint="eastAsia" w:ascii="Arial" w:hAnsi="Arial" w:eastAsia="宋体" w:cs="Arial"/>
          <w:snapToGrid w:val="0"/>
          <w:sz w:val="21"/>
          <w:szCs w:val="21"/>
          <w:lang w:eastAsia="zh-CN"/>
        </w:rPr>
        <w:t>，证明符合验收程序能力的规程</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和</w:t>
      </w:r>
      <w:r>
        <w:rPr>
          <w:rFonts w:hint="eastAsia" w:ascii="宋体" w:hAnsi="宋体" w:eastAsia="宋体" w:cs="Arial"/>
          <w:snapToGrid w:val="0"/>
          <w:sz w:val="21"/>
          <w:szCs w:val="21"/>
          <w:lang w:eastAsia="zh-CN"/>
        </w:rPr>
        <w:t>“</w:t>
      </w:r>
      <w:r>
        <w:rPr>
          <w:rFonts w:ascii="Arial" w:hAnsi="Arial" w:eastAsia="宋体" w:cs="Arial"/>
          <w:snapToGrid w:val="0"/>
          <w:sz w:val="21"/>
          <w:szCs w:val="21"/>
          <w:lang w:eastAsia="zh-CN"/>
        </w:rPr>
        <w:t>ASTM</w:t>
      </w:r>
      <w:r>
        <w:rPr>
          <w:rFonts w:hint="eastAsia" w:ascii="Arial" w:hAnsi="Arial" w:eastAsia="宋体" w:cs="Arial"/>
          <w:snapToGrid w:val="0"/>
          <w:sz w:val="21"/>
          <w:szCs w:val="21"/>
          <w:lang w:eastAsia="zh-CN"/>
        </w:rPr>
        <w:t>标准</w:t>
      </w:r>
      <w:r>
        <w:rPr>
          <w:rFonts w:ascii="Arial" w:hAnsi="Arial" w:eastAsia="宋体" w:cs="Arial"/>
          <w:snapToGrid w:val="0"/>
          <w:sz w:val="21"/>
          <w:szCs w:val="21"/>
          <w:lang w:eastAsia="zh-CN"/>
        </w:rPr>
        <w:t>E2334</w:t>
      </w:r>
      <w:r>
        <w:rPr>
          <w:rFonts w:hint="eastAsia" w:ascii="Arial" w:hAnsi="Arial" w:eastAsia="宋体" w:cs="Arial"/>
          <w:snapToGrid w:val="0"/>
          <w:sz w:val="21"/>
          <w:szCs w:val="21"/>
          <w:lang w:eastAsia="zh-CN"/>
        </w:rPr>
        <w:t>，在试样零响应时用属性数据制定不合格品百分率或数量或者不合格发生率置信上限的标准惯例</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w:t>
      </w:r>
    </w:p>
  </w:footnote>
  <w:footnote w:id="82">
    <w:p w14:paraId="2FF04AE7">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211.103。</w:t>
      </w:r>
    </w:p>
  </w:footnote>
  <w:footnote w:id="83">
    <w:p w14:paraId="1533911C">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211.103。</w:t>
      </w:r>
    </w:p>
  </w:footnote>
  <w:footnote w:id="84">
    <w:p w14:paraId="309723E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ascii="Arial" w:hAnsi="Arial" w:eastAsia="宋体" w:cs="Arial"/>
          <w:snapToGrid w:val="0"/>
          <w:sz w:val="21"/>
          <w:szCs w:val="21"/>
        </w:rPr>
        <w:t>21 CFR 211.132（b）（1）</w:t>
      </w:r>
      <w:r>
        <w:rPr>
          <w:rFonts w:ascii="Arial" w:hAnsi="Arial" w:eastAsia="宋体" w:cs="Arial"/>
          <w:snapToGrid w:val="0"/>
          <w:sz w:val="21"/>
          <w:szCs w:val="21"/>
          <w:lang w:eastAsia="zh-CN"/>
        </w:rPr>
        <w:t>。</w:t>
      </w:r>
    </w:p>
  </w:footnote>
  <w:footnote w:id="85">
    <w:p w14:paraId="21F37FBC">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ascii="Arial" w:hAnsi="Arial" w:eastAsia="宋体" w:cs="Arial"/>
          <w:snapToGrid w:val="0"/>
          <w:sz w:val="21"/>
          <w:szCs w:val="21"/>
        </w:rPr>
        <w:t>21 CFR 211.132（c）（1）</w:t>
      </w:r>
      <w:r>
        <w:rPr>
          <w:rFonts w:ascii="Arial" w:hAnsi="Arial" w:eastAsia="宋体" w:cs="Arial"/>
          <w:snapToGrid w:val="0"/>
          <w:sz w:val="21"/>
          <w:szCs w:val="21"/>
          <w:lang w:eastAsia="zh-CN"/>
        </w:rPr>
        <w:t>。</w:t>
      </w:r>
    </w:p>
  </w:footnote>
  <w:footnote w:id="86">
    <w:p w14:paraId="64B96052">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ascii="Arial" w:hAnsi="Arial" w:eastAsia="宋体" w:cs="Arial"/>
          <w:snapToGrid w:val="0"/>
          <w:sz w:val="21"/>
          <w:szCs w:val="21"/>
        </w:rPr>
        <w:t>21 CFR 211.132（e）</w:t>
      </w:r>
      <w:r>
        <w:rPr>
          <w:rFonts w:ascii="Arial" w:hAnsi="Arial" w:eastAsia="宋体" w:cs="Arial"/>
          <w:snapToGrid w:val="0"/>
          <w:sz w:val="21"/>
          <w:szCs w:val="21"/>
          <w:lang w:eastAsia="zh-CN"/>
        </w:rPr>
        <w:t>。</w:t>
      </w:r>
    </w:p>
  </w:footnote>
  <w:footnote w:id="87">
    <w:p w14:paraId="5A7BFAEA">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ascii="Arial" w:hAnsi="Arial" w:eastAsia="宋体" w:cs="Arial"/>
          <w:snapToGrid w:val="0"/>
          <w:sz w:val="21"/>
          <w:szCs w:val="21"/>
        </w:rPr>
        <w:t>21 CFR 211.137（b）</w:t>
      </w:r>
      <w:r>
        <w:rPr>
          <w:rFonts w:ascii="Arial" w:hAnsi="Arial" w:eastAsia="宋体" w:cs="Arial"/>
          <w:snapToGrid w:val="0"/>
          <w:sz w:val="21"/>
          <w:szCs w:val="21"/>
          <w:lang w:eastAsia="zh-CN"/>
        </w:rPr>
        <w:t>。</w:t>
      </w:r>
    </w:p>
  </w:footnote>
  <w:footnote w:id="88">
    <w:p w14:paraId="08655DFF">
      <w:pPr>
        <w:pStyle w:val="11"/>
        <w:spacing w:line="300" w:lineRule="auto"/>
        <w:jc w:val="both"/>
        <w:rPr>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211.137。</w:t>
      </w:r>
    </w:p>
  </w:footnote>
  <w:footnote w:id="89">
    <w:p w14:paraId="665BD29E">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211.165（c）</w:t>
      </w:r>
      <w:r>
        <w:rPr>
          <w:rFonts w:hint="eastAsia" w:ascii="Arial" w:hAnsi="Arial" w:eastAsia="宋体" w:cs="Arial"/>
          <w:snapToGrid w:val="0"/>
          <w:sz w:val="21"/>
          <w:szCs w:val="21"/>
          <w:lang w:eastAsia="zh-CN"/>
        </w:rPr>
        <w:t>。</w:t>
      </w:r>
    </w:p>
  </w:footnote>
  <w:footnote w:id="90">
    <w:p w14:paraId="7F2AA977">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211.165（a）</w:t>
      </w:r>
      <w:r>
        <w:rPr>
          <w:rFonts w:hint="eastAsia" w:ascii="Arial" w:hAnsi="Arial" w:eastAsia="宋体" w:cs="Arial"/>
          <w:snapToGrid w:val="0"/>
          <w:sz w:val="21"/>
          <w:szCs w:val="21"/>
          <w:lang w:eastAsia="zh-CN"/>
        </w:rPr>
        <w:t>。</w:t>
      </w:r>
    </w:p>
  </w:footnote>
  <w:footnote w:id="91">
    <w:p w14:paraId="3CA557EA">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211.165（a）</w:t>
      </w:r>
      <w:r>
        <w:rPr>
          <w:rFonts w:hint="eastAsia" w:ascii="Arial" w:hAnsi="Arial" w:eastAsia="宋体" w:cs="Arial"/>
          <w:snapToGrid w:val="0"/>
          <w:sz w:val="21"/>
          <w:szCs w:val="21"/>
          <w:lang w:eastAsia="zh-CN"/>
        </w:rPr>
        <w:t>。</w:t>
      </w:r>
    </w:p>
  </w:footnote>
  <w:footnote w:id="92">
    <w:p w14:paraId="3750023B">
      <w:pPr>
        <w:pStyle w:val="11"/>
        <w:spacing w:line="300" w:lineRule="auto"/>
        <w:jc w:val="both"/>
        <w:rPr>
          <w:sz w:val="21"/>
          <w:szCs w:val="21"/>
          <w:lang w:eastAsia="zh-CN"/>
        </w:rPr>
      </w:pPr>
      <w:r>
        <w:rPr>
          <w:rStyle w:val="17"/>
          <w:sz w:val="21"/>
          <w:szCs w:val="21"/>
        </w:rPr>
        <w:footnoteRef/>
      </w:r>
      <w:r>
        <w:rPr>
          <w:rFonts w:hint="eastAsia" w:ascii="Arial" w:hAnsi="Arial" w:eastAsia="宋体" w:cs="Arial"/>
          <w:snapToGrid w:val="0"/>
          <w:sz w:val="21"/>
          <w:szCs w:val="21"/>
          <w:lang w:eastAsia="zh-CN"/>
        </w:rPr>
        <w:t>见</w:t>
      </w:r>
      <w:r>
        <w:rPr>
          <w:rFonts w:ascii="Arial" w:hAnsi="Arial" w:eastAsia="宋体" w:cs="Arial"/>
          <w:snapToGrid w:val="0"/>
          <w:sz w:val="21"/>
          <w:szCs w:val="21"/>
          <w:lang w:eastAsia="zh-CN"/>
        </w:rPr>
        <w:t>21 CFR 211.165（a）, （b）</w:t>
      </w:r>
      <w:r>
        <w:rPr>
          <w:rFonts w:hint="eastAsia" w:ascii="Arial" w:hAnsi="Arial" w:eastAsia="宋体" w:cs="Arial"/>
          <w:snapToGrid w:val="0"/>
          <w:sz w:val="21"/>
          <w:szCs w:val="21"/>
          <w:lang w:eastAsia="zh-CN"/>
        </w:rPr>
        <w:t>。</w:t>
      </w:r>
    </w:p>
  </w:footnote>
  <w:footnote w:id="93">
    <w:p w14:paraId="016EE843">
      <w:pPr>
        <w:pStyle w:val="11"/>
        <w:spacing w:line="300" w:lineRule="auto"/>
        <w:jc w:val="both"/>
        <w:rPr>
          <w:sz w:val="21"/>
          <w:szCs w:val="21"/>
          <w:lang w:eastAsia="zh-CN"/>
        </w:rPr>
      </w:pPr>
      <w:r>
        <w:rPr>
          <w:rStyle w:val="17"/>
          <w:sz w:val="21"/>
          <w:szCs w:val="21"/>
        </w:rPr>
        <w:footnoteRef/>
      </w:r>
      <w:r>
        <w:rPr>
          <w:sz w:val="21"/>
          <w:szCs w:val="21"/>
          <w:lang w:eastAsia="zh-CN"/>
        </w:rPr>
        <w:t xml:space="preserve"> </w:t>
      </w:r>
      <w:r>
        <w:rPr>
          <w:rFonts w:ascii="Arial" w:hAnsi="Arial" w:eastAsia="宋体" w:cs="Arial"/>
          <w:snapToGrid w:val="0"/>
          <w:sz w:val="21"/>
          <w:szCs w:val="21"/>
          <w:lang w:eastAsia="zh-CN"/>
        </w:rPr>
        <w:t>21 CFR 211.165</w:t>
      </w:r>
      <w:r>
        <w:rPr>
          <w:rFonts w:hint="eastAsia" w:ascii="Arial" w:hAnsi="Arial" w:eastAsia="宋体" w:cs="Arial"/>
          <w:snapToGrid w:val="0"/>
          <w:sz w:val="21"/>
          <w:szCs w:val="21"/>
          <w:lang w:eastAsia="zh-CN"/>
        </w:rPr>
        <w:t>解决</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药品</w:t>
      </w:r>
      <w:r>
        <w:rPr>
          <w:rFonts w:hint="eastAsia" w:ascii="宋体" w:hAnsi="宋体" w:eastAsia="宋体" w:cs="Arial"/>
          <w:snapToGrid w:val="0"/>
          <w:sz w:val="21"/>
          <w:szCs w:val="21"/>
          <w:lang w:eastAsia="zh-CN"/>
        </w:rPr>
        <w:t>”</w:t>
      </w:r>
      <w:r>
        <w:rPr>
          <w:rFonts w:hint="eastAsia" w:ascii="Arial" w:hAnsi="Arial" w:eastAsia="宋体" w:cs="Arial"/>
          <w:snapToGrid w:val="0"/>
          <w:sz w:val="21"/>
          <w:szCs w:val="21"/>
          <w:lang w:eastAsia="zh-CN"/>
        </w:rPr>
        <w:t>的测试和发布；对组合产品制造中间阶段（例如中间体）的适当控制由第4部分未指出的药品</w:t>
      </w:r>
      <w:r>
        <w:rPr>
          <w:rFonts w:ascii="Arial" w:hAnsi="Arial" w:eastAsia="宋体" w:cs="Arial"/>
          <w:snapToGrid w:val="0"/>
          <w:sz w:val="21"/>
          <w:szCs w:val="21"/>
          <w:lang w:eastAsia="zh-CN"/>
        </w:rPr>
        <w:t>CGMPs</w:t>
      </w:r>
      <w:r>
        <w:rPr>
          <w:rFonts w:hint="eastAsia" w:ascii="Arial" w:hAnsi="Arial" w:eastAsia="宋体" w:cs="Arial"/>
          <w:snapToGrid w:val="0"/>
          <w:sz w:val="21"/>
          <w:szCs w:val="21"/>
          <w:lang w:eastAsia="zh-CN"/>
        </w:rPr>
        <w:t>和器械</w:t>
      </w:r>
      <w:r>
        <w:rPr>
          <w:rFonts w:ascii="Arial" w:hAnsi="Arial" w:eastAsia="宋体" w:cs="Arial"/>
          <w:snapToGrid w:val="0"/>
          <w:sz w:val="21"/>
          <w:szCs w:val="21"/>
          <w:lang w:eastAsia="zh-CN"/>
        </w:rPr>
        <w:t>QS</w:t>
      </w:r>
      <w:r>
        <w:rPr>
          <w:rFonts w:hint="eastAsia" w:ascii="Arial" w:hAnsi="Arial" w:eastAsia="宋体" w:cs="Arial"/>
          <w:snapToGrid w:val="0"/>
          <w:sz w:val="21"/>
          <w:szCs w:val="21"/>
          <w:lang w:eastAsia="zh-CN"/>
        </w:rPr>
        <w:t>规章的单独条款解决。如果制造商按照</w:t>
      </w:r>
      <w:r>
        <w:rPr>
          <w:rFonts w:ascii="Arial" w:hAnsi="Arial" w:eastAsia="宋体" w:cs="Arial"/>
          <w:snapToGrid w:val="0"/>
          <w:sz w:val="21"/>
          <w:szCs w:val="21"/>
          <w:lang w:eastAsia="zh-CN"/>
        </w:rPr>
        <w:t>21 CFR 4.4（b）</w:t>
      </w:r>
      <w:r>
        <w:rPr>
          <w:rFonts w:hint="eastAsia" w:ascii="Arial" w:hAnsi="Arial" w:eastAsia="宋体" w:cs="Arial"/>
          <w:snapToGrid w:val="0"/>
          <w:sz w:val="21"/>
          <w:szCs w:val="21"/>
          <w:lang w:eastAsia="zh-CN"/>
        </w:rPr>
        <w:t>中的某种简化方法操作，则决定如何证明符合中间体义务时应该考虑整个组合产品的材料和制造步骤，且参考另一规章（制造商未选择作为其</w:t>
      </w:r>
      <w:r>
        <w:rPr>
          <w:rFonts w:ascii="Arial" w:hAnsi="Arial" w:eastAsia="宋体" w:cs="Arial"/>
          <w:snapToGrid w:val="0"/>
          <w:sz w:val="21"/>
          <w:szCs w:val="21"/>
          <w:lang w:eastAsia="zh-CN"/>
        </w:rPr>
        <w:t>CGMP</w:t>
      </w:r>
      <w:r>
        <w:rPr>
          <w:rFonts w:hint="eastAsia" w:ascii="Arial" w:hAnsi="Arial" w:eastAsia="宋体" w:cs="Arial"/>
          <w:snapToGrid w:val="0"/>
          <w:sz w:val="21"/>
          <w:szCs w:val="21"/>
          <w:lang w:eastAsia="zh-CN"/>
        </w:rPr>
        <w:t>操作系统基础的规章）的相应要求可能有所帮助。例如，如果机构按照基于器械</w:t>
      </w:r>
      <w:r>
        <w:rPr>
          <w:rFonts w:ascii="Arial" w:hAnsi="Arial" w:eastAsia="宋体" w:cs="Arial"/>
          <w:snapToGrid w:val="0"/>
          <w:sz w:val="21"/>
          <w:szCs w:val="21"/>
          <w:lang w:eastAsia="zh-CN"/>
        </w:rPr>
        <w:t>QS</w:t>
      </w:r>
      <w:r>
        <w:rPr>
          <w:rFonts w:hint="eastAsia" w:ascii="Arial" w:hAnsi="Arial" w:eastAsia="宋体" w:cs="Arial"/>
          <w:snapToGrid w:val="0"/>
          <w:sz w:val="21"/>
          <w:szCs w:val="21"/>
          <w:lang w:eastAsia="zh-CN"/>
        </w:rPr>
        <w:t>规章的简化方法操作，则在决定如何遵守</w:t>
      </w:r>
      <w:r>
        <w:rPr>
          <w:rFonts w:ascii="Arial" w:hAnsi="Arial" w:eastAsia="宋体" w:cs="Arial"/>
          <w:snapToGrid w:val="0"/>
          <w:sz w:val="21"/>
          <w:szCs w:val="21"/>
          <w:lang w:eastAsia="zh-CN"/>
        </w:rPr>
        <w:t>21 CFR 820.70</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820.80</w:t>
      </w:r>
      <w:r>
        <w:rPr>
          <w:rFonts w:hint="eastAsia" w:ascii="Arial" w:hAnsi="Arial" w:eastAsia="宋体" w:cs="Arial"/>
          <w:snapToGrid w:val="0"/>
          <w:sz w:val="21"/>
          <w:szCs w:val="21"/>
          <w:lang w:eastAsia="zh-CN"/>
        </w:rPr>
        <w:t>和</w:t>
      </w:r>
      <w:r>
        <w:rPr>
          <w:rFonts w:ascii="Arial" w:hAnsi="Arial" w:eastAsia="宋体" w:cs="Arial"/>
          <w:snapToGrid w:val="0"/>
          <w:sz w:val="21"/>
          <w:szCs w:val="21"/>
          <w:lang w:eastAsia="zh-CN"/>
        </w:rPr>
        <w:t>820.86</w:t>
      </w:r>
      <w:r>
        <w:rPr>
          <w:rFonts w:hint="eastAsia" w:ascii="Arial" w:hAnsi="Arial" w:eastAsia="宋体" w:cs="Arial"/>
          <w:snapToGrid w:val="0"/>
          <w:sz w:val="21"/>
          <w:szCs w:val="21"/>
          <w:lang w:eastAsia="zh-CN"/>
        </w:rPr>
        <w:t>中规定的整个组合产品义务时，参考</w:t>
      </w:r>
      <w:r>
        <w:rPr>
          <w:rFonts w:ascii="Arial" w:hAnsi="Arial" w:eastAsia="宋体" w:cs="Arial"/>
          <w:snapToGrid w:val="0"/>
          <w:sz w:val="21"/>
          <w:szCs w:val="21"/>
          <w:lang w:eastAsia="zh-CN"/>
        </w:rPr>
        <w:t>21 CFR 211.110</w:t>
      </w:r>
      <w:r>
        <w:rPr>
          <w:rFonts w:hint="eastAsia" w:ascii="Arial" w:hAnsi="Arial" w:eastAsia="宋体" w:cs="Arial"/>
          <w:snapToGrid w:val="0"/>
          <w:sz w:val="21"/>
          <w:szCs w:val="21"/>
          <w:lang w:eastAsia="zh-CN"/>
        </w:rPr>
        <w:t>和有关药品中间体的指南可能促进关于药品组成部分控制的适当考虑。</w:t>
      </w:r>
    </w:p>
  </w:footnote>
  <w:footnote w:id="94">
    <w:p w14:paraId="50D046D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关于稳定性测试考虑的进一步信息，见行业指南</w:t>
      </w:r>
      <w:bookmarkStart w:id="227" w:name="OLE_LINK52"/>
      <w:bookmarkStart w:id="228" w:name="OLE_LINK51"/>
      <w:r>
        <w:rPr>
          <w:rFonts w:ascii="Arial" w:hAnsi="Arial" w:eastAsia="宋体" w:cs="Arial"/>
          <w:snapToGrid w:val="0"/>
          <w:sz w:val="21"/>
          <w:szCs w:val="21"/>
          <w:lang w:eastAsia="zh-CN"/>
        </w:rPr>
        <w:t>《Q1A（R2</w:t>
      </w:r>
      <w:bookmarkEnd w:id="227"/>
      <w:bookmarkEnd w:id="228"/>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新原料药和制剂稳定性测试</w:t>
      </w:r>
      <w:r>
        <w:rPr>
          <w:rFonts w:ascii="Arial" w:hAnsi="Arial" w:eastAsia="宋体" w:cs="Arial"/>
          <w:snapToGrid w:val="0"/>
          <w:sz w:val="21"/>
          <w:szCs w:val="21"/>
          <w:lang w:eastAsia="zh-CN"/>
        </w:rPr>
        <w:t>》（2003年11月）等。</w:t>
      </w:r>
    </w:p>
  </w:footnote>
  <w:footnote w:id="95">
    <w:p w14:paraId="6FD3FBA6">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211.166（a）（4）。</w:t>
      </w:r>
    </w:p>
  </w:footnote>
  <w:footnote w:id="96">
    <w:p w14:paraId="695BDC25">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4.3，4.4和211.166。此外，尽管21 CFR 211.166的稳定性测试要求不适用于组合包装组合产品的器械组成部分，但根据设计控制要求，必须执行测试以证明在指定的组合产品到期日之前一直能保持器械功能性（即器械组成部分的机械性能）。见21 CFR 820.30。</w:t>
      </w:r>
    </w:p>
  </w:footnote>
  <w:footnote w:id="97">
    <w:p w14:paraId="0C4CE13B">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关于交叉和矩阵考虑的进一步信息，见行业指南《Q1D</w:t>
      </w:r>
      <w:r>
        <w:rPr>
          <w:rFonts w:hint="eastAsia" w:ascii="Arial" w:hAnsi="Arial" w:eastAsia="宋体" w:cs="Arial"/>
          <w:snapToGrid w:val="0"/>
          <w:sz w:val="21"/>
          <w:szCs w:val="21"/>
          <w:lang w:eastAsia="zh-CN"/>
        </w:rPr>
        <w:t>新原料药和制剂稳定性测试的交叉和矩阵设计</w:t>
      </w:r>
      <w:r>
        <w:rPr>
          <w:rFonts w:ascii="Arial" w:hAnsi="Arial" w:eastAsia="宋体" w:cs="Arial"/>
          <w:snapToGrid w:val="0"/>
          <w:sz w:val="21"/>
          <w:szCs w:val="21"/>
          <w:lang w:eastAsia="zh-CN"/>
        </w:rPr>
        <w:t>》（2003年1月）等。</w:t>
      </w:r>
    </w:p>
  </w:footnote>
  <w:footnote w:id="98">
    <w:p w14:paraId="752AE414">
      <w:pPr>
        <w:pStyle w:val="11"/>
        <w:spacing w:line="300" w:lineRule="auto"/>
        <w:jc w:val="both"/>
        <w:rPr>
          <w:lang w:eastAsia="zh-CN"/>
        </w:rPr>
      </w:pPr>
      <w:r>
        <w:rPr>
          <w:rStyle w:val="17"/>
        </w:rPr>
        <w:footnoteRef/>
      </w:r>
      <w:r>
        <w:rPr>
          <w:rFonts w:hint="eastAsia" w:ascii="Arial" w:hAnsi="Arial" w:eastAsia="宋体" w:cs="Arial"/>
          <w:snapToGrid w:val="0"/>
          <w:sz w:val="24"/>
          <w:lang w:eastAsia="zh-CN"/>
        </w:rPr>
        <w:t>注意评价修改对器械组成部分影响的保质期测试可能仍适当。</w:t>
      </w:r>
    </w:p>
  </w:footnote>
  <w:footnote w:id="99">
    <w:p w14:paraId="62AB20A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这也可能适用于仅形状不同的产品系列，再次说明前提是这些形状</w:t>
      </w:r>
      <w:r>
        <w:rPr>
          <w:rFonts w:ascii="Arial" w:hAnsi="Arial" w:eastAsia="宋体" w:cs="Arial"/>
          <w:snapToGrid w:val="0"/>
          <w:sz w:val="21"/>
          <w:szCs w:val="20"/>
          <w:lang w:eastAsia="zh-CN"/>
        </w:rPr>
        <w:t>变化</w:t>
      </w:r>
      <w:r>
        <w:rPr>
          <w:rFonts w:ascii="Arial" w:hAnsi="Arial" w:eastAsia="宋体" w:cs="Arial"/>
          <w:snapToGrid w:val="0"/>
          <w:sz w:val="21"/>
          <w:szCs w:val="21"/>
          <w:lang w:eastAsia="zh-CN"/>
        </w:rPr>
        <w:t>不太可能影响稳定性。</w:t>
      </w:r>
    </w:p>
  </w:footnote>
  <w:footnote w:id="100">
    <w:p w14:paraId="35109FC7">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注意用来评价修改对器械组成部分影响的保质期测试可能仍适当。</w:t>
      </w:r>
    </w:p>
  </w:footnote>
  <w:footnote w:id="101">
    <w:p w14:paraId="69768B55">
      <w:pPr>
        <w:pStyle w:val="11"/>
        <w:spacing w:line="300" w:lineRule="auto"/>
        <w:jc w:val="both"/>
        <w:rPr>
          <w:sz w:val="15"/>
          <w:lang w:eastAsia="zh-CN"/>
        </w:rPr>
      </w:pPr>
      <w:r>
        <w:rPr>
          <w:rStyle w:val="17"/>
          <w:sz w:val="15"/>
        </w:rPr>
        <w:footnoteRef/>
      </w:r>
      <w:r>
        <w:rPr>
          <w:rFonts w:hint="eastAsia" w:ascii="Arial" w:hAnsi="Arial" w:eastAsia="宋体" w:cs="Arial"/>
          <w:snapToGrid w:val="0"/>
          <w:sz w:val="21"/>
          <w:lang w:eastAsia="zh-CN"/>
        </w:rPr>
        <w:t>空注射器的无菌性和无产热原性相关要求通过符合其它条款（例如，</w:t>
      </w:r>
      <w:r>
        <w:rPr>
          <w:rFonts w:ascii="Arial" w:hAnsi="Arial" w:eastAsia="宋体" w:cs="Arial"/>
          <w:snapToGrid w:val="0"/>
          <w:sz w:val="21"/>
          <w:lang w:eastAsia="zh-CN"/>
        </w:rPr>
        <w:t>21 CFR 211</w:t>
      </w:r>
      <w:r>
        <w:rPr>
          <w:rFonts w:hint="eastAsia" w:ascii="Arial" w:hAnsi="Arial" w:eastAsia="宋体" w:cs="Arial"/>
          <w:snapToGrid w:val="0"/>
          <w:sz w:val="21"/>
          <w:lang w:eastAsia="zh-CN"/>
        </w:rPr>
        <w:t>或</w:t>
      </w:r>
      <w:r>
        <w:rPr>
          <w:rFonts w:ascii="Arial" w:hAnsi="Arial" w:eastAsia="宋体" w:cs="Arial"/>
          <w:snapToGrid w:val="0"/>
          <w:sz w:val="21"/>
          <w:lang w:eastAsia="zh-CN"/>
        </w:rPr>
        <w:t>21 CFR 820</w:t>
      </w:r>
      <w:r>
        <w:rPr>
          <w:rFonts w:hint="eastAsia" w:ascii="Arial" w:hAnsi="Arial" w:eastAsia="宋体" w:cs="Arial"/>
          <w:snapToGrid w:val="0"/>
          <w:sz w:val="21"/>
          <w:lang w:eastAsia="zh-CN"/>
        </w:rPr>
        <w:t>中的过程控制要求，</w:t>
      </w:r>
      <w:r>
        <w:rPr>
          <w:rFonts w:ascii="Arial" w:hAnsi="Arial" w:eastAsia="宋体" w:cs="Arial"/>
          <w:snapToGrid w:val="0"/>
          <w:sz w:val="21"/>
          <w:lang w:eastAsia="zh-CN"/>
        </w:rPr>
        <w:t>21 CFR 820.30</w:t>
      </w:r>
      <w:r>
        <w:rPr>
          <w:rFonts w:hint="eastAsia" w:ascii="Arial" w:hAnsi="Arial" w:eastAsia="宋体" w:cs="Arial"/>
          <w:snapToGrid w:val="0"/>
          <w:sz w:val="21"/>
          <w:lang w:eastAsia="zh-CN"/>
        </w:rPr>
        <w:t>的设计控制要求和</w:t>
      </w:r>
      <w:r>
        <w:rPr>
          <w:rFonts w:ascii="Arial" w:hAnsi="Arial" w:eastAsia="宋体" w:cs="Arial"/>
          <w:snapToGrid w:val="0"/>
          <w:sz w:val="21"/>
          <w:lang w:eastAsia="zh-CN"/>
        </w:rPr>
        <w:t>21 CFR 820.50</w:t>
      </w:r>
      <w:r>
        <w:rPr>
          <w:rFonts w:hint="eastAsia" w:ascii="Arial" w:hAnsi="Arial" w:eastAsia="宋体" w:cs="Arial"/>
          <w:snapToGrid w:val="0"/>
          <w:sz w:val="21"/>
          <w:lang w:eastAsia="zh-CN"/>
        </w:rPr>
        <w:t>的采购控制要求）得到解决。关于热原和内毒素检验的其它信息，见行业指南《热原和内毒素检验：问与答》（</w:t>
      </w:r>
      <w:r>
        <w:rPr>
          <w:rFonts w:ascii="Arial" w:hAnsi="Arial" w:eastAsia="宋体" w:cs="Arial"/>
          <w:snapToGrid w:val="0"/>
          <w:sz w:val="21"/>
          <w:lang w:eastAsia="zh-CN"/>
        </w:rPr>
        <w:t>2012</w:t>
      </w:r>
      <w:r>
        <w:rPr>
          <w:rFonts w:hint="eastAsia" w:ascii="Arial" w:hAnsi="Arial" w:eastAsia="宋体" w:cs="Arial"/>
          <w:snapToGrid w:val="0"/>
          <w:sz w:val="21"/>
          <w:lang w:eastAsia="zh-CN"/>
        </w:rPr>
        <w:t>年6月）。</w:t>
      </w:r>
    </w:p>
  </w:footnote>
  <w:footnote w:id="102">
    <w:p w14:paraId="3F28A72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例如，见行业指南《</w:t>
      </w:r>
      <w:r>
        <w:rPr>
          <w:rFonts w:hint="eastAsia" w:ascii="Arial" w:hAnsi="Arial" w:eastAsia="宋体" w:cs="Arial"/>
          <w:snapToGrid w:val="0"/>
          <w:sz w:val="21"/>
          <w:szCs w:val="21"/>
          <w:lang w:eastAsia="zh-CN"/>
        </w:rPr>
        <w:t>提交用于申请最终湿热灭菌的人用药和兽用药参数放行的文件</w:t>
      </w:r>
      <w:r>
        <w:rPr>
          <w:rFonts w:ascii="Arial" w:hAnsi="Arial" w:eastAsia="宋体" w:cs="Arial"/>
          <w:snapToGrid w:val="0"/>
          <w:sz w:val="21"/>
          <w:szCs w:val="21"/>
          <w:lang w:eastAsia="zh-CN"/>
        </w:rPr>
        <w:t>》（2010年2月）。</w:t>
      </w:r>
    </w:p>
  </w:footnote>
  <w:footnote w:id="103">
    <w:p w14:paraId="3F0A434E">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21 CFR 211.170。不要求评估所有个批次药品的稳定性。见21 CFR 211.166（b）。除非目视检查会影响保留样品的完整性，否则每年必须对保存中的药品保留样品进行至少一次目视检查作为对销售中材料质量的持续检查。 21 CFR 211.170（b）。</w:t>
      </w:r>
    </w:p>
  </w:footnote>
  <w:footnote w:id="104">
    <w:p w14:paraId="483DBFC2">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rPr>
        <w:t xml:space="preserve"> </w:t>
      </w:r>
      <w:r>
        <w:rPr>
          <w:rFonts w:ascii="Arial" w:hAnsi="Arial" w:eastAsia="宋体" w:cs="Arial"/>
          <w:snapToGrid w:val="0"/>
          <w:sz w:val="21"/>
          <w:szCs w:val="21"/>
          <w:lang w:eastAsia="zh-CN"/>
        </w:rPr>
        <w:t>21 CFR 211.170（b）。</w:t>
      </w:r>
    </w:p>
  </w:footnote>
  <w:footnote w:id="105">
    <w:p w14:paraId="45D4CE50">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211.170（b）。</w:t>
      </w:r>
    </w:p>
  </w:footnote>
  <w:footnote w:id="106">
    <w:p w14:paraId="6D8CA620">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211.170（b）。</w:t>
      </w:r>
    </w:p>
  </w:footnote>
  <w:footnote w:id="107">
    <w:p w14:paraId="0D693270">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211.170（b）。</w:t>
      </w:r>
    </w:p>
  </w:footnote>
  <w:footnote w:id="108">
    <w:p w14:paraId="44102A31">
      <w:pPr>
        <w:pStyle w:val="11"/>
        <w:spacing w:line="300" w:lineRule="auto"/>
        <w:jc w:val="both"/>
        <w:rPr>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211.170（a）。</w:t>
      </w:r>
    </w:p>
  </w:footnote>
  <w:footnote w:id="109">
    <w:p w14:paraId="7B85FDDF">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cs="Arial"/>
          <w:sz w:val="21"/>
          <w:szCs w:val="21"/>
          <w:lang w:eastAsia="zh-CN"/>
        </w:rPr>
        <w:t xml:space="preserve"> </w:t>
      </w:r>
      <w:r>
        <w:rPr>
          <w:rFonts w:ascii="Arial" w:hAnsi="Arial" w:eastAsia="宋体" w:cs="Arial"/>
          <w:snapToGrid w:val="0"/>
          <w:sz w:val="21"/>
          <w:szCs w:val="21"/>
          <w:lang w:eastAsia="zh-CN"/>
        </w:rPr>
        <w:t>FDA指出取决于定义更广泛的批次保留样品的方法可能会增加涉及需要实施纠正措施以解决上市后问题的产品的数量。</w:t>
      </w:r>
    </w:p>
  </w:footnote>
  <w:footnote w:id="110">
    <w:p w14:paraId="0812EB6B">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第1271部分的HCT/P条例区分了只受PHS法案第361节（42 U.S.C. 264）和第1271部分监管的HCT/Ps和也作为一种药品、器械和／或生物制品受监管的HCT/Ps。1271.10规定如果一种HCT/P满足以下所有标准，则只受PHS法案第361节的监管：（1）受最低程度的操作；（2）仅供同源使用，并在标签、广告或其他表明制造商意图的指示中反映该内容；（3）HCT/P制造商不把细胞或组织与另一物品结合（水、晶体或灭菌、保护或储存试剂除外），前提是添加水、晶体或灭菌、保护或储存试剂不会引发关于HCT/P的新的临床安全问题；和（4）：以下其中之一：（i）HCT/P无全身影响且不依赖于活细胞的代谢活动达到其基本功能；或（ii）HCT/P有全身影响或依赖于活细胞的代谢活动达到其基本功能，但供自体使用，供一级或二级血亲同种异体使用；或供生殖使用。参考21 CFR 3.2（e），1271.10，1271.15，和1271.20以确定HCT/P是否作为组合产品的药品、器械或生物制品组成部分受监管。</w:t>
      </w:r>
    </w:p>
  </w:footnote>
  <w:footnote w:id="111">
    <w:p w14:paraId="1E9CC9A8">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见78 FR 4317。</w:t>
      </w:r>
    </w:p>
  </w:footnote>
  <w:footnote w:id="112">
    <w:p w14:paraId="21F4C68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1271.150（d）。也见行业指南《</w:t>
      </w:r>
      <w:r>
        <w:rPr>
          <w:rFonts w:hint="eastAsia" w:ascii="Arial" w:hAnsi="Arial" w:eastAsia="宋体" w:cs="Arial"/>
          <w:snapToGrid w:val="0"/>
          <w:sz w:val="21"/>
          <w:szCs w:val="21"/>
          <w:lang w:eastAsia="zh-CN"/>
        </w:rPr>
        <w:t>现行良好组织规范</w:t>
      </w:r>
      <w:r>
        <w:rPr>
          <w:rFonts w:ascii="Arial" w:hAnsi="Arial" w:eastAsia="宋体" w:cs="Arial"/>
          <w:snapToGrid w:val="0"/>
          <w:sz w:val="21"/>
          <w:szCs w:val="21"/>
          <w:lang w:eastAsia="zh-CN"/>
        </w:rPr>
        <w:t>（CGTP）</w:t>
      </w:r>
      <w:r>
        <w:rPr>
          <w:rFonts w:hint="eastAsia" w:ascii="Arial" w:hAnsi="Arial" w:eastAsia="宋体" w:cs="Arial"/>
          <w:snapToGrid w:val="0"/>
          <w:sz w:val="21"/>
          <w:szCs w:val="21"/>
          <w:lang w:eastAsia="zh-CN"/>
        </w:rPr>
        <w:t>和对人类细胞、组织及细胞和组织产品</w:t>
      </w:r>
      <w:r>
        <w:rPr>
          <w:rFonts w:ascii="Arial" w:hAnsi="Arial" w:eastAsia="宋体" w:cs="Arial"/>
          <w:snapToGrid w:val="0"/>
          <w:sz w:val="21"/>
          <w:szCs w:val="21"/>
          <w:lang w:eastAsia="zh-CN"/>
        </w:rPr>
        <w:t>（HCT/Ps）</w:t>
      </w:r>
      <w:r>
        <w:rPr>
          <w:rFonts w:hint="eastAsia" w:ascii="Arial" w:hAnsi="Arial" w:eastAsia="宋体" w:cs="Arial"/>
          <w:snapToGrid w:val="0"/>
          <w:sz w:val="21"/>
          <w:szCs w:val="21"/>
          <w:lang w:eastAsia="zh-CN"/>
        </w:rPr>
        <w:t>制造商的其它要求</w:t>
      </w:r>
      <w:r>
        <w:rPr>
          <w:rFonts w:ascii="Arial" w:hAnsi="Arial" w:eastAsia="宋体" w:cs="Arial"/>
          <w:snapToGrid w:val="0"/>
          <w:sz w:val="21"/>
          <w:szCs w:val="21"/>
          <w:lang w:eastAsia="zh-CN"/>
        </w:rPr>
        <w:t>》（2011年12月）。</w:t>
      </w:r>
    </w:p>
  </w:footnote>
  <w:footnote w:id="113">
    <w:p w14:paraId="7F9F2B72">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尽管含生物制品的载药注射器可能存在更常见的一些其它问题，比如生物制品与注射器材料的相互作用和产品黏度对输送的影响，但其设计控制考虑大部分与示例内容类似。</w:t>
      </w:r>
    </w:p>
  </w:footnote>
  <w:footnote w:id="114">
    <w:p w14:paraId="1418F759">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CFR第4部分。</w:t>
      </w:r>
    </w:p>
  </w:footnote>
  <w:footnote w:id="115">
    <w:p w14:paraId="78408D91">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4.4（b）（1）。</w:t>
      </w:r>
    </w:p>
  </w:footnote>
  <w:footnote w:id="116">
    <w:p w14:paraId="45BC4AA6">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如果器械部件供应商没有设计控制信息，制造商A可能需要对注射器进行更广泛的设计控制活动。例如，如果注射器部件供应商未实施针对器械的可供借用的适当测试，则制造商A将需要执行针对器械的验证测试以证实注射器满足必要的柱塞力规格或其它参数规格。</w:t>
      </w:r>
    </w:p>
  </w:footnote>
  <w:footnote w:id="117">
    <w:p w14:paraId="79FA3101">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820.30（f）和（g）。</w:t>
      </w:r>
    </w:p>
  </w:footnote>
  <w:footnote w:id="118">
    <w:p w14:paraId="7E7CB598">
      <w:pPr>
        <w:pStyle w:val="11"/>
        <w:spacing w:line="300" w:lineRule="auto"/>
        <w:jc w:val="both"/>
        <w:rPr>
          <w:rFonts w:ascii="Arial" w:hAnsi="Arial" w:eastAsia="宋体" w:cs="Arial"/>
          <w:snapToGrid w:val="0"/>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关于生物相容性的其它信息，见《</w:t>
      </w:r>
      <w:r>
        <w:rPr>
          <w:rFonts w:hint="eastAsia" w:ascii="Arial" w:hAnsi="Arial" w:eastAsia="宋体" w:cs="Arial"/>
          <w:snapToGrid w:val="0"/>
          <w:sz w:val="21"/>
          <w:szCs w:val="21"/>
          <w:lang w:eastAsia="zh-CN"/>
        </w:rPr>
        <w:t>行业及</w:t>
      </w:r>
      <w:r>
        <w:rPr>
          <w:rFonts w:ascii="Arial" w:hAnsi="Arial" w:eastAsia="宋体" w:cs="Arial"/>
          <w:snapToGrid w:val="0"/>
          <w:sz w:val="21"/>
          <w:szCs w:val="21"/>
          <w:lang w:eastAsia="zh-CN"/>
        </w:rPr>
        <w:t>FDA</w:t>
      </w:r>
      <w:r>
        <w:rPr>
          <w:rFonts w:hint="eastAsia" w:ascii="Arial" w:hAnsi="Arial" w:eastAsia="宋体" w:cs="Arial"/>
          <w:snapToGrid w:val="0"/>
          <w:sz w:val="21"/>
          <w:szCs w:val="21"/>
          <w:lang w:eastAsia="zh-CN"/>
        </w:rPr>
        <w:t>工作人员指南：采用国际标准</w:t>
      </w:r>
      <w:bookmarkStart w:id="229" w:name="OLE_LINK53"/>
      <w:bookmarkStart w:id="230" w:name="OLE_LINK54"/>
      <w:r>
        <w:rPr>
          <w:rFonts w:ascii="Arial" w:hAnsi="Arial" w:eastAsia="宋体" w:cs="Arial"/>
          <w:snapToGrid w:val="0"/>
          <w:sz w:val="21"/>
          <w:szCs w:val="21"/>
          <w:lang w:eastAsia="zh-CN"/>
        </w:rPr>
        <w:t>ISO 10993-1</w:t>
      </w:r>
      <w:r>
        <w:rPr>
          <w:rFonts w:hint="eastAsia" w:ascii="Arial" w:hAnsi="Arial" w:eastAsia="宋体" w:cs="Arial"/>
          <w:snapToGrid w:val="0"/>
          <w:sz w:val="21"/>
          <w:szCs w:val="21"/>
          <w:lang w:eastAsia="zh-CN"/>
        </w:rPr>
        <w:t>，</w:t>
      </w:r>
      <w:r>
        <w:rPr>
          <w:rFonts w:ascii="宋体" w:hAnsi="宋体" w:eastAsia="宋体" w:cs="Arial"/>
          <w:snapToGrid w:val="0"/>
          <w:sz w:val="21"/>
          <w:szCs w:val="21"/>
          <w:lang w:eastAsia="zh-CN"/>
        </w:rPr>
        <w:t>“</w:t>
      </w:r>
      <w:r>
        <w:rPr>
          <w:rFonts w:hint="eastAsia" w:ascii="宋体" w:hAnsi="宋体" w:eastAsia="宋体" w:cs="Arial"/>
          <w:snapToGrid w:val="0"/>
          <w:sz w:val="21"/>
          <w:szCs w:val="21"/>
          <w:lang w:eastAsia="zh-CN"/>
        </w:rPr>
        <w:t>医</w:t>
      </w:r>
      <w:r>
        <w:rPr>
          <w:rFonts w:hint="eastAsia" w:ascii="Arial" w:hAnsi="Arial" w:eastAsia="宋体" w:cs="Arial"/>
          <w:snapToGrid w:val="0"/>
          <w:sz w:val="21"/>
          <w:szCs w:val="21"/>
          <w:lang w:eastAsia="zh-CN"/>
        </w:rPr>
        <w:t>疗器械生物学评价</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第</w:t>
      </w:r>
      <w:r>
        <w:rPr>
          <w:rFonts w:ascii="Arial" w:hAnsi="Arial" w:eastAsia="宋体" w:cs="Arial"/>
          <w:snapToGrid w:val="0"/>
          <w:sz w:val="21"/>
          <w:szCs w:val="21"/>
          <w:lang w:eastAsia="zh-CN"/>
        </w:rPr>
        <w:t>1</w:t>
      </w:r>
      <w:r>
        <w:rPr>
          <w:rFonts w:hint="eastAsia" w:ascii="Arial" w:hAnsi="Arial" w:eastAsia="宋体" w:cs="Arial"/>
          <w:snapToGrid w:val="0"/>
          <w:sz w:val="21"/>
          <w:szCs w:val="21"/>
          <w:lang w:eastAsia="zh-CN"/>
        </w:rPr>
        <w:t>部分</w:t>
      </w:r>
      <w:bookmarkEnd w:id="229"/>
      <w:bookmarkEnd w:id="230"/>
      <w:r>
        <w:rPr>
          <w:rFonts w:hint="eastAsia" w:ascii="Arial" w:hAnsi="Arial" w:eastAsia="宋体" w:cs="Arial"/>
          <w:snapToGrid w:val="0"/>
          <w:sz w:val="21"/>
          <w:szCs w:val="21"/>
          <w:lang w:eastAsia="zh-CN"/>
        </w:rPr>
        <w:t>：风险管理过程中的评价和测试</w:t>
      </w:r>
      <w:r>
        <w:rPr>
          <w:rFonts w:ascii="宋体" w:hAnsi="宋体" w:eastAsia="宋体" w:cs="Arial"/>
          <w:snapToGrid w:val="0"/>
          <w:sz w:val="21"/>
          <w:szCs w:val="21"/>
          <w:lang w:eastAsia="zh-CN"/>
        </w:rPr>
        <w:t>”</w:t>
      </w:r>
      <w:r>
        <w:rPr>
          <w:rFonts w:hint="eastAsia" w:ascii="Arial" w:hAnsi="Arial" w:eastAsia="宋体" w:cs="Arial"/>
          <w:snapToGrid w:val="0"/>
          <w:sz w:val="21"/>
          <w:szCs w:val="21"/>
          <w:lang w:eastAsia="zh-CN"/>
        </w:rPr>
        <w:t>》</w:t>
      </w:r>
      <w:r>
        <w:rPr>
          <w:rFonts w:ascii="Arial" w:hAnsi="Arial" w:eastAsia="宋体" w:cs="Arial"/>
          <w:snapToGrid w:val="0"/>
          <w:sz w:val="21"/>
          <w:szCs w:val="21"/>
          <w:lang w:eastAsia="zh-CN"/>
        </w:rPr>
        <w:t>（2016年6月）。</w:t>
      </w:r>
    </w:p>
    <w:p w14:paraId="3B254E8A">
      <w:pPr>
        <w:pStyle w:val="11"/>
        <w:spacing w:line="300" w:lineRule="auto"/>
        <w:jc w:val="both"/>
        <w:rPr>
          <w:rFonts w:ascii="Arial" w:hAnsi="Arial" w:cs="Arial"/>
          <w:sz w:val="21"/>
          <w:szCs w:val="21"/>
          <w:lang w:eastAsia="zh-CN"/>
        </w:rPr>
      </w:pPr>
      <w:r>
        <w:rPr>
          <w:rFonts w:ascii="Arial" w:hAnsi="Arial" w:eastAsia="宋体" w:cs="Arial"/>
          <w:snapToGrid w:val="0"/>
          <w:sz w:val="21"/>
          <w:szCs w:val="21"/>
          <w:lang w:eastAsia="zh-CN"/>
        </w:rPr>
        <w:t>也见，USP</w:t>
      </w:r>
      <w:bookmarkStart w:id="231" w:name="OLE_LINK55"/>
      <w:bookmarkStart w:id="232" w:name="OLE_LINK56"/>
      <w:r>
        <w:rPr>
          <w:rFonts w:ascii="Arial" w:hAnsi="Arial" w:eastAsia="宋体" w:cs="Arial"/>
          <w:snapToGrid w:val="0"/>
          <w:sz w:val="21"/>
          <w:szCs w:val="21"/>
          <w:lang w:eastAsia="zh-CN"/>
        </w:rPr>
        <w:t>第&lt;87&gt;章《</w:t>
      </w:r>
      <w:r>
        <w:rPr>
          <w:rFonts w:hint="eastAsia" w:ascii="Arial" w:hAnsi="Arial" w:eastAsia="宋体" w:cs="Arial"/>
          <w:snapToGrid w:val="0"/>
          <w:sz w:val="21"/>
          <w:szCs w:val="21"/>
          <w:lang w:eastAsia="zh-CN"/>
        </w:rPr>
        <w:t>体外的生物反应性检查法》</w:t>
      </w:r>
      <w:bookmarkEnd w:id="231"/>
      <w:bookmarkEnd w:id="232"/>
      <w:r>
        <w:rPr>
          <w:rFonts w:ascii="Arial" w:hAnsi="Arial" w:eastAsia="宋体" w:cs="Arial"/>
          <w:snapToGrid w:val="0"/>
          <w:sz w:val="21"/>
          <w:szCs w:val="21"/>
          <w:lang w:eastAsia="zh-CN"/>
        </w:rPr>
        <w:t>和USP第&lt;88&gt;章《</w:t>
      </w:r>
      <w:r>
        <w:rPr>
          <w:rFonts w:hint="eastAsia" w:ascii="Arial" w:hAnsi="Arial" w:eastAsia="宋体" w:cs="Arial"/>
          <w:snapToGrid w:val="0"/>
          <w:sz w:val="21"/>
          <w:szCs w:val="21"/>
          <w:lang w:eastAsia="zh-CN"/>
        </w:rPr>
        <w:t>体内的生物反应性检查法</w:t>
      </w:r>
      <w:r>
        <w:rPr>
          <w:rFonts w:ascii="Arial" w:hAnsi="Arial" w:eastAsia="宋体" w:cs="Arial"/>
          <w:snapToGrid w:val="0"/>
          <w:sz w:val="21"/>
          <w:szCs w:val="21"/>
          <w:lang w:eastAsia="zh-CN"/>
        </w:rPr>
        <w:t>》。</w:t>
      </w:r>
    </w:p>
  </w:footnote>
  <w:footnote w:id="119">
    <w:p w14:paraId="05D18532">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820.30（g）。</w:t>
      </w:r>
    </w:p>
  </w:footnote>
  <w:footnote w:id="120">
    <w:p w14:paraId="054C1411">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820.30（i）。</w:t>
      </w:r>
    </w:p>
  </w:footnote>
  <w:footnote w:id="121">
    <w:p w14:paraId="4B48FD3E">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与药品接触的材料的变更可能引发药品CGMP考虑，例如稳定性测试和到期日要求（21 CFR 211.137和21 CFR 211.167）。可能情况下，当确定21 CFR 820.30要求进行哪些验证活动时，制造商可借用为满足这些21 CFR 211要求所收集的数据。</w:t>
      </w:r>
    </w:p>
  </w:footnote>
  <w:footnote w:id="122">
    <w:p w14:paraId="56A834C2">
      <w:pPr>
        <w:pStyle w:val="11"/>
        <w:spacing w:line="300" w:lineRule="auto"/>
        <w:jc w:val="both"/>
        <w:rPr>
          <w:rFonts w:ascii="Arial" w:hAnsi="Arial" w:cs="Arial"/>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820.30（j）。</w:t>
      </w:r>
    </w:p>
  </w:footnote>
  <w:footnote w:id="123">
    <w:p w14:paraId="6A77E96C">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此外，由于器械组成部分（注射器）也是药品容器／密封件，制造商A必须根据21 CFR 211.84对注射器部件执行验收测试。</w:t>
      </w:r>
    </w:p>
  </w:footnote>
  <w:footnote w:id="124">
    <w:p w14:paraId="5618833F">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820.50。</w:t>
      </w:r>
    </w:p>
  </w:footnote>
  <w:footnote w:id="125">
    <w:p w14:paraId="08C4571A">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820.30（d），（f）和（g）。</w:t>
      </w:r>
    </w:p>
  </w:footnote>
  <w:footnote w:id="126">
    <w:p w14:paraId="34E1EC33">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820.30（g）。</w:t>
      </w:r>
    </w:p>
  </w:footnote>
  <w:footnote w:id="127">
    <w:p w14:paraId="2E776E23">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820.30（h）。</w:t>
      </w:r>
    </w:p>
  </w:footnote>
  <w:footnote w:id="128">
    <w:p w14:paraId="785A62CF">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820.30（g）。</w:t>
      </w:r>
    </w:p>
  </w:footnote>
  <w:footnote w:id="129">
    <w:p w14:paraId="5D7E2047">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820.30（f）。</w:t>
      </w:r>
    </w:p>
  </w:footnote>
  <w:footnote w:id="130">
    <w:p w14:paraId="3F76FED8">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见行业指南</w:t>
      </w:r>
      <w:r>
        <w:rPr>
          <w:rFonts w:ascii="Arial" w:hAnsi="Arial" w:eastAsia="宋体" w:cs="Arial"/>
          <w:i/>
          <w:snapToGrid w:val="0"/>
          <w:sz w:val="21"/>
          <w:szCs w:val="21"/>
          <w:lang w:eastAsia="zh-CN"/>
        </w:rPr>
        <w:t>Q1A（R2）新原料药和制剂稳定性测试</w:t>
      </w:r>
      <w:r>
        <w:rPr>
          <w:rFonts w:ascii="Arial" w:hAnsi="Arial" w:eastAsia="宋体" w:cs="Arial"/>
          <w:snapToGrid w:val="0"/>
          <w:sz w:val="21"/>
          <w:szCs w:val="21"/>
          <w:lang w:eastAsia="zh-CN"/>
        </w:rPr>
        <w:t>（2003年11月）。</w:t>
      </w:r>
    </w:p>
  </w:footnote>
  <w:footnote w:id="131">
    <w:p w14:paraId="73A41265">
      <w:pPr>
        <w:pStyle w:val="11"/>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820.50（a）（2）。</w:t>
      </w:r>
    </w:p>
  </w:footnote>
  <w:footnote w:id="132">
    <w:p w14:paraId="73695BD0">
      <w:pPr>
        <w:pStyle w:val="11"/>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211.84（d）（2）。</w:t>
      </w:r>
    </w:p>
  </w:footnote>
  <w:footnote w:id="133">
    <w:p w14:paraId="4AC26D67">
      <w:pPr>
        <w:pStyle w:val="11"/>
        <w:spacing w:line="300" w:lineRule="auto"/>
        <w:jc w:val="both"/>
        <w:rPr>
          <w:rFonts w:ascii="Arial" w:hAnsi="Arial" w:eastAsia="宋体" w:cs="Arial"/>
          <w:sz w:val="21"/>
          <w:szCs w:val="21"/>
          <w:lang w:eastAsia="zh-CN"/>
        </w:rPr>
      </w:pPr>
      <w:r>
        <w:rPr>
          <w:rStyle w:val="17"/>
          <w:rFonts w:ascii="Arial" w:hAnsi="Arial" w:eastAsia="宋体" w:cs="Arial"/>
          <w:sz w:val="21"/>
          <w:szCs w:val="21"/>
        </w:rPr>
        <w:footnoteRef/>
      </w:r>
      <w:r>
        <w:rPr>
          <w:rFonts w:ascii="Arial" w:hAnsi="Arial" w:eastAsia="宋体" w:cs="Arial"/>
          <w:snapToGrid w:val="0"/>
          <w:sz w:val="21"/>
          <w:szCs w:val="21"/>
          <w:lang w:eastAsia="zh-CN"/>
        </w:rPr>
        <w:t>见21 CFR 211.84（d）（2）。</w:t>
      </w:r>
    </w:p>
  </w:footnote>
  <w:footnote w:id="134">
    <w:p w14:paraId="6BD71545">
      <w:pPr>
        <w:pStyle w:val="11"/>
        <w:spacing w:line="300" w:lineRule="auto"/>
        <w:jc w:val="both"/>
        <w:rPr>
          <w:rFonts w:ascii="Arial" w:hAnsi="Arial" w:eastAsia="宋体" w:cs="Arial"/>
          <w:sz w:val="21"/>
          <w:szCs w:val="21"/>
          <w:lang w:eastAsia="zh-CN"/>
        </w:rPr>
      </w:pPr>
      <w:r>
        <w:rPr>
          <w:rStyle w:val="17"/>
          <w:rFonts w:ascii="Arial" w:hAnsi="Arial" w:eastAsia="宋体" w:cs="Arial"/>
          <w:sz w:val="21"/>
          <w:szCs w:val="21"/>
        </w:rPr>
        <w:footnoteRef/>
      </w:r>
      <w:r>
        <w:rPr>
          <w:rFonts w:ascii="Arial" w:hAnsi="Arial" w:eastAsia="宋体" w:cs="Arial"/>
          <w:sz w:val="21"/>
          <w:szCs w:val="21"/>
          <w:lang w:eastAsia="zh-CN"/>
        </w:rPr>
        <w:t xml:space="preserve"> </w:t>
      </w:r>
      <w:r>
        <w:rPr>
          <w:rFonts w:ascii="Arial" w:hAnsi="Arial" w:eastAsia="宋体" w:cs="Arial"/>
          <w:snapToGrid w:val="0"/>
          <w:sz w:val="21"/>
          <w:szCs w:val="21"/>
          <w:lang w:eastAsia="zh-CN"/>
        </w:rPr>
        <w:t>21 CFR 211.84（d）（2）。</w:t>
      </w:r>
    </w:p>
  </w:footnote>
  <w:footnote w:id="135">
    <w:p w14:paraId="1CB19FC0">
      <w:pPr>
        <w:pStyle w:val="11"/>
        <w:spacing w:line="300" w:lineRule="auto"/>
        <w:jc w:val="both"/>
        <w:rPr>
          <w:rFonts w:ascii="Arial" w:hAnsi="Arial" w:eastAsia="宋体" w:cs="Arial"/>
          <w:sz w:val="21"/>
          <w:szCs w:val="21"/>
          <w:lang w:eastAsia="zh-CN"/>
        </w:rPr>
      </w:pPr>
      <w:r>
        <w:rPr>
          <w:rStyle w:val="17"/>
          <w:rFonts w:ascii="Arial" w:hAnsi="Arial" w:eastAsia="宋体" w:cs="Arial"/>
          <w:sz w:val="21"/>
          <w:szCs w:val="21"/>
        </w:rPr>
        <w:footnoteRef/>
      </w:r>
      <w:r>
        <w:rPr>
          <w:rFonts w:ascii="Arial" w:hAnsi="Arial" w:eastAsia="宋体" w:cs="Arial"/>
          <w:snapToGrid w:val="0"/>
          <w:sz w:val="21"/>
          <w:szCs w:val="21"/>
          <w:lang w:eastAsia="zh-CN"/>
        </w:rPr>
        <w:t>见21 CFR 211.84（d）（2）。</w:t>
      </w:r>
    </w:p>
  </w:footnote>
  <w:footnote w:id="136">
    <w:p w14:paraId="5307DD88">
      <w:pPr>
        <w:pStyle w:val="11"/>
        <w:spacing w:line="300" w:lineRule="auto"/>
        <w:jc w:val="both"/>
        <w:rPr>
          <w:rFonts w:ascii="Arial" w:hAnsi="Arial" w:eastAsia="宋体" w:cs="Arial"/>
          <w:sz w:val="21"/>
          <w:szCs w:val="21"/>
          <w:lang w:eastAsia="zh-CN"/>
        </w:rPr>
      </w:pPr>
      <w:r>
        <w:rPr>
          <w:rStyle w:val="17"/>
          <w:rFonts w:ascii="Arial" w:hAnsi="Arial" w:eastAsia="宋体" w:cs="Arial"/>
          <w:sz w:val="21"/>
          <w:szCs w:val="21"/>
        </w:rPr>
        <w:footnoteRef/>
      </w:r>
      <w:r>
        <w:rPr>
          <w:rFonts w:ascii="Arial" w:hAnsi="Arial" w:eastAsia="宋体" w:cs="Arial"/>
          <w:snapToGrid w:val="0"/>
          <w:sz w:val="21"/>
          <w:szCs w:val="21"/>
          <w:lang w:eastAsia="zh-CN"/>
        </w:rPr>
        <w:t>仅由于器械组成部分（支架）缺陷被否决的药物涂层支架将导致其药品组成部分从批次／批量中的相丢失。应将该丢失作为药品组成部分产量计算的一部分进行记录，且丢失原因的调查应能鉴定出导致这些器械组成部分不合格的制造问题。</w:t>
      </w:r>
    </w:p>
  </w:footnote>
  <w:footnote w:id="137">
    <w:p w14:paraId="166FF8C4">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211.137（a）和（b）。</w:t>
      </w:r>
    </w:p>
  </w:footnote>
  <w:footnote w:id="138">
    <w:p w14:paraId="08117F3E">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211.165（a）。</w:t>
      </w:r>
    </w:p>
  </w:footnote>
  <w:footnote w:id="139">
    <w:p w14:paraId="77D8216F">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如果随着时间推移，制造商A决定开发支架尺寸不同的药物洗脱支架系列产品，本机构不反对制造商借用之前产生的现有版本支架的稳定性数据确定后来版本的到期日，或将新产品并入现有已销售药物洗脱支架的持续稳定性计划，前提是制造商能提供充分依据且（适用情况下）这类方法经过FDA审核。</w:t>
      </w:r>
    </w:p>
  </w:footnote>
  <w:footnote w:id="140">
    <w:p w14:paraId="5F58B29A">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ascii="Arial" w:hAnsi="Arial" w:eastAsia="宋体" w:cs="Arial"/>
          <w:snapToGrid w:val="0"/>
          <w:sz w:val="21"/>
          <w:szCs w:val="21"/>
        </w:rPr>
        <w:t>21 CFR 211.170（a）</w:t>
      </w:r>
      <w:r>
        <w:rPr>
          <w:rFonts w:ascii="Arial" w:hAnsi="Arial" w:eastAsia="宋体" w:cs="Arial"/>
          <w:snapToGrid w:val="0"/>
          <w:sz w:val="21"/>
          <w:szCs w:val="21"/>
          <w:lang w:eastAsia="zh-CN"/>
        </w:rPr>
        <w:t>和</w:t>
      </w:r>
      <w:r>
        <w:rPr>
          <w:rFonts w:ascii="Arial" w:hAnsi="Arial" w:eastAsia="宋体" w:cs="Arial"/>
          <w:snapToGrid w:val="0"/>
          <w:sz w:val="21"/>
          <w:szCs w:val="21"/>
        </w:rPr>
        <w:t>（b）</w:t>
      </w:r>
      <w:r>
        <w:rPr>
          <w:rFonts w:ascii="Arial" w:hAnsi="Arial" w:eastAsia="宋体" w:cs="Arial"/>
          <w:snapToGrid w:val="0"/>
          <w:sz w:val="21"/>
          <w:szCs w:val="21"/>
          <w:lang w:eastAsia="zh-CN"/>
        </w:rPr>
        <w:t>。</w:t>
      </w:r>
    </w:p>
  </w:footnote>
  <w:footnote w:id="141">
    <w:p w14:paraId="4420D4D5">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ascii="Arial" w:hAnsi="Arial" w:eastAsia="宋体" w:cs="Arial"/>
          <w:snapToGrid w:val="0"/>
          <w:sz w:val="21"/>
          <w:szCs w:val="21"/>
        </w:rPr>
        <w:t>21 CFR 211.170（a）</w:t>
      </w:r>
      <w:r>
        <w:rPr>
          <w:rFonts w:ascii="Arial" w:hAnsi="Arial" w:eastAsia="宋体" w:cs="Arial"/>
          <w:snapToGrid w:val="0"/>
          <w:sz w:val="21"/>
          <w:szCs w:val="21"/>
          <w:lang w:eastAsia="zh-CN"/>
        </w:rPr>
        <w:t>和</w:t>
      </w:r>
      <w:r>
        <w:rPr>
          <w:rFonts w:ascii="Arial" w:hAnsi="Arial" w:eastAsia="宋体" w:cs="Arial"/>
          <w:snapToGrid w:val="0"/>
          <w:sz w:val="21"/>
          <w:szCs w:val="21"/>
        </w:rPr>
        <w:t>（b）</w:t>
      </w:r>
      <w:r>
        <w:rPr>
          <w:rFonts w:ascii="Arial" w:hAnsi="Arial" w:eastAsia="宋体" w:cs="Arial"/>
          <w:snapToGrid w:val="0"/>
          <w:sz w:val="21"/>
          <w:szCs w:val="21"/>
          <w:lang w:eastAsia="zh-CN"/>
        </w:rPr>
        <w:t>。</w:t>
      </w:r>
    </w:p>
  </w:footnote>
  <w:footnote w:id="142">
    <w:p w14:paraId="5860BC32">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ascii="Arial" w:hAnsi="Arial" w:eastAsia="宋体" w:cs="Arial"/>
          <w:snapToGrid w:val="0"/>
          <w:sz w:val="21"/>
          <w:szCs w:val="21"/>
        </w:rPr>
        <w:t>21 CFR 211.170（a）（1）</w:t>
      </w:r>
      <w:r>
        <w:rPr>
          <w:rFonts w:ascii="Arial" w:hAnsi="Arial" w:eastAsia="宋体" w:cs="Arial"/>
          <w:snapToGrid w:val="0"/>
          <w:sz w:val="21"/>
          <w:szCs w:val="21"/>
          <w:lang w:eastAsia="zh-CN"/>
        </w:rPr>
        <w:t>。</w:t>
      </w:r>
    </w:p>
  </w:footnote>
  <w:footnote w:id="143">
    <w:p w14:paraId="62D62ACF">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见21 CFR 211.170（b）（1）。</w:t>
      </w:r>
    </w:p>
  </w:footnote>
  <w:footnote w:id="144">
    <w:p w14:paraId="72794CE5">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行业指南草案：冠状动脉药物洗脱支架—非临床和临床研究—（2008年3月）提供了关于药物洗脱支架的其它信息。最终确定时，本指南将代表FDA目前关于该主题的思考。</w:t>
      </w:r>
    </w:p>
  </w:footnote>
  <w:footnote w:id="145">
    <w:p w14:paraId="31DACD49">
      <w:pPr>
        <w:pStyle w:val="11"/>
        <w:spacing w:line="300" w:lineRule="auto"/>
        <w:jc w:val="both"/>
        <w:rPr>
          <w:rFonts w:ascii="Arial" w:hAnsi="Arial" w:cs="Arial"/>
          <w:sz w:val="21"/>
          <w:szCs w:val="21"/>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hint="eastAsia" w:ascii="Arial" w:hAnsi="Arial" w:eastAsia="宋体" w:cs="Arial"/>
          <w:snapToGrid w:val="0"/>
          <w:sz w:val="21"/>
          <w:szCs w:val="21"/>
          <w:lang w:eastAsia="zh-CN"/>
        </w:rPr>
        <w:t>行业指南：</w:t>
      </w:r>
      <w:r>
        <w:rPr>
          <w:rFonts w:ascii="Arial" w:hAnsi="Arial" w:eastAsia="宋体" w:cs="Arial"/>
          <w:snapToGrid w:val="0"/>
          <w:sz w:val="21"/>
          <w:szCs w:val="21"/>
          <w:lang w:eastAsia="zh-CN"/>
        </w:rPr>
        <w:t>FDA</w:t>
      </w:r>
      <w:r>
        <w:rPr>
          <w:rFonts w:hint="eastAsia" w:ascii="Arial" w:hAnsi="Arial" w:eastAsia="宋体" w:cs="Arial"/>
          <w:snapToGrid w:val="0"/>
          <w:sz w:val="21"/>
          <w:szCs w:val="21"/>
          <w:lang w:eastAsia="zh-CN"/>
        </w:rPr>
        <w:t>与申办方或申请人的正式会议》</w:t>
      </w:r>
      <w:r>
        <w:rPr>
          <w:rFonts w:ascii="Arial" w:hAnsi="Arial" w:eastAsia="宋体" w:cs="Arial"/>
          <w:snapToGrid w:val="0"/>
          <w:sz w:val="21"/>
          <w:szCs w:val="21"/>
          <w:lang w:eastAsia="zh-CN"/>
        </w:rPr>
        <w:t>（2009年5月）。</w:t>
      </w:r>
    </w:p>
  </w:footnote>
  <w:footnote w:id="146">
    <w:p w14:paraId="46C886EA">
      <w:pPr>
        <w:pStyle w:val="11"/>
        <w:spacing w:line="300" w:lineRule="auto"/>
        <w:jc w:val="both"/>
        <w:rPr>
          <w:lang w:eastAsia="zh-CN"/>
        </w:rPr>
      </w:pPr>
      <w:r>
        <w:rPr>
          <w:rStyle w:val="17"/>
          <w:rFonts w:ascii="Arial" w:hAnsi="Arial" w:cs="Arial"/>
          <w:sz w:val="21"/>
          <w:szCs w:val="21"/>
        </w:rPr>
        <w:footnoteRef/>
      </w:r>
      <w:r>
        <w:rPr>
          <w:rFonts w:ascii="Arial" w:hAnsi="Arial" w:eastAsia="宋体" w:cs="Arial"/>
          <w:snapToGrid w:val="0"/>
          <w:sz w:val="21"/>
          <w:szCs w:val="21"/>
          <w:lang w:eastAsia="zh-CN"/>
        </w:rPr>
        <w:t>见《</w:t>
      </w:r>
      <w:r>
        <w:rPr>
          <w:rFonts w:hint="eastAsia" w:ascii="Arial" w:hAnsi="Arial" w:eastAsia="宋体" w:cs="Arial"/>
          <w:snapToGrid w:val="0"/>
          <w:sz w:val="21"/>
          <w:szCs w:val="21"/>
          <w:lang w:eastAsia="zh-CN"/>
        </w:rPr>
        <w:t>行业及</w:t>
      </w:r>
      <w:r>
        <w:rPr>
          <w:rFonts w:ascii="Arial" w:hAnsi="Arial" w:eastAsia="宋体" w:cs="Arial"/>
          <w:snapToGrid w:val="0"/>
          <w:sz w:val="21"/>
          <w:szCs w:val="21"/>
          <w:lang w:eastAsia="zh-CN"/>
        </w:rPr>
        <w:t>FDA</w:t>
      </w:r>
      <w:r>
        <w:rPr>
          <w:rFonts w:hint="eastAsia" w:ascii="Arial" w:hAnsi="Arial" w:eastAsia="宋体" w:cs="Arial"/>
          <w:snapToGrid w:val="0"/>
          <w:sz w:val="21"/>
          <w:szCs w:val="21"/>
          <w:lang w:eastAsia="zh-CN"/>
        </w:rPr>
        <w:t>工作人员指南</w:t>
      </w:r>
      <w:r>
        <w:rPr>
          <w:rFonts w:ascii="Arial" w:hAnsi="Arial" w:eastAsia="宋体" w:cs="Arial"/>
          <w:snapToGrid w:val="0"/>
          <w:sz w:val="21"/>
          <w:szCs w:val="21"/>
          <w:lang w:eastAsia="zh-CN"/>
        </w:rPr>
        <w:t>：</w:t>
      </w:r>
      <w:r>
        <w:rPr>
          <w:rFonts w:hint="eastAsia" w:ascii="Arial" w:hAnsi="Arial" w:eastAsia="宋体" w:cs="Arial"/>
          <w:snapToGrid w:val="0"/>
          <w:sz w:val="21"/>
          <w:szCs w:val="21"/>
          <w:lang w:eastAsia="zh-CN"/>
        </w:rPr>
        <w:t>请求得到关于医疗器械提交资料的反馈：预提交程序和与食品药品监督管理局工作人员的会议</w:t>
      </w:r>
      <w:r>
        <w:rPr>
          <w:rFonts w:ascii="Arial" w:hAnsi="Arial" w:eastAsia="宋体" w:cs="Arial"/>
          <w:snapToGrid w:val="0"/>
          <w:sz w:val="21"/>
          <w:szCs w:val="21"/>
          <w:lang w:eastAsia="zh-CN"/>
        </w:rPr>
        <w:t>》</w:t>
      </w:r>
      <w:r>
        <w:rPr>
          <w:rFonts w:ascii="Arial" w:hAnsi="Arial" w:eastAsia="宋体" w:cs="Arial"/>
          <w:i/>
          <w:snapToGrid w:val="0"/>
          <w:sz w:val="21"/>
          <w:szCs w:val="21"/>
          <w:lang w:eastAsia="zh-CN"/>
        </w:rPr>
        <w:t xml:space="preserve"> </w:t>
      </w:r>
      <w:r>
        <w:rPr>
          <w:rFonts w:ascii="Arial" w:hAnsi="Arial" w:eastAsia="宋体" w:cs="Arial"/>
          <w:snapToGrid w:val="0"/>
          <w:sz w:val="21"/>
          <w:szCs w:val="21"/>
          <w:lang w:eastAsia="zh-CN"/>
        </w:rPr>
        <w:t>（2014年2月）。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3A52">
    <w:pPr>
      <w:pStyle w:val="9"/>
      <w:pBdr>
        <w:bottom w:val="none" w:color="auto" w:sz="0" w:space="0"/>
      </w:pBdr>
      <w:spacing w:after="120" w:afterLines="50"/>
      <w:rPr>
        <w:rFonts w:ascii="Arial" w:hAnsi="Arial" w:eastAsia="宋体" w:cs="Arial"/>
        <w:b/>
        <w:i/>
        <w:snapToGrid w:val="0"/>
        <w:sz w:val="21"/>
        <w:lang w:eastAsia="zh-CN"/>
      </w:rPr>
    </w:pPr>
    <w:r>
      <w:rPr>
        <w:rFonts w:hint="eastAsia" w:ascii="Arial" w:hAnsi="Arial" w:eastAsia="宋体" w:cs="Arial"/>
        <w:b/>
        <w:i/>
        <w:snapToGrid w:val="0"/>
        <w:sz w:val="21"/>
        <w:lang w:eastAsia="zh-CN"/>
      </w:rPr>
      <w:t>包含不具法律约束力建议</w:t>
    </w:r>
  </w:p>
  <w:p w14:paraId="75114E8F">
    <w:pPr>
      <w:pStyle w:val="9"/>
      <w:pBdr>
        <w:bottom w:val="none" w:color="auto" w:sz="0" w:space="0"/>
      </w:pBdr>
      <w:spacing w:after="120" w:afterLines="5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A76E6"/>
    <w:multiLevelType w:val="multilevel"/>
    <w:tmpl w:val="03DA76E6"/>
    <w:lvl w:ilvl="0" w:tentative="0">
      <w:start w:val="1"/>
      <w:numFmt w:val="bullet"/>
      <w:lvlText w:val=""/>
      <w:lvlJc w:val="left"/>
      <w:pPr>
        <w:ind w:left="840" w:hanging="360"/>
      </w:pPr>
      <w:rPr>
        <w:rFonts w:hint="default" w:ascii="Symbol" w:hAnsi="Symbol" w:eastAsia="Symbol"/>
        <w:sz w:val="24"/>
        <w:szCs w:val="24"/>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1">
    <w:nsid w:val="083D4CF2"/>
    <w:multiLevelType w:val="multilevel"/>
    <w:tmpl w:val="083D4CF2"/>
    <w:lvl w:ilvl="0" w:tentative="0">
      <w:start w:val="1"/>
      <w:numFmt w:val="lowerRoman"/>
      <w:lvlText w:val="(%1)"/>
      <w:lvlJc w:val="left"/>
      <w:pPr>
        <w:ind w:left="1108" w:hanging="288"/>
      </w:pPr>
      <w:rPr>
        <w:rFonts w:hint="default" w:ascii="Arial" w:hAnsi="Arial" w:eastAsia="Times New Roman" w:cs="Arial"/>
        <w:sz w:val="24"/>
        <w:szCs w:val="24"/>
      </w:rPr>
    </w:lvl>
    <w:lvl w:ilvl="1" w:tentative="0">
      <w:start w:val="1"/>
      <w:numFmt w:val="bullet"/>
      <w:lvlText w:val="•"/>
      <w:lvlJc w:val="left"/>
      <w:pPr>
        <w:ind w:left="1945" w:hanging="288"/>
      </w:pPr>
      <w:rPr>
        <w:rFonts w:hint="default"/>
      </w:rPr>
    </w:lvl>
    <w:lvl w:ilvl="2" w:tentative="0">
      <w:start w:val="1"/>
      <w:numFmt w:val="bullet"/>
      <w:lvlText w:val="•"/>
      <w:lvlJc w:val="left"/>
      <w:pPr>
        <w:ind w:left="2782" w:hanging="288"/>
      </w:pPr>
      <w:rPr>
        <w:rFonts w:hint="default"/>
      </w:rPr>
    </w:lvl>
    <w:lvl w:ilvl="3" w:tentative="0">
      <w:start w:val="1"/>
      <w:numFmt w:val="bullet"/>
      <w:lvlText w:val="•"/>
      <w:lvlJc w:val="left"/>
      <w:pPr>
        <w:ind w:left="3619" w:hanging="288"/>
      </w:pPr>
      <w:rPr>
        <w:rFonts w:hint="default"/>
      </w:rPr>
    </w:lvl>
    <w:lvl w:ilvl="4" w:tentative="0">
      <w:start w:val="1"/>
      <w:numFmt w:val="bullet"/>
      <w:lvlText w:val="•"/>
      <w:lvlJc w:val="left"/>
      <w:pPr>
        <w:ind w:left="4456" w:hanging="288"/>
      </w:pPr>
      <w:rPr>
        <w:rFonts w:hint="default"/>
      </w:rPr>
    </w:lvl>
    <w:lvl w:ilvl="5" w:tentative="0">
      <w:start w:val="1"/>
      <w:numFmt w:val="bullet"/>
      <w:lvlText w:val="•"/>
      <w:lvlJc w:val="left"/>
      <w:pPr>
        <w:ind w:left="5294" w:hanging="288"/>
      </w:pPr>
      <w:rPr>
        <w:rFonts w:hint="default"/>
      </w:rPr>
    </w:lvl>
    <w:lvl w:ilvl="6" w:tentative="0">
      <w:start w:val="1"/>
      <w:numFmt w:val="bullet"/>
      <w:lvlText w:val="•"/>
      <w:lvlJc w:val="left"/>
      <w:pPr>
        <w:ind w:left="6131" w:hanging="288"/>
      </w:pPr>
      <w:rPr>
        <w:rFonts w:hint="default"/>
      </w:rPr>
    </w:lvl>
    <w:lvl w:ilvl="7" w:tentative="0">
      <w:start w:val="1"/>
      <w:numFmt w:val="bullet"/>
      <w:lvlText w:val="•"/>
      <w:lvlJc w:val="left"/>
      <w:pPr>
        <w:ind w:left="6968" w:hanging="288"/>
      </w:pPr>
      <w:rPr>
        <w:rFonts w:hint="default"/>
      </w:rPr>
    </w:lvl>
    <w:lvl w:ilvl="8" w:tentative="0">
      <w:start w:val="1"/>
      <w:numFmt w:val="bullet"/>
      <w:lvlText w:val="•"/>
      <w:lvlJc w:val="left"/>
      <w:pPr>
        <w:ind w:left="7805" w:hanging="288"/>
      </w:pPr>
      <w:rPr>
        <w:rFonts w:hint="default"/>
      </w:rPr>
    </w:lvl>
  </w:abstractNum>
  <w:abstractNum w:abstractNumId="2">
    <w:nsid w:val="100C5907"/>
    <w:multiLevelType w:val="multilevel"/>
    <w:tmpl w:val="100C5907"/>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bullet"/>
      <w:lvlText w:val="•"/>
      <w:lvlJc w:val="left"/>
      <w:pPr>
        <w:ind w:left="2038" w:hanging="360"/>
      </w:pPr>
      <w:rPr>
        <w:rFonts w:hint="default"/>
      </w:rPr>
    </w:lvl>
    <w:lvl w:ilvl="2" w:tentative="0">
      <w:start w:val="1"/>
      <w:numFmt w:val="bullet"/>
      <w:lvlText w:val="•"/>
      <w:lvlJc w:val="left"/>
      <w:pPr>
        <w:ind w:left="2876" w:hanging="360"/>
      </w:pPr>
      <w:rPr>
        <w:rFonts w:hint="default"/>
      </w:rPr>
    </w:lvl>
    <w:lvl w:ilvl="3" w:tentative="0">
      <w:start w:val="1"/>
      <w:numFmt w:val="bullet"/>
      <w:lvlText w:val="•"/>
      <w:lvlJc w:val="left"/>
      <w:pPr>
        <w:ind w:left="3714" w:hanging="360"/>
      </w:pPr>
      <w:rPr>
        <w:rFonts w:hint="default"/>
      </w:rPr>
    </w:lvl>
    <w:lvl w:ilvl="4" w:tentative="0">
      <w:start w:val="1"/>
      <w:numFmt w:val="bullet"/>
      <w:lvlText w:val="•"/>
      <w:lvlJc w:val="left"/>
      <w:pPr>
        <w:ind w:left="4552" w:hanging="360"/>
      </w:pPr>
      <w:rPr>
        <w:rFonts w:hint="default"/>
      </w:rPr>
    </w:lvl>
    <w:lvl w:ilvl="5" w:tentative="0">
      <w:start w:val="1"/>
      <w:numFmt w:val="bullet"/>
      <w:lvlText w:val="•"/>
      <w:lvlJc w:val="left"/>
      <w:pPr>
        <w:ind w:left="5390" w:hanging="360"/>
      </w:pPr>
      <w:rPr>
        <w:rFonts w:hint="default"/>
      </w:rPr>
    </w:lvl>
    <w:lvl w:ilvl="6" w:tentative="0">
      <w:start w:val="1"/>
      <w:numFmt w:val="bullet"/>
      <w:lvlText w:val="•"/>
      <w:lvlJc w:val="left"/>
      <w:pPr>
        <w:ind w:left="6228" w:hanging="360"/>
      </w:pPr>
      <w:rPr>
        <w:rFonts w:hint="default"/>
      </w:rPr>
    </w:lvl>
    <w:lvl w:ilvl="7" w:tentative="0">
      <w:start w:val="1"/>
      <w:numFmt w:val="bullet"/>
      <w:lvlText w:val="•"/>
      <w:lvlJc w:val="left"/>
      <w:pPr>
        <w:ind w:left="7066" w:hanging="360"/>
      </w:pPr>
      <w:rPr>
        <w:rFonts w:hint="default"/>
      </w:rPr>
    </w:lvl>
    <w:lvl w:ilvl="8" w:tentative="0">
      <w:start w:val="1"/>
      <w:numFmt w:val="bullet"/>
      <w:lvlText w:val="•"/>
      <w:lvlJc w:val="left"/>
      <w:pPr>
        <w:ind w:left="7904" w:hanging="360"/>
      </w:pPr>
      <w:rPr>
        <w:rFonts w:hint="default"/>
      </w:rPr>
    </w:lvl>
  </w:abstractNum>
  <w:abstractNum w:abstractNumId="3">
    <w:nsid w:val="1CD0171A"/>
    <w:multiLevelType w:val="multilevel"/>
    <w:tmpl w:val="1CD0171A"/>
    <w:lvl w:ilvl="0" w:tentative="0">
      <w:start w:val="1"/>
      <w:numFmt w:val="decimal"/>
      <w:lvlText w:val="%1."/>
      <w:lvlJc w:val="left"/>
      <w:pPr>
        <w:ind w:left="840" w:hanging="360"/>
        <w:jc w:val="right"/>
      </w:pPr>
      <w:rPr>
        <w:rFonts w:hint="default" w:ascii="Arial" w:hAnsi="Arial" w:eastAsia="Times New Roman" w:cs="Arial"/>
        <w:sz w:val="24"/>
        <w:szCs w:val="24"/>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4">
    <w:nsid w:val="1EA1303F"/>
    <w:multiLevelType w:val="multilevel"/>
    <w:tmpl w:val="1EA1303F"/>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lowerLetter"/>
      <w:lvlText w:val="%2)"/>
      <w:lvlJc w:val="left"/>
      <w:pPr>
        <w:ind w:left="1560" w:hanging="360"/>
      </w:pPr>
      <w:rPr>
        <w:rFonts w:hint="default" w:ascii="Arial" w:hAnsi="Arial" w:eastAsia="Times New Roman" w:cs="Arial"/>
        <w:i/>
        <w:spacing w:val="1"/>
        <w:sz w:val="24"/>
        <w:szCs w:val="24"/>
      </w:rPr>
    </w:lvl>
    <w:lvl w:ilvl="2" w:tentative="0">
      <w:start w:val="1"/>
      <w:numFmt w:val="bullet"/>
      <w:lvlText w:val="•"/>
      <w:lvlJc w:val="left"/>
      <w:pPr>
        <w:ind w:left="2446" w:hanging="360"/>
      </w:pPr>
      <w:rPr>
        <w:rFonts w:hint="default"/>
      </w:rPr>
    </w:lvl>
    <w:lvl w:ilvl="3" w:tentative="0">
      <w:start w:val="1"/>
      <w:numFmt w:val="bullet"/>
      <w:lvlText w:val="•"/>
      <w:lvlJc w:val="left"/>
      <w:pPr>
        <w:ind w:left="3333" w:hanging="360"/>
      </w:pPr>
      <w:rPr>
        <w:rFonts w:hint="default"/>
      </w:rPr>
    </w:lvl>
    <w:lvl w:ilvl="4" w:tentative="0">
      <w:start w:val="1"/>
      <w:numFmt w:val="bullet"/>
      <w:lvlText w:val="•"/>
      <w:lvlJc w:val="left"/>
      <w:pPr>
        <w:ind w:left="4220" w:hanging="360"/>
      </w:pPr>
      <w:rPr>
        <w:rFonts w:hint="default"/>
      </w:rPr>
    </w:lvl>
    <w:lvl w:ilvl="5" w:tentative="0">
      <w:start w:val="1"/>
      <w:numFmt w:val="bullet"/>
      <w:lvlText w:val="•"/>
      <w:lvlJc w:val="left"/>
      <w:pPr>
        <w:ind w:left="5106" w:hanging="360"/>
      </w:pPr>
      <w:rPr>
        <w:rFonts w:hint="default"/>
      </w:rPr>
    </w:lvl>
    <w:lvl w:ilvl="6" w:tentative="0">
      <w:start w:val="1"/>
      <w:numFmt w:val="bullet"/>
      <w:lvlText w:val="•"/>
      <w:lvlJc w:val="left"/>
      <w:pPr>
        <w:ind w:left="5993" w:hanging="360"/>
      </w:pPr>
      <w:rPr>
        <w:rFonts w:hint="default"/>
      </w:rPr>
    </w:lvl>
    <w:lvl w:ilvl="7" w:tentative="0">
      <w:start w:val="1"/>
      <w:numFmt w:val="bullet"/>
      <w:lvlText w:val="•"/>
      <w:lvlJc w:val="left"/>
      <w:pPr>
        <w:ind w:left="6880" w:hanging="360"/>
      </w:pPr>
      <w:rPr>
        <w:rFonts w:hint="default"/>
      </w:rPr>
    </w:lvl>
    <w:lvl w:ilvl="8" w:tentative="0">
      <w:start w:val="1"/>
      <w:numFmt w:val="bullet"/>
      <w:lvlText w:val="•"/>
      <w:lvlJc w:val="left"/>
      <w:pPr>
        <w:ind w:left="7766" w:hanging="360"/>
      </w:pPr>
      <w:rPr>
        <w:rFonts w:hint="default"/>
      </w:rPr>
    </w:lvl>
  </w:abstractNum>
  <w:abstractNum w:abstractNumId="5">
    <w:nsid w:val="2C0C7B0D"/>
    <w:multiLevelType w:val="multilevel"/>
    <w:tmpl w:val="2C0C7B0D"/>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bullet"/>
      <w:lvlText w:val="•"/>
      <w:lvlJc w:val="left"/>
      <w:pPr>
        <w:ind w:left="2038" w:hanging="360"/>
      </w:pPr>
      <w:rPr>
        <w:rFonts w:hint="default"/>
      </w:rPr>
    </w:lvl>
    <w:lvl w:ilvl="2" w:tentative="0">
      <w:start w:val="1"/>
      <w:numFmt w:val="bullet"/>
      <w:lvlText w:val="•"/>
      <w:lvlJc w:val="left"/>
      <w:pPr>
        <w:ind w:left="2876" w:hanging="360"/>
      </w:pPr>
      <w:rPr>
        <w:rFonts w:hint="default"/>
      </w:rPr>
    </w:lvl>
    <w:lvl w:ilvl="3" w:tentative="0">
      <w:start w:val="1"/>
      <w:numFmt w:val="bullet"/>
      <w:lvlText w:val="•"/>
      <w:lvlJc w:val="left"/>
      <w:pPr>
        <w:ind w:left="3714" w:hanging="360"/>
      </w:pPr>
      <w:rPr>
        <w:rFonts w:hint="default"/>
      </w:rPr>
    </w:lvl>
    <w:lvl w:ilvl="4" w:tentative="0">
      <w:start w:val="1"/>
      <w:numFmt w:val="bullet"/>
      <w:lvlText w:val="•"/>
      <w:lvlJc w:val="left"/>
      <w:pPr>
        <w:ind w:left="4552" w:hanging="360"/>
      </w:pPr>
      <w:rPr>
        <w:rFonts w:hint="default"/>
      </w:rPr>
    </w:lvl>
    <w:lvl w:ilvl="5" w:tentative="0">
      <w:start w:val="1"/>
      <w:numFmt w:val="bullet"/>
      <w:lvlText w:val="•"/>
      <w:lvlJc w:val="left"/>
      <w:pPr>
        <w:ind w:left="5390" w:hanging="360"/>
      </w:pPr>
      <w:rPr>
        <w:rFonts w:hint="default"/>
      </w:rPr>
    </w:lvl>
    <w:lvl w:ilvl="6" w:tentative="0">
      <w:start w:val="1"/>
      <w:numFmt w:val="bullet"/>
      <w:lvlText w:val="•"/>
      <w:lvlJc w:val="left"/>
      <w:pPr>
        <w:ind w:left="6228" w:hanging="360"/>
      </w:pPr>
      <w:rPr>
        <w:rFonts w:hint="default"/>
      </w:rPr>
    </w:lvl>
    <w:lvl w:ilvl="7" w:tentative="0">
      <w:start w:val="1"/>
      <w:numFmt w:val="bullet"/>
      <w:lvlText w:val="•"/>
      <w:lvlJc w:val="left"/>
      <w:pPr>
        <w:ind w:left="7066" w:hanging="360"/>
      </w:pPr>
      <w:rPr>
        <w:rFonts w:hint="default"/>
      </w:rPr>
    </w:lvl>
    <w:lvl w:ilvl="8" w:tentative="0">
      <w:start w:val="1"/>
      <w:numFmt w:val="bullet"/>
      <w:lvlText w:val="•"/>
      <w:lvlJc w:val="left"/>
      <w:pPr>
        <w:ind w:left="7904" w:hanging="360"/>
      </w:pPr>
      <w:rPr>
        <w:rFonts w:hint="default"/>
      </w:rPr>
    </w:lvl>
  </w:abstractNum>
  <w:abstractNum w:abstractNumId="6">
    <w:nsid w:val="3113525E"/>
    <w:multiLevelType w:val="multilevel"/>
    <w:tmpl w:val="3113525E"/>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lowerLetter"/>
      <w:lvlText w:val="%2)"/>
      <w:lvlJc w:val="left"/>
      <w:pPr>
        <w:ind w:left="1560" w:hanging="360"/>
      </w:pPr>
      <w:rPr>
        <w:rFonts w:hint="default" w:ascii="Arial" w:hAnsi="Arial" w:eastAsia="Times New Roman" w:cs="Arial"/>
        <w:i/>
        <w:spacing w:val="1"/>
        <w:sz w:val="24"/>
        <w:szCs w:val="24"/>
      </w:rPr>
    </w:lvl>
    <w:lvl w:ilvl="2" w:tentative="0">
      <w:start w:val="1"/>
      <w:numFmt w:val="lowerRoman"/>
      <w:lvlText w:val="%3."/>
      <w:lvlJc w:val="left"/>
      <w:pPr>
        <w:ind w:left="3000" w:hanging="720"/>
      </w:pPr>
      <w:rPr>
        <w:rFonts w:hint="default" w:ascii="Arial" w:hAnsi="Arial" w:eastAsia="Times New Roman" w:cs="Arial"/>
        <w:sz w:val="24"/>
        <w:szCs w:val="24"/>
      </w:rPr>
    </w:lvl>
    <w:lvl w:ilvl="3" w:tentative="0">
      <w:start w:val="1"/>
      <w:numFmt w:val="bullet"/>
      <w:lvlText w:val="•"/>
      <w:lvlJc w:val="left"/>
      <w:pPr>
        <w:ind w:left="3820" w:hanging="720"/>
      </w:pPr>
      <w:rPr>
        <w:rFonts w:hint="default"/>
      </w:rPr>
    </w:lvl>
    <w:lvl w:ilvl="4" w:tentative="0">
      <w:start w:val="1"/>
      <w:numFmt w:val="bullet"/>
      <w:lvlText w:val="•"/>
      <w:lvlJc w:val="left"/>
      <w:pPr>
        <w:ind w:left="4640" w:hanging="720"/>
      </w:pPr>
      <w:rPr>
        <w:rFonts w:hint="default"/>
      </w:rPr>
    </w:lvl>
    <w:lvl w:ilvl="5" w:tentative="0">
      <w:start w:val="1"/>
      <w:numFmt w:val="bullet"/>
      <w:lvlText w:val="•"/>
      <w:lvlJc w:val="left"/>
      <w:pPr>
        <w:ind w:left="5460" w:hanging="720"/>
      </w:pPr>
      <w:rPr>
        <w:rFonts w:hint="default"/>
      </w:rPr>
    </w:lvl>
    <w:lvl w:ilvl="6" w:tentative="0">
      <w:start w:val="1"/>
      <w:numFmt w:val="bullet"/>
      <w:lvlText w:val="•"/>
      <w:lvlJc w:val="left"/>
      <w:pPr>
        <w:ind w:left="6280" w:hanging="720"/>
      </w:pPr>
      <w:rPr>
        <w:rFonts w:hint="default"/>
      </w:rPr>
    </w:lvl>
    <w:lvl w:ilvl="7" w:tentative="0">
      <w:start w:val="1"/>
      <w:numFmt w:val="bullet"/>
      <w:lvlText w:val="•"/>
      <w:lvlJc w:val="left"/>
      <w:pPr>
        <w:ind w:left="7100" w:hanging="720"/>
      </w:pPr>
      <w:rPr>
        <w:rFonts w:hint="default"/>
      </w:rPr>
    </w:lvl>
    <w:lvl w:ilvl="8" w:tentative="0">
      <w:start w:val="1"/>
      <w:numFmt w:val="bullet"/>
      <w:lvlText w:val="•"/>
      <w:lvlJc w:val="left"/>
      <w:pPr>
        <w:ind w:left="7920" w:hanging="720"/>
      </w:pPr>
      <w:rPr>
        <w:rFonts w:hint="default"/>
      </w:rPr>
    </w:lvl>
  </w:abstractNum>
  <w:abstractNum w:abstractNumId="7">
    <w:nsid w:val="41580B8F"/>
    <w:multiLevelType w:val="multilevel"/>
    <w:tmpl w:val="41580B8F"/>
    <w:lvl w:ilvl="0" w:tentative="0">
      <w:start w:val="211"/>
      <w:numFmt w:val="decimal"/>
      <w:lvlText w:val="%1"/>
      <w:lvlJc w:val="left"/>
      <w:pPr>
        <w:ind w:left="120" w:hanging="960"/>
      </w:pPr>
      <w:rPr>
        <w:rFonts w:hint="default"/>
      </w:rPr>
    </w:lvl>
    <w:lvl w:ilvl="1" w:tentative="0">
      <w:start w:val="165"/>
      <w:numFmt w:val="decimal"/>
      <w:lvlText w:val="%1.%2."/>
      <w:lvlJc w:val="left"/>
      <w:pPr>
        <w:ind w:left="120" w:hanging="960"/>
      </w:pPr>
      <w:rPr>
        <w:rFonts w:hint="default" w:ascii="Times New Roman" w:hAnsi="Times New Roman" w:eastAsia="Times New Roman"/>
        <w:sz w:val="24"/>
        <w:szCs w:val="24"/>
      </w:rPr>
    </w:lvl>
    <w:lvl w:ilvl="2" w:tentative="0">
      <w:start w:val="1"/>
      <w:numFmt w:val="bullet"/>
      <w:lvlText w:val="•"/>
      <w:lvlJc w:val="left"/>
      <w:pPr>
        <w:ind w:left="1560" w:hanging="720"/>
      </w:pPr>
      <w:rPr>
        <w:rFonts w:hint="default" w:ascii="Times New Roman" w:hAnsi="Times New Roman" w:eastAsia="Times New Roman"/>
        <w:sz w:val="24"/>
        <w:szCs w:val="24"/>
      </w:rPr>
    </w:lvl>
    <w:lvl w:ilvl="3" w:tentative="0">
      <w:start w:val="1"/>
      <w:numFmt w:val="bullet"/>
      <w:lvlText w:val=""/>
      <w:lvlJc w:val="left"/>
      <w:pPr>
        <w:ind w:left="1560" w:hanging="360"/>
      </w:pPr>
      <w:rPr>
        <w:rFonts w:hint="default" w:ascii="Symbol" w:hAnsi="Symbol" w:eastAsia="Symbol"/>
        <w:sz w:val="24"/>
        <w:szCs w:val="24"/>
      </w:rPr>
    </w:lvl>
    <w:lvl w:ilvl="4" w:tentative="0">
      <w:start w:val="1"/>
      <w:numFmt w:val="bullet"/>
      <w:lvlText w:val="•"/>
      <w:lvlJc w:val="left"/>
      <w:pPr>
        <w:ind w:left="3560" w:hanging="360"/>
      </w:pPr>
      <w:rPr>
        <w:rFonts w:hint="default"/>
      </w:rPr>
    </w:lvl>
    <w:lvl w:ilvl="5" w:tentative="0">
      <w:start w:val="1"/>
      <w:numFmt w:val="bullet"/>
      <w:lvlText w:val="•"/>
      <w:lvlJc w:val="left"/>
      <w:pPr>
        <w:ind w:left="4560" w:hanging="360"/>
      </w:pPr>
      <w:rPr>
        <w:rFonts w:hint="default"/>
      </w:rPr>
    </w:lvl>
    <w:lvl w:ilvl="6" w:tentative="0">
      <w:start w:val="1"/>
      <w:numFmt w:val="bullet"/>
      <w:lvlText w:val="•"/>
      <w:lvlJc w:val="left"/>
      <w:pPr>
        <w:ind w:left="5560" w:hanging="360"/>
      </w:pPr>
      <w:rPr>
        <w:rFonts w:hint="default"/>
      </w:rPr>
    </w:lvl>
    <w:lvl w:ilvl="7" w:tentative="0">
      <w:start w:val="1"/>
      <w:numFmt w:val="bullet"/>
      <w:lvlText w:val="•"/>
      <w:lvlJc w:val="left"/>
      <w:pPr>
        <w:ind w:left="6560" w:hanging="360"/>
      </w:pPr>
      <w:rPr>
        <w:rFonts w:hint="default"/>
      </w:rPr>
    </w:lvl>
    <w:lvl w:ilvl="8" w:tentative="0">
      <w:start w:val="1"/>
      <w:numFmt w:val="bullet"/>
      <w:lvlText w:val="•"/>
      <w:lvlJc w:val="left"/>
      <w:pPr>
        <w:ind w:left="7560" w:hanging="360"/>
      </w:pPr>
      <w:rPr>
        <w:rFonts w:hint="default"/>
      </w:rPr>
    </w:lvl>
  </w:abstractNum>
  <w:abstractNum w:abstractNumId="8">
    <w:nsid w:val="43C476FD"/>
    <w:multiLevelType w:val="multilevel"/>
    <w:tmpl w:val="43C476FD"/>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lowerLetter"/>
      <w:lvlText w:val="%2)"/>
      <w:lvlJc w:val="left"/>
      <w:pPr>
        <w:ind w:left="1560" w:hanging="360"/>
      </w:pPr>
      <w:rPr>
        <w:rFonts w:hint="default" w:ascii="Arial" w:hAnsi="Arial" w:eastAsia="Times New Roman" w:cs="Arial"/>
        <w:i/>
        <w:spacing w:val="1"/>
        <w:sz w:val="24"/>
        <w:szCs w:val="24"/>
      </w:rPr>
    </w:lvl>
    <w:lvl w:ilvl="2" w:tentative="0">
      <w:start w:val="1"/>
      <w:numFmt w:val="lowerRoman"/>
      <w:lvlText w:val="%3."/>
      <w:lvlJc w:val="left"/>
      <w:pPr>
        <w:ind w:left="2280" w:hanging="720"/>
      </w:pPr>
      <w:rPr>
        <w:rFonts w:hint="default" w:ascii="Arial" w:hAnsi="Arial" w:eastAsia="Times New Roman" w:cs="Arial"/>
        <w:sz w:val="24"/>
        <w:szCs w:val="24"/>
      </w:rPr>
    </w:lvl>
    <w:lvl w:ilvl="3" w:tentative="0">
      <w:start w:val="1"/>
      <w:numFmt w:val="bullet"/>
      <w:lvlText w:val="•"/>
      <w:lvlJc w:val="left"/>
      <w:pPr>
        <w:ind w:left="3192" w:hanging="720"/>
      </w:pPr>
      <w:rPr>
        <w:rFonts w:hint="default"/>
      </w:rPr>
    </w:lvl>
    <w:lvl w:ilvl="4" w:tentative="0">
      <w:start w:val="1"/>
      <w:numFmt w:val="bullet"/>
      <w:lvlText w:val="•"/>
      <w:lvlJc w:val="left"/>
      <w:pPr>
        <w:ind w:left="4105" w:hanging="720"/>
      </w:pPr>
      <w:rPr>
        <w:rFonts w:hint="default"/>
      </w:rPr>
    </w:lvl>
    <w:lvl w:ilvl="5" w:tentative="0">
      <w:start w:val="1"/>
      <w:numFmt w:val="bullet"/>
      <w:lvlText w:val="•"/>
      <w:lvlJc w:val="left"/>
      <w:pPr>
        <w:ind w:left="5017" w:hanging="720"/>
      </w:pPr>
      <w:rPr>
        <w:rFonts w:hint="default"/>
      </w:rPr>
    </w:lvl>
    <w:lvl w:ilvl="6" w:tentative="0">
      <w:start w:val="1"/>
      <w:numFmt w:val="bullet"/>
      <w:lvlText w:val="•"/>
      <w:lvlJc w:val="left"/>
      <w:pPr>
        <w:ind w:left="5930" w:hanging="720"/>
      </w:pPr>
      <w:rPr>
        <w:rFonts w:hint="default"/>
      </w:rPr>
    </w:lvl>
    <w:lvl w:ilvl="7" w:tentative="0">
      <w:start w:val="1"/>
      <w:numFmt w:val="bullet"/>
      <w:lvlText w:val="•"/>
      <w:lvlJc w:val="left"/>
      <w:pPr>
        <w:ind w:left="6842" w:hanging="720"/>
      </w:pPr>
      <w:rPr>
        <w:rFonts w:hint="default"/>
      </w:rPr>
    </w:lvl>
    <w:lvl w:ilvl="8" w:tentative="0">
      <w:start w:val="1"/>
      <w:numFmt w:val="bullet"/>
      <w:lvlText w:val="•"/>
      <w:lvlJc w:val="left"/>
      <w:pPr>
        <w:ind w:left="7755" w:hanging="720"/>
      </w:pPr>
      <w:rPr>
        <w:rFonts w:hint="default"/>
      </w:rPr>
    </w:lvl>
  </w:abstractNum>
  <w:abstractNum w:abstractNumId="9">
    <w:nsid w:val="48D85571"/>
    <w:multiLevelType w:val="multilevel"/>
    <w:tmpl w:val="48D85571"/>
    <w:lvl w:ilvl="0" w:tentative="0">
      <w:start w:val="1"/>
      <w:numFmt w:val="bullet"/>
      <w:lvlText w:val="-"/>
      <w:lvlJc w:val="left"/>
      <w:pPr>
        <w:ind w:left="1137"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99106B4"/>
    <w:multiLevelType w:val="multilevel"/>
    <w:tmpl w:val="499106B4"/>
    <w:lvl w:ilvl="0" w:tentative="0">
      <w:start w:val="1"/>
      <w:numFmt w:val="lowerRoman"/>
      <w:lvlText w:val="(%1)"/>
      <w:lvlJc w:val="left"/>
      <w:pPr>
        <w:ind w:left="1108" w:hanging="288"/>
      </w:pPr>
      <w:rPr>
        <w:rFonts w:hint="default" w:ascii="Arial" w:hAnsi="Arial" w:eastAsia="Times New Roman" w:cs="Arial"/>
        <w:sz w:val="24"/>
        <w:szCs w:val="24"/>
      </w:rPr>
    </w:lvl>
    <w:lvl w:ilvl="1" w:tentative="0">
      <w:start w:val="1"/>
      <w:numFmt w:val="bullet"/>
      <w:lvlText w:val="•"/>
      <w:lvlJc w:val="left"/>
      <w:pPr>
        <w:ind w:left="1945" w:hanging="288"/>
      </w:pPr>
      <w:rPr>
        <w:rFonts w:hint="default"/>
      </w:rPr>
    </w:lvl>
    <w:lvl w:ilvl="2" w:tentative="0">
      <w:start w:val="1"/>
      <w:numFmt w:val="bullet"/>
      <w:lvlText w:val="•"/>
      <w:lvlJc w:val="left"/>
      <w:pPr>
        <w:ind w:left="2782" w:hanging="288"/>
      </w:pPr>
      <w:rPr>
        <w:rFonts w:hint="default"/>
      </w:rPr>
    </w:lvl>
    <w:lvl w:ilvl="3" w:tentative="0">
      <w:start w:val="1"/>
      <w:numFmt w:val="bullet"/>
      <w:lvlText w:val="•"/>
      <w:lvlJc w:val="left"/>
      <w:pPr>
        <w:ind w:left="3619" w:hanging="288"/>
      </w:pPr>
      <w:rPr>
        <w:rFonts w:hint="default"/>
      </w:rPr>
    </w:lvl>
    <w:lvl w:ilvl="4" w:tentative="0">
      <w:start w:val="1"/>
      <w:numFmt w:val="bullet"/>
      <w:lvlText w:val="•"/>
      <w:lvlJc w:val="left"/>
      <w:pPr>
        <w:ind w:left="4456" w:hanging="288"/>
      </w:pPr>
      <w:rPr>
        <w:rFonts w:hint="default"/>
      </w:rPr>
    </w:lvl>
    <w:lvl w:ilvl="5" w:tentative="0">
      <w:start w:val="1"/>
      <w:numFmt w:val="bullet"/>
      <w:lvlText w:val="•"/>
      <w:lvlJc w:val="left"/>
      <w:pPr>
        <w:ind w:left="5294" w:hanging="288"/>
      </w:pPr>
      <w:rPr>
        <w:rFonts w:hint="default"/>
      </w:rPr>
    </w:lvl>
    <w:lvl w:ilvl="6" w:tentative="0">
      <w:start w:val="1"/>
      <w:numFmt w:val="bullet"/>
      <w:lvlText w:val="•"/>
      <w:lvlJc w:val="left"/>
      <w:pPr>
        <w:ind w:left="6131" w:hanging="288"/>
      </w:pPr>
      <w:rPr>
        <w:rFonts w:hint="default"/>
      </w:rPr>
    </w:lvl>
    <w:lvl w:ilvl="7" w:tentative="0">
      <w:start w:val="1"/>
      <w:numFmt w:val="bullet"/>
      <w:lvlText w:val="•"/>
      <w:lvlJc w:val="left"/>
      <w:pPr>
        <w:ind w:left="6968" w:hanging="288"/>
      </w:pPr>
      <w:rPr>
        <w:rFonts w:hint="default"/>
      </w:rPr>
    </w:lvl>
    <w:lvl w:ilvl="8" w:tentative="0">
      <w:start w:val="1"/>
      <w:numFmt w:val="bullet"/>
      <w:lvlText w:val="•"/>
      <w:lvlJc w:val="left"/>
      <w:pPr>
        <w:ind w:left="7805" w:hanging="288"/>
      </w:pPr>
      <w:rPr>
        <w:rFonts w:hint="default"/>
      </w:rPr>
    </w:lvl>
  </w:abstractNum>
  <w:abstractNum w:abstractNumId="11">
    <w:nsid w:val="4D4A5F0B"/>
    <w:multiLevelType w:val="multilevel"/>
    <w:tmpl w:val="4D4A5F0B"/>
    <w:lvl w:ilvl="0" w:tentative="0">
      <w:start w:val="1"/>
      <w:numFmt w:val="lowerRoman"/>
      <w:lvlText w:val="(%1)"/>
      <w:lvlJc w:val="left"/>
      <w:pPr>
        <w:ind w:left="1128" w:hanging="288"/>
      </w:pPr>
      <w:rPr>
        <w:rFonts w:hint="default" w:ascii="Arial" w:hAnsi="Arial" w:eastAsia="Times New Roman" w:cs="Arial"/>
        <w:sz w:val="24"/>
        <w:szCs w:val="24"/>
      </w:rPr>
    </w:lvl>
    <w:lvl w:ilvl="1" w:tentative="0">
      <w:start w:val="1"/>
      <w:numFmt w:val="bullet"/>
      <w:lvlText w:val="•"/>
      <w:lvlJc w:val="left"/>
      <w:pPr>
        <w:ind w:left="1973" w:hanging="288"/>
      </w:pPr>
      <w:rPr>
        <w:rFonts w:hint="default"/>
      </w:rPr>
    </w:lvl>
    <w:lvl w:ilvl="2" w:tentative="0">
      <w:start w:val="1"/>
      <w:numFmt w:val="bullet"/>
      <w:lvlText w:val="•"/>
      <w:lvlJc w:val="left"/>
      <w:pPr>
        <w:ind w:left="2818" w:hanging="288"/>
      </w:pPr>
      <w:rPr>
        <w:rFonts w:hint="default"/>
      </w:rPr>
    </w:lvl>
    <w:lvl w:ilvl="3" w:tentative="0">
      <w:start w:val="1"/>
      <w:numFmt w:val="bullet"/>
      <w:lvlText w:val="•"/>
      <w:lvlJc w:val="left"/>
      <w:pPr>
        <w:ind w:left="3663" w:hanging="288"/>
      </w:pPr>
      <w:rPr>
        <w:rFonts w:hint="default"/>
      </w:rPr>
    </w:lvl>
    <w:lvl w:ilvl="4" w:tentative="0">
      <w:start w:val="1"/>
      <w:numFmt w:val="bullet"/>
      <w:lvlText w:val="•"/>
      <w:lvlJc w:val="left"/>
      <w:pPr>
        <w:ind w:left="4508" w:hanging="288"/>
      </w:pPr>
      <w:rPr>
        <w:rFonts w:hint="default"/>
      </w:rPr>
    </w:lvl>
    <w:lvl w:ilvl="5" w:tentative="0">
      <w:start w:val="1"/>
      <w:numFmt w:val="bullet"/>
      <w:lvlText w:val="•"/>
      <w:lvlJc w:val="left"/>
      <w:pPr>
        <w:ind w:left="5354" w:hanging="288"/>
      </w:pPr>
      <w:rPr>
        <w:rFonts w:hint="default"/>
      </w:rPr>
    </w:lvl>
    <w:lvl w:ilvl="6" w:tentative="0">
      <w:start w:val="1"/>
      <w:numFmt w:val="bullet"/>
      <w:lvlText w:val="•"/>
      <w:lvlJc w:val="left"/>
      <w:pPr>
        <w:ind w:left="6199" w:hanging="288"/>
      </w:pPr>
      <w:rPr>
        <w:rFonts w:hint="default"/>
      </w:rPr>
    </w:lvl>
    <w:lvl w:ilvl="7" w:tentative="0">
      <w:start w:val="1"/>
      <w:numFmt w:val="bullet"/>
      <w:lvlText w:val="•"/>
      <w:lvlJc w:val="left"/>
      <w:pPr>
        <w:ind w:left="7044" w:hanging="288"/>
      </w:pPr>
      <w:rPr>
        <w:rFonts w:hint="default"/>
      </w:rPr>
    </w:lvl>
    <w:lvl w:ilvl="8" w:tentative="0">
      <w:start w:val="1"/>
      <w:numFmt w:val="bullet"/>
      <w:lvlText w:val="•"/>
      <w:lvlJc w:val="left"/>
      <w:pPr>
        <w:ind w:left="7889" w:hanging="288"/>
      </w:pPr>
      <w:rPr>
        <w:rFonts w:hint="default"/>
      </w:rPr>
    </w:lvl>
  </w:abstractNum>
  <w:abstractNum w:abstractNumId="12">
    <w:nsid w:val="56CE6D25"/>
    <w:multiLevelType w:val="multilevel"/>
    <w:tmpl w:val="56CE6D25"/>
    <w:lvl w:ilvl="0" w:tentative="0">
      <w:start w:val="1"/>
      <w:numFmt w:val="upperRoman"/>
      <w:lvlText w:val="%1."/>
      <w:lvlJc w:val="left"/>
      <w:pPr>
        <w:ind w:left="840" w:hanging="720"/>
        <w:jc w:val="right"/>
      </w:pPr>
      <w:rPr>
        <w:rFonts w:hint="default" w:ascii="Arial" w:hAnsi="Arial" w:eastAsia="Times New Roman" w:cs="Arial"/>
        <w:b/>
        <w:bCs/>
        <w:sz w:val="28"/>
        <w:szCs w:val="32"/>
      </w:rPr>
    </w:lvl>
    <w:lvl w:ilvl="1" w:tentative="0">
      <w:start w:val="1"/>
      <w:numFmt w:val="upperLetter"/>
      <w:lvlText w:val="%2."/>
      <w:lvlJc w:val="left"/>
      <w:pPr>
        <w:ind w:left="502" w:hanging="360"/>
      </w:pPr>
      <w:rPr>
        <w:rFonts w:hint="default" w:ascii="Arial" w:hAnsi="Arial" w:eastAsia="Times New Roman" w:cs="Arial"/>
        <w:b/>
        <w:bCs/>
        <w:spacing w:val="-1"/>
        <w:w w:val="99"/>
        <w:sz w:val="24"/>
        <w:szCs w:val="28"/>
      </w:rPr>
    </w:lvl>
    <w:lvl w:ilvl="2" w:tentative="0">
      <w:start w:val="1"/>
      <w:numFmt w:val="bullet"/>
      <w:lvlText w:val=""/>
      <w:lvlJc w:val="left"/>
      <w:pPr>
        <w:ind w:left="1560" w:hanging="360"/>
      </w:pPr>
      <w:rPr>
        <w:rFonts w:hint="default" w:ascii="Symbol" w:hAnsi="Symbol" w:eastAsia="Symbol"/>
        <w:sz w:val="24"/>
        <w:szCs w:val="24"/>
      </w:rPr>
    </w:lvl>
    <w:lvl w:ilvl="3" w:tentative="0">
      <w:start w:val="1"/>
      <w:numFmt w:val="bullet"/>
      <w:lvlText w:val="•"/>
      <w:lvlJc w:val="left"/>
      <w:pPr>
        <w:ind w:left="1560" w:hanging="360"/>
      </w:pPr>
      <w:rPr>
        <w:rFonts w:hint="default"/>
      </w:rPr>
    </w:lvl>
    <w:lvl w:ilvl="4" w:tentative="0">
      <w:start w:val="1"/>
      <w:numFmt w:val="bullet"/>
      <w:lvlText w:val="•"/>
      <w:lvlJc w:val="left"/>
      <w:pPr>
        <w:ind w:left="2700" w:hanging="360"/>
      </w:pPr>
      <w:rPr>
        <w:rFonts w:hint="default"/>
      </w:rPr>
    </w:lvl>
    <w:lvl w:ilvl="5" w:tentative="0">
      <w:start w:val="1"/>
      <w:numFmt w:val="bullet"/>
      <w:lvlText w:val="•"/>
      <w:lvlJc w:val="left"/>
      <w:pPr>
        <w:ind w:left="3840" w:hanging="360"/>
      </w:pPr>
      <w:rPr>
        <w:rFonts w:hint="default"/>
      </w:rPr>
    </w:lvl>
    <w:lvl w:ilvl="6" w:tentative="0">
      <w:start w:val="1"/>
      <w:numFmt w:val="bullet"/>
      <w:lvlText w:val="•"/>
      <w:lvlJc w:val="left"/>
      <w:pPr>
        <w:ind w:left="4980" w:hanging="360"/>
      </w:pPr>
      <w:rPr>
        <w:rFonts w:hint="default"/>
      </w:rPr>
    </w:lvl>
    <w:lvl w:ilvl="7" w:tentative="0">
      <w:start w:val="1"/>
      <w:numFmt w:val="bullet"/>
      <w:lvlText w:val="•"/>
      <w:lvlJc w:val="left"/>
      <w:pPr>
        <w:ind w:left="6120" w:hanging="360"/>
      </w:pPr>
      <w:rPr>
        <w:rFonts w:hint="default"/>
      </w:rPr>
    </w:lvl>
    <w:lvl w:ilvl="8" w:tentative="0">
      <w:start w:val="1"/>
      <w:numFmt w:val="bullet"/>
      <w:lvlText w:val="•"/>
      <w:lvlJc w:val="left"/>
      <w:pPr>
        <w:ind w:left="7260" w:hanging="360"/>
      </w:pPr>
      <w:rPr>
        <w:rFonts w:hint="default"/>
      </w:rPr>
    </w:lvl>
  </w:abstractNum>
  <w:abstractNum w:abstractNumId="13">
    <w:nsid w:val="57D602F8"/>
    <w:multiLevelType w:val="multilevel"/>
    <w:tmpl w:val="57D602F8"/>
    <w:lvl w:ilvl="0" w:tentative="0">
      <w:start w:val="1"/>
      <w:numFmt w:val="bullet"/>
      <w:lvlText w:val=""/>
      <w:lvlJc w:val="left"/>
      <w:pPr>
        <w:ind w:left="820" w:hanging="360"/>
      </w:pPr>
      <w:rPr>
        <w:rFonts w:hint="default" w:ascii="Symbol" w:hAnsi="Symbol" w:eastAsia="Symbol"/>
        <w:sz w:val="24"/>
        <w:szCs w:val="24"/>
      </w:rPr>
    </w:lvl>
    <w:lvl w:ilvl="1" w:tentative="0">
      <w:start w:val="1"/>
      <w:numFmt w:val="bullet"/>
      <w:lvlText w:val="•"/>
      <w:lvlJc w:val="left"/>
      <w:pPr>
        <w:ind w:left="1694" w:hanging="360"/>
      </w:pPr>
      <w:rPr>
        <w:rFonts w:hint="default"/>
      </w:rPr>
    </w:lvl>
    <w:lvl w:ilvl="2" w:tentative="0">
      <w:start w:val="1"/>
      <w:numFmt w:val="bullet"/>
      <w:lvlText w:val="•"/>
      <w:lvlJc w:val="left"/>
      <w:pPr>
        <w:ind w:left="2568" w:hanging="360"/>
      </w:pPr>
      <w:rPr>
        <w:rFonts w:hint="default"/>
      </w:rPr>
    </w:lvl>
    <w:lvl w:ilvl="3" w:tentative="0">
      <w:start w:val="1"/>
      <w:numFmt w:val="bullet"/>
      <w:lvlText w:val="•"/>
      <w:lvlJc w:val="left"/>
      <w:pPr>
        <w:ind w:left="3442" w:hanging="360"/>
      </w:pPr>
      <w:rPr>
        <w:rFonts w:hint="default"/>
      </w:rPr>
    </w:lvl>
    <w:lvl w:ilvl="4" w:tentative="0">
      <w:start w:val="1"/>
      <w:numFmt w:val="bullet"/>
      <w:lvlText w:val="•"/>
      <w:lvlJc w:val="left"/>
      <w:pPr>
        <w:ind w:left="4316" w:hanging="360"/>
      </w:pPr>
      <w:rPr>
        <w:rFonts w:hint="default"/>
      </w:rPr>
    </w:lvl>
    <w:lvl w:ilvl="5" w:tentative="0">
      <w:start w:val="1"/>
      <w:numFmt w:val="bullet"/>
      <w:lvlText w:val="•"/>
      <w:lvlJc w:val="left"/>
      <w:pPr>
        <w:ind w:left="5190" w:hanging="360"/>
      </w:pPr>
      <w:rPr>
        <w:rFonts w:hint="default"/>
      </w:rPr>
    </w:lvl>
    <w:lvl w:ilvl="6" w:tentative="0">
      <w:start w:val="1"/>
      <w:numFmt w:val="bullet"/>
      <w:lvlText w:val="•"/>
      <w:lvlJc w:val="left"/>
      <w:pPr>
        <w:ind w:left="6064" w:hanging="360"/>
      </w:pPr>
      <w:rPr>
        <w:rFonts w:hint="default"/>
      </w:rPr>
    </w:lvl>
    <w:lvl w:ilvl="7" w:tentative="0">
      <w:start w:val="1"/>
      <w:numFmt w:val="bullet"/>
      <w:lvlText w:val="•"/>
      <w:lvlJc w:val="left"/>
      <w:pPr>
        <w:ind w:left="6938" w:hanging="360"/>
      </w:pPr>
      <w:rPr>
        <w:rFonts w:hint="default"/>
      </w:rPr>
    </w:lvl>
    <w:lvl w:ilvl="8" w:tentative="0">
      <w:start w:val="1"/>
      <w:numFmt w:val="bullet"/>
      <w:lvlText w:val="•"/>
      <w:lvlJc w:val="left"/>
      <w:pPr>
        <w:ind w:left="7812" w:hanging="360"/>
      </w:pPr>
      <w:rPr>
        <w:rFonts w:hint="default"/>
      </w:rPr>
    </w:lvl>
  </w:abstractNum>
  <w:abstractNum w:abstractNumId="14">
    <w:nsid w:val="5D794502"/>
    <w:multiLevelType w:val="multilevel"/>
    <w:tmpl w:val="5D794502"/>
    <w:lvl w:ilvl="0" w:tentative="0">
      <w:start w:val="1"/>
      <w:numFmt w:val="lowerRoman"/>
      <w:lvlText w:val="(%1)"/>
      <w:lvlJc w:val="left"/>
      <w:pPr>
        <w:ind w:left="1128" w:hanging="288"/>
      </w:pPr>
      <w:rPr>
        <w:rFonts w:hint="default" w:ascii="Arial" w:hAnsi="Arial" w:eastAsia="Times New Roman" w:cs="Arial"/>
        <w:sz w:val="24"/>
        <w:szCs w:val="24"/>
      </w:rPr>
    </w:lvl>
    <w:lvl w:ilvl="1" w:tentative="0">
      <w:start w:val="1"/>
      <w:numFmt w:val="bullet"/>
      <w:lvlText w:val="•"/>
      <w:lvlJc w:val="left"/>
      <w:pPr>
        <w:ind w:left="1973" w:hanging="288"/>
      </w:pPr>
      <w:rPr>
        <w:rFonts w:hint="default"/>
      </w:rPr>
    </w:lvl>
    <w:lvl w:ilvl="2" w:tentative="0">
      <w:start w:val="1"/>
      <w:numFmt w:val="bullet"/>
      <w:lvlText w:val="•"/>
      <w:lvlJc w:val="left"/>
      <w:pPr>
        <w:ind w:left="2818" w:hanging="288"/>
      </w:pPr>
      <w:rPr>
        <w:rFonts w:hint="default"/>
      </w:rPr>
    </w:lvl>
    <w:lvl w:ilvl="3" w:tentative="0">
      <w:start w:val="1"/>
      <w:numFmt w:val="bullet"/>
      <w:lvlText w:val="•"/>
      <w:lvlJc w:val="left"/>
      <w:pPr>
        <w:ind w:left="3663" w:hanging="288"/>
      </w:pPr>
      <w:rPr>
        <w:rFonts w:hint="default"/>
      </w:rPr>
    </w:lvl>
    <w:lvl w:ilvl="4" w:tentative="0">
      <w:start w:val="1"/>
      <w:numFmt w:val="bullet"/>
      <w:lvlText w:val="•"/>
      <w:lvlJc w:val="left"/>
      <w:pPr>
        <w:ind w:left="4508" w:hanging="288"/>
      </w:pPr>
      <w:rPr>
        <w:rFonts w:hint="default"/>
      </w:rPr>
    </w:lvl>
    <w:lvl w:ilvl="5" w:tentative="0">
      <w:start w:val="1"/>
      <w:numFmt w:val="bullet"/>
      <w:lvlText w:val="•"/>
      <w:lvlJc w:val="left"/>
      <w:pPr>
        <w:ind w:left="5354" w:hanging="288"/>
      </w:pPr>
      <w:rPr>
        <w:rFonts w:hint="default"/>
      </w:rPr>
    </w:lvl>
    <w:lvl w:ilvl="6" w:tentative="0">
      <w:start w:val="1"/>
      <w:numFmt w:val="bullet"/>
      <w:lvlText w:val="•"/>
      <w:lvlJc w:val="left"/>
      <w:pPr>
        <w:ind w:left="6199" w:hanging="288"/>
      </w:pPr>
      <w:rPr>
        <w:rFonts w:hint="default"/>
      </w:rPr>
    </w:lvl>
    <w:lvl w:ilvl="7" w:tentative="0">
      <w:start w:val="1"/>
      <w:numFmt w:val="bullet"/>
      <w:lvlText w:val="•"/>
      <w:lvlJc w:val="left"/>
      <w:pPr>
        <w:ind w:left="7044" w:hanging="288"/>
      </w:pPr>
      <w:rPr>
        <w:rFonts w:hint="default"/>
      </w:rPr>
    </w:lvl>
    <w:lvl w:ilvl="8" w:tentative="0">
      <w:start w:val="1"/>
      <w:numFmt w:val="bullet"/>
      <w:lvlText w:val="•"/>
      <w:lvlJc w:val="left"/>
      <w:pPr>
        <w:ind w:left="7889" w:hanging="288"/>
      </w:pPr>
      <w:rPr>
        <w:rFonts w:hint="default"/>
      </w:rPr>
    </w:lvl>
  </w:abstractNum>
  <w:abstractNum w:abstractNumId="15">
    <w:nsid w:val="65070061"/>
    <w:multiLevelType w:val="multilevel"/>
    <w:tmpl w:val="65070061"/>
    <w:lvl w:ilvl="0" w:tentative="0">
      <w:start w:val="1"/>
      <w:numFmt w:val="decimal"/>
      <w:lvlText w:val="%1."/>
      <w:lvlJc w:val="left"/>
      <w:pPr>
        <w:ind w:left="1180" w:hanging="360"/>
      </w:pPr>
      <w:rPr>
        <w:rFonts w:hint="default" w:ascii="Arial" w:hAnsi="Arial" w:eastAsia="Times New Roman" w:cs="Arial"/>
        <w:b/>
        <w:bCs/>
        <w:i/>
        <w:sz w:val="24"/>
        <w:szCs w:val="24"/>
      </w:rPr>
    </w:lvl>
    <w:lvl w:ilvl="1" w:tentative="0">
      <w:start w:val="1"/>
      <w:numFmt w:val="bullet"/>
      <w:lvlText w:val="•"/>
      <w:lvlJc w:val="left"/>
      <w:pPr>
        <w:ind w:left="2016" w:hanging="360"/>
      </w:pPr>
      <w:rPr>
        <w:rFonts w:hint="default"/>
      </w:rPr>
    </w:lvl>
    <w:lvl w:ilvl="2" w:tentative="0">
      <w:start w:val="1"/>
      <w:numFmt w:val="bullet"/>
      <w:lvlText w:val="•"/>
      <w:lvlJc w:val="left"/>
      <w:pPr>
        <w:ind w:left="2852" w:hanging="360"/>
      </w:pPr>
      <w:rPr>
        <w:rFonts w:hint="default"/>
      </w:rPr>
    </w:lvl>
    <w:lvl w:ilvl="3" w:tentative="0">
      <w:start w:val="1"/>
      <w:numFmt w:val="bullet"/>
      <w:lvlText w:val="•"/>
      <w:lvlJc w:val="left"/>
      <w:pPr>
        <w:ind w:left="3688" w:hanging="360"/>
      </w:pPr>
      <w:rPr>
        <w:rFonts w:hint="default"/>
      </w:rPr>
    </w:lvl>
    <w:lvl w:ilvl="4" w:tentative="0">
      <w:start w:val="1"/>
      <w:numFmt w:val="bullet"/>
      <w:lvlText w:val="•"/>
      <w:lvlJc w:val="left"/>
      <w:pPr>
        <w:ind w:left="4524" w:hanging="360"/>
      </w:pPr>
      <w:rPr>
        <w:rFonts w:hint="default"/>
      </w:rPr>
    </w:lvl>
    <w:lvl w:ilvl="5" w:tentative="0">
      <w:start w:val="1"/>
      <w:numFmt w:val="bullet"/>
      <w:lvlText w:val="•"/>
      <w:lvlJc w:val="left"/>
      <w:pPr>
        <w:ind w:left="5360" w:hanging="360"/>
      </w:pPr>
      <w:rPr>
        <w:rFonts w:hint="default"/>
      </w:rPr>
    </w:lvl>
    <w:lvl w:ilvl="6" w:tentative="0">
      <w:start w:val="1"/>
      <w:numFmt w:val="bullet"/>
      <w:lvlText w:val="•"/>
      <w:lvlJc w:val="left"/>
      <w:pPr>
        <w:ind w:left="6196" w:hanging="360"/>
      </w:pPr>
      <w:rPr>
        <w:rFonts w:hint="default"/>
      </w:rPr>
    </w:lvl>
    <w:lvl w:ilvl="7" w:tentative="0">
      <w:start w:val="1"/>
      <w:numFmt w:val="bullet"/>
      <w:lvlText w:val="•"/>
      <w:lvlJc w:val="left"/>
      <w:pPr>
        <w:ind w:left="7032" w:hanging="360"/>
      </w:pPr>
      <w:rPr>
        <w:rFonts w:hint="default"/>
      </w:rPr>
    </w:lvl>
    <w:lvl w:ilvl="8" w:tentative="0">
      <w:start w:val="1"/>
      <w:numFmt w:val="bullet"/>
      <w:lvlText w:val="•"/>
      <w:lvlJc w:val="left"/>
      <w:pPr>
        <w:ind w:left="7868" w:hanging="360"/>
      </w:pPr>
      <w:rPr>
        <w:rFonts w:hint="default"/>
      </w:rPr>
    </w:lvl>
  </w:abstractNum>
  <w:abstractNum w:abstractNumId="16">
    <w:nsid w:val="684D26A9"/>
    <w:multiLevelType w:val="multilevel"/>
    <w:tmpl w:val="684D26A9"/>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bullet"/>
      <w:lvlText w:val="•"/>
      <w:lvlJc w:val="left"/>
      <w:pPr>
        <w:ind w:left="2036" w:hanging="360"/>
      </w:pPr>
      <w:rPr>
        <w:rFonts w:hint="default"/>
      </w:rPr>
    </w:lvl>
    <w:lvl w:ilvl="2" w:tentative="0">
      <w:start w:val="1"/>
      <w:numFmt w:val="bullet"/>
      <w:lvlText w:val="•"/>
      <w:lvlJc w:val="left"/>
      <w:pPr>
        <w:ind w:left="2872" w:hanging="360"/>
      </w:pPr>
      <w:rPr>
        <w:rFonts w:hint="default"/>
      </w:rPr>
    </w:lvl>
    <w:lvl w:ilvl="3" w:tentative="0">
      <w:start w:val="1"/>
      <w:numFmt w:val="bullet"/>
      <w:lvlText w:val="•"/>
      <w:lvlJc w:val="left"/>
      <w:pPr>
        <w:ind w:left="3708" w:hanging="360"/>
      </w:pPr>
      <w:rPr>
        <w:rFonts w:hint="default"/>
      </w:rPr>
    </w:lvl>
    <w:lvl w:ilvl="4" w:tentative="0">
      <w:start w:val="1"/>
      <w:numFmt w:val="bullet"/>
      <w:lvlText w:val="•"/>
      <w:lvlJc w:val="left"/>
      <w:pPr>
        <w:ind w:left="4544" w:hanging="360"/>
      </w:pPr>
      <w:rPr>
        <w:rFonts w:hint="default"/>
      </w:rPr>
    </w:lvl>
    <w:lvl w:ilvl="5" w:tentative="0">
      <w:start w:val="1"/>
      <w:numFmt w:val="bullet"/>
      <w:lvlText w:val="•"/>
      <w:lvlJc w:val="left"/>
      <w:pPr>
        <w:ind w:left="5380" w:hanging="360"/>
      </w:pPr>
      <w:rPr>
        <w:rFonts w:hint="default"/>
      </w:rPr>
    </w:lvl>
    <w:lvl w:ilvl="6" w:tentative="0">
      <w:start w:val="1"/>
      <w:numFmt w:val="bullet"/>
      <w:lvlText w:val="•"/>
      <w:lvlJc w:val="left"/>
      <w:pPr>
        <w:ind w:left="6216" w:hanging="360"/>
      </w:pPr>
      <w:rPr>
        <w:rFonts w:hint="default"/>
      </w:rPr>
    </w:lvl>
    <w:lvl w:ilvl="7" w:tentative="0">
      <w:start w:val="1"/>
      <w:numFmt w:val="bullet"/>
      <w:lvlText w:val="•"/>
      <w:lvlJc w:val="left"/>
      <w:pPr>
        <w:ind w:left="7052" w:hanging="360"/>
      </w:pPr>
      <w:rPr>
        <w:rFonts w:hint="default"/>
      </w:rPr>
    </w:lvl>
    <w:lvl w:ilvl="8" w:tentative="0">
      <w:start w:val="1"/>
      <w:numFmt w:val="bullet"/>
      <w:lvlText w:val="•"/>
      <w:lvlJc w:val="left"/>
      <w:pPr>
        <w:ind w:left="7888" w:hanging="360"/>
      </w:pPr>
      <w:rPr>
        <w:rFonts w:hint="default"/>
      </w:rPr>
    </w:lvl>
  </w:abstractNum>
  <w:abstractNum w:abstractNumId="17">
    <w:nsid w:val="71F45E68"/>
    <w:multiLevelType w:val="multilevel"/>
    <w:tmpl w:val="71F45E68"/>
    <w:lvl w:ilvl="0" w:tentative="0">
      <w:start w:val="25"/>
      <w:numFmt w:val="decimal"/>
      <w:lvlText w:val="%1."/>
      <w:lvlJc w:val="left"/>
      <w:pPr>
        <w:ind w:left="460" w:hanging="360"/>
      </w:pPr>
      <w:rPr>
        <w:rFonts w:hint="default" w:ascii="Arial" w:hAnsi="Arial" w:eastAsia="Times New Roman" w:cs="Arial"/>
        <w:sz w:val="24"/>
        <w:szCs w:val="24"/>
      </w:rPr>
    </w:lvl>
    <w:lvl w:ilvl="1" w:tentative="0">
      <w:start w:val="1"/>
      <w:numFmt w:val="bullet"/>
      <w:lvlText w:val="•"/>
      <w:lvlJc w:val="left"/>
      <w:pPr>
        <w:ind w:left="1334" w:hanging="360"/>
      </w:pPr>
      <w:rPr>
        <w:rFonts w:hint="default"/>
      </w:rPr>
    </w:lvl>
    <w:lvl w:ilvl="2" w:tentative="0">
      <w:start w:val="1"/>
      <w:numFmt w:val="bullet"/>
      <w:lvlText w:val="•"/>
      <w:lvlJc w:val="left"/>
      <w:pPr>
        <w:ind w:left="2208" w:hanging="360"/>
      </w:pPr>
      <w:rPr>
        <w:rFonts w:hint="default"/>
      </w:rPr>
    </w:lvl>
    <w:lvl w:ilvl="3" w:tentative="0">
      <w:start w:val="1"/>
      <w:numFmt w:val="bullet"/>
      <w:lvlText w:val="•"/>
      <w:lvlJc w:val="left"/>
      <w:pPr>
        <w:ind w:left="3082" w:hanging="360"/>
      </w:pPr>
      <w:rPr>
        <w:rFonts w:hint="default"/>
      </w:rPr>
    </w:lvl>
    <w:lvl w:ilvl="4" w:tentative="0">
      <w:start w:val="1"/>
      <w:numFmt w:val="bullet"/>
      <w:lvlText w:val="•"/>
      <w:lvlJc w:val="left"/>
      <w:pPr>
        <w:ind w:left="3956" w:hanging="360"/>
      </w:pPr>
      <w:rPr>
        <w:rFonts w:hint="default"/>
      </w:rPr>
    </w:lvl>
    <w:lvl w:ilvl="5" w:tentative="0">
      <w:start w:val="1"/>
      <w:numFmt w:val="bullet"/>
      <w:lvlText w:val="•"/>
      <w:lvlJc w:val="left"/>
      <w:pPr>
        <w:ind w:left="4830" w:hanging="360"/>
      </w:pPr>
      <w:rPr>
        <w:rFonts w:hint="default"/>
      </w:rPr>
    </w:lvl>
    <w:lvl w:ilvl="6" w:tentative="0">
      <w:start w:val="1"/>
      <w:numFmt w:val="bullet"/>
      <w:lvlText w:val="•"/>
      <w:lvlJc w:val="left"/>
      <w:pPr>
        <w:ind w:left="5704" w:hanging="360"/>
      </w:pPr>
      <w:rPr>
        <w:rFonts w:hint="default"/>
      </w:rPr>
    </w:lvl>
    <w:lvl w:ilvl="7" w:tentative="0">
      <w:start w:val="1"/>
      <w:numFmt w:val="bullet"/>
      <w:lvlText w:val="•"/>
      <w:lvlJc w:val="left"/>
      <w:pPr>
        <w:ind w:left="6578" w:hanging="360"/>
      </w:pPr>
      <w:rPr>
        <w:rFonts w:hint="default"/>
      </w:rPr>
    </w:lvl>
    <w:lvl w:ilvl="8" w:tentative="0">
      <w:start w:val="1"/>
      <w:numFmt w:val="bullet"/>
      <w:lvlText w:val="•"/>
      <w:lvlJc w:val="left"/>
      <w:pPr>
        <w:ind w:left="7452" w:hanging="360"/>
      </w:pPr>
      <w:rPr>
        <w:rFonts w:hint="default"/>
      </w:rPr>
    </w:lvl>
  </w:abstractNum>
  <w:abstractNum w:abstractNumId="18">
    <w:nsid w:val="72241790"/>
    <w:multiLevelType w:val="multilevel"/>
    <w:tmpl w:val="72241790"/>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bullet"/>
      <w:lvlText w:val="•"/>
      <w:lvlJc w:val="left"/>
      <w:pPr>
        <w:ind w:left="2038" w:hanging="360"/>
      </w:pPr>
      <w:rPr>
        <w:rFonts w:hint="default"/>
      </w:rPr>
    </w:lvl>
    <w:lvl w:ilvl="2" w:tentative="0">
      <w:start w:val="1"/>
      <w:numFmt w:val="bullet"/>
      <w:lvlText w:val="•"/>
      <w:lvlJc w:val="left"/>
      <w:pPr>
        <w:ind w:left="2876" w:hanging="360"/>
      </w:pPr>
      <w:rPr>
        <w:rFonts w:hint="default"/>
      </w:rPr>
    </w:lvl>
    <w:lvl w:ilvl="3" w:tentative="0">
      <w:start w:val="1"/>
      <w:numFmt w:val="bullet"/>
      <w:lvlText w:val="•"/>
      <w:lvlJc w:val="left"/>
      <w:pPr>
        <w:ind w:left="3714" w:hanging="360"/>
      </w:pPr>
      <w:rPr>
        <w:rFonts w:hint="default"/>
      </w:rPr>
    </w:lvl>
    <w:lvl w:ilvl="4" w:tentative="0">
      <w:start w:val="1"/>
      <w:numFmt w:val="bullet"/>
      <w:lvlText w:val="•"/>
      <w:lvlJc w:val="left"/>
      <w:pPr>
        <w:ind w:left="4552" w:hanging="360"/>
      </w:pPr>
      <w:rPr>
        <w:rFonts w:hint="default"/>
      </w:rPr>
    </w:lvl>
    <w:lvl w:ilvl="5" w:tentative="0">
      <w:start w:val="1"/>
      <w:numFmt w:val="bullet"/>
      <w:lvlText w:val="•"/>
      <w:lvlJc w:val="left"/>
      <w:pPr>
        <w:ind w:left="5390" w:hanging="360"/>
      </w:pPr>
      <w:rPr>
        <w:rFonts w:hint="default"/>
      </w:rPr>
    </w:lvl>
    <w:lvl w:ilvl="6" w:tentative="0">
      <w:start w:val="1"/>
      <w:numFmt w:val="bullet"/>
      <w:lvlText w:val="•"/>
      <w:lvlJc w:val="left"/>
      <w:pPr>
        <w:ind w:left="6228" w:hanging="360"/>
      </w:pPr>
      <w:rPr>
        <w:rFonts w:hint="default"/>
      </w:rPr>
    </w:lvl>
    <w:lvl w:ilvl="7" w:tentative="0">
      <w:start w:val="1"/>
      <w:numFmt w:val="bullet"/>
      <w:lvlText w:val="•"/>
      <w:lvlJc w:val="left"/>
      <w:pPr>
        <w:ind w:left="7066" w:hanging="360"/>
      </w:pPr>
      <w:rPr>
        <w:rFonts w:hint="default"/>
      </w:rPr>
    </w:lvl>
    <w:lvl w:ilvl="8" w:tentative="0">
      <w:start w:val="1"/>
      <w:numFmt w:val="bullet"/>
      <w:lvlText w:val="•"/>
      <w:lvlJc w:val="left"/>
      <w:pPr>
        <w:ind w:left="7904" w:hanging="360"/>
      </w:pPr>
      <w:rPr>
        <w:rFonts w:hint="default"/>
      </w:rPr>
    </w:lvl>
  </w:abstractNum>
  <w:abstractNum w:abstractNumId="19">
    <w:nsid w:val="72D64FA6"/>
    <w:multiLevelType w:val="multilevel"/>
    <w:tmpl w:val="72D64FA6"/>
    <w:lvl w:ilvl="0" w:tentative="0">
      <w:start w:val="1"/>
      <w:numFmt w:val="bullet"/>
      <w:lvlText w:val=""/>
      <w:lvlJc w:val="left"/>
      <w:pPr>
        <w:ind w:left="840" w:hanging="360"/>
      </w:pPr>
      <w:rPr>
        <w:rFonts w:hint="default" w:ascii="Symbol" w:hAnsi="Symbol" w:eastAsia="Symbol"/>
        <w:sz w:val="24"/>
        <w:szCs w:val="24"/>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20">
    <w:nsid w:val="7A0B548C"/>
    <w:multiLevelType w:val="multilevel"/>
    <w:tmpl w:val="7A0B548C"/>
    <w:lvl w:ilvl="0" w:tentative="0">
      <w:start w:val="1"/>
      <w:numFmt w:val="decimal"/>
      <w:lvlText w:val="%1."/>
      <w:lvlJc w:val="left"/>
      <w:pPr>
        <w:ind w:left="1200" w:hanging="360"/>
      </w:pPr>
      <w:rPr>
        <w:rFonts w:hint="default" w:ascii="Arial" w:hAnsi="Arial" w:eastAsia="Times New Roman" w:cs="Arial"/>
        <w:b/>
        <w:bCs/>
        <w:i/>
        <w:sz w:val="24"/>
        <w:szCs w:val="24"/>
      </w:rPr>
    </w:lvl>
    <w:lvl w:ilvl="1" w:tentative="0">
      <w:start w:val="1"/>
      <w:numFmt w:val="bullet"/>
      <w:lvlText w:val="•"/>
      <w:lvlJc w:val="left"/>
      <w:pPr>
        <w:ind w:left="2036" w:hanging="360"/>
      </w:pPr>
      <w:rPr>
        <w:rFonts w:hint="default"/>
      </w:rPr>
    </w:lvl>
    <w:lvl w:ilvl="2" w:tentative="0">
      <w:start w:val="1"/>
      <w:numFmt w:val="bullet"/>
      <w:lvlText w:val="•"/>
      <w:lvlJc w:val="left"/>
      <w:pPr>
        <w:ind w:left="2872" w:hanging="360"/>
      </w:pPr>
      <w:rPr>
        <w:rFonts w:hint="default"/>
      </w:rPr>
    </w:lvl>
    <w:lvl w:ilvl="3" w:tentative="0">
      <w:start w:val="1"/>
      <w:numFmt w:val="bullet"/>
      <w:lvlText w:val="•"/>
      <w:lvlJc w:val="left"/>
      <w:pPr>
        <w:ind w:left="3708" w:hanging="360"/>
      </w:pPr>
      <w:rPr>
        <w:rFonts w:hint="default"/>
      </w:rPr>
    </w:lvl>
    <w:lvl w:ilvl="4" w:tentative="0">
      <w:start w:val="1"/>
      <w:numFmt w:val="bullet"/>
      <w:lvlText w:val="•"/>
      <w:lvlJc w:val="left"/>
      <w:pPr>
        <w:ind w:left="4544" w:hanging="360"/>
      </w:pPr>
      <w:rPr>
        <w:rFonts w:hint="default"/>
      </w:rPr>
    </w:lvl>
    <w:lvl w:ilvl="5" w:tentative="0">
      <w:start w:val="1"/>
      <w:numFmt w:val="bullet"/>
      <w:lvlText w:val="•"/>
      <w:lvlJc w:val="left"/>
      <w:pPr>
        <w:ind w:left="5380" w:hanging="360"/>
      </w:pPr>
      <w:rPr>
        <w:rFonts w:hint="default"/>
      </w:rPr>
    </w:lvl>
    <w:lvl w:ilvl="6" w:tentative="0">
      <w:start w:val="1"/>
      <w:numFmt w:val="bullet"/>
      <w:lvlText w:val="•"/>
      <w:lvlJc w:val="left"/>
      <w:pPr>
        <w:ind w:left="6216" w:hanging="360"/>
      </w:pPr>
      <w:rPr>
        <w:rFonts w:hint="default"/>
      </w:rPr>
    </w:lvl>
    <w:lvl w:ilvl="7" w:tentative="0">
      <w:start w:val="1"/>
      <w:numFmt w:val="bullet"/>
      <w:lvlText w:val="•"/>
      <w:lvlJc w:val="left"/>
      <w:pPr>
        <w:ind w:left="7052" w:hanging="360"/>
      </w:pPr>
      <w:rPr>
        <w:rFonts w:hint="default"/>
      </w:rPr>
    </w:lvl>
    <w:lvl w:ilvl="8" w:tentative="0">
      <w:start w:val="1"/>
      <w:numFmt w:val="bullet"/>
      <w:lvlText w:val="•"/>
      <w:lvlJc w:val="left"/>
      <w:pPr>
        <w:ind w:left="7888" w:hanging="360"/>
      </w:pPr>
      <w:rPr>
        <w:rFonts w:hint="default"/>
      </w:rPr>
    </w:lvl>
  </w:abstractNum>
  <w:num w:numId="1">
    <w:abstractNumId w:val="12"/>
  </w:num>
  <w:num w:numId="2">
    <w:abstractNumId w:val="2"/>
  </w:num>
  <w:num w:numId="3">
    <w:abstractNumId w:val="0"/>
  </w:num>
  <w:num w:numId="4">
    <w:abstractNumId w:val="14"/>
  </w:num>
  <w:num w:numId="5">
    <w:abstractNumId w:val="11"/>
  </w:num>
  <w:num w:numId="6">
    <w:abstractNumId w:val="20"/>
  </w:num>
  <w:num w:numId="7">
    <w:abstractNumId w:val="16"/>
  </w:num>
  <w:num w:numId="8">
    <w:abstractNumId w:val="18"/>
  </w:num>
  <w:num w:numId="9">
    <w:abstractNumId w:val="5"/>
  </w:num>
  <w:num w:numId="10">
    <w:abstractNumId w:val="7"/>
  </w:num>
  <w:num w:numId="11">
    <w:abstractNumId w:val="15"/>
  </w:num>
  <w:num w:numId="12">
    <w:abstractNumId w:val="13"/>
  </w:num>
  <w:num w:numId="13">
    <w:abstractNumId w:val="6"/>
  </w:num>
  <w:num w:numId="14">
    <w:abstractNumId w:val="8"/>
  </w:num>
  <w:num w:numId="15">
    <w:abstractNumId w:val="9"/>
  </w:num>
  <w:num w:numId="16">
    <w:abstractNumId w:val="4"/>
  </w:num>
  <w:num w:numId="17">
    <w:abstractNumId w:val="19"/>
  </w:num>
  <w:num w:numId="18">
    <w:abstractNumId w:val="1"/>
  </w:num>
  <w:num w:numId="19">
    <w:abstractNumId w:val="10"/>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hideSpellingErrors/>
  <w:documentProtection w:edit="readOnly" w:enforcement="0"/>
  <w:defaultTabStop w:val="720"/>
  <w:drawingGridHorizontalSpacing w:val="110"/>
  <w:drawingGridVerticalSpacing w:val="299"/>
  <w:displayHorizontalDrawingGridEvery w:val="2"/>
  <w:characterSpacingControl w:val="doNotCompress"/>
  <w:footnotePr>
    <w:footnote w:id="294"/>
    <w:footnote w:id="295"/>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44A"/>
    <w:rsid w:val="000032CD"/>
    <w:rsid w:val="00003613"/>
    <w:rsid w:val="00004E68"/>
    <w:rsid w:val="00006558"/>
    <w:rsid w:val="000067E8"/>
    <w:rsid w:val="00006963"/>
    <w:rsid w:val="00006A6C"/>
    <w:rsid w:val="00007B8D"/>
    <w:rsid w:val="00011245"/>
    <w:rsid w:val="000113F0"/>
    <w:rsid w:val="00011D9B"/>
    <w:rsid w:val="00012324"/>
    <w:rsid w:val="00013B79"/>
    <w:rsid w:val="00013CC1"/>
    <w:rsid w:val="00013EFA"/>
    <w:rsid w:val="00014B92"/>
    <w:rsid w:val="00015287"/>
    <w:rsid w:val="00016A66"/>
    <w:rsid w:val="00016EF9"/>
    <w:rsid w:val="00017995"/>
    <w:rsid w:val="0002029A"/>
    <w:rsid w:val="00020FA7"/>
    <w:rsid w:val="000218C8"/>
    <w:rsid w:val="00021BFB"/>
    <w:rsid w:val="000244EF"/>
    <w:rsid w:val="000245D8"/>
    <w:rsid w:val="00026407"/>
    <w:rsid w:val="00026409"/>
    <w:rsid w:val="00027550"/>
    <w:rsid w:val="000276F8"/>
    <w:rsid w:val="00027939"/>
    <w:rsid w:val="00027CEC"/>
    <w:rsid w:val="00030540"/>
    <w:rsid w:val="000305EE"/>
    <w:rsid w:val="00030E3A"/>
    <w:rsid w:val="00031D48"/>
    <w:rsid w:val="00033100"/>
    <w:rsid w:val="00035F4C"/>
    <w:rsid w:val="0003627F"/>
    <w:rsid w:val="00036B49"/>
    <w:rsid w:val="00037579"/>
    <w:rsid w:val="00037692"/>
    <w:rsid w:val="0004151C"/>
    <w:rsid w:val="00042048"/>
    <w:rsid w:val="0004217F"/>
    <w:rsid w:val="00042943"/>
    <w:rsid w:val="00042B4F"/>
    <w:rsid w:val="0004320E"/>
    <w:rsid w:val="00043B32"/>
    <w:rsid w:val="00045C01"/>
    <w:rsid w:val="00047989"/>
    <w:rsid w:val="00050133"/>
    <w:rsid w:val="00050303"/>
    <w:rsid w:val="0005049C"/>
    <w:rsid w:val="0005049E"/>
    <w:rsid w:val="00050D3D"/>
    <w:rsid w:val="0005157B"/>
    <w:rsid w:val="00051967"/>
    <w:rsid w:val="0005250B"/>
    <w:rsid w:val="00052CC1"/>
    <w:rsid w:val="00052FC0"/>
    <w:rsid w:val="00053837"/>
    <w:rsid w:val="0005402C"/>
    <w:rsid w:val="00054A01"/>
    <w:rsid w:val="00054AC4"/>
    <w:rsid w:val="0005522E"/>
    <w:rsid w:val="000557A7"/>
    <w:rsid w:val="00056139"/>
    <w:rsid w:val="0005696D"/>
    <w:rsid w:val="00057F43"/>
    <w:rsid w:val="00060A8A"/>
    <w:rsid w:val="00060F10"/>
    <w:rsid w:val="000612CA"/>
    <w:rsid w:val="00063228"/>
    <w:rsid w:val="00063528"/>
    <w:rsid w:val="0006357E"/>
    <w:rsid w:val="00065357"/>
    <w:rsid w:val="00065F9C"/>
    <w:rsid w:val="000669C3"/>
    <w:rsid w:val="00067A4B"/>
    <w:rsid w:val="00070A41"/>
    <w:rsid w:val="000710CC"/>
    <w:rsid w:val="00071284"/>
    <w:rsid w:val="00071604"/>
    <w:rsid w:val="000717CC"/>
    <w:rsid w:val="00071C4E"/>
    <w:rsid w:val="00071CCB"/>
    <w:rsid w:val="00071F12"/>
    <w:rsid w:val="0007357A"/>
    <w:rsid w:val="0007376F"/>
    <w:rsid w:val="00074557"/>
    <w:rsid w:val="00074744"/>
    <w:rsid w:val="000747A3"/>
    <w:rsid w:val="00076767"/>
    <w:rsid w:val="00077B8B"/>
    <w:rsid w:val="00077DBB"/>
    <w:rsid w:val="0008019D"/>
    <w:rsid w:val="0008029A"/>
    <w:rsid w:val="00080A12"/>
    <w:rsid w:val="00081623"/>
    <w:rsid w:val="000817D7"/>
    <w:rsid w:val="00082648"/>
    <w:rsid w:val="00083650"/>
    <w:rsid w:val="000838CB"/>
    <w:rsid w:val="00083EDC"/>
    <w:rsid w:val="000848B2"/>
    <w:rsid w:val="000850D8"/>
    <w:rsid w:val="00086224"/>
    <w:rsid w:val="00087EE1"/>
    <w:rsid w:val="0009140F"/>
    <w:rsid w:val="00091705"/>
    <w:rsid w:val="00091E88"/>
    <w:rsid w:val="000922B7"/>
    <w:rsid w:val="00092828"/>
    <w:rsid w:val="000928D4"/>
    <w:rsid w:val="00094D1E"/>
    <w:rsid w:val="00095344"/>
    <w:rsid w:val="000962B1"/>
    <w:rsid w:val="000965DC"/>
    <w:rsid w:val="000A05F9"/>
    <w:rsid w:val="000A07B6"/>
    <w:rsid w:val="000A176C"/>
    <w:rsid w:val="000A255F"/>
    <w:rsid w:val="000A2744"/>
    <w:rsid w:val="000A2C06"/>
    <w:rsid w:val="000A3700"/>
    <w:rsid w:val="000A3ADE"/>
    <w:rsid w:val="000A411C"/>
    <w:rsid w:val="000A4BCB"/>
    <w:rsid w:val="000A5E5F"/>
    <w:rsid w:val="000A6404"/>
    <w:rsid w:val="000A7F3E"/>
    <w:rsid w:val="000B02BE"/>
    <w:rsid w:val="000B04E2"/>
    <w:rsid w:val="000B1DCB"/>
    <w:rsid w:val="000B2608"/>
    <w:rsid w:val="000B3142"/>
    <w:rsid w:val="000B3403"/>
    <w:rsid w:val="000B3676"/>
    <w:rsid w:val="000B3916"/>
    <w:rsid w:val="000B5528"/>
    <w:rsid w:val="000B6997"/>
    <w:rsid w:val="000B72B2"/>
    <w:rsid w:val="000B7D2D"/>
    <w:rsid w:val="000C0233"/>
    <w:rsid w:val="000C0BAF"/>
    <w:rsid w:val="000C17B9"/>
    <w:rsid w:val="000C1DBE"/>
    <w:rsid w:val="000C2227"/>
    <w:rsid w:val="000C242B"/>
    <w:rsid w:val="000C2731"/>
    <w:rsid w:val="000C3160"/>
    <w:rsid w:val="000C3480"/>
    <w:rsid w:val="000C39B8"/>
    <w:rsid w:val="000C4B39"/>
    <w:rsid w:val="000C6CA5"/>
    <w:rsid w:val="000C7398"/>
    <w:rsid w:val="000C7433"/>
    <w:rsid w:val="000C7AB0"/>
    <w:rsid w:val="000D0958"/>
    <w:rsid w:val="000D12C8"/>
    <w:rsid w:val="000D2029"/>
    <w:rsid w:val="000D2172"/>
    <w:rsid w:val="000D4081"/>
    <w:rsid w:val="000D4925"/>
    <w:rsid w:val="000D4B7F"/>
    <w:rsid w:val="000D4FDF"/>
    <w:rsid w:val="000D5491"/>
    <w:rsid w:val="000D5A98"/>
    <w:rsid w:val="000D6F9B"/>
    <w:rsid w:val="000D77AF"/>
    <w:rsid w:val="000D7BC5"/>
    <w:rsid w:val="000E0071"/>
    <w:rsid w:val="000E075E"/>
    <w:rsid w:val="000E12C5"/>
    <w:rsid w:val="000E12F3"/>
    <w:rsid w:val="000E1975"/>
    <w:rsid w:val="000E1E7E"/>
    <w:rsid w:val="000E215D"/>
    <w:rsid w:val="000E2699"/>
    <w:rsid w:val="000E2BA6"/>
    <w:rsid w:val="000E3466"/>
    <w:rsid w:val="000E35A3"/>
    <w:rsid w:val="000E3A67"/>
    <w:rsid w:val="000E4754"/>
    <w:rsid w:val="000E4CFF"/>
    <w:rsid w:val="000E5320"/>
    <w:rsid w:val="000E5699"/>
    <w:rsid w:val="000E5871"/>
    <w:rsid w:val="000E680F"/>
    <w:rsid w:val="000E6A69"/>
    <w:rsid w:val="000E7544"/>
    <w:rsid w:val="000E787C"/>
    <w:rsid w:val="000F02F9"/>
    <w:rsid w:val="000F0573"/>
    <w:rsid w:val="000F07F9"/>
    <w:rsid w:val="000F080A"/>
    <w:rsid w:val="000F08C9"/>
    <w:rsid w:val="000F1067"/>
    <w:rsid w:val="000F169C"/>
    <w:rsid w:val="000F1E02"/>
    <w:rsid w:val="000F20CE"/>
    <w:rsid w:val="000F224D"/>
    <w:rsid w:val="000F2B49"/>
    <w:rsid w:val="000F2B9B"/>
    <w:rsid w:val="000F33F5"/>
    <w:rsid w:val="000F429E"/>
    <w:rsid w:val="000F5A74"/>
    <w:rsid w:val="000F61C8"/>
    <w:rsid w:val="000F65B6"/>
    <w:rsid w:val="000F65F3"/>
    <w:rsid w:val="000F6F72"/>
    <w:rsid w:val="000F71D5"/>
    <w:rsid w:val="000F7C67"/>
    <w:rsid w:val="000F7D7F"/>
    <w:rsid w:val="000F7D84"/>
    <w:rsid w:val="001000E3"/>
    <w:rsid w:val="00100917"/>
    <w:rsid w:val="00100A93"/>
    <w:rsid w:val="00102332"/>
    <w:rsid w:val="00103736"/>
    <w:rsid w:val="0010377B"/>
    <w:rsid w:val="00103A83"/>
    <w:rsid w:val="00104A1C"/>
    <w:rsid w:val="00104AFF"/>
    <w:rsid w:val="001051B4"/>
    <w:rsid w:val="00105267"/>
    <w:rsid w:val="001058C3"/>
    <w:rsid w:val="00105AE3"/>
    <w:rsid w:val="00105E0C"/>
    <w:rsid w:val="00105FAE"/>
    <w:rsid w:val="00106F89"/>
    <w:rsid w:val="001106E4"/>
    <w:rsid w:val="00110E45"/>
    <w:rsid w:val="001119E1"/>
    <w:rsid w:val="00112297"/>
    <w:rsid w:val="0011259A"/>
    <w:rsid w:val="00114342"/>
    <w:rsid w:val="001143F7"/>
    <w:rsid w:val="001145E7"/>
    <w:rsid w:val="00114C6C"/>
    <w:rsid w:val="00115ACD"/>
    <w:rsid w:val="00116BB6"/>
    <w:rsid w:val="00116D90"/>
    <w:rsid w:val="00117AA0"/>
    <w:rsid w:val="00117C73"/>
    <w:rsid w:val="00121351"/>
    <w:rsid w:val="0012219B"/>
    <w:rsid w:val="0012233A"/>
    <w:rsid w:val="001223FD"/>
    <w:rsid w:val="001225FD"/>
    <w:rsid w:val="0012279A"/>
    <w:rsid w:val="001229DF"/>
    <w:rsid w:val="001230A6"/>
    <w:rsid w:val="00123FD0"/>
    <w:rsid w:val="001243FD"/>
    <w:rsid w:val="00125985"/>
    <w:rsid w:val="00125F6C"/>
    <w:rsid w:val="001264D0"/>
    <w:rsid w:val="001264F7"/>
    <w:rsid w:val="00126899"/>
    <w:rsid w:val="00126AF7"/>
    <w:rsid w:val="00126E8C"/>
    <w:rsid w:val="0012700F"/>
    <w:rsid w:val="00127777"/>
    <w:rsid w:val="0013009B"/>
    <w:rsid w:val="00130118"/>
    <w:rsid w:val="001301BB"/>
    <w:rsid w:val="00130568"/>
    <w:rsid w:val="0013070A"/>
    <w:rsid w:val="00130BF7"/>
    <w:rsid w:val="00130CC9"/>
    <w:rsid w:val="00130F3C"/>
    <w:rsid w:val="00131447"/>
    <w:rsid w:val="00131D34"/>
    <w:rsid w:val="00133E6F"/>
    <w:rsid w:val="001341B8"/>
    <w:rsid w:val="00134418"/>
    <w:rsid w:val="00134491"/>
    <w:rsid w:val="001344B8"/>
    <w:rsid w:val="00134ADB"/>
    <w:rsid w:val="0013569C"/>
    <w:rsid w:val="00135981"/>
    <w:rsid w:val="00135C9D"/>
    <w:rsid w:val="00135FE9"/>
    <w:rsid w:val="00136022"/>
    <w:rsid w:val="00136A18"/>
    <w:rsid w:val="00136ECF"/>
    <w:rsid w:val="00137B76"/>
    <w:rsid w:val="001408F7"/>
    <w:rsid w:val="00140CDF"/>
    <w:rsid w:val="00140D30"/>
    <w:rsid w:val="001413A7"/>
    <w:rsid w:val="001413FF"/>
    <w:rsid w:val="0014180E"/>
    <w:rsid w:val="00142186"/>
    <w:rsid w:val="001429A2"/>
    <w:rsid w:val="00142CFD"/>
    <w:rsid w:val="00143925"/>
    <w:rsid w:val="00143B4C"/>
    <w:rsid w:val="00144A9A"/>
    <w:rsid w:val="00144E9C"/>
    <w:rsid w:val="00145E4A"/>
    <w:rsid w:val="00146348"/>
    <w:rsid w:val="00146BCF"/>
    <w:rsid w:val="00146D89"/>
    <w:rsid w:val="001501E6"/>
    <w:rsid w:val="00150324"/>
    <w:rsid w:val="0015209D"/>
    <w:rsid w:val="00155DD5"/>
    <w:rsid w:val="00156464"/>
    <w:rsid w:val="00157E77"/>
    <w:rsid w:val="00157F5E"/>
    <w:rsid w:val="00160580"/>
    <w:rsid w:val="00161F83"/>
    <w:rsid w:val="0016220D"/>
    <w:rsid w:val="001626A7"/>
    <w:rsid w:val="00162752"/>
    <w:rsid w:val="001627BD"/>
    <w:rsid w:val="00163A55"/>
    <w:rsid w:val="00163FF7"/>
    <w:rsid w:val="001644DD"/>
    <w:rsid w:val="00164C6F"/>
    <w:rsid w:val="0016632F"/>
    <w:rsid w:val="00167889"/>
    <w:rsid w:val="00167E97"/>
    <w:rsid w:val="00171CB2"/>
    <w:rsid w:val="00172221"/>
    <w:rsid w:val="00172316"/>
    <w:rsid w:val="0017355A"/>
    <w:rsid w:val="00173714"/>
    <w:rsid w:val="00173D4B"/>
    <w:rsid w:val="00173E23"/>
    <w:rsid w:val="001740E0"/>
    <w:rsid w:val="00176DF5"/>
    <w:rsid w:val="00177732"/>
    <w:rsid w:val="00177A64"/>
    <w:rsid w:val="00177E67"/>
    <w:rsid w:val="00177FFD"/>
    <w:rsid w:val="00180B4F"/>
    <w:rsid w:val="00181469"/>
    <w:rsid w:val="00181B6B"/>
    <w:rsid w:val="00182F72"/>
    <w:rsid w:val="0018464A"/>
    <w:rsid w:val="00184708"/>
    <w:rsid w:val="001848F9"/>
    <w:rsid w:val="00184A00"/>
    <w:rsid w:val="00186252"/>
    <w:rsid w:val="001870E1"/>
    <w:rsid w:val="00187F2A"/>
    <w:rsid w:val="00187F93"/>
    <w:rsid w:val="0019047F"/>
    <w:rsid w:val="00190506"/>
    <w:rsid w:val="001920E0"/>
    <w:rsid w:val="0019245F"/>
    <w:rsid w:val="00192604"/>
    <w:rsid w:val="00193879"/>
    <w:rsid w:val="00193F56"/>
    <w:rsid w:val="00194014"/>
    <w:rsid w:val="0019444B"/>
    <w:rsid w:val="00195421"/>
    <w:rsid w:val="001958B2"/>
    <w:rsid w:val="0019736B"/>
    <w:rsid w:val="001977E7"/>
    <w:rsid w:val="001978F7"/>
    <w:rsid w:val="001A01F3"/>
    <w:rsid w:val="001A0900"/>
    <w:rsid w:val="001A17CB"/>
    <w:rsid w:val="001A1B57"/>
    <w:rsid w:val="001A27BB"/>
    <w:rsid w:val="001A3671"/>
    <w:rsid w:val="001A3802"/>
    <w:rsid w:val="001A39CC"/>
    <w:rsid w:val="001A3DC6"/>
    <w:rsid w:val="001A505C"/>
    <w:rsid w:val="001A528B"/>
    <w:rsid w:val="001A60F5"/>
    <w:rsid w:val="001A613B"/>
    <w:rsid w:val="001A628C"/>
    <w:rsid w:val="001A72AC"/>
    <w:rsid w:val="001A751F"/>
    <w:rsid w:val="001A7DF1"/>
    <w:rsid w:val="001A7E9F"/>
    <w:rsid w:val="001B11B2"/>
    <w:rsid w:val="001B16D8"/>
    <w:rsid w:val="001B1BE4"/>
    <w:rsid w:val="001B22A6"/>
    <w:rsid w:val="001B2B61"/>
    <w:rsid w:val="001B2DE2"/>
    <w:rsid w:val="001B2DEF"/>
    <w:rsid w:val="001B3956"/>
    <w:rsid w:val="001B45F1"/>
    <w:rsid w:val="001B4A75"/>
    <w:rsid w:val="001B5402"/>
    <w:rsid w:val="001B676D"/>
    <w:rsid w:val="001B6820"/>
    <w:rsid w:val="001B7521"/>
    <w:rsid w:val="001B75BC"/>
    <w:rsid w:val="001B7EE2"/>
    <w:rsid w:val="001C02CE"/>
    <w:rsid w:val="001C1A92"/>
    <w:rsid w:val="001C1C2E"/>
    <w:rsid w:val="001C21A8"/>
    <w:rsid w:val="001C23B5"/>
    <w:rsid w:val="001C28F4"/>
    <w:rsid w:val="001C38EF"/>
    <w:rsid w:val="001C3EC8"/>
    <w:rsid w:val="001C50D4"/>
    <w:rsid w:val="001C6099"/>
    <w:rsid w:val="001C613D"/>
    <w:rsid w:val="001C64F0"/>
    <w:rsid w:val="001C68AE"/>
    <w:rsid w:val="001C705B"/>
    <w:rsid w:val="001C71C4"/>
    <w:rsid w:val="001C7550"/>
    <w:rsid w:val="001C77DE"/>
    <w:rsid w:val="001C7A68"/>
    <w:rsid w:val="001C7A7E"/>
    <w:rsid w:val="001D029B"/>
    <w:rsid w:val="001D09F7"/>
    <w:rsid w:val="001D0E39"/>
    <w:rsid w:val="001D1241"/>
    <w:rsid w:val="001D1306"/>
    <w:rsid w:val="001D1363"/>
    <w:rsid w:val="001D1BBD"/>
    <w:rsid w:val="001D27AA"/>
    <w:rsid w:val="001D2863"/>
    <w:rsid w:val="001D3A00"/>
    <w:rsid w:val="001D3BE8"/>
    <w:rsid w:val="001D4385"/>
    <w:rsid w:val="001D43AC"/>
    <w:rsid w:val="001D5177"/>
    <w:rsid w:val="001D559D"/>
    <w:rsid w:val="001D570D"/>
    <w:rsid w:val="001D58B6"/>
    <w:rsid w:val="001D58DA"/>
    <w:rsid w:val="001D5BCA"/>
    <w:rsid w:val="001D60A0"/>
    <w:rsid w:val="001D610C"/>
    <w:rsid w:val="001D670E"/>
    <w:rsid w:val="001D6F99"/>
    <w:rsid w:val="001D71FD"/>
    <w:rsid w:val="001E0A62"/>
    <w:rsid w:val="001E1147"/>
    <w:rsid w:val="001E1363"/>
    <w:rsid w:val="001E228E"/>
    <w:rsid w:val="001E2502"/>
    <w:rsid w:val="001E27B6"/>
    <w:rsid w:val="001E2C7E"/>
    <w:rsid w:val="001E30F5"/>
    <w:rsid w:val="001E312E"/>
    <w:rsid w:val="001E33FE"/>
    <w:rsid w:val="001E40AB"/>
    <w:rsid w:val="001E40DA"/>
    <w:rsid w:val="001E4395"/>
    <w:rsid w:val="001E482F"/>
    <w:rsid w:val="001E548C"/>
    <w:rsid w:val="001E5CCF"/>
    <w:rsid w:val="001F0444"/>
    <w:rsid w:val="001F082E"/>
    <w:rsid w:val="001F145F"/>
    <w:rsid w:val="001F1B9D"/>
    <w:rsid w:val="001F1F0B"/>
    <w:rsid w:val="001F2BA9"/>
    <w:rsid w:val="001F388A"/>
    <w:rsid w:val="001F3E91"/>
    <w:rsid w:val="001F42D9"/>
    <w:rsid w:val="001F4867"/>
    <w:rsid w:val="001F4EFF"/>
    <w:rsid w:val="001F500B"/>
    <w:rsid w:val="001F5C0E"/>
    <w:rsid w:val="001F5DD2"/>
    <w:rsid w:val="002001E5"/>
    <w:rsid w:val="00200C41"/>
    <w:rsid w:val="002011D4"/>
    <w:rsid w:val="00201684"/>
    <w:rsid w:val="002020E8"/>
    <w:rsid w:val="00205070"/>
    <w:rsid w:val="00205FC6"/>
    <w:rsid w:val="002100BB"/>
    <w:rsid w:val="00210614"/>
    <w:rsid w:val="00211089"/>
    <w:rsid w:val="00211830"/>
    <w:rsid w:val="002118C0"/>
    <w:rsid w:val="00211A37"/>
    <w:rsid w:val="00211B5C"/>
    <w:rsid w:val="0021249B"/>
    <w:rsid w:val="0021318C"/>
    <w:rsid w:val="0021355B"/>
    <w:rsid w:val="00213565"/>
    <w:rsid w:val="002141B5"/>
    <w:rsid w:val="002145D3"/>
    <w:rsid w:val="00214C59"/>
    <w:rsid w:val="00214FF7"/>
    <w:rsid w:val="0021570F"/>
    <w:rsid w:val="00216838"/>
    <w:rsid w:val="00216EA1"/>
    <w:rsid w:val="0021779D"/>
    <w:rsid w:val="002178B3"/>
    <w:rsid w:val="00217E09"/>
    <w:rsid w:val="00217E1B"/>
    <w:rsid w:val="00221833"/>
    <w:rsid w:val="00221D2C"/>
    <w:rsid w:val="002224B8"/>
    <w:rsid w:val="0022253A"/>
    <w:rsid w:val="00222EB5"/>
    <w:rsid w:val="002231A4"/>
    <w:rsid w:val="0022332F"/>
    <w:rsid w:val="00223854"/>
    <w:rsid w:val="002239F6"/>
    <w:rsid w:val="00223DEA"/>
    <w:rsid w:val="00224948"/>
    <w:rsid w:val="00224A82"/>
    <w:rsid w:val="00224EBC"/>
    <w:rsid w:val="00224EE2"/>
    <w:rsid w:val="00225032"/>
    <w:rsid w:val="00225118"/>
    <w:rsid w:val="00225216"/>
    <w:rsid w:val="00225614"/>
    <w:rsid w:val="0022642C"/>
    <w:rsid w:val="00226FE0"/>
    <w:rsid w:val="002338B9"/>
    <w:rsid w:val="00234558"/>
    <w:rsid w:val="00235A2E"/>
    <w:rsid w:val="00235D9A"/>
    <w:rsid w:val="00236C61"/>
    <w:rsid w:val="00237B90"/>
    <w:rsid w:val="002400F9"/>
    <w:rsid w:val="002406CB"/>
    <w:rsid w:val="0024098C"/>
    <w:rsid w:val="00240A6A"/>
    <w:rsid w:val="002413BE"/>
    <w:rsid w:val="00241591"/>
    <w:rsid w:val="002415A5"/>
    <w:rsid w:val="00241E08"/>
    <w:rsid w:val="002424FA"/>
    <w:rsid w:val="0024260E"/>
    <w:rsid w:val="0024302D"/>
    <w:rsid w:val="00243351"/>
    <w:rsid w:val="00244A0E"/>
    <w:rsid w:val="00244BC5"/>
    <w:rsid w:val="00245131"/>
    <w:rsid w:val="0024592B"/>
    <w:rsid w:val="002459B4"/>
    <w:rsid w:val="0024623D"/>
    <w:rsid w:val="00247278"/>
    <w:rsid w:val="00247943"/>
    <w:rsid w:val="00250278"/>
    <w:rsid w:val="00251A9C"/>
    <w:rsid w:val="00251F07"/>
    <w:rsid w:val="002526A1"/>
    <w:rsid w:val="002527B9"/>
    <w:rsid w:val="00252ACA"/>
    <w:rsid w:val="002534A1"/>
    <w:rsid w:val="0025442F"/>
    <w:rsid w:val="00254A23"/>
    <w:rsid w:val="00255118"/>
    <w:rsid w:val="002559EE"/>
    <w:rsid w:val="00255E66"/>
    <w:rsid w:val="00255F2A"/>
    <w:rsid w:val="00256060"/>
    <w:rsid w:val="002573EB"/>
    <w:rsid w:val="002575F4"/>
    <w:rsid w:val="00257708"/>
    <w:rsid w:val="0025770B"/>
    <w:rsid w:val="00257E73"/>
    <w:rsid w:val="00260748"/>
    <w:rsid w:val="00260C28"/>
    <w:rsid w:val="00260E2C"/>
    <w:rsid w:val="002631B9"/>
    <w:rsid w:val="0026353D"/>
    <w:rsid w:val="00264523"/>
    <w:rsid w:val="00264A33"/>
    <w:rsid w:val="00265348"/>
    <w:rsid w:val="0026581B"/>
    <w:rsid w:val="00265EA5"/>
    <w:rsid w:val="00267E41"/>
    <w:rsid w:val="00270AAC"/>
    <w:rsid w:val="0027280C"/>
    <w:rsid w:val="00272FBF"/>
    <w:rsid w:val="00273090"/>
    <w:rsid w:val="0027390B"/>
    <w:rsid w:val="00273C81"/>
    <w:rsid w:val="00273D17"/>
    <w:rsid w:val="00273F7A"/>
    <w:rsid w:val="00275159"/>
    <w:rsid w:val="002754B3"/>
    <w:rsid w:val="00275F98"/>
    <w:rsid w:val="0028150E"/>
    <w:rsid w:val="00281FB0"/>
    <w:rsid w:val="002826C2"/>
    <w:rsid w:val="002828AB"/>
    <w:rsid w:val="00282A6A"/>
    <w:rsid w:val="00282CCF"/>
    <w:rsid w:val="002832B8"/>
    <w:rsid w:val="00283BAF"/>
    <w:rsid w:val="002843F9"/>
    <w:rsid w:val="00284FFB"/>
    <w:rsid w:val="002853C3"/>
    <w:rsid w:val="00285734"/>
    <w:rsid w:val="00285C03"/>
    <w:rsid w:val="00287864"/>
    <w:rsid w:val="002901C9"/>
    <w:rsid w:val="002926A1"/>
    <w:rsid w:val="002928E7"/>
    <w:rsid w:val="002933F7"/>
    <w:rsid w:val="002960E8"/>
    <w:rsid w:val="00296504"/>
    <w:rsid w:val="00296CA3"/>
    <w:rsid w:val="00296CE8"/>
    <w:rsid w:val="00296F65"/>
    <w:rsid w:val="00297A09"/>
    <w:rsid w:val="002A0909"/>
    <w:rsid w:val="002A18C6"/>
    <w:rsid w:val="002A1954"/>
    <w:rsid w:val="002A1E49"/>
    <w:rsid w:val="002A2025"/>
    <w:rsid w:val="002A38D6"/>
    <w:rsid w:val="002A3FEF"/>
    <w:rsid w:val="002A44E9"/>
    <w:rsid w:val="002A4948"/>
    <w:rsid w:val="002A4A9C"/>
    <w:rsid w:val="002A57AC"/>
    <w:rsid w:val="002A5B3F"/>
    <w:rsid w:val="002A6943"/>
    <w:rsid w:val="002A773F"/>
    <w:rsid w:val="002A7A34"/>
    <w:rsid w:val="002B015E"/>
    <w:rsid w:val="002B02FC"/>
    <w:rsid w:val="002B0CDC"/>
    <w:rsid w:val="002B0D1E"/>
    <w:rsid w:val="002B0ED5"/>
    <w:rsid w:val="002B103E"/>
    <w:rsid w:val="002B2784"/>
    <w:rsid w:val="002B317C"/>
    <w:rsid w:val="002B3CC1"/>
    <w:rsid w:val="002B3DF9"/>
    <w:rsid w:val="002B4265"/>
    <w:rsid w:val="002B42B2"/>
    <w:rsid w:val="002B467A"/>
    <w:rsid w:val="002B4C3F"/>
    <w:rsid w:val="002B52F0"/>
    <w:rsid w:val="002B694F"/>
    <w:rsid w:val="002B6C66"/>
    <w:rsid w:val="002C015B"/>
    <w:rsid w:val="002C0407"/>
    <w:rsid w:val="002C06BE"/>
    <w:rsid w:val="002C13FB"/>
    <w:rsid w:val="002C1600"/>
    <w:rsid w:val="002C1675"/>
    <w:rsid w:val="002C17FB"/>
    <w:rsid w:val="002C19E5"/>
    <w:rsid w:val="002C25E1"/>
    <w:rsid w:val="002C2A48"/>
    <w:rsid w:val="002C2CD9"/>
    <w:rsid w:val="002C31C5"/>
    <w:rsid w:val="002C355B"/>
    <w:rsid w:val="002C4528"/>
    <w:rsid w:val="002C45D6"/>
    <w:rsid w:val="002C4B0A"/>
    <w:rsid w:val="002C519E"/>
    <w:rsid w:val="002C66EB"/>
    <w:rsid w:val="002C6DDF"/>
    <w:rsid w:val="002C7C40"/>
    <w:rsid w:val="002D1F1C"/>
    <w:rsid w:val="002D2AEF"/>
    <w:rsid w:val="002D2C44"/>
    <w:rsid w:val="002D31AB"/>
    <w:rsid w:val="002D3467"/>
    <w:rsid w:val="002D3C90"/>
    <w:rsid w:val="002D3DCA"/>
    <w:rsid w:val="002D534C"/>
    <w:rsid w:val="002D55E9"/>
    <w:rsid w:val="002D5A2C"/>
    <w:rsid w:val="002D5D9E"/>
    <w:rsid w:val="002D6323"/>
    <w:rsid w:val="002D6599"/>
    <w:rsid w:val="002D6CE9"/>
    <w:rsid w:val="002D6DF7"/>
    <w:rsid w:val="002D7123"/>
    <w:rsid w:val="002D7B8D"/>
    <w:rsid w:val="002D7E9B"/>
    <w:rsid w:val="002D7ED0"/>
    <w:rsid w:val="002E010F"/>
    <w:rsid w:val="002E0A5D"/>
    <w:rsid w:val="002E0D96"/>
    <w:rsid w:val="002E112C"/>
    <w:rsid w:val="002E1795"/>
    <w:rsid w:val="002E1D2B"/>
    <w:rsid w:val="002E2C66"/>
    <w:rsid w:val="002E2FA8"/>
    <w:rsid w:val="002E352A"/>
    <w:rsid w:val="002E3567"/>
    <w:rsid w:val="002E3D28"/>
    <w:rsid w:val="002E4AA7"/>
    <w:rsid w:val="002E4C82"/>
    <w:rsid w:val="002E50C0"/>
    <w:rsid w:val="002E55A7"/>
    <w:rsid w:val="002E567E"/>
    <w:rsid w:val="002E6761"/>
    <w:rsid w:val="002F05BB"/>
    <w:rsid w:val="002F0E8B"/>
    <w:rsid w:val="002F17F9"/>
    <w:rsid w:val="002F1B81"/>
    <w:rsid w:val="002F1DC9"/>
    <w:rsid w:val="002F2C4C"/>
    <w:rsid w:val="002F2CBC"/>
    <w:rsid w:val="002F4174"/>
    <w:rsid w:val="002F4B39"/>
    <w:rsid w:val="002F5582"/>
    <w:rsid w:val="002F584D"/>
    <w:rsid w:val="002F5992"/>
    <w:rsid w:val="002F5A22"/>
    <w:rsid w:val="002F69DE"/>
    <w:rsid w:val="002F6C74"/>
    <w:rsid w:val="002F7A6F"/>
    <w:rsid w:val="002F7B21"/>
    <w:rsid w:val="0030002C"/>
    <w:rsid w:val="00300873"/>
    <w:rsid w:val="00300942"/>
    <w:rsid w:val="00300F29"/>
    <w:rsid w:val="003017E7"/>
    <w:rsid w:val="003028C6"/>
    <w:rsid w:val="0030303D"/>
    <w:rsid w:val="0030307F"/>
    <w:rsid w:val="0030312A"/>
    <w:rsid w:val="003036DF"/>
    <w:rsid w:val="00303744"/>
    <w:rsid w:val="00304830"/>
    <w:rsid w:val="00304FE1"/>
    <w:rsid w:val="00305735"/>
    <w:rsid w:val="00305BFC"/>
    <w:rsid w:val="003075BA"/>
    <w:rsid w:val="00307C7C"/>
    <w:rsid w:val="003100B3"/>
    <w:rsid w:val="0031033A"/>
    <w:rsid w:val="00310949"/>
    <w:rsid w:val="003120B9"/>
    <w:rsid w:val="00312147"/>
    <w:rsid w:val="003125D9"/>
    <w:rsid w:val="00312950"/>
    <w:rsid w:val="00313413"/>
    <w:rsid w:val="003134FB"/>
    <w:rsid w:val="00313A71"/>
    <w:rsid w:val="00314311"/>
    <w:rsid w:val="00314FCC"/>
    <w:rsid w:val="003153E8"/>
    <w:rsid w:val="0031583C"/>
    <w:rsid w:val="00317068"/>
    <w:rsid w:val="00320BCB"/>
    <w:rsid w:val="00320D29"/>
    <w:rsid w:val="003211B7"/>
    <w:rsid w:val="003215BB"/>
    <w:rsid w:val="0032418A"/>
    <w:rsid w:val="003242DB"/>
    <w:rsid w:val="003245FF"/>
    <w:rsid w:val="00324CEA"/>
    <w:rsid w:val="003256D4"/>
    <w:rsid w:val="00326C37"/>
    <w:rsid w:val="00326D25"/>
    <w:rsid w:val="003271CA"/>
    <w:rsid w:val="00327839"/>
    <w:rsid w:val="00327A32"/>
    <w:rsid w:val="00330218"/>
    <w:rsid w:val="00330294"/>
    <w:rsid w:val="003303EB"/>
    <w:rsid w:val="00331106"/>
    <w:rsid w:val="00331857"/>
    <w:rsid w:val="003319DC"/>
    <w:rsid w:val="00331DC1"/>
    <w:rsid w:val="003321A5"/>
    <w:rsid w:val="00332C02"/>
    <w:rsid w:val="00333B03"/>
    <w:rsid w:val="003340B9"/>
    <w:rsid w:val="0033413A"/>
    <w:rsid w:val="0033415F"/>
    <w:rsid w:val="003350AA"/>
    <w:rsid w:val="003351F4"/>
    <w:rsid w:val="00335E28"/>
    <w:rsid w:val="00336261"/>
    <w:rsid w:val="0033691F"/>
    <w:rsid w:val="00336D85"/>
    <w:rsid w:val="003402C2"/>
    <w:rsid w:val="003404A5"/>
    <w:rsid w:val="00340CB2"/>
    <w:rsid w:val="00340E0D"/>
    <w:rsid w:val="00341AB4"/>
    <w:rsid w:val="00341B35"/>
    <w:rsid w:val="00342355"/>
    <w:rsid w:val="003423AC"/>
    <w:rsid w:val="00342D58"/>
    <w:rsid w:val="00342DEC"/>
    <w:rsid w:val="00342FF9"/>
    <w:rsid w:val="00343A35"/>
    <w:rsid w:val="0034431F"/>
    <w:rsid w:val="00344442"/>
    <w:rsid w:val="00344718"/>
    <w:rsid w:val="00344BA0"/>
    <w:rsid w:val="003460BD"/>
    <w:rsid w:val="0034616A"/>
    <w:rsid w:val="00346276"/>
    <w:rsid w:val="0034687C"/>
    <w:rsid w:val="00346E98"/>
    <w:rsid w:val="0035137B"/>
    <w:rsid w:val="003513F3"/>
    <w:rsid w:val="00352F92"/>
    <w:rsid w:val="00354A23"/>
    <w:rsid w:val="00355B63"/>
    <w:rsid w:val="00355FC8"/>
    <w:rsid w:val="00356BE3"/>
    <w:rsid w:val="00356C32"/>
    <w:rsid w:val="00357C3F"/>
    <w:rsid w:val="00357D1A"/>
    <w:rsid w:val="00360CD6"/>
    <w:rsid w:val="00361A2E"/>
    <w:rsid w:val="00361D4C"/>
    <w:rsid w:val="00362D3B"/>
    <w:rsid w:val="00362D9E"/>
    <w:rsid w:val="00362F78"/>
    <w:rsid w:val="003648C1"/>
    <w:rsid w:val="00364A4B"/>
    <w:rsid w:val="00365332"/>
    <w:rsid w:val="00370664"/>
    <w:rsid w:val="003706A3"/>
    <w:rsid w:val="003707D6"/>
    <w:rsid w:val="00370BF5"/>
    <w:rsid w:val="00370ECF"/>
    <w:rsid w:val="00371844"/>
    <w:rsid w:val="003725FA"/>
    <w:rsid w:val="00372963"/>
    <w:rsid w:val="00373800"/>
    <w:rsid w:val="00375F0D"/>
    <w:rsid w:val="0037625E"/>
    <w:rsid w:val="00376DC4"/>
    <w:rsid w:val="00377077"/>
    <w:rsid w:val="00377FE7"/>
    <w:rsid w:val="00380196"/>
    <w:rsid w:val="003810D5"/>
    <w:rsid w:val="00382692"/>
    <w:rsid w:val="00382721"/>
    <w:rsid w:val="00382A47"/>
    <w:rsid w:val="00382D31"/>
    <w:rsid w:val="0038324B"/>
    <w:rsid w:val="003843A8"/>
    <w:rsid w:val="00385A44"/>
    <w:rsid w:val="00386036"/>
    <w:rsid w:val="00386B3B"/>
    <w:rsid w:val="00387131"/>
    <w:rsid w:val="00387410"/>
    <w:rsid w:val="00391302"/>
    <w:rsid w:val="00391D6D"/>
    <w:rsid w:val="00392BDA"/>
    <w:rsid w:val="00392FE8"/>
    <w:rsid w:val="0039363B"/>
    <w:rsid w:val="0039413E"/>
    <w:rsid w:val="003952A0"/>
    <w:rsid w:val="003971F6"/>
    <w:rsid w:val="003976FC"/>
    <w:rsid w:val="00397942"/>
    <w:rsid w:val="003A0BDD"/>
    <w:rsid w:val="003A102E"/>
    <w:rsid w:val="003A13A7"/>
    <w:rsid w:val="003A2031"/>
    <w:rsid w:val="003A25C8"/>
    <w:rsid w:val="003A3021"/>
    <w:rsid w:val="003A3544"/>
    <w:rsid w:val="003A4088"/>
    <w:rsid w:val="003A49F1"/>
    <w:rsid w:val="003A52EA"/>
    <w:rsid w:val="003A5F31"/>
    <w:rsid w:val="003A5F80"/>
    <w:rsid w:val="003A65AD"/>
    <w:rsid w:val="003A65D6"/>
    <w:rsid w:val="003A6E91"/>
    <w:rsid w:val="003A709C"/>
    <w:rsid w:val="003A7F85"/>
    <w:rsid w:val="003A7FBB"/>
    <w:rsid w:val="003B022D"/>
    <w:rsid w:val="003B1144"/>
    <w:rsid w:val="003B24A4"/>
    <w:rsid w:val="003B27D2"/>
    <w:rsid w:val="003B297D"/>
    <w:rsid w:val="003B2C2C"/>
    <w:rsid w:val="003B2DBC"/>
    <w:rsid w:val="003B2DDB"/>
    <w:rsid w:val="003B2DFB"/>
    <w:rsid w:val="003B3B85"/>
    <w:rsid w:val="003B449A"/>
    <w:rsid w:val="003B484A"/>
    <w:rsid w:val="003B4F95"/>
    <w:rsid w:val="003B5C7A"/>
    <w:rsid w:val="003B77B9"/>
    <w:rsid w:val="003B7D06"/>
    <w:rsid w:val="003C08C3"/>
    <w:rsid w:val="003C20FD"/>
    <w:rsid w:val="003C227E"/>
    <w:rsid w:val="003C25E7"/>
    <w:rsid w:val="003C2970"/>
    <w:rsid w:val="003C43ED"/>
    <w:rsid w:val="003C4430"/>
    <w:rsid w:val="003C4C29"/>
    <w:rsid w:val="003C5817"/>
    <w:rsid w:val="003C6450"/>
    <w:rsid w:val="003C66E0"/>
    <w:rsid w:val="003C7171"/>
    <w:rsid w:val="003D022E"/>
    <w:rsid w:val="003D024E"/>
    <w:rsid w:val="003D0CC1"/>
    <w:rsid w:val="003D1AB2"/>
    <w:rsid w:val="003D2B2B"/>
    <w:rsid w:val="003D2D39"/>
    <w:rsid w:val="003D2E43"/>
    <w:rsid w:val="003D3AE1"/>
    <w:rsid w:val="003D4043"/>
    <w:rsid w:val="003D4D9E"/>
    <w:rsid w:val="003D58BA"/>
    <w:rsid w:val="003D6283"/>
    <w:rsid w:val="003E04AD"/>
    <w:rsid w:val="003E0D4A"/>
    <w:rsid w:val="003E10E4"/>
    <w:rsid w:val="003E1291"/>
    <w:rsid w:val="003E155F"/>
    <w:rsid w:val="003E1972"/>
    <w:rsid w:val="003E1BC6"/>
    <w:rsid w:val="003E1C84"/>
    <w:rsid w:val="003E1D89"/>
    <w:rsid w:val="003E24C9"/>
    <w:rsid w:val="003E2643"/>
    <w:rsid w:val="003E2E2F"/>
    <w:rsid w:val="003E319C"/>
    <w:rsid w:val="003E392A"/>
    <w:rsid w:val="003E4350"/>
    <w:rsid w:val="003E46AB"/>
    <w:rsid w:val="003E4A78"/>
    <w:rsid w:val="003E4EB7"/>
    <w:rsid w:val="003E6735"/>
    <w:rsid w:val="003E693F"/>
    <w:rsid w:val="003E6B5D"/>
    <w:rsid w:val="003F00E7"/>
    <w:rsid w:val="003F063C"/>
    <w:rsid w:val="003F0AD7"/>
    <w:rsid w:val="003F0C49"/>
    <w:rsid w:val="003F1DA7"/>
    <w:rsid w:val="003F28C2"/>
    <w:rsid w:val="003F3214"/>
    <w:rsid w:val="003F394F"/>
    <w:rsid w:val="003F4FD4"/>
    <w:rsid w:val="003F576B"/>
    <w:rsid w:val="003F5C9C"/>
    <w:rsid w:val="003F630D"/>
    <w:rsid w:val="003F648D"/>
    <w:rsid w:val="003F7824"/>
    <w:rsid w:val="00400512"/>
    <w:rsid w:val="00400CC1"/>
    <w:rsid w:val="00401957"/>
    <w:rsid w:val="00402564"/>
    <w:rsid w:val="00402895"/>
    <w:rsid w:val="00402A26"/>
    <w:rsid w:val="00403434"/>
    <w:rsid w:val="00403F9F"/>
    <w:rsid w:val="004040BE"/>
    <w:rsid w:val="0040470E"/>
    <w:rsid w:val="0040494F"/>
    <w:rsid w:val="0040633A"/>
    <w:rsid w:val="004109B2"/>
    <w:rsid w:val="00410AFC"/>
    <w:rsid w:val="00410F73"/>
    <w:rsid w:val="004114CD"/>
    <w:rsid w:val="0041246C"/>
    <w:rsid w:val="00412919"/>
    <w:rsid w:val="00412CF5"/>
    <w:rsid w:val="004130B5"/>
    <w:rsid w:val="00413714"/>
    <w:rsid w:val="00413FFF"/>
    <w:rsid w:val="004152BD"/>
    <w:rsid w:val="00415FAD"/>
    <w:rsid w:val="00416E35"/>
    <w:rsid w:val="004175D3"/>
    <w:rsid w:val="00417992"/>
    <w:rsid w:val="00417B80"/>
    <w:rsid w:val="00420256"/>
    <w:rsid w:val="00420634"/>
    <w:rsid w:val="00421229"/>
    <w:rsid w:val="00421CC8"/>
    <w:rsid w:val="004221D1"/>
    <w:rsid w:val="00423CC7"/>
    <w:rsid w:val="00424F86"/>
    <w:rsid w:val="00425161"/>
    <w:rsid w:val="004251B6"/>
    <w:rsid w:val="004254A6"/>
    <w:rsid w:val="004270DE"/>
    <w:rsid w:val="0043076F"/>
    <w:rsid w:val="004309B1"/>
    <w:rsid w:val="00430B10"/>
    <w:rsid w:val="004312FA"/>
    <w:rsid w:val="00432623"/>
    <w:rsid w:val="00432C46"/>
    <w:rsid w:val="00432D9F"/>
    <w:rsid w:val="00433351"/>
    <w:rsid w:val="00433754"/>
    <w:rsid w:val="004337A1"/>
    <w:rsid w:val="00434264"/>
    <w:rsid w:val="004344EA"/>
    <w:rsid w:val="00434B49"/>
    <w:rsid w:val="00434C8D"/>
    <w:rsid w:val="00435D7B"/>
    <w:rsid w:val="00436088"/>
    <w:rsid w:val="004360D4"/>
    <w:rsid w:val="00436EC5"/>
    <w:rsid w:val="0043730D"/>
    <w:rsid w:val="00437326"/>
    <w:rsid w:val="004373FC"/>
    <w:rsid w:val="00437BBB"/>
    <w:rsid w:val="00437C55"/>
    <w:rsid w:val="00437EAB"/>
    <w:rsid w:val="0044064E"/>
    <w:rsid w:val="00441201"/>
    <w:rsid w:val="00441D2F"/>
    <w:rsid w:val="00442963"/>
    <w:rsid w:val="00442E72"/>
    <w:rsid w:val="0044351F"/>
    <w:rsid w:val="00443FEE"/>
    <w:rsid w:val="00444B54"/>
    <w:rsid w:val="00445DB7"/>
    <w:rsid w:val="00445F75"/>
    <w:rsid w:val="00446947"/>
    <w:rsid w:val="00446C7F"/>
    <w:rsid w:val="00450B25"/>
    <w:rsid w:val="00450DA9"/>
    <w:rsid w:val="00452E3E"/>
    <w:rsid w:val="0045338E"/>
    <w:rsid w:val="00453C07"/>
    <w:rsid w:val="00454AA2"/>
    <w:rsid w:val="00455654"/>
    <w:rsid w:val="0045576C"/>
    <w:rsid w:val="00455E38"/>
    <w:rsid w:val="004562C7"/>
    <w:rsid w:val="00456F04"/>
    <w:rsid w:val="004579AF"/>
    <w:rsid w:val="00460214"/>
    <w:rsid w:val="00460C9F"/>
    <w:rsid w:val="0046243C"/>
    <w:rsid w:val="00463B08"/>
    <w:rsid w:val="00463E28"/>
    <w:rsid w:val="00464184"/>
    <w:rsid w:val="004649F9"/>
    <w:rsid w:val="004664C5"/>
    <w:rsid w:val="00466D74"/>
    <w:rsid w:val="00467509"/>
    <w:rsid w:val="00470595"/>
    <w:rsid w:val="00470686"/>
    <w:rsid w:val="004721BF"/>
    <w:rsid w:val="004727A7"/>
    <w:rsid w:val="004729E7"/>
    <w:rsid w:val="0047304A"/>
    <w:rsid w:val="00473617"/>
    <w:rsid w:val="00473D48"/>
    <w:rsid w:val="00475A78"/>
    <w:rsid w:val="00475AF0"/>
    <w:rsid w:val="004765BB"/>
    <w:rsid w:val="00476F92"/>
    <w:rsid w:val="00477058"/>
    <w:rsid w:val="0047723B"/>
    <w:rsid w:val="004778F6"/>
    <w:rsid w:val="00477EDC"/>
    <w:rsid w:val="00480216"/>
    <w:rsid w:val="00480392"/>
    <w:rsid w:val="0048121A"/>
    <w:rsid w:val="00481280"/>
    <w:rsid w:val="0048177F"/>
    <w:rsid w:val="004819E6"/>
    <w:rsid w:val="00482104"/>
    <w:rsid w:val="00482198"/>
    <w:rsid w:val="00482804"/>
    <w:rsid w:val="00483C09"/>
    <w:rsid w:val="00483D91"/>
    <w:rsid w:val="00483DA0"/>
    <w:rsid w:val="00484305"/>
    <w:rsid w:val="004843E9"/>
    <w:rsid w:val="00484DD2"/>
    <w:rsid w:val="0048520B"/>
    <w:rsid w:val="004855AA"/>
    <w:rsid w:val="00486255"/>
    <w:rsid w:val="00486FC1"/>
    <w:rsid w:val="00487EF2"/>
    <w:rsid w:val="00491850"/>
    <w:rsid w:val="00491DA5"/>
    <w:rsid w:val="004924CC"/>
    <w:rsid w:val="0049289E"/>
    <w:rsid w:val="00492D77"/>
    <w:rsid w:val="00492FAB"/>
    <w:rsid w:val="004931DB"/>
    <w:rsid w:val="00493513"/>
    <w:rsid w:val="00493A8E"/>
    <w:rsid w:val="004942F2"/>
    <w:rsid w:val="00494FE7"/>
    <w:rsid w:val="00497AF0"/>
    <w:rsid w:val="00497CB3"/>
    <w:rsid w:val="004A0430"/>
    <w:rsid w:val="004A0CEF"/>
    <w:rsid w:val="004A20BB"/>
    <w:rsid w:val="004A275F"/>
    <w:rsid w:val="004A3252"/>
    <w:rsid w:val="004A330B"/>
    <w:rsid w:val="004A37D1"/>
    <w:rsid w:val="004A46B7"/>
    <w:rsid w:val="004A4971"/>
    <w:rsid w:val="004A4C77"/>
    <w:rsid w:val="004A56DC"/>
    <w:rsid w:val="004A5FFF"/>
    <w:rsid w:val="004A6286"/>
    <w:rsid w:val="004A777B"/>
    <w:rsid w:val="004A7AE4"/>
    <w:rsid w:val="004B0A7A"/>
    <w:rsid w:val="004B1336"/>
    <w:rsid w:val="004B3306"/>
    <w:rsid w:val="004B3E0C"/>
    <w:rsid w:val="004B43C1"/>
    <w:rsid w:val="004B5995"/>
    <w:rsid w:val="004B6F6F"/>
    <w:rsid w:val="004B70E4"/>
    <w:rsid w:val="004B72D9"/>
    <w:rsid w:val="004C01E4"/>
    <w:rsid w:val="004C13C9"/>
    <w:rsid w:val="004C1478"/>
    <w:rsid w:val="004C15A5"/>
    <w:rsid w:val="004C1789"/>
    <w:rsid w:val="004C2B1E"/>
    <w:rsid w:val="004C4C8B"/>
    <w:rsid w:val="004C569C"/>
    <w:rsid w:val="004C58C0"/>
    <w:rsid w:val="004C5BCA"/>
    <w:rsid w:val="004C5DAC"/>
    <w:rsid w:val="004C5F24"/>
    <w:rsid w:val="004C6ED9"/>
    <w:rsid w:val="004C70FA"/>
    <w:rsid w:val="004C7923"/>
    <w:rsid w:val="004C79C0"/>
    <w:rsid w:val="004C79F2"/>
    <w:rsid w:val="004C7DC0"/>
    <w:rsid w:val="004D01F8"/>
    <w:rsid w:val="004D11F5"/>
    <w:rsid w:val="004D15C1"/>
    <w:rsid w:val="004D1E71"/>
    <w:rsid w:val="004D27DB"/>
    <w:rsid w:val="004D33C3"/>
    <w:rsid w:val="004D33F9"/>
    <w:rsid w:val="004D342B"/>
    <w:rsid w:val="004D3B0E"/>
    <w:rsid w:val="004D4B79"/>
    <w:rsid w:val="004D52AD"/>
    <w:rsid w:val="004D5F6C"/>
    <w:rsid w:val="004D6C8A"/>
    <w:rsid w:val="004D6CC4"/>
    <w:rsid w:val="004D7533"/>
    <w:rsid w:val="004D754B"/>
    <w:rsid w:val="004E017E"/>
    <w:rsid w:val="004E0C29"/>
    <w:rsid w:val="004E0F7E"/>
    <w:rsid w:val="004E22C3"/>
    <w:rsid w:val="004E2649"/>
    <w:rsid w:val="004E3A2E"/>
    <w:rsid w:val="004E3AAB"/>
    <w:rsid w:val="004E4273"/>
    <w:rsid w:val="004E4E43"/>
    <w:rsid w:val="004E553F"/>
    <w:rsid w:val="004E59B9"/>
    <w:rsid w:val="004E5E35"/>
    <w:rsid w:val="004E6680"/>
    <w:rsid w:val="004E6703"/>
    <w:rsid w:val="004E6FB6"/>
    <w:rsid w:val="004E791A"/>
    <w:rsid w:val="004E7A99"/>
    <w:rsid w:val="004E7C19"/>
    <w:rsid w:val="004E7D94"/>
    <w:rsid w:val="004F0180"/>
    <w:rsid w:val="004F02C4"/>
    <w:rsid w:val="004F0888"/>
    <w:rsid w:val="004F2D2B"/>
    <w:rsid w:val="004F373E"/>
    <w:rsid w:val="004F3C34"/>
    <w:rsid w:val="004F3F73"/>
    <w:rsid w:val="004F5516"/>
    <w:rsid w:val="004F55D7"/>
    <w:rsid w:val="004F598D"/>
    <w:rsid w:val="004F5C40"/>
    <w:rsid w:val="004F600F"/>
    <w:rsid w:val="004F6118"/>
    <w:rsid w:val="004F6A97"/>
    <w:rsid w:val="004F7100"/>
    <w:rsid w:val="004F76CC"/>
    <w:rsid w:val="004F7EAF"/>
    <w:rsid w:val="004F7F86"/>
    <w:rsid w:val="00500AC4"/>
    <w:rsid w:val="00500F06"/>
    <w:rsid w:val="00501CAD"/>
    <w:rsid w:val="00501CBE"/>
    <w:rsid w:val="00501D2A"/>
    <w:rsid w:val="005030A7"/>
    <w:rsid w:val="00503193"/>
    <w:rsid w:val="00503395"/>
    <w:rsid w:val="00503543"/>
    <w:rsid w:val="005039BC"/>
    <w:rsid w:val="00504424"/>
    <w:rsid w:val="00504967"/>
    <w:rsid w:val="00504DC4"/>
    <w:rsid w:val="005050C5"/>
    <w:rsid w:val="00505499"/>
    <w:rsid w:val="005054A7"/>
    <w:rsid w:val="00505CEC"/>
    <w:rsid w:val="00506985"/>
    <w:rsid w:val="005069EA"/>
    <w:rsid w:val="0051131A"/>
    <w:rsid w:val="0051146C"/>
    <w:rsid w:val="00512A1A"/>
    <w:rsid w:val="00512A2C"/>
    <w:rsid w:val="00512FC0"/>
    <w:rsid w:val="00513A4F"/>
    <w:rsid w:val="005152C5"/>
    <w:rsid w:val="005174E8"/>
    <w:rsid w:val="00517BAF"/>
    <w:rsid w:val="005207B1"/>
    <w:rsid w:val="00520A44"/>
    <w:rsid w:val="005216BC"/>
    <w:rsid w:val="0052174E"/>
    <w:rsid w:val="005219DA"/>
    <w:rsid w:val="00522765"/>
    <w:rsid w:val="005228FF"/>
    <w:rsid w:val="00522D97"/>
    <w:rsid w:val="00523113"/>
    <w:rsid w:val="00523E02"/>
    <w:rsid w:val="00523E7F"/>
    <w:rsid w:val="00524E22"/>
    <w:rsid w:val="00524F3B"/>
    <w:rsid w:val="00524F64"/>
    <w:rsid w:val="0052557D"/>
    <w:rsid w:val="005261D6"/>
    <w:rsid w:val="00527AA9"/>
    <w:rsid w:val="005309F0"/>
    <w:rsid w:val="00532BBC"/>
    <w:rsid w:val="00532C93"/>
    <w:rsid w:val="00532FD3"/>
    <w:rsid w:val="00533283"/>
    <w:rsid w:val="0053397B"/>
    <w:rsid w:val="00534425"/>
    <w:rsid w:val="005345C7"/>
    <w:rsid w:val="00535417"/>
    <w:rsid w:val="005356AC"/>
    <w:rsid w:val="00536329"/>
    <w:rsid w:val="0053708E"/>
    <w:rsid w:val="005373E9"/>
    <w:rsid w:val="0054049B"/>
    <w:rsid w:val="00540E49"/>
    <w:rsid w:val="00541EC2"/>
    <w:rsid w:val="00541F88"/>
    <w:rsid w:val="0054200C"/>
    <w:rsid w:val="005423FF"/>
    <w:rsid w:val="005437C6"/>
    <w:rsid w:val="0054393C"/>
    <w:rsid w:val="00543FF7"/>
    <w:rsid w:val="00544086"/>
    <w:rsid w:val="00544EC2"/>
    <w:rsid w:val="00544F3C"/>
    <w:rsid w:val="0054555A"/>
    <w:rsid w:val="00546B80"/>
    <w:rsid w:val="00550743"/>
    <w:rsid w:val="0055074C"/>
    <w:rsid w:val="00551027"/>
    <w:rsid w:val="0055116A"/>
    <w:rsid w:val="005517EC"/>
    <w:rsid w:val="00551944"/>
    <w:rsid w:val="00553B7D"/>
    <w:rsid w:val="005544B6"/>
    <w:rsid w:val="00554B00"/>
    <w:rsid w:val="005554F2"/>
    <w:rsid w:val="0055591D"/>
    <w:rsid w:val="0055726D"/>
    <w:rsid w:val="00560D21"/>
    <w:rsid w:val="00561E60"/>
    <w:rsid w:val="00561EDB"/>
    <w:rsid w:val="00562437"/>
    <w:rsid w:val="0056267D"/>
    <w:rsid w:val="0056341D"/>
    <w:rsid w:val="00563776"/>
    <w:rsid w:val="00563EE0"/>
    <w:rsid w:val="00564CF7"/>
    <w:rsid w:val="00565E98"/>
    <w:rsid w:val="00567113"/>
    <w:rsid w:val="00567DFF"/>
    <w:rsid w:val="005700B9"/>
    <w:rsid w:val="00570883"/>
    <w:rsid w:val="0057090C"/>
    <w:rsid w:val="00570D98"/>
    <w:rsid w:val="00570ED1"/>
    <w:rsid w:val="00571076"/>
    <w:rsid w:val="00571113"/>
    <w:rsid w:val="0057300A"/>
    <w:rsid w:val="00574F1B"/>
    <w:rsid w:val="005754F7"/>
    <w:rsid w:val="00576555"/>
    <w:rsid w:val="00576B36"/>
    <w:rsid w:val="00577622"/>
    <w:rsid w:val="00577670"/>
    <w:rsid w:val="005778A5"/>
    <w:rsid w:val="0058076E"/>
    <w:rsid w:val="00580EC5"/>
    <w:rsid w:val="005818D6"/>
    <w:rsid w:val="00581DEE"/>
    <w:rsid w:val="0058269D"/>
    <w:rsid w:val="005829B5"/>
    <w:rsid w:val="00582F76"/>
    <w:rsid w:val="0058306C"/>
    <w:rsid w:val="005835CE"/>
    <w:rsid w:val="0058380B"/>
    <w:rsid w:val="005838F6"/>
    <w:rsid w:val="00583CF6"/>
    <w:rsid w:val="00584C47"/>
    <w:rsid w:val="00584EDD"/>
    <w:rsid w:val="00585114"/>
    <w:rsid w:val="00585FDA"/>
    <w:rsid w:val="005860F3"/>
    <w:rsid w:val="0058723C"/>
    <w:rsid w:val="00587E46"/>
    <w:rsid w:val="0059008B"/>
    <w:rsid w:val="0059034B"/>
    <w:rsid w:val="005903EF"/>
    <w:rsid w:val="005906F2"/>
    <w:rsid w:val="00590C03"/>
    <w:rsid w:val="00590EA9"/>
    <w:rsid w:val="00591145"/>
    <w:rsid w:val="00592081"/>
    <w:rsid w:val="0059293A"/>
    <w:rsid w:val="00592DD0"/>
    <w:rsid w:val="00593711"/>
    <w:rsid w:val="0059382D"/>
    <w:rsid w:val="005939F7"/>
    <w:rsid w:val="00593E5F"/>
    <w:rsid w:val="00594A94"/>
    <w:rsid w:val="00594E1B"/>
    <w:rsid w:val="00596A5A"/>
    <w:rsid w:val="00597856"/>
    <w:rsid w:val="00597A5F"/>
    <w:rsid w:val="005A0019"/>
    <w:rsid w:val="005A03C5"/>
    <w:rsid w:val="005A069A"/>
    <w:rsid w:val="005A0ED6"/>
    <w:rsid w:val="005A1DC6"/>
    <w:rsid w:val="005A1FF2"/>
    <w:rsid w:val="005A279E"/>
    <w:rsid w:val="005A28B0"/>
    <w:rsid w:val="005A2C19"/>
    <w:rsid w:val="005A2EC6"/>
    <w:rsid w:val="005A41AB"/>
    <w:rsid w:val="005A50AC"/>
    <w:rsid w:val="005A56B4"/>
    <w:rsid w:val="005A56C0"/>
    <w:rsid w:val="005A5FCB"/>
    <w:rsid w:val="005A64B4"/>
    <w:rsid w:val="005A64D9"/>
    <w:rsid w:val="005A6BF4"/>
    <w:rsid w:val="005A6D41"/>
    <w:rsid w:val="005A6F3D"/>
    <w:rsid w:val="005A701A"/>
    <w:rsid w:val="005A7131"/>
    <w:rsid w:val="005A7E04"/>
    <w:rsid w:val="005A7F8C"/>
    <w:rsid w:val="005B0348"/>
    <w:rsid w:val="005B123C"/>
    <w:rsid w:val="005B1C6C"/>
    <w:rsid w:val="005B1EDE"/>
    <w:rsid w:val="005B21C9"/>
    <w:rsid w:val="005B24AA"/>
    <w:rsid w:val="005B2FC3"/>
    <w:rsid w:val="005B3BE2"/>
    <w:rsid w:val="005B3FCE"/>
    <w:rsid w:val="005B423C"/>
    <w:rsid w:val="005B4DC1"/>
    <w:rsid w:val="005B4F4A"/>
    <w:rsid w:val="005B512B"/>
    <w:rsid w:val="005B53C6"/>
    <w:rsid w:val="005B6AC5"/>
    <w:rsid w:val="005B70CD"/>
    <w:rsid w:val="005B79CB"/>
    <w:rsid w:val="005B7DE9"/>
    <w:rsid w:val="005C2747"/>
    <w:rsid w:val="005C36DA"/>
    <w:rsid w:val="005C3B88"/>
    <w:rsid w:val="005C4209"/>
    <w:rsid w:val="005C4941"/>
    <w:rsid w:val="005C4AEE"/>
    <w:rsid w:val="005C4E2D"/>
    <w:rsid w:val="005C4FB8"/>
    <w:rsid w:val="005C53D6"/>
    <w:rsid w:val="005C56EF"/>
    <w:rsid w:val="005C5A47"/>
    <w:rsid w:val="005C5BD6"/>
    <w:rsid w:val="005C5EF9"/>
    <w:rsid w:val="005C5F42"/>
    <w:rsid w:val="005C6483"/>
    <w:rsid w:val="005C64F6"/>
    <w:rsid w:val="005C65BA"/>
    <w:rsid w:val="005C680C"/>
    <w:rsid w:val="005C6CFE"/>
    <w:rsid w:val="005C7758"/>
    <w:rsid w:val="005D0711"/>
    <w:rsid w:val="005D0AA9"/>
    <w:rsid w:val="005D0BD8"/>
    <w:rsid w:val="005D239D"/>
    <w:rsid w:val="005D2D99"/>
    <w:rsid w:val="005D3769"/>
    <w:rsid w:val="005D3E4B"/>
    <w:rsid w:val="005D4091"/>
    <w:rsid w:val="005D50CD"/>
    <w:rsid w:val="005D69DF"/>
    <w:rsid w:val="005D79D2"/>
    <w:rsid w:val="005D7FF2"/>
    <w:rsid w:val="005E01F1"/>
    <w:rsid w:val="005E05BD"/>
    <w:rsid w:val="005E117E"/>
    <w:rsid w:val="005E11DF"/>
    <w:rsid w:val="005E16C6"/>
    <w:rsid w:val="005E1A75"/>
    <w:rsid w:val="005E3D5B"/>
    <w:rsid w:val="005E3FD9"/>
    <w:rsid w:val="005E472A"/>
    <w:rsid w:val="005E4C18"/>
    <w:rsid w:val="005E6078"/>
    <w:rsid w:val="005E61AF"/>
    <w:rsid w:val="005E6B34"/>
    <w:rsid w:val="005E6E90"/>
    <w:rsid w:val="005E753D"/>
    <w:rsid w:val="005E76DC"/>
    <w:rsid w:val="005E77CC"/>
    <w:rsid w:val="005F08C2"/>
    <w:rsid w:val="005F280A"/>
    <w:rsid w:val="005F2D25"/>
    <w:rsid w:val="005F3DAE"/>
    <w:rsid w:val="005F48EF"/>
    <w:rsid w:val="005F6702"/>
    <w:rsid w:val="005F67EB"/>
    <w:rsid w:val="005F6D85"/>
    <w:rsid w:val="005F6EF6"/>
    <w:rsid w:val="005F7002"/>
    <w:rsid w:val="005F7072"/>
    <w:rsid w:val="006009D0"/>
    <w:rsid w:val="006013E8"/>
    <w:rsid w:val="00601535"/>
    <w:rsid w:val="00601742"/>
    <w:rsid w:val="00601F8C"/>
    <w:rsid w:val="006023AA"/>
    <w:rsid w:val="00602F26"/>
    <w:rsid w:val="0060379E"/>
    <w:rsid w:val="006040A5"/>
    <w:rsid w:val="00605915"/>
    <w:rsid w:val="00605A13"/>
    <w:rsid w:val="0061022E"/>
    <w:rsid w:val="0061067A"/>
    <w:rsid w:val="0061145B"/>
    <w:rsid w:val="006117C1"/>
    <w:rsid w:val="00611870"/>
    <w:rsid w:val="00611954"/>
    <w:rsid w:val="00611C38"/>
    <w:rsid w:val="00615875"/>
    <w:rsid w:val="00615C04"/>
    <w:rsid w:val="00615CBF"/>
    <w:rsid w:val="0061604F"/>
    <w:rsid w:val="00620F09"/>
    <w:rsid w:val="0062151F"/>
    <w:rsid w:val="00622106"/>
    <w:rsid w:val="00622393"/>
    <w:rsid w:val="00623556"/>
    <w:rsid w:val="006235E0"/>
    <w:rsid w:val="00623FEF"/>
    <w:rsid w:val="006245AF"/>
    <w:rsid w:val="00624AEA"/>
    <w:rsid w:val="00626D69"/>
    <w:rsid w:val="0062759D"/>
    <w:rsid w:val="006303D5"/>
    <w:rsid w:val="006304C0"/>
    <w:rsid w:val="0063127C"/>
    <w:rsid w:val="00632076"/>
    <w:rsid w:val="006325BA"/>
    <w:rsid w:val="00632EF0"/>
    <w:rsid w:val="00633B47"/>
    <w:rsid w:val="00634ECE"/>
    <w:rsid w:val="00634F6A"/>
    <w:rsid w:val="00635EAE"/>
    <w:rsid w:val="00636FA4"/>
    <w:rsid w:val="006374A4"/>
    <w:rsid w:val="00637778"/>
    <w:rsid w:val="00640890"/>
    <w:rsid w:val="00640D8A"/>
    <w:rsid w:val="006414CD"/>
    <w:rsid w:val="00642476"/>
    <w:rsid w:val="00643D63"/>
    <w:rsid w:val="0064418E"/>
    <w:rsid w:val="00644851"/>
    <w:rsid w:val="00644A1E"/>
    <w:rsid w:val="00645DFF"/>
    <w:rsid w:val="00647376"/>
    <w:rsid w:val="00647FAB"/>
    <w:rsid w:val="00650FDB"/>
    <w:rsid w:val="0065138C"/>
    <w:rsid w:val="0065212A"/>
    <w:rsid w:val="00652BDC"/>
    <w:rsid w:val="00652CD6"/>
    <w:rsid w:val="00653BAB"/>
    <w:rsid w:val="00654360"/>
    <w:rsid w:val="00654701"/>
    <w:rsid w:val="00654D04"/>
    <w:rsid w:val="00654EA7"/>
    <w:rsid w:val="00654FE3"/>
    <w:rsid w:val="00655076"/>
    <w:rsid w:val="006554E4"/>
    <w:rsid w:val="0065584C"/>
    <w:rsid w:val="006559A4"/>
    <w:rsid w:val="00655A6A"/>
    <w:rsid w:val="00655F7B"/>
    <w:rsid w:val="00656863"/>
    <w:rsid w:val="00656A46"/>
    <w:rsid w:val="00656AA3"/>
    <w:rsid w:val="006570BF"/>
    <w:rsid w:val="00657D86"/>
    <w:rsid w:val="00657E3A"/>
    <w:rsid w:val="0066027D"/>
    <w:rsid w:val="00660672"/>
    <w:rsid w:val="00660677"/>
    <w:rsid w:val="006625E9"/>
    <w:rsid w:val="006630B6"/>
    <w:rsid w:val="00664382"/>
    <w:rsid w:val="006645D4"/>
    <w:rsid w:val="00664648"/>
    <w:rsid w:val="00665B39"/>
    <w:rsid w:val="00665C26"/>
    <w:rsid w:val="00665EC7"/>
    <w:rsid w:val="00665F2D"/>
    <w:rsid w:val="006674CE"/>
    <w:rsid w:val="00670328"/>
    <w:rsid w:val="00670DCD"/>
    <w:rsid w:val="006729C6"/>
    <w:rsid w:val="00672C7C"/>
    <w:rsid w:val="006731A4"/>
    <w:rsid w:val="00673581"/>
    <w:rsid w:val="006735D7"/>
    <w:rsid w:val="00674C2C"/>
    <w:rsid w:val="00674C32"/>
    <w:rsid w:val="00675221"/>
    <w:rsid w:val="00675901"/>
    <w:rsid w:val="00675991"/>
    <w:rsid w:val="00675B44"/>
    <w:rsid w:val="006779AE"/>
    <w:rsid w:val="00680462"/>
    <w:rsid w:val="00680D0A"/>
    <w:rsid w:val="00680FA1"/>
    <w:rsid w:val="00681CAC"/>
    <w:rsid w:val="006830BF"/>
    <w:rsid w:val="00683323"/>
    <w:rsid w:val="00683339"/>
    <w:rsid w:val="006839F8"/>
    <w:rsid w:val="00683BDC"/>
    <w:rsid w:val="0068455F"/>
    <w:rsid w:val="006855CC"/>
    <w:rsid w:val="006857D5"/>
    <w:rsid w:val="00686DDC"/>
    <w:rsid w:val="00687193"/>
    <w:rsid w:val="00687B53"/>
    <w:rsid w:val="006900BE"/>
    <w:rsid w:val="00690332"/>
    <w:rsid w:val="00690681"/>
    <w:rsid w:val="0069089D"/>
    <w:rsid w:val="00691473"/>
    <w:rsid w:val="00692286"/>
    <w:rsid w:val="0069232F"/>
    <w:rsid w:val="006928A7"/>
    <w:rsid w:val="00692D94"/>
    <w:rsid w:val="00692E5C"/>
    <w:rsid w:val="00693445"/>
    <w:rsid w:val="00693ABC"/>
    <w:rsid w:val="00693B43"/>
    <w:rsid w:val="00693D15"/>
    <w:rsid w:val="00694D6E"/>
    <w:rsid w:val="00694E3A"/>
    <w:rsid w:val="00694EC7"/>
    <w:rsid w:val="0069670A"/>
    <w:rsid w:val="006968A7"/>
    <w:rsid w:val="0069697F"/>
    <w:rsid w:val="00697490"/>
    <w:rsid w:val="006A0AC5"/>
    <w:rsid w:val="006A1CDC"/>
    <w:rsid w:val="006A2F00"/>
    <w:rsid w:val="006A2F86"/>
    <w:rsid w:val="006A3F3E"/>
    <w:rsid w:val="006A4314"/>
    <w:rsid w:val="006A46C3"/>
    <w:rsid w:val="006A4FDB"/>
    <w:rsid w:val="006A5E56"/>
    <w:rsid w:val="006A64D0"/>
    <w:rsid w:val="006A71D5"/>
    <w:rsid w:val="006A7B9F"/>
    <w:rsid w:val="006B03C4"/>
    <w:rsid w:val="006B0644"/>
    <w:rsid w:val="006B0A71"/>
    <w:rsid w:val="006B14A2"/>
    <w:rsid w:val="006B1A6B"/>
    <w:rsid w:val="006B2742"/>
    <w:rsid w:val="006B2FD3"/>
    <w:rsid w:val="006B3573"/>
    <w:rsid w:val="006B4478"/>
    <w:rsid w:val="006B45B9"/>
    <w:rsid w:val="006B4845"/>
    <w:rsid w:val="006B5683"/>
    <w:rsid w:val="006B5699"/>
    <w:rsid w:val="006B582A"/>
    <w:rsid w:val="006B5D8F"/>
    <w:rsid w:val="006B5E0B"/>
    <w:rsid w:val="006B6199"/>
    <w:rsid w:val="006B6B3C"/>
    <w:rsid w:val="006B75C6"/>
    <w:rsid w:val="006B769D"/>
    <w:rsid w:val="006C035A"/>
    <w:rsid w:val="006C0418"/>
    <w:rsid w:val="006C186F"/>
    <w:rsid w:val="006C261A"/>
    <w:rsid w:val="006C2D5A"/>
    <w:rsid w:val="006C47C3"/>
    <w:rsid w:val="006C5700"/>
    <w:rsid w:val="006C581B"/>
    <w:rsid w:val="006C5C44"/>
    <w:rsid w:val="006C64EB"/>
    <w:rsid w:val="006C6C3D"/>
    <w:rsid w:val="006C6C57"/>
    <w:rsid w:val="006C6DE2"/>
    <w:rsid w:val="006C7E1C"/>
    <w:rsid w:val="006D01EB"/>
    <w:rsid w:val="006D08C0"/>
    <w:rsid w:val="006D0D8D"/>
    <w:rsid w:val="006D1647"/>
    <w:rsid w:val="006D1C28"/>
    <w:rsid w:val="006D1CB5"/>
    <w:rsid w:val="006D369B"/>
    <w:rsid w:val="006D37D8"/>
    <w:rsid w:val="006D3BD3"/>
    <w:rsid w:val="006D3C94"/>
    <w:rsid w:val="006D447D"/>
    <w:rsid w:val="006D48AB"/>
    <w:rsid w:val="006D4C3B"/>
    <w:rsid w:val="006D56AC"/>
    <w:rsid w:val="006D586C"/>
    <w:rsid w:val="006D64F6"/>
    <w:rsid w:val="006D7A2F"/>
    <w:rsid w:val="006E1107"/>
    <w:rsid w:val="006E17AF"/>
    <w:rsid w:val="006E1CBC"/>
    <w:rsid w:val="006E2661"/>
    <w:rsid w:val="006E30AC"/>
    <w:rsid w:val="006E3A8D"/>
    <w:rsid w:val="006E490F"/>
    <w:rsid w:val="006E4DCC"/>
    <w:rsid w:val="006E76F6"/>
    <w:rsid w:val="006E7FD7"/>
    <w:rsid w:val="006F052B"/>
    <w:rsid w:val="006F0E19"/>
    <w:rsid w:val="006F143B"/>
    <w:rsid w:val="006F1A37"/>
    <w:rsid w:val="006F297F"/>
    <w:rsid w:val="006F4341"/>
    <w:rsid w:val="006F45BB"/>
    <w:rsid w:val="006F46BA"/>
    <w:rsid w:val="006F50E2"/>
    <w:rsid w:val="006F5654"/>
    <w:rsid w:val="006F5CE5"/>
    <w:rsid w:val="006F742C"/>
    <w:rsid w:val="006F7646"/>
    <w:rsid w:val="00700D6E"/>
    <w:rsid w:val="007010C8"/>
    <w:rsid w:val="00701B76"/>
    <w:rsid w:val="00702B59"/>
    <w:rsid w:val="00703037"/>
    <w:rsid w:val="00703061"/>
    <w:rsid w:val="007033F9"/>
    <w:rsid w:val="00703522"/>
    <w:rsid w:val="0070426C"/>
    <w:rsid w:val="00704F86"/>
    <w:rsid w:val="00705242"/>
    <w:rsid w:val="007054CD"/>
    <w:rsid w:val="007057EA"/>
    <w:rsid w:val="00706E2A"/>
    <w:rsid w:val="007070E3"/>
    <w:rsid w:val="007073F1"/>
    <w:rsid w:val="007077E4"/>
    <w:rsid w:val="0071014B"/>
    <w:rsid w:val="0071031F"/>
    <w:rsid w:val="00710C38"/>
    <w:rsid w:val="007112F8"/>
    <w:rsid w:val="0071176A"/>
    <w:rsid w:val="00712DC3"/>
    <w:rsid w:val="00713332"/>
    <w:rsid w:val="00713C83"/>
    <w:rsid w:val="00713EAF"/>
    <w:rsid w:val="0071470C"/>
    <w:rsid w:val="007158E4"/>
    <w:rsid w:val="00716599"/>
    <w:rsid w:val="00716BE9"/>
    <w:rsid w:val="00716C20"/>
    <w:rsid w:val="00716FB0"/>
    <w:rsid w:val="0071739B"/>
    <w:rsid w:val="007175CA"/>
    <w:rsid w:val="0072058C"/>
    <w:rsid w:val="00721BCA"/>
    <w:rsid w:val="00721CB1"/>
    <w:rsid w:val="00721E7E"/>
    <w:rsid w:val="00721ED3"/>
    <w:rsid w:val="0072216E"/>
    <w:rsid w:val="00723655"/>
    <w:rsid w:val="0072385E"/>
    <w:rsid w:val="00723B2F"/>
    <w:rsid w:val="0072443F"/>
    <w:rsid w:val="007244F0"/>
    <w:rsid w:val="00724FDC"/>
    <w:rsid w:val="00725A80"/>
    <w:rsid w:val="00726CD2"/>
    <w:rsid w:val="00726ED7"/>
    <w:rsid w:val="00727282"/>
    <w:rsid w:val="00727860"/>
    <w:rsid w:val="00727901"/>
    <w:rsid w:val="00730D44"/>
    <w:rsid w:val="007322C3"/>
    <w:rsid w:val="007323DF"/>
    <w:rsid w:val="00732DF6"/>
    <w:rsid w:val="00732F61"/>
    <w:rsid w:val="00733597"/>
    <w:rsid w:val="0073426A"/>
    <w:rsid w:val="0073476A"/>
    <w:rsid w:val="007352D7"/>
    <w:rsid w:val="007367C4"/>
    <w:rsid w:val="00736C7D"/>
    <w:rsid w:val="00737BFF"/>
    <w:rsid w:val="00737C5C"/>
    <w:rsid w:val="00737E3A"/>
    <w:rsid w:val="0074047C"/>
    <w:rsid w:val="00740B5C"/>
    <w:rsid w:val="00741428"/>
    <w:rsid w:val="00741E9A"/>
    <w:rsid w:val="007421F1"/>
    <w:rsid w:val="00742F53"/>
    <w:rsid w:val="00743957"/>
    <w:rsid w:val="00743D8B"/>
    <w:rsid w:val="007445D7"/>
    <w:rsid w:val="007445EF"/>
    <w:rsid w:val="00744C50"/>
    <w:rsid w:val="00745293"/>
    <w:rsid w:val="0074586F"/>
    <w:rsid w:val="00750D63"/>
    <w:rsid w:val="00750DFF"/>
    <w:rsid w:val="0075132C"/>
    <w:rsid w:val="00751521"/>
    <w:rsid w:val="00751613"/>
    <w:rsid w:val="00751AEC"/>
    <w:rsid w:val="00752125"/>
    <w:rsid w:val="0075217E"/>
    <w:rsid w:val="0075339D"/>
    <w:rsid w:val="007534E0"/>
    <w:rsid w:val="00753939"/>
    <w:rsid w:val="007543B5"/>
    <w:rsid w:val="00754911"/>
    <w:rsid w:val="00754A73"/>
    <w:rsid w:val="007553EB"/>
    <w:rsid w:val="00755691"/>
    <w:rsid w:val="00755B03"/>
    <w:rsid w:val="0075696D"/>
    <w:rsid w:val="00756C97"/>
    <w:rsid w:val="00757911"/>
    <w:rsid w:val="0076072A"/>
    <w:rsid w:val="007608B8"/>
    <w:rsid w:val="00760B65"/>
    <w:rsid w:val="00760C31"/>
    <w:rsid w:val="00761438"/>
    <w:rsid w:val="0076153A"/>
    <w:rsid w:val="0076155C"/>
    <w:rsid w:val="00761884"/>
    <w:rsid w:val="00762A87"/>
    <w:rsid w:val="00762B02"/>
    <w:rsid w:val="00762F56"/>
    <w:rsid w:val="00763397"/>
    <w:rsid w:val="00763D96"/>
    <w:rsid w:val="00763F88"/>
    <w:rsid w:val="0076449D"/>
    <w:rsid w:val="007644EE"/>
    <w:rsid w:val="007648C0"/>
    <w:rsid w:val="00764F58"/>
    <w:rsid w:val="00764FB2"/>
    <w:rsid w:val="0076526F"/>
    <w:rsid w:val="007658C8"/>
    <w:rsid w:val="00765992"/>
    <w:rsid w:val="00770291"/>
    <w:rsid w:val="0077033C"/>
    <w:rsid w:val="007714D2"/>
    <w:rsid w:val="00771FD7"/>
    <w:rsid w:val="0077212D"/>
    <w:rsid w:val="0077220D"/>
    <w:rsid w:val="00772A61"/>
    <w:rsid w:val="00772C7B"/>
    <w:rsid w:val="00773195"/>
    <w:rsid w:val="007731FC"/>
    <w:rsid w:val="00773DAF"/>
    <w:rsid w:val="007742DA"/>
    <w:rsid w:val="00774905"/>
    <w:rsid w:val="00774EB9"/>
    <w:rsid w:val="00775475"/>
    <w:rsid w:val="00777670"/>
    <w:rsid w:val="00777AC0"/>
    <w:rsid w:val="00780198"/>
    <w:rsid w:val="00781957"/>
    <w:rsid w:val="00781B41"/>
    <w:rsid w:val="00781ECB"/>
    <w:rsid w:val="0078253A"/>
    <w:rsid w:val="00783270"/>
    <w:rsid w:val="007834B9"/>
    <w:rsid w:val="00783FC8"/>
    <w:rsid w:val="007851F5"/>
    <w:rsid w:val="00786464"/>
    <w:rsid w:val="0078684B"/>
    <w:rsid w:val="0078717C"/>
    <w:rsid w:val="00787342"/>
    <w:rsid w:val="0078772C"/>
    <w:rsid w:val="00790CDE"/>
    <w:rsid w:val="007917FA"/>
    <w:rsid w:val="00791E02"/>
    <w:rsid w:val="00791F45"/>
    <w:rsid w:val="00792139"/>
    <w:rsid w:val="007933A2"/>
    <w:rsid w:val="00793FFB"/>
    <w:rsid w:val="00794451"/>
    <w:rsid w:val="00794569"/>
    <w:rsid w:val="007947B9"/>
    <w:rsid w:val="00794E03"/>
    <w:rsid w:val="007950D6"/>
    <w:rsid w:val="007957ED"/>
    <w:rsid w:val="00795B96"/>
    <w:rsid w:val="007972C2"/>
    <w:rsid w:val="007978D8"/>
    <w:rsid w:val="00797F3D"/>
    <w:rsid w:val="007A0043"/>
    <w:rsid w:val="007A0150"/>
    <w:rsid w:val="007A01AD"/>
    <w:rsid w:val="007A14BD"/>
    <w:rsid w:val="007A169F"/>
    <w:rsid w:val="007A1961"/>
    <w:rsid w:val="007A1C82"/>
    <w:rsid w:val="007A1FBC"/>
    <w:rsid w:val="007A2C6F"/>
    <w:rsid w:val="007A363F"/>
    <w:rsid w:val="007A3A78"/>
    <w:rsid w:val="007A3E66"/>
    <w:rsid w:val="007A3EC9"/>
    <w:rsid w:val="007A4446"/>
    <w:rsid w:val="007A4833"/>
    <w:rsid w:val="007A503A"/>
    <w:rsid w:val="007A5ECD"/>
    <w:rsid w:val="007A72A8"/>
    <w:rsid w:val="007A7F2D"/>
    <w:rsid w:val="007B00F9"/>
    <w:rsid w:val="007B0336"/>
    <w:rsid w:val="007B070A"/>
    <w:rsid w:val="007B0965"/>
    <w:rsid w:val="007B1192"/>
    <w:rsid w:val="007B15A7"/>
    <w:rsid w:val="007B1BCA"/>
    <w:rsid w:val="007B33F2"/>
    <w:rsid w:val="007B4096"/>
    <w:rsid w:val="007B4E91"/>
    <w:rsid w:val="007B6202"/>
    <w:rsid w:val="007B6444"/>
    <w:rsid w:val="007B72D3"/>
    <w:rsid w:val="007C00F3"/>
    <w:rsid w:val="007C0A05"/>
    <w:rsid w:val="007C162A"/>
    <w:rsid w:val="007C1BB8"/>
    <w:rsid w:val="007C24A9"/>
    <w:rsid w:val="007C3148"/>
    <w:rsid w:val="007C387A"/>
    <w:rsid w:val="007C3D53"/>
    <w:rsid w:val="007C4263"/>
    <w:rsid w:val="007C48F5"/>
    <w:rsid w:val="007C53CD"/>
    <w:rsid w:val="007C59D0"/>
    <w:rsid w:val="007C5B8C"/>
    <w:rsid w:val="007C6752"/>
    <w:rsid w:val="007C6BA2"/>
    <w:rsid w:val="007C6DA4"/>
    <w:rsid w:val="007C716A"/>
    <w:rsid w:val="007C7470"/>
    <w:rsid w:val="007C782E"/>
    <w:rsid w:val="007C78FE"/>
    <w:rsid w:val="007C79A6"/>
    <w:rsid w:val="007C79C3"/>
    <w:rsid w:val="007C7AFE"/>
    <w:rsid w:val="007C7D69"/>
    <w:rsid w:val="007C7DD8"/>
    <w:rsid w:val="007D004E"/>
    <w:rsid w:val="007D0A4B"/>
    <w:rsid w:val="007D16A7"/>
    <w:rsid w:val="007D2D04"/>
    <w:rsid w:val="007D3B11"/>
    <w:rsid w:val="007D3E00"/>
    <w:rsid w:val="007D4320"/>
    <w:rsid w:val="007D47AD"/>
    <w:rsid w:val="007D498F"/>
    <w:rsid w:val="007D603B"/>
    <w:rsid w:val="007D6933"/>
    <w:rsid w:val="007D69E0"/>
    <w:rsid w:val="007D7023"/>
    <w:rsid w:val="007D723A"/>
    <w:rsid w:val="007D77E1"/>
    <w:rsid w:val="007E0405"/>
    <w:rsid w:val="007E1456"/>
    <w:rsid w:val="007E242E"/>
    <w:rsid w:val="007E293B"/>
    <w:rsid w:val="007E2D24"/>
    <w:rsid w:val="007E3EB2"/>
    <w:rsid w:val="007E4796"/>
    <w:rsid w:val="007E53BA"/>
    <w:rsid w:val="007E6071"/>
    <w:rsid w:val="007E675E"/>
    <w:rsid w:val="007E67D3"/>
    <w:rsid w:val="007E720B"/>
    <w:rsid w:val="007F0EAB"/>
    <w:rsid w:val="007F2203"/>
    <w:rsid w:val="007F27B5"/>
    <w:rsid w:val="007F2D7B"/>
    <w:rsid w:val="007F3339"/>
    <w:rsid w:val="007F3BA6"/>
    <w:rsid w:val="007F4A5B"/>
    <w:rsid w:val="007F4D90"/>
    <w:rsid w:val="007F500E"/>
    <w:rsid w:val="007F5389"/>
    <w:rsid w:val="007F5448"/>
    <w:rsid w:val="007F62C3"/>
    <w:rsid w:val="007F62D0"/>
    <w:rsid w:val="007F7198"/>
    <w:rsid w:val="007F7459"/>
    <w:rsid w:val="007F7C04"/>
    <w:rsid w:val="007F7DB6"/>
    <w:rsid w:val="008019EA"/>
    <w:rsid w:val="00801FFA"/>
    <w:rsid w:val="008026C3"/>
    <w:rsid w:val="008026C8"/>
    <w:rsid w:val="00802AC6"/>
    <w:rsid w:val="0080343C"/>
    <w:rsid w:val="00803938"/>
    <w:rsid w:val="00803E87"/>
    <w:rsid w:val="008052D7"/>
    <w:rsid w:val="008057D0"/>
    <w:rsid w:val="00806124"/>
    <w:rsid w:val="00806143"/>
    <w:rsid w:val="00806163"/>
    <w:rsid w:val="008061F9"/>
    <w:rsid w:val="00806D3E"/>
    <w:rsid w:val="008073F7"/>
    <w:rsid w:val="00807592"/>
    <w:rsid w:val="0080779A"/>
    <w:rsid w:val="00807A94"/>
    <w:rsid w:val="00807C90"/>
    <w:rsid w:val="008117C7"/>
    <w:rsid w:val="00811B66"/>
    <w:rsid w:val="00811C8D"/>
    <w:rsid w:val="00813672"/>
    <w:rsid w:val="00813763"/>
    <w:rsid w:val="00813922"/>
    <w:rsid w:val="00813FBB"/>
    <w:rsid w:val="0081475C"/>
    <w:rsid w:val="008153B2"/>
    <w:rsid w:val="008156DD"/>
    <w:rsid w:val="00815FD7"/>
    <w:rsid w:val="0081715B"/>
    <w:rsid w:val="00817F03"/>
    <w:rsid w:val="008201A4"/>
    <w:rsid w:val="00820AFC"/>
    <w:rsid w:val="00821A50"/>
    <w:rsid w:val="00821BEA"/>
    <w:rsid w:val="00821C33"/>
    <w:rsid w:val="008220ED"/>
    <w:rsid w:val="00822A95"/>
    <w:rsid w:val="00822D40"/>
    <w:rsid w:val="0082305B"/>
    <w:rsid w:val="00826C52"/>
    <w:rsid w:val="00826D71"/>
    <w:rsid w:val="00827584"/>
    <w:rsid w:val="0083202D"/>
    <w:rsid w:val="00832140"/>
    <w:rsid w:val="0083288A"/>
    <w:rsid w:val="008329DC"/>
    <w:rsid w:val="00833347"/>
    <w:rsid w:val="00833489"/>
    <w:rsid w:val="00833DFB"/>
    <w:rsid w:val="00834CC0"/>
    <w:rsid w:val="00835153"/>
    <w:rsid w:val="0083599C"/>
    <w:rsid w:val="00836127"/>
    <w:rsid w:val="00836933"/>
    <w:rsid w:val="008373DE"/>
    <w:rsid w:val="00840297"/>
    <w:rsid w:val="0084069B"/>
    <w:rsid w:val="008414B2"/>
    <w:rsid w:val="0084186F"/>
    <w:rsid w:val="00841FC8"/>
    <w:rsid w:val="00843833"/>
    <w:rsid w:val="00843D1B"/>
    <w:rsid w:val="00843F8D"/>
    <w:rsid w:val="00844646"/>
    <w:rsid w:val="00844F9F"/>
    <w:rsid w:val="00845C5A"/>
    <w:rsid w:val="0084693E"/>
    <w:rsid w:val="00847D6E"/>
    <w:rsid w:val="00850FE5"/>
    <w:rsid w:val="00851768"/>
    <w:rsid w:val="0085204F"/>
    <w:rsid w:val="008523F8"/>
    <w:rsid w:val="00852733"/>
    <w:rsid w:val="00852829"/>
    <w:rsid w:val="0085324D"/>
    <w:rsid w:val="00853262"/>
    <w:rsid w:val="008536AD"/>
    <w:rsid w:val="00853F7B"/>
    <w:rsid w:val="00853FCF"/>
    <w:rsid w:val="00854ACA"/>
    <w:rsid w:val="008555BD"/>
    <w:rsid w:val="00855767"/>
    <w:rsid w:val="00855AE2"/>
    <w:rsid w:val="00855C50"/>
    <w:rsid w:val="008572EC"/>
    <w:rsid w:val="00857936"/>
    <w:rsid w:val="00860DFF"/>
    <w:rsid w:val="00860E00"/>
    <w:rsid w:val="008623F1"/>
    <w:rsid w:val="00862468"/>
    <w:rsid w:val="00862725"/>
    <w:rsid w:val="0086291A"/>
    <w:rsid w:val="00862BBD"/>
    <w:rsid w:val="00863B3C"/>
    <w:rsid w:val="00864615"/>
    <w:rsid w:val="00865B30"/>
    <w:rsid w:val="00865E8B"/>
    <w:rsid w:val="008664E7"/>
    <w:rsid w:val="00866A6E"/>
    <w:rsid w:val="00867714"/>
    <w:rsid w:val="00867D80"/>
    <w:rsid w:val="00870579"/>
    <w:rsid w:val="00870B29"/>
    <w:rsid w:val="0087118E"/>
    <w:rsid w:val="008714C7"/>
    <w:rsid w:val="00871A0A"/>
    <w:rsid w:val="00872134"/>
    <w:rsid w:val="00872888"/>
    <w:rsid w:val="00872BAE"/>
    <w:rsid w:val="00872DC3"/>
    <w:rsid w:val="00873304"/>
    <w:rsid w:val="00873F01"/>
    <w:rsid w:val="00874E33"/>
    <w:rsid w:val="00875BE2"/>
    <w:rsid w:val="00876838"/>
    <w:rsid w:val="00876C67"/>
    <w:rsid w:val="00876D2C"/>
    <w:rsid w:val="00876F63"/>
    <w:rsid w:val="00880874"/>
    <w:rsid w:val="008812A6"/>
    <w:rsid w:val="0088139C"/>
    <w:rsid w:val="00881F6D"/>
    <w:rsid w:val="008822EC"/>
    <w:rsid w:val="0088245B"/>
    <w:rsid w:val="008830AA"/>
    <w:rsid w:val="00883323"/>
    <w:rsid w:val="0088399E"/>
    <w:rsid w:val="00883A31"/>
    <w:rsid w:val="00884174"/>
    <w:rsid w:val="0088606F"/>
    <w:rsid w:val="00886122"/>
    <w:rsid w:val="008867BC"/>
    <w:rsid w:val="008875CE"/>
    <w:rsid w:val="00887B07"/>
    <w:rsid w:val="00887F01"/>
    <w:rsid w:val="00887F8D"/>
    <w:rsid w:val="008900B8"/>
    <w:rsid w:val="00890BAE"/>
    <w:rsid w:val="00891C47"/>
    <w:rsid w:val="008921E4"/>
    <w:rsid w:val="008929F8"/>
    <w:rsid w:val="00892AA6"/>
    <w:rsid w:val="0089381C"/>
    <w:rsid w:val="00893903"/>
    <w:rsid w:val="00893B05"/>
    <w:rsid w:val="00893CA9"/>
    <w:rsid w:val="0089494F"/>
    <w:rsid w:val="00894C3C"/>
    <w:rsid w:val="0089525C"/>
    <w:rsid w:val="008957A4"/>
    <w:rsid w:val="00896494"/>
    <w:rsid w:val="00896FC3"/>
    <w:rsid w:val="008970BB"/>
    <w:rsid w:val="0089730D"/>
    <w:rsid w:val="008973A9"/>
    <w:rsid w:val="00897917"/>
    <w:rsid w:val="00897E94"/>
    <w:rsid w:val="00897ED2"/>
    <w:rsid w:val="00897EE8"/>
    <w:rsid w:val="008A044A"/>
    <w:rsid w:val="008A08F0"/>
    <w:rsid w:val="008A0B0D"/>
    <w:rsid w:val="008A1773"/>
    <w:rsid w:val="008A1D91"/>
    <w:rsid w:val="008A1EC3"/>
    <w:rsid w:val="008A20FE"/>
    <w:rsid w:val="008A2EF6"/>
    <w:rsid w:val="008A342A"/>
    <w:rsid w:val="008A3577"/>
    <w:rsid w:val="008A4E66"/>
    <w:rsid w:val="008A5544"/>
    <w:rsid w:val="008A5E52"/>
    <w:rsid w:val="008A6106"/>
    <w:rsid w:val="008A65FE"/>
    <w:rsid w:val="008A662A"/>
    <w:rsid w:val="008A6823"/>
    <w:rsid w:val="008A7073"/>
    <w:rsid w:val="008A7323"/>
    <w:rsid w:val="008B07DE"/>
    <w:rsid w:val="008B0E50"/>
    <w:rsid w:val="008B0E86"/>
    <w:rsid w:val="008B10BB"/>
    <w:rsid w:val="008B1771"/>
    <w:rsid w:val="008B2231"/>
    <w:rsid w:val="008B23A3"/>
    <w:rsid w:val="008B28CD"/>
    <w:rsid w:val="008B2A29"/>
    <w:rsid w:val="008B519F"/>
    <w:rsid w:val="008B53E8"/>
    <w:rsid w:val="008B55DB"/>
    <w:rsid w:val="008B5E10"/>
    <w:rsid w:val="008B601B"/>
    <w:rsid w:val="008B7339"/>
    <w:rsid w:val="008B7D23"/>
    <w:rsid w:val="008C0057"/>
    <w:rsid w:val="008C056E"/>
    <w:rsid w:val="008C0D87"/>
    <w:rsid w:val="008C29D0"/>
    <w:rsid w:val="008C4E44"/>
    <w:rsid w:val="008C51A5"/>
    <w:rsid w:val="008C628C"/>
    <w:rsid w:val="008C6550"/>
    <w:rsid w:val="008C7798"/>
    <w:rsid w:val="008C7C92"/>
    <w:rsid w:val="008D031D"/>
    <w:rsid w:val="008D0F1D"/>
    <w:rsid w:val="008D1902"/>
    <w:rsid w:val="008D1D55"/>
    <w:rsid w:val="008D1E8F"/>
    <w:rsid w:val="008D215F"/>
    <w:rsid w:val="008D37CF"/>
    <w:rsid w:val="008D3D3C"/>
    <w:rsid w:val="008D44CE"/>
    <w:rsid w:val="008D4636"/>
    <w:rsid w:val="008D4F49"/>
    <w:rsid w:val="008D56EA"/>
    <w:rsid w:val="008D676F"/>
    <w:rsid w:val="008D76F0"/>
    <w:rsid w:val="008D7A4F"/>
    <w:rsid w:val="008D7AFA"/>
    <w:rsid w:val="008D7C9D"/>
    <w:rsid w:val="008E008F"/>
    <w:rsid w:val="008E03C4"/>
    <w:rsid w:val="008E12FA"/>
    <w:rsid w:val="008E1971"/>
    <w:rsid w:val="008E1CE4"/>
    <w:rsid w:val="008E20ED"/>
    <w:rsid w:val="008E29A3"/>
    <w:rsid w:val="008E2E58"/>
    <w:rsid w:val="008E30C8"/>
    <w:rsid w:val="008E3767"/>
    <w:rsid w:val="008E3BB4"/>
    <w:rsid w:val="008E3BF1"/>
    <w:rsid w:val="008E3D7A"/>
    <w:rsid w:val="008E4757"/>
    <w:rsid w:val="008E49A8"/>
    <w:rsid w:val="008E4CCF"/>
    <w:rsid w:val="008E58A6"/>
    <w:rsid w:val="008F00DA"/>
    <w:rsid w:val="008F03E8"/>
    <w:rsid w:val="008F0602"/>
    <w:rsid w:val="008F0F08"/>
    <w:rsid w:val="008F1133"/>
    <w:rsid w:val="008F2087"/>
    <w:rsid w:val="008F250D"/>
    <w:rsid w:val="008F250F"/>
    <w:rsid w:val="008F2F54"/>
    <w:rsid w:val="008F3A65"/>
    <w:rsid w:val="008F5696"/>
    <w:rsid w:val="008F5A6F"/>
    <w:rsid w:val="008F5CF8"/>
    <w:rsid w:val="008F7B07"/>
    <w:rsid w:val="008F7D0A"/>
    <w:rsid w:val="009000A7"/>
    <w:rsid w:val="0090049F"/>
    <w:rsid w:val="009007FA"/>
    <w:rsid w:val="00900950"/>
    <w:rsid w:val="00900B90"/>
    <w:rsid w:val="00901430"/>
    <w:rsid w:val="00901D7B"/>
    <w:rsid w:val="00901DB8"/>
    <w:rsid w:val="00903226"/>
    <w:rsid w:val="009032A2"/>
    <w:rsid w:val="00903740"/>
    <w:rsid w:val="00903FFB"/>
    <w:rsid w:val="00904DA5"/>
    <w:rsid w:val="009051F5"/>
    <w:rsid w:val="009071B0"/>
    <w:rsid w:val="0090778F"/>
    <w:rsid w:val="00913B28"/>
    <w:rsid w:val="00914686"/>
    <w:rsid w:val="009149F4"/>
    <w:rsid w:val="009160E7"/>
    <w:rsid w:val="00916498"/>
    <w:rsid w:val="00916D06"/>
    <w:rsid w:val="009174E9"/>
    <w:rsid w:val="00917F14"/>
    <w:rsid w:val="009204D7"/>
    <w:rsid w:val="009216C3"/>
    <w:rsid w:val="0092222C"/>
    <w:rsid w:val="00922467"/>
    <w:rsid w:val="00922A0C"/>
    <w:rsid w:val="0092470C"/>
    <w:rsid w:val="009247A8"/>
    <w:rsid w:val="00924C56"/>
    <w:rsid w:val="0092509A"/>
    <w:rsid w:val="009253A9"/>
    <w:rsid w:val="00926483"/>
    <w:rsid w:val="00926906"/>
    <w:rsid w:val="00926A77"/>
    <w:rsid w:val="00927778"/>
    <w:rsid w:val="00930836"/>
    <w:rsid w:val="0093153B"/>
    <w:rsid w:val="00931690"/>
    <w:rsid w:val="00931AAD"/>
    <w:rsid w:val="009323AB"/>
    <w:rsid w:val="009327C8"/>
    <w:rsid w:val="009337FD"/>
    <w:rsid w:val="009346B6"/>
    <w:rsid w:val="00934823"/>
    <w:rsid w:val="00935EFA"/>
    <w:rsid w:val="0093650C"/>
    <w:rsid w:val="00936C63"/>
    <w:rsid w:val="00937B76"/>
    <w:rsid w:val="00937C3E"/>
    <w:rsid w:val="00940067"/>
    <w:rsid w:val="00940246"/>
    <w:rsid w:val="00940345"/>
    <w:rsid w:val="009412D0"/>
    <w:rsid w:val="0094238F"/>
    <w:rsid w:val="00942405"/>
    <w:rsid w:val="0094281E"/>
    <w:rsid w:val="00943428"/>
    <w:rsid w:val="009440BE"/>
    <w:rsid w:val="00944FB6"/>
    <w:rsid w:val="0094504F"/>
    <w:rsid w:val="009471F0"/>
    <w:rsid w:val="009474AE"/>
    <w:rsid w:val="009477DD"/>
    <w:rsid w:val="00947D74"/>
    <w:rsid w:val="00950312"/>
    <w:rsid w:val="00950316"/>
    <w:rsid w:val="00951E27"/>
    <w:rsid w:val="009527BA"/>
    <w:rsid w:val="009535C8"/>
    <w:rsid w:val="0095361F"/>
    <w:rsid w:val="00954D9C"/>
    <w:rsid w:val="00955F86"/>
    <w:rsid w:val="009560B5"/>
    <w:rsid w:val="00956446"/>
    <w:rsid w:val="00960161"/>
    <w:rsid w:val="009611E7"/>
    <w:rsid w:val="00961FDC"/>
    <w:rsid w:val="0096213F"/>
    <w:rsid w:val="0096239C"/>
    <w:rsid w:val="00962B12"/>
    <w:rsid w:val="009638E6"/>
    <w:rsid w:val="00963ADA"/>
    <w:rsid w:val="009640AE"/>
    <w:rsid w:val="009644C5"/>
    <w:rsid w:val="009644FC"/>
    <w:rsid w:val="00964D11"/>
    <w:rsid w:val="00966669"/>
    <w:rsid w:val="00967935"/>
    <w:rsid w:val="00967B59"/>
    <w:rsid w:val="00970704"/>
    <w:rsid w:val="00971129"/>
    <w:rsid w:val="009716B2"/>
    <w:rsid w:val="009726E5"/>
    <w:rsid w:val="00972FED"/>
    <w:rsid w:val="00973841"/>
    <w:rsid w:val="0097435A"/>
    <w:rsid w:val="00974540"/>
    <w:rsid w:val="009750CA"/>
    <w:rsid w:val="0097542A"/>
    <w:rsid w:val="0097557C"/>
    <w:rsid w:val="009757F7"/>
    <w:rsid w:val="00977498"/>
    <w:rsid w:val="00977BF1"/>
    <w:rsid w:val="00977CA1"/>
    <w:rsid w:val="009801EE"/>
    <w:rsid w:val="009815AB"/>
    <w:rsid w:val="009816A8"/>
    <w:rsid w:val="00981F6B"/>
    <w:rsid w:val="00982708"/>
    <w:rsid w:val="00983298"/>
    <w:rsid w:val="00983388"/>
    <w:rsid w:val="0098384E"/>
    <w:rsid w:val="00983F1F"/>
    <w:rsid w:val="00985331"/>
    <w:rsid w:val="009859F4"/>
    <w:rsid w:val="009867E8"/>
    <w:rsid w:val="009868ED"/>
    <w:rsid w:val="00986B19"/>
    <w:rsid w:val="00986ED0"/>
    <w:rsid w:val="00987AC0"/>
    <w:rsid w:val="009903DD"/>
    <w:rsid w:val="0099068A"/>
    <w:rsid w:val="009913CF"/>
    <w:rsid w:val="00991C4E"/>
    <w:rsid w:val="0099371E"/>
    <w:rsid w:val="00993BD3"/>
    <w:rsid w:val="0099488E"/>
    <w:rsid w:val="009955BF"/>
    <w:rsid w:val="009956F7"/>
    <w:rsid w:val="00996F14"/>
    <w:rsid w:val="009970AD"/>
    <w:rsid w:val="0099766E"/>
    <w:rsid w:val="009976BF"/>
    <w:rsid w:val="009A020E"/>
    <w:rsid w:val="009A02C3"/>
    <w:rsid w:val="009A02E7"/>
    <w:rsid w:val="009A050B"/>
    <w:rsid w:val="009A2579"/>
    <w:rsid w:val="009A2DB8"/>
    <w:rsid w:val="009A4064"/>
    <w:rsid w:val="009A40AB"/>
    <w:rsid w:val="009A4717"/>
    <w:rsid w:val="009A5C97"/>
    <w:rsid w:val="009A61D7"/>
    <w:rsid w:val="009A6229"/>
    <w:rsid w:val="009A66F2"/>
    <w:rsid w:val="009A6DE8"/>
    <w:rsid w:val="009A6F13"/>
    <w:rsid w:val="009A70E3"/>
    <w:rsid w:val="009A7854"/>
    <w:rsid w:val="009A79C2"/>
    <w:rsid w:val="009B027A"/>
    <w:rsid w:val="009B0651"/>
    <w:rsid w:val="009B09B2"/>
    <w:rsid w:val="009B0D97"/>
    <w:rsid w:val="009B180E"/>
    <w:rsid w:val="009B2096"/>
    <w:rsid w:val="009B2130"/>
    <w:rsid w:val="009B21D2"/>
    <w:rsid w:val="009B225A"/>
    <w:rsid w:val="009B4C7E"/>
    <w:rsid w:val="009B4E3C"/>
    <w:rsid w:val="009B4FC1"/>
    <w:rsid w:val="009B6079"/>
    <w:rsid w:val="009B7D71"/>
    <w:rsid w:val="009C04D1"/>
    <w:rsid w:val="009C0B94"/>
    <w:rsid w:val="009C0DD1"/>
    <w:rsid w:val="009C4456"/>
    <w:rsid w:val="009C51AC"/>
    <w:rsid w:val="009C634F"/>
    <w:rsid w:val="009C641F"/>
    <w:rsid w:val="009C7101"/>
    <w:rsid w:val="009C7D3D"/>
    <w:rsid w:val="009D0280"/>
    <w:rsid w:val="009D1BE2"/>
    <w:rsid w:val="009D2DBE"/>
    <w:rsid w:val="009D3DC7"/>
    <w:rsid w:val="009D41A2"/>
    <w:rsid w:val="009D5952"/>
    <w:rsid w:val="009D6700"/>
    <w:rsid w:val="009D67E5"/>
    <w:rsid w:val="009D7255"/>
    <w:rsid w:val="009D7290"/>
    <w:rsid w:val="009D7DF9"/>
    <w:rsid w:val="009E07C0"/>
    <w:rsid w:val="009E1989"/>
    <w:rsid w:val="009E3E1D"/>
    <w:rsid w:val="009E42C7"/>
    <w:rsid w:val="009E42F2"/>
    <w:rsid w:val="009E46AC"/>
    <w:rsid w:val="009E4CDE"/>
    <w:rsid w:val="009E4D25"/>
    <w:rsid w:val="009E5E7E"/>
    <w:rsid w:val="009E7B69"/>
    <w:rsid w:val="009F0A81"/>
    <w:rsid w:val="009F0F46"/>
    <w:rsid w:val="009F0F5D"/>
    <w:rsid w:val="009F154D"/>
    <w:rsid w:val="009F1A7C"/>
    <w:rsid w:val="009F1BA9"/>
    <w:rsid w:val="009F2018"/>
    <w:rsid w:val="009F2731"/>
    <w:rsid w:val="009F309B"/>
    <w:rsid w:val="009F41AD"/>
    <w:rsid w:val="009F4E30"/>
    <w:rsid w:val="009F4E35"/>
    <w:rsid w:val="009F5434"/>
    <w:rsid w:val="009F6C93"/>
    <w:rsid w:val="009F703A"/>
    <w:rsid w:val="009F70BE"/>
    <w:rsid w:val="009F7C41"/>
    <w:rsid w:val="009F7DB3"/>
    <w:rsid w:val="00A00573"/>
    <w:rsid w:val="00A0075B"/>
    <w:rsid w:val="00A01B3C"/>
    <w:rsid w:val="00A0235D"/>
    <w:rsid w:val="00A03258"/>
    <w:rsid w:val="00A03894"/>
    <w:rsid w:val="00A038E7"/>
    <w:rsid w:val="00A04AEF"/>
    <w:rsid w:val="00A04EA5"/>
    <w:rsid w:val="00A05013"/>
    <w:rsid w:val="00A05740"/>
    <w:rsid w:val="00A05D30"/>
    <w:rsid w:val="00A0689E"/>
    <w:rsid w:val="00A0725A"/>
    <w:rsid w:val="00A079A0"/>
    <w:rsid w:val="00A10764"/>
    <w:rsid w:val="00A113E4"/>
    <w:rsid w:val="00A11696"/>
    <w:rsid w:val="00A11E8B"/>
    <w:rsid w:val="00A1235B"/>
    <w:rsid w:val="00A132D7"/>
    <w:rsid w:val="00A14059"/>
    <w:rsid w:val="00A14F8D"/>
    <w:rsid w:val="00A14FDF"/>
    <w:rsid w:val="00A15A79"/>
    <w:rsid w:val="00A15F4A"/>
    <w:rsid w:val="00A16748"/>
    <w:rsid w:val="00A17661"/>
    <w:rsid w:val="00A1797C"/>
    <w:rsid w:val="00A20612"/>
    <w:rsid w:val="00A20980"/>
    <w:rsid w:val="00A20D6F"/>
    <w:rsid w:val="00A2116B"/>
    <w:rsid w:val="00A218FE"/>
    <w:rsid w:val="00A223E9"/>
    <w:rsid w:val="00A234BB"/>
    <w:rsid w:val="00A23909"/>
    <w:rsid w:val="00A23B33"/>
    <w:rsid w:val="00A23CF7"/>
    <w:rsid w:val="00A23D0B"/>
    <w:rsid w:val="00A25959"/>
    <w:rsid w:val="00A26154"/>
    <w:rsid w:val="00A261C1"/>
    <w:rsid w:val="00A26DED"/>
    <w:rsid w:val="00A3065C"/>
    <w:rsid w:val="00A3065D"/>
    <w:rsid w:val="00A3090C"/>
    <w:rsid w:val="00A30FFD"/>
    <w:rsid w:val="00A310B8"/>
    <w:rsid w:val="00A322BF"/>
    <w:rsid w:val="00A32B79"/>
    <w:rsid w:val="00A33E32"/>
    <w:rsid w:val="00A34078"/>
    <w:rsid w:val="00A342A4"/>
    <w:rsid w:val="00A34FE0"/>
    <w:rsid w:val="00A35FCA"/>
    <w:rsid w:val="00A37E4B"/>
    <w:rsid w:val="00A40783"/>
    <w:rsid w:val="00A40C37"/>
    <w:rsid w:val="00A40F50"/>
    <w:rsid w:val="00A41C66"/>
    <w:rsid w:val="00A435A7"/>
    <w:rsid w:val="00A43791"/>
    <w:rsid w:val="00A43E11"/>
    <w:rsid w:val="00A44B22"/>
    <w:rsid w:val="00A469D6"/>
    <w:rsid w:val="00A475C9"/>
    <w:rsid w:val="00A476F9"/>
    <w:rsid w:val="00A47CA3"/>
    <w:rsid w:val="00A5074A"/>
    <w:rsid w:val="00A51C24"/>
    <w:rsid w:val="00A51CCA"/>
    <w:rsid w:val="00A51D76"/>
    <w:rsid w:val="00A52516"/>
    <w:rsid w:val="00A52828"/>
    <w:rsid w:val="00A52BAF"/>
    <w:rsid w:val="00A52D07"/>
    <w:rsid w:val="00A530AC"/>
    <w:rsid w:val="00A53A0E"/>
    <w:rsid w:val="00A53A99"/>
    <w:rsid w:val="00A53B25"/>
    <w:rsid w:val="00A5451C"/>
    <w:rsid w:val="00A54F70"/>
    <w:rsid w:val="00A56997"/>
    <w:rsid w:val="00A57377"/>
    <w:rsid w:val="00A57AEB"/>
    <w:rsid w:val="00A6092A"/>
    <w:rsid w:val="00A61881"/>
    <w:rsid w:val="00A624B1"/>
    <w:rsid w:val="00A629FC"/>
    <w:rsid w:val="00A62C3C"/>
    <w:rsid w:val="00A6318C"/>
    <w:rsid w:val="00A63813"/>
    <w:rsid w:val="00A63C20"/>
    <w:rsid w:val="00A64196"/>
    <w:rsid w:val="00A641E5"/>
    <w:rsid w:val="00A6423C"/>
    <w:rsid w:val="00A6454A"/>
    <w:rsid w:val="00A65F06"/>
    <w:rsid w:val="00A66325"/>
    <w:rsid w:val="00A66502"/>
    <w:rsid w:val="00A668ED"/>
    <w:rsid w:val="00A67483"/>
    <w:rsid w:val="00A6764B"/>
    <w:rsid w:val="00A700AE"/>
    <w:rsid w:val="00A703DC"/>
    <w:rsid w:val="00A7093F"/>
    <w:rsid w:val="00A70B05"/>
    <w:rsid w:val="00A72B6B"/>
    <w:rsid w:val="00A73448"/>
    <w:rsid w:val="00A73E32"/>
    <w:rsid w:val="00A75D02"/>
    <w:rsid w:val="00A776F1"/>
    <w:rsid w:val="00A80D9E"/>
    <w:rsid w:val="00A81289"/>
    <w:rsid w:val="00A81D0F"/>
    <w:rsid w:val="00A81D4A"/>
    <w:rsid w:val="00A82E9F"/>
    <w:rsid w:val="00A8317C"/>
    <w:rsid w:val="00A839F2"/>
    <w:rsid w:val="00A84496"/>
    <w:rsid w:val="00A845B5"/>
    <w:rsid w:val="00A84E19"/>
    <w:rsid w:val="00A84EE3"/>
    <w:rsid w:val="00A85C1D"/>
    <w:rsid w:val="00A85CD9"/>
    <w:rsid w:val="00A86355"/>
    <w:rsid w:val="00A86E51"/>
    <w:rsid w:val="00A87102"/>
    <w:rsid w:val="00A903AC"/>
    <w:rsid w:val="00A906D0"/>
    <w:rsid w:val="00A90F45"/>
    <w:rsid w:val="00A913A7"/>
    <w:rsid w:val="00A9158C"/>
    <w:rsid w:val="00A91B9A"/>
    <w:rsid w:val="00A91EEE"/>
    <w:rsid w:val="00A9250B"/>
    <w:rsid w:val="00A93571"/>
    <w:rsid w:val="00A94406"/>
    <w:rsid w:val="00A94A93"/>
    <w:rsid w:val="00A95FD8"/>
    <w:rsid w:val="00A96075"/>
    <w:rsid w:val="00A96499"/>
    <w:rsid w:val="00A96C81"/>
    <w:rsid w:val="00A971D8"/>
    <w:rsid w:val="00A976A8"/>
    <w:rsid w:val="00A97DB1"/>
    <w:rsid w:val="00AA0380"/>
    <w:rsid w:val="00AA0438"/>
    <w:rsid w:val="00AA05D0"/>
    <w:rsid w:val="00AA05F9"/>
    <w:rsid w:val="00AA1947"/>
    <w:rsid w:val="00AA2E16"/>
    <w:rsid w:val="00AA3170"/>
    <w:rsid w:val="00AA3241"/>
    <w:rsid w:val="00AA32CD"/>
    <w:rsid w:val="00AA3E25"/>
    <w:rsid w:val="00AA44C6"/>
    <w:rsid w:val="00AA4940"/>
    <w:rsid w:val="00AA4BF8"/>
    <w:rsid w:val="00AA4D59"/>
    <w:rsid w:val="00AA52B5"/>
    <w:rsid w:val="00AA59C0"/>
    <w:rsid w:val="00AA610C"/>
    <w:rsid w:val="00AA6E18"/>
    <w:rsid w:val="00AA78AA"/>
    <w:rsid w:val="00AB0840"/>
    <w:rsid w:val="00AB0FE5"/>
    <w:rsid w:val="00AB1639"/>
    <w:rsid w:val="00AB1874"/>
    <w:rsid w:val="00AB244A"/>
    <w:rsid w:val="00AB246D"/>
    <w:rsid w:val="00AB2E1B"/>
    <w:rsid w:val="00AB422C"/>
    <w:rsid w:val="00AB5177"/>
    <w:rsid w:val="00AB5CCD"/>
    <w:rsid w:val="00AB7E79"/>
    <w:rsid w:val="00AC078D"/>
    <w:rsid w:val="00AC136C"/>
    <w:rsid w:val="00AC1655"/>
    <w:rsid w:val="00AC1EB6"/>
    <w:rsid w:val="00AC2217"/>
    <w:rsid w:val="00AC254B"/>
    <w:rsid w:val="00AC3FD9"/>
    <w:rsid w:val="00AC425B"/>
    <w:rsid w:val="00AC4806"/>
    <w:rsid w:val="00AC5638"/>
    <w:rsid w:val="00AC6B08"/>
    <w:rsid w:val="00AC6B80"/>
    <w:rsid w:val="00AC6FB4"/>
    <w:rsid w:val="00AC72DA"/>
    <w:rsid w:val="00AC759E"/>
    <w:rsid w:val="00AC7ACA"/>
    <w:rsid w:val="00AD040D"/>
    <w:rsid w:val="00AD055F"/>
    <w:rsid w:val="00AD0A8F"/>
    <w:rsid w:val="00AD1158"/>
    <w:rsid w:val="00AD20E2"/>
    <w:rsid w:val="00AD22A3"/>
    <w:rsid w:val="00AD2F3D"/>
    <w:rsid w:val="00AD3F22"/>
    <w:rsid w:val="00AD402A"/>
    <w:rsid w:val="00AD429F"/>
    <w:rsid w:val="00AD4388"/>
    <w:rsid w:val="00AD4812"/>
    <w:rsid w:val="00AD4C19"/>
    <w:rsid w:val="00AD50A7"/>
    <w:rsid w:val="00AD527F"/>
    <w:rsid w:val="00AD52EB"/>
    <w:rsid w:val="00AD67D0"/>
    <w:rsid w:val="00AD6F80"/>
    <w:rsid w:val="00AD7A3C"/>
    <w:rsid w:val="00AD7DE1"/>
    <w:rsid w:val="00AD7F75"/>
    <w:rsid w:val="00AE0C8A"/>
    <w:rsid w:val="00AE3675"/>
    <w:rsid w:val="00AE3C87"/>
    <w:rsid w:val="00AE4F03"/>
    <w:rsid w:val="00AE58F6"/>
    <w:rsid w:val="00AE6485"/>
    <w:rsid w:val="00AE64EA"/>
    <w:rsid w:val="00AE6563"/>
    <w:rsid w:val="00AE71BE"/>
    <w:rsid w:val="00AE7403"/>
    <w:rsid w:val="00AE7894"/>
    <w:rsid w:val="00AE78EE"/>
    <w:rsid w:val="00AE79BC"/>
    <w:rsid w:val="00AE7F76"/>
    <w:rsid w:val="00AF0801"/>
    <w:rsid w:val="00AF15EC"/>
    <w:rsid w:val="00AF24FE"/>
    <w:rsid w:val="00AF2927"/>
    <w:rsid w:val="00AF3BDE"/>
    <w:rsid w:val="00AF48A5"/>
    <w:rsid w:val="00AF48DD"/>
    <w:rsid w:val="00AF5079"/>
    <w:rsid w:val="00AF5273"/>
    <w:rsid w:val="00AF6838"/>
    <w:rsid w:val="00AF6939"/>
    <w:rsid w:val="00AF6A00"/>
    <w:rsid w:val="00AF6EE1"/>
    <w:rsid w:val="00AF7181"/>
    <w:rsid w:val="00AF7298"/>
    <w:rsid w:val="00AF7B34"/>
    <w:rsid w:val="00AF7B53"/>
    <w:rsid w:val="00AF7D2E"/>
    <w:rsid w:val="00B0008F"/>
    <w:rsid w:val="00B00EE9"/>
    <w:rsid w:val="00B02316"/>
    <w:rsid w:val="00B02383"/>
    <w:rsid w:val="00B02431"/>
    <w:rsid w:val="00B03620"/>
    <w:rsid w:val="00B048F7"/>
    <w:rsid w:val="00B05E31"/>
    <w:rsid w:val="00B067D8"/>
    <w:rsid w:val="00B06F35"/>
    <w:rsid w:val="00B07383"/>
    <w:rsid w:val="00B07906"/>
    <w:rsid w:val="00B108FF"/>
    <w:rsid w:val="00B118C1"/>
    <w:rsid w:val="00B12288"/>
    <w:rsid w:val="00B1235D"/>
    <w:rsid w:val="00B12B48"/>
    <w:rsid w:val="00B12C70"/>
    <w:rsid w:val="00B12F79"/>
    <w:rsid w:val="00B12F93"/>
    <w:rsid w:val="00B13A14"/>
    <w:rsid w:val="00B14308"/>
    <w:rsid w:val="00B15396"/>
    <w:rsid w:val="00B1559B"/>
    <w:rsid w:val="00B16450"/>
    <w:rsid w:val="00B165BB"/>
    <w:rsid w:val="00B16B1F"/>
    <w:rsid w:val="00B16F21"/>
    <w:rsid w:val="00B174BF"/>
    <w:rsid w:val="00B179DA"/>
    <w:rsid w:val="00B17B75"/>
    <w:rsid w:val="00B17D53"/>
    <w:rsid w:val="00B202FB"/>
    <w:rsid w:val="00B204C4"/>
    <w:rsid w:val="00B2066A"/>
    <w:rsid w:val="00B20790"/>
    <w:rsid w:val="00B20C42"/>
    <w:rsid w:val="00B211BB"/>
    <w:rsid w:val="00B21280"/>
    <w:rsid w:val="00B21417"/>
    <w:rsid w:val="00B21F8C"/>
    <w:rsid w:val="00B22771"/>
    <w:rsid w:val="00B22EA1"/>
    <w:rsid w:val="00B231A4"/>
    <w:rsid w:val="00B23F19"/>
    <w:rsid w:val="00B24586"/>
    <w:rsid w:val="00B246E9"/>
    <w:rsid w:val="00B24ACC"/>
    <w:rsid w:val="00B24EA3"/>
    <w:rsid w:val="00B250B7"/>
    <w:rsid w:val="00B263E6"/>
    <w:rsid w:val="00B26AEC"/>
    <w:rsid w:val="00B2783F"/>
    <w:rsid w:val="00B30577"/>
    <w:rsid w:val="00B30868"/>
    <w:rsid w:val="00B30A78"/>
    <w:rsid w:val="00B30D64"/>
    <w:rsid w:val="00B30DF6"/>
    <w:rsid w:val="00B30FF0"/>
    <w:rsid w:val="00B318F6"/>
    <w:rsid w:val="00B31B90"/>
    <w:rsid w:val="00B32408"/>
    <w:rsid w:val="00B327B4"/>
    <w:rsid w:val="00B32C35"/>
    <w:rsid w:val="00B32C4D"/>
    <w:rsid w:val="00B33236"/>
    <w:rsid w:val="00B340C3"/>
    <w:rsid w:val="00B344E4"/>
    <w:rsid w:val="00B35129"/>
    <w:rsid w:val="00B364D8"/>
    <w:rsid w:val="00B36C54"/>
    <w:rsid w:val="00B36EC4"/>
    <w:rsid w:val="00B37B1D"/>
    <w:rsid w:val="00B37C47"/>
    <w:rsid w:val="00B37FF1"/>
    <w:rsid w:val="00B404C5"/>
    <w:rsid w:val="00B40D3E"/>
    <w:rsid w:val="00B42770"/>
    <w:rsid w:val="00B434A8"/>
    <w:rsid w:val="00B44239"/>
    <w:rsid w:val="00B444EC"/>
    <w:rsid w:val="00B4618B"/>
    <w:rsid w:val="00B46AFF"/>
    <w:rsid w:val="00B474FA"/>
    <w:rsid w:val="00B47818"/>
    <w:rsid w:val="00B478F9"/>
    <w:rsid w:val="00B47E8B"/>
    <w:rsid w:val="00B5046E"/>
    <w:rsid w:val="00B51214"/>
    <w:rsid w:val="00B538A8"/>
    <w:rsid w:val="00B53A22"/>
    <w:rsid w:val="00B54456"/>
    <w:rsid w:val="00B5450C"/>
    <w:rsid w:val="00B5471F"/>
    <w:rsid w:val="00B54907"/>
    <w:rsid w:val="00B5499B"/>
    <w:rsid w:val="00B54DE3"/>
    <w:rsid w:val="00B555D0"/>
    <w:rsid w:val="00B55C1A"/>
    <w:rsid w:val="00B55D19"/>
    <w:rsid w:val="00B55DEF"/>
    <w:rsid w:val="00B56397"/>
    <w:rsid w:val="00B5664E"/>
    <w:rsid w:val="00B56CF1"/>
    <w:rsid w:val="00B56F2E"/>
    <w:rsid w:val="00B57B31"/>
    <w:rsid w:val="00B601EC"/>
    <w:rsid w:val="00B6162F"/>
    <w:rsid w:val="00B62CF0"/>
    <w:rsid w:val="00B63C12"/>
    <w:rsid w:val="00B63D19"/>
    <w:rsid w:val="00B63FF5"/>
    <w:rsid w:val="00B646DD"/>
    <w:rsid w:val="00B64F6D"/>
    <w:rsid w:val="00B65438"/>
    <w:rsid w:val="00B65776"/>
    <w:rsid w:val="00B65973"/>
    <w:rsid w:val="00B659E3"/>
    <w:rsid w:val="00B65A11"/>
    <w:rsid w:val="00B66403"/>
    <w:rsid w:val="00B673A3"/>
    <w:rsid w:val="00B67505"/>
    <w:rsid w:val="00B70D80"/>
    <w:rsid w:val="00B72189"/>
    <w:rsid w:val="00B75119"/>
    <w:rsid w:val="00B75A9B"/>
    <w:rsid w:val="00B76D79"/>
    <w:rsid w:val="00B76ECE"/>
    <w:rsid w:val="00B772E2"/>
    <w:rsid w:val="00B77541"/>
    <w:rsid w:val="00B77560"/>
    <w:rsid w:val="00B776D9"/>
    <w:rsid w:val="00B77834"/>
    <w:rsid w:val="00B77C65"/>
    <w:rsid w:val="00B81A4E"/>
    <w:rsid w:val="00B81B31"/>
    <w:rsid w:val="00B81BD3"/>
    <w:rsid w:val="00B839BB"/>
    <w:rsid w:val="00B84622"/>
    <w:rsid w:val="00B84757"/>
    <w:rsid w:val="00B85E3B"/>
    <w:rsid w:val="00B85ED7"/>
    <w:rsid w:val="00B864BA"/>
    <w:rsid w:val="00B86AD5"/>
    <w:rsid w:val="00B86B9C"/>
    <w:rsid w:val="00B87B48"/>
    <w:rsid w:val="00B91F7E"/>
    <w:rsid w:val="00B944E1"/>
    <w:rsid w:val="00B953CB"/>
    <w:rsid w:val="00B96294"/>
    <w:rsid w:val="00B966E3"/>
    <w:rsid w:val="00B96BDF"/>
    <w:rsid w:val="00B96DF2"/>
    <w:rsid w:val="00B977FD"/>
    <w:rsid w:val="00B978EB"/>
    <w:rsid w:val="00B97D4A"/>
    <w:rsid w:val="00BA1B6F"/>
    <w:rsid w:val="00BA212E"/>
    <w:rsid w:val="00BA48AC"/>
    <w:rsid w:val="00BA49B5"/>
    <w:rsid w:val="00BA6AEF"/>
    <w:rsid w:val="00BA6E10"/>
    <w:rsid w:val="00BA6E2D"/>
    <w:rsid w:val="00BA75F3"/>
    <w:rsid w:val="00BB06FF"/>
    <w:rsid w:val="00BB1A96"/>
    <w:rsid w:val="00BB1EFE"/>
    <w:rsid w:val="00BB2CC7"/>
    <w:rsid w:val="00BB2F6F"/>
    <w:rsid w:val="00BB3715"/>
    <w:rsid w:val="00BB3A5E"/>
    <w:rsid w:val="00BB3AD4"/>
    <w:rsid w:val="00BB3D96"/>
    <w:rsid w:val="00BB3F3F"/>
    <w:rsid w:val="00BB4023"/>
    <w:rsid w:val="00BB4112"/>
    <w:rsid w:val="00BB421C"/>
    <w:rsid w:val="00BB4C8B"/>
    <w:rsid w:val="00BB50C8"/>
    <w:rsid w:val="00BB557B"/>
    <w:rsid w:val="00BB6658"/>
    <w:rsid w:val="00BB6FBE"/>
    <w:rsid w:val="00BB78D5"/>
    <w:rsid w:val="00BC15AA"/>
    <w:rsid w:val="00BC2332"/>
    <w:rsid w:val="00BC2414"/>
    <w:rsid w:val="00BC2598"/>
    <w:rsid w:val="00BC34AD"/>
    <w:rsid w:val="00BC3BBF"/>
    <w:rsid w:val="00BC3D40"/>
    <w:rsid w:val="00BC4725"/>
    <w:rsid w:val="00BD01FA"/>
    <w:rsid w:val="00BD105A"/>
    <w:rsid w:val="00BD12B3"/>
    <w:rsid w:val="00BD1A3C"/>
    <w:rsid w:val="00BD2D55"/>
    <w:rsid w:val="00BD2D91"/>
    <w:rsid w:val="00BD2F5E"/>
    <w:rsid w:val="00BD33A3"/>
    <w:rsid w:val="00BD342F"/>
    <w:rsid w:val="00BD4D9F"/>
    <w:rsid w:val="00BD4E8A"/>
    <w:rsid w:val="00BD561F"/>
    <w:rsid w:val="00BD6AF5"/>
    <w:rsid w:val="00BD70D3"/>
    <w:rsid w:val="00BD76EA"/>
    <w:rsid w:val="00BD7AC4"/>
    <w:rsid w:val="00BD7EC5"/>
    <w:rsid w:val="00BE06B6"/>
    <w:rsid w:val="00BE1294"/>
    <w:rsid w:val="00BE1541"/>
    <w:rsid w:val="00BE207E"/>
    <w:rsid w:val="00BE25AD"/>
    <w:rsid w:val="00BE2D8B"/>
    <w:rsid w:val="00BE33E0"/>
    <w:rsid w:val="00BE4947"/>
    <w:rsid w:val="00BE54C8"/>
    <w:rsid w:val="00BE5512"/>
    <w:rsid w:val="00BE56DD"/>
    <w:rsid w:val="00BE5FCC"/>
    <w:rsid w:val="00BE6051"/>
    <w:rsid w:val="00BE622C"/>
    <w:rsid w:val="00BE6716"/>
    <w:rsid w:val="00BE6B88"/>
    <w:rsid w:val="00BE7F9E"/>
    <w:rsid w:val="00BF058B"/>
    <w:rsid w:val="00BF0D35"/>
    <w:rsid w:val="00BF20CF"/>
    <w:rsid w:val="00BF2790"/>
    <w:rsid w:val="00BF2F6E"/>
    <w:rsid w:val="00BF3343"/>
    <w:rsid w:val="00BF37B4"/>
    <w:rsid w:val="00BF46A8"/>
    <w:rsid w:val="00BF4AE3"/>
    <w:rsid w:val="00BF59CA"/>
    <w:rsid w:val="00BF6F96"/>
    <w:rsid w:val="00BF704B"/>
    <w:rsid w:val="00C004B4"/>
    <w:rsid w:val="00C008FE"/>
    <w:rsid w:val="00C00928"/>
    <w:rsid w:val="00C018B8"/>
    <w:rsid w:val="00C03977"/>
    <w:rsid w:val="00C041EA"/>
    <w:rsid w:val="00C043A8"/>
    <w:rsid w:val="00C0485D"/>
    <w:rsid w:val="00C051F2"/>
    <w:rsid w:val="00C0528C"/>
    <w:rsid w:val="00C05476"/>
    <w:rsid w:val="00C064DD"/>
    <w:rsid w:val="00C0730B"/>
    <w:rsid w:val="00C109E6"/>
    <w:rsid w:val="00C10F5E"/>
    <w:rsid w:val="00C11861"/>
    <w:rsid w:val="00C11A0E"/>
    <w:rsid w:val="00C11B37"/>
    <w:rsid w:val="00C126AF"/>
    <w:rsid w:val="00C138AC"/>
    <w:rsid w:val="00C14B82"/>
    <w:rsid w:val="00C14C21"/>
    <w:rsid w:val="00C15739"/>
    <w:rsid w:val="00C15AB3"/>
    <w:rsid w:val="00C15D39"/>
    <w:rsid w:val="00C15DE1"/>
    <w:rsid w:val="00C15EB9"/>
    <w:rsid w:val="00C16730"/>
    <w:rsid w:val="00C1693D"/>
    <w:rsid w:val="00C16A04"/>
    <w:rsid w:val="00C17230"/>
    <w:rsid w:val="00C17897"/>
    <w:rsid w:val="00C20221"/>
    <w:rsid w:val="00C20F0C"/>
    <w:rsid w:val="00C22B83"/>
    <w:rsid w:val="00C231CD"/>
    <w:rsid w:val="00C240CB"/>
    <w:rsid w:val="00C2467C"/>
    <w:rsid w:val="00C258FA"/>
    <w:rsid w:val="00C259F4"/>
    <w:rsid w:val="00C269AE"/>
    <w:rsid w:val="00C27DF7"/>
    <w:rsid w:val="00C309D1"/>
    <w:rsid w:val="00C315E1"/>
    <w:rsid w:val="00C31664"/>
    <w:rsid w:val="00C318DD"/>
    <w:rsid w:val="00C31A44"/>
    <w:rsid w:val="00C31B15"/>
    <w:rsid w:val="00C32249"/>
    <w:rsid w:val="00C325DD"/>
    <w:rsid w:val="00C33829"/>
    <w:rsid w:val="00C33890"/>
    <w:rsid w:val="00C3521D"/>
    <w:rsid w:val="00C356F4"/>
    <w:rsid w:val="00C35A93"/>
    <w:rsid w:val="00C35CF4"/>
    <w:rsid w:val="00C365B0"/>
    <w:rsid w:val="00C36938"/>
    <w:rsid w:val="00C36C7E"/>
    <w:rsid w:val="00C36D38"/>
    <w:rsid w:val="00C373D2"/>
    <w:rsid w:val="00C37619"/>
    <w:rsid w:val="00C37629"/>
    <w:rsid w:val="00C37F63"/>
    <w:rsid w:val="00C408D1"/>
    <w:rsid w:val="00C40C4F"/>
    <w:rsid w:val="00C40F5B"/>
    <w:rsid w:val="00C4226C"/>
    <w:rsid w:val="00C42BB7"/>
    <w:rsid w:val="00C434BD"/>
    <w:rsid w:val="00C43C31"/>
    <w:rsid w:val="00C44C59"/>
    <w:rsid w:val="00C45D2B"/>
    <w:rsid w:val="00C45F38"/>
    <w:rsid w:val="00C4622B"/>
    <w:rsid w:val="00C46BF5"/>
    <w:rsid w:val="00C4701B"/>
    <w:rsid w:val="00C47FBE"/>
    <w:rsid w:val="00C5037D"/>
    <w:rsid w:val="00C50889"/>
    <w:rsid w:val="00C50CF6"/>
    <w:rsid w:val="00C5154D"/>
    <w:rsid w:val="00C520D1"/>
    <w:rsid w:val="00C5239E"/>
    <w:rsid w:val="00C52C92"/>
    <w:rsid w:val="00C5310D"/>
    <w:rsid w:val="00C55C3F"/>
    <w:rsid w:val="00C6051E"/>
    <w:rsid w:val="00C60567"/>
    <w:rsid w:val="00C6098C"/>
    <w:rsid w:val="00C60EEA"/>
    <w:rsid w:val="00C60F8B"/>
    <w:rsid w:val="00C62186"/>
    <w:rsid w:val="00C639FF"/>
    <w:rsid w:val="00C63C47"/>
    <w:rsid w:val="00C6406D"/>
    <w:rsid w:val="00C645EF"/>
    <w:rsid w:val="00C64EE3"/>
    <w:rsid w:val="00C65502"/>
    <w:rsid w:val="00C656F8"/>
    <w:rsid w:val="00C65D33"/>
    <w:rsid w:val="00C65E1A"/>
    <w:rsid w:val="00C6612A"/>
    <w:rsid w:val="00C662CC"/>
    <w:rsid w:val="00C675A5"/>
    <w:rsid w:val="00C67E3C"/>
    <w:rsid w:val="00C67F10"/>
    <w:rsid w:val="00C71C59"/>
    <w:rsid w:val="00C71F0F"/>
    <w:rsid w:val="00C73273"/>
    <w:rsid w:val="00C74730"/>
    <w:rsid w:val="00C7524C"/>
    <w:rsid w:val="00C75660"/>
    <w:rsid w:val="00C77071"/>
    <w:rsid w:val="00C77F70"/>
    <w:rsid w:val="00C80551"/>
    <w:rsid w:val="00C812B1"/>
    <w:rsid w:val="00C84D8A"/>
    <w:rsid w:val="00C8541B"/>
    <w:rsid w:val="00C85C47"/>
    <w:rsid w:val="00C8679A"/>
    <w:rsid w:val="00C86BF2"/>
    <w:rsid w:val="00C86D35"/>
    <w:rsid w:val="00C8725E"/>
    <w:rsid w:val="00C878C4"/>
    <w:rsid w:val="00C908C3"/>
    <w:rsid w:val="00C92639"/>
    <w:rsid w:val="00C92C41"/>
    <w:rsid w:val="00C94C64"/>
    <w:rsid w:val="00C956CB"/>
    <w:rsid w:val="00C95947"/>
    <w:rsid w:val="00C9672E"/>
    <w:rsid w:val="00CA00B4"/>
    <w:rsid w:val="00CA0974"/>
    <w:rsid w:val="00CA0D6C"/>
    <w:rsid w:val="00CA2C43"/>
    <w:rsid w:val="00CA5026"/>
    <w:rsid w:val="00CA57EC"/>
    <w:rsid w:val="00CA5B3B"/>
    <w:rsid w:val="00CA5FD2"/>
    <w:rsid w:val="00CA6816"/>
    <w:rsid w:val="00CA6B03"/>
    <w:rsid w:val="00CA6D71"/>
    <w:rsid w:val="00CB05F7"/>
    <w:rsid w:val="00CB0D19"/>
    <w:rsid w:val="00CB0F8D"/>
    <w:rsid w:val="00CB117B"/>
    <w:rsid w:val="00CB1469"/>
    <w:rsid w:val="00CB17F6"/>
    <w:rsid w:val="00CB2AFB"/>
    <w:rsid w:val="00CB2B28"/>
    <w:rsid w:val="00CB2D4B"/>
    <w:rsid w:val="00CB4981"/>
    <w:rsid w:val="00CB4E60"/>
    <w:rsid w:val="00CB4E99"/>
    <w:rsid w:val="00CB5411"/>
    <w:rsid w:val="00CB591C"/>
    <w:rsid w:val="00CB5AB4"/>
    <w:rsid w:val="00CB5EDB"/>
    <w:rsid w:val="00CB5F26"/>
    <w:rsid w:val="00CB64AD"/>
    <w:rsid w:val="00CB667E"/>
    <w:rsid w:val="00CB736F"/>
    <w:rsid w:val="00CC0E00"/>
    <w:rsid w:val="00CC1CD2"/>
    <w:rsid w:val="00CC2A2A"/>
    <w:rsid w:val="00CC3065"/>
    <w:rsid w:val="00CC32E0"/>
    <w:rsid w:val="00CC4FD2"/>
    <w:rsid w:val="00CC50A0"/>
    <w:rsid w:val="00CC57E8"/>
    <w:rsid w:val="00CC57E9"/>
    <w:rsid w:val="00CC6E96"/>
    <w:rsid w:val="00CC7555"/>
    <w:rsid w:val="00CC7AE1"/>
    <w:rsid w:val="00CD03FF"/>
    <w:rsid w:val="00CD054F"/>
    <w:rsid w:val="00CD1113"/>
    <w:rsid w:val="00CD158B"/>
    <w:rsid w:val="00CD1945"/>
    <w:rsid w:val="00CD1C56"/>
    <w:rsid w:val="00CD2475"/>
    <w:rsid w:val="00CD3035"/>
    <w:rsid w:val="00CD34FD"/>
    <w:rsid w:val="00CD3B86"/>
    <w:rsid w:val="00CD3BC1"/>
    <w:rsid w:val="00CD43D1"/>
    <w:rsid w:val="00CD44A1"/>
    <w:rsid w:val="00CD5B19"/>
    <w:rsid w:val="00CD600D"/>
    <w:rsid w:val="00CD6379"/>
    <w:rsid w:val="00CD63EF"/>
    <w:rsid w:val="00CD6660"/>
    <w:rsid w:val="00CD7825"/>
    <w:rsid w:val="00CD7E0C"/>
    <w:rsid w:val="00CD7F6D"/>
    <w:rsid w:val="00CE06A1"/>
    <w:rsid w:val="00CE0C37"/>
    <w:rsid w:val="00CE164E"/>
    <w:rsid w:val="00CE1A4B"/>
    <w:rsid w:val="00CE2BB4"/>
    <w:rsid w:val="00CE2F2D"/>
    <w:rsid w:val="00CE345F"/>
    <w:rsid w:val="00CE3826"/>
    <w:rsid w:val="00CE430C"/>
    <w:rsid w:val="00CE47C0"/>
    <w:rsid w:val="00CE4CFA"/>
    <w:rsid w:val="00CE5479"/>
    <w:rsid w:val="00CE5DFF"/>
    <w:rsid w:val="00CE69B9"/>
    <w:rsid w:val="00CE6B52"/>
    <w:rsid w:val="00CE6C60"/>
    <w:rsid w:val="00CE71EA"/>
    <w:rsid w:val="00CE730D"/>
    <w:rsid w:val="00CE7714"/>
    <w:rsid w:val="00CF062B"/>
    <w:rsid w:val="00CF093E"/>
    <w:rsid w:val="00CF0C78"/>
    <w:rsid w:val="00CF1451"/>
    <w:rsid w:val="00CF1742"/>
    <w:rsid w:val="00CF24E0"/>
    <w:rsid w:val="00CF289F"/>
    <w:rsid w:val="00CF2B67"/>
    <w:rsid w:val="00CF2E0A"/>
    <w:rsid w:val="00CF507E"/>
    <w:rsid w:val="00CF5087"/>
    <w:rsid w:val="00CF540C"/>
    <w:rsid w:val="00CF5660"/>
    <w:rsid w:val="00CF5AF8"/>
    <w:rsid w:val="00CF73AC"/>
    <w:rsid w:val="00CF762F"/>
    <w:rsid w:val="00CF7855"/>
    <w:rsid w:val="00CF7DAF"/>
    <w:rsid w:val="00D003C7"/>
    <w:rsid w:val="00D00EE1"/>
    <w:rsid w:val="00D018B4"/>
    <w:rsid w:val="00D02EE4"/>
    <w:rsid w:val="00D0335F"/>
    <w:rsid w:val="00D036FD"/>
    <w:rsid w:val="00D041CF"/>
    <w:rsid w:val="00D043BB"/>
    <w:rsid w:val="00D04451"/>
    <w:rsid w:val="00D04528"/>
    <w:rsid w:val="00D04BB2"/>
    <w:rsid w:val="00D05689"/>
    <w:rsid w:val="00D057AA"/>
    <w:rsid w:val="00D05D0C"/>
    <w:rsid w:val="00D061CD"/>
    <w:rsid w:val="00D07A2B"/>
    <w:rsid w:val="00D07B3B"/>
    <w:rsid w:val="00D07C1E"/>
    <w:rsid w:val="00D07FD5"/>
    <w:rsid w:val="00D1049E"/>
    <w:rsid w:val="00D11239"/>
    <w:rsid w:val="00D1127D"/>
    <w:rsid w:val="00D114C4"/>
    <w:rsid w:val="00D11BAB"/>
    <w:rsid w:val="00D11C9C"/>
    <w:rsid w:val="00D12223"/>
    <w:rsid w:val="00D12910"/>
    <w:rsid w:val="00D13094"/>
    <w:rsid w:val="00D136BD"/>
    <w:rsid w:val="00D13886"/>
    <w:rsid w:val="00D14BC9"/>
    <w:rsid w:val="00D1504C"/>
    <w:rsid w:val="00D1536C"/>
    <w:rsid w:val="00D15503"/>
    <w:rsid w:val="00D15915"/>
    <w:rsid w:val="00D1646B"/>
    <w:rsid w:val="00D168FD"/>
    <w:rsid w:val="00D1695A"/>
    <w:rsid w:val="00D16C36"/>
    <w:rsid w:val="00D173FD"/>
    <w:rsid w:val="00D1776D"/>
    <w:rsid w:val="00D17E4D"/>
    <w:rsid w:val="00D20115"/>
    <w:rsid w:val="00D2081F"/>
    <w:rsid w:val="00D210CA"/>
    <w:rsid w:val="00D210EF"/>
    <w:rsid w:val="00D2144E"/>
    <w:rsid w:val="00D2201D"/>
    <w:rsid w:val="00D23436"/>
    <w:rsid w:val="00D23F98"/>
    <w:rsid w:val="00D25044"/>
    <w:rsid w:val="00D25F5B"/>
    <w:rsid w:val="00D262A1"/>
    <w:rsid w:val="00D26646"/>
    <w:rsid w:val="00D276E5"/>
    <w:rsid w:val="00D304A9"/>
    <w:rsid w:val="00D323FF"/>
    <w:rsid w:val="00D33E89"/>
    <w:rsid w:val="00D3477E"/>
    <w:rsid w:val="00D35149"/>
    <w:rsid w:val="00D3520D"/>
    <w:rsid w:val="00D35429"/>
    <w:rsid w:val="00D3545D"/>
    <w:rsid w:val="00D3678C"/>
    <w:rsid w:val="00D36CD0"/>
    <w:rsid w:val="00D40248"/>
    <w:rsid w:val="00D411F3"/>
    <w:rsid w:val="00D4141C"/>
    <w:rsid w:val="00D419A7"/>
    <w:rsid w:val="00D421F2"/>
    <w:rsid w:val="00D42D28"/>
    <w:rsid w:val="00D42D40"/>
    <w:rsid w:val="00D433A4"/>
    <w:rsid w:val="00D44D9C"/>
    <w:rsid w:val="00D455E8"/>
    <w:rsid w:val="00D45CAB"/>
    <w:rsid w:val="00D467DA"/>
    <w:rsid w:val="00D46B76"/>
    <w:rsid w:val="00D46B92"/>
    <w:rsid w:val="00D47008"/>
    <w:rsid w:val="00D479A1"/>
    <w:rsid w:val="00D505A8"/>
    <w:rsid w:val="00D506CF"/>
    <w:rsid w:val="00D509F4"/>
    <w:rsid w:val="00D50A96"/>
    <w:rsid w:val="00D50F2D"/>
    <w:rsid w:val="00D50F81"/>
    <w:rsid w:val="00D515E8"/>
    <w:rsid w:val="00D523DA"/>
    <w:rsid w:val="00D524EF"/>
    <w:rsid w:val="00D52A6A"/>
    <w:rsid w:val="00D534F4"/>
    <w:rsid w:val="00D53AF1"/>
    <w:rsid w:val="00D53B5B"/>
    <w:rsid w:val="00D53CAE"/>
    <w:rsid w:val="00D55237"/>
    <w:rsid w:val="00D5634F"/>
    <w:rsid w:val="00D56C09"/>
    <w:rsid w:val="00D5783D"/>
    <w:rsid w:val="00D57F49"/>
    <w:rsid w:val="00D61760"/>
    <w:rsid w:val="00D621C2"/>
    <w:rsid w:val="00D62B65"/>
    <w:rsid w:val="00D65324"/>
    <w:rsid w:val="00D66497"/>
    <w:rsid w:val="00D66D40"/>
    <w:rsid w:val="00D6797E"/>
    <w:rsid w:val="00D67BD3"/>
    <w:rsid w:val="00D71FAE"/>
    <w:rsid w:val="00D721C1"/>
    <w:rsid w:val="00D7242A"/>
    <w:rsid w:val="00D7290E"/>
    <w:rsid w:val="00D73127"/>
    <w:rsid w:val="00D73217"/>
    <w:rsid w:val="00D7408F"/>
    <w:rsid w:val="00D748C9"/>
    <w:rsid w:val="00D74A4A"/>
    <w:rsid w:val="00D75835"/>
    <w:rsid w:val="00D75AA3"/>
    <w:rsid w:val="00D75CEA"/>
    <w:rsid w:val="00D77220"/>
    <w:rsid w:val="00D80A3A"/>
    <w:rsid w:val="00D81D4E"/>
    <w:rsid w:val="00D81F4B"/>
    <w:rsid w:val="00D827DB"/>
    <w:rsid w:val="00D82DCD"/>
    <w:rsid w:val="00D82E36"/>
    <w:rsid w:val="00D83338"/>
    <w:rsid w:val="00D8345F"/>
    <w:rsid w:val="00D83ADD"/>
    <w:rsid w:val="00D84CA4"/>
    <w:rsid w:val="00D85371"/>
    <w:rsid w:val="00D85732"/>
    <w:rsid w:val="00D85B77"/>
    <w:rsid w:val="00D864ED"/>
    <w:rsid w:val="00D86606"/>
    <w:rsid w:val="00D86B83"/>
    <w:rsid w:val="00D86F17"/>
    <w:rsid w:val="00D87B97"/>
    <w:rsid w:val="00D90355"/>
    <w:rsid w:val="00D905AC"/>
    <w:rsid w:val="00D90693"/>
    <w:rsid w:val="00D90E79"/>
    <w:rsid w:val="00D91D66"/>
    <w:rsid w:val="00D9210F"/>
    <w:rsid w:val="00D92A3E"/>
    <w:rsid w:val="00D9340C"/>
    <w:rsid w:val="00D93C27"/>
    <w:rsid w:val="00D945FB"/>
    <w:rsid w:val="00D94C36"/>
    <w:rsid w:val="00D95E65"/>
    <w:rsid w:val="00D95F0E"/>
    <w:rsid w:val="00D96130"/>
    <w:rsid w:val="00D96212"/>
    <w:rsid w:val="00D96A84"/>
    <w:rsid w:val="00D96CF7"/>
    <w:rsid w:val="00D96D2E"/>
    <w:rsid w:val="00D96E45"/>
    <w:rsid w:val="00D977CE"/>
    <w:rsid w:val="00DA0F11"/>
    <w:rsid w:val="00DA1024"/>
    <w:rsid w:val="00DA10FE"/>
    <w:rsid w:val="00DA27D1"/>
    <w:rsid w:val="00DA2914"/>
    <w:rsid w:val="00DA32BA"/>
    <w:rsid w:val="00DA3FC6"/>
    <w:rsid w:val="00DA4768"/>
    <w:rsid w:val="00DA52FB"/>
    <w:rsid w:val="00DA56E8"/>
    <w:rsid w:val="00DA5AA2"/>
    <w:rsid w:val="00DA6DA2"/>
    <w:rsid w:val="00DA7415"/>
    <w:rsid w:val="00DA7A2E"/>
    <w:rsid w:val="00DA7CE7"/>
    <w:rsid w:val="00DB0142"/>
    <w:rsid w:val="00DB19C5"/>
    <w:rsid w:val="00DB19FD"/>
    <w:rsid w:val="00DB1D99"/>
    <w:rsid w:val="00DB22A4"/>
    <w:rsid w:val="00DB244F"/>
    <w:rsid w:val="00DB2B08"/>
    <w:rsid w:val="00DB2E5E"/>
    <w:rsid w:val="00DB2ED4"/>
    <w:rsid w:val="00DB34CF"/>
    <w:rsid w:val="00DB37A6"/>
    <w:rsid w:val="00DB3DBA"/>
    <w:rsid w:val="00DB3E1C"/>
    <w:rsid w:val="00DB4437"/>
    <w:rsid w:val="00DB449A"/>
    <w:rsid w:val="00DB4881"/>
    <w:rsid w:val="00DB4A72"/>
    <w:rsid w:val="00DB5D49"/>
    <w:rsid w:val="00DB5F56"/>
    <w:rsid w:val="00DB66AE"/>
    <w:rsid w:val="00DB6A74"/>
    <w:rsid w:val="00DB6CB9"/>
    <w:rsid w:val="00DB7182"/>
    <w:rsid w:val="00DB759B"/>
    <w:rsid w:val="00DC0368"/>
    <w:rsid w:val="00DC0BB0"/>
    <w:rsid w:val="00DC0C89"/>
    <w:rsid w:val="00DC0F3F"/>
    <w:rsid w:val="00DC18D0"/>
    <w:rsid w:val="00DC22AF"/>
    <w:rsid w:val="00DC248C"/>
    <w:rsid w:val="00DC2E34"/>
    <w:rsid w:val="00DC2EC9"/>
    <w:rsid w:val="00DC3073"/>
    <w:rsid w:val="00DC3970"/>
    <w:rsid w:val="00DC39C6"/>
    <w:rsid w:val="00DC3CB6"/>
    <w:rsid w:val="00DC4115"/>
    <w:rsid w:val="00DC5315"/>
    <w:rsid w:val="00DC5321"/>
    <w:rsid w:val="00DC587B"/>
    <w:rsid w:val="00DC5CD6"/>
    <w:rsid w:val="00DC5E21"/>
    <w:rsid w:val="00DC63C2"/>
    <w:rsid w:val="00DC6900"/>
    <w:rsid w:val="00DC6CAC"/>
    <w:rsid w:val="00DC712D"/>
    <w:rsid w:val="00DC7B2F"/>
    <w:rsid w:val="00DD00A9"/>
    <w:rsid w:val="00DD07AA"/>
    <w:rsid w:val="00DD08D9"/>
    <w:rsid w:val="00DD0C20"/>
    <w:rsid w:val="00DD138D"/>
    <w:rsid w:val="00DD25AC"/>
    <w:rsid w:val="00DD3944"/>
    <w:rsid w:val="00DD5274"/>
    <w:rsid w:val="00DD57AB"/>
    <w:rsid w:val="00DD5BDC"/>
    <w:rsid w:val="00DD5F65"/>
    <w:rsid w:val="00DD7B4C"/>
    <w:rsid w:val="00DE0E59"/>
    <w:rsid w:val="00DE0F6F"/>
    <w:rsid w:val="00DE1AE4"/>
    <w:rsid w:val="00DE33CB"/>
    <w:rsid w:val="00DE3A60"/>
    <w:rsid w:val="00DE3DD5"/>
    <w:rsid w:val="00DE4C17"/>
    <w:rsid w:val="00DE540B"/>
    <w:rsid w:val="00DE5541"/>
    <w:rsid w:val="00DE575B"/>
    <w:rsid w:val="00DE5B7E"/>
    <w:rsid w:val="00DE5FE2"/>
    <w:rsid w:val="00DE75D2"/>
    <w:rsid w:val="00DE7F86"/>
    <w:rsid w:val="00DF000F"/>
    <w:rsid w:val="00DF018D"/>
    <w:rsid w:val="00DF0935"/>
    <w:rsid w:val="00DF0DC3"/>
    <w:rsid w:val="00DF1575"/>
    <w:rsid w:val="00DF1831"/>
    <w:rsid w:val="00DF288C"/>
    <w:rsid w:val="00DF2C42"/>
    <w:rsid w:val="00DF39C7"/>
    <w:rsid w:val="00DF4D69"/>
    <w:rsid w:val="00DF4E3E"/>
    <w:rsid w:val="00DF59C4"/>
    <w:rsid w:val="00DF5C05"/>
    <w:rsid w:val="00DF5C48"/>
    <w:rsid w:val="00DF5C97"/>
    <w:rsid w:val="00DF7081"/>
    <w:rsid w:val="00DF7853"/>
    <w:rsid w:val="00E0076E"/>
    <w:rsid w:val="00E00C22"/>
    <w:rsid w:val="00E01E11"/>
    <w:rsid w:val="00E0372C"/>
    <w:rsid w:val="00E0390B"/>
    <w:rsid w:val="00E04B46"/>
    <w:rsid w:val="00E056CD"/>
    <w:rsid w:val="00E05C65"/>
    <w:rsid w:val="00E06C8D"/>
    <w:rsid w:val="00E06F51"/>
    <w:rsid w:val="00E06F77"/>
    <w:rsid w:val="00E07C74"/>
    <w:rsid w:val="00E10CE7"/>
    <w:rsid w:val="00E11208"/>
    <w:rsid w:val="00E11303"/>
    <w:rsid w:val="00E113C3"/>
    <w:rsid w:val="00E1175F"/>
    <w:rsid w:val="00E1256A"/>
    <w:rsid w:val="00E1296B"/>
    <w:rsid w:val="00E12EFA"/>
    <w:rsid w:val="00E13314"/>
    <w:rsid w:val="00E13B42"/>
    <w:rsid w:val="00E13D2D"/>
    <w:rsid w:val="00E152AF"/>
    <w:rsid w:val="00E16201"/>
    <w:rsid w:val="00E16530"/>
    <w:rsid w:val="00E17950"/>
    <w:rsid w:val="00E20B12"/>
    <w:rsid w:val="00E210CF"/>
    <w:rsid w:val="00E211A8"/>
    <w:rsid w:val="00E21B02"/>
    <w:rsid w:val="00E21BED"/>
    <w:rsid w:val="00E221B5"/>
    <w:rsid w:val="00E234E6"/>
    <w:rsid w:val="00E23CBB"/>
    <w:rsid w:val="00E23F18"/>
    <w:rsid w:val="00E24109"/>
    <w:rsid w:val="00E255E3"/>
    <w:rsid w:val="00E255F2"/>
    <w:rsid w:val="00E2561C"/>
    <w:rsid w:val="00E25624"/>
    <w:rsid w:val="00E2568A"/>
    <w:rsid w:val="00E25B69"/>
    <w:rsid w:val="00E26537"/>
    <w:rsid w:val="00E26651"/>
    <w:rsid w:val="00E2748C"/>
    <w:rsid w:val="00E27FC0"/>
    <w:rsid w:val="00E300F4"/>
    <w:rsid w:val="00E3065B"/>
    <w:rsid w:val="00E31B9C"/>
    <w:rsid w:val="00E328C7"/>
    <w:rsid w:val="00E32E6B"/>
    <w:rsid w:val="00E331A4"/>
    <w:rsid w:val="00E33719"/>
    <w:rsid w:val="00E339D5"/>
    <w:rsid w:val="00E340A3"/>
    <w:rsid w:val="00E350C3"/>
    <w:rsid w:val="00E3526E"/>
    <w:rsid w:val="00E35512"/>
    <w:rsid w:val="00E3628B"/>
    <w:rsid w:val="00E364A0"/>
    <w:rsid w:val="00E36733"/>
    <w:rsid w:val="00E37CF7"/>
    <w:rsid w:val="00E40D18"/>
    <w:rsid w:val="00E444BA"/>
    <w:rsid w:val="00E44C56"/>
    <w:rsid w:val="00E44DCE"/>
    <w:rsid w:val="00E44E6A"/>
    <w:rsid w:val="00E45523"/>
    <w:rsid w:val="00E45806"/>
    <w:rsid w:val="00E45996"/>
    <w:rsid w:val="00E45EE1"/>
    <w:rsid w:val="00E4685F"/>
    <w:rsid w:val="00E46D6F"/>
    <w:rsid w:val="00E47CE8"/>
    <w:rsid w:val="00E51F41"/>
    <w:rsid w:val="00E52A2D"/>
    <w:rsid w:val="00E53057"/>
    <w:rsid w:val="00E535F6"/>
    <w:rsid w:val="00E55BE9"/>
    <w:rsid w:val="00E562A6"/>
    <w:rsid w:val="00E5656F"/>
    <w:rsid w:val="00E565CA"/>
    <w:rsid w:val="00E56FAA"/>
    <w:rsid w:val="00E573A1"/>
    <w:rsid w:val="00E57613"/>
    <w:rsid w:val="00E57B7F"/>
    <w:rsid w:val="00E57F31"/>
    <w:rsid w:val="00E6057F"/>
    <w:rsid w:val="00E6068C"/>
    <w:rsid w:val="00E60B9B"/>
    <w:rsid w:val="00E62B27"/>
    <w:rsid w:val="00E62F87"/>
    <w:rsid w:val="00E63BA7"/>
    <w:rsid w:val="00E63FD5"/>
    <w:rsid w:val="00E6494E"/>
    <w:rsid w:val="00E64A38"/>
    <w:rsid w:val="00E65FF7"/>
    <w:rsid w:val="00E67480"/>
    <w:rsid w:val="00E67DC8"/>
    <w:rsid w:val="00E67F24"/>
    <w:rsid w:val="00E706B1"/>
    <w:rsid w:val="00E70840"/>
    <w:rsid w:val="00E70FEF"/>
    <w:rsid w:val="00E71210"/>
    <w:rsid w:val="00E73ABA"/>
    <w:rsid w:val="00E73CA4"/>
    <w:rsid w:val="00E74B2D"/>
    <w:rsid w:val="00E74EB6"/>
    <w:rsid w:val="00E7530D"/>
    <w:rsid w:val="00E75B22"/>
    <w:rsid w:val="00E7622E"/>
    <w:rsid w:val="00E76623"/>
    <w:rsid w:val="00E768A5"/>
    <w:rsid w:val="00E76E32"/>
    <w:rsid w:val="00E777E0"/>
    <w:rsid w:val="00E77D5A"/>
    <w:rsid w:val="00E80850"/>
    <w:rsid w:val="00E81558"/>
    <w:rsid w:val="00E81C06"/>
    <w:rsid w:val="00E82AA7"/>
    <w:rsid w:val="00E82F07"/>
    <w:rsid w:val="00E834AE"/>
    <w:rsid w:val="00E83684"/>
    <w:rsid w:val="00E845FD"/>
    <w:rsid w:val="00E849D7"/>
    <w:rsid w:val="00E855C2"/>
    <w:rsid w:val="00E85A81"/>
    <w:rsid w:val="00E863D3"/>
    <w:rsid w:val="00E870B5"/>
    <w:rsid w:val="00E906FA"/>
    <w:rsid w:val="00E90CEC"/>
    <w:rsid w:val="00E90FC3"/>
    <w:rsid w:val="00E912E4"/>
    <w:rsid w:val="00E91BCE"/>
    <w:rsid w:val="00E91BD9"/>
    <w:rsid w:val="00E92042"/>
    <w:rsid w:val="00E92452"/>
    <w:rsid w:val="00E926D9"/>
    <w:rsid w:val="00E92BB6"/>
    <w:rsid w:val="00E92EB0"/>
    <w:rsid w:val="00E93CB8"/>
    <w:rsid w:val="00E94565"/>
    <w:rsid w:val="00E94B76"/>
    <w:rsid w:val="00E94DC6"/>
    <w:rsid w:val="00E954C5"/>
    <w:rsid w:val="00E97C8B"/>
    <w:rsid w:val="00EA0401"/>
    <w:rsid w:val="00EA06DB"/>
    <w:rsid w:val="00EA099B"/>
    <w:rsid w:val="00EA0ABF"/>
    <w:rsid w:val="00EA0EFB"/>
    <w:rsid w:val="00EA194D"/>
    <w:rsid w:val="00EA1B19"/>
    <w:rsid w:val="00EA1CD5"/>
    <w:rsid w:val="00EA2215"/>
    <w:rsid w:val="00EA2376"/>
    <w:rsid w:val="00EA27E6"/>
    <w:rsid w:val="00EA2ADA"/>
    <w:rsid w:val="00EA2D71"/>
    <w:rsid w:val="00EA2E98"/>
    <w:rsid w:val="00EA3138"/>
    <w:rsid w:val="00EA335F"/>
    <w:rsid w:val="00EA3539"/>
    <w:rsid w:val="00EA35CC"/>
    <w:rsid w:val="00EA48F5"/>
    <w:rsid w:val="00EA4F79"/>
    <w:rsid w:val="00EA5208"/>
    <w:rsid w:val="00EA620E"/>
    <w:rsid w:val="00EA676D"/>
    <w:rsid w:val="00EA69BA"/>
    <w:rsid w:val="00EA6CEE"/>
    <w:rsid w:val="00EA6DB9"/>
    <w:rsid w:val="00EA6FAE"/>
    <w:rsid w:val="00EA718C"/>
    <w:rsid w:val="00EA7362"/>
    <w:rsid w:val="00EA7517"/>
    <w:rsid w:val="00EB13D0"/>
    <w:rsid w:val="00EB1DEE"/>
    <w:rsid w:val="00EB25C3"/>
    <w:rsid w:val="00EB25CF"/>
    <w:rsid w:val="00EB2695"/>
    <w:rsid w:val="00EB2A25"/>
    <w:rsid w:val="00EB3A31"/>
    <w:rsid w:val="00EB429F"/>
    <w:rsid w:val="00EB4570"/>
    <w:rsid w:val="00EB4D35"/>
    <w:rsid w:val="00EB519B"/>
    <w:rsid w:val="00EB5C2E"/>
    <w:rsid w:val="00EB5D71"/>
    <w:rsid w:val="00EB62AA"/>
    <w:rsid w:val="00EB6ABF"/>
    <w:rsid w:val="00EB6D00"/>
    <w:rsid w:val="00EB70D2"/>
    <w:rsid w:val="00EB725F"/>
    <w:rsid w:val="00EC1517"/>
    <w:rsid w:val="00EC16C2"/>
    <w:rsid w:val="00EC1D9E"/>
    <w:rsid w:val="00EC1E45"/>
    <w:rsid w:val="00EC2B1B"/>
    <w:rsid w:val="00EC3CBC"/>
    <w:rsid w:val="00EC3D2F"/>
    <w:rsid w:val="00EC431F"/>
    <w:rsid w:val="00EC446E"/>
    <w:rsid w:val="00EC44C6"/>
    <w:rsid w:val="00EC53C9"/>
    <w:rsid w:val="00EC5805"/>
    <w:rsid w:val="00EC5A31"/>
    <w:rsid w:val="00EC6EDB"/>
    <w:rsid w:val="00EC7086"/>
    <w:rsid w:val="00EC71ED"/>
    <w:rsid w:val="00ED0D22"/>
    <w:rsid w:val="00ED1790"/>
    <w:rsid w:val="00ED1A61"/>
    <w:rsid w:val="00ED1E25"/>
    <w:rsid w:val="00ED2913"/>
    <w:rsid w:val="00ED298E"/>
    <w:rsid w:val="00ED3105"/>
    <w:rsid w:val="00ED36F2"/>
    <w:rsid w:val="00ED38CA"/>
    <w:rsid w:val="00ED510B"/>
    <w:rsid w:val="00ED56C7"/>
    <w:rsid w:val="00ED669C"/>
    <w:rsid w:val="00EE09D5"/>
    <w:rsid w:val="00EE0AF5"/>
    <w:rsid w:val="00EE0F0F"/>
    <w:rsid w:val="00EE1639"/>
    <w:rsid w:val="00EE1765"/>
    <w:rsid w:val="00EE1908"/>
    <w:rsid w:val="00EE1A2F"/>
    <w:rsid w:val="00EE1CF3"/>
    <w:rsid w:val="00EE1F54"/>
    <w:rsid w:val="00EE2480"/>
    <w:rsid w:val="00EE2AC7"/>
    <w:rsid w:val="00EE3692"/>
    <w:rsid w:val="00EE38DF"/>
    <w:rsid w:val="00EE441B"/>
    <w:rsid w:val="00EE44DC"/>
    <w:rsid w:val="00EE4DC1"/>
    <w:rsid w:val="00EE4E7A"/>
    <w:rsid w:val="00EE533F"/>
    <w:rsid w:val="00EE60AA"/>
    <w:rsid w:val="00EE7960"/>
    <w:rsid w:val="00EF0D7E"/>
    <w:rsid w:val="00EF1C98"/>
    <w:rsid w:val="00EF21A0"/>
    <w:rsid w:val="00EF2A0E"/>
    <w:rsid w:val="00EF347D"/>
    <w:rsid w:val="00EF3ED3"/>
    <w:rsid w:val="00EF5453"/>
    <w:rsid w:val="00EF62A0"/>
    <w:rsid w:val="00EF6751"/>
    <w:rsid w:val="00EF6823"/>
    <w:rsid w:val="00EF7B56"/>
    <w:rsid w:val="00F0041E"/>
    <w:rsid w:val="00F006D7"/>
    <w:rsid w:val="00F016C4"/>
    <w:rsid w:val="00F0207D"/>
    <w:rsid w:val="00F02132"/>
    <w:rsid w:val="00F02968"/>
    <w:rsid w:val="00F02BE2"/>
    <w:rsid w:val="00F02C39"/>
    <w:rsid w:val="00F0366A"/>
    <w:rsid w:val="00F0382B"/>
    <w:rsid w:val="00F0389D"/>
    <w:rsid w:val="00F05E9E"/>
    <w:rsid w:val="00F075E9"/>
    <w:rsid w:val="00F077F8"/>
    <w:rsid w:val="00F079EF"/>
    <w:rsid w:val="00F07C78"/>
    <w:rsid w:val="00F102DB"/>
    <w:rsid w:val="00F102FA"/>
    <w:rsid w:val="00F105D0"/>
    <w:rsid w:val="00F1142A"/>
    <w:rsid w:val="00F1195D"/>
    <w:rsid w:val="00F11B37"/>
    <w:rsid w:val="00F11BAA"/>
    <w:rsid w:val="00F11DFC"/>
    <w:rsid w:val="00F13163"/>
    <w:rsid w:val="00F13BBD"/>
    <w:rsid w:val="00F143AB"/>
    <w:rsid w:val="00F14430"/>
    <w:rsid w:val="00F15EC5"/>
    <w:rsid w:val="00F16066"/>
    <w:rsid w:val="00F166D6"/>
    <w:rsid w:val="00F16757"/>
    <w:rsid w:val="00F16B8E"/>
    <w:rsid w:val="00F16D16"/>
    <w:rsid w:val="00F16EE7"/>
    <w:rsid w:val="00F17FBB"/>
    <w:rsid w:val="00F21196"/>
    <w:rsid w:val="00F21A94"/>
    <w:rsid w:val="00F21DE7"/>
    <w:rsid w:val="00F225DC"/>
    <w:rsid w:val="00F22A36"/>
    <w:rsid w:val="00F24019"/>
    <w:rsid w:val="00F242B5"/>
    <w:rsid w:val="00F244F1"/>
    <w:rsid w:val="00F25390"/>
    <w:rsid w:val="00F25569"/>
    <w:rsid w:val="00F26991"/>
    <w:rsid w:val="00F26E77"/>
    <w:rsid w:val="00F26FBE"/>
    <w:rsid w:val="00F27BA4"/>
    <w:rsid w:val="00F27DDF"/>
    <w:rsid w:val="00F302BF"/>
    <w:rsid w:val="00F303AA"/>
    <w:rsid w:val="00F305D2"/>
    <w:rsid w:val="00F3093C"/>
    <w:rsid w:val="00F30BF9"/>
    <w:rsid w:val="00F30C12"/>
    <w:rsid w:val="00F311D7"/>
    <w:rsid w:val="00F31E63"/>
    <w:rsid w:val="00F31EBD"/>
    <w:rsid w:val="00F32AD4"/>
    <w:rsid w:val="00F33E74"/>
    <w:rsid w:val="00F341E4"/>
    <w:rsid w:val="00F34476"/>
    <w:rsid w:val="00F346D3"/>
    <w:rsid w:val="00F347F7"/>
    <w:rsid w:val="00F353E6"/>
    <w:rsid w:val="00F363DC"/>
    <w:rsid w:val="00F36AE1"/>
    <w:rsid w:val="00F372CD"/>
    <w:rsid w:val="00F403E6"/>
    <w:rsid w:val="00F40631"/>
    <w:rsid w:val="00F41225"/>
    <w:rsid w:val="00F419B0"/>
    <w:rsid w:val="00F41B06"/>
    <w:rsid w:val="00F42B26"/>
    <w:rsid w:val="00F42BE2"/>
    <w:rsid w:val="00F4330D"/>
    <w:rsid w:val="00F43CD8"/>
    <w:rsid w:val="00F43EE5"/>
    <w:rsid w:val="00F44348"/>
    <w:rsid w:val="00F44521"/>
    <w:rsid w:val="00F44794"/>
    <w:rsid w:val="00F44CED"/>
    <w:rsid w:val="00F454AB"/>
    <w:rsid w:val="00F45710"/>
    <w:rsid w:val="00F45AC8"/>
    <w:rsid w:val="00F46141"/>
    <w:rsid w:val="00F473DB"/>
    <w:rsid w:val="00F50408"/>
    <w:rsid w:val="00F50DC8"/>
    <w:rsid w:val="00F50E5F"/>
    <w:rsid w:val="00F513EF"/>
    <w:rsid w:val="00F51C6E"/>
    <w:rsid w:val="00F52119"/>
    <w:rsid w:val="00F522B4"/>
    <w:rsid w:val="00F526A8"/>
    <w:rsid w:val="00F53893"/>
    <w:rsid w:val="00F5424C"/>
    <w:rsid w:val="00F54872"/>
    <w:rsid w:val="00F54A4F"/>
    <w:rsid w:val="00F55A2A"/>
    <w:rsid w:val="00F5683F"/>
    <w:rsid w:val="00F5696D"/>
    <w:rsid w:val="00F56F00"/>
    <w:rsid w:val="00F57075"/>
    <w:rsid w:val="00F5730F"/>
    <w:rsid w:val="00F57BCB"/>
    <w:rsid w:val="00F612E6"/>
    <w:rsid w:val="00F616C9"/>
    <w:rsid w:val="00F61CC8"/>
    <w:rsid w:val="00F61DB7"/>
    <w:rsid w:val="00F62AA5"/>
    <w:rsid w:val="00F63B6C"/>
    <w:rsid w:val="00F63DA8"/>
    <w:rsid w:val="00F64609"/>
    <w:rsid w:val="00F64779"/>
    <w:rsid w:val="00F64BF8"/>
    <w:rsid w:val="00F64DA0"/>
    <w:rsid w:val="00F64FBF"/>
    <w:rsid w:val="00F64FFB"/>
    <w:rsid w:val="00F656D0"/>
    <w:rsid w:val="00F66EBB"/>
    <w:rsid w:val="00F66F68"/>
    <w:rsid w:val="00F710F7"/>
    <w:rsid w:val="00F71134"/>
    <w:rsid w:val="00F71C5E"/>
    <w:rsid w:val="00F73646"/>
    <w:rsid w:val="00F73F63"/>
    <w:rsid w:val="00F752BE"/>
    <w:rsid w:val="00F765BF"/>
    <w:rsid w:val="00F809A3"/>
    <w:rsid w:val="00F809C4"/>
    <w:rsid w:val="00F80B73"/>
    <w:rsid w:val="00F80BD9"/>
    <w:rsid w:val="00F80F64"/>
    <w:rsid w:val="00F81435"/>
    <w:rsid w:val="00F8168D"/>
    <w:rsid w:val="00F8308C"/>
    <w:rsid w:val="00F848FF"/>
    <w:rsid w:val="00F851B4"/>
    <w:rsid w:val="00F8602E"/>
    <w:rsid w:val="00F86AE4"/>
    <w:rsid w:val="00F872E4"/>
    <w:rsid w:val="00F87A2E"/>
    <w:rsid w:val="00F87F46"/>
    <w:rsid w:val="00F91EFA"/>
    <w:rsid w:val="00F926EC"/>
    <w:rsid w:val="00F937B9"/>
    <w:rsid w:val="00F93A37"/>
    <w:rsid w:val="00F94490"/>
    <w:rsid w:val="00F95087"/>
    <w:rsid w:val="00F952A3"/>
    <w:rsid w:val="00F9577F"/>
    <w:rsid w:val="00F95E95"/>
    <w:rsid w:val="00F9641C"/>
    <w:rsid w:val="00F96531"/>
    <w:rsid w:val="00F96690"/>
    <w:rsid w:val="00F968F3"/>
    <w:rsid w:val="00F9706A"/>
    <w:rsid w:val="00F978A1"/>
    <w:rsid w:val="00FA0196"/>
    <w:rsid w:val="00FA03FB"/>
    <w:rsid w:val="00FA0649"/>
    <w:rsid w:val="00FA0977"/>
    <w:rsid w:val="00FA1CA9"/>
    <w:rsid w:val="00FA34F7"/>
    <w:rsid w:val="00FA36A2"/>
    <w:rsid w:val="00FA37E5"/>
    <w:rsid w:val="00FA39FD"/>
    <w:rsid w:val="00FA3B01"/>
    <w:rsid w:val="00FA49EF"/>
    <w:rsid w:val="00FA4EE6"/>
    <w:rsid w:val="00FA63F8"/>
    <w:rsid w:val="00FA6552"/>
    <w:rsid w:val="00FA6E96"/>
    <w:rsid w:val="00FA7E05"/>
    <w:rsid w:val="00FB1220"/>
    <w:rsid w:val="00FB264E"/>
    <w:rsid w:val="00FB300A"/>
    <w:rsid w:val="00FB3938"/>
    <w:rsid w:val="00FB4BF8"/>
    <w:rsid w:val="00FB4F52"/>
    <w:rsid w:val="00FB56F1"/>
    <w:rsid w:val="00FB5C1B"/>
    <w:rsid w:val="00FB6048"/>
    <w:rsid w:val="00FB6B07"/>
    <w:rsid w:val="00FB6ED6"/>
    <w:rsid w:val="00FC09B4"/>
    <w:rsid w:val="00FC0AAE"/>
    <w:rsid w:val="00FC0DD8"/>
    <w:rsid w:val="00FC0EE4"/>
    <w:rsid w:val="00FC1DAB"/>
    <w:rsid w:val="00FC207C"/>
    <w:rsid w:val="00FC3A76"/>
    <w:rsid w:val="00FC3CD9"/>
    <w:rsid w:val="00FC4487"/>
    <w:rsid w:val="00FC45EE"/>
    <w:rsid w:val="00FC46C7"/>
    <w:rsid w:val="00FC51B9"/>
    <w:rsid w:val="00FC6677"/>
    <w:rsid w:val="00FC6C84"/>
    <w:rsid w:val="00FC7AC6"/>
    <w:rsid w:val="00FD046F"/>
    <w:rsid w:val="00FD1396"/>
    <w:rsid w:val="00FD1416"/>
    <w:rsid w:val="00FD1BDF"/>
    <w:rsid w:val="00FD1C97"/>
    <w:rsid w:val="00FD2705"/>
    <w:rsid w:val="00FD2793"/>
    <w:rsid w:val="00FD27EC"/>
    <w:rsid w:val="00FD3A0F"/>
    <w:rsid w:val="00FD4365"/>
    <w:rsid w:val="00FD4541"/>
    <w:rsid w:val="00FD62B2"/>
    <w:rsid w:val="00FD6F38"/>
    <w:rsid w:val="00FD7605"/>
    <w:rsid w:val="00FD779E"/>
    <w:rsid w:val="00FD799B"/>
    <w:rsid w:val="00FE06AF"/>
    <w:rsid w:val="00FE145A"/>
    <w:rsid w:val="00FE1463"/>
    <w:rsid w:val="00FE18A6"/>
    <w:rsid w:val="00FE24F2"/>
    <w:rsid w:val="00FE29FC"/>
    <w:rsid w:val="00FE48D1"/>
    <w:rsid w:val="00FE4976"/>
    <w:rsid w:val="00FE511E"/>
    <w:rsid w:val="00FE5B3B"/>
    <w:rsid w:val="00FE5B8D"/>
    <w:rsid w:val="00FE6731"/>
    <w:rsid w:val="00FE6C40"/>
    <w:rsid w:val="00FE7430"/>
    <w:rsid w:val="00FF0F51"/>
    <w:rsid w:val="00FF3A1B"/>
    <w:rsid w:val="00FF445F"/>
    <w:rsid w:val="00FF4F8A"/>
    <w:rsid w:val="00FF5C6E"/>
    <w:rsid w:val="00FF5E1E"/>
    <w:rsid w:val="00FF62B6"/>
    <w:rsid w:val="00FF65A2"/>
    <w:rsid w:val="00FF680D"/>
    <w:rsid w:val="00FF6C2E"/>
    <w:rsid w:val="00FF6C71"/>
    <w:rsid w:val="00FF6D38"/>
    <w:rsid w:val="00FF7A32"/>
    <w:rsid w:val="678D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120" w:firstLine="720"/>
    </w:pPr>
    <w:rPr>
      <w:rFonts w:ascii="Times New Roman" w:hAnsi="Times New Roman" w:eastAsia="Times New Roman"/>
      <w:sz w:val="24"/>
      <w:szCs w:val="24"/>
    </w:rPr>
  </w:style>
  <w:style w:type="paragraph" w:styleId="6">
    <w:name w:val="toc 3"/>
    <w:basedOn w:val="1"/>
    <w:next w:val="1"/>
    <w:autoRedefine/>
    <w:unhideWhenUsed/>
    <w:qFormat/>
    <w:uiPriority w:val="39"/>
    <w:pPr>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420"/>
        <w:tab w:val="right" w:leader="dot" w:pos="9016"/>
      </w:tabs>
      <w:snapToGrid w:val="0"/>
      <w:spacing w:line="300" w:lineRule="auto"/>
      <w:ind w:left="480" w:right="440" w:rightChars="200" w:hanging="480" w:hangingChars="200"/>
      <w:jc w:val="both"/>
    </w:pPr>
    <w:rPr>
      <w:rFonts w:ascii="Arial" w:hAnsi="Arial" w:cs="Arial"/>
      <w:i/>
      <w:snapToGrid w:val="0"/>
      <w:sz w:val="24"/>
    </w:rPr>
  </w:style>
  <w:style w:type="paragraph" w:styleId="11">
    <w:name w:val="footnote text"/>
    <w:basedOn w:val="1"/>
    <w:link w:val="29"/>
    <w:semiHidden/>
    <w:unhideWhenUsed/>
    <w:qFormat/>
    <w:uiPriority w:val="99"/>
    <w:pPr>
      <w:snapToGrid w:val="0"/>
    </w:pPr>
    <w:rPr>
      <w:sz w:val="18"/>
      <w:szCs w:val="18"/>
    </w:rPr>
  </w:style>
  <w:style w:type="paragraph" w:styleId="12">
    <w:name w:val="toc 2"/>
    <w:basedOn w:val="1"/>
    <w:next w:val="1"/>
    <w:autoRedefine/>
    <w:unhideWhenUsed/>
    <w:qFormat/>
    <w:uiPriority w:val="39"/>
    <w:pPr>
      <w:tabs>
        <w:tab w:val="left" w:pos="840"/>
        <w:tab w:val="right" w:leader="dot" w:pos="9016"/>
      </w:tabs>
      <w:snapToGrid w:val="0"/>
      <w:spacing w:line="300" w:lineRule="auto"/>
      <w:ind w:left="920" w:leftChars="200" w:right="440" w:rightChars="200" w:hanging="480" w:hangingChars="200"/>
      <w:jc w:val="both"/>
    </w:pPr>
    <w:rPr>
      <w:rFonts w:ascii="Arial" w:hAnsi="Arial"/>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footnote reference"/>
    <w:basedOn w:val="15"/>
    <w:semiHidden/>
    <w:unhideWhenUsed/>
    <w:uiPriority w:val="99"/>
    <w:rPr>
      <w:vertAlign w:val="superscript"/>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customStyle="1" w:styleId="19">
    <w:name w:val="目录 11"/>
    <w:basedOn w:val="1"/>
    <w:qFormat/>
    <w:uiPriority w:val="1"/>
    <w:pPr>
      <w:spacing w:before="121"/>
      <w:ind w:left="820" w:hanging="720"/>
    </w:pPr>
    <w:rPr>
      <w:rFonts w:ascii="Times New Roman" w:hAnsi="Times New Roman" w:eastAsia="Times New Roman"/>
      <w:b/>
      <w:bCs/>
      <w:i/>
      <w:sz w:val="24"/>
      <w:szCs w:val="24"/>
    </w:rPr>
  </w:style>
  <w:style w:type="paragraph" w:customStyle="1" w:styleId="20">
    <w:name w:val="目录 21"/>
    <w:basedOn w:val="1"/>
    <w:qFormat/>
    <w:uiPriority w:val="1"/>
    <w:pPr>
      <w:spacing w:before="120"/>
      <w:ind w:left="820" w:hanging="480"/>
    </w:pPr>
    <w:rPr>
      <w:rFonts w:ascii="Times New Roman" w:hAnsi="Times New Roman" w:eastAsia="Times New Roman"/>
      <w:b/>
      <w:bCs/>
    </w:rPr>
  </w:style>
  <w:style w:type="paragraph" w:customStyle="1" w:styleId="21">
    <w:name w:val="标题 11"/>
    <w:basedOn w:val="1"/>
    <w:qFormat/>
    <w:uiPriority w:val="1"/>
    <w:pPr>
      <w:ind w:left="839" w:hanging="719"/>
      <w:outlineLvl w:val="1"/>
    </w:pPr>
    <w:rPr>
      <w:rFonts w:ascii="Times New Roman" w:hAnsi="Times New Roman" w:eastAsia="Times New Roman"/>
      <w:b/>
      <w:bCs/>
      <w:sz w:val="32"/>
      <w:szCs w:val="32"/>
    </w:rPr>
  </w:style>
  <w:style w:type="paragraph" w:customStyle="1" w:styleId="22">
    <w:name w:val="标题 21"/>
    <w:basedOn w:val="1"/>
    <w:qFormat/>
    <w:uiPriority w:val="1"/>
    <w:pPr>
      <w:ind w:left="1199" w:hanging="359"/>
      <w:outlineLvl w:val="2"/>
    </w:pPr>
    <w:rPr>
      <w:rFonts w:ascii="Times New Roman" w:hAnsi="Times New Roman" w:eastAsia="Times New Roman"/>
      <w:b/>
      <w:bCs/>
      <w:sz w:val="28"/>
      <w:szCs w:val="28"/>
    </w:rPr>
  </w:style>
  <w:style w:type="paragraph" w:customStyle="1" w:styleId="23">
    <w:name w:val="标题 31"/>
    <w:basedOn w:val="1"/>
    <w:qFormat/>
    <w:uiPriority w:val="1"/>
    <w:pPr>
      <w:ind w:left="1200" w:hanging="360"/>
      <w:outlineLvl w:val="3"/>
    </w:pPr>
    <w:rPr>
      <w:rFonts w:ascii="Times New Roman" w:hAnsi="Times New Roman" w:eastAsia="Times New Roman"/>
      <w:b/>
      <w:bCs/>
      <w:i/>
      <w:sz w:val="24"/>
      <w:szCs w:val="24"/>
    </w:rPr>
  </w:style>
  <w:style w:type="paragraph" w:styleId="24">
    <w:name w:val="List Paragraph"/>
    <w:basedOn w:val="1"/>
    <w:qFormat/>
    <w:uiPriority w:val="1"/>
  </w:style>
  <w:style w:type="paragraph" w:customStyle="1" w:styleId="25">
    <w:name w:val="Table Paragraph"/>
    <w:basedOn w:val="1"/>
    <w:qFormat/>
    <w:uiPriority w:val="1"/>
  </w:style>
  <w:style w:type="character" w:customStyle="1" w:styleId="26">
    <w:name w:val="页眉 Char"/>
    <w:basedOn w:val="15"/>
    <w:link w:val="9"/>
    <w:qFormat/>
    <w:uiPriority w:val="99"/>
    <w:rPr>
      <w:sz w:val="18"/>
      <w:szCs w:val="18"/>
    </w:rPr>
  </w:style>
  <w:style w:type="character" w:customStyle="1" w:styleId="27">
    <w:name w:val="页脚 Char"/>
    <w:basedOn w:val="15"/>
    <w:link w:val="8"/>
    <w:qFormat/>
    <w:uiPriority w:val="99"/>
    <w:rPr>
      <w:sz w:val="18"/>
      <w:szCs w:val="18"/>
    </w:rPr>
  </w:style>
  <w:style w:type="character" w:customStyle="1" w:styleId="28">
    <w:name w:val="批注框文本 Char"/>
    <w:basedOn w:val="15"/>
    <w:link w:val="7"/>
    <w:semiHidden/>
    <w:qFormat/>
    <w:uiPriority w:val="99"/>
    <w:rPr>
      <w:sz w:val="18"/>
      <w:szCs w:val="18"/>
    </w:rPr>
  </w:style>
  <w:style w:type="character" w:customStyle="1" w:styleId="29">
    <w:name w:val="脚注文本 Char"/>
    <w:basedOn w:val="15"/>
    <w:link w:val="11"/>
    <w:semiHidden/>
    <w:qFormat/>
    <w:uiPriority w:val="99"/>
    <w:rPr>
      <w:sz w:val="18"/>
      <w:szCs w:val="18"/>
    </w:rPr>
  </w:style>
  <w:style w:type="character" w:customStyle="1" w:styleId="30">
    <w:name w:val="标题 1 Char"/>
    <w:basedOn w:val="15"/>
    <w:link w:val="2"/>
    <w:qFormat/>
    <w:uiPriority w:val="9"/>
    <w:rPr>
      <w:b/>
      <w:bCs/>
      <w:kern w:val="44"/>
      <w:sz w:val="44"/>
      <w:szCs w:val="44"/>
    </w:rPr>
  </w:style>
  <w:style w:type="character" w:customStyle="1" w:styleId="31">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32">
    <w:name w:val="标题 3 Char"/>
    <w:basedOn w:val="15"/>
    <w:link w:val="4"/>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E2B431-7405-4254-99FD-46D9D47195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23329</Words>
  <Characters>25865</Characters>
  <Lines>375</Lines>
  <Paragraphs>105</Paragraphs>
  <TotalTime>1</TotalTime>
  <ScaleCrop>false</ScaleCrop>
  <LinksUpToDate>false</LinksUpToDate>
  <CharactersWithSpaces>26267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2017-11-17T12:24:00Z</dcterms:created>
  <dc:creator>Burns, Melissa</dc:creator>
  <cp:lastModifiedBy>太极箫客</cp:lastModifiedBy>
  <dcterms:modified xsi:type="dcterms:W3CDTF">2025-08-14T07:16:18Z</dcterms:modified>
  <dc:title>COMBINATION PRODUCTS CGMP COMPANION GUIDANCE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LastSaved">
    <vt:filetime>2017-09-28T00:00:00Z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71FAC3884E9F4001BA5B32793297D3EB_12</vt:lpwstr>
  </property>
</Properties>
</file>