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234A">
      <w:pPr>
        <w:autoSpaceDE/>
        <w:autoSpaceDN/>
        <w:snapToGrid w:val="0"/>
        <w:jc w:val="center"/>
        <w:rPr>
          <w:rFonts w:eastAsia="宋体"/>
          <w:b/>
          <w:snapToGrid w:val="0"/>
          <w:sz w:val="44"/>
          <w:lang w:eastAsia="zh-CN"/>
        </w:rPr>
      </w:pPr>
      <w:bookmarkStart w:id="53" w:name="_GoBack"/>
      <w:bookmarkEnd w:id="53"/>
    </w:p>
    <w:p w14:paraId="240DB5A7">
      <w:pPr>
        <w:autoSpaceDE/>
        <w:autoSpaceDN/>
        <w:snapToGrid w:val="0"/>
        <w:jc w:val="center"/>
        <w:rPr>
          <w:rFonts w:eastAsia="宋体"/>
          <w:b/>
          <w:snapToGrid w:val="0"/>
          <w:sz w:val="44"/>
          <w:lang w:eastAsia="zh-CN"/>
        </w:rPr>
      </w:pPr>
    </w:p>
    <w:p w14:paraId="1B44C47A">
      <w:pPr>
        <w:autoSpaceDE/>
        <w:autoSpaceDN/>
        <w:snapToGrid w:val="0"/>
        <w:jc w:val="center"/>
        <w:rPr>
          <w:rFonts w:eastAsia="宋体"/>
          <w:b/>
          <w:snapToGrid w:val="0"/>
          <w:sz w:val="44"/>
          <w:szCs w:val="44"/>
          <w:lang w:eastAsia="zh-CN"/>
        </w:rPr>
      </w:pPr>
      <w:r>
        <w:rPr>
          <w:rFonts w:hint="eastAsia" w:eastAsia="宋体"/>
          <w:b/>
          <w:snapToGrid w:val="0"/>
          <w:sz w:val="44"/>
          <w:lang w:eastAsia="zh-CN"/>
        </w:rPr>
        <w:t>组合产品上市后安全性报告</w:t>
      </w:r>
      <w:r>
        <w:rPr>
          <w:rFonts w:hint="eastAsia" w:eastAsia="宋体"/>
          <w:b/>
          <w:snapToGrid w:val="0"/>
          <w:sz w:val="44"/>
          <w:szCs w:val="44"/>
          <w:lang w:eastAsia="zh-CN"/>
        </w:rPr>
        <w:br w:type="textWrapping"/>
      </w:r>
      <w:r>
        <w:rPr>
          <w:rFonts w:hint="eastAsia" w:eastAsia="宋体"/>
          <w:b/>
          <w:snapToGrid w:val="0"/>
          <w:sz w:val="44"/>
          <w:lang w:eastAsia="zh-CN"/>
        </w:rPr>
        <w:t>面向行业和FDA工作人员的指南</w:t>
      </w:r>
    </w:p>
    <w:p w14:paraId="55DD257E">
      <w:pPr>
        <w:autoSpaceDE/>
        <w:autoSpaceDN/>
        <w:snapToGrid w:val="0"/>
        <w:jc w:val="center"/>
        <w:rPr>
          <w:rFonts w:eastAsia="宋体"/>
          <w:b/>
          <w:i/>
          <w:sz w:val="36"/>
          <w:lang w:eastAsia="zh-CN"/>
        </w:rPr>
      </w:pPr>
      <w:r>
        <w:rPr>
          <w:rFonts w:hint="eastAsia" w:eastAsia="宋体"/>
          <w:b/>
          <w:i/>
          <w:sz w:val="36"/>
          <w:lang w:eastAsia="zh-CN"/>
        </w:rPr>
        <w:t>最终指南</w:t>
      </w:r>
    </w:p>
    <w:p w14:paraId="24E14534">
      <w:pPr>
        <w:autoSpaceDE/>
        <w:autoSpaceDN/>
        <w:snapToGrid w:val="0"/>
        <w:jc w:val="center"/>
        <w:rPr>
          <w:rFonts w:eastAsia="宋体"/>
          <w:b/>
          <w:sz w:val="28"/>
          <w:lang w:eastAsia="zh-CN"/>
        </w:rPr>
      </w:pPr>
    </w:p>
    <w:p w14:paraId="6CE19328">
      <w:pPr>
        <w:autoSpaceDE/>
        <w:autoSpaceDN/>
        <w:snapToGrid w:val="0"/>
        <w:jc w:val="center"/>
        <w:rPr>
          <w:rFonts w:eastAsia="宋体"/>
          <w:b/>
          <w:sz w:val="28"/>
          <w:lang w:eastAsia="zh-CN"/>
        </w:rPr>
      </w:pPr>
    </w:p>
    <w:p w14:paraId="331BF9C4">
      <w:pPr>
        <w:autoSpaceDE/>
        <w:autoSpaceDN/>
        <w:snapToGrid w:val="0"/>
        <w:jc w:val="center"/>
        <w:rPr>
          <w:rFonts w:eastAsia="宋体"/>
          <w:b/>
          <w:snapToGrid w:val="0"/>
          <w:sz w:val="28"/>
          <w:szCs w:val="24"/>
          <w:lang w:eastAsia="zh-CN"/>
        </w:rPr>
      </w:pPr>
    </w:p>
    <w:p w14:paraId="6ACC5D63">
      <w:pPr>
        <w:autoSpaceDE/>
        <w:autoSpaceDN/>
        <w:snapToGrid w:val="0"/>
        <w:jc w:val="center"/>
        <w:rPr>
          <w:rFonts w:eastAsia="宋体"/>
          <w:b/>
          <w:snapToGrid w:val="0"/>
          <w:sz w:val="28"/>
          <w:szCs w:val="24"/>
          <w:lang w:eastAsia="zh-CN"/>
        </w:rPr>
      </w:pPr>
    </w:p>
    <w:p w14:paraId="1C0BBDA7">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其他副本可从以下地址获取：</w:t>
      </w:r>
    </w:p>
    <w:p w14:paraId="53B598CF">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美国食品药品监督管理局组合产品办公室</w:t>
      </w:r>
      <w:r>
        <w:rPr>
          <w:rFonts w:hint="eastAsia" w:eastAsia="宋体"/>
          <w:i/>
          <w:snapToGrid w:val="0"/>
          <w:sz w:val="24"/>
          <w:szCs w:val="24"/>
          <w:lang w:eastAsia="zh-CN"/>
        </w:rPr>
        <w:br w:type="textWrapping"/>
      </w:r>
      <w:r>
        <w:rPr>
          <w:rFonts w:hint="eastAsia" w:eastAsia="宋体"/>
          <w:i/>
          <w:snapToGrid w:val="0"/>
          <w:sz w:val="24"/>
          <w:szCs w:val="24"/>
          <w:lang w:eastAsia="zh-CN"/>
        </w:rPr>
        <w:t>WO32，Hub/Mail Room #5129</w:t>
      </w:r>
    </w:p>
    <w:p w14:paraId="71ED6173">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10903 New Hampshire Avenue</w:t>
      </w:r>
    </w:p>
    <w:p w14:paraId="5B81AC95">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Silver Spring, MD 20993</w:t>
      </w:r>
    </w:p>
    <w:p w14:paraId="4EC827E2">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（电话）301-796-8930</w:t>
      </w:r>
    </w:p>
    <w:p w14:paraId="79C7FA53">
      <w:pPr>
        <w:autoSpaceDE/>
        <w:autoSpaceDN/>
        <w:snapToGrid w:val="0"/>
        <w:jc w:val="center"/>
        <w:rPr>
          <w:rFonts w:eastAsia="宋体"/>
          <w:i/>
          <w:snapToGrid w:val="0"/>
          <w:sz w:val="24"/>
          <w:szCs w:val="24"/>
          <w:lang w:eastAsia="zh-CN"/>
        </w:rPr>
      </w:pPr>
      <w:r>
        <w:rPr>
          <w:rFonts w:hint="eastAsia" w:eastAsia="宋体"/>
          <w:i/>
          <w:snapToGrid w:val="0"/>
          <w:sz w:val="24"/>
          <w:szCs w:val="24"/>
          <w:lang w:eastAsia="zh-CN"/>
        </w:rPr>
        <w:t>（传真）301-847-8619</w:t>
      </w:r>
    </w:p>
    <w:p w14:paraId="308AE36B">
      <w:pPr>
        <w:autoSpaceDE/>
        <w:autoSpaceDN/>
        <w:snapToGrid w:val="0"/>
        <w:jc w:val="center"/>
        <w:rPr>
          <w:rFonts w:eastAsia="宋体"/>
          <w:color w:val="0000FF"/>
          <w:sz w:val="24"/>
          <w:u w:val="single" w:color="0000FF"/>
        </w:rPr>
      </w:pPr>
      <w:r>
        <w:fldChar w:fldCharType="begin"/>
      </w:r>
      <w:r>
        <w:instrText xml:space="preserve"> HYPERLINK "https://www.fda.gov/combination-products" \h </w:instrText>
      </w:r>
      <w:r>
        <w:fldChar w:fldCharType="separate"/>
      </w:r>
      <w:r>
        <w:rPr>
          <w:rFonts w:hint="eastAsia" w:eastAsia="宋体"/>
          <w:i/>
          <w:snapToGrid w:val="0"/>
          <w:color w:val="0000FF"/>
          <w:sz w:val="24"/>
          <w:szCs w:val="24"/>
          <w:u w:val="single" w:color="0000FF"/>
          <w:lang w:eastAsia="zh-CN"/>
        </w:rPr>
        <w:t>https://www.fda.gov/combination-products</w:t>
      </w:r>
      <w:r>
        <w:rPr>
          <w:rFonts w:hint="eastAsia" w:eastAsia="宋体"/>
          <w:i/>
          <w:snapToGrid w:val="0"/>
          <w:color w:val="0000FF"/>
          <w:sz w:val="24"/>
          <w:szCs w:val="24"/>
          <w:u w:val="single" w:color="0000FF"/>
          <w:lang w:eastAsia="zh-CN"/>
        </w:rPr>
        <w:fldChar w:fldCharType="end"/>
      </w:r>
    </w:p>
    <w:p w14:paraId="58FC3026">
      <w:pPr>
        <w:autoSpaceDE/>
        <w:autoSpaceDN/>
        <w:snapToGrid w:val="0"/>
        <w:jc w:val="center"/>
        <w:rPr>
          <w:rFonts w:eastAsia="宋体"/>
          <w:sz w:val="24"/>
        </w:rPr>
      </w:pPr>
    </w:p>
    <w:p w14:paraId="534620E7">
      <w:pPr>
        <w:pStyle w:val="7"/>
        <w:autoSpaceDE/>
        <w:autoSpaceDN/>
        <w:snapToGrid w:val="0"/>
        <w:jc w:val="center"/>
        <w:rPr>
          <w:rFonts w:eastAsia="宋体"/>
          <w:snapToGrid w:val="0"/>
          <w:lang w:eastAsia="zh-CN"/>
        </w:rPr>
      </w:pPr>
      <w:r>
        <w:rPr>
          <w:rFonts w:hint="eastAsia" w:eastAsia="宋体"/>
          <w:snapToGrid w:val="0"/>
          <w:lang w:eastAsia="zh-CN"/>
        </w:rPr>
        <w:t>如对本文件有疑问，请联系</w:t>
      </w:r>
      <w:r>
        <w:rPr>
          <w:rFonts w:hint="eastAsia" w:eastAsia="宋体"/>
          <w:snapToGrid w:val="0"/>
          <w:lang w:eastAsia="zh-CN"/>
        </w:rPr>
        <w:br w:type="textWrapping"/>
      </w:r>
      <w:r>
        <w:rPr>
          <w:rFonts w:hint="eastAsia" w:eastAsia="宋体"/>
          <w:snapToGrid w:val="0"/>
          <w:lang w:eastAsia="zh-CN"/>
        </w:rPr>
        <w:t>组合产品办公室（301-796-8930）或访问网址</w:t>
      </w:r>
      <w:r>
        <w:fldChar w:fldCharType="begin"/>
      </w:r>
      <w:r>
        <w:instrText xml:space="preserve"> HYPERLINK "mailto:combination@fda.gov" \h </w:instrText>
      </w:r>
      <w:r>
        <w:fldChar w:fldCharType="separate"/>
      </w:r>
      <w:r>
        <w:rPr>
          <w:rFonts w:hint="eastAsia" w:eastAsia="宋体"/>
          <w:snapToGrid w:val="0"/>
          <w:color w:val="0000FF"/>
          <w:u w:val="single" w:color="0000FF"/>
          <w:lang w:eastAsia="zh-CN"/>
        </w:rPr>
        <w:t>combination@fda.gov.</w:t>
      </w:r>
      <w:r>
        <w:rPr>
          <w:rFonts w:hint="eastAsia" w:eastAsia="宋体"/>
          <w:snapToGrid w:val="0"/>
          <w:color w:val="0000FF"/>
          <w:u w:val="single" w:color="0000FF"/>
          <w:lang w:eastAsia="zh-CN"/>
        </w:rPr>
        <w:fldChar w:fldCharType="end"/>
      </w:r>
    </w:p>
    <w:p w14:paraId="74D5D998">
      <w:pPr>
        <w:pStyle w:val="7"/>
        <w:autoSpaceDE/>
        <w:autoSpaceDN/>
        <w:snapToGrid w:val="0"/>
        <w:jc w:val="center"/>
        <w:rPr>
          <w:rFonts w:eastAsia="宋体"/>
          <w:snapToGrid w:val="0"/>
          <w:lang w:eastAsia="zh-CN"/>
        </w:rPr>
      </w:pPr>
    </w:p>
    <w:p w14:paraId="15760EEC">
      <w:pPr>
        <w:pStyle w:val="7"/>
        <w:autoSpaceDE/>
        <w:autoSpaceDN/>
        <w:snapToGrid w:val="0"/>
        <w:jc w:val="center"/>
        <w:rPr>
          <w:rFonts w:eastAsia="宋体"/>
          <w:snapToGrid w:val="0"/>
          <w:lang w:eastAsia="zh-CN"/>
        </w:rPr>
      </w:pPr>
    </w:p>
    <w:p w14:paraId="6D5805AC">
      <w:pPr>
        <w:pStyle w:val="7"/>
        <w:autoSpaceDE/>
        <w:autoSpaceDN/>
        <w:snapToGrid w:val="0"/>
        <w:jc w:val="center"/>
        <w:rPr>
          <w:rFonts w:eastAsia="宋体"/>
          <w:snapToGrid w:val="0"/>
          <w:lang w:eastAsia="zh-CN"/>
        </w:rPr>
      </w:pPr>
    </w:p>
    <w:p w14:paraId="16F15F8A">
      <w:pPr>
        <w:pStyle w:val="7"/>
        <w:autoSpaceDE/>
        <w:autoSpaceDN/>
        <w:snapToGrid w:val="0"/>
        <w:jc w:val="center"/>
        <w:rPr>
          <w:rFonts w:eastAsia="宋体"/>
          <w:snapToGrid w:val="0"/>
          <w:lang w:eastAsia="zh-CN"/>
        </w:rPr>
      </w:pPr>
    </w:p>
    <w:p w14:paraId="6AF03748">
      <w:pPr>
        <w:pStyle w:val="7"/>
        <w:autoSpaceDE/>
        <w:autoSpaceDN/>
        <w:snapToGrid w:val="0"/>
        <w:jc w:val="center"/>
        <w:rPr>
          <w:rFonts w:eastAsia="宋体"/>
          <w:snapToGrid w:val="0"/>
          <w:lang w:eastAsia="zh-CN"/>
        </w:rPr>
      </w:pPr>
    </w:p>
    <w:p w14:paraId="55A1F33F">
      <w:pPr>
        <w:pStyle w:val="7"/>
        <w:autoSpaceDE/>
        <w:autoSpaceDN/>
        <w:snapToGrid w:val="0"/>
        <w:jc w:val="center"/>
        <w:rPr>
          <w:rFonts w:eastAsia="宋体"/>
          <w:snapToGrid w:val="0"/>
          <w:lang w:eastAsia="zh-CN"/>
        </w:rPr>
      </w:pPr>
    </w:p>
    <w:p w14:paraId="22C8EBB2">
      <w:pPr>
        <w:pStyle w:val="7"/>
        <w:autoSpaceDE/>
        <w:autoSpaceDN/>
        <w:snapToGrid w:val="0"/>
        <w:jc w:val="center"/>
        <w:rPr>
          <w:rFonts w:eastAsia="宋体"/>
          <w:snapToGrid w:val="0"/>
          <w:lang w:eastAsia="zh-CN"/>
        </w:rPr>
      </w:pPr>
    </w:p>
    <w:p w14:paraId="12F7BCB4">
      <w:pPr>
        <w:pStyle w:val="7"/>
        <w:autoSpaceDE/>
        <w:autoSpaceDN/>
        <w:snapToGrid w:val="0"/>
        <w:jc w:val="center"/>
        <w:rPr>
          <w:rFonts w:eastAsia="宋体"/>
          <w:snapToGrid w:val="0"/>
          <w:lang w:eastAsia="zh-CN"/>
        </w:rPr>
      </w:pPr>
    </w:p>
    <w:p w14:paraId="756728E4">
      <w:pPr>
        <w:pStyle w:val="7"/>
        <w:autoSpaceDE/>
        <w:autoSpaceDN/>
        <w:snapToGrid w:val="0"/>
        <w:jc w:val="center"/>
        <w:rPr>
          <w:rFonts w:eastAsia="宋体"/>
          <w:snapToGrid w:val="0"/>
          <w:lang w:eastAsia="zh-CN"/>
        </w:rPr>
      </w:pPr>
    </w:p>
    <w:p w14:paraId="0B6C7789">
      <w:pPr>
        <w:pStyle w:val="7"/>
        <w:autoSpaceDE/>
        <w:autoSpaceDN/>
        <w:snapToGrid w:val="0"/>
        <w:jc w:val="center"/>
        <w:rPr>
          <w:rFonts w:eastAsia="宋体"/>
          <w:snapToGrid w:val="0"/>
          <w:lang w:eastAsia="zh-CN"/>
        </w:rPr>
      </w:pPr>
    </w:p>
    <w:p w14:paraId="6ECA119E">
      <w:pPr>
        <w:autoSpaceDE/>
        <w:autoSpaceDN/>
        <w:snapToGrid w:val="0"/>
        <w:jc w:val="center"/>
        <w:rPr>
          <w:rFonts w:eastAsia="宋体"/>
          <w:b/>
          <w:snapToGrid w:val="0"/>
          <w:sz w:val="24"/>
          <w:szCs w:val="24"/>
          <w:lang w:eastAsia="zh-CN"/>
        </w:rPr>
      </w:pPr>
      <w:r>
        <w:rPr>
          <w:rFonts w:hint="eastAsia" w:eastAsia="宋体"/>
          <w:b/>
          <w:snapToGrid w:val="0"/>
          <w:sz w:val="24"/>
          <w:szCs w:val="24"/>
          <w:lang w:eastAsia="zh-CN"/>
        </w:rPr>
        <w:t>美国卫生与公共服务部</w:t>
      </w:r>
    </w:p>
    <w:p w14:paraId="4F950EA8">
      <w:pPr>
        <w:autoSpaceDE/>
        <w:autoSpaceDN/>
        <w:snapToGrid w:val="0"/>
        <w:jc w:val="center"/>
        <w:rPr>
          <w:rFonts w:eastAsia="宋体"/>
          <w:b/>
          <w:snapToGrid w:val="0"/>
          <w:sz w:val="24"/>
          <w:szCs w:val="24"/>
          <w:lang w:eastAsia="zh-CN"/>
        </w:rPr>
      </w:pPr>
      <w:r>
        <w:rPr>
          <w:rFonts w:hint="eastAsia" w:eastAsia="宋体"/>
          <w:b/>
          <w:snapToGrid w:val="0"/>
          <w:sz w:val="24"/>
          <w:szCs w:val="24"/>
          <w:lang w:eastAsia="zh-CN"/>
        </w:rPr>
        <w:t>美国食品药品监督管理局</w:t>
      </w:r>
    </w:p>
    <w:p w14:paraId="3CB296C6">
      <w:pPr>
        <w:autoSpaceDE/>
        <w:autoSpaceDN/>
        <w:snapToGrid w:val="0"/>
        <w:jc w:val="center"/>
        <w:rPr>
          <w:rFonts w:eastAsia="宋体"/>
          <w:b/>
          <w:snapToGrid w:val="0"/>
          <w:sz w:val="24"/>
          <w:szCs w:val="24"/>
          <w:lang w:eastAsia="zh-CN"/>
        </w:rPr>
      </w:pPr>
      <w:r>
        <w:rPr>
          <w:rFonts w:hint="eastAsia" w:eastAsia="宋体"/>
          <w:b/>
          <w:snapToGrid w:val="0"/>
          <w:sz w:val="24"/>
          <w:lang w:eastAsia="zh-CN"/>
        </w:rPr>
        <w:t>组合产品办公室（OCP）</w:t>
      </w:r>
    </w:p>
    <w:p w14:paraId="2A3E8021">
      <w:pPr>
        <w:autoSpaceDE/>
        <w:autoSpaceDN/>
        <w:snapToGrid w:val="0"/>
        <w:jc w:val="center"/>
        <w:rPr>
          <w:rFonts w:eastAsia="宋体"/>
          <w:b/>
          <w:snapToGrid w:val="0"/>
          <w:sz w:val="24"/>
          <w:szCs w:val="24"/>
          <w:lang w:eastAsia="zh-CN"/>
        </w:rPr>
      </w:pPr>
      <w:r>
        <w:rPr>
          <w:rFonts w:hint="eastAsia" w:eastAsia="宋体"/>
          <w:b/>
          <w:snapToGrid w:val="0"/>
          <w:sz w:val="24"/>
          <w:lang w:eastAsia="zh-CN"/>
        </w:rPr>
        <w:t>生物制品评价与研究中心（CBER）</w:t>
      </w:r>
    </w:p>
    <w:p w14:paraId="459D8E77">
      <w:pPr>
        <w:autoSpaceDE/>
        <w:autoSpaceDN/>
        <w:snapToGrid w:val="0"/>
        <w:jc w:val="center"/>
        <w:rPr>
          <w:rFonts w:eastAsia="宋体"/>
          <w:b/>
          <w:snapToGrid w:val="0"/>
          <w:sz w:val="24"/>
          <w:szCs w:val="24"/>
          <w:lang w:eastAsia="zh-CN"/>
        </w:rPr>
      </w:pPr>
      <w:r>
        <w:rPr>
          <w:rFonts w:hint="eastAsia" w:eastAsia="宋体"/>
          <w:b/>
          <w:snapToGrid w:val="0"/>
          <w:sz w:val="24"/>
          <w:lang w:eastAsia="zh-CN"/>
        </w:rPr>
        <w:t>药品评价与研究中心（CDER）</w:t>
      </w:r>
    </w:p>
    <w:p w14:paraId="681C6527">
      <w:pPr>
        <w:autoSpaceDE/>
        <w:autoSpaceDN/>
        <w:snapToGrid w:val="0"/>
        <w:jc w:val="center"/>
        <w:rPr>
          <w:rFonts w:eastAsia="宋体"/>
          <w:b/>
          <w:snapToGrid w:val="0"/>
          <w:sz w:val="24"/>
          <w:szCs w:val="24"/>
          <w:lang w:eastAsia="zh-CN"/>
        </w:rPr>
      </w:pPr>
      <w:r>
        <w:rPr>
          <w:rFonts w:hint="eastAsia" w:eastAsia="宋体"/>
          <w:b/>
          <w:snapToGrid w:val="0"/>
          <w:sz w:val="24"/>
          <w:lang w:eastAsia="zh-CN"/>
        </w:rPr>
        <w:t>医疗器械和辐射健康中心（CDRH）</w:t>
      </w:r>
    </w:p>
    <w:p w14:paraId="7C580255">
      <w:pPr>
        <w:autoSpaceDE/>
        <w:autoSpaceDN/>
        <w:snapToGrid w:val="0"/>
        <w:jc w:val="center"/>
        <w:rPr>
          <w:rFonts w:eastAsia="宋体"/>
          <w:b/>
          <w:snapToGrid w:val="0"/>
          <w:sz w:val="24"/>
          <w:lang w:eastAsia="zh-CN"/>
        </w:rPr>
      </w:pPr>
    </w:p>
    <w:p w14:paraId="3D9458EC">
      <w:pPr>
        <w:autoSpaceDE/>
        <w:autoSpaceDN/>
        <w:snapToGrid w:val="0"/>
        <w:jc w:val="center"/>
        <w:rPr>
          <w:rFonts w:eastAsia="宋体"/>
          <w:b/>
          <w:snapToGrid w:val="0"/>
          <w:sz w:val="24"/>
          <w:lang w:eastAsia="zh-CN"/>
        </w:rPr>
      </w:pPr>
    </w:p>
    <w:p w14:paraId="05A3C55B">
      <w:pPr>
        <w:autoSpaceDE/>
        <w:autoSpaceDN/>
        <w:snapToGrid w:val="0"/>
        <w:jc w:val="center"/>
        <w:rPr>
          <w:rFonts w:eastAsia="宋体"/>
          <w:b/>
          <w:snapToGrid w:val="0"/>
          <w:sz w:val="24"/>
          <w:szCs w:val="24"/>
          <w:lang w:eastAsia="zh-CN"/>
        </w:rPr>
      </w:pPr>
      <w:r>
        <w:rPr>
          <w:rFonts w:hint="eastAsia" w:eastAsia="宋体"/>
          <w:b/>
          <w:snapToGrid w:val="0"/>
          <w:sz w:val="24"/>
          <w:lang w:eastAsia="zh-CN"/>
        </w:rPr>
        <w:t>2019年7月</w:t>
      </w:r>
    </w:p>
    <w:p w14:paraId="4816A52D">
      <w:pPr>
        <w:autoSpaceDE/>
        <w:autoSpaceDN/>
        <w:snapToGrid w:val="0"/>
        <w:jc w:val="both"/>
        <w:rPr>
          <w:rFonts w:eastAsia="宋体"/>
          <w:b/>
          <w:snapToGrid w:val="0"/>
          <w:sz w:val="24"/>
          <w:szCs w:val="24"/>
          <w:lang w:eastAsia="zh-CN"/>
        </w:rPr>
        <w:sectPr>
          <w:headerReference r:id="rId4" w:type="default"/>
          <w:pgSz w:w="11907" w:h="16840"/>
          <w:pgMar w:top="1134" w:right="1134" w:bottom="1134" w:left="1418" w:header="567" w:footer="567" w:gutter="0"/>
          <w:cols w:space="720" w:num="1"/>
          <w:docGrid w:linePitch="299" w:charSpace="0"/>
        </w:sectPr>
      </w:pPr>
    </w:p>
    <w:p w14:paraId="6D8E8FF9">
      <w:pPr>
        <w:autoSpaceDE/>
        <w:autoSpaceDN/>
        <w:snapToGrid w:val="0"/>
        <w:jc w:val="center"/>
        <w:rPr>
          <w:rFonts w:eastAsia="宋体"/>
          <w:b/>
          <w:sz w:val="28"/>
        </w:rPr>
      </w:pPr>
      <w:r>
        <w:rPr>
          <w:rFonts w:hint="eastAsia" w:eastAsia="宋体"/>
          <w:b/>
          <w:sz w:val="28"/>
        </w:rPr>
        <w:t>目录</w:t>
      </w:r>
    </w:p>
    <w:p w14:paraId="0822596C">
      <w:pPr>
        <w:autoSpaceDE/>
        <w:autoSpaceDN/>
        <w:snapToGrid w:val="0"/>
        <w:jc w:val="center"/>
        <w:rPr>
          <w:rFonts w:eastAsia="宋体"/>
          <w:b/>
          <w:snapToGrid w:val="0"/>
          <w:sz w:val="32"/>
          <w:szCs w:val="24"/>
          <w:lang w:eastAsia="zh-CN"/>
        </w:rPr>
      </w:pPr>
    </w:p>
    <w:p w14:paraId="1BB88AE6">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rPr>
          <w:rFonts w:hint="eastAsia"/>
          <w:b w:val="0"/>
        </w:rPr>
        <w:fldChar w:fldCharType="begin"/>
      </w:r>
      <w:r>
        <w:rPr>
          <w:rFonts w:hint="eastAsia"/>
          <w:b w:val="0"/>
          <w:bCs w:val="0"/>
          <w:snapToGrid w:val="0"/>
          <w:lang w:eastAsia="zh-CN" w:bidi="ar-SA"/>
        </w:rPr>
        <w:instrText xml:space="preserve"> TOC \o "1-2" \h \z \u </w:instrText>
      </w:r>
      <w:r>
        <w:rPr>
          <w:rFonts w:hint="eastAsia"/>
          <w:b w:val="0"/>
        </w:rPr>
        <w:fldChar w:fldCharType="separate"/>
      </w:r>
      <w:r>
        <w:fldChar w:fldCharType="begin"/>
      </w:r>
      <w:r>
        <w:instrText xml:space="preserve"> HYPERLINK \l "_Toc97551494" </w:instrText>
      </w:r>
      <w:r>
        <w:fldChar w:fldCharType="separate"/>
      </w:r>
      <w:r>
        <w:rPr>
          <w:rStyle w:val="20"/>
          <w:rFonts w:hint="eastAsia"/>
          <w:snapToGrid w:val="0"/>
          <w:lang w:eastAsia="zh-CN"/>
        </w:rPr>
        <w:t>I.</w:t>
      </w:r>
      <w:r>
        <w:rPr>
          <w:rFonts w:hint="eastAsia" w:ascii="Calibri" w:hAnsi="Calibri"/>
          <w:b w:val="0"/>
          <w:bCs w:val="0"/>
          <w:i w:val="0"/>
          <w:kern w:val="2"/>
          <w:sz w:val="21"/>
          <w:szCs w:val="22"/>
          <w:lang w:eastAsia="zh-CN" w:bidi="ar-SA"/>
        </w:rPr>
        <w:tab/>
      </w:r>
      <w:r>
        <w:rPr>
          <w:rStyle w:val="20"/>
          <w:rFonts w:hint="eastAsia"/>
          <w:snapToGrid w:val="0"/>
          <w:lang w:eastAsia="zh-CN"/>
        </w:rPr>
        <w:t>引言</w:t>
      </w:r>
      <w:r>
        <w:rPr>
          <w:rFonts w:hint="eastAsia"/>
          <w:lang w:eastAsia="zh-CN"/>
        </w:rPr>
        <w:tab/>
      </w:r>
      <w:r>
        <w:rPr>
          <w:rFonts w:hint="eastAsia"/>
          <w:lang w:eastAsia="zh-CN"/>
        </w:rPr>
        <w:fldChar w:fldCharType="begin"/>
      </w:r>
      <w:r>
        <w:rPr>
          <w:rFonts w:hint="eastAsia"/>
          <w:lang w:eastAsia="zh-CN"/>
        </w:rPr>
        <w:instrText xml:space="preserve"> PAGEREF _Toc97551494 \h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fldChar w:fldCharType="end"/>
      </w:r>
    </w:p>
    <w:p w14:paraId="02E6E0B6">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"_Toc97551495" </w:instrText>
      </w:r>
      <w:r>
        <w:fldChar w:fldCharType="separate"/>
      </w:r>
      <w:r>
        <w:rPr>
          <w:rStyle w:val="20"/>
          <w:rFonts w:hint="eastAsia"/>
          <w:snapToGrid w:val="0"/>
          <w:lang w:eastAsia="zh-CN"/>
        </w:rPr>
        <w:t>II.</w:t>
      </w:r>
      <w:r>
        <w:rPr>
          <w:rFonts w:hint="eastAsia" w:ascii="Calibri" w:hAnsi="Calibri"/>
          <w:b w:val="0"/>
          <w:bCs w:val="0"/>
          <w:i w:val="0"/>
          <w:kern w:val="2"/>
          <w:sz w:val="21"/>
          <w:szCs w:val="22"/>
          <w:lang w:eastAsia="zh-CN" w:bidi="ar-SA"/>
        </w:rPr>
        <w:tab/>
      </w:r>
      <w:r>
        <w:rPr>
          <w:rStyle w:val="20"/>
          <w:rFonts w:hint="eastAsia"/>
          <w:snapToGrid w:val="0"/>
          <w:lang w:eastAsia="zh-CN"/>
        </w:rPr>
        <w:t>背景</w:t>
      </w:r>
      <w:r>
        <w:rPr>
          <w:rFonts w:hint="eastAsia"/>
          <w:lang w:eastAsia="zh-CN"/>
        </w:rPr>
        <w:tab/>
      </w:r>
      <w:r>
        <w:rPr>
          <w:rFonts w:hint="eastAsia"/>
          <w:lang w:eastAsia="zh-CN"/>
        </w:rPr>
        <w:fldChar w:fldCharType="begin"/>
      </w:r>
      <w:r>
        <w:rPr>
          <w:rFonts w:hint="eastAsia"/>
          <w:lang w:eastAsia="zh-CN"/>
        </w:rPr>
        <w:instrText xml:space="preserve"> PAGEREF _Toc97551495 \h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fldChar w:fldCharType="end"/>
      </w:r>
    </w:p>
    <w:p w14:paraId="3FB91853">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"_Toc97551496" </w:instrText>
      </w:r>
      <w:r>
        <w:fldChar w:fldCharType="separate"/>
      </w:r>
      <w:r>
        <w:rPr>
          <w:rStyle w:val="20"/>
          <w:rFonts w:hint="eastAsia"/>
          <w:snapToGrid w:val="0"/>
          <w:lang w:eastAsia="zh-CN"/>
        </w:rPr>
        <w:t>A.</w:t>
      </w:r>
      <w:r>
        <w:rPr>
          <w:rFonts w:hint="eastAsia" w:ascii="Calibri" w:hAnsi="Calibri"/>
          <w:b w:val="0"/>
          <w:bCs w:val="0"/>
          <w:kern w:val="2"/>
          <w:sz w:val="21"/>
          <w:lang w:eastAsia="zh-CN" w:bidi="ar-SA"/>
        </w:rPr>
        <w:tab/>
      </w:r>
      <w:r>
        <w:rPr>
          <w:rStyle w:val="20"/>
          <w:rFonts w:hint="eastAsia"/>
          <w:snapToGrid w:val="0"/>
          <w:lang w:eastAsia="zh-CN"/>
        </w:rPr>
        <w:t>组合产品定义？</w:t>
      </w:r>
      <w:r>
        <w:rPr>
          <w:rFonts w:hint="eastAsia"/>
          <w:lang w:eastAsia="zh-CN"/>
        </w:rPr>
        <w:tab/>
      </w:r>
      <w:r>
        <w:rPr>
          <w:rFonts w:hint="eastAsia"/>
          <w:lang w:eastAsia="zh-CN"/>
        </w:rPr>
        <w:fldChar w:fldCharType="begin"/>
      </w:r>
      <w:r>
        <w:rPr>
          <w:rFonts w:hint="eastAsia"/>
          <w:lang w:eastAsia="zh-CN"/>
        </w:rPr>
        <w:instrText xml:space="preserve"> PAGEREF _Toc97551496 \h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fldChar w:fldCharType="end"/>
      </w:r>
    </w:p>
    <w:p w14:paraId="30B5142A">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"_Toc97551497" </w:instrText>
      </w:r>
      <w:r>
        <w:fldChar w:fldCharType="separate"/>
      </w:r>
      <w:r>
        <w:rPr>
          <w:rStyle w:val="20"/>
          <w:rFonts w:hint="eastAsia"/>
          <w:snapToGrid w:val="0"/>
          <w:lang w:eastAsia="zh-CN"/>
        </w:rPr>
        <w:t>B.</w:t>
      </w:r>
      <w:r>
        <w:rPr>
          <w:rFonts w:hint="eastAsia" w:ascii="Calibri" w:hAnsi="Calibri"/>
          <w:b w:val="0"/>
          <w:bCs w:val="0"/>
          <w:kern w:val="2"/>
          <w:sz w:val="21"/>
          <w:lang w:eastAsia="zh-CN" w:bidi="ar-SA"/>
        </w:rPr>
        <w:tab/>
      </w:r>
      <w:r>
        <w:rPr>
          <w:rStyle w:val="20"/>
          <w:rFonts w:hint="eastAsia"/>
          <w:snapToGrid w:val="0"/>
          <w:lang w:eastAsia="zh-CN"/>
        </w:rPr>
        <w:t>FDA审查和监管组合产品的方式？</w:t>
      </w:r>
      <w:r>
        <w:rPr>
          <w:rFonts w:hint="eastAsia"/>
          <w:lang w:eastAsia="zh-CN"/>
        </w:rPr>
        <w:tab/>
      </w:r>
      <w:r>
        <w:rPr>
          <w:rFonts w:hint="eastAsia"/>
          <w:lang w:eastAsia="zh-CN"/>
        </w:rPr>
        <w:fldChar w:fldCharType="begin"/>
      </w:r>
      <w:r>
        <w:rPr>
          <w:rFonts w:hint="eastAsia"/>
          <w:lang w:eastAsia="zh-CN"/>
        </w:rPr>
        <w:instrText xml:space="preserve"> PAGEREF _Toc97551497 \h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fldChar w:fldCharType="end"/>
      </w:r>
    </w:p>
    <w:p w14:paraId="30D236A9">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"_Toc97551498" </w:instrText>
      </w:r>
      <w:r>
        <w:fldChar w:fldCharType="separate"/>
      </w:r>
      <w:r>
        <w:rPr>
          <w:rStyle w:val="20"/>
          <w:rFonts w:hint="eastAsia"/>
          <w:snapToGrid w:val="0"/>
          <w:lang w:eastAsia="zh-CN"/>
        </w:rPr>
        <w:t>III.</w:t>
      </w:r>
      <w:r>
        <w:rPr>
          <w:rFonts w:hint="eastAsia" w:ascii="Calibri" w:hAnsi="Calibri"/>
          <w:b w:val="0"/>
          <w:bCs w:val="0"/>
          <w:i w:val="0"/>
          <w:kern w:val="2"/>
          <w:sz w:val="21"/>
          <w:szCs w:val="22"/>
          <w:lang w:eastAsia="zh-CN" w:bidi="ar-SA"/>
        </w:rPr>
        <w:tab/>
      </w:r>
      <w:r>
        <w:rPr>
          <w:rStyle w:val="20"/>
          <w:rFonts w:hint="eastAsia"/>
          <w:snapToGrid w:val="0"/>
          <w:lang w:eastAsia="zh-CN"/>
        </w:rPr>
        <w:t>组合产品PMSR合规性的一般考虑因素</w:t>
      </w:r>
      <w:r>
        <w:rPr>
          <w:rFonts w:hint="eastAsia"/>
          <w:lang w:eastAsia="zh-CN"/>
        </w:rPr>
        <w:tab/>
      </w:r>
      <w:r>
        <w:rPr>
          <w:rFonts w:hint="eastAsia"/>
          <w:lang w:eastAsia="zh-CN"/>
        </w:rPr>
        <w:fldChar w:fldCharType="begin"/>
      </w:r>
      <w:r>
        <w:rPr>
          <w:rFonts w:hint="eastAsia"/>
          <w:lang w:eastAsia="zh-CN"/>
        </w:rPr>
        <w:instrText xml:space="preserve"> PAGEREF _Toc97551498 \h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fldChar w:fldCharType="end"/>
      </w:r>
    </w:p>
    <w:p w14:paraId="26D85C98">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"_Toc97551499" </w:instrText>
      </w:r>
      <w:r>
        <w:fldChar w:fldCharType="separate"/>
      </w:r>
      <w:r>
        <w:rPr>
          <w:rStyle w:val="20"/>
          <w:rFonts w:hint="eastAsia"/>
          <w:snapToGrid w:val="0"/>
          <w:lang w:eastAsia="zh-CN"/>
        </w:rPr>
        <w:t>A.</w:t>
      </w:r>
      <w:r>
        <w:rPr>
          <w:rFonts w:hint="eastAsia" w:ascii="Calibri" w:hAnsi="Calibri"/>
          <w:b w:val="0"/>
          <w:bCs w:val="0"/>
          <w:kern w:val="2"/>
          <w:sz w:val="21"/>
          <w:lang w:eastAsia="zh-CN" w:bidi="ar-SA"/>
        </w:rPr>
        <w:tab/>
      </w:r>
      <w:r>
        <w:rPr>
          <w:rStyle w:val="20"/>
          <w:rFonts w:hint="eastAsia"/>
          <w:snapToGrid w:val="0"/>
          <w:lang w:eastAsia="zh-CN"/>
        </w:rPr>
        <w:t>组合产品PMSR最终规则的约束方？</w:t>
      </w:r>
      <w:r>
        <w:rPr>
          <w:rFonts w:hint="eastAsia"/>
          <w:lang w:eastAsia="zh-CN"/>
        </w:rPr>
        <w:tab/>
      </w:r>
      <w:r>
        <w:rPr>
          <w:rFonts w:hint="eastAsia"/>
          <w:lang w:eastAsia="zh-CN"/>
        </w:rPr>
        <w:fldChar w:fldCharType="begin"/>
      </w:r>
      <w:r>
        <w:rPr>
          <w:rFonts w:hint="eastAsia"/>
          <w:lang w:eastAsia="zh-CN"/>
        </w:rPr>
        <w:instrText xml:space="preserve"> PAGEREF _Toc97551499 \h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14:paraId="4FA2B0FA">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"_Toc97551500" </w:instrText>
      </w:r>
      <w:r>
        <w:fldChar w:fldCharType="separate"/>
      </w:r>
      <w:r>
        <w:rPr>
          <w:rStyle w:val="20"/>
          <w:rFonts w:hint="eastAsia"/>
          <w:snapToGrid w:val="0"/>
          <w:lang w:eastAsia="zh-CN"/>
        </w:rPr>
        <w:t>B.</w:t>
      </w:r>
      <w:r>
        <w:rPr>
          <w:rFonts w:hint="eastAsia" w:ascii="Calibri" w:hAnsi="Calibri"/>
          <w:b w:val="0"/>
          <w:bCs w:val="0"/>
          <w:kern w:val="2"/>
          <w:sz w:val="21"/>
          <w:lang w:eastAsia="zh-CN" w:bidi="ar-SA"/>
        </w:rPr>
        <w:tab/>
      </w:r>
      <w:r>
        <w:rPr>
          <w:rStyle w:val="20"/>
          <w:rFonts w:hint="eastAsia"/>
          <w:snapToGrid w:val="0"/>
          <w:lang w:eastAsia="zh-CN"/>
        </w:rPr>
        <w:t>如果我是组合产品申请人或组成部分申请人，有何种安全报告要求适用？</w:t>
      </w:r>
      <w:r>
        <w:rPr>
          <w:rFonts w:hint="eastAsia"/>
          <w:lang w:eastAsia="zh-CN"/>
        </w:rPr>
        <w:tab/>
      </w:r>
      <w:r>
        <w:rPr>
          <w:rFonts w:hint="eastAsia"/>
          <w:lang w:eastAsia="zh-CN"/>
        </w:rPr>
        <w:fldChar w:fldCharType="begin"/>
      </w:r>
      <w:r>
        <w:rPr>
          <w:rFonts w:hint="eastAsia"/>
          <w:lang w:eastAsia="zh-CN"/>
        </w:rPr>
        <w:instrText xml:space="preserve"> PAGEREF _Toc97551500 \h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14:paraId="6B800AD4">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"_Toc97551501" </w:instrText>
      </w:r>
      <w:r>
        <w:fldChar w:fldCharType="separate"/>
      </w:r>
      <w:r>
        <w:rPr>
          <w:rStyle w:val="20"/>
          <w:rFonts w:hint="eastAsia"/>
          <w:snapToGrid w:val="0"/>
          <w:lang w:eastAsia="zh-CN"/>
        </w:rPr>
        <w:t>IV.</w:t>
      </w:r>
      <w:r>
        <w:rPr>
          <w:rFonts w:hint="eastAsia" w:ascii="Calibri" w:hAnsi="Calibri"/>
          <w:b w:val="0"/>
          <w:bCs w:val="0"/>
          <w:i w:val="0"/>
          <w:kern w:val="2"/>
          <w:sz w:val="21"/>
          <w:szCs w:val="22"/>
          <w:lang w:eastAsia="zh-CN" w:bidi="ar-SA"/>
        </w:rPr>
        <w:tab/>
      </w:r>
      <w:r>
        <w:rPr>
          <w:rStyle w:val="20"/>
          <w:rFonts w:hint="eastAsia"/>
          <w:snapToGrid w:val="0"/>
          <w:lang w:eastAsia="zh-CN"/>
        </w:rPr>
        <w:t>具体PMSR要求</w:t>
      </w:r>
      <w:r>
        <w:rPr>
          <w:rFonts w:hint="eastAsia"/>
          <w:lang w:eastAsia="zh-CN"/>
        </w:rPr>
        <w:tab/>
      </w:r>
      <w:r>
        <w:rPr>
          <w:rFonts w:hint="eastAsia"/>
          <w:lang w:eastAsia="zh-CN"/>
        </w:rPr>
        <w:fldChar w:fldCharType="begin"/>
      </w:r>
      <w:r>
        <w:rPr>
          <w:rFonts w:hint="eastAsia"/>
          <w:lang w:eastAsia="zh-CN"/>
        </w:rPr>
        <w:instrText xml:space="preserve"> PAGEREF _Toc97551501 \h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fldChar w:fldCharType="end"/>
      </w:r>
    </w:p>
    <w:p w14:paraId="37E0CAB8">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"_Toc97551502" </w:instrText>
      </w:r>
      <w:r>
        <w:fldChar w:fldCharType="separate"/>
      </w:r>
      <w:r>
        <w:rPr>
          <w:rStyle w:val="20"/>
          <w:rFonts w:hint="eastAsia"/>
          <w:snapToGrid w:val="0"/>
          <w:lang w:eastAsia="zh-CN"/>
        </w:rPr>
        <w:t>A.</w:t>
      </w:r>
      <w:r>
        <w:rPr>
          <w:rFonts w:hint="eastAsia" w:ascii="Calibri" w:hAnsi="Calibri"/>
          <w:b w:val="0"/>
          <w:bCs w:val="0"/>
          <w:kern w:val="2"/>
          <w:sz w:val="21"/>
          <w:lang w:eastAsia="zh-CN" w:bidi="ar-SA"/>
        </w:rPr>
        <w:tab/>
      </w:r>
      <w:r>
        <w:rPr>
          <w:rStyle w:val="20"/>
          <w:rFonts w:hint="eastAsia"/>
          <w:snapToGrid w:val="0"/>
          <w:lang w:eastAsia="zh-CN"/>
        </w:rPr>
        <w:t>组合产品申请人个例安全性报告</w:t>
      </w:r>
      <w:r>
        <w:rPr>
          <w:rFonts w:hint="eastAsia"/>
          <w:lang w:eastAsia="zh-CN"/>
        </w:rPr>
        <w:tab/>
      </w:r>
      <w:r>
        <w:rPr>
          <w:rFonts w:hint="eastAsia"/>
          <w:lang w:eastAsia="zh-CN"/>
        </w:rPr>
        <w:fldChar w:fldCharType="begin"/>
      </w:r>
      <w:r>
        <w:rPr>
          <w:rFonts w:hint="eastAsia"/>
          <w:lang w:eastAsia="zh-CN"/>
        </w:rPr>
        <w:instrText xml:space="preserve"> PAGEREF _Toc97551502 \h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fldChar w:fldCharType="end"/>
      </w:r>
    </w:p>
    <w:p w14:paraId="7128B53D">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"_Toc97551503" </w:instrText>
      </w:r>
      <w:r>
        <w:fldChar w:fldCharType="separate"/>
      </w:r>
      <w:r>
        <w:rPr>
          <w:rStyle w:val="20"/>
          <w:rFonts w:hint="eastAsia"/>
          <w:snapToGrid w:val="0"/>
          <w:lang w:eastAsia="zh-CN"/>
        </w:rPr>
        <w:t>B.</w:t>
      </w:r>
      <w:r>
        <w:rPr>
          <w:rFonts w:hint="eastAsia" w:ascii="Calibri" w:hAnsi="Calibri"/>
          <w:b w:val="0"/>
          <w:bCs w:val="0"/>
          <w:kern w:val="2"/>
          <w:sz w:val="21"/>
          <w:lang w:eastAsia="zh-CN" w:bidi="ar-SA"/>
        </w:rPr>
        <w:tab/>
      </w:r>
      <w:r>
        <w:rPr>
          <w:rStyle w:val="20"/>
          <w:rFonts w:hint="eastAsia"/>
          <w:snapToGrid w:val="0"/>
          <w:lang w:eastAsia="zh-CN"/>
        </w:rPr>
        <w:t>组合产品申请人的其他（非ICSR）组合产品PMSR报告类型</w:t>
      </w:r>
      <w:r>
        <w:rPr>
          <w:rFonts w:hint="eastAsia"/>
          <w:lang w:eastAsia="zh-CN"/>
        </w:rPr>
        <w:tab/>
      </w:r>
      <w:r>
        <w:rPr>
          <w:rFonts w:hint="eastAsia"/>
          <w:lang w:eastAsia="zh-CN"/>
        </w:rPr>
        <w:fldChar w:fldCharType="begin"/>
      </w:r>
      <w:r>
        <w:rPr>
          <w:rFonts w:hint="eastAsia"/>
          <w:lang w:eastAsia="zh-CN"/>
        </w:rPr>
        <w:instrText xml:space="preserve"> PAGEREF _Toc97551503 \h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fldChar w:fldCharType="end"/>
      </w:r>
    </w:p>
    <w:p w14:paraId="6A1C139B">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"_Toc97551504" </w:instrText>
      </w:r>
      <w:r>
        <w:fldChar w:fldCharType="separate"/>
      </w:r>
      <w:r>
        <w:rPr>
          <w:rStyle w:val="20"/>
          <w:rFonts w:hint="eastAsia"/>
          <w:snapToGrid w:val="0"/>
          <w:lang w:eastAsia="zh-CN"/>
        </w:rPr>
        <w:t>C.</w:t>
      </w:r>
      <w:r>
        <w:rPr>
          <w:rFonts w:hint="eastAsia" w:ascii="Calibri" w:hAnsi="Calibri"/>
          <w:b w:val="0"/>
          <w:bCs w:val="0"/>
          <w:kern w:val="2"/>
          <w:sz w:val="21"/>
          <w:lang w:eastAsia="zh-CN" w:bidi="ar-SA"/>
        </w:rPr>
        <w:tab/>
      </w:r>
      <w:r>
        <w:rPr>
          <w:rStyle w:val="20"/>
          <w:rFonts w:hint="eastAsia"/>
          <w:snapToGrid w:val="0"/>
          <w:lang w:eastAsia="zh-CN"/>
        </w:rPr>
        <w:t>组合产品申请人的简化报告</w:t>
      </w:r>
      <w:r>
        <w:rPr>
          <w:rFonts w:hint="eastAsia"/>
          <w:lang w:eastAsia="zh-CN"/>
        </w:rPr>
        <w:tab/>
      </w:r>
      <w:r>
        <w:rPr>
          <w:rFonts w:hint="eastAsia"/>
          <w:lang w:eastAsia="zh-CN"/>
        </w:rPr>
        <w:fldChar w:fldCharType="begin"/>
      </w:r>
      <w:r>
        <w:rPr>
          <w:rFonts w:hint="eastAsia"/>
          <w:lang w:eastAsia="zh-CN"/>
        </w:rPr>
        <w:instrText xml:space="preserve"> PAGEREF _Toc97551504 \h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fldChar w:fldCharType="end"/>
      </w:r>
    </w:p>
    <w:p w14:paraId="50D540F9">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"_Toc97551505" </w:instrText>
      </w:r>
      <w:r>
        <w:fldChar w:fldCharType="separate"/>
      </w:r>
      <w:r>
        <w:rPr>
          <w:rStyle w:val="20"/>
          <w:rFonts w:hint="eastAsia"/>
          <w:snapToGrid w:val="0"/>
          <w:lang w:eastAsia="zh-CN"/>
        </w:rPr>
        <w:t>D.</w:t>
      </w:r>
      <w:r>
        <w:rPr>
          <w:rFonts w:hint="eastAsia" w:ascii="Calibri" w:hAnsi="Calibri"/>
          <w:b w:val="0"/>
          <w:bCs w:val="0"/>
          <w:kern w:val="2"/>
          <w:sz w:val="21"/>
          <w:lang w:eastAsia="zh-CN" w:bidi="ar-SA"/>
        </w:rPr>
        <w:tab/>
      </w:r>
      <w:r>
        <w:rPr>
          <w:rStyle w:val="20"/>
          <w:rFonts w:hint="eastAsia"/>
          <w:snapToGrid w:val="0"/>
          <w:lang w:eastAsia="zh-CN"/>
        </w:rPr>
        <w:t>组成部分申请人之间的信息共享</w:t>
      </w:r>
      <w:r>
        <w:rPr>
          <w:rFonts w:hint="eastAsia"/>
          <w:lang w:eastAsia="zh-CN"/>
        </w:rPr>
        <w:tab/>
      </w:r>
      <w:r>
        <w:rPr>
          <w:rFonts w:hint="eastAsia"/>
          <w:lang w:eastAsia="zh-CN"/>
        </w:rPr>
        <w:fldChar w:fldCharType="begin"/>
      </w:r>
      <w:r>
        <w:rPr>
          <w:rFonts w:hint="eastAsia"/>
          <w:lang w:eastAsia="zh-CN"/>
        </w:rPr>
        <w:instrText xml:space="preserve"> PAGEREF _Toc97551505 \h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fldChar w:fldCharType="end"/>
      </w:r>
    </w:p>
    <w:p w14:paraId="44095165">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"_Toc97551506" </w:instrText>
      </w:r>
      <w:r>
        <w:fldChar w:fldCharType="separate"/>
      </w:r>
      <w:r>
        <w:rPr>
          <w:rStyle w:val="20"/>
          <w:rFonts w:hint="eastAsia"/>
          <w:snapToGrid w:val="0"/>
          <w:lang w:eastAsia="zh-CN"/>
        </w:rPr>
        <w:t>E.</w:t>
      </w:r>
      <w:r>
        <w:rPr>
          <w:rFonts w:hint="eastAsia" w:ascii="Calibri" w:hAnsi="Calibri"/>
          <w:b w:val="0"/>
          <w:bCs w:val="0"/>
          <w:kern w:val="2"/>
          <w:sz w:val="21"/>
          <w:lang w:eastAsia="zh-CN" w:bidi="ar-SA"/>
        </w:rPr>
        <w:tab/>
      </w:r>
      <w:r>
        <w:rPr>
          <w:rStyle w:val="20"/>
          <w:rFonts w:hint="eastAsia"/>
          <w:snapToGrid w:val="0"/>
          <w:lang w:eastAsia="zh-CN"/>
        </w:rPr>
        <w:t>组合产品和组成部分申请人的记录保存要求</w:t>
      </w:r>
      <w:r>
        <w:rPr>
          <w:rFonts w:hint="eastAsia"/>
          <w:lang w:eastAsia="zh-CN"/>
        </w:rPr>
        <w:tab/>
      </w:r>
      <w:r>
        <w:rPr>
          <w:rFonts w:hint="eastAsia"/>
          <w:lang w:eastAsia="zh-CN"/>
        </w:rPr>
        <w:fldChar w:fldCharType="begin"/>
      </w:r>
      <w:r>
        <w:rPr>
          <w:rFonts w:hint="eastAsia"/>
          <w:lang w:eastAsia="zh-CN"/>
        </w:rPr>
        <w:instrText xml:space="preserve"> PAGEREF _Toc97551506 \h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fldChar w:fldCharType="end"/>
      </w:r>
    </w:p>
    <w:p w14:paraId="2DE0ACD1">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"_Toc97551507" </w:instrText>
      </w:r>
      <w:r>
        <w:fldChar w:fldCharType="separate"/>
      </w:r>
      <w:r>
        <w:rPr>
          <w:rStyle w:val="20"/>
          <w:rFonts w:hint="eastAsia"/>
          <w:snapToGrid w:val="0"/>
          <w:lang w:eastAsia="zh-CN"/>
        </w:rPr>
        <w:t>V.</w:t>
      </w:r>
      <w:r>
        <w:rPr>
          <w:rFonts w:hint="eastAsia" w:ascii="Calibri" w:hAnsi="Calibri"/>
          <w:b w:val="0"/>
          <w:bCs w:val="0"/>
          <w:i w:val="0"/>
          <w:kern w:val="2"/>
          <w:sz w:val="21"/>
          <w:szCs w:val="22"/>
          <w:lang w:eastAsia="zh-CN" w:bidi="ar-SA"/>
        </w:rPr>
        <w:tab/>
      </w:r>
      <w:r>
        <w:rPr>
          <w:rStyle w:val="20"/>
          <w:rFonts w:hint="eastAsia"/>
          <w:snapToGrid w:val="0"/>
          <w:lang w:eastAsia="zh-CN"/>
        </w:rPr>
        <w:t>组合产品申请人的流程考虑事项</w:t>
      </w:r>
      <w:r>
        <w:rPr>
          <w:rFonts w:hint="eastAsia"/>
          <w:lang w:eastAsia="zh-CN"/>
        </w:rPr>
        <w:tab/>
      </w:r>
      <w:r>
        <w:rPr>
          <w:rFonts w:hint="eastAsia"/>
          <w:lang w:eastAsia="zh-CN"/>
        </w:rPr>
        <w:fldChar w:fldCharType="begin"/>
      </w:r>
      <w:r>
        <w:rPr>
          <w:rFonts w:hint="eastAsia"/>
          <w:lang w:eastAsia="zh-CN"/>
        </w:rPr>
        <w:instrText xml:space="preserve"> PAGEREF _Toc97551507 \h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fldChar w:fldCharType="end"/>
      </w:r>
    </w:p>
    <w:p w14:paraId="36AC09D3">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"_Toc97551508" </w:instrText>
      </w:r>
      <w:r>
        <w:fldChar w:fldCharType="separate"/>
      </w:r>
      <w:r>
        <w:rPr>
          <w:rStyle w:val="20"/>
          <w:rFonts w:hint="eastAsia"/>
          <w:snapToGrid w:val="0"/>
          <w:lang w:eastAsia="zh-CN"/>
        </w:rPr>
        <w:t>A.</w:t>
      </w:r>
      <w:r>
        <w:rPr>
          <w:rFonts w:hint="eastAsia" w:ascii="Calibri" w:hAnsi="Calibri"/>
          <w:b w:val="0"/>
          <w:bCs w:val="0"/>
          <w:kern w:val="2"/>
          <w:sz w:val="21"/>
          <w:lang w:eastAsia="zh-CN" w:bidi="ar-SA"/>
        </w:rPr>
        <w:tab/>
      </w:r>
      <w:r>
        <w:rPr>
          <w:rStyle w:val="20"/>
          <w:rFonts w:hint="eastAsia"/>
          <w:snapToGrid w:val="0"/>
          <w:lang w:eastAsia="zh-CN"/>
        </w:rPr>
        <w:t>向FDA提交组合产品PMSR信息的方式</w:t>
      </w:r>
      <w:r>
        <w:rPr>
          <w:rFonts w:hint="eastAsia"/>
          <w:lang w:eastAsia="zh-CN"/>
        </w:rPr>
        <w:tab/>
      </w:r>
      <w:r>
        <w:rPr>
          <w:rFonts w:hint="eastAsia"/>
          <w:lang w:eastAsia="zh-CN"/>
        </w:rPr>
        <w:fldChar w:fldCharType="begin"/>
      </w:r>
      <w:r>
        <w:rPr>
          <w:rFonts w:hint="eastAsia"/>
          <w:lang w:eastAsia="zh-CN"/>
        </w:rPr>
        <w:instrText xml:space="preserve"> PAGEREF _Toc97551508 \h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fldChar w:fldCharType="end"/>
      </w:r>
    </w:p>
    <w:p w14:paraId="41243333">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"_Toc97551509" </w:instrText>
      </w:r>
      <w:r>
        <w:fldChar w:fldCharType="separate"/>
      </w:r>
      <w:r>
        <w:rPr>
          <w:rStyle w:val="20"/>
          <w:rFonts w:hint="eastAsia"/>
          <w:snapToGrid w:val="0"/>
          <w:lang w:eastAsia="zh-CN"/>
        </w:rPr>
        <w:t>B.</w:t>
      </w:r>
      <w:r>
        <w:rPr>
          <w:rFonts w:hint="eastAsia" w:ascii="Calibri" w:hAnsi="Calibri"/>
          <w:b w:val="0"/>
          <w:bCs w:val="0"/>
          <w:kern w:val="2"/>
          <w:sz w:val="21"/>
          <w:lang w:eastAsia="zh-CN" w:bidi="ar-SA"/>
        </w:rPr>
        <w:tab/>
      </w:r>
      <w:r>
        <w:rPr>
          <w:rStyle w:val="20"/>
          <w:rFonts w:hint="eastAsia"/>
          <w:snapToGrid w:val="0"/>
          <w:lang w:eastAsia="zh-CN"/>
        </w:rPr>
        <w:t>组合产品PMSR报告中应包含何种信息</w:t>
      </w:r>
      <w:r>
        <w:rPr>
          <w:rFonts w:hint="eastAsia"/>
          <w:lang w:eastAsia="zh-CN"/>
        </w:rPr>
        <w:tab/>
      </w:r>
      <w:r>
        <w:rPr>
          <w:rFonts w:hint="eastAsia"/>
          <w:lang w:eastAsia="zh-CN"/>
        </w:rPr>
        <w:fldChar w:fldCharType="begin"/>
      </w:r>
      <w:r>
        <w:rPr>
          <w:rFonts w:hint="eastAsia"/>
          <w:lang w:eastAsia="zh-CN"/>
        </w:rPr>
        <w:instrText xml:space="preserve"> PAGEREF _Toc97551509 \h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fldChar w:fldCharType="end"/>
      </w:r>
    </w:p>
    <w:p w14:paraId="76675AEA">
      <w:pPr>
        <w:pStyle w:val="12"/>
        <w:tabs>
          <w:tab w:val="left" w:pos="812"/>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"_Toc97551510" </w:instrText>
      </w:r>
      <w:r>
        <w:fldChar w:fldCharType="separate"/>
      </w:r>
      <w:r>
        <w:rPr>
          <w:rStyle w:val="20"/>
          <w:rFonts w:hint="eastAsia"/>
          <w:snapToGrid w:val="0"/>
          <w:lang w:eastAsia="zh-CN"/>
        </w:rPr>
        <w:t>VI.</w:t>
      </w:r>
      <w:r>
        <w:rPr>
          <w:rFonts w:hint="eastAsia" w:ascii="Calibri" w:hAnsi="Calibri"/>
          <w:b w:val="0"/>
          <w:bCs w:val="0"/>
          <w:i w:val="0"/>
          <w:kern w:val="2"/>
          <w:sz w:val="21"/>
          <w:szCs w:val="22"/>
          <w:lang w:eastAsia="zh-CN" w:bidi="ar-SA"/>
        </w:rPr>
        <w:tab/>
      </w:r>
      <w:r>
        <w:rPr>
          <w:rStyle w:val="20"/>
          <w:rFonts w:hint="eastAsia"/>
          <w:snapToGrid w:val="0"/>
          <w:lang w:eastAsia="zh-CN"/>
        </w:rPr>
        <w:t>示例</w:t>
      </w:r>
      <w:r>
        <w:rPr>
          <w:rFonts w:hint="eastAsia"/>
          <w:lang w:eastAsia="zh-CN"/>
        </w:rPr>
        <w:tab/>
      </w:r>
      <w:r>
        <w:rPr>
          <w:rFonts w:hint="eastAsia"/>
          <w:lang w:eastAsia="zh-CN"/>
        </w:rPr>
        <w:fldChar w:fldCharType="begin"/>
      </w:r>
      <w:r>
        <w:rPr>
          <w:rFonts w:hint="eastAsia"/>
          <w:lang w:eastAsia="zh-CN"/>
        </w:rPr>
        <w:instrText xml:space="preserve"> PAGEREF _Toc97551510 \h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fldChar w:fldCharType="end"/>
      </w:r>
    </w:p>
    <w:p w14:paraId="6CBF4E06">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"_Toc97551511" </w:instrText>
      </w:r>
      <w:r>
        <w:fldChar w:fldCharType="separate"/>
      </w:r>
      <w:r>
        <w:rPr>
          <w:rStyle w:val="20"/>
          <w:rFonts w:hint="eastAsia"/>
          <w:snapToGrid w:val="0"/>
          <w:lang w:eastAsia="zh-CN"/>
        </w:rPr>
        <w:t>A.</w:t>
      </w:r>
      <w:r>
        <w:rPr>
          <w:rFonts w:hint="eastAsia" w:ascii="Calibri" w:hAnsi="Calibri"/>
          <w:b w:val="0"/>
          <w:bCs w:val="0"/>
          <w:kern w:val="2"/>
          <w:sz w:val="21"/>
          <w:lang w:eastAsia="zh-CN" w:bidi="ar-SA"/>
        </w:rPr>
        <w:tab/>
      </w:r>
      <w:r>
        <w:rPr>
          <w:rStyle w:val="20"/>
          <w:rFonts w:hint="eastAsia"/>
          <w:snapToGrid w:val="0"/>
          <w:lang w:eastAsia="zh-CN"/>
        </w:rPr>
        <w:t>药品申请组合产品</w:t>
      </w:r>
      <w:r>
        <w:rPr>
          <w:rFonts w:hint="eastAsia"/>
          <w:lang w:eastAsia="zh-CN"/>
        </w:rPr>
        <w:tab/>
      </w:r>
      <w:r>
        <w:rPr>
          <w:rFonts w:hint="eastAsia"/>
          <w:lang w:eastAsia="zh-CN"/>
        </w:rPr>
        <w:fldChar w:fldCharType="begin"/>
      </w:r>
      <w:r>
        <w:rPr>
          <w:rFonts w:hint="eastAsia"/>
          <w:lang w:eastAsia="zh-CN"/>
        </w:rPr>
        <w:instrText xml:space="preserve"> PAGEREF _Toc97551511 \h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fldChar w:fldCharType="end"/>
      </w:r>
    </w:p>
    <w:p w14:paraId="15BF4062">
      <w:pPr>
        <w:pStyle w:val="15"/>
        <w:tabs>
          <w:tab w:val="left" w:pos="1260"/>
          <w:tab w:val="right" w:leader="dot" w:pos="9345"/>
        </w:tabs>
        <w:spacing w:after="120"/>
        <w:ind w:left="330"/>
        <w:rPr>
          <w:rFonts w:ascii="Calibri" w:hAnsi="Calibri"/>
          <w:b w:val="0"/>
          <w:bCs w:val="0"/>
          <w:kern w:val="2"/>
          <w:sz w:val="21"/>
          <w:lang w:eastAsia="zh-CN" w:bidi="ar-SA"/>
        </w:rPr>
      </w:pPr>
      <w:r>
        <w:fldChar w:fldCharType="begin"/>
      </w:r>
      <w:r>
        <w:instrText xml:space="preserve"> HYPERLINK \l "_Toc97551512" </w:instrText>
      </w:r>
      <w:r>
        <w:fldChar w:fldCharType="separate"/>
      </w:r>
      <w:r>
        <w:rPr>
          <w:rStyle w:val="20"/>
          <w:rFonts w:hint="eastAsia"/>
          <w:snapToGrid w:val="0"/>
          <w:lang w:eastAsia="zh-CN"/>
        </w:rPr>
        <w:t>B.</w:t>
      </w:r>
      <w:r>
        <w:rPr>
          <w:rFonts w:hint="eastAsia" w:ascii="Calibri" w:hAnsi="Calibri"/>
          <w:b w:val="0"/>
          <w:bCs w:val="0"/>
          <w:kern w:val="2"/>
          <w:sz w:val="21"/>
          <w:lang w:eastAsia="zh-CN" w:bidi="ar-SA"/>
        </w:rPr>
        <w:tab/>
      </w:r>
      <w:r>
        <w:rPr>
          <w:rStyle w:val="20"/>
          <w:rFonts w:hint="eastAsia"/>
          <w:snapToGrid w:val="0"/>
          <w:lang w:eastAsia="zh-CN"/>
        </w:rPr>
        <w:t>器械申请组合产品</w:t>
      </w:r>
      <w:r>
        <w:rPr>
          <w:rFonts w:hint="eastAsia"/>
          <w:lang w:eastAsia="zh-CN"/>
        </w:rPr>
        <w:tab/>
      </w:r>
      <w:r>
        <w:rPr>
          <w:rFonts w:hint="eastAsia"/>
          <w:lang w:eastAsia="zh-CN"/>
        </w:rPr>
        <w:fldChar w:fldCharType="begin"/>
      </w:r>
      <w:r>
        <w:rPr>
          <w:rFonts w:hint="eastAsia"/>
          <w:lang w:eastAsia="zh-CN"/>
        </w:rPr>
        <w:instrText xml:space="preserve"> PAGEREF _Toc97551512 \h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fldChar w:fldCharType="end"/>
      </w:r>
    </w:p>
    <w:p w14:paraId="5D1192FD">
      <w:pPr>
        <w:pStyle w:val="12"/>
        <w:tabs>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"_Toc97551513" </w:instrText>
      </w:r>
      <w:r>
        <w:fldChar w:fldCharType="separate"/>
      </w:r>
      <w:r>
        <w:rPr>
          <w:rStyle w:val="20"/>
          <w:rFonts w:hint="eastAsia"/>
          <w:snapToGrid w:val="0"/>
          <w:lang w:eastAsia="zh-CN"/>
        </w:rPr>
        <w:t>附录1.按申请和产品类型列出的组合产品（CP）PMSR要求</w:t>
      </w:r>
      <w:r>
        <w:rPr>
          <w:rFonts w:hint="eastAsia"/>
          <w:lang w:eastAsia="zh-CN"/>
        </w:rPr>
        <w:tab/>
      </w:r>
      <w:r>
        <w:rPr>
          <w:rFonts w:hint="eastAsia"/>
          <w:lang w:eastAsia="zh-CN"/>
        </w:rPr>
        <w:fldChar w:fldCharType="begin"/>
      </w:r>
      <w:r>
        <w:rPr>
          <w:rFonts w:hint="eastAsia"/>
          <w:lang w:eastAsia="zh-CN"/>
        </w:rPr>
        <w:instrText xml:space="preserve"> PAGEREF _Toc97551513 \h </w:instrText>
      </w:r>
      <w:r>
        <w:rPr>
          <w:rFonts w:hint="eastAsia"/>
          <w:lang w:eastAsia="zh-CN"/>
        </w:rPr>
        <w:fldChar w:fldCharType="separate"/>
      </w:r>
      <w:r>
        <w:rPr>
          <w:rFonts w:hint="eastAsia"/>
          <w:lang w:eastAsia="zh-CN"/>
        </w:rPr>
        <w:t>39</w:t>
      </w:r>
      <w:r>
        <w:rPr>
          <w:rFonts w:hint="eastAsia"/>
          <w:lang w:eastAsia="zh-CN"/>
        </w:rPr>
        <w:fldChar w:fldCharType="end"/>
      </w:r>
      <w:r>
        <w:rPr>
          <w:rFonts w:hint="eastAsia"/>
          <w:lang w:eastAsia="zh-CN"/>
        </w:rPr>
        <w:fldChar w:fldCharType="end"/>
      </w:r>
    </w:p>
    <w:p w14:paraId="7AE66CC2">
      <w:pPr>
        <w:pStyle w:val="12"/>
        <w:tabs>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"_Toc97551514" </w:instrText>
      </w:r>
      <w:r>
        <w:fldChar w:fldCharType="separate"/>
      </w:r>
      <w:r>
        <w:rPr>
          <w:rStyle w:val="20"/>
          <w:rFonts w:hint="eastAsia"/>
          <w:snapToGrid w:val="0"/>
          <w:lang w:eastAsia="zh-CN"/>
        </w:rPr>
        <w:t>附录2.组合产品ICSR要求的流程图</w:t>
      </w:r>
      <w:r>
        <w:rPr>
          <w:rFonts w:hint="eastAsia"/>
          <w:lang w:eastAsia="zh-CN"/>
        </w:rPr>
        <w:tab/>
      </w:r>
      <w:r>
        <w:rPr>
          <w:rFonts w:hint="eastAsia"/>
          <w:lang w:eastAsia="zh-CN"/>
        </w:rPr>
        <w:fldChar w:fldCharType="begin"/>
      </w:r>
      <w:r>
        <w:rPr>
          <w:rFonts w:hint="eastAsia"/>
          <w:lang w:eastAsia="zh-CN"/>
        </w:rPr>
        <w:instrText xml:space="preserve"> PAGEREF _Toc97551514 \h </w:instrText>
      </w:r>
      <w:r>
        <w:rPr>
          <w:rFonts w:hint="eastAsia"/>
          <w:lang w:eastAsia="zh-CN"/>
        </w:rPr>
        <w:fldChar w:fldCharType="separate"/>
      </w:r>
      <w:r>
        <w:rPr>
          <w:rFonts w:hint="eastAsia"/>
          <w:lang w:eastAsia="zh-CN"/>
        </w:rPr>
        <w:t>40</w:t>
      </w:r>
      <w:r>
        <w:rPr>
          <w:rFonts w:hint="eastAsia"/>
          <w:lang w:eastAsia="zh-CN"/>
        </w:rPr>
        <w:fldChar w:fldCharType="end"/>
      </w:r>
      <w:r>
        <w:rPr>
          <w:rFonts w:hint="eastAsia"/>
          <w:lang w:eastAsia="zh-CN"/>
        </w:rPr>
        <w:fldChar w:fldCharType="end"/>
      </w:r>
    </w:p>
    <w:p w14:paraId="4FB94760">
      <w:pPr>
        <w:pStyle w:val="12"/>
        <w:tabs>
          <w:tab w:val="right" w:leader="dot" w:pos="9345"/>
        </w:tabs>
        <w:spacing w:after="120"/>
        <w:ind w:left="480" w:hanging="480"/>
        <w:rPr>
          <w:rFonts w:ascii="Calibri" w:hAnsi="Calibri"/>
          <w:b w:val="0"/>
          <w:bCs w:val="0"/>
          <w:i w:val="0"/>
          <w:kern w:val="2"/>
          <w:sz w:val="21"/>
          <w:szCs w:val="22"/>
          <w:lang w:eastAsia="zh-CN" w:bidi="ar-SA"/>
        </w:rPr>
      </w:pPr>
      <w:r>
        <w:fldChar w:fldCharType="begin"/>
      </w:r>
      <w:r>
        <w:instrText xml:space="preserve"> HYPERLINK \l "_Toc97551515" </w:instrText>
      </w:r>
      <w:r>
        <w:fldChar w:fldCharType="separate"/>
      </w:r>
      <w:r>
        <w:rPr>
          <w:rStyle w:val="20"/>
          <w:rFonts w:hint="eastAsia"/>
          <w:snapToGrid w:val="0"/>
          <w:lang w:eastAsia="zh-CN"/>
        </w:rPr>
        <w:t>附录3.非</w:t>
      </w:r>
      <w:r>
        <w:rPr>
          <w:rStyle w:val="20"/>
          <w:rFonts w:hint="eastAsia" w:ascii="宋体" w:hAnsi="宋体"/>
          <w:snapToGrid w:val="0"/>
          <w:lang w:eastAsia="zh-CN"/>
        </w:rPr>
        <w:t>“</w:t>
      </w:r>
      <w:r>
        <w:rPr>
          <w:rStyle w:val="20"/>
          <w:rFonts w:hint="eastAsia"/>
          <w:snapToGrid w:val="0"/>
          <w:lang w:eastAsia="zh-CN"/>
        </w:rPr>
        <w:t>申请人</w:t>
      </w:r>
      <w:r>
        <w:rPr>
          <w:rStyle w:val="20"/>
          <w:rFonts w:hint="eastAsia" w:ascii="宋体" w:hAnsi="宋体"/>
          <w:snapToGrid w:val="0"/>
          <w:lang w:eastAsia="zh-CN"/>
        </w:rPr>
        <w:t>”</w:t>
      </w:r>
      <w:r>
        <w:rPr>
          <w:rStyle w:val="20"/>
          <w:rFonts w:hint="eastAsia"/>
          <w:snapToGrid w:val="0"/>
          <w:lang w:eastAsia="zh-CN"/>
        </w:rPr>
        <w:t>实体的组合产品上市后安全性报告考虑事项</w:t>
      </w:r>
      <w:r>
        <w:rPr>
          <w:rFonts w:hint="eastAsia"/>
          <w:lang w:eastAsia="zh-CN"/>
        </w:rPr>
        <w:tab/>
      </w:r>
      <w:r>
        <w:rPr>
          <w:rFonts w:hint="eastAsia"/>
          <w:lang w:eastAsia="zh-CN"/>
        </w:rPr>
        <w:fldChar w:fldCharType="begin"/>
      </w:r>
      <w:r>
        <w:rPr>
          <w:rFonts w:hint="eastAsia"/>
          <w:lang w:eastAsia="zh-CN"/>
        </w:rPr>
        <w:instrText xml:space="preserve"> PAGEREF _Toc97551515 \h </w:instrText>
      </w:r>
      <w:r>
        <w:rPr>
          <w:rFonts w:hint="eastAsia"/>
          <w:lang w:eastAsia="zh-CN"/>
        </w:rPr>
        <w:fldChar w:fldCharType="separate"/>
      </w:r>
      <w:r>
        <w:rPr>
          <w:rFonts w:hint="eastAsia"/>
          <w:lang w:eastAsia="zh-CN"/>
        </w:rPr>
        <w:t>42</w:t>
      </w:r>
      <w:r>
        <w:rPr>
          <w:rFonts w:hint="eastAsia"/>
          <w:lang w:eastAsia="zh-CN"/>
        </w:rPr>
        <w:fldChar w:fldCharType="end"/>
      </w:r>
      <w:r>
        <w:rPr>
          <w:rFonts w:hint="eastAsia"/>
          <w:lang w:eastAsia="zh-CN"/>
        </w:rPr>
        <w:fldChar w:fldCharType="end"/>
      </w:r>
    </w:p>
    <w:p w14:paraId="63BFB001">
      <w:pPr>
        <w:pStyle w:val="15"/>
        <w:tabs>
          <w:tab w:val="left" w:pos="1260"/>
          <w:tab w:val="right" w:leader="dot" w:pos="9394"/>
        </w:tabs>
        <w:autoSpaceDE/>
        <w:autoSpaceDN/>
        <w:spacing w:after="120"/>
        <w:ind w:left="0" w:leftChars="0"/>
        <w:rPr>
          <w:b w:val="0"/>
          <w:sz w:val="21"/>
        </w:rPr>
      </w:pPr>
      <w:r>
        <w:rPr>
          <w:rFonts w:hint="eastAsia"/>
          <w:b w:val="0"/>
        </w:rPr>
        <w:fldChar w:fldCharType="end"/>
      </w:r>
    </w:p>
    <w:p w14:paraId="2D4900ED">
      <w:pPr>
        <w:autoSpaceDE/>
        <w:autoSpaceDN/>
        <w:snapToGrid w:val="0"/>
        <w:jc w:val="both"/>
        <w:rPr>
          <w:rFonts w:eastAsia="宋体"/>
          <w:b/>
          <w:snapToGrid w:val="0"/>
          <w:sz w:val="24"/>
          <w:szCs w:val="24"/>
          <w:lang w:eastAsia="zh-CN"/>
        </w:rPr>
      </w:pPr>
      <w:r>
        <w:rPr>
          <w:rFonts w:hint="eastAsia" w:eastAsia="宋体"/>
          <w:b/>
          <w:snapToGrid w:val="0"/>
          <w:sz w:val="24"/>
          <w:lang w:eastAsia="zh-CN"/>
        </w:rPr>
        <w:br w:type="page"/>
      </w:r>
    </w:p>
    <w:p w14:paraId="39CEE085">
      <w:pPr>
        <w:autoSpaceDE/>
        <w:autoSpaceDN/>
        <w:snapToGrid w:val="0"/>
        <w:jc w:val="center"/>
        <w:rPr>
          <w:rFonts w:eastAsia="宋体"/>
          <w:b/>
          <w:snapToGrid w:val="0"/>
          <w:sz w:val="44"/>
          <w:szCs w:val="44"/>
          <w:lang w:eastAsia="zh-CN"/>
        </w:rPr>
      </w:pPr>
      <w:r>
        <w:rPr>
          <w:rFonts w:hint="eastAsia" w:eastAsia="宋体"/>
          <w:b/>
          <w:snapToGrid w:val="0"/>
          <w:sz w:val="44"/>
          <w:lang w:eastAsia="zh-CN"/>
        </w:rPr>
        <w:t>面向行业和FDA工作人员的指南：</w:t>
      </w:r>
    </w:p>
    <w:p w14:paraId="3B183CF0">
      <w:pPr>
        <w:autoSpaceDE/>
        <w:autoSpaceDN/>
        <w:snapToGrid w:val="0"/>
        <w:jc w:val="center"/>
        <w:rPr>
          <w:rFonts w:eastAsia="宋体"/>
          <w:b/>
          <w:snapToGrid w:val="0"/>
          <w:sz w:val="44"/>
          <w:lang w:eastAsia="zh-CN"/>
        </w:rPr>
      </w:pPr>
      <w:r>
        <w:rPr>
          <w:rFonts w:hint="eastAsia" w:eastAsia="宋体"/>
          <w:b/>
          <w:snapToGrid w:val="0"/>
          <w:sz w:val="44"/>
          <w:lang w:eastAsia="zh-CN"/>
        </w:rPr>
        <w:t>组合产品上市后安全性报告</w:t>
      </w:r>
    </w:p>
    <w:p w14:paraId="7F18EADE">
      <w:pPr>
        <w:autoSpaceDE/>
        <w:autoSpaceDN/>
        <w:snapToGrid w:val="0"/>
        <w:jc w:val="center"/>
        <w:rPr>
          <w:rFonts w:eastAsia="宋体"/>
          <w:b/>
          <w:snapToGrid w:val="0"/>
          <w:sz w:val="44"/>
          <w:szCs w:val="44"/>
          <w:lang w:eastAsia="zh-CN"/>
        </w:rPr>
      </w:pPr>
      <w:bookmarkStart w:id="0" w:name="_Toc95145693"/>
    </w:p>
    <w:p w14:paraId="49A579FB">
      <w:pPr>
        <w:pStyle w:val="7"/>
        <w:pBdr>
          <w:top w:val="thinThickThinSmallGap" w:color="auto" w:sz="24" w:space="1"/>
          <w:left w:val="thinThickThinSmallGap" w:color="auto" w:sz="24" w:space="4"/>
          <w:bottom w:val="thinThickThinSmallGap" w:color="auto" w:sz="24" w:space="1"/>
          <w:right w:val="thinThickThinSmallGap" w:color="auto" w:sz="24" w:space="4"/>
        </w:pBdr>
        <w:autoSpaceDE/>
        <w:autoSpaceDN/>
        <w:snapToGrid w:val="0"/>
        <w:ind w:firstLine="480" w:firstLineChars="200"/>
        <w:jc w:val="both"/>
        <w:rPr>
          <w:rFonts w:eastAsia="宋体"/>
          <w:snapToGrid w:val="0"/>
          <w:lang w:eastAsia="zh-CN"/>
        </w:rPr>
      </w:pPr>
      <w:r>
        <w:rPr>
          <w:rFonts w:hint="eastAsia" w:eastAsia="宋体"/>
          <w:snapToGrid w:val="0"/>
          <w:lang w:eastAsia="zh-CN"/>
        </w:rPr>
        <w:t>本指南代表美国食品药品监督管理局（</w:t>
      </w:r>
      <w:r>
        <w:rPr>
          <w:rFonts w:eastAsia="宋体"/>
          <w:snapToGrid w:val="0"/>
          <w:lang w:eastAsia="zh-CN"/>
        </w:rPr>
        <w:t>FDA</w:t>
      </w:r>
      <w:r>
        <w:rPr>
          <w:rFonts w:hint="eastAsia" w:eastAsia="宋体"/>
          <w:snapToGrid w:val="0"/>
          <w:lang w:eastAsia="zh-CN"/>
        </w:rPr>
        <w:t>或本机构）目前关于该主题的思考。其不会为任何人创造或赋予任何权利，也不会对</w:t>
      </w:r>
      <w:r>
        <w:rPr>
          <w:rFonts w:eastAsia="宋体"/>
          <w:snapToGrid w:val="0"/>
          <w:lang w:eastAsia="zh-CN"/>
        </w:rPr>
        <w:t>FDA</w:t>
      </w:r>
      <w:r>
        <w:rPr>
          <w:rFonts w:hint="eastAsia" w:eastAsia="宋体"/>
          <w:snapToGrid w:val="0"/>
          <w:lang w:eastAsia="zh-CN"/>
        </w:rPr>
        <w:t>或公众产生约束。如果替代方法满足适用的法律法规要求，则可以使用该替代方法。如需讨论替代方法，请联系标题页列出的负责实施本指南文件的</w:t>
      </w:r>
      <w:r>
        <w:rPr>
          <w:rFonts w:eastAsia="宋体"/>
          <w:snapToGrid w:val="0"/>
          <w:lang w:eastAsia="zh-CN"/>
        </w:rPr>
        <w:t>FDA</w:t>
      </w:r>
      <w:r>
        <w:rPr>
          <w:rFonts w:hint="eastAsia" w:eastAsia="宋体"/>
          <w:snapToGrid w:val="0"/>
          <w:lang w:eastAsia="zh-CN"/>
        </w:rPr>
        <w:t>工作人员或办公室。</w:t>
      </w:r>
    </w:p>
    <w:p w14:paraId="0761AEEA">
      <w:pPr>
        <w:pStyle w:val="7"/>
        <w:autoSpaceDE/>
        <w:autoSpaceDN/>
        <w:snapToGrid w:val="0"/>
        <w:jc w:val="both"/>
        <w:rPr>
          <w:rFonts w:eastAsia="宋体"/>
          <w:snapToGrid w:val="0"/>
          <w:lang w:eastAsia="zh-CN"/>
        </w:rPr>
      </w:pPr>
    </w:p>
    <w:p w14:paraId="5EAF8030">
      <w:pPr>
        <w:pStyle w:val="2"/>
        <w:numPr>
          <w:ilvl w:val="0"/>
          <w:numId w:val="1"/>
        </w:numPr>
        <w:tabs>
          <w:tab w:val="left" w:pos="868"/>
        </w:tabs>
        <w:autoSpaceDE/>
        <w:autoSpaceDN/>
        <w:spacing w:before="0" w:beforeLines="0" w:line="240" w:lineRule="auto"/>
        <w:ind w:left="880" w:hanging="880" w:hangingChars="313"/>
        <w:rPr>
          <w:sz w:val="28"/>
        </w:rPr>
      </w:pPr>
      <w:bookmarkStart w:id="1" w:name="_Toc97551494"/>
      <w:r>
        <w:rPr>
          <w:rFonts w:hint="eastAsia"/>
          <w:sz w:val="28"/>
        </w:rPr>
        <w:t>引言</w:t>
      </w:r>
      <w:bookmarkEnd w:id="0"/>
      <w:bookmarkEnd w:id="1"/>
    </w:p>
    <w:p w14:paraId="59A52E77">
      <w:pPr>
        <w:pStyle w:val="7"/>
        <w:autoSpaceDE/>
        <w:autoSpaceDN/>
        <w:snapToGrid w:val="0"/>
        <w:jc w:val="both"/>
        <w:rPr>
          <w:rFonts w:eastAsia="宋体"/>
          <w:snapToGrid w:val="0"/>
          <w:lang w:eastAsia="zh-CN"/>
        </w:rPr>
      </w:pPr>
    </w:p>
    <w:p w14:paraId="2FBAA1B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本指南阐述了遵守FDA于2016年12月20日发布（81 FR 92603）的组合产品上市后安全性</w:t>
      </w:r>
      <w:r>
        <w:rPr>
          <w:rStyle w:val="22"/>
          <w:rFonts w:hint="eastAsia" w:eastAsia="宋体"/>
          <w:snapToGrid w:val="0"/>
          <w:lang w:eastAsia="zh-CN"/>
        </w:rPr>
        <w:footnoteReference w:id="0"/>
      </w:r>
      <w:r>
        <w:rPr>
          <w:rFonts w:hint="eastAsia" w:eastAsia="宋体"/>
          <w:snapToGrid w:val="0"/>
          <w:vertAlign w:val="superscript"/>
          <w:lang w:eastAsia="zh-CN"/>
        </w:rPr>
        <w:t>,</w:t>
      </w:r>
      <w:r>
        <w:rPr>
          <w:rStyle w:val="22"/>
          <w:rFonts w:hint="eastAsia" w:eastAsia="宋体"/>
          <w:snapToGrid w:val="0"/>
          <w:lang w:eastAsia="zh-CN"/>
        </w:rPr>
        <w:footnoteReference w:id="1"/>
      </w:r>
      <w:r>
        <w:rPr>
          <w:rFonts w:hint="eastAsia" w:eastAsia="宋体"/>
          <w:snapToGrid w:val="0"/>
          <w:lang w:eastAsia="zh-CN"/>
        </w:rPr>
        <w:t>报告（PMSR）要求的某些方法，并已编入《美国联邦法规》第21篇第4部分B子节（以下简称</w:t>
      </w:r>
      <w:r>
        <w:rPr>
          <w:rFonts w:hint="eastAsia" w:ascii="宋体" w:hAnsi="宋体" w:eastAsia="宋体"/>
          <w:lang w:eastAsia="zh-CN"/>
        </w:rPr>
        <w:t>“</w:t>
      </w:r>
      <w:r>
        <w:rPr>
          <w:rFonts w:hint="eastAsia" w:eastAsia="宋体"/>
          <w:snapToGrid w:val="0"/>
          <w:lang w:eastAsia="zh-CN"/>
        </w:rPr>
        <w:t>组合产品PMSR最终规则</w:t>
      </w:r>
      <w:r>
        <w:rPr>
          <w:rFonts w:hint="eastAsia" w:ascii="宋体" w:hAnsi="宋体" w:eastAsia="宋体"/>
          <w:lang w:eastAsia="zh-CN"/>
        </w:rPr>
        <w:t>”</w:t>
      </w:r>
      <w:r>
        <w:rPr>
          <w:rFonts w:hint="eastAsia" w:eastAsia="宋体"/>
          <w:snapToGrid w:val="0"/>
          <w:lang w:eastAsia="zh-CN"/>
        </w:rPr>
        <w:t>、</w:t>
      </w:r>
      <w:r>
        <w:rPr>
          <w:rFonts w:hint="eastAsia" w:ascii="宋体" w:hAnsi="宋体" w:eastAsia="宋体"/>
          <w:lang w:eastAsia="zh-CN"/>
        </w:rPr>
        <w:t>“</w:t>
      </w:r>
      <w:r>
        <w:rPr>
          <w:rFonts w:hint="eastAsia" w:eastAsia="宋体"/>
          <w:snapToGrid w:val="0"/>
          <w:lang w:eastAsia="zh-CN"/>
        </w:rPr>
        <w:t>最终规则</w:t>
      </w:r>
      <w:r>
        <w:rPr>
          <w:rFonts w:hint="eastAsia" w:ascii="宋体" w:hAnsi="宋体" w:eastAsia="宋体"/>
          <w:lang w:eastAsia="zh-CN"/>
        </w:rPr>
        <w:t>”</w:t>
      </w:r>
      <w:r>
        <w:rPr>
          <w:rFonts w:hint="eastAsia" w:eastAsia="宋体"/>
          <w:snapToGrid w:val="0"/>
          <w:lang w:eastAsia="zh-CN"/>
        </w:rPr>
        <w:t>或</w:t>
      </w:r>
      <w:r>
        <w:rPr>
          <w:rFonts w:hint="eastAsia" w:ascii="宋体" w:hAnsi="宋体" w:eastAsia="宋体"/>
          <w:lang w:eastAsia="zh-CN"/>
        </w:rPr>
        <w:t>“</w:t>
      </w:r>
      <w:r>
        <w:rPr>
          <w:rFonts w:hint="eastAsia" w:eastAsia="宋体"/>
          <w:snapToGrid w:val="0"/>
          <w:lang w:eastAsia="zh-CN"/>
        </w:rPr>
        <w:t>规则</w:t>
      </w:r>
      <w:r>
        <w:rPr>
          <w:rFonts w:hint="eastAsia" w:ascii="宋体" w:hAnsi="宋体" w:eastAsia="宋体"/>
          <w:lang w:eastAsia="zh-CN"/>
        </w:rPr>
        <w:t>”</w:t>
      </w:r>
      <w:r>
        <w:rPr>
          <w:rFonts w:hint="eastAsia" w:eastAsia="宋体"/>
          <w:snapToGrid w:val="0"/>
          <w:lang w:eastAsia="zh-CN"/>
        </w:rPr>
        <w:t>）。虽然药品、器械和生物制品的PMSR法规有许多相似之处，但每一套法规都确立了不同的报告要求，包括报告触发因素和时间范围。该规则阐述了已获得FDA上市许可的组合产品PMSR要求，以确保报告的一致性和完整性，同时避免重复。</w:t>
      </w:r>
    </w:p>
    <w:p w14:paraId="58F8A6A1">
      <w:pPr>
        <w:pStyle w:val="7"/>
        <w:autoSpaceDE/>
        <w:autoSpaceDN/>
        <w:snapToGrid w:val="0"/>
        <w:ind w:firstLine="480" w:firstLineChars="200"/>
        <w:jc w:val="both"/>
        <w:rPr>
          <w:rFonts w:eastAsia="宋体"/>
          <w:snapToGrid w:val="0"/>
          <w:lang w:eastAsia="zh-CN"/>
        </w:rPr>
      </w:pPr>
    </w:p>
    <w:p w14:paraId="305F7F7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指南第II节提供了有关组合产品的基本信息以及FDA如何对其进行监管。第III节提供了组合产品PMSR最终规则的概要，概述了实体必须符合最终规则的类别，以及相关适用安全性报告要求。第IV节提供了特定组合产品PMSR报告类型的更详细讨论。第V节提供了向FDA提交PMSR报告的地点、方式和时间的指南。第VI节提供了假设情形，阐明符合特定组合产品PMSR要求的某些方法。虽然本指南侧重于组合产品PMSR最终规则，但也涉及相关主题，包括适用于规则未涵盖实体的上市后安全性报告要求（见附录3）。</w:t>
      </w:r>
    </w:p>
    <w:p w14:paraId="327173D9">
      <w:pPr>
        <w:pStyle w:val="7"/>
        <w:autoSpaceDE/>
        <w:autoSpaceDN/>
        <w:snapToGrid w:val="0"/>
        <w:ind w:firstLine="480" w:firstLineChars="200"/>
        <w:jc w:val="both"/>
        <w:rPr>
          <w:rFonts w:eastAsia="宋体"/>
          <w:snapToGrid w:val="0"/>
          <w:lang w:eastAsia="zh-CN"/>
        </w:rPr>
      </w:pPr>
    </w:p>
    <w:p w14:paraId="1C7F9440">
      <w:pPr>
        <w:snapToGrid w:val="0"/>
        <w:spacing w:after="120" w:afterLines="50"/>
        <w:ind w:firstLine="440" w:firstLineChars="200"/>
        <w:jc w:val="both"/>
        <w:rPr>
          <w:rFonts w:eastAsiaTheme="minorEastAsia"/>
          <w:lang w:eastAsia="zh-CN"/>
        </w:rPr>
      </w:pPr>
      <w:r>
        <w:rPr>
          <w:rFonts w:eastAsia="宋体"/>
          <w:snapToGrid w:val="0"/>
          <w:lang w:eastAsia="zh-CN"/>
        </w:rPr>
        <w:t>一般来说，FDA指南文件，包括本指南在内，不具有法律强制责任。相反，指南表明了本机构关于这一主题的最新见解，除非引用具体的法规或法律要求，否则只应视为建议。</w:t>
      </w:r>
      <w:r>
        <w:rPr>
          <w:rFonts w:hint="eastAsia"/>
          <w:lang w:eastAsia="zh-CN"/>
        </w:rPr>
        <w:t>FDA</w:t>
      </w:r>
      <w:r>
        <w:rPr>
          <w:rFonts w:hint="eastAsia" w:ascii="宋体" w:hAnsi="宋体" w:eastAsia="宋体" w:cs="宋体"/>
          <w:lang w:eastAsia="zh-CN"/>
        </w:rPr>
        <w:t>指南中出现的</w:t>
      </w:r>
      <w:r>
        <w:rPr>
          <w:lang w:eastAsia="zh-CN"/>
        </w:rPr>
        <w:t>“</w:t>
      </w:r>
      <w:r>
        <w:rPr>
          <w:rFonts w:hint="eastAsia" w:ascii="宋体" w:hAnsi="宋体" w:eastAsia="宋体" w:cs="宋体"/>
          <w:lang w:eastAsia="zh-CN"/>
        </w:rPr>
        <w:t>应（当）</w:t>
      </w:r>
      <w:r>
        <w:rPr>
          <w:lang w:eastAsia="zh-CN"/>
        </w:rPr>
        <w:t>”</w:t>
      </w:r>
      <w:r>
        <w:rPr>
          <w:rFonts w:hint="eastAsia" w:ascii="宋体" w:hAnsi="宋体" w:eastAsia="宋体" w:cs="宋体"/>
          <w:lang w:eastAsia="zh-CN"/>
        </w:rPr>
        <w:t>的词义是指建议或推荐，而非要求。</w:t>
      </w:r>
    </w:p>
    <w:p w14:paraId="47417440">
      <w:pPr>
        <w:autoSpaceDE/>
        <w:autoSpaceDN/>
        <w:snapToGrid w:val="0"/>
        <w:jc w:val="both"/>
        <w:rPr>
          <w:rFonts w:eastAsia="宋体"/>
          <w:snapToGrid w:val="0"/>
          <w:sz w:val="24"/>
          <w:szCs w:val="24"/>
          <w:lang w:eastAsia="zh-CN"/>
        </w:rPr>
      </w:pPr>
      <w:bookmarkStart w:id="2" w:name="_Toc95145694"/>
      <w:r>
        <w:rPr>
          <w:rFonts w:hint="eastAsia" w:eastAsia="宋体"/>
          <w:snapToGrid w:val="0"/>
          <w:sz w:val="24"/>
          <w:szCs w:val="24"/>
          <w:lang w:eastAsia="zh-CN"/>
        </w:rPr>
        <w:br w:type="page"/>
      </w:r>
    </w:p>
    <w:p w14:paraId="059C663A">
      <w:pPr>
        <w:pStyle w:val="2"/>
        <w:numPr>
          <w:ilvl w:val="0"/>
          <w:numId w:val="1"/>
        </w:numPr>
        <w:tabs>
          <w:tab w:val="left" w:pos="868"/>
        </w:tabs>
        <w:autoSpaceDE/>
        <w:autoSpaceDN/>
        <w:spacing w:before="0" w:beforeLines="0" w:line="240" w:lineRule="auto"/>
        <w:ind w:left="880" w:hanging="880" w:hangingChars="313"/>
        <w:rPr>
          <w:sz w:val="28"/>
        </w:rPr>
      </w:pPr>
      <w:bookmarkStart w:id="3" w:name="_Toc97551495"/>
      <w:r>
        <w:rPr>
          <w:rFonts w:hint="eastAsia"/>
          <w:sz w:val="28"/>
        </w:rPr>
        <w:t>背景</w:t>
      </w:r>
      <w:bookmarkEnd w:id="2"/>
      <w:bookmarkEnd w:id="3"/>
    </w:p>
    <w:p w14:paraId="56AA3259">
      <w:pPr>
        <w:autoSpaceDE/>
        <w:autoSpaceDN/>
        <w:snapToGrid w:val="0"/>
        <w:jc w:val="both"/>
        <w:rPr>
          <w:rFonts w:eastAsia="宋体"/>
          <w:snapToGrid w:val="0"/>
          <w:sz w:val="24"/>
          <w:szCs w:val="24"/>
          <w:lang w:eastAsia="zh-CN"/>
        </w:rPr>
      </w:pPr>
    </w:p>
    <w:p w14:paraId="65F070B6">
      <w:pPr>
        <w:pStyle w:val="3"/>
        <w:autoSpaceDE/>
        <w:autoSpaceDN/>
        <w:spacing w:before="0" w:beforeLines="0" w:line="240" w:lineRule="auto"/>
        <w:ind w:left="1442" w:leftChars="400" w:hanging="562"/>
        <w:rPr>
          <w:snapToGrid w:val="0"/>
          <w:szCs w:val="24"/>
          <w:lang w:eastAsia="zh-CN"/>
        </w:rPr>
      </w:pPr>
      <w:bookmarkStart w:id="4" w:name="_Toc97551496"/>
      <w:bookmarkStart w:id="5" w:name="_Toc95145695"/>
      <w:r>
        <w:rPr>
          <w:rFonts w:hint="eastAsia"/>
          <w:snapToGrid w:val="0"/>
          <w:szCs w:val="24"/>
          <w:lang w:eastAsia="zh-CN"/>
        </w:rPr>
        <w:t>A.</w:t>
      </w:r>
      <w:r>
        <w:rPr>
          <w:rFonts w:hint="eastAsia"/>
          <w:snapToGrid w:val="0"/>
          <w:szCs w:val="24"/>
          <w:lang w:eastAsia="zh-CN"/>
        </w:rPr>
        <w:tab/>
      </w:r>
      <w:r>
        <w:rPr>
          <w:rFonts w:hint="eastAsia"/>
          <w:snapToGrid w:val="0"/>
          <w:szCs w:val="24"/>
          <w:lang w:eastAsia="zh-CN"/>
        </w:rPr>
        <w:t>组合产品定义？</w:t>
      </w:r>
      <w:bookmarkEnd w:id="4"/>
      <w:bookmarkEnd w:id="5"/>
    </w:p>
    <w:p w14:paraId="572B51DD">
      <w:pPr>
        <w:autoSpaceDE/>
        <w:autoSpaceDN/>
        <w:snapToGrid w:val="0"/>
        <w:jc w:val="both"/>
        <w:rPr>
          <w:rFonts w:eastAsia="宋体"/>
          <w:snapToGrid w:val="0"/>
          <w:sz w:val="24"/>
          <w:szCs w:val="24"/>
          <w:lang w:eastAsia="zh-CN"/>
        </w:rPr>
      </w:pPr>
    </w:p>
    <w:p w14:paraId="2557932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组合产品是一种由药品、器械、生物制品的任意组合组成的产品。</w:t>
      </w:r>
      <w:r>
        <w:rPr>
          <w:rStyle w:val="22"/>
          <w:rFonts w:hint="eastAsia" w:eastAsia="宋体"/>
          <w:snapToGrid w:val="0"/>
          <w:lang w:eastAsia="zh-CN"/>
        </w:rPr>
        <w:footnoteReference w:id="2"/>
      </w:r>
      <w:r>
        <w:rPr>
          <w:rFonts w:hint="eastAsia" w:eastAsia="宋体"/>
          <w:snapToGrid w:val="0"/>
          <w:lang w:eastAsia="zh-CN"/>
        </w:rPr>
        <w:t>组合产品中的所有药品、器械、生物制品称为组合产品的</w:t>
      </w:r>
      <w:r>
        <w:rPr>
          <w:rFonts w:hint="eastAsia" w:ascii="宋体" w:hAnsi="宋体" w:eastAsia="宋体"/>
          <w:lang w:eastAsia="zh-CN"/>
        </w:rPr>
        <w:t>“</w:t>
      </w:r>
      <w:r>
        <w:rPr>
          <w:rFonts w:hint="eastAsia" w:eastAsia="宋体"/>
          <w:snapToGrid w:val="0"/>
          <w:lang w:eastAsia="zh-CN"/>
        </w:rPr>
        <w:t>组成部分</w:t>
      </w:r>
      <w:r>
        <w:rPr>
          <w:rFonts w:hint="eastAsia" w:ascii="宋体" w:hAnsi="宋体" w:eastAsia="宋体"/>
          <w:lang w:eastAsia="zh-CN"/>
        </w:rPr>
        <w:t>”</w:t>
      </w:r>
      <w:r>
        <w:rPr>
          <w:rFonts w:hint="eastAsia" w:eastAsia="宋体"/>
          <w:snapToGrid w:val="0"/>
          <w:lang w:eastAsia="zh-CN"/>
        </w:rPr>
        <w:t>。</w:t>
      </w:r>
    </w:p>
    <w:p w14:paraId="4E215906">
      <w:pPr>
        <w:pStyle w:val="7"/>
        <w:autoSpaceDE/>
        <w:autoSpaceDN/>
        <w:snapToGrid w:val="0"/>
        <w:jc w:val="both"/>
        <w:rPr>
          <w:rFonts w:eastAsia="宋体"/>
          <w:snapToGrid w:val="0"/>
          <w:lang w:eastAsia="zh-CN"/>
        </w:rPr>
      </w:pPr>
    </w:p>
    <w:p w14:paraId="7DBD1D32">
      <w:pPr>
        <w:pStyle w:val="7"/>
        <w:autoSpaceDE/>
        <w:autoSpaceDN/>
        <w:snapToGrid w:val="0"/>
        <w:jc w:val="both"/>
        <w:rPr>
          <w:rFonts w:eastAsia="宋体"/>
          <w:snapToGrid w:val="0"/>
          <w:lang w:eastAsia="zh-CN"/>
        </w:rPr>
      </w:pPr>
      <w:r>
        <w:rPr>
          <w:rFonts w:hint="eastAsia" w:eastAsia="宋体"/>
          <w:snapToGrid w:val="0"/>
          <w:lang w:eastAsia="zh-CN"/>
        </w:rPr>
        <w:t>根据《美国联邦法规》第21篇第3.2（e）节，组合产品包括：</w:t>
      </w:r>
    </w:p>
    <w:p w14:paraId="3882E761">
      <w:pPr>
        <w:pStyle w:val="7"/>
        <w:autoSpaceDE/>
        <w:autoSpaceDN/>
        <w:snapToGrid w:val="0"/>
        <w:jc w:val="both"/>
        <w:rPr>
          <w:rFonts w:eastAsia="宋体"/>
          <w:snapToGrid w:val="0"/>
          <w:lang w:eastAsia="zh-CN"/>
        </w:rPr>
      </w:pPr>
    </w:p>
    <w:p w14:paraId="6480AE4E">
      <w:pPr>
        <w:pStyle w:val="24"/>
        <w:numPr>
          <w:ilvl w:val="0"/>
          <w:numId w:val="2"/>
        </w:numPr>
        <w:tabs>
          <w:tab w:val="left" w:pos="1358"/>
        </w:tabs>
        <w:autoSpaceDE/>
        <w:autoSpaceDN/>
        <w:snapToGrid w:val="0"/>
        <w:ind w:left="1360" w:leftChars="400" w:hanging="480" w:hangingChars="200"/>
        <w:jc w:val="both"/>
        <w:rPr>
          <w:rFonts w:eastAsia="宋体"/>
          <w:snapToGrid w:val="0"/>
          <w:sz w:val="24"/>
          <w:szCs w:val="24"/>
          <w:lang w:eastAsia="zh-CN"/>
        </w:rPr>
      </w:pPr>
      <w:r>
        <w:rPr>
          <w:rFonts w:hint="eastAsia" w:eastAsia="宋体"/>
          <w:snapToGrid w:val="0"/>
          <w:sz w:val="24"/>
          <w:szCs w:val="24"/>
          <w:lang w:eastAsia="zh-CN"/>
        </w:rPr>
        <w:t>由两种或多种受管制成分组成的产品，即药物/器械、生物制品/器械、药物/生物制品或药物/器械/生物制品，它们以物理、化学或其他方式组合或混合并作为单一实体生产。</w:t>
      </w:r>
      <w:r>
        <w:rPr>
          <w:rFonts w:hint="eastAsia" w:ascii="宋体" w:hAnsi="宋体" w:eastAsia="宋体"/>
          <w:sz w:val="24"/>
          <w:lang w:eastAsia="zh-CN"/>
        </w:rPr>
        <w:t>“</w:t>
      </w:r>
      <w:r>
        <w:rPr>
          <w:rFonts w:hint="eastAsia" w:eastAsia="宋体"/>
          <w:snapToGrid w:val="0"/>
          <w:sz w:val="24"/>
          <w:szCs w:val="24"/>
          <w:lang w:eastAsia="zh-CN"/>
        </w:rPr>
        <w:t>单一实体</w:t>
      </w:r>
      <w:r>
        <w:rPr>
          <w:rFonts w:hint="eastAsia" w:ascii="宋体" w:hAnsi="宋体" w:eastAsia="宋体"/>
          <w:sz w:val="24"/>
          <w:lang w:eastAsia="zh-CN"/>
        </w:rPr>
        <w:t>”</w:t>
      </w:r>
      <w:r>
        <w:rPr>
          <w:rFonts w:hint="eastAsia" w:eastAsia="宋体"/>
          <w:snapToGrid w:val="0"/>
          <w:sz w:val="24"/>
          <w:szCs w:val="24"/>
          <w:lang w:eastAsia="zh-CN"/>
        </w:rPr>
        <w:t>组合产品的示例包括预充式注射器、透皮贴片或药物洗脱支架。</w:t>
      </w:r>
    </w:p>
    <w:p w14:paraId="3F741B92">
      <w:pPr>
        <w:pStyle w:val="24"/>
        <w:tabs>
          <w:tab w:val="left" w:pos="1358"/>
        </w:tabs>
        <w:autoSpaceDE/>
        <w:autoSpaceDN/>
        <w:snapToGrid w:val="0"/>
        <w:ind w:left="880" w:leftChars="400" w:firstLine="0"/>
        <w:jc w:val="both"/>
        <w:rPr>
          <w:rFonts w:eastAsia="宋体"/>
          <w:snapToGrid w:val="0"/>
          <w:sz w:val="24"/>
          <w:szCs w:val="24"/>
          <w:lang w:eastAsia="zh-CN"/>
        </w:rPr>
      </w:pPr>
    </w:p>
    <w:p w14:paraId="17302E47">
      <w:pPr>
        <w:pStyle w:val="24"/>
        <w:numPr>
          <w:ilvl w:val="0"/>
          <w:numId w:val="2"/>
        </w:numPr>
        <w:tabs>
          <w:tab w:val="left" w:pos="1358"/>
        </w:tabs>
        <w:autoSpaceDE/>
        <w:autoSpaceDN/>
        <w:snapToGrid w:val="0"/>
        <w:ind w:left="1360" w:leftChars="400" w:hanging="480" w:hangingChars="200"/>
        <w:jc w:val="both"/>
        <w:rPr>
          <w:rFonts w:eastAsia="宋体"/>
          <w:snapToGrid w:val="0"/>
          <w:sz w:val="24"/>
          <w:szCs w:val="24"/>
          <w:lang w:eastAsia="zh-CN"/>
        </w:rPr>
      </w:pPr>
      <w:r>
        <w:rPr>
          <w:rFonts w:hint="eastAsia" w:eastAsia="宋体"/>
          <w:snapToGrid w:val="0"/>
          <w:sz w:val="24"/>
          <w:szCs w:val="24"/>
          <w:lang w:eastAsia="zh-CN"/>
        </w:rPr>
        <w:t>两种或两种以上独立的产品在一个包装里或作为一个单元包装在一起，且由药品和器械、器械和生物制品、或生物制品和药品组成的产品。</w:t>
      </w:r>
      <w:r>
        <w:rPr>
          <w:rFonts w:hint="eastAsia" w:ascii="宋体" w:hAnsi="宋体" w:eastAsia="宋体"/>
          <w:sz w:val="24"/>
          <w:lang w:eastAsia="zh-CN"/>
        </w:rPr>
        <w:t>“</w:t>
      </w:r>
      <w:r>
        <w:rPr>
          <w:rFonts w:hint="eastAsia" w:eastAsia="宋体"/>
          <w:snapToGrid w:val="0"/>
          <w:sz w:val="24"/>
          <w:szCs w:val="24"/>
          <w:lang w:eastAsia="zh-CN"/>
        </w:rPr>
        <w:t>组合包装</w:t>
      </w:r>
      <w:r>
        <w:rPr>
          <w:rFonts w:hint="eastAsia" w:ascii="宋体" w:hAnsi="宋体" w:eastAsia="宋体"/>
          <w:sz w:val="24"/>
          <w:lang w:eastAsia="zh-CN"/>
        </w:rPr>
        <w:t>”</w:t>
      </w:r>
      <w:r>
        <w:rPr>
          <w:rFonts w:hint="eastAsia" w:eastAsia="宋体"/>
          <w:snapToGrid w:val="0"/>
          <w:sz w:val="24"/>
          <w:szCs w:val="24"/>
          <w:lang w:eastAsia="zh-CN"/>
        </w:rPr>
        <w:t>的组合产品示例包括手术包和急救箱。</w:t>
      </w:r>
    </w:p>
    <w:p w14:paraId="37B537CC">
      <w:pPr>
        <w:pStyle w:val="24"/>
        <w:tabs>
          <w:tab w:val="left" w:pos="1358"/>
        </w:tabs>
        <w:autoSpaceDE/>
        <w:autoSpaceDN/>
        <w:snapToGrid w:val="0"/>
        <w:ind w:left="880" w:leftChars="400" w:firstLine="0"/>
        <w:jc w:val="both"/>
        <w:rPr>
          <w:rFonts w:eastAsia="宋体"/>
          <w:snapToGrid w:val="0"/>
          <w:sz w:val="24"/>
          <w:szCs w:val="24"/>
          <w:lang w:eastAsia="zh-CN"/>
        </w:rPr>
      </w:pPr>
    </w:p>
    <w:p w14:paraId="4D4F4114">
      <w:pPr>
        <w:pStyle w:val="24"/>
        <w:numPr>
          <w:ilvl w:val="0"/>
          <w:numId w:val="2"/>
        </w:numPr>
        <w:tabs>
          <w:tab w:val="left" w:pos="1358"/>
        </w:tabs>
        <w:autoSpaceDE/>
        <w:autoSpaceDN/>
        <w:snapToGrid w:val="0"/>
        <w:ind w:left="1360" w:leftChars="400" w:hanging="480" w:hangingChars="200"/>
        <w:jc w:val="both"/>
        <w:rPr>
          <w:rFonts w:eastAsia="宋体"/>
          <w:snapToGrid w:val="0"/>
          <w:sz w:val="24"/>
          <w:szCs w:val="24"/>
          <w:lang w:eastAsia="zh-CN"/>
        </w:rPr>
      </w:pPr>
      <w:r>
        <w:rPr>
          <w:rFonts w:hint="eastAsia" w:eastAsia="宋体"/>
          <w:snapToGrid w:val="0"/>
          <w:sz w:val="24"/>
          <w:szCs w:val="24"/>
          <w:lang w:eastAsia="zh-CN"/>
        </w:rPr>
        <w:t>单独包装的药品、器械或生物制品，根据其研究计划或拟定标签，仅与已单独获批的指定药品、器械或生物制品一起使用，两者都需要实现预期用途、适应症或疗效。该申报产品在获批后，则需变更已批准产品的标签，如：需要反映预期用途、剂型、规格、给药途径的变更或剂量的重大变更。此类</w:t>
      </w:r>
      <w:r>
        <w:rPr>
          <w:rFonts w:hint="eastAsia" w:ascii="宋体" w:hAnsi="宋体" w:eastAsia="宋体"/>
          <w:sz w:val="24"/>
          <w:lang w:eastAsia="zh-CN"/>
        </w:rPr>
        <w:t>“</w:t>
      </w:r>
      <w:r>
        <w:rPr>
          <w:rFonts w:hint="eastAsia" w:eastAsia="宋体"/>
          <w:snapToGrid w:val="0"/>
          <w:sz w:val="24"/>
          <w:szCs w:val="24"/>
          <w:lang w:eastAsia="zh-CN"/>
        </w:rPr>
        <w:t>交叉标签</w:t>
      </w:r>
      <w:r>
        <w:rPr>
          <w:rFonts w:hint="eastAsia" w:ascii="宋体" w:hAnsi="宋体" w:eastAsia="宋体"/>
          <w:sz w:val="24"/>
          <w:lang w:eastAsia="zh-CN"/>
        </w:rPr>
        <w:t>”</w:t>
      </w:r>
      <w:r>
        <w:rPr>
          <w:rFonts w:hint="eastAsia" w:eastAsia="宋体"/>
          <w:snapToGrid w:val="0"/>
          <w:sz w:val="24"/>
          <w:szCs w:val="24"/>
          <w:lang w:eastAsia="zh-CN"/>
        </w:rPr>
        <w:t>组合产品的示例为预期与特定的光激活药品一起使用的发光器械。</w:t>
      </w:r>
    </w:p>
    <w:p w14:paraId="3287BD18">
      <w:pPr>
        <w:pStyle w:val="24"/>
        <w:tabs>
          <w:tab w:val="left" w:pos="1358"/>
        </w:tabs>
        <w:autoSpaceDE/>
        <w:autoSpaceDN/>
        <w:snapToGrid w:val="0"/>
        <w:ind w:left="880" w:leftChars="400" w:firstLine="0"/>
        <w:jc w:val="both"/>
        <w:rPr>
          <w:rFonts w:eastAsia="宋体"/>
          <w:snapToGrid w:val="0"/>
          <w:sz w:val="24"/>
          <w:szCs w:val="24"/>
          <w:lang w:eastAsia="zh-CN"/>
        </w:rPr>
      </w:pPr>
    </w:p>
    <w:p w14:paraId="1A2BC5A9">
      <w:pPr>
        <w:pStyle w:val="24"/>
        <w:numPr>
          <w:ilvl w:val="0"/>
          <w:numId w:val="2"/>
        </w:numPr>
        <w:tabs>
          <w:tab w:val="left" w:pos="1358"/>
        </w:tabs>
        <w:autoSpaceDE/>
        <w:autoSpaceDN/>
        <w:snapToGrid w:val="0"/>
        <w:ind w:left="1360" w:leftChars="400" w:hanging="480" w:hangingChars="200"/>
        <w:jc w:val="both"/>
        <w:rPr>
          <w:rFonts w:eastAsia="宋体"/>
          <w:snapToGrid w:val="0"/>
          <w:sz w:val="24"/>
          <w:szCs w:val="24"/>
          <w:lang w:eastAsia="zh-CN"/>
        </w:rPr>
      </w:pPr>
      <w:r>
        <w:rPr>
          <w:rFonts w:hint="eastAsia" w:eastAsia="宋体"/>
          <w:snapToGrid w:val="0"/>
          <w:sz w:val="24"/>
          <w:szCs w:val="24"/>
          <w:lang w:eastAsia="zh-CN"/>
        </w:rPr>
        <w:t>任何单独包装的研究药物、器械或生物制品，根据其拟定标签，仅与另一种指定的研究药物、器械或生物制品一起使用，两者均需实现预期用途、适应症或疗效（交叉标签组合产品状态的另一个依据）。</w:t>
      </w:r>
    </w:p>
    <w:p w14:paraId="386A8CF7">
      <w:pPr>
        <w:autoSpaceDE/>
        <w:autoSpaceDN/>
        <w:snapToGrid w:val="0"/>
        <w:jc w:val="both"/>
        <w:rPr>
          <w:rFonts w:eastAsia="宋体"/>
          <w:snapToGrid w:val="0"/>
          <w:sz w:val="24"/>
          <w:szCs w:val="24"/>
          <w:lang w:eastAsia="zh-CN"/>
        </w:rPr>
      </w:pPr>
      <w:r>
        <w:rPr>
          <w:rFonts w:hint="eastAsia" w:eastAsia="宋体"/>
          <w:sz w:val="24"/>
          <w:szCs w:val="24"/>
          <w:lang w:eastAsia="zh-CN"/>
        </w:rPr>
        <w:br w:type="page"/>
      </w:r>
    </w:p>
    <w:p w14:paraId="3DC4564B">
      <w:pPr>
        <w:autoSpaceDE/>
        <w:autoSpaceDN/>
        <w:snapToGrid w:val="0"/>
        <w:jc w:val="both"/>
        <w:rPr>
          <w:rFonts w:eastAsia="宋体"/>
          <w:snapToGrid w:val="0"/>
          <w:sz w:val="24"/>
          <w:szCs w:val="24"/>
          <w:lang w:eastAsia="zh-CN"/>
        </w:rPr>
      </w:pPr>
    </w:p>
    <w:p w14:paraId="48F9F390">
      <w:pPr>
        <w:pStyle w:val="3"/>
        <w:autoSpaceDE/>
        <w:autoSpaceDN/>
        <w:spacing w:before="0" w:beforeLines="0" w:line="240" w:lineRule="auto"/>
        <w:ind w:left="1442" w:leftChars="400" w:hanging="562"/>
        <w:rPr>
          <w:snapToGrid w:val="0"/>
          <w:szCs w:val="24"/>
          <w:lang w:eastAsia="zh-CN"/>
        </w:rPr>
      </w:pPr>
      <w:bookmarkStart w:id="6" w:name="_Toc95145696"/>
      <w:bookmarkStart w:id="7" w:name="_Toc97551497"/>
      <w:r>
        <w:rPr>
          <w:rFonts w:hint="eastAsia"/>
          <w:snapToGrid w:val="0"/>
          <w:szCs w:val="24"/>
          <w:lang w:eastAsia="zh-CN"/>
        </w:rPr>
        <w:t>B.</w:t>
      </w:r>
      <w:r>
        <w:rPr>
          <w:rFonts w:hint="eastAsia"/>
          <w:snapToGrid w:val="0"/>
          <w:szCs w:val="24"/>
          <w:lang w:eastAsia="zh-CN"/>
        </w:rPr>
        <w:tab/>
      </w:r>
      <w:r>
        <w:rPr>
          <w:rFonts w:hint="eastAsia"/>
          <w:snapToGrid w:val="0"/>
          <w:szCs w:val="24"/>
          <w:lang w:eastAsia="zh-CN"/>
        </w:rPr>
        <w:t>FDA审查和监管组合产品的方式？</w:t>
      </w:r>
      <w:bookmarkEnd w:id="6"/>
      <w:bookmarkEnd w:id="7"/>
    </w:p>
    <w:p w14:paraId="73DC224D">
      <w:pPr>
        <w:autoSpaceDE/>
        <w:autoSpaceDN/>
        <w:snapToGrid w:val="0"/>
        <w:jc w:val="both"/>
        <w:rPr>
          <w:rFonts w:eastAsia="宋体"/>
          <w:snapToGrid w:val="0"/>
          <w:sz w:val="24"/>
          <w:szCs w:val="24"/>
          <w:lang w:eastAsia="zh-CN"/>
        </w:rPr>
      </w:pPr>
    </w:p>
    <w:p w14:paraId="72A6536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将组合产品分配给对该组合产品负主要管辖权（包括确保符合上市后监管要求）的FDA中心（即</w:t>
      </w:r>
      <w:r>
        <w:rPr>
          <w:rFonts w:hint="eastAsia" w:ascii="宋体" w:hAnsi="宋体" w:eastAsia="宋体"/>
          <w:lang w:eastAsia="zh-CN"/>
        </w:rPr>
        <w:t>“</w:t>
      </w:r>
      <w:r>
        <w:rPr>
          <w:rFonts w:hint="eastAsia" w:eastAsia="宋体"/>
          <w:snapToGrid w:val="0"/>
          <w:lang w:eastAsia="zh-CN"/>
        </w:rPr>
        <w:t>牵头中心</w:t>
      </w:r>
      <w:r>
        <w:rPr>
          <w:rFonts w:hint="eastAsia" w:ascii="宋体" w:hAnsi="宋体" w:eastAsia="宋体"/>
          <w:lang w:eastAsia="zh-CN"/>
        </w:rPr>
        <w:t>”</w:t>
      </w:r>
      <w:r>
        <w:rPr>
          <w:rFonts w:hint="eastAsia" w:eastAsia="宋体"/>
          <w:snapToGrid w:val="0"/>
          <w:lang w:eastAsia="zh-CN"/>
        </w:rPr>
        <w:t>）。根据《联邦食品、药品和化妆品法案》（《FD&amp;C法案》）（21 U.S.C.353（g）（1））第503（g）（1）节，组合产品分配给牵头中心是基于确定何种组成部分提供了该组合产品的主要作用模式（PMOA）。</w:t>
      </w:r>
      <w:r>
        <w:rPr>
          <w:rStyle w:val="22"/>
          <w:rFonts w:hint="eastAsia" w:eastAsia="宋体"/>
          <w:snapToGrid w:val="0"/>
          <w:lang w:eastAsia="zh-CN"/>
        </w:rPr>
        <w:footnoteReference w:id="3"/>
      </w:r>
      <w:r>
        <w:rPr>
          <w:rFonts w:hint="eastAsia" w:eastAsia="宋体"/>
          <w:snapToGrid w:val="0"/>
          <w:lang w:eastAsia="zh-CN"/>
        </w:rPr>
        <w:t>例如，若器械-生物制品组合产品的PMOA归因于生物制品组成部分，则负责此类生物制品上市前审查的中心对该组合产品的监管具有主要管辖权。</w:t>
      </w:r>
    </w:p>
    <w:p w14:paraId="347395B2">
      <w:pPr>
        <w:pStyle w:val="7"/>
        <w:autoSpaceDE/>
        <w:autoSpaceDN/>
        <w:snapToGrid w:val="0"/>
        <w:ind w:firstLine="480" w:firstLineChars="200"/>
        <w:jc w:val="both"/>
        <w:rPr>
          <w:rFonts w:eastAsia="宋体"/>
          <w:snapToGrid w:val="0"/>
          <w:lang w:eastAsia="zh-CN"/>
        </w:rPr>
      </w:pPr>
    </w:p>
    <w:p w14:paraId="2B06451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无论PMOA如何，FDA各部门将酌情进行协调，以确保高效、有效、适当一致的PMSR政策和PMSR信息审查。对于组合产品PMSR，牵头中心将根据提出的问题和所需的专业知识，酌情与其他中心和组合产品办公室（OCP）协调PMSR信息审查和对提交人的任何回复。</w:t>
      </w:r>
    </w:p>
    <w:p w14:paraId="77BA1D99">
      <w:pPr>
        <w:pStyle w:val="7"/>
        <w:autoSpaceDE/>
        <w:autoSpaceDN/>
        <w:snapToGrid w:val="0"/>
        <w:jc w:val="both"/>
        <w:rPr>
          <w:rFonts w:eastAsia="宋体"/>
          <w:snapToGrid w:val="0"/>
          <w:lang w:eastAsia="zh-CN"/>
        </w:rPr>
      </w:pPr>
      <w:bookmarkStart w:id="8" w:name="_Toc95145697"/>
    </w:p>
    <w:p w14:paraId="3F8CA743">
      <w:pPr>
        <w:pStyle w:val="2"/>
        <w:numPr>
          <w:ilvl w:val="0"/>
          <w:numId w:val="1"/>
        </w:numPr>
        <w:tabs>
          <w:tab w:val="left" w:pos="868"/>
        </w:tabs>
        <w:autoSpaceDE/>
        <w:autoSpaceDN/>
        <w:spacing w:before="0" w:beforeLines="0" w:line="240" w:lineRule="auto"/>
        <w:ind w:left="880" w:hanging="880" w:hangingChars="313"/>
        <w:rPr>
          <w:sz w:val="28"/>
          <w:lang w:eastAsia="zh-CN"/>
        </w:rPr>
      </w:pPr>
      <w:bookmarkStart w:id="9" w:name="_Toc97551498"/>
      <w:r>
        <w:rPr>
          <w:rFonts w:hint="eastAsia"/>
          <w:sz w:val="28"/>
          <w:lang w:eastAsia="zh-CN"/>
        </w:rPr>
        <w:t>组合产品</w:t>
      </w:r>
      <w:r>
        <w:rPr>
          <w:sz w:val="28"/>
          <w:lang w:eastAsia="zh-CN"/>
        </w:rPr>
        <w:t>PMSR</w:t>
      </w:r>
      <w:r>
        <w:rPr>
          <w:rFonts w:hint="eastAsia"/>
          <w:sz w:val="28"/>
          <w:lang w:eastAsia="zh-CN"/>
        </w:rPr>
        <w:t>合规性的一般考虑因素</w:t>
      </w:r>
      <w:bookmarkEnd w:id="8"/>
      <w:bookmarkEnd w:id="9"/>
    </w:p>
    <w:p w14:paraId="1214D675">
      <w:pPr>
        <w:autoSpaceDE/>
        <w:autoSpaceDN/>
        <w:snapToGrid w:val="0"/>
        <w:jc w:val="both"/>
        <w:rPr>
          <w:rFonts w:eastAsia="宋体"/>
          <w:snapToGrid w:val="0"/>
          <w:sz w:val="24"/>
          <w:szCs w:val="24"/>
          <w:lang w:eastAsia="zh-CN"/>
        </w:rPr>
      </w:pPr>
    </w:p>
    <w:p w14:paraId="381004C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组合产品PMSR最终规则涉及需要接受FDA上市前审查的组合产品。必须符合最终规则的实体为</w:t>
      </w:r>
      <w:r>
        <w:rPr>
          <w:rFonts w:hint="eastAsia" w:ascii="宋体" w:hAnsi="宋体" w:eastAsia="宋体"/>
          <w:lang w:eastAsia="zh-CN"/>
        </w:rPr>
        <w:t>“</w:t>
      </w:r>
      <w:r>
        <w:rPr>
          <w:rFonts w:hint="eastAsia" w:eastAsia="宋体"/>
          <w:snapToGrid w:val="0"/>
          <w:lang w:eastAsia="zh-CN"/>
        </w:rPr>
        <w:t>组合产品申请人</w:t>
      </w:r>
      <w:r>
        <w:rPr>
          <w:rFonts w:hint="eastAsia" w:ascii="宋体" w:hAnsi="宋体" w:eastAsia="宋体"/>
          <w:lang w:eastAsia="zh-CN"/>
        </w:rPr>
        <w:t>”</w:t>
      </w:r>
      <w:r>
        <w:rPr>
          <w:rFonts w:hint="eastAsia" w:eastAsia="宋体"/>
          <w:snapToGrid w:val="0"/>
          <w:lang w:eastAsia="zh-CN"/>
        </w:rPr>
        <w:t>和</w:t>
      </w:r>
      <w:r>
        <w:rPr>
          <w:rFonts w:hint="eastAsia" w:ascii="宋体" w:hAnsi="宋体" w:eastAsia="宋体"/>
          <w:lang w:eastAsia="zh-CN"/>
        </w:rPr>
        <w:t>“</w:t>
      </w:r>
      <w:r>
        <w:rPr>
          <w:rFonts w:hint="eastAsia" w:eastAsia="宋体"/>
          <w:snapToGrid w:val="0"/>
          <w:lang w:eastAsia="zh-CN"/>
        </w:rPr>
        <w:t>组成部分申请人</w:t>
      </w:r>
      <w:r>
        <w:rPr>
          <w:rFonts w:hint="eastAsia" w:ascii="宋体" w:hAnsi="宋体" w:eastAsia="宋体"/>
          <w:lang w:eastAsia="zh-CN"/>
        </w:rPr>
        <w:t>”</w:t>
      </w:r>
      <w:r>
        <w:rPr>
          <w:rFonts w:hint="eastAsia" w:eastAsia="宋体"/>
          <w:snapToGrid w:val="0"/>
          <w:lang w:eastAsia="zh-CN"/>
        </w:rPr>
        <w:t>（有关这两类实体的详细解释，请参见下文第</w:t>
      </w:r>
      <w:bookmarkStart w:id="10" w:name="OLE_LINK2"/>
      <w:bookmarkStart w:id="11" w:name="OLE_LINK1"/>
      <w:r>
        <w:rPr>
          <w:rFonts w:hint="eastAsia" w:eastAsia="宋体"/>
          <w:snapToGrid w:val="0"/>
          <w:lang w:eastAsia="zh-CN"/>
        </w:rPr>
        <w:t>III</w:t>
      </w:r>
      <w:bookmarkEnd w:id="10"/>
      <w:bookmarkEnd w:id="11"/>
      <w:r>
        <w:rPr>
          <w:rFonts w:hint="eastAsia" w:eastAsia="宋体"/>
          <w:snapToGrid w:val="0"/>
          <w:lang w:eastAsia="zh-CN"/>
        </w:rPr>
        <w:t>.A节）。最终规则的主要元素包括：</w:t>
      </w:r>
    </w:p>
    <w:p w14:paraId="31EF95C2">
      <w:pPr>
        <w:pStyle w:val="7"/>
        <w:autoSpaceDE/>
        <w:autoSpaceDN/>
        <w:snapToGrid w:val="0"/>
        <w:jc w:val="both"/>
        <w:rPr>
          <w:rFonts w:eastAsia="宋体"/>
          <w:snapToGrid w:val="0"/>
          <w:lang w:eastAsia="zh-CN"/>
        </w:rPr>
      </w:pPr>
    </w:p>
    <w:p w14:paraId="3940F974">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基于申请类型的报告要求。</w:t>
      </w:r>
      <w:r>
        <w:rPr>
          <w:rFonts w:hint="eastAsia" w:eastAsia="宋体"/>
          <w:snapToGrid w:val="0"/>
          <w:sz w:val="24"/>
          <w:szCs w:val="24"/>
          <w:lang w:eastAsia="zh-CN"/>
        </w:rPr>
        <w:t>根据组合产品或组成部分获得上市许可的申请类型，这些要求</w:t>
      </w:r>
      <w:r>
        <w:rPr>
          <w:rFonts w:hint="eastAsia" w:eastAsia="宋体"/>
          <w:i/>
          <w:snapToGrid w:val="0"/>
          <w:sz w:val="24"/>
          <w:szCs w:val="24"/>
          <w:lang w:eastAsia="zh-CN"/>
        </w:rPr>
        <w:t>同时</w:t>
      </w:r>
      <w:r>
        <w:rPr>
          <w:rFonts w:hint="eastAsia" w:eastAsia="宋体"/>
          <w:snapToGrid w:val="0"/>
          <w:sz w:val="24"/>
          <w:szCs w:val="24"/>
          <w:lang w:eastAsia="zh-CN"/>
        </w:rPr>
        <w:t>适用于组合产品申请人和组成部分申请人（基于申请类型的报告要求的详细讨论，请参见第</w:t>
      </w:r>
      <w:r>
        <w:rPr>
          <w:rFonts w:hint="eastAsia" w:eastAsia="宋体"/>
          <w:snapToGrid w:val="0"/>
          <w:sz w:val="24"/>
          <w:lang w:eastAsia="zh-CN"/>
        </w:rPr>
        <w:t>III</w:t>
      </w:r>
      <w:r>
        <w:rPr>
          <w:rFonts w:hint="eastAsia" w:eastAsia="宋体"/>
          <w:snapToGrid w:val="0"/>
          <w:sz w:val="24"/>
          <w:szCs w:val="24"/>
          <w:lang w:eastAsia="zh-CN"/>
        </w:rPr>
        <w:t>.B.1节。）</w:t>
      </w:r>
    </w:p>
    <w:p w14:paraId="1D2FC81C">
      <w:pPr>
        <w:pStyle w:val="24"/>
        <w:autoSpaceDE/>
        <w:autoSpaceDN/>
        <w:snapToGrid w:val="0"/>
        <w:ind w:left="860" w:firstLine="0"/>
        <w:jc w:val="both"/>
        <w:rPr>
          <w:rFonts w:eastAsia="宋体"/>
          <w:snapToGrid w:val="0"/>
          <w:sz w:val="24"/>
          <w:szCs w:val="24"/>
          <w:lang w:eastAsia="zh-CN"/>
        </w:rPr>
      </w:pPr>
    </w:p>
    <w:p w14:paraId="5AB22B6B">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基于组成部分的报告要求。</w:t>
      </w:r>
      <w:r>
        <w:rPr>
          <w:rFonts w:hint="eastAsia" w:eastAsia="宋体"/>
          <w:snapToGrid w:val="0"/>
          <w:sz w:val="24"/>
          <w:szCs w:val="24"/>
          <w:lang w:eastAsia="zh-CN"/>
        </w:rPr>
        <w:t>基于组成部分的报告要求</w:t>
      </w:r>
      <w:r>
        <w:rPr>
          <w:rFonts w:hint="eastAsia" w:eastAsia="宋体"/>
          <w:i/>
          <w:snapToGrid w:val="0"/>
          <w:sz w:val="24"/>
          <w:szCs w:val="24"/>
          <w:lang w:eastAsia="zh-CN"/>
        </w:rPr>
        <w:t>仅</w:t>
      </w:r>
      <w:r>
        <w:rPr>
          <w:rFonts w:hint="eastAsia" w:eastAsia="宋体"/>
          <w:snapToGrid w:val="0"/>
          <w:sz w:val="24"/>
          <w:szCs w:val="24"/>
          <w:lang w:eastAsia="zh-CN"/>
        </w:rPr>
        <w:t>适用于组合产品申请人，且基于组合产品中包含的组成部分类型。（上述要求的详细讨论，请参见下文第III.B.2节和第IV节。）</w:t>
      </w:r>
    </w:p>
    <w:p w14:paraId="10D4F9E1">
      <w:pPr>
        <w:autoSpaceDE/>
        <w:autoSpaceDN/>
        <w:snapToGrid w:val="0"/>
        <w:jc w:val="both"/>
        <w:rPr>
          <w:rFonts w:eastAsia="宋体"/>
          <w:snapToGrid w:val="0"/>
          <w:color w:val="0000FF"/>
          <w:sz w:val="24"/>
          <w:szCs w:val="24"/>
          <w:lang w:eastAsia="zh-CN"/>
        </w:rPr>
      </w:pPr>
      <w:r>
        <w:rPr>
          <w:rFonts w:hint="eastAsia" w:eastAsia="宋体"/>
          <w:snapToGrid w:val="0"/>
          <w:color w:val="0000FF"/>
          <w:sz w:val="24"/>
          <w:szCs w:val="24"/>
          <w:lang w:eastAsia="zh-CN"/>
        </w:rPr>
        <w:br w:type="page"/>
      </w:r>
    </w:p>
    <w:p w14:paraId="79D1D16E">
      <w:pPr>
        <w:autoSpaceDE/>
        <w:autoSpaceDN/>
        <w:snapToGrid w:val="0"/>
        <w:jc w:val="both"/>
        <w:rPr>
          <w:rFonts w:eastAsia="宋体"/>
          <w:snapToGrid w:val="0"/>
          <w:color w:val="0000FF"/>
          <w:sz w:val="24"/>
          <w:szCs w:val="24"/>
          <w:lang w:eastAsia="zh-CN"/>
        </w:rPr>
      </w:pPr>
    </w:p>
    <w:p w14:paraId="470D50EF">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信息共享。</w:t>
      </w:r>
      <w:r>
        <w:rPr>
          <w:rFonts w:hint="eastAsia" w:eastAsia="宋体"/>
          <w:snapToGrid w:val="0"/>
          <w:sz w:val="24"/>
          <w:szCs w:val="24"/>
          <w:lang w:eastAsia="zh-CN"/>
        </w:rPr>
        <w:t>该规则要求组成部分申请人相互分享他们收到的某些上市后安全性信息（详细讨论请参见下文第IV.D节。）</w:t>
      </w:r>
    </w:p>
    <w:p w14:paraId="7A45C79A">
      <w:pPr>
        <w:pStyle w:val="24"/>
        <w:autoSpaceDE/>
        <w:autoSpaceDN/>
        <w:snapToGrid w:val="0"/>
        <w:ind w:left="920" w:firstLine="0"/>
        <w:jc w:val="both"/>
        <w:rPr>
          <w:rFonts w:eastAsia="宋体"/>
          <w:snapToGrid w:val="0"/>
          <w:sz w:val="24"/>
          <w:szCs w:val="24"/>
          <w:lang w:eastAsia="zh-CN"/>
        </w:rPr>
      </w:pPr>
    </w:p>
    <w:p w14:paraId="4D9C3AF7">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提交程序。</w:t>
      </w:r>
      <w:r>
        <w:rPr>
          <w:rFonts w:hint="eastAsia" w:eastAsia="宋体"/>
          <w:snapToGrid w:val="0"/>
          <w:sz w:val="24"/>
          <w:szCs w:val="24"/>
          <w:lang w:eastAsia="zh-CN"/>
        </w:rPr>
        <w:t>该规则规定了组合产品和组成部分申请人必须以何种方式向FDA提交PMSR信息（如何向FDA提交信息的详细讨论，请参见第V.A节。）</w:t>
      </w:r>
    </w:p>
    <w:p w14:paraId="519E71E3">
      <w:pPr>
        <w:pStyle w:val="24"/>
        <w:autoSpaceDE/>
        <w:autoSpaceDN/>
        <w:snapToGrid w:val="0"/>
        <w:ind w:left="920" w:firstLine="0"/>
        <w:jc w:val="both"/>
        <w:rPr>
          <w:rFonts w:eastAsia="宋体"/>
          <w:snapToGrid w:val="0"/>
          <w:sz w:val="24"/>
          <w:szCs w:val="24"/>
          <w:lang w:eastAsia="zh-CN"/>
        </w:rPr>
      </w:pPr>
    </w:p>
    <w:p w14:paraId="258A89B9">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简化报告。</w:t>
      </w:r>
      <w:r>
        <w:rPr>
          <w:rFonts w:hint="eastAsia" w:eastAsia="宋体"/>
          <w:snapToGrid w:val="0"/>
          <w:sz w:val="24"/>
          <w:szCs w:val="24"/>
          <w:lang w:eastAsia="zh-CN"/>
        </w:rPr>
        <w:t>该规则提供了在同一份报告中同时满足某些报告要求的方法。（简化报告的机会和方法的详细讨论，请参见第IV.C节和第V.A.3节。）</w:t>
      </w:r>
    </w:p>
    <w:p w14:paraId="6533529C">
      <w:pPr>
        <w:pStyle w:val="24"/>
        <w:autoSpaceDE/>
        <w:autoSpaceDN/>
        <w:snapToGrid w:val="0"/>
        <w:ind w:left="920" w:firstLine="0"/>
        <w:jc w:val="both"/>
        <w:rPr>
          <w:rFonts w:eastAsia="宋体"/>
          <w:snapToGrid w:val="0"/>
          <w:sz w:val="24"/>
          <w:szCs w:val="24"/>
          <w:lang w:eastAsia="zh-CN"/>
        </w:rPr>
      </w:pPr>
    </w:p>
    <w:p w14:paraId="355BDE66">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记录保存。</w:t>
      </w:r>
      <w:r>
        <w:rPr>
          <w:rFonts w:hint="eastAsia" w:eastAsia="宋体"/>
          <w:snapToGrid w:val="0"/>
          <w:sz w:val="24"/>
          <w:szCs w:val="24"/>
          <w:lang w:eastAsia="zh-CN"/>
        </w:rPr>
        <w:t>该规则规定了组合产品和组成部分申请人必须保留的记录以及保留时间（详细讨论请参见下文第IV.E节。）</w:t>
      </w:r>
    </w:p>
    <w:p w14:paraId="3E5BAFFB">
      <w:pPr>
        <w:pStyle w:val="24"/>
        <w:autoSpaceDE/>
        <w:autoSpaceDN/>
        <w:snapToGrid w:val="0"/>
        <w:ind w:left="920" w:firstLine="0"/>
        <w:jc w:val="both"/>
        <w:rPr>
          <w:rFonts w:eastAsia="宋体"/>
          <w:snapToGrid w:val="0"/>
          <w:sz w:val="24"/>
          <w:szCs w:val="24"/>
          <w:lang w:eastAsia="zh-CN"/>
        </w:rPr>
      </w:pPr>
    </w:p>
    <w:p w14:paraId="7A063C61">
      <w:pPr>
        <w:pStyle w:val="3"/>
        <w:autoSpaceDE/>
        <w:autoSpaceDN/>
        <w:spacing w:before="0" w:beforeLines="0" w:line="240" w:lineRule="auto"/>
        <w:ind w:left="1442" w:leftChars="400" w:hanging="562"/>
        <w:rPr>
          <w:snapToGrid w:val="0"/>
          <w:szCs w:val="24"/>
          <w:lang w:eastAsia="zh-CN"/>
        </w:rPr>
      </w:pPr>
      <w:bookmarkStart w:id="12" w:name="_Toc97551499"/>
      <w:bookmarkStart w:id="13" w:name="_Toc95145698"/>
      <w:r>
        <w:rPr>
          <w:rFonts w:hint="eastAsia"/>
          <w:snapToGrid w:val="0"/>
          <w:szCs w:val="24"/>
          <w:lang w:eastAsia="zh-CN"/>
        </w:rPr>
        <w:t>A.</w:t>
      </w:r>
      <w:r>
        <w:rPr>
          <w:rFonts w:hint="eastAsia"/>
          <w:snapToGrid w:val="0"/>
          <w:szCs w:val="24"/>
          <w:lang w:eastAsia="zh-CN"/>
        </w:rPr>
        <w:tab/>
      </w:r>
      <w:r>
        <w:rPr>
          <w:rFonts w:hint="eastAsia"/>
          <w:snapToGrid w:val="0"/>
          <w:szCs w:val="24"/>
          <w:lang w:eastAsia="zh-CN"/>
        </w:rPr>
        <w:t>组合产品PMSR最终规则的约束方？</w:t>
      </w:r>
      <w:bookmarkEnd w:id="12"/>
      <w:bookmarkEnd w:id="13"/>
    </w:p>
    <w:p w14:paraId="1C9E77A7">
      <w:pPr>
        <w:autoSpaceDE/>
        <w:autoSpaceDN/>
        <w:snapToGrid w:val="0"/>
        <w:jc w:val="both"/>
        <w:rPr>
          <w:rFonts w:eastAsia="宋体"/>
          <w:snapToGrid w:val="0"/>
          <w:sz w:val="24"/>
          <w:szCs w:val="24"/>
          <w:lang w:eastAsia="zh-CN"/>
        </w:rPr>
      </w:pPr>
    </w:p>
    <w:p w14:paraId="473A9BB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组合产品PMSR最终规则适用于两类</w:t>
      </w:r>
      <w:r>
        <w:rPr>
          <w:rFonts w:hint="eastAsia" w:ascii="宋体" w:hAnsi="宋体" w:eastAsia="宋体"/>
          <w:lang w:eastAsia="zh-CN"/>
        </w:rPr>
        <w:t>“</w:t>
      </w:r>
      <w:r>
        <w:rPr>
          <w:rFonts w:hint="eastAsia" w:eastAsia="宋体"/>
          <w:snapToGrid w:val="0"/>
          <w:lang w:eastAsia="zh-CN"/>
        </w:rPr>
        <w:t>申请人</w:t>
      </w:r>
      <w:r>
        <w:rPr>
          <w:rFonts w:hint="eastAsia" w:ascii="宋体" w:hAnsi="宋体" w:eastAsia="宋体"/>
          <w:lang w:eastAsia="zh-CN"/>
        </w:rPr>
        <w:t>”</w:t>
      </w:r>
      <w:r>
        <w:rPr>
          <w:rFonts w:hint="eastAsia" w:eastAsia="宋体"/>
          <w:snapToGrid w:val="0"/>
          <w:lang w:eastAsia="zh-CN"/>
        </w:rPr>
        <w:t>，即组合产品申请人和组成部分申请人（《美国联邦法规》第21篇第4.100（a））节。</w:t>
      </w:r>
      <w:r>
        <w:rPr>
          <w:rStyle w:val="22"/>
          <w:rFonts w:hint="eastAsia" w:eastAsia="宋体"/>
          <w:snapToGrid w:val="0"/>
          <w:lang w:eastAsia="zh-CN"/>
        </w:rPr>
        <w:footnoteReference w:id="4"/>
      </w:r>
      <w:r>
        <w:rPr>
          <w:rFonts w:hint="eastAsia" w:eastAsia="宋体"/>
          <w:snapToGrid w:val="0"/>
          <w:lang w:eastAsia="zh-CN"/>
        </w:rPr>
        <w:t>这些术语和相关术语</w:t>
      </w:r>
      <w:r>
        <w:rPr>
          <w:rFonts w:hint="eastAsia" w:ascii="宋体" w:hAnsi="宋体" w:eastAsia="宋体"/>
          <w:lang w:eastAsia="zh-CN"/>
        </w:rPr>
        <w:t>“</w:t>
      </w:r>
      <w:r>
        <w:rPr>
          <w:rFonts w:hint="eastAsia" w:eastAsia="宋体"/>
          <w:snapToGrid w:val="0"/>
          <w:lang w:eastAsia="zh-CN"/>
        </w:rPr>
        <w:t>申请人</w:t>
      </w:r>
      <w:r>
        <w:rPr>
          <w:rFonts w:hint="eastAsia" w:ascii="宋体" w:hAnsi="宋体" w:eastAsia="宋体"/>
          <w:lang w:eastAsia="zh-CN"/>
        </w:rPr>
        <w:t>”</w:t>
      </w:r>
      <w:r>
        <w:rPr>
          <w:rFonts w:hint="eastAsia" w:eastAsia="宋体"/>
          <w:snapToGrid w:val="0"/>
          <w:lang w:eastAsia="zh-CN"/>
        </w:rPr>
        <w:t>和</w:t>
      </w:r>
      <w:r>
        <w:rPr>
          <w:rFonts w:hint="eastAsia" w:ascii="宋体" w:hAnsi="宋体" w:eastAsia="宋体"/>
          <w:lang w:eastAsia="zh-CN"/>
        </w:rPr>
        <w:t>“</w:t>
      </w:r>
      <w:r>
        <w:rPr>
          <w:rFonts w:hint="eastAsia" w:eastAsia="宋体"/>
          <w:snapToGrid w:val="0"/>
          <w:lang w:eastAsia="zh-CN"/>
        </w:rPr>
        <w:t>申请</w:t>
      </w:r>
      <w:r>
        <w:rPr>
          <w:rFonts w:hint="eastAsia" w:ascii="宋体" w:hAnsi="宋体" w:eastAsia="宋体"/>
          <w:lang w:eastAsia="zh-CN"/>
        </w:rPr>
        <w:t>”</w:t>
      </w:r>
      <w:r>
        <w:rPr>
          <w:rFonts w:hint="eastAsia" w:eastAsia="宋体"/>
          <w:snapToGrid w:val="0"/>
          <w:lang w:eastAsia="zh-CN"/>
        </w:rPr>
        <w:t>的定义参见《美国联邦法规》第21篇第4.101节。</w:t>
      </w:r>
    </w:p>
    <w:p w14:paraId="1DD00CC5">
      <w:pPr>
        <w:pStyle w:val="7"/>
        <w:autoSpaceDE/>
        <w:autoSpaceDN/>
        <w:snapToGrid w:val="0"/>
        <w:jc w:val="both"/>
        <w:rPr>
          <w:rFonts w:eastAsia="宋体"/>
          <w:snapToGrid w:val="0"/>
          <w:lang w:eastAsia="zh-CN"/>
        </w:rPr>
      </w:pPr>
    </w:p>
    <w:p w14:paraId="5521642F">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申请人和申请。</w:t>
      </w:r>
      <w:r>
        <w:rPr>
          <w:rFonts w:hint="eastAsia" w:eastAsia="宋体"/>
          <w:snapToGrid w:val="0"/>
          <w:sz w:val="24"/>
          <w:szCs w:val="24"/>
          <w:lang w:eastAsia="zh-CN"/>
        </w:rPr>
        <w:t>申请人是指</w:t>
      </w:r>
      <w:r>
        <w:rPr>
          <w:rFonts w:hint="eastAsia" w:ascii="宋体" w:hAnsi="宋体" w:eastAsia="宋体"/>
          <w:sz w:val="24"/>
          <w:lang w:eastAsia="zh-CN"/>
        </w:rPr>
        <w:t>“</w:t>
      </w:r>
      <w:r>
        <w:rPr>
          <w:rFonts w:hint="eastAsia" w:eastAsia="宋体"/>
          <w:snapToGrid w:val="0"/>
          <w:sz w:val="24"/>
          <w:szCs w:val="24"/>
          <w:lang w:eastAsia="zh-CN"/>
        </w:rPr>
        <w:t>持有已获得上市许可（如批准、特许、或许可）的组合产品或组合产品组成部分的申请的人</w:t>
      </w:r>
      <w:r>
        <w:rPr>
          <w:rFonts w:hint="eastAsia" w:ascii="宋体" w:hAnsi="宋体" w:eastAsia="宋体"/>
          <w:sz w:val="24"/>
          <w:lang w:eastAsia="zh-CN"/>
        </w:rPr>
        <w:t>”</w:t>
      </w:r>
      <w:r>
        <w:rPr>
          <w:rFonts w:hint="eastAsia" w:eastAsia="宋体"/>
          <w:snapToGrid w:val="0"/>
          <w:sz w:val="24"/>
          <w:szCs w:val="24"/>
          <w:lang w:eastAsia="zh-CN"/>
        </w:rPr>
        <w:t>。本规则下的申请包括：新药申请（NDA）、简化新药申请（ANDA）、生物制品许可申请（BLA）和</w:t>
      </w:r>
      <w:r>
        <w:rPr>
          <w:rFonts w:hint="eastAsia" w:ascii="宋体" w:hAnsi="宋体" w:eastAsia="宋体"/>
          <w:sz w:val="24"/>
          <w:lang w:eastAsia="zh-CN"/>
        </w:rPr>
        <w:t>“</w:t>
      </w:r>
      <w:r>
        <w:rPr>
          <w:rFonts w:hint="eastAsia" w:eastAsia="宋体"/>
          <w:snapToGrid w:val="0"/>
          <w:sz w:val="24"/>
          <w:szCs w:val="24"/>
          <w:lang w:eastAsia="zh-CN"/>
        </w:rPr>
        <w:t>器械申请</w:t>
      </w:r>
      <w:r>
        <w:rPr>
          <w:rFonts w:hint="eastAsia" w:ascii="宋体" w:hAnsi="宋体" w:eastAsia="宋体"/>
          <w:sz w:val="24"/>
          <w:lang w:eastAsia="zh-CN"/>
        </w:rPr>
        <w:t>”</w:t>
      </w:r>
      <w:r>
        <w:rPr>
          <w:rStyle w:val="22"/>
          <w:rFonts w:hint="eastAsia" w:ascii="宋体" w:hAnsi="宋体" w:eastAsia="宋体"/>
          <w:snapToGrid w:val="0"/>
          <w:sz w:val="24"/>
          <w:szCs w:val="24"/>
          <w:lang w:eastAsia="zh-CN"/>
        </w:rPr>
        <w:footnoteReference w:id="5"/>
      </w:r>
      <w:r>
        <w:rPr>
          <w:rFonts w:hint="eastAsia" w:eastAsia="宋体"/>
          <w:snapToGrid w:val="0"/>
          <w:sz w:val="24"/>
          <w:szCs w:val="24"/>
          <w:lang w:eastAsia="zh-CN"/>
        </w:rPr>
        <w:t>（上市前批准申请（PMA）、产品开发方案（PDP）、人道主义器械豁免（HDE）、重新分类申请（De Novo），以及上市前通知提交（510（k））。</w:t>
      </w:r>
    </w:p>
    <w:p w14:paraId="63413B8E">
      <w:pPr>
        <w:pStyle w:val="24"/>
        <w:autoSpaceDE/>
        <w:autoSpaceDN/>
        <w:snapToGrid w:val="0"/>
        <w:ind w:left="920" w:firstLine="0"/>
        <w:jc w:val="both"/>
        <w:rPr>
          <w:rFonts w:eastAsia="宋体"/>
          <w:snapToGrid w:val="0"/>
          <w:sz w:val="24"/>
          <w:szCs w:val="24"/>
          <w:lang w:eastAsia="zh-CN"/>
        </w:rPr>
      </w:pPr>
    </w:p>
    <w:p w14:paraId="58708B99">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组合产品申请人</w:t>
      </w:r>
      <w:r>
        <w:rPr>
          <w:rFonts w:hint="eastAsia" w:eastAsia="宋体"/>
          <w:snapToGrid w:val="0"/>
          <w:sz w:val="24"/>
          <w:szCs w:val="24"/>
          <w:lang w:eastAsia="zh-CN"/>
        </w:rPr>
        <w:t>是指持有组合产品唯一申请或所有申请的申请人。</w:t>
      </w:r>
      <w:r>
        <w:rPr>
          <w:rStyle w:val="22"/>
          <w:rFonts w:hint="eastAsia" w:eastAsia="宋体"/>
          <w:snapToGrid w:val="0"/>
          <w:sz w:val="24"/>
          <w:szCs w:val="24"/>
          <w:lang w:eastAsia="zh-CN"/>
        </w:rPr>
        <w:footnoteReference w:id="6"/>
      </w:r>
      <w:r>
        <w:rPr>
          <w:rFonts w:hint="eastAsia" w:eastAsia="宋体"/>
          <w:snapToGrid w:val="0"/>
          <w:sz w:val="24"/>
          <w:szCs w:val="24"/>
          <w:lang w:eastAsia="zh-CN"/>
        </w:rPr>
        <w:t>（请注意组合产品申请人持有该申请，但可能不是生产商，如：组合产品由合同生产商生产。）组合产品申请人示例如下：</w:t>
      </w:r>
    </w:p>
    <w:p w14:paraId="03B4B211">
      <w:pPr>
        <w:pStyle w:val="24"/>
        <w:autoSpaceDE/>
        <w:autoSpaceDN/>
        <w:snapToGrid w:val="0"/>
        <w:ind w:left="920" w:firstLine="0"/>
        <w:jc w:val="both"/>
        <w:rPr>
          <w:rFonts w:eastAsia="宋体"/>
          <w:snapToGrid w:val="0"/>
          <w:sz w:val="24"/>
          <w:szCs w:val="24"/>
          <w:lang w:eastAsia="zh-CN"/>
        </w:rPr>
      </w:pPr>
    </w:p>
    <w:p w14:paraId="1B5B8D2C">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持有药物洗脱支架（单一实体组合产品）PMA批件的公司。</w:t>
      </w:r>
    </w:p>
    <w:p w14:paraId="69434C85">
      <w:pPr>
        <w:autoSpaceDE/>
        <w:autoSpaceDN/>
        <w:snapToGrid w:val="0"/>
        <w:jc w:val="both"/>
        <w:rPr>
          <w:rFonts w:eastAsia="宋体"/>
          <w:snapToGrid w:val="0"/>
          <w:sz w:val="24"/>
          <w:szCs w:val="24"/>
          <w:lang w:eastAsia="zh-CN"/>
        </w:rPr>
      </w:pPr>
      <w:bookmarkStart w:id="14" w:name="_bookmark12"/>
      <w:bookmarkEnd w:id="14"/>
      <w:bookmarkStart w:id="15" w:name="_bookmark13"/>
      <w:bookmarkEnd w:id="15"/>
      <w:r>
        <w:rPr>
          <w:rFonts w:hint="eastAsia" w:eastAsia="宋体"/>
          <w:snapToGrid w:val="0"/>
          <w:sz w:val="24"/>
          <w:szCs w:val="24"/>
          <w:lang w:eastAsia="zh-CN"/>
        </w:rPr>
        <w:br w:type="page"/>
      </w:r>
    </w:p>
    <w:p w14:paraId="3FB5B009">
      <w:pPr>
        <w:autoSpaceDE/>
        <w:autoSpaceDN/>
        <w:snapToGrid w:val="0"/>
        <w:jc w:val="both"/>
        <w:rPr>
          <w:rFonts w:eastAsia="宋体"/>
          <w:snapToGrid w:val="0"/>
          <w:sz w:val="24"/>
          <w:szCs w:val="24"/>
          <w:lang w:eastAsia="zh-CN"/>
        </w:rPr>
      </w:pPr>
    </w:p>
    <w:p w14:paraId="496585A5">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持有预计量干粉吸入器与填充药品盒组合包装（组合包装的组合产品）NDA批件的公司。</w:t>
      </w:r>
    </w:p>
    <w:p w14:paraId="03F94F4D">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持有预充式注射器配置供应的疫苗（单一实体组合产品）BLA批件的公司。</w:t>
      </w:r>
    </w:p>
    <w:p w14:paraId="1EB31C8B">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同时持有激光系统（适用于特定药品光活化）PMA批件</w:t>
      </w:r>
      <w:r>
        <w:rPr>
          <w:rFonts w:hint="eastAsia" w:eastAsia="宋体"/>
          <w:i/>
          <w:snapToGrid w:val="0"/>
          <w:sz w:val="24"/>
          <w:szCs w:val="24"/>
          <w:lang w:eastAsia="zh-CN"/>
        </w:rPr>
        <w:t>和</w:t>
      </w:r>
      <w:r>
        <w:rPr>
          <w:rFonts w:hint="eastAsia" w:eastAsia="宋体"/>
          <w:snapToGrid w:val="0"/>
          <w:sz w:val="24"/>
          <w:szCs w:val="24"/>
          <w:lang w:eastAsia="zh-CN"/>
        </w:rPr>
        <w:t>需要通过该激光系统光活化的特定药品（共同组成交叉标签的组合产品）NDA批件的公司。</w:t>
      </w:r>
    </w:p>
    <w:p w14:paraId="7C3C309D">
      <w:pPr>
        <w:pStyle w:val="24"/>
        <w:autoSpaceDE/>
        <w:autoSpaceDN/>
        <w:snapToGrid w:val="0"/>
        <w:ind w:left="1800" w:firstLine="0"/>
        <w:jc w:val="both"/>
        <w:rPr>
          <w:rFonts w:eastAsia="宋体"/>
          <w:snapToGrid w:val="0"/>
          <w:sz w:val="24"/>
          <w:szCs w:val="24"/>
          <w:lang w:eastAsia="zh-CN"/>
        </w:rPr>
      </w:pPr>
    </w:p>
    <w:p w14:paraId="66365DAA">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组成部分申请人</w:t>
      </w:r>
      <w:r>
        <w:rPr>
          <w:rFonts w:hint="eastAsia" w:eastAsia="宋体"/>
          <w:snapToGrid w:val="0"/>
          <w:sz w:val="24"/>
          <w:szCs w:val="24"/>
          <w:lang w:eastAsia="zh-CN"/>
        </w:rPr>
        <w:t>是指持有组合产品组成部分申请的申请人，该组合产品的其他组成部分根据不同申请人持有的申请上市。</w:t>
      </w:r>
      <w:r>
        <w:rPr>
          <w:rStyle w:val="22"/>
          <w:rFonts w:hint="eastAsia" w:eastAsia="宋体"/>
          <w:snapToGrid w:val="0"/>
          <w:sz w:val="24"/>
          <w:szCs w:val="24"/>
          <w:lang w:eastAsia="zh-CN"/>
        </w:rPr>
        <w:footnoteReference w:id="7"/>
      </w:r>
      <w:r>
        <w:rPr>
          <w:rFonts w:hint="eastAsia" w:eastAsia="宋体"/>
          <w:snapToGrid w:val="0"/>
          <w:sz w:val="24"/>
          <w:szCs w:val="24"/>
          <w:lang w:eastAsia="zh-CN"/>
        </w:rPr>
        <w:t>通常，如果组合产品由两个不同实体以交叉标签的配置上市，则会有组成部分申请人。例如，如果激光系统（器械）和光激活药品构成交叉标签的组合产品（参见《美国联邦法规》第21篇第3.2（e））节，则组成部分申请人如下：</w:t>
      </w:r>
    </w:p>
    <w:p w14:paraId="6771959F">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持有该组合使用激光系统PMA批件的实体。</w:t>
      </w:r>
    </w:p>
    <w:p w14:paraId="77590D99">
      <w:pPr>
        <w:pStyle w:val="24"/>
        <w:numPr>
          <w:ilvl w:val="1"/>
          <w:numId w:val="4"/>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持有该组合使用光激活药品NDA批件的独立实体。</w:t>
      </w:r>
    </w:p>
    <w:p w14:paraId="6D11B941">
      <w:pPr>
        <w:pStyle w:val="24"/>
        <w:autoSpaceDE/>
        <w:autoSpaceDN/>
        <w:snapToGrid w:val="0"/>
        <w:ind w:left="1800" w:firstLine="0"/>
        <w:jc w:val="both"/>
        <w:rPr>
          <w:rFonts w:eastAsia="宋体"/>
          <w:snapToGrid w:val="0"/>
          <w:sz w:val="24"/>
          <w:szCs w:val="24"/>
          <w:lang w:eastAsia="zh-CN"/>
        </w:rPr>
      </w:pPr>
    </w:p>
    <w:p w14:paraId="47A9EB75">
      <w:pPr>
        <w:pStyle w:val="7"/>
        <w:autoSpaceDE/>
        <w:autoSpaceDN/>
        <w:snapToGrid w:val="0"/>
        <w:jc w:val="both"/>
        <w:rPr>
          <w:rFonts w:eastAsia="宋体"/>
        </w:rPr>
      </w:pPr>
      <w:r>
        <w:rPr>
          <w:rFonts w:hint="eastAsia" w:eastAsia="宋体"/>
        </w:rPr>
        <w:t>结论：</w:t>
      </w:r>
    </w:p>
    <w:p w14:paraId="58B22F20">
      <w:pPr>
        <w:pStyle w:val="7"/>
        <w:autoSpaceDE/>
        <w:autoSpaceDN/>
        <w:snapToGrid w:val="0"/>
        <w:jc w:val="both"/>
        <w:rPr>
          <w:rFonts w:eastAsia="宋体"/>
          <w:snapToGrid w:val="0"/>
          <w:lang w:eastAsia="zh-CN"/>
        </w:rPr>
      </w:pPr>
    </w:p>
    <w:p w14:paraId="29EF10DE">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如果一家公司是根据单一申请（如，药物洗脱支架）上市销售组合产品的申请人，则该实体是组合产品申请人，并且该产品没有组成部分申请人。</w:t>
      </w:r>
    </w:p>
    <w:p w14:paraId="11B6B169">
      <w:pPr>
        <w:pStyle w:val="24"/>
        <w:autoSpaceDE/>
        <w:autoSpaceDN/>
        <w:snapToGrid w:val="0"/>
        <w:ind w:left="920" w:firstLine="0"/>
        <w:jc w:val="both"/>
        <w:rPr>
          <w:rFonts w:eastAsia="宋体"/>
          <w:snapToGrid w:val="0"/>
          <w:sz w:val="24"/>
          <w:szCs w:val="24"/>
          <w:lang w:eastAsia="zh-CN"/>
        </w:rPr>
      </w:pPr>
    </w:p>
    <w:p w14:paraId="4507951A">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如果一家公司持有作为组合产品的组成部分联合使用的产品上市申请（如，该公司持有特定光激活药品NDA和用于激活该药品的器械PMA，这两种产品构成交叉标签的组合产品），则该公司是组合产品申请人，并且没有组成部分申请人。</w:t>
      </w:r>
    </w:p>
    <w:p w14:paraId="5A54792C">
      <w:pPr>
        <w:pStyle w:val="24"/>
        <w:autoSpaceDE/>
        <w:autoSpaceDN/>
        <w:snapToGrid w:val="0"/>
        <w:ind w:left="920" w:firstLine="0"/>
        <w:jc w:val="both"/>
        <w:rPr>
          <w:rFonts w:eastAsia="宋体"/>
          <w:snapToGrid w:val="0"/>
          <w:sz w:val="24"/>
          <w:szCs w:val="24"/>
          <w:lang w:eastAsia="zh-CN"/>
        </w:rPr>
      </w:pPr>
    </w:p>
    <w:p w14:paraId="7FF5606C">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如果一个实体持有交叉标签组合产品药品组成部分的NDA，而另一个实体持有器械组成部分的PMA，则这两个实体将是该组合产品的组成部分申请人，并且该产品没有组合产品申请人。</w:t>
      </w:r>
    </w:p>
    <w:p w14:paraId="66537776">
      <w:pPr>
        <w:pStyle w:val="24"/>
        <w:autoSpaceDE/>
        <w:autoSpaceDN/>
        <w:snapToGrid w:val="0"/>
        <w:ind w:left="920" w:firstLine="0"/>
        <w:jc w:val="both"/>
        <w:rPr>
          <w:rFonts w:eastAsia="宋体"/>
          <w:snapToGrid w:val="0"/>
          <w:sz w:val="24"/>
          <w:szCs w:val="24"/>
          <w:lang w:eastAsia="zh-CN"/>
        </w:rPr>
      </w:pPr>
    </w:p>
    <w:p w14:paraId="280EDDCE">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i/>
          <w:snapToGrid w:val="0"/>
          <w:sz w:val="24"/>
          <w:szCs w:val="24"/>
          <w:lang w:eastAsia="zh-CN"/>
        </w:rPr>
        <w:t>只有当某个实体持有作为组合产品组成部分的产品上市申请时</w:t>
      </w:r>
      <w:r>
        <w:rPr>
          <w:rFonts w:hint="eastAsia" w:eastAsia="宋体"/>
          <w:snapToGrid w:val="0"/>
          <w:sz w:val="24"/>
          <w:szCs w:val="24"/>
          <w:lang w:eastAsia="zh-CN"/>
        </w:rPr>
        <w:t>，该公司才是组成部分申请人。</w:t>
      </w:r>
    </w:p>
    <w:p w14:paraId="2E954432">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3026B3D2">
      <w:pPr>
        <w:autoSpaceDE/>
        <w:autoSpaceDN/>
        <w:snapToGrid w:val="0"/>
        <w:jc w:val="both"/>
        <w:rPr>
          <w:rFonts w:eastAsia="宋体"/>
          <w:snapToGrid w:val="0"/>
          <w:sz w:val="24"/>
          <w:szCs w:val="24"/>
          <w:lang w:eastAsia="zh-CN"/>
        </w:rPr>
      </w:pPr>
    </w:p>
    <w:p w14:paraId="6F73888D">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例如，注射器公司持有用于注射的通用注射器510（k），并根据该510（k）销售空注射器。制药公司从注射器公司购买注射器，将其与药品瓶一起装入组合包装的组合产品中，制药公司持有该组合产品的NDA批件。由于注射器公司</w:t>
      </w:r>
      <w:r>
        <w:rPr>
          <w:rFonts w:hint="eastAsia" w:eastAsia="宋体"/>
          <w:lang w:eastAsia="zh-CN"/>
        </w:rPr>
        <w:t>不</w:t>
      </w:r>
      <w:r>
        <w:rPr>
          <w:rFonts w:hint="eastAsia" w:eastAsia="宋体"/>
          <w:snapToGrid w:val="0"/>
          <w:lang w:eastAsia="zh-CN"/>
        </w:rPr>
        <w:t>持有作为组合产品组成部分的注射器上市申请，因此注射器公司</w:t>
      </w:r>
      <w:r>
        <w:rPr>
          <w:rFonts w:hint="eastAsia" w:eastAsia="宋体"/>
          <w:lang w:eastAsia="zh-CN"/>
        </w:rPr>
        <w:t>不是</w:t>
      </w:r>
      <w:r>
        <w:rPr>
          <w:rFonts w:hint="eastAsia" w:eastAsia="宋体"/>
          <w:snapToGrid w:val="0"/>
          <w:lang w:eastAsia="zh-CN"/>
        </w:rPr>
        <w:t>组合产品组成部分申请人。</w:t>
      </w:r>
      <w:r>
        <w:rPr>
          <w:rStyle w:val="22"/>
          <w:rFonts w:hint="eastAsia" w:eastAsia="宋体"/>
          <w:snapToGrid w:val="0"/>
          <w:lang w:eastAsia="zh-CN"/>
        </w:rPr>
        <w:footnoteReference w:id="8"/>
      </w:r>
      <w:r>
        <w:rPr>
          <w:rFonts w:hint="eastAsia" w:eastAsia="宋体"/>
          <w:snapToGrid w:val="0"/>
          <w:lang w:eastAsia="zh-CN"/>
        </w:rPr>
        <w:t>相反，制药公司是组合包装的组合产品的组合产品申请人，并且该组合产品</w:t>
      </w:r>
      <w:r>
        <w:rPr>
          <w:rFonts w:hint="eastAsia" w:eastAsia="宋体"/>
          <w:lang w:eastAsia="zh-CN"/>
        </w:rPr>
        <w:t>没有</w:t>
      </w:r>
      <w:r>
        <w:rPr>
          <w:rFonts w:hint="eastAsia" w:eastAsia="宋体"/>
          <w:snapToGrid w:val="0"/>
          <w:lang w:eastAsia="zh-CN"/>
        </w:rPr>
        <w:t>组成部分申请人。</w:t>
      </w:r>
      <w:r>
        <w:rPr>
          <w:rStyle w:val="22"/>
          <w:rFonts w:hint="eastAsia" w:eastAsia="宋体"/>
          <w:snapToGrid w:val="0"/>
          <w:lang w:eastAsia="zh-CN"/>
        </w:rPr>
        <w:footnoteReference w:id="9"/>
      </w:r>
    </w:p>
    <w:p w14:paraId="76D93B91">
      <w:pPr>
        <w:pStyle w:val="7"/>
        <w:autoSpaceDE/>
        <w:autoSpaceDN/>
        <w:snapToGrid w:val="0"/>
        <w:ind w:left="880" w:leftChars="400"/>
        <w:jc w:val="both"/>
        <w:rPr>
          <w:rFonts w:eastAsia="宋体"/>
          <w:snapToGrid w:val="0"/>
          <w:lang w:eastAsia="zh-CN"/>
        </w:rPr>
      </w:pPr>
    </w:p>
    <w:p w14:paraId="6E32022D">
      <w:pPr>
        <w:pStyle w:val="3"/>
        <w:autoSpaceDE/>
        <w:autoSpaceDN/>
        <w:spacing w:before="0" w:beforeLines="0" w:line="240" w:lineRule="auto"/>
        <w:ind w:left="1442" w:leftChars="400" w:hanging="562"/>
        <w:rPr>
          <w:snapToGrid w:val="0"/>
          <w:szCs w:val="24"/>
          <w:lang w:eastAsia="zh-CN"/>
        </w:rPr>
      </w:pPr>
      <w:bookmarkStart w:id="16" w:name="_Toc95145699"/>
      <w:bookmarkStart w:id="17" w:name="_Toc97551500"/>
      <w:r>
        <w:rPr>
          <w:rFonts w:hint="eastAsia"/>
          <w:snapToGrid w:val="0"/>
          <w:szCs w:val="24"/>
          <w:lang w:eastAsia="zh-CN"/>
        </w:rPr>
        <w:t>B.</w:t>
      </w:r>
      <w:r>
        <w:rPr>
          <w:rFonts w:hint="eastAsia"/>
          <w:snapToGrid w:val="0"/>
          <w:szCs w:val="24"/>
          <w:lang w:eastAsia="zh-CN"/>
        </w:rPr>
        <w:tab/>
      </w:r>
      <w:r>
        <w:rPr>
          <w:rFonts w:hint="eastAsia"/>
          <w:snapToGrid w:val="0"/>
          <w:szCs w:val="24"/>
          <w:lang w:eastAsia="zh-CN"/>
        </w:rPr>
        <w:t>如果我是组合产品申请人或组成部分申请人，有何种安全报告要求适用？</w:t>
      </w:r>
      <w:bookmarkEnd w:id="16"/>
      <w:bookmarkEnd w:id="17"/>
    </w:p>
    <w:p w14:paraId="673ADB0C">
      <w:pPr>
        <w:autoSpaceDE/>
        <w:autoSpaceDN/>
        <w:snapToGrid w:val="0"/>
        <w:jc w:val="both"/>
        <w:rPr>
          <w:rFonts w:eastAsia="宋体"/>
          <w:snapToGrid w:val="0"/>
          <w:sz w:val="24"/>
          <w:szCs w:val="24"/>
          <w:lang w:eastAsia="zh-CN"/>
        </w:rPr>
      </w:pPr>
    </w:p>
    <w:p w14:paraId="6AC5787E">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节总结了与组合产品组成部分相关的安全性报告要求（即《美国联邦法规》第21篇第314节药品要求、《美国联邦法规》第21篇第600和606节生物制品要求、《美国联邦法规》第21篇第803和806节器械要求），以及根据规则适用于组成部分申请人的信息共享要求。</w:t>
      </w:r>
      <w:r>
        <w:rPr>
          <w:rStyle w:val="22"/>
          <w:rFonts w:hint="eastAsia" w:eastAsia="宋体"/>
          <w:snapToGrid w:val="0"/>
          <w:lang w:eastAsia="zh-CN"/>
        </w:rPr>
        <w:footnoteReference w:id="10"/>
      </w:r>
      <w:r>
        <w:rPr>
          <w:rFonts w:hint="eastAsia" w:eastAsia="宋体"/>
          <w:snapToGrid w:val="0"/>
          <w:vertAlign w:val="superscript"/>
          <w:lang w:eastAsia="zh-CN"/>
        </w:rPr>
        <w:t>,</w:t>
      </w:r>
      <w:r>
        <w:rPr>
          <w:rStyle w:val="22"/>
          <w:rFonts w:hint="eastAsia" w:eastAsia="宋体"/>
          <w:snapToGrid w:val="0"/>
          <w:lang w:eastAsia="zh-CN"/>
        </w:rPr>
        <w:footnoteReference w:id="11"/>
      </w:r>
      <w:r>
        <w:rPr>
          <w:rFonts w:hint="eastAsia" w:eastAsia="宋体"/>
          <w:snapToGrid w:val="0"/>
          <w:lang w:eastAsia="zh-CN"/>
        </w:rPr>
        <w:t>（另参见附录1，该附录提供了最终规则中适用于各种类型组合产品和组成部分申请人的PMSR要求的汇总表，第IV节提供了规则中对于组合产品申请人的PMSR要求的详细讨论。）</w:t>
      </w:r>
    </w:p>
    <w:p w14:paraId="79396251">
      <w:pPr>
        <w:autoSpaceDE/>
        <w:autoSpaceDN/>
        <w:snapToGrid w:val="0"/>
        <w:jc w:val="both"/>
        <w:rPr>
          <w:rFonts w:eastAsia="宋体"/>
          <w:snapToGrid w:val="0"/>
          <w:sz w:val="24"/>
          <w:szCs w:val="24"/>
          <w:lang w:eastAsia="zh-CN"/>
        </w:rPr>
      </w:pPr>
      <w:bookmarkStart w:id="18" w:name="_bookmark16"/>
      <w:bookmarkEnd w:id="18"/>
      <w:r>
        <w:rPr>
          <w:rFonts w:hint="eastAsia" w:eastAsia="宋体"/>
          <w:snapToGrid w:val="0"/>
          <w:sz w:val="24"/>
          <w:szCs w:val="24"/>
          <w:lang w:eastAsia="zh-CN"/>
        </w:rPr>
        <w:br w:type="page"/>
      </w:r>
    </w:p>
    <w:p w14:paraId="4F3701BE">
      <w:pPr>
        <w:autoSpaceDE/>
        <w:autoSpaceDN/>
        <w:snapToGrid w:val="0"/>
        <w:jc w:val="both"/>
        <w:rPr>
          <w:rFonts w:eastAsia="宋体"/>
          <w:snapToGrid w:val="0"/>
          <w:sz w:val="24"/>
          <w:szCs w:val="24"/>
          <w:lang w:eastAsia="zh-CN"/>
        </w:rPr>
      </w:pPr>
    </w:p>
    <w:p w14:paraId="252D6EB6">
      <w:pPr>
        <w:pStyle w:val="5"/>
        <w:autoSpaceDE/>
        <w:autoSpaceDN/>
        <w:spacing w:before="0" w:beforeLines="0" w:line="240" w:lineRule="auto"/>
        <w:ind w:left="1912" w:leftChars="650"/>
        <w:rPr>
          <w:i w:val="0"/>
          <w:lang w:eastAsia="zh-CN"/>
        </w:rPr>
      </w:pPr>
      <w:r>
        <w:rPr>
          <w:rFonts w:hint="eastAsia"/>
          <w:snapToGrid w:val="0"/>
          <w:lang w:eastAsia="zh-CN"/>
        </w:rPr>
        <w:t>1.</w:t>
      </w:r>
      <w:r>
        <w:rPr>
          <w:i w:val="0"/>
          <w:lang w:eastAsia="zh-CN"/>
        </w:rPr>
        <w:tab/>
      </w:r>
      <w:r>
        <w:rPr>
          <w:rFonts w:hint="eastAsia"/>
          <w:snapToGrid w:val="0"/>
          <w:lang w:eastAsia="zh-CN"/>
        </w:rPr>
        <w:t>基于申请类型的报告要求适用于组合产品申请人和组成部分申请人</w:t>
      </w:r>
    </w:p>
    <w:p w14:paraId="58FC2D02">
      <w:pPr>
        <w:autoSpaceDE/>
        <w:autoSpaceDN/>
        <w:snapToGrid w:val="0"/>
        <w:jc w:val="both"/>
        <w:rPr>
          <w:rFonts w:eastAsia="宋体"/>
          <w:snapToGrid w:val="0"/>
          <w:sz w:val="24"/>
          <w:szCs w:val="24"/>
          <w:lang w:eastAsia="zh-CN"/>
        </w:rPr>
      </w:pPr>
    </w:p>
    <w:p w14:paraId="26138CF0">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组合产品申请人和组成部分申请人</w:t>
      </w:r>
      <w:r>
        <w:rPr>
          <w:rFonts w:hint="eastAsia" w:eastAsia="宋体"/>
          <w:i/>
          <w:snapToGrid w:val="0"/>
          <w:lang w:eastAsia="zh-CN"/>
        </w:rPr>
        <w:t>均</w:t>
      </w:r>
      <w:r>
        <w:rPr>
          <w:rFonts w:hint="eastAsia" w:eastAsia="宋体"/>
          <w:snapToGrid w:val="0"/>
          <w:lang w:eastAsia="zh-CN"/>
        </w:rPr>
        <w:t>必须满足与其组合产品或组成部分获批上市的申请类型相关的安全性报告要求（《美国联邦法规》第21篇第4.102（b）节）。根据《美国联邦法规》第21篇第4.102（b）节，持有以下批件的组合产品和组成部分申请人：</w:t>
      </w:r>
    </w:p>
    <w:p w14:paraId="4FB6378A">
      <w:pPr>
        <w:pStyle w:val="7"/>
        <w:autoSpaceDE/>
        <w:autoSpaceDN/>
        <w:snapToGrid w:val="0"/>
        <w:jc w:val="both"/>
        <w:rPr>
          <w:rFonts w:eastAsia="宋体"/>
          <w:snapToGrid w:val="0"/>
          <w:lang w:eastAsia="zh-CN"/>
        </w:rPr>
      </w:pPr>
    </w:p>
    <w:p w14:paraId="52DC49ED">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NDA/ANDA应符合《美国联邦法规》第21篇第314节所述安全性报告要求；</w:t>
      </w:r>
    </w:p>
    <w:p w14:paraId="026E7A92">
      <w:pPr>
        <w:pStyle w:val="24"/>
        <w:autoSpaceDE/>
        <w:autoSpaceDN/>
        <w:snapToGrid w:val="0"/>
        <w:ind w:left="920" w:firstLine="0"/>
        <w:jc w:val="both"/>
        <w:rPr>
          <w:rFonts w:eastAsia="宋体"/>
          <w:snapToGrid w:val="0"/>
          <w:sz w:val="24"/>
          <w:szCs w:val="24"/>
          <w:lang w:eastAsia="zh-CN"/>
        </w:rPr>
      </w:pPr>
    </w:p>
    <w:p w14:paraId="66B76BF3">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BLA应符合《美国联邦法规》第21篇第600和606节所述安全性报告要求；</w:t>
      </w:r>
    </w:p>
    <w:p w14:paraId="759B2010">
      <w:pPr>
        <w:pStyle w:val="24"/>
        <w:autoSpaceDE/>
        <w:autoSpaceDN/>
        <w:snapToGrid w:val="0"/>
        <w:ind w:left="920" w:firstLine="0"/>
        <w:jc w:val="both"/>
        <w:rPr>
          <w:rFonts w:eastAsia="宋体"/>
          <w:snapToGrid w:val="0"/>
          <w:sz w:val="24"/>
          <w:szCs w:val="24"/>
          <w:lang w:eastAsia="zh-CN"/>
        </w:rPr>
      </w:pPr>
    </w:p>
    <w:p w14:paraId="7108E859">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器械申请应符合《美国联邦法规》第21篇第803和806节所述安全性报告要求。</w:t>
      </w:r>
    </w:p>
    <w:p w14:paraId="7D5F05AA">
      <w:pPr>
        <w:pStyle w:val="24"/>
        <w:autoSpaceDE/>
        <w:autoSpaceDN/>
        <w:snapToGrid w:val="0"/>
        <w:ind w:left="920" w:firstLine="0"/>
        <w:jc w:val="both"/>
        <w:rPr>
          <w:rFonts w:eastAsia="宋体"/>
          <w:snapToGrid w:val="0"/>
          <w:sz w:val="24"/>
          <w:szCs w:val="24"/>
          <w:lang w:eastAsia="zh-CN"/>
        </w:rPr>
      </w:pPr>
    </w:p>
    <w:p w14:paraId="76085C63">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基于组成部分的报告要求仅适用于组合产品申请人</w:t>
      </w:r>
    </w:p>
    <w:p w14:paraId="2E345B72">
      <w:pPr>
        <w:autoSpaceDE/>
        <w:autoSpaceDN/>
        <w:snapToGrid w:val="0"/>
        <w:jc w:val="both"/>
        <w:rPr>
          <w:rFonts w:eastAsia="宋体"/>
          <w:snapToGrid w:val="0"/>
          <w:sz w:val="24"/>
          <w:szCs w:val="24"/>
          <w:lang w:eastAsia="zh-CN"/>
        </w:rPr>
      </w:pPr>
    </w:p>
    <w:p w14:paraId="79548B3D">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除了基于申请类型的报告要求外，</w:t>
      </w:r>
      <w:r>
        <w:rPr>
          <w:rFonts w:hint="eastAsia" w:eastAsia="宋体"/>
          <w:lang w:eastAsia="zh-CN"/>
        </w:rPr>
        <w:t>仅</w:t>
      </w:r>
      <w:r>
        <w:rPr>
          <w:rFonts w:hint="eastAsia" w:eastAsia="宋体"/>
          <w:snapToGrid w:val="0"/>
          <w:lang w:eastAsia="zh-CN"/>
        </w:rPr>
        <w:t>组合产品申请人还需要符合与组合产品组成部分相关的某些安全性报告要求（参见《美国联邦法规》第21篇第4.102（c）节）（有关详细讨论，包括简化报告的机会，请参见下文第IV节）</w:t>
      </w:r>
    </w:p>
    <w:p w14:paraId="03140F6F">
      <w:pPr>
        <w:pStyle w:val="7"/>
        <w:autoSpaceDE/>
        <w:autoSpaceDN/>
        <w:snapToGrid w:val="0"/>
        <w:jc w:val="both"/>
        <w:rPr>
          <w:rFonts w:eastAsia="宋体"/>
          <w:snapToGrid w:val="0"/>
          <w:lang w:eastAsia="zh-CN"/>
        </w:rPr>
      </w:pPr>
    </w:p>
    <w:p w14:paraId="388B69AE">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根据单一申请的报告。</w:t>
      </w:r>
      <w:r>
        <w:rPr>
          <w:rFonts w:hint="eastAsia" w:eastAsia="宋体"/>
          <w:snapToGrid w:val="0"/>
          <w:lang w:eastAsia="zh-CN"/>
        </w:rPr>
        <w:t>以下列出了组合产品申请人根据组合产品的组成部分类型和组合产品的申请类型必须满足的其他报告要求：</w:t>
      </w:r>
    </w:p>
    <w:p w14:paraId="77F69B1D">
      <w:pPr>
        <w:pStyle w:val="7"/>
        <w:autoSpaceDE/>
        <w:autoSpaceDN/>
        <w:snapToGrid w:val="0"/>
        <w:jc w:val="both"/>
        <w:rPr>
          <w:rFonts w:eastAsia="宋体"/>
          <w:snapToGrid w:val="0"/>
          <w:lang w:eastAsia="zh-CN"/>
        </w:rPr>
      </w:pPr>
    </w:p>
    <w:p w14:paraId="5B265D67">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包含器械组成部分的组合产品NDA/ANDA/BLA</w:t>
      </w:r>
      <w:r>
        <w:rPr>
          <w:rFonts w:hint="eastAsia" w:eastAsia="宋体"/>
          <w:snapToGrid w:val="0"/>
          <w:sz w:val="24"/>
          <w:szCs w:val="24"/>
          <w:lang w:eastAsia="zh-CN"/>
        </w:rPr>
        <w:t>。组合产品申请人还必须符合（《美国联邦法规》第21篇第4.102（c）（1）节）：</w:t>
      </w:r>
    </w:p>
    <w:p w14:paraId="71C8D6B3">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5天报告要求（参见《美国联邦法规》第21篇第803.3、803.53和803.56节）</w:t>
      </w:r>
    </w:p>
    <w:p w14:paraId="5568DE40">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故障报告要求（参见《美国联邦法规》第21篇第803.50和803.56节）</w:t>
      </w:r>
    </w:p>
    <w:p w14:paraId="2FB7D9BF">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无需报告的事件的更正和移除报告及记录保存要求（参见《美国联邦法规》第21篇第806.10和806.20节）</w:t>
      </w:r>
    </w:p>
    <w:p w14:paraId="5DE8D5DF">
      <w:pPr>
        <w:pStyle w:val="24"/>
        <w:autoSpaceDE/>
        <w:autoSpaceDN/>
        <w:snapToGrid w:val="0"/>
        <w:ind w:left="1800" w:firstLine="0"/>
        <w:jc w:val="both"/>
        <w:rPr>
          <w:rFonts w:eastAsia="宋体"/>
          <w:snapToGrid w:val="0"/>
          <w:sz w:val="24"/>
          <w:szCs w:val="24"/>
          <w:lang w:eastAsia="zh-CN"/>
        </w:rPr>
      </w:pPr>
    </w:p>
    <w:p w14:paraId="1DFD1F96">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包含药品组成部分的组合产品BLA或器械申请</w:t>
      </w:r>
      <w:r>
        <w:rPr>
          <w:rFonts w:hint="eastAsia" w:eastAsia="宋体"/>
          <w:snapToGrid w:val="0"/>
          <w:sz w:val="24"/>
          <w:szCs w:val="24"/>
          <w:lang w:eastAsia="zh-CN"/>
        </w:rPr>
        <w:t>。组合产品申请人还必须符合（《美国联邦法规》第21篇第4.102（c）（2）节）：</w:t>
      </w:r>
    </w:p>
    <w:p w14:paraId="15955C35">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现场警示报告（FAR）要求（参见《美国联邦法规》第21篇第314.81节）</w:t>
      </w:r>
    </w:p>
    <w:p w14:paraId="1E0E07BC">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15天报告要求（参见《美国联邦法规》第21篇第314.80节</w:t>
      </w:r>
      <w:r>
        <w:rPr>
          <w:rStyle w:val="22"/>
          <w:rFonts w:hint="eastAsia" w:eastAsia="宋体"/>
          <w:snapToGrid w:val="0"/>
          <w:sz w:val="24"/>
          <w:szCs w:val="24"/>
          <w:lang w:eastAsia="zh-CN"/>
        </w:rPr>
        <w:footnoteReference w:id="12"/>
      </w:r>
      <w:r>
        <w:rPr>
          <w:rFonts w:hint="eastAsia" w:eastAsia="宋体"/>
          <w:snapToGrid w:val="0"/>
          <w:sz w:val="24"/>
          <w:szCs w:val="24"/>
          <w:lang w:eastAsia="zh-CN"/>
        </w:rPr>
        <w:t>）</w:t>
      </w:r>
    </w:p>
    <w:p w14:paraId="417D82CD">
      <w:pPr>
        <w:autoSpaceDE/>
        <w:autoSpaceDN/>
        <w:snapToGrid w:val="0"/>
        <w:jc w:val="both"/>
        <w:rPr>
          <w:rFonts w:eastAsia="宋体"/>
          <w:snapToGrid w:val="0"/>
          <w:sz w:val="24"/>
          <w:szCs w:val="24"/>
          <w:lang w:eastAsia="zh-CN"/>
        </w:rPr>
      </w:pPr>
      <w:bookmarkStart w:id="19" w:name="_bookmark22"/>
      <w:bookmarkEnd w:id="19"/>
      <w:r>
        <w:rPr>
          <w:rFonts w:hint="eastAsia" w:eastAsia="宋体"/>
          <w:snapToGrid w:val="0"/>
          <w:sz w:val="24"/>
          <w:szCs w:val="24"/>
          <w:lang w:eastAsia="zh-CN"/>
        </w:rPr>
        <w:br w:type="page"/>
      </w:r>
    </w:p>
    <w:p w14:paraId="7AA10C48">
      <w:pPr>
        <w:autoSpaceDE/>
        <w:autoSpaceDN/>
        <w:snapToGrid w:val="0"/>
        <w:jc w:val="both"/>
        <w:rPr>
          <w:rFonts w:eastAsia="宋体"/>
          <w:snapToGrid w:val="0"/>
          <w:sz w:val="24"/>
          <w:szCs w:val="24"/>
          <w:lang w:eastAsia="zh-CN"/>
        </w:rPr>
      </w:pPr>
    </w:p>
    <w:p w14:paraId="615E05F2">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包含生物制品组成部分的组合产品ANDA/NDA或器械申请</w:t>
      </w:r>
      <w:r>
        <w:rPr>
          <w:rFonts w:hint="eastAsia" w:eastAsia="宋体"/>
          <w:sz w:val="24"/>
          <w:lang w:eastAsia="zh-CN"/>
        </w:rPr>
        <w:t>。</w:t>
      </w:r>
      <w:r>
        <w:rPr>
          <w:rFonts w:hint="eastAsia" w:eastAsia="宋体"/>
          <w:snapToGrid w:val="0"/>
          <w:sz w:val="24"/>
          <w:szCs w:val="24"/>
          <w:lang w:eastAsia="zh-CN"/>
        </w:rPr>
        <w:t>组合产品申请人还必须符合（《美国联邦法规》第21篇第4.102（c）（3）节）：</w:t>
      </w:r>
    </w:p>
    <w:p w14:paraId="3B265CB3">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生物制品偏差报告（BPDR）要求（参见《美国联邦法规》第21篇第600.14和606.171节）</w:t>
      </w:r>
    </w:p>
    <w:p w14:paraId="4364D652">
      <w:pPr>
        <w:pStyle w:val="24"/>
        <w:numPr>
          <w:ilvl w:val="1"/>
          <w:numId w:val="5"/>
        </w:numPr>
        <w:tabs>
          <w:tab w:val="left" w:pos="1806"/>
        </w:tabs>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15天报告要求（见《美国联邦法规》第21篇第600.80节</w:t>
      </w:r>
      <w:r>
        <w:rPr>
          <w:rFonts w:hint="eastAsia" w:eastAsia="宋体"/>
          <w:snapToGrid w:val="0"/>
          <w:sz w:val="24"/>
          <w:szCs w:val="24"/>
          <w:vertAlign w:val="superscript"/>
          <w:lang w:eastAsia="zh-CN"/>
        </w:rPr>
        <w:t>13</w:t>
      </w:r>
      <w:r>
        <w:rPr>
          <w:rFonts w:hint="eastAsia" w:eastAsia="宋体"/>
          <w:snapToGrid w:val="0"/>
          <w:sz w:val="24"/>
          <w:szCs w:val="24"/>
          <w:lang w:eastAsia="zh-CN"/>
        </w:rPr>
        <w:t>）</w:t>
      </w:r>
    </w:p>
    <w:p w14:paraId="45782D51">
      <w:pPr>
        <w:pStyle w:val="24"/>
        <w:autoSpaceDE/>
        <w:autoSpaceDN/>
        <w:snapToGrid w:val="0"/>
        <w:ind w:left="1800" w:firstLine="0"/>
        <w:jc w:val="both"/>
        <w:rPr>
          <w:rFonts w:eastAsia="宋体"/>
          <w:snapToGrid w:val="0"/>
          <w:sz w:val="24"/>
          <w:szCs w:val="24"/>
          <w:lang w:eastAsia="zh-CN"/>
        </w:rPr>
      </w:pPr>
    </w:p>
    <w:p w14:paraId="646A8505">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根据单独申请的报告</w:t>
      </w:r>
      <w:r>
        <w:rPr>
          <w:rFonts w:hint="eastAsia" w:eastAsia="宋体"/>
          <w:i/>
          <w:lang w:eastAsia="zh-CN"/>
        </w:rPr>
        <w:t>。</w:t>
      </w:r>
      <w:r>
        <w:rPr>
          <w:rFonts w:hint="eastAsia" w:eastAsia="宋体"/>
          <w:snapToGrid w:val="0"/>
          <w:lang w:eastAsia="zh-CN"/>
        </w:rPr>
        <w:t>如果组合产品申请人根据单独申请上市销售组合产品的组成部分，则根据《美国联邦法规》第21篇第4.102（b）节，组合产品申请人必须符合各申请类型相关的PMSR要求。组合产品申请人应根据与该组成部分申请类型相关的要求和流程，对各组成部分分别报告，以适当满足《美国联邦法规》第21篇第4.102（b）节中的报告要求。在此类信息的可用范围内，此类报告应说明事件与组成部分和组合产品的整体关系。</w:t>
      </w:r>
      <w:r>
        <w:rPr>
          <w:rStyle w:val="22"/>
          <w:rFonts w:hint="eastAsia" w:eastAsia="宋体"/>
          <w:snapToGrid w:val="0"/>
          <w:lang w:eastAsia="zh-CN"/>
        </w:rPr>
        <w:footnoteReference w:id="13"/>
      </w:r>
    </w:p>
    <w:p w14:paraId="44F6E1FC">
      <w:pPr>
        <w:pStyle w:val="7"/>
        <w:autoSpaceDE/>
        <w:autoSpaceDN/>
        <w:snapToGrid w:val="0"/>
        <w:jc w:val="both"/>
        <w:rPr>
          <w:rFonts w:eastAsia="宋体"/>
          <w:snapToGrid w:val="0"/>
          <w:lang w:eastAsia="zh-CN"/>
        </w:rPr>
      </w:pPr>
    </w:p>
    <w:p w14:paraId="13D9E4B4">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信息共享要求仅适用于组成部分申请人</w:t>
      </w:r>
    </w:p>
    <w:p w14:paraId="2A83E572">
      <w:pPr>
        <w:autoSpaceDE/>
        <w:autoSpaceDN/>
        <w:snapToGrid w:val="0"/>
        <w:jc w:val="both"/>
        <w:rPr>
          <w:rFonts w:eastAsia="宋体"/>
          <w:snapToGrid w:val="0"/>
          <w:sz w:val="24"/>
          <w:szCs w:val="24"/>
          <w:lang w:eastAsia="zh-CN"/>
        </w:rPr>
      </w:pPr>
    </w:p>
    <w:p w14:paraId="5141961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组成部分申请人必须在收到后的5个日历日内，与组合产品的其他组成部分申请人分享收到的与组合产品相关的以下事件的初始信息（更多详细讨论，请参见第4.D节）：</w:t>
      </w:r>
    </w:p>
    <w:p w14:paraId="20DF1E7F">
      <w:pPr>
        <w:pStyle w:val="7"/>
        <w:autoSpaceDE/>
        <w:autoSpaceDN/>
        <w:snapToGrid w:val="0"/>
        <w:jc w:val="both"/>
        <w:rPr>
          <w:rFonts w:eastAsia="宋体"/>
          <w:snapToGrid w:val="0"/>
          <w:lang w:eastAsia="zh-CN"/>
        </w:rPr>
      </w:pPr>
    </w:p>
    <w:p w14:paraId="6EA6C564">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《美国联邦法规》第21篇第803.3节中所述的死亡或重伤，以及</w:t>
      </w:r>
    </w:p>
    <w:p w14:paraId="79C78374">
      <w:pPr>
        <w:pStyle w:val="24"/>
        <w:autoSpaceDE/>
        <w:autoSpaceDN/>
        <w:snapToGrid w:val="0"/>
        <w:ind w:left="920" w:firstLine="0"/>
        <w:jc w:val="both"/>
        <w:rPr>
          <w:rFonts w:eastAsia="宋体"/>
          <w:snapToGrid w:val="0"/>
          <w:sz w:val="24"/>
          <w:szCs w:val="24"/>
          <w:lang w:eastAsia="zh-CN"/>
        </w:rPr>
      </w:pPr>
    </w:p>
    <w:p w14:paraId="583B7839">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《美国联邦法规》第21篇第314.80（a）或600.80（a）节中所述的不良经历。</w:t>
      </w:r>
    </w:p>
    <w:p w14:paraId="4CEE40D7">
      <w:pPr>
        <w:pStyle w:val="24"/>
        <w:autoSpaceDE/>
        <w:autoSpaceDN/>
        <w:snapToGrid w:val="0"/>
        <w:ind w:left="920" w:firstLine="0"/>
        <w:jc w:val="both"/>
        <w:rPr>
          <w:rFonts w:eastAsia="宋体"/>
          <w:snapToGrid w:val="0"/>
          <w:sz w:val="24"/>
          <w:szCs w:val="24"/>
          <w:lang w:eastAsia="zh-CN"/>
        </w:rPr>
      </w:pPr>
    </w:p>
    <w:p w14:paraId="4989E038">
      <w:pPr>
        <w:autoSpaceDE/>
        <w:autoSpaceDN/>
        <w:snapToGrid w:val="0"/>
        <w:jc w:val="both"/>
        <w:rPr>
          <w:rFonts w:eastAsia="宋体"/>
          <w:sz w:val="24"/>
          <w:lang w:eastAsia="zh-CN"/>
        </w:rPr>
      </w:pPr>
      <w:r>
        <w:rPr>
          <w:rFonts w:hint="eastAsia" w:eastAsia="宋体"/>
          <w:sz w:val="24"/>
          <w:lang w:eastAsia="zh-CN"/>
        </w:rPr>
        <w:t>（参见</w:t>
      </w:r>
      <w:r>
        <w:rPr>
          <w:rFonts w:hint="eastAsia" w:eastAsia="宋体"/>
          <w:snapToGrid w:val="0"/>
          <w:sz w:val="24"/>
          <w:szCs w:val="24"/>
          <w:lang w:eastAsia="zh-CN"/>
        </w:rPr>
        <w:t>《美国联邦法规》第21篇第4</w:t>
      </w:r>
      <w:r>
        <w:rPr>
          <w:rFonts w:eastAsia="宋体"/>
          <w:sz w:val="24"/>
          <w:lang w:eastAsia="zh-CN"/>
        </w:rPr>
        <w:t>.103</w:t>
      </w:r>
      <w:r>
        <w:rPr>
          <w:rFonts w:hint="eastAsia" w:eastAsia="宋体"/>
          <w:snapToGrid w:val="0"/>
          <w:sz w:val="24"/>
          <w:szCs w:val="24"/>
          <w:lang w:eastAsia="zh-CN"/>
        </w:rPr>
        <w:t>节</w:t>
      </w:r>
      <w:r>
        <w:rPr>
          <w:rFonts w:hint="eastAsia" w:eastAsia="宋体"/>
          <w:sz w:val="24"/>
          <w:lang w:eastAsia="zh-CN"/>
        </w:rPr>
        <w:t>）</w:t>
      </w:r>
    </w:p>
    <w:p w14:paraId="713B1291">
      <w:pPr>
        <w:autoSpaceDE/>
        <w:autoSpaceDN/>
        <w:snapToGrid w:val="0"/>
        <w:jc w:val="both"/>
        <w:rPr>
          <w:rFonts w:eastAsia="宋体"/>
          <w:snapToGrid w:val="0"/>
          <w:sz w:val="24"/>
          <w:szCs w:val="24"/>
          <w:lang w:eastAsia="zh-CN"/>
        </w:rPr>
      </w:pPr>
      <w:bookmarkStart w:id="20" w:name="_Toc95145700"/>
    </w:p>
    <w:p w14:paraId="316FBA69">
      <w:pPr>
        <w:pStyle w:val="2"/>
        <w:numPr>
          <w:ilvl w:val="0"/>
          <w:numId w:val="1"/>
        </w:numPr>
        <w:tabs>
          <w:tab w:val="left" w:pos="868"/>
        </w:tabs>
        <w:autoSpaceDE/>
        <w:autoSpaceDN/>
        <w:spacing w:before="0" w:beforeLines="0" w:line="240" w:lineRule="auto"/>
        <w:ind w:left="880" w:hanging="880" w:hangingChars="313"/>
        <w:rPr>
          <w:sz w:val="28"/>
        </w:rPr>
      </w:pPr>
      <w:bookmarkStart w:id="21" w:name="_Toc97551501"/>
      <w:r>
        <w:rPr>
          <w:rFonts w:hint="eastAsia"/>
          <w:sz w:val="28"/>
        </w:rPr>
        <w:t>具体</w:t>
      </w:r>
      <w:r>
        <w:rPr>
          <w:sz w:val="28"/>
        </w:rPr>
        <w:t>PMSR</w:t>
      </w:r>
      <w:r>
        <w:rPr>
          <w:rFonts w:hint="eastAsia"/>
          <w:sz w:val="28"/>
        </w:rPr>
        <w:t>要求</w:t>
      </w:r>
      <w:bookmarkEnd w:id="20"/>
      <w:bookmarkEnd w:id="21"/>
    </w:p>
    <w:p w14:paraId="3D788213">
      <w:pPr>
        <w:autoSpaceDE/>
        <w:autoSpaceDN/>
        <w:snapToGrid w:val="0"/>
        <w:jc w:val="both"/>
        <w:rPr>
          <w:rFonts w:eastAsia="宋体"/>
          <w:snapToGrid w:val="0"/>
          <w:sz w:val="24"/>
          <w:szCs w:val="24"/>
          <w:lang w:eastAsia="zh-CN"/>
        </w:rPr>
      </w:pPr>
    </w:p>
    <w:p w14:paraId="195E451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节更详细地讨论了最终规则下的某些PMSR要求。第IV.A和IV.B节描述了适用于组合产品申请人的基于组成部分的报告要求（参见《美国联邦法规》第21篇第4.102节）。第IV.C节描述了组合产品申请人简化报告的方法（参见《美国联邦法规》第21篇第4.102节）。第IV.D节描述了组成部分申请人的信息共享要求（参见《美国联邦法规》第21篇第4.103节），第IV.E节描述了组合产品申请人和组成部分申请人的记录保存要求（参见《美国联邦法规》第21篇第4.105节）。（根据《美国联邦法规》第21篇第4.104节提交报告的流程要求请参见第V节。）</w:t>
      </w:r>
    </w:p>
    <w:p w14:paraId="2DA7C37C">
      <w:pPr>
        <w:pStyle w:val="7"/>
        <w:autoSpaceDE/>
        <w:autoSpaceDN/>
        <w:snapToGrid w:val="0"/>
        <w:jc w:val="both"/>
        <w:rPr>
          <w:rFonts w:eastAsia="宋体"/>
          <w:snapToGrid w:val="0"/>
          <w:lang w:eastAsia="zh-CN"/>
        </w:rPr>
      </w:pPr>
    </w:p>
    <w:p w14:paraId="5B8455C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关于组合产品申请人的PMSR，本讨论并非旨在描述每项报告要求，而是帮助这些实体了解他们可能不太熟悉的与其产品申请类型无关的PMSR要求，并强调了组合产品符合PMSR要求的特定注意事项。由于预期组成部分申请人已熟悉适用于其产品类型（药品、器械或生物制品）的报告规定，因此组成部分申请人报告的具体考虑事项不是本讨论的重点。</w:t>
      </w:r>
      <w:r>
        <w:rPr>
          <w:rStyle w:val="22"/>
          <w:rFonts w:hint="eastAsia" w:eastAsia="宋体"/>
          <w:snapToGrid w:val="0"/>
          <w:lang w:eastAsia="zh-CN"/>
        </w:rPr>
        <w:footnoteReference w:id="14"/>
      </w:r>
      <w:r>
        <w:rPr>
          <w:rFonts w:hint="eastAsia" w:eastAsia="宋体"/>
          <w:snapToGrid w:val="0"/>
          <w:lang w:eastAsia="zh-CN"/>
        </w:rPr>
        <w:t>本节侧重于这些申请人的信息共享和记录保存要求。</w:t>
      </w:r>
    </w:p>
    <w:p w14:paraId="451F14EE">
      <w:pPr>
        <w:autoSpaceDE/>
        <w:autoSpaceDN/>
        <w:snapToGrid w:val="0"/>
        <w:jc w:val="both"/>
        <w:rPr>
          <w:rFonts w:eastAsia="宋体"/>
          <w:snapToGrid w:val="0"/>
          <w:lang w:eastAsia="zh-CN"/>
        </w:rPr>
      </w:pPr>
      <w:r>
        <w:rPr>
          <w:rFonts w:hint="eastAsia" w:eastAsia="宋体"/>
          <w:snapToGrid w:val="0"/>
          <w:sz w:val="24"/>
          <w:szCs w:val="24"/>
          <w:lang w:eastAsia="zh-CN"/>
        </w:rPr>
        <w:br w:type="page"/>
      </w:r>
    </w:p>
    <w:p w14:paraId="5D85390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美国联邦法规》第21篇第4.102（a）节规定，对于组合产品申请人，第4.102（b）节中基于申请类型的安全性报告要求和第4.102（c）节中基于组合产品组成部分的安全性报告要求适用于整个组合产品。因此，在确定是否需要报告以及包含哪些信息时，应考虑整个组合产品和各个组成部分。为澄清说明，在下文第IV.A和B节中讨论这些要求时进行了调整，例如使用术语</w:t>
      </w:r>
      <w:r>
        <w:rPr>
          <w:rFonts w:hint="eastAsia" w:ascii="宋体" w:hAnsi="宋体" w:eastAsia="宋体"/>
          <w:lang w:eastAsia="zh-CN"/>
        </w:rPr>
        <w:t>“</w:t>
      </w:r>
      <w:r>
        <w:rPr>
          <w:rFonts w:hint="eastAsia" w:eastAsia="宋体"/>
          <w:snapToGrid w:val="0"/>
          <w:lang w:eastAsia="zh-CN"/>
        </w:rPr>
        <w:t>产品</w:t>
      </w:r>
      <w:r>
        <w:rPr>
          <w:rFonts w:hint="eastAsia" w:ascii="宋体" w:hAnsi="宋体" w:eastAsia="宋体"/>
          <w:lang w:eastAsia="zh-CN"/>
        </w:rPr>
        <w:t>”</w:t>
      </w:r>
      <w:r>
        <w:rPr>
          <w:rFonts w:hint="eastAsia" w:eastAsia="宋体"/>
          <w:snapToGrid w:val="0"/>
          <w:lang w:eastAsia="zh-CN"/>
        </w:rPr>
        <w:t>代替术语</w:t>
      </w:r>
      <w:r>
        <w:rPr>
          <w:rFonts w:hint="eastAsia" w:ascii="宋体" w:hAnsi="宋体" w:eastAsia="宋体"/>
          <w:lang w:eastAsia="zh-CN"/>
        </w:rPr>
        <w:t>“</w:t>
      </w:r>
      <w:r>
        <w:rPr>
          <w:rFonts w:hint="eastAsia" w:eastAsia="宋体"/>
          <w:snapToGrid w:val="0"/>
          <w:lang w:eastAsia="zh-CN"/>
        </w:rPr>
        <w:t>药品</w:t>
      </w:r>
      <w:r>
        <w:rPr>
          <w:rFonts w:hint="eastAsia" w:ascii="宋体" w:hAnsi="宋体" w:eastAsia="宋体"/>
          <w:lang w:eastAsia="zh-CN"/>
        </w:rPr>
        <w:t>”</w:t>
      </w:r>
      <w:r>
        <w:rPr>
          <w:rFonts w:hint="eastAsia" w:eastAsia="宋体"/>
          <w:snapToGrid w:val="0"/>
          <w:lang w:eastAsia="zh-CN"/>
        </w:rPr>
        <w:t>、</w:t>
      </w:r>
      <w:r>
        <w:rPr>
          <w:rFonts w:hint="eastAsia" w:ascii="宋体" w:hAnsi="宋体" w:eastAsia="宋体"/>
          <w:lang w:eastAsia="zh-CN"/>
        </w:rPr>
        <w:t>“</w:t>
      </w:r>
      <w:r>
        <w:rPr>
          <w:rFonts w:hint="eastAsia" w:eastAsia="宋体"/>
          <w:snapToGrid w:val="0"/>
          <w:lang w:eastAsia="zh-CN"/>
        </w:rPr>
        <w:t>生物制品</w:t>
      </w:r>
      <w:r>
        <w:rPr>
          <w:rFonts w:hint="eastAsia" w:ascii="宋体" w:hAnsi="宋体" w:eastAsia="宋体"/>
          <w:lang w:eastAsia="zh-CN"/>
        </w:rPr>
        <w:t>”</w:t>
      </w:r>
      <w:r>
        <w:rPr>
          <w:rFonts w:hint="eastAsia" w:eastAsia="宋体"/>
          <w:snapToGrid w:val="0"/>
          <w:lang w:eastAsia="zh-CN"/>
        </w:rPr>
        <w:t>或</w:t>
      </w:r>
      <w:r>
        <w:rPr>
          <w:rFonts w:hint="eastAsia" w:ascii="宋体" w:hAnsi="宋体" w:eastAsia="宋体"/>
          <w:lang w:eastAsia="zh-CN"/>
        </w:rPr>
        <w:t>“</w:t>
      </w:r>
      <w:r>
        <w:rPr>
          <w:rFonts w:hint="eastAsia" w:eastAsia="宋体"/>
          <w:snapToGrid w:val="0"/>
          <w:lang w:eastAsia="zh-CN"/>
        </w:rPr>
        <w:t>器械</w:t>
      </w:r>
      <w:r>
        <w:rPr>
          <w:rFonts w:hint="eastAsia" w:ascii="宋体" w:hAnsi="宋体" w:eastAsia="宋体"/>
          <w:lang w:eastAsia="zh-CN"/>
        </w:rPr>
        <w:t>”</w:t>
      </w:r>
      <w:r>
        <w:rPr>
          <w:rFonts w:hint="eastAsia" w:eastAsia="宋体"/>
          <w:snapToGrid w:val="0"/>
          <w:lang w:eastAsia="zh-CN"/>
        </w:rPr>
        <w:t>。</w:t>
      </w:r>
    </w:p>
    <w:p w14:paraId="26BBCC6B">
      <w:pPr>
        <w:pStyle w:val="7"/>
        <w:autoSpaceDE/>
        <w:autoSpaceDN/>
        <w:snapToGrid w:val="0"/>
        <w:jc w:val="both"/>
        <w:rPr>
          <w:rFonts w:eastAsia="宋体"/>
          <w:snapToGrid w:val="0"/>
          <w:lang w:eastAsia="zh-CN"/>
        </w:rPr>
      </w:pPr>
    </w:p>
    <w:p w14:paraId="6B49B4EB">
      <w:pPr>
        <w:pStyle w:val="3"/>
        <w:autoSpaceDE/>
        <w:autoSpaceDN/>
        <w:spacing w:before="0" w:beforeLines="0" w:line="240" w:lineRule="auto"/>
        <w:ind w:left="1442" w:leftChars="400" w:hanging="562"/>
        <w:rPr>
          <w:snapToGrid w:val="0"/>
          <w:szCs w:val="24"/>
          <w:lang w:eastAsia="zh-CN"/>
        </w:rPr>
      </w:pPr>
      <w:bookmarkStart w:id="22" w:name="_Toc95145701"/>
      <w:bookmarkStart w:id="23" w:name="_Toc97551502"/>
      <w:r>
        <w:rPr>
          <w:rFonts w:hint="eastAsia"/>
          <w:snapToGrid w:val="0"/>
          <w:szCs w:val="24"/>
          <w:lang w:eastAsia="zh-CN"/>
        </w:rPr>
        <w:t>A.</w:t>
      </w:r>
      <w:r>
        <w:rPr>
          <w:rFonts w:hint="eastAsia"/>
          <w:snapToGrid w:val="0"/>
          <w:szCs w:val="24"/>
          <w:lang w:eastAsia="zh-CN"/>
        </w:rPr>
        <w:tab/>
      </w:r>
      <w:r>
        <w:rPr>
          <w:rFonts w:hint="eastAsia"/>
          <w:snapToGrid w:val="0"/>
          <w:szCs w:val="24"/>
          <w:lang w:eastAsia="zh-CN"/>
        </w:rPr>
        <w:t>组合产品申请人个例安全性报告</w:t>
      </w:r>
      <w:bookmarkEnd w:id="22"/>
      <w:bookmarkEnd w:id="23"/>
    </w:p>
    <w:p w14:paraId="1DF311AA">
      <w:pPr>
        <w:autoSpaceDE/>
        <w:autoSpaceDN/>
        <w:snapToGrid w:val="0"/>
        <w:jc w:val="both"/>
        <w:rPr>
          <w:rFonts w:eastAsia="宋体"/>
          <w:snapToGrid w:val="0"/>
          <w:sz w:val="24"/>
          <w:szCs w:val="24"/>
          <w:lang w:eastAsia="zh-CN"/>
        </w:rPr>
      </w:pPr>
    </w:p>
    <w:p w14:paraId="489602D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本指南中，使用</w:t>
      </w:r>
      <w:r>
        <w:rPr>
          <w:rFonts w:hint="eastAsia" w:ascii="宋体" w:hAnsi="宋体" w:eastAsia="宋体"/>
          <w:lang w:eastAsia="zh-CN"/>
        </w:rPr>
        <w:t>“</w:t>
      </w:r>
      <w:r>
        <w:rPr>
          <w:rFonts w:hint="eastAsia" w:eastAsia="宋体"/>
          <w:snapToGrid w:val="0"/>
          <w:lang w:eastAsia="zh-CN"/>
        </w:rPr>
        <w:t>个例安全性报告</w:t>
      </w:r>
      <w:r>
        <w:rPr>
          <w:rFonts w:hint="eastAsia" w:ascii="宋体" w:hAnsi="宋体" w:eastAsia="宋体"/>
          <w:lang w:eastAsia="zh-CN"/>
        </w:rPr>
        <w:t>”</w:t>
      </w:r>
      <w:r>
        <w:rPr>
          <w:rFonts w:hint="eastAsia" w:eastAsia="宋体"/>
          <w:snapToGrid w:val="0"/>
          <w:lang w:eastAsia="zh-CN"/>
        </w:rPr>
        <w:t>（ICSR）一词描述组合产品的个例用户出现事故的报告，包括不良事件和故障。出于组合产品PMSR最终规则和本指南的目的，ICSR包括15天报告（参见《美国联邦法规》第21篇第314.80和600.80）节、5天报告（参见《美国联邦法规》第21篇第803.3、803.53和803.56节）、故障报告（参见《美国联邦法规》第21篇第803.50和803.56节）以及死亡或重伤报告（参见《美国联邦法规》第21篇第803节）。</w:t>
      </w:r>
      <w:r>
        <w:rPr>
          <w:rStyle w:val="22"/>
          <w:rFonts w:hint="eastAsia" w:eastAsia="宋体"/>
          <w:snapToGrid w:val="0"/>
          <w:lang w:eastAsia="zh-CN"/>
        </w:rPr>
        <w:footnoteReference w:id="15"/>
      </w:r>
    </w:p>
    <w:p w14:paraId="313FF2DE">
      <w:pPr>
        <w:pStyle w:val="7"/>
        <w:autoSpaceDE/>
        <w:autoSpaceDN/>
        <w:snapToGrid w:val="0"/>
        <w:ind w:firstLine="480" w:firstLineChars="200"/>
        <w:jc w:val="both"/>
        <w:rPr>
          <w:rFonts w:eastAsia="宋体"/>
          <w:snapToGrid w:val="0"/>
          <w:lang w:eastAsia="zh-CN"/>
        </w:rPr>
      </w:pPr>
    </w:p>
    <w:p w14:paraId="3B1E99DD">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请注意，以下各章节讨论了组合产品申请人可能需要指定报告类型的情况。这些讨论并非旨在确定所描述事件可能需要的所有报告，根据具体情况，所描述的类似事件可能需要不同报告。如下文所述，在某些情况下，可能需要多种报告类型，并且可能需要在同一份提交文件中满足多项报告要求，如下文第IV.C节和第V.A.3节所述。</w:t>
      </w:r>
    </w:p>
    <w:p w14:paraId="06F79A4E">
      <w:pPr>
        <w:autoSpaceDE/>
        <w:autoSpaceDN/>
        <w:snapToGrid w:val="0"/>
        <w:jc w:val="both"/>
        <w:rPr>
          <w:rFonts w:eastAsia="宋体"/>
          <w:snapToGrid w:val="0"/>
          <w:sz w:val="24"/>
          <w:szCs w:val="24"/>
          <w:lang w:eastAsia="zh-CN"/>
        </w:rPr>
      </w:pPr>
      <w:r>
        <w:rPr>
          <w:rFonts w:eastAsia="宋体"/>
          <w:sz w:val="24"/>
          <w:lang w:eastAsia="zh-CN"/>
        </w:rPr>
        <w:br w:type="page"/>
      </w:r>
    </w:p>
    <w:p w14:paraId="756C4783">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（另参见附录2，提供了流程图说明如何根据组合产品PMSR最终规则确定组合产品申请人是否必须提交ICSR。）</w:t>
      </w:r>
    </w:p>
    <w:p w14:paraId="7EE1C964">
      <w:pPr>
        <w:pStyle w:val="7"/>
        <w:autoSpaceDE/>
        <w:autoSpaceDN/>
        <w:snapToGrid w:val="0"/>
        <w:jc w:val="both"/>
        <w:rPr>
          <w:rFonts w:eastAsia="宋体"/>
          <w:snapToGrid w:val="0"/>
          <w:lang w:eastAsia="zh-CN"/>
        </w:rPr>
      </w:pPr>
    </w:p>
    <w:p w14:paraId="1AA0C81B">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15天报告（参见《美国联邦法规》第21篇第314.80和600.80节）</w:t>
      </w:r>
      <w:r>
        <w:rPr>
          <w:rStyle w:val="22"/>
          <w:rFonts w:hint="eastAsia"/>
          <w:snapToGrid w:val="0"/>
          <w:lang w:eastAsia="zh-CN"/>
        </w:rPr>
        <w:footnoteReference w:id="16"/>
      </w:r>
    </w:p>
    <w:p w14:paraId="5EC86595">
      <w:pPr>
        <w:autoSpaceDE/>
        <w:autoSpaceDN/>
        <w:snapToGrid w:val="0"/>
        <w:jc w:val="both"/>
        <w:rPr>
          <w:rFonts w:eastAsia="宋体"/>
          <w:snapToGrid w:val="0"/>
          <w:sz w:val="24"/>
          <w:szCs w:val="24"/>
          <w:lang w:eastAsia="zh-CN"/>
        </w:rPr>
      </w:pPr>
    </w:p>
    <w:p w14:paraId="1F65565E">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15天报告要求适用于包含药品或生物制品组成部分的组合产品（参见《美国联邦法规》第21篇第4.102（b）（2）和（b）（3）节以及第4.102（c）（2）（ii）和（c）（3）（ii））节。</w:t>
      </w:r>
      <w:r>
        <w:rPr>
          <w:rStyle w:val="22"/>
          <w:rFonts w:hint="eastAsia" w:eastAsia="宋体"/>
          <w:snapToGrid w:val="0"/>
          <w:lang w:eastAsia="zh-CN"/>
        </w:rPr>
        <w:footnoteReference w:id="17"/>
      </w:r>
      <w:r>
        <w:rPr>
          <w:rFonts w:hint="eastAsia" w:eastAsia="宋体"/>
          <w:snapToGrid w:val="0"/>
          <w:lang w:eastAsia="zh-CN"/>
        </w:rPr>
        <w:t>组合产品申请人必须针对以下情况提交15天报告：</w:t>
      </w:r>
    </w:p>
    <w:p w14:paraId="042AA0E7">
      <w:pPr>
        <w:autoSpaceDE/>
        <w:autoSpaceDN/>
        <w:snapToGrid w:val="0"/>
        <w:jc w:val="both"/>
        <w:rPr>
          <w:rFonts w:eastAsia="宋体"/>
          <w:snapToGrid w:val="0"/>
          <w:sz w:val="24"/>
          <w:szCs w:val="24"/>
          <w:lang w:eastAsia="zh-CN"/>
        </w:rPr>
      </w:pPr>
    </w:p>
    <w:p w14:paraId="7EF2F957">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lang w:eastAsia="zh-CN"/>
        </w:rPr>
        <w:t>“</w:t>
      </w:r>
      <w:r>
        <w:rPr>
          <w:rFonts w:hint="eastAsia" w:eastAsia="宋体"/>
          <w:snapToGrid w:val="0"/>
          <w:sz w:val="24"/>
          <w:szCs w:val="24"/>
          <w:lang w:eastAsia="zh-CN"/>
        </w:rPr>
        <w:t>严重</w:t>
      </w:r>
      <w:r>
        <w:rPr>
          <w:rFonts w:hint="eastAsia" w:ascii="宋体" w:hAnsi="宋体" w:eastAsia="宋体"/>
          <w:sz w:val="24"/>
          <w:lang w:eastAsia="zh-CN"/>
        </w:rPr>
        <w:t>”</w:t>
      </w:r>
      <w:r>
        <w:rPr>
          <w:rFonts w:hint="eastAsia" w:eastAsia="宋体"/>
          <w:snapToGrid w:val="0"/>
          <w:sz w:val="24"/>
          <w:szCs w:val="24"/>
          <w:lang w:eastAsia="zh-CN"/>
        </w:rPr>
        <w:t>且</w:t>
      </w:r>
      <w:r>
        <w:rPr>
          <w:rFonts w:hint="eastAsia" w:ascii="宋体" w:hAnsi="宋体" w:eastAsia="宋体"/>
          <w:sz w:val="24"/>
          <w:lang w:eastAsia="zh-CN"/>
        </w:rPr>
        <w:t>“</w:t>
      </w:r>
      <w:r>
        <w:rPr>
          <w:rFonts w:hint="eastAsia" w:eastAsia="宋体"/>
          <w:snapToGrid w:val="0"/>
          <w:sz w:val="24"/>
          <w:szCs w:val="24"/>
          <w:lang w:eastAsia="zh-CN"/>
        </w:rPr>
        <w:t>非预期</w:t>
      </w:r>
      <w:r>
        <w:rPr>
          <w:rFonts w:hint="eastAsia" w:ascii="宋体" w:hAnsi="宋体" w:eastAsia="宋体"/>
          <w:sz w:val="24"/>
          <w:lang w:eastAsia="zh-CN"/>
        </w:rPr>
        <w:t>”</w:t>
      </w:r>
      <w:r>
        <w:rPr>
          <w:rFonts w:hint="eastAsia" w:eastAsia="宋体"/>
          <w:snapToGrid w:val="0"/>
          <w:sz w:val="24"/>
          <w:szCs w:val="24"/>
          <w:lang w:eastAsia="zh-CN"/>
        </w:rPr>
        <w:t>的</w:t>
      </w:r>
      <w:r>
        <w:rPr>
          <w:rFonts w:hint="eastAsia" w:ascii="宋体" w:hAnsi="宋体" w:eastAsia="宋体"/>
          <w:sz w:val="24"/>
          <w:lang w:eastAsia="zh-CN"/>
        </w:rPr>
        <w:t>“</w:t>
      </w:r>
      <w:r>
        <w:rPr>
          <w:rFonts w:hint="eastAsia" w:eastAsia="宋体"/>
          <w:snapToGrid w:val="0"/>
          <w:sz w:val="24"/>
          <w:szCs w:val="24"/>
          <w:lang w:eastAsia="zh-CN"/>
        </w:rPr>
        <w:t>不良经历</w:t>
      </w:r>
      <w:r>
        <w:rPr>
          <w:rFonts w:hint="eastAsia" w:ascii="宋体" w:hAnsi="宋体" w:eastAsia="宋体"/>
          <w:sz w:val="24"/>
          <w:lang w:eastAsia="zh-CN"/>
        </w:rPr>
        <w:t>”</w:t>
      </w:r>
      <w:r>
        <w:rPr>
          <w:rStyle w:val="22"/>
          <w:rFonts w:hint="eastAsia" w:ascii="宋体" w:hAnsi="宋体" w:eastAsia="宋体"/>
          <w:snapToGrid w:val="0"/>
          <w:sz w:val="24"/>
          <w:szCs w:val="24"/>
          <w:lang w:eastAsia="zh-CN"/>
        </w:rPr>
        <w:footnoteReference w:id="18"/>
      </w:r>
    </w:p>
    <w:p w14:paraId="4BFCC544">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根据ANDA、NDA或BLA上市的组合产品在15个日历日内</w:t>
      </w:r>
    </w:p>
    <w:p w14:paraId="0DA96EF2">
      <w:pPr>
        <w:pStyle w:val="24"/>
        <w:numPr>
          <w:ilvl w:val="0"/>
          <w:numId w:val="3"/>
        </w:numPr>
        <w:tabs>
          <w:tab w:val="left" w:pos="910"/>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或根据器械申请上市的组合产品，在30个日历日内，如下所述。</w:t>
      </w:r>
      <w:r>
        <w:rPr>
          <w:rStyle w:val="22"/>
          <w:rFonts w:hint="eastAsia" w:eastAsia="宋体"/>
          <w:snapToGrid w:val="0"/>
          <w:sz w:val="24"/>
          <w:szCs w:val="24"/>
          <w:lang w:eastAsia="zh-CN"/>
        </w:rPr>
        <w:footnoteReference w:id="19"/>
      </w:r>
    </w:p>
    <w:p w14:paraId="0423C68A">
      <w:pPr>
        <w:pStyle w:val="24"/>
        <w:autoSpaceDE/>
        <w:autoSpaceDN/>
        <w:snapToGrid w:val="0"/>
        <w:ind w:left="920" w:firstLine="0"/>
        <w:jc w:val="both"/>
        <w:rPr>
          <w:rFonts w:eastAsia="宋体"/>
          <w:snapToGrid w:val="0"/>
          <w:sz w:val="24"/>
          <w:szCs w:val="24"/>
          <w:lang w:eastAsia="zh-CN"/>
        </w:rPr>
      </w:pPr>
    </w:p>
    <w:p w14:paraId="0AA1362F">
      <w:pPr>
        <w:pStyle w:val="7"/>
        <w:autoSpaceDE/>
        <w:autoSpaceDN/>
        <w:snapToGrid w:val="0"/>
        <w:ind w:left="880" w:leftChars="400"/>
        <w:jc w:val="both"/>
        <w:rPr>
          <w:rFonts w:eastAsia="宋体"/>
          <w:snapToGrid w:val="0"/>
          <w:lang w:eastAsia="zh-CN"/>
        </w:rPr>
      </w:pPr>
      <w:r>
        <w:rPr>
          <w:rFonts w:hint="eastAsia" w:eastAsia="宋体"/>
          <w:snapToGrid w:val="0"/>
          <w:lang w:eastAsia="zh-CN"/>
        </w:rPr>
        <w:t>（参见4.102、314.80（a）和（c），以及600.80（a）和（c）。）</w:t>
      </w:r>
    </w:p>
    <w:p w14:paraId="6D91102D">
      <w:pPr>
        <w:pStyle w:val="7"/>
        <w:autoSpaceDE/>
        <w:autoSpaceDN/>
        <w:snapToGrid w:val="0"/>
        <w:ind w:left="880" w:leftChars="400"/>
        <w:jc w:val="both"/>
        <w:rPr>
          <w:rFonts w:eastAsia="宋体"/>
          <w:snapToGrid w:val="0"/>
          <w:lang w:eastAsia="zh-CN"/>
        </w:rPr>
      </w:pPr>
    </w:p>
    <w:p w14:paraId="01FC0CBB">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不良经历。</w:t>
      </w:r>
      <w:r>
        <w:rPr>
          <w:rFonts w:hint="eastAsia" w:eastAsia="宋体"/>
          <w:snapToGrid w:val="0"/>
          <w:lang w:eastAsia="zh-CN"/>
        </w:rPr>
        <w:t>不良经历是指与组合产品使用相关的任何不良事件，无论是否与产品有关。</w:t>
      </w:r>
      <w:r>
        <w:rPr>
          <w:rStyle w:val="22"/>
          <w:rFonts w:hint="eastAsia" w:eastAsia="宋体"/>
          <w:snapToGrid w:val="0"/>
          <w:lang w:eastAsia="zh-CN"/>
        </w:rPr>
        <w:footnoteReference w:id="20"/>
      </w:r>
    </w:p>
    <w:p w14:paraId="5F08CCFB">
      <w:pPr>
        <w:pStyle w:val="7"/>
        <w:autoSpaceDE/>
        <w:autoSpaceDN/>
        <w:snapToGrid w:val="0"/>
        <w:ind w:left="880" w:leftChars="400"/>
        <w:jc w:val="both"/>
        <w:rPr>
          <w:rFonts w:eastAsia="宋体"/>
          <w:snapToGrid w:val="0"/>
          <w:lang w:eastAsia="zh-CN"/>
        </w:rPr>
      </w:pPr>
    </w:p>
    <w:p w14:paraId="3479AD6E">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严重程度。</w:t>
      </w:r>
      <w:r>
        <w:rPr>
          <w:rFonts w:hint="eastAsia" w:eastAsia="宋体"/>
          <w:snapToGrid w:val="0"/>
          <w:lang w:eastAsia="zh-CN"/>
        </w:rPr>
        <w:t>严重不良经历是指导致以下任何结局的任何不良事件：死亡、危及生命的不良经历、需要住院治疗或延长现有住院时间、持续或者重大残疾/失能；先天性异常/出生缺陷。基于合理的医学评价，一些可能不会导致死亡、危及生命或需要住院治疗，但可能会伤害患者或受试者，并可能需要医学或手术干预以预防上述任一结局的重要医学事件，可能被视为严重不良经历（参见《美国联邦法规》第21篇第314.80（a）和600.80（a）节）。</w:t>
      </w:r>
    </w:p>
    <w:p w14:paraId="1213D0B4">
      <w:pPr>
        <w:autoSpaceDE/>
        <w:autoSpaceDN/>
        <w:snapToGrid w:val="0"/>
        <w:jc w:val="both"/>
        <w:rPr>
          <w:rFonts w:eastAsia="宋体"/>
          <w:snapToGrid w:val="0"/>
          <w:sz w:val="24"/>
          <w:szCs w:val="24"/>
          <w:lang w:eastAsia="zh-CN"/>
        </w:rPr>
      </w:pPr>
      <w:r>
        <w:rPr>
          <w:rFonts w:hint="eastAsia" w:eastAsia="宋体"/>
          <w:snapToGrid w:val="0"/>
          <w:sz w:val="21"/>
          <w:szCs w:val="21"/>
          <w:lang w:eastAsia="zh-CN"/>
        </w:rPr>
        <w:br w:type="page"/>
      </w:r>
    </w:p>
    <w:p w14:paraId="260CDEBA">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非预期性。</w:t>
      </w:r>
      <w:r>
        <w:rPr>
          <w:rFonts w:hint="eastAsia" w:eastAsia="宋体"/>
          <w:snapToGrid w:val="0"/>
          <w:lang w:eastAsia="zh-CN"/>
        </w:rPr>
        <w:t>非预期不良经历是指产品现行版标签中未列出的任何不良经历。这包括可能与标签中列出的事件在症状和病理生理上相关的事件，但由于更严重或更特异而与列出的事件不同（参见《美国联邦法规》第21篇第314.80（a）和600.80（a）节）。出于15天报告目的，事件是否为</w:t>
      </w:r>
      <w:r>
        <w:rPr>
          <w:rFonts w:hint="eastAsia" w:ascii="宋体" w:hAnsi="宋体" w:eastAsia="宋体"/>
          <w:lang w:eastAsia="zh-CN"/>
        </w:rPr>
        <w:t>“</w:t>
      </w:r>
      <w:r>
        <w:rPr>
          <w:rFonts w:hint="eastAsia" w:eastAsia="宋体"/>
          <w:snapToGrid w:val="0"/>
          <w:lang w:eastAsia="zh-CN"/>
        </w:rPr>
        <w:t>预期</w:t>
      </w:r>
      <w:r>
        <w:rPr>
          <w:rFonts w:hint="eastAsia" w:ascii="宋体" w:hAnsi="宋体" w:eastAsia="宋体"/>
          <w:lang w:eastAsia="zh-CN"/>
        </w:rPr>
        <w:t>”</w:t>
      </w:r>
      <w:r>
        <w:rPr>
          <w:rFonts w:hint="eastAsia" w:eastAsia="宋体"/>
          <w:snapToGrid w:val="0"/>
          <w:lang w:eastAsia="zh-CN"/>
        </w:rPr>
        <w:t>取决于该事件是否列在组合产品随附的任何现行版标签中，包括各个组成部分随附的任何标签。对于交叉标签的组合产品，如果事件列在任一组成部分的标签中，则该事件被视为预期事件。</w:t>
      </w:r>
    </w:p>
    <w:p w14:paraId="0D329F37">
      <w:pPr>
        <w:pStyle w:val="7"/>
        <w:autoSpaceDE/>
        <w:autoSpaceDN/>
        <w:snapToGrid w:val="0"/>
        <w:ind w:left="440" w:leftChars="200"/>
        <w:jc w:val="both"/>
        <w:rPr>
          <w:rFonts w:eastAsia="宋体"/>
          <w:snapToGrid w:val="0"/>
          <w:lang w:eastAsia="zh-CN"/>
        </w:rPr>
      </w:pPr>
    </w:p>
    <w:p w14:paraId="326E5E3B">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根据NDA批准的组合产品，其包含用于将药品组成部分插入体内的递送装置。如果该递送装置在药物递送过程中断裂，导致患者出血并住院进行手术移除器械碎片（未列出的不良事件），组合产品申请人必须提交一份15天报告，因为出血是与组合产品相关的严重且非预期的不良事件。</w:t>
      </w:r>
    </w:p>
    <w:p w14:paraId="35C792EA">
      <w:pPr>
        <w:pStyle w:val="7"/>
        <w:autoSpaceDE/>
        <w:autoSpaceDN/>
        <w:snapToGrid w:val="0"/>
        <w:jc w:val="both"/>
        <w:rPr>
          <w:rFonts w:eastAsia="宋体"/>
          <w:snapToGrid w:val="0"/>
          <w:lang w:eastAsia="zh-CN"/>
        </w:rPr>
      </w:pPr>
    </w:p>
    <w:p w14:paraId="6E61A3F9">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根据器械申请的组合产品</w:t>
      </w:r>
      <w:r>
        <w:rPr>
          <w:rFonts w:hint="eastAsia" w:eastAsia="宋体"/>
          <w:i/>
          <w:lang w:eastAsia="zh-CN"/>
        </w:rPr>
        <w:t>。</w:t>
      </w:r>
      <w:r>
        <w:rPr>
          <w:rFonts w:hint="eastAsia" w:eastAsia="宋体"/>
          <w:snapToGrid w:val="0"/>
          <w:lang w:eastAsia="zh-CN"/>
        </w:rPr>
        <w:t>对于根据器械申请上市的组合产品，必须在</w:t>
      </w:r>
      <w:r>
        <w:rPr>
          <w:rFonts w:hint="eastAsia" w:eastAsia="宋体"/>
          <w:i/>
          <w:snapToGrid w:val="0"/>
          <w:lang w:eastAsia="zh-CN"/>
        </w:rPr>
        <w:t>30个日历日内</w:t>
      </w:r>
      <w:r>
        <w:rPr>
          <w:rFonts w:hint="eastAsia" w:eastAsia="宋体"/>
          <w:snapToGrid w:val="0"/>
          <w:lang w:eastAsia="zh-CN"/>
        </w:rPr>
        <w:t>提交15天报告，而不是15天内（参见《美国联邦法规》第21篇第4.102（c）（2）（ii）和（c）（3）（ii））节。如果此类组合产品的组合产品申请人收到一份事件报告，该事件符合《美国联邦法规》第21篇第803节规定的死亡或重伤报告，并且因为该事件非预期而作为15天报告，则组合产品申请人可以在30个日历日的提交时间表内提交一份确定为死亡或重伤的单一报告并作为15天报告，来满足这两项报告要求（进一步讨论见下文第IV.C节和第V.B.2节）。</w:t>
      </w:r>
      <w:r>
        <w:rPr>
          <w:rStyle w:val="22"/>
          <w:rFonts w:hint="eastAsia" w:eastAsia="宋体"/>
          <w:snapToGrid w:val="0"/>
          <w:lang w:eastAsia="zh-CN"/>
        </w:rPr>
        <w:footnoteReference w:id="21"/>
      </w:r>
    </w:p>
    <w:p w14:paraId="55098590">
      <w:pPr>
        <w:pStyle w:val="7"/>
        <w:autoSpaceDE/>
        <w:autoSpaceDN/>
        <w:snapToGrid w:val="0"/>
        <w:jc w:val="both"/>
        <w:rPr>
          <w:rFonts w:eastAsia="宋体"/>
          <w:snapToGrid w:val="0"/>
          <w:lang w:eastAsia="zh-CN"/>
        </w:rPr>
      </w:pPr>
    </w:p>
    <w:p w14:paraId="41989219">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同时含有药品和生物制品组成部分的组合产品。</w:t>
      </w:r>
      <w:r>
        <w:rPr>
          <w:rFonts w:hint="eastAsia" w:eastAsia="宋体"/>
          <w:snapToGrid w:val="0"/>
          <w:lang w:eastAsia="zh-CN"/>
        </w:rPr>
        <w:t>对于同时含有药品和生物制品组成部分的组合产品，组合产品申请人无需就同一事件提交两份单独的15天报告。15天报告要求与《美国联邦法规》第21篇第314.80和600.80节中的要求相同，提交一份包含所需信息的15天报告即可（进一步讨论见下文第IV.C节和第V.A.3节）。</w:t>
      </w:r>
    </w:p>
    <w:p w14:paraId="032DD805">
      <w:pPr>
        <w:pStyle w:val="7"/>
        <w:autoSpaceDE/>
        <w:autoSpaceDN/>
        <w:snapToGrid w:val="0"/>
        <w:jc w:val="both"/>
        <w:rPr>
          <w:rFonts w:eastAsia="宋体"/>
          <w:snapToGrid w:val="0"/>
          <w:lang w:eastAsia="zh-CN"/>
        </w:rPr>
      </w:pPr>
    </w:p>
    <w:p w14:paraId="30C40ABD">
      <w:pPr>
        <w:pStyle w:val="7"/>
        <w:wordWrap w:val="0"/>
        <w:autoSpaceDE/>
        <w:autoSpaceDN/>
        <w:snapToGrid w:val="0"/>
        <w:ind w:firstLine="480" w:firstLineChars="200"/>
        <w:jc w:val="both"/>
        <w:rPr>
          <w:rFonts w:eastAsia="宋体"/>
          <w:snapToGrid w:val="0"/>
          <w:lang w:eastAsia="zh-CN"/>
        </w:rPr>
      </w:pPr>
      <w:r>
        <w:rPr>
          <w:rFonts w:hint="eastAsia" w:eastAsia="宋体"/>
          <w:snapToGrid w:val="0"/>
          <w:lang w:eastAsia="zh-CN"/>
        </w:rPr>
        <w:t>有关药物不良事件报告的更多信息，请访问：</w:t>
      </w:r>
      <w:r>
        <w:fldChar w:fldCharType="begin"/>
      </w:r>
      <w:r>
        <w:instrText xml:space="preserve"> HYPERLINK "https://www.fda.gov/drugs/surveillance/postmarketing-surveillance-programs." </w:instrText>
      </w:r>
      <w:r>
        <w:fldChar w:fldCharType="separate"/>
      </w:r>
      <w:r>
        <w:rPr>
          <w:rStyle w:val="20"/>
          <w:rFonts w:hint="eastAsia" w:eastAsia="宋体"/>
          <w:snapToGrid w:val="0"/>
          <w:u w:color="0000FF"/>
          <w:lang w:eastAsia="zh-CN"/>
        </w:rPr>
        <w:t>https://www.fda.gov/drugs/surveillance/postmarketing-surveillance-programs.</w:t>
      </w:r>
      <w:r>
        <w:rPr>
          <w:rStyle w:val="20"/>
          <w:rFonts w:hint="eastAsia" w:eastAsia="宋体"/>
          <w:snapToGrid w:val="0"/>
          <w:u w:color="0000FF"/>
          <w:lang w:eastAsia="zh-CN"/>
        </w:rPr>
        <w:fldChar w:fldCharType="end"/>
      </w:r>
    </w:p>
    <w:p w14:paraId="5A494C0A">
      <w:pPr>
        <w:autoSpaceDE/>
        <w:autoSpaceDN/>
        <w:snapToGrid w:val="0"/>
        <w:jc w:val="both"/>
        <w:rPr>
          <w:rFonts w:eastAsia="宋体"/>
          <w:sz w:val="24"/>
        </w:rPr>
      </w:pPr>
      <w:r>
        <w:rPr>
          <w:rFonts w:eastAsia="宋体"/>
          <w:sz w:val="24"/>
        </w:rPr>
        <w:br w:type="page"/>
      </w:r>
    </w:p>
    <w:p w14:paraId="538935AB">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5天报告（参见《美国联邦法规》第21篇第803.3、803.53和803.56节）</w:t>
      </w:r>
    </w:p>
    <w:p w14:paraId="60DAFF51">
      <w:pPr>
        <w:autoSpaceDE/>
        <w:autoSpaceDN/>
        <w:snapToGrid w:val="0"/>
        <w:jc w:val="both"/>
        <w:rPr>
          <w:rFonts w:eastAsia="宋体"/>
          <w:snapToGrid w:val="0"/>
          <w:sz w:val="24"/>
          <w:szCs w:val="24"/>
          <w:lang w:eastAsia="zh-CN"/>
        </w:rPr>
      </w:pPr>
    </w:p>
    <w:p w14:paraId="6539771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5天报告要求适用于包含器械组成部分的组合产品（《美国联邦法规》第21篇4.102（b）（1）和4.102（c）（1）（i））。</w:t>
      </w:r>
    </w:p>
    <w:p w14:paraId="2DAFF084">
      <w:pPr>
        <w:pStyle w:val="7"/>
        <w:autoSpaceDE/>
        <w:autoSpaceDN/>
        <w:snapToGrid w:val="0"/>
        <w:jc w:val="both"/>
        <w:rPr>
          <w:rFonts w:eastAsia="宋体"/>
          <w:snapToGrid w:val="0"/>
          <w:lang w:eastAsia="zh-CN"/>
        </w:rPr>
      </w:pPr>
    </w:p>
    <w:p w14:paraId="6BDEA14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此类组合产品的组合产品申请人必须在组合产品申请人获知</w:t>
      </w:r>
      <w:r>
        <w:rPr>
          <w:rStyle w:val="22"/>
          <w:rFonts w:hint="eastAsia" w:eastAsia="宋体"/>
          <w:snapToGrid w:val="0"/>
          <w:lang w:eastAsia="zh-CN"/>
        </w:rPr>
        <w:footnoteReference w:id="22"/>
      </w:r>
      <w:r>
        <w:rPr>
          <w:rFonts w:hint="eastAsia" w:eastAsia="宋体"/>
          <w:snapToGrid w:val="0"/>
          <w:lang w:eastAsia="zh-CN"/>
        </w:rPr>
        <w:t>以下情况之日起五个工作日内提交五天报告：</w:t>
      </w:r>
    </w:p>
    <w:p w14:paraId="6DD63134">
      <w:pPr>
        <w:pStyle w:val="7"/>
        <w:autoSpaceDE/>
        <w:autoSpaceDN/>
        <w:snapToGrid w:val="0"/>
        <w:jc w:val="both"/>
        <w:rPr>
          <w:rFonts w:eastAsia="宋体"/>
          <w:snapToGrid w:val="0"/>
          <w:lang w:eastAsia="zh-CN"/>
        </w:rPr>
      </w:pPr>
    </w:p>
    <w:p w14:paraId="3537082C">
      <w:pPr>
        <w:pStyle w:val="24"/>
        <w:numPr>
          <w:ilvl w:val="0"/>
          <w:numId w:val="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组合产品的可报告事件</w:t>
      </w:r>
      <w:r>
        <w:rPr>
          <w:rFonts w:hint="eastAsia" w:ascii="宋体" w:hAnsi="宋体" w:eastAsia="宋体"/>
          <w:sz w:val="24"/>
          <w:lang w:eastAsia="zh-CN"/>
        </w:rPr>
        <w:t>“</w:t>
      </w:r>
      <w:r>
        <w:rPr>
          <w:rFonts w:hint="eastAsia" w:eastAsia="宋体"/>
          <w:snapToGrid w:val="0"/>
          <w:sz w:val="24"/>
          <w:szCs w:val="24"/>
          <w:lang w:eastAsia="zh-CN"/>
        </w:rPr>
        <w:t>需要采取补救措施以防止对公众健康造成重大伤害的不合理风险</w:t>
      </w:r>
      <w:r>
        <w:rPr>
          <w:rFonts w:hint="eastAsia" w:ascii="宋体" w:hAnsi="宋体" w:eastAsia="宋体"/>
          <w:sz w:val="24"/>
          <w:lang w:eastAsia="zh-CN"/>
        </w:rPr>
        <w:t>”</w:t>
      </w:r>
      <w:r>
        <w:rPr>
          <w:rFonts w:hint="eastAsia" w:eastAsia="宋体"/>
          <w:snapToGrid w:val="0"/>
          <w:sz w:val="24"/>
          <w:szCs w:val="24"/>
          <w:lang w:eastAsia="zh-CN"/>
        </w:rPr>
        <w:t>，或者</w:t>
      </w:r>
    </w:p>
    <w:p w14:paraId="53B1D648">
      <w:pPr>
        <w:pStyle w:val="24"/>
        <w:autoSpaceDE/>
        <w:autoSpaceDN/>
        <w:snapToGrid w:val="0"/>
        <w:ind w:left="920" w:firstLine="0"/>
        <w:jc w:val="both"/>
        <w:rPr>
          <w:rFonts w:eastAsia="宋体"/>
          <w:snapToGrid w:val="0"/>
          <w:sz w:val="24"/>
          <w:szCs w:val="24"/>
          <w:lang w:eastAsia="zh-CN"/>
        </w:rPr>
      </w:pPr>
    </w:p>
    <w:p w14:paraId="2CAFC8E3">
      <w:pPr>
        <w:pStyle w:val="24"/>
        <w:numPr>
          <w:ilvl w:val="0"/>
          <w:numId w:val="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本机构（FDA）</w:t>
      </w:r>
      <w:r>
        <w:rPr>
          <w:rFonts w:hint="eastAsia" w:ascii="宋体" w:hAnsi="宋体" w:eastAsia="宋体"/>
          <w:sz w:val="24"/>
          <w:lang w:eastAsia="zh-CN"/>
        </w:rPr>
        <w:t>“</w:t>
      </w:r>
      <w:r>
        <w:rPr>
          <w:rFonts w:hint="eastAsia" w:eastAsia="宋体"/>
          <w:snapToGrid w:val="0"/>
          <w:sz w:val="24"/>
          <w:szCs w:val="24"/>
          <w:lang w:eastAsia="zh-CN"/>
        </w:rPr>
        <w:t>已书面要求提交【5天】报告</w:t>
      </w:r>
      <w:r>
        <w:rPr>
          <w:rFonts w:hint="eastAsia" w:ascii="宋体" w:hAnsi="宋体" w:eastAsia="宋体"/>
          <w:sz w:val="24"/>
          <w:lang w:eastAsia="zh-CN"/>
        </w:rPr>
        <w:t>”</w:t>
      </w:r>
      <w:r>
        <w:rPr>
          <w:rFonts w:hint="eastAsia" w:eastAsia="宋体"/>
          <w:snapToGrid w:val="0"/>
          <w:sz w:val="24"/>
          <w:szCs w:val="24"/>
          <w:lang w:eastAsia="zh-CN"/>
        </w:rPr>
        <w:t>（《美国联邦法规》第21篇第803.53节）。</w:t>
      </w:r>
    </w:p>
    <w:p w14:paraId="27FBD7EC">
      <w:pPr>
        <w:pStyle w:val="24"/>
        <w:autoSpaceDE/>
        <w:autoSpaceDN/>
        <w:snapToGrid w:val="0"/>
        <w:ind w:left="920" w:firstLine="0"/>
        <w:jc w:val="both"/>
        <w:rPr>
          <w:rFonts w:eastAsia="宋体"/>
          <w:snapToGrid w:val="0"/>
          <w:sz w:val="24"/>
          <w:szCs w:val="24"/>
          <w:lang w:eastAsia="zh-CN"/>
        </w:rPr>
      </w:pPr>
    </w:p>
    <w:p w14:paraId="086780FE">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补救措施</w:t>
      </w:r>
      <w:r>
        <w:rPr>
          <w:rFonts w:hint="eastAsia" w:eastAsia="宋体"/>
          <w:snapToGrid w:val="0"/>
          <w:lang w:eastAsia="zh-CN"/>
        </w:rPr>
        <w:t>包括</w:t>
      </w:r>
      <w:r>
        <w:rPr>
          <w:rFonts w:hint="eastAsia" w:ascii="宋体" w:hAnsi="宋体" w:eastAsia="宋体"/>
          <w:lang w:eastAsia="zh-CN"/>
        </w:rPr>
        <w:t>“</w:t>
      </w:r>
      <w:r>
        <w:rPr>
          <w:rFonts w:hint="eastAsia" w:eastAsia="宋体"/>
          <w:snapToGrid w:val="0"/>
          <w:lang w:eastAsia="zh-CN"/>
        </w:rPr>
        <w:t>除日常维护或维修以外的任何措施……如果此类措施是防止可报告事件再次发生的必要措施</w:t>
      </w:r>
      <w:r>
        <w:rPr>
          <w:rFonts w:hint="eastAsia" w:ascii="宋体" w:hAnsi="宋体" w:eastAsia="宋体"/>
          <w:lang w:eastAsia="zh-CN"/>
        </w:rPr>
        <w:t>”</w:t>
      </w:r>
      <w:r>
        <w:rPr>
          <w:rFonts w:hint="eastAsia" w:eastAsia="宋体"/>
          <w:snapToGrid w:val="0"/>
          <w:lang w:eastAsia="zh-CN"/>
        </w:rPr>
        <w:t>（《美国联邦法规》第21篇第803.3（v）节）。</w:t>
      </w:r>
    </w:p>
    <w:p w14:paraId="2E287DDE">
      <w:pPr>
        <w:pStyle w:val="7"/>
        <w:autoSpaceDE/>
        <w:autoSpaceDN/>
        <w:snapToGrid w:val="0"/>
        <w:ind w:left="880" w:leftChars="400"/>
        <w:jc w:val="both"/>
        <w:rPr>
          <w:rFonts w:eastAsia="宋体"/>
          <w:snapToGrid w:val="0"/>
          <w:lang w:eastAsia="zh-CN"/>
        </w:rPr>
      </w:pPr>
    </w:p>
    <w:p w14:paraId="57C10B10">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以下情形需要5天报告。根据NDA批准的预充式救援吸入器的申请人确定可报告不良事件是由设计缺陷引起，该缺陷导致吸入器致动器失效且药物无法递送。已知现场产品存在设计缺陷，且现场产品可能会以相同方式失效并可能导致危及生命的伤害或死亡（对公众健康造成重大伤害的不合理风险）。在申请人确定有必要在设计更正前将产品撤市后（即，获知有必要采取补救措施以防止对公众健康造成重大伤害的不合理风险），其必须在5个工作日内提交报告（参见《美国联邦法规》第21篇第803.53节）。</w:t>
      </w:r>
    </w:p>
    <w:p w14:paraId="7D0EFCD9">
      <w:pPr>
        <w:pStyle w:val="7"/>
        <w:autoSpaceDE/>
        <w:autoSpaceDN/>
        <w:snapToGrid w:val="0"/>
        <w:ind w:firstLine="480" w:firstLineChars="200"/>
        <w:jc w:val="both"/>
        <w:rPr>
          <w:rFonts w:eastAsia="宋体"/>
          <w:snapToGrid w:val="0"/>
          <w:lang w:eastAsia="zh-CN"/>
        </w:rPr>
      </w:pPr>
    </w:p>
    <w:p w14:paraId="0FC2914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同样，如果根据PMA批准的药物涂层导管的申请人确定导管断裂造成的重伤是粘接工艺的生产问题所致，并决定从市场上移除受影响的产品批次（以防止对公众健康造成重大伤害的不合理风险），则需要根据《美国联邦法规》第21篇第803.53节提交5天报告。</w:t>
      </w:r>
    </w:p>
    <w:p w14:paraId="342141E0">
      <w:pPr>
        <w:pStyle w:val="7"/>
        <w:autoSpaceDE/>
        <w:autoSpaceDN/>
        <w:snapToGrid w:val="0"/>
        <w:ind w:firstLine="480" w:firstLineChars="200"/>
        <w:jc w:val="both"/>
        <w:rPr>
          <w:rFonts w:eastAsia="宋体"/>
          <w:snapToGrid w:val="0"/>
          <w:lang w:eastAsia="zh-CN"/>
        </w:rPr>
      </w:pPr>
    </w:p>
    <w:p w14:paraId="326F810E">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对于这两个例子，申请人还必须报告移除措施（参见《美国联邦法规》第21篇第4.102（b）（1）、（c）（1）（iii）节和《美国联邦法规》第21篇第806节），并可以作为5天报告的一部分进行报告（关于更正和移除报告以及用5天报告简化这些报告的更多讨论，请参见下文第IV.B.3节）。</w:t>
      </w:r>
    </w:p>
    <w:p w14:paraId="57D11E3A">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br w:type="page"/>
      </w:r>
      <w:r>
        <w:rPr>
          <w:rFonts w:hint="eastAsia" w:eastAsia="宋体"/>
          <w:snapToGrid w:val="0"/>
          <w:lang w:eastAsia="zh-CN"/>
        </w:rPr>
        <w:t>请注意，提交5天报告（或更正或移除报告）并不改变申请人提交产品其他上市后安全性报告的义务。申请人必须根据适用于产品的所有PMSR要求，继续评估事件，并按要求向FDA报告。</w:t>
      </w:r>
    </w:p>
    <w:p w14:paraId="042F6926">
      <w:pPr>
        <w:pStyle w:val="7"/>
        <w:autoSpaceDE/>
        <w:autoSpaceDN/>
        <w:snapToGrid w:val="0"/>
        <w:jc w:val="both"/>
        <w:rPr>
          <w:rFonts w:eastAsia="宋体"/>
          <w:snapToGrid w:val="0"/>
          <w:lang w:eastAsia="zh-CN"/>
        </w:rPr>
      </w:pPr>
    </w:p>
    <w:p w14:paraId="7389E0C7">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有关5天报告的更多信息，请访问：</w:t>
      </w:r>
      <w:r>
        <w:fldChar w:fldCharType="begin"/>
      </w:r>
      <w:r>
        <w:instrText xml:space="preserve"> HYPERLINK "https://www.fda.gov/medical-devices/medical-device-safety/medical-device-reporting-mdr-how-report-medical-device-problems." </w:instrText>
      </w:r>
      <w:r>
        <w:fldChar w:fldCharType="separate"/>
      </w:r>
      <w:r>
        <w:rPr>
          <w:rStyle w:val="20"/>
          <w:rFonts w:hint="eastAsia" w:eastAsia="宋体"/>
          <w:snapToGrid w:val="0"/>
          <w:u w:color="0000FF"/>
          <w:lang w:eastAsia="zh-CN"/>
        </w:rPr>
        <w:t>https://www.fda.gov/medical-devices/medical-device-safety/medical-device-reporting-mdr-how-report-medical-device-problems.</w:t>
      </w:r>
      <w:r>
        <w:rPr>
          <w:rStyle w:val="20"/>
          <w:rFonts w:hint="eastAsia" w:eastAsia="宋体"/>
          <w:snapToGrid w:val="0"/>
          <w:u w:color="0000FF"/>
          <w:lang w:eastAsia="zh-CN"/>
        </w:rPr>
        <w:fldChar w:fldCharType="end"/>
      </w:r>
    </w:p>
    <w:p w14:paraId="48920B03">
      <w:pPr>
        <w:autoSpaceDE/>
        <w:autoSpaceDN/>
        <w:snapToGrid w:val="0"/>
        <w:jc w:val="both"/>
        <w:rPr>
          <w:rFonts w:eastAsia="宋体"/>
          <w:snapToGrid w:val="0"/>
          <w:sz w:val="24"/>
          <w:szCs w:val="24"/>
          <w:lang w:eastAsia="zh-CN"/>
        </w:rPr>
      </w:pPr>
    </w:p>
    <w:p w14:paraId="22CF8F3D">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故障报告（参见《美国联邦法规》第21篇第803.50和803.56节）</w:t>
      </w:r>
    </w:p>
    <w:p w14:paraId="40B9DC52">
      <w:pPr>
        <w:autoSpaceDE/>
        <w:autoSpaceDN/>
        <w:snapToGrid w:val="0"/>
        <w:jc w:val="both"/>
        <w:rPr>
          <w:rFonts w:eastAsia="宋体"/>
          <w:snapToGrid w:val="0"/>
          <w:sz w:val="24"/>
          <w:szCs w:val="24"/>
          <w:lang w:eastAsia="zh-CN"/>
        </w:rPr>
      </w:pPr>
    </w:p>
    <w:p w14:paraId="436432B6">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故障报告要求适用于包含器械组成部分的组合产品（参见《美国联邦法规》第21篇第4.102（b）（1）、4.102（c）（1）（ii）、803.50和803.56节）。</w:t>
      </w:r>
    </w:p>
    <w:p w14:paraId="3CCC0868">
      <w:pPr>
        <w:pStyle w:val="7"/>
        <w:autoSpaceDE/>
        <w:autoSpaceDN/>
        <w:snapToGrid w:val="0"/>
        <w:ind w:firstLine="480" w:firstLineChars="200"/>
        <w:jc w:val="both"/>
        <w:rPr>
          <w:rFonts w:eastAsia="宋体"/>
          <w:snapToGrid w:val="0"/>
          <w:lang w:eastAsia="zh-CN"/>
        </w:rPr>
      </w:pPr>
    </w:p>
    <w:p w14:paraId="7A53750B">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此类组合产品的组合产品申请人必须在收到或以其他方式获知以下信息后的30个日历日内</w:t>
      </w:r>
      <w:r>
        <w:rPr>
          <w:rStyle w:val="22"/>
          <w:rFonts w:hint="eastAsia" w:eastAsia="宋体"/>
          <w:snapToGrid w:val="0"/>
          <w:lang w:eastAsia="zh-CN"/>
        </w:rPr>
        <w:footnoteReference w:id="23"/>
      </w:r>
      <w:r>
        <w:rPr>
          <w:rFonts w:hint="eastAsia" w:eastAsia="宋体"/>
          <w:snapToGrid w:val="0"/>
          <w:lang w:eastAsia="zh-CN"/>
        </w:rPr>
        <w:t>提交故障报告：</w:t>
      </w:r>
    </w:p>
    <w:p w14:paraId="3E5DE8D9">
      <w:pPr>
        <w:pStyle w:val="7"/>
        <w:autoSpaceDE/>
        <w:autoSpaceDN/>
        <w:snapToGrid w:val="0"/>
        <w:jc w:val="both"/>
        <w:rPr>
          <w:rFonts w:eastAsia="宋体"/>
          <w:snapToGrid w:val="0"/>
          <w:lang w:eastAsia="zh-CN"/>
        </w:rPr>
      </w:pPr>
    </w:p>
    <w:p w14:paraId="4544DFB7">
      <w:pPr>
        <w:pStyle w:val="24"/>
        <w:numPr>
          <w:ilvl w:val="0"/>
          <w:numId w:val="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rPr>
        <w:t>“</w:t>
      </w:r>
      <w:r>
        <w:rPr>
          <w:rFonts w:hint="eastAsia" w:eastAsia="宋体"/>
          <w:snapToGrid w:val="0"/>
          <w:sz w:val="24"/>
          <w:szCs w:val="24"/>
          <w:lang w:eastAsia="zh-CN"/>
        </w:rPr>
        <w:t>合理建议</w:t>
      </w:r>
      <w:r>
        <w:rPr>
          <w:rFonts w:hint="eastAsia" w:ascii="宋体" w:hAnsi="宋体" w:eastAsia="宋体"/>
          <w:sz w:val="24"/>
        </w:rPr>
        <w:t>”</w:t>
      </w:r>
      <w:r>
        <w:rPr>
          <w:rStyle w:val="22"/>
          <w:rFonts w:hint="eastAsia" w:ascii="宋体" w:hAnsi="宋体" w:eastAsia="宋体"/>
          <w:snapToGrid w:val="0"/>
          <w:sz w:val="24"/>
          <w:szCs w:val="24"/>
          <w:lang w:eastAsia="zh-CN"/>
        </w:rPr>
        <w:footnoteReference w:id="24"/>
      </w:r>
    </w:p>
    <w:p w14:paraId="3B6D971F">
      <w:pPr>
        <w:pStyle w:val="24"/>
        <w:numPr>
          <w:ilvl w:val="0"/>
          <w:numId w:val="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该产品已出现故障，并且</w:t>
      </w:r>
    </w:p>
    <w:p w14:paraId="438123E6">
      <w:pPr>
        <w:pStyle w:val="24"/>
        <w:numPr>
          <w:ilvl w:val="0"/>
          <w:numId w:val="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该产品或申请人上市的同品种产品，</w:t>
      </w:r>
      <w:r>
        <w:rPr>
          <w:rFonts w:hint="eastAsia" w:ascii="宋体" w:hAnsi="宋体" w:eastAsia="宋体"/>
          <w:sz w:val="24"/>
          <w:lang w:eastAsia="zh-CN"/>
        </w:rPr>
        <w:t>“</w:t>
      </w:r>
      <w:r>
        <w:rPr>
          <w:rFonts w:hint="eastAsia" w:eastAsia="宋体"/>
          <w:snapToGrid w:val="0"/>
          <w:sz w:val="24"/>
          <w:szCs w:val="24"/>
          <w:lang w:eastAsia="zh-CN"/>
        </w:rPr>
        <w:t>如果故障将会再次发生，可能导致或促成死亡或重伤</w:t>
      </w:r>
      <w:r>
        <w:rPr>
          <w:rFonts w:hint="eastAsia" w:ascii="宋体" w:hAnsi="宋体" w:eastAsia="宋体"/>
          <w:sz w:val="24"/>
          <w:lang w:eastAsia="zh-CN"/>
        </w:rPr>
        <w:t>”</w:t>
      </w:r>
      <w:r>
        <w:rPr>
          <w:rFonts w:hint="eastAsia" w:eastAsia="宋体"/>
          <w:snapToGrid w:val="0"/>
          <w:sz w:val="24"/>
          <w:szCs w:val="24"/>
          <w:lang w:eastAsia="zh-CN"/>
        </w:rPr>
        <w:t>（《美国联邦法规》第21篇第803.3（o）（2）（ii）和803.50节）。</w:t>
      </w:r>
    </w:p>
    <w:p w14:paraId="0D9606EE">
      <w:pPr>
        <w:pStyle w:val="24"/>
        <w:tabs>
          <w:tab w:val="left" w:pos="911"/>
        </w:tabs>
        <w:autoSpaceDE/>
        <w:autoSpaceDN/>
        <w:snapToGrid w:val="0"/>
        <w:ind w:left="920" w:firstLine="0"/>
        <w:jc w:val="both"/>
        <w:rPr>
          <w:rFonts w:eastAsia="宋体"/>
          <w:snapToGrid w:val="0"/>
          <w:sz w:val="24"/>
          <w:szCs w:val="24"/>
          <w:lang w:eastAsia="zh-CN"/>
        </w:rPr>
      </w:pPr>
    </w:p>
    <w:p w14:paraId="580C36DE">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故障</w:t>
      </w:r>
      <w:r>
        <w:rPr>
          <w:rFonts w:hint="eastAsia" w:eastAsia="宋体"/>
          <w:snapToGrid w:val="0"/>
          <w:lang w:eastAsia="zh-CN"/>
        </w:rPr>
        <w:t>。在组合产品环境中使用时，</w:t>
      </w:r>
      <w:r>
        <w:rPr>
          <w:rFonts w:hint="eastAsia" w:ascii="宋体" w:hAnsi="宋体" w:eastAsia="宋体"/>
          <w:lang w:eastAsia="zh-CN"/>
        </w:rPr>
        <w:t>“</w:t>
      </w:r>
      <w:r>
        <w:rPr>
          <w:rFonts w:hint="eastAsia" w:eastAsia="宋体"/>
          <w:snapToGrid w:val="0"/>
          <w:lang w:eastAsia="zh-CN"/>
        </w:rPr>
        <w:t>故障</w:t>
      </w:r>
      <w:r>
        <w:rPr>
          <w:rFonts w:hint="eastAsia" w:ascii="宋体" w:hAnsi="宋体" w:eastAsia="宋体"/>
          <w:lang w:eastAsia="zh-CN"/>
        </w:rPr>
        <w:t>”</w:t>
      </w:r>
      <w:r>
        <w:rPr>
          <w:rFonts w:hint="eastAsia" w:eastAsia="宋体"/>
          <w:snapToGrid w:val="0"/>
          <w:lang w:eastAsia="zh-CN"/>
        </w:rPr>
        <w:t>指器械组成部分或产品整体未能满足其性能规范或其他预期性能（参见《美国联邦法规》第21篇第4.102（a）和803.3（k）节）。性能规范包括器械组成部分或组合产品整体标签中的所有载明内容（参见《美国联邦法规》第21篇第4.102（a）和803.3（k）节）。</w:t>
      </w:r>
    </w:p>
    <w:p w14:paraId="27F25CF7">
      <w:pPr>
        <w:pStyle w:val="7"/>
        <w:autoSpaceDE/>
        <w:autoSpaceDN/>
        <w:snapToGrid w:val="0"/>
        <w:ind w:left="880" w:leftChars="400"/>
        <w:jc w:val="both"/>
        <w:rPr>
          <w:rFonts w:eastAsia="宋体"/>
          <w:snapToGrid w:val="0"/>
          <w:lang w:eastAsia="zh-CN"/>
        </w:rPr>
      </w:pPr>
    </w:p>
    <w:p w14:paraId="7B873B12">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重伤</w:t>
      </w:r>
      <w:r>
        <w:rPr>
          <w:rFonts w:hint="eastAsia" w:eastAsia="宋体"/>
          <w:snapToGrid w:val="0"/>
          <w:lang w:eastAsia="zh-CN"/>
        </w:rPr>
        <w:t>。如《美国联邦法规》第21篇第803.3（w）节所述，</w:t>
      </w:r>
      <w:r>
        <w:rPr>
          <w:rFonts w:hint="eastAsia" w:ascii="宋体" w:hAnsi="宋体" w:eastAsia="宋体"/>
          <w:lang w:eastAsia="zh-CN"/>
        </w:rPr>
        <w:t>“</w:t>
      </w:r>
      <w:r>
        <w:rPr>
          <w:rFonts w:hint="eastAsia" w:eastAsia="宋体"/>
          <w:snapToGrid w:val="0"/>
          <w:lang w:eastAsia="zh-CN"/>
        </w:rPr>
        <w:t>重伤</w:t>
      </w:r>
      <w:r>
        <w:rPr>
          <w:rFonts w:hint="eastAsia" w:ascii="宋体" w:hAnsi="宋体" w:eastAsia="宋体"/>
          <w:lang w:eastAsia="zh-CN"/>
        </w:rPr>
        <w:t>”</w:t>
      </w:r>
      <w:r>
        <w:rPr>
          <w:rFonts w:hint="eastAsia" w:eastAsia="宋体"/>
          <w:snapToGrid w:val="0"/>
          <w:lang w:eastAsia="zh-CN"/>
        </w:rPr>
        <w:t>是指</w:t>
      </w:r>
      <w:r>
        <w:rPr>
          <w:rFonts w:hint="eastAsia" w:ascii="宋体" w:hAnsi="宋体" w:eastAsia="宋体"/>
          <w:lang w:eastAsia="zh-CN"/>
        </w:rPr>
        <w:t>“</w:t>
      </w:r>
      <w:r>
        <w:rPr>
          <w:rFonts w:hint="eastAsia" w:eastAsia="宋体"/>
          <w:snapToGrid w:val="0"/>
          <w:lang w:eastAsia="zh-CN"/>
        </w:rPr>
        <w:t>以下伤害或疾病：（1）危及生命，（2）导致身体机能永久性损伤或身体结构永久性损伤，或（3）需要医疗或手术干预，以防止身体机能的永久性损伤或身体结构的永久性损伤。永久性系指身体结构或机能的不可逆损伤或损害，不包括小损伤或损害。</w:t>
      </w:r>
      <w:r>
        <w:rPr>
          <w:rFonts w:hint="eastAsia" w:ascii="宋体" w:hAnsi="宋体" w:eastAsia="宋体"/>
          <w:lang w:eastAsia="zh-CN"/>
        </w:rPr>
        <w:t>”</w:t>
      </w:r>
    </w:p>
    <w:p w14:paraId="03E5E03F">
      <w:pPr>
        <w:pStyle w:val="7"/>
        <w:autoSpaceDE/>
        <w:autoSpaceDN/>
        <w:snapToGrid w:val="0"/>
        <w:ind w:left="880" w:leftChars="400"/>
        <w:jc w:val="both"/>
        <w:rPr>
          <w:rFonts w:eastAsia="宋体"/>
          <w:snapToGrid w:val="0"/>
          <w:lang w:eastAsia="zh-CN"/>
        </w:rPr>
      </w:pPr>
    </w:p>
    <w:p w14:paraId="22C73648">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故障报告和15天报告</w:t>
      </w:r>
      <w:r>
        <w:rPr>
          <w:rFonts w:hint="eastAsia" w:eastAsia="宋体"/>
          <w:i/>
          <w:lang w:eastAsia="zh-CN"/>
        </w:rPr>
        <w:t>。</w:t>
      </w:r>
      <w:r>
        <w:rPr>
          <w:rFonts w:hint="eastAsia" w:eastAsia="宋体"/>
          <w:snapToGrid w:val="0"/>
          <w:lang w:eastAsia="zh-CN"/>
        </w:rPr>
        <w:t>特别注意，对于包含器械组成部分并根据ANDA、NDA或BLA上市的组合产品，如果信息合理地表明该严重且非预期的不良经历（参见脚注21和相关文本）是由故障引起或促成的，则除了15天报告外，还需要一份故障报告（参见《美国联邦法规》第21篇第4.102（c）（1）（ii）、314.80、600.80和803.50节）。</w:t>
      </w:r>
    </w:p>
    <w:p w14:paraId="09542BF5">
      <w:pPr>
        <w:autoSpaceDE/>
        <w:autoSpaceDN/>
        <w:snapToGrid w:val="0"/>
        <w:jc w:val="both"/>
        <w:rPr>
          <w:rFonts w:eastAsia="宋体"/>
          <w:snapToGrid w:val="0"/>
          <w:sz w:val="21"/>
          <w:szCs w:val="21"/>
          <w:lang w:eastAsia="zh-CN"/>
        </w:rPr>
      </w:pPr>
      <w:r>
        <w:rPr>
          <w:rFonts w:hint="eastAsia" w:eastAsia="宋体"/>
          <w:snapToGrid w:val="0"/>
          <w:sz w:val="21"/>
          <w:szCs w:val="21"/>
          <w:lang w:eastAsia="zh-CN"/>
        </w:rPr>
        <w:br w:type="page"/>
      </w:r>
    </w:p>
    <w:p w14:paraId="6D9B197B">
      <w:pPr>
        <w:autoSpaceDE/>
        <w:autoSpaceDN/>
        <w:snapToGrid w:val="0"/>
        <w:jc w:val="both"/>
        <w:rPr>
          <w:rFonts w:eastAsia="宋体"/>
          <w:snapToGrid w:val="0"/>
          <w:sz w:val="24"/>
          <w:szCs w:val="24"/>
          <w:lang w:eastAsia="zh-CN"/>
        </w:rPr>
      </w:pPr>
    </w:p>
    <w:p w14:paraId="31652A8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NDA批准的药品和输液套件组合包装发生过量输液相关的严重非预期不良事件后，组合产品申请人确定需要提交15天报告。提交15天报告后，申请人确定该输液套件不符合其质量标准可能导致或促成了该事件。在这种情况下，还必须提交故障报告（参见《美国联邦法规》第21篇第803.3（k）和803.50节），并应作为首次15天报告的后续报告提交，确定为故障报告。</w:t>
      </w:r>
      <w:r>
        <w:rPr>
          <w:rStyle w:val="22"/>
          <w:rFonts w:hint="eastAsia" w:eastAsia="宋体"/>
          <w:snapToGrid w:val="0"/>
          <w:lang w:eastAsia="zh-CN"/>
        </w:rPr>
        <w:footnoteReference w:id="25"/>
      </w:r>
      <w:r>
        <w:rPr>
          <w:rFonts w:hint="eastAsia" w:eastAsia="宋体"/>
          <w:snapToGrid w:val="0"/>
          <w:lang w:eastAsia="zh-CN"/>
        </w:rPr>
        <w:t>如果该报告在申请人获知可报告故障之后30个日历日内提交，FDA也不反对（另见下文第IV.A.4节对后续报告的讨论）。</w:t>
      </w:r>
      <w:r>
        <w:rPr>
          <w:rStyle w:val="22"/>
          <w:rFonts w:hint="eastAsia" w:eastAsia="宋体"/>
          <w:snapToGrid w:val="0"/>
          <w:lang w:eastAsia="zh-CN"/>
        </w:rPr>
        <w:footnoteReference w:id="26"/>
      </w:r>
    </w:p>
    <w:p w14:paraId="5A45C425">
      <w:pPr>
        <w:pStyle w:val="7"/>
        <w:autoSpaceDE/>
        <w:autoSpaceDN/>
        <w:snapToGrid w:val="0"/>
        <w:ind w:firstLine="480" w:firstLineChars="200"/>
        <w:jc w:val="both"/>
        <w:rPr>
          <w:rFonts w:eastAsia="宋体"/>
          <w:snapToGrid w:val="0"/>
          <w:lang w:eastAsia="zh-CN"/>
        </w:rPr>
      </w:pPr>
    </w:p>
    <w:p w14:paraId="1C00979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若不需要15天报告时，也可能需要故障报告。例如，NDA申请人收到一份报告称医务人员在使用前发现组合包装注射器的无菌屏障受损，并在注射器用于患者前将其丢弃。因为没有不良事件，所以不需要15天报告；但是，如果无菌屏障破坏再次发生且可能导致或促成死亡或重伤（例如需要住院治疗的感染），则需要提交故障报告（参见《美国联邦法规》第21篇第4.102（c）（1）（ii）和803.50节）。同样，如果NDA申请人收到一份报告称，自动注射器的针头回缩较早，未给药或部分给药，那么如果故障再次发生且产品可能导致或促成重伤或死亡，则NDA申请人必须提交一份故障报告，即使报告的故障事件未导致患者受伤或死亡（参见《美国联邦法规》第21篇第4.102（c）（1）（ii）和803.50节）。</w:t>
      </w:r>
      <w:r>
        <w:rPr>
          <w:rStyle w:val="22"/>
          <w:rFonts w:hint="eastAsia" w:eastAsia="宋体"/>
          <w:snapToGrid w:val="0"/>
          <w:lang w:eastAsia="zh-CN"/>
        </w:rPr>
        <w:footnoteReference w:id="27"/>
      </w:r>
    </w:p>
    <w:p w14:paraId="0BF5F7CF">
      <w:pPr>
        <w:pStyle w:val="7"/>
        <w:autoSpaceDE/>
        <w:autoSpaceDN/>
        <w:snapToGrid w:val="0"/>
        <w:jc w:val="both"/>
        <w:rPr>
          <w:rFonts w:eastAsia="宋体"/>
          <w:snapToGrid w:val="0"/>
          <w:lang w:eastAsia="zh-CN"/>
        </w:rPr>
      </w:pPr>
    </w:p>
    <w:p w14:paraId="7721C340">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有关故障报告的更多信息，请访问：</w:t>
      </w:r>
      <w:r>
        <w:fldChar w:fldCharType="begin"/>
      </w:r>
      <w:r>
        <w:instrText xml:space="preserve"> HYPERLINK "https://www.fda.gov/medical-devices/medical-device-safety/medical-device-reporting-mdr-how-report-medical-device-problems." </w:instrText>
      </w:r>
      <w:r>
        <w:fldChar w:fldCharType="separate"/>
      </w:r>
      <w:r>
        <w:rPr>
          <w:rStyle w:val="20"/>
          <w:rFonts w:hint="eastAsia" w:eastAsia="宋体"/>
          <w:snapToGrid w:val="0"/>
          <w:u w:color="0000FF"/>
          <w:lang w:eastAsia="zh-CN"/>
        </w:rPr>
        <w:t>https://www.fda.gov/medical-devices/medical-device-safety/medical-device-reporting-mdr-how-report-medical-device-problems.</w:t>
      </w:r>
      <w:r>
        <w:rPr>
          <w:rStyle w:val="20"/>
          <w:rFonts w:hint="eastAsia" w:eastAsia="宋体"/>
          <w:snapToGrid w:val="0"/>
          <w:u w:color="0000FF"/>
          <w:lang w:eastAsia="zh-CN"/>
        </w:rPr>
        <w:fldChar w:fldCharType="end"/>
      </w:r>
    </w:p>
    <w:p w14:paraId="0C84CC0F">
      <w:pPr>
        <w:pStyle w:val="7"/>
        <w:autoSpaceDE/>
        <w:autoSpaceDN/>
        <w:snapToGrid w:val="0"/>
        <w:jc w:val="both"/>
        <w:rPr>
          <w:rFonts w:eastAsia="宋体"/>
          <w:snapToGrid w:val="0"/>
          <w:lang w:eastAsia="zh-CN"/>
        </w:rPr>
      </w:pPr>
    </w:p>
    <w:p w14:paraId="3E405EB9">
      <w:pPr>
        <w:pStyle w:val="5"/>
        <w:autoSpaceDE/>
        <w:autoSpaceDN/>
        <w:spacing w:before="0" w:beforeLines="0" w:line="240" w:lineRule="auto"/>
        <w:ind w:left="1912" w:leftChars="650"/>
        <w:rPr>
          <w:snapToGrid w:val="0"/>
          <w:lang w:eastAsia="zh-CN"/>
        </w:rPr>
      </w:pPr>
      <w:r>
        <w:rPr>
          <w:rFonts w:hint="eastAsia"/>
          <w:snapToGrid w:val="0"/>
          <w:lang w:eastAsia="zh-CN"/>
        </w:rPr>
        <w:t>4.</w:t>
      </w:r>
      <w:r>
        <w:rPr>
          <w:rFonts w:hint="eastAsia"/>
          <w:snapToGrid w:val="0"/>
          <w:lang w:eastAsia="zh-CN"/>
        </w:rPr>
        <w:tab/>
      </w:r>
      <w:r>
        <w:rPr>
          <w:rFonts w:hint="eastAsia"/>
          <w:snapToGrid w:val="0"/>
          <w:lang w:eastAsia="zh-CN"/>
        </w:rPr>
        <w:t>后续报告（参见《美国联邦法规》第21篇第314.80、600.80、803.56节）</w:t>
      </w:r>
    </w:p>
    <w:p w14:paraId="7407D56B">
      <w:pPr>
        <w:autoSpaceDE/>
        <w:autoSpaceDN/>
        <w:snapToGrid w:val="0"/>
        <w:jc w:val="both"/>
        <w:rPr>
          <w:rFonts w:eastAsia="宋体"/>
          <w:snapToGrid w:val="0"/>
          <w:sz w:val="24"/>
          <w:szCs w:val="24"/>
          <w:lang w:eastAsia="zh-CN"/>
        </w:rPr>
      </w:pPr>
    </w:p>
    <w:p w14:paraId="0123A94A">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如《美国联邦法规》第21篇第4.101节所述，组合产品15天、5天和故障报告的要求包括了对后续报告的要求。后续报告要求也适用于根据器械申请获批的组合产品申请人提交的死亡和重伤报告（参见《美国联邦法规》第21篇第4.102（c）（1）（ii）节和第803.56节）。当ICSR提交人获知与事件相关且在首次报告时尚未获得的可报告新信息时，需要提交后续报告（参见《美国联邦法规》第21篇第314.80、600.80和803.56节）。</w:t>
      </w:r>
    </w:p>
    <w:p w14:paraId="5801853B">
      <w:pPr>
        <w:autoSpaceDE/>
        <w:autoSpaceDN/>
        <w:snapToGrid w:val="0"/>
        <w:jc w:val="both"/>
        <w:rPr>
          <w:rFonts w:eastAsia="宋体"/>
          <w:sz w:val="24"/>
          <w:lang w:eastAsia="zh-CN"/>
        </w:rPr>
      </w:pPr>
      <w:r>
        <w:rPr>
          <w:rFonts w:eastAsia="宋体"/>
          <w:sz w:val="24"/>
          <w:lang w:eastAsia="zh-CN"/>
        </w:rPr>
        <w:br w:type="page"/>
      </w:r>
    </w:p>
    <w:p w14:paraId="349D3308">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提交时间表。</w:t>
      </w:r>
      <w:r>
        <w:rPr>
          <w:rFonts w:hint="eastAsia" w:eastAsia="宋体"/>
          <w:snapToGrid w:val="0"/>
          <w:lang w:eastAsia="zh-CN"/>
        </w:rPr>
        <w:t>根据ANDA、NDA或BLA（参见《美国联邦法规》第21篇第314.80和600.80节）上市的组合产品，必须在收到新信息后15个日历日内提交后续报告（请参见下文</w:t>
      </w:r>
      <w:r>
        <w:rPr>
          <w:rFonts w:hint="eastAsia" w:ascii="宋体" w:hAnsi="宋体" w:eastAsia="宋体"/>
          <w:lang w:eastAsia="zh-CN"/>
        </w:rPr>
        <w:t>“</w:t>
      </w:r>
      <w:r>
        <w:rPr>
          <w:rFonts w:hint="eastAsia" w:eastAsia="宋体"/>
          <w:snapToGrid w:val="0"/>
          <w:lang w:eastAsia="zh-CN"/>
        </w:rPr>
        <w:t>使用后续报告来满足不同类型的ICSR要求</w:t>
      </w:r>
      <w:r>
        <w:rPr>
          <w:rFonts w:hint="eastAsia" w:ascii="宋体" w:hAnsi="宋体" w:eastAsia="宋体"/>
          <w:lang w:eastAsia="zh-CN"/>
        </w:rPr>
        <w:t>”</w:t>
      </w:r>
      <w:r>
        <w:rPr>
          <w:rFonts w:hint="eastAsia" w:eastAsia="宋体"/>
          <w:snapToGrid w:val="0"/>
          <w:lang w:eastAsia="zh-CN"/>
        </w:rPr>
        <w:t>）。例如，如果NDA批准的组合产品的组合产品申请人收到与先前提交的15天报告相关的可报告新信息，则必须在收到新信息的15个日历日内以后续报告提交该信息（参见《美国联邦法规》第21篇314.80节）。根据器械申请上市的组合产品，必须在30个日历日内提交15天、5天、故障和死亡或重伤报告的后续报告（参见《美国联邦法规》第21篇4.102（c）（2）（ii）、4.102（c）（3）（ii）和803.56节），但组合产品申请人可选择在到期日当天或之前提交后续报告。</w:t>
      </w:r>
    </w:p>
    <w:p w14:paraId="2629FA40">
      <w:pPr>
        <w:pStyle w:val="7"/>
        <w:autoSpaceDE/>
        <w:autoSpaceDN/>
        <w:snapToGrid w:val="0"/>
        <w:jc w:val="both"/>
        <w:rPr>
          <w:rFonts w:eastAsia="宋体"/>
          <w:snapToGrid w:val="0"/>
          <w:lang w:eastAsia="zh-CN"/>
        </w:rPr>
      </w:pPr>
    </w:p>
    <w:p w14:paraId="3E1EBBA2">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使用后续报告来满足不同类型的ICSR要求</w:t>
      </w:r>
      <w:r>
        <w:rPr>
          <w:rFonts w:hint="eastAsia" w:eastAsia="宋体"/>
          <w:i/>
          <w:lang w:eastAsia="zh-CN"/>
        </w:rPr>
        <w:t>。</w:t>
      </w:r>
      <w:r>
        <w:rPr>
          <w:rStyle w:val="22"/>
          <w:rFonts w:hint="eastAsia" w:eastAsia="宋体"/>
          <w:snapToGrid w:val="0"/>
          <w:lang w:eastAsia="zh-CN"/>
        </w:rPr>
        <w:footnoteReference w:id="28"/>
      </w:r>
      <w:r>
        <w:rPr>
          <w:rFonts w:hint="eastAsia" w:eastAsia="宋体"/>
          <w:snapToGrid w:val="0"/>
          <w:lang w:eastAsia="zh-CN"/>
        </w:rPr>
        <w:t>如果组合产品申请人提交了首次故障报告，且随后确定还必须提交该事件的15天报告，则该组合产品申请人应提交15天报告作为故障事故报告的后续报告。如果首次提交的报告是15天报告或根据《美国联邦法规》第21篇第314.80（c）（2）（ii）（B）和600.80（c）（2）（ii）（B）节要求的非快速ICSR（对于严重且预期、非严重的不良经历），且组合产品申请人随后确定还需要故障报告，则应使用相同的方法；申请人应提交故障报告作为首次报告的后续报告。</w:t>
      </w:r>
    </w:p>
    <w:p w14:paraId="55E096C6">
      <w:pPr>
        <w:pStyle w:val="7"/>
        <w:autoSpaceDE/>
        <w:autoSpaceDN/>
        <w:snapToGrid w:val="0"/>
        <w:jc w:val="both"/>
        <w:rPr>
          <w:rFonts w:eastAsia="宋体"/>
          <w:snapToGrid w:val="0"/>
          <w:lang w:eastAsia="zh-CN"/>
        </w:rPr>
      </w:pPr>
    </w:p>
    <w:p w14:paraId="3BDBBBA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请注意，对于药品或生物制品为主的组合产品，如果申请人在获知发生可报告故障信息的30个（而不是15个）日历日内提交故障报告作为先前已提交15天报告的后续报告，FDA也不反对。最初在非快速ICSR中报告的事件故障报告必须在申请人获知合理表明发生可报告故障信息后的30个日历日内提交，并且当申请人获知该故障的可报告新信息时，还需要提交故障的后续报告（参见《美国联邦法规》第21篇第4.102（c）（1）、803.50和803.56节）。（另参见第V.B.3节，讨论后续报告中包含的信息。）</w:t>
      </w:r>
    </w:p>
    <w:p w14:paraId="1F7B4558">
      <w:pPr>
        <w:pStyle w:val="7"/>
        <w:autoSpaceDE/>
        <w:autoSpaceDN/>
        <w:snapToGrid w:val="0"/>
        <w:jc w:val="both"/>
        <w:rPr>
          <w:rFonts w:eastAsia="宋体"/>
          <w:snapToGrid w:val="0"/>
          <w:lang w:eastAsia="zh-CN"/>
        </w:rPr>
      </w:pPr>
    </w:p>
    <w:p w14:paraId="073D43E4">
      <w:pPr>
        <w:pStyle w:val="5"/>
        <w:autoSpaceDE/>
        <w:autoSpaceDN/>
        <w:spacing w:before="0" w:beforeLines="0" w:line="240" w:lineRule="auto"/>
        <w:ind w:left="1912" w:leftChars="650"/>
        <w:rPr>
          <w:snapToGrid w:val="0"/>
          <w:lang w:eastAsia="zh-CN"/>
        </w:rPr>
      </w:pPr>
      <w:r>
        <w:rPr>
          <w:rFonts w:hint="eastAsia"/>
          <w:snapToGrid w:val="0"/>
          <w:lang w:eastAsia="zh-CN"/>
        </w:rPr>
        <w:t>5.</w:t>
      </w:r>
      <w:r>
        <w:rPr>
          <w:rFonts w:hint="eastAsia"/>
          <w:snapToGrid w:val="0"/>
          <w:lang w:eastAsia="zh-CN"/>
        </w:rPr>
        <w:tab/>
      </w:r>
      <w:r>
        <w:rPr>
          <w:rFonts w:hint="eastAsia"/>
          <w:snapToGrid w:val="0"/>
          <w:lang w:eastAsia="zh-CN"/>
        </w:rPr>
        <w:t>定期安全性报告中包含的组合产品ICSR信息</w:t>
      </w:r>
    </w:p>
    <w:p w14:paraId="4289D0D9">
      <w:pPr>
        <w:autoSpaceDE/>
        <w:autoSpaceDN/>
        <w:snapToGrid w:val="0"/>
        <w:jc w:val="both"/>
        <w:rPr>
          <w:rFonts w:eastAsia="宋体"/>
          <w:snapToGrid w:val="0"/>
          <w:sz w:val="24"/>
          <w:szCs w:val="24"/>
          <w:lang w:eastAsia="zh-CN"/>
        </w:rPr>
      </w:pPr>
    </w:p>
    <w:p w14:paraId="5500AD4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按照组合产品PMSR规则，根据NDA、ANDA或BLA（《美国联邦法规》第21篇4.102（d）（1），参见《美国联邦法规》第21篇第314.80（c）（2）和600.80（c）（2）节）上市的组合产品需要定期报告。如果此类组合产品包括器械组成部分，则这些定期报告必须包括该定期安全性报告的报告间期内提交的5天报告和故障报告的总结和分析（参见《美国联邦法规》第21篇4.102（d）（1）节）。（有关如何在定期安全性报告中提交此类内容的详细信息，请参见下文第V.B.4节。）</w:t>
      </w:r>
    </w:p>
    <w:p w14:paraId="0FFDE362">
      <w:pPr>
        <w:autoSpaceDE/>
        <w:autoSpaceDN/>
        <w:snapToGrid w:val="0"/>
        <w:jc w:val="both"/>
        <w:rPr>
          <w:rFonts w:eastAsia="宋体"/>
          <w:snapToGrid w:val="0"/>
          <w:lang w:eastAsia="zh-CN"/>
        </w:rPr>
      </w:pPr>
      <w:r>
        <w:rPr>
          <w:rFonts w:hint="eastAsia" w:eastAsia="宋体"/>
          <w:snapToGrid w:val="0"/>
          <w:sz w:val="24"/>
          <w:szCs w:val="24"/>
          <w:lang w:eastAsia="zh-CN"/>
        </w:rPr>
        <w:br w:type="page"/>
      </w:r>
    </w:p>
    <w:p w14:paraId="0CC499F7">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根据器械申请上市的组合产品</w:t>
      </w:r>
      <w:r>
        <w:rPr>
          <w:rFonts w:hint="eastAsia" w:eastAsia="宋体"/>
          <w:lang w:eastAsia="zh-CN"/>
        </w:rPr>
        <w:t>不</w:t>
      </w:r>
      <w:r>
        <w:rPr>
          <w:rFonts w:hint="eastAsia" w:eastAsia="宋体"/>
          <w:snapToGrid w:val="0"/>
          <w:lang w:eastAsia="zh-CN"/>
        </w:rPr>
        <w:t>需要定期报告。</w:t>
      </w:r>
      <w:r>
        <w:rPr>
          <w:rFonts w:hint="eastAsia" w:eastAsia="宋体"/>
          <w:lang w:eastAsia="zh-CN"/>
        </w:rPr>
        <w:t>仅</w:t>
      </w:r>
      <w:r>
        <w:rPr>
          <w:rFonts w:hint="eastAsia" w:eastAsia="宋体"/>
          <w:snapToGrid w:val="0"/>
          <w:lang w:eastAsia="zh-CN"/>
        </w:rPr>
        <w:t>当FDA以书面形式通知组合产品申请人FDA需要附加信息时，才需要附加报告（参见《美国联邦法规》第21篇第4.102（d）（2）节）。组合产品需要此类报告时（FDA预计此类组合产品很少），FDA将明确指出需要哪些附加安全性信息（参见《美国联邦法规》第21篇第4.102（d）（2）节）。</w:t>
      </w:r>
    </w:p>
    <w:p w14:paraId="55CE7506">
      <w:pPr>
        <w:autoSpaceDE/>
        <w:autoSpaceDN/>
        <w:snapToGrid w:val="0"/>
        <w:jc w:val="both"/>
        <w:rPr>
          <w:rFonts w:eastAsia="宋体"/>
          <w:snapToGrid w:val="0"/>
          <w:sz w:val="24"/>
          <w:szCs w:val="24"/>
          <w:lang w:eastAsia="zh-CN"/>
        </w:rPr>
      </w:pPr>
    </w:p>
    <w:p w14:paraId="01D02C78">
      <w:pPr>
        <w:pStyle w:val="5"/>
        <w:autoSpaceDE/>
        <w:autoSpaceDN/>
        <w:spacing w:before="0" w:beforeLines="0" w:line="240" w:lineRule="auto"/>
        <w:ind w:left="1912" w:leftChars="650"/>
        <w:rPr>
          <w:snapToGrid w:val="0"/>
          <w:lang w:eastAsia="zh-CN"/>
        </w:rPr>
      </w:pPr>
      <w:r>
        <w:rPr>
          <w:rFonts w:hint="eastAsia"/>
          <w:snapToGrid w:val="0"/>
          <w:lang w:eastAsia="zh-CN"/>
        </w:rPr>
        <w:t>6.</w:t>
      </w:r>
      <w:r>
        <w:rPr>
          <w:rFonts w:hint="eastAsia"/>
          <w:snapToGrid w:val="0"/>
          <w:lang w:eastAsia="zh-CN"/>
        </w:rPr>
        <w:tab/>
      </w:r>
      <w:r>
        <w:rPr>
          <w:rFonts w:hint="eastAsia"/>
          <w:snapToGrid w:val="0"/>
          <w:lang w:eastAsia="zh-CN"/>
        </w:rPr>
        <w:t>针对境外事件或经历的组合产品ICSR</w:t>
      </w:r>
    </w:p>
    <w:p w14:paraId="3B05737A">
      <w:pPr>
        <w:autoSpaceDE/>
        <w:autoSpaceDN/>
        <w:snapToGrid w:val="0"/>
        <w:jc w:val="both"/>
        <w:rPr>
          <w:rFonts w:eastAsia="宋体"/>
          <w:snapToGrid w:val="0"/>
          <w:sz w:val="24"/>
          <w:szCs w:val="24"/>
          <w:lang w:eastAsia="zh-CN"/>
        </w:rPr>
      </w:pPr>
    </w:p>
    <w:p w14:paraId="106DE41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境外事件的报告要求与药品、器械和生物制品此类事件的基本监管要求一致（参见《美国联邦法规》第21篇第4.102节）。此外，即使根据FDA法规可能不需要报告，本机构仍建议报告在美国境外上市产品的境外事件（如下所述），以提高对可能与美国上市组合产品相关的安全性考虑因素的认识和理解，就像对其他医疗产品一样。</w:t>
      </w:r>
    </w:p>
    <w:p w14:paraId="3609D8EF">
      <w:pPr>
        <w:pStyle w:val="7"/>
        <w:autoSpaceDE/>
        <w:autoSpaceDN/>
        <w:snapToGrid w:val="0"/>
        <w:ind w:firstLine="480" w:firstLineChars="200"/>
        <w:jc w:val="both"/>
        <w:rPr>
          <w:rFonts w:eastAsia="宋体"/>
          <w:snapToGrid w:val="0"/>
          <w:lang w:eastAsia="zh-CN"/>
        </w:rPr>
      </w:pPr>
    </w:p>
    <w:p w14:paraId="562308D4">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一般考虑因素。</w:t>
      </w:r>
      <w:r>
        <w:rPr>
          <w:rFonts w:hint="eastAsia" w:eastAsia="宋体"/>
          <w:snapToGrid w:val="0"/>
          <w:lang w:eastAsia="zh-CN"/>
        </w:rPr>
        <w:t>组合产品申请人不应报告不涉及其产品的境外事件（例如，如果他们能够确认该事件与另一申请人的产品相关）。当报告仅在美国境外上市产品的事件时，组合产品申请人应包含境外商品名/品牌名，并应按符合牵头中心流程的方式提交该信息。关于组合产品ICSR中包含的信息，另见第V.B.2节。</w:t>
      </w:r>
    </w:p>
    <w:p w14:paraId="22B426D9">
      <w:pPr>
        <w:pStyle w:val="7"/>
        <w:autoSpaceDE/>
        <w:autoSpaceDN/>
        <w:snapToGrid w:val="0"/>
        <w:ind w:firstLine="480" w:firstLineChars="200"/>
        <w:jc w:val="both"/>
        <w:rPr>
          <w:rFonts w:eastAsia="宋体"/>
          <w:snapToGrid w:val="0"/>
          <w:lang w:eastAsia="zh-CN"/>
        </w:rPr>
      </w:pPr>
    </w:p>
    <w:p w14:paraId="257511EB">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5天报告</w:t>
      </w:r>
      <w:r>
        <w:rPr>
          <w:rFonts w:hint="eastAsia" w:eastAsia="宋体"/>
          <w:i/>
          <w:lang w:eastAsia="zh-CN"/>
        </w:rPr>
        <w:t>。</w:t>
      </w:r>
      <w:r>
        <w:rPr>
          <w:rFonts w:hint="eastAsia" w:eastAsia="宋体"/>
          <w:snapToGrid w:val="0"/>
          <w:lang w:eastAsia="zh-CN"/>
        </w:rPr>
        <w:t>组合产品申请人必须提交符合药品和生物制品要求的15天境外经历报告（参见《美国联邦法规》第21篇第4.102（b）和（c）、314.80（c）（1）和600.80（c）（1）节）。具体而言，严重、非预期不良经历的境外报告必须以15天报告提交（参见《美国联邦法规》第21篇第4.102（b）和（c）、314.80（c）（1）和600.80（c）（1）节）。组合产品申请人还应提交与其上市的境外产品有关的15天事件报告，这些产品具有与美国上市的产品相同的活性成分（或生物制品组成部分的活性成分），</w:t>
      </w:r>
      <w:r>
        <w:rPr>
          <w:rStyle w:val="22"/>
          <w:rFonts w:hint="eastAsia" w:eastAsia="宋体"/>
          <w:snapToGrid w:val="0"/>
          <w:lang w:eastAsia="zh-CN"/>
        </w:rPr>
        <w:footnoteReference w:id="29"/>
      </w:r>
      <w:r>
        <w:rPr>
          <w:rFonts w:hint="eastAsia" w:eastAsia="宋体"/>
          <w:snapToGrid w:val="0"/>
          <w:lang w:eastAsia="zh-CN"/>
        </w:rPr>
        <w:t>即使境外上市产品的处方、剂型、规格或给药途径与美国上市产品不同。例如，如果申请人在美国仅上市含活性成分药物的预充式注射器，而在美国境外，申请人上市含有相同活性成分的口服剂型，申请人应向FDA报告该口服剂型严重且非预期的不良事件，并在报告中参考美国产品申请号。</w:t>
      </w:r>
    </w:p>
    <w:p w14:paraId="0D9E0B28">
      <w:pPr>
        <w:autoSpaceDE/>
        <w:autoSpaceDN/>
        <w:snapToGrid w:val="0"/>
        <w:jc w:val="both"/>
        <w:rPr>
          <w:rFonts w:eastAsia="宋体"/>
          <w:sz w:val="24"/>
          <w:lang w:eastAsia="zh-CN"/>
        </w:rPr>
      </w:pPr>
      <w:r>
        <w:rPr>
          <w:rFonts w:eastAsia="宋体"/>
          <w:sz w:val="24"/>
          <w:lang w:eastAsia="zh-CN"/>
        </w:rPr>
        <w:br w:type="page"/>
      </w:r>
    </w:p>
    <w:p w14:paraId="20957408">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器械ICSR</w:t>
      </w:r>
      <w:r>
        <w:rPr>
          <w:rFonts w:hint="eastAsia" w:eastAsia="宋体"/>
          <w:i/>
          <w:lang w:eastAsia="zh-CN"/>
        </w:rPr>
        <w:t>。</w:t>
      </w:r>
      <w:r>
        <w:rPr>
          <w:rFonts w:hint="eastAsia" w:eastAsia="宋体"/>
          <w:snapToGrid w:val="0"/>
          <w:lang w:eastAsia="zh-CN"/>
        </w:rPr>
        <w:t>与器械的方法一致，对于申请人在美国境外上市的器械和组合产品器械组成部分与该申请人在美国上市的组合产品器械组成部分相同或类似，如果美国上市的组合产品中可能会发生该故障，则包含器械组成部分的组合产品的组合产品申请人应向FDA提交其他可报告故障的故障报告。</w:t>
      </w:r>
      <w:r>
        <w:rPr>
          <w:rStyle w:val="22"/>
          <w:rFonts w:hint="eastAsia" w:eastAsia="宋体"/>
          <w:snapToGrid w:val="0"/>
          <w:lang w:eastAsia="zh-CN"/>
        </w:rPr>
        <w:footnoteReference w:id="30"/>
      </w:r>
      <w:r>
        <w:rPr>
          <w:rFonts w:hint="eastAsia" w:eastAsia="宋体"/>
          <w:snapToGrid w:val="0"/>
          <w:vertAlign w:val="superscript"/>
          <w:lang w:eastAsia="zh-CN"/>
        </w:rPr>
        <w:t>,</w:t>
      </w:r>
      <w:r>
        <w:rPr>
          <w:rStyle w:val="22"/>
          <w:rFonts w:hint="eastAsia" w:eastAsia="宋体"/>
          <w:snapToGrid w:val="0"/>
          <w:lang w:eastAsia="zh-CN"/>
        </w:rPr>
        <w:footnoteReference w:id="31"/>
      </w:r>
      <w:r>
        <w:rPr>
          <w:rFonts w:hint="eastAsia" w:eastAsia="宋体"/>
          <w:snapToGrid w:val="0"/>
          <w:lang w:eastAsia="zh-CN"/>
        </w:rPr>
        <w:t>对于根据器械申请上市的组合产品，申请人在美国境外上市的组合产品与美国上市的组合产品有相同或类似的器械组成部分，如果美国上市的组合产品可能会发生类似事件，则组合产品申请人还应提交器械和组合产品器械组成部分的死亡和重伤境外事件报告。就本指南而言，FDA认为申请人在美国境外上市的器械或组合产品器械组成部分与申请人在美国上市的组合产品器械组成部分类似，如果申请人在美国境外上市组合产品的器械或器械组成部分：</w:t>
      </w:r>
      <w:r>
        <w:rPr>
          <w:rStyle w:val="22"/>
          <w:rFonts w:hint="eastAsia" w:eastAsia="宋体"/>
          <w:snapToGrid w:val="0"/>
          <w:lang w:eastAsia="zh-CN"/>
        </w:rPr>
        <w:footnoteReference w:id="32"/>
      </w:r>
    </w:p>
    <w:p w14:paraId="50BFA715">
      <w:pPr>
        <w:pStyle w:val="7"/>
        <w:autoSpaceDE/>
        <w:autoSpaceDN/>
        <w:snapToGrid w:val="0"/>
        <w:jc w:val="both"/>
        <w:rPr>
          <w:rFonts w:eastAsia="宋体"/>
          <w:snapToGrid w:val="0"/>
          <w:lang w:eastAsia="zh-CN"/>
        </w:rPr>
      </w:pPr>
    </w:p>
    <w:p w14:paraId="1D0125A3">
      <w:pPr>
        <w:pStyle w:val="24"/>
        <w:numPr>
          <w:ilvl w:val="0"/>
          <w:numId w:val="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与申请人在美国上市的组合产品器械组成部分具有相同类型（例如，有相同的产品代码）；</w:t>
      </w:r>
    </w:p>
    <w:p w14:paraId="426C8D15">
      <w:pPr>
        <w:pStyle w:val="24"/>
        <w:tabs>
          <w:tab w:val="left" w:pos="911"/>
        </w:tabs>
        <w:autoSpaceDE/>
        <w:autoSpaceDN/>
        <w:snapToGrid w:val="0"/>
        <w:ind w:left="920" w:firstLine="0"/>
        <w:jc w:val="both"/>
        <w:rPr>
          <w:rFonts w:eastAsia="宋体"/>
          <w:snapToGrid w:val="0"/>
          <w:sz w:val="24"/>
          <w:szCs w:val="24"/>
          <w:lang w:eastAsia="zh-CN"/>
        </w:rPr>
      </w:pPr>
    </w:p>
    <w:p w14:paraId="6C60BCF1">
      <w:pPr>
        <w:pStyle w:val="24"/>
        <w:numPr>
          <w:ilvl w:val="0"/>
          <w:numId w:val="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与申请人在美国上市的组合产品器械组成部分具有相同的安全性和有效性相关基本设计和性能特征；以及</w:t>
      </w:r>
    </w:p>
    <w:p w14:paraId="201DA61C">
      <w:pPr>
        <w:pStyle w:val="24"/>
        <w:tabs>
          <w:tab w:val="left" w:pos="911"/>
        </w:tabs>
        <w:autoSpaceDE/>
        <w:autoSpaceDN/>
        <w:snapToGrid w:val="0"/>
        <w:ind w:left="920" w:firstLine="0"/>
        <w:jc w:val="both"/>
        <w:rPr>
          <w:rFonts w:eastAsia="宋体"/>
          <w:snapToGrid w:val="0"/>
          <w:sz w:val="24"/>
          <w:szCs w:val="24"/>
          <w:lang w:eastAsia="zh-CN"/>
        </w:rPr>
      </w:pPr>
    </w:p>
    <w:p w14:paraId="7633DA2A">
      <w:pPr>
        <w:pStyle w:val="24"/>
        <w:numPr>
          <w:ilvl w:val="0"/>
          <w:numId w:val="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与申请人在美国上市的组合产品的器械组成部分具有相同的一般用途和功能。</w:t>
      </w:r>
    </w:p>
    <w:p w14:paraId="550A6149">
      <w:pPr>
        <w:pStyle w:val="24"/>
        <w:autoSpaceDE/>
        <w:autoSpaceDN/>
        <w:snapToGrid w:val="0"/>
        <w:ind w:left="920" w:firstLine="0"/>
        <w:jc w:val="both"/>
        <w:rPr>
          <w:rFonts w:eastAsia="宋体"/>
          <w:snapToGrid w:val="0"/>
          <w:sz w:val="24"/>
          <w:szCs w:val="24"/>
          <w:lang w:eastAsia="zh-CN"/>
        </w:rPr>
      </w:pPr>
    </w:p>
    <w:p w14:paraId="7A56546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在美国境外上市的器械和组合产品器械组成部分，如果仅在安全性或有效性无关的细微特征上存在差异（例如，与美国上市的组合产品器械组成部分尺寸不同或其他微小设计变化），则可视为类似。器械和组合产品器械组成部分可根据略微修改的质量标准进行生产，以满足不同国家的标准。如上所述，如果此类器械或器械组成部分与美国上市的组合产品器械组成部分相似，那么如果该事件可能在美国上市的组合产品中发生，则应报告其他需要ICSR的任何事件。</w:t>
      </w:r>
    </w:p>
    <w:p w14:paraId="399F78CE">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234D7051">
      <w:pPr>
        <w:autoSpaceDE/>
        <w:autoSpaceDN/>
        <w:snapToGrid w:val="0"/>
        <w:jc w:val="both"/>
        <w:rPr>
          <w:rFonts w:eastAsia="宋体"/>
          <w:snapToGrid w:val="0"/>
          <w:sz w:val="24"/>
          <w:szCs w:val="24"/>
          <w:lang w:eastAsia="zh-CN"/>
        </w:rPr>
      </w:pPr>
    </w:p>
    <w:p w14:paraId="3EED0C84">
      <w:pPr>
        <w:autoSpaceDE/>
        <w:autoSpaceDN/>
        <w:snapToGrid w:val="0"/>
        <w:jc w:val="both"/>
        <w:rPr>
          <w:rFonts w:eastAsia="宋体"/>
          <w:snapToGrid w:val="0"/>
          <w:sz w:val="24"/>
          <w:szCs w:val="24"/>
          <w:lang w:eastAsia="zh-CN"/>
        </w:rPr>
      </w:pPr>
      <w:r>
        <w:rPr>
          <w:rFonts w:hint="eastAsia" w:eastAsia="宋体"/>
          <w:i/>
          <w:snapToGrid w:val="0"/>
          <w:sz w:val="24"/>
          <w:szCs w:val="24"/>
          <w:lang w:eastAsia="zh-CN"/>
        </w:rPr>
        <w:t>示例</w:t>
      </w:r>
      <w:r>
        <w:rPr>
          <w:rFonts w:hint="eastAsia" w:eastAsia="宋体"/>
          <w:snapToGrid w:val="0"/>
          <w:sz w:val="24"/>
          <w:szCs w:val="24"/>
          <w:lang w:eastAsia="zh-CN"/>
        </w:rPr>
        <w:t>。组合产品申请人：</w:t>
      </w:r>
    </w:p>
    <w:p w14:paraId="7928A313">
      <w:pPr>
        <w:autoSpaceDE/>
        <w:autoSpaceDN/>
        <w:snapToGrid w:val="0"/>
        <w:jc w:val="both"/>
        <w:rPr>
          <w:rFonts w:eastAsia="宋体"/>
          <w:snapToGrid w:val="0"/>
          <w:sz w:val="24"/>
          <w:szCs w:val="24"/>
          <w:lang w:eastAsia="zh-CN"/>
        </w:rPr>
      </w:pPr>
    </w:p>
    <w:p w14:paraId="70617B4D">
      <w:pPr>
        <w:pStyle w:val="24"/>
        <w:numPr>
          <w:ilvl w:val="0"/>
          <w:numId w:val="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在美国上市冠状动脉药物洗脱支架（DES）的申请人应提交故障报告，说明在美国境外上市的涂覆有不同抗增殖药物的冠状动脉DES的DES变形的其他可报告故障，如果该DES仅尺寸与美国上市的DES不同但其他类似（如上所述），且该故障有可能在美国上市的组合产品中发生。</w:t>
      </w:r>
    </w:p>
    <w:p w14:paraId="3ACF744A">
      <w:pPr>
        <w:pStyle w:val="24"/>
        <w:tabs>
          <w:tab w:val="left" w:pos="911"/>
        </w:tabs>
        <w:autoSpaceDE/>
        <w:autoSpaceDN/>
        <w:snapToGrid w:val="0"/>
        <w:ind w:left="920" w:firstLine="0"/>
        <w:jc w:val="both"/>
        <w:rPr>
          <w:rFonts w:eastAsia="宋体"/>
          <w:lang w:eastAsia="zh-CN"/>
        </w:rPr>
      </w:pPr>
    </w:p>
    <w:p w14:paraId="6CB68DBC">
      <w:pPr>
        <w:pStyle w:val="24"/>
        <w:numPr>
          <w:ilvl w:val="0"/>
          <w:numId w:val="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应提交该申请人在美国境外上市预充式注射器防刺伤功能其他可报告故障的境外事件故障报告，如果（i）与美国上市的预充式注射器防刺伤功能仅微小差异，该差异不会改变注射器与安全性和有效性相关的基本设计和性能特征，以及（ii）该故障可能在美国上市的组合产品中发生。</w:t>
      </w:r>
    </w:p>
    <w:p w14:paraId="5D27A6DF">
      <w:pPr>
        <w:pStyle w:val="24"/>
        <w:tabs>
          <w:tab w:val="left" w:pos="911"/>
        </w:tabs>
        <w:autoSpaceDE/>
        <w:autoSpaceDN/>
        <w:snapToGrid w:val="0"/>
        <w:ind w:left="920" w:firstLine="0"/>
        <w:jc w:val="both"/>
        <w:rPr>
          <w:rFonts w:eastAsia="宋体"/>
          <w:snapToGrid w:val="0"/>
          <w:sz w:val="24"/>
          <w:szCs w:val="24"/>
          <w:lang w:eastAsia="zh-CN"/>
        </w:rPr>
      </w:pPr>
    </w:p>
    <w:p w14:paraId="2C12A19F">
      <w:pPr>
        <w:pStyle w:val="7"/>
        <w:tabs>
          <w:tab w:val="left" w:pos="911"/>
        </w:tabs>
        <w:autoSpaceDE/>
        <w:autoSpaceDN/>
        <w:snapToGrid w:val="0"/>
        <w:ind w:left="919" w:firstLine="480" w:firstLineChars="200"/>
        <w:jc w:val="both"/>
        <w:rPr>
          <w:rFonts w:eastAsia="宋体"/>
          <w:snapToGrid w:val="0"/>
          <w:lang w:eastAsia="zh-CN"/>
        </w:rPr>
      </w:pPr>
      <w:r>
        <w:rPr>
          <w:rFonts w:hint="eastAsia" w:eastAsia="宋体"/>
          <w:snapToGrid w:val="0"/>
          <w:lang w:eastAsia="zh-CN"/>
        </w:rPr>
        <w:t>但如果境外上市注射器的防刺伤功能与美国上市组合产品中注射器部分的功能不同或不相似，则提交境外事件故障报告的建议不适用于相关防刺伤功能的失效。例如，如果境外上市预充式注射器使用铰链式回缩功能，而美国上市组合产品中注射器使用的设计是滑动套管，则涉及境外上市产品铰链式回缩功能失效的故障报告与美国上市的组合产品无关，因此故障报告的建议不适用。</w:t>
      </w:r>
    </w:p>
    <w:p w14:paraId="6C5AF198">
      <w:pPr>
        <w:pStyle w:val="7"/>
        <w:tabs>
          <w:tab w:val="left" w:pos="911"/>
        </w:tabs>
        <w:autoSpaceDE/>
        <w:autoSpaceDN/>
        <w:snapToGrid w:val="0"/>
        <w:ind w:left="920"/>
        <w:jc w:val="both"/>
        <w:rPr>
          <w:rFonts w:eastAsia="宋体"/>
          <w:snapToGrid w:val="0"/>
          <w:lang w:eastAsia="zh-CN"/>
        </w:rPr>
      </w:pPr>
    </w:p>
    <w:p w14:paraId="00710FAB">
      <w:pPr>
        <w:pStyle w:val="24"/>
        <w:numPr>
          <w:ilvl w:val="0"/>
          <w:numId w:val="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用户无法给药有关的类似药筒吸入器的其他可报告故障应提交境外事件故障报告。例如，如果（i）该吸入器与申请人在美国上市的组合产品中使用的吸入器相比仅有微小差异（例如，外壳形状的微小差异），以及（ii）该故障可能在美国上市的组合产品中发生，则组合产品申请人应提交一份报告。</w:t>
      </w:r>
    </w:p>
    <w:p w14:paraId="46B06C65">
      <w:pPr>
        <w:pStyle w:val="24"/>
        <w:tabs>
          <w:tab w:val="left" w:pos="911"/>
        </w:tabs>
        <w:autoSpaceDE/>
        <w:autoSpaceDN/>
        <w:snapToGrid w:val="0"/>
        <w:ind w:left="920" w:firstLine="0"/>
        <w:jc w:val="both"/>
        <w:rPr>
          <w:rFonts w:eastAsia="宋体"/>
          <w:snapToGrid w:val="0"/>
          <w:sz w:val="24"/>
          <w:szCs w:val="24"/>
          <w:lang w:eastAsia="zh-CN"/>
        </w:rPr>
      </w:pPr>
    </w:p>
    <w:p w14:paraId="78EA6FE3">
      <w:pPr>
        <w:pStyle w:val="7"/>
        <w:tabs>
          <w:tab w:val="left" w:pos="911"/>
        </w:tabs>
        <w:autoSpaceDE/>
        <w:autoSpaceDN/>
        <w:snapToGrid w:val="0"/>
        <w:ind w:left="919" w:firstLine="480" w:firstLineChars="200"/>
        <w:jc w:val="both"/>
        <w:rPr>
          <w:rFonts w:eastAsia="宋体"/>
          <w:snapToGrid w:val="0"/>
          <w:lang w:eastAsia="zh-CN"/>
        </w:rPr>
      </w:pPr>
      <w:r>
        <w:rPr>
          <w:rFonts w:hint="eastAsia" w:eastAsia="宋体"/>
          <w:snapToGrid w:val="0"/>
          <w:lang w:eastAsia="zh-CN"/>
        </w:rPr>
        <w:t>但如果境外上市产品中吸入器的安全性和有效性的基本设计和性能特征不同，则提交境外事件故障报告的建议不适用于相关吸入器喷嘴堵塞的故障，因为在这种情况下，该故障不太可能在美国上市组合产品的吸入器中发生。例如，如果致动器喷孔直径明显较小，即与美国上市产品的吸入器相比，境外上市产品的吸入器性能发生了显著变化，则提交故障报告的建议不适用。</w:t>
      </w:r>
    </w:p>
    <w:p w14:paraId="1B5B06C1">
      <w:pPr>
        <w:autoSpaceDE/>
        <w:autoSpaceDN/>
        <w:snapToGrid w:val="0"/>
        <w:jc w:val="both"/>
        <w:rPr>
          <w:rFonts w:eastAsia="宋体"/>
          <w:snapToGrid w:val="0"/>
          <w:sz w:val="24"/>
          <w:szCs w:val="24"/>
          <w:lang w:eastAsia="zh-CN"/>
        </w:rPr>
      </w:pPr>
      <w:r>
        <w:rPr>
          <w:rFonts w:eastAsia="宋体"/>
          <w:sz w:val="24"/>
          <w:lang w:eastAsia="zh-CN"/>
        </w:rPr>
        <w:br w:type="page"/>
      </w:r>
    </w:p>
    <w:p w14:paraId="58F905F0">
      <w:pPr>
        <w:autoSpaceDE/>
        <w:autoSpaceDN/>
        <w:snapToGrid w:val="0"/>
        <w:jc w:val="both"/>
        <w:rPr>
          <w:rFonts w:eastAsia="宋体"/>
          <w:snapToGrid w:val="0"/>
          <w:sz w:val="24"/>
          <w:szCs w:val="24"/>
          <w:lang w:eastAsia="zh-CN"/>
        </w:rPr>
      </w:pPr>
    </w:p>
    <w:p w14:paraId="691D3350">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组合产品申请人如对境外事件的报告要求或报告建议有疑问，应根据需要联系牵头中心或OCP。</w:t>
      </w:r>
    </w:p>
    <w:p w14:paraId="00A8C2E2">
      <w:pPr>
        <w:pStyle w:val="7"/>
        <w:autoSpaceDE/>
        <w:autoSpaceDN/>
        <w:snapToGrid w:val="0"/>
        <w:jc w:val="both"/>
        <w:rPr>
          <w:rFonts w:eastAsia="宋体"/>
          <w:snapToGrid w:val="0"/>
          <w:lang w:eastAsia="zh-CN"/>
        </w:rPr>
      </w:pPr>
    </w:p>
    <w:p w14:paraId="5751FE4A">
      <w:pPr>
        <w:pStyle w:val="3"/>
        <w:autoSpaceDE/>
        <w:autoSpaceDN/>
        <w:spacing w:before="0" w:beforeLines="0" w:line="240" w:lineRule="auto"/>
        <w:ind w:left="1442" w:leftChars="400" w:hanging="562"/>
        <w:rPr>
          <w:snapToGrid w:val="0"/>
          <w:szCs w:val="24"/>
          <w:lang w:eastAsia="zh-CN"/>
        </w:rPr>
      </w:pPr>
      <w:bookmarkStart w:id="24" w:name="_Toc97551503"/>
      <w:bookmarkStart w:id="25" w:name="_Toc95145702"/>
      <w:r>
        <w:rPr>
          <w:rFonts w:hint="eastAsia"/>
          <w:snapToGrid w:val="0"/>
          <w:szCs w:val="24"/>
          <w:lang w:eastAsia="zh-CN"/>
        </w:rPr>
        <w:t>B.</w:t>
      </w:r>
      <w:r>
        <w:rPr>
          <w:rFonts w:hint="eastAsia"/>
          <w:snapToGrid w:val="0"/>
          <w:szCs w:val="24"/>
          <w:lang w:eastAsia="zh-CN"/>
        </w:rPr>
        <w:tab/>
      </w:r>
      <w:r>
        <w:rPr>
          <w:rFonts w:hint="eastAsia"/>
          <w:snapToGrid w:val="0"/>
          <w:szCs w:val="24"/>
          <w:lang w:eastAsia="zh-CN"/>
        </w:rPr>
        <w:t>组合产品申请人的其他（非ICSR）组合产品PMSR报告类型</w:t>
      </w:r>
      <w:bookmarkEnd w:id="24"/>
      <w:bookmarkEnd w:id="25"/>
    </w:p>
    <w:p w14:paraId="27E6F2E1">
      <w:pPr>
        <w:autoSpaceDE/>
        <w:autoSpaceDN/>
        <w:snapToGrid w:val="0"/>
        <w:jc w:val="both"/>
        <w:rPr>
          <w:rFonts w:eastAsia="宋体"/>
          <w:snapToGrid w:val="0"/>
          <w:sz w:val="24"/>
          <w:szCs w:val="24"/>
          <w:lang w:eastAsia="zh-CN"/>
        </w:rPr>
      </w:pPr>
    </w:p>
    <w:p w14:paraId="4F23E5D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请注意，以下各节讨论了可能需要指定报告类型的情况。</w:t>
      </w:r>
      <w:r>
        <w:rPr>
          <w:rStyle w:val="22"/>
          <w:rFonts w:hint="eastAsia" w:eastAsia="宋体"/>
          <w:snapToGrid w:val="0"/>
          <w:lang w:eastAsia="zh-CN"/>
        </w:rPr>
        <w:footnoteReference w:id="33"/>
      </w:r>
      <w:r>
        <w:rPr>
          <w:rFonts w:hint="eastAsia" w:eastAsia="宋体"/>
          <w:snapToGrid w:val="0"/>
          <w:lang w:eastAsia="zh-CN"/>
        </w:rPr>
        <w:t>这些讨论并非旨在确定与所述事件相关的所有可能需要的报告，而且与所述事件相似的事件所需的报告可能有所不同，视具体情况而定。如下文所述，在某些情况下，可能需要多种报告类型，并且可能需要在同一份提交文件中满足多项报告要求，更多讨论详见下文第V.A.3节。</w:t>
      </w:r>
    </w:p>
    <w:p w14:paraId="550A8444">
      <w:pPr>
        <w:pStyle w:val="7"/>
        <w:autoSpaceDE/>
        <w:autoSpaceDN/>
        <w:snapToGrid w:val="0"/>
        <w:jc w:val="both"/>
        <w:rPr>
          <w:rFonts w:eastAsia="宋体"/>
          <w:snapToGrid w:val="0"/>
          <w:lang w:eastAsia="zh-CN"/>
        </w:rPr>
      </w:pPr>
    </w:p>
    <w:p w14:paraId="145453E8">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现场警示报告（参见《美国联邦法规》第21篇第314.81节）</w:t>
      </w:r>
    </w:p>
    <w:p w14:paraId="44AC1E3D">
      <w:pPr>
        <w:autoSpaceDE/>
        <w:autoSpaceDN/>
        <w:snapToGrid w:val="0"/>
        <w:jc w:val="both"/>
        <w:rPr>
          <w:rFonts w:eastAsia="宋体"/>
          <w:snapToGrid w:val="0"/>
          <w:sz w:val="24"/>
          <w:szCs w:val="24"/>
          <w:lang w:eastAsia="zh-CN"/>
        </w:rPr>
      </w:pPr>
    </w:p>
    <w:p w14:paraId="6C86D38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现场警示报告要求适用于包含药品组成部分的已分销组合产品（参见《美国联邦法规》第21篇第4.102（b）（2）和4.102（c）（2）（i）节）。有关现场警示报告和生物制品偏差报告报告的简化，另参见下文第IV.C节和第V.A.3节。</w:t>
      </w:r>
    </w:p>
    <w:p w14:paraId="0BC90406">
      <w:pPr>
        <w:pStyle w:val="7"/>
        <w:autoSpaceDE/>
        <w:autoSpaceDN/>
        <w:snapToGrid w:val="0"/>
        <w:jc w:val="both"/>
        <w:rPr>
          <w:rFonts w:eastAsia="宋体"/>
          <w:snapToGrid w:val="0"/>
          <w:lang w:eastAsia="zh-CN"/>
        </w:rPr>
      </w:pPr>
    </w:p>
    <w:p w14:paraId="64FD40C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此类组合产品的组合产品申请人必须在收到以下信息后3个工作日内提交现场警示报告：</w:t>
      </w:r>
    </w:p>
    <w:p w14:paraId="49A2C1CD">
      <w:pPr>
        <w:pStyle w:val="7"/>
        <w:autoSpaceDE/>
        <w:autoSpaceDN/>
        <w:snapToGrid w:val="0"/>
        <w:jc w:val="both"/>
        <w:rPr>
          <w:rFonts w:eastAsia="宋体"/>
          <w:snapToGrid w:val="0"/>
          <w:lang w:eastAsia="zh-CN"/>
        </w:rPr>
      </w:pPr>
    </w:p>
    <w:p w14:paraId="6F37730A">
      <w:pPr>
        <w:pStyle w:val="24"/>
        <w:numPr>
          <w:ilvl w:val="0"/>
          <w:numId w:val="1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lang w:eastAsia="zh-CN"/>
        </w:rPr>
        <w:t>“</w:t>
      </w:r>
      <w:r>
        <w:rPr>
          <w:rFonts w:hint="eastAsia" w:eastAsia="宋体"/>
          <w:snapToGrid w:val="0"/>
          <w:sz w:val="24"/>
          <w:szCs w:val="24"/>
          <w:lang w:eastAsia="zh-CN"/>
        </w:rPr>
        <w:t>导致【产品】或其标签被误认为或应用于另一物品的任何事件，</w:t>
      </w:r>
      <w:r>
        <w:rPr>
          <w:rFonts w:hint="eastAsia" w:ascii="宋体" w:hAnsi="宋体" w:eastAsia="宋体"/>
          <w:sz w:val="24"/>
          <w:lang w:eastAsia="zh-CN"/>
        </w:rPr>
        <w:t>”</w:t>
      </w:r>
      <w:r>
        <w:rPr>
          <w:rFonts w:hint="eastAsia" w:eastAsia="宋体"/>
          <w:snapToGrid w:val="0"/>
          <w:sz w:val="24"/>
          <w:szCs w:val="24"/>
          <w:lang w:eastAsia="zh-CN"/>
        </w:rPr>
        <w:t>或</w:t>
      </w:r>
      <w:r>
        <w:rPr>
          <w:rFonts w:hint="eastAsia" w:ascii="宋体" w:hAnsi="宋体" w:eastAsia="宋体"/>
          <w:sz w:val="24"/>
          <w:lang w:eastAsia="zh-CN"/>
        </w:rPr>
        <w:t>“</w:t>
      </w:r>
      <w:r>
        <w:rPr>
          <w:rFonts w:hint="eastAsia" w:eastAsia="宋体"/>
          <w:snapToGrid w:val="0"/>
          <w:sz w:val="24"/>
          <w:szCs w:val="24"/>
          <w:lang w:eastAsia="zh-CN"/>
        </w:rPr>
        <w:t>分销的【产品】涉及任何细菌污染，或任何重大化学、物理或其他变化或变质</w:t>
      </w:r>
      <w:r>
        <w:rPr>
          <w:rFonts w:hint="eastAsia" w:ascii="宋体" w:hAnsi="宋体" w:eastAsia="宋体"/>
          <w:sz w:val="24"/>
          <w:lang w:eastAsia="zh-CN"/>
        </w:rPr>
        <w:t>”</w:t>
      </w:r>
      <w:r>
        <w:rPr>
          <w:rFonts w:hint="eastAsia" w:eastAsia="宋体"/>
          <w:snapToGrid w:val="0"/>
          <w:sz w:val="24"/>
          <w:szCs w:val="24"/>
          <w:lang w:eastAsia="zh-CN"/>
        </w:rPr>
        <w:t>或</w:t>
      </w:r>
    </w:p>
    <w:p w14:paraId="4AC260CE">
      <w:pPr>
        <w:pStyle w:val="24"/>
        <w:numPr>
          <w:ilvl w:val="0"/>
          <w:numId w:val="1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lang w:eastAsia="zh-CN"/>
        </w:rPr>
        <w:t>“</w:t>
      </w:r>
      <w:r>
        <w:rPr>
          <w:rFonts w:hint="eastAsia" w:eastAsia="宋体"/>
          <w:snapToGrid w:val="0"/>
          <w:sz w:val="24"/>
          <w:szCs w:val="24"/>
          <w:lang w:eastAsia="zh-CN"/>
        </w:rPr>
        <w:t>【产品】的一个或多个分销批次不符合其在申请中确立的质量标准</w:t>
      </w:r>
      <w:r>
        <w:rPr>
          <w:rFonts w:hint="eastAsia" w:ascii="宋体" w:hAnsi="宋体" w:eastAsia="宋体"/>
          <w:sz w:val="24"/>
          <w:lang w:eastAsia="zh-CN"/>
        </w:rPr>
        <w:t>”</w:t>
      </w:r>
      <w:r>
        <w:rPr>
          <w:rFonts w:hint="eastAsia" w:eastAsia="宋体"/>
          <w:snapToGrid w:val="0"/>
          <w:sz w:val="24"/>
          <w:szCs w:val="24"/>
          <w:lang w:eastAsia="zh-CN"/>
        </w:rPr>
        <w:t>（《美国联邦法规》第21篇第314.81节）。</w:t>
      </w:r>
    </w:p>
    <w:p w14:paraId="0F8ED6B0">
      <w:pPr>
        <w:pStyle w:val="24"/>
        <w:tabs>
          <w:tab w:val="left" w:pos="911"/>
        </w:tabs>
        <w:autoSpaceDE/>
        <w:autoSpaceDN/>
        <w:snapToGrid w:val="0"/>
        <w:ind w:left="920" w:firstLine="0"/>
        <w:jc w:val="both"/>
        <w:rPr>
          <w:rFonts w:eastAsia="宋体"/>
          <w:snapToGrid w:val="0"/>
          <w:sz w:val="24"/>
          <w:szCs w:val="24"/>
          <w:lang w:eastAsia="zh-CN"/>
        </w:rPr>
      </w:pPr>
    </w:p>
    <w:p w14:paraId="5D9EF19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本机构还建议组合产品申请人提交附加信息，包括可用的更新信息。</w:t>
      </w:r>
      <w:r>
        <w:rPr>
          <w:rStyle w:val="22"/>
          <w:rFonts w:hint="eastAsia" w:eastAsia="宋体"/>
          <w:snapToGrid w:val="0"/>
          <w:lang w:eastAsia="zh-CN"/>
        </w:rPr>
        <w:footnoteReference w:id="34"/>
      </w:r>
    </w:p>
    <w:p w14:paraId="4998D13C">
      <w:pPr>
        <w:pStyle w:val="7"/>
        <w:autoSpaceDE/>
        <w:autoSpaceDN/>
        <w:snapToGrid w:val="0"/>
        <w:ind w:firstLine="480" w:firstLineChars="200"/>
        <w:jc w:val="both"/>
        <w:rPr>
          <w:rFonts w:eastAsia="宋体"/>
          <w:snapToGrid w:val="0"/>
          <w:lang w:eastAsia="zh-CN"/>
        </w:rPr>
      </w:pPr>
    </w:p>
    <w:p w14:paraId="5328FF93">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上述由组合产品任何组成部分或组合产品生产工艺所导致的任何问题都需要现场警示报告（参见《美国联邦法规》第21篇4.102（a）和314.81节）。即使问题是由另一方提供给申请人的材料所致，也必须提交现场警示报告（《美国联邦法规》第21篇第314.81节对此基准没有区别）。</w:t>
      </w:r>
    </w:p>
    <w:p w14:paraId="04199554">
      <w:pPr>
        <w:pStyle w:val="7"/>
        <w:autoSpaceDE/>
        <w:autoSpaceDN/>
        <w:snapToGrid w:val="0"/>
        <w:ind w:firstLine="480" w:firstLineChars="200"/>
        <w:jc w:val="both"/>
        <w:rPr>
          <w:rFonts w:eastAsia="宋体"/>
          <w:snapToGrid w:val="0"/>
          <w:lang w:eastAsia="zh-CN"/>
        </w:rPr>
      </w:pPr>
    </w:p>
    <w:p w14:paraId="5CF4EE5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分销的预充式注射器细菌污染可能是灌装前药物生产过程中污染、灌装前注射器污染或灌装过程中污染所致。在任何情况下，如果产品受到污染，则必须提交现场警示报告（参见《美国联邦法规》第21篇第4.102和314.81节）。</w:t>
      </w:r>
    </w:p>
    <w:p w14:paraId="67095E3C">
      <w:pPr>
        <w:autoSpaceDE/>
        <w:autoSpaceDN/>
        <w:snapToGrid w:val="0"/>
        <w:jc w:val="both"/>
        <w:rPr>
          <w:rFonts w:eastAsia="宋体"/>
          <w:snapToGrid w:val="0"/>
          <w:sz w:val="24"/>
          <w:szCs w:val="24"/>
          <w:lang w:eastAsia="zh-CN"/>
        </w:rPr>
      </w:pPr>
      <w:r>
        <w:rPr>
          <w:rFonts w:eastAsia="宋体"/>
          <w:sz w:val="24"/>
          <w:lang w:eastAsia="zh-CN"/>
        </w:rPr>
        <w:br w:type="page"/>
      </w:r>
    </w:p>
    <w:p w14:paraId="1890F9B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同样，如果分销的药物洗脱支架涂层因涂层或支架涂层过程中引入的杂质或金属支架上的杂质而不符合质量标准，则必须提交现场警示报告（参见《美国联邦法规》第21篇第4.102和314.81节）。此外，如果杂质是由于供应商提供的药品造成，则组合产品申请人还应与药品供应商沟通，以便药品供应商酌情采取任何额外措施和报告。</w:t>
      </w:r>
    </w:p>
    <w:p w14:paraId="6EC6D076">
      <w:pPr>
        <w:pStyle w:val="7"/>
        <w:autoSpaceDE/>
        <w:autoSpaceDN/>
        <w:snapToGrid w:val="0"/>
        <w:ind w:firstLine="480" w:firstLineChars="200"/>
        <w:jc w:val="both"/>
        <w:rPr>
          <w:rFonts w:eastAsia="宋体"/>
          <w:snapToGrid w:val="0"/>
          <w:lang w:eastAsia="zh-CN"/>
        </w:rPr>
      </w:pPr>
    </w:p>
    <w:p w14:paraId="31F0F615">
      <w:pPr>
        <w:pStyle w:val="7"/>
        <w:wordWrap w:val="0"/>
        <w:autoSpaceDE/>
        <w:autoSpaceDN/>
        <w:snapToGrid w:val="0"/>
        <w:ind w:firstLine="480" w:firstLineChars="200"/>
        <w:jc w:val="both"/>
        <w:rPr>
          <w:rFonts w:eastAsia="宋体"/>
          <w:snapToGrid w:val="0"/>
          <w:lang w:eastAsia="zh-CN"/>
        </w:rPr>
      </w:pPr>
      <w:r>
        <w:rPr>
          <w:rFonts w:hint="eastAsia" w:eastAsia="宋体"/>
          <w:snapToGrid w:val="0"/>
          <w:lang w:eastAsia="zh-CN"/>
        </w:rPr>
        <w:t>有关现场警示报告的更多信息，请访问：</w:t>
      </w:r>
      <w:r>
        <w:fldChar w:fldCharType="begin"/>
      </w:r>
      <w:r>
        <w:instrText xml:space="preserve"> HYPERLINK "https://www.fda.gov/drugs/surveillance/field-alert-report-form-questions-and-answers" \h </w:instrText>
      </w:r>
      <w:r>
        <w:fldChar w:fldCharType="separate"/>
      </w:r>
      <w:r>
        <w:rPr>
          <w:rFonts w:hint="eastAsia" w:eastAsia="宋体"/>
          <w:snapToGrid w:val="0"/>
          <w:color w:val="0000FF"/>
          <w:u w:val="single" w:color="0000FF"/>
          <w:lang w:eastAsia="zh-CN"/>
        </w:rPr>
        <w:t>https://www.fda.gov/drugs/surveillance/field-alert-report-form-questions-and-answers</w:t>
      </w:r>
      <w:r>
        <w:rPr>
          <w:rFonts w:hint="eastAsia" w:eastAsia="宋体"/>
          <w:snapToGrid w:val="0"/>
          <w:color w:val="0000FF"/>
          <w:u w:val="single" w:color="0000FF"/>
          <w:lang w:eastAsia="zh-CN"/>
        </w:rPr>
        <w:fldChar w:fldCharType="end"/>
      </w:r>
      <w:r>
        <w:rPr>
          <w:rFonts w:hint="eastAsia" w:eastAsia="宋体"/>
          <w:snapToGrid w:val="0"/>
          <w:lang w:eastAsia="zh-CN"/>
        </w:rPr>
        <w:t>和</w:t>
      </w:r>
      <w:r>
        <w:rPr>
          <w:rFonts w:hint="eastAsia" w:eastAsia="宋体"/>
          <w:snapToGrid w:val="0"/>
          <w:color w:val="0000FF"/>
          <w:u w:val="single" w:color="0000FF"/>
          <w:lang w:eastAsia="zh-CN"/>
        </w:rPr>
        <w:t>https://www.fda.gov/vaccines-blood-biologics/guidance-compliance-regulatory-information-biologics/submitting-field-alert-reports-fars-cber。</w:t>
      </w:r>
    </w:p>
    <w:p w14:paraId="1BA6CFFE">
      <w:pPr>
        <w:pStyle w:val="7"/>
        <w:autoSpaceDE/>
        <w:autoSpaceDN/>
        <w:snapToGrid w:val="0"/>
        <w:jc w:val="both"/>
        <w:rPr>
          <w:rFonts w:eastAsia="宋体"/>
          <w:snapToGrid w:val="0"/>
          <w:lang w:eastAsia="zh-CN"/>
        </w:rPr>
      </w:pPr>
    </w:p>
    <w:p w14:paraId="3EE0C5F4">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生物制品偏差报告（参见《美国联邦法规》第21篇第600.14和606.171节）</w:t>
      </w:r>
    </w:p>
    <w:p w14:paraId="3A5B5D2B">
      <w:pPr>
        <w:autoSpaceDE/>
        <w:autoSpaceDN/>
        <w:snapToGrid w:val="0"/>
        <w:jc w:val="both"/>
        <w:rPr>
          <w:rFonts w:eastAsia="宋体"/>
          <w:snapToGrid w:val="0"/>
          <w:sz w:val="24"/>
          <w:szCs w:val="24"/>
          <w:lang w:eastAsia="zh-CN"/>
        </w:rPr>
      </w:pPr>
    </w:p>
    <w:p w14:paraId="6D723EF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生物制品偏差报告要求适用于包含生物制品组成部分的分销组合产品（参见《美国联邦法规》第21篇第4.102（b）（3）和4.102（c）（3）（i）节）。有关现场警示报告和生物制品偏差报告报告的简化，另参见下文第IV.C节和第V.A.3节。</w:t>
      </w:r>
    </w:p>
    <w:p w14:paraId="73925F3A">
      <w:pPr>
        <w:pStyle w:val="7"/>
        <w:autoSpaceDE/>
        <w:autoSpaceDN/>
        <w:snapToGrid w:val="0"/>
        <w:ind w:firstLine="480" w:firstLineChars="200"/>
        <w:jc w:val="both"/>
        <w:rPr>
          <w:rFonts w:eastAsia="宋体"/>
          <w:snapToGrid w:val="0"/>
          <w:lang w:eastAsia="zh-CN"/>
        </w:rPr>
      </w:pPr>
    </w:p>
    <w:p w14:paraId="45F1634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此类组合产品的组合产品申请人必须提交产品</w:t>
      </w:r>
      <w:r>
        <w:rPr>
          <w:rFonts w:hint="eastAsia" w:ascii="宋体" w:hAnsi="宋体" w:eastAsia="宋体"/>
          <w:lang w:eastAsia="zh-CN"/>
        </w:rPr>
        <w:t>“</w:t>
      </w:r>
      <w:r>
        <w:rPr>
          <w:rFonts w:hint="eastAsia" w:eastAsia="宋体"/>
          <w:snapToGrid w:val="0"/>
          <w:lang w:eastAsia="zh-CN"/>
        </w:rPr>
        <w:t>任何事件的生物制品偏差报告，以及与该事件相关的信息，包括产品的检验、加工、包装、贴签、储存，或与保持或分销有关的信息</w:t>
      </w:r>
      <w:r>
        <w:rPr>
          <w:rFonts w:hint="eastAsia" w:ascii="宋体" w:hAnsi="宋体" w:eastAsia="宋体"/>
          <w:lang w:eastAsia="zh-CN"/>
        </w:rPr>
        <w:t>”</w:t>
      </w:r>
      <w:r>
        <w:rPr>
          <w:rFonts w:hint="eastAsia" w:eastAsia="宋体"/>
          <w:snapToGrid w:val="0"/>
          <w:lang w:eastAsia="zh-CN"/>
        </w:rPr>
        <w:t>，如果该事件：</w:t>
      </w:r>
      <w:r>
        <w:rPr>
          <w:rStyle w:val="22"/>
          <w:rFonts w:hint="eastAsia" w:eastAsia="宋体"/>
          <w:snapToGrid w:val="0"/>
          <w:lang w:eastAsia="zh-CN"/>
        </w:rPr>
        <w:footnoteReference w:id="35"/>
      </w:r>
      <w:r>
        <w:rPr>
          <w:rFonts w:hint="eastAsia" w:eastAsia="宋体"/>
          <w:snapToGrid w:val="0"/>
          <w:vertAlign w:val="superscript"/>
          <w:lang w:eastAsia="zh-CN"/>
        </w:rPr>
        <w:t>,</w:t>
      </w:r>
      <w:r>
        <w:rPr>
          <w:rStyle w:val="22"/>
          <w:rFonts w:hint="eastAsia" w:eastAsia="宋体"/>
          <w:snapToGrid w:val="0"/>
          <w:lang w:eastAsia="zh-CN"/>
        </w:rPr>
        <w:footnoteReference w:id="36"/>
      </w:r>
    </w:p>
    <w:p w14:paraId="5C8BACA3">
      <w:pPr>
        <w:pStyle w:val="24"/>
        <w:numPr>
          <w:ilvl w:val="0"/>
          <w:numId w:val="11"/>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代表—</w:t>
      </w:r>
    </w:p>
    <w:p w14:paraId="12456856">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偏离现行药品生产质量管理规范、适用法规、适用标准或既定质量标准，可能影响该产品的安全性、纯度或效价的事件；或</w:t>
      </w:r>
    </w:p>
    <w:p w14:paraId="53FE21A5">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可能影响该产品安全性、纯度或效价的非预期或不可预见事件；</w:t>
      </w:r>
    </w:p>
    <w:p w14:paraId="612E7187">
      <w:pPr>
        <w:pStyle w:val="24"/>
        <w:numPr>
          <w:ilvl w:val="0"/>
          <w:numId w:val="11"/>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发生在申请人的设备内或与申请人签订合同的其他设备内；且</w:t>
      </w:r>
    </w:p>
    <w:p w14:paraId="65B1C906">
      <w:pPr>
        <w:pStyle w:val="24"/>
        <w:numPr>
          <w:ilvl w:val="0"/>
          <w:numId w:val="11"/>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涉及分销产品。</w:t>
      </w:r>
    </w:p>
    <w:p w14:paraId="0FF69F33">
      <w:pPr>
        <w:pStyle w:val="24"/>
        <w:tabs>
          <w:tab w:val="left" w:pos="911"/>
        </w:tabs>
        <w:autoSpaceDE/>
        <w:autoSpaceDN/>
        <w:snapToGrid w:val="0"/>
        <w:ind w:left="920" w:firstLine="0"/>
        <w:jc w:val="both"/>
        <w:rPr>
          <w:rFonts w:eastAsia="宋体"/>
          <w:snapToGrid w:val="0"/>
          <w:sz w:val="24"/>
          <w:szCs w:val="24"/>
          <w:lang w:eastAsia="zh-CN"/>
        </w:rPr>
      </w:pPr>
    </w:p>
    <w:p w14:paraId="5D5AAB3C">
      <w:pPr>
        <w:autoSpaceDE/>
        <w:autoSpaceDN/>
        <w:snapToGrid w:val="0"/>
        <w:ind w:firstLine="480" w:firstLineChars="200"/>
        <w:jc w:val="both"/>
        <w:rPr>
          <w:rFonts w:eastAsia="宋体"/>
          <w:snapToGrid w:val="0"/>
          <w:sz w:val="24"/>
          <w:szCs w:val="24"/>
          <w:lang w:eastAsia="zh-CN"/>
        </w:rPr>
      </w:pPr>
      <w:r>
        <w:rPr>
          <w:rFonts w:hint="eastAsia" w:eastAsia="宋体"/>
          <w:snapToGrid w:val="0"/>
          <w:sz w:val="24"/>
          <w:szCs w:val="24"/>
          <w:lang w:eastAsia="zh-CN"/>
        </w:rPr>
        <w:t>（《美国联邦法规》第21篇第600.14和606.171节）。</w:t>
      </w:r>
    </w:p>
    <w:p w14:paraId="01B319E5">
      <w:pPr>
        <w:autoSpaceDE/>
        <w:autoSpaceDN/>
        <w:snapToGrid w:val="0"/>
        <w:jc w:val="both"/>
        <w:rPr>
          <w:rFonts w:eastAsia="宋体"/>
          <w:snapToGrid w:val="0"/>
          <w:sz w:val="24"/>
          <w:szCs w:val="24"/>
          <w:lang w:eastAsia="zh-CN"/>
        </w:rPr>
      </w:pPr>
    </w:p>
    <w:p w14:paraId="663C4D2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生物制品偏差报告应尽快提交，且必须在获得</w:t>
      </w:r>
      <w:r>
        <w:rPr>
          <w:rFonts w:hint="eastAsia" w:ascii="宋体" w:hAnsi="宋体" w:eastAsia="宋体"/>
          <w:lang w:eastAsia="zh-CN"/>
        </w:rPr>
        <w:t>“</w:t>
      </w:r>
      <w:r>
        <w:rPr>
          <w:rFonts w:hint="eastAsia" w:eastAsia="宋体"/>
          <w:snapToGrid w:val="0"/>
          <w:lang w:eastAsia="zh-CN"/>
        </w:rPr>
        <w:t>合理表明</w:t>
      </w:r>
      <w:r>
        <w:rPr>
          <w:rFonts w:hint="eastAsia" w:ascii="宋体" w:hAnsi="宋体" w:eastAsia="宋体"/>
          <w:lang w:eastAsia="zh-CN"/>
        </w:rPr>
        <w:t>”</w:t>
      </w:r>
      <w:r>
        <w:rPr>
          <w:rFonts w:hint="eastAsia" w:eastAsia="宋体"/>
          <w:snapToGrid w:val="0"/>
          <w:lang w:eastAsia="zh-CN"/>
        </w:rPr>
        <w:t>已发生可报告事件的信息之日起45个日历日内提交（《美国联邦法规》第21篇第600.14和606.171节）。</w:t>
      </w:r>
    </w:p>
    <w:p w14:paraId="07B8BA0A">
      <w:pPr>
        <w:pStyle w:val="7"/>
        <w:autoSpaceDE/>
        <w:autoSpaceDN/>
        <w:snapToGrid w:val="0"/>
        <w:ind w:firstLine="480" w:firstLineChars="200"/>
        <w:jc w:val="both"/>
        <w:rPr>
          <w:rFonts w:eastAsia="宋体"/>
          <w:snapToGrid w:val="0"/>
          <w:lang w:eastAsia="zh-CN"/>
        </w:rPr>
      </w:pPr>
    </w:p>
    <w:p w14:paraId="6453AA2F">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存在生产工艺偏差时，可能需要生物制品偏差报告。例如，如果存在可能影响经PMA批准的分布式骨移植组合产品中重组骨形态发生蛋白的纯度生产偏差，则需要BPRD（参见《美国联邦法规》第21篇第4.102（c）（3）（i）和600.14节）。</w:t>
      </w:r>
    </w:p>
    <w:p w14:paraId="77EF6F2B">
      <w:pPr>
        <w:autoSpaceDE/>
        <w:autoSpaceDN/>
        <w:snapToGrid w:val="0"/>
        <w:jc w:val="both"/>
        <w:rPr>
          <w:rFonts w:eastAsia="宋体"/>
          <w:snapToGrid w:val="0"/>
          <w:sz w:val="24"/>
          <w:szCs w:val="24"/>
          <w:lang w:eastAsia="zh-CN"/>
        </w:rPr>
      </w:pPr>
      <w:r>
        <w:rPr>
          <w:rFonts w:hint="eastAsia" w:eastAsia="宋体"/>
          <w:snapToGrid w:val="0"/>
          <w:sz w:val="21"/>
          <w:szCs w:val="21"/>
          <w:lang w:eastAsia="zh-CN"/>
        </w:rPr>
        <w:br w:type="page"/>
      </w:r>
    </w:p>
    <w:p w14:paraId="0E34373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触发生物制品偏差报告的事件可以与任何组成部分有关。例如，如果BLA批准的分销疫苗预充式注射器包含不符合所需材料质量标准的注射器组件，且该偏差可能影响疫苗的安全性、纯度或效价，则需要生物制品偏差报告（参见《美国联邦法规》第21篇第4.102（a）和600.14节）。</w:t>
      </w:r>
    </w:p>
    <w:p w14:paraId="3ACBB0B3">
      <w:pPr>
        <w:pStyle w:val="7"/>
        <w:autoSpaceDE/>
        <w:autoSpaceDN/>
        <w:snapToGrid w:val="0"/>
        <w:jc w:val="both"/>
        <w:rPr>
          <w:rFonts w:eastAsia="宋体"/>
          <w:snapToGrid w:val="0"/>
          <w:lang w:eastAsia="zh-CN"/>
        </w:rPr>
      </w:pPr>
    </w:p>
    <w:p w14:paraId="57D0FEFB">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更正和移除报告（参见《美国联邦法规》第21篇第806.10节）</w:t>
      </w:r>
    </w:p>
    <w:p w14:paraId="0A75F9CC">
      <w:pPr>
        <w:autoSpaceDE/>
        <w:autoSpaceDN/>
        <w:snapToGrid w:val="0"/>
        <w:jc w:val="both"/>
        <w:rPr>
          <w:rFonts w:eastAsia="宋体"/>
          <w:snapToGrid w:val="0"/>
          <w:sz w:val="24"/>
          <w:szCs w:val="24"/>
          <w:lang w:eastAsia="zh-CN"/>
        </w:rPr>
      </w:pPr>
    </w:p>
    <w:p w14:paraId="4F7702E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更正和移除报告要求适用于包含器械组成部分的组合产品（《美国联邦法规》第21篇第4.102（b）（1）、（c）（1）（iii）和806.10节）。</w:t>
      </w:r>
    </w:p>
    <w:p w14:paraId="5E7F0BF4">
      <w:pPr>
        <w:pStyle w:val="7"/>
        <w:autoSpaceDE/>
        <w:autoSpaceDN/>
        <w:snapToGrid w:val="0"/>
        <w:jc w:val="both"/>
        <w:rPr>
          <w:rFonts w:eastAsia="宋体"/>
          <w:snapToGrid w:val="0"/>
          <w:lang w:eastAsia="zh-CN"/>
        </w:rPr>
      </w:pPr>
    </w:p>
    <w:p w14:paraId="19D7C02A">
      <w:pPr>
        <w:pStyle w:val="7"/>
        <w:autoSpaceDE/>
        <w:autoSpaceDN/>
        <w:snapToGrid w:val="0"/>
        <w:jc w:val="both"/>
        <w:rPr>
          <w:rFonts w:eastAsia="宋体"/>
          <w:snapToGrid w:val="0"/>
          <w:lang w:eastAsia="zh-CN"/>
        </w:rPr>
      </w:pPr>
      <w:r>
        <w:rPr>
          <w:rFonts w:hint="eastAsia" w:eastAsia="宋体"/>
          <w:snapToGrid w:val="0"/>
          <w:lang w:eastAsia="zh-CN"/>
        </w:rPr>
        <w:t>此类组合产品的组合产品申请人必须提交更正和移除报告：</w:t>
      </w:r>
    </w:p>
    <w:p w14:paraId="1FDDD992">
      <w:pPr>
        <w:pStyle w:val="7"/>
        <w:autoSpaceDE/>
        <w:autoSpaceDN/>
        <w:snapToGrid w:val="0"/>
        <w:jc w:val="both"/>
        <w:rPr>
          <w:rFonts w:eastAsia="宋体"/>
          <w:snapToGrid w:val="0"/>
          <w:lang w:eastAsia="zh-CN"/>
        </w:rPr>
      </w:pPr>
    </w:p>
    <w:p w14:paraId="45384951">
      <w:pPr>
        <w:pStyle w:val="24"/>
        <w:numPr>
          <w:ilvl w:val="0"/>
          <w:numId w:val="12"/>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在开始更正或移除的10个工作日内，以便</w:t>
      </w:r>
    </w:p>
    <w:p w14:paraId="546C91EB">
      <w:pPr>
        <w:pStyle w:val="24"/>
        <w:numPr>
          <w:ilvl w:val="0"/>
          <w:numId w:val="12"/>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lang w:eastAsia="zh-CN"/>
        </w:rPr>
        <w:t>“</w:t>
      </w:r>
      <w:r>
        <w:rPr>
          <w:rFonts w:hint="eastAsia" w:eastAsia="宋体"/>
          <w:snapToGrid w:val="0"/>
          <w:sz w:val="24"/>
          <w:szCs w:val="24"/>
          <w:lang w:eastAsia="zh-CN"/>
        </w:rPr>
        <w:t>降低【产品】对健康造成的风险】</w:t>
      </w:r>
      <w:r>
        <w:rPr>
          <w:rFonts w:hint="eastAsia" w:ascii="宋体" w:hAnsi="宋体" w:eastAsia="宋体"/>
          <w:sz w:val="24"/>
          <w:lang w:eastAsia="zh-CN"/>
        </w:rPr>
        <w:t>”</w:t>
      </w:r>
      <w:r>
        <w:rPr>
          <w:rFonts w:hint="eastAsia" w:eastAsia="宋体"/>
          <w:snapToGrid w:val="0"/>
          <w:sz w:val="24"/>
          <w:szCs w:val="24"/>
          <w:lang w:eastAsia="zh-CN"/>
        </w:rPr>
        <w:t>或</w:t>
      </w:r>
    </w:p>
    <w:p w14:paraId="3F8B61AC">
      <w:pPr>
        <w:pStyle w:val="24"/>
        <w:numPr>
          <w:ilvl w:val="0"/>
          <w:numId w:val="12"/>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ascii="宋体" w:hAnsi="宋体" w:eastAsia="宋体"/>
          <w:sz w:val="24"/>
          <w:lang w:eastAsia="zh-CN"/>
        </w:rPr>
        <w:t>“</w:t>
      </w:r>
      <w:r>
        <w:rPr>
          <w:rFonts w:hint="eastAsia" w:eastAsia="宋体"/>
          <w:snapToGrid w:val="0"/>
          <w:sz w:val="24"/>
          <w:szCs w:val="24"/>
          <w:lang w:eastAsia="zh-CN"/>
        </w:rPr>
        <w:t>对可能对健康造成危害的【产品】违反【FD&amp;C法案】的行为进行补救</w:t>
      </w:r>
      <w:r>
        <w:rPr>
          <w:rFonts w:hint="eastAsia" w:ascii="宋体" w:hAnsi="宋体" w:eastAsia="宋体"/>
          <w:sz w:val="24"/>
          <w:lang w:eastAsia="zh-CN"/>
        </w:rPr>
        <w:t>”</w:t>
      </w:r>
      <w:r>
        <w:rPr>
          <w:rFonts w:hint="eastAsia" w:eastAsia="宋体"/>
          <w:snapToGrid w:val="0"/>
          <w:sz w:val="24"/>
          <w:szCs w:val="24"/>
          <w:lang w:eastAsia="zh-CN"/>
        </w:rPr>
        <w:t>（《美国联邦法规》第21篇806.10节）。</w:t>
      </w:r>
    </w:p>
    <w:p w14:paraId="72177402">
      <w:pPr>
        <w:pStyle w:val="24"/>
        <w:tabs>
          <w:tab w:val="left" w:pos="911"/>
        </w:tabs>
        <w:autoSpaceDE/>
        <w:autoSpaceDN/>
        <w:snapToGrid w:val="0"/>
        <w:ind w:left="920" w:firstLine="0"/>
        <w:jc w:val="both"/>
        <w:rPr>
          <w:rFonts w:eastAsia="宋体"/>
          <w:snapToGrid w:val="0"/>
          <w:sz w:val="24"/>
          <w:szCs w:val="24"/>
          <w:lang w:eastAsia="zh-CN"/>
        </w:rPr>
      </w:pPr>
    </w:p>
    <w:p w14:paraId="5BFE0405">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更正</w:t>
      </w:r>
      <w:r>
        <w:rPr>
          <w:rFonts w:hint="eastAsia" w:eastAsia="宋体"/>
          <w:snapToGrid w:val="0"/>
          <w:lang w:eastAsia="zh-CN"/>
        </w:rPr>
        <w:t>是指对【产品】进行的任何维修、改装、调整、再贴标、销毁或检验（包括患者监测），而无需将其从使用地点转移至其他地点（《美国联邦法规》第21篇806.2（d）节）。</w:t>
      </w:r>
    </w:p>
    <w:p w14:paraId="6D551616">
      <w:pPr>
        <w:pStyle w:val="7"/>
        <w:autoSpaceDE/>
        <w:autoSpaceDN/>
        <w:snapToGrid w:val="0"/>
        <w:ind w:left="880" w:leftChars="400" w:firstLine="480" w:firstLineChars="200"/>
        <w:jc w:val="both"/>
        <w:rPr>
          <w:rFonts w:eastAsia="宋体"/>
          <w:snapToGrid w:val="0"/>
          <w:lang w:eastAsia="zh-CN"/>
        </w:rPr>
      </w:pPr>
    </w:p>
    <w:p w14:paraId="700A3999">
      <w:pPr>
        <w:pStyle w:val="7"/>
        <w:autoSpaceDE/>
        <w:autoSpaceDN/>
        <w:snapToGrid w:val="0"/>
        <w:ind w:left="880" w:leftChars="400" w:firstLine="480" w:firstLineChars="200"/>
        <w:jc w:val="both"/>
        <w:rPr>
          <w:rFonts w:eastAsia="宋体"/>
          <w:snapToGrid w:val="0"/>
          <w:lang w:eastAsia="zh-CN"/>
        </w:rPr>
      </w:pPr>
      <w:r>
        <w:rPr>
          <w:rFonts w:hint="eastAsia" w:eastAsia="宋体"/>
          <w:snapToGrid w:val="0"/>
          <w:u w:val="single"/>
          <w:lang w:eastAsia="zh-CN"/>
        </w:rPr>
        <w:t>移除</w:t>
      </w:r>
      <w:r>
        <w:rPr>
          <w:rFonts w:hint="eastAsia" w:eastAsia="宋体"/>
          <w:snapToGrid w:val="0"/>
          <w:lang w:eastAsia="zh-CN"/>
        </w:rPr>
        <w:t>是指将【产品】从其使用地点转移至其他地点以便进行维修、改装、调整、再贴标、销毁或检验（《美国联邦法规》第21篇806.2（j）节）。</w:t>
      </w:r>
    </w:p>
    <w:p w14:paraId="78ACAD48">
      <w:pPr>
        <w:pStyle w:val="7"/>
        <w:autoSpaceDE/>
        <w:autoSpaceDN/>
        <w:snapToGrid w:val="0"/>
        <w:ind w:left="880" w:leftChars="400"/>
        <w:jc w:val="both"/>
        <w:rPr>
          <w:rFonts w:eastAsia="宋体"/>
          <w:snapToGrid w:val="0"/>
          <w:lang w:eastAsia="zh-CN"/>
        </w:rPr>
      </w:pPr>
    </w:p>
    <w:p w14:paraId="7A80C0C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例如，从市场上移除组合产品以解决对用户造成伤害风险的设计问题或从市场上移除可能因污染物导致患者感染或不良反应的产品时，需要此报告（参见《美国联邦法规》第21篇4.102和806.10节）。</w:t>
      </w:r>
    </w:p>
    <w:p w14:paraId="0C24A059">
      <w:pPr>
        <w:pStyle w:val="7"/>
        <w:autoSpaceDE/>
        <w:autoSpaceDN/>
        <w:snapToGrid w:val="0"/>
        <w:ind w:firstLine="480" w:firstLineChars="200"/>
        <w:jc w:val="both"/>
        <w:rPr>
          <w:rFonts w:eastAsia="宋体"/>
          <w:snapToGrid w:val="0"/>
          <w:lang w:eastAsia="zh-CN"/>
        </w:rPr>
      </w:pPr>
    </w:p>
    <w:p w14:paraId="0099F0B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必须向FDA提交一份书面报告，说明组合产品的任何可报告更正或移除（参见《美国联邦法规》第21篇第4.102（b）和（c）节），除非已通过组合产品所需ICSR提供了有关更正或移除的信息，在这种情况下，则不需要单独的更正或移除报告（参见《美国联邦法规》第21篇第806.10节）。</w:t>
      </w:r>
    </w:p>
    <w:p w14:paraId="409E79C6">
      <w:pPr>
        <w:pStyle w:val="7"/>
        <w:autoSpaceDE/>
        <w:autoSpaceDN/>
        <w:snapToGrid w:val="0"/>
        <w:ind w:firstLine="480" w:firstLineChars="200"/>
        <w:jc w:val="both"/>
        <w:rPr>
          <w:rFonts w:eastAsia="宋体"/>
          <w:snapToGrid w:val="0"/>
          <w:lang w:eastAsia="zh-CN"/>
        </w:rPr>
      </w:pPr>
    </w:p>
    <w:p w14:paraId="2BDFD92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关于即使在提交更正或移除报告后仍有义务继续符合所有PMSR要求的注释请参见第IV.A.2节。</w:t>
      </w:r>
    </w:p>
    <w:p w14:paraId="60BE9C2F">
      <w:pPr>
        <w:pStyle w:val="7"/>
        <w:autoSpaceDE/>
        <w:autoSpaceDN/>
        <w:snapToGrid w:val="0"/>
        <w:jc w:val="both"/>
        <w:rPr>
          <w:rFonts w:eastAsia="宋体"/>
          <w:snapToGrid w:val="0"/>
          <w:lang w:eastAsia="zh-CN"/>
        </w:rPr>
      </w:pPr>
    </w:p>
    <w:p w14:paraId="4CFA9012">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14495EAC">
      <w:pPr>
        <w:autoSpaceDE/>
        <w:autoSpaceDN/>
        <w:snapToGrid w:val="0"/>
        <w:jc w:val="both"/>
        <w:rPr>
          <w:rFonts w:eastAsia="宋体"/>
          <w:snapToGrid w:val="0"/>
          <w:sz w:val="24"/>
          <w:szCs w:val="24"/>
          <w:lang w:eastAsia="zh-CN"/>
        </w:rPr>
      </w:pPr>
    </w:p>
    <w:p w14:paraId="1861BAAB">
      <w:pPr>
        <w:pStyle w:val="3"/>
        <w:autoSpaceDE/>
        <w:autoSpaceDN/>
        <w:spacing w:before="0" w:beforeLines="0" w:line="240" w:lineRule="auto"/>
        <w:ind w:left="1442" w:leftChars="400" w:hanging="562"/>
        <w:rPr>
          <w:snapToGrid w:val="0"/>
          <w:szCs w:val="24"/>
          <w:lang w:eastAsia="zh-CN"/>
        </w:rPr>
      </w:pPr>
      <w:bookmarkStart w:id="26" w:name="_Toc97551504"/>
      <w:bookmarkStart w:id="27" w:name="_Toc95145703"/>
      <w:r>
        <w:rPr>
          <w:rFonts w:hint="eastAsia"/>
          <w:snapToGrid w:val="0"/>
          <w:szCs w:val="24"/>
          <w:lang w:eastAsia="zh-CN"/>
        </w:rPr>
        <w:t>C.</w:t>
      </w:r>
      <w:r>
        <w:rPr>
          <w:rFonts w:hint="eastAsia"/>
          <w:snapToGrid w:val="0"/>
          <w:szCs w:val="24"/>
          <w:lang w:eastAsia="zh-CN"/>
        </w:rPr>
        <w:tab/>
      </w:r>
      <w:r>
        <w:rPr>
          <w:rFonts w:hint="eastAsia"/>
          <w:snapToGrid w:val="0"/>
          <w:szCs w:val="24"/>
          <w:lang w:eastAsia="zh-CN"/>
        </w:rPr>
        <w:t>组合产品申请人的简化报告</w:t>
      </w:r>
      <w:bookmarkEnd w:id="26"/>
      <w:bookmarkEnd w:id="27"/>
    </w:p>
    <w:p w14:paraId="0B6788F5">
      <w:pPr>
        <w:autoSpaceDE/>
        <w:autoSpaceDN/>
        <w:snapToGrid w:val="0"/>
        <w:jc w:val="both"/>
        <w:rPr>
          <w:rFonts w:eastAsia="宋体"/>
          <w:snapToGrid w:val="0"/>
          <w:sz w:val="24"/>
          <w:szCs w:val="24"/>
          <w:lang w:eastAsia="zh-CN"/>
        </w:rPr>
      </w:pPr>
    </w:p>
    <w:p w14:paraId="53853CD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根据《美国联邦法规》第21篇第4.102（b）和（c）节，组合产品申请人可提交一份报告，以符合一项以上的报告要求，如果：</w:t>
      </w:r>
    </w:p>
    <w:p w14:paraId="1B4B9CC4">
      <w:pPr>
        <w:pStyle w:val="7"/>
        <w:autoSpaceDE/>
        <w:autoSpaceDN/>
        <w:snapToGrid w:val="0"/>
        <w:jc w:val="both"/>
        <w:rPr>
          <w:rFonts w:eastAsia="宋体"/>
          <w:snapToGrid w:val="0"/>
          <w:lang w:eastAsia="zh-CN"/>
        </w:rPr>
      </w:pPr>
    </w:p>
    <w:p w14:paraId="214836A5">
      <w:pPr>
        <w:pStyle w:val="24"/>
        <w:numPr>
          <w:ilvl w:val="0"/>
          <w:numId w:val="1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这些报告可以相同的方式提交，以及</w:t>
      </w:r>
    </w:p>
    <w:p w14:paraId="45D99B7B">
      <w:pPr>
        <w:pStyle w:val="24"/>
        <w:tabs>
          <w:tab w:val="left" w:pos="911"/>
        </w:tabs>
        <w:autoSpaceDE/>
        <w:autoSpaceDN/>
        <w:snapToGrid w:val="0"/>
        <w:ind w:left="920" w:firstLine="0"/>
        <w:jc w:val="both"/>
        <w:rPr>
          <w:rFonts w:eastAsia="宋体"/>
          <w:snapToGrid w:val="0"/>
          <w:sz w:val="24"/>
          <w:szCs w:val="24"/>
          <w:lang w:eastAsia="zh-CN"/>
        </w:rPr>
      </w:pPr>
    </w:p>
    <w:p w14:paraId="4F5810E2">
      <w:pPr>
        <w:pStyle w:val="24"/>
        <w:numPr>
          <w:ilvl w:val="0"/>
          <w:numId w:val="1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合并报告可满足所有适用的报告要求，包括所有提交时间表。</w:t>
      </w:r>
    </w:p>
    <w:p w14:paraId="41470662">
      <w:pPr>
        <w:pStyle w:val="24"/>
        <w:tabs>
          <w:tab w:val="left" w:pos="911"/>
        </w:tabs>
        <w:autoSpaceDE/>
        <w:autoSpaceDN/>
        <w:snapToGrid w:val="0"/>
        <w:ind w:left="920" w:firstLine="0"/>
        <w:jc w:val="both"/>
        <w:rPr>
          <w:rFonts w:eastAsia="宋体"/>
          <w:snapToGrid w:val="0"/>
          <w:sz w:val="24"/>
          <w:szCs w:val="24"/>
          <w:lang w:eastAsia="zh-CN"/>
        </w:rPr>
      </w:pPr>
    </w:p>
    <w:p w14:paraId="5D1E79C8">
      <w:pPr>
        <w:pStyle w:val="7"/>
        <w:autoSpaceDE/>
        <w:autoSpaceDN/>
        <w:snapToGrid w:val="0"/>
        <w:ind w:firstLine="480" w:firstLineChars="200"/>
        <w:jc w:val="both"/>
        <w:rPr>
          <w:rFonts w:eastAsia="宋体"/>
          <w:snapToGrid w:val="0"/>
          <w:lang w:eastAsia="zh-CN"/>
        </w:rPr>
      </w:pPr>
      <w:r>
        <w:rPr>
          <w:rFonts w:hint="eastAsia" w:ascii="宋体" w:hAnsi="宋体" w:eastAsia="宋体"/>
          <w:lang w:eastAsia="zh-CN"/>
        </w:rPr>
        <w:t>“</w:t>
      </w:r>
      <w:r>
        <w:rPr>
          <w:rFonts w:hint="eastAsia" w:eastAsia="宋体"/>
          <w:snapToGrid w:val="0"/>
          <w:lang w:eastAsia="zh-CN"/>
        </w:rPr>
        <w:t>以相同的方式</w:t>
      </w:r>
      <w:r>
        <w:rPr>
          <w:rFonts w:hint="eastAsia" w:ascii="宋体" w:hAnsi="宋体" w:eastAsia="宋体"/>
          <w:lang w:eastAsia="zh-CN"/>
        </w:rPr>
        <w:t>”</w:t>
      </w:r>
      <w:r>
        <w:rPr>
          <w:rFonts w:hint="eastAsia" w:eastAsia="宋体"/>
          <w:snapToGrid w:val="0"/>
          <w:lang w:eastAsia="zh-CN"/>
        </w:rPr>
        <w:t>是指报告以相同的方式（例如，电子、纸质提交）提交至FDA内部同一接收组（例如，通过公共电子网关）。</w:t>
      </w:r>
    </w:p>
    <w:p w14:paraId="7FB0D7D0">
      <w:pPr>
        <w:pStyle w:val="7"/>
        <w:autoSpaceDE/>
        <w:autoSpaceDN/>
        <w:snapToGrid w:val="0"/>
        <w:jc w:val="both"/>
        <w:rPr>
          <w:rFonts w:eastAsia="宋体"/>
          <w:snapToGrid w:val="0"/>
          <w:lang w:eastAsia="zh-CN"/>
        </w:rPr>
      </w:pPr>
    </w:p>
    <w:p w14:paraId="5236A043">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如下文第V.A.3节所述，此类简化报告可用于提交多种类型ICSR、ICSR、更正和移除报告以及现场警示报告和生物制品偏差报告。</w:t>
      </w:r>
    </w:p>
    <w:p w14:paraId="478F4AF2">
      <w:pPr>
        <w:pStyle w:val="7"/>
        <w:autoSpaceDE/>
        <w:autoSpaceDN/>
        <w:snapToGrid w:val="0"/>
        <w:jc w:val="both"/>
        <w:rPr>
          <w:rFonts w:eastAsia="宋体"/>
          <w:snapToGrid w:val="0"/>
          <w:lang w:eastAsia="zh-CN"/>
        </w:rPr>
      </w:pPr>
    </w:p>
    <w:p w14:paraId="145B562F">
      <w:pPr>
        <w:pStyle w:val="3"/>
        <w:autoSpaceDE/>
        <w:autoSpaceDN/>
        <w:spacing w:before="0" w:beforeLines="0" w:line="240" w:lineRule="auto"/>
        <w:ind w:left="1442" w:leftChars="400" w:hanging="562"/>
        <w:rPr>
          <w:snapToGrid w:val="0"/>
          <w:szCs w:val="24"/>
          <w:lang w:eastAsia="zh-CN"/>
        </w:rPr>
      </w:pPr>
      <w:bookmarkStart w:id="28" w:name="_Toc97551505"/>
      <w:bookmarkStart w:id="29" w:name="_Toc95145704"/>
      <w:r>
        <w:rPr>
          <w:rFonts w:hint="eastAsia"/>
          <w:snapToGrid w:val="0"/>
          <w:szCs w:val="24"/>
          <w:lang w:eastAsia="zh-CN"/>
        </w:rPr>
        <w:t>D.</w:t>
      </w:r>
      <w:r>
        <w:rPr>
          <w:rFonts w:hint="eastAsia"/>
          <w:snapToGrid w:val="0"/>
          <w:szCs w:val="24"/>
          <w:lang w:eastAsia="zh-CN"/>
        </w:rPr>
        <w:tab/>
      </w:r>
      <w:r>
        <w:rPr>
          <w:rFonts w:hint="eastAsia"/>
          <w:snapToGrid w:val="0"/>
          <w:szCs w:val="24"/>
          <w:lang w:eastAsia="zh-CN"/>
        </w:rPr>
        <w:t>组成部分申请人之间的信息共享</w:t>
      </w:r>
      <w:bookmarkEnd w:id="28"/>
      <w:bookmarkEnd w:id="29"/>
    </w:p>
    <w:p w14:paraId="45DB7E67">
      <w:pPr>
        <w:autoSpaceDE/>
        <w:autoSpaceDN/>
        <w:snapToGrid w:val="0"/>
        <w:jc w:val="both"/>
        <w:rPr>
          <w:rFonts w:eastAsia="宋体"/>
          <w:snapToGrid w:val="0"/>
          <w:sz w:val="24"/>
          <w:szCs w:val="24"/>
          <w:lang w:eastAsia="zh-CN"/>
        </w:rPr>
      </w:pPr>
    </w:p>
    <w:p w14:paraId="2012DA5A">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信息共享要求适用于组成部分申请人（《美国联邦法规》第21篇第4.103节）。根据《美国联邦法规》第21篇第4.103节，组成部分申请人必须共享信息：</w:t>
      </w:r>
    </w:p>
    <w:p w14:paraId="64D47CA9">
      <w:pPr>
        <w:pStyle w:val="7"/>
        <w:autoSpaceDE/>
        <w:autoSpaceDN/>
        <w:snapToGrid w:val="0"/>
        <w:jc w:val="both"/>
        <w:rPr>
          <w:rFonts w:eastAsia="宋体"/>
          <w:snapToGrid w:val="0"/>
          <w:lang w:eastAsia="zh-CN"/>
        </w:rPr>
      </w:pPr>
    </w:p>
    <w:p w14:paraId="149C2FC8">
      <w:pPr>
        <w:pStyle w:val="24"/>
        <w:numPr>
          <w:ilvl w:val="0"/>
          <w:numId w:val="14"/>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不迟于收到后5天；</w:t>
      </w:r>
    </w:p>
    <w:p w14:paraId="64A199E3">
      <w:pPr>
        <w:pStyle w:val="24"/>
        <w:numPr>
          <w:ilvl w:val="0"/>
          <w:numId w:val="14"/>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与同一组合产品有关的其他组成部分申请人；</w:t>
      </w:r>
    </w:p>
    <w:p w14:paraId="53809754">
      <w:pPr>
        <w:pStyle w:val="24"/>
        <w:numPr>
          <w:ilvl w:val="0"/>
          <w:numId w:val="14"/>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与组合产品相关的事件，涉及</w:t>
      </w:r>
    </w:p>
    <w:p w14:paraId="087883B4">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如《美国联邦法规》第21篇第803.3节所述的死亡或重伤，或</w:t>
      </w:r>
    </w:p>
    <w:p w14:paraId="515B6A26">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如《美国联邦法规》第21篇第314.80（a）和600.80（a）节所述的不良经历。</w:t>
      </w:r>
    </w:p>
    <w:p w14:paraId="5EB87250">
      <w:pPr>
        <w:pStyle w:val="24"/>
        <w:autoSpaceDE/>
        <w:autoSpaceDN/>
        <w:snapToGrid w:val="0"/>
        <w:ind w:left="1800" w:firstLine="0"/>
        <w:jc w:val="both"/>
        <w:rPr>
          <w:rFonts w:eastAsia="宋体"/>
          <w:snapToGrid w:val="0"/>
          <w:sz w:val="24"/>
          <w:szCs w:val="24"/>
          <w:lang w:eastAsia="zh-CN"/>
        </w:rPr>
      </w:pPr>
    </w:p>
    <w:p w14:paraId="23604D5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无论事件是预期或非预期，无论组成部分申请人是否认为仅涉及其组成部分，都必须共享该信息（参见《美国联邦法规》第21篇第4.103节）。</w:t>
      </w:r>
      <w:r>
        <w:rPr>
          <w:rFonts w:hint="eastAsia" w:ascii="宋体" w:hAnsi="宋体" w:eastAsia="宋体"/>
          <w:lang w:eastAsia="zh-CN"/>
        </w:rPr>
        <w:t>“</w:t>
      </w:r>
      <w:r>
        <w:rPr>
          <w:rFonts w:hint="eastAsia" w:eastAsia="宋体"/>
          <w:snapToGrid w:val="0"/>
          <w:lang w:eastAsia="zh-CN"/>
        </w:rPr>
        <w:t>不良经历</w:t>
      </w:r>
      <w:r>
        <w:rPr>
          <w:rFonts w:hint="eastAsia" w:ascii="宋体" w:hAnsi="宋体" w:eastAsia="宋体"/>
          <w:lang w:eastAsia="zh-CN"/>
        </w:rPr>
        <w:t>”</w:t>
      </w:r>
      <w:r>
        <w:rPr>
          <w:rFonts w:hint="eastAsia" w:eastAsia="宋体"/>
          <w:snapToGrid w:val="0"/>
          <w:lang w:eastAsia="zh-CN"/>
        </w:rPr>
        <w:t>的定义包括死亡和重伤（参见《美国联邦法规》第21篇第314.80（a）和600.80（a）节）。然而，其他事件也可能构成不良经历（参见脚注21和相关文本）。</w:t>
      </w:r>
    </w:p>
    <w:p w14:paraId="2E722234">
      <w:pPr>
        <w:pStyle w:val="7"/>
        <w:autoSpaceDE/>
        <w:autoSpaceDN/>
        <w:snapToGrid w:val="0"/>
        <w:ind w:firstLine="480" w:firstLineChars="200"/>
        <w:jc w:val="both"/>
        <w:rPr>
          <w:rFonts w:eastAsia="宋体"/>
          <w:snapToGrid w:val="0"/>
          <w:lang w:eastAsia="zh-CN"/>
        </w:rPr>
      </w:pPr>
    </w:p>
    <w:p w14:paraId="532F038C">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《美国联邦法规》第21篇第4.103节要求仅共享收到的初始信息。</w:t>
      </w:r>
      <w:r>
        <w:rPr>
          <w:rFonts w:hint="eastAsia" w:eastAsia="宋体"/>
          <w:snapToGrid w:val="0"/>
          <w:lang w:eastAsia="zh-CN"/>
        </w:rPr>
        <w:t>为符合第4.103节的规定，组成部分申请人仅需共享其收到的有关事件初始信息，并且只需将该信息转发给其他组成部分申请人即可。不需要为其他组成部分申请人编写事件报告或分析，也不需要共享收到的事件额外信息，虽然FDA建议持续协调以助于确保向FDA提供知情、有效的报告。</w:t>
      </w:r>
    </w:p>
    <w:p w14:paraId="6199A2AE">
      <w:pPr>
        <w:pStyle w:val="7"/>
        <w:autoSpaceDE/>
        <w:autoSpaceDN/>
        <w:snapToGrid w:val="0"/>
        <w:ind w:firstLine="480" w:firstLineChars="200"/>
        <w:jc w:val="both"/>
        <w:rPr>
          <w:rFonts w:eastAsia="宋体"/>
          <w:snapToGrid w:val="0"/>
          <w:lang w:eastAsia="zh-CN"/>
        </w:rPr>
      </w:pPr>
    </w:p>
    <w:p w14:paraId="4708A88A">
      <w:pPr>
        <w:autoSpaceDE/>
        <w:autoSpaceDN/>
        <w:snapToGrid w:val="0"/>
        <w:ind w:firstLine="480" w:firstLineChars="200"/>
        <w:jc w:val="both"/>
        <w:rPr>
          <w:rFonts w:eastAsia="宋体"/>
          <w:sz w:val="24"/>
          <w:lang w:eastAsia="zh-CN"/>
        </w:rPr>
      </w:pPr>
      <w:r>
        <w:rPr>
          <w:rFonts w:hint="eastAsia" w:eastAsia="宋体"/>
          <w:i/>
          <w:snapToGrid w:val="0"/>
          <w:sz w:val="24"/>
          <w:szCs w:val="24"/>
          <w:lang w:eastAsia="zh-CN"/>
        </w:rPr>
        <w:t>无需共享其他事件的信息。</w:t>
      </w:r>
      <w:r>
        <w:rPr>
          <w:rFonts w:hint="eastAsia" w:eastAsia="宋体"/>
          <w:snapToGrid w:val="0"/>
          <w:sz w:val="24"/>
          <w:szCs w:val="24"/>
          <w:lang w:eastAsia="zh-CN"/>
        </w:rPr>
        <w:t>如果组成部分申请人收到一份不涉及死亡、重伤或其他不良经历的事件相关信息，则根据本规则，组成部分申请人没有义务与组合产品的其他组成部分申请人共享该信息。</w:t>
      </w:r>
    </w:p>
    <w:p w14:paraId="2803EFD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br w:type="page"/>
      </w:r>
    </w:p>
    <w:p w14:paraId="65C45C96">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其他PMSR职责适用。</w:t>
      </w:r>
      <w:r>
        <w:rPr>
          <w:rFonts w:hint="eastAsia" w:eastAsia="宋体"/>
          <w:snapToGrid w:val="0"/>
          <w:lang w:eastAsia="zh-CN"/>
        </w:rPr>
        <w:t>除相互共享信息外，组成部分申请人必须按照其各自组成部分适用的PMSR法规要求向FDA报告事件（参见《美国联邦法规》第21篇第4.102（b）节）。向FDA提交的此类报告应说明事件与组成部分和组合产品的整体关系。</w:t>
      </w:r>
    </w:p>
    <w:p w14:paraId="21AC5576">
      <w:pPr>
        <w:pStyle w:val="7"/>
        <w:autoSpaceDE/>
        <w:autoSpaceDN/>
        <w:snapToGrid w:val="0"/>
        <w:ind w:firstLine="480" w:firstLineChars="200"/>
        <w:jc w:val="both"/>
        <w:rPr>
          <w:rFonts w:eastAsia="宋体"/>
          <w:snapToGrid w:val="0"/>
          <w:lang w:eastAsia="zh-CN"/>
        </w:rPr>
      </w:pPr>
    </w:p>
    <w:p w14:paraId="799E2C62">
      <w:pPr>
        <w:pStyle w:val="7"/>
        <w:autoSpaceDE/>
        <w:autoSpaceDN/>
        <w:snapToGrid w:val="0"/>
        <w:jc w:val="both"/>
        <w:rPr>
          <w:rFonts w:eastAsia="宋体"/>
          <w:snapToGrid w:val="0"/>
          <w:lang w:eastAsia="zh-CN"/>
        </w:rPr>
      </w:pPr>
      <w:r>
        <w:rPr>
          <w:rFonts w:hint="eastAsia" w:eastAsia="宋体"/>
          <w:snapToGrid w:val="0"/>
          <w:lang w:eastAsia="zh-CN"/>
        </w:rPr>
        <w:t>示例：</w:t>
      </w:r>
    </w:p>
    <w:p w14:paraId="11EA2742">
      <w:pPr>
        <w:pStyle w:val="7"/>
        <w:autoSpaceDE/>
        <w:autoSpaceDN/>
        <w:snapToGrid w:val="0"/>
        <w:jc w:val="both"/>
        <w:rPr>
          <w:rFonts w:eastAsia="宋体"/>
          <w:snapToGrid w:val="0"/>
          <w:lang w:eastAsia="zh-CN"/>
        </w:rPr>
      </w:pPr>
    </w:p>
    <w:p w14:paraId="58D8169D">
      <w:pPr>
        <w:pStyle w:val="24"/>
        <w:numPr>
          <w:ilvl w:val="0"/>
          <w:numId w:val="1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交叉标签组合产品由一个组成部分申请人根据NDA批件持有的药品组成部分和另一个组成部分申请人根据器械申请上市的器械组成部分组成。药品组成部分申请人收到信息称，该组合产品在使用过程中，患者发生严重皮肤灼伤。药品组成部分申请人必须将其收到的事件初始信息转发给器械组成部分申请人（参见《美国联邦法规》第21篇第4.103节）。如需要，各申请人必须根据其组成部分适用的报告要求向FDA报告该事件。</w:t>
      </w:r>
    </w:p>
    <w:p w14:paraId="2E6D9CD7">
      <w:pPr>
        <w:pStyle w:val="24"/>
        <w:tabs>
          <w:tab w:val="left" w:pos="911"/>
        </w:tabs>
        <w:autoSpaceDE/>
        <w:autoSpaceDN/>
        <w:snapToGrid w:val="0"/>
        <w:ind w:left="920" w:firstLine="0"/>
        <w:jc w:val="both"/>
        <w:rPr>
          <w:rFonts w:eastAsia="宋体"/>
          <w:snapToGrid w:val="0"/>
          <w:sz w:val="24"/>
          <w:szCs w:val="24"/>
          <w:lang w:eastAsia="zh-CN"/>
        </w:rPr>
      </w:pPr>
    </w:p>
    <w:p w14:paraId="54625B85">
      <w:pPr>
        <w:pStyle w:val="24"/>
        <w:numPr>
          <w:ilvl w:val="0"/>
          <w:numId w:val="1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交叉标签组合产品由一个组成部分申请人根据器械申请上市的药品递送器械组成部分和另一个组成部分申请人根据NDA批件持有的药品组成部分组成。器械组成部件申请人收到未导致死亡、重伤或其他不良经历的器械组成部分故障的信息。器械组成部分申请人无需与药品组成部分申请人共享信息，因为未发生重伤、死亡或其他不良经历，但必须根据《美国联邦法规》第21篇第803节的规定向FDA报告该事件。</w:t>
      </w:r>
    </w:p>
    <w:p w14:paraId="202F62E9">
      <w:pPr>
        <w:pStyle w:val="24"/>
        <w:tabs>
          <w:tab w:val="left" w:pos="911"/>
        </w:tabs>
        <w:autoSpaceDE/>
        <w:autoSpaceDN/>
        <w:snapToGrid w:val="0"/>
        <w:ind w:left="920" w:firstLine="0"/>
        <w:jc w:val="both"/>
        <w:rPr>
          <w:rFonts w:eastAsia="宋体"/>
          <w:snapToGrid w:val="0"/>
          <w:sz w:val="24"/>
          <w:szCs w:val="24"/>
          <w:lang w:eastAsia="zh-CN"/>
        </w:rPr>
      </w:pPr>
    </w:p>
    <w:p w14:paraId="390C1F4D">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组成部分状态和信息共享。</w:t>
      </w:r>
      <w:r>
        <w:rPr>
          <w:rFonts w:hint="eastAsia" w:eastAsia="宋体"/>
          <w:snapToGrid w:val="0"/>
          <w:lang w:eastAsia="zh-CN"/>
        </w:rPr>
        <w:t>如上文脚注3所示，如不确定产品是否为组合产品组成部分的申请人可联系OCP。然而，本机构注意到，《美国联邦法规》第21篇第4.103节旨在确保相互合作销售产品的实体之间共享不良事件信息，以助于确保及时、完整地向FDA报告。因此，本机构鼓励此类实体相互共享此类信息，无论此类共享是必需的还是产品必然构成组合产品。</w:t>
      </w:r>
    </w:p>
    <w:p w14:paraId="2CEF3B42">
      <w:pPr>
        <w:pStyle w:val="7"/>
        <w:autoSpaceDE/>
        <w:autoSpaceDN/>
        <w:snapToGrid w:val="0"/>
        <w:jc w:val="both"/>
        <w:rPr>
          <w:rFonts w:eastAsia="宋体"/>
          <w:snapToGrid w:val="0"/>
          <w:lang w:eastAsia="zh-CN"/>
        </w:rPr>
      </w:pPr>
    </w:p>
    <w:p w14:paraId="4C3796BA">
      <w:pPr>
        <w:pStyle w:val="3"/>
        <w:autoSpaceDE/>
        <w:autoSpaceDN/>
        <w:spacing w:before="0" w:beforeLines="0" w:line="240" w:lineRule="auto"/>
        <w:ind w:left="1442" w:leftChars="400" w:hanging="562"/>
        <w:rPr>
          <w:snapToGrid w:val="0"/>
          <w:szCs w:val="24"/>
          <w:lang w:eastAsia="zh-CN"/>
        </w:rPr>
      </w:pPr>
      <w:bookmarkStart w:id="30" w:name="_Toc97551506"/>
      <w:bookmarkStart w:id="31" w:name="_Toc95145705"/>
      <w:r>
        <w:rPr>
          <w:rFonts w:hint="eastAsia"/>
          <w:snapToGrid w:val="0"/>
          <w:szCs w:val="24"/>
          <w:lang w:eastAsia="zh-CN"/>
        </w:rPr>
        <w:t>E.</w:t>
      </w:r>
      <w:r>
        <w:rPr>
          <w:rFonts w:hint="eastAsia"/>
          <w:snapToGrid w:val="0"/>
          <w:szCs w:val="24"/>
          <w:lang w:eastAsia="zh-CN"/>
        </w:rPr>
        <w:tab/>
      </w:r>
      <w:r>
        <w:rPr>
          <w:rFonts w:hint="eastAsia"/>
          <w:snapToGrid w:val="0"/>
          <w:szCs w:val="24"/>
          <w:lang w:eastAsia="zh-CN"/>
        </w:rPr>
        <w:t>组合产品和组成部分申请人的记录保存要求</w:t>
      </w:r>
      <w:bookmarkEnd w:id="30"/>
      <w:bookmarkEnd w:id="31"/>
    </w:p>
    <w:p w14:paraId="1A989526">
      <w:pPr>
        <w:pStyle w:val="7"/>
        <w:autoSpaceDE/>
        <w:autoSpaceDN/>
        <w:snapToGrid w:val="0"/>
        <w:jc w:val="both"/>
        <w:rPr>
          <w:rFonts w:eastAsia="宋体"/>
          <w:snapToGrid w:val="0"/>
          <w:lang w:eastAsia="zh-CN"/>
        </w:rPr>
      </w:pPr>
    </w:p>
    <w:p w14:paraId="0B5F27E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《美国联邦法规》第21篇第4.105节规定组成部分申请人和组合产品申请人的PMSR记录保存要求如下。</w:t>
      </w:r>
    </w:p>
    <w:p w14:paraId="6ACF7750">
      <w:pPr>
        <w:pStyle w:val="7"/>
        <w:autoSpaceDE/>
        <w:autoSpaceDN/>
        <w:snapToGrid w:val="0"/>
        <w:jc w:val="both"/>
        <w:rPr>
          <w:rFonts w:eastAsia="宋体"/>
          <w:snapToGrid w:val="0"/>
          <w:lang w:eastAsia="zh-CN"/>
        </w:rPr>
      </w:pPr>
    </w:p>
    <w:p w14:paraId="3D80BC7D">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659C9E24">
      <w:pPr>
        <w:autoSpaceDE/>
        <w:autoSpaceDN/>
        <w:snapToGrid w:val="0"/>
        <w:jc w:val="both"/>
        <w:rPr>
          <w:rFonts w:eastAsia="宋体"/>
          <w:snapToGrid w:val="0"/>
          <w:sz w:val="24"/>
          <w:szCs w:val="24"/>
          <w:lang w:eastAsia="zh-CN"/>
        </w:rPr>
      </w:pPr>
    </w:p>
    <w:p w14:paraId="73CFF871">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组成部分申请人</w:t>
      </w:r>
    </w:p>
    <w:p w14:paraId="287A5E6D">
      <w:pPr>
        <w:pStyle w:val="7"/>
        <w:autoSpaceDE/>
        <w:autoSpaceDN/>
        <w:snapToGrid w:val="0"/>
        <w:jc w:val="both"/>
        <w:rPr>
          <w:rFonts w:eastAsia="宋体"/>
          <w:snapToGrid w:val="0"/>
          <w:lang w:eastAsia="zh-CN"/>
        </w:rPr>
      </w:pPr>
    </w:p>
    <w:p w14:paraId="46E2B6C0">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组成部分申请人的报告和信息共享要求必须符合单独的记录保存要求。这些记录保存要求如下：</w:t>
      </w:r>
    </w:p>
    <w:p w14:paraId="7402DF3E">
      <w:pPr>
        <w:pStyle w:val="7"/>
        <w:autoSpaceDE/>
        <w:autoSpaceDN/>
        <w:snapToGrid w:val="0"/>
        <w:jc w:val="both"/>
        <w:rPr>
          <w:rFonts w:eastAsia="宋体"/>
          <w:snapToGrid w:val="0"/>
          <w:lang w:eastAsia="zh-CN"/>
        </w:rPr>
      </w:pPr>
    </w:p>
    <w:p w14:paraId="4AC1F568">
      <w:pPr>
        <w:pStyle w:val="24"/>
        <w:numPr>
          <w:ilvl w:val="0"/>
          <w:numId w:val="1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在适用于组成部分类型的法规规定的时间周期内保存报告的相关记录（参见《美国联邦法规》第21篇第4.102（b）和4.105（a）（1）节），以及</w:t>
      </w:r>
    </w:p>
    <w:p w14:paraId="0EC67CA8">
      <w:pPr>
        <w:pStyle w:val="24"/>
        <w:numPr>
          <w:ilvl w:val="0"/>
          <w:numId w:val="1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对于PMSR要求的任何记录，适用于共享信息的组成部分申请人应根据《美国联邦法规》第21篇第4.103节要求的最长时限保存共享信息记录（《美国联邦法规》第21篇第4.105（a）（2）节）。</w:t>
      </w:r>
    </w:p>
    <w:p w14:paraId="34F65C36">
      <w:pPr>
        <w:pStyle w:val="24"/>
        <w:numPr>
          <w:ilvl w:val="0"/>
          <w:numId w:val="1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信息共享记录必须包括：</w:t>
      </w:r>
    </w:p>
    <w:p w14:paraId="4DF1721A">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向其他组成部分申请人提供的信息副本；</w:t>
      </w:r>
    </w:p>
    <w:p w14:paraId="6396AB33">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共享信息的组成部分申请人收到信息的日期；</w:t>
      </w:r>
    </w:p>
    <w:p w14:paraId="3E900E59">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信息共享的日期；以及</w:t>
      </w:r>
    </w:p>
    <w:p w14:paraId="1564FC6F">
      <w:pPr>
        <w:pStyle w:val="24"/>
        <w:numPr>
          <w:ilvl w:val="1"/>
          <w:numId w:val="5"/>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与之共享信息的其他组成部分申请人的名称和地址（参见《美国联邦法规》第21篇第4.103（b）节）。</w:t>
      </w:r>
    </w:p>
    <w:p w14:paraId="33A3E6BE">
      <w:pPr>
        <w:pStyle w:val="24"/>
        <w:autoSpaceDE/>
        <w:autoSpaceDN/>
        <w:snapToGrid w:val="0"/>
        <w:ind w:left="1800" w:firstLine="0"/>
        <w:jc w:val="both"/>
        <w:rPr>
          <w:rFonts w:eastAsia="宋体"/>
          <w:snapToGrid w:val="0"/>
          <w:sz w:val="24"/>
          <w:szCs w:val="24"/>
          <w:lang w:eastAsia="zh-CN"/>
        </w:rPr>
      </w:pPr>
    </w:p>
    <w:p w14:paraId="5A49E803">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示例</w:t>
      </w:r>
      <w:r>
        <w:rPr>
          <w:rFonts w:hint="eastAsia" w:eastAsia="宋体"/>
          <w:i/>
          <w:lang w:eastAsia="zh-CN"/>
        </w:rPr>
        <w:t>。</w:t>
      </w:r>
      <w:r>
        <w:rPr>
          <w:rFonts w:hint="eastAsia" w:eastAsia="宋体"/>
          <w:snapToGrid w:val="0"/>
          <w:lang w:eastAsia="zh-CN"/>
        </w:rPr>
        <w:t>考虑以下与制药公司和医疗公司有关的情形，制药公司持组合产品药品组成部分的NDA，医疗公司持有器械组成部分的PMA：</w:t>
      </w:r>
    </w:p>
    <w:p w14:paraId="2064EDFB">
      <w:pPr>
        <w:pStyle w:val="7"/>
        <w:autoSpaceDE/>
        <w:autoSpaceDN/>
        <w:snapToGrid w:val="0"/>
        <w:ind w:firstLine="480" w:firstLineChars="200"/>
        <w:jc w:val="both"/>
        <w:rPr>
          <w:rFonts w:eastAsia="宋体"/>
          <w:snapToGrid w:val="0"/>
          <w:lang w:eastAsia="zh-CN"/>
        </w:rPr>
      </w:pPr>
    </w:p>
    <w:p w14:paraId="12DAE301">
      <w:pPr>
        <w:pStyle w:val="7"/>
        <w:autoSpaceDE/>
        <w:autoSpaceDN/>
        <w:snapToGrid w:val="0"/>
        <w:jc w:val="both"/>
        <w:rPr>
          <w:rFonts w:eastAsia="宋体"/>
          <w:snapToGrid w:val="0"/>
          <w:lang w:eastAsia="zh-CN"/>
        </w:rPr>
      </w:pPr>
      <w:r>
        <w:rPr>
          <w:rFonts w:hint="eastAsia" w:eastAsia="宋体"/>
          <w:snapToGrid w:val="0"/>
          <w:lang w:eastAsia="zh-CN"/>
        </w:rPr>
        <w:t>制药公司收到不良经历报告，并与医疗公司共享该信息：</w:t>
      </w:r>
    </w:p>
    <w:p w14:paraId="0AC4E132">
      <w:pPr>
        <w:pStyle w:val="7"/>
        <w:autoSpaceDE/>
        <w:autoSpaceDN/>
        <w:snapToGrid w:val="0"/>
        <w:jc w:val="both"/>
        <w:rPr>
          <w:rFonts w:eastAsia="宋体"/>
          <w:snapToGrid w:val="0"/>
          <w:lang w:eastAsia="zh-CN"/>
        </w:rPr>
      </w:pPr>
    </w:p>
    <w:p w14:paraId="013CD80E">
      <w:pPr>
        <w:pStyle w:val="24"/>
        <w:numPr>
          <w:ilvl w:val="0"/>
          <w:numId w:val="1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制药公司必须保存与医疗公司共享信息所需记录，保存期限为自制药公司收到该信息之日起10年，因为适用于制药公司的唯一PMSR记录保存期限为10年（参见《美国联邦法规》第21篇第4.105（a）（2）和314.80（j）节）。</w:t>
      </w:r>
    </w:p>
    <w:p w14:paraId="5B4DA60E">
      <w:pPr>
        <w:pStyle w:val="24"/>
        <w:tabs>
          <w:tab w:val="left" w:pos="911"/>
        </w:tabs>
        <w:autoSpaceDE/>
        <w:autoSpaceDN/>
        <w:snapToGrid w:val="0"/>
        <w:ind w:left="920" w:firstLine="0"/>
        <w:jc w:val="both"/>
        <w:rPr>
          <w:rFonts w:eastAsia="宋体"/>
          <w:snapToGrid w:val="0"/>
          <w:sz w:val="24"/>
          <w:szCs w:val="24"/>
          <w:lang w:eastAsia="zh-CN"/>
        </w:rPr>
      </w:pPr>
    </w:p>
    <w:p w14:paraId="2F26CB0D">
      <w:pPr>
        <w:pStyle w:val="24"/>
        <w:numPr>
          <w:ilvl w:val="0"/>
          <w:numId w:val="1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医疗公司必须在适用于医疗公司的器械PMSR法规规定的时限内保存与事件相关的记录。例如，根据《美国联邦法规》第21篇第803节的记录保存要求，对于故障、重伤或死亡报告，医疗公司需要保存记录，保存时限为事件发生之日起2年或相当于器械预期寿命的时间，</w:t>
      </w:r>
      <w:r>
        <w:rPr>
          <w:rStyle w:val="22"/>
          <w:rFonts w:hint="eastAsia" w:eastAsia="宋体"/>
          <w:snapToGrid w:val="0"/>
          <w:sz w:val="24"/>
          <w:szCs w:val="24"/>
          <w:lang w:eastAsia="zh-CN"/>
        </w:rPr>
        <w:footnoteReference w:id="37"/>
      </w:r>
      <w:r>
        <w:rPr>
          <w:rFonts w:hint="eastAsia" w:eastAsia="宋体"/>
          <w:snapToGrid w:val="0"/>
          <w:sz w:val="24"/>
          <w:szCs w:val="24"/>
          <w:lang w:eastAsia="zh-CN"/>
        </w:rPr>
        <w:t>以较长者为准。</w:t>
      </w:r>
    </w:p>
    <w:p w14:paraId="2AA78360">
      <w:pPr>
        <w:pStyle w:val="24"/>
        <w:tabs>
          <w:tab w:val="left" w:pos="911"/>
        </w:tabs>
        <w:autoSpaceDE/>
        <w:autoSpaceDN/>
        <w:snapToGrid w:val="0"/>
        <w:ind w:left="920" w:firstLine="0"/>
        <w:jc w:val="both"/>
        <w:rPr>
          <w:rFonts w:eastAsia="宋体"/>
          <w:snapToGrid w:val="0"/>
          <w:sz w:val="24"/>
          <w:szCs w:val="24"/>
          <w:lang w:eastAsia="zh-CN"/>
        </w:rPr>
      </w:pPr>
    </w:p>
    <w:p w14:paraId="284E7169">
      <w:pPr>
        <w:pStyle w:val="7"/>
        <w:autoSpaceDE/>
        <w:autoSpaceDN/>
        <w:snapToGrid w:val="0"/>
        <w:jc w:val="both"/>
        <w:rPr>
          <w:rFonts w:eastAsia="宋体"/>
          <w:snapToGrid w:val="0"/>
          <w:lang w:eastAsia="zh-CN"/>
        </w:rPr>
      </w:pPr>
      <w:r>
        <w:rPr>
          <w:rFonts w:hint="eastAsia" w:eastAsia="宋体"/>
          <w:snapToGrid w:val="0"/>
          <w:lang w:eastAsia="zh-CN"/>
        </w:rPr>
        <w:t>医疗公司收到并与制药公司共享有关组合产品给药的另一不良经历信息：</w:t>
      </w:r>
    </w:p>
    <w:p w14:paraId="66F3EBE4">
      <w:pPr>
        <w:pStyle w:val="7"/>
        <w:autoSpaceDE/>
        <w:autoSpaceDN/>
        <w:snapToGrid w:val="0"/>
        <w:jc w:val="both"/>
        <w:rPr>
          <w:rFonts w:eastAsia="宋体"/>
          <w:snapToGrid w:val="0"/>
          <w:lang w:eastAsia="zh-CN"/>
        </w:rPr>
      </w:pPr>
    </w:p>
    <w:p w14:paraId="706B7DA5">
      <w:pPr>
        <w:pStyle w:val="24"/>
        <w:numPr>
          <w:ilvl w:val="0"/>
          <w:numId w:val="1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医药公司必须在适用于医药公司的器械组成部分最长记录保存期内保存共享信息所需的记录，该记录保存期为事件发生之日起2年（参见《美国联邦法规》第21篇803.18（c）节）或器械预期寿命后2年（参见《美国联邦法规》第21篇第806.20节更正和转移要求），因为除第803部分要求外，第806部分记录保存要求也适用于医药公司（参见《美国联邦法规》第21篇第4.105（a）（2）节）。</w:t>
      </w:r>
    </w:p>
    <w:p w14:paraId="1160698D">
      <w:pPr>
        <w:autoSpaceDE/>
        <w:autoSpaceDN/>
        <w:snapToGrid w:val="0"/>
        <w:jc w:val="both"/>
        <w:rPr>
          <w:rFonts w:eastAsia="宋体"/>
          <w:snapToGrid w:val="0"/>
          <w:sz w:val="24"/>
          <w:szCs w:val="24"/>
          <w:lang w:eastAsia="zh-CN"/>
        </w:rPr>
      </w:pPr>
      <w:r>
        <w:rPr>
          <w:rFonts w:eastAsia="宋体"/>
          <w:sz w:val="24"/>
          <w:lang w:eastAsia="zh-CN"/>
        </w:rPr>
        <w:br w:type="page"/>
      </w:r>
    </w:p>
    <w:p w14:paraId="0110DA82">
      <w:pPr>
        <w:pStyle w:val="24"/>
        <w:numPr>
          <w:ilvl w:val="0"/>
          <w:numId w:val="17"/>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制药公司必须将该信息再保留10年，以记录其药品组成部分的所有不良经历（参见《美国联邦法规》第21篇第314.80（j）节）。</w:t>
      </w:r>
    </w:p>
    <w:p w14:paraId="4C03E291">
      <w:pPr>
        <w:pStyle w:val="24"/>
        <w:autoSpaceDE/>
        <w:autoSpaceDN/>
        <w:snapToGrid w:val="0"/>
        <w:ind w:left="920" w:firstLine="0"/>
        <w:jc w:val="both"/>
        <w:rPr>
          <w:rFonts w:eastAsia="宋体"/>
          <w:snapToGrid w:val="0"/>
          <w:sz w:val="24"/>
          <w:szCs w:val="24"/>
          <w:lang w:eastAsia="zh-CN"/>
        </w:rPr>
      </w:pPr>
    </w:p>
    <w:p w14:paraId="28D0BEFD">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组合产品申请人</w:t>
      </w:r>
    </w:p>
    <w:p w14:paraId="7875D79A">
      <w:pPr>
        <w:pStyle w:val="7"/>
        <w:autoSpaceDE/>
        <w:autoSpaceDN/>
        <w:snapToGrid w:val="0"/>
        <w:jc w:val="both"/>
        <w:rPr>
          <w:rFonts w:eastAsia="宋体"/>
          <w:snapToGrid w:val="0"/>
          <w:lang w:eastAsia="zh-CN"/>
        </w:rPr>
      </w:pPr>
    </w:p>
    <w:p w14:paraId="3DCB91E6">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组合产品申请人必须根据所有适用于组合产品PMSR要求所需的最长时限保存PMSR记录（参见《美国联邦法规》第21篇第4.105（b）节）。因此：</w:t>
      </w:r>
    </w:p>
    <w:p w14:paraId="32ABAB46">
      <w:pPr>
        <w:pStyle w:val="7"/>
        <w:autoSpaceDE/>
        <w:autoSpaceDN/>
        <w:snapToGrid w:val="0"/>
        <w:jc w:val="both"/>
        <w:rPr>
          <w:rFonts w:eastAsia="宋体"/>
          <w:snapToGrid w:val="0"/>
          <w:lang w:eastAsia="zh-CN"/>
        </w:rPr>
      </w:pPr>
    </w:p>
    <w:p w14:paraId="437A7B3F">
      <w:pPr>
        <w:pStyle w:val="24"/>
        <w:numPr>
          <w:ilvl w:val="0"/>
          <w:numId w:val="1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对于药品-生物制品组合产品，该期限为10年（参见《美国联邦法规》第21篇第314.80（j）和600.80（k）节）。</w:t>
      </w:r>
    </w:p>
    <w:p w14:paraId="28CAE545">
      <w:pPr>
        <w:pStyle w:val="24"/>
        <w:tabs>
          <w:tab w:val="left" w:pos="911"/>
        </w:tabs>
        <w:autoSpaceDE/>
        <w:autoSpaceDN/>
        <w:snapToGrid w:val="0"/>
        <w:ind w:left="920" w:firstLine="0"/>
        <w:jc w:val="both"/>
        <w:rPr>
          <w:rFonts w:eastAsia="宋体"/>
          <w:snapToGrid w:val="0"/>
          <w:sz w:val="24"/>
          <w:szCs w:val="24"/>
          <w:lang w:eastAsia="zh-CN"/>
        </w:rPr>
      </w:pPr>
    </w:p>
    <w:p w14:paraId="482E8561">
      <w:pPr>
        <w:pStyle w:val="24"/>
        <w:numPr>
          <w:ilvl w:val="0"/>
          <w:numId w:val="1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对于包含器械组成部分的组合产品，该期限应为10年或超过产品预期寿命2年，以较长者为准（参见《美国联邦法规》第21篇第314.80（j）、600.80（k）、803.18、806.20节）。</w:t>
      </w:r>
    </w:p>
    <w:p w14:paraId="77B1EFA0">
      <w:pPr>
        <w:pStyle w:val="24"/>
        <w:tabs>
          <w:tab w:val="left" w:pos="911"/>
        </w:tabs>
        <w:autoSpaceDE/>
        <w:autoSpaceDN/>
        <w:snapToGrid w:val="0"/>
        <w:ind w:left="920" w:firstLine="0"/>
        <w:jc w:val="both"/>
        <w:rPr>
          <w:rFonts w:eastAsia="宋体"/>
          <w:snapToGrid w:val="0"/>
          <w:sz w:val="24"/>
          <w:szCs w:val="24"/>
          <w:lang w:eastAsia="zh-CN"/>
        </w:rPr>
      </w:pPr>
    </w:p>
    <w:p w14:paraId="7E1706B2">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例如，如果植入式药械组合产品的预期寿命为3年，则适用的最长记录保存要求为10年。相反，如果该组合产品的预期寿命为9年，则适用的最长记录保存要求将是预期寿命加上两年（在这种情况下等于11年）。</w:t>
      </w:r>
    </w:p>
    <w:p w14:paraId="639E9E18">
      <w:pPr>
        <w:pStyle w:val="7"/>
        <w:autoSpaceDE/>
        <w:autoSpaceDN/>
        <w:snapToGrid w:val="0"/>
        <w:ind w:left="880" w:leftChars="400"/>
        <w:jc w:val="both"/>
        <w:rPr>
          <w:rFonts w:eastAsia="宋体"/>
          <w:snapToGrid w:val="0"/>
          <w:lang w:eastAsia="zh-CN"/>
        </w:rPr>
      </w:pPr>
      <w:bookmarkStart w:id="32" w:name="_Toc95145706"/>
    </w:p>
    <w:p w14:paraId="54C63A9E">
      <w:pPr>
        <w:pStyle w:val="2"/>
        <w:numPr>
          <w:ilvl w:val="0"/>
          <w:numId w:val="1"/>
        </w:numPr>
        <w:tabs>
          <w:tab w:val="left" w:pos="868"/>
        </w:tabs>
        <w:autoSpaceDE/>
        <w:autoSpaceDN/>
        <w:spacing w:before="0" w:beforeLines="0" w:line="240" w:lineRule="auto"/>
        <w:ind w:left="880" w:hanging="880" w:hangingChars="313"/>
        <w:rPr>
          <w:sz w:val="28"/>
          <w:lang w:eastAsia="zh-CN"/>
        </w:rPr>
      </w:pPr>
      <w:bookmarkStart w:id="33" w:name="_Toc97551507"/>
      <w:r>
        <w:rPr>
          <w:rFonts w:hint="eastAsia"/>
          <w:sz w:val="28"/>
          <w:lang w:eastAsia="zh-CN"/>
        </w:rPr>
        <w:t>组合产品申请人的流程考虑事项</w:t>
      </w:r>
      <w:bookmarkEnd w:id="32"/>
      <w:bookmarkEnd w:id="33"/>
    </w:p>
    <w:p w14:paraId="1F9C6824">
      <w:pPr>
        <w:pStyle w:val="7"/>
        <w:autoSpaceDE/>
        <w:autoSpaceDN/>
        <w:snapToGrid w:val="0"/>
        <w:jc w:val="both"/>
        <w:rPr>
          <w:rFonts w:eastAsia="宋体"/>
          <w:snapToGrid w:val="0"/>
          <w:lang w:eastAsia="zh-CN"/>
        </w:rPr>
      </w:pPr>
    </w:p>
    <w:p w14:paraId="708E615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以下各节讨论了最终规则规定的监管要求，并为组合产品申请人</w:t>
      </w:r>
      <w:r>
        <w:rPr>
          <w:rStyle w:val="22"/>
          <w:rFonts w:hint="eastAsia" w:eastAsia="宋体"/>
          <w:snapToGrid w:val="0"/>
          <w:lang w:eastAsia="zh-CN"/>
        </w:rPr>
        <w:footnoteReference w:id="38"/>
      </w:r>
      <w:r>
        <w:rPr>
          <w:rFonts w:hint="eastAsia" w:eastAsia="宋体"/>
          <w:snapToGrid w:val="0"/>
          <w:lang w:eastAsia="zh-CN"/>
        </w:rPr>
        <w:t>提供了向FDA提交PMSR报告的地点、方式和时间的指南。因为预期组成部分申请人已熟悉适用于其组成部分的报告流程，因此这些章节中未具体讨论组成部分申请人提交PMSR报告的流程（但请参见《美国联邦法规》第21篇第4.104（a）节和脚注42）。</w:t>
      </w:r>
    </w:p>
    <w:p w14:paraId="3F770EC4">
      <w:pPr>
        <w:pStyle w:val="7"/>
        <w:autoSpaceDE/>
        <w:autoSpaceDN/>
        <w:snapToGrid w:val="0"/>
        <w:jc w:val="both"/>
        <w:rPr>
          <w:rFonts w:eastAsia="宋体"/>
          <w:snapToGrid w:val="0"/>
          <w:lang w:eastAsia="zh-CN"/>
        </w:rPr>
      </w:pPr>
    </w:p>
    <w:p w14:paraId="24D952EB">
      <w:pPr>
        <w:pStyle w:val="3"/>
        <w:autoSpaceDE/>
        <w:autoSpaceDN/>
        <w:spacing w:before="0" w:beforeLines="0" w:line="240" w:lineRule="auto"/>
        <w:ind w:left="1442" w:leftChars="400" w:hanging="562"/>
        <w:rPr>
          <w:snapToGrid w:val="0"/>
          <w:szCs w:val="24"/>
          <w:lang w:eastAsia="zh-CN"/>
        </w:rPr>
      </w:pPr>
      <w:bookmarkStart w:id="34" w:name="_Toc95145707"/>
      <w:bookmarkStart w:id="35" w:name="_Toc97551508"/>
      <w:r>
        <w:rPr>
          <w:rFonts w:hint="eastAsia"/>
          <w:snapToGrid w:val="0"/>
          <w:szCs w:val="24"/>
          <w:lang w:eastAsia="zh-CN"/>
        </w:rPr>
        <w:t>A.</w:t>
      </w:r>
      <w:r>
        <w:rPr>
          <w:rFonts w:hint="eastAsia"/>
          <w:snapToGrid w:val="0"/>
          <w:szCs w:val="24"/>
          <w:lang w:eastAsia="zh-CN"/>
        </w:rPr>
        <w:tab/>
      </w:r>
      <w:r>
        <w:rPr>
          <w:rFonts w:hint="eastAsia"/>
          <w:snapToGrid w:val="0"/>
          <w:szCs w:val="24"/>
          <w:lang w:eastAsia="zh-CN"/>
        </w:rPr>
        <w:t>向FDA提交组合产品PMSR信息</w:t>
      </w:r>
      <w:bookmarkEnd w:id="34"/>
      <w:r>
        <w:rPr>
          <w:rFonts w:hint="eastAsia"/>
          <w:snapToGrid w:val="0"/>
          <w:szCs w:val="24"/>
          <w:lang w:eastAsia="zh-CN"/>
        </w:rPr>
        <w:t>的方式</w:t>
      </w:r>
      <w:bookmarkEnd w:id="35"/>
    </w:p>
    <w:p w14:paraId="22D8D14B">
      <w:pPr>
        <w:pStyle w:val="7"/>
        <w:autoSpaceDE/>
        <w:autoSpaceDN/>
        <w:snapToGrid w:val="0"/>
        <w:jc w:val="both"/>
        <w:rPr>
          <w:rFonts w:eastAsia="宋体"/>
          <w:snapToGrid w:val="0"/>
          <w:lang w:eastAsia="zh-CN"/>
        </w:rPr>
      </w:pPr>
    </w:p>
    <w:p w14:paraId="3B8F9735">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提交报告应遵循何种时间表？</w:t>
      </w:r>
    </w:p>
    <w:p w14:paraId="12C4A42F">
      <w:pPr>
        <w:pStyle w:val="7"/>
        <w:autoSpaceDE/>
        <w:autoSpaceDN/>
        <w:snapToGrid w:val="0"/>
        <w:jc w:val="both"/>
        <w:rPr>
          <w:rFonts w:eastAsia="宋体"/>
          <w:snapToGrid w:val="0"/>
          <w:lang w:eastAsia="zh-CN"/>
        </w:rPr>
      </w:pPr>
    </w:p>
    <w:p w14:paraId="1937A4B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应遵循与报告类型相关的时间表，但对于根据器械申请获得上市许可的组合产品，《美国联邦法规》第21篇第314.80或600.80节规定的15天报告可在30个日历日内提交，而不是在15个日历日内提交（参见《美国联邦法规》第21篇第4.102（c）（2）（ii）及（c）（3）（ii）节）。</w:t>
      </w:r>
    </w:p>
    <w:p w14:paraId="558F2CEE">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011933C0">
      <w:pPr>
        <w:autoSpaceDE/>
        <w:autoSpaceDN/>
        <w:snapToGrid w:val="0"/>
        <w:jc w:val="both"/>
        <w:rPr>
          <w:rFonts w:eastAsia="宋体"/>
          <w:snapToGrid w:val="0"/>
          <w:sz w:val="24"/>
          <w:szCs w:val="24"/>
          <w:lang w:eastAsia="zh-CN"/>
        </w:rPr>
      </w:pPr>
    </w:p>
    <w:p w14:paraId="02C5EFC2">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报告时间表概述如下。</w:t>
      </w:r>
    </w:p>
    <w:p w14:paraId="6252C9FC">
      <w:pPr>
        <w:pStyle w:val="7"/>
        <w:autoSpaceDE/>
        <w:autoSpaceDN/>
        <w:snapToGrid w:val="0"/>
        <w:jc w:val="both"/>
        <w:rPr>
          <w:rFonts w:eastAsia="宋体"/>
          <w:snapToGrid w:val="0"/>
          <w:lang w:eastAsia="zh-CN"/>
        </w:rPr>
      </w:pPr>
    </w:p>
    <w:p w14:paraId="2A8A54CF">
      <w:pPr>
        <w:autoSpaceDE/>
        <w:autoSpaceDN/>
        <w:snapToGrid w:val="0"/>
        <w:jc w:val="both"/>
        <w:rPr>
          <w:rFonts w:eastAsia="宋体"/>
          <w:b/>
          <w:snapToGrid w:val="0"/>
          <w:sz w:val="24"/>
          <w:szCs w:val="24"/>
          <w:lang w:eastAsia="zh-CN"/>
        </w:rPr>
      </w:pPr>
      <w:r>
        <w:rPr>
          <w:rFonts w:hint="eastAsia" w:eastAsia="宋体"/>
          <w:b/>
          <w:snapToGrid w:val="0"/>
          <w:sz w:val="24"/>
          <w:szCs w:val="24"/>
          <w:lang w:eastAsia="zh-CN"/>
        </w:rPr>
        <w:t>表1.各种组合产品PMSR要求的时间表</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76"/>
        <w:gridCol w:w="7295"/>
      </w:tblGrid>
      <w:tr w14:paraId="52B5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89" w:type="pct"/>
            <w:shd w:val="clear" w:color="auto" w:fill="auto"/>
          </w:tcPr>
          <w:p w14:paraId="21817D60">
            <w:pPr>
              <w:pStyle w:val="25"/>
              <w:autoSpaceDE/>
              <w:autoSpaceDN/>
              <w:snapToGrid w:val="0"/>
              <w:jc w:val="both"/>
              <w:rPr>
                <w:rFonts w:eastAsia="宋体"/>
                <w:b/>
                <w:snapToGrid w:val="0"/>
                <w:sz w:val="21"/>
                <w:szCs w:val="21"/>
                <w:lang w:eastAsia="zh-CN"/>
              </w:rPr>
            </w:pPr>
            <w:r>
              <w:rPr>
                <w:rFonts w:hint="eastAsia" w:eastAsia="宋体"/>
                <w:b/>
                <w:snapToGrid w:val="0"/>
                <w:sz w:val="21"/>
                <w:szCs w:val="21"/>
                <w:lang w:eastAsia="zh-CN"/>
              </w:rPr>
              <w:t>报告类型</w:t>
            </w:r>
          </w:p>
        </w:tc>
        <w:tc>
          <w:tcPr>
            <w:tcW w:w="3811" w:type="pct"/>
            <w:shd w:val="clear" w:color="auto" w:fill="auto"/>
          </w:tcPr>
          <w:p w14:paraId="55444149">
            <w:pPr>
              <w:pStyle w:val="25"/>
              <w:autoSpaceDE/>
              <w:autoSpaceDN/>
              <w:snapToGrid w:val="0"/>
              <w:jc w:val="both"/>
              <w:rPr>
                <w:rFonts w:eastAsia="宋体"/>
                <w:b/>
                <w:snapToGrid w:val="0"/>
                <w:sz w:val="21"/>
                <w:szCs w:val="21"/>
                <w:lang w:eastAsia="zh-CN"/>
              </w:rPr>
            </w:pPr>
            <w:r>
              <w:rPr>
                <w:rFonts w:hint="eastAsia" w:eastAsia="宋体"/>
                <w:b/>
                <w:snapToGrid w:val="0"/>
                <w:sz w:val="21"/>
                <w:szCs w:val="21"/>
                <w:lang w:eastAsia="zh-CN"/>
              </w:rPr>
              <w:t>报告时间表</w:t>
            </w:r>
          </w:p>
        </w:tc>
      </w:tr>
      <w:tr w14:paraId="64DDC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5AEBD4A0">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15天报告</w:t>
            </w:r>
          </w:p>
        </w:tc>
        <w:tc>
          <w:tcPr>
            <w:tcW w:w="3811" w:type="pct"/>
            <w:shd w:val="clear" w:color="auto" w:fill="auto"/>
          </w:tcPr>
          <w:p w14:paraId="415B57C7">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ANDA、NDA和BLA组合产品：自申请人首次收到信息起不迟于</w:t>
            </w:r>
            <w:r>
              <w:rPr>
                <w:rFonts w:hint="eastAsia" w:eastAsia="宋体"/>
                <w:snapToGrid w:val="0"/>
                <w:sz w:val="21"/>
                <w:szCs w:val="21"/>
                <w:u w:val="single"/>
                <w:lang w:eastAsia="zh-CN"/>
              </w:rPr>
              <w:t>15个日历日</w:t>
            </w:r>
            <w:r>
              <w:rPr>
                <w:rFonts w:hint="eastAsia" w:eastAsia="宋体"/>
                <w:snapToGrid w:val="0"/>
                <w:sz w:val="21"/>
                <w:szCs w:val="21"/>
                <w:lang w:eastAsia="zh-CN"/>
              </w:rPr>
              <w:t>（参见《美国联邦法规》第21篇第314.80（c）和600.80（c）节）。</w:t>
            </w:r>
          </w:p>
          <w:p w14:paraId="0F463B80">
            <w:pPr>
              <w:pStyle w:val="25"/>
              <w:autoSpaceDE/>
              <w:autoSpaceDN/>
              <w:snapToGrid w:val="0"/>
              <w:jc w:val="both"/>
              <w:rPr>
                <w:rFonts w:eastAsia="宋体"/>
                <w:snapToGrid w:val="0"/>
                <w:sz w:val="21"/>
                <w:szCs w:val="21"/>
                <w:lang w:eastAsia="zh-CN"/>
              </w:rPr>
            </w:pPr>
          </w:p>
          <w:p w14:paraId="730AF208">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器械申请组合产品：自申请人首次收到信息起不迟于</w:t>
            </w:r>
            <w:r>
              <w:rPr>
                <w:rFonts w:hint="eastAsia" w:eastAsia="宋体"/>
                <w:snapToGrid w:val="0"/>
                <w:sz w:val="21"/>
                <w:szCs w:val="21"/>
                <w:u w:val="single"/>
                <w:lang w:eastAsia="zh-CN"/>
              </w:rPr>
              <w:t>30个日历日</w:t>
            </w:r>
            <w:r>
              <w:rPr>
                <w:rFonts w:hint="eastAsia" w:eastAsia="宋体"/>
                <w:snapToGrid w:val="0"/>
                <w:sz w:val="21"/>
                <w:szCs w:val="21"/>
                <w:lang w:eastAsia="zh-CN"/>
              </w:rPr>
              <w:t>（参见《美国联邦法规》第21篇第4.102（c）节）。</w:t>
            </w:r>
          </w:p>
        </w:tc>
      </w:tr>
      <w:tr w14:paraId="3F00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2F3BA209">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15天报告的后续报告*</w:t>
            </w:r>
          </w:p>
        </w:tc>
        <w:tc>
          <w:tcPr>
            <w:tcW w:w="3811" w:type="pct"/>
            <w:shd w:val="clear" w:color="auto" w:fill="auto"/>
          </w:tcPr>
          <w:p w14:paraId="7BC498F5">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ANDA、NDA和BLA组合产品：收到新信息的</w:t>
            </w:r>
            <w:r>
              <w:rPr>
                <w:rFonts w:hint="eastAsia" w:eastAsia="宋体"/>
                <w:snapToGrid w:val="0"/>
                <w:sz w:val="21"/>
                <w:szCs w:val="21"/>
                <w:u w:val="single"/>
                <w:lang w:eastAsia="zh-CN"/>
              </w:rPr>
              <w:t>15个日历日</w:t>
            </w:r>
            <w:r>
              <w:rPr>
                <w:rFonts w:hint="eastAsia" w:eastAsia="宋体"/>
                <w:snapToGrid w:val="0"/>
                <w:sz w:val="21"/>
                <w:szCs w:val="21"/>
                <w:lang w:eastAsia="zh-CN"/>
              </w:rPr>
              <w:t>内（参见《美国联邦法规》第21篇第314.80（c）和600.80（c）节）**</w:t>
            </w:r>
          </w:p>
          <w:p w14:paraId="7DD721FA">
            <w:pPr>
              <w:pStyle w:val="25"/>
              <w:autoSpaceDE/>
              <w:autoSpaceDN/>
              <w:snapToGrid w:val="0"/>
              <w:jc w:val="both"/>
              <w:rPr>
                <w:rFonts w:eastAsia="宋体"/>
                <w:snapToGrid w:val="0"/>
                <w:sz w:val="21"/>
                <w:szCs w:val="21"/>
                <w:lang w:eastAsia="zh-CN"/>
              </w:rPr>
            </w:pPr>
          </w:p>
          <w:p w14:paraId="4B989977">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器械申请组合产品：自申请人首次收到新信息起不迟于</w:t>
            </w:r>
            <w:r>
              <w:rPr>
                <w:rFonts w:hint="eastAsia" w:eastAsia="宋体"/>
                <w:snapToGrid w:val="0"/>
                <w:sz w:val="21"/>
                <w:szCs w:val="21"/>
                <w:u w:val="single"/>
                <w:lang w:eastAsia="zh-CN"/>
              </w:rPr>
              <w:t>30个日历日</w:t>
            </w:r>
            <w:r>
              <w:rPr>
                <w:rFonts w:hint="eastAsia" w:eastAsia="宋体"/>
                <w:snapToGrid w:val="0"/>
                <w:sz w:val="21"/>
                <w:szCs w:val="21"/>
                <w:lang w:eastAsia="zh-CN"/>
              </w:rPr>
              <w:t>（参见《美国联邦法规》第21篇第4.102（c）节）。</w:t>
            </w:r>
          </w:p>
        </w:tc>
      </w:tr>
      <w:tr w14:paraId="6C33E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10B69D28">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5天报告</w:t>
            </w:r>
          </w:p>
        </w:tc>
        <w:tc>
          <w:tcPr>
            <w:tcW w:w="3811" w:type="pct"/>
            <w:shd w:val="clear" w:color="auto" w:fill="auto"/>
          </w:tcPr>
          <w:p w14:paraId="05383BF1">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申请人</w:t>
            </w:r>
            <w:r>
              <w:rPr>
                <w:rFonts w:hint="eastAsia" w:ascii="宋体" w:hAnsi="宋体" w:eastAsia="宋体"/>
                <w:sz w:val="21"/>
                <w:lang w:eastAsia="zh-CN"/>
              </w:rPr>
              <w:t>“</w:t>
            </w:r>
            <w:r>
              <w:rPr>
                <w:rFonts w:hint="eastAsia" w:eastAsia="宋体"/>
                <w:snapToGrid w:val="0"/>
                <w:sz w:val="21"/>
                <w:szCs w:val="21"/>
                <w:lang w:eastAsia="zh-CN"/>
              </w:rPr>
              <w:t>获知</w:t>
            </w:r>
            <w:r>
              <w:rPr>
                <w:rFonts w:hint="eastAsia" w:ascii="宋体" w:hAnsi="宋体" w:eastAsia="宋体"/>
                <w:sz w:val="21"/>
                <w:lang w:eastAsia="zh-CN"/>
              </w:rPr>
              <w:t>”</w:t>
            </w:r>
            <w:r>
              <w:rPr>
                <w:rFonts w:hint="eastAsia" w:eastAsia="宋体"/>
                <w:snapToGrid w:val="0"/>
                <w:sz w:val="21"/>
                <w:szCs w:val="21"/>
                <w:lang w:eastAsia="zh-CN"/>
              </w:rPr>
              <w:t>（见脚注23）可报告事件需要采取补救措施以防止对公众健康造成重大伤害的不合理风险后不迟于</w:t>
            </w:r>
            <w:r>
              <w:rPr>
                <w:rFonts w:hint="eastAsia" w:eastAsia="宋体"/>
                <w:snapToGrid w:val="0"/>
                <w:sz w:val="21"/>
                <w:szCs w:val="21"/>
                <w:u w:val="single"/>
                <w:lang w:eastAsia="zh-CN"/>
              </w:rPr>
              <w:t>5个工作日</w:t>
            </w:r>
            <w:r>
              <w:rPr>
                <w:rFonts w:hint="eastAsia" w:eastAsia="宋体"/>
                <w:snapToGrid w:val="0"/>
                <w:sz w:val="21"/>
                <w:szCs w:val="21"/>
                <w:lang w:eastAsia="zh-CN"/>
              </w:rPr>
              <w:t>（参见《美国联邦法规》第21篇第803.53节）。</w:t>
            </w:r>
          </w:p>
        </w:tc>
      </w:tr>
      <w:tr w14:paraId="60D5A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67B888C0">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死亡/重伤/故障报告</w:t>
            </w:r>
          </w:p>
        </w:tc>
        <w:tc>
          <w:tcPr>
            <w:tcW w:w="3811" w:type="pct"/>
            <w:shd w:val="clear" w:color="auto" w:fill="auto"/>
          </w:tcPr>
          <w:p w14:paraId="021C5030">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自申请人收到信息或以其他方式获知事件后不迟于</w:t>
            </w:r>
            <w:r>
              <w:rPr>
                <w:rFonts w:hint="eastAsia" w:eastAsia="宋体"/>
                <w:snapToGrid w:val="0"/>
                <w:sz w:val="21"/>
                <w:szCs w:val="21"/>
                <w:u w:val="single"/>
                <w:lang w:eastAsia="zh-CN"/>
              </w:rPr>
              <w:t>30个日历日</w:t>
            </w:r>
            <w:r>
              <w:rPr>
                <w:rFonts w:hint="eastAsia" w:eastAsia="宋体"/>
                <w:snapToGrid w:val="0"/>
                <w:sz w:val="21"/>
                <w:szCs w:val="21"/>
                <w:lang w:eastAsia="zh-CN"/>
              </w:rPr>
              <w:t>（参见《美国联邦法规》第21篇第803.50节）</w:t>
            </w:r>
          </w:p>
        </w:tc>
      </w:tr>
      <w:tr w14:paraId="4C47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28D5DF1B">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5天/死亡/重伤/故障报告的补充/后续报告*</w:t>
            </w:r>
          </w:p>
        </w:tc>
        <w:tc>
          <w:tcPr>
            <w:tcW w:w="3811" w:type="pct"/>
            <w:shd w:val="clear" w:color="auto" w:fill="auto"/>
          </w:tcPr>
          <w:p w14:paraId="122F9AE6">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申请人收到信息之日起</w:t>
            </w:r>
            <w:r>
              <w:rPr>
                <w:rFonts w:hint="eastAsia" w:eastAsia="宋体"/>
                <w:snapToGrid w:val="0"/>
                <w:sz w:val="21"/>
                <w:szCs w:val="21"/>
                <w:u w:val="single"/>
                <w:lang w:eastAsia="zh-CN"/>
              </w:rPr>
              <w:t>30个日历日</w:t>
            </w:r>
            <w:r>
              <w:rPr>
                <w:rFonts w:hint="eastAsia" w:eastAsia="宋体"/>
                <w:snapToGrid w:val="0"/>
                <w:sz w:val="21"/>
                <w:szCs w:val="21"/>
                <w:lang w:eastAsia="zh-CN"/>
              </w:rPr>
              <w:t>内（参见《美国联邦法规》第21篇第803.56节）</w:t>
            </w:r>
          </w:p>
        </w:tc>
      </w:tr>
      <w:tr w14:paraId="441E2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211DDF68">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现场警示报告</w:t>
            </w:r>
          </w:p>
        </w:tc>
        <w:tc>
          <w:tcPr>
            <w:tcW w:w="3811" w:type="pct"/>
            <w:shd w:val="clear" w:color="auto" w:fill="auto"/>
          </w:tcPr>
          <w:p w14:paraId="51BC4C7F">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申请人收到信息的</w:t>
            </w:r>
            <w:r>
              <w:rPr>
                <w:rFonts w:hint="eastAsia" w:eastAsia="宋体"/>
                <w:snapToGrid w:val="0"/>
                <w:sz w:val="21"/>
                <w:szCs w:val="21"/>
                <w:u w:val="single"/>
                <w:lang w:eastAsia="zh-CN"/>
              </w:rPr>
              <w:t>3个工作日</w:t>
            </w:r>
            <w:r>
              <w:rPr>
                <w:rFonts w:hint="eastAsia" w:eastAsia="宋体"/>
                <w:snapToGrid w:val="0"/>
                <w:sz w:val="21"/>
                <w:szCs w:val="21"/>
                <w:lang w:eastAsia="zh-CN"/>
              </w:rPr>
              <w:t>内（参见《美国联邦法规》第21篇第314.81（b）（1）节）</w:t>
            </w:r>
          </w:p>
        </w:tc>
      </w:tr>
      <w:tr w14:paraId="3A1A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6FCE0FCA">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生物制品偏差报告</w:t>
            </w:r>
          </w:p>
        </w:tc>
        <w:tc>
          <w:tcPr>
            <w:tcW w:w="3811" w:type="pct"/>
            <w:shd w:val="clear" w:color="auto" w:fill="auto"/>
          </w:tcPr>
          <w:p w14:paraId="3D2AE202">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应尽快报告，但自获知合理表明已发生可报告事件信息之日起不超过</w:t>
            </w:r>
            <w:r>
              <w:rPr>
                <w:rFonts w:hint="eastAsia" w:eastAsia="宋体"/>
                <w:snapToGrid w:val="0"/>
                <w:sz w:val="21"/>
                <w:szCs w:val="21"/>
                <w:u w:val="single"/>
                <w:lang w:eastAsia="zh-CN"/>
              </w:rPr>
              <w:t>45个日历日</w:t>
            </w:r>
            <w:r>
              <w:rPr>
                <w:rFonts w:hint="eastAsia" w:eastAsia="宋体"/>
                <w:snapToGrid w:val="0"/>
                <w:sz w:val="21"/>
                <w:szCs w:val="21"/>
                <w:lang w:eastAsia="zh-CN"/>
              </w:rPr>
              <w:t>（参见《美国联邦法规》第21篇第600.14（c）和606.171（c）节）</w:t>
            </w:r>
          </w:p>
        </w:tc>
      </w:tr>
      <w:tr w14:paraId="2EE6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shd w:val="clear" w:color="auto" w:fill="auto"/>
          </w:tcPr>
          <w:p w14:paraId="63E516D6">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更正和移除报告</w:t>
            </w:r>
          </w:p>
        </w:tc>
        <w:tc>
          <w:tcPr>
            <w:tcW w:w="3811" w:type="pct"/>
            <w:shd w:val="clear" w:color="auto" w:fill="auto"/>
          </w:tcPr>
          <w:p w14:paraId="6591B971">
            <w:pPr>
              <w:pStyle w:val="25"/>
              <w:autoSpaceDE/>
              <w:autoSpaceDN/>
              <w:snapToGrid w:val="0"/>
              <w:jc w:val="both"/>
              <w:rPr>
                <w:rFonts w:eastAsia="宋体"/>
                <w:snapToGrid w:val="0"/>
                <w:sz w:val="21"/>
                <w:szCs w:val="21"/>
                <w:lang w:eastAsia="zh-CN"/>
              </w:rPr>
            </w:pPr>
            <w:r>
              <w:rPr>
                <w:rFonts w:hint="eastAsia" w:eastAsia="宋体"/>
                <w:snapToGrid w:val="0"/>
                <w:sz w:val="21"/>
                <w:szCs w:val="21"/>
                <w:lang w:eastAsia="zh-CN"/>
              </w:rPr>
              <w:t>启动更正或移除的</w:t>
            </w:r>
            <w:r>
              <w:rPr>
                <w:rFonts w:hint="eastAsia" w:eastAsia="宋体"/>
                <w:snapToGrid w:val="0"/>
                <w:sz w:val="21"/>
                <w:szCs w:val="21"/>
                <w:u w:val="single"/>
                <w:lang w:eastAsia="zh-CN"/>
              </w:rPr>
              <w:t>10个工作日内</w:t>
            </w:r>
            <w:r>
              <w:rPr>
                <w:rFonts w:hint="eastAsia" w:eastAsia="宋体"/>
                <w:snapToGrid w:val="0"/>
                <w:sz w:val="21"/>
                <w:szCs w:val="21"/>
                <w:lang w:eastAsia="zh-CN"/>
              </w:rPr>
              <w:t>（参见《美国联邦法规》第21篇第806.10（b）节）</w:t>
            </w:r>
          </w:p>
        </w:tc>
      </w:tr>
    </w:tbl>
    <w:p w14:paraId="576C4C16">
      <w:pPr>
        <w:autoSpaceDE/>
        <w:autoSpaceDN/>
        <w:snapToGrid w:val="0"/>
        <w:jc w:val="both"/>
        <w:rPr>
          <w:rFonts w:eastAsia="宋体"/>
          <w:snapToGrid w:val="0"/>
          <w:sz w:val="21"/>
          <w:szCs w:val="21"/>
          <w:lang w:eastAsia="zh-CN"/>
        </w:rPr>
      </w:pPr>
      <w:r>
        <w:rPr>
          <w:rFonts w:hint="eastAsia" w:eastAsia="宋体"/>
          <w:snapToGrid w:val="0"/>
          <w:sz w:val="21"/>
          <w:szCs w:val="21"/>
          <w:lang w:eastAsia="zh-CN"/>
        </w:rPr>
        <w:t>*注：可使用后续报告提交同一事件的不同类型ICSR</w:t>
      </w:r>
    </w:p>
    <w:p w14:paraId="57967A7E">
      <w:pPr>
        <w:autoSpaceDE/>
        <w:autoSpaceDN/>
        <w:snapToGrid w:val="0"/>
        <w:jc w:val="both"/>
        <w:rPr>
          <w:rFonts w:eastAsia="宋体"/>
          <w:snapToGrid w:val="0"/>
          <w:sz w:val="21"/>
          <w:szCs w:val="21"/>
          <w:lang w:eastAsia="zh-CN"/>
        </w:rPr>
      </w:pPr>
    </w:p>
    <w:p w14:paraId="2EDE5B6A">
      <w:pPr>
        <w:pStyle w:val="7"/>
        <w:autoSpaceDE/>
        <w:autoSpaceDN/>
        <w:snapToGrid w:val="0"/>
        <w:jc w:val="both"/>
        <w:rPr>
          <w:rFonts w:eastAsia="宋体"/>
          <w:snapToGrid w:val="0"/>
          <w:sz w:val="21"/>
          <w:szCs w:val="21"/>
          <w:lang w:eastAsia="zh-CN"/>
        </w:rPr>
      </w:pPr>
      <w:r>
        <w:rPr>
          <w:rFonts w:hint="eastAsia" w:eastAsia="宋体"/>
          <w:snapToGrid w:val="0"/>
          <w:sz w:val="21"/>
          <w:szCs w:val="21"/>
          <w:lang w:eastAsia="zh-CN"/>
        </w:rPr>
        <w:t>**参见上文第IV.A.4节，该节讨论了在30天而不是15天内提交同一事件相关故障的15天报告的后续报告。</w:t>
      </w:r>
    </w:p>
    <w:p w14:paraId="334622E8">
      <w:pPr>
        <w:pStyle w:val="7"/>
        <w:autoSpaceDE/>
        <w:autoSpaceDN/>
        <w:snapToGrid w:val="0"/>
        <w:jc w:val="both"/>
        <w:rPr>
          <w:rFonts w:eastAsia="宋体"/>
          <w:snapToGrid w:val="0"/>
          <w:lang w:eastAsia="zh-CN"/>
        </w:rPr>
      </w:pPr>
    </w:p>
    <w:p w14:paraId="59053FFC">
      <w:pPr>
        <w:autoSpaceDE/>
        <w:autoSpaceDN/>
        <w:snapToGrid w:val="0"/>
        <w:jc w:val="both"/>
        <w:rPr>
          <w:rFonts w:eastAsia="宋体"/>
          <w:snapToGrid w:val="0"/>
          <w:lang w:eastAsia="zh-CN"/>
        </w:rPr>
      </w:pPr>
      <w:r>
        <w:rPr>
          <w:rFonts w:hint="eastAsia" w:eastAsia="宋体"/>
          <w:snapToGrid w:val="0"/>
          <w:sz w:val="24"/>
          <w:szCs w:val="24"/>
          <w:lang w:eastAsia="zh-CN"/>
        </w:rPr>
        <w:br w:type="page"/>
      </w:r>
    </w:p>
    <w:p w14:paraId="4C915BC6">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提交报告地点与方式？</w:t>
      </w:r>
    </w:p>
    <w:p w14:paraId="49C2E0C4">
      <w:pPr>
        <w:pStyle w:val="7"/>
        <w:autoSpaceDE/>
        <w:autoSpaceDN/>
        <w:snapToGrid w:val="0"/>
        <w:jc w:val="both"/>
        <w:rPr>
          <w:rFonts w:eastAsia="宋体"/>
          <w:snapToGrid w:val="0"/>
          <w:lang w:eastAsia="zh-CN"/>
        </w:rPr>
      </w:pPr>
    </w:p>
    <w:p w14:paraId="50CBCDBA">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ICSR（包括后续报告）。</w:t>
      </w:r>
      <w:r>
        <w:rPr>
          <w:rFonts w:hint="eastAsia" w:eastAsia="宋体"/>
          <w:snapToGrid w:val="0"/>
          <w:lang w:eastAsia="zh-CN"/>
        </w:rPr>
        <w:t>组合产品申请人必须按照申请类型相关法规（参见《美国联邦法规》第21篇第4.104（b）节）程序要求提交ICSR，并应遵循牵头中心的相关政策和程序。</w:t>
      </w:r>
    </w:p>
    <w:p w14:paraId="329F875A">
      <w:pPr>
        <w:pStyle w:val="7"/>
        <w:autoSpaceDE/>
        <w:autoSpaceDN/>
        <w:snapToGrid w:val="0"/>
        <w:jc w:val="both"/>
        <w:rPr>
          <w:rFonts w:eastAsia="宋体"/>
          <w:snapToGrid w:val="0"/>
          <w:lang w:eastAsia="zh-CN"/>
        </w:rPr>
      </w:pPr>
    </w:p>
    <w:p w14:paraId="13C59152">
      <w:pPr>
        <w:pStyle w:val="7"/>
        <w:autoSpaceDE/>
        <w:autoSpaceDN/>
        <w:snapToGrid w:val="0"/>
        <w:jc w:val="both"/>
        <w:rPr>
          <w:rFonts w:eastAsia="宋体"/>
          <w:snapToGrid w:val="0"/>
          <w:lang w:eastAsia="zh-CN"/>
        </w:rPr>
      </w:pPr>
      <w:r>
        <w:rPr>
          <w:rFonts w:hint="eastAsia" w:eastAsia="宋体"/>
          <w:snapToGrid w:val="0"/>
          <w:lang w:eastAsia="zh-CN"/>
        </w:rPr>
        <w:t>因此，对于：</w:t>
      </w:r>
    </w:p>
    <w:p w14:paraId="7C506A61">
      <w:pPr>
        <w:pStyle w:val="7"/>
        <w:autoSpaceDE/>
        <w:autoSpaceDN/>
        <w:snapToGrid w:val="0"/>
        <w:jc w:val="both"/>
        <w:rPr>
          <w:rFonts w:eastAsia="宋体"/>
          <w:snapToGrid w:val="0"/>
          <w:lang w:eastAsia="zh-CN"/>
        </w:rPr>
      </w:pPr>
    </w:p>
    <w:p w14:paraId="6CE8C0B7">
      <w:pPr>
        <w:pStyle w:val="24"/>
        <w:numPr>
          <w:ilvl w:val="0"/>
          <w:numId w:val="1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器械申请组合产品，根据《美国联邦法规》第21篇第803.12（a）节和相关指南提交所有ICSR（包括15天报告）；</w:t>
      </w:r>
    </w:p>
    <w:p w14:paraId="5BC24BD5">
      <w:pPr>
        <w:pStyle w:val="24"/>
        <w:tabs>
          <w:tab w:val="left" w:pos="911"/>
        </w:tabs>
        <w:autoSpaceDE/>
        <w:autoSpaceDN/>
        <w:snapToGrid w:val="0"/>
        <w:ind w:left="920" w:firstLine="0"/>
        <w:jc w:val="both"/>
        <w:rPr>
          <w:rFonts w:eastAsia="宋体"/>
          <w:snapToGrid w:val="0"/>
          <w:sz w:val="24"/>
          <w:szCs w:val="24"/>
          <w:lang w:eastAsia="zh-CN"/>
        </w:rPr>
      </w:pPr>
    </w:p>
    <w:p w14:paraId="55346F52">
      <w:pPr>
        <w:pStyle w:val="24"/>
        <w:numPr>
          <w:ilvl w:val="0"/>
          <w:numId w:val="1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NDA或ANDA组合产品，根据《美国联邦法规》第21篇第314.80（g）节和相关指南提交所有ICSR（如果组合产品包含器械组成部分，则包括5天报告和故障报告）；以及</w:t>
      </w:r>
    </w:p>
    <w:p w14:paraId="2D48332F">
      <w:pPr>
        <w:pStyle w:val="24"/>
        <w:tabs>
          <w:tab w:val="left" w:pos="911"/>
        </w:tabs>
        <w:autoSpaceDE/>
        <w:autoSpaceDN/>
        <w:snapToGrid w:val="0"/>
        <w:ind w:left="920" w:firstLine="0"/>
        <w:jc w:val="both"/>
        <w:rPr>
          <w:rFonts w:eastAsia="宋体"/>
          <w:snapToGrid w:val="0"/>
          <w:sz w:val="24"/>
          <w:szCs w:val="24"/>
          <w:lang w:eastAsia="zh-CN"/>
        </w:rPr>
      </w:pPr>
    </w:p>
    <w:p w14:paraId="77C33DFA">
      <w:pPr>
        <w:pStyle w:val="24"/>
        <w:numPr>
          <w:ilvl w:val="0"/>
          <w:numId w:val="1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BLA组合产品，根据《美国联邦法规》第21篇第600.80（h）节和相关指南提交所有ICSR（如果组合产品包含器械组成部分，则包括5天报告和故障报告）。</w:t>
      </w:r>
    </w:p>
    <w:p w14:paraId="6219AEF7">
      <w:pPr>
        <w:pStyle w:val="24"/>
        <w:tabs>
          <w:tab w:val="left" w:pos="911"/>
        </w:tabs>
        <w:autoSpaceDE/>
        <w:autoSpaceDN/>
        <w:snapToGrid w:val="0"/>
        <w:ind w:left="920" w:firstLine="0"/>
        <w:jc w:val="both"/>
        <w:rPr>
          <w:rFonts w:eastAsia="宋体"/>
          <w:snapToGrid w:val="0"/>
          <w:sz w:val="24"/>
          <w:szCs w:val="24"/>
          <w:lang w:eastAsia="zh-CN"/>
        </w:rPr>
      </w:pPr>
    </w:p>
    <w:p w14:paraId="1D94A2E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例如，如果组合产品根据器械申请获得上市许可，则根据《美国联邦法规》第21篇第803.12（a）节和CDRH eMDR实施规范（</w:t>
      </w:r>
      <w:r>
        <w:fldChar w:fldCharType="begin"/>
      </w:r>
      <w:r>
        <w:instrText xml:space="preserve"> HYPERLINK "https://www.fda.gov/medical-devices/mandatory-reporting-requirements-manufacturers-importers-and-device-user-facilities/health-level-seven-hl7-individual-case-safety-reporting-icsr-files" </w:instrText>
      </w:r>
      <w:r>
        <w:fldChar w:fldCharType="separate"/>
      </w:r>
      <w:r>
        <w:rPr>
          <w:rStyle w:val="20"/>
          <w:rFonts w:hint="eastAsia" w:eastAsia="宋体"/>
          <w:snapToGrid w:val="0"/>
          <w:u w:color="0000FF"/>
          <w:lang w:eastAsia="zh-CN"/>
        </w:rPr>
        <w:t>https://www.fda.gov/medical-devices/mandatory-reporting-requirements-manufacturers-importers-and-device-user-facilities/health-level-seven-hl7-individual-case-safety-reporting-icsr-files</w:t>
      </w:r>
      <w:r>
        <w:rPr>
          <w:rStyle w:val="20"/>
          <w:rFonts w:hint="eastAsia" w:eastAsia="宋体"/>
          <w:snapToGrid w:val="0"/>
          <w:u w:color="0000FF"/>
          <w:lang w:eastAsia="zh-CN"/>
        </w:rPr>
        <w:fldChar w:fldCharType="end"/>
      </w:r>
      <w:r>
        <w:rPr>
          <w:rFonts w:hint="eastAsia" w:eastAsia="宋体"/>
          <w:snapToGrid w:val="0"/>
          <w:lang w:eastAsia="zh-CN"/>
        </w:rPr>
        <w:t>），提交15天报告和15天报告的后续报告。</w:t>
      </w:r>
    </w:p>
    <w:p w14:paraId="65A4FB0D">
      <w:pPr>
        <w:pStyle w:val="7"/>
        <w:autoSpaceDE/>
        <w:autoSpaceDN/>
        <w:snapToGrid w:val="0"/>
        <w:jc w:val="both"/>
        <w:rPr>
          <w:rFonts w:eastAsia="宋体"/>
          <w:snapToGrid w:val="0"/>
          <w:lang w:eastAsia="zh-CN"/>
        </w:rPr>
      </w:pPr>
    </w:p>
    <w:p w14:paraId="0FDBB947">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其他（非ICSR）报告类型。</w:t>
      </w:r>
      <w:r>
        <w:rPr>
          <w:rFonts w:hint="eastAsia" w:eastAsia="宋体"/>
          <w:snapToGrid w:val="0"/>
          <w:lang w:eastAsia="zh-CN"/>
        </w:rPr>
        <w:t>对于ICSR以外的报告类型（即现场警示报告、生物制品偏差报告和更正或移除报告），根据报告类型相关的程序要求和政策提交报告。</w:t>
      </w:r>
    </w:p>
    <w:p w14:paraId="3232D5D2">
      <w:pPr>
        <w:pStyle w:val="7"/>
        <w:autoSpaceDE/>
        <w:autoSpaceDN/>
        <w:snapToGrid w:val="0"/>
        <w:jc w:val="both"/>
        <w:rPr>
          <w:rFonts w:eastAsia="宋体"/>
          <w:snapToGrid w:val="0"/>
          <w:lang w:eastAsia="zh-CN"/>
        </w:rPr>
      </w:pPr>
    </w:p>
    <w:p w14:paraId="6F3E1A07">
      <w:pPr>
        <w:pStyle w:val="7"/>
        <w:autoSpaceDE/>
        <w:autoSpaceDN/>
        <w:snapToGrid w:val="0"/>
        <w:jc w:val="both"/>
        <w:rPr>
          <w:rFonts w:eastAsia="宋体"/>
          <w:snapToGrid w:val="0"/>
          <w:lang w:eastAsia="zh-CN"/>
        </w:rPr>
      </w:pPr>
      <w:r>
        <w:rPr>
          <w:rFonts w:hint="eastAsia" w:eastAsia="宋体"/>
          <w:snapToGrid w:val="0"/>
          <w:lang w:eastAsia="zh-CN"/>
        </w:rPr>
        <w:t>有关报告的更多信息，请参见：</w:t>
      </w:r>
    </w:p>
    <w:p w14:paraId="56622A3C">
      <w:pPr>
        <w:pStyle w:val="7"/>
        <w:autoSpaceDE/>
        <w:autoSpaceDN/>
        <w:snapToGrid w:val="0"/>
        <w:jc w:val="both"/>
        <w:rPr>
          <w:rFonts w:eastAsia="宋体"/>
          <w:snapToGrid w:val="0"/>
          <w:lang w:eastAsia="zh-CN"/>
        </w:rPr>
      </w:pPr>
    </w:p>
    <w:p w14:paraId="6CE83EB6">
      <w:pPr>
        <w:pStyle w:val="24"/>
        <w:numPr>
          <w:ilvl w:val="0"/>
          <w:numId w:val="2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ICSR：</w:t>
      </w:r>
    </w:p>
    <w:p w14:paraId="3806813A">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FDA不良事件报告系统（FAERS）电子提交（</w:t>
      </w:r>
      <w:r>
        <w:fldChar w:fldCharType="begin"/>
      </w:r>
      <w:r>
        <w:instrText xml:space="preserve"> HYPERLINK "https://www.fda.gov/drugs/fda-adverse-event-reporting-system-faers/fda-adverse-event-reporting-system-faers-electronic-submissions" </w:instrText>
      </w:r>
      <w:r>
        <w:fldChar w:fldCharType="separate"/>
      </w:r>
      <w:r>
        <w:rPr>
          <w:rStyle w:val="20"/>
          <w:rFonts w:hint="eastAsia" w:eastAsia="宋体"/>
          <w:snapToGrid w:val="0"/>
          <w:sz w:val="24"/>
          <w:szCs w:val="24"/>
          <w:u w:color="0000FF"/>
          <w:lang w:eastAsia="zh-CN"/>
        </w:rPr>
        <w:t>https://www.fda.gov/drugs/fda-adverse-event-reporting-system-faers/fda-adverse-event-reporting-system-faers-electronic-submissions</w:t>
      </w:r>
      <w:r>
        <w:rPr>
          <w:rStyle w:val="20"/>
          <w:rFonts w:hint="eastAsia" w:eastAsia="宋体"/>
          <w:snapToGrid w:val="0"/>
          <w:sz w:val="24"/>
          <w:szCs w:val="24"/>
          <w:u w:color="0000FF"/>
          <w:lang w:eastAsia="zh-CN"/>
        </w:rPr>
        <w:fldChar w:fldCharType="end"/>
      </w:r>
      <w:r>
        <w:rPr>
          <w:rFonts w:hint="eastAsia" w:eastAsia="宋体"/>
          <w:snapToGrid w:val="0"/>
          <w:sz w:val="24"/>
          <w:szCs w:val="24"/>
          <w:lang w:eastAsia="zh-CN"/>
        </w:rPr>
        <w:t>）。</w:t>
      </w:r>
    </w:p>
    <w:p w14:paraId="27E6581A">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电子医疗器械报告（eMDR）（</w:t>
      </w:r>
      <w:r>
        <w:fldChar w:fldCharType="begin"/>
      </w:r>
      <w:r>
        <w:instrText xml:space="preserve"> HYPERLINK "https://www.fda.gov/industry/fda-esubmitter/electronic-medical-device-reporting-emd" </w:instrText>
      </w:r>
      <w:r>
        <w:fldChar w:fldCharType="separate"/>
      </w:r>
      <w:r>
        <w:rPr>
          <w:rStyle w:val="20"/>
          <w:rFonts w:eastAsia="宋体"/>
        </w:rPr>
        <w:t>https://www.fda.gov/industry/fda-esubmitter/electronic-medical-device-reporting-emd</w:t>
      </w:r>
      <w:r>
        <w:rPr>
          <w:rStyle w:val="20"/>
          <w:rFonts w:eastAsia="宋体"/>
        </w:rPr>
        <w:fldChar w:fldCharType="end"/>
      </w:r>
      <w:r>
        <w:rPr>
          <w:rFonts w:hint="eastAsia" w:eastAsia="宋体"/>
          <w:snapToGrid w:val="0"/>
          <w:sz w:val="24"/>
          <w:szCs w:val="24"/>
          <w:lang w:eastAsia="zh-CN"/>
        </w:rPr>
        <w:t>r）</w:t>
      </w:r>
    </w:p>
    <w:p w14:paraId="731675B9">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CDRH-eMDR实施规范（</w:t>
      </w:r>
      <w:r>
        <w:fldChar w:fldCharType="begin"/>
      </w:r>
      <w:r>
        <w:instrText xml:space="preserve"> HYPERLINK "https://www.fda.gov/medical-devices/mandatory-reporting-requirements-manufacturers-importers-and-device-user-facilities/health-level-seven-hl7-individual-case-safety-reporting-icsr-files" </w:instrText>
      </w:r>
      <w:r>
        <w:fldChar w:fldCharType="separate"/>
      </w:r>
      <w:r>
        <w:rPr>
          <w:rStyle w:val="20"/>
          <w:rFonts w:hint="eastAsia" w:eastAsia="宋体"/>
          <w:snapToGrid w:val="0"/>
          <w:sz w:val="24"/>
          <w:szCs w:val="24"/>
          <w:u w:color="0000FF"/>
          <w:lang w:eastAsia="zh-CN"/>
        </w:rPr>
        <w:t>https://www.fda.gov/medical-devices/mandatory-reporting-requirements-manufacturers-importers-and-device-user-facilities/health-level-seven-hl7-individual-case-safety-reporting-icsr-files</w:t>
      </w:r>
      <w:r>
        <w:rPr>
          <w:rStyle w:val="20"/>
          <w:rFonts w:hint="eastAsia" w:eastAsia="宋体"/>
          <w:snapToGrid w:val="0"/>
          <w:sz w:val="24"/>
          <w:szCs w:val="24"/>
          <w:u w:color="0000FF"/>
          <w:lang w:eastAsia="zh-CN"/>
        </w:rPr>
        <w:fldChar w:fldCharType="end"/>
      </w:r>
      <w:r>
        <w:rPr>
          <w:rFonts w:hint="eastAsia" w:eastAsia="宋体"/>
          <w:snapToGrid w:val="0"/>
          <w:sz w:val="24"/>
          <w:szCs w:val="24"/>
          <w:lang w:eastAsia="zh-CN"/>
        </w:rPr>
        <w:t>）</w:t>
      </w:r>
    </w:p>
    <w:p w14:paraId="7405A94E">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CBER/CDER电子ICSR的技术规范，包含在</w:t>
      </w:r>
      <w:r>
        <w:rPr>
          <w:rFonts w:hint="eastAsia" w:eastAsia="宋体"/>
          <w:i/>
          <w:snapToGrid w:val="0"/>
          <w:sz w:val="24"/>
          <w:szCs w:val="24"/>
          <w:lang w:eastAsia="zh-CN"/>
        </w:rPr>
        <w:t>电子ICSR和ICSR附件的起草和申报规范</w:t>
      </w:r>
      <w:r>
        <w:rPr>
          <w:rFonts w:hint="eastAsia" w:eastAsia="宋体"/>
          <w:i/>
          <w:sz w:val="24"/>
        </w:rPr>
        <w:t>中</w:t>
      </w:r>
      <w:r>
        <w:rPr>
          <w:rFonts w:hint="eastAsia" w:eastAsia="宋体"/>
          <w:snapToGrid w:val="0"/>
          <w:sz w:val="24"/>
          <w:szCs w:val="24"/>
          <w:lang w:eastAsia="zh-CN"/>
        </w:rPr>
        <w:t>（</w:t>
      </w:r>
      <w:r>
        <w:fldChar w:fldCharType="begin"/>
      </w:r>
      <w:r>
        <w:instrText xml:space="preserve"> HYPERLINK "https://www.fda.gov/media/111763/download" \h </w:instrText>
      </w:r>
      <w:r>
        <w:fldChar w:fldCharType="separate"/>
      </w:r>
      <w:r>
        <w:rPr>
          <w:rFonts w:hint="eastAsia" w:eastAsia="宋体"/>
          <w:snapToGrid w:val="0"/>
          <w:color w:val="0000FF"/>
          <w:sz w:val="24"/>
          <w:szCs w:val="24"/>
          <w:u w:val="single" w:color="0000FF"/>
          <w:lang w:eastAsia="zh-CN"/>
        </w:rPr>
        <w:t>https://www.fda.gov/media/111763/download</w:t>
      </w:r>
      <w:r>
        <w:rPr>
          <w:rFonts w:hint="eastAsia" w:eastAsia="宋体"/>
          <w:snapToGrid w:val="0"/>
          <w:color w:val="0000FF"/>
          <w:sz w:val="24"/>
          <w:szCs w:val="24"/>
          <w:u w:val="single" w:color="0000FF"/>
          <w:lang w:eastAsia="zh-CN"/>
        </w:rPr>
        <w:fldChar w:fldCharType="end"/>
      </w:r>
      <w:r>
        <w:rPr>
          <w:rFonts w:hint="eastAsia" w:eastAsia="宋体"/>
          <w:snapToGrid w:val="0"/>
          <w:sz w:val="24"/>
          <w:szCs w:val="24"/>
          <w:lang w:eastAsia="zh-CN"/>
        </w:rPr>
        <w:t>）</w:t>
      </w:r>
    </w:p>
    <w:p w14:paraId="17A26BE9">
      <w:pPr>
        <w:pStyle w:val="24"/>
        <w:wordWrap w:val="0"/>
        <w:autoSpaceDE/>
        <w:autoSpaceDN/>
        <w:snapToGrid w:val="0"/>
        <w:ind w:left="1800" w:firstLine="0"/>
        <w:jc w:val="both"/>
        <w:rPr>
          <w:rFonts w:eastAsia="宋体"/>
          <w:snapToGrid w:val="0"/>
          <w:sz w:val="24"/>
          <w:szCs w:val="24"/>
          <w:lang w:eastAsia="zh-CN"/>
        </w:rPr>
      </w:pPr>
      <w:r>
        <w:rPr>
          <w:rFonts w:hint="eastAsia" w:eastAsia="宋体"/>
          <w:snapToGrid w:val="0"/>
          <w:sz w:val="24"/>
          <w:szCs w:val="24"/>
          <w:lang w:eastAsia="zh-CN"/>
        </w:rPr>
        <w:br w:type="page"/>
      </w:r>
    </w:p>
    <w:p w14:paraId="59292329">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CBER疫苗ICSR实施（包括有关疫苗不良事件报告系统或VAERS的信息）（</w:t>
      </w:r>
      <w:r>
        <w:fldChar w:fldCharType="begin"/>
      </w:r>
      <w:r>
        <w:instrText xml:space="preserve"> HYPERLINK "https://www.fda.gov/industry/about-esg/cber-vaccine-icsr-implementation" \h </w:instrText>
      </w:r>
      <w:r>
        <w:fldChar w:fldCharType="separate"/>
      </w:r>
      <w:r>
        <w:rPr>
          <w:rFonts w:hint="eastAsia" w:eastAsia="宋体"/>
          <w:snapToGrid w:val="0"/>
          <w:color w:val="0000FF"/>
          <w:sz w:val="24"/>
          <w:szCs w:val="24"/>
          <w:u w:val="single" w:color="0000FF"/>
          <w:lang w:eastAsia="zh-CN"/>
        </w:rPr>
        <w:t>https://www.fda.gov/industry/about-esg/cber-vaccine-icsr-implementation</w:t>
      </w:r>
      <w:r>
        <w:rPr>
          <w:rFonts w:hint="eastAsia" w:eastAsia="宋体"/>
          <w:snapToGrid w:val="0"/>
          <w:color w:val="0000FF"/>
          <w:sz w:val="24"/>
          <w:szCs w:val="24"/>
          <w:u w:val="single" w:color="0000FF"/>
          <w:lang w:eastAsia="zh-CN"/>
        </w:rPr>
        <w:fldChar w:fldCharType="end"/>
      </w:r>
      <w:r>
        <w:rPr>
          <w:rFonts w:hint="eastAsia" w:eastAsia="宋体"/>
          <w:snapToGrid w:val="0"/>
          <w:sz w:val="24"/>
          <w:szCs w:val="24"/>
          <w:lang w:eastAsia="zh-CN"/>
        </w:rPr>
        <w:t>）</w:t>
      </w:r>
    </w:p>
    <w:p w14:paraId="3B7C42B6">
      <w:pPr>
        <w:pStyle w:val="24"/>
        <w:autoSpaceDE/>
        <w:autoSpaceDN/>
        <w:snapToGrid w:val="0"/>
        <w:ind w:left="1800" w:firstLine="0"/>
        <w:jc w:val="both"/>
        <w:rPr>
          <w:rFonts w:eastAsia="宋体"/>
          <w:snapToGrid w:val="0"/>
          <w:sz w:val="24"/>
          <w:szCs w:val="24"/>
          <w:lang w:eastAsia="zh-CN"/>
        </w:rPr>
      </w:pPr>
    </w:p>
    <w:p w14:paraId="7D176C7F">
      <w:pPr>
        <w:pStyle w:val="24"/>
        <w:numPr>
          <w:ilvl w:val="0"/>
          <w:numId w:val="2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非ICSR：</w:t>
      </w:r>
    </w:p>
    <w:p w14:paraId="4DCF37E1">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现场警示报告：</w:t>
      </w:r>
      <w:r>
        <w:fldChar w:fldCharType="begin"/>
      </w:r>
      <w:r>
        <w:instrText xml:space="preserve"> HYPERLINK "https://www.fda.gov/drugs/surveillance/field-alert-reports和https://www.fda.gov/vaccines-blood-biologics/guidance-compliance-regulatory-information-biologics/submitting-field-alert-reports-fars-cber" </w:instrText>
      </w:r>
      <w:r>
        <w:fldChar w:fldCharType="separate"/>
      </w:r>
      <w:r>
        <w:rPr>
          <w:rStyle w:val="20"/>
          <w:rFonts w:hint="eastAsia" w:eastAsia="宋体"/>
          <w:snapToGrid w:val="0"/>
          <w:sz w:val="24"/>
          <w:szCs w:val="24"/>
          <w:u w:color="0000FF"/>
          <w:lang w:eastAsia="zh-CN"/>
        </w:rPr>
        <w:t>https://www.fda.gov/drugs/surveillance/field-alert-reports</w:t>
      </w:r>
      <w:r>
        <w:rPr>
          <w:rStyle w:val="20"/>
          <w:rFonts w:hint="eastAsia" w:eastAsia="宋体"/>
          <w:snapToGrid w:val="0"/>
          <w:sz w:val="24"/>
          <w:szCs w:val="24"/>
          <w:lang w:eastAsia="zh-CN"/>
        </w:rPr>
        <w:t>和</w:t>
      </w:r>
      <w:r>
        <w:rPr>
          <w:rStyle w:val="20"/>
          <w:rFonts w:hint="eastAsia" w:eastAsia="宋体"/>
          <w:snapToGrid w:val="0"/>
          <w:sz w:val="24"/>
          <w:szCs w:val="24"/>
          <w:u w:color="0000FF"/>
          <w:lang w:eastAsia="zh-CN"/>
        </w:rPr>
        <w:t>https://www.fda.gov/vaccines-blood-biologics/guidance-compliance-regulatory-information-biologics/submitting-field-alert-reports-fars-cber</w:t>
      </w:r>
      <w:r>
        <w:rPr>
          <w:rStyle w:val="20"/>
          <w:rFonts w:hint="eastAsia" w:eastAsia="宋体"/>
          <w:snapToGrid w:val="0"/>
          <w:sz w:val="24"/>
          <w:szCs w:val="24"/>
          <w:u w:color="0000FF"/>
          <w:lang w:eastAsia="zh-CN"/>
        </w:rPr>
        <w:fldChar w:fldCharType="end"/>
      </w:r>
    </w:p>
    <w:p w14:paraId="767ADD04">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召回、更正和移除：</w:t>
      </w:r>
      <w:r>
        <w:fldChar w:fldCharType="begin"/>
      </w:r>
      <w:r>
        <w:instrText xml:space="preserve"> HYPERLINK "https://www.fda.gov/medical-devices/postmarket-requirements-devices/recalls-corrections-and-removals-devices" </w:instrText>
      </w:r>
      <w:r>
        <w:fldChar w:fldCharType="separate"/>
      </w:r>
      <w:r>
        <w:rPr>
          <w:rStyle w:val="20"/>
          <w:rFonts w:hint="eastAsia" w:eastAsia="宋体"/>
          <w:snapToGrid w:val="0"/>
          <w:sz w:val="24"/>
          <w:szCs w:val="24"/>
          <w:u w:color="0000FF"/>
          <w:lang w:eastAsia="zh-CN"/>
        </w:rPr>
        <w:t>https://www.fda.gov/medical-devices/postmarket-requirements-devices/recalls-corrections-and-removals-devices</w:t>
      </w:r>
      <w:r>
        <w:rPr>
          <w:rStyle w:val="20"/>
          <w:rFonts w:hint="eastAsia" w:eastAsia="宋体"/>
          <w:snapToGrid w:val="0"/>
          <w:sz w:val="24"/>
          <w:szCs w:val="24"/>
          <w:u w:color="0000FF"/>
          <w:lang w:eastAsia="zh-CN"/>
        </w:rPr>
        <w:fldChar w:fldCharType="end"/>
      </w:r>
    </w:p>
    <w:p w14:paraId="52FF5D33">
      <w:pPr>
        <w:pStyle w:val="24"/>
        <w:numPr>
          <w:ilvl w:val="1"/>
          <w:numId w:val="21"/>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生物制品偏差报告：</w:t>
      </w:r>
      <w:r>
        <w:fldChar w:fldCharType="begin"/>
      </w:r>
      <w:r>
        <w:instrText xml:space="preserve"> HYPERLINK "https://www.fda.gov/vaccines-blood-%20biologics/report-problem-center-biologics-evaluation-research/general-instructions-completing-biological-product-deviation-report-bpdr-form-fda-3486" </w:instrText>
      </w:r>
      <w:r>
        <w:fldChar w:fldCharType="separate"/>
      </w:r>
      <w:r>
        <w:rPr>
          <w:rStyle w:val="20"/>
          <w:rFonts w:hint="eastAsia" w:eastAsia="宋体"/>
          <w:snapToGrid w:val="0"/>
          <w:sz w:val="24"/>
          <w:szCs w:val="24"/>
          <w:u w:color="0000FF"/>
          <w:lang w:eastAsia="zh-CN"/>
        </w:rPr>
        <w:t>https://www.fda.gov/vaccines-blood- biologics/report-problem-center-biologics-evaluation-research/general-instructions-completing-biological-product-deviation-report-bpdr-form-fda-3486</w:t>
      </w:r>
      <w:r>
        <w:rPr>
          <w:rStyle w:val="20"/>
          <w:rFonts w:hint="eastAsia" w:eastAsia="宋体"/>
          <w:snapToGrid w:val="0"/>
          <w:sz w:val="24"/>
          <w:szCs w:val="24"/>
          <w:u w:color="0000FF"/>
          <w:lang w:eastAsia="zh-CN"/>
        </w:rPr>
        <w:fldChar w:fldCharType="end"/>
      </w:r>
    </w:p>
    <w:p w14:paraId="7ACCB16F">
      <w:pPr>
        <w:pStyle w:val="24"/>
        <w:autoSpaceDE/>
        <w:autoSpaceDN/>
        <w:snapToGrid w:val="0"/>
        <w:ind w:left="1800" w:firstLine="0"/>
        <w:jc w:val="both"/>
        <w:rPr>
          <w:rFonts w:eastAsia="宋体"/>
          <w:snapToGrid w:val="0"/>
          <w:sz w:val="24"/>
          <w:szCs w:val="24"/>
          <w:lang w:eastAsia="zh-CN"/>
        </w:rPr>
      </w:pPr>
    </w:p>
    <w:p w14:paraId="2667D8B5">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简化同一事件的报告的方式？</w:t>
      </w:r>
    </w:p>
    <w:p w14:paraId="37C8251F">
      <w:pPr>
        <w:pStyle w:val="7"/>
        <w:autoSpaceDE/>
        <w:autoSpaceDN/>
        <w:snapToGrid w:val="0"/>
        <w:jc w:val="both"/>
        <w:rPr>
          <w:rFonts w:eastAsia="宋体"/>
          <w:snapToGrid w:val="0"/>
          <w:lang w:eastAsia="zh-CN"/>
        </w:rPr>
      </w:pPr>
    </w:p>
    <w:p w14:paraId="3B348D79">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w:t>
      </w:r>
      <w:r>
        <w:rPr>
          <w:rFonts w:hint="eastAsia" w:eastAsia="宋体"/>
          <w:snapToGrid w:val="0"/>
          <w:lang w:eastAsia="zh-CN"/>
        </w:rPr>
        <w:t>组合产品申请人可提交一份单一ICSR，而不是数份单独报告，以符合通过同一事件ICSR适当满足多项报告的要求（见上文第IV.C节）。例如：</w:t>
      </w:r>
    </w:p>
    <w:p w14:paraId="7E59DA6B">
      <w:pPr>
        <w:pStyle w:val="7"/>
        <w:autoSpaceDE/>
        <w:autoSpaceDN/>
        <w:snapToGrid w:val="0"/>
        <w:jc w:val="both"/>
        <w:rPr>
          <w:rFonts w:eastAsia="宋体"/>
          <w:snapToGrid w:val="0"/>
          <w:lang w:eastAsia="zh-CN"/>
        </w:rPr>
      </w:pPr>
    </w:p>
    <w:p w14:paraId="3ABBD299">
      <w:pPr>
        <w:pStyle w:val="24"/>
        <w:numPr>
          <w:ilvl w:val="0"/>
          <w:numId w:val="22"/>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假设持有药品-器械组合产品NDA批件的组合产品申请人必须提交15天（参见《美国联邦法规》第21篇第314.80节）和故障报告（参见《美国联邦法规》第21篇第803.50节）。则申请人可以在15天内提交一份同时包含两种事件报告类型所有要求信息的报告来满足这两项要求（参见《美国联邦法规》第21篇第4.102（b）和（c）节）。</w:t>
      </w:r>
      <w:r>
        <w:rPr>
          <w:rStyle w:val="22"/>
          <w:rFonts w:hint="eastAsia" w:eastAsia="宋体"/>
          <w:snapToGrid w:val="0"/>
          <w:sz w:val="24"/>
          <w:szCs w:val="24"/>
          <w:lang w:eastAsia="zh-CN"/>
        </w:rPr>
        <w:footnoteReference w:id="39"/>
      </w:r>
    </w:p>
    <w:p w14:paraId="29EC2C77">
      <w:pPr>
        <w:pStyle w:val="24"/>
        <w:tabs>
          <w:tab w:val="left" w:pos="911"/>
        </w:tabs>
        <w:autoSpaceDE/>
        <w:autoSpaceDN/>
        <w:snapToGrid w:val="0"/>
        <w:ind w:left="920" w:firstLine="0"/>
        <w:jc w:val="both"/>
        <w:rPr>
          <w:rFonts w:eastAsia="宋体"/>
          <w:snapToGrid w:val="0"/>
          <w:sz w:val="24"/>
          <w:szCs w:val="24"/>
          <w:lang w:eastAsia="zh-CN"/>
        </w:rPr>
      </w:pPr>
    </w:p>
    <w:p w14:paraId="0CBA5BDE">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ICSR中的更正/移除。</w:t>
      </w:r>
      <w:r>
        <w:rPr>
          <w:rFonts w:hint="eastAsia" w:eastAsia="宋体"/>
          <w:snapToGrid w:val="0"/>
          <w:lang w:eastAsia="zh-CN"/>
        </w:rPr>
        <w:t>组合产品申请人可通过重伤或死亡报告（适用于器械申请的组合产品）、15天报告、故障报告或5天报告来报告更正或移除（参见《美国联邦法规》第21篇第4.102和806.10（f）节；另参见81 FR第92612-13和92615页）。例如：</w:t>
      </w:r>
    </w:p>
    <w:p w14:paraId="09FB9B99">
      <w:pPr>
        <w:pStyle w:val="7"/>
        <w:autoSpaceDE/>
        <w:autoSpaceDN/>
        <w:snapToGrid w:val="0"/>
        <w:jc w:val="both"/>
        <w:rPr>
          <w:rFonts w:eastAsia="宋体"/>
          <w:snapToGrid w:val="0"/>
          <w:lang w:eastAsia="zh-CN"/>
        </w:rPr>
      </w:pPr>
    </w:p>
    <w:p w14:paraId="0868BF19">
      <w:pPr>
        <w:pStyle w:val="24"/>
        <w:numPr>
          <w:ilvl w:val="0"/>
          <w:numId w:val="22"/>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假设持有器械-生物制品组合产品PMA批件的组合产品申请人必须提交5天（参见《美国联邦法规》第21篇第803.3和803.53节）和更正或移除（参见《美国联邦法规》第21篇第806.10节）报告。则申请人可以通过提交一份包含所有要求信息的报告来满足这两项要求，并在确定需要采取补救措施后不超过5个工作日内提交该报告（参见《美国联邦法规》第21篇第4.102（b）、803.53和806.10（f）节）。</w:t>
      </w:r>
    </w:p>
    <w:p w14:paraId="3C36BFAB">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1491EA47">
      <w:pPr>
        <w:pStyle w:val="7"/>
        <w:autoSpaceDE/>
        <w:autoSpaceDN/>
        <w:snapToGrid w:val="0"/>
        <w:ind w:firstLine="440" w:firstLineChars="200"/>
        <w:jc w:val="both"/>
        <w:rPr>
          <w:rFonts w:eastAsia="宋体"/>
          <w:snapToGrid w:val="0"/>
          <w:lang w:eastAsia="zh-CN"/>
        </w:rPr>
      </w:pPr>
      <w:r>
        <w:rPr>
          <w:rFonts w:hint="eastAsia" w:eastAsia="宋体"/>
          <w:i/>
          <w:sz w:val="22"/>
          <w:lang w:eastAsia="zh-CN"/>
        </w:rPr>
        <w:t>非</w:t>
      </w:r>
      <w:r>
        <w:rPr>
          <w:rFonts w:eastAsia="宋体"/>
          <w:i/>
          <w:sz w:val="22"/>
          <w:lang w:eastAsia="zh-CN"/>
        </w:rPr>
        <w:t>ICSR</w:t>
      </w:r>
      <w:r>
        <w:rPr>
          <w:rFonts w:hint="eastAsia" w:eastAsia="宋体"/>
          <w:i/>
          <w:snapToGrid w:val="0"/>
          <w:lang w:eastAsia="zh-CN"/>
        </w:rPr>
        <w:t>—现场警示报告和生物制品偏差</w:t>
      </w:r>
      <w:r>
        <w:rPr>
          <w:rFonts w:hint="eastAsia" w:eastAsia="宋体"/>
          <w:i/>
          <w:sz w:val="22"/>
          <w:lang w:eastAsia="zh-CN"/>
        </w:rPr>
        <w:t>报告</w:t>
      </w:r>
      <w:r>
        <w:rPr>
          <w:rFonts w:hint="eastAsia" w:eastAsia="宋体"/>
          <w:i/>
          <w:snapToGrid w:val="0"/>
          <w:lang w:eastAsia="zh-CN"/>
        </w:rPr>
        <w:t>。</w:t>
      </w:r>
      <w:r>
        <w:rPr>
          <w:rFonts w:hint="eastAsia" w:eastAsia="宋体"/>
          <w:snapToGrid w:val="0"/>
          <w:lang w:eastAsia="zh-CN"/>
        </w:rPr>
        <w:t>如果包含药物和生物制品组成部分的已分销组合产品的一项事件要求提交现场警示报告和生物制品偏差报告，那么FDA不反对组合产品申请人提交一份同时符合现场警示报告和生物制品偏差报告的单一报告，前提是该报告：</w:t>
      </w:r>
    </w:p>
    <w:p w14:paraId="42717ABD">
      <w:pPr>
        <w:pStyle w:val="7"/>
        <w:autoSpaceDE/>
        <w:autoSpaceDN/>
        <w:snapToGrid w:val="0"/>
        <w:jc w:val="both"/>
        <w:rPr>
          <w:rFonts w:eastAsia="宋体"/>
          <w:snapToGrid w:val="0"/>
          <w:lang w:eastAsia="zh-CN"/>
        </w:rPr>
      </w:pPr>
    </w:p>
    <w:p w14:paraId="4DA6295A">
      <w:pPr>
        <w:pStyle w:val="24"/>
        <w:numPr>
          <w:ilvl w:val="0"/>
          <w:numId w:val="2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指定为NDA/ANDA组合产品的现场警示报告或BLA组合产品的生物制品偏差报告；</w:t>
      </w:r>
    </w:p>
    <w:p w14:paraId="1682C883">
      <w:pPr>
        <w:pStyle w:val="24"/>
        <w:numPr>
          <w:ilvl w:val="0"/>
          <w:numId w:val="2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包含有关事件和组合产品的充分信息，包括药品和生物制品组成部分（例如商品名、活性成分、剂型、浓度）以及引发现场警示报告和生物制品偏差报告的问题；</w:t>
      </w:r>
    </w:p>
    <w:p w14:paraId="59328607">
      <w:pPr>
        <w:pStyle w:val="24"/>
        <w:numPr>
          <w:ilvl w:val="0"/>
          <w:numId w:val="2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按照牵头中心的程序提交，以及</w:t>
      </w:r>
    </w:p>
    <w:p w14:paraId="01E394E1">
      <w:pPr>
        <w:pStyle w:val="24"/>
        <w:numPr>
          <w:ilvl w:val="0"/>
          <w:numId w:val="23"/>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在较短的时间范围内提交（即，现场警示报告在3个工作日的时间范围内提交，而生物制品偏差报告在45个日历日的时间范围内提交）。</w:t>
      </w:r>
    </w:p>
    <w:p w14:paraId="3E0A0D8E">
      <w:pPr>
        <w:pStyle w:val="24"/>
        <w:tabs>
          <w:tab w:val="left" w:pos="911"/>
        </w:tabs>
        <w:autoSpaceDE/>
        <w:autoSpaceDN/>
        <w:snapToGrid w:val="0"/>
        <w:ind w:left="920" w:firstLine="0"/>
        <w:jc w:val="both"/>
        <w:rPr>
          <w:rFonts w:eastAsia="宋体"/>
          <w:snapToGrid w:val="0"/>
          <w:sz w:val="24"/>
          <w:szCs w:val="24"/>
          <w:lang w:eastAsia="zh-CN"/>
        </w:rPr>
      </w:pPr>
    </w:p>
    <w:p w14:paraId="1E432A6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本机构鼓励有意建立提交此类FAR/BPDR组合报告程序的组合产品申请人与牵头中心或OCP讨论该方法。</w:t>
      </w:r>
    </w:p>
    <w:p w14:paraId="15930716">
      <w:pPr>
        <w:pStyle w:val="7"/>
        <w:autoSpaceDE/>
        <w:autoSpaceDN/>
        <w:snapToGrid w:val="0"/>
        <w:jc w:val="both"/>
        <w:rPr>
          <w:rFonts w:eastAsia="宋体"/>
          <w:snapToGrid w:val="0"/>
          <w:lang w:eastAsia="zh-CN"/>
        </w:rPr>
      </w:pPr>
    </w:p>
    <w:p w14:paraId="20F4D8A1">
      <w:pPr>
        <w:pStyle w:val="3"/>
        <w:autoSpaceDE/>
        <w:autoSpaceDN/>
        <w:spacing w:before="0" w:beforeLines="0" w:line="240" w:lineRule="auto"/>
        <w:ind w:left="1442" w:leftChars="400" w:hanging="562"/>
        <w:rPr>
          <w:snapToGrid w:val="0"/>
          <w:szCs w:val="24"/>
          <w:lang w:eastAsia="zh-CN"/>
        </w:rPr>
      </w:pPr>
      <w:bookmarkStart w:id="36" w:name="_Toc95145708"/>
      <w:bookmarkStart w:id="37" w:name="_Toc97551509"/>
      <w:r>
        <w:rPr>
          <w:rFonts w:hint="eastAsia"/>
          <w:snapToGrid w:val="0"/>
          <w:szCs w:val="24"/>
          <w:lang w:eastAsia="zh-CN"/>
        </w:rPr>
        <w:t>B.</w:t>
      </w:r>
      <w:r>
        <w:rPr>
          <w:rFonts w:hint="eastAsia"/>
          <w:snapToGrid w:val="0"/>
          <w:szCs w:val="24"/>
          <w:lang w:eastAsia="zh-CN"/>
        </w:rPr>
        <w:tab/>
      </w:r>
      <w:r>
        <w:rPr>
          <w:rFonts w:hint="eastAsia"/>
          <w:snapToGrid w:val="0"/>
          <w:szCs w:val="24"/>
          <w:lang w:eastAsia="zh-CN"/>
        </w:rPr>
        <w:t>组合产品PMSR报告中应包含何种信息</w:t>
      </w:r>
      <w:bookmarkEnd w:id="36"/>
      <w:r>
        <w:rPr>
          <w:rFonts w:hint="eastAsia"/>
          <w:szCs w:val="24"/>
          <w:vertAlign w:val="superscript"/>
          <w:lang w:eastAsia="zh-CN"/>
        </w:rPr>
        <w:footnoteReference w:id="40"/>
      </w:r>
      <w:bookmarkEnd w:id="37"/>
    </w:p>
    <w:p w14:paraId="46159037">
      <w:pPr>
        <w:pStyle w:val="7"/>
        <w:autoSpaceDE/>
        <w:autoSpaceDN/>
        <w:snapToGrid w:val="0"/>
        <w:jc w:val="both"/>
        <w:rPr>
          <w:rFonts w:eastAsia="宋体"/>
          <w:snapToGrid w:val="0"/>
          <w:lang w:eastAsia="zh-CN"/>
        </w:rPr>
      </w:pPr>
    </w:p>
    <w:p w14:paraId="1632B9D4">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提交组合产品PMSR报告时的一般内容</w:t>
      </w:r>
    </w:p>
    <w:p w14:paraId="27BB4757">
      <w:pPr>
        <w:pStyle w:val="7"/>
        <w:autoSpaceDE/>
        <w:autoSpaceDN/>
        <w:snapToGrid w:val="0"/>
        <w:jc w:val="both"/>
        <w:rPr>
          <w:rFonts w:eastAsia="宋体"/>
          <w:snapToGrid w:val="0"/>
          <w:lang w:eastAsia="zh-CN"/>
        </w:rPr>
      </w:pPr>
    </w:p>
    <w:p w14:paraId="580DBB1B">
      <w:pPr>
        <w:pStyle w:val="7"/>
        <w:autoSpaceDE/>
        <w:autoSpaceDN/>
        <w:snapToGrid w:val="0"/>
        <w:jc w:val="both"/>
        <w:rPr>
          <w:rFonts w:eastAsia="宋体"/>
          <w:snapToGrid w:val="0"/>
          <w:lang w:eastAsia="zh-CN"/>
        </w:rPr>
      </w:pPr>
      <w:r>
        <w:rPr>
          <w:rFonts w:hint="eastAsia" w:eastAsia="宋体"/>
          <w:snapToGrid w:val="0"/>
          <w:lang w:eastAsia="zh-CN"/>
        </w:rPr>
        <w:t>组合产品的PMSR报告：</w:t>
      </w:r>
    </w:p>
    <w:p w14:paraId="6399E314">
      <w:pPr>
        <w:pStyle w:val="7"/>
        <w:autoSpaceDE/>
        <w:autoSpaceDN/>
        <w:snapToGrid w:val="0"/>
        <w:jc w:val="both"/>
        <w:rPr>
          <w:rFonts w:eastAsia="宋体"/>
          <w:snapToGrid w:val="0"/>
          <w:lang w:eastAsia="zh-CN"/>
        </w:rPr>
      </w:pPr>
    </w:p>
    <w:p w14:paraId="281C2D91">
      <w:pPr>
        <w:pStyle w:val="24"/>
        <w:numPr>
          <w:ilvl w:val="0"/>
          <w:numId w:val="24"/>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必须包含适用法规下报告类型所需的所有信息，包括整个产品（包括每个组成部分）（《美国联邦法规》第21篇第4.102节）的相关信息，以及</w:t>
      </w:r>
    </w:p>
    <w:p w14:paraId="7CACC5EB">
      <w:pPr>
        <w:pStyle w:val="24"/>
        <w:numPr>
          <w:ilvl w:val="0"/>
          <w:numId w:val="24"/>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在组合产品申请人针对同一事件或产品问题提交多种类型报告的情况下，这些报告应包含对相关PMSR报告的参考，包括先前提交的PMSR报告，并与牵头中心的报告政策和实践保持一致。</w:t>
      </w:r>
    </w:p>
    <w:p w14:paraId="6B99A3B7">
      <w:pPr>
        <w:pStyle w:val="24"/>
        <w:tabs>
          <w:tab w:val="left" w:pos="911"/>
        </w:tabs>
        <w:autoSpaceDE/>
        <w:autoSpaceDN/>
        <w:snapToGrid w:val="0"/>
        <w:ind w:left="920" w:firstLine="0"/>
        <w:jc w:val="both"/>
        <w:rPr>
          <w:rFonts w:eastAsia="宋体"/>
          <w:snapToGrid w:val="0"/>
          <w:sz w:val="24"/>
          <w:szCs w:val="24"/>
          <w:lang w:eastAsia="zh-CN"/>
        </w:rPr>
      </w:pPr>
    </w:p>
    <w:p w14:paraId="716F4B13">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包括在组合产品ICSR中的附加信息</w:t>
      </w:r>
    </w:p>
    <w:p w14:paraId="6084EE4D">
      <w:pPr>
        <w:pStyle w:val="7"/>
        <w:autoSpaceDE/>
        <w:autoSpaceDN/>
        <w:snapToGrid w:val="0"/>
        <w:jc w:val="both"/>
        <w:rPr>
          <w:rFonts w:eastAsia="宋体"/>
          <w:snapToGrid w:val="0"/>
          <w:lang w:eastAsia="zh-CN"/>
        </w:rPr>
      </w:pPr>
    </w:p>
    <w:p w14:paraId="6446E1C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本节确定了组合产品申请人应在ICSR中包括的信息类型（如果报告类型的适用法规尚未要求），以实现高效且有效的评价。</w:t>
      </w:r>
      <w:r>
        <w:rPr>
          <w:rStyle w:val="22"/>
          <w:rFonts w:hint="eastAsia" w:eastAsia="宋体"/>
          <w:snapToGrid w:val="0"/>
          <w:lang w:eastAsia="zh-CN"/>
        </w:rPr>
        <w:footnoteReference w:id="41"/>
      </w:r>
      <w:r>
        <w:rPr>
          <w:rFonts w:hint="eastAsia" w:eastAsia="宋体"/>
          <w:snapToGrid w:val="0"/>
          <w:lang w:eastAsia="zh-CN"/>
        </w:rPr>
        <w:t>关于完成和提交报告方式的具体细节，请参见各项ICSR报告机制的技术规范和说明。</w:t>
      </w:r>
      <w:r>
        <w:rPr>
          <w:rStyle w:val="22"/>
          <w:rFonts w:hint="eastAsia" w:eastAsia="宋体"/>
          <w:snapToGrid w:val="0"/>
          <w:lang w:eastAsia="zh-CN"/>
        </w:rPr>
        <w:footnoteReference w:id="42"/>
      </w:r>
    </w:p>
    <w:p w14:paraId="75F74553">
      <w:pPr>
        <w:autoSpaceDE/>
        <w:autoSpaceDN/>
        <w:snapToGrid w:val="0"/>
        <w:jc w:val="both"/>
        <w:rPr>
          <w:rFonts w:eastAsia="宋体"/>
          <w:snapToGrid w:val="0"/>
          <w:sz w:val="24"/>
          <w:szCs w:val="24"/>
          <w:lang w:eastAsia="zh-CN"/>
        </w:rPr>
      </w:pPr>
      <w:bookmarkStart w:id="38" w:name="_bookmark69"/>
      <w:bookmarkEnd w:id="38"/>
      <w:r>
        <w:rPr>
          <w:rFonts w:hint="eastAsia" w:eastAsia="宋体"/>
          <w:snapToGrid w:val="0"/>
          <w:sz w:val="24"/>
          <w:szCs w:val="24"/>
          <w:lang w:eastAsia="zh-CN"/>
        </w:rPr>
        <w:br w:type="page"/>
      </w:r>
    </w:p>
    <w:p w14:paraId="06590ABE">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应提供以下信息，包括关于组合产品组成部分的信息，无论该事件涉及哪些组成部分。例如，即使需要15天报告的事件似乎与器械组成部分无关，也应包括组合产品器械组成部分的信息。</w:t>
      </w:r>
    </w:p>
    <w:p w14:paraId="3F75CAF8">
      <w:pPr>
        <w:pStyle w:val="7"/>
        <w:autoSpaceDE/>
        <w:autoSpaceDN/>
        <w:snapToGrid w:val="0"/>
        <w:jc w:val="both"/>
        <w:rPr>
          <w:rFonts w:eastAsia="宋体"/>
          <w:snapToGrid w:val="0"/>
          <w:lang w:eastAsia="zh-CN"/>
        </w:rPr>
      </w:pPr>
    </w:p>
    <w:p w14:paraId="1051540B">
      <w:pPr>
        <w:pStyle w:val="7"/>
        <w:wordWrap w:val="0"/>
        <w:autoSpaceDE/>
        <w:autoSpaceDN/>
        <w:snapToGrid w:val="0"/>
        <w:ind w:firstLine="480" w:firstLineChars="200"/>
        <w:jc w:val="both"/>
        <w:rPr>
          <w:rFonts w:eastAsia="宋体"/>
          <w:snapToGrid w:val="0"/>
          <w:lang w:eastAsia="zh-CN"/>
        </w:rPr>
      </w:pPr>
      <w:r>
        <w:rPr>
          <w:rFonts w:hint="eastAsia" w:eastAsia="宋体"/>
          <w:snapToGrid w:val="0"/>
          <w:lang w:eastAsia="zh-CN"/>
        </w:rPr>
        <w:t>向FDA报告系统（FAERS等）报告以下信息的示例，另参见</w:t>
      </w:r>
      <w:r>
        <w:fldChar w:fldCharType="begin"/>
      </w:r>
      <w:r>
        <w:instrText xml:space="preserve"> HYPERLINK "https://www.fda.gov/combination-products/guidance-regulatory-information/postmarketing-safety-reporting-combination-products。" </w:instrText>
      </w:r>
      <w:r>
        <w:fldChar w:fldCharType="separate"/>
      </w:r>
      <w:r>
        <w:rPr>
          <w:rStyle w:val="20"/>
          <w:rFonts w:hint="eastAsia" w:eastAsia="宋体"/>
          <w:snapToGrid w:val="0"/>
          <w:u w:color="0000FF"/>
          <w:lang w:eastAsia="zh-CN"/>
        </w:rPr>
        <w:t>https://www.fda.gov/combination-products/guidance-regulatory-information/postmarketing-safety-reporting-combination-products</w:t>
      </w:r>
      <w:r>
        <w:rPr>
          <w:rStyle w:val="20"/>
          <w:rFonts w:hint="eastAsia" w:eastAsia="宋体"/>
          <w:snapToGrid w:val="0"/>
          <w:color w:val="000000"/>
          <w:u w:val="none"/>
          <w:lang w:eastAsia="zh-CN"/>
        </w:rPr>
        <w:t>。</w:t>
      </w:r>
      <w:r>
        <w:rPr>
          <w:rStyle w:val="20"/>
          <w:rFonts w:hint="eastAsia" w:eastAsia="宋体"/>
          <w:snapToGrid w:val="0"/>
          <w:color w:val="000000"/>
          <w:u w:val="none"/>
          <w:lang w:eastAsia="zh-CN"/>
        </w:rPr>
        <w:fldChar w:fldCharType="end"/>
      </w:r>
    </w:p>
    <w:p w14:paraId="75EA246B">
      <w:pPr>
        <w:pStyle w:val="7"/>
        <w:autoSpaceDE/>
        <w:autoSpaceDN/>
        <w:snapToGrid w:val="0"/>
        <w:jc w:val="both"/>
        <w:rPr>
          <w:rFonts w:eastAsia="宋体"/>
          <w:snapToGrid w:val="0"/>
          <w:lang w:eastAsia="zh-CN"/>
        </w:rPr>
      </w:pPr>
    </w:p>
    <w:p w14:paraId="731D1D1A">
      <w:pPr>
        <w:pStyle w:val="24"/>
        <w:numPr>
          <w:ilvl w:val="0"/>
          <w:numId w:val="2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组合产品标识符。</w:t>
      </w:r>
      <w:r>
        <w:rPr>
          <w:rFonts w:hint="eastAsia" w:eastAsia="宋体"/>
          <w:snapToGrid w:val="0"/>
          <w:sz w:val="24"/>
          <w:szCs w:val="24"/>
          <w:lang w:eastAsia="zh-CN"/>
        </w:rPr>
        <w:t>指明该报告是针对组合产品。如果申请人以非组合和组合产品配置（例如，使用和不使用注射器包装的相同药品）销售一个产品，则仅在组合产品配置发生的事件中纳入该组合产品标识符。</w:t>
      </w:r>
      <w:r>
        <w:rPr>
          <w:rStyle w:val="22"/>
          <w:rFonts w:hint="eastAsia" w:eastAsia="宋体"/>
          <w:snapToGrid w:val="0"/>
          <w:sz w:val="24"/>
          <w:szCs w:val="24"/>
          <w:lang w:eastAsia="zh-CN"/>
        </w:rPr>
        <w:footnoteReference w:id="43"/>
      </w:r>
    </w:p>
    <w:p w14:paraId="79B1BB4E">
      <w:pPr>
        <w:pStyle w:val="24"/>
        <w:tabs>
          <w:tab w:val="left" w:pos="911"/>
        </w:tabs>
        <w:autoSpaceDE/>
        <w:autoSpaceDN/>
        <w:snapToGrid w:val="0"/>
        <w:ind w:left="920" w:firstLine="0"/>
        <w:jc w:val="both"/>
        <w:rPr>
          <w:rFonts w:eastAsia="宋体"/>
          <w:snapToGrid w:val="0"/>
          <w:sz w:val="24"/>
          <w:szCs w:val="24"/>
          <w:lang w:eastAsia="zh-CN"/>
        </w:rPr>
      </w:pPr>
    </w:p>
    <w:p w14:paraId="4454FDB2">
      <w:pPr>
        <w:pStyle w:val="24"/>
        <w:numPr>
          <w:ilvl w:val="0"/>
          <w:numId w:val="2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报告类型。</w:t>
      </w:r>
      <w:r>
        <w:rPr>
          <w:rFonts w:hint="eastAsia" w:eastAsia="宋体"/>
          <w:snapToGrid w:val="0"/>
          <w:sz w:val="24"/>
          <w:szCs w:val="24"/>
          <w:lang w:eastAsia="zh-CN"/>
        </w:rPr>
        <w:t>明确报告类型。如果一项提交涵盖多项报告要求，则应明确每种报告类型（例如，如果报告涵盖15天和故障报告要求，则应为每种报告类型提供适当的标识符）。</w:t>
      </w:r>
    </w:p>
    <w:p w14:paraId="56BC85CA">
      <w:pPr>
        <w:pStyle w:val="24"/>
        <w:tabs>
          <w:tab w:val="left" w:pos="911"/>
        </w:tabs>
        <w:autoSpaceDE/>
        <w:autoSpaceDN/>
        <w:snapToGrid w:val="0"/>
        <w:ind w:left="920" w:firstLine="0"/>
        <w:jc w:val="both"/>
        <w:rPr>
          <w:rFonts w:eastAsia="宋体"/>
          <w:snapToGrid w:val="0"/>
          <w:sz w:val="24"/>
          <w:szCs w:val="24"/>
          <w:lang w:eastAsia="zh-CN"/>
        </w:rPr>
      </w:pPr>
    </w:p>
    <w:p w14:paraId="41E7E265">
      <w:pPr>
        <w:pStyle w:val="24"/>
        <w:numPr>
          <w:ilvl w:val="0"/>
          <w:numId w:val="2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患者标识符。</w:t>
      </w:r>
      <w:r>
        <w:rPr>
          <w:rFonts w:hint="eastAsia" w:eastAsia="宋体"/>
          <w:snapToGrid w:val="0"/>
          <w:sz w:val="24"/>
          <w:szCs w:val="24"/>
          <w:lang w:eastAsia="zh-CN"/>
        </w:rPr>
        <w:t>提供患者标识符。如果事件中不涉及患者（例如，如果发生故障且不涉及患者），则输入</w:t>
      </w:r>
      <w:r>
        <w:rPr>
          <w:rFonts w:hint="eastAsia" w:ascii="宋体" w:hAnsi="宋体" w:eastAsia="宋体"/>
          <w:sz w:val="24"/>
          <w:lang w:eastAsia="zh-CN"/>
        </w:rPr>
        <w:t>“</w:t>
      </w:r>
      <w:r>
        <w:rPr>
          <w:rFonts w:hint="eastAsia" w:eastAsia="宋体"/>
          <w:snapToGrid w:val="0"/>
          <w:sz w:val="24"/>
          <w:szCs w:val="24"/>
          <w:lang w:eastAsia="zh-CN"/>
        </w:rPr>
        <w:t>无</w:t>
      </w:r>
      <w:r>
        <w:rPr>
          <w:rFonts w:hint="eastAsia" w:ascii="宋体" w:hAnsi="宋体" w:eastAsia="宋体"/>
          <w:sz w:val="24"/>
          <w:lang w:eastAsia="zh-CN"/>
        </w:rPr>
        <w:t>”</w:t>
      </w:r>
      <w:r>
        <w:rPr>
          <w:rFonts w:hint="eastAsia" w:eastAsia="宋体"/>
          <w:snapToGrid w:val="0"/>
          <w:sz w:val="24"/>
          <w:szCs w:val="24"/>
          <w:lang w:eastAsia="zh-CN"/>
        </w:rPr>
        <w:t>。</w:t>
      </w:r>
    </w:p>
    <w:p w14:paraId="73AAF898">
      <w:pPr>
        <w:pStyle w:val="24"/>
        <w:tabs>
          <w:tab w:val="left" w:pos="911"/>
        </w:tabs>
        <w:autoSpaceDE/>
        <w:autoSpaceDN/>
        <w:snapToGrid w:val="0"/>
        <w:ind w:left="920" w:firstLine="0"/>
        <w:jc w:val="both"/>
        <w:rPr>
          <w:rFonts w:eastAsia="宋体"/>
          <w:snapToGrid w:val="0"/>
          <w:sz w:val="24"/>
          <w:szCs w:val="24"/>
          <w:lang w:eastAsia="zh-CN"/>
        </w:rPr>
      </w:pPr>
    </w:p>
    <w:p w14:paraId="64AA8F8F">
      <w:pPr>
        <w:pStyle w:val="24"/>
        <w:numPr>
          <w:ilvl w:val="0"/>
          <w:numId w:val="2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报告标识符。</w:t>
      </w:r>
      <w:r>
        <w:rPr>
          <w:rFonts w:hint="eastAsia" w:eastAsia="宋体"/>
          <w:snapToGrid w:val="0"/>
          <w:sz w:val="24"/>
          <w:szCs w:val="24"/>
          <w:lang w:eastAsia="zh-CN"/>
        </w:rPr>
        <w:t>向组合产品申请人提供报告的个例标识符。</w:t>
      </w:r>
    </w:p>
    <w:p w14:paraId="2D25302C">
      <w:pPr>
        <w:pStyle w:val="24"/>
        <w:tabs>
          <w:tab w:val="left" w:pos="911"/>
        </w:tabs>
        <w:autoSpaceDE/>
        <w:autoSpaceDN/>
        <w:snapToGrid w:val="0"/>
        <w:ind w:left="920" w:firstLine="0"/>
        <w:jc w:val="both"/>
        <w:rPr>
          <w:rFonts w:eastAsia="宋体"/>
          <w:snapToGrid w:val="0"/>
          <w:sz w:val="24"/>
          <w:szCs w:val="24"/>
          <w:lang w:eastAsia="zh-CN"/>
        </w:rPr>
      </w:pPr>
    </w:p>
    <w:p w14:paraId="0E30FCB1">
      <w:pPr>
        <w:pStyle w:val="24"/>
        <w:numPr>
          <w:ilvl w:val="0"/>
          <w:numId w:val="25"/>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疑似</w:t>
      </w:r>
      <w:r>
        <w:rPr>
          <w:rStyle w:val="22"/>
          <w:rFonts w:hint="eastAsia" w:eastAsia="宋体"/>
          <w:snapToGrid w:val="0"/>
          <w:sz w:val="24"/>
          <w:szCs w:val="24"/>
          <w:u w:val="single"/>
          <w:lang w:eastAsia="zh-CN"/>
        </w:rPr>
        <w:footnoteReference w:id="44"/>
      </w:r>
      <w:r>
        <w:rPr>
          <w:rFonts w:hint="eastAsia" w:eastAsia="宋体"/>
          <w:snapToGrid w:val="0"/>
          <w:sz w:val="24"/>
          <w:szCs w:val="24"/>
          <w:u w:val="single"/>
          <w:lang w:eastAsia="zh-CN"/>
        </w:rPr>
        <w:t>医疗器械。</w:t>
      </w:r>
      <w:r>
        <w:rPr>
          <w:rFonts w:hint="eastAsia" w:eastAsia="宋体"/>
          <w:snapToGrid w:val="0"/>
          <w:sz w:val="24"/>
          <w:szCs w:val="24"/>
          <w:lang w:eastAsia="zh-CN"/>
        </w:rPr>
        <w:t>包括与器械组成部分最接近的产品代码，以及器械通用名和/或品牌名（如适用）。</w:t>
      </w:r>
      <w:r>
        <w:rPr>
          <w:rStyle w:val="22"/>
          <w:rFonts w:hint="eastAsia" w:eastAsia="宋体"/>
          <w:snapToGrid w:val="0"/>
          <w:sz w:val="24"/>
          <w:szCs w:val="24"/>
          <w:lang w:eastAsia="zh-CN"/>
        </w:rPr>
        <w:footnoteReference w:id="45"/>
      </w:r>
    </w:p>
    <w:p w14:paraId="7718CF7D">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4AF024E5">
      <w:pPr>
        <w:autoSpaceDE/>
        <w:autoSpaceDN/>
        <w:snapToGrid w:val="0"/>
        <w:jc w:val="both"/>
        <w:rPr>
          <w:rFonts w:eastAsia="宋体"/>
          <w:snapToGrid w:val="0"/>
          <w:sz w:val="24"/>
          <w:szCs w:val="24"/>
          <w:lang w:eastAsia="zh-CN"/>
        </w:rPr>
      </w:pPr>
    </w:p>
    <w:p w14:paraId="72D6A644">
      <w:pPr>
        <w:pStyle w:val="7"/>
        <w:wordWrap w:val="0"/>
        <w:autoSpaceDE/>
        <w:autoSpaceDN/>
        <w:snapToGrid w:val="0"/>
        <w:ind w:left="902" w:leftChars="410" w:firstLine="480" w:firstLineChars="200"/>
        <w:jc w:val="both"/>
        <w:rPr>
          <w:rFonts w:eastAsia="宋体"/>
          <w:snapToGrid w:val="0"/>
          <w:lang w:eastAsia="zh-CN"/>
        </w:rPr>
      </w:pPr>
      <w:r>
        <w:rPr>
          <w:rFonts w:hint="eastAsia" w:eastAsia="宋体"/>
          <w:snapToGrid w:val="0"/>
          <w:lang w:eastAsia="zh-CN"/>
        </w:rPr>
        <w:t>FDA保存了一个可检索的在线产品代码数据库，其中包括产品代码和器械通用名（</w:t>
      </w:r>
      <w:r>
        <w:fldChar w:fldCharType="begin"/>
      </w:r>
      <w:r>
        <w:instrText xml:space="preserve"> HYPERLINK "https://www.accessdata.fda.gov/scripts/cdrh/cfdocs/cfPCD/classification.cfm" \h </w:instrText>
      </w:r>
      <w:r>
        <w:fldChar w:fldCharType="separate"/>
      </w:r>
      <w:r>
        <w:rPr>
          <w:rFonts w:hint="eastAsia" w:eastAsia="宋体"/>
          <w:snapToGrid w:val="0"/>
          <w:color w:val="0000FF"/>
          <w:u w:val="single" w:color="0000FF"/>
          <w:lang w:eastAsia="zh-CN"/>
        </w:rPr>
        <w:t>https://www.accessdata.fda.gov/scripts/cdrh/cfdocs/cfPCD/classification.cfm</w:t>
      </w:r>
      <w:r>
        <w:rPr>
          <w:rFonts w:hint="eastAsia" w:eastAsia="宋体"/>
          <w:snapToGrid w:val="0"/>
          <w:color w:val="0000FF"/>
          <w:u w:val="single" w:color="0000FF"/>
          <w:lang w:eastAsia="zh-CN"/>
        </w:rPr>
        <w:fldChar w:fldCharType="end"/>
      </w:r>
      <w:r>
        <w:rPr>
          <w:rFonts w:hint="eastAsia" w:eastAsia="宋体"/>
          <w:snapToGrid w:val="0"/>
          <w:lang w:eastAsia="zh-CN"/>
        </w:rPr>
        <w:t>）。有关ANDA/NDA/BLA组合产品的器械组成部分的一些常见产品代码，请参见</w:t>
      </w:r>
      <w:r>
        <w:fldChar w:fldCharType="begin"/>
      </w:r>
      <w:r>
        <w:instrText xml:space="preserve"> HYPERLINK "https://www.fda.gov/combination-products/guidance-regulatory-information/postmarketing-safety-reporting-combination-products。" </w:instrText>
      </w:r>
      <w:r>
        <w:fldChar w:fldCharType="separate"/>
      </w:r>
      <w:r>
        <w:rPr>
          <w:rStyle w:val="20"/>
          <w:rFonts w:hint="eastAsia" w:eastAsia="宋体"/>
          <w:snapToGrid w:val="0"/>
          <w:u w:color="0000FF"/>
          <w:lang w:eastAsia="zh-CN"/>
        </w:rPr>
        <w:t>https://www.fda.gov/combination-products/guidance-regulatory-information/postmarketing-safety-reporting-combination-products。</w:t>
      </w:r>
      <w:r>
        <w:rPr>
          <w:rStyle w:val="20"/>
          <w:rFonts w:hint="eastAsia" w:eastAsia="宋体"/>
          <w:snapToGrid w:val="0"/>
          <w:u w:color="0000FF"/>
          <w:lang w:eastAsia="zh-CN"/>
        </w:rPr>
        <w:fldChar w:fldCharType="end"/>
      </w:r>
      <w:r>
        <w:rPr>
          <w:rFonts w:hint="eastAsia" w:eastAsia="宋体"/>
          <w:snapToGrid w:val="0"/>
          <w:lang w:eastAsia="zh-CN"/>
        </w:rPr>
        <w:t>组合产品申请人可联系CDRH的行业与消费者教育处（DICE）（</w:t>
      </w:r>
      <w:r>
        <w:fldChar w:fldCharType="begin"/>
      </w:r>
      <w:r>
        <w:instrText xml:space="preserve"> HYPERLINK "mailto:DICE@fda.hhs.gov" \h </w:instrText>
      </w:r>
      <w:r>
        <w:fldChar w:fldCharType="separate"/>
      </w:r>
      <w:r>
        <w:rPr>
          <w:rFonts w:hint="eastAsia" w:eastAsia="宋体"/>
          <w:snapToGrid w:val="0"/>
          <w:color w:val="0000FF"/>
          <w:u w:val="single" w:color="0000FF"/>
          <w:lang w:eastAsia="zh-CN"/>
        </w:rPr>
        <w:t>DICE@fda.hhs.gov</w:t>
      </w:r>
      <w:r>
        <w:rPr>
          <w:rFonts w:hint="eastAsia" w:eastAsia="宋体"/>
          <w:snapToGrid w:val="0"/>
          <w:color w:val="0000FF"/>
          <w:u w:val="single" w:color="0000FF"/>
          <w:lang w:eastAsia="zh-CN"/>
        </w:rPr>
        <w:fldChar w:fldCharType="end"/>
      </w:r>
      <w:r>
        <w:rPr>
          <w:rFonts w:hint="eastAsia" w:eastAsia="宋体"/>
          <w:snapToGrid w:val="0"/>
          <w:lang w:eastAsia="zh-CN"/>
        </w:rPr>
        <w:t>）以及OCP，根据需要寻求帮助以确定与其器械组成部分最接近的产品代码。如果没有与器械组成部分密切一致的产品代码，请输入器械通用名和/或品牌名。无论您是否认为器械组成部分与事件有关，都应包括此器械组成部分信息。</w:t>
      </w:r>
      <w:r>
        <w:rPr>
          <w:rStyle w:val="22"/>
          <w:rFonts w:hint="eastAsia" w:eastAsia="宋体"/>
          <w:snapToGrid w:val="0"/>
          <w:lang w:eastAsia="zh-CN"/>
        </w:rPr>
        <w:footnoteReference w:id="46"/>
      </w:r>
    </w:p>
    <w:p w14:paraId="091E63D2">
      <w:pPr>
        <w:pStyle w:val="7"/>
        <w:autoSpaceDE/>
        <w:autoSpaceDN/>
        <w:snapToGrid w:val="0"/>
        <w:ind w:left="902" w:leftChars="410"/>
        <w:jc w:val="both"/>
        <w:rPr>
          <w:rFonts w:eastAsia="宋体"/>
          <w:snapToGrid w:val="0"/>
          <w:lang w:eastAsia="zh-CN"/>
        </w:rPr>
      </w:pPr>
    </w:p>
    <w:p w14:paraId="7FFCFEB9">
      <w:pPr>
        <w:pStyle w:val="24"/>
        <w:numPr>
          <w:ilvl w:val="0"/>
          <w:numId w:val="2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疑似药品或生物制品。</w:t>
      </w:r>
      <w:r>
        <w:rPr>
          <w:rFonts w:hint="eastAsia" w:eastAsia="宋体"/>
          <w:snapToGrid w:val="0"/>
          <w:sz w:val="24"/>
          <w:szCs w:val="24"/>
          <w:lang w:eastAsia="zh-CN"/>
        </w:rPr>
        <w:t>输入药品或生物制品组成部分的已知产品属性（例如，商品名、活性成分、剂型、浓度）。无论您是否认为药品或生物制品组成部分与事件有关，都应包括这些药品或生物制品属性。对于NDA/ANDA/BLA批准的组合产品，应在该字段中包括组合产品的申请号。</w:t>
      </w:r>
    </w:p>
    <w:p w14:paraId="3D421938">
      <w:pPr>
        <w:pStyle w:val="24"/>
        <w:tabs>
          <w:tab w:val="left" w:pos="911"/>
        </w:tabs>
        <w:autoSpaceDE/>
        <w:autoSpaceDN/>
        <w:snapToGrid w:val="0"/>
        <w:ind w:left="920" w:firstLine="0"/>
        <w:jc w:val="both"/>
        <w:rPr>
          <w:rFonts w:eastAsia="宋体"/>
          <w:snapToGrid w:val="0"/>
          <w:sz w:val="24"/>
          <w:szCs w:val="24"/>
          <w:lang w:eastAsia="zh-CN"/>
        </w:rPr>
      </w:pPr>
    </w:p>
    <w:p w14:paraId="15041E2D">
      <w:pPr>
        <w:pStyle w:val="24"/>
        <w:numPr>
          <w:ilvl w:val="0"/>
          <w:numId w:val="26"/>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不良事件代码。</w:t>
      </w:r>
    </w:p>
    <w:p w14:paraId="568D5F18">
      <w:pPr>
        <w:pStyle w:val="24"/>
        <w:numPr>
          <w:ilvl w:val="1"/>
          <w:numId w:val="27"/>
        </w:numPr>
        <w:wordWrap w:val="0"/>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对于器械申请的组合产品，请输入至少一个患者问题代码，如果没有代码，请输入描述性术语。FDA保存了一份患者问题代码清单（</w:t>
      </w:r>
      <w:r>
        <w:fldChar w:fldCharType="begin"/>
      </w:r>
      <w:r>
        <w:instrText xml:space="preserve"> HYPERLINK "https://www.fda.gov/medical-devices/mdr-adverse-event-codes/coding-resources" </w:instrText>
      </w:r>
      <w:r>
        <w:fldChar w:fldCharType="separate"/>
      </w:r>
      <w:r>
        <w:rPr>
          <w:rStyle w:val="20"/>
          <w:rFonts w:hint="eastAsia" w:eastAsia="宋体"/>
          <w:snapToGrid w:val="0"/>
          <w:sz w:val="24"/>
          <w:szCs w:val="24"/>
          <w:lang w:eastAsia="zh-CN"/>
        </w:rPr>
        <w:t>https://www.fda.gov/medical-devices/mdr-adverse-event-codes/coding-resources</w:t>
      </w:r>
      <w:r>
        <w:rPr>
          <w:rStyle w:val="20"/>
          <w:rFonts w:hint="eastAsia" w:eastAsia="宋体"/>
          <w:snapToGrid w:val="0"/>
          <w:sz w:val="24"/>
          <w:szCs w:val="24"/>
          <w:lang w:eastAsia="zh-CN"/>
        </w:rPr>
        <w:fldChar w:fldCharType="end"/>
      </w:r>
      <w:r>
        <w:rPr>
          <w:rFonts w:hint="eastAsia" w:eastAsia="宋体"/>
          <w:snapToGrid w:val="0"/>
          <w:sz w:val="24"/>
          <w:szCs w:val="24"/>
          <w:lang w:eastAsia="zh-CN"/>
        </w:rPr>
        <w:t>）。</w:t>
      </w:r>
    </w:p>
    <w:p w14:paraId="549536B1">
      <w:pPr>
        <w:pStyle w:val="24"/>
        <w:numPr>
          <w:ilvl w:val="1"/>
          <w:numId w:val="27"/>
        </w:numPr>
        <w:autoSpaceDE/>
        <w:autoSpaceDN/>
        <w:snapToGrid w:val="0"/>
        <w:ind w:left="1800" w:leftChars="600" w:hanging="480" w:hangingChars="200"/>
        <w:jc w:val="both"/>
        <w:rPr>
          <w:rFonts w:eastAsia="宋体"/>
          <w:snapToGrid w:val="0"/>
          <w:sz w:val="24"/>
          <w:szCs w:val="24"/>
          <w:lang w:eastAsia="zh-CN"/>
        </w:rPr>
      </w:pPr>
      <w:r>
        <w:rPr>
          <w:rFonts w:hint="eastAsia" w:eastAsia="宋体"/>
          <w:snapToGrid w:val="0"/>
          <w:sz w:val="24"/>
          <w:szCs w:val="24"/>
          <w:lang w:eastAsia="zh-CN"/>
        </w:rPr>
        <w:t>对于NDA/ANDA/BLA组合产品，输入反应/事件代码。FDA鼓励使用MedDRA（监管活动医学词典）术语。对于仅出现故障的报告，请输入与相关产品质量问题</w:t>
      </w:r>
      <w:r>
        <w:rPr>
          <w:rStyle w:val="22"/>
          <w:rFonts w:hint="eastAsia" w:eastAsia="宋体"/>
          <w:snapToGrid w:val="0"/>
          <w:sz w:val="24"/>
          <w:szCs w:val="24"/>
          <w:lang w:eastAsia="zh-CN"/>
        </w:rPr>
        <w:footnoteReference w:id="47"/>
      </w:r>
      <w:r>
        <w:rPr>
          <w:rFonts w:hint="eastAsia" w:eastAsia="宋体"/>
          <w:snapToGrid w:val="0"/>
          <w:sz w:val="24"/>
          <w:szCs w:val="24"/>
          <w:lang w:eastAsia="zh-CN"/>
        </w:rPr>
        <w:t>或</w:t>
      </w:r>
      <w:r>
        <w:rPr>
          <w:rFonts w:hint="eastAsia" w:ascii="宋体" w:hAnsi="宋体" w:eastAsia="宋体"/>
          <w:sz w:val="24"/>
          <w:lang w:eastAsia="zh-CN"/>
        </w:rPr>
        <w:t>“</w:t>
      </w:r>
      <w:r>
        <w:rPr>
          <w:rFonts w:hint="eastAsia" w:eastAsia="宋体"/>
          <w:snapToGrid w:val="0"/>
          <w:sz w:val="24"/>
          <w:szCs w:val="24"/>
          <w:lang w:eastAsia="zh-CN"/>
        </w:rPr>
        <w:t>无不良事件</w:t>
      </w:r>
      <w:r>
        <w:rPr>
          <w:rFonts w:hint="eastAsia" w:ascii="宋体" w:hAnsi="宋体" w:eastAsia="宋体"/>
          <w:sz w:val="24"/>
          <w:lang w:eastAsia="zh-CN"/>
        </w:rPr>
        <w:t>”</w:t>
      </w:r>
      <w:r>
        <w:rPr>
          <w:rFonts w:hint="eastAsia" w:eastAsia="宋体"/>
          <w:snapToGrid w:val="0"/>
          <w:sz w:val="24"/>
          <w:szCs w:val="24"/>
          <w:lang w:eastAsia="zh-CN"/>
        </w:rPr>
        <w:t>相关的MedDRA代码。</w:t>
      </w:r>
    </w:p>
    <w:p w14:paraId="4B837B0E">
      <w:pPr>
        <w:pStyle w:val="24"/>
        <w:autoSpaceDE/>
        <w:autoSpaceDN/>
        <w:snapToGrid w:val="0"/>
        <w:ind w:left="1800" w:firstLine="0"/>
        <w:jc w:val="both"/>
        <w:rPr>
          <w:rFonts w:eastAsia="宋体"/>
          <w:snapToGrid w:val="0"/>
          <w:sz w:val="24"/>
          <w:szCs w:val="24"/>
          <w:lang w:eastAsia="zh-CN"/>
        </w:rPr>
      </w:pPr>
    </w:p>
    <w:p w14:paraId="77CB7FFF">
      <w:pPr>
        <w:pStyle w:val="24"/>
        <w:numPr>
          <w:ilvl w:val="0"/>
          <w:numId w:val="26"/>
        </w:numPr>
        <w:tabs>
          <w:tab w:val="left" w:pos="911"/>
        </w:tabs>
        <w:wordWrap w:val="0"/>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u w:val="single"/>
          <w:lang w:eastAsia="zh-CN"/>
        </w:rPr>
        <w:t>器械问题代码</w:t>
      </w:r>
      <w:r>
        <w:rPr>
          <w:rFonts w:hint="eastAsia" w:eastAsia="宋体"/>
          <w:snapToGrid w:val="0"/>
          <w:sz w:val="24"/>
          <w:szCs w:val="24"/>
          <w:lang w:eastAsia="zh-CN"/>
        </w:rPr>
        <w:t>。确定至少一个器械问题代码。FDA保存了一份器械问题代码清单（</w:t>
      </w:r>
      <w:r>
        <w:fldChar w:fldCharType="begin"/>
      </w:r>
      <w:r>
        <w:instrText xml:space="preserve"> HYPERLINK "https://www.fda.gov/medical-devices/mdr-adverse-event-codes/coding-resources" </w:instrText>
      </w:r>
      <w:r>
        <w:fldChar w:fldCharType="separate"/>
      </w:r>
      <w:r>
        <w:rPr>
          <w:rStyle w:val="20"/>
          <w:rFonts w:hint="eastAsia" w:eastAsia="宋体"/>
          <w:snapToGrid w:val="0"/>
          <w:sz w:val="24"/>
          <w:szCs w:val="24"/>
          <w:u w:color="0000FF"/>
          <w:lang w:eastAsia="zh-CN"/>
        </w:rPr>
        <w:t>https://www.fda.gov/medical-devices/mdr-adverse-event-codes/coding-resources</w:t>
      </w:r>
      <w:r>
        <w:rPr>
          <w:rStyle w:val="20"/>
          <w:rFonts w:hint="eastAsia" w:eastAsia="宋体"/>
          <w:snapToGrid w:val="0"/>
          <w:sz w:val="24"/>
          <w:szCs w:val="24"/>
          <w:u w:color="0000FF"/>
          <w:lang w:eastAsia="zh-CN"/>
        </w:rPr>
        <w:fldChar w:fldCharType="end"/>
      </w:r>
      <w:r>
        <w:rPr>
          <w:rFonts w:hint="eastAsia" w:eastAsia="宋体"/>
          <w:snapToGrid w:val="0"/>
          <w:sz w:val="24"/>
          <w:szCs w:val="24"/>
          <w:lang w:eastAsia="zh-CN"/>
        </w:rPr>
        <w:t>）。</w:t>
      </w:r>
      <w:r>
        <w:rPr>
          <w:rStyle w:val="22"/>
          <w:rFonts w:hint="eastAsia" w:eastAsia="宋体"/>
          <w:snapToGrid w:val="0"/>
          <w:sz w:val="24"/>
          <w:szCs w:val="24"/>
          <w:lang w:eastAsia="zh-CN"/>
        </w:rPr>
        <w:footnoteReference w:id="48"/>
      </w:r>
      <w:r>
        <w:rPr>
          <w:rFonts w:hint="eastAsia" w:eastAsia="宋体"/>
          <w:snapToGrid w:val="0"/>
          <w:sz w:val="24"/>
          <w:szCs w:val="24"/>
          <w:lang w:eastAsia="zh-CN"/>
        </w:rPr>
        <w:t>如果没有与ICSR相关的器械问题，请在此字段输入</w:t>
      </w:r>
      <w:r>
        <w:rPr>
          <w:rFonts w:hint="eastAsia" w:ascii="宋体" w:hAnsi="宋体" w:eastAsia="宋体"/>
          <w:sz w:val="24"/>
          <w:lang w:eastAsia="zh-CN"/>
        </w:rPr>
        <w:t>“</w:t>
      </w:r>
      <w:r>
        <w:rPr>
          <w:rFonts w:hint="eastAsia" w:eastAsia="宋体"/>
          <w:snapToGrid w:val="0"/>
          <w:sz w:val="24"/>
          <w:szCs w:val="24"/>
          <w:lang w:eastAsia="zh-CN"/>
        </w:rPr>
        <w:t>无已知器械问题</w:t>
      </w:r>
      <w:r>
        <w:rPr>
          <w:rFonts w:hint="eastAsia" w:ascii="宋体" w:hAnsi="宋体" w:eastAsia="宋体"/>
          <w:sz w:val="24"/>
          <w:lang w:eastAsia="zh-CN"/>
        </w:rPr>
        <w:t>”</w:t>
      </w:r>
      <w:r>
        <w:rPr>
          <w:rFonts w:hint="eastAsia" w:eastAsia="宋体"/>
          <w:snapToGrid w:val="0"/>
          <w:sz w:val="24"/>
          <w:szCs w:val="24"/>
          <w:lang w:eastAsia="zh-CN"/>
        </w:rPr>
        <w:t>的器械代码。</w:t>
      </w:r>
    </w:p>
    <w:p w14:paraId="7B450B49">
      <w:pPr>
        <w:autoSpaceDE/>
        <w:autoSpaceDN/>
        <w:snapToGrid w:val="0"/>
        <w:jc w:val="both"/>
        <w:rPr>
          <w:rFonts w:eastAsia="宋体"/>
          <w:sz w:val="24"/>
          <w:lang w:eastAsia="zh-CN"/>
        </w:rPr>
      </w:pPr>
      <w:r>
        <w:rPr>
          <w:rFonts w:eastAsia="宋体"/>
          <w:sz w:val="24"/>
          <w:lang w:eastAsia="zh-CN"/>
        </w:rPr>
        <w:br w:type="page"/>
      </w:r>
    </w:p>
    <w:p w14:paraId="01BCD6D7">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后续ICSR中包括的信息</w:t>
      </w:r>
    </w:p>
    <w:p w14:paraId="30365D21">
      <w:pPr>
        <w:pStyle w:val="7"/>
        <w:autoSpaceDE/>
        <w:autoSpaceDN/>
        <w:snapToGrid w:val="0"/>
        <w:jc w:val="both"/>
        <w:rPr>
          <w:rFonts w:eastAsia="宋体"/>
          <w:snapToGrid w:val="0"/>
          <w:lang w:eastAsia="zh-CN"/>
        </w:rPr>
      </w:pPr>
    </w:p>
    <w:p w14:paraId="1F2E3178">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在确定后续ICSR中包含的信息类型时，必须遵循适用的法规。本机构还建议遵循与组合产品申请类型相关的适用政策和程序。</w:t>
      </w:r>
      <w:r>
        <w:rPr>
          <w:rStyle w:val="22"/>
          <w:rFonts w:hint="eastAsia" w:eastAsia="宋体"/>
          <w:snapToGrid w:val="0"/>
          <w:lang w:eastAsia="zh-CN"/>
        </w:rPr>
        <w:footnoteReference w:id="49"/>
      </w:r>
      <w:r>
        <w:rPr>
          <w:rFonts w:hint="eastAsia" w:eastAsia="宋体"/>
          <w:snapToGrid w:val="0"/>
          <w:lang w:eastAsia="zh-CN"/>
        </w:rPr>
        <w:t>例如，对于器械申请组合产品，仅包括新的、变更的或更正的信息（参见《美国联邦法规》第21篇第803.56（c）节）。对于NDA/ANDA/BLA组合产品，后续ICSR应包括首次报告中的相关信息以及新信息。</w:t>
      </w:r>
      <w:r>
        <w:rPr>
          <w:rStyle w:val="22"/>
          <w:rFonts w:hint="eastAsia" w:eastAsia="宋体"/>
          <w:snapToGrid w:val="0"/>
          <w:lang w:eastAsia="zh-CN"/>
        </w:rPr>
        <w:footnoteReference w:id="50"/>
      </w:r>
      <w:r>
        <w:rPr>
          <w:rFonts w:hint="eastAsia" w:eastAsia="宋体"/>
          <w:snapToGrid w:val="0"/>
          <w:lang w:eastAsia="zh-CN"/>
        </w:rPr>
        <w:t>注：如果使用后续报告提交不同类型的ICSR（例如，提交与先前提交的15天报告相关的故障报告），则包括该报告类型的所有额外信息。使用后续报告提交与首次ICSR相关的不同类型ICSR的更多讨论，请参见第IV.A.4节。</w:t>
      </w:r>
    </w:p>
    <w:p w14:paraId="54CE5F5A">
      <w:pPr>
        <w:pStyle w:val="7"/>
        <w:autoSpaceDE/>
        <w:autoSpaceDN/>
        <w:snapToGrid w:val="0"/>
        <w:jc w:val="both"/>
        <w:rPr>
          <w:rFonts w:eastAsia="宋体"/>
          <w:snapToGrid w:val="0"/>
          <w:lang w:eastAsia="zh-CN"/>
        </w:rPr>
      </w:pPr>
    </w:p>
    <w:p w14:paraId="46BD16B6">
      <w:pPr>
        <w:pStyle w:val="5"/>
        <w:autoSpaceDE/>
        <w:autoSpaceDN/>
        <w:spacing w:before="0" w:beforeLines="0" w:line="240" w:lineRule="auto"/>
        <w:ind w:left="1912" w:leftChars="650"/>
        <w:rPr>
          <w:snapToGrid w:val="0"/>
          <w:lang w:eastAsia="zh-CN"/>
        </w:rPr>
      </w:pPr>
      <w:r>
        <w:rPr>
          <w:rFonts w:hint="eastAsia"/>
          <w:snapToGrid w:val="0"/>
          <w:lang w:eastAsia="zh-CN"/>
        </w:rPr>
        <w:t>4.</w:t>
      </w:r>
      <w:r>
        <w:rPr>
          <w:rFonts w:hint="eastAsia"/>
          <w:snapToGrid w:val="0"/>
          <w:lang w:eastAsia="zh-CN"/>
        </w:rPr>
        <w:tab/>
      </w:r>
      <w:r>
        <w:rPr>
          <w:rFonts w:hint="eastAsia"/>
          <w:snapToGrid w:val="0"/>
          <w:lang w:eastAsia="zh-CN"/>
        </w:rPr>
        <w:t>包含器械组成部分的ANDA/NDA/BLA组合产品的定期安全性报告中应包括的信息</w:t>
      </w:r>
    </w:p>
    <w:p w14:paraId="7F72CB0E">
      <w:pPr>
        <w:pStyle w:val="7"/>
        <w:autoSpaceDE/>
        <w:autoSpaceDN/>
        <w:snapToGrid w:val="0"/>
        <w:jc w:val="both"/>
        <w:rPr>
          <w:rFonts w:eastAsia="宋体"/>
          <w:snapToGrid w:val="0"/>
          <w:lang w:eastAsia="zh-CN"/>
        </w:rPr>
      </w:pPr>
    </w:p>
    <w:p w14:paraId="4AB70613">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处理5天报告和故障报告。</w:t>
      </w:r>
      <w:r>
        <w:rPr>
          <w:rFonts w:hint="eastAsia" w:eastAsia="宋体"/>
          <w:snapToGrid w:val="0"/>
          <w:lang w:eastAsia="zh-CN"/>
        </w:rPr>
        <w:t>ANDA/NDA/BLA组合产品的定期药物不良经历报告（PADER）和定期不良经历报告（PAER）必须说明，在报告间期内提交的任何首次和后续5天报告和</w:t>
      </w:r>
      <w:r>
        <w:rPr>
          <w:rFonts w:hint="eastAsia" w:eastAsia="宋体"/>
          <w:i/>
          <w:lang w:eastAsia="zh-CN"/>
        </w:rPr>
        <w:t>故障</w:t>
      </w:r>
      <w:r>
        <w:rPr>
          <w:rFonts w:hint="eastAsia" w:eastAsia="宋体"/>
          <w:snapToGrid w:val="0"/>
          <w:lang w:eastAsia="zh-CN"/>
        </w:rPr>
        <w:t>报告以及任何15天报告中的信息，并应在包含该间期内提交的报告总结和分析的章节中提供该信息（参见《美国联邦法规》第21篇第4.102（d）（1）、314.80（c）（2）（ii）和600.80（c）（2）（ii）节）。</w:t>
      </w:r>
    </w:p>
    <w:p w14:paraId="08DD2FD0">
      <w:pPr>
        <w:pStyle w:val="7"/>
        <w:autoSpaceDE/>
        <w:autoSpaceDN/>
        <w:snapToGrid w:val="0"/>
        <w:ind w:firstLine="480" w:firstLineChars="200"/>
        <w:jc w:val="both"/>
        <w:rPr>
          <w:rFonts w:eastAsia="宋体"/>
          <w:snapToGrid w:val="0"/>
          <w:lang w:eastAsia="zh-CN"/>
        </w:rPr>
      </w:pPr>
    </w:p>
    <w:p w14:paraId="2FB0200B">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同样，当组合产品申请人获得豁免以替代</w:t>
      </w:r>
      <w:r>
        <w:rPr>
          <w:rFonts w:hint="eastAsia" w:eastAsia="宋体"/>
          <w:lang w:eastAsia="zh-CN"/>
        </w:rPr>
        <w:t>国际人用药品注册技术协调会</w:t>
      </w:r>
      <w:r>
        <w:rPr>
          <w:rFonts w:hint="eastAsia" w:eastAsia="宋体"/>
          <w:snapToGrid w:val="0"/>
          <w:lang w:eastAsia="zh-CN"/>
        </w:rPr>
        <w:t>（ICH）E2C格式（例如ICH E2C（R2）定期获益风险评定报告（PBRER）</w:t>
      </w:r>
      <w:r>
        <w:rPr>
          <w:rStyle w:val="22"/>
          <w:rFonts w:hint="eastAsia" w:eastAsia="宋体"/>
          <w:snapToGrid w:val="0"/>
          <w:lang w:eastAsia="zh-CN"/>
        </w:rPr>
        <w:footnoteReference w:id="51"/>
      </w:r>
      <w:r>
        <w:rPr>
          <w:rFonts w:hint="eastAsia" w:eastAsia="宋体"/>
          <w:snapToGrid w:val="0"/>
          <w:lang w:eastAsia="zh-CN"/>
        </w:rPr>
        <w:t>），而不是PADER或PAER时，申请人必须包括5天报告和故障报告以及15天报告的信息（参见《美国联邦法规》第21篇第4.102（d）（1）、314.80（c）（2）（ii）和600.80（c）（2）（ii）节），并应在报告正文或作为附录提供该信息。</w:t>
      </w:r>
    </w:p>
    <w:p w14:paraId="7B9F0525">
      <w:pPr>
        <w:autoSpaceDE/>
        <w:autoSpaceDN/>
        <w:snapToGrid w:val="0"/>
        <w:jc w:val="both"/>
        <w:rPr>
          <w:rFonts w:eastAsia="宋体"/>
          <w:sz w:val="24"/>
          <w:lang w:eastAsia="zh-CN"/>
        </w:rPr>
      </w:pPr>
      <w:r>
        <w:rPr>
          <w:rFonts w:eastAsia="宋体"/>
          <w:sz w:val="24"/>
          <w:lang w:eastAsia="zh-CN"/>
        </w:rPr>
        <w:br w:type="page"/>
      </w:r>
    </w:p>
    <w:p w14:paraId="1E9398D0">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5天报告和故障报告与15天报告对比分析。</w:t>
      </w:r>
      <w:r>
        <w:rPr>
          <w:rFonts w:hint="eastAsia" w:eastAsia="宋体"/>
          <w:snapToGrid w:val="0"/>
          <w:lang w:eastAsia="zh-CN"/>
        </w:rPr>
        <w:t>5天报告和故障报告的总结和分析应与15天报告的总结和分析分别提交。无论故障或5天可报告措施是否与不良事件有关，申请人应分别提供报告间期内报告的故障和5天报告的单独汇总表。这些表格应包括器械问题代码和故障或5天报告中包含的任何不良事件术语，以及各事件的发生次数。如果故障或5天报告与不良事件有关（例如，事件同时需要15天报告和故障报告），还应在不良事件汇总表中说明该不良事件。</w:t>
      </w:r>
    </w:p>
    <w:p w14:paraId="088E9352">
      <w:pPr>
        <w:pStyle w:val="7"/>
        <w:autoSpaceDE/>
        <w:autoSpaceDN/>
        <w:snapToGrid w:val="0"/>
        <w:jc w:val="both"/>
        <w:rPr>
          <w:rFonts w:eastAsia="宋体"/>
          <w:snapToGrid w:val="0"/>
          <w:lang w:eastAsia="zh-CN"/>
        </w:rPr>
      </w:pPr>
    </w:p>
    <w:p w14:paraId="68560537">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根据需要，对组合产品定期安全性报告的任何问题都应向组合产品牵头中心或OCP提出。</w:t>
      </w:r>
    </w:p>
    <w:p w14:paraId="0C465223">
      <w:pPr>
        <w:pStyle w:val="7"/>
        <w:autoSpaceDE/>
        <w:autoSpaceDN/>
        <w:snapToGrid w:val="0"/>
        <w:jc w:val="both"/>
        <w:rPr>
          <w:rFonts w:eastAsia="宋体"/>
          <w:snapToGrid w:val="0"/>
          <w:lang w:eastAsia="zh-CN"/>
        </w:rPr>
      </w:pPr>
    </w:p>
    <w:p w14:paraId="2B4AED93">
      <w:pPr>
        <w:pStyle w:val="5"/>
        <w:autoSpaceDE/>
        <w:autoSpaceDN/>
        <w:spacing w:before="0" w:beforeLines="0" w:line="240" w:lineRule="auto"/>
        <w:ind w:left="1912" w:leftChars="650"/>
        <w:rPr>
          <w:snapToGrid w:val="0"/>
          <w:lang w:eastAsia="zh-CN"/>
        </w:rPr>
      </w:pPr>
      <w:r>
        <w:rPr>
          <w:rFonts w:hint="eastAsia"/>
          <w:snapToGrid w:val="0"/>
          <w:lang w:eastAsia="zh-CN"/>
        </w:rPr>
        <w:t>5.</w:t>
      </w:r>
      <w:r>
        <w:rPr>
          <w:rFonts w:hint="eastAsia"/>
          <w:snapToGrid w:val="0"/>
          <w:lang w:eastAsia="zh-CN"/>
        </w:rPr>
        <w:tab/>
      </w:r>
      <w:r>
        <w:rPr>
          <w:rFonts w:hint="eastAsia"/>
          <w:snapToGrid w:val="0"/>
          <w:lang w:eastAsia="zh-CN"/>
        </w:rPr>
        <w:t>非ICSR组合产品报告（更正和移除报告、现场警示报告或生物制品偏差报告）中包含的其他信息</w:t>
      </w:r>
    </w:p>
    <w:p w14:paraId="27BB2DAA">
      <w:pPr>
        <w:pStyle w:val="7"/>
        <w:autoSpaceDE/>
        <w:autoSpaceDN/>
        <w:snapToGrid w:val="0"/>
        <w:jc w:val="both"/>
        <w:rPr>
          <w:rFonts w:eastAsia="宋体"/>
          <w:snapToGrid w:val="0"/>
          <w:lang w:eastAsia="zh-CN"/>
        </w:rPr>
      </w:pPr>
    </w:p>
    <w:p w14:paraId="7A648146">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除了需要包含在报告类型中的信息外，本机构还建议包含以下信息。</w:t>
      </w:r>
    </w:p>
    <w:p w14:paraId="099937B6">
      <w:pPr>
        <w:pStyle w:val="7"/>
        <w:autoSpaceDE/>
        <w:autoSpaceDN/>
        <w:snapToGrid w:val="0"/>
        <w:jc w:val="both"/>
        <w:rPr>
          <w:rFonts w:eastAsia="宋体"/>
          <w:snapToGrid w:val="0"/>
          <w:lang w:eastAsia="zh-CN"/>
        </w:rPr>
      </w:pPr>
    </w:p>
    <w:p w14:paraId="45876029">
      <w:pPr>
        <w:pStyle w:val="7"/>
        <w:autoSpaceDE/>
        <w:autoSpaceDN/>
        <w:snapToGrid w:val="0"/>
        <w:jc w:val="both"/>
        <w:rPr>
          <w:rFonts w:eastAsia="宋体"/>
          <w:snapToGrid w:val="0"/>
          <w:lang w:eastAsia="zh-CN"/>
        </w:rPr>
      </w:pPr>
      <w:r>
        <w:rPr>
          <w:rFonts w:hint="eastAsia" w:eastAsia="宋体"/>
          <w:snapToGrid w:val="0"/>
          <w:lang w:eastAsia="zh-CN"/>
        </w:rPr>
        <w:t>提交更正或移除报告时，报告应：</w:t>
      </w:r>
    </w:p>
    <w:p w14:paraId="6B1B5F04">
      <w:pPr>
        <w:pStyle w:val="7"/>
        <w:autoSpaceDE/>
        <w:autoSpaceDN/>
        <w:snapToGrid w:val="0"/>
        <w:jc w:val="both"/>
        <w:rPr>
          <w:rFonts w:eastAsia="宋体"/>
          <w:snapToGrid w:val="0"/>
          <w:lang w:eastAsia="zh-CN"/>
        </w:rPr>
      </w:pPr>
    </w:p>
    <w:p w14:paraId="5C0662ED">
      <w:pPr>
        <w:pStyle w:val="24"/>
        <w:numPr>
          <w:ilvl w:val="0"/>
          <w:numId w:val="2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明确该产品为组合产品，并提供组合产品的说明，包括其组成部分，以及这些组成部分如何或可能如何涉及更正或移除。关于器械组成部分，报告应包括器械产品代码。</w:t>
      </w:r>
    </w:p>
    <w:p w14:paraId="00913C87">
      <w:pPr>
        <w:pStyle w:val="24"/>
        <w:numPr>
          <w:ilvl w:val="0"/>
          <w:numId w:val="2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包括组合产品申请人的名称、地址、电话号码和联系人（如无其他要求，则应纳入更正或移除报告中）。</w:t>
      </w:r>
    </w:p>
    <w:p w14:paraId="1284B910">
      <w:pPr>
        <w:pStyle w:val="24"/>
        <w:tabs>
          <w:tab w:val="left" w:pos="911"/>
        </w:tabs>
        <w:autoSpaceDE/>
        <w:autoSpaceDN/>
        <w:snapToGrid w:val="0"/>
        <w:ind w:left="920" w:firstLine="0"/>
        <w:jc w:val="both"/>
        <w:rPr>
          <w:rFonts w:eastAsia="宋体"/>
          <w:snapToGrid w:val="0"/>
          <w:sz w:val="24"/>
          <w:szCs w:val="24"/>
          <w:lang w:eastAsia="zh-CN"/>
        </w:rPr>
      </w:pPr>
    </w:p>
    <w:p w14:paraId="21F1025B">
      <w:pPr>
        <w:pStyle w:val="7"/>
        <w:autoSpaceDE/>
        <w:autoSpaceDN/>
        <w:snapToGrid w:val="0"/>
        <w:jc w:val="both"/>
        <w:rPr>
          <w:rFonts w:eastAsia="宋体"/>
          <w:snapToGrid w:val="0"/>
          <w:lang w:eastAsia="zh-CN"/>
        </w:rPr>
      </w:pPr>
      <w:r>
        <w:rPr>
          <w:rFonts w:hint="eastAsia" w:eastAsia="宋体"/>
          <w:snapToGrid w:val="0"/>
          <w:lang w:eastAsia="zh-CN"/>
        </w:rPr>
        <w:t>提交现场警示报告时，报告应：</w:t>
      </w:r>
    </w:p>
    <w:p w14:paraId="182E7924">
      <w:pPr>
        <w:pStyle w:val="7"/>
        <w:autoSpaceDE/>
        <w:autoSpaceDN/>
        <w:snapToGrid w:val="0"/>
        <w:jc w:val="both"/>
        <w:rPr>
          <w:rFonts w:eastAsia="宋体"/>
          <w:snapToGrid w:val="0"/>
          <w:lang w:eastAsia="zh-CN"/>
        </w:rPr>
      </w:pPr>
    </w:p>
    <w:p w14:paraId="163DB9BE">
      <w:pPr>
        <w:pStyle w:val="24"/>
        <w:numPr>
          <w:ilvl w:val="0"/>
          <w:numId w:val="2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明确产品为组合产品，并提供组合产品的说明，包括其组成部分，以及这些组成部分如何或可能与问题有关。如果产品包含器械组成部分，则报告应至少包括以下一项：器械产品代码、器械通用名和/或品牌名。</w:t>
      </w:r>
    </w:p>
    <w:p w14:paraId="252BC83D">
      <w:pPr>
        <w:pStyle w:val="24"/>
        <w:autoSpaceDE/>
        <w:autoSpaceDN/>
        <w:snapToGrid w:val="0"/>
        <w:ind w:left="920" w:firstLine="0"/>
        <w:jc w:val="both"/>
        <w:rPr>
          <w:rFonts w:eastAsia="宋体"/>
          <w:snapToGrid w:val="0"/>
          <w:sz w:val="24"/>
          <w:szCs w:val="24"/>
          <w:lang w:eastAsia="zh-CN"/>
        </w:rPr>
      </w:pPr>
    </w:p>
    <w:p w14:paraId="13584804">
      <w:pPr>
        <w:pStyle w:val="7"/>
        <w:autoSpaceDE/>
        <w:autoSpaceDN/>
        <w:snapToGrid w:val="0"/>
        <w:jc w:val="both"/>
        <w:rPr>
          <w:rFonts w:eastAsia="宋体"/>
          <w:snapToGrid w:val="0"/>
          <w:lang w:eastAsia="zh-CN"/>
        </w:rPr>
      </w:pPr>
      <w:r>
        <w:rPr>
          <w:rFonts w:hint="eastAsia" w:eastAsia="宋体"/>
          <w:snapToGrid w:val="0"/>
          <w:lang w:eastAsia="zh-CN"/>
        </w:rPr>
        <w:t>提交生物制品偏差报告时，报告应：</w:t>
      </w:r>
    </w:p>
    <w:p w14:paraId="5AE6FFB2">
      <w:pPr>
        <w:pStyle w:val="7"/>
        <w:autoSpaceDE/>
        <w:autoSpaceDN/>
        <w:snapToGrid w:val="0"/>
        <w:jc w:val="both"/>
        <w:rPr>
          <w:rFonts w:eastAsia="宋体"/>
          <w:snapToGrid w:val="0"/>
          <w:lang w:eastAsia="zh-CN"/>
        </w:rPr>
      </w:pPr>
    </w:p>
    <w:p w14:paraId="0F82244E">
      <w:pPr>
        <w:pStyle w:val="24"/>
        <w:numPr>
          <w:ilvl w:val="0"/>
          <w:numId w:val="28"/>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明确产品为组合产品，并提供组合产品的说明，包括其组成部分，以及这些组成部分如何或可能与问题有关。如果产品包含器械组成部分，则报告应至少包括以下一项：器械产品代码、器械通用名和/或品牌名。</w:t>
      </w:r>
    </w:p>
    <w:p w14:paraId="7392B05D">
      <w:pPr>
        <w:pStyle w:val="24"/>
        <w:autoSpaceDE/>
        <w:autoSpaceDN/>
        <w:snapToGrid w:val="0"/>
        <w:ind w:left="920" w:firstLine="0"/>
        <w:jc w:val="both"/>
        <w:rPr>
          <w:rFonts w:eastAsia="宋体"/>
          <w:snapToGrid w:val="0"/>
          <w:sz w:val="24"/>
          <w:szCs w:val="24"/>
          <w:lang w:eastAsia="zh-CN"/>
        </w:rPr>
      </w:pPr>
      <w:bookmarkStart w:id="39" w:name="_Toc95145709"/>
    </w:p>
    <w:p w14:paraId="7C0934FD">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5BDF4D7E">
      <w:pPr>
        <w:pStyle w:val="2"/>
        <w:numPr>
          <w:ilvl w:val="0"/>
          <w:numId w:val="1"/>
        </w:numPr>
        <w:tabs>
          <w:tab w:val="left" w:pos="868"/>
        </w:tabs>
        <w:autoSpaceDE/>
        <w:autoSpaceDN/>
        <w:spacing w:before="0" w:beforeLines="0" w:line="240" w:lineRule="auto"/>
        <w:ind w:left="880" w:hanging="880" w:hangingChars="313"/>
        <w:rPr>
          <w:sz w:val="28"/>
        </w:rPr>
      </w:pPr>
      <w:bookmarkStart w:id="40" w:name="_Toc97551510"/>
      <w:r>
        <w:rPr>
          <w:rFonts w:hint="eastAsia"/>
          <w:sz w:val="28"/>
        </w:rPr>
        <w:t>示例</w:t>
      </w:r>
      <w:bookmarkEnd w:id="39"/>
      <w:bookmarkEnd w:id="40"/>
    </w:p>
    <w:p w14:paraId="4B14B2D9">
      <w:pPr>
        <w:pStyle w:val="7"/>
        <w:autoSpaceDE/>
        <w:autoSpaceDN/>
        <w:snapToGrid w:val="0"/>
        <w:jc w:val="both"/>
        <w:rPr>
          <w:rFonts w:eastAsia="宋体"/>
          <w:snapToGrid w:val="0"/>
          <w:lang w:eastAsia="zh-CN"/>
        </w:rPr>
      </w:pPr>
    </w:p>
    <w:p w14:paraId="068FA516">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本节中的假设示例说明了《美国联邦法规》第21篇第4节下组合产品申请人的PMSR考虑事项。本节并非旨在体现可能适用的报告义务的完整分析，且具体产品和事件可能会提出不同的问题，而这些问题在下文所述假设情景中未被考虑。如果生产商有具体问题，FDA建议其联系产品的牵头中心或OCP（根据需要）寻求帮助。</w:t>
      </w:r>
    </w:p>
    <w:p w14:paraId="69D8D75F">
      <w:pPr>
        <w:pStyle w:val="7"/>
        <w:autoSpaceDE/>
        <w:autoSpaceDN/>
        <w:snapToGrid w:val="0"/>
        <w:jc w:val="both"/>
        <w:rPr>
          <w:rFonts w:eastAsia="宋体"/>
          <w:snapToGrid w:val="0"/>
          <w:lang w:eastAsia="zh-CN"/>
        </w:rPr>
      </w:pPr>
    </w:p>
    <w:p w14:paraId="0270CCA9">
      <w:pPr>
        <w:pStyle w:val="3"/>
        <w:autoSpaceDE/>
        <w:autoSpaceDN/>
        <w:spacing w:before="0" w:beforeLines="0" w:line="240" w:lineRule="auto"/>
        <w:ind w:left="1442" w:leftChars="400" w:hanging="562"/>
        <w:rPr>
          <w:snapToGrid w:val="0"/>
          <w:szCs w:val="24"/>
          <w:lang w:eastAsia="zh-CN"/>
        </w:rPr>
      </w:pPr>
      <w:bookmarkStart w:id="41" w:name="_Toc97551511"/>
      <w:bookmarkStart w:id="42" w:name="_Toc95145710"/>
      <w:r>
        <w:rPr>
          <w:rFonts w:hint="eastAsia"/>
          <w:snapToGrid w:val="0"/>
          <w:szCs w:val="24"/>
          <w:lang w:eastAsia="zh-CN"/>
        </w:rPr>
        <w:t>A.</w:t>
      </w:r>
      <w:r>
        <w:rPr>
          <w:rFonts w:hint="eastAsia"/>
          <w:snapToGrid w:val="0"/>
          <w:szCs w:val="24"/>
          <w:lang w:eastAsia="zh-CN"/>
        </w:rPr>
        <w:tab/>
      </w:r>
      <w:r>
        <w:rPr>
          <w:rFonts w:hint="eastAsia"/>
          <w:snapToGrid w:val="0"/>
          <w:szCs w:val="24"/>
          <w:lang w:eastAsia="zh-CN"/>
        </w:rPr>
        <w:t>药品申请组合产品</w:t>
      </w:r>
      <w:bookmarkEnd w:id="41"/>
      <w:bookmarkEnd w:id="42"/>
    </w:p>
    <w:p w14:paraId="64BBA32A">
      <w:pPr>
        <w:pStyle w:val="7"/>
        <w:autoSpaceDE/>
        <w:autoSpaceDN/>
        <w:snapToGrid w:val="0"/>
        <w:jc w:val="both"/>
        <w:rPr>
          <w:rFonts w:eastAsia="宋体"/>
          <w:snapToGrid w:val="0"/>
          <w:lang w:eastAsia="zh-CN"/>
        </w:rPr>
      </w:pPr>
    </w:p>
    <w:p w14:paraId="1AFFFDB4">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产品描述和情形</w:t>
      </w:r>
    </w:p>
    <w:p w14:paraId="71C39013">
      <w:pPr>
        <w:pStyle w:val="7"/>
        <w:autoSpaceDE/>
        <w:autoSpaceDN/>
        <w:snapToGrid w:val="0"/>
        <w:jc w:val="both"/>
        <w:rPr>
          <w:snapToGrid w:val="0"/>
          <w:lang w:eastAsia="zh-CN"/>
        </w:rPr>
      </w:pPr>
    </w:p>
    <w:p w14:paraId="2701FD3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持有由预充式可注射药物的无菌注射器组成的组合产品的NDA。该申请人收到一份报告，报告称一名用户很难拉回注射器活塞推杆，当他设法拉回活塞时，活塞整体弹出，产品喷入他的眼睛，导致暂时失明，需要医疗干预以防止他的眼睛受到严重损害。组合产品申请人审查了组合产品标签，发现潜在失明不是标签中讨论的预期不良事件。</w:t>
      </w:r>
    </w:p>
    <w:p w14:paraId="0E43D0AF">
      <w:pPr>
        <w:pStyle w:val="7"/>
        <w:autoSpaceDE/>
        <w:autoSpaceDN/>
        <w:snapToGrid w:val="0"/>
        <w:jc w:val="both"/>
        <w:rPr>
          <w:rFonts w:eastAsia="宋体"/>
          <w:snapToGrid w:val="0"/>
          <w:lang w:eastAsia="zh-CN"/>
        </w:rPr>
      </w:pPr>
    </w:p>
    <w:p w14:paraId="3700A2FE">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首次ICSR报告</w:t>
      </w:r>
    </w:p>
    <w:p w14:paraId="2817101B">
      <w:pPr>
        <w:pStyle w:val="7"/>
        <w:autoSpaceDE/>
        <w:autoSpaceDN/>
        <w:snapToGrid w:val="0"/>
        <w:jc w:val="both"/>
        <w:rPr>
          <w:rFonts w:eastAsia="宋体"/>
          <w:snapToGrid w:val="0"/>
          <w:lang w:eastAsia="zh-CN"/>
        </w:rPr>
      </w:pPr>
    </w:p>
    <w:p w14:paraId="5C218A72">
      <w:pPr>
        <w:pStyle w:val="7"/>
        <w:autoSpaceDE/>
        <w:autoSpaceDN/>
        <w:snapToGrid w:val="0"/>
        <w:jc w:val="both"/>
        <w:rPr>
          <w:rFonts w:eastAsia="宋体"/>
          <w:snapToGrid w:val="0"/>
          <w:lang w:eastAsia="zh-CN"/>
        </w:rPr>
      </w:pPr>
      <w:r>
        <w:rPr>
          <w:rFonts w:hint="eastAsia" w:eastAsia="宋体"/>
          <w:snapToGrid w:val="0"/>
          <w:lang w:eastAsia="zh-CN"/>
        </w:rPr>
        <w:t>组合产品申请人评估该事件的ICSR报告义务（见附录2中的表2.1）：</w:t>
      </w:r>
    </w:p>
    <w:p w14:paraId="684B195C">
      <w:pPr>
        <w:pStyle w:val="7"/>
        <w:autoSpaceDE/>
        <w:autoSpaceDN/>
        <w:snapToGrid w:val="0"/>
        <w:jc w:val="both"/>
        <w:rPr>
          <w:rFonts w:eastAsia="宋体"/>
          <w:snapToGrid w:val="0"/>
          <w:lang w:eastAsia="zh-CN"/>
        </w:rPr>
      </w:pPr>
    </w:p>
    <w:p w14:paraId="3843BDA6">
      <w:pPr>
        <w:pStyle w:val="24"/>
        <w:numPr>
          <w:ilvl w:val="0"/>
          <w:numId w:val="2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该事件是否是一次严重且非预期的不良经历？</w:t>
      </w:r>
    </w:p>
    <w:p w14:paraId="35728823">
      <w:pPr>
        <w:pStyle w:val="24"/>
        <w:tabs>
          <w:tab w:val="left" w:pos="911"/>
        </w:tabs>
        <w:autoSpaceDE/>
        <w:autoSpaceDN/>
        <w:snapToGrid w:val="0"/>
        <w:ind w:left="920" w:firstLine="0"/>
        <w:jc w:val="both"/>
        <w:rPr>
          <w:rFonts w:eastAsia="宋体"/>
          <w:snapToGrid w:val="0"/>
          <w:sz w:val="24"/>
          <w:szCs w:val="24"/>
          <w:lang w:eastAsia="zh-CN"/>
        </w:rPr>
      </w:pPr>
    </w:p>
    <w:p w14:paraId="14D92DAD">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是。该事件严重且非预期（未列入产品标签）。需要一份15天报告（参见《美国联邦法规》第21篇第4.102和314.80节）。</w:t>
      </w:r>
    </w:p>
    <w:p w14:paraId="1BC5AA4F">
      <w:pPr>
        <w:pStyle w:val="7"/>
        <w:tabs>
          <w:tab w:val="left" w:pos="911"/>
        </w:tabs>
        <w:autoSpaceDE/>
        <w:autoSpaceDN/>
        <w:snapToGrid w:val="0"/>
        <w:ind w:left="880" w:leftChars="400"/>
        <w:jc w:val="both"/>
        <w:rPr>
          <w:rFonts w:eastAsia="宋体"/>
          <w:snapToGrid w:val="0"/>
          <w:lang w:eastAsia="zh-CN"/>
        </w:rPr>
      </w:pPr>
    </w:p>
    <w:p w14:paraId="2B0A365B">
      <w:pPr>
        <w:pStyle w:val="24"/>
        <w:numPr>
          <w:ilvl w:val="0"/>
          <w:numId w:val="2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该产品是否包含器械组成部分？是。</w:t>
      </w:r>
    </w:p>
    <w:p w14:paraId="6826B365">
      <w:pPr>
        <w:pStyle w:val="24"/>
        <w:tabs>
          <w:tab w:val="left" w:pos="911"/>
        </w:tabs>
        <w:autoSpaceDE/>
        <w:autoSpaceDN/>
        <w:snapToGrid w:val="0"/>
        <w:ind w:left="920" w:firstLine="0"/>
        <w:jc w:val="both"/>
        <w:rPr>
          <w:rFonts w:eastAsia="宋体"/>
          <w:snapToGrid w:val="0"/>
          <w:sz w:val="24"/>
          <w:szCs w:val="24"/>
          <w:lang w:eastAsia="zh-CN"/>
        </w:rPr>
      </w:pPr>
    </w:p>
    <w:p w14:paraId="2C4C28A9">
      <w:pPr>
        <w:pStyle w:val="24"/>
        <w:numPr>
          <w:ilvl w:val="0"/>
          <w:numId w:val="2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该报告是否合理地表明产品出现故障，并且如果故障再次发生，申请人销售的产品或同品种产品是否可能导致或促成死亡或重伤？</w:t>
      </w:r>
    </w:p>
    <w:p w14:paraId="16B04201">
      <w:pPr>
        <w:pStyle w:val="24"/>
        <w:tabs>
          <w:tab w:val="left" w:pos="911"/>
        </w:tabs>
        <w:autoSpaceDE/>
        <w:autoSpaceDN/>
        <w:snapToGrid w:val="0"/>
        <w:ind w:left="920" w:firstLine="0"/>
        <w:jc w:val="both"/>
        <w:rPr>
          <w:rFonts w:eastAsia="宋体"/>
          <w:snapToGrid w:val="0"/>
          <w:sz w:val="24"/>
          <w:szCs w:val="24"/>
          <w:lang w:eastAsia="zh-CN"/>
        </w:rPr>
      </w:pPr>
    </w:p>
    <w:p w14:paraId="5F4D40C8">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是。报告指出，该器械未按预期运行，导致暂时失明。需要一份故障报告（参见《美国联邦法规》第21篇第4.102和803.50节）。</w:t>
      </w:r>
    </w:p>
    <w:p w14:paraId="3503E74C">
      <w:pPr>
        <w:pStyle w:val="7"/>
        <w:tabs>
          <w:tab w:val="left" w:pos="911"/>
        </w:tabs>
        <w:autoSpaceDE/>
        <w:autoSpaceDN/>
        <w:snapToGrid w:val="0"/>
        <w:ind w:left="880" w:leftChars="400"/>
        <w:jc w:val="both"/>
        <w:rPr>
          <w:rFonts w:eastAsia="宋体"/>
          <w:snapToGrid w:val="0"/>
          <w:lang w:eastAsia="zh-CN"/>
        </w:rPr>
      </w:pPr>
    </w:p>
    <w:p w14:paraId="5F27493A">
      <w:pPr>
        <w:pStyle w:val="24"/>
        <w:numPr>
          <w:ilvl w:val="0"/>
          <w:numId w:val="29"/>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该事件是否需要采取补救措施，以防止对公众健康造成重大伤害的不合理风险？</w:t>
      </w:r>
    </w:p>
    <w:p w14:paraId="62B7113E">
      <w:pPr>
        <w:pStyle w:val="24"/>
        <w:tabs>
          <w:tab w:val="left" w:pos="911"/>
        </w:tabs>
        <w:autoSpaceDE/>
        <w:autoSpaceDN/>
        <w:snapToGrid w:val="0"/>
        <w:ind w:left="920" w:firstLine="0"/>
        <w:jc w:val="both"/>
        <w:rPr>
          <w:rFonts w:eastAsia="宋体"/>
          <w:snapToGrid w:val="0"/>
          <w:sz w:val="24"/>
          <w:szCs w:val="24"/>
          <w:lang w:eastAsia="zh-CN"/>
        </w:rPr>
      </w:pPr>
    </w:p>
    <w:p w14:paraId="333478BB">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不需要。在首次报告时，组合产品申请人没有足够的信息来确定是否需要采取补救措施以防止重大伤害的不合理风险。此时不需要5天报告。</w:t>
      </w:r>
    </w:p>
    <w:p w14:paraId="174C4294">
      <w:pPr>
        <w:pStyle w:val="7"/>
        <w:autoSpaceDE/>
        <w:autoSpaceDN/>
        <w:snapToGrid w:val="0"/>
        <w:ind w:left="880" w:leftChars="400"/>
        <w:jc w:val="both"/>
        <w:rPr>
          <w:rFonts w:eastAsia="宋体"/>
          <w:snapToGrid w:val="0"/>
          <w:lang w:eastAsia="zh-CN"/>
        </w:rPr>
      </w:pPr>
    </w:p>
    <w:p w14:paraId="5455381C">
      <w:pPr>
        <w:autoSpaceDE/>
        <w:autoSpaceDN/>
        <w:snapToGrid w:val="0"/>
        <w:jc w:val="both"/>
        <w:rPr>
          <w:rFonts w:eastAsia="宋体"/>
          <w:snapToGrid w:val="0"/>
          <w:sz w:val="24"/>
          <w:szCs w:val="24"/>
          <w:lang w:eastAsia="zh-CN"/>
        </w:rPr>
      </w:pPr>
      <w:r>
        <w:rPr>
          <w:rFonts w:eastAsia="宋体"/>
          <w:sz w:val="24"/>
          <w:lang w:eastAsia="zh-CN"/>
        </w:rPr>
        <w:br w:type="page"/>
      </w:r>
    </w:p>
    <w:p w14:paraId="07E0EE6C">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15天报告的报告时间表为15个日历日，故障报告为30个日历日（分别参见《美国联邦法规》第21篇第314.80和803.50节）。组合产品申请人提供一份报告，报告中包括15天报告和故障报告所需的信息（分别参见《美国联邦法规》第21篇第314.80和803.52节）以及上述第V.B.2节中建议的信息，该报告应在15个日历日内提交，以符合这两项组合产品的PMSR要求。</w:t>
      </w:r>
    </w:p>
    <w:p w14:paraId="2B86E4FA">
      <w:pPr>
        <w:pStyle w:val="7"/>
        <w:autoSpaceDE/>
        <w:autoSpaceDN/>
        <w:snapToGrid w:val="0"/>
        <w:jc w:val="both"/>
        <w:rPr>
          <w:rFonts w:eastAsia="宋体"/>
          <w:snapToGrid w:val="0"/>
          <w:lang w:eastAsia="zh-CN"/>
        </w:rPr>
      </w:pPr>
    </w:p>
    <w:p w14:paraId="24FA6957">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根据收到的额外信息报告</w:t>
      </w:r>
    </w:p>
    <w:p w14:paraId="7DCBAC58">
      <w:pPr>
        <w:pStyle w:val="7"/>
        <w:autoSpaceDE/>
        <w:autoSpaceDN/>
        <w:snapToGrid w:val="0"/>
        <w:jc w:val="both"/>
        <w:rPr>
          <w:rFonts w:eastAsia="宋体"/>
          <w:snapToGrid w:val="0"/>
          <w:lang w:eastAsia="zh-CN"/>
        </w:rPr>
      </w:pPr>
    </w:p>
    <w:p w14:paraId="2E554415">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组合产品申请人继续调查该事件，并确定注射器供应商在未通知组合产品申请人的情况下变更了活塞材料，且新材料改变了使用过程中拉动活塞所需的力。</w:t>
      </w:r>
    </w:p>
    <w:p w14:paraId="7C80791C">
      <w:pPr>
        <w:pStyle w:val="7"/>
        <w:autoSpaceDE/>
        <w:autoSpaceDN/>
        <w:snapToGrid w:val="0"/>
        <w:ind w:firstLine="480" w:firstLineChars="200"/>
        <w:jc w:val="both"/>
        <w:rPr>
          <w:rFonts w:eastAsia="宋体"/>
          <w:snapToGrid w:val="0"/>
          <w:lang w:eastAsia="zh-CN"/>
        </w:rPr>
      </w:pPr>
    </w:p>
    <w:p w14:paraId="4DA4E58B">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ICSR考虑事项</w:t>
      </w:r>
      <w:r>
        <w:rPr>
          <w:rFonts w:hint="eastAsia" w:eastAsia="宋体"/>
          <w:i/>
          <w:lang w:eastAsia="zh-CN"/>
        </w:rPr>
        <w:t>。</w:t>
      </w:r>
      <w:r>
        <w:rPr>
          <w:rFonts w:hint="eastAsia" w:eastAsia="宋体"/>
          <w:snapToGrid w:val="0"/>
          <w:lang w:eastAsia="zh-CN"/>
        </w:rPr>
        <w:t>根据这一新信息，组合产品申请人重新评估事件，并确定必需采取补救措施，特别是移除包含新材料注射器的多批组合产品，以防止产生重大伤害的不合理风险。在做出该决定的5个工作日内（并在开始移除之前），组合产品申请人提交一份5天报告，以符合此项报告要求（参见《美国联邦法规》第21篇第4.102和803.53节）。</w:t>
      </w:r>
    </w:p>
    <w:p w14:paraId="411DA68A">
      <w:pPr>
        <w:pStyle w:val="7"/>
        <w:autoSpaceDE/>
        <w:autoSpaceDN/>
        <w:snapToGrid w:val="0"/>
        <w:ind w:firstLine="480" w:firstLineChars="200"/>
        <w:jc w:val="both"/>
        <w:rPr>
          <w:rFonts w:eastAsia="宋体"/>
          <w:snapToGrid w:val="0"/>
          <w:lang w:eastAsia="zh-CN"/>
        </w:rPr>
      </w:pPr>
    </w:p>
    <w:p w14:paraId="2A191010">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非ICSR PMSR考虑因素</w:t>
      </w:r>
      <w:r>
        <w:rPr>
          <w:rFonts w:hint="eastAsia" w:eastAsia="宋体"/>
          <w:i/>
          <w:lang w:eastAsia="zh-CN"/>
        </w:rPr>
        <w:t>。</w:t>
      </w:r>
      <w:r>
        <w:rPr>
          <w:rFonts w:hint="eastAsia" w:eastAsia="宋体"/>
          <w:snapToGrid w:val="0"/>
          <w:lang w:eastAsia="zh-CN"/>
        </w:rPr>
        <w:t>组合产品申请人确定材料变更与组合产品申请中确立的质量标准不一致，并在收到组合产品批次不符合其申请中确立的质量标准信息后3个工作日内，按要求提交现场警示报告（参见《美国联邦法规》第21篇第4.102和314.81节）。</w:t>
      </w:r>
    </w:p>
    <w:p w14:paraId="62F58E9F">
      <w:pPr>
        <w:pStyle w:val="7"/>
        <w:autoSpaceDE/>
        <w:autoSpaceDN/>
        <w:snapToGrid w:val="0"/>
        <w:ind w:firstLine="480" w:firstLineChars="200"/>
        <w:jc w:val="both"/>
        <w:rPr>
          <w:rFonts w:eastAsia="宋体"/>
          <w:snapToGrid w:val="0"/>
          <w:lang w:eastAsia="zh-CN"/>
        </w:rPr>
      </w:pPr>
    </w:p>
    <w:p w14:paraId="1492B24F">
      <w:pPr>
        <w:pStyle w:val="7"/>
        <w:wordWrap w:val="0"/>
        <w:autoSpaceDE/>
        <w:autoSpaceDN/>
        <w:snapToGrid w:val="0"/>
        <w:ind w:firstLine="480" w:firstLineChars="200"/>
        <w:jc w:val="both"/>
        <w:rPr>
          <w:rFonts w:eastAsia="宋体"/>
          <w:snapToGrid w:val="0"/>
          <w:lang w:eastAsia="zh-CN"/>
        </w:rPr>
      </w:pPr>
      <w:r>
        <w:rPr>
          <w:rFonts w:hint="eastAsia" w:eastAsia="宋体"/>
          <w:snapToGrid w:val="0"/>
          <w:lang w:eastAsia="zh-CN"/>
        </w:rPr>
        <w:t>由于组合产品申请人在提交5天报告后才启动移除，因此其应在启动移除产品后的10个工作日内，通过既定流程提交一份单独的更正和移除报告（参见</w:t>
      </w:r>
      <w:r>
        <w:fldChar w:fldCharType="begin"/>
      </w:r>
      <w:r>
        <w:instrText xml:space="preserve"> HYPERLINK "https://www.fda.gov/medical-devices/postmarket-requirements-devices/recalls-corrections-and-removals-devices" \l "5" \h </w:instrText>
      </w:r>
      <w:r>
        <w:fldChar w:fldCharType="separate"/>
      </w:r>
      <w:r>
        <w:rPr>
          <w:rFonts w:hint="eastAsia" w:eastAsia="宋体"/>
          <w:snapToGrid w:val="0"/>
          <w:color w:val="0000FF"/>
          <w:u w:val="single" w:color="0000FF"/>
          <w:lang w:eastAsia="zh-CN"/>
        </w:rPr>
        <w:t>https://www.fda.gov/medical-devices/postmarket-requirements-devices/recalls-corrections-and-removals-devices#5</w:t>
      </w:r>
      <w:r>
        <w:rPr>
          <w:rFonts w:hint="eastAsia" w:eastAsia="宋体"/>
          <w:snapToGrid w:val="0"/>
          <w:color w:val="0000FF"/>
          <w:u w:val="single" w:color="0000FF"/>
          <w:lang w:eastAsia="zh-CN"/>
        </w:rPr>
        <w:fldChar w:fldCharType="end"/>
      </w:r>
      <w:r>
        <w:rPr>
          <w:rFonts w:hint="eastAsia" w:eastAsia="宋体"/>
          <w:snapToGrid w:val="0"/>
          <w:lang w:eastAsia="zh-CN"/>
        </w:rPr>
        <w:t>），其中包括所需信息（参见《美国联邦法规》第21篇第806.10节）以及上述第V.B.1节和第V.B.5节中建议的信息（参见《美国联邦法规》第21篇第4.102和806.10节）。</w:t>
      </w:r>
    </w:p>
    <w:p w14:paraId="046B522E">
      <w:pPr>
        <w:pStyle w:val="7"/>
        <w:autoSpaceDE/>
        <w:autoSpaceDN/>
        <w:snapToGrid w:val="0"/>
        <w:jc w:val="both"/>
        <w:rPr>
          <w:rFonts w:eastAsia="宋体"/>
          <w:snapToGrid w:val="0"/>
          <w:lang w:eastAsia="zh-CN"/>
        </w:rPr>
      </w:pPr>
    </w:p>
    <w:p w14:paraId="778FCEAE">
      <w:pPr>
        <w:pStyle w:val="5"/>
        <w:autoSpaceDE/>
        <w:autoSpaceDN/>
        <w:spacing w:before="0" w:beforeLines="0" w:line="240" w:lineRule="auto"/>
        <w:ind w:left="1912" w:leftChars="650"/>
        <w:rPr>
          <w:snapToGrid w:val="0"/>
          <w:lang w:eastAsia="zh-CN"/>
        </w:rPr>
      </w:pPr>
      <w:r>
        <w:rPr>
          <w:rFonts w:hint="eastAsia"/>
          <w:snapToGrid w:val="0"/>
          <w:lang w:eastAsia="zh-CN"/>
        </w:rPr>
        <w:t>4.</w:t>
      </w:r>
      <w:r>
        <w:rPr>
          <w:rFonts w:hint="eastAsia"/>
          <w:snapToGrid w:val="0"/>
          <w:lang w:eastAsia="zh-CN"/>
        </w:rPr>
        <w:tab/>
      </w:r>
      <w:r>
        <w:rPr>
          <w:rFonts w:hint="eastAsia"/>
          <w:snapToGrid w:val="0"/>
          <w:lang w:eastAsia="zh-CN"/>
        </w:rPr>
        <w:t>该情形的其他考虑因素</w:t>
      </w:r>
    </w:p>
    <w:p w14:paraId="70468C26">
      <w:pPr>
        <w:pStyle w:val="7"/>
        <w:autoSpaceDE/>
        <w:autoSpaceDN/>
        <w:snapToGrid w:val="0"/>
        <w:jc w:val="both"/>
        <w:rPr>
          <w:rFonts w:eastAsia="宋体"/>
          <w:snapToGrid w:val="0"/>
          <w:lang w:eastAsia="zh-CN"/>
        </w:rPr>
      </w:pPr>
    </w:p>
    <w:p w14:paraId="28B85850">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w:t>
      </w:r>
      <w:r>
        <w:rPr>
          <w:rFonts w:hint="eastAsia" w:eastAsia="宋体"/>
          <w:i/>
          <w:lang w:eastAsia="zh-CN"/>
        </w:rPr>
        <w:t>。</w:t>
      </w:r>
      <w:r>
        <w:rPr>
          <w:rFonts w:hint="eastAsia" w:eastAsia="宋体"/>
          <w:snapToGrid w:val="0"/>
          <w:lang w:eastAsia="zh-CN"/>
        </w:rPr>
        <w:t>如果预期会对用户眼睛造成影响，则还需要故障报告，但不需要15天报告（参见《美国联邦法规》第21篇第4.102和803.50节）。</w:t>
      </w:r>
    </w:p>
    <w:p w14:paraId="462CF83C">
      <w:pPr>
        <w:pStyle w:val="7"/>
        <w:autoSpaceDE/>
        <w:autoSpaceDN/>
        <w:snapToGrid w:val="0"/>
        <w:ind w:firstLine="480" w:firstLineChars="200"/>
        <w:jc w:val="both"/>
        <w:rPr>
          <w:rFonts w:eastAsia="宋体"/>
          <w:snapToGrid w:val="0"/>
          <w:lang w:eastAsia="zh-CN"/>
        </w:rPr>
      </w:pPr>
    </w:p>
    <w:p w14:paraId="60D34FE0">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ICSR中的更正/移除</w:t>
      </w:r>
      <w:r>
        <w:rPr>
          <w:rFonts w:hint="eastAsia" w:eastAsia="宋体"/>
          <w:i/>
          <w:lang w:eastAsia="zh-CN"/>
        </w:rPr>
        <w:t>。</w:t>
      </w:r>
      <w:r>
        <w:rPr>
          <w:rFonts w:hint="eastAsia" w:eastAsia="宋体"/>
          <w:snapToGrid w:val="0"/>
          <w:lang w:eastAsia="zh-CN"/>
        </w:rPr>
        <w:t>如果组合产品申请人在确定有必要进行移除以防止对公众健康造成重大伤害的不合理风险后5个工作日内启动移除，则可以提交一份报告，以同时满足5天报告以及更正和移除报告要求（参见《美国联邦法规》第21篇第4.102和806.10（f）节）。</w:t>
      </w:r>
    </w:p>
    <w:p w14:paraId="1CA1CC34">
      <w:pPr>
        <w:pStyle w:val="7"/>
        <w:autoSpaceDE/>
        <w:autoSpaceDN/>
        <w:snapToGrid w:val="0"/>
        <w:jc w:val="both"/>
        <w:rPr>
          <w:rFonts w:eastAsia="宋体"/>
          <w:snapToGrid w:val="0"/>
          <w:lang w:eastAsia="zh-CN"/>
        </w:rPr>
      </w:pPr>
    </w:p>
    <w:p w14:paraId="140A103E">
      <w:pPr>
        <w:autoSpaceDE/>
        <w:autoSpaceDN/>
        <w:snapToGrid w:val="0"/>
        <w:jc w:val="both"/>
        <w:rPr>
          <w:rFonts w:eastAsia="宋体"/>
          <w:snapToGrid w:val="0"/>
          <w:sz w:val="24"/>
          <w:szCs w:val="24"/>
          <w:lang w:eastAsia="zh-CN"/>
        </w:rPr>
      </w:pPr>
      <w:r>
        <w:rPr>
          <w:rFonts w:hint="eastAsia" w:eastAsia="宋体"/>
          <w:snapToGrid w:val="0"/>
          <w:sz w:val="24"/>
          <w:szCs w:val="24"/>
          <w:lang w:eastAsia="zh-CN"/>
        </w:rPr>
        <w:br w:type="page"/>
      </w:r>
    </w:p>
    <w:p w14:paraId="689E1558">
      <w:pPr>
        <w:autoSpaceDE/>
        <w:autoSpaceDN/>
        <w:snapToGrid w:val="0"/>
        <w:jc w:val="both"/>
        <w:rPr>
          <w:rFonts w:eastAsia="宋体"/>
          <w:sz w:val="24"/>
          <w:lang w:eastAsia="zh-CN"/>
        </w:rPr>
      </w:pPr>
    </w:p>
    <w:p w14:paraId="5573D3C7">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总则</w:t>
      </w:r>
      <w:r>
        <w:rPr>
          <w:rFonts w:hint="eastAsia" w:eastAsia="宋体"/>
          <w:i/>
          <w:lang w:eastAsia="zh-CN"/>
        </w:rPr>
        <w:t>。</w:t>
      </w:r>
      <w:r>
        <w:rPr>
          <w:rFonts w:hint="eastAsia" w:eastAsia="宋体"/>
          <w:snapToGrid w:val="0"/>
          <w:lang w:eastAsia="zh-CN"/>
        </w:rPr>
        <w:t>无论申请人向FDA提交了关于该组合产品的哪些报告，申请人都必须继续遵守该产品的所有PMSR要求。例如，这种情形下，在提交5天报告后，申请人的要求将包括继续评估不良事件，并根据需要提交15天报告（参见《美国联邦法规》第21篇第4.102（b）和314.80节）。</w:t>
      </w:r>
    </w:p>
    <w:p w14:paraId="5179F866">
      <w:pPr>
        <w:pStyle w:val="7"/>
        <w:autoSpaceDE/>
        <w:autoSpaceDN/>
        <w:snapToGrid w:val="0"/>
        <w:jc w:val="both"/>
        <w:rPr>
          <w:rFonts w:eastAsia="宋体"/>
          <w:snapToGrid w:val="0"/>
          <w:lang w:eastAsia="zh-CN"/>
        </w:rPr>
      </w:pPr>
    </w:p>
    <w:p w14:paraId="3744C568">
      <w:pPr>
        <w:pStyle w:val="3"/>
        <w:autoSpaceDE/>
        <w:autoSpaceDN/>
        <w:spacing w:before="0" w:beforeLines="0" w:line="240" w:lineRule="auto"/>
        <w:ind w:left="1442" w:leftChars="400" w:hanging="562"/>
        <w:rPr>
          <w:snapToGrid w:val="0"/>
          <w:szCs w:val="24"/>
          <w:lang w:eastAsia="zh-CN"/>
        </w:rPr>
      </w:pPr>
      <w:bookmarkStart w:id="43" w:name="_Toc95145711"/>
      <w:bookmarkStart w:id="44" w:name="_Toc97551512"/>
      <w:r>
        <w:rPr>
          <w:rFonts w:hint="eastAsia"/>
          <w:snapToGrid w:val="0"/>
          <w:szCs w:val="24"/>
          <w:lang w:eastAsia="zh-CN"/>
        </w:rPr>
        <w:t>B.</w:t>
      </w:r>
      <w:r>
        <w:rPr>
          <w:rFonts w:hint="eastAsia"/>
          <w:snapToGrid w:val="0"/>
          <w:szCs w:val="24"/>
          <w:lang w:eastAsia="zh-CN"/>
        </w:rPr>
        <w:tab/>
      </w:r>
      <w:r>
        <w:rPr>
          <w:rFonts w:hint="eastAsia"/>
          <w:snapToGrid w:val="0"/>
          <w:szCs w:val="24"/>
          <w:lang w:eastAsia="zh-CN"/>
        </w:rPr>
        <w:t>器械申请组合产品</w:t>
      </w:r>
      <w:bookmarkEnd w:id="43"/>
      <w:bookmarkEnd w:id="44"/>
    </w:p>
    <w:p w14:paraId="718627D7">
      <w:pPr>
        <w:pStyle w:val="7"/>
        <w:autoSpaceDE/>
        <w:autoSpaceDN/>
        <w:snapToGrid w:val="0"/>
        <w:jc w:val="both"/>
        <w:rPr>
          <w:rFonts w:eastAsia="宋体"/>
          <w:snapToGrid w:val="0"/>
          <w:lang w:eastAsia="zh-CN"/>
        </w:rPr>
      </w:pPr>
    </w:p>
    <w:p w14:paraId="67667402">
      <w:pPr>
        <w:pStyle w:val="5"/>
        <w:autoSpaceDE/>
        <w:autoSpaceDN/>
        <w:spacing w:before="0" w:beforeLines="0" w:line="240" w:lineRule="auto"/>
        <w:ind w:left="1912" w:leftChars="650"/>
        <w:rPr>
          <w:snapToGrid w:val="0"/>
          <w:lang w:eastAsia="zh-CN"/>
        </w:rPr>
      </w:pPr>
      <w:r>
        <w:rPr>
          <w:rFonts w:hint="eastAsia"/>
          <w:snapToGrid w:val="0"/>
          <w:lang w:eastAsia="zh-CN"/>
        </w:rPr>
        <w:t>1.</w:t>
      </w:r>
      <w:r>
        <w:rPr>
          <w:rFonts w:hint="eastAsia"/>
          <w:snapToGrid w:val="0"/>
          <w:lang w:eastAsia="zh-CN"/>
        </w:rPr>
        <w:tab/>
      </w:r>
      <w:r>
        <w:rPr>
          <w:rFonts w:hint="eastAsia"/>
          <w:snapToGrid w:val="0"/>
          <w:lang w:eastAsia="zh-CN"/>
        </w:rPr>
        <w:t>产品描述和情形</w:t>
      </w:r>
    </w:p>
    <w:p w14:paraId="7DDC6A57">
      <w:pPr>
        <w:pStyle w:val="7"/>
        <w:autoSpaceDE/>
        <w:autoSpaceDN/>
        <w:snapToGrid w:val="0"/>
        <w:jc w:val="both"/>
        <w:rPr>
          <w:rFonts w:eastAsia="宋体"/>
          <w:snapToGrid w:val="0"/>
          <w:lang w:eastAsia="zh-CN"/>
        </w:rPr>
      </w:pPr>
    </w:p>
    <w:p w14:paraId="60B03E9E">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组合产品申请人持有药物洗脱支架（DES）的PMA。该申请人收到一份报告，称患者在插入DES后出现危及生命的感染。需要对患者进行治疗并延长住院时间。该事件的严重程度超过产品标签上的任何警告。</w:t>
      </w:r>
    </w:p>
    <w:p w14:paraId="53A820DC">
      <w:pPr>
        <w:pStyle w:val="7"/>
        <w:autoSpaceDE/>
        <w:autoSpaceDN/>
        <w:snapToGrid w:val="0"/>
        <w:jc w:val="both"/>
        <w:rPr>
          <w:rFonts w:eastAsia="宋体"/>
          <w:snapToGrid w:val="0"/>
          <w:lang w:eastAsia="zh-CN"/>
        </w:rPr>
      </w:pPr>
    </w:p>
    <w:p w14:paraId="0D5EEFF3">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组合产品申请人无法回收该不良事件中涉及的产品，但能够确认产品批次并审查生产记录，并且未发现与该批次相关的任何在制品或成品检测相关的异常情况。</w:t>
      </w:r>
    </w:p>
    <w:p w14:paraId="3DCF4D0C">
      <w:pPr>
        <w:pStyle w:val="7"/>
        <w:autoSpaceDE/>
        <w:autoSpaceDN/>
        <w:snapToGrid w:val="0"/>
        <w:jc w:val="both"/>
        <w:rPr>
          <w:rFonts w:eastAsia="宋体"/>
          <w:snapToGrid w:val="0"/>
          <w:lang w:eastAsia="zh-CN"/>
        </w:rPr>
      </w:pPr>
    </w:p>
    <w:p w14:paraId="12B70335">
      <w:pPr>
        <w:pStyle w:val="5"/>
        <w:autoSpaceDE/>
        <w:autoSpaceDN/>
        <w:spacing w:before="0" w:beforeLines="0" w:line="240" w:lineRule="auto"/>
        <w:ind w:left="1912" w:leftChars="650"/>
        <w:rPr>
          <w:snapToGrid w:val="0"/>
          <w:lang w:eastAsia="zh-CN"/>
        </w:rPr>
      </w:pPr>
      <w:r>
        <w:rPr>
          <w:rFonts w:hint="eastAsia"/>
          <w:snapToGrid w:val="0"/>
          <w:lang w:eastAsia="zh-CN"/>
        </w:rPr>
        <w:t>2.</w:t>
      </w:r>
      <w:r>
        <w:rPr>
          <w:rFonts w:hint="eastAsia"/>
          <w:snapToGrid w:val="0"/>
          <w:lang w:eastAsia="zh-CN"/>
        </w:rPr>
        <w:tab/>
      </w:r>
      <w:r>
        <w:rPr>
          <w:rFonts w:hint="eastAsia"/>
          <w:snapToGrid w:val="0"/>
          <w:lang w:eastAsia="zh-CN"/>
        </w:rPr>
        <w:t>首次ICSR报告</w:t>
      </w:r>
    </w:p>
    <w:p w14:paraId="67AE9940">
      <w:pPr>
        <w:pStyle w:val="7"/>
        <w:autoSpaceDE/>
        <w:autoSpaceDN/>
        <w:snapToGrid w:val="0"/>
        <w:jc w:val="both"/>
        <w:rPr>
          <w:rFonts w:eastAsia="宋体"/>
          <w:snapToGrid w:val="0"/>
          <w:lang w:eastAsia="zh-CN"/>
        </w:rPr>
      </w:pPr>
    </w:p>
    <w:p w14:paraId="5D788C04">
      <w:pPr>
        <w:pStyle w:val="7"/>
        <w:autoSpaceDE/>
        <w:autoSpaceDN/>
        <w:snapToGrid w:val="0"/>
        <w:jc w:val="both"/>
        <w:rPr>
          <w:rFonts w:eastAsia="宋体"/>
          <w:snapToGrid w:val="0"/>
          <w:lang w:eastAsia="zh-CN"/>
        </w:rPr>
      </w:pPr>
      <w:r>
        <w:rPr>
          <w:rFonts w:hint="eastAsia" w:eastAsia="宋体"/>
          <w:snapToGrid w:val="0"/>
          <w:lang w:eastAsia="zh-CN"/>
        </w:rPr>
        <w:t>组合产品申请人评估该事件的ICSR报告义务（参见附录2中的表2.2）：</w:t>
      </w:r>
    </w:p>
    <w:p w14:paraId="72B9480A">
      <w:pPr>
        <w:pStyle w:val="7"/>
        <w:autoSpaceDE/>
        <w:autoSpaceDN/>
        <w:snapToGrid w:val="0"/>
        <w:jc w:val="both"/>
        <w:rPr>
          <w:rFonts w:eastAsia="宋体"/>
          <w:snapToGrid w:val="0"/>
          <w:lang w:eastAsia="zh-CN"/>
        </w:rPr>
      </w:pPr>
    </w:p>
    <w:p w14:paraId="283A2A4D">
      <w:pPr>
        <w:pStyle w:val="24"/>
        <w:numPr>
          <w:ilvl w:val="0"/>
          <w:numId w:val="3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该事件是否是一次严重且非预期的不良经历？</w:t>
      </w:r>
    </w:p>
    <w:p w14:paraId="3C8C8948">
      <w:pPr>
        <w:pStyle w:val="24"/>
        <w:tabs>
          <w:tab w:val="left" w:pos="911"/>
        </w:tabs>
        <w:autoSpaceDE/>
        <w:autoSpaceDN/>
        <w:snapToGrid w:val="0"/>
        <w:ind w:left="920" w:firstLine="0"/>
        <w:jc w:val="both"/>
        <w:rPr>
          <w:rFonts w:eastAsia="宋体"/>
          <w:snapToGrid w:val="0"/>
          <w:sz w:val="24"/>
          <w:szCs w:val="24"/>
          <w:lang w:eastAsia="zh-CN"/>
        </w:rPr>
      </w:pPr>
    </w:p>
    <w:p w14:paraId="192A57E6">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是。该感染是严重（危及生命）且非预期的（未列入产品标签）。需要15天报告（在30个日历日内完成）（参见《美国联邦法规》第21篇第4.102和314.80节）。</w:t>
      </w:r>
    </w:p>
    <w:p w14:paraId="45749273">
      <w:pPr>
        <w:pStyle w:val="7"/>
        <w:tabs>
          <w:tab w:val="left" w:pos="911"/>
        </w:tabs>
        <w:autoSpaceDE/>
        <w:autoSpaceDN/>
        <w:snapToGrid w:val="0"/>
        <w:ind w:left="880" w:leftChars="400"/>
        <w:jc w:val="both"/>
        <w:rPr>
          <w:rFonts w:eastAsia="宋体"/>
          <w:snapToGrid w:val="0"/>
          <w:lang w:eastAsia="zh-CN"/>
        </w:rPr>
      </w:pPr>
    </w:p>
    <w:p w14:paraId="557F1834">
      <w:pPr>
        <w:pStyle w:val="24"/>
        <w:numPr>
          <w:ilvl w:val="0"/>
          <w:numId w:val="3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该事件是否为可报告的死亡或重伤？</w:t>
      </w:r>
    </w:p>
    <w:p w14:paraId="4516702D">
      <w:pPr>
        <w:pStyle w:val="24"/>
        <w:tabs>
          <w:tab w:val="left" w:pos="911"/>
        </w:tabs>
        <w:autoSpaceDE/>
        <w:autoSpaceDN/>
        <w:snapToGrid w:val="0"/>
        <w:ind w:left="920" w:firstLine="0"/>
        <w:jc w:val="both"/>
        <w:rPr>
          <w:rFonts w:eastAsia="宋体"/>
          <w:snapToGrid w:val="0"/>
          <w:sz w:val="24"/>
          <w:szCs w:val="24"/>
          <w:lang w:eastAsia="zh-CN"/>
        </w:rPr>
      </w:pPr>
    </w:p>
    <w:p w14:paraId="0168A0EB">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是。该信息合理地表明DES可能导致或促成需要医疗干预的危及生命的感染。需要一份重伤报告（参见《美国联邦法规》第21篇第4.102和803.50节）。</w:t>
      </w:r>
    </w:p>
    <w:p w14:paraId="50113ED9">
      <w:pPr>
        <w:pStyle w:val="7"/>
        <w:tabs>
          <w:tab w:val="left" w:pos="911"/>
        </w:tabs>
        <w:autoSpaceDE/>
        <w:autoSpaceDN/>
        <w:snapToGrid w:val="0"/>
        <w:ind w:left="880" w:leftChars="400"/>
        <w:jc w:val="both"/>
        <w:rPr>
          <w:rFonts w:eastAsia="宋体"/>
          <w:snapToGrid w:val="0"/>
          <w:lang w:eastAsia="zh-CN"/>
        </w:rPr>
      </w:pPr>
    </w:p>
    <w:p w14:paraId="395BD4D2">
      <w:pPr>
        <w:pStyle w:val="24"/>
        <w:numPr>
          <w:ilvl w:val="0"/>
          <w:numId w:val="30"/>
        </w:numPr>
        <w:tabs>
          <w:tab w:val="left" w:pos="911"/>
        </w:tabs>
        <w:autoSpaceDE/>
        <w:autoSpaceDN/>
        <w:snapToGrid w:val="0"/>
        <w:ind w:left="920" w:leftChars="200" w:hanging="480" w:hangingChars="200"/>
        <w:jc w:val="both"/>
        <w:rPr>
          <w:rFonts w:eastAsia="宋体"/>
          <w:snapToGrid w:val="0"/>
          <w:sz w:val="24"/>
          <w:szCs w:val="24"/>
          <w:lang w:eastAsia="zh-CN"/>
        </w:rPr>
      </w:pPr>
      <w:r>
        <w:rPr>
          <w:rFonts w:hint="eastAsia" w:eastAsia="宋体"/>
          <w:snapToGrid w:val="0"/>
          <w:sz w:val="24"/>
          <w:szCs w:val="24"/>
          <w:lang w:eastAsia="zh-CN"/>
        </w:rPr>
        <w:t>该事件是否需要采取补救措施，以防止对公众健康造成重大伤害的不合理风险？</w:t>
      </w:r>
    </w:p>
    <w:p w14:paraId="64DEBD71">
      <w:pPr>
        <w:pStyle w:val="24"/>
        <w:tabs>
          <w:tab w:val="left" w:pos="911"/>
        </w:tabs>
        <w:autoSpaceDE/>
        <w:autoSpaceDN/>
        <w:snapToGrid w:val="0"/>
        <w:ind w:left="920" w:firstLine="0"/>
        <w:jc w:val="both"/>
        <w:rPr>
          <w:rFonts w:eastAsia="宋体"/>
          <w:snapToGrid w:val="0"/>
          <w:sz w:val="24"/>
          <w:szCs w:val="24"/>
          <w:lang w:eastAsia="zh-CN"/>
        </w:rPr>
      </w:pPr>
    </w:p>
    <w:p w14:paraId="1B177EE6">
      <w:pPr>
        <w:pStyle w:val="7"/>
        <w:tabs>
          <w:tab w:val="left" w:pos="911"/>
        </w:tabs>
        <w:autoSpaceDE/>
        <w:autoSpaceDN/>
        <w:snapToGrid w:val="0"/>
        <w:ind w:left="880" w:leftChars="400" w:firstLine="480" w:firstLineChars="200"/>
        <w:jc w:val="both"/>
        <w:rPr>
          <w:rFonts w:eastAsia="宋体"/>
          <w:snapToGrid w:val="0"/>
          <w:lang w:eastAsia="zh-CN"/>
        </w:rPr>
      </w:pPr>
      <w:r>
        <w:rPr>
          <w:rFonts w:hint="eastAsia" w:eastAsia="宋体"/>
          <w:snapToGrid w:val="0"/>
          <w:lang w:eastAsia="zh-CN"/>
        </w:rPr>
        <w:t>不需要。对生产记录的审查表明，产品的生产过程或批次未见异常。申请人没有其他可用信息表明此时有必要采取补救措施。不需要5天报告。</w:t>
      </w:r>
    </w:p>
    <w:p w14:paraId="2C7F304B">
      <w:pPr>
        <w:pStyle w:val="7"/>
        <w:autoSpaceDE/>
        <w:autoSpaceDN/>
        <w:snapToGrid w:val="0"/>
        <w:ind w:left="880" w:leftChars="400"/>
        <w:jc w:val="both"/>
        <w:rPr>
          <w:rFonts w:eastAsia="宋体"/>
          <w:snapToGrid w:val="0"/>
          <w:lang w:eastAsia="zh-CN"/>
        </w:rPr>
      </w:pPr>
    </w:p>
    <w:p w14:paraId="45C85029">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15天和重伤报告的报告时间均为30个日历日（参见《美国联邦法规》第21篇第4.102和803.50节）。组合产品申请人在30个日历日内提交一份报告，其中包括所需信息（分别参见《美国联邦法规》第21篇第314.80和803.52节）以及上文第V.B.2节中建议的信息，以符合这些组合产品PMSR要求。</w:t>
      </w:r>
    </w:p>
    <w:p w14:paraId="55BE8B3A">
      <w:pPr>
        <w:pStyle w:val="7"/>
        <w:autoSpaceDE/>
        <w:autoSpaceDN/>
        <w:snapToGrid w:val="0"/>
        <w:jc w:val="both"/>
        <w:rPr>
          <w:rFonts w:eastAsia="宋体"/>
          <w:snapToGrid w:val="0"/>
          <w:lang w:eastAsia="zh-CN"/>
        </w:rPr>
      </w:pPr>
    </w:p>
    <w:p w14:paraId="36BA86CC">
      <w:pPr>
        <w:autoSpaceDE/>
        <w:autoSpaceDN/>
        <w:snapToGrid w:val="0"/>
        <w:jc w:val="both"/>
        <w:rPr>
          <w:rFonts w:eastAsia="宋体"/>
          <w:snapToGrid w:val="0"/>
          <w:sz w:val="24"/>
          <w:szCs w:val="24"/>
          <w:lang w:eastAsia="zh-CN"/>
        </w:rPr>
      </w:pPr>
      <w:r>
        <w:rPr>
          <w:rFonts w:eastAsia="宋体"/>
          <w:sz w:val="24"/>
          <w:lang w:eastAsia="zh-CN"/>
        </w:rPr>
        <w:br w:type="page"/>
      </w:r>
    </w:p>
    <w:p w14:paraId="05A417BB">
      <w:pPr>
        <w:pStyle w:val="5"/>
        <w:autoSpaceDE/>
        <w:autoSpaceDN/>
        <w:spacing w:before="0" w:beforeLines="0" w:line="240" w:lineRule="auto"/>
        <w:ind w:left="1912" w:leftChars="650"/>
        <w:rPr>
          <w:snapToGrid w:val="0"/>
          <w:lang w:eastAsia="zh-CN"/>
        </w:rPr>
      </w:pPr>
      <w:r>
        <w:rPr>
          <w:rFonts w:hint="eastAsia"/>
          <w:snapToGrid w:val="0"/>
          <w:lang w:eastAsia="zh-CN"/>
        </w:rPr>
        <w:t>3.</w:t>
      </w:r>
      <w:r>
        <w:rPr>
          <w:rFonts w:hint="eastAsia"/>
          <w:snapToGrid w:val="0"/>
          <w:lang w:eastAsia="zh-CN"/>
        </w:rPr>
        <w:tab/>
      </w:r>
      <w:r>
        <w:rPr>
          <w:rFonts w:hint="eastAsia"/>
          <w:snapToGrid w:val="0"/>
          <w:lang w:eastAsia="zh-CN"/>
        </w:rPr>
        <w:t>根据收到的额外信息报告</w:t>
      </w:r>
    </w:p>
    <w:p w14:paraId="0ECF8124">
      <w:pPr>
        <w:pStyle w:val="7"/>
        <w:autoSpaceDE/>
        <w:autoSpaceDN/>
        <w:snapToGrid w:val="0"/>
        <w:jc w:val="both"/>
        <w:rPr>
          <w:rFonts w:eastAsia="宋体"/>
          <w:snapToGrid w:val="0"/>
          <w:lang w:eastAsia="zh-CN"/>
        </w:rPr>
      </w:pPr>
    </w:p>
    <w:p w14:paraId="1CE2FEE6">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对于同一型号的DES，组合产品申请人收到多份其他患者相似的严重感染事件报告。组合产品申请人进行附加调查，并确定药物涂层有污染物。这些污染物可追溯到用于药物涂层的生产设备。</w:t>
      </w:r>
    </w:p>
    <w:p w14:paraId="0422013D">
      <w:pPr>
        <w:pStyle w:val="7"/>
        <w:autoSpaceDE/>
        <w:autoSpaceDN/>
        <w:snapToGrid w:val="0"/>
        <w:ind w:firstLine="480" w:firstLineChars="200"/>
        <w:jc w:val="both"/>
        <w:rPr>
          <w:rFonts w:eastAsia="宋体"/>
          <w:snapToGrid w:val="0"/>
          <w:lang w:eastAsia="zh-CN"/>
        </w:rPr>
      </w:pPr>
    </w:p>
    <w:p w14:paraId="248B8F1C">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ICSR考虑因素。</w:t>
      </w:r>
      <w:r>
        <w:rPr>
          <w:rFonts w:hint="eastAsia" w:eastAsia="宋体"/>
          <w:snapToGrid w:val="0"/>
          <w:lang w:eastAsia="zh-CN"/>
        </w:rPr>
        <w:t>申请人确定因污染物而需要移除的受影响批次，以防止对公众健康造成重大伤害的不合理风险，并在两天后开始移除。因此，组合产品申请人应提交一份产品移除的5天报告，其中包括所需信息（参见《美国联邦法规》第21篇第803.52和806.10节）和上文第V.B节中建议的信息。申请人在确定需要采取补救措施的5个工作日内提交报告，还应在启动移除的10个工作日内提交报告。因此，组合产品申请人可满足5天及更正和移除报告要求（参见《美国联邦法规》第21篇第4.102、803.53和806.10节）。</w:t>
      </w:r>
    </w:p>
    <w:p w14:paraId="274DC1CF">
      <w:pPr>
        <w:pStyle w:val="7"/>
        <w:autoSpaceDE/>
        <w:autoSpaceDN/>
        <w:snapToGrid w:val="0"/>
        <w:ind w:firstLine="480" w:firstLineChars="200"/>
        <w:jc w:val="both"/>
        <w:rPr>
          <w:rFonts w:eastAsia="宋体"/>
          <w:snapToGrid w:val="0"/>
          <w:lang w:eastAsia="zh-CN"/>
        </w:rPr>
      </w:pPr>
    </w:p>
    <w:p w14:paraId="1734C431">
      <w:pPr>
        <w:pStyle w:val="7"/>
        <w:autoSpaceDE/>
        <w:autoSpaceDN/>
        <w:snapToGrid w:val="0"/>
        <w:ind w:firstLine="480" w:firstLineChars="200"/>
        <w:jc w:val="both"/>
        <w:rPr>
          <w:rFonts w:eastAsia="宋体"/>
          <w:snapToGrid w:val="0"/>
          <w:lang w:eastAsia="zh-CN"/>
        </w:rPr>
      </w:pPr>
      <w:r>
        <w:rPr>
          <w:rFonts w:hint="eastAsia" w:eastAsia="宋体"/>
          <w:i/>
          <w:snapToGrid w:val="0"/>
          <w:lang w:eastAsia="zh-CN"/>
        </w:rPr>
        <w:t>非ICSR考虑因素。</w:t>
      </w:r>
      <w:r>
        <w:rPr>
          <w:rFonts w:hint="eastAsia" w:eastAsia="宋体"/>
          <w:snapToGrid w:val="0"/>
          <w:lang w:eastAsia="zh-CN"/>
        </w:rPr>
        <w:t>由于申请人在其5天报告中包含了《美国联邦法规》第21篇第806.10要求的所有信息，因此不需要单独的更正和移除报告（参见《美国联邦法规》第21篇第4.102和806.10（f）节）。</w:t>
      </w:r>
    </w:p>
    <w:p w14:paraId="58079032">
      <w:pPr>
        <w:pStyle w:val="7"/>
        <w:autoSpaceDE/>
        <w:autoSpaceDN/>
        <w:snapToGrid w:val="0"/>
        <w:ind w:firstLine="480" w:firstLineChars="200"/>
        <w:jc w:val="both"/>
        <w:rPr>
          <w:rFonts w:eastAsia="宋体"/>
          <w:snapToGrid w:val="0"/>
          <w:lang w:eastAsia="zh-CN"/>
        </w:rPr>
      </w:pPr>
    </w:p>
    <w:p w14:paraId="468D95DD">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由于生产过程中发生的药物涂层污染，组合产品申请人确定需要现场警示报告。申请人在发现污染问题后的3个工作日内提交一份现场警示报告，其中包括《美国联邦法规》第21篇第314.81要求的信息，以及上述第V.B.1节和第V.B.5节建议的信息，以满足这项附加PMSR要求（参见《美国联邦法规》第21篇第4.102和314.81节）。</w:t>
      </w:r>
    </w:p>
    <w:p w14:paraId="1C9B082A">
      <w:pPr>
        <w:pStyle w:val="7"/>
        <w:autoSpaceDE/>
        <w:autoSpaceDN/>
        <w:snapToGrid w:val="0"/>
        <w:jc w:val="both"/>
        <w:rPr>
          <w:rFonts w:eastAsia="宋体"/>
          <w:snapToGrid w:val="0"/>
          <w:lang w:eastAsia="zh-CN"/>
        </w:rPr>
      </w:pPr>
    </w:p>
    <w:p w14:paraId="7879D766">
      <w:pPr>
        <w:pStyle w:val="5"/>
        <w:autoSpaceDE/>
        <w:autoSpaceDN/>
        <w:spacing w:before="0" w:beforeLines="0" w:line="240" w:lineRule="auto"/>
        <w:ind w:left="1912" w:leftChars="650"/>
        <w:rPr>
          <w:snapToGrid w:val="0"/>
          <w:lang w:eastAsia="zh-CN"/>
        </w:rPr>
      </w:pPr>
      <w:r>
        <w:rPr>
          <w:rFonts w:hint="eastAsia"/>
          <w:snapToGrid w:val="0"/>
          <w:lang w:eastAsia="zh-CN"/>
        </w:rPr>
        <w:t>4.</w:t>
      </w:r>
      <w:r>
        <w:rPr>
          <w:rFonts w:hint="eastAsia"/>
          <w:snapToGrid w:val="0"/>
          <w:lang w:eastAsia="zh-CN"/>
        </w:rPr>
        <w:tab/>
      </w:r>
      <w:r>
        <w:rPr>
          <w:rFonts w:hint="eastAsia"/>
          <w:snapToGrid w:val="0"/>
          <w:lang w:eastAsia="zh-CN"/>
        </w:rPr>
        <w:t>其它注意事项</w:t>
      </w:r>
    </w:p>
    <w:p w14:paraId="1A4723D5">
      <w:pPr>
        <w:pStyle w:val="7"/>
        <w:autoSpaceDE/>
        <w:autoSpaceDN/>
        <w:snapToGrid w:val="0"/>
        <w:jc w:val="both"/>
        <w:rPr>
          <w:rFonts w:eastAsia="宋体"/>
          <w:snapToGrid w:val="0"/>
          <w:lang w:eastAsia="zh-CN"/>
        </w:rPr>
      </w:pPr>
    </w:p>
    <w:p w14:paraId="61DAAE94">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在此情形下，通过不良事件调查发现了污染问题。须知，如果在任何不良事件报告之前发现污染问题，则首先要求组合产品申请人在收到信息后3个工作日内提交现场警示报告（参见《美国联邦法规》第21篇第4.102和314.81节），并且一旦触发，还必须按其各自的时间表遵守示例中确定的其他报告要求。</w:t>
      </w:r>
    </w:p>
    <w:p w14:paraId="2340B739">
      <w:pPr>
        <w:pStyle w:val="7"/>
        <w:autoSpaceDE/>
        <w:autoSpaceDN/>
        <w:snapToGrid w:val="0"/>
        <w:jc w:val="both"/>
        <w:rPr>
          <w:rFonts w:eastAsia="宋体"/>
          <w:snapToGrid w:val="0"/>
          <w:lang w:eastAsia="zh-CN"/>
        </w:rPr>
      </w:pPr>
    </w:p>
    <w:p w14:paraId="68736B04">
      <w:pPr>
        <w:autoSpaceDE/>
        <w:autoSpaceDN/>
        <w:snapToGrid w:val="0"/>
        <w:jc w:val="both"/>
        <w:rPr>
          <w:rFonts w:eastAsia="宋体"/>
          <w:snapToGrid w:val="0"/>
          <w:sz w:val="24"/>
          <w:szCs w:val="24"/>
          <w:lang w:eastAsia="zh-CN"/>
        </w:rPr>
        <w:sectPr>
          <w:headerReference r:id="rId5" w:type="default"/>
          <w:footerReference r:id="rId6" w:type="default"/>
          <w:pgSz w:w="11907" w:h="16840"/>
          <w:pgMar w:top="1134" w:right="1134" w:bottom="1134" w:left="1418" w:header="567" w:footer="567" w:gutter="0"/>
          <w:pgNumType w:start="1"/>
          <w:cols w:space="720" w:num="1"/>
          <w:docGrid w:linePitch="299" w:charSpace="0"/>
        </w:sectPr>
      </w:pPr>
    </w:p>
    <w:p w14:paraId="213DF6AC">
      <w:pPr>
        <w:pStyle w:val="2"/>
        <w:autoSpaceDE/>
        <w:autoSpaceDN/>
        <w:spacing w:before="0" w:beforeLines="0" w:line="240" w:lineRule="auto"/>
        <w:ind w:left="562" w:hanging="562"/>
        <w:rPr>
          <w:sz w:val="28"/>
          <w:lang w:eastAsia="zh-CN"/>
        </w:rPr>
      </w:pPr>
      <w:bookmarkStart w:id="45" w:name="_Toc97551513"/>
      <w:bookmarkStart w:id="46" w:name="_Toc95145712"/>
      <w:r>
        <w:rPr>
          <w:rFonts w:hint="eastAsia"/>
          <w:sz w:val="28"/>
          <w:lang w:eastAsia="zh-CN"/>
        </w:rPr>
        <w:t>附录</w:t>
      </w:r>
      <w:r>
        <w:rPr>
          <w:sz w:val="28"/>
          <w:lang w:eastAsia="zh-CN"/>
        </w:rPr>
        <w:t>1.</w:t>
      </w:r>
      <w:r>
        <w:rPr>
          <w:rFonts w:hint="eastAsia"/>
          <w:sz w:val="28"/>
          <w:lang w:eastAsia="zh-CN"/>
        </w:rPr>
        <w:t>按申请和产品类型列出的组合产品（</w:t>
      </w:r>
      <w:r>
        <w:rPr>
          <w:sz w:val="28"/>
          <w:lang w:eastAsia="zh-CN"/>
        </w:rPr>
        <w:t>CP</w:t>
      </w:r>
      <w:r>
        <w:rPr>
          <w:rFonts w:hint="eastAsia"/>
          <w:sz w:val="28"/>
          <w:lang w:eastAsia="zh-CN"/>
        </w:rPr>
        <w:t>）</w:t>
      </w:r>
      <w:r>
        <w:rPr>
          <w:sz w:val="28"/>
          <w:lang w:eastAsia="zh-CN"/>
        </w:rPr>
        <w:t>PMSR</w:t>
      </w:r>
      <w:r>
        <w:rPr>
          <w:rFonts w:hint="eastAsia"/>
          <w:sz w:val="28"/>
          <w:lang w:eastAsia="zh-CN"/>
        </w:rPr>
        <w:t>要求</w:t>
      </w:r>
      <w:bookmarkEnd w:id="45"/>
      <w:bookmarkEnd w:id="46"/>
    </w:p>
    <w:tbl>
      <w:tblPr>
        <w:tblStyle w:val="17"/>
        <w:tblW w:w="5000" w:type="pct"/>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57" w:type="dxa"/>
          <w:bottom w:w="0" w:type="dxa"/>
          <w:right w:w="57" w:type="dxa"/>
        </w:tblCellMar>
      </w:tblPr>
      <w:tblGrid>
        <w:gridCol w:w="1078"/>
        <w:gridCol w:w="2144"/>
        <w:gridCol w:w="652"/>
        <w:gridCol w:w="579"/>
        <w:gridCol w:w="549"/>
        <w:gridCol w:w="743"/>
        <w:gridCol w:w="693"/>
        <w:gridCol w:w="878"/>
        <w:gridCol w:w="693"/>
        <w:gridCol w:w="858"/>
        <w:gridCol w:w="731"/>
        <w:gridCol w:w="1090"/>
        <w:gridCol w:w="3998"/>
      </w:tblGrid>
      <w:tr w14:paraId="2574E17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restart"/>
            <w:tcBorders>
              <w:right w:val="single" w:color="000000" w:sz="4" w:space="0"/>
            </w:tcBorders>
            <w:shd w:val="clear" w:color="auto" w:fill="auto"/>
            <w:vAlign w:val="bottom"/>
          </w:tcPr>
          <w:p w14:paraId="62507062">
            <w:pPr>
              <w:pStyle w:val="25"/>
              <w:autoSpaceDE/>
              <w:autoSpaceDN/>
              <w:snapToGrid w:val="0"/>
              <w:jc w:val="both"/>
              <w:rPr>
                <w:rFonts w:eastAsia="宋体"/>
                <w:sz w:val="18"/>
              </w:rPr>
            </w:pPr>
            <w:r>
              <w:rPr>
                <w:rFonts w:hint="eastAsia" w:eastAsia="宋体"/>
                <w:sz w:val="18"/>
              </w:rPr>
              <w:t>申请类型</w:t>
            </w:r>
          </w:p>
        </w:tc>
        <w:tc>
          <w:tcPr>
            <w:tcW w:w="730" w:type="pct"/>
            <w:vMerge w:val="restart"/>
            <w:tcBorders>
              <w:left w:val="single" w:color="000000" w:sz="4" w:space="0"/>
            </w:tcBorders>
            <w:shd w:val="clear" w:color="auto" w:fill="auto"/>
            <w:vAlign w:val="bottom"/>
          </w:tcPr>
          <w:p w14:paraId="5F21CFBB">
            <w:pPr>
              <w:pStyle w:val="25"/>
              <w:autoSpaceDE/>
              <w:autoSpaceDN/>
              <w:snapToGrid w:val="0"/>
              <w:jc w:val="both"/>
              <w:rPr>
                <w:rFonts w:eastAsia="宋体"/>
                <w:sz w:val="18"/>
                <w:lang w:eastAsia="zh-CN"/>
              </w:rPr>
            </w:pPr>
            <w:r>
              <w:rPr>
                <w:rFonts w:hint="eastAsia" w:eastAsia="宋体"/>
                <w:sz w:val="18"/>
                <w:lang w:eastAsia="zh-CN"/>
              </w:rPr>
              <w:t>申请人的产品类型（</w:t>
            </w:r>
            <w:r>
              <w:rPr>
                <w:rFonts w:eastAsia="宋体"/>
                <w:sz w:val="18"/>
                <w:lang w:eastAsia="zh-CN"/>
              </w:rPr>
              <w:t>CP =</w:t>
            </w:r>
            <w:r>
              <w:rPr>
                <w:rFonts w:hint="eastAsia" w:eastAsia="宋体"/>
                <w:sz w:val="18"/>
                <w:lang w:eastAsia="zh-CN"/>
              </w:rPr>
              <w:t>组合产品）</w:t>
            </w:r>
          </w:p>
        </w:tc>
        <w:tc>
          <w:tcPr>
            <w:tcW w:w="606" w:type="pct"/>
            <w:gridSpan w:val="3"/>
            <w:tcBorders>
              <w:bottom w:val="single" w:color="000000" w:sz="4" w:space="0"/>
            </w:tcBorders>
            <w:shd w:val="clear" w:color="auto" w:fill="auto"/>
          </w:tcPr>
          <w:p w14:paraId="0FCD1AB3">
            <w:pPr>
              <w:pStyle w:val="25"/>
              <w:autoSpaceDE/>
              <w:autoSpaceDN/>
              <w:snapToGrid w:val="0"/>
              <w:jc w:val="center"/>
              <w:rPr>
                <w:rFonts w:eastAsia="宋体"/>
                <w:sz w:val="18"/>
              </w:rPr>
            </w:pPr>
            <w:r>
              <w:rPr>
                <w:rFonts w:hint="eastAsia" w:eastAsia="宋体"/>
                <w:sz w:val="18"/>
              </w:rPr>
              <w:t>基于申请类型的要求</w:t>
            </w:r>
          </w:p>
        </w:tc>
        <w:tc>
          <w:tcPr>
            <w:tcW w:w="1936" w:type="pct"/>
            <w:gridSpan w:val="7"/>
            <w:tcBorders>
              <w:bottom w:val="single" w:color="000000" w:sz="4" w:space="0"/>
            </w:tcBorders>
            <w:shd w:val="clear" w:color="auto" w:fill="auto"/>
          </w:tcPr>
          <w:p w14:paraId="141ED9DC">
            <w:pPr>
              <w:pStyle w:val="25"/>
              <w:autoSpaceDE/>
              <w:autoSpaceDN/>
              <w:snapToGrid w:val="0"/>
              <w:jc w:val="center"/>
              <w:rPr>
                <w:rFonts w:eastAsia="宋体"/>
                <w:sz w:val="18"/>
                <w:lang w:eastAsia="zh-CN"/>
              </w:rPr>
            </w:pPr>
            <w:r>
              <w:rPr>
                <w:rFonts w:hint="eastAsia" w:eastAsia="宋体"/>
                <w:sz w:val="18"/>
                <w:lang w:eastAsia="zh-CN"/>
              </w:rPr>
              <w:t>其他基于组成部分的报告要求</w:t>
            </w:r>
            <w:r>
              <w:rPr>
                <w:rStyle w:val="22"/>
                <w:rFonts w:hint="eastAsia" w:eastAsia="宋体"/>
                <w:snapToGrid w:val="0"/>
                <w:sz w:val="18"/>
                <w:szCs w:val="18"/>
                <w:lang w:eastAsia="zh-CN"/>
              </w:rPr>
              <w:footnoteReference w:id="52"/>
            </w:r>
            <w:r>
              <w:rPr>
                <w:rFonts w:hint="eastAsia" w:eastAsia="宋体"/>
                <w:snapToGrid w:val="0"/>
                <w:sz w:val="18"/>
                <w:szCs w:val="18"/>
                <w:vertAlign w:val="superscript"/>
                <w:lang w:eastAsia="zh-CN"/>
              </w:rPr>
              <w:t>,</w:t>
            </w:r>
            <w:r>
              <w:rPr>
                <w:rStyle w:val="22"/>
                <w:rFonts w:hint="eastAsia" w:eastAsia="宋体"/>
                <w:snapToGrid w:val="0"/>
                <w:sz w:val="18"/>
                <w:szCs w:val="18"/>
                <w:lang w:eastAsia="zh-CN"/>
              </w:rPr>
              <w:footnoteReference w:id="53"/>
            </w:r>
          </w:p>
          <w:p w14:paraId="0F969C9D">
            <w:pPr>
              <w:pStyle w:val="25"/>
              <w:autoSpaceDE/>
              <w:autoSpaceDN/>
              <w:snapToGrid w:val="0"/>
              <w:jc w:val="center"/>
              <w:rPr>
                <w:rFonts w:eastAsia="宋体"/>
                <w:sz w:val="18"/>
                <w:lang w:eastAsia="zh-CN"/>
              </w:rPr>
            </w:pPr>
            <w:r>
              <w:rPr>
                <w:rFonts w:hint="eastAsia" w:eastAsia="宋体"/>
                <w:sz w:val="18"/>
                <w:lang w:eastAsia="zh-CN"/>
              </w:rPr>
              <w:t>（参见</w:t>
            </w:r>
            <w:r>
              <w:rPr>
                <w:rFonts w:hint="eastAsia" w:eastAsia="宋体"/>
                <w:snapToGrid w:val="0"/>
                <w:sz w:val="18"/>
                <w:szCs w:val="18"/>
                <w:lang w:eastAsia="zh-CN"/>
              </w:rPr>
              <w:t>《美国联邦法规》</w:t>
            </w:r>
            <w:r>
              <w:rPr>
                <w:rFonts w:hint="eastAsia" w:eastAsia="宋体"/>
                <w:sz w:val="18"/>
                <w:lang w:eastAsia="zh-CN"/>
              </w:rPr>
              <w:t>第</w:t>
            </w:r>
            <w:r>
              <w:rPr>
                <w:rFonts w:eastAsia="宋体"/>
                <w:sz w:val="18"/>
                <w:lang w:eastAsia="zh-CN"/>
              </w:rPr>
              <w:t>21篇</w:t>
            </w:r>
            <w:r>
              <w:rPr>
                <w:rFonts w:hint="eastAsia" w:eastAsia="宋体"/>
                <w:sz w:val="18"/>
                <w:lang w:eastAsia="zh-CN"/>
              </w:rPr>
              <w:t>各章节）</w:t>
            </w:r>
          </w:p>
        </w:tc>
        <w:tc>
          <w:tcPr>
            <w:tcW w:w="1361" w:type="pct"/>
            <w:vMerge w:val="restart"/>
            <w:shd w:val="clear" w:color="auto" w:fill="auto"/>
            <w:vAlign w:val="bottom"/>
          </w:tcPr>
          <w:p w14:paraId="270FF6EA">
            <w:pPr>
              <w:pStyle w:val="25"/>
              <w:autoSpaceDE/>
              <w:autoSpaceDN/>
              <w:snapToGrid w:val="0"/>
              <w:jc w:val="center"/>
              <w:rPr>
                <w:rFonts w:eastAsia="宋体"/>
                <w:sz w:val="18"/>
              </w:rPr>
            </w:pPr>
            <w:r>
              <w:rPr>
                <w:rFonts w:hint="eastAsia" w:eastAsia="宋体"/>
                <w:sz w:val="18"/>
              </w:rPr>
              <w:t>其他职责</w:t>
            </w:r>
          </w:p>
        </w:tc>
      </w:tr>
      <w:tr w14:paraId="70FA4D9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6A05783B">
            <w:pPr>
              <w:autoSpaceDE/>
              <w:autoSpaceDN/>
              <w:snapToGrid w:val="0"/>
              <w:jc w:val="both"/>
              <w:rPr>
                <w:rFonts w:eastAsia="宋体"/>
                <w:sz w:val="18"/>
              </w:rPr>
            </w:pPr>
          </w:p>
        </w:tc>
        <w:tc>
          <w:tcPr>
            <w:tcW w:w="730" w:type="pct"/>
            <w:vMerge w:val="continue"/>
            <w:tcBorders>
              <w:top w:val="nil"/>
              <w:left w:val="single" w:color="000000" w:sz="4" w:space="0"/>
            </w:tcBorders>
            <w:shd w:val="clear" w:color="auto" w:fill="auto"/>
          </w:tcPr>
          <w:p w14:paraId="1687E21D">
            <w:pPr>
              <w:autoSpaceDE/>
              <w:autoSpaceDN/>
              <w:snapToGrid w:val="0"/>
              <w:jc w:val="both"/>
              <w:rPr>
                <w:rFonts w:eastAsia="宋体"/>
                <w:sz w:val="18"/>
              </w:rPr>
            </w:pPr>
          </w:p>
        </w:tc>
        <w:tc>
          <w:tcPr>
            <w:tcW w:w="606" w:type="pct"/>
            <w:gridSpan w:val="3"/>
            <w:tcBorders>
              <w:top w:val="single" w:color="000000" w:sz="4" w:space="0"/>
              <w:bottom w:val="single" w:color="000000" w:sz="4" w:space="0"/>
            </w:tcBorders>
            <w:shd w:val="clear" w:color="auto" w:fill="auto"/>
            <w:vAlign w:val="bottom"/>
          </w:tcPr>
          <w:p w14:paraId="0E7F04D1">
            <w:pPr>
              <w:pStyle w:val="25"/>
              <w:autoSpaceDE/>
              <w:autoSpaceDN/>
              <w:snapToGrid w:val="0"/>
              <w:jc w:val="center"/>
              <w:rPr>
                <w:rFonts w:eastAsia="宋体"/>
                <w:sz w:val="18"/>
                <w:lang w:eastAsia="zh-CN"/>
              </w:rPr>
            </w:pPr>
            <w:r>
              <w:rPr>
                <w:rFonts w:hint="eastAsia" w:eastAsia="宋体"/>
                <w:sz w:val="18"/>
                <w:lang w:eastAsia="zh-CN"/>
              </w:rPr>
              <w:t>参见</w:t>
            </w:r>
            <w:r>
              <w:rPr>
                <w:rFonts w:hint="eastAsia" w:eastAsia="宋体"/>
                <w:snapToGrid w:val="0"/>
                <w:sz w:val="18"/>
                <w:szCs w:val="18"/>
                <w:lang w:eastAsia="zh-CN"/>
              </w:rPr>
              <w:t>《美国联邦法规》</w:t>
            </w:r>
            <w:r>
              <w:rPr>
                <w:rFonts w:hint="eastAsia" w:eastAsia="宋体"/>
                <w:sz w:val="18"/>
                <w:lang w:eastAsia="zh-CN"/>
              </w:rPr>
              <w:t>第</w:t>
            </w:r>
            <w:r>
              <w:rPr>
                <w:rFonts w:eastAsia="宋体"/>
                <w:sz w:val="18"/>
                <w:lang w:eastAsia="zh-CN"/>
              </w:rPr>
              <w:t>21篇</w:t>
            </w:r>
            <w:r>
              <w:rPr>
                <w:rFonts w:hint="eastAsia" w:eastAsia="宋体"/>
                <w:sz w:val="18"/>
                <w:lang w:eastAsia="zh-CN"/>
              </w:rPr>
              <w:t>各章节</w:t>
            </w:r>
          </w:p>
        </w:tc>
        <w:tc>
          <w:tcPr>
            <w:tcW w:w="253" w:type="pct"/>
            <w:vMerge w:val="restart"/>
            <w:tcBorders>
              <w:top w:val="single" w:color="000000" w:sz="4" w:space="0"/>
              <w:right w:val="single" w:color="000000" w:sz="4" w:space="0"/>
            </w:tcBorders>
            <w:shd w:val="clear" w:color="auto" w:fill="auto"/>
            <w:vAlign w:val="bottom"/>
          </w:tcPr>
          <w:p w14:paraId="31E41DFE">
            <w:pPr>
              <w:pStyle w:val="25"/>
              <w:autoSpaceDE/>
              <w:autoSpaceDN/>
              <w:snapToGrid w:val="0"/>
              <w:jc w:val="center"/>
              <w:rPr>
                <w:rFonts w:eastAsia="宋体"/>
                <w:sz w:val="18"/>
              </w:rPr>
            </w:pPr>
            <w:r>
              <w:rPr>
                <w:rFonts w:hint="eastAsia" w:eastAsia="宋体"/>
                <w:snapToGrid w:val="0"/>
                <w:sz w:val="18"/>
                <w:szCs w:val="18"/>
                <w:lang w:eastAsia="zh-CN"/>
              </w:rPr>
              <w:t>现场警示报告</w:t>
            </w:r>
            <w:r>
              <w:rPr>
                <w:rFonts w:eastAsia="宋体"/>
                <w:sz w:val="18"/>
              </w:rPr>
              <w:t>314.81</w:t>
            </w:r>
          </w:p>
        </w:tc>
        <w:tc>
          <w:tcPr>
            <w:tcW w:w="236" w:type="pct"/>
            <w:vMerge w:val="restart"/>
            <w:tcBorders>
              <w:top w:val="single" w:color="000000" w:sz="4" w:space="0"/>
              <w:left w:val="single" w:color="000000" w:sz="4" w:space="0"/>
              <w:right w:val="single" w:color="000000" w:sz="4" w:space="0"/>
            </w:tcBorders>
            <w:shd w:val="clear" w:color="auto" w:fill="auto"/>
            <w:vAlign w:val="bottom"/>
          </w:tcPr>
          <w:p w14:paraId="654AE988">
            <w:pPr>
              <w:pStyle w:val="25"/>
              <w:autoSpaceDE/>
              <w:autoSpaceDN/>
              <w:snapToGrid w:val="0"/>
              <w:jc w:val="center"/>
              <w:rPr>
                <w:rFonts w:eastAsia="宋体"/>
                <w:sz w:val="18"/>
              </w:rPr>
            </w:pPr>
            <w:r>
              <w:rPr>
                <w:rFonts w:eastAsia="宋体"/>
                <w:sz w:val="18"/>
              </w:rPr>
              <w:t>15</w:t>
            </w:r>
            <w:r>
              <w:rPr>
                <w:rFonts w:hint="eastAsia" w:eastAsia="宋体"/>
                <w:sz w:val="18"/>
              </w:rPr>
              <w:t>天报告</w:t>
            </w:r>
            <w:r>
              <w:rPr>
                <w:rFonts w:eastAsia="宋体"/>
                <w:sz w:val="18"/>
              </w:rPr>
              <w:t>314.80</w:t>
            </w:r>
          </w:p>
        </w:tc>
        <w:tc>
          <w:tcPr>
            <w:tcW w:w="299" w:type="pct"/>
            <w:vMerge w:val="restart"/>
            <w:tcBorders>
              <w:top w:val="single" w:color="000000" w:sz="4" w:space="0"/>
              <w:left w:val="single" w:color="000000" w:sz="4" w:space="0"/>
              <w:right w:val="single" w:color="000000" w:sz="4" w:space="0"/>
            </w:tcBorders>
            <w:shd w:val="clear" w:color="auto" w:fill="auto"/>
            <w:vAlign w:val="bottom"/>
          </w:tcPr>
          <w:p w14:paraId="09FA6789">
            <w:pPr>
              <w:pStyle w:val="25"/>
              <w:autoSpaceDE/>
              <w:autoSpaceDN/>
              <w:snapToGrid w:val="0"/>
              <w:jc w:val="center"/>
              <w:rPr>
                <w:rFonts w:eastAsia="宋体"/>
                <w:sz w:val="18"/>
              </w:rPr>
            </w:pPr>
            <w:r>
              <w:rPr>
                <w:rFonts w:hint="eastAsia" w:eastAsia="宋体"/>
                <w:sz w:val="18"/>
              </w:rPr>
              <w:t>生物产品偏差报告</w:t>
            </w:r>
            <w:r>
              <w:rPr>
                <w:rFonts w:eastAsia="宋体"/>
                <w:sz w:val="18"/>
              </w:rPr>
              <w:t>600.14</w:t>
            </w:r>
          </w:p>
          <w:p w14:paraId="48D1C139">
            <w:pPr>
              <w:pStyle w:val="25"/>
              <w:autoSpaceDE/>
              <w:autoSpaceDN/>
              <w:snapToGrid w:val="0"/>
              <w:jc w:val="center"/>
              <w:rPr>
                <w:rFonts w:eastAsia="宋体"/>
                <w:sz w:val="18"/>
              </w:rPr>
            </w:pPr>
            <w:r>
              <w:rPr>
                <w:rFonts w:eastAsia="宋体"/>
                <w:sz w:val="18"/>
              </w:rPr>
              <w:t>606.171</w:t>
            </w:r>
          </w:p>
        </w:tc>
        <w:tc>
          <w:tcPr>
            <w:tcW w:w="236" w:type="pct"/>
            <w:vMerge w:val="restart"/>
            <w:tcBorders>
              <w:top w:val="single" w:color="000000" w:sz="4" w:space="0"/>
              <w:left w:val="single" w:color="000000" w:sz="4" w:space="0"/>
              <w:right w:val="single" w:color="000000" w:sz="4" w:space="0"/>
            </w:tcBorders>
            <w:shd w:val="clear" w:color="auto" w:fill="auto"/>
            <w:vAlign w:val="bottom"/>
          </w:tcPr>
          <w:p w14:paraId="32DEE861">
            <w:pPr>
              <w:pStyle w:val="25"/>
              <w:autoSpaceDE/>
              <w:autoSpaceDN/>
              <w:snapToGrid w:val="0"/>
              <w:jc w:val="center"/>
              <w:rPr>
                <w:rFonts w:eastAsia="宋体"/>
                <w:sz w:val="18"/>
              </w:rPr>
            </w:pPr>
            <w:r>
              <w:rPr>
                <w:rFonts w:eastAsia="宋体"/>
                <w:sz w:val="18"/>
              </w:rPr>
              <w:t>15</w:t>
            </w:r>
            <w:r>
              <w:rPr>
                <w:rFonts w:hint="eastAsia" w:eastAsia="宋体"/>
                <w:sz w:val="18"/>
              </w:rPr>
              <w:t>天报告</w:t>
            </w:r>
            <w:r>
              <w:rPr>
                <w:rFonts w:eastAsia="宋体"/>
                <w:sz w:val="18"/>
              </w:rPr>
              <w:t>600.80</w:t>
            </w:r>
          </w:p>
        </w:tc>
        <w:tc>
          <w:tcPr>
            <w:tcW w:w="292" w:type="pct"/>
            <w:vMerge w:val="restart"/>
            <w:tcBorders>
              <w:top w:val="single" w:color="000000" w:sz="4" w:space="0"/>
              <w:left w:val="single" w:color="000000" w:sz="4" w:space="0"/>
              <w:right w:val="single" w:color="000000" w:sz="4" w:space="0"/>
            </w:tcBorders>
            <w:shd w:val="clear" w:color="auto" w:fill="auto"/>
            <w:vAlign w:val="bottom"/>
          </w:tcPr>
          <w:p w14:paraId="04135B69">
            <w:pPr>
              <w:pStyle w:val="25"/>
              <w:autoSpaceDE/>
              <w:autoSpaceDN/>
              <w:snapToGrid w:val="0"/>
              <w:jc w:val="center"/>
              <w:rPr>
                <w:rFonts w:eastAsia="宋体"/>
                <w:snapToGrid w:val="0"/>
                <w:sz w:val="18"/>
                <w:szCs w:val="18"/>
                <w:lang w:eastAsia="zh-CN"/>
              </w:rPr>
            </w:pPr>
            <w:r>
              <w:rPr>
                <w:rFonts w:eastAsia="宋体"/>
                <w:sz w:val="18"/>
              </w:rPr>
              <w:t>5</w:t>
            </w:r>
            <w:r>
              <w:rPr>
                <w:rFonts w:hint="eastAsia" w:eastAsia="宋体"/>
                <w:sz w:val="18"/>
              </w:rPr>
              <w:t>天报告</w:t>
            </w:r>
          </w:p>
          <w:p w14:paraId="7BBED857">
            <w:pPr>
              <w:pStyle w:val="25"/>
              <w:autoSpaceDE/>
              <w:autoSpaceDN/>
              <w:snapToGrid w:val="0"/>
              <w:jc w:val="center"/>
              <w:rPr>
                <w:rFonts w:eastAsia="宋体"/>
                <w:sz w:val="18"/>
              </w:rPr>
            </w:pPr>
            <w:r>
              <w:rPr>
                <w:rFonts w:eastAsia="宋体"/>
                <w:sz w:val="18"/>
              </w:rPr>
              <w:t>803.3</w:t>
            </w:r>
          </w:p>
          <w:p w14:paraId="70FFB47A">
            <w:pPr>
              <w:pStyle w:val="25"/>
              <w:autoSpaceDE/>
              <w:autoSpaceDN/>
              <w:snapToGrid w:val="0"/>
              <w:jc w:val="center"/>
              <w:rPr>
                <w:rFonts w:eastAsia="宋体"/>
                <w:sz w:val="18"/>
              </w:rPr>
            </w:pPr>
            <w:r>
              <w:rPr>
                <w:rFonts w:eastAsia="宋体"/>
                <w:sz w:val="18"/>
              </w:rPr>
              <w:t>803.53</w:t>
            </w:r>
          </w:p>
          <w:p w14:paraId="4127104B">
            <w:pPr>
              <w:pStyle w:val="25"/>
              <w:autoSpaceDE/>
              <w:autoSpaceDN/>
              <w:snapToGrid w:val="0"/>
              <w:jc w:val="center"/>
              <w:rPr>
                <w:rFonts w:eastAsia="宋体"/>
                <w:sz w:val="18"/>
              </w:rPr>
            </w:pPr>
            <w:r>
              <w:rPr>
                <w:rFonts w:eastAsia="宋体"/>
                <w:sz w:val="18"/>
              </w:rPr>
              <w:t>803.56</w:t>
            </w:r>
          </w:p>
        </w:tc>
        <w:tc>
          <w:tcPr>
            <w:tcW w:w="249" w:type="pct"/>
            <w:vMerge w:val="restart"/>
            <w:tcBorders>
              <w:top w:val="single" w:color="000000" w:sz="4" w:space="0"/>
              <w:left w:val="single" w:color="000000" w:sz="4" w:space="0"/>
              <w:right w:val="single" w:color="000000" w:sz="4" w:space="0"/>
            </w:tcBorders>
            <w:shd w:val="clear" w:color="auto" w:fill="auto"/>
            <w:vAlign w:val="bottom"/>
          </w:tcPr>
          <w:p w14:paraId="5873E83A">
            <w:pPr>
              <w:pStyle w:val="25"/>
              <w:autoSpaceDE/>
              <w:autoSpaceDN/>
              <w:snapToGrid w:val="0"/>
              <w:jc w:val="center"/>
              <w:rPr>
                <w:rFonts w:eastAsia="宋体"/>
                <w:sz w:val="18"/>
              </w:rPr>
            </w:pPr>
            <w:r>
              <w:rPr>
                <w:rFonts w:hint="eastAsia" w:eastAsia="宋体"/>
                <w:sz w:val="18"/>
              </w:rPr>
              <w:t>故障报告</w:t>
            </w:r>
            <w:r>
              <w:rPr>
                <w:rFonts w:eastAsia="宋体"/>
                <w:sz w:val="18"/>
              </w:rPr>
              <w:t>803.50</w:t>
            </w:r>
          </w:p>
          <w:p w14:paraId="03BD25BD">
            <w:pPr>
              <w:pStyle w:val="25"/>
              <w:autoSpaceDE/>
              <w:autoSpaceDN/>
              <w:snapToGrid w:val="0"/>
              <w:jc w:val="center"/>
              <w:rPr>
                <w:rFonts w:eastAsia="宋体"/>
                <w:sz w:val="18"/>
              </w:rPr>
            </w:pPr>
            <w:r>
              <w:rPr>
                <w:rFonts w:eastAsia="宋体"/>
                <w:sz w:val="18"/>
              </w:rPr>
              <w:t>803.56</w:t>
            </w:r>
          </w:p>
        </w:tc>
        <w:tc>
          <w:tcPr>
            <w:tcW w:w="371" w:type="pct"/>
            <w:vMerge w:val="restart"/>
            <w:tcBorders>
              <w:top w:val="single" w:color="000000" w:sz="4" w:space="0"/>
              <w:left w:val="single" w:color="000000" w:sz="4" w:space="0"/>
            </w:tcBorders>
            <w:shd w:val="clear" w:color="auto" w:fill="auto"/>
            <w:vAlign w:val="bottom"/>
          </w:tcPr>
          <w:p w14:paraId="6CCB7C2A">
            <w:pPr>
              <w:pStyle w:val="25"/>
              <w:autoSpaceDE/>
              <w:autoSpaceDN/>
              <w:snapToGrid w:val="0"/>
              <w:jc w:val="center"/>
              <w:rPr>
                <w:rFonts w:eastAsia="宋体"/>
                <w:sz w:val="18"/>
              </w:rPr>
            </w:pPr>
            <w:r>
              <w:rPr>
                <w:rFonts w:hint="eastAsia" w:eastAsia="宋体"/>
                <w:sz w:val="18"/>
              </w:rPr>
              <w:t>更正和移除</w:t>
            </w:r>
            <w:r>
              <w:rPr>
                <w:rFonts w:eastAsia="宋体"/>
                <w:sz w:val="18"/>
              </w:rPr>
              <w:t>806.10</w:t>
            </w:r>
          </w:p>
          <w:p w14:paraId="0083B257">
            <w:pPr>
              <w:pStyle w:val="25"/>
              <w:autoSpaceDE/>
              <w:autoSpaceDN/>
              <w:snapToGrid w:val="0"/>
              <w:jc w:val="center"/>
              <w:rPr>
                <w:rFonts w:eastAsia="宋体"/>
                <w:sz w:val="18"/>
              </w:rPr>
            </w:pPr>
            <w:r>
              <w:rPr>
                <w:rFonts w:eastAsia="宋体"/>
                <w:sz w:val="18"/>
              </w:rPr>
              <w:t>806.20</w:t>
            </w:r>
          </w:p>
        </w:tc>
        <w:tc>
          <w:tcPr>
            <w:tcW w:w="1361" w:type="pct"/>
            <w:vMerge w:val="continue"/>
            <w:tcBorders>
              <w:top w:val="nil"/>
            </w:tcBorders>
            <w:shd w:val="clear" w:color="auto" w:fill="auto"/>
          </w:tcPr>
          <w:p w14:paraId="597C4FFA">
            <w:pPr>
              <w:autoSpaceDE/>
              <w:autoSpaceDN/>
              <w:snapToGrid w:val="0"/>
              <w:jc w:val="both"/>
              <w:rPr>
                <w:rFonts w:eastAsia="宋体"/>
                <w:sz w:val="18"/>
              </w:rPr>
            </w:pPr>
          </w:p>
        </w:tc>
      </w:tr>
      <w:tr w14:paraId="6B72E5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2EFAC39C">
            <w:pPr>
              <w:autoSpaceDE/>
              <w:autoSpaceDN/>
              <w:snapToGrid w:val="0"/>
              <w:jc w:val="both"/>
              <w:rPr>
                <w:rFonts w:eastAsia="宋体"/>
                <w:sz w:val="18"/>
              </w:rPr>
            </w:pPr>
          </w:p>
        </w:tc>
        <w:tc>
          <w:tcPr>
            <w:tcW w:w="730" w:type="pct"/>
            <w:vMerge w:val="continue"/>
            <w:tcBorders>
              <w:top w:val="nil"/>
              <w:left w:val="single" w:color="000000" w:sz="4" w:space="0"/>
            </w:tcBorders>
            <w:shd w:val="clear" w:color="auto" w:fill="auto"/>
          </w:tcPr>
          <w:p w14:paraId="4587AEE6">
            <w:pPr>
              <w:autoSpaceDE/>
              <w:autoSpaceDN/>
              <w:snapToGrid w:val="0"/>
              <w:jc w:val="both"/>
              <w:rPr>
                <w:rFonts w:eastAsia="宋体"/>
                <w:sz w:val="18"/>
              </w:rPr>
            </w:pPr>
          </w:p>
        </w:tc>
        <w:tc>
          <w:tcPr>
            <w:tcW w:w="222" w:type="pct"/>
            <w:tcBorders>
              <w:top w:val="single" w:color="000000" w:sz="4" w:space="0"/>
              <w:right w:val="single" w:color="000000" w:sz="4" w:space="0"/>
            </w:tcBorders>
            <w:shd w:val="clear" w:color="auto" w:fill="auto"/>
            <w:vAlign w:val="bottom"/>
          </w:tcPr>
          <w:p w14:paraId="5C167DB0">
            <w:pPr>
              <w:pStyle w:val="25"/>
              <w:autoSpaceDE/>
              <w:autoSpaceDN/>
              <w:snapToGrid w:val="0"/>
              <w:jc w:val="center"/>
              <w:rPr>
                <w:rFonts w:eastAsia="宋体"/>
                <w:sz w:val="18"/>
              </w:rPr>
            </w:pPr>
            <w:r>
              <w:rPr>
                <w:rFonts w:eastAsia="宋体"/>
                <w:sz w:val="18"/>
              </w:rPr>
              <w:t>314</w:t>
            </w:r>
          </w:p>
        </w:tc>
        <w:tc>
          <w:tcPr>
            <w:tcW w:w="197" w:type="pct"/>
            <w:tcBorders>
              <w:top w:val="single" w:color="000000" w:sz="4" w:space="0"/>
              <w:left w:val="single" w:color="000000" w:sz="4" w:space="0"/>
              <w:right w:val="single" w:color="000000" w:sz="4" w:space="0"/>
            </w:tcBorders>
            <w:shd w:val="clear" w:color="auto" w:fill="auto"/>
            <w:vAlign w:val="bottom"/>
          </w:tcPr>
          <w:p w14:paraId="11AADCE5">
            <w:pPr>
              <w:pStyle w:val="25"/>
              <w:autoSpaceDE/>
              <w:autoSpaceDN/>
              <w:snapToGrid w:val="0"/>
              <w:jc w:val="center"/>
              <w:rPr>
                <w:rFonts w:eastAsia="宋体"/>
                <w:sz w:val="18"/>
              </w:rPr>
            </w:pPr>
            <w:r>
              <w:rPr>
                <w:rFonts w:eastAsia="宋体"/>
                <w:sz w:val="18"/>
              </w:rPr>
              <w:t>600</w:t>
            </w:r>
          </w:p>
          <w:p w14:paraId="179B63F6">
            <w:pPr>
              <w:pStyle w:val="25"/>
              <w:autoSpaceDE/>
              <w:autoSpaceDN/>
              <w:snapToGrid w:val="0"/>
              <w:jc w:val="center"/>
              <w:rPr>
                <w:rFonts w:eastAsia="宋体"/>
                <w:sz w:val="18"/>
              </w:rPr>
            </w:pPr>
            <w:r>
              <w:rPr>
                <w:rFonts w:eastAsia="宋体"/>
                <w:sz w:val="18"/>
              </w:rPr>
              <w:t>606</w:t>
            </w:r>
          </w:p>
        </w:tc>
        <w:tc>
          <w:tcPr>
            <w:tcW w:w="187" w:type="pct"/>
            <w:tcBorders>
              <w:top w:val="single" w:color="000000" w:sz="4" w:space="0"/>
              <w:left w:val="single" w:color="000000" w:sz="4" w:space="0"/>
            </w:tcBorders>
            <w:shd w:val="clear" w:color="auto" w:fill="auto"/>
            <w:vAlign w:val="bottom"/>
          </w:tcPr>
          <w:p w14:paraId="68C2E8D9">
            <w:pPr>
              <w:pStyle w:val="25"/>
              <w:autoSpaceDE/>
              <w:autoSpaceDN/>
              <w:snapToGrid w:val="0"/>
              <w:jc w:val="center"/>
              <w:rPr>
                <w:rFonts w:eastAsia="宋体"/>
                <w:sz w:val="18"/>
              </w:rPr>
            </w:pPr>
            <w:r>
              <w:rPr>
                <w:rFonts w:eastAsia="宋体"/>
                <w:sz w:val="18"/>
              </w:rPr>
              <w:t>803</w:t>
            </w:r>
          </w:p>
          <w:p w14:paraId="157B5BEB">
            <w:pPr>
              <w:pStyle w:val="25"/>
              <w:autoSpaceDE/>
              <w:autoSpaceDN/>
              <w:snapToGrid w:val="0"/>
              <w:jc w:val="center"/>
              <w:rPr>
                <w:rFonts w:eastAsia="宋体"/>
                <w:sz w:val="18"/>
              </w:rPr>
            </w:pPr>
            <w:r>
              <w:rPr>
                <w:rFonts w:eastAsia="宋体"/>
                <w:sz w:val="18"/>
              </w:rPr>
              <w:t>806</w:t>
            </w:r>
          </w:p>
        </w:tc>
        <w:tc>
          <w:tcPr>
            <w:tcW w:w="253" w:type="pct"/>
            <w:vMerge w:val="continue"/>
            <w:tcBorders>
              <w:top w:val="nil"/>
              <w:right w:val="single" w:color="000000" w:sz="4" w:space="0"/>
            </w:tcBorders>
            <w:shd w:val="clear" w:color="auto" w:fill="auto"/>
            <w:vAlign w:val="bottom"/>
          </w:tcPr>
          <w:p w14:paraId="7BD88720">
            <w:pPr>
              <w:autoSpaceDE/>
              <w:autoSpaceDN/>
              <w:snapToGrid w:val="0"/>
              <w:jc w:val="center"/>
              <w:rPr>
                <w:rFonts w:eastAsia="宋体"/>
                <w:sz w:val="18"/>
              </w:rPr>
            </w:pPr>
          </w:p>
        </w:tc>
        <w:tc>
          <w:tcPr>
            <w:tcW w:w="236" w:type="pct"/>
            <w:vMerge w:val="continue"/>
            <w:tcBorders>
              <w:top w:val="nil"/>
              <w:left w:val="single" w:color="000000" w:sz="4" w:space="0"/>
              <w:right w:val="single" w:color="000000" w:sz="4" w:space="0"/>
            </w:tcBorders>
            <w:shd w:val="clear" w:color="auto" w:fill="auto"/>
            <w:vAlign w:val="bottom"/>
          </w:tcPr>
          <w:p w14:paraId="03C1B4B3">
            <w:pPr>
              <w:autoSpaceDE/>
              <w:autoSpaceDN/>
              <w:snapToGrid w:val="0"/>
              <w:jc w:val="center"/>
              <w:rPr>
                <w:rFonts w:eastAsia="宋体"/>
                <w:sz w:val="18"/>
              </w:rPr>
            </w:pPr>
          </w:p>
        </w:tc>
        <w:tc>
          <w:tcPr>
            <w:tcW w:w="299" w:type="pct"/>
            <w:vMerge w:val="continue"/>
            <w:tcBorders>
              <w:top w:val="nil"/>
              <w:left w:val="single" w:color="000000" w:sz="4" w:space="0"/>
              <w:right w:val="single" w:color="000000" w:sz="4" w:space="0"/>
            </w:tcBorders>
            <w:shd w:val="clear" w:color="auto" w:fill="auto"/>
            <w:vAlign w:val="bottom"/>
          </w:tcPr>
          <w:p w14:paraId="37375CB4">
            <w:pPr>
              <w:autoSpaceDE/>
              <w:autoSpaceDN/>
              <w:snapToGrid w:val="0"/>
              <w:jc w:val="center"/>
              <w:rPr>
                <w:rFonts w:eastAsia="宋体"/>
                <w:sz w:val="18"/>
              </w:rPr>
            </w:pPr>
          </w:p>
        </w:tc>
        <w:tc>
          <w:tcPr>
            <w:tcW w:w="236" w:type="pct"/>
            <w:vMerge w:val="continue"/>
            <w:tcBorders>
              <w:top w:val="nil"/>
              <w:left w:val="single" w:color="000000" w:sz="4" w:space="0"/>
              <w:right w:val="single" w:color="000000" w:sz="4" w:space="0"/>
            </w:tcBorders>
            <w:shd w:val="clear" w:color="auto" w:fill="auto"/>
            <w:vAlign w:val="bottom"/>
          </w:tcPr>
          <w:p w14:paraId="63E74DC0">
            <w:pPr>
              <w:autoSpaceDE/>
              <w:autoSpaceDN/>
              <w:snapToGrid w:val="0"/>
              <w:jc w:val="center"/>
              <w:rPr>
                <w:rFonts w:eastAsia="宋体"/>
                <w:sz w:val="18"/>
              </w:rPr>
            </w:pPr>
          </w:p>
        </w:tc>
        <w:tc>
          <w:tcPr>
            <w:tcW w:w="292" w:type="pct"/>
            <w:vMerge w:val="continue"/>
            <w:tcBorders>
              <w:top w:val="nil"/>
              <w:left w:val="single" w:color="000000" w:sz="4" w:space="0"/>
              <w:right w:val="single" w:color="000000" w:sz="4" w:space="0"/>
            </w:tcBorders>
            <w:shd w:val="clear" w:color="auto" w:fill="auto"/>
            <w:vAlign w:val="bottom"/>
          </w:tcPr>
          <w:p w14:paraId="6B96AC8E">
            <w:pPr>
              <w:autoSpaceDE/>
              <w:autoSpaceDN/>
              <w:snapToGrid w:val="0"/>
              <w:jc w:val="center"/>
              <w:rPr>
                <w:rFonts w:eastAsia="宋体"/>
                <w:sz w:val="18"/>
              </w:rPr>
            </w:pPr>
          </w:p>
        </w:tc>
        <w:tc>
          <w:tcPr>
            <w:tcW w:w="249" w:type="pct"/>
            <w:vMerge w:val="continue"/>
            <w:tcBorders>
              <w:top w:val="nil"/>
              <w:left w:val="single" w:color="000000" w:sz="4" w:space="0"/>
              <w:right w:val="single" w:color="000000" w:sz="4" w:space="0"/>
            </w:tcBorders>
            <w:shd w:val="clear" w:color="auto" w:fill="auto"/>
            <w:vAlign w:val="bottom"/>
          </w:tcPr>
          <w:p w14:paraId="682E5C50">
            <w:pPr>
              <w:autoSpaceDE/>
              <w:autoSpaceDN/>
              <w:snapToGrid w:val="0"/>
              <w:jc w:val="center"/>
              <w:rPr>
                <w:rFonts w:eastAsia="宋体"/>
                <w:sz w:val="18"/>
              </w:rPr>
            </w:pPr>
          </w:p>
        </w:tc>
        <w:tc>
          <w:tcPr>
            <w:tcW w:w="371" w:type="pct"/>
            <w:vMerge w:val="continue"/>
            <w:tcBorders>
              <w:top w:val="nil"/>
              <w:left w:val="single" w:color="000000" w:sz="4" w:space="0"/>
            </w:tcBorders>
            <w:shd w:val="clear" w:color="auto" w:fill="auto"/>
            <w:vAlign w:val="bottom"/>
          </w:tcPr>
          <w:p w14:paraId="25FBFAB5">
            <w:pPr>
              <w:autoSpaceDE/>
              <w:autoSpaceDN/>
              <w:snapToGrid w:val="0"/>
              <w:jc w:val="center"/>
              <w:rPr>
                <w:rFonts w:eastAsia="宋体"/>
                <w:sz w:val="18"/>
              </w:rPr>
            </w:pPr>
          </w:p>
        </w:tc>
        <w:tc>
          <w:tcPr>
            <w:tcW w:w="1361" w:type="pct"/>
            <w:vMerge w:val="continue"/>
            <w:tcBorders>
              <w:top w:val="nil"/>
            </w:tcBorders>
            <w:shd w:val="clear" w:color="auto" w:fill="auto"/>
          </w:tcPr>
          <w:p w14:paraId="30DD45D6">
            <w:pPr>
              <w:autoSpaceDE/>
              <w:autoSpaceDN/>
              <w:snapToGrid w:val="0"/>
              <w:jc w:val="both"/>
              <w:rPr>
                <w:rFonts w:eastAsia="宋体"/>
                <w:sz w:val="18"/>
              </w:rPr>
            </w:pPr>
          </w:p>
        </w:tc>
      </w:tr>
      <w:tr w14:paraId="43FFA71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restart"/>
            <w:tcBorders>
              <w:right w:val="single" w:color="000000" w:sz="4" w:space="0"/>
            </w:tcBorders>
            <w:shd w:val="clear" w:color="auto" w:fill="auto"/>
          </w:tcPr>
          <w:p w14:paraId="1AE884FA">
            <w:pPr>
              <w:pStyle w:val="25"/>
              <w:autoSpaceDE/>
              <w:autoSpaceDN/>
              <w:snapToGrid w:val="0"/>
              <w:jc w:val="both"/>
              <w:rPr>
                <w:rFonts w:eastAsia="宋体"/>
                <w:sz w:val="18"/>
              </w:rPr>
            </w:pPr>
            <w:r>
              <w:rPr>
                <w:rFonts w:eastAsia="宋体"/>
                <w:sz w:val="18"/>
              </w:rPr>
              <w:t>NDA</w:t>
            </w:r>
            <w:r>
              <w:rPr>
                <w:rFonts w:hint="eastAsia" w:eastAsia="宋体"/>
                <w:snapToGrid w:val="0"/>
                <w:sz w:val="18"/>
                <w:szCs w:val="18"/>
                <w:lang w:eastAsia="zh-CN"/>
              </w:rPr>
              <w:br w:type="textWrapping"/>
            </w:r>
            <w:r>
              <w:rPr>
                <w:rFonts w:eastAsia="宋体"/>
                <w:sz w:val="18"/>
              </w:rPr>
              <w:t>ANDA</w:t>
            </w:r>
          </w:p>
        </w:tc>
        <w:tc>
          <w:tcPr>
            <w:tcW w:w="730" w:type="pct"/>
            <w:tcBorders>
              <w:left w:val="single" w:color="000000" w:sz="4" w:space="0"/>
              <w:bottom w:val="single" w:color="000000" w:sz="4" w:space="0"/>
            </w:tcBorders>
            <w:shd w:val="clear" w:color="auto" w:fill="auto"/>
          </w:tcPr>
          <w:p w14:paraId="296E3A2D">
            <w:pPr>
              <w:pStyle w:val="25"/>
              <w:autoSpaceDE/>
              <w:autoSpaceDN/>
              <w:snapToGrid w:val="0"/>
              <w:jc w:val="both"/>
              <w:rPr>
                <w:rFonts w:eastAsia="宋体"/>
                <w:sz w:val="18"/>
              </w:rPr>
            </w:pPr>
            <w:r>
              <w:rPr>
                <w:rFonts w:hint="eastAsia" w:eastAsia="宋体"/>
                <w:sz w:val="18"/>
              </w:rPr>
              <w:t>药物组成部分</w:t>
            </w:r>
          </w:p>
        </w:tc>
        <w:tc>
          <w:tcPr>
            <w:tcW w:w="222" w:type="pct"/>
            <w:tcBorders>
              <w:bottom w:val="single" w:color="000000" w:sz="4" w:space="0"/>
              <w:right w:val="single" w:color="000000" w:sz="4" w:space="0"/>
            </w:tcBorders>
            <w:shd w:val="clear" w:color="auto" w:fill="auto"/>
          </w:tcPr>
          <w:p w14:paraId="0FCB46B8">
            <w:pPr>
              <w:pStyle w:val="25"/>
              <w:autoSpaceDE/>
              <w:autoSpaceDN/>
              <w:snapToGrid w:val="0"/>
              <w:jc w:val="center"/>
              <w:rPr>
                <w:rFonts w:eastAsia="宋体"/>
                <w:sz w:val="18"/>
              </w:rPr>
            </w:pPr>
            <w:r>
              <w:rPr>
                <w:rFonts w:eastAsia="宋体"/>
                <w:sz w:val="18"/>
              </w:rPr>
              <w:t>X</w:t>
            </w:r>
          </w:p>
        </w:tc>
        <w:tc>
          <w:tcPr>
            <w:tcW w:w="197" w:type="pct"/>
            <w:tcBorders>
              <w:left w:val="single" w:color="000000" w:sz="4" w:space="0"/>
              <w:bottom w:val="single" w:color="000000" w:sz="4" w:space="0"/>
              <w:right w:val="single" w:color="000000" w:sz="4" w:space="0"/>
            </w:tcBorders>
            <w:shd w:val="clear" w:color="auto" w:fill="auto"/>
          </w:tcPr>
          <w:p w14:paraId="150540BC">
            <w:pPr>
              <w:pStyle w:val="25"/>
              <w:autoSpaceDE/>
              <w:autoSpaceDN/>
              <w:snapToGrid w:val="0"/>
              <w:jc w:val="center"/>
              <w:rPr>
                <w:rFonts w:eastAsia="宋体"/>
                <w:sz w:val="18"/>
              </w:rPr>
            </w:pPr>
          </w:p>
        </w:tc>
        <w:tc>
          <w:tcPr>
            <w:tcW w:w="187" w:type="pct"/>
            <w:tcBorders>
              <w:left w:val="single" w:color="000000" w:sz="4" w:space="0"/>
              <w:bottom w:val="single" w:color="000000" w:sz="4" w:space="0"/>
            </w:tcBorders>
            <w:shd w:val="clear" w:color="auto" w:fill="auto"/>
          </w:tcPr>
          <w:p w14:paraId="411972EF">
            <w:pPr>
              <w:pStyle w:val="25"/>
              <w:autoSpaceDE/>
              <w:autoSpaceDN/>
              <w:snapToGrid w:val="0"/>
              <w:jc w:val="center"/>
              <w:rPr>
                <w:rFonts w:eastAsia="宋体"/>
                <w:sz w:val="18"/>
              </w:rPr>
            </w:pPr>
          </w:p>
        </w:tc>
        <w:tc>
          <w:tcPr>
            <w:tcW w:w="489" w:type="pct"/>
            <w:gridSpan w:val="2"/>
            <w:vMerge w:val="restart"/>
            <w:tcBorders>
              <w:right w:val="single" w:color="000000" w:sz="4" w:space="0"/>
            </w:tcBorders>
            <w:shd w:val="clear" w:color="auto" w:fill="DADADA"/>
            <w:vAlign w:val="center"/>
          </w:tcPr>
          <w:p w14:paraId="01D9808A">
            <w:pPr>
              <w:pStyle w:val="25"/>
              <w:autoSpaceDE/>
              <w:autoSpaceDN/>
              <w:snapToGrid w:val="0"/>
              <w:jc w:val="center"/>
              <w:rPr>
                <w:rFonts w:eastAsia="宋体"/>
                <w:sz w:val="18"/>
                <w:lang w:eastAsia="zh-CN"/>
              </w:rPr>
            </w:pPr>
            <w:r>
              <w:rPr>
                <w:rFonts w:hint="eastAsia" w:eastAsia="宋体"/>
                <w:sz w:val="18"/>
                <w:lang w:eastAsia="zh-CN"/>
              </w:rPr>
              <w:t>基于申请类型的要求涵盖</w:t>
            </w:r>
          </w:p>
        </w:tc>
        <w:tc>
          <w:tcPr>
            <w:tcW w:w="299" w:type="pct"/>
            <w:tcBorders>
              <w:left w:val="single" w:color="000000" w:sz="4" w:space="0"/>
              <w:bottom w:val="single" w:color="000000" w:sz="4" w:space="0"/>
              <w:right w:val="single" w:color="000000" w:sz="4" w:space="0"/>
            </w:tcBorders>
            <w:shd w:val="clear" w:color="auto" w:fill="auto"/>
          </w:tcPr>
          <w:p w14:paraId="43C5852E">
            <w:pPr>
              <w:pStyle w:val="25"/>
              <w:autoSpaceDE/>
              <w:autoSpaceDN/>
              <w:snapToGrid w:val="0"/>
              <w:jc w:val="center"/>
              <w:rPr>
                <w:rFonts w:eastAsia="宋体"/>
                <w:sz w:val="18"/>
                <w:lang w:eastAsia="zh-CN"/>
              </w:rPr>
            </w:pPr>
          </w:p>
        </w:tc>
        <w:tc>
          <w:tcPr>
            <w:tcW w:w="236" w:type="pct"/>
            <w:tcBorders>
              <w:left w:val="single" w:color="000000" w:sz="4" w:space="0"/>
              <w:bottom w:val="single" w:color="000000" w:sz="4" w:space="0"/>
              <w:right w:val="single" w:color="000000" w:sz="4" w:space="0"/>
            </w:tcBorders>
            <w:shd w:val="clear" w:color="auto" w:fill="auto"/>
          </w:tcPr>
          <w:p w14:paraId="559A4861">
            <w:pPr>
              <w:pStyle w:val="25"/>
              <w:autoSpaceDE/>
              <w:autoSpaceDN/>
              <w:snapToGrid w:val="0"/>
              <w:jc w:val="center"/>
              <w:rPr>
                <w:rFonts w:eastAsia="宋体"/>
                <w:sz w:val="18"/>
                <w:lang w:eastAsia="zh-CN"/>
              </w:rPr>
            </w:pPr>
          </w:p>
        </w:tc>
        <w:tc>
          <w:tcPr>
            <w:tcW w:w="292" w:type="pct"/>
            <w:tcBorders>
              <w:left w:val="single" w:color="000000" w:sz="4" w:space="0"/>
              <w:bottom w:val="single" w:color="000000" w:sz="4" w:space="0"/>
              <w:right w:val="single" w:color="000000" w:sz="4" w:space="0"/>
            </w:tcBorders>
            <w:shd w:val="clear" w:color="auto" w:fill="auto"/>
          </w:tcPr>
          <w:p w14:paraId="7F2433F6">
            <w:pPr>
              <w:pStyle w:val="25"/>
              <w:autoSpaceDE/>
              <w:autoSpaceDN/>
              <w:snapToGrid w:val="0"/>
              <w:jc w:val="both"/>
              <w:rPr>
                <w:rFonts w:eastAsia="宋体"/>
                <w:sz w:val="18"/>
                <w:lang w:eastAsia="zh-CN"/>
              </w:rPr>
            </w:pPr>
          </w:p>
        </w:tc>
        <w:tc>
          <w:tcPr>
            <w:tcW w:w="249" w:type="pct"/>
            <w:tcBorders>
              <w:left w:val="single" w:color="000000" w:sz="4" w:space="0"/>
              <w:bottom w:val="single" w:color="000000" w:sz="4" w:space="0"/>
              <w:right w:val="single" w:color="000000" w:sz="4" w:space="0"/>
            </w:tcBorders>
            <w:shd w:val="clear" w:color="auto" w:fill="auto"/>
          </w:tcPr>
          <w:p w14:paraId="1BAA9F00">
            <w:pPr>
              <w:pStyle w:val="25"/>
              <w:autoSpaceDE/>
              <w:autoSpaceDN/>
              <w:snapToGrid w:val="0"/>
              <w:jc w:val="both"/>
              <w:rPr>
                <w:rFonts w:eastAsia="宋体"/>
                <w:sz w:val="18"/>
                <w:lang w:eastAsia="zh-CN"/>
              </w:rPr>
            </w:pPr>
          </w:p>
        </w:tc>
        <w:tc>
          <w:tcPr>
            <w:tcW w:w="371" w:type="pct"/>
            <w:tcBorders>
              <w:left w:val="single" w:color="000000" w:sz="4" w:space="0"/>
              <w:bottom w:val="single" w:color="000000" w:sz="4" w:space="0"/>
            </w:tcBorders>
            <w:shd w:val="clear" w:color="auto" w:fill="auto"/>
          </w:tcPr>
          <w:p w14:paraId="2F895FE8">
            <w:pPr>
              <w:pStyle w:val="25"/>
              <w:autoSpaceDE/>
              <w:autoSpaceDN/>
              <w:snapToGrid w:val="0"/>
              <w:jc w:val="both"/>
              <w:rPr>
                <w:rFonts w:eastAsia="宋体"/>
                <w:sz w:val="18"/>
                <w:lang w:eastAsia="zh-CN"/>
              </w:rPr>
            </w:pPr>
          </w:p>
        </w:tc>
        <w:tc>
          <w:tcPr>
            <w:tcW w:w="1361" w:type="pct"/>
            <w:tcBorders>
              <w:bottom w:val="single" w:color="000000" w:sz="4" w:space="0"/>
            </w:tcBorders>
            <w:shd w:val="clear" w:color="auto" w:fill="auto"/>
          </w:tcPr>
          <w:p w14:paraId="454DEE59">
            <w:pPr>
              <w:pStyle w:val="25"/>
              <w:autoSpaceDE/>
              <w:autoSpaceDN/>
              <w:snapToGrid w:val="0"/>
              <w:jc w:val="both"/>
              <w:rPr>
                <w:rFonts w:eastAsia="宋体"/>
                <w:sz w:val="18"/>
                <w:lang w:eastAsia="zh-CN"/>
              </w:rPr>
            </w:pPr>
            <w:r>
              <w:rPr>
                <w:rFonts w:hint="eastAsia" w:eastAsia="宋体"/>
                <w:sz w:val="18"/>
                <w:lang w:eastAsia="zh-CN"/>
              </w:rPr>
              <w:t>与其他组成部分申请人共享信息（</w:t>
            </w:r>
            <w:r>
              <w:rPr>
                <w:rFonts w:hint="eastAsia" w:eastAsia="宋体"/>
                <w:snapToGrid w:val="0"/>
                <w:sz w:val="18"/>
                <w:szCs w:val="18"/>
                <w:lang w:eastAsia="zh-CN"/>
              </w:rPr>
              <w:t>《美国联邦法规》第21篇第4</w:t>
            </w:r>
            <w:r>
              <w:rPr>
                <w:rFonts w:eastAsia="宋体"/>
                <w:sz w:val="18"/>
                <w:lang w:eastAsia="zh-CN"/>
              </w:rPr>
              <w:t>.103</w:t>
            </w:r>
            <w:r>
              <w:rPr>
                <w:rFonts w:hint="eastAsia" w:eastAsia="宋体"/>
                <w:snapToGrid w:val="0"/>
                <w:sz w:val="18"/>
                <w:szCs w:val="18"/>
                <w:lang w:eastAsia="zh-CN"/>
              </w:rPr>
              <w:t>节</w:t>
            </w:r>
            <w:r>
              <w:rPr>
                <w:rFonts w:hint="eastAsia" w:eastAsia="宋体"/>
                <w:sz w:val="18"/>
                <w:lang w:eastAsia="zh-CN"/>
              </w:rPr>
              <w:t>）</w:t>
            </w:r>
          </w:p>
        </w:tc>
      </w:tr>
      <w:tr w14:paraId="69F4A3D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3760D57E">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2E659EC6">
            <w:pPr>
              <w:pStyle w:val="25"/>
              <w:autoSpaceDE/>
              <w:autoSpaceDN/>
              <w:snapToGrid w:val="0"/>
              <w:jc w:val="both"/>
              <w:rPr>
                <w:rFonts w:eastAsia="宋体"/>
                <w:sz w:val="18"/>
              </w:rPr>
            </w:pPr>
            <w:r>
              <w:rPr>
                <w:rFonts w:hint="eastAsia" w:eastAsia="宋体"/>
                <w:sz w:val="18"/>
              </w:rPr>
              <w:t>药品</w:t>
            </w:r>
            <w:r>
              <w:rPr>
                <w:rFonts w:eastAsia="宋体"/>
                <w:sz w:val="18"/>
              </w:rPr>
              <w:t>-</w:t>
            </w:r>
            <w:r>
              <w:rPr>
                <w:rFonts w:hint="eastAsia" w:eastAsia="宋体"/>
                <w:sz w:val="18"/>
              </w:rPr>
              <w:t>器械</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40BD7E4F">
            <w:pPr>
              <w:pStyle w:val="25"/>
              <w:autoSpaceDE/>
              <w:autoSpaceDN/>
              <w:snapToGrid w:val="0"/>
              <w:jc w:val="center"/>
              <w:rPr>
                <w:rFonts w:eastAsia="宋体"/>
                <w:sz w:val="18"/>
              </w:rPr>
            </w:pPr>
            <w:r>
              <w:rPr>
                <w:rFonts w:eastAsia="宋体"/>
                <w:sz w:val="18"/>
              </w:rPr>
              <w:t>X</w:t>
            </w: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3EF564FA">
            <w:pPr>
              <w:pStyle w:val="25"/>
              <w:autoSpaceDE/>
              <w:autoSpaceDN/>
              <w:snapToGrid w:val="0"/>
              <w:jc w:val="center"/>
              <w:rPr>
                <w:rFonts w:eastAsia="宋体"/>
                <w:sz w:val="18"/>
              </w:rPr>
            </w:pPr>
          </w:p>
        </w:tc>
        <w:tc>
          <w:tcPr>
            <w:tcW w:w="187" w:type="pct"/>
            <w:tcBorders>
              <w:top w:val="single" w:color="000000" w:sz="4" w:space="0"/>
              <w:left w:val="single" w:color="000000" w:sz="4" w:space="0"/>
              <w:bottom w:val="single" w:color="000000" w:sz="4" w:space="0"/>
            </w:tcBorders>
            <w:shd w:val="clear" w:color="auto" w:fill="auto"/>
          </w:tcPr>
          <w:p w14:paraId="01ACD517">
            <w:pPr>
              <w:pStyle w:val="25"/>
              <w:autoSpaceDE/>
              <w:autoSpaceDN/>
              <w:snapToGrid w:val="0"/>
              <w:jc w:val="center"/>
              <w:rPr>
                <w:rFonts w:eastAsia="宋体"/>
                <w:sz w:val="18"/>
              </w:rPr>
            </w:pPr>
          </w:p>
        </w:tc>
        <w:tc>
          <w:tcPr>
            <w:tcW w:w="489" w:type="pct"/>
            <w:gridSpan w:val="2"/>
            <w:vMerge w:val="continue"/>
            <w:tcBorders>
              <w:top w:val="nil"/>
              <w:right w:val="single" w:color="000000" w:sz="4" w:space="0"/>
            </w:tcBorders>
            <w:shd w:val="clear" w:color="auto" w:fill="DADADA"/>
          </w:tcPr>
          <w:p w14:paraId="762D52CA">
            <w:pPr>
              <w:autoSpaceDE/>
              <w:autoSpaceDN/>
              <w:snapToGrid w:val="0"/>
              <w:jc w:val="center"/>
              <w:rPr>
                <w:rFonts w:eastAsia="宋体"/>
                <w:sz w:val="18"/>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Pr>
          <w:p w14:paraId="43E97A08">
            <w:pPr>
              <w:pStyle w:val="25"/>
              <w:autoSpaceDE/>
              <w:autoSpaceDN/>
              <w:snapToGrid w:val="0"/>
              <w:jc w:val="center"/>
              <w:rPr>
                <w:rFonts w:eastAsia="宋体"/>
                <w:sz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0E99EE3F">
            <w:pPr>
              <w:pStyle w:val="25"/>
              <w:autoSpaceDE/>
              <w:autoSpaceDN/>
              <w:snapToGrid w:val="0"/>
              <w:jc w:val="center"/>
              <w:rPr>
                <w:rFonts w:eastAsia="宋体"/>
                <w:sz w:val="18"/>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Pr>
          <w:p w14:paraId="49E71DB3">
            <w:pPr>
              <w:pStyle w:val="25"/>
              <w:autoSpaceDE/>
              <w:autoSpaceDN/>
              <w:snapToGrid w:val="0"/>
              <w:jc w:val="both"/>
              <w:rPr>
                <w:rFonts w:eastAsia="宋体"/>
                <w:sz w:val="18"/>
              </w:rPr>
            </w:pPr>
            <w:r>
              <w:rPr>
                <w:rFonts w:eastAsia="宋体"/>
                <w:sz w:val="18"/>
              </w:rPr>
              <w:t>X</w:t>
            </w:r>
          </w:p>
        </w:tc>
        <w:tc>
          <w:tcPr>
            <w:tcW w:w="249" w:type="pct"/>
            <w:tcBorders>
              <w:top w:val="single" w:color="000000" w:sz="4" w:space="0"/>
              <w:left w:val="single" w:color="000000" w:sz="4" w:space="0"/>
              <w:bottom w:val="single" w:color="000000" w:sz="4" w:space="0"/>
              <w:right w:val="single" w:color="000000" w:sz="4" w:space="0"/>
            </w:tcBorders>
            <w:shd w:val="clear" w:color="auto" w:fill="auto"/>
          </w:tcPr>
          <w:p w14:paraId="4CA52294">
            <w:pPr>
              <w:pStyle w:val="25"/>
              <w:autoSpaceDE/>
              <w:autoSpaceDN/>
              <w:snapToGrid w:val="0"/>
              <w:jc w:val="both"/>
              <w:rPr>
                <w:rFonts w:eastAsia="宋体"/>
                <w:sz w:val="18"/>
              </w:rPr>
            </w:pPr>
            <w:r>
              <w:rPr>
                <w:rFonts w:eastAsia="宋体"/>
                <w:sz w:val="18"/>
              </w:rPr>
              <w:t>X</w:t>
            </w:r>
          </w:p>
        </w:tc>
        <w:tc>
          <w:tcPr>
            <w:tcW w:w="371" w:type="pct"/>
            <w:tcBorders>
              <w:top w:val="single" w:color="000000" w:sz="4" w:space="0"/>
              <w:left w:val="single" w:color="000000" w:sz="4" w:space="0"/>
              <w:bottom w:val="single" w:color="000000" w:sz="4" w:space="0"/>
            </w:tcBorders>
            <w:shd w:val="clear" w:color="auto" w:fill="auto"/>
          </w:tcPr>
          <w:p w14:paraId="4B54DE95">
            <w:pPr>
              <w:pStyle w:val="25"/>
              <w:autoSpaceDE/>
              <w:autoSpaceDN/>
              <w:snapToGrid w:val="0"/>
              <w:jc w:val="both"/>
              <w:rPr>
                <w:rFonts w:eastAsia="宋体"/>
                <w:sz w:val="18"/>
              </w:rPr>
            </w:pPr>
            <w:r>
              <w:rPr>
                <w:rFonts w:eastAsia="宋体"/>
                <w:sz w:val="18"/>
              </w:rPr>
              <w:t>X</w:t>
            </w:r>
          </w:p>
        </w:tc>
        <w:tc>
          <w:tcPr>
            <w:tcW w:w="1361" w:type="pct"/>
            <w:tcBorders>
              <w:top w:val="single" w:color="000000" w:sz="4" w:space="0"/>
              <w:bottom w:val="single" w:color="000000" w:sz="2" w:space="0"/>
            </w:tcBorders>
            <w:shd w:val="clear" w:color="auto" w:fill="auto"/>
          </w:tcPr>
          <w:p w14:paraId="5998466D">
            <w:pPr>
              <w:pStyle w:val="25"/>
              <w:autoSpaceDE/>
              <w:autoSpaceDN/>
              <w:snapToGrid w:val="0"/>
              <w:jc w:val="both"/>
              <w:rPr>
                <w:rFonts w:eastAsia="宋体"/>
                <w:sz w:val="18"/>
                <w:lang w:eastAsia="zh-CN"/>
              </w:rPr>
            </w:pPr>
            <w:r>
              <w:rPr>
                <w:rFonts w:hint="eastAsia" w:eastAsia="宋体"/>
                <w:sz w:val="18"/>
                <w:lang w:eastAsia="zh-CN"/>
              </w:rPr>
              <w:t>在定期安全性报告（</w:t>
            </w:r>
            <w:r>
              <w:rPr>
                <w:rFonts w:hint="eastAsia" w:eastAsia="宋体"/>
                <w:snapToGrid w:val="0"/>
                <w:sz w:val="18"/>
                <w:szCs w:val="18"/>
                <w:lang w:eastAsia="zh-CN"/>
              </w:rPr>
              <w:t>《美国联邦法规》第21篇第</w:t>
            </w:r>
            <w:r>
              <w:rPr>
                <w:rFonts w:eastAsia="宋体"/>
                <w:sz w:val="18"/>
                <w:lang w:eastAsia="zh-CN"/>
              </w:rPr>
              <w:t>4.102</w:t>
            </w:r>
            <w:r>
              <w:rPr>
                <w:rFonts w:hint="eastAsia" w:eastAsia="宋体"/>
                <w:snapToGrid w:val="0"/>
                <w:sz w:val="18"/>
                <w:szCs w:val="18"/>
                <w:lang w:eastAsia="zh-CN"/>
              </w:rPr>
              <w:t>（</w:t>
            </w:r>
            <w:r>
              <w:rPr>
                <w:rFonts w:eastAsia="宋体"/>
                <w:sz w:val="18"/>
                <w:lang w:eastAsia="zh-CN"/>
              </w:rPr>
              <w:t>d</w:t>
            </w:r>
            <w:r>
              <w:rPr>
                <w:rFonts w:hint="eastAsia" w:eastAsia="宋体"/>
                <w:snapToGrid w:val="0"/>
                <w:sz w:val="18"/>
                <w:szCs w:val="18"/>
                <w:lang w:eastAsia="zh-CN"/>
              </w:rPr>
              <w:t>））节</w:t>
            </w:r>
            <w:r>
              <w:rPr>
                <w:rFonts w:hint="eastAsia" w:eastAsia="宋体"/>
                <w:sz w:val="18"/>
                <w:lang w:eastAsia="zh-CN"/>
              </w:rPr>
              <w:t>中说明</w:t>
            </w:r>
            <w:r>
              <w:rPr>
                <w:rFonts w:eastAsia="宋体"/>
                <w:sz w:val="18"/>
                <w:lang w:eastAsia="zh-CN"/>
              </w:rPr>
              <w:t>5</w:t>
            </w:r>
            <w:r>
              <w:rPr>
                <w:rFonts w:hint="eastAsia" w:eastAsia="宋体"/>
                <w:sz w:val="18"/>
                <w:lang w:eastAsia="zh-CN"/>
              </w:rPr>
              <w:t>天报告和故障报告</w:t>
            </w:r>
          </w:p>
        </w:tc>
      </w:tr>
      <w:tr w14:paraId="31FE128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5B922672">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5A257199">
            <w:pPr>
              <w:pStyle w:val="25"/>
              <w:autoSpaceDE/>
              <w:autoSpaceDN/>
              <w:snapToGrid w:val="0"/>
              <w:jc w:val="both"/>
              <w:rPr>
                <w:rFonts w:eastAsia="宋体"/>
                <w:sz w:val="18"/>
              </w:rPr>
            </w:pPr>
            <w:r>
              <w:rPr>
                <w:rFonts w:hint="eastAsia" w:eastAsia="宋体"/>
                <w:sz w:val="18"/>
              </w:rPr>
              <w:t>药品</w:t>
            </w:r>
            <w:r>
              <w:rPr>
                <w:rFonts w:eastAsia="宋体"/>
                <w:sz w:val="18"/>
              </w:rPr>
              <w:t>-</w:t>
            </w:r>
            <w:r>
              <w:rPr>
                <w:rFonts w:hint="eastAsia" w:eastAsia="宋体"/>
                <w:sz w:val="18"/>
              </w:rPr>
              <w:t>生物制品</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21922517">
            <w:pPr>
              <w:pStyle w:val="25"/>
              <w:autoSpaceDE/>
              <w:autoSpaceDN/>
              <w:snapToGrid w:val="0"/>
              <w:jc w:val="center"/>
              <w:rPr>
                <w:rFonts w:eastAsia="宋体"/>
                <w:sz w:val="18"/>
              </w:rPr>
            </w:pPr>
            <w:r>
              <w:rPr>
                <w:rFonts w:eastAsia="宋体"/>
                <w:sz w:val="18"/>
              </w:rPr>
              <w:t>X</w:t>
            </w: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7CB0A1D2">
            <w:pPr>
              <w:pStyle w:val="25"/>
              <w:autoSpaceDE/>
              <w:autoSpaceDN/>
              <w:snapToGrid w:val="0"/>
              <w:jc w:val="center"/>
              <w:rPr>
                <w:rFonts w:eastAsia="宋体"/>
                <w:sz w:val="18"/>
              </w:rPr>
            </w:pPr>
          </w:p>
        </w:tc>
        <w:tc>
          <w:tcPr>
            <w:tcW w:w="187" w:type="pct"/>
            <w:tcBorders>
              <w:top w:val="single" w:color="000000" w:sz="4" w:space="0"/>
              <w:left w:val="single" w:color="000000" w:sz="4" w:space="0"/>
              <w:bottom w:val="single" w:color="000000" w:sz="4" w:space="0"/>
            </w:tcBorders>
            <w:shd w:val="clear" w:color="auto" w:fill="auto"/>
          </w:tcPr>
          <w:p w14:paraId="07AEC6F7">
            <w:pPr>
              <w:pStyle w:val="25"/>
              <w:autoSpaceDE/>
              <w:autoSpaceDN/>
              <w:snapToGrid w:val="0"/>
              <w:jc w:val="center"/>
              <w:rPr>
                <w:rFonts w:eastAsia="宋体"/>
                <w:sz w:val="18"/>
              </w:rPr>
            </w:pPr>
          </w:p>
        </w:tc>
        <w:tc>
          <w:tcPr>
            <w:tcW w:w="489" w:type="pct"/>
            <w:gridSpan w:val="2"/>
            <w:vMerge w:val="continue"/>
            <w:tcBorders>
              <w:top w:val="nil"/>
              <w:right w:val="single" w:color="000000" w:sz="4" w:space="0"/>
            </w:tcBorders>
            <w:shd w:val="clear" w:color="auto" w:fill="DADADA"/>
          </w:tcPr>
          <w:p w14:paraId="28DB7E9D">
            <w:pPr>
              <w:autoSpaceDE/>
              <w:autoSpaceDN/>
              <w:snapToGrid w:val="0"/>
              <w:jc w:val="center"/>
              <w:rPr>
                <w:rFonts w:eastAsia="宋体"/>
                <w:sz w:val="18"/>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Pr>
          <w:p w14:paraId="14FD84B6">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2542D909">
            <w:pPr>
              <w:pStyle w:val="25"/>
              <w:autoSpaceDE/>
              <w:autoSpaceDN/>
              <w:snapToGrid w:val="0"/>
              <w:jc w:val="center"/>
              <w:rPr>
                <w:rFonts w:eastAsia="宋体"/>
                <w:sz w:val="18"/>
              </w:rPr>
            </w:pPr>
            <w:r>
              <w:rPr>
                <w:rFonts w:eastAsia="宋体"/>
                <w:sz w:val="18"/>
              </w:rPr>
              <w:t>X</w:t>
            </w:r>
          </w:p>
        </w:tc>
        <w:tc>
          <w:tcPr>
            <w:tcW w:w="292" w:type="pct"/>
            <w:tcBorders>
              <w:top w:val="single" w:color="000000" w:sz="4" w:space="0"/>
              <w:left w:val="single" w:color="000000" w:sz="4" w:space="0"/>
              <w:bottom w:val="single" w:color="000000" w:sz="4" w:space="0"/>
              <w:right w:val="single" w:color="000000" w:sz="4" w:space="0"/>
            </w:tcBorders>
            <w:shd w:val="clear" w:color="auto" w:fill="auto"/>
          </w:tcPr>
          <w:p w14:paraId="4E53E13B">
            <w:pPr>
              <w:pStyle w:val="25"/>
              <w:autoSpaceDE/>
              <w:autoSpaceDN/>
              <w:snapToGrid w:val="0"/>
              <w:jc w:val="both"/>
              <w:rPr>
                <w:rFonts w:eastAsia="宋体"/>
                <w:sz w:val="18"/>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Pr>
          <w:p w14:paraId="5C12474E">
            <w:pPr>
              <w:pStyle w:val="25"/>
              <w:autoSpaceDE/>
              <w:autoSpaceDN/>
              <w:snapToGrid w:val="0"/>
              <w:jc w:val="both"/>
              <w:rPr>
                <w:rFonts w:eastAsia="宋体"/>
                <w:sz w:val="18"/>
              </w:rPr>
            </w:pPr>
          </w:p>
        </w:tc>
        <w:tc>
          <w:tcPr>
            <w:tcW w:w="371" w:type="pct"/>
            <w:tcBorders>
              <w:top w:val="single" w:color="000000" w:sz="4" w:space="0"/>
              <w:left w:val="single" w:color="000000" w:sz="4" w:space="0"/>
              <w:bottom w:val="single" w:color="000000" w:sz="4" w:space="0"/>
            </w:tcBorders>
            <w:shd w:val="clear" w:color="auto" w:fill="auto"/>
          </w:tcPr>
          <w:p w14:paraId="3A36B788">
            <w:pPr>
              <w:pStyle w:val="25"/>
              <w:autoSpaceDE/>
              <w:autoSpaceDN/>
              <w:snapToGrid w:val="0"/>
              <w:jc w:val="both"/>
              <w:rPr>
                <w:rFonts w:eastAsia="宋体"/>
                <w:sz w:val="18"/>
              </w:rPr>
            </w:pPr>
          </w:p>
        </w:tc>
        <w:tc>
          <w:tcPr>
            <w:tcW w:w="1361" w:type="pct"/>
            <w:tcBorders>
              <w:top w:val="single" w:color="000000" w:sz="2" w:space="0"/>
              <w:bottom w:val="single" w:color="000000" w:sz="2" w:space="0"/>
            </w:tcBorders>
            <w:shd w:val="clear" w:color="auto" w:fill="auto"/>
          </w:tcPr>
          <w:p w14:paraId="56BC98BA">
            <w:pPr>
              <w:pStyle w:val="25"/>
              <w:autoSpaceDE/>
              <w:autoSpaceDN/>
              <w:snapToGrid w:val="0"/>
              <w:jc w:val="both"/>
              <w:rPr>
                <w:rFonts w:eastAsia="宋体"/>
                <w:sz w:val="18"/>
              </w:rPr>
            </w:pPr>
          </w:p>
        </w:tc>
      </w:tr>
      <w:tr w14:paraId="626E68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3DC70D66">
            <w:pPr>
              <w:autoSpaceDE/>
              <w:autoSpaceDN/>
              <w:snapToGrid w:val="0"/>
              <w:jc w:val="both"/>
              <w:rPr>
                <w:rFonts w:eastAsia="宋体"/>
                <w:sz w:val="18"/>
              </w:rPr>
            </w:pPr>
          </w:p>
        </w:tc>
        <w:tc>
          <w:tcPr>
            <w:tcW w:w="730" w:type="pct"/>
            <w:tcBorders>
              <w:top w:val="single" w:color="000000" w:sz="4" w:space="0"/>
              <w:left w:val="single" w:color="000000" w:sz="4" w:space="0"/>
            </w:tcBorders>
            <w:shd w:val="clear" w:color="auto" w:fill="auto"/>
          </w:tcPr>
          <w:p w14:paraId="785FCE79">
            <w:pPr>
              <w:pStyle w:val="25"/>
              <w:autoSpaceDE/>
              <w:autoSpaceDN/>
              <w:snapToGrid w:val="0"/>
              <w:jc w:val="both"/>
              <w:rPr>
                <w:rFonts w:eastAsia="宋体"/>
                <w:sz w:val="18"/>
                <w:lang w:eastAsia="zh-CN"/>
              </w:rPr>
            </w:pPr>
            <w:r>
              <w:rPr>
                <w:rFonts w:hint="eastAsia" w:eastAsia="宋体"/>
                <w:sz w:val="18"/>
                <w:lang w:eastAsia="zh-CN"/>
              </w:rPr>
              <w:t>药品</w:t>
            </w:r>
            <w:r>
              <w:rPr>
                <w:rFonts w:eastAsia="宋体"/>
                <w:sz w:val="18"/>
                <w:lang w:eastAsia="zh-CN"/>
              </w:rPr>
              <w:t>-</w:t>
            </w:r>
            <w:r>
              <w:rPr>
                <w:rFonts w:hint="eastAsia" w:eastAsia="宋体"/>
                <w:sz w:val="18"/>
                <w:lang w:eastAsia="zh-CN"/>
              </w:rPr>
              <w:t>器械</w:t>
            </w:r>
            <w:r>
              <w:rPr>
                <w:rFonts w:eastAsia="宋体"/>
                <w:sz w:val="18"/>
                <w:lang w:eastAsia="zh-CN"/>
              </w:rPr>
              <w:t>-</w:t>
            </w:r>
            <w:r>
              <w:rPr>
                <w:rFonts w:hint="eastAsia" w:eastAsia="宋体"/>
                <w:sz w:val="18"/>
                <w:lang w:eastAsia="zh-CN"/>
              </w:rPr>
              <w:t>生物制品</w:t>
            </w:r>
            <w:r>
              <w:rPr>
                <w:rFonts w:eastAsia="宋体"/>
                <w:sz w:val="18"/>
                <w:lang w:eastAsia="zh-CN"/>
              </w:rPr>
              <w:t>CP</w:t>
            </w:r>
          </w:p>
        </w:tc>
        <w:tc>
          <w:tcPr>
            <w:tcW w:w="222" w:type="pct"/>
            <w:tcBorders>
              <w:top w:val="single" w:color="000000" w:sz="4" w:space="0"/>
              <w:right w:val="single" w:color="000000" w:sz="4" w:space="0"/>
            </w:tcBorders>
            <w:shd w:val="clear" w:color="auto" w:fill="auto"/>
          </w:tcPr>
          <w:p w14:paraId="033932F7">
            <w:pPr>
              <w:pStyle w:val="25"/>
              <w:autoSpaceDE/>
              <w:autoSpaceDN/>
              <w:snapToGrid w:val="0"/>
              <w:jc w:val="center"/>
              <w:rPr>
                <w:rFonts w:eastAsia="宋体"/>
                <w:sz w:val="18"/>
              </w:rPr>
            </w:pPr>
            <w:r>
              <w:rPr>
                <w:rFonts w:eastAsia="宋体"/>
                <w:sz w:val="18"/>
              </w:rPr>
              <w:t>X</w:t>
            </w:r>
          </w:p>
        </w:tc>
        <w:tc>
          <w:tcPr>
            <w:tcW w:w="197" w:type="pct"/>
            <w:tcBorders>
              <w:top w:val="single" w:color="000000" w:sz="4" w:space="0"/>
              <w:left w:val="single" w:color="000000" w:sz="4" w:space="0"/>
              <w:right w:val="single" w:color="000000" w:sz="4" w:space="0"/>
            </w:tcBorders>
            <w:shd w:val="clear" w:color="auto" w:fill="auto"/>
          </w:tcPr>
          <w:p w14:paraId="0D1DB490">
            <w:pPr>
              <w:pStyle w:val="25"/>
              <w:autoSpaceDE/>
              <w:autoSpaceDN/>
              <w:snapToGrid w:val="0"/>
              <w:jc w:val="center"/>
              <w:rPr>
                <w:rFonts w:eastAsia="宋体"/>
                <w:sz w:val="18"/>
              </w:rPr>
            </w:pPr>
          </w:p>
        </w:tc>
        <w:tc>
          <w:tcPr>
            <w:tcW w:w="187" w:type="pct"/>
            <w:tcBorders>
              <w:top w:val="single" w:color="000000" w:sz="4" w:space="0"/>
              <w:left w:val="single" w:color="000000" w:sz="4" w:space="0"/>
            </w:tcBorders>
            <w:shd w:val="clear" w:color="auto" w:fill="auto"/>
          </w:tcPr>
          <w:p w14:paraId="0B547EE8">
            <w:pPr>
              <w:pStyle w:val="25"/>
              <w:autoSpaceDE/>
              <w:autoSpaceDN/>
              <w:snapToGrid w:val="0"/>
              <w:jc w:val="center"/>
              <w:rPr>
                <w:rFonts w:eastAsia="宋体"/>
                <w:sz w:val="18"/>
              </w:rPr>
            </w:pPr>
          </w:p>
        </w:tc>
        <w:tc>
          <w:tcPr>
            <w:tcW w:w="489" w:type="pct"/>
            <w:gridSpan w:val="2"/>
            <w:vMerge w:val="continue"/>
            <w:tcBorders>
              <w:top w:val="nil"/>
              <w:right w:val="single" w:color="000000" w:sz="4" w:space="0"/>
            </w:tcBorders>
            <w:shd w:val="clear" w:color="auto" w:fill="DADADA"/>
          </w:tcPr>
          <w:p w14:paraId="25EBAC7F">
            <w:pPr>
              <w:autoSpaceDE/>
              <w:autoSpaceDN/>
              <w:snapToGrid w:val="0"/>
              <w:jc w:val="center"/>
              <w:rPr>
                <w:rFonts w:eastAsia="宋体"/>
                <w:sz w:val="18"/>
              </w:rPr>
            </w:pPr>
          </w:p>
        </w:tc>
        <w:tc>
          <w:tcPr>
            <w:tcW w:w="299" w:type="pct"/>
            <w:tcBorders>
              <w:top w:val="single" w:color="000000" w:sz="4" w:space="0"/>
              <w:left w:val="single" w:color="000000" w:sz="4" w:space="0"/>
              <w:right w:val="single" w:color="000000" w:sz="4" w:space="0"/>
            </w:tcBorders>
            <w:shd w:val="clear" w:color="auto" w:fill="auto"/>
          </w:tcPr>
          <w:p w14:paraId="5882C90B">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right w:val="single" w:color="000000" w:sz="4" w:space="0"/>
            </w:tcBorders>
            <w:shd w:val="clear" w:color="auto" w:fill="auto"/>
          </w:tcPr>
          <w:p w14:paraId="4064C966">
            <w:pPr>
              <w:pStyle w:val="25"/>
              <w:autoSpaceDE/>
              <w:autoSpaceDN/>
              <w:snapToGrid w:val="0"/>
              <w:jc w:val="center"/>
              <w:rPr>
                <w:rFonts w:eastAsia="宋体"/>
                <w:sz w:val="18"/>
              </w:rPr>
            </w:pPr>
            <w:r>
              <w:rPr>
                <w:rFonts w:eastAsia="宋体"/>
                <w:sz w:val="18"/>
              </w:rPr>
              <w:t>X</w:t>
            </w:r>
          </w:p>
        </w:tc>
        <w:tc>
          <w:tcPr>
            <w:tcW w:w="292" w:type="pct"/>
            <w:tcBorders>
              <w:top w:val="single" w:color="000000" w:sz="4" w:space="0"/>
              <w:left w:val="single" w:color="000000" w:sz="4" w:space="0"/>
              <w:right w:val="single" w:color="000000" w:sz="4" w:space="0"/>
            </w:tcBorders>
            <w:shd w:val="clear" w:color="auto" w:fill="auto"/>
          </w:tcPr>
          <w:p w14:paraId="30B5FEB0">
            <w:pPr>
              <w:pStyle w:val="25"/>
              <w:autoSpaceDE/>
              <w:autoSpaceDN/>
              <w:snapToGrid w:val="0"/>
              <w:jc w:val="both"/>
              <w:rPr>
                <w:rFonts w:eastAsia="宋体"/>
                <w:sz w:val="18"/>
              </w:rPr>
            </w:pPr>
            <w:r>
              <w:rPr>
                <w:rFonts w:eastAsia="宋体"/>
                <w:sz w:val="18"/>
              </w:rPr>
              <w:t>X</w:t>
            </w:r>
          </w:p>
        </w:tc>
        <w:tc>
          <w:tcPr>
            <w:tcW w:w="249" w:type="pct"/>
            <w:tcBorders>
              <w:top w:val="single" w:color="000000" w:sz="4" w:space="0"/>
              <w:left w:val="single" w:color="000000" w:sz="4" w:space="0"/>
              <w:right w:val="single" w:color="000000" w:sz="4" w:space="0"/>
            </w:tcBorders>
            <w:shd w:val="clear" w:color="auto" w:fill="auto"/>
          </w:tcPr>
          <w:p w14:paraId="09F1F045">
            <w:pPr>
              <w:pStyle w:val="25"/>
              <w:autoSpaceDE/>
              <w:autoSpaceDN/>
              <w:snapToGrid w:val="0"/>
              <w:jc w:val="both"/>
              <w:rPr>
                <w:rFonts w:eastAsia="宋体"/>
                <w:sz w:val="18"/>
              </w:rPr>
            </w:pPr>
            <w:r>
              <w:rPr>
                <w:rFonts w:eastAsia="宋体"/>
                <w:sz w:val="18"/>
              </w:rPr>
              <w:t>X</w:t>
            </w:r>
          </w:p>
        </w:tc>
        <w:tc>
          <w:tcPr>
            <w:tcW w:w="371" w:type="pct"/>
            <w:tcBorders>
              <w:top w:val="single" w:color="000000" w:sz="4" w:space="0"/>
              <w:left w:val="single" w:color="000000" w:sz="4" w:space="0"/>
            </w:tcBorders>
            <w:shd w:val="clear" w:color="auto" w:fill="auto"/>
          </w:tcPr>
          <w:p w14:paraId="0E1FCF9B">
            <w:pPr>
              <w:pStyle w:val="25"/>
              <w:autoSpaceDE/>
              <w:autoSpaceDN/>
              <w:snapToGrid w:val="0"/>
              <w:jc w:val="both"/>
              <w:rPr>
                <w:rFonts w:eastAsia="宋体"/>
                <w:sz w:val="18"/>
              </w:rPr>
            </w:pPr>
            <w:r>
              <w:rPr>
                <w:rFonts w:eastAsia="宋体"/>
                <w:sz w:val="18"/>
              </w:rPr>
              <w:t>X</w:t>
            </w:r>
          </w:p>
        </w:tc>
        <w:tc>
          <w:tcPr>
            <w:tcW w:w="1361" w:type="pct"/>
            <w:tcBorders>
              <w:top w:val="single" w:color="000000" w:sz="2" w:space="0"/>
            </w:tcBorders>
            <w:shd w:val="clear" w:color="auto" w:fill="auto"/>
          </w:tcPr>
          <w:p w14:paraId="7D1C27EB">
            <w:pPr>
              <w:pStyle w:val="25"/>
              <w:autoSpaceDE/>
              <w:autoSpaceDN/>
              <w:snapToGrid w:val="0"/>
              <w:jc w:val="both"/>
              <w:rPr>
                <w:rFonts w:eastAsia="宋体"/>
                <w:sz w:val="18"/>
                <w:lang w:eastAsia="zh-CN"/>
              </w:rPr>
            </w:pPr>
            <w:r>
              <w:rPr>
                <w:rFonts w:hint="eastAsia" w:eastAsia="宋体"/>
                <w:sz w:val="18"/>
                <w:lang w:eastAsia="zh-CN"/>
              </w:rPr>
              <w:t>在定期安全性报告（</w:t>
            </w:r>
            <w:r>
              <w:rPr>
                <w:rFonts w:hint="eastAsia" w:eastAsia="宋体"/>
                <w:snapToGrid w:val="0"/>
                <w:sz w:val="18"/>
                <w:szCs w:val="18"/>
                <w:lang w:eastAsia="zh-CN"/>
              </w:rPr>
              <w:t>《美国联邦法规》第21篇第4</w:t>
            </w:r>
            <w:r>
              <w:rPr>
                <w:rFonts w:eastAsia="宋体"/>
                <w:sz w:val="18"/>
                <w:lang w:eastAsia="zh-CN"/>
              </w:rPr>
              <w:t>.102</w:t>
            </w:r>
            <w:r>
              <w:rPr>
                <w:rFonts w:hint="eastAsia" w:eastAsia="宋体"/>
                <w:snapToGrid w:val="0"/>
                <w:sz w:val="18"/>
                <w:szCs w:val="18"/>
                <w:lang w:eastAsia="zh-CN"/>
              </w:rPr>
              <w:t>（</w:t>
            </w:r>
            <w:r>
              <w:rPr>
                <w:rFonts w:eastAsia="宋体"/>
                <w:sz w:val="18"/>
                <w:lang w:eastAsia="zh-CN"/>
              </w:rPr>
              <w:t>d</w:t>
            </w:r>
            <w:r>
              <w:rPr>
                <w:rFonts w:hint="eastAsia" w:eastAsia="宋体"/>
                <w:snapToGrid w:val="0"/>
                <w:sz w:val="18"/>
                <w:szCs w:val="18"/>
                <w:lang w:eastAsia="zh-CN"/>
              </w:rPr>
              <w:t>）节</w:t>
            </w:r>
            <w:r>
              <w:rPr>
                <w:rFonts w:hint="eastAsia" w:eastAsia="宋体"/>
                <w:sz w:val="18"/>
                <w:lang w:eastAsia="zh-CN"/>
              </w:rPr>
              <w:t>）中说明</w:t>
            </w:r>
            <w:r>
              <w:rPr>
                <w:rFonts w:eastAsia="宋体"/>
                <w:sz w:val="18"/>
                <w:lang w:eastAsia="zh-CN"/>
              </w:rPr>
              <w:t>5</w:t>
            </w:r>
            <w:r>
              <w:rPr>
                <w:rFonts w:hint="eastAsia" w:eastAsia="宋体"/>
                <w:sz w:val="18"/>
                <w:lang w:eastAsia="zh-CN"/>
              </w:rPr>
              <w:t>天报告和故障报告</w:t>
            </w:r>
          </w:p>
        </w:tc>
      </w:tr>
      <w:tr w14:paraId="6241F66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restart"/>
            <w:tcBorders>
              <w:right w:val="single" w:color="000000" w:sz="4" w:space="0"/>
            </w:tcBorders>
            <w:shd w:val="clear" w:color="auto" w:fill="auto"/>
          </w:tcPr>
          <w:p w14:paraId="1D9D5048">
            <w:pPr>
              <w:pStyle w:val="25"/>
              <w:autoSpaceDE/>
              <w:autoSpaceDN/>
              <w:snapToGrid w:val="0"/>
              <w:jc w:val="both"/>
              <w:rPr>
                <w:rFonts w:eastAsia="宋体"/>
                <w:sz w:val="18"/>
              </w:rPr>
            </w:pPr>
            <w:r>
              <w:rPr>
                <w:rFonts w:eastAsia="宋体"/>
                <w:sz w:val="18"/>
              </w:rPr>
              <w:t>BLA</w:t>
            </w:r>
          </w:p>
        </w:tc>
        <w:tc>
          <w:tcPr>
            <w:tcW w:w="730" w:type="pct"/>
            <w:tcBorders>
              <w:left w:val="single" w:color="000000" w:sz="4" w:space="0"/>
              <w:bottom w:val="single" w:color="000000" w:sz="4" w:space="0"/>
            </w:tcBorders>
            <w:shd w:val="clear" w:color="auto" w:fill="auto"/>
          </w:tcPr>
          <w:p w14:paraId="3F3A064A">
            <w:pPr>
              <w:pStyle w:val="25"/>
              <w:autoSpaceDE/>
              <w:autoSpaceDN/>
              <w:snapToGrid w:val="0"/>
              <w:jc w:val="both"/>
              <w:rPr>
                <w:rFonts w:eastAsia="宋体"/>
                <w:sz w:val="18"/>
              </w:rPr>
            </w:pPr>
            <w:r>
              <w:rPr>
                <w:rFonts w:hint="eastAsia" w:eastAsia="宋体"/>
                <w:sz w:val="18"/>
              </w:rPr>
              <w:t>生物制品组成部分</w:t>
            </w:r>
          </w:p>
        </w:tc>
        <w:tc>
          <w:tcPr>
            <w:tcW w:w="222" w:type="pct"/>
            <w:tcBorders>
              <w:bottom w:val="single" w:color="000000" w:sz="4" w:space="0"/>
              <w:right w:val="single" w:color="000000" w:sz="4" w:space="0"/>
            </w:tcBorders>
            <w:shd w:val="clear" w:color="auto" w:fill="auto"/>
          </w:tcPr>
          <w:p w14:paraId="671CF67C">
            <w:pPr>
              <w:pStyle w:val="25"/>
              <w:autoSpaceDE/>
              <w:autoSpaceDN/>
              <w:snapToGrid w:val="0"/>
              <w:jc w:val="center"/>
              <w:rPr>
                <w:rFonts w:eastAsia="宋体"/>
                <w:sz w:val="18"/>
              </w:rPr>
            </w:pPr>
          </w:p>
        </w:tc>
        <w:tc>
          <w:tcPr>
            <w:tcW w:w="197" w:type="pct"/>
            <w:tcBorders>
              <w:left w:val="single" w:color="000000" w:sz="4" w:space="0"/>
              <w:bottom w:val="single" w:color="000000" w:sz="4" w:space="0"/>
              <w:right w:val="single" w:color="000000" w:sz="4" w:space="0"/>
            </w:tcBorders>
            <w:shd w:val="clear" w:color="auto" w:fill="auto"/>
          </w:tcPr>
          <w:p w14:paraId="52732F5F">
            <w:pPr>
              <w:pStyle w:val="25"/>
              <w:autoSpaceDE/>
              <w:autoSpaceDN/>
              <w:snapToGrid w:val="0"/>
              <w:jc w:val="center"/>
              <w:rPr>
                <w:rFonts w:eastAsia="宋体"/>
                <w:sz w:val="18"/>
              </w:rPr>
            </w:pPr>
            <w:r>
              <w:rPr>
                <w:rFonts w:eastAsia="宋体"/>
                <w:sz w:val="18"/>
              </w:rPr>
              <w:t>X</w:t>
            </w:r>
          </w:p>
        </w:tc>
        <w:tc>
          <w:tcPr>
            <w:tcW w:w="187" w:type="pct"/>
            <w:tcBorders>
              <w:left w:val="single" w:color="000000" w:sz="4" w:space="0"/>
              <w:bottom w:val="single" w:color="000000" w:sz="4" w:space="0"/>
            </w:tcBorders>
            <w:shd w:val="clear" w:color="auto" w:fill="auto"/>
          </w:tcPr>
          <w:p w14:paraId="3D432AD5">
            <w:pPr>
              <w:pStyle w:val="25"/>
              <w:autoSpaceDE/>
              <w:autoSpaceDN/>
              <w:snapToGrid w:val="0"/>
              <w:jc w:val="center"/>
              <w:rPr>
                <w:rFonts w:eastAsia="宋体"/>
                <w:sz w:val="18"/>
              </w:rPr>
            </w:pPr>
          </w:p>
        </w:tc>
        <w:tc>
          <w:tcPr>
            <w:tcW w:w="253" w:type="pct"/>
            <w:tcBorders>
              <w:bottom w:val="single" w:color="000000" w:sz="4" w:space="0"/>
              <w:right w:val="single" w:color="000000" w:sz="4" w:space="0"/>
            </w:tcBorders>
            <w:shd w:val="clear" w:color="auto" w:fill="auto"/>
          </w:tcPr>
          <w:p w14:paraId="608F46FE">
            <w:pPr>
              <w:pStyle w:val="25"/>
              <w:autoSpaceDE/>
              <w:autoSpaceDN/>
              <w:snapToGrid w:val="0"/>
              <w:jc w:val="center"/>
              <w:rPr>
                <w:rFonts w:eastAsia="宋体"/>
                <w:sz w:val="18"/>
              </w:rPr>
            </w:pPr>
          </w:p>
        </w:tc>
        <w:tc>
          <w:tcPr>
            <w:tcW w:w="236" w:type="pct"/>
            <w:tcBorders>
              <w:left w:val="single" w:color="000000" w:sz="4" w:space="0"/>
              <w:bottom w:val="single" w:color="000000" w:sz="4" w:space="0"/>
              <w:right w:val="single" w:color="000000" w:sz="4" w:space="0"/>
            </w:tcBorders>
            <w:shd w:val="clear" w:color="auto" w:fill="auto"/>
          </w:tcPr>
          <w:p w14:paraId="71EF8289">
            <w:pPr>
              <w:pStyle w:val="25"/>
              <w:autoSpaceDE/>
              <w:autoSpaceDN/>
              <w:snapToGrid w:val="0"/>
              <w:jc w:val="center"/>
              <w:rPr>
                <w:rFonts w:eastAsia="宋体"/>
                <w:sz w:val="18"/>
              </w:rPr>
            </w:pPr>
          </w:p>
        </w:tc>
        <w:tc>
          <w:tcPr>
            <w:tcW w:w="535" w:type="pct"/>
            <w:gridSpan w:val="2"/>
            <w:vMerge w:val="restart"/>
            <w:tcBorders>
              <w:left w:val="single" w:color="000000" w:sz="4" w:space="0"/>
              <w:right w:val="single" w:color="000000" w:sz="4" w:space="0"/>
            </w:tcBorders>
            <w:shd w:val="clear" w:color="auto" w:fill="DADADA"/>
            <w:vAlign w:val="center"/>
          </w:tcPr>
          <w:p w14:paraId="764FB105">
            <w:pPr>
              <w:pStyle w:val="25"/>
              <w:autoSpaceDE/>
              <w:autoSpaceDN/>
              <w:snapToGrid w:val="0"/>
              <w:jc w:val="center"/>
              <w:rPr>
                <w:rFonts w:eastAsia="宋体"/>
                <w:sz w:val="18"/>
                <w:lang w:eastAsia="zh-CN"/>
              </w:rPr>
            </w:pPr>
            <w:r>
              <w:rPr>
                <w:rFonts w:hint="eastAsia" w:eastAsia="宋体"/>
                <w:sz w:val="18"/>
                <w:lang w:eastAsia="zh-CN"/>
              </w:rPr>
              <w:t>基于申请类型的要求涵盖</w:t>
            </w:r>
          </w:p>
        </w:tc>
        <w:tc>
          <w:tcPr>
            <w:tcW w:w="292" w:type="pct"/>
            <w:tcBorders>
              <w:left w:val="single" w:color="000000" w:sz="4" w:space="0"/>
              <w:bottom w:val="single" w:color="000000" w:sz="4" w:space="0"/>
              <w:right w:val="single" w:color="000000" w:sz="4" w:space="0"/>
            </w:tcBorders>
            <w:shd w:val="clear" w:color="auto" w:fill="auto"/>
          </w:tcPr>
          <w:p w14:paraId="6DD872F5">
            <w:pPr>
              <w:pStyle w:val="25"/>
              <w:autoSpaceDE/>
              <w:autoSpaceDN/>
              <w:snapToGrid w:val="0"/>
              <w:jc w:val="both"/>
              <w:rPr>
                <w:rFonts w:eastAsia="宋体"/>
                <w:sz w:val="18"/>
                <w:lang w:eastAsia="zh-CN"/>
              </w:rPr>
            </w:pPr>
          </w:p>
        </w:tc>
        <w:tc>
          <w:tcPr>
            <w:tcW w:w="249" w:type="pct"/>
            <w:tcBorders>
              <w:left w:val="single" w:color="000000" w:sz="4" w:space="0"/>
              <w:bottom w:val="single" w:color="000000" w:sz="4" w:space="0"/>
              <w:right w:val="single" w:color="000000" w:sz="4" w:space="0"/>
            </w:tcBorders>
            <w:shd w:val="clear" w:color="auto" w:fill="auto"/>
          </w:tcPr>
          <w:p w14:paraId="4E6FAED3">
            <w:pPr>
              <w:pStyle w:val="25"/>
              <w:autoSpaceDE/>
              <w:autoSpaceDN/>
              <w:snapToGrid w:val="0"/>
              <w:jc w:val="both"/>
              <w:rPr>
                <w:rFonts w:eastAsia="宋体"/>
                <w:sz w:val="18"/>
                <w:lang w:eastAsia="zh-CN"/>
              </w:rPr>
            </w:pPr>
          </w:p>
        </w:tc>
        <w:tc>
          <w:tcPr>
            <w:tcW w:w="371" w:type="pct"/>
            <w:tcBorders>
              <w:left w:val="single" w:color="000000" w:sz="4" w:space="0"/>
              <w:bottom w:val="single" w:color="000000" w:sz="4" w:space="0"/>
            </w:tcBorders>
            <w:shd w:val="clear" w:color="auto" w:fill="auto"/>
          </w:tcPr>
          <w:p w14:paraId="6778181F">
            <w:pPr>
              <w:pStyle w:val="25"/>
              <w:autoSpaceDE/>
              <w:autoSpaceDN/>
              <w:snapToGrid w:val="0"/>
              <w:jc w:val="both"/>
              <w:rPr>
                <w:rFonts w:eastAsia="宋体"/>
                <w:sz w:val="18"/>
                <w:lang w:eastAsia="zh-CN"/>
              </w:rPr>
            </w:pPr>
          </w:p>
        </w:tc>
        <w:tc>
          <w:tcPr>
            <w:tcW w:w="1361" w:type="pct"/>
            <w:tcBorders>
              <w:bottom w:val="single" w:color="000000" w:sz="2" w:space="0"/>
            </w:tcBorders>
            <w:shd w:val="clear" w:color="auto" w:fill="auto"/>
          </w:tcPr>
          <w:p w14:paraId="7A5682C6">
            <w:pPr>
              <w:pStyle w:val="25"/>
              <w:autoSpaceDE/>
              <w:autoSpaceDN/>
              <w:snapToGrid w:val="0"/>
              <w:jc w:val="both"/>
              <w:rPr>
                <w:rFonts w:eastAsia="宋体"/>
                <w:sz w:val="18"/>
                <w:lang w:eastAsia="zh-CN"/>
              </w:rPr>
            </w:pPr>
            <w:r>
              <w:rPr>
                <w:rFonts w:hint="eastAsia" w:eastAsia="宋体"/>
                <w:sz w:val="18"/>
                <w:lang w:eastAsia="zh-CN"/>
              </w:rPr>
              <w:t>与其他组成部分共享信息</w:t>
            </w:r>
            <w:r>
              <w:rPr>
                <w:rFonts w:hint="eastAsia" w:eastAsia="宋体"/>
                <w:snapToGrid w:val="0"/>
                <w:sz w:val="18"/>
                <w:szCs w:val="18"/>
                <w:lang w:eastAsia="zh-CN"/>
              </w:rPr>
              <w:t>部件申请人（《美国联邦法规》第21篇第4</w:t>
            </w:r>
            <w:r>
              <w:rPr>
                <w:rFonts w:eastAsia="宋体"/>
                <w:sz w:val="18"/>
                <w:lang w:eastAsia="zh-CN"/>
              </w:rPr>
              <w:t>.103</w:t>
            </w:r>
            <w:r>
              <w:rPr>
                <w:rFonts w:hint="eastAsia" w:eastAsia="宋体"/>
                <w:snapToGrid w:val="0"/>
                <w:sz w:val="18"/>
                <w:szCs w:val="18"/>
                <w:lang w:eastAsia="zh-CN"/>
              </w:rPr>
              <w:t>节</w:t>
            </w:r>
            <w:r>
              <w:rPr>
                <w:rFonts w:hint="eastAsia" w:eastAsia="宋体"/>
                <w:sz w:val="18"/>
                <w:lang w:eastAsia="zh-CN"/>
              </w:rPr>
              <w:t>）</w:t>
            </w:r>
          </w:p>
        </w:tc>
      </w:tr>
      <w:tr w14:paraId="5A46540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00877063">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751851FC">
            <w:pPr>
              <w:pStyle w:val="25"/>
              <w:autoSpaceDE/>
              <w:autoSpaceDN/>
              <w:snapToGrid w:val="0"/>
              <w:jc w:val="both"/>
              <w:rPr>
                <w:rFonts w:eastAsia="宋体"/>
                <w:sz w:val="18"/>
              </w:rPr>
            </w:pPr>
            <w:r>
              <w:rPr>
                <w:rFonts w:hint="eastAsia" w:eastAsia="宋体"/>
                <w:sz w:val="18"/>
              </w:rPr>
              <w:t>生物制品</w:t>
            </w:r>
            <w:r>
              <w:rPr>
                <w:rFonts w:eastAsia="宋体"/>
                <w:sz w:val="18"/>
              </w:rPr>
              <w:t>-</w:t>
            </w:r>
            <w:r>
              <w:rPr>
                <w:rFonts w:hint="eastAsia" w:eastAsia="宋体"/>
                <w:sz w:val="18"/>
              </w:rPr>
              <w:t>器械</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0ABCABC7">
            <w:pPr>
              <w:pStyle w:val="25"/>
              <w:autoSpaceDE/>
              <w:autoSpaceDN/>
              <w:snapToGrid w:val="0"/>
              <w:jc w:val="center"/>
              <w:rPr>
                <w:rFonts w:eastAsia="宋体"/>
                <w:sz w:val="18"/>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36881CE4">
            <w:pPr>
              <w:pStyle w:val="25"/>
              <w:autoSpaceDE/>
              <w:autoSpaceDN/>
              <w:snapToGrid w:val="0"/>
              <w:jc w:val="center"/>
              <w:rPr>
                <w:rFonts w:eastAsia="宋体"/>
                <w:sz w:val="18"/>
              </w:rPr>
            </w:pPr>
            <w:r>
              <w:rPr>
                <w:rFonts w:eastAsia="宋体"/>
                <w:sz w:val="18"/>
              </w:rPr>
              <w:t>X</w:t>
            </w:r>
          </w:p>
        </w:tc>
        <w:tc>
          <w:tcPr>
            <w:tcW w:w="187" w:type="pct"/>
            <w:tcBorders>
              <w:top w:val="single" w:color="000000" w:sz="4" w:space="0"/>
              <w:left w:val="single" w:color="000000" w:sz="4" w:space="0"/>
              <w:bottom w:val="single" w:color="000000" w:sz="4" w:space="0"/>
            </w:tcBorders>
            <w:shd w:val="clear" w:color="auto" w:fill="auto"/>
          </w:tcPr>
          <w:p w14:paraId="2928D727">
            <w:pPr>
              <w:pStyle w:val="25"/>
              <w:autoSpaceDE/>
              <w:autoSpaceDN/>
              <w:snapToGrid w:val="0"/>
              <w:jc w:val="center"/>
              <w:rPr>
                <w:rFonts w:eastAsia="宋体"/>
                <w:sz w:val="18"/>
              </w:rPr>
            </w:pPr>
          </w:p>
        </w:tc>
        <w:tc>
          <w:tcPr>
            <w:tcW w:w="253" w:type="pct"/>
            <w:tcBorders>
              <w:top w:val="single" w:color="000000" w:sz="4" w:space="0"/>
              <w:bottom w:val="single" w:color="000000" w:sz="4" w:space="0"/>
              <w:right w:val="single" w:color="000000" w:sz="4" w:space="0"/>
            </w:tcBorders>
            <w:shd w:val="clear" w:color="auto" w:fill="auto"/>
          </w:tcPr>
          <w:p w14:paraId="162BE6DB">
            <w:pPr>
              <w:pStyle w:val="25"/>
              <w:autoSpaceDE/>
              <w:autoSpaceDN/>
              <w:snapToGrid w:val="0"/>
              <w:jc w:val="center"/>
              <w:rPr>
                <w:rFonts w:eastAsia="宋体"/>
                <w:sz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3B6F88BA">
            <w:pPr>
              <w:pStyle w:val="25"/>
              <w:autoSpaceDE/>
              <w:autoSpaceDN/>
              <w:snapToGrid w:val="0"/>
              <w:jc w:val="center"/>
              <w:rPr>
                <w:rFonts w:eastAsia="宋体"/>
                <w:sz w:val="18"/>
              </w:rPr>
            </w:pPr>
          </w:p>
        </w:tc>
        <w:tc>
          <w:tcPr>
            <w:tcW w:w="535" w:type="pct"/>
            <w:gridSpan w:val="2"/>
            <w:vMerge w:val="continue"/>
            <w:tcBorders>
              <w:top w:val="nil"/>
              <w:left w:val="single" w:color="000000" w:sz="4" w:space="0"/>
              <w:right w:val="single" w:color="000000" w:sz="4" w:space="0"/>
            </w:tcBorders>
            <w:shd w:val="clear" w:color="auto" w:fill="DADADA"/>
          </w:tcPr>
          <w:p w14:paraId="29F7DAAF">
            <w:pPr>
              <w:autoSpaceDE/>
              <w:autoSpaceDN/>
              <w:snapToGrid w:val="0"/>
              <w:jc w:val="center"/>
              <w:rPr>
                <w:rFonts w:eastAsia="宋体"/>
                <w:sz w:val="18"/>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Pr>
          <w:p w14:paraId="139F525D">
            <w:pPr>
              <w:pStyle w:val="25"/>
              <w:autoSpaceDE/>
              <w:autoSpaceDN/>
              <w:snapToGrid w:val="0"/>
              <w:jc w:val="both"/>
              <w:rPr>
                <w:rFonts w:eastAsia="宋体"/>
                <w:sz w:val="18"/>
              </w:rPr>
            </w:pPr>
            <w:r>
              <w:rPr>
                <w:rFonts w:eastAsia="宋体"/>
                <w:sz w:val="18"/>
              </w:rPr>
              <w:t>X</w:t>
            </w:r>
          </w:p>
        </w:tc>
        <w:tc>
          <w:tcPr>
            <w:tcW w:w="249" w:type="pct"/>
            <w:tcBorders>
              <w:top w:val="single" w:color="000000" w:sz="4" w:space="0"/>
              <w:left w:val="single" w:color="000000" w:sz="4" w:space="0"/>
              <w:bottom w:val="single" w:color="000000" w:sz="4" w:space="0"/>
              <w:right w:val="single" w:color="000000" w:sz="4" w:space="0"/>
            </w:tcBorders>
            <w:shd w:val="clear" w:color="auto" w:fill="auto"/>
          </w:tcPr>
          <w:p w14:paraId="122E0F7E">
            <w:pPr>
              <w:pStyle w:val="25"/>
              <w:autoSpaceDE/>
              <w:autoSpaceDN/>
              <w:snapToGrid w:val="0"/>
              <w:jc w:val="both"/>
              <w:rPr>
                <w:rFonts w:eastAsia="宋体"/>
                <w:sz w:val="18"/>
              </w:rPr>
            </w:pPr>
            <w:r>
              <w:rPr>
                <w:rFonts w:eastAsia="宋体"/>
                <w:sz w:val="18"/>
              </w:rPr>
              <w:t>X</w:t>
            </w:r>
          </w:p>
        </w:tc>
        <w:tc>
          <w:tcPr>
            <w:tcW w:w="371" w:type="pct"/>
            <w:tcBorders>
              <w:top w:val="single" w:color="000000" w:sz="4" w:space="0"/>
              <w:left w:val="single" w:color="000000" w:sz="4" w:space="0"/>
              <w:bottom w:val="single" w:color="000000" w:sz="4" w:space="0"/>
            </w:tcBorders>
            <w:shd w:val="clear" w:color="auto" w:fill="auto"/>
          </w:tcPr>
          <w:p w14:paraId="7963DDB8">
            <w:pPr>
              <w:pStyle w:val="25"/>
              <w:autoSpaceDE/>
              <w:autoSpaceDN/>
              <w:snapToGrid w:val="0"/>
              <w:jc w:val="both"/>
              <w:rPr>
                <w:rFonts w:eastAsia="宋体"/>
                <w:sz w:val="18"/>
              </w:rPr>
            </w:pPr>
            <w:r>
              <w:rPr>
                <w:rFonts w:eastAsia="宋体"/>
                <w:sz w:val="18"/>
              </w:rPr>
              <w:t>X</w:t>
            </w:r>
          </w:p>
        </w:tc>
        <w:tc>
          <w:tcPr>
            <w:tcW w:w="1361" w:type="pct"/>
            <w:tcBorders>
              <w:top w:val="single" w:color="000000" w:sz="2" w:space="0"/>
              <w:bottom w:val="single" w:color="000000" w:sz="2" w:space="0"/>
            </w:tcBorders>
            <w:shd w:val="clear" w:color="auto" w:fill="auto"/>
          </w:tcPr>
          <w:p w14:paraId="21B22105">
            <w:pPr>
              <w:pStyle w:val="25"/>
              <w:autoSpaceDE/>
              <w:autoSpaceDN/>
              <w:snapToGrid w:val="0"/>
              <w:jc w:val="both"/>
              <w:rPr>
                <w:rFonts w:eastAsia="宋体"/>
                <w:sz w:val="18"/>
                <w:lang w:eastAsia="zh-CN"/>
              </w:rPr>
            </w:pPr>
            <w:r>
              <w:rPr>
                <w:rFonts w:hint="eastAsia" w:eastAsia="宋体"/>
                <w:sz w:val="18"/>
                <w:lang w:eastAsia="zh-CN"/>
              </w:rPr>
              <w:t>在定期安全性报告（</w:t>
            </w:r>
            <w:r>
              <w:rPr>
                <w:rFonts w:hint="eastAsia" w:eastAsia="宋体"/>
                <w:snapToGrid w:val="0"/>
                <w:sz w:val="18"/>
                <w:szCs w:val="18"/>
                <w:lang w:eastAsia="zh-CN"/>
              </w:rPr>
              <w:t>《美国联邦法规》第21篇第4</w:t>
            </w:r>
            <w:r>
              <w:rPr>
                <w:rFonts w:eastAsia="宋体"/>
                <w:sz w:val="18"/>
                <w:lang w:eastAsia="zh-CN"/>
              </w:rPr>
              <w:t>.102</w:t>
            </w:r>
            <w:r>
              <w:rPr>
                <w:rFonts w:hint="eastAsia" w:eastAsia="宋体"/>
                <w:snapToGrid w:val="0"/>
                <w:sz w:val="18"/>
                <w:szCs w:val="18"/>
                <w:lang w:eastAsia="zh-CN"/>
              </w:rPr>
              <w:t>（</w:t>
            </w:r>
            <w:r>
              <w:rPr>
                <w:rFonts w:eastAsia="宋体"/>
                <w:sz w:val="18"/>
                <w:lang w:eastAsia="zh-CN"/>
              </w:rPr>
              <w:t>d</w:t>
            </w:r>
            <w:r>
              <w:rPr>
                <w:rFonts w:hint="eastAsia" w:eastAsia="宋体"/>
                <w:snapToGrid w:val="0"/>
                <w:sz w:val="18"/>
                <w:szCs w:val="18"/>
                <w:lang w:eastAsia="zh-CN"/>
              </w:rPr>
              <w:t>）节</w:t>
            </w:r>
            <w:r>
              <w:rPr>
                <w:rFonts w:hint="eastAsia" w:eastAsia="宋体"/>
                <w:sz w:val="18"/>
                <w:lang w:eastAsia="zh-CN"/>
              </w:rPr>
              <w:t>）中说明</w:t>
            </w:r>
            <w:r>
              <w:rPr>
                <w:rFonts w:eastAsia="宋体"/>
                <w:sz w:val="18"/>
                <w:lang w:eastAsia="zh-CN"/>
              </w:rPr>
              <w:t>5</w:t>
            </w:r>
            <w:r>
              <w:rPr>
                <w:rFonts w:hint="eastAsia" w:eastAsia="宋体"/>
                <w:sz w:val="18"/>
                <w:lang w:eastAsia="zh-CN"/>
              </w:rPr>
              <w:t>天报告和故障报告</w:t>
            </w:r>
          </w:p>
        </w:tc>
      </w:tr>
      <w:tr w14:paraId="566EE4F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4F1F7845">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60FAD742">
            <w:pPr>
              <w:pStyle w:val="25"/>
              <w:autoSpaceDE/>
              <w:autoSpaceDN/>
              <w:snapToGrid w:val="0"/>
              <w:jc w:val="both"/>
              <w:rPr>
                <w:rFonts w:eastAsia="宋体"/>
                <w:sz w:val="18"/>
              </w:rPr>
            </w:pPr>
            <w:r>
              <w:rPr>
                <w:rFonts w:hint="eastAsia" w:eastAsia="宋体"/>
                <w:sz w:val="18"/>
              </w:rPr>
              <w:t>生物制品</w:t>
            </w:r>
            <w:r>
              <w:rPr>
                <w:rFonts w:eastAsia="宋体"/>
                <w:sz w:val="18"/>
              </w:rPr>
              <w:t>-</w:t>
            </w:r>
            <w:r>
              <w:rPr>
                <w:rFonts w:hint="eastAsia" w:eastAsia="宋体"/>
                <w:sz w:val="18"/>
              </w:rPr>
              <w:t>药品</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519D740D">
            <w:pPr>
              <w:pStyle w:val="25"/>
              <w:autoSpaceDE/>
              <w:autoSpaceDN/>
              <w:snapToGrid w:val="0"/>
              <w:jc w:val="center"/>
              <w:rPr>
                <w:rFonts w:eastAsia="宋体"/>
                <w:sz w:val="18"/>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07F71074">
            <w:pPr>
              <w:pStyle w:val="25"/>
              <w:autoSpaceDE/>
              <w:autoSpaceDN/>
              <w:snapToGrid w:val="0"/>
              <w:jc w:val="center"/>
              <w:rPr>
                <w:rFonts w:eastAsia="宋体"/>
                <w:sz w:val="18"/>
              </w:rPr>
            </w:pPr>
            <w:r>
              <w:rPr>
                <w:rFonts w:eastAsia="宋体"/>
                <w:sz w:val="18"/>
              </w:rPr>
              <w:t>X</w:t>
            </w:r>
          </w:p>
        </w:tc>
        <w:tc>
          <w:tcPr>
            <w:tcW w:w="187" w:type="pct"/>
            <w:tcBorders>
              <w:top w:val="single" w:color="000000" w:sz="4" w:space="0"/>
              <w:left w:val="single" w:color="000000" w:sz="4" w:space="0"/>
              <w:bottom w:val="single" w:color="000000" w:sz="4" w:space="0"/>
            </w:tcBorders>
            <w:shd w:val="clear" w:color="auto" w:fill="auto"/>
          </w:tcPr>
          <w:p w14:paraId="0CB108E3">
            <w:pPr>
              <w:pStyle w:val="25"/>
              <w:autoSpaceDE/>
              <w:autoSpaceDN/>
              <w:snapToGrid w:val="0"/>
              <w:jc w:val="center"/>
              <w:rPr>
                <w:rFonts w:eastAsia="宋体"/>
                <w:sz w:val="18"/>
              </w:rPr>
            </w:pPr>
          </w:p>
        </w:tc>
        <w:tc>
          <w:tcPr>
            <w:tcW w:w="253" w:type="pct"/>
            <w:tcBorders>
              <w:top w:val="single" w:color="000000" w:sz="4" w:space="0"/>
              <w:bottom w:val="single" w:color="000000" w:sz="4" w:space="0"/>
              <w:right w:val="single" w:color="000000" w:sz="4" w:space="0"/>
            </w:tcBorders>
            <w:shd w:val="clear" w:color="auto" w:fill="auto"/>
          </w:tcPr>
          <w:p w14:paraId="5AA10B8B">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7B797E04">
            <w:pPr>
              <w:pStyle w:val="25"/>
              <w:autoSpaceDE/>
              <w:autoSpaceDN/>
              <w:snapToGrid w:val="0"/>
              <w:jc w:val="center"/>
              <w:rPr>
                <w:rFonts w:eastAsia="宋体"/>
                <w:sz w:val="18"/>
              </w:rPr>
            </w:pPr>
            <w:r>
              <w:rPr>
                <w:rFonts w:eastAsia="宋体"/>
                <w:sz w:val="18"/>
              </w:rPr>
              <w:t>X</w:t>
            </w:r>
          </w:p>
        </w:tc>
        <w:tc>
          <w:tcPr>
            <w:tcW w:w="535" w:type="pct"/>
            <w:gridSpan w:val="2"/>
            <w:vMerge w:val="continue"/>
            <w:tcBorders>
              <w:top w:val="nil"/>
              <w:left w:val="single" w:color="000000" w:sz="4" w:space="0"/>
              <w:right w:val="single" w:color="000000" w:sz="4" w:space="0"/>
            </w:tcBorders>
            <w:shd w:val="clear" w:color="auto" w:fill="DADADA"/>
          </w:tcPr>
          <w:p w14:paraId="18015D4F">
            <w:pPr>
              <w:autoSpaceDE/>
              <w:autoSpaceDN/>
              <w:snapToGrid w:val="0"/>
              <w:jc w:val="center"/>
              <w:rPr>
                <w:rFonts w:eastAsia="宋体"/>
                <w:sz w:val="18"/>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Pr>
          <w:p w14:paraId="04B74624">
            <w:pPr>
              <w:pStyle w:val="25"/>
              <w:autoSpaceDE/>
              <w:autoSpaceDN/>
              <w:snapToGrid w:val="0"/>
              <w:jc w:val="both"/>
              <w:rPr>
                <w:rFonts w:eastAsia="宋体"/>
                <w:sz w:val="18"/>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tcPr>
          <w:p w14:paraId="6942BD61">
            <w:pPr>
              <w:pStyle w:val="25"/>
              <w:autoSpaceDE/>
              <w:autoSpaceDN/>
              <w:snapToGrid w:val="0"/>
              <w:jc w:val="both"/>
              <w:rPr>
                <w:rFonts w:eastAsia="宋体"/>
                <w:sz w:val="18"/>
              </w:rPr>
            </w:pPr>
          </w:p>
        </w:tc>
        <w:tc>
          <w:tcPr>
            <w:tcW w:w="371" w:type="pct"/>
            <w:tcBorders>
              <w:top w:val="single" w:color="000000" w:sz="4" w:space="0"/>
              <w:left w:val="single" w:color="000000" w:sz="4" w:space="0"/>
              <w:bottom w:val="single" w:color="000000" w:sz="4" w:space="0"/>
            </w:tcBorders>
            <w:shd w:val="clear" w:color="auto" w:fill="auto"/>
          </w:tcPr>
          <w:p w14:paraId="6E198B00">
            <w:pPr>
              <w:pStyle w:val="25"/>
              <w:autoSpaceDE/>
              <w:autoSpaceDN/>
              <w:snapToGrid w:val="0"/>
              <w:jc w:val="both"/>
              <w:rPr>
                <w:rFonts w:eastAsia="宋体"/>
                <w:sz w:val="18"/>
              </w:rPr>
            </w:pPr>
          </w:p>
        </w:tc>
        <w:tc>
          <w:tcPr>
            <w:tcW w:w="1361" w:type="pct"/>
            <w:tcBorders>
              <w:top w:val="single" w:color="000000" w:sz="2" w:space="0"/>
              <w:bottom w:val="single" w:color="000000" w:sz="2" w:space="0"/>
            </w:tcBorders>
            <w:shd w:val="clear" w:color="auto" w:fill="auto"/>
          </w:tcPr>
          <w:p w14:paraId="608E4289">
            <w:pPr>
              <w:pStyle w:val="25"/>
              <w:autoSpaceDE/>
              <w:autoSpaceDN/>
              <w:snapToGrid w:val="0"/>
              <w:jc w:val="both"/>
              <w:rPr>
                <w:rFonts w:eastAsia="宋体"/>
                <w:sz w:val="18"/>
              </w:rPr>
            </w:pPr>
          </w:p>
        </w:tc>
      </w:tr>
      <w:tr w14:paraId="00D454D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3941FB45">
            <w:pPr>
              <w:autoSpaceDE/>
              <w:autoSpaceDN/>
              <w:snapToGrid w:val="0"/>
              <w:jc w:val="both"/>
              <w:rPr>
                <w:rFonts w:eastAsia="宋体"/>
                <w:sz w:val="18"/>
              </w:rPr>
            </w:pPr>
          </w:p>
        </w:tc>
        <w:tc>
          <w:tcPr>
            <w:tcW w:w="730" w:type="pct"/>
            <w:tcBorders>
              <w:top w:val="single" w:color="000000" w:sz="4" w:space="0"/>
              <w:left w:val="single" w:color="000000" w:sz="4" w:space="0"/>
            </w:tcBorders>
            <w:shd w:val="clear" w:color="auto" w:fill="auto"/>
          </w:tcPr>
          <w:p w14:paraId="6D4E1A8A">
            <w:pPr>
              <w:pStyle w:val="25"/>
              <w:autoSpaceDE/>
              <w:autoSpaceDN/>
              <w:snapToGrid w:val="0"/>
              <w:jc w:val="both"/>
              <w:rPr>
                <w:rFonts w:eastAsia="宋体"/>
                <w:sz w:val="18"/>
                <w:lang w:eastAsia="zh-CN"/>
              </w:rPr>
            </w:pPr>
            <w:r>
              <w:rPr>
                <w:rFonts w:hint="eastAsia" w:eastAsia="宋体"/>
                <w:sz w:val="18"/>
                <w:lang w:eastAsia="zh-CN"/>
              </w:rPr>
              <w:t>生物制品</w:t>
            </w:r>
            <w:r>
              <w:rPr>
                <w:rFonts w:eastAsia="宋体"/>
                <w:sz w:val="18"/>
                <w:lang w:eastAsia="zh-CN"/>
              </w:rPr>
              <w:t>-</w:t>
            </w:r>
            <w:r>
              <w:rPr>
                <w:rFonts w:hint="eastAsia" w:eastAsia="宋体"/>
                <w:sz w:val="18"/>
                <w:lang w:eastAsia="zh-CN"/>
              </w:rPr>
              <w:t>药品</w:t>
            </w:r>
            <w:r>
              <w:rPr>
                <w:rFonts w:eastAsia="宋体"/>
                <w:sz w:val="18"/>
                <w:lang w:eastAsia="zh-CN"/>
              </w:rPr>
              <w:t>-</w:t>
            </w:r>
            <w:r>
              <w:rPr>
                <w:rFonts w:hint="eastAsia" w:eastAsia="宋体"/>
                <w:sz w:val="18"/>
                <w:lang w:eastAsia="zh-CN"/>
              </w:rPr>
              <w:t>器械</w:t>
            </w:r>
            <w:r>
              <w:rPr>
                <w:rFonts w:eastAsia="宋体"/>
                <w:sz w:val="18"/>
                <w:lang w:eastAsia="zh-CN"/>
              </w:rPr>
              <w:t>CP</w:t>
            </w:r>
          </w:p>
        </w:tc>
        <w:tc>
          <w:tcPr>
            <w:tcW w:w="222" w:type="pct"/>
            <w:tcBorders>
              <w:top w:val="single" w:color="000000" w:sz="4" w:space="0"/>
              <w:right w:val="single" w:color="000000" w:sz="4" w:space="0"/>
            </w:tcBorders>
            <w:shd w:val="clear" w:color="auto" w:fill="auto"/>
          </w:tcPr>
          <w:p w14:paraId="344994DF">
            <w:pPr>
              <w:pStyle w:val="25"/>
              <w:autoSpaceDE/>
              <w:autoSpaceDN/>
              <w:snapToGrid w:val="0"/>
              <w:jc w:val="center"/>
              <w:rPr>
                <w:rFonts w:eastAsia="宋体"/>
                <w:sz w:val="18"/>
                <w:lang w:eastAsia="zh-CN"/>
              </w:rPr>
            </w:pPr>
          </w:p>
        </w:tc>
        <w:tc>
          <w:tcPr>
            <w:tcW w:w="197" w:type="pct"/>
            <w:tcBorders>
              <w:top w:val="single" w:color="000000" w:sz="4" w:space="0"/>
              <w:left w:val="single" w:color="000000" w:sz="4" w:space="0"/>
              <w:right w:val="single" w:color="000000" w:sz="4" w:space="0"/>
            </w:tcBorders>
            <w:shd w:val="clear" w:color="auto" w:fill="auto"/>
          </w:tcPr>
          <w:p w14:paraId="7E9576D5">
            <w:pPr>
              <w:pStyle w:val="25"/>
              <w:autoSpaceDE/>
              <w:autoSpaceDN/>
              <w:snapToGrid w:val="0"/>
              <w:jc w:val="center"/>
              <w:rPr>
                <w:rFonts w:eastAsia="宋体"/>
                <w:sz w:val="18"/>
              </w:rPr>
            </w:pPr>
            <w:r>
              <w:rPr>
                <w:rFonts w:eastAsia="宋体"/>
                <w:sz w:val="18"/>
              </w:rPr>
              <w:t>X</w:t>
            </w:r>
          </w:p>
        </w:tc>
        <w:tc>
          <w:tcPr>
            <w:tcW w:w="187" w:type="pct"/>
            <w:tcBorders>
              <w:top w:val="single" w:color="000000" w:sz="4" w:space="0"/>
              <w:left w:val="single" w:color="000000" w:sz="4" w:space="0"/>
            </w:tcBorders>
            <w:shd w:val="clear" w:color="auto" w:fill="auto"/>
          </w:tcPr>
          <w:p w14:paraId="5DB02E9A">
            <w:pPr>
              <w:pStyle w:val="25"/>
              <w:autoSpaceDE/>
              <w:autoSpaceDN/>
              <w:snapToGrid w:val="0"/>
              <w:jc w:val="center"/>
              <w:rPr>
                <w:rFonts w:eastAsia="宋体"/>
                <w:sz w:val="18"/>
              </w:rPr>
            </w:pPr>
          </w:p>
        </w:tc>
        <w:tc>
          <w:tcPr>
            <w:tcW w:w="253" w:type="pct"/>
            <w:tcBorders>
              <w:top w:val="single" w:color="000000" w:sz="4" w:space="0"/>
              <w:right w:val="single" w:color="000000" w:sz="4" w:space="0"/>
            </w:tcBorders>
            <w:shd w:val="clear" w:color="auto" w:fill="auto"/>
          </w:tcPr>
          <w:p w14:paraId="28A88BB0">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right w:val="single" w:color="000000" w:sz="4" w:space="0"/>
            </w:tcBorders>
            <w:shd w:val="clear" w:color="auto" w:fill="auto"/>
          </w:tcPr>
          <w:p w14:paraId="566C4071">
            <w:pPr>
              <w:pStyle w:val="25"/>
              <w:autoSpaceDE/>
              <w:autoSpaceDN/>
              <w:snapToGrid w:val="0"/>
              <w:jc w:val="center"/>
              <w:rPr>
                <w:rFonts w:eastAsia="宋体"/>
                <w:sz w:val="18"/>
              </w:rPr>
            </w:pPr>
            <w:r>
              <w:rPr>
                <w:rFonts w:eastAsia="宋体"/>
                <w:sz w:val="18"/>
              </w:rPr>
              <w:t>X</w:t>
            </w:r>
          </w:p>
        </w:tc>
        <w:tc>
          <w:tcPr>
            <w:tcW w:w="535" w:type="pct"/>
            <w:gridSpan w:val="2"/>
            <w:vMerge w:val="continue"/>
            <w:tcBorders>
              <w:top w:val="nil"/>
              <w:left w:val="single" w:color="000000" w:sz="4" w:space="0"/>
              <w:right w:val="single" w:color="000000" w:sz="4" w:space="0"/>
            </w:tcBorders>
            <w:shd w:val="clear" w:color="auto" w:fill="DADADA"/>
          </w:tcPr>
          <w:p w14:paraId="443978A3">
            <w:pPr>
              <w:autoSpaceDE/>
              <w:autoSpaceDN/>
              <w:snapToGrid w:val="0"/>
              <w:jc w:val="center"/>
              <w:rPr>
                <w:rFonts w:eastAsia="宋体"/>
                <w:sz w:val="18"/>
              </w:rPr>
            </w:pPr>
          </w:p>
        </w:tc>
        <w:tc>
          <w:tcPr>
            <w:tcW w:w="292" w:type="pct"/>
            <w:tcBorders>
              <w:top w:val="single" w:color="000000" w:sz="4" w:space="0"/>
              <w:left w:val="single" w:color="000000" w:sz="4" w:space="0"/>
              <w:right w:val="single" w:color="000000" w:sz="4" w:space="0"/>
            </w:tcBorders>
            <w:shd w:val="clear" w:color="auto" w:fill="auto"/>
          </w:tcPr>
          <w:p w14:paraId="4AE8EF7B">
            <w:pPr>
              <w:pStyle w:val="25"/>
              <w:autoSpaceDE/>
              <w:autoSpaceDN/>
              <w:snapToGrid w:val="0"/>
              <w:jc w:val="both"/>
              <w:rPr>
                <w:rFonts w:eastAsia="宋体"/>
                <w:sz w:val="18"/>
              </w:rPr>
            </w:pPr>
            <w:r>
              <w:rPr>
                <w:rFonts w:eastAsia="宋体"/>
                <w:sz w:val="18"/>
              </w:rPr>
              <w:t>X</w:t>
            </w:r>
          </w:p>
        </w:tc>
        <w:tc>
          <w:tcPr>
            <w:tcW w:w="249" w:type="pct"/>
            <w:tcBorders>
              <w:top w:val="single" w:color="000000" w:sz="4" w:space="0"/>
              <w:left w:val="single" w:color="000000" w:sz="4" w:space="0"/>
              <w:right w:val="single" w:color="000000" w:sz="4" w:space="0"/>
            </w:tcBorders>
            <w:shd w:val="clear" w:color="auto" w:fill="auto"/>
          </w:tcPr>
          <w:p w14:paraId="4CAB348B">
            <w:pPr>
              <w:pStyle w:val="25"/>
              <w:autoSpaceDE/>
              <w:autoSpaceDN/>
              <w:snapToGrid w:val="0"/>
              <w:jc w:val="both"/>
              <w:rPr>
                <w:rFonts w:eastAsia="宋体"/>
                <w:sz w:val="18"/>
              </w:rPr>
            </w:pPr>
            <w:r>
              <w:rPr>
                <w:rFonts w:eastAsia="宋体"/>
                <w:sz w:val="18"/>
              </w:rPr>
              <w:t>X</w:t>
            </w:r>
          </w:p>
        </w:tc>
        <w:tc>
          <w:tcPr>
            <w:tcW w:w="371" w:type="pct"/>
            <w:tcBorders>
              <w:top w:val="single" w:color="000000" w:sz="4" w:space="0"/>
              <w:left w:val="single" w:color="000000" w:sz="4" w:space="0"/>
            </w:tcBorders>
            <w:shd w:val="clear" w:color="auto" w:fill="auto"/>
          </w:tcPr>
          <w:p w14:paraId="7EECCA17">
            <w:pPr>
              <w:pStyle w:val="25"/>
              <w:autoSpaceDE/>
              <w:autoSpaceDN/>
              <w:snapToGrid w:val="0"/>
              <w:jc w:val="both"/>
              <w:rPr>
                <w:rFonts w:eastAsia="宋体"/>
                <w:sz w:val="18"/>
              </w:rPr>
            </w:pPr>
            <w:r>
              <w:rPr>
                <w:rFonts w:eastAsia="宋体"/>
                <w:sz w:val="18"/>
              </w:rPr>
              <w:t>X</w:t>
            </w:r>
          </w:p>
        </w:tc>
        <w:tc>
          <w:tcPr>
            <w:tcW w:w="1361" w:type="pct"/>
            <w:tcBorders>
              <w:top w:val="single" w:color="000000" w:sz="2" w:space="0"/>
            </w:tcBorders>
            <w:shd w:val="clear" w:color="auto" w:fill="auto"/>
          </w:tcPr>
          <w:p w14:paraId="41885093">
            <w:pPr>
              <w:pStyle w:val="25"/>
              <w:autoSpaceDE/>
              <w:autoSpaceDN/>
              <w:snapToGrid w:val="0"/>
              <w:jc w:val="both"/>
              <w:rPr>
                <w:rFonts w:eastAsia="宋体"/>
                <w:sz w:val="18"/>
                <w:lang w:eastAsia="zh-CN"/>
              </w:rPr>
            </w:pPr>
            <w:r>
              <w:rPr>
                <w:rFonts w:hint="eastAsia" w:eastAsia="宋体"/>
                <w:sz w:val="18"/>
                <w:lang w:eastAsia="zh-CN"/>
              </w:rPr>
              <w:t>在定期安全性报告（</w:t>
            </w:r>
            <w:r>
              <w:rPr>
                <w:rFonts w:hint="eastAsia" w:eastAsia="宋体"/>
                <w:snapToGrid w:val="0"/>
                <w:sz w:val="18"/>
                <w:szCs w:val="18"/>
                <w:lang w:eastAsia="zh-CN"/>
              </w:rPr>
              <w:t>《美国联邦法规》第21篇第4</w:t>
            </w:r>
            <w:r>
              <w:rPr>
                <w:rFonts w:eastAsia="宋体"/>
                <w:sz w:val="18"/>
                <w:lang w:eastAsia="zh-CN"/>
              </w:rPr>
              <w:t>.102</w:t>
            </w:r>
            <w:r>
              <w:rPr>
                <w:rFonts w:hint="eastAsia" w:eastAsia="宋体"/>
                <w:snapToGrid w:val="0"/>
                <w:sz w:val="18"/>
                <w:szCs w:val="18"/>
                <w:lang w:eastAsia="zh-CN"/>
              </w:rPr>
              <w:t>（</w:t>
            </w:r>
            <w:r>
              <w:rPr>
                <w:rFonts w:eastAsia="宋体"/>
                <w:sz w:val="18"/>
                <w:lang w:eastAsia="zh-CN"/>
              </w:rPr>
              <w:t>d</w:t>
            </w:r>
            <w:r>
              <w:rPr>
                <w:rFonts w:hint="eastAsia" w:eastAsia="宋体"/>
                <w:snapToGrid w:val="0"/>
                <w:sz w:val="18"/>
                <w:szCs w:val="18"/>
                <w:lang w:eastAsia="zh-CN"/>
              </w:rPr>
              <w:t>）节</w:t>
            </w:r>
            <w:r>
              <w:rPr>
                <w:rFonts w:hint="eastAsia" w:eastAsia="宋体"/>
                <w:sz w:val="18"/>
                <w:lang w:eastAsia="zh-CN"/>
              </w:rPr>
              <w:t>）中说明</w:t>
            </w:r>
            <w:r>
              <w:rPr>
                <w:rFonts w:eastAsia="宋体"/>
                <w:sz w:val="18"/>
                <w:lang w:eastAsia="zh-CN"/>
              </w:rPr>
              <w:t>5</w:t>
            </w:r>
            <w:r>
              <w:rPr>
                <w:rFonts w:hint="eastAsia" w:eastAsia="宋体"/>
                <w:sz w:val="18"/>
                <w:lang w:eastAsia="zh-CN"/>
              </w:rPr>
              <w:t>天报告和故障报告</w:t>
            </w:r>
          </w:p>
        </w:tc>
      </w:tr>
      <w:tr w14:paraId="7927E28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restart"/>
            <w:tcBorders>
              <w:right w:val="single" w:color="000000" w:sz="4" w:space="0"/>
            </w:tcBorders>
            <w:shd w:val="clear" w:color="auto" w:fill="auto"/>
          </w:tcPr>
          <w:p w14:paraId="7A0B1025">
            <w:pPr>
              <w:pStyle w:val="25"/>
              <w:autoSpaceDE/>
              <w:autoSpaceDN/>
              <w:snapToGrid w:val="0"/>
              <w:jc w:val="both"/>
              <w:rPr>
                <w:rFonts w:eastAsia="宋体"/>
                <w:sz w:val="18"/>
                <w:lang w:eastAsia="zh-CN"/>
              </w:rPr>
            </w:pPr>
            <w:r>
              <w:rPr>
                <w:rFonts w:hint="eastAsia" w:eastAsia="宋体"/>
                <w:sz w:val="18"/>
                <w:lang w:eastAsia="zh-CN"/>
              </w:rPr>
              <w:t>器械申请（</w:t>
            </w:r>
            <w:r>
              <w:rPr>
                <w:rFonts w:eastAsia="宋体"/>
                <w:sz w:val="18"/>
                <w:lang w:eastAsia="zh-CN"/>
              </w:rPr>
              <w:t>PMA</w:t>
            </w:r>
            <w:r>
              <w:rPr>
                <w:rFonts w:hint="eastAsia" w:eastAsia="宋体"/>
                <w:sz w:val="18"/>
                <w:lang w:eastAsia="zh-CN"/>
              </w:rPr>
              <w:t>、</w:t>
            </w:r>
            <w:r>
              <w:rPr>
                <w:rFonts w:eastAsia="宋体"/>
                <w:sz w:val="18"/>
                <w:lang w:eastAsia="zh-CN"/>
              </w:rPr>
              <w:t>510</w:t>
            </w:r>
            <w:r>
              <w:rPr>
                <w:rFonts w:hint="eastAsia" w:eastAsia="宋体"/>
                <w:snapToGrid w:val="0"/>
                <w:sz w:val="18"/>
                <w:szCs w:val="18"/>
                <w:lang w:eastAsia="zh-CN"/>
              </w:rPr>
              <w:t>（</w:t>
            </w:r>
            <w:r>
              <w:rPr>
                <w:rFonts w:eastAsia="宋体"/>
                <w:sz w:val="18"/>
                <w:lang w:eastAsia="zh-CN"/>
              </w:rPr>
              <w:t>k</w:t>
            </w:r>
            <w:r>
              <w:rPr>
                <w:rFonts w:hint="eastAsia" w:eastAsia="宋体"/>
                <w:snapToGrid w:val="0"/>
                <w:sz w:val="18"/>
                <w:szCs w:val="18"/>
                <w:lang w:eastAsia="zh-CN"/>
              </w:rPr>
              <w:t>）</w:t>
            </w:r>
            <w:r>
              <w:rPr>
                <w:rFonts w:hint="eastAsia" w:eastAsia="宋体"/>
                <w:sz w:val="18"/>
                <w:lang w:eastAsia="zh-CN"/>
              </w:rPr>
              <w:t>、</w:t>
            </w:r>
            <w:r>
              <w:rPr>
                <w:rFonts w:eastAsia="宋体"/>
                <w:sz w:val="18"/>
                <w:lang w:eastAsia="zh-CN"/>
              </w:rPr>
              <w:t>HDE</w:t>
            </w:r>
            <w:r>
              <w:rPr>
                <w:rFonts w:hint="eastAsia" w:eastAsia="宋体"/>
                <w:sz w:val="18"/>
                <w:lang w:eastAsia="zh-CN"/>
              </w:rPr>
              <w:t>、</w:t>
            </w:r>
            <w:r>
              <w:rPr>
                <w:rFonts w:eastAsia="宋体"/>
                <w:sz w:val="18"/>
                <w:lang w:eastAsia="zh-CN"/>
              </w:rPr>
              <w:t>PDP</w:t>
            </w:r>
            <w:r>
              <w:rPr>
                <w:rFonts w:hint="eastAsia" w:eastAsia="宋体"/>
                <w:sz w:val="18"/>
                <w:lang w:eastAsia="zh-CN"/>
              </w:rPr>
              <w:t>、新发）</w:t>
            </w:r>
          </w:p>
        </w:tc>
        <w:tc>
          <w:tcPr>
            <w:tcW w:w="730" w:type="pct"/>
            <w:tcBorders>
              <w:left w:val="single" w:color="000000" w:sz="4" w:space="0"/>
              <w:bottom w:val="single" w:color="000000" w:sz="4" w:space="0"/>
            </w:tcBorders>
            <w:shd w:val="clear" w:color="auto" w:fill="auto"/>
          </w:tcPr>
          <w:p w14:paraId="17C2C7AC">
            <w:pPr>
              <w:pStyle w:val="25"/>
              <w:autoSpaceDE/>
              <w:autoSpaceDN/>
              <w:snapToGrid w:val="0"/>
              <w:jc w:val="both"/>
              <w:rPr>
                <w:rFonts w:eastAsia="宋体"/>
                <w:sz w:val="18"/>
              </w:rPr>
            </w:pPr>
            <w:r>
              <w:rPr>
                <w:rFonts w:hint="eastAsia" w:eastAsia="宋体"/>
                <w:sz w:val="18"/>
              </w:rPr>
              <w:t>器械组成部分</w:t>
            </w:r>
          </w:p>
        </w:tc>
        <w:tc>
          <w:tcPr>
            <w:tcW w:w="222" w:type="pct"/>
            <w:tcBorders>
              <w:bottom w:val="single" w:color="000000" w:sz="4" w:space="0"/>
              <w:right w:val="single" w:color="000000" w:sz="4" w:space="0"/>
            </w:tcBorders>
            <w:shd w:val="clear" w:color="auto" w:fill="auto"/>
          </w:tcPr>
          <w:p w14:paraId="2224A530">
            <w:pPr>
              <w:pStyle w:val="25"/>
              <w:autoSpaceDE/>
              <w:autoSpaceDN/>
              <w:snapToGrid w:val="0"/>
              <w:jc w:val="center"/>
              <w:rPr>
                <w:rFonts w:eastAsia="宋体"/>
                <w:sz w:val="18"/>
              </w:rPr>
            </w:pPr>
          </w:p>
        </w:tc>
        <w:tc>
          <w:tcPr>
            <w:tcW w:w="197" w:type="pct"/>
            <w:tcBorders>
              <w:left w:val="single" w:color="000000" w:sz="4" w:space="0"/>
              <w:bottom w:val="single" w:color="000000" w:sz="4" w:space="0"/>
              <w:right w:val="single" w:color="000000" w:sz="4" w:space="0"/>
            </w:tcBorders>
            <w:shd w:val="clear" w:color="auto" w:fill="auto"/>
          </w:tcPr>
          <w:p w14:paraId="12186E92">
            <w:pPr>
              <w:pStyle w:val="25"/>
              <w:autoSpaceDE/>
              <w:autoSpaceDN/>
              <w:snapToGrid w:val="0"/>
              <w:jc w:val="center"/>
              <w:rPr>
                <w:rFonts w:eastAsia="宋体"/>
                <w:sz w:val="18"/>
              </w:rPr>
            </w:pPr>
          </w:p>
        </w:tc>
        <w:tc>
          <w:tcPr>
            <w:tcW w:w="187" w:type="pct"/>
            <w:tcBorders>
              <w:left w:val="single" w:color="000000" w:sz="4" w:space="0"/>
              <w:bottom w:val="single" w:color="000000" w:sz="4" w:space="0"/>
            </w:tcBorders>
            <w:shd w:val="clear" w:color="auto" w:fill="auto"/>
          </w:tcPr>
          <w:p w14:paraId="1183DAE4">
            <w:pPr>
              <w:pStyle w:val="25"/>
              <w:autoSpaceDE/>
              <w:autoSpaceDN/>
              <w:snapToGrid w:val="0"/>
              <w:jc w:val="center"/>
              <w:rPr>
                <w:rFonts w:eastAsia="宋体"/>
                <w:sz w:val="18"/>
              </w:rPr>
            </w:pPr>
            <w:r>
              <w:rPr>
                <w:rFonts w:eastAsia="宋体"/>
                <w:sz w:val="18"/>
              </w:rPr>
              <w:t>X</w:t>
            </w:r>
          </w:p>
        </w:tc>
        <w:tc>
          <w:tcPr>
            <w:tcW w:w="253" w:type="pct"/>
            <w:tcBorders>
              <w:bottom w:val="single" w:color="000000" w:sz="4" w:space="0"/>
              <w:right w:val="single" w:color="000000" w:sz="4" w:space="0"/>
            </w:tcBorders>
            <w:shd w:val="clear" w:color="auto" w:fill="auto"/>
          </w:tcPr>
          <w:p w14:paraId="2E4130F4">
            <w:pPr>
              <w:pStyle w:val="25"/>
              <w:autoSpaceDE/>
              <w:autoSpaceDN/>
              <w:snapToGrid w:val="0"/>
              <w:jc w:val="center"/>
              <w:rPr>
                <w:rFonts w:eastAsia="宋体"/>
                <w:sz w:val="18"/>
              </w:rPr>
            </w:pPr>
          </w:p>
        </w:tc>
        <w:tc>
          <w:tcPr>
            <w:tcW w:w="236" w:type="pct"/>
            <w:tcBorders>
              <w:left w:val="single" w:color="000000" w:sz="4" w:space="0"/>
              <w:bottom w:val="single" w:color="000000" w:sz="4" w:space="0"/>
              <w:right w:val="single" w:color="000000" w:sz="4" w:space="0"/>
            </w:tcBorders>
            <w:shd w:val="clear" w:color="auto" w:fill="auto"/>
          </w:tcPr>
          <w:p w14:paraId="42ABA98D">
            <w:pPr>
              <w:pStyle w:val="25"/>
              <w:autoSpaceDE/>
              <w:autoSpaceDN/>
              <w:snapToGrid w:val="0"/>
              <w:jc w:val="center"/>
              <w:rPr>
                <w:rFonts w:eastAsia="宋体"/>
                <w:sz w:val="18"/>
              </w:rPr>
            </w:pPr>
          </w:p>
        </w:tc>
        <w:tc>
          <w:tcPr>
            <w:tcW w:w="299" w:type="pct"/>
            <w:tcBorders>
              <w:left w:val="single" w:color="000000" w:sz="4" w:space="0"/>
              <w:bottom w:val="single" w:color="000000" w:sz="4" w:space="0"/>
              <w:right w:val="single" w:color="000000" w:sz="4" w:space="0"/>
            </w:tcBorders>
            <w:shd w:val="clear" w:color="auto" w:fill="auto"/>
          </w:tcPr>
          <w:p w14:paraId="57E4C2D5">
            <w:pPr>
              <w:pStyle w:val="25"/>
              <w:autoSpaceDE/>
              <w:autoSpaceDN/>
              <w:snapToGrid w:val="0"/>
              <w:jc w:val="center"/>
              <w:rPr>
                <w:rFonts w:eastAsia="宋体"/>
                <w:sz w:val="18"/>
              </w:rPr>
            </w:pPr>
          </w:p>
        </w:tc>
        <w:tc>
          <w:tcPr>
            <w:tcW w:w="236" w:type="pct"/>
            <w:tcBorders>
              <w:left w:val="single" w:color="000000" w:sz="4" w:space="0"/>
              <w:bottom w:val="single" w:color="000000" w:sz="4" w:space="0"/>
              <w:right w:val="single" w:color="000000" w:sz="4" w:space="0"/>
            </w:tcBorders>
            <w:shd w:val="clear" w:color="auto" w:fill="auto"/>
          </w:tcPr>
          <w:p w14:paraId="3E0276CF">
            <w:pPr>
              <w:pStyle w:val="25"/>
              <w:autoSpaceDE/>
              <w:autoSpaceDN/>
              <w:snapToGrid w:val="0"/>
              <w:jc w:val="center"/>
              <w:rPr>
                <w:rFonts w:eastAsia="宋体"/>
                <w:sz w:val="18"/>
              </w:rPr>
            </w:pPr>
          </w:p>
        </w:tc>
        <w:tc>
          <w:tcPr>
            <w:tcW w:w="912" w:type="pct"/>
            <w:gridSpan w:val="3"/>
            <w:vMerge w:val="restart"/>
            <w:tcBorders>
              <w:left w:val="single" w:color="000000" w:sz="4" w:space="0"/>
            </w:tcBorders>
            <w:shd w:val="clear" w:color="auto" w:fill="DADADA"/>
            <w:vAlign w:val="center"/>
          </w:tcPr>
          <w:p w14:paraId="64CCC55F">
            <w:pPr>
              <w:pStyle w:val="25"/>
              <w:autoSpaceDE/>
              <w:autoSpaceDN/>
              <w:snapToGrid w:val="0"/>
              <w:jc w:val="center"/>
              <w:rPr>
                <w:rFonts w:eastAsia="宋体"/>
                <w:sz w:val="18"/>
                <w:lang w:eastAsia="zh-CN"/>
              </w:rPr>
            </w:pPr>
            <w:r>
              <w:rPr>
                <w:rFonts w:hint="eastAsia" w:eastAsia="宋体"/>
                <w:sz w:val="18"/>
                <w:lang w:eastAsia="zh-CN"/>
              </w:rPr>
              <w:t>基于申请类型的要求涵盖</w:t>
            </w:r>
          </w:p>
        </w:tc>
        <w:tc>
          <w:tcPr>
            <w:tcW w:w="1361" w:type="pct"/>
            <w:tcBorders>
              <w:bottom w:val="single" w:color="000000" w:sz="2" w:space="0"/>
            </w:tcBorders>
            <w:shd w:val="clear" w:color="auto" w:fill="auto"/>
          </w:tcPr>
          <w:p w14:paraId="06FAF134">
            <w:pPr>
              <w:pStyle w:val="25"/>
              <w:autoSpaceDE/>
              <w:autoSpaceDN/>
              <w:snapToGrid w:val="0"/>
              <w:jc w:val="both"/>
              <w:rPr>
                <w:rFonts w:eastAsia="宋体"/>
                <w:sz w:val="18"/>
                <w:lang w:eastAsia="zh-CN"/>
              </w:rPr>
            </w:pPr>
            <w:r>
              <w:rPr>
                <w:rFonts w:hint="eastAsia" w:eastAsia="宋体"/>
                <w:sz w:val="18"/>
                <w:lang w:eastAsia="zh-CN"/>
              </w:rPr>
              <w:t>与其他组成部分申请人共享信息（</w:t>
            </w:r>
            <w:r>
              <w:rPr>
                <w:rFonts w:hint="eastAsia" w:eastAsia="宋体"/>
                <w:snapToGrid w:val="0"/>
                <w:sz w:val="18"/>
                <w:szCs w:val="18"/>
                <w:lang w:eastAsia="zh-CN"/>
              </w:rPr>
              <w:t>《美国联邦法规》第21篇第4</w:t>
            </w:r>
            <w:r>
              <w:rPr>
                <w:rFonts w:eastAsia="宋体"/>
                <w:sz w:val="18"/>
                <w:lang w:eastAsia="zh-CN"/>
              </w:rPr>
              <w:t>.103</w:t>
            </w:r>
            <w:r>
              <w:rPr>
                <w:rFonts w:hint="eastAsia" w:eastAsia="宋体"/>
                <w:snapToGrid w:val="0"/>
                <w:sz w:val="18"/>
                <w:szCs w:val="18"/>
                <w:lang w:eastAsia="zh-CN"/>
              </w:rPr>
              <w:t>节</w:t>
            </w:r>
            <w:r>
              <w:rPr>
                <w:rFonts w:hint="eastAsia" w:eastAsia="宋体"/>
                <w:sz w:val="18"/>
                <w:lang w:eastAsia="zh-CN"/>
              </w:rPr>
              <w:t>）</w:t>
            </w:r>
          </w:p>
        </w:tc>
      </w:tr>
      <w:tr w14:paraId="5B922F3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00CC0570">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17652146">
            <w:pPr>
              <w:pStyle w:val="25"/>
              <w:autoSpaceDE/>
              <w:autoSpaceDN/>
              <w:snapToGrid w:val="0"/>
              <w:jc w:val="both"/>
              <w:rPr>
                <w:rFonts w:eastAsia="宋体"/>
                <w:sz w:val="18"/>
              </w:rPr>
            </w:pPr>
            <w:r>
              <w:rPr>
                <w:rFonts w:hint="eastAsia" w:eastAsia="宋体"/>
                <w:sz w:val="18"/>
              </w:rPr>
              <w:t>器械</w:t>
            </w:r>
            <w:r>
              <w:rPr>
                <w:rFonts w:eastAsia="宋体"/>
                <w:sz w:val="18"/>
              </w:rPr>
              <w:t>-</w:t>
            </w:r>
            <w:r>
              <w:rPr>
                <w:rFonts w:hint="eastAsia" w:eastAsia="宋体"/>
                <w:sz w:val="18"/>
              </w:rPr>
              <w:t>药品</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57BA5C98">
            <w:pPr>
              <w:pStyle w:val="25"/>
              <w:autoSpaceDE/>
              <w:autoSpaceDN/>
              <w:snapToGrid w:val="0"/>
              <w:jc w:val="center"/>
              <w:rPr>
                <w:rFonts w:eastAsia="宋体"/>
                <w:sz w:val="18"/>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5FAB447E">
            <w:pPr>
              <w:pStyle w:val="25"/>
              <w:autoSpaceDE/>
              <w:autoSpaceDN/>
              <w:snapToGrid w:val="0"/>
              <w:jc w:val="center"/>
              <w:rPr>
                <w:rFonts w:eastAsia="宋体"/>
                <w:sz w:val="18"/>
              </w:rPr>
            </w:pPr>
          </w:p>
        </w:tc>
        <w:tc>
          <w:tcPr>
            <w:tcW w:w="187" w:type="pct"/>
            <w:tcBorders>
              <w:top w:val="single" w:color="000000" w:sz="4" w:space="0"/>
              <w:left w:val="single" w:color="000000" w:sz="4" w:space="0"/>
              <w:bottom w:val="single" w:color="000000" w:sz="4" w:space="0"/>
            </w:tcBorders>
            <w:shd w:val="clear" w:color="auto" w:fill="auto"/>
          </w:tcPr>
          <w:p w14:paraId="2FB977B7">
            <w:pPr>
              <w:pStyle w:val="25"/>
              <w:autoSpaceDE/>
              <w:autoSpaceDN/>
              <w:snapToGrid w:val="0"/>
              <w:jc w:val="center"/>
              <w:rPr>
                <w:rFonts w:eastAsia="宋体"/>
                <w:sz w:val="18"/>
              </w:rPr>
            </w:pPr>
            <w:r>
              <w:rPr>
                <w:rFonts w:eastAsia="宋体"/>
                <w:sz w:val="18"/>
              </w:rPr>
              <w:t>X</w:t>
            </w:r>
          </w:p>
        </w:tc>
        <w:tc>
          <w:tcPr>
            <w:tcW w:w="253" w:type="pct"/>
            <w:tcBorders>
              <w:top w:val="single" w:color="000000" w:sz="4" w:space="0"/>
              <w:bottom w:val="single" w:color="000000" w:sz="4" w:space="0"/>
              <w:right w:val="single" w:color="000000" w:sz="4" w:space="0"/>
            </w:tcBorders>
            <w:shd w:val="clear" w:color="auto" w:fill="auto"/>
          </w:tcPr>
          <w:p w14:paraId="72FA1492">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6D34ED89">
            <w:pPr>
              <w:pStyle w:val="25"/>
              <w:autoSpaceDE/>
              <w:autoSpaceDN/>
              <w:snapToGrid w:val="0"/>
              <w:jc w:val="center"/>
              <w:rPr>
                <w:rFonts w:eastAsia="宋体"/>
                <w:sz w:val="18"/>
              </w:rPr>
            </w:pPr>
            <w:r>
              <w:rPr>
                <w:rFonts w:eastAsia="宋体"/>
                <w:sz w:val="18"/>
              </w:rPr>
              <w:t>X</w:t>
            </w:r>
          </w:p>
        </w:tc>
        <w:tc>
          <w:tcPr>
            <w:tcW w:w="299" w:type="pct"/>
            <w:tcBorders>
              <w:top w:val="single" w:color="000000" w:sz="4" w:space="0"/>
              <w:left w:val="single" w:color="000000" w:sz="4" w:space="0"/>
              <w:bottom w:val="single" w:color="000000" w:sz="4" w:space="0"/>
              <w:right w:val="single" w:color="000000" w:sz="4" w:space="0"/>
            </w:tcBorders>
            <w:shd w:val="clear" w:color="auto" w:fill="auto"/>
          </w:tcPr>
          <w:p w14:paraId="624DAF71">
            <w:pPr>
              <w:pStyle w:val="25"/>
              <w:autoSpaceDE/>
              <w:autoSpaceDN/>
              <w:snapToGrid w:val="0"/>
              <w:jc w:val="center"/>
              <w:rPr>
                <w:rFonts w:eastAsia="宋体"/>
                <w:sz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48BBF933">
            <w:pPr>
              <w:pStyle w:val="25"/>
              <w:autoSpaceDE/>
              <w:autoSpaceDN/>
              <w:snapToGrid w:val="0"/>
              <w:jc w:val="center"/>
              <w:rPr>
                <w:rFonts w:eastAsia="宋体"/>
                <w:sz w:val="18"/>
              </w:rPr>
            </w:pPr>
          </w:p>
        </w:tc>
        <w:tc>
          <w:tcPr>
            <w:tcW w:w="912" w:type="pct"/>
            <w:gridSpan w:val="3"/>
            <w:vMerge w:val="continue"/>
            <w:tcBorders>
              <w:top w:val="nil"/>
              <w:left w:val="single" w:color="000000" w:sz="4" w:space="0"/>
            </w:tcBorders>
            <w:shd w:val="clear" w:color="auto" w:fill="DADADA"/>
          </w:tcPr>
          <w:p w14:paraId="2284720B">
            <w:pPr>
              <w:autoSpaceDE/>
              <w:autoSpaceDN/>
              <w:snapToGrid w:val="0"/>
              <w:jc w:val="center"/>
              <w:rPr>
                <w:rFonts w:eastAsia="宋体"/>
                <w:sz w:val="18"/>
              </w:rPr>
            </w:pPr>
          </w:p>
        </w:tc>
        <w:tc>
          <w:tcPr>
            <w:tcW w:w="1361" w:type="pct"/>
            <w:vMerge w:val="restart"/>
            <w:tcBorders>
              <w:top w:val="single" w:color="000000" w:sz="2" w:space="0"/>
            </w:tcBorders>
            <w:shd w:val="clear" w:color="auto" w:fill="auto"/>
          </w:tcPr>
          <w:p w14:paraId="08E7D707">
            <w:pPr>
              <w:pStyle w:val="25"/>
              <w:autoSpaceDE/>
              <w:autoSpaceDN/>
              <w:snapToGrid w:val="0"/>
              <w:jc w:val="both"/>
              <w:rPr>
                <w:rFonts w:eastAsia="宋体"/>
                <w:sz w:val="18"/>
                <w:lang w:eastAsia="zh-CN"/>
              </w:rPr>
            </w:pPr>
            <w:r>
              <w:rPr>
                <w:rFonts w:hint="eastAsia" w:eastAsia="宋体"/>
                <w:sz w:val="18"/>
                <w:lang w:eastAsia="zh-CN"/>
              </w:rPr>
              <w:t>仅在</w:t>
            </w:r>
            <w:r>
              <w:rPr>
                <w:rFonts w:eastAsia="宋体"/>
                <w:sz w:val="18"/>
                <w:lang w:eastAsia="zh-CN"/>
              </w:rPr>
              <w:t>FDA</w:t>
            </w:r>
            <w:r>
              <w:rPr>
                <w:rFonts w:hint="eastAsia" w:eastAsia="宋体"/>
                <w:sz w:val="18"/>
                <w:lang w:eastAsia="zh-CN"/>
              </w:rPr>
              <w:t>书面规定的情况下</w:t>
            </w:r>
            <w:r>
              <w:rPr>
                <w:rFonts w:hint="eastAsia" w:eastAsia="宋体"/>
                <w:snapToGrid w:val="0"/>
                <w:sz w:val="18"/>
                <w:szCs w:val="18"/>
                <w:lang w:eastAsia="zh-CN"/>
              </w:rPr>
              <w:t>才提供附加报告（《美国联邦法规》第21篇第4</w:t>
            </w:r>
            <w:r>
              <w:rPr>
                <w:rFonts w:eastAsia="宋体"/>
                <w:sz w:val="18"/>
                <w:lang w:eastAsia="zh-CN"/>
              </w:rPr>
              <w:t>.102</w:t>
            </w:r>
            <w:r>
              <w:rPr>
                <w:rFonts w:hint="eastAsia" w:eastAsia="宋体"/>
                <w:snapToGrid w:val="0"/>
                <w:sz w:val="18"/>
                <w:szCs w:val="18"/>
                <w:lang w:eastAsia="zh-CN"/>
              </w:rPr>
              <w:t>（</w:t>
            </w:r>
            <w:r>
              <w:rPr>
                <w:rFonts w:eastAsia="宋体"/>
                <w:sz w:val="18"/>
                <w:lang w:eastAsia="zh-CN"/>
              </w:rPr>
              <w:t>d</w:t>
            </w:r>
            <w:r>
              <w:rPr>
                <w:rFonts w:hint="eastAsia" w:eastAsia="宋体"/>
                <w:snapToGrid w:val="0"/>
                <w:sz w:val="18"/>
                <w:szCs w:val="18"/>
                <w:lang w:eastAsia="zh-CN"/>
              </w:rPr>
              <w:t>））节</w:t>
            </w:r>
          </w:p>
        </w:tc>
      </w:tr>
      <w:tr w14:paraId="0183DB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3D9F238B">
            <w:pPr>
              <w:autoSpaceDE/>
              <w:autoSpaceDN/>
              <w:snapToGrid w:val="0"/>
              <w:jc w:val="both"/>
              <w:rPr>
                <w:rFonts w:eastAsia="宋体"/>
                <w:sz w:val="18"/>
                <w:lang w:eastAsia="zh-CN"/>
              </w:rPr>
            </w:pPr>
          </w:p>
        </w:tc>
        <w:tc>
          <w:tcPr>
            <w:tcW w:w="730" w:type="pct"/>
            <w:tcBorders>
              <w:top w:val="single" w:color="000000" w:sz="4" w:space="0"/>
              <w:left w:val="single" w:color="000000" w:sz="4" w:space="0"/>
              <w:bottom w:val="single" w:color="000000" w:sz="4" w:space="0"/>
            </w:tcBorders>
            <w:shd w:val="clear" w:color="auto" w:fill="auto"/>
          </w:tcPr>
          <w:p w14:paraId="31D43312">
            <w:pPr>
              <w:pStyle w:val="25"/>
              <w:autoSpaceDE/>
              <w:autoSpaceDN/>
              <w:snapToGrid w:val="0"/>
              <w:jc w:val="both"/>
              <w:rPr>
                <w:rFonts w:eastAsia="宋体"/>
                <w:sz w:val="18"/>
              </w:rPr>
            </w:pPr>
            <w:r>
              <w:rPr>
                <w:rFonts w:hint="eastAsia" w:eastAsia="宋体"/>
                <w:sz w:val="18"/>
              </w:rPr>
              <w:t>器械</w:t>
            </w:r>
            <w:r>
              <w:rPr>
                <w:rFonts w:eastAsia="宋体"/>
                <w:sz w:val="18"/>
              </w:rPr>
              <w:t>-</w:t>
            </w:r>
            <w:r>
              <w:rPr>
                <w:rFonts w:hint="eastAsia" w:eastAsia="宋体"/>
                <w:sz w:val="18"/>
              </w:rPr>
              <w:t>生物制品</w:t>
            </w:r>
            <w:r>
              <w:rPr>
                <w:rFonts w:eastAsia="宋体"/>
                <w:sz w:val="18"/>
              </w:rPr>
              <w:t>CP</w:t>
            </w:r>
          </w:p>
        </w:tc>
        <w:tc>
          <w:tcPr>
            <w:tcW w:w="222" w:type="pct"/>
            <w:tcBorders>
              <w:top w:val="single" w:color="000000" w:sz="4" w:space="0"/>
              <w:bottom w:val="single" w:color="000000" w:sz="4" w:space="0"/>
              <w:right w:val="single" w:color="000000" w:sz="4" w:space="0"/>
            </w:tcBorders>
            <w:shd w:val="clear" w:color="auto" w:fill="auto"/>
          </w:tcPr>
          <w:p w14:paraId="43ACFAA0">
            <w:pPr>
              <w:pStyle w:val="25"/>
              <w:autoSpaceDE/>
              <w:autoSpaceDN/>
              <w:snapToGrid w:val="0"/>
              <w:jc w:val="center"/>
              <w:rPr>
                <w:rFonts w:eastAsia="宋体"/>
                <w:sz w:val="18"/>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tcPr>
          <w:p w14:paraId="5E09FCED">
            <w:pPr>
              <w:pStyle w:val="25"/>
              <w:autoSpaceDE/>
              <w:autoSpaceDN/>
              <w:snapToGrid w:val="0"/>
              <w:jc w:val="center"/>
              <w:rPr>
                <w:rFonts w:eastAsia="宋体"/>
                <w:sz w:val="18"/>
              </w:rPr>
            </w:pPr>
          </w:p>
        </w:tc>
        <w:tc>
          <w:tcPr>
            <w:tcW w:w="187" w:type="pct"/>
            <w:tcBorders>
              <w:top w:val="single" w:color="000000" w:sz="4" w:space="0"/>
              <w:left w:val="single" w:color="000000" w:sz="4" w:space="0"/>
              <w:bottom w:val="single" w:color="000000" w:sz="4" w:space="0"/>
            </w:tcBorders>
            <w:shd w:val="clear" w:color="auto" w:fill="auto"/>
          </w:tcPr>
          <w:p w14:paraId="349B4B81">
            <w:pPr>
              <w:pStyle w:val="25"/>
              <w:autoSpaceDE/>
              <w:autoSpaceDN/>
              <w:snapToGrid w:val="0"/>
              <w:jc w:val="center"/>
              <w:rPr>
                <w:rFonts w:eastAsia="宋体"/>
                <w:sz w:val="18"/>
              </w:rPr>
            </w:pPr>
            <w:r>
              <w:rPr>
                <w:rFonts w:eastAsia="宋体"/>
                <w:sz w:val="18"/>
              </w:rPr>
              <w:t>X</w:t>
            </w:r>
          </w:p>
        </w:tc>
        <w:tc>
          <w:tcPr>
            <w:tcW w:w="253" w:type="pct"/>
            <w:tcBorders>
              <w:top w:val="single" w:color="000000" w:sz="4" w:space="0"/>
              <w:bottom w:val="single" w:color="000000" w:sz="4" w:space="0"/>
              <w:right w:val="single" w:color="000000" w:sz="4" w:space="0"/>
            </w:tcBorders>
            <w:shd w:val="clear" w:color="auto" w:fill="auto"/>
          </w:tcPr>
          <w:p w14:paraId="1B15F8FA">
            <w:pPr>
              <w:pStyle w:val="25"/>
              <w:autoSpaceDE/>
              <w:autoSpaceDN/>
              <w:snapToGrid w:val="0"/>
              <w:jc w:val="center"/>
              <w:rPr>
                <w:rFonts w:eastAsia="宋体"/>
                <w:sz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533DC60E">
            <w:pPr>
              <w:pStyle w:val="25"/>
              <w:autoSpaceDE/>
              <w:autoSpaceDN/>
              <w:snapToGrid w:val="0"/>
              <w:jc w:val="center"/>
              <w:rPr>
                <w:rFonts w:eastAsia="宋体"/>
                <w:sz w:val="18"/>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tcPr>
          <w:p w14:paraId="50BB1457">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4AD742B0">
            <w:pPr>
              <w:pStyle w:val="25"/>
              <w:autoSpaceDE/>
              <w:autoSpaceDN/>
              <w:snapToGrid w:val="0"/>
              <w:jc w:val="center"/>
              <w:rPr>
                <w:rFonts w:eastAsia="宋体"/>
                <w:sz w:val="18"/>
              </w:rPr>
            </w:pPr>
            <w:r>
              <w:rPr>
                <w:rFonts w:eastAsia="宋体"/>
                <w:sz w:val="18"/>
              </w:rPr>
              <w:t>X</w:t>
            </w:r>
          </w:p>
        </w:tc>
        <w:tc>
          <w:tcPr>
            <w:tcW w:w="912" w:type="pct"/>
            <w:gridSpan w:val="3"/>
            <w:vMerge w:val="continue"/>
            <w:tcBorders>
              <w:top w:val="nil"/>
              <w:left w:val="single" w:color="000000" w:sz="4" w:space="0"/>
            </w:tcBorders>
            <w:shd w:val="clear" w:color="auto" w:fill="DADADA"/>
          </w:tcPr>
          <w:p w14:paraId="6D4B7D30">
            <w:pPr>
              <w:autoSpaceDE/>
              <w:autoSpaceDN/>
              <w:snapToGrid w:val="0"/>
              <w:jc w:val="center"/>
              <w:rPr>
                <w:rFonts w:eastAsia="宋体"/>
                <w:sz w:val="18"/>
              </w:rPr>
            </w:pPr>
          </w:p>
        </w:tc>
        <w:tc>
          <w:tcPr>
            <w:tcW w:w="1361" w:type="pct"/>
            <w:vMerge w:val="continue"/>
            <w:tcBorders>
              <w:top w:val="nil"/>
            </w:tcBorders>
            <w:shd w:val="clear" w:color="auto" w:fill="auto"/>
          </w:tcPr>
          <w:p w14:paraId="2EDAFBA5">
            <w:pPr>
              <w:autoSpaceDE/>
              <w:autoSpaceDN/>
              <w:snapToGrid w:val="0"/>
              <w:jc w:val="both"/>
              <w:rPr>
                <w:rFonts w:eastAsia="宋体"/>
                <w:sz w:val="18"/>
              </w:rPr>
            </w:pPr>
          </w:p>
        </w:tc>
      </w:tr>
      <w:tr w14:paraId="2EDFB28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rPr>
          <w:trHeight w:val="20" w:hRule="atLeast"/>
        </w:trPr>
        <w:tc>
          <w:tcPr>
            <w:tcW w:w="367" w:type="pct"/>
            <w:vMerge w:val="continue"/>
            <w:tcBorders>
              <w:top w:val="nil"/>
              <w:right w:val="single" w:color="000000" w:sz="4" w:space="0"/>
            </w:tcBorders>
            <w:shd w:val="clear" w:color="auto" w:fill="auto"/>
          </w:tcPr>
          <w:p w14:paraId="49E4E58B">
            <w:pPr>
              <w:autoSpaceDE/>
              <w:autoSpaceDN/>
              <w:snapToGrid w:val="0"/>
              <w:jc w:val="both"/>
              <w:rPr>
                <w:rFonts w:eastAsia="宋体"/>
                <w:sz w:val="18"/>
              </w:rPr>
            </w:pPr>
          </w:p>
        </w:tc>
        <w:tc>
          <w:tcPr>
            <w:tcW w:w="730" w:type="pct"/>
            <w:tcBorders>
              <w:top w:val="single" w:color="000000" w:sz="4" w:space="0"/>
              <w:left w:val="single" w:color="000000" w:sz="4" w:space="0"/>
            </w:tcBorders>
            <w:shd w:val="clear" w:color="auto" w:fill="auto"/>
          </w:tcPr>
          <w:p w14:paraId="3ADF823E">
            <w:pPr>
              <w:pStyle w:val="25"/>
              <w:autoSpaceDE/>
              <w:autoSpaceDN/>
              <w:snapToGrid w:val="0"/>
              <w:jc w:val="both"/>
              <w:rPr>
                <w:rFonts w:eastAsia="宋体"/>
                <w:sz w:val="18"/>
                <w:lang w:eastAsia="zh-CN"/>
              </w:rPr>
            </w:pPr>
            <w:r>
              <w:rPr>
                <w:rFonts w:hint="eastAsia" w:eastAsia="宋体"/>
                <w:sz w:val="18"/>
                <w:lang w:eastAsia="zh-CN"/>
              </w:rPr>
              <w:t>器械</w:t>
            </w:r>
            <w:r>
              <w:rPr>
                <w:rFonts w:eastAsia="宋体"/>
                <w:sz w:val="18"/>
                <w:lang w:eastAsia="zh-CN"/>
              </w:rPr>
              <w:t>-</w:t>
            </w:r>
            <w:r>
              <w:rPr>
                <w:rFonts w:hint="eastAsia" w:eastAsia="宋体"/>
                <w:sz w:val="18"/>
                <w:lang w:eastAsia="zh-CN"/>
              </w:rPr>
              <w:t>药品</w:t>
            </w:r>
            <w:r>
              <w:rPr>
                <w:rFonts w:eastAsia="宋体"/>
                <w:sz w:val="18"/>
                <w:lang w:eastAsia="zh-CN"/>
              </w:rPr>
              <w:t>-</w:t>
            </w:r>
            <w:r>
              <w:rPr>
                <w:rFonts w:hint="eastAsia" w:eastAsia="宋体"/>
                <w:sz w:val="18"/>
                <w:lang w:eastAsia="zh-CN"/>
              </w:rPr>
              <w:t>生物制品</w:t>
            </w:r>
            <w:r>
              <w:rPr>
                <w:rFonts w:eastAsia="宋体"/>
                <w:sz w:val="18"/>
                <w:lang w:eastAsia="zh-CN"/>
              </w:rPr>
              <w:t>CP</w:t>
            </w:r>
          </w:p>
        </w:tc>
        <w:tc>
          <w:tcPr>
            <w:tcW w:w="222" w:type="pct"/>
            <w:tcBorders>
              <w:top w:val="single" w:color="000000" w:sz="4" w:space="0"/>
              <w:right w:val="single" w:color="000000" w:sz="4" w:space="0"/>
            </w:tcBorders>
            <w:shd w:val="clear" w:color="auto" w:fill="auto"/>
          </w:tcPr>
          <w:p w14:paraId="2C6BFDBD">
            <w:pPr>
              <w:pStyle w:val="25"/>
              <w:autoSpaceDE/>
              <w:autoSpaceDN/>
              <w:snapToGrid w:val="0"/>
              <w:jc w:val="center"/>
              <w:rPr>
                <w:rFonts w:eastAsia="宋体"/>
                <w:sz w:val="18"/>
                <w:lang w:eastAsia="zh-CN"/>
              </w:rPr>
            </w:pPr>
          </w:p>
        </w:tc>
        <w:tc>
          <w:tcPr>
            <w:tcW w:w="197" w:type="pct"/>
            <w:tcBorders>
              <w:top w:val="single" w:color="000000" w:sz="4" w:space="0"/>
              <w:left w:val="single" w:color="000000" w:sz="4" w:space="0"/>
              <w:right w:val="single" w:color="000000" w:sz="4" w:space="0"/>
            </w:tcBorders>
            <w:shd w:val="clear" w:color="auto" w:fill="auto"/>
          </w:tcPr>
          <w:p w14:paraId="1AB792D6">
            <w:pPr>
              <w:pStyle w:val="25"/>
              <w:autoSpaceDE/>
              <w:autoSpaceDN/>
              <w:snapToGrid w:val="0"/>
              <w:jc w:val="center"/>
              <w:rPr>
                <w:rFonts w:eastAsia="宋体"/>
                <w:sz w:val="18"/>
                <w:lang w:eastAsia="zh-CN"/>
              </w:rPr>
            </w:pPr>
          </w:p>
        </w:tc>
        <w:tc>
          <w:tcPr>
            <w:tcW w:w="187" w:type="pct"/>
            <w:tcBorders>
              <w:top w:val="single" w:color="000000" w:sz="4" w:space="0"/>
              <w:left w:val="single" w:color="000000" w:sz="4" w:space="0"/>
            </w:tcBorders>
            <w:shd w:val="clear" w:color="auto" w:fill="auto"/>
          </w:tcPr>
          <w:p w14:paraId="0C82588B">
            <w:pPr>
              <w:pStyle w:val="25"/>
              <w:autoSpaceDE/>
              <w:autoSpaceDN/>
              <w:snapToGrid w:val="0"/>
              <w:jc w:val="center"/>
              <w:rPr>
                <w:rFonts w:eastAsia="宋体"/>
                <w:sz w:val="18"/>
              </w:rPr>
            </w:pPr>
            <w:r>
              <w:rPr>
                <w:rFonts w:eastAsia="宋体"/>
                <w:sz w:val="18"/>
              </w:rPr>
              <w:t>X</w:t>
            </w:r>
          </w:p>
        </w:tc>
        <w:tc>
          <w:tcPr>
            <w:tcW w:w="253" w:type="pct"/>
            <w:tcBorders>
              <w:top w:val="single" w:color="000000" w:sz="4" w:space="0"/>
              <w:right w:val="single" w:color="000000" w:sz="4" w:space="0"/>
            </w:tcBorders>
            <w:shd w:val="clear" w:color="auto" w:fill="auto"/>
          </w:tcPr>
          <w:p w14:paraId="137F59C9">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right w:val="single" w:color="000000" w:sz="4" w:space="0"/>
            </w:tcBorders>
            <w:shd w:val="clear" w:color="auto" w:fill="auto"/>
          </w:tcPr>
          <w:p w14:paraId="55612512">
            <w:pPr>
              <w:pStyle w:val="25"/>
              <w:autoSpaceDE/>
              <w:autoSpaceDN/>
              <w:snapToGrid w:val="0"/>
              <w:jc w:val="center"/>
              <w:rPr>
                <w:rFonts w:eastAsia="宋体"/>
                <w:sz w:val="18"/>
              </w:rPr>
            </w:pPr>
            <w:r>
              <w:rPr>
                <w:rFonts w:eastAsia="宋体"/>
                <w:sz w:val="18"/>
              </w:rPr>
              <w:t>X</w:t>
            </w:r>
          </w:p>
        </w:tc>
        <w:tc>
          <w:tcPr>
            <w:tcW w:w="299" w:type="pct"/>
            <w:tcBorders>
              <w:top w:val="single" w:color="000000" w:sz="4" w:space="0"/>
              <w:left w:val="single" w:color="000000" w:sz="4" w:space="0"/>
              <w:right w:val="single" w:color="000000" w:sz="4" w:space="0"/>
            </w:tcBorders>
            <w:shd w:val="clear" w:color="auto" w:fill="auto"/>
          </w:tcPr>
          <w:p w14:paraId="523B905E">
            <w:pPr>
              <w:pStyle w:val="25"/>
              <w:autoSpaceDE/>
              <w:autoSpaceDN/>
              <w:snapToGrid w:val="0"/>
              <w:jc w:val="center"/>
              <w:rPr>
                <w:rFonts w:eastAsia="宋体"/>
                <w:sz w:val="18"/>
              </w:rPr>
            </w:pPr>
            <w:r>
              <w:rPr>
                <w:rFonts w:eastAsia="宋体"/>
                <w:sz w:val="18"/>
              </w:rPr>
              <w:t>X</w:t>
            </w:r>
          </w:p>
        </w:tc>
        <w:tc>
          <w:tcPr>
            <w:tcW w:w="236" w:type="pct"/>
            <w:tcBorders>
              <w:top w:val="single" w:color="000000" w:sz="4" w:space="0"/>
              <w:left w:val="single" w:color="000000" w:sz="4" w:space="0"/>
              <w:right w:val="single" w:color="000000" w:sz="4" w:space="0"/>
            </w:tcBorders>
            <w:shd w:val="clear" w:color="auto" w:fill="auto"/>
          </w:tcPr>
          <w:p w14:paraId="5DF34939">
            <w:pPr>
              <w:pStyle w:val="25"/>
              <w:autoSpaceDE/>
              <w:autoSpaceDN/>
              <w:snapToGrid w:val="0"/>
              <w:jc w:val="center"/>
              <w:rPr>
                <w:rFonts w:eastAsia="宋体"/>
                <w:sz w:val="18"/>
              </w:rPr>
            </w:pPr>
            <w:r>
              <w:rPr>
                <w:rFonts w:eastAsia="宋体"/>
                <w:sz w:val="18"/>
              </w:rPr>
              <w:t>X</w:t>
            </w:r>
          </w:p>
        </w:tc>
        <w:tc>
          <w:tcPr>
            <w:tcW w:w="912" w:type="pct"/>
            <w:gridSpan w:val="3"/>
            <w:vMerge w:val="continue"/>
            <w:tcBorders>
              <w:top w:val="nil"/>
              <w:left w:val="single" w:color="000000" w:sz="4" w:space="0"/>
            </w:tcBorders>
            <w:shd w:val="clear" w:color="auto" w:fill="DADADA"/>
          </w:tcPr>
          <w:p w14:paraId="5ACE89B8">
            <w:pPr>
              <w:autoSpaceDE/>
              <w:autoSpaceDN/>
              <w:snapToGrid w:val="0"/>
              <w:jc w:val="center"/>
              <w:rPr>
                <w:rFonts w:eastAsia="宋体"/>
                <w:sz w:val="18"/>
              </w:rPr>
            </w:pPr>
          </w:p>
        </w:tc>
        <w:tc>
          <w:tcPr>
            <w:tcW w:w="1361" w:type="pct"/>
            <w:vMerge w:val="continue"/>
            <w:tcBorders>
              <w:top w:val="nil"/>
            </w:tcBorders>
            <w:shd w:val="clear" w:color="auto" w:fill="auto"/>
          </w:tcPr>
          <w:p w14:paraId="05648835">
            <w:pPr>
              <w:autoSpaceDE/>
              <w:autoSpaceDN/>
              <w:snapToGrid w:val="0"/>
              <w:jc w:val="both"/>
              <w:rPr>
                <w:rFonts w:eastAsia="宋体"/>
                <w:sz w:val="18"/>
              </w:rPr>
            </w:pPr>
          </w:p>
        </w:tc>
      </w:tr>
    </w:tbl>
    <w:p w14:paraId="349CC424">
      <w:pPr>
        <w:autoSpaceDE/>
        <w:autoSpaceDN/>
        <w:snapToGrid w:val="0"/>
        <w:jc w:val="both"/>
        <w:rPr>
          <w:rFonts w:eastAsia="宋体"/>
          <w:snapToGrid w:val="0"/>
          <w:sz w:val="24"/>
          <w:szCs w:val="24"/>
          <w:lang w:eastAsia="zh-CN"/>
        </w:rPr>
      </w:pPr>
    </w:p>
    <w:p w14:paraId="3842EE72">
      <w:pPr>
        <w:autoSpaceDE/>
        <w:autoSpaceDN/>
        <w:snapToGrid w:val="0"/>
        <w:jc w:val="both"/>
        <w:rPr>
          <w:rFonts w:eastAsia="宋体"/>
          <w:b/>
          <w:bCs/>
          <w:snapToGrid w:val="0"/>
          <w:sz w:val="24"/>
          <w:szCs w:val="24"/>
          <w:lang w:eastAsia="zh-CN"/>
        </w:rPr>
        <w:sectPr>
          <w:footerReference r:id="rId7" w:type="default"/>
          <w:pgSz w:w="16840" w:h="11907" w:orient="landscape"/>
          <w:pgMar w:top="1418" w:right="1134" w:bottom="1134" w:left="1134" w:header="567" w:footer="567" w:gutter="0"/>
          <w:pgNumType w:start="39"/>
          <w:cols w:space="720" w:num="1"/>
          <w:docGrid w:linePitch="299" w:charSpace="0"/>
        </w:sectPr>
      </w:pPr>
      <w:bookmarkStart w:id="47" w:name="Appendix_2.__Flowcharts_for_Combination_"/>
      <w:bookmarkEnd w:id="47"/>
      <w:bookmarkStart w:id="48" w:name="_bookmark89"/>
      <w:bookmarkEnd w:id="48"/>
    </w:p>
    <w:p w14:paraId="6FAEB518">
      <w:pPr>
        <w:pStyle w:val="2"/>
        <w:autoSpaceDE/>
        <w:autoSpaceDN/>
        <w:spacing w:before="0" w:beforeLines="0" w:line="240" w:lineRule="auto"/>
        <w:ind w:left="562" w:hanging="562"/>
        <w:rPr>
          <w:sz w:val="28"/>
          <w:lang w:eastAsia="zh-CN"/>
        </w:rPr>
      </w:pPr>
      <w:bookmarkStart w:id="49" w:name="_Toc97551514"/>
      <w:bookmarkStart w:id="50" w:name="_Toc95145713"/>
      <w:r>
        <w:rPr>
          <w:rFonts w:hint="eastAsia"/>
          <w:sz w:val="28"/>
          <w:lang w:eastAsia="zh-CN"/>
        </w:rPr>
        <w:t>附录</w:t>
      </w:r>
      <w:r>
        <w:rPr>
          <w:sz w:val="28"/>
          <w:lang w:eastAsia="zh-CN"/>
        </w:rPr>
        <w:t>2.</w:t>
      </w:r>
      <w:r>
        <w:rPr>
          <w:rFonts w:hint="eastAsia"/>
          <w:sz w:val="28"/>
          <w:lang w:eastAsia="zh-CN"/>
        </w:rPr>
        <w:t>组合产品</w:t>
      </w:r>
      <w:r>
        <w:rPr>
          <w:sz w:val="28"/>
          <w:lang w:eastAsia="zh-CN"/>
        </w:rPr>
        <w:t>ICSR</w:t>
      </w:r>
      <w:r>
        <w:rPr>
          <w:rFonts w:hint="eastAsia"/>
          <w:sz w:val="28"/>
          <w:lang w:eastAsia="zh-CN"/>
        </w:rPr>
        <w:t>要求的流程图</w:t>
      </w:r>
      <w:bookmarkEnd w:id="49"/>
      <w:bookmarkEnd w:id="50"/>
    </w:p>
    <w:p w14:paraId="15F8332D">
      <w:pPr>
        <w:pStyle w:val="7"/>
        <w:autoSpaceDE/>
        <w:autoSpaceDN/>
        <w:snapToGrid w:val="0"/>
        <w:jc w:val="both"/>
        <w:rPr>
          <w:rFonts w:eastAsia="宋体"/>
          <w:snapToGrid w:val="0"/>
          <w:lang w:eastAsia="zh-CN"/>
        </w:rPr>
      </w:pPr>
    </w:p>
    <w:p w14:paraId="4D29C693">
      <w:pPr>
        <w:pStyle w:val="4"/>
        <w:autoSpaceDE/>
        <w:autoSpaceDN/>
        <w:spacing w:before="0" w:beforeLines="0" w:line="240" w:lineRule="auto"/>
        <w:jc w:val="both"/>
        <w:rPr>
          <w:sz w:val="24"/>
        </w:rPr>
      </w:pPr>
      <w:r>
        <w:rPr>
          <w:rFonts w:hint="eastAsia"/>
          <w:sz w:val="24"/>
        </w:rPr>
        <w:t>图表</w:t>
      </w:r>
      <w:r>
        <w:rPr>
          <w:sz w:val="24"/>
        </w:rPr>
        <w:t>2.1.</w:t>
      </w:r>
      <w:r>
        <w:rPr>
          <w:rFonts w:hint="eastAsia"/>
          <w:sz w:val="24"/>
        </w:rPr>
        <w:t>根据</w:t>
      </w:r>
      <w:r>
        <w:rPr>
          <w:sz w:val="24"/>
        </w:rPr>
        <w:t>NDA/ANDA/BLA</w:t>
      </w:r>
      <w:r>
        <w:rPr>
          <w:rFonts w:hint="eastAsia"/>
          <w:sz w:val="24"/>
        </w:rPr>
        <w:t>上市的组合产品的</w:t>
      </w:r>
      <w:r>
        <w:rPr>
          <w:sz w:val="24"/>
        </w:rPr>
        <w:t>ICSR</w:t>
      </w:r>
      <w:r>
        <w:rPr>
          <w:rFonts w:hint="eastAsia"/>
          <w:sz w:val="24"/>
        </w:rPr>
        <w:t>报告要求</w:t>
      </w:r>
      <w:r>
        <w:rPr>
          <w:sz w:val="24"/>
        </w:rPr>
        <w:t>*</w:t>
      </w:r>
    </w:p>
    <w:p w14:paraId="30092A9A">
      <w:pPr>
        <w:pStyle w:val="7"/>
        <w:autoSpaceDE/>
        <w:autoSpaceDN/>
        <w:snapToGrid w:val="0"/>
        <w:jc w:val="both"/>
        <w:rPr>
          <w:rFonts w:eastAsia="宋体"/>
          <w:snapToGrid w:val="0"/>
          <w:lang w:eastAsia="zh-CN"/>
        </w:rPr>
      </w:pPr>
    </w:p>
    <w:p w14:paraId="5ED4BB6C">
      <w:pPr>
        <w:autoSpaceDE/>
        <w:autoSpaceDN/>
        <w:snapToGrid w:val="0"/>
        <w:jc w:val="both"/>
        <w:rPr>
          <w:rFonts w:eastAsia="宋体"/>
          <w:snapToGrid w:val="0"/>
          <w:sz w:val="24"/>
          <w:szCs w:val="24"/>
          <w:lang w:eastAsia="zh-CN"/>
        </w:rPr>
      </w:pPr>
      <w:r>
        <w:rPr>
          <w:rFonts w:eastAsia="宋体"/>
          <w:sz w:val="24"/>
          <w:szCs w:val="24"/>
          <w:lang w:eastAsia="zh-CN" w:bidi="ar-SA"/>
        </w:rPr>
        <w:pict>
          <v:shape id="Text Box 213" o:spid="_x0000_s1064" o:spt="202" type="#_x0000_t202" style="position:absolute;left:0pt;margin-left:331.5pt;margin-top:343.4pt;height:13.15pt;width:75.1pt;z-index:251676672;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3X8QA&#10;AADbAAAADwAAAGRycy9kb3ducmV2LnhtbESP3WrCQBSE74W+w3IK3ohulCIldSM2xbQ3XsT6AIfs&#10;yQ9mz4bsNol9+m5B8HKYmW+Y3X4yrRiod41lBetVBIK4sLrhSsHl+7h8BeE8ssbWMim4kYN98jTb&#10;YaztyDkNZ1+JAGEXo4La+y6W0hU1GXQr2xEHr7S9QR9kX0nd4xjgppWbKNpKgw2HhRo7Smsqrucf&#10;o4AOuf09XV1m8vePNCsbpoX8VGr+PB3eQHia/CN8b39pBS9r+P8Sf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pd1/EAAAA2wAAAA8AAAAAAAAAAAAAAAAAmAIAAGRycy9k&#10;b3ducmV2LnhtbFBLBQYAAAAABAAEAPUAAACJAwAAAAA=&#10;">
            <v:path/>
            <v:fill on="f" focussize="0,0"/>
            <v:stroke on="f" joinstyle="miter"/>
            <v:imagedata o:title=""/>
            <o:lock v:ext="edit"/>
            <v:textbox inset="0mm,0mm,0mm,0mm">
              <w:txbxContent>
                <w:p w14:paraId="6BE9D178">
                  <w:pPr>
                    <w:snapToGrid w:val="0"/>
                    <w:jc w:val="center"/>
                    <w:rPr>
                      <w:rFonts w:eastAsia="宋体"/>
                      <w:sz w:val="21"/>
                      <w:szCs w:val="24"/>
                    </w:rPr>
                  </w:pPr>
                  <w:r>
                    <w:rPr>
                      <w:rFonts w:eastAsia="宋体" w:cs="宋体"/>
                      <w:sz w:val="21"/>
                    </w:rPr>
                    <w:t>需要5天报告</w:t>
                  </w:r>
                </w:p>
              </w:txbxContent>
            </v:textbox>
          </v:shape>
        </w:pict>
      </w:r>
      <w:r>
        <w:rPr>
          <w:rFonts w:eastAsia="宋体"/>
          <w:sz w:val="24"/>
          <w:szCs w:val="24"/>
          <w:lang w:eastAsia="zh-CN" w:bidi="ar-SA"/>
        </w:rPr>
        <w:pict>
          <v:shape id="Text Box 211" o:spid="_x0000_s1063" o:spt="202" type="#_x0000_t202" style="position:absolute;left:0pt;margin-left:26.45pt;margin-top:407.05pt;height:28.75pt;width:252.6pt;z-index:25167564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v:path/>
            <v:fill on="f" focussize="0,0"/>
            <v:stroke on="f" joinstyle="miter"/>
            <v:imagedata o:title=""/>
            <o:lock v:ext="edit"/>
            <v:textbox inset="0mm,0mm,0mm,0mm">
              <w:txbxContent>
                <w:p w14:paraId="687F90A3">
                  <w:pPr>
                    <w:snapToGrid w:val="0"/>
                    <w:jc w:val="center"/>
                    <w:rPr>
                      <w:rFonts w:eastAsia="宋体"/>
                      <w:sz w:val="21"/>
                      <w:szCs w:val="24"/>
                      <w:lang w:eastAsia="zh-CN"/>
                    </w:rPr>
                  </w:pPr>
                  <w:r>
                    <w:rPr>
                      <w:rFonts w:eastAsia="宋体" w:cs="宋体"/>
                      <w:sz w:val="21"/>
                      <w:lang w:eastAsia="zh-CN"/>
                    </w:rPr>
                    <w:t>除非收到新的可报告信息，否则无需其他ICSR（定期报告除外）</w:t>
                  </w:r>
                </w:p>
              </w:txbxContent>
            </v:textbox>
          </v:shape>
        </w:pict>
      </w:r>
      <w:r>
        <w:rPr>
          <w:rFonts w:eastAsia="宋体"/>
          <w:sz w:val="24"/>
          <w:szCs w:val="24"/>
          <w:lang w:eastAsia="zh-CN" w:bidi="ar-SA"/>
        </w:rPr>
        <w:pict>
          <v:shape id="Text Box 210" o:spid="_x0000_s1062" o:spt="202" type="#_x0000_t202" style="position:absolute;left:0pt;margin-left:72.6pt;margin-top:335.35pt;height:47.65pt;width:152.5pt;z-index:251674624;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v:path/>
            <v:fill on="f" focussize="0,0"/>
            <v:stroke on="f" joinstyle="miter"/>
            <v:imagedata o:title=""/>
            <o:lock v:ext="edit"/>
            <v:textbox inset="0mm,0mm,0mm,0mm">
              <w:txbxContent>
                <w:p w14:paraId="625F4846">
                  <w:pPr>
                    <w:snapToGrid w:val="0"/>
                    <w:jc w:val="center"/>
                    <w:rPr>
                      <w:rFonts w:eastAsia="宋体"/>
                      <w:sz w:val="21"/>
                      <w:szCs w:val="24"/>
                      <w:lang w:eastAsia="zh-CN"/>
                    </w:rPr>
                  </w:pPr>
                  <w:r>
                    <w:rPr>
                      <w:rFonts w:eastAsia="宋体" w:cs="宋体"/>
                      <w:sz w:val="21"/>
                      <w:lang w:eastAsia="zh-CN"/>
                    </w:rPr>
                    <w:t>该事件是否需要采取补救措施，以防止对公众健康造成重大伤害的不合理风险？</w:t>
                  </w:r>
                </w:p>
              </w:txbxContent>
            </v:textbox>
          </v:shape>
        </w:pict>
      </w:r>
      <w:r>
        <w:rPr>
          <w:rFonts w:eastAsia="宋体"/>
          <w:sz w:val="24"/>
          <w:szCs w:val="24"/>
          <w:lang w:eastAsia="zh-CN" w:bidi="ar-SA"/>
        </w:rPr>
        <w:pict>
          <v:shape id="Text Box 208" o:spid="_x0000_s1060" o:spt="202" type="#_x0000_t202" style="position:absolute;left:0pt;margin-left:68.05pt;margin-top:208.3pt;height:58pt;width:161.2pt;z-index:251672576;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5zcQA&#10;AADbAAAADwAAAGRycy9kb3ducmV2LnhtbESPzWrDMBCE74G+g9hCLqGR00BaXMvGTUnSSw9O+wCL&#10;tf7B1spYSuL26aNAIcdhZr5hkmwyvTjT6FrLClbLCARxaXXLtYKf793TKwjnkTX2lknBLznI0odZ&#10;grG2Fy7ofPS1CBB2MSpovB9iKV3ZkEG3tANx8Co7GvRBjrXUI14C3PTyOYo20mDLYaHBgbYNld3x&#10;ZBRQXti/r87tTfH+sd1XLdNCHpSaP075GwhPk7+H/9ufWsH6B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Oc3EAAAA2wAAAA8AAAAAAAAAAAAAAAAAmAIAAGRycy9k&#10;b3ducmV2LnhtbFBLBQYAAAAABAAEAPUAAACJAwAAAAA=&#10;">
            <v:path/>
            <v:fill on="f" focussize="0,0"/>
            <v:stroke on="f" joinstyle="miter"/>
            <v:imagedata o:title=""/>
            <o:lock v:ext="edit"/>
            <v:textbox inset="0mm,0mm,0mm,0mm">
              <w:txbxContent>
                <w:p w14:paraId="522B08B4">
                  <w:pPr>
                    <w:snapToGrid w:val="0"/>
                    <w:jc w:val="center"/>
                    <w:rPr>
                      <w:rFonts w:eastAsia="宋体"/>
                      <w:sz w:val="21"/>
                      <w:szCs w:val="24"/>
                      <w:lang w:eastAsia="zh-CN"/>
                    </w:rPr>
                  </w:pPr>
                  <w:r>
                    <w:rPr>
                      <w:rFonts w:eastAsia="宋体" w:cs="宋体"/>
                      <w:sz w:val="21"/>
                      <w:lang w:eastAsia="zh-CN"/>
                    </w:rPr>
                    <w:t>信息是否合理地表明产品出现</w:t>
                  </w:r>
                  <w:r>
                    <w:rPr>
                      <w:rFonts w:hint="eastAsia" w:eastAsia="宋体" w:cs="宋体"/>
                      <w:sz w:val="21"/>
                      <w:lang w:eastAsia="zh-CN"/>
                    </w:rPr>
                    <w:t>故障</w:t>
                  </w:r>
                  <w:r>
                    <w:rPr>
                      <w:rFonts w:eastAsia="宋体" w:cs="宋体"/>
                      <w:sz w:val="21"/>
                      <w:lang w:eastAsia="zh-CN"/>
                    </w:rPr>
                    <w:t>，并且如果该</w:t>
                  </w:r>
                  <w:r>
                    <w:rPr>
                      <w:rFonts w:hint="eastAsia" w:eastAsia="宋体" w:cs="宋体"/>
                      <w:sz w:val="21"/>
                      <w:lang w:eastAsia="zh-CN"/>
                    </w:rPr>
                    <w:t>故障</w:t>
                  </w:r>
                  <w:r>
                    <w:rPr>
                      <w:rFonts w:eastAsia="宋体" w:cs="宋体"/>
                      <w:sz w:val="21"/>
                      <w:lang w:eastAsia="zh-CN"/>
                    </w:rPr>
                    <w:t>再次发生，申请人销售的产品或同品种产品可能导致或促成死亡或重伤？</w:t>
                  </w:r>
                </w:p>
              </w:txbxContent>
            </v:textbox>
          </v:shape>
        </w:pict>
      </w:r>
      <w:r>
        <w:rPr>
          <w:rFonts w:eastAsia="宋体"/>
          <w:sz w:val="24"/>
          <w:szCs w:val="24"/>
          <w:lang w:eastAsia="zh-CN" w:bidi="ar-SA"/>
        </w:rPr>
        <w:pict>
          <v:shape id="Text Box 197" o:spid="_x0000_s1049" o:spt="202" type="#_x0000_t202" style="position:absolute;left:0pt;margin-left:85.75pt;margin-top:56.8pt;height:32.95pt;width:132.85pt;z-index:251661312;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Ki8AA&#10;AADbAAAADwAAAGRycy9kb3ducmV2LnhtbESPzQrCMBCE74LvEFbwIprqQaQaxR/8uXio+gBLs7bF&#10;ZlOaqNWnN4LgcZiZb5jZojGleFDtCssKhoMIBHFqdcGZgst525+AcB5ZY2mZFLzIwWLebs0w1vbJ&#10;CT1OPhMBwi5GBbn3VSylS3My6Aa2Ig7e1dYGfZB1JnWNzwA3pRxF0VgaLDgs5FjROqf0drobBbRM&#10;7Pt4czuTrDbr3bVg6sm9Ut1Os5yC8NT4f/jXPmgFoz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8Ki8AAAADbAAAADwAAAAAAAAAAAAAAAACYAgAAZHJzL2Rvd25y&#10;ZXYueG1sUEsFBgAAAAAEAAQA9QAAAIUDAAAAAA==&#10;">
            <v:path/>
            <v:fill on="f" focussize="0,0"/>
            <v:stroke on="f" joinstyle="miter"/>
            <v:imagedata o:title=""/>
            <o:lock v:ext="edit"/>
            <v:textbox inset="0mm,0mm,0mm,0mm">
              <w:txbxContent>
                <w:p w14:paraId="62A284D8">
                  <w:pPr>
                    <w:snapToGrid w:val="0"/>
                    <w:jc w:val="center"/>
                    <w:rPr>
                      <w:rFonts w:eastAsia="宋体"/>
                      <w:sz w:val="21"/>
                      <w:szCs w:val="24"/>
                      <w:lang w:eastAsia="zh-CN"/>
                    </w:rPr>
                  </w:pPr>
                  <w:r>
                    <w:rPr>
                      <w:rFonts w:eastAsia="宋体" w:cs="宋体"/>
                      <w:sz w:val="21"/>
                      <w:lang w:eastAsia="zh-CN"/>
                    </w:rPr>
                    <w:t>该事件是否是一次严重且非预期的不良经历？</w:t>
                  </w:r>
                </w:p>
              </w:txbxContent>
            </v:textbox>
          </v:shape>
        </w:pict>
      </w:r>
      <w:r>
        <w:rPr>
          <w:rFonts w:eastAsia="宋体"/>
          <w:sz w:val="24"/>
          <w:szCs w:val="24"/>
          <w:lang w:eastAsia="zh-CN" w:bidi="ar-SA"/>
        </w:rPr>
        <w:pict>
          <v:shape id="Text Box 209" o:spid="_x0000_s1061" o:spt="202" type="#_x0000_t202" style="position:absolute;left:0pt;margin-left:87.85pt;margin-top:126.35pt;height:32pt;width:120.9pt;z-index:251673600;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v:path/>
            <v:fill on="f" focussize="0,0"/>
            <v:stroke on="f" joinstyle="miter"/>
            <v:imagedata o:title=""/>
            <o:lock v:ext="edit"/>
            <v:textbox inset="0mm,0mm,0mm,0mm">
              <w:txbxContent>
                <w:p w14:paraId="4DB317C4">
                  <w:pPr>
                    <w:snapToGrid w:val="0"/>
                    <w:jc w:val="center"/>
                    <w:rPr>
                      <w:rFonts w:eastAsia="宋体"/>
                      <w:sz w:val="21"/>
                      <w:szCs w:val="24"/>
                      <w:lang w:eastAsia="zh-CN"/>
                    </w:rPr>
                  </w:pPr>
                  <w:r>
                    <w:rPr>
                      <w:rFonts w:eastAsia="宋体" w:cs="宋体"/>
                      <w:sz w:val="21"/>
                      <w:lang w:eastAsia="zh-CN"/>
                    </w:rPr>
                    <w:t>产品是否包含器械组成部分？</w:t>
                  </w:r>
                </w:p>
              </w:txbxContent>
            </v:textbox>
          </v:shape>
        </w:pict>
      </w:r>
      <w:r>
        <w:rPr>
          <w:rFonts w:eastAsia="宋体"/>
          <w:sz w:val="24"/>
          <w:szCs w:val="24"/>
          <w:lang w:eastAsia="zh-CN" w:bidi="ar-SA"/>
        </w:rPr>
        <w:pict>
          <v:shape id="Text Box 207" o:spid="_x0000_s1059" o:spt="202" type="#_x0000_t202" style="position:absolute;left:0pt;margin-left:321.85pt;margin-top:211.35pt;height:45.95pt;width:116.8pt;z-index:251671552;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cVsQA&#10;AADbAAAADwAAAGRycy9kb3ducmV2LnhtbESPQWuDQBSE74X+h+UVeilxbQMSrBtJE2Jz6UGTH/Bw&#10;X1R034q7TWx/fTcQ6HGYmW+YLJ/NIC40uc6ygtcoBkFcW91xo+B03C9WIJxH1jhYJgU/5CBfPz5k&#10;mGp75ZIulW9EgLBLUUHr/ZhK6eqWDLrIjsTBO9vJoA9yaqSe8BrgZpBvcZxIgx2HhRZH2rZU99W3&#10;UUCb0v5+9a4w5cduW5w7phf5qdTz07x5B+Fp9v/he/ugFSwT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nFbEAAAA2wAAAA8AAAAAAAAAAAAAAAAAmAIAAGRycy9k&#10;b3ducmV2LnhtbFBLBQYAAAAABAAEAPUAAACJAwAAAAA=&#10;">
            <v:path/>
            <v:fill on="f" focussize="0,0"/>
            <v:stroke on="f" joinstyle="miter"/>
            <v:imagedata o:title=""/>
            <o:lock v:ext="edit"/>
            <v:textbox inset="0mm,0mm,0mm,0mm">
              <w:txbxContent>
                <w:p w14:paraId="37CB836F">
                  <w:pPr>
                    <w:snapToGrid w:val="0"/>
                    <w:jc w:val="center"/>
                    <w:rPr>
                      <w:rFonts w:eastAsia="宋体"/>
                      <w:sz w:val="21"/>
                      <w:szCs w:val="24"/>
                      <w:lang w:eastAsia="zh-CN"/>
                    </w:rPr>
                  </w:pPr>
                  <w:r>
                    <w:rPr>
                      <w:rFonts w:eastAsia="宋体" w:cs="宋体"/>
                      <w:sz w:val="21"/>
                      <w:lang w:eastAsia="zh-CN"/>
                    </w:rPr>
                    <w:t>需要</w:t>
                  </w:r>
                  <w:r>
                    <w:rPr>
                      <w:rFonts w:hint="eastAsia" w:eastAsia="宋体" w:cs="宋体"/>
                      <w:sz w:val="21"/>
                      <w:lang w:eastAsia="zh-CN"/>
                    </w:rPr>
                    <w:t>故障</w:t>
                  </w:r>
                  <w:r>
                    <w:rPr>
                      <w:rFonts w:eastAsia="宋体" w:cs="宋体"/>
                      <w:sz w:val="21"/>
                      <w:lang w:eastAsia="zh-CN"/>
                    </w:rPr>
                    <w:t>报告</w:t>
                  </w:r>
                </w:p>
                <w:p w14:paraId="46C6EED5">
                  <w:pPr>
                    <w:snapToGrid w:val="0"/>
                    <w:jc w:val="center"/>
                    <w:rPr>
                      <w:rFonts w:eastAsia="宋体"/>
                      <w:sz w:val="21"/>
                      <w:szCs w:val="24"/>
                      <w:lang w:eastAsia="zh-CN"/>
                    </w:rPr>
                  </w:pPr>
                  <w:r>
                    <w:rPr>
                      <w:rFonts w:eastAsia="宋体" w:cs="宋体"/>
                      <w:i/>
                      <w:sz w:val="21"/>
                      <w:lang w:eastAsia="zh-CN"/>
                    </w:rPr>
                    <w:t>（评估是否需要其他ICSR类型）</w:t>
                  </w:r>
                </w:p>
              </w:txbxContent>
            </v:textbox>
          </v:shape>
        </w:pict>
      </w:r>
      <w:r>
        <w:rPr>
          <w:rFonts w:eastAsia="宋体"/>
          <w:sz w:val="24"/>
          <w:szCs w:val="24"/>
          <w:lang w:eastAsia="zh-CN" w:bidi="ar-SA"/>
        </w:rPr>
        <w:pict>
          <v:shape id="Text Box 206" o:spid="_x0000_s1058" o:spt="202" type="#_x0000_t202" style="position:absolute;left:0pt;margin-left:114.35pt;margin-top:101.65pt;height:15.65pt;width:37.15pt;z-index:25167052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v:path/>
            <v:fill on="f" focussize="0,0"/>
            <v:stroke on="f" joinstyle="miter"/>
            <v:imagedata o:title=""/>
            <o:lock v:ext="edit"/>
            <v:textbox inset="0mm,0mm,0mm,0mm">
              <w:txbxContent>
                <w:p w14:paraId="1ED78C29">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05" o:spid="_x0000_s1057" o:spt="202" type="#_x0000_t202" style="position:absolute;left:0pt;margin-left:116.8pt;margin-top:391.3pt;height:15.65pt;width:37.15pt;z-index:251669504;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v:path/>
            <v:fill on="f" focussize="0,0"/>
            <v:stroke on="f" joinstyle="miter"/>
            <v:imagedata o:title=""/>
            <o:lock v:ext="edit"/>
            <v:textbox inset="0mm,0mm,0mm,0mm">
              <w:txbxContent>
                <w:p w14:paraId="0A3A34E6">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04" o:spid="_x0000_s1056" o:spt="202" type="#_x0000_t202" style="position:absolute;left:0pt;margin-left:113.55pt;margin-top:297.25pt;height:15.65pt;width:37.15pt;z-index:251668480;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v:path/>
            <v:fill on="f" focussize="0,0"/>
            <v:stroke on="f" joinstyle="miter"/>
            <v:imagedata o:title=""/>
            <o:lock v:ext="edit"/>
            <v:textbox inset="0mm,0mm,0mm,0mm">
              <w:txbxContent>
                <w:p w14:paraId="51D8BAED">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03" o:spid="_x0000_s1055" o:spt="202" type="#_x0000_t202" style="position:absolute;left:0pt;margin-left:7.2pt;margin-top:119.7pt;height:15.65pt;width:37.15pt;z-index:251667456;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v:path/>
            <v:fill on="f" focussize="0,0"/>
            <v:stroke on="f" joinstyle="miter"/>
            <v:imagedata o:title=""/>
            <o:lock v:ext="edit"/>
            <v:textbox inset="0mm,0mm,0mm,0mm">
              <w:txbxContent>
                <w:p w14:paraId="2DCE90FC">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02" o:spid="_x0000_s1054" o:spt="202" type="#_x0000_t202" style="position:absolute;left:0pt;margin-left:115.2pt;margin-top:156.55pt;height:15.65pt;width:37.15pt;z-index:251666432;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v:path/>
            <v:fill on="f" focussize="0,0"/>
            <v:stroke on="f" joinstyle="miter"/>
            <v:imagedata o:title=""/>
            <o:lock v:ext="edit"/>
            <v:textbox inset="0mm,0mm,0mm,0mm">
              <w:txbxContent>
                <w:p w14:paraId="632FCC85">
                  <w:pPr>
                    <w:snapToGrid w:val="0"/>
                    <w:jc w:val="center"/>
                    <w:rPr>
                      <w:rFonts w:eastAsia="宋体"/>
                      <w:sz w:val="21"/>
                      <w:szCs w:val="24"/>
                    </w:rPr>
                  </w:pPr>
                  <w:r>
                    <w:rPr>
                      <w:rFonts w:eastAsia="宋体" w:cs="宋体"/>
                      <w:sz w:val="21"/>
                    </w:rPr>
                    <w:t>是</w:t>
                  </w:r>
                </w:p>
                <w:p w14:paraId="2569248B">
                  <w:pPr>
                    <w:snapToGrid w:val="0"/>
                    <w:jc w:val="center"/>
                    <w:rPr>
                      <w:rFonts w:eastAsia="宋体"/>
                      <w:sz w:val="21"/>
                      <w:szCs w:val="24"/>
                    </w:rPr>
                  </w:pPr>
                </w:p>
              </w:txbxContent>
            </v:textbox>
          </v:shape>
        </w:pict>
      </w:r>
      <w:r>
        <w:rPr>
          <w:rFonts w:eastAsia="宋体"/>
          <w:sz w:val="24"/>
          <w:szCs w:val="24"/>
          <w:lang w:eastAsia="zh-CN" w:bidi="ar-SA"/>
        </w:rPr>
        <w:pict>
          <v:shape id="Text Box 201" o:spid="_x0000_s1053" o:spt="202" type="#_x0000_t202" style="position:absolute;left:0pt;margin-left:271.5pt;margin-top:334.9pt;height:15.65pt;width:37.15pt;z-index:25166540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v:path/>
            <v:fill on="f" focussize="0,0"/>
            <v:stroke on="f" joinstyle="miter"/>
            <v:imagedata o:title=""/>
            <o:lock v:ext="edit"/>
            <v:textbox inset="0mm,0mm,0mm,0mm">
              <w:txbxContent>
                <w:p w14:paraId="350955E5">
                  <w:pPr>
                    <w:snapToGrid w:val="0"/>
                    <w:jc w:val="center"/>
                    <w:rPr>
                      <w:rFonts w:eastAsia="宋体"/>
                      <w:sz w:val="21"/>
                      <w:szCs w:val="24"/>
                    </w:rPr>
                  </w:pPr>
                  <w:r>
                    <w:rPr>
                      <w:rFonts w:eastAsia="宋体" w:cs="宋体"/>
                      <w:sz w:val="21"/>
                    </w:rPr>
                    <w:t>是</w:t>
                  </w:r>
                </w:p>
                <w:p w14:paraId="1213D507">
                  <w:pPr>
                    <w:snapToGrid w:val="0"/>
                    <w:jc w:val="center"/>
                    <w:rPr>
                      <w:rFonts w:eastAsia="宋体"/>
                      <w:sz w:val="21"/>
                      <w:szCs w:val="24"/>
                    </w:rPr>
                  </w:pPr>
                </w:p>
              </w:txbxContent>
            </v:textbox>
          </v:shape>
        </w:pict>
      </w:r>
      <w:r>
        <w:rPr>
          <w:rFonts w:eastAsia="宋体"/>
          <w:sz w:val="24"/>
          <w:szCs w:val="24"/>
          <w:lang w:eastAsia="zh-CN" w:bidi="ar-SA"/>
        </w:rPr>
        <w:pict>
          <v:shape id="Text Box 200" o:spid="_x0000_s1052" o:spt="202" type="#_x0000_t202" style="position:absolute;left:0pt;margin-left:282.1pt;margin-top:214.65pt;height:15.65pt;width:37.15pt;z-index:251664384;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v:path/>
            <v:fill on="f" focussize="0,0"/>
            <v:stroke on="f" joinstyle="miter"/>
            <v:imagedata o:title=""/>
            <o:lock v:ext="edit"/>
            <v:textbox inset="0mm,0mm,0mm,0mm">
              <w:txbxContent>
                <w:p w14:paraId="5E729995">
                  <w:pPr>
                    <w:snapToGrid w:val="0"/>
                    <w:jc w:val="center"/>
                    <w:rPr>
                      <w:rFonts w:eastAsia="宋体"/>
                      <w:sz w:val="21"/>
                      <w:szCs w:val="24"/>
                    </w:rPr>
                  </w:pPr>
                  <w:r>
                    <w:rPr>
                      <w:rFonts w:eastAsia="宋体" w:cs="宋体"/>
                      <w:sz w:val="21"/>
                    </w:rPr>
                    <w:t>是</w:t>
                  </w:r>
                </w:p>
                <w:p w14:paraId="2CB8E1F5">
                  <w:pPr>
                    <w:snapToGrid w:val="0"/>
                    <w:jc w:val="center"/>
                    <w:rPr>
                      <w:rFonts w:eastAsia="宋体"/>
                      <w:sz w:val="21"/>
                      <w:szCs w:val="24"/>
                    </w:rPr>
                  </w:pPr>
                </w:p>
              </w:txbxContent>
            </v:textbox>
          </v:shape>
        </w:pict>
      </w:r>
      <w:r>
        <w:rPr>
          <w:rFonts w:eastAsia="宋体"/>
          <w:sz w:val="24"/>
          <w:szCs w:val="24"/>
          <w:lang w:eastAsia="zh-CN" w:bidi="ar-SA"/>
        </w:rPr>
        <w:pict>
          <v:shape id="Text Box 199" o:spid="_x0000_s1051" o:spt="202" type="#_x0000_t202" style="position:absolute;left:0pt;margin-left:261.65pt;margin-top:51.15pt;height:15.65pt;width:37.15pt;z-index:251663360;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v:path/>
            <v:fill on="f" focussize="0,0"/>
            <v:stroke on="f" joinstyle="miter"/>
            <v:imagedata o:title=""/>
            <o:lock v:ext="edit"/>
            <v:textbox inset="0mm,0mm,0mm,0mm">
              <w:txbxContent>
                <w:p w14:paraId="038DFE84">
                  <w:pPr>
                    <w:snapToGrid w:val="0"/>
                    <w:jc w:val="center"/>
                    <w:rPr>
                      <w:rFonts w:eastAsia="宋体"/>
                      <w:sz w:val="21"/>
                      <w:szCs w:val="24"/>
                    </w:rPr>
                  </w:pPr>
                  <w:r>
                    <w:rPr>
                      <w:rFonts w:eastAsia="宋体" w:cs="宋体"/>
                      <w:sz w:val="21"/>
                    </w:rPr>
                    <w:t>是</w:t>
                  </w:r>
                </w:p>
                <w:p w14:paraId="3EA76B55">
                  <w:pPr>
                    <w:snapToGrid w:val="0"/>
                    <w:jc w:val="center"/>
                    <w:rPr>
                      <w:rFonts w:eastAsia="宋体"/>
                      <w:sz w:val="21"/>
                      <w:szCs w:val="24"/>
                    </w:rPr>
                  </w:pPr>
                </w:p>
              </w:txbxContent>
            </v:textbox>
          </v:shape>
        </w:pict>
      </w:r>
      <w:r>
        <w:rPr>
          <w:rFonts w:eastAsia="宋体"/>
          <w:sz w:val="24"/>
          <w:szCs w:val="24"/>
          <w:lang w:eastAsia="zh-CN" w:bidi="ar-SA"/>
        </w:rPr>
        <w:pict>
          <v:shape id="Text Box 198" o:spid="_x0000_s1050" o:spt="202" type="#_x0000_t202" style="position:absolute;left:0pt;margin-left:296.85pt;margin-top:51.95pt;height:42.65pt;width:132.85pt;z-index:251662336;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vEMQA&#10;AADbAAAADwAAAGRycy9kb3ducmV2LnhtbESPQWvCQBSE7wX/w/IEL8Vs9NCWmFViRNtLD0n9AY/s&#10;Mwlm34bsqtFf7xYKPQ4z8w2TbkbTiSsNrrWsYBHFIIgrq1uuFRx/9vMPEM4ja+wsk4I7OdisJy8p&#10;JtreuKBr6WsRIOwSVNB43ydSuqohgy6yPXHwTnYw6IMcaqkHvAW46eQyjt+kwZbDQoM95Q1V5/Ji&#10;FFBW2Mf32R1Msd3lh1PL9Co/lZpNx2wFwtPo/8N/7S+tYPkOv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rxDEAAAA2wAAAA8AAAAAAAAAAAAAAAAAmAIAAGRycy9k&#10;b3ducmV2LnhtbFBLBQYAAAAABAAEAPUAAACJAwAAAAA=&#10;">
            <v:path/>
            <v:fill on="f" focussize="0,0"/>
            <v:stroke on="f" joinstyle="miter"/>
            <v:imagedata o:title=""/>
            <o:lock v:ext="edit"/>
            <v:textbox inset="0mm,0mm,0mm,0mm">
              <w:txbxContent>
                <w:p w14:paraId="5162A679">
                  <w:pPr>
                    <w:snapToGrid w:val="0"/>
                    <w:jc w:val="center"/>
                    <w:rPr>
                      <w:rFonts w:eastAsia="宋体"/>
                      <w:sz w:val="21"/>
                      <w:szCs w:val="24"/>
                      <w:lang w:eastAsia="zh-CN"/>
                    </w:rPr>
                  </w:pPr>
                  <w:r>
                    <w:rPr>
                      <w:rFonts w:eastAsia="宋体" w:cs="宋体"/>
                      <w:sz w:val="21"/>
                      <w:lang w:eastAsia="zh-CN"/>
                    </w:rPr>
                    <w:t>需要15天报告（</w:t>
                  </w:r>
                  <w:r>
                    <w:rPr>
                      <w:rFonts w:eastAsia="宋体" w:cs="宋体"/>
                      <w:i/>
                      <w:sz w:val="21"/>
                      <w:lang w:eastAsia="zh-CN"/>
                    </w:rPr>
                    <w:t>评估是否需要其他ICSR类型</w:t>
                  </w:r>
                  <w:r>
                    <w:rPr>
                      <w:rFonts w:eastAsia="宋体" w:cs="宋体"/>
                      <w:sz w:val="21"/>
                      <w:lang w:eastAsia="zh-CN"/>
                    </w:rPr>
                    <w:t>）</w:t>
                  </w:r>
                </w:p>
              </w:txbxContent>
            </v:textbox>
          </v:shape>
        </w:pict>
      </w:r>
      <w:r>
        <w:rPr>
          <w:rFonts w:eastAsia="宋体"/>
          <w:sz w:val="24"/>
          <w:szCs w:val="24"/>
          <w:lang w:eastAsia="zh-CN" w:bidi="ar-SA"/>
        </w:rPr>
        <w:pict>
          <v:shape id="Text Box 196" o:spid="_x0000_s1048" o:spt="202" type="#_x0000_t202" style="position:absolute;left:0pt;margin-left:38.8pt;margin-top:9.6pt;height:13.6pt;width:224.75pt;z-index:25166028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y48YA&#10;AADbAAAADwAAAGRycy9kb3ducmV2LnhtbESPQWsCMRSE70L/Q3gFL6LZWiuyGkWkQtuLdOvF22Pz&#10;3KxuXpYkq9t/3xQKPQ4z8w2z2vS2ETfyoXas4GmSgSAuna65UnD82o8XIEJE1tg4JgXfFGCzfhis&#10;MNfuzp90K2IlEoRDjgpMjG0uZSgNWQwT1xIn7+y8xZikr6T2eE9w28hpls2lxZrTgsGWdobKa9FZ&#10;BYfZ6WBG3fn1Yzt79u/Hbje/VIVSw8d+uwQRqY//4b/2m1YwfYH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ry48YAAADbAAAADwAAAAAAAAAAAAAAAACYAgAAZHJz&#10;L2Rvd25yZXYueG1sUEsFBgAAAAAEAAQA9QAAAIsDAAAAAA==&#10;">
            <v:path/>
            <v:fill on="f" focussize="0,0"/>
            <v:stroke on="f" joinstyle="miter"/>
            <v:imagedata o:title=""/>
            <o:lock v:ext="edit"/>
            <v:textbox inset="0mm,0mm,0mm,0mm" style="mso-fit-shape-to-text:t;">
              <w:txbxContent>
                <w:p w14:paraId="0D34F82F">
                  <w:pPr>
                    <w:snapToGrid w:val="0"/>
                    <w:jc w:val="center"/>
                    <w:rPr>
                      <w:rFonts w:eastAsia="宋体"/>
                      <w:sz w:val="21"/>
                      <w:szCs w:val="24"/>
                      <w:lang w:eastAsia="zh-CN"/>
                    </w:rPr>
                  </w:pPr>
                  <w:r>
                    <w:rPr>
                      <w:rFonts w:eastAsia="宋体" w:cs="宋体"/>
                      <w:sz w:val="21"/>
                      <w:lang w:eastAsia="zh-CN"/>
                    </w:rPr>
                    <w:t>向组合产品申请人报告的事件</w:t>
                  </w:r>
                </w:p>
              </w:txbxContent>
            </v:textbox>
          </v:shape>
        </w:pict>
      </w:r>
      <w:r>
        <w:rPr>
          <w:rFonts w:eastAsia="宋体"/>
          <w:sz w:val="24"/>
          <w:szCs w:val="24"/>
          <w:lang w:eastAsia="zh-CN" w:bidi="ar-SA"/>
        </w:rPr>
        <w:pict>
          <v:shape id="Text Box 212" o:spid="_x0000_s1046" o:spt="202" type="#_x0000_t202" style="position:absolute;left:0pt;margin-left:379.05pt;margin-top:406.95pt;height:28.8pt;width:98.8pt;z-index:251659264;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pE8MA&#10;AADbAAAADwAAAGRycy9kb3ducmV2LnhtbESPQWvCQBSE7wX/w/IEL8VstFBKzCoxou2lh6T+gEf2&#10;mQSzb0N21eivdwuFHoeZ+YZJN6PpxJUG11pWsIhiEMSV1S3XCo4/+/kHCOeRNXaWScGdHGzWk5cU&#10;E21vXNC19LUIEHYJKmi87xMpXdWQQRfZnjh4JzsY9EEOtdQD3gLcdHIZx+/SYMthocGe8oaqc3kx&#10;Cigr7OP77A6m2O7yw6llepWfSs2mY7YC4Wn0/+G/9pdWsHyD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ipE8MAAADbAAAADwAAAAAAAAAAAAAAAACYAgAAZHJzL2Rv&#10;d25yZXYueG1sUEsFBgAAAAAEAAQA9QAAAIgDAAAAAA==&#10;">
            <v:path/>
            <v:fill on="f" focussize="0,0"/>
            <v:stroke on="f" joinstyle="miter"/>
            <v:imagedata o:title=""/>
            <o:lock v:ext="edit"/>
            <v:textbox inset="0mm,0mm,0mm,0mm">
              <w:txbxContent>
                <w:p w14:paraId="1136847F">
                  <w:pPr>
                    <w:snapToGrid w:val="0"/>
                    <w:jc w:val="center"/>
                    <w:rPr>
                      <w:rFonts w:eastAsia="宋体"/>
                      <w:sz w:val="21"/>
                      <w:szCs w:val="24"/>
                    </w:rPr>
                  </w:pPr>
                  <w:r>
                    <w:rPr>
                      <w:rFonts w:eastAsia="宋体" w:cs="宋体"/>
                      <w:sz w:val="21"/>
                    </w:rPr>
                    <w:t>纳入定期报告</w:t>
                  </w:r>
                </w:p>
              </w:txbxContent>
            </v:textbox>
          </v:shape>
        </w:pict>
      </w:r>
      <w:r>
        <w:rPr>
          <w:rFonts w:eastAsia="宋体"/>
          <w:snapToGrid w:val="0"/>
          <w:sz w:val="24"/>
          <w:szCs w:val="24"/>
          <w:lang w:eastAsia="zh-CN" w:bidi="ar-SA"/>
        </w:rPr>
        <w:pict>
          <v:shape id="_x0000_i1025" o:spt="75" type="#_x0000_t75" style="height:435pt;width:477.6pt;" filled="f" o:preferrelative="t" stroked="f" coordsize="21600,21600">
            <v:path/>
            <v:fill on="f" focussize="0,0"/>
            <v:stroke on="f" joinstyle="miter"/>
            <v:imagedata r:id="rId10" o:title=""/>
            <o:lock v:ext="edit" aspectratio="t"/>
            <w10:wrap type="none"/>
            <w10:anchorlock/>
          </v:shape>
        </w:pict>
      </w:r>
    </w:p>
    <w:p w14:paraId="49A9D7D6">
      <w:pPr>
        <w:autoSpaceDE/>
        <w:autoSpaceDN/>
        <w:snapToGrid w:val="0"/>
        <w:jc w:val="both"/>
        <w:rPr>
          <w:rFonts w:eastAsia="宋体"/>
          <w:snapToGrid w:val="0"/>
          <w:sz w:val="24"/>
          <w:szCs w:val="24"/>
          <w:lang w:eastAsia="zh-CN"/>
        </w:rPr>
      </w:pPr>
    </w:p>
    <w:p w14:paraId="0FC41285">
      <w:pPr>
        <w:pStyle w:val="7"/>
        <w:autoSpaceDE/>
        <w:autoSpaceDN/>
        <w:snapToGrid w:val="0"/>
        <w:jc w:val="both"/>
        <w:rPr>
          <w:rFonts w:eastAsia="宋体"/>
          <w:snapToGrid w:val="0"/>
          <w:sz w:val="21"/>
          <w:szCs w:val="21"/>
          <w:lang w:eastAsia="zh-CN"/>
        </w:rPr>
      </w:pPr>
    </w:p>
    <w:p w14:paraId="6D2EF8E2">
      <w:pPr>
        <w:pStyle w:val="7"/>
        <w:autoSpaceDE/>
        <w:autoSpaceDN/>
        <w:snapToGrid w:val="0"/>
        <w:jc w:val="both"/>
        <w:rPr>
          <w:rFonts w:eastAsia="宋体"/>
          <w:snapToGrid w:val="0"/>
          <w:sz w:val="21"/>
          <w:szCs w:val="21"/>
          <w:lang w:eastAsia="zh-CN"/>
        </w:rPr>
      </w:pPr>
      <w:r>
        <w:rPr>
          <w:rFonts w:hint="eastAsia" w:eastAsia="宋体"/>
          <w:snapToGrid w:val="0"/>
          <w:sz w:val="21"/>
          <w:szCs w:val="21"/>
          <w:lang w:eastAsia="zh-CN"/>
        </w:rPr>
        <w:t>*本图表仅涵盖组合产品PMSR最终规则（《美国联邦法规》第21篇第4.101和4.102节）下的ICSR报告。还可能需要其他报告类型（更正和移除报告、现场警示报告、生物制品偏差报告）。注意，第IV.C节和第V.A.3节中讨论的通过综合ICSR和/或包括更正/移除信息进行简化的选项。对于ICSR，有后续报告的相关要求（关于条例中后续报告要求的讨论，参见第IV.A.4节）。</w:t>
      </w:r>
    </w:p>
    <w:p w14:paraId="629EEF38">
      <w:pPr>
        <w:pStyle w:val="7"/>
        <w:autoSpaceDE/>
        <w:autoSpaceDN/>
        <w:snapToGrid w:val="0"/>
        <w:jc w:val="both"/>
        <w:rPr>
          <w:rFonts w:eastAsia="宋体"/>
          <w:lang w:eastAsia="zh-CN"/>
        </w:rPr>
      </w:pPr>
      <w:r>
        <w:rPr>
          <w:rFonts w:eastAsia="宋体"/>
          <w:lang w:eastAsia="zh-CN"/>
        </w:rPr>
        <w:br w:type="page"/>
      </w:r>
    </w:p>
    <w:p w14:paraId="14E560C6">
      <w:pPr>
        <w:pStyle w:val="4"/>
        <w:autoSpaceDE/>
        <w:autoSpaceDN/>
        <w:spacing w:before="0" w:beforeLines="0" w:line="240" w:lineRule="auto"/>
        <w:jc w:val="both"/>
        <w:rPr>
          <w:sz w:val="24"/>
          <w:lang w:eastAsia="zh-CN"/>
        </w:rPr>
      </w:pPr>
      <w:r>
        <w:rPr>
          <w:rFonts w:hint="eastAsia"/>
          <w:sz w:val="24"/>
          <w:lang w:eastAsia="zh-CN"/>
        </w:rPr>
        <w:t>图表</w:t>
      </w:r>
      <w:r>
        <w:rPr>
          <w:sz w:val="24"/>
          <w:lang w:eastAsia="zh-CN"/>
        </w:rPr>
        <w:t>2.2.</w:t>
      </w:r>
      <w:r>
        <w:rPr>
          <w:rFonts w:hint="eastAsia"/>
          <w:sz w:val="24"/>
          <w:lang w:eastAsia="zh-CN"/>
        </w:rPr>
        <w:t>根据器械申请上市的组合产品</w:t>
      </w:r>
      <w:r>
        <w:rPr>
          <w:sz w:val="24"/>
          <w:lang w:eastAsia="zh-CN"/>
        </w:rPr>
        <w:t>ICSR</w:t>
      </w:r>
      <w:r>
        <w:rPr>
          <w:rFonts w:hint="eastAsia"/>
          <w:sz w:val="24"/>
          <w:lang w:eastAsia="zh-CN"/>
        </w:rPr>
        <w:t>报告要求</w:t>
      </w:r>
      <w:r>
        <w:rPr>
          <w:sz w:val="24"/>
          <w:lang w:eastAsia="zh-CN"/>
        </w:rPr>
        <w:t>*</w:t>
      </w:r>
    </w:p>
    <w:p w14:paraId="6CE02607">
      <w:pPr>
        <w:pStyle w:val="7"/>
        <w:autoSpaceDE/>
        <w:autoSpaceDN/>
        <w:snapToGrid w:val="0"/>
        <w:jc w:val="both"/>
        <w:rPr>
          <w:rFonts w:eastAsia="宋体"/>
          <w:snapToGrid w:val="0"/>
          <w:lang w:eastAsia="zh-CN"/>
        </w:rPr>
      </w:pPr>
    </w:p>
    <w:p w14:paraId="2705C51C">
      <w:pPr>
        <w:autoSpaceDE/>
        <w:autoSpaceDN/>
        <w:snapToGrid w:val="0"/>
        <w:jc w:val="both"/>
        <w:rPr>
          <w:rFonts w:eastAsia="宋体"/>
          <w:snapToGrid w:val="0"/>
          <w:sz w:val="24"/>
          <w:szCs w:val="24"/>
          <w:lang w:eastAsia="zh-CN"/>
        </w:rPr>
      </w:pPr>
      <w:r>
        <w:rPr>
          <w:rFonts w:eastAsia="宋体"/>
          <w:sz w:val="24"/>
          <w:szCs w:val="24"/>
          <w:lang w:eastAsia="zh-CN" w:bidi="ar-SA"/>
        </w:rPr>
        <w:pict>
          <v:shape id="Text Box 234" o:spid="_x0000_s1043" o:spt="202" type="#_x0000_t202" style="position:absolute;left:0pt;margin-left:356.45pt;margin-top:396.05pt;height:20.55pt;width:75.1pt;z-index:251694080;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v:path/>
            <v:fill on="f" focussize="0,0"/>
            <v:stroke on="f" joinstyle="miter"/>
            <v:imagedata o:title=""/>
            <o:lock v:ext="edit"/>
            <v:textbox inset="0mm,0mm,0mm,0mm">
              <w:txbxContent>
                <w:p w14:paraId="2CE521D4">
                  <w:pPr>
                    <w:snapToGrid w:val="0"/>
                    <w:jc w:val="both"/>
                    <w:rPr>
                      <w:rFonts w:eastAsia="宋体"/>
                      <w:sz w:val="21"/>
                      <w:szCs w:val="24"/>
                    </w:rPr>
                  </w:pPr>
                  <w:r>
                    <w:rPr>
                      <w:rFonts w:eastAsia="宋体" w:cs="宋体"/>
                      <w:sz w:val="21"/>
                    </w:rPr>
                    <w:t>需要5天报告</w:t>
                  </w:r>
                </w:p>
              </w:txbxContent>
            </v:textbox>
          </v:shape>
        </w:pict>
      </w:r>
      <w:r>
        <w:rPr>
          <w:rFonts w:eastAsia="宋体"/>
          <w:sz w:val="24"/>
          <w:szCs w:val="24"/>
          <w:lang w:eastAsia="zh-CN" w:bidi="ar-SA"/>
        </w:rPr>
        <w:pict>
          <v:shape id="Text Box 232" o:spid="_x0000_s1041" o:spt="202" type="#_x0000_t202" style="position:absolute;left:0pt;margin-left:153.25pt;margin-top:392pt;height:48.5pt;width:152.5pt;z-index:251692032;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v:path/>
            <v:fill on="f" focussize="0,0"/>
            <v:stroke on="f" joinstyle="miter"/>
            <v:imagedata o:title=""/>
            <o:lock v:ext="edit"/>
            <v:textbox inset="0mm,0mm,0mm,0mm">
              <w:txbxContent>
                <w:p w14:paraId="13DCD408">
                  <w:pPr>
                    <w:snapToGrid w:val="0"/>
                    <w:jc w:val="center"/>
                    <w:rPr>
                      <w:rFonts w:eastAsia="宋体"/>
                      <w:sz w:val="21"/>
                      <w:szCs w:val="24"/>
                      <w:lang w:eastAsia="zh-CN"/>
                    </w:rPr>
                  </w:pPr>
                  <w:r>
                    <w:rPr>
                      <w:rFonts w:eastAsia="宋体" w:cs="宋体"/>
                      <w:sz w:val="21"/>
                      <w:lang w:eastAsia="zh-CN"/>
                    </w:rPr>
                    <w:t>该事件是否需要采取补救措施，以防止对公众健康造成重大伤害的不合理风险？</w:t>
                  </w:r>
                </w:p>
              </w:txbxContent>
            </v:textbox>
          </v:shape>
        </w:pict>
      </w:r>
      <w:r>
        <w:rPr>
          <w:rFonts w:eastAsia="宋体"/>
          <w:sz w:val="24"/>
          <w:szCs w:val="24"/>
          <w:lang w:eastAsia="zh-CN" w:bidi="ar-SA"/>
        </w:rPr>
        <w:pict>
          <v:shape id="Text Box 230" o:spid="_x0000_s1039" o:spt="202" type="#_x0000_t202" style="position:absolute;left:0pt;margin-left:134.95pt;margin-top:250.85pt;height:60pt;width:188.05pt;z-index:251689984;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ANr0A&#10;AADbAAAADwAAAGRycy9kb3ducmV2LnhtbERPSwrCMBDdC94hjOBGNNWFSDWKH/xsXFQ9wNCMbbGZ&#10;lCZq9fRGENzN431ntmhMKR5Uu8KyguEgAkGcWl1wpuBy3vYnIJxH1lhaJgUvcrCYt1szjLV9ckKP&#10;k89ECGEXo4Lc+yqW0qU5GXQDWxEH7mprgz7AOpO6xmcIN6UcRdFYGiw4NORY0Tqn9Ha6GwW0TOz7&#10;eHM7k6w26921YOrJvVLdTrOcgvDU+L/45z7oMH8M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PANr0AAADbAAAADwAAAAAAAAAAAAAAAACYAgAAZHJzL2Rvd25yZXYu&#10;eG1sUEsFBgAAAAAEAAQA9QAAAIIDAAAAAA==&#10;">
            <v:path/>
            <v:fill on="f" focussize="0,0"/>
            <v:stroke on="f" joinstyle="miter"/>
            <v:imagedata o:title=""/>
            <o:lock v:ext="edit"/>
            <v:textbox inset="0mm,0mm,0mm,0mm">
              <w:txbxContent>
                <w:p w14:paraId="6CBFCE2C">
                  <w:pPr>
                    <w:snapToGrid w:val="0"/>
                    <w:jc w:val="center"/>
                    <w:rPr>
                      <w:rFonts w:eastAsia="宋体"/>
                      <w:sz w:val="21"/>
                      <w:szCs w:val="24"/>
                      <w:lang w:eastAsia="zh-CN"/>
                    </w:rPr>
                  </w:pPr>
                  <w:r>
                    <w:rPr>
                      <w:rFonts w:eastAsia="宋体" w:cs="宋体"/>
                      <w:sz w:val="21"/>
                      <w:lang w:eastAsia="zh-CN"/>
                    </w:rPr>
                    <w:t>信息是否合理地表明产品出现</w:t>
                  </w:r>
                  <w:r>
                    <w:rPr>
                      <w:rFonts w:hint="eastAsia" w:eastAsia="宋体" w:cs="宋体"/>
                      <w:sz w:val="21"/>
                      <w:lang w:eastAsia="zh-CN"/>
                    </w:rPr>
                    <w:t>故障</w:t>
                  </w:r>
                  <w:r>
                    <w:rPr>
                      <w:rFonts w:eastAsia="宋体" w:cs="宋体"/>
                      <w:sz w:val="21"/>
                      <w:lang w:eastAsia="zh-CN"/>
                    </w:rPr>
                    <w:t>，并且如果该</w:t>
                  </w:r>
                  <w:r>
                    <w:rPr>
                      <w:rFonts w:hint="eastAsia" w:eastAsia="宋体" w:cs="宋体"/>
                      <w:sz w:val="21"/>
                      <w:lang w:eastAsia="zh-CN"/>
                    </w:rPr>
                    <w:t>故障</w:t>
                  </w:r>
                  <w:r>
                    <w:rPr>
                      <w:rFonts w:eastAsia="宋体" w:cs="宋体"/>
                      <w:sz w:val="21"/>
                      <w:lang w:eastAsia="zh-CN"/>
                    </w:rPr>
                    <w:t>再次发生，申请人销售的产品或同品种产品可能导致或促成死亡或重伤？</w:t>
                  </w:r>
                </w:p>
              </w:txbxContent>
            </v:textbox>
          </v:shape>
        </w:pict>
      </w:r>
      <w:r>
        <w:rPr>
          <w:rFonts w:eastAsia="宋体"/>
          <w:sz w:val="24"/>
          <w:szCs w:val="24"/>
          <w:lang w:eastAsia="zh-CN" w:bidi="ar-SA"/>
        </w:rPr>
        <w:pict>
          <v:shape id="Text Box 224" o:spid="_x0000_s1033" o:spt="202" type="#_x0000_t202" style="position:absolute;left:0pt;margin-left:63.3pt;margin-top:253.25pt;height:15.65pt;width:24.5pt;z-index:251683840;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v:path/>
            <v:fill on="f" focussize="0,0"/>
            <v:stroke on="f" joinstyle="miter"/>
            <v:imagedata o:title=""/>
            <o:lock v:ext="edit"/>
            <v:textbox inset="0mm,0mm,0mm,0mm">
              <w:txbxContent>
                <w:p w14:paraId="0F596896">
                  <w:pPr>
                    <w:snapToGrid w:val="0"/>
                    <w:jc w:val="center"/>
                    <w:rPr>
                      <w:rFonts w:eastAsia="宋体"/>
                      <w:sz w:val="21"/>
                      <w:szCs w:val="24"/>
                    </w:rPr>
                  </w:pPr>
                  <w:r>
                    <w:rPr>
                      <w:rFonts w:eastAsia="宋体" w:cs="宋体"/>
                      <w:sz w:val="21"/>
                    </w:rPr>
                    <w:t>是</w:t>
                  </w:r>
                </w:p>
                <w:p w14:paraId="3F864386">
                  <w:pPr>
                    <w:snapToGrid w:val="0"/>
                    <w:jc w:val="center"/>
                    <w:rPr>
                      <w:rFonts w:eastAsia="宋体"/>
                      <w:sz w:val="21"/>
                      <w:szCs w:val="24"/>
                    </w:rPr>
                  </w:pPr>
                </w:p>
              </w:txbxContent>
            </v:textbox>
          </v:shape>
        </w:pict>
      </w:r>
      <w:r>
        <w:rPr>
          <w:rFonts w:eastAsia="宋体"/>
          <w:sz w:val="24"/>
          <w:szCs w:val="24"/>
          <w:lang w:eastAsia="zh-CN" w:bidi="ar-SA"/>
        </w:rPr>
        <w:pict>
          <v:shape id="Text Box 229" o:spid="_x0000_s1038" o:spt="202" type="#_x0000_t202" style="position:absolute;left:0pt;margin-left:1.15pt;margin-top:240.4pt;height:57.7pt;width:60.65pt;z-index:251688960;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eQcAA&#10;AADbAAAADwAAAGRycy9kb3ducmV2LnhtbERPzYrCMBC+C/sOYRa8iKa7oE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FeQcAAAADbAAAADwAAAAAAAAAAAAAAAACYAgAAZHJzL2Rvd25y&#10;ZXYueG1sUEsFBgAAAAAEAAQA9QAAAIUDAAAAAA==&#10;">
            <v:path/>
            <v:fill on="f" focussize="0,0"/>
            <v:stroke on="f" joinstyle="miter"/>
            <v:imagedata o:title=""/>
            <o:lock v:ext="edit"/>
            <v:textbox inset="0mm,0mm,0mm,0mm">
              <w:txbxContent>
                <w:p w14:paraId="1877ADB1">
                  <w:pPr>
                    <w:snapToGrid w:val="0"/>
                    <w:jc w:val="center"/>
                    <w:rPr>
                      <w:rFonts w:eastAsia="宋体"/>
                      <w:sz w:val="21"/>
                      <w:szCs w:val="24"/>
                      <w:lang w:eastAsia="zh-CN"/>
                    </w:rPr>
                  </w:pPr>
                  <w:r>
                    <w:rPr>
                      <w:rFonts w:eastAsia="宋体" w:cs="宋体"/>
                      <w:sz w:val="21"/>
                      <w:lang w:eastAsia="zh-CN"/>
                    </w:rPr>
                    <w:t>需要</w:t>
                  </w:r>
                  <w:r>
                    <w:rPr>
                      <w:rFonts w:hint="eastAsia" w:eastAsia="宋体" w:cs="宋体"/>
                      <w:sz w:val="21"/>
                      <w:lang w:eastAsia="zh-CN"/>
                    </w:rPr>
                    <w:t>故障</w:t>
                  </w:r>
                  <w:r>
                    <w:rPr>
                      <w:rFonts w:eastAsia="宋体" w:cs="宋体"/>
                      <w:sz w:val="21"/>
                      <w:lang w:eastAsia="zh-CN"/>
                    </w:rPr>
                    <w:t>报告（</w:t>
                  </w:r>
                  <w:r>
                    <w:rPr>
                      <w:rFonts w:eastAsia="宋体" w:cs="宋体"/>
                      <w:i/>
                      <w:sz w:val="21"/>
                      <w:lang w:eastAsia="zh-CN"/>
                    </w:rPr>
                    <w:t>评估是否需要其他ICSR类型）</w:t>
                  </w:r>
                </w:p>
              </w:txbxContent>
            </v:textbox>
          </v:shape>
        </w:pict>
      </w:r>
      <w:r>
        <w:rPr>
          <w:rFonts w:eastAsia="宋体"/>
          <w:sz w:val="24"/>
          <w:szCs w:val="24"/>
          <w:lang w:eastAsia="zh-CN" w:bidi="ar-SA"/>
        </w:rPr>
        <w:pict>
          <v:shape id="Text Box 220" o:spid="_x0000_s1029" o:spt="202" type="#_x0000_t202" style="position:absolute;left:0pt;margin-left:397pt;margin-top:124.6pt;height:58.8pt;width:78.1pt;z-index:251679744;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v:path/>
            <v:fill on="f" focussize="0,0"/>
            <v:stroke on="f" joinstyle="miter"/>
            <v:imagedata o:title=""/>
            <o:lock v:ext="edit"/>
            <v:textbox inset="0mm,0mm,0mm,0mm">
              <w:txbxContent>
                <w:p w14:paraId="0D0FF983">
                  <w:pPr>
                    <w:snapToGrid w:val="0"/>
                    <w:jc w:val="center"/>
                    <w:rPr>
                      <w:rFonts w:eastAsia="宋体"/>
                      <w:sz w:val="21"/>
                      <w:szCs w:val="24"/>
                      <w:lang w:eastAsia="zh-CN"/>
                    </w:rPr>
                  </w:pPr>
                  <w:r>
                    <w:rPr>
                      <w:rFonts w:eastAsia="宋体" w:cs="宋体"/>
                      <w:sz w:val="21"/>
                      <w:lang w:eastAsia="zh-CN"/>
                    </w:rPr>
                    <w:t>需要死亡或重伤报告（</w:t>
                  </w:r>
                  <w:r>
                    <w:rPr>
                      <w:rFonts w:eastAsia="宋体" w:cs="宋体"/>
                      <w:i/>
                      <w:sz w:val="21"/>
                      <w:lang w:eastAsia="zh-CN"/>
                    </w:rPr>
                    <w:t>评估是否需要其他ICSR类型</w:t>
                  </w:r>
                  <w:r>
                    <w:rPr>
                      <w:rFonts w:eastAsia="宋体" w:cs="宋体"/>
                      <w:sz w:val="21"/>
                      <w:lang w:eastAsia="zh-CN"/>
                    </w:rPr>
                    <w:t>）</w:t>
                  </w:r>
                </w:p>
              </w:txbxContent>
            </v:textbox>
          </v:shape>
        </w:pict>
      </w:r>
      <w:r>
        <w:rPr>
          <w:rFonts w:eastAsia="宋体"/>
          <w:sz w:val="24"/>
          <w:szCs w:val="24"/>
          <w:lang w:eastAsia="zh-CN" w:bidi="ar-SA"/>
        </w:rPr>
        <w:pict>
          <v:shape id="Text Box 222" o:spid="_x0000_s1031" o:spt="202" type="#_x0000_t202" style="position:absolute;left:0pt;margin-left:372.35pt;margin-top:135.85pt;height:15.65pt;width:23.15pt;z-index:251681792;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v:path/>
            <v:fill on="f" focussize="0,0"/>
            <v:stroke on="f" joinstyle="miter"/>
            <v:imagedata o:title=""/>
            <o:lock v:ext="edit"/>
            <v:textbox inset="0mm,0mm,0mm,0mm">
              <w:txbxContent>
                <w:p w14:paraId="7052A8D1">
                  <w:pPr>
                    <w:snapToGrid w:val="0"/>
                    <w:jc w:val="center"/>
                    <w:rPr>
                      <w:rFonts w:eastAsia="宋体"/>
                      <w:sz w:val="21"/>
                      <w:szCs w:val="24"/>
                    </w:rPr>
                  </w:pPr>
                  <w:r>
                    <w:rPr>
                      <w:rFonts w:eastAsia="宋体" w:cs="宋体"/>
                      <w:sz w:val="21"/>
                    </w:rPr>
                    <w:t>是</w:t>
                  </w:r>
                </w:p>
                <w:p w14:paraId="0FD120FD">
                  <w:pPr>
                    <w:snapToGrid w:val="0"/>
                    <w:jc w:val="center"/>
                    <w:rPr>
                      <w:rFonts w:eastAsia="宋体"/>
                      <w:sz w:val="21"/>
                      <w:szCs w:val="24"/>
                    </w:rPr>
                  </w:pPr>
                </w:p>
              </w:txbxContent>
            </v:textbox>
          </v:shape>
        </w:pict>
      </w:r>
      <w:r>
        <w:rPr>
          <w:rFonts w:eastAsia="宋体"/>
          <w:sz w:val="24"/>
          <w:szCs w:val="24"/>
          <w:lang w:eastAsia="zh-CN" w:bidi="ar-SA"/>
        </w:rPr>
        <w:pict>
          <v:shape id="Text Box 231" o:spid="_x0000_s1040" o:spt="202" type="#_x0000_t202" style="position:absolute;left:0pt;margin-left:137.45pt;margin-top:138.85pt;height:38.55pt;width:181.35pt;z-index:251691008;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lrcAA&#10;AADbAAAADwAAAGRycy9kb3ducmV2LnhtbERPzYrCMBC+C/sOYRa8iKa7B5VqKq6y6sVDu/sAQzP9&#10;wWZSmqjVpzeC4G0+vt9ZrnrTiAt1rras4GsSgSDOra65VPD/9zueg3AeWWNjmRTcyMEq+RgsMdb2&#10;yildMl+KEMIuRgWV920spcsrMugmtiUOXGE7gz7ArpS6w2sIN438jqKpNFhzaKiwpU1F+Sk7GwW0&#10;Tu39eHI7k/5sN7uiZhrJvVLDz369AOGp92/xy33QYf4M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9lrcAAAADbAAAADwAAAAAAAAAAAAAAAACYAgAAZHJzL2Rvd25y&#10;ZXYueG1sUEsFBgAAAAAEAAQA9QAAAIUDAAAAAA==&#10;">
            <v:path/>
            <v:fill on="f" focussize="0,0"/>
            <v:stroke on="f" joinstyle="miter"/>
            <v:imagedata o:title=""/>
            <o:lock v:ext="edit"/>
            <v:textbox inset="0mm,0mm,0mm,0mm">
              <w:txbxContent>
                <w:p w14:paraId="74A153A5">
                  <w:pPr>
                    <w:snapToGrid w:val="0"/>
                    <w:jc w:val="center"/>
                    <w:rPr>
                      <w:rFonts w:eastAsia="宋体"/>
                      <w:sz w:val="21"/>
                      <w:szCs w:val="24"/>
                      <w:lang w:eastAsia="zh-CN"/>
                    </w:rPr>
                  </w:pPr>
                  <w:r>
                    <w:rPr>
                      <w:rFonts w:eastAsia="宋体" w:cs="宋体"/>
                      <w:sz w:val="21"/>
                      <w:lang w:eastAsia="zh-CN"/>
                    </w:rPr>
                    <w:t>该信息是否合理地表明产品可能导致或促成死亡或重伤？</w:t>
                  </w:r>
                </w:p>
              </w:txbxContent>
            </v:textbox>
          </v:shape>
        </w:pict>
      </w:r>
      <w:r>
        <w:rPr>
          <w:rFonts w:eastAsia="宋体"/>
          <w:sz w:val="24"/>
          <w:szCs w:val="24"/>
          <w:lang w:eastAsia="zh-CN" w:bidi="ar-SA"/>
        </w:rPr>
        <w:pict>
          <v:shape id="Text Box 228" o:spid="_x0000_s1037" o:spt="202" type="#_x0000_t202" style="position:absolute;left:0pt;margin-left:230.95pt;margin-top:105.15pt;height:15.65pt;width:37.15pt;z-index:251687936;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v:path/>
            <v:fill on="f" focussize="0,0"/>
            <v:stroke on="f" joinstyle="miter"/>
            <v:imagedata o:title=""/>
            <o:lock v:ext="edit"/>
            <v:textbox inset="0mm,0mm,0mm,0mm">
              <w:txbxContent>
                <w:p w14:paraId="10D30EE7">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27" o:spid="_x0000_s1036" o:spt="202" type="#_x0000_t202" style="position:absolute;left:0pt;margin-left:193.8pt;margin-top:458.1pt;height:15.65pt;width:37.15pt;z-index:251686912;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v:path/>
            <v:fill on="f" focussize="0,0"/>
            <v:stroke on="f" joinstyle="miter"/>
            <v:imagedata o:title=""/>
            <o:lock v:ext="edit"/>
            <v:textbox inset="0mm,0mm,0mm,0mm">
              <w:txbxContent>
                <w:p w14:paraId="7880DAAB">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26" o:spid="_x0000_s1035" o:spt="202" type="#_x0000_t202" style="position:absolute;left:0pt;margin-left:193.8pt;margin-top:337.9pt;height:15.65pt;width:37.15pt;z-index:25168588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v:path/>
            <v:fill on="f" focussize="0,0"/>
            <v:stroke on="f" joinstyle="miter"/>
            <v:imagedata o:title=""/>
            <o:lock v:ext="edit"/>
            <v:textbox inset="0mm,0mm,0mm,0mm">
              <w:txbxContent>
                <w:p w14:paraId="169DA61D">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25" o:spid="_x0000_s1034" o:spt="202" type="#_x0000_t202" style="position:absolute;left:0pt;margin-left:189.9pt;margin-top:189.8pt;height:15.65pt;width:37.15pt;z-index:251684864;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v:path/>
            <v:fill on="f" focussize="0,0"/>
            <v:stroke on="f" joinstyle="miter"/>
            <v:imagedata o:title=""/>
            <o:lock v:ext="edit"/>
            <v:textbox inset="0mm,0mm,0mm,0mm">
              <w:txbxContent>
                <w:p w14:paraId="67D70E8B">
                  <w:pPr>
                    <w:snapToGrid w:val="0"/>
                    <w:jc w:val="center"/>
                    <w:rPr>
                      <w:rFonts w:eastAsia="宋体"/>
                      <w:sz w:val="21"/>
                      <w:szCs w:val="24"/>
                    </w:rPr>
                  </w:pPr>
                  <w:r>
                    <w:rPr>
                      <w:rFonts w:eastAsia="宋体" w:cs="宋体"/>
                      <w:sz w:val="21"/>
                    </w:rPr>
                    <w:t>否</w:t>
                  </w:r>
                </w:p>
              </w:txbxContent>
            </v:textbox>
          </v:shape>
        </w:pict>
      </w:r>
      <w:r>
        <w:rPr>
          <w:rFonts w:eastAsia="宋体"/>
          <w:sz w:val="24"/>
          <w:szCs w:val="24"/>
          <w:lang w:eastAsia="zh-CN" w:bidi="ar-SA"/>
        </w:rPr>
        <w:pict>
          <v:shape id="Text Box 223" o:spid="_x0000_s1032" o:spt="202" type="#_x0000_t202" style="position:absolute;left:0pt;margin-left:321.2pt;margin-top:389.25pt;height:15.65pt;width:37.15pt;z-index:251682816;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v:path/>
            <v:fill on="f" focussize="0,0"/>
            <v:stroke on="f" joinstyle="miter"/>
            <v:imagedata o:title=""/>
            <o:lock v:ext="edit"/>
            <v:textbox inset="0mm,0mm,0mm,0mm">
              <w:txbxContent>
                <w:p w14:paraId="462EDC82">
                  <w:pPr>
                    <w:snapToGrid w:val="0"/>
                    <w:jc w:val="center"/>
                    <w:rPr>
                      <w:rFonts w:eastAsia="宋体"/>
                      <w:sz w:val="21"/>
                      <w:szCs w:val="24"/>
                    </w:rPr>
                  </w:pPr>
                  <w:r>
                    <w:rPr>
                      <w:rFonts w:eastAsia="宋体" w:cs="宋体"/>
                      <w:sz w:val="21"/>
                    </w:rPr>
                    <w:t>是</w:t>
                  </w:r>
                </w:p>
                <w:p w14:paraId="11DC872D">
                  <w:pPr>
                    <w:snapToGrid w:val="0"/>
                    <w:jc w:val="center"/>
                    <w:rPr>
                      <w:rFonts w:eastAsia="宋体"/>
                      <w:sz w:val="21"/>
                      <w:szCs w:val="24"/>
                    </w:rPr>
                  </w:pPr>
                </w:p>
              </w:txbxContent>
            </v:textbox>
          </v:shape>
        </w:pict>
      </w:r>
      <w:r>
        <w:rPr>
          <w:rFonts w:eastAsia="宋体"/>
          <w:sz w:val="24"/>
          <w:szCs w:val="24"/>
          <w:lang w:eastAsia="zh-CN" w:bidi="ar-SA"/>
        </w:rPr>
        <w:pict>
          <v:shape id="Text Box 233" o:spid="_x0000_s1042" o:spt="202" type="#_x0000_t202" style="position:absolute;left:0pt;margin-left:105.75pt;margin-top:473.75pt;height:26.25pt;width:252.6pt;z-index:251693056;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v:path/>
            <v:fill on="f" focussize="0,0"/>
            <v:stroke on="f" joinstyle="miter"/>
            <v:imagedata o:title=""/>
            <o:lock v:ext="edit"/>
            <v:textbox inset="0mm,0mm,0mm,0mm">
              <w:txbxContent>
                <w:p w14:paraId="24677AB8">
                  <w:pPr>
                    <w:snapToGrid w:val="0"/>
                    <w:jc w:val="center"/>
                    <w:rPr>
                      <w:rFonts w:eastAsia="宋体"/>
                      <w:sz w:val="21"/>
                      <w:szCs w:val="24"/>
                      <w:lang w:eastAsia="zh-CN"/>
                    </w:rPr>
                  </w:pPr>
                  <w:r>
                    <w:rPr>
                      <w:rFonts w:eastAsia="宋体" w:cs="宋体"/>
                      <w:sz w:val="21"/>
                      <w:lang w:eastAsia="zh-CN"/>
                    </w:rPr>
                    <w:t>除非FDA另有规定或收到新的可报告信息，否则无需其他ICSR</w:t>
                  </w:r>
                </w:p>
              </w:txbxContent>
            </v:textbox>
          </v:shape>
        </w:pict>
      </w:r>
      <w:r>
        <w:rPr>
          <w:rFonts w:eastAsia="宋体"/>
          <w:sz w:val="24"/>
          <w:szCs w:val="24"/>
          <w:lang w:eastAsia="zh-CN" w:bidi="ar-SA"/>
        </w:rPr>
        <w:pict>
          <v:shape id="Text Box 219" o:spid="_x0000_s1028" o:spt="202" type="#_x0000_t202" style="position:absolute;left:0pt;margin-left:162.95pt;margin-top:59.55pt;height:31.55pt;width:120.6pt;z-index:251678720;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v:path/>
            <v:fill on="f" focussize="0,0"/>
            <v:stroke on="f" joinstyle="miter"/>
            <v:imagedata o:title=""/>
            <o:lock v:ext="edit"/>
            <v:textbox inset="0mm,0mm,0mm,0mm">
              <w:txbxContent>
                <w:p w14:paraId="4AAB5BE6">
                  <w:pPr>
                    <w:snapToGrid w:val="0"/>
                    <w:jc w:val="center"/>
                    <w:rPr>
                      <w:rFonts w:eastAsia="宋体"/>
                      <w:sz w:val="21"/>
                      <w:szCs w:val="24"/>
                      <w:lang w:eastAsia="zh-CN"/>
                    </w:rPr>
                  </w:pPr>
                  <w:r>
                    <w:rPr>
                      <w:rFonts w:eastAsia="宋体" w:cs="宋体"/>
                      <w:sz w:val="21"/>
                      <w:lang w:eastAsia="zh-CN"/>
                    </w:rPr>
                    <w:t>该事件是否是一次严重且非预期的不良经历？</w:t>
                  </w:r>
                </w:p>
              </w:txbxContent>
            </v:textbox>
          </v:shape>
        </w:pict>
      </w:r>
      <w:r>
        <w:rPr>
          <w:rFonts w:eastAsia="宋体"/>
          <w:sz w:val="24"/>
          <w:szCs w:val="24"/>
          <w:lang w:eastAsia="zh-CN" w:bidi="ar-SA"/>
        </w:rPr>
        <w:pict>
          <v:shape id="Text Box 236" o:spid="_x0000_s1044" o:spt="202" type="#_x0000_t202" style="position:absolute;left:0pt;margin-left:1.15pt;margin-top:45.85pt;height:56.35pt;width:91.1pt;z-index:251695104;v-text-anchor:middle;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S/8AA&#10;AADbAAAADwAAAGRycy9kb3ducmV2LnhtbESPzQrCMBCE74LvEFbwIprqQaQaxR/8uXio+gBLs7bF&#10;ZlOaqNWnN4LgcZiZb5jZojGleFDtCssKhoMIBHFqdcGZgst525+AcB5ZY2mZFLzIwWLebs0w1vbJ&#10;CT1OPhMBwi5GBbn3VSylS3My6Aa2Ig7e1dYGfZB1JnWNzwA3pRxF0VgaLDgs5FjROqf0drobBbRM&#10;7Pt4czuTrDbr3bVg6sm9Ut1Os5yC8NT4f/jXPmgFoy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aS/8AAAADbAAAADwAAAAAAAAAAAAAAAACYAgAAZHJzL2Rvd25y&#10;ZXYueG1sUEsFBgAAAAAEAAQA9QAAAIUDAAAAAA==&#10;">
            <v:path/>
            <v:fill on="f" focussize="0,0"/>
            <v:stroke on="f" joinstyle="miter"/>
            <v:imagedata o:title=""/>
            <o:lock v:ext="edit"/>
            <v:textbox inset="0mm,0mm,0mm,0mm">
              <w:txbxContent>
                <w:p w14:paraId="7F0A54BF">
                  <w:pPr>
                    <w:snapToGrid w:val="0"/>
                    <w:jc w:val="center"/>
                    <w:rPr>
                      <w:rFonts w:eastAsia="宋体"/>
                      <w:sz w:val="21"/>
                      <w:szCs w:val="24"/>
                      <w:lang w:eastAsia="zh-CN"/>
                    </w:rPr>
                  </w:pPr>
                  <w:r>
                    <w:rPr>
                      <w:rFonts w:eastAsia="宋体" w:cs="宋体"/>
                      <w:sz w:val="21"/>
                      <w:lang w:eastAsia="zh-CN"/>
                    </w:rPr>
                    <w:t>需要15天报告（30天内）（</w:t>
                  </w:r>
                  <w:r>
                    <w:rPr>
                      <w:rFonts w:eastAsia="宋体" w:cs="宋体"/>
                      <w:i/>
                      <w:sz w:val="21"/>
                      <w:lang w:eastAsia="zh-CN"/>
                    </w:rPr>
                    <w:t>评估是否需要其他ICSR类型</w:t>
                  </w:r>
                  <w:r>
                    <w:rPr>
                      <w:rFonts w:eastAsia="宋体" w:cs="宋体"/>
                      <w:sz w:val="21"/>
                      <w:lang w:eastAsia="zh-CN"/>
                    </w:rPr>
                    <w:t>）</w:t>
                  </w:r>
                </w:p>
              </w:txbxContent>
            </v:textbox>
          </v:shape>
        </w:pict>
      </w:r>
      <w:r>
        <w:rPr>
          <w:rFonts w:eastAsia="宋体"/>
          <w:sz w:val="24"/>
          <w:szCs w:val="24"/>
          <w:lang w:eastAsia="zh-CN" w:bidi="ar-SA"/>
        </w:rPr>
        <w:pict>
          <v:shape id="文本框 2" o:spid="_x0000_s1027" o:spt="202" type="#_x0000_t202" style="position:absolute;left:0pt;margin-left:116.05pt;margin-top:9.35pt;height:13.6pt;width:224.75pt;z-index:251677696;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v:path/>
            <v:fill on="f" focussize="0,0"/>
            <v:stroke on="f" joinstyle="miter"/>
            <v:imagedata o:title=""/>
            <o:lock v:ext="edit"/>
            <v:textbox inset="0mm,0mm,0mm,0mm" style="mso-fit-shape-to-text:t;">
              <w:txbxContent>
                <w:p w14:paraId="326DD217">
                  <w:pPr>
                    <w:snapToGrid w:val="0"/>
                    <w:jc w:val="center"/>
                    <w:rPr>
                      <w:rFonts w:eastAsia="宋体"/>
                      <w:sz w:val="21"/>
                      <w:szCs w:val="24"/>
                      <w:lang w:eastAsia="zh-CN"/>
                    </w:rPr>
                  </w:pPr>
                  <w:r>
                    <w:rPr>
                      <w:rFonts w:eastAsia="宋体" w:cs="宋体"/>
                      <w:sz w:val="21"/>
                      <w:lang w:eastAsia="zh-CN"/>
                    </w:rPr>
                    <w:t>向组合产品申请人报告的事件</w:t>
                  </w:r>
                </w:p>
              </w:txbxContent>
            </v:textbox>
          </v:shape>
        </w:pict>
      </w:r>
      <w:r>
        <w:rPr>
          <w:rFonts w:eastAsia="宋体"/>
          <w:sz w:val="24"/>
          <w:szCs w:val="24"/>
          <w:lang w:eastAsia="zh-CN" w:bidi="ar-SA"/>
        </w:rPr>
        <w:pict>
          <v:shape id="Text Box 221" o:spid="_x0000_s1030" o:spt="202" type="#_x0000_t202" style="position:absolute;left:0pt;margin-left:87.8pt;margin-top:63.45pt;height:15.65pt;width:37.15pt;z-index:251680768;mso-width-relative:page;mso-height-relative:page;"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v:path/>
            <v:fill on="f" focussize="0,0"/>
            <v:stroke on="f" joinstyle="miter"/>
            <v:imagedata o:title=""/>
            <o:lock v:ext="edit"/>
            <v:textbox inset="0mm,0mm,0mm,0mm">
              <w:txbxContent>
                <w:p w14:paraId="2658EC8C">
                  <w:pPr>
                    <w:snapToGrid w:val="0"/>
                    <w:jc w:val="center"/>
                    <w:rPr>
                      <w:rFonts w:eastAsia="宋体"/>
                      <w:sz w:val="21"/>
                      <w:szCs w:val="24"/>
                    </w:rPr>
                  </w:pPr>
                  <w:r>
                    <w:rPr>
                      <w:rFonts w:eastAsia="宋体" w:cs="宋体"/>
                      <w:sz w:val="21"/>
                    </w:rPr>
                    <w:t>是</w:t>
                  </w:r>
                </w:p>
                <w:p w14:paraId="635113EC">
                  <w:pPr>
                    <w:snapToGrid w:val="0"/>
                    <w:jc w:val="center"/>
                    <w:rPr>
                      <w:rFonts w:eastAsia="宋体"/>
                      <w:sz w:val="21"/>
                      <w:szCs w:val="24"/>
                    </w:rPr>
                  </w:pPr>
                </w:p>
              </w:txbxContent>
            </v:textbox>
          </v:shape>
        </w:pict>
      </w:r>
      <w:r>
        <w:rPr>
          <w:rFonts w:eastAsia="宋体"/>
          <w:snapToGrid w:val="0"/>
          <w:sz w:val="24"/>
          <w:szCs w:val="24"/>
          <w:lang w:eastAsia="zh-CN" w:bidi="ar-SA"/>
        </w:rPr>
        <w:pict>
          <v:shape id="_x0000_i1026" o:spt="75" type="#_x0000_t75" style="height:501pt;width:479.4pt;" filled="f" o:preferrelative="t" stroked="f" coordsize="21600,21600">
            <v:path/>
            <v:fill on="f" focussize="0,0"/>
            <v:stroke on="f" joinstyle="miter"/>
            <v:imagedata r:id="rId11" o:title=""/>
            <o:lock v:ext="edit" aspectratio="t"/>
            <w10:wrap type="none"/>
            <w10:anchorlock/>
          </v:shape>
        </w:pict>
      </w:r>
    </w:p>
    <w:p w14:paraId="7F3356FC">
      <w:pPr>
        <w:autoSpaceDE/>
        <w:autoSpaceDN/>
        <w:snapToGrid w:val="0"/>
        <w:jc w:val="both"/>
        <w:rPr>
          <w:rFonts w:eastAsia="宋体"/>
          <w:snapToGrid w:val="0"/>
          <w:sz w:val="24"/>
          <w:szCs w:val="24"/>
          <w:lang w:eastAsia="zh-CN"/>
        </w:rPr>
      </w:pPr>
    </w:p>
    <w:p w14:paraId="5EF547E3">
      <w:pPr>
        <w:autoSpaceDE/>
        <w:autoSpaceDN/>
        <w:snapToGrid w:val="0"/>
        <w:jc w:val="center"/>
        <w:rPr>
          <w:rFonts w:eastAsia="宋体"/>
          <w:snapToGrid w:val="0"/>
          <w:sz w:val="24"/>
          <w:szCs w:val="24"/>
          <w:lang w:eastAsia="zh-CN"/>
        </w:rPr>
      </w:pPr>
    </w:p>
    <w:p w14:paraId="02209BCD">
      <w:pPr>
        <w:autoSpaceDE/>
        <w:autoSpaceDN/>
        <w:snapToGrid w:val="0"/>
        <w:jc w:val="center"/>
        <w:rPr>
          <w:rFonts w:eastAsia="宋体"/>
          <w:sz w:val="24"/>
        </w:rPr>
      </w:pPr>
    </w:p>
    <w:p w14:paraId="35E56767">
      <w:pPr>
        <w:autoSpaceDE/>
        <w:autoSpaceDN/>
        <w:snapToGrid w:val="0"/>
        <w:jc w:val="both"/>
        <w:rPr>
          <w:rFonts w:eastAsia="宋体"/>
          <w:snapToGrid w:val="0"/>
          <w:sz w:val="21"/>
          <w:szCs w:val="21"/>
          <w:lang w:eastAsia="zh-CN"/>
        </w:rPr>
      </w:pPr>
      <w:r>
        <w:rPr>
          <w:rFonts w:hint="eastAsia" w:eastAsia="宋体"/>
          <w:snapToGrid w:val="0"/>
          <w:sz w:val="21"/>
          <w:szCs w:val="21"/>
          <w:lang w:eastAsia="zh-CN"/>
        </w:rPr>
        <w:t>*本图表仅涵盖组合产品PMSR最终规则（《美国联邦法规》第21篇第4.101和4.102节）下的ICSR报告。还可能需要其他报告类型（更正和移除报告、现场警示报告、生物制品偏差报告）。注意，第IV.C节和第V.A.3节中讨论的通过综合ICSR和/或包括更正/移除信息进行简化的选项。对于ICSR，有后续报告的相关要求（关于条例中后续报告要求的讨论，参见第IV.A.4节）。</w:t>
      </w:r>
    </w:p>
    <w:p w14:paraId="3FB3279D">
      <w:pPr>
        <w:autoSpaceDE/>
        <w:autoSpaceDN/>
        <w:snapToGrid w:val="0"/>
        <w:jc w:val="both"/>
        <w:rPr>
          <w:rFonts w:eastAsia="宋体"/>
          <w:b/>
          <w:sz w:val="24"/>
          <w:lang w:eastAsia="zh-CN"/>
        </w:rPr>
      </w:pPr>
      <w:r>
        <w:rPr>
          <w:rFonts w:eastAsia="宋体"/>
          <w:sz w:val="24"/>
          <w:lang w:eastAsia="zh-CN"/>
        </w:rPr>
        <w:br w:type="page"/>
      </w:r>
    </w:p>
    <w:p w14:paraId="663C0455">
      <w:pPr>
        <w:pStyle w:val="2"/>
        <w:autoSpaceDE/>
        <w:autoSpaceDN/>
        <w:spacing w:before="0" w:beforeLines="0" w:line="240" w:lineRule="auto"/>
        <w:ind w:left="562" w:hanging="562"/>
        <w:rPr>
          <w:sz w:val="28"/>
          <w:lang w:eastAsia="zh-CN"/>
        </w:rPr>
      </w:pPr>
      <w:bookmarkStart w:id="51" w:name="_Toc95145714"/>
      <w:bookmarkStart w:id="52" w:name="_Toc97551515"/>
      <w:r>
        <w:rPr>
          <w:rFonts w:hint="eastAsia"/>
          <w:sz w:val="28"/>
          <w:lang w:eastAsia="zh-CN"/>
        </w:rPr>
        <w:t>附录</w:t>
      </w:r>
      <w:r>
        <w:rPr>
          <w:sz w:val="28"/>
          <w:lang w:eastAsia="zh-CN"/>
        </w:rPr>
        <w:t>3.</w:t>
      </w:r>
      <w:r>
        <w:rPr>
          <w:rFonts w:hint="eastAsia"/>
          <w:sz w:val="28"/>
          <w:lang w:eastAsia="zh-CN"/>
        </w:rPr>
        <w:t>非</w:t>
      </w:r>
      <w:r>
        <w:rPr>
          <w:rFonts w:hint="eastAsia" w:ascii="宋体" w:hAnsi="宋体"/>
          <w:sz w:val="28"/>
          <w:lang w:eastAsia="zh-CN"/>
        </w:rPr>
        <w:t>“</w:t>
      </w:r>
      <w:r>
        <w:rPr>
          <w:rFonts w:hint="eastAsia"/>
          <w:sz w:val="28"/>
          <w:lang w:eastAsia="zh-CN"/>
        </w:rPr>
        <w:t>申请人</w:t>
      </w:r>
      <w:r>
        <w:rPr>
          <w:rFonts w:hint="eastAsia" w:ascii="宋体" w:hAnsi="宋体"/>
          <w:sz w:val="28"/>
          <w:lang w:eastAsia="zh-CN"/>
        </w:rPr>
        <w:t>”</w:t>
      </w:r>
      <w:r>
        <w:rPr>
          <w:rFonts w:hint="eastAsia"/>
          <w:sz w:val="28"/>
          <w:lang w:eastAsia="zh-CN"/>
        </w:rPr>
        <w:t>实体的组合产品上市后安全性报告考虑事项</w:t>
      </w:r>
      <w:bookmarkEnd w:id="51"/>
      <w:bookmarkEnd w:id="52"/>
    </w:p>
    <w:p w14:paraId="109AFE27">
      <w:pPr>
        <w:pStyle w:val="7"/>
        <w:autoSpaceDE/>
        <w:autoSpaceDN/>
        <w:snapToGrid w:val="0"/>
        <w:jc w:val="both"/>
        <w:rPr>
          <w:rFonts w:eastAsia="宋体"/>
          <w:snapToGrid w:val="0"/>
          <w:lang w:eastAsia="zh-CN"/>
        </w:rPr>
      </w:pPr>
    </w:p>
    <w:p w14:paraId="023FC091">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如第III.A节所述，仅属于</w:t>
      </w:r>
      <w:r>
        <w:rPr>
          <w:rFonts w:hint="eastAsia" w:ascii="宋体" w:hAnsi="宋体" w:eastAsia="宋体"/>
          <w:lang w:eastAsia="zh-CN"/>
        </w:rPr>
        <w:t>“</w:t>
      </w:r>
      <w:r>
        <w:rPr>
          <w:rFonts w:hint="eastAsia" w:eastAsia="宋体"/>
          <w:snapToGrid w:val="0"/>
          <w:lang w:eastAsia="zh-CN"/>
        </w:rPr>
        <w:t>组成部分申请人</w:t>
      </w:r>
      <w:r>
        <w:rPr>
          <w:rFonts w:hint="eastAsia" w:ascii="宋体" w:hAnsi="宋体" w:eastAsia="宋体"/>
          <w:lang w:eastAsia="zh-CN"/>
        </w:rPr>
        <w:t>”</w:t>
      </w:r>
      <w:r>
        <w:rPr>
          <w:rFonts w:hint="eastAsia" w:eastAsia="宋体"/>
          <w:snapToGrid w:val="0"/>
          <w:lang w:eastAsia="zh-CN"/>
        </w:rPr>
        <w:t>或</w:t>
      </w:r>
      <w:r>
        <w:rPr>
          <w:rFonts w:hint="eastAsia" w:ascii="宋体" w:hAnsi="宋体" w:eastAsia="宋体"/>
          <w:lang w:eastAsia="zh-CN"/>
        </w:rPr>
        <w:t>“</w:t>
      </w:r>
      <w:r>
        <w:rPr>
          <w:rFonts w:hint="eastAsia" w:eastAsia="宋体"/>
          <w:snapToGrid w:val="0"/>
          <w:lang w:eastAsia="zh-CN"/>
        </w:rPr>
        <w:t>组合产品申请人</w:t>
      </w:r>
      <w:r>
        <w:rPr>
          <w:rFonts w:hint="eastAsia" w:ascii="宋体" w:hAnsi="宋体" w:eastAsia="宋体"/>
          <w:lang w:eastAsia="zh-CN"/>
        </w:rPr>
        <w:t>”</w:t>
      </w:r>
      <w:r>
        <w:rPr>
          <w:rFonts w:hint="eastAsia" w:eastAsia="宋体"/>
          <w:snapToGrid w:val="0"/>
          <w:lang w:eastAsia="zh-CN"/>
        </w:rPr>
        <w:t>的实体才必须符合组合产品PSMR最终规则。但参与组合产品生产或营销的其他实体可能对该产品具有上市后安全性报告的义务。此类实体的报告义务如下：</w:t>
      </w:r>
      <w:r>
        <w:rPr>
          <w:rStyle w:val="22"/>
          <w:rFonts w:hint="eastAsia" w:eastAsia="宋体"/>
          <w:snapToGrid w:val="0"/>
          <w:lang w:eastAsia="zh-CN"/>
        </w:rPr>
        <w:footnoteReference w:id="54"/>
      </w:r>
    </w:p>
    <w:p w14:paraId="0CB074DE">
      <w:pPr>
        <w:pStyle w:val="7"/>
        <w:autoSpaceDE/>
        <w:autoSpaceDN/>
        <w:snapToGrid w:val="0"/>
        <w:jc w:val="both"/>
        <w:rPr>
          <w:rFonts w:eastAsia="宋体"/>
          <w:snapToGrid w:val="0"/>
          <w:lang w:eastAsia="zh-CN"/>
        </w:rPr>
      </w:pPr>
    </w:p>
    <w:p w14:paraId="284D78B9">
      <w:pPr>
        <w:pStyle w:val="24"/>
        <w:numPr>
          <w:ilvl w:val="0"/>
          <w:numId w:val="31"/>
        </w:numPr>
        <w:autoSpaceDE/>
        <w:autoSpaceDN/>
        <w:snapToGrid w:val="0"/>
        <w:ind w:left="800" w:leftChars="200"/>
        <w:jc w:val="both"/>
        <w:rPr>
          <w:rFonts w:eastAsia="宋体"/>
          <w:snapToGrid w:val="0"/>
          <w:sz w:val="24"/>
          <w:szCs w:val="24"/>
          <w:lang w:eastAsia="zh-CN"/>
        </w:rPr>
      </w:pPr>
      <w:r>
        <w:rPr>
          <w:rFonts w:hint="eastAsia" w:eastAsia="宋体"/>
          <w:snapToGrid w:val="0"/>
          <w:sz w:val="24"/>
          <w:szCs w:val="24"/>
          <w:lang w:eastAsia="zh-CN"/>
        </w:rPr>
        <w:t>在无需上市前审查且包括药物组成部分的非处方组合产品标签上列名的生产商、包装商和分销商，必须符合《FD&amp;C法案》（21 U.S.C.379aa）第760节所述组合产品的报告和记录保存要求。</w:t>
      </w:r>
    </w:p>
    <w:p w14:paraId="2D475793">
      <w:pPr>
        <w:pStyle w:val="24"/>
        <w:autoSpaceDE/>
        <w:autoSpaceDN/>
        <w:snapToGrid w:val="0"/>
        <w:ind w:left="860" w:firstLine="0"/>
        <w:jc w:val="both"/>
        <w:rPr>
          <w:rFonts w:eastAsia="宋体"/>
          <w:snapToGrid w:val="0"/>
          <w:sz w:val="24"/>
          <w:szCs w:val="24"/>
          <w:lang w:eastAsia="zh-CN"/>
        </w:rPr>
      </w:pPr>
    </w:p>
    <w:p w14:paraId="1FE2C650">
      <w:pPr>
        <w:pStyle w:val="24"/>
        <w:numPr>
          <w:ilvl w:val="0"/>
          <w:numId w:val="31"/>
        </w:numPr>
        <w:autoSpaceDE/>
        <w:autoSpaceDN/>
        <w:snapToGrid w:val="0"/>
        <w:ind w:left="800" w:leftChars="200"/>
        <w:jc w:val="both"/>
        <w:rPr>
          <w:rFonts w:eastAsia="宋体"/>
          <w:snapToGrid w:val="0"/>
          <w:sz w:val="24"/>
          <w:szCs w:val="24"/>
          <w:lang w:eastAsia="zh-CN"/>
        </w:rPr>
      </w:pPr>
      <w:r>
        <w:rPr>
          <w:rFonts w:hint="eastAsia" w:eastAsia="宋体"/>
          <w:snapToGrid w:val="0"/>
          <w:sz w:val="24"/>
          <w:szCs w:val="24"/>
          <w:lang w:eastAsia="zh-CN"/>
        </w:rPr>
        <w:t>在含有药品或生物制品组成部分的组合产品标签上列名的生产商、包装商或经销商的非申请人必须符合《美国联邦法规》第21篇第314.80和600.80节所述报告要求（如适用）。</w:t>
      </w:r>
    </w:p>
    <w:p w14:paraId="7DB79A26">
      <w:pPr>
        <w:pStyle w:val="24"/>
        <w:autoSpaceDE/>
        <w:autoSpaceDN/>
        <w:snapToGrid w:val="0"/>
        <w:ind w:left="860" w:firstLine="0"/>
        <w:jc w:val="both"/>
        <w:rPr>
          <w:rFonts w:eastAsia="宋体"/>
          <w:snapToGrid w:val="0"/>
          <w:sz w:val="24"/>
          <w:szCs w:val="24"/>
          <w:lang w:eastAsia="zh-CN"/>
        </w:rPr>
      </w:pPr>
    </w:p>
    <w:p w14:paraId="04BCA6A7">
      <w:pPr>
        <w:pStyle w:val="24"/>
        <w:numPr>
          <w:ilvl w:val="0"/>
          <w:numId w:val="31"/>
        </w:numPr>
        <w:autoSpaceDE/>
        <w:autoSpaceDN/>
        <w:snapToGrid w:val="0"/>
        <w:ind w:left="800" w:leftChars="200"/>
        <w:jc w:val="both"/>
        <w:rPr>
          <w:rFonts w:eastAsia="宋体"/>
          <w:snapToGrid w:val="0"/>
          <w:sz w:val="24"/>
          <w:szCs w:val="24"/>
          <w:lang w:eastAsia="zh-CN"/>
        </w:rPr>
      </w:pPr>
      <w:r>
        <w:rPr>
          <w:rFonts w:hint="eastAsia" w:eastAsia="宋体"/>
          <w:snapToGrid w:val="0"/>
          <w:sz w:val="24"/>
          <w:szCs w:val="24"/>
          <w:lang w:eastAsia="zh-CN"/>
        </w:rPr>
        <w:t>包含药品组成部分、未批准的处方组合产品的生产商、包装商和分销商必须按照《美国联邦法规》第21篇第310.305节所述报告和维护组合产品的记录；如《美国联邦法规》第21篇第310.305（c）（3）节所述，包装商和分销商可通过收到信息后5天内向组合产品生产商报告并保存这些报告的记录以符合这些要求。</w:t>
      </w:r>
    </w:p>
    <w:p w14:paraId="44EC2540">
      <w:pPr>
        <w:pStyle w:val="24"/>
        <w:autoSpaceDE/>
        <w:autoSpaceDN/>
        <w:snapToGrid w:val="0"/>
        <w:ind w:left="860" w:firstLine="0"/>
        <w:jc w:val="both"/>
        <w:rPr>
          <w:rFonts w:eastAsia="宋体"/>
          <w:snapToGrid w:val="0"/>
          <w:sz w:val="24"/>
          <w:szCs w:val="24"/>
          <w:lang w:eastAsia="zh-CN"/>
        </w:rPr>
      </w:pPr>
    </w:p>
    <w:p w14:paraId="08C6C3CC">
      <w:pPr>
        <w:pStyle w:val="24"/>
        <w:numPr>
          <w:ilvl w:val="0"/>
          <w:numId w:val="31"/>
        </w:numPr>
        <w:autoSpaceDE/>
        <w:autoSpaceDN/>
        <w:snapToGrid w:val="0"/>
        <w:ind w:left="800" w:leftChars="200"/>
        <w:jc w:val="both"/>
        <w:rPr>
          <w:rFonts w:eastAsia="宋体"/>
          <w:snapToGrid w:val="0"/>
          <w:sz w:val="24"/>
          <w:szCs w:val="24"/>
          <w:lang w:eastAsia="zh-CN"/>
        </w:rPr>
      </w:pPr>
      <w:r>
        <w:rPr>
          <w:rFonts w:hint="eastAsia" w:eastAsia="宋体"/>
          <w:snapToGrid w:val="0"/>
          <w:sz w:val="24"/>
          <w:szCs w:val="24"/>
          <w:lang w:eastAsia="zh-CN"/>
        </w:rPr>
        <w:t>包含器械组成部分的组合产品的生产商、进口商和用户设施（参见《美国联邦法规》第21篇第803.3节中的定义），无论是否接受上市前审查，都必须符合《美国联邦法规》第21篇第803节中适用于组合产品的要求，并可寻求《美国联邦法规》第21篇第803.19（b）节中这些要求的豁免、变动或替代方法（例如，若该产品有组合产品申请人，则受《美国联邦法规》第21篇第803节约束的其他此类实体如果选择向组合产品申请人报告，则可寻求免于向FDA报告）。</w:t>
      </w:r>
    </w:p>
    <w:p w14:paraId="06E0BEED">
      <w:pPr>
        <w:pStyle w:val="24"/>
        <w:autoSpaceDE/>
        <w:autoSpaceDN/>
        <w:snapToGrid w:val="0"/>
        <w:ind w:left="860" w:firstLine="0"/>
        <w:jc w:val="both"/>
        <w:rPr>
          <w:rFonts w:eastAsia="宋体"/>
          <w:snapToGrid w:val="0"/>
          <w:sz w:val="24"/>
          <w:szCs w:val="24"/>
          <w:lang w:eastAsia="zh-CN"/>
        </w:rPr>
      </w:pPr>
    </w:p>
    <w:p w14:paraId="6F8CC202">
      <w:pPr>
        <w:pStyle w:val="24"/>
        <w:numPr>
          <w:ilvl w:val="0"/>
          <w:numId w:val="31"/>
        </w:numPr>
        <w:autoSpaceDE/>
        <w:autoSpaceDN/>
        <w:snapToGrid w:val="0"/>
        <w:ind w:left="800" w:leftChars="200"/>
        <w:jc w:val="both"/>
        <w:rPr>
          <w:rFonts w:eastAsia="宋体"/>
          <w:sz w:val="24"/>
          <w:lang w:eastAsia="zh-CN"/>
        </w:rPr>
      </w:pPr>
      <w:r>
        <w:rPr>
          <w:rFonts w:hint="eastAsia" w:eastAsia="宋体"/>
          <w:snapToGrid w:val="0"/>
          <w:sz w:val="24"/>
          <w:szCs w:val="24"/>
          <w:lang w:eastAsia="zh-CN"/>
        </w:rPr>
        <w:t>包含器械组成部分的组合产品生产商和进口商（参见《美国联邦法规》第21篇第806.2节中的定义）必须符合《美国联邦法规》第21篇第806节所述组合产品要求</w:t>
      </w:r>
      <w:r>
        <w:rPr>
          <w:rFonts w:hint="eastAsia" w:eastAsia="宋体"/>
          <w:sz w:val="24"/>
          <w:lang w:eastAsia="zh-CN"/>
        </w:rPr>
        <w:t>。</w:t>
      </w:r>
    </w:p>
    <w:p w14:paraId="4DCD5357">
      <w:pPr>
        <w:pStyle w:val="24"/>
        <w:autoSpaceDE/>
        <w:autoSpaceDN/>
        <w:snapToGrid w:val="0"/>
        <w:ind w:left="860" w:firstLine="0"/>
        <w:jc w:val="both"/>
        <w:rPr>
          <w:rFonts w:eastAsia="宋体"/>
          <w:snapToGrid w:val="0"/>
          <w:sz w:val="24"/>
          <w:szCs w:val="24"/>
          <w:lang w:eastAsia="zh-CN"/>
        </w:rPr>
      </w:pPr>
      <w:r>
        <w:rPr>
          <w:rFonts w:eastAsia="宋体"/>
          <w:sz w:val="24"/>
          <w:lang w:eastAsia="zh-CN"/>
        </w:rPr>
        <w:br w:type="page"/>
      </w:r>
    </w:p>
    <w:p w14:paraId="1089BE8B">
      <w:pPr>
        <w:pStyle w:val="7"/>
        <w:autoSpaceDE/>
        <w:autoSpaceDN/>
        <w:snapToGrid w:val="0"/>
        <w:ind w:firstLine="480" w:firstLineChars="200"/>
        <w:jc w:val="both"/>
        <w:rPr>
          <w:rFonts w:eastAsia="宋体"/>
          <w:snapToGrid w:val="0"/>
          <w:lang w:eastAsia="zh-CN"/>
        </w:rPr>
      </w:pPr>
      <w:r>
        <w:rPr>
          <w:rFonts w:hint="eastAsia" w:eastAsia="宋体"/>
          <w:snapToGrid w:val="0"/>
          <w:lang w:eastAsia="zh-CN"/>
        </w:rPr>
        <w:t>如果您是此类实体，您应将产品明确为组合产品（如果按照适用法规要求，您</w:t>
      </w:r>
      <w:r>
        <w:rPr>
          <w:rFonts w:hint="eastAsia" w:eastAsia="宋体"/>
          <w:lang w:eastAsia="zh-CN"/>
        </w:rPr>
        <w:t>必须</w:t>
      </w:r>
      <w:r>
        <w:rPr>
          <w:rFonts w:hint="eastAsia" w:eastAsia="宋体"/>
          <w:snapToGrid w:val="0"/>
          <w:lang w:eastAsia="zh-CN"/>
        </w:rPr>
        <w:t>将产品明确为组合产品），并基于您可获得的信息，提供与组合产品相关事件的完整讨论，包括每个组成部分（视情况而定）。对这些报告要求有疑问的实体应根据需要联系牵头中心或OCP。</w:t>
      </w:r>
    </w:p>
    <w:p w14:paraId="3D03AECF">
      <w:pPr>
        <w:pStyle w:val="7"/>
        <w:autoSpaceDE/>
        <w:autoSpaceDN/>
        <w:snapToGrid w:val="0"/>
        <w:jc w:val="both"/>
        <w:rPr>
          <w:rFonts w:eastAsia="宋体"/>
          <w:snapToGrid w:val="0"/>
          <w:lang w:eastAsia="zh-CN"/>
        </w:rPr>
      </w:pPr>
    </w:p>
    <w:p w14:paraId="5A45696D">
      <w:pPr>
        <w:autoSpaceDE/>
        <w:autoSpaceDN/>
        <w:snapToGrid w:val="0"/>
        <w:jc w:val="center"/>
        <w:rPr>
          <w:rFonts w:hint="eastAsia" w:eastAsia="宋体"/>
          <w:lang w:eastAsia="zh-CN"/>
        </w:rPr>
      </w:pPr>
    </w:p>
    <w:p w14:paraId="194C6B32">
      <w:pPr>
        <w:autoSpaceDE/>
        <w:autoSpaceDN/>
        <w:snapToGrid w:val="0"/>
        <w:jc w:val="center"/>
        <w:rPr>
          <w:rFonts w:hint="eastAsia" w:eastAsia="宋体"/>
          <w:lang w:eastAsia="zh-CN"/>
        </w:rPr>
      </w:pPr>
    </w:p>
    <w:p w14:paraId="5E90FE0E">
      <w:pPr>
        <w:autoSpaceDE/>
        <w:autoSpaceDN/>
        <w:snapToGrid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8" w:type="default"/>
      <w:pgSz w:w="11907" w:h="16840"/>
      <w:pgMar w:top="1134" w:right="1134" w:bottom="1134" w:left="1418" w:header="567" w:footer="567" w:gutter="0"/>
      <w:pgNumType w:start="4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2B0EA8-5DD0-48F1-9245-E5000AA8BED7}"/>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6A0E">
    <w:pPr>
      <w:pStyle w:val="10"/>
      <w:jc w:val="center"/>
      <w:rPr>
        <w:rFonts w:eastAsia="宋体"/>
        <w:sz w:val="21"/>
      </w:rPr>
    </w:pPr>
    <w:r>
      <w:rPr>
        <w:vanish/>
        <w:sz w:val="21"/>
      </w:rPr>
      <w:fldChar w:fldCharType="begin"/>
    </w:r>
    <w:r>
      <w:rPr>
        <w:vanish/>
        <w:sz w:val="21"/>
      </w:rPr>
      <w:instrText xml:space="preserve">PAGE   \* MERGEFORMAT</w:instrText>
    </w:r>
    <w:r>
      <w:rPr>
        <w:vanish/>
        <w:sz w:val="21"/>
      </w:rPr>
      <w:fldChar w:fldCharType="separate"/>
    </w:r>
    <w:r>
      <w:rPr>
        <w:rFonts w:eastAsia="宋体"/>
        <w:sz w:val="21"/>
        <w:lang w:val="zh-CN" w:eastAsia="zh-CN"/>
      </w:rPr>
      <w:t>27</w:t>
    </w:r>
    <w:r>
      <w:rPr>
        <w:vanish/>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4E2A">
    <w:pPr>
      <w:pStyle w:val="10"/>
      <w:jc w:val="center"/>
      <w:rPr>
        <w:rFonts w:eastAsia="宋体"/>
        <w:sz w:val="21"/>
      </w:rPr>
    </w:pPr>
    <w:r>
      <w:rPr>
        <w:sz w:val="21"/>
      </w:rPr>
      <w:fldChar w:fldCharType="begin"/>
    </w:r>
    <w:r>
      <w:rPr>
        <w:sz w:val="21"/>
      </w:rPr>
      <w:instrText xml:space="preserve">PAGE   \* MERGEFORMAT</w:instrText>
    </w:r>
    <w:r>
      <w:rPr>
        <w:sz w:val="21"/>
      </w:rPr>
      <w:fldChar w:fldCharType="separate"/>
    </w:r>
    <w:r>
      <w:rPr>
        <w:rFonts w:eastAsia="宋体"/>
        <w:sz w:val="21"/>
        <w:lang w:val="zh-CN" w:eastAsia="zh-CN"/>
      </w:rPr>
      <w:t>39</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A967">
    <w:pPr>
      <w:pStyle w:val="10"/>
      <w:jc w:val="center"/>
      <w:rPr>
        <w:rFonts w:eastAsia="宋体"/>
        <w:sz w:val="21"/>
      </w:rPr>
    </w:pPr>
    <w:r>
      <w:rPr>
        <w:vanish/>
        <w:sz w:val="21"/>
      </w:rPr>
      <w:fldChar w:fldCharType="begin"/>
    </w:r>
    <w:r>
      <w:rPr>
        <w:vanish/>
        <w:sz w:val="21"/>
      </w:rPr>
      <w:instrText xml:space="preserve">PAGE   \* MERGEFORMAT</w:instrText>
    </w:r>
    <w:r>
      <w:rPr>
        <w:vanish/>
        <w:sz w:val="21"/>
      </w:rPr>
      <w:fldChar w:fldCharType="separate"/>
    </w:r>
    <w:r>
      <w:rPr>
        <w:rFonts w:eastAsia="宋体"/>
        <w:sz w:val="21"/>
        <w:lang w:val="zh-CN" w:eastAsia="zh-CN"/>
      </w:rPr>
      <w:t>40</w:t>
    </w:r>
    <w:r>
      <w:rPr>
        <w:vanish/>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0">
    <w:p>
      <w:r>
        <w:separator/>
      </w:r>
    </w:p>
  </w:footnote>
  <w:footnote w:type="continuationSeparator" w:id="111">
    <w:p>
      <w:r>
        <w:continuationSeparator/>
      </w:r>
    </w:p>
  </w:footnote>
  <w:footnote w:id="0">
    <w:p w14:paraId="597B6A4E">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如组合产品PMSR最终规则的《联邦公报》通知所述，使用术语</w:t>
      </w:r>
      <w:r>
        <w:rPr>
          <w:rFonts w:ascii="宋体" w:hAnsi="宋体" w:eastAsia="宋体"/>
          <w:snapToGrid w:val="0"/>
          <w:sz w:val="21"/>
          <w:szCs w:val="21"/>
          <w:lang w:eastAsia="zh-CN"/>
        </w:rPr>
        <w:t>“</w:t>
      </w:r>
      <w:r>
        <w:rPr>
          <w:rFonts w:eastAsia="宋体"/>
          <w:snapToGrid w:val="0"/>
          <w:sz w:val="21"/>
          <w:szCs w:val="21"/>
          <w:lang w:eastAsia="zh-CN"/>
        </w:rPr>
        <w:t>上市后安全性</w:t>
      </w:r>
      <w:r>
        <w:rPr>
          <w:rFonts w:ascii="宋体" w:hAnsi="宋体" w:eastAsia="宋体"/>
          <w:snapToGrid w:val="0"/>
          <w:sz w:val="21"/>
          <w:szCs w:val="21"/>
          <w:lang w:eastAsia="zh-CN"/>
        </w:rPr>
        <w:t>”</w:t>
      </w:r>
      <w:r>
        <w:rPr>
          <w:rFonts w:eastAsia="宋体"/>
          <w:snapToGrid w:val="0"/>
          <w:sz w:val="21"/>
          <w:szCs w:val="21"/>
          <w:lang w:eastAsia="zh-CN"/>
        </w:rPr>
        <w:t>是因为该规则涉及某些上市后事件，包括生产事件、故障和对用户造成伤害的事件，以及由这些事件引起的产品和患者安全性相关的报告要求。最终规则支持所有医疗产品上市后安全性报告的基本目的，即通过确保产品上市后持续的安全性和有效性来保护公众健康。</w:t>
      </w:r>
    </w:p>
  </w:footnote>
  <w:footnote w:id="1">
    <w:p w14:paraId="7F34025D">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注：其他法律或</w:t>
      </w:r>
      <w:r>
        <w:rPr>
          <w:rFonts w:hint="eastAsia" w:eastAsia="宋体"/>
          <w:snapToGrid w:val="0"/>
          <w:sz w:val="21"/>
          <w:szCs w:val="21"/>
          <w:lang w:eastAsia="zh-CN"/>
        </w:rPr>
        <w:t>法规</w:t>
      </w:r>
      <w:r>
        <w:rPr>
          <w:rFonts w:eastAsia="宋体"/>
          <w:snapToGrid w:val="0"/>
          <w:sz w:val="21"/>
          <w:szCs w:val="21"/>
          <w:lang w:eastAsia="zh-CN"/>
        </w:rPr>
        <w:t>要求可能适用于上市后安全性事件，例如用于上市后修订的相关提交和审查要求。PMSR规则和本指南均无意改变此类要求或与之相关的FDA政策。</w:t>
      </w:r>
    </w:p>
  </w:footnote>
  <w:footnote w:id="2">
    <w:p w14:paraId="503C3312">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在申请批准或许可前，申请人和FDA通常会根据《美国联邦法规》第21篇第</w:t>
      </w:r>
      <w:r>
        <w:rPr>
          <w:rFonts w:hint="eastAsia" w:eastAsia="宋体"/>
          <w:snapToGrid w:val="0"/>
          <w:sz w:val="21"/>
          <w:szCs w:val="21"/>
          <w:lang w:eastAsia="zh-CN"/>
        </w:rPr>
        <w:t>3部分</w:t>
      </w:r>
      <w:r>
        <w:rPr>
          <w:rFonts w:eastAsia="宋体"/>
          <w:snapToGrid w:val="0"/>
          <w:sz w:val="21"/>
          <w:szCs w:val="21"/>
          <w:lang w:eastAsia="zh-CN"/>
        </w:rPr>
        <w:t>的定义确定产品是组合产品、或是组合产品的组成部分。无论正在寻求上市许可，或您的产品已获得许可或批准，如果不确定是组合产品还是组合产品的组成部分或其中心分配，</w:t>
      </w:r>
      <w:r>
        <w:rPr>
          <w:rFonts w:hint="eastAsia" w:eastAsia="宋体"/>
          <w:snapToGrid w:val="0"/>
          <w:sz w:val="21"/>
          <w:szCs w:val="21"/>
          <w:lang w:eastAsia="zh-CN"/>
        </w:rPr>
        <w:t>本机构</w:t>
      </w:r>
      <w:r>
        <w:rPr>
          <w:rFonts w:eastAsia="宋体"/>
          <w:snapToGrid w:val="0"/>
          <w:sz w:val="21"/>
          <w:szCs w:val="21"/>
          <w:lang w:eastAsia="zh-CN"/>
        </w:rPr>
        <w:t>鼓励您联系组合产品办公室（OCP）。如果您希望从FDA获得有约束力的决定，可以向OCP提交指派请求（参见《行业指南》，</w:t>
      </w:r>
      <w:r>
        <w:rPr>
          <w:rFonts w:eastAsia="宋体"/>
          <w:i/>
          <w:snapToGrid w:val="0"/>
          <w:sz w:val="21"/>
          <w:szCs w:val="21"/>
          <w:lang w:eastAsia="zh-CN"/>
        </w:rPr>
        <w:t>如何编写指派请求（RFD）</w:t>
      </w:r>
      <w:r>
        <w:rPr>
          <w:rFonts w:eastAsia="宋体"/>
          <w:snapToGrid w:val="0"/>
          <w:sz w:val="21"/>
          <w:szCs w:val="21"/>
          <w:lang w:eastAsia="zh-CN"/>
        </w:rPr>
        <w:t>，访问网址为：</w:t>
      </w:r>
      <w:r>
        <w:fldChar w:fldCharType="begin"/>
      </w:r>
      <w:r>
        <w:instrText xml:space="preserve"> HYPERLINK "https://www.fda.gov/regulatory-information/search-fda-guidance-documents/how-write-request-designation-rfd" </w:instrText>
      </w:r>
      <w:r>
        <w:fldChar w:fldCharType="separate"/>
      </w:r>
      <w:r>
        <w:rPr>
          <w:rStyle w:val="20"/>
          <w:rFonts w:eastAsia="宋体"/>
          <w:snapToGrid w:val="0"/>
          <w:sz w:val="21"/>
          <w:szCs w:val="21"/>
          <w:u w:color="0000FF"/>
          <w:lang w:eastAsia="zh-CN"/>
        </w:rPr>
        <w:t>https://www.fda.gov/regulatory-information/search-fda-guidance-documents/how-write-request-designation-rfd</w:t>
      </w:r>
      <w:r>
        <w:rPr>
          <w:rStyle w:val="20"/>
          <w:rFonts w:eastAsia="宋体"/>
          <w:snapToGrid w:val="0"/>
          <w:sz w:val="21"/>
          <w:szCs w:val="21"/>
          <w:u w:color="0000FF"/>
          <w:lang w:eastAsia="zh-CN"/>
        </w:rPr>
        <w:fldChar w:fldCharType="end"/>
      </w:r>
      <w:r>
        <w:rPr>
          <w:rFonts w:eastAsia="宋体"/>
          <w:snapToGrid w:val="0"/>
          <w:sz w:val="21"/>
          <w:szCs w:val="21"/>
          <w:lang w:eastAsia="zh-CN"/>
        </w:rPr>
        <w:t>），或者如果您希望获得非正式反馈，可以提交一份</w:t>
      </w:r>
      <w:r>
        <w:rPr>
          <w:rFonts w:ascii="宋体" w:hAnsi="宋体" w:eastAsia="宋体"/>
          <w:snapToGrid w:val="0"/>
          <w:sz w:val="21"/>
          <w:szCs w:val="21"/>
          <w:lang w:eastAsia="zh-CN"/>
        </w:rPr>
        <w:t>“</w:t>
      </w:r>
      <w:r>
        <w:rPr>
          <w:rFonts w:eastAsia="宋体"/>
          <w:snapToGrid w:val="0"/>
          <w:sz w:val="21"/>
          <w:szCs w:val="21"/>
          <w:lang w:eastAsia="zh-CN"/>
        </w:rPr>
        <w:t>预RFD</w:t>
      </w:r>
      <w:r>
        <w:rPr>
          <w:rFonts w:ascii="宋体" w:hAnsi="宋体" w:eastAsia="宋体"/>
          <w:snapToGrid w:val="0"/>
          <w:sz w:val="21"/>
          <w:szCs w:val="21"/>
          <w:lang w:eastAsia="zh-CN"/>
        </w:rPr>
        <w:t>”</w:t>
      </w:r>
      <w:r>
        <w:rPr>
          <w:rFonts w:eastAsia="宋体"/>
          <w:snapToGrid w:val="0"/>
          <w:sz w:val="21"/>
          <w:szCs w:val="21"/>
          <w:lang w:eastAsia="zh-CN"/>
        </w:rPr>
        <w:t>（参见《行业指南》，</w:t>
      </w:r>
      <w:r>
        <w:rPr>
          <w:rFonts w:eastAsia="宋体"/>
          <w:i/>
          <w:snapToGrid w:val="0"/>
          <w:sz w:val="21"/>
          <w:szCs w:val="21"/>
          <w:lang w:eastAsia="zh-CN"/>
        </w:rPr>
        <w:t>如何编写预指派请求（预RFD）</w:t>
      </w:r>
      <w:r>
        <w:rPr>
          <w:rFonts w:eastAsia="宋体"/>
          <w:snapToGrid w:val="0"/>
          <w:sz w:val="21"/>
          <w:szCs w:val="21"/>
          <w:lang w:eastAsia="zh-CN"/>
        </w:rPr>
        <w:t>），访问网址为：</w:t>
      </w:r>
      <w:r>
        <w:fldChar w:fldCharType="begin"/>
      </w:r>
      <w:r>
        <w:instrText xml:space="preserve"> HYPERLINK "https://www.fda.gov/regulatory-information/search-fda-guidance-documents/how-prepare-pre-request-designation-pre-rfd" </w:instrText>
      </w:r>
      <w:r>
        <w:fldChar w:fldCharType="separate"/>
      </w:r>
      <w:r>
        <w:rPr>
          <w:rStyle w:val="20"/>
          <w:rFonts w:eastAsia="宋体"/>
          <w:snapToGrid w:val="0"/>
          <w:sz w:val="21"/>
          <w:szCs w:val="21"/>
          <w:u w:color="0000FF"/>
          <w:lang w:eastAsia="zh-CN"/>
        </w:rPr>
        <w:t>https://www.fda.gov/regulatory-information/search-fda-guidance-documents/how-prepare-pre-request-designation-pre-rfd</w:t>
      </w:r>
      <w:r>
        <w:rPr>
          <w:rStyle w:val="20"/>
          <w:rFonts w:eastAsia="宋体"/>
          <w:snapToGrid w:val="0"/>
          <w:sz w:val="21"/>
          <w:szCs w:val="21"/>
          <w:u w:color="0000FF"/>
          <w:lang w:eastAsia="zh-CN"/>
        </w:rPr>
        <w:fldChar w:fldCharType="end"/>
      </w:r>
      <w:r>
        <w:rPr>
          <w:rFonts w:eastAsia="宋体"/>
          <w:snapToGrid w:val="0"/>
          <w:sz w:val="21"/>
          <w:szCs w:val="21"/>
          <w:lang w:eastAsia="zh-CN"/>
        </w:rPr>
        <w:t>）</w:t>
      </w:r>
      <w:r>
        <w:rPr>
          <w:rFonts w:hint="eastAsia" w:eastAsia="宋体"/>
          <w:snapToGrid w:val="0"/>
          <w:sz w:val="21"/>
          <w:szCs w:val="21"/>
          <w:lang w:eastAsia="zh-CN"/>
        </w:rPr>
        <w:t>。</w:t>
      </w:r>
    </w:p>
  </w:footnote>
  <w:footnote w:id="3">
    <w:p w14:paraId="78544949">
      <w:pPr>
        <w:pStyle w:val="14"/>
        <w:adjustRightInd w:val="0"/>
        <w:jc w:val="both"/>
        <w:rPr>
          <w:rFonts w:eastAsia="宋体"/>
          <w:sz w:val="21"/>
          <w:szCs w:val="21"/>
          <w:lang w:eastAsia="zh-CN"/>
        </w:rPr>
      </w:pPr>
      <w:r>
        <w:rPr>
          <w:rStyle w:val="22"/>
          <w:rFonts w:eastAsia="宋体"/>
          <w:sz w:val="21"/>
          <w:szCs w:val="21"/>
        </w:rPr>
        <w:footnoteRef/>
      </w:r>
      <w:r>
        <w:rPr>
          <w:rFonts w:eastAsia="宋体"/>
          <w:sz w:val="21"/>
          <w:szCs w:val="21"/>
          <w:lang w:eastAsia="zh-CN"/>
        </w:rPr>
        <w:t xml:space="preserve"> </w:t>
      </w:r>
      <w:r>
        <w:rPr>
          <w:rFonts w:ascii="宋体" w:hAnsi="宋体" w:eastAsia="宋体"/>
          <w:snapToGrid w:val="0"/>
          <w:sz w:val="21"/>
          <w:szCs w:val="21"/>
          <w:lang w:eastAsia="zh-CN"/>
        </w:rPr>
        <w:t>“</w:t>
      </w:r>
      <w:r>
        <w:rPr>
          <w:rFonts w:eastAsia="宋体"/>
          <w:snapToGrid w:val="0"/>
          <w:sz w:val="21"/>
          <w:szCs w:val="21"/>
          <w:lang w:eastAsia="zh-CN"/>
        </w:rPr>
        <w:t>主要作用方式</w:t>
      </w:r>
      <w:r>
        <w:rPr>
          <w:rFonts w:ascii="宋体" w:hAnsi="宋体" w:eastAsia="宋体"/>
          <w:snapToGrid w:val="0"/>
          <w:sz w:val="21"/>
          <w:szCs w:val="21"/>
          <w:lang w:eastAsia="zh-CN"/>
        </w:rPr>
        <w:t>”</w:t>
      </w:r>
      <w:r>
        <w:rPr>
          <w:rFonts w:eastAsia="宋体"/>
          <w:snapToGrid w:val="0"/>
          <w:sz w:val="21"/>
          <w:szCs w:val="21"/>
          <w:lang w:eastAsia="zh-CN"/>
        </w:rPr>
        <w:t>是预期对组合产品整体拟定疗效做出最大贡献的单一作用方式（药品、器械或生物制品）（</w:t>
      </w:r>
      <w:r>
        <w:rPr>
          <w:rFonts w:hint="eastAsia" w:eastAsia="宋体"/>
          <w:snapToGrid w:val="0"/>
          <w:sz w:val="21"/>
          <w:szCs w:val="21"/>
          <w:lang w:eastAsia="zh-CN"/>
        </w:rPr>
        <w:t>参</w:t>
      </w:r>
      <w:r>
        <w:rPr>
          <w:rFonts w:eastAsia="宋体"/>
          <w:snapToGrid w:val="0"/>
          <w:sz w:val="21"/>
          <w:szCs w:val="21"/>
          <w:lang w:eastAsia="zh-CN"/>
        </w:rPr>
        <w:t>见《美国法典》第21篇第353（g）（1）（C）节和《美国联邦法规》第21篇第3.2（m）节；另见《美国联邦法规》第21篇第3.2（k）节（定义</w:t>
      </w:r>
      <w:r>
        <w:rPr>
          <w:rFonts w:ascii="宋体" w:hAnsi="宋体" w:eastAsia="宋体"/>
          <w:snapToGrid w:val="0"/>
          <w:sz w:val="21"/>
          <w:szCs w:val="21"/>
          <w:lang w:eastAsia="zh-CN"/>
        </w:rPr>
        <w:t>“</w:t>
      </w:r>
      <w:r>
        <w:rPr>
          <w:rFonts w:eastAsia="宋体"/>
          <w:snapToGrid w:val="0"/>
          <w:sz w:val="21"/>
          <w:szCs w:val="21"/>
          <w:lang w:eastAsia="zh-CN"/>
        </w:rPr>
        <w:t>作用方式</w:t>
      </w:r>
      <w:r>
        <w:rPr>
          <w:rFonts w:ascii="宋体" w:hAnsi="宋体" w:eastAsia="宋体"/>
          <w:snapToGrid w:val="0"/>
          <w:sz w:val="21"/>
          <w:szCs w:val="21"/>
          <w:lang w:eastAsia="zh-CN"/>
        </w:rPr>
        <w:t>”</w:t>
      </w:r>
      <w:r>
        <w:rPr>
          <w:rFonts w:eastAsia="宋体"/>
          <w:snapToGrid w:val="0"/>
          <w:sz w:val="21"/>
          <w:szCs w:val="21"/>
          <w:lang w:eastAsia="zh-CN"/>
        </w:rPr>
        <w:t>））。有关产品分类、任务分配和PMOA的详细信息，请见《行业指南》，</w:t>
      </w:r>
      <w:r>
        <w:rPr>
          <w:rFonts w:eastAsia="宋体"/>
          <w:i/>
          <w:snapToGrid w:val="0"/>
          <w:sz w:val="21"/>
          <w:szCs w:val="21"/>
          <w:lang w:eastAsia="zh-CN"/>
        </w:rPr>
        <w:t>如何编写指派请求（RFD）</w:t>
      </w:r>
      <w:r>
        <w:rPr>
          <w:rFonts w:eastAsia="宋体"/>
          <w:snapToGrid w:val="0"/>
          <w:sz w:val="21"/>
          <w:szCs w:val="21"/>
          <w:lang w:eastAsia="zh-CN"/>
        </w:rPr>
        <w:t>，访问网址为：</w:t>
      </w:r>
      <w:r>
        <w:fldChar w:fldCharType="begin"/>
      </w:r>
      <w:r>
        <w:instrText xml:space="preserve"> HYPERLINK "https://www.fda.gov/regulatory-information/search-fda-guidance-documents/how-write-request-designation-rfd" \h </w:instrText>
      </w:r>
      <w:r>
        <w:fldChar w:fldCharType="separate"/>
      </w:r>
      <w:r>
        <w:rPr>
          <w:rFonts w:eastAsia="宋体"/>
          <w:snapToGrid w:val="0"/>
          <w:color w:val="0000FF"/>
          <w:sz w:val="21"/>
          <w:szCs w:val="21"/>
          <w:u w:val="single" w:color="0000FF"/>
          <w:lang w:eastAsia="zh-CN"/>
        </w:rPr>
        <w:t>https://www.fda.gov/</w:t>
      </w:r>
      <w:r>
        <w:rPr>
          <w:rFonts w:eastAsia="宋体"/>
          <w:snapToGrid w:val="0"/>
          <w:color w:val="0000FF"/>
          <w:sz w:val="21"/>
          <w:szCs w:val="21"/>
          <w:u w:val="single" w:color="0000FF"/>
          <w:lang w:eastAsia="zh-CN"/>
        </w:rPr>
        <w:fldChar w:fldCharType="end"/>
      </w:r>
      <w:r>
        <w:fldChar w:fldCharType="begin"/>
      </w:r>
      <w:r>
        <w:instrText xml:space="preserve"> HYPERLINK "https://www.fda.gov/regulatory-information/search-fda-guidance-documents/how-write-request-designation-rfd" \h </w:instrText>
      </w:r>
      <w:r>
        <w:fldChar w:fldCharType="separate"/>
      </w:r>
      <w:r>
        <w:rPr>
          <w:rFonts w:eastAsia="宋体"/>
          <w:snapToGrid w:val="0"/>
          <w:color w:val="0000FF"/>
          <w:sz w:val="21"/>
          <w:szCs w:val="21"/>
          <w:u w:val="single" w:color="0000FF"/>
          <w:lang w:eastAsia="zh-CN"/>
        </w:rPr>
        <w:t>regulatory-information/search-fda-guidance-documents/how-write-request-designation-rfd</w:t>
      </w:r>
      <w:r>
        <w:rPr>
          <w:rFonts w:hint="eastAsia" w:eastAsia="宋体"/>
          <w:snapToGrid w:val="0"/>
          <w:color w:val="0000FF"/>
          <w:sz w:val="21"/>
          <w:szCs w:val="21"/>
          <w:u w:val="single" w:color="0000FF"/>
          <w:lang w:eastAsia="zh-CN"/>
        </w:rPr>
        <w:t>。</w:t>
      </w:r>
      <w:r>
        <w:rPr>
          <w:rFonts w:hint="eastAsia" w:eastAsia="宋体"/>
          <w:snapToGrid w:val="0"/>
          <w:color w:val="0000FF"/>
          <w:sz w:val="21"/>
          <w:szCs w:val="21"/>
          <w:u w:val="single" w:color="0000FF"/>
          <w:lang w:eastAsia="zh-CN"/>
        </w:rPr>
        <w:fldChar w:fldCharType="end"/>
      </w:r>
    </w:p>
  </w:footnote>
  <w:footnote w:id="4">
    <w:p w14:paraId="66564337">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其他参与组合产品生产和分销的实体不是</w:t>
      </w:r>
      <w:r>
        <w:rPr>
          <w:rFonts w:ascii="宋体" w:hAnsi="宋体" w:eastAsia="宋体"/>
          <w:snapToGrid w:val="0"/>
          <w:sz w:val="21"/>
          <w:szCs w:val="21"/>
          <w:lang w:eastAsia="zh-CN"/>
        </w:rPr>
        <w:t>“</w:t>
      </w:r>
      <w:r>
        <w:rPr>
          <w:rFonts w:eastAsia="宋体"/>
          <w:snapToGrid w:val="0"/>
          <w:sz w:val="21"/>
          <w:szCs w:val="21"/>
          <w:lang w:eastAsia="zh-CN"/>
        </w:rPr>
        <w:t>申请人</w:t>
      </w:r>
      <w:r>
        <w:rPr>
          <w:rFonts w:ascii="宋体" w:hAnsi="宋体" w:eastAsia="宋体"/>
          <w:snapToGrid w:val="0"/>
          <w:sz w:val="21"/>
          <w:szCs w:val="21"/>
          <w:lang w:eastAsia="zh-CN"/>
        </w:rPr>
        <w:t>”</w:t>
      </w:r>
      <w:r>
        <w:rPr>
          <w:rFonts w:eastAsia="宋体"/>
          <w:snapToGrid w:val="0"/>
          <w:sz w:val="21"/>
          <w:szCs w:val="21"/>
          <w:lang w:eastAsia="zh-CN"/>
        </w:rPr>
        <w:t>，因此不受制于符合组合产品PMSR最终规则，但根据FDA法规和《FD&amp;C法案》，这些实体有上市后安全性报告义务。此类实体的上市后安全性报告请见附录3。如果这些实体对如何遵守适用于非申请人的报告要求有疑问，应根据需要联系牵头中心或OCP。</w:t>
      </w:r>
    </w:p>
  </w:footnote>
  <w:footnote w:id="5">
    <w:p w14:paraId="5C4AA371">
      <w:pPr>
        <w:pStyle w:val="14"/>
        <w:adjustRightInd w:val="0"/>
        <w:jc w:val="both"/>
        <w:rPr>
          <w:rFonts w:eastAsia="宋体"/>
          <w:sz w:val="21"/>
          <w:szCs w:val="21"/>
          <w:lang w:eastAsia="zh-CN"/>
        </w:rPr>
      </w:pPr>
      <w:r>
        <w:rPr>
          <w:rStyle w:val="22"/>
          <w:rFonts w:eastAsia="宋体"/>
          <w:sz w:val="21"/>
          <w:szCs w:val="21"/>
        </w:rPr>
        <w:footnoteRef/>
      </w:r>
      <w:r>
        <w:rPr>
          <w:rFonts w:eastAsia="宋体"/>
          <w:sz w:val="21"/>
          <w:szCs w:val="21"/>
          <w:lang w:eastAsia="zh-CN"/>
        </w:rPr>
        <w:t xml:space="preserve"> </w:t>
      </w:r>
      <w:r>
        <w:rPr>
          <w:rFonts w:eastAsia="宋体"/>
          <w:snapToGrid w:val="0"/>
          <w:sz w:val="21"/>
          <w:szCs w:val="21"/>
          <w:lang w:eastAsia="zh-CN"/>
        </w:rPr>
        <w:t>《美国联邦法规》第21篇第4.101节</w:t>
      </w:r>
      <w:r>
        <w:rPr>
          <w:rFonts w:hint="eastAsia" w:eastAsia="宋体"/>
          <w:snapToGrid w:val="0"/>
          <w:sz w:val="21"/>
          <w:szCs w:val="21"/>
          <w:lang w:eastAsia="zh-CN"/>
        </w:rPr>
        <w:t>。</w:t>
      </w:r>
    </w:p>
  </w:footnote>
  <w:footnote w:id="6">
    <w:p w14:paraId="5147024E">
      <w:pPr>
        <w:pStyle w:val="14"/>
        <w:adjustRightInd w:val="0"/>
        <w:jc w:val="both"/>
        <w:rPr>
          <w:rFonts w:eastAsia="宋体"/>
          <w:sz w:val="21"/>
          <w:szCs w:val="21"/>
          <w:lang w:eastAsia="zh-CN"/>
        </w:rPr>
      </w:pPr>
      <w:r>
        <w:rPr>
          <w:rStyle w:val="22"/>
          <w:rFonts w:eastAsia="宋体"/>
          <w:sz w:val="21"/>
          <w:szCs w:val="21"/>
        </w:rPr>
        <w:footnoteRef/>
      </w:r>
      <w:r>
        <w:rPr>
          <w:rFonts w:eastAsia="宋体"/>
          <w:sz w:val="21"/>
          <w:szCs w:val="21"/>
          <w:lang w:eastAsia="zh-CN"/>
        </w:rPr>
        <w:t xml:space="preserve"> </w:t>
      </w:r>
      <w:r>
        <w:rPr>
          <w:rFonts w:eastAsia="宋体"/>
          <w:i/>
          <w:snapToGrid w:val="0"/>
          <w:sz w:val="21"/>
          <w:szCs w:val="21"/>
          <w:lang w:eastAsia="zh-CN"/>
        </w:rPr>
        <w:t>Id</w:t>
      </w:r>
      <w:r>
        <w:rPr>
          <w:rFonts w:hint="eastAsia" w:eastAsia="宋体"/>
          <w:snapToGrid w:val="0"/>
          <w:sz w:val="21"/>
          <w:szCs w:val="21"/>
          <w:lang w:eastAsia="zh-CN"/>
        </w:rPr>
        <w:t>。</w:t>
      </w:r>
    </w:p>
  </w:footnote>
  <w:footnote w:id="7">
    <w:p w14:paraId="35E47A13">
      <w:pPr>
        <w:pStyle w:val="14"/>
        <w:adjustRightInd w:val="0"/>
        <w:jc w:val="both"/>
        <w:rPr>
          <w:rFonts w:eastAsia="宋体"/>
          <w:sz w:val="21"/>
          <w:szCs w:val="21"/>
          <w:lang w:eastAsia="zh-CN"/>
        </w:rPr>
      </w:pPr>
      <w:r>
        <w:rPr>
          <w:rStyle w:val="22"/>
          <w:rFonts w:eastAsia="宋体"/>
          <w:sz w:val="21"/>
          <w:szCs w:val="21"/>
        </w:rPr>
        <w:footnoteRef/>
      </w:r>
      <w:r>
        <w:rPr>
          <w:rFonts w:eastAsia="宋体"/>
          <w:sz w:val="21"/>
          <w:szCs w:val="21"/>
          <w:lang w:eastAsia="zh-CN"/>
        </w:rPr>
        <w:t xml:space="preserve"> </w:t>
      </w:r>
      <w:r>
        <w:rPr>
          <w:rFonts w:eastAsia="宋体"/>
          <w:i/>
          <w:snapToGrid w:val="0"/>
          <w:sz w:val="21"/>
          <w:szCs w:val="21"/>
          <w:lang w:eastAsia="zh-CN"/>
        </w:rPr>
        <w:t>Id</w:t>
      </w:r>
      <w:r>
        <w:rPr>
          <w:rFonts w:hint="eastAsia" w:eastAsia="宋体"/>
          <w:snapToGrid w:val="0"/>
          <w:sz w:val="21"/>
          <w:szCs w:val="21"/>
          <w:lang w:eastAsia="zh-CN"/>
        </w:rPr>
        <w:t>。</w:t>
      </w:r>
    </w:p>
  </w:footnote>
  <w:footnote w:id="8">
    <w:p w14:paraId="6FBB37B4">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根据适用于其器械的《美国联邦法规》第21篇第803节，注射器公司有自己的上市后安全性报告义务。</w:t>
      </w:r>
    </w:p>
  </w:footnote>
  <w:footnote w:id="9">
    <w:p w14:paraId="4A3926A5">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虽然不在本指南范围内，但值得注意的是，在本例中，制药公司需要建立和维护程序，以确保供应的注射器符合所有要求的规范（</w:t>
      </w:r>
      <w:r>
        <w:rPr>
          <w:rFonts w:hint="eastAsia" w:eastAsia="宋体"/>
          <w:snapToGrid w:val="0"/>
          <w:sz w:val="21"/>
          <w:szCs w:val="21"/>
          <w:lang w:eastAsia="zh-CN"/>
        </w:rPr>
        <w:t>参</w:t>
      </w:r>
      <w:r>
        <w:rPr>
          <w:rFonts w:eastAsia="宋体"/>
          <w:snapToGrid w:val="0"/>
          <w:sz w:val="21"/>
          <w:szCs w:val="21"/>
          <w:lang w:eastAsia="zh-CN"/>
        </w:rPr>
        <w:t>见《美国联邦法规》第21篇第4节A子节；另见</w:t>
      </w:r>
      <w:r>
        <w:rPr>
          <w:rFonts w:hint="eastAsia" w:eastAsia="宋体"/>
          <w:snapToGrid w:val="0"/>
          <w:sz w:val="21"/>
          <w:szCs w:val="21"/>
          <w:lang w:eastAsia="zh-CN"/>
        </w:rPr>
        <w:t>面向</w:t>
      </w:r>
      <w:r>
        <w:rPr>
          <w:rFonts w:eastAsia="宋体"/>
          <w:snapToGrid w:val="0"/>
          <w:sz w:val="21"/>
          <w:szCs w:val="21"/>
          <w:lang w:eastAsia="zh-CN"/>
        </w:rPr>
        <w:t>行业和FDA工作人员</w:t>
      </w:r>
      <w:r>
        <w:rPr>
          <w:rFonts w:hint="eastAsia" w:eastAsia="宋体"/>
          <w:snapToGrid w:val="0"/>
          <w:sz w:val="21"/>
          <w:szCs w:val="21"/>
          <w:lang w:eastAsia="zh-CN"/>
        </w:rPr>
        <w:t>的</w:t>
      </w:r>
      <w:r>
        <w:rPr>
          <w:rFonts w:eastAsia="宋体"/>
          <w:snapToGrid w:val="0"/>
          <w:sz w:val="21"/>
          <w:szCs w:val="21"/>
          <w:lang w:eastAsia="zh-CN"/>
        </w:rPr>
        <w:t>指南，</w:t>
      </w:r>
      <w:r>
        <w:rPr>
          <w:rFonts w:eastAsia="宋体"/>
          <w:i/>
          <w:snapToGrid w:val="0"/>
          <w:sz w:val="21"/>
          <w:szCs w:val="21"/>
          <w:lang w:eastAsia="zh-CN"/>
        </w:rPr>
        <w:t>现行组合产品生产质量管理规范</w:t>
      </w:r>
      <w:r>
        <w:rPr>
          <w:rFonts w:eastAsia="宋体"/>
          <w:snapToGrid w:val="0"/>
          <w:sz w:val="21"/>
          <w:szCs w:val="21"/>
          <w:lang w:eastAsia="zh-CN"/>
        </w:rPr>
        <w:t>（</w:t>
      </w:r>
      <w:r>
        <w:fldChar w:fldCharType="begin"/>
      </w:r>
      <w:r>
        <w:instrText xml:space="preserve"> HYPERLINK "https://www.fda.gov/regulatory-information/search-fda-guidance-documents/current-good-manufacturing-practice-requirements-combination-products" </w:instrText>
      </w:r>
      <w:r>
        <w:fldChar w:fldCharType="separate"/>
      </w:r>
      <w:r>
        <w:rPr>
          <w:rStyle w:val="20"/>
          <w:rFonts w:eastAsia="宋体"/>
          <w:snapToGrid w:val="0"/>
          <w:sz w:val="21"/>
          <w:szCs w:val="21"/>
          <w:lang w:eastAsia="zh-CN"/>
        </w:rPr>
        <w:t>https://www.fda.gov/regulatory-information/search-fda-guidance-documents/current-good-manufacturing-practice-requirements-combination-products</w:t>
      </w:r>
      <w:r>
        <w:rPr>
          <w:rStyle w:val="20"/>
          <w:rFonts w:eastAsia="宋体"/>
          <w:snapToGrid w:val="0"/>
          <w:sz w:val="21"/>
          <w:szCs w:val="21"/>
          <w:lang w:eastAsia="zh-CN"/>
        </w:rPr>
        <w:fldChar w:fldCharType="end"/>
      </w:r>
      <w:r>
        <w:rPr>
          <w:rFonts w:eastAsia="宋体"/>
          <w:snapToGrid w:val="0"/>
          <w:sz w:val="21"/>
          <w:szCs w:val="21"/>
          <w:lang w:eastAsia="zh-CN"/>
        </w:rPr>
        <w:t>）（按法规要求提供指导意见））。例如，采购控制应包括适当的规定，以便在调查涉及注射器的不良事件时，允许注射器公司和制药公司之间进行沟通和信息共享。</w:t>
      </w:r>
    </w:p>
  </w:footnote>
  <w:footnote w:id="10">
    <w:p w14:paraId="7BC89ADD">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虽然研究用组合产品不受制于组合产品PMSR最终规则，但如果临床研究中使用的组合产品或组成部分已合法上市，则这些实体必须按照适用于该实体上市的组合产品或组成部分的PMSR要求，报告临床研究环境中发生的不良事件。例如，如果组合产品申请人根据NDA合法上市药械组合产品，并收到该组合产品在新用途研究期间发生的故障报告，则该组合产品申请人必须根据《美国联邦法规》第21篇第4.102（c）（1）（ii）节向FDA报告该故障（另见第</w:t>
      </w:r>
      <w:r>
        <w:rPr>
          <w:rFonts w:hint="eastAsia" w:eastAsia="宋体"/>
          <w:snapToGrid w:val="0"/>
          <w:sz w:val="21"/>
          <w:szCs w:val="21"/>
          <w:lang w:eastAsia="zh-CN"/>
        </w:rPr>
        <w:t>IV</w:t>
      </w:r>
      <w:r>
        <w:rPr>
          <w:rFonts w:eastAsia="宋体"/>
          <w:snapToGrid w:val="0"/>
          <w:sz w:val="21"/>
          <w:szCs w:val="21"/>
          <w:lang w:eastAsia="zh-CN"/>
        </w:rPr>
        <w:t>.A.3节）。请参见行业和食品药品监督管理局工作人员指南《制造商医疗器械报告》中关于临床研究中使用上市产品的相关讨论（访问网址：</w:t>
      </w:r>
      <w:r>
        <w:fldChar w:fldCharType="begin"/>
      </w:r>
      <w:r>
        <w:instrText xml:space="preserve"> HYPERLINK "https://www.fda.gov/regulatory-information/search-fda-guidance-documents/medical-device-reporting-manufacturers" </w:instrText>
      </w:r>
      <w:r>
        <w:fldChar w:fldCharType="separate"/>
      </w:r>
      <w:r>
        <w:rPr>
          <w:rStyle w:val="20"/>
          <w:rFonts w:eastAsia="宋体"/>
          <w:snapToGrid w:val="0"/>
          <w:sz w:val="21"/>
          <w:szCs w:val="21"/>
          <w:u w:color="0000FF"/>
          <w:lang w:eastAsia="zh-CN"/>
        </w:rPr>
        <w:t>https://www.fda.gov/regulatory-information/search-fda-guidance-documents/medical-device-reporting-manufacturers</w:t>
      </w:r>
      <w:r>
        <w:rPr>
          <w:rStyle w:val="20"/>
          <w:rFonts w:eastAsia="宋体"/>
          <w:snapToGrid w:val="0"/>
          <w:sz w:val="21"/>
          <w:szCs w:val="21"/>
          <w:u w:color="0000FF"/>
          <w:lang w:eastAsia="zh-CN"/>
        </w:rPr>
        <w:fldChar w:fldCharType="end"/>
      </w:r>
      <w:r>
        <w:rPr>
          <w:rFonts w:eastAsia="宋体"/>
          <w:snapToGrid w:val="0"/>
          <w:sz w:val="21"/>
          <w:szCs w:val="21"/>
          <w:lang w:eastAsia="zh-CN"/>
        </w:rPr>
        <w:t>），以及行业和研究者指南《IND和BA/BE研究的安全性报告要求》（访问网址：</w:t>
      </w:r>
      <w:r>
        <w:fldChar w:fldCharType="begin"/>
      </w:r>
      <w:r>
        <w:instrText xml:space="preserve"> HYPERLINK "https://www.fda.gov/regulatory-information/search-fda-guidance-documents/safety-reporting-requirements-inds-investigational-new-drug-applications-and-babe" </w:instrText>
      </w:r>
      <w:r>
        <w:fldChar w:fldCharType="separate"/>
      </w:r>
      <w:r>
        <w:rPr>
          <w:rStyle w:val="20"/>
          <w:rFonts w:eastAsia="宋体"/>
          <w:snapToGrid w:val="0"/>
          <w:sz w:val="21"/>
          <w:szCs w:val="21"/>
          <w:u w:color="0000FF"/>
          <w:lang w:eastAsia="zh-CN"/>
        </w:rPr>
        <w:t>https://www.fda.gov/regulatory-information/search-fda-guidance-documents/safety-reporting-requirements-inds-investigational-new-drug-applications-and-babe</w:t>
      </w:r>
      <w:r>
        <w:rPr>
          <w:rStyle w:val="20"/>
          <w:rFonts w:eastAsia="宋体"/>
          <w:snapToGrid w:val="0"/>
          <w:sz w:val="21"/>
          <w:szCs w:val="21"/>
          <w:u w:color="0000FF"/>
          <w:lang w:eastAsia="zh-CN"/>
        </w:rPr>
        <w:fldChar w:fldCharType="end"/>
      </w:r>
      <w:r>
        <w:rPr>
          <w:rFonts w:eastAsia="宋体"/>
          <w:snapToGrid w:val="0"/>
          <w:sz w:val="21"/>
          <w:szCs w:val="21"/>
          <w:lang w:eastAsia="zh-CN"/>
        </w:rPr>
        <w:t>）。如果实体对如何遵守适用于研究用组合产品的报告要求有疑问，应根据需要联系牵头中心或OCP。</w:t>
      </w:r>
    </w:p>
  </w:footnote>
  <w:footnote w:id="11">
    <w:p w14:paraId="4E6F1009">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一些PMSR法规中有关于免除、替代方案和豁免的规定（请参见，例如《美国联邦法规》第21篇第314.90、600.90和803.19节）。这些规定适用于组合产品。有关申请免除、替代方案或豁免的问题应根据需要直接向牵头中心或OCP提出。</w:t>
      </w:r>
    </w:p>
  </w:footnote>
  <w:footnote w:id="12">
    <w:p w14:paraId="4DD8F297">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与《美国联邦法规》第21篇第314.80和600.80节规定的报告要求相当。包含药品和生物制品组成部分的组合产品无需单独提交15天报告以符合每项要求。提交一份包含所需信息的15天报告即可（另</w:t>
      </w:r>
      <w:r>
        <w:rPr>
          <w:rFonts w:hint="eastAsia" w:eastAsia="宋体"/>
          <w:snapToGrid w:val="0"/>
          <w:sz w:val="21"/>
          <w:szCs w:val="21"/>
          <w:lang w:eastAsia="zh-CN"/>
        </w:rPr>
        <w:t>参</w:t>
      </w:r>
      <w:r>
        <w:rPr>
          <w:rFonts w:eastAsia="宋体"/>
          <w:snapToGrid w:val="0"/>
          <w:sz w:val="21"/>
          <w:szCs w:val="21"/>
          <w:lang w:eastAsia="zh-CN"/>
        </w:rPr>
        <w:t>见第IV.A.1节）。</w:t>
      </w:r>
    </w:p>
  </w:footnote>
  <w:footnote w:id="13">
    <w:p w14:paraId="58FD7DF1">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除适用法规要求的信息外，组合产品申请人还应在说明中包括组合产品标识符，以及其他组成部分的申请编号。</w:t>
      </w:r>
    </w:p>
  </w:footnote>
  <w:footnote w:id="14">
    <w:p w14:paraId="3DD94F2A">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然而，需要特别注意的是：组成部分申请人应对事件进行整体考虑，包括事件对安全有效使用组合产品的整体影响，以确保他们为其组成部分提供完整且全面的报告。</w:t>
      </w:r>
    </w:p>
  </w:footnote>
  <w:footnote w:id="15">
    <w:p w14:paraId="6B0612E4">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注意：本节未解释死亡和重伤的报告要求（</w:t>
      </w:r>
      <w:r>
        <w:rPr>
          <w:rFonts w:hint="eastAsia" w:eastAsia="宋体"/>
          <w:snapToGrid w:val="0"/>
          <w:sz w:val="21"/>
          <w:szCs w:val="21"/>
          <w:lang w:eastAsia="zh-CN"/>
        </w:rPr>
        <w:t>参</w:t>
      </w:r>
      <w:r>
        <w:rPr>
          <w:rFonts w:eastAsia="宋体"/>
          <w:snapToGrid w:val="0"/>
          <w:sz w:val="21"/>
          <w:szCs w:val="21"/>
          <w:lang w:eastAsia="zh-CN"/>
        </w:rPr>
        <w:t>见《美国联邦法规》第21篇第803节），因为根据组合产品PMSR最终规则，这些要求仅适用于根据器械申请上市其产品的组合产品和组成部分申请人，这些申请人应熟悉这些基于申请类型的报告要求。同样，</w:t>
      </w:r>
      <w:r>
        <w:rPr>
          <w:rFonts w:hint="eastAsia" w:eastAsia="宋体"/>
          <w:snapToGrid w:val="0"/>
          <w:sz w:val="21"/>
          <w:szCs w:val="21"/>
          <w:lang w:eastAsia="zh-CN"/>
        </w:rPr>
        <w:t>本机构</w:t>
      </w:r>
      <w:r>
        <w:rPr>
          <w:rFonts w:eastAsia="宋体"/>
          <w:snapToGrid w:val="0"/>
          <w:sz w:val="21"/>
          <w:szCs w:val="21"/>
          <w:lang w:eastAsia="zh-CN"/>
        </w:rPr>
        <w:t>不会在本节中解释《美国联邦法规》第21篇第314.80和600.80节下的非快速（非15天）ICSR报告，因为这些要求仅适用于根据ANDA、NDA或BLA上市其产品的组合产品和组成部分申请人，并且这些实体应熟悉这些基于申请类型的报告要求。</w:t>
      </w:r>
    </w:p>
  </w:footnote>
  <w:footnote w:id="16">
    <w:p w14:paraId="5CB4D4E2">
      <w:pPr>
        <w:pStyle w:val="14"/>
        <w:adjustRightInd w:val="0"/>
        <w:jc w:val="both"/>
        <w:rPr>
          <w:rFonts w:eastAsia="宋体"/>
          <w:sz w:val="21"/>
          <w:szCs w:val="21"/>
          <w:lang w:eastAsia="zh-CN"/>
        </w:rPr>
      </w:pPr>
      <w:r>
        <w:rPr>
          <w:rStyle w:val="22"/>
          <w:rFonts w:eastAsia="宋体"/>
          <w:sz w:val="21"/>
          <w:szCs w:val="21"/>
        </w:rPr>
        <w:footnoteRef/>
      </w:r>
      <w:r>
        <w:rPr>
          <w:rFonts w:eastAsia="宋体"/>
          <w:sz w:val="21"/>
          <w:szCs w:val="21"/>
          <w:lang w:eastAsia="zh-CN"/>
        </w:rPr>
        <w:t xml:space="preserve"> </w:t>
      </w:r>
      <w:r>
        <w:rPr>
          <w:rFonts w:eastAsia="宋体"/>
          <w:snapToGrid w:val="0"/>
          <w:sz w:val="21"/>
          <w:szCs w:val="21"/>
          <w:lang w:eastAsia="zh-CN"/>
        </w:rPr>
        <w:t>《美国联邦法规》第21篇第314.80（c）和600.80（c）节在组合产品PMSR最终规则（</w:t>
      </w:r>
      <w:r>
        <w:rPr>
          <w:rFonts w:hint="eastAsia" w:eastAsia="宋体"/>
          <w:snapToGrid w:val="0"/>
          <w:sz w:val="21"/>
          <w:szCs w:val="21"/>
          <w:lang w:eastAsia="zh-CN"/>
        </w:rPr>
        <w:t>参</w:t>
      </w:r>
      <w:r>
        <w:rPr>
          <w:rFonts w:eastAsia="宋体"/>
          <w:snapToGrid w:val="0"/>
          <w:sz w:val="21"/>
          <w:szCs w:val="21"/>
          <w:lang w:eastAsia="zh-CN"/>
        </w:rPr>
        <w:t>见《美国联邦法规》第21篇第4.101节）中使用术语</w:t>
      </w:r>
      <w:r>
        <w:rPr>
          <w:rFonts w:ascii="宋体" w:hAnsi="宋体" w:eastAsia="宋体"/>
          <w:snapToGrid w:val="0"/>
          <w:sz w:val="21"/>
          <w:szCs w:val="21"/>
          <w:lang w:eastAsia="zh-CN"/>
        </w:rPr>
        <w:t>“</w:t>
      </w:r>
      <w:r>
        <w:rPr>
          <w:rFonts w:eastAsia="宋体"/>
          <w:snapToGrid w:val="0"/>
          <w:sz w:val="21"/>
          <w:szCs w:val="21"/>
          <w:lang w:eastAsia="zh-CN"/>
        </w:rPr>
        <w:t>15天警戒报告</w:t>
      </w:r>
      <w:r>
        <w:rPr>
          <w:rFonts w:ascii="宋体" w:hAnsi="宋体" w:eastAsia="宋体"/>
          <w:snapToGrid w:val="0"/>
          <w:sz w:val="21"/>
          <w:szCs w:val="21"/>
          <w:lang w:eastAsia="zh-CN"/>
        </w:rPr>
        <w:t>”</w:t>
      </w:r>
      <w:r>
        <w:rPr>
          <w:rFonts w:eastAsia="宋体"/>
          <w:snapToGrid w:val="0"/>
          <w:sz w:val="21"/>
          <w:szCs w:val="21"/>
          <w:lang w:eastAsia="zh-CN"/>
        </w:rPr>
        <w:t>，这些报告被定义为</w:t>
      </w:r>
      <w:r>
        <w:rPr>
          <w:rFonts w:ascii="宋体" w:hAnsi="宋体" w:eastAsia="宋体"/>
          <w:snapToGrid w:val="0"/>
          <w:sz w:val="21"/>
          <w:szCs w:val="21"/>
          <w:lang w:eastAsia="zh-CN"/>
        </w:rPr>
        <w:t>“</w:t>
      </w:r>
      <w:r>
        <w:rPr>
          <w:rFonts w:eastAsia="宋体"/>
          <w:snapToGrid w:val="0"/>
          <w:sz w:val="21"/>
          <w:szCs w:val="21"/>
          <w:lang w:eastAsia="zh-CN"/>
        </w:rPr>
        <w:t>15天报告</w:t>
      </w:r>
      <w:r>
        <w:rPr>
          <w:rFonts w:ascii="宋体" w:hAnsi="宋体" w:eastAsia="宋体"/>
          <w:snapToGrid w:val="0"/>
          <w:sz w:val="21"/>
          <w:szCs w:val="21"/>
          <w:lang w:eastAsia="zh-CN"/>
        </w:rPr>
        <w:t>”</w:t>
      </w:r>
      <w:r>
        <w:rPr>
          <w:rFonts w:eastAsia="宋体"/>
          <w:snapToGrid w:val="0"/>
          <w:sz w:val="21"/>
          <w:szCs w:val="21"/>
          <w:lang w:eastAsia="zh-CN"/>
        </w:rPr>
        <w:t>，本指南将使用该术语。</w:t>
      </w:r>
    </w:p>
  </w:footnote>
  <w:footnote w:id="17">
    <w:p w14:paraId="677A873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在考虑向FDA提交15天报告时，申请人至少应了解以下四个数据要素：1）可识别的患者，2）可识别的报告者，3）可疑产品，和4）不良经历。详细信息请</w:t>
      </w:r>
      <w:r>
        <w:rPr>
          <w:rFonts w:hint="eastAsia" w:eastAsia="宋体"/>
          <w:snapToGrid w:val="0"/>
          <w:sz w:val="21"/>
          <w:szCs w:val="21"/>
          <w:lang w:eastAsia="zh-CN"/>
        </w:rPr>
        <w:t>参</w:t>
      </w:r>
      <w:r>
        <w:rPr>
          <w:rFonts w:eastAsia="宋体"/>
          <w:snapToGrid w:val="0"/>
          <w:sz w:val="21"/>
          <w:szCs w:val="21"/>
          <w:lang w:eastAsia="zh-CN"/>
        </w:rPr>
        <w:t>见《行业指南草案》，</w:t>
      </w:r>
      <w:r>
        <w:rPr>
          <w:rFonts w:eastAsia="宋体"/>
          <w:i/>
          <w:snapToGrid w:val="0"/>
          <w:sz w:val="21"/>
          <w:szCs w:val="21"/>
          <w:lang w:eastAsia="zh-CN"/>
        </w:rPr>
        <w:t>人用药和生物制品（包括疫苗）的上市后安全性报告</w:t>
      </w:r>
      <w:r>
        <w:rPr>
          <w:rFonts w:eastAsia="宋体"/>
          <w:snapToGrid w:val="0"/>
          <w:sz w:val="21"/>
          <w:szCs w:val="21"/>
          <w:lang w:eastAsia="zh-CN"/>
        </w:rPr>
        <w:t>（</w:t>
      </w:r>
      <w:r>
        <w:fldChar w:fldCharType="begin"/>
      </w:r>
      <w:r>
        <w:instrText xml:space="preserve"> HYPERLINK "https://www.fda.gov/regulatory-information/search-fda-guidance-documents/postmarketing-safety-reporting-human-drug-and-biological-products-including-vaccines" </w:instrText>
      </w:r>
      <w:r>
        <w:fldChar w:fldCharType="separate"/>
      </w:r>
      <w:r>
        <w:rPr>
          <w:rStyle w:val="20"/>
          <w:rFonts w:eastAsia="宋体"/>
          <w:snapToGrid w:val="0"/>
          <w:sz w:val="21"/>
          <w:szCs w:val="21"/>
          <w:lang w:eastAsia="zh-CN"/>
        </w:rPr>
        <w:t>https://www.fda.gov/regulatory-information/search-fda-guidance-documents/postmarketing-safety-reporting-human-drug-and-biological-products-including-vaccines</w:t>
      </w:r>
      <w:r>
        <w:rPr>
          <w:rStyle w:val="20"/>
          <w:rFonts w:eastAsia="宋体"/>
          <w:snapToGrid w:val="0"/>
          <w:sz w:val="21"/>
          <w:szCs w:val="21"/>
          <w:lang w:eastAsia="zh-CN"/>
        </w:rPr>
        <w:fldChar w:fldCharType="end"/>
      </w:r>
      <w:r>
        <w:rPr>
          <w:rFonts w:eastAsia="宋体"/>
          <w:snapToGrid w:val="0"/>
          <w:sz w:val="21"/>
          <w:szCs w:val="21"/>
          <w:lang w:eastAsia="zh-CN"/>
        </w:rPr>
        <w:t>），该草案最终版将代表FDA</w:t>
      </w:r>
      <w:r>
        <w:rPr>
          <w:rFonts w:hint="eastAsia" w:eastAsia="宋体"/>
          <w:snapToGrid w:val="0"/>
          <w:sz w:val="21"/>
          <w:szCs w:val="21"/>
          <w:lang w:eastAsia="zh-CN"/>
        </w:rPr>
        <w:t>目前关于该主题的思考</w:t>
      </w:r>
      <w:r>
        <w:rPr>
          <w:rFonts w:eastAsia="宋体"/>
          <w:snapToGrid w:val="0"/>
          <w:sz w:val="21"/>
          <w:szCs w:val="21"/>
          <w:lang w:eastAsia="zh-CN"/>
        </w:rPr>
        <w:t>。</w:t>
      </w:r>
    </w:p>
  </w:footnote>
  <w:footnote w:id="18">
    <w:p w14:paraId="52305AEA">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有关这些定义的详细信息请</w:t>
      </w:r>
      <w:r>
        <w:rPr>
          <w:rFonts w:hint="eastAsia" w:eastAsia="宋体"/>
          <w:snapToGrid w:val="0"/>
          <w:sz w:val="21"/>
          <w:szCs w:val="21"/>
          <w:lang w:eastAsia="zh-CN"/>
        </w:rPr>
        <w:t>参</w:t>
      </w:r>
      <w:r>
        <w:rPr>
          <w:rFonts w:eastAsia="宋体"/>
          <w:snapToGrid w:val="0"/>
          <w:sz w:val="21"/>
          <w:szCs w:val="21"/>
        </w:rPr>
        <w:t>见《行业指南草案》，</w:t>
      </w:r>
      <w:r>
        <w:rPr>
          <w:rFonts w:eastAsia="宋体"/>
          <w:i/>
          <w:snapToGrid w:val="0"/>
          <w:sz w:val="21"/>
          <w:szCs w:val="21"/>
        </w:rPr>
        <w:t>人用药和生物制品（包括疫苗）的上市后安全性报告</w:t>
      </w:r>
      <w:r>
        <w:rPr>
          <w:rFonts w:eastAsia="宋体"/>
          <w:snapToGrid w:val="0"/>
          <w:sz w:val="21"/>
          <w:szCs w:val="21"/>
        </w:rPr>
        <w:t>（</w:t>
      </w:r>
      <w:r>
        <w:fldChar w:fldCharType="begin"/>
      </w:r>
      <w:r>
        <w:instrText xml:space="preserve"> HYPERLINK "https://www.fda.gov/regulatory-information/search-fda-guidance-documents/postmarketing-safety-reporting-human-drug-and-biological-products-%20including-vaccines" </w:instrText>
      </w:r>
      <w:r>
        <w:fldChar w:fldCharType="separate"/>
      </w:r>
      <w:r>
        <w:rPr>
          <w:rStyle w:val="20"/>
          <w:rFonts w:eastAsia="宋体"/>
          <w:snapToGrid w:val="0"/>
          <w:sz w:val="21"/>
          <w:szCs w:val="21"/>
          <w:u w:color="0000FF"/>
        </w:rPr>
        <w:t>https://www.fda.gov/regulatory-information/search-fda-guidance-documents/postmarketing-safety-reporting-human-drug-and-biological-products- including-vaccines</w:t>
      </w:r>
      <w:r>
        <w:rPr>
          <w:rStyle w:val="20"/>
          <w:rFonts w:eastAsia="宋体"/>
          <w:snapToGrid w:val="0"/>
          <w:sz w:val="21"/>
          <w:szCs w:val="21"/>
          <w:u w:color="0000FF"/>
        </w:rPr>
        <w:fldChar w:fldCharType="end"/>
      </w:r>
      <w:r>
        <w:rPr>
          <w:rFonts w:eastAsia="宋体"/>
          <w:snapToGrid w:val="0"/>
          <w:sz w:val="21"/>
          <w:szCs w:val="21"/>
        </w:rPr>
        <w:t>），该草案最终版将代表FDA目前</w:t>
      </w:r>
      <w:r>
        <w:rPr>
          <w:rFonts w:hint="eastAsia" w:eastAsia="宋体"/>
          <w:snapToGrid w:val="0"/>
          <w:sz w:val="21"/>
          <w:szCs w:val="21"/>
          <w:lang w:eastAsia="zh-CN"/>
        </w:rPr>
        <w:t>关于该</w:t>
      </w:r>
      <w:r>
        <w:rPr>
          <w:rFonts w:eastAsia="宋体"/>
          <w:snapToGrid w:val="0"/>
          <w:sz w:val="21"/>
          <w:szCs w:val="21"/>
        </w:rPr>
        <w:t>主题的</w:t>
      </w:r>
      <w:r>
        <w:rPr>
          <w:rFonts w:hint="eastAsia" w:eastAsia="宋体"/>
          <w:snapToGrid w:val="0"/>
          <w:sz w:val="21"/>
          <w:szCs w:val="21"/>
          <w:lang w:eastAsia="zh-CN"/>
        </w:rPr>
        <w:t>思考</w:t>
      </w:r>
      <w:r>
        <w:rPr>
          <w:rFonts w:eastAsia="宋体"/>
          <w:snapToGrid w:val="0"/>
          <w:sz w:val="21"/>
          <w:szCs w:val="21"/>
        </w:rPr>
        <w:t>。</w:t>
      </w:r>
    </w:p>
  </w:footnote>
  <w:footnote w:id="19">
    <w:p w14:paraId="454F3980">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有关这些定义的详细信息请见《行业指南草案》，</w:t>
      </w:r>
      <w:r>
        <w:rPr>
          <w:rFonts w:eastAsia="宋体"/>
          <w:i/>
          <w:snapToGrid w:val="0"/>
          <w:sz w:val="21"/>
          <w:szCs w:val="21"/>
        </w:rPr>
        <w:t>人用药和生物制品（包括疫苗）的上市后安全性报告</w:t>
      </w:r>
      <w:r>
        <w:rPr>
          <w:rFonts w:eastAsia="宋体"/>
          <w:snapToGrid w:val="0"/>
          <w:sz w:val="21"/>
          <w:szCs w:val="21"/>
        </w:rPr>
        <w:t>（</w:t>
      </w:r>
      <w:r>
        <w:fldChar w:fldCharType="begin"/>
      </w:r>
      <w:r>
        <w:instrText xml:space="preserve"> HYPERLINK "https://www.fda.gov/regulatory-information/search-fda-guidance-documents/postmarketing-safety-reporting-human-drug-and-biological-products-including-vaccines" </w:instrText>
      </w:r>
      <w:r>
        <w:fldChar w:fldCharType="separate"/>
      </w:r>
      <w:r>
        <w:rPr>
          <w:rStyle w:val="20"/>
          <w:rFonts w:eastAsia="宋体"/>
          <w:snapToGrid w:val="0"/>
          <w:sz w:val="21"/>
          <w:szCs w:val="21"/>
        </w:rPr>
        <w:t>https://www.fda.gov/regulatory-information/search-fda-guidance-documents/postmarketing-safety-reporting-human-drug-and-biological-products-including-vaccines</w:t>
      </w:r>
      <w:r>
        <w:rPr>
          <w:rStyle w:val="20"/>
          <w:rFonts w:eastAsia="宋体"/>
          <w:snapToGrid w:val="0"/>
          <w:sz w:val="21"/>
          <w:szCs w:val="21"/>
        </w:rPr>
        <w:fldChar w:fldCharType="end"/>
      </w:r>
      <w:r>
        <w:rPr>
          <w:rFonts w:eastAsia="宋体"/>
          <w:snapToGrid w:val="0"/>
          <w:sz w:val="21"/>
          <w:szCs w:val="21"/>
        </w:rPr>
        <w:t>），该草案最终版将代表FDA目前</w:t>
      </w:r>
      <w:r>
        <w:rPr>
          <w:rFonts w:hint="eastAsia" w:eastAsia="宋体"/>
          <w:snapToGrid w:val="0"/>
          <w:sz w:val="21"/>
          <w:szCs w:val="21"/>
          <w:lang w:eastAsia="zh-CN"/>
        </w:rPr>
        <w:t>关于该</w:t>
      </w:r>
      <w:r>
        <w:rPr>
          <w:rFonts w:eastAsia="宋体"/>
          <w:snapToGrid w:val="0"/>
          <w:sz w:val="21"/>
          <w:szCs w:val="21"/>
        </w:rPr>
        <w:t>主题的思考。</w:t>
      </w:r>
    </w:p>
  </w:footnote>
  <w:footnote w:id="20">
    <w:p w14:paraId="7A26AA4E">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如《美国联邦法规》第21篇第314.80（a）和600.80（a）节所述，不良经历包括预期药理作用的任何失效和发生的不良事件：在专业实践中使用产品的过程中，由于意外或故意的产品过量、由于产品滥用、或由于产品停用。</w:t>
      </w:r>
    </w:p>
  </w:footnote>
  <w:footnote w:id="21">
    <w:p w14:paraId="7701C7B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虽然FDA预计此类情况将很少见，但如果该事件与组合产品使用有关，而申请人不认为该信息合理地表明产品可能导致或促成了该事件，根据器械申请上市的组合产品的组合产品申请人可能会收到触发15天报告的事件报告，但不是死亡或重伤报告。</w:t>
      </w:r>
    </w:p>
  </w:footnote>
  <w:footnote w:id="22">
    <w:p w14:paraId="091E1E3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对于负有监管、科学或技术责任的人，当负责管理或监督他们的任何员工、或其职责与收集和报告不良事件有关的员工，从任何信息（包括任何趋势分析）中获知一个或多个可报告事件需要采取补救措施以防止对公众健康造成重大伤害的不合理风险时，即认为申请人已获知（</w:t>
      </w:r>
      <w:r>
        <w:rPr>
          <w:rFonts w:hint="eastAsia" w:eastAsia="宋体"/>
          <w:snapToGrid w:val="0"/>
          <w:sz w:val="21"/>
          <w:szCs w:val="21"/>
          <w:lang w:eastAsia="zh-CN"/>
        </w:rPr>
        <w:t>参</w:t>
      </w:r>
      <w:r>
        <w:rPr>
          <w:rFonts w:eastAsia="宋体"/>
          <w:snapToGrid w:val="0"/>
          <w:sz w:val="21"/>
          <w:szCs w:val="21"/>
          <w:lang w:eastAsia="zh-CN"/>
        </w:rPr>
        <w:t>见《美国联邦法规》第21篇第803.3（b）节）。如果FDA已根据《美国联邦法规》第21篇第803.53（b）节要求对某些事件提交5天报告，</w:t>
      </w:r>
      <w:r>
        <w:rPr>
          <w:rFonts w:hint="eastAsia" w:eastAsia="宋体"/>
          <w:snapToGrid w:val="0"/>
          <w:sz w:val="21"/>
          <w:szCs w:val="21"/>
          <w:lang w:eastAsia="zh-CN"/>
        </w:rPr>
        <w:t>那么</w:t>
      </w:r>
      <w:r>
        <w:rPr>
          <w:rFonts w:eastAsia="宋体"/>
          <w:snapToGrid w:val="0"/>
          <w:sz w:val="21"/>
          <w:szCs w:val="21"/>
          <w:lang w:eastAsia="zh-CN"/>
        </w:rPr>
        <w:t>当任何员工获知此类事件发生时，</w:t>
      </w:r>
      <w:r>
        <w:rPr>
          <w:rFonts w:hint="eastAsia" w:eastAsia="宋体"/>
          <w:snapToGrid w:val="0"/>
          <w:sz w:val="21"/>
          <w:szCs w:val="21"/>
          <w:lang w:eastAsia="zh-CN"/>
        </w:rPr>
        <w:t>则</w:t>
      </w:r>
      <w:r>
        <w:rPr>
          <w:rFonts w:eastAsia="宋体"/>
          <w:snapToGrid w:val="0"/>
          <w:sz w:val="21"/>
          <w:szCs w:val="21"/>
          <w:lang w:eastAsia="zh-CN"/>
        </w:rPr>
        <w:t>认为申请人已获知（</w:t>
      </w:r>
      <w:r>
        <w:rPr>
          <w:rFonts w:hint="eastAsia" w:eastAsia="宋体"/>
          <w:snapToGrid w:val="0"/>
          <w:sz w:val="21"/>
          <w:szCs w:val="21"/>
          <w:lang w:eastAsia="zh-CN"/>
        </w:rPr>
        <w:t>参</w:t>
      </w:r>
      <w:r>
        <w:rPr>
          <w:rFonts w:eastAsia="宋体"/>
          <w:snapToGrid w:val="0"/>
          <w:sz w:val="21"/>
          <w:szCs w:val="21"/>
          <w:lang w:eastAsia="zh-CN"/>
        </w:rPr>
        <w:t>见《美国联邦法规》第21篇第803.3（b）节）。</w:t>
      </w:r>
    </w:p>
  </w:footnote>
  <w:footnote w:id="23">
    <w:p w14:paraId="310952AB">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请</w:t>
      </w:r>
      <w:r>
        <w:rPr>
          <w:rFonts w:eastAsia="宋体"/>
          <w:snapToGrid w:val="0"/>
          <w:sz w:val="21"/>
          <w:szCs w:val="21"/>
        </w:rPr>
        <w:t>注意，对于某些组合产品，可使用替代性、自愿的</w:t>
      </w:r>
      <w:r>
        <w:rPr>
          <w:rFonts w:eastAsia="宋体"/>
          <w:snapToGrid w:val="0"/>
          <w:sz w:val="21"/>
          <w:szCs w:val="21"/>
          <w:lang w:eastAsia="zh-CN"/>
        </w:rPr>
        <w:t>故障</w:t>
      </w:r>
      <w:r>
        <w:rPr>
          <w:rFonts w:eastAsia="宋体"/>
          <w:snapToGrid w:val="0"/>
          <w:sz w:val="21"/>
          <w:szCs w:val="21"/>
        </w:rPr>
        <w:t>报告程序，请</w:t>
      </w:r>
      <w:r>
        <w:rPr>
          <w:rFonts w:hint="eastAsia" w:eastAsia="宋体"/>
          <w:snapToGrid w:val="0"/>
          <w:sz w:val="21"/>
          <w:szCs w:val="21"/>
          <w:lang w:eastAsia="zh-CN"/>
        </w:rPr>
        <w:t>参</w:t>
      </w:r>
      <w:r>
        <w:rPr>
          <w:rFonts w:eastAsia="宋体"/>
          <w:snapToGrid w:val="0"/>
          <w:sz w:val="21"/>
          <w:szCs w:val="21"/>
        </w:rPr>
        <w:t>见</w:t>
      </w:r>
      <w:r>
        <w:fldChar w:fldCharType="begin"/>
      </w:r>
      <w:r>
        <w:instrText xml:space="preserve"> HYPERLINK "https://www.fda.gov/%20combination-products/guidance-regulatory-information/postmarketing-safety-reporting-%20combination-products。" </w:instrText>
      </w:r>
      <w:r>
        <w:fldChar w:fldCharType="separate"/>
      </w:r>
      <w:r>
        <w:rPr>
          <w:rStyle w:val="20"/>
          <w:rFonts w:eastAsia="宋体"/>
          <w:snapToGrid w:val="0"/>
          <w:sz w:val="21"/>
          <w:szCs w:val="21"/>
          <w:u w:color="0000FF"/>
        </w:rPr>
        <w:t>https://www.fda.gov/</w:t>
      </w:r>
      <w:r>
        <w:rPr>
          <w:rStyle w:val="20"/>
          <w:rFonts w:eastAsia="宋体"/>
          <w:snapToGrid w:val="0"/>
          <w:sz w:val="21"/>
          <w:szCs w:val="21"/>
          <w:u w:color="0000FF"/>
          <w:lang w:eastAsia="zh-CN"/>
        </w:rPr>
        <w:t xml:space="preserve"> </w:t>
      </w:r>
      <w:r>
        <w:rPr>
          <w:rStyle w:val="20"/>
          <w:rFonts w:eastAsia="宋体"/>
          <w:snapToGrid w:val="0"/>
          <w:sz w:val="21"/>
          <w:szCs w:val="21"/>
          <w:u w:color="0000FF"/>
        </w:rPr>
        <w:t>combination-products/guidance-regulatory-information/postmarketing-safety-reporting- combination-products</w:t>
      </w:r>
      <w:r>
        <w:rPr>
          <w:rStyle w:val="20"/>
          <w:rFonts w:eastAsia="宋体"/>
          <w:snapToGrid w:val="0"/>
          <w:sz w:val="21"/>
          <w:szCs w:val="21"/>
          <w:u w:color="0000FF"/>
          <w:lang w:eastAsia="zh-CN"/>
        </w:rPr>
        <w:t>。</w:t>
      </w:r>
      <w:r>
        <w:rPr>
          <w:rStyle w:val="20"/>
          <w:rFonts w:eastAsia="宋体"/>
          <w:snapToGrid w:val="0"/>
          <w:sz w:val="21"/>
          <w:szCs w:val="21"/>
          <w:u w:color="0000FF"/>
          <w:lang w:eastAsia="zh-CN"/>
        </w:rPr>
        <w:fldChar w:fldCharType="end"/>
      </w:r>
    </w:p>
  </w:footnote>
  <w:footnote w:id="24">
    <w:p w14:paraId="22A88E86">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根据《美国联邦法规》第21篇第803.20（c）节，任何信息，包括专业、科学或医学事实、观察结果或意见，均可以合理地表明某个产品已导致或可能已导致或促成可报告事件</w:t>
      </w:r>
      <w:r>
        <w:rPr>
          <w:rFonts w:hint="eastAsia" w:eastAsia="宋体"/>
          <w:snapToGrid w:val="0"/>
          <w:sz w:val="21"/>
          <w:szCs w:val="21"/>
          <w:lang w:eastAsia="zh-CN"/>
        </w:rPr>
        <w:t>。</w:t>
      </w:r>
    </w:p>
  </w:footnote>
  <w:footnote w:id="25">
    <w:p w14:paraId="78FB5557">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应根据适用的FDA不良事件报告系统的技术说明提交后续报告。有关FDA不良事件报告系统（FAERS）、电子医疗器械报告系统（eMDR）和疫苗不良事件报告系统（VAERS）的信息，请</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V</w:t>
      </w:r>
      <w:r>
        <w:rPr>
          <w:rFonts w:eastAsia="宋体"/>
          <w:snapToGrid w:val="0"/>
          <w:sz w:val="21"/>
          <w:szCs w:val="21"/>
          <w:lang w:eastAsia="zh-CN"/>
        </w:rPr>
        <w:t>.A.2节。</w:t>
      </w:r>
    </w:p>
  </w:footnote>
  <w:footnote w:id="26">
    <w:p w14:paraId="577A9BF5">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注意，如果组合产品申请人在提交15天报告之前获知可报告故障，则可以在15天内提交一份报告来满足这两项要求（另见下文第</w:t>
      </w:r>
      <w:r>
        <w:rPr>
          <w:rFonts w:hint="eastAsia" w:eastAsia="宋体"/>
          <w:snapToGrid w:val="0"/>
          <w:sz w:val="21"/>
          <w:szCs w:val="21"/>
          <w:lang w:eastAsia="zh-CN"/>
        </w:rPr>
        <w:t>V</w:t>
      </w:r>
      <w:r>
        <w:rPr>
          <w:rFonts w:eastAsia="宋体"/>
          <w:snapToGrid w:val="0"/>
          <w:sz w:val="21"/>
          <w:szCs w:val="21"/>
          <w:lang w:eastAsia="zh-CN"/>
        </w:rPr>
        <w:t>.A.3节）。</w:t>
      </w:r>
    </w:p>
  </w:footnote>
  <w:footnote w:id="27">
    <w:p w14:paraId="5725463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可报告故障（以及可报告的死亡和重伤）可能涉及用药错误，如本例中的部分给药或错过给药。用药错误是可预防的事件，当药物处于医务人员、患者或消费者控制下时，用药错误可能导致或造成药物使用不当或患者伤害，请</w:t>
      </w:r>
      <w:r>
        <w:rPr>
          <w:rFonts w:hint="eastAsia" w:eastAsia="宋体"/>
          <w:snapToGrid w:val="0"/>
          <w:sz w:val="21"/>
          <w:szCs w:val="21"/>
          <w:lang w:eastAsia="zh-CN"/>
        </w:rPr>
        <w:t>参</w:t>
      </w:r>
      <w:r>
        <w:rPr>
          <w:rFonts w:eastAsia="宋体"/>
          <w:snapToGrid w:val="0"/>
          <w:sz w:val="21"/>
          <w:szCs w:val="21"/>
          <w:lang w:eastAsia="zh-CN"/>
        </w:rPr>
        <w:t>见</w:t>
      </w:r>
      <w:r>
        <w:fldChar w:fldCharType="begin"/>
      </w:r>
      <w:r>
        <w:instrText xml:space="preserve"> HYPERLINK "https://www.fda.gov/drugs/drug-safety-and-availability/medication-errors-related-cder-regulated-drug-products" </w:instrText>
      </w:r>
      <w:r>
        <w:fldChar w:fldCharType="separate"/>
      </w:r>
      <w:r>
        <w:rPr>
          <w:rStyle w:val="20"/>
          <w:rFonts w:eastAsia="宋体"/>
          <w:snapToGrid w:val="0"/>
          <w:sz w:val="21"/>
          <w:szCs w:val="21"/>
          <w:u w:color="0000FF"/>
          <w:lang w:eastAsia="zh-CN"/>
        </w:rPr>
        <w:t>https://www.fda.gov/drugs/drug-safety-and-availability/medication-errors-related-cder-regulated-drug-products</w:t>
      </w:r>
      <w:r>
        <w:rPr>
          <w:rStyle w:val="20"/>
          <w:rFonts w:eastAsia="宋体"/>
          <w:snapToGrid w:val="0"/>
          <w:sz w:val="21"/>
          <w:szCs w:val="21"/>
          <w:u w:color="0000FF"/>
          <w:lang w:eastAsia="zh-CN"/>
        </w:rPr>
        <w:fldChar w:fldCharType="end"/>
      </w:r>
      <w:r>
        <w:rPr>
          <w:rFonts w:eastAsia="宋体"/>
          <w:snapToGrid w:val="0"/>
          <w:sz w:val="21"/>
          <w:szCs w:val="21"/>
          <w:lang w:eastAsia="zh-CN"/>
        </w:rPr>
        <w:t>。在提交涉及用药错误的故障报告时，申请人应列出相关用药错误反应/事件代码或器械/患者问题代码（</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V</w:t>
      </w:r>
      <w:r>
        <w:rPr>
          <w:rFonts w:eastAsia="宋体"/>
          <w:snapToGrid w:val="0"/>
          <w:sz w:val="21"/>
          <w:szCs w:val="21"/>
          <w:lang w:eastAsia="zh-CN"/>
        </w:rPr>
        <w:t>.B.2节），并在报告的叙述部分进行用药错误讨论。</w:t>
      </w:r>
    </w:p>
  </w:footnote>
  <w:footnote w:id="28">
    <w:p w14:paraId="11B2985B">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如果由于公共卫生重要性而需要提交与先前已提交ICSR相关的5天报告，则应提交5天报告作为首次报告。</w:t>
      </w:r>
    </w:p>
  </w:footnote>
  <w:footnote w:id="29">
    <w:p w14:paraId="0E52D6B0">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更多</w:t>
      </w:r>
      <w:r>
        <w:rPr>
          <w:rFonts w:eastAsia="宋体"/>
          <w:snapToGrid w:val="0"/>
          <w:sz w:val="21"/>
          <w:szCs w:val="21"/>
        </w:rPr>
        <w:t>信息请</w:t>
      </w:r>
      <w:r>
        <w:rPr>
          <w:rFonts w:hint="eastAsia" w:eastAsia="宋体"/>
          <w:snapToGrid w:val="0"/>
          <w:sz w:val="21"/>
          <w:szCs w:val="21"/>
          <w:lang w:eastAsia="zh-CN"/>
        </w:rPr>
        <w:t>参</w:t>
      </w:r>
      <w:r>
        <w:rPr>
          <w:rFonts w:eastAsia="宋体"/>
          <w:snapToGrid w:val="0"/>
          <w:sz w:val="21"/>
          <w:szCs w:val="21"/>
        </w:rPr>
        <w:t>见《行业指南草案》，</w:t>
      </w:r>
      <w:r>
        <w:rPr>
          <w:rFonts w:eastAsia="宋体"/>
          <w:i/>
          <w:snapToGrid w:val="0"/>
          <w:sz w:val="21"/>
          <w:szCs w:val="21"/>
        </w:rPr>
        <w:t>人用药和生物制品（包括疫苗）的上市后安全性报告</w:t>
      </w:r>
      <w:r>
        <w:rPr>
          <w:rFonts w:eastAsia="宋体"/>
          <w:snapToGrid w:val="0"/>
          <w:sz w:val="21"/>
          <w:szCs w:val="21"/>
        </w:rPr>
        <w:t>（</w:t>
      </w:r>
      <w:r>
        <w:fldChar w:fldCharType="begin"/>
      </w:r>
      <w:r>
        <w:instrText xml:space="preserve"> HYPERLINK "https://www.fda.gov/regulatory-information/search-fda-guidance-documents/postmarketing-safety-reporting-human-drug-and-biological-products-including-vaccines" </w:instrText>
      </w:r>
      <w:r>
        <w:fldChar w:fldCharType="separate"/>
      </w:r>
      <w:r>
        <w:rPr>
          <w:rStyle w:val="20"/>
          <w:rFonts w:eastAsia="宋体"/>
          <w:snapToGrid w:val="0"/>
          <w:sz w:val="21"/>
          <w:szCs w:val="21"/>
          <w:u w:color="0000FF"/>
        </w:rPr>
        <w:t>https://www.fda.gov/regulatory-information/search-fda-guidance-documents/postmarketing-safety-reporting-human-drug-and-biological-products-including-vaccines</w:t>
      </w:r>
      <w:r>
        <w:rPr>
          <w:rStyle w:val="20"/>
          <w:rFonts w:eastAsia="宋体"/>
          <w:snapToGrid w:val="0"/>
          <w:sz w:val="21"/>
          <w:szCs w:val="21"/>
          <w:u w:color="0000FF"/>
        </w:rPr>
        <w:fldChar w:fldCharType="end"/>
      </w:r>
      <w:r>
        <w:rPr>
          <w:rFonts w:eastAsia="宋体"/>
          <w:snapToGrid w:val="0"/>
          <w:sz w:val="21"/>
          <w:szCs w:val="21"/>
        </w:rPr>
        <w:t>），该草案最终版将代表FDA</w:t>
      </w:r>
      <w:r>
        <w:rPr>
          <w:rFonts w:hint="eastAsia" w:eastAsia="宋体"/>
          <w:snapToGrid w:val="0"/>
          <w:sz w:val="21"/>
          <w:szCs w:val="21"/>
          <w:lang w:eastAsia="zh-CN"/>
        </w:rPr>
        <w:t>目前</w:t>
      </w:r>
      <w:r>
        <w:rPr>
          <w:rFonts w:eastAsia="宋体"/>
          <w:snapToGrid w:val="0"/>
          <w:sz w:val="21"/>
          <w:szCs w:val="21"/>
        </w:rPr>
        <w:t>关于该主题的思考。</w:t>
      </w:r>
    </w:p>
  </w:footnote>
  <w:footnote w:id="30">
    <w:p w14:paraId="4988EA0D">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请</w:t>
      </w:r>
      <w:r>
        <w:rPr>
          <w:rFonts w:hint="eastAsia" w:eastAsia="宋体"/>
          <w:snapToGrid w:val="0"/>
          <w:sz w:val="21"/>
          <w:szCs w:val="21"/>
          <w:lang w:eastAsia="zh-CN"/>
        </w:rPr>
        <w:t>参</w:t>
      </w:r>
      <w:r>
        <w:rPr>
          <w:rFonts w:eastAsia="宋体"/>
          <w:snapToGrid w:val="0"/>
          <w:sz w:val="21"/>
          <w:szCs w:val="21"/>
        </w:rPr>
        <w:t>见</w:t>
      </w:r>
      <w:r>
        <w:rPr>
          <w:rFonts w:hint="eastAsia" w:eastAsia="宋体"/>
          <w:snapToGrid w:val="0"/>
          <w:sz w:val="21"/>
          <w:szCs w:val="21"/>
          <w:lang w:eastAsia="zh-CN"/>
        </w:rPr>
        <w:t>面向</w:t>
      </w:r>
      <w:r>
        <w:rPr>
          <w:rFonts w:eastAsia="宋体"/>
          <w:snapToGrid w:val="0"/>
          <w:sz w:val="21"/>
          <w:szCs w:val="21"/>
        </w:rPr>
        <w:t>行业和FDA工作人员</w:t>
      </w:r>
      <w:r>
        <w:rPr>
          <w:rFonts w:hint="eastAsia" w:eastAsia="宋体"/>
          <w:snapToGrid w:val="0"/>
          <w:sz w:val="21"/>
          <w:szCs w:val="21"/>
          <w:lang w:eastAsia="zh-CN"/>
        </w:rPr>
        <w:t>的</w:t>
      </w:r>
      <w:r>
        <w:rPr>
          <w:rFonts w:eastAsia="宋体"/>
          <w:snapToGrid w:val="0"/>
          <w:sz w:val="21"/>
          <w:szCs w:val="21"/>
        </w:rPr>
        <w:t>指南，</w:t>
      </w:r>
      <w:r>
        <w:rPr>
          <w:rFonts w:eastAsia="宋体"/>
          <w:i/>
          <w:snapToGrid w:val="0"/>
          <w:sz w:val="21"/>
          <w:szCs w:val="21"/>
        </w:rPr>
        <w:t>生产商医疗器械报告</w:t>
      </w:r>
      <w:r>
        <w:rPr>
          <w:rFonts w:eastAsia="宋体"/>
          <w:snapToGrid w:val="0"/>
          <w:sz w:val="21"/>
          <w:szCs w:val="21"/>
        </w:rPr>
        <w:t>（</w:t>
      </w:r>
      <w:r>
        <w:fldChar w:fldCharType="begin"/>
      </w:r>
      <w:r>
        <w:instrText xml:space="preserve"> HYPERLINK "https://www.fda.gov/regulatory-information/search-fda-guidance-documents/medical-device-reporting-manufacturers" \h </w:instrText>
      </w:r>
      <w:r>
        <w:fldChar w:fldCharType="separate"/>
      </w:r>
      <w:r>
        <w:rPr>
          <w:rFonts w:eastAsia="宋体"/>
          <w:snapToGrid w:val="0"/>
          <w:color w:val="0000FF"/>
          <w:sz w:val="21"/>
          <w:szCs w:val="21"/>
          <w:u w:val="single" w:color="0000FF"/>
        </w:rPr>
        <w:t>https://www.fda.gov/regulatory-information/search-fda-guidance-documents/medical-device-reporting- manufacturers</w:t>
      </w:r>
      <w:r>
        <w:rPr>
          <w:rFonts w:eastAsia="宋体"/>
          <w:snapToGrid w:val="0"/>
          <w:color w:val="0000FF"/>
          <w:sz w:val="21"/>
          <w:szCs w:val="21"/>
          <w:u w:val="single" w:color="0000FF"/>
        </w:rPr>
        <w:fldChar w:fldCharType="end"/>
      </w:r>
      <w:r>
        <w:rPr>
          <w:rFonts w:eastAsia="宋体"/>
          <w:snapToGrid w:val="0"/>
          <w:sz w:val="21"/>
          <w:szCs w:val="21"/>
        </w:rPr>
        <w:t>）</w:t>
      </w:r>
    </w:p>
  </w:footnote>
  <w:footnote w:id="31">
    <w:p w14:paraId="2995D0FE">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如果在美国上市的组合产品出现故障，且符合《美国联邦法规》第21篇第803.50节中的标准，则必须向FDA提交故障报告，无论该事件是否发生在美国。</w:t>
      </w:r>
    </w:p>
  </w:footnote>
  <w:footnote w:id="32">
    <w:p w14:paraId="2571260C">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此处所述相同或</w:t>
      </w:r>
      <w:r>
        <w:rPr>
          <w:rFonts w:hint="eastAsia" w:eastAsia="宋体"/>
          <w:snapToGrid w:val="0"/>
          <w:sz w:val="21"/>
          <w:szCs w:val="21"/>
          <w:lang w:eastAsia="zh-CN"/>
        </w:rPr>
        <w:t>同品种</w:t>
      </w:r>
      <w:r>
        <w:rPr>
          <w:rFonts w:eastAsia="宋体"/>
          <w:snapToGrid w:val="0"/>
          <w:sz w:val="21"/>
          <w:szCs w:val="21"/>
        </w:rPr>
        <w:t>器械或器械组成部分的考虑事项与</w:t>
      </w:r>
      <w:r>
        <w:rPr>
          <w:rFonts w:hint="eastAsia" w:eastAsia="宋体"/>
          <w:snapToGrid w:val="0"/>
          <w:sz w:val="21"/>
          <w:szCs w:val="21"/>
          <w:lang w:eastAsia="zh-CN"/>
        </w:rPr>
        <w:t>《面向</w:t>
      </w:r>
      <w:r>
        <w:rPr>
          <w:rFonts w:eastAsia="宋体"/>
          <w:snapToGrid w:val="0"/>
          <w:sz w:val="21"/>
          <w:szCs w:val="21"/>
        </w:rPr>
        <w:t>行业和FDA工作人员</w:t>
      </w:r>
      <w:r>
        <w:rPr>
          <w:rFonts w:hint="eastAsia" w:eastAsia="宋体"/>
          <w:snapToGrid w:val="0"/>
          <w:sz w:val="21"/>
          <w:szCs w:val="21"/>
          <w:lang w:eastAsia="zh-CN"/>
        </w:rPr>
        <w:t>的</w:t>
      </w:r>
      <w:r>
        <w:rPr>
          <w:rFonts w:eastAsia="宋体"/>
          <w:snapToGrid w:val="0"/>
          <w:sz w:val="21"/>
          <w:szCs w:val="21"/>
        </w:rPr>
        <w:t>指南</w:t>
      </w:r>
      <w:r>
        <w:rPr>
          <w:rFonts w:hint="eastAsia" w:eastAsia="宋体"/>
          <w:snapToGrid w:val="0"/>
          <w:sz w:val="21"/>
          <w:szCs w:val="21"/>
          <w:lang w:eastAsia="zh-CN"/>
        </w:rPr>
        <w:t>》</w:t>
      </w:r>
      <w:r>
        <w:rPr>
          <w:rFonts w:eastAsia="宋体"/>
          <w:i/>
          <w:snapToGrid w:val="0"/>
          <w:sz w:val="21"/>
          <w:szCs w:val="21"/>
        </w:rPr>
        <w:t>生产商医疗器械报告</w:t>
      </w:r>
      <w:r>
        <w:rPr>
          <w:rFonts w:eastAsia="宋体"/>
          <w:snapToGrid w:val="0"/>
          <w:sz w:val="21"/>
          <w:szCs w:val="21"/>
        </w:rPr>
        <w:t>（</w:t>
      </w:r>
      <w:r>
        <w:fldChar w:fldCharType="begin"/>
      </w:r>
      <w:r>
        <w:instrText xml:space="preserve"> HYPERLINK "https://www.fda.gov/regulatory-information/search-fda-guidance-documents/medical-device-reporting-manufacturers" \h </w:instrText>
      </w:r>
      <w:r>
        <w:fldChar w:fldCharType="separate"/>
      </w:r>
      <w:r>
        <w:rPr>
          <w:rFonts w:eastAsia="宋体"/>
          <w:snapToGrid w:val="0"/>
          <w:color w:val="0000FF"/>
          <w:sz w:val="21"/>
          <w:szCs w:val="21"/>
          <w:u w:val="single" w:color="0000FF"/>
        </w:rPr>
        <w:t>https://www.fda.gov/regulatory-information/search-fda-guidance-documents/medical-device-reporting-manufacturers</w:t>
      </w:r>
      <w:r>
        <w:rPr>
          <w:rFonts w:eastAsia="宋体"/>
          <w:snapToGrid w:val="0"/>
          <w:color w:val="0000FF"/>
          <w:sz w:val="21"/>
          <w:szCs w:val="21"/>
          <w:u w:val="single" w:color="0000FF"/>
        </w:rPr>
        <w:fldChar w:fldCharType="end"/>
      </w:r>
      <w:r>
        <w:rPr>
          <w:rFonts w:eastAsia="宋体"/>
          <w:snapToGrid w:val="0"/>
          <w:sz w:val="21"/>
          <w:szCs w:val="21"/>
        </w:rPr>
        <w:t>）中的相关内容一致。</w:t>
      </w:r>
      <w:r>
        <w:rPr>
          <w:rFonts w:eastAsia="宋体"/>
          <w:snapToGrid w:val="0"/>
          <w:sz w:val="21"/>
          <w:szCs w:val="21"/>
          <w:lang w:eastAsia="zh-CN"/>
        </w:rPr>
        <w:t>本指南中的语言已经过编辑，以便应用于包含器械组成部分的组合产品，并非旨在改变</w:t>
      </w:r>
      <w:r>
        <w:rPr>
          <w:rFonts w:eastAsia="宋体"/>
          <w:i/>
          <w:snapToGrid w:val="0"/>
          <w:sz w:val="21"/>
          <w:szCs w:val="21"/>
          <w:lang w:eastAsia="zh-CN"/>
        </w:rPr>
        <w:t>生产商医疗器械报告指南</w:t>
      </w:r>
      <w:r>
        <w:rPr>
          <w:rFonts w:eastAsia="宋体"/>
          <w:snapToGrid w:val="0"/>
          <w:sz w:val="21"/>
          <w:szCs w:val="21"/>
          <w:lang w:eastAsia="zh-CN"/>
        </w:rPr>
        <w:t>中关于器械境外报告的讨论。</w:t>
      </w:r>
    </w:p>
  </w:footnote>
  <w:footnote w:id="33">
    <w:p w14:paraId="0C0549DA">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虽然本节未具体讨论，但在提交非ICSR报告后可能需要提交附加信息（参见例如《美国联邦法规》第21篇第806.10（c）（13）和（d）节）。</w:t>
      </w:r>
    </w:p>
  </w:footnote>
  <w:footnote w:id="34">
    <w:p w14:paraId="0E8BA8C3">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有关提交现场警示报告后续报告的其他信息，请</w:t>
      </w:r>
      <w:r>
        <w:rPr>
          <w:rFonts w:hint="eastAsia" w:eastAsia="宋体"/>
          <w:snapToGrid w:val="0"/>
          <w:sz w:val="21"/>
          <w:szCs w:val="21"/>
          <w:lang w:eastAsia="zh-CN"/>
        </w:rPr>
        <w:t>参</w:t>
      </w:r>
      <w:r>
        <w:rPr>
          <w:rFonts w:eastAsia="宋体"/>
          <w:snapToGrid w:val="0"/>
          <w:sz w:val="21"/>
          <w:szCs w:val="21"/>
        </w:rPr>
        <w:t>见</w:t>
      </w:r>
      <w:r>
        <w:rPr>
          <w:rFonts w:eastAsia="宋体"/>
          <w:i/>
          <w:snapToGrid w:val="0"/>
          <w:sz w:val="21"/>
          <w:szCs w:val="21"/>
        </w:rPr>
        <w:t>现场警示报告提交问答的《行业指南草案》</w:t>
      </w:r>
      <w:r>
        <w:rPr>
          <w:rFonts w:eastAsia="宋体"/>
          <w:snapToGrid w:val="0"/>
          <w:sz w:val="21"/>
          <w:szCs w:val="21"/>
        </w:rPr>
        <w:t>（</w:t>
      </w:r>
      <w:r>
        <w:fldChar w:fldCharType="begin"/>
      </w:r>
      <w:r>
        <w:instrText xml:space="preserve"> HYPERLINK "https://www.fda.gov/regulatory-information/search-fda-guidance-documents/field-alert-report-submission-questions-and-answers-guidance-industry" </w:instrText>
      </w:r>
      <w:r>
        <w:fldChar w:fldCharType="separate"/>
      </w:r>
      <w:r>
        <w:rPr>
          <w:rStyle w:val="20"/>
          <w:rFonts w:eastAsia="宋体"/>
          <w:snapToGrid w:val="0"/>
          <w:sz w:val="21"/>
          <w:szCs w:val="21"/>
          <w:u w:color="0000FF"/>
        </w:rPr>
        <w:t>https://www.fda.gov/regulatory-information/search-fda-guidance-documents/field-alert-report-submission-questions-and-answers-guidance-industry</w:t>
      </w:r>
      <w:r>
        <w:rPr>
          <w:rStyle w:val="20"/>
          <w:rFonts w:eastAsia="宋体"/>
          <w:snapToGrid w:val="0"/>
          <w:sz w:val="21"/>
          <w:szCs w:val="21"/>
          <w:u w:color="0000FF"/>
        </w:rPr>
        <w:fldChar w:fldCharType="end"/>
      </w:r>
      <w:r>
        <w:rPr>
          <w:rFonts w:eastAsia="宋体"/>
          <w:snapToGrid w:val="0"/>
          <w:sz w:val="21"/>
          <w:szCs w:val="21"/>
        </w:rPr>
        <w:t>），该草案最终版将代表FDA</w:t>
      </w:r>
      <w:r>
        <w:rPr>
          <w:rFonts w:hint="eastAsia" w:eastAsia="宋体"/>
          <w:snapToGrid w:val="0"/>
          <w:sz w:val="21"/>
          <w:szCs w:val="21"/>
          <w:lang w:eastAsia="zh-CN"/>
        </w:rPr>
        <w:t>目前</w:t>
      </w:r>
      <w:r>
        <w:rPr>
          <w:rFonts w:eastAsia="宋体"/>
          <w:snapToGrid w:val="0"/>
          <w:sz w:val="21"/>
          <w:szCs w:val="21"/>
        </w:rPr>
        <w:t>关于该主题的思考）。</w:t>
      </w:r>
    </w:p>
  </w:footnote>
  <w:footnote w:id="35">
    <w:p w14:paraId="02583272">
      <w:pPr>
        <w:pStyle w:val="14"/>
        <w:wordWrap w:val="0"/>
        <w:adjustRightInd w:val="0"/>
        <w:jc w:val="both"/>
        <w:rPr>
          <w:rFonts w:eastAsia="宋体"/>
          <w:sz w:val="21"/>
          <w:szCs w:val="21"/>
          <w:lang w:eastAsia="zh-CN"/>
        </w:rPr>
      </w:pPr>
      <w:r>
        <w:rPr>
          <w:rStyle w:val="22"/>
          <w:rFonts w:eastAsia="宋体"/>
          <w:sz w:val="21"/>
          <w:szCs w:val="21"/>
        </w:rPr>
        <w:footnoteRef/>
      </w:r>
      <w:r>
        <w:rPr>
          <w:rFonts w:eastAsia="宋体"/>
          <w:snapToGrid w:val="0"/>
          <w:sz w:val="21"/>
          <w:szCs w:val="21"/>
          <w:lang w:eastAsia="zh-CN"/>
        </w:rPr>
        <w:t>另</w:t>
      </w:r>
      <w:r>
        <w:rPr>
          <w:rFonts w:hint="eastAsia" w:eastAsia="宋体"/>
          <w:snapToGrid w:val="0"/>
          <w:sz w:val="21"/>
          <w:szCs w:val="21"/>
          <w:lang w:eastAsia="zh-CN"/>
        </w:rPr>
        <w:t>参</w:t>
      </w:r>
      <w:r>
        <w:rPr>
          <w:rFonts w:eastAsia="宋体"/>
          <w:snapToGrid w:val="0"/>
          <w:sz w:val="21"/>
          <w:szCs w:val="21"/>
          <w:lang w:eastAsia="zh-CN"/>
        </w:rPr>
        <w:t>见</w:t>
      </w:r>
      <w:r>
        <w:rPr>
          <w:rFonts w:hint="eastAsia" w:eastAsia="宋体"/>
          <w:snapToGrid w:val="0"/>
          <w:sz w:val="21"/>
          <w:szCs w:val="21"/>
          <w:lang w:eastAsia="zh-CN"/>
        </w:rPr>
        <w:t>《</w:t>
      </w:r>
      <w:r>
        <w:rPr>
          <w:rFonts w:eastAsia="宋体"/>
          <w:snapToGrid w:val="0"/>
          <w:sz w:val="21"/>
          <w:szCs w:val="21"/>
          <w:lang w:eastAsia="zh-CN"/>
        </w:rPr>
        <w:t>行业指南</w:t>
      </w:r>
      <w:r>
        <w:rPr>
          <w:rFonts w:hint="eastAsia" w:eastAsia="宋体"/>
          <w:snapToGrid w:val="0"/>
          <w:sz w:val="21"/>
          <w:szCs w:val="21"/>
          <w:lang w:eastAsia="zh-CN"/>
        </w:rPr>
        <w:t>》</w:t>
      </w:r>
      <w:r>
        <w:rPr>
          <w:rFonts w:eastAsia="宋体"/>
          <w:snapToGrid w:val="0"/>
          <w:sz w:val="21"/>
          <w:szCs w:val="21"/>
          <w:lang w:eastAsia="zh-CN"/>
        </w:rPr>
        <w:t>，</w:t>
      </w:r>
      <w:r>
        <w:rPr>
          <w:rFonts w:eastAsia="宋体"/>
          <w:i/>
          <w:snapToGrid w:val="0"/>
          <w:sz w:val="21"/>
          <w:szCs w:val="21"/>
          <w:lang w:eastAsia="zh-CN"/>
        </w:rPr>
        <w:t>适用于除血液和血液成分以外的生物制品许可生产商的生物制品偏差报告</w:t>
      </w:r>
      <w:r>
        <w:rPr>
          <w:rFonts w:hint="eastAsia" w:eastAsia="宋体"/>
          <w:snapToGrid w:val="0"/>
          <w:sz w:val="21"/>
          <w:szCs w:val="21"/>
          <w:lang w:eastAsia="zh-CN"/>
        </w:rPr>
        <w:t>（</w:t>
      </w:r>
      <w:r>
        <w:fldChar w:fldCharType="begin"/>
      </w:r>
      <w:r>
        <w:instrText xml:space="preserve"> HYPERLINK "https://www.fda.gov/regulatory-information/search-fda-guidance-documents/biological-product-deviation-reporting-licensed-manufacturers-biological-products-other-blood-and" \h </w:instrText>
      </w:r>
      <w:r>
        <w:fldChar w:fldCharType="separate"/>
      </w:r>
      <w:r>
        <w:rPr>
          <w:rFonts w:eastAsia="宋体"/>
          <w:snapToGrid w:val="0"/>
          <w:color w:val="0000FF"/>
          <w:sz w:val="21"/>
          <w:szCs w:val="21"/>
          <w:u w:val="single" w:color="0000FF"/>
          <w:lang w:eastAsia="zh-CN"/>
        </w:rPr>
        <w:t>https://www.fda.gov/regulatory-information/search-fda-guidance-documents/biological-product-deviation-</w:t>
      </w:r>
      <w:r>
        <w:rPr>
          <w:rFonts w:eastAsia="宋体"/>
          <w:snapToGrid w:val="0"/>
          <w:color w:val="0000FF"/>
          <w:sz w:val="21"/>
          <w:szCs w:val="21"/>
          <w:u w:val="single" w:color="0000FF"/>
          <w:lang w:eastAsia="zh-CN"/>
        </w:rPr>
        <w:fldChar w:fldCharType="end"/>
      </w:r>
      <w:r>
        <w:fldChar w:fldCharType="begin"/>
      </w:r>
      <w:r>
        <w:instrText xml:space="preserve"> HYPERLINK "https://www.fda.gov/regulatory-information/search-fda-guidance-documents/biological-product-deviation-reporting-licensed-manufacturers-biological-products-other-blood-and" \h </w:instrText>
      </w:r>
      <w:r>
        <w:fldChar w:fldCharType="separate"/>
      </w:r>
      <w:r>
        <w:rPr>
          <w:rFonts w:eastAsia="宋体"/>
          <w:snapToGrid w:val="0"/>
          <w:color w:val="0000FF"/>
          <w:sz w:val="21"/>
          <w:szCs w:val="21"/>
          <w:u w:val="single" w:color="0000FF"/>
          <w:lang w:eastAsia="zh-CN"/>
        </w:rPr>
        <w:t>reporting-licensed-manufacturers-biological-products-other-blood-and</w:t>
      </w:r>
      <w:r>
        <w:rPr>
          <w:rFonts w:eastAsia="宋体"/>
          <w:snapToGrid w:val="0"/>
          <w:color w:val="0000FF"/>
          <w:sz w:val="21"/>
          <w:szCs w:val="21"/>
          <w:u w:val="single" w:color="0000FF"/>
          <w:lang w:eastAsia="zh-CN"/>
        </w:rPr>
        <w:fldChar w:fldCharType="end"/>
      </w:r>
      <w:r>
        <w:rPr>
          <w:rFonts w:hint="eastAsia" w:eastAsia="宋体"/>
          <w:snapToGrid w:val="0"/>
          <w:sz w:val="21"/>
          <w:szCs w:val="21"/>
          <w:lang w:eastAsia="zh-CN"/>
        </w:rPr>
        <w:t>）。</w:t>
      </w:r>
    </w:p>
  </w:footnote>
  <w:footnote w:id="36">
    <w:p w14:paraId="200D2605">
      <w:pPr>
        <w:pStyle w:val="14"/>
        <w:wordWrap w:val="0"/>
        <w:adjustRightInd w:val="0"/>
        <w:jc w:val="both"/>
        <w:rPr>
          <w:rFonts w:eastAsia="宋体"/>
          <w:sz w:val="21"/>
          <w:szCs w:val="21"/>
          <w:lang w:eastAsia="zh-CN"/>
        </w:rPr>
      </w:pPr>
      <w:r>
        <w:rPr>
          <w:rStyle w:val="22"/>
          <w:rFonts w:eastAsia="宋体"/>
          <w:sz w:val="21"/>
          <w:szCs w:val="21"/>
        </w:rPr>
        <w:footnoteRef/>
      </w:r>
      <w:r>
        <w:rPr>
          <w:rFonts w:eastAsia="宋体"/>
          <w:snapToGrid w:val="0"/>
          <w:sz w:val="21"/>
          <w:szCs w:val="21"/>
        </w:rPr>
        <w:t>另</w:t>
      </w:r>
      <w:r>
        <w:rPr>
          <w:rFonts w:hint="eastAsia" w:eastAsia="宋体"/>
          <w:snapToGrid w:val="0"/>
          <w:sz w:val="21"/>
          <w:szCs w:val="21"/>
          <w:lang w:eastAsia="zh-CN"/>
        </w:rPr>
        <w:t>参</w:t>
      </w:r>
      <w:r>
        <w:rPr>
          <w:rFonts w:eastAsia="宋体"/>
          <w:snapToGrid w:val="0"/>
          <w:sz w:val="21"/>
          <w:szCs w:val="21"/>
        </w:rPr>
        <w:t>见</w:t>
      </w:r>
      <w:r>
        <w:rPr>
          <w:rFonts w:hint="eastAsia" w:eastAsia="宋体"/>
          <w:snapToGrid w:val="0"/>
          <w:sz w:val="21"/>
          <w:szCs w:val="21"/>
          <w:lang w:eastAsia="zh-CN"/>
        </w:rPr>
        <w:t>《</w:t>
      </w:r>
      <w:r>
        <w:rPr>
          <w:rFonts w:eastAsia="宋体"/>
          <w:snapToGrid w:val="0"/>
          <w:sz w:val="21"/>
          <w:szCs w:val="21"/>
        </w:rPr>
        <w:t>行业指南</w:t>
      </w:r>
      <w:r>
        <w:rPr>
          <w:rFonts w:hint="eastAsia" w:eastAsia="宋体"/>
          <w:snapToGrid w:val="0"/>
          <w:sz w:val="21"/>
          <w:szCs w:val="21"/>
          <w:lang w:eastAsia="zh-CN"/>
        </w:rPr>
        <w:t>》</w:t>
      </w:r>
      <w:r>
        <w:rPr>
          <w:rFonts w:eastAsia="宋体"/>
          <w:snapToGrid w:val="0"/>
          <w:sz w:val="21"/>
          <w:szCs w:val="21"/>
        </w:rPr>
        <w:t>，</w:t>
      </w:r>
      <w:r>
        <w:rPr>
          <w:rFonts w:eastAsia="宋体"/>
          <w:i/>
          <w:snapToGrid w:val="0"/>
          <w:sz w:val="21"/>
          <w:szCs w:val="21"/>
        </w:rPr>
        <w:t>血液和血浆机构的生物制品偏差报告</w:t>
      </w:r>
      <w:r>
        <w:rPr>
          <w:rFonts w:eastAsia="宋体"/>
          <w:snapToGrid w:val="0"/>
          <w:sz w:val="21"/>
          <w:szCs w:val="21"/>
        </w:rPr>
        <w:t>（</w:t>
      </w:r>
      <w:r>
        <w:fldChar w:fldCharType="begin"/>
      </w:r>
      <w:r>
        <w:instrText xml:space="preserve"> HYPERLINK "https://www.fda.gov/regulatory-information/%20search-fda-guidance-documents/biological-product-deviation-reporting-blood-and-plasma-establishments" </w:instrText>
      </w:r>
      <w:r>
        <w:fldChar w:fldCharType="separate"/>
      </w:r>
      <w:r>
        <w:rPr>
          <w:rStyle w:val="20"/>
          <w:rFonts w:eastAsia="宋体"/>
          <w:snapToGrid w:val="0"/>
          <w:sz w:val="21"/>
          <w:szCs w:val="21"/>
          <w:u w:color="0000FF"/>
        </w:rPr>
        <w:t>https://www.fda.gov/regulatory-information/search-fda-guidance-documents/biological-product-deviation-reporting-blood-and-plasma-establishments</w:t>
      </w:r>
      <w:r>
        <w:rPr>
          <w:rStyle w:val="20"/>
          <w:rFonts w:eastAsia="宋体"/>
          <w:snapToGrid w:val="0"/>
          <w:sz w:val="21"/>
          <w:szCs w:val="21"/>
          <w:u w:color="0000FF"/>
        </w:rPr>
        <w:fldChar w:fldCharType="end"/>
      </w:r>
      <w:r>
        <w:rPr>
          <w:rFonts w:eastAsia="宋体"/>
          <w:snapToGrid w:val="0"/>
          <w:sz w:val="21"/>
          <w:szCs w:val="21"/>
        </w:rPr>
        <w:t>）。</w:t>
      </w:r>
    </w:p>
  </w:footnote>
  <w:footnote w:id="37">
    <w:p w14:paraId="2CE3CBD3">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根据《美国联邦法规》第21篇第803.3（f）节，器械的预期寿命</w:t>
      </w:r>
      <w:r>
        <w:rPr>
          <w:rFonts w:ascii="宋体" w:hAnsi="宋体" w:eastAsia="宋体"/>
          <w:snapToGrid w:val="0"/>
          <w:sz w:val="21"/>
          <w:szCs w:val="21"/>
          <w:lang w:eastAsia="zh-CN"/>
        </w:rPr>
        <w:t>“</w:t>
      </w:r>
      <w:r>
        <w:rPr>
          <w:rFonts w:eastAsia="宋体"/>
          <w:snapToGrid w:val="0"/>
          <w:sz w:val="21"/>
          <w:szCs w:val="21"/>
          <w:lang w:eastAsia="zh-CN"/>
        </w:rPr>
        <w:t>指器械投入使用后预期可保持功能的时间。某些植入器械规定了</w:t>
      </w:r>
      <w:r>
        <w:rPr>
          <w:rFonts w:ascii="宋体" w:hAnsi="宋体" w:eastAsia="宋体"/>
          <w:snapToGrid w:val="0"/>
          <w:sz w:val="21"/>
          <w:szCs w:val="21"/>
          <w:lang w:eastAsia="zh-CN"/>
        </w:rPr>
        <w:t>“</w:t>
      </w:r>
      <w:r>
        <w:rPr>
          <w:rFonts w:eastAsia="宋体"/>
          <w:snapToGrid w:val="0"/>
          <w:sz w:val="21"/>
          <w:szCs w:val="21"/>
          <w:lang w:eastAsia="zh-CN"/>
        </w:rPr>
        <w:t>寿命终止</w:t>
      </w:r>
      <w:r>
        <w:rPr>
          <w:rFonts w:ascii="宋体" w:hAnsi="宋体" w:eastAsia="宋体"/>
          <w:snapToGrid w:val="0"/>
          <w:sz w:val="21"/>
          <w:szCs w:val="21"/>
          <w:lang w:eastAsia="zh-CN"/>
        </w:rPr>
        <w:t>”</w:t>
      </w:r>
      <w:r>
        <w:rPr>
          <w:rFonts w:eastAsia="宋体"/>
          <w:snapToGrid w:val="0"/>
          <w:sz w:val="21"/>
          <w:szCs w:val="21"/>
          <w:lang w:eastAsia="zh-CN"/>
        </w:rPr>
        <w:t>（EOL）日期。其他器械未标明其各自的EOL，但预期在估计的时间周期内，通过维护、维修或升级等活动可保持正常运行。</w:t>
      </w:r>
      <w:r>
        <w:rPr>
          <w:rFonts w:ascii="宋体" w:hAnsi="宋体" w:eastAsia="宋体"/>
          <w:snapToGrid w:val="0"/>
          <w:sz w:val="21"/>
          <w:szCs w:val="21"/>
          <w:lang w:eastAsia="zh-CN"/>
        </w:rPr>
        <w:t>”</w:t>
      </w:r>
    </w:p>
  </w:footnote>
  <w:footnote w:id="38">
    <w:p w14:paraId="4417F580">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对于根据单独申请上市的组成部分的组合产品申请人，另</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III</w:t>
      </w:r>
      <w:r>
        <w:rPr>
          <w:rFonts w:eastAsia="宋体"/>
          <w:snapToGrid w:val="0"/>
          <w:sz w:val="21"/>
          <w:szCs w:val="21"/>
          <w:lang w:eastAsia="zh-CN"/>
        </w:rPr>
        <w:t>.B.2节。</w:t>
      </w:r>
    </w:p>
  </w:footnote>
  <w:footnote w:id="39">
    <w:p w14:paraId="20C33E92">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药品和生物制品为主组合产品的组合产品申请人还需要提交非快速ICSR（严重和预期或非严重不良经历的ICSR）（</w:t>
      </w:r>
      <w:r>
        <w:rPr>
          <w:rFonts w:hint="eastAsia" w:eastAsia="宋体"/>
          <w:snapToGrid w:val="0"/>
          <w:sz w:val="21"/>
          <w:szCs w:val="21"/>
          <w:lang w:eastAsia="zh-CN"/>
        </w:rPr>
        <w:t>参</w:t>
      </w:r>
      <w:r>
        <w:rPr>
          <w:rFonts w:eastAsia="宋体"/>
          <w:snapToGrid w:val="0"/>
          <w:sz w:val="21"/>
          <w:szCs w:val="21"/>
          <w:lang w:eastAsia="zh-CN"/>
        </w:rPr>
        <w:t>见《美国联邦法规》第21篇第4.102（b）、314.80和600.80节）。如果要求药品或生物制品为主组合产品的组合产品申请人提交一项事件的故障报告和非快速ICSR，申请人可在30天内提交一份同时包含两种事件报告类型所有要求信息的报告（</w:t>
      </w:r>
      <w:r>
        <w:rPr>
          <w:rFonts w:hint="eastAsia" w:eastAsia="宋体"/>
          <w:snapToGrid w:val="0"/>
          <w:sz w:val="21"/>
          <w:szCs w:val="21"/>
          <w:lang w:eastAsia="zh-CN"/>
        </w:rPr>
        <w:t>参</w:t>
      </w:r>
      <w:r>
        <w:rPr>
          <w:rFonts w:eastAsia="宋体"/>
          <w:snapToGrid w:val="0"/>
          <w:sz w:val="21"/>
          <w:szCs w:val="21"/>
          <w:lang w:eastAsia="zh-CN"/>
        </w:rPr>
        <w:t>见《美国联邦法规》第21篇第4.102（b）和（c））、314.80、600.80和803.50节）。</w:t>
      </w:r>
    </w:p>
  </w:footnote>
  <w:footnote w:id="40">
    <w:p w14:paraId="3E5B764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参</w:t>
      </w:r>
      <w:r>
        <w:rPr>
          <w:rFonts w:eastAsia="宋体"/>
          <w:snapToGrid w:val="0"/>
          <w:sz w:val="21"/>
          <w:szCs w:val="21"/>
          <w:lang w:eastAsia="zh-CN"/>
        </w:rPr>
        <w:t>见脚注24。</w:t>
      </w:r>
    </w:p>
  </w:footnote>
  <w:footnote w:id="41">
    <w:p w14:paraId="78B1F99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对于组成部分申请人提交的ICSR，除了其产品类型适用法规要求的信息外，还需纳入组合产品标识符，并在叙述中纳入其他组成部分的申请号。</w:t>
      </w:r>
    </w:p>
  </w:footnote>
  <w:footnote w:id="42">
    <w:p w14:paraId="654B1FA4">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虽然FDA已在本节明确了组合产品申请人在ICSR中应包括的信息，以助于确保FDA获得关于产品和事件的完整信息，但报告系统也允许组合产品申请人处理额外数据元素。鼓励组合产品申请人在额外数据元素可用时提交这些内容（有关FAERS、eMDR和VAERS的信息，请</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V</w:t>
      </w:r>
      <w:r>
        <w:rPr>
          <w:rFonts w:eastAsia="宋体"/>
          <w:snapToGrid w:val="0"/>
          <w:sz w:val="21"/>
          <w:szCs w:val="21"/>
          <w:lang w:eastAsia="zh-CN"/>
        </w:rPr>
        <w:t>.A.2节）。</w:t>
      </w:r>
    </w:p>
  </w:footnote>
  <w:footnote w:id="43">
    <w:p w14:paraId="3E1D08D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如果一项事件最初未确定为涉及组合产品，但提交报告后收到的额外信息表明事件涉及组合产品，则应在后续报告中提交组合产品标识符。</w:t>
      </w:r>
    </w:p>
  </w:footnote>
  <w:footnote w:id="44">
    <w:p w14:paraId="193BE216">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就组合产品ICSR而言，</w:t>
      </w:r>
      <w:r>
        <w:rPr>
          <w:rFonts w:ascii="宋体" w:hAnsi="宋体" w:eastAsia="宋体"/>
          <w:snapToGrid w:val="0"/>
          <w:sz w:val="21"/>
          <w:szCs w:val="21"/>
          <w:lang w:eastAsia="zh-CN"/>
        </w:rPr>
        <w:t>“</w:t>
      </w:r>
      <w:r>
        <w:rPr>
          <w:rFonts w:eastAsia="宋体"/>
          <w:snapToGrid w:val="0"/>
          <w:sz w:val="21"/>
          <w:szCs w:val="21"/>
          <w:lang w:eastAsia="zh-CN"/>
        </w:rPr>
        <w:t>疑似医疗器械</w:t>
      </w:r>
      <w:r>
        <w:rPr>
          <w:rFonts w:ascii="宋体" w:hAnsi="宋体" w:eastAsia="宋体"/>
          <w:snapToGrid w:val="0"/>
          <w:sz w:val="21"/>
          <w:szCs w:val="21"/>
          <w:lang w:eastAsia="zh-CN"/>
        </w:rPr>
        <w:t>”</w:t>
      </w:r>
      <w:r>
        <w:rPr>
          <w:rFonts w:eastAsia="宋体"/>
          <w:snapToGrid w:val="0"/>
          <w:sz w:val="21"/>
          <w:szCs w:val="21"/>
          <w:lang w:eastAsia="zh-CN"/>
        </w:rPr>
        <w:t>和</w:t>
      </w:r>
      <w:r>
        <w:rPr>
          <w:rFonts w:ascii="宋体" w:hAnsi="宋体" w:eastAsia="宋体"/>
          <w:snapToGrid w:val="0"/>
          <w:sz w:val="21"/>
          <w:szCs w:val="21"/>
          <w:lang w:eastAsia="zh-CN"/>
        </w:rPr>
        <w:t>“</w:t>
      </w:r>
      <w:r>
        <w:rPr>
          <w:rFonts w:eastAsia="宋体"/>
          <w:snapToGrid w:val="0"/>
          <w:sz w:val="21"/>
          <w:szCs w:val="21"/>
          <w:lang w:eastAsia="zh-CN"/>
        </w:rPr>
        <w:t>疑似药品或生物制品</w:t>
      </w:r>
      <w:r>
        <w:rPr>
          <w:rFonts w:ascii="宋体" w:hAnsi="宋体" w:eastAsia="宋体"/>
          <w:snapToGrid w:val="0"/>
          <w:sz w:val="21"/>
          <w:szCs w:val="21"/>
          <w:lang w:eastAsia="zh-CN"/>
        </w:rPr>
        <w:t>”</w:t>
      </w:r>
      <w:r>
        <w:rPr>
          <w:rFonts w:eastAsia="宋体"/>
          <w:snapToGrid w:val="0"/>
          <w:sz w:val="21"/>
          <w:szCs w:val="21"/>
          <w:lang w:eastAsia="zh-CN"/>
        </w:rPr>
        <w:t>并不意味识别的组成部分必然与事件有关。这些字段用于识别事件中涉及的整个</w:t>
      </w:r>
      <w:r>
        <w:rPr>
          <w:rFonts w:ascii="宋体" w:hAnsi="宋体" w:eastAsia="宋体"/>
          <w:snapToGrid w:val="0"/>
          <w:sz w:val="21"/>
          <w:szCs w:val="21"/>
          <w:lang w:eastAsia="zh-CN"/>
        </w:rPr>
        <w:t>“</w:t>
      </w:r>
      <w:r>
        <w:rPr>
          <w:rFonts w:eastAsia="宋体"/>
          <w:snapToGrid w:val="0"/>
          <w:sz w:val="21"/>
          <w:szCs w:val="21"/>
          <w:lang w:eastAsia="zh-CN"/>
        </w:rPr>
        <w:t>疑似</w:t>
      </w:r>
      <w:r>
        <w:rPr>
          <w:rFonts w:ascii="宋体" w:hAnsi="宋体" w:eastAsia="宋体"/>
          <w:snapToGrid w:val="0"/>
          <w:sz w:val="21"/>
          <w:szCs w:val="21"/>
          <w:lang w:eastAsia="zh-CN"/>
        </w:rPr>
        <w:t>”</w:t>
      </w:r>
      <w:r>
        <w:rPr>
          <w:rFonts w:eastAsia="宋体"/>
          <w:snapToGrid w:val="0"/>
          <w:sz w:val="21"/>
          <w:szCs w:val="21"/>
          <w:lang w:eastAsia="zh-CN"/>
        </w:rPr>
        <w:t>组合产品的组成部分。应在叙述中描述任何组成部分对事件的贡献因素。</w:t>
      </w:r>
    </w:p>
  </w:footnote>
  <w:footnote w:id="45">
    <w:p w14:paraId="076679A9">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请注意，虽然此信息有助于有效审查包含器械组成部分的所有组合产品ICSR，但为ANDA/NDA/BLA组合产品的器械组成部分选择的产品代码并不表明器械组成部分归类为该器械的通用类型，也不表明器械组成部分在独立销售时是否可归类于该通用类型。</w:t>
      </w:r>
    </w:p>
  </w:footnote>
  <w:footnote w:id="46">
    <w:p w14:paraId="065A0500">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对于包含多个器械组成部分的组合产品（例如，与药品共同包装的器械套件），应确定各个器械组成部分。如果所有器械组成部分都包含在同一产品代码内（例如，附带针头防刺伤器械的预充式注射器，产品代码MEG可涵盖这两种器械），则仅应包含这一个产品代码。应在叙述中说明各个器械组成部分对事件产生的任何贡献因素信息。</w:t>
      </w:r>
    </w:p>
  </w:footnote>
  <w:footnote w:id="47">
    <w:p w14:paraId="7BFE3ECF">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有关MedDRA代码使用的</w:t>
      </w:r>
      <w:r>
        <w:rPr>
          <w:rFonts w:eastAsia="宋体"/>
          <w:snapToGrid w:val="0"/>
          <w:sz w:val="21"/>
          <w:szCs w:val="21"/>
          <w:lang w:eastAsia="zh-CN"/>
        </w:rPr>
        <w:t>更多</w:t>
      </w:r>
      <w:r>
        <w:rPr>
          <w:rFonts w:eastAsia="宋体"/>
          <w:snapToGrid w:val="0"/>
          <w:sz w:val="21"/>
          <w:szCs w:val="21"/>
        </w:rPr>
        <w:t>信息，请</w:t>
      </w:r>
      <w:r>
        <w:rPr>
          <w:rFonts w:hint="eastAsia" w:eastAsia="宋体"/>
          <w:snapToGrid w:val="0"/>
          <w:sz w:val="21"/>
          <w:szCs w:val="21"/>
          <w:lang w:eastAsia="zh-CN"/>
        </w:rPr>
        <w:t>参</w:t>
      </w:r>
      <w:r>
        <w:rPr>
          <w:rFonts w:eastAsia="宋体"/>
          <w:snapToGrid w:val="0"/>
          <w:sz w:val="21"/>
          <w:szCs w:val="21"/>
        </w:rPr>
        <w:t>见</w:t>
      </w:r>
      <w:r>
        <w:rPr>
          <w:rFonts w:eastAsia="宋体"/>
          <w:i/>
          <w:snapToGrid w:val="0"/>
          <w:sz w:val="21"/>
          <w:szCs w:val="21"/>
        </w:rPr>
        <w:t>电子ICSR和ICSR附件的起草和申报规范</w:t>
      </w:r>
      <w:r>
        <w:rPr>
          <w:rFonts w:eastAsia="宋体"/>
          <w:snapToGrid w:val="0"/>
          <w:sz w:val="21"/>
          <w:szCs w:val="21"/>
          <w:lang w:eastAsia="zh-CN"/>
        </w:rPr>
        <w:t>（</w:t>
      </w:r>
      <w:r>
        <w:fldChar w:fldCharType="begin"/>
      </w:r>
      <w:r>
        <w:instrText xml:space="preserve"> HYPERLINK "https://www.fda.gov/media/76569/download" \h </w:instrText>
      </w:r>
      <w:r>
        <w:fldChar w:fldCharType="separate"/>
      </w:r>
      <w:r>
        <w:rPr>
          <w:rFonts w:eastAsia="宋体"/>
          <w:snapToGrid w:val="0"/>
          <w:color w:val="0000FF"/>
          <w:sz w:val="21"/>
          <w:szCs w:val="21"/>
          <w:u w:val="single" w:color="0000FF"/>
        </w:rPr>
        <w:t>https://www.fda.gov/media/76569/download</w:t>
      </w:r>
      <w:r>
        <w:rPr>
          <w:rFonts w:eastAsia="宋体"/>
          <w:snapToGrid w:val="0"/>
          <w:color w:val="0000FF"/>
          <w:sz w:val="21"/>
          <w:szCs w:val="21"/>
          <w:u w:val="single" w:color="0000FF"/>
        </w:rPr>
        <w:fldChar w:fldCharType="end"/>
      </w:r>
      <w:r>
        <w:rPr>
          <w:rFonts w:eastAsia="宋体"/>
          <w:snapToGrid w:val="0"/>
          <w:sz w:val="21"/>
          <w:szCs w:val="21"/>
          <w:lang w:eastAsia="zh-CN"/>
        </w:rPr>
        <w:t>）</w:t>
      </w:r>
      <w:r>
        <w:rPr>
          <w:rFonts w:eastAsia="宋体"/>
          <w:snapToGrid w:val="0"/>
          <w:sz w:val="21"/>
          <w:szCs w:val="21"/>
        </w:rPr>
        <w:t>。</w:t>
      </w:r>
    </w:p>
  </w:footnote>
  <w:footnote w:id="48">
    <w:p w14:paraId="29E416C3">
      <w:pPr>
        <w:pStyle w:val="14"/>
        <w:adjustRightInd w:val="0"/>
        <w:jc w:val="both"/>
        <w:rPr>
          <w:rFonts w:eastAsia="宋体"/>
          <w:snapToGrid w:val="0"/>
          <w:sz w:val="21"/>
          <w:szCs w:val="21"/>
          <w:lang w:eastAsia="zh-CN"/>
        </w:rPr>
      </w:pPr>
      <w:r>
        <w:rPr>
          <w:rStyle w:val="22"/>
          <w:rFonts w:eastAsia="宋体"/>
          <w:sz w:val="21"/>
          <w:szCs w:val="21"/>
        </w:rPr>
        <w:footnoteRef/>
      </w:r>
      <w:r>
        <w:rPr>
          <w:rFonts w:eastAsia="宋体"/>
          <w:sz w:val="21"/>
          <w:szCs w:val="21"/>
          <w:lang w:eastAsia="zh-CN"/>
        </w:rPr>
        <w:t xml:space="preserve"> </w:t>
      </w:r>
      <w:r>
        <w:rPr>
          <w:rFonts w:eastAsia="宋体"/>
          <w:snapToGrid w:val="0"/>
          <w:sz w:val="21"/>
          <w:szCs w:val="21"/>
          <w:lang w:eastAsia="zh-CN"/>
        </w:rPr>
        <w:t>CDRH还保存了一份</w:t>
      </w:r>
      <w:r>
        <w:rPr>
          <w:rFonts w:ascii="宋体" w:hAnsi="宋体" w:eastAsia="宋体"/>
          <w:snapToGrid w:val="0"/>
          <w:sz w:val="21"/>
          <w:szCs w:val="21"/>
          <w:lang w:eastAsia="zh-CN"/>
        </w:rPr>
        <w:t>“</w:t>
      </w:r>
      <w:r>
        <w:rPr>
          <w:rFonts w:eastAsia="宋体"/>
          <w:snapToGrid w:val="0"/>
          <w:sz w:val="21"/>
          <w:szCs w:val="21"/>
          <w:lang w:eastAsia="zh-CN"/>
        </w:rPr>
        <w:t>评价代码</w:t>
      </w:r>
      <w:r>
        <w:rPr>
          <w:rFonts w:ascii="宋体" w:hAnsi="宋体" w:eastAsia="宋体"/>
          <w:snapToGrid w:val="0"/>
          <w:sz w:val="21"/>
          <w:szCs w:val="21"/>
          <w:lang w:eastAsia="zh-CN"/>
        </w:rPr>
        <w:t>”</w:t>
      </w:r>
      <w:r>
        <w:rPr>
          <w:rFonts w:eastAsia="宋体"/>
          <w:snapToGrid w:val="0"/>
          <w:sz w:val="21"/>
          <w:szCs w:val="21"/>
          <w:lang w:eastAsia="zh-CN"/>
        </w:rPr>
        <w:t>清单，可为申请人评价器械组成部分或组合产品提供信息。</w:t>
      </w:r>
    </w:p>
    <w:p w14:paraId="77179E84">
      <w:pPr>
        <w:pStyle w:val="14"/>
        <w:adjustRightInd w:val="0"/>
        <w:jc w:val="both"/>
        <w:rPr>
          <w:rFonts w:eastAsia="宋体"/>
          <w:sz w:val="21"/>
          <w:szCs w:val="21"/>
          <w:lang w:eastAsia="zh-CN"/>
        </w:rPr>
      </w:pPr>
      <w:r>
        <w:rPr>
          <w:rFonts w:eastAsia="宋体"/>
          <w:snapToGrid w:val="0"/>
          <w:sz w:val="21"/>
          <w:szCs w:val="21"/>
          <w:lang w:eastAsia="zh-CN"/>
        </w:rPr>
        <w:t>（</w:t>
      </w:r>
      <w:r>
        <w:fldChar w:fldCharType="begin"/>
      </w:r>
      <w:r>
        <w:instrText xml:space="preserve"> HYPERLINK "https://www.fda.gov/MedicalDevices/DeviceRegulationandGuidance/PostmarketRequirements/ReportingAdverseEvents/MDRAdverseEventCodes/ucm584205.htm" \h </w:instrText>
      </w:r>
      <w:r>
        <w:fldChar w:fldCharType="separate"/>
      </w:r>
      <w:r>
        <w:rPr>
          <w:rFonts w:eastAsia="宋体"/>
          <w:snapToGrid w:val="0"/>
          <w:color w:val="0000FF"/>
          <w:sz w:val="21"/>
          <w:szCs w:val="21"/>
          <w:u w:val="single" w:color="0000FF"/>
          <w:lang w:eastAsia="zh-CN"/>
        </w:rPr>
        <w:t>https://www.fda.gov/MedicalDevices/DeviceRegulationandGuidance/PostmarketRequirements/ReportingAdverseE</w:t>
      </w:r>
      <w:r>
        <w:rPr>
          <w:rFonts w:eastAsia="宋体"/>
          <w:snapToGrid w:val="0"/>
          <w:color w:val="0000FF"/>
          <w:sz w:val="21"/>
          <w:szCs w:val="21"/>
          <w:u w:val="single" w:color="0000FF"/>
          <w:lang w:eastAsia="zh-CN"/>
        </w:rPr>
        <w:fldChar w:fldCharType="end"/>
      </w:r>
      <w:r>
        <w:fldChar w:fldCharType="begin"/>
      </w:r>
      <w:r>
        <w:instrText xml:space="preserve"> HYPERLINK "https://www.fda.gov/MedicalDevices/DeviceRegulationandGuidance/PostmarketRequirements/ReportingAdverseEvents/MDRAdverseEventCodes/ucm584205.htm" \h </w:instrText>
      </w:r>
      <w:r>
        <w:fldChar w:fldCharType="separate"/>
      </w:r>
      <w:r>
        <w:rPr>
          <w:rFonts w:eastAsia="宋体"/>
          <w:snapToGrid w:val="0"/>
          <w:color w:val="0000FF"/>
          <w:sz w:val="21"/>
          <w:szCs w:val="21"/>
          <w:u w:val="single" w:color="0000FF"/>
          <w:lang w:eastAsia="zh-CN"/>
        </w:rPr>
        <w:t>vents/MDRAdverseEventCodes/ucm584205.htm</w:t>
      </w:r>
      <w:r>
        <w:rPr>
          <w:rFonts w:eastAsia="宋体"/>
          <w:snapToGrid w:val="0"/>
          <w:color w:val="0000FF"/>
          <w:sz w:val="21"/>
          <w:szCs w:val="21"/>
          <w:u w:val="single" w:color="0000FF"/>
          <w:lang w:eastAsia="zh-CN"/>
        </w:rPr>
        <w:fldChar w:fldCharType="end"/>
      </w:r>
      <w:r>
        <w:rPr>
          <w:rFonts w:eastAsia="宋体"/>
          <w:snapToGrid w:val="0"/>
          <w:sz w:val="21"/>
          <w:szCs w:val="21"/>
          <w:lang w:eastAsia="zh-CN"/>
        </w:rPr>
        <w:t>）。针对组合产品进行此类评估时，需要在重伤或死亡报告、故障报告或5天报告中包含评估代码以及评估概要，并且如果该信息在首次报告后可用，则必须在此类首次报告的后续报告中包括该信息（</w:t>
      </w:r>
      <w:r>
        <w:rPr>
          <w:rFonts w:hint="eastAsia" w:eastAsia="宋体"/>
          <w:snapToGrid w:val="0"/>
          <w:sz w:val="21"/>
          <w:szCs w:val="21"/>
          <w:lang w:eastAsia="zh-CN"/>
        </w:rPr>
        <w:t>参</w:t>
      </w:r>
      <w:r>
        <w:rPr>
          <w:rFonts w:eastAsia="宋体"/>
          <w:snapToGrid w:val="0"/>
          <w:sz w:val="21"/>
          <w:szCs w:val="21"/>
          <w:lang w:eastAsia="zh-CN"/>
        </w:rPr>
        <w:t>见《美国联邦法规》第21篇第803.52（f）（3）和（f）（6））节。然而，对于NDA/ANDA/BLA组合产品，如果申请人未提供评估代码，而</w:t>
      </w:r>
      <w:r>
        <w:rPr>
          <w:rFonts w:hint="eastAsia" w:eastAsia="宋体"/>
          <w:snapToGrid w:val="0"/>
          <w:sz w:val="21"/>
          <w:szCs w:val="21"/>
          <w:lang w:eastAsia="zh-CN"/>
        </w:rPr>
        <w:t>是</w:t>
      </w:r>
      <w:r>
        <w:rPr>
          <w:rFonts w:eastAsia="宋体"/>
          <w:snapToGrid w:val="0"/>
          <w:sz w:val="21"/>
          <w:szCs w:val="21"/>
          <w:lang w:eastAsia="zh-CN"/>
        </w:rPr>
        <w:t>在说明中提供评估信息，FDA</w:t>
      </w:r>
      <w:r>
        <w:rPr>
          <w:rFonts w:hint="eastAsia" w:eastAsia="宋体"/>
          <w:snapToGrid w:val="0"/>
          <w:sz w:val="21"/>
          <w:szCs w:val="21"/>
          <w:lang w:eastAsia="zh-CN"/>
        </w:rPr>
        <w:t>对此</w:t>
      </w:r>
      <w:r>
        <w:rPr>
          <w:rFonts w:eastAsia="宋体"/>
          <w:snapToGrid w:val="0"/>
          <w:sz w:val="21"/>
          <w:szCs w:val="21"/>
          <w:lang w:eastAsia="zh-CN"/>
        </w:rPr>
        <w:t>也</w:t>
      </w:r>
      <w:r>
        <w:rPr>
          <w:rFonts w:hint="eastAsia" w:eastAsia="宋体"/>
          <w:snapToGrid w:val="0"/>
          <w:sz w:val="21"/>
          <w:szCs w:val="21"/>
          <w:lang w:eastAsia="zh-CN"/>
        </w:rPr>
        <w:t>会</w:t>
      </w:r>
      <w:r>
        <w:rPr>
          <w:rFonts w:eastAsia="宋体"/>
          <w:snapToGrid w:val="0"/>
          <w:sz w:val="21"/>
          <w:szCs w:val="21"/>
          <w:lang w:eastAsia="zh-CN"/>
        </w:rPr>
        <w:t>不反对。</w:t>
      </w:r>
    </w:p>
  </w:footnote>
  <w:footnote w:id="49">
    <w:p w14:paraId="6EE1BA53">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提交符合申请类型相关适用法规、政策和程序的后续ICSR，以符合《美国联邦法规》第21篇第4.104（b）节规定。例如，对于以药品为主导的组合产品，药品评价和研究中心（CDER）的电子报告系统根据《美国联邦法规》第21篇第314节要求以及相关CDER政策和程序接受ICSR后续报告。</w:t>
      </w:r>
    </w:p>
  </w:footnote>
  <w:footnote w:id="50">
    <w:p w14:paraId="15C2D1CD">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rPr>
        <w:t>更多信息，请</w:t>
      </w:r>
      <w:r>
        <w:rPr>
          <w:rFonts w:hint="eastAsia" w:eastAsia="宋体"/>
          <w:snapToGrid w:val="0"/>
          <w:sz w:val="21"/>
          <w:szCs w:val="21"/>
          <w:lang w:eastAsia="zh-CN"/>
        </w:rPr>
        <w:t>参</w:t>
      </w:r>
      <w:r>
        <w:rPr>
          <w:rFonts w:eastAsia="宋体"/>
          <w:snapToGrid w:val="0"/>
          <w:sz w:val="21"/>
          <w:szCs w:val="21"/>
        </w:rPr>
        <w:t>见</w:t>
      </w:r>
      <w:r>
        <w:rPr>
          <w:rFonts w:eastAsia="宋体"/>
          <w:snapToGrid w:val="0"/>
          <w:sz w:val="21"/>
          <w:szCs w:val="21"/>
          <w:lang w:eastAsia="zh-CN"/>
        </w:rPr>
        <w:t>《行</w:t>
      </w:r>
      <w:r>
        <w:rPr>
          <w:rFonts w:eastAsia="宋体"/>
          <w:snapToGrid w:val="0"/>
          <w:sz w:val="21"/>
          <w:szCs w:val="21"/>
        </w:rPr>
        <w:t>业指南草案</w:t>
      </w:r>
      <w:r>
        <w:rPr>
          <w:rFonts w:eastAsia="宋体"/>
          <w:snapToGrid w:val="0"/>
          <w:sz w:val="21"/>
          <w:szCs w:val="21"/>
          <w:lang w:eastAsia="zh-CN"/>
        </w:rPr>
        <w:t>》</w:t>
      </w:r>
      <w:r>
        <w:rPr>
          <w:rFonts w:eastAsia="宋体"/>
          <w:snapToGrid w:val="0"/>
          <w:sz w:val="21"/>
          <w:szCs w:val="21"/>
        </w:rPr>
        <w:t>，</w:t>
      </w:r>
      <w:r>
        <w:rPr>
          <w:rFonts w:eastAsia="宋体"/>
          <w:i/>
          <w:snapToGrid w:val="0"/>
          <w:sz w:val="21"/>
          <w:szCs w:val="21"/>
        </w:rPr>
        <w:t>人用药和生物制品（包括疫苗）上市后安全性报告</w:t>
      </w:r>
      <w:r>
        <w:rPr>
          <w:rFonts w:eastAsia="宋体"/>
          <w:snapToGrid w:val="0"/>
          <w:sz w:val="21"/>
          <w:szCs w:val="21"/>
        </w:rPr>
        <w:t>（</w:t>
      </w:r>
      <w:r>
        <w:fldChar w:fldCharType="begin"/>
      </w:r>
      <w:r>
        <w:instrText xml:space="preserve"> HYPERLINK "https://www.fda.gov/regulatory-information/search-fda-guidance-documents/postmarketing-safety-reporting-human-drug-and-biological-products-including-vaccines" </w:instrText>
      </w:r>
      <w:r>
        <w:fldChar w:fldCharType="separate"/>
      </w:r>
      <w:r>
        <w:rPr>
          <w:rStyle w:val="20"/>
          <w:rFonts w:eastAsia="宋体"/>
          <w:snapToGrid w:val="0"/>
          <w:sz w:val="21"/>
          <w:szCs w:val="21"/>
          <w:u w:color="0000FF"/>
        </w:rPr>
        <w:t>https://www.fda.gov/regulatory-information/search-fda-guidance-documents/postmarketing-safety-reporting-human-drug-and-biological-products-including-vaccines</w:t>
      </w:r>
      <w:r>
        <w:rPr>
          <w:rStyle w:val="20"/>
          <w:rFonts w:eastAsia="宋体"/>
          <w:snapToGrid w:val="0"/>
          <w:sz w:val="21"/>
          <w:szCs w:val="21"/>
          <w:u w:color="0000FF"/>
        </w:rPr>
        <w:fldChar w:fldCharType="end"/>
      </w:r>
      <w:r>
        <w:rPr>
          <w:rFonts w:eastAsia="宋体"/>
          <w:snapToGrid w:val="0"/>
          <w:sz w:val="21"/>
          <w:szCs w:val="21"/>
        </w:rPr>
        <w:t>），该草案最终版将代表FDA</w:t>
      </w:r>
      <w:r>
        <w:rPr>
          <w:rFonts w:hint="eastAsia" w:eastAsia="宋体"/>
          <w:snapToGrid w:val="0"/>
          <w:sz w:val="21"/>
          <w:szCs w:val="21"/>
        </w:rPr>
        <w:t>目前关于该主题的思考</w:t>
      </w:r>
      <w:r>
        <w:rPr>
          <w:rFonts w:eastAsia="宋体"/>
          <w:snapToGrid w:val="0"/>
          <w:sz w:val="21"/>
          <w:szCs w:val="21"/>
        </w:rPr>
        <w:t>。</w:t>
      </w:r>
    </w:p>
  </w:footnote>
  <w:footnote w:id="51">
    <w:p w14:paraId="470480BC">
      <w:pPr>
        <w:pStyle w:val="14"/>
        <w:wordWrap w:val="0"/>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有关PBRER的更多信息，请</w:t>
      </w:r>
      <w:r>
        <w:rPr>
          <w:rFonts w:hint="eastAsia" w:eastAsia="宋体"/>
          <w:snapToGrid w:val="0"/>
          <w:sz w:val="21"/>
          <w:szCs w:val="21"/>
          <w:lang w:eastAsia="zh-CN"/>
        </w:rPr>
        <w:t>参</w:t>
      </w:r>
      <w:r>
        <w:rPr>
          <w:rFonts w:eastAsia="宋体"/>
          <w:snapToGrid w:val="0"/>
          <w:sz w:val="21"/>
          <w:szCs w:val="21"/>
          <w:lang w:eastAsia="zh-CN"/>
        </w:rPr>
        <w:t>见《行业指南》，</w:t>
      </w:r>
      <w:r>
        <w:rPr>
          <w:rFonts w:eastAsia="宋体"/>
          <w:i/>
          <w:snapToGrid w:val="0"/>
          <w:sz w:val="21"/>
          <w:szCs w:val="21"/>
          <w:lang w:eastAsia="zh-CN"/>
        </w:rPr>
        <w:t>E2C（R2）定期受益-风险</w:t>
      </w:r>
      <w:r>
        <w:rPr>
          <w:rFonts w:hint="eastAsia" w:eastAsia="宋体"/>
          <w:i/>
          <w:snapToGrid w:val="0"/>
          <w:sz w:val="21"/>
          <w:szCs w:val="21"/>
          <w:lang w:eastAsia="zh-CN"/>
        </w:rPr>
        <w:t>评定</w:t>
      </w:r>
      <w:r>
        <w:rPr>
          <w:rFonts w:eastAsia="宋体"/>
          <w:i/>
          <w:snapToGrid w:val="0"/>
          <w:sz w:val="21"/>
          <w:szCs w:val="21"/>
        </w:rPr>
        <w:t>报告（PBRER</w:t>
      </w:r>
      <w:r>
        <w:rPr>
          <w:rFonts w:eastAsia="宋体"/>
          <w:i/>
          <w:snapToGrid w:val="0"/>
          <w:sz w:val="21"/>
          <w:szCs w:val="21"/>
          <w:lang w:eastAsia="zh-CN"/>
        </w:rPr>
        <w:t>）</w:t>
      </w:r>
      <w:r>
        <w:rPr>
          <w:rFonts w:eastAsia="宋体"/>
          <w:snapToGrid w:val="0"/>
          <w:sz w:val="21"/>
          <w:szCs w:val="21"/>
          <w:lang w:eastAsia="zh-CN"/>
        </w:rPr>
        <w:t>（</w:t>
      </w:r>
      <w:r>
        <w:fldChar w:fldCharType="begin"/>
      </w:r>
      <w:r>
        <w:instrText xml:space="preserve"> HYPERLINK "https://www.fda.gov/regulatory-information/search-fda-guidance-documents/e2cr2-periodic-benefit-risk-evaluation-report-pbrer" </w:instrText>
      </w:r>
      <w:r>
        <w:fldChar w:fldCharType="separate"/>
      </w:r>
      <w:r>
        <w:rPr>
          <w:rStyle w:val="20"/>
          <w:rFonts w:eastAsia="宋体"/>
          <w:snapToGrid w:val="0"/>
          <w:sz w:val="21"/>
          <w:szCs w:val="21"/>
          <w:u w:color="0000FF"/>
        </w:rPr>
        <w:t>https://www.fda.gov/regulatory-information/search-fda-guidance-documents/e2cr2-periodic-benefit-risk-evaluation-report-pbrer</w:t>
      </w:r>
      <w:r>
        <w:rPr>
          <w:rStyle w:val="20"/>
          <w:rFonts w:eastAsia="宋体"/>
          <w:snapToGrid w:val="0"/>
          <w:sz w:val="21"/>
          <w:szCs w:val="21"/>
          <w:u w:color="0000FF"/>
        </w:rPr>
        <w:fldChar w:fldCharType="end"/>
      </w:r>
      <w:r>
        <w:rPr>
          <w:rFonts w:eastAsia="宋体"/>
          <w:snapToGrid w:val="0"/>
          <w:sz w:val="21"/>
          <w:szCs w:val="21"/>
          <w:lang w:eastAsia="zh-CN"/>
        </w:rPr>
        <w:t>）</w:t>
      </w:r>
      <w:r>
        <w:rPr>
          <w:rFonts w:eastAsia="宋体"/>
          <w:snapToGrid w:val="0"/>
          <w:sz w:val="21"/>
          <w:szCs w:val="21"/>
        </w:rPr>
        <w:t>。</w:t>
      </w:r>
    </w:p>
  </w:footnote>
  <w:footnote w:id="52">
    <w:p w14:paraId="6621E7D5">
      <w:pPr>
        <w:autoSpaceDE/>
        <w:autoSpaceDN/>
        <w:snapToGri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注意，提交ICSR报告的后续报告的相关要求（法规中后续报告要求的讨论，</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IV</w:t>
      </w:r>
      <w:r>
        <w:rPr>
          <w:rFonts w:eastAsia="宋体"/>
          <w:snapToGrid w:val="0"/>
          <w:sz w:val="21"/>
          <w:szCs w:val="21"/>
          <w:lang w:eastAsia="zh-CN"/>
        </w:rPr>
        <w:t>.A.4节）。</w:t>
      </w:r>
    </w:p>
  </w:footnote>
  <w:footnote w:id="53">
    <w:p w14:paraId="51B902EF">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产品简化报告的讨论请</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IV</w:t>
      </w:r>
      <w:r>
        <w:rPr>
          <w:rFonts w:eastAsia="宋体"/>
          <w:snapToGrid w:val="0"/>
          <w:sz w:val="21"/>
          <w:szCs w:val="21"/>
          <w:lang w:eastAsia="zh-CN"/>
        </w:rPr>
        <w:t>.C节和第</w:t>
      </w:r>
      <w:r>
        <w:rPr>
          <w:rFonts w:hint="eastAsia" w:eastAsia="宋体"/>
          <w:snapToGrid w:val="0"/>
          <w:sz w:val="21"/>
          <w:szCs w:val="21"/>
          <w:lang w:eastAsia="zh-CN"/>
        </w:rPr>
        <w:t>V</w:t>
      </w:r>
      <w:r>
        <w:rPr>
          <w:rFonts w:eastAsia="宋体"/>
          <w:snapToGrid w:val="0"/>
          <w:sz w:val="21"/>
          <w:szCs w:val="21"/>
          <w:lang w:eastAsia="zh-CN"/>
        </w:rPr>
        <w:t>.A.3节，同时包含药品和生物制品组成部分的组合产品15天报告的讨论请</w:t>
      </w:r>
      <w:r>
        <w:rPr>
          <w:rFonts w:hint="eastAsia" w:eastAsia="宋体"/>
          <w:snapToGrid w:val="0"/>
          <w:sz w:val="21"/>
          <w:szCs w:val="21"/>
          <w:lang w:eastAsia="zh-CN"/>
        </w:rPr>
        <w:t>参</w:t>
      </w:r>
      <w:r>
        <w:rPr>
          <w:rFonts w:eastAsia="宋体"/>
          <w:snapToGrid w:val="0"/>
          <w:sz w:val="21"/>
          <w:szCs w:val="21"/>
          <w:lang w:eastAsia="zh-CN"/>
        </w:rPr>
        <w:t>见第</w:t>
      </w:r>
      <w:r>
        <w:rPr>
          <w:rFonts w:hint="eastAsia" w:eastAsia="宋体"/>
          <w:snapToGrid w:val="0"/>
          <w:sz w:val="21"/>
          <w:szCs w:val="21"/>
          <w:lang w:eastAsia="zh-CN"/>
        </w:rPr>
        <w:t>IV</w:t>
      </w:r>
      <w:r>
        <w:rPr>
          <w:rFonts w:eastAsia="宋体"/>
          <w:snapToGrid w:val="0"/>
          <w:sz w:val="21"/>
          <w:szCs w:val="21"/>
          <w:lang w:eastAsia="zh-CN"/>
        </w:rPr>
        <w:t>.A.1节。</w:t>
      </w:r>
    </w:p>
  </w:footnote>
  <w:footnote w:id="54">
    <w:p w14:paraId="6CA2D7EE">
      <w:pPr>
        <w:pStyle w:val="14"/>
        <w:adjustRightInd w:val="0"/>
        <w:jc w:val="both"/>
        <w:rPr>
          <w:rFonts w:eastAsia="宋体"/>
          <w:sz w:val="21"/>
          <w:szCs w:val="21"/>
          <w:lang w:eastAsia="zh-CN"/>
        </w:rPr>
      </w:pPr>
      <w:r>
        <w:rPr>
          <w:rStyle w:val="22"/>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某些情况下，组合产品的组成部分也可能由不同实体作为非组合产品单独生产或销售。PMSR报告义务也可适用于此类实体。例如，如果组合产品申请人从注射器生产商（上市许可持有人，销售注射器用于一般用途）购买注射器，包含在其组合包装的组合产品中，注射器生产商对组合产品不承担PMSR责任，但根据《美国联邦法规》第21篇第803节，对其注射器承担PMSR责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130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2A19">
    <w:pPr>
      <w:pStyle w:val="12"/>
      <w:spacing w:before="120" w:after="120" w:afterLines="0"/>
      <w:jc w:val="center"/>
      <w:rPr>
        <w:b w:val="0"/>
        <w:sz w:val="21"/>
      </w:rPr>
    </w:pPr>
    <w:r>
      <w:rPr>
        <w:rFonts w:hint="eastAsia"/>
        <w:b w:val="0"/>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A1EE7"/>
    <w:multiLevelType w:val="multilevel"/>
    <w:tmpl w:val="03CA1EE7"/>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1A76D9"/>
    <w:multiLevelType w:val="multilevel"/>
    <w:tmpl w:val="081A76D9"/>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FD2C05"/>
    <w:multiLevelType w:val="multilevel"/>
    <w:tmpl w:val="0AFD2C05"/>
    <w:lvl w:ilvl="0" w:tentative="0">
      <w:start w:val="0"/>
      <w:numFmt w:val="bullet"/>
      <w:lvlText w:val="o"/>
      <w:lvlJc w:val="left"/>
      <w:pPr>
        <w:ind w:left="420" w:hanging="420"/>
      </w:pPr>
      <w:rPr>
        <w:rFonts w:hint="default" w:ascii="Courier New" w:hAnsi="Courier New" w:eastAsia="Courier New" w:cs="Courier New"/>
        <w:w w:val="99"/>
        <w:sz w:val="24"/>
        <w:szCs w:val="24"/>
        <w:lang w:val="en-US" w:eastAsia="en-US" w:bidi="en-US"/>
      </w:rPr>
    </w:lvl>
    <w:lvl w:ilvl="1" w:tentative="0">
      <w:start w:val="0"/>
      <w:numFmt w:val="bullet"/>
      <w:lvlText w:val="o"/>
      <w:lvlJc w:val="left"/>
      <w:pPr>
        <w:ind w:left="840" w:hanging="420"/>
      </w:pPr>
      <w:rPr>
        <w:rFonts w:hint="default" w:ascii="Times New Roman" w:hAnsi="Times New Roman" w:eastAsia="Courier New" w:cs="Times New Roman"/>
        <w:w w:val="100"/>
        <w:sz w:val="24"/>
        <w:szCs w:val="24"/>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54379A"/>
    <w:multiLevelType w:val="multilevel"/>
    <w:tmpl w:val="0F54379A"/>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28B1A1C"/>
    <w:multiLevelType w:val="multilevel"/>
    <w:tmpl w:val="128B1A1C"/>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A01A8B"/>
    <w:multiLevelType w:val="multilevel"/>
    <w:tmpl w:val="13A01A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51467A4"/>
    <w:multiLevelType w:val="multilevel"/>
    <w:tmpl w:val="151467A4"/>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AE2DC7"/>
    <w:multiLevelType w:val="multilevel"/>
    <w:tmpl w:val="1EAE2DC7"/>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F095985"/>
    <w:multiLevelType w:val="multilevel"/>
    <w:tmpl w:val="1F095985"/>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022EBE"/>
    <w:multiLevelType w:val="multilevel"/>
    <w:tmpl w:val="20022EBE"/>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08E11D3"/>
    <w:multiLevelType w:val="multilevel"/>
    <w:tmpl w:val="208E11D3"/>
    <w:lvl w:ilvl="0" w:tentative="0">
      <w:start w:val="0"/>
      <w:numFmt w:val="bullet"/>
      <w:lvlText w:val="o"/>
      <w:lvlJc w:val="left"/>
      <w:pPr>
        <w:ind w:left="420" w:hanging="420"/>
      </w:pPr>
      <w:rPr>
        <w:rFonts w:hint="default" w:ascii="Courier New" w:hAnsi="Courier New" w:eastAsia="Courier New" w:cs="Courier New"/>
        <w:w w:val="99"/>
        <w:sz w:val="24"/>
        <w:szCs w:val="24"/>
        <w:lang w:val="en-US" w:eastAsia="en-US" w:bidi="en-US"/>
      </w:rPr>
    </w:lvl>
    <w:lvl w:ilvl="1" w:tentative="0">
      <w:start w:val="0"/>
      <w:numFmt w:val="bullet"/>
      <w:lvlText w:val="o"/>
      <w:lvlJc w:val="left"/>
      <w:pPr>
        <w:ind w:left="840" w:hanging="420"/>
      </w:pPr>
      <w:rPr>
        <w:rFonts w:hint="default" w:ascii="Times New Roman" w:hAnsi="Times New Roman" w:eastAsia="Courier New" w:cs="Times New Roman"/>
        <w:w w:val="100"/>
        <w:sz w:val="24"/>
        <w:szCs w:val="24"/>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4650135"/>
    <w:multiLevelType w:val="multilevel"/>
    <w:tmpl w:val="24650135"/>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0567EB4"/>
    <w:multiLevelType w:val="multilevel"/>
    <w:tmpl w:val="30567EB4"/>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1EE2260"/>
    <w:multiLevelType w:val="multilevel"/>
    <w:tmpl w:val="31EE2260"/>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5F35CA8"/>
    <w:multiLevelType w:val="multilevel"/>
    <w:tmpl w:val="35F35CA8"/>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420E5C"/>
    <w:multiLevelType w:val="multilevel"/>
    <w:tmpl w:val="37420E5C"/>
    <w:lvl w:ilvl="0" w:tentative="0">
      <w:start w:val="0"/>
      <w:numFmt w:val="bullet"/>
      <w:lvlText w:val="o"/>
      <w:lvlJc w:val="left"/>
      <w:pPr>
        <w:ind w:left="420" w:hanging="420"/>
      </w:pPr>
      <w:rPr>
        <w:rFonts w:hint="default" w:ascii="Courier New" w:hAnsi="Courier New" w:eastAsia="Courier New" w:cs="Courier New"/>
        <w:w w:val="99"/>
        <w:sz w:val="24"/>
        <w:szCs w:val="24"/>
        <w:lang w:val="en-US" w:eastAsia="en-US" w:bidi="en-US"/>
      </w:rPr>
    </w:lvl>
    <w:lvl w:ilvl="1" w:tentative="0">
      <w:start w:val="0"/>
      <w:numFmt w:val="bullet"/>
      <w:lvlText w:val="o"/>
      <w:lvlJc w:val="left"/>
      <w:pPr>
        <w:ind w:left="840" w:hanging="420"/>
      </w:pPr>
      <w:rPr>
        <w:rFonts w:hint="default" w:ascii="Times New Roman" w:hAnsi="Times New Roman" w:eastAsia="Courier New" w:cs="Times New Roman"/>
        <w:w w:val="100"/>
        <w:sz w:val="24"/>
        <w:szCs w:val="24"/>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0F375B8"/>
    <w:multiLevelType w:val="multilevel"/>
    <w:tmpl w:val="40F375B8"/>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32D5CD6"/>
    <w:multiLevelType w:val="multilevel"/>
    <w:tmpl w:val="432D5CD6"/>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56748F0"/>
    <w:multiLevelType w:val="multilevel"/>
    <w:tmpl w:val="456748F0"/>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59945BA"/>
    <w:multiLevelType w:val="multilevel"/>
    <w:tmpl w:val="459945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E3F0664"/>
    <w:multiLevelType w:val="multilevel"/>
    <w:tmpl w:val="4E3F0664"/>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1AF6D30"/>
    <w:multiLevelType w:val="multilevel"/>
    <w:tmpl w:val="51AF6D30"/>
    <w:lvl w:ilvl="0" w:tentative="0">
      <w:start w:val="1"/>
      <w:numFmt w:val="upperRoman"/>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2D3233C"/>
    <w:multiLevelType w:val="multilevel"/>
    <w:tmpl w:val="52D3233C"/>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9A84A58"/>
    <w:multiLevelType w:val="multilevel"/>
    <w:tmpl w:val="59A84A58"/>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0432700"/>
    <w:multiLevelType w:val="multilevel"/>
    <w:tmpl w:val="60432700"/>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11A64BC"/>
    <w:multiLevelType w:val="multilevel"/>
    <w:tmpl w:val="611A64BC"/>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7643339"/>
    <w:multiLevelType w:val="multilevel"/>
    <w:tmpl w:val="67643339"/>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EDB1A04"/>
    <w:multiLevelType w:val="multilevel"/>
    <w:tmpl w:val="6EDB1A04"/>
    <w:lvl w:ilvl="0" w:tentative="0">
      <w:start w:val="0"/>
      <w:numFmt w:val="bullet"/>
      <w:lvlText w:val="o"/>
      <w:lvlJc w:val="left"/>
      <w:pPr>
        <w:ind w:left="420" w:hanging="420"/>
      </w:pPr>
      <w:rPr>
        <w:rFonts w:hint="default" w:ascii="Courier New" w:hAnsi="Courier New" w:eastAsia="Courier New" w:cs="Courier New"/>
        <w:w w:val="99"/>
        <w:sz w:val="24"/>
        <w:szCs w:val="24"/>
        <w:lang w:val="en-US" w:eastAsia="en-US" w:bidi="en-US"/>
      </w:rPr>
    </w:lvl>
    <w:lvl w:ilvl="1" w:tentative="0">
      <w:start w:val="0"/>
      <w:numFmt w:val="bullet"/>
      <w:lvlText w:val="o"/>
      <w:lvlJc w:val="left"/>
      <w:pPr>
        <w:ind w:left="840" w:hanging="420"/>
      </w:pPr>
      <w:rPr>
        <w:rFonts w:hint="default" w:ascii="Times New Roman" w:hAnsi="Times New Roman" w:eastAsia="宋体" w:cs="Times New Roman"/>
        <w:w w:val="100"/>
        <w:sz w:val="24"/>
        <w:szCs w:val="24"/>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F590199"/>
    <w:multiLevelType w:val="multilevel"/>
    <w:tmpl w:val="6F590199"/>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48201A4"/>
    <w:multiLevelType w:val="multilevel"/>
    <w:tmpl w:val="748201A4"/>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8291E13"/>
    <w:multiLevelType w:val="multilevel"/>
    <w:tmpl w:val="78291E13"/>
    <w:lvl w:ilvl="0" w:tentative="0">
      <w:start w:val="0"/>
      <w:numFmt w:val="bullet"/>
      <w:lvlText w:val=""/>
      <w:lvlJc w:val="left"/>
      <w:pPr>
        <w:ind w:left="420" w:hanging="420"/>
      </w:pPr>
      <w:rPr>
        <w:rFonts w:hint="default" w:ascii="Symbol" w:hAnsi="Symbol" w:eastAsia="Symbol" w:cs="Symbol"/>
        <w:w w:val="100"/>
        <w:sz w:val="24"/>
        <w:szCs w:val="24"/>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1"/>
  </w:num>
  <w:num w:numId="2">
    <w:abstractNumId w:val="5"/>
  </w:num>
  <w:num w:numId="3">
    <w:abstractNumId w:val="13"/>
  </w:num>
  <w:num w:numId="4">
    <w:abstractNumId w:val="27"/>
  </w:num>
  <w:num w:numId="5">
    <w:abstractNumId w:val="10"/>
  </w:num>
  <w:num w:numId="6">
    <w:abstractNumId w:val="30"/>
  </w:num>
  <w:num w:numId="7">
    <w:abstractNumId w:val="18"/>
  </w:num>
  <w:num w:numId="8">
    <w:abstractNumId w:val="26"/>
  </w:num>
  <w:num w:numId="9">
    <w:abstractNumId w:val="12"/>
  </w:num>
  <w:num w:numId="10">
    <w:abstractNumId w:val="11"/>
  </w:num>
  <w:num w:numId="11">
    <w:abstractNumId w:val="14"/>
  </w:num>
  <w:num w:numId="12">
    <w:abstractNumId w:val="6"/>
  </w:num>
  <w:num w:numId="13">
    <w:abstractNumId w:val="24"/>
  </w:num>
  <w:num w:numId="14">
    <w:abstractNumId w:val="0"/>
  </w:num>
  <w:num w:numId="15">
    <w:abstractNumId w:val="29"/>
  </w:num>
  <w:num w:numId="16">
    <w:abstractNumId w:val="16"/>
  </w:num>
  <w:num w:numId="17">
    <w:abstractNumId w:val="1"/>
  </w:num>
  <w:num w:numId="18">
    <w:abstractNumId w:val="4"/>
  </w:num>
  <w:num w:numId="19">
    <w:abstractNumId w:val="22"/>
  </w:num>
  <w:num w:numId="20">
    <w:abstractNumId w:val="8"/>
  </w:num>
  <w:num w:numId="21">
    <w:abstractNumId w:val="2"/>
  </w:num>
  <w:num w:numId="22">
    <w:abstractNumId w:val="28"/>
  </w:num>
  <w:num w:numId="23">
    <w:abstractNumId w:val="23"/>
  </w:num>
  <w:num w:numId="24">
    <w:abstractNumId w:val="17"/>
  </w:num>
  <w:num w:numId="25">
    <w:abstractNumId w:val="25"/>
  </w:num>
  <w:num w:numId="26">
    <w:abstractNumId w:val="9"/>
  </w:num>
  <w:num w:numId="27">
    <w:abstractNumId w:val="15"/>
  </w:num>
  <w:num w:numId="28">
    <w:abstractNumId w:val="20"/>
  </w:num>
  <w:num w:numId="29">
    <w:abstractNumId w:val="3"/>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readOnly" w:enforcement="0"/>
  <w:defaultTabStop w:val="440"/>
  <w:drawingGridHorizontalSpacing w:val="110"/>
  <w:displayHorizontalDrawingGridEvery w:val="2"/>
  <w:characterSpacingControl w:val="doNotCompress"/>
  <w:footnotePr>
    <w:footnote w:id="110"/>
    <w:footnote w:id="111"/>
  </w:foot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601"/>
    <w:rsid w:val="00007C94"/>
    <w:rsid w:val="00012B8E"/>
    <w:rsid w:val="0001316C"/>
    <w:rsid w:val="00014B66"/>
    <w:rsid w:val="00021C7B"/>
    <w:rsid w:val="00023BC3"/>
    <w:rsid w:val="00033F57"/>
    <w:rsid w:val="00035AF2"/>
    <w:rsid w:val="00040A92"/>
    <w:rsid w:val="00053BEE"/>
    <w:rsid w:val="0005588D"/>
    <w:rsid w:val="00056517"/>
    <w:rsid w:val="0006391C"/>
    <w:rsid w:val="000646ED"/>
    <w:rsid w:val="00072C5E"/>
    <w:rsid w:val="000742D2"/>
    <w:rsid w:val="000823EC"/>
    <w:rsid w:val="00087FE2"/>
    <w:rsid w:val="00090943"/>
    <w:rsid w:val="00097329"/>
    <w:rsid w:val="000A111A"/>
    <w:rsid w:val="000B2350"/>
    <w:rsid w:val="000C1759"/>
    <w:rsid w:val="000D15D7"/>
    <w:rsid w:val="000D37D3"/>
    <w:rsid w:val="000D3C3A"/>
    <w:rsid w:val="000D64F9"/>
    <w:rsid w:val="000F115B"/>
    <w:rsid w:val="000F2AD6"/>
    <w:rsid w:val="001001F0"/>
    <w:rsid w:val="001047B2"/>
    <w:rsid w:val="00107602"/>
    <w:rsid w:val="001100BF"/>
    <w:rsid w:val="00111159"/>
    <w:rsid w:val="00117D73"/>
    <w:rsid w:val="00125055"/>
    <w:rsid w:val="00126E91"/>
    <w:rsid w:val="00137D3D"/>
    <w:rsid w:val="001412DE"/>
    <w:rsid w:val="00142BD0"/>
    <w:rsid w:val="00152DAF"/>
    <w:rsid w:val="00162DC9"/>
    <w:rsid w:val="00164DB9"/>
    <w:rsid w:val="001678EC"/>
    <w:rsid w:val="001703E5"/>
    <w:rsid w:val="00182081"/>
    <w:rsid w:val="001B2952"/>
    <w:rsid w:val="001B6DC1"/>
    <w:rsid w:val="001B747D"/>
    <w:rsid w:val="001D2767"/>
    <w:rsid w:val="001F009A"/>
    <w:rsid w:val="0020000A"/>
    <w:rsid w:val="00217D42"/>
    <w:rsid w:val="00223A0C"/>
    <w:rsid w:val="00227323"/>
    <w:rsid w:val="00236A4C"/>
    <w:rsid w:val="00237E6F"/>
    <w:rsid w:val="002406FD"/>
    <w:rsid w:val="002457C2"/>
    <w:rsid w:val="002458AF"/>
    <w:rsid w:val="00246341"/>
    <w:rsid w:val="00257819"/>
    <w:rsid w:val="00262A9D"/>
    <w:rsid w:val="00263922"/>
    <w:rsid w:val="00271002"/>
    <w:rsid w:val="00276383"/>
    <w:rsid w:val="00286DB1"/>
    <w:rsid w:val="00291779"/>
    <w:rsid w:val="00295616"/>
    <w:rsid w:val="002A45A2"/>
    <w:rsid w:val="002A4A5C"/>
    <w:rsid w:val="002C0215"/>
    <w:rsid w:val="002C5AE4"/>
    <w:rsid w:val="002C66D7"/>
    <w:rsid w:val="002D2121"/>
    <w:rsid w:val="002D667F"/>
    <w:rsid w:val="002D74A4"/>
    <w:rsid w:val="002D7A90"/>
    <w:rsid w:val="002F1EA6"/>
    <w:rsid w:val="002F2BE2"/>
    <w:rsid w:val="00302318"/>
    <w:rsid w:val="00306D54"/>
    <w:rsid w:val="00310665"/>
    <w:rsid w:val="00311294"/>
    <w:rsid w:val="00317840"/>
    <w:rsid w:val="00323707"/>
    <w:rsid w:val="003366A3"/>
    <w:rsid w:val="003400B6"/>
    <w:rsid w:val="0034504A"/>
    <w:rsid w:val="003566B4"/>
    <w:rsid w:val="003643D4"/>
    <w:rsid w:val="00375702"/>
    <w:rsid w:val="00385690"/>
    <w:rsid w:val="00391F1D"/>
    <w:rsid w:val="00393213"/>
    <w:rsid w:val="003B7B50"/>
    <w:rsid w:val="003D2149"/>
    <w:rsid w:val="003D4AA6"/>
    <w:rsid w:val="003D5DE3"/>
    <w:rsid w:val="003E07C2"/>
    <w:rsid w:val="003E321B"/>
    <w:rsid w:val="003F7123"/>
    <w:rsid w:val="00400ABB"/>
    <w:rsid w:val="00403B68"/>
    <w:rsid w:val="004067FE"/>
    <w:rsid w:val="004214DF"/>
    <w:rsid w:val="00443A29"/>
    <w:rsid w:val="0044544D"/>
    <w:rsid w:val="004507F1"/>
    <w:rsid w:val="004517E3"/>
    <w:rsid w:val="0045208E"/>
    <w:rsid w:val="00467676"/>
    <w:rsid w:val="00467C7F"/>
    <w:rsid w:val="00475BAE"/>
    <w:rsid w:val="004916F2"/>
    <w:rsid w:val="0049759A"/>
    <w:rsid w:val="004A1C01"/>
    <w:rsid w:val="004A5688"/>
    <w:rsid w:val="004A602F"/>
    <w:rsid w:val="004B1058"/>
    <w:rsid w:val="004B171D"/>
    <w:rsid w:val="004B3DF9"/>
    <w:rsid w:val="004B74BF"/>
    <w:rsid w:val="004C2E94"/>
    <w:rsid w:val="004D0AB7"/>
    <w:rsid w:val="004D207A"/>
    <w:rsid w:val="004D2D62"/>
    <w:rsid w:val="004D31FF"/>
    <w:rsid w:val="004E3B43"/>
    <w:rsid w:val="00501A63"/>
    <w:rsid w:val="0051347A"/>
    <w:rsid w:val="00521462"/>
    <w:rsid w:val="00532CEF"/>
    <w:rsid w:val="00532D1A"/>
    <w:rsid w:val="00535270"/>
    <w:rsid w:val="00546AB6"/>
    <w:rsid w:val="00551B88"/>
    <w:rsid w:val="00556547"/>
    <w:rsid w:val="00557FA9"/>
    <w:rsid w:val="005637AD"/>
    <w:rsid w:val="00575EA0"/>
    <w:rsid w:val="00583FF5"/>
    <w:rsid w:val="005A2549"/>
    <w:rsid w:val="005C25A8"/>
    <w:rsid w:val="005D18E5"/>
    <w:rsid w:val="005E1B03"/>
    <w:rsid w:val="005F1693"/>
    <w:rsid w:val="005F32FB"/>
    <w:rsid w:val="005F473F"/>
    <w:rsid w:val="0060152E"/>
    <w:rsid w:val="0060196F"/>
    <w:rsid w:val="00601A78"/>
    <w:rsid w:val="00601FBB"/>
    <w:rsid w:val="0061264A"/>
    <w:rsid w:val="00621B38"/>
    <w:rsid w:val="006223B4"/>
    <w:rsid w:val="00627B5E"/>
    <w:rsid w:val="006311E7"/>
    <w:rsid w:val="006320F0"/>
    <w:rsid w:val="00640524"/>
    <w:rsid w:val="00651055"/>
    <w:rsid w:val="0065196D"/>
    <w:rsid w:val="00671EF7"/>
    <w:rsid w:val="006727A3"/>
    <w:rsid w:val="00672936"/>
    <w:rsid w:val="00682B6C"/>
    <w:rsid w:val="006840A3"/>
    <w:rsid w:val="00694E52"/>
    <w:rsid w:val="00695921"/>
    <w:rsid w:val="006A0EED"/>
    <w:rsid w:val="006B6A2C"/>
    <w:rsid w:val="006D76A7"/>
    <w:rsid w:val="006D7A23"/>
    <w:rsid w:val="006F4246"/>
    <w:rsid w:val="00705AE3"/>
    <w:rsid w:val="00706A3E"/>
    <w:rsid w:val="00712333"/>
    <w:rsid w:val="00721DA5"/>
    <w:rsid w:val="00725867"/>
    <w:rsid w:val="007267DD"/>
    <w:rsid w:val="00732B85"/>
    <w:rsid w:val="007413FF"/>
    <w:rsid w:val="00743DD3"/>
    <w:rsid w:val="007516A2"/>
    <w:rsid w:val="0075567A"/>
    <w:rsid w:val="007576D3"/>
    <w:rsid w:val="00763263"/>
    <w:rsid w:val="00773461"/>
    <w:rsid w:val="00776BFA"/>
    <w:rsid w:val="00787C27"/>
    <w:rsid w:val="00791795"/>
    <w:rsid w:val="007931E3"/>
    <w:rsid w:val="007A325F"/>
    <w:rsid w:val="007C0B34"/>
    <w:rsid w:val="007C43C5"/>
    <w:rsid w:val="007C6FC0"/>
    <w:rsid w:val="007D1776"/>
    <w:rsid w:val="007D7F0A"/>
    <w:rsid w:val="007E52D4"/>
    <w:rsid w:val="007E6BEC"/>
    <w:rsid w:val="007E6D0E"/>
    <w:rsid w:val="007F057C"/>
    <w:rsid w:val="007F0F94"/>
    <w:rsid w:val="008013CF"/>
    <w:rsid w:val="00801528"/>
    <w:rsid w:val="008048B2"/>
    <w:rsid w:val="00807B59"/>
    <w:rsid w:val="0081280C"/>
    <w:rsid w:val="00814741"/>
    <w:rsid w:val="00822C1A"/>
    <w:rsid w:val="0083150C"/>
    <w:rsid w:val="00843388"/>
    <w:rsid w:val="00843CB4"/>
    <w:rsid w:val="00844E92"/>
    <w:rsid w:val="008450A0"/>
    <w:rsid w:val="0085147B"/>
    <w:rsid w:val="00857C08"/>
    <w:rsid w:val="0086378E"/>
    <w:rsid w:val="00864569"/>
    <w:rsid w:val="00866562"/>
    <w:rsid w:val="00867E12"/>
    <w:rsid w:val="00896B68"/>
    <w:rsid w:val="008A099F"/>
    <w:rsid w:val="008A4884"/>
    <w:rsid w:val="008A716C"/>
    <w:rsid w:val="008A77A9"/>
    <w:rsid w:val="008B7B6D"/>
    <w:rsid w:val="008D159A"/>
    <w:rsid w:val="008D1917"/>
    <w:rsid w:val="008D1E9E"/>
    <w:rsid w:val="008D504B"/>
    <w:rsid w:val="008D7561"/>
    <w:rsid w:val="008E1702"/>
    <w:rsid w:val="008F23BA"/>
    <w:rsid w:val="00901325"/>
    <w:rsid w:val="00905CB6"/>
    <w:rsid w:val="00910245"/>
    <w:rsid w:val="00911CFC"/>
    <w:rsid w:val="00914A74"/>
    <w:rsid w:val="00914A8C"/>
    <w:rsid w:val="0092527D"/>
    <w:rsid w:val="00925CD7"/>
    <w:rsid w:val="009360BC"/>
    <w:rsid w:val="00943063"/>
    <w:rsid w:val="00956E76"/>
    <w:rsid w:val="00961941"/>
    <w:rsid w:val="009640C6"/>
    <w:rsid w:val="009713E3"/>
    <w:rsid w:val="00990237"/>
    <w:rsid w:val="0099763B"/>
    <w:rsid w:val="009A75C3"/>
    <w:rsid w:val="009B0338"/>
    <w:rsid w:val="009C4D9B"/>
    <w:rsid w:val="009C69F2"/>
    <w:rsid w:val="009D3ACB"/>
    <w:rsid w:val="009D3D9E"/>
    <w:rsid w:val="009E1462"/>
    <w:rsid w:val="009E355B"/>
    <w:rsid w:val="009E440C"/>
    <w:rsid w:val="009E5C15"/>
    <w:rsid w:val="009F2497"/>
    <w:rsid w:val="009F3CC5"/>
    <w:rsid w:val="009F58AF"/>
    <w:rsid w:val="009F633C"/>
    <w:rsid w:val="00A00C22"/>
    <w:rsid w:val="00A0211B"/>
    <w:rsid w:val="00A032A4"/>
    <w:rsid w:val="00A05FF5"/>
    <w:rsid w:val="00A1704A"/>
    <w:rsid w:val="00A20225"/>
    <w:rsid w:val="00A22963"/>
    <w:rsid w:val="00A22EE9"/>
    <w:rsid w:val="00A26441"/>
    <w:rsid w:val="00A37C49"/>
    <w:rsid w:val="00A50F4F"/>
    <w:rsid w:val="00A5222D"/>
    <w:rsid w:val="00A54213"/>
    <w:rsid w:val="00A65255"/>
    <w:rsid w:val="00A7715A"/>
    <w:rsid w:val="00A85D3C"/>
    <w:rsid w:val="00A9611D"/>
    <w:rsid w:val="00A961B4"/>
    <w:rsid w:val="00A97A05"/>
    <w:rsid w:val="00AA3248"/>
    <w:rsid w:val="00AA4F55"/>
    <w:rsid w:val="00AA5008"/>
    <w:rsid w:val="00AA50D8"/>
    <w:rsid w:val="00AB3F4A"/>
    <w:rsid w:val="00AB535E"/>
    <w:rsid w:val="00AB625A"/>
    <w:rsid w:val="00AB78BB"/>
    <w:rsid w:val="00AC1B74"/>
    <w:rsid w:val="00AD6874"/>
    <w:rsid w:val="00AD70A9"/>
    <w:rsid w:val="00AE00AC"/>
    <w:rsid w:val="00AE0101"/>
    <w:rsid w:val="00AE1F38"/>
    <w:rsid w:val="00AE4962"/>
    <w:rsid w:val="00AF6448"/>
    <w:rsid w:val="00B0097C"/>
    <w:rsid w:val="00B04852"/>
    <w:rsid w:val="00B06492"/>
    <w:rsid w:val="00B07538"/>
    <w:rsid w:val="00B2087C"/>
    <w:rsid w:val="00B22158"/>
    <w:rsid w:val="00B24160"/>
    <w:rsid w:val="00B2617F"/>
    <w:rsid w:val="00B26AD5"/>
    <w:rsid w:val="00B3362B"/>
    <w:rsid w:val="00B352A5"/>
    <w:rsid w:val="00B379E5"/>
    <w:rsid w:val="00B403CB"/>
    <w:rsid w:val="00B42215"/>
    <w:rsid w:val="00B509E1"/>
    <w:rsid w:val="00B55737"/>
    <w:rsid w:val="00B5655B"/>
    <w:rsid w:val="00B6400B"/>
    <w:rsid w:val="00B6762B"/>
    <w:rsid w:val="00B73B11"/>
    <w:rsid w:val="00B74551"/>
    <w:rsid w:val="00B75591"/>
    <w:rsid w:val="00B773B0"/>
    <w:rsid w:val="00B91781"/>
    <w:rsid w:val="00B952A8"/>
    <w:rsid w:val="00B9762C"/>
    <w:rsid w:val="00BA13BB"/>
    <w:rsid w:val="00BA5C21"/>
    <w:rsid w:val="00BC607A"/>
    <w:rsid w:val="00BD2801"/>
    <w:rsid w:val="00BE481B"/>
    <w:rsid w:val="00BF1130"/>
    <w:rsid w:val="00BF5FF8"/>
    <w:rsid w:val="00C0232D"/>
    <w:rsid w:val="00C1273A"/>
    <w:rsid w:val="00C136DF"/>
    <w:rsid w:val="00C20A69"/>
    <w:rsid w:val="00C2311A"/>
    <w:rsid w:val="00C2328D"/>
    <w:rsid w:val="00C24250"/>
    <w:rsid w:val="00C277C0"/>
    <w:rsid w:val="00C309D8"/>
    <w:rsid w:val="00C34AA9"/>
    <w:rsid w:val="00C412F1"/>
    <w:rsid w:val="00C55B83"/>
    <w:rsid w:val="00C56328"/>
    <w:rsid w:val="00C64E05"/>
    <w:rsid w:val="00C74F6C"/>
    <w:rsid w:val="00C77DFE"/>
    <w:rsid w:val="00C80992"/>
    <w:rsid w:val="00C81103"/>
    <w:rsid w:val="00C81322"/>
    <w:rsid w:val="00C825F0"/>
    <w:rsid w:val="00C8689A"/>
    <w:rsid w:val="00CA2B0A"/>
    <w:rsid w:val="00CB13B1"/>
    <w:rsid w:val="00CB1519"/>
    <w:rsid w:val="00CB2823"/>
    <w:rsid w:val="00CB2C74"/>
    <w:rsid w:val="00CB6808"/>
    <w:rsid w:val="00CB779B"/>
    <w:rsid w:val="00CC07D7"/>
    <w:rsid w:val="00CC6A14"/>
    <w:rsid w:val="00CD0DF4"/>
    <w:rsid w:val="00CD13F3"/>
    <w:rsid w:val="00CD35F9"/>
    <w:rsid w:val="00CD5253"/>
    <w:rsid w:val="00CE0519"/>
    <w:rsid w:val="00CE18D4"/>
    <w:rsid w:val="00CE443E"/>
    <w:rsid w:val="00CE797F"/>
    <w:rsid w:val="00CF4633"/>
    <w:rsid w:val="00CF769C"/>
    <w:rsid w:val="00D12899"/>
    <w:rsid w:val="00D16278"/>
    <w:rsid w:val="00D16862"/>
    <w:rsid w:val="00D223D7"/>
    <w:rsid w:val="00D246F5"/>
    <w:rsid w:val="00D277D2"/>
    <w:rsid w:val="00D327A8"/>
    <w:rsid w:val="00D34EEF"/>
    <w:rsid w:val="00D434DC"/>
    <w:rsid w:val="00D469DF"/>
    <w:rsid w:val="00D52F33"/>
    <w:rsid w:val="00D5591A"/>
    <w:rsid w:val="00D55B90"/>
    <w:rsid w:val="00D60E42"/>
    <w:rsid w:val="00D83601"/>
    <w:rsid w:val="00D858CC"/>
    <w:rsid w:val="00D85BE6"/>
    <w:rsid w:val="00D878B9"/>
    <w:rsid w:val="00DA3BE2"/>
    <w:rsid w:val="00DB474C"/>
    <w:rsid w:val="00DC15B2"/>
    <w:rsid w:val="00DC5551"/>
    <w:rsid w:val="00DC6C01"/>
    <w:rsid w:val="00DD165D"/>
    <w:rsid w:val="00DD1C79"/>
    <w:rsid w:val="00DD61AB"/>
    <w:rsid w:val="00DD668E"/>
    <w:rsid w:val="00DE56CA"/>
    <w:rsid w:val="00DE5933"/>
    <w:rsid w:val="00DF0641"/>
    <w:rsid w:val="00E0175F"/>
    <w:rsid w:val="00E174EA"/>
    <w:rsid w:val="00E2405A"/>
    <w:rsid w:val="00E25FA5"/>
    <w:rsid w:val="00E27519"/>
    <w:rsid w:val="00E30C05"/>
    <w:rsid w:val="00E31100"/>
    <w:rsid w:val="00E3500B"/>
    <w:rsid w:val="00E43B74"/>
    <w:rsid w:val="00E45D10"/>
    <w:rsid w:val="00E51EAA"/>
    <w:rsid w:val="00E51F3A"/>
    <w:rsid w:val="00E5262C"/>
    <w:rsid w:val="00E569F7"/>
    <w:rsid w:val="00E62411"/>
    <w:rsid w:val="00E6674D"/>
    <w:rsid w:val="00E66B82"/>
    <w:rsid w:val="00E80EEF"/>
    <w:rsid w:val="00E9582C"/>
    <w:rsid w:val="00EA050B"/>
    <w:rsid w:val="00EA0542"/>
    <w:rsid w:val="00EA6136"/>
    <w:rsid w:val="00EB0CD9"/>
    <w:rsid w:val="00EB7755"/>
    <w:rsid w:val="00EC5292"/>
    <w:rsid w:val="00EC6696"/>
    <w:rsid w:val="00ED68B9"/>
    <w:rsid w:val="00EE0250"/>
    <w:rsid w:val="00EE1C23"/>
    <w:rsid w:val="00EE5FE6"/>
    <w:rsid w:val="00EF3497"/>
    <w:rsid w:val="00EF4EAC"/>
    <w:rsid w:val="00EF5E6F"/>
    <w:rsid w:val="00F10205"/>
    <w:rsid w:val="00F20436"/>
    <w:rsid w:val="00F2264E"/>
    <w:rsid w:val="00F244D3"/>
    <w:rsid w:val="00F35E33"/>
    <w:rsid w:val="00F37F19"/>
    <w:rsid w:val="00F45825"/>
    <w:rsid w:val="00F5039B"/>
    <w:rsid w:val="00F53EA3"/>
    <w:rsid w:val="00F541AD"/>
    <w:rsid w:val="00F55EA5"/>
    <w:rsid w:val="00F657DC"/>
    <w:rsid w:val="00F66787"/>
    <w:rsid w:val="00F719EC"/>
    <w:rsid w:val="00F725CB"/>
    <w:rsid w:val="00F74E11"/>
    <w:rsid w:val="00F751D8"/>
    <w:rsid w:val="00F80C02"/>
    <w:rsid w:val="00F82F50"/>
    <w:rsid w:val="00F92681"/>
    <w:rsid w:val="00F92D56"/>
    <w:rsid w:val="00F93768"/>
    <w:rsid w:val="00F93BB6"/>
    <w:rsid w:val="00F9526B"/>
    <w:rsid w:val="00FA2406"/>
    <w:rsid w:val="00FA5208"/>
    <w:rsid w:val="00FA5CED"/>
    <w:rsid w:val="00FB2896"/>
    <w:rsid w:val="00FC1159"/>
    <w:rsid w:val="00FC2B9A"/>
    <w:rsid w:val="00FC3899"/>
    <w:rsid w:val="00FC6B22"/>
    <w:rsid w:val="00FC7AB5"/>
    <w:rsid w:val="00FE2212"/>
    <w:rsid w:val="00FF18A5"/>
    <w:rsid w:val="7235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link w:val="34"/>
    <w:qFormat/>
    <w:uiPriority w:val="1"/>
    <w:pPr>
      <w:snapToGrid w:val="0"/>
      <w:spacing w:before="120" w:beforeLines="50" w:line="300" w:lineRule="auto"/>
      <w:ind w:left="643" w:hanging="643" w:hangingChars="200"/>
      <w:jc w:val="both"/>
      <w:outlineLvl w:val="0"/>
    </w:pPr>
    <w:rPr>
      <w:rFonts w:eastAsia="宋体"/>
      <w:b/>
      <w:bCs/>
      <w:sz w:val="32"/>
      <w:szCs w:val="32"/>
    </w:rPr>
  </w:style>
  <w:style w:type="paragraph" w:styleId="3">
    <w:name w:val="heading 2"/>
    <w:basedOn w:val="1"/>
    <w:qFormat/>
    <w:uiPriority w:val="1"/>
    <w:pPr>
      <w:snapToGrid w:val="0"/>
      <w:spacing w:before="50" w:beforeLines="50" w:line="300" w:lineRule="auto"/>
      <w:ind w:left="450" w:leftChars="250" w:hanging="200" w:hangingChars="200"/>
      <w:jc w:val="both"/>
      <w:outlineLvl w:val="1"/>
    </w:pPr>
    <w:rPr>
      <w:rFonts w:eastAsia="宋体"/>
      <w:b/>
      <w:bCs/>
      <w:sz w:val="28"/>
      <w:szCs w:val="28"/>
    </w:rPr>
  </w:style>
  <w:style w:type="paragraph" w:styleId="4">
    <w:name w:val="heading 3"/>
    <w:basedOn w:val="1"/>
    <w:qFormat/>
    <w:uiPriority w:val="1"/>
    <w:pPr>
      <w:snapToGrid w:val="0"/>
      <w:spacing w:before="50" w:beforeLines="50" w:line="300" w:lineRule="auto"/>
      <w:outlineLvl w:val="2"/>
    </w:pPr>
    <w:rPr>
      <w:rFonts w:eastAsia="宋体"/>
      <w:b/>
      <w:bCs/>
      <w:sz w:val="32"/>
      <w:szCs w:val="24"/>
    </w:rPr>
  </w:style>
  <w:style w:type="paragraph" w:styleId="5">
    <w:name w:val="heading 4"/>
    <w:basedOn w:val="1"/>
    <w:qFormat/>
    <w:uiPriority w:val="1"/>
    <w:pPr>
      <w:snapToGrid w:val="0"/>
      <w:spacing w:before="120" w:beforeLines="50" w:line="300" w:lineRule="auto"/>
      <w:ind w:left="1582" w:leftChars="500" w:hanging="482"/>
      <w:jc w:val="both"/>
      <w:outlineLvl w:val="3"/>
    </w:pPr>
    <w:rPr>
      <w:rFonts w:eastAsia="宋体"/>
      <w:b/>
      <w:bCs/>
      <w:i/>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semiHidden/>
    <w:unhideWhenUsed/>
    <w:qFormat/>
    <w:uiPriority w:val="99"/>
  </w:style>
  <w:style w:type="paragraph" w:styleId="7">
    <w:name w:val="Body Text"/>
    <w:basedOn w:val="1"/>
    <w:qFormat/>
    <w:uiPriority w:val="1"/>
    <w:rPr>
      <w:sz w:val="24"/>
      <w:szCs w:val="24"/>
    </w:rPr>
  </w:style>
  <w:style w:type="paragraph" w:styleId="8">
    <w:name w:val="toc 3"/>
    <w:basedOn w:val="1"/>
    <w:next w:val="1"/>
    <w:autoRedefine/>
    <w:unhideWhenUsed/>
    <w:qFormat/>
    <w:uiPriority w:val="39"/>
    <w:pPr>
      <w:tabs>
        <w:tab w:val="right" w:leader="dot" w:pos="9394"/>
      </w:tabs>
      <w:snapToGrid w:val="0"/>
      <w:spacing w:line="300" w:lineRule="auto"/>
      <w:jc w:val="both"/>
    </w:pPr>
    <w:rPr>
      <w:rFonts w:eastAsia="宋体"/>
      <w:b/>
      <w:sz w:val="24"/>
    </w:rPr>
  </w:style>
  <w:style w:type="paragraph" w:styleId="9">
    <w:name w:val="Balloon Text"/>
    <w:basedOn w:val="1"/>
    <w:link w:val="28"/>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napToGrid w:val="0"/>
      <w:spacing w:after="50" w:afterLines="50"/>
      <w:jc w:val="both"/>
    </w:pPr>
    <w:rPr>
      <w:rFonts w:eastAsia="宋体"/>
      <w:b/>
      <w:bCs/>
      <w:i/>
      <w:sz w:val="24"/>
      <w:szCs w:val="24"/>
    </w:rPr>
  </w:style>
  <w:style w:type="paragraph" w:styleId="13">
    <w:name w:val="toc 4"/>
    <w:basedOn w:val="1"/>
    <w:next w:val="1"/>
    <w:autoRedefine/>
    <w:unhideWhenUsed/>
    <w:qFormat/>
    <w:uiPriority w:val="39"/>
    <w:pPr>
      <w:ind w:left="1260" w:leftChars="600"/>
    </w:pPr>
  </w:style>
  <w:style w:type="paragraph" w:styleId="14">
    <w:name w:val="footnote text"/>
    <w:basedOn w:val="1"/>
    <w:link w:val="33"/>
    <w:semiHidden/>
    <w:unhideWhenUsed/>
    <w:qFormat/>
    <w:uiPriority w:val="99"/>
    <w:pPr>
      <w:snapToGrid w:val="0"/>
    </w:pPr>
    <w:rPr>
      <w:sz w:val="18"/>
      <w:szCs w:val="18"/>
    </w:rPr>
  </w:style>
  <w:style w:type="paragraph" w:styleId="15">
    <w:name w:val="toc 2"/>
    <w:basedOn w:val="1"/>
    <w:qFormat/>
    <w:uiPriority w:val="39"/>
    <w:pPr>
      <w:snapToGrid w:val="0"/>
      <w:spacing w:after="50" w:afterLines="50"/>
      <w:ind w:left="150" w:leftChars="150"/>
      <w:jc w:val="both"/>
    </w:pPr>
    <w:rPr>
      <w:rFonts w:eastAsia="宋体"/>
      <w:b/>
      <w:bCs/>
      <w:sz w:val="24"/>
    </w:rPr>
  </w:style>
  <w:style w:type="paragraph" w:styleId="16">
    <w:name w:val="annotation subject"/>
    <w:basedOn w:val="6"/>
    <w:next w:val="6"/>
    <w:link w:val="31"/>
    <w:semiHidden/>
    <w:unhideWhenUsed/>
    <w:qFormat/>
    <w:uiPriority w:val="99"/>
    <w:rPr>
      <w:b/>
      <w:bCs/>
    </w:rPr>
  </w:style>
  <w:style w:type="character" w:styleId="19">
    <w:name w:val="FollowedHyperlink"/>
    <w:semiHidden/>
    <w:unhideWhenUsed/>
    <w:qFormat/>
    <w:uiPriority w:val="99"/>
    <w:rPr>
      <w:color w:val="800080"/>
      <w:u w:val="single"/>
    </w:rPr>
  </w:style>
  <w:style w:type="character" w:styleId="20">
    <w:name w:val="Hyperlink"/>
    <w:unhideWhenUsed/>
    <w:qFormat/>
    <w:uiPriority w:val="99"/>
    <w:rPr>
      <w:color w:val="0000FF"/>
      <w:u w:val="single"/>
    </w:rPr>
  </w:style>
  <w:style w:type="character" w:styleId="21">
    <w:name w:val="annotation reference"/>
    <w:semiHidden/>
    <w:unhideWhenUsed/>
    <w:qFormat/>
    <w:uiPriority w:val="99"/>
    <w:rPr>
      <w:sz w:val="21"/>
      <w:szCs w:val="21"/>
    </w:rPr>
  </w:style>
  <w:style w:type="character" w:styleId="22">
    <w:name w:val="footnote reference"/>
    <w:semiHidden/>
    <w:unhideWhenUsed/>
    <w:qFormat/>
    <w:uiPriority w:val="99"/>
    <w:rPr>
      <w:vertAlign w:val="superscript"/>
    </w:rPr>
  </w:style>
  <w:style w:type="table" w:customStyle="1" w:styleId="23">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24">
    <w:name w:val="List Paragraph"/>
    <w:basedOn w:val="1"/>
    <w:qFormat/>
    <w:uiPriority w:val="1"/>
    <w:pPr>
      <w:ind w:left="960" w:hanging="360"/>
    </w:pPr>
  </w:style>
  <w:style w:type="paragraph" w:customStyle="1" w:styleId="25">
    <w:name w:val="Table Paragraph"/>
    <w:basedOn w:val="1"/>
    <w:qFormat/>
    <w:uiPriority w:val="1"/>
  </w:style>
  <w:style w:type="character" w:customStyle="1" w:styleId="26">
    <w:name w:val="页眉 字符"/>
    <w:link w:val="11"/>
    <w:qFormat/>
    <w:uiPriority w:val="99"/>
    <w:rPr>
      <w:rFonts w:ascii="Times New Roman" w:hAnsi="Times New Roman" w:eastAsia="Times New Roman" w:cs="Times New Roman"/>
      <w:sz w:val="18"/>
      <w:szCs w:val="18"/>
      <w:lang w:bidi="en-US"/>
    </w:rPr>
  </w:style>
  <w:style w:type="character" w:customStyle="1" w:styleId="27">
    <w:name w:val="页脚 字符"/>
    <w:link w:val="10"/>
    <w:qFormat/>
    <w:uiPriority w:val="99"/>
    <w:rPr>
      <w:rFonts w:ascii="Times New Roman" w:hAnsi="Times New Roman" w:eastAsia="Times New Roman" w:cs="Times New Roman"/>
      <w:sz w:val="18"/>
      <w:szCs w:val="18"/>
      <w:lang w:bidi="en-US"/>
    </w:rPr>
  </w:style>
  <w:style w:type="character" w:customStyle="1" w:styleId="28">
    <w:name w:val="批注框文本 字符"/>
    <w:link w:val="9"/>
    <w:semiHidden/>
    <w:qFormat/>
    <w:uiPriority w:val="99"/>
    <w:rPr>
      <w:rFonts w:ascii="Times New Roman" w:hAnsi="Times New Roman" w:eastAsia="Times New Roman" w:cs="Times New Roman"/>
      <w:sz w:val="18"/>
      <w:szCs w:val="18"/>
      <w:lang w:bidi="en-US"/>
    </w:rPr>
  </w:style>
  <w:style w:type="character" w:customStyle="1" w:styleId="29">
    <w:name w:val="未处理的提及1"/>
    <w:semiHidden/>
    <w:unhideWhenUsed/>
    <w:qFormat/>
    <w:uiPriority w:val="99"/>
    <w:rPr>
      <w:color w:val="605E5C"/>
      <w:shd w:val="clear" w:color="auto" w:fill="E1DFDD"/>
    </w:rPr>
  </w:style>
  <w:style w:type="character" w:customStyle="1" w:styleId="30">
    <w:name w:val="批注文字 字符"/>
    <w:link w:val="6"/>
    <w:semiHidden/>
    <w:qFormat/>
    <w:uiPriority w:val="99"/>
    <w:rPr>
      <w:rFonts w:ascii="Times New Roman" w:hAnsi="Times New Roman" w:eastAsia="Times New Roman" w:cs="Times New Roman"/>
      <w:lang w:bidi="en-US"/>
    </w:rPr>
  </w:style>
  <w:style w:type="character" w:customStyle="1" w:styleId="31">
    <w:name w:val="批注主题 字符"/>
    <w:link w:val="16"/>
    <w:semiHidden/>
    <w:qFormat/>
    <w:uiPriority w:val="99"/>
    <w:rPr>
      <w:rFonts w:ascii="Times New Roman" w:hAnsi="Times New Roman" w:eastAsia="Times New Roman" w:cs="Times New Roman"/>
      <w:b/>
      <w:bCs/>
      <w:lang w:bidi="en-US"/>
    </w:rPr>
  </w:style>
  <w:style w:type="paragraph" w:customStyle="1" w:styleId="32">
    <w:name w:val="Revision"/>
    <w:hidden/>
    <w:semiHidden/>
    <w:qFormat/>
    <w:uiPriority w:val="99"/>
    <w:rPr>
      <w:rFonts w:ascii="Times New Roman" w:hAnsi="Times New Roman" w:eastAsia="Times New Roman" w:cs="Times New Roman"/>
      <w:sz w:val="22"/>
      <w:szCs w:val="22"/>
      <w:lang w:val="en-US" w:eastAsia="en-US" w:bidi="en-US"/>
    </w:rPr>
  </w:style>
  <w:style w:type="character" w:customStyle="1" w:styleId="33">
    <w:name w:val="脚注文本 字符"/>
    <w:link w:val="14"/>
    <w:semiHidden/>
    <w:qFormat/>
    <w:uiPriority w:val="99"/>
    <w:rPr>
      <w:rFonts w:ascii="Times New Roman" w:hAnsi="Times New Roman" w:eastAsia="Times New Roman"/>
      <w:sz w:val="18"/>
      <w:szCs w:val="18"/>
      <w:lang w:eastAsia="en-US" w:bidi="en-US"/>
    </w:rPr>
  </w:style>
  <w:style w:type="character" w:customStyle="1" w:styleId="34">
    <w:name w:val="标题 1 字符"/>
    <w:link w:val="2"/>
    <w:qFormat/>
    <w:uiPriority w:val="9"/>
    <w:rPr>
      <w:rFonts w:ascii="Times New Roman" w:hAnsi="Times New Roman"/>
      <w:b/>
      <w:bCs/>
      <w:sz w:val="32"/>
      <w:szCs w:val="3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4"/>
    <customShpInfo spid="_x0000_s1063"/>
    <customShpInfo spid="_x0000_s1062"/>
    <customShpInfo spid="_x0000_s1060"/>
    <customShpInfo spid="_x0000_s1049"/>
    <customShpInfo spid="_x0000_s1061"/>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8"/>
    <customShpInfo spid="_x0000_s1046"/>
    <customShpInfo spid="_x0000_s1043"/>
    <customShpInfo spid="_x0000_s1041"/>
    <customShpInfo spid="_x0000_s1039"/>
    <customShpInfo spid="_x0000_s1033"/>
    <customShpInfo spid="_x0000_s1038"/>
    <customShpInfo spid="_x0000_s1029"/>
    <customShpInfo spid="_x0000_s1031"/>
    <customShpInfo spid="_x0000_s1040"/>
    <customShpInfo spid="_x0000_s1037"/>
    <customShpInfo spid="_x0000_s1036"/>
    <customShpInfo spid="_x0000_s1035"/>
    <customShpInfo spid="_x0000_s1034"/>
    <customShpInfo spid="_x0000_s1032"/>
    <customShpInfo spid="_x0000_s1042"/>
    <customShpInfo spid="_x0000_s1028"/>
    <customShpInfo spid="_x0000_s1044"/>
    <customShpInfo spid="_x0000_s1027"/>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3FC62-9A71-4A16-9851-B9F64C0148ED}">
  <ds:schemaRefs/>
</ds:datastoreItem>
</file>

<file path=docProps/app.xml><?xml version="1.0" encoding="utf-8"?>
<Properties xmlns="http://schemas.openxmlformats.org/officeDocument/2006/extended-properties" xmlns:vt="http://schemas.openxmlformats.org/officeDocument/2006/docPropsVTypes">
  <Template>Normal</Template>
  <Pages>44</Pages>
  <Words>17735</Words>
  <Characters>20356</Characters>
  <Lines>265</Lines>
  <Paragraphs>74</Paragraphs>
  <TotalTime>329</TotalTime>
  <ScaleCrop>false</ScaleCrop>
  <LinksUpToDate>false</LinksUpToDate>
  <CharactersWithSpaces>20434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2022-03-07T05:14:00Z</dcterms:created>
  <dc:creator>Food and Drug Administration</dc:creator>
  <cp:lastModifiedBy>太极箫客</cp:lastModifiedBy>
  <dcterms:modified xsi:type="dcterms:W3CDTF">2025-08-14T07:16:08Z</dcterms:modified>
  <dc:subject>Final guidance for industry and FDA staff pn postmarketing safety reporting for combination proucts</dc:subject>
  <dc:title>Postmarketing Safety Reporting for Combination Products Final Guidance</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Acrobat PDFMaker 17 for Word</vt:lpwstr>
  </property>
  <property fmtid="{D5CDD505-2E9C-101B-9397-08002B2CF9AE}" pid="4" name="LastSaved">
    <vt:filetime>2021-10-27T00:00:00Z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044AED4FBD7F42DF85D3EC1A29D7E7D0_12</vt:lpwstr>
  </property>
</Properties>
</file>