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39D4D">
      <w:pPr>
        <w:pBdr>
          <w:bottom w:val="single" w:color="auto" w:sz="4" w:space="1"/>
        </w:pBdr>
        <w:adjustRightInd w:val="0"/>
        <w:snapToGrid w:val="0"/>
        <w:spacing w:before="120" w:beforeLines="50" w:line="300" w:lineRule="auto"/>
        <w:jc w:val="center"/>
        <w:rPr>
          <w:b/>
          <w:sz w:val="52"/>
          <w:szCs w:val="21"/>
          <w:lang w:eastAsia="zh-CN"/>
        </w:rPr>
      </w:pPr>
      <w:bookmarkStart w:id="13" w:name="_GoBack"/>
      <w:bookmarkEnd w:id="13"/>
      <w:r>
        <w:rPr>
          <w:rFonts w:eastAsia="宋体" w:cs="宋体"/>
          <w:b/>
          <w:sz w:val="52"/>
          <w:lang w:eastAsia="zh-CN"/>
        </w:rPr>
        <w:t>简化510(k)项目</w:t>
      </w:r>
    </w:p>
    <w:p w14:paraId="0EF69BDF">
      <w:pPr>
        <w:adjustRightInd w:val="0"/>
        <w:snapToGrid w:val="0"/>
        <w:spacing w:before="120" w:beforeLines="50" w:line="300" w:lineRule="auto"/>
        <w:ind w:right="282" w:rightChars="128"/>
        <w:jc w:val="center"/>
        <w:rPr>
          <w:b/>
          <w:sz w:val="52"/>
          <w:szCs w:val="21"/>
          <w:lang w:eastAsia="zh-CN"/>
        </w:rPr>
      </w:pPr>
      <w:r>
        <w:rPr>
          <w:rFonts w:eastAsia="宋体" w:cs="宋体"/>
          <w:b/>
          <w:sz w:val="52"/>
          <w:lang w:eastAsia="zh-CN"/>
        </w:rPr>
        <w:t>行业和美国食品药品监督管理局工作人员指南</w:t>
      </w:r>
    </w:p>
    <w:p w14:paraId="25C66818">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文件发布日期：2019年9月13日</w:t>
      </w:r>
    </w:p>
    <w:p w14:paraId="47942F65">
      <w:pPr>
        <w:adjustRightInd w:val="0"/>
        <w:snapToGrid w:val="0"/>
        <w:spacing w:before="120" w:beforeLines="50" w:line="300" w:lineRule="auto"/>
        <w:jc w:val="center"/>
        <w:rPr>
          <w:b/>
          <w:sz w:val="24"/>
          <w:szCs w:val="24"/>
          <w:lang w:eastAsia="zh-CN"/>
        </w:rPr>
      </w:pPr>
      <w:r>
        <w:rPr>
          <w:rFonts w:eastAsia="宋体" w:cs="宋体"/>
          <w:b/>
          <w:sz w:val="24"/>
          <w:lang w:eastAsia="zh-CN"/>
        </w:rPr>
        <w:t>本文件取代1998年3月20日发布的《新510(k)范例 - 在上市前通知中论证实质等同性的替代方法》中的简化510(k)内容。</w:t>
      </w:r>
    </w:p>
    <w:p w14:paraId="1AEB04E5">
      <w:pPr>
        <w:pStyle w:val="6"/>
        <w:adjustRightInd w:val="0"/>
        <w:snapToGrid w:val="0"/>
        <w:spacing w:before="120" w:beforeLines="50" w:line="300" w:lineRule="auto"/>
        <w:jc w:val="both"/>
        <w:rPr>
          <w:sz w:val="21"/>
          <w:szCs w:val="21"/>
        </w:rPr>
      </w:pPr>
      <w:r>
        <w:rPr>
          <w:rFonts w:eastAsia="宋体" w:cs="宋体"/>
          <w:sz w:val="21"/>
        </w:rPr>
        <w:t>如对本文件内容有任何疑问，请联系ORP：监管项目办公室，DRP1：申报支持部，上市前通知和分类小组，发送电子邮件至</w:t>
      </w:r>
      <w:r>
        <w:rPr>
          <w:rFonts w:eastAsia="宋体" w:cs="宋体"/>
          <w:color w:val="0000FF"/>
          <w:sz w:val="21"/>
          <w:u w:val="single"/>
        </w:rPr>
        <w:t>510K_Program@fda.hhs.gov</w:t>
      </w:r>
      <w:r>
        <w:rPr>
          <w:rFonts w:eastAsia="宋体" w:cs="宋体"/>
          <w:sz w:val="21"/>
        </w:rPr>
        <w:t>或致电301-796-5640。</w:t>
      </w:r>
    </w:p>
    <w:p w14:paraId="45277871">
      <w:pPr>
        <w:pStyle w:val="6"/>
        <w:adjustRightInd w:val="0"/>
        <w:snapToGrid w:val="0"/>
        <w:spacing w:before="120" w:beforeLines="50" w:line="300" w:lineRule="auto"/>
        <w:jc w:val="both"/>
        <w:rPr>
          <w:sz w:val="21"/>
          <w:szCs w:val="21"/>
          <w:lang w:eastAsia="zh-CN"/>
        </w:rPr>
      </w:pPr>
      <w:r>
        <w:rPr>
          <w:rFonts w:eastAsia="宋体" w:cs="宋体"/>
          <w:sz w:val="21"/>
          <w:lang w:eastAsia="zh-CN"/>
        </w:rPr>
        <w:t>对于本文件中有关CBER监管器械的问题，请致电1-800-835-4709或240-402-8010，联系交流、外联和发展办公室（OCOD）。</w:t>
      </w:r>
    </w:p>
    <w:p w14:paraId="16446A2F">
      <w:pPr>
        <w:adjustRightInd w:val="0"/>
        <w:snapToGrid w:val="0"/>
        <w:spacing w:before="2400" w:beforeLines="1000" w:line="276" w:lineRule="auto"/>
        <w:rPr>
          <w:rFonts w:eastAsiaTheme="minorEastAsia"/>
          <w:b/>
          <w:sz w:val="21"/>
          <w:szCs w:val="21"/>
          <w:lang w:eastAsia="zh-CN"/>
        </w:rPr>
      </w:pPr>
    </w:p>
    <w:p w14:paraId="59AA4C76">
      <w:pPr>
        <w:adjustRightInd w:val="0"/>
        <w:snapToGrid w:val="0"/>
        <w:spacing w:before="36" w:beforeLines="15" w:line="276" w:lineRule="auto"/>
        <w:jc w:val="right"/>
        <w:rPr>
          <w:b/>
          <w:sz w:val="21"/>
          <w:szCs w:val="21"/>
          <w:lang w:eastAsia="zh-CN"/>
        </w:rPr>
      </w:pPr>
    </w:p>
    <w:tbl>
      <w:tblPr>
        <w:tblStyle w:val="14"/>
        <w:tblW w:w="5000" w:type="pct"/>
        <w:tblInd w:w="0" w:type="dxa"/>
        <w:tblLayout w:type="autofit"/>
        <w:tblCellMar>
          <w:top w:w="0" w:type="dxa"/>
          <w:left w:w="113" w:type="dxa"/>
          <w:bottom w:w="0" w:type="dxa"/>
          <w:right w:w="113" w:type="dxa"/>
        </w:tblCellMar>
      </w:tblPr>
      <w:tblGrid>
        <w:gridCol w:w="4648"/>
        <w:gridCol w:w="4649"/>
      </w:tblGrid>
      <w:tr w14:paraId="190FFE52">
        <w:tblPrEx>
          <w:tblCellMar>
            <w:top w:w="0" w:type="dxa"/>
            <w:left w:w="113" w:type="dxa"/>
            <w:bottom w:w="0" w:type="dxa"/>
            <w:right w:w="113" w:type="dxa"/>
          </w:tblCellMar>
        </w:tblPrEx>
        <w:trPr>
          <w:trHeight w:val="293" w:hRule="atLeast"/>
        </w:trPr>
        <w:tc>
          <w:tcPr>
            <w:tcW w:w="2500" w:type="pct"/>
            <w:vAlign w:val="center"/>
          </w:tcPr>
          <w:p w14:paraId="75443E54">
            <w:pPr>
              <w:pStyle w:val="16"/>
              <w:adjustRightInd w:val="0"/>
              <w:snapToGrid w:val="0"/>
              <w:spacing w:before="36" w:beforeLines="15" w:line="276" w:lineRule="auto"/>
              <w:jc w:val="both"/>
              <w:rPr>
                <w:sz w:val="21"/>
                <w:szCs w:val="21"/>
              </w:rPr>
            </w:pPr>
            <w:r>
              <w:rPr>
                <w:rFonts w:eastAsia="宋体" w:cs="宋体"/>
                <w:sz w:val="21"/>
                <w:lang w:eastAsia="zh-CN" w:bidi="ar-SA"/>
              </w:rPr>
              <w:drawing>
                <wp:inline distT="0" distB="0" distL="0" distR="0">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2500" w:type="pct"/>
          </w:tcPr>
          <w:p w14:paraId="56181932">
            <w:pPr>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758B7697">
            <w:pPr>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美国食品药品监督管理局</w:t>
            </w:r>
          </w:p>
          <w:p w14:paraId="0251807C">
            <w:pPr>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医疗器械和</w:t>
            </w:r>
            <w:r>
              <w:rPr>
                <w:rFonts w:hint="eastAsia" w:eastAsia="宋体" w:cs="宋体"/>
                <w:b/>
                <w:sz w:val="21"/>
                <w:lang w:eastAsia="zh-CN"/>
              </w:rPr>
              <w:t>辐射</w:t>
            </w:r>
            <w:r>
              <w:rPr>
                <w:rFonts w:eastAsia="宋体" w:cs="宋体"/>
                <w:b/>
                <w:sz w:val="21"/>
                <w:lang w:eastAsia="zh-CN"/>
              </w:rPr>
              <w:t>健康中心</w:t>
            </w:r>
          </w:p>
          <w:p w14:paraId="0BBAD1D1">
            <w:pPr>
              <w:adjustRightInd w:val="0"/>
              <w:snapToGrid w:val="0"/>
              <w:spacing w:before="36" w:beforeLines="15" w:line="276" w:lineRule="auto"/>
              <w:jc w:val="right"/>
              <w:rPr>
                <w:sz w:val="21"/>
                <w:szCs w:val="21"/>
                <w:lang w:eastAsia="zh-CN"/>
              </w:rPr>
            </w:pPr>
            <w:r>
              <w:rPr>
                <w:rFonts w:eastAsia="宋体" w:cs="宋体"/>
                <w:b/>
                <w:sz w:val="21"/>
                <w:lang w:eastAsia="zh-CN"/>
              </w:rPr>
              <w:t>生物制品评价</w:t>
            </w:r>
            <w:r>
              <w:rPr>
                <w:rFonts w:hint="eastAsia" w:eastAsia="宋体" w:cs="宋体"/>
                <w:b/>
                <w:sz w:val="21"/>
                <w:lang w:eastAsia="zh-CN"/>
              </w:rPr>
              <w:t>与</w:t>
            </w:r>
            <w:r>
              <w:rPr>
                <w:rFonts w:eastAsia="宋体" w:cs="宋体"/>
                <w:b/>
                <w:sz w:val="21"/>
                <w:lang w:eastAsia="zh-CN"/>
              </w:rPr>
              <w:t>研究中心</w:t>
            </w:r>
          </w:p>
        </w:tc>
      </w:tr>
    </w:tbl>
    <w:p w14:paraId="159C4D86">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2856CBAF">
      <w:pPr>
        <w:adjustRightInd w:val="0"/>
        <w:snapToGrid w:val="0"/>
        <w:spacing w:before="120" w:beforeLines="50" w:line="300" w:lineRule="auto"/>
        <w:jc w:val="center"/>
        <w:rPr>
          <w:b/>
          <w:sz w:val="44"/>
          <w:szCs w:val="44"/>
        </w:rPr>
      </w:pPr>
      <w:r>
        <w:rPr>
          <w:rFonts w:eastAsia="宋体" w:cs="宋体"/>
          <w:b/>
          <w:sz w:val="44"/>
        </w:rPr>
        <w:t>前言</w:t>
      </w:r>
    </w:p>
    <w:p w14:paraId="24D0CB09">
      <w:pPr>
        <w:adjustRightInd w:val="0"/>
        <w:snapToGrid w:val="0"/>
        <w:spacing w:before="120" w:beforeLines="50" w:line="300" w:lineRule="auto"/>
        <w:jc w:val="both"/>
        <w:rPr>
          <w:b/>
          <w:sz w:val="28"/>
          <w:szCs w:val="28"/>
        </w:rPr>
      </w:pPr>
      <w:r>
        <w:rPr>
          <w:rFonts w:eastAsia="宋体" w:cs="宋体"/>
          <w:b/>
          <w:sz w:val="28"/>
        </w:rPr>
        <w:t>公众意见</w:t>
      </w:r>
    </w:p>
    <w:p w14:paraId="0A2045E0">
      <w:pPr>
        <w:pStyle w:val="6"/>
        <w:adjustRightInd w:val="0"/>
        <w:snapToGrid w:val="0"/>
        <w:spacing w:before="120" w:beforeLines="50" w:line="300" w:lineRule="auto"/>
        <w:jc w:val="both"/>
        <w:rPr>
          <w:sz w:val="21"/>
          <w:szCs w:val="21"/>
          <w:lang w:eastAsia="zh-CN"/>
        </w:rPr>
      </w:pPr>
      <w:r>
        <w:rPr>
          <w:rFonts w:hint="eastAsia" w:eastAsia="宋体" w:cs="宋体"/>
          <w:sz w:val="21"/>
        </w:rPr>
        <w:t>电子版意见和建议</w:t>
      </w:r>
      <w:r>
        <w:rPr>
          <w:rFonts w:eastAsia="宋体" w:cs="宋体"/>
          <w:sz w:val="21"/>
        </w:rPr>
        <w:t>可随时提交至</w:t>
      </w:r>
      <w:r>
        <w:rPr>
          <w:rFonts w:eastAsia="宋体" w:cs="宋体"/>
          <w:color w:val="0000FF"/>
          <w:sz w:val="21"/>
          <w:u w:val="single"/>
        </w:rPr>
        <w:t>http://www.regulations.gov</w:t>
      </w:r>
      <w:r>
        <w:rPr>
          <w:rFonts w:eastAsia="宋体" w:cs="宋体"/>
          <w:sz w:val="21"/>
        </w:rPr>
        <w:t>，供</w:t>
      </w:r>
      <w:r>
        <w:rPr>
          <w:rFonts w:hint="eastAsia" w:eastAsia="宋体" w:cs="宋体"/>
          <w:sz w:val="21"/>
          <w:lang w:eastAsia="zh-CN"/>
        </w:rPr>
        <w:t>FDA</w:t>
      </w:r>
      <w:r>
        <w:rPr>
          <w:rFonts w:eastAsia="宋体" w:cs="宋体"/>
          <w:sz w:val="21"/>
        </w:rPr>
        <w:t>考虑。亦可将书面意见提交至：美国食品药品监督管理局备案文件管理部，</w:t>
      </w:r>
      <w:r>
        <w:rPr>
          <w:rFonts w:hint="eastAsia" w:eastAsia="宋体" w:cs="宋体"/>
          <w:sz w:val="21"/>
        </w:rPr>
        <w:t>地址为</w:t>
      </w:r>
      <w:r>
        <w:rPr>
          <w:rFonts w:eastAsia="宋体" w:cs="宋体"/>
          <w:sz w:val="21"/>
        </w:rPr>
        <w:t>5630 Fishers Lane, Room 1061, (HFA-305), Rockville, MD 20852</w:t>
      </w:r>
      <w:r>
        <w:rPr>
          <w:rFonts w:hint="eastAsia" w:eastAsia="宋体" w:cs="宋体"/>
          <w:sz w:val="21"/>
        </w:rPr>
        <w:t>。</w:t>
      </w:r>
      <w:r>
        <w:rPr>
          <w:rFonts w:eastAsia="宋体" w:cs="宋体"/>
          <w:sz w:val="21"/>
          <w:lang w:eastAsia="zh-CN"/>
        </w:rPr>
        <w:t>所有意见均应注明备案文件编号FDA-2019-D-4015。在下次修订或更新本文件时，FDA将考虑实施该意见。</w:t>
      </w:r>
    </w:p>
    <w:p w14:paraId="13254BD0">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18DA2F33">
      <w:pPr>
        <w:adjustRightInd w:val="0"/>
        <w:snapToGrid w:val="0"/>
        <w:spacing w:before="120" w:beforeLines="50" w:line="300" w:lineRule="auto"/>
        <w:jc w:val="both"/>
        <w:rPr>
          <w:b/>
          <w:sz w:val="24"/>
          <w:szCs w:val="28"/>
          <w:lang w:eastAsia="zh-CN"/>
        </w:rPr>
      </w:pPr>
      <w:r>
        <w:rPr>
          <w:b/>
          <w:sz w:val="24"/>
          <w:szCs w:val="28"/>
          <w:lang w:eastAsia="zh-CN"/>
        </w:rPr>
        <w:t>CDRH</w:t>
      </w:r>
    </w:p>
    <w:p w14:paraId="055179B1">
      <w:pPr>
        <w:pStyle w:val="6"/>
        <w:adjustRightInd w:val="0"/>
        <w:snapToGrid w:val="0"/>
        <w:spacing w:before="120" w:beforeLines="50" w:line="300" w:lineRule="auto"/>
        <w:jc w:val="both"/>
        <w:rPr>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获取本指南的副本。请在请求中注明文件编号905和指南的完整标题。</w:t>
      </w:r>
    </w:p>
    <w:p w14:paraId="21B63DB0">
      <w:pPr>
        <w:adjustRightInd w:val="0"/>
        <w:snapToGrid w:val="0"/>
        <w:spacing w:before="120" w:beforeLines="50" w:line="300" w:lineRule="auto"/>
        <w:jc w:val="both"/>
        <w:rPr>
          <w:b/>
          <w:sz w:val="24"/>
          <w:szCs w:val="28"/>
        </w:rPr>
      </w:pPr>
      <w:r>
        <w:rPr>
          <w:b/>
          <w:sz w:val="24"/>
          <w:szCs w:val="28"/>
        </w:rPr>
        <w:t>CBER</w:t>
      </w:r>
    </w:p>
    <w:p w14:paraId="6769603A">
      <w:pPr>
        <w:pStyle w:val="6"/>
        <w:adjustRightInd w:val="0"/>
        <w:snapToGrid w:val="0"/>
        <w:spacing w:before="120" w:beforeLines="50" w:line="300" w:lineRule="auto"/>
        <w:jc w:val="both"/>
        <w:rPr>
          <w:sz w:val="21"/>
          <w:szCs w:val="21"/>
        </w:rPr>
      </w:pPr>
      <w:r>
        <w:rPr>
          <w:rFonts w:hint="eastAsia" w:eastAsia="宋体" w:cs="宋体"/>
          <w:sz w:val="21"/>
          <w:lang w:eastAsia="zh-CN"/>
        </w:rPr>
        <w:t>您</w:t>
      </w:r>
      <w:r>
        <w:rPr>
          <w:rFonts w:eastAsia="宋体" w:cs="宋体"/>
          <w:sz w:val="21"/>
        </w:rPr>
        <w:t>可通过以下方式获取更多指南副本：寄送信函至：生物制品评价与研究中心（CBER），交流、外联和发展办公室（OCOD），10903 New Hampshire Ave., WO71, Room 3128, Silver Spring, MD 20903；或致电1-800-835-4709或240-402-8010；或发送电子邮件至</w:t>
      </w:r>
      <w:r>
        <w:rPr>
          <w:rFonts w:eastAsia="宋体" w:cs="宋体"/>
          <w:color w:val="0000FF"/>
          <w:sz w:val="21"/>
          <w:u w:val="single"/>
        </w:rPr>
        <w:t>ocod@fda.hhs.gov</w:t>
      </w:r>
      <w:r>
        <w:rPr>
          <w:rFonts w:eastAsia="宋体" w:cs="宋体"/>
          <w:sz w:val="21"/>
        </w:rPr>
        <w:t>；或者登录</w:t>
      </w:r>
      <w:r>
        <w:rPr>
          <w:rFonts w:eastAsia="宋体" w:cs="宋体"/>
          <w:color w:val="0000FF"/>
          <w:sz w:val="21"/>
          <w:u w:val="single"/>
        </w:rPr>
        <w:t>https://www.fda.gov/vaccines-blood-biologics/guidance-compliance-regulatory-information-biologics/biologics-guidance</w:t>
      </w:r>
      <w:r>
        <w:rPr>
          <w:rFonts w:eastAsia="宋体" w:cs="宋体"/>
          <w:sz w:val="21"/>
        </w:rPr>
        <w:t>。</w:t>
      </w:r>
    </w:p>
    <w:p w14:paraId="509D825C">
      <w:pPr>
        <w:adjustRightInd w:val="0"/>
        <w:snapToGrid w:val="0"/>
        <w:spacing w:before="120" w:beforeLines="50" w:line="300" w:lineRule="auto"/>
        <w:jc w:val="both"/>
        <w:rPr>
          <w:b/>
          <w:sz w:val="21"/>
          <w:szCs w:val="21"/>
        </w:rPr>
      </w:pPr>
      <w:r>
        <w:rPr>
          <w:rFonts w:eastAsia="宋体" w:cs="宋体"/>
          <w:b/>
          <w:sz w:val="21"/>
        </w:rPr>
        <w:br w:type="page"/>
      </w:r>
    </w:p>
    <w:p w14:paraId="459EF5D6">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简化510(k)项目</w:t>
      </w:r>
    </w:p>
    <w:p w14:paraId="7E49FA97">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tbl>
      <w:tblPr>
        <w:tblStyle w:val="14"/>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0B23A87F">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771F699D">
            <w:pPr>
              <w:pStyle w:val="6"/>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本指南代表食品药品监督管理局（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7203B85F">
      <w:pPr>
        <w:pStyle w:val="6"/>
        <w:adjustRightInd w:val="0"/>
        <w:snapToGrid w:val="0"/>
        <w:spacing w:before="120" w:beforeLines="50" w:line="300" w:lineRule="auto"/>
        <w:ind w:left="843" w:hanging="843" w:hangingChars="300"/>
        <w:jc w:val="both"/>
        <w:outlineLvl w:val="0"/>
        <w:rPr>
          <w:b/>
          <w:sz w:val="28"/>
          <w:szCs w:val="21"/>
          <w:lang w:eastAsia="zh-CN"/>
        </w:rPr>
      </w:pPr>
      <w:r>
        <w:rPr>
          <w:rFonts w:eastAsia="宋体" w:cs="宋体"/>
          <w:b/>
          <w:sz w:val="28"/>
          <w:lang w:eastAsia="zh-CN"/>
        </w:rPr>
        <w:t>I.</w:t>
      </w:r>
      <w:r>
        <w:rPr>
          <w:rFonts w:eastAsia="宋体" w:cs="宋体"/>
          <w:b/>
          <w:lang w:eastAsia="zh-CN"/>
        </w:rPr>
        <w:tab/>
      </w:r>
      <w:r>
        <w:rPr>
          <w:rFonts w:eastAsia="宋体" w:cs="宋体"/>
          <w:b/>
          <w:sz w:val="28"/>
          <w:lang w:eastAsia="zh-CN"/>
        </w:rPr>
        <w:t>引言</w:t>
      </w:r>
    </w:p>
    <w:p w14:paraId="13C5031C">
      <w:pPr>
        <w:pStyle w:val="6"/>
        <w:adjustRightInd w:val="0"/>
        <w:snapToGrid w:val="0"/>
        <w:spacing w:before="120" w:beforeLines="50" w:line="300" w:lineRule="auto"/>
        <w:jc w:val="both"/>
        <w:rPr>
          <w:sz w:val="21"/>
          <w:szCs w:val="21"/>
          <w:lang w:eastAsia="zh-CN"/>
        </w:rPr>
      </w:pPr>
      <w:r>
        <w:rPr>
          <w:rFonts w:eastAsia="宋体" w:cs="宋体"/>
          <w:sz w:val="21"/>
          <w:lang w:eastAsia="zh-CN"/>
        </w:rPr>
        <w:t>本指南就上市前通知（510(k)）中用于论证实质等同性的可选方法提供了建议。简化510(k)项目使用指南文件、特殊控制和/或自愿共识标准，以便于FDA对510(k)申请进行上市前审查。本指南文件中描述的替代方法旨在便于制造商准备510(k)申请并由FDA进行审查。FDA认为，该自愿性项目可在保护公众健康的同时节约行业和FDA资源，且不会改变实质等同的法定标准。</w:t>
      </w:r>
    </w:p>
    <w:p w14:paraId="0815008C">
      <w:pPr>
        <w:pStyle w:val="6"/>
        <w:adjustRightInd w:val="0"/>
        <w:snapToGrid w:val="0"/>
        <w:spacing w:before="120" w:beforeLines="50" w:line="300" w:lineRule="auto"/>
        <w:jc w:val="both"/>
        <w:rPr>
          <w:sz w:val="21"/>
          <w:szCs w:val="21"/>
          <w:lang w:eastAsia="zh-CN"/>
        </w:rPr>
      </w:pPr>
      <w:r>
        <w:rPr>
          <w:rFonts w:eastAsia="宋体" w:cs="宋体"/>
          <w:sz w:val="21"/>
          <w:lang w:eastAsia="zh-CN"/>
        </w:rPr>
        <w:t>请登录</w:t>
      </w:r>
      <w:r>
        <w:rPr>
          <w:rFonts w:eastAsia="宋体" w:cs="宋体"/>
          <w:color w:val="0000FF"/>
          <w:sz w:val="21"/>
          <w:u w:val="single"/>
          <w:lang w:eastAsia="zh-CN"/>
        </w:rPr>
        <w:t>FDA共识标准数据库</w:t>
      </w:r>
      <w:r>
        <w:rPr>
          <w:rFonts w:eastAsia="宋体" w:cs="宋体"/>
          <w:sz w:val="21"/>
          <w:lang w:eastAsia="zh-CN"/>
        </w:rPr>
        <w:t>获取在本文中所引用的现行版FDA认可的标准。</w:t>
      </w:r>
      <w:r>
        <w:rPr>
          <w:rFonts w:eastAsia="宋体" w:cs="宋体"/>
          <w:sz w:val="21"/>
          <w:vertAlign w:val="superscript"/>
          <w:lang w:eastAsia="zh-CN"/>
        </w:rPr>
        <w:t>1</w:t>
      </w:r>
      <w:r>
        <w:rPr>
          <w:rFonts w:eastAsia="宋体" w:cs="宋体"/>
          <w:sz w:val="21"/>
          <w:lang w:eastAsia="zh-CN"/>
        </w:rPr>
        <w:t>关于在监管申请中使用共识标准的更多信息，请参见FDA指南《</w:t>
      </w:r>
      <w:r>
        <w:rPr>
          <w:rFonts w:eastAsia="宋体" w:cs="宋体"/>
          <w:color w:val="0000FF"/>
          <w:sz w:val="21"/>
          <w:u w:val="single"/>
          <w:lang w:eastAsia="zh-CN"/>
        </w:rPr>
        <w:t>自愿共识标准在医疗器械上市前申请中的合理使用</w:t>
      </w:r>
      <w:r>
        <w:rPr>
          <w:rFonts w:eastAsia="宋体" w:cs="宋体"/>
          <w:sz w:val="21"/>
          <w:lang w:eastAsia="zh-CN"/>
        </w:rPr>
        <w:t>》</w:t>
      </w:r>
      <w:r>
        <w:rPr>
          <w:rFonts w:eastAsia="宋体" w:cs="宋体"/>
          <w:sz w:val="21"/>
          <w:vertAlign w:val="superscript"/>
          <w:lang w:eastAsia="zh-CN"/>
        </w:rPr>
        <w:t xml:space="preserve"> 2</w:t>
      </w:r>
      <w:r>
        <w:rPr>
          <w:rFonts w:eastAsia="宋体" w:cs="宋体"/>
          <w:sz w:val="21"/>
          <w:lang w:eastAsia="zh-CN"/>
        </w:rPr>
        <w:t xml:space="preserve"> 和《</w:t>
      </w:r>
      <w:r>
        <w:rPr>
          <w:rFonts w:eastAsia="宋体" w:cs="宋体"/>
          <w:color w:val="0000FF"/>
          <w:sz w:val="21"/>
          <w:u w:val="single"/>
          <w:lang w:eastAsia="zh-CN"/>
        </w:rPr>
        <w:t>CBER审查的监管申请中的标准制定和标准使用</w:t>
      </w:r>
      <w:r>
        <w:rPr>
          <w:rFonts w:eastAsia="宋体" w:cs="宋体"/>
          <w:sz w:val="21"/>
          <w:lang w:eastAsia="zh-CN"/>
        </w:rPr>
        <w:t>》。</w:t>
      </w:r>
      <w:r>
        <w:rPr>
          <w:rFonts w:eastAsia="宋体" w:cs="宋体"/>
          <w:sz w:val="21"/>
          <w:vertAlign w:val="superscript"/>
          <w:lang w:eastAsia="zh-CN"/>
        </w:rPr>
        <w:t>3</w:t>
      </w:r>
    </w:p>
    <w:p w14:paraId="28C2B741">
      <w:pPr>
        <w:pStyle w:val="6"/>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w:t>
      </w:r>
    </w:p>
    <w:p w14:paraId="50FCFB86">
      <w:pPr>
        <w:pStyle w:val="6"/>
        <w:adjustRightInd w:val="0"/>
        <w:snapToGrid w:val="0"/>
        <w:spacing w:before="3600" w:beforeLines="1500" w:line="300" w:lineRule="auto"/>
        <w:jc w:val="both"/>
        <w:rPr>
          <w:rFonts w:eastAsiaTheme="minorEastAsia"/>
          <w:sz w:val="21"/>
          <w:szCs w:val="21"/>
          <w:lang w:eastAsia="zh-CN"/>
        </w:rPr>
      </w:pPr>
      <w:r>
        <w:rPr>
          <w:rFonts w:eastAsia="宋体" w:cs="宋体"/>
          <w:sz w:val="21"/>
        </w:rPr>
        <w:t>____________________</w:t>
      </w:r>
    </w:p>
    <w:p w14:paraId="144A2564">
      <w:pPr>
        <w:wordWrap w:val="0"/>
        <w:adjustRightInd w:val="0"/>
        <w:snapToGrid w:val="0"/>
        <w:spacing w:before="36" w:beforeLines="15" w:line="276" w:lineRule="auto"/>
        <w:jc w:val="both"/>
        <w:rPr>
          <w:sz w:val="18"/>
          <w:szCs w:val="21"/>
        </w:rPr>
      </w:pPr>
      <w:r>
        <w:rPr>
          <w:sz w:val="18"/>
          <w:szCs w:val="21"/>
          <w:vertAlign w:val="superscript"/>
        </w:rPr>
        <w:t>1</w:t>
      </w:r>
      <w:bookmarkStart w:id="0" w:name="_bookmark0"/>
      <w:bookmarkEnd w:id="0"/>
      <w:r>
        <w:rPr>
          <w:sz w:val="18"/>
          <w:szCs w:val="21"/>
        </w:rPr>
        <w:t xml:space="preserve"> </w:t>
      </w:r>
      <w:r>
        <w:rPr>
          <w:color w:val="0000FF"/>
          <w:sz w:val="18"/>
          <w:szCs w:val="21"/>
          <w:u w:val="single" w:color="0000FF"/>
        </w:rPr>
        <w:t>https://www.accessdata.fda.gov/scripts/cdrh/cfdocs/cfStandards/search.cfm</w:t>
      </w:r>
      <w:r>
        <w:rPr>
          <w:sz w:val="18"/>
          <w:szCs w:val="21"/>
        </w:rPr>
        <w:t>.</w:t>
      </w:r>
    </w:p>
    <w:p w14:paraId="7B891B68">
      <w:pPr>
        <w:wordWrap w:val="0"/>
        <w:adjustRightInd w:val="0"/>
        <w:snapToGrid w:val="0"/>
        <w:spacing w:before="36" w:beforeLines="15" w:line="276" w:lineRule="auto"/>
        <w:jc w:val="both"/>
        <w:rPr>
          <w:sz w:val="18"/>
          <w:szCs w:val="21"/>
        </w:rPr>
      </w:pPr>
      <w:r>
        <w:rPr>
          <w:sz w:val="18"/>
          <w:szCs w:val="21"/>
          <w:vertAlign w:val="superscript"/>
        </w:rPr>
        <w:t>2</w:t>
      </w:r>
      <w:bookmarkStart w:id="1" w:name="_bookmark1"/>
      <w:bookmarkEnd w:id="1"/>
      <w:r>
        <w:rPr>
          <w:sz w:val="18"/>
          <w:szCs w:val="21"/>
        </w:rPr>
        <w:t xml:space="preserve"> </w:t>
      </w:r>
      <w:r>
        <w:rPr>
          <w:color w:val="0000FF"/>
          <w:sz w:val="18"/>
          <w:szCs w:val="21"/>
          <w:u w:val="single" w:color="0000FF"/>
        </w:rPr>
        <w:t>https://www.fda.gov/regulatory-information/search-fda-guidance-documents/appropriate-use-voluntary-</w:t>
      </w:r>
      <w:bookmarkStart w:id="2" w:name="_bookmark2"/>
      <w:bookmarkEnd w:id="2"/>
      <w:r>
        <w:rPr>
          <w:color w:val="0000FF"/>
          <w:sz w:val="18"/>
          <w:szCs w:val="21"/>
          <w:u w:val="single" w:color="0000FF"/>
        </w:rPr>
        <w:t>consensus-standards-premarket-submissions-medical-devices</w:t>
      </w:r>
      <w:r>
        <w:rPr>
          <w:sz w:val="18"/>
          <w:szCs w:val="21"/>
        </w:rPr>
        <w:t>.</w:t>
      </w:r>
    </w:p>
    <w:p w14:paraId="55ED59D1">
      <w:pPr>
        <w:wordWrap w:val="0"/>
        <w:adjustRightInd w:val="0"/>
        <w:snapToGrid w:val="0"/>
        <w:spacing w:before="36" w:beforeLines="15" w:line="276" w:lineRule="auto"/>
        <w:jc w:val="both"/>
        <w:rPr>
          <w:b/>
          <w:sz w:val="21"/>
          <w:szCs w:val="21"/>
        </w:rPr>
      </w:pPr>
      <w:r>
        <w:rPr>
          <w:sz w:val="18"/>
          <w:szCs w:val="21"/>
          <w:vertAlign w:val="superscript"/>
        </w:rPr>
        <w:t>3</w:t>
      </w:r>
      <w:r>
        <w:rPr>
          <w:sz w:val="18"/>
          <w:szCs w:val="21"/>
        </w:rPr>
        <w:t xml:space="preserve"> </w:t>
      </w:r>
      <w:r>
        <w:rPr>
          <w:color w:val="0000FF"/>
          <w:sz w:val="18"/>
          <w:szCs w:val="21"/>
          <w:u w:val="single" w:color="0000FF"/>
        </w:rPr>
        <w:t>https://www.fda.gov/regulatory-information/search-fda-guidance-documents/standards-development-and-use-standards-regulatory-submissions-reviewed-center-biologics-evaluation</w:t>
      </w:r>
      <w:r>
        <w:rPr>
          <w:sz w:val="18"/>
          <w:szCs w:val="21"/>
        </w:rPr>
        <w:t>.</w:t>
      </w:r>
      <w:r>
        <w:rPr>
          <w:rFonts w:eastAsia="宋体" w:cs="宋体"/>
          <w:b/>
          <w:sz w:val="21"/>
        </w:rPr>
        <w:br w:type="page"/>
      </w:r>
    </w:p>
    <w:p w14:paraId="0D9B9CA4">
      <w:pPr>
        <w:pStyle w:val="6"/>
        <w:adjustRightInd w:val="0"/>
        <w:snapToGrid w:val="0"/>
        <w:spacing w:before="120" w:beforeLines="50" w:line="300" w:lineRule="auto"/>
        <w:ind w:left="843" w:hanging="843" w:hangingChars="300"/>
        <w:jc w:val="both"/>
        <w:outlineLvl w:val="0"/>
        <w:rPr>
          <w:b/>
          <w:sz w:val="28"/>
          <w:szCs w:val="21"/>
          <w:lang w:eastAsia="zh-CN"/>
        </w:rPr>
      </w:pPr>
      <w:r>
        <w:rPr>
          <w:rFonts w:eastAsia="宋体" w:cs="宋体"/>
          <w:b/>
          <w:sz w:val="28"/>
          <w:lang w:eastAsia="zh-CN"/>
        </w:rPr>
        <w:t>II.</w:t>
      </w:r>
      <w:r>
        <w:rPr>
          <w:rFonts w:eastAsia="宋体" w:cs="宋体"/>
          <w:b/>
          <w:lang w:eastAsia="zh-CN"/>
        </w:rPr>
        <w:tab/>
      </w:r>
      <w:r>
        <w:rPr>
          <w:rFonts w:eastAsia="宋体" w:cs="宋体"/>
          <w:b/>
          <w:sz w:val="28"/>
          <w:lang w:eastAsia="zh-CN"/>
        </w:rPr>
        <w:t>背景</w:t>
      </w:r>
    </w:p>
    <w:p w14:paraId="25D500C5">
      <w:pPr>
        <w:pStyle w:val="6"/>
        <w:adjustRightInd w:val="0"/>
        <w:snapToGrid w:val="0"/>
        <w:spacing w:before="120" w:beforeLines="50" w:line="300" w:lineRule="auto"/>
        <w:jc w:val="both"/>
        <w:rPr>
          <w:sz w:val="21"/>
          <w:szCs w:val="21"/>
          <w:lang w:eastAsia="zh-CN"/>
        </w:rPr>
      </w:pPr>
      <w:r>
        <w:rPr>
          <w:rFonts w:eastAsia="宋体" w:cs="宋体"/>
          <w:sz w:val="21"/>
          <w:lang w:eastAsia="zh-CN"/>
        </w:rPr>
        <w:t>根据《联邦食品、药品和化妆品法案》（《FD&amp;C法案》）510(k)章节的规定，凡需在FDA进行注册登记且拟将器械引入州际贸易进行商业分销的人士，均需在商业分销开始前至少90天向FDA提交510(k)申请。FDA于1998年制定了简化510(k)项目，并在指南文件《新510(k)范例 - 在上市前通知中论证实质等同性的替代方法》中描述了该项目和政策。简化510(k)项目旨在根据指南文件、特殊控制和/或自愿共识标准创建一个高效的申请准备和审查流程。根据《FD&amp;C法案》第510节和513节以及CFR第21篇第807部分E子部分，简化510(k)项目不会改变与上市前通知流程相关的任何法定或监管要求。</w:t>
      </w:r>
    </w:p>
    <w:p w14:paraId="778B3A17">
      <w:pPr>
        <w:pStyle w:val="6"/>
        <w:adjustRightInd w:val="0"/>
        <w:snapToGrid w:val="0"/>
        <w:spacing w:before="120" w:beforeLines="50" w:line="300" w:lineRule="auto"/>
        <w:jc w:val="both"/>
        <w:rPr>
          <w:sz w:val="21"/>
          <w:szCs w:val="21"/>
          <w:lang w:eastAsia="zh-CN"/>
        </w:rPr>
      </w:pPr>
      <w:r>
        <w:rPr>
          <w:rFonts w:eastAsia="宋体" w:cs="宋体"/>
          <w:sz w:val="21"/>
          <w:lang w:eastAsia="zh-CN"/>
        </w:rPr>
        <w:t>本文件对510(k)申请的具体内容要求和建议相关的其他FDA指南进行了补充。还可以参考21 CFR 807.87以及FDA指南《</w:t>
      </w:r>
      <w:r>
        <w:rPr>
          <w:rFonts w:eastAsia="宋体" w:cs="宋体"/>
          <w:color w:val="0000FF"/>
          <w:sz w:val="21"/>
          <w:u w:val="single"/>
          <w:lang w:eastAsia="zh-CN"/>
        </w:rPr>
        <w:t>510(k)的拒绝受理政策</w:t>
      </w:r>
      <w:r>
        <w:rPr>
          <w:rFonts w:eastAsia="宋体" w:cs="宋体"/>
          <w:sz w:val="21"/>
          <w:lang w:eastAsia="zh-CN"/>
        </w:rPr>
        <w:t>》</w:t>
      </w:r>
      <w:r>
        <w:rPr>
          <w:rFonts w:eastAsia="宋体" w:cs="宋体"/>
          <w:sz w:val="21"/>
          <w:vertAlign w:val="superscript"/>
          <w:lang w:eastAsia="zh-CN"/>
        </w:rPr>
        <w:t>4</w:t>
      </w:r>
      <w:r>
        <w:rPr>
          <w:rFonts w:eastAsia="宋体" w:cs="宋体"/>
          <w:sz w:val="21"/>
          <w:lang w:eastAsia="zh-CN"/>
        </w:rPr>
        <w:t>和《</w:t>
      </w:r>
      <w:r>
        <w:rPr>
          <w:rFonts w:eastAsia="宋体" w:cs="宋体"/>
          <w:color w:val="0000FF"/>
          <w:sz w:val="21"/>
          <w:u w:val="single"/>
          <w:lang w:eastAsia="zh-CN"/>
        </w:rPr>
        <w:t>传统和简化510(k)格式</w:t>
      </w:r>
      <w:r>
        <w:rPr>
          <w:rFonts w:eastAsia="宋体" w:cs="宋体"/>
          <w:sz w:val="21"/>
          <w:lang w:eastAsia="zh-CN"/>
        </w:rPr>
        <w:t>》</w:t>
      </w:r>
      <w:r>
        <w:rPr>
          <w:rFonts w:eastAsia="宋体" w:cs="宋体"/>
          <w:sz w:val="21"/>
          <w:vertAlign w:val="superscript"/>
          <w:lang w:eastAsia="zh-CN"/>
        </w:rPr>
        <w:t>5</w:t>
      </w:r>
      <w:r>
        <w:rPr>
          <w:rFonts w:eastAsia="宋体" w:cs="宋体"/>
          <w:sz w:val="21"/>
          <w:lang w:eastAsia="zh-CN"/>
        </w:rPr>
        <w:t>。</w:t>
      </w:r>
    </w:p>
    <w:p w14:paraId="33406ADC">
      <w:pPr>
        <w:pStyle w:val="6"/>
        <w:adjustRightInd w:val="0"/>
        <w:snapToGrid w:val="0"/>
        <w:spacing w:before="120" w:beforeLines="50" w:line="300" w:lineRule="auto"/>
        <w:ind w:left="843" w:hanging="843" w:hangingChars="300"/>
        <w:jc w:val="both"/>
        <w:outlineLvl w:val="0"/>
        <w:rPr>
          <w:b/>
          <w:sz w:val="28"/>
          <w:szCs w:val="21"/>
          <w:lang w:eastAsia="zh-CN"/>
        </w:rPr>
      </w:pPr>
      <w:r>
        <w:rPr>
          <w:rFonts w:eastAsia="宋体" w:cs="宋体"/>
          <w:b/>
          <w:sz w:val="28"/>
          <w:lang w:eastAsia="zh-CN"/>
        </w:rPr>
        <w:t>III.</w:t>
      </w:r>
      <w:r>
        <w:rPr>
          <w:rFonts w:eastAsia="宋体" w:cs="宋体"/>
          <w:b/>
          <w:lang w:eastAsia="zh-CN"/>
        </w:rPr>
        <w:tab/>
      </w:r>
      <w:r>
        <w:rPr>
          <w:rFonts w:eastAsia="宋体" w:cs="宋体"/>
          <w:b/>
          <w:sz w:val="28"/>
          <w:lang w:eastAsia="zh-CN"/>
        </w:rPr>
        <w:t>简化510(k)项目</w:t>
      </w:r>
    </w:p>
    <w:p w14:paraId="49503FFB">
      <w:pPr>
        <w:pStyle w:val="6"/>
        <w:adjustRightInd w:val="0"/>
        <w:snapToGrid w:val="0"/>
        <w:spacing w:before="120" w:beforeLines="50" w:line="300" w:lineRule="auto"/>
        <w:jc w:val="both"/>
        <w:rPr>
          <w:sz w:val="21"/>
          <w:szCs w:val="21"/>
          <w:lang w:eastAsia="zh-CN"/>
        </w:rPr>
      </w:pPr>
      <w:r>
        <w:rPr>
          <w:rFonts w:eastAsia="宋体" w:cs="宋体"/>
          <w:sz w:val="21"/>
          <w:lang w:eastAsia="zh-CN"/>
        </w:rPr>
        <w:t>FDA发布了指南文件，</w:t>
      </w:r>
      <w:r>
        <w:rPr>
          <w:rFonts w:hint="eastAsia" w:eastAsia="宋体" w:cs="宋体"/>
          <w:sz w:val="21"/>
          <w:lang w:eastAsia="zh-CN"/>
        </w:rPr>
        <w:t>旨在</w:t>
      </w:r>
      <w:r>
        <w:rPr>
          <w:rFonts w:eastAsia="宋体" w:cs="宋体"/>
          <w:sz w:val="21"/>
          <w:lang w:eastAsia="zh-CN"/>
        </w:rPr>
        <w:t>将FDA的建议传达给业界。FDA认为，在简化510(k)项目中，使用指南文件可通过依据“总结报告”以促进510(k)审查，“总结报告”应按照相关指南文件的建议对为支持申请而进行的测试进行简要描述和总结。这些报告对器械描述、制造商的器械设计要求、风险管理信息以及用于阐述性能特征的测试方法描述进行了总结。制造商根据FDA指南文件建议准备510(k)申请材料应更加容易，也更便于FDA审查。</w:t>
      </w:r>
    </w:p>
    <w:p w14:paraId="26B353A8">
      <w:pPr>
        <w:pStyle w:val="6"/>
        <w:adjustRightInd w:val="0"/>
        <w:snapToGrid w:val="0"/>
        <w:spacing w:before="120" w:beforeLines="50" w:line="300" w:lineRule="auto"/>
        <w:jc w:val="both"/>
        <w:rPr>
          <w:sz w:val="21"/>
          <w:szCs w:val="21"/>
          <w:lang w:eastAsia="zh-CN"/>
        </w:rPr>
      </w:pPr>
      <w:r>
        <w:rPr>
          <w:rFonts w:eastAsia="宋体" w:cs="宋体"/>
          <w:sz w:val="21"/>
          <w:lang w:eastAsia="zh-CN"/>
        </w:rPr>
        <w:t>1990年的《医疗器械安全法案》（公法101-629）引入了特殊控制的概念，以合理保证II类器械的安全性和有效性。在《FD&amp;C法案》的第513(a)(1)(B)节中，特殊控制定义为性能标准、上市后监督、患者登记、指南的制定与传播、可合理保证器械安全性和有效性的建议和其他适当措施</w:t>
      </w:r>
      <w:r>
        <w:rPr>
          <w:rFonts w:hint="eastAsia" w:eastAsia="宋体" w:cs="宋体"/>
          <w:sz w:val="21"/>
          <w:lang w:eastAsia="zh-CN"/>
        </w:rPr>
        <w:t>等控制</w:t>
      </w:r>
      <w:r>
        <w:rPr>
          <w:rFonts w:eastAsia="宋体" w:cs="宋体"/>
          <w:sz w:val="21"/>
          <w:lang w:eastAsia="zh-CN"/>
        </w:rPr>
        <w:t>。</w:t>
      </w:r>
      <w:r>
        <w:rPr>
          <w:rFonts w:hint="eastAsia" w:eastAsia="宋体" w:cs="宋体"/>
          <w:sz w:val="21"/>
          <w:lang w:eastAsia="zh-CN"/>
        </w:rPr>
        <w:t>如</w:t>
      </w:r>
      <w:r>
        <w:rPr>
          <w:rFonts w:eastAsia="宋体" w:cs="宋体"/>
          <w:sz w:val="21"/>
          <w:lang w:eastAsia="zh-CN"/>
        </w:rPr>
        <w:t>指南文件</w:t>
      </w:r>
      <w:r>
        <w:rPr>
          <w:rFonts w:hint="eastAsia" w:eastAsia="宋体" w:cs="宋体"/>
          <w:sz w:val="21"/>
          <w:lang w:eastAsia="zh-CN"/>
        </w:rPr>
        <w:t>所述</w:t>
      </w:r>
      <w:r>
        <w:rPr>
          <w:rFonts w:eastAsia="宋体" w:cs="宋体"/>
          <w:sz w:val="21"/>
          <w:lang w:eastAsia="zh-CN"/>
        </w:rPr>
        <w:t>，</w:t>
      </w:r>
      <w:r>
        <w:rPr>
          <w:rFonts w:hint="eastAsia" w:eastAsia="宋体" w:cs="宋体"/>
          <w:sz w:val="21"/>
          <w:lang w:eastAsia="zh-CN"/>
        </w:rPr>
        <w:t>可通过</w:t>
      </w:r>
      <w:r>
        <w:rPr>
          <w:rFonts w:eastAsia="宋体" w:cs="宋体"/>
          <w:sz w:val="21"/>
          <w:lang w:eastAsia="zh-CN"/>
        </w:rPr>
        <w:t>描述使用特殊控制解决特定风险或问题的总结信息减少准备和审查510(k)申请的时间和工作量。</w:t>
      </w:r>
    </w:p>
    <w:p w14:paraId="489D14D8">
      <w:pPr>
        <w:pStyle w:val="6"/>
        <w:adjustRightInd w:val="0"/>
        <w:snapToGrid w:val="0"/>
        <w:spacing w:before="5160" w:beforeLines="2150" w:line="300" w:lineRule="auto"/>
        <w:jc w:val="both"/>
        <w:rPr>
          <w:rFonts w:eastAsiaTheme="minorEastAsia"/>
          <w:sz w:val="21"/>
          <w:szCs w:val="21"/>
          <w:lang w:eastAsia="zh-CN"/>
        </w:rPr>
      </w:pPr>
      <w:r>
        <w:rPr>
          <w:rFonts w:eastAsia="宋体" w:cs="宋体"/>
          <w:sz w:val="21"/>
        </w:rPr>
        <w:t>____________________</w:t>
      </w:r>
    </w:p>
    <w:p w14:paraId="4D3580E1">
      <w:pPr>
        <w:adjustRightInd w:val="0"/>
        <w:snapToGrid w:val="0"/>
        <w:spacing w:before="36" w:beforeLines="15" w:line="276" w:lineRule="auto"/>
        <w:jc w:val="both"/>
        <w:rPr>
          <w:sz w:val="18"/>
          <w:szCs w:val="21"/>
        </w:rPr>
      </w:pPr>
      <w:r>
        <w:rPr>
          <w:sz w:val="18"/>
          <w:szCs w:val="21"/>
          <w:vertAlign w:val="superscript"/>
        </w:rPr>
        <w:t>4</w:t>
      </w:r>
      <w:bookmarkStart w:id="3" w:name="_bookmark4"/>
      <w:bookmarkEnd w:id="3"/>
      <w:bookmarkStart w:id="4" w:name="_bookmark3"/>
      <w:bookmarkEnd w:id="4"/>
      <w:r>
        <w:rPr>
          <w:sz w:val="18"/>
          <w:szCs w:val="21"/>
        </w:rPr>
        <w:t xml:space="preserve"> </w:t>
      </w:r>
      <w:r>
        <w:rPr>
          <w:color w:val="0000FF"/>
          <w:sz w:val="18"/>
          <w:szCs w:val="21"/>
          <w:u w:val="single" w:color="0000FF"/>
        </w:rPr>
        <w:t>https://www.fda.gov/regulatory-information/search-fda-guidance-documents/refuse-accept-policy-510ks</w:t>
      </w:r>
      <w:r>
        <w:rPr>
          <w:sz w:val="18"/>
          <w:szCs w:val="21"/>
        </w:rPr>
        <w:t>.</w:t>
      </w:r>
    </w:p>
    <w:p w14:paraId="0251B53C">
      <w:pPr>
        <w:adjustRightInd w:val="0"/>
        <w:snapToGrid w:val="0"/>
        <w:spacing w:before="36" w:beforeLines="15" w:line="276" w:lineRule="auto"/>
        <w:jc w:val="both"/>
        <w:rPr>
          <w:sz w:val="21"/>
          <w:szCs w:val="21"/>
          <w:lang w:eastAsia="zh-CN"/>
        </w:rPr>
      </w:pPr>
      <w:r>
        <w:rPr>
          <w:sz w:val="18"/>
          <w:szCs w:val="21"/>
          <w:vertAlign w:val="superscript"/>
        </w:rPr>
        <w:t>5</w:t>
      </w:r>
      <w:r>
        <w:rPr>
          <w:sz w:val="18"/>
          <w:szCs w:val="21"/>
        </w:rPr>
        <w:t xml:space="preserve"> </w:t>
      </w:r>
      <w:r>
        <w:rPr>
          <w:color w:val="0000FF"/>
          <w:sz w:val="18"/>
          <w:szCs w:val="21"/>
          <w:u w:val="single" w:color="0000FF"/>
        </w:rPr>
        <w:t>https://www.fda.gov/regulatory-information/search-fda-guidance-documents/format-traditional-and-abbreviated-510ks</w:t>
      </w:r>
      <w:r>
        <w:rPr>
          <w:sz w:val="18"/>
          <w:szCs w:val="21"/>
        </w:rPr>
        <w:t>.</w:t>
      </w:r>
      <w:r>
        <w:rPr>
          <w:rFonts w:eastAsia="宋体" w:cs="宋体"/>
          <w:sz w:val="21"/>
          <w:lang w:eastAsia="zh-CN"/>
        </w:rPr>
        <w:t>除指南文件和特殊控制之外，适当使用自愿共识标准可以提高上市前审查流程的可预测性，提供更明确的监管预期，有利于安全有效的医疗产品进入市场。1997年《FDA现代化法案》（FDAMA，公法105-115）第204节将自愿共识标准纳入《FD&amp;C法案》第514(c)节。FDAMA还对510(k)项目进行了变更，例如，根据FDAMA第205节（《FD&amp;C法案》第513(i)(1)(C)节），增加对上市后控制的依赖以加快器械的分类。</w:t>
      </w:r>
    </w:p>
    <w:p w14:paraId="13A27D84">
      <w:pPr>
        <w:pStyle w:val="6"/>
        <w:adjustRightInd w:val="0"/>
        <w:snapToGrid w:val="0"/>
        <w:spacing w:before="120" w:beforeLines="50" w:line="300" w:lineRule="auto"/>
        <w:jc w:val="both"/>
        <w:rPr>
          <w:sz w:val="21"/>
          <w:szCs w:val="21"/>
          <w:lang w:eastAsia="zh-CN"/>
        </w:rPr>
      </w:pPr>
      <w:r>
        <w:rPr>
          <w:rFonts w:eastAsia="宋体" w:cs="宋体"/>
          <w:sz w:val="21"/>
          <w:lang w:eastAsia="zh-CN"/>
        </w:rPr>
        <w:t>因此，器械制造商的申请如果依据以下一项或多项内容，可选择简化510(k)项目：</w:t>
      </w:r>
    </w:p>
    <w:p w14:paraId="5BB5E5B4">
      <w:pPr>
        <w:pStyle w:val="15"/>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FDA指南文件；</w:t>
      </w:r>
    </w:p>
    <w:p w14:paraId="6C3A166F">
      <w:pPr>
        <w:pStyle w:val="15"/>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器械特定分类法规或</w:t>
      </w:r>
      <w:r>
        <w:rPr>
          <w:rFonts w:hint="eastAsia" w:eastAsia="宋体" w:cs="宋体"/>
          <w:sz w:val="21"/>
          <w:lang w:eastAsia="zh-CN"/>
        </w:rPr>
        <w:t>某一器械类型的</w:t>
      </w:r>
      <w:r>
        <w:rPr>
          <w:rFonts w:eastAsia="宋体" w:cs="宋体"/>
          <w:sz w:val="21"/>
          <w:lang w:eastAsia="zh-CN"/>
        </w:rPr>
        <w:t>特殊控制指南的符合性证明；和/或</w:t>
      </w:r>
    </w:p>
    <w:p w14:paraId="0B7B9DAF">
      <w:pPr>
        <w:pStyle w:val="15"/>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自愿共识标准。</w:t>
      </w:r>
    </w:p>
    <w:p w14:paraId="28B169E6">
      <w:pPr>
        <w:pStyle w:val="6"/>
        <w:adjustRightInd w:val="0"/>
        <w:snapToGrid w:val="0"/>
        <w:spacing w:before="120" w:beforeLines="50" w:line="300" w:lineRule="auto"/>
        <w:jc w:val="both"/>
        <w:rPr>
          <w:sz w:val="21"/>
          <w:szCs w:val="21"/>
          <w:lang w:eastAsia="zh-CN"/>
        </w:rPr>
      </w:pPr>
      <w:r>
        <w:rPr>
          <w:rFonts w:eastAsia="宋体" w:cs="宋体"/>
          <w:sz w:val="21"/>
          <w:lang w:eastAsia="zh-CN"/>
        </w:rPr>
        <w:t>简化510(k)申请必须包括21 CFR 807.87中规定的必备信息。此外，制造商根据FDA指南文件和/或特殊控制提交简化510(k)申请时应提供一份总结报告，描述使用指南文件证明实质等同性</w:t>
      </w:r>
      <w:r>
        <w:rPr>
          <w:rFonts w:hint="eastAsia" w:eastAsia="宋体" w:cs="宋体"/>
          <w:sz w:val="21"/>
          <w:lang w:eastAsia="zh-CN"/>
        </w:rPr>
        <w:t>的过程</w:t>
      </w:r>
      <w:r>
        <w:rPr>
          <w:rFonts w:eastAsia="宋体" w:cs="宋体"/>
          <w:sz w:val="21"/>
          <w:lang w:eastAsia="zh-CN"/>
        </w:rPr>
        <w:t>和/或器械符合特殊控制要求</w:t>
      </w:r>
      <w:r>
        <w:rPr>
          <w:rFonts w:hint="eastAsia" w:eastAsia="宋体" w:cs="宋体"/>
          <w:sz w:val="21"/>
          <w:lang w:eastAsia="zh-CN"/>
        </w:rPr>
        <w:t>的依据</w:t>
      </w:r>
      <w:r>
        <w:rPr>
          <w:rFonts w:eastAsia="宋体" w:cs="宋体"/>
          <w:sz w:val="21"/>
          <w:lang w:eastAsia="zh-CN"/>
        </w:rPr>
        <w:t>。如果指南文件中的建议用于支持实质等同性，总结报告应包括任何关于偏离的信息，即用于证明指南中未加描述的实质等同性的任何替代方法。有关总结报告的更多信息，请参见附录A。</w:t>
      </w:r>
    </w:p>
    <w:p w14:paraId="3938586C">
      <w:pPr>
        <w:pStyle w:val="6"/>
        <w:adjustRightInd w:val="0"/>
        <w:snapToGrid w:val="0"/>
        <w:spacing w:before="120" w:beforeLines="50" w:line="300" w:lineRule="auto"/>
        <w:jc w:val="both"/>
        <w:rPr>
          <w:sz w:val="21"/>
          <w:szCs w:val="21"/>
          <w:lang w:eastAsia="zh-CN"/>
        </w:rPr>
      </w:pPr>
      <w:r>
        <w:rPr>
          <w:rFonts w:eastAsia="宋体" w:cs="宋体"/>
          <w:sz w:val="21"/>
          <w:lang w:eastAsia="zh-CN"/>
        </w:rPr>
        <w:t>制造商应依据自愿共识标准提交简化510(k)申请，提供附录A中所描述的信息以及指南文件《</w:t>
      </w:r>
      <w:r>
        <w:rPr>
          <w:rFonts w:eastAsia="宋体" w:cs="宋体"/>
          <w:color w:val="0000FF"/>
          <w:sz w:val="21"/>
          <w:u w:val="single"/>
          <w:lang w:eastAsia="zh-CN"/>
        </w:rPr>
        <w:t>自愿共识标准在医疗器械上市前申请中的合理使用</w:t>
      </w:r>
      <w:r>
        <w:rPr>
          <w:rFonts w:eastAsia="宋体" w:cs="宋体"/>
          <w:sz w:val="21"/>
          <w:lang w:eastAsia="zh-CN"/>
        </w:rPr>
        <w:t>》</w:t>
      </w:r>
      <w:r>
        <w:rPr>
          <w:rFonts w:eastAsia="宋体" w:cs="宋体"/>
          <w:sz w:val="21"/>
          <w:vertAlign w:val="superscript"/>
          <w:lang w:eastAsia="zh-CN"/>
        </w:rPr>
        <w:t>6</w:t>
      </w:r>
      <w:r>
        <w:rPr>
          <w:rFonts w:eastAsia="宋体" w:cs="宋体"/>
          <w:sz w:val="21"/>
          <w:lang w:eastAsia="zh-CN"/>
        </w:rPr>
        <w:t>中建议的符合性声明。制造商依据自愿共识标准的一般用途提交简化510(k)申请时，应纳入此类用途的依据以及支持该标准</w:t>
      </w:r>
      <w:r>
        <w:rPr>
          <w:rFonts w:hint="eastAsia" w:eastAsia="宋体" w:cs="宋体"/>
          <w:sz w:val="21"/>
          <w:lang w:eastAsia="zh-CN"/>
        </w:rPr>
        <w:t>使用</w:t>
      </w:r>
      <w:r>
        <w:rPr>
          <w:rFonts w:eastAsia="宋体" w:cs="宋体"/>
          <w:sz w:val="21"/>
          <w:lang w:eastAsia="zh-CN"/>
        </w:rPr>
        <w:t>的基本信息或数据。</w:t>
      </w:r>
    </w:p>
    <w:p w14:paraId="41A50618">
      <w:pPr>
        <w:pStyle w:val="6"/>
        <w:adjustRightInd w:val="0"/>
        <w:snapToGrid w:val="0"/>
        <w:spacing w:before="120" w:beforeLines="50" w:line="300" w:lineRule="auto"/>
        <w:jc w:val="both"/>
        <w:rPr>
          <w:sz w:val="21"/>
          <w:szCs w:val="21"/>
          <w:lang w:eastAsia="zh-CN"/>
        </w:rPr>
      </w:pPr>
      <w:r>
        <w:rPr>
          <w:rFonts w:eastAsia="宋体" w:cs="宋体"/>
          <w:sz w:val="21"/>
          <w:lang w:eastAsia="zh-CN"/>
        </w:rPr>
        <w:t>鼓励制造商提供总结报告（描述指南文件的使用、特殊控制或自愿共识标准的适当使用）的目的是为了便于进行510(k)申请的准备。FDA认为，与传统510(k)申请相比，审查简化510(k)申请的效率会更高。此外，通过允许FDA工作人员依据制造商关于使用FDA指南文件、特殊控制和/或自愿共识标准的总结报告，FDA的审查资源可以得到有效利用。</w:t>
      </w:r>
    </w:p>
    <w:p w14:paraId="72E79EE8">
      <w:pPr>
        <w:pStyle w:val="6"/>
        <w:adjustRightInd w:val="0"/>
        <w:snapToGrid w:val="0"/>
        <w:spacing w:before="4680" w:beforeLines="1950" w:line="300" w:lineRule="auto"/>
        <w:jc w:val="both"/>
        <w:rPr>
          <w:rFonts w:eastAsiaTheme="minorEastAsia"/>
          <w:sz w:val="21"/>
          <w:szCs w:val="21"/>
          <w:lang w:eastAsia="zh-CN"/>
        </w:rPr>
      </w:pPr>
      <w:r>
        <w:rPr>
          <w:rFonts w:eastAsia="宋体" w:cs="宋体"/>
          <w:sz w:val="21"/>
        </w:rPr>
        <w:t>____________________</w:t>
      </w:r>
    </w:p>
    <w:p w14:paraId="3AC82278">
      <w:pPr>
        <w:wordWrap w:val="0"/>
        <w:adjustRightInd w:val="0"/>
        <w:snapToGrid w:val="0"/>
        <w:spacing w:before="36" w:beforeLines="15" w:line="276" w:lineRule="auto"/>
        <w:jc w:val="both"/>
        <w:rPr>
          <w:b/>
          <w:sz w:val="21"/>
          <w:szCs w:val="21"/>
        </w:rPr>
      </w:pPr>
      <w:r>
        <w:rPr>
          <w:sz w:val="18"/>
          <w:szCs w:val="21"/>
          <w:vertAlign w:val="superscript"/>
        </w:rPr>
        <w:t>6</w:t>
      </w:r>
      <w:bookmarkStart w:id="5" w:name="_bookmark5"/>
      <w:bookmarkEnd w:id="5"/>
      <w:r>
        <w:rPr>
          <w:sz w:val="18"/>
          <w:szCs w:val="21"/>
        </w:rPr>
        <w:t xml:space="preserve"> </w:t>
      </w:r>
      <w:r>
        <w:rPr>
          <w:color w:val="0000FF"/>
          <w:sz w:val="18"/>
          <w:szCs w:val="21"/>
          <w:u w:val="single" w:color="0000FF"/>
        </w:rPr>
        <w:t>https://www.fda.gov/regulatory-information/search-fda-guidance-documents/appropriate-use-voluntary-</w:t>
      </w:r>
      <w:r>
        <w:rPr>
          <w:color w:val="0000FF"/>
          <w:sz w:val="18"/>
          <w:szCs w:val="21"/>
        </w:rPr>
        <w:t xml:space="preserve"> </w:t>
      </w:r>
      <w:r>
        <w:rPr>
          <w:color w:val="0000FF"/>
          <w:sz w:val="18"/>
          <w:szCs w:val="21"/>
          <w:u w:val="single" w:color="0000FF"/>
        </w:rPr>
        <w:t>consensus-standards-premarket-submissions-medical-devices</w:t>
      </w:r>
      <w:r>
        <w:rPr>
          <w:sz w:val="18"/>
          <w:szCs w:val="21"/>
        </w:rPr>
        <w:t>.</w:t>
      </w:r>
      <w:r>
        <w:rPr>
          <w:rFonts w:eastAsia="宋体" w:cs="宋体"/>
          <w:b/>
          <w:sz w:val="21"/>
        </w:rPr>
        <w:br w:type="page"/>
      </w:r>
    </w:p>
    <w:p w14:paraId="2ADF168F">
      <w:pPr>
        <w:pStyle w:val="6"/>
        <w:adjustRightInd w:val="0"/>
        <w:snapToGrid w:val="0"/>
        <w:spacing w:before="120" w:beforeLines="50" w:line="300" w:lineRule="auto"/>
        <w:jc w:val="both"/>
        <w:rPr>
          <w:sz w:val="21"/>
          <w:szCs w:val="21"/>
          <w:lang w:eastAsia="zh-CN"/>
        </w:rPr>
      </w:pPr>
      <w:r>
        <w:rPr>
          <w:rFonts w:eastAsia="宋体" w:cs="宋体"/>
          <w:sz w:val="21"/>
          <w:lang w:eastAsia="zh-CN"/>
        </w:rPr>
        <w:t>FDA根据《</w:t>
      </w:r>
      <w:r>
        <w:rPr>
          <w:rFonts w:eastAsia="宋体" w:cs="宋体"/>
          <w:color w:val="0000FF"/>
          <w:sz w:val="21"/>
          <w:u w:val="single"/>
          <w:lang w:eastAsia="zh-CN"/>
        </w:rPr>
        <w:t>510(k)的拒绝受理政策</w:t>
      </w:r>
      <w:r>
        <w:rPr>
          <w:rFonts w:eastAsia="宋体" w:cs="宋体"/>
          <w:sz w:val="21"/>
          <w:lang w:eastAsia="zh-CN"/>
        </w:rPr>
        <w:t>》</w:t>
      </w:r>
      <w:r>
        <w:rPr>
          <w:rFonts w:eastAsia="宋体" w:cs="宋体"/>
          <w:sz w:val="21"/>
          <w:vertAlign w:val="superscript"/>
          <w:lang w:eastAsia="zh-CN"/>
        </w:rPr>
        <w:t>7</w:t>
      </w:r>
      <w:r>
        <w:rPr>
          <w:rFonts w:eastAsia="宋体" w:cs="宋体"/>
          <w:sz w:val="21"/>
          <w:lang w:eastAsia="zh-CN"/>
        </w:rPr>
        <w:t>指南进行审查时，将根据《FD&amp;C法案》第510(n)(1)节和《医疗器械用户费用修正案》（MDUFA）的510(k)申请性能目标，在FDA规定的90天法定截止日期内对简化510(k)申请进行审查。如果制造商提交了FDA认为不适合在简化510(k)项目下审查的简化510(k)资料，FDA预期将申请转换为传统510(k)并通知提交者。</w:t>
      </w:r>
    </w:p>
    <w:p w14:paraId="4B7131EF">
      <w:pPr>
        <w:pStyle w:val="6"/>
        <w:adjustRightInd w:val="0"/>
        <w:snapToGrid w:val="0"/>
        <w:spacing w:before="12000" w:beforeLines="5000" w:line="300" w:lineRule="auto"/>
        <w:jc w:val="both"/>
        <w:rPr>
          <w:rFonts w:eastAsiaTheme="minorEastAsia"/>
          <w:sz w:val="21"/>
          <w:szCs w:val="21"/>
          <w:lang w:eastAsia="zh-CN"/>
        </w:rPr>
      </w:pPr>
      <w:r>
        <w:rPr>
          <w:rFonts w:eastAsia="宋体" w:cs="宋体"/>
          <w:sz w:val="21"/>
        </w:rPr>
        <w:t>____________________</w:t>
      </w:r>
    </w:p>
    <w:p w14:paraId="50956A53">
      <w:pPr>
        <w:adjustRightInd w:val="0"/>
        <w:snapToGrid w:val="0"/>
        <w:spacing w:before="36" w:beforeLines="15" w:line="276" w:lineRule="auto"/>
        <w:jc w:val="both"/>
        <w:rPr>
          <w:b/>
          <w:sz w:val="21"/>
          <w:szCs w:val="21"/>
        </w:rPr>
      </w:pPr>
      <w:r>
        <w:rPr>
          <w:sz w:val="18"/>
          <w:szCs w:val="21"/>
          <w:vertAlign w:val="superscript"/>
        </w:rPr>
        <w:t>7</w:t>
      </w:r>
      <w:bookmarkStart w:id="6" w:name="_bookmark6"/>
      <w:bookmarkEnd w:id="6"/>
      <w:r>
        <w:rPr>
          <w:sz w:val="18"/>
          <w:szCs w:val="21"/>
        </w:rPr>
        <w:t xml:space="preserve"> </w:t>
      </w:r>
      <w:r>
        <w:rPr>
          <w:color w:val="0000FF"/>
          <w:sz w:val="18"/>
          <w:szCs w:val="21"/>
          <w:u w:val="single" w:color="0000FF"/>
        </w:rPr>
        <w:t>https://www.fda.gov/regulatory-information/search-fda-guidance-documents/refuse-accept-policy-510ks</w:t>
      </w:r>
      <w:r>
        <w:rPr>
          <w:sz w:val="18"/>
          <w:szCs w:val="21"/>
        </w:rPr>
        <w:t>.</w:t>
      </w:r>
      <w:bookmarkStart w:id="7" w:name="Abbreviated_510(k)_Content"/>
      <w:bookmarkEnd w:id="7"/>
      <w:r>
        <w:rPr>
          <w:b/>
          <w:sz w:val="21"/>
          <w:szCs w:val="21"/>
        </w:rPr>
        <w:br w:type="page"/>
      </w:r>
    </w:p>
    <w:p w14:paraId="0F1CDD74">
      <w:pPr>
        <w:pStyle w:val="6"/>
        <w:adjustRightInd w:val="0"/>
        <w:snapToGrid w:val="0"/>
        <w:spacing w:before="120" w:beforeLines="50" w:line="300" w:lineRule="auto"/>
        <w:jc w:val="both"/>
        <w:outlineLvl w:val="0"/>
        <w:rPr>
          <w:b/>
          <w:sz w:val="28"/>
          <w:szCs w:val="21"/>
          <w:lang w:eastAsia="zh-CN"/>
        </w:rPr>
      </w:pPr>
      <w:r>
        <w:rPr>
          <w:rFonts w:eastAsia="宋体" w:cs="宋体"/>
          <w:b/>
          <w:sz w:val="28"/>
          <w:lang w:eastAsia="zh-CN"/>
        </w:rPr>
        <w:t>附录A 简化510(k)的内容</w:t>
      </w:r>
    </w:p>
    <w:p w14:paraId="616862D0">
      <w:pPr>
        <w:pStyle w:val="6"/>
        <w:adjustRightInd w:val="0"/>
        <w:snapToGrid w:val="0"/>
        <w:spacing w:before="120" w:beforeLines="50" w:line="300" w:lineRule="auto"/>
        <w:jc w:val="both"/>
        <w:rPr>
          <w:sz w:val="21"/>
          <w:szCs w:val="21"/>
          <w:lang w:eastAsia="zh-CN"/>
        </w:rPr>
      </w:pPr>
      <w:r>
        <w:rPr>
          <w:rFonts w:eastAsia="宋体" w:cs="宋体"/>
          <w:sz w:val="21"/>
          <w:lang w:eastAsia="zh-CN"/>
        </w:rPr>
        <w:t>简化510(k)应包括：</w:t>
      </w:r>
    </w:p>
    <w:p w14:paraId="7CA39DD3">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封面上将申请清晰标识为“简化510(k)”；</w:t>
      </w:r>
    </w:p>
    <w:p w14:paraId="2BEAA6CF">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21 CFR 807.87要求的信息，包括器械描述、</w:t>
      </w:r>
      <w:r>
        <w:rPr>
          <w:rFonts w:eastAsia="宋体" w:cs="宋体"/>
          <w:color w:val="0000FF"/>
          <w:sz w:val="21"/>
          <w:u w:val="single"/>
          <w:lang w:eastAsia="zh-CN"/>
        </w:rPr>
        <w:t>器械</w:t>
      </w:r>
      <w:r>
        <w:rPr>
          <w:rFonts w:eastAsia="宋体" w:cs="宋体"/>
          <w:sz w:val="21"/>
          <w:lang w:eastAsia="zh-CN"/>
        </w:rPr>
        <w:t>预期用途和适用范围，</w:t>
      </w:r>
      <w:r>
        <w:rPr>
          <w:rFonts w:eastAsia="宋体" w:cs="宋体"/>
          <w:sz w:val="21"/>
          <w:vertAlign w:val="superscript"/>
          <w:lang w:eastAsia="zh-CN"/>
        </w:rPr>
        <w:t>8</w:t>
      </w:r>
      <w:r>
        <w:rPr>
          <w:rFonts w:eastAsia="宋体" w:cs="宋体"/>
          <w:sz w:val="21"/>
          <w:lang w:eastAsia="zh-CN"/>
        </w:rPr>
        <w:t>以及器械的拟定标签。关于简化510(k)建议格式和内容的更多信息，请参见FDA指南《</w:t>
      </w:r>
      <w:r>
        <w:rPr>
          <w:rFonts w:eastAsia="宋体" w:cs="宋体"/>
          <w:color w:val="0000FF"/>
          <w:sz w:val="21"/>
          <w:u w:val="single"/>
          <w:lang w:eastAsia="zh-CN"/>
        </w:rPr>
        <w:t>510(k)的拒绝受理政策</w:t>
      </w:r>
      <w:r>
        <w:rPr>
          <w:rFonts w:eastAsia="宋体" w:cs="宋体"/>
          <w:sz w:val="21"/>
          <w:lang w:eastAsia="zh-CN"/>
        </w:rPr>
        <w:t>》</w:t>
      </w:r>
      <w:r>
        <w:rPr>
          <w:rFonts w:eastAsia="宋体" w:cs="宋体"/>
          <w:sz w:val="21"/>
          <w:vertAlign w:val="superscript"/>
          <w:lang w:eastAsia="zh-CN"/>
        </w:rPr>
        <w:t>9</w:t>
      </w:r>
      <w:r>
        <w:rPr>
          <w:rFonts w:eastAsia="宋体" w:cs="宋体"/>
          <w:sz w:val="21"/>
          <w:lang w:eastAsia="zh-CN"/>
        </w:rPr>
        <w:t>和《</w:t>
      </w:r>
      <w:r>
        <w:rPr>
          <w:rFonts w:eastAsia="宋体" w:cs="宋体"/>
          <w:color w:val="0000FF"/>
          <w:sz w:val="21"/>
          <w:u w:val="single"/>
          <w:lang w:eastAsia="zh-CN"/>
        </w:rPr>
        <w:t>传统和简化510(k)的格式</w:t>
      </w:r>
      <w:r>
        <w:rPr>
          <w:rFonts w:eastAsia="宋体" w:cs="宋体"/>
          <w:sz w:val="21"/>
          <w:lang w:eastAsia="zh-CN"/>
        </w:rPr>
        <w:t>》</w:t>
      </w:r>
      <w:r>
        <w:rPr>
          <w:rFonts w:eastAsia="宋体" w:cs="宋体"/>
          <w:sz w:val="21"/>
          <w:vertAlign w:val="superscript"/>
          <w:lang w:eastAsia="zh-CN"/>
        </w:rPr>
        <w:t>10</w:t>
      </w:r>
      <w:r>
        <w:rPr>
          <w:rFonts w:eastAsia="宋体" w:cs="宋体"/>
          <w:sz w:val="21"/>
          <w:lang w:eastAsia="zh-CN"/>
        </w:rPr>
        <w:t>。</w:t>
      </w:r>
    </w:p>
    <w:p w14:paraId="640E101D">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一份描述</w:t>
      </w:r>
      <w:r>
        <w:rPr>
          <w:rFonts w:hint="eastAsia" w:eastAsia="宋体" w:cs="宋体"/>
          <w:sz w:val="21"/>
          <w:lang w:eastAsia="zh-CN"/>
        </w:rPr>
        <w:t>使用指南证明实质等同性的过程和</w:t>
      </w:r>
      <w:r>
        <w:rPr>
          <w:rFonts w:eastAsia="宋体" w:cs="宋体"/>
          <w:sz w:val="21"/>
          <w:lang w:eastAsia="zh-CN"/>
        </w:rPr>
        <w:t>/</w:t>
      </w:r>
      <w:r>
        <w:rPr>
          <w:rFonts w:hint="eastAsia" w:eastAsia="宋体" w:cs="宋体"/>
          <w:sz w:val="21"/>
          <w:lang w:eastAsia="zh-CN"/>
        </w:rPr>
        <w:t>或器械符合特殊控制要求的依据</w:t>
      </w:r>
      <w:r>
        <w:rPr>
          <w:rFonts w:eastAsia="宋体" w:cs="宋体"/>
          <w:sz w:val="21"/>
          <w:lang w:eastAsia="zh-CN"/>
        </w:rPr>
        <w:t>的总结报告（针对依据FDA指南文件或需要特殊控制的申请）。这些报告对器械描述、制造商的器械设计要求、风险管理信息以及用于阐述性能特征的测试方法描述进行了总结。如果制造商选择使用替代方法解决特定问题，应提供足够的细节以证明这种方法的合理性；</w:t>
      </w:r>
    </w:p>
    <w:p w14:paraId="0A8D1C3A">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对于依据自愿共识标准的申请，建议参考FDA指南《</w:t>
      </w:r>
      <w:r>
        <w:rPr>
          <w:rFonts w:eastAsia="宋体" w:cs="宋体"/>
          <w:color w:val="0000FF"/>
          <w:sz w:val="21"/>
          <w:u w:val="single"/>
          <w:lang w:eastAsia="zh-CN"/>
        </w:rPr>
        <w:t>自愿共识标准在医疗器械上市前申请中的合理使用</w:t>
      </w:r>
      <w:r>
        <w:rPr>
          <w:rFonts w:eastAsia="宋体" w:cs="宋体"/>
          <w:sz w:val="21"/>
          <w:lang w:eastAsia="zh-CN"/>
        </w:rPr>
        <w:t>》</w:t>
      </w:r>
      <w:r>
        <w:rPr>
          <w:rFonts w:eastAsia="宋体" w:cs="宋体"/>
          <w:sz w:val="21"/>
          <w:vertAlign w:val="superscript"/>
          <w:lang w:eastAsia="zh-CN"/>
        </w:rPr>
        <w:t>11</w:t>
      </w:r>
      <w:r>
        <w:rPr>
          <w:rFonts w:eastAsia="宋体" w:cs="宋体"/>
          <w:sz w:val="21"/>
          <w:lang w:eastAsia="zh-CN"/>
        </w:rPr>
        <w:t>；</w:t>
      </w:r>
    </w:p>
    <w:p w14:paraId="6280A1ED">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用于解决指南文件、特殊控制和/或自愿共识标准中未涵盖问题的数据/信息；和</w:t>
      </w:r>
    </w:p>
    <w:p w14:paraId="7BD0FE86">
      <w:pPr>
        <w:pStyle w:val="15"/>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适用范围表格（</w:t>
      </w:r>
      <w:r>
        <w:rPr>
          <w:rFonts w:eastAsia="宋体" w:cs="宋体"/>
          <w:color w:val="0000FF"/>
          <w:sz w:val="21"/>
          <w:u w:val="single"/>
          <w:lang w:eastAsia="zh-CN"/>
        </w:rPr>
        <w:t>FDA表格3881</w:t>
      </w:r>
      <w:r>
        <w:rPr>
          <w:rFonts w:eastAsia="宋体" w:cs="宋体"/>
          <w:sz w:val="21"/>
          <w:vertAlign w:val="superscript"/>
          <w:lang w:eastAsia="zh-CN"/>
        </w:rPr>
        <w:t>12</w:t>
      </w:r>
      <w:r>
        <w:rPr>
          <w:rFonts w:eastAsia="宋体" w:cs="宋体"/>
          <w:sz w:val="21"/>
          <w:lang w:eastAsia="zh-CN"/>
        </w:rPr>
        <w:t>）。</w:t>
      </w:r>
    </w:p>
    <w:p w14:paraId="1BC15D6F">
      <w:pPr>
        <w:pStyle w:val="6"/>
        <w:wordWrap w:val="0"/>
        <w:adjustRightInd w:val="0"/>
        <w:snapToGrid w:val="0"/>
        <w:spacing w:before="6120" w:beforeLines="2550" w:line="300" w:lineRule="auto"/>
        <w:jc w:val="both"/>
        <w:rPr>
          <w:rFonts w:eastAsiaTheme="minorEastAsia"/>
          <w:sz w:val="21"/>
          <w:szCs w:val="21"/>
          <w:lang w:eastAsia="zh-CN"/>
        </w:rPr>
      </w:pPr>
      <w:r>
        <w:rPr>
          <w:rFonts w:eastAsia="宋体" w:cs="宋体"/>
          <w:sz w:val="21"/>
        </w:rPr>
        <w:t>____________________</w:t>
      </w:r>
    </w:p>
    <w:p w14:paraId="642A1D73">
      <w:pPr>
        <w:wordWrap w:val="0"/>
        <w:adjustRightInd w:val="0"/>
        <w:snapToGrid w:val="0"/>
        <w:spacing w:before="36" w:beforeLines="15" w:line="276" w:lineRule="auto"/>
        <w:jc w:val="both"/>
        <w:rPr>
          <w:sz w:val="18"/>
          <w:szCs w:val="21"/>
          <w:u w:val="single"/>
        </w:rPr>
      </w:pPr>
      <w:r>
        <w:rPr>
          <w:sz w:val="18"/>
          <w:szCs w:val="21"/>
          <w:vertAlign w:val="superscript"/>
        </w:rPr>
        <w:t>8</w:t>
      </w:r>
      <w:bookmarkStart w:id="8" w:name="_bookmark8"/>
      <w:bookmarkEnd w:id="8"/>
      <w:r>
        <w:rPr>
          <w:sz w:val="18"/>
          <w:szCs w:val="21"/>
        </w:rPr>
        <w:t xml:space="preserve"> </w:t>
      </w:r>
      <w:r>
        <w:rPr>
          <w:color w:val="0000FF"/>
          <w:sz w:val="18"/>
          <w:szCs w:val="21"/>
          <w:u w:val="single" w:color="0000FF"/>
        </w:rPr>
        <w:t>https://www.fda.gov/regulatory-information/search-fda-guidance-documents/510k-program-evaluating-</w:t>
      </w:r>
      <w:bookmarkStart w:id="9" w:name="_bookmark9"/>
      <w:bookmarkEnd w:id="9"/>
      <w:r>
        <w:rPr>
          <w:color w:val="0000FF"/>
          <w:sz w:val="18"/>
          <w:szCs w:val="21"/>
          <w:u w:val="single" w:color="0000FF"/>
        </w:rPr>
        <w:t>substantial-equivalence-premarket-notifications-510k</w:t>
      </w:r>
      <w:r>
        <w:rPr>
          <w:sz w:val="18"/>
          <w:szCs w:val="21"/>
          <w:u w:val="single"/>
        </w:rPr>
        <w:t>.</w:t>
      </w:r>
    </w:p>
    <w:p w14:paraId="3EB8B279">
      <w:pPr>
        <w:wordWrap w:val="0"/>
        <w:adjustRightInd w:val="0"/>
        <w:snapToGrid w:val="0"/>
        <w:spacing w:before="36" w:beforeLines="15" w:line="276" w:lineRule="auto"/>
        <w:jc w:val="both"/>
        <w:rPr>
          <w:sz w:val="18"/>
          <w:szCs w:val="21"/>
        </w:rPr>
      </w:pPr>
      <w:r>
        <w:rPr>
          <w:sz w:val="18"/>
          <w:szCs w:val="21"/>
          <w:vertAlign w:val="superscript"/>
        </w:rPr>
        <w:t>9</w:t>
      </w:r>
      <w:bookmarkStart w:id="10" w:name="_bookmark10"/>
      <w:bookmarkEnd w:id="10"/>
      <w:r>
        <w:rPr>
          <w:sz w:val="18"/>
          <w:szCs w:val="21"/>
        </w:rPr>
        <w:t xml:space="preserve"> </w:t>
      </w:r>
      <w:r>
        <w:rPr>
          <w:color w:val="0000FF"/>
          <w:sz w:val="18"/>
          <w:szCs w:val="21"/>
          <w:u w:val="single" w:color="0000FF"/>
        </w:rPr>
        <w:t>https://www.fda.gov/regulatory-information/search-fda-guidance-documents/refuse-accept-policy-510ks</w:t>
      </w:r>
      <w:r>
        <w:rPr>
          <w:sz w:val="18"/>
          <w:szCs w:val="21"/>
        </w:rPr>
        <w:t>.</w:t>
      </w:r>
    </w:p>
    <w:p w14:paraId="4EA3A2CC">
      <w:pPr>
        <w:wordWrap w:val="0"/>
        <w:adjustRightInd w:val="0"/>
        <w:snapToGrid w:val="0"/>
        <w:spacing w:before="36" w:beforeLines="15" w:line="276" w:lineRule="auto"/>
        <w:jc w:val="both"/>
        <w:rPr>
          <w:sz w:val="18"/>
          <w:szCs w:val="21"/>
        </w:rPr>
      </w:pPr>
      <w:r>
        <w:rPr>
          <w:sz w:val="18"/>
          <w:szCs w:val="21"/>
          <w:vertAlign w:val="superscript"/>
        </w:rPr>
        <w:t>10</w:t>
      </w:r>
      <w:r>
        <w:rPr>
          <w:sz w:val="18"/>
          <w:szCs w:val="21"/>
        </w:rPr>
        <w:t xml:space="preserve"> </w:t>
      </w:r>
      <w:r>
        <w:rPr>
          <w:color w:val="0000FF"/>
          <w:sz w:val="18"/>
          <w:szCs w:val="21"/>
          <w:u w:val="single" w:color="0000FF"/>
        </w:rPr>
        <w:t>https://www.fda.gov/regulatory-information/search-fda-guidance-documents/format-traditional-and-ab</w:t>
      </w:r>
      <w:bookmarkStart w:id="11" w:name="_bookmark11"/>
      <w:bookmarkEnd w:id="11"/>
      <w:r>
        <w:rPr>
          <w:color w:val="0000FF"/>
          <w:sz w:val="18"/>
          <w:szCs w:val="21"/>
          <w:u w:val="single" w:color="0000FF"/>
        </w:rPr>
        <w:t>breviated-510ks</w:t>
      </w:r>
      <w:r>
        <w:rPr>
          <w:sz w:val="18"/>
          <w:szCs w:val="21"/>
        </w:rPr>
        <w:t>.</w:t>
      </w:r>
    </w:p>
    <w:p w14:paraId="76A959F4">
      <w:pPr>
        <w:wordWrap w:val="0"/>
        <w:adjustRightInd w:val="0"/>
        <w:snapToGrid w:val="0"/>
        <w:spacing w:before="36" w:beforeLines="15" w:line="276" w:lineRule="auto"/>
        <w:jc w:val="both"/>
        <w:rPr>
          <w:sz w:val="18"/>
          <w:szCs w:val="21"/>
        </w:rPr>
      </w:pPr>
      <w:r>
        <w:rPr>
          <w:sz w:val="18"/>
          <w:szCs w:val="21"/>
          <w:vertAlign w:val="superscript"/>
        </w:rPr>
        <w:t>11</w:t>
      </w:r>
      <w:r>
        <w:rPr>
          <w:sz w:val="18"/>
          <w:szCs w:val="21"/>
        </w:rPr>
        <w:t xml:space="preserve"> </w:t>
      </w:r>
      <w:r>
        <w:rPr>
          <w:color w:val="0000FF"/>
          <w:sz w:val="18"/>
          <w:szCs w:val="21"/>
          <w:u w:val="single" w:color="0000FF"/>
        </w:rPr>
        <w:t>https://www.fda.gov/regulatory-information/search-fda-guidance-documents/appropriate-use-voluntary-</w:t>
      </w:r>
      <w:r>
        <w:rPr>
          <w:color w:val="0000FF"/>
          <w:sz w:val="18"/>
          <w:szCs w:val="21"/>
          <w:u w:val="single"/>
        </w:rPr>
        <w:t xml:space="preserve"> </w:t>
      </w:r>
      <w:r>
        <w:rPr>
          <w:color w:val="0000FF"/>
          <w:sz w:val="18"/>
          <w:szCs w:val="21"/>
          <w:u w:val="single" w:color="0000FF"/>
        </w:rPr>
        <w:t>consensus-standards-premarket-submissions-medical-devices</w:t>
      </w:r>
      <w:r>
        <w:rPr>
          <w:sz w:val="18"/>
          <w:szCs w:val="21"/>
          <w:u w:val="single"/>
        </w:rPr>
        <w:t>.</w:t>
      </w:r>
    </w:p>
    <w:p w14:paraId="59ECCA6B">
      <w:pPr>
        <w:wordWrap w:val="0"/>
        <w:adjustRightInd w:val="0"/>
        <w:snapToGrid w:val="0"/>
        <w:spacing w:before="36" w:beforeLines="15" w:line="276" w:lineRule="auto"/>
        <w:jc w:val="both"/>
        <w:rPr>
          <w:sz w:val="18"/>
          <w:szCs w:val="21"/>
        </w:rPr>
      </w:pPr>
      <w:r>
        <w:rPr>
          <w:sz w:val="18"/>
          <w:szCs w:val="21"/>
          <w:vertAlign w:val="superscript"/>
        </w:rPr>
        <w:t>12</w:t>
      </w:r>
      <w:bookmarkStart w:id="12" w:name="_bookmark12"/>
      <w:bookmarkEnd w:id="12"/>
      <w:r>
        <w:rPr>
          <w:sz w:val="18"/>
          <w:szCs w:val="21"/>
        </w:rPr>
        <w:t xml:space="preserve"> </w:t>
      </w:r>
      <w:r>
        <w:rPr>
          <w:color w:val="0000FF"/>
          <w:sz w:val="18"/>
          <w:szCs w:val="21"/>
          <w:u w:val="single" w:color="0000FF"/>
        </w:rPr>
        <w:t>https://www.fda.gov/media/86323/download</w:t>
      </w:r>
      <w:r>
        <w:rPr>
          <w:sz w:val="18"/>
          <w:szCs w:val="21"/>
        </w:rPr>
        <w:t>.</w:t>
      </w:r>
    </w:p>
    <w:p w14:paraId="7A3C9599">
      <w:pPr>
        <w:pBdr>
          <w:bottom w:val="single" w:color="auto" w:sz="4" w:space="1"/>
        </w:pBdr>
        <w:adjustRightInd w:val="0"/>
        <w:snapToGrid w:val="0"/>
        <w:spacing w:before="120" w:beforeLines="50" w:line="300" w:lineRule="auto"/>
        <w:jc w:val="center"/>
        <w:rPr>
          <w:rFonts w:hint="eastAsia" w:eastAsia="宋体"/>
          <w:lang w:eastAsia="zh-CN"/>
        </w:rPr>
      </w:pPr>
    </w:p>
    <w:p w14:paraId="71D6CCAD">
      <w:pPr>
        <w:pBdr>
          <w:bottom w:val="single" w:color="auto" w:sz="4" w:space="1"/>
        </w:pBdr>
        <w:adjustRightInd w:val="0"/>
        <w:snapToGrid w:val="0"/>
        <w:spacing w:before="120" w:beforeLines="50" w:line="300" w:lineRule="auto"/>
        <w:jc w:val="center"/>
        <w:rPr>
          <w:rFonts w:hint="eastAsia" w:eastAsia="宋体"/>
          <w:lang w:eastAsia="zh-CN"/>
        </w:rPr>
      </w:pPr>
    </w:p>
    <w:p w14:paraId="45766ED4">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D811">
    <w:pPr>
      <w:pStyle w:val="8"/>
      <w:jc w:val="right"/>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8AB5">
    <w:pPr>
      <w:jc w:val="center"/>
      <w:rPr>
        <w:sz w:val="21"/>
        <w:szCs w:val="21"/>
        <w:lang w:eastAsia="zh-CN"/>
      </w:rPr>
    </w:pPr>
    <w:r>
      <w:rPr>
        <w:rFonts w:hint="eastAsia"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628C9"/>
    <w:multiLevelType w:val="multilevel"/>
    <w:tmpl w:val="3BE628C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C136B4E"/>
    <w:multiLevelType w:val="multilevel"/>
    <w:tmpl w:val="3C136B4E"/>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DE"/>
    <w:rsid w:val="00037C5C"/>
    <w:rsid w:val="00074845"/>
    <w:rsid w:val="000B2721"/>
    <w:rsid w:val="000E072C"/>
    <w:rsid w:val="001D4D87"/>
    <w:rsid w:val="001D5772"/>
    <w:rsid w:val="00250059"/>
    <w:rsid w:val="0025407B"/>
    <w:rsid w:val="0026221C"/>
    <w:rsid w:val="002F3CBD"/>
    <w:rsid w:val="003173DE"/>
    <w:rsid w:val="00430736"/>
    <w:rsid w:val="00497C71"/>
    <w:rsid w:val="00571D0C"/>
    <w:rsid w:val="00594E8D"/>
    <w:rsid w:val="00626262"/>
    <w:rsid w:val="00643B8E"/>
    <w:rsid w:val="006E6FBA"/>
    <w:rsid w:val="007300BF"/>
    <w:rsid w:val="0076602D"/>
    <w:rsid w:val="007C2624"/>
    <w:rsid w:val="00877DE6"/>
    <w:rsid w:val="00891C65"/>
    <w:rsid w:val="00892872"/>
    <w:rsid w:val="00902322"/>
    <w:rsid w:val="009344C7"/>
    <w:rsid w:val="00981150"/>
    <w:rsid w:val="00A32A1D"/>
    <w:rsid w:val="00AB0F51"/>
    <w:rsid w:val="00AB29F1"/>
    <w:rsid w:val="00B03790"/>
    <w:rsid w:val="00B92049"/>
    <w:rsid w:val="00BA2263"/>
    <w:rsid w:val="00BC5C3E"/>
    <w:rsid w:val="00BE5AF5"/>
    <w:rsid w:val="00C15556"/>
    <w:rsid w:val="00C215EF"/>
    <w:rsid w:val="00C364E6"/>
    <w:rsid w:val="00C42FC2"/>
    <w:rsid w:val="00CB394D"/>
    <w:rsid w:val="00CB6481"/>
    <w:rsid w:val="00CF7966"/>
    <w:rsid w:val="00D30838"/>
    <w:rsid w:val="00DE151C"/>
    <w:rsid w:val="00E34315"/>
    <w:rsid w:val="00E879A2"/>
    <w:rsid w:val="00ED607A"/>
    <w:rsid w:val="00F16E8A"/>
    <w:rsid w:val="00F86BD5"/>
    <w:rsid w:val="00F94E58"/>
    <w:rsid w:val="00FA01AE"/>
    <w:rsid w:val="00FD57E5"/>
    <w:rsid w:val="00FF2316"/>
    <w:rsid w:val="57E318D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367"/>
      <w:outlineLvl w:val="0"/>
    </w:pPr>
    <w:rPr>
      <w:b/>
      <w:bCs/>
      <w:sz w:val="56"/>
      <w:szCs w:val="56"/>
    </w:rPr>
  </w:style>
  <w:style w:type="paragraph" w:styleId="3">
    <w:name w:val="heading 2"/>
    <w:basedOn w:val="1"/>
    <w:qFormat/>
    <w:uiPriority w:val="1"/>
    <w:pPr>
      <w:ind w:left="240" w:hanging="720"/>
      <w:outlineLvl w:val="1"/>
    </w:pPr>
    <w:rPr>
      <w:b/>
      <w:bCs/>
      <w:sz w:val="36"/>
      <w:szCs w:val="36"/>
    </w:rPr>
  </w:style>
  <w:style w:type="paragraph" w:styleId="4">
    <w:name w:val="heading 3"/>
    <w:basedOn w:val="1"/>
    <w:qFormat/>
    <w:uiPriority w:val="1"/>
    <w:pPr>
      <w:ind w:left="240"/>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1"/>
    <w:semiHidden/>
    <w:unhideWhenUsed/>
    <w:uiPriority w:val="99"/>
  </w:style>
  <w:style w:type="paragraph" w:styleId="6">
    <w:name w:val="Body Text"/>
    <w:basedOn w:val="1"/>
    <w:qFormat/>
    <w:uiPriority w:val="1"/>
    <w:rPr>
      <w:sz w:val="24"/>
      <w:szCs w:val="24"/>
    </w:rPr>
  </w:style>
  <w:style w:type="paragraph" w:styleId="7">
    <w:name w:val="Balloon Text"/>
    <w:basedOn w:val="1"/>
    <w:link w:val="19"/>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2"/>
    <w:semiHidden/>
    <w:unhideWhenUsed/>
    <w:uiPriority w:val="99"/>
    <w:rPr>
      <w:b/>
      <w:bCs/>
    </w:rPr>
  </w:style>
  <w:style w:type="character" w:styleId="13">
    <w:name w:val="annotation reference"/>
    <w:basedOn w:val="12"/>
    <w:semiHidden/>
    <w:unhideWhenUsed/>
    <w:uiPriority w:val="99"/>
    <w:rPr>
      <w:sz w:val="21"/>
      <w:szCs w:val="21"/>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960" w:hanging="360"/>
    </w:pPr>
  </w:style>
  <w:style w:type="paragraph" w:customStyle="1" w:styleId="16">
    <w:name w:val="Table Paragraph"/>
    <w:basedOn w:val="1"/>
    <w:qFormat/>
    <w:uiPriority w:val="1"/>
  </w:style>
  <w:style w:type="character" w:customStyle="1" w:styleId="17">
    <w:name w:val="页眉 Char"/>
    <w:basedOn w:val="12"/>
    <w:link w:val="9"/>
    <w:uiPriority w:val="99"/>
    <w:rPr>
      <w:rFonts w:ascii="Times New Roman" w:hAnsi="Times New Roman" w:eastAsia="Times New Roman" w:cs="Times New Roman"/>
      <w:sz w:val="18"/>
      <w:szCs w:val="18"/>
      <w:lang w:bidi="en-US"/>
    </w:rPr>
  </w:style>
  <w:style w:type="character" w:customStyle="1" w:styleId="18">
    <w:name w:val="页脚 Char"/>
    <w:basedOn w:val="12"/>
    <w:link w:val="8"/>
    <w:uiPriority w:val="99"/>
    <w:rPr>
      <w:rFonts w:ascii="Times New Roman" w:hAnsi="Times New Roman" w:eastAsia="Times New Roman" w:cs="Times New Roman"/>
      <w:sz w:val="18"/>
      <w:szCs w:val="18"/>
      <w:lang w:bidi="en-US"/>
    </w:rPr>
  </w:style>
  <w:style w:type="character" w:customStyle="1" w:styleId="19">
    <w:name w:val="批注框文本 Char"/>
    <w:basedOn w:val="12"/>
    <w:link w:val="7"/>
    <w:semiHidden/>
    <w:uiPriority w:val="99"/>
    <w:rPr>
      <w:rFonts w:ascii="Times New Roman" w:hAnsi="Times New Roman" w:eastAsia="Times New Roman" w:cs="Times New Roman"/>
      <w:sz w:val="18"/>
      <w:szCs w:val="18"/>
      <w:lang w:bidi="en-US"/>
    </w:rPr>
  </w:style>
  <w:style w:type="paragraph" w:customStyle="1" w:styleId="20">
    <w:name w:val="Revision"/>
    <w:hidden/>
    <w:semiHidden/>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1">
    <w:name w:val="批注文字 Char"/>
    <w:basedOn w:val="12"/>
    <w:link w:val="5"/>
    <w:semiHidden/>
    <w:uiPriority w:val="99"/>
    <w:rPr>
      <w:rFonts w:ascii="Times New Roman" w:hAnsi="Times New Roman" w:eastAsia="Times New Roman" w:cs="Times New Roman"/>
      <w:lang w:bidi="en-US"/>
    </w:rPr>
  </w:style>
  <w:style w:type="character" w:customStyle="1" w:styleId="22">
    <w:name w:val="批注主题 Char"/>
    <w:basedOn w:val="21"/>
    <w:link w:val="10"/>
    <w:semiHidden/>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4433-D56A-4715-B8A1-61D3869CC5CE}">
  <ds:schemaRefs/>
</ds:datastoreItem>
</file>

<file path=docProps/app.xml><?xml version="1.0" encoding="utf-8"?>
<Properties xmlns="http://schemas.openxmlformats.org/officeDocument/2006/extended-properties" xmlns:vt="http://schemas.openxmlformats.org/officeDocument/2006/docPropsVTypes">
  <Template>Normal</Template>
  <Pages>7</Pages>
  <Words>2892</Words>
  <Characters>5256</Characters>
  <Lines>38</Lines>
  <Paragraphs>10</Paragraphs>
  <TotalTime>32</TotalTime>
  <ScaleCrop>false</ScaleCrop>
  <LinksUpToDate>false</LinksUpToDate>
  <CharactersWithSpaces>5304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2021-11-11T09:40:00Z</dcterms:created>
  <dc:creator>CDRH CBER</dc:creator>
  <cp:lastModifiedBy>太极箫客</cp:lastModifiedBy>
  <dcterms:modified xsi:type="dcterms:W3CDTF">2025-08-14T07:14:37Z</dcterms:modified>
  <dc:title>The Abbreviated 510(k) Program – Guidance for Industry and Food and Drug Administration Staff</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CommonLook Office GlobalAccess-2.0.9.29</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627900E1EDAA488C9E8D947235DA8DC1_12</vt:lpwstr>
  </property>
</Properties>
</file>