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774F7">
      <w:pPr>
        <w:topLinePunct/>
        <w:adjustRightInd w:val="0"/>
        <w:snapToGrid w:val="0"/>
        <w:spacing w:after="234" w:afterLines="75" w:line="288" w:lineRule="auto"/>
        <w:jc w:val="center"/>
        <w:rPr>
          <w:rFonts w:hint="eastAsia" w:ascii="Arial" w:hAnsi="Arial" w:eastAsia="宋体" w:cs="Arial"/>
          <w:b/>
          <w:snapToGrid w:val="0"/>
          <w:kern w:val="0"/>
          <w:sz w:val="52"/>
          <w:szCs w:val="52"/>
        </w:rPr>
      </w:pPr>
      <w:bookmarkStart w:id="0" w:name="OLE_LINK2"/>
      <w:bookmarkStart w:id="1" w:name="OLE_LINK1"/>
      <w:bookmarkStart w:id="33" w:name="_GoBack"/>
      <w:bookmarkEnd w:id="33"/>
    </w:p>
    <w:bookmarkEnd w:id="0"/>
    <w:bookmarkEnd w:id="1"/>
    <w:p w14:paraId="456B14A6">
      <w:pPr>
        <w:topLinePunct/>
        <w:adjustRightInd w:val="0"/>
        <w:snapToGrid w:val="0"/>
        <w:spacing w:after="234" w:afterLines="75" w:line="288" w:lineRule="auto"/>
        <w:jc w:val="center"/>
        <w:rPr>
          <w:rFonts w:ascii="Arial" w:hAnsi="Arial" w:eastAsia="宋体" w:cs="Arial"/>
          <w:b/>
          <w:snapToGrid w:val="0"/>
          <w:kern w:val="0"/>
          <w:sz w:val="52"/>
          <w:szCs w:val="52"/>
        </w:rPr>
      </w:pPr>
      <w:r>
        <w:rPr>
          <w:rFonts w:ascii="Arial" w:hAnsi="Arial" w:eastAsia="宋体" w:cs="Arial"/>
          <w:b/>
          <w:snapToGrid w:val="0"/>
          <w:kern w:val="0"/>
          <w:sz w:val="52"/>
          <w:szCs w:val="52"/>
        </w:rPr>
        <w:t>第三方项目根据1997 FDA现代化法案的实施；工作人员、行业和第三方最终指南</w:t>
      </w:r>
    </w:p>
    <w:p w14:paraId="59A5E949">
      <w:pPr>
        <w:topLinePunct/>
        <w:adjustRightInd w:val="0"/>
        <w:snapToGrid w:val="0"/>
        <w:spacing w:after="234" w:afterLines="75" w:line="288" w:lineRule="auto"/>
        <w:jc w:val="center"/>
        <w:rPr>
          <w:rFonts w:ascii="Arial" w:hAnsi="Arial" w:eastAsia="宋体" w:cs="Arial"/>
          <w:b/>
          <w:snapToGrid w:val="0"/>
          <w:kern w:val="0"/>
          <w:sz w:val="24"/>
        </w:rPr>
      </w:pPr>
    </w:p>
    <w:p w14:paraId="7A0268E3">
      <w:pPr>
        <w:topLinePunct/>
        <w:adjustRightInd w:val="0"/>
        <w:snapToGrid w:val="0"/>
        <w:spacing w:after="234" w:afterLines="75" w:line="288" w:lineRule="auto"/>
        <w:jc w:val="center"/>
        <w:rPr>
          <w:rFonts w:ascii="Arial" w:hAnsi="Arial" w:eastAsia="宋体" w:cs="Arial"/>
          <w:b/>
          <w:snapToGrid w:val="0"/>
          <w:kern w:val="0"/>
          <w:sz w:val="24"/>
        </w:rPr>
      </w:pPr>
      <w:r>
        <w:rPr>
          <w:rFonts w:ascii="Arial" w:hAnsi="Arial" w:eastAsia="宋体" w:cs="Arial"/>
          <w:b/>
          <w:snapToGrid w:val="0"/>
          <w:kern w:val="0"/>
          <w:sz w:val="24"/>
        </w:rPr>
        <w:t>文件颁布于2001年2月2日</w:t>
      </w:r>
    </w:p>
    <w:p w14:paraId="1115B16E">
      <w:pPr>
        <w:topLinePunct/>
        <w:adjustRightInd w:val="0"/>
        <w:snapToGrid w:val="0"/>
        <w:spacing w:after="234" w:afterLines="75" w:line="288" w:lineRule="auto"/>
        <w:jc w:val="center"/>
        <w:rPr>
          <w:rFonts w:ascii="Arial" w:hAnsi="Arial" w:eastAsia="宋体" w:cs="Arial"/>
          <w:b/>
          <w:snapToGrid w:val="0"/>
          <w:kern w:val="0"/>
          <w:sz w:val="24"/>
        </w:rPr>
      </w:pPr>
    </w:p>
    <w:p w14:paraId="616876C2">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本文件取代颁布于1998年10月30日题为</w:t>
      </w:r>
      <w:r>
        <w:rPr>
          <w:rFonts w:ascii="宋体" w:hAnsi="宋体" w:eastAsia="宋体" w:cs="Arial"/>
          <w:b/>
          <w:snapToGrid w:val="0"/>
          <w:kern w:val="0"/>
          <w:sz w:val="24"/>
        </w:rPr>
        <w:t>“</w:t>
      </w:r>
      <w:r>
        <w:rPr>
          <w:rFonts w:ascii="Arial" w:hAnsi="Arial" w:eastAsia="宋体" w:cs="Arial"/>
          <w:b/>
          <w:snapToGrid w:val="0"/>
          <w:kern w:val="0"/>
          <w:sz w:val="24"/>
        </w:rPr>
        <w:t>工作人员、行业和第三方指南：第三方项目根据1997 FDA现代化法案的实施</w:t>
      </w:r>
      <w:r>
        <w:rPr>
          <w:rFonts w:ascii="宋体" w:hAnsi="宋体" w:eastAsia="宋体" w:cs="Arial"/>
          <w:b/>
          <w:snapToGrid w:val="0"/>
          <w:kern w:val="0"/>
          <w:sz w:val="24"/>
        </w:rPr>
        <w:t>”</w:t>
      </w:r>
      <w:r>
        <w:rPr>
          <w:rFonts w:ascii="Arial" w:hAnsi="Arial" w:eastAsia="宋体" w:cs="Arial"/>
          <w:b/>
          <w:snapToGrid w:val="0"/>
          <w:kern w:val="0"/>
          <w:sz w:val="24"/>
        </w:rPr>
        <w:t>的文件。</w:t>
      </w:r>
    </w:p>
    <w:p w14:paraId="536A712A">
      <w:pPr>
        <w:topLinePunct/>
        <w:adjustRightInd w:val="0"/>
        <w:snapToGrid w:val="0"/>
        <w:spacing w:after="234" w:afterLines="75" w:line="288" w:lineRule="auto"/>
        <w:rPr>
          <w:rFonts w:ascii="Arial" w:hAnsi="Arial" w:eastAsia="宋体" w:cs="Arial"/>
          <w:b/>
          <w:snapToGrid w:val="0"/>
          <w:kern w:val="0"/>
          <w:sz w:val="24"/>
        </w:rPr>
      </w:pPr>
    </w:p>
    <w:p w14:paraId="5F49FA9C">
      <w:pPr>
        <w:topLinePunct/>
        <w:adjustRightInd w:val="0"/>
        <w:snapToGrid w:val="0"/>
        <w:spacing w:after="234" w:afterLines="75" w:line="288" w:lineRule="auto"/>
        <w:rPr>
          <w:rFonts w:ascii="Arial" w:hAnsi="Arial" w:eastAsia="宋体" w:cs="Arial"/>
          <w:b/>
          <w:snapToGrid w:val="0"/>
          <w:kern w:val="0"/>
          <w:sz w:val="24"/>
        </w:rPr>
      </w:pPr>
    </w:p>
    <w:p w14:paraId="2347DB17">
      <w:pPr>
        <w:topLinePunct/>
        <w:adjustRightInd w:val="0"/>
        <w:snapToGrid w:val="0"/>
        <w:spacing w:after="234" w:afterLines="75" w:line="288" w:lineRule="auto"/>
        <w:rPr>
          <w:rFonts w:ascii="Arial" w:hAnsi="Arial" w:eastAsia="宋体" w:cs="Arial"/>
          <w:b/>
          <w:snapToGrid w:val="0"/>
          <w:kern w:val="0"/>
          <w:sz w:val="24"/>
        </w:rPr>
      </w:pPr>
    </w:p>
    <w:p w14:paraId="31758282">
      <w:pPr>
        <w:topLinePunct/>
        <w:adjustRightInd w:val="0"/>
        <w:snapToGrid w:val="0"/>
        <w:spacing w:after="234" w:afterLines="75" w:line="288" w:lineRule="auto"/>
        <w:rPr>
          <w:rFonts w:ascii="Arial" w:hAnsi="Arial" w:eastAsia="宋体" w:cs="Arial"/>
          <w:b/>
          <w:snapToGrid w:val="0"/>
          <w:kern w:val="0"/>
          <w:sz w:val="24"/>
        </w:rPr>
      </w:pPr>
    </w:p>
    <w:p w14:paraId="2CD4D925">
      <w:pPr>
        <w:topLinePunct/>
        <w:adjustRightInd w:val="0"/>
        <w:snapToGrid w:val="0"/>
        <w:spacing w:after="234" w:afterLines="75" w:line="288" w:lineRule="auto"/>
        <w:rPr>
          <w:rFonts w:ascii="Arial" w:hAnsi="Arial" w:eastAsia="宋体" w:cs="Arial"/>
          <w:b/>
          <w:snapToGrid w:val="0"/>
          <w:kern w:val="0"/>
          <w:sz w:val="24"/>
        </w:rPr>
      </w:pPr>
      <w:r>
        <w:rPr>
          <w:rFonts w:hint="eastAsia" w:ascii="Arial" w:hAnsi="Arial" w:eastAsia="宋体" w:cs="Arial"/>
          <w:b/>
          <w:kern w:val="0"/>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33655</wp:posOffset>
            </wp:positionV>
            <wp:extent cx="1249045" cy="1306195"/>
            <wp:effectExtent l="0" t="0" r="825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49045" cy="1306195"/>
                    </a:xfrm>
                    <a:prstGeom prst="rect">
                      <a:avLst/>
                    </a:prstGeom>
                    <a:noFill/>
                    <a:ln>
                      <a:noFill/>
                    </a:ln>
                  </pic:spPr>
                </pic:pic>
              </a:graphicData>
            </a:graphic>
          </wp:anchor>
        </w:drawing>
      </w:r>
    </w:p>
    <w:p w14:paraId="69B244BB">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美国卫生和人类服务署</w:t>
      </w:r>
    </w:p>
    <w:p w14:paraId="371AB773">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食品药品监督管理局</w:t>
      </w:r>
    </w:p>
    <w:p w14:paraId="45A8B2C0">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器械和放射卫生中心</w:t>
      </w:r>
    </w:p>
    <w:p w14:paraId="0ED9633C">
      <w:pPr>
        <w:topLinePunct/>
        <w:adjustRightInd w:val="0"/>
        <w:snapToGrid w:val="0"/>
        <w:spacing w:line="288" w:lineRule="auto"/>
        <w:jc w:val="right"/>
        <w:rPr>
          <w:rFonts w:ascii="Arial" w:hAnsi="Arial" w:eastAsia="宋体" w:cs="Arial"/>
          <w:b/>
          <w:snapToGrid w:val="0"/>
          <w:kern w:val="0"/>
          <w:sz w:val="24"/>
        </w:rPr>
      </w:pPr>
    </w:p>
    <w:p w14:paraId="5D5F9D68">
      <w:pPr>
        <w:topLinePunct/>
        <w:adjustRightInd w:val="0"/>
        <w:snapToGrid w:val="0"/>
        <w:spacing w:line="288" w:lineRule="auto"/>
        <w:jc w:val="right"/>
        <w:rPr>
          <w:rFonts w:ascii="Arial" w:hAnsi="Arial" w:eastAsia="宋体" w:cs="Arial"/>
          <w:b/>
          <w:snapToGrid w:val="0"/>
          <w:kern w:val="0"/>
          <w:sz w:val="20"/>
          <w:szCs w:val="20"/>
        </w:rPr>
      </w:pPr>
      <w:r>
        <w:rPr>
          <w:rFonts w:hint="eastAsia" w:ascii="Arial" w:hAnsi="Arial" w:eastAsia="宋体" w:cs="Arial"/>
          <w:b/>
          <w:snapToGrid w:val="0"/>
          <w:kern w:val="0"/>
          <w:sz w:val="20"/>
          <w:szCs w:val="20"/>
        </w:rPr>
        <w:t>体外诊断试剂与放射项目办公室</w:t>
      </w:r>
    </w:p>
    <w:p w14:paraId="7176277A">
      <w:pPr>
        <w:topLinePunct/>
        <w:adjustRightInd w:val="0"/>
        <w:snapToGrid w:val="0"/>
        <w:spacing w:after="234" w:afterLines="75" w:line="288" w:lineRule="auto"/>
        <w:rPr>
          <w:rFonts w:ascii="Arial" w:hAnsi="Arial" w:eastAsia="宋体" w:cs="Arial"/>
          <w:snapToGrid w:val="0"/>
          <w:kern w:val="0"/>
          <w:sz w:val="24"/>
        </w:rPr>
      </w:pPr>
    </w:p>
    <w:p w14:paraId="632D4487">
      <w:pPr>
        <w:topLinePunct/>
        <w:adjustRightInd w:val="0"/>
        <w:snapToGrid w:val="0"/>
        <w:spacing w:after="234" w:afterLines="75" w:line="288" w:lineRule="auto"/>
        <w:rPr>
          <w:rFonts w:ascii="Arial" w:hAnsi="Arial" w:eastAsia="宋体" w:cs="Arial"/>
          <w:snapToGrid w:val="0"/>
          <w:kern w:val="0"/>
          <w:sz w:val="24"/>
        </w:rPr>
        <w:sectPr>
          <w:headerReference r:id="rId3" w:type="default"/>
          <w:pgSz w:w="11906" w:h="16838"/>
          <w:pgMar w:top="1134" w:right="1440" w:bottom="1134" w:left="1440" w:header="720" w:footer="720" w:gutter="0"/>
          <w:cols w:space="425" w:num="1"/>
          <w:docGrid w:type="lines" w:linePitch="312" w:charSpace="0"/>
        </w:sectPr>
      </w:pPr>
    </w:p>
    <w:p w14:paraId="1A128EFC">
      <w:pPr>
        <w:topLinePunct/>
        <w:adjustRightInd w:val="0"/>
        <w:snapToGrid w:val="0"/>
        <w:spacing w:after="234" w:afterLines="75" w:line="288" w:lineRule="auto"/>
        <w:jc w:val="center"/>
        <w:rPr>
          <w:rFonts w:ascii="Arial" w:hAnsi="Arial" w:eastAsia="宋体" w:cs="Arial"/>
          <w:b/>
          <w:snapToGrid w:val="0"/>
          <w:kern w:val="0"/>
          <w:sz w:val="52"/>
          <w:szCs w:val="52"/>
        </w:rPr>
      </w:pPr>
      <w:r>
        <w:rPr>
          <w:rFonts w:hint="eastAsia" w:ascii="Arial" w:hAnsi="Arial" w:eastAsia="宋体" w:cs="Arial"/>
          <w:b/>
          <w:snapToGrid w:val="0"/>
          <w:kern w:val="0"/>
          <w:sz w:val="52"/>
          <w:szCs w:val="52"/>
        </w:rPr>
        <w:t>前言</w:t>
      </w:r>
    </w:p>
    <w:p w14:paraId="4411EE3F">
      <w:pPr>
        <w:topLinePunct/>
        <w:adjustRightInd w:val="0"/>
        <w:snapToGrid w:val="0"/>
        <w:spacing w:after="234" w:afterLines="75" w:line="288" w:lineRule="auto"/>
        <w:rPr>
          <w:rFonts w:ascii="Arial" w:hAnsi="Arial" w:eastAsia="宋体" w:cs="Arial"/>
          <w:b/>
          <w:snapToGrid w:val="0"/>
          <w:kern w:val="0"/>
          <w:sz w:val="32"/>
          <w:szCs w:val="32"/>
        </w:rPr>
      </w:pPr>
      <w:r>
        <w:rPr>
          <w:rFonts w:ascii="Arial" w:hAnsi="Arial" w:eastAsia="宋体" w:cs="Arial"/>
          <w:b/>
          <w:snapToGrid w:val="0"/>
          <w:kern w:val="0"/>
          <w:sz w:val="32"/>
          <w:szCs w:val="32"/>
        </w:rPr>
        <w:t>公共评论</w:t>
      </w:r>
    </w:p>
    <w:p w14:paraId="1FDA87F0">
      <w:pPr>
        <w:topLinePunct/>
        <w:adjustRightInd w:val="0"/>
        <w:snapToGrid w:val="0"/>
        <w:spacing w:after="234" w:afterLines="75" w:line="288" w:lineRule="auto"/>
        <w:rPr>
          <w:rFonts w:ascii="Arial" w:hAnsi="Arial" w:eastAsia="宋体" w:cs="Arial"/>
          <w:snapToGrid w:val="0"/>
          <w:kern w:val="0"/>
          <w:sz w:val="24"/>
        </w:rPr>
      </w:pPr>
      <w:bookmarkStart w:id="2" w:name="OLE_LINK12"/>
      <w:bookmarkStart w:id="3" w:name="OLE_LINK13"/>
      <w:r>
        <w:rPr>
          <w:rFonts w:hint="eastAsia" w:ascii="Arial" w:hAnsi="Arial" w:eastAsia="宋体" w:cs="Arial"/>
          <w:snapToGrid w:val="0"/>
          <w:kern w:val="0"/>
          <w:sz w:val="24"/>
        </w:rPr>
        <w:t>为便于本机构收集评论和建议，书面评论和建议可以随时提交至食品药品监督管理局，人力资源和管理服务办公室，管理系统和政策司，案卷管理科（</w:t>
      </w:r>
      <w:r>
        <w:rPr>
          <w:rFonts w:ascii="Arial" w:hAnsi="Arial" w:eastAsia="宋体" w:cs="Arial"/>
          <w:snapToGrid w:val="0"/>
          <w:kern w:val="0"/>
          <w:sz w:val="24"/>
        </w:rPr>
        <w:t>5630 Fishers Lane，R</w:t>
      </w:r>
      <w:r>
        <w:rPr>
          <w:rFonts w:hint="eastAsia" w:ascii="Arial" w:hAnsi="Arial" w:eastAsia="宋体" w:cs="Arial"/>
          <w:snapToGrid w:val="0"/>
          <w:kern w:val="0"/>
          <w:sz w:val="24"/>
        </w:rPr>
        <w:t>oom</w:t>
      </w:r>
      <w:r>
        <w:rPr>
          <w:rFonts w:ascii="Arial" w:hAnsi="Arial" w:eastAsia="宋体" w:cs="Arial"/>
          <w:snapToGrid w:val="0"/>
          <w:kern w:val="0"/>
          <w:sz w:val="24"/>
        </w:rPr>
        <w:t xml:space="preserve"> 1061，（HFA-305），Rockville，MD，20852）。提交评论时，请为所有的评论注明文档标题。再次进行文件修订或更新之前，本机构可能不会针对评论采取行动。</w:t>
      </w:r>
    </w:p>
    <w:p w14:paraId="1CB0C5D7">
      <w:pPr>
        <w:topLinePunct/>
        <w:adjustRightInd w:val="0"/>
        <w:snapToGrid w:val="0"/>
        <w:spacing w:after="234" w:afterLines="75" w:line="288" w:lineRule="auto"/>
        <w:jc w:val="left"/>
        <w:rPr>
          <w:rFonts w:ascii="Arial" w:hAnsi="Arial" w:eastAsia="宋体" w:cs="Arial"/>
          <w:snapToGrid w:val="0"/>
          <w:kern w:val="0"/>
          <w:sz w:val="24"/>
        </w:rPr>
      </w:pPr>
      <w:r>
        <w:rPr>
          <w:rFonts w:ascii="Arial" w:hAnsi="Arial" w:eastAsia="宋体" w:cs="Arial"/>
          <w:snapToGrid w:val="0"/>
          <w:kern w:val="0"/>
          <w:sz w:val="24"/>
        </w:rPr>
        <w:t>关于本指南的使用或解读的任何问题，请通过电子邮件CDRHThirdPartyPremarketReviewProgram@fda.hhs.gov联系CDRH第三方上市前评估项目。</w:t>
      </w:r>
    </w:p>
    <w:p w14:paraId="7E0E7619">
      <w:pPr>
        <w:topLinePunct/>
        <w:adjustRightInd w:val="0"/>
        <w:snapToGrid w:val="0"/>
        <w:spacing w:after="234" w:afterLines="75" w:line="288" w:lineRule="auto"/>
        <w:rPr>
          <w:rFonts w:ascii="Arial" w:hAnsi="Arial" w:eastAsia="宋体" w:cs="Arial"/>
          <w:b/>
          <w:snapToGrid w:val="0"/>
          <w:kern w:val="0"/>
          <w:sz w:val="32"/>
          <w:szCs w:val="32"/>
        </w:rPr>
      </w:pPr>
      <w:r>
        <w:rPr>
          <w:rFonts w:ascii="Arial" w:hAnsi="Arial" w:eastAsia="宋体" w:cs="Arial"/>
          <w:b/>
          <w:snapToGrid w:val="0"/>
          <w:kern w:val="0"/>
          <w:sz w:val="32"/>
          <w:szCs w:val="32"/>
        </w:rPr>
        <w:t>其他副本</w:t>
      </w:r>
    </w:p>
    <w:p w14:paraId="7D914317">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其他副本可从互联网获得。您还可以向</w:t>
      </w:r>
      <w:r>
        <w:rPr>
          <w:rFonts w:ascii="Arial" w:hAnsi="Arial" w:eastAsia="宋体" w:cs="Arial"/>
          <w:snapToGrid w:val="0"/>
          <w:kern w:val="0"/>
          <w:sz w:val="24"/>
        </w:rPr>
        <w:t>CDRH-Guidance @fda.hhs.gov发送电子邮件请求以接收本指南的电子副本，或向301-847-8149发送传真请求以接收副本。请使用文件编号（1160）来注明您所要求获得的指南。</w:t>
      </w:r>
    </w:p>
    <w:bookmarkEnd w:id="2"/>
    <w:bookmarkEnd w:id="3"/>
    <w:p w14:paraId="528CAE2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2975FD1C">
      <w:pPr>
        <w:topLinePunct/>
        <w:adjustRightInd w:val="0"/>
        <w:snapToGrid w:val="0"/>
        <w:spacing w:after="234" w:afterLines="75" w:line="288" w:lineRule="auto"/>
        <w:jc w:val="center"/>
        <w:rPr>
          <w:rFonts w:ascii="Arial" w:hAnsi="Arial" w:eastAsia="宋体" w:cs="Arial"/>
          <w:b/>
          <w:snapToGrid w:val="0"/>
          <w:kern w:val="0"/>
          <w:sz w:val="52"/>
          <w:szCs w:val="52"/>
        </w:rPr>
      </w:pPr>
      <w:r>
        <w:rPr>
          <w:rFonts w:ascii="Arial" w:hAnsi="Arial" w:eastAsia="宋体" w:cs="Arial"/>
          <w:b/>
          <w:snapToGrid w:val="0"/>
          <w:kern w:val="0"/>
          <w:sz w:val="52"/>
          <w:szCs w:val="52"/>
        </w:rPr>
        <w:t>目录</w:t>
      </w:r>
    </w:p>
    <w:p w14:paraId="08E47E07">
      <w:pPr>
        <w:pStyle w:val="6"/>
        <w:rPr>
          <w:rFonts w:asciiTheme="minorHAnsi" w:hAnsiTheme="minorHAnsi"/>
          <w:sz w:val="21"/>
        </w:rPr>
      </w:pPr>
      <w:r>
        <w:rPr>
          <w:rFonts w:eastAsia="宋体" w:cs="Arial"/>
          <w:snapToGrid w:val="0"/>
          <w:kern w:val="0"/>
        </w:rPr>
        <w:fldChar w:fldCharType="begin"/>
      </w:r>
      <w:r>
        <w:rPr>
          <w:rFonts w:eastAsia="宋体" w:cs="Arial"/>
          <w:snapToGrid w:val="0"/>
          <w:kern w:val="0"/>
        </w:rPr>
        <w:instrText xml:space="preserve"> TOC \o "1-3" \n \h \z \u </w:instrText>
      </w:r>
      <w:r>
        <w:rPr>
          <w:rFonts w:eastAsia="宋体" w:cs="Arial"/>
          <w:snapToGrid w:val="0"/>
          <w:kern w:val="0"/>
        </w:rPr>
        <w:fldChar w:fldCharType="separate"/>
      </w:r>
      <w:r>
        <w:fldChar w:fldCharType="begin"/>
      </w:r>
      <w:r>
        <w:instrText xml:space="preserve"> HYPERLINK \l "_Toc501379942" </w:instrText>
      </w:r>
      <w:r>
        <w:fldChar w:fldCharType="separate"/>
      </w:r>
      <w:r>
        <w:rPr>
          <w:rStyle w:val="11"/>
          <w:rFonts w:eastAsia="宋体" w:cs="Arial"/>
          <w:snapToGrid w:val="0"/>
          <w:kern w:val="0"/>
          <w:u w:val="none"/>
        </w:rPr>
        <w:t>I.</w:t>
      </w:r>
      <w:r>
        <w:rPr>
          <w:rFonts w:asciiTheme="minorHAnsi" w:hAnsiTheme="minorHAnsi"/>
          <w:sz w:val="21"/>
        </w:rPr>
        <w:tab/>
      </w:r>
      <w:r>
        <w:rPr>
          <w:rStyle w:val="11"/>
          <w:rFonts w:hint="eastAsia" w:eastAsia="宋体" w:cs="Arial"/>
          <w:snapToGrid w:val="0"/>
          <w:kern w:val="0"/>
          <w:u w:val="none"/>
        </w:rPr>
        <w:t>本指南的目的是什么？</w:t>
      </w:r>
      <w:r>
        <w:rPr>
          <w:rStyle w:val="11"/>
          <w:rFonts w:hint="eastAsia" w:eastAsia="宋体" w:cs="Arial"/>
          <w:snapToGrid w:val="0"/>
          <w:kern w:val="0"/>
          <w:u w:val="none"/>
        </w:rPr>
        <w:fldChar w:fldCharType="end"/>
      </w:r>
    </w:p>
    <w:p w14:paraId="327B1FAE">
      <w:pPr>
        <w:pStyle w:val="6"/>
        <w:rPr>
          <w:rFonts w:asciiTheme="minorHAnsi" w:hAnsiTheme="minorHAnsi"/>
          <w:sz w:val="21"/>
        </w:rPr>
      </w:pPr>
      <w:r>
        <w:fldChar w:fldCharType="begin"/>
      </w:r>
      <w:r>
        <w:instrText xml:space="preserve"> HYPERLINK \l "_Toc501379943" </w:instrText>
      </w:r>
      <w:r>
        <w:fldChar w:fldCharType="separate"/>
      </w:r>
      <w:r>
        <w:rPr>
          <w:rStyle w:val="11"/>
          <w:rFonts w:eastAsia="宋体" w:cs="Arial"/>
          <w:snapToGrid w:val="0"/>
          <w:kern w:val="0"/>
          <w:u w:val="none"/>
        </w:rPr>
        <w:t>II.</w:t>
      </w:r>
      <w:r>
        <w:rPr>
          <w:rFonts w:asciiTheme="minorHAnsi" w:hAnsiTheme="minorHAnsi"/>
          <w:sz w:val="21"/>
        </w:rPr>
        <w:tab/>
      </w:r>
      <w:r>
        <w:rPr>
          <w:rStyle w:val="11"/>
          <w:rFonts w:hint="eastAsia" w:eastAsia="宋体" w:cs="Arial"/>
          <w:snapToGrid w:val="0"/>
          <w:kern w:val="0"/>
          <w:u w:val="none"/>
        </w:rPr>
        <w:t>引言</w:t>
      </w:r>
      <w:r>
        <w:rPr>
          <w:rStyle w:val="11"/>
          <w:rFonts w:hint="eastAsia" w:eastAsia="宋体" w:cs="Arial"/>
          <w:snapToGrid w:val="0"/>
          <w:kern w:val="0"/>
          <w:u w:val="none"/>
        </w:rPr>
        <w:fldChar w:fldCharType="end"/>
      </w:r>
    </w:p>
    <w:p w14:paraId="6A74B620">
      <w:pPr>
        <w:pStyle w:val="7"/>
        <w:rPr>
          <w:rFonts w:asciiTheme="minorHAnsi" w:hAnsiTheme="minorHAnsi"/>
          <w:sz w:val="21"/>
        </w:rPr>
      </w:pPr>
      <w:r>
        <w:fldChar w:fldCharType="begin"/>
      </w:r>
      <w:r>
        <w:instrText xml:space="preserve"> HYPERLINK \l "_Toc501379944" </w:instrText>
      </w:r>
      <w:r>
        <w:fldChar w:fldCharType="separate"/>
      </w:r>
      <w:r>
        <w:rPr>
          <w:rStyle w:val="11"/>
          <w:rFonts w:eastAsia="宋体" w:cs="Arial"/>
          <w:snapToGrid w:val="0"/>
          <w:kern w:val="0"/>
        </w:rPr>
        <w:t>A.</w:t>
      </w:r>
      <w:r>
        <w:rPr>
          <w:rFonts w:asciiTheme="minorHAnsi" w:hAnsiTheme="minorHAnsi"/>
          <w:sz w:val="21"/>
        </w:rPr>
        <w:tab/>
      </w:r>
      <w:r>
        <w:rPr>
          <w:rStyle w:val="11"/>
          <w:rFonts w:hint="eastAsia" w:eastAsia="宋体" w:cs="Arial"/>
          <w:snapToGrid w:val="0"/>
          <w:kern w:val="0"/>
        </w:rPr>
        <w:t>医疗器械第三方审查的历史是什么？</w:t>
      </w:r>
      <w:r>
        <w:rPr>
          <w:rStyle w:val="11"/>
          <w:rFonts w:hint="eastAsia" w:eastAsia="宋体" w:cs="Arial"/>
          <w:snapToGrid w:val="0"/>
          <w:kern w:val="0"/>
        </w:rPr>
        <w:fldChar w:fldCharType="end"/>
      </w:r>
    </w:p>
    <w:p w14:paraId="0741601D">
      <w:pPr>
        <w:pStyle w:val="2"/>
        <w:numPr>
          <w:ilvl w:val="0"/>
          <w:numId w:val="1"/>
        </w:numPr>
        <w:ind w:leftChars="0" w:firstLineChars="0"/>
        <w:rPr>
          <w:rFonts w:asciiTheme="minorHAnsi" w:hAnsiTheme="minorHAnsi"/>
          <w:sz w:val="21"/>
        </w:rPr>
      </w:pPr>
      <w:r>
        <w:fldChar w:fldCharType="begin"/>
      </w:r>
      <w:r>
        <w:instrText xml:space="preserve"> HYPERLINK \l "_Toc501379945" </w:instrText>
      </w:r>
      <w:r>
        <w:fldChar w:fldCharType="separate"/>
      </w:r>
      <w:r>
        <w:rPr>
          <w:rStyle w:val="11"/>
          <w:rFonts w:hint="eastAsia" w:eastAsia="宋体" w:cs="Arial"/>
          <w:snapToGrid w:val="0"/>
          <w:kern w:val="0"/>
        </w:rPr>
        <w:t>第</w:t>
      </w:r>
      <w:r>
        <w:rPr>
          <w:rStyle w:val="11"/>
          <w:rFonts w:eastAsia="宋体" w:cs="Arial"/>
          <w:snapToGrid w:val="0"/>
          <w:kern w:val="0"/>
        </w:rPr>
        <w:t>510</w:t>
      </w:r>
      <w:r>
        <w:rPr>
          <w:rStyle w:val="11"/>
          <w:rFonts w:hint="eastAsia" w:eastAsia="宋体" w:cs="Arial"/>
          <w:snapToGrid w:val="0"/>
          <w:kern w:val="0"/>
        </w:rPr>
        <w:t>（</w:t>
      </w:r>
      <w:r>
        <w:rPr>
          <w:rStyle w:val="11"/>
          <w:rFonts w:eastAsia="宋体" w:cs="Arial"/>
          <w:snapToGrid w:val="0"/>
          <w:kern w:val="0"/>
        </w:rPr>
        <w:t>k</w:t>
      </w:r>
      <w:r>
        <w:rPr>
          <w:rStyle w:val="11"/>
          <w:rFonts w:hint="eastAsia" w:eastAsia="宋体" w:cs="Arial"/>
          <w:snapToGrid w:val="0"/>
          <w:kern w:val="0"/>
        </w:rPr>
        <w:t>）部分的目的</w:t>
      </w:r>
      <w:r>
        <w:rPr>
          <w:rStyle w:val="11"/>
          <w:rFonts w:hint="eastAsia" w:eastAsia="宋体" w:cs="Arial"/>
          <w:snapToGrid w:val="0"/>
          <w:kern w:val="0"/>
        </w:rPr>
        <w:fldChar w:fldCharType="end"/>
      </w:r>
    </w:p>
    <w:p w14:paraId="3C4CD83C">
      <w:pPr>
        <w:pStyle w:val="2"/>
        <w:numPr>
          <w:ilvl w:val="0"/>
          <w:numId w:val="1"/>
        </w:numPr>
        <w:ind w:leftChars="0" w:firstLineChars="0"/>
        <w:rPr>
          <w:rFonts w:asciiTheme="minorHAnsi" w:hAnsiTheme="minorHAnsi"/>
          <w:sz w:val="21"/>
        </w:rPr>
      </w:pPr>
      <w:r>
        <w:fldChar w:fldCharType="begin"/>
      </w:r>
      <w:r>
        <w:instrText xml:space="preserve"> HYPERLINK \l "_Toc501379946" </w:instrText>
      </w:r>
      <w:r>
        <w:fldChar w:fldCharType="separate"/>
      </w:r>
      <w:r>
        <w:rPr>
          <w:rStyle w:val="11"/>
          <w:rFonts w:hint="eastAsia" w:eastAsia="宋体" w:cs="Arial"/>
          <w:snapToGrid w:val="0"/>
          <w:kern w:val="0"/>
        </w:rPr>
        <w:t>第三方审查试点项目</w:t>
      </w:r>
      <w:r>
        <w:rPr>
          <w:rStyle w:val="11"/>
          <w:rFonts w:hint="eastAsia" w:eastAsia="宋体" w:cs="Arial"/>
          <w:snapToGrid w:val="0"/>
          <w:kern w:val="0"/>
        </w:rPr>
        <w:fldChar w:fldCharType="end"/>
      </w:r>
    </w:p>
    <w:p w14:paraId="39534138">
      <w:pPr>
        <w:pStyle w:val="2"/>
        <w:numPr>
          <w:ilvl w:val="0"/>
          <w:numId w:val="1"/>
        </w:numPr>
        <w:ind w:leftChars="0" w:firstLineChars="0"/>
        <w:rPr>
          <w:rFonts w:asciiTheme="minorHAnsi" w:hAnsiTheme="minorHAnsi"/>
          <w:sz w:val="21"/>
        </w:rPr>
      </w:pPr>
      <w:r>
        <w:fldChar w:fldCharType="begin"/>
      </w:r>
      <w:r>
        <w:instrText xml:space="preserve"> HYPERLINK \l "_Toc501379947" </w:instrText>
      </w:r>
      <w:r>
        <w:fldChar w:fldCharType="separate"/>
      </w:r>
      <w:r>
        <w:rPr>
          <w:rStyle w:val="11"/>
          <w:rFonts w:eastAsia="宋体" w:cs="Arial"/>
          <w:snapToGrid w:val="0"/>
          <w:kern w:val="0"/>
        </w:rPr>
        <w:t>FDAMA</w:t>
      </w:r>
      <w:r>
        <w:rPr>
          <w:rStyle w:val="11"/>
          <w:rFonts w:eastAsia="宋体" w:cs="Arial"/>
          <w:snapToGrid w:val="0"/>
          <w:kern w:val="0"/>
        </w:rPr>
        <w:fldChar w:fldCharType="end"/>
      </w:r>
    </w:p>
    <w:p w14:paraId="1523A4D4">
      <w:pPr>
        <w:pStyle w:val="7"/>
        <w:rPr>
          <w:rFonts w:asciiTheme="minorHAnsi" w:hAnsiTheme="minorHAnsi"/>
          <w:sz w:val="21"/>
        </w:rPr>
      </w:pPr>
      <w:r>
        <w:fldChar w:fldCharType="begin"/>
      </w:r>
      <w:r>
        <w:instrText xml:space="preserve"> HYPERLINK \l "_Toc501379948" </w:instrText>
      </w:r>
      <w:r>
        <w:fldChar w:fldCharType="separate"/>
      </w:r>
      <w:r>
        <w:rPr>
          <w:rStyle w:val="11"/>
          <w:rFonts w:eastAsia="宋体" w:cs="Arial"/>
          <w:snapToGrid w:val="0"/>
          <w:kern w:val="0"/>
        </w:rPr>
        <w:t>B.</w:t>
      </w:r>
      <w:r>
        <w:rPr>
          <w:rFonts w:asciiTheme="minorHAnsi" w:hAnsiTheme="minorHAnsi"/>
          <w:sz w:val="21"/>
        </w:rPr>
        <w:tab/>
      </w:r>
      <w:r>
        <w:rPr>
          <w:rStyle w:val="11"/>
          <w:rFonts w:hint="eastAsia" w:eastAsia="宋体" w:cs="Arial"/>
          <w:snapToGrid w:val="0"/>
          <w:kern w:val="0"/>
        </w:rPr>
        <w:t>什么是认证人员审查项目？</w:t>
      </w:r>
      <w:r>
        <w:rPr>
          <w:rStyle w:val="11"/>
          <w:rFonts w:hint="eastAsia" w:eastAsia="宋体" w:cs="Arial"/>
          <w:snapToGrid w:val="0"/>
          <w:kern w:val="0"/>
        </w:rPr>
        <w:fldChar w:fldCharType="end"/>
      </w:r>
    </w:p>
    <w:p w14:paraId="628D6EA5">
      <w:pPr>
        <w:pStyle w:val="2"/>
        <w:numPr>
          <w:ilvl w:val="0"/>
          <w:numId w:val="2"/>
        </w:numPr>
        <w:ind w:leftChars="0" w:firstLineChars="0"/>
        <w:rPr>
          <w:rFonts w:asciiTheme="minorHAnsi" w:hAnsiTheme="minorHAnsi"/>
          <w:sz w:val="21"/>
        </w:rPr>
      </w:pPr>
      <w:r>
        <w:fldChar w:fldCharType="begin"/>
      </w:r>
      <w:r>
        <w:instrText xml:space="preserve"> HYPERLINK \l "_Toc501379949" </w:instrText>
      </w:r>
      <w:r>
        <w:fldChar w:fldCharType="separate"/>
      </w:r>
      <w:r>
        <w:rPr>
          <w:rStyle w:val="11"/>
          <w:rFonts w:hint="eastAsia" w:eastAsia="宋体" w:cs="Arial"/>
          <w:snapToGrid w:val="0"/>
          <w:kern w:val="0"/>
        </w:rPr>
        <w:t>项目的目的和性质</w:t>
      </w:r>
      <w:r>
        <w:rPr>
          <w:rStyle w:val="11"/>
          <w:rFonts w:hint="eastAsia" w:eastAsia="宋体" w:cs="Arial"/>
          <w:snapToGrid w:val="0"/>
          <w:kern w:val="0"/>
        </w:rPr>
        <w:fldChar w:fldCharType="end"/>
      </w:r>
    </w:p>
    <w:p w14:paraId="081168E5">
      <w:pPr>
        <w:pStyle w:val="2"/>
        <w:numPr>
          <w:ilvl w:val="0"/>
          <w:numId w:val="2"/>
        </w:numPr>
        <w:ind w:leftChars="0" w:firstLineChars="0"/>
        <w:rPr>
          <w:rFonts w:asciiTheme="minorHAnsi" w:hAnsiTheme="minorHAnsi"/>
          <w:sz w:val="21"/>
        </w:rPr>
      </w:pPr>
      <w:r>
        <w:fldChar w:fldCharType="begin"/>
      </w:r>
      <w:r>
        <w:instrText xml:space="preserve"> HYPERLINK \l "_Toc501379950" </w:instrText>
      </w:r>
      <w:r>
        <w:fldChar w:fldCharType="separate"/>
      </w:r>
      <w:r>
        <w:rPr>
          <w:rStyle w:val="11"/>
          <w:rFonts w:hint="eastAsia" w:eastAsia="宋体" w:cs="Arial"/>
          <w:snapToGrid w:val="0"/>
          <w:kern w:val="0"/>
        </w:rPr>
        <w:t>哪些器械符合认证人员审查资格？</w:t>
      </w:r>
      <w:r>
        <w:rPr>
          <w:rStyle w:val="11"/>
          <w:rFonts w:hint="eastAsia" w:eastAsia="宋体" w:cs="Arial"/>
          <w:snapToGrid w:val="0"/>
          <w:kern w:val="0"/>
        </w:rPr>
        <w:fldChar w:fldCharType="end"/>
      </w:r>
    </w:p>
    <w:p w14:paraId="733904AC">
      <w:pPr>
        <w:pStyle w:val="2"/>
        <w:numPr>
          <w:ilvl w:val="0"/>
          <w:numId w:val="2"/>
        </w:numPr>
        <w:ind w:leftChars="0" w:firstLineChars="0"/>
        <w:rPr>
          <w:rFonts w:asciiTheme="minorHAnsi" w:hAnsiTheme="minorHAnsi"/>
          <w:sz w:val="21"/>
        </w:rPr>
      </w:pPr>
      <w:r>
        <w:fldChar w:fldCharType="begin"/>
      </w:r>
      <w:r>
        <w:instrText xml:space="preserve"> HYPERLINK \l "_Toc501379951" </w:instrText>
      </w:r>
      <w:r>
        <w:fldChar w:fldCharType="separate"/>
      </w:r>
      <w:r>
        <w:rPr>
          <w:rStyle w:val="11"/>
          <w:rFonts w:hint="eastAsia" w:eastAsia="宋体" w:cs="Arial"/>
          <w:snapToGrid w:val="0"/>
          <w:kern w:val="0"/>
        </w:rPr>
        <w:t>如何成为认证人员？</w:t>
      </w:r>
      <w:r>
        <w:rPr>
          <w:rStyle w:val="11"/>
          <w:rFonts w:hint="eastAsia" w:eastAsia="宋体" w:cs="Arial"/>
          <w:snapToGrid w:val="0"/>
          <w:kern w:val="0"/>
        </w:rPr>
        <w:fldChar w:fldCharType="end"/>
      </w:r>
    </w:p>
    <w:p w14:paraId="68D89665">
      <w:pPr>
        <w:pStyle w:val="2"/>
        <w:numPr>
          <w:ilvl w:val="0"/>
          <w:numId w:val="2"/>
        </w:numPr>
        <w:ind w:leftChars="0" w:firstLineChars="0"/>
        <w:rPr>
          <w:rFonts w:asciiTheme="minorHAnsi" w:hAnsiTheme="minorHAnsi"/>
          <w:sz w:val="21"/>
        </w:rPr>
      </w:pPr>
      <w:r>
        <w:fldChar w:fldCharType="begin"/>
      </w:r>
      <w:r>
        <w:instrText xml:space="preserve"> HYPERLINK \l "_Toc501379952" </w:instrText>
      </w:r>
      <w:r>
        <w:fldChar w:fldCharType="separate"/>
      </w:r>
      <w:r>
        <w:rPr>
          <w:rStyle w:val="11"/>
          <w:rFonts w:hint="eastAsia" w:eastAsia="宋体" w:cs="Arial"/>
          <w:snapToGrid w:val="0"/>
          <w:kern w:val="0"/>
        </w:rPr>
        <w:t>什么时候可以取消您的认证？</w:t>
      </w:r>
      <w:r>
        <w:rPr>
          <w:rStyle w:val="11"/>
          <w:rFonts w:hint="eastAsia" w:eastAsia="宋体" w:cs="Arial"/>
          <w:snapToGrid w:val="0"/>
          <w:kern w:val="0"/>
        </w:rPr>
        <w:fldChar w:fldCharType="end"/>
      </w:r>
    </w:p>
    <w:p w14:paraId="5A4FF205">
      <w:pPr>
        <w:pStyle w:val="2"/>
        <w:numPr>
          <w:ilvl w:val="0"/>
          <w:numId w:val="2"/>
        </w:numPr>
        <w:ind w:leftChars="0" w:firstLineChars="0"/>
        <w:rPr>
          <w:rFonts w:asciiTheme="minorHAnsi" w:hAnsiTheme="minorHAnsi"/>
          <w:sz w:val="21"/>
        </w:rPr>
      </w:pPr>
      <w:r>
        <w:fldChar w:fldCharType="begin"/>
      </w:r>
      <w:r>
        <w:instrText xml:space="preserve"> HYPERLINK \l "_Toc501379953" </w:instrText>
      </w:r>
      <w:r>
        <w:fldChar w:fldCharType="separate"/>
      </w:r>
      <w:r>
        <w:rPr>
          <w:rStyle w:val="11"/>
          <w:rFonts w:hint="eastAsia" w:eastAsia="宋体" w:cs="Arial"/>
          <w:snapToGrid w:val="0"/>
          <w:kern w:val="0"/>
        </w:rPr>
        <w:t>成为认证人员需要哪些资格？</w:t>
      </w:r>
      <w:r>
        <w:rPr>
          <w:rStyle w:val="11"/>
          <w:rFonts w:hint="eastAsia" w:eastAsia="宋体" w:cs="Arial"/>
          <w:snapToGrid w:val="0"/>
          <w:kern w:val="0"/>
        </w:rPr>
        <w:fldChar w:fldCharType="end"/>
      </w:r>
    </w:p>
    <w:p w14:paraId="3D4664DB">
      <w:pPr>
        <w:pStyle w:val="2"/>
        <w:numPr>
          <w:ilvl w:val="0"/>
          <w:numId w:val="2"/>
        </w:numPr>
        <w:ind w:leftChars="0" w:firstLineChars="0"/>
        <w:rPr>
          <w:rFonts w:asciiTheme="minorHAnsi" w:hAnsiTheme="minorHAnsi"/>
          <w:sz w:val="21"/>
        </w:rPr>
      </w:pPr>
      <w:r>
        <w:fldChar w:fldCharType="begin"/>
      </w:r>
      <w:r>
        <w:instrText xml:space="preserve"> HYPERLINK \l "_Toc501379954" </w:instrText>
      </w:r>
      <w:r>
        <w:fldChar w:fldCharType="separate"/>
      </w:r>
      <w:r>
        <w:rPr>
          <w:rStyle w:val="11"/>
          <w:rFonts w:hint="eastAsia" w:eastAsia="宋体" w:cs="Arial"/>
          <w:snapToGrid w:val="0"/>
          <w:kern w:val="0"/>
        </w:rPr>
        <w:t>认证人员的确定</w:t>
      </w:r>
      <w:r>
        <w:rPr>
          <w:rStyle w:val="11"/>
          <w:rFonts w:hint="eastAsia" w:eastAsia="宋体" w:cs="Arial"/>
          <w:snapToGrid w:val="0"/>
          <w:kern w:val="0"/>
        </w:rPr>
        <w:fldChar w:fldCharType="end"/>
      </w:r>
    </w:p>
    <w:p w14:paraId="5149DD41">
      <w:pPr>
        <w:pStyle w:val="2"/>
        <w:numPr>
          <w:ilvl w:val="0"/>
          <w:numId w:val="2"/>
        </w:numPr>
        <w:ind w:leftChars="0" w:firstLineChars="0"/>
        <w:rPr>
          <w:rFonts w:asciiTheme="minorHAnsi" w:hAnsiTheme="minorHAnsi"/>
          <w:sz w:val="21"/>
        </w:rPr>
      </w:pPr>
      <w:r>
        <w:fldChar w:fldCharType="begin"/>
      </w:r>
      <w:r>
        <w:instrText xml:space="preserve"> HYPERLINK \l "_Toc501379955" </w:instrText>
      </w:r>
      <w:r>
        <w:fldChar w:fldCharType="separate"/>
      </w:r>
      <w:r>
        <w:rPr>
          <w:rStyle w:val="11"/>
          <w:rFonts w:hint="eastAsia" w:eastAsia="宋体" w:cs="Arial"/>
          <w:snapToGrid w:val="0"/>
          <w:kern w:val="0"/>
        </w:rPr>
        <w:t>认证人员提交给</w:t>
      </w:r>
      <w:r>
        <w:rPr>
          <w:rStyle w:val="11"/>
          <w:rFonts w:eastAsia="宋体" w:cs="Arial"/>
          <w:snapToGrid w:val="0"/>
          <w:kern w:val="0"/>
        </w:rPr>
        <w:t>FDA</w:t>
      </w:r>
      <w:r>
        <w:rPr>
          <w:rStyle w:val="11"/>
          <w:rFonts w:hint="eastAsia" w:eastAsia="宋体" w:cs="Arial"/>
          <w:snapToGrid w:val="0"/>
          <w:kern w:val="0"/>
        </w:rPr>
        <w:t>的审查材料</w:t>
      </w:r>
      <w:r>
        <w:rPr>
          <w:rStyle w:val="11"/>
          <w:rFonts w:hint="eastAsia" w:eastAsia="宋体" w:cs="Arial"/>
          <w:snapToGrid w:val="0"/>
          <w:kern w:val="0"/>
        </w:rPr>
        <w:fldChar w:fldCharType="end"/>
      </w:r>
    </w:p>
    <w:p w14:paraId="2886B7CD">
      <w:pPr>
        <w:pStyle w:val="2"/>
        <w:numPr>
          <w:ilvl w:val="0"/>
          <w:numId w:val="2"/>
        </w:numPr>
        <w:ind w:leftChars="0" w:firstLineChars="0"/>
        <w:rPr>
          <w:rFonts w:asciiTheme="minorHAnsi" w:hAnsiTheme="minorHAnsi"/>
          <w:sz w:val="21"/>
        </w:rPr>
      </w:pPr>
      <w:r>
        <w:fldChar w:fldCharType="begin"/>
      </w:r>
      <w:r>
        <w:instrText xml:space="preserve"> HYPERLINK \l "_Toc501379956" </w:instrText>
      </w:r>
      <w:r>
        <w:fldChar w:fldCharType="separate"/>
      </w:r>
      <w:r>
        <w:rPr>
          <w:rStyle w:val="11"/>
          <w:rFonts w:eastAsia="宋体" w:cs="Arial"/>
          <w:snapToGrid w:val="0"/>
          <w:kern w:val="0"/>
        </w:rPr>
        <w:t>FDA</w:t>
      </w:r>
      <w:r>
        <w:rPr>
          <w:rStyle w:val="11"/>
          <w:rFonts w:hint="eastAsia" w:eastAsia="宋体" w:cs="Arial"/>
          <w:snapToGrid w:val="0"/>
          <w:kern w:val="0"/>
        </w:rPr>
        <w:t>的文件处理</w:t>
      </w:r>
      <w:r>
        <w:rPr>
          <w:rStyle w:val="11"/>
          <w:rFonts w:hint="eastAsia" w:eastAsia="宋体" w:cs="Arial"/>
          <w:snapToGrid w:val="0"/>
          <w:kern w:val="0"/>
        </w:rPr>
        <w:fldChar w:fldCharType="end"/>
      </w:r>
    </w:p>
    <w:p w14:paraId="45444FD0">
      <w:pPr>
        <w:pStyle w:val="2"/>
        <w:numPr>
          <w:ilvl w:val="0"/>
          <w:numId w:val="2"/>
        </w:numPr>
        <w:ind w:leftChars="0" w:firstLineChars="0"/>
        <w:rPr>
          <w:rFonts w:asciiTheme="minorHAnsi" w:hAnsiTheme="minorHAnsi"/>
          <w:sz w:val="21"/>
        </w:rPr>
      </w:pPr>
      <w:r>
        <w:fldChar w:fldCharType="begin"/>
      </w:r>
      <w:r>
        <w:instrText xml:space="preserve"> HYPERLINK \l "_Toc501379957" </w:instrText>
      </w:r>
      <w:r>
        <w:fldChar w:fldCharType="separate"/>
      </w:r>
      <w:r>
        <w:rPr>
          <w:rStyle w:val="11"/>
          <w:rFonts w:hint="eastAsia" w:eastAsia="宋体" w:cs="Arial"/>
          <w:snapToGrid w:val="0"/>
          <w:kern w:val="0"/>
        </w:rPr>
        <w:t>那些信息是保密的？</w:t>
      </w:r>
      <w:r>
        <w:rPr>
          <w:rStyle w:val="11"/>
          <w:rFonts w:hint="eastAsia" w:eastAsia="宋体" w:cs="Arial"/>
          <w:snapToGrid w:val="0"/>
          <w:kern w:val="0"/>
        </w:rPr>
        <w:fldChar w:fldCharType="end"/>
      </w:r>
    </w:p>
    <w:p w14:paraId="647B6300">
      <w:pPr>
        <w:pStyle w:val="2"/>
        <w:numPr>
          <w:ilvl w:val="0"/>
          <w:numId w:val="2"/>
        </w:numPr>
        <w:ind w:leftChars="0" w:firstLineChars="0"/>
        <w:rPr>
          <w:rFonts w:asciiTheme="minorHAnsi" w:hAnsiTheme="minorHAnsi"/>
          <w:sz w:val="21"/>
        </w:rPr>
      </w:pPr>
      <w:r>
        <w:fldChar w:fldCharType="begin"/>
      </w:r>
      <w:r>
        <w:instrText xml:space="preserve"> HYPERLINK \l "_Toc501379958" </w:instrText>
      </w:r>
      <w:r>
        <w:fldChar w:fldCharType="separate"/>
      </w:r>
      <w:r>
        <w:rPr>
          <w:rStyle w:val="11"/>
          <w:rFonts w:hint="eastAsia" w:eastAsia="宋体" w:cs="Arial"/>
          <w:snapToGrid w:val="0"/>
          <w:kern w:val="0"/>
        </w:rPr>
        <w:t>哪些记录应该由认证人员保留？</w:t>
      </w:r>
      <w:r>
        <w:rPr>
          <w:rStyle w:val="11"/>
          <w:rFonts w:hint="eastAsia" w:eastAsia="宋体" w:cs="Arial"/>
          <w:snapToGrid w:val="0"/>
          <w:kern w:val="0"/>
        </w:rPr>
        <w:fldChar w:fldCharType="end"/>
      </w:r>
    </w:p>
    <w:p w14:paraId="4D28A5C8">
      <w:pPr>
        <w:pStyle w:val="2"/>
        <w:numPr>
          <w:ilvl w:val="0"/>
          <w:numId w:val="2"/>
        </w:numPr>
        <w:ind w:leftChars="0" w:firstLineChars="0"/>
        <w:rPr>
          <w:rFonts w:asciiTheme="minorHAnsi" w:hAnsiTheme="minorHAnsi"/>
          <w:sz w:val="21"/>
        </w:rPr>
      </w:pPr>
      <w:r>
        <w:fldChar w:fldCharType="begin"/>
      </w:r>
      <w:r>
        <w:instrText xml:space="preserve"> HYPERLINK \l "_Toc501379959" </w:instrText>
      </w:r>
      <w:r>
        <w:fldChar w:fldCharType="separate"/>
      </w:r>
      <w:r>
        <w:rPr>
          <w:rStyle w:val="11"/>
          <w:rFonts w:hint="eastAsia" w:eastAsia="宋体" w:cs="Arial"/>
          <w:snapToGrid w:val="0"/>
          <w:kern w:val="0"/>
        </w:rPr>
        <w:t>哪些费用可以由认证人员评估？</w:t>
      </w:r>
      <w:r>
        <w:rPr>
          <w:rStyle w:val="11"/>
          <w:rFonts w:hint="eastAsia" w:eastAsia="宋体" w:cs="Arial"/>
          <w:snapToGrid w:val="0"/>
          <w:kern w:val="0"/>
        </w:rPr>
        <w:fldChar w:fldCharType="end"/>
      </w:r>
    </w:p>
    <w:p w14:paraId="5E08C0D9">
      <w:pPr>
        <w:pStyle w:val="6"/>
        <w:rPr>
          <w:rFonts w:asciiTheme="minorHAnsi" w:hAnsiTheme="minorHAnsi"/>
          <w:sz w:val="21"/>
        </w:rPr>
      </w:pPr>
      <w:r>
        <w:fldChar w:fldCharType="begin"/>
      </w:r>
      <w:r>
        <w:instrText xml:space="preserve"> HYPERLINK \l "_Toc501379960" </w:instrText>
      </w:r>
      <w:r>
        <w:fldChar w:fldCharType="separate"/>
      </w:r>
      <w:r>
        <w:rPr>
          <w:rStyle w:val="11"/>
          <w:rFonts w:eastAsia="宋体" w:cs="Arial"/>
          <w:snapToGrid w:val="0"/>
          <w:kern w:val="0"/>
        </w:rPr>
        <w:t>III.</w:t>
      </w:r>
      <w:r>
        <w:rPr>
          <w:rFonts w:asciiTheme="minorHAnsi" w:hAnsiTheme="minorHAnsi"/>
          <w:sz w:val="21"/>
        </w:rPr>
        <w:tab/>
      </w:r>
      <w:r>
        <w:rPr>
          <w:rStyle w:val="11"/>
          <w:rFonts w:hint="eastAsia" w:eastAsia="宋体" w:cs="Arial"/>
          <w:snapToGrid w:val="0"/>
          <w:kern w:val="0"/>
        </w:rPr>
        <w:t>初始认证人员申请的格式和内容是什么？</w:t>
      </w:r>
      <w:r>
        <w:rPr>
          <w:rStyle w:val="11"/>
          <w:rFonts w:hint="eastAsia" w:eastAsia="宋体" w:cs="Arial"/>
          <w:snapToGrid w:val="0"/>
          <w:kern w:val="0"/>
        </w:rPr>
        <w:fldChar w:fldCharType="end"/>
      </w:r>
    </w:p>
    <w:p w14:paraId="67592ABA">
      <w:pPr>
        <w:pStyle w:val="7"/>
        <w:rPr>
          <w:rFonts w:asciiTheme="minorHAnsi" w:hAnsiTheme="minorHAnsi"/>
          <w:sz w:val="21"/>
        </w:rPr>
      </w:pPr>
      <w:r>
        <w:fldChar w:fldCharType="begin"/>
      </w:r>
      <w:r>
        <w:instrText xml:space="preserve"> HYPERLINK \l "_Toc501379961" </w:instrText>
      </w:r>
      <w:r>
        <w:fldChar w:fldCharType="separate"/>
      </w:r>
      <w:r>
        <w:rPr>
          <w:rStyle w:val="11"/>
          <w:rFonts w:eastAsia="宋体" w:cs="Arial"/>
          <w:snapToGrid w:val="0"/>
          <w:kern w:val="0"/>
        </w:rPr>
        <w:t>A.</w:t>
      </w:r>
      <w:r>
        <w:rPr>
          <w:rFonts w:asciiTheme="minorHAnsi" w:hAnsiTheme="minorHAnsi"/>
          <w:sz w:val="21"/>
        </w:rPr>
        <w:tab/>
      </w:r>
      <w:r>
        <w:rPr>
          <w:rStyle w:val="11"/>
          <w:rFonts w:hint="eastAsia" w:eastAsia="宋体" w:cs="Arial"/>
          <w:snapToGrid w:val="0"/>
          <w:kern w:val="0"/>
        </w:rPr>
        <w:t>管理信息</w:t>
      </w:r>
      <w:r>
        <w:rPr>
          <w:rStyle w:val="11"/>
          <w:rFonts w:hint="eastAsia" w:eastAsia="宋体" w:cs="Arial"/>
          <w:snapToGrid w:val="0"/>
          <w:kern w:val="0"/>
        </w:rPr>
        <w:fldChar w:fldCharType="end"/>
      </w:r>
    </w:p>
    <w:p w14:paraId="588918D5">
      <w:pPr>
        <w:pStyle w:val="7"/>
        <w:rPr>
          <w:rFonts w:asciiTheme="minorHAnsi" w:hAnsiTheme="minorHAnsi"/>
          <w:sz w:val="21"/>
        </w:rPr>
      </w:pPr>
      <w:r>
        <w:fldChar w:fldCharType="begin"/>
      </w:r>
      <w:r>
        <w:instrText xml:space="preserve"> HYPERLINK \l "_Toc501379962" </w:instrText>
      </w:r>
      <w:r>
        <w:fldChar w:fldCharType="separate"/>
      </w:r>
      <w:r>
        <w:rPr>
          <w:rStyle w:val="11"/>
          <w:rFonts w:eastAsia="宋体" w:cs="Arial"/>
          <w:snapToGrid w:val="0"/>
          <w:kern w:val="0"/>
        </w:rPr>
        <w:t>B.</w:t>
      </w:r>
      <w:r>
        <w:rPr>
          <w:rFonts w:asciiTheme="minorHAnsi" w:hAnsiTheme="minorHAnsi"/>
          <w:sz w:val="21"/>
        </w:rPr>
        <w:tab/>
      </w:r>
      <w:r>
        <w:rPr>
          <w:rStyle w:val="11"/>
          <w:rFonts w:hint="eastAsia" w:eastAsia="宋体" w:cs="Arial"/>
          <w:snapToGrid w:val="0"/>
          <w:kern w:val="0"/>
        </w:rPr>
        <w:t>防止利益冲突</w:t>
      </w:r>
      <w:r>
        <w:rPr>
          <w:rStyle w:val="11"/>
          <w:rFonts w:hint="eastAsia" w:eastAsia="宋体" w:cs="Arial"/>
          <w:snapToGrid w:val="0"/>
          <w:kern w:val="0"/>
        </w:rPr>
        <w:fldChar w:fldCharType="end"/>
      </w:r>
    </w:p>
    <w:p w14:paraId="73C03A5A">
      <w:pPr>
        <w:pStyle w:val="7"/>
        <w:rPr>
          <w:rFonts w:asciiTheme="minorHAnsi" w:hAnsiTheme="minorHAnsi"/>
          <w:sz w:val="21"/>
        </w:rPr>
      </w:pPr>
      <w:r>
        <w:fldChar w:fldCharType="begin"/>
      </w:r>
      <w:r>
        <w:instrText xml:space="preserve"> HYPERLINK \l "_Toc501379963" </w:instrText>
      </w:r>
      <w:r>
        <w:fldChar w:fldCharType="separate"/>
      </w:r>
      <w:r>
        <w:rPr>
          <w:rStyle w:val="11"/>
          <w:rFonts w:eastAsia="宋体" w:cs="Arial"/>
          <w:snapToGrid w:val="0"/>
          <w:kern w:val="0"/>
        </w:rPr>
        <w:t>C.</w:t>
      </w:r>
      <w:r>
        <w:rPr>
          <w:rFonts w:asciiTheme="minorHAnsi" w:hAnsiTheme="minorHAnsi"/>
          <w:sz w:val="21"/>
        </w:rPr>
        <w:tab/>
      </w:r>
      <w:r>
        <w:rPr>
          <w:rStyle w:val="11"/>
          <w:rFonts w:hint="eastAsia" w:eastAsia="宋体" w:cs="Arial"/>
          <w:snapToGrid w:val="0"/>
          <w:kern w:val="0"/>
        </w:rPr>
        <w:t>人员资格</w:t>
      </w:r>
      <w:r>
        <w:rPr>
          <w:rStyle w:val="11"/>
          <w:rFonts w:hint="eastAsia" w:eastAsia="宋体" w:cs="Arial"/>
          <w:snapToGrid w:val="0"/>
          <w:kern w:val="0"/>
        </w:rPr>
        <w:fldChar w:fldCharType="end"/>
      </w:r>
    </w:p>
    <w:p w14:paraId="3296EB6D">
      <w:pPr>
        <w:pStyle w:val="7"/>
        <w:rPr>
          <w:rFonts w:asciiTheme="minorHAnsi" w:hAnsiTheme="minorHAnsi"/>
          <w:sz w:val="21"/>
        </w:rPr>
      </w:pPr>
      <w:r>
        <w:fldChar w:fldCharType="begin"/>
      </w:r>
      <w:r>
        <w:instrText xml:space="preserve"> HYPERLINK \l "_Toc501379964" </w:instrText>
      </w:r>
      <w:r>
        <w:fldChar w:fldCharType="separate"/>
      </w:r>
      <w:r>
        <w:rPr>
          <w:rStyle w:val="11"/>
          <w:rFonts w:eastAsia="宋体" w:cs="Arial"/>
          <w:snapToGrid w:val="0"/>
          <w:kern w:val="0"/>
        </w:rPr>
        <w:t>D.</w:t>
      </w:r>
      <w:r>
        <w:rPr>
          <w:rFonts w:asciiTheme="minorHAnsi" w:hAnsiTheme="minorHAnsi"/>
          <w:sz w:val="21"/>
        </w:rPr>
        <w:tab/>
      </w:r>
      <w:r>
        <w:rPr>
          <w:rStyle w:val="11"/>
          <w:rFonts w:hint="eastAsia" w:eastAsia="宋体" w:cs="Arial"/>
          <w:snapToGrid w:val="0"/>
          <w:kern w:val="0"/>
        </w:rPr>
        <w:t>认证／协议声明</w:t>
      </w:r>
      <w:r>
        <w:rPr>
          <w:rStyle w:val="11"/>
          <w:rFonts w:hint="eastAsia" w:eastAsia="宋体" w:cs="Arial"/>
          <w:snapToGrid w:val="0"/>
          <w:kern w:val="0"/>
        </w:rPr>
        <w:fldChar w:fldCharType="end"/>
      </w:r>
    </w:p>
    <w:p w14:paraId="18E9A0D6">
      <w:pPr>
        <w:pStyle w:val="7"/>
        <w:rPr>
          <w:rFonts w:asciiTheme="minorHAnsi" w:hAnsiTheme="minorHAnsi"/>
          <w:sz w:val="21"/>
        </w:rPr>
      </w:pPr>
      <w:r>
        <w:fldChar w:fldCharType="begin"/>
      </w:r>
      <w:r>
        <w:instrText xml:space="preserve"> HYPERLINK \l "_Toc501379965" </w:instrText>
      </w:r>
      <w:r>
        <w:fldChar w:fldCharType="separate"/>
      </w:r>
      <w:r>
        <w:rPr>
          <w:rStyle w:val="11"/>
          <w:rFonts w:eastAsia="宋体" w:cs="Arial"/>
          <w:snapToGrid w:val="0"/>
          <w:kern w:val="0"/>
        </w:rPr>
        <w:t>E.</w:t>
      </w:r>
      <w:r>
        <w:rPr>
          <w:rFonts w:asciiTheme="minorHAnsi" w:hAnsiTheme="minorHAnsi"/>
          <w:sz w:val="21"/>
        </w:rPr>
        <w:tab/>
      </w:r>
      <w:r>
        <w:rPr>
          <w:rStyle w:val="11"/>
          <w:rFonts w:hint="eastAsia" w:eastAsia="宋体" w:cs="Arial"/>
          <w:snapToGrid w:val="0"/>
          <w:kern w:val="0"/>
        </w:rPr>
        <w:t>认证／培训</w:t>
      </w:r>
      <w:r>
        <w:rPr>
          <w:rStyle w:val="11"/>
          <w:rFonts w:hint="eastAsia" w:eastAsia="宋体" w:cs="Arial"/>
          <w:snapToGrid w:val="0"/>
          <w:kern w:val="0"/>
        </w:rPr>
        <w:fldChar w:fldCharType="end"/>
      </w:r>
    </w:p>
    <w:p w14:paraId="114AFC71">
      <w:pPr>
        <w:pStyle w:val="7"/>
        <w:rPr>
          <w:rFonts w:asciiTheme="minorHAnsi" w:hAnsiTheme="minorHAnsi"/>
          <w:sz w:val="21"/>
        </w:rPr>
      </w:pPr>
      <w:r>
        <w:fldChar w:fldCharType="begin"/>
      </w:r>
      <w:r>
        <w:instrText xml:space="preserve"> HYPERLINK \l "_Toc501379966" </w:instrText>
      </w:r>
      <w:r>
        <w:fldChar w:fldCharType="separate"/>
      </w:r>
      <w:r>
        <w:rPr>
          <w:rStyle w:val="11"/>
          <w:rFonts w:eastAsia="宋体" w:cs="Arial"/>
          <w:snapToGrid w:val="0"/>
          <w:kern w:val="0"/>
        </w:rPr>
        <w:t>F.</w:t>
      </w:r>
      <w:r>
        <w:rPr>
          <w:rFonts w:asciiTheme="minorHAnsi" w:hAnsiTheme="minorHAnsi"/>
          <w:sz w:val="21"/>
        </w:rPr>
        <w:tab/>
      </w:r>
      <w:r>
        <w:rPr>
          <w:rStyle w:val="11"/>
          <w:rFonts w:hint="eastAsia" w:eastAsia="宋体" w:cs="Arial"/>
          <w:snapToGrid w:val="0"/>
          <w:kern w:val="0"/>
        </w:rPr>
        <w:t>设施</w:t>
      </w:r>
      <w:r>
        <w:rPr>
          <w:rStyle w:val="11"/>
          <w:rFonts w:hint="eastAsia" w:eastAsia="宋体" w:cs="Arial"/>
          <w:snapToGrid w:val="0"/>
          <w:kern w:val="0"/>
        </w:rPr>
        <w:fldChar w:fldCharType="end"/>
      </w:r>
    </w:p>
    <w:p w14:paraId="18F73EC0">
      <w:pPr>
        <w:pStyle w:val="6"/>
        <w:rPr>
          <w:rFonts w:asciiTheme="minorHAnsi" w:hAnsiTheme="minorHAnsi"/>
          <w:sz w:val="21"/>
        </w:rPr>
      </w:pPr>
      <w:r>
        <w:fldChar w:fldCharType="begin"/>
      </w:r>
      <w:r>
        <w:instrText xml:space="preserve"> HYPERLINK \l "_Toc501379967" </w:instrText>
      </w:r>
      <w:r>
        <w:fldChar w:fldCharType="separate"/>
      </w:r>
      <w:r>
        <w:rPr>
          <w:rStyle w:val="11"/>
          <w:rFonts w:eastAsia="宋体" w:cs="Arial"/>
          <w:snapToGrid w:val="0"/>
          <w:kern w:val="0"/>
        </w:rPr>
        <w:t>IV.</w:t>
      </w:r>
      <w:r>
        <w:rPr>
          <w:rFonts w:asciiTheme="minorHAnsi" w:hAnsiTheme="minorHAnsi"/>
          <w:sz w:val="21"/>
        </w:rPr>
        <w:tab/>
      </w:r>
      <w:r>
        <w:rPr>
          <w:rStyle w:val="11"/>
          <w:rFonts w:hint="eastAsia" w:eastAsia="宋体" w:cs="Arial"/>
          <w:snapToGrid w:val="0"/>
          <w:kern w:val="0"/>
        </w:rPr>
        <w:t>经过认证的人员审查试点项目下的其他器械必须提交什么文件？</w:t>
      </w:r>
      <w:r>
        <w:rPr>
          <w:rStyle w:val="11"/>
          <w:rFonts w:hint="eastAsia" w:eastAsia="宋体" w:cs="Arial"/>
          <w:snapToGrid w:val="0"/>
          <w:kern w:val="0"/>
        </w:rPr>
        <w:fldChar w:fldCharType="end"/>
      </w:r>
    </w:p>
    <w:p w14:paraId="23D0EDB2">
      <w:pPr>
        <w:pStyle w:val="6"/>
        <w:rPr>
          <w:rFonts w:asciiTheme="minorHAnsi" w:hAnsiTheme="minorHAnsi"/>
          <w:sz w:val="21"/>
        </w:rPr>
      </w:pPr>
      <w:r>
        <w:fldChar w:fldCharType="begin"/>
      </w:r>
      <w:r>
        <w:instrText xml:space="preserve"> HYPERLINK \l "_Toc501379968" </w:instrText>
      </w:r>
      <w:r>
        <w:fldChar w:fldCharType="separate"/>
      </w:r>
      <w:r>
        <w:rPr>
          <w:rStyle w:val="11"/>
          <w:rFonts w:eastAsia="宋体" w:cs="Arial"/>
          <w:snapToGrid w:val="0"/>
          <w:kern w:val="0"/>
        </w:rPr>
        <w:t>V.</w:t>
      </w:r>
      <w:r>
        <w:rPr>
          <w:rFonts w:asciiTheme="minorHAnsi" w:hAnsiTheme="minorHAnsi"/>
          <w:sz w:val="21"/>
        </w:rPr>
        <w:tab/>
      </w:r>
      <w:r>
        <w:rPr>
          <w:rStyle w:val="11"/>
          <w:rFonts w:hint="eastAsia" w:eastAsia="宋体" w:cs="Arial"/>
          <w:snapToGrid w:val="0"/>
          <w:kern w:val="0"/>
        </w:rPr>
        <w:t>您如何获得更多的信息？</w:t>
      </w:r>
      <w:r>
        <w:rPr>
          <w:rStyle w:val="11"/>
          <w:rFonts w:hint="eastAsia" w:eastAsia="宋体" w:cs="Arial"/>
          <w:snapToGrid w:val="0"/>
          <w:kern w:val="0"/>
        </w:rPr>
        <w:fldChar w:fldCharType="end"/>
      </w:r>
    </w:p>
    <w:p w14:paraId="0CE7B160">
      <w:pPr>
        <w:pStyle w:val="12"/>
        <w:topLinePunct/>
        <w:adjustRightInd w:val="0"/>
        <w:snapToGrid w:val="0"/>
        <w:spacing w:before="156" w:beforeLines="50" w:line="288" w:lineRule="auto"/>
        <w:ind w:firstLine="0" w:firstLineChars="0"/>
        <w:rPr>
          <w:rFonts w:ascii="Arial" w:hAnsi="Arial" w:eastAsia="宋体" w:cs="Arial"/>
          <w:snapToGrid w:val="0"/>
          <w:kern w:val="0"/>
          <w:sz w:val="24"/>
        </w:rPr>
      </w:pPr>
      <w:r>
        <w:rPr>
          <w:rFonts w:ascii="Arial" w:hAnsi="Arial" w:eastAsia="宋体" w:cs="Arial"/>
          <w:snapToGrid w:val="0"/>
          <w:kern w:val="0"/>
          <w:sz w:val="24"/>
        </w:rPr>
        <w:fldChar w:fldCharType="end"/>
      </w:r>
      <w:r>
        <w:rPr>
          <w:rFonts w:ascii="Arial" w:hAnsi="Arial" w:eastAsia="宋体" w:cs="Arial"/>
          <w:snapToGrid w:val="0"/>
          <w:kern w:val="0"/>
          <w:sz w:val="24"/>
        </w:rPr>
        <w:t>附录</w:t>
      </w:r>
    </w:p>
    <w:p w14:paraId="5338C309">
      <w:pPr>
        <w:topLinePunct/>
        <w:adjustRightInd w:val="0"/>
        <w:snapToGrid w:val="0"/>
        <w:spacing w:line="288" w:lineRule="auto"/>
        <w:ind w:left="420" w:leftChars="200"/>
        <w:rPr>
          <w:rFonts w:ascii="Arial" w:hAnsi="Arial" w:eastAsia="宋体" w:cs="Arial"/>
          <w:snapToGrid w:val="0"/>
          <w:kern w:val="0"/>
          <w:sz w:val="24"/>
        </w:rPr>
      </w:pPr>
      <w:r>
        <w:rPr>
          <w:rFonts w:ascii="Arial" w:hAnsi="Arial" w:eastAsia="宋体" w:cs="Arial"/>
          <w:snapToGrid w:val="0"/>
          <w:kern w:val="0"/>
          <w:sz w:val="24"/>
        </w:rPr>
        <w:t>FDA审查员资格标准指南</w:t>
      </w:r>
    </w:p>
    <w:p w14:paraId="22C4CF86">
      <w:pPr>
        <w:topLinePunct/>
        <w:adjustRightInd w:val="0"/>
        <w:snapToGrid w:val="0"/>
        <w:spacing w:line="288" w:lineRule="auto"/>
        <w:ind w:left="420" w:leftChars="200"/>
        <w:rPr>
          <w:rFonts w:ascii="Arial" w:hAnsi="Arial" w:eastAsia="宋体" w:cs="Arial"/>
          <w:snapToGrid w:val="0"/>
          <w:kern w:val="0"/>
          <w:sz w:val="24"/>
        </w:rPr>
      </w:pPr>
      <w:r>
        <w:rPr>
          <w:rFonts w:ascii="Arial" w:hAnsi="Arial" w:eastAsia="宋体" w:cs="Arial"/>
          <w:snapToGrid w:val="0"/>
          <w:kern w:val="0"/>
          <w:sz w:val="24"/>
        </w:rPr>
        <w:t>执行部门员工道德行为标准</w:t>
      </w:r>
    </w:p>
    <w:p w14:paraId="0585FEDE">
      <w:pPr>
        <w:topLinePunct/>
        <w:adjustRightInd w:val="0"/>
        <w:snapToGrid w:val="0"/>
        <w:spacing w:after="234" w:afterLines="75" w:line="288" w:lineRule="auto"/>
        <w:rPr>
          <w:rFonts w:ascii="Arial" w:hAnsi="Arial" w:eastAsia="宋体" w:cs="Arial"/>
          <w:snapToGrid w:val="0"/>
          <w:kern w:val="0"/>
          <w:sz w:val="24"/>
        </w:rPr>
      </w:pPr>
    </w:p>
    <w:p w14:paraId="0724E15D">
      <w:pPr>
        <w:topLinePunct/>
        <w:adjustRightInd w:val="0"/>
        <w:snapToGrid w:val="0"/>
        <w:spacing w:after="234" w:afterLines="75" w:line="288" w:lineRule="auto"/>
        <w:rPr>
          <w:rFonts w:ascii="Arial" w:hAnsi="Arial" w:eastAsia="宋体" w:cs="Arial"/>
          <w:snapToGrid w:val="0"/>
          <w:kern w:val="0"/>
          <w:sz w:val="24"/>
        </w:rPr>
        <w:sectPr>
          <w:headerReference r:id="rId4" w:type="default"/>
          <w:footerReference r:id="rId5" w:type="default"/>
          <w:pgSz w:w="11906" w:h="16838"/>
          <w:pgMar w:top="1134" w:right="1440" w:bottom="1134" w:left="1440" w:header="720" w:footer="720" w:gutter="0"/>
          <w:pgNumType w:fmt="lowerRoman" w:start="1"/>
          <w:cols w:space="425" w:num="1"/>
          <w:docGrid w:type="lines" w:linePitch="312" w:charSpace="0"/>
        </w:sectPr>
      </w:pPr>
    </w:p>
    <w:p w14:paraId="254FD080">
      <w:pPr>
        <w:topLinePunct/>
        <w:adjustRightInd w:val="0"/>
        <w:snapToGrid w:val="0"/>
        <w:spacing w:after="234" w:afterLines="75" w:line="288" w:lineRule="auto"/>
        <w:jc w:val="center"/>
        <w:rPr>
          <w:rFonts w:ascii="Arial" w:hAnsi="Arial" w:eastAsia="宋体" w:cs="Arial"/>
          <w:b/>
          <w:snapToGrid w:val="0"/>
          <w:kern w:val="0"/>
          <w:sz w:val="44"/>
          <w:szCs w:val="44"/>
        </w:rPr>
      </w:pPr>
      <w:r>
        <w:rPr>
          <w:rFonts w:ascii="Arial" w:hAnsi="Arial" w:eastAsia="宋体" w:cs="Arial"/>
          <w:b/>
          <w:snapToGrid w:val="0"/>
          <w:kern w:val="0"/>
          <w:sz w:val="44"/>
          <w:szCs w:val="44"/>
        </w:rPr>
        <w:t>第三方项目根据1997 FDA现代化法案的实施；工作人员、行业和第三方最终指南</w:t>
      </w:r>
    </w:p>
    <w:p w14:paraId="08662207">
      <w:pPr>
        <w:topLinePunct/>
        <w:adjustRightInd w:val="0"/>
        <w:snapToGrid w:val="0"/>
        <w:spacing w:after="234" w:afterLines="75" w:line="288" w:lineRule="auto"/>
        <w:jc w:val="center"/>
        <w:rPr>
          <w:rFonts w:ascii="Arial" w:hAnsi="Arial" w:eastAsia="宋体" w:cs="Arial"/>
          <w:b/>
          <w:snapToGrid w:val="0"/>
          <w:kern w:val="0"/>
          <w:sz w:val="44"/>
          <w:szCs w:val="44"/>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0983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55729CB">
            <w:pPr>
              <w:topLinePunct/>
              <w:adjustRightInd w:val="0"/>
              <w:snapToGrid w:val="0"/>
              <w:spacing w:before="156" w:beforeLines="50" w:line="300" w:lineRule="auto"/>
              <w:rPr>
                <w:rFonts w:ascii="Arial" w:hAnsi="Arial" w:eastAsia="宋体" w:cs="Arial"/>
                <w:b/>
                <w:i/>
                <w:snapToGrid w:val="0"/>
                <w:kern w:val="0"/>
                <w:sz w:val="24"/>
              </w:rPr>
            </w:pPr>
            <w:r>
              <w:rPr>
                <w:rFonts w:ascii="Arial" w:hAnsi="Arial" w:eastAsia="宋体" w:cs="Arial"/>
                <w:b/>
                <w:i/>
                <w:snapToGrid w:val="0"/>
                <w:kern w:val="0"/>
                <w:sz w:val="24"/>
              </w:rPr>
              <w:t>本文件旨在提供指导。其代表机构</w:t>
            </w:r>
            <w:r>
              <w:rPr>
                <w:rFonts w:hint="eastAsia" w:ascii="Arial" w:hAnsi="Arial" w:eastAsia="宋体" w:cs="Arial"/>
                <w:b/>
                <w:i/>
                <w:snapToGrid w:val="0"/>
                <w:kern w:val="0"/>
                <w:sz w:val="24"/>
              </w:rPr>
              <w:t>目前</w:t>
            </w:r>
            <w:r>
              <w:rPr>
                <w:rFonts w:ascii="Arial" w:hAnsi="Arial" w:eastAsia="宋体" w:cs="Arial"/>
                <w:b/>
                <w:i/>
                <w:snapToGrid w:val="0"/>
                <w:kern w:val="0"/>
                <w:sz w:val="24"/>
              </w:rPr>
              <w:t>对此主题的</w:t>
            </w:r>
            <w:r>
              <w:rPr>
                <w:rFonts w:hint="eastAsia" w:ascii="Arial" w:hAnsi="Arial" w:eastAsia="宋体" w:cs="Arial"/>
                <w:b/>
                <w:i/>
                <w:snapToGrid w:val="0"/>
                <w:kern w:val="0"/>
                <w:sz w:val="24"/>
              </w:rPr>
              <w:t>看法</w:t>
            </w:r>
            <w:r>
              <w:rPr>
                <w:rFonts w:ascii="Arial" w:hAnsi="Arial" w:eastAsia="宋体" w:cs="Arial"/>
                <w:b/>
                <w:i/>
                <w:snapToGrid w:val="0"/>
                <w:kern w:val="0"/>
                <w:sz w:val="24"/>
              </w:rPr>
              <w:t>。其不会为任何人创造或赋予任何权利，也不对FDA或公众具有约束力。如果替代方法满足适用法律、法规的要求，可以使用替代方法。</w:t>
            </w:r>
          </w:p>
        </w:tc>
      </w:tr>
    </w:tbl>
    <w:p w14:paraId="7A4EC886">
      <w:pPr>
        <w:topLinePunct/>
        <w:adjustRightInd w:val="0"/>
        <w:snapToGrid w:val="0"/>
        <w:spacing w:after="234" w:afterLines="75" w:line="288" w:lineRule="auto"/>
        <w:rPr>
          <w:rFonts w:ascii="Arial" w:hAnsi="Arial" w:eastAsia="宋体" w:cs="Arial"/>
          <w:snapToGrid w:val="0"/>
          <w:kern w:val="0"/>
          <w:sz w:val="24"/>
        </w:rPr>
      </w:pPr>
    </w:p>
    <w:p w14:paraId="1F21BD20">
      <w:pPr>
        <w:topLinePunct/>
        <w:adjustRightInd w:val="0"/>
        <w:snapToGrid w:val="0"/>
        <w:spacing w:after="234" w:afterLines="75" w:line="288" w:lineRule="auto"/>
        <w:rPr>
          <w:rFonts w:ascii="Arial" w:hAnsi="Arial" w:eastAsia="宋体" w:cs="Arial"/>
          <w:snapToGrid w:val="0"/>
          <w:kern w:val="0"/>
          <w:sz w:val="24"/>
        </w:rPr>
      </w:pPr>
    </w:p>
    <w:p w14:paraId="69BC65C6">
      <w:pPr>
        <w:pStyle w:val="12"/>
        <w:numPr>
          <w:ilvl w:val="0"/>
          <w:numId w:val="3"/>
        </w:numPr>
        <w:topLinePunct/>
        <w:adjustRightInd w:val="0"/>
        <w:snapToGrid w:val="0"/>
        <w:spacing w:after="234" w:afterLines="75" w:line="288" w:lineRule="auto"/>
        <w:ind w:left="420" w:firstLineChars="0"/>
        <w:outlineLvl w:val="0"/>
        <w:rPr>
          <w:rFonts w:ascii="Arial" w:hAnsi="Arial" w:eastAsia="宋体" w:cs="Arial"/>
          <w:b/>
          <w:snapToGrid w:val="0"/>
          <w:kern w:val="0"/>
          <w:sz w:val="24"/>
          <w:u w:val="single"/>
        </w:rPr>
      </w:pPr>
      <w:bookmarkStart w:id="4" w:name="_Toc501379942"/>
      <w:r>
        <w:rPr>
          <w:rFonts w:ascii="Arial" w:hAnsi="Arial" w:eastAsia="宋体" w:cs="Arial"/>
          <w:b/>
          <w:snapToGrid w:val="0"/>
          <w:kern w:val="0"/>
          <w:sz w:val="24"/>
          <w:u w:val="single"/>
        </w:rPr>
        <w:t>本指南的目的是什么？</w:t>
      </w:r>
      <w:bookmarkEnd w:id="4"/>
    </w:p>
    <w:p w14:paraId="771D8A2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本指南适用于</w:t>
      </w:r>
      <w:r>
        <w:rPr>
          <w:rFonts w:hint="eastAsia" w:ascii="Arial" w:hAnsi="Arial" w:eastAsia="宋体" w:cs="Arial"/>
          <w:snapToGrid w:val="0"/>
          <w:kern w:val="0"/>
          <w:sz w:val="24"/>
        </w:rPr>
        <w:t>关注</w:t>
      </w:r>
      <w:r>
        <w:rPr>
          <w:rFonts w:ascii="Arial" w:hAnsi="Arial" w:eastAsia="宋体" w:cs="Arial"/>
          <w:snapToGrid w:val="0"/>
          <w:kern w:val="0"/>
          <w:sz w:val="24"/>
        </w:rPr>
        <w:t>食品药品监督管理局（FDA）第三方审查项目的</w:t>
      </w:r>
      <w:r>
        <w:rPr>
          <w:rFonts w:hint="eastAsia" w:ascii="Arial" w:hAnsi="Arial" w:eastAsia="宋体" w:cs="Arial"/>
          <w:snapToGrid w:val="0"/>
          <w:kern w:val="0"/>
          <w:sz w:val="24"/>
        </w:rPr>
        <w:t>人群</w:t>
      </w:r>
      <w:r>
        <w:rPr>
          <w:rFonts w:ascii="Arial" w:hAnsi="Arial" w:eastAsia="宋体" w:cs="Arial"/>
          <w:snapToGrid w:val="0"/>
          <w:kern w:val="0"/>
          <w:sz w:val="24"/>
        </w:rPr>
        <w:t>，包括：</w:t>
      </w:r>
    </w:p>
    <w:p w14:paraId="2467CCA9">
      <w:pPr>
        <w:pStyle w:val="12"/>
        <w:numPr>
          <w:ilvl w:val="0"/>
          <w:numId w:val="4"/>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被认证进行上市前通知【510（k）】审查的人员（认证人员），</w:t>
      </w:r>
    </w:p>
    <w:p w14:paraId="23E5B96E">
      <w:pPr>
        <w:pStyle w:val="12"/>
        <w:numPr>
          <w:ilvl w:val="0"/>
          <w:numId w:val="4"/>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510（k）申请人，和</w:t>
      </w:r>
    </w:p>
    <w:p w14:paraId="77195B63">
      <w:pPr>
        <w:pStyle w:val="12"/>
        <w:numPr>
          <w:ilvl w:val="0"/>
          <w:numId w:val="4"/>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FDA负责实施该</w:t>
      </w:r>
      <w:r>
        <w:rPr>
          <w:rFonts w:hint="eastAsia" w:ascii="Arial" w:hAnsi="Arial" w:eastAsia="宋体" w:cs="Arial"/>
          <w:snapToGrid w:val="0"/>
          <w:kern w:val="0"/>
          <w:sz w:val="24"/>
        </w:rPr>
        <w:t>项目</w:t>
      </w:r>
      <w:r>
        <w:rPr>
          <w:rFonts w:ascii="Arial" w:hAnsi="Arial" w:eastAsia="宋体" w:cs="Arial"/>
          <w:snapToGrid w:val="0"/>
          <w:kern w:val="0"/>
          <w:sz w:val="24"/>
        </w:rPr>
        <w:t>的人员。</w:t>
      </w:r>
    </w:p>
    <w:p w14:paraId="6EACB1F9">
      <w:pPr>
        <w:pStyle w:val="12"/>
        <w:numPr>
          <w:ilvl w:val="0"/>
          <w:numId w:val="3"/>
        </w:numPr>
        <w:topLinePunct/>
        <w:adjustRightInd w:val="0"/>
        <w:snapToGrid w:val="0"/>
        <w:spacing w:after="234" w:afterLines="75" w:line="288" w:lineRule="auto"/>
        <w:ind w:left="420" w:firstLineChars="0"/>
        <w:outlineLvl w:val="0"/>
        <w:rPr>
          <w:rFonts w:ascii="Arial" w:hAnsi="Arial" w:eastAsia="宋体" w:cs="Arial"/>
          <w:b/>
          <w:snapToGrid w:val="0"/>
          <w:kern w:val="0"/>
          <w:sz w:val="24"/>
          <w:u w:val="single"/>
        </w:rPr>
      </w:pPr>
      <w:bookmarkStart w:id="5" w:name="_Toc501379943"/>
      <w:r>
        <w:rPr>
          <w:rFonts w:ascii="Arial" w:hAnsi="Arial" w:eastAsia="宋体" w:cs="Arial"/>
          <w:b/>
          <w:snapToGrid w:val="0"/>
          <w:kern w:val="0"/>
          <w:sz w:val="24"/>
          <w:u w:val="single"/>
        </w:rPr>
        <w:t>引言</w:t>
      </w:r>
      <w:bookmarkEnd w:id="5"/>
    </w:p>
    <w:p w14:paraId="6DEE0D88">
      <w:pPr>
        <w:topLinePunct/>
        <w:adjustRightInd w:val="0"/>
        <w:snapToGrid w:val="0"/>
        <w:spacing w:after="234" w:afterLines="75" w:line="288" w:lineRule="auto"/>
        <w:outlineLvl w:val="1"/>
        <w:rPr>
          <w:rFonts w:ascii="Arial" w:hAnsi="Arial" w:eastAsia="宋体" w:cs="Arial"/>
          <w:b/>
          <w:snapToGrid w:val="0"/>
          <w:kern w:val="0"/>
          <w:sz w:val="24"/>
        </w:rPr>
      </w:pPr>
      <w:bookmarkStart w:id="6" w:name="_Toc501379944"/>
      <w:r>
        <w:rPr>
          <w:rFonts w:ascii="Arial" w:hAnsi="Arial" w:eastAsia="宋体" w:cs="Arial"/>
          <w:b/>
          <w:snapToGrid w:val="0"/>
          <w:kern w:val="0"/>
          <w:sz w:val="24"/>
        </w:rPr>
        <w:t>A.</w:t>
      </w:r>
      <w:r>
        <w:rPr>
          <w:rFonts w:ascii="Arial" w:hAnsi="Arial" w:eastAsia="宋体" w:cs="Arial"/>
          <w:b/>
          <w:snapToGrid w:val="0"/>
          <w:kern w:val="0"/>
          <w:sz w:val="24"/>
        </w:rPr>
        <w:tab/>
      </w:r>
      <w:r>
        <w:rPr>
          <w:rFonts w:ascii="Arial" w:hAnsi="Arial" w:eastAsia="宋体" w:cs="Arial"/>
          <w:b/>
          <w:snapToGrid w:val="0"/>
          <w:kern w:val="0"/>
          <w:sz w:val="24"/>
        </w:rPr>
        <w:t>医疗器械第三方审查的历史是什么？</w:t>
      </w:r>
      <w:bookmarkEnd w:id="6"/>
    </w:p>
    <w:p w14:paraId="43C20205">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7" w:name="_Toc501379945"/>
      <w:r>
        <w:rPr>
          <w:rFonts w:ascii="Arial" w:hAnsi="Arial" w:eastAsia="宋体" w:cs="Arial"/>
          <w:b/>
          <w:snapToGrid w:val="0"/>
          <w:kern w:val="0"/>
          <w:sz w:val="24"/>
          <w:u w:val="single"/>
        </w:rPr>
        <w:t>第510（k）部分的目的</w:t>
      </w:r>
      <w:bookmarkEnd w:id="7"/>
    </w:p>
    <w:p w14:paraId="74B4ED0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目前的医疗器械监管框架是由1976年医疗器械修正案（修正案）制定的，经1990年的安全医疗器械法、1992年的医疗器械修正案和1997年的FDA现代化法案（FDAMA）补充。【21 USC 360c（a）】法案第513（a）条规定了三个器械类别，并要求FDA发布法规，将市场上的所有器械分类为三类中的一类。</w:t>
      </w:r>
    </w:p>
    <w:p w14:paraId="0667F563">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2920E7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 xml:space="preserve">分类基于的是对器械的安全性和有效性提供合理保证所必需的控制水平。 </w:t>
      </w:r>
    </w:p>
    <w:p w14:paraId="2429DD13">
      <w:pPr>
        <w:pStyle w:val="12"/>
        <w:numPr>
          <w:ilvl w:val="0"/>
          <w:numId w:val="5"/>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I类器械（一般控制）。一般控制包括（除其他外）：</w:t>
      </w:r>
    </w:p>
    <w:p w14:paraId="483DEAB4">
      <w:pPr>
        <w:pStyle w:val="12"/>
        <w:numPr>
          <w:ilvl w:val="0"/>
          <w:numId w:val="6"/>
        </w:numPr>
        <w:topLinePunct/>
        <w:adjustRightInd w:val="0"/>
        <w:snapToGrid w:val="0"/>
        <w:spacing w:after="234" w:afterLines="75" w:line="288" w:lineRule="auto"/>
        <w:ind w:left="1260" w:leftChars="600" w:firstLine="0" w:firstLineChars="0"/>
        <w:rPr>
          <w:rFonts w:ascii="Arial" w:hAnsi="Arial" w:eastAsia="宋体" w:cs="Arial"/>
          <w:snapToGrid w:val="0"/>
          <w:kern w:val="0"/>
          <w:sz w:val="24"/>
        </w:rPr>
      </w:pPr>
      <w:r>
        <w:rPr>
          <w:rFonts w:ascii="Arial" w:hAnsi="Arial" w:eastAsia="宋体" w:cs="Arial"/>
          <w:snapToGrid w:val="0"/>
          <w:kern w:val="0"/>
          <w:sz w:val="24"/>
        </w:rPr>
        <w:t>机构注册，</w:t>
      </w:r>
    </w:p>
    <w:p w14:paraId="71377628">
      <w:pPr>
        <w:pStyle w:val="12"/>
        <w:numPr>
          <w:ilvl w:val="0"/>
          <w:numId w:val="6"/>
        </w:numPr>
        <w:topLinePunct/>
        <w:adjustRightInd w:val="0"/>
        <w:snapToGrid w:val="0"/>
        <w:spacing w:after="234" w:afterLines="75" w:line="288" w:lineRule="auto"/>
        <w:ind w:left="1260" w:leftChars="600" w:firstLine="0" w:firstLineChars="0"/>
        <w:rPr>
          <w:rFonts w:ascii="Arial" w:hAnsi="Arial" w:eastAsia="宋体" w:cs="Arial"/>
          <w:snapToGrid w:val="0"/>
          <w:kern w:val="0"/>
          <w:sz w:val="24"/>
        </w:rPr>
      </w:pPr>
      <w:r>
        <w:rPr>
          <w:rFonts w:ascii="Arial" w:hAnsi="Arial" w:eastAsia="宋体" w:cs="Arial"/>
          <w:snapToGrid w:val="0"/>
          <w:kern w:val="0"/>
          <w:sz w:val="24"/>
        </w:rPr>
        <w:t>器械登记，</w:t>
      </w:r>
    </w:p>
    <w:p w14:paraId="6918B424">
      <w:pPr>
        <w:pStyle w:val="12"/>
        <w:numPr>
          <w:ilvl w:val="0"/>
          <w:numId w:val="6"/>
        </w:numPr>
        <w:topLinePunct/>
        <w:adjustRightInd w:val="0"/>
        <w:snapToGrid w:val="0"/>
        <w:spacing w:after="234" w:afterLines="75" w:line="288" w:lineRule="auto"/>
        <w:ind w:left="1260" w:leftChars="600" w:firstLine="0" w:firstLineChars="0"/>
        <w:rPr>
          <w:rFonts w:ascii="Arial" w:hAnsi="Arial" w:eastAsia="宋体" w:cs="Arial"/>
          <w:snapToGrid w:val="0"/>
          <w:kern w:val="0"/>
          <w:sz w:val="24"/>
        </w:rPr>
      </w:pPr>
      <w:r>
        <w:rPr>
          <w:rFonts w:ascii="Arial" w:hAnsi="Arial" w:eastAsia="宋体" w:cs="Arial"/>
          <w:snapToGrid w:val="0"/>
          <w:kern w:val="0"/>
          <w:sz w:val="24"/>
        </w:rPr>
        <w:t>上市前通知，</w:t>
      </w:r>
    </w:p>
    <w:p w14:paraId="5333BA5B">
      <w:pPr>
        <w:pStyle w:val="12"/>
        <w:numPr>
          <w:ilvl w:val="0"/>
          <w:numId w:val="6"/>
        </w:numPr>
        <w:topLinePunct/>
        <w:adjustRightInd w:val="0"/>
        <w:snapToGrid w:val="0"/>
        <w:spacing w:after="234" w:afterLines="75" w:line="288" w:lineRule="auto"/>
        <w:ind w:left="1260" w:leftChars="600" w:firstLine="0" w:firstLineChars="0"/>
        <w:rPr>
          <w:rFonts w:ascii="Arial" w:hAnsi="Arial" w:eastAsia="宋体" w:cs="Arial"/>
          <w:snapToGrid w:val="0"/>
          <w:kern w:val="0"/>
          <w:sz w:val="24"/>
        </w:rPr>
      </w:pPr>
      <w:r>
        <w:rPr>
          <w:rFonts w:ascii="Arial" w:hAnsi="Arial" w:eastAsia="宋体" w:cs="Arial"/>
          <w:snapToGrid w:val="0"/>
          <w:kern w:val="0"/>
          <w:sz w:val="24"/>
        </w:rPr>
        <w:t>记录和报告，和</w:t>
      </w:r>
    </w:p>
    <w:p w14:paraId="6F37CCA3">
      <w:pPr>
        <w:pStyle w:val="12"/>
        <w:numPr>
          <w:ilvl w:val="0"/>
          <w:numId w:val="6"/>
        </w:numPr>
        <w:topLinePunct/>
        <w:adjustRightInd w:val="0"/>
        <w:snapToGrid w:val="0"/>
        <w:spacing w:after="234" w:afterLines="75" w:line="288" w:lineRule="auto"/>
        <w:ind w:left="1260" w:leftChars="600" w:firstLine="0" w:firstLineChars="0"/>
        <w:rPr>
          <w:rFonts w:ascii="Arial" w:hAnsi="Arial" w:eastAsia="宋体" w:cs="Arial"/>
          <w:snapToGrid w:val="0"/>
          <w:kern w:val="0"/>
          <w:sz w:val="24"/>
        </w:rPr>
      </w:pPr>
      <w:r>
        <w:rPr>
          <w:rFonts w:ascii="Arial" w:hAnsi="Arial" w:eastAsia="宋体" w:cs="Arial"/>
          <w:snapToGrid w:val="0"/>
          <w:kern w:val="0"/>
          <w:sz w:val="24"/>
        </w:rPr>
        <w:t>目前的良好生产规范要求。</w:t>
      </w:r>
    </w:p>
    <w:p w14:paraId="158B0FFB">
      <w:pPr>
        <w:topLinePunct/>
        <w:adjustRightInd w:val="0"/>
        <w:snapToGrid w:val="0"/>
        <w:spacing w:after="234" w:afterLines="75" w:line="288" w:lineRule="auto"/>
        <w:ind w:left="1260" w:leftChars="600"/>
        <w:rPr>
          <w:rFonts w:ascii="Arial" w:hAnsi="Arial" w:eastAsia="宋体" w:cs="Arial"/>
          <w:snapToGrid w:val="0"/>
          <w:kern w:val="0"/>
          <w:sz w:val="24"/>
        </w:rPr>
      </w:pPr>
      <w:r>
        <w:rPr>
          <w:rFonts w:ascii="Arial" w:hAnsi="Arial" w:eastAsia="宋体" w:cs="Arial"/>
          <w:snapToGrid w:val="0"/>
          <w:kern w:val="0"/>
          <w:sz w:val="24"/>
        </w:rPr>
        <w:t>一般控制适用于所有三类器械。</w:t>
      </w:r>
    </w:p>
    <w:p w14:paraId="2B7ACFD1">
      <w:pPr>
        <w:pStyle w:val="12"/>
        <w:numPr>
          <w:ilvl w:val="0"/>
          <w:numId w:val="5"/>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II类器械（特殊控制）。特殊控制包括：</w:t>
      </w:r>
    </w:p>
    <w:p w14:paraId="0368885B">
      <w:pPr>
        <w:pStyle w:val="12"/>
        <w:numPr>
          <w:ilvl w:val="0"/>
          <w:numId w:val="7"/>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执行标准的颁布，</w:t>
      </w:r>
    </w:p>
    <w:p w14:paraId="1FF9C223">
      <w:pPr>
        <w:pStyle w:val="12"/>
        <w:numPr>
          <w:ilvl w:val="0"/>
          <w:numId w:val="7"/>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上市后监测，</w:t>
      </w:r>
    </w:p>
    <w:p w14:paraId="3A9E9879">
      <w:pPr>
        <w:pStyle w:val="12"/>
        <w:numPr>
          <w:ilvl w:val="0"/>
          <w:numId w:val="7"/>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患者登记，</w:t>
      </w:r>
    </w:p>
    <w:p w14:paraId="77910C2E">
      <w:pPr>
        <w:pStyle w:val="12"/>
        <w:numPr>
          <w:ilvl w:val="0"/>
          <w:numId w:val="7"/>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发布指南和建议</w:t>
      </w:r>
    </w:p>
    <w:p w14:paraId="5607EFBC">
      <w:pPr>
        <w:pStyle w:val="12"/>
        <w:numPr>
          <w:ilvl w:val="0"/>
          <w:numId w:val="7"/>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FDA认为提供器械安全性和有效性的合理保证有必要采取的其他适当措施。</w:t>
      </w:r>
    </w:p>
    <w:p w14:paraId="47DF2C52">
      <w:pPr>
        <w:pStyle w:val="12"/>
        <w:numPr>
          <w:ilvl w:val="0"/>
          <w:numId w:val="5"/>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III类器械（上市前批准）。在要求根据法案第515（b）（2）条规定进行上市前批准的法规生效日期之前，已经上市的III类器械不需要再次获得上市前批准。</w:t>
      </w:r>
    </w:p>
    <w:p w14:paraId="2F00C25D">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根据法案第510（k）和513（f）条的规定，新器械的制造商可以通过向FDA提交上市前通知并证明其与已上市的器械具有实质等同性，无需进行上市前批准的方式来获得该器械的销售许可。如果FDA发现器械与合法销售的器械不满足实质等同性，则制造商在销售该器械之前必须获得器械的上市前批准，或者将器械重新分类为I级或II级。</w:t>
      </w:r>
    </w:p>
    <w:p w14:paraId="68582D81">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法案第513（i）条对</w:t>
      </w:r>
      <w:r>
        <w:rPr>
          <w:rFonts w:ascii="宋体" w:hAnsi="宋体" w:eastAsia="宋体" w:cs="Arial"/>
          <w:snapToGrid w:val="0"/>
          <w:kern w:val="0"/>
          <w:sz w:val="24"/>
        </w:rPr>
        <w:t>“</w:t>
      </w:r>
      <w:r>
        <w:rPr>
          <w:rFonts w:ascii="Arial" w:hAnsi="Arial" w:eastAsia="宋体" w:cs="Arial"/>
          <w:snapToGrid w:val="0"/>
          <w:kern w:val="0"/>
          <w:sz w:val="24"/>
        </w:rPr>
        <w:t>实质等同性</w:t>
      </w:r>
      <w:r>
        <w:rPr>
          <w:rFonts w:ascii="宋体" w:hAnsi="宋体" w:eastAsia="宋体" w:cs="Arial"/>
          <w:snapToGrid w:val="0"/>
          <w:kern w:val="0"/>
          <w:sz w:val="24"/>
        </w:rPr>
        <w:t>”</w:t>
      </w:r>
      <w:r>
        <w:rPr>
          <w:rFonts w:ascii="Arial" w:hAnsi="Arial" w:eastAsia="宋体" w:cs="Arial"/>
          <w:snapToGrid w:val="0"/>
          <w:kern w:val="0"/>
          <w:sz w:val="24"/>
        </w:rPr>
        <w:t>一词作了定义。实质等同意味着一个器械：</w:t>
      </w:r>
    </w:p>
    <w:p w14:paraId="56DE850E">
      <w:pPr>
        <w:pStyle w:val="12"/>
        <w:numPr>
          <w:ilvl w:val="0"/>
          <w:numId w:val="8"/>
        </w:numPr>
        <w:topLinePunct/>
        <w:adjustRightInd w:val="0"/>
        <w:snapToGrid w:val="0"/>
        <w:spacing w:after="234" w:afterLines="75" w:line="288" w:lineRule="auto"/>
        <w:ind w:left="1512" w:leftChars="400" w:hanging="672" w:firstLineChars="0"/>
        <w:rPr>
          <w:rFonts w:ascii="Arial" w:hAnsi="Arial" w:eastAsia="宋体" w:cs="Arial"/>
          <w:snapToGrid w:val="0"/>
          <w:kern w:val="0"/>
          <w:sz w:val="24"/>
        </w:rPr>
      </w:pPr>
      <w:r>
        <w:rPr>
          <w:rFonts w:ascii="Arial" w:hAnsi="Arial" w:eastAsia="宋体" w:cs="Arial"/>
          <w:snapToGrid w:val="0"/>
          <w:kern w:val="0"/>
          <w:sz w:val="24"/>
        </w:rPr>
        <w:t>具有与合法销售的器械相同的预期用途和相同的技术特征；或</w:t>
      </w:r>
    </w:p>
    <w:p w14:paraId="05AC88A9">
      <w:pPr>
        <w:pStyle w:val="12"/>
        <w:numPr>
          <w:ilvl w:val="0"/>
          <w:numId w:val="8"/>
        </w:numPr>
        <w:topLinePunct/>
        <w:adjustRightInd w:val="0"/>
        <w:snapToGrid w:val="0"/>
        <w:spacing w:after="234" w:afterLines="75" w:line="288" w:lineRule="auto"/>
        <w:ind w:left="1512" w:leftChars="400" w:hanging="672" w:firstLineChars="0"/>
        <w:rPr>
          <w:rFonts w:ascii="Arial" w:hAnsi="Arial" w:eastAsia="宋体" w:cs="Arial"/>
          <w:snapToGrid w:val="0"/>
          <w:kern w:val="0"/>
          <w:sz w:val="24"/>
        </w:rPr>
      </w:pPr>
      <w:r>
        <w:rPr>
          <w:rFonts w:ascii="Arial" w:hAnsi="Arial" w:eastAsia="宋体" w:cs="Arial"/>
          <w:snapToGrid w:val="0"/>
          <w:kern w:val="0"/>
          <w:sz w:val="24"/>
        </w:rPr>
        <w:t>具有相同的预期用途和不同的技术特征，但是510（k）中的信息表明该器械与同品种器械具有相同的安全性和有效性，并且该器械没有发现不同的安全性和有效性问题。</w:t>
      </w:r>
    </w:p>
    <w:p w14:paraId="5659220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CDRH内的科学审查人员主要根据制造商510（k）中提供的信息作出实质性等同性判定。</w:t>
      </w:r>
    </w:p>
    <w:p w14:paraId="6A43543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FDA已经颁布了相关法规（21 CFR第807部分，E子部分），规定了510（k）的内容和流程。FDA还为510（k）项目制定了许多指导性文件和政策备忘录。这些信息可在器械和放射卫生中心（CDRH）主页</w:t>
      </w:r>
      <w:r>
        <w:fldChar w:fldCharType="begin"/>
      </w:r>
      <w:r>
        <w:instrText xml:space="preserve"> HYPERLINK "http://www.fda.gov/cdrh" </w:instrText>
      </w:r>
      <w:r>
        <w:fldChar w:fldCharType="separate"/>
      </w:r>
      <w:r>
        <w:rPr>
          <w:rStyle w:val="11"/>
          <w:rFonts w:ascii="Arial" w:hAnsi="Arial" w:eastAsia="宋体" w:cs="Arial"/>
          <w:snapToGrid w:val="0"/>
          <w:kern w:val="0"/>
          <w:sz w:val="24"/>
        </w:rPr>
        <w:t>http: //www.fda.gov/cdrh</w:t>
      </w:r>
      <w:r>
        <w:rPr>
          <w:rStyle w:val="11"/>
          <w:rFonts w:ascii="Arial" w:hAnsi="Arial" w:eastAsia="宋体" w:cs="Arial"/>
          <w:snapToGrid w:val="0"/>
          <w:kern w:val="0"/>
          <w:sz w:val="24"/>
        </w:rPr>
        <w:fldChar w:fldCharType="end"/>
      </w:r>
      <w:r>
        <w:rPr>
          <w:rFonts w:ascii="Arial" w:hAnsi="Arial" w:eastAsia="宋体" w:cs="Arial"/>
          <w:snapToGrid w:val="0"/>
          <w:kern w:val="0"/>
          <w:sz w:val="24"/>
        </w:rPr>
        <w:t>，或小型制造商协助司（DSMA）获得，后文会详细描述。</w:t>
      </w:r>
    </w:p>
    <w:p w14:paraId="01112572">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8" w:name="_Toc501379946"/>
      <w:r>
        <w:rPr>
          <w:rFonts w:ascii="Arial" w:hAnsi="Arial" w:eastAsia="宋体" w:cs="Arial"/>
          <w:b/>
          <w:snapToGrid w:val="0"/>
          <w:kern w:val="0"/>
          <w:sz w:val="24"/>
          <w:u w:val="single"/>
        </w:rPr>
        <w:t>第三方审查试点项目</w:t>
      </w:r>
      <w:bookmarkEnd w:id="8"/>
    </w:p>
    <w:p w14:paraId="79F3DDF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1996年8月1日，FDA开始为选定的医疗器械510（k）开展自愿第三方审查试点项目。试点项目的目的是：（1）为符合条件的器械制造商提供一个510（k）审查程序的替代方案，以便更快完成上市认证决定；（2）使FDA能够将其科学审查资源用于高风险器械的审查，同时保证低到中等风险器械第三方审查的信心。根据该项目，当时所有尚未免除510（k）的I类器械和30类II类器械均有资格获得第三方审查。</w:t>
      </w:r>
    </w:p>
    <w:p w14:paraId="4B77E647">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9" w:name="_Toc501379947"/>
      <w:r>
        <w:rPr>
          <w:rFonts w:ascii="Arial" w:hAnsi="Arial" w:eastAsia="宋体" w:cs="Arial"/>
          <w:b/>
          <w:snapToGrid w:val="0"/>
          <w:kern w:val="0"/>
          <w:sz w:val="24"/>
          <w:u w:val="single"/>
        </w:rPr>
        <w:t>FDAMA</w:t>
      </w:r>
      <w:bookmarkEnd w:id="9"/>
    </w:p>
    <w:p w14:paraId="7F6BB50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1997年11月21日，总统签署了FDAMA法案。</w:t>
      </w:r>
    </w:p>
    <w:p w14:paraId="089D858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FDAMA第210部分从本质上将该试点项目进行了规范化和扩展，建立了该法案的第523条：</w:t>
      </w:r>
    </w:p>
    <w:p w14:paraId="2A0638A9">
      <w:pPr>
        <w:pStyle w:val="12"/>
        <w:numPr>
          <w:ilvl w:val="0"/>
          <w:numId w:val="9"/>
        </w:numPr>
        <w:topLinePunct/>
        <w:adjustRightInd w:val="0"/>
        <w:snapToGrid w:val="0"/>
        <w:spacing w:after="234" w:afterLines="75" w:line="288" w:lineRule="auto"/>
        <w:ind w:left="1560" w:hanging="720" w:firstLineChars="0"/>
        <w:rPr>
          <w:rFonts w:ascii="Arial" w:hAnsi="Arial" w:eastAsia="宋体" w:cs="Arial"/>
          <w:snapToGrid w:val="0"/>
          <w:kern w:val="0"/>
          <w:sz w:val="24"/>
        </w:rPr>
      </w:pPr>
      <w:r>
        <w:rPr>
          <w:rFonts w:ascii="Arial" w:hAnsi="Arial" w:eastAsia="宋体" w:cs="Arial"/>
          <w:snapToGrid w:val="0"/>
          <w:kern w:val="0"/>
          <w:sz w:val="24"/>
        </w:rPr>
        <w:t>要求FDA对私营部门的第三方进行认证（认证人员），负责低至中等风险器械510（k）的初步审查</w:t>
      </w:r>
    </w:p>
    <w:p w14:paraId="68290F29">
      <w:pPr>
        <w:pStyle w:val="12"/>
        <w:numPr>
          <w:ilvl w:val="0"/>
          <w:numId w:val="9"/>
        </w:numPr>
        <w:topLinePunct/>
        <w:adjustRightInd w:val="0"/>
        <w:snapToGrid w:val="0"/>
        <w:spacing w:after="234" w:afterLines="75" w:line="288" w:lineRule="auto"/>
        <w:ind w:left="1560" w:hanging="720" w:firstLineChars="0"/>
        <w:rPr>
          <w:rFonts w:ascii="Arial" w:hAnsi="Arial" w:eastAsia="宋体" w:cs="Arial"/>
          <w:snapToGrid w:val="0"/>
          <w:kern w:val="0"/>
          <w:sz w:val="24"/>
        </w:rPr>
      </w:pPr>
      <w:r>
        <w:rPr>
          <w:rFonts w:ascii="Arial" w:hAnsi="Arial" w:eastAsia="宋体" w:cs="Arial"/>
          <w:snapToGrid w:val="0"/>
          <w:kern w:val="0"/>
          <w:sz w:val="24"/>
        </w:rPr>
        <w:t>规定认证人员不得审查任何III类器械，或可永久性植入、生命支持、生命维持、或需要临床资料的II类器械</w:t>
      </w:r>
    </w:p>
    <w:p w14:paraId="43110CB3">
      <w:pPr>
        <w:pStyle w:val="12"/>
        <w:numPr>
          <w:ilvl w:val="0"/>
          <w:numId w:val="9"/>
        </w:numPr>
        <w:topLinePunct/>
        <w:adjustRightInd w:val="0"/>
        <w:snapToGrid w:val="0"/>
        <w:spacing w:after="234" w:afterLines="75" w:line="288" w:lineRule="auto"/>
        <w:ind w:left="1560" w:hanging="720" w:firstLineChars="0"/>
        <w:rPr>
          <w:rFonts w:ascii="Arial" w:hAnsi="Arial" w:eastAsia="宋体" w:cs="Arial"/>
          <w:snapToGrid w:val="0"/>
          <w:kern w:val="0"/>
          <w:sz w:val="24"/>
        </w:rPr>
      </w:pPr>
      <w:r>
        <w:rPr>
          <w:rFonts w:ascii="Arial" w:hAnsi="Arial" w:eastAsia="宋体" w:cs="Arial"/>
          <w:snapToGrid w:val="0"/>
          <w:kern w:val="0"/>
          <w:sz w:val="24"/>
        </w:rPr>
        <w:t>对可能不适合认证人员审查的II类器械数量设置了限制，因为需要临床数据。</w:t>
      </w:r>
    </w:p>
    <w:p w14:paraId="142199F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1998年9月23日，FDA公布了经过认证可以对某些器械进行510（k）审查的人员名单。认证人员在成功完成培训课程后有资格开始审查申请。1998年11月21日，机构开始接受认证人员的510（k）审查，并终止了1996年8月1日开始的第三方审查试点项目。</w:t>
      </w:r>
    </w:p>
    <w:p w14:paraId="1004ABA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根据FDAMA，FDA建立了标准来授予或拒绝负责下列审查的人员认证：</w:t>
      </w:r>
    </w:p>
    <w:p w14:paraId="74B58823">
      <w:pPr>
        <w:topLinePunct/>
        <w:adjustRightInd w:val="0"/>
        <w:snapToGrid w:val="0"/>
        <w:spacing w:after="234" w:afterLines="75" w:line="288"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snapToGrid w:val="0"/>
          <w:kern w:val="0"/>
          <w:sz w:val="24"/>
        </w:rPr>
        <w:t>负责审查根据联邦食品，药品和化妆品法案（法案）第510（k）部分提交的报告的人员，和</w:t>
      </w:r>
    </w:p>
    <w:p w14:paraId="7E919E79">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7001ADA2">
      <w:pPr>
        <w:topLinePunct/>
        <w:adjustRightInd w:val="0"/>
        <w:snapToGrid w:val="0"/>
        <w:spacing w:after="234" w:afterLines="75" w:line="288"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snapToGrid w:val="0"/>
          <w:kern w:val="0"/>
          <w:sz w:val="24"/>
        </w:rPr>
        <w:t>对根据法案第513（f）（1）条向FDA提出有关器械初始分类建议的人员。</w:t>
      </w:r>
    </w:p>
    <w:p w14:paraId="49AF563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FDA于1998年5月22日在联邦公报公布了这些标准（63 FR 28388）。另外，FDA于1998年10月30日颁布了针对工作人员、行业和第三方的第三方项目实施指导性文件。本文件是对1998年10月30日指南的修订。FDA发布修订指南的目的是纳入其他中等风险（II类）器械的审查标准。</w:t>
      </w:r>
    </w:p>
    <w:p w14:paraId="3D08B21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过去，只有存在器械特定指导或公认共识标准的情况下，FDA的政策才允许对II类器械进行第三方审查。机构制定这一政策旨在确保第三方审查人员之间的一致性，并在第三方提出建议后，加强机构审查流程的及时性。FDA认为，第三方审查相关的时间框架很短，应部分得益于这一政策。然而，为了扩大第三方项目的使用范围，机构项目启动一个试点，允许第三方审查CDRH规定的法规允许审查范围内的所有器械。本指导包含了该试点的信息。我们希望该试点持续至少两年，并在结束后对结果进行评估。</w:t>
      </w:r>
    </w:p>
    <w:p w14:paraId="2EF80ABB">
      <w:pPr>
        <w:topLinePunct/>
        <w:adjustRightInd w:val="0"/>
        <w:snapToGrid w:val="0"/>
        <w:spacing w:after="234" w:afterLines="75" w:line="288" w:lineRule="auto"/>
        <w:rPr>
          <w:rFonts w:ascii="Arial" w:hAnsi="Arial" w:eastAsia="宋体" w:cs="Arial"/>
          <w:b/>
          <w:snapToGrid w:val="0"/>
          <w:kern w:val="0"/>
          <w:sz w:val="24"/>
          <w:u w:val="single"/>
        </w:rPr>
      </w:pPr>
      <w:r>
        <w:rPr>
          <w:rFonts w:ascii="Arial" w:hAnsi="Arial" w:eastAsia="宋体" w:cs="Arial"/>
          <w:b/>
          <w:snapToGrid w:val="0"/>
          <w:kern w:val="0"/>
          <w:sz w:val="24"/>
          <w:u w:val="single"/>
        </w:rPr>
        <w:t>最小负担手段原则</w:t>
      </w:r>
    </w:p>
    <w:p w14:paraId="25BF068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导性文件中确定的问题代表了我们认为需要由该项目参与者来解决的所有问题。在制定本指南时，我们仔细考虑了有关的法规标准。我们也考虑了您在试图遵守指南和处理我们所确定的问题时可能会产生的负担。我们认为，我们已经考虑了解决指导性文件中提出的问题的最小负担手段原则。但是，如果您认为存在解决问题的负担更低的方式，请与我们联系。您可以将您的评论发送给本指南前言中列出的联系人。此外，CDRH</w:t>
      </w:r>
      <w:r>
        <w:rPr>
          <w:rFonts w:hint="eastAsia" w:ascii="Arial" w:hAnsi="Arial" w:eastAsia="宋体" w:cs="Arial"/>
          <w:snapToGrid w:val="0"/>
          <w:kern w:val="0"/>
          <w:sz w:val="24"/>
        </w:rPr>
        <w:t>监察</w:t>
      </w:r>
      <w:r>
        <w:rPr>
          <w:rFonts w:ascii="Arial" w:hAnsi="Arial" w:eastAsia="宋体" w:cs="Arial"/>
          <w:snapToGrid w:val="0"/>
          <w:kern w:val="0"/>
          <w:sz w:val="24"/>
        </w:rPr>
        <w:t>专员的网页上也列出了有关CDRH纠纷解决的全面信息：</w:t>
      </w:r>
      <w:r>
        <w:fldChar w:fldCharType="begin"/>
      </w:r>
      <w:r>
        <w:instrText xml:space="preserve"> HYPERLINK "http://www.fda.gov/cdrh/resolvingdisputes/ombudsman.html" </w:instrText>
      </w:r>
      <w:r>
        <w:fldChar w:fldCharType="separate"/>
      </w:r>
      <w:r>
        <w:rPr>
          <w:rStyle w:val="11"/>
          <w:rFonts w:ascii="Arial" w:hAnsi="Arial" w:eastAsia="宋体" w:cs="Arial"/>
          <w:snapToGrid w:val="0"/>
          <w:color w:val="auto"/>
          <w:kern w:val="0"/>
          <w:sz w:val="24"/>
          <w:u w:val="none"/>
        </w:rPr>
        <w:t>http: //www.fda.gov/cdrh/resolvingdisputes/ombudsman.html</w:t>
      </w:r>
      <w:r>
        <w:rPr>
          <w:rStyle w:val="11"/>
          <w:rFonts w:ascii="Arial" w:hAnsi="Arial" w:eastAsia="宋体" w:cs="Arial"/>
          <w:snapToGrid w:val="0"/>
          <w:color w:val="auto"/>
          <w:kern w:val="0"/>
          <w:sz w:val="24"/>
          <w:u w:val="none"/>
        </w:rPr>
        <w:fldChar w:fldCharType="end"/>
      </w:r>
      <w:r>
        <w:rPr>
          <w:rFonts w:hint="eastAsia" w:ascii="Arial" w:hAnsi="Arial" w:eastAsia="宋体" w:cs="Arial"/>
          <w:snapToGrid w:val="0"/>
          <w:kern w:val="0"/>
          <w:sz w:val="24"/>
        </w:rPr>
        <w:t>。</w:t>
      </w:r>
    </w:p>
    <w:p w14:paraId="6B73F488">
      <w:pPr>
        <w:topLinePunct/>
        <w:adjustRightInd w:val="0"/>
        <w:snapToGrid w:val="0"/>
        <w:spacing w:after="234" w:afterLines="75" w:line="288" w:lineRule="auto"/>
        <w:outlineLvl w:val="1"/>
        <w:rPr>
          <w:rFonts w:ascii="Arial" w:hAnsi="Arial" w:eastAsia="宋体" w:cs="Arial"/>
          <w:b/>
          <w:snapToGrid w:val="0"/>
          <w:kern w:val="0"/>
          <w:sz w:val="24"/>
        </w:rPr>
      </w:pPr>
      <w:bookmarkStart w:id="10" w:name="_Toc501379948"/>
      <w:r>
        <w:rPr>
          <w:rFonts w:ascii="Arial" w:hAnsi="Arial" w:eastAsia="宋体" w:cs="Arial"/>
          <w:b/>
          <w:snapToGrid w:val="0"/>
          <w:kern w:val="0"/>
          <w:sz w:val="24"/>
        </w:rPr>
        <w:t>B.</w:t>
      </w:r>
      <w:r>
        <w:rPr>
          <w:rFonts w:ascii="Arial" w:hAnsi="Arial" w:eastAsia="宋体" w:cs="Arial"/>
          <w:b/>
          <w:snapToGrid w:val="0"/>
          <w:kern w:val="0"/>
          <w:sz w:val="24"/>
        </w:rPr>
        <w:tab/>
      </w:r>
      <w:r>
        <w:rPr>
          <w:rFonts w:ascii="Arial" w:hAnsi="Arial" w:eastAsia="宋体" w:cs="Arial"/>
          <w:b/>
          <w:snapToGrid w:val="0"/>
          <w:kern w:val="0"/>
          <w:sz w:val="24"/>
        </w:rPr>
        <w:t>什么是认证人员审查项目？</w:t>
      </w:r>
      <w:bookmarkEnd w:id="10"/>
    </w:p>
    <w:p w14:paraId="65E2F0B8">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1" w:name="_Toc501379949"/>
      <w:r>
        <w:rPr>
          <w:rFonts w:ascii="Arial" w:hAnsi="Arial" w:eastAsia="宋体" w:cs="Arial"/>
          <w:b/>
          <w:snapToGrid w:val="0"/>
          <w:kern w:val="0"/>
          <w:sz w:val="24"/>
          <w:u w:val="single"/>
        </w:rPr>
        <w:t>项目的目的和性质</w:t>
      </w:r>
      <w:bookmarkEnd w:id="11"/>
    </w:p>
    <w:p w14:paraId="3DA31CA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认证人员项目的目的是通过认证第三方来对选定的低至中等风险器械进行510（k）的初步审查，来实施该法案的第523部分规定。</w:t>
      </w:r>
    </w:p>
    <w:p w14:paraId="3EA6B7E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认证人员项目旨在使FDA能够将科学评估资源用于高风险器械，同时对认证人员对中低风险器械的审查保持高度的信心，并为符合条件的器械制造商提供可能产生更快速的510（k）决定的替代审查过程。</w:t>
      </w:r>
    </w:p>
    <w:p w14:paraId="43548D7C">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4AA003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根据第523条的要求，同时基于第三方审查试点项目的经验，FDA对认证人员项目的初步实施过程包括了一系列的保证措施，以保证由认证人员对510（k）进行高质量的审查，并尽量减少对公众的风险。</w:t>
      </w:r>
    </w:p>
    <w:p w14:paraId="7A31571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这些措施包括：</w:t>
      </w:r>
    </w:p>
    <w:p w14:paraId="7FA9132A">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排除所有III类器械和永久植入物、生命支持／生命维持器械、或需要临床数据的任何II类器械（法案限制了因为需要临床数据可能不符合认证人员审查的II类器械的数量）；</w:t>
      </w:r>
    </w:p>
    <w:p w14:paraId="35078F53">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在参与项目之前，FDA应评估、认证和培训认证人员；</w:t>
      </w:r>
    </w:p>
    <w:p w14:paraId="0889DF86">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认证人员的资格级别与CDRH器械评估办公室的级别相同；</w:t>
      </w:r>
    </w:p>
    <w:p w14:paraId="3AE8C163">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防止认证人员可能影响审查过程的潜在利益冲突的标准；</w:t>
      </w:r>
    </w:p>
    <w:p w14:paraId="44109D77">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FDA对认证人员审查／建议的监督，以及FDA对已颁布的510（k）决定的持续性责任；</w:t>
      </w:r>
    </w:p>
    <w:p w14:paraId="447419DE">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规定FDA定期对每位认证人员进行现场考察，以便对绩效进行审计，并检查与认证人员审查有关的记录、信件和其他材料；</w:t>
      </w:r>
    </w:p>
    <w:p w14:paraId="5C60E33E">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FDA负责监督和评估该项目，以确保认证人员基本符合第523条的要求，并且不会对公共健康构成威胁；</w:t>
      </w:r>
    </w:p>
    <w:p w14:paraId="3F481444">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确保适用于该项目中所包含的器械的所有其他监管控制（例如，医疗器械报告的上市后不良事件）的持续适用性；</w:t>
      </w:r>
    </w:p>
    <w:p w14:paraId="4ABA7685">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510（k）的申请者禁止论坛购物；和</w:t>
      </w:r>
    </w:p>
    <w:p w14:paraId="7D49C472">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Arial" w:hAnsi="Arial" w:eastAsia="宋体" w:cs="Arial"/>
          <w:snapToGrid w:val="0"/>
          <w:kern w:val="0"/>
          <w:sz w:val="24"/>
        </w:rPr>
        <w:t>认证人员应依据审查指导和／或公认标准进行审查，以确保审查的一致性和及时性。</w:t>
      </w:r>
    </w:p>
    <w:p w14:paraId="4B99F9D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正在启动一项试点项目，以鼓励更广泛地使用认证人员项目。在符合下列条件的情况下，试点允许由认证人员审查无器械特定指南的II类器械的510（k）。认证人员应提出扩大认证范围的申请，以审查这些器械（见本指导性文件第四部分）。如果满足以下条件或认证人员可以确定其具有适当的专业知识来审查其希望审查的器械，则认证人员可以获得认证权限，以审查没有器械特定指南的II类器械：</w:t>
      </w:r>
    </w:p>
    <w:p w14:paraId="2133A018">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2B54608">
      <w:pPr>
        <w:pStyle w:val="12"/>
        <w:numPr>
          <w:ilvl w:val="0"/>
          <w:numId w:val="11"/>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该认证人员此前已经成功完成了三次第三方项目下的510（k）审查。先前的510（k）审查可以是针对具有器械特定指南的II类器械，也可以是针对I类器械的审查。</w:t>
      </w:r>
    </w:p>
    <w:p w14:paraId="1B620D25">
      <w:pPr>
        <w:pStyle w:val="12"/>
        <w:numPr>
          <w:ilvl w:val="0"/>
          <w:numId w:val="11"/>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在开始审查该认证人员未审查过的510（k）器械类型时，认证人员同意联系适当的CDRH器械评估（ODE）分部主管（或指定人员）。联系的目的是确定相关问题，并评估与此类器械相关的标准。在与分部主管进行讨论之后，认证人可以进行审查。在对相同类型的器械进行510（k）审查时，认证人员可以不再预先进行联系。</w:t>
      </w:r>
    </w:p>
    <w:p w14:paraId="56245108">
      <w:pPr>
        <w:pStyle w:val="12"/>
        <w:numPr>
          <w:ilvl w:val="0"/>
          <w:numId w:val="11"/>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认证人员同意准备文件，记录讨论的总结，并按照第II部分的要求将总结附在510（k）申请中，一同上交ODE。该总结不需要事先审查或ODE的同意。</w:t>
      </w:r>
    </w:p>
    <w:p w14:paraId="4D3193B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讨论和总结不代表同意，对机构或认证人员不具约束力。相反，提交前的讨论以及创建这些讨论的记录将有助于FDA确保在没有特定器械指南的情况下审查的一致性和及时性。此外，FDA可能会利用此类文件确保不同的认证人员和定期提交人员交互的一致性。此外，这些讨论的记录将有助于FDA确定是否需要发布特定的器械特定指南，也可能有助于此类文件的建立。</w:t>
      </w:r>
    </w:p>
    <w:p w14:paraId="77CC138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FDA提供了在第三方项目启动之前由FDA负责执行的510（k）审查和培训项目流程和标准的信息。如果需要，该培训项目会重复进行。认证人员可以访问CDRH主页（http: //www.fda.gov/cdrh），了解有关监管指南和FDAMA的一般信息。在这个网站认证人员也可以参考现有的FDA指导性文件，例如</w:t>
      </w:r>
    </w:p>
    <w:p w14:paraId="6A548455">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上市前通知510（k）——医疗器械监管要求</w:t>
      </w:r>
      <w:r>
        <w:rPr>
          <w:rFonts w:ascii="宋体" w:hAnsi="宋体" w:eastAsia="宋体" w:cs="Arial"/>
          <w:snapToGrid w:val="0"/>
          <w:kern w:val="0"/>
          <w:sz w:val="24"/>
        </w:rPr>
        <w:t>”</w:t>
      </w:r>
      <w:r>
        <w:rPr>
          <w:rFonts w:ascii="Arial" w:hAnsi="Arial" w:eastAsia="宋体" w:cs="Arial"/>
          <w:snapToGrid w:val="0"/>
          <w:kern w:val="0"/>
          <w:sz w:val="24"/>
        </w:rPr>
        <w:t>（1995年8月），</w:t>
      </w:r>
    </w:p>
    <w:p w14:paraId="324FB7DC">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体外诊断器械：510（k）申请准备指南</w:t>
      </w:r>
      <w:r>
        <w:rPr>
          <w:rFonts w:ascii="宋体" w:hAnsi="宋体" w:eastAsia="宋体" w:cs="Arial"/>
          <w:snapToGrid w:val="0"/>
          <w:kern w:val="0"/>
          <w:sz w:val="24"/>
        </w:rPr>
        <w:t>”</w:t>
      </w:r>
      <w:r>
        <w:rPr>
          <w:rFonts w:ascii="Arial" w:hAnsi="Arial" w:eastAsia="宋体" w:cs="Arial"/>
          <w:snapToGrid w:val="0"/>
          <w:kern w:val="0"/>
          <w:sz w:val="24"/>
        </w:rPr>
        <w:t>（1997年1月），</w:t>
      </w:r>
    </w:p>
    <w:p w14:paraId="69457786">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第三方审查——上市前通知审查的指导性手册</w:t>
      </w:r>
      <w:r>
        <w:rPr>
          <w:rFonts w:ascii="宋体" w:hAnsi="宋体" w:eastAsia="宋体" w:cs="Arial"/>
          <w:snapToGrid w:val="0"/>
          <w:kern w:val="0"/>
          <w:sz w:val="24"/>
        </w:rPr>
        <w:t>”</w:t>
      </w:r>
      <w:r>
        <w:rPr>
          <w:rFonts w:ascii="Arial" w:hAnsi="Arial" w:eastAsia="宋体" w:cs="Arial"/>
          <w:snapToGrid w:val="0"/>
          <w:kern w:val="0"/>
          <w:sz w:val="24"/>
        </w:rPr>
        <w:t>（1996年7月1日），</w:t>
      </w:r>
    </w:p>
    <w:p w14:paraId="2951C567">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关于认定和使用共识标准的</w:t>
      </w:r>
      <w:r>
        <w:rPr>
          <w:rFonts w:hint="eastAsia" w:ascii="Arial" w:hAnsi="Arial" w:eastAsia="宋体" w:cs="Arial"/>
          <w:snapToGrid w:val="0"/>
          <w:kern w:val="0"/>
          <w:sz w:val="24"/>
        </w:rPr>
        <w:t>指南</w:t>
      </w:r>
      <w:r>
        <w:rPr>
          <w:rFonts w:ascii="宋体" w:hAnsi="宋体" w:eastAsia="宋体" w:cs="Arial"/>
          <w:snapToGrid w:val="0"/>
          <w:kern w:val="0"/>
          <w:sz w:val="24"/>
        </w:rPr>
        <w:t>”</w:t>
      </w:r>
      <w:r>
        <w:rPr>
          <w:rFonts w:ascii="Arial" w:hAnsi="Arial" w:eastAsia="宋体" w:cs="Arial"/>
          <w:snapToGrid w:val="0"/>
          <w:kern w:val="0"/>
          <w:sz w:val="24"/>
        </w:rPr>
        <w:t>（1998年2月），</w:t>
      </w:r>
    </w:p>
    <w:p w14:paraId="232061AA">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关于在实质性等同性判定中使用标准的</w:t>
      </w:r>
      <w:r>
        <w:rPr>
          <w:rFonts w:hint="eastAsia" w:ascii="Arial" w:hAnsi="Arial" w:eastAsia="宋体" w:cs="Arial"/>
          <w:snapToGrid w:val="0"/>
          <w:kern w:val="0"/>
          <w:sz w:val="24"/>
        </w:rPr>
        <w:t>指南</w:t>
      </w:r>
      <w:r>
        <w:rPr>
          <w:rFonts w:ascii="宋体" w:hAnsi="宋体" w:eastAsia="宋体" w:cs="Arial"/>
          <w:snapToGrid w:val="0"/>
          <w:kern w:val="0"/>
          <w:sz w:val="24"/>
        </w:rPr>
        <w:t>”</w:t>
      </w:r>
      <w:r>
        <w:rPr>
          <w:rFonts w:ascii="Arial" w:hAnsi="Arial" w:eastAsia="宋体" w:cs="Arial"/>
          <w:snapToGrid w:val="0"/>
          <w:kern w:val="0"/>
          <w:sz w:val="24"/>
        </w:rPr>
        <w:t>（2000年3月），和</w:t>
      </w:r>
    </w:p>
    <w:p w14:paraId="7FFDB2C8">
      <w:pPr>
        <w:widowControl/>
        <w:jc w:val="left"/>
        <w:rPr>
          <w:rFonts w:ascii="宋体" w:hAnsi="宋体" w:eastAsia="宋体" w:cs="Arial"/>
          <w:snapToGrid w:val="0"/>
          <w:kern w:val="0"/>
          <w:sz w:val="24"/>
        </w:rPr>
      </w:pPr>
      <w:r>
        <w:rPr>
          <w:rFonts w:ascii="宋体" w:hAnsi="宋体" w:eastAsia="宋体" w:cs="Arial"/>
          <w:snapToGrid w:val="0"/>
          <w:kern w:val="0"/>
          <w:sz w:val="24"/>
        </w:rPr>
        <w:br w:type="page"/>
      </w:r>
    </w:p>
    <w:p w14:paraId="48EA3E04">
      <w:pPr>
        <w:pStyle w:val="12"/>
        <w:numPr>
          <w:ilvl w:val="0"/>
          <w:numId w:val="10"/>
        </w:numPr>
        <w:topLinePunct/>
        <w:adjustRightInd w:val="0"/>
        <w:snapToGrid w:val="0"/>
        <w:spacing w:after="234" w:afterLines="75" w:line="288" w:lineRule="auto"/>
        <w:ind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确定510（k）器械的预期用途——行业和CDRH工作人员指南</w:t>
      </w:r>
      <w:r>
        <w:rPr>
          <w:rFonts w:ascii="宋体" w:hAnsi="宋体" w:eastAsia="宋体" w:cs="Arial"/>
          <w:snapToGrid w:val="0"/>
          <w:kern w:val="0"/>
          <w:sz w:val="24"/>
        </w:rPr>
        <w:t>”</w:t>
      </w:r>
      <w:r>
        <w:rPr>
          <w:rFonts w:ascii="Arial" w:hAnsi="Arial" w:eastAsia="宋体" w:cs="Arial"/>
          <w:snapToGrid w:val="0"/>
          <w:kern w:val="0"/>
          <w:sz w:val="24"/>
        </w:rPr>
        <w:t>（1998年1月）。</w:t>
      </w:r>
    </w:p>
    <w:p w14:paraId="6DF1B90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这些颁布的文件概述了器械法规、FDA关于510（k）内容和格式的要求、510（k）审查过程的描述、重要的政策备忘录、和对制造商和经认证人员有用的附加信息（见</w:t>
      </w:r>
      <w:r>
        <w:rPr>
          <w:rFonts w:ascii="Arial" w:hAnsi="Arial" w:eastAsia="宋体" w:cs="Arial"/>
          <w:snapToGrid w:val="0"/>
          <w:kern w:val="0"/>
          <w:sz w:val="24"/>
          <w:u w:val="single"/>
        </w:rPr>
        <w:t>第V部分</w:t>
      </w:r>
      <w:r>
        <w:rPr>
          <w:rFonts w:ascii="Arial" w:hAnsi="Arial" w:eastAsia="宋体" w:cs="Arial"/>
          <w:snapToGrid w:val="0"/>
          <w:kern w:val="0"/>
          <w:sz w:val="24"/>
        </w:rPr>
        <w:t>）。</w:t>
      </w:r>
    </w:p>
    <w:p w14:paraId="061DEFF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FDA鼓励认证人员和寻求认证的人员熟悉这些文件和后续指导中列出的信息。这些信息、FDA提供的任何器械特定的审查指南、以及提交申请前的讨论都将有助于经认证人员开展适当的审查，确保机构可以及时处理。</w:t>
      </w:r>
    </w:p>
    <w:p w14:paraId="0F29E6DF">
      <w:pPr>
        <w:topLinePunct/>
        <w:adjustRightInd w:val="0"/>
        <w:snapToGrid w:val="0"/>
        <w:spacing w:after="234" w:afterLines="75" w:line="288" w:lineRule="auto"/>
        <w:outlineLvl w:val="2"/>
        <w:rPr>
          <w:rFonts w:ascii="Arial" w:hAnsi="Arial" w:eastAsia="宋体" w:cs="Arial"/>
          <w:b/>
          <w:snapToGrid w:val="0"/>
          <w:kern w:val="0"/>
          <w:sz w:val="24"/>
        </w:rPr>
      </w:pPr>
      <w:bookmarkStart w:id="12" w:name="_Toc501379950"/>
      <w:r>
        <w:rPr>
          <w:rFonts w:ascii="Arial" w:hAnsi="Arial" w:eastAsia="宋体" w:cs="Arial"/>
          <w:b/>
          <w:snapToGrid w:val="0"/>
          <w:kern w:val="0"/>
          <w:sz w:val="24"/>
        </w:rPr>
        <w:t>哪些器械符合认证人员审查资格？</w:t>
      </w:r>
      <w:bookmarkEnd w:id="12"/>
    </w:p>
    <w:p w14:paraId="5742E23E">
      <w:pPr>
        <w:topLinePunct/>
        <w:adjustRightInd w:val="0"/>
        <w:snapToGrid w:val="0"/>
        <w:spacing w:after="234" w:afterLines="75" w:line="288" w:lineRule="auto"/>
        <w:jc w:val="left"/>
        <w:rPr>
          <w:rFonts w:ascii="Arial" w:hAnsi="Arial" w:eastAsia="宋体" w:cs="Arial"/>
          <w:snapToGrid w:val="0"/>
          <w:kern w:val="0"/>
          <w:sz w:val="24"/>
        </w:rPr>
      </w:pPr>
      <w:r>
        <w:rPr>
          <w:rFonts w:ascii="Arial" w:hAnsi="Arial" w:eastAsia="宋体" w:cs="Arial"/>
          <w:snapToGrid w:val="0"/>
          <w:kern w:val="0"/>
          <w:sz w:val="24"/>
        </w:rPr>
        <w:t>如上所述，法案第523条限制了认证人员可能审查的器械类型。FDA已经在CDRH主页上提供了由CDRH监管的I类和II类器械的列表，机构认为根据法案的要求上述列表内的器械可以由认证人员进行审查。器械列表见于http://www.fda.gov/cdrh/thirdparty，并将定期更新。</w:t>
      </w:r>
    </w:p>
    <w:p w14:paraId="0D4C189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此前，FDA认证人员审查的器械清单更为有限。该清单包括所有不能免除上市前通知的I类器械，因为机构认为，由CDRH提供的一般性指南是帮助第三方审查这些相对低风险器械的充分依据。然而，决定纳入II类器械也部分取决于是否存在器械特定的指南和／或FDA认证的标准。</w:t>
      </w:r>
    </w:p>
    <w:p w14:paraId="140DE90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为了鼓励更多地使用认证人员项目，FDA正在启动一项试点，本文前面已经讨论过，该试点扩展了符合条件的器械列表，纳入了没有针对器械的指南的II类器械。符合条件的器械也被列入了CDRH主页符合条件的器械的列表中，并被标识为</w:t>
      </w:r>
      <w:r>
        <w:rPr>
          <w:rFonts w:ascii="宋体" w:hAnsi="宋体" w:eastAsia="宋体" w:cs="Arial"/>
          <w:snapToGrid w:val="0"/>
          <w:kern w:val="0"/>
          <w:sz w:val="24"/>
        </w:rPr>
        <w:t>“</w:t>
      </w:r>
      <w:r>
        <w:rPr>
          <w:rFonts w:ascii="Arial" w:hAnsi="Arial" w:eastAsia="宋体" w:cs="Arial"/>
          <w:snapToGrid w:val="0"/>
          <w:kern w:val="0"/>
          <w:sz w:val="24"/>
        </w:rPr>
        <w:t>试点</w:t>
      </w:r>
      <w:r>
        <w:rPr>
          <w:rFonts w:ascii="宋体" w:hAnsi="宋体" w:eastAsia="宋体" w:cs="Arial"/>
          <w:snapToGrid w:val="0"/>
          <w:kern w:val="0"/>
          <w:sz w:val="24"/>
        </w:rPr>
        <w:t>”</w:t>
      </w:r>
      <w:r>
        <w:rPr>
          <w:rFonts w:ascii="Arial" w:hAnsi="Arial" w:eastAsia="宋体" w:cs="Arial"/>
          <w:snapToGrid w:val="0"/>
          <w:kern w:val="0"/>
          <w:sz w:val="24"/>
        </w:rPr>
        <w:t>器械，以将其与无需考虑特殊试点项目程序的被审查的器械区分开来。试点还包括了豁免510（k）的器械。也就是说，如果已经获得豁免的器械的新版本由于超过了510（k）豁免的限制范围（如FDA的器械分类法规中所述）而需要510（k），则除非由于法案第523条中的法定排除条款而无法由第三方审查，否则该器械将有资格获得第三方审查。虽然这些</w:t>
      </w:r>
      <w:r>
        <w:rPr>
          <w:rFonts w:ascii="宋体" w:hAnsi="宋体" w:eastAsia="宋体" w:cs="Arial"/>
          <w:snapToGrid w:val="0"/>
          <w:kern w:val="0"/>
          <w:sz w:val="24"/>
        </w:rPr>
        <w:t>“</w:t>
      </w:r>
      <w:r>
        <w:rPr>
          <w:rFonts w:ascii="Arial" w:hAnsi="Arial" w:eastAsia="宋体" w:cs="Arial"/>
          <w:snapToGrid w:val="0"/>
          <w:kern w:val="0"/>
          <w:sz w:val="24"/>
        </w:rPr>
        <w:t>豁免</w:t>
      </w:r>
      <w:r>
        <w:rPr>
          <w:rFonts w:ascii="宋体" w:hAnsi="宋体" w:eastAsia="宋体" w:cs="Arial"/>
          <w:snapToGrid w:val="0"/>
          <w:kern w:val="0"/>
          <w:sz w:val="24"/>
        </w:rPr>
        <w:t>”</w:t>
      </w:r>
      <w:r>
        <w:rPr>
          <w:rFonts w:ascii="Arial" w:hAnsi="Arial" w:eastAsia="宋体" w:cs="Arial"/>
          <w:snapToGrid w:val="0"/>
          <w:kern w:val="0"/>
          <w:sz w:val="24"/>
        </w:rPr>
        <w:t>器械没有显示在符合条件的器械列表中，但是列表介绍会告知制造商和认证人员，在法律限制的范围内，FDA将接受第三方来评价由于超出了器械的510（k）豁免范围而需要提交的510（k）申请。</w:t>
      </w:r>
    </w:p>
    <w:p w14:paraId="218AE05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78BF8B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与现有的认证人员项目一样，试点不包括需要多中心审查的510（k）（例如药物／器械组合产品的510（k）），也不包括应由生物制剂评估和研究中心主要负责审查的器械。此外，受法律限制，任何需要临床数据来确定实质等同性的II类器械的510（k）不包括在认证人员项目中。需要临床数据的确定过程是专业性判断问题，通常取决于新器械和比较器械之间的差异性质（例如，增加的特定适应症）。制造商和认证人员如果需要寻求510（k）中临床数据的指导，则应咨询FDA的指导性文件，也可以联系CDRH医疗器械评价办公室相应的审查部门。</w:t>
      </w:r>
    </w:p>
    <w:p w14:paraId="0EB7584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机构希望持续监测试点项目，并在24个月后审查该试点项目，观察第三方510（k）审查的数量是否显著增加，是否可以保持及时的审查，以及CDRH医疗器械评价办公室的特定部门在与认证人员进行预申请的讨论中花费的时间是否比预期的要多。如果机构发现，第三方咨询所产生的额外工作量影响了FDA审查其他申请的能力，或由于缺乏针对特定器械的指导而导致审查质量显着降低，则FDA可随时选择停止或重新评估试点项目。</w:t>
      </w:r>
    </w:p>
    <w:p w14:paraId="09902C13">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3" w:name="_Toc501379951"/>
      <w:r>
        <w:rPr>
          <w:rFonts w:ascii="Arial" w:hAnsi="Arial" w:eastAsia="宋体" w:cs="Arial"/>
          <w:b/>
          <w:snapToGrid w:val="0"/>
          <w:kern w:val="0"/>
          <w:sz w:val="24"/>
          <w:u w:val="single"/>
        </w:rPr>
        <w:t>如何成为认证人员？</w:t>
      </w:r>
      <w:bookmarkEnd w:id="13"/>
    </w:p>
    <w:p w14:paraId="013096E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根据法案第523条，我们（FDA）担任第三方的认证机构。我们的认证标准于1998年5月22日在联邦公报公布，我们在本文件II B部分进一步阐述了认证人员的资格。对于认证人员的合格人数没有限制。您可以申请成为认证人员，查看各种器械类型或查看特定类型的器械。任何情况下，我们只认证具有合格的人员和严格的利益冲突标准的申请人。另外，我们同时会考虑国内和国外的认证申请。但与机构的所有申请和通信，以及与510（k）审查有关的所有文件都应该是英文的，对于国外的认证人员，应由美国代表进行申请，以便我们可以做适当的审查并与申请人进行有效的沟通。</w:t>
      </w:r>
    </w:p>
    <w:p w14:paraId="7946125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我们在网站http: //www.fda.gov/cdrh/thirdparty维护一份有资格提交510（k）审查的合格人员名单。该清单提供了认证人员的姓名、联系人、地址、和电话号码。我们经常更新列表。如果上述信息有任何更改，您应该立即通知FDA。</w:t>
      </w:r>
    </w:p>
    <w:p w14:paraId="3707ED5C">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4" w:name="_Toc501379952"/>
      <w:r>
        <w:rPr>
          <w:rFonts w:ascii="Arial" w:hAnsi="Arial" w:eastAsia="宋体" w:cs="Arial"/>
          <w:b/>
          <w:snapToGrid w:val="0"/>
          <w:kern w:val="0"/>
          <w:sz w:val="24"/>
          <w:u w:val="single"/>
        </w:rPr>
        <w:t>什么时候可以取消您的认证？</w:t>
      </w:r>
      <w:bookmarkEnd w:id="14"/>
    </w:p>
    <w:p w14:paraId="5A65E33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根据第523（b）（2）条的规定，在您接到通知并获得参加非正式听证会后，如果存在下列情况，您可能会暂停或撤销认证：</w:t>
      </w:r>
    </w:p>
    <w:p w14:paraId="21B15E63">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20C291B5">
      <w:pPr>
        <w:pStyle w:val="12"/>
        <w:numPr>
          <w:ilvl w:val="0"/>
          <w:numId w:val="1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基本上不符合第523条的规定；</w:t>
      </w:r>
    </w:p>
    <w:p w14:paraId="6ED3C354">
      <w:pPr>
        <w:pStyle w:val="12"/>
        <w:numPr>
          <w:ilvl w:val="0"/>
          <w:numId w:val="1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未按照第523条的目的开展工作；或</w:t>
      </w:r>
    </w:p>
    <w:p w14:paraId="0A1C3C18">
      <w:pPr>
        <w:pStyle w:val="12"/>
        <w:numPr>
          <w:ilvl w:val="0"/>
          <w:numId w:val="1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对公共健康构成威胁。</w:t>
      </w:r>
    </w:p>
    <w:p w14:paraId="3A89140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此外，根据第301（y）（1）条，您作为认证人员被禁止的行为是：</w:t>
      </w:r>
    </w:p>
    <w:p w14:paraId="3CE2A1A9">
      <w:pPr>
        <w:pStyle w:val="12"/>
        <w:numPr>
          <w:ilvl w:val="0"/>
          <w:numId w:val="1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提交虚假或误导性报告；</w:t>
      </w:r>
    </w:p>
    <w:p w14:paraId="39FEAD81">
      <w:pPr>
        <w:pStyle w:val="12"/>
        <w:numPr>
          <w:ilvl w:val="0"/>
          <w:numId w:val="1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未经申请人同意，披露机密信息或商业秘密；或</w:t>
      </w:r>
    </w:p>
    <w:p w14:paraId="5881939B">
      <w:pPr>
        <w:pStyle w:val="12"/>
        <w:numPr>
          <w:ilvl w:val="0"/>
          <w:numId w:val="1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收受贿赂或者进行腐败行为。</w:t>
      </w:r>
    </w:p>
    <w:p w14:paraId="7359A83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根据目前</w:t>
      </w:r>
      <w:r>
        <w:rPr>
          <w:rFonts w:hint="eastAsia" w:ascii="Arial" w:hAnsi="Arial" w:eastAsia="宋体" w:cs="Arial"/>
          <w:snapToGrid w:val="0"/>
          <w:kern w:val="0"/>
          <w:sz w:val="24"/>
        </w:rPr>
        <w:t>规范</w:t>
      </w:r>
      <w:r>
        <w:rPr>
          <w:rFonts w:ascii="Arial" w:hAnsi="Arial" w:eastAsia="宋体" w:cs="Arial"/>
          <w:snapToGrid w:val="0"/>
          <w:kern w:val="0"/>
          <w:sz w:val="24"/>
        </w:rPr>
        <w:t>，我们将继续接受来自尚未认证的第三方的510（k），但将以与从制造商直接提交的510（k）相同的方式处理该申请。</w:t>
      </w:r>
    </w:p>
    <w:p w14:paraId="07C0961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如果您想获得认证，请向我们提交一份申请，地址为：认证人员项目，小型制造商援助司（HFZ-220），器械和放射卫生中心（1350 Piccard Drive，Rockville，Maryland 20850 USA）。您应该使用第III部分所描述的认证申请格式。我们将在收到您的申请后60天内作出是否认证的决定。</w:t>
      </w:r>
    </w:p>
    <w:p w14:paraId="19A760F3">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5" w:name="_Toc501379953"/>
      <w:r>
        <w:rPr>
          <w:rFonts w:ascii="Arial" w:hAnsi="Arial" w:eastAsia="宋体" w:cs="Arial"/>
          <w:b/>
          <w:snapToGrid w:val="0"/>
          <w:kern w:val="0"/>
          <w:sz w:val="24"/>
          <w:u w:val="single"/>
        </w:rPr>
        <w:t>成为认证人员需要哪些资格？</w:t>
      </w:r>
      <w:bookmarkEnd w:id="15"/>
    </w:p>
    <w:p w14:paraId="1B0D63A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要获得我们的认证，您必须证明您拥有进行510（k）审查的适当资格和设施，并且您已经采取了有效的控制措施，以防止可能影响审查过程的任何利益冲突或可能出现的利益冲突。</w:t>
      </w:r>
    </w:p>
    <w:p w14:paraId="06E5630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根据第523（b）（3）条，获得我们的认证，您必须至少具备以下资格：</w:t>
      </w:r>
    </w:p>
    <w:p w14:paraId="0560A280">
      <w:pPr>
        <w:pStyle w:val="12"/>
        <w:numPr>
          <w:ilvl w:val="0"/>
          <w:numId w:val="14"/>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您不必是联邦政府的雇员；</w:t>
      </w:r>
    </w:p>
    <w:p w14:paraId="0F198000">
      <w:pPr>
        <w:pStyle w:val="12"/>
        <w:numPr>
          <w:ilvl w:val="0"/>
          <w:numId w:val="14"/>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您必须是独立的组织，并非由器械的制造商、供应商或经销商所拥有或控制，并且与此类制造商、供应商或经销商没有任何组织、材料或财务关系；</w:t>
      </w:r>
    </w:p>
    <w:p w14:paraId="53ED6947">
      <w:pPr>
        <w:pStyle w:val="12"/>
        <w:numPr>
          <w:ilvl w:val="0"/>
          <w:numId w:val="14"/>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您必须是一个合法的实体，允许开展您要寻求认证的活动；</w:t>
      </w:r>
    </w:p>
    <w:p w14:paraId="144C9B34">
      <w:pPr>
        <w:pStyle w:val="12"/>
        <w:numPr>
          <w:ilvl w:val="0"/>
          <w:numId w:val="14"/>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您不得从事器械的设计、制造、推广或销售；</w:t>
      </w:r>
    </w:p>
    <w:p w14:paraId="70FD03DD">
      <w:pPr>
        <w:pStyle w:val="12"/>
        <w:numPr>
          <w:ilvl w:val="0"/>
          <w:numId w:val="14"/>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您必须按照普遍接受的专业和商业惯例进行操作，并书面同意，您至少应：</w:t>
      </w:r>
    </w:p>
    <w:p w14:paraId="1124E7C1">
      <w:pPr>
        <w:pStyle w:val="12"/>
        <w:numPr>
          <w:ilvl w:val="0"/>
          <w:numId w:val="15"/>
        </w:numPr>
        <w:topLinePunct/>
        <w:adjustRightInd w:val="0"/>
        <w:snapToGrid w:val="0"/>
        <w:spacing w:after="234" w:afterLines="75" w:line="288" w:lineRule="auto"/>
        <w:ind w:left="1985" w:leftChars="600" w:hanging="725" w:firstLineChars="0"/>
        <w:rPr>
          <w:rFonts w:ascii="Arial" w:hAnsi="Arial" w:eastAsia="宋体" w:cs="Arial"/>
          <w:snapToGrid w:val="0"/>
          <w:kern w:val="0"/>
          <w:sz w:val="24"/>
        </w:rPr>
      </w:pPr>
      <w:r>
        <w:rPr>
          <w:rFonts w:ascii="Arial" w:hAnsi="Arial" w:eastAsia="宋体" w:cs="Arial"/>
          <w:snapToGrid w:val="0"/>
          <w:kern w:val="0"/>
          <w:sz w:val="24"/>
        </w:rPr>
        <w:t>确认报告的信息准确地反应了所审查的数据；</w:t>
      </w:r>
    </w:p>
    <w:p w14:paraId="5D4DBC2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D8A728F">
      <w:pPr>
        <w:pStyle w:val="12"/>
        <w:numPr>
          <w:ilvl w:val="0"/>
          <w:numId w:val="15"/>
        </w:numPr>
        <w:topLinePunct/>
        <w:adjustRightInd w:val="0"/>
        <w:snapToGrid w:val="0"/>
        <w:spacing w:after="234" w:afterLines="75" w:line="288" w:lineRule="auto"/>
        <w:ind w:left="1985" w:leftChars="600" w:hanging="725" w:firstLineChars="0"/>
        <w:rPr>
          <w:rFonts w:ascii="Arial" w:hAnsi="Arial" w:eastAsia="宋体" w:cs="Arial"/>
          <w:snapToGrid w:val="0"/>
          <w:kern w:val="0"/>
          <w:sz w:val="24"/>
        </w:rPr>
      </w:pPr>
      <w:r>
        <w:rPr>
          <w:rFonts w:ascii="Arial" w:hAnsi="Arial" w:eastAsia="宋体" w:cs="Arial"/>
          <w:snapToGrid w:val="0"/>
          <w:kern w:val="0"/>
          <w:sz w:val="24"/>
        </w:rPr>
        <w:t>将工作限制于力所能及的工作；</w:t>
      </w:r>
    </w:p>
    <w:p w14:paraId="119806A6">
      <w:pPr>
        <w:pStyle w:val="12"/>
        <w:numPr>
          <w:ilvl w:val="0"/>
          <w:numId w:val="15"/>
        </w:numPr>
        <w:topLinePunct/>
        <w:adjustRightInd w:val="0"/>
        <w:snapToGrid w:val="0"/>
        <w:spacing w:after="234" w:afterLines="75" w:line="288" w:lineRule="auto"/>
        <w:ind w:left="1985" w:leftChars="600" w:hanging="725" w:firstLineChars="0"/>
        <w:rPr>
          <w:rFonts w:ascii="Arial" w:hAnsi="Arial" w:eastAsia="宋体" w:cs="Arial"/>
          <w:snapToGrid w:val="0"/>
          <w:kern w:val="0"/>
          <w:sz w:val="24"/>
        </w:rPr>
      </w:pPr>
      <w:r>
        <w:rPr>
          <w:rFonts w:ascii="Arial" w:hAnsi="Arial" w:eastAsia="宋体" w:cs="Arial"/>
          <w:snapToGrid w:val="0"/>
          <w:kern w:val="0"/>
          <w:sz w:val="24"/>
        </w:rPr>
        <w:t>将收到的信息、记录、报告和建议作为专有信息；</w:t>
      </w:r>
    </w:p>
    <w:p w14:paraId="202ECBEB">
      <w:pPr>
        <w:pStyle w:val="12"/>
        <w:numPr>
          <w:ilvl w:val="0"/>
          <w:numId w:val="15"/>
        </w:numPr>
        <w:topLinePunct/>
        <w:adjustRightInd w:val="0"/>
        <w:snapToGrid w:val="0"/>
        <w:spacing w:after="234" w:afterLines="75" w:line="288" w:lineRule="auto"/>
        <w:ind w:left="1985" w:leftChars="600" w:hanging="725" w:firstLineChars="0"/>
        <w:rPr>
          <w:rFonts w:ascii="Arial" w:hAnsi="Arial" w:eastAsia="宋体" w:cs="Arial"/>
          <w:snapToGrid w:val="0"/>
          <w:kern w:val="0"/>
          <w:sz w:val="24"/>
        </w:rPr>
      </w:pPr>
      <w:r>
        <w:rPr>
          <w:rFonts w:ascii="Arial" w:hAnsi="Arial" w:eastAsia="宋体" w:cs="Arial"/>
          <w:snapToGrid w:val="0"/>
          <w:kern w:val="0"/>
          <w:sz w:val="24"/>
        </w:rPr>
        <w:t>尽快回应，并尝试解决有关您所认证的活动的投诉；和</w:t>
      </w:r>
    </w:p>
    <w:p w14:paraId="13EF5431">
      <w:pPr>
        <w:pStyle w:val="12"/>
        <w:numPr>
          <w:ilvl w:val="0"/>
          <w:numId w:val="15"/>
        </w:numPr>
        <w:topLinePunct/>
        <w:adjustRightInd w:val="0"/>
        <w:snapToGrid w:val="0"/>
        <w:spacing w:after="234" w:afterLines="75" w:line="288" w:lineRule="auto"/>
        <w:ind w:left="1985" w:leftChars="600" w:hanging="725" w:firstLineChars="0"/>
        <w:rPr>
          <w:rFonts w:ascii="Arial" w:hAnsi="Arial" w:eastAsia="宋体" w:cs="Arial"/>
          <w:snapToGrid w:val="0"/>
          <w:kern w:val="0"/>
          <w:sz w:val="24"/>
        </w:rPr>
      </w:pPr>
      <w:r>
        <w:rPr>
          <w:rFonts w:ascii="Arial" w:hAnsi="Arial" w:eastAsia="宋体" w:cs="Arial"/>
          <w:snapToGrid w:val="0"/>
          <w:kern w:val="0"/>
          <w:sz w:val="24"/>
        </w:rPr>
        <w:t>防止任何与器械存在利益冲突的高级职员或员工进行审查，并每年向公众披露认证人员、高级职员和雇员遵守与财务利益冲突有关的要求的情况。</w:t>
      </w:r>
    </w:p>
    <w:p w14:paraId="4548BF2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除了法令规定的认证人员的最低要求外，还应具备以下资格（见1998年5月22日63 FR 28388）：</w:t>
      </w:r>
    </w:p>
    <w:p w14:paraId="32794FC3">
      <w:pPr>
        <w:pStyle w:val="12"/>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人员。</w:t>
      </w:r>
    </w:p>
    <w:p w14:paraId="418454A1">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在认证申请人时，我们会考虑几方面的人员资格。这些内容包括：</w:t>
      </w:r>
    </w:p>
    <w:p w14:paraId="49D59C92">
      <w:pPr>
        <w:pStyle w:val="12"/>
        <w:numPr>
          <w:ilvl w:val="0"/>
          <w:numId w:val="17"/>
        </w:numPr>
        <w:topLinePunct/>
        <w:adjustRightInd w:val="0"/>
        <w:snapToGrid w:val="0"/>
        <w:spacing w:after="234" w:afterLines="75" w:line="288" w:lineRule="auto"/>
        <w:ind w:left="2156" w:leftChars="800" w:hanging="476" w:firstLineChars="0"/>
        <w:rPr>
          <w:rFonts w:ascii="Arial" w:hAnsi="Arial" w:eastAsia="宋体" w:cs="Arial"/>
          <w:snapToGrid w:val="0"/>
          <w:kern w:val="0"/>
          <w:sz w:val="24"/>
        </w:rPr>
      </w:pPr>
      <w:r>
        <w:rPr>
          <w:rFonts w:ascii="Arial" w:hAnsi="Arial" w:eastAsia="宋体" w:cs="Arial"/>
          <w:snapToGrid w:val="0"/>
          <w:kern w:val="0"/>
          <w:sz w:val="24"/>
        </w:rPr>
        <w:t>人员是否具有以下内容的知识：</w:t>
      </w:r>
    </w:p>
    <w:p w14:paraId="419A0AA5">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联邦食品、药物和化妆品法（21 USC 301等）；</w:t>
      </w:r>
    </w:p>
    <w:p w14:paraId="4E1E698E">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公共卫生服务法案（42 USC 201等）；和</w:t>
      </w:r>
    </w:p>
    <w:p w14:paraId="70F91B40">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上述法案的执行法规，特别是21 CFR第800-1299部分。</w:t>
      </w:r>
    </w:p>
    <w:p w14:paraId="7E566DC5">
      <w:pPr>
        <w:pStyle w:val="12"/>
        <w:numPr>
          <w:ilvl w:val="0"/>
          <w:numId w:val="17"/>
        </w:numPr>
        <w:topLinePunct/>
        <w:adjustRightInd w:val="0"/>
        <w:snapToGrid w:val="0"/>
        <w:spacing w:after="234" w:afterLines="75" w:line="288" w:lineRule="auto"/>
        <w:ind w:left="2156" w:leftChars="800" w:hanging="476" w:firstLineChars="0"/>
        <w:rPr>
          <w:rFonts w:ascii="Arial" w:hAnsi="Arial" w:eastAsia="宋体" w:cs="Arial"/>
          <w:snapToGrid w:val="0"/>
          <w:kern w:val="0"/>
          <w:sz w:val="24"/>
        </w:rPr>
      </w:pPr>
      <w:r>
        <w:rPr>
          <w:rFonts w:ascii="Arial" w:hAnsi="Arial" w:eastAsia="宋体" w:cs="Arial"/>
          <w:snapToGrid w:val="0"/>
          <w:kern w:val="0"/>
          <w:sz w:val="24"/>
        </w:rPr>
        <w:t>申请人是否：</w:t>
      </w:r>
    </w:p>
    <w:p w14:paraId="1C397026">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已经建立、记录并执行了相应的政策和程序，以确保510（k）由合格人员进行审查，以及是否将保存所有对510（k）技术审查有贡献的人员的相关教育、培训、技能和经验的记录；</w:t>
      </w:r>
    </w:p>
    <w:p w14:paraId="414B9AB5">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对其人员提供针对510（k）审查责任和义务的明确的、书面的指导；</w:t>
      </w:r>
    </w:p>
    <w:p w14:paraId="45D92566">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所雇用的人员整体上符合认证人员所审查的510（k）所需要的学科资质；</w:t>
      </w:r>
    </w:p>
    <w:p w14:paraId="371FEFC0">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至少确定了一名负责提供510（k）审查监督的人员，并且有足够的权力和能力评估这些审查的质量和可接受性；和</w:t>
      </w:r>
    </w:p>
    <w:p w14:paraId="0D8AA9F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E470808">
      <w:pPr>
        <w:pStyle w:val="12"/>
        <w:numPr>
          <w:ilvl w:val="0"/>
          <w:numId w:val="18"/>
        </w:numPr>
        <w:topLinePunct/>
        <w:adjustRightInd w:val="0"/>
        <w:snapToGrid w:val="0"/>
        <w:spacing w:after="234" w:afterLines="75" w:line="288" w:lineRule="auto"/>
        <w:ind w:left="2157" w:leftChars="1027" w:firstLineChars="0"/>
        <w:rPr>
          <w:rFonts w:ascii="Arial" w:hAnsi="Arial" w:eastAsia="宋体" w:cs="Arial"/>
          <w:snapToGrid w:val="0"/>
          <w:kern w:val="0"/>
          <w:sz w:val="24"/>
        </w:rPr>
      </w:pPr>
      <w:r>
        <w:rPr>
          <w:rFonts w:ascii="Arial" w:hAnsi="Arial" w:eastAsia="宋体" w:cs="Arial"/>
          <w:snapToGrid w:val="0"/>
          <w:kern w:val="0"/>
          <w:sz w:val="24"/>
        </w:rPr>
        <w:t>准备好在FDA要求认证时可以进行技术合格的审查。</w:t>
      </w:r>
    </w:p>
    <w:p w14:paraId="1F36F28A">
      <w:pPr>
        <w:pStyle w:val="12"/>
        <w:numPr>
          <w:ilvl w:val="0"/>
          <w:numId w:val="17"/>
        </w:numPr>
        <w:topLinePunct/>
        <w:adjustRightInd w:val="0"/>
        <w:snapToGrid w:val="0"/>
        <w:spacing w:after="234" w:afterLines="75" w:line="288" w:lineRule="auto"/>
        <w:ind w:left="2156" w:leftChars="800" w:hanging="476" w:firstLineChars="0"/>
        <w:rPr>
          <w:rFonts w:ascii="Arial" w:hAnsi="Arial" w:eastAsia="宋体" w:cs="Arial"/>
          <w:snapToGrid w:val="0"/>
          <w:kern w:val="0"/>
          <w:sz w:val="24"/>
        </w:rPr>
      </w:pPr>
      <w:r>
        <w:rPr>
          <w:rFonts w:ascii="Arial" w:hAnsi="Arial" w:eastAsia="宋体" w:cs="Arial"/>
          <w:snapToGrid w:val="0"/>
          <w:kern w:val="0"/>
          <w:sz w:val="24"/>
        </w:rPr>
        <w:t>对于特定的II类器械的适当审查，我们希望有专门的教育或经验来确保技术合格的审查。</w:t>
      </w:r>
    </w:p>
    <w:p w14:paraId="48B1C4E9">
      <w:pPr>
        <w:topLinePunct/>
        <w:adjustRightInd w:val="0"/>
        <w:snapToGrid w:val="0"/>
        <w:spacing w:after="234" w:afterLines="75" w:line="288" w:lineRule="auto"/>
        <w:ind w:left="2157" w:leftChars="1027"/>
        <w:rPr>
          <w:rFonts w:ascii="Arial" w:hAnsi="Arial" w:eastAsia="宋体" w:cs="Arial"/>
          <w:snapToGrid w:val="0"/>
          <w:kern w:val="0"/>
          <w:sz w:val="24"/>
        </w:rPr>
      </w:pPr>
      <w:r>
        <w:rPr>
          <w:rFonts w:ascii="Arial" w:hAnsi="Arial" w:eastAsia="宋体" w:cs="Arial"/>
          <w:snapToGrid w:val="0"/>
          <w:kern w:val="0"/>
          <w:sz w:val="24"/>
        </w:rPr>
        <w:t>有关我们科学评估人员所需的一般教育和经验的信息，请参阅附录，FDA审查人员资格标准。您可以使用这些标准来确保主要负责审查510（k）的人员具有适当的教育和经验。您也可以制定和使用替代的标准，只要确保具有适当教育和经验的人员能够审查510（k）即可。</w:t>
      </w:r>
    </w:p>
    <w:p w14:paraId="46AA0A5C">
      <w:pPr>
        <w:pStyle w:val="12"/>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设施。</w:t>
      </w:r>
    </w:p>
    <w:p w14:paraId="038EA3C3">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认证人员应具有与FDA电子数据系统对接的能力，包括FDA主页、CDRH主页和CDRH Facts-On-Demand系统。这至少包括一个带有调制解调器和独立传真机的计算机系统。我们将广泛依赖电子数据系统的使用，以便及时向指定人员和其他有关方面发送指导性文件（见</w:t>
      </w:r>
      <w:r>
        <w:rPr>
          <w:rFonts w:ascii="Arial" w:hAnsi="Arial" w:eastAsia="宋体" w:cs="Arial"/>
          <w:snapToGrid w:val="0"/>
          <w:kern w:val="0"/>
          <w:sz w:val="24"/>
          <w:u w:val="single"/>
        </w:rPr>
        <w:t>第V部分</w:t>
      </w:r>
      <w:r>
        <w:rPr>
          <w:rFonts w:ascii="Arial" w:hAnsi="Arial" w:eastAsia="宋体" w:cs="Arial"/>
          <w:snapToGrid w:val="0"/>
          <w:kern w:val="0"/>
          <w:sz w:val="24"/>
        </w:rPr>
        <w:t>）。</w:t>
      </w:r>
    </w:p>
    <w:p w14:paraId="3DE78F1B">
      <w:pPr>
        <w:pStyle w:val="12"/>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防止利益冲突。</w:t>
      </w:r>
    </w:p>
    <w:p w14:paraId="6CC9F673">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作为认证人员，我们期望您保持公正，不存在可能引起利益冲突或出现利益冲突的任何商业、金融、和其他压力。为此，在决定是否认证某人时，我们将考虑您是否已经建立、记录并执行了相应的政策和程序，以防止个人或组织利益冲突，包括承包商或个体合同雇员的冲突。</w:t>
      </w:r>
    </w:p>
    <w:p w14:paraId="70E081BE">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虽然很难确定所有可能引起对利益冲突的担忧的情况，但是可能表明存在潜在利益冲突的最常见情况是：</w:t>
      </w:r>
    </w:p>
    <w:p w14:paraId="580F5FDE">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0E38506A">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认证人员由器械制造商或分销商所拥有，经营或控制；</w:t>
      </w:r>
    </w:p>
    <w:p w14:paraId="703E605D">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认证人员在任何医疗器械、器械制造商或分销商中拥有任何所有权或经济利益；</w:t>
      </w:r>
    </w:p>
    <w:p w14:paraId="34C73E01">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参与510（k）审查的认证人员的任何工作人员在器械制造商或分销商中拥有所有权或其他经济利益，表现出利益冲突；</w:t>
      </w:r>
    </w:p>
    <w:p w14:paraId="1EECF35C">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认证人员的任何工作人员参与对其拥有任何所有权或经济利益的任何器械的510（k）审查；</w:t>
      </w:r>
    </w:p>
    <w:p w14:paraId="023F654F">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参与510（k）审查的认证人员或其任何工作人员参与了任何医疗器械的设计、制造或分销；</w:t>
      </w:r>
    </w:p>
    <w:p w14:paraId="0319CD37">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参与510（k）审查的认证人员或其任何工作人员为任何器械制造商或分销商提供有关特定器械的咨询服务；</w:t>
      </w:r>
    </w:p>
    <w:p w14:paraId="23E1AED0">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参与510（k）审查的认证人员或其任何工作人员参与编制510（k）；</w:t>
      </w:r>
    </w:p>
    <w:p w14:paraId="5A7ED08B">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在审查510（k）的过程中，认证人员使用了在过去12个月内提交过510（k）审查的公司所雇用的人员；或</w:t>
      </w:r>
    </w:p>
    <w:p w14:paraId="1E22EF6D">
      <w:pPr>
        <w:pStyle w:val="12"/>
        <w:numPr>
          <w:ilvl w:val="0"/>
          <w:numId w:val="19"/>
        </w:numPr>
        <w:topLinePunct/>
        <w:adjustRightInd w:val="0"/>
        <w:snapToGrid w:val="0"/>
        <w:spacing w:after="234" w:afterLines="75" w:line="288" w:lineRule="auto"/>
        <w:ind w:left="2296" w:leftChars="800" w:hanging="616" w:firstLineChars="0"/>
        <w:rPr>
          <w:rFonts w:ascii="Arial" w:hAnsi="Arial" w:eastAsia="宋体" w:cs="Arial"/>
          <w:snapToGrid w:val="0"/>
          <w:kern w:val="0"/>
          <w:sz w:val="24"/>
        </w:rPr>
      </w:pPr>
      <w:r>
        <w:rPr>
          <w:rFonts w:ascii="Arial" w:hAnsi="Arial" w:eastAsia="宋体" w:cs="Arial"/>
          <w:snapToGrid w:val="0"/>
          <w:kern w:val="0"/>
          <w:sz w:val="24"/>
        </w:rPr>
        <w:t>收取或接受的费用是有条件的，或根据认证人员所作的初步分类建议收取。</w:t>
      </w:r>
    </w:p>
    <w:p w14:paraId="6B2F0F95">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您可以评估作为认证人员的服务费用。如果其他活动不影响510（k）审查的公正性，您也可以进行其他活动，例如客观的实验室测试或对标准的符合性进行评估。另外，您也可以提供关于510（k）要求的一般信息，以允许申请人改进正在审查的510（k）的组织或内容。</w:t>
      </w:r>
    </w:p>
    <w:p w14:paraId="44A546F3">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当您作为认证人员，以合同服务形式进行510（k）审查时，您需要对合同签署人的合同工作负责。您应该确保合同签署人符合同样的标准，以免受利益冲突的影响。</w:t>
      </w:r>
    </w:p>
    <w:p w14:paraId="5D5A73D3">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A670A44">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FDA对其自己的审查人员适用利益冲突标准的信息包含在附录行政部门员工道德行为标准中。您可以采用这些标准作为维护您的利益冲突的一种手段。</w:t>
      </w:r>
    </w:p>
    <w:p w14:paraId="040DBCD3">
      <w:pPr>
        <w:pStyle w:val="12"/>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培训。</w:t>
      </w:r>
    </w:p>
    <w:p w14:paraId="4CD1F7D4">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根据1998年5月22日美国食品药品监督管理局（FDA）在联邦公报颁布的标准，认证人员应在其申请中证明他们将有指定的雇员参加FDA认证人员培训。FDA于1998年10月14 - 16日对认证人员进行了初步培训，并项目定期为认证人员提供培训。</w:t>
      </w:r>
    </w:p>
    <w:p w14:paraId="6AC64443">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在进行任何510（k）审查之前，您应该完成培训。如果认证人员中没有至少一名指定员工参加FDA认证人员培训，则FDA不会接受来自该认证人员的510（k）审查和推荐。</w:t>
      </w:r>
    </w:p>
    <w:p w14:paraId="1143FF7B">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6" w:name="_Toc501379954"/>
      <w:r>
        <w:rPr>
          <w:rFonts w:ascii="Arial" w:hAnsi="Arial" w:eastAsia="宋体" w:cs="Arial"/>
          <w:b/>
          <w:snapToGrid w:val="0"/>
          <w:kern w:val="0"/>
          <w:sz w:val="24"/>
          <w:u w:val="single"/>
        </w:rPr>
        <w:t>认证人员的确定</w:t>
      </w:r>
      <w:bookmarkEnd w:id="16"/>
    </w:p>
    <w:p w14:paraId="1CDF63A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有兴趣使用认证人员的510（k）的申请人应进入CDRH主页查看认证人员名单及每名认证人员联系人的姓名及地址。根据法案第523条，没有出现在认证人员名单上的人不符合审查510（k）的资格。</w:t>
      </w:r>
    </w:p>
    <w:p w14:paraId="3F84FB2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我们对该项目的监测显示制造商正在与认证人员建立业务关系，并对认证人员的独立性或客观性产生疑问，则我们将考虑实施一个程序，在进行具体的审查中限制申请人选择认证人员。可能破坏认证人员的独立性或客观性的业务关系包括制造商与认证人员之间的合同，这些合同代表认证人员在合约期间的所有活动（包括第三方项目）的收入中占重要份额，或合同的终止可能会造成不正当的财务影响。</w:t>
      </w:r>
    </w:p>
    <w:p w14:paraId="1A7F740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根据第523部分的要求，如果我们发现申请人参与了</w:t>
      </w:r>
      <w:r>
        <w:rPr>
          <w:rFonts w:ascii="宋体" w:hAnsi="宋体" w:eastAsia="宋体" w:cs="Arial"/>
          <w:snapToGrid w:val="0"/>
          <w:kern w:val="0"/>
          <w:sz w:val="24"/>
        </w:rPr>
        <w:t>“</w:t>
      </w:r>
      <w:r>
        <w:rPr>
          <w:rFonts w:ascii="Arial" w:hAnsi="Arial" w:eastAsia="宋体" w:cs="Arial"/>
          <w:snapToGrid w:val="0"/>
          <w:kern w:val="0"/>
          <w:sz w:val="24"/>
        </w:rPr>
        <w:t>论坛购物</w:t>
      </w:r>
      <w:r>
        <w:rPr>
          <w:rFonts w:ascii="宋体" w:hAnsi="宋体" w:eastAsia="宋体" w:cs="Arial"/>
          <w:snapToGrid w:val="0"/>
          <w:kern w:val="0"/>
          <w:sz w:val="24"/>
        </w:rPr>
        <w:t>”</w:t>
      </w:r>
      <w:r>
        <w:rPr>
          <w:rFonts w:ascii="Arial" w:hAnsi="Arial" w:eastAsia="宋体" w:cs="Arial"/>
          <w:snapToGrid w:val="0"/>
          <w:kern w:val="0"/>
          <w:sz w:val="24"/>
        </w:rPr>
        <w:t>，试图寻找最可能建议通过申请人的510（k）的认证人员，则我们会拒绝除了该510（k），并考察随附的认证人员审查报告。确定或明确评估提交者是否有</w:t>
      </w:r>
      <w:r>
        <w:rPr>
          <w:rFonts w:ascii="宋体" w:hAnsi="宋体" w:eastAsia="宋体" w:cs="Arial"/>
          <w:snapToGrid w:val="0"/>
          <w:kern w:val="0"/>
          <w:sz w:val="24"/>
        </w:rPr>
        <w:t>“</w:t>
      </w:r>
      <w:r>
        <w:rPr>
          <w:rFonts w:ascii="Arial" w:hAnsi="Arial" w:eastAsia="宋体" w:cs="Arial"/>
          <w:snapToGrid w:val="0"/>
          <w:kern w:val="0"/>
          <w:sz w:val="24"/>
        </w:rPr>
        <w:t>论坛购物</w:t>
      </w:r>
      <w:r>
        <w:rPr>
          <w:rFonts w:ascii="宋体" w:hAnsi="宋体" w:eastAsia="宋体" w:cs="Arial"/>
          <w:snapToGrid w:val="0"/>
          <w:kern w:val="0"/>
          <w:sz w:val="24"/>
        </w:rPr>
        <w:t>”</w:t>
      </w:r>
      <w:r>
        <w:rPr>
          <w:rFonts w:ascii="Arial" w:hAnsi="Arial" w:eastAsia="宋体" w:cs="Arial"/>
          <w:snapToGrid w:val="0"/>
          <w:kern w:val="0"/>
          <w:sz w:val="24"/>
        </w:rPr>
        <w:t>的所有标准是不可能的。然而，如果我们确定申请人已经从一个以上的认证人员处获得了相同的510（k）的审查结果，则该行为将被推定论坛购物，并且除非申请人可以解释为什么该类情况不属于论坛购物，否则我们可以拒绝提供申请人510（k）的特殊处理流程。如果项目经验表明申请人参与了此类论坛购物行为，则我们会考虑对制造商和认证人员之间增加额外的限制并监测原始合约。</w:t>
      </w:r>
    </w:p>
    <w:p w14:paraId="5E0AF43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BE88CF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参与该项目完全是自愿的。申请人也可能继续将510（k）直接提交给FDA。申请人也可以雇用或与第三方签定合同，但根据第523条的</w:t>
      </w:r>
      <w:r>
        <w:rPr>
          <w:rFonts w:hint="eastAsia" w:ascii="Arial" w:hAnsi="Arial" w:eastAsia="宋体" w:cs="Arial"/>
          <w:snapToGrid w:val="0"/>
          <w:kern w:val="0"/>
          <w:sz w:val="24"/>
        </w:rPr>
        <w:t>规定</w:t>
      </w:r>
      <w:r>
        <w:rPr>
          <w:rFonts w:ascii="Arial" w:hAnsi="Arial" w:eastAsia="宋体" w:cs="Arial"/>
          <w:snapToGrid w:val="0"/>
          <w:kern w:val="0"/>
          <w:sz w:val="24"/>
        </w:rPr>
        <w:t>，只有经过认证人员审查的510（k）才有资格在30天内进行审查。</w:t>
      </w:r>
    </w:p>
    <w:p w14:paraId="17A3B3A3">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7" w:name="_Toc501379955"/>
      <w:r>
        <w:rPr>
          <w:rFonts w:ascii="Arial" w:hAnsi="Arial" w:eastAsia="宋体" w:cs="Arial"/>
          <w:b/>
          <w:snapToGrid w:val="0"/>
          <w:kern w:val="0"/>
          <w:sz w:val="24"/>
          <w:u w:val="single"/>
        </w:rPr>
        <w:t>认证人员提交给FDA的审查材料</w:t>
      </w:r>
      <w:bookmarkEnd w:id="17"/>
    </w:p>
    <w:p w14:paraId="3FBFABF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在完成对510（k）的审查后，作为认证人员，您应向FDA提交以下文件一式两份，以便机构及时对您的建议进行审查：</w:t>
      </w:r>
    </w:p>
    <w:p w14:paraId="6D50396D">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由您的联络人签名的封面信，明确标明：申请的目的；认证人员的姓名和地址；联系人的传真和电话号码；制造商／申请人的名称和地址；器械名称（商品名称、通用或常用名称、FDA分类名称、分类法规编号和产品代码）；您对器械实质等同性的建议；以及您从制造商／申请人首次收到510（k）的日期。</w:t>
      </w:r>
    </w:p>
    <w:p w14:paraId="602878F3">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制造商／申请人签署的一封信，授权您向FDA提交510（k），并与FDA讨论其内容。</w:t>
      </w:r>
    </w:p>
    <w:p w14:paraId="7C6FB04C">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如果这是您在扩展试点项目中首次对此类器械进行审查，则应包含与适当的ODE分部负责人或指定人员进行的任何申请前讨论的摘要，如本指南文件前文所述。</w:t>
      </w:r>
    </w:p>
    <w:p w14:paraId="1C8CC733">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制造商／申请人符合FDA对此类申请内容和格式的确定要求的完整510（k）。</w:t>
      </w:r>
    </w:p>
    <w:p w14:paraId="195579B1">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对所有参与审查的人员和负责监督510（k）审查的人员签字的510（k）的完整审查，并提供关于器械的实质等同性的建议。</w:t>
      </w:r>
    </w:p>
    <w:p w14:paraId="5C838493">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关于所报告的信息准确地反映了所审查的数据的认证。</w:t>
      </w:r>
    </w:p>
    <w:p w14:paraId="5456D288">
      <w:pPr>
        <w:pStyle w:val="12"/>
        <w:numPr>
          <w:ilvl w:val="0"/>
          <w:numId w:val="20"/>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FDA的认证人员信息包中所要求的任何其他信息。</w:t>
      </w:r>
    </w:p>
    <w:p w14:paraId="4738D04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ADCC90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如果上述材料未包含在申请内容中，我们可能无法处理由认证人员提交的510（k）。如果机构审查所需的信息有所遗漏，则我们将在收到必要信息后才开始审查。</w:t>
      </w:r>
    </w:p>
    <w:p w14:paraId="02FB4C8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为确保审查过程的完整性，您应将所有审查材料和510（k）直接提交给FDA。您应该将此信息提交至：CDRH文档邮件中心（HFZ-401），注意：认证人员审查，9200 Corporate Boulevard，Rockville，Maryland 20850 USA。如果您使用外语提交任何材料，则还应包括经过验证完整和准确的英文翻译。</w:t>
      </w:r>
    </w:p>
    <w:p w14:paraId="6D6080E0">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8" w:name="_Toc501379956"/>
      <w:r>
        <w:rPr>
          <w:rFonts w:ascii="Arial" w:hAnsi="Arial" w:eastAsia="宋体" w:cs="Arial"/>
          <w:b/>
          <w:snapToGrid w:val="0"/>
          <w:kern w:val="0"/>
          <w:sz w:val="24"/>
          <w:u w:val="single"/>
        </w:rPr>
        <w:t>FDA的文件处理</w:t>
      </w:r>
      <w:bookmarkEnd w:id="18"/>
    </w:p>
    <w:p w14:paraId="006E487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CDRH文件邮件中心会将510（k）提交给CDRH ODE的适当审查部门。由认证人员审查并提交的上市前通知【510（k）】将跳过我们通常审查过程的第一阶段，即可接受性筛选和初步科学审查，直接转交给适当的ODE审查官员。</w:t>
      </w:r>
    </w:p>
    <w:p w14:paraId="2FDF456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我们希望审查官员依靠您作为认证人员所编写的审查记录，并进行简短的行政评估，以确定您的审查是否可以为我们所接受。我们将采用与完全在FDA审查的510（k）相同的标准。如果有关于申请的任何问题，FDA会与您取得联系。ODE审查官员会就器械的实质等同性作出决定。我们会向您的联系人发送决定书和其他重要的信件，该联系人应负责与510（k）的申请人沟通。</w:t>
      </w:r>
    </w:p>
    <w:p w14:paraId="50EA5EE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如果我们不同意您建议的初步分类，则我们将向您提供一份声明，向您、认证人员和510（k）的申请人解释理由。根据法案第523（a）（2）条的规定，我们需要在收到认证人员的510（k）建议后30天内作出决定。</w:t>
      </w:r>
    </w:p>
    <w:p w14:paraId="474BEC40">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2B581F08">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19" w:name="_Toc501379957"/>
      <w:r>
        <w:rPr>
          <w:rFonts w:ascii="Arial" w:hAnsi="Arial" w:eastAsia="宋体" w:cs="Arial"/>
          <w:b/>
          <w:snapToGrid w:val="0"/>
          <w:kern w:val="0"/>
          <w:sz w:val="24"/>
          <w:u w:val="single"/>
        </w:rPr>
        <w:t>那些信息是保密的？</w:t>
      </w:r>
      <w:bookmarkEnd w:id="19"/>
    </w:p>
    <w:p w14:paraId="390FDD7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法案第523（b）（3）条规定，认证人员必须保存并保证从申请人处获取的所有信息的机密性。</w:t>
      </w:r>
    </w:p>
    <w:p w14:paraId="49DB740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FDA将根据实施信息自由法案（21 CFR第20部分）和21 CFR §807.95的机构法规，就510（k）中信息的机密性，确定由认证人员提交给FDA的审查信息的可撤销性。一般情况下，除非根据第20部分或§807.95的规定该信息可以免除公开披露，否则由FDA认证人员提交的510（k）审查（与由FDA工作人员进行的审查相同）会在FDA发布器械的实质等同性决定后提供给FDA进行披露。根据§20.61，如有必要，510（k）的副本将提供给制造商作为预披露通知。</w:t>
      </w:r>
    </w:p>
    <w:p w14:paraId="7DE8C35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此外，除非获得第20部分的豁免，否则由认证人员提交的项目参与批准信息将可供FDA进行披露。</w:t>
      </w:r>
    </w:p>
    <w:p w14:paraId="56753487">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20" w:name="_Toc501379958"/>
      <w:r>
        <w:rPr>
          <w:rFonts w:ascii="Arial" w:hAnsi="Arial" w:eastAsia="宋体" w:cs="Arial"/>
          <w:b/>
          <w:snapToGrid w:val="0"/>
          <w:kern w:val="0"/>
          <w:sz w:val="24"/>
          <w:u w:val="single"/>
        </w:rPr>
        <w:t>哪些记录应该由认证人员保留？</w:t>
      </w:r>
      <w:bookmarkEnd w:id="20"/>
    </w:p>
    <w:p w14:paraId="6C53863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根据法案第704条的规定，您必须至少保留支持您作为认证人员的初始和持续资格的记录。这些记录包括：</w:t>
      </w:r>
    </w:p>
    <w:p w14:paraId="686D0F7D">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1）认证人员及认证人员雇员的培训及资历文件；</w:t>
      </w:r>
    </w:p>
    <w:p w14:paraId="32A4B65A">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2）认证人员使用的处理机密信息的程序；</w:t>
      </w:r>
    </w:p>
    <w:p w14:paraId="0E484D23">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3）由认证人员作出的赔偿安排；和</w:t>
      </w:r>
    </w:p>
    <w:p w14:paraId="60D1BCF5">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4）认证人员使用的用于识别和避免利益冲突的程序。</w:t>
      </w:r>
    </w:p>
    <w:p w14:paraId="377FD50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第704（f）（1）节的规定，在任何合理的时间由FDA官员或员工索取这些记录，您均应保证其可用性，且FDA可能会查看、复制或核实这些记录。在收到我们的书面要求之后的15天内，您必须在我们指定的地点提交任何要求的记录的复印件。</w:t>
      </w:r>
    </w:p>
    <w:p w14:paraId="0CFCF947">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FD4031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此外，在向FDA提交审查报告之后，您应保留至少三年的下列记录：</w:t>
      </w:r>
    </w:p>
    <w:p w14:paraId="33FA221A">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1）510（k）审查和相关信件的副本；</w:t>
      </w:r>
    </w:p>
    <w:p w14:paraId="0B84C6B1">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2）所有参与510（k）技术审查的人员的身份和资格信息；和</w:t>
      </w:r>
    </w:p>
    <w:p w14:paraId="5EA5A6C5">
      <w:pPr>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3）其他相关记录。</w:t>
      </w:r>
    </w:p>
    <w:p w14:paraId="481D3B9D">
      <w:pPr>
        <w:topLinePunct/>
        <w:adjustRightInd w:val="0"/>
        <w:snapToGrid w:val="0"/>
        <w:spacing w:after="234" w:afterLines="75" w:line="288" w:lineRule="auto"/>
        <w:outlineLvl w:val="2"/>
        <w:rPr>
          <w:rFonts w:ascii="Arial" w:hAnsi="Arial" w:eastAsia="宋体" w:cs="Arial"/>
          <w:b/>
          <w:snapToGrid w:val="0"/>
          <w:kern w:val="0"/>
          <w:sz w:val="24"/>
          <w:u w:val="single"/>
        </w:rPr>
      </w:pPr>
      <w:bookmarkStart w:id="21" w:name="_Toc501379959"/>
      <w:r>
        <w:rPr>
          <w:rFonts w:ascii="Arial" w:hAnsi="Arial" w:eastAsia="宋体" w:cs="Arial"/>
          <w:b/>
          <w:snapToGrid w:val="0"/>
          <w:kern w:val="0"/>
          <w:sz w:val="24"/>
          <w:u w:val="single"/>
        </w:rPr>
        <w:t>哪些费用可以由认证人员评估？</w:t>
      </w:r>
      <w:bookmarkEnd w:id="21"/>
    </w:p>
    <w:p w14:paraId="6D3FA83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作为认证人员，您可以对您服务的合理费用进行评估。510（k）审查的费用由认证人与申请人之间的合同决定，但是如果是有条件的，或者是根据认证人员所建议的分类决定的，则我们会将该收费认定为利益冲突。根据21 USC 331（y）（3），收受任何形式的贿赂均为被禁止的行为。</w:t>
      </w:r>
    </w:p>
    <w:p w14:paraId="243CBF18">
      <w:pPr>
        <w:pStyle w:val="12"/>
        <w:numPr>
          <w:ilvl w:val="0"/>
          <w:numId w:val="3"/>
        </w:numPr>
        <w:topLinePunct/>
        <w:adjustRightInd w:val="0"/>
        <w:snapToGrid w:val="0"/>
        <w:spacing w:after="234" w:afterLines="75" w:line="288" w:lineRule="auto"/>
        <w:ind w:left="420" w:firstLineChars="0"/>
        <w:outlineLvl w:val="0"/>
        <w:rPr>
          <w:rFonts w:ascii="Arial" w:hAnsi="Arial" w:eastAsia="宋体" w:cs="Arial"/>
          <w:b/>
          <w:snapToGrid w:val="0"/>
          <w:kern w:val="0"/>
          <w:sz w:val="24"/>
          <w:u w:val="single"/>
        </w:rPr>
      </w:pPr>
      <w:bookmarkStart w:id="22" w:name="_Toc501379960"/>
      <w:r>
        <w:rPr>
          <w:rFonts w:ascii="Arial" w:hAnsi="Arial" w:eastAsia="宋体" w:cs="Arial"/>
          <w:b/>
          <w:snapToGrid w:val="0"/>
          <w:kern w:val="0"/>
          <w:sz w:val="24"/>
          <w:u w:val="single"/>
        </w:rPr>
        <w:t>初始认证人员申请的格式和内容是什么？</w:t>
      </w:r>
      <w:bookmarkEnd w:id="22"/>
      <w:r>
        <w:rPr>
          <w:rFonts w:ascii="Arial" w:hAnsi="Arial" w:eastAsia="宋体" w:cs="Arial"/>
          <w:b/>
          <w:snapToGrid w:val="0"/>
          <w:kern w:val="0"/>
          <w:sz w:val="24"/>
          <w:u w:val="single"/>
        </w:rPr>
        <w:t xml:space="preserve"> </w:t>
      </w:r>
    </w:p>
    <w:p w14:paraId="7049286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根据法案第523条的规定，希望成为认证人员的</w:t>
      </w:r>
      <w:r>
        <w:rPr>
          <w:rFonts w:hint="eastAsia" w:ascii="Arial" w:hAnsi="Arial" w:eastAsia="宋体" w:cs="Arial"/>
          <w:snapToGrid w:val="0"/>
          <w:kern w:val="0"/>
          <w:sz w:val="24"/>
        </w:rPr>
        <w:t>人群</w:t>
      </w:r>
      <w:r>
        <w:rPr>
          <w:rFonts w:ascii="Arial" w:hAnsi="Arial" w:eastAsia="宋体" w:cs="Arial"/>
          <w:snapToGrid w:val="0"/>
          <w:kern w:val="0"/>
          <w:sz w:val="24"/>
        </w:rPr>
        <w:t>应向CDRH第三方审查委员会（TPRB）提出申请。我们会</w:t>
      </w:r>
      <w:r>
        <w:rPr>
          <w:rFonts w:hint="eastAsia" w:ascii="Arial" w:hAnsi="Arial" w:eastAsia="宋体" w:cs="Arial"/>
          <w:snapToGrid w:val="0"/>
          <w:kern w:val="0"/>
          <w:sz w:val="24"/>
        </w:rPr>
        <w:t>在</w:t>
      </w:r>
      <w:r>
        <w:rPr>
          <w:rFonts w:ascii="Arial" w:hAnsi="Arial" w:eastAsia="宋体" w:cs="Arial"/>
          <w:snapToGrid w:val="0"/>
          <w:kern w:val="0"/>
          <w:sz w:val="24"/>
        </w:rPr>
        <w:t>收到您申请后的60天内回复您。</w:t>
      </w:r>
    </w:p>
    <w:p w14:paraId="3F77B73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当我们收到您的申请时，我们会向您的联系人发送加盖日期的确认函传真。第三方审查委员会在收到申请之日起60天内审查这些材料，并在回复中附加认证书、拒绝认证书或要求提供更多信息。如果我们认为您不符合1998年5月22日的联邦公报中所确定的认证人员标准，则我们可能会拒绝您的认证要求。如果您没有及时回复需要提供更多信息的请求，则我们可能认为信息不完整，并拒绝您的认证请求。您可以向CDRH卫生与工业项目办公室（OHIP）主任提交书面请求，请求重新考虑拒绝您的申请的决定，或撤销您的申请。</w:t>
      </w:r>
    </w:p>
    <w:p w14:paraId="735BBE6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您应该在申请表中包含以下信息，以证明您符合第II B部分</w:t>
      </w:r>
      <w:r>
        <w:rPr>
          <w:rFonts w:ascii="宋体" w:hAnsi="宋体" w:eastAsia="宋体" w:cs="Arial"/>
          <w:snapToGrid w:val="0"/>
          <w:kern w:val="0"/>
          <w:sz w:val="24"/>
        </w:rPr>
        <w:t>“</w:t>
      </w:r>
      <w:r>
        <w:rPr>
          <w:rFonts w:ascii="Arial" w:hAnsi="Arial" w:eastAsia="宋体" w:cs="Arial"/>
          <w:snapToGrid w:val="0"/>
          <w:kern w:val="0"/>
          <w:sz w:val="24"/>
        </w:rPr>
        <w:t>认证人员资格</w:t>
      </w:r>
      <w:r>
        <w:rPr>
          <w:rFonts w:ascii="宋体" w:hAnsi="宋体" w:eastAsia="宋体" w:cs="Arial"/>
          <w:snapToGrid w:val="0"/>
          <w:kern w:val="0"/>
          <w:sz w:val="24"/>
        </w:rPr>
        <w:t>”</w:t>
      </w:r>
      <w:r>
        <w:rPr>
          <w:rFonts w:ascii="Arial" w:hAnsi="Arial" w:eastAsia="宋体" w:cs="Arial"/>
          <w:snapToGrid w:val="0"/>
          <w:kern w:val="0"/>
          <w:sz w:val="24"/>
        </w:rPr>
        <w:t>中所述的资格。</w:t>
      </w:r>
    </w:p>
    <w:p w14:paraId="662952AD">
      <w:pPr>
        <w:topLinePunct/>
        <w:adjustRightInd w:val="0"/>
        <w:snapToGrid w:val="0"/>
        <w:spacing w:after="234" w:afterLines="75" w:line="288" w:lineRule="auto"/>
        <w:outlineLvl w:val="1"/>
        <w:rPr>
          <w:rFonts w:ascii="Arial" w:hAnsi="Arial" w:eastAsia="宋体" w:cs="Arial"/>
          <w:b/>
          <w:snapToGrid w:val="0"/>
          <w:kern w:val="0"/>
          <w:sz w:val="24"/>
        </w:rPr>
      </w:pPr>
      <w:bookmarkStart w:id="23" w:name="_Toc501379961"/>
      <w:r>
        <w:rPr>
          <w:rFonts w:ascii="Arial" w:hAnsi="Arial" w:eastAsia="宋体" w:cs="Arial"/>
          <w:b/>
          <w:snapToGrid w:val="0"/>
          <w:kern w:val="0"/>
          <w:sz w:val="24"/>
        </w:rPr>
        <w:t>A.</w:t>
      </w:r>
      <w:r>
        <w:rPr>
          <w:rFonts w:hint="eastAsia" w:ascii="Arial" w:hAnsi="Arial" w:eastAsia="宋体" w:cs="Arial"/>
          <w:b/>
          <w:snapToGrid w:val="0"/>
          <w:kern w:val="0"/>
          <w:sz w:val="24"/>
        </w:rPr>
        <w:tab/>
      </w:r>
      <w:r>
        <w:rPr>
          <w:rFonts w:hint="eastAsia" w:ascii="Arial" w:hAnsi="Arial" w:eastAsia="宋体" w:cs="Arial"/>
          <w:b/>
          <w:snapToGrid w:val="0"/>
          <w:kern w:val="0"/>
          <w:sz w:val="24"/>
        </w:rPr>
        <w:t>管理</w:t>
      </w:r>
      <w:r>
        <w:rPr>
          <w:rFonts w:ascii="Arial" w:hAnsi="Arial" w:eastAsia="宋体" w:cs="Arial"/>
          <w:b/>
          <w:snapToGrid w:val="0"/>
          <w:kern w:val="0"/>
          <w:sz w:val="24"/>
        </w:rPr>
        <w:t>信息</w:t>
      </w:r>
      <w:bookmarkEnd w:id="23"/>
    </w:p>
    <w:p w14:paraId="0C32DEA8">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寻求认证人</w:t>
      </w:r>
      <w:r>
        <w:rPr>
          <w:rFonts w:hint="eastAsia" w:ascii="Arial" w:hAnsi="Arial" w:eastAsia="宋体" w:cs="Arial"/>
          <w:snapToGrid w:val="0"/>
          <w:kern w:val="0"/>
          <w:sz w:val="24"/>
        </w:rPr>
        <w:t>员</w:t>
      </w:r>
      <w:r>
        <w:rPr>
          <w:rFonts w:ascii="Arial" w:hAnsi="Arial" w:eastAsia="宋体" w:cs="Arial"/>
          <w:snapToGrid w:val="0"/>
          <w:kern w:val="0"/>
          <w:sz w:val="24"/>
        </w:rPr>
        <w:t>的姓名和地址；</w:t>
      </w:r>
    </w:p>
    <w:p w14:paraId="33AD28D9">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联系人的电话号码和传真号码。联系人应该是可以接受关于申请内容问题的人，以及确认信和一般信函的接收人；</w:t>
      </w:r>
    </w:p>
    <w:p w14:paraId="7858F47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EACED76">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公司主要负责人的名字和职务。来自国外的申请人还应确定位于美国的授权代表的姓名、地址、电话号码和传真号码，这些授权代表将作为认证人员与FDA的联系人；</w:t>
      </w:r>
    </w:p>
    <w:p w14:paraId="45B26D40">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申请人简介，包括：组织类型（如非营利机构、商业公司、其他类型的组织等）；组织规模（员工人数）；运营年数；工作性质（例如测试或认证实验室）；以及可以用于评估器械制造商和分销商独立程度的组织所有权、运营和控制的信息。</w:t>
      </w:r>
    </w:p>
    <w:p w14:paraId="7AAC9196">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任何国家、州、地方或其他认证的列表；和</w:t>
      </w:r>
    </w:p>
    <w:p w14:paraId="6297E64D">
      <w:pPr>
        <w:pStyle w:val="12"/>
        <w:numPr>
          <w:ilvl w:val="0"/>
          <w:numId w:val="2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列出申请人希望审查的器械。申请人应该通过分类标签或分类名称来识别器械，并在审查符合条件的器械时引用上述信息。</w:t>
      </w:r>
    </w:p>
    <w:p w14:paraId="6CC9912A">
      <w:pPr>
        <w:topLinePunct/>
        <w:adjustRightInd w:val="0"/>
        <w:snapToGrid w:val="0"/>
        <w:spacing w:after="234" w:afterLines="75" w:line="288" w:lineRule="auto"/>
        <w:outlineLvl w:val="1"/>
        <w:rPr>
          <w:rFonts w:ascii="Arial" w:hAnsi="Arial" w:eastAsia="宋体" w:cs="Arial"/>
          <w:b/>
          <w:snapToGrid w:val="0"/>
          <w:kern w:val="0"/>
          <w:sz w:val="24"/>
        </w:rPr>
      </w:pPr>
      <w:bookmarkStart w:id="24" w:name="_Toc501379962"/>
      <w:r>
        <w:rPr>
          <w:rFonts w:ascii="Arial" w:hAnsi="Arial" w:eastAsia="宋体" w:cs="Arial"/>
          <w:b/>
          <w:snapToGrid w:val="0"/>
          <w:kern w:val="0"/>
          <w:sz w:val="24"/>
        </w:rPr>
        <w:t>B.</w:t>
      </w:r>
      <w:r>
        <w:rPr>
          <w:rFonts w:hint="eastAsia" w:ascii="Arial" w:hAnsi="Arial" w:eastAsia="宋体" w:cs="Arial"/>
          <w:b/>
          <w:snapToGrid w:val="0"/>
          <w:kern w:val="0"/>
          <w:sz w:val="24"/>
        </w:rPr>
        <w:tab/>
      </w:r>
      <w:r>
        <w:rPr>
          <w:rFonts w:ascii="Arial" w:hAnsi="Arial" w:eastAsia="宋体" w:cs="Arial"/>
          <w:b/>
          <w:snapToGrid w:val="0"/>
          <w:kern w:val="0"/>
          <w:sz w:val="24"/>
        </w:rPr>
        <w:t>防止利益冲突</w:t>
      </w:r>
      <w:bookmarkEnd w:id="24"/>
    </w:p>
    <w:p w14:paraId="10B3EFB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您应该提交一份您已经制定的书面政策和程序的副本，以确保参与510（k）评估的认证人员及其雇员（包括合同雇员）没有利益冲突，并预防任何个人或组织的利益冲突或可能影响审查过程的利益冲突。</w:t>
      </w:r>
    </w:p>
    <w:p w14:paraId="7B8CDCF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我们将评估这些书面政策和程序，以确保其能够处理与潜在利益冲突有关的最常见问题。</w:t>
      </w:r>
    </w:p>
    <w:p w14:paraId="073905D5">
      <w:pPr>
        <w:topLinePunct/>
        <w:adjustRightInd w:val="0"/>
        <w:snapToGrid w:val="0"/>
        <w:spacing w:after="234" w:afterLines="75" w:line="288" w:lineRule="auto"/>
        <w:outlineLvl w:val="1"/>
        <w:rPr>
          <w:rFonts w:ascii="Arial" w:hAnsi="Arial" w:eastAsia="宋体" w:cs="Arial"/>
          <w:b/>
          <w:snapToGrid w:val="0"/>
          <w:kern w:val="0"/>
          <w:sz w:val="24"/>
        </w:rPr>
      </w:pPr>
      <w:bookmarkStart w:id="25" w:name="_Toc501379963"/>
      <w:r>
        <w:rPr>
          <w:rFonts w:ascii="Arial" w:hAnsi="Arial" w:eastAsia="宋体" w:cs="Arial"/>
          <w:b/>
          <w:snapToGrid w:val="0"/>
          <w:kern w:val="0"/>
          <w:sz w:val="24"/>
        </w:rPr>
        <w:t>C.</w:t>
      </w:r>
      <w:r>
        <w:rPr>
          <w:rFonts w:hint="eastAsia" w:ascii="Arial" w:hAnsi="Arial" w:eastAsia="宋体" w:cs="Arial"/>
          <w:b/>
          <w:snapToGrid w:val="0"/>
          <w:kern w:val="0"/>
          <w:sz w:val="24"/>
        </w:rPr>
        <w:tab/>
      </w:r>
      <w:r>
        <w:rPr>
          <w:rFonts w:ascii="Arial" w:hAnsi="Arial" w:eastAsia="宋体" w:cs="Arial"/>
          <w:b/>
          <w:snapToGrid w:val="0"/>
          <w:kern w:val="0"/>
          <w:sz w:val="24"/>
        </w:rPr>
        <w:t>人员资格</w:t>
      </w:r>
      <w:bookmarkEnd w:id="25"/>
    </w:p>
    <w:p w14:paraId="51A31EB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我们会考虑与人员资格和申请人进行技术性审查准备情况相关的多种因素。您应该在申请中记录这些因素，包括：</w:t>
      </w:r>
    </w:p>
    <w:p w14:paraId="3D84EAD5">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您制定的书面政策和程序，以确保510（k）由合格人员审查；</w:t>
      </w:r>
    </w:p>
    <w:p w14:paraId="5C5A650A">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关于510（k）</w:t>
      </w:r>
      <w:r>
        <w:rPr>
          <w:rFonts w:hint="eastAsia" w:ascii="Arial" w:hAnsi="Arial" w:eastAsia="宋体" w:cs="Arial"/>
          <w:snapToGrid w:val="0"/>
          <w:kern w:val="0"/>
          <w:sz w:val="24"/>
        </w:rPr>
        <w:t>审查</w:t>
      </w:r>
      <w:r>
        <w:rPr>
          <w:rFonts w:ascii="Arial" w:hAnsi="Arial" w:eastAsia="宋体" w:cs="Arial"/>
          <w:snapToGrid w:val="0"/>
          <w:kern w:val="0"/>
          <w:sz w:val="24"/>
        </w:rPr>
        <w:t>人员职责的书面指导；</w:t>
      </w:r>
    </w:p>
    <w:p w14:paraId="1278A36E">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您所建立的书面的人员资格标准，确保指定人员具备您希望接受审查的510（k）相关所有科学学科的资格；</w:t>
      </w:r>
    </w:p>
    <w:p w14:paraId="170E09E8">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确定510（k）的审查人员和其他相关的非监管人员符合既定的合格人员标准的文件（如简历）。上述文件包括教育、培训、技能、能力和经验的记录等，包括审查您希望审查的II类器械所需的专业教育和经验；</w:t>
      </w:r>
    </w:p>
    <w:p w14:paraId="00931AA9">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830F592">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确定510（k）审查监督人员有足够的权威性，并符合合格的监督人员的既定标准的文件（如简历）。上述文件包括教育、培训、技能、能力和经验的记录等，包括监督您希望审查的II类器械所需的专业教育和经验；和</w:t>
      </w:r>
    </w:p>
    <w:p w14:paraId="27A25A70">
      <w:pPr>
        <w:pStyle w:val="12"/>
        <w:numPr>
          <w:ilvl w:val="0"/>
          <w:numId w:val="2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您的管理结构的描述，或者如果您使用外包的形式进行510（k）审查，则应描述合同方的管理结构。申请应描述管理结构中提供监督的个体的职位，并解释该结构如何提供对510（k）审查员和参与审查过程的其他人员的监督。</w:t>
      </w:r>
    </w:p>
    <w:p w14:paraId="669E1529">
      <w:pPr>
        <w:topLinePunct/>
        <w:adjustRightInd w:val="0"/>
        <w:snapToGrid w:val="0"/>
        <w:spacing w:after="234" w:afterLines="75" w:line="288" w:lineRule="auto"/>
        <w:outlineLvl w:val="1"/>
        <w:rPr>
          <w:rFonts w:ascii="Arial" w:hAnsi="Arial" w:eastAsia="宋体" w:cs="Arial"/>
          <w:b/>
          <w:snapToGrid w:val="0"/>
          <w:kern w:val="0"/>
          <w:sz w:val="24"/>
        </w:rPr>
      </w:pPr>
      <w:bookmarkStart w:id="26" w:name="_Toc501379964"/>
      <w:r>
        <w:rPr>
          <w:rFonts w:ascii="Arial" w:hAnsi="Arial" w:eastAsia="宋体" w:cs="Arial"/>
          <w:b/>
          <w:snapToGrid w:val="0"/>
          <w:kern w:val="0"/>
          <w:sz w:val="24"/>
        </w:rPr>
        <w:t>D.</w:t>
      </w:r>
      <w:r>
        <w:rPr>
          <w:rFonts w:hint="eastAsia" w:ascii="Arial" w:hAnsi="Arial" w:eastAsia="宋体" w:cs="Arial"/>
          <w:b/>
          <w:snapToGrid w:val="0"/>
          <w:kern w:val="0"/>
          <w:sz w:val="24"/>
        </w:rPr>
        <w:tab/>
      </w:r>
      <w:r>
        <w:rPr>
          <w:rFonts w:ascii="Arial" w:hAnsi="Arial" w:eastAsia="宋体" w:cs="Arial"/>
          <w:b/>
          <w:snapToGrid w:val="0"/>
          <w:kern w:val="0"/>
          <w:sz w:val="24"/>
        </w:rPr>
        <w:t>认证／协议声明</w:t>
      </w:r>
      <w:bookmarkEnd w:id="26"/>
    </w:p>
    <w:p w14:paraId="5AFB566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您应该提供一个由公司主要负责人签署的承诺，证明认证人员至少会：</w:t>
      </w:r>
    </w:p>
    <w:p w14:paraId="47587400">
      <w:pPr>
        <w:pStyle w:val="12"/>
        <w:numPr>
          <w:ilvl w:val="0"/>
          <w:numId w:val="2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证明报告的信息准确</w:t>
      </w:r>
      <w:r>
        <w:rPr>
          <w:rFonts w:hint="eastAsia" w:ascii="Arial" w:hAnsi="Arial" w:eastAsia="宋体" w:cs="Arial"/>
          <w:snapToGrid w:val="0"/>
          <w:kern w:val="0"/>
          <w:sz w:val="24"/>
        </w:rPr>
        <w:t>表明</w:t>
      </w:r>
      <w:r>
        <w:rPr>
          <w:rFonts w:ascii="Arial" w:hAnsi="Arial" w:eastAsia="宋体" w:cs="Arial"/>
          <w:snapToGrid w:val="0"/>
          <w:kern w:val="0"/>
          <w:sz w:val="24"/>
        </w:rPr>
        <w:t>了审查的数据；</w:t>
      </w:r>
    </w:p>
    <w:p w14:paraId="13D5D660">
      <w:pPr>
        <w:pStyle w:val="12"/>
        <w:numPr>
          <w:ilvl w:val="0"/>
          <w:numId w:val="2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将工作限制在力所能及的范围内；</w:t>
      </w:r>
    </w:p>
    <w:p w14:paraId="52B88913">
      <w:pPr>
        <w:pStyle w:val="12"/>
        <w:numPr>
          <w:ilvl w:val="0"/>
          <w:numId w:val="2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将收到的信息、记录、报告和建议作为专有信息处理；</w:t>
      </w:r>
    </w:p>
    <w:p w14:paraId="180DFF67">
      <w:pPr>
        <w:pStyle w:val="12"/>
        <w:numPr>
          <w:ilvl w:val="0"/>
          <w:numId w:val="2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及时回应并尝试解决有关其认证活动的投诉；和</w:t>
      </w:r>
    </w:p>
    <w:p w14:paraId="2D9D2392">
      <w:pPr>
        <w:pStyle w:val="12"/>
        <w:numPr>
          <w:ilvl w:val="0"/>
          <w:numId w:val="2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避免使用与器械有经济利益冲突的认证人员的任何官员或员工，并每年向公众披露认证人员、认证人员的官员和雇员保持符合财务利益冲突的要求情况。</w:t>
      </w:r>
    </w:p>
    <w:p w14:paraId="5598661E">
      <w:pPr>
        <w:topLinePunct/>
        <w:adjustRightInd w:val="0"/>
        <w:snapToGrid w:val="0"/>
        <w:spacing w:after="234" w:afterLines="75" w:line="288" w:lineRule="auto"/>
        <w:outlineLvl w:val="1"/>
        <w:rPr>
          <w:rFonts w:ascii="Arial" w:hAnsi="Arial" w:eastAsia="宋体" w:cs="Arial"/>
          <w:b/>
          <w:snapToGrid w:val="0"/>
          <w:kern w:val="0"/>
          <w:sz w:val="24"/>
        </w:rPr>
      </w:pPr>
      <w:bookmarkStart w:id="27" w:name="_Toc501379965"/>
      <w:r>
        <w:rPr>
          <w:rFonts w:ascii="Arial" w:hAnsi="Arial" w:eastAsia="宋体" w:cs="Arial"/>
          <w:b/>
          <w:snapToGrid w:val="0"/>
          <w:kern w:val="0"/>
          <w:sz w:val="24"/>
        </w:rPr>
        <w:t>E.</w:t>
      </w:r>
      <w:r>
        <w:rPr>
          <w:rFonts w:hint="eastAsia" w:ascii="Arial" w:hAnsi="Arial" w:eastAsia="宋体" w:cs="Arial"/>
          <w:b/>
          <w:snapToGrid w:val="0"/>
          <w:kern w:val="0"/>
          <w:sz w:val="24"/>
        </w:rPr>
        <w:tab/>
      </w:r>
      <w:r>
        <w:rPr>
          <w:rFonts w:ascii="Arial" w:hAnsi="Arial" w:eastAsia="宋体" w:cs="Arial"/>
          <w:b/>
          <w:snapToGrid w:val="0"/>
          <w:kern w:val="0"/>
          <w:sz w:val="24"/>
        </w:rPr>
        <w:t>认证／培训</w:t>
      </w:r>
      <w:bookmarkEnd w:id="27"/>
    </w:p>
    <w:p w14:paraId="2AC26C18">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您应该纳入一份由公司主要责任人签署的声明，证明您将有指定的员工参加FDA认证人员培训。</w:t>
      </w:r>
    </w:p>
    <w:p w14:paraId="568F8AC7">
      <w:pPr>
        <w:topLinePunct/>
        <w:adjustRightInd w:val="0"/>
        <w:snapToGrid w:val="0"/>
        <w:spacing w:after="234" w:afterLines="75" w:line="288" w:lineRule="auto"/>
        <w:outlineLvl w:val="1"/>
        <w:rPr>
          <w:rFonts w:ascii="Arial" w:hAnsi="Arial" w:eastAsia="宋体" w:cs="Arial"/>
          <w:b/>
          <w:snapToGrid w:val="0"/>
          <w:kern w:val="0"/>
          <w:sz w:val="24"/>
        </w:rPr>
      </w:pPr>
      <w:bookmarkStart w:id="28" w:name="_Toc501379966"/>
      <w:r>
        <w:rPr>
          <w:rFonts w:ascii="Arial" w:hAnsi="Arial" w:eastAsia="宋体" w:cs="Arial"/>
          <w:b/>
          <w:snapToGrid w:val="0"/>
          <w:kern w:val="0"/>
          <w:sz w:val="24"/>
        </w:rPr>
        <w:t>F.</w:t>
      </w:r>
      <w:r>
        <w:rPr>
          <w:rFonts w:hint="eastAsia" w:ascii="Arial" w:hAnsi="Arial" w:eastAsia="宋体" w:cs="Arial"/>
          <w:b/>
          <w:snapToGrid w:val="0"/>
          <w:kern w:val="0"/>
          <w:sz w:val="24"/>
        </w:rPr>
        <w:tab/>
      </w:r>
      <w:r>
        <w:rPr>
          <w:rFonts w:ascii="Arial" w:hAnsi="Arial" w:eastAsia="宋体" w:cs="Arial"/>
          <w:b/>
          <w:snapToGrid w:val="0"/>
          <w:kern w:val="0"/>
          <w:sz w:val="24"/>
        </w:rPr>
        <w:t>设施</w:t>
      </w:r>
      <w:bookmarkEnd w:id="28"/>
    </w:p>
    <w:p w14:paraId="18D9086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您应该确定可用于与FDA电子数据系统连接的设备（例如，带调制解调器的计算机系统，独立传真机）。</w:t>
      </w:r>
    </w:p>
    <w:p w14:paraId="4359AC7B">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5BD89F51">
      <w:pPr>
        <w:pStyle w:val="12"/>
        <w:numPr>
          <w:ilvl w:val="0"/>
          <w:numId w:val="3"/>
        </w:numPr>
        <w:topLinePunct/>
        <w:adjustRightInd w:val="0"/>
        <w:snapToGrid w:val="0"/>
        <w:spacing w:after="234" w:afterLines="75" w:line="288" w:lineRule="auto"/>
        <w:ind w:left="420" w:firstLineChars="0"/>
        <w:outlineLvl w:val="0"/>
        <w:rPr>
          <w:rFonts w:ascii="Arial" w:hAnsi="Arial" w:eastAsia="宋体" w:cs="Arial"/>
          <w:b/>
          <w:snapToGrid w:val="0"/>
          <w:kern w:val="0"/>
          <w:sz w:val="24"/>
          <w:u w:val="single"/>
        </w:rPr>
      </w:pPr>
      <w:bookmarkStart w:id="29" w:name="_Toc501379967"/>
      <w:r>
        <w:rPr>
          <w:rFonts w:ascii="Arial" w:hAnsi="Arial" w:eastAsia="宋体" w:cs="Arial"/>
          <w:b/>
          <w:snapToGrid w:val="0"/>
          <w:kern w:val="0"/>
          <w:sz w:val="24"/>
          <w:u w:val="single"/>
        </w:rPr>
        <w:t>经过认证的人员审查试点项目下的其他器械必须提交什么文件？</w:t>
      </w:r>
      <w:bookmarkEnd w:id="29"/>
    </w:p>
    <w:p w14:paraId="1AADA40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如果您目前根据法案第523条获得认证，并希望扩大您的认证范围，以纳入第II B部分——项目的目的和性质中所述试点项目中所包含的其他器械类型，则只需提交：</w:t>
      </w:r>
    </w:p>
    <w:p w14:paraId="7FC15F20">
      <w:pPr>
        <w:pStyle w:val="12"/>
        <w:numPr>
          <w:ilvl w:val="0"/>
          <w:numId w:val="24"/>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确定您希望审查的其他器械的信息（例如，特定分类标签的所有适用器械，或者如果希望审查某种分类标签的适用器械的子集，则可以通过分类名称和引用标识来确定特定的器械）；和</w:t>
      </w:r>
    </w:p>
    <w:p w14:paraId="6D5CE447">
      <w:pPr>
        <w:pStyle w:val="12"/>
        <w:numPr>
          <w:ilvl w:val="0"/>
          <w:numId w:val="24"/>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为适应对这些额外器械的审查而根据第III C部分——人员资格所要求的文件修改。可能包括用于审查不存在特定器械的指导的II类器械而修改的政策和程序。</w:t>
      </w:r>
    </w:p>
    <w:p w14:paraId="1F822C3D">
      <w:pPr>
        <w:pStyle w:val="12"/>
        <w:numPr>
          <w:ilvl w:val="0"/>
          <w:numId w:val="3"/>
        </w:numPr>
        <w:topLinePunct/>
        <w:adjustRightInd w:val="0"/>
        <w:snapToGrid w:val="0"/>
        <w:spacing w:after="234" w:afterLines="75" w:line="288" w:lineRule="auto"/>
        <w:ind w:left="420" w:firstLineChars="0"/>
        <w:outlineLvl w:val="0"/>
        <w:rPr>
          <w:rFonts w:ascii="Arial" w:hAnsi="Arial" w:eastAsia="宋体" w:cs="Arial"/>
          <w:b/>
          <w:snapToGrid w:val="0"/>
          <w:kern w:val="0"/>
          <w:sz w:val="24"/>
          <w:u w:val="single"/>
        </w:rPr>
      </w:pPr>
      <w:bookmarkStart w:id="30" w:name="_Toc501379968"/>
      <w:r>
        <w:rPr>
          <w:rFonts w:ascii="Arial" w:hAnsi="Arial" w:eastAsia="宋体" w:cs="Arial"/>
          <w:b/>
          <w:snapToGrid w:val="0"/>
          <w:kern w:val="0"/>
          <w:sz w:val="24"/>
          <w:u w:val="single"/>
        </w:rPr>
        <w:t>您如何获得更多的信息？</w:t>
      </w:r>
      <w:bookmarkEnd w:id="30"/>
    </w:p>
    <w:p w14:paraId="3BBC823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您可以通过FDA或CDRH主页和／或3.5</w:t>
      </w:r>
      <w:r>
        <w:rPr>
          <w:rFonts w:ascii="宋体" w:hAnsi="宋体" w:eastAsia="宋体" w:cs="Arial"/>
          <w:snapToGrid w:val="0"/>
          <w:kern w:val="0"/>
          <w:sz w:val="24"/>
        </w:rPr>
        <w:t>”</w:t>
      </w:r>
      <w:r>
        <w:rPr>
          <w:rFonts w:ascii="Arial" w:hAnsi="Arial" w:eastAsia="宋体" w:cs="Arial"/>
          <w:snapToGrid w:val="0"/>
          <w:kern w:val="0"/>
          <w:sz w:val="24"/>
        </w:rPr>
        <w:t>IBM格式化的磁盘获得有关FDAMA的更多信息。要索取这些文档的磁盘副本，请以传真的形式向小型制造商援助司提交申请，注意：出版物</w:t>
      </w:r>
      <w:r>
        <w:rPr>
          <w:rFonts w:hint="eastAsia" w:ascii="Arial" w:hAnsi="Arial" w:eastAsia="宋体" w:cs="Arial"/>
          <w:snapToGrid w:val="0"/>
          <w:kern w:val="0"/>
          <w:sz w:val="24"/>
        </w:rPr>
        <w:t>，</w:t>
      </w:r>
      <w:r>
        <w:rPr>
          <w:rFonts w:ascii="Arial" w:hAnsi="Arial" w:eastAsia="宋体" w:cs="Arial"/>
          <w:snapToGrid w:val="0"/>
          <w:kern w:val="0"/>
          <w:sz w:val="24"/>
        </w:rPr>
        <w:t>301-847-8149。</w:t>
      </w:r>
    </w:p>
    <w:p w14:paraId="3806FE4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此外，希望获取文件副本的人也可以使用万维网（WWW）。CDRH在WWW上维护了便于访问信息的入口，包括文本、图形和文件，这些信息可以下载到能够访问网络的PC上。FDA主页可访问http: //www.fda.gov，CDRH主页可访问http: //www.fda.gov/cdrh。下面列出了目前在FDAMA下的可用的第三方项目相关文件：</w:t>
      </w:r>
    </w:p>
    <w:p w14:paraId="3F41C3F1">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CDRH主页提供以下文档：</w:t>
      </w:r>
    </w:p>
    <w:p w14:paraId="55A4CDE8">
      <w:pPr>
        <w:pStyle w:val="12"/>
        <w:numPr>
          <w:ilvl w:val="0"/>
          <w:numId w:val="25"/>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FDAMA及相关文件（</w:t>
      </w:r>
      <w:r>
        <w:fldChar w:fldCharType="begin"/>
      </w:r>
      <w:r>
        <w:instrText xml:space="preserve"> HYPERLINK "http://www.fda.gov/cdrh/modact/modern.html" </w:instrText>
      </w:r>
      <w:r>
        <w:fldChar w:fldCharType="separate"/>
      </w:r>
      <w:r>
        <w:rPr>
          <w:rStyle w:val="11"/>
          <w:rFonts w:ascii="Arial" w:hAnsi="Arial" w:eastAsia="宋体" w:cs="Arial"/>
          <w:snapToGrid w:val="0"/>
          <w:color w:val="auto"/>
          <w:kern w:val="0"/>
          <w:sz w:val="24"/>
          <w:u w:val="none"/>
        </w:rPr>
        <w:t>http://www.fda.gov/cdrh/modact/modern.html</w:t>
      </w:r>
      <w:r>
        <w:rPr>
          <w:rStyle w:val="11"/>
          <w:rFonts w:ascii="Arial" w:hAnsi="Arial" w:eastAsia="宋体" w:cs="Arial"/>
          <w:snapToGrid w:val="0"/>
          <w:color w:val="auto"/>
          <w:kern w:val="0"/>
          <w:sz w:val="24"/>
          <w:u w:val="none"/>
        </w:rPr>
        <w:fldChar w:fldCharType="end"/>
      </w:r>
      <w:r>
        <w:rPr>
          <w:rFonts w:hint="eastAsia" w:ascii="Arial" w:hAnsi="Arial" w:eastAsia="宋体" w:cs="Arial"/>
          <w:snapToGrid w:val="0"/>
          <w:kern w:val="0"/>
          <w:sz w:val="24"/>
        </w:rPr>
        <w:t>，</w:t>
      </w:r>
      <w:r>
        <w:rPr>
          <w:rFonts w:ascii="Arial" w:hAnsi="Arial" w:eastAsia="宋体" w:cs="Arial"/>
          <w:snapToGrid w:val="0"/>
          <w:kern w:val="0"/>
          <w:sz w:val="24"/>
        </w:rPr>
        <w:t>在</w:t>
      </w:r>
      <w:r>
        <w:rPr>
          <w:rFonts w:ascii="宋体" w:hAnsi="宋体" w:eastAsia="宋体" w:cs="Arial"/>
          <w:snapToGrid w:val="0"/>
          <w:kern w:val="0"/>
          <w:sz w:val="24"/>
        </w:rPr>
        <w:t>“</w:t>
      </w:r>
      <w:r>
        <w:rPr>
          <w:rFonts w:ascii="Arial" w:hAnsi="Arial" w:eastAsia="宋体" w:cs="Arial"/>
          <w:snapToGrid w:val="0"/>
          <w:kern w:val="0"/>
          <w:sz w:val="24"/>
        </w:rPr>
        <w:t>FDAMA菜单下</w:t>
      </w:r>
      <w:r>
        <w:rPr>
          <w:rFonts w:ascii="宋体" w:hAnsi="宋体" w:eastAsia="宋体" w:cs="Arial"/>
          <w:snapToGrid w:val="0"/>
          <w:kern w:val="0"/>
          <w:sz w:val="24"/>
        </w:rPr>
        <w:t>”</w:t>
      </w:r>
      <w:r>
        <w:rPr>
          <w:rFonts w:ascii="Arial" w:hAnsi="Arial" w:eastAsia="宋体" w:cs="Arial"/>
          <w:snapToGrid w:val="0"/>
          <w:kern w:val="0"/>
          <w:sz w:val="24"/>
        </w:rPr>
        <w:t>）</w:t>
      </w:r>
    </w:p>
    <w:p w14:paraId="7FF517C1">
      <w:pPr>
        <w:pStyle w:val="12"/>
        <w:numPr>
          <w:ilvl w:val="0"/>
          <w:numId w:val="25"/>
        </w:numPr>
        <w:topLinePunct/>
        <w:adjustRightInd w:val="0"/>
        <w:snapToGrid w:val="0"/>
        <w:spacing w:after="234" w:afterLines="75" w:line="288" w:lineRule="auto"/>
        <w:ind w:left="840" w:leftChars="400" w:firstLineChars="0"/>
        <w:jc w:val="left"/>
        <w:rPr>
          <w:rFonts w:ascii="Arial" w:hAnsi="Arial" w:eastAsia="宋体" w:cs="Arial"/>
          <w:snapToGrid w:val="0"/>
          <w:kern w:val="0"/>
          <w:sz w:val="24"/>
        </w:rPr>
      </w:pPr>
      <w:bookmarkStart w:id="31" w:name="OLE_LINK10"/>
      <w:bookmarkStart w:id="32" w:name="OLE_LINK9"/>
      <w:r>
        <w:rPr>
          <w:rFonts w:ascii="Arial" w:hAnsi="Arial" w:eastAsia="宋体" w:cs="Arial"/>
          <w:snapToGrid w:val="0"/>
          <w:kern w:val="0"/>
          <w:sz w:val="24"/>
        </w:rPr>
        <w:t>（也有磁盘格式）</w:t>
      </w:r>
      <w:bookmarkEnd w:id="31"/>
      <w:bookmarkEnd w:id="32"/>
      <w:r>
        <w:rPr>
          <w:rFonts w:ascii="Arial" w:hAnsi="Arial" w:eastAsia="宋体" w:cs="Arial"/>
          <w:snapToGrid w:val="0"/>
          <w:kern w:val="0"/>
          <w:sz w:val="24"/>
        </w:rPr>
        <w:t>医疗器械上市前通知510（k）法规要求（1995年8月）（http: //www.fda.gov/cdrh/manual/510kprt1.html）</w:t>
      </w:r>
    </w:p>
    <w:p w14:paraId="2A9FD2EF">
      <w:pPr>
        <w:pStyle w:val="12"/>
        <w:numPr>
          <w:ilvl w:val="0"/>
          <w:numId w:val="25"/>
        </w:numPr>
        <w:topLinePunct/>
        <w:adjustRightInd w:val="0"/>
        <w:snapToGrid w:val="0"/>
        <w:spacing w:after="234" w:afterLines="75" w:line="288" w:lineRule="auto"/>
        <w:ind w:left="840" w:leftChars="400" w:firstLineChars="0"/>
        <w:jc w:val="left"/>
        <w:rPr>
          <w:rFonts w:ascii="Arial" w:hAnsi="Arial" w:eastAsia="宋体" w:cs="Arial"/>
          <w:snapToGrid w:val="0"/>
          <w:kern w:val="0"/>
          <w:sz w:val="24"/>
        </w:rPr>
      </w:pPr>
      <w:r>
        <w:rPr>
          <w:rFonts w:ascii="Arial" w:hAnsi="Arial" w:eastAsia="宋体" w:cs="Arial"/>
          <w:snapToGrid w:val="0"/>
          <w:kern w:val="0"/>
          <w:sz w:val="24"/>
        </w:rPr>
        <w:t>（也有磁盘格式）体外诊断产品：准备510（k）申请指南（1997年1月）（http://www.fda.gov/cdrh/manual/ivdmanul.html</w:t>
      </w:r>
      <w:r>
        <w:rPr>
          <w:rFonts w:hint="eastAsia" w:ascii="Arial" w:hAnsi="Arial" w:eastAsia="宋体" w:cs="Arial"/>
          <w:snapToGrid w:val="0"/>
          <w:kern w:val="0"/>
          <w:sz w:val="24"/>
        </w:rPr>
        <w:t xml:space="preserve"> </w:t>
      </w:r>
      <w:r>
        <w:rPr>
          <w:rFonts w:ascii="Arial" w:hAnsi="Arial" w:eastAsia="宋体" w:cs="Arial"/>
          <w:snapToGrid w:val="0"/>
          <w:kern w:val="0"/>
          <w:sz w:val="24"/>
        </w:rPr>
        <w:t>）</w:t>
      </w:r>
    </w:p>
    <w:p w14:paraId="62DA4486">
      <w:pPr>
        <w:pStyle w:val="12"/>
        <w:numPr>
          <w:ilvl w:val="0"/>
          <w:numId w:val="25"/>
        </w:numPr>
        <w:topLinePunct/>
        <w:adjustRightInd w:val="0"/>
        <w:snapToGrid w:val="0"/>
        <w:spacing w:after="234" w:afterLines="75" w:line="288" w:lineRule="auto"/>
        <w:ind w:left="840" w:leftChars="400" w:firstLineChars="0"/>
        <w:jc w:val="left"/>
        <w:rPr>
          <w:rFonts w:ascii="Arial" w:hAnsi="Arial" w:eastAsia="宋体" w:cs="Arial"/>
          <w:snapToGrid w:val="0"/>
          <w:kern w:val="0"/>
          <w:sz w:val="24"/>
        </w:rPr>
      </w:pPr>
      <w:r>
        <w:rPr>
          <w:rFonts w:ascii="Arial" w:hAnsi="Arial" w:eastAsia="宋体" w:cs="Arial"/>
          <w:snapToGrid w:val="0"/>
          <w:kern w:val="0"/>
          <w:sz w:val="24"/>
        </w:rPr>
        <w:t>第三方审查指导手册（1996年7月1日）（http: //www.fda.gov/cdrh/dsma/3previewmanual.pdf）</w:t>
      </w:r>
    </w:p>
    <w:p w14:paraId="41134BA8">
      <w:pPr>
        <w:pStyle w:val="12"/>
        <w:numPr>
          <w:ilvl w:val="0"/>
          <w:numId w:val="25"/>
        </w:numPr>
        <w:topLinePunct/>
        <w:adjustRightInd w:val="0"/>
        <w:snapToGrid w:val="0"/>
        <w:spacing w:after="234" w:afterLines="75" w:line="288" w:lineRule="auto"/>
        <w:ind w:left="840" w:leftChars="400" w:firstLineChars="0"/>
        <w:jc w:val="left"/>
        <w:rPr>
          <w:rFonts w:ascii="Arial" w:hAnsi="Arial" w:eastAsia="宋体" w:cs="Arial"/>
          <w:snapToGrid w:val="0"/>
          <w:kern w:val="0"/>
          <w:sz w:val="24"/>
        </w:rPr>
      </w:pPr>
      <w:r>
        <w:rPr>
          <w:rFonts w:ascii="Arial" w:hAnsi="Arial" w:eastAsia="宋体" w:cs="Arial"/>
          <w:snapToGrid w:val="0"/>
          <w:kern w:val="0"/>
          <w:sz w:val="24"/>
        </w:rPr>
        <w:t>确定510（k）器械的预期用途——行业和CDRH工作人员指南（1998年1月）（http://www.fda.gov/cdrh/modact/k981.html）</w:t>
      </w:r>
    </w:p>
    <w:p w14:paraId="40385F4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9C0CBB2">
      <w:pPr>
        <w:pStyle w:val="12"/>
        <w:numPr>
          <w:ilvl w:val="0"/>
          <w:numId w:val="25"/>
        </w:numPr>
        <w:topLinePunct/>
        <w:adjustRightInd w:val="0"/>
        <w:snapToGrid w:val="0"/>
        <w:spacing w:after="234" w:afterLines="75" w:line="288" w:lineRule="auto"/>
        <w:ind w:left="840" w:leftChars="400" w:firstLineChars="0"/>
        <w:jc w:val="left"/>
        <w:rPr>
          <w:rFonts w:ascii="Arial" w:hAnsi="Arial" w:eastAsia="宋体" w:cs="Arial"/>
          <w:snapToGrid w:val="0"/>
          <w:kern w:val="0"/>
          <w:sz w:val="24"/>
        </w:rPr>
      </w:pPr>
      <w:r>
        <w:rPr>
          <w:rFonts w:ascii="Arial" w:hAnsi="Arial" w:eastAsia="宋体" w:cs="Arial"/>
          <w:snapToGrid w:val="0"/>
          <w:kern w:val="0"/>
          <w:sz w:val="24"/>
        </w:rPr>
        <w:t>认可和使用共识标准指南（1998年2月）（http: //www.fda.gov/cdrh/modact/k982.html）</w:t>
      </w:r>
    </w:p>
    <w:p w14:paraId="3D990342">
      <w:pPr>
        <w:pStyle w:val="12"/>
        <w:numPr>
          <w:ilvl w:val="0"/>
          <w:numId w:val="25"/>
        </w:numPr>
        <w:topLinePunct/>
        <w:adjustRightInd w:val="0"/>
        <w:snapToGrid w:val="0"/>
        <w:spacing w:after="234" w:afterLines="75" w:line="288"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关于在实质性等同性判定中使用标准的指南（2000年3月）（http: //www.fda.gov/cdrh/ode/guidance/1131.html）</w:t>
      </w:r>
    </w:p>
    <w:p w14:paraId="114ECCF4">
      <w:pPr>
        <w:topLinePunct/>
        <w:adjustRightInd w:val="0"/>
        <w:snapToGrid w:val="0"/>
        <w:spacing w:after="234" w:afterLines="75" w:line="288" w:lineRule="auto"/>
        <w:jc w:val="center"/>
        <w:rPr>
          <w:rFonts w:hint="eastAsia" w:eastAsia="等线"/>
          <w:lang w:eastAsia="zh-CN"/>
        </w:rPr>
      </w:pPr>
    </w:p>
    <w:p w14:paraId="4D950190">
      <w:pPr>
        <w:topLinePunct/>
        <w:adjustRightInd w:val="0"/>
        <w:snapToGrid w:val="0"/>
        <w:spacing w:after="234" w:afterLines="75" w:line="288" w:lineRule="auto"/>
        <w:jc w:val="center"/>
        <w:rPr>
          <w:rFonts w:hint="eastAsia" w:eastAsia="等线"/>
          <w:lang w:eastAsia="zh-CN"/>
        </w:rPr>
      </w:pPr>
    </w:p>
    <w:p w14:paraId="456224B3">
      <w:pPr>
        <w:topLinePunct/>
        <w:adjustRightInd w:val="0"/>
        <w:snapToGrid w:val="0"/>
        <w:spacing w:after="234"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134" w:right="1440" w:bottom="1134" w:left="144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0C03">
    <w:pPr>
      <w:pStyle w:val="4"/>
      <w:rPr>
        <w:rFonts w:ascii="Arial" w:hAnsi="Arial" w:cs="Arial"/>
        <w:sz w:val="21"/>
      </w:rPr>
    </w:pPr>
  </w:p>
  <w:p w14:paraId="3F20058F">
    <w:pPr>
      <w:pStyle w:val="4"/>
      <w:jc w:val="right"/>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ii</w:t>
    </w:r>
    <w:r>
      <w:rPr>
        <w:rFonts w:ascii="Arial" w:hAnsi="Arial" w:cs="Arial"/>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36AD">
    <w:pPr>
      <w:pStyle w:val="4"/>
      <w:rPr>
        <w:rFonts w:ascii="Arial" w:hAnsi="Arial" w:cs="Arial"/>
        <w:sz w:val="21"/>
      </w:rPr>
    </w:pPr>
  </w:p>
  <w:p w14:paraId="168E3644">
    <w:pPr>
      <w:pStyle w:val="4"/>
      <w:jc w:val="right"/>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21</w:t>
    </w:r>
    <w:r>
      <w:rPr>
        <w:rFonts w:ascii="Arial" w:hAnsi="Arial" w:cs="Arial"/>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272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12A2">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27C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551E6"/>
    <w:multiLevelType w:val="multilevel"/>
    <w:tmpl w:val="09E551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43314"/>
    <w:multiLevelType w:val="multilevel"/>
    <w:tmpl w:val="10943314"/>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1546404"/>
    <w:multiLevelType w:val="multilevel"/>
    <w:tmpl w:val="11546404"/>
    <w:lvl w:ilvl="0" w:tentative="0">
      <w:start w:val="1"/>
      <w:numFmt w:val="bullet"/>
      <w:lvlText w:val="-"/>
      <w:lvlJc w:val="left"/>
      <w:pPr>
        <w:ind w:left="2100" w:hanging="420"/>
      </w:pPr>
      <w:rPr>
        <w:rFonts w:hint="eastAsia" w:ascii="宋体" w:hAnsi="宋体" w:eastAsia="宋体"/>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3">
    <w:nsid w:val="129458E7"/>
    <w:multiLevelType w:val="multilevel"/>
    <w:tmpl w:val="129458E7"/>
    <w:lvl w:ilvl="0" w:tentative="0">
      <w:start w:val="1"/>
      <w:numFmt w:val="bullet"/>
      <w:lvlText w:val="-"/>
      <w:lvlJc w:val="left"/>
      <w:pPr>
        <w:ind w:left="1352" w:hanging="420"/>
      </w:pPr>
      <w:rPr>
        <w:rFonts w:hint="eastAsia" w:ascii="宋体" w:hAnsi="宋体" w:eastAsia="宋体"/>
      </w:rPr>
    </w:lvl>
    <w:lvl w:ilvl="1" w:tentative="0">
      <w:start w:val="1"/>
      <w:numFmt w:val="bullet"/>
      <w:lvlText w:val=""/>
      <w:lvlJc w:val="left"/>
      <w:pPr>
        <w:ind w:left="1772" w:hanging="420"/>
      </w:pPr>
      <w:rPr>
        <w:rFonts w:hint="default" w:ascii="Wingdings" w:hAnsi="Wingdings"/>
      </w:rPr>
    </w:lvl>
    <w:lvl w:ilvl="2" w:tentative="0">
      <w:start w:val="1"/>
      <w:numFmt w:val="bullet"/>
      <w:lvlText w:val=""/>
      <w:lvlJc w:val="left"/>
      <w:pPr>
        <w:ind w:left="2192" w:hanging="420"/>
      </w:pPr>
      <w:rPr>
        <w:rFonts w:hint="default" w:ascii="Wingdings" w:hAnsi="Wingdings"/>
      </w:rPr>
    </w:lvl>
    <w:lvl w:ilvl="3" w:tentative="0">
      <w:start w:val="1"/>
      <w:numFmt w:val="bullet"/>
      <w:lvlText w:val=""/>
      <w:lvlJc w:val="left"/>
      <w:pPr>
        <w:ind w:left="2612" w:hanging="420"/>
      </w:pPr>
      <w:rPr>
        <w:rFonts w:hint="default" w:ascii="Wingdings" w:hAnsi="Wingdings"/>
      </w:rPr>
    </w:lvl>
    <w:lvl w:ilvl="4" w:tentative="0">
      <w:start w:val="1"/>
      <w:numFmt w:val="bullet"/>
      <w:lvlText w:val=""/>
      <w:lvlJc w:val="left"/>
      <w:pPr>
        <w:ind w:left="3032" w:hanging="420"/>
      </w:pPr>
      <w:rPr>
        <w:rFonts w:hint="default" w:ascii="Wingdings" w:hAnsi="Wingdings"/>
      </w:rPr>
    </w:lvl>
    <w:lvl w:ilvl="5" w:tentative="0">
      <w:start w:val="1"/>
      <w:numFmt w:val="bullet"/>
      <w:lvlText w:val=""/>
      <w:lvlJc w:val="left"/>
      <w:pPr>
        <w:ind w:left="3452" w:hanging="420"/>
      </w:pPr>
      <w:rPr>
        <w:rFonts w:hint="default" w:ascii="Wingdings" w:hAnsi="Wingdings"/>
      </w:rPr>
    </w:lvl>
    <w:lvl w:ilvl="6" w:tentative="0">
      <w:start w:val="1"/>
      <w:numFmt w:val="bullet"/>
      <w:lvlText w:val=""/>
      <w:lvlJc w:val="left"/>
      <w:pPr>
        <w:ind w:left="3872" w:hanging="420"/>
      </w:pPr>
      <w:rPr>
        <w:rFonts w:hint="default" w:ascii="Wingdings" w:hAnsi="Wingdings"/>
      </w:rPr>
    </w:lvl>
    <w:lvl w:ilvl="7" w:tentative="0">
      <w:start w:val="1"/>
      <w:numFmt w:val="bullet"/>
      <w:lvlText w:val=""/>
      <w:lvlJc w:val="left"/>
      <w:pPr>
        <w:ind w:left="4292" w:hanging="420"/>
      </w:pPr>
      <w:rPr>
        <w:rFonts w:hint="default" w:ascii="Wingdings" w:hAnsi="Wingdings"/>
      </w:rPr>
    </w:lvl>
    <w:lvl w:ilvl="8" w:tentative="0">
      <w:start w:val="1"/>
      <w:numFmt w:val="bullet"/>
      <w:lvlText w:val=""/>
      <w:lvlJc w:val="left"/>
      <w:pPr>
        <w:ind w:left="4712" w:hanging="420"/>
      </w:pPr>
      <w:rPr>
        <w:rFonts w:hint="default" w:ascii="Wingdings" w:hAnsi="Wingdings"/>
      </w:rPr>
    </w:lvl>
  </w:abstractNum>
  <w:abstractNum w:abstractNumId="4">
    <w:nsid w:val="1856538B"/>
    <w:multiLevelType w:val="multilevel"/>
    <w:tmpl w:val="1856538B"/>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18C0271C"/>
    <w:multiLevelType w:val="multilevel"/>
    <w:tmpl w:val="18C0271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9EC1E06"/>
    <w:multiLevelType w:val="multilevel"/>
    <w:tmpl w:val="19EC1E06"/>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7">
    <w:nsid w:val="1A031E26"/>
    <w:multiLevelType w:val="multilevel"/>
    <w:tmpl w:val="1A031E26"/>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1ABA05C0"/>
    <w:multiLevelType w:val="multilevel"/>
    <w:tmpl w:val="1ABA05C0"/>
    <w:lvl w:ilvl="0" w:tentative="0">
      <w:start w:val="1"/>
      <w:numFmt w:val="lowerLetter"/>
      <w:lvlText w:val="（%1）"/>
      <w:lvlJc w:val="left"/>
      <w:pPr>
        <w:ind w:left="2520" w:hanging="420"/>
      </w:pPr>
      <w:rPr>
        <w:rFonts w:hint="eastAsia"/>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9">
    <w:nsid w:val="1ADD49F0"/>
    <w:multiLevelType w:val="multilevel"/>
    <w:tmpl w:val="1ADD49F0"/>
    <w:lvl w:ilvl="0" w:tentative="0">
      <w:start w:val="1"/>
      <w:numFmt w:val="upperRoman"/>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F58347A"/>
    <w:multiLevelType w:val="multilevel"/>
    <w:tmpl w:val="1F58347A"/>
    <w:lvl w:ilvl="0" w:tentative="0">
      <w:start w:val="1"/>
      <w:numFmt w:val="low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6C6756"/>
    <w:multiLevelType w:val="multilevel"/>
    <w:tmpl w:val="256C6756"/>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26DF7BA7"/>
    <w:multiLevelType w:val="multilevel"/>
    <w:tmpl w:val="26DF7BA7"/>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3">
    <w:nsid w:val="290F5EF4"/>
    <w:multiLevelType w:val="multilevel"/>
    <w:tmpl w:val="290F5EF4"/>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2ED6012B"/>
    <w:multiLevelType w:val="multilevel"/>
    <w:tmpl w:val="2ED6012B"/>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5">
    <w:nsid w:val="30DA64F3"/>
    <w:multiLevelType w:val="multilevel"/>
    <w:tmpl w:val="30DA64F3"/>
    <w:lvl w:ilvl="0" w:tentative="0">
      <w:start w:val="1"/>
      <w:numFmt w:val="lowerLetter"/>
      <w:lvlText w:val="%1）"/>
      <w:lvlJc w:val="left"/>
      <w:pPr>
        <w:ind w:left="2520" w:hanging="420"/>
      </w:pPr>
      <w:rPr>
        <w:rFonts w:hint="default"/>
      </w:rPr>
    </w:lvl>
    <w:lvl w:ilvl="1" w:tentative="0">
      <w:start w:val="1"/>
      <w:numFmt w:val="lowerLetter"/>
      <w:lvlText w:val="（%2）"/>
      <w:lvlJc w:val="left"/>
      <w:pPr>
        <w:ind w:left="3240" w:hanging="720"/>
      </w:pPr>
      <w:rPr>
        <w:rFonts w:hint="default"/>
      </w:rPr>
    </w:lvl>
    <w:lvl w:ilvl="2" w:tentative="0">
      <w:start w:val="1"/>
      <w:numFmt w:val="decimal"/>
      <w:lvlText w:val="%3."/>
      <w:lvlJc w:val="left"/>
      <w:pPr>
        <w:ind w:left="3300" w:hanging="360"/>
      </w:pPr>
      <w:rPr>
        <w:rFonts w:hint="default"/>
      </w:r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16">
    <w:nsid w:val="31693526"/>
    <w:multiLevelType w:val="multilevel"/>
    <w:tmpl w:val="31693526"/>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7">
    <w:nsid w:val="3E1C7E80"/>
    <w:multiLevelType w:val="multilevel"/>
    <w:tmpl w:val="3E1C7E80"/>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8">
    <w:nsid w:val="4D3B17AD"/>
    <w:multiLevelType w:val="multilevel"/>
    <w:tmpl w:val="4D3B17AD"/>
    <w:lvl w:ilvl="0" w:tentative="0">
      <w:start w:val="1"/>
      <w:numFmt w:val="decimal"/>
      <w:lvlText w:val="%1）"/>
      <w:lvlJc w:val="left"/>
      <w:pPr>
        <w:ind w:left="1680" w:hanging="420"/>
      </w:pPr>
      <w:rPr>
        <w:rFonts w:hint="eastAsia"/>
      </w:rPr>
    </w:lvl>
    <w:lvl w:ilvl="1" w:tentative="0">
      <w:start w:val="1"/>
      <w:numFmt w:val="lowerLetter"/>
      <w:lvlText w:val="%2）"/>
      <w:lvlJc w:val="left"/>
      <w:pPr>
        <w:ind w:left="2400" w:hanging="720"/>
      </w:pPr>
      <w:rPr>
        <w:rFonts w:hint="default"/>
      </w:r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9">
    <w:nsid w:val="5D90167A"/>
    <w:multiLevelType w:val="multilevel"/>
    <w:tmpl w:val="5D90167A"/>
    <w:lvl w:ilvl="0" w:tentative="0">
      <w:start w:val="1"/>
      <w:numFmt w:val="bullet"/>
      <w:lvlText w:val="-"/>
      <w:lvlJc w:val="left"/>
      <w:pPr>
        <w:ind w:left="1352" w:hanging="420"/>
      </w:pPr>
      <w:rPr>
        <w:rFonts w:hint="eastAsia" w:ascii="宋体" w:hAnsi="宋体" w:eastAsia="宋体"/>
      </w:rPr>
    </w:lvl>
    <w:lvl w:ilvl="1" w:tentative="0">
      <w:start w:val="1"/>
      <w:numFmt w:val="bullet"/>
      <w:lvlText w:val=""/>
      <w:lvlJc w:val="left"/>
      <w:pPr>
        <w:ind w:left="1772" w:hanging="420"/>
      </w:pPr>
      <w:rPr>
        <w:rFonts w:hint="default" w:ascii="Wingdings" w:hAnsi="Wingdings"/>
      </w:rPr>
    </w:lvl>
    <w:lvl w:ilvl="2" w:tentative="0">
      <w:start w:val="1"/>
      <w:numFmt w:val="bullet"/>
      <w:lvlText w:val=""/>
      <w:lvlJc w:val="left"/>
      <w:pPr>
        <w:ind w:left="2192" w:hanging="420"/>
      </w:pPr>
      <w:rPr>
        <w:rFonts w:hint="default" w:ascii="Wingdings" w:hAnsi="Wingdings"/>
      </w:rPr>
    </w:lvl>
    <w:lvl w:ilvl="3" w:tentative="0">
      <w:start w:val="1"/>
      <w:numFmt w:val="bullet"/>
      <w:lvlText w:val=""/>
      <w:lvlJc w:val="left"/>
      <w:pPr>
        <w:ind w:left="2612" w:hanging="420"/>
      </w:pPr>
      <w:rPr>
        <w:rFonts w:hint="default" w:ascii="Wingdings" w:hAnsi="Wingdings"/>
      </w:rPr>
    </w:lvl>
    <w:lvl w:ilvl="4" w:tentative="0">
      <w:start w:val="1"/>
      <w:numFmt w:val="bullet"/>
      <w:lvlText w:val=""/>
      <w:lvlJc w:val="left"/>
      <w:pPr>
        <w:ind w:left="3032" w:hanging="420"/>
      </w:pPr>
      <w:rPr>
        <w:rFonts w:hint="default" w:ascii="Wingdings" w:hAnsi="Wingdings"/>
      </w:rPr>
    </w:lvl>
    <w:lvl w:ilvl="5" w:tentative="0">
      <w:start w:val="1"/>
      <w:numFmt w:val="bullet"/>
      <w:lvlText w:val=""/>
      <w:lvlJc w:val="left"/>
      <w:pPr>
        <w:ind w:left="3452" w:hanging="420"/>
      </w:pPr>
      <w:rPr>
        <w:rFonts w:hint="default" w:ascii="Wingdings" w:hAnsi="Wingdings"/>
      </w:rPr>
    </w:lvl>
    <w:lvl w:ilvl="6" w:tentative="0">
      <w:start w:val="1"/>
      <w:numFmt w:val="bullet"/>
      <w:lvlText w:val=""/>
      <w:lvlJc w:val="left"/>
      <w:pPr>
        <w:ind w:left="3872" w:hanging="420"/>
      </w:pPr>
      <w:rPr>
        <w:rFonts w:hint="default" w:ascii="Wingdings" w:hAnsi="Wingdings"/>
      </w:rPr>
    </w:lvl>
    <w:lvl w:ilvl="7" w:tentative="0">
      <w:start w:val="1"/>
      <w:numFmt w:val="bullet"/>
      <w:lvlText w:val=""/>
      <w:lvlJc w:val="left"/>
      <w:pPr>
        <w:ind w:left="4292" w:hanging="420"/>
      </w:pPr>
      <w:rPr>
        <w:rFonts w:hint="default" w:ascii="Wingdings" w:hAnsi="Wingdings"/>
      </w:rPr>
    </w:lvl>
    <w:lvl w:ilvl="8" w:tentative="0">
      <w:start w:val="1"/>
      <w:numFmt w:val="bullet"/>
      <w:lvlText w:val=""/>
      <w:lvlJc w:val="left"/>
      <w:pPr>
        <w:ind w:left="4712" w:hanging="420"/>
      </w:pPr>
      <w:rPr>
        <w:rFonts w:hint="default" w:ascii="Wingdings" w:hAnsi="Wingdings"/>
      </w:rPr>
    </w:lvl>
  </w:abstractNum>
  <w:abstractNum w:abstractNumId="20">
    <w:nsid w:val="5FD41989"/>
    <w:multiLevelType w:val="multilevel"/>
    <w:tmpl w:val="5FD41989"/>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68A553FF"/>
    <w:multiLevelType w:val="multilevel"/>
    <w:tmpl w:val="68A553FF"/>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6E382BA4"/>
    <w:multiLevelType w:val="multilevel"/>
    <w:tmpl w:val="6E382BA4"/>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3">
    <w:nsid w:val="713B29AF"/>
    <w:multiLevelType w:val="multilevel"/>
    <w:tmpl w:val="713B29AF"/>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4">
    <w:nsid w:val="7CF92302"/>
    <w:multiLevelType w:val="multilevel"/>
    <w:tmpl w:val="7CF923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9"/>
  </w:num>
  <w:num w:numId="3">
    <w:abstractNumId w:val="9"/>
  </w:num>
  <w:num w:numId="4">
    <w:abstractNumId w:val="21"/>
  </w:num>
  <w:num w:numId="5">
    <w:abstractNumId w:val="24"/>
  </w:num>
  <w:num w:numId="6">
    <w:abstractNumId w:val="1"/>
  </w:num>
  <w:num w:numId="7">
    <w:abstractNumId w:val="13"/>
  </w:num>
  <w:num w:numId="8">
    <w:abstractNumId w:val="5"/>
  </w:num>
  <w:num w:numId="9">
    <w:abstractNumId w:val="20"/>
  </w:num>
  <w:num w:numId="10">
    <w:abstractNumId w:val="7"/>
  </w:num>
  <w:num w:numId="11">
    <w:abstractNumId w:val="23"/>
  </w:num>
  <w:num w:numId="12">
    <w:abstractNumId w:val="22"/>
  </w:num>
  <w:num w:numId="13">
    <w:abstractNumId w:val="14"/>
  </w:num>
  <w:num w:numId="14">
    <w:abstractNumId w:val="6"/>
  </w:num>
  <w:num w:numId="15">
    <w:abstractNumId w:val="10"/>
  </w:num>
  <w:num w:numId="16">
    <w:abstractNumId w:val="18"/>
  </w:num>
  <w:num w:numId="17">
    <w:abstractNumId w:val="15"/>
  </w:num>
  <w:num w:numId="18">
    <w:abstractNumId w:val="2"/>
  </w:num>
  <w:num w:numId="19">
    <w:abstractNumId w:val="8"/>
  </w:num>
  <w:num w:numId="20">
    <w:abstractNumId w:val="11"/>
  </w:num>
  <w:num w:numId="21">
    <w:abstractNumId w:val="17"/>
  </w:num>
  <w:num w:numId="22">
    <w:abstractNumId w:val="16"/>
  </w:num>
  <w:num w:numId="23">
    <w:abstractNumId w:val="4"/>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93"/>
    <w:rsid w:val="0000767A"/>
    <w:rsid w:val="00015541"/>
    <w:rsid w:val="000305E8"/>
    <w:rsid w:val="00042DA0"/>
    <w:rsid w:val="000B1D37"/>
    <w:rsid w:val="000C10C9"/>
    <w:rsid w:val="000C7C82"/>
    <w:rsid w:val="000D15B3"/>
    <w:rsid w:val="00111B92"/>
    <w:rsid w:val="001331EF"/>
    <w:rsid w:val="00180D98"/>
    <w:rsid w:val="001D0656"/>
    <w:rsid w:val="001E125D"/>
    <w:rsid w:val="001E2E1B"/>
    <w:rsid w:val="001E6F4C"/>
    <w:rsid w:val="001E7103"/>
    <w:rsid w:val="00285642"/>
    <w:rsid w:val="002A013F"/>
    <w:rsid w:val="002C4E57"/>
    <w:rsid w:val="002C7B97"/>
    <w:rsid w:val="002D01AF"/>
    <w:rsid w:val="002D0C59"/>
    <w:rsid w:val="002E0BEA"/>
    <w:rsid w:val="002E475F"/>
    <w:rsid w:val="002F16E4"/>
    <w:rsid w:val="00312E93"/>
    <w:rsid w:val="00326932"/>
    <w:rsid w:val="00334C93"/>
    <w:rsid w:val="00335BC1"/>
    <w:rsid w:val="00347E34"/>
    <w:rsid w:val="003712D8"/>
    <w:rsid w:val="00382213"/>
    <w:rsid w:val="003A2C09"/>
    <w:rsid w:val="003C3F6F"/>
    <w:rsid w:val="003F0CAC"/>
    <w:rsid w:val="00436078"/>
    <w:rsid w:val="00445C6C"/>
    <w:rsid w:val="00464A61"/>
    <w:rsid w:val="004A1C98"/>
    <w:rsid w:val="004E3C94"/>
    <w:rsid w:val="004F57AF"/>
    <w:rsid w:val="00510E89"/>
    <w:rsid w:val="0053315C"/>
    <w:rsid w:val="005350C0"/>
    <w:rsid w:val="005537E8"/>
    <w:rsid w:val="005757CA"/>
    <w:rsid w:val="005B6004"/>
    <w:rsid w:val="005C6FF3"/>
    <w:rsid w:val="005D2419"/>
    <w:rsid w:val="006C7690"/>
    <w:rsid w:val="006E67C6"/>
    <w:rsid w:val="007048C4"/>
    <w:rsid w:val="00706E9C"/>
    <w:rsid w:val="00753AE8"/>
    <w:rsid w:val="007671B4"/>
    <w:rsid w:val="007A04FE"/>
    <w:rsid w:val="007B3202"/>
    <w:rsid w:val="007C0460"/>
    <w:rsid w:val="00850AA7"/>
    <w:rsid w:val="00917977"/>
    <w:rsid w:val="009716B7"/>
    <w:rsid w:val="009927FE"/>
    <w:rsid w:val="009A74BA"/>
    <w:rsid w:val="009E38EA"/>
    <w:rsid w:val="00A3588E"/>
    <w:rsid w:val="00AA1483"/>
    <w:rsid w:val="00AC71B1"/>
    <w:rsid w:val="00AD7D74"/>
    <w:rsid w:val="00B227E4"/>
    <w:rsid w:val="00B26423"/>
    <w:rsid w:val="00B71E0C"/>
    <w:rsid w:val="00B90ED5"/>
    <w:rsid w:val="00BC0AFE"/>
    <w:rsid w:val="00BE7146"/>
    <w:rsid w:val="00C040AA"/>
    <w:rsid w:val="00C14DE1"/>
    <w:rsid w:val="00C24293"/>
    <w:rsid w:val="00C25A5E"/>
    <w:rsid w:val="00C36371"/>
    <w:rsid w:val="00C80540"/>
    <w:rsid w:val="00C81912"/>
    <w:rsid w:val="00C96CC9"/>
    <w:rsid w:val="00CB3A5F"/>
    <w:rsid w:val="00D129E4"/>
    <w:rsid w:val="00D461E9"/>
    <w:rsid w:val="00D51C08"/>
    <w:rsid w:val="00D75AE7"/>
    <w:rsid w:val="00D92801"/>
    <w:rsid w:val="00DC7792"/>
    <w:rsid w:val="00E05195"/>
    <w:rsid w:val="00E25277"/>
    <w:rsid w:val="00E4210C"/>
    <w:rsid w:val="00E735EE"/>
    <w:rsid w:val="00E84977"/>
    <w:rsid w:val="00E908C2"/>
    <w:rsid w:val="00EC49ED"/>
    <w:rsid w:val="00F3523F"/>
    <w:rsid w:val="00F555D0"/>
    <w:rsid w:val="00FB33E6"/>
    <w:rsid w:val="00FC6860"/>
    <w:rsid w:val="00FD74CA"/>
    <w:rsid w:val="00FE7CB2"/>
    <w:rsid w:val="709F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unhideWhenUsed/>
    <w:uiPriority w:val="39"/>
    <w:pPr>
      <w:tabs>
        <w:tab w:val="right" w:leader="dot" w:pos="9016"/>
      </w:tabs>
      <w:snapToGrid w:val="0"/>
      <w:spacing w:line="300" w:lineRule="auto"/>
      <w:ind w:left="1412" w:leftChars="444" w:right="420" w:rightChars="200" w:hanging="480" w:hangingChars="200"/>
    </w:pPr>
    <w:rPr>
      <w:rFonts w:ascii="Arial" w:hAnsi="Arial"/>
      <w:sz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420"/>
        <w:tab w:val="right" w:leader="dot" w:pos="9016"/>
      </w:tabs>
      <w:snapToGrid w:val="0"/>
      <w:spacing w:line="300" w:lineRule="auto"/>
    </w:pPr>
    <w:rPr>
      <w:rFonts w:ascii="Arial" w:hAnsi="Arial"/>
      <w:sz w:val="24"/>
    </w:rPr>
  </w:style>
  <w:style w:type="paragraph" w:styleId="7">
    <w:name w:val="toc 2"/>
    <w:basedOn w:val="1"/>
    <w:next w:val="1"/>
    <w:autoRedefine/>
    <w:unhideWhenUsed/>
    <w:qFormat/>
    <w:uiPriority w:val="39"/>
    <w:pPr>
      <w:tabs>
        <w:tab w:val="left" w:pos="896"/>
        <w:tab w:val="right" w:leader="dot" w:pos="9016"/>
      </w:tabs>
      <w:snapToGrid w:val="0"/>
      <w:spacing w:line="300" w:lineRule="auto"/>
      <w:ind w:left="900" w:leftChars="200" w:right="420" w:rightChars="200" w:hanging="480" w:hangingChars="200"/>
    </w:pPr>
    <w:rPr>
      <w:rFonts w:ascii="Arial" w:hAnsi="Arial"/>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7CFC-D373-4EE4-AB12-D4B3B5288F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12809</Words>
  <Characters>14661</Characters>
  <Lines>112</Lines>
  <Paragraphs>31</Paragraphs>
  <TotalTime>0</TotalTime>
  <ScaleCrop>false</ScaleCrop>
  <LinksUpToDate>false</LinksUpToDate>
  <CharactersWithSpaces>14737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2017-12-18T15:05:00Z</dcterms:created>
  <dc:creator>Guozhen Liu</dc:creator>
  <cp:lastModifiedBy>太极箫客</cp:lastModifiedBy>
  <dcterms:modified xsi:type="dcterms:W3CDTF">2025-08-14T07:14:31Z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55DCC3B48C9D4309BACE4CC98B2F761E_12</vt:lpwstr>
  </property>
</Properties>
</file>