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20D3">
      <w:pPr>
        <w:snapToGrid w:val="0"/>
        <w:spacing w:after="120" w:afterLines="50" w:line="300" w:lineRule="auto"/>
        <w:jc w:val="center"/>
        <w:rPr>
          <w:rFonts w:ascii="Arial" w:hAnsi="Arial" w:eastAsia="宋体" w:cs="Arial"/>
          <w:b/>
          <w:i/>
          <w:sz w:val="52"/>
          <w:szCs w:val="52"/>
        </w:rPr>
      </w:pPr>
      <w:bookmarkStart w:id="2" w:name="_GoBack"/>
      <w:bookmarkEnd w:id="2"/>
      <w:r>
        <w:rPr>
          <w:rFonts w:ascii="Arial" w:hAnsi="Arial" w:eastAsia="宋体" w:cs="Arial"/>
          <w:b/>
          <w:i/>
          <w:sz w:val="52"/>
          <w:szCs w:val="52"/>
        </w:rPr>
        <w:t>第三方和医院再处理者对一次性使用器械的再处理和再利用的常见问题；</w:t>
      </w:r>
      <w:r>
        <w:rPr>
          <w:rFonts w:hint="eastAsia" w:ascii="Arial" w:hAnsi="Arial" w:eastAsia="宋体" w:cs="Arial"/>
          <w:b/>
          <w:i/>
          <w:sz w:val="52"/>
          <w:szCs w:val="52"/>
        </w:rPr>
        <w:br w:type="textWrapping"/>
      </w:r>
      <w:r>
        <w:rPr>
          <w:rFonts w:ascii="Arial" w:hAnsi="Arial" w:eastAsia="宋体" w:cs="Arial"/>
          <w:b/>
          <w:i/>
          <w:sz w:val="52"/>
          <w:szCs w:val="52"/>
        </w:rPr>
        <w:t>行业及FDA工作人员的最终指南</w:t>
      </w:r>
    </w:p>
    <w:p w14:paraId="7FF74E5E">
      <w:pPr>
        <w:snapToGrid w:val="0"/>
        <w:spacing w:after="120" w:afterLines="50" w:line="300" w:lineRule="auto"/>
        <w:jc w:val="center"/>
        <w:rPr>
          <w:rFonts w:ascii="Arial" w:hAnsi="Arial" w:eastAsia="宋体" w:cs="Arial"/>
          <w:b/>
          <w:sz w:val="50"/>
          <w:szCs w:val="50"/>
        </w:rPr>
      </w:pPr>
    </w:p>
    <w:p w14:paraId="6AAF17D1">
      <w:pPr>
        <w:snapToGrid w:val="0"/>
        <w:spacing w:after="120" w:afterLines="50" w:line="300" w:lineRule="auto"/>
        <w:jc w:val="center"/>
        <w:rPr>
          <w:rFonts w:ascii="Arial" w:hAnsi="Arial" w:eastAsia="宋体" w:cs="Arial"/>
          <w:b/>
          <w:sz w:val="50"/>
          <w:szCs w:val="50"/>
        </w:rPr>
      </w:pPr>
    </w:p>
    <w:p w14:paraId="24B99372">
      <w:pPr>
        <w:snapToGrid w:val="0"/>
        <w:spacing w:after="120" w:afterLines="50" w:line="300" w:lineRule="auto"/>
        <w:jc w:val="center"/>
        <w:rPr>
          <w:rFonts w:ascii="Arial" w:hAnsi="Arial" w:eastAsia="宋体" w:cs="Arial"/>
          <w:b/>
          <w:sz w:val="30"/>
          <w:szCs w:val="30"/>
        </w:rPr>
      </w:pPr>
      <w:r>
        <w:rPr>
          <w:rFonts w:ascii="Arial" w:hAnsi="Arial" w:eastAsia="宋体" w:cs="Arial"/>
          <w:b/>
          <w:sz w:val="30"/>
          <w:szCs w:val="30"/>
        </w:rPr>
        <w:t>文件发布日期：2001年7月6日</w:t>
      </w:r>
    </w:p>
    <w:p w14:paraId="3EF610A8">
      <w:pPr>
        <w:snapToGrid w:val="0"/>
        <w:spacing w:after="120" w:afterLines="50" w:line="300" w:lineRule="auto"/>
        <w:jc w:val="center"/>
        <w:rPr>
          <w:rFonts w:ascii="Arial" w:hAnsi="Arial" w:eastAsia="宋体" w:cs="Arial"/>
          <w:b/>
          <w:sz w:val="32"/>
          <w:szCs w:val="32"/>
        </w:rPr>
      </w:pPr>
      <w:r>
        <w:rPr>
          <w:rFonts w:ascii="Arial" w:hAnsi="Arial" w:eastAsia="宋体" w:cs="Arial"/>
          <w:b/>
          <w:sz w:val="32"/>
          <w:szCs w:val="32"/>
        </w:rPr>
        <w:t>本文件取代了</w:t>
      </w:r>
      <w:r>
        <w:rPr>
          <w:rFonts w:ascii="Arial" w:hAnsi="Arial" w:eastAsia="宋体" w:cs="Arial"/>
          <w:b/>
          <w:i/>
          <w:sz w:val="32"/>
          <w:szCs w:val="32"/>
        </w:rPr>
        <w:t>第三方和医院再处理者对一次性使用器械的再处理和再利用的常见问题；行业及FDA工作人员的最终指南，</w:t>
      </w:r>
      <w:r>
        <w:rPr>
          <w:rFonts w:hint="eastAsia" w:ascii="Arial" w:hAnsi="Arial" w:eastAsia="宋体" w:cs="Arial"/>
          <w:b/>
          <w:i/>
          <w:sz w:val="32"/>
          <w:szCs w:val="32"/>
        </w:rPr>
        <w:br w:type="textWrapping"/>
      </w:r>
      <w:r>
        <w:rPr>
          <w:rFonts w:ascii="Arial" w:hAnsi="Arial" w:eastAsia="宋体" w:cs="Arial"/>
          <w:b/>
          <w:sz w:val="32"/>
          <w:szCs w:val="32"/>
        </w:rPr>
        <w:t>2001年5月27日。</w:t>
      </w:r>
    </w:p>
    <w:p w14:paraId="08BC5D96">
      <w:pPr>
        <w:snapToGrid w:val="0"/>
        <w:spacing w:after="120" w:afterLines="50" w:line="300" w:lineRule="auto"/>
        <w:rPr>
          <w:rFonts w:ascii="Arial" w:hAnsi="Arial" w:eastAsia="宋体" w:cs="Arial"/>
        </w:rPr>
      </w:pPr>
    </w:p>
    <w:p w14:paraId="22495796">
      <w:pPr>
        <w:snapToGrid w:val="0"/>
        <w:spacing w:after="120" w:afterLines="50" w:line="300" w:lineRule="auto"/>
        <w:rPr>
          <w:rFonts w:ascii="Arial" w:hAnsi="Arial" w:eastAsia="宋体" w:cs="Arial"/>
        </w:rPr>
      </w:pPr>
    </w:p>
    <w:p w14:paraId="481EC82C">
      <w:pPr>
        <w:snapToGrid w:val="0"/>
        <w:spacing w:after="120" w:afterLines="50" w:line="300" w:lineRule="auto"/>
        <w:rPr>
          <w:rFonts w:ascii="Arial" w:hAnsi="Arial" w:eastAsia="宋体" w:cs="Arial"/>
        </w:rPr>
      </w:pPr>
    </w:p>
    <w:p w14:paraId="321D3CA4">
      <w:pPr>
        <w:snapToGrid w:val="0"/>
        <w:spacing w:after="120" w:afterLines="50" w:line="300" w:lineRule="auto"/>
        <w:rPr>
          <w:rFonts w:ascii="Arial" w:hAnsi="Arial" w:eastAsia="宋体" w:cs="Arial"/>
        </w:rPr>
      </w:pPr>
    </w:p>
    <w:p w14:paraId="3F951F7E">
      <w:pPr>
        <w:snapToGrid w:val="0"/>
        <w:spacing w:after="120" w:afterLines="50" w:line="300" w:lineRule="auto"/>
        <w:rPr>
          <w:rFonts w:ascii="Arial" w:hAnsi="Arial" w:eastAsia="宋体" w:cs="Arial"/>
        </w:rPr>
      </w:pPr>
    </w:p>
    <w:p w14:paraId="1DDB25A7">
      <w:pPr>
        <w:pStyle w:val="39"/>
        <w:spacing w:after="120" w:afterLines="50" w:line="300" w:lineRule="auto"/>
        <w:ind w:right="23"/>
        <w:jc w:val="right"/>
        <w:rPr>
          <w:rFonts w:ascii="Arial" w:hAnsi="Arial" w:eastAsia="宋体" w:cs="Arial"/>
          <w:sz w:val="30"/>
          <w:szCs w:val="30"/>
        </w:rPr>
      </w:pPr>
      <w:r>
        <w:rPr>
          <w:rFonts w:ascii="Arial" w:hAnsi="Arial" w:eastAsia="宋体" w:cs="Arial"/>
          <w:sz w:val="30"/>
          <w:szCs w:val="30"/>
        </w:rPr>
        <w:drawing>
          <wp:anchor distT="0" distB="236220" distL="63500" distR="1432560" simplePos="0" relativeHeight="251659264" behindDoc="1" locked="0" layoutInCell="1" allowOverlap="1">
            <wp:simplePos x="0" y="0"/>
            <wp:positionH relativeFrom="margin">
              <wp:posOffset>504825</wp:posOffset>
            </wp:positionH>
            <wp:positionV relativeFrom="paragraph">
              <wp:posOffset>205740</wp:posOffset>
            </wp:positionV>
            <wp:extent cx="885825" cy="990600"/>
            <wp:effectExtent l="19050" t="0" r="9525" b="0"/>
            <wp:wrapTight wrapText="right">
              <wp:wrapPolygon>
                <wp:start x="-465" y="0"/>
                <wp:lineTo x="-465" y="21185"/>
                <wp:lineTo x="21832" y="21185"/>
                <wp:lineTo x="21832" y="0"/>
                <wp:lineTo x="-465" y="0"/>
              </wp:wrapPolygon>
            </wp:wrapTight>
            <wp:docPr id="1"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e1"/>
                    <pic:cNvPicPr>
                      <a:picLocks noChangeAspect="1" noChangeArrowheads="1"/>
                    </pic:cNvPicPr>
                  </pic:nvPicPr>
                  <pic:blipFill>
                    <a:blip r:embed="rId10" cstate="print"/>
                    <a:srcRect/>
                    <a:stretch>
                      <a:fillRect/>
                    </a:stretch>
                  </pic:blipFill>
                  <pic:spPr>
                    <a:xfrm>
                      <a:off x="0" y="0"/>
                      <a:ext cx="885825" cy="990600"/>
                    </a:xfrm>
                    <a:prstGeom prst="rect">
                      <a:avLst/>
                    </a:prstGeom>
                    <a:noFill/>
                  </pic:spPr>
                </pic:pic>
              </a:graphicData>
            </a:graphic>
          </wp:anchor>
        </w:drawing>
      </w:r>
    </w:p>
    <w:p w14:paraId="26499F61">
      <w:pPr>
        <w:pStyle w:val="39"/>
        <w:spacing w:after="120" w:afterLines="50" w:line="300" w:lineRule="auto"/>
        <w:ind w:right="23"/>
        <w:jc w:val="right"/>
        <w:rPr>
          <w:rFonts w:ascii="Arial" w:hAnsi="Arial" w:eastAsia="宋体" w:cs="Arial"/>
          <w:sz w:val="30"/>
          <w:szCs w:val="30"/>
        </w:rPr>
      </w:pPr>
    </w:p>
    <w:p w14:paraId="0624ADE7">
      <w:pPr>
        <w:pStyle w:val="39"/>
        <w:spacing w:after="120" w:afterLines="50" w:line="300" w:lineRule="auto"/>
        <w:ind w:right="23"/>
        <w:jc w:val="right"/>
        <w:rPr>
          <w:rFonts w:ascii="Arial" w:hAnsi="Arial" w:eastAsia="宋体" w:cs="Arial"/>
          <w:b/>
          <w:sz w:val="24"/>
          <w:szCs w:val="24"/>
        </w:rPr>
      </w:pPr>
      <w:r>
        <w:rPr>
          <w:rFonts w:ascii="Arial" w:hAnsi="Arial" w:eastAsia="宋体" w:cs="Arial"/>
          <w:b/>
          <w:sz w:val="24"/>
          <w:szCs w:val="24"/>
        </w:rPr>
        <w:t>美国卫生和人类服务署</w:t>
      </w:r>
    </w:p>
    <w:p w14:paraId="0E5285CB">
      <w:pPr>
        <w:pStyle w:val="39"/>
        <w:spacing w:after="120" w:afterLines="50" w:line="300" w:lineRule="auto"/>
        <w:ind w:right="23"/>
        <w:jc w:val="right"/>
        <w:rPr>
          <w:rFonts w:ascii="Arial" w:hAnsi="Arial" w:eastAsia="宋体" w:cs="Arial"/>
          <w:b/>
          <w:sz w:val="24"/>
          <w:szCs w:val="24"/>
        </w:rPr>
      </w:pPr>
      <w:r>
        <w:rPr>
          <w:rFonts w:ascii="Arial" w:hAnsi="Arial" w:eastAsia="宋体" w:cs="Arial"/>
          <w:b/>
          <w:sz w:val="24"/>
          <w:szCs w:val="24"/>
        </w:rPr>
        <w:t>食品药品监督管理局</w:t>
      </w:r>
    </w:p>
    <w:p w14:paraId="6281D530">
      <w:pPr>
        <w:pStyle w:val="39"/>
        <w:shd w:val="clear" w:color="auto" w:fill="auto"/>
        <w:spacing w:after="120" w:afterLines="50" w:line="300" w:lineRule="auto"/>
        <w:ind w:right="23"/>
        <w:jc w:val="right"/>
        <w:rPr>
          <w:rFonts w:ascii="Arial" w:hAnsi="Arial" w:eastAsia="宋体" w:cs="Arial"/>
          <w:b/>
          <w:sz w:val="24"/>
          <w:szCs w:val="24"/>
        </w:rPr>
      </w:pPr>
      <w:r>
        <w:rPr>
          <w:rFonts w:ascii="Arial" w:hAnsi="Arial" w:eastAsia="宋体" w:cs="Arial"/>
          <w:b/>
          <w:sz w:val="24"/>
          <w:szCs w:val="24"/>
        </w:rPr>
        <w:t>器械和放射卫生中心</w:t>
      </w:r>
    </w:p>
    <w:p w14:paraId="6816F471">
      <w:pPr>
        <w:snapToGrid w:val="0"/>
        <w:spacing w:after="120" w:afterLines="50" w:line="300" w:lineRule="auto"/>
        <w:jc w:val="right"/>
        <w:rPr>
          <w:rFonts w:ascii="Arial" w:hAnsi="Arial" w:eastAsia="宋体" w:cs="Arial"/>
          <w:b/>
          <w:szCs w:val="24"/>
        </w:rPr>
      </w:pPr>
      <w:r>
        <w:rPr>
          <w:rFonts w:ascii="Arial" w:hAnsi="Arial" w:eastAsia="宋体" w:cs="Arial"/>
          <w:b/>
          <w:szCs w:val="24"/>
        </w:rPr>
        <w:t>卫生和行业项目办公室</w:t>
      </w:r>
    </w:p>
    <w:p w14:paraId="09C66099">
      <w:pPr>
        <w:snapToGrid w:val="0"/>
        <w:spacing w:after="120" w:afterLines="50" w:line="300" w:lineRule="auto"/>
        <w:jc w:val="right"/>
        <w:rPr>
          <w:rFonts w:ascii="Arial" w:hAnsi="Arial" w:eastAsia="宋体" w:cs="Arial"/>
          <w:b/>
          <w:szCs w:val="24"/>
        </w:rPr>
        <w:sectPr>
          <w:headerReference r:id="rId5" w:type="default"/>
          <w:type w:val="continuous"/>
          <w:pgSz w:w="12240" w:h="15840"/>
          <w:pgMar w:top="1440" w:right="1800" w:bottom="1440" w:left="1800" w:header="0" w:footer="3" w:gutter="0"/>
          <w:pgNumType w:start="1"/>
          <w:cols w:space="720" w:num="1"/>
          <w:docGrid w:linePitch="360" w:charSpace="0"/>
        </w:sectPr>
      </w:pPr>
      <w:r>
        <w:rPr>
          <w:rFonts w:ascii="Arial" w:hAnsi="Arial" w:eastAsia="宋体" w:cs="Arial"/>
          <w:b/>
          <w:szCs w:val="24"/>
        </w:rPr>
        <w:t>器械用户程序和系统分析部</w:t>
      </w:r>
    </w:p>
    <w:p w14:paraId="3673FCC9">
      <w:pPr>
        <w:snapToGrid w:val="0"/>
        <w:spacing w:after="120" w:afterLines="50" w:line="300" w:lineRule="auto"/>
        <w:jc w:val="center"/>
        <w:rPr>
          <w:rFonts w:ascii="Arial" w:hAnsi="Arial" w:eastAsia="宋体" w:cs="Arial"/>
          <w:b/>
          <w:sz w:val="50"/>
          <w:szCs w:val="50"/>
        </w:rPr>
      </w:pPr>
      <w:r>
        <w:rPr>
          <w:rFonts w:ascii="Arial" w:hAnsi="Arial" w:eastAsia="宋体" w:cs="Arial"/>
          <w:b/>
          <w:sz w:val="50"/>
          <w:szCs w:val="50"/>
        </w:rPr>
        <w:t>前言</w:t>
      </w:r>
    </w:p>
    <w:p w14:paraId="154B13F2">
      <w:pPr>
        <w:snapToGrid w:val="0"/>
        <w:spacing w:after="120" w:afterLines="50" w:line="300" w:lineRule="auto"/>
        <w:rPr>
          <w:rFonts w:ascii="Arial" w:hAnsi="Arial" w:eastAsia="宋体" w:cs="Arial"/>
          <w:b/>
          <w:sz w:val="32"/>
          <w:szCs w:val="32"/>
        </w:rPr>
      </w:pPr>
      <w:r>
        <w:rPr>
          <w:rFonts w:ascii="Arial" w:hAnsi="Arial" w:eastAsia="宋体" w:cs="Arial"/>
          <w:b/>
          <w:sz w:val="32"/>
          <w:szCs w:val="32"/>
        </w:rPr>
        <w:t>公共评论</w:t>
      </w:r>
    </w:p>
    <w:p w14:paraId="016A4FF2">
      <w:pPr>
        <w:snapToGrid w:val="0"/>
        <w:spacing w:after="120" w:afterLines="50" w:line="300" w:lineRule="auto"/>
        <w:jc w:val="both"/>
        <w:rPr>
          <w:rFonts w:ascii="Arial" w:hAnsi="Arial" w:eastAsia="宋体" w:cs="Arial"/>
          <w:szCs w:val="24"/>
        </w:rPr>
      </w:pPr>
      <w:r>
        <w:rPr>
          <w:rFonts w:ascii="Arial" w:hAnsi="Arial" w:eastAsia="宋体" w:cs="Arial"/>
        </w:rPr>
        <w:t>为便于本机构收集评论和建议，书面评论和建议可以随时提交至食品药品监督管理局，人力资源和管理服务办公室，管理系统和政策司，案卷管理科（5630 Fishers Lane，ROOM 1061（HFA-305），Rockville，MD，20852）。</w:t>
      </w:r>
      <w:r>
        <w:rPr>
          <w:rFonts w:ascii="Arial" w:hAnsi="Arial" w:eastAsia="宋体" w:cs="Arial"/>
          <w:szCs w:val="24"/>
        </w:rPr>
        <w:t>提交评论时请参考本指导性文件的确切标题</w:t>
      </w:r>
      <w:r>
        <w:rPr>
          <w:rFonts w:ascii="Arial" w:hAnsi="Arial" w:eastAsia="宋体" w:cs="Arial"/>
          <w:color w:val="000000"/>
          <w:szCs w:val="24"/>
        </w:rPr>
        <w:t>。</w:t>
      </w:r>
      <w:r>
        <w:rPr>
          <w:rFonts w:ascii="Arial" w:hAnsi="Arial" w:eastAsia="宋体" w:cs="Arial"/>
        </w:rPr>
        <w:t>再次进行文件修订或更新之前，本机构可能不会针对评论采取行动。</w:t>
      </w:r>
    </w:p>
    <w:p w14:paraId="76A7B494">
      <w:pPr>
        <w:snapToGrid w:val="0"/>
        <w:spacing w:after="120" w:afterLines="50" w:line="300" w:lineRule="auto"/>
        <w:jc w:val="both"/>
        <w:rPr>
          <w:rFonts w:ascii="Arial" w:hAnsi="Arial" w:eastAsia="宋体" w:cs="Arial"/>
          <w:b/>
          <w:sz w:val="32"/>
          <w:szCs w:val="32"/>
        </w:rPr>
      </w:pPr>
      <w:r>
        <w:rPr>
          <w:rFonts w:ascii="Arial" w:hAnsi="Arial" w:eastAsia="宋体" w:cs="Arial"/>
          <w:b/>
          <w:sz w:val="32"/>
          <w:szCs w:val="32"/>
        </w:rPr>
        <w:t>其他副本</w:t>
      </w:r>
    </w:p>
    <w:p w14:paraId="075DCAF1">
      <w:pPr>
        <w:adjustRightInd w:val="0"/>
        <w:snapToGrid w:val="0"/>
        <w:spacing w:after="120" w:afterLines="50" w:line="300" w:lineRule="auto"/>
        <w:jc w:val="both"/>
        <w:rPr>
          <w:rFonts w:ascii="Arial" w:hAnsi="Arial" w:eastAsia="宋体" w:cs="Arial"/>
          <w:color w:val="000000" w:themeColor="text1"/>
          <w14:textFill>
            <w14:solidFill>
              <w14:schemeClr w14:val="tx1"/>
            </w14:solidFill>
          </w14:textFill>
        </w:rPr>
        <w:sectPr>
          <w:footerReference r:id="rId6" w:type="default"/>
          <w:pgSz w:w="12240" w:h="15840"/>
          <w:pgMar w:top="1440" w:right="1800" w:bottom="1440" w:left="1800" w:header="0" w:footer="720" w:gutter="0"/>
          <w:pgNumType w:fmt="lowerRoman" w:start="1"/>
          <w:cols w:space="720" w:num="1"/>
          <w:docGrid w:linePitch="360" w:charSpace="0"/>
        </w:sectPr>
      </w:pPr>
      <w:r>
        <w:rPr>
          <w:rFonts w:ascii="Arial" w:hAnsi="Arial" w:eastAsia="宋体" w:cs="Arial"/>
          <w:color w:val="000000" w:themeColor="text1"/>
          <w:szCs w:val="24"/>
          <w14:textFill>
            <w14:solidFill>
              <w14:schemeClr w14:val="tx1"/>
            </w14:solidFill>
          </w14:textFill>
        </w:rPr>
        <w:t>其他副本可从互联网获得</w:t>
      </w:r>
      <w:r>
        <w:fldChar w:fldCharType="begin"/>
      </w:r>
      <w:r>
        <w:instrText xml:space="preserve"> HYPERLINK "http://www.fda.gov/cdrh/ohip/guidance/1333.pdf" </w:instrText>
      </w:r>
      <w:r>
        <w:fldChar w:fldCharType="separate"/>
      </w:r>
      <w:r>
        <w:rPr>
          <w:rStyle w:val="19"/>
          <w:rFonts w:ascii="Arial" w:hAnsi="Arial" w:eastAsia="宋体" w:cs="Arial"/>
          <w:color w:val="000000" w:themeColor="text1"/>
          <w:u w:val="none"/>
          <w14:textFill>
            <w14:solidFill>
              <w14:schemeClr w14:val="tx1"/>
            </w14:solidFill>
          </w14:textFill>
        </w:rPr>
        <w:t>http://www.fda.gov/cdrh/ohip/guidance/1333.pdf</w:t>
      </w:r>
      <w:r>
        <w:rPr>
          <w:rStyle w:val="19"/>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szCs w:val="24"/>
          <w14:textFill>
            <w14:solidFill>
              <w14:schemeClr w14:val="tx1"/>
            </w14:solidFill>
          </w14:textFill>
        </w:rPr>
        <w:t>。</w:t>
      </w:r>
      <w:r>
        <w:rPr>
          <w:rFonts w:ascii="Arial" w:hAnsi="Arial" w:eastAsia="宋体" w:cs="Arial"/>
          <w:color w:val="000000" w:themeColor="text1"/>
          <w14:textFill>
            <w14:solidFill>
              <w14:schemeClr w14:val="tx1"/>
            </w14:solidFill>
          </w14:textFill>
        </w:rPr>
        <w:t>您还可以向dsmica@fda.hhs.gov 发送电子邮件请求以接收本指南的电子副本，或向301-847-8149发送传真请求以接收副本。请使用文件编号（1333）来注明您所要求获得的指南。</w:t>
      </w:r>
    </w:p>
    <w:p w14:paraId="1FAD0D7D">
      <w:pPr>
        <w:adjustRightInd w:val="0"/>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第三方和医院的再处理者对一次性使用器械的</w:t>
      </w:r>
      <w:r>
        <w:rPr>
          <w:rFonts w:hint="eastAsia" w:ascii="Arial" w:hAnsi="Arial" w:eastAsia="宋体" w:cs="Arial"/>
          <w:b/>
          <w:sz w:val="30"/>
          <w:szCs w:val="30"/>
        </w:rPr>
        <w:br w:type="textWrapping"/>
      </w:r>
      <w:r>
        <w:rPr>
          <w:rFonts w:ascii="Arial" w:hAnsi="Arial" w:eastAsia="宋体" w:cs="Arial"/>
          <w:b/>
          <w:sz w:val="30"/>
          <w:szCs w:val="30"/>
        </w:rPr>
        <w:t>再处理和再利用的常见问题；</w:t>
      </w:r>
    </w:p>
    <w:p w14:paraId="798F05E7">
      <w:pPr>
        <w:adjustRightInd w:val="0"/>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行业及FDA工作人员的最终指南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7F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9048" w:type="dxa"/>
          </w:tcPr>
          <w:p w14:paraId="77C590F5">
            <w:pPr>
              <w:snapToGrid w:val="0"/>
              <w:spacing w:before="163" w:beforeLines="50" w:after="163" w:afterLines="50" w:line="300" w:lineRule="auto"/>
              <w:jc w:val="both"/>
              <w:rPr>
                <w:rFonts w:ascii="Arial" w:hAnsi="Arial" w:eastAsia="宋体" w:cs="Arial"/>
                <w:i/>
                <w:szCs w:val="22"/>
              </w:rPr>
            </w:pPr>
            <w:r>
              <w:rPr>
                <w:rFonts w:ascii="Arial" w:hAnsi="Arial" w:eastAsia="宋体" w:cs="Arial"/>
                <w:i/>
                <w:szCs w:val="22"/>
              </w:rPr>
              <w:t>本指南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732592EB">
      <w:pPr>
        <w:snapToGrid w:val="0"/>
        <w:spacing w:after="163" w:afterLines="50" w:line="300" w:lineRule="auto"/>
        <w:jc w:val="both"/>
        <w:rPr>
          <w:rFonts w:ascii="Arial" w:hAnsi="Arial" w:eastAsia="宋体" w:cs="Arial"/>
          <w:b/>
          <w:sz w:val="30"/>
          <w:szCs w:val="30"/>
        </w:rPr>
      </w:pPr>
    </w:p>
    <w:p w14:paraId="22C6F8B2">
      <w:pPr>
        <w:snapToGrid w:val="0"/>
        <w:spacing w:after="163" w:afterLines="50" w:line="300" w:lineRule="auto"/>
        <w:jc w:val="both"/>
        <w:rPr>
          <w:rFonts w:ascii="Arial" w:hAnsi="Arial" w:eastAsia="宋体" w:cs="Arial"/>
          <w:b/>
          <w:sz w:val="30"/>
          <w:szCs w:val="30"/>
        </w:rPr>
      </w:pPr>
      <w:r>
        <w:rPr>
          <w:rFonts w:ascii="Arial" w:hAnsi="Arial" w:eastAsia="宋体" w:cs="Arial"/>
          <w:b/>
          <w:sz w:val="30"/>
          <w:szCs w:val="30"/>
        </w:rPr>
        <w:t>背景</w:t>
      </w:r>
    </w:p>
    <w:p w14:paraId="3245222A">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2000年8月14日，食品药品监督管理局发布了标题为</w:t>
      </w:r>
      <w:r>
        <w:rPr>
          <w:rFonts w:ascii="宋体" w:hAnsi="宋体" w:eastAsia="宋体" w:cs="Arial"/>
          <w:sz w:val="24"/>
          <w:szCs w:val="24"/>
        </w:rPr>
        <w:t>“</w:t>
      </w:r>
      <w:r>
        <w:rPr>
          <w:rFonts w:ascii="Arial" w:hAnsi="Arial" w:eastAsia="宋体" w:cs="Arial"/>
          <w:sz w:val="24"/>
          <w:szCs w:val="24"/>
        </w:rPr>
        <w:t>由第三方和医院进行再处理的一次性使用器械的执法重点</w:t>
      </w:r>
      <w:r>
        <w:rPr>
          <w:rFonts w:ascii="宋体" w:hAnsi="宋体" w:eastAsia="宋体" w:cs="Arial"/>
          <w:sz w:val="24"/>
          <w:szCs w:val="24"/>
        </w:rPr>
        <w:t>”</w:t>
      </w:r>
      <w:r>
        <w:rPr>
          <w:rFonts w:ascii="Arial" w:hAnsi="Arial" w:eastAsia="宋体" w:cs="Arial"/>
          <w:sz w:val="24"/>
          <w:szCs w:val="24"/>
        </w:rPr>
        <w:t>的文件，与制造商在对标识为一次性使用的器械进行再处理时需遵循</w:t>
      </w:r>
      <w:r>
        <w:rPr>
          <w:rFonts w:ascii="宋体" w:hAnsi="宋体" w:eastAsia="宋体" w:cs="Arial"/>
          <w:sz w:val="24"/>
          <w:szCs w:val="24"/>
        </w:rPr>
        <w:t>“</w:t>
      </w:r>
      <w:r>
        <w:rPr>
          <w:rFonts w:ascii="Arial" w:hAnsi="Arial" w:eastAsia="宋体" w:cs="Arial"/>
          <w:sz w:val="24"/>
          <w:szCs w:val="24"/>
        </w:rPr>
        <w:t>联邦食品、药品和化妆品法案</w:t>
      </w:r>
      <w:r>
        <w:rPr>
          <w:rFonts w:ascii="宋体" w:hAnsi="宋体" w:eastAsia="宋体" w:cs="Arial"/>
          <w:sz w:val="24"/>
          <w:szCs w:val="24"/>
        </w:rPr>
        <w:t>”</w:t>
      </w:r>
      <w:r>
        <w:rPr>
          <w:rFonts w:ascii="Arial" w:hAnsi="Arial" w:eastAsia="宋体" w:cs="Arial"/>
          <w:sz w:val="24"/>
          <w:szCs w:val="24"/>
        </w:rPr>
        <w:t>（该法案）一样，该文件为第三方和医院再处理者的责任提供了指导，并根据1990年</w:t>
      </w:r>
      <w:r>
        <w:rPr>
          <w:rFonts w:ascii="宋体" w:hAnsi="宋体" w:eastAsia="宋体" w:cs="Arial"/>
          <w:sz w:val="24"/>
          <w:szCs w:val="24"/>
        </w:rPr>
        <w:t>“</w:t>
      </w:r>
      <w:r>
        <w:rPr>
          <w:rFonts w:ascii="Arial" w:hAnsi="Arial" w:eastAsia="宋体" w:cs="Arial"/>
          <w:sz w:val="24"/>
          <w:szCs w:val="24"/>
        </w:rPr>
        <w:t>安全医疗器械法案</w:t>
      </w:r>
      <w:r>
        <w:rPr>
          <w:rFonts w:ascii="宋体" w:hAnsi="宋体" w:eastAsia="宋体" w:cs="Arial"/>
          <w:sz w:val="24"/>
          <w:szCs w:val="24"/>
        </w:rPr>
        <w:t>”</w:t>
      </w:r>
      <w:r>
        <w:rPr>
          <w:rFonts w:ascii="Arial" w:hAnsi="Arial" w:eastAsia="宋体" w:cs="Arial"/>
          <w:sz w:val="24"/>
          <w:szCs w:val="24"/>
        </w:rPr>
        <w:t xml:space="preserve"> 、1992年 </w:t>
      </w:r>
      <w:r>
        <w:rPr>
          <w:rFonts w:ascii="宋体" w:hAnsi="宋体" w:eastAsia="宋体" w:cs="Arial"/>
          <w:sz w:val="24"/>
          <w:szCs w:val="24"/>
        </w:rPr>
        <w:t>“</w:t>
      </w:r>
      <w:r>
        <w:rPr>
          <w:rFonts w:ascii="Arial" w:hAnsi="Arial" w:eastAsia="宋体" w:cs="Arial"/>
          <w:sz w:val="24"/>
          <w:szCs w:val="24"/>
        </w:rPr>
        <w:t>医疗器械修正案</w:t>
      </w:r>
      <w:r>
        <w:rPr>
          <w:rFonts w:ascii="宋体" w:hAnsi="宋体" w:eastAsia="宋体" w:cs="Arial"/>
          <w:sz w:val="24"/>
          <w:szCs w:val="24"/>
        </w:rPr>
        <w:t>”</w:t>
      </w:r>
      <w:r>
        <w:rPr>
          <w:rFonts w:ascii="Arial" w:hAnsi="Arial" w:eastAsia="宋体" w:cs="Arial"/>
          <w:sz w:val="24"/>
          <w:szCs w:val="24"/>
        </w:rPr>
        <w:t>、1997年</w:t>
      </w:r>
      <w:r>
        <w:rPr>
          <w:rFonts w:ascii="宋体" w:hAnsi="宋体" w:eastAsia="宋体" w:cs="Arial"/>
          <w:sz w:val="24"/>
          <w:szCs w:val="24"/>
        </w:rPr>
        <w:t>“</w:t>
      </w:r>
      <w:r>
        <w:rPr>
          <w:rFonts w:ascii="Arial" w:hAnsi="Arial" w:eastAsia="宋体" w:cs="Arial"/>
          <w:sz w:val="24"/>
          <w:szCs w:val="24"/>
        </w:rPr>
        <w:t>食品和药品现代化法案</w:t>
      </w:r>
      <w:r>
        <w:rPr>
          <w:rFonts w:ascii="宋体" w:hAnsi="宋体" w:eastAsia="宋体" w:cs="Arial"/>
          <w:sz w:val="24"/>
          <w:szCs w:val="24"/>
        </w:rPr>
        <w:t>”</w:t>
      </w:r>
      <w:r>
        <w:rPr>
          <w:rFonts w:ascii="Arial" w:hAnsi="Arial" w:eastAsia="宋体" w:cs="Arial"/>
          <w:sz w:val="24"/>
          <w:szCs w:val="24"/>
        </w:rPr>
        <w:t>进行了修订。一次性使用器械（SUD）的第三方和医院的再处理者必须遵循当前适用于原器械制造商的所有监管要求，包括上市前提交的要求（该法案第513和515节；21联邦法规第807和814部分）。</w:t>
      </w:r>
    </w:p>
    <w:p w14:paraId="3E82A0E1">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自2000年8月14日发布以来，本机构已经收到了诸多有关执法重点指南的问题，以下的问题和答案即是对原始文件的澄清，该指南将根据需要进行更新。</w:t>
      </w:r>
    </w:p>
    <w:p w14:paraId="3D289E5D">
      <w:pPr>
        <w:snapToGrid w:val="0"/>
        <w:spacing w:after="163" w:afterLines="50" w:line="300" w:lineRule="auto"/>
        <w:jc w:val="both"/>
        <w:rPr>
          <w:rFonts w:ascii="Arial" w:hAnsi="Arial" w:eastAsia="宋体" w:cs="Arial"/>
          <w:b/>
          <w:sz w:val="30"/>
          <w:szCs w:val="30"/>
        </w:rPr>
      </w:pPr>
      <w:r>
        <w:rPr>
          <w:rFonts w:ascii="Arial" w:hAnsi="Arial" w:eastAsia="宋体" w:cs="Arial"/>
          <w:b/>
          <w:sz w:val="30"/>
          <w:szCs w:val="30"/>
        </w:rPr>
        <w:t>最小负担手段原则</w:t>
      </w:r>
    </w:p>
    <w:p w14:paraId="6F7AB583">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我们认为FDA应考虑医疗器械监管的所有领域的</w:t>
      </w:r>
      <w:r>
        <w:rPr>
          <w:rFonts w:hint="eastAsia" w:ascii="Arial" w:hAnsi="Arial" w:eastAsia="宋体" w:cs="Arial"/>
          <w:sz w:val="24"/>
          <w:szCs w:val="24"/>
        </w:rPr>
        <w:t>最小负担手段原则</w:t>
      </w:r>
      <w:r>
        <w:rPr>
          <w:rFonts w:ascii="Arial" w:hAnsi="Arial" w:eastAsia="宋体" w:cs="Arial"/>
          <w:sz w:val="24"/>
          <w:szCs w:val="24"/>
        </w:rPr>
        <w:t>。本指南反映了我们对相关科学和法律要求的仔细检查，是我们认为对您遵守这些要求的最小负担手段原则。然而，如果您认为如果您认为有一种替代方法的负担更小，请与我们联系，以便我们能考虑您的观点。您可以将您的书面评论发送到本指南序言中列出的联系人或CDRH监察专员。关于CDRH监察专员的综合信息，包括与他联系的方式，可从互联网获得</w:t>
      </w:r>
      <w:r>
        <w:fldChar w:fldCharType="begin"/>
      </w:r>
      <w:r>
        <w:instrText xml:space="preserve"> HYPERLINK "http://www.fda.gov/cdrh/ombudsman/" </w:instrText>
      </w:r>
      <w:r>
        <w:fldChar w:fldCharType="separate"/>
      </w:r>
      <w:r>
        <w:rPr>
          <w:rStyle w:val="19"/>
          <w:rFonts w:ascii="Arial" w:hAnsi="Arial" w:eastAsia="宋体" w:cs="Arial"/>
          <w:color w:val="0000FF"/>
          <w:sz w:val="24"/>
          <w:szCs w:val="24"/>
        </w:rPr>
        <w:t>http://www.fda.gov/cdrh/ombudsman/</w:t>
      </w:r>
      <w:r>
        <w:rPr>
          <w:rStyle w:val="19"/>
          <w:rFonts w:ascii="Arial" w:hAnsi="Arial" w:eastAsia="宋体" w:cs="Arial"/>
          <w:color w:val="0000FF"/>
          <w:sz w:val="24"/>
          <w:szCs w:val="24"/>
        </w:rPr>
        <w:fldChar w:fldCharType="end"/>
      </w:r>
      <w:r>
        <w:rPr>
          <w:rFonts w:ascii="Arial" w:hAnsi="Arial" w:eastAsia="宋体" w:cs="Arial"/>
          <w:sz w:val="24"/>
          <w:szCs w:val="24"/>
        </w:rPr>
        <w:t>。</w:t>
      </w:r>
    </w:p>
    <w:p w14:paraId="10AD7283">
      <w:pPr>
        <w:spacing w:after="0" w:line="240" w:lineRule="auto"/>
        <w:rPr>
          <w:rFonts w:ascii="Arial" w:hAnsi="Arial" w:eastAsia="宋体" w:cs="Arial"/>
          <w:b/>
          <w:sz w:val="30"/>
          <w:szCs w:val="30"/>
        </w:rPr>
      </w:pPr>
      <w:r>
        <w:rPr>
          <w:rFonts w:ascii="Arial" w:hAnsi="Arial" w:eastAsia="宋体" w:cs="Arial"/>
          <w:b/>
          <w:sz w:val="30"/>
          <w:szCs w:val="30"/>
        </w:rPr>
        <w:br w:type="page"/>
      </w:r>
    </w:p>
    <w:p w14:paraId="188A49C2">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与选择第三方再处理者有关的问题</w:t>
      </w:r>
    </w:p>
    <w:p w14:paraId="7EC6BCFF">
      <w:pPr>
        <w:pStyle w:val="43"/>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i w:val="0"/>
          <w:sz w:val="24"/>
          <w:szCs w:val="24"/>
        </w:rPr>
        <w:t>问：</w:t>
      </w:r>
      <w:r>
        <w:rPr>
          <w:rFonts w:ascii="Arial" w:hAnsi="Arial" w:eastAsia="宋体" w:cs="Arial"/>
          <w:b w:val="0"/>
          <w:sz w:val="24"/>
          <w:szCs w:val="24"/>
        </w:rPr>
        <w:t>如何获取关于一次性使用器械（SUD）第三方再处理者的信息？</w:t>
      </w:r>
    </w:p>
    <w:p w14:paraId="3001C91F">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目前，FDA无法提供再处理者清单，因为我们的注册和上市数据库并非为了确定第三方再处理者而设计， 我们计划创建一个特定的代码来识别再处理者。</w:t>
      </w:r>
    </w:p>
    <w:p w14:paraId="65595A15">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为了帮助您选择第三方再处理者，我们建议您与其他医院进行交流，以确定他们与第三方再处理者的合作经验，并安排参观再处理者的设施。此外，您可以考虑向潜在的再处理者询问以下问题：</w:t>
      </w:r>
    </w:p>
    <w:p w14:paraId="7A3BE5C8">
      <w:pPr>
        <w:pStyle w:val="41"/>
        <w:numPr>
          <w:ilvl w:val="0"/>
          <w:numId w:val="2"/>
        </w:numPr>
        <w:shd w:val="clear" w:color="auto" w:fill="auto"/>
        <w:tabs>
          <w:tab w:val="left" w:pos="426"/>
        </w:tabs>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FDA上次检查您的设施是在什么时候？检查的结果是什么？</w:t>
      </w:r>
    </w:p>
    <w:p w14:paraId="23F01285">
      <w:pPr>
        <w:pStyle w:val="41"/>
        <w:numPr>
          <w:ilvl w:val="0"/>
          <w:numId w:val="2"/>
        </w:numPr>
        <w:shd w:val="clear" w:color="auto" w:fill="auto"/>
        <w:tabs>
          <w:tab w:val="left" w:pos="426"/>
        </w:tabs>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是否有文件证明FDA已许可/批准您的公司进行SUD的再处理？</w:t>
      </w:r>
    </w:p>
    <w:p w14:paraId="517E4EAF">
      <w:pPr>
        <w:pStyle w:val="41"/>
        <w:numPr>
          <w:ilvl w:val="0"/>
          <w:numId w:val="2"/>
        </w:numPr>
        <w:shd w:val="clear" w:color="auto" w:fill="auto"/>
        <w:tabs>
          <w:tab w:val="left" w:pos="426"/>
        </w:tabs>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为遵守FDA的质量体系规章，您如何监控制造工艺？保存了什么记录？</w:t>
      </w:r>
    </w:p>
    <w:p w14:paraId="21B41D89">
      <w:pPr>
        <w:pStyle w:val="41"/>
        <w:numPr>
          <w:ilvl w:val="0"/>
          <w:numId w:val="2"/>
        </w:numPr>
        <w:shd w:val="clear" w:color="auto" w:fill="auto"/>
        <w:tabs>
          <w:tab w:val="left" w:pos="426"/>
        </w:tabs>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您整个流程的哪些方面已经得到验证，例如清洁、包装、灭菌？</w:t>
      </w:r>
    </w:p>
    <w:p w14:paraId="5F1D6D5C">
      <w:pPr>
        <w:pStyle w:val="41"/>
        <w:numPr>
          <w:ilvl w:val="0"/>
          <w:numId w:val="2"/>
        </w:numPr>
        <w:shd w:val="clear" w:color="auto" w:fill="auto"/>
        <w:tabs>
          <w:tab w:val="left" w:pos="426"/>
        </w:tabs>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您公司是否设定了对SUD可以再处理的次数限制？如果是，您是如何确定SUD可以再处理的次数？有什么程序来确保SUD的再处理不会超出设定的次数？</w:t>
      </w:r>
    </w:p>
    <w:p w14:paraId="7877BD95">
      <w:pPr>
        <w:pStyle w:val="41"/>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要获得再处理者最新的FDA 检查的483检查报告，请通过传真301-443-1719或301-443-1726联系FDA的信息自由工作人员。您还可以在</w:t>
      </w:r>
      <w:r>
        <w:fldChar w:fldCharType="begin"/>
      </w:r>
      <w:r>
        <w:instrText xml:space="preserve"> HYPERLINK "http://www.fda.gov/cdrh/foicdrh.html." </w:instrText>
      </w:r>
      <w:r>
        <w:fldChar w:fldCharType="separate"/>
      </w:r>
      <w:r>
        <w:rPr>
          <w:rStyle w:val="19"/>
          <w:rFonts w:ascii="Arial" w:hAnsi="Arial" w:eastAsia="宋体" w:cs="Arial"/>
          <w:color w:val="0000FF"/>
          <w:sz w:val="24"/>
          <w:szCs w:val="24"/>
        </w:rPr>
        <w:t>http://www.fda.gov/cdrh/foicdrh.html</w:t>
      </w:r>
      <w:r>
        <w:rPr>
          <w:rStyle w:val="19"/>
          <w:rFonts w:ascii="Arial" w:hAnsi="Arial" w:eastAsia="宋体" w:cs="Arial"/>
          <w:sz w:val="24"/>
          <w:szCs w:val="24"/>
          <w:u w:val="none"/>
        </w:rPr>
        <w:t>.</w:t>
      </w:r>
      <w:r>
        <w:rPr>
          <w:rStyle w:val="19"/>
          <w:rFonts w:ascii="Arial" w:hAnsi="Arial" w:eastAsia="宋体" w:cs="Arial"/>
          <w:sz w:val="24"/>
          <w:szCs w:val="24"/>
          <w:u w:val="none"/>
        </w:rPr>
        <w:fldChar w:fldCharType="end"/>
      </w:r>
      <w:r>
        <w:rPr>
          <w:rFonts w:ascii="Arial" w:hAnsi="Arial" w:eastAsia="宋体" w:cs="Arial"/>
          <w:sz w:val="24"/>
          <w:szCs w:val="24"/>
        </w:rPr>
        <w:t>获取关于再处理者检查历史的信息。</w:t>
      </w:r>
    </w:p>
    <w:p w14:paraId="05BE5A55">
      <w:pPr>
        <w:snapToGrid w:val="0"/>
        <w:spacing w:after="163" w:afterLines="50" w:line="300" w:lineRule="auto"/>
        <w:jc w:val="both"/>
        <w:rPr>
          <w:rFonts w:ascii="Arial" w:hAnsi="Arial" w:eastAsia="宋体" w:cs="Arial"/>
        </w:rPr>
      </w:pPr>
    </w:p>
    <w:p w14:paraId="0CC9DA6A">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与医疗器械报告有关的问题</w:t>
      </w:r>
    </w:p>
    <w:p w14:paraId="19DE42E3">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FDA对于由医院重新处理的SUD的不良事件报告要求是什么？</w:t>
      </w:r>
    </w:p>
    <w:p w14:paraId="58C9DAFC">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答：如果医院对以前作为一次性使用器械上市的器械进行再处理，FDA将该医院视为该器械的制造商，需与原始器械制造商或商业性再处理者一样，遵守同样的不良事件报告要求（医疗器械报告或</w:t>
      </w:r>
      <w:r>
        <w:rPr>
          <w:rFonts w:ascii="宋体" w:hAnsi="宋体" w:eastAsia="宋体" w:cs="Arial"/>
          <w:sz w:val="24"/>
          <w:szCs w:val="24"/>
        </w:rPr>
        <w:t>“</w:t>
      </w:r>
      <w:r>
        <w:rPr>
          <w:rFonts w:ascii="Arial" w:hAnsi="Arial" w:eastAsia="宋体" w:cs="Arial"/>
          <w:sz w:val="24"/>
          <w:szCs w:val="24"/>
        </w:rPr>
        <w:t>MDR</w:t>
      </w:r>
      <w:r>
        <w:rPr>
          <w:rFonts w:ascii="宋体" w:hAnsi="宋体" w:eastAsia="宋体" w:cs="Arial"/>
          <w:sz w:val="24"/>
          <w:szCs w:val="24"/>
        </w:rPr>
        <w:t>”</w:t>
      </w:r>
      <w:r>
        <w:rPr>
          <w:rFonts w:ascii="Arial" w:hAnsi="Arial" w:eastAsia="宋体" w:cs="Arial"/>
          <w:sz w:val="24"/>
          <w:szCs w:val="24"/>
        </w:rPr>
        <w:t>）。在</w:t>
      </w:r>
      <w:r>
        <w:rPr>
          <w:rFonts w:ascii="宋体" w:hAnsi="宋体" w:eastAsia="宋体" w:cs="Arial"/>
          <w:sz w:val="24"/>
          <w:szCs w:val="24"/>
        </w:rPr>
        <w:t>“</w:t>
      </w:r>
      <w:r>
        <w:rPr>
          <w:rFonts w:ascii="Arial" w:hAnsi="Arial" w:eastAsia="宋体" w:cs="Arial"/>
          <w:sz w:val="24"/>
          <w:szCs w:val="24"/>
        </w:rPr>
        <w:t>联邦法规</w:t>
      </w:r>
      <w:r>
        <w:rPr>
          <w:rFonts w:ascii="宋体" w:hAnsi="宋体" w:eastAsia="宋体" w:cs="Arial"/>
          <w:sz w:val="24"/>
          <w:szCs w:val="24"/>
        </w:rPr>
        <w:t>”</w:t>
      </w:r>
      <w:r>
        <w:rPr>
          <w:rFonts w:ascii="Arial" w:hAnsi="Arial" w:eastAsia="宋体" w:cs="Arial"/>
          <w:sz w:val="24"/>
          <w:szCs w:val="24"/>
        </w:rPr>
        <w:t>（CFR）第21篇第803.3（o）条中，将</w:t>
      </w:r>
      <w:r>
        <w:rPr>
          <w:rFonts w:ascii="宋体" w:hAnsi="宋体" w:eastAsia="宋体" w:cs="Arial"/>
          <w:sz w:val="24"/>
          <w:szCs w:val="24"/>
        </w:rPr>
        <w:t>“</w:t>
      </w:r>
      <w:r>
        <w:rPr>
          <w:rFonts w:ascii="Arial" w:hAnsi="Arial" w:eastAsia="宋体" w:cs="Arial"/>
          <w:sz w:val="24"/>
          <w:szCs w:val="24"/>
        </w:rPr>
        <w:t>制造商</w:t>
      </w:r>
      <w:r>
        <w:rPr>
          <w:rFonts w:ascii="宋体" w:hAnsi="宋体" w:eastAsia="宋体" w:cs="Arial"/>
          <w:sz w:val="24"/>
          <w:szCs w:val="24"/>
        </w:rPr>
        <w:t>”</w:t>
      </w:r>
      <w:r>
        <w:rPr>
          <w:rFonts w:ascii="Arial" w:hAnsi="Arial" w:eastAsia="宋体" w:cs="Arial"/>
          <w:sz w:val="24"/>
          <w:szCs w:val="24"/>
        </w:rPr>
        <w:t>定义为</w:t>
      </w:r>
      <w:r>
        <w:rPr>
          <w:rFonts w:ascii="宋体" w:hAnsi="宋体" w:eastAsia="宋体" w:cs="Arial"/>
          <w:sz w:val="24"/>
          <w:szCs w:val="24"/>
        </w:rPr>
        <w:t>“</w:t>
      </w:r>
      <w:r>
        <w:rPr>
          <w:rFonts w:ascii="Arial" w:hAnsi="Arial" w:eastAsia="宋体" w:cs="Arial"/>
          <w:sz w:val="24"/>
          <w:szCs w:val="24"/>
        </w:rPr>
        <w:t>通过化学、物理、生物或其他程序进行制造、制备、繁殖、混合、装配或加工某器械的任何人</w:t>
      </w:r>
      <w:r>
        <w:rPr>
          <w:rFonts w:ascii="宋体" w:hAnsi="宋体" w:eastAsia="宋体" w:cs="Arial"/>
          <w:sz w:val="24"/>
          <w:szCs w:val="24"/>
        </w:rPr>
        <w:t>”</w:t>
      </w:r>
      <w:r>
        <w:rPr>
          <w:rFonts w:ascii="Arial" w:hAnsi="Arial" w:eastAsia="宋体" w:cs="Arial"/>
          <w:sz w:val="24"/>
          <w:szCs w:val="24"/>
        </w:rPr>
        <w:t>。对于制造商的MDR要求是对医院的当前用户设施的不良事件报告要求的</w:t>
      </w:r>
      <w:r>
        <w:rPr>
          <w:rFonts w:ascii="Arial" w:hAnsi="Arial" w:eastAsia="宋体" w:cs="Arial"/>
          <w:sz w:val="24"/>
          <w:szCs w:val="24"/>
          <w:u w:val="single"/>
        </w:rPr>
        <w:t>补充</w:t>
      </w:r>
      <w:r>
        <w:rPr>
          <w:rFonts w:ascii="Arial" w:hAnsi="Arial" w:eastAsia="宋体" w:cs="Arial"/>
          <w:sz w:val="24"/>
          <w:szCs w:val="24"/>
        </w:rPr>
        <w:t>。</w:t>
      </w:r>
    </w:p>
    <w:p w14:paraId="11A12567">
      <w:pPr>
        <w:pStyle w:val="41"/>
        <w:shd w:val="clear" w:color="auto" w:fill="auto"/>
        <w:adjustRightInd w:val="0"/>
        <w:snapToGrid w:val="0"/>
        <w:spacing w:before="0" w:after="163" w:afterLines="50" w:line="300" w:lineRule="auto"/>
        <w:jc w:val="both"/>
        <w:rPr>
          <w:rFonts w:ascii="Arial" w:hAnsi="Arial" w:eastAsia="宋体" w:cs="Arial"/>
          <w:b/>
          <w:sz w:val="30"/>
          <w:szCs w:val="30"/>
        </w:rPr>
      </w:pPr>
      <w:r>
        <w:rPr>
          <w:rFonts w:ascii="Arial" w:hAnsi="Arial" w:eastAsia="宋体" w:cs="Arial"/>
          <w:sz w:val="24"/>
          <w:szCs w:val="24"/>
        </w:rPr>
        <w:t>有关MDR要求的信息可从互联网获得</w:t>
      </w:r>
      <w:r>
        <w:fldChar w:fldCharType="begin"/>
      </w:r>
      <w:r>
        <w:instrText xml:space="preserve"> HYPERLINK "http://www.fda.gov/cdrh/mdr.html" </w:instrText>
      </w:r>
      <w:r>
        <w:fldChar w:fldCharType="separate"/>
      </w:r>
      <w:r>
        <w:rPr>
          <w:rStyle w:val="19"/>
          <w:rFonts w:ascii="Arial" w:hAnsi="Arial" w:eastAsia="宋体" w:cs="Arial"/>
          <w:sz w:val="24"/>
          <w:szCs w:val="24"/>
          <w:u w:val="none"/>
        </w:rPr>
        <w:t xml:space="preserve"> </w:t>
      </w:r>
      <w:r>
        <w:rPr>
          <w:rStyle w:val="19"/>
          <w:rFonts w:ascii="Arial" w:hAnsi="Arial" w:eastAsia="宋体" w:cs="Arial"/>
          <w:color w:val="0000FF"/>
          <w:sz w:val="24"/>
          <w:szCs w:val="24"/>
        </w:rPr>
        <w:t>http://www.fda.gov/cdrh/mdr.html</w:t>
      </w:r>
      <w:r>
        <w:rPr>
          <w:rStyle w:val="19"/>
          <w:rFonts w:ascii="Arial" w:hAnsi="Arial" w:eastAsia="宋体" w:cs="Arial"/>
          <w:sz w:val="24"/>
          <w:szCs w:val="24"/>
          <w:u w:val="none"/>
        </w:rPr>
        <w:t xml:space="preserve"> </w:t>
      </w:r>
      <w:r>
        <w:rPr>
          <w:rStyle w:val="19"/>
          <w:rFonts w:ascii="Arial" w:hAnsi="Arial" w:eastAsia="宋体" w:cs="Arial"/>
          <w:sz w:val="24"/>
          <w:szCs w:val="24"/>
          <w:u w:val="none"/>
        </w:rPr>
        <w:fldChar w:fldCharType="end"/>
      </w:r>
      <w:r>
        <w:rPr>
          <w:rFonts w:ascii="Arial" w:hAnsi="Arial" w:eastAsia="宋体" w:cs="Arial"/>
          <w:sz w:val="24"/>
          <w:szCs w:val="24"/>
        </w:rPr>
        <w:t>和</w:t>
      </w:r>
      <w:r>
        <w:rPr>
          <w:rFonts w:ascii="Arial" w:hAnsi="Arial" w:eastAsia="宋体" w:cs="Arial"/>
          <w:color w:val="0000FF"/>
          <w:sz w:val="24"/>
          <w:szCs w:val="24"/>
          <w:u w:val="single"/>
        </w:rPr>
        <w:t>http://www.fda.gov/cdrh/osb/guidance/1334.pdf</w:t>
      </w:r>
      <w:r>
        <w:rPr>
          <w:rFonts w:ascii="Arial" w:hAnsi="Arial" w:eastAsia="宋体" w:cs="Arial"/>
          <w:sz w:val="24"/>
          <w:szCs w:val="24"/>
        </w:rPr>
        <w:t>。</w:t>
      </w:r>
      <w:r>
        <w:rPr>
          <w:rFonts w:ascii="Arial" w:hAnsi="Arial" w:eastAsia="宋体" w:cs="Arial"/>
          <w:b/>
          <w:sz w:val="30"/>
          <w:szCs w:val="30"/>
        </w:rPr>
        <w:br w:type="page"/>
      </w:r>
    </w:p>
    <w:p w14:paraId="4963D4D7">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与质量体系有关的问题</w:t>
      </w:r>
    </w:p>
    <w:p w14:paraId="0D563C7A">
      <w:pPr>
        <w:snapToGrid w:val="0"/>
        <w:spacing w:after="163" w:afterLines="50" w:line="300" w:lineRule="auto"/>
        <w:jc w:val="both"/>
        <w:rPr>
          <w:rFonts w:ascii="Arial" w:hAnsi="Arial" w:eastAsia="宋体" w:cs="Arial"/>
          <w:b/>
          <w:szCs w:val="24"/>
        </w:rPr>
      </w:pPr>
      <w:r>
        <w:rPr>
          <w:rFonts w:ascii="Arial" w:hAnsi="Arial" w:eastAsia="宋体" w:cs="Arial"/>
          <w:b/>
          <w:szCs w:val="24"/>
        </w:rPr>
        <w:t>通则</w:t>
      </w:r>
    </w:p>
    <w:p w14:paraId="0EBFE3FB">
      <w:pPr>
        <w:pStyle w:val="49"/>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如果我们正在进行再处理的SUD不需要向FDA递交上市前提交，我的医院是否应遵循质量体系规章？</w:t>
      </w:r>
    </w:p>
    <w:p w14:paraId="0F22AFFC">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是的。无论您的医院正在进行再处理的SUD是否需要上市前提交，您的医院应符合21 CFR第820部分中描述的</w:t>
      </w:r>
      <w:r>
        <w:rPr>
          <w:rFonts w:ascii="宋体" w:hAnsi="宋体" w:eastAsia="宋体" w:cs="Arial"/>
          <w:sz w:val="24"/>
          <w:szCs w:val="24"/>
        </w:rPr>
        <w:t>“</w:t>
      </w:r>
      <w:r>
        <w:rPr>
          <w:rFonts w:ascii="Arial" w:hAnsi="Arial" w:eastAsia="宋体" w:cs="Arial"/>
          <w:sz w:val="24"/>
          <w:szCs w:val="24"/>
        </w:rPr>
        <w:t>质量体系规章</w:t>
      </w:r>
      <w:r>
        <w:rPr>
          <w:rFonts w:ascii="宋体" w:hAnsi="宋体" w:eastAsia="宋体" w:cs="Arial"/>
          <w:sz w:val="24"/>
          <w:szCs w:val="24"/>
        </w:rPr>
        <w:t>”</w:t>
      </w:r>
      <w:r>
        <w:rPr>
          <w:rFonts w:ascii="Arial" w:hAnsi="Arial" w:eastAsia="宋体" w:cs="Arial"/>
          <w:sz w:val="24"/>
          <w:szCs w:val="24"/>
        </w:rPr>
        <w:t>[也称为现行的良好生产管理规范（cGMP）]的要求（参见下文附录的问题＃7）。以下互联网网站提供了有关该规章要求的信息：</w:t>
      </w:r>
    </w:p>
    <w:p w14:paraId="5C0F6B3B">
      <w:pPr>
        <w:widowControl w:val="0"/>
        <w:autoSpaceDE w:val="0"/>
        <w:autoSpaceDN w:val="0"/>
        <w:adjustRightInd w:val="0"/>
        <w:snapToGrid w:val="0"/>
        <w:spacing w:after="163" w:afterLines="50" w:line="300" w:lineRule="auto"/>
        <w:ind w:left="480" w:leftChars="200"/>
        <w:jc w:val="both"/>
        <w:rPr>
          <w:rFonts w:ascii="Arial" w:hAnsi="Arial" w:eastAsia="宋体" w:cs="Arial"/>
          <w:color w:val="000000"/>
          <w:szCs w:val="24"/>
        </w:rPr>
      </w:pPr>
      <w:r>
        <w:rPr>
          <w:rFonts w:ascii="Arial" w:hAnsi="Arial" w:eastAsia="宋体" w:cs="Arial"/>
          <w:color w:val="0000FF"/>
          <w:szCs w:val="24"/>
          <w:u w:val="single"/>
        </w:rPr>
        <w:t>http://www.FDA.gov/CDRH/dsma/gmpman.html</w:t>
      </w:r>
      <w:r>
        <w:rPr>
          <w:rFonts w:ascii="Arial" w:hAnsi="Arial" w:eastAsia="宋体" w:cs="Arial"/>
          <w:color w:val="0000FF"/>
          <w:szCs w:val="24"/>
        </w:rPr>
        <w:t xml:space="preserve"> </w:t>
      </w:r>
      <w:r>
        <w:rPr>
          <w:rFonts w:ascii="Arial" w:hAnsi="Arial" w:eastAsia="宋体" w:cs="Arial"/>
          <w:color w:val="000000"/>
          <w:szCs w:val="24"/>
        </w:rPr>
        <w:t>- 医疗器械质量体系手册：小型实体的合规性指南</w:t>
      </w:r>
    </w:p>
    <w:p w14:paraId="06A7B6C5">
      <w:pPr>
        <w:widowControl w:val="0"/>
        <w:autoSpaceDE w:val="0"/>
        <w:autoSpaceDN w:val="0"/>
        <w:adjustRightInd w:val="0"/>
        <w:snapToGrid w:val="0"/>
        <w:spacing w:after="163" w:afterLines="50" w:line="300" w:lineRule="auto"/>
        <w:ind w:left="480" w:leftChars="200"/>
        <w:jc w:val="both"/>
        <w:rPr>
          <w:rFonts w:ascii="Arial" w:hAnsi="Arial" w:eastAsia="宋体" w:cs="Arial"/>
          <w:color w:val="000000"/>
          <w:szCs w:val="24"/>
        </w:rPr>
      </w:pPr>
    </w:p>
    <w:p w14:paraId="11EAF943">
      <w:pPr>
        <w:widowControl w:val="0"/>
        <w:autoSpaceDE w:val="0"/>
        <w:autoSpaceDN w:val="0"/>
        <w:adjustRightInd w:val="0"/>
        <w:snapToGrid w:val="0"/>
        <w:spacing w:after="163" w:afterLines="50" w:line="300" w:lineRule="auto"/>
        <w:ind w:left="480" w:leftChars="200"/>
        <w:jc w:val="both"/>
        <w:rPr>
          <w:rFonts w:ascii="Arial" w:hAnsi="Arial" w:eastAsia="宋体" w:cs="Arial"/>
          <w:color w:val="000000"/>
          <w:szCs w:val="24"/>
        </w:rPr>
      </w:pPr>
      <w:r>
        <w:rPr>
          <w:rFonts w:ascii="Arial" w:hAnsi="Arial" w:eastAsia="宋体" w:cs="Arial"/>
          <w:color w:val="0000FF"/>
          <w:szCs w:val="24"/>
          <w:u w:val="single"/>
        </w:rPr>
        <w:t>http://www.FDA.gov/CDRH/comp/designgd.html</w:t>
      </w:r>
      <w:r>
        <w:rPr>
          <w:rFonts w:ascii="Arial" w:hAnsi="Arial" w:eastAsia="宋体" w:cs="Arial"/>
          <w:color w:val="0000FF"/>
          <w:szCs w:val="24"/>
        </w:rPr>
        <w:t xml:space="preserve"> </w:t>
      </w:r>
      <w:r>
        <w:rPr>
          <w:rFonts w:ascii="Arial" w:hAnsi="Arial" w:eastAsia="宋体" w:cs="Arial"/>
          <w:color w:val="000000"/>
          <w:szCs w:val="24"/>
        </w:rPr>
        <w:t>- 医疗器械制造者的设计控制指南</w:t>
      </w:r>
    </w:p>
    <w:p w14:paraId="4601001A">
      <w:pPr>
        <w:widowControl w:val="0"/>
        <w:autoSpaceDE w:val="0"/>
        <w:autoSpaceDN w:val="0"/>
        <w:adjustRightInd w:val="0"/>
        <w:snapToGrid w:val="0"/>
        <w:spacing w:after="163" w:afterLines="50" w:line="300" w:lineRule="auto"/>
        <w:ind w:left="480" w:leftChars="200"/>
        <w:jc w:val="both"/>
        <w:rPr>
          <w:rFonts w:ascii="Arial" w:hAnsi="Arial" w:eastAsia="宋体" w:cs="Arial"/>
          <w:color w:val="0000FF"/>
          <w:szCs w:val="24"/>
        </w:rPr>
      </w:pPr>
    </w:p>
    <w:p w14:paraId="3A1C080A">
      <w:pPr>
        <w:widowControl w:val="0"/>
        <w:autoSpaceDE w:val="0"/>
        <w:autoSpaceDN w:val="0"/>
        <w:adjustRightInd w:val="0"/>
        <w:snapToGrid w:val="0"/>
        <w:spacing w:after="163" w:afterLines="50" w:line="300" w:lineRule="auto"/>
        <w:ind w:left="480" w:leftChars="200"/>
        <w:jc w:val="both"/>
        <w:rPr>
          <w:rFonts w:ascii="Arial" w:hAnsi="Arial" w:eastAsia="宋体" w:cs="Arial"/>
          <w:color w:val="000000"/>
          <w:szCs w:val="24"/>
        </w:rPr>
      </w:pPr>
      <w:r>
        <w:rPr>
          <w:rFonts w:ascii="Arial" w:hAnsi="Arial" w:eastAsia="宋体" w:cs="Arial"/>
          <w:color w:val="0000FF"/>
          <w:szCs w:val="24"/>
          <w:u w:val="single"/>
        </w:rPr>
        <w:t>http://www.FDA.gov/ora/inspect_ref/igs/qsit/qsitguide.pdf</w:t>
      </w:r>
      <w:r>
        <w:rPr>
          <w:rFonts w:ascii="Arial" w:hAnsi="Arial" w:eastAsia="宋体" w:cs="Arial"/>
          <w:color w:val="0000FF"/>
          <w:szCs w:val="24"/>
        </w:rPr>
        <w:t xml:space="preserve"> </w:t>
      </w:r>
      <w:r>
        <w:rPr>
          <w:rFonts w:ascii="Arial" w:hAnsi="Arial" w:eastAsia="宋体" w:cs="Arial"/>
          <w:color w:val="000000"/>
          <w:szCs w:val="24"/>
        </w:rPr>
        <w:t>- 质量体系检查技术（QSIT）手册</w:t>
      </w:r>
    </w:p>
    <w:p w14:paraId="57D2F482">
      <w:pPr>
        <w:widowControl w:val="0"/>
        <w:autoSpaceDE w:val="0"/>
        <w:autoSpaceDN w:val="0"/>
        <w:adjustRightInd w:val="0"/>
        <w:snapToGrid w:val="0"/>
        <w:spacing w:after="163" w:afterLines="50" w:line="300" w:lineRule="auto"/>
        <w:ind w:left="480" w:leftChars="200"/>
        <w:jc w:val="both"/>
        <w:rPr>
          <w:rFonts w:ascii="Arial" w:hAnsi="Arial" w:eastAsia="宋体" w:cs="Arial"/>
          <w:color w:val="000000"/>
          <w:szCs w:val="24"/>
        </w:rPr>
      </w:pPr>
    </w:p>
    <w:p w14:paraId="0FCFA317">
      <w:pPr>
        <w:widowControl w:val="0"/>
        <w:autoSpaceDE w:val="0"/>
        <w:autoSpaceDN w:val="0"/>
        <w:adjustRightInd w:val="0"/>
        <w:snapToGrid w:val="0"/>
        <w:spacing w:after="163" w:afterLines="50" w:line="300" w:lineRule="auto"/>
        <w:ind w:left="480" w:leftChars="200"/>
        <w:jc w:val="both"/>
        <w:rPr>
          <w:rFonts w:ascii="Arial" w:hAnsi="Arial" w:eastAsia="宋体" w:cs="Arial"/>
          <w:color w:val="000000"/>
          <w:szCs w:val="24"/>
        </w:rPr>
      </w:pPr>
      <w:r>
        <w:rPr>
          <w:rFonts w:ascii="Arial" w:hAnsi="Arial" w:eastAsia="宋体" w:cs="Arial"/>
          <w:color w:val="0000FF"/>
          <w:szCs w:val="24"/>
          <w:u w:val="single"/>
        </w:rPr>
        <w:t>http://www.FDA.gov/CDRH/ode/425.pd</w:t>
      </w:r>
      <w:r>
        <w:rPr>
          <w:rFonts w:ascii="Arial" w:hAnsi="Arial" w:eastAsia="宋体" w:cs="Arial"/>
          <w:color w:val="0000FF"/>
          <w:szCs w:val="24"/>
        </w:rPr>
        <w:t xml:space="preserve">f </w:t>
      </w:r>
      <w:r>
        <w:rPr>
          <w:rFonts w:ascii="Arial" w:hAnsi="Arial" w:eastAsia="宋体" w:cs="Arial"/>
          <w:color w:val="000000"/>
          <w:szCs w:val="24"/>
        </w:rPr>
        <w:t>- 工艺验证总则指南</w:t>
      </w:r>
    </w:p>
    <w:p w14:paraId="0170AD9F">
      <w:pPr>
        <w:widowControl w:val="0"/>
        <w:autoSpaceDE w:val="0"/>
        <w:autoSpaceDN w:val="0"/>
        <w:adjustRightInd w:val="0"/>
        <w:snapToGrid w:val="0"/>
        <w:spacing w:after="163" w:afterLines="50" w:line="300" w:lineRule="auto"/>
        <w:jc w:val="both"/>
        <w:rPr>
          <w:rFonts w:ascii="Arial" w:hAnsi="Arial" w:eastAsia="宋体" w:cs="Arial"/>
          <w:color w:val="000000"/>
          <w:szCs w:val="24"/>
        </w:rPr>
      </w:pPr>
    </w:p>
    <w:p w14:paraId="1C63C9D5">
      <w:pPr>
        <w:pStyle w:val="49"/>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医院的首席执行官是否对质量方针和质量体系（QS）规章的实施负责？</w:t>
      </w:r>
    </w:p>
    <w:p w14:paraId="4ECA991C">
      <w:pPr>
        <w:pStyle w:val="41"/>
        <w:shd w:val="clear" w:color="auto" w:fill="auto"/>
        <w:adjustRightInd w:val="0"/>
        <w:snapToGrid w:val="0"/>
        <w:spacing w:before="0" w:after="163" w:afterLines="50" w:line="300" w:lineRule="auto"/>
        <w:jc w:val="both"/>
        <w:rPr>
          <w:rFonts w:ascii="Arial" w:hAnsi="Arial" w:eastAsia="宋体" w:cs="Arial"/>
          <w:b/>
          <w:sz w:val="24"/>
          <w:szCs w:val="24"/>
        </w:rPr>
      </w:pPr>
    </w:p>
    <w:p w14:paraId="353893C6">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根据21 CFR 820.20（管理责任），管理与执行的责任在管理层，其有权制定和改变设施的质量方针。质量体系的实施可以授权；但是，制定质量方针和确保实施是最高的管理等级。管理层</w:t>
      </w:r>
      <w:r>
        <w:rPr>
          <w:rFonts w:ascii="Arial" w:hAnsi="Arial" w:eastAsia="宋体" w:cs="Arial"/>
          <w:color w:val="000000"/>
          <w:sz w:val="24"/>
          <w:szCs w:val="24"/>
        </w:rPr>
        <w:t>通过明显而积极地</w:t>
      </w:r>
      <w:r>
        <w:rPr>
          <w:rFonts w:ascii="Arial" w:hAnsi="Arial" w:eastAsia="宋体" w:cs="Arial"/>
          <w:sz w:val="24"/>
          <w:szCs w:val="24"/>
        </w:rPr>
        <w:t>证明</w:t>
      </w:r>
      <w:r>
        <w:rPr>
          <w:rFonts w:ascii="Arial" w:hAnsi="Arial" w:eastAsia="宋体" w:cs="Arial"/>
          <w:color w:val="000000"/>
          <w:sz w:val="24"/>
          <w:szCs w:val="24"/>
        </w:rPr>
        <w:t>对质量体系的持续承诺</w:t>
      </w:r>
      <w:r>
        <w:rPr>
          <w:rFonts w:ascii="Arial" w:hAnsi="Arial" w:eastAsia="宋体" w:cs="Arial"/>
          <w:sz w:val="24"/>
          <w:szCs w:val="24"/>
        </w:rPr>
        <w:t>，</w:t>
      </w:r>
      <w:r>
        <w:rPr>
          <w:rFonts w:ascii="Arial" w:hAnsi="Arial" w:eastAsia="宋体" w:cs="Arial"/>
          <w:color w:val="000000"/>
          <w:sz w:val="24"/>
          <w:szCs w:val="24"/>
        </w:rPr>
        <w:t>加强对政策和目标的理解。通过提供足够的培训和资源来支持质量体系的制定和实施</w:t>
      </w:r>
      <w:r>
        <w:rPr>
          <w:rFonts w:ascii="Arial" w:hAnsi="Arial" w:eastAsia="宋体" w:cs="Arial"/>
          <w:sz w:val="24"/>
          <w:szCs w:val="24"/>
        </w:rPr>
        <w:t>，</w:t>
      </w:r>
      <w:r>
        <w:rPr>
          <w:rFonts w:ascii="Arial" w:hAnsi="Arial" w:eastAsia="宋体" w:cs="Arial"/>
          <w:color w:val="000000"/>
          <w:sz w:val="24"/>
          <w:szCs w:val="24"/>
        </w:rPr>
        <w:t>可以证明这一点。</w:t>
      </w:r>
    </w:p>
    <w:p w14:paraId="14BF1350">
      <w:pPr>
        <w:snapToGrid w:val="0"/>
        <w:spacing w:after="163" w:afterLines="50" w:line="300" w:lineRule="auto"/>
        <w:jc w:val="both"/>
        <w:rPr>
          <w:rFonts w:ascii="Arial" w:hAnsi="Arial" w:eastAsia="宋体" w:cs="Arial"/>
          <w:szCs w:val="24"/>
        </w:rPr>
      </w:pPr>
      <w:r>
        <w:rPr>
          <w:rFonts w:ascii="Arial" w:hAnsi="Arial" w:eastAsia="宋体" w:cs="Arial"/>
          <w:szCs w:val="24"/>
        </w:rPr>
        <w:br w:type="page"/>
      </w:r>
    </w:p>
    <w:p w14:paraId="30B99DAF">
      <w:pPr>
        <w:snapToGrid w:val="0"/>
        <w:spacing w:after="163" w:afterLines="50" w:line="300" w:lineRule="auto"/>
        <w:jc w:val="both"/>
        <w:rPr>
          <w:rFonts w:ascii="Arial" w:hAnsi="Arial" w:eastAsia="宋体" w:cs="Arial"/>
          <w:b/>
          <w:szCs w:val="24"/>
        </w:rPr>
      </w:pPr>
      <w:r>
        <w:rPr>
          <w:rFonts w:ascii="Arial" w:hAnsi="Arial" w:eastAsia="宋体" w:cs="Arial"/>
          <w:b/>
          <w:szCs w:val="24"/>
        </w:rPr>
        <w:t>灭菌</w:t>
      </w:r>
    </w:p>
    <w:p w14:paraId="2DC0DAD6">
      <w:pPr>
        <w:pStyle w:val="49"/>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对于一次性使用器械（SUD）进行再处理的医院再处理者，FDA期望的灭菌活动是什么？</w:t>
      </w:r>
    </w:p>
    <w:p w14:paraId="6A5EE0D1">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根据21 CFR 820.3（o）中的定义，将对SUD进行再处理的医院再处理者视为器械制造商。因此，FDA期望其对SUD的灭菌再处理应符合质量体系（QS）规章（21 CFR第820部分）的要求。该规章的许多方面适用于灭菌活动，有几个关键因素会影响器械是无菌或非无菌以及在工艺结束时的预期功能。灭菌工艺的成功在很大程度上取决于医院的再处理者：</w:t>
      </w:r>
    </w:p>
    <w:p w14:paraId="3FC3DBAA">
      <w:pPr>
        <w:pStyle w:val="41"/>
        <w:numPr>
          <w:ilvl w:val="0"/>
          <w:numId w:val="3"/>
        </w:numPr>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已验证灭菌设备和灭菌工艺；</w:t>
      </w:r>
    </w:p>
    <w:p w14:paraId="5616667A">
      <w:pPr>
        <w:pStyle w:val="41"/>
        <w:numPr>
          <w:ilvl w:val="0"/>
          <w:numId w:val="3"/>
        </w:numPr>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对</w:t>
      </w:r>
      <w:bookmarkStart w:id="0" w:name="OLE_LINK3"/>
      <w:bookmarkStart w:id="1" w:name="OLE_LINK4"/>
      <w:r>
        <w:rPr>
          <w:rFonts w:ascii="Arial" w:hAnsi="Arial" w:eastAsia="宋体" w:cs="Arial"/>
          <w:sz w:val="24"/>
          <w:szCs w:val="24"/>
        </w:rPr>
        <w:t>常规加工</w:t>
      </w:r>
      <w:bookmarkEnd w:id="0"/>
      <w:bookmarkEnd w:id="1"/>
      <w:r>
        <w:rPr>
          <w:rFonts w:ascii="Arial" w:hAnsi="Arial" w:eastAsia="宋体" w:cs="Arial"/>
          <w:sz w:val="24"/>
          <w:szCs w:val="24"/>
        </w:rPr>
        <w:t>进行控制；以及</w:t>
      </w:r>
    </w:p>
    <w:p w14:paraId="7E190B73">
      <w:pPr>
        <w:pStyle w:val="41"/>
        <w:numPr>
          <w:ilvl w:val="0"/>
          <w:numId w:val="3"/>
        </w:numPr>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做出决定，以确保只有无菌的产品才能放行使用。</w:t>
      </w:r>
    </w:p>
    <w:p w14:paraId="347902DD">
      <w:pPr>
        <w:pStyle w:val="41"/>
        <w:shd w:val="clear" w:color="auto" w:fill="auto"/>
        <w:adjustRightInd w:val="0"/>
        <w:snapToGrid w:val="0"/>
        <w:spacing w:before="163" w:beforeLines="50" w:after="163" w:afterLines="50" w:line="300" w:lineRule="auto"/>
        <w:jc w:val="both"/>
        <w:rPr>
          <w:rFonts w:ascii="Arial" w:hAnsi="Arial" w:eastAsia="宋体" w:cs="Arial"/>
          <w:sz w:val="24"/>
          <w:szCs w:val="24"/>
        </w:rPr>
      </w:pPr>
      <w:r>
        <w:rPr>
          <w:rFonts w:ascii="Arial" w:hAnsi="Arial" w:eastAsia="宋体" w:cs="Arial"/>
          <w:sz w:val="24"/>
          <w:szCs w:val="24"/>
        </w:rPr>
        <w:t>在验证研究过程中，医院的SUD再处理者应证明每个灭菌工艺的每次运行均能实现有效灭菌（21 CFR 820.75）。用于身体的一般无菌区域的器械，灭菌工艺应达到10</w:t>
      </w:r>
      <w:r>
        <w:rPr>
          <w:rFonts w:ascii="Arial" w:hAnsi="Arial" w:eastAsia="宋体" w:cs="Arial"/>
          <w:sz w:val="24"/>
          <w:szCs w:val="24"/>
          <w:vertAlign w:val="superscript"/>
        </w:rPr>
        <w:t>-6</w:t>
      </w:r>
      <w:r>
        <w:rPr>
          <w:rFonts w:ascii="Arial" w:hAnsi="Arial" w:eastAsia="宋体" w:cs="Arial"/>
          <w:sz w:val="24"/>
          <w:szCs w:val="24"/>
        </w:rPr>
        <w:t>无菌保证水平(SAL)，医院再处理者不能只是假设标准的灭菌器循环可以对器械进行有效和安全的再处理；而应通过微生物杀伤力研究数据来证明所使用的工艺达到了SAL。此外，医院再处理者也应证明灭菌工艺不会对再处理的SUD的材料或功能产生不良影响。</w:t>
      </w:r>
    </w:p>
    <w:p w14:paraId="56476069">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用于常规灭菌的工艺控制应足以确保可以始终符合在验证期间确立的工艺参数标准 [21 CFR 820.70（2）]。通过验证研究，医院再处理者可以证明，当使用确定的参数（例如，温度或湿度）时，可达到无菌。医院再处理者应对常规加工建立管控，以确保每次运行时均可满足这些参数标准。</w:t>
      </w:r>
    </w:p>
    <w:p w14:paraId="254A1253">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最后，医院再处理者应该具有SUD的使用放行程序，以便可以检查出所有存在非无菌可能的再处理SUD [21 CFR 820.80（d）]。应检查每次运行的文件，以确保符合参数标准。许多医院再处理者还在每次运行时使用生物指示剂（BI）来进行无菌的生物学确认。虽然FDA强烈地鼓励使用生物指示剂，但是，在验证研究和工艺控制相当严格的一些情况下，可能不需要使用BI。在这些情况下，该工艺应符合认可的共识标准中所定义的参数放行标准。</w:t>
      </w:r>
    </w:p>
    <w:p w14:paraId="39F6A926">
      <w:pPr>
        <w:pStyle w:val="49"/>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医院再处理者应对SUD的灭菌再处理保存哪些文件？</w:t>
      </w:r>
    </w:p>
    <w:p w14:paraId="72678C15">
      <w:pPr>
        <w:pStyle w:val="49"/>
        <w:shd w:val="clear" w:color="auto" w:fill="auto"/>
        <w:adjustRightInd w:val="0"/>
        <w:snapToGrid w:val="0"/>
        <w:spacing w:before="0" w:after="163" w:afterLines="50" w:line="300" w:lineRule="auto"/>
        <w:jc w:val="both"/>
        <w:rPr>
          <w:rFonts w:ascii="Arial" w:hAnsi="Arial" w:eastAsia="宋体" w:cs="Arial"/>
          <w:i w:val="0"/>
          <w:sz w:val="24"/>
          <w:szCs w:val="24"/>
        </w:rPr>
      </w:pPr>
      <w:r>
        <w:rPr>
          <w:rFonts w:ascii="Arial" w:hAnsi="Arial" w:eastAsia="宋体" w:cs="Arial"/>
          <w:b/>
          <w:i w:val="0"/>
          <w:sz w:val="24"/>
          <w:szCs w:val="24"/>
        </w:rPr>
        <w:t>答：</w:t>
      </w:r>
      <w:r>
        <w:rPr>
          <w:rFonts w:ascii="Arial" w:hAnsi="Arial" w:eastAsia="宋体" w:cs="Arial"/>
          <w:i w:val="0"/>
          <w:sz w:val="24"/>
          <w:szCs w:val="24"/>
        </w:rPr>
        <w:t>再处理SUD的医院应保存书面程序和数据，以表明其符合质量体系（QS）规章（21 CFR第820部分）中相关部分的要求。在灭菌方面，医院再处理者应保存文件，以表明设备已进行正确安装并按预期运行。同样，应有文件显示灭菌工艺已经过验证，可有效实现无菌，且不会对器械造成不良影响[21 CFR 820.75（a）]。此外，医院再处理者应保存工艺控制的程序和数据文件，以证明每次运行均已符合灭菌参数的标准[21CFR 820.70（a）和820.184]。FDA还可以要求查看与SUD的验证或常规灭菌相关的任何检测结果。</w:t>
      </w:r>
    </w:p>
    <w:p w14:paraId="67281BA0">
      <w:pPr>
        <w:pStyle w:val="49"/>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有哪些指导性文件适用于对SUD进行灭菌的医院后处理者？</w:t>
      </w:r>
    </w:p>
    <w:p w14:paraId="295300EE">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答：FDA有适用于所有类型制造工艺（包括灭菌）的通用型指导性文件。例如，</w:t>
      </w:r>
      <w:r>
        <w:rPr>
          <w:rFonts w:ascii="宋体" w:hAnsi="宋体" w:eastAsia="宋体" w:cs="Arial"/>
          <w:sz w:val="24"/>
          <w:szCs w:val="24"/>
        </w:rPr>
        <w:t>“</w:t>
      </w:r>
      <w:r>
        <w:rPr>
          <w:rFonts w:ascii="Arial" w:hAnsi="Arial" w:eastAsia="宋体" w:cs="Arial"/>
          <w:sz w:val="24"/>
          <w:szCs w:val="24"/>
        </w:rPr>
        <w:t>工艺验证总则指南</w:t>
      </w:r>
      <w:r>
        <w:rPr>
          <w:rFonts w:ascii="宋体" w:hAnsi="宋体" w:eastAsia="宋体" w:cs="Arial"/>
          <w:sz w:val="24"/>
          <w:szCs w:val="24"/>
        </w:rPr>
        <w:t>”</w:t>
      </w:r>
      <w:r>
        <w:rPr>
          <w:rFonts w:ascii="Arial" w:hAnsi="Arial" w:eastAsia="宋体" w:cs="Arial"/>
          <w:sz w:val="24"/>
          <w:szCs w:val="24"/>
        </w:rPr>
        <w:t>适用于灭菌活动以及其他制造工艺。该文件可参见互联网</w:t>
      </w:r>
      <w:r>
        <w:fldChar w:fldCharType="begin"/>
      </w:r>
      <w:r>
        <w:instrText xml:space="preserve"> HYPERLINK "http://www.fda.gov/cdrh/ode/425.pdf" </w:instrText>
      </w:r>
      <w:r>
        <w:fldChar w:fldCharType="separate"/>
      </w:r>
      <w:r>
        <w:rPr>
          <w:rStyle w:val="19"/>
          <w:rFonts w:ascii="Arial" w:hAnsi="Arial" w:eastAsia="宋体" w:cs="Arial"/>
          <w:color w:val="0000FF"/>
          <w:sz w:val="24"/>
          <w:szCs w:val="24"/>
        </w:rPr>
        <w:t>www.fda.gov/cdrh/ode/425.pdf</w:t>
      </w:r>
      <w:r>
        <w:rPr>
          <w:rStyle w:val="19"/>
          <w:rFonts w:ascii="Arial" w:hAnsi="Arial" w:eastAsia="宋体" w:cs="Arial"/>
          <w:color w:val="0000FF"/>
          <w:sz w:val="24"/>
          <w:szCs w:val="24"/>
        </w:rPr>
        <w:fldChar w:fldCharType="end"/>
      </w:r>
      <w:r>
        <w:rPr>
          <w:rFonts w:ascii="Arial" w:hAnsi="Arial" w:eastAsia="宋体" w:cs="Arial"/>
          <w:sz w:val="24"/>
          <w:szCs w:val="24"/>
        </w:rPr>
        <w:t>。有关质量体系（QS）规章的FDA文件也适用于灭菌工艺。这些文件可参见互联网</w:t>
      </w:r>
      <w:r>
        <w:fldChar w:fldCharType="begin"/>
      </w:r>
      <w:r>
        <w:instrText xml:space="preserve"> HYPERLINK "http://www.fda.gov/cdrh/dsma/cgmphome.html" </w:instrText>
      </w:r>
      <w:r>
        <w:fldChar w:fldCharType="separate"/>
      </w:r>
      <w:r>
        <w:rPr>
          <w:rStyle w:val="19"/>
          <w:rFonts w:ascii="Arial" w:hAnsi="Arial" w:eastAsia="宋体" w:cs="Arial"/>
          <w:color w:val="0000FF"/>
          <w:sz w:val="24"/>
          <w:szCs w:val="24"/>
        </w:rPr>
        <w:t>www.fda.gov/cdrh/dsma/cgmphome.html</w:t>
      </w:r>
      <w:r>
        <w:rPr>
          <w:rStyle w:val="19"/>
          <w:rFonts w:ascii="Arial" w:hAnsi="Arial" w:eastAsia="宋体" w:cs="Arial"/>
          <w:color w:val="0000FF"/>
          <w:sz w:val="24"/>
          <w:szCs w:val="24"/>
        </w:rPr>
        <w:fldChar w:fldCharType="end"/>
      </w:r>
      <w:r>
        <w:rPr>
          <w:rFonts w:ascii="Arial" w:hAnsi="Arial" w:eastAsia="宋体" w:cs="Arial"/>
          <w:sz w:val="24"/>
          <w:szCs w:val="24"/>
        </w:rPr>
        <w:t>。通用型指南可从其他来源获得，例如</w:t>
      </w:r>
      <w:r>
        <w:rPr>
          <w:rFonts w:ascii="宋体" w:hAnsi="宋体" w:eastAsia="宋体" w:cs="Arial"/>
          <w:sz w:val="24"/>
          <w:szCs w:val="24"/>
        </w:rPr>
        <w:t>“</w:t>
      </w:r>
      <w:r>
        <w:rPr>
          <w:rFonts w:ascii="Arial" w:hAnsi="Arial" w:eastAsia="宋体" w:cs="Arial"/>
          <w:sz w:val="24"/>
          <w:szCs w:val="24"/>
        </w:rPr>
        <w:t>全球协调工作组</w:t>
      </w:r>
      <w:r>
        <w:rPr>
          <w:rFonts w:ascii="宋体" w:hAnsi="宋体" w:eastAsia="宋体" w:cs="Arial"/>
          <w:sz w:val="24"/>
          <w:szCs w:val="24"/>
        </w:rPr>
        <w:t>”</w:t>
      </w:r>
      <w:r>
        <w:rPr>
          <w:rFonts w:ascii="Arial" w:hAnsi="Arial" w:eastAsia="宋体" w:cs="Arial"/>
          <w:sz w:val="24"/>
          <w:szCs w:val="24"/>
        </w:rPr>
        <w:t>文件</w:t>
      </w:r>
      <w:r>
        <w:rPr>
          <w:rFonts w:ascii="宋体" w:hAnsi="宋体" w:eastAsia="宋体" w:cs="Arial"/>
          <w:sz w:val="24"/>
          <w:szCs w:val="24"/>
        </w:rPr>
        <w:t>“</w:t>
      </w:r>
      <w:r>
        <w:rPr>
          <w:rFonts w:ascii="Arial" w:hAnsi="Arial" w:eastAsia="宋体" w:cs="Arial"/>
          <w:sz w:val="24"/>
          <w:szCs w:val="24"/>
        </w:rPr>
        <w:t>医疗器械制造商的工艺验证指南</w:t>
      </w:r>
      <w:r>
        <w:rPr>
          <w:rFonts w:ascii="宋体" w:hAnsi="宋体" w:eastAsia="宋体" w:cs="Arial"/>
          <w:sz w:val="24"/>
          <w:szCs w:val="24"/>
        </w:rPr>
        <w:t>”</w:t>
      </w:r>
      <w:r>
        <w:rPr>
          <w:rFonts w:ascii="Arial" w:hAnsi="Arial" w:eastAsia="宋体" w:cs="Arial"/>
          <w:sz w:val="24"/>
          <w:szCs w:val="24"/>
        </w:rPr>
        <w:t>。</w:t>
      </w:r>
    </w:p>
    <w:p w14:paraId="26F071D1">
      <w:pPr>
        <w:pStyle w:val="41"/>
        <w:shd w:val="clear" w:color="auto" w:fill="auto"/>
        <w:adjustRightInd w:val="0"/>
        <w:snapToGrid w:val="0"/>
        <w:spacing w:before="0" w:after="163" w:afterLines="50" w:line="300" w:lineRule="auto"/>
        <w:jc w:val="both"/>
        <w:rPr>
          <w:rFonts w:ascii="Arial" w:hAnsi="Arial" w:eastAsia="宋体" w:cs="Arial"/>
          <w:sz w:val="24"/>
          <w:szCs w:val="24"/>
        </w:rPr>
      </w:pPr>
    </w:p>
    <w:p w14:paraId="72DD5F2B">
      <w:pPr>
        <w:pStyle w:val="41"/>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许多国家和国际共识标准提供了特定的灭菌工艺，我们鼓励您去熟悉这些标准。FDA与来自行业、医疗保健机构和学术界的其他专家紧密合作，为医疗器械常用的各种灭菌方法制定了这些标准。FDA认为，这些标准中许多是为良好的灭菌实践提供了可接受的指导。虽然FDA接受这些标准，但这些标准的使用是自愿的，法规并未要求遵循。如果未遵循这些标准，FDA预期处理过程会达到与标准相同的科学可靠性水平。FDA共识标准程序的描述可见于互联网</w:t>
      </w:r>
      <w:r>
        <w:fldChar w:fldCharType="begin"/>
      </w:r>
      <w:r>
        <w:instrText xml:space="preserve"> HYPERLINK "http://www.fda.gov/cdrh/stdsprog.html" </w:instrText>
      </w:r>
      <w:r>
        <w:fldChar w:fldCharType="separate"/>
      </w:r>
      <w:r>
        <w:rPr>
          <w:rStyle w:val="19"/>
          <w:rFonts w:ascii="Arial" w:hAnsi="Arial" w:eastAsia="宋体" w:cs="Arial"/>
          <w:color w:val="0000FF"/>
          <w:sz w:val="24"/>
          <w:szCs w:val="24"/>
        </w:rPr>
        <w:t>www.fda.gov/cdrh/stdsprog.htm</w:t>
      </w:r>
      <w:r>
        <w:rPr>
          <w:rStyle w:val="19"/>
          <w:rFonts w:ascii="Arial" w:hAnsi="Arial" w:eastAsia="宋体" w:cs="Arial"/>
          <w:sz w:val="24"/>
          <w:szCs w:val="24"/>
        </w:rPr>
        <w:t>l</w:t>
      </w:r>
      <w:r>
        <w:rPr>
          <w:rStyle w:val="19"/>
          <w:rFonts w:ascii="Arial" w:hAnsi="Arial" w:eastAsia="宋体" w:cs="Arial"/>
          <w:sz w:val="24"/>
          <w:szCs w:val="24"/>
        </w:rPr>
        <w:fldChar w:fldCharType="end"/>
      </w:r>
      <w:r>
        <w:rPr>
          <w:rFonts w:ascii="Arial" w:hAnsi="Arial" w:eastAsia="宋体" w:cs="Arial"/>
          <w:sz w:val="24"/>
          <w:szCs w:val="24"/>
        </w:rPr>
        <w:t>。对于SUD的再处理灭菌有帮助的标准目录，可见于</w:t>
      </w:r>
      <w:r>
        <w:rPr>
          <w:rStyle w:val="19"/>
          <w:rFonts w:ascii="Arial" w:hAnsi="Arial" w:eastAsia="宋体" w:cs="Arial"/>
          <w:color w:val="0000FF"/>
          <w:sz w:val="24"/>
          <w:szCs w:val="24"/>
        </w:rPr>
        <w:t>www.fda.gov/cdrh/reuse/reuse-standards.shtml</w:t>
      </w:r>
      <w:r>
        <w:rPr>
          <w:rFonts w:ascii="Arial" w:hAnsi="Arial" w:eastAsia="宋体" w:cs="Arial"/>
          <w:sz w:val="24"/>
          <w:szCs w:val="24"/>
        </w:rPr>
        <w:t>。虽然医疗器械灭菌的共识标准已用于对医疗机构或行业用户的指导，但是有许多包括了两种类型设施的标准正在进行重写。例如，在医院常用的灭菌方法（湿热或环氧乙烷）方面，可同时用于行业用户和医疗</w:t>
      </w:r>
      <w:r>
        <w:rPr>
          <w:rFonts w:hint="eastAsia" w:ascii="Arial" w:hAnsi="Arial" w:eastAsia="宋体" w:cs="Arial"/>
          <w:sz w:val="24"/>
          <w:szCs w:val="24"/>
        </w:rPr>
        <w:t>保健</w:t>
      </w:r>
      <w:r>
        <w:rPr>
          <w:rFonts w:ascii="Arial" w:hAnsi="Arial" w:eastAsia="宋体" w:cs="Arial"/>
          <w:sz w:val="24"/>
          <w:szCs w:val="24"/>
        </w:rPr>
        <w:t>机构的标准如下：</w:t>
      </w:r>
    </w:p>
    <w:p w14:paraId="5D251851">
      <w:pPr>
        <w:pStyle w:val="41"/>
        <w:shd w:val="clear" w:color="auto" w:fill="auto"/>
        <w:adjustRightInd w:val="0"/>
        <w:snapToGrid w:val="0"/>
        <w:spacing w:before="0" w:after="163" w:afterLines="50" w:line="300" w:lineRule="auto"/>
        <w:rPr>
          <w:rFonts w:ascii="Arial" w:hAnsi="Arial" w:eastAsia="宋体" w:cs="Arial"/>
          <w:sz w:val="24"/>
          <w:szCs w:val="24"/>
        </w:rPr>
      </w:pPr>
    </w:p>
    <w:p w14:paraId="371DEE0C">
      <w:r>
        <w:br w:type="page"/>
      </w:r>
    </w:p>
    <w:tbl>
      <w:tblPr>
        <w:tblStyle w:val="17"/>
        <w:tblW w:w="0" w:type="auto"/>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2517"/>
        <w:gridCol w:w="2228"/>
      </w:tblGrid>
      <w:tr w14:paraId="475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14:paraId="7C4C135B">
            <w:pPr>
              <w:pStyle w:val="41"/>
              <w:shd w:val="clear" w:color="auto" w:fill="auto"/>
              <w:adjustRightInd w:val="0"/>
              <w:snapToGrid w:val="0"/>
              <w:spacing w:before="65" w:beforeLines="20" w:after="65" w:afterLines="20" w:line="276" w:lineRule="auto"/>
              <w:jc w:val="both"/>
              <w:rPr>
                <w:rFonts w:ascii="Arial" w:hAnsi="Arial" w:eastAsia="宋体" w:cs="Arial"/>
                <w:b/>
                <w:sz w:val="24"/>
                <w:szCs w:val="24"/>
              </w:rPr>
            </w:pPr>
            <w:r>
              <w:rPr>
                <w:rFonts w:ascii="Arial" w:hAnsi="Arial" w:eastAsia="宋体" w:cs="Arial"/>
                <w:b/>
                <w:sz w:val="24"/>
                <w:szCs w:val="24"/>
              </w:rPr>
              <w:t>灭菌方法</w:t>
            </w:r>
          </w:p>
        </w:tc>
        <w:tc>
          <w:tcPr>
            <w:tcW w:w="2517" w:type="dxa"/>
            <w:vAlign w:val="center"/>
          </w:tcPr>
          <w:p w14:paraId="2A683914">
            <w:pPr>
              <w:pStyle w:val="41"/>
              <w:shd w:val="clear" w:color="auto" w:fill="auto"/>
              <w:adjustRightInd w:val="0"/>
              <w:snapToGrid w:val="0"/>
              <w:spacing w:before="65" w:beforeLines="20" w:after="65" w:afterLines="20" w:line="276" w:lineRule="auto"/>
              <w:jc w:val="both"/>
              <w:rPr>
                <w:rFonts w:ascii="Arial" w:hAnsi="Arial" w:eastAsia="宋体" w:cs="Arial"/>
                <w:b/>
                <w:sz w:val="24"/>
                <w:szCs w:val="24"/>
              </w:rPr>
            </w:pPr>
            <w:r>
              <w:rPr>
                <w:rFonts w:hint="eastAsia" w:ascii="Arial" w:hAnsi="Arial" w:eastAsia="宋体" w:cs="Arial"/>
                <w:b/>
                <w:sz w:val="24"/>
                <w:szCs w:val="24"/>
              </w:rPr>
              <w:t>行业机构</w:t>
            </w:r>
            <w:r>
              <w:rPr>
                <w:rFonts w:ascii="Arial" w:hAnsi="Arial" w:eastAsia="宋体" w:cs="Arial"/>
                <w:b/>
                <w:sz w:val="24"/>
                <w:szCs w:val="24"/>
              </w:rPr>
              <w:t>使用</w:t>
            </w:r>
          </w:p>
        </w:tc>
        <w:tc>
          <w:tcPr>
            <w:tcW w:w="2228" w:type="dxa"/>
            <w:vAlign w:val="center"/>
          </w:tcPr>
          <w:p w14:paraId="1BDF323C">
            <w:pPr>
              <w:pStyle w:val="41"/>
              <w:shd w:val="clear" w:color="auto" w:fill="auto"/>
              <w:adjustRightInd w:val="0"/>
              <w:snapToGrid w:val="0"/>
              <w:spacing w:before="65" w:beforeLines="20" w:after="65" w:afterLines="20" w:line="276" w:lineRule="auto"/>
              <w:jc w:val="both"/>
              <w:rPr>
                <w:rFonts w:ascii="Arial" w:hAnsi="Arial" w:eastAsia="宋体" w:cs="Arial"/>
                <w:b/>
                <w:sz w:val="24"/>
                <w:szCs w:val="24"/>
              </w:rPr>
            </w:pPr>
            <w:r>
              <w:rPr>
                <w:rFonts w:ascii="Arial" w:hAnsi="Arial" w:eastAsia="宋体" w:cs="Arial"/>
                <w:b/>
                <w:sz w:val="24"/>
                <w:szCs w:val="24"/>
              </w:rPr>
              <w:t>医疗保健</w:t>
            </w:r>
            <w:r>
              <w:rPr>
                <w:rFonts w:hint="eastAsia" w:ascii="Arial" w:hAnsi="Arial" w:eastAsia="宋体" w:cs="Arial"/>
                <w:b/>
                <w:sz w:val="24"/>
                <w:szCs w:val="24"/>
              </w:rPr>
              <w:t>机构</w:t>
            </w:r>
            <w:r>
              <w:rPr>
                <w:rFonts w:ascii="Arial" w:hAnsi="Arial" w:eastAsia="宋体" w:cs="Arial"/>
                <w:b/>
                <w:sz w:val="24"/>
                <w:szCs w:val="24"/>
              </w:rPr>
              <w:t>使用</w:t>
            </w:r>
          </w:p>
        </w:tc>
      </w:tr>
      <w:tr w14:paraId="66D1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14:paraId="0F6AF54D">
            <w:pPr>
              <w:pStyle w:val="41"/>
              <w:shd w:val="clear" w:color="auto" w:fill="auto"/>
              <w:adjustRightInd w:val="0"/>
              <w:snapToGrid w:val="0"/>
              <w:spacing w:before="65" w:beforeLines="20" w:after="65" w:afterLines="20" w:line="276" w:lineRule="auto"/>
              <w:jc w:val="both"/>
              <w:rPr>
                <w:rFonts w:ascii="Arial" w:hAnsi="Arial" w:eastAsia="宋体" w:cs="Arial"/>
                <w:b/>
                <w:sz w:val="24"/>
                <w:szCs w:val="24"/>
              </w:rPr>
            </w:pPr>
            <w:r>
              <w:rPr>
                <w:rFonts w:ascii="Arial" w:hAnsi="Arial" w:eastAsia="宋体" w:cs="Arial"/>
                <w:b/>
                <w:sz w:val="24"/>
                <w:szCs w:val="24"/>
              </w:rPr>
              <w:t>环氧乙烷</w:t>
            </w:r>
          </w:p>
        </w:tc>
        <w:tc>
          <w:tcPr>
            <w:tcW w:w="2517" w:type="dxa"/>
            <w:vAlign w:val="center"/>
          </w:tcPr>
          <w:p w14:paraId="1D21008C">
            <w:pPr>
              <w:pStyle w:val="41"/>
              <w:shd w:val="clear" w:color="auto" w:fill="auto"/>
              <w:adjustRightInd w:val="0"/>
              <w:snapToGrid w:val="0"/>
              <w:spacing w:before="65" w:beforeLines="20" w:after="65" w:afterLines="20" w:line="276" w:lineRule="auto"/>
              <w:jc w:val="both"/>
              <w:rPr>
                <w:rFonts w:ascii="Arial" w:hAnsi="Arial" w:eastAsia="宋体" w:cs="Arial"/>
                <w:sz w:val="24"/>
                <w:szCs w:val="24"/>
              </w:rPr>
            </w:pPr>
            <w:r>
              <w:rPr>
                <w:rFonts w:ascii="Arial" w:hAnsi="Arial" w:eastAsia="宋体" w:cs="Arial"/>
                <w:sz w:val="24"/>
                <w:szCs w:val="24"/>
              </w:rPr>
              <w:t>ISO 11135</w:t>
            </w:r>
          </w:p>
        </w:tc>
        <w:tc>
          <w:tcPr>
            <w:tcW w:w="2228" w:type="dxa"/>
            <w:vAlign w:val="center"/>
          </w:tcPr>
          <w:p w14:paraId="69472381">
            <w:pPr>
              <w:pStyle w:val="41"/>
              <w:shd w:val="clear" w:color="auto" w:fill="auto"/>
              <w:adjustRightInd w:val="0"/>
              <w:snapToGrid w:val="0"/>
              <w:spacing w:before="65" w:beforeLines="20" w:after="65" w:afterLines="20" w:line="276" w:lineRule="auto"/>
              <w:jc w:val="both"/>
              <w:rPr>
                <w:rFonts w:ascii="Arial" w:hAnsi="Arial" w:eastAsia="宋体" w:cs="Arial"/>
                <w:sz w:val="24"/>
                <w:szCs w:val="24"/>
              </w:rPr>
            </w:pPr>
            <w:r>
              <w:rPr>
                <w:rFonts w:ascii="Arial" w:hAnsi="Arial" w:eastAsia="宋体" w:cs="Arial"/>
                <w:sz w:val="24"/>
                <w:szCs w:val="24"/>
              </w:rPr>
              <w:t>ANSI/AAMI ST 41</w:t>
            </w:r>
          </w:p>
        </w:tc>
      </w:tr>
      <w:tr w14:paraId="0D43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14:paraId="5E83FB18">
            <w:pPr>
              <w:pStyle w:val="41"/>
              <w:shd w:val="clear" w:color="auto" w:fill="auto"/>
              <w:adjustRightInd w:val="0"/>
              <w:snapToGrid w:val="0"/>
              <w:spacing w:before="65" w:beforeLines="20" w:after="65" w:afterLines="20" w:line="276" w:lineRule="auto"/>
              <w:jc w:val="both"/>
              <w:rPr>
                <w:rFonts w:ascii="Arial" w:hAnsi="Arial" w:eastAsia="宋体" w:cs="Arial"/>
                <w:b/>
                <w:sz w:val="24"/>
                <w:szCs w:val="24"/>
              </w:rPr>
            </w:pPr>
            <w:r>
              <w:rPr>
                <w:rFonts w:ascii="Arial" w:hAnsi="Arial" w:eastAsia="宋体" w:cs="Arial"/>
                <w:b/>
                <w:sz w:val="24"/>
                <w:szCs w:val="24"/>
              </w:rPr>
              <w:t>湿热</w:t>
            </w:r>
          </w:p>
        </w:tc>
        <w:tc>
          <w:tcPr>
            <w:tcW w:w="2517" w:type="dxa"/>
            <w:vAlign w:val="center"/>
          </w:tcPr>
          <w:p w14:paraId="43D64D5A">
            <w:pPr>
              <w:pStyle w:val="41"/>
              <w:shd w:val="clear" w:color="auto" w:fill="auto"/>
              <w:adjustRightInd w:val="0"/>
              <w:snapToGrid w:val="0"/>
              <w:spacing w:before="65" w:beforeLines="20" w:after="65" w:afterLines="20" w:line="276" w:lineRule="auto"/>
              <w:jc w:val="both"/>
              <w:rPr>
                <w:rFonts w:ascii="Arial" w:hAnsi="Arial" w:eastAsia="宋体" w:cs="Arial"/>
                <w:sz w:val="24"/>
                <w:szCs w:val="24"/>
              </w:rPr>
            </w:pPr>
            <w:r>
              <w:rPr>
                <w:rFonts w:ascii="Arial" w:hAnsi="Arial" w:eastAsia="宋体" w:cs="Arial"/>
                <w:sz w:val="24"/>
                <w:szCs w:val="24"/>
              </w:rPr>
              <w:t>ISO 11134</w:t>
            </w:r>
          </w:p>
        </w:tc>
        <w:tc>
          <w:tcPr>
            <w:tcW w:w="2228" w:type="dxa"/>
            <w:vAlign w:val="center"/>
          </w:tcPr>
          <w:p w14:paraId="3954FFCB">
            <w:pPr>
              <w:pStyle w:val="41"/>
              <w:shd w:val="clear" w:color="auto" w:fill="auto"/>
              <w:adjustRightInd w:val="0"/>
              <w:snapToGrid w:val="0"/>
              <w:spacing w:before="65" w:beforeLines="20" w:after="65" w:afterLines="20" w:line="276" w:lineRule="auto"/>
              <w:jc w:val="both"/>
              <w:rPr>
                <w:rFonts w:ascii="Arial" w:hAnsi="Arial" w:eastAsia="宋体" w:cs="Arial"/>
                <w:sz w:val="24"/>
                <w:szCs w:val="24"/>
              </w:rPr>
            </w:pPr>
            <w:r>
              <w:rPr>
                <w:rFonts w:ascii="Arial" w:hAnsi="Arial" w:eastAsia="宋体" w:cs="Arial"/>
                <w:sz w:val="24"/>
                <w:szCs w:val="24"/>
              </w:rPr>
              <w:t>ANSI/AAMI ST 46</w:t>
            </w:r>
          </w:p>
        </w:tc>
      </w:tr>
    </w:tbl>
    <w:p w14:paraId="5B31C8D8">
      <w:pPr>
        <w:pStyle w:val="41"/>
        <w:shd w:val="clear" w:color="auto" w:fill="auto"/>
        <w:adjustRightInd w:val="0"/>
        <w:snapToGrid w:val="0"/>
        <w:spacing w:before="0" w:after="163" w:afterLines="50" w:line="300" w:lineRule="auto"/>
        <w:jc w:val="both"/>
        <w:rPr>
          <w:rFonts w:ascii="Arial" w:hAnsi="Arial" w:eastAsia="宋体" w:cs="Arial"/>
          <w:sz w:val="24"/>
          <w:szCs w:val="24"/>
        </w:rPr>
      </w:pPr>
    </w:p>
    <w:p w14:paraId="535C3F92">
      <w:pPr>
        <w:pStyle w:val="41"/>
        <w:shd w:val="clear" w:color="auto" w:fill="auto"/>
        <w:adjustRightInd w:val="0"/>
        <w:snapToGrid w:val="0"/>
        <w:spacing w:before="0" w:after="163" w:afterLines="50" w:line="300" w:lineRule="auto"/>
        <w:ind w:left="720" w:leftChars="300" w:right="480" w:rightChars="200"/>
        <w:jc w:val="both"/>
        <w:rPr>
          <w:rFonts w:ascii="Arial" w:hAnsi="Arial" w:eastAsia="宋体" w:cs="Arial"/>
          <w:sz w:val="24"/>
          <w:szCs w:val="24"/>
        </w:rPr>
      </w:pPr>
      <w:r>
        <w:rPr>
          <w:rFonts w:ascii="Arial" w:hAnsi="Arial" w:eastAsia="宋体" w:cs="Arial"/>
          <w:sz w:val="24"/>
          <w:szCs w:val="24"/>
        </w:rPr>
        <w:t>请注意，ANSI / AAMI ST 41声明其</w:t>
      </w:r>
      <w:r>
        <w:rPr>
          <w:rFonts w:ascii="Arial" w:hAnsi="Arial" w:eastAsia="宋体" w:cs="Arial"/>
          <w:sz w:val="24"/>
          <w:szCs w:val="24"/>
          <w:u w:val="single"/>
        </w:rPr>
        <w:t>未</w:t>
      </w:r>
      <w:r>
        <w:rPr>
          <w:rFonts w:ascii="Arial" w:hAnsi="Arial" w:eastAsia="宋体" w:cs="Arial"/>
          <w:sz w:val="24"/>
          <w:szCs w:val="24"/>
        </w:rPr>
        <w:t>涵盖标识为仅供一次性使用的物品的再处理。ANSI / AAMI ST 46的修订版已经成文，文中指出类似SUD的再处理除外。</w:t>
      </w:r>
    </w:p>
    <w:p w14:paraId="2DC4B63A">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在决定用于SUD灭菌的标准时，请记住，如果医院对SUD进行再处理，则被FDA视为制造商。因此，FDA期望医院对SUD再处理的灭菌程序应满足行业标准的要求，或与行业标准有同样严格的科学依据。</w:t>
      </w:r>
    </w:p>
    <w:p w14:paraId="084EE4CE">
      <w:pPr>
        <w:pStyle w:val="41"/>
        <w:shd w:val="clear" w:color="auto" w:fill="auto"/>
        <w:adjustRightInd w:val="0"/>
        <w:snapToGrid w:val="0"/>
        <w:spacing w:before="0" w:after="163" w:afterLines="50" w:line="300" w:lineRule="auto"/>
        <w:jc w:val="both"/>
        <w:rPr>
          <w:rFonts w:ascii="Arial" w:hAnsi="Arial" w:eastAsia="宋体" w:cs="Arial"/>
          <w:sz w:val="24"/>
          <w:szCs w:val="24"/>
        </w:rPr>
      </w:pPr>
    </w:p>
    <w:p w14:paraId="30A82D6E">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与医疗保险和医疗补助服务中心</w:t>
      </w:r>
    </w:p>
    <w:p w14:paraId="2B9991E5">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（原卫生保健财政管理局）有关的问题</w:t>
      </w:r>
    </w:p>
    <w:p w14:paraId="5B7D1280">
      <w:pPr>
        <w:adjustRightInd w:val="0"/>
        <w:snapToGrid w:val="0"/>
        <w:spacing w:after="163" w:afterLines="50" w:line="300" w:lineRule="auto"/>
        <w:jc w:val="both"/>
        <w:rPr>
          <w:rFonts w:ascii="Arial" w:hAnsi="Arial" w:eastAsia="宋体" w:cs="Arial"/>
          <w:b/>
          <w:szCs w:val="24"/>
        </w:rPr>
      </w:pPr>
    </w:p>
    <w:p w14:paraId="5B7B22AF">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FDA将与医疗保健和医疗补助服务中心（原卫生保健财政管理局）合作，是否将合规性与偿付或参与医疗保险和医疗补助计划联系起来？</w:t>
      </w:r>
    </w:p>
    <w:p w14:paraId="62BB2B32">
      <w:pPr>
        <w:pStyle w:val="41"/>
        <w:shd w:val="clear" w:color="auto" w:fill="auto"/>
        <w:adjustRightInd w:val="0"/>
        <w:snapToGrid w:val="0"/>
        <w:spacing w:before="0" w:after="163" w:afterLines="50" w:line="300" w:lineRule="auto"/>
        <w:jc w:val="both"/>
        <w:rPr>
          <w:rFonts w:ascii="Arial" w:hAnsi="Arial" w:eastAsia="宋体" w:cs="Arial"/>
          <w:sz w:val="24"/>
          <w:szCs w:val="24"/>
        </w:rPr>
      </w:pPr>
    </w:p>
    <w:p w14:paraId="4775A6E0">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：是的。FDA和医疗保险和医疗补助服务中心（CMS）已同意合作，以确保医院对SUD再处理的安全运行。FDA计划将任何不符合FDA再处理规定的医院SUD再处理者告知CMS。</w:t>
      </w:r>
    </w:p>
    <w:p w14:paraId="40E60629">
      <w:pPr>
        <w:pStyle w:val="41"/>
        <w:shd w:val="clear" w:color="auto" w:fill="auto"/>
        <w:adjustRightInd w:val="0"/>
        <w:snapToGrid w:val="0"/>
        <w:spacing w:before="0" w:after="163" w:afterLines="50" w:line="300" w:lineRule="auto"/>
        <w:jc w:val="both"/>
        <w:rPr>
          <w:rFonts w:ascii="Arial" w:hAnsi="Arial" w:eastAsia="宋体" w:cs="Arial"/>
          <w:sz w:val="24"/>
          <w:szCs w:val="24"/>
        </w:rPr>
      </w:pPr>
    </w:p>
    <w:p w14:paraId="30B68AA8">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与附录A有关的问题</w:t>
      </w:r>
    </w:p>
    <w:p w14:paraId="0925F62F">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如果8月14日指导性文件的附录A（已知需要再处理的SUD列表）中列出了某种特定的器械，则是否意味着FDA认为该器械可安全地再处理？</w:t>
      </w:r>
    </w:p>
    <w:p w14:paraId="39203485">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否。附录A只是FDA已认为可进行再处理的那些类型的器械列表，这并不意味着特定类型的器械可以或不可以安全地再处理。事实上，不可能制定这样的列表。器械是否可以安全地再处理，不仅取决于器械，还取决于再处理者以及用于清洁和灭菌的方法。由于器械使用的材料或设计，特定类型器械中的某些型号可能可以安全地再处理，而其他型号则可能不行。</w:t>
      </w:r>
    </w:p>
    <w:p w14:paraId="1376DE66">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如果器械在SUD列表（附录A）中标识为</w:t>
      </w:r>
      <w:r>
        <w:rPr>
          <w:rFonts w:ascii="宋体" w:hAnsi="宋体" w:eastAsia="宋体" w:cs="Arial"/>
          <w:sz w:val="24"/>
          <w:szCs w:val="24"/>
        </w:rPr>
        <w:t>“</w:t>
      </w:r>
      <w:r>
        <w:rPr>
          <w:rFonts w:ascii="Arial" w:hAnsi="Arial" w:eastAsia="宋体" w:cs="Arial"/>
          <w:sz w:val="24"/>
          <w:szCs w:val="24"/>
        </w:rPr>
        <w:t>豁免</w:t>
      </w:r>
      <w:r>
        <w:rPr>
          <w:rFonts w:ascii="宋体" w:hAnsi="宋体" w:eastAsia="宋体" w:cs="Arial"/>
          <w:sz w:val="24"/>
          <w:szCs w:val="24"/>
        </w:rPr>
        <w:t>”</w:t>
      </w:r>
      <w:r>
        <w:rPr>
          <w:rFonts w:ascii="Arial" w:hAnsi="Arial" w:eastAsia="宋体" w:cs="Arial"/>
          <w:sz w:val="24"/>
          <w:szCs w:val="24"/>
        </w:rPr>
        <w:t>，是否免除上市前和非上市前的要求？</w:t>
      </w:r>
    </w:p>
    <w:p w14:paraId="15CC3A0C">
      <w:pPr>
        <w:pStyle w:val="41"/>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否。在</w:t>
      </w:r>
      <w:r>
        <w:rPr>
          <w:rFonts w:ascii="宋体" w:hAnsi="宋体" w:eastAsia="宋体" w:cs="Arial"/>
          <w:sz w:val="24"/>
          <w:szCs w:val="24"/>
        </w:rPr>
        <w:t>“</w:t>
      </w:r>
      <w:r>
        <w:rPr>
          <w:rFonts w:ascii="Arial" w:hAnsi="Arial" w:eastAsia="宋体" w:cs="Arial"/>
          <w:sz w:val="24"/>
          <w:szCs w:val="24"/>
        </w:rPr>
        <w:t>豁免（Y / N）</w:t>
      </w:r>
      <w:r>
        <w:rPr>
          <w:rFonts w:ascii="宋体" w:hAnsi="宋体" w:eastAsia="宋体" w:cs="Arial"/>
          <w:sz w:val="24"/>
          <w:szCs w:val="24"/>
        </w:rPr>
        <w:t>”</w:t>
      </w:r>
      <w:r>
        <w:rPr>
          <w:rFonts w:ascii="Arial" w:hAnsi="Arial" w:eastAsia="宋体" w:cs="Arial"/>
          <w:sz w:val="24"/>
          <w:szCs w:val="24"/>
        </w:rPr>
        <w:t>栏中的</w:t>
      </w:r>
      <w:r>
        <w:rPr>
          <w:rFonts w:ascii="宋体" w:hAnsi="宋体" w:eastAsia="宋体" w:cs="Arial"/>
          <w:sz w:val="24"/>
          <w:szCs w:val="24"/>
        </w:rPr>
        <w:t>“</w:t>
      </w:r>
      <w:r>
        <w:rPr>
          <w:rFonts w:ascii="Arial" w:hAnsi="Arial" w:eastAsia="宋体" w:cs="Arial"/>
          <w:sz w:val="24"/>
          <w:szCs w:val="24"/>
        </w:rPr>
        <w:t>Y</w:t>
      </w:r>
      <w:r>
        <w:rPr>
          <w:rFonts w:ascii="宋体" w:hAnsi="宋体" w:eastAsia="宋体" w:cs="Arial"/>
          <w:sz w:val="24"/>
          <w:szCs w:val="24"/>
        </w:rPr>
        <w:t>”</w:t>
      </w:r>
      <w:r>
        <w:rPr>
          <w:rFonts w:ascii="Arial" w:hAnsi="Arial" w:eastAsia="宋体" w:cs="Arial"/>
          <w:sz w:val="24"/>
          <w:szCs w:val="24"/>
        </w:rPr>
        <w:t>（是） 意味着该器械仅豁免上市前要求，并无任何信息说明该器械是否可以豁免任何非上市前监管的要求。已有修订的列表，包含了一列</w:t>
      </w:r>
      <w:r>
        <w:rPr>
          <w:rFonts w:ascii="宋体" w:hAnsi="宋体" w:eastAsia="宋体" w:cs="Arial"/>
          <w:sz w:val="24"/>
          <w:szCs w:val="24"/>
        </w:rPr>
        <w:t>“</w:t>
      </w:r>
      <w:r>
        <w:rPr>
          <w:rFonts w:ascii="Arial" w:hAnsi="Arial" w:eastAsia="宋体" w:cs="Arial"/>
          <w:sz w:val="24"/>
          <w:szCs w:val="24"/>
        </w:rPr>
        <w:t>上市前豁免</w:t>
      </w:r>
      <w:r>
        <w:rPr>
          <w:rFonts w:ascii="宋体" w:hAnsi="宋体" w:eastAsia="宋体" w:cs="Arial"/>
          <w:sz w:val="24"/>
          <w:szCs w:val="24"/>
        </w:rPr>
        <w:t>”</w:t>
      </w:r>
      <w:r>
        <w:rPr>
          <w:rFonts w:ascii="Arial" w:hAnsi="Arial" w:eastAsia="宋体" w:cs="Arial"/>
          <w:sz w:val="24"/>
          <w:szCs w:val="24"/>
        </w:rPr>
        <w:t>和一列</w:t>
      </w:r>
      <w:r>
        <w:rPr>
          <w:rFonts w:ascii="宋体" w:hAnsi="宋体" w:eastAsia="宋体" w:cs="Arial"/>
          <w:sz w:val="24"/>
          <w:szCs w:val="24"/>
        </w:rPr>
        <w:t>“</w:t>
      </w:r>
      <w:r>
        <w:rPr>
          <w:rFonts w:ascii="Arial" w:hAnsi="Arial" w:eastAsia="宋体" w:cs="Arial"/>
          <w:sz w:val="24"/>
          <w:szCs w:val="24"/>
        </w:rPr>
        <w:t>GMP 豁免</w:t>
      </w:r>
      <w:r>
        <w:rPr>
          <w:rFonts w:ascii="宋体" w:hAnsi="宋体" w:eastAsia="宋体" w:cs="Arial"/>
          <w:sz w:val="24"/>
          <w:szCs w:val="24"/>
        </w:rPr>
        <w:t>”</w:t>
      </w:r>
      <w:r>
        <w:rPr>
          <w:rFonts w:ascii="Arial" w:hAnsi="Arial" w:eastAsia="宋体" w:cs="Arial"/>
          <w:sz w:val="24"/>
          <w:szCs w:val="24"/>
        </w:rPr>
        <w:t>，用于阐明适用于特定类型器械的豁免类型。该列表可以在互联网上获得</w:t>
      </w:r>
      <w:r>
        <w:fldChar w:fldCharType="begin"/>
      </w:r>
      <w:r>
        <w:instrText xml:space="preserve"> HYPERLINK "http://www.fda.gov/cdrh/reuse/1168a.html" </w:instrText>
      </w:r>
      <w:r>
        <w:fldChar w:fldCharType="separate"/>
      </w:r>
      <w:r>
        <w:rPr>
          <w:rStyle w:val="19"/>
          <w:rFonts w:ascii="Arial" w:hAnsi="Arial" w:eastAsia="宋体" w:cs="Arial"/>
          <w:color w:val="0000FF"/>
          <w:sz w:val="24"/>
          <w:szCs w:val="24"/>
        </w:rPr>
        <w:t>www.fda.gov/cdrh/reuse/1168a.html</w:t>
      </w:r>
      <w:r>
        <w:rPr>
          <w:rStyle w:val="19"/>
          <w:rFonts w:ascii="Arial" w:hAnsi="Arial" w:eastAsia="宋体" w:cs="Arial"/>
          <w:color w:val="0000FF"/>
          <w:sz w:val="24"/>
          <w:szCs w:val="24"/>
        </w:rPr>
        <w:fldChar w:fldCharType="end"/>
      </w:r>
      <w:r>
        <w:rPr>
          <w:rFonts w:ascii="Arial" w:hAnsi="Arial" w:eastAsia="宋体" w:cs="Arial"/>
          <w:sz w:val="24"/>
          <w:szCs w:val="24"/>
        </w:rPr>
        <w:t>。</w:t>
      </w:r>
    </w:p>
    <w:p w14:paraId="2C120A0A">
      <w:pPr>
        <w:adjustRightInd w:val="0"/>
        <w:snapToGrid w:val="0"/>
        <w:spacing w:after="163" w:afterLines="50" w:line="300" w:lineRule="auto"/>
        <w:jc w:val="both"/>
        <w:rPr>
          <w:rFonts w:ascii="Arial" w:hAnsi="Arial" w:eastAsia="宋体" w:cs="Arial"/>
          <w:b/>
          <w:szCs w:val="24"/>
        </w:rPr>
      </w:pPr>
    </w:p>
    <w:p w14:paraId="6141EAFB">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与特定器械有关的问题</w:t>
      </w:r>
    </w:p>
    <w:p w14:paraId="21B74A3C">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从哪里可以获得我所感兴趣的SUD再处理的具体指南？</w:t>
      </w:r>
    </w:p>
    <w:p w14:paraId="080FA6AB">
      <w:pPr>
        <w:adjustRightInd w:val="0"/>
        <w:snapToGrid w:val="0"/>
        <w:spacing w:after="163" w:afterLines="50" w:line="300" w:lineRule="auto"/>
        <w:rPr>
          <w:rFonts w:ascii="Arial" w:hAnsi="Arial" w:eastAsia="宋体" w:cs="Arial"/>
          <w:b/>
          <w:szCs w:val="24"/>
        </w:rPr>
      </w:pPr>
      <w:r>
        <w:rPr>
          <w:rFonts w:ascii="Arial" w:hAnsi="Arial" w:eastAsia="宋体" w:cs="Arial"/>
          <w:b/>
          <w:szCs w:val="24"/>
        </w:rPr>
        <w:t>答：</w:t>
      </w:r>
      <w:r>
        <w:rPr>
          <w:rFonts w:ascii="Arial" w:hAnsi="Arial" w:eastAsia="宋体" w:cs="Arial"/>
          <w:szCs w:val="24"/>
        </w:rPr>
        <w:t>您可以在我们的网站</w:t>
      </w:r>
      <w:r>
        <w:rPr>
          <w:rStyle w:val="19"/>
          <w:rFonts w:ascii="Arial" w:hAnsi="Arial" w:eastAsia="宋体" w:cs="Arial"/>
          <w:color w:val="0000FF"/>
          <w:kern w:val="2"/>
          <w:szCs w:val="24"/>
        </w:rPr>
        <w:t>http://www.fda.gov/cdrh/guidance.html</w:t>
      </w:r>
      <w:r>
        <w:rPr>
          <w:rFonts w:ascii="Arial" w:hAnsi="Arial" w:eastAsia="宋体" w:cs="Arial"/>
          <w:szCs w:val="24"/>
        </w:rPr>
        <w:t xml:space="preserve">和 </w:t>
      </w:r>
      <w:r>
        <w:fldChar w:fldCharType="begin"/>
      </w:r>
      <w:r>
        <w:instrText xml:space="preserve"> HYPERLINK "http://www.fda.gov/cdrh/devadvice/11.html" </w:instrText>
      </w:r>
      <w:r>
        <w:fldChar w:fldCharType="separate"/>
      </w:r>
      <w:r>
        <w:rPr>
          <w:rStyle w:val="19"/>
          <w:rFonts w:ascii="Arial" w:hAnsi="Arial" w:eastAsia="宋体" w:cs="Arial"/>
          <w:color w:val="0000FF"/>
          <w:szCs w:val="24"/>
        </w:rPr>
        <w:t>http://www.fda.gov/cdrh/devadvice/11.html</w:t>
      </w:r>
      <w:r>
        <w:rPr>
          <w:rStyle w:val="19"/>
          <w:rFonts w:ascii="Arial" w:hAnsi="Arial" w:eastAsia="宋体" w:cs="Arial"/>
          <w:color w:val="0000FF"/>
          <w:szCs w:val="24"/>
        </w:rPr>
        <w:fldChar w:fldCharType="end"/>
      </w:r>
      <w:r>
        <w:rPr>
          <w:rFonts w:ascii="Arial" w:hAnsi="Arial" w:eastAsia="宋体" w:cs="Arial"/>
          <w:szCs w:val="24"/>
        </w:rPr>
        <w:t>上搜索特定器械的指南。</w:t>
      </w:r>
    </w:p>
    <w:p w14:paraId="11776757">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如何获取有关再处理SUD的上市前通知[510（k）]提交或上市前批准（PMA）申请的状态信息？</w:t>
      </w:r>
    </w:p>
    <w:p w14:paraId="5B76D866">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kern w:val="0"/>
          <w:sz w:val="24"/>
          <w:szCs w:val="24"/>
        </w:rPr>
        <w:t>答：</w:t>
      </w:r>
      <w:r>
        <w:rPr>
          <w:rFonts w:ascii="Arial" w:hAnsi="Arial" w:eastAsia="宋体" w:cs="Arial"/>
          <w:kern w:val="0"/>
          <w:sz w:val="24"/>
          <w:szCs w:val="24"/>
        </w:rPr>
        <w:t>在FDA审查下的申请状态是保密的。一旦申请被许可或批准，即会纳入</w:t>
      </w:r>
      <w:r>
        <w:rPr>
          <w:rFonts w:ascii="Arial" w:hAnsi="Arial" w:eastAsia="宋体" w:cs="Arial"/>
          <w:sz w:val="24"/>
          <w:szCs w:val="24"/>
        </w:rPr>
        <w:t>FDA在互联网上的发布数据库</w:t>
      </w:r>
      <w:r>
        <w:fldChar w:fldCharType="begin"/>
      </w:r>
      <w:r>
        <w:instrText xml:space="preserve"> HYPERLINK "http://www.fda.gov/cdrh/databases.html" </w:instrText>
      </w:r>
      <w:r>
        <w:fldChar w:fldCharType="separate"/>
      </w:r>
      <w:r>
        <w:rPr>
          <w:rStyle w:val="19"/>
          <w:rFonts w:ascii="Arial" w:hAnsi="Arial" w:eastAsia="宋体" w:cs="Arial"/>
          <w:color w:val="0000FF"/>
          <w:sz w:val="24"/>
          <w:szCs w:val="24"/>
        </w:rPr>
        <w:t>http://www.fda.gov/cdrh/databases.htm</w:t>
      </w:r>
      <w:r>
        <w:rPr>
          <w:rStyle w:val="19"/>
          <w:rFonts w:ascii="Arial" w:hAnsi="Arial" w:eastAsia="宋体" w:cs="Arial"/>
          <w:sz w:val="24"/>
          <w:szCs w:val="24"/>
        </w:rPr>
        <w:t>l</w:t>
      </w:r>
      <w:r>
        <w:rPr>
          <w:rStyle w:val="19"/>
          <w:rFonts w:ascii="Arial" w:hAnsi="Arial" w:eastAsia="宋体" w:cs="Arial"/>
          <w:sz w:val="24"/>
          <w:szCs w:val="24"/>
        </w:rPr>
        <w:fldChar w:fldCharType="end"/>
      </w:r>
      <w:r>
        <w:rPr>
          <w:rFonts w:ascii="Arial" w:hAnsi="Arial" w:eastAsia="宋体" w:cs="Arial"/>
          <w:sz w:val="24"/>
          <w:szCs w:val="24"/>
        </w:rPr>
        <w:t>，可点击上市前通知数据库[510（k）s]或上市前批准数据库（PMA）。</w:t>
      </w:r>
    </w:p>
    <w:p w14:paraId="30721B0F">
      <w:pPr>
        <w:pStyle w:val="41"/>
        <w:shd w:val="clear" w:color="auto" w:fill="auto"/>
        <w:adjustRightInd w:val="0"/>
        <w:snapToGrid w:val="0"/>
        <w:spacing w:before="0" w:after="163" w:afterLines="50" w:line="300" w:lineRule="auto"/>
        <w:jc w:val="both"/>
        <w:rPr>
          <w:rFonts w:ascii="Arial" w:hAnsi="Arial" w:eastAsia="宋体" w:cs="Arial"/>
          <w:sz w:val="24"/>
          <w:szCs w:val="24"/>
        </w:rPr>
      </w:pPr>
    </w:p>
    <w:p w14:paraId="4859C12B">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与注册和器械上市列名有关的问题</w:t>
      </w:r>
    </w:p>
    <w:p w14:paraId="196F869E">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我们如何注册我们的设施并对我们正在再处理的SUD申请上市列名？</w:t>
      </w:r>
    </w:p>
    <w:p w14:paraId="6116A5F2">
      <w:pPr>
        <w:pStyle w:val="41"/>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首次注册的医疗器械设施应完成FDA 2891（器械设施的初次注册）表。如果您收到的表没有预先打印的代码，请输入再处理者的设施类型代码</w:t>
      </w:r>
      <w:r>
        <w:rPr>
          <w:rFonts w:ascii="宋体" w:hAnsi="宋体" w:eastAsia="宋体" w:cs="Arial"/>
          <w:sz w:val="24"/>
          <w:szCs w:val="24"/>
        </w:rPr>
        <w:t>“</w:t>
      </w:r>
      <w:r>
        <w:rPr>
          <w:rFonts w:ascii="Arial" w:hAnsi="Arial" w:eastAsia="宋体" w:cs="Arial"/>
          <w:sz w:val="24"/>
          <w:szCs w:val="24"/>
        </w:rPr>
        <w:t>MB</w:t>
      </w:r>
      <w:r>
        <w:rPr>
          <w:rFonts w:ascii="宋体" w:hAnsi="宋体" w:eastAsia="宋体" w:cs="Arial"/>
          <w:sz w:val="24"/>
          <w:szCs w:val="24"/>
        </w:rPr>
        <w:t>”</w:t>
      </w:r>
      <w:r>
        <w:rPr>
          <w:rFonts w:ascii="Arial" w:hAnsi="Arial" w:eastAsia="宋体" w:cs="Arial"/>
          <w:sz w:val="24"/>
          <w:szCs w:val="24"/>
        </w:rPr>
        <w:t>。您应列出您的设施进行再处理的所有SUD，并为当前进行再处理的每种器械类型提交FDA 2892（器械清单）表。有关如何获得空白注册和列名表以及如何完成填写的信息，请参见互联网</w:t>
      </w:r>
      <w:r>
        <w:fldChar w:fldCharType="begin"/>
      </w:r>
      <w:r>
        <w:instrText xml:space="preserve"> HYPERLINK "http://www.fda.gov/cdrh/reglistpage.html" </w:instrText>
      </w:r>
      <w:r>
        <w:fldChar w:fldCharType="separate"/>
      </w:r>
      <w:r>
        <w:rPr>
          <w:rStyle w:val="19"/>
          <w:rFonts w:ascii="Arial" w:hAnsi="Arial" w:eastAsia="宋体" w:cs="Arial"/>
          <w:color w:val="0000FF"/>
          <w:sz w:val="24"/>
          <w:szCs w:val="24"/>
        </w:rPr>
        <w:t>http://www.fda.gov/cdrh/reglistpage.html</w:t>
      </w:r>
      <w:r>
        <w:rPr>
          <w:rStyle w:val="19"/>
          <w:rFonts w:ascii="Arial" w:hAnsi="Arial" w:eastAsia="宋体" w:cs="Arial"/>
          <w:color w:val="0000FF"/>
          <w:sz w:val="24"/>
          <w:szCs w:val="24"/>
        </w:rPr>
        <w:fldChar w:fldCharType="end"/>
      </w:r>
      <w:r>
        <w:rPr>
          <w:rFonts w:ascii="Arial" w:hAnsi="Arial" w:eastAsia="宋体" w:cs="Arial"/>
          <w:sz w:val="24"/>
          <w:szCs w:val="24"/>
        </w:rPr>
        <w:t>。</w:t>
      </w:r>
    </w:p>
    <w:p w14:paraId="5042B3AA">
      <w:pPr>
        <w:spacing w:after="0" w:line="240" w:lineRule="auto"/>
        <w:rPr>
          <w:rFonts w:ascii="Arial" w:hAnsi="Arial" w:eastAsia="宋体" w:cs="Arial"/>
          <w:kern w:val="2"/>
          <w:szCs w:val="24"/>
        </w:rPr>
      </w:pPr>
    </w:p>
    <w:p w14:paraId="26188EE1">
      <w:pPr>
        <w:pStyle w:val="54"/>
        <w:shd w:val="clear" w:color="auto" w:fill="auto"/>
        <w:adjustRightInd w:val="0"/>
        <w:snapToGrid w:val="0"/>
        <w:spacing w:before="0" w:after="163" w:afterLines="50" w:line="300" w:lineRule="auto"/>
        <w:jc w:val="both"/>
        <w:rPr>
          <w:rFonts w:ascii="Arial" w:hAnsi="Arial" w:eastAsia="宋体" w:cs="Arial"/>
          <w:sz w:val="24"/>
          <w:szCs w:val="24"/>
        </w:rPr>
        <w:sectPr>
          <w:footerReference r:id="rId7" w:type="default"/>
          <w:pgSz w:w="11906" w:h="16838"/>
          <w:pgMar w:top="1440" w:right="1800" w:bottom="1440" w:left="1800" w:header="851" w:footer="720" w:gutter="0"/>
          <w:pgNumType w:start="1"/>
          <w:cols w:space="425" w:num="1"/>
          <w:docGrid w:type="lines" w:linePitch="326" w:charSpace="0"/>
        </w:sectPr>
      </w:pPr>
    </w:p>
    <w:p w14:paraId="73DD0419">
      <w:pPr>
        <w:pStyle w:val="54"/>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请注意</w:t>
      </w:r>
      <w:r>
        <w:rPr>
          <w:rFonts w:hint="eastAsia" w:ascii="Arial" w:hAnsi="Arial" w:eastAsia="宋体" w:cs="Arial"/>
          <w:sz w:val="24"/>
          <w:szCs w:val="24"/>
        </w:rPr>
        <w:t>：</w:t>
      </w:r>
      <w:r>
        <w:rPr>
          <w:rFonts w:ascii="Arial" w:hAnsi="Arial" w:eastAsia="宋体" w:cs="Arial"/>
          <w:sz w:val="24"/>
          <w:szCs w:val="24"/>
        </w:rPr>
        <w:t>更多问题可参见</w:t>
      </w:r>
    </w:p>
    <w:p w14:paraId="5A427A47">
      <w:pPr>
        <w:pStyle w:val="54"/>
        <w:shd w:val="clear" w:color="auto" w:fill="auto"/>
        <w:adjustRightInd w:val="0"/>
        <w:snapToGrid w:val="0"/>
        <w:spacing w:before="0" w:after="163" w:afterLines="50" w:line="300" w:lineRule="auto"/>
        <w:jc w:val="both"/>
        <w:rPr>
          <w:rFonts w:ascii="Arial" w:hAnsi="Arial" w:eastAsia="宋体" w:cs="Arial"/>
          <w:color w:val="0000FF"/>
          <w:sz w:val="24"/>
          <w:szCs w:val="24"/>
        </w:rPr>
      </w:pPr>
      <w:r>
        <w:fldChar w:fldCharType="begin"/>
      </w:r>
      <w:r>
        <w:instrText xml:space="preserve"> HYPERLINK "http://www.fda.gov/cdrh/ohip/guidance/1408.html" </w:instrText>
      </w:r>
      <w:r>
        <w:fldChar w:fldCharType="separate"/>
      </w:r>
      <w:r>
        <w:rPr>
          <w:rStyle w:val="19"/>
          <w:rFonts w:ascii="Arial" w:hAnsi="Arial" w:eastAsia="宋体" w:cs="Arial"/>
          <w:color w:val="0000FF"/>
          <w:sz w:val="24"/>
          <w:szCs w:val="24"/>
        </w:rPr>
        <w:t>http://www.fda.gov/cdrh/ohip/guidance/1408.html</w:t>
      </w:r>
      <w:r>
        <w:rPr>
          <w:rStyle w:val="19"/>
          <w:rFonts w:ascii="Arial" w:hAnsi="Arial" w:eastAsia="宋体" w:cs="Arial"/>
          <w:color w:val="0000FF"/>
          <w:sz w:val="24"/>
          <w:szCs w:val="24"/>
        </w:rPr>
        <w:fldChar w:fldCharType="end"/>
      </w:r>
    </w:p>
    <w:p w14:paraId="67DD52E1">
      <w:pPr>
        <w:snapToGrid w:val="0"/>
        <w:spacing w:after="120" w:afterLines="50" w:line="300" w:lineRule="auto"/>
        <w:jc w:val="center"/>
        <w:rPr>
          <w:rFonts w:hint="eastAsia" w:eastAsia="宋体"/>
          <w:lang w:eastAsia="zh-CN"/>
        </w:rPr>
      </w:pPr>
    </w:p>
    <w:p w14:paraId="586C2B84">
      <w:pPr>
        <w:snapToGrid w:val="0"/>
        <w:spacing w:after="120" w:afterLines="50" w:line="300" w:lineRule="auto"/>
        <w:jc w:val="center"/>
        <w:rPr>
          <w:rFonts w:hint="eastAsia" w:eastAsia="宋体"/>
          <w:lang w:eastAsia="zh-CN"/>
        </w:rPr>
      </w:pPr>
    </w:p>
    <w:p w14:paraId="20857798">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8" w:type="default"/>
      <w:pgSz w:w="11906" w:h="16838"/>
      <w:pgMar w:top="1440" w:right="1800" w:bottom="1440" w:left="1800" w:header="851" w:footer="72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45187177"/>
      <w:docPartObj>
        <w:docPartGallery w:val="AutoText"/>
      </w:docPartObj>
    </w:sdtPr>
    <w:sdtEndPr>
      <w:rPr>
        <w:rFonts w:ascii="Arial" w:hAnsi="Arial" w:cs="Arial"/>
      </w:rPr>
    </w:sdtEndPr>
    <w:sdtContent>
      <w:p w14:paraId="085AB7BC">
        <w:pPr>
          <w:pStyle w:val="14"/>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i</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133625812"/>
      <w:docPartObj>
        <w:docPartGallery w:val="AutoText"/>
      </w:docPartObj>
    </w:sdtPr>
    <w:sdtEndPr>
      <w:rPr>
        <w:rFonts w:ascii="Arial" w:hAnsi="Arial" w:cs="Arial"/>
      </w:rPr>
    </w:sdtEndPr>
    <w:sdtContent>
      <w:p w14:paraId="227C6820">
        <w:pPr>
          <w:pStyle w:val="14"/>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7</w:t>
        </w:r>
        <w:r>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4E2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460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56635A53"/>
    <w:multiLevelType w:val="multilevel"/>
    <w:tmpl w:val="56635A5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3DC0024"/>
    <w:multiLevelType w:val="multilevel"/>
    <w:tmpl w:val="73DC00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1"/>
    <w:rsid w:val="0006380A"/>
    <w:rsid w:val="000909A9"/>
    <w:rsid w:val="000B034A"/>
    <w:rsid w:val="000C7C9F"/>
    <w:rsid w:val="000E2284"/>
    <w:rsid w:val="000E4D2A"/>
    <w:rsid w:val="00102039"/>
    <w:rsid w:val="00152B98"/>
    <w:rsid w:val="00154A9D"/>
    <w:rsid w:val="001663BD"/>
    <w:rsid w:val="0019595A"/>
    <w:rsid w:val="001B36FB"/>
    <w:rsid w:val="001D47CE"/>
    <w:rsid w:val="00223EFA"/>
    <w:rsid w:val="002338E3"/>
    <w:rsid w:val="00262939"/>
    <w:rsid w:val="00290E1D"/>
    <w:rsid w:val="002E1118"/>
    <w:rsid w:val="003037DB"/>
    <w:rsid w:val="00310138"/>
    <w:rsid w:val="00310208"/>
    <w:rsid w:val="0031495C"/>
    <w:rsid w:val="0031590E"/>
    <w:rsid w:val="0031636F"/>
    <w:rsid w:val="0035220C"/>
    <w:rsid w:val="00352D73"/>
    <w:rsid w:val="00363F43"/>
    <w:rsid w:val="00383336"/>
    <w:rsid w:val="0039424F"/>
    <w:rsid w:val="0039615F"/>
    <w:rsid w:val="003B42EF"/>
    <w:rsid w:val="003C3A93"/>
    <w:rsid w:val="003D706E"/>
    <w:rsid w:val="003F038D"/>
    <w:rsid w:val="00412206"/>
    <w:rsid w:val="00432499"/>
    <w:rsid w:val="00465FF4"/>
    <w:rsid w:val="00473C47"/>
    <w:rsid w:val="00477862"/>
    <w:rsid w:val="004C41E8"/>
    <w:rsid w:val="004D4FBF"/>
    <w:rsid w:val="004F2AFE"/>
    <w:rsid w:val="005118B4"/>
    <w:rsid w:val="00541B35"/>
    <w:rsid w:val="005808C8"/>
    <w:rsid w:val="00586A2A"/>
    <w:rsid w:val="00591075"/>
    <w:rsid w:val="0059323C"/>
    <w:rsid w:val="005B1347"/>
    <w:rsid w:val="005B6F79"/>
    <w:rsid w:val="005C540A"/>
    <w:rsid w:val="005D20EF"/>
    <w:rsid w:val="005E25DF"/>
    <w:rsid w:val="005E4FED"/>
    <w:rsid w:val="006112FF"/>
    <w:rsid w:val="006546D6"/>
    <w:rsid w:val="0066270E"/>
    <w:rsid w:val="00683819"/>
    <w:rsid w:val="006B6546"/>
    <w:rsid w:val="007355E0"/>
    <w:rsid w:val="007665A9"/>
    <w:rsid w:val="00776000"/>
    <w:rsid w:val="00782FE0"/>
    <w:rsid w:val="007E2BE3"/>
    <w:rsid w:val="007F413E"/>
    <w:rsid w:val="00801716"/>
    <w:rsid w:val="00810C74"/>
    <w:rsid w:val="00836A60"/>
    <w:rsid w:val="00870AC5"/>
    <w:rsid w:val="00872C44"/>
    <w:rsid w:val="008E14E7"/>
    <w:rsid w:val="008E397A"/>
    <w:rsid w:val="00907EF4"/>
    <w:rsid w:val="0091342C"/>
    <w:rsid w:val="00917DB6"/>
    <w:rsid w:val="009A5471"/>
    <w:rsid w:val="009D3559"/>
    <w:rsid w:val="00A06C01"/>
    <w:rsid w:val="00A119C0"/>
    <w:rsid w:val="00A152CD"/>
    <w:rsid w:val="00A407F9"/>
    <w:rsid w:val="00A917FB"/>
    <w:rsid w:val="00A97647"/>
    <w:rsid w:val="00AC2AC5"/>
    <w:rsid w:val="00AC3831"/>
    <w:rsid w:val="00AE6145"/>
    <w:rsid w:val="00B417CA"/>
    <w:rsid w:val="00B9070A"/>
    <w:rsid w:val="00B94BFC"/>
    <w:rsid w:val="00BC2B00"/>
    <w:rsid w:val="00C0675C"/>
    <w:rsid w:val="00C17F5A"/>
    <w:rsid w:val="00C266CD"/>
    <w:rsid w:val="00C53D3C"/>
    <w:rsid w:val="00CA0CBF"/>
    <w:rsid w:val="00CA4D12"/>
    <w:rsid w:val="00CD40A0"/>
    <w:rsid w:val="00CE1285"/>
    <w:rsid w:val="00CF7576"/>
    <w:rsid w:val="00D067F8"/>
    <w:rsid w:val="00D21EBB"/>
    <w:rsid w:val="00D35242"/>
    <w:rsid w:val="00D45825"/>
    <w:rsid w:val="00D51024"/>
    <w:rsid w:val="00D510F9"/>
    <w:rsid w:val="00D51D1E"/>
    <w:rsid w:val="00DA2756"/>
    <w:rsid w:val="00DB5004"/>
    <w:rsid w:val="00DB750F"/>
    <w:rsid w:val="00DC5985"/>
    <w:rsid w:val="00DF10CA"/>
    <w:rsid w:val="00E12080"/>
    <w:rsid w:val="00E17295"/>
    <w:rsid w:val="00E22566"/>
    <w:rsid w:val="00E26A11"/>
    <w:rsid w:val="00E45C5C"/>
    <w:rsid w:val="00E67698"/>
    <w:rsid w:val="00EA6B77"/>
    <w:rsid w:val="00F060AB"/>
    <w:rsid w:val="00F53639"/>
    <w:rsid w:val="00F61FFD"/>
    <w:rsid w:val="00F657F5"/>
    <w:rsid w:val="00F73BEB"/>
    <w:rsid w:val="00F744D4"/>
    <w:rsid w:val="00F7697E"/>
    <w:rsid w:val="00F834F3"/>
    <w:rsid w:val="00F86B9F"/>
    <w:rsid w:val="00FA6EE7"/>
    <w:rsid w:val="00FC28E2"/>
    <w:rsid w:val="6C0D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0"/>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1"/>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2"/>
    <w:qFormat/>
    <w:uiPriority w:val="9"/>
    <w:pPr>
      <w:keepNext/>
      <w:numPr>
        <w:ilvl w:val="2"/>
      </w:numPr>
      <w:tabs>
        <w:tab w:val="left" w:pos="720"/>
        <w:tab w:val="clear" w:pos="851"/>
      </w:tabs>
      <w:outlineLvl w:val="2"/>
    </w:pPr>
    <w:rPr>
      <w:szCs w:val="24"/>
    </w:rPr>
  </w:style>
  <w:style w:type="paragraph" w:styleId="6">
    <w:name w:val="heading 4"/>
    <w:basedOn w:val="5"/>
    <w:next w:val="1"/>
    <w:link w:val="23"/>
    <w:qFormat/>
    <w:uiPriority w:val="9"/>
    <w:pPr>
      <w:numPr>
        <w:ilvl w:val="3"/>
      </w:numPr>
      <w:tabs>
        <w:tab w:val="left" w:pos="851"/>
      </w:tabs>
      <w:outlineLvl w:val="3"/>
    </w:pPr>
  </w:style>
  <w:style w:type="paragraph" w:styleId="7">
    <w:name w:val="heading 5"/>
    <w:basedOn w:val="6"/>
    <w:next w:val="1"/>
    <w:link w:val="24"/>
    <w:qFormat/>
    <w:uiPriority w:val="9"/>
    <w:pPr>
      <w:numPr>
        <w:ilvl w:val="4"/>
      </w:numPr>
      <w:outlineLvl w:val="4"/>
    </w:pPr>
    <w:rPr>
      <w:i/>
    </w:rPr>
  </w:style>
  <w:style w:type="paragraph" w:styleId="8">
    <w:name w:val="heading 6"/>
    <w:basedOn w:val="7"/>
    <w:next w:val="1"/>
    <w:link w:val="25"/>
    <w:qFormat/>
    <w:uiPriority w:val="9"/>
    <w:pPr>
      <w:numPr>
        <w:ilvl w:val="5"/>
      </w:numPr>
      <w:outlineLvl w:val="5"/>
    </w:pPr>
  </w:style>
  <w:style w:type="paragraph" w:styleId="9">
    <w:name w:val="heading 7"/>
    <w:basedOn w:val="8"/>
    <w:next w:val="1"/>
    <w:link w:val="26"/>
    <w:qFormat/>
    <w:uiPriority w:val="9"/>
    <w:pPr>
      <w:numPr>
        <w:ilvl w:val="6"/>
      </w:numPr>
      <w:outlineLvl w:val="6"/>
    </w:pPr>
  </w:style>
  <w:style w:type="paragraph" w:styleId="10">
    <w:name w:val="heading 8"/>
    <w:basedOn w:val="9"/>
    <w:next w:val="1"/>
    <w:link w:val="27"/>
    <w:qFormat/>
    <w:uiPriority w:val="9"/>
    <w:pPr>
      <w:numPr>
        <w:ilvl w:val="7"/>
      </w:numPr>
      <w:outlineLvl w:val="7"/>
    </w:pPr>
  </w:style>
  <w:style w:type="paragraph" w:styleId="11">
    <w:name w:val="heading 9"/>
    <w:basedOn w:val="10"/>
    <w:next w:val="1"/>
    <w:link w:val="28"/>
    <w:qFormat/>
    <w:uiPriority w:val="9"/>
    <w:pPr>
      <w:numPr>
        <w:ilvl w:val="8"/>
      </w:numPr>
      <w:outlineLvl w:val="8"/>
    </w:p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toc 1"/>
    <w:basedOn w:val="1"/>
    <w:next w:val="1"/>
    <w:autoRedefine/>
    <w:semiHidden/>
    <w:unhideWhenUsed/>
    <w:qFormat/>
    <w:uiPriority w:val="39"/>
  </w:style>
  <w:style w:type="paragraph" w:styleId="12">
    <w:name w:val="caption"/>
    <w:basedOn w:val="1"/>
    <w:next w:val="1"/>
    <w:link w:val="29"/>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55"/>
    <w:semiHidden/>
    <w:unhideWhenUsed/>
    <w:qFormat/>
    <w:uiPriority w:val="99"/>
    <w:pPr>
      <w:spacing w:after="0" w:line="240" w:lineRule="auto"/>
    </w:pPr>
    <w:rPr>
      <w:sz w:val="18"/>
      <w:szCs w:val="18"/>
    </w:rPr>
  </w:style>
  <w:style w:type="paragraph" w:styleId="14">
    <w:name w:val="footer"/>
    <w:basedOn w:val="1"/>
    <w:link w:val="45"/>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7">
    <w:name w:val="Table Grid"/>
    <w:basedOn w:val="16"/>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66CC"/>
      <w:u w:val="single"/>
    </w:rPr>
  </w:style>
  <w:style w:type="character" w:customStyle="1" w:styleId="20">
    <w:name w:val="标题 1 Char"/>
    <w:basedOn w:val="18"/>
    <w:link w:val="2"/>
    <w:qFormat/>
    <w:uiPriority w:val="9"/>
    <w:rPr>
      <w:rFonts w:ascii="Times New Roman" w:hAnsi="Times New Roman" w:eastAsia="Times New Roman" w:cs="Times New Roman"/>
      <w:b/>
      <w:caps/>
      <w:kern w:val="28"/>
      <w:sz w:val="22"/>
      <w:szCs w:val="20"/>
      <w:lang w:eastAsia="en-US"/>
    </w:rPr>
  </w:style>
  <w:style w:type="character" w:customStyle="1" w:styleId="21">
    <w:name w:val="标题 2 Char"/>
    <w:basedOn w:val="18"/>
    <w:link w:val="4"/>
    <w:qFormat/>
    <w:uiPriority w:val="9"/>
    <w:rPr>
      <w:rFonts w:ascii="Times New Roman" w:hAnsi="Times New Roman" w:eastAsia="宋体" w:cs="Times New Roman"/>
      <w:b/>
      <w:kern w:val="28"/>
      <w:sz w:val="24"/>
      <w:szCs w:val="20"/>
    </w:rPr>
  </w:style>
  <w:style w:type="character" w:customStyle="1" w:styleId="22">
    <w:name w:val="标题 3 Char"/>
    <w:basedOn w:val="18"/>
    <w:link w:val="5"/>
    <w:qFormat/>
    <w:uiPriority w:val="9"/>
    <w:rPr>
      <w:rFonts w:ascii="Times New Roman" w:hAnsi="Times New Roman" w:eastAsia="宋体" w:cs="Times New Roman"/>
      <w:b/>
      <w:kern w:val="28"/>
      <w:sz w:val="24"/>
      <w:szCs w:val="24"/>
    </w:rPr>
  </w:style>
  <w:style w:type="character" w:customStyle="1" w:styleId="23">
    <w:name w:val="标题 4 Char"/>
    <w:basedOn w:val="18"/>
    <w:link w:val="6"/>
    <w:qFormat/>
    <w:uiPriority w:val="9"/>
    <w:rPr>
      <w:rFonts w:ascii="Times New Roman" w:hAnsi="Times New Roman" w:eastAsia="宋体" w:cs="Times New Roman"/>
      <w:b/>
      <w:kern w:val="28"/>
      <w:sz w:val="24"/>
      <w:szCs w:val="24"/>
    </w:rPr>
  </w:style>
  <w:style w:type="character" w:customStyle="1" w:styleId="24">
    <w:name w:val="标题 5 Char"/>
    <w:basedOn w:val="18"/>
    <w:link w:val="7"/>
    <w:qFormat/>
    <w:uiPriority w:val="9"/>
    <w:rPr>
      <w:rFonts w:ascii="Times New Roman" w:hAnsi="Times New Roman" w:eastAsia="宋体" w:cs="Times New Roman"/>
      <w:b/>
      <w:i/>
      <w:kern w:val="28"/>
      <w:sz w:val="24"/>
      <w:szCs w:val="24"/>
    </w:rPr>
  </w:style>
  <w:style w:type="character" w:customStyle="1" w:styleId="25">
    <w:name w:val="标题 6 Char"/>
    <w:basedOn w:val="18"/>
    <w:link w:val="8"/>
    <w:qFormat/>
    <w:uiPriority w:val="9"/>
    <w:rPr>
      <w:rFonts w:ascii="Times New Roman" w:hAnsi="Times New Roman" w:eastAsia="宋体" w:cs="Times New Roman"/>
      <w:b/>
      <w:i/>
      <w:kern w:val="28"/>
      <w:sz w:val="24"/>
      <w:szCs w:val="24"/>
    </w:rPr>
  </w:style>
  <w:style w:type="character" w:customStyle="1" w:styleId="26">
    <w:name w:val="标题 7 Char"/>
    <w:basedOn w:val="18"/>
    <w:link w:val="9"/>
    <w:qFormat/>
    <w:uiPriority w:val="9"/>
    <w:rPr>
      <w:rFonts w:ascii="Times New Roman" w:hAnsi="Times New Roman" w:eastAsia="宋体" w:cs="Times New Roman"/>
      <w:b/>
      <w:i/>
      <w:kern w:val="28"/>
      <w:sz w:val="24"/>
      <w:szCs w:val="24"/>
    </w:rPr>
  </w:style>
  <w:style w:type="character" w:customStyle="1" w:styleId="27">
    <w:name w:val="标题 8 Char"/>
    <w:basedOn w:val="18"/>
    <w:link w:val="10"/>
    <w:qFormat/>
    <w:uiPriority w:val="9"/>
    <w:rPr>
      <w:rFonts w:ascii="Times New Roman" w:hAnsi="Times New Roman" w:eastAsia="宋体" w:cs="Times New Roman"/>
      <w:b/>
      <w:i/>
      <w:kern w:val="28"/>
      <w:sz w:val="24"/>
      <w:szCs w:val="24"/>
    </w:rPr>
  </w:style>
  <w:style w:type="character" w:customStyle="1" w:styleId="28">
    <w:name w:val="标题 9 Char"/>
    <w:basedOn w:val="18"/>
    <w:link w:val="11"/>
    <w:qFormat/>
    <w:uiPriority w:val="9"/>
    <w:rPr>
      <w:rFonts w:ascii="Times New Roman" w:hAnsi="Times New Roman" w:eastAsia="宋体" w:cs="Times New Roman"/>
      <w:b/>
      <w:i/>
      <w:kern w:val="28"/>
      <w:sz w:val="24"/>
      <w:szCs w:val="24"/>
    </w:rPr>
  </w:style>
  <w:style w:type="character" w:customStyle="1" w:styleId="29">
    <w:name w:val="题注 Char"/>
    <w:link w:val="12"/>
    <w:qFormat/>
    <w:uiPriority w:val="0"/>
    <w:rPr>
      <w:i/>
      <w:iCs/>
      <w:color w:val="1F497D" w:themeColor="text2"/>
      <w:kern w:val="0"/>
      <w:sz w:val="18"/>
      <w:szCs w:val="18"/>
      <w14:textFill>
        <w14:solidFill>
          <w14:schemeClr w14:val="tx2"/>
        </w14:solidFill>
      </w14:textFill>
    </w:rPr>
  </w:style>
  <w:style w:type="paragraph" w:styleId="30">
    <w:name w:val="List Paragraph"/>
    <w:basedOn w:val="1"/>
    <w:unhideWhenUsed/>
    <w:qFormat/>
    <w:uiPriority w:val="34"/>
    <w:pPr>
      <w:ind w:firstLine="420" w:firstLineChars="200"/>
    </w:pPr>
  </w:style>
  <w:style w:type="paragraph" w:customStyle="1" w:styleId="31">
    <w:name w:val="Para"/>
    <w:basedOn w:val="1"/>
    <w:link w:val="32"/>
    <w:qFormat/>
    <w:uiPriority w:val="99"/>
    <w:pPr>
      <w:spacing w:after="240" w:line="312" w:lineRule="atLeast"/>
    </w:pPr>
    <w:rPr>
      <w:rFonts w:ascii="Times" w:hAnsi="Times" w:eastAsia="Times New Roman" w:cs="Times New Roman"/>
      <w:szCs w:val="20"/>
      <w:lang w:eastAsia="en-US"/>
    </w:rPr>
  </w:style>
  <w:style w:type="character" w:customStyle="1" w:styleId="32">
    <w:name w:val="Para Char"/>
    <w:link w:val="31"/>
    <w:qFormat/>
    <w:locked/>
    <w:uiPriority w:val="99"/>
    <w:rPr>
      <w:rFonts w:ascii="Times" w:hAnsi="Times" w:eastAsia="Times New Roman" w:cs="Times New Roman"/>
      <w:kern w:val="0"/>
      <w:sz w:val="24"/>
      <w:szCs w:val="20"/>
      <w:lang w:eastAsia="en-US"/>
    </w:rPr>
  </w:style>
  <w:style w:type="paragraph" w:customStyle="1" w:styleId="33">
    <w:name w:val="List Paragraph1"/>
    <w:basedOn w:val="1"/>
    <w:qFormat/>
    <w:uiPriority w:val="34"/>
    <w:pPr>
      <w:ind w:left="720"/>
      <w:contextualSpacing/>
    </w:pPr>
  </w:style>
  <w:style w:type="paragraph" w:customStyle="1" w:styleId="34">
    <w:name w:val="申报正文"/>
    <w:basedOn w:val="1"/>
    <w:link w:val="35"/>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Cs w:val="24"/>
    </w:rPr>
  </w:style>
  <w:style w:type="character" w:customStyle="1" w:styleId="35">
    <w:name w:val="申报正文 Char"/>
    <w:link w:val="34"/>
    <w:qFormat/>
    <w:uiPriority w:val="0"/>
    <w:rPr>
      <w:rFonts w:ascii="Times New Roman" w:hAnsi="宋体" w:eastAsia="宋体" w:cs="Times New Roman"/>
      <w:sz w:val="24"/>
      <w:szCs w:val="24"/>
    </w:rPr>
  </w:style>
  <w:style w:type="paragraph" w:customStyle="1" w:styleId="36">
    <w:name w:val="标注"/>
    <w:basedOn w:val="1"/>
    <w:link w:val="37"/>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7">
    <w:name w:val="标注 Char"/>
    <w:link w:val="36"/>
    <w:qFormat/>
    <w:uiPriority w:val="0"/>
    <w:rPr>
      <w:rFonts w:ascii="Times New Roman" w:hAnsi="宋体" w:eastAsia="宋体" w:cs="Times New Roman"/>
      <w:szCs w:val="21"/>
    </w:rPr>
  </w:style>
  <w:style w:type="character" w:customStyle="1" w:styleId="38">
    <w:name w:val="正文文本 (3)_"/>
    <w:basedOn w:val="18"/>
    <w:link w:val="39"/>
    <w:qFormat/>
    <w:uiPriority w:val="0"/>
    <w:rPr>
      <w:rFonts w:ascii="Times New Roman" w:hAnsi="Times New Roman" w:eastAsia="Times New Roman" w:cs="Times New Roman"/>
      <w:sz w:val="36"/>
      <w:szCs w:val="36"/>
      <w:shd w:val="clear" w:color="auto" w:fill="FFFFFF"/>
    </w:rPr>
  </w:style>
  <w:style w:type="paragraph" w:customStyle="1" w:styleId="39">
    <w:name w:val="正文文本 (3)"/>
    <w:basedOn w:val="1"/>
    <w:link w:val="38"/>
    <w:qFormat/>
    <w:uiPriority w:val="0"/>
    <w:pPr>
      <w:widowControl w:val="0"/>
      <w:shd w:val="clear" w:color="auto" w:fill="FFFFFF"/>
      <w:adjustRightInd w:val="0"/>
      <w:snapToGrid w:val="0"/>
      <w:spacing w:after="0" w:line="475" w:lineRule="exact"/>
    </w:pPr>
    <w:rPr>
      <w:rFonts w:ascii="Times New Roman" w:hAnsi="Times New Roman" w:eastAsia="Times New Roman" w:cs="Times New Roman"/>
      <w:kern w:val="2"/>
      <w:sz w:val="36"/>
      <w:szCs w:val="36"/>
    </w:rPr>
  </w:style>
  <w:style w:type="character" w:customStyle="1" w:styleId="40">
    <w:name w:val="正文文本 (2)_"/>
    <w:basedOn w:val="18"/>
    <w:link w:val="41"/>
    <w:qFormat/>
    <w:uiPriority w:val="0"/>
    <w:rPr>
      <w:rFonts w:ascii="Times New Roman" w:hAnsi="Times New Roman" w:eastAsia="Times New Roman" w:cs="Times New Roman"/>
      <w:sz w:val="22"/>
      <w:szCs w:val="22"/>
      <w:shd w:val="clear" w:color="auto" w:fill="FFFFFF"/>
    </w:rPr>
  </w:style>
  <w:style w:type="paragraph" w:customStyle="1" w:styleId="41">
    <w:name w:val="正文文本 (2)"/>
    <w:basedOn w:val="1"/>
    <w:link w:val="40"/>
    <w:qFormat/>
    <w:uiPriority w:val="0"/>
    <w:pPr>
      <w:widowControl w:val="0"/>
      <w:shd w:val="clear" w:color="auto" w:fill="FFFFFF"/>
      <w:spacing w:before="300" w:after="300" w:line="274" w:lineRule="exact"/>
    </w:pPr>
    <w:rPr>
      <w:rFonts w:ascii="Times New Roman" w:hAnsi="Times New Roman" w:eastAsia="Times New Roman" w:cs="Times New Roman"/>
      <w:kern w:val="2"/>
      <w:sz w:val="22"/>
      <w:szCs w:val="22"/>
    </w:rPr>
  </w:style>
  <w:style w:type="character" w:customStyle="1" w:styleId="42">
    <w:name w:val="正文文本 (9)_"/>
    <w:basedOn w:val="18"/>
    <w:link w:val="43"/>
    <w:qFormat/>
    <w:uiPriority w:val="0"/>
    <w:rPr>
      <w:rFonts w:ascii="Times New Roman" w:hAnsi="Times New Roman" w:eastAsia="Times New Roman" w:cs="Times New Roman"/>
      <w:b/>
      <w:bCs/>
      <w:i/>
      <w:iCs/>
      <w:sz w:val="23"/>
      <w:szCs w:val="23"/>
      <w:shd w:val="clear" w:color="auto" w:fill="FFFFFF"/>
    </w:rPr>
  </w:style>
  <w:style w:type="paragraph" w:customStyle="1" w:styleId="43">
    <w:name w:val="正文文本 (9)"/>
    <w:basedOn w:val="1"/>
    <w:link w:val="42"/>
    <w:qFormat/>
    <w:uiPriority w:val="0"/>
    <w:pPr>
      <w:widowControl w:val="0"/>
      <w:shd w:val="clear" w:color="auto" w:fill="FFFFFF"/>
      <w:spacing w:before="360" w:after="180" w:line="283" w:lineRule="exact"/>
    </w:pPr>
    <w:rPr>
      <w:rFonts w:ascii="Times New Roman" w:hAnsi="Times New Roman" w:eastAsia="Times New Roman" w:cs="Times New Roman"/>
      <w:b/>
      <w:bCs/>
      <w:i/>
      <w:iCs/>
      <w:kern w:val="2"/>
      <w:sz w:val="23"/>
      <w:szCs w:val="23"/>
    </w:rPr>
  </w:style>
  <w:style w:type="character" w:customStyle="1" w:styleId="44">
    <w:name w:val="页眉 Char"/>
    <w:basedOn w:val="18"/>
    <w:link w:val="15"/>
    <w:qFormat/>
    <w:uiPriority w:val="99"/>
    <w:rPr>
      <w:kern w:val="0"/>
      <w:sz w:val="18"/>
      <w:szCs w:val="18"/>
    </w:rPr>
  </w:style>
  <w:style w:type="character" w:customStyle="1" w:styleId="45">
    <w:name w:val="页脚 Char"/>
    <w:basedOn w:val="18"/>
    <w:link w:val="14"/>
    <w:qFormat/>
    <w:uiPriority w:val="99"/>
    <w:rPr>
      <w:kern w:val="0"/>
      <w:sz w:val="18"/>
      <w:szCs w:val="18"/>
    </w:rPr>
  </w:style>
  <w:style w:type="character" w:customStyle="1" w:styleId="46">
    <w:name w:val="正文文本 (10)_"/>
    <w:basedOn w:val="18"/>
    <w:link w:val="47"/>
    <w:qFormat/>
    <w:uiPriority w:val="0"/>
    <w:rPr>
      <w:rFonts w:ascii="Times New Roman" w:hAnsi="Times New Roman" w:eastAsia="Times New Roman" w:cs="Times New Roman"/>
      <w:i/>
      <w:iCs/>
      <w:sz w:val="23"/>
      <w:szCs w:val="23"/>
      <w:shd w:val="clear" w:color="auto" w:fill="FFFFFF"/>
    </w:rPr>
  </w:style>
  <w:style w:type="paragraph" w:customStyle="1" w:styleId="47">
    <w:name w:val="正文文本 (10)"/>
    <w:basedOn w:val="1"/>
    <w:link w:val="46"/>
    <w:qFormat/>
    <w:uiPriority w:val="0"/>
    <w:pPr>
      <w:widowControl w:val="0"/>
      <w:shd w:val="clear" w:color="auto" w:fill="FFFFFF"/>
      <w:spacing w:before="360" w:after="240" w:line="302" w:lineRule="exact"/>
    </w:pPr>
    <w:rPr>
      <w:rFonts w:ascii="Times New Roman" w:hAnsi="Times New Roman" w:eastAsia="Times New Roman" w:cs="Times New Roman"/>
      <w:i/>
      <w:iCs/>
      <w:kern w:val="2"/>
      <w:sz w:val="23"/>
      <w:szCs w:val="23"/>
    </w:rPr>
  </w:style>
  <w:style w:type="character" w:customStyle="1" w:styleId="48">
    <w:name w:val="正文文本 (11)_"/>
    <w:basedOn w:val="18"/>
    <w:link w:val="49"/>
    <w:qFormat/>
    <w:uiPriority w:val="0"/>
    <w:rPr>
      <w:rFonts w:ascii="Times New Roman" w:hAnsi="Times New Roman" w:eastAsia="Times New Roman" w:cs="Times New Roman"/>
      <w:i/>
      <w:iCs/>
      <w:sz w:val="23"/>
      <w:szCs w:val="23"/>
      <w:shd w:val="clear" w:color="auto" w:fill="FFFFFF"/>
    </w:rPr>
  </w:style>
  <w:style w:type="paragraph" w:customStyle="1" w:styleId="49">
    <w:name w:val="正文文本 (11)"/>
    <w:basedOn w:val="1"/>
    <w:link w:val="48"/>
    <w:qFormat/>
    <w:uiPriority w:val="0"/>
    <w:pPr>
      <w:widowControl w:val="0"/>
      <w:shd w:val="clear" w:color="auto" w:fill="FFFFFF"/>
      <w:spacing w:before="360" w:after="240" w:line="302" w:lineRule="exact"/>
    </w:pPr>
    <w:rPr>
      <w:rFonts w:ascii="Times New Roman" w:hAnsi="Times New Roman" w:eastAsia="Times New Roman" w:cs="Times New Roman"/>
      <w:i/>
      <w:iCs/>
      <w:kern w:val="2"/>
      <w:sz w:val="23"/>
      <w:szCs w:val="23"/>
    </w:rPr>
  </w:style>
  <w:style w:type="character" w:customStyle="1" w:styleId="50">
    <w:name w:val="页眉或页脚_"/>
    <w:basedOn w:val="18"/>
    <w:qFormat/>
    <w:uiPriority w:val="0"/>
    <w:rPr>
      <w:rFonts w:ascii="Times New Roman" w:hAnsi="Times New Roman" w:eastAsia="Times New Roman" w:cs="Times New Roman"/>
      <w:sz w:val="19"/>
      <w:szCs w:val="19"/>
      <w:u w:val="none"/>
    </w:rPr>
  </w:style>
  <w:style w:type="character" w:customStyle="1" w:styleId="51">
    <w:name w:val="页眉或页脚"/>
    <w:basedOn w:val="50"/>
    <w:qFormat/>
    <w:uiPriority w:val="0"/>
    <w:rPr>
      <w:rFonts w:ascii="Times New Roman" w:hAnsi="Times New Roman" w:eastAsia="Times New Roman" w:cs="Times New Roman"/>
      <w:color w:val="000000"/>
      <w:spacing w:val="0"/>
      <w:w w:val="100"/>
      <w:position w:val="0"/>
      <w:sz w:val="19"/>
      <w:szCs w:val="19"/>
      <w:u w:val="none"/>
      <w:lang w:val="en-US" w:eastAsia="en-US" w:bidi="en-US"/>
    </w:rPr>
  </w:style>
  <w:style w:type="character" w:customStyle="1" w:styleId="52">
    <w:name w:val="页眉或页脚 + 11 pt"/>
    <w:basedOn w:val="50"/>
    <w:qFormat/>
    <w:uiPriority w:val="0"/>
    <w:rPr>
      <w:rFonts w:ascii="Times New Roman" w:hAnsi="Times New Roman" w:eastAsia="Times New Roman" w:cs="Times New Roman"/>
      <w:b/>
      <w:bCs/>
      <w:color w:val="000000"/>
      <w:spacing w:val="0"/>
      <w:w w:val="100"/>
      <w:position w:val="0"/>
      <w:sz w:val="22"/>
      <w:szCs w:val="22"/>
      <w:u w:val="none"/>
      <w:lang w:val="en-US" w:eastAsia="en-US" w:bidi="en-US"/>
    </w:rPr>
  </w:style>
  <w:style w:type="character" w:customStyle="1" w:styleId="53">
    <w:name w:val="正文文本 (4)_"/>
    <w:basedOn w:val="18"/>
    <w:link w:val="54"/>
    <w:qFormat/>
    <w:uiPriority w:val="0"/>
    <w:rPr>
      <w:rFonts w:ascii="Times New Roman" w:hAnsi="Times New Roman" w:eastAsia="Times New Roman" w:cs="Times New Roman"/>
      <w:b/>
      <w:bCs/>
      <w:sz w:val="28"/>
      <w:szCs w:val="28"/>
      <w:shd w:val="clear" w:color="auto" w:fill="FFFFFF"/>
    </w:rPr>
  </w:style>
  <w:style w:type="paragraph" w:customStyle="1" w:styleId="54">
    <w:name w:val="正文文本 (4)"/>
    <w:basedOn w:val="1"/>
    <w:link w:val="53"/>
    <w:qFormat/>
    <w:uiPriority w:val="0"/>
    <w:pPr>
      <w:widowControl w:val="0"/>
      <w:shd w:val="clear" w:color="auto" w:fill="FFFFFF"/>
      <w:spacing w:before="1080" w:after="420" w:line="0" w:lineRule="atLeast"/>
      <w:jc w:val="center"/>
    </w:pPr>
    <w:rPr>
      <w:rFonts w:ascii="Times New Roman" w:hAnsi="Times New Roman" w:eastAsia="Times New Roman" w:cs="Times New Roman"/>
      <w:b/>
      <w:bCs/>
      <w:kern w:val="2"/>
      <w:sz w:val="28"/>
      <w:szCs w:val="28"/>
    </w:rPr>
  </w:style>
  <w:style w:type="character" w:customStyle="1" w:styleId="55">
    <w:name w:val="批注框文本 Char"/>
    <w:basedOn w:val="18"/>
    <w:link w:val="13"/>
    <w:semiHidden/>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D2E3-48FC-4B2E-B2CF-8BC5653E2A1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10</Pages>
  <Words>4776</Words>
  <Characters>5972</Characters>
  <Lines>48</Lines>
  <Paragraphs>13</Paragraphs>
  <TotalTime>0</TotalTime>
  <ScaleCrop>false</ScaleCrop>
  <LinksUpToDate>false</LinksUpToDate>
  <CharactersWithSpaces>6029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2017-11-17T11:55:00Z</dcterms:created>
  <dc:creator>y li</dc:creator>
  <cp:lastModifiedBy>太极箫客</cp:lastModifiedBy>
  <dcterms:modified xsi:type="dcterms:W3CDTF">2025-08-14T07:14:26Z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E45CE91C6E3F4C98B96D012DCECDE0F6_12</vt:lpwstr>
  </property>
</Properties>
</file>