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82F40">
      <w:pPr>
        <w:snapToGrid w:val="0"/>
        <w:spacing w:after="163" w:afterLines="50" w:line="300" w:lineRule="auto"/>
        <w:jc w:val="center"/>
        <w:rPr>
          <w:rFonts w:ascii="Arial" w:hAnsi="Arial" w:eastAsia="宋体" w:cs="Arial"/>
          <w:b/>
          <w:sz w:val="50"/>
          <w:szCs w:val="50"/>
        </w:rPr>
      </w:pPr>
      <w:bookmarkStart w:id="0" w:name="_GoBack"/>
      <w:bookmarkEnd w:id="0"/>
      <w:r>
        <w:rPr>
          <w:rFonts w:ascii="Arial" w:hAnsi="Arial" w:eastAsia="宋体" w:cs="Arial"/>
          <w:b/>
          <w:sz w:val="50"/>
          <w:szCs w:val="50"/>
        </w:rPr>
        <w:t>第三方和医院再处理者对一次性使用器械的再处理和再利用的常见问题：</w:t>
      </w:r>
      <w:r>
        <w:rPr>
          <w:rFonts w:hint="eastAsia" w:ascii="Arial" w:hAnsi="Arial" w:eastAsia="宋体" w:cs="Arial"/>
          <w:b/>
          <w:sz w:val="50"/>
          <w:szCs w:val="50"/>
        </w:rPr>
        <w:br w:type="textWrapping"/>
      </w:r>
      <w:r>
        <w:rPr>
          <w:rFonts w:ascii="Arial" w:hAnsi="Arial" w:eastAsia="宋体" w:cs="Arial"/>
          <w:b/>
          <w:sz w:val="50"/>
          <w:szCs w:val="50"/>
        </w:rPr>
        <w:t>三个附加问题；</w:t>
      </w:r>
    </w:p>
    <w:p w14:paraId="1C0AC1BA">
      <w:pPr>
        <w:snapToGrid w:val="0"/>
        <w:spacing w:after="163" w:afterLines="50" w:line="300" w:lineRule="auto"/>
        <w:jc w:val="center"/>
        <w:rPr>
          <w:rFonts w:ascii="Arial" w:hAnsi="Arial" w:eastAsia="宋体" w:cs="Arial"/>
          <w:b/>
          <w:sz w:val="50"/>
          <w:szCs w:val="50"/>
        </w:rPr>
      </w:pPr>
      <w:r>
        <w:rPr>
          <w:rFonts w:ascii="Arial" w:hAnsi="Arial" w:eastAsia="宋体" w:cs="Arial"/>
          <w:b/>
          <w:sz w:val="50"/>
          <w:szCs w:val="50"/>
        </w:rPr>
        <w:t>行业及FDA工作人员的最终指南</w:t>
      </w:r>
    </w:p>
    <w:p w14:paraId="3CCD1AE6">
      <w:pPr>
        <w:snapToGrid w:val="0"/>
        <w:spacing w:after="163" w:afterLines="50" w:line="300" w:lineRule="auto"/>
        <w:jc w:val="center"/>
        <w:rPr>
          <w:rFonts w:ascii="Arial" w:hAnsi="Arial" w:eastAsia="宋体" w:cs="Arial"/>
          <w:b/>
          <w:sz w:val="50"/>
          <w:szCs w:val="50"/>
        </w:rPr>
      </w:pPr>
    </w:p>
    <w:p w14:paraId="549EEE3F">
      <w:pPr>
        <w:snapToGrid w:val="0"/>
        <w:spacing w:after="163" w:afterLines="50" w:line="300" w:lineRule="auto"/>
        <w:jc w:val="center"/>
        <w:rPr>
          <w:rFonts w:ascii="Arial" w:hAnsi="Arial" w:eastAsia="宋体" w:cs="Arial"/>
          <w:sz w:val="30"/>
          <w:szCs w:val="30"/>
        </w:rPr>
      </w:pPr>
      <w:r>
        <w:rPr>
          <w:rFonts w:ascii="Arial" w:hAnsi="Arial" w:eastAsia="宋体" w:cs="Arial"/>
          <w:sz w:val="30"/>
          <w:szCs w:val="30"/>
        </w:rPr>
        <w:t>文件发布日期：2002年7月9日</w:t>
      </w:r>
    </w:p>
    <w:p w14:paraId="67463D07">
      <w:pPr>
        <w:snapToGrid w:val="0"/>
        <w:spacing w:after="163" w:afterLines="50" w:line="300" w:lineRule="auto"/>
        <w:rPr>
          <w:rFonts w:ascii="Arial" w:hAnsi="Arial" w:eastAsia="宋体" w:cs="Arial"/>
          <w:sz w:val="30"/>
          <w:szCs w:val="30"/>
        </w:rPr>
      </w:pPr>
    </w:p>
    <w:p w14:paraId="193015C8">
      <w:pPr>
        <w:snapToGrid w:val="0"/>
        <w:spacing w:after="163" w:afterLines="50" w:line="300" w:lineRule="auto"/>
        <w:rPr>
          <w:rFonts w:ascii="Arial" w:hAnsi="Arial" w:eastAsia="宋体" w:cs="Arial"/>
          <w:sz w:val="30"/>
          <w:szCs w:val="30"/>
        </w:rPr>
      </w:pPr>
      <w:r>
        <w:rPr>
          <w:rFonts w:ascii="Arial" w:hAnsi="Arial" w:eastAsia="宋体" w:cs="Arial"/>
          <w:sz w:val="30"/>
          <w:szCs w:val="30"/>
        </w:rPr>
        <w:t>本文件包含的3个问题，将增加入</w:t>
      </w:r>
      <w:r>
        <w:rPr>
          <w:rFonts w:ascii="Arial" w:hAnsi="Arial" w:eastAsia="宋体" w:cs="Arial"/>
          <w:i/>
          <w:color w:val="0000FF"/>
          <w:sz w:val="30"/>
          <w:szCs w:val="30"/>
        </w:rPr>
        <w:t>第三方和医院再处理者对一次性使用器械的再处理和再利用的常见问题</w:t>
      </w:r>
      <w:r>
        <w:rPr>
          <w:rFonts w:ascii="Arial" w:hAnsi="Arial" w:eastAsia="宋体" w:cs="Arial"/>
          <w:sz w:val="30"/>
          <w:szCs w:val="30"/>
        </w:rPr>
        <w:t>的13个问题；</w:t>
      </w:r>
      <w:r>
        <w:rPr>
          <w:rFonts w:ascii="Arial" w:hAnsi="Arial" w:eastAsia="宋体" w:cs="Arial"/>
          <w:i/>
          <w:sz w:val="30"/>
          <w:szCs w:val="30"/>
        </w:rPr>
        <w:t>行业及FDA工作人员的最终指南，</w:t>
      </w:r>
      <w:r>
        <w:rPr>
          <w:rFonts w:ascii="Arial" w:hAnsi="Arial" w:eastAsia="宋体" w:cs="Arial"/>
          <w:sz w:val="30"/>
          <w:szCs w:val="30"/>
        </w:rPr>
        <w:t>2001年7月6日。</w:t>
      </w:r>
    </w:p>
    <w:p w14:paraId="10062C5C">
      <w:pPr>
        <w:snapToGrid w:val="0"/>
        <w:spacing w:after="163" w:afterLines="50" w:line="300" w:lineRule="auto"/>
        <w:rPr>
          <w:rFonts w:ascii="Arial" w:hAnsi="Arial" w:eastAsia="宋体" w:cs="Arial"/>
          <w:b/>
          <w:sz w:val="30"/>
          <w:szCs w:val="30"/>
        </w:rPr>
      </w:pPr>
    </w:p>
    <w:p w14:paraId="5CB85F06">
      <w:pPr>
        <w:snapToGrid w:val="0"/>
        <w:spacing w:after="163" w:afterLines="50" w:line="300" w:lineRule="auto"/>
        <w:rPr>
          <w:rFonts w:ascii="Arial" w:hAnsi="Arial" w:eastAsia="宋体" w:cs="Arial"/>
        </w:rPr>
      </w:pPr>
    </w:p>
    <w:p w14:paraId="0142F746">
      <w:pPr>
        <w:pStyle w:val="39"/>
        <w:spacing w:after="163" w:afterLines="50" w:line="300" w:lineRule="auto"/>
        <w:ind w:right="23"/>
        <w:jc w:val="right"/>
        <w:rPr>
          <w:rFonts w:ascii="Arial" w:hAnsi="Arial" w:eastAsia="宋体" w:cs="Arial"/>
          <w:sz w:val="30"/>
          <w:szCs w:val="30"/>
        </w:rPr>
      </w:pPr>
    </w:p>
    <w:p w14:paraId="7437B56B">
      <w:pPr>
        <w:pStyle w:val="39"/>
        <w:spacing w:after="163" w:afterLines="50" w:line="300" w:lineRule="auto"/>
        <w:ind w:right="23"/>
        <w:jc w:val="right"/>
        <w:rPr>
          <w:rFonts w:ascii="Arial" w:hAnsi="Arial" w:eastAsia="宋体" w:cs="Arial"/>
          <w:sz w:val="30"/>
          <w:szCs w:val="30"/>
        </w:rPr>
      </w:pPr>
    </w:p>
    <w:p w14:paraId="488DD258">
      <w:pPr>
        <w:pStyle w:val="39"/>
        <w:spacing w:after="163" w:afterLines="50" w:line="300" w:lineRule="auto"/>
        <w:ind w:right="23"/>
        <w:jc w:val="right"/>
        <w:rPr>
          <w:rFonts w:ascii="Arial" w:hAnsi="Arial" w:eastAsia="宋体" w:cs="Arial"/>
          <w:sz w:val="30"/>
          <w:szCs w:val="30"/>
        </w:rPr>
      </w:pPr>
    </w:p>
    <w:p w14:paraId="284FC7FB">
      <w:pPr>
        <w:pStyle w:val="39"/>
        <w:spacing w:after="163" w:afterLines="50" w:line="300" w:lineRule="auto"/>
        <w:ind w:right="23"/>
        <w:jc w:val="right"/>
        <w:rPr>
          <w:rFonts w:ascii="Arial" w:hAnsi="Arial" w:eastAsia="宋体" w:cs="Arial"/>
          <w:sz w:val="30"/>
          <w:szCs w:val="30"/>
        </w:rPr>
      </w:pPr>
    </w:p>
    <w:p w14:paraId="16A75FC1">
      <w:pPr>
        <w:pStyle w:val="39"/>
        <w:spacing w:line="300" w:lineRule="auto"/>
        <w:ind w:right="23"/>
        <w:jc w:val="right"/>
        <w:rPr>
          <w:rFonts w:ascii="Arial" w:hAnsi="Arial" w:eastAsia="宋体" w:cs="Arial"/>
          <w:b/>
          <w:sz w:val="24"/>
          <w:szCs w:val="24"/>
        </w:rPr>
      </w:pPr>
      <w:r>
        <w:rPr>
          <w:rFonts w:ascii="Arial" w:hAnsi="Arial" w:eastAsia="宋体" w:cs="Arial"/>
          <w:sz w:val="30"/>
          <w:szCs w:val="30"/>
        </w:rPr>
        <w:drawing>
          <wp:anchor distT="0" distB="236220" distL="63500" distR="1432560" simplePos="0" relativeHeight="251659264" behindDoc="1" locked="0" layoutInCell="1" allowOverlap="1">
            <wp:simplePos x="0" y="0"/>
            <wp:positionH relativeFrom="margin">
              <wp:posOffset>374015</wp:posOffset>
            </wp:positionH>
            <wp:positionV relativeFrom="paragraph">
              <wp:posOffset>136525</wp:posOffset>
            </wp:positionV>
            <wp:extent cx="885825" cy="990600"/>
            <wp:effectExtent l="0" t="0" r="9525" b="0"/>
            <wp:wrapTight wrapText="right">
              <wp:wrapPolygon>
                <wp:start x="0" y="0"/>
                <wp:lineTo x="0" y="21185"/>
                <wp:lineTo x="21368" y="21185"/>
                <wp:lineTo x="21368" y="0"/>
                <wp:lineTo x="0" y="0"/>
              </wp:wrapPolygon>
            </wp:wrapTight>
            <wp:docPr id="1"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e1"/>
                    <pic:cNvPicPr>
                      <a:picLocks noChangeAspect="1" noChangeArrowheads="1"/>
                    </pic:cNvPicPr>
                  </pic:nvPicPr>
                  <pic:blipFill>
                    <a:blip r:embed="rId6" cstate="print"/>
                    <a:srcRect/>
                    <a:stretch>
                      <a:fillRect/>
                    </a:stretch>
                  </pic:blipFill>
                  <pic:spPr>
                    <a:xfrm>
                      <a:off x="0" y="0"/>
                      <a:ext cx="885825" cy="990600"/>
                    </a:xfrm>
                    <a:prstGeom prst="rect">
                      <a:avLst/>
                    </a:prstGeom>
                    <a:noFill/>
                  </pic:spPr>
                </pic:pic>
              </a:graphicData>
            </a:graphic>
          </wp:anchor>
        </w:drawing>
      </w:r>
      <w:r>
        <w:rPr>
          <w:rFonts w:ascii="Arial" w:hAnsi="Arial" w:eastAsia="宋体" w:cs="Arial"/>
          <w:b/>
          <w:sz w:val="24"/>
          <w:szCs w:val="24"/>
        </w:rPr>
        <w:t>美国卫生和人类服务署</w:t>
      </w:r>
    </w:p>
    <w:p w14:paraId="676888DA">
      <w:pPr>
        <w:pStyle w:val="39"/>
        <w:spacing w:line="300" w:lineRule="auto"/>
        <w:ind w:right="23"/>
        <w:jc w:val="right"/>
        <w:rPr>
          <w:rFonts w:ascii="Arial" w:hAnsi="Arial" w:eastAsia="宋体" w:cs="Arial"/>
          <w:b/>
          <w:sz w:val="24"/>
          <w:szCs w:val="24"/>
        </w:rPr>
      </w:pPr>
      <w:r>
        <w:rPr>
          <w:rFonts w:ascii="Arial" w:hAnsi="Arial" w:eastAsia="宋体" w:cs="Arial"/>
          <w:b/>
          <w:sz w:val="24"/>
          <w:szCs w:val="24"/>
        </w:rPr>
        <w:t>食品药品监督管理局</w:t>
      </w:r>
    </w:p>
    <w:p w14:paraId="313D4D74">
      <w:pPr>
        <w:pStyle w:val="39"/>
        <w:shd w:val="clear" w:color="auto" w:fill="auto"/>
        <w:spacing w:line="300" w:lineRule="auto"/>
        <w:ind w:right="23"/>
        <w:jc w:val="right"/>
        <w:rPr>
          <w:rFonts w:ascii="Arial" w:hAnsi="Arial" w:eastAsia="宋体" w:cs="Arial"/>
          <w:b/>
          <w:sz w:val="24"/>
          <w:szCs w:val="24"/>
        </w:rPr>
      </w:pPr>
      <w:r>
        <w:rPr>
          <w:rFonts w:ascii="Arial" w:hAnsi="Arial" w:eastAsia="宋体" w:cs="Arial"/>
          <w:b/>
          <w:sz w:val="24"/>
          <w:szCs w:val="24"/>
        </w:rPr>
        <w:t>器械和放射卫生中心</w:t>
      </w:r>
    </w:p>
    <w:p w14:paraId="7F01628B">
      <w:pPr>
        <w:snapToGrid w:val="0"/>
        <w:spacing w:after="0" w:line="300" w:lineRule="auto"/>
        <w:jc w:val="right"/>
        <w:rPr>
          <w:rFonts w:ascii="Arial" w:hAnsi="Arial" w:eastAsia="宋体" w:cs="Arial"/>
          <w:b/>
          <w:szCs w:val="24"/>
        </w:rPr>
      </w:pPr>
      <w:r>
        <w:rPr>
          <w:rFonts w:ascii="Arial" w:hAnsi="Arial" w:eastAsia="宋体" w:cs="Arial"/>
          <w:b/>
          <w:szCs w:val="24"/>
        </w:rPr>
        <w:t>卫生和行业项目办公室</w:t>
      </w:r>
    </w:p>
    <w:p w14:paraId="23683D19">
      <w:pPr>
        <w:snapToGrid w:val="0"/>
        <w:spacing w:after="163" w:afterLines="50" w:line="300" w:lineRule="auto"/>
        <w:jc w:val="right"/>
        <w:rPr>
          <w:rFonts w:ascii="Arial" w:hAnsi="Arial" w:eastAsia="宋体" w:cs="Arial"/>
          <w:b/>
          <w:szCs w:val="24"/>
        </w:rPr>
      </w:pPr>
      <w:r>
        <w:rPr>
          <w:rFonts w:ascii="Arial" w:hAnsi="Arial" w:eastAsia="宋体" w:cs="Arial"/>
          <w:b/>
          <w:szCs w:val="24"/>
        </w:rPr>
        <w:t>器械用户程序和系统分析部</w:t>
      </w:r>
    </w:p>
    <w:p w14:paraId="25AED6FC">
      <w:pPr>
        <w:snapToGrid w:val="0"/>
        <w:spacing w:after="163" w:afterLines="50" w:line="300" w:lineRule="auto"/>
        <w:jc w:val="right"/>
        <w:rPr>
          <w:rFonts w:ascii="Arial" w:hAnsi="Arial" w:eastAsia="宋体" w:cs="Arial"/>
          <w:b/>
          <w:szCs w:val="24"/>
        </w:rPr>
      </w:pPr>
    </w:p>
    <w:p w14:paraId="61F00700">
      <w:pPr>
        <w:snapToGrid w:val="0"/>
        <w:spacing w:after="163" w:afterLines="50" w:line="300" w:lineRule="auto"/>
        <w:jc w:val="right"/>
        <w:rPr>
          <w:rFonts w:ascii="Arial" w:hAnsi="Arial" w:eastAsia="宋体" w:cs="Arial"/>
          <w:b/>
          <w:szCs w:val="24"/>
        </w:rPr>
      </w:pPr>
    </w:p>
    <w:p w14:paraId="42ACC2DA">
      <w:pPr>
        <w:snapToGrid w:val="0"/>
        <w:spacing w:after="163" w:afterLines="50" w:line="300" w:lineRule="auto"/>
        <w:jc w:val="center"/>
        <w:rPr>
          <w:rFonts w:ascii="Arial" w:hAnsi="Arial" w:eastAsia="宋体" w:cs="Arial"/>
          <w:b/>
          <w:szCs w:val="24"/>
        </w:rPr>
      </w:pPr>
    </w:p>
    <w:p w14:paraId="7614B7DB">
      <w:pPr>
        <w:snapToGrid w:val="0"/>
        <w:spacing w:after="163" w:afterLines="50" w:line="300" w:lineRule="auto"/>
        <w:jc w:val="center"/>
        <w:rPr>
          <w:rFonts w:ascii="Arial" w:hAnsi="Arial" w:eastAsia="宋体" w:cs="Arial"/>
          <w:b/>
          <w:sz w:val="40"/>
          <w:szCs w:val="40"/>
        </w:rPr>
      </w:pPr>
    </w:p>
    <w:p w14:paraId="0C001F72">
      <w:pPr>
        <w:snapToGrid w:val="0"/>
        <w:spacing w:after="163" w:afterLines="50" w:line="300" w:lineRule="auto"/>
        <w:jc w:val="center"/>
        <w:rPr>
          <w:rFonts w:ascii="Arial" w:hAnsi="Arial" w:eastAsia="宋体" w:cs="Arial"/>
          <w:b/>
          <w:sz w:val="40"/>
          <w:szCs w:val="40"/>
        </w:rPr>
      </w:pPr>
    </w:p>
    <w:p w14:paraId="07A2637F">
      <w:pPr>
        <w:snapToGrid w:val="0"/>
        <w:spacing w:after="163" w:afterLines="50" w:line="300" w:lineRule="auto"/>
        <w:jc w:val="center"/>
        <w:rPr>
          <w:rFonts w:ascii="Arial" w:hAnsi="Arial" w:eastAsia="宋体" w:cs="Arial"/>
          <w:b/>
          <w:sz w:val="40"/>
          <w:szCs w:val="40"/>
        </w:rPr>
      </w:pPr>
    </w:p>
    <w:p w14:paraId="60745216">
      <w:pPr>
        <w:snapToGrid w:val="0"/>
        <w:spacing w:after="163" w:afterLines="50" w:line="300" w:lineRule="auto"/>
        <w:jc w:val="center"/>
        <w:rPr>
          <w:rFonts w:ascii="Arial" w:hAnsi="Arial" w:eastAsia="宋体" w:cs="Arial"/>
          <w:b/>
          <w:sz w:val="40"/>
          <w:szCs w:val="40"/>
        </w:rPr>
      </w:pPr>
    </w:p>
    <w:p w14:paraId="1A23DD08">
      <w:pPr>
        <w:snapToGrid w:val="0"/>
        <w:spacing w:after="163" w:afterLines="50" w:line="300" w:lineRule="auto"/>
        <w:jc w:val="center"/>
        <w:rPr>
          <w:rFonts w:ascii="Arial" w:hAnsi="Arial" w:eastAsia="宋体" w:cs="Arial"/>
          <w:b/>
          <w:sz w:val="52"/>
          <w:szCs w:val="52"/>
        </w:rPr>
      </w:pPr>
      <w:r>
        <w:rPr>
          <w:rFonts w:ascii="Arial" w:hAnsi="Arial" w:eastAsia="宋体" w:cs="Arial"/>
          <w:b/>
          <w:sz w:val="52"/>
          <w:szCs w:val="52"/>
        </w:rPr>
        <w:t>前言</w:t>
      </w:r>
    </w:p>
    <w:p w14:paraId="566FDFBD">
      <w:pPr>
        <w:snapToGrid w:val="0"/>
        <w:spacing w:after="163" w:afterLines="50" w:line="300" w:lineRule="auto"/>
        <w:rPr>
          <w:rFonts w:ascii="Arial" w:hAnsi="Arial" w:eastAsia="宋体" w:cs="Arial"/>
          <w:b/>
          <w:sz w:val="32"/>
          <w:szCs w:val="32"/>
        </w:rPr>
      </w:pPr>
    </w:p>
    <w:p w14:paraId="5DEC0851">
      <w:pPr>
        <w:snapToGrid w:val="0"/>
        <w:spacing w:after="163" w:afterLines="50" w:line="300" w:lineRule="auto"/>
        <w:jc w:val="both"/>
        <w:rPr>
          <w:rFonts w:ascii="Arial" w:hAnsi="Arial" w:eastAsia="宋体" w:cs="Arial"/>
          <w:b/>
          <w:sz w:val="32"/>
          <w:szCs w:val="32"/>
        </w:rPr>
      </w:pPr>
      <w:r>
        <w:rPr>
          <w:rFonts w:ascii="Arial" w:hAnsi="Arial" w:eastAsia="宋体" w:cs="Arial"/>
          <w:b/>
          <w:sz w:val="32"/>
          <w:szCs w:val="32"/>
        </w:rPr>
        <w:t>公共评论</w:t>
      </w:r>
    </w:p>
    <w:p w14:paraId="0F8F2487">
      <w:pPr>
        <w:snapToGrid w:val="0"/>
        <w:spacing w:after="163" w:afterLines="50" w:line="300" w:lineRule="auto"/>
        <w:jc w:val="both"/>
        <w:rPr>
          <w:rFonts w:ascii="Arial" w:hAnsi="Arial" w:eastAsia="宋体" w:cs="Arial"/>
        </w:rPr>
      </w:pPr>
      <w:r>
        <w:rPr>
          <w:rFonts w:ascii="Arial" w:hAnsi="Arial" w:eastAsia="宋体" w:cs="Arial"/>
        </w:rPr>
        <w:t>为便于本机构收集评论和建议，书面评论和建议可以随时提交至食品药品监督管理局，人力资源和管理服务办公室，管理系统和政策司，案卷管理科（5630 Fishers Lane，ROOM 1061（HFA-305），Rockville，MD，20852）。</w:t>
      </w:r>
      <w:r>
        <w:rPr>
          <w:rFonts w:ascii="Arial" w:hAnsi="Arial" w:eastAsia="宋体" w:cs="Arial"/>
          <w:szCs w:val="24"/>
        </w:rPr>
        <w:t>提交意见时请参考本指导性文件的确切标题</w:t>
      </w:r>
      <w:r>
        <w:rPr>
          <w:rFonts w:ascii="Arial" w:hAnsi="Arial" w:eastAsia="宋体" w:cs="Arial"/>
          <w:color w:val="000000"/>
          <w:szCs w:val="24"/>
        </w:rPr>
        <w:t>。</w:t>
      </w:r>
      <w:r>
        <w:rPr>
          <w:rFonts w:ascii="Arial" w:hAnsi="Arial" w:eastAsia="宋体" w:cs="Arial"/>
        </w:rPr>
        <w:t>再次进行文件修订或更新之前，本机构可能不会针对评论采取行动。</w:t>
      </w:r>
    </w:p>
    <w:p w14:paraId="4C1D736C">
      <w:pPr>
        <w:snapToGrid w:val="0"/>
        <w:spacing w:after="163" w:afterLines="50" w:line="300" w:lineRule="auto"/>
        <w:jc w:val="both"/>
        <w:rPr>
          <w:rFonts w:ascii="Arial" w:hAnsi="Arial" w:eastAsia="宋体" w:cs="Arial"/>
          <w:szCs w:val="24"/>
        </w:rPr>
      </w:pPr>
      <w:r>
        <w:rPr>
          <w:rFonts w:ascii="Arial" w:hAnsi="Arial" w:eastAsia="宋体" w:cs="Arial"/>
          <w:szCs w:val="24"/>
        </w:rPr>
        <w:t>有关器械和放射卫生中心所监管的器械问题，请联系感染控制器械部（INCB）：（301）796-5580。</w:t>
      </w:r>
    </w:p>
    <w:p w14:paraId="30715A36">
      <w:pPr>
        <w:snapToGrid w:val="0"/>
        <w:spacing w:after="163" w:afterLines="50" w:line="300" w:lineRule="auto"/>
        <w:jc w:val="both"/>
        <w:rPr>
          <w:rFonts w:ascii="Arial" w:hAnsi="Arial" w:eastAsia="宋体" w:cs="Arial"/>
          <w:b/>
          <w:sz w:val="32"/>
          <w:szCs w:val="32"/>
        </w:rPr>
      </w:pPr>
    </w:p>
    <w:p w14:paraId="5A64B321">
      <w:pPr>
        <w:snapToGrid w:val="0"/>
        <w:spacing w:after="163" w:afterLines="50" w:line="300" w:lineRule="auto"/>
        <w:jc w:val="both"/>
        <w:rPr>
          <w:rFonts w:ascii="Arial" w:hAnsi="Arial" w:eastAsia="宋体" w:cs="Arial"/>
          <w:b/>
          <w:sz w:val="32"/>
          <w:szCs w:val="32"/>
        </w:rPr>
      </w:pPr>
      <w:r>
        <w:rPr>
          <w:rFonts w:ascii="Arial" w:hAnsi="Arial" w:eastAsia="宋体" w:cs="Arial"/>
          <w:b/>
          <w:sz w:val="32"/>
          <w:szCs w:val="32"/>
        </w:rPr>
        <w:t>其他副本</w:t>
      </w:r>
    </w:p>
    <w:p w14:paraId="6EC430EB">
      <w:pPr>
        <w:snapToGrid w:val="0"/>
        <w:spacing w:after="163" w:afterLines="50" w:line="300" w:lineRule="auto"/>
        <w:jc w:val="both"/>
        <w:rPr>
          <w:rFonts w:ascii="Arial" w:hAnsi="Arial" w:eastAsia="宋体" w:cs="Arial"/>
        </w:rPr>
      </w:pPr>
      <w:r>
        <w:rPr>
          <w:rFonts w:ascii="Arial" w:hAnsi="Arial" w:eastAsia="宋体" w:cs="Arial"/>
          <w:szCs w:val="24"/>
        </w:rPr>
        <w:t>其他副本可从互联网获得</w:t>
      </w:r>
      <w:r>
        <w:fldChar w:fldCharType="begin"/>
      </w:r>
      <w:r>
        <w:instrText xml:space="preserve"> HYPERLINK "http://www.fda.gov/cdrh/ohip/guidance/1408.pdf" </w:instrText>
      </w:r>
      <w:r>
        <w:fldChar w:fldCharType="separate"/>
      </w:r>
      <w:r>
        <w:rPr>
          <w:rStyle w:val="19"/>
          <w:rFonts w:ascii="Arial" w:hAnsi="Arial" w:eastAsia="宋体" w:cs="Arial"/>
          <w:u w:val="none"/>
        </w:rPr>
        <w:t>http://www.fda.gov/cdrh/ohip/guidance/1408.pdf</w:t>
      </w:r>
      <w:r>
        <w:rPr>
          <w:rStyle w:val="19"/>
          <w:rFonts w:ascii="Arial" w:hAnsi="Arial" w:eastAsia="宋体" w:cs="Arial"/>
          <w:u w:val="none"/>
        </w:rPr>
        <w:fldChar w:fldCharType="end"/>
      </w:r>
      <w:r>
        <w:rPr>
          <w:rFonts w:ascii="Arial" w:hAnsi="Arial" w:eastAsia="宋体" w:cs="Arial"/>
          <w:szCs w:val="24"/>
        </w:rPr>
        <w:t>。</w:t>
      </w:r>
      <w:r>
        <w:rPr>
          <w:rFonts w:ascii="Arial" w:hAnsi="Arial" w:eastAsia="宋体" w:cs="Arial"/>
        </w:rPr>
        <w:t>您还可以向dsmica@fda.hhs.gov 发送电子邮件请求以接收本指南的电子副本，或向301-847-8149发送传真请求以接收副本。请使用文件编号（1408）来注明您所要求获得的指南。</w:t>
      </w:r>
    </w:p>
    <w:p w14:paraId="02F769AA">
      <w:pPr>
        <w:snapToGrid w:val="0"/>
        <w:spacing w:after="163" w:afterLines="50" w:line="300" w:lineRule="auto"/>
        <w:jc w:val="both"/>
        <w:rPr>
          <w:rFonts w:ascii="Arial" w:hAnsi="Arial" w:eastAsia="宋体" w:cs="Arial"/>
        </w:rPr>
      </w:pPr>
    </w:p>
    <w:p w14:paraId="2F383CFC">
      <w:pPr>
        <w:snapToGrid w:val="0"/>
        <w:spacing w:after="163" w:afterLines="50" w:line="300" w:lineRule="auto"/>
        <w:rPr>
          <w:rFonts w:ascii="Arial" w:hAnsi="Arial" w:eastAsia="宋体" w:cs="Arial"/>
          <w:b/>
          <w:szCs w:val="24"/>
        </w:rPr>
      </w:pPr>
      <w:r>
        <w:rPr>
          <w:rFonts w:ascii="Arial" w:hAnsi="Arial" w:eastAsia="宋体" w:cs="Arial"/>
          <w:b/>
          <w:szCs w:val="24"/>
        </w:rPr>
        <w:br w:type="page"/>
      </w:r>
    </w:p>
    <w:p w14:paraId="7C6AEFF5">
      <w:pPr>
        <w:snapToGrid w:val="0"/>
        <w:spacing w:after="163" w:afterLines="50" w:line="300" w:lineRule="auto"/>
        <w:jc w:val="center"/>
        <w:rPr>
          <w:rFonts w:ascii="Arial" w:hAnsi="Arial" w:eastAsia="宋体" w:cs="Arial"/>
          <w:b/>
          <w:sz w:val="40"/>
          <w:szCs w:val="40"/>
        </w:rPr>
      </w:pPr>
      <w:r>
        <w:rPr>
          <w:rFonts w:ascii="Arial" w:hAnsi="Arial" w:eastAsia="宋体" w:cs="Arial"/>
          <w:b/>
          <w:sz w:val="40"/>
          <w:szCs w:val="40"/>
        </w:rPr>
        <w:t>第三方和医院再处理者对一次性使用器械的再处理和再利用的常见问题：三个附加问题；</w:t>
      </w:r>
      <w:r>
        <w:rPr>
          <w:rFonts w:hint="eastAsia" w:ascii="Arial" w:hAnsi="Arial" w:eastAsia="宋体" w:cs="Arial"/>
          <w:b/>
          <w:sz w:val="40"/>
          <w:szCs w:val="40"/>
        </w:rPr>
        <w:br w:type="textWrapping"/>
      </w:r>
      <w:r>
        <w:rPr>
          <w:rFonts w:ascii="Arial" w:hAnsi="Arial" w:eastAsia="宋体" w:cs="Arial"/>
          <w:b/>
          <w:sz w:val="40"/>
          <w:szCs w:val="40"/>
        </w:rPr>
        <w:t>行业及FDA工作人员的最终指南</w:t>
      </w:r>
    </w:p>
    <w:p w14:paraId="50C58D0D">
      <w:pPr>
        <w:snapToGrid w:val="0"/>
        <w:spacing w:after="163" w:afterLines="50" w:line="300" w:lineRule="auto"/>
        <w:rPr>
          <w:rFonts w:ascii="Arial" w:hAnsi="Arial" w:eastAsia="宋体" w:cs="Arial"/>
          <w:b/>
          <w:szCs w:val="24"/>
        </w:rPr>
      </w:pPr>
    </w:p>
    <w:tbl>
      <w:tblPr>
        <w:tblStyle w:val="17"/>
        <w:tblW w:w="0" w:type="auto"/>
        <w:tblInd w:w="0" w:type="dxa"/>
        <w:tblBorders>
          <w:top w:val="thinThickSmallGap" w:color="7F7F7F" w:themeColor="background1" w:themeShade="80" w:sz="24" w:space="0"/>
          <w:left w:val="thinThickSmallGap" w:color="7F7F7F" w:themeColor="background1" w:themeShade="80" w:sz="24" w:space="0"/>
          <w:bottom w:val="thinThickSmallGap" w:color="7F7F7F" w:themeColor="background1" w:themeShade="80" w:sz="24" w:space="0"/>
          <w:right w:val="thinThickSmallGap" w:color="7F7F7F" w:themeColor="background1" w:themeShade="80" w:sz="24" w:space="0"/>
          <w:insideH w:val="thinThickSmallGap" w:color="7F7F7F" w:themeColor="background1" w:themeShade="80" w:sz="24" w:space="0"/>
          <w:insideV w:val="thinThickSmallGap" w:color="7F7F7F" w:themeColor="background1" w:themeShade="80" w:sz="24" w:space="0"/>
        </w:tblBorders>
        <w:tblLayout w:type="autofit"/>
        <w:tblCellMar>
          <w:top w:w="0" w:type="dxa"/>
          <w:left w:w="108" w:type="dxa"/>
          <w:bottom w:w="0" w:type="dxa"/>
          <w:right w:w="108" w:type="dxa"/>
        </w:tblCellMar>
      </w:tblPr>
      <w:tblGrid>
        <w:gridCol w:w="8522"/>
      </w:tblGrid>
      <w:tr w14:paraId="500AC454">
        <w:tblPrEx>
          <w:tblBorders>
            <w:top w:val="thinThickSmallGap" w:color="7F7F7F" w:themeColor="background1" w:themeShade="80" w:sz="24" w:space="0"/>
            <w:left w:val="thinThickSmallGap" w:color="7F7F7F" w:themeColor="background1" w:themeShade="80" w:sz="24" w:space="0"/>
            <w:bottom w:val="thinThickSmallGap" w:color="7F7F7F" w:themeColor="background1" w:themeShade="80" w:sz="24" w:space="0"/>
            <w:right w:val="thinThickSmallGap" w:color="7F7F7F" w:themeColor="background1" w:themeShade="80" w:sz="24" w:space="0"/>
            <w:insideH w:val="thinThickSmallGap" w:color="7F7F7F" w:themeColor="background1" w:themeShade="80" w:sz="24" w:space="0"/>
            <w:insideV w:val="thinThickSmallGap" w:color="7F7F7F" w:themeColor="background1" w:themeShade="80" w:sz="24" w:space="0"/>
          </w:tblBorders>
          <w:tblCellMar>
            <w:top w:w="0" w:type="dxa"/>
            <w:left w:w="108" w:type="dxa"/>
            <w:bottom w:w="0" w:type="dxa"/>
            <w:right w:w="108" w:type="dxa"/>
          </w:tblCellMar>
        </w:tblPrEx>
        <w:trPr>
          <w:trHeight w:val="1715" w:hRule="atLeast"/>
        </w:trPr>
        <w:tc>
          <w:tcPr>
            <w:tcW w:w="9048" w:type="dxa"/>
          </w:tcPr>
          <w:p w14:paraId="5422871D">
            <w:pPr>
              <w:snapToGrid w:val="0"/>
              <w:spacing w:after="0" w:line="276" w:lineRule="auto"/>
              <w:rPr>
                <w:rFonts w:ascii="Arial" w:hAnsi="Arial" w:eastAsia="宋体" w:cs="Arial"/>
                <w:szCs w:val="22"/>
              </w:rPr>
            </w:pPr>
            <w:r>
              <w:rPr>
                <w:rFonts w:ascii="Arial" w:hAnsi="Arial" w:eastAsia="宋体" w:cs="Arial"/>
                <w:szCs w:val="22"/>
              </w:rPr>
              <w:t>本指南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25D32E7A">
      <w:pPr>
        <w:snapToGrid w:val="0"/>
        <w:spacing w:after="163" w:afterLines="50" w:line="300" w:lineRule="auto"/>
        <w:rPr>
          <w:rFonts w:ascii="Arial" w:hAnsi="Arial" w:eastAsia="宋体" w:cs="Arial"/>
          <w:b/>
          <w:sz w:val="30"/>
          <w:szCs w:val="30"/>
        </w:rPr>
      </w:pPr>
    </w:p>
    <w:p w14:paraId="0AADDBF3">
      <w:pPr>
        <w:snapToGrid w:val="0"/>
        <w:spacing w:after="163" w:afterLines="50" w:line="300" w:lineRule="auto"/>
        <w:rPr>
          <w:rFonts w:ascii="Arial" w:hAnsi="Arial" w:eastAsia="宋体" w:cs="Arial"/>
          <w:b/>
          <w:sz w:val="30"/>
          <w:szCs w:val="30"/>
        </w:rPr>
      </w:pPr>
      <w:r>
        <w:rPr>
          <w:rFonts w:ascii="Arial" w:hAnsi="Arial" w:eastAsia="宋体" w:cs="Arial"/>
          <w:b/>
          <w:sz w:val="30"/>
          <w:szCs w:val="30"/>
        </w:rPr>
        <w:t>背景</w:t>
      </w:r>
    </w:p>
    <w:p w14:paraId="4674B8F0">
      <w:pPr>
        <w:pStyle w:val="42"/>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2000年8月14日，食品药品监督管理局发布了标题为</w:t>
      </w:r>
      <w:r>
        <w:rPr>
          <w:rFonts w:ascii="宋体" w:hAnsi="宋体" w:eastAsia="宋体" w:cs="Arial"/>
          <w:sz w:val="24"/>
          <w:szCs w:val="24"/>
        </w:rPr>
        <w:t>“</w:t>
      </w:r>
      <w:r>
        <w:rPr>
          <w:rFonts w:ascii="Arial" w:hAnsi="Arial" w:eastAsia="宋体" w:cs="Arial"/>
          <w:sz w:val="24"/>
          <w:szCs w:val="24"/>
        </w:rPr>
        <w:t>由第三方和医院进行再处理的一次性使用器械的执法重点</w:t>
      </w:r>
      <w:r>
        <w:rPr>
          <w:rFonts w:ascii="宋体" w:hAnsi="宋体" w:eastAsia="宋体" w:cs="Arial"/>
          <w:sz w:val="24"/>
          <w:szCs w:val="24"/>
        </w:rPr>
        <w:t>”</w:t>
      </w:r>
      <w:r>
        <w:rPr>
          <w:rFonts w:ascii="Arial" w:hAnsi="Arial" w:eastAsia="宋体" w:cs="Arial"/>
          <w:sz w:val="24"/>
          <w:szCs w:val="24"/>
        </w:rPr>
        <w:t>的文件，与制造商在对标识为一次性使用的器械进行再处理时需遵循</w:t>
      </w:r>
      <w:r>
        <w:rPr>
          <w:rFonts w:ascii="宋体" w:hAnsi="宋体" w:eastAsia="宋体" w:cs="Arial"/>
          <w:sz w:val="24"/>
          <w:szCs w:val="24"/>
        </w:rPr>
        <w:t>“</w:t>
      </w:r>
      <w:r>
        <w:rPr>
          <w:rFonts w:ascii="Arial" w:hAnsi="Arial" w:eastAsia="宋体" w:cs="Arial"/>
          <w:sz w:val="24"/>
          <w:szCs w:val="24"/>
        </w:rPr>
        <w:t>联邦食品、药品和化妆品法案</w:t>
      </w:r>
      <w:r>
        <w:rPr>
          <w:rFonts w:ascii="宋体" w:hAnsi="宋体" w:eastAsia="宋体" w:cs="Arial"/>
          <w:sz w:val="24"/>
          <w:szCs w:val="24"/>
        </w:rPr>
        <w:t>”</w:t>
      </w:r>
      <w:r>
        <w:rPr>
          <w:rFonts w:ascii="Arial" w:hAnsi="Arial" w:eastAsia="宋体" w:cs="Arial"/>
          <w:sz w:val="24"/>
          <w:szCs w:val="24"/>
        </w:rPr>
        <w:t>（法案）一样，该文件为第三方和医院再处理者的责任提供了指导，并根据1990年</w:t>
      </w:r>
      <w:r>
        <w:rPr>
          <w:rFonts w:ascii="宋体" w:hAnsi="宋体" w:eastAsia="宋体" w:cs="Arial"/>
          <w:sz w:val="24"/>
          <w:szCs w:val="24"/>
        </w:rPr>
        <w:t>“</w:t>
      </w:r>
      <w:r>
        <w:rPr>
          <w:rFonts w:ascii="Arial" w:hAnsi="Arial" w:eastAsia="宋体" w:cs="Arial"/>
          <w:sz w:val="24"/>
          <w:szCs w:val="24"/>
        </w:rPr>
        <w:t>安全医疗器械法案</w:t>
      </w:r>
      <w:r>
        <w:rPr>
          <w:rFonts w:ascii="宋体" w:hAnsi="宋体" w:eastAsia="宋体" w:cs="Arial"/>
          <w:sz w:val="24"/>
          <w:szCs w:val="24"/>
        </w:rPr>
        <w:t>”</w:t>
      </w:r>
      <w:r>
        <w:rPr>
          <w:rFonts w:ascii="Arial" w:hAnsi="Arial" w:eastAsia="宋体" w:cs="Arial"/>
          <w:sz w:val="24"/>
          <w:szCs w:val="24"/>
        </w:rPr>
        <w:t xml:space="preserve"> 、1992年 </w:t>
      </w:r>
      <w:r>
        <w:rPr>
          <w:rFonts w:ascii="宋体" w:hAnsi="宋体" w:eastAsia="宋体" w:cs="Arial"/>
          <w:sz w:val="24"/>
          <w:szCs w:val="24"/>
        </w:rPr>
        <w:t>“</w:t>
      </w:r>
      <w:r>
        <w:rPr>
          <w:rFonts w:ascii="Arial" w:hAnsi="Arial" w:eastAsia="宋体" w:cs="Arial"/>
          <w:sz w:val="24"/>
          <w:szCs w:val="24"/>
        </w:rPr>
        <w:t>医疗器械</w:t>
      </w:r>
      <w:r>
        <w:rPr>
          <w:rFonts w:hint="eastAsia" w:ascii="Arial" w:hAnsi="Arial" w:eastAsia="宋体" w:cs="Arial"/>
          <w:sz w:val="24"/>
          <w:szCs w:val="24"/>
        </w:rPr>
        <w:t>修正</w:t>
      </w:r>
      <w:r>
        <w:rPr>
          <w:rFonts w:ascii="Arial" w:hAnsi="Arial" w:eastAsia="宋体" w:cs="Arial"/>
          <w:sz w:val="24"/>
          <w:szCs w:val="24"/>
        </w:rPr>
        <w:t>案</w:t>
      </w:r>
      <w:r>
        <w:rPr>
          <w:rFonts w:ascii="宋体" w:hAnsi="宋体" w:eastAsia="宋体" w:cs="Arial"/>
          <w:sz w:val="24"/>
          <w:szCs w:val="24"/>
        </w:rPr>
        <w:t>”</w:t>
      </w:r>
      <w:r>
        <w:rPr>
          <w:rFonts w:ascii="Arial" w:hAnsi="Arial" w:eastAsia="宋体" w:cs="Arial"/>
          <w:sz w:val="24"/>
          <w:szCs w:val="24"/>
        </w:rPr>
        <w:t>、1997年</w:t>
      </w:r>
      <w:r>
        <w:rPr>
          <w:rFonts w:ascii="宋体" w:hAnsi="宋体" w:eastAsia="宋体" w:cs="Arial"/>
          <w:sz w:val="24"/>
          <w:szCs w:val="24"/>
        </w:rPr>
        <w:t>“</w:t>
      </w:r>
      <w:r>
        <w:rPr>
          <w:rFonts w:ascii="Arial" w:hAnsi="Arial" w:eastAsia="宋体" w:cs="Arial"/>
          <w:sz w:val="24"/>
          <w:szCs w:val="24"/>
        </w:rPr>
        <w:t>食品和药品现代化法案</w:t>
      </w:r>
      <w:r>
        <w:rPr>
          <w:rFonts w:ascii="宋体" w:hAnsi="宋体" w:eastAsia="宋体" w:cs="Arial"/>
          <w:sz w:val="24"/>
          <w:szCs w:val="24"/>
        </w:rPr>
        <w:t>”</w:t>
      </w:r>
      <w:r>
        <w:rPr>
          <w:rFonts w:ascii="Arial" w:hAnsi="Arial" w:eastAsia="宋体" w:cs="Arial"/>
          <w:sz w:val="24"/>
          <w:szCs w:val="24"/>
        </w:rPr>
        <w:t>进行了修订。一次性使用器械（SUD）的第三方和医院的再处理者必须遵循当前适用于原器械制造商的所有监管要求，包括上市前提交的要求（该法案第513和515节；21联邦法规第807和814部分）。</w:t>
      </w:r>
    </w:p>
    <w:p w14:paraId="56154650">
      <w:pPr>
        <w:pStyle w:val="42"/>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自2000年8月14日发布以来，本机构已经收到了诸多有关执法重点指南的问题，以下的问题和答案即是对原始文件的澄清，该指南将根据需要进行更新。</w:t>
      </w:r>
    </w:p>
    <w:p w14:paraId="479B56D0">
      <w:pPr>
        <w:pStyle w:val="42"/>
        <w:shd w:val="clear" w:color="auto" w:fill="auto"/>
        <w:adjustRightInd w:val="0"/>
        <w:snapToGrid w:val="0"/>
        <w:spacing w:before="0" w:after="163" w:afterLines="50" w:line="300" w:lineRule="auto"/>
        <w:rPr>
          <w:rFonts w:ascii="Arial" w:hAnsi="Arial" w:eastAsia="宋体" w:cs="Arial"/>
          <w:b/>
          <w:kern w:val="0"/>
          <w:sz w:val="30"/>
          <w:szCs w:val="30"/>
        </w:rPr>
      </w:pPr>
      <w:r>
        <w:rPr>
          <w:rFonts w:ascii="Arial" w:hAnsi="Arial" w:eastAsia="宋体" w:cs="Arial"/>
          <w:b/>
          <w:kern w:val="0"/>
          <w:sz w:val="30"/>
          <w:szCs w:val="30"/>
        </w:rPr>
        <w:t>最小负担手段原则</w:t>
      </w:r>
    </w:p>
    <w:p w14:paraId="2EDF981C">
      <w:pPr>
        <w:pStyle w:val="42"/>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我们认为，我们应该考虑在医疗器械监管的所有领域中使最小负担手段原则。本指南反映了我们对相关科学和法律要求的仔细审查，我们认为这是对于您遵守这些要求的最小负担手段原则。但是，如果您认为有一种替代方法可以减小负担，请与我们联系，以便我们考虑您的观点。您可以将您的书面意见发送到本指南序言中列出的联系人或CDRH监察专员。有关CDRH监察专员的综合信息，包括与他联系的方式，可从互联网获得</w:t>
      </w:r>
      <w:r>
        <w:fldChar w:fldCharType="begin"/>
      </w:r>
      <w:r>
        <w:instrText xml:space="preserve"> HYPERLINK "http://www.fda.gov/cdrh/ombudsman/" </w:instrText>
      </w:r>
      <w:r>
        <w:fldChar w:fldCharType="separate"/>
      </w:r>
      <w:r>
        <w:rPr>
          <w:rFonts w:ascii="Arial" w:hAnsi="Arial" w:eastAsia="宋体" w:cs="Arial"/>
          <w:color w:val="0000FF"/>
          <w:sz w:val="24"/>
          <w:szCs w:val="24"/>
          <w:u w:val="single"/>
        </w:rPr>
        <w:t>http://www.fda.gov/cdrh/ombudsman/</w:t>
      </w:r>
      <w:r>
        <w:rPr>
          <w:rFonts w:ascii="Arial" w:hAnsi="Arial" w:eastAsia="宋体" w:cs="Arial"/>
          <w:color w:val="0000FF"/>
          <w:sz w:val="24"/>
          <w:szCs w:val="24"/>
          <w:u w:val="single"/>
        </w:rPr>
        <w:fldChar w:fldCharType="end"/>
      </w:r>
      <w:r>
        <w:rPr>
          <w:rFonts w:ascii="Arial" w:hAnsi="Arial" w:eastAsia="宋体" w:cs="Arial"/>
          <w:sz w:val="24"/>
          <w:szCs w:val="24"/>
        </w:rPr>
        <w:t>。</w:t>
      </w:r>
    </w:p>
    <w:p w14:paraId="74F48058">
      <w:pPr>
        <w:spacing w:after="0" w:line="240" w:lineRule="auto"/>
        <w:rPr>
          <w:rFonts w:ascii="Arial" w:hAnsi="Arial" w:eastAsia="宋体" w:cs="Arial"/>
          <w:b/>
          <w:szCs w:val="24"/>
        </w:rPr>
      </w:pPr>
      <w:r>
        <w:rPr>
          <w:rFonts w:ascii="Arial" w:hAnsi="Arial" w:eastAsia="宋体" w:cs="Arial"/>
          <w:b/>
          <w:szCs w:val="24"/>
        </w:rPr>
        <w:br w:type="page"/>
      </w:r>
    </w:p>
    <w:p w14:paraId="6235A41D">
      <w:pPr>
        <w:snapToGrid w:val="0"/>
        <w:spacing w:after="163" w:afterLines="50" w:line="300" w:lineRule="auto"/>
        <w:jc w:val="center"/>
        <w:rPr>
          <w:rFonts w:ascii="Arial" w:hAnsi="Arial" w:eastAsia="宋体" w:cs="Arial"/>
          <w:b/>
          <w:sz w:val="28"/>
          <w:szCs w:val="28"/>
        </w:rPr>
      </w:pPr>
      <w:r>
        <w:rPr>
          <w:rFonts w:ascii="Arial" w:hAnsi="Arial" w:eastAsia="宋体" w:cs="Arial"/>
          <w:b/>
          <w:sz w:val="28"/>
          <w:szCs w:val="28"/>
        </w:rPr>
        <w:t>有关附录的问题</w:t>
      </w:r>
    </w:p>
    <w:p w14:paraId="09899982">
      <w:pPr>
        <w:pStyle w:val="44"/>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问：第三方（商业化）再处理者对开封但未使用的SUD进行再处理，有哪些监管要求？</w:t>
      </w:r>
    </w:p>
    <w:p w14:paraId="53E4A933">
      <w:pPr>
        <w:pStyle w:val="42"/>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答：食品药品监督管理局的指导性文件</w:t>
      </w:r>
      <w:r>
        <w:rPr>
          <w:rFonts w:ascii="宋体" w:hAnsi="宋体" w:eastAsia="宋体" w:cs="Arial"/>
          <w:sz w:val="24"/>
          <w:szCs w:val="24"/>
        </w:rPr>
        <w:t>“</w:t>
      </w:r>
      <w:r>
        <w:rPr>
          <w:rFonts w:ascii="Arial" w:hAnsi="Arial" w:eastAsia="宋体" w:cs="Arial"/>
          <w:sz w:val="24"/>
          <w:szCs w:val="24"/>
        </w:rPr>
        <w:t>对于第三方和医院再处理SUD的执法重点</w:t>
      </w:r>
      <w:r>
        <w:rPr>
          <w:rFonts w:ascii="宋体" w:hAnsi="宋体" w:eastAsia="宋体" w:cs="Arial"/>
          <w:sz w:val="24"/>
          <w:szCs w:val="24"/>
        </w:rPr>
        <w:t>”</w:t>
      </w:r>
      <w:r>
        <w:rPr>
          <w:rFonts w:ascii="Arial" w:hAnsi="Arial" w:eastAsia="宋体" w:cs="Arial"/>
          <w:sz w:val="24"/>
          <w:szCs w:val="24"/>
        </w:rPr>
        <w:t>（2000年8月14日），将</w:t>
      </w:r>
      <w:r>
        <w:rPr>
          <w:rFonts w:ascii="Arial" w:hAnsi="Arial" w:eastAsia="宋体" w:cs="Arial"/>
          <w:i/>
          <w:sz w:val="24"/>
          <w:szCs w:val="24"/>
        </w:rPr>
        <w:t>开封而但未使用</w:t>
      </w:r>
      <w:r>
        <w:rPr>
          <w:rFonts w:ascii="Arial" w:hAnsi="Arial" w:eastAsia="宋体" w:cs="Arial"/>
          <w:sz w:val="24"/>
          <w:szCs w:val="24"/>
        </w:rPr>
        <w:t>的一次性器械（SUD）定义为</w:t>
      </w:r>
      <w:r>
        <w:rPr>
          <w:rFonts w:ascii="宋体" w:hAnsi="宋体" w:eastAsia="宋体" w:cs="Arial"/>
          <w:sz w:val="24"/>
          <w:szCs w:val="24"/>
        </w:rPr>
        <w:t>“</w:t>
      </w:r>
      <w:r>
        <w:rPr>
          <w:rFonts w:ascii="Arial" w:hAnsi="Arial" w:eastAsia="宋体" w:cs="Arial"/>
          <w:sz w:val="24"/>
          <w:szCs w:val="24"/>
        </w:rPr>
        <w:t>一次性使用器械，即需即用型的器械，其无菌性已破坏或受损，或者其无菌包装已打开但并未用于患者，即，其未与血液或体液接触</w:t>
      </w:r>
      <w:r>
        <w:rPr>
          <w:rFonts w:ascii="宋体" w:hAnsi="宋体" w:eastAsia="宋体" w:cs="Arial"/>
          <w:sz w:val="24"/>
          <w:szCs w:val="24"/>
        </w:rPr>
        <w:t>”</w:t>
      </w:r>
      <w:r>
        <w:rPr>
          <w:rFonts w:hint="eastAsia" w:ascii="Arial" w:hAnsi="Arial" w:eastAsia="宋体" w:cs="Arial"/>
          <w:sz w:val="24"/>
          <w:szCs w:val="24"/>
        </w:rPr>
        <w:t>（</w:t>
      </w:r>
      <w:r>
        <w:rPr>
          <w:rFonts w:ascii="Arial" w:hAnsi="Arial" w:eastAsia="宋体" w:cs="Arial"/>
          <w:sz w:val="24"/>
          <w:szCs w:val="24"/>
        </w:rPr>
        <w:t>附录B，第40页</w:t>
      </w:r>
      <w:r>
        <w:rPr>
          <w:rFonts w:hint="eastAsia" w:ascii="Arial" w:hAnsi="Arial" w:eastAsia="宋体" w:cs="Arial"/>
          <w:sz w:val="24"/>
          <w:szCs w:val="24"/>
        </w:rPr>
        <w:t>）</w:t>
      </w:r>
      <w:r>
        <w:rPr>
          <w:rFonts w:ascii="Arial" w:hAnsi="Arial" w:eastAsia="宋体" w:cs="Arial"/>
          <w:sz w:val="24"/>
          <w:szCs w:val="24"/>
        </w:rPr>
        <w:t>。</w:t>
      </w:r>
    </w:p>
    <w:p w14:paraId="14253009">
      <w:pPr>
        <w:pStyle w:val="42"/>
        <w:shd w:val="clear" w:color="auto" w:fill="auto"/>
        <w:adjustRightInd w:val="0"/>
        <w:snapToGrid w:val="0"/>
        <w:spacing w:before="326" w:beforeLines="100" w:after="163" w:afterLines="50" w:line="300" w:lineRule="auto"/>
        <w:rPr>
          <w:rFonts w:ascii="Arial" w:hAnsi="Arial" w:eastAsia="宋体" w:cs="Arial"/>
          <w:sz w:val="24"/>
          <w:szCs w:val="24"/>
        </w:rPr>
      </w:pPr>
      <w:r>
        <w:rPr>
          <w:rFonts w:ascii="Arial" w:hAnsi="Arial" w:eastAsia="宋体" w:cs="Arial"/>
          <w:sz w:val="24"/>
          <w:szCs w:val="24"/>
        </w:rPr>
        <w:t>在指导性文件的</w:t>
      </w:r>
      <w:r>
        <w:rPr>
          <w:rFonts w:ascii="宋体" w:hAnsi="宋体" w:eastAsia="宋体" w:cs="Arial"/>
          <w:sz w:val="24"/>
          <w:szCs w:val="24"/>
        </w:rPr>
        <w:t>“</w:t>
      </w:r>
      <w:r>
        <w:rPr>
          <w:rFonts w:ascii="Arial" w:hAnsi="Arial" w:eastAsia="宋体" w:cs="Arial"/>
          <w:sz w:val="24"/>
          <w:szCs w:val="24"/>
        </w:rPr>
        <w:t>C.范围</w:t>
      </w:r>
      <w:r>
        <w:rPr>
          <w:rFonts w:ascii="宋体" w:hAnsi="宋体" w:eastAsia="宋体" w:cs="Arial"/>
          <w:sz w:val="24"/>
          <w:szCs w:val="24"/>
        </w:rPr>
        <w:t>”</w:t>
      </w:r>
      <w:r>
        <w:rPr>
          <w:rFonts w:ascii="Arial" w:hAnsi="Arial" w:eastAsia="宋体" w:cs="Arial"/>
          <w:sz w:val="24"/>
          <w:szCs w:val="24"/>
        </w:rPr>
        <w:t>中指出，执法重点不适用于</w:t>
      </w:r>
      <w:r>
        <w:rPr>
          <w:rFonts w:ascii="Arial" w:hAnsi="Arial" w:eastAsia="宋体" w:cs="Arial"/>
          <w:i/>
          <w:sz w:val="24"/>
          <w:szCs w:val="24"/>
        </w:rPr>
        <w:t>开封但未使用的</w:t>
      </w:r>
      <w:r>
        <w:rPr>
          <w:rFonts w:ascii="Arial" w:hAnsi="Arial" w:eastAsia="宋体" w:cs="Arial"/>
          <w:sz w:val="24"/>
          <w:szCs w:val="24"/>
        </w:rPr>
        <w:t>SUD，这意味着FDA目前不要求SUD的第三方或医院的再处理者为开封但尚使用的SUD提交PMA（上市前批准申请）或510（k）（上市前通知提交）。 但是，FDA对于第三方进行再处理的开封但未使用SUD的现行政策保持不变：</w:t>
      </w:r>
      <w:r>
        <w:rPr>
          <w:rFonts w:ascii="Arial" w:hAnsi="Arial" w:eastAsia="宋体" w:cs="Arial"/>
          <w:b/>
          <w:sz w:val="24"/>
          <w:szCs w:val="24"/>
        </w:rPr>
        <w:t>商业化的再处理者对开封但未使用的SUD进行再处理，需符合</w:t>
      </w:r>
      <w:r>
        <w:rPr>
          <w:rFonts w:ascii="宋体" w:hAnsi="宋体" w:eastAsia="宋体" w:cs="Arial"/>
          <w:b/>
          <w:sz w:val="24"/>
          <w:szCs w:val="24"/>
        </w:rPr>
        <w:t>“</w:t>
      </w:r>
      <w:r>
        <w:rPr>
          <w:rFonts w:ascii="Arial" w:hAnsi="Arial" w:eastAsia="宋体" w:cs="Arial"/>
          <w:b/>
          <w:sz w:val="24"/>
          <w:szCs w:val="24"/>
        </w:rPr>
        <w:t>质量体系规范</w:t>
      </w:r>
      <w:r>
        <w:rPr>
          <w:rFonts w:ascii="宋体" w:hAnsi="宋体" w:eastAsia="宋体" w:cs="Arial"/>
          <w:b/>
          <w:sz w:val="24"/>
          <w:szCs w:val="24"/>
        </w:rPr>
        <w:t>”</w:t>
      </w:r>
      <w:r>
        <w:rPr>
          <w:rFonts w:ascii="Arial" w:hAnsi="Arial" w:eastAsia="宋体" w:cs="Arial"/>
          <w:b/>
          <w:sz w:val="24"/>
          <w:szCs w:val="24"/>
        </w:rPr>
        <w:t>（QSR）的规定</w:t>
      </w:r>
      <w:r>
        <w:rPr>
          <w:rFonts w:ascii="Arial" w:hAnsi="Arial" w:eastAsia="宋体" w:cs="Arial"/>
          <w:sz w:val="24"/>
          <w:szCs w:val="24"/>
        </w:rPr>
        <w:t>。</w:t>
      </w:r>
    </w:p>
    <w:p w14:paraId="6044908D">
      <w:pPr>
        <w:snapToGrid w:val="0"/>
        <w:spacing w:after="163" w:afterLines="50" w:line="300" w:lineRule="auto"/>
        <w:jc w:val="center"/>
        <w:rPr>
          <w:rFonts w:ascii="Arial" w:hAnsi="Arial" w:eastAsia="宋体" w:cs="Arial"/>
          <w:b/>
          <w:sz w:val="28"/>
          <w:szCs w:val="28"/>
        </w:rPr>
      </w:pPr>
      <w:r>
        <w:rPr>
          <w:rFonts w:ascii="Arial" w:hAnsi="Arial" w:eastAsia="宋体" w:cs="Arial"/>
          <w:b/>
          <w:sz w:val="28"/>
          <w:szCs w:val="28"/>
        </w:rPr>
        <w:t>有关质量体系的问题</w:t>
      </w:r>
    </w:p>
    <w:p w14:paraId="112F93D6">
      <w:pPr>
        <w:pStyle w:val="44"/>
        <w:shd w:val="clear" w:color="auto" w:fill="auto"/>
        <w:adjustRightInd w:val="0"/>
        <w:snapToGrid w:val="0"/>
        <w:spacing w:before="0" w:after="163" w:afterLines="50" w:line="300" w:lineRule="auto"/>
        <w:rPr>
          <w:rFonts w:ascii="Arial" w:hAnsi="Arial" w:eastAsia="宋体" w:cs="Arial"/>
          <w:i w:val="0"/>
          <w:sz w:val="24"/>
          <w:szCs w:val="24"/>
        </w:rPr>
      </w:pPr>
      <w:r>
        <w:rPr>
          <w:rFonts w:ascii="Arial" w:hAnsi="Arial" w:eastAsia="宋体" w:cs="Arial"/>
          <w:i w:val="0"/>
          <w:sz w:val="24"/>
          <w:szCs w:val="24"/>
        </w:rPr>
        <w:t>灭菌</w:t>
      </w:r>
    </w:p>
    <w:p w14:paraId="334A5929">
      <w:pPr>
        <w:pStyle w:val="44"/>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问：如果再处理的器械不是无菌的，则该一次性器械（SUD）的再处理者是否必须对其清洁/</w:t>
      </w:r>
      <w:r>
        <w:rPr>
          <w:rFonts w:hint="eastAsia" w:ascii="Arial" w:hAnsi="Arial" w:eastAsia="宋体" w:cs="Arial"/>
          <w:sz w:val="24"/>
          <w:szCs w:val="24"/>
        </w:rPr>
        <w:t>灭菌</w:t>
      </w:r>
      <w:r>
        <w:rPr>
          <w:rFonts w:ascii="Arial" w:hAnsi="Arial" w:eastAsia="宋体" w:cs="Arial"/>
          <w:sz w:val="24"/>
          <w:szCs w:val="24"/>
        </w:rPr>
        <w:t>过程进行验证？</w:t>
      </w:r>
    </w:p>
    <w:p w14:paraId="4E726C61">
      <w:pPr>
        <w:pStyle w:val="42"/>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答：是的。需要进行验证，因为清洁/</w:t>
      </w:r>
      <w:r>
        <w:rPr>
          <w:rFonts w:hint="eastAsia" w:ascii="Arial" w:hAnsi="Arial" w:eastAsia="宋体" w:cs="Arial"/>
          <w:sz w:val="24"/>
          <w:szCs w:val="24"/>
        </w:rPr>
        <w:t>灭菌</w:t>
      </w:r>
      <w:r>
        <w:rPr>
          <w:rFonts w:ascii="Arial" w:hAnsi="Arial" w:eastAsia="宋体" w:cs="Arial"/>
          <w:sz w:val="24"/>
          <w:szCs w:val="24"/>
        </w:rPr>
        <w:t>过程的结果无法通过后续的检查和检测得到充分确认。此外，该器械是非无菌的，实际上意味着在清洁/灭菌之后，不会再有随后的灭菌过程来杀死残留在该器械上的任何污染物。</w:t>
      </w:r>
    </w:p>
    <w:p w14:paraId="1290EF54">
      <w:pPr>
        <w:snapToGrid w:val="0"/>
        <w:spacing w:before="326" w:beforeLines="100" w:after="163" w:afterLines="50" w:line="300" w:lineRule="auto"/>
        <w:jc w:val="center"/>
        <w:rPr>
          <w:rFonts w:ascii="Arial" w:hAnsi="Arial" w:eastAsia="宋体" w:cs="Arial"/>
          <w:b/>
          <w:sz w:val="28"/>
          <w:szCs w:val="28"/>
        </w:rPr>
      </w:pPr>
      <w:r>
        <w:rPr>
          <w:rFonts w:ascii="Arial" w:hAnsi="Arial" w:eastAsia="宋体" w:cs="Arial"/>
          <w:b/>
          <w:sz w:val="28"/>
          <w:szCs w:val="28"/>
        </w:rPr>
        <w:t>有关执行日期的问题</w:t>
      </w:r>
    </w:p>
    <w:p w14:paraId="04B84CB8">
      <w:pPr>
        <w:pStyle w:val="44"/>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问：由于已经批准了几项扩展的内容，SUD的医院再处理者必须在什么日期</w:t>
      </w:r>
      <w:r>
        <w:rPr>
          <w:rFonts w:hint="eastAsia" w:ascii="Arial" w:hAnsi="Arial" w:eastAsia="宋体" w:cs="Arial"/>
          <w:sz w:val="24"/>
          <w:szCs w:val="24"/>
        </w:rPr>
        <w:t>符合</w:t>
      </w:r>
      <w:r>
        <w:rPr>
          <w:rFonts w:ascii="Arial" w:hAnsi="Arial" w:eastAsia="宋体" w:cs="Arial"/>
          <w:sz w:val="24"/>
          <w:szCs w:val="24"/>
        </w:rPr>
        <w:t>要求？</w:t>
      </w:r>
    </w:p>
    <w:p w14:paraId="4D1614E6">
      <w:pPr>
        <w:pStyle w:val="42"/>
        <w:shd w:val="clear" w:color="auto" w:fill="auto"/>
        <w:adjustRightInd w:val="0"/>
        <w:snapToGrid w:val="0"/>
        <w:spacing w:before="0" w:after="163" w:afterLines="50" w:line="300" w:lineRule="auto"/>
        <w:rPr>
          <w:rFonts w:ascii="Arial" w:hAnsi="Arial" w:eastAsia="宋体" w:cs="Arial"/>
          <w:sz w:val="24"/>
          <w:szCs w:val="24"/>
        </w:rPr>
      </w:pPr>
      <w:r>
        <w:rPr>
          <w:rFonts w:ascii="Arial" w:hAnsi="Arial" w:eastAsia="宋体" w:cs="Arial"/>
          <w:sz w:val="24"/>
          <w:szCs w:val="24"/>
        </w:rPr>
        <w:t>答：以下表格总结了适用于SUD的医院再处理者的监管要求和执行日期。</w:t>
      </w:r>
    </w:p>
    <w:p w14:paraId="48F86DEC">
      <w:pPr>
        <w:snapToGrid w:val="0"/>
        <w:spacing w:after="163" w:afterLines="50" w:line="300" w:lineRule="auto"/>
        <w:rPr>
          <w:rFonts w:ascii="Arial" w:hAnsi="Arial" w:eastAsia="宋体" w:cs="Arial"/>
          <w:b/>
          <w:szCs w:val="24"/>
        </w:rPr>
      </w:pPr>
    </w:p>
    <w:p w14:paraId="0C9670D7">
      <w:pPr>
        <w:spacing w:after="0" w:line="240" w:lineRule="auto"/>
        <w:rPr>
          <w:rFonts w:ascii="Arial" w:hAnsi="Arial" w:eastAsia="宋体" w:cs="Arial"/>
          <w:b/>
          <w:szCs w:val="24"/>
        </w:rPr>
      </w:pPr>
      <w:r>
        <w:rPr>
          <w:rFonts w:ascii="Arial" w:hAnsi="Arial" w:eastAsia="宋体" w:cs="Arial"/>
          <w:b/>
          <w:szCs w:val="24"/>
        </w:rPr>
        <w:br w:type="page"/>
      </w:r>
    </w:p>
    <w:p w14:paraId="416006DC">
      <w:pPr>
        <w:snapToGrid w:val="0"/>
        <w:spacing w:after="163" w:afterLines="50" w:line="300" w:lineRule="auto"/>
        <w:jc w:val="center"/>
        <w:rPr>
          <w:rFonts w:ascii="Arial" w:hAnsi="Arial" w:eastAsia="宋体" w:cs="Arial"/>
          <w:b/>
          <w:sz w:val="28"/>
          <w:szCs w:val="28"/>
        </w:rPr>
      </w:pPr>
      <w:r>
        <w:rPr>
          <w:rFonts w:hint="eastAsia" w:ascii="Arial" w:hAnsi="Arial" w:eastAsia="宋体" w:cs="Arial"/>
          <w:b/>
          <w:sz w:val="28"/>
          <w:szCs w:val="28"/>
        </w:rPr>
        <w:t>符合</w:t>
      </w:r>
      <w:r>
        <w:rPr>
          <w:rFonts w:ascii="Arial" w:hAnsi="Arial" w:eastAsia="宋体" w:cs="Arial"/>
          <w:b/>
          <w:sz w:val="28"/>
          <w:szCs w:val="28"/>
        </w:rPr>
        <w:t>上市前提交要求的日期</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0"/>
        <w:gridCol w:w="2536"/>
        <w:gridCol w:w="2536"/>
      </w:tblGrid>
      <w:tr w14:paraId="22F4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14409253">
            <w:pPr>
              <w:snapToGrid w:val="0"/>
              <w:spacing w:before="48" w:beforeLines="15" w:after="48" w:afterLines="15" w:line="276" w:lineRule="auto"/>
              <w:rPr>
                <w:rFonts w:ascii="Arial" w:hAnsi="Arial" w:eastAsia="宋体" w:cs="Arial"/>
                <w:b/>
                <w:sz w:val="21"/>
                <w:szCs w:val="21"/>
              </w:rPr>
            </w:pPr>
            <w:r>
              <w:rPr>
                <w:rFonts w:ascii="Arial" w:hAnsi="Arial" w:eastAsia="宋体" w:cs="Arial"/>
                <w:b/>
                <w:sz w:val="21"/>
                <w:szCs w:val="21"/>
              </w:rPr>
              <w:t>PMA申请（上市前批准）或510（k）提交（上市前通知）</w:t>
            </w:r>
          </w:p>
        </w:tc>
        <w:tc>
          <w:tcPr>
            <w:tcW w:w="1488" w:type="pct"/>
            <w:vAlign w:val="center"/>
          </w:tcPr>
          <w:p w14:paraId="700A8817">
            <w:pPr>
              <w:snapToGrid w:val="0"/>
              <w:spacing w:before="48" w:beforeLines="15" w:after="48" w:afterLines="15" w:line="276" w:lineRule="auto"/>
              <w:rPr>
                <w:rFonts w:ascii="Arial" w:hAnsi="Arial" w:eastAsia="宋体" w:cs="Arial"/>
                <w:b/>
                <w:sz w:val="21"/>
                <w:szCs w:val="21"/>
              </w:rPr>
            </w:pPr>
            <w:r>
              <w:rPr>
                <w:rFonts w:ascii="Arial" w:hAnsi="Arial" w:eastAsia="宋体" w:cs="Arial"/>
                <w:b/>
                <w:sz w:val="21"/>
                <w:szCs w:val="21"/>
              </w:rPr>
              <w:t>到期日</w:t>
            </w:r>
          </w:p>
        </w:tc>
        <w:tc>
          <w:tcPr>
            <w:tcW w:w="1488" w:type="pct"/>
            <w:vAlign w:val="center"/>
          </w:tcPr>
          <w:p w14:paraId="35E93CA7">
            <w:pPr>
              <w:snapToGrid w:val="0"/>
              <w:spacing w:before="48" w:beforeLines="15" w:after="48" w:afterLines="15" w:line="276" w:lineRule="auto"/>
              <w:rPr>
                <w:rFonts w:ascii="Arial" w:hAnsi="Arial" w:eastAsia="宋体" w:cs="Arial"/>
                <w:b/>
                <w:sz w:val="21"/>
                <w:szCs w:val="21"/>
              </w:rPr>
            </w:pPr>
            <w:r>
              <w:rPr>
                <w:rFonts w:ascii="Arial" w:hAnsi="Arial" w:eastAsia="宋体" w:cs="Arial"/>
                <w:b/>
                <w:sz w:val="21"/>
                <w:szCs w:val="21"/>
              </w:rPr>
              <w:t>许可或批准日</w:t>
            </w:r>
          </w:p>
        </w:tc>
      </w:tr>
      <w:tr w14:paraId="3F1A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2AE25E95">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III类</w:t>
            </w:r>
          </w:p>
        </w:tc>
        <w:tc>
          <w:tcPr>
            <w:tcW w:w="1488" w:type="pct"/>
            <w:vAlign w:val="center"/>
          </w:tcPr>
          <w:p w14:paraId="01759C4C">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2001年2月14日</w:t>
            </w:r>
          </w:p>
        </w:tc>
        <w:tc>
          <w:tcPr>
            <w:tcW w:w="1488" w:type="pct"/>
            <w:vAlign w:val="center"/>
          </w:tcPr>
          <w:p w14:paraId="648766FD">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2002年2月14日</w:t>
            </w:r>
          </w:p>
        </w:tc>
      </w:tr>
      <w:tr w14:paraId="2C2D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7E39B619">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II类非豁免</w:t>
            </w:r>
          </w:p>
        </w:tc>
        <w:tc>
          <w:tcPr>
            <w:tcW w:w="1488" w:type="pct"/>
            <w:vAlign w:val="center"/>
          </w:tcPr>
          <w:p w14:paraId="730F2748">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2001年8月14日</w:t>
            </w:r>
          </w:p>
        </w:tc>
        <w:tc>
          <w:tcPr>
            <w:tcW w:w="1488" w:type="pct"/>
            <w:vAlign w:val="center"/>
          </w:tcPr>
          <w:p w14:paraId="16571DA8">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2002年8月14日*</w:t>
            </w:r>
          </w:p>
        </w:tc>
      </w:tr>
      <w:tr w14:paraId="226A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5DF6A605">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I类非豁免</w:t>
            </w:r>
          </w:p>
        </w:tc>
        <w:tc>
          <w:tcPr>
            <w:tcW w:w="1488" w:type="pct"/>
            <w:vAlign w:val="center"/>
          </w:tcPr>
          <w:p w14:paraId="14F482D6">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2002年2月14日</w:t>
            </w:r>
          </w:p>
        </w:tc>
        <w:tc>
          <w:tcPr>
            <w:tcW w:w="1488" w:type="pct"/>
            <w:vAlign w:val="center"/>
          </w:tcPr>
          <w:p w14:paraId="03773B39">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2002年8月14日</w:t>
            </w:r>
          </w:p>
        </w:tc>
      </w:tr>
    </w:tbl>
    <w:p w14:paraId="49DBFD0F">
      <w:pPr>
        <w:snapToGrid w:val="0"/>
        <w:spacing w:after="163" w:afterLines="50" w:line="300" w:lineRule="auto"/>
        <w:rPr>
          <w:rFonts w:ascii="Arial" w:hAnsi="Arial" w:eastAsia="宋体" w:cs="Arial"/>
          <w:b/>
          <w:szCs w:val="24"/>
        </w:rPr>
      </w:pPr>
    </w:p>
    <w:p w14:paraId="14C45E5D">
      <w:pPr>
        <w:snapToGrid w:val="0"/>
        <w:spacing w:after="163" w:afterLines="50" w:line="300" w:lineRule="auto"/>
        <w:rPr>
          <w:rFonts w:ascii="Arial" w:hAnsi="Arial" w:eastAsia="宋体" w:cs="Arial"/>
          <w:szCs w:val="24"/>
        </w:rPr>
      </w:pPr>
      <w:r>
        <w:rPr>
          <w:rFonts w:ascii="Arial" w:hAnsi="Arial" w:eastAsia="宋体" w:cs="Arial"/>
          <w:szCs w:val="24"/>
        </w:rPr>
        <w:t>* 如果再处理者，</w:t>
      </w:r>
    </w:p>
    <w:p w14:paraId="088D1B6C">
      <w:pPr>
        <w:snapToGrid w:val="0"/>
        <w:spacing w:after="163" w:afterLines="50" w:line="300" w:lineRule="auto"/>
        <w:ind w:left="480" w:leftChars="200"/>
        <w:rPr>
          <w:rFonts w:ascii="Arial" w:hAnsi="Arial" w:eastAsia="宋体" w:cs="Arial"/>
          <w:szCs w:val="24"/>
        </w:rPr>
      </w:pPr>
      <w:r>
        <w:rPr>
          <w:rFonts w:ascii="Arial" w:hAnsi="Arial" w:eastAsia="宋体" w:cs="Arial"/>
          <w:szCs w:val="24"/>
        </w:rPr>
        <w:t>（1）2001年8月14日前提交了上市前通知；</w:t>
      </w:r>
    </w:p>
    <w:p w14:paraId="092C2D50">
      <w:pPr>
        <w:snapToGrid w:val="0"/>
        <w:spacing w:after="163" w:afterLines="50" w:line="300" w:lineRule="auto"/>
        <w:ind w:left="480" w:leftChars="200"/>
        <w:rPr>
          <w:rFonts w:ascii="Arial" w:hAnsi="Arial" w:eastAsia="宋体" w:cs="Arial"/>
          <w:szCs w:val="24"/>
        </w:rPr>
      </w:pPr>
      <w:r>
        <w:rPr>
          <w:rFonts w:ascii="Arial" w:hAnsi="Arial" w:eastAsia="宋体" w:cs="Arial"/>
          <w:szCs w:val="24"/>
        </w:rPr>
        <w:t>（2）未收到</w:t>
      </w:r>
      <w:r>
        <w:rPr>
          <w:rFonts w:ascii="宋体" w:hAnsi="宋体" w:eastAsia="宋体" w:cs="Arial"/>
          <w:szCs w:val="24"/>
        </w:rPr>
        <w:t>“</w:t>
      </w:r>
      <w:r>
        <w:rPr>
          <w:rFonts w:ascii="Arial" w:hAnsi="Arial" w:eastAsia="宋体" w:cs="Arial"/>
          <w:szCs w:val="24"/>
        </w:rPr>
        <w:t>实质等同</w:t>
      </w:r>
      <w:r>
        <w:rPr>
          <w:rFonts w:ascii="宋体" w:hAnsi="宋体" w:eastAsia="宋体" w:cs="Arial"/>
          <w:szCs w:val="24"/>
        </w:rPr>
        <w:t>”</w:t>
      </w:r>
      <w:r>
        <w:rPr>
          <w:rFonts w:ascii="Arial" w:hAnsi="Arial" w:eastAsia="宋体" w:cs="Arial"/>
          <w:szCs w:val="24"/>
        </w:rPr>
        <w:t>的决定；以及</w:t>
      </w:r>
    </w:p>
    <w:p w14:paraId="73DB6891">
      <w:pPr>
        <w:snapToGrid w:val="0"/>
        <w:spacing w:after="163" w:afterLines="50" w:line="300" w:lineRule="auto"/>
        <w:ind w:left="480" w:leftChars="200"/>
        <w:rPr>
          <w:rFonts w:ascii="Arial" w:hAnsi="Arial" w:eastAsia="宋体" w:cs="Arial"/>
          <w:szCs w:val="24"/>
        </w:rPr>
      </w:pPr>
      <w:r>
        <w:rPr>
          <w:rFonts w:ascii="Arial" w:hAnsi="Arial" w:eastAsia="宋体" w:cs="Arial"/>
          <w:szCs w:val="24"/>
        </w:rPr>
        <w:t>（3）及时回复了FDA关于提供更多资料的要求。</w:t>
      </w:r>
    </w:p>
    <w:p w14:paraId="50B93940">
      <w:pPr>
        <w:snapToGrid w:val="0"/>
        <w:spacing w:after="163" w:afterLines="50" w:line="300" w:lineRule="auto"/>
        <w:rPr>
          <w:rFonts w:ascii="Arial" w:hAnsi="Arial" w:eastAsia="宋体" w:cs="Arial"/>
          <w:szCs w:val="24"/>
        </w:rPr>
      </w:pPr>
    </w:p>
    <w:p w14:paraId="5628BA55">
      <w:pPr>
        <w:snapToGrid w:val="0"/>
        <w:spacing w:after="163" w:afterLines="50" w:line="300" w:lineRule="auto"/>
        <w:jc w:val="center"/>
        <w:rPr>
          <w:rFonts w:ascii="Arial" w:hAnsi="Arial" w:eastAsia="宋体" w:cs="Arial"/>
          <w:b/>
          <w:sz w:val="28"/>
          <w:szCs w:val="28"/>
        </w:rPr>
      </w:pPr>
      <w:r>
        <w:rPr>
          <w:rFonts w:hint="eastAsia" w:ascii="Arial" w:hAnsi="Arial" w:eastAsia="宋体" w:cs="Arial"/>
          <w:b/>
          <w:sz w:val="28"/>
          <w:szCs w:val="28"/>
        </w:rPr>
        <w:t>符合</w:t>
      </w:r>
      <w:r>
        <w:rPr>
          <w:rFonts w:ascii="Arial" w:hAnsi="Arial" w:eastAsia="宋体" w:cs="Arial"/>
          <w:b/>
          <w:sz w:val="28"/>
          <w:szCs w:val="28"/>
        </w:rPr>
        <w:t>非上市前提交要求的日期</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9"/>
        <w:gridCol w:w="2104"/>
      </w:tblGrid>
      <w:tr w14:paraId="4B16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9" w:type="dxa"/>
            <w:vAlign w:val="center"/>
          </w:tcPr>
          <w:p w14:paraId="2C8196F3">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注册和清单</w:t>
            </w:r>
          </w:p>
        </w:tc>
        <w:tc>
          <w:tcPr>
            <w:tcW w:w="2104" w:type="dxa"/>
            <w:vAlign w:val="center"/>
          </w:tcPr>
          <w:p w14:paraId="05F7ED56">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2001年8月14日</w:t>
            </w:r>
          </w:p>
        </w:tc>
      </w:tr>
      <w:tr w14:paraId="5751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9" w:type="dxa"/>
            <w:vAlign w:val="center"/>
          </w:tcPr>
          <w:p w14:paraId="606D6BC1">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医疗器械报告（MDR）</w:t>
            </w:r>
          </w:p>
        </w:tc>
        <w:tc>
          <w:tcPr>
            <w:tcW w:w="2104" w:type="dxa"/>
            <w:vAlign w:val="center"/>
          </w:tcPr>
          <w:p w14:paraId="331DB675">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2002年8月14日</w:t>
            </w:r>
          </w:p>
        </w:tc>
      </w:tr>
      <w:tr w14:paraId="4F3D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9" w:type="dxa"/>
            <w:vAlign w:val="center"/>
          </w:tcPr>
          <w:p w14:paraId="06FCA1BC">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跟踪</w:t>
            </w:r>
          </w:p>
        </w:tc>
        <w:tc>
          <w:tcPr>
            <w:tcW w:w="2104" w:type="dxa"/>
            <w:vAlign w:val="center"/>
          </w:tcPr>
          <w:p w14:paraId="5277D3B6">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2002年8月14日</w:t>
            </w:r>
          </w:p>
        </w:tc>
      </w:tr>
      <w:tr w14:paraId="2C76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9" w:type="dxa"/>
            <w:vAlign w:val="center"/>
          </w:tcPr>
          <w:p w14:paraId="61FA0CC9">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修正和删除</w:t>
            </w:r>
          </w:p>
        </w:tc>
        <w:tc>
          <w:tcPr>
            <w:tcW w:w="2104" w:type="dxa"/>
            <w:vAlign w:val="center"/>
          </w:tcPr>
          <w:p w14:paraId="012B46DB">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2002年8月14日</w:t>
            </w:r>
          </w:p>
        </w:tc>
      </w:tr>
      <w:tr w14:paraId="2D70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9" w:type="dxa"/>
            <w:vAlign w:val="center"/>
          </w:tcPr>
          <w:p w14:paraId="20E73F08">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质量体系规范</w:t>
            </w:r>
          </w:p>
        </w:tc>
        <w:tc>
          <w:tcPr>
            <w:tcW w:w="2104" w:type="dxa"/>
            <w:vAlign w:val="center"/>
          </w:tcPr>
          <w:p w14:paraId="6338862F">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2002年8月14日</w:t>
            </w:r>
          </w:p>
        </w:tc>
      </w:tr>
      <w:tr w14:paraId="13D0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9" w:type="dxa"/>
            <w:vAlign w:val="center"/>
          </w:tcPr>
          <w:p w14:paraId="568382B4">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标签</w:t>
            </w:r>
          </w:p>
        </w:tc>
        <w:tc>
          <w:tcPr>
            <w:tcW w:w="2104" w:type="dxa"/>
            <w:vAlign w:val="center"/>
          </w:tcPr>
          <w:p w14:paraId="62C87A33">
            <w:pPr>
              <w:snapToGrid w:val="0"/>
              <w:spacing w:before="48" w:beforeLines="15" w:after="48" w:afterLines="15" w:line="276" w:lineRule="auto"/>
              <w:rPr>
                <w:rFonts w:ascii="Arial" w:hAnsi="Arial" w:eastAsia="宋体" w:cs="Arial"/>
                <w:sz w:val="21"/>
                <w:szCs w:val="21"/>
              </w:rPr>
            </w:pPr>
            <w:r>
              <w:rPr>
                <w:rFonts w:ascii="Arial" w:hAnsi="Arial" w:eastAsia="宋体" w:cs="Arial"/>
                <w:sz w:val="21"/>
                <w:szCs w:val="21"/>
              </w:rPr>
              <w:t>2002年8月14日</w:t>
            </w:r>
          </w:p>
        </w:tc>
      </w:tr>
    </w:tbl>
    <w:p w14:paraId="0C53CEFD">
      <w:pPr>
        <w:snapToGrid w:val="0"/>
        <w:spacing w:after="163" w:afterLines="50" w:line="300" w:lineRule="auto"/>
        <w:jc w:val="center"/>
        <w:rPr>
          <w:rFonts w:ascii="Arial" w:hAnsi="Arial" w:eastAsia="宋体" w:cs="Arial"/>
          <w:b/>
          <w:szCs w:val="24"/>
        </w:rPr>
      </w:pPr>
    </w:p>
    <w:p w14:paraId="26452FC1">
      <w:pPr>
        <w:snapToGrid w:val="0"/>
        <w:spacing w:after="163" w:afterLines="50" w:line="300" w:lineRule="auto"/>
        <w:jc w:val="center"/>
        <w:rPr>
          <w:rFonts w:hint="eastAsia" w:eastAsia="宋体"/>
          <w:lang w:eastAsia="zh-CN"/>
        </w:rPr>
      </w:pPr>
    </w:p>
    <w:p w14:paraId="2023AA6E">
      <w:pPr>
        <w:snapToGrid w:val="0"/>
        <w:spacing w:after="163" w:afterLines="50" w:line="300" w:lineRule="auto"/>
        <w:jc w:val="center"/>
        <w:rPr>
          <w:rFonts w:hint="eastAsia" w:eastAsia="宋体"/>
          <w:lang w:eastAsia="zh-CN"/>
        </w:rPr>
      </w:pPr>
    </w:p>
    <w:p w14:paraId="01F1D38D">
      <w:pPr>
        <w:snapToGrid w:val="0"/>
        <w:spacing w:after="163"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DD"/>
    <w:rsid w:val="000441E5"/>
    <w:rsid w:val="00057991"/>
    <w:rsid w:val="0008336A"/>
    <w:rsid w:val="000D37EB"/>
    <w:rsid w:val="00104F62"/>
    <w:rsid w:val="00126EC0"/>
    <w:rsid w:val="00160C9C"/>
    <w:rsid w:val="00195D18"/>
    <w:rsid w:val="001D407F"/>
    <w:rsid w:val="001F72F0"/>
    <w:rsid w:val="00220283"/>
    <w:rsid w:val="00225773"/>
    <w:rsid w:val="00270CEB"/>
    <w:rsid w:val="0027431A"/>
    <w:rsid w:val="0027738F"/>
    <w:rsid w:val="0030110D"/>
    <w:rsid w:val="003208A2"/>
    <w:rsid w:val="003625B1"/>
    <w:rsid w:val="00381FE3"/>
    <w:rsid w:val="0039469F"/>
    <w:rsid w:val="00395AA8"/>
    <w:rsid w:val="003A0D42"/>
    <w:rsid w:val="003F06F4"/>
    <w:rsid w:val="003F3EFB"/>
    <w:rsid w:val="00433195"/>
    <w:rsid w:val="00477862"/>
    <w:rsid w:val="0048171B"/>
    <w:rsid w:val="004B3B24"/>
    <w:rsid w:val="00514084"/>
    <w:rsid w:val="0051745F"/>
    <w:rsid w:val="00526EF6"/>
    <w:rsid w:val="00535781"/>
    <w:rsid w:val="0056570C"/>
    <w:rsid w:val="005664B9"/>
    <w:rsid w:val="005731FC"/>
    <w:rsid w:val="005A6D6D"/>
    <w:rsid w:val="005C299F"/>
    <w:rsid w:val="005F41E1"/>
    <w:rsid w:val="00633CAA"/>
    <w:rsid w:val="00633E78"/>
    <w:rsid w:val="00670135"/>
    <w:rsid w:val="006733E7"/>
    <w:rsid w:val="006923D1"/>
    <w:rsid w:val="006D1C6C"/>
    <w:rsid w:val="006D7F7F"/>
    <w:rsid w:val="0076047F"/>
    <w:rsid w:val="007F413E"/>
    <w:rsid w:val="008931A7"/>
    <w:rsid w:val="008A75DD"/>
    <w:rsid w:val="008C1F4F"/>
    <w:rsid w:val="00911988"/>
    <w:rsid w:val="0091342C"/>
    <w:rsid w:val="00923DE4"/>
    <w:rsid w:val="00953902"/>
    <w:rsid w:val="0097241F"/>
    <w:rsid w:val="009738B3"/>
    <w:rsid w:val="00990D58"/>
    <w:rsid w:val="009C609C"/>
    <w:rsid w:val="00A93DB5"/>
    <w:rsid w:val="00AD305B"/>
    <w:rsid w:val="00B11A0D"/>
    <w:rsid w:val="00B5781F"/>
    <w:rsid w:val="00B67F0C"/>
    <w:rsid w:val="00B80206"/>
    <w:rsid w:val="00BA39BA"/>
    <w:rsid w:val="00BE2817"/>
    <w:rsid w:val="00C23EA4"/>
    <w:rsid w:val="00C90A49"/>
    <w:rsid w:val="00C9566B"/>
    <w:rsid w:val="00CA50A1"/>
    <w:rsid w:val="00CB0531"/>
    <w:rsid w:val="00CC46DE"/>
    <w:rsid w:val="00D643A8"/>
    <w:rsid w:val="00DA731E"/>
    <w:rsid w:val="00DF7708"/>
    <w:rsid w:val="00E37D11"/>
    <w:rsid w:val="00E76863"/>
    <w:rsid w:val="00EB3E4D"/>
    <w:rsid w:val="00EE10E8"/>
    <w:rsid w:val="00F00554"/>
    <w:rsid w:val="00F43398"/>
    <w:rsid w:val="00F44FAB"/>
    <w:rsid w:val="00F61FFD"/>
    <w:rsid w:val="00F70E9F"/>
    <w:rsid w:val="00F744D4"/>
    <w:rsid w:val="23CB1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pPr>
    <w:rPr>
      <w:rFonts w:asciiTheme="minorHAnsi" w:hAnsiTheme="minorHAnsi" w:eastAsiaTheme="minorEastAsia" w:cstheme="minorBidi"/>
      <w:kern w:val="0"/>
      <w:sz w:val="24"/>
      <w:szCs w:val="21"/>
      <w:lang w:val="en-US" w:eastAsia="zh-CN" w:bidi="ar-SA"/>
    </w:rPr>
  </w:style>
  <w:style w:type="paragraph" w:styleId="2">
    <w:name w:val="heading 1"/>
    <w:basedOn w:val="3"/>
    <w:next w:val="1"/>
    <w:link w:val="20"/>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eastAsia="Times New Roman" w:cs="Times New Roman"/>
      <w:b/>
      <w:caps/>
      <w:kern w:val="28"/>
      <w:szCs w:val="20"/>
      <w:lang w:eastAsia="en-US"/>
    </w:rPr>
  </w:style>
  <w:style w:type="paragraph" w:styleId="4">
    <w:name w:val="heading 2"/>
    <w:basedOn w:val="2"/>
    <w:next w:val="1"/>
    <w:link w:val="21"/>
    <w:qFormat/>
    <w:uiPriority w:val="9"/>
    <w:pPr>
      <w:pageBreakBefore w:val="0"/>
      <w:numPr>
        <w:ilvl w:val="1"/>
      </w:numPr>
      <w:tabs>
        <w:tab w:val="left" w:pos="851"/>
        <w:tab w:val="clear" w:pos="864"/>
        <w:tab w:val="clear" w:pos="1152"/>
      </w:tabs>
      <w:spacing w:before="0" w:after="0" w:line="360" w:lineRule="auto"/>
      <w:outlineLvl w:val="1"/>
    </w:pPr>
    <w:rPr>
      <w:rFonts w:eastAsia="宋体"/>
      <w:caps w:val="0"/>
      <w:lang w:eastAsia="zh-CN"/>
    </w:rPr>
  </w:style>
  <w:style w:type="paragraph" w:styleId="5">
    <w:name w:val="heading 3"/>
    <w:basedOn w:val="4"/>
    <w:next w:val="1"/>
    <w:link w:val="22"/>
    <w:qFormat/>
    <w:uiPriority w:val="9"/>
    <w:pPr>
      <w:keepNext/>
      <w:numPr>
        <w:ilvl w:val="2"/>
      </w:numPr>
      <w:tabs>
        <w:tab w:val="left" w:pos="720"/>
        <w:tab w:val="clear" w:pos="851"/>
      </w:tabs>
      <w:outlineLvl w:val="2"/>
    </w:pPr>
    <w:rPr>
      <w:szCs w:val="24"/>
    </w:rPr>
  </w:style>
  <w:style w:type="paragraph" w:styleId="6">
    <w:name w:val="heading 4"/>
    <w:basedOn w:val="5"/>
    <w:next w:val="1"/>
    <w:link w:val="23"/>
    <w:qFormat/>
    <w:uiPriority w:val="9"/>
    <w:pPr>
      <w:numPr>
        <w:ilvl w:val="3"/>
      </w:numPr>
      <w:tabs>
        <w:tab w:val="left" w:pos="851"/>
      </w:tabs>
      <w:outlineLvl w:val="3"/>
    </w:pPr>
  </w:style>
  <w:style w:type="paragraph" w:styleId="7">
    <w:name w:val="heading 5"/>
    <w:basedOn w:val="6"/>
    <w:next w:val="1"/>
    <w:link w:val="24"/>
    <w:qFormat/>
    <w:uiPriority w:val="9"/>
    <w:pPr>
      <w:numPr>
        <w:ilvl w:val="4"/>
      </w:numPr>
      <w:outlineLvl w:val="4"/>
    </w:pPr>
    <w:rPr>
      <w:i/>
    </w:rPr>
  </w:style>
  <w:style w:type="paragraph" w:styleId="8">
    <w:name w:val="heading 6"/>
    <w:basedOn w:val="7"/>
    <w:next w:val="1"/>
    <w:link w:val="25"/>
    <w:qFormat/>
    <w:uiPriority w:val="9"/>
    <w:pPr>
      <w:numPr>
        <w:ilvl w:val="5"/>
      </w:numPr>
      <w:outlineLvl w:val="5"/>
    </w:pPr>
  </w:style>
  <w:style w:type="paragraph" w:styleId="9">
    <w:name w:val="heading 7"/>
    <w:basedOn w:val="8"/>
    <w:next w:val="1"/>
    <w:link w:val="26"/>
    <w:qFormat/>
    <w:uiPriority w:val="9"/>
    <w:pPr>
      <w:numPr>
        <w:ilvl w:val="6"/>
      </w:numPr>
      <w:outlineLvl w:val="6"/>
    </w:pPr>
  </w:style>
  <w:style w:type="paragraph" w:styleId="10">
    <w:name w:val="heading 8"/>
    <w:basedOn w:val="9"/>
    <w:next w:val="1"/>
    <w:link w:val="27"/>
    <w:qFormat/>
    <w:uiPriority w:val="9"/>
    <w:pPr>
      <w:numPr>
        <w:ilvl w:val="7"/>
      </w:numPr>
      <w:outlineLvl w:val="7"/>
    </w:pPr>
  </w:style>
  <w:style w:type="paragraph" w:styleId="11">
    <w:name w:val="heading 9"/>
    <w:basedOn w:val="10"/>
    <w:next w:val="1"/>
    <w:link w:val="28"/>
    <w:qFormat/>
    <w:uiPriority w:val="9"/>
    <w:pPr>
      <w:numPr>
        <w:ilvl w:val="8"/>
      </w:numPr>
      <w:outlineLvl w:val="8"/>
    </w:p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toc 1"/>
    <w:basedOn w:val="1"/>
    <w:next w:val="1"/>
    <w:autoRedefine/>
    <w:semiHidden/>
    <w:unhideWhenUsed/>
    <w:qFormat/>
    <w:uiPriority w:val="39"/>
  </w:style>
  <w:style w:type="paragraph" w:styleId="12">
    <w:name w:val="caption"/>
    <w:basedOn w:val="1"/>
    <w:next w:val="1"/>
    <w:link w:val="29"/>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Balloon Text"/>
    <w:basedOn w:val="1"/>
    <w:link w:val="40"/>
    <w:semiHidden/>
    <w:unhideWhenUsed/>
    <w:uiPriority w:val="99"/>
    <w:pPr>
      <w:spacing w:after="0" w:line="240" w:lineRule="auto"/>
    </w:pPr>
    <w:rPr>
      <w:sz w:val="18"/>
      <w:szCs w:val="18"/>
    </w:rPr>
  </w:style>
  <w:style w:type="paragraph" w:styleId="14">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7">
    <w:name w:val="Table Grid"/>
    <w:basedOn w:val="16"/>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iPriority w:val="0"/>
    <w:rPr>
      <w:color w:val="0066CC"/>
      <w:u w:val="single"/>
    </w:rPr>
  </w:style>
  <w:style w:type="character" w:customStyle="1" w:styleId="20">
    <w:name w:val="标题 1 Char"/>
    <w:basedOn w:val="18"/>
    <w:link w:val="2"/>
    <w:qFormat/>
    <w:uiPriority w:val="9"/>
    <w:rPr>
      <w:rFonts w:ascii="Times New Roman" w:hAnsi="Times New Roman" w:eastAsia="Times New Roman" w:cs="Times New Roman"/>
      <w:b/>
      <w:caps/>
      <w:kern w:val="28"/>
      <w:sz w:val="22"/>
      <w:szCs w:val="20"/>
      <w:lang w:eastAsia="en-US"/>
    </w:rPr>
  </w:style>
  <w:style w:type="character" w:customStyle="1" w:styleId="21">
    <w:name w:val="标题 2 Char"/>
    <w:basedOn w:val="18"/>
    <w:link w:val="4"/>
    <w:qFormat/>
    <w:uiPriority w:val="9"/>
    <w:rPr>
      <w:rFonts w:ascii="Times New Roman" w:hAnsi="Times New Roman" w:eastAsia="宋体" w:cs="Times New Roman"/>
      <w:b/>
      <w:kern w:val="28"/>
      <w:sz w:val="24"/>
      <w:szCs w:val="20"/>
    </w:rPr>
  </w:style>
  <w:style w:type="character" w:customStyle="1" w:styleId="22">
    <w:name w:val="标题 3 Char"/>
    <w:basedOn w:val="18"/>
    <w:link w:val="5"/>
    <w:qFormat/>
    <w:uiPriority w:val="9"/>
    <w:rPr>
      <w:rFonts w:ascii="Times New Roman" w:hAnsi="Times New Roman" w:eastAsia="宋体" w:cs="Times New Roman"/>
      <w:b/>
      <w:kern w:val="28"/>
      <w:sz w:val="24"/>
      <w:szCs w:val="24"/>
    </w:rPr>
  </w:style>
  <w:style w:type="character" w:customStyle="1" w:styleId="23">
    <w:name w:val="标题 4 Char"/>
    <w:basedOn w:val="18"/>
    <w:link w:val="6"/>
    <w:qFormat/>
    <w:uiPriority w:val="9"/>
    <w:rPr>
      <w:rFonts w:ascii="Times New Roman" w:hAnsi="Times New Roman" w:eastAsia="宋体" w:cs="Times New Roman"/>
      <w:b/>
      <w:kern w:val="28"/>
      <w:sz w:val="24"/>
      <w:szCs w:val="24"/>
    </w:rPr>
  </w:style>
  <w:style w:type="character" w:customStyle="1" w:styleId="24">
    <w:name w:val="标题 5 Char"/>
    <w:basedOn w:val="18"/>
    <w:link w:val="7"/>
    <w:uiPriority w:val="9"/>
    <w:rPr>
      <w:rFonts w:ascii="Times New Roman" w:hAnsi="Times New Roman" w:eastAsia="宋体" w:cs="Times New Roman"/>
      <w:b/>
      <w:i/>
      <w:kern w:val="28"/>
      <w:sz w:val="24"/>
      <w:szCs w:val="24"/>
    </w:rPr>
  </w:style>
  <w:style w:type="character" w:customStyle="1" w:styleId="25">
    <w:name w:val="标题 6 Char"/>
    <w:basedOn w:val="18"/>
    <w:link w:val="8"/>
    <w:uiPriority w:val="9"/>
    <w:rPr>
      <w:rFonts w:ascii="Times New Roman" w:hAnsi="Times New Roman" w:eastAsia="宋体" w:cs="Times New Roman"/>
      <w:b/>
      <w:i/>
      <w:kern w:val="28"/>
      <w:sz w:val="24"/>
      <w:szCs w:val="24"/>
    </w:rPr>
  </w:style>
  <w:style w:type="character" w:customStyle="1" w:styleId="26">
    <w:name w:val="标题 7 Char"/>
    <w:basedOn w:val="18"/>
    <w:link w:val="9"/>
    <w:uiPriority w:val="9"/>
    <w:rPr>
      <w:rFonts w:ascii="Times New Roman" w:hAnsi="Times New Roman" w:eastAsia="宋体" w:cs="Times New Roman"/>
      <w:b/>
      <w:i/>
      <w:kern w:val="28"/>
      <w:sz w:val="24"/>
      <w:szCs w:val="24"/>
    </w:rPr>
  </w:style>
  <w:style w:type="character" w:customStyle="1" w:styleId="27">
    <w:name w:val="标题 8 Char"/>
    <w:basedOn w:val="18"/>
    <w:link w:val="10"/>
    <w:qFormat/>
    <w:uiPriority w:val="9"/>
    <w:rPr>
      <w:rFonts w:ascii="Times New Roman" w:hAnsi="Times New Roman" w:eastAsia="宋体" w:cs="Times New Roman"/>
      <w:b/>
      <w:i/>
      <w:kern w:val="28"/>
      <w:sz w:val="24"/>
      <w:szCs w:val="24"/>
    </w:rPr>
  </w:style>
  <w:style w:type="character" w:customStyle="1" w:styleId="28">
    <w:name w:val="标题 9 Char"/>
    <w:basedOn w:val="18"/>
    <w:link w:val="11"/>
    <w:uiPriority w:val="9"/>
    <w:rPr>
      <w:rFonts w:ascii="Times New Roman" w:hAnsi="Times New Roman" w:eastAsia="宋体" w:cs="Times New Roman"/>
      <w:b/>
      <w:i/>
      <w:kern w:val="28"/>
      <w:sz w:val="24"/>
      <w:szCs w:val="24"/>
    </w:rPr>
  </w:style>
  <w:style w:type="character" w:customStyle="1" w:styleId="29">
    <w:name w:val="题注 Char"/>
    <w:link w:val="12"/>
    <w:uiPriority w:val="0"/>
    <w:rPr>
      <w:i/>
      <w:iCs/>
      <w:color w:val="1F497D" w:themeColor="text2"/>
      <w:kern w:val="0"/>
      <w:sz w:val="18"/>
      <w:szCs w:val="18"/>
      <w14:textFill>
        <w14:solidFill>
          <w14:schemeClr w14:val="tx2"/>
        </w14:solidFill>
      </w14:textFill>
    </w:rPr>
  </w:style>
  <w:style w:type="paragraph" w:styleId="30">
    <w:name w:val="List Paragraph"/>
    <w:basedOn w:val="1"/>
    <w:unhideWhenUsed/>
    <w:qFormat/>
    <w:uiPriority w:val="34"/>
    <w:pPr>
      <w:ind w:firstLine="420" w:firstLineChars="200"/>
    </w:pPr>
  </w:style>
  <w:style w:type="paragraph" w:customStyle="1" w:styleId="31">
    <w:name w:val="Para"/>
    <w:basedOn w:val="1"/>
    <w:link w:val="32"/>
    <w:qFormat/>
    <w:uiPriority w:val="99"/>
    <w:pPr>
      <w:spacing w:after="240" w:line="312" w:lineRule="atLeast"/>
    </w:pPr>
    <w:rPr>
      <w:rFonts w:ascii="Times" w:hAnsi="Times" w:eastAsia="Times New Roman" w:cs="Times New Roman"/>
      <w:szCs w:val="20"/>
      <w:lang w:eastAsia="en-US"/>
    </w:rPr>
  </w:style>
  <w:style w:type="character" w:customStyle="1" w:styleId="32">
    <w:name w:val="Para Char"/>
    <w:link w:val="31"/>
    <w:qFormat/>
    <w:locked/>
    <w:uiPriority w:val="99"/>
    <w:rPr>
      <w:rFonts w:ascii="Times" w:hAnsi="Times" w:eastAsia="Times New Roman" w:cs="Times New Roman"/>
      <w:kern w:val="0"/>
      <w:sz w:val="24"/>
      <w:szCs w:val="20"/>
      <w:lang w:eastAsia="en-US"/>
    </w:rPr>
  </w:style>
  <w:style w:type="paragraph" w:customStyle="1" w:styleId="33">
    <w:name w:val="List Paragraph1"/>
    <w:basedOn w:val="1"/>
    <w:qFormat/>
    <w:uiPriority w:val="34"/>
    <w:pPr>
      <w:ind w:left="720"/>
      <w:contextualSpacing/>
    </w:pPr>
  </w:style>
  <w:style w:type="paragraph" w:customStyle="1" w:styleId="34">
    <w:name w:val="申报正文"/>
    <w:basedOn w:val="1"/>
    <w:link w:val="35"/>
    <w:qFormat/>
    <w:uiPriority w:val="0"/>
    <w:pPr>
      <w:widowControl w:val="0"/>
      <w:adjustRightInd w:val="0"/>
      <w:snapToGrid w:val="0"/>
      <w:spacing w:beforeLines="50" w:afterLines="50" w:line="300" w:lineRule="auto"/>
      <w:ind w:firstLine="200" w:firstLineChars="200"/>
      <w:jc w:val="both"/>
    </w:pPr>
    <w:rPr>
      <w:rFonts w:ascii="Times New Roman" w:hAnsi="宋体" w:eastAsia="宋体" w:cs="Times New Roman"/>
      <w:kern w:val="2"/>
      <w:szCs w:val="24"/>
    </w:rPr>
  </w:style>
  <w:style w:type="character" w:customStyle="1" w:styleId="35">
    <w:name w:val="申报正文 Char"/>
    <w:link w:val="34"/>
    <w:uiPriority w:val="0"/>
    <w:rPr>
      <w:rFonts w:ascii="Times New Roman" w:hAnsi="宋体" w:eastAsia="宋体" w:cs="Times New Roman"/>
      <w:sz w:val="24"/>
      <w:szCs w:val="24"/>
    </w:rPr>
  </w:style>
  <w:style w:type="paragraph" w:customStyle="1" w:styleId="36">
    <w:name w:val="标注"/>
    <w:basedOn w:val="1"/>
    <w:link w:val="37"/>
    <w:qFormat/>
    <w:uiPriority w:val="0"/>
    <w:pPr>
      <w:widowControl w:val="0"/>
      <w:adjustRightInd w:val="0"/>
      <w:snapToGrid w:val="0"/>
      <w:spacing w:after="0" w:line="240" w:lineRule="auto"/>
      <w:jc w:val="both"/>
    </w:pPr>
    <w:rPr>
      <w:rFonts w:ascii="Times New Roman" w:hAnsi="宋体" w:eastAsia="宋体" w:cs="Times New Roman"/>
      <w:kern w:val="2"/>
      <w:sz w:val="21"/>
    </w:rPr>
  </w:style>
  <w:style w:type="character" w:customStyle="1" w:styleId="37">
    <w:name w:val="标注 Char"/>
    <w:link w:val="36"/>
    <w:qFormat/>
    <w:uiPriority w:val="0"/>
    <w:rPr>
      <w:rFonts w:ascii="Times New Roman" w:hAnsi="宋体" w:eastAsia="宋体" w:cs="Times New Roman"/>
      <w:szCs w:val="21"/>
    </w:rPr>
  </w:style>
  <w:style w:type="character" w:customStyle="1" w:styleId="38">
    <w:name w:val="正文文本 (3)_"/>
    <w:basedOn w:val="18"/>
    <w:link w:val="39"/>
    <w:uiPriority w:val="0"/>
    <w:rPr>
      <w:rFonts w:ascii="Times New Roman" w:hAnsi="Times New Roman" w:eastAsia="Times New Roman" w:cs="Times New Roman"/>
      <w:sz w:val="36"/>
      <w:szCs w:val="36"/>
      <w:shd w:val="clear" w:color="auto" w:fill="FFFFFF"/>
    </w:rPr>
  </w:style>
  <w:style w:type="paragraph" w:customStyle="1" w:styleId="39">
    <w:name w:val="正文文本 (3)"/>
    <w:basedOn w:val="1"/>
    <w:link w:val="38"/>
    <w:uiPriority w:val="0"/>
    <w:pPr>
      <w:widowControl w:val="0"/>
      <w:shd w:val="clear" w:color="auto" w:fill="FFFFFF"/>
      <w:adjustRightInd w:val="0"/>
      <w:snapToGrid w:val="0"/>
      <w:spacing w:after="0" w:line="475" w:lineRule="exact"/>
    </w:pPr>
    <w:rPr>
      <w:rFonts w:ascii="Times New Roman" w:hAnsi="Times New Roman" w:eastAsia="Times New Roman" w:cs="Times New Roman"/>
      <w:kern w:val="2"/>
      <w:sz w:val="36"/>
      <w:szCs w:val="36"/>
    </w:rPr>
  </w:style>
  <w:style w:type="character" w:customStyle="1" w:styleId="40">
    <w:name w:val="批注框文本 Char"/>
    <w:basedOn w:val="18"/>
    <w:link w:val="13"/>
    <w:semiHidden/>
    <w:uiPriority w:val="99"/>
    <w:rPr>
      <w:kern w:val="0"/>
      <w:sz w:val="18"/>
      <w:szCs w:val="18"/>
    </w:rPr>
  </w:style>
  <w:style w:type="character" w:customStyle="1" w:styleId="41">
    <w:name w:val="正文文本 (2)_"/>
    <w:basedOn w:val="18"/>
    <w:link w:val="42"/>
    <w:qFormat/>
    <w:uiPriority w:val="0"/>
    <w:rPr>
      <w:rFonts w:ascii="Times New Roman" w:hAnsi="Times New Roman" w:eastAsia="Times New Roman" w:cs="Times New Roman"/>
      <w:sz w:val="22"/>
      <w:szCs w:val="22"/>
      <w:shd w:val="clear" w:color="auto" w:fill="FFFFFF"/>
    </w:rPr>
  </w:style>
  <w:style w:type="paragraph" w:customStyle="1" w:styleId="42">
    <w:name w:val="正文文本 (2)"/>
    <w:basedOn w:val="1"/>
    <w:link w:val="41"/>
    <w:qFormat/>
    <w:uiPriority w:val="0"/>
    <w:pPr>
      <w:widowControl w:val="0"/>
      <w:shd w:val="clear" w:color="auto" w:fill="FFFFFF"/>
      <w:spacing w:before="300" w:after="300" w:line="274" w:lineRule="exact"/>
    </w:pPr>
    <w:rPr>
      <w:rFonts w:ascii="Times New Roman" w:hAnsi="Times New Roman" w:eastAsia="Times New Roman" w:cs="Times New Roman"/>
      <w:kern w:val="2"/>
      <w:sz w:val="22"/>
      <w:szCs w:val="22"/>
    </w:rPr>
  </w:style>
  <w:style w:type="character" w:customStyle="1" w:styleId="43">
    <w:name w:val="正文文本 (9)_"/>
    <w:basedOn w:val="18"/>
    <w:link w:val="44"/>
    <w:qFormat/>
    <w:uiPriority w:val="0"/>
    <w:rPr>
      <w:rFonts w:ascii="Times New Roman" w:hAnsi="Times New Roman" w:eastAsia="Times New Roman" w:cs="Times New Roman"/>
      <w:b/>
      <w:bCs/>
      <w:i/>
      <w:iCs/>
      <w:sz w:val="23"/>
      <w:szCs w:val="23"/>
      <w:shd w:val="clear" w:color="auto" w:fill="FFFFFF"/>
    </w:rPr>
  </w:style>
  <w:style w:type="paragraph" w:customStyle="1" w:styleId="44">
    <w:name w:val="正文文本 (9)"/>
    <w:basedOn w:val="1"/>
    <w:link w:val="43"/>
    <w:qFormat/>
    <w:uiPriority w:val="0"/>
    <w:pPr>
      <w:widowControl w:val="0"/>
      <w:shd w:val="clear" w:color="auto" w:fill="FFFFFF"/>
      <w:spacing w:before="360" w:after="180" w:line="283" w:lineRule="exact"/>
    </w:pPr>
    <w:rPr>
      <w:rFonts w:ascii="Times New Roman" w:hAnsi="Times New Roman" w:eastAsia="Times New Roman" w:cs="Times New Roman"/>
      <w:b/>
      <w:bCs/>
      <w:i/>
      <w:iCs/>
      <w:kern w:val="2"/>
      <w:sz w:val="23"/>
      <w:szCs w:val="23"/>
    </w:rPr>
  </w:style>
  <w:style w:type="character" w:customStyle="1" w:styleId="45">
    <w:name w:val="页眉 Char"/>
    <w:basedOn w:val="18"/>
    <w:link w:val="15"/>
    <w:qFormat/>
    <w:uiPriority w:val="99"/>
    <w:rPr>
      <w:kern w:val="0"/>
      <w:sz w:val="18"/>
      <w:szCs w:val="18"/>
    </w:rPr>
  </w:style>
  <w:style w:type="character" w:customStyle="1" w:styleId="46">
    <w:name w:val="页脚 Char"/>
    <w:basedOn w:val="18"/>
    <w:link w:val="14"/>
    <w:qFormat/>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DA66B-B630-40D6-ABC3-AAB4A51C7A3E}">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5</Pages>
  <Words>1965</Words>
  <Characters>2279</Characters>
  <Lines>17</Lines>
  <Paragraphs>5</Paragraphs>
  <TotalTime>1</TotalTime>
  <ScaleCrop>false</ScaleCrop>
  <LinksUpToDate>false</LinksUpToDate>
  <CharactersWithSpaces>2287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2017-11-17T11:52:00Z</dcterms:created>
  <dc:creator>y li</dc:creator>
  <cp:lastModifiedBy>太极箫客</cp:lastModifiedBy>
  <dcterms:modified xsi:type="dcterms:W3CDTF">2025-08-14T07:14:21Z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3C1BD20A14C64140823EC72D3C6D16C6_12</vt:lpwstr>
  </property>
</Properties>
</file>