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EA73D">
      <w:pPr>
        <w:pBdr>
          <w:top w:val="single" w:color="auto" w:sz="12" w:space="1"/>
        </w:pBdr>
        <w:shd w:val="clear" w:color="auto" w:fill="FFFFFF"/>
        <w:topLinePunct/>
        <w:autoSpaceDE/>
        <w:autoSpaceDN/>
        <w:adjustRightInd/>
        <w:jc w:val="center"/>
        <w:rPr>
          <w:rFonts w:eastAsia="宋体"/>
          <w:sz w:val="44"/>
          <w:szCs w:val="44"/>
        </w:rPr>
      </w:pPr>
      <w:bookmarkStart w:id="4" w:name="_GoBack"/>
      <w:bookmarkEnd w:id="4"/>
      <w:r>
        <w:rPr>
          <w:rFonts w:eastAsia="宋体"/>
          <w:b/>
          <w:color w:val="000000"/>
          <w:sz w:val="44"/>
          <w:szCs w:val="44"/>
        </w:rPr>
        <w:t>符合FDA标签要求的医疗产品沟通 — 问答</w:t>
      </w:r>
    </w:p>
    <w:p w14:paraId="366530A1">
      <w:pPr>
        <w:shd w:val="clear" w:color="auto" w:fill="FFFFFF"/>
        <w:topLinePunct/>
        <w:autoSpaceDE/>
        <w:autoSpaceDN/>
        <w:adjustRightInd/>
        <w:jc w:val="center"/>
        <w:rPr>
          <w:rFonts w:eastAsia="宋体"/>
          <w:b/>
          <w:color w:val="000000"/>
          <w:sz w:val="44"/>
          <w:szCs w:val="44"/>
        </w:rPr>
      </w:pPr>
    </w:p>
    <w:p w14:paraId="71C2BE80">
      <w:pPr>
        <w:shd w:val="clear" w:color="auto" w:fill="FFFFFF"/>
        <w:topLinePunct/>
        <w:autoSpaceDE/>
        <w:autoSpaceDN/>
        <w:adjustRightInd/>
        <w:jc w:val="center"/>
        <w:rPr>
          <w:rFonts w:eastAsia="宋体"/>
          <w:sz w:val="44"/>
          <w:szCs w:val="44"/>
        </w:rPr>
      </w:pPr>
      <w:r>
        <w:rPr>
          <w:rFonts w:eastAsia="宋体"/>
          <w:b/>
          <w:color w:val="000000"/>
          <w:sz w:val="44"/>
          <w:szCs w:val="44"/>
        </w:rPr>
        <w:t>行业指南</w:t>
      </w:r>
    </w:p>
    <w:p w14:paraId="5713318E">
      <w:pPr>
        <w:shd w:val="clear" w:color="auto" w:fill="FFFFFF"/>
        <w:topLinePunct/>
        <w:autoSpaceDE/>
        <w:autoSpaceDN/>
        <w:adjustRightInd/>
        <w:jc w:val="both"/>
        <w:rPr>
          <w:rFonts w:eastAsia="宋体"/>
          <w:b/>
          <w:bCs/>
          <w:color w:val="000000"/>
          <w:sz w:val="24"/>
          <w:szCs w:val="24"/>
        </w:rPr>
      </w:pPr>
    </w:p>
    <w:p w14:paraId="60F66754">
      <w:pPr>
        <w:shd w:val="clear" w:color="auto" w:fill="FFFFFF"/>
        <w:topLinePunct/>
        <w:autoSpaceDE/>
        <w:autoSpaceDN/>
        <w:adjustRightInd/>
        <w:jc w:val="both"/>
        <w:rPr>
          <w:rFonts w:eastAsia="宋体"/>
          <w:b/>
          <w:bCs/>
          <w:color w:val="000000"/>
          <w:sz w:val="24"/>
          <w:szCs w:val="24"/>
        </w:rPr>
      </w:pPr>
    </w:p>
    <w:p w14:paraId="714396B7">
      <w:pPr>
        <w:shd w:val="clear" w:color="auto" w:fill="FFFFFF"/>
        <w:topLinePunct/>
        <w:autoSpaceDE/>
        <w:autoSpaceDN/>
        <w:adjustRightInd/>
        <w:jc w:val="both"/>
        <w:rPr>
          <w:rFonts w:eastAsia="宋体"/>
          <w:b/>
          <w:bCs/>
          <w:color w:val="000000"/>
          <w:sz w:val="24"/>
          <w:szCs w:val="24"/>
        </w:rPr>
      </w:pPr>
    </w:p>
    <w:p w14:paraId="48F9E8CF">
      <w:pPr>
        <w:shd w:val="clear" w:color="auto" w:fill="FFFFFF"/>
        <w:topLinePunct/>
        <w:autoSpaceDE/>
        <w:autoSpaceDN/>
        <w:adjustRightInd/>
        <w:jc w:val="both"/>
        <w:rPr>
          <w:rFonts w:eastAsia="宋体"/>
          <w:b/>
          <w:bCs/>
          <w:color w:val="000000"/>
          <w:sz w:val="24"/>
          <w:szCs w:val="24"/>
        </w:rPr>
      </w:pPr>
    </w:p>
    <w:p w14:paraId="1660F492">
      <w:pPr>
        <w:shd w:val="clear" w:color="auto" w:fill="FFFFFF"/>
        <w:topLinePunct/>
        <w:autoSpaceDE/>
        <w:autoSpaceDN/>
        <w:adjustRightInd/>
        <w:jc w:val="center"/>
        <w:rPr>
          <w:rFonts w:eastAsia="宋体"/>
          <w:sz w:val="24"/>
          <w:szCs w:val="24"/>
        </w:rPr>
      </w:pPr>
      <w:r>
        <w:rPr>
          <w:rFonts w:eastAsia="宋体"/>
          <w:b/>
          <w:color w:val="000000"/>
          <w:sz w:val="24"/>
          <w:szCs w:val="24"/>
        </w:rPr>
        <w:t>美国卫生与公共服务部</w:t>
      </w:r>
    </w:p>
    <w:p w14:paraId="209352AB">
      <w:pPr>
        <w:shd w:val="clear" w:color="auto" w:fill="FFFFFF"/>
        <w:topLinePunct/>
        <w:autoSpaceDE/>
        <w:autoSpaceDN/>
        <w:adjustRightInd/>
        <w:jc w:val="center"/>
        <w:rPr>
          <w:rFonts w:eastAsia="宋体"/>
          <w:sz w:val="24"/>
          <w:szCs w:val="24"/>
        </w:rPr>
      </w:pPr>
      <w:r>
        <w:rPr>
          <w:rFonts w:eastAsia="宋体"/>
          <w:b/>
          <w:color w:val="000000"/>
          <w:sz w:val="24"/>
          <w:szCs w:val="24"/>
        </w:rPr>
        <w:t>美国食品药品监督管理局</w:t>
      </w:r>
    </w:p>
    <w:p w14:paraId="4ED7247D">
      <w:pPr>
        <w:shd w:val="clear" w:color="auto" w:fill="FFFFFF"/>
        <w:topLinePunct/>
        <w:autoSpaceDE/>
        <w:autoSpaceDN/>
        <w:adjustRightInd/>
        <w:jc w:val="center"/>
        <w:rPr>
          <w:rFonts w:eastAsia="宋体"/>
          <w:sz w:val="24"/>
          <w:szCs w:val="24"/>
        </w:rPr>
      </w:pPr>
      <w:r>
        <w:rPr>
          <w:rFonts w:eastAsia="宋体"/>
          <w:b/>
          <w:color w:val="000000"/>
          <w:sz w:val="24"/>
          <w:szCs w:val="24"/>
        </w:rPr>
        <w:t>药品评价与研究中心（CDER）</w:t>
      </w:r>
    </w:p>
    <w:p w14:paraId="2E9FBC5B">
      <w:pPr>
        <w:shd w:val="clear" w:color="auto" w:fill="FFFFFF"/>
        <w:topLinePunct/>
        <w:autoSpaceDE/>
        <w:autoSpaceDN/>
        <w:adjustRightInd/>
        <w:jc w:val="center"/>
        <w:rPr>
          <w:rFonts w:eastAsia="宋体"/>
          <w:sz w:val="24"/>
          <w:szCs w:val="24"/>
        </w:rPr>
      </w:pPr>
      <w:r>
        <w:rPr>
          <w:rFonts w:eastAsia="宋体"/>
          <w:b/>
          <w:color w:val="000000"/>
          <w:sz w:val="24"/>
          <w:szCs w:val="24"/>
        </w:rPr>
        <w:t>生物制品评价</w:t>
      </w:r>
      <w:r>
        <w:rPr>
          <w:rFonts w:hint="eastAsia" w:eastAsia="宋体"/>
          <w:b/>
          <w:color w:val="000000"/>
          <w:sz w:val="24"/>
          <w:szCs w:val="24"/>
        </w:rPr>
        <w:t>与</w:t>
      </w:r>
      <w:r>
        <w:rPr>
          <w:rFonts w:eastAsia="宋体"/>
          <w:b/>
          <w:color w:val="000000"/>
          <w:sz w:val="24"/>
          <w:szCs w:val="24"/>
        </w:rPr>
        <w:t>研究中心（CBER）</w:t>
      </w:r>
    </w:p>
    <w:p w14:paraId="4109CCF2">
      <w:pPr>
        <w:shd w:val="clear" w:color="auto" w:fill="FFFFFF"/>
        <w:topLinePunct/>
        <w:autoSpaceDE/>
        <w:autoSpaceDN/>
        <w:adjustRightInd/>
        <w:jc w:val="center"/>
        <w:rPr>
          <w:rFonts w:eastAsia="宋体"/>
          <w:sz w:val="24"/>
          <w:szCs w:val="24"/>
        </w:rPr>
      </w:pPr>
      <w:r>
        <w:rPr>
          <w:rFonts w:eastAsia="宋体"/>
          <w:b/>
          <w:color w:val="000000"/>
          <w:sz w:val="24"/>
          <w:szCs w:val="24"/>
        </w:rPr>
        <w:t>医疗器械和</w:t>
      </w:r>
      <w:r>
        <w:rPr>
          <w:rFonts w:hint="eastAsia" w:eastAsia="宋体"/>
          <w:b/>
          <w:color w:val="000000"/>
          <w:sz w:val="24"/>
          <w:szCs w:val="24"/>
        </w:rPr>
        <w:t>辐射</w:t>
      </w:r>
      <w:r>
        <w:rPr>
          <w:rFonts w:eastAsia="宋体"/>
          <w:b/>
          <w:color w:val="000000"/>
          <w:sz w:val="24"/>
          <w:szCs w:val="24"/>
        </w:rPr>
        <w:t>健康中心（CDRH）</w:t>
      </w:r>
    </w:p>
    <w:p w14:paraId="30082A3F">
      <w:pPr>
        <w:shd w:val="clear" w:color="auto" w:fill="FFFFFF"/>
        <w:topLinePunct/>
        <w:autoSpaceDE/>
        <w:autoSpaceDN/>
        <w:adjustRightInd/>
        <w:jc w:val="center"/>
        <w:rPr>
          <w:rFonts w:eastAsia="宋体"/>
          <w:sz w:val="24"/>
          <w:szCs w:val="24"/>
        </w:rPr>
      </w:pPr>
      <w:r>
        <w:rPr>
          <w:rFonts w:eastAsia="宋体"/>
          <w:b/>
          <w:color w:val="000000"/>
          <w:sz w:val="24"/>
          <w:szCs w:val="24"/>
        </w:rPr>
        <w:t>兽药中心（CVM）</w:t>
      </w:r>
    </w:p>
    <w:p w14:paraId="44496D8E">
      <w:pPr>
        <w:shd w:val="clear" w:color="auto" w:fill="FFFFFF"/>
        <w:topLinePunct/>
        <w:autoSpaceDE/>
        <w:autoSpaceDN/>
        <w:adjustRightInd/>
        <w:jc w:val="center"/>
        <w:rPr>
          <w:rFonts w:eastAsia="宋体"/>
          <w:b/>
          <w:bCs/>
          <w:color w:val="000000"/>
          <w:sz w:val="24"/>
          <w:szCs w:val="24"/>
        </w:rPr>
      </w:pPr>
      <w:r>
        <w:rPr>
          <w:rFonts w:eastAsia="宋体"/>
          <w:b/>
          <w:color w:val="000000"/>
          <w:sz w:val="24"/>
          <w:szCs w:val="24"/>
        </w:rPr>
        <w:t>专员办公室（OC）</w:t>
      </w:r>
    </w:p>
    <w:p w14:paraId="4FFCC30B">
      <w:pPr>
        <w:shd w:val="clear" w:color="auto" w:fill="FFFFFF"/>
        <w:topLinePunct/>
        <w:autoSpaceDE/>
        <w:autoSpaceDN/>
        <w:adjustRightInd/>
        <w:jc w:val="center"/>
        <w:rPr>
          <w:rFonts w:eastAsia="宋体"/>
          <w:sz w:val="24"/>
          <w:szCs w:val="24"/>
        </w:rPr>
      </w:pPr>
    </w:p>
    <w:p w14:paraId="2ED34A66">
      <w:pPr>
        <w:shd w:val="clear" w:color="auto" w:fill="FFFFFF"/>
        <w:topLinePunct/>
        <w:autoSpaceDE/>
        <w:autoSpaceDN/>
        <w:adjustRightInd/>
        <w:jc w:val="center"/>
        <w:rPr>
          <w:rFonts w:eastAsia="宋体"/>
          <w:b/>
          <w:bCs/>
          <w:color w:val="000000"/>
          <w:sz w:val="24"/>
          <w:szCs w:val="24"/>
        </w:rPr>
      </w:pPr>
      <w:r>
        <w:rPr>
          <w:rFonts w:eastAsia="宋体"/>
          <w:b/>
          <w:color w:val="000000"/>
          <w:sz w:val="24"/>
          <w:szCs w:val="24"/>
        </w:rPr>
        <w:t>2018年6月</w:t>
      </w:r>
    </w:p>
    <w:p w14:paraId="7AD9F6E1">
      <w:pPr>
        <w:shd w:val="clear" w:color="auto" w:fill="FFFFFF"/>
        <w:topLinePunct/>
        <w:autoSpaceDE/>
        <w:autoSpaceDN/>
        <w:adjustRightInd/>
        <w:jc w:val="center"/>
        <w:rPr>
          <w:rFonts w:eastAsia="宋体"/>
          <w:b/>
          <w:bCs/>
          <w:color w:val="000000"/>
          <w:sz w:val="24"/>
          <w:szCs w:val="24"/>
        </w:rPr>
      </w:pPr>
      <w:r>
        <w:rPr>
          <w:rFonts w:eastAsia="宋体"/>
          <w:b/>
          <w:color w:val="000000"/>
          <w:sz w:val="24"/>
          <w:szCs w:val="24"/>
        </w:rPr>
        <w:t>程序</w:t>
      </w:r>
    </w:p>
    <w:p w14:paraId="16E10F0D">
      <w:pPr>
        <w:shd w:val="clear" w:color="auto" w:fill="FFFFFF"/>
        <w:topLinePunct/>
        <w:autoSpaceDE/>
        <w:autoSpaceDN/>
        <w:adjustRightInd/>
        <w:jc w:val="center"/>
        <w:rPr>
          <w:rFonts w:eastAsia="宋体"/>
          <w:sz w:val="24"/>
          <w:szCs w:val="24"/>
        </w:rPr>
      </w:pPr>
    </w:p>
    <w:p w14:paraId="41F50EBF">
      <w:pPr>
        <w:shd w:val="clear" w:color="auto" w:fill="FFFFFF"/>
        <w:topLinePunct/>
        <w:autoSpaceDE/>
        <w:autoSpaceDN/>
        <w:adjustRightInd/>
        <w:jc w:val="center"/>
        <w:rPr>
          <w:rFonts w:eastAsia="宋体"/>
          <w:sz w:val="24"/>
          <w:szCs w:val="24"/>
        </w:rPr>
      </w:pPr>
    </w:p>
    <w:p w14:paraId="67E6DF2D">
      <w:pPr>
        <w:shd w:val="clear" w:color="auto" w:fill="FFFFFF"/>
        <w:topLinePunct/>
        <w:autoSpaceDE/>
        <w:autoSpaceDN/>
        <w:adjustRightInd/>
        <w:jc w:val="center"/>
        <w:rPr>
          <w:rFonts w:eastAsia="宋体"/>
          <w:sz w:val="24"/>
          <w:szCs w:val="24"/>
        </w:rPr>
      </w:pPr>
    </w:p>
    <w:p w14:paraId="530B1C32">
      <w:pPr>
        <w:shd w:val="clear" w:color="auto" w:fill="FFFFFF"/>
        <w:topLinePunct/>
        <w:autoSpaceDE/>
        <w:autoSpaceDN/>
        <w:adjustRightInd/>
        <w:jc w:val="center"/>
        <w:rPr>
          <w:rFonts w:eastAsia="宋体"/>
          <w:sz w:val="24"/>
          <w:szCs w:val="24"/>
        </w:rPr>
      </w:pPr>
      <w:r>
        <w:rPr>
          <w:rFonts w:eastAsia="宋体"/>
          <w:b/>
          <w:color w:val="000000"/>
          <w:sz w:val="24"/>
          <w:szCs w:val="24"/>
        </w:rPr>
        <w:t>OMB控制编号：0910-0856</w:t>
      </w:r>
    </w:p>
    <w:p w14:paraId="6C458606">
      <w:pPr>
        <w:shd w:val="clear" w:color="auto" w:fill="FFFFFF"/>
        <w:topLinePunct/>
        <w:autoSpaceDE/>
        <w:autoSpaceDN/>
        <w:adjustRightInd/>
        <w:jc w:val="center"/>
        <w:rPr>
          <w:rFonts w:eastAsia="宋体"/>
          <w:sz w:val="24"/>
          <w:szCs w:val="24"/>
        </w:rPr>
      </w:pPr>
      <w:r>
        <w:rPr>
          <w:rFonts w:eastAsia="宋体"/>
          <w:b/>
          <w:color w:val="000000"/>
          <w:sz w:val="24"/>
          <w:szCs w:val="24"/>
        </w:rPr>
        <w:t>到期日期：2021年8月31日</w:t>
      </w:r>
    </w:p>
    <w:p w14:paraId="4233888B">
      <w:pPr>
        <w:shd w:val="clear" w:color="auto" w:fill="FFFFFF"/>
        <w:topLinePunct/>
        <w:autoSpaceDE/>
        <w:autoSpaceDN/>
        <w:adjustRightInd/>
        <w:jc w:val="center"/>
        <w:rPr>
          <w:rFonts w:eastAsia="宋体"/>
          <w:sz w:val="24"/>
          <w:szCs w:val="24"/>
        </w:rPr>
      </w:pPr>
      <w:r>
        <w:rPr>
          <w:rFonts w:eastAsia="宋体"/>
          <w:b/>
          <w:color w:val="000000"/>
          <w:sz w:val="24"/>
          <w:szCs w:val="24"/>
        </w:rPr>
        <w:t>（注：2018年11月2日添加OMB控制编号和到期日期）</w:t>
      </w:r>
    </w:p>
    <w:p w14:paraId="4E0A19C8">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参见本指南第IV节《文书削减法》的额外声明</w:t>
      </w:r>
    </w:p>
    <w:p w14:paraId="1F0C9D23">
      <w:pPr>
        <w:shd w:val="clear" w:color="auto" w:fill="FFFFFF"/>
        <w:topLinePunct/>
        <w:autoSpaceDE/>
        <w:autoSpaceDN/>
        <w:adjustRightInd/>
        <w:jc w:val="center"/>
        <w:rPr>
          <w:rFonts w:eastAsia="宋体"/>
          <w:sz w:val="24"/>
          <w:szCs w:val="24"/>
        </w:rPr>
      </w:pPr>
    </w:p>
    <w:p w14:paraId="63076BC0">
      <w:pPr>
        <w:shd w:val="clear" w:color="auto" w:fill="FFFFFF"/>
        <w:topLinePunct/>
        <w:autoSpaceDE/>
        <w:autoSpaceDN/>
        <w:adjustRightInd/>
        <w:jc w:val="center"/>
        <w:rPr>
          <w:rFonts w:eastAsia="宋体"/>
          <w:sz w:val="24"/>
          <w:szCs w:val="24"/>
        </w:rPr>
      </w:pPr>
    </w:p>
    <w:p w14:paraId="2EBD87BB">
      <w:pPr>
        <w:shd w:val="clear" w:color="auto" w:fill="FFFFFF"/>
        <w:topLinePunct/>
        <w:autoSpaceDE/>
        <w:autoSpaceDN/>
        <w:adjustRightInd/>
        <w:jc w:val="center"/>
        <w:rPr>
          <w:rFonts w:eastAsia="宋体"/>
          <w:sz w:val="24"/>
          <w:szCs w:val="24"/>
        </w:rPr>
      </w:pPr>
    </w:p>
    <w:p w14:paraId="748BECF6">
      <w:pPr>
        <w:pBdr>
          <w:bottom w:val="single" w:color="auto" w:sz="12" w:space="1"/>
        </w:pBdr>
        <w:shd w:val="clear" w:color="auto" w:fill="FFFFFF"/>
        <w:topLinePunct/>
        <w:autoSpaceDE/>
        <w:autoSpaceDN/>
        <w:adjustRightInd/>
        <w:jc w:val="both"/>
        <w:rPr>
          <w:rFonts w:eastAsia="宋体"/>
          <w:sz w:val="24"/>
          <w:szCs w:val="24"/>
        </w:rPr>
      </w:pPr>
    </w:p>
    <w:p w14:paraId="370E9B5E">
      <w:pPr>
        <w:widowControl/>
        <w:autoSpaceDE/>
        <w:autoSpaceDN/>
        <w:adjustRightInd/>
        <w:rPr>
          <w:rFonts w:eastAsia="宋体"/>
          <w:sz w:val="24"/>
          <w:szCs w:val="24"/>
        </w:rPr>
      </w:pPr>
      <w:r>
        <w:rPr>
          <w:rFonts w:eastAsia="宋体"/>
          <w:sz w:val="24"/>
          <w:szCs w:val="24"/>
        </w:rPr>
        <w:br w:type="page"/>
      </w:r>
    </w:p>
    <w:p w14:paraId="466B44AF">
      <w:pPr>
        <w:shd w:val="clear" w:color="auto" w:fill="FFFFFF"/>
        <w:topLinePunct/>
        <w:autoSpaceDE/>
        <w:autoSpaceDN/>
        <w:adjustRightInd/>
        <w:jc w:val="center"/>
        <w:rPr>
          <w:rFonts w:eastAsia="宋体"/>
          <w:sz w:val="24"/>
          <w:szCs w:val="24"/>
        </w:rPr>
      </w:pPr>
      <w:r>
        <w:rPr>
          <w:rFonts w:eastAsia="宋体"/>
          <w:b/>
          <w:color w:val="000000"/>
          <w:sz w:val="24"/>
          <w:szCs w:val="24"/>
        </w:rPr>
        <w:t>符合FDA标签要求的医疗产品沟通 — 问答</w:t>
      </w:r>
    </w:p>
    <w:p w14:paraId="380CE8C0">
      <w:pPr>
        <w:shd w:val="clear" w:color="auto" w:fill="FFFFFF"/>
        <w:topLinePunct/>
        <w:autoSpaceDE/>
        <w:autoSpaceDN/>
        <w:adjustRightInd/>
        <w:jc w:val="center"/>
        <w:rPr>
          <w:rFonts w:eastAsia="宋体"/>
          <w:sz w:val="24"/>
          <w:szCs w:val="24"/>
        </w:rPr>
      </w:pPr>
      <w:r>
        <w:rPr>
          <w:rFonts w:eastAsia="宋体"/>
          <w:b/>
          <w:color w:val="000000"/>
          <w:sz w:val="24"/>
          <w:szCs w:val="24"/>
        </w:rPr>
        <w:t>行业指南</w:t>
      </w:r>
    </w:p>
    <w:p w14:paraId="23A86F24">
      <w:pPr>
        <w:shd w:val="clear" w:color="auto" w:fill="FFFFFF"/>
        <w:topLinePunct/>
        <w:autoSpaceDE/>
        <w:autoSpaceDN/>
        <w:adjustRightInd/>
        <w:snapToGrid w:val="0"/>
        <w:jc w:val="center"/>
        <w:rPr>
          <w:rFonts w:eastAsia="宋体"/>
          <w:i/>
          <w:color w:val="000000"/>
          <w:sz w:val="22"/>
          <w:szCs w:val="22"/>
        </w:rPr>
      </w:pPr>
    </w:p>
    <w:p w14:paraId="7A343A35">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如需获取更多副本，请联系：</w:t>
      </w:r>
    </w:p>
    <w:p w14:paraId="40A9EDF4">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药品信息部通讯办公室</w:t>
      </w:r>
    </w:p>
    <w:p w14:paraId="521A764B">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药品评价与研究中心</w:t>
      </w:r>
    </w:p>
    <w:p w14:paraId="5C38EE1E">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美国食品药品监督管理局</w:t>
      </w:r>
    </w:p>
    <w:p w14:paraId="0F13CAB2">
      <w:pPr>
        <w:shd w:val="clear" w:color="auto" w:fill="FFFFFF"/>
        <w:topLinePunct/>
        <w:autoSpaceDE/>
        <w:autoSpaceDN/>
        <w:adjustRightInd/>
        <w:snapToGrid w:val="0"/>
        <w:jc w:val="center"/>
        <w:rPr>
          <w:rFonts w:eastAsia="宋体"/>
          <w:sz w:val="21"/>
          <w:szCs w:val="21"/>
        </w:rPr>
      </w:pPr>
      <w:r>
        <w:rPr>
          <w:rFonts w:eastAsia="宋体"/>
          <w:i/>
          <w:iCs/>
          <w:color w:val="000000"/>
          <w:sz w:val="21"/>
          <w:szCs w:val="21"/>
        </w:rPr>
        <w:t>10001 New Hampshire Ave., Hillandale Bldg., 4</w:t>
      </w:r>
      <w:r>
        <w:rPr>
          <w:rFonts w:eastAsia="宋体"/>
          <w:i/>
          <w:iCs/>
          <w:color w:val="000000"/>
          <w:sz w:val="21"/>
          <w:szCs w:val="21"/>
          <w:vertAlign w:val="superscript"/>
        </w:rPr>
        <w:t>th</w:t>
      </w:r>
      <w:r>
        <w:rPr>
          <w:rFonts w:eastAsia="宋体"/>
          <w:i/>
          <w:iCs/>
          <w:color w:val="000000"/>
          <w:sz w:val="21"/>
          <w:szCs w:val="21"/>
        </w:rPr>
        <w:t xml:space="preserve"> Floor</w:t>
      </w:r>
    </w:p>
    <w:p w14:paraId="0553C152">
      <w:pPr>
        <w:shd w:val="clear" w:color="auto" w:fill="FFFFFF"/>
        <w:topLinePunct/>
        <w:autoSpaceDE/>
        <w:autoSpaceDN/>
        <w:adjustRightInd/>
        <w:snapToGrid w:val="0"/>
        <w:jc w:val="center"/>
        <w:rPr>
          <w:rFonts w:eastAsia="宋体"/>
          <w:sz w:val="21"/>
          <w:szCs w:val="21"/>
        </w:rPr>
      </w:pPr>
      <w:r>
        <w:rPr>
          <w:rFonts w:eastAsia="宋体"/>
          <w:i/>
          <w:iCs/>
          <w:color w:val="000000"/>
          <w:sz w:val="21"/>
          <w:szCs w:val="21"/>
        </w:rPr>
        <w:t>Silver Spring, MD 20993-0002</w:t>
      </w:r>
    </w:p>
    <w:p w14:paraId="792C122B">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电话：855-543-3784或301-796-3400；传真：301-431-6353</w:t>
      </w:r>
    </w:p>
    <w:p w14:paraId="2AC20258">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电子邮箱：</w:t>
      </w:r>
      <w:r>
        <w:fldChar w:fldCharType="begin"/>
      </w:r>
      <w:r>
        <w:instrText xml:space="preserve"> HYPERLINK "mailto:druginfo@fda.hhs.gov" </w:instrText>
      </w:r>
      <w:r>
        <w:fldChar w:fldCharType="separate"/>
      </w:r>
      <w:r>
        <w:rPr>
          <w:rFonts w:eastAsia="宋体"/>
          <w:i/>
          <w:iCs/>
          <w:color w:val="000000" w:themeColor="text1"/>
          <w:sz w:val="21"/>
          <w:szCs w:val="21"/>
          <w14:textFill>
            <w14:solidFill>
              <w14:schemeClr w14:val="tx1"/>
            </w14:solidFill>
          </w14:textFill>
        </w:rPr>
        <w:t>druginfo@fda.hhs.gov</w:t>
      </w:r>
      <w:r>
        <w:rPr>
          <w:rFonts w:eastAsia="宋体"/>
          <w:i/>
          <w:iCs/>
          <w:color w:val="000000" w:themeColor="text1"/>
          <w:sz w:val="21"/>
          <w:szCs w:val="21"/>
          <w14:textFill>
            <w14:solidFill>
              <w14:schemeClr w14:val="tx1"/>
            </w14:solidFill>
          </w14:textFill>
        </w:rPr>
        <w:fldChar w:fldCharType="end"/>
      </w:r>
    </w:p>
    <w:p w14:paraId="6FE0B438">
      <w:pPr>
        <w:shd w:val="clear" w:color="auto" w:fill="FFFFFF"/>
        <w:topLinePunct/>
        <w:autoSpaceDE/>
        <w:autoSpaceDN/>
        <w:adjustRightInd/>
        <w:snapToGrid w:val="0"/>
        <w:jc w:val="center"/>
        <w:rPr>
          <w:rFonts w:eastAsia="宋体"/>
          <w:color w:val="3333FF"/>
          <w:sz w:val="21"/>
          <w:szCs w:val="21"/>
        </w:rPr>
      </w:pPr>
      <w:r>
        <w:fldChar w:fldCharType="begin"/>
      </w:r>
      <w:r>
        <w:instrText xml:space="preserve"> HYPERLINK "http://www.fda.gov/Drugs/GuidanceComplianceRegulatoryInformation/Guidances/default.htm" </w:instrText>
      </w:r>
      <w:r>
        <w:fldChar w:fldCharType="separate"/>
      </w:r>
      <w:r>
        <w:rPr>
          <w:rFonts w:eastAsia="宋体"/>
          <w:i/>
          <w:iCs/>
          <w:color w:val="3333FF"/>
          <w:sz w:val="21"/>
          <w:szCs w:val="21"/>
          <w:u w:val="single"/>
        </w:rPr>
        <w:t>http://www.fda.gov/Drugs/GuidanceComplianceRegulatoryInformation/Guidances/default.htm</w:t>
      </w:r>
      <w:r>
        <w:rPr>
          <w:rFonts w:eastAsia="宋体"/>
          <w:i/>
          <w:iCs/>
          <w:color w:val="3333FF"/>
          <w:sz w:val="21"/>
          <w:szCs w:val="21"/>
          <w:u w:val="single"/>
        </w:rPr>
        <w:fldChar w:fldCharType="end"/>
      </w:r>
    </w:p>
    <w:p w14:paraId="1A6EC8C6">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和/或</w:t>
      </w:r>
    </w:p>
    <w:p w14:paraId="2719144C">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交流、外联和发展办公室</w:t>
      </w:r>
    </w:p>
    <w:p w14:paraId="082C5C36">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生物制品评价</w:t>
      </w:r>
      <w:r>
        <w:rPr>
          <w:rFonts w:hint="eastAsia" w:eastAsia="宋体"/>
          <w:i/>
          <w:color w:val="000000"/>
          <w:sz w:val="21"/>
          <w:szCs w:val="21"/>
        </w:rPr>
        <w:t>与</w:t>
      </w:r>
      <w:r>
        <w:rPr>
          <w:rFonts w:eastAsia="宋体"/>
          <w:i/>
          <w:color w:val="000000"/>
          <w:sz w:val="21"/>
          <w:szCs w:val="21"/>
        </w:rPr>
        <w:t>研究中心</w:t>
      </w:r>
    </w:p>
    <w:p w14:paraId="28DA4ABA">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美国食品药品监督管理局</w:t>
      </w:r>
    </w:p>
    <w:p w14:paraId="59718382">
      <w:pPr>
        <w:shd w:val="clear" w:color="auto" w:fill="FFFFFF"/>
        <w:topLinePunct/>
        <w:autoSpaceDE/>
        <w:autoSpaceDN/>
        <w:adjustRightInd/>
        <w:snapToGrid w:val="0"/>
        <w:jc w:val="center"/>
        <w:rPr>
          <w:rFonts w:eastAsia="宋体"/>
          <w:sz w:val="21"/>
          <w:szCs w:val="21"/>
        </w:rPr>
      </w:pPr>
      <w:r>
        <w:rPr>
          <w:rFonts w:eastAsia="宋体"/>
          <w:i/>
          <w:iCs/>
          <w:color w:val="000000"/>
          <w:sz w:val="21"/>
          <w:szCs w:val="21"/>
        </w:rPr>
        <w:t>10903 New Hampshire Ave., Bldg. 71, Room 3128</w:t>
      </w:r>
    </w:p>
    <w:p w14:paraId="72CEE612">
      <w:pPr>
        <w:shd w:val="clear" w:color="auto" w:fill="FFFFFF"/>
        <w:topLinePunct/>
        <w:autoSpaceDE/>
        <w:autoSpaceDN/>
        <w:adjustRightInd/>
        <w:snapToGrid w:val="0"/>
        <w:jc w:val="center"/>
        <w:rPr>
          <w:rFonts w:eastAsia="宋体"/>
          <w:sz w:val="21"/>
          <w:szCs w:val="21"/>
          <w:lang w:val="de-DE"/>
        </w:rPr>
      </w:pPr>
      <w:r>
        <w:rPr>
          <w:rFonts w:eastAsia="宋体"/>
          <w:i/>
          <w:iCs/>
          <w:color w:val="000000"/>
          <w:sz w:val="21"/>
          <w:szCs w:val="21"/>
          <w:lang w:val="de-DE"/>
        </w:rPr>
        <w:t>Silver Spring, MD 20993-0002</w:t>
      </w:r>
    </w:p>
    <w:p w14:paraId="065D2433">
      <w:pPr>
        <w:shd w:val="clear" w:color="auto" w:fill="FFFFFF"/>
        <w:topLinePunct/>
        <w:autoSpaceDE/>
        <w:autoSpaceDN/>
        <w:adjustRightInd/>
        <w:snapToGrid w:val="0"/>
        <w:jc w:val="center"/>
        <w:rPr>
          <w:rFonts w:eastAsia="宋体"/>
          <w:sz w:val="21"/>
          <w:szCs w:val="21"/>
          <w:lang w:val="de-DE"/>
        </w:rPr>
      </w:pPr>
      <w:r>
        <w:rPr>
          <w:rFonts w:eastAsia="宋体"/>
          <w:i/>
          <w:color w:val="000000"/>
          <w:sz w:val="21"/>
          <w:szCs w:val="21"/>
        </w:rPr>
        <w:t>电话</w:t>
      </w:r>
      <w:r>
        <w:rPr>
          <w:rFonts w:eastAsia="宋体"/>
          <w:i/>
          <w:color w:val="000000"/>
          <w:sz w:val="21"/>
          <w:szCs w:val="21"/>
          <w:lang w:val="de-DE"/>
        </w:rPr>
        <w:t>：800-835-4709</w:t>
      </w:r>
      <w:r>
        <w:rPr>
          <w:rFonts w:eastAsia="宋体"/>
          <w:i/>
          <w:color w:val="000000"/>
          <w:sz w:val="21"/>
          <w:szCs w:val="21"/>
        </w:rPr>
        <w:t>或</w:t>
      </w:r>
      <w:r>
        <w:rPr>
          <w:rFonts w:eastAsia="宋体"/>
          <w:i/>
          <w:color w:val="000000"/>
          <w:sz w:val="21"/>
          <w:szCs w:val="21"/>
          <w:lang w:val="de-DE"/>
        </w:rPr>
        <w:t>240-402-8010</w:t>
      </w:r>
    </w:p>
    <w:p w14:paraId="3E425C1E">
      <w:pPr>
        <w:shd w:val="clear" w:color="auto" w:fill="FFFFFF"/>
        <w:topLinePunct/>
        <w:autoSpaceDE/>
        <w:autoSpaceDN/>
        <w:adjustRightInd/>
        <w:snapToGrid w:val="0"/>
        <w:jc w:val="center"/>
        <w:rPr>
          <w:rFonts w:eastAsia="宋体"/>
          <w:color w:val="3333FF"/>
          <w:sz w:val="21"/>
          <w:szCs w:val="21"/>
          <w:lang w:val="de-DE"/>
        </w:rPr>
      </w:pPr>
      <w:r>
        <w:rPr>
          <w:rFonts w:eastAsia="宋体"/>
          <w:i/>
          <w:color w:val="000000"/>
          <w:sz w:val="21"/>
          <w:szCs w:val="21"/>
        </w:rPr>
        <w:t>电子邮箱</w:t>
      </w:r>
      <w:r>
        <w:rPr>
          <w:rFonts w:eastAsia="宋体"/>
          <w:i/>
          <w:color w:val="000000"/>
          <w:sz w:val="21"/>
          <w:szCs w:val="21"/>
          <w:lang w:val="de-DE"/>
        </w:rPr>
        <w:t>：</w:t>
      </w:r>
      <w:r>
        <w:fldChar w:fldCharType="begin"/>
      </w:r>
      <w:r>
        <w:instrText xml:space="preserve"> HYPERLINK "mailto:ocod@fda.hhs.gov" </w:instrText>
      </w:r>
      <w:r>
        <w:fldChar w:fldCharType="separate"/>
      </w:r>
      <w:r>
        <w:rPr>
          <w:rFonts w:eastAsia="宋体"/>
          <w:i/>
          <w:iCs/>
          <w:color w:val="000000" w:themeColor="text1"/>
          <w:sz w:val="21"/>
          <w:szCs w:val="21"/>
          <w:lang w:val="de-DE"/>
          <w14:textFill>
            <w14:solidFill>
              <w14:schemeClr w14:val="tx1"/>
            </w14:solidFill>
          </w14:textFill>
        </w:rPr>
        <w:t>ocod@fda.hhs.gov</w:t>
      </w:r>
      <w:r>
        <w:rPr>
          <w:rFonts w:eastAsia="宋体"/>
          <w:i/>
          <w:iCs/>
          <w:color w:val="000000" w:themeColor="text1"/>
          <w:sz w:val="21"/>
          <w:szCs w:val="21"/>
          <w:lang w:val="de-DE"/>
          <w14:textFill>
            <w14:solidFill>
              <w14:schemeClr w14:val="tx1"/>
            </w14:solidFill>
          </w14:textFill>
        </w:rPr>
        <w:fldChar w:fldCharType="end"/>
      </w:r>
    </w:p>
    <w:p w14:paraId="12D4CF75">
      <w:pPr>
        <w:shd w:val="clear" w:color="auto" w:fill="FFFFFF"/>
        <w:topLinePunct/>
        <w:autoSpaceDE/>
        <w:autoSpaceDN/>
        <w:adjustRightInd/>
        <w:snapToGrid w:val="0"/>
        <w:jc w:val="center"/>
        <w:rPr>
          <w:rFonts w:eastAsia="宋体"/>
          <w:color w:val="3333FF"/>
          <w:sz w:val="21"/>
          <w:szCs w:val="21"/>
          <w:lang w:val="de-DE"/>
        </w:rPr>
      </w:pPr>
      <w:r>
        <w:fldChar w:fldCharType="begin"/>
      </w:r>
      <w:r>
        <w:instrText xml:space="preserve"> HYPERLINK "http://www.fda.gov/BiologicsBloodVaccines/GuidanceComplianceRegulatoryInformation/Guidances/default.htm" </w:instrText>
      </w:r>
      <w:r>
        <w:fldChar w:fldCharType="separate"/>
      </w:r>
      <w:r>
        <w:rPr>
          <w:rFonts w:eastAsia="宋体"/>
          <w:i/>
          <w:iCs/>
          <w:color w:val="3333FF"/>
          <w:sz w:val="21"/>
          <w:szCs w:val="21"/>
          <w:u w:val="single"/>
          <w:lang w:val="de-DE"/>
        </w:rPr>
        <w:t>http://www.fda.gov/BiologicsBloodVaccines/GuidanceComplianceRegulatoryInformation/Guidances/default.htm</w:t>
      </w:r>
      <w:r>
        <w:rPr>
          <w:rFonts w:eastAsia="宋体"/>
          <w:i/>
          <w:iCs/>
          <w:color w:val="3333FF"/>
          <w:sz w:val="21"/>
          <w:szCs w:val="21"/>
          <w:u w:val="single"/>
          <w:lang w:val="de-DE"/>
        </w:rPr>
        <w:fldChar w:fldCharType="end"/>
      </w:r>
    </w:p>
    <w:p w14:paraId="092765D8">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和/或</w:t>
      </w:r>
    </w:p>
    <w:p w14:paraId="477AB4A2">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中心主任办公室</w:t>
      </w:r>
    </w:p>
    <w:p w14:paraId="49708849">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医疗器械和辐射健康中心</w:t>
      </w:r>
    </w:p>
    <w:p w14:paraId="7D2945C3">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美国食品药品监督管理局</w:t>
      </w:r>
    </w:p>
    <w:p w14:paraId="33664399">
      <w:pPr>
        <w:shd w:val="clear" w:color="auto" w:fill="FFFFFF"/>
        <w:topLinePunct/>
        <w:autoSpaceDE/>
        <w:autoSpaceDN/>
        <w:adjustRightInd/>
        <w:snapToGrid w:val="0"/>
        <w:jc w:val="center"/>
        <w:rPr>
          <w:rFonts w:eastAsia="宋体"/>
          <w:sz w:val="21"/>
          <w:szCs w:val="21"/>
        </w:rPr>
      </w:pPr>
      <w:r>
        <w:rPr>
          <w:rFonts w:eastAsia="宋体"/>
          <w:i/>
          <w:iCs/>
          <w:color w:val="000000"/>
          <w:sz w:val="21"/>
          <w:szCs w:val="21"/>
        </w:rPr>
        <w:t>10903 New Hampshire Ave., Bldg. 66, Room 5431</w:t>
      </w:r>
    </w:p>
    <w:p w14:paraId="753C24DD">
      <w:pPr>
        <w:shd w:val="clear" w:color="auto" w:fill="FFFFFF"/>
        <w:topLinePunct/>
        <w:autoSpaceDE/>
        <w:autoSpaceDN/>
        <w:adjustRightInd/>
        <w:snapToGrid w:val="0"/>
        <w:jc w:val="center"/>
        <w:rPr>
          <w:rFonts w:eastAsia="宋体"/>
          <w:sz w:val="21"/>
          <w:szCs w:val="21"/>
          <w:lang w:val="de-DE"/>
        </w:rPr>
      </w:pPr>
      <w:r>
        <w:rPr>
          <w:rFonts w:eastAsia="宋体"/>
          <w:i/>
          <w:iCs/>
          <w:color w:val="000000"/>
          <w:sz w:val="21"/>
          <w:szCs w:val="21"/>
          <w:lang w:val="de-DE"/>
        </w:rPr>
        <w:t>Silver Spring, MD 20993-0002</w:t>
      </w:r>
    </w:p>
    <w:p w14:paraId="1F5F1BC9">
      <w:pPr>
        <w:shd w:val="clear" w:color="auto" w:fill="FFFFFF"/>
        <w:topLinePunct/>
        <w:autoSpaceDE/>
        <w:autoSpaceDN/>
        <w:adjustRightInd/>
        <w:snapToGrid w:val="0"/>
        <w:jc w:val="center"/>
        <w:rPr>
          <w:rFonts w:eastAsia="宋体"/>
          <w:sz w:val="21"/>
          <w:szCs w:val="21"/>
          <w:lang w:val="de-DE"/>
        </w:rPr>
      </w:pPr>
      <w:r>
        <w:rPr>
          <w:rFonts w:eastAsia="宋体"/>
          <w:i/>
          <w:color w:val="000000"/>
          <w:sz w:val="21"/>
          <w:szCs w:val="21"/>
        </w:rPr>
        <w:t>电子邮箱</w:t>
      </w:r>
      <w:r>
        <w:rPr>
          <w:rFonts w:eastAsia="宋体"/>
          <w:i/>
          <w:color w:val="000000"/>
          <w:sz w:val="21"/>
          <w:szCs w:val="21"/>
          <w:lang w:val="de-DE"/>
        </w:rPr>
        <w:t>：</w:t>
      </w:r>
      <w:r>
        <w:fldChar w:fldCharType="begin"/>
      </w:r>
      <w:r>
        <w:instrText xml:space="preserve"> HYPERLINK "mailto:CDRH-Guidance@fda.hhs.gov" </w:instrText>
      </w:r>
      <w:r>
        <w:fldChar w:fldCharType="separate"/>
      </w:r>
      <w:r>
        <w:rPr>
          <w:rFonts w:eastAsia="宋体"/>
          <w:i/>
          <w:iCs/>
          <w:color w:val="000000" w:themeColor="text1"/>
          <w:sz w:val="21"/>
          <w:szCs w:val="21"/>
          <w:lang w:val="de-DE"/>
          <w14:textFill>
            <w14:solidFill>
              <w14:schemeClr w14:val="tx1"/>
            </w14:solidFill>
          </w14:textFill>
        </w:rPr>
        <w:t>CDRH-Guidance@fda.hhs.gov</w:t>
      </w:r>
      <w:r>
        <w:rPr>
          <w:rFonts w:eastAsia="宋体"/>
          <w:i/>
          <w:iCs/>
          <w:color w:val="000000" w:themeColor="text1"/>
          <w:sz w:val="21"/>
          <w:szCs w:val="21"/>
          <w:lang w:val="de-DE"/>
          <w14:textFill>
            <w14:solidFill>
              <w14:schemeClr w14:val="tx1"/>
            </w14:solidFill>
          </w14:textFill>
        </w:rPr>
        <w:fldChar w:fldCharType="end"/>
      </w:r>
    </w:p>
    <w:p w14:paraId="1EB9BE45">
      <w:pPr>
        <w:shd w:val="clear" w:color="auto" w:fill="FFFFFF"/>
        <w:topLinePunct/>
        <w:autoSpaceDE/>
        <w:autoSpaceDN/>
        <w:adjustRightInd/>
        <w:snapToGrid w:val="0"/>
        <w:jc w:val="center"/>
        <w:rPr>
          <w:rFonts w:eastAsia="宋体"/>
          <w:color w:val="3333FF"/>
          <w:sz w:val="21"/>
          <w:szCs w:val="21"/>
          <w:lang w:val="de-DE"/>
        </w:rPr>
      </w:pPr>
      <w:r>
        <w:fldChar w:fldCharType="begin"/>
      </w:r>
      <w:r>
        <w:instrText xml:space="preserve"> HYPERLINK "https://www.fda.gov/MedicalDevices/DeviceRegulationandGuidance/GuidanceDocuments/default.htm" </w:instrText>
      </w:r>
      <w:r>
        <w:fldChar w:fldCharType="separate"/>
      </w:r>
      <w:r>
        <w:rPr>
          <w:rFonts w:eastAsia="宋体"/>
          <w:i/>
          <w:iCs/>
          <w:color w:val="3333FF"/>
          <w:sz w:val="21"/>
          <w:szCs w:val="21"/>
          <w:u w:val="single"/>
          <w:lang w:val="de-DE"/>
        </w:rPr>
        <w:t>https://www.fda.gov/MedicalDevices/DeviceRegulationandGuidance/GuidanceDocuments/default.htm</w:t>
      </w:r>
      <w:r>
        <w:rPr>
          <w:rFonts w:eastAsia="宋体"/>
          <w:i/>
          <w:iCs/>
          <w:color w:val="3333FF"/>
          <w:sz w:val="21"/>
          <w:szCs w:val="21"/>
          <w:u w:val="single"/>
          <w:lang w:val="de-DE"/>
        </w:rPr>
        <w:fldChar w:fldCharType="end"/>
      </w:r>
    </w:p>
    <w:p w14:paraId="56C52525">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和/或</w:t>
      </w:r>
    </w:p>
    <w:p w14:paraId="642EF29A">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政策与监管人员，HFV-6</w:t>
      </w:r>
    </w:p>
    <w:p w14:paraId="781DE8F1">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兽药中心</w:t>
      </w:r>
    </w:p>
    <w:p w14:paraId="2E7E4E14">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美国食品药品监督管理局</w:t>
      </w:r>
    </w:p>
    <w:p w14:paraId="3E8617BA">
      <w:pPr>
        <w:shd w:val="clear" w:color="auto" w:fill="FFFFFF"/>
        <w:topLinePunct/>
        <w:autoSpaceDE/>
        <w:autoSpaceDN/>
        <w:adjustRightInd/>
        <w:snapToGrid w:val="0"/>
        <w:jc w:val="center"/>
        <w:rPr>
          <w:rFonts w:eastAsia="宋体"/>
          <w:sz w:val="21"/>
          <w:szCs w:val="21"/>
        </w:rPr>
      </w:pPr>
      <w:r>
        <w:rPr>
          <w:rFonts w:eastAsia="宋体"/>
          <w:i/>
          <w:iCs/>
          <w:color w:val="000000"/>
          <w:sz w:val="21"/>
          <w:szCs w:val="21"/>
        </w:rPr>
        <w:t>7519 Standish Place, Rockville, MD 20855</w:t>
      </w:r>
    </w:p>
    <w:p w14:paraId="394918D5">
      <w:pPr>
        <w:shd w:val="clear" w:color="auto" w:fill="FFFFFF"/>
        <w:topLinePunct/>
        <w:autoSpaceDE/>
        <w:autoSpaceDN/>
        <w:adjustRightInd/>
        <w:snapToGrid w:val="0"/>
        <w:jc w:val="center"/>
        <w:rPr>
          <w:rFonts w:eastAsia="宋体"/>
          <w:color w:val="3333FF"/>
          <w:sz w:val="21"/>
          <w:szCs w:val="21"/>
        </w:rPr>
      </w:pPr>
      <w:r>
        <w:fldChar w:fldCharType="begin"/>
      </w:r>
      <w:r>
        <w:instrText xml:space="preserve"> HYPERLINK "http://www.fda.gov/AnimalVeterinary/GuidanceComplianceEnforcement/GuidanceforIndustry/default.htm" </w:instrText>
      </w:r>
      <w:r>
        <w:fldChar w:fldCharType="separate"/>
      </w:r>
      <w:r>
        <w:rPr>
          <w:rFonts w:eastAsia="宋体"/>
          <w:i/>
          <w:iCs/>
          <w:color w:val="3333FF"/>
          <w:sz w:val="21"/>
          <w:szCs w:val="21"/>
          <w:u w:val="single"/>
        </w:rPr>
        <w:t>http://www.fda.gov/AnimalVeterinary/GuidanceComplianceEnforcement/GuidanceforIndustry/default.htm</w:t>
      </w:r>
      <w:r>
        <w:rPr>
          <w:rFonts w:eastAsia="宋体"/>
          <w:i/>
          <w:iCs/>
          <w:color w:val="3333FF"/>
          <w:sz w:val="21"/>
          <w:szCs w:val="21"/>
          <w:u w:val="single"/>
        </w:rPr>
        <w:fldChar w:fldCharType="end"/>
      </w:r>
    </w:p>
    <w:p w14:paraId="444A6A30">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和/或</w:t>
      </w:r>
    </w:p>
    <w:p w14:paraId="75D87FDD">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政策办公室</w:t>
      </w:r>
    </w:p>
    <w:p w14:paraId="0DAE259E">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专员办公室</w:t>
      </w:r>
    </w:p>
    <w:p w14:paraId="6CE5DA44">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美国食品药品监督管理局</w:t>
      </w:r>
    </w:p>
    <w:p w14:paraId="48F34190">
      <w:pPr>
        <w:shd w:val="clear" w:color="auto" w:fill="FFFFFF"/>
        <w:topLinePunct/>
        <w:autoSpaceDE/>
        <w:autoSpaceDN/>
        <w:adjustRightInd/>
        <w:snapToGrid w:val="0"/>
        <w:jc w:val="center"/>
        <w:rPr>
          <w:rFonts w:eastAsia="宋体"/>
          <w:sz w:val="21"/>
          <w:szCs w:val="21"/>
        </w:rPr>
      </w:pPr>
      <w:r>
        <w:rPr>
          <w:rFonts w:eastAsia="宋体"/>
          <w:i/>
          <w:iCs/>
          <w:color w:val="000000"/>
          <w:sz w:val="21"/>
          <w:szCs w:val="21"/>
        </w:rPr>
        <w:t>10903 New Hampshire Ave., Bldg. 32, Room 4232</w:t>
      </w:r>
    </w:p>
    <w:p w14:paraId="372709A7">
      <w:pPr>
        <w:shd w:val="clear" w:color="auto" w:fill="FFFFFF"/>
        <w:topLinePunct/>
        <w:autoSpaceDE/>
        <w:autoSpaceDN/>
        <w:adjustRightInd/>
        <w:snapToGrid w:val="0"/>
        <w:jc w:val="center"/>
        <w:rPr>
          <w:rFonts w:eastAsia="宋体"/>
          <w:sz w:val="21"/>
          <w:szCs w:val="21"/>
        </w:rPr>
      </w:pPr>
      <w:r>
        <w:rPr>
          <w:rFonts w:eastAsia="宋体"/>
          <w:i/>
          <w:iCs/>
          <w:color w:val="000000"/>
          <w:sz w:val="21"/>
          <w:szCs w:val="21"/>
        </w:rPr>
        <w:t>Silver Spring, MD 20993-0002</w:t>
      </w:r>
    </w:p>
    <w:p w14:paraId="6FAA2B6C">
      <w:pPr>
        <w:shd w:val="clear" w:color="auto" w:fill="FFFFFF"/>
        <w:topLinePunct/>
        <w:autoSpaceDE/>
        <w:autoSpaceDN/>
        <w:adjustRightInd/>
        <w:snapToGrid w:val="0"/>
        <w:jc w:val="center"/>
        <w:rPr>
          <w:rFonts w:eastAsia="宋体"/>
          <w:sz w:val="21"/>
          <w:szCs w:val="21"/>
        </w:rPr>
      </w:pPr>
      <w:r>
        <w:rPr>
          <w:rFonts w:eastAsia="宋体"/>
          <w:i/>
          <w:iCs/>
          <w:color w:val="000000"/>
          <w:sz w:val="21"/>
          <w:szCs w:val="21"/>
        </w:rPr>
        <w:t>电话：301-796-4830</w:t>
      </w:r>
    </w:p>
    <w:p w14:paraId="7385A7D5">
      <w:pPr>
        <w:shd w:val="clear" w:color="auto" w:fill="FFFFFF"/>
        <w:topLinePunct/>
        <w:autoSpaceDE/>
        <w:autoSpaceDN/>
        <w:adjustRightInd/>
        <w:jc w:val="center"/>
        <w:rPr>
          <w:rFonts w:eastAsia="宋体"/>
          <w:b/>
          <w:color w:val="000000"/>
          <w:sz w:val="21"/>
          <w:szCs w:val="21"/>
        </w:rPr>
      </w:pPr>
    </w:p>
    <w:p w14:paraId="6E50D3AE">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美国卫生与公共服务部</w:t>
      </w:r>
    </w:p>
    <w:p w14:paraId="2DD5A762">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美国食品药品监督管理局</w:t>
      </w:r>
    </w:p>
    <w:p w14:paraId="7883271A">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药品评价与研究中心（CDER）</w:t>
      </w:r>
    </w:p>
    <w:p w14:paraId="5A7FFBBE">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生物制品评价与研究中心（CBER）</w:t>
      </w:r>
    </w:p>
    <w:p w14:paraId="7AE9860E">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医疗器械和</w:t>
      </w:r>
      <w:r>
        <w:rPr>
          <w:rFonts w:hint="eastAsia" w:eastAsia="宋体"/>
          <w:b/>
          <w:color w:val="000000"/>
          <w:sz w:val="21"/>
          <w:szCs w:val="21"/>
        </w:rPr>
        <w:t>辐射</w:t>
      </w:r>
      <w:r>
        <w:rPr>
          <w:rFonts w:eastAsia="宋体"/>
          <w:b/>
          <w:color w:val="000000"/>
          <w:sz w:val="21"/>
          <w:szCs w:val="21"/>
        </w:rPr>
        <w:t>健康中心（CDRH）</w:t>
      </w:r>
    </w:p>
    <w:p w14:paraId="6BC8C5B6">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兽药中心（CVM）</w:t>
      </w:r>
    </w:p>
    <w:p w14:paraId="1055D66C">
      <w:pPr>
        <w:shd w:val="clear" w:color="auto" w:fill="FFFFFF"/>
        <w:topLinePunct/>
        <w:autoSpaceDE/>
        <w:autoSpaceDN/>
        <w:adjustRightInd/>
        <w:snapToGrid w:val="0"/>
        <w:jc w:val="center"/>
        <w:rPr>
          <w:rFonts w:eastAsia="宋体"/>
          <w:b/>
          <w:bCs/>
          <w:color w:val="000000"/>
          <w:sz w:val="21"/>
          <w:szCs w:val="21"/>
        </w:rPr>
      </w:pPr>
      <w:r>
        <w:rPr>
          <w:rFonts w:eastAsia="宋体"/>
          <w:b/>
          <w:color w:val="000000"/>
          <w:sz w:val="21"/>
          <w:szCs w:val="21"/>
        </w:rPr>
        <w:t>专员办公室（OC）</w:t>
      </w:r>
    </w:p>
    <w:p w14:paraId="480FB816">
      <w:pPr>
        <w:shd w:val="clear" w:color="auto" w:fill="FFFFFF"/>
        <w:topLinePunct/>
        <w:autoSpaceDE/>
        <w:autoSpaceDN/>
        <w:adjustRightInd/>
        <w:snapToGrid w:val="0"/>
        <w:jc w:val="center"/>
        <w:rPr>
          <w:rFonts w:eastAsia="宋体"/>
          <w:sz w:val="21"/>
          <w:szCs w:val="21"/>
        </w:rPr>
      </w:pPr>
    </w:p>
    <w:p w14:paraId="1E160F71">
      <w:pPr>
        <w:shd w:val="clear" w:color="auto" w:fill="FFFFFF"/>
        <w:topLinePunct/>
        <w:autoSpaceDE/>
        <w:autoSpaceDN/>
        <w:adjustRightInd/>
        <w:snapToGrid w:val="0"/>
        <w:jc w:val="center"/>
        <w:rPr>
          <w:rFonts w:eastAsia="宋体"/>
          <w:b/>
          <w:bCs/>
          <w:color w:val="000000"/>
          <w:sz w:val="21"/>
          <w:szCs w:val="21"/>
        </w:rPr>
      </w:pPr>
      <w:r>
        <w:rPr>
          <w:rFonts w:eastAsia="宋体"/>
          <w:b/>
          <w:color w:val="000000"/>
          <w:sz w:val="21"/>
          <w:szCs w:val="21"/>
        </w:rPr>
        <w:t>2018年6月</w:t>
      </w:r>
    </w:p>
    <w:p w14:paraId="4F5B27A9">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程序</w:t>
      </w:r>
    </w:p>
    <w:p w14:paraId="770D4E6A">
      <w:pPr>
        <w:widowControl/>
        <w:autoSpaceDE/>
        <w:autoSpaceDN/>
        <w:adjustRightInd/>
        <w:rPr>
          <w:rFonts w:eastAsia="宋体"/>
          <w:sz w:val="24"/>
          <w:szCs w:val="24"/>
        </w:rPr>
        <w:sectPr>
          <w:pgSz w:w="11909" w:h="16834"/>
          <w:pgMar w:top="1134" w:right="1134" w:bottom="1134" w:left="1418" w:header="567" w:footer="567" w:gutter="0"/>
          <w:cols w:space="60" w:num="1"/>
          <w:docGrid w:type="lines" w:linePitch="364" w:charSpace="0"/>
        </w:sectPr>
      </w:pPr>
    </w:p>
    <w:p w14:paraId="54863869">
      <w:pPr>
        <w:shd w:val="clear" w:color="auto" w:fill="FFFFFF"/>
        <w:topLinePunct/>
        <w:autoSpaceDE/>
        <w:autoSpaceDN/>
        <w:adjustRightInd/>
        <w:jc w:val="center"/>
        <w:rPr>
          <w:rFonts w:eastAsia="宋体"/>
          <w:sz w:val="36"/>
          <w:szCs w:val="36"/>
        </w:rPr>
      </w:pPr>
      <w:r>
        <w:rPr>
          <w:rFonts w:eastAsia="宋体"/>
          <w:b/>
          <w:color w:val="000000"/>
          <w:sz w:val="36"/>
          <w:szCs w:val="36"/>
        </w:rPr>
        <w:t>目录</w:t>
      </w:r>
    </w:p>
    <w:p w14:paraId="1D27D1CC">
      <w:pPr>
        <w:pStyle w:val="8"/>
        <w:rPr>
          <w:rFonts w:asciiTheme="minorHAnsi" w:hAnsiTheme="minorHAnsi" w:eastAsiaTheme="minorEastAsia" w:cstheme="minorBidi"/>
          <w:kern w:val="2"/>
          <w:sz w:val="21"/>
          <w:szCs w:val="22"/>
          <w:lang w:bidi="he-IL"/>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"_Toc97377668" </w:instrText>
      </w:r>
      <w:r>
        <w:fldChar w:fldCharType="separate"/>
      </w:r>
      <w:r>
        <w:rPr>
          <w:rStyle w:val="14"/>
        </w:rPr>
        <w:t>I.</w:t>
      </w:r>
      <w:r>
        <w:rPr>
          <w:rFonts w:asciiTheme="minorHAnsi" w:hAnsiTheme="minorHAnsi" w:eastAsiaTheme="minorEastAsia" w:cstheme="minorBidi"/>
          <w:kern w:val="2"/>
          <w:sz w:val="21"/>
          <w:szCs w:val="22"/>
          <w:lang w:bidi="he-IL"/>
        </w:rPr>
        <w:tab/>
      </w:r>
      <w:r>
        <w:rPr>
          <w:rStyle w:val="14"/>
          <w:rFonts w:hint="eastAsia"/>
        </w:rPr>
        <w:t>引言</w:t>
      </w:r>
      <w:r>
        <w:tab/>
      </w:r>
      <w:r>
        <w:fldChar w:fldCharType="begin"/>
      </w:r>
      <w:r>
        <w:instrText xml:space="preserve"> PAGEREF _Toc97377668 \h </w:instrText>
      </w:r>
      <w:r>
        <w:fldChar w:fldCharType="separate"/>
      </w:r>
      <w:r>
        <w:t>1</w:t>
      </w:r>
      <w:r>
        <w:fldChar w:fldCharType="end"/>
      </w:r>
      <w:r>
        <w:fldChar w:fldCharType="end"/>
      </w:r>
    </w:p>
    <w:p w14:paraId="1BA84DB6">
      <w:pPr>
        <w:pStyle w:val="8"/>
        <w:rPr>
          <w:rFonts w:asciiTheme="minorHAnsi" w:hAnsiTheme="minorHAnsi" w:eastAsiaTheme="minorEastAsia" w:cstheme="minorBidi"/>
          <w:kern w:val="2"/>
          <w:sz w:val="21"/>
          <w:szCs w:val="22"/>
          <w:lang w:bidi="he-IL"/>
        </w:rPr>
      </w:pPr>
      <w:r>
        <w:fldChar w:fldCharType="begin"/>
      </w:r>
      <w:r>
        <w:instrText xml:space="preserve"> HYPERLINK \l "_Toc97377669" </w:instrText>
      </w:r>
      <w:r>
        <w:fldChar w:fldCharType="separate"/>
      </w:r>
      <w:r>
        <w:rPr>
          <w:rStyle w:val="14"/>
        </w:rPr>
        <w:t>II.</w:t>
      </w:r>
      <w:r>
        <w:rPr>
          <w:rFonts w:asciiTheme="minorHAnsi" w:hAnsiTheme="minorHAnsi" w:eastAsiaTheme="minorEastAsia" w:cstheme="minorBidi"/>
          <w:kern w:val="2"/>
          <w:sz w:val="21"/>
          <w:szCs w:val="22"/>
          <w:lang w:bidi="he-IL"/>
        </w:rPr>
        <w:tab/>
      </w:r>
      <w:r>
        <w:rPr>
          <w:rStyle w:val="14"/>
          <w:rFonts w:hint="eastAsia"/>
        </w:rPr>
        <w:t>背景</w:t>
      </w:r>
      <w:r>
        <w:tab/>
      </w:r>
      <w:r>
        <w:fldChar w:fldCharType="begin"/>
      </w:r>
      <w:r>
        <w:instrText xml:space="preserve"> PAGEREF _Toc97377669 \h </w:instrText>
      </w:r>
      <w:r>
        <w:fldChar w:fldCharType="separate"/>
      </w:r>
      <w:r>
        <w:t>2</w:t>
      </w:r>
      <w:r>
        <w:fldChar w:fldCharType="end"/>
      </w:r>
      <w:r>
        <w:fldChar w:fldCharType="end"/>
      </w:r>
    </w:p>
    <w:p w14:paraId="22BA075A">
      <w:pPr>
        <w:pStyle w:val="8"/>
        <w:rPr>
          <w:rFonts w:asciiTheme="minorHAnsi" w:hAnsiTheme="minorHAnsi" w:eastAsiaTheme="minorEastAsia" w:cstheme="minorBidi"/>
          <w:kern w:val="2"/>
          <w:sz w:val="21"/>
          <w:szCs w:val="22"/>
          <w:lang w:bidi="he-IL"/>
        </w:rPr>
      </w:pPr>
      <w:r>
        <w:fldChar w:fldCharType="begin"/>
      </w:r>
      <w:r>
        <w:instrText xml:space="preserve"> HYPERLINK \l "_Toc97377670" </w:instrText>
      </w:r>
      <w:r>
        <w:fldChar w:fldCharType="separate"/>
      </w:r>
      <w:r>
        <w:rPr>
          <w:rStyle w:val="14"/>
        </w:rPr>
        <w:t>III.</w:t>
      </w:r>
      <w:r>
        <w:rPr>
          <w:rFonts w:asciiTheme="minorHAnsi" w:hAnsiTheme="minorHAnsi" w:eastAsiaTheme="minorEastAsia" w:cstheme="minorBidi"/>
          <w:kern w:val="2"/>
          <w:sz w:val="21"/>
          <w:szCs w:val="22"/>
          <w:lang w:bidi="he-IL"/>
        </w:rPr>
        <w:tab/>
      </w:r>
      <w:r>
        <w:rPr>
          <w:rStyle w:val="14"/>
          <w:rFonts w:hint="eastAsia"/>
        </w:rPr>
        <w:t>问答</w:t>
      </w:r>
      <w:r>
        <w:tab/>
      </w:r>
      <w:r>
        <w:fldChar w:fldCharType="begin"/>
      </w:r>
      <w:r>
        <w:instrText xml:space="preserve"> PAGEREF _Toc97377670 \h </w:instrText>
      </w:r>
      <w:r>
        <w:fldChar w:fldCharType="separate"/>
      </w:r>
      <w:r>
        <w:t>3</w:t>
      </w:r>
      <w:r>
        <w:fldChar w:fldCharType="end"/>
      </w:r>
      <w:r>
        <w:fldChar w:fldCharType="end"/>
      </w:r>
    </w:p>
    <w:p w14:paraId="55B8BF11">
      <w:pPr>
        <w:pStyle w:val="8"/>
        <w:rPr>
          <w:rFonts w:asciiTheme="minorHAnsi" w:hAnsiTheme="minorHAnsi" w:eastAsiaTheme="minorEastAsia" w:cstheme="minorBidi"/>
          <w:kern w:val="2"/>
          <w:sz w:val="21"/>
          <w:szCs w:val="22"/>
          <w:lang w:bidi="he-IL"/>
        </w:rPr>
      </w:pPr>
      <w:r>
        <w:fldChar w:fldCharType="begin"/>
      </w:r>
      <w:r>
        <w:instrText xml:space="preserve"> HYPERLINK \l "_Toc97377671" </w:instrText>
      </w:r>
      <w:r>
        <w:fldChar w:fldCharType="separate"/>
      </w:r>
      <w:r>
        <w:rPr>
          <w:rStyle w:val="14"/>
        </w:rPr>
        <w:t>IV.</w:t>
      </w:r>
      <w:r>
        <w:rPr>
          <w:rFonts w:asciiTheme="minorHAnsi" w:hAnsiTheme="minorHAnsi" w:eastAsiaTheme="minorEastAsia" w:cstheme="minorBidi"/>
          <w:kern w:val="2"/>
          <w:sz w:val="21"/>
          <w:szCs w:val="22"/>
          <w:lang w:bidi="he-IL"/>
        </w:rPr>
        <w:tab/>
      </w:r>
      <w:r>
        <w:rPr>
          <w:rStyle w:val="14"/>
        </w:rPr>
        <w:t>1995</w:t>
      </w:r>
      <w:r>
        <w:rPr>
          <w:rStyle w:val="14"/>
          <w:rFonts w:hint="eastAsia"/>
        </w:rPr>
        <w:t>年《文书削减法》</w:t>
      </w:r>
      <w:r>
        <w:tab/>
      </w:r>
      <w:r>
        <w:fldChar w:fldCharType="begin"/>
      </w:r>
      <w:r>
        <w:instrText xml:space="preserve"> PAGEREF _Toc97377671 \h </w:instrText>
      </w:r>
      <w:r>
        <w:fldChar w:fldCharType="separate"/>
      </w:r>
      <w:r>
        <w:t>19</w:t>
      </w:r>
      <w:r>
        <w:fldChar w:fldCharType="end"/>
      </w:r>
      <w:r>
        <w:fldChar w:fldCharType="end"/>
      </w:r>
    </w:p>
    <w:p w14:paraId="5602C91C">
      <w:pPr>
        <w:shd w:val="clear" w:color="auto" w:fill="FFFFFF"/>
        <w:topLinePunct/>
        <w:autoSpaceDE/>
        <w:autoSpaceDN/>
        <w:adjustRightInd/>
        <w:jc w:val="both"/>
        <w:rPr>
          <w:rFonts w:eastAsia="宋体"/>
          <w:sz w:val="24"/>
          <w:szCs w:val="24"/>
        </w:rPr>
      </w:pPr>
      <w:r>
        <w:rPr>
          <w:rFonts w:eastAsia="宋体"/>
          <w:sz w:val="24"/>
          <w:szCs w:val="24"/>
        </w:rPr>
        <w:fldChar w:fldCharType="end"/>
      </w:r>
    </w:p>
    <w:p w14:paraId="43EA2C93">
      <w:pPr>
        <w:shd w:val="clear" w:color="auto" w:fill="FFFFFF"/>
        <w:topLinePunct/>
        <w:autoSpaceDE/>
        <w:autoSpaceDN/>
        <w:adjustRightInd/>
        <w:jc w:val="both"/>
        <w:rPr>
          <w:rFonts w:eastAsia="宋体"/>
          <w:sz w:val="24"/>
          <w:szCs w:val="24"/>
        </w:rPr>
      </w:pPr>
    </w:p>
    <w:p w14:paraId="09BCE629">
      <w:pPr>
        <w:shd w:val="clear" w:color="auto" w:fill="FFFFFF"/>
        <w:topLinePunct/>
        <w:autoSpaceDE/>
        <w:autoSpaceDN/>
        <w:adjustRightInd/>
        <w:jc w:val="both"/>
        <w:rPr>
          <w:rFonts w:eastAsia="宋体"/>
          <w:sz w:val="24"/>
          <w:szCs w:val="24"/>
        </w:rPr>
      </w:pPr>
    </w:p>
    <w:p w14:paraId="2ED675CF">
      <w:pPr>
        <w:shd w:val="clear" w:color="auto" w:fill="FFFFFF"/>
        <w:topLinePunct/>
        <w:autoSpaceDE/>
        <w:autoSpaceDN/>
        <w:adjustRightInd/>
        <w:jc w:val="both"/>
        <w:rPr>
          <w:rFonts w:eastAsia="宋体"/>
          <w:sz w:val="24"/>
          <w:szCs w:val="24"/>
        </w:rPr>
        <w:sectPr>
          <w:headerReference r:id="rId4" w:type="default"/>
          <w:pgSz w:w="11909" w:h="16834"/>
          <w:pgMar w:top="1134" w:right="1134" w:bottom="1134" w:left="1418" w:header="567" w:footer="567" w:gutter="0"/>
          <w:cols w:space="60" w:num="1"/>
          <w:docGrid w:type="lines" w:linePitch="364" w:charSpace="0"/>
        </w:sectPr>
      </w:pPr>
    </w:p>
    <w:p w14:paraId="7472418A">
      <w:pPr>
        <w:shd w:val="clear" w:color="auto" w:fill="FFFFFF"/>
        <w:topLinePunct/>
        <w:autoSpaceDE/>
        <w:autoSpaceDN/>
        <w:adjustRightInd/>
        <w:jc w:val="center"/>
        <w:rPr>
          <w:rFonts w:eastAsia="宋体"/>
          <w:sz w:val="44"/>
          <w:szCs w:val="44"/>
        </w:rPr>
      </w:pPr>
      <w:r>
        <w:rPr>
          <w:rFonts w:eastAsia="宋体"/>
          <w:b/>
          <w:color w:val="000000"/>
          <w:sz w:val="44"/>
          <w:szCs w:val="44"/>
        </w:rPr>
        <w:t>符合FDA标签要求的医疗产品沟通 — 问答</w:t>
      </w:r>
    </w:p>
    <w:p w14:paraId="5E4945F0">
      <w:pPr>
        <w:shd w:val="clear" w:color="auto" w:fill="FFFFFF"/>
        <w:topLinePunct/>
        <w:autoSpaceDE/>
        <w:autoSpaceDN/>
        <w:adjustRightInd/>
        <w:jc w:val="center"/>
        <w:rPr>
          <w:rFonts w:eastAsia="宋体"/>
          <w:sz w:val="44"/>
          <w:szCs w:val="44"/>
        </w:rPr>
      </w:pPr>
      <w:r>
        <w:rPr>
          <w:rFonts w:eastAsia="宋体"/>
          <w:b/>
          <w:color w:val="000000"/>
          <w:sz w:val="44"/>
          <w:szCs w:val="44"/>
        </w:rPr>
        <w:t>行业指南</w:t>
      </w:r>
      <w:r>
        <w:rPr>
          <w:rStyle w:val="16"/>
          <w:rFonts w:eastAsia="宋体"/>
          <w:b/>
          <w:color w:val="000000"/>
          <w:sz w:val="44"/>
          <w:szCs w:val="44"/>
        </w:rPr>
        <w:footnoteReference w:id="0"/>
      </w:r>
    </w:p>
    <w:p w14:paraId="0E532888">
      <w:pPr>
        <w:rPr>
          <w:sz w:val="32"/>
          <w:szCs w:val="32"/>
        </w:rPr>
      </w:pPr>
    </w:p>
    <w:tbl>
      <w:tblPr>
        <w:tblStyle w:val="12"/>
        <w:tblW w:w="0" w:type="auto"/>
        <w:tblInd w:w="0" w:type="dxa"/>
        <w:tblBorders>
          <w:top w:val="thinThickThinSmallGap" w:color="auto" w:sz="18" w:space="0"/>
          <w:left w:val="thinThickThinSmallGap" w:color="auto" w:sz="18" w:space="0"/>
          <w:bottom w:val="thinThickThinSmallGap" w:color="auto" w:sz="18" w:space="0"/>
          <w:right w:val="thinThickThinSmallGap" w:color="auto" w:sz="18" w:space="0"/>
          <w:insideH w:val="none" w:color="auto" w:sz="0" w:space="0"/>
          <w:insideV w:val="none" w:color="auto" w:sz="0" w:space="0"/>
        </w:tblBorders>
        <w:tblLayout w:type="autofit"/>
        <w:tblCellMar>
          <w:top w:w="0" w:type="dxa"/>
          <w:left w:w="57" w:type="dxa"/>
          <w:bottom w:w="0" w:type="dxa"/>
          <w:right w:w="57" w:type="dxa"/>
        </w:tblCellMar>
      </w:tblPr>
      <w:tblGrid>
        <w:gridCol w:w="9289"/>
      </w:tblGrid>
      <w:tr w14:paraId="595E4924">
        <w:tblPrEx>
          <w:tblBorders>
            <w:top w:val="thinThickThinSmallGap" w:color="auto" w:sz="18" w:space="0"/>
            <w:left w:val="thinThickThinSmallGap" w:color="auto" w:sz="18" w:space="0"/>
            <w:bottom w:val="thinThickThinSmallGap" w:color="auto" w:sz="18" w:space="0"/>
            <w:right w:val="thinThickThinSmallGap" w:color="auto" w:sz="18" w:space="0"/>
            <w:insideH w:val="none" w:color="auto" w:sz="0" w:space="0"/>
            <w:insideV w:val="none" w:color="auto" w:sz="0" w:space="0"/>
          </w:tblBorders>
          <w:tblCellMar>
            <w:top w:w="0" w:type="dxa"/>
            <w:left w:w="57" w:type="dxa"/>
            <w:bottom w:w="0" w:type="dxa"/>
            <w:right w:w="57" w:type="dxa"/>
          </w:tblCellMar>
        </w:tblPrEx>
        <w:trPr>
          <w:trHeight w:val="1904" w:hRule="atLeast"/>
        </w:trPr>
        <w:tc>
          <w:tcPr>
            <w:tcW w:w="9289" w:type="dxa"/>
            <w:vAlign w:val="center"/>
          </w:tcPr>
          <w:p w14:paraId="3C0CFD4D">
            <w:pPr>
              <w:shd w:val="clear" w:color="auto" w:fill="FFFFFF"/>
              <w:topLinePunct/>
              <w:autoSpaceDE/>
              <w:autoSpaceDN/>
              <w:adjustRightInd/>
              <w:ind w:left="56" w:leftChars="28" w:right="90" w:rightChars="45" w:firstLine="480" w:firstLineChars="200"/>
              <w:jc w:val="both"/>
              <w:rPr>
                <w:rFonts w:eastAsia="宋体"/>
                <w:bCs/>
                <w:iCs/>
                <w:sz w:val="24"/>
                <w:szCs w:val="24"/>
              </w:rPr>
            </w:pPr>
            <w:r>
              <w:rPr>
                <w:rFonts w:eastAsia="宋体"/>
                <w:bCs/>
                <w:iCs/>
                <w:color w:val="000000"/>
                <w:sz w:val="24"/>
                <w:szCs w:val="24"/>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07C8F0DF">
      <w:pPr>
        <w:shd w:val="clear" w:color="auto" w:fill="FFFFFF"/>
        <w:topLinePunct/>
        <w:autoSpaceDE/>
        <w:autoSpaceDN/>
        <w:adjustRightInd/>
        <w:ind w:firstLine="480" w:firstLineChars="200"/>
        <w:jc w:val="both"/>
        <w:rPr>
          <w:rFonts w:eastAsia="宋体"/>
          <w:i/>
          <w:iCs/>
          <w:color w:val="000000"/>
          <w:sz w:val="24"/>
          <w:szCs w:val="24"/>
        </w:rPr>
      </w:pPr>
      <w:bookmarkStart w:id="0" w:name="_Toc97377668"/>
    </w:p>
    <w:p w14:paraId="1128BF93">
      <w:pPr>
        <w:pStyle w:val="2"/>
        <w:spacing w:before="0" w:beforeLines="0" w:line="240" w:lineRule="auto"/>
        <w:ind w:left="964" w:hanging="964"/>
        <w:rPr>
          <w:szCs w:val="32"/>
        </w:rPr>
      </w:pPr>
      <w:r>
        <w:rPr>
          <w:szCs w:val="32"/>
        </w:rPr>
        <w:t>I.</w:t>
      </w:r>
      <w:r>
        <w:rPr>
          <w:szCs w:val="32"/>
        </w:rPr>
        <w:tab/>
      </w:r>
      <w:r>
        <w:rPr>
          <w:szCs w:val="32"/>
        </w:rPr>
        <w:t>引言</w:t>
      </w:r>
      <w:bookmarkEnd w:id="0"/>
    </w:p>
    <w:p w14:paraId="634A278B">
      <w:pPr>
        <w:shd w:val="clear" w:color="auto" w:fill="FFFFFF"/>
        <w:topLinePunct/>
        <w:autoSpaceDE/>
        <w:autoSpaceDN/>
        <w:adjustRightInd/>
        <w:ind w:firstLine="480" w:firstLineChars="200"/>
        <w:jc w:val="both"/>
        <w:rPr>
          <w:rFonts w:eastAsia="宋体"/>
          <w:sz w:val="24"/>
          <w:szCs w:val="24"/>
        </w:rPr>
      </w:pPr>
      <w:r>
        <w:rPr>
          <w:rFonts w:hint="eastAsia" w:eastAsia="宋体"/>
          <w:color w:val="000000"/>
          <w:sz w:val="24"/>
          <w:szCs w:val="24"/>
        </w:rPr>
        <w:t>本指南为公司</w:t>
      </w:r>
      <w:r>
        <w:rPr>
          <w:rStyle w:val="16"/>
          <w:rFonts w:eastAsia="宋体"/>
          <w:color w:val="000000"/>
          <w:sz w:val="24"/>
          <w:szCs w:val="24"/>
        </w:rPr>
        <w:footnoteReference w:id="1"/>
      </w:r>
      <w:r>
        <w:rPr>
          <w:rFonts w:hint="eastAsia" w:eastAsia="宋体"/>
          <w:color w:val="000000"/>
          <w:sz w:val="24"/>
          <w:szCs w:val="24"/>
        </w:rPr>
        <w:t>提供了有关FDA如何评价在FDA监管权限</w:t>
      </w:r>
      <w:r>
        <w:rPr>
          <w:rStyle w:val="16"/>
          <w:rFonts w:eastAsia="宋体"/>
          <w:color w:val="000000"/>
          <w:sz w:val="24"/>
          <w:szCs w:val="24"/>
        </w:rPr>
        <w:footnoteReference w:id="2"/>
      </w:r>
      <w:r>
        <w:rPr>
          <w:rFonts w:hint="eastAsia" w:eastAsia="宋体"/>
          <w:color w:val="000000"/>
          <w:sz w:val="24"/>
          <w:szCs w:val="24"/>
        </w:rPr>
        <w:t>范围内的公司医疗产品</w:t>
      </w:r>
      <w:r>
        <w:rPr>
          <w:rStyle w:val="16"/>
          <w:rFonts w:eastAsia="宋体"/>
          <w:color w:val="000000"/>
          <w:sz w:val="24"/>
          <w:szCs w:val="24"/>
        </w:rPr>
        <w:footnoteReference w:id="3"/>
      </w:r>
      <w:r>
        <w:rPr>
          <w:rFonts w:hint="eastAsia" w:eastAsia="宋体"/>
          <w:color w:val="000000"/>
          <w:sz w:val="24"/>
          <w:szCs w:val="24"/>
        </w:rPr>
        <w:t>沟通信息（</w:t>
      </w:r>
      <w:r>
        <w:rPr>
          <w:rFonts w:hint="eastAsia" w:eastAsia="宋体"/>
          <w:i/>
          <w:iCs/>
          <w:color w:val="000000"/>
          <w:sz w:val="24"/>
          <w:szCs w:val="24"/>
        </w:rPr>
        <w:t>产品沟通</w:t>
      </w:r>
      <w:r>
        <w:rPr>
          <w:rFonts w:hint="eastAsia" w:eastAsia="宋体"/>
          <w:color w:val="000000"/>
          <w:sz w:val="24"/>
          <w:szCs w:val="24"/>
        </w:rPr>
        <w:t>）</w:t>
      </w:r>
      <w:r>
        <w:rPr>
          <w:rFonts w:eastAsia="宋体"/>
          <w:color w:val="000000"/>
          <w:sz w:val="24"/>
          <w:szCs w:val="24"/>
        </w:rPr>
        <w:t>，以及未包含在FDA规定的产品标签内，但可能符合FDA规定的产品标签的信息。</w:t>
      </w:r>
      <w:r>
        <w:rPr>
          <w:rStyle w:val="16"/>
          <w:rFonts w:eastAsia="宋体"/>
          <w:color w:val="000000"/>
          <w:sz w:val="24"/>
          <w:szCs w:val="24"/>
        </w:rPr>
        <w:footnoteReference w:id="4"/>
      </w:r>
      <w:r>
        <w:rPr>
          <w:rFonts w:eastAsia="宋体"/>
          <w:color w:val="000000"/>
          <w:sz w:val="24"/>
          <w:szCs w:val="24"/>
        </w:rPr>
        <w:t>就本指南而言，如第III节所详述，符合FDA规定标签的信息仅限于与产品获批或许可</w:t>
      </w:r>
      <w:r>
        <w:rPr>
          <w:rStyle w:val="16"/>
          <w:rFonts w:eastAsia="宋体"/>
          <w:color w:val="000000"/>
          <w:sz w:val="24"/>
          <w:szCs w:val="24"/>
        </w:rPr>
        <w:footnoteReference w:id="5"/>
      </w:r>
      <w:r>
        <w:rPr>
          <w:rFonts w:eastAsia="宋体"/>
          <w:color w:val="000000"/>
          <w:sz w:val="24"/>
          <w:szCs w:val="24"/>
        </w:rPr>
        <w:t>用途相关的信息。</w:t>
      </w:r>
      <w:r>
        <w:rPr>
          <w:rFonts w:eastAsia="宋体"/>
          <w:sz w:val="24"/>
          <w:szCs w:val="24"/>
        </w:rPr>
        <w:t>本指南中使用的术语</w:t>
      </w:r>
      <w:r>
        <w:rPr>
          <w:rFonts w:ascii="宋体" w:hAnsi="宋体" w:eastAsia="宋体"/>
          <w:sz w:val="24"/>
          <w:szCs w:val="24"/>
        </w:rPr>
        <w:t>“</w:t>
      </w:r>
      <w:r>
        <w:rPr>
          <w:rFonts w:eastAsia="宋体"/>
          <w:i/>
          <w:color w:val="000000"/>
          <w:sz w:val="24"/>
          <w:szCs w:val="24"/>
        </w:rPr>
        <w:t>FDA规定的标签</w:t>
      </w:r>
      <w:r>
        <w:rPr>
          <w:rFonts w:ascii="宋体" w:hAnsi="宋体" w:eastAsia="宋体"/>
          <w:sz w:val="24"/>
          <w:szCs w:val="24"/>
        </w:rPr>
        <w:t>”</w:t>
      </w:r>
      <w:r>
        <w:rPr>
          <w:rFonts w:eastAsia="宋体"/>
          <w:sz w:val="24"/>
          <w:szCs w:val="24"/>
        </w:rPr>
        <w:t>包括作为医疗产品上市申请审查过程的一部分，由FDA审查和批准的标签。</w:t>
      </w:r>
      <w:r>
        <w:rPr>
          <w:rStyle w:val="16"/>
          <w:rFonts w:eastAsia="宋体"/>
          <w:sz w:val="24"/>
          <w:szCs w:val="24"/>
        </w:rPr>
        <w:footnoteReference w:id="6"/>
      </w:r>
      <w:r>
        <w:rPr>
          <w:rFonts w:eastAsia="宋体"/>
          <w:sz w:val="24"/>
          <w:szCs w:val="24"/>
        </w:rPr>
        <w:t>对于不受上市前批准约束，但受上市前通知（510(k)）要求约束或豁免于上市前审查的产品，术语</w:t>
      </w:r>
      <w:r>
        <w:rPr>
          <w:rFonts w:ascii="宋体" w:hAnsi="宋体" w:eastAsia="宋体"/>
          <w:sz w:val="24"/>
          <w:szCs w:val="24"/>
        </w:rPr>
        <w:t>“</w:t>
      </w:r>
      <w:r>
        <w:rPr>
          <w:rFonts w:eastAsia="宋体"/>
          <w:i/>
          <w:color w:val="000000"/>
          <w:sz w:val="24"/>
          <w:szCs w:val="24"/>
        </w:rPr>
        <w:t>FDA规定的标签</w:t>
      </w:r>
      <w:r>
        <w:rPr>
          <w:rFonts w:ascii="宋体" w:hAnsi="宋体" w:eastAsia="宋体"/>
          <w:sz w:val="24"/>
          <w:szCs w:val="24"/>
        </w:rPr>
        <w:t>”</w:t>
      </w:r>
      <w:r>
        <w:rPr>
          <w:rFonts w:eastAsia="宋体"/>
          <w:sz w:val="24"/>
          <w:szCs w:val="24"/>
        </w:rPr>
        <w:t>包括提供适当使用说明的标签以及标签上或贴标过程中所需其他信息的标签。</w:t>
      </w:r>
      <w:r>
        <w:rPr>
          <w:rStyle w:val="16"/>
          <w:rFonts w:eastAsia="宋体"/>
          <w:sz w:val="24"/>
          <w:szCs w:val="24"/>
        </w:rPr>
        <w:footnoteReference w:id="7"/>
      </w:r>
    </w:p>
    <w:p w14:paraId="1FAB584B">
      <w:pPr>
        <w:shd w:val="clear" w:color="auto" w:fill="FFFFFF"/>
        <w:topLinePunct/>
        <w:autoSpaceDE/>
        <w:autoSpaceDN/>
        <w:adjustRightInd/>
        <w:ind w:firstLine="480" w:firstLineChars="200"/>
        <w:jc w:val="both"/>
        <w:rPr>
          <w:rFonts w:eastAsia="宋体"/>
          <w:color w:val="000000"/>
          <w:sz w:val="24"/>
          <w:szCs w:val="24"/>
        </w:rPr>
      </w:pPr>
    </w:p>
    <w:p w14:paraId="51E632EC">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FDA提供本指南的目的旨在解决与该主题相关的常见问题。</w:t>
      </w:r>
    </w:p>
    <w:p w14:paraId="2D829FE5">
      <w:pPr>
        <w:ind w:firstLine="480" w:firstLineChars="200"/>
        <w:jc w:val="both"/>
        <w:rPr>
          <w:rFonts w:eastAsia="宋体"/>
          <w:sz w:val="24"/>
          <w:szCs w:val="24"/>
        </w:rPr>
      </w:pPr>
    </w:p>
    <w:p w14:paraId="5A7C36A7">
      <w:pPr>
        <w:ind w:firstLine="480" w:firstLineChars="200"/>
        <w:jc w:val="both"/>
        <w:rPr>
          <w:rFonts w:eastAsia="宋体"/>
          <w:sz w:val="24"/>
          <w:szCs w:val="24"/>
        </w:rPr>
      </w:pPr>
      <w:r>
        <w:rPr>
          <w:rFonts w:eastAsia="宋体"/>
          <w:sz w:val="24"/>
          <w:szCs w:val="24"/>
        </w:rPr>
        <w:t>一般而言，FDA指导性文件不具有法律强制责任。相反，指南表明了该机构目前关于该主题的思考，除非引用具体的法规或法律要求，否则只应视为建议。在本机构指南中使用词语</w:t>
      </w:r>
      <w:r>
        <w:rPr>
          <w:rFonts w:ascii="宋体" w:hAnsi="宋体" w:eastAsia="宋体"/>
          <w:sz w:val="24"/>
          <w:szCs w:val="24"/>
        </w:rPr>
        <w:t>“</w:t>
      </w:r>
      <w:r>
        <w:rPr>
          <w:rFonts w:eastAsia="宋体"/>
          <w:i/>
          <w:iCs/>
          <w:sz w:val="24"/>
          <w:szCs w:val="24"/>
        </w:rPr>
        <w:t>应</w:t>
      </w:r>
      <w:r>
        <w:rPr>
          <w:rFonts w:ascii="宋体" w:hAnsi="宋体" w:eastAsia="宋体"/>
          <w:sz w:val="24"/>
          <w:szCs w:val="24"/>
        </w:rPr>
        <w:t>”</w:t>
      </w:r>
      <w:r>
        <w:rPr>
          <w:rFonts w:eastAsia="宋体"/>
          <w:sz w:val="24"/>
          <w:szCs w:val="24"/>
        </w:rPr>
        <w:t>是指建议或推荐进行某一事项，并非强制要求。</w:t>
      </w:r>
    </w:p>
    <w:p w14:paraId="073CEBF0">
      <w:pPr>
        <w:jc w:val="both"/>
        <w:rPr>
          <w:rFonts w:eastAsia="宋体"/>
          <w:sz w:val="24"/>
          <w:szCs w:val="24"/>
        </w:rPr>
      </w:pPr>
    </w:p>
    <w:p w14:paraId="342462CE">
      <w:pPr>
        <w:pStyle w:val="2"/>
        <w:spacing w:before="0" w:beforeLines="0" w:line="240" w:lineRule="auto"/>
        <w:ind w:left="964" w:hanging="964"/>
        <w:rPr>
          <w:szCs w:val="32"/>
        </w:rPr>
      </w:pPr>
      <w:bookmarkStart w:id="1" w:name="_Toc97377669"/>
      <w:r>
        <w:rPr>
          <w:szCs w:val="32"/>
        </w:rPr>
        <w:t>II.</w:t>
      </w:r>
      <w:r>
        <w:rPr>
          <w:szCs w:val="32"/>
        </w:rPr>
        <w:tab/>
      </w:r>
      <w:r>
        <w:rPr>
          <w:szCs w:val="32"/>
        </w:rPr>
        <w:t>背景</w:t>
      </w:r>
      <w:bookmarkEnd w:id="1"/>
    </w:p>
    <w:p w14:paraId="72EF51FF">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FDA将确定医疗产品在随产品上市申请或提交资料一起提交的拟用标签中规定、推荐或建议的条件下使用是否安全有效（对于器械，也可在分类过程中使用）。</w:t>
      </w:r>
      <w:r>
        <w:rPr>
          <w:rStyle w:val="16"/>
          <w:rFonts w:eastAsia="宋体"/>
          <w:color w:val="000000"/>
          <w:sz w:val="24"/>
          <w:szCs w:val="24"/>
        </w:rPr>
        <w:footnoteReference w:id="8"/>
      </w:r>
      <w:r>
        <w:rPr>
          <w:rFonts w:eastAsia="宋体"/>
          <w:color w:val="000000"/>
          <w:sz w:val="24"/>
          <w:szCs w:val="24"/>
        </w:rPr>
        <w:t>在作出此类决定时，FDA将评价拟用标签中的使用条件是否得到所需安全性和有效性证据水平和类型的支持，以及在此类特定使用条件下使用该产品的受益是否超过其风险。FDA批准或许可医疗产品后，FDA规定的标签应载明经证明产品符合相关上市标准的使用条件。该标签还提供了如何在此类条件下安全有效地使用该产品的相关说明和信息。</w:t>
      </w:r>
    </w:p>
    <w:p w14:paraId="4733FE33">
      <w:pPr>
        <w:shd w:val="clear" w:color="auto" w:fill="FFFFFF"/>
        <w:topLinePunct/>
        <w:autoSpaceDE/>
        <w:autoSpaceDN/>
        <w:adjustRightInd/>
        <w:ind w:firstLine="480" w:firstLineChars="200"/>
        <w:jc w:val="both"/>
        <w:rPr>
          <w:rFonts w:eastAsia="宋体"/>
          <w:sz w:val="24"/>
          <w:szCs w:val="24"/>
        </w:rPr>
      </w:pPr>
    </w:p>
    <w:p w14:paraId="6229A9AF">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FDA规定的标签是传达安全有效地使用该产品所需基本信息的主要工具，且公司有义务根据需要更新其FDA规定的标签，以确保该标签不是虚假标签或不具有误导性。</w:t>
      </w:r>
      <w:r>
        <w:rPr>
          <w:rStyle w:val="16"/>
          <w:rFonts w:eastAsia="宋体"/>
          <w:sz w:val="24"/>
          <w:szCs w:val="24"/>
        </w:rPr>
        <w:footnoteReference w:id="9"/>
      </w:r>
      <w:r>
        <w:rPr>
          <w:rFonts w:eastAsia="宋体"/>
          <w:sz w:val="24"/>
          <w:szCs w:val="24"/>
        </w:rPr>
        <w:t>FDA规定的标签受内容要求和限制因素的约束，以便确保其有效地传达信息。标签并非旨在详尽说明产品用于获批或许可用途的所有已知信息。</w:t>
      </w:r>
    </w:p>
    <w:p w14:paraId="0294E7CC">
      <w:pPr>
        <w:shd w:val="clear" w:color="auto" w:fill="FFFFFF"/>
        <w:topLinePunct/>
        <w:autoSpaceDE/>
        <w:autoSpaceDN/>
        <w:adjustRightInd/>
        <w:ind w:left="480" w:hanging="480" w:hangingChars="200"/>
        <w:jc w:val="both"/>
        <w:rPr>
          <w:rFonts w:eastAsia="宋体"/>
          <w:sz w:val="24"/>
          <w:szCs w:val="24"/>
        </w:rPr>
      </w:pPr>
    </w:p>
    <w:p w14:paraId="258D2FB0">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医疗产品公司已告知FDA，他们有兴趣进行沟通，包括就他们产品的获批/许可用途的推广资料、数据和信息等进行沟通，且其产品的FDA规定标签中未包含此类数据和信息。</w:t>
      </w:r>
      <w:r>
        <w:rPr>
          <w:rFonts w:eastAsia="宋体"/>
          <w:color w:val="000000"/>
          <w:sz w:val="24"/>
          <w:szCs w:val="24"/>
        </w:rPr>
        <w:t>FDA也意识到，公司对FDA如何确定包含数据以及未包含在FDA规定标签中的信息相关的产品沟通是否与此类标签相符存在疑虑。</w:t>
      </w:r>
    </w:p>
    <w:p w14:paraId="36723CB3">
      <w:pPr>
        <w:shd w:val="clear" w:color="auto" w:fill="FFFFFF"/>
        <w:topLinePunct/>
        <w:autoSpaceDE/>
        <w:autoSpaceDN/>
        <w:adjustRightInd/>
        <w:ind w:firstLine="480" w:firstLineChars="200"/>
        <w:jc w:val="both"/>
        <w:rPr>
          <w:rFonts w:eastAsia="宋体"/>
          <w:sz w:val="24"/>
          <w:szCs w:val="24"/>
        </w:rPr>
      </w:pPr>
    </w:p>
    <w:p w14:paraId="346B3DB8">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本指南的目的是阐明FDA在检查公司产品沟通与该产品本身的FDA规定标签是否一致时的看法。</w:t>
      </w:r>
      <w:r>
        <w:rPr>
          <w:rStyle w:val="16"/>
          <w:rFonts w:eastAsia="宋体"/>
          <w:color w:val="000000"/>
          <w:sz w:val="24"/>
          <w:szCs w:val="24"/>
        </w:rPr>
        <w:footnoteReference w:id="10"/>
      </w:r>
      <w:r>
        <w:rPr>
          <w:rFonts w:eastAsia="宋体"/>
          <w:color w:val="000000"/>
          <w:sz w:val="24"/>
          <w:szCs w:val="24"/>
        </w:rPr>
        <w:t>如第III节（Q.3/A.3）所述，如果公司产品的FDA规定标签中未包含其沟通信息，但该信息经确定与FDA规定的标签相符，则FDA将不会通过该沟通来确立新的预期用途。</w:t>
      </w:r>
    </w:p>
    <w:p w14:paraId="578F78CA">
      <w:pPr>
        <w:shd w:val="clear" w:color="auto" w:fill="FFFFFF"/>
        <w:topLinePunct/>
        <w:autoSpaceDE/>
        <w:autoSpaceDN/>
        <w:adjustRightInd/>
        <w:ind w:firstLine="480" w:firstLineChars="200"/>
        <w:jc w:val="both"/>
        <w:rPr>
          <w:rFonts w:eastAsia="宋体"/>
          <w:sz w:val="24"/>
          <w:szCs w:val="24"/>
        </w:rPr>
      </w:pPr>
    </w:p>
    <w:p w14:paraId="112B90F7">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如果符合产品的FDA规定标签的产品沟通为虚假沟通或具有误导性，则可能会使公司面临《联邦食品、药品和化妆品法案》（《FD&amp;C法案》）规定的强制措施。因此，本指南也提供了一般（但非全面）的建议，旨在帮助公司遵守《FD&amp;C法案》和FDA实施条例</w:t>
      </w:r>
      <w:r>
        <w:rPr>
          <w:rStyle w:val="16"/>
          <w:rFonts w:eastAsia="宋体"/>
          <w:color w:val="000000"/>
          <w:sz w:val="24"/>
          <w:szCs w:val="24"/>
        </w:rPr>
        <w:footnoteReference w:id="11"/>
      </w:r>
      <w:r>
        <w:rPr>
          <w:rFonts w:eastAsia="宋体"/>
          <w:color w:val="000000"/>
          <w:sz w:val="24"/>
          <w:szCs w:val="24"/>
        </w:rPr>
        <w:t>的要求，以真实和非误导的方式传达符合FDA规定标签的信息，并提供说明此类概念的示例。此类以真实和非误导方式传达信息的一般建议仅适用于符合FDA规定标签的药品和器械标签、处方药以及受限制器械的广告</w:t>
      </w:r>
      <w:r>
        <w:rPr>
          <w:rFonts w:eastAsia="宋体"/>
          <w:sz w:val="24"/>
          <w:szCs w:val="24"/>
        </w:rPr>
        <w:t>（为便于参考，本指南使用术语</w:t>
      </w:r>
      <w:r>
        <w:rPr>
          <w:rFonts w:eastAsia="宋体"/>
          <w:i/>
          <w:sz w:val="24"/>
          <w:szCs w:val="24"/>
        </w:rPr>
        <w:t>CFL推广沟通</w:t>
      </w:r>
      <w:r>
        <w:rPr>
          <w:rFonts w:eastAsia="宋体"/>
          <w:sz w:val="24"/>
          <w:szCs w:val="24"/>
        </w:rPr>
        <w:t>来指代此类沟通）。</w:t>
      </w:r>
      <w:r>
        <w:rPr>
          <w:rFonts w:eastAsia="宋体"/>
          <w:sz w:val="24"/>
          <w:szCs w:val="24"/>
          <w:u w:val="single"/>
        </w:rPr>
        <w:t>不</w:t>
      </w:r>
      <w:r>
        <w:rPr>
          <w:rFonts w:eastAsia="宋体"/>
          <w:color w:val="000000"/>
          <w:sz w:val="24"/>
          <w:szCs w:val="24"/>
        </w:rPr>
        <w:t>符合FDA规定标签的信息沟通则不在此类建议范围内</w:t>
      </w:r>
      <w:r>
        <w:rPr>
          <w:rFonts w:eastAsia="宋体"/>
          <w:sz w:val="24"/>
          <w:szCs w:val="24"/>
        </w:rPr>
        <w:t>。</w:t>
      </w:r>
    </w:p>
    <w:p w14:paraId="3619CE73">
      <w:pPr>
        <w:shd w:val="clear" w:color="auto" w:fill="FFFFFF"/>
        <w:topLinePunct/>
        <w:autoSpaceDE/>
        <w:autoSpaceDN/>
        <w:adjustRightInd/>
        <w:ind w:firstLine="480" w:firstLineChars="200"/>
        <w:jc w:val="both"/>
        <w:rPr>
          <w:rFonts w:eastAsia="宋体"/>
          <w:sz w:val="24"/>
          <w:szCs w:val="24"/>
        </w:rPr>
      </w:pPr>
    </w:p>
    <w:p w14:paraId="4F651465">
      <w:pPr>
        <w:pStyle w:val="2"/>
        <w:spacing w:before="0" w:beforeLines="0" w:line="240" w:lineRule="auto"/>
        <w:ind w:left="964" w:hanging="964"/>
        <w:rPr>
          <w:szCs w:val="32"/>
        </w:rPr>
      </w:pPr>
      <w:bookmarkStart w:id="2" w:name="_Toc97377670"/>
      <w:r>
        <w:rPr>
          <w:szCs w:val="32"/>
        </w:rPr>
        <w:t>III.</w:t>
      </w:r>
      <w:r>
        <w:rPr>
          <w:szCs w:val="32"/>
        </w:rPr>
        <w:tab/>
      </w:r>
      <w:r>
        <w:rPr>
          <w:szCs w:val="32"/>
        </w:rPr>
        <w:t>问答</w:t>
      </w:r>
      <w:bookmarkEnd w:id="2"/>
    </w:p>
    <w:p w14:paraId="034B75C6">
      <w:pPr>
        <w:shd w:val="clear" w:color="auto" w:fill="FFFFFF"/>
        <w:tabs>
          <w:tab w:val="left" w:pos="1080"/>
        </w:tabs>
        <w:topLinePunct/>
        <w:autoSpaceDE/>
        <w:autoSpaceDN/>
        <w:adjustRightInd/>
        <w:ind w:left="964" w:hanging="964" w:hangingChars="400"/>
        <w:jc w:val="both"/>
        <w:rPr>
          <w:rFonts w:eastAsia="宋体"/>
          <w:b/>
          <w:i/>
          <w:color w:val="000000"/>
          <w:sz w:val="24"/>
          <w:szCs w:val="24"/>
        </w:rPr>
      </w:pPr>
    </w:p>
    <w:p w14:paraId="73CC3729">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Q.1.</w:t>
      </w:r>
      <w:r>
        <w:rPr>
          <w:rFonts w:eastAsia="宋体"/>
          <w:b/>
          <w:i/>
          <w:color w:val="000000"/>
          <w:sz w:val="24"/>
          <w:szCs w:val="24"/>
        </w:rPr>
        <w:tab/>
      </w:r>
      <w:r>
        <w:rPr>
          <w:rFonts w:eastAsia="宋体"/>
          <w:b/>
          <w:i/>
          <w:color w:val="000000"/>
          <w:sz w:val="24"/>
          <w:szCs w:val="24"/>
        </w:rPr>
        <w:t>哪些受FDA监管的产品属于本指南范围？</w:t>
      </w:r>
    </w:p>
    <w:p w14:paraId="00F1ECB3">
      <w:pPr>
        <w:shd w:val="clear" w:color="auto" w:fill="FFFFFF"/>
        <w:tabs>
          <w:tab w:val="left" w:pos="1080"/>
        </w:tabs>
        <w:topLinePunct/>
        <w:autoSpaceDE/>
        <w:autoSpaceDN/>
        <w:adjustRightInd/>
        <w:ind w:left="960" w:hanging="960" w:hangingChars="400"/>
        <w:jc w:val="both"/>
        <w:rPr>
          <w:rFonts w:eastAsia="宋体"/>
          <w:sz w:val="24"/>
          <w:szCs w:val="24"/>
        </w:rPr>
      </w:pPr>
    </w:p>
    <w:p w14:paraId="7C6D233E">
      <w:pPr>
        <w:shd w:val="clear" w:color="auto" w:fill="FFFFFF"/>
        <w:tabs>
          <w:tab w:val="left" w:pos="1080"/>
        </w:tabs>
        <w:topLinePunct/>
        <w:autoSpaceDE/>
        <w:autoSpaceDN/>
        <w:adjustRightInd/>
        <w:ind w:left="960" w:hanging="960" w:hangingChars="400"/>
        <w:jc w:val="both"/>
        <w:rPr>
          <w:rFonts w:eastAsia="宋体"/>
          <w:color w:val="000000"/>
          <w:sz w:val="24"/>
          <w:szCs w:val="24"/>
        </w:rPr>
      </w:pPr>
      <w:r>
        <w:rPr>
          <w:rFonts w:eastAsia="宋体"/>
          <w:sz w:val="24"/>
          <w:szCs w:val="24"/>
        </w:rPr>
        <w:t>A.1.</w:t>
      </w:r>
      <w:r>
        <w:rPr>
          <w:rFonts w:eastAsia="宋体"/>
          <w:color w:val="000000"/>
          <w:sz w:val="24"/>
          <w:szCs w:val="24"/>
        </w:rPr>
        <w:tab/>
      </w:r>
      <w:r>
        <w:rPr>
          <w:rFonts w:eastAsia="宋体"/>
          <w:sz w:val="24"/>
          <w:szCs w:val="24"/>
        </w:rPr>
        <w:t>本指南适用于人类药品和器械，包括作为生物制品获得许可的药品和动物药品（统称为</w:t>
      </w:r>
      <w:r>
        <w:rPr>
          <w:rFonts w:eastAsia="宋体"/>
          <w:i/>
          <w:color w:val="000000"/>
          <w:sz w:val="24"/>
          <w:szCs w:val="24"/>
        </w:rPr>
        <w:t>医疗产品</w:t>
      </w:r>
      <w:r>
        <w:rPr>
          <w:rFonts w:eastAsia="宋体"/>
          <w:sz w:val="24"/>
          <w:szCs w:val="24"/>
        </w:rPr>
        <w:t>）。</w:t>
      </w:r>
    </w:p>
    <w:p w14:paraId="01EDEB67">
      <w:pPr>
        <w:shd w:val="clear" w:color="auto" w:fill="FFFFFF"/>
        <w:tabs>
          <w:tab w:val="left" w:pos="1080"/>
        </w:tabs>
        <w:topLinePunct/>
        <w:autoSpaceDE/>
        <w:autoSpaceDN/>
        <w:adjustRightInd/>
        <w:ind w:left="960" w:hanging="960" w:hangingChars="400"/>
        <w:jc w:val="both"/>
        <w:rPr>
          <w:rFonts w:eastAsia="宋体"/>
          <w:sz w:val="24"/>
          <w:szCs w:val="24"/>
        </w:rPr>
      </w:pPr>
    </w:p>
    <w:p w14:paraId="16DE8F31">
      <w:pPr>
        <w:shd w:val="clear" w:color="auto" w:fill="FFFFFF"/>
        <w:topLinePunct/>
        <w:autoSpaceDE/>
        <w:autoSpaceDN/>
        <w:adjustRightInd/>
        <w:ind w:left="1000" w:leftChars="500"/>
        <w:jc w:val="both"/>
        <w:rPr>
          <w:rFonts w:eastAsia="宋体"/>
          <w:color w:val="000000"/>
          <w:sz w:val="24"/>
          <w:szCs w:val="24"/>
        </w:rPr>
      </w:pPr>
      <w:r>
        <w:rPr>
          <w:rFonts w:eastAsia="宋体"/>
          <w:color w:val="000000"/>
          <w:sz w:val="24"/>
          <w:szCs w:val="24"/>
        </w:rPr>
        <w:br w:type="page"/>
      </w:r>
    </w:p>
    <w:p w14:paraId="4A19A217">
      <w:r>
        <w:rPr>
          <w:rFonts w:eastAsia="宋体"/>
          <w:color w:val="000000"/>
          <w:sz w:val="24"/>
          <w:szCs w:val="24"/>
        </w:rPr>
        <w:t>对于510(k)许可器械和510(k)豁免器械，则无需根据Q.2/A.2中讨论的因素单独分析沟通。</w:t>
      </w:r>
      <w:r>
        <w:rPr>
          <w:rFonts w:eastAsia="宋体"/>
          <w:sz w:val="24"/>
          <w:szCs w:val="24"/>
        </w:rPr>
        <w:t>相反，对于510(k)许可器械，公司应根据21 CFR 807.81(a)(3)和FDA指南《</w:t>
      </w:r>
      <w:r>
        <w:fldChar w:fldCharType="begin"/>
      </w:r>
      <w:r>
        <w:instrText xml:space="preserve"> HYPERLINK "https://www.fda.gov/regulatory-information/search-fda-guidance-documents/deciding-when-submit-510k-change-existing-device" \h </w:instrText>
      </w:r>
      <w:r>
        <w:fldChar w:fldCharType="separate"/>
      </w:r>
      <w:r>
        <w:rPr>
          <w:rFonts w:eastAsia="宋体"/>
          <w:color w:val="0000FF"/>
          <w:sz w:val="24"/>
          <w:szCs w:val="24"/>
          <w:u w:val="single" w:color="0000FF"/>
        </w:rPr>
        <w:t>何时为现有器械变更申报510(k)的决定</w:t>
      </w:r>
      <w:r>
        <w:rPr>
          <w:rFonts w:eastAsia="宋体"/>
          <w:color w:val="0000FF"/>
          <w:sz w:val="24"/>
          <w:szCs w:val="24"/>
          <w:u w:val="single" w:color="0000FF"/>
        </w:rPr>
        <w:fldChar w:fldCharType="end"/>
      </w:r>
      <w:r>
        <w:rPr>
          <w:rFonts w:eastAsia="宋体"/>
          <w:sz w:val="24"/>
          <w:szCs w:val="24"/>
        </w:rPr>
        <w:t>》</w:t>
      </w:r>
      <w:r>
        <w:rPr>
          <w:rStyle w:val="16"/>
          <w:rFonts w:eastAsia="宋体"/>
          <w:sz w:val="24"/>
          <w:szCs w:val="24"/>
        </w:rPr>
        <w:footnoteReference w:id="12"/>
      </w:r>
      <w:r>
        <w:rPr>
          <w:rFonts w:eastAsia="宋体"/>
          <w:sz w:val="24"/>
          <w:szCs w:val="24"/>
        </w:rPr>
        <w:t>（《510(k)修改指南》）的规定对此类器械相关的沟通进行分析（无论涉及标签还是其他方面）。</w:t>
      </w:r>
      <w:r>
        <w:rPr>
          <w:rFonts w:eastAsia="宋体"/>
          <w:color w:val="000000"/>
          <w:sz w:val="24"/>
          <w:szCs w:val="24"/>
        </w:rPr>
        <w:t>正如《510(k)修改指南》所述，并非所有变更均需提交新510(k)，制造商可根据需要使用基于风险的评估方法来指导其分析是否可能需提交新510(k)。这种基于风险的评估方法符合本CFL指南中所述的原则。</w:t>
      </w:r>
      <w:r>
        <w:rPr>
          <w:rFonts w:eastAsia="宋体"/>
          <w:sz w:val="24"/>
          <w:szCs w:val="24"/>
        </w:rPr>
        <w:t>对于510(k)豁免器械，公司应根据21 CFR 862.9至892.9节适用于器械的豁免限制因素和分类条例（针对某些器械）对沟通进行分析。FDA认为引发510(k)需求的沟通与FDA规定的标签不相符。</w:t>
      </w:r>
      <w:r>
        <w:rPr>
          <w:rStyle w:val="16"/>
          <w:rFonts w:eastAsia="宋体"/>
          <w:sz w:val="24"/>
          <w:szCs w:val="24"/>
        </w:rPr>
        <w:footnoteReference w:id="13"/>
      </w:r>
      <w:r>
        <w:rPr>
          <w:rFonts w:eastAsia="宋体"/>
          <w:sz w:val="24"/>
          <w:szCs w:val="24"/>
        </w:rPr>
        <w:t>相反，FDA认为不引发510(k)需求的沟通与FDA规定的标签相符，且FDA预期不凭借此类沟通来确立新的或明显修改的预期用途，或区别于合法上市产品的新的或明显修改的预期用途。</w:t>
      </w:r>
      <w:r>
        <w:rPr>
          <w:rStyle w:val="16"/>
          <w:rFonts w:eastAsia="宋体"/>
          <w:sz w:val="24"/>
          <w:szCs w:val="24"/>
        </w:rPr>
        <w:footnoteReference w:id="14"/>
      </w:r>
      <w:r>
        <w:rPr>
          <w:rFonts w:eastAsia="宋体"/>
          <w:color w:val="000000"/>
          <w:sz w:val="24"/>
          <w:szCs w:val="24"/>
        </w:rPr>
        <w:t>尽管如上所述，无需根据Q.2/A.2中的因素对510(k)许可器械和510(k)豁免器械以及豁免器械进行分析，但Q.6/A.6至Q.10/A.10中关于在CFL推广沟通中以真实和非误导方式传达信息的建议和示例可能对此类器械有所帮助。</w:t>
      </w:r>
    </w:p>
    <w:p w14:paraId="5C12323F">
      <w:pPr>
        <w:shd w:val="clear" w:color="auto" w:fill="FFFFFF"/>
        <w:topLinePunct/>
        <w:autoSpaceDE/>
        <w:autoSpaceDN/>
        <w:adjustRightInd/>
        <w:ind w:left="964" w:hanging="964" w:hangingChars="400"/>
        <w:jc w:val="both"/>
        <w:rPr>
          <w:rFonts w:eastAsia="宋体"/>
          <w:b/>
          <w:i/>
          <w:color w:val="000000"/>
          <w:sz w:val="24"/>
          <w:szCs w:val="24"/>
        </w:rPr>
      </w:pPr>
    </w:p>
    <w:p w14:paraId="546C17E2">
      <w:pPr>
        <w:shd w:val="clear" w:color="auto" w:fill="FFFFFF"/>
        <w:topLinePunct/>
        <w:autoSpaceDE/>
        <w:autoSpaceDN/>
        <w:adjustRightInd/>
        <w:ind w:left="964" w:hanging="964" w:hangingChars="400"/>
        <w:jc w:val="both"/>
        <w:rPr>
          <w:rFonts w:eastAsia="宋体"/>
          <w:sz w:val="24"/>
          <w:szCs w:val="24"/>
        </w:rPr>
      </w:pPr>
      <w:r>
        <w:rPr>
          <w:rFonts w:eastAsia="宋体"/>
          <w:b/>
          <w:i/>
          <w:color w:val="000000"/>
          <w:sz w:val="24"/>
          <w:szCs w:val="24"/>
        </w:rPr>
        <w:t>Q.2.</w:t>
      </w:r>
      <w:r>
        <w:rPr>
          <w:rFonts w:eastAsia="宋体"/>
          <w:i/>
          <w:sz w:val="24"/>
          <w:szCs w:val="24"/>
        </w:rPr>
        <w:tab/>
      </w:r>
      <w:r>
        <w:rPr>
          <w:rFonts w:eastAsia="宋体"/>
          <w:b/>
          <w:i/>
          <w:color w:val="000000"/>
          <w:sz w:val="24"/>
          <w:szCs w:val="24"/>
        </w:rPr>
        <w:t>FDA如何确定公司的产品沟通是否符合该产品的FDA规定标签？</w:t>
      </w:r>
    </w:p>
    <w:p w14:paraId="411E7399">
      <w:pPr>
        <w:shd w:val="clear" w:color="auto" w:fill="FFFFFF"/>
        <w:tabs>
          <w:tab w:val="left" w:pos="1080"/>
        </w:tabs>
        <w:topLinePunct/>
        <w:autoSpaceDE/>
        <w:autoSpaceDN/>
        <w:adjustRightInd/>
        <w:ind w:left="960" w:hanging="960" w:hangingChars="400"/>
        <w:jc w:val="both"/>
        <w:rPr>
          <w:rFonts w:eastAsia="宋体"/>
          <w:sz w:val="24"/>
          <w:szCs w:val="24"/>
        </w:rPr>
      </w:pPr>
    </w:p>
    <w:p w14:paraId="51DD1689">
      <w:pPr>
        <w:shd w:val="clear" w:color="auto" w:fill="FFFFFF"/>
        <w:tabs>
          <w:tab w:val="left" w:pos="1080"/>
        </w:tabs>
        <w:topLinePunct/>
        <w:autoSpaceDE/>
        <w:autoSpaceDN/>
        <w:adjustRightInd/>
        <w:ind w:left="960" w:hanging="960" w:hangingChars="400"/>
        <w:jc w:val="both"/>
        <w:rPr>
          <w:rFonts w:eastAsia="宋体"/>
          <w:sz w:val="24"/>
          <w:szCs w:val="24"/>
        </w:rPr>
      </w:pPr>
      <w:r>
        <w:rPr>
          <w:rFonts w:eastAsia="宋体"/>
          <w:sz w:val="24"/>
          <w:szCs w:val="24"/>
        </w:rPr>
        <w:t>A.2.</w:t>
      </w:r>
      <w:r>
        <w:rPr>
          <w:rFonts w:eastAsia="宋体"/>
          <w:color w:val="000000"/>
          <w:sz w:val="24"/>
          <w:szCs w:val="24"/>
        </w:rPr>
        <w:tab/>
      </w:r>
      <w:r>
        <w:rPr>
          <w:rFonts w:eastAsia="宋体"/>
          <w:color w:val="000000"/>
          <w:sz w:val="24"/>
          <w:szCs w:val="24"/>
        </w:rPr>
        <w:t>FDA利用三个因素来确定产品沟通中的陈述或建议是否符合该产品的FDA规定标签。如果产品沟通不能满足此类因素中的任何一个因素，则认为该产品沟通不符合FDA规定的标签。FDA认识到此类因素存在重叠情况，并认为不符合FDA规定标签的产品沟通可能无法满足多个因素。</w:t>
      </w:r>
    </w:p>
    <w:p w14:paraId="24EA05A1">
      <w:pPr>
        <w:ind w:left="480" w:hanging="480" w:hangingChars="200"/>
        <w:jc w:val="both"/>
        <w:rPr>
          <w:rFonts w:eastAsia="宋体"/>
          <w:sz w:val="24"/>
          <w:szCs w:val="24"/>
        </w:rPr>
      </w:pPr>
    </w:p>
    <w:p w14:paraId="40E6B932">
      <w:pPr>
        <w:shd w:val="clear" w:color="auto" w:fill="FFFFFF"/>
        <w:topLinePunct/>
        <w:autoSpaceDE/>
        <w:autoSpaceDN/>
        <w:adjustRightInd/>
        <w:ind w:left="1200" w:leftChars="600"/>
        <w:jc w:val="both"/>
        <w:rPr>
          <w:rFonts w:eastAsia="宋体"/>
          <w:color w:val="000000"/>
          <w:sz w:val="24"/>
          <w:szCs w:val="24"/>
        </w:rPr>
      </w:pPr>
      <w:r>
        <w:rPr>
          <w:rFonts w:eastAsia="宋体"/>
          <w:sz w:val="24"/>
          <w:szCs w:val="24"/>
          <w:u w:val="single"/>
        </w:rPr>
        <w:t>因素1</w:t>
      </w:r>
      <w:r>
        <w:rPr>
          <w:rFonts w:eastAsia="宋体"/>
          <w:sz w:val="24"/>
          <w:szCs w:val="24"/>
        </w:rPr>
        <w:t>：</w:t>
      </w:r>
      <w:r>
        <w:rPr>
          <w:rFonts w:eastAsia="宋体"/>
          <w:color w:val="000000"/>
          <w:sz w:val="24"/>
          <w:szCs w:val="24"/>
        </w:rPr>
        <w:t>如何将产品沟通中的信息与以下项目编号中确定的FDA规定标签中的使用条件进行比较</w:t>
      </w:r>
      <w:r>
        <w:rPr>
          <w:rStyle w:val="16"/>
          <w:rFonts w:eastAsia="宋体"/>
          <w:sz w:val="24"/>
          <w:szCs w:val="24"/>
        </w:rPr>
        <w:footnoteReference w:id="15"/>
      </w:r>
      <w:r>
        <w:rPr>
          <w:rFonts w:eastAsia="宋体"/>
          <w:sz w:val="24"/>
          <w:szCs w:val="24"/>
        </w:rPr>
        <w:t xml:space="preserve">— </w:t>
      </w:r>
      <w:r>
        <w:rPr>
          <w:rFonts w:eastAsia="宋体"/>
          <w:color w:val="000000"/>
          <w:sz w:val="24"/>
          <w:szCs w:val="24"/>
        </w:rPr>
        <w:t>如果以下任何问题的答案均为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，则表明该产品沟通与FDA规定的标签不相符：</w:t>
      </w:r>
    </w:p>
    <w:p w14:paraId="3DD4DE0E">
      <w:pPr>
        <w:shd w:val="clear" w:color="auto" w:fill="FFFFFF"/>
        <w:topLinePunct/>
        <w:autoSpaceDE/>
        <w:autoSpaceDN/>
        <w:adjustRightInd/>
        <w:ind w:left="1200" w:leftChars="600"/>
        <w:jc w:val="both"/>
        <w:rPr>
          <w:rFonts w:eastAsia="宋体"/>
          <w:sz w:val="24"/>
          <w:szCs w:val="24"/>
        </w:rPr>
      </w:pPr>
    </w:p>
    <w:p w14:paraId="6ADE1530">
      <w:pPr>
        <w:numPr>
          <w:ilvl w:val="0"/>
          <w:numId w:val="1"/>
        </w:numPr>
        <w:shd w:val="clear" w:color="auto" w:fill="FFFFFF"/>
        <w:topLinePunct/>
        <w:autoSpaceDE/>
        <w:autoSpaceDN/>
        <w:adjustRightInd/>
        <w:ind w:left="1984" w:leftChars="751" w:hanging="482" w:hangingChars="200"/>
        <w:jc w:val="both"/>
        <w:rPr>
          <w:rFonts w:eastAsia="宋体"/>
          <w:b/>
          <w:sz w:val="24"/>
          <w:szCs w:val="24"/>
        </w:rPr>
      </w:pPr>
      <w:r>
        <w:rPr>
          <w:rFonts w:eastAsia="宋体"/>
          <w:b/>
          <w:sz w:val="24"/>
          <w:szCs w:val="24"/>
        </w:rPr>
        <w:br w:type="page"/>
      </w:r>
    </w:p>
    <w:p w14:paraId="6E5B867B">
      <w:pPr>
        <w:numPr>
          <w:ilvl w:val="0"/>
          <w:numId w:val="1"/>
        </w:numPr>
        <w:shd w:val="clear" w:color="auto" w:fill="FFFFFF"/>
        <w:topLinePunct/>
        <w:autoSpaceDE/>
        <w:autoSpaceDN/>
        <w:adjustRightInd/>
        <w:ind w:left="1984" w:leftChars="751" w:hanging="482" w:hangingChars="200"/>
        <w:jc w:val="both"/>
        <w:rPr>
          <w:rFonts w:eastAsia="宋体"/>
          <w:color w:val="000000"/>
          <w:sz w:val="24"/>
          <w:szCs w:val="24"/>
        </w:rPr>
      </w:pPr>
      <w:r>
        <w:rPr>
          <w:rFonts w:eastAsia="宋体"/>
          <w:b/>
          <w:sz w:val="24"/>
          <w:szCs w:val="24"/>
        </w:rPr>
        <w:t xml:space="preserve">适应症 </w:t>
      </w:r>
      <w:r>
        <w:rPr>
          <w:rFonts w:eastAsia="宋体"/>
          <w:sz w:val="24"/>
          <w:szCs w:val="24"/>
        </w:rPr>
        <w:t xml:space="preserve">– </w:t>
      </w:r>
      <w:r>
        <w:rPr>
          <w:rFonts w:eastAsia="宋体"/>
          <w:color w:val="000000"/>
          <w:sz w:val="24"/>
          <w:szCs w:val="24"/>
        </w:rPr>
        <w:t>沟通中关于产品的陈述/建议是否与不同于该产品的FDA规定标签中所反映的适应症有关？</w:t>
      </w:r>
    </w:p>
    <w:p w14:paraId="2A57867F">
      <w:pPr>
        <w:shd w:val="clear" w:color="auto" w:fill="FFFFFF"/>
        <w:topLinePunct/>
        <w:autoSpaceDE/>
        <w:autoSpaceDN/>
        <w:adjustRightInd/>
        <w:ind w:left="1680"/>
        <w:jc w:val="both"/>
        <w:rPr>
          <w:rFonts w:eastAsia="宋体"/>
          <w:color w:val="000000"/>
          <w:sz w:val="24"/>
          <w:szCs w:val="24"/>
        </w:rPr>
      </w:pPr>
    </w:p>
    <w:p w14:paraId="48431C49">
      <w:pPr>
        <w:numPr>
          <w:ilvl w:val="0"/>
          <w:numId w:val="1"/>
        </w:numPr>
        <w:shd w:val="clear" w:color="auto" w:fill="FFFFFF"/>
        <w:topLinePunct/>
        <w:autoSpaceDE/>
        <w:autoSpaceDN/>
        <w:adjustRightInd/>
        <w:ind w:left="1984" w:leftChars="751" w:hanging="482" w:hangingChars="200"/>
        <w:jc w:val="both"/>
        <w:rPr>
          <w:rFonts w:eastAsia="宋体"/>
          <w:color w:val="000000"/>
          <w:sz w:val="24"/>
          <w:szCs w:val="24"/>
        </w:rPr>
      </w:pPr>
      <w:r>
        <w:rPr>
          <w:rFonts w:eastAsia="宋体"/>
          <w:b/>
          <w:sz w:val="24"/>
          <w:szCs w:val="24"/>
        </w:rPr>
        <w:t xml:space="preserve">患者人群 </w:t>
      </w:r>
      <w:r>
        <w:rPr>
          <w:rFonts w:eastAsia="宋体"/>
          <w:sz w:val="24"/>
          <w:szCs w:val="24"/>
        </w:rPr>
        <w:t xml:space="preserve">– </w:t>
      </w:r>
      <w:r>
        <w:rPr>
          <w:rFonts w:eastAsia="宋体"/>
          <w:color w:val="000000"/>
          <w:sz w:val="24"/>
          <w:szCs w:val="24"/>
        </w:rPr>
        <w:t>FDA规定的标签中是否反映了沟通中陈述或建议的获批患者人群之外的患者人群？</w:t>
      </w:r>
    </w:p>
    <w:p w14:paraId="7ACF6D95">
      <w:pPr>
        <w:shd w:val="clear" w:color="auto" w:fill="FFFFFF"/>
        <w:topLinePunct/>
        <w:autoSpaceDE/>
        <w:autoSpaceDN/>
        <w:adjustRightInd/>
        <w:ind w:left="1502" w:leftChars="751"/>
        <w:jc w:val="both"/>
        <w:rPr>
          <w:rFonts w:eastAsia="宋体"/>
          <w:color w:val="000000"/>
          <w:sz w:val="24"/>
          <w:szCs w:val="24"/>
        </w:rPr>
      </w:pPr>
    </w:p>
    <w:p w14:paraId="51A1033F">
      <w:pPr>
        <w:numPr>
          <w:ilvl w:val="0"/>
          <w:numId w:val="1"/>
        </w:numPr>
        <w:shd w:val="clear" w:color="auto" w:fill="FFFFFF"/>
        <w:topLinePunct/>
        <w:autoSpaceDE/>
        <w:autoSpaceDN/>
        <w:adjustRightInd/>
        <w:ind w:left="1984" w:leftChars="751" w:hanging="482" w:hangingChars="200"/>
        <w:jc w:val="both"/>
        <w:rPr>
          <w:rFonts w:eastAsia="宋体"/>
          <w:color w:val="000000"/>
          <w:sz w:val="24"/>
          <w:szCs w:val="24"/>
        </w:rPr>
      </w:pPr>
      <w:r>
        <w:rPr>
          <w:rFonts w:eastAsia="宋体"/>
          <w:b/>
          <w:sz w:val="24"/>
          <w:szCs w:val="24"/>
        </w:rPr>
        <w:t xml:space="preserve">处理/使用的限制因素和说明 – </w:t>
      </w:r>
      <w:r>
        <w:rPr>
          <w:rFonts w:eastAsia="宋体"/>
          <w:sz w:val="24"/>
          <w:szCs w:val="24"/>
        </w:rPr>
        <w:t>沟通中的</w:t>
      </w:r>
      <w:r>
        <w:rPr>
          <w:rFonts w:hint="eastAsia" w:eastAsia="宋体"/>
          <w:color w:val="000000"/>
          <w:sz w:val="24"/>
          <w:szCs w:val="24"/>
        </w:rPr>
        <w:t>陈述</w:t>
      </w:r>
      <w:r>
        <w:rPr>
          <w:rFonts w:eastAsia="宋体"/>
          <w:sz w:val="24"/>
          <w:szCs w:val="24"/>
        </w:rPr>
        <w:t>/建议是否与FDA规定标签中反映的处理、准备和/或使用该产品的使用限制因素或说明相冲突？</w:t>
      </w:r>
    </w:p>
    <w:p w14:paraId="02ABD6DB">
      <w:pPr>
        <w:shd w:val="clear" w:color="auto" w:fill="FFFFFF"/>
        <w:topLinePunct/>
        <w:autoSpaceDE/>
        <w:autoSpaceDN/>
        <w:adjustRightInd/>
        <w:ind w:left="1502" w:leftChars="751"/>
        <w:jc w:val="both"/>
        <w:rPr>
          <w:rFonts w:eastAsia="宋体"/>
          <w:color w:val="000000"/>
          <w:sz w:val="24"/>
          <w:szCs w:val="24"/>
        </w:rPr>
      </w:pPr>
    </w:p>
    <w:p w14:paraId="290662DA">
      <w:pPr>
        <w:numPr>
          <w:ilvl w:val="0"/>
          <w:numId w:val="1"/>
        </w:numPr>
        <w:shd w:val="clear" w:color="auto" w:fill="FFFFFF"/>
        <w:topLinePunct/>
        <w:autoSpaceDE/>
        <w:autoSpaceDN/>
        <w:adjustRightInd/>
        <w:ind w:left="1984" w:leftChars="751" w:hanging="482" w:hangingChars="200"/>
        <w:jc w:val="both"/>
        <w:rPr>
          <w:rFonts w:eastAsia="宋体"/>
          <w:color w:val="000000"/>
          <w:sz w:val="24"/>
          <w:szCs w:val="24"/>
        </w:rPr>
      </w:pPr>
      <w:r>
        <w:rPr>
          <w:rFonts w:eastAsia="宋体"/>
          <w:b/>
          <w:sz w:val="24"/>
          <w:szCs w:val="24"/>
        </w:rPr>
        <w:t xml:space="preserve">剂量或使用方案/给药方式 </w:t>
      </w:r>
      <w:r>
        <w:rPr>
          <w:rFonts w:eastAsia="宋体"/>
          <w:sz w:val="24"/>
          <w:szCs w:val="24"/>
        </w:rPr>
        <w:t xml:space="preserve">– </w:t>
      </w:r>
      <w:r>
        <w:rPr>
          <w:rFonts w:eastAsia="宋体"/>
          <w:color w:val="000000"/>
          <w:sz w:val="24"/>
          <w:szCs w:val="24"/>
        </w:rPr>
        <w:t>关于产品的陈述/建议是否与FDA规定标签中规定的推荐剂量或使用方案、给药途径或规格（如适用）相冲突？</w:t>
      </w:r>
    </w:p>
    <w:p w14:paraId="155E4E6D">
      <w:pPr>
        <w:shd w:val="clear" w:color="auto" w:fill="FFFFFF"/>
        <w:topLinePunct/>
        <w:autoSpaceDE/>
        <w:autoSpaceDN/>
        <w:adjustRightInd/>
        <w:ind w:left="1680"/>
        <w:jc w:val="both"/>
        <w:rPr>
          <w:rFonts w:eastAsia="宋体"/>
          <w:color w:val="000000"/>
          <w:sz w:val="24"/>
          <w:szCs w:val="24"/>
        </w:rPr>
      </w:pPr>
    </w:p>
    <w:p w14:paraId="787C020A">
      <w:pPr>
        <w:shd w:val="clear" w:color="auto" w:fill="FFFFFF"/>
        <w:topLinePunct/>
        <w:autoSpaceDE/>
        <w:autoSpaceDN/>
        <w:adjustRightInd/>
        <w:ind w:left="1200" w:leftChars="600"/>
        <w:jc w:val="both"/>
        <w:rPr>
          <w:rFonts w:eastAsia="宋体"/>
          <w:sz w:val="24"/>
          <w:szCs w:val="24"/>
        </w:rPr>
      </w:pPr>
      <w:r>
        <w:rPr>
          <w:rFonts w:eastAsia="宋体"/>
          <w:sz w:val="24"/>
          <w:szCs w:val="24"/>
          <w:u w:val="single"/>
        </w:rPr>
        <w:t>因素2</w:t>
      </w:r>
      <w:r>
        <w:rPr>
          <w:rFonts w:eastAsia="宋体"/>
          <w:sz w:val="24"/>
          <w:szCs w:val="24"/>
        </w:rPr>
        <w:t>：</w:t>
      </w:r>
      <w:r>
        <w:rPr>
          <w:rFonts w:eastAsia="宋体"/>
          <w:color w:val="000000"/>
          <w:sz w:val="24"/>
          <w:szCs w:val="24"/>
        </w:rPr>
        <w:t>相对于FDA规定标签中所反映的信息，产品沟通中关于产品使用的陈述/建议是否会加大对健康的潜在伤害？</w:t>
      </w:r>
      <w:r>
        <w:rPr>
          <w:rStyle w:val="16"/>
          <w:rFonts w:eastAsia="宋体"/>
          <w:color w:val="000000"/>
          <w:sz w:val="24"/>
          <w:szCs w:val="24"/>
        </w:rPr>
        <w:footnoteReference w:id="16"/>
      </w:r>
      <w:r>
        <w:rPr>
          <w:rFonts w:eastAsia="宋体"/>
          <w:sz w:val="24"/>
          <w:szCs w:val="24"/>
        </w:rPr>
        <w:t xml:space="preserve"> —</w:t>
      </w:r>
    </w:p>
    <w:p w14:paraId="3A5C417D">
      <w:pPr>
        <w:shd w:val="clear" w:color="auto" w:fill="FFFFFF"/>
        <w:topLinePunct/>
        <w:autoSpaceDE/>
        <w:autoSpaceDN/>
        <w:adjustRightInd/>
        <w:ind w:left="1200" w:leftChars="600"/>
        <w:jc w:val="both"/>
        <w:rPr>
          <w:rFonts w:eastAsia="宋体"/>
          <w:color w:val="000000"/>
          <w:sz w:val="24"/>
          <w:szCs w:val="24"/>
        </w:rPr>
      </w:pPr>
    </w:p>
    <w:p w14:paraId="77CBFC27">
      <w:pPr>
        <w:shd w:val="clear" w:color="auto" w:fill="FFFFFF"/>
        <w:topLinePunct/>
        <w:autoSpaceDE/>
        <w:autoSpaceDN/>
        <w:adjustRightInd/>
        <w:ind w:left="1200" w:leftChars="600" w:firstLine="480" w:firstLineChars="200"/>
        <w:jc w:val="both"/>
        <w:rPr>
          <w:rFonts w:eastAsia="宋体"/>
          <w:color w:val="000000"/>
          <w:sz w:val="24"/>
          <w:szCs w:val="24"/>
        </w:rPr>
      </w:pPr>
      <w:r>
        <w:rPr>
          <w:rFonts w:eastAsia="宋体"/>
          <w:color w:val="000000"/>
          <w:sz w:val="24"/>
          <w:szCs w:val="24"/>
        </w:rPr>
        <w:t>在审查医疗产品的上市申请时，FDA会权衡在产品标签中所规定、推荐或建议的使用条件下医疗产品的受益和风险，并确定在此类使用条件下使用该产品的受益是否超过了该产品潜在或可能存在的风险。在某些情况下，在确定产品是否符合相关上市标准时，FDA也可能会考虑其他风险和潜在伤害。例如，FDA可能会评估滥用或误用某些产品所带来的风险、某些动物药品的使用对人类健康的潜在伤害，或二次接触某些医疗产品对健康的潜在伤害。如果根据产品沟通中的陈述/建议使用该产品，相对于FDA规定标签中所反映的信息，会增加其对健康的潜在伤害，这表明该沟通与FDA规定的标签不相符。例如，</w:t>
      </w:r>
      <w:r>
        <w:rPr>
          <w:rFonts w:eastAsia="宋体"/>
          <w:color w:val="000000"/>
          <w:sz w:val="24"/>
          <w:szCs w:val="24"/>
        </w:rPr>
        <w:br w:type="page"/>
      </w:r>
    </w:p>
    <w:p w14:paraId="43E3CE46">
      <w:pPr>
        <w:shd w:val="clear" w:color="auto" w:fill="FFFFFF"/>
        <w:topLinePunct/>
        <w:autoSpaceDE/>
        <w:autoSpaceDN/>
        <w:adjustRightInd/>
        <w:ind w:left="1200" w:leftChars="600"/>
        <w:jc w:val="both"/>
        <w:rPr>
          <w:rFonts w:eastAsia="宋体"/>
          <w:sz w:val="24"/>
          <w:szCs w:val="24"/>
        </w:rPr>
      </w:pPr>
      <w:r>
        <w:rPr>
          <w:rFonts w:eastAsia="宋体"/>
          <w:color w:val="000000"/>
          <w:sz w:val="24"/>
          <w:szCs w:val="24"/>
        </w:rPr>
        <w:t>如果关于产品使用的陈述或建议合理预计会带来FDA规定标签中未包含的新风险，或大幅增加FDA规定标签中包含的现有风险</w:t>
      </w:r>
      <w:r>
        <w:rPr>
          <w:rStyle w:val="16"/>
          <w:rFonts w:eastAsia="宋体"/>
          <w:color w:val="000000"/>
          <w:sz w:val="24"/>
          <w:szCs w:val="24"/>
        </w:rPr>
        <w:footnoteReference w:id="17"/>
      </w:r>
      <w:r>
        <w:rPr>
          <w:rFonts w:eastAsia="宋体"/>
          <w:color w:val="000000"/>
          <w:sz w:val="24"/>
          <w:szCs w:val="24"/>
        </w:rPr>
        <w:t>的发生率或严重度，则该沟通与FDA规定的标签不相符。</w:t>
      </w:r>
    </w:p>
    <w:p w14:paraId="17888C16">
      <w:pPr>
        <w:shd w:val="clear" w:color="auto" w:fill="FFFFFF"/>
        <w:topLinePunct/>
        <w:autoSpaceDE/>
        <w:autoSpaceDN/>
        <w:adjustRightInd/>
        <w:ind w:left="480" w:hanging="480" w:hangingChars="200"/>
        <w:jc w:val="both"/>
        <w:rPr>
          <w:rFonts w:eastAsia="宋体"/>
          <w:sz w:val="24"/>
          <w:szCs w:val="24"/>
        </w:rPr>
      </w:pPr>
    </w:p>
    <w:p w14:paraId="176F7886">
      <w:pPr>
        <w:shd w:val="clear" w:color="auto" w:fill="FFFFFF"/>
        <w:topLinePunct/>
        <w:autoSpaceDE/>
        <w:autoSpaceDN/>
        <w:adjustRightInd/>
        <w:ind w:left="1200" w:leftChars="600"/>
        <w:jc w:val="both"/>
        <w:rPr>
          <w:rFonts w:eastAsia="宋体"/>
          <w:sz w:val="24"/>
          <w:szCs w:val="24"/>
        </w:rPr>
      </w:pPr>
      <w:r>
        <w:rPr>
          <w:rFonts w:eastAsia="宋体"/>
          <w:sz w:val="24"/>
          <w:szCs w:val="24"/>
          <w:u w:val="single"/>
        </w:rPr>
        <w:t>因素3</w:t>
      </w:r>
      <w:r>
        <w:rPr>
          <w:rFonts w:eastAsia="宋体"/>
          <w:sz w:val="24"/>
          <w:szCs w:val="24"/>
        </w:rPr>
        <w:t>：</w:t>
      </w:r>
      <w:r>
        <w:rPr>
          <w:rFonts w:eastAsia="宋体"/>
          <w:color w:val="000000"/>
          <w:sz w:val="24"/>
          <w:szCs w:val="24"/>
        </w:rPr>
        <w:t>FDA规定标签中的使用说明是否能够在产品沟通中陈述/建议的条件下安全有效地使用该产品？</w:t>
      </w:r>
      <w:r>
        <w:rPr>
          <w:rFonts w:eastAsia="宋体"/>
          <w:sz w:val="24"/>
          <w:szCs w:val="24"/>
        </w:rPr>
        <w:t xml:space="preserve"> —</w:t>
      </w:r>
    </w:p>
    <w:p w14:paraId="0E38CB2A">
      <w:pPr>
        <w:shd w:val="clear" w:color="auto" w:fill="FFFFFF"/>
        <w:topLinePunct/>
        <w:autoSpaceDE/>
        <w:autoSpaceDN/>
        <w:adjustRightInd/>
        <w:ind w:left="1200" w:leftChars="600"/>
        <w:jc w:val="both"/>
        <w:rPr>
          <w:rFonts w:eastAsia="宋体"/>
          <w:color w:val="000000"/>
          <w:sz w:val="24"/>
          <w:szCs w:val="24"/>
        </w:rPr>
      </w:pPr>
    </w:p>
    <w:p w14:paraId="7072B6BE">
      <w:pPr>
        <w:shd w:val="clear" w:color="auto" w:fill="FFFFFF"/>
        <w:topLinePunct/>
        <w:autoSpaceDE/>
        <w:autoSpaceDN/>
        <w:adjustRightInd/>
        <w:ind w:left="1200" w:leftChars="600" w:firstLine="480" w:firstLineChars="200"/>
        <w:jc w:val="both"/>
        <w:rPr>
          <w:rFonts w:eastAsia="宋体"/>
          <w:color w:val="000000"/>
          <w:sz w:val="24"/>
          <w:szCs w:val="24"/>
        </w:rPr>
      </w:pPr>
      <w:r>
        <w:rPr>
          <w:rFonts w:eastAsia="宋体"/>
          <w:color w:val="000000"/>
          <w:sz w:val="24"/>
          <w:szCs w:val="24"/>
        </w:rPr>
        <w:t>例如，在考虑该问题时，公司应确定FDA规定的标签是否提供了充分的风险信息（即关于潜在或预期风险的信息）和产品沟通中陈述的使用该产品所带来的影响。同样，公司应根据沟通中的建议，检查与产品使用相关的任何特别注意事项，并评估FDA规定的标签是否提供了适当的背景。</w:t>
      </w:r>
    </w:p>
    <w:p w14:paraId="63C53240">
      <w:pPr>
        <w:shd w:val="clear" w:color="auto" w:fill="FFFFFF"/>
        <w:topLinePunct/>
        <w:autoSpaceDE/>
        <w:autoSpaceDN/>
        <w:adjustRightInd/>
        <w:ind w:left="1200" w:leftChars="600" w:firstLine="480" w:firstLineChars="200"/>
        <w:jc w:val="both"/>
        <w:rPr>
          <w:rFonts w:eastAsia="宋体"/>
          <w:color w:val="000000"/>
          <w:sz w:val="24"/>
          <w:szCs w:val="24"/>
        </w:rPr>
      </w:pPr>
    </w:p>
    <w:p w14:paraId="3C89B983">
      <w:pPr>
        <w:shd w:val="clear" w:color="auto" w:fill="FFFFFF"/>
        <w:topLinePunct/>
        <w:autoSpaceDE/>
        <w:autoSpaceDN/>
        <w:adjustRightInd/>
        <w:ind w:left="1200" w:leftChars="600" w:firstLine="480" w:firstLineChars="200"/>
        <w:jc w:val="both"/>
        <w:rPr>
          <w:rFonts w:eastAsia="宋体"/>
          <w:color w:val="000000"/>
          <w:sz w:val="24"/>
          <w:szCs w:val="24"/>
        </w:rPr>
      </w:pPr>
      <w:r>
        <w:rPr>
          <w:rFonts w:eastAsia="宋体"/>
          <w:color w:val="000000"/>
          <w:sz w:val="24"/>
          <w:szCs w:val="24"/>
        </w:rPr>
        <w:t>如果此问题的答案为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，则表明该产品沟通与FDA规定的标签不相符。</w:t>
      </w:r>
    </w:p>
    <w:p w14:paraId="2934885E">
      <w:pPr>
        <w:shd w:val="clear" w:color="auto" w:fill="FFFFFF"/>
        <w:topLinePunct/>
        <w:autoSpaceDE/>
        <w:autoSpaceDN/>
        <w:adjustRightInd/>
        <w:ind w:left="400" w:leftChars="200"/>
        <w:jc w:val="both"/>
        <w:rPr>
          <w:rFonts w:eastAsia="宋体"/>
          <w:sz w:val="24"/>
          <w:szCs w:val="24"/>
        </w:rPr>
      </w:pPr>
    </w:p>
    <w:p w14:paraId="0A9EA15F">
      <w:pPr>
        <w:shd w:val="clear" w:color="auto" w:fill="FFFFFF"/>
        <w:topLinePunct/>
        <w:autoSpaceDE/>
        <w:autoSpaceDN/>
        <w:adjustRightInd/>
        <w:ind w:left="992" w:leftChars="496" w:firstLine="480" w:firstLineChars="200"/>
        <w:jc w:val="both"/>
        <w:rPr>
          <w:rFonts w:eastAsia="宋体"/>
          <w:b/>
          <w:color w:val="000000"/>
          <w:sz w:val="24"/>
          <w:szCs w:val="24"/>
        </w:rPr>
      </w:pPr>
      <w:r>
        <w:rPr>
          <w:rFonts w:eastAsia="宋体"/>
          <w:color w:val="000000"/>
          <w:sz w:val="24"/>
          <w:szCs w:val="24"/>
        </w:rPr>
        <w:t>鉴于这三个因素可能存在重叠情况，因此，FDA认识到满足因素1的产品沟通在如何无法满足因素2和/或因素3方面存在问题。一般而言，因素1主要涉及FDA规定标签中所述的使用条件信息和公司沟通中相互冲突的情况。然而，虽然FDA规定的标签提供了关于获批使用条件的基本信息，其目的并非详尽阐述公司在其沟通中提出一切可能出现的情况 – 不考虑或者赞同一切可能出现的情况 – 且某些情况可能对产品的安全有效使用产生负面影响。因此，简单分析沟通中的信息与FDA规定的标签之间是否存在冲突并非始终足以确定沟通是否符合FDA规定的标签。如果公司沟通建议其产品的使用方式与FDA规定的标签并无冲突，但相对于FDA规定标签中所反映的信息而言，却增加了对健康的潜在伤害，则该沟通与FDA规定的标签不相符（因素2）。同样，如果公司沟通建议以不与FDA规定标签中的信息产生冲突的方式使用产品，但FDA规定的标签无法提供确保产品安全有效地用于沟通所述条件的充分信息，则该沟通与FDA规定的标签不相符（因素3）。</w:t>
      </w:r>
    </w:p>
    <w:p w14:paraId="07772539">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00DBA500">
      <w:pPr>
        <w:shd w:val="clear" w:color="auto" w:fill="FFFFFF"/>
        <w:topLinePunct/>
        <w:autoSpaceDE/>
        <w:autoSpaceDN/>
        <w:adjustRightInd/>
        <w:ind w:left="992" w:leftChars="496" w:firstLine="480" w:firstLineChars="200"/>
        <w:jc w:val="both"/>
        <w:rPr>
          <w:rFonts w:eastAsia="宋体"/>
          <w:color w:val="000000"/>
          <w:sz w:val="24"/>
          <w:szCs w:val="24"/>
        </w:rPr>
      </w:pPr>
      <w:r>
        <w:rPr>
          <w:rFonts w:eastAsia="宋体"/>
          <w:color w:val="000000"/>
          <w:sz w:val="24"/>
          <w:szCs w:val="24"/>
        </w:rPr>
        <w:t>以下示例进一步阐述了如何应用因素2和因素3：</w:t>
      </w:r>
    </w:p>
    <w:p w14:paraId="5F6041F5">
      <w:pPr>
        <w:shd w:val="clear" w:color="auto" w:fill="FFFFFF"/>
        <w:topLinePunct/>
        <w:autoSpaceDE/>
        <w:autoSpaceDN/>
        <w:adjustRightInd/>
        <w:jc w:val="both"/>
        <w:rPr>
          <w:rFonts w:eastAsia="宋体"/>
          <w:sz w:val="24"/>
          <w:szCs w:val="24"/>
        </w:rPr>
      </w:pPr>
    </w:p>
    <w:p w14:paraId="05559855">
      <w:pPr>
        <w:pStyle w:val="21"/>
        <w:numPr>
          <w:ilvl w:val="0"/>
          <w:numId w:val="2"/>
        </w:numPr>
        <w:shd w:val="clear" w:color="auto" w:fill="FFFFFF"/>
        <w:tabs>
          <w:tab w:val="left" w:pos="1560"/>
        </w:tabs>
        <w:topLinePunct/>
        <w:autoSpaceDE/>
        <w:autoSpaceDN/>
        <w:adjustRightInd/>
        <w:ind w:left="1560" w:hanging="567" w:firstLineChars="0"/>
        <w:jc w:val="both"/>
        <w:rPr>
          <w:rFonts w:eastAsia="宋体"/>
          <w:sz w:val="24"/>
          <w:szCs w:val="24"/>
        </w:rPr>
      </w:pPr>
      <w:r>
        <w:rPr>
          <w:rFonts w:eastAsia="宋体"/>
          <w:b/>
          <w:i/>
          <w:sz w:val="24"/>
          <w:szCs w:val="24"/>
        </w:rPr>
        <w:t>示例1：</w:t>
      </w:r>
      <w:r>
        <w:rPr>
          <w:rFonts w:eastAsia="宋体"/>
          <w:color w:val="000000"/>
          <w:sz w:val="24"/>
          <w:szCs w:val="24"/>
        </w:rPr>
        <w:t>A药和B药均适用于治疗犬类骨关节炎。A药的FDA规定标签显示，当停止使用A药治疗时，在换用另一种药品前应有一个洗脱期，原因是如果犬类在未经洗脱期的情况下换用药品，药物相互作用引起的不良反应的风险会增加。B药的FDA规定标签未涉及从A药到B药的换用。公司关于B药的产品沟通表明犬类可立即接受A药到B药的换用。</w:t>
      </w:r>
    </w:p>
    <w:p w14:paraId="4B54CFAA">
      <w:pPr>
        <w:shd w:val="clear" w:color="auto" w:fill="FFFFFF"/>
        <w:topLinePunct/>
        <w:autoSpaceDE/>
        <w:autoSpaceDN/>
        <w:adjustRightInd/>
        <w:ind w:left="400" w:leftChars="200"/>
        <w:jc w:val="both"/>
        <w:rPr>
          <w:rFonts w:eastAsia="宋体"/>
          <w:color w:val="000000"/>
          <w:sz w:val="24"/>
          <w:szCs w:val="24"/>
        </w:rPr>
      </w:pPr>
    </w:p>
    <w:p w14:paraId="3FC1A6F6">
      <w:pPr>
        <w:shd w:val="clear" w:color="auto" w:fill="FFFFFF"/>
        <w:topLinePunct/>
        <w:autoSpaceDE/>
        <w:autoSpaceDN/>
        <w:adjustRightInd/>
        <w:ind w:left="1560" w:leftChars="780" w:firstLine="480" w:firstLineChars="200"/>
        <w:jc w:val="both"/>
        <w:rPr>
          <w:rFonts w:eastAsia="宋体"/>
          <w:color w:val="000000"/>
          <w:sz w:val="24"/>
          <w:szCs w:val="24"/>
        </w:rPr>
      </w:pPr>
      <w:r>
        <w:rPr>
          <w:rFonts w:eastAsia="宋体"/>
          <w:color w:val="000000"/>
          <w:sz w:val="24"/>
          <w:szCs w:val="24"/>
        </w:rPr>
        <w:t>FDA规定的B药标签中未明确说明犬类使用（由A药换用为B药）的信息，因此该沟通不符合因素1。然而，沟通中的信息相对于FDA规定的B药标签的信息而言，增加了对健康的潜在伤害，且FDA规定的B药标签未描述犬类（突然将A药换为B药）使用B药相关的其他风险，因此该沟通不符合因素2。</w:t>
      </w:r>
    </w:p>
    <w:p w14:paraId="0FAF7FEE">
      <w:pPr>
        <w:shd w:val="clear" w:color="auto" w:fill="FFFFFF"/>
        <w:topLinePunct/>
        <w:autoSpaceDE/>
        <w:autoSpaceDN/>
        <w:adjustRightInd/>
        <w:ind w:left="400" w:leftChars="200" w:firstLine="480" w:firstLineChars="200"/>
        <w:jc w:val="both"/>
        <w:rPr>
          <w:rFonts w:eastAsia="宋体"/>
          <w:sz w:val="24"/>
          <w:szCs w:val="24"/>
        </w:rPr>
      </w:pPr>
    </w:p>
    <w:p w14:paraId="032EFEA4">
      <w:pPr>
        <w:shd w:val="clear" w:color="auto" w:fill="FFFFFF"/>
        <w:topLinePunct/>
        <w:autoSpaceDE/>
        <w:autoSpaceDN/>
        <w:adjustRightInd/>
        <w:ind w:left="1560" w:leftChars="780" w:firstLine="480" w:firstLineChars="200"/>
        <w:jc w:val="both"/>
        <w:rPr>
          <w:rFonts w:eastAsia="宋体"/>
          <w:sz w:val="24"/>
          <w:szCs w:val="24"/>
        </w:rPr>
      </w:pPr>
      <w:r>
        <w:rPr>
          <w:rFonts w:eastAsia="宋体"/>
          <w:color w:val="000000"/>
          <w:sz w:val="24"/>
          <w:szCs w:val="24"/>
        </w:rPr>
        <w:t>FDA规定的B药标签无法提供沟通中所述条件下使用B药的充分说明（例如，从A药突然换为B药带来的相关危险），因此该沟通也不符合因素3。</w:t>
      </w:r>
    </w:p>
    <w:p w14:paraId="0ACF3C9B">
      <w:pPr>
        <w:pStyle w:val="21"/>
        <w:shd w:val="clear" w:color="auto" w:fill="FFFFFF"/>
        <w:tabs>
          <w:tab w:val="left" w:pos="360"/>
        </w:tabs>
        <w:topLinePunct/>
        <w:autoSpaceDE/>
        <w:autoSpaceDN/>
        <w:adjustRightInd/>
        <w:ind w:left="420" w:firstLine="0" w:firstLineChars="0"/>
        <w:jc w:val="both"/>
        <w:rPr>
          <w:rFonts w:eastAsia="宋体"/>
          <w:sz w:val="24"/>
          <w:szCs w:val="24"/>
        </w:rPr>
      </w:pPr>
    </w:p>
    <w:p w14:paraId="3CEB8543">
      <w:pPr>
        <w:pStyle w:val="21"/>
        <w:numPr>
          <w:ilvl w:val="0"/>
          <w:numId w:val="2"/>
        </w:numPr>
        <w:shd w:val="clear" w:color="auto" w:fill="FFFFFF"/>
        <w:tabs>
          <w:tab w:val="left" w:pos="1560"/>
        </w:tabs>
        <w:topLinePunct/>
        <w:autoSpaceDE/>
        <w:autoSpaceDN/>
        <w:adjustRightInd/>
        <w:ind w:left="1560" w:hanging="567" w:firstLineChars="0"/>
        <w:jc w:val="both"/>
        <w:rPr>
          <w:rFonts w:eastAsia="宋体"/>
          <w:sz w:val="24"/>
          <w:szCs w:val="24"/>
        </w:rPr>
      </w:pPr>
      <w:r>
        <w:rPr>
          <w:rFonts w:eastAsia="宋体"/>
          <w:b/>
          <w:i/>
          <w:color w:val="000000"/>
          <w:sz w:val="24"/>
          <w:szCs w:val="24"/>
        </w:rPr>
        <w:t>示例2：</w:t>
      </w:r>
      <w:r>
        <w:rPr>
          <w:rFonts w:eastAsia="宋体"/>
          <w:sz w:val="24"/>
          <w:szCs w:val="24"/>
        </w:rPr>
        <w:t>FDA批准的药品标签的剂量和给药章节指出，可能需要根据个体安全性和耐受性调整剂量，但未提供</w:t>
      </w:r>
      <w:r>
        <w:rPr>
          <w:rFonts w:eastAsia="宋体"/>
          <w:color w:val="000000"/>
          <w:sz w:val="24"/>
          <w:szCs w:val="24"/>
        </w:rPr>
        <w:t>具体</w:t>
      </w:r>
      <w:r>
        <w:rPr>
          <w:rFonts w:eastAsia="宋体"/>
          <w:sz w:val="24"/>
          <w:szCs w:val="24"/>
        </w:rPr>
        <w:t>的剂量调整说明。</w:t>
      </w:r>
      <w:r>
        <w:rPr>
          <w:rFonts w:eastAsia="宋体"/>
          <w:color w:val="000000"/>
          <w:sz w:val="24"/>
          <w:szCs w:val="24"/>
        </w:rPr>
        <w:t>公司关于该药品的产品沟通表明，具有耐受性问题的患者应按照沟通中规定的具体调整时间表给药；然而，该时间表将致使患者接受低于治疗剂量的药品。</w:t>
      </w:r>
    </w:p>
    <w:p w14:paraId="6099AF70">
      <w:pPr>
        <w:shd w:val="clear" w:color="auto" w:fill="FFFFFF"/>
        <w:topLinePunct/>
        <w:autoSpaceDE/>
        <w:autoSpaceDN/>
        <w:adjustRightInd/>
        <w:ind w:left="400" w:leftChars="200"/>
        <w:jc w:val="both"/>
        <w:rPr>
          <w:rFonts w:eastAsia="宋体"/>
          <w:sz w:val="24"/>
          <w:szCs w:val="24"/>
        </w:rPr>
      </w:pPr>
    </w:p>
    <w:p w14:paraId="32643136">
      <w:pPr>
        <w:shd w:val="clear" w:color="auto" w:fill="FFFFFF"/>
        <w:topLinePunct/>
        <w:autoSpaceDE/>
        <w:autoSpaceDN/>
        <w:adjustRightInd/>
        <w:ind w:left="1560" w:leftChars="780" w:firstLine="480" w:firstLineChars="200"/>
        <w:jc w:val="both"/>
        <w:rPr>
          <w:rFonts w:eastAsia="宋体"/>
          <w:color w:val="000000"/>
          <w:sz w:val="24"/>
          <w:szCs w:val="24"/>
        </w:rPr>
      </w:pPr>
      <w:r>
        <w:rPr>
          <w:rFonts w:eastAsia="宋体"/>
          <w:sz w:val="24"/>
          <w:szCs w:val="24"/>
        </w:rPr>
        <w:t>尽管该沟通与FDA批准标签的剂量和给药章节中一般剂量调整说明不冲突，因此可能不符合因素1，但FDA规定标签无法提供确保产品有效地用于沟通所述剂量条件的充分信息，这会导致患者接受低于治疗剂量的药物。</w:t>
      </w:r>
      <w:r>
        <w:rPr>
          <w:rFonts w:eastAsia="宋体"/>
          <w:color w:val="000000"/>
          <w:sz w:val="24"/>
          <w:szCs w:val="24"/>
        </w:rPr>
        <w:t>因而，该沟通符合因素3。</w:t>
      </w:r>
    </w:p>
    <w:p w14:paraId="48C0B53D">
      <w:pPr>
        <w:widowControl/>
        <w:autoSpaceDE/>
        <w:autoSpaceDN/>
        <w:adjustRightInd/>
        <w:rPr>
          <w:rFonts w:eastAsia="宋体"/>
          <w:color w:val="000000"/>
          <w:sz w:val="24"/>
          <w:szCs w:val="24"/>
        </w:rPr>
      </w:pPr>
      <w:r>
        <w:rPr>
          <w:rFonts w:eastAsia="宋体"/>
          <w:color w:val="000000"/>
          <w:sz w:val="24"/>
          <w:szCs w:val="24"/>
        </w:rPr>
        <w:br w:type="page"/>
      </w:r>
    </w:p>
    <w:p w14:paraId="23F5D016">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Q.3.</w:t>
      </w:r>
      <w:r>
        <w:rPr>
          <w:rFonts w:eastAsia="宋体"/>
          <w:b/>
          <w:i/>
          <w:color w:val="000000"/>
          <w:sz w:val="24"/>
          <w:szCs w:val="24"/>
        </w:rPr>
        <w:tab/>
      </w:r>
      <w:r>
        <w:rPr>
          <w:rFonts w:eastAsia="宋体"/>
          <w:b/>
          <w:i/>
          <w:color w:val="000000"/>
          <w:sz w:val="24"/>
          <w:szCs w:val="24"/>
        </w:rPr>
        <w:t>FDA预期是否依赖符合FDA规定标签的公司产品沟通来确立新的预期用途？</w:t>
      </w:r>
    </w:p>
    <w:p w14:paraId="02EC50CE">
      <w:pPr>
        <w:shd w:val="clear" w:color="auto" w:fill="FFFFFF"/>
        <w:tabs>
          <w:tab w:val="left" w:pos="1080"/>
        </w:tabs>
        <w:topLinePunct/>
        <w:autoSpaceDE/>
        <w:autoSpaceDN/>
        <w:adjustRightInd/>
        <w:ind w:left="960" w:hanging="960" w:hangingChars="400"/>
        <w:jc w:val="both"/>
        <w:rPr>
          <w:rFonts w:eastAsia="宋体"/>
          <w:sz w:val="24"/>
          <w:szCs w:val="24"/>
        </w:rPr>
      </w:pPr>
    </w:p>
    <w:p w14:paraId="283C9730">
      <w:pPr>
        <w:shd w:val="clear" w:color="auto" w:fill="FFFFFF"/>
        <w:tabs>
          <w:tab w:val="left" w:pos="1080"/>
        </w:tabs>
        <w:topLinePunct/>
        <w:autoSpaceDE/>
        <w:autoSpaceDN/>
        <w:adjustRightInd/>
        <w:ind w:left="960" w:hanging="960" w:hangingChars="400"/>
        <w:jc w:val="both"/>
        <w:rPr>
          <w:rFonts w:eastAsia="宋体"/>
          <w:sz w:val="24"/>
          <w:szCs w:val="24"/>
        </w:rPr>
      </w:pPr>
      <w:r>
        <w:rPr>
          <w:rFonts w:eastAsia="宋体"/>
          <w:sz w:val="24"/>
          <w:szCs w:val="24"/>
        </w:rPr>
        <w:t>A.3.</w:t>
      </w:r>
      <w:r>
        <w:rPr>
          <w:rFonts w:eastAsia="宋体"/>
          <w:color w:val="000000"/>
          <w:sz w:val="24"/>
          <w:szCs w:val="24"/>
        </w:rPr>
        <w:tab/>
      </w:r>
      <w:r>
        <w:rPr>
          <w:rFonts w:eastAsia="宋体"/>
          <w:color w:val="000000"/>
          <w:sz w:val="24"/>
          <w:szCs w:val="24"/>
        </w:rPr>
        <w:t>否。如果公司产品沟通与FDA规定的标签相符，FDA预期不会依赖该沟通来确立区别于合法上市产品用途的新预期用途。此外，FDA预期不会将符合FDA规定标签的产品沟通视为公司未能遵守《FD&amp;C法案》要求的证据，该要求规定医疗产品标签上具有充分使用说明（参见《FD&amp;C法案》第502(f)节），此唯一依据是该沟通提供了产品FDA规定标签中未反映的数据和信息。这并不意味着必须将此类沟通完全排除在考虑事项之外。例如，如果有其他证据表明产品具有新的预期用途，则在评估公司行为时，符合FDA规定标签的产品沟通可作为所评价整体材料的一部分。</w:t>
      </w:r>
    </w:p>
    <w:p w14:paraId="3EE49EA4">
      <w:pPr>
        <w:shd w:val="clear" w:color="auto" w:fill="FFFFFF"/>
        <w:topLinePunct/>
        <w:autoSpaceDE/>
        <w:autoSpaceDN/>
        <w:adjustRightInd/>
        <w:ind w:left="1000" w:leftChars="500"/>
        <w:jc w:val="both"/>
        <w:rPr>
          <w:rFonts w:eastAsia="宋体"/>
          <w:color w:val="000000"/>
          <w:sz w:val="24"/>
          <w:szCs w:val="24"/>
        </w:rPr>
      </w:pPr>
    </w:p>
    <w:p w14:paraId="3780D2F2">
      <w:pPr>
        <w:shd w:val="clear" w:color="auto" w:fill="FFFFFF"/>
        <w:topLinePunct/>
        <w:autoSpaceDE/>
        <w:autoSpaceDN/>
        <w:adjustRightInd/>
        <w:ind w:left="1000" w:leftChars="500" w:firstLine="480" w:firstLineChars="200"/>
        <w:jc w:val="both"/>
        <w:rPr>
          <w:rFonts w:eastAsia="宋体"/>
          <w:color w:val="000000"/>
          <w:sz w:val="24"/>
          <w:szCs w:val="24"/>
        </w:rPr>
      </w:pPr>
      <w:r>
        <w:rPr>
          <w:rFonts w:eastAsia="宋体"/>
          <w:color w:val="000000"/>
          <w:sz w:val="24"/>
          <w:szCs w:val="24"/>
        </w:rPr>
        <w:t>即使公司产品沟通符合FDA规定的标签，该公司也必须确保该沟通符合其他适用要求。为此，请注意，确定沟通是否符合FDA规定的标签，与FDA当局的特定标签或广告规定（如有）适用于该沟通的决定无关（参见Q.6/A.6和Q.7/A.7）。</w:t>
      </w:r>
    </w:p>
    <w:p w14:paraId="63A6CF12">
      <w:pPr>
        <w:shd w:val="clear" w:color="auto" w:fill="FFFFFF"/>
        <w:topLinePunct/>
        <w:autoSpaceDE/>
        <w:autoSpaceDN/>
        <w:adjustRightInd/>
        <w:ind w:left="1000" w:leftChars="500"/>
        <w:jc w:val="both"/>
        <w:rPr>
          <w:rFonts w:eastAsia="宋体"/>
          <w:sz w:val="24"/>
          <w:szCs w:val="24"/>
        </w:rPr>
      </w:pPr>
    </w:p>
    <w:p w14:paraId="642964D4">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Q.4.</w:t>
      </w:r>
      <w:r>
        <w:rPr>
          <w:rFonts w:eastAsia="宋体"/>
          <w:b/>
          <w:i/>
          <w:color w:val="000000"/>
          <w:sz w:val="24"/>
          <w:szCs w:val="24"/>
        </w:rPr>
        <w:tab/>
      </w:r>
      <w:r>
        <w:rPr>
          <w:rFonts w:eastAsia="宋体"/>
          <w:b/>
          <w:i/>
          <w:color w:val="000000"/>
          <w:sz w:val="24"/>
          <w:szCs w:val="24"/>
        </w:rPr>
        <w:t>符合FDA规定产品标签的信息类型示例有哪些？</w:t>
      </w:r>
    </w:p>
    <w:p w14:paraId="1162E00D">
      <w:pPr>
        <w:shd w:val="clear" w:color="auto" w:fill="FFFFFF"/>
        <w:tabs>
          <w:tab w:val="left" w:pos="1080"/>
        </w:tabs>
        <w:topLinePunct/>
        <w:autoSpaceDE/>
        <w:autoSpaceDN/>
        <w:adjustRightInd/>
        <w:ind w:left="960" w:hanging="960" w:hangingChars="400"/>
        <w:jc w:val="both"/>
        <w:rPr>
          <w:rFonts w:eastAsia="宋体"/>
          <w:sz w:val="24"/>
          <w:szCs w:val="24"/>
        </w:rPr>
      </w:pPr>
    </w:p>
    <w:p w14:paraId="230E0DD5">
      <w:pPr>
        <w:shd w:val="clear" w:color="auto" w:fill="FFFFFF"/>
        <w:tabs>
          <w:tab w:val="left" w:pos="1080"/>
        </w:tabs>
        <w:topLinePunct/>
        <w:autoSpaceDE/>
        <w:autoSpaceDN/>
        <w:adjustRightInd/>
        <w:ind w:left="960" w:hanging="960" w:hangingChars="400"/>
        <w:jc w:val="both"/>
        <w:rPr>
          <w:rFonts w:eastAsia="宋体"/>
          <w:color w:val="000000"/>
          <w:sz w:val="24"/>
          <w:szCs w:val="24"/>
        </w:rPr>
      </w:pPr>
      <w:r>
        <w:rPr>
          <w:rFonts w:eastAsia="宋体"/>
          <w:sz w:val="24"/>
          <w:szCs w:val="24"/>
        </w:rPr>
        <w:t>A.4.</w:t>
      </w:r>
      <w:r>
        <w:rPr>
          <w:rFonts w:eastAsia="宋体"/>
          <w:color w:val="000000"/>
          <w:sz w:val="24"/>
          <w:szCs w:val="24"/>
        </w:rPr>
        <w:tab/>
      </w:r>
      <w:r>
        <w:rPr>
          <w:rFonts w:eastAsia="宋体"/>
          <w:color w:val="000000"/>
          <w:sz w:val="24"/>
          <w:szCs w:val="24"/>
        </w:rPr>
        <w:t>符合FDA规定标签的一般信息类型的示例如下。提供的此类示例仅用于说明目的，并不全面或具有限制性。此外，并非与本答案所述一般类别相关的所有产品相关陈述或建议均与FDA规定的特定产品标签相符。该决定针对特定事实，且利用Q.2/A.2中概述的因素，通过评估产品沟通中的特定陈述或建议而做出。</w:t>
      </w:r>
    </w:p>
    <w:p w14:paraId="193A0587">
      <w:pPr>
        <w:shd w:val="clear" w:color="auto" w:fill="FFFFFF"/>
        <w:tabs>
          <w:tab w:val="left" w:pos="1080"/>
        </w:tabs>
        <w:topLinePunct/>
        <w:autoSpaceDE/>
        <w:autoSpaceDN/>
        <w:adjustRightInd/>
        <w:ind w:left="960" w:hanging="960" w:hangingChars="400"/>
        <w:jc w:val="both"/>
        <w:rPr>
          <w:rFonts w:eastAsia="宋体"/>
          <w:sz w:val="24"/>
          <w:szCs w:val="24"/>
        </w:rPr>
      </w:pPr>
    </w:p>
    <w:p w14:paraId="6D355EAC">
      <w:pPr>
        <w:pStyle w:val="21"/>
        <w:numPr>
          <w:ilvl w:val="0"/>
          <w:numId w:val="2"/>
        </w:numPr>
        <w:shd w:val="clear" w:color="auto" w:fill="FFFFFF"/>
        <w:topLinePunct/>
        <w:autoSpaceDE/>
        <w:autoSpaceDN/>
        <w:adjustRightInd/>
        <w:ind w:left="1560" w:leftChars="497" w:hanging="566" w:hangingChars="236"/>
        <w:jc w:val="both"/>
        <w:rPr>
          <w:rFonts w:eastAsia="宋体"/>
          <w:sz w:val="24"/>
          <w:szCs w:val="24"/>
        </w:rPr>
      </w:pPr>
      <w:r>
        <w:rPr>
          <w:rFonts w:eastAsia="宋体"/>
          <w:color w:val="000000"/>
          <w:sz w:val="24"/>
          <w:szCs w:val="24"/>
        </w:rPr>
        <w:t>基于获批适应症的医疗产品与获批相同适应症的另一医疗产品的安全性或有效性比较的信息（例如，公司产品沟通提供了来自面对面研究或多项研究的信息，表明其获批用于治疗成人高血压的药品疗效优于另一种也获批用于治疗成人高血压的药品）。</w:t>
      </w:r>
    </w:p>
    <w:p w14:paraId="337DD276">
      <w:pPr>
        <w:widowControl/>
        <w:autoSpaceDE/>
        <w:autoSpaceDN/>
        <w:adjustRightInd/>
        <w:rPr>
          <w:rFonts w:eastAsia="宋体"/>
          <w:color w:val="000000"/>
          <w:sz w:val="24"/>
          <w:szCs w:val="24"/>
        </w:rPr>
      </w:pPr>
      <w:r>
        <w:rPr>
          <w:rFonts w:eastAsia="宋体"/>
          <w:color w:val="000000"/>
          <w:sz w:val="24"/>
          <w:szCs w:val="24"/>
        </w:rPr>
        <w:br w:type="page"/>
      </w:r>
    </w:p>
    <w:p w14:paraId="7CFFDAF2">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sz w:val="24"/>
          <w:szCs w:val="24"/>
        </w:rPr>
        <w:t>提供与产品FDA规定标签中反映的产品获批用途相关不良反应的其他背景信息（例如，FDA规定的产品标签将恶心确定为潜在的不良反应，并进一步表明该产品是否能够与食物同服。</w:t>
      </w:r>
      <w:r>
        <w:rPr>
          <w:rFonts w:eastAsia="宋体"/>
          <w:color w:val="000000"/>
          <w:sz w:val="24"/>
          <w:szCs w:val="24"/>
        </w:rPr>
        <w:t>公司产品沟通提供了关于产品与食物同服如何减少恶心的信息）。</w:t>
      </w:r>
      <w:r>
        <w:rPr>
          <w:rStyle w:val="16"/>
          <w:rFonts w:eastAsia="宋体"/>
          <w:color w:val="000000"/>
          <w:sz w:val="24"/>
          <w:szCs w:val="24"/>
        </w:rPr>
        <w:footnoteReference w:id="18"/>
      </w:r>
    </w:p>
    <w:p w14:paraId="61F2C55D">
      <w:pPr>
        <w:pStyle w:val="21"/>
        <w:shd w:val="clear" w:color="auto" w:fill="FFFFFF"/>
        <w:topLinePunct/>
        <w:autoSpaceDE/>
        <w:autoSpaceDN/>
        <w:adjustRightInd/>
        <w:ind w:left="1560" w:leftChars="497" w:hanging="566" w:hangingChars="236"/>
        <w:jc w:val="both"/>
        <w:rPr>
          <w:rFonts w:eastAsia="宋体"/>
          <w:color w:val="000000"/>
          <w:sz w:val="24"/>
          <w:szCs w:val="24"/>
        </w:rPr>
      </w:pPr>
    </w:p>
    <w:p w14:paraId="7E7F6D32">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sz w:val="24"/>
          <w:szCs w:val="24"/>
        </w:rPr>
        <w:t>关于该产品获批适应症和剂量/使用方案的起效时间信息（例如，FDA规定的获批用于治疗重度抑郁症的产品标签中不包含指定为研究终点的时间点之前的起效时间信息，且公司产品沟通提供的信息表明，两周时，产品相对于对照组显示效果）。</w:t>
      </w:r>
    </w:p>
    <w:p w14:paraId="398A58E7">
      <w:pPr>
        <w:pStyle w:val="21"/>
        <w:shd w:val="clear" w:color="auto" w:fill="FFFFFF"/>
        <w:topLinePunct/>
        <w:autoSpaceDE/>
        <w:autoSpaceDN/>
        <w:adjustRightInd/>
        <w:ind w:left="1560" w:leftChars="497" w:hanging="566" w:hangingChars="236"/>
        <w:jc w:val="both"/>
        <w:rPr>
          <w:rFonts w:eastAsia="宋体"/>
          <w:color w:val="000000"/>
          <w:sz w:val="24"/>
          <w:szCs w:val="24"/>
        </w:rPr>
      </w:pPr>
    </w:p>
    <w:p w14:paraId="798D1DF5">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sz w:val="24"/>
          <w:szCs w:val="24"/>
        </w:rPr>
        <w:t>关于获准长期使用产品的长期安全性和/或</w:t>
      </w:r>
      <w:r>
        <w:rPr>
          <w:rFonts w:hint="eastAsia" w:eastAsia="宋体"/>
          <w:sz w:val="24"/>
          <w:szCs w:val="24"/>
        </w:rPr>
        <w:t>有效性</w:t>
      </w:r>
      <w:r>
        <w:rPr>
          <w:rFonts w:eastAsia="宋体"/>
          <w:sz w:val="24"/>
          <w:szCs w:val="24"/>
        </w:rPr>
        <w:t>信息（例如，公司提供其产品的上市后信息，涉及18个月的持续安全性和/或</w:t>
      </w:r>
      <w:r>
        <w:rPr>
          <w:rFonts w:hint="eastAsia" w:eastAsia="宋体"/>
          <w:sz w:val="24"/>
          <w:szCs w:val="24"/>
        </w:rPr>
        <w:t>有效性</w:t>
      </w:r>
      <w:r>
        <w:rPr>
          <w:rFonts w:eastAsia="宋体"/>
          <w:sz w:val="24"/>
          <w:szCs w:val="24"/>
        </w:rPr>
        <w:t>，该产品基于24周研究数据获批长期使用）。</w:t>
      </w:r>
    </w:p>
    <w:p w14:paraId="0B8160C6">
      <w:pPr>
        <w:pStyle w:val="21"/>
        <w:shd w:val="clear" w:color="auto" w:fill="FFFFFF"/>
        <w:topLinePunct/>
        <w:autoSpaceDE/>
        <w:autoSpaceDN/>
        <w:adjustRightInd/>
        <w:ind w:left="1560" w:leftChars="497" w:hanging="566" w:hangingChars="236"/>
        <w:jc w:val="both"/>
        <w:rPr>
          <w:rFonts w:eastAsia="宋体"/>
          <w:color w:val="000000"/>
          <w:sz w:val="24"/>
          <w:szCs w:val="24"/>
        </w:rPr>
      </w:pPr>
    </w:p>
    <w:p w14:paraId="35C33784">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sz w:val="24"/>
          <w:szCs w:val="24"/>
        </w:rPr>
        <w:t>关于产品在获批患者人群特定患者亚组中的作用或使用的信息（例如，公司产品沟通提供了关键临床试验中研究的女性患者数量和该患者组中的治疗作用信息，或如果为诊断产品，则提供该患者组中的诊断表现）。</w:t>
      </w:r>
    </w:p>
    <w:p w14:paraId="7D6A5103">
      <w:pPr>
        <w:pStyle w:val="21"/>
        <w:shd w:val="clear" w:color="auto" w:fill="FFFFFF"/>
        <w:topLinePunct/>
        <w:autoSpaceDE/>
        <w:autoSpaceDN/>
        <w:adjustRightInd/>
        <w:ind w:left="1560" w:leftChars="497" w:hanging="566" w:hangingChars="236"/>
        <w:jc w:val="both"/>
        <w:rPr>
          <w:rFonts w:eastAsia="宋体"/>
          <w:color w:val="000000"/>
          <w:sz w:val="24"/>
          <w:szCs w:val="24"/>
        </w:rPr>
      </w:pPr>
    </w:p>
    <w:p w14:paraId="1D359201">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sz w:val="24"/>
          <w:szCs w:val="24"/>
        </w:rPr>
        <w:t>关于产品在获批患者人群中对FDA批准适应症患者的影响信息（例如，（1）公司产品沟通提供了关于患者顺从性/依从性的信息；（2）公司关于人工髋关节的产品沟通，该产品获批用于治疗骨关节炎引起的关节活动受限疾病，该产品沟通提供的信息关于该器械在功能改善的主要终点前中期时间点对缓解患者与疾病（例如，减轻髋关节疼痛）相关症状的作用；（3）公司产品沟通提供了关于患者对与使用该产品获批适应症有关的已知不良反应看法的信息；（4）公司在其血管介入器械产品沟通中，提供了关于使用该器械治疗获批用途的患者手术相关疼痛的信息）。</w:t>
      </w:r>
    </w:p>
    <w:p w14:paraId="4487F701">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2F1BC65E">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color w:val="000000"/>
          <w:sz w:val="24"/>
          <w:szCs w:val="24"/>
        </w:rPr>
        <w:t>有关产品便利性的信息（例如，（1）公司关于其药品（适用于治疗和预防犬类体外寄生虫）的产品沟通，基于较长的作用持续时间，为宠物主人提供了方便的产品给药方案相关信息；（2）公司对其通过皮下注射给药的药品进行的产品沟通，传达其给药时间较另一种具有相同活性成分、适用于经相同条件静脉输注给药的产品更方便，并通过提供信息表明，在诊所进行皮下注射平均需3小时，而在诊所输注其他产品平均需10小时）。</w:t>
      </w:r>
    </w:p>
    <w:p w14:paraId="72B2CC0F">
      <w:pPr>
        <w:pStyle w:val="21"/>
        <w:shd w:val="clear" w:color="auto" w:fill="FFFFFF"/>
        <w:topLinePunct/>
        <w:autoSpaceDE/>
        <w:autoSpaceDN/>
        <w:adjustRightInd/>
        <w:ind w:left="1560" w:leftChars="497" w:hanging="566" w:hangingChars="236"/>
        <w:jc w:val="both"/>
        <w:rPr>
          <w:rFonts w:eastAsia="宋体"/>
          <w:color w:val="000000"/>
          <w:sz w:val="24"/>
          <w:szCs w:val="24"/>
        </w:rPr>
      </w:pPr>
    </w:p>
    <w:p w14:paraId="5795D84B">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color w:val="000000"/>
          <w:sz w:val="24"/>
          <w:szCs w:val="24"/>
        </w:rPr>
        <w:t>提供关于FDA规定标签中所述的关于作用机制的其他背景信息（例如，FDA规定的药品标签表明其通过与特定受体结合发挥作用，且公司产品沟通提供了关于该产品对该受体选择性的其他信息）。</w:t>
      </w:r>
    </w:p>
    <w:p w14:paraId="504B51E9">
      <w:pPr>
        <w:pStyle w:val="21"/>
        <w:shd w:val="clear" w:color="auto" w:fill="FFFFFF"/>
        <w:topLinePunct/>
        <w:autoSpaceDE/>
        <w:autoSpaceDN/>
        <w:adjustRightInd/>
        <w:ind w:left="1560" w:leftChars="497" w:hanging="566" w:hangingChars="236"/>
        <w:jc w:val="both"/>
        <w:rPr>
          <w:rFonts w:eastAsia="宋体"/>
          <w:color w:val="000000"/>
          <w:sz w:val="24"/>
          <w:szCs w:val="24"/>
        </w:rPr>
      </w:pPr>
    </w:p>
    <w:p w14:paraId="2A978E6A">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color w:val="000000"/>
          <w:sz w:val="24"/>
          <w:szCs w:val="24"/>
        </w:rPr>
        <w:t>关于产品与另一种产品同时用于治疗合并症时的耐受性信息（例如，公司针对其获批用于治疗高血压的药品进行的产品沟通提供上市后信息，该信息表明在FDA批准人群中，同时接受另一种产品治疗2型糖尿病患者汇报的高血压药物耐受性与临床试验期间使用该药品但未接受合并用药的患者耐受性相仿）。</w:t>
      </w:r>
    </w:p>
    <w:p w14:paraId="5B7C0102">
      <w:pPr>
        <w:shd w:val="clear" w:color="auto" w:fill="FFFFFF"/>
        <w:tabs>
          <w:tab w:val="left" w:pos="1080"/>
        </w:tabs>
        <w:topLinePunct/>
        <w:autoSpaceDE/>
        <w:autoSpaceDN/>
        <w:adjustRightInd/>
        <w:ind w:left="964" w:hanging="964" w:hangingChars="400"/>
        <w:jc w:val="both"/>
        <w:rPr>
          <w:rFonts w:eastAsia="宋体"/>
          <w:b/>
          <w:i/>
          <w:color w:val="000000"/>
          <w:sz w:val="24"/>
          <w:szCs w:val="24"/>
        </w:rPr>
      </w:pPr>
    </w:p>
    <w:p w14:paraId="133F31D5">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Q.5.</w:t>
      </w:r>
      <w:r>
        <w:rPr>
          <w:rFonts w:eastAsia="宋体"/>
          <w:b/>
          <w:i/>
          <w:color w:val="000000"/>
          <w:sz w:val="24"/>
          <w:szCs w:val="24"/>
        </w:rPr>
        <w:tab/>
      </w:r>
      <w:r>
        <w:rPr>
          <w:rFonts w:eastAsia="宋体"/>
          <w:b/>
          <w:i/>
          <w:color w:val="000000"/>
          <w:sz w:val="24"/>
          <w:szCs w:val="24"/>
        </w:rPr>
        <w:t>与FDA规定产品标签</w:t>
      </w:r>
      <w:r>
        <w:rPr>
          <w:rFonts w:hint="eastAsia" w:eastAsia="宋体"/>
          <w:b/>
          <w:i/>
          <w:color w:val="000000"/>
          <w:sz w:val="24"/>
          <w:szCs w:val="24"/>
          <w:u w:val="single"/>
        </w:rPr>
        <w:t>不</w:t>
      </w:r>
      <w:r>
        <w:rPr>
          <w:rFonts w:eastAsia="宋体"/>
          <w:b/>
          <w:i/>
          <w:color w:val="000000"/>
          <w:sz w:val="24"/>
          <w:szCs w:val="24"/>
        </w:rPr>
        <w:t>相符的信息类型示例有哪些？</w:t>
      </w:r>
    </w:p>
    <w:p w14:paraId="3F3F9540">
      <w:pPr>
        <w:shd w:val="clear" w:color="auto" w:fill="FFFFFF"/>
        <w:tabs>
          <w:tab w:val="left" w:pos="1080"/>
        </w:tabs>
        <w:topLinePunct/>
        <w:autoSpaceDE/>
        <w:autoSpaceDN/>
        <w:adjustRightInd/>
        <w:ind w:left="960" w:hanging="960" w:hangingChars="400"/>
        <w:jc w:val="both"/>
        <w:rPr>
          <w:rFonts w:eastAsia="宋体"/>
          <w:sz w:val="24"/>
          <w:szCs w:val="24"/>
        </w:rPr>
      </w:pPr>
    </w:p>
    <w:p w14:paraId="7A676A21">
      <w:pPr>
        <w:shd w:val="clear" w:color="auto" w:fill="FFFFFF"/>
        <w:tabs>
          <w:tab w:val="left" w:pos="1080"/>
        </w:tabs>
        <w:topLinePunct/>
        <w:autoSpaceDE/>
        <w:autoSpaceDN/>
        <w:adjustRightInd/>
        <w:ind w:left="960" w:hanging="960" w:hangingChars="400"/>
        <w:jc w:val="both"/>
        <w:rPr>
          <w:rFonts w:eastAsia="宋体"/>
          <w:sz w:val="24"/>
          <w:szCs w:val="24"/>
        </w:rPr>
      </w:pPr>
      <w:r>
        <w:rPr>
          <w:rFonts w:eastAsia="宋体"/>
          <w:sz w:val="24"/>
          <w:szCs w:val="24"/>
        </w:rPr>
        <w:t>A.5.</w:t>
      </w:r>
      <w:r>
        <w:rPr>
          <w:rFonts w:eastAsia="宋体"/>
          <w:color w:val="000000"/>
          <w:sz w:val="24"/>
          <w:szCs w:val="24"/>
        </w:rPr>
        <w:tab/>
      </w:r>
      <w:r>
        <w:rPr>
          <w:rFonts w:eastAsia="宋体"/>
          <w:color w:val="000000"/>
          <w:sz w:val="24"/>
          <w:szCs w:val="24"/>
        </w:rPr>
        <w:t>与FDA规定标签不相符的一般信息类型相关示例如下。如Q.4/A.4中所述的示例，提供的此类示例仅用于说明目的，其并不全面。</w:t>
      </w:r>
    </w:p>
    <w:p w14:paraId="054D84D5">
      <w:pPr>
        <w:pStyle w:val="21"/>
        <w:shd w:val="clear" w:color="auto" w:fill="FFFFFF"/>
        <w:topLinePunct/>
        <w:autoSpaceDE/>
        <w:autoSpaceDN/>
        <w:adjustRightInd/>
        <w:ind w:left="1304" w:firstLine="0" w:firstLineChars="0"/>
        <w:jc w:val="both"/>
        <w:rPr>
          <w:rFonts w:eastAsia="宋体"/>
          <w:color w:val="000000"/>
          <w:sz w:val="24"/>
          <w:szCs w:val="24"/>
        </w:rPr>
      </w:pPr>
    </w:p>
    <w:p w14:paraId="6C5F6534">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color w:val="000000"/>
          <w:sz w:val="24"/>
          <w:szCs w:val="24"/>
        </w:rPr>
        <w:t>关于使用产品治疗或诊断不同于产品获批治疗或诊断疾病或病症的信息（例如，产品获批用于治疗心血管疾病，但公司产品沟通提供了关于使用该产品治疗糖尿病的信息）。</w:t>
      </w:r>
    </w:p>
    <w:p w14:paraId="09ED84EC">
      <w:pPr>
        <w:pStyle w:val="21"/>
        <w:shd w:val="clear" w:color="auto" w:fill="FFFFFF"/>
        <w:topLinePunct/>
        <w:autoSpaceDE/>
        <w:autoSpaceDN/>
        <w:adjustRightInd/>
        <w:ind w:left="1560" w:leftChars="497" w:hanging="566" w:hangingChars="236"/>
        <w:jc w:val="both"/>
        <w:rPr>
          <w:rFonts w:eastAsia="宋体"/>
          <w:sz w:val="24"/>
          <w:szCs w:val="24"/>
        </w:rPr>
      </w:pPr>
    </w:p>
    <w:p w14:paraId="22BA676A">
      <w:pPr>
        <w:pStyle w:val="21"/>
        <w:numPr>
          <w:ilvl w:val="0"/>
          <w:numId w:val="2"/>
        </w:numPr>
        <w:shd w:val="clear" w:color="auto" w:fill="FFFFFF"/>
        <w:topLinePunct/>
        <w:autoSpaceDE/>
        <w:autoSpaceDN/>
        <w:adjustRightInd/>
        <w:ind w:left="1560" w:leftChars="497" w:hanging="566" w:hangingChars="236"/>
        <w:jc w:val="both"/>
        <w:rPr>
          <w:rFonts w:eastAsia="宋体"/>
          <w:sz w:val="24"/>
          <w:szCs w:val="24"/>
        </w:rPr>
      </w:pPr>
      <w:r>
        <w:rPr>
          <w:rFonts w:eastAsia="宋体"/>
          <w:sz w:val="24"/>
          <w:szCs w:val="24"/>
        </w:rPr>
        <w:t>关于使用产品治疗或诊断未纳入产品获批患者人群的患者信息（例如，（1）器械适用于对先前诊断的HBV感染者人类血液样本中的乙肝病毒（HBV）DNA进行定量，作为对正在接受抗病毒治疗的慢性HBV感染者的辅助管理，但公司产品沟通中提供了关于使用该器械对既往未确诊患者进行HBV感染初步诊断的信息；（2）动物药品获批仅用于饲养场的牛，但公司产品沟通中提供了关于在小牛或奶牛中使用该产品的信息）。</w:t>
      </w:r>
    </w:p>
    <w:p w14:paraId="641E1A28">
      <w:pPr>
        <w:widowControl/>
        <w:autoSpaceDE/>
        <w:autoSpaceDN/>
        <w:adjustRightInd/>
        <w:rPr>
          <w:rFonts w:eastAsia="宋体"/>
          <w:sz w:val="24"/>
          <w:szCs w:val="24"/>
        </w:rPr>
      </w:pPr>
      <w:r>
        <w:rPr>
          <w:rFonts w:eastAsia="宋体"/>
          <w:sz w:val="24"/>
          <w:szCs w:val="24"/>
        </w:rPr>
        <w:br w:type="page"/>
      </w:r>
    </w:p>
    <w:p w14:paraId="71DE69C3">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color w:val="000000"/>
          <w:sz w:val="24"/>
          <w:szCs w:val="24"/>
        </w:rPr>
        <w:t>关于使用该产品治疗疾病的不同阶段、严重度或表现的信息（例如，产品获批仅用于治疗重度哮喘，但公司产品沟通中提供了关于使用该产品治疗轻度哮喘患者的信息）。</w:t>
      </w:r>
    </w:p>
    <w:p w14:paraId="27A146F6">
      <w:pPr>
        <w:pStyle w:val="21"/>
        <w:shd w:val="clear" w:color="auto" w:fill="FFFFFF"/>
        <w:topLinePunct/>
        <w:autoSpaceDE/>
        <w:autoSpaceDN/>
        <w:adjustRightInd/>
        <w:ind w:left="1560" w:firstLine="0" w:firstLineChars="0"/>
        <w:jc w:val="both"/>
        <w:rPr>
          <w:rFonts w:eastAsia="宋体"/>
          <w:color w:val="000000"/>
          <w:sz w:val="24"/>
          <w:szCs w:val="24"/>
        </w:rPr>
      </w:pPr>
    </w:p>
    <w:p w14:paraId="7C8C59FE">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sz w:val="24"/>
          <w:szCs w:val="24"/>
        </w:rPr>
        <w:t>当产品获批仅与一种或多种其他产品或治疗方式结合使用时，有关产品作为单药治疗使用的信息（例如，FDA规定的产品标签指出该产品用作手术和放疗的辅助治疗，但公司产品沟通中提供了关于使用该产品治疗未接受手术和放疗患者的信息）。</w:t>
      </w:r>
    </w:p>
    <w:p w14:paraId="712C086E">
      <w:pPr>
        <w:pStyle w:val="21"/>
        <w:shd w:val="clear" w:color="auto" w:fill="FFFFFF"/>
        <w:topLinePunct/>
        <w:autoSpaceDE/>
        <w:autoSpaceDN/>
        <w:adjustRightInd/>
        <w:ind w:left="1560" w:firstLine="0" w:firstLineChars="0"/>
        <w:jc w:val="both"/>
        <w:rPr>
          <w:rFonts w:eastAsia="宋体"/>
          <w:color w:val="000000"/>
          <w:sz w:val="24"/>
          <w:szCs w:val="24"/>
        </w:rPr>
      </w:pPr>
    </w:p>
    <w:p w14:paraId="2F6564BA">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sz w:val="24"/>
          <w:szCs w:val="24"/>
        </w:rPr>
        <w:t>关于通过不同给药途径或在不同于产品获批组织类型中使用产品的信息（例如，产品获批仅用于肌肉注射，但公司产品沟通中指出该产品可用于静脉注射）。</w:t>
      </w:r>
    </w:p>
    <w:p w14:paraId="414C6596">
      <w:pPr>
        <w:pStyle w:val="21"/>
        <w:shd w:val="clear" w:color="auto" w:fill="FFFFFF"/>
        <w:topLinePunct/>
        <w:autoSpaceDE/>
        <w:autoSpaceDN/>
        <w:adjustRightInd/>
        <w:ind w:left="1560" w:firstLine="0" w:firstLineChars="0"/>
        <w:jc w:val="both"/>
        <w:rPr>
          <w:rFonts w:eastAsia="宋体"/>
          <w:color w:val="000000"/>
          <w:sz w:val="24"/>
          <w:szCs w:val="24"/>
        </w:rPr>
      </w:pPr>
    </w:p>
    <w:p w14:paraId="5FD60C5C">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sz w:val="24"/>
          <w:szCs w:val="24"/>
        </w:rPr>
        <w:t>关于使用与获批规格、剂量或使用方案不同的规格、剂量或使用方案的信息（例如，FDA规定的药品标签指出该药品应每日服用两次，每次间隔12小时，但公司产品沟通表示该产品可改为每日服用一次，两种剂量于早上一起服用）。</w:t>
      </w:r>
    </w:p>
    <w:p w14:paraId="2AE20EA0">
      <w:pPr>
        <w:pStyle w:val="21"/>
        <w:shd w:val="clear" w:color="auto" w:fill="FFFFFF"/>
        <w:topLinePunct/>
        <w:autoSpaceDE/>
        <w:autoSpaceDN/>
        <w:adjustRightInd/>
        <w:ind w:left="1560" w:firstLine="0" w:firstLineChars="0"/>
        <w:jc w:val="both"/>
        <w:rPr>
          <w:rFonts w:eastAsia="宋体"/>
          <w:color w:val="000000"/>
          <w:sz w:val="24"/>
          <w:szCs w:val="24"/>
        </w:rPr>
      </w:pPr>
    </w:p>
    <w:p w14:paraId="31A508A1">
      <w:pPr>
        <w:pStyle w:val="21"/>
        <w:numPr>
          <w:ilvl w:val="0"/>
          <w:numId w:val="2"/>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color w:val="000000"/>
          <w:sz w:val="24"/>
          <w:szCs w:val="24"/>
        </w:rPr>
        <w:t>与FDA规定标签中所述剂型不同的产品使用信息（例如，产品获批的剂型为胶囊，但公司产品沟通提供了关于该产品采用口服溶液剂型的信息）。</w:t>
      </w:r>
    </w:p>
    <w:p w14:paraId="5D1DA20F">
      <w:pPr>
        <w:shd w:val="clear" w:color="auto" w:fill="FFFFFF"/>
        <w:tabs>
          <w:tab w:val="left" w:pos="1080"/>
        </w:tabs>
        <w:topLinePunct/>
        <w:autoSpaceDE/>
        <w:autoSpaceDN/>
        <w:adjustRightInd/>
        <w:ind w:left="964" w:hanging="964" w:hangingChars="400"/>
        <w:jc w:val="both"/>
        <w:rPr>
          <w:rFonts w:eastAsia="宋体"/>
          <w:b/>
          <w:i/>
          <w:color w:val="000000"/>
          <w:sz w:val="24"/>
          <w:szCs w:val="24"/>
        </w:rPr>
      </w:pPr>
    </w:p>
    <w:p w14:paraId="2348CED9">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Q.6.</w:t>
      </w:r>
      <w:r>
        <w:rPr>
          <w:rFonts w:eastAsia="宋体"/>
          <w:b/>
          <w:i/>
          <w:color w:val="000000"/>
          <w:sz w:val="24"/>
          <w:szCs w:val="24"/>
        </w:rPr>
        <w:tab/>
      </w:r>
      <w:r>
        <w:rPr>
          <w:rFonts w:eastAsia="宋体"/>
          <w:b/>
          <w:i/>
          <w:color w:val="000000"/>
          <w:sz w:val="24"/>
          <w:szCs w:val="24"/>
        </w:rPr>
        <w:t>公司应为其CFL推广沟通提供哪些证据支持？</w:t>
      </w:r>
    </w:p>
    <w:p w14:paraId="56502EBB">
      <w:pPr>
        <w:shd w:val="clear" w:color="auto" w:fill="FFFFFF"/>
        <w:tabs>
          <w:tab w:val="left" w:pos="1080"/>
        </w:tabs>
        <w:topLinePunct/>
        <w:autoSpaceDE/>
        <w:autoSpaceDN/>
        <w:adjustRightInd/>
        <w:ind w:left="960" w:hanging="960" w:hangingChars="400"/>
        <w:jc w:val="both"/>
        <w:rPr>
          <w:rFonts w:eastAsia="宋体"/>
          <w:sz w:val="24"/>
          <w:szCs w:val="24"/>
        </w:rPr>
      </w:pPr>
    </w:p>
    <w:p w14:paraId="3B3423D0">
      <w:pPr>
        <w:shd w:val="clear" w:color="auto" w:fill="FFFFFF"/>
        <w:tabs>
          <w:tab w:val="left" w:pos="1080"/>
        </w:tabs>
        <w:topLinePunct/>
        <w:autoSpaceDE/>
        <w:autoSpaceDN/>
        <w:adjustRightInd/>
        <w:ind w:left="960" w:hanging="960" w:hangingChars="400"/>
        <w:jc w:val="both"/>
        <w:rPr>
          <w:rFonts w:eastAsia="宋体"/>
          <w:b/>
          <w:color w:val="000000"/>
          <w:sz w:val="24"/>
          <w:szCs w:val="24"/>
        </w:rPr>
      </w:pPr>
      <w:r>
        <w:rPr>
          <w:rFonts w:eastAsia="宋体"/>
          <w:sz w:val="24"/>
          <w:szCs w:val="24"/>
        </w:rPr>
        <w:t>A.6.</w:t>
      </w:r>
      <w:r>
        <w:rPr>
          <w:rFonts w:eastAsia="宋体"/>
          <w:color w:val="000000"/>
          <w:sz w:val="24"/>
          <w:szCs w:val="24"/>
        </w:rPr>
        <w:tab/>
      </w:r>
      <w:r>
        <w:rPr>
          <w:rFonts w:eastAsia="宋体"/>
          <w:color w:val="000000"/>
          <w:sz w:val="24"/>
          <w:szCs w:val="24"/>
        </w:rPr>
        <w:t>根据《FD&amp;C法案》和FDA实施条例的规定，药品和器械标签以及处方药和受限制器械广告必须真实且无误导性，其中包括揭示与正在推广产品相关的重要事实，包括与产品风险相关的信息。</w:t>
      </w:r>
      <w:r>
        <w:rPr>
          <w:rStyle w:val="16"/>
          <w:rFonts w:eastAsia="宋体"/>
          <w:color w:val="000000"/>
          <w:sz w:val="24"/>
          <w:szCs w:val="24"/>
        </w:rPr>
        <w:footnoteReference w:id="19"/>
      </w:r>
      <w:r>
        <w:rPr>
          <w:rFonts w:eastAsia="宋体"/>
          <w:color w:val="000000"/>
          <w:sz w:val="24"/>
          <w:szCs w:val="24"/>
        </w:rPr>
        <w:t>当此类沟通缺乏相应的证据支持时，很可能为虚假或具有误导性的沟通信息，并可能对患者造成伤害。为了做到真实和无误导性，公司对其产品的陈述或建议需要以事实和科学为基础，并提供适当的背景。所依赖的任何数据、研究或分析应具有科学合理性和统计学合理性，以支持在CFL推广沟通中的陈述或建议。</w:t>
      </w:r>
    </w:p>
    <w:p w14:paraId="68BE4676">
      <w:pPr>
        <w:shd w:val="clear" w:color="auto" w:fill="FFFFFF"/>
        <w:topLinePunct/>
        <w:autoSpaceDE/>
        <w:autoSpaceDN/>
        <w:adjustRightInd/>
        <w:ind w:left="480" w:hanging="480" w:hangingChars="200"/>
        <w:jc w:val="both"/>
        <w:rPr>
          <w:rFonts w:eastAsia="宋体"/>
          <w:color w:val="000000"/>
          <w:sz w:val="24"/>
          <w:szCs w:val="24"/>
        </w:rPr>
      </w:pPr>
    </w:p>
    <w:p w14:paraId="1925D286">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5B0A2556">
      <w:pPr>
        <w:shd w:val="clear" w:color="auto" w:fill="FFFFFF"/>
        <w:topLinePunct/>
        <w:autoSpaceDE/>
        <w:autoSpaceDN/>
        <w:adjustRightInd/>
        <w:ind w:left="1000" w:leftChars="500" w:firstLine="480" w:firstLineChars="200"/>
        <w:jc w:val="both"/>
        <w:rPr>
          <w:rFonts w:eastAsia="宋体"/>
          <w:color w:val="000000"/>
          <w:sz w:val="24"/>
          <w:szCs w:val="24"/>
        </w:rPr>
      </w:pPr>
      <w:r>
        <w:rPr>
          <w:rFonts w:eastAsia="宋体"/>
          <w:color w:val="000000"/>
          <w:sz w:val="24"/>
          <w:szCs w:val="24"/>
        </w:rPr>
        <w:t>在上市前审查过程中（和/或通过器械分类过程），在FDA规定标签中的使用条件下，已存在相应证据对药品或器械的安全性和有效性予以证实。</w:t>
      </w:r>
      <w:r>
        <w:rPr>
          <w:rFonts w:eastAsia="宋体"/>
          <w:sz w:val="24"/>
          <w:szCs w:val="24"/>
        </w:rPr>
        <w:t>因此，FDA不会仅因为缺乏足够证据来达到适用获批/许可标准而认为CFL推广沟通中的陈述或建议为虚假或具有误导性的沟通信息。</w:t>
      </w:r>
      <w:r>
        <w:rPr>
          <w:rFonts w:eastAsia="宋体"/>
          <w:color w:val="000000"/>
          <w:sz w:val="24"/>
          <w:szCs w:val="24"/>
        </w:rPr>
        <w:t>例如，除了符合有效性</w:t>
      </w:r>
      <w:r>
        <w:rPr>
          <w:rFonts w:ascii="宋体" w:hAnsi="宋体" w:eastAsia="宋体"/>
          <w:color w:val="000000"/>
          <w:sz w:val="24"/>
          <w:szCs w:val="24"/>
        </w:rPr>
        <w:t>“</w:t>
      </w:r>
      <w:r>
        <w:rPr>
          <w:rFonts w:eastAsia="宋体"/>
          <w:color w:val="000000"/>
          <w:sz w:val="24"/>
          <w:szCs w:val="24"/>
        </w:rPr>
        <w:t>实质性证据</w:t>
      </w:r>
      <w:r>
        <w:rPr>
          <w:rFonts w:ascii="宋体" w:hAnsi="宋体" w:eastAsia="宋体"/>
          <w:color w:val="000000"/>
          <w:sz w:val="24"/>
          <w:szCs w:val="24"/>
        </w:rPr>
        <w:t>”</w:t>
      </w:r>
      <w:r>
        <w:rPr>
          <w:rFonts w:eastAsia="宋体"/>
          <w:color w:val="000000"/>
          <w:sz w:val="24"/>
          <w:szCs w:val="24"/>
        </w:rPr>
        <w:t>的新药获批证据之外，其他证据也可用于支持CFL推广沟通中关于处方药的某些陈述或建议。</w:t>
      </w:r>
      <w:r>
        <w:rPr>
          <w:rStyle w:val="16"/>
          <w:rFonts w:eastAsia="宋体"/>
          <w:color w:val="000000"/>
          <w:sz w:val="24"/>
          <w:szCs w:val="24"/>
        </w:rPr>
        <w:footnoteReference w:id="20"/>
      </w:r>
      <w:r>
        <w:rPr>
          <w:rFonts w:eastAsia="宋体"/>
          <w:color w:val="000000"/>
          <w:sz w:val="24"/>
          <w:szCs w:val="24"/>
        </w:rPr>
        <w:t>然而，由于其他原因，此类沟通可能为虚假或具有误导性的沟通信息。因此，应支持此类陈述或建议，并按该指南所述进行表述。</w:t>
      </w:r>
    </w:p>
    <w:p w14:paraId="37C73F3E">
      <w:pPr>
        <w:shd w:val="clear" w:color="auto" w:fill="FFFFFF"/>
        <w:topLinePunct/>
        <w:autoSpaceDE/>
        <w:autoSpaceDN/>
        <w:adjustRightInd/>
        <w:ind w:left="1000" w:leftChars="500" w:firstLine="480" w:firstLineChars="200"/>
        <w:jc w:val="both"/>
        <w:rPr>
          <w:rFonts w:eastAsia="宋体"/>
          <w:sz w:val="24"/>
          <w:szCs w:val="24"/>
        </w:rPr>
      </w:pPr>
    </w:p>
    <w:p w14:paraId="2F473919">
      <w:pPr>
        <w:shd w:val="clear" w:color="auto" w:fill="FFFFFF"/>
        <w:topLinePunct/>
        <w:autoSpaceDE/>
        <w:autoSpaceDN/>
        <w:adjustRightInd/>
        <w:ind w:left="1000" w:leftChars="500" w:firstLine="480" w:firstLineChars="200"/>
        <w:jc w:val="both"/>
        <w:rPr>
          <w:rFonts w:eastAsia="宋体"/>
          <w:sz w:val="24"/>
          <w:szCs w:val="24"/>
        </w:rPr>
      </w:pPr>
      <w:r>
        <w:rPr>
          <w:rFonts w:eastAsia="宋体"/>
          <w:color w:val="000000"/>
          <w:sz w:val="24"/>
          <w:szCs w:val="24"/>
        </w:rPr>
        <w:t>支持特定CFL推广沟通所需的证据数量和类型在一定程度上取决于沟通所涉及的主题。例如，需不同证据来支持长期疗效陈述，而无需支持关于产品作用机制的陈述。所需证据的数量和类型也取决于对沟通中任何给定主题的特定陈述或建议。</w:t>
      </w:r>
      <w:r>
        <w:rPr>
          <w:rFonts w:eastAsia="宋体"/>
          <w:sz w:val="24"/>
          <w:szCs w:val="24"/>
        </w:rPr>
        <w:t>我们都意识到，公司有兴趣在其产品沟通中纳入来自各种类型研究和分析的信息，包括来自支持其产品获批或许可研究的其他信息，以及来自其产品上市后研究和分析的其他信息。一般而言，FDA认为，各种类型的研究和分析可为医疗产品的获批/许可使用条件提供有用的其他信息。</w:t>
      </w:r>
      <w:r>
        <w:rPr>
          <w:rFonts w:eastAsia="宋体"/>
          <w:color w:val="000000"/>
          <w:sz w:val="24"/>
          <w:szCs w:val="24"/>
        </w:rPr>
        <w:t>但是，其中一些研究或分析本身无法得出关于产品疗效的可靠结论。</w:t>
      </w:r>
      <w:r>
        <w:rPr>
          <w:rFonts w:eastAsia="宋体"/>
          <w:sz w:val="24"/>
          <w:szCs w:val="24"/>
        </w:rPr>
        <w:t>为了让信息更加真实且无误导性，公司产品沟通不应夸大此类研究或分析的结果或结论，或不披露其实质性限制因素。</w:t>
      </w:r>
    </w:p>
    <w:p w14:paraId="5DCC293E">
      <w:pPr>
        <w:shd w:val="clear" w:color="auto" w:fill="FFFFFF"/>
        <w:topLinePunct/>
        <w:autoSpaceDE/>
        <w:autoSpaceDN/>
        <w:adjustRightInd/>
        <w:ind w:left="480" w:hanging="480" w:hangingChars="200"/>
        <w:jc w:val="both"/>
        <w:rPr>
          <w:rFonts w:eastAsia="宋体"/>
          <w:color w:val="000000"/>
          <w:sz w:val="24"/>
          <w:szCs w:val="24"/>
        </w:rPr>
      </w:pPr>
    </w:p>
    <w:p w14:paraId="1ED70A4B">
      <w:pPr>
        <w:shd w:val="clear" w:color="auto" w:fill="FFFFFF"/>
        <w:topLinePunct/>
        <w:autoSpaceDE/>
        <w:autoSpaceDN/>
        <w:adjustRightInd/>
        <w:ind w:left="480" w:hanging="480" w:hangingChars="200"/>
        <w:jc w:val="both"/>
        <w:rPr>
          <w:rFonts w:eastAsia="宋体"/>
          <w:color w:val="000000"/>
          <w:sz w:val="24"/>
          <w:szCs w:val="24"/>
        </w:rPr>
      </w:pPr>
      <w:r>
        <w:rPr>
          <w:rFonts w:eastAsia="宋体"/>
          <w:color w:val="000000"/>
          <w:sz w:val="24"/>
          <w:szCs w:val="24"/>
        </w:rPr>
        <w:br w:type="page"/>
      </w:r>
    </w:p>
    <w:p w14:paraId="3AB297D1">
      <w:pPr>
        <w:shd w:val="clear" w:color="auto" w:fill="FFFFFF"/>
        <w:topLinePunct/>
        <w:autoSpaceDE/>
        <w:autoSpaceDN/>
        <w:adjustRightInd/>
        <w:ind w:left="1000" w:leftChars="500" w:firstLine="480" w:firstLineChars="200"/>
        <w:jc w:val="both"/>
        <w:rPr>
          <w:rFonts w:eastAsia="宋体"/>
          <w:color w:val="000000"/>
          <w:sz w:val="24"/>
          <w:szCs w:val="24"/>
        </w:rPr>
      </w:pPr>
      <w:r>
        <w:rPr>
          <w:rFonts w:eastAsia="宋体"/>
          <w:sz w:val="24"/>
          <w:szCs w:val="24"/>
        </w:rPr>
        <w:t>例如，对关键试验数据的某些分析可能提供详细说明了产品FDA规定标签所反映数据的信息，并可能有助于对产品的理解（例如，来自成功用作主要终点的复合终点单个组分单独分析的信息，这些信息来自适当的统计检验</w:t>
      </w:r>
      <w:r>
        <w:rPr>
          <w:rStyle w:val="16"/>
          <w:rFonts w:eastAsia="宋体"/>
          <w:sz w:val="24"/>
          <w:szCs w:val="24"/>
        </w:rPr>
        <w:footnoteReference w:id="21"/>
      </w:r>
      <w:r>
        <w:rPr>
          <w:rFonts w:eastAsia="宋体"/>
          <w:sz w:val="24"/>
          <w:szCs w:val="24"/>
        </w:rPr>
        <w:t>，并在统计分析计划中对其进行预先规定）。</w:t>
      </w:r>
      <w:r>
        <w:rPr>
          <w:rFonts w:eastAsia="宋体"/>
          <w:color w:val="000000"/>
          <w:sz w:val="24"/>
          <w:szCs w:val="24"/>
        </w:rPr>
        <w:t>但是，例如，如果关键试验无法充分确定这些分析中未对复合终点单个组分的治疗效果和/或1型错误（假阳性率）进行控制，则这些分析通常不支持关于产品对复合终点单个组分治疗效果的结论。在此种情况下，代表或表明数据支持此类疗效的结论，无论是直接（例如，声称经证明该产品对单个组分具有疗效）还是间接（例如，通过给出p值，这意味着在不存在p值的情况下得出统计学上严谨的结论），都将为错误或具有误导性的结论。</w:t>
      </w:r>
    </w:p>
    <w:p w14:paraId="56DE9891">
      <w:pPr>
        <w:shd w:val="clear" w:color="auto" w:fill="FFFFFF"/>
        <w:topLinePunct/>
        <w:autoSpaceDE/>
        <w:autoSpaceDN/>
        <w:adjustRightInd/>
        <w:ind w:left="1000" w:leftChars="500" w:firstLine="480" w:firstLineChars="200"/>
        <w:jc w:val="both"/>
        <w:rPr>
          <w:rFonts w:eastAsia="宋体"/>
          <w:sz w:val="24"/>
          <w:szCs w:val="24"/>
        </w:rPr>
      </w:pPr>
    </w:p>
    <w:p w14:paraId="70770C15">
      <w:pPr>
        <w:shd w:val="clear" w:color="auto" w:fill="FFFFFF"/>
        <w:topLinePunct/>
        <w:autoSpaceDE/>
        <w:autoSpaceDN/>
        <w:adjustRightInd/>
        <w:ind w:left="1000" w:leftChars="500" w:firstLine="480" w:firstLineChars="200"/>
        <w:jc w:val="both"/>
        <w:rPr>
          <w:rFonts w:eastAsia="宋体"/>
          <w:sz w:val="24"/>
          <w:szCs w:val="24"/>
        </w:rPr>
      </w:pPr>
      <w:r>
        <w:rPr>
          <w:rFonts w:eastAsia="宋体"/>
          <w:color w:val="000000"/>
          <w:sz w:val="24"/>
          <w:szCs w:val="24"/>
        </w:rPr>
        <w:t>如果公司希望在CFL推广沟通中提供该信息，则其必须以真实且无误导性的方式提供该信息。</w:t>
      </w:r>
      <w:r>
        <w:rPr>
          <w:rStyle w:val="16"/>
          <w:rFonts w:eastAsia="宋体"/>
          <w:color w:val="000000"/>
          <w:sz w:val="24"/>
          <w:szCs w:val="24"/>
        </w:rPr>
        <w:footnoteReference w:id="22"/>
      </w:r>
      <w:r>
        <w:rPr>
          <w:rFonts w:eastAsia="宋体"/>
          <w:color w:val="000000"/>
          <w:sz w:val="24"/>
          <w:szCs w:val="24"/>
        </w:rPr>
        <w:t>例如，公司可描述性地介绍这些复合终点单个组分的分析结果，无需提供P值，也无需声称单个组分的结果证明了该药品的额外疗效。</w:t>
      </w:r>
      <w:r>
        <w:rPr>
          <w:rFonts w:eastAsia="宋体"/>
          <w:sz w:val="24"/>
          <w:szCs w:val="24"/>
        </w:rPr>
        <w:t>公司还应纳入背景信息以描述数据的实质性限制因素（参见Q.8/A.8）– 例如，对于该特定陈述，公司可对其进行解释，因为未预先设定此类分析，且未应用相应的多重性调整，则单个组分的结果需谨慎解释，也可能出现偶然的发现。</w:t>
      </w:r>
    </w:p>
    <w:p w14:paraId="348FC4B9">
      <w:pPr>
        <w:shd w:val="clear" w:color="auto" w:fill="FFFFFF"/>
        <w:topLinePunct/>
        <w:autoSpaceDE/>
        <w:autoSpaceDN/>
        <w:adjustRightInd/>
        <w:ind w:left="1000" w:leftChars="500" w:firstLine="480" w:firstLineChars="200"/>
        <w:jc w:val="both"/>
        <w:rPr>
          <w:rFonts w:eastAsia="宋体"/>
          <w:sz w:val="24"/>
          <w:szCs w:val="24"/>
        </w:rPr>
      </w:pPr>
    </w:p>
    <w:p w14:paraId="221775B2">
      <w:pPr>
        <w:shd w:val="clear" w:color="auto" w:fill="FFFFFF"/>
        <w:topLinePunct/>
        <w:autoSpaceDE/>
        <w:autoSpaceDN/>
        <w:adjustRightInd/>
        <w:ind w:left="1000" w:leftChars="500" w:firstLine="480" w:firstLineChars="200"/>
        <w:jc w:val="both"/>
        <w:rPr>
          <w:rFonts w:eastAsia="宋体"/>
          <w:sz w:val="24"/>
          <w:szCs w:val="24"/>
        </w:rPr>
      </w:pPr>
      <w:r>
        <w:rPr>
          <w:rFonts w:eastAsia="宋体"/>
          <w:sz w:val="24"/>
          <w:szCs w:val="24"/>
        </w:rPr>
        <w:t>因此，除了应具有科学合理性和统计学合理性外，还应在CFL推广沟通中准确描述证据，包括证据力度的限制因素和从中得出的结论（如Q.8/A.8中所述）。但是，公司应注意到，如果CFL推广沟通依赖于不足以支持其提出陈述或建议的研究，则披露该研究的实质性限制因素并不能纠正该沟通所传达的误导性信息。例如，在前几段所述的情况下，如果公司沟通表示或表明单个组分的结果证明了药品的额外疗效，则披露基本证据的限制因素将无法纠正该沟通所传达的误导性信息。</w:t>
      </w:r>
      <w:r>
        <w:rPr>
          <w:rFonts w:eastAsia="宋体"/>
          <w:color w:val="000000"/>
          <w:sz w:val="24"/>
          <w:szCs w:val="24"/>
        </w:rPr>
        <w:t>相反，如前所述，信息的呈现方式不应夸大从支持性证据中得出的结论。如果公司沟通基于无科学支持的推测或信念，或基于设计或开展不佳的研究或分析，则该沟通不符合本指南中的建议，无论其是否披露了所提供的信息缺乏适当支持。</w:t>
      </w:r>
    </w:p>
    <w:p w14:paraId="5C2071A2">
      <w:pPr>
        <w:shd w:val="clear" w:color="auto" w:fill="FFFFFF"/>
        <w:topLinePunct/>
        <w:autoSpaceDE/>
        <w:autoSpaceDN/>
        <w:adjustRightInd/>
        <w:ind w:left="480" w:hanging="480" w:hangingChars="200"/>
        <w:jc w:val="both"/>
        <w:rPr>
          <w:rFonts w:eastAsia="宋体"/>
          <w:color w:val="000000"/>
          <w:sz w:val="24"/>
          <w:szCs w:val="24"/>
        </w:rPr>
      </w:pPr>
    </w:p>
    <w:p w14:paraId="349BD5CE">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59660704">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Q.7.</w:t>
      </w:r>
      <w:r>
        <w:rPr>
          <w:rFonts w:eastAsia="宋体"/>
          <w:b/>
          <w:i/>
          <w:color w:val="000000"/>
          <w:sz w:val="24"/>
          <w:szCs w:val="24"/>
        </w:rPr>
        <w:tab/>
      </w:r>
      <w:r>
        <w:rPr>
          <w:rFonts w:eastAsia="宋体"/>
          <w:b/>
          <w:i/>
          <w:color w:val="000000"/>
          <w:sz w:val="24"/>
          <w:szCs w:val="24"/>
        </w:rPr>
        <w:t>适用于</w:t>
      </w:r>
      <w:r>
        <w:rPr>
          <w:rFonts w:eastAsia="宋体"/>
          <w:b/>
          <w:i/>
          <w:sz w:val="24"/>
          <w:szCs w:val="24"/>
        </w:rPr>
        <w:t>符合FDA规定标签的CFL推广沟通的其他考虑因素是什么？</w:t>
      </w:r>
    </w:p>
    <w:p w14:paraId="5FD7010D">
      <w:pPr>
        <w:shd w:val="clear" w:color="auto" w:fill="FFFFFF"/>
        <w:tabs>
          <w:tab w:val="left" w:pos="1080"/>
        </w:tabs>
        <w:topLinePunct/>
        <w:autoSpaceDE/>
        <w:autoSpaceDN/>
        <w:adjustRightInd/>
        <w:ind w:left="960" w:hanging="960" w:hangingChars="400"/>
        <w:jc w:val="both"/>
        <w:rPr>
          <w:rFonts w:eastAsia="宋体"/>
          <w:sz w:val="24"/>
          <w:szCs w:val="24"/>
        </w:rPr>
      </w:pPr>
    </w:p>
    <w:p w14:paraId="3A2813B9">
      <w:pPr>
        <w:shd w:val="clear" w:color="auto" w:fill="FFFFFF"/>
        <w:tabs>
          <w:tab w:val="left" w:pos="1080"/>
        </w:tabs>
        <w:topLinePunct/>
        <w:autoSpaceDE/>
        <w:autoSpaceDN/>
        <w:adjustRightInd/>
        <w:ind w:left="960" w:hanging="960" w:hangingChars="400"/>
        <w:jc w:val="both"/>
        <w:rPr>
          <w:rFonts w:eastAsia="宋体"/>
          <w:sz w:val="24"/>
          <w:szCs w:val="24"/>
        </w:rPr>
      </w:pPr>
      <w:r>
        <w:rPr>
          <w:rFonts w:eastAsia="宋体"/>
          <w:sz w:val="24"/>
          <w:szCs w:val="24"/>
        </w:rPr>
        <w:t>A.7.</w:t>
      </w:r>
      <w:r>
        <w:rPr>
          <w:rFonts w:eastAsia="宋体"/>
          <w:color w:val="000000"/>
          <w:sz w:val="24"/>
          <w:szCs w:val="24"/>
        </w:rPr>
        <w:tab/>
      </w:r>
      <w:r>
        <w:rPr>
          <w:rFonts w:eastAsia="宋体"/>
          <w:color w:val="000000"/>
          <w:sz w:val="24"/>
          <w:szCs w:val="24"/>
        </w:rPr>
        <w:t>除了Q.6/A.6中提出的考虑因素外，公司应确保其FDA监管的推广沟通材料在其他方面满足《FD&amp;C法案》和FDA实施条例的适用要求。</w:t>
      </w:r>
    </w:p>
    <w:p w14:paraId="34A3B6E0">
      <w:pPr>
        <w:shd w:val="clear" w:color="auto" w:fill="FFFFFF"/>
        <w:topLinePunct/>
        <w:autoSpaceDE/>
        <w:autoSpaceDN/>
        <w:adjustRightInd/>
        <w:ind w:left="1000" w:leftChars="500"/>
        <w:jc w:val="both"/>
        <w:rPr>
          <w:rFonts w:eastAsia="宋体"/>
          <w:color w:val="000000"/>
          <w:sz w:val="24"/>
          <w:szCs w:val="24"/>
        </w:rPr>
      </w:pPr>
    </w:p>
    <w:p w14:paraId="2E896FEF">
      <w:pPr>
        <w:shd w:val="clear" w:color="auto" w:fill="FFFFFF"/>
        <w:topLinePunct/>
        <w:autoSpaceDE/>
        <w:autoSpaceDN/>
        <w:adjustRightInd/>
        <w:ind w:left="1000" w:leftChars="500" w:firstLine="480" w:firstLineChars="200"/>
        <w:jc w:val="both"/>
        <w:rPr>
          <w:rFonts w:eastAsia="宋体"/>
          <w:sz w:val="24"/>
          <w:szCs w:val="24"/>
        </w:rPr>
      </w:pPr>
      <w:r>
        <w:rPr>
          <w:rFonts w:eastAsia="宋体"/>
          <w:color w:val="000000"/>
          <w:sz w:val="24"/>
          <w:szCs w:val="24"/>
        </w:rPr>
        <w:t>本指南中的任何内容预期不会改变公司在《FD&amp;C法案》、《公共健康服务法案（PHS法案）》或FDA实施条例下的现有义务，以更新FDA规定的标签，从而确保无论出于何种原因该标签均不存在虚假或误导性信息。</w:t>
      </w:r>
      <w:r>
        <w:rPr>
          <w:rStyle w:val="16"/>
          <w:rFonts w:eastAsia="宋体"/>
          <w:color w:val="000000"/>
          <w:sz w:val="24"/>
          <w:szCs w:val="24"/>
        </w:rPr>
        <w:footnoteReference w:id="23"/>
      </w:r>
    </w:p>
    <w:p w14:paraId="44F0AAD8">
      <w:pPr>
        <w:shd w:val="clear" w:color="auto" w:fill="FFFFFF"/>
        <w:tabs>
          <w:tab w:val="left" w:pos="1080"/>
        </w:tabs>
        <w:topLinePunct/>
        <w:autoSpaceDE/>
        <w:autoSpaceDN/>
        <w:adjustRightInd/>
        <w:ind w:left="964" w:hanging="964" w:hangingChars="400"/>
        <w:jc w:val="both"/>
        <w:rPr>
          <w:rFonts w:eastAsia="宋体"/>
          <w:b/>
          <w:i/>
          <w:color w:val="000000"/>
          <w:sz w:val="24"/>
          <w:szCs w:val="24"/>
        </w:rPr>
      </w:pPr>
    </w:p>
    <w:p w14:paraId="6997E17D">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Q.8.</w:t>
      </w:r>
      <w:r>
        <w:rPr>
          <w:rFonts w:eastAsia="宋体"/>
          <w:b/>
          <w:i/>
          <w:color w:val="000000"/>
          <w:sz w:val="24"/>
          <w:szCs w:val="24"/>
        </w:rPr>
        <w:tab/>
      </w:r>
      <w:r>
        <w:rPr>
          <w:rFonts w:eastAsia="宋体"/>
          <w:b/>
          <w:i/>
          <w:color w:val="000000"/>
          <w:sz w:val="24"/>
          <w:szCs w:val="24"/>
        </w:rPr>
        <w:t>FDA建议公司在制定符合FDA规定标签的CFL推广沟通时应考虑哪些因素，以帮助确保呈现的信息不会导致沟通存在虚假或误导性信息？</w:t>
      </w:r>
    </w:p>
    <w:p w14:paraId="693A8D67">
      <w:pPr>
        <w:shd w:val="clear" w:color="auto" w:fill="FFFFFF"/>
        <w:tabs>
          <w:tab w:val="left" w:pos="1080"/>
        </w:tabs>
        <w:topLinePunct/>
        <w:autoSpaceDE/>
        <w:autoSpaceDN/>
        <w:adjustRightInd/>
        <w:ind w:left="960" w:hanging="960" w:hangingChars="400"/>
        <w:jc w:val="both"/>
        <w:rPr>
          <w:rFonts w:eastAsia="宋体"/>
          <w:sz w:val="24"/>
          <w:szCs w:val="24"/>
        </w:rPr>
      </w:pPr>
    </w:p>
    <w:p w14:paraId="02B2650F">
      <w:pPr>
        <w:shd w:val="clear" w:color="auto" w:fill="FFFFFF"/>
        <w:tabs>
          <w:tab w:val="left" w:pos="1080"/>
        </w:tabs>
        <w:topLinePunct/>
        <w:autoSpaceDE/>
        <w:autoSpaceDN/>
        <w:adjustRightInd/>
        <w:ind w:left="960" w:hanging="960" w:hangingChars="400"/>
        <w:jc w:val="both"/>
        <w:rPr>
          <w:rFonts w:eastAsia="宋体"/>
          <w:sz w:val="24"/>
          <w:szCs w:val="24"/>
        </w:rPr>
      </w:pPr>
      <w:r>
        <w:rPr>
          <w:rFonts w:eastAsia="宋体"/>
          <w:sz w:val="24"/>
          <w:szCs w:val="24"/>
        </w:rPr>
        <w:t>A.8.</w:t>
      </w:r>
      <w:r>
        <w:rPr>
          <w:rFonts w:eastAsia="宋体"/>
          <w:color w:val="000000"/>
          <w:sz w:val="24"/>
          <w:szCs w:val="24"/>
        </w:rPr>
        <w:tab/>
      </w:r>
      <w:r>
        <w:rPr>
          <w:rFonts w:eastAsia="宋体"/>
          <w:sz w:val="24"/>
          <w:szCs w:val="24"/>
        </w:rPr>
        <w:t>公司提供符合FDA规定标签信息（包括所做的明示和默示声明以及整个沟通产生的整体影响）的方式会影响受众对信息的理解。</w:t>
      </w:r>
      <w:r>
        <w:rPr>
          <w:rFonts w:eastAsia="宋体"/>
          <w:color w:val="000000"/>
          <w:sz w:val="24"/>
          <w:szCs w:val="24"/>
        </w:rPr>
        <w:t>以下是公司在CFL推广沟通中编写信息演示文稿时需考虑的一些高级建议，以帮助确保该演示文稿不会误导适用的受众：</w:t>
      </w:r>
    </w:p>
    <w:p w14:paraId="064F8B68">
      <w:pPr>
        <w:pStyle w:val="21"/>
        <w:shd w:val="clear" w:color="auto" w:fill="FFFFFF"/>
        <w:topLinePunct/>
        <w:autoSpaceDE/>
        <w:autoSpaceDN/>
        <w:adjustRightInd/>
        <w:ind w:left="1560" w:firstLine="0" w:firstLineChars="0"/>
        <w:jc w:val="both"/>
        <w:rPr>
          <w:rFonts w:eastAsia="宋体"/>
          <w:sz w:val="24"/>
          <w:szCs w:val="24"/>
        </w:rPr>
      </w:pPr>
    </w:p>
    <w:p w14:paraId="10DBB277">
      <w:pPr>
        <w:pStyle w:val="21"/>
        <w:numPr>
          <w:ilvl w:val="0"/>
          <w:numId w:val="3"/>
        </w:numPr>
        <w:shd w:val="clear" w:color="auto" w:fill="FFFFFF"/>
        <w:topLinePunct/>
        <w:autoSpaceDE/>
        <w:autoSpaceDN/>
        <w:adjustRightInd/>
        <w:ind w:left="1560" w:leftChars="497" w:hanging="566" w:hangingChars="236"/>
        <w:jc w:val="both"/>
        <w:rPr>
          <w:rFonts w:eastAsia="宋体"/>
          <w:sz w:val="24"/>
          <w:szCs w:val="24"/>
        </w:rPr>
      </w:pPr>
      <w:r>
        <w:rPr>
          <w:rFonts w:eastAsia="宋体"/>
          <w:color w:val="000000"/>
          <w:sz w:val="24"/>
          <w:szCs w:val="24"/>
        </w:rPr>
        <w:t>沟通中应准确体现支持公司CFL推广沟通所依赖的任何研究结果、其他数据和信息。此外，研究设计和方法的各个方面，对于受众准确解读所提供信息（例如，研究类型、研究目的、产品剂量/使用方案、采用的对照组、研究的患者人群）依赖的任何研究而言都尤为重要，应在公司CFL推广沟通中明确且显著地披露</w:t>
      </w:r>
      <w:r>
        <w:rPr>
          <w:rStyle w:val="16"/>
          <w:rFonts w:eastAsia="宋体"/>
          <w:color w:val="000000"/>
          <w:sz w:val="24"/>
          <w:szCs w:val="24"/>
        </w:rPr>
        <w:footnoteReference w:id="24"/>
      </w:r>
      <w:r>
        <w:rPr>
          <w:rFonts w:eastAsia="宋体"/>
          <w:sz w:val="24"/>
          <w:szCs w:val="24"/>
        </w:rPr>
        <w:t>，并且</w:t>
      </w:r>
      <w:r>
        <w:rPr>
          <w:rFonts w:eastAsia="宋体"/>
          <w:color w:val="000000"/>
          <w:sz w:val="24"/>
          <w:szCs w:val="24"/>
        </w:rPr>
        <w:t>与研究设计、方法和结果相关的实质性限制因素也应以明确且显著的方式进行披露。</w:t>
      </w:r>
    </w:p>
    <w:p w14:paraId="7E26D6DC">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330DB035">
      <w:pPr>
        <w:pStyle w:val="21"/>
        <w:numPr>
          <w:ilvl w:val="0"/>
          <w:numId w:val="3"/>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color w:val="000000"/>
          <w:sz w:val="24"/>
          <w:szCs w:val="24"/>
        </w:rPr>
        <w:t>CFL推广沟通应准确描述产品相关信息并将其置于该背景中，包括披露不利或不相符的结果。例如，如果公司提供了其产品上市后研究疗效结果，该研究评价了产品对两个不同终点（如总生存期和无进展生存期）的影响，且该产品未能证明对这两个终点的其中之一产生影响，则公司应在CFL推广沟通中明确且显著地披露这一方面，而不是选择性地仅提供积极疗效结果。</w:t>
      </w:r>
    </w:p>
    <w:p w14:paraId="104AD5BA">
      <w:pPr>
        <w:pStyle w:val="21"/>
        <w:shd w:val="clear" w:color="auto" w:fill="FFFFFF"/>
        <w:topLinePunct/>
        <w:autoSpaceDE/>
        <w:autoSpaceDN/>
        <w:adjustRightInd/>
        <w:ind w:left="1560" w:firstLine="0" w:firstLineChars="0"/>
        <w:jc w:val="both"/>
        <w:rPr>
          <w:rFonts w:eastAsia="宋体"/>
          <w:color w:val="000000"/>
          <w:sz w:val="24"/>
          <w:szCs w:val="24"/>
        </w:rPr>
      </w:pPr>
    </w:p>
    <w:p w14:paraId="2F2DA584">
      <w:pPr>
        <w:pStyle w:val="21"/>
        <w:numPr>
          <w:ilvl w:val="0"/>
          <w:numId w:val="3"/>
        </w:numPr>
        <w:shd w:val="clear" w:color="auto" w:fill="FFFFFF"/>
        <w:topLinePunct/>
        <w:autoSpaceDE/>
        <w:autoSpaceDN/>
        <w:adjustRightInd/>
        <w:ind w:left="1560" w:leftChars="497" w:hanging="566" w:hangingChars="236"/>
        <w:jc w:val="both"/>
        <w:rPr>
          <w:rFonts w:eastAsia="宋体"/>
          <w:color w:val="000000"/>
          <w:sz w:val="24"/>
          <w:szCs w:val="24"/>
        </w:rPr>
      </w:pPr>
      <w:r>
        <w:rPr>
          <w:rFonts w:eastAsia="宋体"/>
          <w:color w:val="000000"/>
          <w:sz w:val="24"/>
          <w:szCs w:val="24"/>
        </w:rPr>
        <w:t>如果FDA规定标签中包含与CFL推广沟通中所陈述/建议内容相关的数据或信息，则该沟通中还应包括FDA规定标签中的数据或信息，以便为受众提供相应的背景信息，且这些信息应以明确且显著的方式呈现。例如，如果沟通中提供了关于实践中观察到的不良事件类型和发生率的上市后信息，则沟通内容还应包括FDA规定标签中关于临床试验中观察到的不良反应类型和发生率的信息，以提供背景信息。</w:t>
      </w:r>
    </w:p>
    <w:p w14:paraId="21F60056">
      <w:pPr>
        <w:shd w:val="clear" w:color="auto" w:fill="FFFFFF"/>
        <w:topLinePunct/>
        <w:autoSpaceDE/>
        <w:autoSpaceDN/>
        <w:adjustRightInd/>
        <w:jc w:val="both"/>
        <w:rPr>
          <w:rFonts w:eastAsia="宋体"/>
          <w:color w:val="000000"/>
          <w:sz w:val="24"/>
          <w:szCs w:val="24"/>
        </w:rPr>
      </w:pPr>
    </w:p>
    <w:p w14:paraId="05337EA4">
      <w:pPr>
        <w:shd w:val="clear" w:color="auto" w:fill="FFFFFF"/>
        <w:topLinePunct/>
        <w:autoSpaceDE/>
        <w:autoSpaceDN/>
        <w:adjustRightInd/>
        <w:ind w:left="992" w:leftChars="496" w:firstLine="480" w:firstLineChars="200"/>
        <w:jc w:val="both"/>
        <w:rPr>
          <w:rFonts w:eastAsia="宋体"/>
          <w:sz w:val="24"/>
          <w:szCs w:val="24"/>
        </w:rPr>
      </w:pPr>
      <w:r>
        <w:rPr>
          <w:rFonts w:eastAsia="宋体"/>
          <w:color w:val="000000"/>
          <w:sz w:val="24"/>
          <w:szCs w:val="24"/>
        </w:rPr>
        <w:t>此类考虑因素并不旨在全面描述公司在分析其陈述是否真实且无误导性时应考虑的所有因素。FDA建议，在传播CFL推广沟通之前，公司应让有资质的医学/科学、法律和监管人员仔细审查该推广沟通，以确保其内容不具有虚假或误导性信息。</w:t>
      </w:r>
    </w:p>
    <w:p w14:paraId="1CF02CBA">
      <w:pPr>
        <w:shd w:val="clear" w:color="auto" w:fill="FFFFFF"/>
        <w:tabs>
          <w:tab w:val="left" w:pos="1080"/>
        </w:tabs>
        <w:topLinePunct/>
        <w:autoSpaceDE/>
        <w:autoSpaceDN/>
        <w:adjustRightInd/>
        <w:ind w:left="964" w:hanging="964" w:hangingChars="400"/>
        <w:jc w:val="both"/>
        <w:rPr>
          <w:rFonts w:eastAsia="宋体"/>
          <w:b/>
          <w:i/>
          <w:color w:val="000000"/>
          <w:sz w:val="24"/>
          <w:szCs w:val="24"/>
        </w:rPr>
      </w:pPr>
    </w:p>
    <w:p w14:paraId="238E0A35">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Q.9.</w:t>
      </w:r>
      <w:r>
        <w:rPr>
          <w:rFonts w:eastAsia="宋体"/>
          <w:b/>
          <w:i/>
          <w:color w:val="000000"/>
          <w:sz w:val="24"/>
          <w:szCs w:val="24"/>
        </w:rPr>
        <w:tab/>
      </w:r>
      <w:r>
        <w:rPr>
          <w:rFonts w:eastAsia="宋体"/>
          <w:b/>
          <w:i/>
          <w:color w:val="000000"/>
          <w:sz w:val="24"/>
          <w:szCs w:val="24"/>
        </w:rPr>
        <w:t>符合FDA规定标签和本指南建议的推广沟通示例有哪些？</w:t>
      </w:r>
    </w:p>
    <w:p w14:paraId="2938FAAA">
      <w:pPr>
        <w:shd w:val="clear" w:color="auto" w:fill="FFFFFF"/>
        <w:tabs>
          <w:tab w:val="left" w:pos="1080"/>
        </w:tabs>
        <w:topLinePunct/>
        <w:autoSpaceDE/>
        <w:autoSpaceDN/>
        <w:adjustRightInd/>
        <w:ind w:left="960" w:hanging="960" w:hangingChars="400"/>
        <w:jc w:val="both"/>
        <w:rPr>
          <w:rFonts w:eastAsia="宋体"/>
          <w:sz w:val="24"/>
          <w:szCs w:val="24"/>
        </w:rPr>
      </w:pPr>
    </w:p>
    <w:p w14:paraId="1B2A68AD">
      <w:pPr>
        <w:shd w:val="clear" w:color="auto" w:fill="FFFFFF"/>
        <w:tabs>
          <w:tab w:val="left" w:pos="1080"/>
        </w:tabs>
        <w:topLinePunct/>
        <w:autoSpaceDE/>
        <w:autoSpaceDN/>
        <w:adjustRightInd/>
        <w:ind w:left="960" w:hanging="960" w:hangingChars="400"/>
        <w:jc w:val="both"/>
        <w:rPr>
          <w:rFonts w:eastAsia="宋体"/>
          <w:sz w:val="24"/>
          <w:szCs w:val="24"/>
        </w:rPr>
      </w:pPr>
      <w:r>
        <w:rPr>
          <w:rFonts w:eastAsia="宋体"/>
          <w:sz w:val="24"/>
          <w:szCs w:val="24"/>
        </w:rPr>
        <w:t>A.9.</w:t>
      </w:r>
      <w:r>
        <w:rPr>
          <w:rFonts w:eastAsia="宋体"/>
          <w:color w:val="000000"/>
          <w:sz w:val="24"/>
          <w:szCs w:val="24"/>
        </w:rPr>
        <w:tab/>
      </w:r>
      <w:r>
        <w:rPr>
          <w:rFonts w:eastAsia="宋体"/>
          <w:color w:val="000000"/>
          <w:sz w:val="24"/>
          <w:szCs w:val="24"/>
        </w:rPr>
        <w:t>FDA认为符合FDA规定标签和Q.6/A.6以及Q.8/A.8中建议的两个推广沟通示例如下。</w:t>
      </w:r>
    </w:p>
    <w:p w14:paraId="09F506F4">
      <w:pPr>
        <w:shd w:val="clear" w:color="auto" w:fill="FFFFFF"/>
        <w:topLinePunct/>
        <w:autoSpaceDE/>
        <w:autoSpaceDN/>
        <w:adjustRightInd/>
        <w:ind w:left="1000" w:leftChars="500"/>
        <w:jc w:val="both"/>
        <w:rPr>
          <w:rFonts w:eastAsia="宋体"/>
          <w:b/>
          <w:i/>
          <w:sz w:val="24"/>
          <w:szCs w:val="24"/>
        </w:rPr>
      </w:pPr>
    </w:p>
    <w:p w14:paraId="44FE6B05">
      <w:pPr>
        <w:shd w:val="clear" w:color="auto" w:fill="FFFFFF"/>
        <w:topLinePunct/>
        <w:autoSpaceDE/>
        <w:autoSpaceDN/>
        <w:adjustRightInd/>
        <w:ind w:left="1000" w:leftChars="500"/>
        <w:jc w:val="both"/>
        <w:rPr>
          <w:rFonts w:eastAsia="宋体"/>
          <w:sz w:val="24"/>
          <w:szCs w:val="24"/>
        </w:rPr>
      </w:pPr>
      <w:r>
        <w:rPr>
          <w:rFonts w:eastAsia="宋体"/>
          <w:b/>
          <w:i/>
          <w:sz w:val="24"/>
          <w:szCs w:val="24"/>
        </w:rPr>
        <w:t>示例1：</w:t>
      </w:r>
      <w:r>
        <w:rPr>
          <w:rFonts w:eastAsia="宋体"/>
          <w:color w:val="000000"/>
          <w:sz w:val="24"/>
          <w:szCs w:val="24"/>
        </w:rPr>
        <w:t>B产品是一种免疫球蛋白静脉注射液（人体），10%液体，适用于治疗原发性体液免疫缺陷（PI）和慢性免疫性血小板减少性紫癜（IPT）。</w:t>
      </w:r>
      <w:r>
        <w:rPr>
          <w:rFonts w:eastAsia="宋体"/>
          <w:sz w:val="24"/>
          <w:szCs w:val="24"/>
        </w:rPr>
        <w:t>B产品的公司编制了宣传材料，宣称在使用该产品治疗PI和IPT的男性和女性患者中B产品的清除率相当。</w:t>
      </w:r>
      <w:r>
        <w:rPr>
          <w:rFonts w:eastAsia="宋体"/>
          <w:color w:val="000000"/>
          <w:sz w:val="24"/>
          <w:szCs w:val="24"/>
        </w:rPr>
        <w:t>这些材料引用了从该产品的关键性研究中获得的药代动力学信息。</w:t>
      </w:r>
    </w:p>
    <w:p w14:paraId="6F5C852A">
      <w:pPr>
        <w:widowControl/>
        <w:autoSpaceDE/>
        <w:autoSpaceDN/>
        <w:adjustRightInd/>
        <w:rPr>
          <w:rFonts w:eastAsia="宋体"/>
          <w:i/>
          <w:color w:val="000000"/>
          <w:sz w:val="24"/>
          <w:szCs w:val="24"/>
        </w:rPr>
      </w:pPr>
      <w:r>
        <w:rPr>
          <w:rFonts w:eastAsia="宋体"/>
          <w:i/>
          <w:color w:val="000000"/>
          <w:sz w:val="24"/>
          <w:szCs w:val="24"/>
        </w:rPr>
        <w:br w:type="page"/>
      </w:r>
    </w:p>
    <w:p w14:paraId="4B6DA11B">
      <w:pPr>
        <w:shd w:val="clear" w:color="auto" w:fill="FFFFFF"/>
        <w:topLinePunct/>
        <w:autoSpaceDE/>
        <w:autoSpaceDN/>
        <w:adjustRightInd/>
        <w:ind w:left="1000" w:leftChars="500" w:firstLine="480" w:firstLineChars="200"/>
        <w:jc w:val="both"/>
        <w:rPr>
          <w:rFonts w:eastAsia="宋体"/>
          <w:color w:val="000000"/>
          <w:sz w:val="24"/>
          <w:szCs w:val="24"/>
        </w:rPr>
      </w:pPr>
      <w:r>
        <w:rPr>
          <w:rFonts w:eastAsia="宋体"/>
          <w:i/>
          <w:color w:val="000000"/>
          <w:sz w:val="24"/>
          <w:szCs w:val="24"/>
        </w:rPr>
        <w:t>这是否符合FDA规定的标签？</w:t>
      </w:r>
      <w:r>
        <w:rPr>
          <w:rFonts w:eastAsia="宋体"/>
          <w:color w:val="000000"/>
          <w:sz w:val="24"/>
          <w:szCs w:val="24"/>
        </w:rPr>
        <w:t>是。</w:t>
      </w:r>
      <w:r>
        <w:rPr>
          <w:rFonts w:eastAsia="宋体"/>
          <w:sz w:val="24"/>
          <w:szCs w:val="24"/>
        </w:rPr>
        <w:t>该产品声明在FDA批准的使用范围内，因为FDA规定的标签反映了该产品适用于治疗PI和IPT的男性和女性患者，且不包含任何限制因素或用法说明或与使用该产品的患者性别相关的其他特殊注意事项。</w:t>
      </w:r>
      <w:r>
        <w:rPr>
          <w:rFonts w:eastAsia="宋体"/>
          <w:color w:val="000000"/>
          <w:sz w:val="24"/>
          <w:szCs w:val="24"/>
        </w:rPr>
        <w:t>关于男性和女性患者中该产品的清除率相似的表述预计不会增加对患者的潜在伤害，且FDA规定标签中的用法说明可确保该产品安全有效地用于治疗PI和IPT，而不考虑性别。这便是FDA认为符合FDA规定标签的推广沟通示例。</w:t>
      </w:r>
    </w:p>
    <w:p w14:paraId="18188527">
      <w:pPr>
        <w:shd w:val="clear" w:color="auto" w:fill="FFFFFF"/>
        <w:topLinePunct/>
        <w:autoSpaceDE/>
        <w:autoSpaceDN/>
        <w:adjustRightInd/>
        <w:ind w:left="1000" w:leftChars="500" w:firstLine="480" w:firstLineChars="200"/>
        <w:jc w:val="both"/>
        <w:rPr>
          <w:rFonts w:eastAsia="宋体"/>
          <w:sz w:val="24"/>
          <w:szCs w:val="24"/>
        </w:rPr>
      </w:pPr>
    </w:p>
    <w:p w14:paraId="47CA6498">
      <w:pPr>
        <w:shd w:val="clear" w:color="auto" w:fill="FFFFFF"/>
        <w:topLinePunct/>
        <w:autoSpaceDE/>
        <w:autoSpaceDN/>
        <w:adjustRightInd/>
        <w:ind w:left="1000" w:leftChars="500" w:firstLine="480" w:firstLineChars="200"/>
        <w:jc w:val="both"/>
        <w:rPr>
          <w:rFonts w:eastAsia="宋体"/>
          <w:sz w:val="24"/>
          <w:szCs w:val="24"/>
        </w:rPr>
      </w:pPr>
      <w:r>
        <w:rPr>
          <w:rFonts w:eastAsia="宋体"/>
          <w:i/>
          <w:color w:val="000000"/>
          <w:sz w:val="24"/>
          <w:szCs w:val="24"/>
        </w:rPr>
        <w:t>这是否为真实且无误导性的信息？</w:t>
      </w:r>
      <w:r>
        <w:rPr>
          <w:rFonts w:eastAsia="宋体"/>
          <w:color w:val="000000"/>
          <w:sz w:val="24"/>
          <w:szCs w:val="24"/>
        </w:rPr>
        <w:t>是，前提条件是该公司的CFL推广沟通中准确报告了关键性研究的许可信息，并披露基本研究设计和方法的重要方面，包括信息的任何实质性限制因素。</w:t>
      </w:r>
      <w:r>
        <w:rPr>
          <w:rFonts w:eastAsia="宋体"/>
          <w:sz w:val="24"/>
          <w:szCs w:val="24"/>
        </w:rPr>
        <w:t>如Q.7/A.7中所示，公司还应确保CFL推广沟通中的剩余信息为真实且无误导性的信息，同时满足任何其他适用要求。</w:t>
      </w:r>
    </w:p>
    <w:p w14:paraId="7FB8D9B8">
      <w:pPr>
        <w:shd w:val="clear" w:color="auto" w:fill="FFFFFF"/>
        <w:topLinePunct/>
        <w:autoSpaceDE/>
        <w:autoSpaceDN/>
        <w:adjustRightInd/>
        <w:ind w:left="1000" w:leftChars="500"/>
        <w:jc w:val="both"/>
        <w:rPr>
          <w:rFonts w:eastAsia="宋体"/>
          <w:sz w:val="24"/>
          <w:szCs w:val="24"/>
        </w:rPr>
      </w:pPr>
    </w:p>
    <w:p w14:paraId="3A82089D">
      <w:pPr>
        <w:shd w:val="clear" w:color="auto" w:fill="FFFFFF"/>
        <w:topLinePunct/>
        <w:autoSpaceDE/>
        <w:autoSpaceDN/>
        <w:adjustRightInd/>
        <w:ind w:left="1000" w:leftChars="500"/>
        <w:jc w:val="both"/>
        <w:rPr>
          <w:rFonts w:eastAsia="宋体"/>
          <w:sz w:val="24"/>
          <w:szCs w:val="24"/>
        </w:rPr>
      </w:pPr>
      <w:r>
        <w:rPr>
          <w:rFonts w:eastAsia="宋体"/>
          <w:b/>
          <w:i/>
          <w:sz w:val="24"/>
          <w:szCs w:val="24"/>
        </w:rPr>
        <w:t>示例2：</w:t>
      </w:r>
      <w:r>
        <w:rPr>
          <w:rFonts w:eastAsia="宋体"/>
          <w:color w:val="000000"/>
          <w:sz w:val="24"/>
          <w:szCs w:val="24"/>
        </w:rPr>
        <w:t>当药物无法充分控制症状时，植入式器械获批用作减轻慢性疾病症状的辅助治疗。根据病情和症状，该器械由临床医生/患者进行控制。使用说明未规定具体的使用时间表。</w:t>
      </w:r>
      <w:r>
        <w:rPr>
          <w:rFonts w:eastAsia="宋体"/>
          <w:sz w:val="24"/>
          <w:szCs w:val="24"/>
        </w:rPr>
        <w:t>在支持该器械上市前批准申请（PMA）的临床研究中，使用该器械的患者中约有一半报告严重头痛，但由于其慢性疾病相关症状得到改善的获益，许多患者可耐受该风险。</w:t>
      </w:r>
    </w:p>
    <w:p w14:paraId="71855CA7">
      <w:pPr>
        <w:shd w:val="clear" w:color="auto" w:fill="FFFFFF"/>
        <w:topLinePunct/>
        <w:autoSpaceDE/>
        <w:autoSpaceDN/>
        <w:adjustRightInd/>
        <w:ind w:left="1000" w:leftChars="500"/>
        <w:jc w:val="both"/>
        <w:rPr>
          <w:rFonts w:eastAsia="宋体"/>
          <w:sz w:val="24"/>
          <w:szCs w:val="24"/>
        </w:rPr>
      </w:pPr>
    </w:p>
    <w:p w14:paraId="2991505E">
      <w:pPr>
        <w:shd w:val="clear" w:color="auto" w:fill="FFFFFF"/>
        <w:topLinePunct/>
        <w:autoSpaceDE/>
        <w:autoSpaceDN/>
        <w:adjustRightInd/>
        <w:ind w:left="1000" w:leftChars="500" w:firstLine="480" w:firstLineChars="200"/>
        <w:jc w:val="both"/>
        <w:rPr>
          <w:rFonts w:eastAsia="宋体"/>
          <w:sz w:val="24"/>
          <w:szCs w:val="24"/>
        </w:rPr>
      </w:pPr>
      <w:r>
        <w:rPr>
          <w:rFonts w:eastAsia="宋体"/>
          <w:color w:val="000000"/>
          <w:sz w:val="24"/>
          <w:szCs w:val="24"/>
        </w:rPr>
        <w:t>公司在上市后注册/登记研究中招募了植入器械的患者，旨在更好地识别和量化罕见不良事件，并评价治疗的长期有效性。除了临床随访访视外，患者还使用日记记录器械使用、症状和不良事件。</w:t>
      </w:r>
      <w:r>
        <w:rPr>
          <w:rFonts w:eastAsia="宋体"/>
          <w:sz w:val="24"/>
          <w:szCs w:val="24"/>
        </w:rPr>
        <w:t>登记/注册研究数据表明，使用器械更频繁和使用时间更短的患者（此类使用与获批标签相符）在缓解慢性疾病相关症状方面的获益与支持PMA的临床研究中观察到的获益相当，但是，与PMA获批标签中报告的情况相比，此类患者因使用器械导致的重度头痛发生率降低。</w:t>
      </w:r>
    </w:p>
    <w:p w14:paraId="244079C4">
      <w:pPr>
        <w:shd w:val="clear" w:color="auto" w:fill="FFFFFF"/>
        <w:topLinePunct/>
        <w:autoSpaceDE/>
        <w:autoSpaceDN/>
        <w:adjustRightInd/>
        <w:ind w:left="1000" w:leftChars="500" w:firstLine="480" w:firstLineChars="200"/>
        <w:jc w:val="both"/>
        <w:rPr>
          <w:rFonts w:eastAsia="宋体"/>
          <w:sz w:val="24"/>
          <w:szCs w:val="24"/>
        </w:rPr>
      </w:pPr>
    </w:p>
    <w:p w14:paraId="46C4FE1D">
      <w:pPr>
        <w:shd w:val="clear" w:color="auto" w:fill="FFFFFF"/>
        <w:topLinePunct/>
        <w:autoSpaceDE/>
        <w:autoSpaceDN/>
        <w:adjustRightInd/>
        <w:ind w:left="1000" w:leftChars="500" w:firstLine="480" w:firstLineChars="200"/>
        <w:jc w:val="both"/>
        <w:rPr>
          <w:rFonts w:eastAsia="宋体"/>
          <w:sz w:val="24"/>
          <w:szCs w:val="24"/>
        </w:rPr>
      </w:pPr>
      <w:r>
        <w:rPr>
          <w:rFonts w:eastAsia="宋体"/>
          <w:color w:val="000000"/>
          <w:sz w:val="24"/>
          <w:szCs w:val="24"/>
        </w:rPr>
        <w:t>器械公司编制宣传材料来传达关于降低重度头痛发生率的信息；此类材料还概述了关于注册/登记研究的具体信息，包括注册/登记研究入组的患者数量、患者人群、结果测量指标和器械使用总结，以及患者日记中报告的症状和不良事件。拟定的宣传材料明确披露，与降低重度头痛发生率相关的日记信息趋势为描述性信息，无统计学把握度且未预先指定，因此应谨慎解释该信息，其可能为偶然所得。此类材料还披露了上市前临床研究的数据以及注册/登记研究数据，以提供相关背景信息。</w:t>
      </w:r>
    </w:p>
    <w:p w14:paraId="0E5581D2">
      <w:pPr>
        <w:widowControl/>
        <w:autoSpaceDE/>
        <w:autoSpaceDN/>
        <w:adjustRightInd/>
        <w:rPr>
          <w:rFonts w:eastAsia="宋体"/>
          <w:sz w:val="24"/>
          <w:szCs w:val="24"/>
        </w:rPr>
      </w:pPr>
      <w:r>
        <w:rPr>
          <w:rFonts w:eastAsia="宋体"/>
          <w:sz w:val="24"/>
          <w:szCs w:val="24"/>
        </w:rPr>
        <w:br w:type="page"/>
      </w:r>
    </w:p>
    <w:p w14:paraId="0161FC42">
      <w:pPr>
        <w:shd w:val="clear" w:color="auto" w:fill="FFFFFF"/>
        <w:topLinePunct/>
        <w:autoSpaceDE/>
        <w:autoSpaceDN/>
        <w:adjustRightInd/>
        <w:ind w:left="1000" w:leftChars="500" w:firstLine="480" w:firstLineChars="200"/>
        <w:jc w:val="both"/>
        <w:rPr>
          <w:rFonts w:eastAsia="宋体"/>
          <w:sz w:val="24"/>
          <w:szCs w:val="24"/>
        </w:rPr>
      </w:pPr>
      <w:r>
        <w:rPr>
          <w:rFonts w:hint="eastAsia" w:eastAsia="宋体"/>
          <w:i/>
          <w:color w:val="000000"/>
          <w:sz w:val="24"/>
          <w:szCs w:val="24"/>
        </w:rPr>
        <w:t>这是否符合</w:t>
      </w:r>
      <w:r>
        <w:rPr>
          <w:rFonts w:eastAsia="宋体"/>
          <w:i/>
          <w:color w:val="000000"/>
          <w:sz w:val="24"/>
          <w:szCs w:val="24"/>
        </w:rPr>
        <w:t>FDA</w:t>
      </w:r>
      <w:r>
        <w:rPr>
          <w:rFonts w:hint="eastAsia" w:eastAsia="宋体"/>
          <w:i/>
          <w:color w:val="000000"/>
          <w:sz w:val="24"/>
          <w:szCs w:val="24"/>
        </w:rPr>
        <w:t>规定的标签？</w:t>
      </w:r>
      <w:r>
        <w:rPr>
          <w:rFonts w:eastAsia="宋体"/>
          <w:color w:val="000000"/>
          <w:sz w:val="24"/>
          <w:szCs w:val="24"/>
        </w:rPr>
        <w:t>是。</w:t>
      </w:r>
      <w:r>
        <w:rPr>
          <w:rFonts w:eastAsia="宋体"/>
          <w:sz w:val="24"/>
          <w:szCs w:val="24"/>
        </w:rPr>
        <w:t>此类关于产品使用的陈述在FDA批准的使用范围内，因为该产品用于其获批患者人群的获批适应症，且符合FDA规定标签中的使用说明。</w:t>
      </w:r>
      <w:r>
        <w:rPr>
          <w:rFonts w:eastAsia="宋体"/>
          <w:color w:val="000000"/>
          <w:sz w:val="24"/>
          <w:szCs w:val="24"/>
        </w:rPr>
        <w:t>相对于FDA规定标签中反映的信息，预计这些陈述不会增加对患者的潜在伤害。FDA规定标签中的使用说明使该产品能够安全有效地用于沟通所述的条件。虽然宣传材料以特定方式提供了关于使用该器械的补充信息，但所提供的信息均符合标签中的使用说明，标签中未规定具体使用时间表，且该信息不会改变或损害FDA规定标签中的使用说明。公司对该信息的沟通将被认为与FDA规定的标签相符。</w:t>
      </w:r>
    </w:p>
    <w:p w14:paraId="1A612C60">
      <w:pPr>
        <w:shd w:val="clear" w:color="auto" w:fill="FFFFFF"/>
        <w:topLinePunct/>
        <w:autoSpaceDE/>
        <w:autoSpaceDN/>
        <w:adjustRightInd/>
        <w:ind w:left="1000" w:leftChars="500" w:firstLine="480" w:firstLineChars="200"/>
        <w:jc w:val="both"/>
        <w:rPr>
          <w:rFonts w:eastAsia="宋体"/>
          <w:i/>
          <w:color w:val="000000"/>
          <w:sz w:val="24"/>
          <w:szCs w:val="24"/>
        </w:rPr>
      </w:pPr>
    </w:p>
    <w:p w14:paraId="27170E79">
      <w:pPr>
        <w:shd w:val="clear" w:color="auto" w:fill="FFFFFF"/>
        <w:topLinePunct/>
        <w:autoSpaceDE/>
        <w:autoSpaceDN/>
        <w:adjustRightInd/>
        <w:ind w:left="1000" w:leftChars="500" w:firstLine="480" w:firstLineChars="200"/>
        <w:jc w:val="both"/>
        <w:rPr>
          <w:rFonts w:eastAsia="宋体"/>
          <w:sz w:val="24"/>
          <w:szCs w:val="24"/>
        </w:rPr>
      </w:pPr>
      <w:r>
        <w:rPr>
          <w:rFonts w:eastAsia="宋体"/>
          <w:i/>
          <w:color w:val="000000"/>
          <w:sz w:val="24"/>
          <w:szCs w:val="24"/>
        </w:rPr>
        <w:t>这是否为真实且无误导性的信息？</w:t>
      </w:r>
      <w:r>
        <w:rPr>
          <w:rFonts w:eastAsia="宋体"/>
          <w:color w:val="000000"/>
          <w:sz w:val="24"/>
          <w:szCs w:val="24"/>
        </w:rPr>
        <w:t>如果公司的宣传材料中准确报告了数据和信息，且材料中披露了基本研究设计和方法的重要方面，包括信息的实质性限制因素，则FDA认为该材料真实且无误导性。</w:t>
      </w:r>
      <w:r>
        <w:rPr>
          <w:rFonts w:eastAsia="宋体"/>
          <w:sz w:val="24"/>
          <w:szCs w:val="24"/>
        </w:rPr>
        <w:t>如果宣传材料中的剩余信息真实且无误导性，则FDA也认为其为符合Q.6/A.6和Q.8/A.8建议的CFL推广沟通示例。</w:t>
      </w:r>
    </w:p>
    <w:p w14:paraId="77D75191">
      <w:pPr>
        <w:shd w:val="clear" w:color="auto" w:fill="FFFFFF"/>
        <w:tabs>
          <w:tab w:val="left" w:pos="1080"/>
        </w:tabs>
        <w:topLinePunct/>
        <w:autoSpaceDE/>
        <w:autoSpaceDN/>
        <w:adjustRightInd/>
        <w:ind w:left="964" w:hanging="964" w:hangingChars="400"/>
        <w:jc w:val="both"/>
        <w:rPr>
          <w:rFonts w:eastAsia="宋体"/>
          <w:b/>
          <w:i/>
          <w:color w:val="000000"/>
          <w:sz w:val="24"/>
          <w:szCs w:val="24"/>
        </w:rPr>
      </w:pPr>
    </w:p>
    <w:p w14:paraId="3A930F07">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Q.10.</w:t>
      </w:r>
      <w:r>
        <w:rPr>
          <w:rFonts w:eastAsia="宋体"/>
          <w:b/>
          <w:i/>
          <w:color w:val="000000"/>
          <w:sz w:val="24"/>
          <w:szCs w:val="24"/>
        </w:rPr>
        <w:tab/>
      </w:r>
      <w:r>
        <w:rPr>
          <w:rFonts w:eastAsia="宋体"/>
          <w:b/>
          <w:i/>
          <w:color w:val="000000"/>
          <w:sz w:val="24"/>
          <w:szCs w:val="24"/>
        </w:rPr>
        <w:t>FDA认为不符合FDA规定标签或不符合本指南建议的推广沟通示例有哪些？</w:t>
      </w:r>
    </w:p>
    <w:p w14:paraId="2A2C12BB">
      <w:pPr>
        <w:shd w:val="clear" w:color="auto" w:fill="FFFFFF"/>
        <w:tabs>
          <w:tab w:val="left" w:pos="1080"/>
        </w:tabs>
        <w:topLinePunct/>
        <w:autoSpaceDE/>
        <w:autoSpaceDN/>
        <w:adjustRightInd/>
        <w:ind w:left="960" w:hanging="960" w:hangingChars="400"/>
        <w:jc w:val="both"/>
        <w:rPr>
          <w:rFonts w:eastAsia="宋体"/>
          <w:sz w:val="24"/>
          <w:szCs w:val="24"/>
        </w:rPr>
      </w:pPr>
    </w:p>
    <w:p w14:paraId="36B44112">
      <w:pPr>
        <w:shd w:val="clear" w:color="auto" w:fill="FFFFFF"/>
        <w:tabs>
          <w:tab w:val="left" w:pos="1080"/>
        </w:tabs>
        <w:topLinePunct/>
        <w:autoSpaceDE/>
        <w:autoSpaceDN/>
        <w:adjustRightInd/>
        <w:ind w:left="960" w:hanging="960" w:hangingChars="400"/>
        <w:jc w:val="both"/>
        <w:rPr>
          <w:rFonts w:eastAsia="宋体"/>
          <w:sz w:val="24"/>
          <w:szCs w:val="24"/>
        </w:rPr>
      </w:pPr>
      <w:r>
        <w:rPr>
          <w:rFonts w:eastAsia="宋体"/>
          <w:sz w:val="24"/>
          <w:szCs w:val="24"/>
        </w:rPr>
        <w:t>A.10.</w:t>
      </w:r>
      <w:r>
        <w:rPr>
          <w:rFonts w:eastAsia="宋体"/>
          <w:color w:val="000000"/>
          <w:sz w:val="24"/>
          <w:szCs w:val="24"/>
        </w:rPr>
        <w:tab/>
      </w:r>
      <w:r>
        <w:rPr>
          <w:rFonts w:eastAsia="宋体"/>
          <w:color w:val="000000"/>
          <w:sz w:val="24"/>
          <w:szCs w:val="24"/>
        </w:rPr>
        <w:t>以下为两个示例。第一个示例说明了FDA认为不符合FDA规定标签的推广沟通，第二个示例说明了FDA认为不符合Q.6/A.6和Q.8/A.8中建议的CFL推广沟通。</w:t>
      </w:r>
    </w:p>
    <w:p w14:paraId="3B89E8C0">
      <w:pPr>
        <w:shd w:val="clear" w:color="auto" w:fill="FFFFFF"/>
        <w:topLinePunct/>
        <w:autoSpaceDE/>
        <w:autoSpaceDN/>
        <w:adjustRightInd/>
        <w:ind w:left="1000" w:leftChars="500"/>
        <w:jc w:val="both"/>
        <w:rPr>
          <w:rFonts w:eastAsia="宋体"/>
          <w:b/>
          <w:i/>
          <w:sz w:val="24"/>
          <w:szCs w:val="24"/>
        </w:rPr>
      </w:pPr>
    </w:p>
    <w:p w14:paraId="3C311047">
      <w:pPr>
        <w:shd w:val="clear" w:color="auto" w:fill="FFFFFF"/>
        <w:topLinePunct/>
        <w:autoSpaceDE/>
        <w:autoSpaceDN/>
        <w:adjustRightInd/>
        <w:ind w:left="1000" w:leftChars="500"/>
        <w:jc w:val="both"/>
        <w:rPr>
          <w:rFonts w:eastAsia="宋体"/>
          <w:color w:val="000000"/>
          <w:sz w:val="24"/>
          <w:szCs w:val="24"/>
        </w:rPr>
      </w:pPr>
      <w:r>
        <w:rPr>
          <w:rFonts w:eastAsia="宋体"/>
          <w:b/>
          <w:i/>
          <w:sz w:val="24"/>
          <w:szCs w:val="24"/>
        </w:rPr>
        <w:t>示例1：</w:t>
      </w:r>
      <w:r>
        <w:rPr>
          <w:rFonts w:eastAsia="宋体"/>
          <w:color w:val="000000"/>
          <w:sz w:val="24"/>
          <w:szCs w:val="24"/>
        </w:rPr>
        <w:t>该药品适用于治疗食用牛和非哺乳期奶牛中与某些敏感细菌相关的牛呼吸道疾病（BRD）。如果在运输牛之前5天使用该药物预防BRD，该公司会编制宣传材料来传达关于该药物使用的信息。</w:t>
      </w:r>
    </w:p>
    <w:p w14:paraId="34B2E8A4">
      <w:pPr>
        <w:shd w:val="clear" w:color="auto" w:fill="FFFFFF"/>
        <w:topLinePunct/>
        <w:autoSpaceDE/>
        <w:autoSpaceDN/>
        <w:adjustRightInd/>
        <w:ind w:left="1000" w:leftChars="500"/>
        <w:jc w:val="both"/>
        <w:rPr>
          <w:rFonts w:eastAsia="宋体"/>
          <w:sz w:val="24"/>
          <w:szCs w:val="24"/>
        </w:rPr>
      </w:pPr>
    </w:p>
    <w:p w14:paraId="414A4B3C">
      <w:pPr>
        <w:shd w:val="clear" w:color="auto" w:fill="FFFFFF"/>
        <w:topLinePunct/>
        <w:autoSpaceDE/>
        <w:autoSpaceDN/>
        <w:adjustRightInd/>
        <w:ind w:left="1000" w:leftChars="500" w:firstLine="480" w:firstLineChars="200"/>
        <w:jc w:val="both"/>
        <w:rPr>
          <w:rFonts w:eastAsia="宋体"/>
          <w:sz w:val="24"/>
          <w:szCs w:val="24"/>
        </w:rPr>
      </w:pPr>
      <w:r>
        <w:rPr>
          <w:rFonts w:hint="eastAsia" w:eastAsia="宋体"/>
          <w:i/>
          <w:color w:val="000000"/>
          <w:sz w:val="24"/>
          <w:szCs w:val="24"/>
        </w:rPr>
        <w:t>这是否符合</w:t>
      </w:r>
      <w:r>
        <w:rPr>
          <w:rFonts w:eastAsia="宋体"/>
          <w:i/>
          <w:color w:val="000000"/>
          <w:sz w:val="24"/>
          <w:szCs w:val="24"/>
        </w:rPr>
        <w:t>FDA</w:t>
      </w:r>
      <w:r>
        <w:rPr>
          <w:rFonts w:hint="eastAsia" w:eastAsia="宋体"/>
          <w:i/>
          <w:color w:val="000000"/>
          <w:sz w:val="24"/>
          <w:szCs w:val="24"/>
        </w:rPr>
        <w:t>规定的标签？</w:t>
      </w:r>
      <w:r>
        <w:rPr>
          <w:rFonts w:eastAsia="宋体"/>
          <w:color w:val="000000"/>
          <w:sz w:val="24"/>
          <w:szCs w:val="24"/>
        </w:rPr>
        <w:t>否，此类关于产品用途的表述不在FDA批准的使用范围内。BRD治疗和BRD预防是两种截然不同的适应症，该药品尚未获批用于预防BRD。针对BRD治疗，FDA规定标签未提供使用该产品进行疾病预防的说明。</w:t>
      </w:r>
    </w:p>
    <w:p w14:paraId="5A3515A9">
      <w:pPr>
        <w:shd w:val="clear" w:color="auto" w:fill="FFFFFF"/>
        <w:topLinePunct/>
        <w:autoSpaceDE/>
        <w:autoSpaceDN/>
        <w:adjustRightInd/>
        <w:ind w:left="1000" w:leftChars="500" w:firstLine="480" w:firstLineChars="200"/>
        <w:jc w:val="both"/>
        <w:rPr>
          <w:rFonts w:eastAsia="宋体"/>
          <w:color w:val="000000"/>
          <w:sz w:val="24"/>
          <w:szCs w:val="24"/>
        </w:rPr>
      </w:pPr>
      <w:r>
        <w:rPr>
          <w:rFonts w:eastAsia="宋体"/>
          <w:sz w:val="24"/>
          <w:szCs w:val="24"/>
        </w:rPr>
        <w:br w:type="page"/>
      </w:r>
      <w:r>
        <w:rPr>
          <w:rFonts w:eastAsia="宋体"/>
          <w:color w:val="000000"/>
          <w:sz w:val="24"/>
          <w:szCs w:val="24"/>
        </w:rPr>
        <w:t>此外，在运输之前5天对牛经口给予该药品以预防BRD，将合理地预期会增加受治疗牛的耐药菌对健康（包括对牛和人类健康）造成的风险。在确定动物药品在特定使用条件下是否安全有效时，FDA考虑了相应的风险因素，包括动物和公众健康的考虑因素。</w:t>
      </w:r>
    </w:p>
    <w:p w14:paraId="77703AB7">
      <w:pPr>
        <w:shd w:val="clear" w:color="auto" w:fill="FFFFFF"/>
        <w:topLinePunct/>
        <w:autoSpaceDE/>
        <w:autoSpaceDN/>
        <w:adjustRightInd/>
        <w:ind w:left="1000" w:leftChars="500"/>
        <w:jc w:val="both"/>
        <w:rPr>
          <w:rFonts w:eastAsia="宋体"/>
          <w:sz w:val="24"/>
          <w:szCs w:val="24"/>
        </w:rPr>
      </w:pPr>
    </w:p>
    <w:p w14:paraId="418CDE91">
      <w:pPr>
        <w:shd w:val="clear" w:color="auto" w:fill="FFFFFF"/>
        <w:topLinePunct/>
        <w:autoSpaceDE/>
        <w:autoSpaceDN/>
        <w:adjustRightInd/>
        <w:ind w:left="1000" w:leftChars="500"/>
        <w:jc w:val="both"/>
        <w:rPr>
          <w:rFonts w:eastAsia="宋体"/>
          <w:color w:val="000000"/>
          <w:sz w:val="24"/>
          <w:szCs w:val="24"/>
        </w:rPr>
      </w:pPr>
      <w:r>
        <w:rPr>
          <w:rFonts w:eastAsia="宋体"/>
          <w:b/>
          <w:i/>
          <w:sz w:val="24"/>
          <w:szCs w:val="24"/>
        </w:rPr>
        <w:t>示例2：</w:t>
      </w:r>
      <w:r>
        <w:rPr>
          <w:rFonts w:eastAsia="宋体"/>
          <w:color w:val="000000"/>
          <w:sz w:val="24"/>
          <w:szCs w:val="24"/>
        </w:rPr>
        <w:t>A药品获批用于12岁及以上哮喘患者的长期、维持治疗。在一项随机、双盲研究中，对A药品适用于该适应症的安全性和有效性进行了评价，并与安慰剂治疗进行了比较。该研究还包括一种活性对照药物（B药品），该药品获批用于相同适应症，且风险特征相当，将其与安慰剂进行了类似评价。该研究的目的并非直接检测A药品相对于B药品的非劣效性或优效性（即，纳入B药品组用于分析敏感性）。在协同主要疗效终点方面，与安慰剂相比，A药品和B药品均表现出统计学显著性改善，但A药品的结果显示与安慰剂相比的改善在数值上大于B药品。基于该项研究，A药品的公司编制了宣传材料，宣称在12岁及以上哮喘患者的长期、维持治疗方面A药品在临床上优于B药品。</w:t>
      </w:r>
    </w:p>
    <w:p w14:paraId="27896390">
      <w:pPr>
        <w:shd w:val="clear" w:color="auto" w:fill="FFFFFF"/>
        <w:topLinePunct/>
        <w:autoSpaceDE/>
        <w:autoSpaceDN/>
        <w:adjustRightInd/>
        <w:ind w:left="1000" w:leftChars="500"/>
        <w:jc w:val="both"/>
        <w:rPr>
          <w:rFonts w:eastAsia="宋体"/>
          <w:sz w:val="24"/>
          <w:szCs w:val="24"/>
        </w:rPr>
      </w:pPr>
    </w:p>
    <w:p w14:paraId="54434946">
      <w:pPr>
        <w:shd w:val="clear" w:color="auto" w:fill="FFFFFF"/>
        <w:topLinePunct/>
        <w:autoSpaceDE/>
        <w:autoSpaceDN/>
        <w:adjustRightInd/>
        <w:ind w:left="1000" w:leftChars="500" w:firstLine="480" w:firstLineChars="200"/>
        <w:jc w:val="both"/>
        <w:rPr>
          <w:rFonts w:eastAsia="宋体"/>
          <w:sz w:val="24"/>
          <w:szCs w:val="24"/>
        </w:rPr>
      </w:pPr>
      <w:r>
        <w:rPr>
          <w:rFonts w:hint="eastAsia" w:eastAsia="宋体"/>
          <w:i/>
          <w:color w:val="000000"/>
          <w:sz w:val="24"/>
          <w:szCs w:val="24"/>
        </w:rPr>
        <w:t>这是否符合</w:t>
      </w:r>
      <w:r>
        <w:rPr>
          <w:rFonts w:eastAsia="宋体"/>
          <w:i/>
          <w:color w:val="000000"/>
          <w:sz w:val="24"/>
          <w:szCs w:val="24"/>
        </w:rPr>
        <w:t>FDA</w:t>
      </w:r>
      <w:r>
        <w:rPr>
          <w:rFonts w:hint="eastAsia" w:eastAsia="宋体"/>
          <w:i/>
          <w:color w:val="000000"/>
          <w:sz w:val="24"/>
          <w:szCs w:val="24"/>
        </w:rPr>
        <w:t>规定的标签？</w:t>
      </w:r>
      <w:r>
        <w:rPr>
          <w:rFonts w:eastAsia="宋体"/>
          <w:color w:val="000000"/>
          <w:sz w:val="24"/>
          <w:szCs w:val="24"/>
        </w:rPr>
        <w:t>是。</w:t>
      </w:r>
      <w:r>
        <w:rPr>
          <w:rFonts w:eastAsia="宋体"/>
          <w:sz w:val="24"/>
          <w:szCs w:val="24"/>
        </w:rPr>
        <w:t>公司拟提供的信息在FDA批准的A药品使用范围内。该宣传材料涉及以FDA规定标签中推荐的相同剂量规格和频率在获批患者人群中使用A药品。</w:t>
      </w:r>
      <w:r>
        <w:rPr>
          <w:rFonts w:eastAsia="宋体"/>
          <w:color w:val="000000"/>
          <w:sz w:val="24"/>
          <w:szCs w:val="24"/>
        </w:rPr>
        <w:t>相对于FDA规定标签中反映的信息，预计该信息不会增加对患者健康的潜在伤害 — A药品和B药品均获批用于相同的适应症和患者人群，且具有相似的风险特征。此外，FDA规定标签中的用法说明使A药品能够安全有效地用于宣传材料所述的条件。</w:t>
      </w:r>
      <w:r>
        <w:rPr>
          <w:rFonts w:eastAsia="宋体"/>
          <w:sz w:val="24"/>
          <w:szCs w:val="24"/>
        </w:rPr>
        <w:t>该宣传材料可被视为符合FDA规定标签。</w:t>
      </w:r>
    </w:p>
    <w:p w14:paraId="5CBD4023">
      <w:pPr>
        <w:shd w:val="clear" w:color="auto" w:fill="FFFFFF"/>
        <w:topLinePunct/>
        <w:autoSpaceDE/>
        <w:autoSpaceDN/>
        <w:adjustRightInd/>
        <w:ind w:left="1000" w:leftChars="500" w:firstLine="480" w:firstLineChars="200"/>
        <w:jc w:val="both"/>
        <w:rPr>
          <w:rFonts w:eastAsia="宋体"/>
          <w:sz w:val="24"/>
          <w:szCs w:val="24"/>
        </w:rPr>
      </w:pPr>
    </w:p>
    <w:p w14:paraId="345EF226">
      <w:pPr>
        <w:shd w:val="clear" w:color="auto" w:fill="FFFFFF"/>
        <w:topLinePunct/>
        <w:autoSpaceDE/>
        <w:autoSpaceDN/>
        <w:adjustRightInd/>
        <w:ind w:left="1000" w:leftChars="500" w:firstLine="480" w:firstLineChars="200"/>
        <w:jc w:val="both"/>
        <w:rPr>
          <w:rFonts w:eastAsia="宋体"/>
          <w:color w:val="000000"/>
          <w:sz w:val="24"/>
          <w:szCs w:val="24"/>
        </w:rPr>
      </w:pPr>
      <w:r>
        <w:rPr>
          <w:rFonts w:eastAsia="宋体"/>
          <w:i/>
          <w:color w:val="000000"/>
          <w:sz w:val="24"/>
          <w:szCs w:val="24"/>
        </w:rPr>
        <w:t>这是否为真实且无误导性的信息？</w:t>
      </w:r>
      <w:r>
        <w:rPr>
          <w:rFonts w:eastAsia="宋体"/>
          <w:color w:val="000000"/>
          <w:sz w:val="24"/>
          <w:szCs w:val="24"/>
        </w:rPr>
        <w:t>否。该宣传材料具有误导性，因为其根据一项并非设计用于确定A药品优于B药品的研究，并声称A药品的有效性优于B药品。因此，CFL推广沟通与Q.6/A.6和Q.8/A.8建议的不相符。</w:t>
      </w:r>
    </w:p>
    <w:p w14:paraId="63525ABA">
      <w:pPr>
        <w:shd w:val="clear" w:color="auto" w:fill="FFFFFF"/>
        <w:topLinePunct/>
        <w:autoSpaceDE/>
        <w:autoSpaceDN/>
        <w:adjustRightInd/>
        <w:ind w:left="1000" w:leftChars="500" w:firstLine="480" w:firstLineChars="200"/>
        <w:jc w:val="both"/>
        <w:rPr>
          <w:rFonts w:eastAsia="宋体"/>
          <w:sz w:val="24"/>
          <w:szCs w:val="24"/>
        </w:rPr>
      </w:pPr>
    </w:p>
    <w:p w14:paraId="397C6EFA">
      <w:pPr>
        <w:shd w:val="clear" w:color="auto" w:fill="FFFFFF"/>
        <w:topLinePunct/>
        <w:autoSpaceDE/>
        <w:autoSpaceDN/>
        <w:adjustRightInd/>
        <w:ind w:left="1000" w:leftChars="500" w:firstLine="480" w:firstLineChars="200"/>
        <w:jc w:val="both"/>
        <w:rPr>
          <w:rFonts w:eastAsia="宋体"/>
          <w:sz w:val="24"/>
          <w:szCs w:val="24"/>
        </w:rPr>
      </w:pPr>
      <w:r>
        <w:rPr>
          <w:rFonts w:eastAsia="宋体"/>
          <w:color w:val="000000"/>
          <w:sz w:val="24"/>
          <w:szCs w:val="24"/>
        </w:rPr>
        <w:t>如果公司希望提供本研究的数据和信息，则应以真实且无误导性的方式提供。例如，公司可描述研究设计和目的，包括两者的实质性限制因素，并包括显著的背景信息，即研究并非旨在提供可比较的疗效数据，也不应解释为提供证据证明A药品优效于B药品或A药品非劣效于B药品。CFL推广沟通不应包含未获得相应证据支持的陈述或建议（如任何关于A药品疗效优于B药品的陈述或建议）。</w:t>
      </w:r>
    </w:p>
    <w:p w14:paraId="75BA381F">
      <w:pPr>
        <w:shd w:val="clear" w:color="auto" w:fill="FFFFFF"/>
        <w:topLinePunct/>
        <w:autoSpaceDE/>
        <w:autoSpaceDN/>
        <w:adjustRightInd/>
        <w:ind w:left="1000" w:leftChars="500"/>
        <w:jc w:val="both"/>
        <w:rPr>
          <w:rFonts w:eastAsia="宋体"/>
          <w:sz w:val="24"/>
          <w:szCs w:val="24"/>
        </w:rPr>
      </w:pPr>
      <w:r>
        <w:rPr>
          <w:rFonts w:eastAsia="宋体"/>
          <w:sz w:val="24"/>
          <w:szCs w:val="24"/>
        </w:rPr>
        <w:br w:type="page"/>
      </w:r>
    </w:p>
    <w:p w14:paraId="0407EC29">
      <w:pPr>
        <w:shd w:val="clear" w:color="auto" w:fill="FFFFFF"/>
        <w:tabs>
          <w:tab w:val="left" w:pos="1080"/>
        </w:tabs>
        <w:topLinePunct/>
        <w:autoSpaceDE/>
        <w:autoSpaceDN/>
        <w:adjustRightInd/>
        <w:ind w:left="964" w:hanging="964" w:hangingChars="400"/>
        <w:jc w:val="both"/>
        <w:rPr>
          <w:rFonts w:eastAsia="宋体"/>
          <w:sz w:val="24"/>
          <w:szCs w:val="24"/>
        </w:rPr>
      </w:pPr>
      <w:r>
        <w:rPr>
          <w:rFonts w:eastAsia="宋体"/>
          <w:b/>
          <w:i/>
          <w:color w:val="000000"/>
          <w:sz w:val="24"/>
          <w:szCs w:val="24"/>
        </w:rPr>
        <w:t>Q.11.</w:t>
      </w:r>
      <w:r>
        <w:rPr>
          <w:rFonts w:eastAsia="宋体"/>
          <w:b/>
          <w:i/>
          <w:color w:val="000000"/>
          <w:sz w:val="24"/>
          <w:szCs w:val="24"/>
        </w:rPr>
        <w:tab/>
      </w:r>
      <w:r>
        <w:rPr>
          <w:rFonts w:eastAsia="宋体"/>
          <w:b/>
          <w:i/>
          <w:color w:val="000000"/>
          <w:sz w:val="24"/>
          <w:szCs w:val="24"/>
        </w:rPr>
        <w:t>针对</w:t>
      </w:r>
      <w:r>
        <w:rPr>
          <w:rFonts w:hint="eastAsia" w:eastAsia="宋体"/>
          <w:b/>
          <w:i/>
          <w:color w:val="000000"/>
          <w:sz w:val="24"/>
          <w:szCs w:val="24"/>
          <w:u w:val="single"/>
        </w:rPr>
        <w:t>不</w:t>
      </w:r>
      <w:r>
        <w:rPr>
          <w:rFonts w:eastAsia="宋体"/>
          <w:b/>
          <w:i/>
          <w:color w:val="000000"/>
          <w:sz w:val="24"/>
          <w:szCs w:val="24"/>
        </w:rPr>
        <w:t>符合FDA规定标签的信息沟通（如关于获批/许可医疗产品的未获批用途的信息），FDA的具体政策有哪些？</w:t>
      </w:r>
    </w:p>
    <w:p w14:paraId="5EACE723">
      <w:pPr>
        <w:shd w:val="clear" w:color="auto" w:fill="FFFFFF"/>
        <w:topLinePunct/>
        <w:autoSpaceDE/>
        <w:autoSpaceDN/>
        <w:adjustRightInd/>
        <w:ind w:left="960" w:hanging="960" w:hangingChars="400"/>
        <w:jc w:val="both"/>
        <w:rPr>
          <w:rFonts w:eastAsia="宋体"/>
          <w:sz w:val="24"/>
          <w:szCs w:val="24"/>
        </w:rPr>
      </w:pPr>
    </w:p>
    <w:p w14:paraId="3EFB8DC7">
      <w:pPr>
        <w:shd w:val="clear" w:color="auto" w:fill="FFFFFF"/>
        <w:topLinePunct/>
        <w:autoSpaceDE/>
        <w:autoSpaceDN/>
        <w:adjustRightInd/>
        <w:ind w:left="960" w:hanging="960" w:hangingChars="400"/>
        <w:jc w:val="both"/>
        <w:rPr>
          <w:rFonts w:eastAsia="宋体"/>
          <w:sz w:val="24"/>
          <w:szCs w:val="24"/>
          <w:vertAlign w:val="superscript"/>
        </w:rPr>
      </w:pPr>
      <w:r>
        <w:rPr>
          <w:rFonts w:eastAsia="宋体"/>
          <w:sz w:val="24"/>
          <w:szCs w:val="24"/>
        </w:rPr>
        <w:t>A.11.</w:t>
      </w:r>
      <w:r>
        <w:rPr>
          <w:rFonts w:eastAsia="宋体"/>
          <w:color w:val="000000"/>
          <w:sz w:val="24"/>
          <w:szCs w:val="24"/>
        </w:rPr>
        <w:tab/>
      </w:r>
      <w:r>
        <w:rPr>
          <w:rFonts w:hint="eastAsia" w:eastAsia="宋体"/>
          <w:color w:val="000000"/>
          <w:sz w:val="24"/>
          <w:szCs w:val="24"/>
        </w:rPr>
        <w:t>确定</w:t>
      </w:r>
      <w:r>
        <w:rPr>
          <w:rFonts w:eastAsia="宋体"/>
          <w:sz w:val="24"/>
          <w:szCs w:val="24"/>
        </w:rPr>
        <w:t>产品沟通不符合该产品的FDA规定标签并不一定意味着FDA将根据该相关沟通来确定违反FDA管理的法律权限。</w:t>
      </w:r>
      <w:r>
        <w:rPr>
          <w:rFonts w:eastAsia="宋体"/>
          <w:color w:val="000000"/>
          <w:sz w:val="24"/>
          <w:szCs w:val="24"/>
        </w:rPr>
        <w:t>还存在其他可能相关的法规、指导文件和政策，描述了FDA的观点和在该情况下可能适用的执行优先事项。例如，FDA发布了一份指南草案，说明了公司如何应对与FDA批准的处方药和FDA批准或许可器械相关的未获批使用信息的主动申请。</w:t>
      </w:r>
      <w:r>
        <w:rPr>
          <w:rStyle w:val="16"/>
          <w:rFonts w:eastAsia="宋体"/>
          <w:color w:val="000000"/>
          <w:sz w:val="24"/>
          <w:szCs w:val="24"/>
        </w:rPr>
        <w:footnoteReference w:id="25"/>
      </w:r>
      <w:r>
        <w:rPr>
          <w:rFonts w:eastAsia="宋体"/>
          <w:color w:val="000000"/>
          <w:sz w:val="24"/>
          <w:szCs w:val="24"/>
        </w:rPr>
        <w:t>此外，FDA还提供了单独的指南，说明了公司传播科学和医学出版物的推荐做法，这些出版物讨论了已获批药品或已获批或许可器械的未获批用途。</w:t>
      </w:r>
      <w:r>
        <w:rPr>
          <w:rStyle w:val="16"/>
          <w:rFonts w:eastAsia="宋体"/>
          <w:color w:val="000000"/>
          <w:sz w:val="24"/>
          <w:szCs w:val="24"/>
        </w:rPr>
        <w:footnoteReference w:id="26"/>
      </w:r>
      <w:r>
        <w:rPr>
          <w:rFonts w:eastAsia="宋体"/>
          <w:sz w:val="24"/>
          <w:szCs w:val="24"/>
          <w:vertAlign w:val="superscript"/>
        </w:rPr>
        <w:t>,</w:t>
      </w:r>
      <w:r>
        <w:rPr>
          <w:rStyle w:val="16"/>
          <w:rFonts w:eastAsia="宋体"/>
          <w:sz w:val="24"/>
          <w:szCs w:val="24"/>
        </w:rPr>
        <w:footnoteReference w:id="27"/>
      </w:r>
    </w:p>
    <w:p w14:paraId="6AB40D89">
      <w:pPr>
        <w:shd w:val="clear" w:color="auto" w:fill="FFFFFF"/>
        <w:topLinePunct/>
        <w:autoSpaceDE/>
        <w:autoSpaceDN/>
        <w:adjustRightInd/>
        <w:ind w:left="960" w:hanging="960" w:hangingChars="400"/>
        <w:jc w:val="both"/>
        <w:rPr>
          <w:rFonts w:eastAsia="宋体"/>
          <w:sz w:val="24"/>
          <w:szCs w:val="24"/>
        </w:rPr>
      </w:pPr>
    </w:p>
    <w:p w14:paraId="537ADD90">
      <w:pPr>
        <w:pStyle w:val="2"/>
        <w:spacing w:before="0" w:beforeLines="0" w:line="240" w:lineRule="auto"/>
        <w:ind w:left="964" w:hanging="964"/>
        <w:rPr>
          <w:szCs w:val="32"/>
        </w:rPr>
      </w:pPr>
      <w:bookmarkStart w:id="3" w:name="_Toc97377671"/>
      <w:r>
        <w:rPr>
          <w:szCs w:val="32"/>
        </w:rPr>
        <w:t>IV.</w:t>
      </w:r>
      <w:r>
        <w:rPr>
          <w:szCs w:val="32"/>
        </w:rPr>
        <w:tab/>
      </w:r>
      <w:r>
        <w:rPr>
          <w:szCs w:val="32"/>
        </w:rPr>
        <w:t>1995年《文书削减法》</w:t>
      </w:r>
      <w:bookmarkEnd w:id="3"/>
    </w:p>
    <w:p w14:paraId="2B92C816">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指南包含信息收集规定，须按照1995年《文书削减法》（《美国法典》第44章第3501-3520条）由预算管理办公室（OMB）对此类规定进行审查。具体而言，在Q.8/A.8中，本指南包含有关公司应在沟通中纳入信息的建议，这些信息包含未在FDA规定的医疗产品标签中找到但与FDA规定标签相符的信息。</w:t>
      </w:r>
    </w:p>
    <w:p w14:paraId="3BBCACA0">
      <w:pPr>
        <w:shd w:val="clear" w:color="auto" w:fill="FFFFFF"/>
        <w:topLinePunct/>
        <w:autoSpaceDE/>
        <w:autoSpaceDN/>
        <w:adjustRightInd/>
        <w:ind w:firstLine="480" w:firstLineChars="200"/>
        <w:jc w:val="both"/>
        <w:rPr>
          <w:rFonts w:eastAsia="宋体"/>
          <w:sz w:val="24"/>
          <w:szCs w:val="24"/>
        </w:rPr>
      </w:pPr>
    </w:p>
    <w:p w14:paraId="3912C79D">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FDA估计，每个独特的演示文稿需要公司花费大约4小时来编制并整合建议应纳入其CFL推广沟通中的信息。将有关耗时估计的意见或对减少耗时的建议发送至：</w:t>
      </w:r>
    </w:p>
    <w:p w14:paraId="2080A0C9">
      <w:pPr>
        <w:shd w:val="clear" w:color="auto" w:fill="FFFFFF"/>
        <w:topLinePunct/>
        <w:autoSpaceDE/>
        <w:autoSpaceDN/>
        <w:adjustRightInd/>
        <w:jc w:val="both"/>
        <w:rPr>
          <w:rFonts w:eastAsia="宋体"/>
          <w:color w:val="000000"/>
          <w:sz w:val="24"/>
          <w:szCs w:val="24"/>
        </w:rPr>
      </w:pPr>
    </w:p>
    <w:p w14:paraId="01A51531">
      <w:pPr>
        <w:shd w:val="clear" w:color="auto" w:fill="FFFFFF"/>
        <w:topLinePunct/>
        <w:autoSpaceDE/>
        <w:autoSpaceDN/>
        <w:adjustRightInd/>
        <w:jc w:val="both"/>
        <w:rPr>
          <w:rFonts w:eastAsia="宋体"/>
          <w:color w:val="000000"/>
          <w:sz w:val="24"/>
          <w:szCs w:val="24"/>
        </w:rPr>
      </w:pPr>
    </w:p>
    <w:p w14:paraId="352AA7EF">
      <w:pPr>
        <w:shd w:val="clear" w:color="auto" w:fill="FFFFFF"/>
        <w:topLinePunct/>
        <w:autoSpaceDE/>
        <w:autoSpaceDN/>
        <w:adjustRightInd/>
        <w:jc w:val="both"/>
        <w:rPr>
          <w:rFonts w:eastAsia="宋体"/>
          <w:color w:val="000000"/>
          <w:sz w:val="24"/>
          <w:szCs w:val="24"/>
        </w:rPr>
      </w:pPr>
    </w:p>
    <w:p w14:paraId="673BE05F">
      <w:pPr>
        <w:shd w:val="clear" w:color="auto" w:fill="FFFFFF"/>
        <w:topLinePunct/>
        <w:autoSpaceDE/>
        <w:autoSpaceDN/>
        <w:adjustRightInd/>
        <w:ind w:left="480" w:hanging="480" w:hangingChars="200"/>
        <w:jc w:val="both"/>
        <w:rPr>
          <w:rFonts w:eastAsia="宋体"/>
          <w:color w:val="000000"/>
          <w:sz w:val="24"/>
          <w:szCs w:val="24"/>
        </w:rPr>
      </w:pPr>
    </w:p>
    <w:p w14:paraId="26A4A86A">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15DDBA3C">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FDA PRA工作人员，运营办公室；美国食品药品监督管理局；地址：Three White Flint North；11601 Landsdown Street，10A-12M；North Bethesda，MD 20852。</w:t>
      </w:r>
    </w:p>
    <w:p w14:paraId="632CFD8B">
      <w:pPr>
        <w:shd w:val="clear" w:color="auto" w:fill="FFFFFF"/>
        <w:topLinePunct/>
        <w:autoSpaceDE/>
        <w:autoSpaceDN/>
        <w:adjustRightInd/>
        <w:jc w:val="both"/>
        <w:rPr>
          <w:rFonts w:eastAsia="宋体"/>
          <w:color w:val="00000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289"/>
      </w:tblGrid>
      <w:tr w14:paraId="4F2E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289" w:type="dxa"/>
          </w:tcPr>
          <w:p w14:paraId="763E4D76">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除非显示当前有效的OMB控制编号，否则FDA不得进行或发起信息收集，也不得要求患者针对该信息收集给出回应。本次信息收集的OMB控制编号为0910-0856（失效日期为2021年8月31日）。（注：于2018年11月2日添加OMB控制编号和到期日期）。</w:t>
            </w:r>
          </w:p>
        </w:tc>
      </w:tr>
    </w:tbl>
    <w:p w14:paraId="49044E1D">
      <w:pPr>
        <w:shd w:val="clear" w:color="auto" w:fill="FFFFFF"/>
        <w:topLinePunct/>
        <w:autoSpaceDE/>
        <w:autoSpaceDN/>
        <w:adjustRightInd/>
        <w:jc w:val="both"/>
        <w:rPr>
          <w:rFonts w:eastAsia="宋体"/>
          <w:color w:val="000000"/>
          <w:sz w:val="24"/>
          <w:szCs w:val="24"/>
        </w:rPr>
      </w:pPr>
    </w:p>
    <w:p w14:paraId="45359749">
      <w:pPr>
        <w:shd w:val="clear" w:color="auto" w:fill="FFFFFF"/>
        <w:topLinePunct/>
        <w:autoSpaceDE/>
        <w:autoSpaceDN/>
        <w:adjustRightInd/>
        <w:jc w:val="both"/>
        <w:rPr>
          <w:rFonts w:eastAsia="宋体"/>
          <w:sz w:val="24"/>
          <w:szCs w:val="24"/>
        </w:rPr>
      </w:pPr>
    </w:p>
    <w:p w14:paraId="71EEFA7E">
      <w:pPr>
        <w:pBdr>
          <w:top w:val="single" w:color="auto" w:sz="12" w:space="1"/>
        </w:pBdr>
        <w:shd w:val="clear" w:color="auto" w:fill="FFFFFF"/>
        <w:topLinePunct/>
        <w:autoSpaceDE/>
        <w:autoSpaceDN/>
        <w:adjustRightInd/>
        <w:jc w:val="center"/>
        <w:rPr>
          <w:rFonts w:hint="eastAsia" w:eastAsia="宋体"/>
          <w:lang w:eastAsia="zh-CN"/>
        </w:rPr>
      </w:pPr>
    </w:p>
    <w:p w14:paraId="34770104">
      <w:pPr>
        <w:pBdr>
          <w:top w:val="single" w:color="auto" w:sz="12" w:space="1"/>
        </w:pBdr>
        <w:shd w:val="clear" w:color="auto" w:fill="FFFFFF"/>
        <w:topLinePunct/>
        <w:autoSpaceDE/>
        <w:autoSpaceDN/>
        <w:adjustRightInd/>
        <w:jc w:val="center"/>
        <w:rPr>
          <w:rFonts w:hint="eastAsia" w:eastAsia="宋体"/>
          <w:lang w:eastAsia="zh-CN"/>
        </w:rPr>
      </w:pPr>
    </w:p>
    <w:p w14:paraId="38A848F5">
      <w:pPr>
        <w:pBdr>
          <w:top w:val="single" w:color="auto" w:sz="12" w:space="1"/>
        </w:pBdr>
        <w:shd w:val="clear" w:color="auto" w:fill="FFFFFF"/>
        <w:topLinePunct/>
        <w:autoSpaceDE/>
        <w:autoSpaceDN/>
        <w:adjustRightInd/>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9" w:h="16834"/>
      <w:pgMar w:top="1134" w:right="1134" w:bottom="1134" w:left="1418" w:header="567" w:footer="567" w:gutter="0"/>
      <w:pgNumType w:start="1"/>
      <w:cols w:space="60" w:num="1"/>
      <w:docGrid w:type="lines" w:linePitch="3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4876974"/>
      <w:docPartObj>
        <w:docPartGallery w:val="AutoText"/>
      </w:docPartObj>
    </w:sdtPr>
    <w:sdtContent>
      <w:p w14:paraId="5D426FDF">
        <w:pPr>
          <w:pStyle w:val="6"/>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20</w:t>
        </w:r>
        <w:r>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r>
        <w:separator/>
      </w:r>
    </w:p>
  </w:footnote>
  <w:footnote w:type="continuationSeparator" w:id="57">
    <w:p>
      <w:r>
        <w:continuationSeparator/>
      </w:r>
    </w:p>
  </w:footnote>
  <w:footnote w:id="0">
    <w:p w14:paraId="3FD3E1F7">
      <w:pPr>
        <w:shd w:val="clear" w:color="auto" w:fill="FFFFFF"/>
        <w:topLinePunct/>
        <w:autoSpaceDE/>
        <w:autoSpaceDN/>
        <w:adjustRightInd/>
        <w:jc w:val="both"/>
        <w:rPr>
          <w:rFonts w:eastAsia="宋体"/>
          <w:color w:val="000000"/>
          <w:sz w:val="21"/>
          <w:szCs w:val="21"/>
        </w:rPr>
      </w:pPr>
      <w:r>
        <w:rPr>
          <w:rStyle w:val="16"/>
          <w:sz w:val="21"/>
          <w:szCs w:val="21"/>
        </w:rPr>
        <w:footnoteRef/>
      </w:r>
      <w:r>
        <w:rPr>
          <w:rFonts w:eastAsia="宋体"/>
          <w:color w:val="000000"/>
          <w:sz w:val="21"/>
          <w:szCs w:val="21"/>
        </w:rPr>
        <w:t>本指南由美国食品药品监督管理局的药品评价</w:t>
      </w:r>
      <w:r>
        <w:rPr>
          <w:rFonts w:hint="eastAsia" w:eastAsia="宋体"/>
          <w:color w:val="000000"/>
          <w:sz w:val="21"/>
          <w:szCs w:val="21"/>
        </w:rPr>
        <w:t>与</w:t>
      </w:r>
      <w:r>
        <w:rPr>
          <w:rFonts w:eastAsia="宋体"/>
          <w:color w:val="000000"/>
          <w:sz w:val="21"/>
          <w:szCs w:val="21"/>
        </w:rPr>
        <w:t>研究中心、生物制品评价</w:t>
      </w:r>
      <w:r>
        <w:rPr>
          <w:rFonts w:hint="eastAsia" w:eastAsia="宋体"/>
          <w:color w:val="000000"/>
          <w:sz w:val="21"/>
          <w:szCs w:val="21"/>
        </w:rPr>
        <w:t>与</w:t>
      </w:r>
      <w:r>
        <w:rPr>
          <w:rFonts w:eastAsia="宋体"/>
          <w:color w:val="000000"/>
          <w:sz w:val="21"/>
          <w:szCs w:val="21"/>
        </w:rPr>
        <w:t>研究中心、医疗器械和辐射健康中心、兽药中心以及专员办公室合作编写。</w:t>
      </w:r>
    </w:p>
    <w:p w14:paraId="086F65C0">
      <w:pPr>
        <w:shd w:val="clear" w:color="auto" w:fill="FFFFFF"/>
        <w:topLinePunct/>
        <w:autoSpaceDE/>
        <w:autoSpaceDN/>
        <w:adjustRightInd/>
        <w:jc w:val="both"/>
        <w:rPr>
          <w:sz w:val="21"/>
          <w:szCs w:val="21"/>
        </w:rPr>
      </w:pPr>
    </w:p>
  </w:footnote>
  <w:footnote w:id="1">
    <w:p w14:paraId="5C5780D9">
      <w:pPr>
        <w:shd w:val="clear" w:color="auto" w:fill="FFFFFF"/>
        <w:topLinePunct/>
        <w:autoSpaceDE/>
        <w:autoSpaceDN/>
        <w:adjustRightInd/>
        <w:jc w:val="both"/>
        <w:rPr>
          <w:rFonts w:eastAsia="宋体"/>
          <w:sz w:val="21"/>
          <w:szCs w:val="21"/>
        </w:rPr>
      </w:pPr>
      <w:r>
        <w:rPr>
          <w:rStyle w:val="16"/>
          <w:sz w:val="21"/>
          <w:szCs w:val="21"/>
        </w:rPr>
        <w:footnoteRef/>
      </w:r>
      <w:r>
        <w:rPr>
          <w:rFonts w:eastAsia="宋体"/>
          <w:color w:val="000000"/>
          <w:sz w:val="21"/>
          <w:szCs w:val="21"/>
        </w:rPr>
        <w:t>术语</w:t>
      </w:r>
      <w:r>
        <w:rPr>
          <w:rFonts w:eastAsia="宋体"/>
          <w:i/>
          <w:sz w:val="21"/>
          <w:szCs w:val="21"/>
        </w:rPr>
        <w:t>公司</w:t>
      </w:r>
      <w:r>
        <w:rPr>
          <w:rFonts w:eastAsia="宋体"/>
          <w:sz w:val="21"/>
          <w:szCs w:val="21"/>
        </w:rPr>
        <w:t>是指医疗产品制造商、包装商、经销商及其代表。</w:t>
      </w:r>
    </w:p>
    <w:p w14:paraId="23F6FC0C">
      <w:pPr>
        <w:shd w:val="clear" w:color="auto" w:fill="FFFFFF"/>
        <w:topLinePunct/>
        <w:autoSpaceDE/>
        <w:autoSpaceDN/>
        <w:adjustRightInd/>
        <w:jc w:val="both"/>
        <w:rPr>
          <w:sz w:val="21"/>
          <w:szCs w:val="21"/>
        </w:rPr>
      </w:pPr>
    </w:p>
  </w:footnote>
  <w:footnote w:id="2">
    <w:p w14:paraId="75357038">
      <w:pPr>
        <w:shd w:val="clear" w:color="auto" w:fill="FFFFFF"/>
        <w:topLinePunct/>
        <w:autoSpaceDE/>
        <w:autoSpaceDN/>
        <w:adjustRightInd/>
        <w:jc w:val="both"/>
        <w:rPr>
          <w:rFonts w:eastAsia="宋体"/>
          <w:color w:val="000000"/>
          <w:sz w:val="21"/>
          <w:szCs w:val="21"/>
        </w:rPr>
      </w:pPr>
      <w:r>
        <w:rPr>
          <w:rStyle w:val="16"/>
          <w:sz w:val="21"/>
          <w:szCs w:val="21"/>
        </w:rPr>
        <w:footnoteRef/>
      </w:r>
      <w:r>
        <w:rPr>
          <w:rFonts w:eastAsia="宋体"/>
          <w:color w:val="000000"/>
          <w:sz w:val="21"/>
          <w:szCs w:val="21"/>
        </w:rPr>
        <w:t>根据《联邦食品、药品和化妆品法案》（《FD&amp;C法案》）和《公共健康服务法案》（《PHS法案》）的授权规定，FDA对美国药品和器械的制造、销售和分销进行监管。该授权包括对所有药品和器械的标签以及处方药和受限制器械的广告进行监督。根据《FD&amp;C法案》和FDA实施条例的规定，此类授权和其他公司的沟通也与确立区别于合法上市产品用途的新预期用途有关（参见本指南第III节中的Q.3/A.3）。</w:t>
      </w:r>
    </w:p>
    <w:p w14:paraId="1E1F06D6">
      <w:pPr>
        <w:shd w:val="clear" w:color="auto" w:fill="FFFFFF"/>
        <w:topLinePunct/>
        <w:autoSpaceDE/>
        <w:autoSpaceDN/>
        <w:adjustRightInd/>
        <w:jc w:val="both"/>
        <w:rPr>
          <w:sz w:val="21"/>
          <w:szCs w:val="21"/>
        </w:rPr>
      </w:pPr>
    </w:p>
  </w:footnote>
  <w:footnote w:id="3">
    <w:p w14:paraId="155E47A9">
      <w:pPr>
        <w:shd w:val="clear" w:color="auto" w:fill="FFFFFF"/>
        <w:topLinePunct/>
        <w:autoSpaceDE/>
        <w:autoSpaceDN/>
        <w:adjustRightInd/>
        <w:jc w:val="both"/>
        <w:rPr>
          <w:rFonts w:eastAsia="宋体"/>
          <w:color w:val="000000"/>
          <w:sz w:val="21"/>
          <w:szCs w:val="21"/>
        </w:rPr>
      </w:pPr>
      <w:r>
        <w:rPr>
          <w:rStyle w:val="16"/>
          <w:sz w:val="21"/>
          <w:szCs w:val="21"/>
        </w:rPr>
        <w:footnoteRef/>
      </w:r>
      <w:r>
        <w:rPr>
          <w:rFonts w:eastAsia="宋体"/>
          <w:color w:val="000000"/>
          <w:sz w:val="21"/>
          <w:szCs w:val="21"/>
        </w:rPr>
        <w:t>术语</w:t>
      </w:r>
      <w:r>
        <w:rPr>
          <w:rFonts w:eastAsia="宋体"/>
          <w:i/>
          <w:sz w:val="21"/>
          <w:szCs w:val="21"/>
        </w:rPr>
        <w:t>医疗产品</w:t>
      </w:r>
      <w:r>
        <w:rPr>
          <w:rFonts w:eastAsia="宋体"/>
          <w:sz w:val="21"/>
          <w:szCs w:val="21"/>
        </w:rPr>
        <w:t>是指用于人类的药品和医疗器械，包括作为生物制品获得许可的药品和动物药品。</w:t>
      </w:r>
      <w:r>
        <w:rPr>
          <w:rFonts w:eastAsia="宋体"/>
          <w:color w:val="000000"/>
          <w:sz w:val="21"/>
          <w:szCs w:val="21"/>
        </w:rPr>
        <w:t>参见本指南第III节中的Q.1/A.1（问题1/答案1）。</w:t>
      </w:r>
    </w:p>
    <w:p w14:paraId="5CEFD1B8">
      <w:pPr>
        <w:shd w:val="clear" w:color="auto" w:fill="FFFFFF"/>
        <w:topLinePunct/>
        <w:autoSpaceDE/>
        <w:autoSpaceDN/>
        <w:adjustRightInd/>
        <w:jc w:val="both"/>
        <w:rPr>
          <w:sz w:val="21"/>
          <w:szCs w:val="21"/>
        </w:rPr>
      </w:pPr>
    </w:p>
  </w:footnote>
  <w:footnote w:id="4">
    <w:p w14:paraId="49A075CC">
      <w:pPr>
        <w:shd w:val="clear" w:color="auto" w:fill="FFFFFF"/>
        <w:topLinePunct/>
        <w:autoSpaceDE/>
        <w:autoSpaceDN/>
        <w:adjustRightInd/>
        <w:jc w:val="both"/>
        <w:rPr>
          <w:rFonts w:eastAsia="宋体"/>
          <w:sz w:val="21"/>
          <w:szCs w:val="21"/>
        </w:rPr>
      </w:pPr>
      <w:r>
        <w:rPr>
          <w:rStyle w:val="16"/>
          <w:sz w:val="21"/>
          <w:szCs w:val="21"/>
        </w:rPr>
        <w:footnoteRef/>
      </w:r>
      <w:r>
        <w:rPr>
          <w:rFonts w:eastAsia="宋体"/>
          <w:sz w:val="21"/>
          <w:szCs w:val="21"/>
        </w:rPr>
        <w:t>为便于参考，本指南有时会将首字母缩略词</w:t>
      </w:r>
      <w:r>
        <w:rPr>
          <w:rFonts w:eastAsia="宋体"/>
          <w:i/>
          <w:color w:val="000000"/>
          <w:sz w:val="21"/>
          <w:szCs w:val="21"/>
        </w:rPr>
        <w:t>CFL</w:t>
      </w:r>
      <w:r>
        <w:rPr>
          <w:rFonts w:eastAsia="宋体"/>
          <w:sz w:val="21"/>
          <w:szCs w:val="21"/>
        </w:rPr>
        <w:t>用作</w:t>
      </w:r>
      <w:r>
        <w:rPr>
          <w:rFonts w:eastAsia="宋体"/>
          <w:i/>
          <w:sz w:val="21"/>
          <w:szCs w:val="21"/>
        </w:rPr>
        <w:t>符合FDA规定的标签</w:t>
      </w:r>
      <w:r>
        <w:rPr>
          <w:rFonts w:eastAsia="宋体"/>
          <w:sz w:val="21"/>
          <w:szCs w:val="21"/>
        </w:rPr>
        <w:t>用语缩写。</w:t>
      </w:r>
    </w:p>
    <w:p w14:paraId="25BC6919">
      <w:pPr>
        <w:shd w:val="clear" w:color="auto" w:fill="FFFFFF"/>
        <w:topLinePunct/>
        <w:autoSpaceDE/>
        <w:autoSpaceDN/>
        <w:adjustRightInd/>
        <w:jc w:val="both"/>
        <w:rPr>
          <w:sz w:val="21"/>
          <w:szCs w:val="21"/>
        </w:rPr>
      </w:pPr>
    </w:p>
  </w:footnote>
  <w:footnote w:id="5">
    <w:p w14:paraId="4818B587">
      <w:pPr>
        <w:shd w:val="clear" w:color="auto" w:fill="FFFFFF"/>
        <w:topLinePunct/>
        <w:autoSpaceDE/>
        <w:autoSpaceDN/>
        <w:adjustRightInd/>
        <w:jc w:val="both"/>
        <w:rPr>
          <w:rFonts w:eastAsia="宋体"/>
          <w:sz w:val="21"/>
          <w:szCs w:val="21"/>
        </w:rPr>
      </w:pPr>
      <w:r>
        <w:rPr>
          <w:rStyle w:val="16"/>
          <w:sz w:val="21"/>
          <w:szCs w:val="21"/>
        </w:rPr>
        <w:footnoteRef/>
      </w:r>
      <w:r>
        <w:rPr>
          <w:rFonts w:eastAsia="宋体"/>
          <w:sz w:val="21"/>
          <w:szCs w:val="21"/>
        </w:rPr>
        <w:t>为便于参考，在讨论器械时使用</w:t>
      </w:r>
      <w:r>
        <w:rPr>
          <w:rFonts w:eastAsia="宋体"/>
          <w:i/>
          <w:sz w:val="21"/>
          <w:szCs w:val="21"/>
        </w:rPr>
        <w:t>获批</w:t>
      </w:r>
      <w:r>
        <w:rPr>
          <w:rFonts w:eastAsia="宋体"/>
          <w:sz w:val="21"/>
          <w:szCs w:val="21"/>
        </w:rPr>
        <w:t>和</w:t>
      </w:r>
      <w:r>
        <w:rPr>
          <w:rFonts w:eastAsia="宋体"/>
          <w:i/>
          <w:color w:val="000000"/>
          <w:sz w:val="21"/>
          <w:szCs w:val="21"/>
        </w:rPr>
        <w:t>许可</w:t>
      </w:r>
      <w:r>
        <w:rPr>
          <w:rFonts w:eastAsia="宋体"/>
          <w:sz w:val="21"/>
          <w:szCs w:val="21"/>
        </w:rPr>
        <w:t>（及类似术语），这些术语是指FDA允许通过上市前批准、510(k)、重新分类或人道主义器械豁免（HDE）途径上市的器械，以及豁免于上市前通知的器械。</w:t>
      </w:r>
    </w:p>
    <w:p w14:paraId="3ECFE582">
      <w:pPr>
        <w:shd w:val="clear" w:color="auto" w:fill="FFFFFF"/>
        <w:topLinePunct/>
        <w:autoSpaceDE/>
        <w:autoSpaceDN/>
        <w:adjustRightInd/>
        <w:jc w:val="both"/>
        <w:rPr>
          <w:rFonts w:eastAsia="宋体"/>
          <w:sz w:val="21"/>
          <w:szCs w:val="21"/>
        </w:rPr>
      </w:pPr>
    </w:p>
  </w:footnote>
  <w:footnote w:id="6">
    <w:p w14:paraId="796FB005">
      <w:pPr>
        <w:shd w:val="clear" w:color="auto" w:fill="FFFFFF"/>
        <w:topLinePunct/>
        <w:autoSpaceDE/>
        <w:autoSpaceDN/>
        <w:adjustRightInd/>
        <w:jc w:val="both"/>
        <w:rPr>
          <w:rFonts w:eastAsia="宋体"/>
          <w:sz w:val="21"/>
          <w:szCs w:val="21"/>
        </w:rPr>
      </w:pPr>
      <w:r>
        <w:rPr>
          <w:rStyle w:val="16"/>
          <w:sz w:val="21"/>
          <w:szCs w:val="21"/>
        </w:rPr>
        <w:footnoteRef/>
      </w:r>
      <w:r>
        <w:rPr>
          <w:rFonts w:eastAsia="宋体"/>
          <w:sz w:val="21"/>
          <w:szCs w:val="21"/>
        </w:rPr>
        <w:t>例如，此类标签可能包括FDA批准的人类药品处方信息（包括作为生物制品获得许可的药品），包括FDA批准的患者标签（如有），根据21 CFR 201.100(d)的规定，此类标签必须随附由药品制造商或其代表、包装商或分销商分发的任何标签；FDA批准的动物药品处方信息；或器械上市前批准过程中获批的标签。</w:t>
      </w:r>
    </w:p>
    <w:p w14:paraId="76F8E6E3">
      <w:pPr>
        <w:shd w:val="clear" w:color="auto" w:fill="FFFFFF"/>
        <w:topLinePunct/>
        <w:autoSpaceDE/>
        <w:autoSpaceDN/>
        <w:adjustRightInd/>
        <w:jc w:val="both"/>
        <w:rPr>
          <w:sz w:val="21"/>
          <w:szCs w:val="21"/>
        </w:rPr>
      </w:pPr>
    </w:p>
  </w:footnote>
  <w:footnote w:id="7">
    <w:p w14:paraId="09B63088">
      <w:pPr>
        <w:shd w:val="clear" w:color="auto" w:fill="FFFFFF"/>
        <w:topLinePunct/>
        <w:autoSpaceDE/>
        <w:autoSpaceDN/>
        <w:adjustRightInd/>
        <w:jc w:val="both"/>
        <w:rPr>
          <w:rFonts w:eastAsia="宋体"/>
          <w:color w:val="000000"/>
          <w:sz w:val="21"/>
          <w:szCs w:val="21"/>
        </w:rPr>
      </w:pPr>
      <w:r>
        <w:rPr>
          <w:rStyle w:val="16"/>
          <w:sz w:val="21"/>
          <w:szCs w:val="21"/>
        </w:rPr>
        <w:footnoteRef/>
      </w:r>
      <w:r>
        <w:rPr>
          <w:rFonts w:eastAsia="宋体"/>
          <w:color w:val="000000"/>
          <w:sz w:val="21"/>
          <w:szCs w:val="21"/>
        </w:rPr>
        <w:t>由于符合《FD&amp;C法案》第503A节或第503B节规定的复方药物不受《FD&amp;C法案》第502(f)(1)节规定的约束（要求提供充分的使用说明），因此复方药物不具有本指南中定义的FDA规定的标签。参见《FD&amp;C法案》第503A(a)节和第503B(a)节。</w:t>
      </w:r>
    </w:p>
    <w:p w14:paraId="2024BC47">
      <w:pPr>
        <w:shd w:val="clear" w:color="auto" w:fill="FFFFFF"/>
        <w:topLinePunct/>
        <w:autoSpaceDE/>
        <w:autoSpaceDN/>
        <w:adjustRightInd/>
        <w:jc w:val="both"/>
        <w:rPr>
          <w:sz w:val="21"/>
          <w:szCs w:val="21"/>
        </w:rPr>
      </w:pPr>
    </w:p>
  </w:footnote>
  <w:footnote w:id="8">
    <w:p w14:paraId="500246BB">
      <w:pPr>
        <w:shd w:val="clear" w:color="auto" w:fill="FFFFFF"/>
        <w:topLinePunct/>
        <w:autoSpaceDE/>
        <w:autoSpaceDN/>
        <w:adjustRightInd/>
        <w:jc w:val="both"/>
        <w:rPr>
          <w:rFonts w:eastAsia="宋体"/>
          <w:sz w:val="21"/>
          <w:szCs w:val="21"/>
        </w:rPr>
      </w:pPr>
      <w:r>
        <w:rPr>
          <w:rStyle w:val="16"/>
          <w:sz w:val="21"/>
          <w:szCs w:val="21"/>
        </w:rPr>
        <w:footnoteRef/>
      </w:r>
      <w:r>
        <w:rPr>
          <w:rFonts w:eastAsia="宋体"/>
          <w:color w:val="000000"/>
          <w:sz w:val="21"/>
          <w:szCs w:val="21"/>
        </w:rPr>
        <w:t>例如，参见《FD&amp;C法案》第505(d)(1)、(2)、(4)和(5)节；第512(d)(1)(A)、(B)、(D)和(E)节；第513(a)(2)(B)节；以及第515(d)(2)节。此外，如果人类药品或动物药品在其标签规定、推荐或建议的条件下通常被认为安全有效，则此类人类药品或动物药品不属于新药。参见《FD&amp;C法案》第201(p)和(v)节。</w:t>
      </w:r>
    </w:p>
    <w:p w14:paraId="4CED12F3">
      <w:pPr>
        <w:pStyle w:val="9"/>
        <w:snapToGrid/>
        <w:rPr>
          <w:sz w:val="21"/>
          <w:szCs w:val="21"/>
        </w:rPr>
      </w:pPr>
    </w:p>
  </w:footnote>
  <w:footnote w:id="9">
    <w:p w14:paraId="02BBC1B9">
      <w:pPr>
        <w:shd w:val="clear" w:color="auto" w:fill="FFFFFF"/>
        <w:topLinePunct/>
        <w:autoSpaceDE/>
        <w:autoSpaceDN/>
        <w:adjustRightInd/>
        <w:jc w:val="both"/>
        <w:rPr>
          <w:sz w:val="21"/>
          <w:szCs w:val="21"/>
        </w:rPr>
      </w:pPr>
      <w:r>
        <w:rPr>
          <w:rStyle w:val="16"/>
          <w:sz w:val="21"/>
          <w:szCs w:val="21"/>
        </w:rPr>
        <w:footnoteRef/>
      </w:r>
      <w:r>
        <w:rPr>
          <w:rFonts w:eastAsia="宋体"/>
          <w:color w:val="000000"/>
          <w:sz w:val="21"/>
          <w:szCs w:val="21"/>
        </w:rPr>
        <w:t>例如，参见《FD&amp;C法案》第301(a)和(b)节以及第502(a)节。</w:t>
      </w:r>
    </w:p>
  </w:footnote>
  <w:footnote w:id="10">
    <w:p w14:paraId="2D5AF310">
      <w:pPr>
        <w:pStyle w:val="9"/>
        <w:snapToGrid/>
        <w:rPr>
          <w:sz w:val="21"/>
          <w:szCs w:val="21"/>
        </w:rPr>
      </w:pPr>
      <w:r>
        <w:rPr>
          <w:rStyle w:val="16"/>
          <w:sz w:val="21"/>
          <w:szCs w:val="21"/>
        </w:rPr>
        <w:footnoteRef/>
      </w:r>
      <w:r>
        <w:rPr>
          <w:rFonts w:eastAsia="宋体"/>
          <w:sz w:val="21"/>
          <w:szCs w:val="21"/>
        </w:rPr>
        <w:t>本指南不涉及与仿制药和生物仿制药获批相关的考虑因素，这些考虑因素涉及提交资料以证明拟定仿制药或生物仿制药拟用标签中的使用条件此前已获批用于参比制剂。</w:t>
      </w:r>
      <w:r>
        <w:rPr>
          <w:rFonts w:eastAsia="宋体"/>
          <w:color w:val="000000"/>
          <w:sz w:val="21"/>
          <w:szCs w:val="21"/>
        </w:rPr>
        <w:t>参见《FD&amp;C法案》第505(j)(2)(</w:t>
      </w:r>
      <w:r>
        <w:rPr>
          <w:rFonts w:hint="eastAsia" w:eastAsia="宋体"/>
          <w:color w:val="000000"/>
          <w:sz w:val="21"/>
          <w:szCs w:val="21"/>
        </w:rPr>
        <w:t>A</w:t>
      </w:r>
      <w:r>
        <w:rPr>
          <w:rFonts w:eastAsia="宋体"/>
          <w:color w:val="000000"/>
          <w:sz w:val="21"/>
          <w:szCs w:val="21"/>
        </w:rPr>
        <w:t>)(i)节和第512(n)(1)节以及《PHS法案》第351(k)(2)(</w:t>
      </w:r>
      <w:r>
        <w:rPr>
          <w:rFonts w:hint="eastAsia" w:eastAsia="宋体"/>
          <w:color w:val="000000"/>
          <w:sz w:val="21"/>
          <w:szCs w:val="21"/>
        </w:rPr>
        <w:t>A</w:t>
      </w:r>
      <w:r>
        <w:rPr>
          <w:rFonts w:eastAsia="宋体"/>
          <w:color w:val="000000"/>
          <w:sz w:val="21"/>
          <w:szCs w:val="21"/>
        </w:rPr>
        <w:t>)(i)(III)节。</w:t>
      </w:r>
    </w:p>
  </w:footnote>
  <w:footnote w:id="11">
    <w:p w14:paraId="4F086C04">
      <w:pPr>
        <w:pStyle w:val="9"/>
        <w:snapToGrid/>
        <w:rPr>
          <w:rFonts w:eastAsia="宋体"/>
          <w:color w:val="000000"/>
          <w:sz w:val="21"/>
          <w:szCs w:val="21"/>
        </w:rPr>
      </w:pPr>
    </w:p>
    <w:p w14:paraId="4E1D68F5">
      <w:pPr>
        <w:pStyle w:val="9"/>
        <w:snapToGrid/>
        <w:rPr>
          <w:sz w:val="21"/>
          <w:szCs w:val="21"/>
        </w:rPr>
      </w:pPr>
      <w:r>
        <w:rPr>
          <w:rStyle w:val="16"/>
          <w:sz w:val="21"/>
          <w:szCs w:val="21"/>
        </w:rPr>
        <w:footnoteRef/>
      </w:r>
      <w:r>
        <w:rPr>
          <w:rFonts w:eastAsia="宋体"/>
          <w:color w:val="000000"/>
          <w:sz w:val="21"/>
          <w:szCs w:val="21"/>
        </w:rPr>
        <w:t>参见《FD&amp;C法案》第201(n)、502(a)、502(n)、502(q)和502(r)节以及21 CFR第1.21(a)节和第202.1(e)(5)节</w:t>
      </w:r>
      <w:r>
        <w:rPr>
          <w:rFonts w:eastAsia="宋体"/>
          <w:sz w:val="21"/>
          <w:szCs w:val="21"/>
        </w:rPr>
        <w:t>。</w:t>
      </w:r>
    </w:p>
  </w:footnote>
  <w:footnote w:id="12">
    <w:p w14:paraId="6B8BA76C">
      <w:r>
        <w:rPr>
          <w:rStyle w:val="16"/>
          <w:sz w:val="21"/>
          <w:szCs w:val="21"/>
        </w:rPr>
        <w:footnoteRef/>
      </w:r>
      <w:r>
        <w:rPr>
          <w:rFonts w:eastAsia="宋体"/>
          <w:sz w:val="21"/>
          <w:szCs w:val="21"/>
        </w:rPr>
        <w:t>参见FDA指南《</w:t>
      </w:r>
      <w:r>
        <w:rPr>
          <w:sz w:val="21"/>
          <w:szCs w:val="21"/>
        </w:rPr>
        <w:fldChar w:fldCharType="begin"/>
      </w:r>
      <w:r>
        <w:rPr>
          <w:sz w:val="21"/>
          <w:szCs w:val="21"/>
        </w:rPr>
        <w:instrText xml:space="preserve"> HYPERLINK "https://www.fda.gov/regulatory-information/search-fda-guidance-documents/deciding-when-submit-510k-change-existing-device" \h </w:instrText>
      </w:r>
      <w:r>
        <w:rPr>
          <w:sz w:val="21"/>
          <w:szCs w:val="21"/>
        </w:rPr>
        <w:fldChar w:fldCharType="separate"/>
      </w:r>
      <w:r>
        <w:rPr>
          <w:rFonts w:hint="eastAsia" w:eastAsia="宋体"/>
          <w:color w:val="0000FF"/>
          <w:sz w:val="21"/>
          <w:szCs w:val="21"/>
          <w:u w:val="single" w:color="0000FF"/>
        </w:rPr>
        <w:t>何时为现有器械变更申报</w:t>
      </w:r>
      <w:r>
        <w:rPr>
          <w:rFonts w:eastAsia="宋体"/>
          <w:color w:val="0000FF"/>
          <w:sz w:val="21"/>
          <w:szCs w:val="21"/>
          <w:u w:val="single" w:color="0000FF"/>
        </w:rPr>
        <w:t>510(k)</w:t>
      </w:r>
      <w:r>
        <w:rPr>
          <w:rFonts w:hint="eastAsia" w:eastAsia="宋体"/>
          <w:color w:val="0000FF"/>
          <w:sz w:val="21"/>
          <w:szCs w:val="21"/>
          <w:u w:val="single" w:color="0000FF"/>
        </w:rPr>
        <w:t>的决定</w:t>
      </w:r>
      <w:r>
        <w:rPr>
          <w:rFonts w:eastAsia="宋体"/>
          <w:color w:val="0000FF"/>
          <w:sz w:val="21"/>
          <w:szCs w:val="21"/>
          <w:u w:val="single" w:color="0000FF"/>
        </w:rPr>
        <w:fldChar w:fldCharType="end"/>
      </w:r>
      <w:r>
        <w:rPr>
          <w:rFonts w:eastAsia="宋体"/>
          <w:sz w:val="21"/>
          <w:szCs w:val="21"/>
        </w:rPr>
        <w:t>》（2016年10月）。我们会定期</w:t>
      </w:r>
      <w:r>
        <w:rPr>
          <w:rFonts w:eastAsia="宋体"/>
          <w:color w:val="000000"/>
          <w:sz w:val="21"/>
          <w:szCs w:val="21"/>
        </w:rPr>
        <w:t>更新指南</w:t>
      </w:r>
      <w:r>
        <w:rPr>
          <w:rFonts w:eastAsia="宋体"/>
          <w:sz w:val="21"/>
          <w:szCs w:val="21"/>
        </w:rPr>
        <w:t>。</w:t>
      </w:r>
      <w:r>
        <w:rPr>
          <w:rFonts w:eastAsia="宋体"/>
          <w:color w:val="000000"/>
          <w:sz w:val="21"/>
          <w:szCs w:val="21"/>
        </w:rPr>
        <w:t>关于最新版本的指南，可登陆FDA指南网页进行查询：</w:t>
      </w:r>
      <w:r>
        <w:fldChar w:fldCharType="begin"/>
      </w:r>
      <w:r>
        <w:instrText xml:space="preserve"> HYPERLINK "https://www.fda.gov/RegulatoryInformation/Guidances/default.htm" </w:instrText>
      </w:r>
      <w:r>
        <w:fldChar w:fldCharType="separate"/>
      </w:r>
      <w:r>
        <w:rPr>
          <w:rFonts w:eastAsia="宋体"/>
          <w:color w:val="3333FF"/>
          <w:sz w:val="21"/>
          <w:szCs w:val="21"/>
          <w:u w:val="single"/>
        </w:rPr>
        <w:t>https://www.fda.gov/RegulatoryInformation/Guidances/default.htm</w:t>
      </w:r>
      <w:r>
        <w:rPr>
          <w:rFonts w:eastAsia="宋体"/>
          <w:color w:val="3333FF"/>
          <w:sz w:val="21"/>
          <w:szCs w:val="21"/>
          <w:u w:val="single"/>
        </w:rPr>
        <w:fldChar w:fldCharType="end"/>
      </w:r>
      <w:r>
        <w:rPr>
          <w:rFonts w:eastAsia="宋体"/>
          <w:sz w:val="21"/>
          <w:szCs w:val="21"/>
        </w:rPr>
        <w:t>。</w:t>
      </w:r>
    </w:p>
    <w:p w14:paraId="053C91FC">
      <w:pPr>
        <w:pStyle w:val="9"/>
        <w:snapToGrid/>
        <w:rPr>
          <w:sz w:val="21"/>
          <w:szCs w:val="21"/>
        </w:rPr>
      </w:pPr>
    </w:p>
  </w:footnote>
  <w:footnote w:id="13">
    <w:p w14:paraId="295F309A">
      <w:pPr>
        <w:jc w:val="both"/>
        <w:rPr>
          <w:rFonts w:eastAsia="宋体"/>
          <w:color w:val="000000"/>
          <w:sz w:val="21"/>
          <w:szCs w:val="21"/>
        </w:rPr>
      </w:pPr>
      <w:r>
        <w:rPr>
          <w:rStyle w:val="16"/>
          <w:sz w:val="21"/>
          <w:szCs w:val="21"/>
        </w:rPr>
        <w:footnoteRef/>
      </w:r>
      <w:r>
        <w:rPr>
          <w:rFonts w:eastAsia="宋体"/>
          <w:color w:val="000000"/>
          <w:sz w:val="21"/>
          <w:szCs w:val="21"/>
        </w:rPr>
        <w:t>另请参见Q.11/A.11。</w:t>
      </w:r>
    </w:p>
    <w:p w14:paraId="51DCE6DC">
      <w:pPr>
        <w:pStyle w:val="9"/>
        <w:snapToGrid/>
        <w:rPr>
          <w:sz w:val="21"/>
          <w:szCs w:val="21"/>
        </w:rPr>
      </w:pPr>
    </w:p>
  </w:footnote>
  <w:footnote w:id="14">
    <w:p w14:paraId="42B145AC">
      <w:pPr>
        <w:jc w:val="both"/>
        <w:rPr>
          <w:rFonts w:eastAsia="宋体"/>
          <w:color w:val="000000"/>
          <w:sz w:val="21"/>
          <w:szCs w:val="21"/>
        </w:rPr>
      </w:pPr>
      <w:r>
        <w:rPr>
          <w:rStyle w:val="16"/>
          <w:sz w:val="21"/>
          <w:szCs w:val="21"/>
        </w:rPr>
        <w:footnoteRef/>
      </w:r>
      <w:r>
        <w:rPr>
          <w:rFonts w:eastAsia="宋体"/>
          <w:color w:val="000000"/>
          <w:sz w:val="21"/>
          <w:szCs w:val="21"/>
        </w:rPr>
        <w:t>请注意，关于510(k)许可器械或510(k)豁免器械的沟通会明显改变器械的预期用途，因此不同类型的上市前</w:t>
      </w:r>
      <w:r>
        <w:rPr>
          <w:rFonts w:hint="eastAsia" w:eastAsia="宋体"/>
          <w:color w:val="000000"/>
          <w:sz w:val="21"/>
          <w:szCs w:val="21"/>
        </w:rPr>
        <w:t>申请</w:t>
      </w:r>
      <w:r>
        <w:rPr>
          <w:rFonts w:eastAsia="宋体"/>
          <w:color w:val="000000"/>
          <w:sz w:val="21"/>
          <w:szCs w:val="21"/>
        </w:rPr>
        <w:t>（如PMA或重新分类）均为相应的上市前</w:t>
      </w:r>
      <w:r>
        <w:rPr>
          <w:rFonts w:hint="eastAsia" w:eastAsia="宋体"/>
          <w:color w:val="000000"/>
          <w:sz w:val="21"/>
          <w:szCs w:val="21"/>
        </w:rPr>
        <w:t>申请</w:t>
      </w:r>
      <w:r>
        <w:rPr>
          <w:rFonts w:eastAsia="宋体"/>
          <w:color w:val="000000"/>
          <w:sz w:val="21"/>
          <w:szCs w:val="21"/>
        </w:rPr>
        <w:t>变更，但其与FDA规定的标签不相符。</w:t>
      </w:r>
    </w:p>
    <w:p w14:paraId="52A00212">
      <w:pPr>
        <w:pStyle w:val="9"/>
        <w:snapToGrid/>
        <w:rPr>
          <w:sz w:val="21"/>
          <w:szCs w:val="21"/>
        </w:rPr>
      </w:pPr>
    </w:p>
  </w:footnote>
  <w:footnote w:id="15">
    <w:p w14:paraId="26334E01">
      <w:pPr>
        <w:jc w:val="both"/>
        <w:rPr>
          <w:rFonts w:eastAsia="宋体"/>
          <w:color w:val="000000"/>
          <w:sz w:val="21"/>
          <w:szCs w:val="21"/>
        </w:rPr>
      </w:pPr>
      <w:r>
        <w:rPr>
          <w:rStyle w:val="16"/>
          <w:sz w:val="21"/>
          <w:szCs w:val="21"/>
        </w:rPr>
        <w:footnoteRef/>
      </w:r>
      <w:r>
        <w:rPr>
          <w:rFonts w:eastAsia="宋体"/>
          <w:color w:val="000000"/>
          <w:sz w:val="21"/>
          <w:szCs w:val="21"/>
        </w:rPr>
        <w:t>本指南并非旨在为所有情况下的使用条件提供明确的FDA解释。</w:t>
      </w:r>
    </w:p>
  </w:footnote>
  <w:footnote w:id="16">
    <w:p w14:paraId="749799D7">
      <w:pPr>
        <w:pStyle w:val="9"/>
        <w:snapToGrid/>
        <w:rPr>
          <w:sz w:val="21"/>
          <w:szCs w:val="21"/>
        </w:rPr>
      </w:pPr>
      <w:r>
        <w:rPr>
          <w:rStyle w:val="16"/>
          <w:sz w:val="21"/>
          <w:szCs w:val="21"/>
        </w:rPr>
        <w:footnoteRef/>
      </w:r>
      <w:r>
        <w:rPr>
          <w:rFonts w:eastAsia="宋体"/>
          <w:color w:val="000000"/>
          <w:sz w:val="21"/>
          <w:szCs w:val="21"/>
        </w:rPr>
        <w:t>请注意，FDA规定的医疗产品标签的某些拟定安全性相关变更可在受影响的变更（CBE）补充材料中提交给FDA，另外公司可在FDA收到变更补充材料后，对带有此类标签变更的医疗产品进行分销。例如，参见21 CFR 314.70(c)(6)、601.12(f)(2)、514.8(c)(3)和814.39(d)。反映了待定CBE补充材料中所述标签变更的公司沟通（且在其他方面与本指南所述框架相符），将被认为与FDA规定的标签相符。</w:t>
      </w:r>
    </w:p>
  </w:footnote>
  <w:footnote w:id="17">
    <w:p w14:paraId="2DBD8F8E">
      <w:pPr>
        <w:pStyle w:val="9"/>
        <w:snapToGrid/>
        <w:rPr>
          <w:sz w:val="21"/>
          <w:szCs w:val="21"/>
        </w:rPr>
      </w:pPr>
      <w:r>
        <w:rPr>
          <w:rStyle w:val="16"/>
          <w:sz w:val="21"/>
          <w:szCs w:val="21"/>
        </w:rPr>
        <w:footnoteRef/>
      </w:r>
      <w:r>
        <w:rPr>
          <w:rFonts w:eastAsia="宋体"/>
          <w:color w:val="000000"/>
          <w:sz w:val="21"/>
          <w:szCs w:val="21"/>
        </w:rPr>
        <w:t>这一因素预期并不限制公司就增加的风险（如在临床实践中使用其产品所观察到的风险）进行沟通。例如，如上述脚注所述，公司沟通可反映待定CBE补充材料中所述的标签变更，包括在FDA规定的标签中添加或强化禁忌症、警告、注意事项或不良反应信息的补充材料，此类沟通将被认为与FDA规定的标签相符。同样，预期不会限制沟通中描述存在轻微差异的常见、非严重不良反应发生率（例如，如果公司沟通描述了临床实践中观察到的头痛发生率，而该发生率略高于临床试验经验中FDA规定标签中反映的头痛发生率，则该沟通将被认为符合这一因素）。然而，如果公司沟通建议其产品的使用方式与FDA规定标签所述的方式相比，将合理地预期导致不良事件发生率或严重度在临床上显著增加，或将合理地预期带来FDA规定标签中未提及的新风险，这表明该产品沟通与FDA规定标签不相符。</w:t>
      </w:r>
    </w:p>
  </w:footnote>
  <w:footnote w:id="18">
    <w:p w14:paraId="78F7F62E">
      <w:pPr>
        <w:pStyle w:val="9"/>
        <w:snapToGrid/>
        <w:rPr>
          <w:sz w:val="21"/>
          <w:szCs w:val="21"/>
        </w:rPr>
      </w:pPr>
      <w:r>
        <w:rPr>
          <w:rStyle w:val="16"/>
          <w:sz w:val="21"/>
          <w:szCs w:val="21"/>
        </w:rPr>
        <w:footnoteRef/>
      </w:r>
      <w:r>
        <w:rPr>
          <w:rFonts w:eastAsia="宋体"/>
          <w:sz w:val="21"/>
          <w:szCs w:val="21"/>
        </w:rPr>
        <w:t>2014年6月，FDA发布了一份题为《</w:t>
      </w:r>
      <w:r>
        <w:rPr>
          <w:rFonts w:eastAsia="宋体"/>
          <w:color w:val="000000"/>
          <w:sz w:val="21"/>
          <w:szCs w:val="21"/>
        </w:rPr>
        <w:t>分发关于获批处方药和生物制品风险信息的科学和医学出版物 — 建议准则</w:t>
      </w:r>
      <w:r>
        <w:rPr>
          <w:rFonts w:eastAsia="宋体"/>
          <w:sz w:val="21"/>
          <w:szCs w:val="21"/>
        </w:rPr>
        <w:t>》（风险信息指南草案）的指南草案。（</w:t>
      </w:r>
      <w:r>
        <w:rPr>
          <w:rFonts w:eastAsia="宋体"/>
          <w:color w:val="000000"/>
          <w:sz w:val="21"/>
          <w:szCs w:val="21"/>
        </w:rPr>
        <w:t>最终定稿后，本指南可代表FDA目前关于该主题的观点。</w:t>
      </w:r>
      <w:r>
        <w:rPr>
          <w:rFonts w:eastAsia="宋体"/>
          <w:sz w:val="21"/>
          <w:szCs w:val="21"/>
        </w:rPr>
        <w:t>）该指南草案涉及</w:t>
      </w:r>
      <w:r>
        <w:rPr>
          <w:rFonts w:ascii="宋体" w:hAnsi="宋体" w:eastAsia="宋体"/>
          <w:sz w:val="21"/>
          <w:szCs w:val="21"/>
        </w:rPr>
        <w:t>“</w:t>
      </w:r>
      <w:r>
        <w:rPr>
          <w:rFonts w:eastAsia="宋体"/>
          <w:sz w:val="21"/>
          <w:szCs w:val="21"/>
        </w:rPr>
        <w:t>药品上市后可用信息，这些信息驳斥或减少获批标签中已确定的风险信息，或通过未表明风险更为严重的方式细化获批标签中的风险信息</w:t>
      </w:r>
      <w:r>
        <w:rPr>
          <w:rFonts w:ascii="宋体" w:hAnsi="宋体" w:eastAsia="宋体"/>
          <w:sz w:val="21"/>
          <w:szCs w:val="21"/>
        </w:rPr>
        <w:t>”</w:t>
      </w:r>
      <w:r>
        <w:rPr>
          <w:rFonts w:eastAsia="宋体"/>
          <w:sz w:val="21"/>
          <w:szCs w:val="21"/>
        </w:rPr>
        <w:t>（第3页（脚注省略））。</w:t>
      </w:r>
      <w:r>
        <w:rPr>
          <w:rFonts w:eastAsia="宋体"/>
          <w:color w:val="000000"/>
          <w:sz w:val="21"/>
          <w:szCs w:val="21"/>
        </w:rPr>
        <w:t>如果风险信息指南草案和本指南之间存在重叠情况，则FDA建议公司考虑两项指南中的建议。</w:t>
      </w:r>
    </w:p>
  </w:footnote>
  <w:footnote w:id="19">
    <w:p w14:paraId="52D3B918">
      <w:pPr>
        <w:shd w:val="clear" w:color="auto" w:fill="FFFFFF"/>
        <w:topLinePunct/>
        <w:autoSpaceDE/>
        <w:autoSpaceDN/>
        <w:adjustRightInd/>
        <w:jc w:val="both"/>
        <w:rPr>
          <w:rFonts w:eastAsia="宋体"/>
          <w:color w:val="000000"/>
          <w:sz w:val="21"/>
          <w:szCs w:val="21"/>
        </w:rPr>
      </w:pPr>
      <w:r>
        <w:rPr>
          <w:rStyle w:val="16"/>
          <w:sz w:val="21"/>
          <w:szCs w:val="21"/>
        </w:rPr>
        <w:footnoteRef/>
      </w:r>
      <w:r>
        <w:rPr>
          <w:rFonts w:eastAsia="宋体"/>
          <w:color w:val="000000"/>
          <w:sz w:val="21"/>
          <w:szCs w:val="21"/>
        </w:rPr>
        <w:t>例如，参见《FD&amp;C法案》第201(n)、502(a)、502(n)、502(q)和502(r)节；21 CFR 202.1(e)(5)。</w:t>
      </w:r>
    </w:p>
  </w:footnote>
  <w:footnote w:id="20">
    <w:p w14:paraId="5F031180">
      <w:pPr>
        <w:pStyle w:val="9"/>
        <w:snapToGrid/>
        <w:rPr>
          <w:sz w:val="21"/>
          <w:szCs w:val="21"/>
        </w:rPr>
      </w:pPr>
      <w:r>
        <w:rPr>
          <w:rStyle w:val="16"/>
          <w:sz w:val="21"/>
          <w:szCs w:val="21"/>
        </w:rPr>
        <w:footnoteRef/>
      </w:r>
      <w:r>
        <w:rPr>
          <w:rFonts w:eastAsia="宋体"/>
          <w:color w:val="000000"/>
          <w:sz w:val="21"/>
          <w:szCs w:val="21"/>
        </w:rPr>
        <w:t>在此种情况下，FDA预期不会对其法规进行解释，例如，参见21 CFR 202.1(e)(6)(i)。</w:t>
      </w:r>
    </w:p>
  </w:footnote>
  <w:footnote w:id="21">
    <w:p w14:paraId="48287920">
      <w:pPr>
        <w:shd w:val="clear" w:color="auto" w:fill="FFFFFF"/>
        <w:topLinePunct/>
        <w:autoSpaceDE/>
        <w:autoSpaceDN/>
        <w:adjustRightInd/>
        <w:jc w:val="both"/>
        <w:rPr>
          <w:rFonts w:eastAsia="宋体"/>
          <w:sz w:val="21"/>
          <w:szCs w:val="21"/>
        </w:rPr>
      </w:pPr>
      <w:r>
        <w:rPr>
          <w:rStyle w:val="16"/>
          <w:sz w:val="21"/>
          <w:szCs w:val="21"/>
        </w:rPr>
        <w:footnoteRef/>
      </w:r>
      <w:r>
        <w:rPr>
          <w:rFonts w:eastAsia="宋体"/>
          <w:sz w:val="21"/>
          <w:szCs w:val="21"/>
        </w:rPr>
        <w:t>例如，参见FDA指南《</w:t>
      </w:r>
      <w:r>
        <w:rPr>
          <w:rFonts w:eastAsia="宋体"/>
          <w:color w:val="000000"/>
          <w:sz w:val="21"/>
          <w:szCs w:val="21"/>
        </w:rPr>
        <w:t>E9临床试验的统计学指导原则</w:t>
      </w:r>
      <w:r>
        <w:rPr>
          <w:rFonts w:eastAsia="宋体"/>
          <w:sz w:val="21"/>
          <w:szCs w:val="21"/>
        </w:rPr>
        <w:t>》（1998年9月）；FDA指南《</w:t>
      </w:r>
      <w:r>
        <w:rPr>
          <w:rFonts w:eastAsia="宋体"/>
          <w:color w:val="000000"/>
          <w:sz w:val="21"/>
          <w:szCs w:val="21"/>
        </w:rPr>
        <w:t>医疗器械关键临床研究的设计考虑因素</w:t>
      </w:r>
      <w:r>
        <w:rPr>
          <w:rFonts w:eastAsia="宋体"/>
          <w:sz w:val="21"/>
          <w:szCs w:val="21"/>
        </w:rPr>
        <w:t>》（2013年11月）以及FDA指南《</w:t>
      </w:r>
      <w:r>
        <w:rPr>
          <w:rFonts w:eastAsia="宋体"/>
          <w:color w:val="000000"/>
          <w:sz w:val="21"/>
          <w:szCs w:val="21"/>
        </w:rPr>
        <w:t>关于报告评价诊断检测研究结果的统计学指南</w:t>
      </w:r>
      <w:r>
        <w:rPr>
          <w:rFonts w:eastAsia="宋体"/>
          <w:sz w:val="21"/>
          <w:szCs w:val="21"/>
        </w:rPr>
        <w:t>》（2007年3月）。</w:t>
      </w:r>
    </w:p>
    <w:p w14:paraId="6D0BC2AF">
      <w:pPr>
        <w:pStyle w:val="9"/>
        <w:snapToGrid/>
        <w:rPr>
          <w:sz w:val="21"/>
          <w:szCs w:val="21"/>
        </w:rPr>
      </w:pPr>
    </w:p>
  </w:footnote>
  <w:footnote w:id="22">
    <w:p w14:paraId="3CDA0CF0">
      <w:pPr>
        <w:shd w:val="clear" w:color="auto" w:fill="FFFFFF"/>
        <w:topLinePunct/>
        <w:autoSpaceDE/>
        <w:autoSpaceDN/>
        <w:adjustRightInd/>
        <w:jc w:val="both"/>
        <w:rPr>
          <w:rFonts w:eastAsia="宋体"/>
          <w:color w:val="000000"/>
          <w:sz w:val="21"/>
          <w:szCs w:val="21"/>
        </w:rPr>
      </w:pPr>
      <w:r>
        <w:rPr>
          <w:rStyle w:val="16"/>
          <w:sz w:val="21"/>
          <w:szCs w:val="21"/>
        </w:rPr>
        <w:footnoteRef/>
      </w:r>
      <w:r>
        <w:rPr>
          <w:rFonts w:eastAsia="宋体"/>
          <w:color w:val="000000"/>
          <w:sz w:val="21"/>
          <w:szCs w:val="21"/>
        </w:rPr>
        <w:t>参见《FD&amp;C法案》第502(a)、502(n)、502(q)和502(r)节；21 CFR 1.21(a)和202.1(e)(5)。</w:t>
      </w:r>
    </w:p>
  </w:footnote>
  <w:footnote w:id="23">
    <w:p w14:paraId="7483E66E">
      <w:pPr>
        <w:shd w:val="clear" w:color="auto" w:fill="FFFFFF"/>
        <w:topLinePunct/>
        <w:autoSpaceDE/>
        <w:autoSpaceDN/>
        <w:adjustRightInd/>
        <w:jc w:val="both"/>
        <w:rPr>
          <w:rFonts w:eastAsia="宋体"/>
          <w:sz w:val="21"/>
          <w:szCs w:val="21"/>
        </w:rPr>
      </w:pPr>
      <w:r>
        <w:rPr>
          <w:rStyle w:val="16"/>
          <w:sz w:val="21"/>
          <w:szCs w:val="21"/>
        </w:rPr>
        <w:footnoteRef/>
      </w:r>
      <w:r>
        <w:rPr>
          <w:rFonts w:eastAsia="宋体"/>
          <w:color w:val="000000"/>
          <w:sz w:val="21"/>
          <w:szCs w:val="21"/>
        </w:rPr>
        <w:t>例如，参见21 CFR 201.56(a)(2)（</w:t>
      </w:r>
      <w:r>
        <w:rPr>
          <w:rFonts w:ascii="宋体" w:hAnsi="宋体" w:eastAsia="宋体"/>
          <w:color w:val="000000"/>
          <w:sz w:val="21"/>
          <w:szCs w:val="21"/>
        </w:rPr>
        <w:t>“</w:t>
      </w:r>
      <w:r>
        <w:rPr>
          <w:rFonts w:eastAsia="宋体"/>
          <w:color w:val="000000"/>
          <w:sz w:val="21"/>
          <w:szCs w:val="21"/>
        </w:rPr>
        <w:t>当存在导致标签变得不准确、虚假或具有误导性的新信息时，必须更新[获批]标签</w:t>
      </w:r>
      <w:r>
        <w:rPr>
          <w:rFonts w:ascii="宋体" w:hAnsi="宋体" w:eastAsia="宋体"/>
          <w:color w:val="000000"/>
          <w:sz w:val="21"/>
          <w:szCs w:val="21"/>
        </w:rPr>
        <w:t>”</w:t>
      </w:r>
      <w:r>
        <w:rPr>
          <w:rFonts w:eastAsia="宋体"/>
          <w:color w:val="000000"/>
          <w:sz w:val="21"/>
          <w:szCs w:val="21"/>
        </w:rPr>
        <w:t>）；21 CFR 314.70和601.12（关于获批申请的补充材料和其他变更，包括标签）；21 CFR 514.8(c)（关于新动物药品获批申请的补充材料和其他变更，包括标签）；21 CFR 814.39（关于获批上市前批准申请（PMA）的补充材料，包括标签）；以及21 CFR 814.108（关于获批HDE申请的补充材料，包括标签）。</w:t>
      </w:r>
    </w:p>
    <w:p w14:paraId="26C6B5D9">
      <w:pPr>
        <w:pStyle w:val="9"/>
        <w:snapToGrid/>
        <w:rPr>
          <w:sz w:val="21"/>
          <w:szCs w:val="21"/>
        </w:rPr>
      </w:pPr>
    </w:p>
  </w:footnote>
  <w:footnote w:id="24">
    <w:p w14:paraId="169CCEBF">
      <w:pPr>
        <w:pStyle w:val="9"/>
        <w:snapToGrid/>
        <w:rPr>
          <w:sz w:val="21"/>
          <w:szCs w:val="21"/>
        </w:rPr>
      </w:pPr>
      <w:r>
        <w:rPr>
          <w:rStyle w:val="16"/>
          <w:sz w:val="21"/>
          <w:szCs w:val="21"/>
        </w:rPr>
        <w:footnoteRef/>
      </w:r>
      <w:r>
        <w:rPr>
          <w:rFonts w:eastAsia="宋体"/>
          <w:color w:val="000000"/>
          <w:sz w:val="21"/>
          <w:szCs w:val="21"/>
        </w:rPr>
        <w:t>在评价呈现的信息是否明显且突出时，FDA将考虑与沟通中的其他声明和演示文稿相比信息的显著性（包括位置、字体大小、对比度、和空白等），还会考虑信息呈现方式是否可能让接收该沟通的人士阅读和理解。</w:t>
      </w:r>
    </w:p>
  </w:footnote>
  <w:footnote w:id="25">
    <w:p w14:paraId="64053A3C">
      <w:pPr>
        <w:shd w:val="clear" w:color="auto" w:fill="FFFFFF"/>
        <w:topLinePunct/>
        <w:autoSpaceDE/>
        <w:autoSpaceDN/>
        <w:adjustRightInd/>
        <w:jc w:val="both"/>
        <w:rPr>
          <w:rFonts w:eastAsia="宋体"/>
          <w:sz w:val="21"/>
          <w:szCs w:val="21"/>
        </w:rPr>
      </w:pPr>
      <w:r>
        <w:rPr>
          <w:rStyle w:val="16"/>
          <w:sz w:val="21"/>
          <w:szCs w:val="21"/>
        </w:rPr>
        <w:footnoteRef/>
      </w:r>
      <w:r>
        <w:rPr>
          <w:rFonts w:eastAsia="宋体"/>
          <w:sz w:val="21"/>
          <w:szCs w:val="21"/>
        </w:rPr>
        <w:t>参见FDA指南草案《</w:t>
      </w:r>
      <w:r>
        <w:rPr>
          <w:rFonts w:eastAsia="宋体"/>
          <w:color w:val="000000"/>
          <w:sz w:val="21"/>
          <w:szCs w:val="21"/>
        </w:rPr>
        <w:t>回答关于处方药和医疗器械规范的标签外信息主动申请</w:t>
      </w:r>
      <w:r>
        <w:rPr>
          <w:rFonts w:eastAsia="宋体"/>
          <w:sz w:val="21"/>
          <w:szCs w:val="21"/>
        </w:rPr>
        <w:t>》（2011年12月）。</w:t>
      </w:r>
      <w:r>
        <w:rPr>
          <w:rFonts w:eastAsia="宋体"/>
          <w:color w:val="000000"/>
          <w:sz w:val="21"/>
          <w:szCs w:val="21"/>
        </w:rPr>
        <w:t>最终定稿后，本指南可代表FDA目前关于该主题的观点。</w:t>
      </w:r>
    </w:p>
    <w:p w14:paraId="555C2D07">
      <w:pPr>
        <w:pStyle w:val="9"/>
        <w:snapToGrid/>
        <w:rPr>
          <w:sz w:val="21"/>
          <w:szCs w:val="21"/>
        </w:rPr>
      </w:pPr>
    </w:p>
  </w:footnote>
  <w:footnote w:id="26">
    <w:p w14:paraId="1417732D">
      <w:pPr>
        <w:shd w:val="clear" w:color="auto" w:fill="FFFFFF"/>
        <w:topLinePunct/>
        <w:autoSpaceDE/>
        <w:autoSpaceDN/>
        <w:adjustRightInd/>
        <w:jc w:val="both"/>
        <w:rPr>
          <w:rFonts w:eastAsia="宋体"/>
          <w:sz w:val="21"/>
          <w:szCs w:val="21"/>
        </w:rPr>
      </w:pPr>
      <w:r>
        <w:rPr>
          <w:rStyle w:val="16"/>
          <w:sz w:val="21"/>
          <w:szCs w:val="21"/>
        </w:rPr>
        <w:footnoteRef/>
      </w:r>
      <w:r>
        <w:rPr>
          <w:rFonts w:eastAsia="宋体"/>
          <w:sz w:val="21"/>
          <w:szCs w:val="21"/>
        </w:rPr>
        <w:t>参见FDA指南《关于获批药品和获批或许可医疗器械的未获批新用途的医学期刊论文和医学或科学参考出版物分发的良好再版规范》（2009年1月）。</w:t>
      </w:r>
    </w:p>
    <w:p w14:paraId="7A73C7EC">
      <w:pPr>
        <w:pStyle w:val="9"/>
        <w:snapToGrid/>
        <w:rPr>
          <w:sz w:val="21"/>
          <w:szCs w:val="21"/>
        </w:rPr>
      </w:pPr>
    </w:p>
  </w:footnote>
  <w:footnote w:id="27">
    <w:p w14:paraId="0612EE60">
      <w:pPr>
        <w:shd w:val="clear" w:color="auto" w:fill="FFFFFF"/>
        <w:topLinePunct/>
        <w:autoSpaceDE/>
        <w:autoSpaceDN/>
        <w:adjustRightInd/>
        <w:jc w:val="both"/>
        <w:rPr>
          <w:rFonts w:eastAsia="宋体"/>
          <w:color w:val="000000"/>
          <w:sz w:val="21"/>
          <w:szCs w:val="21"/>
        </w:rPr>
      </w:pPr>
      <w:r>
        <w:rPr>
          <w:rStyle w:val="16"/>
          <w:sz w:val="21"/>
          <w:szCs w:val="21"/>
        </w:rPr>
        <w:footnoteRef/>
      </w:r>
      <w:r>
        <w:rPr>
          <w:rFonts w:eastAsia="宋体"/>
          <w:sz w:val="21"/>
          <w:szCs w:val="21"/>
        </w:rPr>
        <w:t>参见FDA修订版指南草案《分发关于未获批新用途的科学和医学出版物 – 推荐做法》</w:t>
      </w:r>
      <w:r>
        <w:rPr>
          <w:rFonts w:hint="eastAsia" w:eastAsia="宋体"/>
          <w:sz w:val="21"/>
          <w:szCs w:val="21"/>
        </w:rPr>
        <w:t xml:space="preserve"> </w:t>
      </w:r>
      <w:r>
        <w:rPr>
          <w:rFonts w:eastAsia="宋体"/>
          <w:sz w:val="21"/>
          <w:szCs w:val="21"/>
        </w:rPr>
        <w:t>（2014年2月）。</w:t>
      </w:r>
      <w:r>
        <w:rPr>
          <w:rFonts w:eastAsia="宋体"/>
          <w:color w:val="000000"/>
          <w:sz w:val="21"/>
          <w:szCs w:val="21"/>
        </w:rPr>
        <w:t>最终定稿后，本指南可代表FDA目前关于该主题的观点。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6CC4">
    <w:pPr>
      <w:pStyle w:val="7"/>
      <w:pBdr>
        <w:bottom w:val="none" w:color="auto" w:sz="0" w:space="0"/>
      </w:pBdr>
      <w:rPr>
        <w:sz w:val="21"/>
        <w:szCs w:val="21"/>
      </w:rPr>
    </w:pPr>
    <w:r>
      <w:rPr>
        <w:rFonts w:hint="eastAsia"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B2B15"/>
    <w:multiLevelType w:val="multilevel"/>
    <w:tmpl w:val="1EFB2B15"/>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5707C54"/>
    <w:multiLevelType w:val="multilevel"/>
    <w:tmpl w:val="55707C54"/>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683D52"/>
    <w:multiLevelType w:val="multilevel"/>
    <w:tmpl w:val="6F683D52"/>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00"/>
  <w:drawingGridVerticalSpacing w:val="182"/>
  <w:displayHorizontalDrawingGridEvery w:val="0"/>
  <w:displayVerticalDrawingGridEvery w:val="2"/>
  <w:doNotShadeFormData w:val="1"/>
  <w:characterSpacingControl w:val="compressPunctuation"/>
  <w:doNotValidateAgainstSchema/>
  <w:doNotDemarcateInvalidXml/>
  <w:footnotePr>
    <w:footnote w:id="56"/>
    <w:footnote w:id="5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92"/>
    <w:rsid w:val="00004619"/>
    <w:rsid w:val="00060F2E"/>
    <w:rsid w:val="000621C1"/>
    <w:rsid w:val="000645B3"/>
    <w:rsid w:val="00067482"/>
    <w:rsid w:val="00083E52"/>
    <w:rsid w:val="000B32BD"/>
    <w:rsid w:val="000B7897"/>
    <w:rsid w:val="000C1317"/>
    <w:rsid w:val="000D431F"/>
    <w:rsid w:val="000E1C6B"/>
    <w:rsid w:val="00104004"/>
    <w:rsid w:val="00106AF6"/>
    <w:rsid w:val="00113F90"/>
    <w:rsid w:val="00135E88"/>
    <w:rsid w:val="001401F9"/>
    <w:rsid w:val="001407CD"/>
    <w:rsid w:val="00154D41"/>
    <w:rsid w:val="00174B2F"/>
    <w:rsid w:val="001801A0"/>
    <w:rsid w:val="0018726B"/>
    <w:rsid w:val="001973E6"/>
    <w:rsid w:val="001E1B8B"/>
    <w:rsid w:val="002027EF"/>
    <w:rsid w:val="00213269"/>
    <w:rsid w:val="00232B9F"/>
    <w:rsid w:val="0023673D"/>
    <w:rsid w:val="00236BFF"/>
    <w:rsid w:val="00264421"/>
    <w:rsid w:val="002B1B1D"/>
    <w:rsid w:val="002C2931"/>
    <w:rsid w:val="002F015E"/>
    <w:rsid w:val="00303238"/>
    <w:rsid w:val="00316B63"/>
    <w:rsid w:val="00357B57"/>
    <w:rsid w:val="00360F26"/>
    <w:rsid w:val="00372090"/>
    <w:rsid w:val="00383F14"/>
    <w:rsid w:val="00392773"/>
    <w:rsid w:val="003D22C7"/>
    <w:rsid w:val="003E4322"/>
    <w:rsid w:val="003E6826"/>
    <w:rsid w:val="003F4173"/>
    <w:rsid w:val="00421E92"/>
    <w:rsid w:val="00426275"/>
    <w:rsid w:val="00440EEF"/>
    <w:rsid w:val="004577E6"/>
    <w:rsid w:val="00467461"/>
    <w:rsid w:val="0047118A"/>
    <w:rsid w:val="004963A4"/>
    <w:rsid w:val="004A150F"/>
    <w:rsid w:val="004B0F23"/>
    <w:rsid w:val="004B7B2B"/>
    <w:rsid w:val="004D31D8"/>
    <w:rsid w:val="004E3295"/>
    <w:rsid w:val="00501844"/>
    <w:rsid w:val="00503700"/>
    <w:rsid w:val="00551CD9"/>
    <w:rsid w:val="00560A41"/>
    <w:rsid w:val="005864F7"/>
    <w:rsid w:val="00587837"/>
    <w:rsid w:val="005B295A"/>
    <w:rsid w:val="005C6F70"/>
    <w:rsid w:val="005D7881"/>
    <w:rsid w:val="005E26FA"/>
    <w:rsid w:val="00601634"/>
    <w:rsid w:val="00605D77"/>
    <w:rsid w:val="00654142"/>
    <w:rsid w:val="006541CD"/>
    <w:rsid w:val="00661AE5"/>
    <w:rsid w:val="006625AE"/>
    <w:rsid w:val="0066568D"/>
    <w:rsid w:val="006B2FCD"/>
    <w:rsid w:val="006B5577"/>
    <w:rsid w:val="006B754D"/>
    <w:rsid w:val="006C7176"/>
    <w:rsid w:val="006D3086"/>
    <w:rsid w:val="006E6545"/>
    <w:rsid w:val="006F1BB1"/>
    <w:rsid w:val="007224E9"/>
    <w:rsid w:val="00723C02"/>
    <w:rsid w:val="00744910"/>
    <w:rsid w:val="007479C1"/>
    <w:rsid w:val="00775E89"/>
    <w:rsid w:val="00795534"/>
    <w:rsid w:val="007B0973"/>
    <w:rsid w:val="007F74E6"/>
    <w:rsid w:val="00801214"/>
    <w:rsid w:val="0081054D"/>
    <w:rsid w:val="008230CF"/>
    <w:rsid w:val="0087482E"/>
    <w:rsid w:val="008777CA"/>
    <w:rsid w:val="00880D68"/>
    <w:rsid w:val="008F13D2"/>
    <w:rsid w:val="0091495C"/>
    <w:rsid w:val="00946D6B"/>
    <w:rsid w:val="009B0498"/>
    <w:rsid w:val="009B409F"/>
    <w:rsid w:val="009F276B"/>
    <w:rsid w:val="00A146AA"/>
    <w:rsid w:val="00A17053"/>
    <w:rsid w:val="00A17E5B"/>
    <w:rsid w:val="00A40C33"/>
    <w:rsid w:val="00A53CF3"/>
    <w:rsid w:val="00A55370"/>
    <w:rsid w:val="00AE5406"/>
    <w:rsid w:val="00B10B92"/>
    <w:rsid w:val="00B26424"/>
    <w:rsid w:val="00B72E32"/>
    <w:rsid w:val="00B873BF"/>
    <w:rsid w:val="00BC35DA"/>
    <w:rsid w:val="00BC4A85"/>
    <w:rsid w:val="00C45872"/>
    <w:rsid w:val="00C60D29"/>
    <w:rsid w:val="00C6417C"/>
    <w:rsid w:val="00CA4117"/>
    <w:rsid w:val="00CE42FF"/>
    <w:rsid w:val="00CF347C"/>
    <w:rsid w:val="00CF4631"/>
    <w:rsid w:val="00D01BCC"/>
    <w:rsid w:val="00D03A1D"/>
    <w:rsid w:val="00D2666A"/>
    <w:rsid w:val="00D43A42"/>
    <w:rsid w:val="00D642B9"/>
    <w:rsid w:val="00D7085E"/>
    <w:rsid w:val="00D87CC6"/>
    <w:rsid w:val="00D91236"/>
    <w:rsid w:val="00D942A8"/>
    <w:rsid w:val="00D96C72"/>
    <w:rsid w:val="00DB5017"/>
    <w:rsid w:val="00DD164C"/>
    <w:rsid w:val="00DD48F1"/>
    <w:rsid w:val="00E040EF"/>
    <w:rsid w:val="00E06AC5"/>
    <w:rsid w:val="00E15BF5"/>
    <w:rsid w:val="00E202CB"/>
    <w:rsid w:val="00E30150"/>
    <w:rsid w:val="00EC5713"/>
    <w:rsid w:val="00F16F48"/>
    <w:rsid w:val="00F3362B"/>
    <w:rsid w:val="00F470D9"/>
    <w:rsid w:val="00F90D70"/>
    <w:rsid w:val="00F9242E"/>
    <w:rsid w:val="00F96B61"/>
    <w:rsid w:val="00F97C27"/>
    <w:rsid w:val="00FD5E06"/>
    <w:rsid w:val="00FE5BFA"/>
    <w:rsid w:val="461E2D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0"/>
    <w:qFormat/>
    <w:uiPriority w:val="9"/>
    <w:pPr>
      <w:keepNext/>
      <w:topLinePunct/>
      <w:autoSpaceDE/>
      <w:autoSpaceDN/>
      <w:adjustRightInd/>
      <w:spacing w:before="10" w:beforeLines="10" w:line="300" w:lineRule="auto"/>
      <w:ind w:hanging="300" w:hangingChars="300"/>
      <w:jc w:val="both"/>
      <w:outlineLvl w:val="0"/>
    </w:pPr>
    <w:rPr>
      <w:rFonts w:eastAsia="宋体"/>
      <w:b/>
      <w:bCs/>
      <w:kern w:val="44"/>
      <w:sz w:val="32"/>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nhideWhenUsed/>
    <w:uiPriority w:val="99"/>
  </w:style>
  <w:style w:type="paragraph" w:styleId="4">
    <w:name w:val="Date"/>
    <w:basedOn w:val="1"/>
    <w:next w:val="1"/>
    <w:link w:val="19"/>
    <w:semiHidden/>
    <w:unhideWhenUsed/>
    <w:uiPriority w:val="99"/>
    <w:pPr>
      <w:ind w:left="100" w:leftChars="2500"/>
    </w:pPr>
  </w:style>
  <w:style w:type="paragraph" w:styleId="5">
    <w:name w:val="Balloon Text"/>
    <w:basedOn w:val="1"/>
    <w:link w:val="25"/>
    <w:semiHidden/>
    <w:unhideWhenUsed/>
    <w:qFormat/>
    <w:uiPriority w:val="99"/>
    <w:rPr>
      <w:sz w:val="18"/>
      <w:szCs w:val="18"/>
    </w:rPr>
  </w:style>
  <w:style w:type="paragraph" w:styleId="6">
    <w:name w:val="footer"/>
    <w:basedOn w:val="1"/>
    <w:link w:val="18"/>
    <w:unhideWhenUsed/>
    <w:uiPriority w:val="99"/>
    <w:pPr>
      <w:tabs>
        <w:tab w:val="center" w:pos="4153"/>
        <w:tab w:val="right" w:pos="8306"/>
      </w:tabs>
      <w:snapToGrid w:val="0"/>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pPr>
      <w:tabs>
        <w:tab w:val="right" w:leader="dot" w:pos="9063"/>
      </w:tabs>
      <w:ind w:left="723" w:hanging="723" w:hangingChars="300"/>
      <w:jc w:val="both"/>
    </w:pPr>
    <w:rPr>
      <w:rFonts w:eastAsia="宋体"/>
      <w:b/>
      <w:sz w:val="24"/>
    </w:rPr>
  </w:style>
  <w:style w:type="paragraph" w:styleId="9">
    <w:name w:val="footnote text"/>
    <w:basedOn w:val="1"/>
    <w:link w:val="26"/>
    <w:semiHidden/>
    <w:unhideWhenUsed/>
    <w:uiPriority w:val="99"/>
    <w:pPr>
      <w:snapToGrid w:val="0"/>
    </w:pPr>
    <w:rPr>
      <w:sz w:val="18"/>
      <w:szCs w:val="18"/>
    </w:rPr>
  </w:style>
  <w:style w:type="paragraph" w:styleId="10">
    <w:name w:val="annotation subject"/>
    <w:basedOn w:val="3"/>
    <w:next w:val="3"/>
    <w:link w:val="24"/>
    <w:semiHidden/>
    <w:unhideWhenUsed/>
    <w:uiPriority w:val="99"/>
    <w:rPr>
      <w:b/>
      <w:bCs/>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uiPriority w:val="99"/>
    <w:rPr>
      <w:color w:val="0000FF" w:themeColor="hyperlink"/>
      <w:u w:val="single"/>
      <w14:textFill>
        <w14:solidFill>
          <w14:schemeClr w14:val="hlink"/>
        </w14:solidFill>
      </w14:textFill>
    </w:rPr>
  </w:style>
  <w:style w:type="character" w:styleId="15">
    <w:name w:val="annotation reference"/>
    <w:basedOn w:val="13"/>
    <w:semiHidden/>
    <w:unhideWhenUsed/>
    <w:uiPriority w:val="99"/>
    <w:rPr>
      <w:sz w:val="21"/>
      <w:szCs w:val="21"/>
    </w:rPr>
  </w:style>
  <w:style w:type="character" w:styleId="16">
    <w:name w:val="footnote reference"/>
    <w:basedOn w:val="13"/>
    <w:semiHidden/>
    <w:unhideWhenUsed/>
    <w:uiPriority w:val="99"/>
    <w:rPr>
      <w:vertAlign w:val="superscript"/>
    </w:rPr>
  </w:style>
  <w:style w:type="character" w:customStyle="1" w:styleId="17">
    <w:name w:val="页眉 Char"/>
    <w:basedOn w:val="13"/>
    <w:link w:val="7"/>
    <w:uiPriority w:val="99"/>
    <w:rPr>
      <w:rFonts w:ascii="Times New Roman" w:hAnsi="Times New Roman" w:cs="Times New Roman"/>
      <w:kern w:val="0"/>
      <w:sz w:val="18"/>
      <w:szCs w:val="18"/>
    </w:rPr>
  </w:style>
  <w:style w:type="character" w:customStyle="1" w:styleId="18">
    <w:name w:val="页脚 Char"/>
    <w:basedOn w:val="13"/>
    <w:link w:val="6"/>
    <w:uiPriority w:val="99"/>
    <w:rPr>
      <w:rFonts w:ascii="Times New Roman" w:hAnsi="Times New Roman" w:cs="Times New Roman"/>
      <w:kern w:val="0"/>
      <w:sz w:val="18"/>
      <w:szCs w:val="18"/>
    </w:rPr>
  </w:style>
  <w:style w:type="character" w:customStyle="1" w:styleId="19">
    <w:name w:val="日期 Char"/>
    <w:basedOn w:val="13"/>
    <w:link w:val="4"/>
    <w:semiHidden/>
    <w:qFormat/>
    <w:uiPriority w:val="99"/>
    <w:rPr>
      <w:rFonts w:ascii="Times New Roman" w:hAnsi="Times New Roman" w:cs="Times New Roman"/>
      <w:kern w:val="0"/>
      <w:sz w:val="20"/>
      <w:szCs w:val="20"/>
    </w:rPr>
  </w:style>
  <w:style w:type="character" w:customStyle="1" w:styleId="20">
    <w:name w:val="标题 1 Char"/>
    <w:basedOn w:val="13"/>
    <w:link w:val="2"/>
    <w:uiPriority w:val="9"/>
    <w:rPr>
      <w:rFonts w:ascii="Times New Roman" w:hAnsi="Times New Roman" w:eastAsia="宋体" w:cs="Times New Roman"/>
      <w:b/>
      <w:bCs/>
      <w:kern w:val="44"/>
      <w:sz w:val="32"/>
      <w:szCs w:val="44"/>
    </w:rPr>
  </w:style>
  <w:style w:type="paragraph" w:styleId="21">
    <w:name w:val="List Paragraph"/>
    <w:basedOn w:val="1"/>
    <w:qFormat/>
    <w:uiPriority w:val="34"/>
    <w:pPr>
      <w:ind w:firstLine="420" w:firstLineChars="200"/>
    </w:pPr>
  </w:style>
  <w:style w:type="paragraph" w:customStyle="1" w:styleId="22">
    <w:name w:val="Revision"/>
    <w:hidden/>
    <w:semiHidden/>
    <w:uiPriority w:val="99"/>
    <w:rPr>
      <w:rFonts w:ascii="Times New Roman" w:hAnsi="Times New Roman" w:cs="Times New Roman" w:eastAsiaTheme="minorEastAsia"/>
      <w:kern w:val="0"/>
      <w:sz w:val="20"/>
      <w:szCs w:val="20"/>
      <w:lang w:val="en-US" w:eastAsia="zh-CN" w:bidi="ar-SA"/>
    </w:rPr>
  </w:style>
  <w:style w:type="character" w:customStyle="1" w:styleId="23">
    <w:name w:val="批注文字 Char"/>
    <w:basedOn w:val="13"/>
    <w:link w:val="3"/>
    <w:semiHidden/>
    <w:uiPriority w:val="99"/>
    <w:rPr>
      <w:rFonts w:ascii="Times New Roman" w:hAnsi="Times New Roman" w:cs="Times New Roman"/>
      <w:kern w:val="0"/>
      <w:sz w:val="20"/>
      <w:szCs w:val="20"/>
    </w:rPr>
  </w:style>
  <w:style w:type="character" w:customStyle="1" w:styleId="24">
    <w:name w:val="批注主题 Char"/>
    <w:basedOn w:val="23"/>
    <w:link w:val="10"/>
    <w:semiHidden/>
    <w:uiPriority w:val="99"/>
    <w:rPr>
      <w:rFonts w:ascii="Times New Roman" w:hAnsi="Times New Roman" w:cs="Times New Roman"/>
      <w:b/>
      <w:bCs/>
      <w:kern w:val="0"/>
      <w:sz w:val="20"/>
      <w:szCs w:val="20"/>
    </w:rPr>
  </w:style>
  <w:style w:type="character" w:customStyle="1" w:styleId="25">
    <w:name w:val="批注框文本 Char"/>
    <w:basedOn w:val="13"/>
    <w:link w:val="5"/>
    <w:semiHidden/>
    <w:qFormat/>
    <w:uiPriority w:val="99"/>
    <w:rPr>
      <w:rFonts w:ascii="Times New Roman" w:hAnsi="Times New Roman" w:cs="Times New Roman"/>
      <w:kern w:val="0"/>
      <w:sz w:val="18"/>
      <w:szCs w:val="18"/>
    </w:rPr>
  </w:style>
  <w:style w:type="character" w:customStyle="1" w:styleId="26">
    <w:name w:val="脚注文本 Char"/>
    <w:basedOn w:val="13"/>
    <w:link w:val="9"/>
    <w:semiHidden/>
    <w:uiPriority w:val="99"/>
    <w:rPr>
      <w:rFonts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0B89-C588-46E2-958E-1F47000956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12690</Words>
  <Characters>14424</Characters>
  <Lines>112</Lines>
  <Paragraphs>31</Paragraphs>
  <TotalTime>25</TotalTime>
  <ScaleCrop>false</ScaleCrop>
  <LinksUpToDate>false</LinksUpToDate>
  <CharactersWithSpaces>14539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2022-03-11T06:20:00Z</dcterms:created>
  <dc:creator>Administrator</dc:creator>
  <cp:keywords>Medical Product Communications That Are Consistent With the FDA-Required Labeling —Questions and Answers Guidance for Industry</cp:keywords>
  <cp:lastModifiedBy>太极箫客</cp:lastModifiedBy>
  <dcterms:modified xsi:type="dcterms:W3CDTF">2025-08-14T07:13:29Z</dcterms:modified>
  <dc:subject>Guidance for Industry</dc:subject>
  <dc:title>Medical Product Communications That Are Consistent With the FDA-Required Labeling — Questions and Answers Guidance for Industry</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793051FC828A4B218C0ED685D73F9778_12</vt:lpwstr>
  </property>
</Properties>
</file>