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06D4">
      <w:pPr>
        <w:snapToGrid w:val="0"/>
        <w:spacing w:before="3" w:line="300" w:lineRule="auto"/>
        <w:rPr>
          <w:rFonts w:ascii="Arial" w:hAnsi="Arial" w:eastAsia="宋体" w:cs="Arial"/>
          <w:sz w:val="17"/>
          <w:szCs w:val="17"/>
        </w:rPr>
      </w:pPr>
      <w:bookmarkStart w:id="62" w:name="_GoBack"/>
      <w:bookmarkEnd w:id="62"/>
    </w:p>
    <w:p w14:paraId="2C43619C">
      <w:pPr>
        <w:snapToGrid w:val="0"/>
        <w:spacing w:before="22" w:line="300" w:lineRule="auto"/>
        <w:jc w:val="center"/>
        <w:rPr>
          <w:rFonts w:ascii="Arial" w:hAnsi="Arial" w:eastAsia="宋体" w:cs="Arial"/>
          <w:sz w:val="60"/>
          <w:szCs w:val="60"/>
        </w:rPr>
      </w:pPr>
      <w:r>
        <w:rPr>
          <w:rFonts w:ascii="Arial" w:hAnsi="Arial" w:eastAsia="宋体" w:cs="Arial"/>
          <w:b/>
          <w:sz w:val="60"/>
        </w:rPr>
        <w:t>移动医疗的应用</w:t>
      </w:r>
    </w:p>
    <w:p w14:paraId="3A93D0DF">
      <w:pPr>
        <w:snapToGrid w:val="0"/>
        <w:spacing w:line="300" w:lineRule="auto"/>
        <w:rPr>
          <w:rFonts w:ascii="Arial" w:hAnsi="Arial" w:eastAsia="宋体" w:cs="Arial"/>
          <w:b/>
          <w:bCs/>
          <w:sz w:val="20"/>
          <w:szCs w:val="20"/>
        </w:rPr>
      </w:pPr>
    </w:p>
    <w:p w14:paraId="10C7FA15">
      <w:pPr>
        <w:snapToGrid w:val="0"/>
        <w:spacing w:before="7" w:line="300" w:lineRule="auto"/>
        <w:ind w:firstLine="1134" w:firstLineChars="3780"/>
        <w:rPr>
          <w:rFonts w:ascii="Arial" w:hAnsi="Arial" w:eastAsia="宋体" w:cs="Arial"/>
          <w:b/>
          <w:bCs/>
          <w:sz w:val="16"/>
          <w:szCs w:val="16"/>
        </w:rPr>
      </w:pPr>
      <w:r>
        <w:rPr>
          <w:rFonts w:ascii="Arial" w:hAnsi="Arial" w:eastAsia="宋体" w:cs="Arial"/>
          <w:sz w:val="3"/>
          <w:szCs w:val="3"/>
          <w:lang w:eastAsia="zh-CN"/>
        </w:rPr>
        <mc:AlternateContent>
          <mc:Choice Requires="wpg">
            <w:drawing>
              <wp:inline distT="0" distB="0" distL="0" distR="0">
                <wp:extent cx="4977130" cy="24130"/>
                <wp:effectExtent l="0" t="0" r="4445" b="4445"/>
                <wp:docPr id="68" name="Group 94"/>
                <wp:cNvGraphicFramePr/>
                <a:graphic xmlns:a="http://schemas.openxmlformats.org/drawingml/2006/main">
                  <a:graphicData uri="http://schemas.microsoft.com/office/word/2010/wordprocessingGroup">
                    <wpg:wgp>
                      <wpg:cNvGrpSpPr/>
                      <wpg:grpSpPr>
                        <a:xfrm>
                          <a:off x="0" y="0"/>
                          <a:ext cx="4977130" cy="24130"/>
                          <a:chOff x="0" y="0"/>
                          <a:chExt cx="7838" cy="38"/>
                        </a:xfrm>
                      </wpg:grpSpPr>
                      <wpg:grpSp>
                        <wpg:cNvPr id="69" name="Group 95"/>
                        <wpg:cNvGrpSpPr/>
                        <wpg:grpSpPr>
                          <a:xfrm>
                            <a:off x="19" y="19"/>
                            <a:ext cx="7800" cy="2"/>
                            <a:chOff x="19" y="19"/>
                            <a:chExt cx="7800" cy="2"/>
                          </a:xfrm>
                        </wpg:grpSpPr>
                        <wps:wsp>
                          <wps:cNvPr id="70" name="Freeform 96"/>
                          <wps:cNvSpPr/>
                          <wps:spPr bwMode="auto">
                            <a:xfrm>
                              <a:off x="19" y="19"/>
                              <a:ext cx="7800" cy="2"/>
                            </a:xfrm>
                            <a:custGeom>
                              <a:avLst/>
                              <a:gdLst>
                                <a:gd name="T0" fmla="+- 0 19 19"/>
                                <a:gd name="T1" fmla="*/ T0 w 7800"/>
                                <a:gd name="T2" fmla="+- 0 7819 19"/>
                                <a:gd name="T3" fmla="*/ T2 w 7800"/>
                              </a:gdLst>
                              <a:ahLst/>
                              <a:cxnLst>
                                <a:cxn ang="0">
                                  <a:pos x="T1" y="0"/>
                                </a:cxn>
                                <a:cxn ang="0">
                                  <a:pos x="T3" y="0"/>
                                </a:cxn>
                              </a:cxnLst>
                              <a:rect l="0" t="0" r="r" b="b"/>
                              <a:pathLst>
                                <a:path w="7800">
                                  <a:moveTo>
                                    <a:pt x="0" y="0"/>
                                  </a:moveTo>
                                  <a:lnTo>
                                    <a:pt x="7800" y="0"/>
                                  </a:lnTo>
                                </a:path>
                              </a:pathLst>
                            </a:custGeom>
                            <a:noFill/>
                            <a:ln w="24003">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94" o:spid="_x0000_s1026" o:spt="203" style="height:1.9pt;width:391.9pt;" coordsize="7838,38" o:gfxdata="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Fauz1nUAAAAAwEAAA8AAAAAAAAAAQAgAAAAIgAAAGRycy9kb3ducmV2&#10;LnhtbFBLAQIUABQAAAAIAIdO4kDp2VaXHQMAAAkIAAAOAAAAAAAAAAEAIAAAACMBAABkcnMvZTJv&#10;RG9jLnhtbFBLBQYAAAAABgAGAFkBAACyBgAAAAA=&#10;">
                <o:lock v:ext="edit" aspectratio="f"/>
                <v:group id="Group 95" o:spid="_x0000_s1026" o:spt="203" style="position:absolute;left:19;top:19;height:2;width:7800;" coordorigin="19,19" coordsize="7800,2"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Freeform 96" o:spid="_x0000_s1026" o:spt="100" style="position:absolute;left:19;top:19;height:2;width:7800;" filled="f" stroked="t" coordsize="7800,1" o:gfxdata="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5kyabsAAADb&#10;AAAADwAAAAAAAAABACAAAAAiAAAAZHJzL2Rvd25yZXYueG1sUEsBAhQAFAAAAAgAh07iQDMvBZ47&#10;AAAAOQAAABAAAAAAAAAAAQAgAAAACgEAAGRycy9zaGFwZXhtbC54bWxQSwUGAAAAAAYABgBbAQAA&#10;tAMAAAAA&#10;" path="m0,0l7800,0e">
                    <v:path o:connectlocs="0,0;7800,0" o:connectangles="0,0"/>
                    <v:fill on="f" focussize="0,0"/>
                    <v:stroke weight="1.89pt" color="#000000" joinstyle="round"/>
                    <v:imagedata o:title=""/>
                    <o:lock v:ext="edit" aspectratio="f"/>
                  </v:shape>
                </v:group>
                <w10:wrap type="none"/>
                <w10:anchorlock/>
              </v:group>
            </w:pict>
          </mc:Fallback>
        </mc:AlternateContent>
      </w:r>
    </w:p>
    <w:p w14:paraId="2B7A86AC">
      <w:pPr>
        <w:snapToGrid w:val="0"/>
        <w:spacing w:line="300" w:lineRule="auto"/>
        <w:rPr>
          <w:rFonts w:ascii="Arial" w:hAnsi="Arial" w:eastAsia="宋体" w:cs="Arial"/>
          <w:sz w:val="3"/>
          <w:szCs w:val="3"/>
        </w:rPr>
      </w:pPr>
    </w:p>
    <w:p w14:paraId="3AF3AD33">
      <w:pPr>
        <w:snapToGrid w:val="0"/>
        <w:spacing w:before="2" w:line="300" w:lineRule="auto"/>
        <w:jc w:val="center"/>
        <w:rPr>
          <w:rFonts w:ascii="Arial" w:hAnsi="Arial" w:eastAsia="宋体" w:cs="Arial"/>
          <w:b/>
          <w:sz w:val="60"/>
          <w:lang w:eastAsia="zh-CN"/>
        </w:rPr>
      </w:pPr>
      <w:r>
        <w:rPr>
          <w:rFonts w:ascii="Arial" w:hAnsi="Arial" w:eastAsia="宋体" w:cs="Arial"/>
          <w:b/>
          <w:sz w:val="60"/>
          <w:lang w:eastAsia="zh-CN"/>
        </w:rPr>
        <w:t>行业和食品药品监督管理局员工指南</w:t>
      </w:r>
    </w:p>
    <w:p w14:paraId="7BF88F1B">
      <w:pPr>
        <w:snapToGrid w:val="0"/>
        <w:spacing w:line="300" w:lineRule="auto"/>
        <w:rPr>
          <w:rFonts w:ascii="Arial" w:hAnsi="Arial" w:eastAsia="宋体" w:cs="Arial"/>
          <w:b/>
          <w:bCs/>
          <w:sz w:val="48"/>
          <w:szCs w:val="48"/>
          <w:lang w:eastAsia="zh-CN"/>
        </w:rPr>
      </w:pPr>
    </w:p>
    <w:p w14:paraId="3B6B9115">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文件发布日期：2015年2月9日。</w:t>
      </w:r>
    </w:p>
    <w:p w14:paraId="053DC075">
      <w:pPr>
        <w:snapToGrid w:val="0"/>
        <w:spacing w:before="11" w:line="300" w:lineRule="auto"/>
        <w:rPr>
          <w:rFonts w:ascii="Arial" w:hAnsi="Arial" w:eastAsia="宋体" w:cs="Arial"/>
          <w:b/>
          <w:bCs/>
          <w:sz w:val="27"/>
          <w:szCs w:val="27"/>
          <w:lang w:eastAsia="zh-CN"/>
        </w:rPr>
      </w:pPr>
    </w:p>
    <w:p w14:paraId="6903DF45">
      <w:pPr>
        <w:snapToGrid w:val="0"/>
        <w:spacing w:line="300" w:lineRule="auto"/>
        <w:jc w:val="center"/>
        <w:rPr>
          <w:rFonts w:ascii="Arial" w:hAnsi="Arial" w:eastAsia="宋体" w:cs="Arial"/>
          <w:sz w:val="28"/>
          <w:szCs w:val="28"/>
          <w:lang w:eastAsia="zh-CN"/>
        </w:rPr>
      </w:pPr>
      <w:r>
        <w:rPr>
          <w:rFonts w:ascii="Arial" w:hAnsi="Arial" w:eastAsia="宋体" w:cs="Arial"/>
          <w:b/>
          <w:bCs/>
          <w:sz w:val="28"/>
          <w:szCs w:val="28"/>
          <w:lang w:eastAsia="zh-CN"/>
        </w:rPr>
        <w:t>本文件将取代2013年9月25日发布的</w:t>
      </w:r>
      <w:r>
        <w:rPr>
          <w:rFonts w:hint="eastAsia" w:ascii="Arial" w:hAnsi="Arial" w:eastAsia="宋体" w:cs="Arial"/>
          <w:b/>
          <w:bCs/>
          <w:sz w:val="28"/>
          <w:szCs w:val="28"/>
          <w:lang w:eastAsia="zh-CN"/>
        </w:rPr>
        <w:t>《</w:t>
      </w:r>
      <w:r>
        <w:rPr>
          <w:rFonts w:ascii="Arial" w:hAnsi="Arial" w:eastAsia="宋体" w:cs="Arial"/>
          <w:b/>
          <w:bCs/>
          <w:sz w:val="28"/>
          <w:szCs w:val="28"/>
          <w:lang w:eastAsia="zh-CN"/>
        </w:rPr>
        <w:t>移动医疗的应用：食品药品监督管理局员工指南</w:t>
      </w:r>
      <w:r>
        <w:rPr>
          <w:rFonts w:hint="eastAsia" w:ascii="Arial" w:hAnsi="Arial" w:eastAsia="宋体" w:cs="Arial"/>
          <w:b/>
          <w:bCs/>
          <w:sz w:val="28"/>
          <w:szCs w:val="28"/>
          <w:lang w:eastAsia="zh-CN"/>
        </w:rPr>
        <w:t>》</w:t>
      </w:r>
      <w:r>
        <w:rPr>
          <w:rFonts w:ascii="Arial" w:hAnsi="Arial" w:eastAsia="宋体" w:cs="Arial"/>
          <w:b/>
          <w:bCs/>
          <w:sz w:val="28"/>
          <w:szCs w:val="28"/>
          <w:lang w:eastAsia="zh-CN"/>
        </w:rPr>
        <w:t>。</w:t>
      </w:r>
    </w:p>
    <w:p w14:paraId="2A2984E8">
      <w:pPr>
        <w:snapToGrid w:val="0"/>
        <w:spacing w:before="2" w:line="300" w:lineRule="auto"/>
        <w:rPr>
          <w:rFonts w:ascii="Arial" w:hAnsi="Arial" w:eastAsia="宋体" w:cs="Arial"/>
          <w:b/>
          <w:bCs/>
          <w:sz w:val="28"/>
          <w:szCs w:val="28"/>
          <w:lang w:eastAsia="zh-CN"/>
        </w:rPr>
      </w:pPr>
    </w:p>
    <w:p w14:paraId="14389DEA">
      <w:pPr>
        <w:snapToGrid w:val="0"/>
        <w:spacing w:line="300" w:lineRule="auto"/>
        <w:jc w:val="both"/>
        <w:rPr>
          <w:rFonts w:ascii="Arial" w:hAnsi="Arial" w:eastAsia="宋体" w:cs="Arial"/>
          <w:sz w:val="28"/>
          <w:szCs w:val="28"/>
          <w:lang w:eastAsia="zh-CN"/>
        </w:rPr>
      </w:pPr>
      <w:r>
        <w:rPr>
          <w:rFonts w:ascii="Arial" w:hAnsi="Arial" w:eastAsia="宋体" w:cs="Arial"/>
          <w:b/>
          <w:bCs/>
          <w:sz w:val="28"/>
          <w:szCs w:val="28"/>
          <w:lang w:eastAsia="zh-CN"/>
        </w:rPr>
        <w:t>本文件的更新目的在于符合2015年2月9日发布的</w:t>
      </w:r>
      <w:r>
        <w:rPr>
          <w:rFonts w:hint="eastAsia" w:ascii="Arial" w:hAnsi="Arial" w:eastAsia="宋体" w:cs="Arial"/>
          <w:b/>
          <w:bCs/>
          <w:sz w:val="28"/>
          <w:szCs w:val="28"/>
          <w:lang w:eastAsia="zh-CN"/>
        </w:rPr>
        <w:t>《</w:t>
      </w:r>
      <w:r>
        <w:rPr>
          <w:rFonts w:ascii="Arial" w:hAnsi="Arial" w:eastAsia="宋体" w:cs="Arial"/>
          <w:b/>
          <w:bCs/>
          <w:sz w:val="28"/>
          <w:szCs w:val="28"/>
          <w:lang w:eastAsia="zh-CN"/>
        </w:rPr>
        <w:t>医疗器械数据系统、医疗影像存储器械和医疗影像通信器械</w:t>
      </w:r>
      <w:r>
        <w:rPr>
          <w:rFonts w:hint="eastAsia" w:ascii="Arial" w:hAnsi="Arial" w:eastAsia="宋体" w:cs="Arial"/>
          <w:b/>
          <w:bCs/>
          <w:sz w:val="28"/>
          <w:szCs w:val="28"/>
          <w:lang w:eastAsia="zh-CN"/>
        </w:rPr>
        <w:t>》</w:t>
      </w:r>
      <w:r>
        <w:rPr>
          <w:rFonts w:ascii="Arial" w:hAnsi="Arial" w:eastAsia="宋体" w:cs="Arial"/>
          <w:b/>
          <w:bCs/>
          <w:sz w:val="28"/>
          <w:szCs w:val="28"/>
          <w:lang w:eastAsia="zh-CN"/>
        </w:rPr>
        <w:t>的指导性文件。</w:t>
      </w:r>
    </w:p>
    <w:p w14:paraId="41109C9C">
      <w:pPr>
        <w:snapToGrid w:val="0"/>
        <w:spacing w:before="10" w:line="300" w:lineRule="auto"/>
        <w:jc w:val="both"/>
        <w:rPr>
          <w:rFonts w:ascii="Arial" w:hAnsi="Arial" w:eastAsia="宋体" w:cs="Arial"/>
          <w:b/>
          <w:bCs/>
          <w:sz w:val="23"/>
          <w:szCs w:val="23"/>
          <w:lang w:eastAsia="zh-CN"/>
        </w:rPr>
      </w:pPr>
    </w:p>
    <w:p w14:paraId="65EF4257">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与本文件中有关CDRH监管器械内容相关的问题，请联系Bakul Patel，电话：301-796-5528或电子邮件：</w:t>
      </w:r>
      <w:r>
        <w:rPr>
          <w:rFonts w:ascii="Arial" w:hAnsi="Arial" w:eastAsia="宋体" w:cs="Arial"/>
          <w:color w:val="0000FF"/>
          <w:u w:val="single"/>
          <w:lang w:eastAsia="zh-CN"/>
        </w:rPr>
        <w:t>Bakul.Patel@fda.hhs.gov</w:t>
      </w:r>
      <w:r>
        <w:rPr>
          <w:rFonts w:ascii="Arial" w:hAnsi="Arial" w:eastAsia="宋体" w:cs="Arial"/>
          <w:lang w:eastAsia="zh-CN"/>
        </w:rPr>
        <w:t>或联系中心主任办公室，电话：301-796-5900。</w:t>
      </w:r>
    </w:p>
    <w:p w14:paraId="63167E67">
      <w:pPr>
        <w:pStyle w:val="6"/>
        <w:snapToGrid w:val="0"/>
        <w:spacing w:line="300" w:lineRule="auto"/>
        <w:ind w:left="0" w:firstLine="0"/>
        <w:jc w:val="both"/>
        <w:rPr>
          <w:rFonts w:ascii="Arial" w:hAnsi="Arial" w:eastAsia="宋体" w:cs="Arial"/>
          <w:lang w:eastAsia="zh-CN"/>
        </w:rPr>
      </w:pPr>
    </w:p>
    <w:p w14:paraId="03BA6EE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与本文件中有关CBER监管器械内容相关的问题，请致电1-800-835-4709或240-402- 7800与交流、外联与开发办公室（OCOD）联系。</w:t>
      </w:r>
    </w:p>
    <w:p w14:paraId="18D3204A">
      <w:pPr>
        <w:snapToGrid w:val="0"/>
        <w:spacing w:line="300" w:lineRule="auto"/>
        <w:rPr>
          <w:rFonts w:ascii="Arial" w:hAnsi="Arial" w:eastAsia="宋体" w:cs="Arial"/>
          <w:sz w:val="24"/>
          <w:szCs w:val="24"/>
          <w:lang w:eastAsia="zh-CN"/>
        </w:rPr>
      </w:pPr>
    </w:p>
    <w:p w14:paraId="621CCBEA">
      <w:pPr>
        <w:snapToGrid w:val="0"/>
        <w:spacing w:line="300" w:lineRule="auto"/>
        <w:rPr>
          <w:rFonts w:ascii="Arial" w:hAnsi="Arial" w:eastAsia="宋体" w:cs="Arial"/>
          <w:sz w:val="24"/>
          <w:szCs w:val="24"/>
          <w:lang w:eastAsia="zh-CN"/>
        </w:rPr>
      </w:pPr>
    </w:p>
    <w:p w14:paraId="293793FD">
      <w:pPr>
        <w:snapToGrid w:val="0"/>
        <w:spacing w:line="300" w:lineRule="auto"/>
        <w:rPr>
          <w:rFonts w:ascii="Arial" w:hAnsi="Arial" w:eastAsia="宋体" w:cs="Arial"/>
          <w:sz w:val="24"/>
          <w:szCs w:val="24"/>
          <w:lang w:eastAsia="zh-CN"/>
        </w:rPr>
      </w:pPr>
    </w:p>
    <w:p w14:paraId="7FB02C23">
      <w:pPr>
        <w:snapToGrid w:val="0"/>
        <w:spacing w:line="300" w:lineRule="auto"/>
        <w:rPr>
          <w:rFonts w:ascii="Arial" w:hAnsi="Arial" w:eastAsia="宋体" w:cs="Arial"/>
          <w:sz w:val="24"/>
          <w:szCs w:val="24"/>
          <w:lang w:eastAsia="zh-CN"/>
        </w:rPr>
      </w:pPr>
    </w:p>
    <w:p w14:paraId="3BFAE590">
      <w:pPr>
        <w:snapToGrid w:val="0"/>
        <w:spacing w:before="4" w:line="300" w:lineRule="auto"/>
        <w:rPr>
          <w:rFonts w:ascii="Arial" w:hAnsi="Arial" w:eastAsia="宋体" w:cs="Arial"/>
          <w:sz w:val="32"/>
          <w:szCs w:val="32"/>
          <w:lang w:eastAsia="zh-CN"/>
        </w:rPr>
      </w:pPr>
    </w:p>
    <w:p w14:paraId="0B4C4254">
      <w:pPr>
        <w:pStyle w:val="5"/>
        <w:snapToGrid w:val="0"/>
        <w:spacing w:line="300" w:lineRule="auto"/>
        <w:ind w:left="4240"/>
        <w:rPr>
          <w:rFonts w:ascii="Arial" w:hAnsi="Arial" w:eastAsia="宋体" w:cs="Arial"/>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1088390</wp:posOffset>
            </wp:positionH>
            <wp:positionV relativeFrom="paragraph">
              <wp:posOffset>2540</wp:posOffset>
            </wp:positionV>
            <wp:extent cx="914400" cy="952500"/>
            <wp:effectExtent l="0" t="0" r="0" b="0"/>
            <wp:wrapNone/>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eastAsia="宋体" w:cs="Arial"/>
          <w:lang w:eastAsia="zh-CN"/>
        </w:rPr>
        <w:drawing>
          <wp:anchor distT="0" distB="0" distL="114300" distR="114300" simplePos="0" relativeHeight="251661312" behindDoc="0" locked="0" layoutInCell="1" allowOverlap="1">
            <wp:simplePos x="0" y="0"/>
            <wp:positionH relativeFrom="page">
              <wp:posOffset>2155190</wp:posOffset>
            </wp:positionH>
            <wp:positionV relativeFrom="paragraph">
              <wp:posOffset>163830</wp:posOffset>
            </wp:positionV>
            <wp:extent cx="934085" cy="791210"/>
            <wp:effectExtent l="0" t="0" r="0" b="0"/>
            <wp:wrapNone/>
            <wp:docPr id="1" name="图片 1"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34085" cy="791210"/>
                    </a:xfrm>
                    <a:prstGeom prst="rect">
                      <a:avLst/>
                    </a:prstGeom>
                    <a:noFill/>
                  </pic:spPr>
                </pic:pic>
              </a:graphicData>
            </a:graphic>
          </wp:anchor>
        </w:drawing>
      </w:r>
      <w:r>
        <w:rPr>
          <w:rFonts w:ascii="Arial" w:hAnsi="Arial" w:eastAsia="宋体" w:cs="Arial"/>
          <w:lang w:eastAsia="zh-CN"/>
        </w:rPr>
        <w:t>美国卫生与公众服务部</w:t>
      </w:r>
    </w:p>
    <w:p w14:paraId="3400BBCC">
      <w:pPr>
        <w:pStyle w:val="5"/>
        <w:snapToGrid w:val="0"/>
        <w:spacing w:line="300" w:lineRule="auto"/>
        <w:ind w:left="4240"/>
        <w:rPr>
          <w:rFonts w:ascii="Arial" w:hAnsi="Arial" w:eastAsia="宋体" w:cs="Arial"/>
          <w:lang w:eastAsia="zh-CN"/>
        </w:rPr>
      </w:pPr>
      <w:r>
        <w:rPr>
          <w:rFonts w:ascii="Arial" w:hAnsi="Arial" w:eastAsia="宋体" w:cs="Arial"/>
          <w:lang w:eastAsia="zh-CN"/>
        </w:rPr>
        <w:t>食品药品监督管理局</w:t>
      </w:r>
    </w:p>
    <w:p w14:paraId="4BED5FF4">
      <w:pPr>
        <w:pStyle w:val="5"/>
        <w:snapToGrid w:val="0"/>
        <w:spacing w:line="300" w:lineRule="auto"/>
        <w:ind w:left="4240"/>
        <w:rPr>
          <w:rFonts w:ascii="Arial" w:hAnsi="Arial" w:eastAsia="宋体" w:cs="Arial"/>
          <w:lang w:eastAsia="zh-CN"/>
        </w:rPr>
      </w:pPr>
    </w:p>
    <w:p w14:paraId="482C706F">
      <w:pPr>
        <w:pStyle w:val="5"/>
        <w:snapToGrid w:val="0"/>
        <w:spacing w:line="300" w:lineRule="auto"/>
        <w:ind w:left="4240"/>
        <w:rPr>
          <w:rFonts w:ascii="Arial" w:hAnsi="Arial" w:eastAsia="宋体" w:cs="Arial"/>
          <w:lang w:eastAsia="zh-CN"/>
        </w:rPr>
      </w:pPr>
      <w:r>
        <w:rPr>
          <w:rFonts w:ascii="Arial" w:hAnsi="Arial" w:eastAsia="宋体" w:cs="Arial"/>
          <w:lang w:eastAsia="zh-CN"/>
        </w:rPr>
        <w:t>器械与放射健康中心</w:t>
      </w:r>
    </w:p>
    <w:p w14:paraId="730FCAFF">
      <w:pPr>
        <w:pStyle w:val="5"/>
        <w:snapToGrid w:val="0"/>
        <w:spacing w:line="300" w:lineRule="auto"/>
        <w:ind w:left="4240"/>
        <w:rPr>
          <w:rFonts w:ascii="Arial" w:hAnsi="Arial" w:eastAsia="宋体" w:cs="Arial"/>
          <w:lang w:eastAsia="zh-CN"/>
        </w:rPr>
      </w:pPr>
      <w:r>
        <w:rPr>
          <w:rFonts w:ascii="Arial" w:hAnsi="Arial" w:eastAsia="宋体" w:cs="Arial"/>
          <w:lang w:eastAsia="zh-CN"/>
        </w:rPr>
        <w:t>生物制品评价和研究中心</w:t>
      </w:r>
    </w:p>
    <w:p w14:paraId="2015D15E">
      <w:pPr>
        <w:snapToGrid w:val="0"/>
        <w:spacing w:line="300" w:lineRule="auto"/>
        <w:rPr>
          <w:rFonts w:ascii="Arial" w:hAnsi="Arial" w:eastAsia="宋体" w:cs="Arial"/>
          <w:sz w:val="24"/>
          <w:szCs w:val="24"/>
          <w:lang w:eastAsia="zh-CN"/>
        </w:rPr>
        <w:sectPr>
          <w:headerReference r:id="rId3" w:type="default"/>
          <w:footerReference r:id="rId4" w:type="default"/>
          <w:type w:val="continuous"/>
          <w:pgSz w:w="12260" w:h="15840"/>
          <w:pgMar w:top="1134" w:right="1134" w:bottom="1134" w:left="1134" w:header="748" w:footer="773" w:gutter="0"/>
          <w:pgNumType w:start="1"/>
          <w:cols w:space="720" w:num="1"/>
          <w:docGrid w:linePitch="299" w:charSpace="0"/>
        </w:sectPr>
      </w:pPr>
    </w:p>
    <w:p w14:paraId="1E2114CB">
      <w:pPr>
        <w:snapToGrid w:val="0"/>
        <w:spacing w:line="300" w:lineRule="auto"/>
        <w:rPr>
          <w:rFonts w:ascii="Arial" w:hAnsi="Arial" w:eastAsia="宋体" w:cs="Arial"/>
          <w:b/>
          <w:bCs/>
          <w:sz w:val="20"/>
          <w:szCs w:val="20"/>
          <w:lang w:eastAsia="zh-CN"/>
        </w:rPr>
      </w:pPr>
    </w:p>
    <w:p w14:paraId="2D242DED">
      <w:pPr>
        <w:snapToGrid w:val="0"/>
        <w:spacing w:line="300" w:lineRule="auto"/>
        <w:rPr>
          <w:rFonts w:ascii="Arial" w:hAnsi="Arial" w:eastAsia="宋体" w:cs="Arial"/>
          <w:b/>
          <w:bCs/>
          <w:sz w:val="20"/>
          <w:szCs w:val="20"/>
          <w:lang w:eastAsia="zh-CN"/>
        </w:rPr>
      </w:pPr>
    </w:p>
    <w:p w14:paraId="01C4ABDF">
      <w:pPr>
        <w:snapToGrid w:val="0"/>
        <w:spacing w:line="300" w:lineRule="auto"/>
        <w:rPr>
          <w:rFonts w:ascii="Arial" w:hAnsi="Arial" w:eastAsia="宋体" w:cs="Arial"/>
          <w:b/>
          <w:bCs/>
          <w:sz w:val="20"/>
          <w:szCs w:val="20"/>
          <w:lang w:eastAsia="zh-CN"/>
        </w:rPr>
      </w:pPr>
    </w:p>
    <w:p w14:paraId="1155C03C">
      <w:pPr>
        <w:snapToGrid w:val="0"/>
        <w:spacing w:line="300" w:lineRule="auto"/>
        <w:rPr>
          <w:rFonts w:ascii="Arial" w:hAnsi="Arial" w:eastAsia="宋体" w:cs="Arial"/>
          <w:b/>
          <w:bCs/>
          <w:sz w:val="20"/>
          <w:szCs w:val="20"/>
          <w:lang w:eastAsia="zh-CN"/>
        </w:rPr>
      </w:pPr>
    </w:p>
    <w:p w14:paraId="70579B3C">
      <w:pPr>
        <w:snapToGrid w:val="0"/>
        <w:spacing w:before="9" w:line="300" w:lineRule="auto"/>
        <w:rPr>
          <w:rFonts w:ascii="Arial" w:hAnsi="Arial" w:eastAsia="宋体" w:cs="Arial"/>
          <w:b/>
          <w:bCs/>
          <w:sz w:val="24"/>
          <w:szCs w:val="24"/>
          <w:lang w:eastAsia="zh-CN"/>
        </w:rPr>
      </w:pPr>
    </w:p>
    <w:p w14:paraId="50312D4E">
      <w:pPr>
        <w:snapToGrid w:val="0"/>
        <w:spacing w:line="300" w:lineRule="auto"/>
        <w:rPr>
          <w:rFonts w:ascii="Arial" w:hAnsi="Arial" w:eastAsia="宋体" w:cs="Arial"/>
          <w:b/>
          <w:bCs/>
          <w:sz w:val="36"/>
          <w:szCs w:val="36"/>
          <w:lang w:eastAsia="zh-CN"/>
        </w:rPr>
      </w:pPr>
    </w:p>
    <w:p w14:paraId="37B3148E">
      <w:pPr>
        <w:snapToGrid w:val="0"/>
        <w:spacing w:before="38" w:line="300" w:lineRule="auto"/>
        <w:ind w:left="120"/>
        <w:jc w:val="center"/>
        <w:rPr>
          <w:rFonts w:ascii="Arial" w:hAnsi="Arial" w:eastAsia="宋体" w:cs="Arial"/>
          <w:sz w:val="48"/>
          <w:szCs w:val="48"/>
          <w:lang w:eastAsia="zh-CN"/>
        </w:rPr>
      </w:pPr>
      <w:r>
        <w:rPr>
          <w:rFonts w:ascii="Arial" w:hAnsi="Arial" w:eastAsia="宋体" w:cs="Arial"/>
          <w:b/>
          <w:sz w:val="48"/>
          <w:lang w:eastAsia="zh-CN"/>
        </w:rPr>
        <w:t>前言</w:t>
      </w:r>
    </w:p>
    <w:p w14:paraId="796E90CF">
      <w:pPr>
        <w:snapToGrid w:val="0"/>
        <w:spacing w:before="5" w:line="300" w:lineRule="auto"/>
        <w:rPr>
          <w:rFonts w:ascii="Arial" w:hAnsi="Arial" w:eastAsia="宋体" w:cs="Arial"/>
          <w:b/>
          <w:bCs/>
          <w:sz w:val="39"/>
          <w:szCs w:val="39"/>
          <w:lang w:eastAsia="zh-CN"/>
        </w:rPr>
      </w:pPr>
    </w:p>
    <w:p w14:paraId="4AFBAEC3">
      <w:pPr>
        <w:snapToGrid w:val="0"/>
        <w:spacing w:line="300" w:lineRule="auto"/>
        <w:rPr>
          <w:rFonts w:ascii="Arial" w:hAnsi="Arial" w:eastAsia="宋体" w:cs="Arial"/>
          <w:sz w:val="36"/>
          <w:szCs w:val="36"/>
          <w:lang w:eastAsia="zh-CN"/>
        </w:rPr>
      </w:pPr>
      <w:bookmarkStart w:id="0" w:name="Preface"/>
      <w:bookmarkEnd w:id="0"/>
      <w:r>
        <w:rPr>
          <w:rFonts w:ascii="Arial" w:hAnsi="Arial" w:eastAsia="宋体" w:cs="Arial"/>
          <w:b/>
          <w:sz w:val="36"/>
          <w:lang w:eastAsia="zh-CN"/>
        </w:rPr>
        <w:t>公共评论</w:t>
      </w:r>
    </w:p>
    <w:p w14:paraId="3256B435">
      <w:pPr>
        <w:snapToGrid w:val="0"/>
        <w:spacing w:line="300" w:lineRule="auto"/>
        <w:rPr>
          <w:rFonts w:ascii="Arial" w:hAnsi="Arial" w:eastAsia="宋体" w:cs="Arial"/>
          <w:b/>
          <w:bCs/>
          <w:sz w:val="18"/>
          <w:szCs w:val="18"/>
          <w:lang w:eastAsia="zh-CN"/>
        </w:rPr>
      </w:pPr>
    </w:p>
    <w:p w14:paraId="6A126A3D">
      <w:pPr>
        <w:pStyle w:val="6"/>
        <w:snapToGrid w:val="0"/>
        <w:spacing w:before="69" w:line="300" w:lineRule="auto"/>
        <w:ind w:left="0" w:firstLine="0"/>
        <w:jc w:val="both"/>
        <w:rPr>
          <w:rFonts w:ascii="Arial" w:hAnsi="Arial" w:eastAsia="宋体" w:cs="Arial"/>
          <w:lang w:eastAsia="zh-CN"/>
        </w:rPr>
      </w:pPr>
      <w:r>
        <w:rPr>
          <w:rFonts w:ascii="Arial" w:hAnsi="Arial" w:eastAsia="宋体" w:cs="Arial"/>
          <w:lang w:eastAsia="zh-CN"/>
        </w:rPr>
        <w:t>贵公司可以随时提交书面评论和建议至</w:t>
      </w:r>
      <w:r>
        <w:fldChar w:fldCharType="begin"/>
      </w:r>
      <w:r>
        <w:instrText xml:space="preserve"> HYPERLINK "http://www.regulations.gov" </w:instrText>
      </w:r>
      <w:r>
        <w:fldChar w:fldCharType="separate"/>
      </w:r>
      <w:r>
        <w:rPr>
          <w:rStyle w:val="17"/>
          <w:rFonts w:ascii="Arial" w:hAnsi="Arial" w:eastAsia="宋体" w:cs="Arial"/>
          <w:lang w:eastAsia="zh-CN"/>
        </w:rPr>
        <w:t>http://www.regulations.gov</w:t>
      </w:r>
      <w:r>
        <w:rPr>
          <w:rStyle w:val="17"/>
          <w:rFonts w:ascii="Arial" w:hAnsi="Arial" w:eastAsia="宋体" w:cs="Arial"/>
          <w:lang w:eastAsia="zh-CN"/>
        </w:rPr>
        <w:fldChar w:fldCharType="end"/>
      </w:r>
      <w:r>
        <w:rPr>
          <w:rFonts w:ascii="Arial" w:hAnsi="Arial" w:eastAsia="宋体" w:cs="Arial"/>
          <w:lang w:eastAsia="zh-CN"/>
        </w:rPr>
        <w:t>，供部门审议。书面评论请提交至食品药品监督管理局，文档管理部（5630 Fishers Lane，Room 1061，（HFA-305），Rockville，MD，20852）。请使用文档编号FDA-2011-D-0530标识所有评论。可能直到文件下次修订或更新时，评论才会被机构受理。</w:t>
      </w:r>
    </w:p>
    <w:p w14:paraId="59A6E64D">
      <w:pPr>
        <w:pStyle w:val="6"/>
        <w:snapToGrid w:val="0"/>
        <w:spacing w:before="69" w:line="300" w:lineRule="auto"/>
        <w:ind w:left="0" w:firstLine="0"/>
        <w:jc w:val="both"/>
        <w:rPr>
          <w:rFonts w:ascii="Arial" w:hAnsi="Arial" w:eastAsia="宋体" w:cs="Arial"/>
          <w:lang w:eastAsia="zh-CN"/>
        </w:rPr>
      </w:pPr>
    </w:p>
    <w:p w14:paraId="2A29B48A">
      <w:pPr>
        <w:snapToGrid w:val="0"/>
        <w:spacing w:line="300" w:lineRule="auto"/>
        <w:rPr>
          <w:rFonts w:ascii="Arial" w:hAnsi="Arial" w:eastAsia="宋体" w:cs="Arial"/>
          <w:b/>
          <w:sz w:val="36"/>
          <w:lang w:eastAsia="zh-CN"/>
        </w:rPr>
      </w:pPr>
      <w:r>
        <w:rPr>
          <w:rFonts w:ascii="Arial" w:hAnsi="Arial" w:eastAsia="宋体" w:cs="Arial"/>
          <w:b/>
          <w:sz w:val="36"/>
          <w:lang w:eastAsia="zh-CN"/>
        </w:rPr>
        <w:t>其他副本</w:t>
      </w:r>
    </w:p>
    <w:p w14:paraId="52848113">
      <w:pPr>
        <w:snapToGrid w:val="0"/>
        <w:spacing w:before="282" w:line="300" w:lineRule="auto"/>
        <w:jc w:val="both"/>
        <w:rPr>
          <w:rFonts w:ascii="Arial" w:hAnsi="Arial" w:eastAsia="宋体" w:cs="Arial"/>
          <w:sz w:val="28"/>
          <w:szCs w:val="28"/>
          <w:lang w:eastAsia="zh-CN"/>
        </w:rPr>
      </w:pPr>
      <w:r>
        <w:rPr>
          <w:rFonts w:ascii="Arial" w:hAnsi="Arial" w:eastAsia="宋体" w:cs="Arial"/>
          <w:b/>
          <w:sz w:val="28"/>
          <w:lang w:eastAsia="zh-CN"/>
        </w:rPr>
        <w:t>CDRH</w:t>
      </w:r>
    </w:p>
    <w:p w14:paraId="6E4C67A9">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其他副本可从互联网获得。贵公司还可以向</w:t>
      </w:r>
      <w:r>
        <w:rPr>
          <w:rFonts w:ascii="Arial" w:hAnsi="Arial" w:eastAsia="宋体" w:cs="Arial"/>
          <w:color w:val="0000FF"/>
          <w:u w:val="single"/>
          <w:lang w:eastAsia="zh-CN"/>
        </w:rPr>
        <w:t>CDRH-Guidance@fda.hhs.gov</w:t>
      </w:r>
      <w:r>
        <w:rPr>
          <w:rFonts w:ascii="Arial" w:hAnsi="Arial" w:eastAsia="宋体" w:cs="Arial"/>
          <w:lang w:eastAsia="zh-CN"/>
        </w:rPr>
        <w:t>发送电子邮件请求，以接收本指南的副本。请使用文件编号（1741）来标识贵公司要求获得的指南。</w:t>
      </w:r>
    </w:p>
    <w:p w14:paraId="68E48FDE">
      <w:pPr>
        <w:snapToGrid w:val="0"/>
        <w:spacing w:before="6" w:line="300" w:lineRule="auto"/>
        <w:jc w:val="both"/>
        <w:rPr>
          <w:rFonts w:ascii="Arial" w:hAnsi="Arial" w:eastAsia="宋体" w:cs="Arial"/>
          <w:sz w:val="24"/>
          <w:szCs w:val="24"/>
          <w:lang w:eastAsia="zh-CN"/>
        </w:rPr>
      </w:pPr>
    </w:p>
    <w:p w14:paraId="67A8C728">
      <w:pPr>
        <w:snapToGrid w:val="0"/>
        <w:spacing w:line="300" w:lineRule="auto"/>
        <w:jc w:val="both"/>
        <w:rPr>
          <w:rFonts w:ascii="Arial" w:hAnsi="Arial" w:eastAsia="宋体" w:cs="Arial"/>
          <w:sz w:val="28"/>
          <w:szCs w:val="28"/>
          <w:lang w:eastAsia="zh-CN"/>
        </w:rPr>
      </w:pPr>
      <w:r>
        <w:rPr>
          <w:rFonts w:ascii="Arial" w:hAnsi="Arial" w:eastAsia="宋体" w:cs="Arial"/>
          <w:b/>
          <w:sz w:val="28"/>
          <w:lang w:eastAsia="zh-CN"/>
        </w:rPr>
        <w:t>CBER</w:t>
      </w:r>
    </w:p>
    <w:p w14:paraId="2AA8E9DB">
      <w:pPr>
        <w:pStyle w:val="6"/>
        <w:snapToGrid w:val="0"/>
        <w:spacing w:line="300" w:lineRule="auto"/>
        <w:ind w:left="0" w:firstLine="0"/>
        <w:rPr>
          <w:rFonts w:ascii="Arial" w:hAnsi="Arial" w:eastAsia="宋体" w:cs="Arial"/>
        </w:rPr>
      </w:pPr>
      <w:r>
        <w:rPr>
          <w:rFonts w:ascii="Arial" w:hAnsi="Arial" w:eastAsia="宋体" w:cs="Arial"/>
          <w:lang w:eastAsia="zh-CN"/>
        </w:rPr>
        <w:t>其他副本还可通过提交书面请求（地址为</w:t>
      </w:r>
      <w:r>
        <w:rPr>
          <w:rFonts w:ascii="Arial" w:hAnsi="Arial" w:eastAsia="宋体" w:cs="Arial"/>
        </w:rPr>
        <w:t>10903 New Hampshire Ave.，Bldg. 71，Room 3128，Silver Spring，MD 20993-0002</w:t>
      </w:r>
      <w:r>
        <w:rPr>
          <w:rFonts w:ascii="Arial" w:hAnsi="Arial" w:eastAsia="宋体" w:cs="Arial"/>
          <w:lang w:eastAsia="zh-CN"/>
        </w:rPr>
        <w:t>）或致电</w:t>
      </w:r>
      <w:r>
        <w:rPr>
          <w:rFonts w:ascii="Arial" w:hAnsi="Arial" w:eastAsia="宋体" w:cs="Arial"/>
        </w:rPr>
        <w:t>1-800-835-4709或240-402-7800</w:t>
      </w:r>
      <w:r>
        <w:rPr>
          <w:rFonts w:ascii="Arial" w:hAnsi="Arial" w:eastAsia="宋体" w:cs="Arial"/>
          <w:lang w:eastAsia="zh-CN"/>
        </w:rPr>
        <w:t>或发送电子邮件至</w:t>
      </w:r>
      <w:r>
        <w:rPr>
          <w:rFonts w:ascii="Arial" w:hAnsi="Arial" w:eastAsia="宋体" w:cs="Arial"/>
          <w:color w:val="0000FF"/>
          <w:u w:val="single"/>
        </w:rPr>
        <w:t>ocod@fda.hhs.gov</w:t>
      </w:r>
      <w:r>
        <w:rPr>
          <w:rFonts w:ascii="Arial" w:hAnsi="Arial" w:eastAsia="宋体" w:cs="Arial"/>
          <w:lang w:eastAsia="zh-CN"/>
        </w:rPr>
        <w:t>从交流、外联与开发办</w:t>
      </w:r>
      <w:bookmarkStart w:id="1" w:name="OLE_LINK3"/>
      <w:bookmarkStart w:id="2" w:name="OLE_LINK4"/>
      <w:r>
        <w:rPr>
          <w:rFonts w:ascii="Arial" w:hAnsi="Arial" w:eastAsia="宋体" w:cs="Arial"/>
          <w:lang w:eastAsia="zh-CN"/>
        </w:rPr>
        <w:t>公</w:t>
      </w:r>
      <w:bookmarkEnd w:id="1"/>
      <w:bookmarkEnd w:id="2"/>
      <w:r>
        <w:rPr>
          <w:rFonts w:ascii="Arial" w:hAnsi="Arial" w:eastAsia="宋体" w:cs="Arial"/>
          <w:lang w:eastAsia="zh-CN"/>
        </w:rPr>
        <w:t>室（OCOD），生物制品评价和研究中心（CBER）处获得，或访问网站：</w:t>
      </w:r>
      <w:r>
        <w:rPr>
          <w:rFonts w:ascii="Arial" w:hAnsi="Arial" w:eastAsia="宋体" w:cs="Arial"/>
          <w:color w:val="0000FF"/>
          <w:u w:val="single"/>
        </w:rPr>
        <w:t>http://www.fda.gov/BiologicsBloodVaccines/GuidanceComplianceRegulatoryInformation/Guida nces/default.htm</w:t>
      </w:r>
      <w:r>
        <w:rPr>
          <w:rFonts w:ascii="Arial" w:hAnsi="Arial" w:eastAsia="宋体" w:cs="Arial"/>
        </w:rPr>
        <w:t>。</w:t>
      </w:r>
    </w:p>
    <w:p w14:paraId="193AA9DA">
      <w:pPr>
        <w:snapToGrid w:val="0"/>
        <w:spacing w:line="300" w:lineRule="auto"/>
        <w:jc w:val="both"/>
        <w:rPr>
          <w:rFonts w:ascii="Arial" w:hAnsi="Arial" w:eastAsia="宋体" w:cs="Arial"/>
        </w:rPr>
        <w:sectPr>
          <w:type w:val="continuous"/>
          <w:pgSz w:w="12260" w:h="15840"/>
          <w:pgMar w:top="1134" w:right="1134" w:bottom="1134" w:left="1134" w:header="720" w:footer="720" w:gutter="0"/>
          <w:cols w:space="720" w:num="1"/>
          <w:docGrid w:linePitch="299" w:charSpace="0"/>
        </w:sectPr>
      </w:pPr>
    </w:p>
    <w:p w14:paraId="659AF6CD">
      <w:pPr>
        <w:snapToGrid w:val="0"/>
        <w:spacing w:line="300" w:lineRule="auto"/>
        <w:jc w:val="both"/>
        <w:rPr>
          <w:rFonts w:ascii="Arial" w:hAnsi="Arial" w:eastAsia="宋体" w:cs="Arial"/>
          <w:sz w:val="20"/>
          <w:szCs w:val="20"/>
        </w:rPr>
      </w:pPr>
    </w:p>
    <w:p w14:paraId="7518B03A">
      <w:pPr>
        <w:snapToGrid w:val="0"/>
        <w:spacing w:before="220" w:line="300" w:lineRule="auto"/>
        <w:ind w:left="3697"/>
        <w:jc w:val="both"/>
        <w:rPr>
          <w:rFonts w:ascii="Arial" w:hAnsi="Arial" w:eastAsia="宋体" w:cs="Arial"/>
          <w:sz w:val="28"/>
          <w:szCs w:val="28"/>
        </w:rPr>
      </w:pPr>
    </w:p>
    <w:sdt>
      <w:sdtPr>
        <w:rPr>
          <w:rFonts w:ascii="Arial" w:hAnsi="Arial" w:eastAsia="宋体" w:cs="Arial"/>
          <w:color w:val="auto"/>
          <w:sz w:val="22"/>
          <w:szCs w:val="22"/>
          <w:lang w:val="zh-CN" w:eastAsia="en-US"/>
        </w:rPr>
        <w:id w:val="1683548894"/>
        <w:docPartObj>
          <w:docPartGallery w:val="Table of Contents"/>
          <w:docPartUnique/>
        </w:docPartObj>
      </w:sdtPr>
      <w:sdtEndPr>
        <w:rPr>
          <w:rFonts w:ascii="Arial" w:hAnsi="Arial" w:eastAsia="宋体" w:cs="Arial"/>
          <w:b/>
          <w:bCs/>
          <w:color w:val="auto"/>
          <w:sz w:val="22"/>
          <w:szCs w:val="22"/>
          <w:lang w:val="zh-CN" w:eastAsia="en-US"/>
        </w:rPr>
      </w:sdtEndPr>
      <w:sdtContent>
        <w:p w14:paraId="3795B4D6">
          <w:pPr>
            <w:pStyle w:val="24"/>
            <w:snapToGrid w:val="0"/>
            <w:spacing w:line="300" w:lineRule="auto"/>
            <w:jc w:val="center"/>
            <w:rPr>
              <w:rFonts w:ascii="Arial" w:hAnsi="Arial" w:eastAsia="宋体" w:cs="Arial"/>
              <w:b/>
              <w:color w:val="auto"/>
            </w:rPr>
          </w:pPr>
          <w:r>
            <w:rPr>
              <w:rFonts w:ascii="Arial" w:hAnsi="Arial" w:eastAsia="宋体" w:cs="Arial"/>
              <w:b/>
              <w:color w:val="auto"/>
              <w:lang w:val="zh-CN"/>
            </w:rPr>
            <w:t>目录</w:t>
          </w:r>
        </w:p>
        <w:p w14:paraId="19FDA823">
          <w:pPr>
            <w:pStyle w:val="12"/>
            <w:tabs>
              <w:tab w:val="right" w:leader="dot" w:pos="9982"/>
            </w:tabs>
            <w:rPr>
              <w:rFonts w:ascii="Arial" w:hAnsi="Arial" w:eastAsia="宋体" w:cs="Arial"/>
              <w:b w:val="0"/>
              <w:bCs w:val="0"/>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"_Toc481592017" </w:instrText>
          </w:r>
          <w:r>
            <w:fldChar w:fldCharType="separate"/>
          </w:r>
          <w:r>
            <w:rPr>
              <w:rStyle w:val="17"/>
              <w:rFonts w:ascii="Arial" w:hAnsi="Arial" w:eastAsia="宋体" w:cs="Arial"/>
              <w:spacing w:val="-6"/>
              <w:w w:val="99"/>
            </w:rPr>
            <w:t>I.</w:t>
          </w:r>
          <w:r>
            <w:rPr>
              <w:rFonts w:ascii="Arial" w:hAnsi="Arial" w:eastAsia="宋体" w:cs="Arial"/>
              <w:b w:val="0"/>
              <w:bCs w:val="0"/>
              <w:kern w:val="2"/>
              <w:sz w:val="21"/>
              <w:szCs w:val="22"/>
              <w:lang w:eastAsia="zh-CN"/>
            </w:rPr>
            <w:tab/>
          </w:r>
          <w:r>
            <w:rPr>
              <w:rStyle w:val="17"/>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_Toc481592017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FCBC017">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"_Toc481592018" </w:instrText>
          </w:r>
          <w:r>
            <w:fldChar w:fldCharType="separate"/>
          </w:r>
          <w:r>
            <w:rPr>
              <w:rStyle w:val="17"/>
              <w:rFonts w:ascii="Arial" w:hAnsi="Arial" w:eastAsia="宋体" w:cs="Arial"/>
              <w:spacing w:val="-6"/>
              <w:w w:val="99"/>
            </w:rPr>
            <w:t>II.</w:t>
          </w:r>
          <w:r>
            <w:rPr>
              <w:rFonts w:ascii="Arial" w:hAnsi="Arial" w:eastAsia="宋体" w:cs="Arial"/>
              <w:b w:val="0"/>
              <w:bCs w:val="0"/>
              <w:kern w:val="2"/>
              <w:sz w:val="21"/>
              <w:szCs w:val="22"/>
              <w:lang w:eastAsia="zh-CN"/>
            </w:rPr>
            <w:tab/>
          </w:r>
          <w:r>
            <w:rPr>
              <w:rStyle w:val="17"/>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_Toc481592018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C1513A5">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"_Toc481592019" </w:instrText>
          </w:r>
          <w:r>
            <w:fldChar w:fldCharType="separate"/>
          </w:r>
          <w:r>
            <w:rPr>
              <w:rStyle w:val="17"/>
              <w:rFonts w:ascii="Arial" w:hAnsi="Arial" w:eastAsia="宋体" w:cs="Arial"/>
              <w:spacing w:val="-6"/>
              <w:w w:val="99"/>
            </w:rPr>
            <w:t>III.</w:t>
          </w:r>
          <w:r>
            <w:rPr>
              <w:rFonts w:ascii="Arial" w:hAnsi="Arial" w:eastAsia="宋体" w:cs="Arial"/>
              <w:b w:val="0"/>
              <w:bCs w:val="0"/>
              <w:kern w:val="2"/>
              <w:sz w:val="21"/>
              <w:szCs w:val="22"/>
              <w:lang w:eastAsia="zh-CN"/>
            </w:rPr>
            <w:tab/>
          </w:r>
          <w:r>
            <w:rPr>
              <w:rStyle w:val="17"/>
              <w:rFonts w:ascii="Arial" w:hAnsi="Arial" w:eastAsia="宋体" w:cs="Arial"/>
              <w:lang w:eastAsia="zh-CN"/>
            </w:rPr>
            <w:t>定义</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_Toc481592019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46CADE3E">
          <w:pPr>
            <w:pStyle w:val="14"/>
            <w:tabs>
              <w:tab w:val="left" w:pos="820"/>
              <w:tab w:val="right" w:leader="dot" w:pos="9982"/>
            </w:tabs>
            <w:rPr>
              <w:rFonts w:ascii="Arial" w:hAnsi="Arial" w:eastAsia="宋体" w:cs="Arial"/>
              <w:kern w:val="2"/>
              <w:sz w:val="21"/>
              <w:szCs w:val="22"/>
              <w:lang w:eastAsia="zh-CN"/>
            </w:rPr>
          </w:pPr>
          <w:r>
            <w:fldChar w:fldCharType="begin"/>
          </w:r>
          <w:r>
            <w:instrText xml:space="preserve"> HYPERLINK \l "_Toc481592020" </w:instrText>
          </w:r>
          <w:r>
            <w:fldChar w:fldCharType="separate"/>
          </w:r>
          <w:r>
            <w:rPr>
              <w:rStyle w:val="17"/>
              <w:rFonts w:ascii="Arial" w:hAnsi="Arial" w:eastAsia="宋体" w:cs="Arial"/>
              <w:spacing w:val="-3"/>
            </w:rPr>
            <w:t>A.</w:t>
          </w:r>
          <w:r>
            <w:rPr>
              <w:rFonts w:ascii="Arial" w:hAnsi="Arial" w:eastAsia="宋体" w:cs="Arial"/>
              <w:kern w:val="2"/>
              <w:sz w:val="21"/>
              <w:szCs w:val="22"/>
              <w:lang w:eastAsia="zh-CN"/>
            </w:rPr>
            <w:tab/>
          </w:r>
          <w:r>
            <w:rPr>
              <w:rStyle w:val="17"/>
              <w:rFonts w:ascii="Arial" w:hAnsi="Arial" w:eastAsia="宋体" w:cs="Arial"/>
            </w:rPr>
            <w:t>移动平台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1ECA1F8">
          <w:pPr>
            <w:pStyle w:val="14"/>
            <w:tabs>
              <w:tab w:val="left" w:pos="820"/>
              <w:tab w:val="right" w:leader="dot" w:pos="9982"/>
            </w:tabs>
            <w:rPr>
              <w:rFonts w:ascii="Arial" w:hAnsi="Arial" w:eastAsia="宋体" w:cs="Arial"/>
              <w:kern w:val="2"/>
              <w:sz w:val="21"/>
              <w:szCs w:val="22"/>
              <w:lang w:eastAsia="zh-CN"/>
            </w:rPr>
          </w:pPr>
          <w:r>
            <w:fldChar w:fldCharType="begin"/>
          </w:r>
          <w:r>
            <w:instrText xml:space="preserve"> HYPERLINK \l "_Toc481592021" </w:instrText>
          </w:r>
          <w:r>
            <w:fldChar w:fldCharType="separate"/>
          </w:r>
          <w:r>
            <w:rPr>
              <w:rStyle w:val="17"/>
              <w:rFonts w:ascii="Arial" w:hAnsi="Arial" w:eastAsia="宋体" w:cs="Arial"/>
              <w:spacing w:val="-3"/>
              <w:lang w:eastAsia="zh-CN"/>
            </w:rPr>
            <w:t>B.</w:t>
          </w:r>
          <w:r>
            <w:rPr>
              <w:rFonts w:ascii="Arial" w:hAnsi="Arial" w:eastAsia="宋体" w:cs="Arial"/>
              <w:kern w:val="2"/>
              <w:sz w:val="21"/>
              <w:szCs w:val="22"/>
              <w:lang w:eastAsia="zh-CN"/>
            </w:rPr>
            <w:tab/>
          </w:r>
          <w:r>
            <w:rPr>
              <w:rStyle w:val="17"/>
              <w:rFonts w:ascii="Arial" w:hAnsi="Arial" w:eastAsia="宋体" w:cs="Arial"/>
              <w:lang w:eastAsia="zh-CN"/>
            </w:rPr>
            <w:t>移动应用程序（移动应用）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_Toc481592021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7D09DF1B">
          <w:pPr>
            <w:pStyle w:val="14"/>
            <w:tabs>
              <w:tab w:val="left" w:pos="820"/>
              <w:tab w:val="right" w:leader="dot" w:pos="9982"/>
            </w:tabs>
            <w:rPr>
              <w:rFonts w:ascii="Arial" w:hAnsi="Arial" w:eastAsia="宋体" w:cs="Arial"/>
              <w:kern w:val="2"/>
              <w:sz w:val="21"/>
              <w:szCs w:val="22"/>
              <w:lang w:eastAsia="zh-CN"/>
            </w:rPr>
          </w:pPr>
          <w:r>
            <w:fldChar w:fldCharType="begin"/>
          </w:r>
          <w:r>
            <w:instrText xml:space="preserve"> HYPERLINK \l "_Toc481592022" </w:instrText>
          </w:r>
          <w:r>
            <w:fldChar w:fldCharType="separate"/>
          </w:r>
          <w:r>
            <w:rPr>
              <w:rStyle w:val="17"/>
              <w:rFonts w:ascii="Arial" w:hAnsi="Arial" w:eastAsia="宋体" w:cs="Arial"/>
              <w:spacing w:val="-3"/>
              <w:lang w:eastAsia="zh-CN"/>
            </w:rPr>
            <w:t>C.</w:t>
          </w:r>
          <w:r>
            <w:rPr>
              <w:rFonts w:ascii="Arial" w:hAnsi="Arial" w:eastAsia="宋体" w:cs="Arial"/>
              <w:kern w:val="2"/>
              <w:sz w:val="21"/>
              <w:szCs w:val="22"/>
              <w:lang w:eastAsia="zh-CN"/>
            </w:rPr>
            <w:tab/>
          </w:r>
          <w:r>
            <w:rPr>
              <w:rStyle w:val="17"/>
              <w:rFonts w:ascii="Arial" w:hAnsi="Arial" w:eastAsia="宋体" w:cs="Arial"/>
              <w:lang w:eastAsia="zh-CN"/>
            </w:rPr>
            <w:t>移动医疗应用程序（移动医疗应用）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_Toc481592022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5562BF6">
          <w:pPr>
            <w:pStyle w:val="14"/>
            <w:tabs>
              <w:tab w:val="left" w:pos="820"/>
              <w:tab w:val="right" w:leader="dot" w:pos="9982"/>
            </w:tabs>
            <w:rPr>
              <w:rFonts w:ascii="Arial" w:hAnsi="Arial" w:eastAsia="宋体" w:cs="Arial"/>
              <w:kern w:val="2"/>
              <w:sz w:val="21"/>
              <w:szCs w:val="22"/>
              <w:lang w:eastAsia="zh-CN"/>
            </w:rPr>
          </w:pPr>
          <w:r>
            <w:fldChar w:fldCharType="begin"/>
          </w:r>
          <w:r>
            <w:instrText xml:space="preserve"> HYPERLINK \l "_Toc481592023" </w:instrText>
          </w:r>
          <w:r>
            <w:fldChar w:fldCharType="separate"/>
          </w:r>
          <w:r>
            <w:rPr>
              <w:rStyle w:val="17"/>
              <w:rFonts w:ascii="Arial" w:hAnsi="Arial" w:eastAsia="宋体" w:cs="Arial"/>
              <w:spacing w:val="-3"/>
              <w:lang w:eastAsia="zh-CN"/>
            </w:rPr>
            <w:t>D.</w:t>
          </w:r>
          <w:r>
            <w:rPr>
              <w:rFonts w:ascii="Arial" w:hAnsi="Arial" w:eastAsia="宋体" w:cs="Arial"/>
              <w:kern w:val="2"/>
              <w:sz w:val="21"/>
              <w:szCs w:val="22"/>
              <w:lang w:eastAsia="zh-CN"/>
            </w:rPr>
            <w:tab/>
          </w:r>
          <w:r>
            <w:rPr>
              <w:rStyle w:val="17"/>
              <w:rFonts w:ascii="Arial" w:hAnsi="Arial" w:eastAsia="宋体" w:cs="Arial"/>
              <w:lang w:eastAsia="zh-CN"/>
            </w:rPr>
            <w:t>受监管的医疗器械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_Toc481592023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2B067996">
          <w:pPr>
            <w:pStyle w:val="14"/>
            <w:tabs>
              <w:tab w:val="right" w:leader="dot" w:pos="9982"/>
            </w:tabs>
            <w:rPr>
              <w:rFonts w:ascii="Arial" w:hAnsi="Arial" w:eastAsia="宋体" w:cs="Arial"/>
              <w:kern w:val="2"/>
              <w:sz w:val="21"/>
              <w:szCs w:val="22"/>
              <w:lang w:eastAsia="zh-CN"/>
            </w:rPr>
          </w:pPr>
          <w:r>
            <w:fldChar w:fldCharType="begin"/>
          </w:r>
          <w:r>
            <w:instrText xml:space="preserve"> HYPERLINK \l "_Toc481592024" </w:instrText>
          </w:r>
          <w:r>
            <w:fldChar w:fldCharType="separate"/>
          </w:r>
          <w:r>
            <w:rPr>
              <w:rStyle w:val="17"/>
              <w:rFonts w:ascii="Arial" w:hAnsi="Arial" w:eastAsia="宋体" w:cs="Arial"/>
              <w:spacing w:val="-3"/>
              <w:lang w:eastAsia="zh-CN"/>
            </w:rPr>
            <w:t>E.</w:t>
          </w:r>
          <w:r>
            <w:rPr>
              <w:rFonts w:ascii="Arial" w:hAnsi="Arial" w:eastAsia="宋体" w:cs="Arial"/>
              <w:kern w:val="2"/>
              <w:sz w:val="21"/>
              <w:szCs w:val="22"/>
              <w:lang w:eastAsia="zh-CN"/>
            </w:rPr>
            <w:tab/>
          </w:r>
          <w:r>
            <w:rPr>
              <w:rStyle w:val="17"/>
              <w:rFonts w:ascii="Arial" w:hAnsi="Arial" w:eastAsia="宋体" w:cs="Arial"/>
              <w:lang w:eastAsia="zh-CN"/>
            </w:rPr>
            <w:t>移动医疗应用制造商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_Toc481592024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7B2E7A6D">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"_Toc481592025" </w:instrText>
          </w:r>
          <w:r>
            <w:fldChar w:fldCharType="separate"/>
          </w:r>
          <w:r>
            <w:rPr>
              <w:rStyle w:val="17"/>
              <w:rFonts w:ascii="Arial" w:hAnsi="Arial" w:eastAsia="宋体" w:cs="Arial"/>
              <w:spacing w:val="-6"/>
              <w:w w:val="99"/>
            </w:rPr>
            <w:t>IV.</w:t>
          </w:r>
          <w:r>
            <w:rPr>
              <w:rFonts w:ascii="Arial" w:hAnsi="Arial" w:eastAsia="宋体" w:cs="Arial"/>
              <w:b w:val="0"/>
              <w:bCs w:val="0"/>
              <w:kern w:val="2"/>
              <w:sz w:val="21"/>
              <w:szCs w:val="22"/>
              <w:lang w:eastAsia="zh-CN"/>
            </w:rPr>
            <w:tab/>
          </w:r>
          <w:r>
            <w:rPr>
              <w:rStyle w:val="17"/>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_Toc481592025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3297307C">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"_Toc481592026" </w:instrText>
          </w:r>
          <w:r>
            <w:fldChar w:fldCharType="separate"/>
          </w:r>
          <w:r>
            <w:rPr>
              <w:rStyle w:val="17"/>
              <w:rFonts w:ascii="Arial" w:hAnsi="Arial" w:eastAsia="宋体" w:cs="Arial"/>
              <w:spacing w:val="-6"/>
              <w:w w:val="99"/>
              <w:lang w:eastAsia="zh-CN"/>
            </w:rPr>
            <w:t>V.</w:t>
          </w:r>
          <w:r>
            <w:rPr>
              <w:rFonts w:ascii="Arial" w:hAnsi="Arial" w:eastAsia="宋体" w:cs="Arial"/>
              <w:b w:val="0"/>
              <w:bCs w:val="0"/>
              <w:kern w:val="2"/>
              <w:sz w:val="21"/>
              <w:szCs w:val="22"/>
              <w:lang w:eastAsia="zh-CN"/>
            </w:rPr>
            <w:tab/>
          </w:r>
          <w:r>
            <w:rPr>
              <w:rStyle w:val="17"/>
              <w:rFonts w:ascii="Arial" w:hAnsi="Arial" w:eastAsia="宋体" w:cs="Arial"/>
              <w:lang w:eastAsia="zh-CN"/>
            </w:rPr>
            <w:t>移动医疗应用的监管方法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_Toc481592026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4235D23F">
          <w:pPr>
            <w:pStyle w:val="14"/>
            <w:tabs>
              <w:tab w:val="left" w:pos="820"/>
              <w:tab w:val="right" w:leader="dot" w:pos="9982"/>
            </w:tabs>
            <w:rPr>
              <w:rFonts w:ascii="Arial" w:hAnsi="Arial" w:eastAsia="宋体" w:cs="Arial"/>
              <w:kern w:val="2"/>
              <w:sz w:val="21"/>
              <w:szCs w:val="22"/>
              <w:lang w:eastAsia="zh-CN"/>
            </w:rPr>
          </w:pPr>
          <w:r>
            <w:fldChar w:fldCharType="begin"/>
          </w:r>
          <w:r>
            <w:instrText xml:space="preserve"> HYPERLINK \l "_Toc481592027" </w:instrText>
          </w:r>
          <w:r>
            <w:fldChar w:fldCharType="separate"/>
          </w:r>
          <w:r>
            <w:rPr>
              <w:rStyle w:val="17"/>
              <w:rFonts w:ascii="Arial" w:hAnsi="Arial" w:eastAsia="宋体" w:cs="Arial"/>
              <w:spacing w:val="-1"/>
              <w:lang w:eastAsia="zh-CN"/>
            </w:rPr>
            <w:t>A.</w:t>
          </w:r>
          <w:r>
            <w:rPr>
              <w:rFonts w:ascii="Arial" w:hAnsi="Arial" w:eastAsia="宋体" w:cs="Arial"/>
              <w:kern w:val="2"/>
              <w:sz w:val="21"/>
              <w:szCs w:val="22"/>
              <w:lang w:eastAsia="zh-CN"/>
            </w:rPr>
            <w:tab/>
          </w:r>
          <w:r>
            <w:rPr>
              <w:rStyle w:val="17"/>
              <w:rFonts w:ascii="Arial" w:hAnsi="Arial" w:eastAsia="宋体" w:cs="Arial"/>
              <w:spacing w:val="-1"/>
              <w:lang w:eastAsia="zh-CN"/>
            </w:rPr>
            <w:t>移动医疗应用：作为FDA监管监督重点的移动应用的子集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_Toc481592027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4079D117">
          <w:pPr>
            <w:pStyle w:val="14"/>
            <w:tabs>
              <w:tab w:val="left" w:pos="820"/>
              <w:tab w:val="right" w:leader="dot" w:pos="9982"/>
            </w:tabs>
            <w:rPr>
              <w:rFonts w:ascii="Arial" w:hAnsi="Arial" w:eastAsia="宋体" w:cs="Arial"/>
              <w:kern w:val="2"/>
              <w:sz w:val="21"/>
              <w:szCs w:val="22"/>
              <w:lang w:eastAsia="zh-CN"/>
            </w:rPr>
          </w:pPr>
          <w:r>
            <w:fldChar w:fldCharType="begin"/>
          </w:r>
          <w:r>
            <w:instrText xml:space="preserve"> HYPERLINK \l "_Toc481592028" </w:instrText>
          </w:r>
          <w:r>
            <w:fldChar w:fldCharType="separate"/>
          </w:r>
          <w:r>
            <w:rPr>
              <w:rStyle w:val="17"/>
              <w:rFonts w:ascii="Arial" w:hAnsi="Arial" w:eastAsia="宋体" w:cs="Arial"/>
              <w:spacing w:val="-1"/>
              <w:lang w:eastAsia="zh-CN"/>
            </w:rPr>
            <w:t>B.</w:t>
          </w:r>
          <w:r>
            <w:rPr>
              <w:rFonts w:ascii="Arial" w:hAnsi="Arial" w:eastAsia="宋体" w:cs="Arial"/>
              <w:kern w:val="2"/>
              <w:sz w:val="21"/>
              <w:szCs w:val="22"/>
              <w:lang w:eastAsia="zh-CN"/>
            </w:rPr>
            <w:tab/>
          </w:r>
          <w:r>
            <w:rPr>
              <w:rStyle w:val="17"/>
              <w:rFonts w:ascii="Arial" w:hAnsi="Arial" w:eastAsia="宋体" w:cs="Arial"/>
              <w:lang w:eastAsia="zh-CN"/>
            </w:rPr>
            <w:t>FDA打算为其行使自由裁量权的移动应用（是指FDA不打算执行FD＆C法案的要求）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_Toc481592028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4044CC93">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"_Toc481592029" </w:instrText>
          </w:r>
          <w:r>
            <w:fldChar w:fldCharType="separate"/>
          </w:r>
          <w:r>
            <w:rPr>
              <w:rStyle w:val="17"/>
              <w:rFonts w:ascii="Arial" w:hAnsi="Arial" w:eastAsia="宋体" w:cs="Arial"/>
              <w:spacing w:val="-6"/>
              <w:w w:val="99"/>
            </w:rPr>
            <w:t>VI.</w:t>
          </w:r>
          <w:r>
            <w:rPr>
              <w:rFonts w:ascii="Arial" w:hAnsi="Arial" w:eastAsia="宋体" w:cs="Arial"/>
              <w:b w:val="0"/>
              <w:bCs w:val="0"/>
              <w:kern w:val="2"/>
              <w:sz w:val="21"/>
              <w:szCs w:val="22"/>
              <w:lang w:eastAsia="zh-CN"/>
            </w:rPr>
            <w:tab/>
          </w:r>
          <w:r>
            <w:rPr>
              <w:rStyle w:val="17"/>
              <w:rFonts w:ascii="Arial" w:hAnsi="Arial" w:eastAsia="宋体" w:cs="Arial"/>
            </w:rPr>
            <w:t>监管要求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_Toc481592029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6831226E">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"_Toc481592030" </w:instrText>
          </w:r>
          <w:r>
            <w:fldChar w:fldCharType="separate"/>
          </w:r>
          <w:r>
            <w:rPr>
              <w:rStyle w:val="17"/>
              <w:rFonts w:ascii="Arial" w:hAnsi="Arial" w:eastAsia="宋体" w:cs="Arial"/>
              <w:lang w:eastAsia="zh-CN"/>
            </w:rPr>
            <w:t>附录A 非医疗器械的移动应用示例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_Toc481592030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4EDF14B7">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"_Toc481592031" </w:instrText>
          </w:r>
          <w:r>
            <w:fldChar w:fldCharType="separate"/>
          </w:r>
          <w:r>
            <w:rPr>
              <w:rStyle w:val="17"/>
              <w:rFonts w:ascii="Arial" w:hAnsi="Arial" w:eastAsia="宋体" w:cs="Arial"/>
              <w:lang w:eastAsia="zh-CN"/>
            </w:rPr>
            <w:t>附录B FDA打算为其行使自由裁量权的移动应用示例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_Toc481592031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486934F3">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"_Toc481592032" </w:instrText>
          </w:r>
          <w:r>
            <w:fldChar w:fldCharType="separate"/>
          </w:r>
          <w:r>
            <w:rPr>
              <w:rStyle w:val="17"/>
              <w:rFonts w:ascii="Arial" w:hAnsi="Arial" w:eastAsia="宋体" w:cs="Arial"/>
              <w:lang w:eastAsia="zh-CN"/>
            </w:rPr>
            <w:t>附录C 作为FDA监管监督重点的移动应用示例（移动医疗应用）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_Toc481592032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2F4C95CA">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"_Toc481592033" </w:instrText>
          </w:r>
          <w:r>
            <w:fldChar w:fldCharType="separate"/>
          </w:r>
          <w:r>
            <w:rPr>
              <w:rStyle w:val="17"/>
              <w:rFonts w:ascii="Arial" w:hAnsi="Arial" w:eastAsia="宋体" w:cs="Arial"/>
              <w:lang w:eastAsia="zh-CN"/>
            </w:rPr>
            <w:t>附录D 现行法规的示例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_Toc481592033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268094D1">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"_Toc481592034" </w:instrText>
          </w:r>
          <w:r>
            <w:fldChar w:fldCharType="separate"/>
          </w:r>
          <w:r>
            <w:rPr>
              <w:rStyle w:val="17"/>
              <w:rFonts w:ascii="Arial" w:hAnsi="Arial" w:eastAsia="宋体" w:cs="Arial"/>
              <w:lang w:eastAsia="zh-CN"/>
            </w:rPr>
            <w:t>附录E某些器械监管要求的简要说明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_Toc481592034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071FD81A">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"_Toc481592035" </w:instrText>
          </w:r>
          <w:r>
            <w:fldChar w:fldCharType="separate"/>
          </w:r>
          <w:r>
            <w:rPr>
              <w:rStyle w:val="17"/>
              <w:rFonts w:ascii="Arial" w:hAnsi="Arial" w:eastAsia="宋体" w:cs="Arial"/>
              <w:lang w:eastAsia="zh-CN"/>
            </w:rPr>
            <w:t xml:space="preserve">附录F </w:t>
          </w:r>
          <w:r>
            <w:rPr>
              <w:rStyle w:val="17"/>
              <w:rFonts w:ascii="Arial" w:hAnsi="Arial" w:eastAsia="宋体" w:cs="Arial"/>
              <w:spacing w:val="-6"/>
              <w:lang w:eastAsia="zh-CN"/>
            </w:rPr>
            <w:t>常见问题（FAQS）</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_Toc481592035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2FF105E9">
          <w:pPr>
            <w:pStyle w:val="12"/>
            <w:tabs>
              <w:tab w:val="right" w:leader="dot" w:pos="9982"/>
            </w:tabs>
            <w:rPr>
              <w:rFonts w:ascii="Arial" w:hAnsi="Arial" w:eastAsia="宋体" w:cs="Arial"/>
              <w:b w:val="0"/>
              <w:bCs w:val="0"/>
              <w:kern w:val="2"/>
              <w:sz w:val="21"/>
              <w:szCs w:val="22"/>
              <w:lang w:eastAsia="zh-CN"/>
            </w:rPr>
          </w:pPr>
          <w:r>
            <w:fldChar w:fldCharType="begin"/>
          </w:r>
          <w:r>
            <w:instrText xml:space="preserve"> HYPERLINK \l "_Toc481592036" </w:instrText>
          </w:r>
          <w:r>
            <w:fldChar w:fldCharType="separate"/>
          </w:r>
          <w:r>
            <w:rPr>
              <w:rStyle w:val="17"/>
              <w:rFonts w:ascii="Arial" w:hAnsi="Arial" w:eastAsia="宋体" w:cs="Arial"/>
              <w:lang w:eastAsia="zh-CN"/>
            </w:rPr>
            <w:t>附录G 其他资源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_Toc481592036 \h </w:instrText>
          </w:r>
          <w:r>
            <w:rPr>
              <w:rFonts w:ascii="Arial" w:hAnsi="Arial" w:eastAsia="宋体" w:cs="Arial"/>
            </w:rPr>
            <w:fldChar w:fldCharType="separate"/>
          </w:r>
          <w:r>
            <w:rPr>
              <w:rFonts w:ascii="Arial" w:hAnsi="Arial" w:eastAsia="宋体" w:cs="Arial"/>
            </w:rPr>
            <w:t>43</w:t>
          </w:r>
          <w:r>
            <w:rPr>
              <w:rFonts w:ascii="Arial" w:hAnsi="Arial" w:eastAsia="宋体" w:cs="Arial"/>
            </w:rPr>
            <w:fldChar w:fldCharType="end"/>
          </w:r>
          <w:r>
            <w:rPr>
              <w:rFonts w:ascii="Arial" w:hAnsi="Arial" w:eastAsia="宋体" w:cs="Arial"/>
            </w:rPr>
            <w:fldChar w:fldCharType="end"/>
          </w:r>
        </w:p>
        <w:p w14:paraId="16D32A91">
          <w:pPr>
            <w:snapToGrid w:val="0"/>
            <w:spacing w:line="300" w:lineRule="auto"/>
            <w:rPr>
              <w:rFonts w:ascii="Arial" w:hAnsi="Arial" w:eastAsia="宋体" w:cs="Arial"/>
            </w:rPr>
          </w:pPr>
          <w:r>
            <w:rPr>
              <w:rFonts w:ascii="Arial" w:hAnsi="Arial" w:eastAsia="宋体" w:cs="Arial"/>
              <w:b/>
              <w:bCs/>
              <w:lang w:val="zh-CN"/>
            </w:rPr>
            <w:fldChar w:fldCharType="end"/>
          </w:r>
        </w:p>
      </w:sdtContent>
    </w:sdt>
    <w:p w14:paraId="3C1DF376">
      <w:pPr>
        <w:snapToGrid w:val="0"/>
        <w:spacing w:line="300" w:lineRule="auto"/>
        <w:jc w:val="both"/>
        <w:rPr>
          <w:rFonts w:ascii="Arial" w:hAnsi="Arial" w:eastAsia="宋体" w:cs="Arial"/>
        </w:rPr>
        <w:sectPr>
          <w:pgSz w:w="12260" w:h="15840"/>
          <w:pgMar w:top="1134" w:right="1134" w:bottom="1134" w:left="1134" w:header="748" w:footer="773" w:gutter="0"/>
          <w:cols w:space="720" w:num="1"/>
          <w:docGrid w:linePitch="299" w:charSpace="0"/>
        </w:sectPr>
      </w:pPr>
    </w:p>
    <w:p w14:paraId="53C57FD0">
      <w:pPr>
        <w:snapToGrid w:val="0"/>
        <w:spacing w:before="15" w:line="300" w:lineRule="auto"/>
        <w:jc w:val="center"/>
        <w:rPr>
          <w:rFonts w:ascii="Arial" w:hAnsi="Arial" w:eastAsia="宋体" w:cs="Arial"/>
          <w:b/>
          <w:sz w:val="48"/>
          <w:lang w:eastAsia="zh-CN"/>
        </w:rPr>
      </w:pPr>
      <w:r>
        <w:rPr>
          <w:rFonts w:ascii="Arial" w:hAnsi="Arial" w:eastAsia="宋体" w:cs="Arial"/>
          <w:lang w:eastAsia="zh-CN"/>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ragraph">
                  <wp:posOffset>471805</wp:posOffset>
                </wp:positionV>
                <wp:extent cx="5486400" cy="1270"/>
                <wp:effectExtent l="9525" t="5080" r="9525" b="12700"/>
                <wp:wrapNone/>
                <wp:docPr id="66" name="Group 71"/>
                <wp:cNvGraphicFramePr/>
                <a:graphic xmlns:a="http://schemas.openxmlformats.org/drawingml/2006/main">
                  <a:graphicData uri="http://schemas.microsoft.com/office/word/2010/wordprocessingGroup">
                    <wpg:wgp>
                      <wpg:cNvGrpSpPr/>
                      <wpg:grpSpPr>
                        <a:xfrm>
                          <a:off x="0" y="0"/>
                          <a:ext cx="5486400" cy="1270"/>
                          <a:chOff x="1440" y="1159"/>
                          <a:chExt cx="8640" cy="2"/>
                        </a:xfrm>
                      </wpg:grpSpPr>
                      <wps:wsp>
                        <wps:cNvPr id="67" name="Freeform 72"/>
                        <wps:cNvSpPr/>
                        <wps:spPr bwMode="auto">
                          <a:xfrm>
                            <a:off x="1440" y="1159"/>
                            <a:ext cx="8640" cy="2"/>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71" o:spid="_x0000_s1026" o:spt="203" style="position:absolute;left:0pt;margin-left:72pt;margin-top:37.15pt;height:0.1pt;width:432pt;mso-position-horizontal-relative:page;z-index:-251654144;mso-width-relative:page;mso-height-relative:page;" coordorigin="1440,1159" coordsize="8640,2" o:gfxdata="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sn82X2AAAAAoBAAAPAAAAAAAA&#10;AAEAIAAAACIAAABkcnMvZG93bnJldi54bWxQSwECFAAUAAAACACHTuJAK41nfvYCAADvBgAADgAA&#10;AAAAAAABACAAAAAnAQAAZHJzL2Uyb0RvYy54bWxQSwUGAAAAAAYABgBZAQAAjwYAAAAA&#10;">
                <o:lock v:ext="edit" aspectratio="f"/>
                <v:shape id="Freeform 72" o:spid="_x0000_s1026" o:spt="100" style="position:absolute;left:1440;top:1159;height:2;width:8640;" filled="f" stroked="t" coordsize="8640,1" o:gfxdata="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bun5vQAA&#10;ANsAAAAPAAAAAAAAAAEAIAAAACIAAABkcnMvZG93bnJldi54bWxQSwECFAAUAAAACACHTuJAMy8F&#10;njsAAAA5AAAAEAAAAAAAAAABACAAAAAMAQAAZHJzL3NoYXBleG1sLnhtbFBLBQYAAAAABgAGAFsB&#10;AAC2AwAAAAA=&#10;" path="m0,0l8640,0e">
                  <v:path o:connectlocs="0,0;8640,0" o:connectangles="0,0"/>
                  <v:fill on="f" focussize="0,0"/>
                  <v:stroke color="#000000" joinstyle="round"/>
                  <v:imagedata o:title=""/>
                  <o:lock v:ext="edit" aspectratio="f"/>
                </v:shape>
              </v:group>
            </w:pict>
          </mc:Fallback>
        </mc:AlternateContent>
      </w:r>
      <w:r>
        <w:rPr>
          <w:rFonts w:ascii="Arial" w:hAnsi="Arial" w:eastAsia="宋体" w:cs="Arial"/>
          <w:b/>
          <w:sz w:val="48"/>
          <w:lang w:eastAsia="zh-CN"/>
        </w:rPr>
        <w:t>移动医疗的应用</w:t>
      </w:r>
    </w:p>
    <w:p w14:paraId="022AF438">
      <w:pPr>
        <w:snapToGrid w:val="0"/>
        <w:spacing w:line="300" w:lineRule="auto"/>
        <w:jc w:val="center"/>
        <w:rPr>
          <w:rFonts w:ascii="Arial" w:hAnsi="Arial" w:eastAsia="宋体" w:cs="Arial"/>
          <w:b/>
          <w:sz w:val="28"/>
          <w:szCs w:val="28"/>
          <w:lang w:eastAsia="zh-CN"/>
        </w:rPr>
      </w:pPr>
    </w:p>
    <w:p w14:paraId="28ECAD45">
      <w:pPr>
        <w:snapToGrid w:val="0"/>
        <w:spacing w:line="300" w:lineRule="auto"/>
        <w:jc w:val="center"/>
        <w:rPr>
          <w:rFonts w:ascii="Arial" w:hAnsi="Arial" w:eastAsia="宋体" w:cs="Arial"/>
          <w:b/>
          <w:sz w:val="48"/>
          <w:lang w:eastAsia="zh-CN"/>
        </w:rPr>
      </w:pPr>
      <w:r>
        <w:rPr>
          <w:rFonts w:ascii="Arial" w:hAnsi="Arial" w:eastAsia="宋体" w:cs="Arial"/>
          <w:b/>
          <w:sz w:val="48"/>
          <w:lang w:eastAsia="zh-CN"/>
        </w:rPr>
        <w:t>行业和食品药品监督管理局员工指南</w:t>
      </w:r>
    </w:p>
    <w:p w14:paraId="2019F289">
      <w:pPr>
        <w:snapToGrid w:val="0"/>
        <w:spacing w:line="300" w:lineRule="auto"/>
        <w:jc w:val="both"/>
        <w:rPr>
          <w:rFonts w:ascii="Arial" w:hAnsi="Arial" w:eastAsia="宋体" w:cs="Arial"/>
          <w:b/>
          <w:bCs/>
          <w:sz w:val="20"/>
          <w:szCs w:val="20"/>
          <w:lang w:eastAsia="zh-CN"/>
        </w:rPr>
      </w:pPr>
    </w:p>
    <w:p w14:paraId="0D2F52AC">
      <w:pPr>
        <w:snapToGrid w:val="0"/>
        <w:spacing w:before="3" w:line="300" w:lineRule="auto"/>
        <w:jc w:val="both"/>
        <w:rPr>
          <w:rFonts w:ascii="Arial" w:hAnsi="Arial" w:eastAsia="宋体" w:cs="Arial"/>
          <w:b/>
          <w:bCs/>
          <w:sz w:val="13"/>
          <w:szCs w:val="13"/>
          <w:lang w:eastAsia="zh-CN"/>
        </w:rPr>
      </w:pPr>
    </w:p>
    <w:p w14:paraId="084FE1B7">
      <w:pPr>
        <w:snapToGrid w:val="0"/>
        <w:spacing w:line="300" w:lineRule="auto"/>
        <w:ind w:left="113"/>
        <w:jc w:val="both"/>
        <w:rPr>
          <w:rFonts w:ascii="Arial" w:hAnsi="Arial" w:eastAsia="宋体" w:cs="Arial"/>
          <w:sz w:val="20"/>
          <w:szCs w:val="20"/>
        </w:rPr>
      </w:pPr>
      <w:r>
        <w:rPr>
          <w:rFonts w:ascii="Arial" w:hAnsi="Arial" w:eastAsia="宋体" w:cs="Arial"/>
          <w:position w:val="-41"/>
          <w:sz w:val="20"/>
          <w:szCs w:val="20"/>
          <w:lang w:eastAsia="zh-CN"/>
        </w:rPr>
        <mc:AlternateContent>
          <mc:Choice Requires="wps">
            <w:drawing>
              <wp:inline distT="0" distB="0" distL="0" distR="0">
                <wp:extent cx="6155690" cy="1330960"/>
                <wp:effectExtent l="19050" t="19050" r="26035" b="21590"/>
                <wp:docPr id="65" name="Text Box 101"/>
                <wp:cNvGraphicFramePr/>
                <a:graphic xmlns:a="http://schemas.openxmlformats.org/drawingml/2006/main">
                  <a:graphicData uri="http://schemas.microsoft.com/office/word/2010/wordprocessingShape">
                    <wps:wsp>
                      <wps:cNvSpPr txBox="1">
                        <a:spLocks noChangeArrowheads="1"/>
                      </wps:cNvSpPr>
                      <wps:spPr bwMode="auto">
                        <a:xfrm>
                          <a:off x="0" y="0"/>
                          <a:ext cx="6155690" cy="1330960"/>
                        </a:xfrm>
                        <a:prstGeom prst="rect">
                          <a:avLst/>
                        </a:prstGeom>
                        <a:noFill/>
                        <a:ln w="38100" cmpd="tri">
                          <a:solidFill>
                            <a:srgbClr val="000000"/>
                          </a:solidFill>
                          <a:miter lim="800000"/>
                        </a:ln>
                      </wps:spPr>
                      <wps:txbx>
                        <w:txbxContent>
                          <w:p w14:paraId="09CC4A31">
                            <w:pPr>
                              <w:spacing w:before="49"/>
                              <w:ind w:left="136" w:right="255"/>
                              <w:jc w:val="both"/>
                              <w:rPr>
                                <w:rFonts w:ascii="宋体" w:hAnsi="宋体" w:eastAsia="宋体" w:cs="宋体"/>
                                <w:b/>
                                <w:i/>
                                <w:sz w:val="24"/>
                                <w:szCs w:val="24"/>
                                <w:lang w:eastAsia="zh-CN" w:bidi="ar"/>
                              </w:rPr>
                            </w:pPr>
                            <w:bookmarkStart w:id="60" w:name="OLE_LINK10"/>
                            <w:bookmarkStart w:id="61" w:name="OLE_LINK11"/>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bookmarkEnd w:id="60"/>
                            <w:bookmarkEnd w:id="61"/>
                          </w:p>
                        </w:txbxContent>
                      </wps:txbx>
                      <wps:bodyPr rot="0" vert="horz" wrap="square" lIns="0" tIns="0" rIns="0" bIns="0" anchor="t" anchorCtr="0" upright="1">
                        <a:noAutofit/>
                      </wps:bodyPr>
                    </wps:wsp>
                  </a:graphicData>
                </a:graphic>
              </wp:inline>
            </w:drawing>
          </mc:Choice>
          <mc:Fallback>
            <w:pict>
              <v:shape id="Text Box 101" o:spid="_x0000_s1026" o:spt="202" type="#_x0000_t202" style="height:104.8pt;width:484.7pt;" filled="f" stroked="t" coordsize="21600,21600" o:gfxdata="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OaZj9QAAAAFAQAADwAAAAAAAAABACAAAAAiAAAAZHJzL2Rvd25yZXYueG1sUEsBAhQA&#10;FAAAAAgAh07iQCGb9WkvAgAAXQQAAA4AAAAAAAAAAQAgAAAAIwEAAGRycy9lMm9Eb2MueG1sUEsF&#10;BgAAAAAGAAYAWQEAAMQFAAAAAA==&#10;">
                <v:fill on="f" focussize="0,0"/>
                <v:stroke weight="3pt" color="#000000" linestyle="thickBetweenThin" miterlimit="8" joinstyle="miter"/>
                <v:imagedata o:title=""/>
                <o:lock v:ext="edit" aspectratio="f"/>
                <v:textbox inset="0mm,0mm,0mm,0mm">
                  <w:txbxContent>
                    <w:p w14:paraId="09CC4A31">
                      <w:pPr>
                        <w:spacing w:before="49"/>
                        <w:ind w:left="136" w:right="255"/>
                        <w:jc w:val="both"/>
                        <w:rPr>
                          <w:rFonts w:ascii="宋体" w:hAnsi="宋体" w:eastAsia="宋体" w:cs="宋体"/>
                          <w:b/>
                          <w:i/>
                          <w:sz w:val="24"/>
                          <w:szCs w:val="24"/>
                          <w:lang w:eastAsia="zh-CN" w:bidi="ar"/>
                        </w:rPr>
                      </w:pPr>
                      <w:bookmarkStart w:id="60" w:name="OLE_LINK10"/>
                      <w:bookmarkStart w:id="61" w:name="OLE_LINK11"/>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bookmarkEnd w:id="60"/>
                      <w:bookmarkEnd w:id="61"/>
                    </w:p>
                  </w:txbxContent>
                </v:textbox>
                <w10:wrap type="none"/>
                <w10:anchorlock/>
              </v:shape>
            </w:pict>
          </mc:Fallback>
        </mc:AlternateContent>
      </w:r>
    </w:p>
    <w:p w14:paraId="0723B50F">
      <w:pPr>
        <w:pStyle w:val="2"/>
        <w:numPr>
          <w:ilvl w:val="0"/>
          <w:numId w:val="1"/>
        </w:numPr>
        <w:tabs>
          <w:tab w:val="left" w:pos="999"/>
          <w:tab w:val="left" w:pos="1000"/>
        </w:tabs>
        <w:snapToGrid w:val="0"/>
        <w:spacing w:before="296" w:line="300" w:lineRule="auto"/>
        <w:ind w:left="0" w:firstLine="0"/>
        <w:jc w:val="both"/>
        <w:rPr>
          <w:rFonts w:ascii="Arial" w:hAnsi="Arial" w:eastAsia="宋体" w:cs="Arial"/>
          <w:bCs w:val="0"/>
        </w:rPr>
      </w:pPr>
      <w:bookmarkStart w:id="3" w:name="_Toc481592017"/>
      <w:r>
        <w:rPr>
          <w:rFonts w:ascii="Arial" w:hAnsi="Arial" w:eastAsia="宋体" w:cs="Arial"/>
          <w:bCs w:val="0"/>
          <w:lang w:eastAsia="zh-CN"/>
        </w:rPr>
        <w:t>引言</w:t>
      </w:r>
      <w:bookmarkEnd w:id="3"/>
    </w:p>
    <w:p w14:paraId="067225EF">
      <w:pPr>
        <w:pStyle w:val="6"/>
        <w:snapToGrid w:val="0"/>
        <w:spacing w:before="53" w:line="300" w:lineRule="auto"/>
        <w:ind w:left="0" w:firstLine="0"/>
        <w:jc w:val="both"/>
        <w:rPr>
          <w:rFonts w:ascii="Arial" w:hAnsi="Arial" w:eastAsia="宋体" w:cs="Arial"/>
          <w:lang w:eastAsia="zh-CN"/>
        </w:rPr>
      </w:pPr>
      <w:r>
        <w:rPr>
          <w:rFonts w:ascii="Arial" w:hAnsi="Arial" w:eastAsia="宋体" w:cs="Arial"/>
          <w:lang w:eastAsia="zh-CN"/>
        </w:rPr>
        <w:t>食品药品监督管理局（FDA）认识到移动应用程序的实际和潜在功能种类繁多、移动应用程序创新速度快以及由这些应用程序向公共卫生提供的潜在收益和风险。FDA拟发布本指导性文件，通知制造商、分销商和其他实体有关FDA如何将其监管权限应用于选择旨在用于移动平台的软件应用程序（移动应用程序或“移动应用程序”）。鉴于移动应用程序的快速扩展和广泛的适用性，FDA拟发布本指导性文件，以说明FDA旨在将其权限应用于移动应用程序的子集。</w:t>
      </w:r>
    </w:p>
    <w:p w14:paraId="635869D4">
      <w:pPr>
        <w:snapToGrid w:val="0"/>
        <w:spacing w:line="300" w:lineRule="auto"/>
        <w:jc w:val="both"/>
        <w:rPr>
          <w:rFonts w:ascii="Arial" w:hAnsi="Arial" w:eastAsia="宋体" w:cs="Arial"/>
          <w:sz w:val="24"/>
          <w:szCs w:val="24"/>
          <w:lang w:eastAsia="zh-CN"/>
        </w:rPr>
      </w:pPr>
    </w:p>
    <w:p w14:paraId="59B57E3F">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许多移动应用程序并不是医疗器械（是指这种移动应用程序不符合联邦食品、药品和化妆品法案（FD＆C法案）第201（h）节中对的器械的定义），FDA不对其进行监管。一些移动应用程序可能会满足医疗器械的定义，但是由于其对公众造成的风险较低，因此FDA打算对这些器械行使自由裁量权（是指其不会执行FD＆C法案的要求）。目前上市的大多数移动应用程序都属于这两类。</w:t>
      </w:r>
    </w:p>
    <w:p w14:paraId="10022350">
      <w:pPr>
        <w:snapToGrid w:val="0"/>
        <w:spacing w:line="300" w:lineRule="auto"/>
        <w:jc w:val="both"/>
        <w:rPr>
          <w:rFonts w:ascii="Arial" w:hAnsi="Arial" w:eastAsia="宋体" w:cs="Arial"/>
          <w:sz w:val="24"/>
          <w:szCs w:val="24"/>
          <w:lang w:eastAsia="zh-CN"/>
        </w:rPr>
      </w:pPr>
    </w:p>
    <w:p w14:paraId="3A478F34">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根据FDA现有的监督方法，其中对功能，而不是平台，加以考虑，FDA打算将其监管监督仅应用于那些属于医疗器械且如果该移动应用程序未按预期发挥作用，其功能可能会对患者的安全构成风险的移动应用程序。FDA将该移动应用程序的子集称为移动医疗应用。</w:t>
      </w:r>
    </w:p>
    <w:p w14:paraId="263B4DD4">
      <w:pPr>
        <w:snapToGrid w:val="0"/>
        <w:spacing w:line="300" w:lineRule="auto"/>
        <w:jc w:val="both"/>
        <w:rPr>
          <w:rFonts w:ascii="Arial" w:hAnsi="Arial" w:eastAsia="宋体" w:cs="Arial"/>
          <w:sz w:val="24"/>
          <w:szCs w:val="24"/>
          <w:lang w:eastAsia="zh-CN"/>
        </w:rPr>
      </w:pPr>
    </w:p>
    <w:p w14:paraId="4182F52C">
      <w:pPr>
        <w:pStyle w:val="6"/>
        <w:snapToGrid w:val="0"/>
        <w:spacing w:before="53" w:line="300" w:lineRule="auto"/>
        <w:ind w:left="0" w:firstLine="0"/>
        <w:rPr>
          <w:rFonts w:ascii="Arial" w:hAnsi="Arial" w:eastAsia="宋体" w:cs="Arial"/>
          <w:lang w:eastAsia="zh-CN"/>
        </w:rPr>
      </w:pPr>
      <w:r>
        <w:rPr>
          <w:rFonts w:ascii="Arial" w:hAnsi="Arial" w:eastAsia="宋体" w:cs="Arial"/>
          <w:lang w:eastAsia="zh-CN"/>
        </w:rPr>
        <w:t>FDA拟发布本指南，以为移动医疗应用制造商提供明确性和可预测性。已对本文件进行更新以符合2015年2月9日发布的题为“医疗器械数据系统，医疗影像存储器械和医疗影像通信器械”的指导性文件。其网址为：</w:t>
      </w:r>
      <w:r>
        <w:rPr>
          <w:rFonts w:ascii="Arial" w:hAnsi="Arial" w:eastAsia="宋体" w:cs="Arial"/>
          <w:color w:val="0000FF"/>
          <w:u w:val="single"/>
          <w:lang w:eastAsia="zh-CN"/>
        </w:rPr>
        <w:t>http://www.fda.gov/downloads/MedicalDevices/DeviceRegulationandGuidance/GuidanceDocuments/UCM401996.pdf</w:t>
      </w:r>
      <w:r>
        <w:rPr>
          <w:rFonts w:ascii="Arial" w:hAnsi="Arial" w:eastAsia="宋体" w:cs="Arial"/>
          <w:lang w:eastAsia="zh-CN"/>
        </w:rPr>
        <w:t>。在2013年9月25日之后添加至移动医疗应用程序网站（</w:t>
      </w:r>
      <w:r>
        <w:fldChar w:fldCharType="begin"/>
      </w:r>
      <w:r>
        <w:instrText xml:space="preserve"> HYPERLINK "http://www.fda.gov/medicaldevices/productsandmedicalprocedures/connectedhealth/mobilemedi%20calapplications%20/%20default.htm" </w:instrText>
      </w:r>
      <w:r>
        <w:fldChar w:fldCharType="separate"/>
      </w:r>
      <w:r>
        <w:rPr>
          <w:rFonts w:ascii="Arial" w:hAnsi="Arial" w:eastAsia="宋体" w:cs="Arial"/>
          <w:color w:val="0000FF"/>
          <w:u w:val="single"/>
          <w:lang w:eastAsia="zh-CN"/>
        </w:rPr>
        <w:t>http://www.fda.gov/medicaldevices/productsandmedicalprocedures/connectedhealth/mobilemedi calapplications/default.htm</w:t>
      </w:r>
      <w:r>
        <w:rPr>
          <w:rFonts w:ascii="Arial" w:hAnsi="Arial" w:eastAsia="宋体" w:cs="Arial"/>
          <w:color w:val="0000FF"/>
          <w:u w:val="single"/>
          <w:lang w:eastAsia="zh-CN"/>
        </w:rPr>
        <w:fldChar w:fldCharType="end"/>
      </w:r>
      <w:r>
        <w:rPr>
          <w:rFonts w:ascii="Arial" w:hAnsi="Arial" w:eastAsia="宋体" w:cs="Arial"/>
          <w:lang w:eastAsia="zh-CN"/>
        </w:rPr>
        <w:t>）的示例已并入本文档的适当附录中，以保持一致性。</w:t>
      </w:r>
    </w:p>
    <w:p w14:paraId="40748F20">
      <w:pPr>
        <w:pStyle w:val="6"/>
        <w:snapToGrid w:val="0"/>
        <w:spacing w:before="53" w:line="300" w:lineRule="auto"/>
        <w:ind w:left="280" w:firstLine="0"/>
        <w:jc w:val="both"/>
        <w:rPr>
          <w:rFonts w:ascii="Arial" w:hAnsi="Arial" w:eastAsia="宋体" w:cs="Arial"/>
          <w:lang w:eastAsia="zh-CN"/>
        </w:rPr>
      </w:pPr>
    </w:p>
    <w:p w14:paraId="0486D26E">
      <w:pPr>
        <w:pStyle w:val="6"/>
        <w:snapToGrid w:val="0"/>
        <w:spacing w:before="53" w:line="300" w:lineRule="auto"/>
        <w:ind w:left="0" w:firstLine="0"/>
        <w:jc w:val="both"/>
        <w:rPr>
          <w:rFonts w:ascii="Arial" w:hAnsi="Arial" w:eastAsia="宋体" w:cs="Arial"/>
          <w:lang w:eastAsia="zh-CN"/>
        </w:rPr>
      </w:pPr>
      <w:r>
        <w:rPr>
          <w:rFonts w:ascii="Arial" w:hAnsi="Arial" w:eastAsia="宋体" w:cs="Arial"/>
          <w:lang w:eastAsia="zh-CN"/>
        </w:rPr>
        <w:t>FDA的指导性文件，包括本指南，不构成法律上可执行的责任。相反，指南说明了本审查机构目前对某一主题的见解，除非引用了具体的法规或法律要求，否则只应将其视为建议。在本审查机构指南中使用词语“应”是指建议或推荐进行某一事项，但非强制要求。</w:t>
      </w:r>
    </w:p>
    <w:p w14:paraId="0F8180C9">
      <w:pPr>
        <w:snapToGrid w:val="0"/>
        <w:spacing w:line="300" w:lineRule="auto"/>
        <w:jc w:val="both"/>
        <w:rPr>
          <w:rFonts w:ascii="Arial" w:hAnsi="Arial" w:eastAsia="宋体" w:cs="Arial"/>
          <w:sz w:val="20"/>
          <w:szCs w:val="20"/>
          <w:lang w:eastAsia="zh-CN"/>
        </w:rPr>
      </w:pPr>
    </w:p>
    <w:p w14:paraId="54DC7DB5">
      <w:pPr>
        <w:snapToGrid w:val="0"/>
        <w:spacing w:line="300" w:lineRule="auto"/>
        <w:rPr>
          <w:rFonts w:ascii="Arial" w:hAnsi="Arial" w:eastAsia="宋体" w:cs="Arial"/>
          <w:sz w:val="36"/>
          <w:szCs w:val="36"/>
          <w:lang w:eastAsia="zh-CN"/>
        </w:rPr>
      </w:pPr>
      <w:r>
        <w:rPr>
          <w:rFonts w:ascii="Arial" w:hAnsi="Arial" w:eastAsia="宋体" w:cs="Arial"/>
          <w:b/>
          <w:bCs/>
          <w:lang w:eastAsia="zh-CN"/>
        </w:rPr>
        <w:br w:type="page"/>
      </w:r>
    </w:p>
    <w:p w14:paraId="5E2D9D05">
      <w:pPr>
        <w:pStyle w:val="2"/>
        <w:numPr>
          <w:ilvl w:val="0"/>
          <w:numId w:val="1"/>
        </w:numPr>
        <w:tabs>
          <w:tab w:val="left" w:pos="840"/>
        </w:tabs>
        <w:snapToGrid w:val="0"/>
        <w:spacing w:before="230" w:line="300" w:lineRule="auto"/>
        <w:ind w:left="0" w:firstLine="0"/>
        <w:jc w:val="both"/>
        <w:rPr>
          <w:rFonts w:ascii="Arial" w:hAnsi="Arial" w:eastAsia="宋体" w:cs="Arial"/>
          <w:bCs w:val="0"/>
        </w:rPr>
      </w:pPr>
      <w:bookmarkStart w:id="4" w:name="_Toc481592018"/>
      <w:r>
        <w:rPr>
          <w:rFonts w:ascii="Arial" w:hAnsi="Arial" w:eastAsia="宋体" w:cs="Arial"/>
          <w:bCs w:val="0"/>
          <w:lang w:eastAsia="zh-CN"/>
        </w:rPr>
        <w:t>背景</w:t>
      </w:r>
      <w:bookmarkEnd w:id="4"/>
    </w:p>
    <w:p w14:paraId="4DB9B4F7">
      <w:pPr>
        <w:pStyle w:val="6"/>
        <w:snapToGrid w:val="0"/>
        <w:spacing w:line="300" w:lineRule="auto"/>
        <w:ind w:left="0" w:firstLine="0"/>
        <w:jc w:val="both"/>
        <w:rPr>
          <w:rFonts w:ascii="Arial" w:hAnsi="Arial" w:eastAsia="宋体" w:cs="Arial"/>
          <w:position w:val="11"/>
          <w:sz w:val="16"/>
          <w:szCs w:val="16"/>
          <w:lang w:eastAsia="zh-CN"/>
        </w:rPr>
      </w:pPr>
      <w:r>
        <w:rPr>
          <w:rFonts w:ascii="Arial" w:hAnsi="Arial" w:eastAsia="宋体" w:cs="Arial"/>
          <w:lang w:eastAsia="zh-CN"/>
        </w:rPr>
        <w:t>随着移动平台的人性化操作界面越来越好、计算功能强大且随时可用，发明人员已经开始开发越来越复杂的移动应用程序来利用移动平台可提供的便携性。其中一些新型移动应用程序专门用于帮助个人进行自我卫生和健康管理。其他移动应用程序针对医疗服务人员，作为改善和促进患者护理实施的工具。</w:t>
      </w:r>
    </w:p>
    <w:p w14:paraId="24A5B749">
      <w:pPr>
        <w:pStyle w:val="6"/>
        <w:snapToGrid w:val="0"/>
        <w:spacing w:line="300" w:lineRule="auto"/>
        <w:ind w:left="0" w:firstLine="0"/>
        <w:jc w:val="both"/>
        <w:rPr>
          <w:rFonts w:ascii="Arial" w:hAnsi="Arial" w:eastAsia="宋体" w:cs="Arial"/>
          <w:lang w:eastAsia="zh-CN"/>
        </w:rPr>
      </w:pPr>
    </w:p>
    <w:p w14:paraId="2B5BBD60">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1989年，FDA制定了一份一般政策声明，其中，声明涉及其计划如何确定基于计算机的产品和/或基于软件的产品是否为器械，以及如果已确定产品为器械，FDA将如何对其进行监管。本文件“监管计算机产品的FDA政策”被称为“软件政策草案”。然而，1989年以后，电脑和软件产品作为医疗器械的使用呈指数级增长，且产品种类趋于多样化，且越来越复杂（且这种趋势将持续下去）。因此，FDA确定，政策草案并未充分解决与所有监管含有软件的医疗器械相关的所有问题。因此，在2005年，软件政策草案被撤回。</w:t>
      </w:r>
      <w:r>
        <w:rPr>
          <w:rFonts w:ascii="Arial" w:hAnsi="Arial" w:eastAsia="宋体" w:cs="Arial"/>
          <w:vertAlign w:val="superscript"/>
          <w:lang w:eastAsia="zh-CN"/>
        </w:rPr>
        <w:t>1</w:t>
      </w:r>
    </w:p>
    <w:p w14:paraId="4E497E12">
      <w:pPr>
        <w:pStyle w:val="6"/>
        <w:snapToGrid w:val="0"/>
        <w:spacing w:line="300" w:lineRule="auto"/>
        <w:ind w:left="0" w:firstLine="0"/>
        <w:jc w:val="both"/>
        <w:rPr>
          <w:rFonts w:ascii="Arial" w:hAnsi="Arial" w:eastAsia="宋体" w:cs="Arial"/>
          <w:lang w:eastAsia="zh-CN"/>
        </w:rPr>
      </w:pPr>
    </w:p>
    <w:p w14:paraId="45CB986D">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虽然FDA尚未发布一份总体软件政策，但本审查机构已正式分类符合器械定义的某些类型的软件应用程序，并通过分类，确定了适用于这些器械及其制造商的具体监管要求。这些软件器械包括具有一个或多个软件组件、部件或附件（如用于监测心律的心电图（ECG）系统）的产品以及仅由软件组成的器械（如实验室信息管理系统）。2011年2月15日，FDA发布了一项规定，将某些基于计算机或软件且旨在用于医疗器械数据的电子传输、存储、显示和/或格式转换的器械—称之为医疗器械数据系统（MDDS）-从III类（高风险）向下分类到I类（低风险）。</w:t>
      </w:r>
      <w:r>
        <w:fldChar w:fldCharType="begin"/>
      </w:r>
      <w:r>
        <w:instrText xml:space="preserve"> HYPERLINK \l "_bookmark3" </w:instrText>
      </w:r>
      <w:r>
        <w:fldChar w:fldCharType="separate"/>
      </w:r>
      <w:r>
        <w:rPr>
          <w:rFonts w:ascii="Arial" w:hAnsi="Arial" w:eastAsia="宋体" w:cs="Arial"/>
          <w:vertAlign w:val="superscript"/>
          <w:lang w:eastAsia="zh-CN"/>
        </w:rPr>
        <w:t>2</w:t>
      </w:r>
      <w:r>
        <w:rPr>
          <w:rFonts w:ascii="Arial" w:hAnsi="Arial" w:eastAsia="宋体" w:cs="Arial"/>
          <w:vertAlign w:val="superscript"/>
          <w:lang w:eastAsia="zh-CN"/>
        </w:rPr>
        <w:fldChar w:fldCharType="end"/>
      </w:r>
    </w:p>
    <w:p w14:paraId="03DDB635">
      <w:pPr>
        <w:pStyle w:val="6"/>
        <w:snapToGrid w:val="0"/>
        <w:spacing w:line="300" w:lineRule="auto"/>
        <w:ind w:left="0" w:firstLine="0"/>
        <w:jc w:val="both"/>
        <w:rPr>
          <w:rFonts w:ascii="Arial" w:hAnsi="Arial" w:eastAsia="宋体" w:cs="Arial"/>
          <w:lang w:eastAsia="zh-CN"/>
        </w:rPr>
      </w:pPr>
    </w:p>
    <w:p w14:paraId="01363339">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FDA先前已经说明，当使用独立软件来分析医疗器械数据时，传统上将其作为医疗器械</w:t>
      </w:r>
      <w:r>
        <w:rPr>
          <w:rFonts w:ascii="Arial" w:hAnsi="Arial" w:eastAsia="宋体" w:cs="Arial"/>
          <w:vertAlign w:val="superscript"/>
          <w:lang w:eastAsia="zh-CN"/>
        </w:rPr>
        <w:t>3</w:t>
      </w:r>
      <w:r>
        <w:rPr>
          <w:rFonts w:ascii="Arial" w:hAnsi="Arial" w:eastAsia="宋体" w:cs="Arial"/>
          <w:lang w:eastAsia="zh-CN"/>
        </w:rPr>
        <w:t>的附件或医疗器械软件来进行监管。</w:t>
      </w:r>
    </w:p>
    <w:p w14:paraId="4F175DE5">
      <w:pPr>
        <w:snapToGrid w:val="0"/>
        <w:spacing w:before="8" w:line="300" w:lineRule="auto"/>
        <w:jc w:val="both"/>
        <w:rPr>
          <w:rFonts w:ascii="Arial" w:hAnsi="Arial" w:eastAsia="宋体" w:cs="Arial"/>
          <w:sz w:val="23"/>
          <w:szCs w:val="23"/>
          <w:lang w:eastAsia="zh-CN"/>
        </w:rPr>
      </w:pPr>
    </w:p>
    <w:p w14:paraId="735B52A6">
      <w:pPr>
        <w:snapToGrid w:val="0"/>
        <w:spacing w:line="300" w:lineRule="auto"/>
        <w:jc w:val="both"/>
        <w:rPr>
          <w:rFonts w:ascii="Arial" w:hAnsi="Arial" w:eastAsia="宋体" w:cs="Arial"/>
          <w:sz w:val="20"/>
          <w:szCs w:val="20"/>
          <w:lang w:eastAsia="zh-CN"/>
        </w:rPr>
      </w:pPr>
    </w:p>
    <w:p w14:paraId="14002A06">
      <w:pPr>
        <w:snapToGrid w:val="0"/>
        <w:spacing w:before="2" w:line="300" w:lineRule="auto"/>
        <w:jc w:val="both"/>
        <w:rPr>
          <w:rFonts w:ascii="Arial" w:hAnsi="Arial" w:eastAsia="宋体" w:cs="Arial"/>
          <w:sz w:val="10"/>
          <w:szCs w:val="10"/>
          <w:lang w:eastAsia="zh-CN"/>
        </w:rPr>
      </w:pPr>
    </w:p>
    <w:p w14:paraId="172982F8">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62" name="Group 6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3" name="Group 68"/>
                        <wpg:cNvGrpSpPr/>
                        <wpg:grpSpPr>
                          <a:xfrm>
                            <a:off x="6" y="6"/>
                            <a:ext cx="2880" cy="2"/>
                            <a:chOff x="6" y="6"/>
                            <a:chExt cx="2880" cy="2"/>
                          </a:xfrm>
                        </wpg:grpSpPr>
                        <wps:wsp>
                          <wps:cNvPr id="64" name="Freeform 6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BeDqdBGgMAAP4HAAAOAAAAAAAAAAEAIAAAACMBAABkcnMvZTJvRG9j&#10;LnhtbFBLBQYAAAAABgAGAFkBAACvBgAAAAA=&#10;">
                <o:lock v:ext="edit" aspectratio="f"/>
                <v:group id="Group 68" o:spid="_x0000_s1026" o:spt="203" style="position:absolute;left:6;top:6;height:2;width:2880;" coordorigin="6,6" coordsize="2880,2"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Freeform 69" o:spid="_x0000_s1026" o:spt="100" style="position:absolute;left:6;top:6;height:2;width:2880;" filled="f" stroked="t" coordsize="2880,1" o:gfxdata="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C6kO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E366AA1">
      <w:pPr>
        <w:snapToGrid w:val="0"/>
        <w:spacing w:before="71" w:line="300" w:lineRule="auto"/>
        <w:rPr>
          <w:rFonts w:ascii="Arial" w:hAnsi="Arial" w:eastAsia="宋体" w:cs="Arial"/>
          <w:sz w:val="20"/>
          <w:szCs w:val="20"/>
          <w:lang w:eastAsia="zh-CN"/>
        </w:rPr>
      </w:pPr>
      <w:r>
        <w:rPr>
          <w:rFonts w:ascii="Arial" w:hAnsi="Arial" w:eastAsia="宋体" w:cs="Arial"/>
          <w:position w:val="9"/>
          <w:sz w:val="13"/>
          <w:lang w:eastAsia="zh-CN"/>
        </w:rPr>
        <w:t>1</w:t>
      </w:r>
      <w:bookmarkStart w:id="5" w:name="_bookmark2"/>
      <w:bookmarkEnd w:id="5"/>
      <w:r>
        <w:rPr>
          <w:rFonts w:ascii="Arial" w:hAnsi="Arial" w:eastAsia="宋体" w:cs="Arial"/>
          <w:sz w:val="20"/>
          <w:szCs w:val="20"/>
          <w:lang w:eastAsia="zh-CN"/>
        </w:rPr>
        <w:t>食品药品监督管理局指导性文件年度综合清单（70 FR 824，890）（2005年1月5日）。</w:t>
      </w:r>
    </w:p>
    <w:p w14:paraId="2660B251">
      <w:pPr>
        <w:snapToGrid w:val="0"/>
        <w:spacing w:line="300" w:lineRule="auto"/>
        <w:rPr>
          <w:rFonts w:ascii="Arial" w:hAnsi="Arial" w:eastAsia="宋体" w:cs="Arial"/>
          <w:sz w:val="20"/>
          <w:szCs w:val="20"/>
          <w:lang w:eastAsia="zh-CN"/>
        </w:rPr>
      </w:pPr>
      <w:r>
        <w:rPr>
          <w:rFonts w:ascii="Arial" w:hAnsi="Arial" w:eastAsia="宋体" w:cs="Arial"/>
          <w:position w:val="9"/>
          <w:sz w:val="13"/>
          <w:lang w:eastAsia="zh-CN"/>
        </w:rPr>
        <w:t>2</w:t>
      </w:r>
      <w:bookmarkStart w:id="6" w:name="_bookmark3"/>
      <w:bookmarkEnd w:id="6"/>
      <w:r>
        <w:rPr>
          <w:rFonts w:ascii="Arial" w:hAnsi="Arial" w:eastAsia="宋体" w:cs="Arial"/>
          <w:sz w:val="20"/>
          <w:szCs w:val="20"/>
          <w:lang w:eastAsia="zh-CN"/>
        </w:rPr>
        <w:t>医疗器械；医疗器械数据系统最终规则（76 FR 8637）（2011年2月15日）。</w:t>
      </w:r>
    </w:p>
    <w:p w14:paraId="72F1C8F2">
      <w:pPr>
        <w:snapToGrid w:val="0"/>
        <w:spacing w:before="15" w:line="300" w:lineRule="auto"/>
        <w:rPr>
          <w:rFonts w:ascii="Arial" w:hAnsi="Arial" w:eastAsia="宋体" w:cs="Arial"/>
          <w:sz w:val="20"/>
          <w:szCs w:val="20"/>
          <w:lang w:eastAsia="zh-CN"/>
        </w:rPr>
      </w:pPr>
      <w:r>
        <w:rPr>
          <w:rFonts w:ascii="Arial" w:hAnsi="Arial" w:eastAsia="宋体" w:cs="Arial"/>
          <w:position w:val="9"/>
          <w:sz w:val="13"/>
          <w:szCs w:val="13"/>
        </w:rPr>
        <w:t xml:space="preserve">3 </w:t>
      </w:r>
      <w:bookmarkStart w:id="7" w:name="_bookmark4"/>
      <w:bookmarkEnd w:id="7"/>
      <w:r>
        <w:rPr>
          <w:rFonts w:ascii="Arial" w:hAnsi="Arial" w:eastAsia="宋体" w:cs="Arial"/>
          <w:sz w:val="20"/>
          <w:szCs w:val="20"/>
          <w:lang w:eastAsia="zh-CN"/>
        </w:rPr>
        <w:t>请</w:t>
      </w:r>
      <w:r>
        <w:rPr>
          <w:rFonts w:ascii="Arial" w:hAnsi="Arial" w:eastAsia="宋体" w:cs="Arial"/>
          <w:sz w:val="20"/>
          <w:szCs w:val="20"/>
        </w:rPr>
        <w:t>参见</w:t>
      </w:r>
      <w:r>
        <w:rPr>
          <w:rFonts w:ascii="Arial" w:hAnsi="Arial" w:eastAsia="宋体" w:cs="Arial"/>
          <w:sz w:val="20"/>
          <w:szCs w:val="20"/>
          <w:lang w:eastAsia="zh-CN"/>
        </w:rPr>
        <w:t>，</w:t>
      </w:r>
      <w:r>
        <w:rPr>
          <w:rFonts w:ascii="Arial" w:hAnsi="Arial" w:eastAsia="宋体" w:cs="Arial"/>
          <w:sz w:val="20"/>
          <w:szCs w:val="20"/>
        </w:rPr>
        <w:t>例如，510（k）-</w:t>
      </w:r>
      <w:r>
        <w:rPr>
          <w:rFonts w:ascii="Arial" w:hAnsi="Arial" w:eastAsia="宋体" w:cs="Arial"/>
          <w:color w:val="0000FF"/>
          <w:sz w:val="20"/>
          <w:szCs w:val="20"/>
          <w:u w:val="single"/>
        </w:rPr>
        <w:t>http://www.fda.gov/MedicalDevices/DeviceRegulationandGuidance/HowtoMarketYourDevice/PremarketSubmissio ns/PremarketNotification510k/ucm142651.htm</w:t>
      </w:r>
      <w:r>
        <w:rPr>
          <w:rFonts w:ascii="Arial" w:hAnsi="Arial" w:eastAsia="宋体" w:cs="Arial"/>
          <w:sz w:val="20"/>
          <w:szCs w:val="20"/>
        </w:rPr>
        <w:t>的内容（</w:t>
      </w:r>
      <w:r>
        <w:rPr>
          <w:rFonts w:ascii="Arial" w:hAnsi="Arial" w:eastAsia="宋体" w:cs="Arial"/>
          <w:sz w:val="20"/>
          <w:szCs w:val="20"/>
          <w:lang w:eastAsia="zh-CN"/>
        </w:rPr>
        <w:t>“</w:t>
      </w:r>
      <w:r>
        <w:rPr>
          <w:rFonts w:ascii="Arial" w:hAnsi="Arial" w:eastAsia="宋体" w:cs="Arial"/>
          <w:sz w:val="20"/>
          <w:szCs w:val="20"/>
        </w:rPr>
        <w:t>分类器械的</w:t>
      </w:r>
      <w:r>
        <w:rPr>
          <w:rFonts w:ascii="Arial" w:hAnsi="Arial" w:eastAsia="宋体" w:cs="Arial"/>
          <w:sz w:val="20"/>
          <w:szCs w:val="20"/>
          <w:lang w:eastAsia="zh-CN"/>
        </w:rPr>
        <w:t>附件</w:t>
      </w:r>
      <w:r>
        <w:rPr>
          <w:rFonts w:ascii="Arial" w:hAnsi="Arial" w:eastAsia="宋体" w:cs="Arial"/>
          <w:sz w:val="20"/>
          <w:szCs w:val="20"/>
        </w:rPr>
        <w:t>具有</w:t>
      </w:r>
      <w:r>
        <w:rPr>
          <w:rFonts w:ascii="Arial" w:hAnsi="Arial" w:eastAsia="宋体" w:cs="Arial"/>
          <w:sz w:val="20"/>
          <w:szCs w:val="20"/>
          <w:lang w:eastAsia="zh-CN"/>
        </w:rPr>
        <w:t>与“母体”器械</w:t>
      </w:r>
      <w:r>
        <w:rPr>
          <w:rFonts w:ascii="Arial" w:hAnsi="Arial" w:eastAsia="宋体" w:cs="Arial"/>
          <w:sz w:val="20"/>
          <w:szCs w:val="20"/>
        </w:rPr>
        <w:t>相同的分类</w:t>
      </w:r>
      <w:r>
        <w:rPr>
          <w:rFonts w:ascii="Arial" w:hAnsi="Arial" w:eastAsia="宋体" w:cs="Arial"/>
          <w:sz w:val="20"/>
          <w:szCs w:val="20"/>
          <w:lang w:eastAsia="zh-CN"/>
        </w:rPr>
        <w:t>。接受来自多个器械的输入的软件等附件通常具有带最高风险的“母体”器械的分类，即类别”）；另请参见最终规则，医疗器械，医疗器械数据系统，76 FR 8637 ，8643-8644–16号评论和FDA的回应（2011年2月15日）。</w:t>
      </w:r>
    </w:p>
    <w:p w14:paraId="7882344F">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5203C884">
      <w:pPr>
        <w:pStyle w:val="6"/>
        <w:snapToGrid w:val="0"/>
        <w:spacing w:line="276" w:lineRule="auto"/>
        <w:ind w:left="0" w:firstLine="0"/>
        <w:jc w:val="both"/>
        <w:rPr>
          <w:rFonts w:ascii="Arial" w:hAnsi="Arial" w:eastAsia="宋体" w:cs="Arial"/>
          <w:lang w:eastAsia="zh-CN"/>
        </w:rPr>
      </w:pPr>
      <w:bookmarkStart w:id="8" w:name="Mobile_Application_(Mobile_App)"/>
      <w:bookmarkEnd w:id="8"/>
      <w:bookmarkStart w:id="9" w:name="Mobile_Medical_Application_(Mobile_Medic"/>
      <w:bookmarkEnd w:id="9"/>
      <w:bookmarkStart w:id="10" w:name="Mobile_Platform"/>
      <w:bookmarkEnd w:id="10"/>
      <w:r>
        <w:rPr>
          <w:rFonts w:ascii="Arial" w:hAnsi="Arial" w:eastAsia="宋体" w:cs="Arial"/>
          <w:lang w:eastAsia="zh-CN"/>
        </w:rPr>
        <w:t>与传统医疗器械一样，某些移动医疗应用程序可能对公共卫生构成潜在风险。而且，某些移动医疗应用程序可能会带来运行移动医疗应用程序的平台特性所独有的风险。例如，移动器械上放射影像的解释可能受到移动平台的屏幕尺寸较小、对比度较低以及背景光不受控制等因素的不利影响。FDA打算在评估这些产品的适当监管监督时考虑这些风险。</w:t>
      </w:r>
    </w:p>
    <w:p w14:paraId="744917A0">
      <w:pPr>
        <w:pStyle w:val="6"/>
        <w:snapToGrid w:val="0"/>
        <w:spacing w:line="276" w:lineRule="auto"/>
        <w:ind w:left="0" w:firstLine="0"/>
        <w:jc w:val="both"/>
        <w:rPr>
          <w:rFonts w:ascii="Arial" w:hAnsi="Arial" w:eastAsia="宋体" w:cs="Arial"/>
          <w:lang w:eastAsia="zh-CN"/>
        </w:rPr>
      </w:pPr>
    </w:p>
    <w:p w14:paraId="778CFF08">
      <w:pPr>
        <w:pStyle w:val="6"/>
        <w:snapToGrid w:val="0"/>
        <w:spacing w:line="276" w:lineRule="auto"/>
        <w:ind w:left="0" w:firstLine="0"/>
        <w:jc w:val="both"/>
        <w:rPr>
          <w:rFonts w:ascii="Arial" w:hAnsi="Arial" w:eastAsia="宋体" w:cs="Arial"/>
          <w:lang w:eastAsia="zh-CN"/>
        </w:rPr>
      </w:pPr>
      <w:r>
        <w:rPr>
          <w:rFonts w:hint="eastAsia" w:ascii="Arial" w:hAnsi="Arial" w:eastAsia="宋体" w:cs="Arial"/>
          <w:lang w:eastAsia="zh-CN"/>
        </w:rPr>
        <w:t>本指南说明并概述了</w:t>
      </w:r>
      <w:r>
        <w:rPr>
          <w:rFonts w:ascii="Arial" w:hAnsi="Arial" w:eastAsia="宋体" w:cs="Arial"/>
          <w:lang w:eastAsia="zh-CN"/>
        </w:rPr>
        <w:t>FDA</w:t>
      </w:r>
      <w:r>
        <w:rPr>
          <w:rFonts w:hint="eastAsia" w:ascii="Arial" w:hAnsi="Arial" w:eastAsia="宋体" w:cs="Arial"/>
          <w:lang w:eastAsia="zh-CN"/>
        </w:rPr>
        <w:t>的最新想法。</w:t>
      </w:r>
      <w:r>
        <w:rPr>
          <w:rFonts w:ascii="Arial" w:hAnsi="Arial" w:eastAsia="宋体" w:cs="Arial"/>
          <w:lang w:eastAsia="zh-CN"/>
        </w:rPr>
        <w:t>本审查机构将继续评估这些技术对改善医疗、减少潜在医疗失误和保护患者的潜在影响。</w:t>
      </w:r>
    </w:p>
    <w:p w14:paraId="4D504CB7">
      <w:pPr>
        <w:snapToGrid w:val="0"/>
        <w:spacing w:line="276" w:lineRule="auto"/>
        <w:jc w:val="both"/>
        <w:rPr>
          <w:rFonts w:ascii="Arial" w:hAnsi="Arial" w:eastAsia="宋体" w:cs="Arial"/>
          <w:sz w:val="24"/>
          <w:szCs w:val="24"/>
          <w:lang w:eastAsia="zh-CN"/>
        </w:rPr>
      </w:pPr>
    </w:p>
    <w:p w14:paraId="7398BCA9">
      <w:pPr>
        <w:snapToGrid w:val="0"/>
        <w:spacing w:line="276" w:lineRule="auto"/>
        <w:jc w:val="both"/>
        <w:rPr>
          <w:rFonts w:ascii="Arial" w:hAnsi="Arial" w:eastAsia="宋体" w:cs="Arial"/>
          <w:sz w:val="21"/>
          <w:szCs w:val="21"/>
          <w:lang w:eastAsia="zh-CN"/>
        </w:rPr>
      </w:pPr>
    </w:p>
    <w:p w14:paraId="7C257037">
      <w:pPr>
        <w:pStyle w:val="2"/>
        <w:numPr>
          <w:ilvl w:val="0"/>
          <w:numId w:val="1"/>
        </w:numPr>
        <w:tabs>
          <w:tab w:val="left" w:pos="840"/>
        </w:tabs>
        <w:snapToGrid w:val="0"/>
        <w:spacing w:before="0" w:line="276" w:lineRule="auto"/>
        <w:ind w:left="0" w:firstLine="0"/>
        <w:jc w:val="both"/>
        <w:rPr>
          <w:rFonts w:ascii="Arial" w:hAnsi="Arial" w:eastAsia="宋体" w:cs="Arial"/>
          <w:bCs w:val="0"/>
        </w:rPr>
      </w:pPr>
      <w:bookmarkStart w:id="11" w:name="_Toc481592019"/>
      <w:r>
        <w:rPr>
          <w:rFonts w:ascii="Arial" w:hAnsi="Arial" w:eastAsia="宋体" w:cs="Arial"/>
          <w:bCs w:val="0"/>
          <w:lang w:eastAsia="zh-CN"/>
        </w:rPr>
        <w:t>定义</w:t>
      </w:r>
      <w:bookmarkEnd w:id="11"/>
    </w:p>
    <w:p w14:paraId="28B066C0">
      <w:pPr>
        <w:pStyle w:val="3"/>
        <w:numPr>
          <w:ilvl w:val="0"/>
          <w:numId w:val="2"/>
        </w:numPr>
        <w:tabs>
          <w:tab w:val="left" w:pos="660"/>
        </w:tabs>
        <w:snapToGrid w:val="0"/>
        <w:spacing w:line="276" w:lineRule="auto"/>
        <w:ind w:left="0" w:firstLine="0"/>
        <w:jc w:val="both"/>
        <w:rPr>
          <w:rFonts w:eastAsia="宋体" w:cs="Arial"/>
        </w:rPr>
      </w:pPr>
      <w:bookmarkStart w:id="12" w:name="_Toc481592020"/>
      <w:r>
        <w:rPr>
          <w:rFonts w:eastAsia="宋体" w:cs="Arial"/>
        </w:rPr>
        <w:t>移动平台</w:t>
      </w:r>
      <w:bookmarkEnd w:id="12"/>
    </w:p>
    <w:p w14:paraId="42BD5838">
      <w:pPr>
        <w:snapToGrid w:val="0"/>
        <w:spacing w:line="276" w:lineRule="auto"/>
        <w:jc w:val="both"/>
        <w:rPr>
          <w:rFonts w:ascii="Arial" w:hAnsi="Arial" w:eastAsia="宋体" w:cs="Arial"/>
          <w:b/>
          <w:bCs/>
          <w:i/>
          <w:sz w:val="24"/>
          <w:szCs w:val="24"/>
        </w:rPr>
      </w:pPr>
    </w:p>
    <w:p w14:paraId="050F539E">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就本指南而言，“移动平台”的定义为具有或不具有无线联网能力的商业现货（COTS）计算平台，其中，其本质上属于手持型。这些移动平台的示例包括智能电话、平板计算机或其他便携式计算机等移动计算机。</w:t>
      </w:r>
    </w:p>
    <w:p w14:paraId="7679BEF4">
      <w:pPr>
        <w:snapToGrid w:val="0"/>
        <w:spacing w:line="276" w:lineRule="auto"/>
        <w:jc w:val="both"/>
        <w:rPr>
          <w:rFonts w:ascii="Arial" w:hAnsi="Arial" w:eastAsia="宋体" w:cs="Arial"/>
          <w:sz w:val="24"/>
          <w:szCs w:val="24"/>
          <w:lang w:eastAsia="zh-CN"/>
        </w:rPr>
      </w:pPr>
    </w:p>
    <w:p w14:paraId="0A6DB1B7">
      <w:pPr>
        <w:pStyle w:val="3"/>
        <w:numPr>
          <w:ilvl w:val="0"/>
          <w:numId w:val="2"/>
        </w:numPr>
        <w:tabs>
          <w:tab w:val="left" w:pos="660"/>
        </w:tabs>
        <w:snapToGrid w:val="0"/>
        <w:spacing w:line="276" w:lineRule="auto"/>
        <w:ind w:left="0" w:firstLine="0"/>
        <w:jc w:val="both"/>
        <w:rPr>
          <w:rFonts w:eastAsia="宋体" w:cs="Arial"/>
          <w:b w:val="0"/>
          <w:bCs w:val="0"/>
          <w:i w:val="0"/>
          <w:lang w:eastAsia="zh-CN"/>
        </w:rPr>
      </w:pPr>
      <w:bookmarkStart w:id="13" w:name="_Toc481592021"/>
      <w:r>
        <w:rPr>
          <w:rFonts w:eastAsia="宋体" w:cs="Arial"/>
          <w:lang w:eastAsia="zh-CN"/>
        </w:rPr>
        <w:t>移动应用程序（移动应用）</w:t>
      </w:r>
      <w:bookmarkEnd w:id="13"/>
    </w:p>
    <w:p w14:paraId="13B5ACEC">
      <w:pPr>
        <w:snapToGrid w:val="0"/>
        <w:spacing w:line="276" w:lineRule="auto"/>
        <w:jc w:val="both"/>
        <w:rPr>
          <w:rFonts w:ascii="Arial" w:hAnsi="Arial" w:eastAsia="宋体" w:cs="Arial"/>
          <w:b/>
          <w:bCs/>
          <w:i/>
          <w:sz w:val="23"/>
          <w:szCs w:val="23"/>
          <w:lang w:eastAsia="zh-CN"/>
        </w:rPr>
      </w:pPr>
    </w:p>
    <w:p w14:paraId="164A96AB">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就本指南而言，移动应用程序或“移动应用”的定义为可以在移动平台上执行（运行）的软件应用程序（即，具有或不具有无线联网能力的手持式商用现货计算平台 ）或针对移动平台而定制但在服务器上执行的基于Web的软件应用程序。</w:t>
      </w:r>
    </w:p>
    <w:p w14:paraId="59376A09">
      <w:pPr>
        <w:snapToGrid w:val="0"/>
        <w:spacing w:line="276" w:lineRule="auto"/>
        <w:jc w:val="both"/>
        <w:rPr>
          <w:rFonts w:ascii="Arial" w:hAnsi="Arial" w:eastAsia="宋体" w:cs="Arial"/>
          <w:sz w:val="24"/>
          <w:szCs w:val="24"/>
          <w:lang w:eastAsia="zh-CN"/>
        </w:rPr>
      </w:pPr>
    </w:p>
    <w:p w14:paraId="7DDEBE62">
      <w:pPr>
        <w:pStyle w:val="3"/>
        <w:numPr>
          <w:ilvl w:val="0"/>
          <w:numId w:val="2"/>
        </w:numPr>
        <w:tabs>
          <w:tab w:val="left" w:pos="660"/>
        </w:tabs>
        <w:snapToGrid w:val="0"/>
        <w:spacing w:line="276" w:lineRule="auto"/>
        <w:ind w:left="0" w:firstLine="0"/>
        <w:jc w:val="both"/>
        <w:rPr>
          <w:rFonts w:eastAsia="宋体" w:cs="Arial"/>
          <w:b w:val="0"/>
          <w:bCs w:val="0"/>
          <w:i w:val="0"/>
          <w:lang w:eastAsia="zh-CN"/>
        </w:rPr>
      </w:pPr>
      <w:bookmarkStart w:id="14" w:name="_Toc481592022"/>
      <w:r>
        <w:rPr>
          <w:rFonts w:eastAsia="宋体" w:cs="Arial"/>
          <w:lang w:eastAsia="zh-CN"/>
        </w:rPr>
        <w:t>移动医疗应用程序（移动医疗应用）</w:t>
      </w:r>
      <w:bookmarkEnd w:id="14"/>
    </w:p>
    <w:p w14:paraId="2303EF1C">
      <w:pPr>
        <w:snapToGrid w:val="0"/>
        <w:spacing w:line="276" w:lineRule="auto"/>
        <w:jc w:val="both"/>
        <w:rPr>
          <w:rFonts w:ascii="Arial" w:hAnsi="Arial" w:eastAsia="宋体" w:cs="Arial"/>
          <w:b/>
          <w:bCs/>
          <w:i/>
          <w:sz w:val="24"/>
          <w:szCs w:val="24"/>
          <w:lang w:eastAsia="zh-CN"/>
        </w:rPr>
      </w:pPr>
    </w:p>
    <w:p w14:paraId="27B202CF">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就本指南而言，“移动医疗应用”是符合“联邦食品、药品和化妆品法案（FD＆C法案）”第201（h）节中器械定义的移动应用程序；并且适用于：</w:t>
      </w:r>
    </w:p>
    <w:p w14:paraId="1ACD6371">
      <w:pPr>
        <w:snapToGrid w:val="0"/>
        <w:spacing w:line="276" w:lineRule="auto"/>
        <w:jc w:val="both"/>
        <w:rPr>
          <w:rFonts w:ascii="Arial" w:hAnsi="Arial" w:eastAsia="宋体" w:cs="Arial"/>
          <w:sz w:val="24"/>
          <w:szCs w:val="24"/>
          <w:lang w:eastAsia="zh-CN"/>
        </w:rPr>
      </w:pPr>
    </w:p>
    <w:p w14:paraId="73795277">
      <w:pPr>
        <w:pStyle w:val="19"/>
        <w:numPr>
          <w:ilvl w:val="1"/>
          <w:numId w:val="2"/>
        </w:numPr>
        <w:tabs>
          <w:tab w:val="left" w:pos="840"/>
        </w:tabs>
        <w:snapToGrid w:val="0"/>
        <w:spacing w:line="276" w:lineRule="auto"/>
        <w:ind w:firstLine="0"/>
        <w:jc w:val="both"/>
        <w:rPr>
          <w:rFonts w:ascii="Arial" w:hAnsi="Arial" w:eastAsia="宋体" w:cs="Arial"/>
          <w:sz w:val="24"/>
          <w:szCs w:val="24"/>
          <w:lang w:eastAsia="zh-CN"/>
        </w:rPr>
      </w:pPr>
      <w:r>
        <w:rPr>
          <w:rFonts w:ascii="Arial" w:hAnsi="Arial" w:eastAsia="宋体" w:cs="Arial"/>
          <w:sz w:val="24"/>
          <w:szCs w:val="24"/>
          <w:lang w:eastAsia="zh-CN"/>
        </w:rPr>
        <w:t>用作受监管医疗器械的附件；或</w:t>
      </w:r>
    </w:p>
    <w:p w14:paraId="247A017D">
      <w:pPr>
        <w:pStyle w:val="19"/>
        <w:numPr>
          <w:ilvl w:val="1"/>
          <w:numId w:val="2"/>
        </w:numPr>
        <w:tabs>
          <w:tab w:val="left" w:pos="840"/>
        </w:tabs>
        <w:snapToGrid w:val="0"/>
        <w:spacing w:line="276" w:lineRule="auto"/>
        <w:ind w:firstLine="0"/>
        <w:jc w:val="both"/>
        <w:rPr>
          <w:rFonts w:ascii="Arial" w:hAnsi="Arial" w:eastAsia="宋体" w:cs="Arial"/>
          <w:sz w:val="24"/>
          <w:szCs w:val="24"/>
          <w:lang w:eastAsia="zh-CN"/>
        </w:rPr>
      </w:pPr>
      <w:r>
        <w:rPr>
          <w:rFonts w:ascii="Arial" w:hAnsi="Arial" w:eastAsia="宋体" w:cs="Arial"/>
          <w:sz w:val="24"/>
          <w:szCs w:val="24"/>
          <w:lang w:eastAsia="zh-CN"/>
        </w:rPr>
        <w:t>将移动平台转换为受监管的医疗器械。</w:t>
      </w:r>
    </w:p>
    <w:p w14:paraId="092C0C8E">
      <w:pPr>
        <w:snapToGrid w:val="0"/>
        <w:spacing w:line="276" w:lineRule="auto"/>
        <w:jc w:val="both"/>
        <w:rPr>
          <w:rFonts w:ascii="Arial" w:hAnsi="Arial" w:eastAsia="宋体" w:cs="Arial"/>
          <w:sz w:val="20"/>
          <w:szCs w:val="20"/>
          <w:lang w:eastAsia="zh-CN"/>
        </w:rPr>
      </w:pPr>
    </w:p>
    <w:p w14:paraId="5EB8D431">
      <w:pPr>
        <w:snapToGrid w:val="0"/>
        <w:spacing w:line="276" w:lineRule="auto"/>
        <w:jc w:val="both"/>
        <w:rPr>
          <w:rFonts w:ascii="Arial" w:hAnsi="Arial" w:eastAsia="宋体" w:cs="Arial"/>
          <w:sz w:val="25"/>
          <w:szCs w:val="25"/>
          <w:lang w:eastAsia="zh-CN"/>
        </w:rPr>
      </w:pPr>
    </w:p>
    <w:p w14:paraId="776E06D6">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59" name="Group 6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0" name="Group 65"/>
                        <wpg:cNvGrpSpPr/>
                        <wpg:grpSpPr>
                          <a:xfrm>
                            <a:off x="6" y="6"/>
                            <a:ext cx="2880" cy="2"/>
                            <a:chOff x="6" y="6"/>
                            <a:chExt cx="2880" cy="2"/>
                          </a:xfrm>
                        </wpg:grpSpPr>
                        <wps:wsp>
                          <wps:cNvPr id="61" name="Freeform 6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Dxcf+jHQMAAP4HAAAOAAAAAAAAAAEAIAAAACMBAABkcnMvZTJv&#10;RG9jLnhtbFBLBQYAAAAABgAGAFkBAACyBgAAAAA=&#10;">
                <o:lock v:ext="edit" aspectratio="f"/>
                <v:group id="Group 65" o:spid="_x0000_s1026" o:spt="203" style="position:absolute;left:6;top:6;height:2;width:2880;" coordorigin="6,6" coordsize="2880,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Freeform 66" o:spid="_x0000_s1026" o:spt="100" style="position:absolute;left:6;top:6;height:2;width:2880;" filled="f" stroked="t" coordsize="2880,1" o:gfxdata="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DVJ27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CEF2B02">
      <w:pPr>
        <w:snapToGrid w:val="0"/>
        <w:spacing w:line="276" w:lineRule="auto"/>
        <w:jc w:val="both"/>
        <w:rPr>
          <w:rFonts w:ascii="Arial" w:hAnsi="Arial" w:eastAsia="宋体" w:cs="Arial"/>
          <w:sz w:val="20"/>
          <w:szCs w:val="20"/>
          <w:lang w:eastAsia="zh-CN"/>
        </w:rPr>
      </w:pPr>
      <w:r>
        <w:rPr>
          <w:rFonts w:ascii="Arial" w:hAnsi="Arial" w:eastAsia="宋体" w:cs="Arial"/>
          <w:position w:val="11"/>
          <w:sz w:val="16"/>
          <w:szCs w:val="16"/>
          <w:lang w:eastAsia="zh-CN"/>
        </w:rPr>
        <w:t>4</w:t>
      </w:r>
      <w:r>
        <w:rPr>
          <w:rFonts w:ascii="Arial" w:hAnsi="Arial" w:eastAsia="宋体" w:cs="Arial"/>
          <w:sz w:val="20"/>
          <w:szCs w:val="20"/>
          <w:lang w:eastAsia="zh-CN"/>
        </w:rPr>
        <w:t>当使用计算机和/或软件组件或应用程序构建或由其组成的产品符合FD＆C法案第201（h）节中的器械定义时，其将被视为器械并受法规约束。该条例将器械定义为“...工具、设备、器具、机器、装置 、植入物、体外试剂或其他类似或相关制品、包括任何组件、部件或附件”，其中，其“...旨在用于诊断人类中的疾病或其他病症，或用于治愈、缓解、治疗或预防人类中的疾病...“或”...旨在影响人体或其他动物身体的结构或任何功能...“因此，如果要用于诊断或治愈、缓解、治疗或预防疾病，或影响人体结构或任何功能，在台式计算机、笔记本电脑、远程网站或“云端”或手持式计算机上运行的软件应用程序应受器械法规约束。确保安全性和有效性所必需的监管控制水平取决于器械对公共卫生的风险。（有关示例，请参见附录D）。</w:t>
      </w:r>
    </w:p>
    <w:p w14:paraId="5919FB7D">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4C0F69C9">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移动应用程序的预期用途决定了其是否符合“器械”的定义。如21 CFR 801.4中所述，</w:t>
      </w:r>
      <w:r>
        <w:rPr>
          <w:rFonts w:ascii="Arial" w:hAnsi="Arial" w:eastAsia="宋体" w:cs="Arial"/>
          <w:vertAlign w:val="superscript"/>
          <w:lang w:eastAsia="zh-CN"/>
        </w:rPr>
        <w:t>5</w:t>
      </w:r>
      <w:r>
        <w:rPr>
          <w:rFonts w:ascii="Arial" w:hAnsi="Arial" w:eastAsia="宋体" w:cs="Arial"/>
          <w:lang w:eastAsia="zh-CN"/>
        </w:rPr>
        <w:t>预期用途可以通过贴标</w:t>
      </w:r>
      <w:r>
        <w:rPr>
          <w:rFonts w:ascii="Arial" w:hAnsi="Arial" w:eastAsia="宋体" w:cs="Arial"/>
          <w:vertAlign w:val="superscript"/>
          <w:lang w:eastAsia="zh-CN"/>
        </w:rPr>
        <w:t>6</w:t>
      </w:r>
      <w:r>
        <w:rPr>
          <w:rFonts w:ascii="Arial" w:hAnsi="Arial" w:eastAsia="宋体" w:cs="Arial"/>
          <w:lang w:eastAsia="zh-CN"/>
        </w:rPr>
        <w:t>声明、广告材料或制造商或其代表的口头或书面声明来显示。当移动应用程序的预期用途是用于诊断疾病或其他病症，或治愈、缓解、治疗或预防疾病，或旨在影响人体结构或任何功能时，移动应用程序是一种器械。</w:t>
      </w:r>
    </w:p>
    <w:p w14:paraId="4C90CFF6">
      <w:pPr>
        <w:snapToGrid w:val="0"/>
        <w:spacing w:before="2" w:line="300" w:lineRule="auto"/>
        <w:jc w:val="both"/>
        <w:rPr>
          <w:rFonts w:ascii="Arial" w:hAnsi="Arial" w:eastAsia="宋体" w:cs="Arial"/>
          <w:sz w:val="24"/>
          <w:szCs w:val="24"/>
          <w:lang w:eastAsia="zh-CN"/>
        </w:rPr>
      </w:pPr>
    </w:p>
    <w:p w14:paraId="34DD7B9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一个示例是使发光二极管（LED）工作的移动应用程序。如果制造商拟将系统用于对对象进行常规照明（即，没有特定医疗器械的预期用途），移动应用程序将不被视为医疗器械。然而，如果通过上市、标签和销售环境，移动应用程序由制造商推广，以用作医生检查患者的光源，则光源的预期用途将类似于传统器械，如检眼镜。</w:t>
      </w:r>
    </w:p>
    <w:p w14:paraId="4874521D">
      <w:pPr>
        <w:snapToGrid w:val="0"/>
        <w:spacing w:before="2" w:line="300" w:lineRule="auto"/>
        <w:jc w:val="both"/>
        <w:rPr>
          <w:rFonts w:ascii="Arial" w:hAnsi="Arial" w:eastAsia="宋体" w:cs="Arial"/>
          <w:sz w:val="24"/>
          <w:szCs w:val="24"/>
          <w:lang w:eastAsia="zh-CN"/>
        </w:rPr>
      </w:pPr>
    </w:p>
    <w:p w14:paraId="102D5CC1">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一般来说，如果移动应用程序旨在用于执行医疗器械功能（即诊断疾病或其他病症，或治愈、缓解、治疗或预防疾病），无论其运行的平台如何，其都是一种医疗器械。例如，旨在运行于智能手机上以用于分析和解释EKG波形，检测心脏功能不规则的移动应用程序将被视为类似于运行于台式计算机上并具有相同功能而且受21CFR 870.2340监管的软件（“心电图仪”）。FDA对移动应用程序的监督方法侧重于其功能，就像我们侧重于常规器械的功能一样。我们的监督并不由平台决定。根据本指南，FDA不会监管智能手机或平板电脑的销售或常规/传统消费者使用。FDA的监督适用于执行医疗器械功能的移动应用，例如移动医疗应用将移动平台转换为医疗器械时。然而，如前所述，我们打算仅将这一监督权限应用于那些移动应用，即如果移动应用不能按预期的方式运行，则其功能可能会对患者的安全造成风险。</w:t>
      </w:r>
    </w:p>
    <w:p w14:paraId="0E5B1549">
      <w:pPr>
        <w:snapToGrid w:val="0"/>
        <w:spacing w:line="300" w:lineRule="auto"/>
        <w:jc w:val="both"/>
        <w:rPr>
          <w:rFonts w:ascii="Arial" w:hAnsi="Arial" w:eastAsia="宋体" w:cs="Arial"/>
          <w:sz w:val="20"/>
          <w:szCs w:val="20"/>
          <w:lang w:eastAsia="zh-CN"/>
        </w:rPr>
      </w:pPr>
    </w:p>
    <w:p w14:paraId="74C79253">
      <w:pPr>
        <w:snapToGrid w:val="0"/>
        <w:spacing w:line="300" w:lineRule="auto"/>
        <w:jc w:val="both"/>
        <w:rPr>
          <w:rFonts w:ascii="Arial" w:hAnsi="Arial" w:eastAsia="宋体" w:cs="Arial"/>
          <w:sz w:val="20"/>
          <w:szCs w:val="20"/>
          <w:lang w:eastAsia="zh-CN"/>
        </w:rPr>
      </w:pPr>
    </w:p>
    <w:p w14:paraId="3AD19993">
      <w:pPr>
        <w:snapToGrid w:val="0"/>
        <w:spacing w:line="300" w:lineRule="auto"/>
        <w:jc w:val="both"/>
        <w:rPr>
          <w:rFonts w:ascii="Arial" w:hAnsi="Arial" w:eastAsia="宋体" w:cs="Arial"/>
          <w:sz w:val="20"/>
          <w:szCs w:val="20"/>
          <w:lang w:eastAsia="zh-CN"/>
        </w:rPr>
      </w:pPr>
    </w:p>
    <w:p w14:paraId="5CD326C2">
      <w:pPr>
        <w:snapToGrid w:val="0"/>
        <w:spacing w:line="300" w:lineRule="auto"/>
        <w:jc w:val="both"/>
        <w:rPr>
          <w:rFonts w:ascii="Arial" w:hAnsi="Arial" w:eastAsia="宋体" w:cs="Arial"/>
          <w:sz w:val="20"/>
          <w:szCs w:val="20"/>
          <w:lang w:eastAsia="zh-CN"/>
        </w:rPr>
      </w:pPr>
    </w:p>
    <w:p w14:paraId="6DC41DB3">
      <w:pPr>
        <w:snapToGrid w:val="0"/>
        <w:spacing w:line="300" w:lineRule="auto"/>
        <w:jc w:val="both"/>
        <w:rPr>
          <w:rFonts w:ascii="Arial" w:hAnsi="Arial" w:eastAsia="宋体" w:cs="Arial"/>
          <w:sz w:val="20"/>
          <w:szCs w:val="20"/>
          <w:lang w:eastAsia="zh-CN"/>
        </w:rPr>
      </w:pPr>
    </w:p>
    <w:p w14:paraId="645A0D67">
      <w:pPr>
        <w:snapToGrid w:val="0"/>
        <w:spacing w:line="300" w:lineRule="auto"/>
        <w:jc w:val="both"/>
        <w:rPr>
          <w:rFonts w:ascii="Arial" w:hAnsi="Arial" w:eastAsia="宋体" w:cs="Arial"/>
          <w:sz w:val="20"/>
          <w:szCs w:val="20"/>
          <w:lang w:eastAsia="zh-CN"/>
        </w:rPr>
      </w:pPr>
    </w:p>
    <w:p w14:paraId="2A98FE42">
      <w:pPr>
        <w:snapToGrid w:val="0"/>
        <w:spacing w:line="300" w:lineRule="auto"/>
        <w:jc w:val="both"/>
        <w:rPr>
          <w:rFonts w:ascii="Arial" w:hAnsi="Arial" w:eastAsia="宋体" w:cs="Arial"/>
          <w:sz w:val="20"/>
          <w:szCs w:val="20"/>
          <w:lang w:eastAsia="zh-CN"/>
        </w:rPr>
      </w:pPr>
    </w:p>
    <w:p w14:paraId="47620C0B">
      <w:pPr>
        <w:snapToGrid w:val="0"/>
        <w:spacing w:line="300" w:lineRule="auto"/>
        <w:jc w:val="both"/>
        <w:rPr>
          <w:rFonts w:ascii="Arial" w:hAnsi="Arial" w:eastAsia="宋体" w:cs="Arial"/>
          <w:sz w:val="20"/>
          <w:szCs w:val="20"/>
          <w:lang w:eastAsia="zh-CN"/>
        </w:rPr>
      </w:pPr>
    </w:p>
    <w:p w14:paraId="36AC0C11">
      <w:pPr>
        <w:snapToGrid w:val="0"/>
        <w:spacing w:before="6" w:line="300" w:lineRule="auto"/>
        <w:jc w:val="both"/>
        <w:rPr>
          <w:rFonts w:ascii="Arial" w:hAnsi="Arial" w:eastAsia="宋体" w:cs="Arial"/>
          <w:sz w:val="11"/>
          <w:szCs w:val="11"/>
          <w:lang w:eastAsia="zh-CN"/>
        </w:rPr>
      </w:pPr>
    </w:p>
    <w:p w14:paraId="352E295D">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56" name="Group 6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7" name="Group 62"/>
                        <wpg:cNvGrpSpPr/>
                        <wpg:grpSpPr>
                          <a:xfrm>
                            <a:off x="6" y="6"/>
                            <a:ext cx="2880" cy="2"/>
                            <a:chOff x="6" y="6"/>
                            <a:chExt cx="2880" cy="2"/>
                          </a:xfrm>
                        </wpg:grpSpPr>
                        <wps:wsp>
                          <wps:cNvPr id="58" name="Freeform 6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6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Hqip+hsDAAD+BwAADgAAAAAAAAABACAAAAAjAQAAZHJzL2Uyb0Rv&#10;Yy54bWxQSwUGAAAAAAYABgBZAQAAsAYAAAAA&#10;">
                <o:lock v:ext="edit" aspectratio="f"/>
                <v:group id="Group 62" o:spid="_x0000_s1026" o:spt="203" style="position:absolute;left:6;top:6;height:2;width:2880;" coordorigin="6,6" coordsize="2880,2"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Freeform 63" o:spid="_x0000_s1026" o:spt="100" style="position:absolute;left:6;top:6;height:2;width:2880;" filled="f" stroked="t" coordsize="2880,1" o:gfxdata="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Yyr7ugAAANsA&#10;AAAPAAAAAAAAAAEAIAAAACIAAABkcnMvZG93bnJldi54bWxQSwECFAAUAAAACACHTuJAMy8FnjsA&#10;AAA5AAAAEAAAAAAAAAABACAAAAAJAQAAZHJzL3NoYXBleG1sLnhtbFBLBQYAAAAABgAGAFsBAACz&#10;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322E4E9">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szCs w:val="13"/>
          <w:lang w:eastAsia="zh-CN"/>
        </w:rPr>
        <w:t>5</w:t>
      </w:r>
      <w:r>
        <w:rPr>
          <w:rFonts w:ascii="Arial" w:hAnsi="Arial" w:eastAsia="宋体" w:cs="Arial"/>
          <w:sz w:val="20"/>
          <w:szCs w:val="20"/>
          <w:lang w:eastAsia="zh-CN"/>
        </w:rPr>
        <w:t>词语“预期用途”或具有类似含义的词语是指对器械标签合法负责的人员的客观意图。意图由此类人员的表达决定，或者可以通过销售该制品的环境来表明。例如，可以通过此类人员或其代表的说明、广告事宜或口头或书面声明来显示这一客观意图。在这种情况下，可以看出，根据此类人员或其代表的认识，该制品的提供和使用目的与其标记或刊登的目的均不一致。某一制品的预期用途可能会在其制造商将其引入州际贸易之后发生变化。例如，如果包装人员、分销商或卖方打算将制品用于不同于向其交付器械的人员的预期用途的用途，则此类包装人员、分销商或卖方需要根据新的预期用途提供适当标签。但是，如果制造商知晓或了解其所引入州际商业的器械用于不同于其提供器械时的病症、目的或用途，则其需为符合投入该制品其他用途的这种器械提供适当标签。21 CFR 801.4。</w:t>
      </w:r>
    </w:p>
    <w:p w14:paraId="7B0AE015">
      <w:pPr>
        <w:snapToGrid w:val="0"/>
        <w:spacing w:before="8" w:line="300" w:lineRule="auto"/>
        <w:jc w:val="both"/>
        <w:rPr>
          <w:rFonts w:ascii="Arial" w:hAnsi="Arial" w:eastAsia="宋体" w:cs="Arial"/>
          <w:sz w:val="17"/>
          <w:szCs w:val="17"/>
          <w:lang w:eastAsia="zh-CN"/>
        </w:rPr>
      </w:pPr>
    </w:p>
    <w:p w14:paraId="42642799">
      <w:pPr>
        <w:snapToGrid w:val="0"/>
        <w:spacing w:line="300" w:lineRule="auto"/>
        <w:jc w:val="both"/>
        <w:rPr>
          <w:rFonts w:ascii="Arial" w:hAnsi="Arial" w:eastAsia="宋体" w:cs="Arial"/>
          <w:sz w:val="20"/>
          <w:szCs w:val="20"/>
        </w:rPr>
      </w:pPr>
      <w:r>
        <w:rPr>
          <w:rFonts w:ascii="Arial" w:hAnsi="Arial" w:eastAsia="宋体" w:cs="Arial"/>
          <w:position w:val="9"/>
          <w:sz w:val="13"/>
          <w:szCs w:val="13"/>
          <w:lang w:eastAsia="zh-CN"/>
        </w:rPr>
        <w:t>6</w:t>
      </w:r>
      <w:r>
        <w:rPr>
          <w:rFonts w:ascii="Arial" w:hAnsi="Arial" w:eastAsia="宋体" w:cs="Arial"/>
          <w:sz w:val="20"/>
          <w:szCs w:val="20"/>
          <w:lang w:eastAsia="zh-CN"/>
        </w:rPr>
        <w:t xml:space="preserve"> “术语”标签“是指所有标签以及（1）任何制品或其任何容器或包装纸上的或（2）附于该制品上的其他书面、印刷或图形事项。”FD＆C法案第201（m）节，21 USC 321（m）。</w:t>
      </w:r>
    </w:p>
    <w:p w14:paraId="296EE182">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44287435">
      <w:pPr>
        <w:pStyle w:val="3"/>
        <w:numPr>
          <w:ilvl w:val="0"/>
          <w:numId w:val="2"/>
        </w:numPr>
        <w:tabs>
          <w:tab w:val="left" w:pos="660"/>
        </w:tabs>
        <w:snapToGrid w:val="0"/>
        <w:spacing w:line="300" w:lineRule="auto"/>
        <w:ind w:left="0" w:firstLine="0"/>
        <w:jc w:val="both"/>
        <w:rPr>
          <w:rFonts w:eastAsia="宋体" w:cs="Arial"/>
          <w:lang w:eastAsia="zh-CN"/>
        </w:rPr>
      </w:pPr>
      <w:bookmarkStart w:id="15" w:name="Regulated_Medical_Device"/>
      <w:bookmarkEnd w:id="15"/>
      <w:bookmarkStart w:id="16" w:name="Mobile_Medical_App_Manufacturer"/>
      <w:bookmarkEnd w:id="16"/>
      <w:bookmarkStart w:id="17" w:name="_Toc481592023"/>
      <w:r>
        <w:rPr>
          <w:rFonts w:eastAsia="宋体" w:cs="Arial"/>
          <w:lang w:eastAsia="zh-CN"/>
        </w:rPr>
        <w:t>受监管的医疗器械</w:t>
      </w:r>
      <w:bookmarkEnd w:id="17"/>
    </w:p>
    <w:p w14:paraId="06BA45A5">
      <w:pPr>
        <w:snapToGrid w:val="0"/>
        <w:spacing w:line="300" w:lineRule="auto"/>
        <w:jc w:val="both"/>
        <w:rPr>
          <w:rFonts w:ascii="Arial" w:hAnsi="Arial" w:eastAsia="宋体" w:cs="Arial"/>
          <w:b/>
          <w:bCs/>
          <w:i/>
          <w:sz w:val="23"/>
          <w:szCs w:val="23"/>
        </w:rPr>
      </w:pPr>
    </w:p>
    <w:p w14:paraId="64029D18">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就本指南而言，“受监管的医疗器械”的定义为满足FD＆C法案第201（h）节中器械定义，并已通过FDA对上市前提交材料的审查获得批准或许可或以由FDA以其他方式分类的产品。</w:t>
      </w:r>
    </w:p>
    <w:p w14:paraId="69BC21E4">
      <w:pPr>
        <w:pStyle w:val="6"/>
        <w:snapToGrid w:val="0"/>
        <w:spacing w:line="300" w:lineRule="auto"/>
        <w:ind w:left="0" w:firstLine="0"/>
        <w:jc w:val="both"/>
        <w:rPr>
          <w:rFonts w:ascii="Arial" w:hAnsi="Arial" w:eastAsia="宋体" w:cs="Arial"/>
          <w:lang w:eastAsia="zh-CN"/>
        </w:rPr>
      </w:pPr>
    </w:p>
    <w:p w14:paraId="06B10130">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该定义可以包括FDA将通过审查上市前提交材料来许可或批准或以其他方式分类的新型器械，无论其是否在移动平台上运行。受监管医疗器械的示例见附录D。</w:t>
      </w:r>
    </w:p>
    <w:p w14:paraId="4230681F">
      <w:pPr>
        <w:snapToGrid w:val="0"/>
        <w:spacing w:line="300" w:lineRule="auto"/>
        <w:jc w:val="both"/>
        <w:rPr>
          <w:rFonts w:ascii="Arial" w:hAnsi="Arial" w:eastAsia="宋体" w:cs="Arial"/>
          <w:sz w:val="24"/>
          <w:szCs w:val="24"/>
          <w:lang w:eastAsia="zh-CN"/>
        </w:rPr>
      </w:pPr>
    </w:p>
    <w:p w14:paraId="058D5E5B">
      <w:pPr>
        <w:pStyle w:val="3"/>
        <w:numPr>
          <w:ilvl w:val="0"/>
          <w:numId w:val="2"/>
        </w:numPr>
        <w:tabs>
          <w:tab w:val="left" w:pos="660"/>
        </w:tabs>
        <w:snapToGrid w:val="0"/>
        <w:spacing w:line="300" w:lineRule="auto"/>
        <w:ind w:left="0" w:firstLine="0"/>
        <w:jc w:val="both"/>
        <w:rPr>
          <w:rFonts w:eastAsia="宋体" w:cs="Arial"/>
          <w:lang w:eastAsia="zh-CN"/>
        </w:rPr>
      </w:pPr>
      <w:bookmarkStart w:id="18" w:name="_Toc481592024"/>
      <w:r>
        <w:rPr>
          <w:rFonts w:eastAsia="宋体" w:cs="Arial"/>
          <w:lang w:eastAsia="zh-CN"/>
        </w:rPr>
        <w:t>移动医疗应用制造商</w:t>
      </w:r>
      <w:bookmarkEnd w:id="18"/>
    </w:p>
    <w:p w14:paraId="4D71E0CA">
      <w:pPr>
        <w:snapToGrid w:val="0"/>
        <w:spacing w:line="300" w:lineRule="auto"/>
        <w:jc w:val="both"/>
        <w:rPr>
          <w:rFonts w:ascii="Arial" w:hAnsi="Arial" w:eastAsia="宋体" w:cs="Arial"/>
          <w:b/>
          <w:bCs/>
          <w:i/>
          <w:sz w:val="29"/>
          <w:szCs w:val="29"/>
          <w:lang w:eastAsia="zh-CN"/>
        </w:rPr>
      </w:pPr>
    </w:p>
    <w:p w14:paraId="4600A581">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就本指南而言，“移动医疗应用制造商”是制造移动医疗应用并符合21 CFR第803、806、807和820.7部分中的制造商定义的任何人员或实体。</w:t>
      </w:r>
      <w:r>
        <w:fldChar w:fldCharType="begin"/>
      </w:r>
      <w:r>
        <w:instrText xml:space="preserve"> HYPERLINK \l "_bookmark14" </w:instrText>
      </w:r>
      <w:r>
        <w:fldChar w:fldCharType="separate"/>
      </w:r>
      <w:r>
        <w:rPr>
          <w:rFonts w:ascii="Arial" w:hAnsi="Arial" w:eastAsia="宋体" w:cs="Arial"/>
          <w:position w:val="11"/>
          <w:sz w:val="16"/>
          <w:szCs w:val="16"/>
          <w:lang w:eastAsia="zh-CN"/>
        </w:rPr>
        <w:t>7</w:t>
      </w:r>
      <w:r>
        <w:rPr>
          <w:rFonts w:ascii="Arial" w:hAnsi="Arial" w:eastAsia="宋体" w:cs="Arial"/>
          <w:position w:val="11"/>
          <w:sz w:val="16"/>
          <w:szCs w:val="16"/>
          <w:lang w:eastAsia="zh-CN"/>
        </w:rPr>
        <w:fldChar w:fldCharType="end"/>
      </w:r>
      <w:r>
        <w:rPr>
          <w:rFonts w:ascii="Arial" w:hAnsi="Arial" w:eastAsia="宋体" w:cs="Arial"/>
          <w:lang w:eastAsia="zh-CN"/>
        </w:rPr>
        <w:t>移动医疗应用制造商可以包括对整个或多个软件组件中的受监管医疗器械启动规范、设计、标签或创建软件系统或应用的任何人员。该术语不包括在未参加制造功能的情况下专门销售移动医疗应用的人员；此类分销商的示例可能包括“Google Play”、“iTunes App Store”和“BlackBerry App World”的所有者和运营商。移动医疗应用制造商的示例包括以下任何人员或实体：</w:t>
      </w:r>
    </w:p>
    <w:p w14:paraId="688AB376">
      <w:pPr>
        <w:snapToGrid w:val="0"/>
        <w:spacing w:line="300" w:lineRule="auto"/>
        <w:jc w:val="both"/>
        <w:rPr>
          <w:rFonts w:ascii="Arial" w:hAnsi="Arial" w:eastAsia="宋体" w:cs="Arial"/>
          <w:sz w:val="23"/>
          <w:szCs w:val="23"/>
          <w:lang w:eastAsia="zh-CN"/>
        </w:rPr>
      </w:pPr>
    </w:p>
    <w:p w14:paraId="2EAFD367">
      <w:pPr>
        <w:pStyle w:val="19"/>
        <w:numPr>
          <w:ilvl w:val="1"/>
          <w:numId w:val="2"/>
        </w:numPr>
        <w:snapToGrid w:val="0"/>
        <w:spacing w:line="300" w:lineRule="auto"/>
        <w:ind w:left="1004" w:leftChars="305" w:hanging="333" w:hangingChars="139"/>
        <w:jc w:val="both"/>
        <w:rPr>
          <w:rFonts w:ascii="Arial" w:hAnsi="Arial" w:eastAsia="宋体" w:cs="Arial"/>
          <w:sz w:val="24"/>
          <w:lang w:eastAsia="zh-CN"/>
        </w:rPr>
      </w:pPr>
      <w:r>
        <w:rPr>
          <w:rFonts w:ascii="Arial" w:hAnsi="Arial" w:eastAsia="宋体" w:cs="Arial"/>
          <w:sz w:val="24"/>
          <w:lang w:eastAsia="zh-CN"/>
        </w:rPr>
        <w:t>从多个组件创建、设计、开发、标记、再标记、再制造、修改或创建移动医疗应用软件系统。这可能包括通过使用商业现货（COTS）软件组件创建移动医疗应用并将该产品上市以用作移动医疗应用的人员或实体；</w:t>
      </w:r>
    </w:p>
    <w:p w14:paraId="51BFA987">
      <w:pPr>
        <w:pStyle w:val="19"/>
        <w:numPr>
          <w:ilvl w:val="1"/>
          <w:numId w:val="2"/>
        </w:numPr>
        <w:snapToGrid w:val="0"/>
        <w:spacing w:line="300" w:lineRule="auto"/>
        <w:ind w:left="1004" w:leftChars="305" w:hanging="333" w:hangingChars="139"/>
        <w:jc w:val="both"/>
        <w:rPr>
          <w:rFonts w:ascii="Arial" w:hAnsi="Arial" w:eastAsia="宋体" w:cs="Arial"/>
          <w:sz w:val="24"/>
          <w:lang w:eastAsia="zh-CN"/>
        </w:rPr>
      </w:pPr>
      <w:r>
        <w:rPr>
          <w:rFonts w:ascii="Arial" w:hAnsi="Arial" w:eastAsia="宋体" w:cs="Arial"/>
          <w:sz w:val="24"/>
          <w:lang w:eastAsia="zh-CN"/>
        </w:rPr>
        <w:t>启动移动医疗应用的规格或要求，或从其他个人或实体（第二方）采购产品开发/制造服务，以用于后续商业销售。例如，根据21 CFR 803.3，当“开发人员”（即，提供工程、设计和开发服务的实体）根据由“作者”启动的规格创建移动医疗应用程序时，启动并开发了该移动医疗应用规格的“作者”被视为该移动医疗应用的“制造商”。就本指南而言，移动医疗应用制造商将包括作为移动医疗应用的最初构想（初始规格）创建者的人员或实体，除非另有实体承担制造和销售移动医疗应用的所有责任，在这种情况下，其他实体将成为“制造商”。</w:t>
      </w:r>
      <w:r>
        <w:rPr>
          <w:rFonts w:ascii="Arial" w:hAnsi="Arial" w:eastAsia="宋体" w:cs="Arial"/>
          <w:sz w:val="24"/>
          <w:vertAlign w:val="superscript"/>
          <w:lang w:eastAsia="zh-CN"/>
        </w:rPr>
        <w:t>8</w:t>
      </w:r>
      <w:r>
        <w:rPr>
          <w:rFonts w:ascii="Arial" w:hAnsi="Arial" w:eastAsia="宋体" w:cs="Arial"/>
          <w:sz w:val="24"/>
          <w:lang w:eastAsia="zh-CN"/>
        </w:rPr>
        <w:t>仅负责进行设计和开发活动以将作者的规格转换为移动医疗应用的移动医疗应用的软件“开发人员”不会被视为制造商，而须将作者视为制造商；</w:t>
      </w:r>
    </w:p>
    <w:p w14:paraId="6DECAC1F">
      <w:pPr>
        <w:snapToGrid w:val="0"/>
        <w:spacing w:line="300" w:lineRule="auto"/>
        <w:jc w:val="both"/>
        <w:rPr>
          <w:rFonts w:ascii="Arial" w:hAnsi="Arial" w:eastAsia="宋体" w:cs="Arial"/>
          <w:sz w:val="16"/>
          <w:szCs w:val="16"/>
          <w:lang w:eastAsia="zh-CN"/>
        </w:rPr>
      </w:pPr>
    </w:p>
    <w:p w14:paraId="4602A86A">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53" name="Group 5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4" name="Group 59"/>
                        <wpg:cNvGrpSpPr/>
                        <wpg:grpSpPr>
                          <a:xfrm>
                            <a:off x="6" y="6"/>
                            <a:ext cx="2880" cy="2"/>
                            <a:chOff x="6" y="6"/>
                            <a:chExt cx="2880" cy="2"/>
                          </a:xfrm>
                        </wpg:grpSpPr>
                        <wps:wsp>
                          <wps:cNvPr id="55" name="Freeform 6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ey7aExsDAAD+BwAADgAAAAAAAAABACAAAAAjAQAAZHJzL2Uyb0Rv&#10;Yy54bWxQSwUGAAAAAAYABgBZAQAAsAYAAAAA&#10;">
                <o:lock v:ext="edit" aspectratio="f"/>
                <v:group id="Group 59" o:spid="_x0000_s1026" o:spt="203" style="position:absolute;left:6;top:6;height:2;width:2880;" coordorigin="6,6" coordsize="2880,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Freeform 60" o:spid="_x0000_s1026" o:spt="100" style="position:absolute;left:6;top:6;height:2;width:2880;" filled="f" stroked="t" coordsize="2880,1" o:gfxdata="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YoVl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1E595FB">
      <w:pPr>
        <w:snapToGrid w:val="0"/>
        <w:spacing w:line="300" w:lineRule="auto"/>
        <w:ind w:left="119"/>
        <w:jc w:val="both"/>
        <w:rPr>
          <w:rFonts w:ascii="Arial" w:hAnsi="Arial" w:eastAsia="宋体" w:cs="Arial"/>
          <w:sz w:val="20"/>
          <w:szCs w:val="20"/>
          <w:lang w:eastAsia="zh-CN"/>
        </w:rPr>
      </w:pPr>
      <w:r>
        <w:rPr>
          <w:rFonts w:ascii="Arial" w:hAnsi="Arial" w:eastAsia="宋体" w:cs="Arial"/>
          <w:position w:val="9"/>
          <w:sz w:val="13"/>
          <w:szCs w:val="13"/>
          <w:lang w:eastAsia="zh-CN"/>
        </w:rPr>
        <w:t>7</w:t>
      </w:r>
      <w:r>
        <w:rPr>
          <w:rFonts w:ascii="Arial" w:hAnsi="Arial" w:eastAsia="宋体" w:cs="Arial"/>
          <w:sz w:val="20"/>
          <w:szCs w:val="20"/>
          <w:lang w:eastAsia="zh-CN"/>
        </w:rPr>
        <w:t>术语“制造商”或“制造”的法规定义出现在21 CFR第803、806、807和820中。例如-根据FDA的21 CFR 807.3（d）-器械的制造商和初始进口商的机构注册和器械清单- “器械的制造、制备、量产、组合、组装或加工”是指通过化学、物理、生物或其他程序制造符合该法案第201（h）节中的器械定义的任何制品。此类条款包括以下活动：（1）重新包装或以其他方式更改任何器械包装的容器、包装或标签，以促进从原始制造地点将器械销售给进行最终交付的人员或出售给最终消费者；（二）初次进口国外机构制造的器械；或（3）启动由第二方制造的器械的规范，以供启动规范的人员进行后续商业销售。</w:t>
      </w:r>
    </w:p>
    <w:p w14:paraId="3C04E30D">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1FD567A0">
      <w:pPr>
        <w:pStyle w:val="19"/>
        <w:numPr>
          <w:ilvl w:val="1"/>
          <w:numId w:val="2"/>
        </w:numPr>
        <w:snapToGrid w:val="0"/>
        <w:spacing w:line="300" w:lineRule="auto"/>
        <w:ind w:left="1004" w:leftChars="305" w:hanging="333" w:hangingChars="139"/>
        <w:jc w:val="both"/>
        <w:rPr>
          <w:rFonts w:ascii="Arial" w:hAnsi="Arial" w:eastAsia="宋体" w:cs="Arial"/>
          <w:sz w:val="24"/>
          <w:lang w:eastAsia="zh-CN"/>
        </w:rPr>
      </w:pPr>
      <w:r>
        <w:rPr>
          <w:rFonts w:ascii="Arial" w:hAnsi="Arial" w:eastAsia="宋体" w:cs="Arial"/>
          <w:sz w:val="24"/>
          <w:lang w:eastAsia="zh-CN"/>
        </w:rPr>
        <w:t>通过移动医疗应用、硬件附件和移动平台的任意组合，为旨在用作医疗器械的移动平台创建移动医疗应用和硬件附件；</w:t>
      </w:r>
    </w:p>
    <w:p w14:paraId="657BC08F">
      <w:pPr>
        <w:pStyle w:val="19"/>
        <w:numPr>
          <w:ilvl w:val="1"/>
          <w:numId w:val="2"/>
        </w:numPr>
        <w:snapToGrid w:val="0"/>
        <w:spacing w:line="300" w:lineRule="auto"/>
        <w:ind w:left="1004" w:leftChars="305" w:hanging="333" w:hangingChars="139"/>
        <w:jc w:val="both"/>
        <w:rPr>
          <w:rFonts w:ascii="Arial" w:hAnsi="Arial" w:eastAsia="宋体" w:cs="Arial"/>
          <w:sz w:val="24"/>
          <w:lang w:eastAsia="zh-CN"/>
        </w:rPr>
      </w:pPr>
      <w:r>
        <w:rPr>
          <w:rFonts w:ascii="Arial" w:hAnsi="Arial" w:eastAsia="宋体" w:cs="Arial"/>
          <w:sz w:val="24"/>
          <w:lang w:eastAsia="zh-CN"/>
        </w:rPr>
        <w:t>创建移动医疗应用或软件系统，以通过网站订阅、软件即服务9或其他类似手段为用户提供对医疗器械功能的访问。</w:t>
      </w:r>
    </w:p>
    <w:p w14:paraId="095A0D3A">
      <w:pPr>
        <w:snapToGrid w:val="0"/>
        <w:spacing w:line="300" w:lineRule="auto"/>
        <w:jc w:val="both"/>
        <w:rPr>
          <w:rFonts w:ascii="Arial" w:hAnsi="Arial" w:eastAsia="宋体" w:cs="Arial"/>
          <w:sz w:val="24"/>
          <w:szCs w:val="24"/>
          <w:lang w:eastAsia="zh-CN"/>
        </w:rPr>
      </w:pPr>
    </w:p>
    <w:p w14:paraId="470318F0">
      <w:pPr>
        <w:snapToGrid w:val="0"/>
        <w:spacing w:before="5" w:line="300" w:lineRule="auto"/>
        <w:jc w:val="both"/>
        <w:rPr>
          <w:rFonts w:ascii="Arial" w:hAnsi="Arial" w:eastAsia="宋体" w:cs="Arial"/>
          <w:sz w:val="21"/>
          <w:szCs w:val="21"/>
          <w:lang w:eastAsia="zh-CN"/>
        </w:rPr>
      </w:pPr>
    </w:p>
    <w:p w14:paraId="771DDBC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相比之下，以下是不被视为移动医疗应用制造商的人员或实体的示例（即，不满足21 CFR第803、806、807和820部分中的制造商定义的人员）。由于其不属于制造商，所以这些示例中的任何人员或实体均无需在FDA处</w:t>
      </w:r>
      <w:r>
        <w:rPr>
          <w:rFonts w:ascii="Arial" w:hAnsi="Arial" w:eastAsia="宋体" w:cs="Arial"/>
          <w:vertAlign w:val="superscript"/>
          <w:lang w:eastAsia="zh-CN"/>
        </w:rPr>
        <w:t>10</w:t>
      </w:r>
      <w:r>
        <w:rPr>
          <w:rFonts w:ascii="Arial" w:hAnsi="Arial" w:eastAsia="宋体" w:cs="Arial"/>
          <w:lang w:eastAsia="zh-CN"/>
        </w:rPr>
        <w:t>登记其机构、列出其产品或提交上市前申请：</w:t>
      </w:r>
    </w:p>
    <w:p w14:paraId="732D5809">
      <w:pPr>
        <w:pStyle w:val="19"/>
        <w:numPr>
          <w:ilvl w:val="0"/>
          <w:numId w:val="3"/>
        </w:numPr>
        <w:snapToGrid w:val="0"/>
        <w:spacing w:before="126" w:line="300" w:lineRule="auto"/>
        <w:ind w:left="642" w:leftChars="146" w:hanging="321" w:hangingChars="134"/>
        <w:jc w:val="both"/>
        <w:rPr>
          <w:rFonts w:ascii="Arial" w:hAnsi="Arial" w:eastAsia="宋体" w:cs="Arial"/>
          <w:sz w:val="24"/>
          <w:szCs w:val="24"/>
          <w:lang w:eastAsia="zh-CN"/>
        </w:rPr>
      </w:pPr>
      <w:r>
        <w:rPr>
          <w:rFonts w:ascii="Arial" w:hAnsi="Arial" w:eastAsia="宋体" w:cs="Arial"/>
          <w:sz w:val="24"/>
          <w:szCs w:val="24"/>
          <w:lang w:eastAsia="zh-CN"/>
        </w:rPr>
        <w:t>仅销售或上市其平台，且不打算（通过上市声明-例如标签声明或广告材料）将平台用于医疗器械功能的移动平台制造商或分销商。当移动医疗应用在移动平台上运行时，移动平台将被视为移动医疗应用预期用途的一个组成部分。</w:t>
      </w:r>
      <w:r>
        <w:rPr>
          <w:rFonts w:ascii="Arial" w:hAnsi="Arial" w:eastAsia="宋体" w:cs="Arial"/>
          <w:sz w:val="24"/>
          <w:szCs w:val="24"/>
          <w:vertAlign w:val="superscript"/>
          <w:lang w:eastAsia="zh-CN"/>
        </w:rPr>
        <w:t>11</w:t>
      </w:r>
      <w:r>
        <w:rPr>
          <w:rFonts w:ascii="Arial" w:hAnsi="Arial" w:eastAsia="宋体" w:cs="Arial"/>
          <w:sz w:val="24"/>
          <w:szCs w:val="24"/>
          <w:lang w:eastAsia="zh-CN"/>
        </w:rPr>
        <w:t>因此，移动平台制造商可免于遵守质量体系法规、登记和上市要求。</w:t>
      </w:r>
      <w:r>
        <w:rPr>
          <w:rFonts w:ascii="Arial" w:hAnsi="Arial" w:eastAsia="宋体" w:cs="Arial"/>
          <w:sz w:val="24"/>
          <w:szCs w:val="24"/>
          <w:vertAlign w:val="superscript"/>
          <w:lang w:eastAsia="zh-CN"/>
        </w:rPr>
        <w:t>12</w:t>
      </w:r>
      <w:r>
        <w:rPr>
          <w:rFonts w:ascii="Arial" w:hAnsi="Arial" w:eastAsia="宋体" w:cs="Arial"/>
          <w:sz w:val="24"/>
          <w:szCs w:val="24"/>
          <w:lang w:eastAsia="zh-CN"/>
        </w:rPr>
        <w:t>例如，如果可以在BrandNamePhone上运行移动医疗应用，但BrandNameCompany上市BrandNamePhone的目的并不是将其用作医疗器械，则BrandNameCompany不会被视为移动医疗应用制造商或医疗器械制造商。另外，在这个示例中，FDA不会将销售给消费者的BrandNamePhone视为医疗器械而对其进行监管。FDA不会将专门销售移动医疗应用的实体（例如“iTunes App Store”的所有者和运营商或“Android</w:t>
      </w:r>
      <w:r>
        <w:rPr>
          <w:rFonts w:ascii="Arial" w:hAnsi="Arial" w:eastAsia="宋体" w:cs="Arial"/>
          <w:lang w:eastAsia="zh-CN"/>
        </w:rPr>
        <w:t xml:space="preserve"> market</w:t>
      </w:r>
      <w:r>
        <w:rPr>
          <w:rFonts w:ascii="Arial" w:hAnsi="Arial" w:eastAsia="宋体" w:cs="Arial"/>
          <w:sz w:val="24"/>
          <w:szCs w:val="24"/>
          <w:lang w:eastAsia="zh-CN"/>
        </w:rPr>
        <w:t>”）视为医疗器械制造商。FDA也不会仅因其移动平台可用于运行FDA监管的移动医疗应用而将移动平台制造商视为医疗器械制造商。</w:t>
      </w:r>
    </w:p>
    <w:p w14:paraId="1E68F070">
      <w:pPr>
        <w:pStyle w:val="19"/>
        <w:numPr>
          <w:ilvl w:val="0"/>
          <w:numId w:val="3"/>
        </w:numPr>
        <w:snapToGrid w:val="0"/>
        <w:spacing w:before="126" w:line="300" w:lineRule="auto"/>
        <w:ind w:left="642" w:leftChars="146" w:hanging="321" w:hangingChars="134"/>
        <w:jc w:val="both"/>
        <w:rPr>
          <w:rFonts w:ascii="Arial" w:hAnsi="Arial" w:eastAsia="宋体" w:cs="Arial"/>
          <w:sz w:val="24"/>
          <w:szCs w:val="24"/>
          <w:lang w:eastAsia="zh-CN"/>
        </w:rPr>
      </w:pPr>
      <w:r>
        <w:rPr>
          <w:rFonts w:ascii="Arial" w:hAnsi="Arial" w:eastAsia="宋体" w:cs="Arial"/>
          <w:sz w:val="24"/>
          <w:szCs w:val="24"/>
          <w:lang w:eastAsia="zh-CN"/>
        </w:rPr>
        <w:t>仅提供移动医疗应用市场准入（即仅销售移动应用）但不符合21 CFR第803、806、807和820部分中定义的任何制造功能的第三方。此类第三方的示例可能包括仅参与提供在线市场以允许移动医疗应用制造商商业销售其移动医疗应用的所有者以及运营商。此类在线市场的具体示例包括“Google Play”、“iTunes store”和“BlackBerry App World”；</w:t>
      </w:r>
    </w:p>
    <w:p w14:paraId="566DFA6D">
      <w:pPr>
        <w:pStyle w:val="19"/>
        <w:tabs>
          <w:tab w:val="left" w:pos="840"/>
        </w:tabs>
        <w:snapToGrid w:val="0"/>
        <w:spacing w:before="144" w:line="300" w:lineRule="auto"/>
        <w:ind w:left="840"/>
        <w:jc w:val="both"/>
        <w:rPr>
          <w:rFonts w:ascii="Arial" w:hAnsi="Arial" w:eastAsia="宋体" w:cs="Arial"/>
          <w:sz w:val="24"/>
          <w:szCs w:val="24"/>
          <w:lang w:eastAsia="zh-CN"/>
        </w:rPr>
      </w:pPr>
    </w:p>
    <w:p w14:paraId="1309DA91">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50" name="Group 5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1" name="Group 56"/>
                        <wpg:cNvGrpSpPr/>
                        <wpg:grpSpPr>
                          <a:xfrm>
                            <a:off x="6" y="6"/>
                            <a:ext cx="2880" cy="2"/>
                            <a:chOff x="6" y="6"/>
                            <a:chExt cx="2880" cy="2"/>
                          </a:xfrm>
                        </wpg:grpSpPr>
                        <wps:wsp>
                          <wps:cNvPr id="52" name="Freeform 5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AZKWxRsDAAD+BwAADgAAAAAAAAABACAAAAAjAQAAZHJzL2Uyb0Rv&#10;Yy54bWxQSwUGAAAAAAYABgBZAQAAsAYAAAAA&#10;">
                <o:lock v:ext="edit" aspectratio="f"/>
                <v:group id="Group 56" o:spid="_x0000_s1026" o:spt="203" style="position:absolute;left:6;top:6;height:2;width:2880;" coordorigin="6,6" coordsize="2880,2"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Freeform 57" o:spid="_x0000_s1026" o:spt="100" style="position:absolute;left:6;top:6;height:2;width:2880;" filled="f" stroked="t" coordsize="2880,1" o:gfxdata="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ix0R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CA0F02A">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8</w:t>
      </w:r>
      <w:r>
        <w:rPr>
          <w:rFonts w:ascii="Arial" w:hAnsi="Arial" w:eastAsia="宋体" w:cs="Arial"/>
          <w:sz w:val="20"/>
          <w:szCs w:val="20"/>
          <w:lang w:eastAsia="zh-CN"/>
        </w:rPr>
        <w:t>请参见21 CFR 803.3（制造商定义）和21 CFR 807.20（a）（2）。</w:t>
      </w:r>
    </w:p>
    <w:p w14:paraId="5D1BC119">
      <w:pPr>
        <w:snapToGrid w:val="0"/>
        <w:spacing w:before="15" w:line="300" w:lineRule="auto"/>
        <w:jc w:val="both"/>
        <w:rPr>
          <w:rFonts w:ascii="Arial" w:hAnsi="Arial" w:eastAsia="宋体" w:cs="Arial"/>
          <w:sz w:val="20"/>
          <w:szCs w:val="20"/>
          <w:lang w:eastAsia="zh-CN"/>
        </w:rPr>
      </w:pPr>
      <w:r>
        <w:rPr>
          <w:rFonts w:ascii="Arial" w:hAnsi="Arial" w:eastAsia="宋体" w:cs="Arial"/>
          <w:position w:val="9"/>
          <w:sz w:val="13"/>
          <w:szCs w:val="13"/>
          <w:lang w:eastAsia="zh-CN"/>
        </w:rPr>
        <w:t>9</w:t>
      </w:r>
      <w:r>
        <w:rPr>
          <w:rFonts w:ascii="Arial" w:hAnsi="Arial" w:eastAsia="宋体" w:cs="Arial"/>
          <w:spacing w:val="14"/>
          <w:position w:val="9"/>
          <w:sz w:val="13"/>
          <w:szCs w:val="13"/>
          <w:lang w:eastAsia="zh-CN"/>
        </w:rPr>
        <w:t xml:space="preserve"> </w:t>
      </w:r>
      <w:bookmarkStart w:id="19" w:name="_bookmark16"/>
      <w:bookmarkEnd w:id="19"/>
      <w:r>
        <w:rPr>
          <w:rFonts w:ascii="Arial" w:hAnsi="Arial" w:eastAsia="宋体" w:cs="Arial"/>
          <w:sz w:val="20"/>
          <w:szCs w:val="20"/>
          <w:lang w:eastAsia="zh-CN"/>
        </w:rPr>
        <w:t>我们的意思是纳入为移动平台上的客户端软件应用提供服务的任何“服务器软件应用”。</w:t>
      </w:r>
    </w:p>
    <w:p w14:paraId="24BAF85C">
      <w:pPr>
        <w:snapToGrid w:val="0"/>
        <w:spacing w:line="300" w:lineRule="auto"/>
        <w:jc w:val="both"/>
        <w:rPr>
          <w:rFonts w:ascii="Arial" w:hAnsi="Arial" w:eastAsia="宋体" w:cs="Arial"/>
          <w:sz w:val="20"/>
          <w:szCs w:val="20"/>
          <w:lang w:eastAsia="zh-CN"/>
        </w:rPr>
      </w:pPr>
      <w:r>
        <w:rPr>
          <w:rFonts w:ascii="Arial" w:hAnsi="Arial" w:eastAsia="宋体" w:cs="Arial"/>
          <w:position w:val="9"/>
          <w:sz w:val="13"/>
          <w:lang w:eastAsia="zh-CN"/>
        </w:rPr>
        <w:t xml:space="preserve">10 </w:t>
      </w:r>
      <w:bookmarkStart w:id="20" w:name="_bookmark17"/>
      <w:bookmarkEnd w:id="20"/>
      <w:r>
        <w:rPr>
          <w:rFonts w:ascii="Arial" w:hAnsi="Arial" w:eastAsia="宋体" w:cs="Arial"/>
          <w:sz w:val="20"/>
          <w:szCs w:val="20"/>
          <w:lang w:eastAsia="zh-CN"/>
        </w:rPr>
        <w:t>21 CFR 807.65和21 CFR 807.85。</w:t>
      </w:r>
    </w:p>
    <w:p w14:paraId="7B27BE9D">
      <w:pPr>
        <w:snapToGrid w:val="0"/>
        <w:spacing w:before="17" w:line="300" w:lineRule="auto"/>
        <w:jc w:val="both"/>
        <w:rPr>
          <w:rFonts w:ascii="Arial" w:hAnsi="Arial" w:eastAsia="宋体" w:cs="Arial"/>
          <w:sz w:val="20"/>
          <w:szCs w:val="20"/>
        </w:rPr>
      </w:pPr>
      <w:r>
        <w:rPr>
          <w:rFonts w:ascii="Arial" w:hAnsi="Arial" w:eastAsia="宋体" w:cs="Arial"/>
          <w:position w:val="9"/>
          <w:sz w:val="13"/>
          <w:szCs w:val="13"/>
          <w:lang w:eastAsia="zh-CN"/>
        </w:rPr>
        <w:t>11</w:t>
      </w:r>
      <w:r>
        <w:rPr>
          <w:rFonts w:ascii="Arial" w:hAnsi="Arial" w:eastAsia="宋体" w:cs="Arial"/>
          <w:sz w:val="20"/>
          <w:szCs w:val="20"/>
          <w:lang w:eastAsia="zh-CN"/>
        </w:rPr>
        <w:t>请参见21 CFR 820.3（c），其中将组件定义为“旨在并入以作为成品、包装和标记器械的一部分的任何原材料、物质、零件、部件、软件、固件、标签或组件。”</w:t>
      </w:r>
      <w:r>
        <w:rPr>
          <w:rFonts w:ascii="Arial" w:hAnsi="Arial" w:eastAsia="宋体" w:cs="Arial"/>
          <w:sz w:val="20"/>
          <w:szCs w:val="20"/>
        </w:rPr>
        <w:t>.</w:t>
      </w:r>
    </w:p>
    <w:p w14:paraId="6DE70983">
      <w:pPr>
        <w:pStyle w:val="19"/>
        <w:snapToGrid w:val="0"/>
        <w:spacing w:line="300" w:lineRule="auto"/>
        <w:jc w:val="both"/>
        <w:rPr>
          <w:rFonts w:ascii="Arial" w:hAnsi="Arial" w:eastAsia="宋体" w:cs="Arial"/>
          <w:sz w:val="20"/>
        </w:rPr>
      </w:pPr>
      <w:bookmarkStart w:id="21" w:name="_bookmark19"/>
      <w:bookmarkEnd w:id="21"/>
      <w:r>
        <w:rPr>
          <w:rFonts w:ascii="Arial" w:hAnsi="Arial" w:eastAsia="宋体" w:cs="Arial"/>
          <w:sz w:val="20"/>
          <w:szCs w:val="20"/>
          <w:vertAlign w:val="superscript"/>
          <w:lang w:eastAsia="zh-CN"/>
        </w:rPr>
        <w:t>12</w:t>
      </w:r>
      <w:r>
        <w:rPr>
          <w:rFonts w:ascii="Arial" w:hAnsi="Arial" w:eastAsia="宋体" w:cs="Arial"/>
          <w:sz w:val="20"/>
          <w:szCs w:val="20"/>
          <w:lang w:eastAsia="zh-CN"/>
        </w:rPr>
        <w:t xml:space="preserve"> 21 CFR 807.65（a）和21 CFR 820.1（a）。</w:t>
      </w:r>
    </w:p>
    <w:p w14:paraId="5C7C7F10">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4FB3E8E9">
      <w:pPr>
        <w:pStyle w:val="19"/>
        <w:numPr>
          <w:ilvl w:val="0"/>
          <w:numId w:val="3"/>
        </w:numPr>
        <w:snapToGrid w:val="0"/>
        <w:spacing w:before="126" w:line="300" w:lineRule="auto"/>
        <w:ind w:left="642" w:leftChars="146" w:hanging="321" w:hangingChars="134"/>
        <w:jc w:val="both"/>
        <w:rPr>
          <w:rFonts w:ascii="Arial" w:hAnsi="Arial" w:eastAsia="宋体" w:cs="Arial"/>
          <w:sz w:val="24"/>
          <w:szCs w:val="24"/>
          <w:lang w:eastAsia="zh-CN"/>
        </w:rPr>
      </w:pPr>
      <w:r>
        <w:rPr>
          <w:rFonts w:ascii="Arial" w:hAnsi="Arial" w:eastAsia="宋体" w:cs="Arial"/>
          <w:sz w:val="24"/>
          <w:lang w:eastAsia="zh-CN"/>
        </w:rPr>
        <w:t>用于开发、销售或使用移动医疗应用的工具、服务或基础设施的供应商。示例包括互联网连线的供应商（即互联网服务）、通用计算机或信息技术的供应商，托管用于内容或软件应用的web服务的供应商。工具、服务或基础结构供应商的其他示例包括客户支持服务、数据中心托管服务、云托管服务、应用托管服务、无线运营商或软件开发工具包供应商。然而</w:t>
      </w:r>
      <w:r>
        <w:rPr>
          <w:rFonts w:ascii="Arial" w:hAnsi="Arial" w:eastAsia="宋体" w:cs="Arial"/>
          <w:sz w:val="24"/>
          <w:szCs w:val="24"/>
          <w:lang w:eastAsia="zh-CN"/>
        </w:rPr>
        <w:t>，移动医疗应用或通过网站订阅、软件即服务、13或其它类似手段为用户提供对医疗器械功能的访问的软件系统的创建者；</w:t>
      </w:r>
    </w:p>
    <w:p w14:paraId="638248E1">
      <w:pPr>
        <w:pStyle w:val="19"/>
        <w:numPr>
          <w:ilvl w:val="0"/>
          <w:numId w:val="3"/>
        </w:numPr>
        <w:snapToGrid w:val="0"/>
        <w:spacing w:before="126" w:line="300" w:lineRule="auto"/>
        <w:ind w:left="642" w:leftChars="146" w:hanging="321" w:hangingChars="134"/>
        <w:jc w:val="both"/>
        <w:rPr>
          <w:rFonts w:ascii="Arial" w:hAnsi="Arial" w:eastAsia="宋体" w:cs="Arial"/>
          <w:sz w:val="24"/>
          <w:szCs w:val="24"/>
          <w:lang w:eastAsia="zh-CN"/>
        </w:rPr>
      </w:pPr>
      <w:r>
        <w:rPr>
          <w:rFonts w:ascii="Arial" w:hAnsi="Arial" w:eastAsia="宋体" w:cs="Arial"/>
          <w:sz w:val="24"/>
          <w:szCs w:val="24"/>
          <w:lang w:eastAsia="zh-CN"/>
        </w:rPr>
        <w:t>制造移动医疗应用或修改移动医疗应用以仅用于其专业实践，并且不会标记或推广其移动医疗应用以供其他许可执业医师或其他个人普遍使用的许可执业医师，包括医生、牙科医生和验光师。14、15例如，如果许可执业医师—XYZ医生创建了一款名为“XYZ记录仪”的移动医疗应用，该应用允许将ECG电极连接至智能手机，并向他/她的患者提供“XYZ记录仪”以用于记录患者在24小时内的心电图读数，则XYZ医生将不被视为移动医疗应用制造商。如果XYZ医生位于联合医疗实践中（包括远程医疗网络），并允许实践中的其他医师向患者提供XYZ记录仪，则XYZ医生将不被视为移动医疗应用制造商。但是，如果许可执业医师—XYZ医生销售了“XYZ记录仪”，并且通过标记或推广，将其普遍提供给其他医师（或其他有特殊资格的人员），则XYZ医生将被视为移动医疗应用制造商；</w:t>
      </w:r>
    </w:p>
    <w:p w14:paraId="16FE990D">
      <w:pPr>
        <w:pStyle w:val="19"/>
        <w:numPr>
          <w:ilvl w:val="0"/>
          <w:numId w:val="3"/>
        </w:numPr>
        <w:snapToGrid w:val="0"/>
        <w:spacing w:before="126" w:line="300" w:lineRule="auto"/>
        <w:ind w:left="642" w:leftChars="146" w:hanging="321" w:hangingChars="134"/>
        <w:jc w:val="both"/>
        <w:rPr>
          <w:rFonts w:ascii="Arial" w:hAnsi="Arial" w:eastAsia="宋体" w:cs="Arial"/>
          <w:sz w:val="24"/>
          <w:lang w:eastAsia="zh-CN"/>
        </w:rPr>
      </w:pPr>
      <w:r>
        <w:rPr>
          <w:rFonts w:ascii="Arial" w:hAnsi="Arial" w:eastAsia="宋体" w:cs="Arial"/>
          <w:sz w:val="24"/>
          <w:szCs w:val="24"/>
          <w:lang w:eastAsia="zh-CN"/>
        </w:rPr>
        <w:t>制造仅用于研究、教学或分析的移动医疗应用且并不将此类器械引入商业销售的人员。我们注意到，虽然使用涉及人</w:t>
      </w:r>
      <w:r>
        <w:rPr>
          <w:rFonts w:ascii="Arial" w:hAnsi="Arial" w:eastAsia="宋体" w:cs="Arial"/>
          <w:sz w:val="24"/>
          <w:lang w:eastAsia="zh-CN"/>
        </w:rPr>
        <w:t>类受试者的移动医疗应用进行研究的人员免于登记和上市，但其可能会受到器械临床研究豁免法规的制约。</w:t>
      </w:r>
      <w:r>
        <w:fldChar w:fldCharType="begin"/>
      </w:r>
      <w:r>
        <w:instrText xml:space="preserve"> HYPERLINK \l "_bookmark23" </w:instrText>
      </w:r>
      <w:r>
        <w:fldChar w:fldCharType="separate"/>
      </w:r>
      <w:r>
        <w:rPr>
          <w:rFonts w:ascii="Arial" w:hAnsi="Arial" w:eastAsia="宋体" w:cs="Arial"/>
          <w:position w:val="11"/>
          <w:sz w:val="16"/>
          <w:lang w:eastAsia="zh-CN"/>
        </w:rPr>
        <w:t>16</w:t>
      </w:r>
      <w:r>
        <w:rPr>
          <w:rFonts w:ascii="Arial" w:hAnsi="Arial" w:eastAsia="宋体" w:cs="Arial"/>
          <w:position w:val="11"/>
          <w:sz w:val="16"/>
          <w:lang w:eastAsia="zh-CN"/>
        </w:rPr>
        <w:fldChar w:fldCharType="end"/>
      </w:r>
      <w:r>
        <w:rPr>
          <w:rFonts w:ascii="Arial" w:hAnsi="Arial" w:eastAsia="宋体" w:cs="Arial"/>
          <w:position w:val="11"/>
          <w:sz w:val="16"/>
          <w:lang w:eastAsia="zh-CN"/>
        </w:rPr>
        <w:t>、</w:t>
      </w:r>
      <w:r>
        <w:fldChar w:fldCharType="begin"/>
      </w:r>
      <w:r>
        <w:instrText xml:space="preserve"> HYPERLINK \l "_bookmark24" </w:instrText>
      </w:r>
      <w:r>
        <w:fldChar w:fldCharType="separate"/>
      </w:r>
      <w:r>
        <w:rPr>
          <w:rFonts w:ascii="Arial" w:hAnsi="Arial" w:eastAsia="宋体" w:cs="Arial"/>
          <w:position w:val="11"/>
          <w:sz w:val="16"/>
          <w:lang w:eastAsia="zh-CN"/>
        </w:rPr>
        <w:t>1</w:t>
      </w:r>
      <w:r>
        <w:rPr>
          <w:rFonts w:ascii="Arial" w:hAnsi="Arial" w:eastAsia="宋体" w:cs="Arial"/>
          <w:position w:val="11"/>
          <w:sz w:val="16"/>
          <w:lang w:eastAsia="zh-CN"/>
        </w:rPr>
        <w:fldChar w:fldCharType="end"/>
      </w:r>
      <w:r>
        <w:rPr>
          <w:rFonts w:ascii="Arial" w:hAnsi="Arial" w:eastAsia="宋体" w:cs="Arial"/>
          <w:position w:val="11"/>
          <w:sz w:val="16"/>
          <w:lang w:eastAsia="zh-CN"/>
        </w:rPr>
        <w:t>7</w:t>
      </w:r>
    </w:p>
    <w:p w14:paraId="20A745EB">
      <w:pPr>
        <w:snapToGrid w:val="0"/>
        <w:spacing w:line="300" w:lineRule="auto"/>
        <w:jc w:val="both"/>
        <w:rPr>
          <w:rFonts w:ascii="Arial" w:hAnsi="Arial" w:eastAsia="宋体" w:cs="Arial"/>
          <w:sz w:val="20"/>
          <w:szCs w:val="20"/>
          <w:lang w:eastAsia="zh-CN"/>
        </w:rPr>
      </w:pPr>
    </w:p>
    <w:p w14:paraId="3DFBBDEC">
      <w:pPr>
        <w:snapToGrid w:val="0"/>
        <w:spacing w:line="300" w:lineRule="auto"/>
        <w:jc w:val="both"/>
        <w:rPr>
          <w:rFonts w:ascii="Arial" w:hAnsi="Arial" w:eastAsia="宋体" w:cs="Arial"/>
          <w:sz w:val="20"/>
          <w:szCs w:val="20"/>
          <w:lang w:eastAsia="zh-CN"/>
        </w:rPr>
      </w:pPr>
    </w:p>
    <w:p w14:paraId="438814E7">
      <w:pPr>
        <w:snapToGrid w:val="0"/>
        <w:spacing w:line="300" w:lineRule="auto"/>
        <w:jc w:val="both"/>
        <w:rPr>
          <w:rFonts w:ascii="Arial" w:hAnsi="Arial" w:eastAsia="宋体" w:cs="Arial"/>
          <w:sz w:val="20"/>
          <w:szCs w:val="20"/>
          <w:lang w:eastAsia="zh-CN"/>
        </w:rPr>
      </w:pPr>
    </w:p>
    <w:p w14:paraId="1F51D865">
      <w:pPr>
        <w:snapToGrid w:val="0"/>
        <w:spacing w:line="300" w:lineRule="auto"/>
        <w:jc w:val="both"/>
        <w:rPr>
          <w:rFonts w:ascii="Arial" w:hAnsi="Arial" w:eastAsia="宋体" w:cs="Arial"/>
          <w:sz w:val="20"/>
          <w:szCs w:val="20"/>
          <w:lang w:eastAsia="zh-CN"/>
        </w:rPr>
      </w:pPr>
    </w:p>
    <w:p w14:paraId="2587DA32">
      <w:pPr>
        <w:snapToGrid w:val="0"/>
        <w:spacing w:before="7" w:line="300" w:lineRule="auto"/>
        <w:jc w:val="both"/>
        <w:rPr>
          <w:rFonts w:ascii="Arial" w:hAnsi="Arial" w:eastAsia="宋体" w:cs="Arial"/>
          <w:sz w:val="16"/>
          <w:szCs w:val="16"/>
          <w:lang w:eastAsia="zh-CN"/>
        </w:rPr>
      </w:pPr>
    </w:p>
    <w:p w14:paraId="2F0B819C">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7" name="Group 5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8" name="Group 53"/>
                        <wpg:cNvGrpSpPr/>
                        <wpg:grpSpPr>
                          <a:xfrm>
                            <a:off x="6" y="6"/>
                            <a:ext cx="2880" cy="2"/>
                            <a:chOff x="6" y="6"/>
                            <a:chExt cx="2880" cy="2"/>
                          </a:xfrm>
                        </wpg:grpSpPr>
                        <wps:wsp>
                          <wps:cNvPr id="49" name="Freeform 5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7Lv5CBsDAAD+BwAADgAAAAAAAAABACAAAAAjAQAAZHJzL2Uyb0Rv&#10;Yy54bWxQSwUGAAAAAAYABgBZAQAAsAYAAAAA&#10;">
                <o:lock v:ext="edit" aspectratio="f"/>
                <v:group id="Group 53" o:spid="_x0000_s1026" o:spt="203" style="position:absolute;left:6;top:6;height:2;width:2880;" coordorigin="6,6" coordsize="2880,2"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Freeform 54" o:spid="_x0000_s1026" o:spt="100" style="position:absolute;left:6;top:6;height:2;width:2880;" filled="f" stroked="t" coordsize="2880,1" o:gfxdata="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9hm9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679DBFF">
      <w:pPr>
        <w:snapToGrid w:val="0"/>
        <w:spacing w:before="68"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13</w:t>
      </w:r>
      <w:r>
        <w:rPr>
          <w:rFonts w:ascii="Arial" w:hAnsi="Arial" w:eastAsia="宋体" w:cs="Arial"/>
          <w:sz w:val="20"/>
          <w:szCs w:val="20"/>
          <w:lang w:eastAsia="zh-CN"/>
        </w:rPr>
        <w:t>请参见脚注9。</w:t>
      </w:r>
    </w:p>
    <w:p w14:paraId="02DE1F0E">
      <w:pPr>
        <w:snapToGrid w:val="0"/>
        <w:spacing w:before="15" w:line="300" w:lineRule="auto"/>
        <w:ind w:left="120"/>
        <w:jc w:val="both"/>
        <w:rPr>
          <w:rFonts w:ascii="Arial" w:hAnsi="Arial" w:eastAsia="宋体" w:cs="Arial"/>
          <w:sz w:val="20"/>
          <w:szCs w:val="20"/>
          <w:lang w:eastAsia="zh-CN"/>
        </w:rPr>
      </w:pPr>
      <w:r>
        <w:rPr>
          <w:rFonts w:ascii="Arial" w:hAnsi="Arial" w:eastAsia="宋体" w:cs="Arial"/>
          <w:position w:val="9"/>
          <w:sz w:val="13"/>
          <w:szCs w:val="13"/>
          <w:lang w:eastAsia="zh-CN"/>
        </w:rPr>
        <w:t xml:space="preserve">14 </w:t>
      </w:r>
      <w:bookmarkStart w:id="22" w:name="_bookmark21"/>
      <w:bookmarkEnd w:id="22"/>
      <w:r>
        <w:rPr>
          <w:rFonts w:ascii="Arial" w:hAnsi="Arial" w:eastAsia="宋体" w:cs="Arial"/>
          <w:sz w:val="20"/>
          <w:szCs w:val="20"/>
          <w:lang w:eastAsia="zh-CN"/>
        </w:rPr>
        <w:t>FD＆C法案第510（g）（2）节：-药品或器械生产商的登记-适用条例的排除：“依法许可开处方或施用药物或器械以及制造、制备、量产、组合或加工仅在其专业实践过程中使用的药物或器械的执业医师。”</w:t>
      </w:r>
    </w:p>
    <w:p w14:paraId="75A81B99">
      <w:pPr>
        <w:snapToGrid w:val="0"/>
        <w:spacing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15</w:t>
      </w:r>
      <w:r>
        <w:rPr>
          <w:rFonts w:ascii="Arial" w:hAnsi="Arial" w:eastAsia="宋体" w:cs="Arial"/>
          <w:sz w:val="20"/>
          <w:szCs w:val="20"/>
          <w:lang w:eastAsia="zh-CN"/>
        </w:rPr>
        <w:t>请参见21 CFR 807.65（d）。</w:t>
      </w:r>
    </w:p>
    <w:p w14:paraId="4ACEEE88">
      <w:pPr>
        <w:snapToGrid w:val="0"/>
        <w:spacing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 xml:space="preserve">16 </w:t>
      </w:r>
      <w:bookmarkStart w:id="23" w:name="_bookmark23"/>
      <w:bookmarkEnd w:id="23"/>
      <w:r>
        <w:rPr>
          <w:rFonts w:ascii="Arial" w:hAnsi="Arial" w:eastAsia="宋体" w:cs="Arial"/>
          <w:sz w:val="20"/>
          <w:szCs w:val="20"/>
          <w:lang w:eastAsia="zh-CN"/>
        </w:rPr>
        <w:t>请参见21 CFR 807.65（f）。</w:t>
      </w:r>
    </w:p>
    <w:p w14:paraId="03B14A60">
      <w:pPr>
        <w:snapToGrid w:val="0"/>
        <w:spacing w:line="300" w:lineRule="auto"/>
        <w:ind w:left="120"/>
        <w:jc w:val="both"/>
        <w:rPr>
          <w:rFonts w:ascii="Arial" w:hAnsi="Arial" w:eastAsia="宋体" w:cs="Arial"/>
          <w:sz w:val="20"/>
          <w:lang w:eastAsia="zh-CN"/>
        </w:rPr>
      </w:pPr>
      <w:r>
        <w:rPr>
          <w:rFonts w:ascii="Arial" w:hAnsi="Arial" w:eastAsia="宋体" w:cs="Arial"/>
          <w:position w:val="9"/>
          <w:sz w:val="13"/>
          <w:lang w:eastAsia="zh-CN"/>
        </w:rPr>
        <w:t>17</w:t>
      </w:r>
      <w:r>
        <w:rPr>
          <w:rFonts w:ascii="Arial" w:hAnsi="Arial" w:eastAsia="宋体" w:cs="Arial"/>
          <w:sz w:val="20"/>
          <w:szCs w:val="20"/>
          <w:lang w:eastAsia="zh-CN"/>
        </w:rPr>
        <w:t>请参见21 CFR 812.1。</w:t>
      </w:r>
    </w:p>
    <w:p w14:paraId="56DE5B50">
      <w:pPr>
        <w:snapToGrid w:val="0"/>
        <w:spacing w:line="300" w:lineRule="auto"/>
        <w:rPr>
          <w:rFonts w:ascii="Arial" w:hAnsi="Arial" w:eastAsia="宋体" w:cs="Arial"/>
          <w:sz w:val="20"/>
          <w:szCs w:val="20"/>
          <w:lang w:eastAsia="zh-CN"/>
        </w:rPr>
      </w:pPr>
      <w:r>
        <w:rPr>
          <w:rFonts w:ascii="Arial" w:hAnsi="Arial" w:eastAsia="宋体" w:cs="Arial"/>
          <w:b/>
          <w:bCs/>
          <w:sz w:val="20"/>
          <w:szCs w:val="20"/>
          <w:lang w:eastAsia="zh-CN"/>
        </w:rPr>
        <w:br w:type="page"/>
      </w:r>
    </w:p>
    <w:p w14:paraId="427C8DC4">
      <w:pPr>
        <w:pStyle w:val="2"/>
        <w:numPr>
          <w:ilvl w:val="0"/>
          <w:numId w:val="1"/>
        </w:numPr>
        <w:tabs>
          <w:tab w:val="left" w:pos="840"/>
        </w:tabs>
        <w:snapToGrid w:val="0"/>
        <w:spacing w:line="300" w:lineRule="auto"/>
        <w:ind w:left="0" w:firstLine="0"/>
        <w:jc w:val="both"/>
        <w:rPr>
          <w:rFonts w:ascii="Arial" w:hAnsi="Arial" w:eastAsia="宋体" w:cs="Arial"/>
          <w:b w:val="0"/>
          <w:bCs w:val="0"/>
        </w:rPr>
      </w:pPr>
      <w:bookmarkStart w:id="24" w:name="_Toc481592025"/>
      <w:r>
        <w:rPr>
          <w:rFonts w:ascii="Arial" w:hAnsi="Arial" w:eastAsia="宋体" w:cs="Arial"/>
          <w:b w:val="0"/>
          <w:bCs w:val="0"/>
          <w:lang w:eastAsia="zh-CN"/>
        </w:rPr>
        <w:t>范围</w:t>
      </w:r>
      <w:bookmarkEnd w:id="24"/>
    </w:p>
    <w:p w14:paraId="22CF3D20">
      <w:pPr>
        <w:snapToGrid w:val="0"/>
        <w:spacing w:before="7" w:line="300" w:lineRule="auto"/>
        <w:jc w:val="both"/>
        <w:rPr>
          <w:rFonts w:ascii="Arial" w:hAnsi="Arial" w:eastAsia="宋体" w:cs="Arial"/>
          <w:b/>
          <w:bCs/>
          <w:sz w:val="28"/>
          <w:szCs w:val="28"/>
        </w:rPr>
      </w:pPr>
    </w:p>
    <w:p w14:paraId="37A13A5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本指南说明了FDA将其监督重点放与一部分移动应用上的意图。第III节定义的移动医疗应用仅包括符合器械的法律定义且用于以下目的的移动应用：</w:t>
      </w:r>
    </w:p>
    <w:p w14:paraId="6795F6A7">
      <w:pPr>
        <w:snapToGrid w:val="0"/>
        <w:spacing w:before="4" w:line="300" w:lineRule="auto"/>
        <w:jc w:val="both"/>
        <w:rPr>
          <w:rFonts w:ascii="Arial" w:hAnsi="Arial" w:eastAsia="宋体" w:cs="Arial"/>
          <w:sz w:val="24"/>
          <w:szCs w:val="24"/>
          <w:lang w:eastAsia="zh-CN"/>
        </w:rPr>
      </w:pPr>
    </w:p>
    <w:p w14:paraId="1D6FD4EA">
      <w:pPr>
        <w:pStyle w:val="19"/>
        <w:numPr>
          <w:ilvl w:val="0"/>
          <w:numId w:val="4"/>
        </w:numPr>
        <w:tabs>
          <w:tab w:val="left" w:pos="840"/>
        </w:tabs>
        <w:snapToGrid w:val="0"/>
        <w:spacing w:line="300" w:lineRule="auto"/>
        <w:ind w:left="0" w:firstLine="424" w:firstLineChars="177"/>
        <w:jc w:val="both"/>
        <w:rPr>
          <w:rFonts w:ascii="Arial" w:hAnsi="Arial" w:eastAsia="宋体" w:cs="Arial"/>
          <w:sz w:val="24"/>
          <w:szCs w:val="24"/>
          <w:lang w:eastAsia="zh-CN"/>
        </w:rPr>
      </w:pPr>
      <w:r>
        <w:rPr>
          <w:rFonts w:ascii="Arial" w:hAnsi="Arial" w:eastAsia="宋体" w:cs="Arial"/>
          <w:sz w:val="24"/>
          <w:szCs w:val="24"/>
          <w:lang w:eastAsia="zh-CN"/>
        </w:rPr>
        <w:t>用作受监管医疗器械的附件；或</w:t>
      </w:r>
    </w:p>
    <w:p w14:paraId="10748145">
      <w:pPr>
        <w:pStyle w:val="19"/>
        <w:numPr>
          <w:ilvl w:val="0"/>
          <w:numId w:val="4"/>
        </w:numPr>
        <w:tabs>
          <w:tab w:val="left" w:pos="840"/>
        </w:tabs>
        <w:snapToGrid w:val="0"/>
        <w:spacing w:line="300" w:lineRule="auto"/>
        <w:ind w:left="0" w:firstLine="424" w:firstLineChars="177"/>
        <w:jc w:val="both"/>
        <w:rPr>
          <w:rFonts w:ascii="Arial" w:hAnsi="Arial" w:eastAsia="宋体" w:cs="Arial"/>
          <w:sz w:val="24"/>
          <w:szCs w:val="24"/>
          <w:lang w:eastAsia="zh-CN"/>
        </w:rPr>
      </w:pPr>
      <w:r>
        <w:rPr>
          <w:rFonts w:ascii="Arial" w:hAnsi="Arial" w:eastAsia="宋体" w:cs="Arial"/>
          <w:sz w:val="24"/>
          <w:szCs w:val="24"/>
          <w:lang w:eastAsia="zh-CN"/>
        </w:rPr>
        <w:t>将移动平台转换为受监管的医疗器械。</w:t>
      </w:r>
    </w:p>
    <w:p w14:paraId="1DB9DDB2">
      <w:pPr>
        <w:snapToGrid w:val="0"/>
        <w:spacing w:before="4" w:line="300" w:lineRule="auto"/>
        <w:jc w:val="both"/>
        <w:rPr>
          <w:rFonts w:ascii="Arial" w:hAnsi="Arial" w:eastAsia="宋体" w:cs="Arial"/>
          <w:sz w:val="24"/>
          <w:szCs w:val="24"/>
          <w:lang w:eastAsia="zh-CN"/>
        </w:rPr>
      </w:pPr>
    </w:p>
    <w:p w14:paraId="56FAA4A4">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附录A提供了FDA不认为符合医疗器械定义因此就本指南而言不属于移动医疗应用的移动应用示例。</w:t>
      </w:r>
    </w:p>
    <w:p w14:paraId="0FF445DC">
      <w:pPr>
        <w:pStyle w:val="6"/>
        <w:snapToGrid w:val="0"/>
        <w:spacing w:line="300" w:lineRule="auto"/>
        <w:ind w:left="0" w:firstLine="0"/>
        <w:jc w:val="both"/>
        <w:rPr>
          <w:rFonts w:ascii="Arial" w:hAnsi="Arial" w:eastAsia="宋体" w:cs="Arial"/>
          <w:lang w:eastAsia="zh-CN"/>
        </w:rPr>
      </w:pPr>
    </w:p>
    <w:p w14:paraId="1BC10AD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第V-B节和附录B提供了可能符合医疗器械定义但由于其可对患者造成的风险较低，因此FDA打算行使自由裁量权的移动应用示例。</w:t>
      </w:r>
      <w:r>
        <w:rPr>
          <w:rFonts w:ascii="Arial" w:hAnsi="Arial" w:eastAsia="宋体" w:cs="Arial"/>
          <w:vertAlign w:val="superscript"/>
          <w:lang w:eastAsia="zh-CN"/>
        </w:rPr>
        <w:t>18</w:t>
      </w:r>
    </w:p>
    <w:p w14:paraId="101AA790">
      <w:pPr>
        <w:pStyle w:val="6"/>
        <w:snapToGrid w:val="0"/>
        <w:spacing w:line="300" w:lineRule="auto"/>
        <w:ind w:left="0" w:firstLine="0"/>
        <w:jc w:val="both"/>
        <w:rPr>
          <w:rFonts w:ascii="Arial" w:hAnsi="Arial" w:eastAsia="宋体" w:cs="Arial"/>
          <w:lang w:eastAsia="zh-CN"/>
        </w:rPr>
      </w:pPr>
    </w:p>
    <w:p w14:paraId="67C401BD">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本指南不涉及执行患者特异性分析以帮助或支持临床决策的软件方法。</w:t>
      </w:r>
    </w:p>
    <w:p w14:paraId="268453E4">
      <w:pPr>
        <w:pStyle w:val="6"/>
        <w:snapToGrid w:val="0"/>
        <w:spacing w:line="300" w:lineRule="auto"/>
        <w:ind w:left="0" w:firstLine="0"/>
        <w:jc w:val="both"/>
        <w:rPr>
          <w:rFonts w:ascii="Arial" w:hAnsi="Arial" w:eastAsia="宋体" w:cs="Arial"/>
          <w:lang w:eastAsia="zh-CN"/>
        </w:rPr>
      </w:pPr>
    </w:p>
    <w:p w14:paraId="039F688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关于医疗器械附件的FDA政策并不仅特定于移动医疗应用，且超出了本指南的范围。具体而言，本指南不涉及适用于医疗器械附件的FDA一般方法。</w:t>
      </w:r>
    </w:p>
    <w:p w14:paraId="2C620CB6">
      <w:pPr>
        <w:pStyle w:val="6"/>
        <w:snapToGrid w:val="0"/>
        <w:spacing w:line="300" w:lineRule="auto"/>
        <w:ind w:left="0" w:firstLine="0"/>
        <w:jc w:val="both"/>
        <w:rPr>
          <w:rFonts w:ascii="Arial" w:hAnsi="Arial" w:eastAsia="宋体" w:cs="Arial"/>
          <w:lang w:eastAsia="zh-CN"/>
        </w:rPr>
      </w:pPr>
    </w:p>
    <w:p w14:paraId="48F4D02F">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如果贵公司打算开发具有全新预期用途的移动医疗应用，我们建议贵公司联系FDA，以讨论可能适用的监管要求。</w:t>
      </w:r>
    </w:p>
    <w:p w14:paraId="1D530E7D">
      <w:pPr>
        <w:snapToGrid w:val="0"/>
        <w:spacing w:line="300" w:lineRule="auto"/>
        <w:jc w:val="both"/>
        <w:rPr>
          <w:rFonts w:ascii="Arial" w:hAnsi="Arial" w:eastAsia="宋体" w:cs="Arial"/>
          <w:sz w:val="20"/>
          <w:szCs w:val="20"/>
          <w:lang w:eastAsia="zh-CN"/>
        </w:rPr>
      </w:pPr>
    </w:p>
    <w:p w14:paraId="68CE188F">
      <w:pPr>
        <w:snapToGrid w:val="0"/>
        <w:spacing w:line="300" w:lineRule="auto"/>
        <w:jc w:val="both"/>
        <w:rPr>
          <w:rFonts w:ascii="Arial" w:hAnsi="Arial" w:eastAsia="宋体" w:cs="Arial"/>
          <w:sz w:val="20"/>
          <w:szCs w:val="20"/>
          <w:lang w:eastAsia="zh-CN"/>
        </w:rPr>
      </w:pPr>
    </w:p>
    <w:p w14:paraId="3417AF0C">
      <w:pPr>
        <w:snapToGrid w:val="0"/>
        <w:spacing w:line="300" w:lineRule="auto"/>
        <w:jc w:val="both"/>
        <w:rPr>
          <w:rFonts w:ascii="Arial" w:hAnsi="Arial" w:eastAsia="宋体" w:cs="Arial"/>
          <w:sz w:val="20"/>
          <w:szCs w:val="20"/>
          <w:lang w:eastAsia="zh-CN"/>
        </w:rPr>
      </w:pPr>
    </w:p>
    <w:p w14:paraId="568DEE7F">
      <w:pPr>
        <w:snapToGrid w:val="0"/>
        <w:spacing w:line="300" w:lineRule="auto"/>
        <w:jc w:val="both"/>
        <w:rPr>
          <w:rFonts w:ascii="Arial" w:hAnsi="Arial" w:eastAsia="宋体" w:cs="Arial"/>
          <w:sz w:val="20"/>
          <w:szCs w:val="20"/>
          <w:lang w:eastAsia="zh-CN"/>
        </w:rPr>
      </w:pPr>
    </w:p>
    <w:p w14:paraId="50861C8D">
      <w:pPr>
        <w:snapToGrid w:val="0"/>
        <w:spacing w:line="300" w:lineRule="auto"/>
        <w:jc w:val="both"/>
        <w:rPr>
          <w:rFonts w:ascii="Arial" w:hAnsi="Arial" w:eastAsia="宋体" w:cs="Arial"/>
          <w:sz w:val="20"/>
          <w:szCs w:val="20"/>
          <w:lang w:eastAsia="zh-CN"/>
        </w:rPr>
      </w:pPr>
    </w:p>
    <w:p w14:paraId="3326BDFA">
      <w:pPr>
        <w:snapToGrid w:val="0"/>
        <w:spacing w:line="300" w:lineRule="auto"/>
        <w:jc w:val="both"/>
        <w:rPr>
          <w:rFonts w:ascii="Arial" w:hAnsi="Arial" w:eastAsia="宋体" w:cs="Arial"/>
          <w:sz w:val="20"/>
          <w:szCs w:val="20"/>
          <w:lang w:eastAsia="zh-CN"/>
        </w:rPr>
      </w:pPr>
    </w:p>
    <w:p w14:paraId="44E48B55">
      <w:pPr>
        <w:snapToGrid w:val="0"/>
        <w:spacing w:line="300" w:lineRule="auto"/>
        <w:jc w:val="both"/>
        <w:rPr>
          <w:rFonts w:ascii="Arial" w:hAnsi="Arial" w:eastAsia="宋体" w:cs="Arial"/>
          <w:sz w:val="20"/>
          <w:szCs w:val="20"/>
          <w:lang w:eastAsia="zh-CN"/>
        </w:rPr>
      </w:pPr>
    </w:p>
    <w:p w14:paraId="4A19B620">
      <w:pPr>
        <w:snapToGrid w:val="0"/>
        <w:spacing w:line="300" w:lineRule="auto"/>
        <w:jc w:val="both"/>
        <w:rPr>
          <w:rFonts w:ascii="Arial" w:hAnsi="Arial" w:eastAsia="宋体" w:cs="Arial"/>
          <w:sz w:val="20"/>
          <w:szCs w:val="20"/>
          <w:lang w:eastAsia="zh-CN"/>
        </w:rPr>
      </w:pPr>
    </w:p>
    <w:p w14:paraId="6C0F2F33">
      <w:pPr>
        <w:snapToGrid w:val="0"/>
        <w:spacing w:line="300" w:lineRule="auto"/>
        <w:jc w:val="both"/>
        <w:rPr>
          <w:rFonts w:ascii="Arial" w:hAnsi="Arial" w:eastAsia="宋体" w:cs="Arial"/>
          <w:sz w:val="20"/>
          <w:szCs w:val="20"/>
          <w:lang w:eastAsia="zh-CN"/>
        </w:rPr>
      </w:pPr>
    </w:p>
    <w:p w14:paraId="18639E48">
      <w:pPr>
        <w:snapToGrid w:val="0"/>
        <w:spacing w:line="300" w:lineRule="auto"/>
        <w:jc w:val="both"/>
        <w:rPr>
          <w:rFonts w:ascii="Arial" w:hAnsi="Arial" w:eastAsia="宋体" w:cs="Arial"/>
          <w:sz w:val="20"/>
          <w:szCs w:val="20"/>
          <w:lang w:eastAsia="zh-CN"/>
        </w:rPr>
      </w:pPr>
    </w:p>
    <w:p w14:paraId="470B71BC">
      <w:pPr>
        <w:snapToGrid w:val="0"/>
        <w:spacing w:line="300" w:lineRule="auto"/>
        <w:jc w:val="both"/>
        <w:rPr>
          <w:rFonts w:ascii="Arial" w:hAnsi="Arial" w:eastAsia="宋体" w:cs="Arial"/>
          <w:sz w:val="20"/>
          <w:szCs w:val="20"/>
          <w:lang w:eastAsia="zh-CN"/>
        </w:rPr>
      </w:pPr>
    </w:p>
    <w:p w14:paraId="62CCC64F">
      <w:pPr>
        <w:snapToGrid w:val="0"/>
        <w:spacing w:line="300" w:lineRule="auto"/>
        <w:jc w:val="both"/>
        <w:rPr>
          <w:rFonts w:ascii="Arial" w:hAnsi="Arial" w:eastAsia="宋体" w:cs="Arial"/>
          <w:sz w:val="20"/>
          <w:szCs w:val="20"/>
          <w:lang w:eastAsia="zh-CN"/>
        </w:rPr>
      </w:pPr>
    </w:p>
    <w:p w14:paraId="7001F2B6">
      <w:pPr>
        <w:snapToGrid w:val="0"/>
        <w:spacing w:before="9" w:line="300" w:lineRule="auto"/>
        <w:jc w:val="both"/>
        <w:rPr>
          <w:rFonts w:ascii="Arial" w:hAnsi="Arial" w:eastAsia="宋体" w:cs="Arial"/>
          <w:sz w:val="21"/>
          <w:szCs w:val="21"/>
          <w:lang w:eastAsia="zh-CN"/>
        </w:rPr>
      </w:pPr>
    </w:p>
    <w:p w14:paraId="586D0245">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4" name="Group 49"/>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5" name="Group 50"/>
                        <wpg:cNvGrpSpPr/>
                        <wpg:grpSpPr>
                          <a:xfrm>
                            <a:off x="6" y="6"/>
                            <a:ext cx="2880" cy="2"/>
                            <a:chOff x="6" y="6"/>
                            <a:chExt cx="2880" cy="2"/>
                          </a:xfrm>
                        </wpg:grpSpPr>
                        <wps:wsp>
                          <wps:cNvPr id="46" name="Freeform 51"/>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9"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D+hIXUAAAAAwEAAA8AAAAAAAAAAQAgAAAAIgAAAGRycy9kb3ducmV2&#10;LnhtbFBLAQIUABQAAAAIAIdO4kC2EucfHQMAAP4HAAAOAAAAAAAAAAEAIAAAACMBAABkcnMvZTJv&#10;RG9jLnhtbFBLBQYAAAAABgAGAFkBAACyBgAAAAA=&#10;">
                <o:lock v:ext="edit" aspectratio="f"/>
                <v:group id="Group 50" o:spid="_x0000_s1026" o:spt="203" style="position:absolute;left:6;top:6;height:2;width:2880;" coordorigin="6,6" coordsize="2880,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51" o:spid="_x0000_s1026" o:spt="100" style="position:absolute;left:6;top:6;height:2;width:2880;" filled="f" stroked="t" coordsize="2880,1" o:gfxdata="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pjc+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362762F">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1</w:t>
      </w:r>
      <w:r>
        <w:rPr>
          <w:rFonts w:ascii="Arial" w:hAnsi="Arial" w:eastAsia="宋体" w:cs="Arial"/>
          <w:sz w:val="20"/>
          <w:szCs w:val="20"/>
          <w:lang w:eastAsia="zh-CN"/>
        </w:rPr>
        <w:t>这表明，对于某些移动医疗应用器械（如附录B中的那些），FDA打算不针对符合FD＆C法案第201（h）节中的器械定义的移动应用制造商（如本指南所述）对FD＆C法案和适用法规的违反采取执法行动。但这并不构成FD＆C法案或任何适用法规要求的变更。</w:t>
      </w:r>
    </w:p>
    <w:p w14:paraId="4249B414">
      <w:pPr>
        <w:snapToGrid w:val="0"/>
        <w:spacing w:line="300" w:lineRule="auto"/>
        <w:rPr>
          <w:rFonts w:ascii="Arial" w:hAnsi="Arial" w:eastAsia="宋体" w:cs="Arial"/>
          <w:sz w:val="20"/>
          <w:szCs w:val="20"/>
          <w:lang w:eastAsia="zh-CN"/>
        </w:rPr>
      </w:pPr>
      <w:bookmarkStart w:id="25" w:name="Mobile_medical_apps:_Subset_of_mobile_ap"/>
      <w:bookmarkEnd w:id="25"/>
      <w:r>
        <w:rPr>
          <w:rFonts w:ascii="Arial" w:hAnsi="Arial" w:eastAsia="宋体" w:cs="Arial"/>
          <w:b/>
          <w:bCs/>
          <w:sz w:val="20"/>
          <w:szCs w:val="20"/>
          <w:lang w:eastAsia="zh-CN"/>
        </w:rPr>
        <w:br w:type="page"/>
      </w:r>
    </w:p>
    <w:p w14:paraId="27178E26">
      <w:pPr>
        <w:pStyle w:val="2"/>
        <w:numPr>
          <w:ilvl w:val="0"/>
          <w:numId w:val="1"/>
        </w:numPr>
        <w:tabs>
          <w:tab w:val="left" w:pos="840"/>
        </w:tabs>
        <w:snapToGrid w:val="0"/>
        <w:spacing w:before="230" w:line="300" w:lineRule="auto"/>
        <w:ind w:left="0" w:firstLine="0"/>
        <w:jc w:val="both"/>
        <w:rPr>
          <w:rFonts w:ascii="Arial" w:hAnsi="Arial" w:eastAsia="宋体" w:cs="Arial"/>
          <w:b w:val="0"/>
          <w:bCs w:val="0"/>
          <w:lang w:eastAsia="zh-CN"/>
        </w:rPr>
      </w:pPr>
      <w:bookmarkStart w:id="26" w:name="_Toc481592026"/>
      <w:r>
        <w:rPr>
          <w:rFonts w:ascii="Arial" w:hAnsi="Arial" w:eastAsia="宋体" w:cs="Arial"/>
          <w:lang w:eastAsia="zh-CN"/>
        </w:rPr>
        <w:t>移动医疗应用的监管方法</w:t>
      </w:r>
      <w:bookmarkEnd w:id="26"/>
    </w:p>
    <w:p w14:paraId="1B07DA78">
      <w:pPr>
        <w:pStyle w:val="6"/>
        <w:snapToGrid w:val="0"/>
        <w:spacing w:line="300" w:lineRule="auto"/>
        <w:ind w:left="0" w:firstLine="0"/>
        <w:jc w:val="both"/>
        <w:rPr>
          <w:rFonts w:ascii="Arial" w:hAnsi="Arial" w:eastAsia="宋体" w:cs="Arial"/>
          <w:position w:val="11"/>
          <w:sz w:val="16"/>
          <w:lang w:eastAsia="zh-CN"/>
        </w:rPr>
      </w:pPr>
      <w:r>
        <w:rPr>
          <w:rFonts w:ascii="Arial" w:hAnsi="Arial" w:eastAsia="宋体" w:cs="Arial"/>
          <w:lang w:eastAsia="zh-CN"/>
        </w:rPr>
        <w:t>如本指南中所述，FDA打算仅将其监管监督应用于那些属于医疗器械且如果移动应用不能以预期的方式运行，其功能可能会对患者的安全造成风险的移动应用。用于监督移动医疗应用的这种方法与我们用于监督产品的医疗器械功能以及其可对患者造成的风险的现有方法（不论形状、大小或平台）相同。FDA认为，如果移动医疗应用无法按预期的方式运行，则这一部分移动医疗应用将与目前受监管的器械一样可对公共卫生造成相同或相似的潜在风险。</w:t>
      </w:r>
    </w:p>
    <w:p w14:paraId="37E8244B">
      <w:pPr>
        <w:snapToGrid w:val="0"/>
        <w:spacing w:before="3" w:line="300" w:lineRule="auto"/>
        <w:jc w:val="both"/>
        <w:rPr>
          <w:rFonts w:ascii="Arial" w:hAnsi="Arial" w:eastAsia="宋体" w:cs="Arial"/>
          <w:sz w:val="24"/>
          <w:szCs w:val="24"/>
          <w:lang w:eastAsia="zh-CN"/>
        </w:rPr>
      </w:pPr>
    </w:p>
    <w:p w14:paraId="7AE75787">
      <w:pPr>
        <w:pStyle w:val="6"/>
        <w:snapToGrid w:val="0"/>
        <w:spacing w:line="300" w:lineRule="auto"/>
        <w:ind w:left="0" w:firstLine="0"/>
        <w:jc w:val="both"/>
        <w:rPr>
          <w:rFonts w:ascii="Arial" w:hAnsi="Arial" w:eastAsia="宋体" w:cs="Arial"/>
          <w:position w:val="11"/>
          <w:sz w:val="16"/>
          <w:lang w:eastAsia="zh-CN"/>
        </w:rPr>
      </w:pPr>
      <w:r>
        <w:rPr>
          <w:rFonts w:ascii="Arial" w:hAnsi="Arial" w:eastAsia="宋体" w:cs="Arial"/>
          <w:lang w:eastAsia="zh-CN"/>
        </w:rPr>
        <w:t>FDA强烈建议所有可能符合器械定义的移动应用的制造商在其移动医疗应用的设计和开发</w:t>
      </w:r>
      <w:r>
        <w:rPr>
          <w:rFonts w:ascii="Arial" w:hAnsi="Arial" w:eastAsia="宋体" w:cs="Arial"/>
          <w:vertAlign w:val="superscript"/>
          <w:lang w:eastAsia="zh-CN"/>
        </w:rPr>
        <w:t>20</w:t>
      </w:r>
      <w:r>
        <w:rPr>
          <w:rFonts w:ascii="Arial" w:hAnsi="Arial" w:eastAsia="宋体" w:cs="Arial"/>
          <w:lang w:eastAsia="zh-CN"/>
        </w:rPr>
        <w:t>中均遵循质量体系</w:t>
      </w:r>
      <w:r>
        <w:rPr>
          <w:rFonts w:ascii="Arial" w:hAnsi="Arial" w:eastAsia="宋体" w:cs="Arial"/>
          <w:vertAlign w:val="superscript"/>
          <w:lang w:eastAsia="zh-CN"/>
        </w:rPr>
        <w:t>19</w:t>
      </w:r>
      <w:r>
        <w:rPr>
          <w:rFonts w:ascii="Arial" w:hAnsi="Arial" w:eastAsia="宋体" w:cs="Arial"/>
          <w:lang w:eastAsia="zh-CN"/>
        </w:rPr>
        <w:t>法规（包括良好生产规范），并对其移动医疗应用开始及时纠正（如果适用），防止患者和用户受到伤害。</w:t>
      </w:r>
    </w:p>
    <w:p w14:paraId="3804B24E">
      <w:pPr>
        <w:snapToGrid w:val="0"/>
        <w:spacing w:line="300" w:lineRule="auto"/>
        <w:jc w:val="both"/>
        <w:rPr>
          <w:rFonts w:ascii="Arial" w:hAnsi="Arial" w:eastAsia="宋体" w:cs="Arial"/>
          <w:sz w:val="24"/>
          <w:szCs w:val="24"/>
          <w:lang w:eastAsia="zh-CN"/>
        </w:rPr>
      </w:pPr>
    </w:p>
    <w:p w14:paraId="55C7B6F1">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对于移动医疗应用，制造商必须满足与适用器械分类相关的要求。如果移动医疗应用本身属于医疗器械类别，则其制造商将受制于与该分类相关的要求。与其他器械一样，移动医疗应用可分为I类（一般控制）、II类（除一般控制之外的特殊控制）或III类（上市前批准）。</w:t>
      </w:r>
      <w:r>
        <w:rPr>
          <w:rFonts w:ascii="Arial" w:hAnsi="Arial" w:eastAsia="宋体" w:cs="Arial"/>
          <w:vertAlign w:val="superscript"/>
          <w:lang w:eastAsia="zh-CN"/>
        </w:rPr>
        <w:t>21</w:t>
      </w:r>
    </w:p>
    <w:p w14:paraId="6A43BC97">
      <w:pPr>
        <w:snapToGrid w:val="0"/>
        <w:spacing w:line="300" w:lineRule="auto"/>
        <w:jc w:val="both"/>
        <w:rPr>
          <w:rFonts w:ascii="Arial" w:hAnsi="Arial" w:eastAsia="宋体" w:cs="Arial"/>
          <w:sz w:val="28"/>
          <w:szCs w:val="28"/>
          <w:lang w:eastAsia="zh-CN"/>
        </w:rPr>
      </w:pPr>
    </w:p>
    <w:p w14:paraId="63538E94">
      <w:pPr>
        <w:pStyle w:val="3"/>
        <w:tabs>
          <w:tab w:val="left" w:pos="659"/>
        </w:tabs>
        <w:snapToGrid w:val="0"/>
        <w:spacing w:before="195" w:line="300" w:lineRule="auto"/>
        <w:ind w:left="0" w:firstLine="0"/>
        <w:jc w:val="both"/>
        <w:rPr>
          <w:rFonts w:eastAsia="宋体" w:cs="Arial"/>
          <w:lang w:eastAsia="zh-CN"/>
        </w:rPr>
      </w:pPr>
      <w:bookmarkStart w:id="27" w:name="_Toc481592027"/>
      <w:r>
        <w:rPr>
          <w:rFonts w:eastAsia="宋体" w:cs="Arial"/>
          <w:spacing w:val="-1"/>
          <w:lang w:eastAsia="zh-CN"/>
        </w:rPr>
        <w:t>A.</w:t>
      </w:r>
      <w:r>
        <w:rPr>
          <w:rFonts w:eastAsia="宋体" w:cs="Arial"/>
          <w:spacing w:val="-1"/>
          <w:lang w:eastAsia="zh-CN"/>
        </w:rPr>
        <w:tab/>
      </w:r>
      <w:r>
        <w:rPr>
          <w:rFonts w:eastAsia="宋体" w:cs="Arial"/>
          <w:spacing w:val="-1"/>
          <w:lang w:eastAsia="zh-CN"/>
        </w:rPr>
        <w:t>移动医疗应用：作为FDA监管监督重点的移动应用的子集</w:t>
      </w:r>
      <w:bookmarkEnd w:id="27"/>
    </w:p>
    <w:p w14:paraId="331D5618">
      <w:pPr>
        <w:snapToGrid w:val="0"/>
        <w:spacing w:before="7" w:line="300" w:lineRule="auto"/>
        <w:jc w:val="both"/>
        <w:rPr>
          <w:rFonts w:ascii="Arial" w:hAnsi="Arial" w:eastAsia="宋体" w:cs="Arial"/>
          <w:b/>
          <w:bCs/>
          <w:i/>
          <w:sz w:val="24"/>
          <w:szCs w:val="24"/>
          <w:lang w:eastAsia="zh-CN"/>
        </w:rPr>
      </w:pPr>
    </w:p>
    <w:p w14:paraId="16D98130">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移动应用的形式可能多种多样，但重要的是要注意，FDA打算仅将对下文和附录C中确定的移动应用的子集进行监管监督。这些移动应用可通过使用附件、显示屏幕、传感器或其他此类方法将移动平台转换为受监管的医疗器械。不管转换背后的机制如何，FDA认为这些移动应用属于移动医疗应用。</w:t>
      </w:r>
    </w:p>
    <w:p w14:paraId="14531AAE">
      <w:pPr>
        <w:pStyle w:val="6"/>
        <w:snapToGrid w:val="0"/>
        <w:spacing w:line="300" w:lineRule="auto"/>
        <w:ind w:left="0" w:firstLine="0"/>
        <w:jc w:val="both"/>
        <w:rPr>
          <w:rFonts w:ascii="Arial" w:hAnsi="Arial" w:eastAsia="宋体" w:cs="Arial"/>
          <w:lang w:eastAsia="zh-CN"/>
        </w:rPr>
      </w:pPr>
    </w:p>
    <w:p w14:paraId="29469BCC">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以下是FDA认为属于受监管监督制约的移动医疗应用：</w:t>
      </w:r>
    </w:p>
    <w:p w14:paraId="2974AA6C">
      <w:pPr>
        <w:snapToGrid w:val="0"/>
        <w:spacing w:line="300" w:lineRule="auto"/>
        <w:jc w:val="both"/>
        <w:rPr>
          <w:rFonts w:ascii="Arial" w:hAnsi="Arial" w:eastAsia="宋体" w:cs="Arial"/>
          <w:sz w:val="20"/>
          <w:szCs w:val="20"/>
          <w:lang w:eastAsia="zh-CN"/>
        </w:rPr>
      </w:pPr>
    </w:p>
    <w:p w14:paraId="69CDA857">
      <w:pPr>
        <w:snapToGrid w:val="0"/>
        <w:spacing w:line="300" w:lineRule="auto"/>
        <w:jc w:val="both"/>
        <w:rPr>
          <w:rFonts w:ascii="Arial" w:hAnsi="Arial" w:eastAsia="宋体" w:cs="Arial"/>
          <w:sz w:val="20"/>
          <w:szCs w:val="20"/>
          <w:lang w:eastAsia="zh-CN"/>
        </w:rPr>
      </w:pPr>
    </w:p>
    <w:p w14:paraId="2BE97F5D">
      <w:pPr>
        <w:snapToGrid w:val="0"/>
        <w:spacing w:line="300" w:lineRule="auto"/>
        <w:jc w:val="both"/>
        <w:rPr>
          <w:rFonts w:ascii="Arial" w:hAnsi="Arial" w:eastAsia="宋体" w:cs="Arial"/>
          <w:sz w:val="20"/>
          <w:szCs w:val="20"/>
          <w:lang w:eastAsia="zh-CN"/>
        </w:rPr>
      </w:pPr>
    </w:p>
    <w:p w14:paraId="2A09F7E3">
      <w:pPr>
        <w:snapToGrid w:val="0"/>
        <w:spacing w:line="300" w:lineRule="auto"/>
        <w:jc w:val="both"/>
        <w:rPr>
          <w:rFonts w:ascii="Arial" w:hAnsi="Arial" w:eastAsia="宋体" w:cs="Arial"/>
          <w:sz w:val="20"/>
          <w:szCs w:val="20"/>
          <w:lang w:eastAsia="zh-CN"/>
        </w:rPr>
      </w:pPr>
    </w:p>
    <w:p w14:paraId="577BC9CD">
      <w:pPr>
        <w:snapToGrid w:val="0"/>
        <w:spacing w:before="5" w:line="300" w:lineRule="auto"/>
        <w:jc w:val="both"/>
        <w:rPr>
          <w:rFonts w:ascii="Arial" w:hAnsi="Arial" w:eastAsia="宋体" w:cs="Arial"/>
          <w:sz w:val="28"/>
          <w:szCs w:val="28"/>
          <w:lang w:eastAsia="zh-CN"/>
        </w:rPr>
      </w:pPr>
    </w:p>
    <w:p w14:paraId="2123B70B">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1" name="Group 4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2" name="Group 47"/>
                        <wpg:cNvGrpSpPr/>
                        <wpg:grpSpPr>
                          <a:xfrm>
                            <a:off x="6" y="6"/>
                            <a:ext cx="2880" cy="2"/>
                            <a:chOff x="6" y="6"/>
                            <a:chExt cx="2880" cy="2"/>
                          </a:xfrm>
                        </wpg:grpSpPr>
                        <wps:wsp>
                          <wps:cNvPr id="43" name="Freeform 48"/>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V9mvEhsDAAD+BwAADgAAAAAAAAABACAAAAAjAQAAZHJzL2Uyb0Rv&#10;Yy54bWxQSwUGAAAAAAYABgBZAQAAsAYAAAAA&#10;">
                <o:lock v:ext="edit" aspectratio="f"/>
                <v:group id="Group 47" o:spid="_x0000_s1026" o:spt="203" style="position:absolute;left:6;top:6;height:2;width:2880;" coordorigin="6,6" coordsize="2880,2"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48" o:spid="_x0000_s1026" o:spt="100" style="position:absolute;left:6;top:6;height:2;width:2880;" filled="f" stroked="t" coordsize="2880,1" o:gfxdata="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4uV7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6FF1BE2">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 xml:space="preserve">19 </w:t>
      </w:r>
      <w:bookmarkStart w:id="28" w:name="_bookmark29"/>
      <w:bookmarkEnd w:id="28"/>
      <w:r>
        <w:rPr>
          <w:rFonts w:ascii="Arial" w:hAnsi="Arial" w:eastAsia="宋体" w:cs="Arial"/>
          <w:sz w:val="20"/>
          <w:szCs w:val="20"/>
          <w:lang w:eastAsia="zh-CN"/>
        </w:rPr>
        <w:t>请参见21 CFR第820部分。</w:t>
      </w:r>
    </w:p>
    <w:p w14:paraId="1347DB4D">
      <w:pPr>
        <w:snapToGrid w:val="0"/>
        <w:spacing w:line="300" w:lineRule="auto"/>
        <w:jc w:val="both"/>
        <w:rPr>
          <w:rFonts w:ascii="Arial" w:hAnsi="Arial" w:eastAsia="宋体" w:cs="Arial"/>
          <w:sz w:val="20"/>
          <w:szCs w:val="20"/>
          <w:lang w:eastAsia="zh-CN"/>
        </w:rPr>
      </w:pPr>
      <w:r>
        <w:rPr>
          <w:rFonts w:ascii="Arial" w:hAnsi="Arial" w:eastAsia="宋体" w:cs="Arial"/>
          <w:position w:val="9"/>
          <w:sz w:val="13"/>
          <w:lang w:eastAsia="zh-CN"/>
        </w:rPr>
        <w:t>20</w:t>
      </w:r>
      <w:r>
        <w:rPr>
          <w:rFonts w:ascii="Arial" w:hAnsi="Arial" w:eastAsia="宋体" w:cs="Arial"/>
          <w:sz w:val="20"/>
          <w:szCs w:val="20"/>
          <w:lang w:eastAsia="zh-CN"/>
        </w:rPr>
        <w:t>FDA已发现，大多数与软件有关的器械故障源于设计错误。在一项研究中，最常见的问题是未能在常规生产之前对软件进行确认。请参见医疗器械；当前的良好生产规范（CGMP）最终规则）；质量体系法规（61 FR 52602）（1996年10月7日）。</w:t>
      </w:r>
    </w:p>
    <w:p w14:paraId="187773D6">
      <w:pPr>
        <w:snapToGrid w:val="0"/>
        <w:spacing w:before="11" w:line="300" w:lineRule="auto"/>
        <w:jc w:val="both"/>
        <w:rPr>
          <w:rFonts w:ascii="Arial" w:hAnsi="Arial" w:eastAsia="宋体" w:cs="Arial"/>
          <w:sz w:val="20"/>
        </w:rPr>
      </w:pPr>
      <w:r>
        <w:rPr>
          <w:rFonts w:ascii="Arial" w:hAnsi="Arial" w:eastAsia="宋体" w:cs="Arial"/>
          <w:position w:val="9"/>
          <w:sz w:val="13"/>
        </w:rPr>
        <w:t>21</w:t>
      </w:r>
      <w:r>
        <w:rPr>
          <w:rFonts w:ascii="Arial" w:hAnsi="Arial" w:eastAsia="宋体" w:cs="Arial"/>
          <w:sz w:val="20"/>
          <w:szCs w:val="20"/>
          <w:lang w:eastAsia="zh-CN"/>
        </w:rPr>
        <w:t>请参</w:t>
      </w:r>
      <w:r>
        <w:rPr>
          <w:rFonts w:ascii="Arial" w:hAnsi="Arial" w:eastAsia="宋体" w:cs="Arial"/>
          <w:sz w:val="20"/>
          <w:szCs w:val="20"/>
        </w:rPr>
        <w:t>见脚注3和4。</w:t>
      </w:r>
    </w:p>
    <w:p w14:paraId="0A5C07A0">
      <w:pPr>
        <w:snapToGrid w:val="0"/>
        <w:spacing w:before="11" w:line="300" w:lineRule="auto"/>
        <w:ind w:left="120"/>
        <w:jc w:val="both"/>
        <w:rPr>
          <w:rFonts w:ascii="Arial" w:hAnsi="Arial" w:eastAsia="宋体" w:cs="Arial"/>
          <w:sz w:val="20"/>
          <w:szCs w:val="20"/>
        </w:rPr>
      </w:pPr>
    </w:p>
    <w:p w14:paraId="5FF23DFC">
      <w:pPr>
        <w:snapToGrid w:val="0"/>
        <w:spacing w:line="300" w:lineRule="auto"/>
        <w:rPr>
          <w:rFonts w:ascii="Arial" w:hAnsi="Arial" w:eastAsia="宋体" w:cs="Arial"/>
          <w:sz w:val="20"/>
          <w:szCs w:val="20"/>
        </w:rPr>
      </w:pPr>
      <w:r>
        <w:rPr>
          <w:rFonts w:ascii="Arial" w:hAnsi="Arial" w:eastAsia="宋体" w:cs="Arial"/>
          <w:sz w:val="20"/>
          <w:szCs w:val="20"/>
        </w:rPr>
        <w:br w:type="page"/>
      </w:r>
    </w:p>
    <w:p w14:paraId="4F8F933E">
      <w:pPr>
        <w:pStyle w:val="5"/>
        <w:numPr>
          <w:ilvl w:val="1"/>
          <w:numId w:val="5"/>
        </w:numPr>
        <w:snapToGrid w:val="0"/>
        <w:spacing w:before="118" w:line="300" w:lineRule="auto"/>
        <w:ind w:left="1441" w:leftChars="470" w:hanging="407" w:hangingChars="169"/>
        <w:jc w:val="both"/>
        <w:rPr>
          <w:rFonts w:ascii="Arial" w:hAnsi="Arial" w:eastAsia="宋体" w:cs="Arial"/>
          <w:b w:val="0"/>
          <w:bCs w:val="0"/>
          <w:lang w:eastAsia="zh-CN"/>
        </w:rPr>
      </w:pPr>
      <w:r>
        <w:rPr>
          <w:rFonts w:ascii="Arial" w:hAnsi="Arial" w:eastAsia="宋体" w:cs="Arial"/>
          <w:lang w:eastAsia="zh-CN"/>
        </w:rPr>
        <w:t>属于通过连接至</w:t>
      </w:r>
      <w:r>
        <w:rPr>
          <w:rFonts w:ascii="Arial" w:hAnsi="Arial" w:eastAsia="宋体" w:cs="Arial"/>
          <w:vertAlign w:val="superscript"/>
          <w:lang w:eastAsia="zh-CN"/>
        </w:rPr>
        <w:t>22</w:t>
      </w:r>
      <w:r>
        <w:rPr>
          <w:rFonts w:ascii="Arial" w:hAnsi="Arial" w:eastAsia="宋体" w:cs="Arial"/>
          <w:lang w:eastAsia="zh-CN"/>
        </w:rPr>
        <w:t>此类器械以控制</w:t>
      </w:r>
      <w:r>
        <w:fldChar w:fldCharType="begin"/>
      </w:r>
      <w:r>
        <w:instrText xml:space="preserve"> HYPERLINK \l "_bookmark33" </w:instrText>
      </w:r>
      <w:r>
        <w:fldChar w:fldCharType="separate"/>
      </w:r>
      <w:r>
        <w:rPr>
          <w:rFonts w:ascii="Arial" w:hAnsi="Arial" w:eastAsia="宋体" w:cs="Arial"/>
          <w:position w:val="11"/>
          <w:sz w:val="16"/>
          <w:lang w:eastAsia="zh-CN"/>
        </w:rPr>
        <w:t>23</w:t>
      </w:r>
      <w:r>
        <w:rPr>
          <w:rFonts w:ascii="Arial" w:hAnsi="Arial" w:eastAsia="宋体" w:cs="Arial"/>
          <w:position w:val="11"/>
          <w:sz w:val="16"/>
          <w:lang w:eastAsia="zh-CN"/>
        </w:rPr>
        <w:fldChar w:fldCharType="end"/>
      </w:r>
      <w:r>
        <w:rPr>
          <w:rFonts w:ascii="Arial" w:hAnsi="Arial" w:eastAsia="宋体" w:cs="Arial"/>
          <w:lang w:eastAsia="zh-CN"/>
        </w:rPr>
        <w:t>此类器械或用于主动患者监视或分析医疗器械数据的一个或多个医疗器械的扩展的移动应用。</w:t>
      </w:r>
    </w:p>
    <w:p w14:paraId="5A181484">
      <w:pPr>
        <w:pStyle w:val="19"/>
        <w:numPr>
          <w:ilvl w:val="2"/>
          <w:numId w:val="5"/>
        </w:numPr>
        <w:snapToGrid w:val="0"/>
        <w:spacing w:before="115" w:line="300" w:lineRule="auto"/>
        <w:ind w:left="2225" w:leftChars="871" w:hanging="309" w:hangingChars="129"/>
        <w:jc w:val="both"/>
        <w:rPr>
          <w:rFonts w:ascii="Arial" w:hAnsi="Arial" w:eastAsia="宋体" w:cs="Arial"/>
          <w:sz w:val="24"/>
          <w:szCs w:val="24"/>
          <w:lang w:eastAsia="zh-CN"/>
        </w:rPr>
      </w:pPr>
      <w:r>
        <w:rPr>
          <w:rFonts w:ascii="Arial" w:hAnsi="Arial" w:eastAsia="宋体" w:cs="Arial"/>
          <w:sz w:val="24"/>
          <w:lang w:eastAsia="zh-CN"/>
        </w:rPr>
        <w:t>患者特定医疗器械数据的显示示例包括：显示直接来自图像存档和通信系统（PACS）服务器的医疗影像，以及远程显示来自临床显示器的数据（请注意，显示医疗器械数据以执行主动患者监测的移动医疗应用（如临床监护仪）受制于与此类器械相关的法规）。</w:t>
      </w:r>
    </w:p>
    <w:p w14:paraId="34CA68E8">
      <w:pPr>
        <w:pStyle w:val="19"/>
        <w:numPr>
          <w:ilvl w:val="2"/>
          <w:numId w:val="5"/>
        </w:numPr>
        <w:snapToGrid w:val="0"/>
        <w:spacing w:before="120" w:line="300" w:lineRule="auto"/>
        <w:ind w:left="2199" w:leftChars="871" w:hanging="283" w:hangingChars="129"/>
        <w:jc w:val="both"/>
        <w:rPr>
          <w:rFonts w:ascii="Arial" w:hAnsi="Arial" w:eastAsia="宋体" w:cs="Arial"/>
          <w:lang w:eastAsia="zh-CN"/>
        </w:rPr>
      </w:pPr>
      <w:r>
        <w:rPr>
          <w:rFonts w:ascii="Arial" w:hAnsi="Arial" w:eastAsia="宋体" w:cs="Arial"/>
          <w:lang w:eastAsia="zh-CN"/>
        </w:rPr>
        <w:t>控制医疗器械的移动应用的示例包括：通过移动平台以及通过从移动平台将控制信号发送到胰岛素泵以控制胰岛素泵上的胰岛素输送的移动应用提供控制血压袖带的充气和放气的应用。</w:t>
      </w:r>
    </w:p>
    <w:p w14:paraId="1AD70A2E">
      <w:pPr>
        <w:pStyle w:val="6"/>
        <w:snapToGrid w:val="0"/>
        <w:spacing w:line="300" w:lineRule="auto"/>
        <w:ind w:left="1739" w:firstLine="0"/>
        <w:jc w:val="both"/>
        <w:rPr>
          <w:rFonts w:ascii="Arial" w:hAnsi="Arial" w:eastAsia="宋体" w:cs="Arial"/>
          <w:lang w:eastAsia="zh-CN"/>
        </w:rPr>
      </w:pPr>
    </w:p>
    <w:p w14:paraId="47118394">
      <w:pPr>
        <w:pStyle w:val="6"/>
        <w:snapToGrid w:val="0"/>
        <w:spacing w:line="300" w:lineRule="auto"/>
        <w:ind w:left="2224" w:leftChars="1010" w:hanging="2" w:hangingChars="1"/>
        <w:jc w:val="both"/>
        <w:rPr>
          <w:rFonts w:ascii="Arial" w:hAnsi="Arial" w:eastAsia="宋体" w:cs="Arial"/>
          <w:lang w:eastAsia="zh-CN"/>
        </w:rPr>
      </w:pPr>
      <w:r>
        <w:rPr>
          <w:rFonts w:ascii="Arial" w:hAnsi="Arial" w:eastAsia="宋体" w:cs="Arial"/>
          <w:lang w:eastAsia="zh-CN"/>
        </w:rPr>
        <w:t>这种类型的移动医疗应用被视为连接器械的附件，并且需要遵守适用于该连接器械的控制。FDA认为，此类移动医疗应用扩展了连接医疗器械的预期用途和功能。因此，移动医疗应用将需要遵守适用于连接医疗器械的法规，以解决任何相关的风险。</w:t>
      </w:r>
    </w:p>
    <w:p w14:paraId="29691539">
      <w:pPr>
        <w:snapToGrid w:val="0"/>
        <w:spacing w:before="10" w:line="300" w:lineRule="auto"/>
        <w:jc w:val="both"/>
        <w:rPr>
          <w:rFonts w:ascii="Arial" w:hAnsi="Arial" w:eastAsia="宋体" w:cs="Arial"/>
          <w:sz w:val="24"/>
          <w:szCs w:val="24"/>
          <w:lang w:eastAsia="zh-CN"/>
        </w:rPr>
      </w:pPr>
    </w:p>
    <w:p w14:paraId="6507CA8B">
      <w:pPr>
        <w:pStyle w:val="5"/>
        <w:numPr>
          <w:ilvl w:val="1"/>
          <w:numId w:val="5"/>
        </w:numPr>
        <w:snapToGrid w:val="0"/>
        <w:spacing w:before="118" w:line="300" w:lineRule="auto"/>
        <w:ind w:left="1441" w:leftChars="470" w:hanging="407" w:hangingChars="169"/>
        <w:jc w:val="both"/>
        <w:rPr>
          <w:rFonts w:ascii="Arial" w:hAnsi="Arial" w:eastAsia="宋体" w:cs="Arial"/>
          <w:lang w:eastAsia="zh-CN"/>
        </w:rPr>
      </w:pPr>
      <w:r>
        <w:rPr>
          <w:rFonts w:ascii="Arial" w:hAnsi="Arial" w:eastAsia="宋体" w:cs="Arial"/>
          <w:lang w:eastAsia="zh-CN"/>
        </w:rPr>
        <w:t>通过使用附件、显示屏幕或传感器或通过并入与当前受监管的医疗器械类似的功能将移动平台转换为受监管医疗器械的移动应用。使用附件、显示屏幕、传感器或其他类似组件以将移动平台转换为受监管医疗器械的移动应用需要符合与转换平台相关的器械分类。</w:t>
      </w:r>
    </w:p>
    <w:p w14:paraId="0F2FC3A5">
      <w:pPr>
        <w:pStyle w:val="19"/>
        <w:numPr>
          <w:ilvl w:val="2"/>
          <w:numId w:val="5"/>
        </w:numPr>
        <w:snapToGrid w:val="0"/>
        <w:spacing w:before="120" w:line="300" w:lineRule="auto"/>
        <w:ind w:left="2225" w:leftChars="871" w:hanging="309" w:hangingChars="129"/>
        <w:jc w:val="both"/>
        <w:rPr>
          <w:rFonts w:ascii="Arial" w:hAnsi="Arial" w:eastAsia="宋体" w:cs="Arial"/>
          <w:sz w:val="24"/>
          <w:szCs w:val="24"/>
          <w:lang w:eastAsia="zh-CN"/>
        </w:rPr>
      </w:pPr>
      <w:r>
        <w:rPr>
          <w:rFonts w:ascii="Arial" w:hAnsi="Arial" w:eastAsia="宋体" w:cs="Arial"/>
          <w:sz w:val="24"/>
          <w:szCs w:val="24"/>
          <w:lang w:eastAsia="zh-CN"/>
        </w:rPr>
        <w:t>这些类型的移动应用的示例包括：将移动平台用于医疗器械功能的移动应用，例如将血糖试纸读取器连接至移动平台，用作血糖计；或将心电图仪（ECG）电极连接至移动平台以测量、存储和显示ECG信号；使用移动平台上的内置加速度计收集运动信息，以监测睡眠呼吸中止症的移动应用；使用在移动平台上的传感器（内部或外部）以创建电子听诊器功能的移动应用被视为将移动平台转换为</w:t>
      </w:r>
      <w:r>
        <w:rPr>
          <w:rFonts w:ascii="Arial" w:hAnsi="Arial" w:eastAsia="宋体" w:cs="Arial"/>
          <w:lang w:eastAsia="zh-CN"/>
        </w:rPr>
        <w:t>电子听诊器</w:t>
      </w:r>
      <w:r>
        <w:rPr>
          <w:rFonts w:ascii="Arial" w:hAnsi="Arial" w:eastAsia="宋体" w:cs="Arial"/>
          <w:sz w:val="24"/>
          <w:szCs w:val="24"/>
          <w:lang w:eastAsia="zh-CN"/>
        </w:rPr>
        <w:t>；这种移动应用的制造商必须遵循21 CFR 870.1875（b）（电子听诊器）的要求；类似地，显示用于诊断的放射影像的移动应用可将移动平台转换为21CFR 892.2050中的II类图像存档和通信系统（PACS）。</w:t>
      </w:r>
    </w:p>
    <w:p w14:paraId="37CA848F">
      <w:pPr>
        <w:snapToGrid w:val="0"/>
        <w:spacing w:before="11" w:line="300" w:lineRule="auto"/>
        <w:jc w:val="both"/>
        <w:rPr>
          <w:rFonts w:ascii="Arial" w:hAnsi="Arial" w:eastAsia="宋体" w:cs="Arial"/>
          <w:sz w:val="11"/>
          <w:szCs w:val="11"/>
          <w:lang w:eastAsia="zh-CN"/>
        </w:rPr>
      </w:pPr>
    </w:p>
    <w:p w14:paraId="67AFC947">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8" name="Group 43"/>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9" name="Group 44"/>
                        <wpg:cNvGrpSpPr/>
                        <wpg:grpSpPr>
                          <a:xfrm>
                            <a:off x="6" y="6"/>
                            <a:ext cx="2880" cy="2"/>
                            <a:chOff x="6" y="6"/>
                            <a:chExt cx="2880" cy="2"/>
                          </a:xfrm>
                        </wpg:grpSpPr>
                        <wps:wsp>
                          <wps:cNvPr id="40" name="Freeform 45"/>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3"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A5uivFGgMAAP4HAAAOAAAAAAAAAAEAIAAAACMBAABkcnMvZTJvRG9j&#10;LnhtbFBLBQYAAAAABgAGAFkBAACvBgAAAAA=&#10;">
                <o:lock v:ext="edit" aspectratio="f"/>
                <v:group id="Group 44" o:spid="_x0000_s1026" o:spt="203" style="position:absolute;left:6;top:6;height:2;width:2880;" coordorigin="6,6" coordsize="2880,2"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Freeform 45" o:spid="_x0000_s1026" o:spt="100" style="position:absolute;left:6;top:6;height:2;width:2880;" filled="f" stroked="t" coordsize="2880,1" o:gfxdata="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ywIL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EFB2DAE">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22</w:t>
      </w:r>
      <w:r>
        <w:rPr>
          <w:rFonts w:ascii="Arial" w:hAnsi="Arial" w:eastAsia="宋体" w:cs="Arial"/>
          <w:sz w:val="20"/>
          <w:szCs w:val="20"/>
          <w:lang w:eastAsia="zh-CN"/>
        </w:rPr>
        <w:t>为了达到这一标准，移动医疗应用无需物理连接至受监管的医疗器械（即连接可以是有线或无线）。</w:t>
      </w:r>
    </w:p>
    <w:p w14:paraId="00FBD3B6">
      <w:pPr>
        <w:snapToGrid w:val="0"/>
        <w:spacing w:line="300" w:lineRule="auto"/>
        <w:jc w:val="both"/>
        <w:rPr>
          <w:rFonts w:ascii="Arial" w:hAnsi="Arial" w:eastAsia="宋体" w:cs="Arial"/>
          <w:sz w:val="20"/>
          <w:lang w:eastAsia="zh-CN"/>
        </w:rPr>
      </w:pPr>
      <w:r>
        <w:rPr>
          <w:rFonts w:ascii="Arial" w:hAnsi="Arial" w:eastAsia="宋体" w:cs="Arial"/>
          <w:position w:val="9"/>
          <w:sz w:val="13"/>
          <w:lang w:eastAsia="zh-CN"/>
        </w:rPr>
        <w:t>23</w:t>
      </w:r>
      <w:r>
        <w:rPr>
          <w:rFonts w:ascii="Arial" w:hAnsi="Arial" w:eastAsia="宋体" w:cs="Arial"/>
          <w:sz w:val="20"/>
          <w:szCs w:val="20"/>
          <w:lang w:eastAsia="zh-CN"/>
        </w:rPr>
        <w:t>控制连接医疗器械的预期用途、功能、模式或能源。</w:t>
      </w:r>
    </w:p>
    <w:p w14:paraId="025DE7E6">
      <w:pPr>
        <w:snapToGrid w:val="0"/>
        <w:spacing w:line="300" w:lineRule="auto"/>
        <w:ind w:left="120"/>
        <w:jc w:val="both"/>
        <w:rPr>
          <w:rFonts w:ascii="Arial" w:hAnsi="Arial" w:eastAsia="宋体" w:cs="Arial"/>
          <w:sz w:val="20"/>
          <w:szCs w:val="20"/>
          <w:lang w:eastAsia="zh-CN"/>
        </w:rPr>
      </w:pPr>
    </w:p>
    <w:p w14:paraId="6488D9E0">
      <w:pPr>
        <w:snapToGrid w:val="0"/>
        <w:spacing w:line="300" w:lineRule="auto"/>
        <w:rPr>
          <w:rFonts w:ascii="Arial" w:hAnsi="Arial" w:eastAsia="宋体" w:cs="Arial"/>
          <w:sz w:val="20"/>
          <w:szCs w:val="20"/>
          <w:lang w:eastAsia="zh-CN"/>
        </w:rPr>
      </w:pPr>
      <w:r>
        <w:rPr>
          <w:rFonts w:ascii="Arial" w:hAnsi="Arial" w:eastAsia="宋体" w:cs="Arial"/>
          <w:sz w:val="20"/>
          <w:szCs w:val="20"/>
          <w:lang w:eastAsia="zh-CN"/>
        </w:rPr>
        <w:br w:type="page"/>
      </w:r>
    </w:p>
    <w:p w14:paraId="7EB961B3">
      <w:pPr>
        <w:pStyle w:val="6"/>
        <w:snapToGrid w:val="0"/>
        <w:spacing w:before="214" w:line="300" w:lineRule="auto"/>
        <w:ind w:left="1740" w:firstLine="0"/>
        <w:jc w:val="both"/>
        <w:rPr>
          <w:rFonts w:ascii="Arial" w:hAnsi="Arial" w:eastAsia="宋体" w:cs="Arial"/>
          <w:lang w:eastAsia="zh-CN"/>
        </w:rPr>
      </w:pPr>
      <w:bookmarkStart w:id="29" w:name="Mobile_Apps_for_which_FDA_intends_to_exe"/>
      <w:bookmarkEnd w:id="29"/>
      <w:r>
        <w:rPr>
          <w:rFonts w:ascii="Arial" w:hAnsi="Arial" w:eastAsia="宋体" w:cs="Arial"/>
          <w:lang w:eastAsia="zh-CN"/>
        </w:rPr>
        <w:t>FDA已许可用于移动平台的多款移动医疗应用以及附件。具体来说，根据21 CFR 870.2300（心脏监护仪），应将根据心电图仪、心电图仪或血压计所产生的信号监测患者心率变异性的患者监测移动应用将被分类为心脏监测软件。使用已许可的监控系统的硬件附件或接口的其他移动医疗应用包括21 CFR 870.1130下的自动电子血压监测器和21 CFR 884.2740下的围产期监测系统。</w:t>
      </w:r>
    </w:p>
    <w:p w14:paraId="54DB1991">
      <w:pPr>
        <w:snapToGrid w:val="0"/>
        <w:spacing w:before="10" w:line="300" w:lineRule="auto"/>
        <w:jc w:val="both"/>
        <w:rPr>
          <w:rFonts w:ascii="Arial" w:hAnsi="Arial" w:eastAsia="宋体" w:cs="Arial"/>
          <w:sz w:val="24"/>
          <w:szCs w:val="24"/>
          <w:lang w:eastAsia="zh-CN"/>
        </w:rPr>
      </w:pPr>
    </w:p>
    <w:p w14:paraId="40EC8C9F">
      <w:pPr>
        <w:pStyle w:val="5"/>
        <w:numPr>
          <w:ilvl w:val="1"/>
          <w:numId w:val="5"/>
        </w:numPr>
        <w:snapToGrid w:val="0"/>
        <w:spacing w:before="118" w:line="300" w:lineRule="auto"/>
        <w:ind w:left="1441" w:leftChars="470" w:hanging="407" w:hangingChars="169"/>
        <w:jc w:val="both"/>
        <w:rPr>
          <w:rFonts w:ascii="Arial" w:hAnsi="Arial" w:eastAsia="宋体" w:cs="Arial"/>
          <w:b w:val="0"/>
          <w:bCs w:val="0"/>
          <w:lang w:eastAsia="zh-CN"/>
        </w:rPr>
      </w:pPr>
      <w:r>
        <w:rPr>
          <w:rFonts w:ascii="Arial" w:hAnsi="Arial" w:eastAsia="宋体" w:cs="Arial"/>
          <w:lang w:eastAsia="zh-CN"/>
        </w:rPr>
        <w:t>通过进行患者特异性分析并提供患者特异性诊断或治疗建议而成为受监管医疗器械（软件）的移动应用。这些类型的移动医疗应用类似于或执行与以前已被许可或批准的那些类型软件器械相同的功能。</w:t>
      </w:r>
    </w:p>
    <w:p w14:paraId="3C91901C">
      <w:pPr>
        <w:pStyle w:val="19"/>
        <w:numPr>
          <w:ilvl w:val="2"/>
          <w:numId w:val="5"/>
        </w:numPr>
        <w:snapToGrid w:val="0"/>
        <w:spacing w:before="120" w:line="300" w:lineRule="auto"/>
        <w:ind w:left="2225" w:leftChars="871" w:hanging="309" w:hangingChars="129"/>
        <w:jc w:val="both"/>
        <w:rPr>
          <w:rFonts w:ascii="Arial" w:hAnsi="Arial" w:eastAsia="宋体" w:cs="Arial"/>
          <w:sz w:val="24"/>
          <w:szCs w:val="24"/>
          <w:lang w:eastAsia="zh-CN"/>
        </w:rPr>
      </w:pPr>
      <w:r>
        <w:rPr>
          <w:rFonts w:ascii="Arial" w:hAnsi="Arial" w:eastAsia="宋体" w:cs="Arial"/>
          <w:sz w:val="24"/>
          <w:szCs w:val="24"/>
          <w:lang w:eastAsia="zh-CN"/>
        </w:rPr>
        <w:t>执行复杂分析或解释来自其他医疗器械的数据（电子收集或手动输入）的移动应用的示例包括：使用患者特异性参数并计算剂量或创建剂量计划以用于放射治疗的应用；计算机辅助检测软件（CAD）图像处理软件</w:t>
      </w:r>
      <w:r>
        <w:rPr>
          <w:rFonts w:ascii="Arial" w:hAnsi="Arial" w:eastAsia="宋体" w:cs="Arial"/>
          <w:sz w:val="24"/>
          <w:szCs w:val="24"/>
          <w:vertAlign w:val="superscript"/>
          <w:lang w:eastAsia="zh-CN"/>
        </w:rPr>
        <w:t>24</w:t>
      </w:r>
      <w:r>
        <w:rPr>
          <w:rFonts w:ascii="Arial" w:hAnsi="Arial" w:eastAsia="宋体" w:cs="Arial"/>
          <w:sz w:val="24"/>
          <w:szCs w:val="24"/>
          <w:lang w:eastAsia="zh-CN"/>
        </w:rPr>
        <w:t>；放射治疗规划软件</w:t>
      </w:r>
      <w:r>
        <w:rPr>
          <w:rFonts w:ascii="Arial" w:hAnsi="Arial" w:eastAsia="宋体" w:cs="Arial"/>
          <w:sz w:val="24"/>
          <w:szCs w:val="24"/>
          <w:vertAlign w:val="superscript"/>
          <w:lang w:eastAsia="zh-CN"/>
        </w:rPr>
        <w:t>25</w:t>
      </w:r>
      <w:r>
        <w:rPr>
          <w:rFonts w:ascii="Arial" w:hAnsi="Arial" w:eastAsia="宋体" w:cs="Arial"/>
          <w:sz w:val="24"/>
          <w:szCs w:val="24"/>
          <w:lang w:eastAsia="zh-CN"/>
        </w:rPr>
        <w:t>。我们认为，这些类型的软件可给患者带来相同的风险水平，无论其在何种平台运行。</w:t>
      </w:r>
    </w:p>
    <w:p w14:paraId="2B8EA767">
      <w:pPr>
        <w:snapToGrid w:val="0"/>
        <w:spacing w:before="2" w:line="300" w:lineRule="auto"/>
        <w:jc w:val="both"/>
        <w:rPr>
          <w:rFonts w:ascii="Arial" w:hAnsi="Arial" w:eastAsia="宋体" w:cs="Arial"/>
          <w:sz w:val="24"/>
          <w:szCs w:val="24"/>
          <w:lang w:eastAsia="zh-CN"/>
        </w:rPr>
      </w:pPr>
    </w:p>
    <w:p w14:paraId="4641F330">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FDA鼓励进行患者特异性分析的移动医疗应用制造商联系FDA，以讨论哪些监管要求（如果有）可能适用于其移动应用。有关其他示例，请参阅0。</w:t>
      </w:r>
    </w:p>
    <w:p w14:paraId="37F52C2A">
      <w:pPr>
        <w:snapToGrid w:val="0"/>
        <w:spacing w:before="3" w:line="300" w:lineRule="auto"/>
        <w:jc w:val="both"/>
        <w:rPr>
          <w:rFonts w:ascii="Arial" w:hAnsi="Arial" w:eastAsia="宋体" w:cs="Arial"/>
          <w:sz w:val="21"/>
          <w:szCs w:val="21"/>
          <w:lang w:eastAsia="zh-CN"/>
        </w:rPr>
      </w:pPr>
    </w:p>
    <w:p w14:paraId="2B73448B">
      <w:pPr>
        <w:pStyle w:val="3"/>
        <w:numPr>
          <w:ilvl w:val="0"/>
          <w:numId w:val="6"/>
        </w:numPr>
        <w:tabs>
          <w:tab w:val="left" w:pos="480"/>
        </w:tabs>
        <w:snapToGrid w:val="0"/>
        <w:spacing w:line="300" w:lineRule="auto"/>
        <w:ind w:left="0" w:firstLine="0"/>
        <w:jc w:val="both"/>
        <w:rPr>
          <w:rFonts w:eastAsia="宋体" w:cs="Arial"/>
          <w:b w:val="0"/>
          <w:bCs w:val="0"/>
          <w:i w:val="0"/>
          <w:lang w:eastAsia="zh-CN"/>
        </w:rPr>
      </w:pPr>
      <w:bookmarkStart w:id="30" w:name="_Toc481592028"/>
      <w:r>
        <w:rPr>
          <w:rFonts w:eastAsia="宋体" w:cs="Arial"/>
          <w:lang w:eastAsia="zh-CN"/>
        </w:rPr>
        <w:t>FDA打算为其行使自由裁量权的移动应用（是指FDA不打算执行FD＆C法案的要求）</w:t>
      </w:r>
      <w:bookmarkEnd w:id="30"/>
    </w:p>
    <w:p w14:paraId="65DFF135">
      <w:pPr>
        <w:snapToGrid w:val="0"/>
        <w:spacing w:line="300" w:lineRule="auto"/>
        <w:jc w:val="both"/>
        <w:rPr>
          <w:rFonts w:ascii="Arial" w:hAnsi="Arial" w:eastAsia="宋体" w:cs="Arial"/>
          <w:b/>
          <w:bCs/>
          <w:i/>
          <w:sz w:val="28"/>
          <w:szCs w:val="28"/>
          <w:lang w:eastAsia="zh-CN"/>
        </w:rPr>
      </w:pPr>
    </w:p>
    <w:p w14:paraId="247561B2">
      <w:pPr>
        <w:snapToGrid w:val="0"/>
        <w:spacing w:before="11" w:line="300" w:lineRule="auto"/>
        <w:jc w:val="both"/>
        <w:rPr>
          <w:rFonts w:ascii="Arial" w:hAnsi="Arial" w:eastAsia="宋体" w:cs="Arial"/>
          <w:b/>
          <w:bCs/>
          <w:i/>
          <w:sz w:val="24"/>
          <w:szCs w:val="24"/>
          <w:lang w:eastAsia="zh-CN"/>
        </w:rPr>
      </w:pPr>
    </w:p>
    <w:p w14:paraId="1AC3BC6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FDA打算为具有以下用途的移动应用行使自由裁量权：</w:t>
      </w:r>
    </w:p>
    <w:p w14:paraId="1205238C">
      <w:pPr>
        <w:snapToGrid w:val="0"/>
        <w:spacing w:before="1" w:line="300" w:lineRule="auto"/>
        <w:jc w:val="both"/>
        <w:rPr>
          <w:rFonts w:ascii="Arial" w:hAnsi="Arial" w:eastAsia="宋体" w:cs="Arial"/>
          <w:sz w:val="26"/>
          <w:szCs w:val="26"/>
          <w:lang w:eastAsia="zh-CN"/>
        </w:rPr>
      </w:pPr>
    </w:p>
    <w:p w14:paraId="42B39EF9">
      <w:pPr>
        <w:pStyle w:val="19"/>
        <w:numPr>
          <w:ilvl w:val="1"/>
          <w:numId w:val="6"/>
        </w:numPr>
        <w:tabs>
          <w:tab w:val="left" w:pos="840"/>
        </w:tabs>
        <w:snapToGrid w:val="0"/>
        <w:spacing w:before="5" w:line="300" w:lineRule="auto"/>
        <w:ind w:left="-2" w:leftChars="-1" w:firstLine="532" w:firstLineChars="222"/>
        <w:jc w:val="both"/>
        <w:rPr>
          <w:rFonts w:ascii="Arial" w:hAnsi="Arial" w:eastAsia="宋体" w:cs="Arial"/>
          <w:sz w:val="24"/>
          <w:szCs w:val="24"/>
          <w:lang w:eastAsia="zh-CN"/>
        </w:rPr>
      </w:pPr>
      <w:r>
        <w:rPr>
          <w:rFonts w:ascii="Arial" w:hAnsi="Arial" w:eastAsia="宋体" w:cs="Arial"/>
          <w:sz w:val="24"/>
          <w:szCs w:val="24"/>
          <w:lang w:eastAsia="zh-CN"/>
        </w:rPr>
        <w:t>帮助患者（即用户）自我管理其疾病或病症，而不提供具体的治疗或治疗建议；</w:t>
      </w:r>
    </w:p>
    <w:p w14:paraId="460F9483">
      <w:pPr>
        <w:pStyle w:val="19"/>
        <w:numPr>
          <w:ilvl w:val="1"/>
          <w:numId w:val="6"/>
        </w:numPr>
        <w:tabs>
          <w:tab w:val="left" w:pos="840"/>
        </w:tabs>
        <w:snapToGrid w:val="0"/>
        <w:spacing w:before="5" w:line="300" w:lineRule="auto"/>
        <w:ind w:left="-2" w:leftChars="-1" w:firstLine="532" w:firstLineChars="222"/>
        <w:jc w:val="both"/>
        <w:rPr>
          <w:rFonts w:ascii="Arial" w:hAnsi="Arial" w:eastAsia="宋体" w:cs="Arial"/>
          <w:sz w:val="24"/>
          <w:szCs w:val="24"/>
          <w:lang w:eastAsia="zh-CN"/>
        </w:rPr>
      </w:pPr>
      <w:r>
        <w:rPr>
          <w:rFonts w:ascii="Arial" w:hAnsi="Arial" w:eastAsia="宋体" w:cs="Arial"/>
          <w:sz w:val="24"/>
          <w:szCs w:val="24"/>
          <w:lang w:eastAsia="zh-CN"/>
        </w:rPr>
        <w:t>为患者提供简单工具来组织和跟踪其健康信息；</w:t>
      </w:r>
    </w:p>
    <w:p w14:paraId="08BB897D">
      <w:pPr>
        <w:pStyle w:val="19"/>
        <w:numPr>
          <w:ilvl w:val="1"/>
          <w:numId w:val="6"/>
        </w:numPr>
        <w:tabs>
          <w:tab w:val="left" w:pos="840"/>
        </w:tabs>
        <w:snapToGrid w:val="0"/>
        <w:spacing w:before="5" w:line="300" w:lineRule="auto"/>
        <w:ind w:left="-2" w:leftChars="-1" w:firstLine="532" w:firstLineChars="222"/>
        <w:jc w:val="both"/>
        <w:rPr>
          <w:rFonts w:ascii="Arial" w:hAnsi="Arial" w:eastAsia="宋体" w:cs="Arial"/>
          <w:sz w:val="24"/>
          <w:szCs w:val="24"/>
          <w:lang w:eastAsia="zh-CN"/>
        </w:rPr>
      </w:pPr>
      <w:r>
        <w:rPr>
          <w:rFonts w:ascii="Arial" w:hAnsi="Arial" w:eastAsia="宋体" w:cs="Arial"/>
          <w:sz w:val="24"/>
          <w:szCs w:val="24"/>
          <w:lang w:eastAsia="zh-CN"/>
        </w:rPr>
        <w:t>提供对患者健康状况或治疗有关的信息的轻松访问；</w:t>
      </w:r>
    </w:p>
    <w:p w14:paraId="7886EF17">
      <w:pPr>
        <w:pStyle w:val="19"/>
        <w:numPr>
          <w:ilvl w:val="1"/>
          <w:numId w:val="6"/>
        </w:numPr>
        <w:tabs>
          <w:tab w:val="left" w:pos="840"/>
        </w:tabs>
        <w:snapToGrid w:val="0"/>
        <w:spacing w:before="5" w:line="300" w:lineRule="auto"/>
        <w:ind w:left="-2" w:leftChars="-1" w:firstLine="532" w:firstLineChars="222"/>
        <w:jc w:val="both"/>
        <w:rPr>
          <w:rFonts w:ascii="Arial" w:hAnsi="Arial" w:eastAsia="宋体" w:cs="Arial"/>
          <w:sz w:val="24"/>
          <w:szCs w:val="24"/>
          <w:lang w:eastAsia="zh-CN"/>
        </w:rPr>
      </w:pPr>
      <w:r>
        <w:rPr>
          <w:rFonts w:ascii="Arial" w:hAnsi="Arial" w:eastAsia="宋体" w:cs="Arial"/>
          <w:sz w:val="24"/>
          <w:szCs w:val="24"/>
          <w:lang w:eastAsia="zh-CN"/>
        </w:rPr>
        <w:t>帮助患者记录、显示或向医疗服务人员传达潜在的医疗状况；</w:t>
      </w:r>
    </w:p>
    <w:p w14:paraId="6CAF2666">
      <w:pPr>
        <w:pStyle w:val="19"/>
        <w:numPr>
          <w:ilvl w:val="1"/>
          <w:numId w:val="6"/>
        </w:numPr>
        <w:tabs>
          <w:tab w:val="left" w:pos="840"/>
        </w:tabs>
        <w:snapToGrid w:val="0"/>
        <w:spacing w:before="5" w:line="300" w:lineRule="auto"/>
        <w:ind w:left="-2" w:leftChars="-1" w:firstLine="532" w:firstLineChars="222"/>
        <w:jc w:val="both"/>
        <w:rPr>
          <w:rFonts w:ascii="Arial" w:hAnsi="Arial" w:eastAsia="宋体" w:cs="Arial"/>
          <w:sz w:val="24"/>
          <w:szCs w:val="24"/>
          <w:lang w:eastAsia="zh-CN"/>
        </w:rPr>
      </w:pPr>
      <w:r>
        <w:rPr>
          <w:rFonts w:ascii="Arial" w:hAnsi="Arial" w:eastAsia="宋体" w:cs="Arial"/>
          <w:sz w:val="24"/>
          <w:szCs w:val="24"/>
          <w:lang w:eastAsia="zh-CN"/>
        </w:rPr>
        <w:t>为医疗服务人员自动执行简单任务；</w:t>
      </w:r>
    </w:p>
    <w:p w14:paraId="1F256F1E">
      <w:pPr>
        <w:snapToGrid w:val="0"/>
        <w:spacing w:before="10" w:line="300" w:lineRule="auto"/>
        <w:jc w:val="both"/>
        <w:rPr>
          <w:rFonts w:ascii="Arial" w:hAnsi="Arial" w:eastAsia="宋体" w:cs="Arial"/>
          <w:sz w:val="23"/>
          <w:szCs w:val="23"/>
          <w:lang w:eastAsia="zh-CN"/>
        </w:rPr>
      </w:pPr>
    </w:p>
    <w:p w14:paraId="59DB17AF">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5" name="Group 4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6" name="Group 41"/>
                        <wpg:cNvGrpSpPr/>
                        <wpg:grpSpPr>
                          <a:xfrm>
                            <a:off x="6" y="6"/>
                            <a:ext cx="2880" cy="2"/>
                            <a:chOff x="6" y="6"/>
                            <a:chExt cx="2880" cy="2"/>
                          </a:xfrm>
                        </wpg:grpSpPr>
                        <wps:wsp>
                          <wps:cNvPr id="37" name="Freeform 4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4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dFPxYGgMAAP4HAAAOAAAAAAAAAAEAIAAAACMBAABkcnMvZTJvRG9j&#10;LnhtbFBLBQYAAAAABgAGAFkBAACvBgAAAAA=&#10;">
                <o:lock v:ext="edit" aspectratio="f"/>
                <v:group id="Group 41" o:spid="_x0000_s1026" o:spt="203" style="position:absolute;left:6;top:6;height:2;width:2880;" coordorigin="6,6" coordsize="2880,2"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Freeform 42" o:spid="_x0000_s1026" o:spt="100" style="position:absolute;left:6;top:6;height:2;width:2880;" filled="f" stroked="t" coordsize="2880,1" o:gfxdata="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NbK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09FD590">
      <w:pPr>
        <w:snapToGrid w:val="0"/>
        <w:spacing w:before="71" w:line="300" w:lineRule="auto"/>
        <w:jc w:val="both"/>
        <w:rPr>
          <w:rFonts w:ascii="Arial" w:hAnsi="Arial" w:eastAsia="宋体" w:cs="Arial"/>
          <w:sz w:val="20"/>
          <w:szCs w:val="20"/>
        </w:rPr>
      </w:pPr>
      <w:r>
        <w:rPr>
          <w:rFonts w:ascii="Arial" w:hAnsi="Arial" w:eastAsia="宋体" w:cs="Arial"/>
          <w:position w:val="9"/>
          <w:sz w:val="13"/>
        </w:rPr>
        <w:t xml:space="preserve">24 </w:t>
      </w:r>
      <w:bookmarkStart w:id="31" w:name="_bookmark35"/>
      <w:bookmarkEnd w:id="31"/>
      <w:r>
        <w:rPr>
          <w:rFonts w:ascii="Arial" w:hAnsi="Arial" w:eastAsia="宋体" w:cs="Arial"/>
          <w:sz w:val="20"/>
        </w:rPr>
        <w:t>21 CFR</w:t>
      </w:r>
      <w:r>
        <w:rPr>
          <w:rFonts w:ascii="Arial" w:hAnsi="Arial" w:eastAsia="宋体" w:cs="Arial"/>
          <w:spacing w:val="12"/>
          <w:sz w:val="20"/>
        </w:rPr>
        <w:t xml:space="preserve"> </w:t>
      </w:r>
      <w:r>
        <w:rPr>
          <w:rFonts w:ascii="Arial" w:hAnsi="Arial" w:eastAsia="宋体" w:cs="Arial"/>
          <w:sz w:val="20"/>
        </w:rPr>
        <w:t>892.2050.</w:t>
      </w:r>
    </w:p>
    <w:p w14:paraId="3F249215">
      <w:pPr>
        <w:snapToGrid w:val="0"/>
        <w:spacing w:line="300" w:lineRule="auto"/>
        <w:jc w:val="both"/>
        <w:rPr>
          <w:rFonts w:ascii="Arial" w:hAnsi="Arial" w:eastAsia="宋体" w:cs="Arial"/>
          <w:sz w:val="20"/>
          <w:szCs w:val="20"/>
        </w:rPr>
      </w:pPr>
      <w:r>
        <w:rPr>
          <w:rFonts w:ascii="Arial" w:hAnsi="Arial" w:eastAsia="宋体" w:cs="Arial"/>
          <w:position w:val="9"/>
          <w:sz w:val="13"/>
        </w:rPr>
        <w:t xml:space="preserve">25 </w:t>
      </w:r>
      <w:bookmarkStart w:id="32" w:name="_bookmark36"/>
      <w:bookmarkEnd w:id="32"/>
      <w:r>
        <w:rPr>
          <w:rFonts w:ascii="Arial" w:hAnsi="Arial" w:eastAsia="宋体" w:cs="Arial"/>
          <w:sz w:val="20"/>
        </w:rPr>
        <w:t>21 CFR</w:t>
      </w:r>
      <w:r>
        <w:rPr>
          <w:rFonts w:ascii="Arial" w:hAnsi="Arial" w:eastAsia="宋体" w:cs="Arial"/>
          <w:spacing w:val="12"/>
          <w:sz w:val="20"/>
        </w:rPr>
        <w:t xml:space="preserve"> </w:t>
      </w:r>
      <w:r>
        <w:rPr>
          <w:rFonts w:ascii="Arial" w:hAnsi="Arial" w:eastAsia="宋体" w:cs="Arial"/>
          <w:sz w:val="20"/>
        </w:rPr>
        <w:t>892.5050.</w:t>
      </w:r>
    </w:p>
    <w:p w14:paraId="1BEF4F29">
      <w:pPr>
        <w:snapToGrid w:val="0"/>
        <w:spacing w:line="300" w:lineRule="auto"/>
        <w:rPr>
          <w:rFonts w:ascii="Arial" w:hAnsi="Arial" w:eastAsia="宋体" w:cs="Arial"/>
          <w:sz w:val="20"/>
          <w:szCs w:val="20"/>
        </w:rPr>
      </w:pPr>
      <w:r>
        <w:rPr>
          <w:rFonts w:ascii="Arial" w:hAnsi="Arial" w:eastAsia="宋体" w:cs="Arial"/>
          <w:sz w:val="20"/>
          <w:szCs w:val="20"/>
        </w:rPr>
        <w:br w:type="page"/>
      </w:r>
    </w:p>
    <w:p w14:paraId="09189653">
      <w:pPr>
        <w:pStyle w:val="19"/>
        <w:numPr>
          <w:ilvl w:val="1"/>
          <w:numId w:val="6"/>
        </w:numPr>
        <w:tabs>
          <w:tab w:val="left" w:pos="840"/>
        </w:tabs>
        <w:snapToGrid w:val="0"/>
        <w:spacing w:before="5" w:line="300" w:lineRule="auto"/>
        <w:ind w:left="837" w:leftChars="241" w:hanging="307" w:hangingChars="128"/>
        <w:jc w:val="both"/>
        <w:rPr>
          <w:rFonts w:ascii="Arial" w:hAnsi="Arial" w:eastAsia="宋体" w:cs="Arial"/>
          <w:sz w:val="24"/>
          <w:szCs w:val="24"/>
          <w:lang w:eastAsia="zh-CN"/>
        </w:rPr>
      </w:pPr>
      <w:r>
        <w:rPr>
          <w:rFonts w:ascii="Arial" w:hAnsi="Arial" w:eastAsia="宋体" w:cs="Arial"/>
          <w:sz w:val="24"/>
          <w:szCs w:val="24"/>
          <w:lang w:eastAsia="zh-CN"/>
        </w:rPr>
        <w:t>使患者或供应商与个人健康记录（PHR）或电子健康记录（EHR）系统进行交互；或</w:t>
      </w:r>
    </w:p>
    <w:p w14:paraId="2A2814C3">
      <w:pPr>
        <w:pStyle w:val="19"/>
        <w:numPr>
          <w:ilvl w:val="1"/>
          <w:numId w:val="6"/>
        </w:numPr>
        <w:tabs>
          <w:tab w:val="left" w:pos="840"/>
        </w:tabs>
        <w:snapToGrid w:val="0"/>
        <w:spacing w:before="5" w:line="300" w:lineRule="auto"/>
        <w:ind w:left="837" w:leftChars="241" w:hanging="307" w:hangingChars="128"/>
        <w:jc w:val="both"/>
        <w:rPr>
          <w:rFonts w:ascii="Arial" w:hAnsi="Arial" w:eastAsia="宋体" w:cs="Arial"/>
          <w:sz w:val="24"/>
          <w:szCs w:val="24"/>
          <w:lang w:eastAsia="zh-CN"/>
        </w:rPr>
      </w:pPr>
      <w:r>
        <w:rPr>
          <w:rFonts w:ascii="Arial" w:hAnsi="Arial" w:eastAsia="宋体" w:cs="Arial"/>
          <w:sz w:val="24"/>
          <w:szCs w:val="24"/>
          <w:lang w:eastAsia="zh-CN"/>
        </w:rPr>
        <w:t>旨在传输、存储、转换格式和以其原始格式医疗显示来自医疗器械的医疗器械数据（如MDDS法规880.6310 OUG所定义）。</w:t>
      </w:r>
    </w:p>
    <w:p w14:paraId="0BB6BC25">
      <w:pPr>
        <w:snapToGrid w:val="0"/>
        <w:spacing w:before="9" w:line="300" w:lineRule="auto"/>
        <w:jc w:val="both"/>
        <w:rPr>
          <w:rFonts w:ascii="Arial" w:hAnsi="Arial" w:eastAsia="宋体" w:cs="Arial"/>
          <w:sz w:val="23"/>
          <w:szCs w:val="23"/>
          <w:lang w:eastAsia="zh-CN"/>
        </w:rPr>
      </w:pPr>
    </w:p>
    <w:p w14:paraId="064F725F">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上述类别中的以及下面列出的一些移动应用可能被视为移动医疗应用，而其他移动应用可能不属于移动医疗应用。对于下面列出且属于器械的那些移动应用，由于其对患者造成的风险较低，FDA打算行使自由裁量权。</w:t>
      </w:r>
    </w:p>
    <w:p w14:paraId="68D923E6">
      <w:pPr>
        <w:pStyle w:val="6"/>
        <w:snapToGrid w:val="0"/>
        <w:spacing w:line="300" w:lineRule="auto"/>
        <w:ind w:left="0" w:firstLine="0"/>
        <w:jc w:val="both"/>
        <w:rPr>
          <w:rFonts w:ascii="Arial" w:hAnsi="Arial" w:eastAsia="宋体" w:cs="Arial"/>
          <w:lang w:eastAsia="zh-CN"/>
        </w:rPr>
      </w:pPr>
    </w:p>
    <w:p w14:paraId="7A23EA1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以下示例代表了FDA将为其行使自由裁量权的移动应用：</w:t>
      </w:r>
    </w:p>
    <w:p w14:paraId="4BA7F477">
      <w:pPr>
        <w:snapToGrid w:val="0"/>
        <w:spacing w:before="2" w:line="300" w:lineRule="auto"/>
        <w:jc w:val="both"/>
        <w:rPr>
          <w:rFonts w:ascii="Arial" w:hAnsi="Arial" w:eastAsia="宋体" w:cs="Arial"/>
          <w:sz w:val="25"/>
          <w:szCs w:val="25"/>
          <w:lang w:eastAsia="zh-CN"/>
        </w:rPr>
      </w:pPr>
    </w:p>
    <w:p w14:paraId="764C40A2">
      <w:pPr>
        <w:pStyle w:val="19"/>
        <w:numPr>
          <w:ilvl w:val="0"/>
          <w:numId w:val="7"/>
        </w:numPr>
        <w:snapToGrid w:val="0"/>
        <w:spacing w:line="300" w:lineRule="auto"/>
        <w:ind w:left="504" w:hanging="504" w:hangingChars="209"/>
        <w:jc w:val="both"/>
        <w:rPr>
          <w:rFonts w:ascii="Arial" w:hAnsi="Arial" w:eastAsia="宋体" w:cs="Arial"/>
          <w:sz w:val="24"/>
          <w:szCs w:val="24"/>
          <w:lang w:eastAsia="zh-CN"/>
        </w:rPr>
      </w:pPr>
      <w:r>
        <w:rPr>
          <w:rFonts w:ascii="Arial" w:hAnsi="Arial" w:eastAsia="宋体" w:cs="Arial"/>
          <w:b/>
          <w:bCs/>
          <w:sz w:val="24"/>
          <w:szCs w:val="24"/>
          <w:lang w:eastAsia="zh-CN"/>
        </w:rPr>
        <w:t>通过指导或提示来提供或促进补充临床护理以帮助患者在日常环境中管理健康的移动应用。</w:t>
      </w:r>
      <w:r>
        <w:rPr>
          <w:rFonts w:ascii="Arial" w:hAnsi="Arial" w:eastAsia="宋体" w:cs="Arial"/>
          <w:sz w:val="24"/>
          <w:szCs w:val="24"/>
          <w:lang w:eastAsia="zh-CN"/>
        </w:rPr>
        <w:t>- 这些应用为通过在日常环境中促进行为改变或指导患有特定疾病或明显身体健康状况的患者来补充</w:t>
      </w:r>
      <w:r>
        <w:rPr>
          <w:rFonts w:ascii="Arial" w:hAnsi="Arial" w:eastAsia="宋体" w:cs="Arial"/>
          <w:sz w:val="24"/>
          <w:szCs w:val="24"/>
          <w:vertAlign w:val="superscript"/>
          <w:lang w:eastAsia="zh-CN"/>
        </w:rPr>
        <w:t>26</w:t>
      </w:r>
      <w:r>
        <w:rPr>
          <w:rFonts w:ascii="Arial" w:hAnsi="Arial" w:eastAsia="宋体" w:cs="Arial"/>
          <w:sz w:val="24"/>
          <w:szCs w:val="24"/>
          <w:lang w:eastAsia="zh-CN"/>
        </w:rPr>
        <w:t>专业临床护理的应用。示例包括：</w:t>
      </w:r>
    </w:p>
    <w:p w14:paraId="7C46D2BE">
      <w:pPr>
        <w:pStyle w:val="19"/>
        <w:numPr>
          <w:ilvl w:val="1"/>
          <w:numId w:val="7"/>
        </w:numPr>
        <w:tabs>
          <w:tab w:val="left" w:pos="1560"/>
        </w:tabs>
        <w:snapToGrid w:val="0"/>
        <w:spacing w:before="5" w:line="300" w:lineRule="auto"/>
        <w:ind w:left="978" w:leftChars="241" w:hanging="448" w:hangingChars="187"/>
        <w:jc w:val="both"/>
        <w:rPr>
          <w:rFonts w:ascii="Arial" w:hAnsi="Arial" w:eastAsia="宋体" w:cs="Arial"/>
          <w:sz w:val="24"/>
          <w:szCs w:val="24"/>
          <w:lang w:eastAsia="zh-CN"/>
        </w:rPr>
      </w:pPr>
      <w:r>
        <w:rPr>
          <w:rFonts w:ascii="Arial" w:hAnsi="Arial" w:eastAsia="宋体" w:cs="Arial"/>
          <w:sz w:val="24"/>
          <w:lang w:eastAsia="zh-CN"/>
        </w:rPr>
        <w:t>指导患有心血管疾病、高血压、糖尿病或肥胖等病症的患者，并提供通过简单提示来维持健康体重、获得最佳营养、锻炼和保持健康、管理盐摄入量或遵守预定药物给药方案</w:t>
      </w:r>
      <w:r>
        <w:rPr>
          <w:rFonts w:ascii="Arial" w:hAnsi="Arial" w:eastAsia="宋体" w:cs="Arial"/>
          <w:sz w:val="24"/>
          <w:vertAlign w:val="superscript"/>
          <w:lang w:eastAsia="zh-CN"/>
        </w:rPr>
        <w:t>27</w:t>
      </w:r>
      <w:r>
        <w:rPr>
          <w:rFonts w:ascii="Arial" w:hAnsi="Arial" w:eastAsia="宋体" w:cs="Arial"/>
          <w:sz w:val="24"/>
          <w:lang w:eastAsia="zh-CN"/>
        </w:rPr>
        <w:t>策略的应用。</w:t>
      </w:r>
    </w:p>
    <w:p w14:paraId="463D3A5A">
      <w:pPr>
        <w:snapToGrid w:val="0"/>
        <w:spacing w:before="1" w:line="300" w:lineRule="auto"/>
        <w:jc w:val="both"/>
        <w:rPr>
          <w:rFonts w:ascii="Arial" w:hAnsi="Arial" w:eastAsia="宋体" w:cs="Arial"/>
          <w:sz w:val="25"/>
          <w:szCs w:val="25"/>
          <w:lang w:eastAsia="zh-CN"/>
        </w:rPr>
      </w:pPr>
    </w:p>
    <w:p w14:paraId="6C9F819F">
      <w:pPr>
        <w:pStyle w:val="19"/>
        <w:numPr>
          <w:ilvl w:val="0"/>
          <w:numId w:val="7"/>
        </w:numPr>
        <w:snapToGrid w:val="0"/>
        <w:spacing w:line="300" w:lineRule="auto"/>
        <w:ind w:left="504" w:hanging="504" w:hangingChars="209"/>
        <w:jc w:val="both"/>
        <w:rPr>
          <w:rFonts w:ascii="Arial" w:hAnsi="Arial" w:eastAsia="宋体" w:cs="Arial"/>
          <w:sz w:val="24"/>
          <w:szCs w:val="24"/>
          <w:lang w:eastAsia="zh-CN"/>
        </w:rPr>
      </w:pPr>
      <w:r>
        <w:rPr>
          <w:rFonts w:ascii="Arial" w:hAnsi="Arial" w:eastAsia="宋体" w:cs="Arial"/>
          <w:b/>
          <w:bCs/>
          <w:sz w:val="24"/>
          <w:szCs w:val="24"/>
          <w:lang w:eastAsia="zh-CN"/>
        </w:rPr>
        <w:t>为患者提供简单工具来组织和跟踪其健康信息的移动应用</w:t>
      </w:r>
      <w:r>
        <w:rPr>
          <w:rFonts w:ascii="Arial" w:hAnsi="Arial" w:eastAsia="宋体" w:cs="Arial"/>
          <w:sz w:val="24"/>
          <w:szCs w:val="24"/>
          <w:lang w:eastAsia="zh-CN"/>
        </w:rPr>
        <w:t>-这些应用是为患者提供工具</w:t>
      </w:r>
      <w:r>
        <w:rPr>
          <w:rFonts w:ascii="Arial" w:hAnsi="Arial" w:eastAsia="宋体" w:cs="Arial"/>
          <w:sz w:val="24"/>
          <w:szCs w:val="24"/>
          <w:vertAlign w:val="superscript"/>
          <w:lang w:eastAsia="zh-CN"/>
        </w:rPr>
        <w:t>28</w:t>
      </w:r>
      <w:r>
        <w:rPr>
          <w:rFonts w:ascii="Arial" w:hAnsi="Arial" w:eastAsia="宋体" w:cs="Arial"/>
          <w:sz w:val="24"/>
          <w:szCs w:val="24"/>
          <w:lang w:eastAsia="zh-CN"/>
        </w:rPr>
        <w:t>来组织和跟踪健康信息，而不提供改变或</w:t>
      </w:r>
      <w:r>
        <w:rPr>
          <w:rFonts w:ascii="Arial" w:hAnsi="Arial" w:eastAsia="宋体" w:cs="Arial"/>
          <w:b/>
          <w:bCs/>
          <w:sz w:val="24"/>
          <w:szCs w:val="24"/>
          <w:lang w:eastAsia="zh-CN"/>
        </w:rPr>
        <w:t>更改</w:t>
      </w:r>
      <w:r>
        <w:rPr>
          <w:rFonts w:ascii="Arial" w:hAnsi="Arial" w:eastAsia="宋体" w:cs="Arial"/>
          <w:sz w:val="24"/>
          <w:szCs w:val="24"/>
          <w:lang w:eastAsia="zh-CN"/>
        </w:rPr>
        <w:t>先前规定的治疗或疗法的建议的应用。示例包括：</w:t>
      </w:r>
    </w:p>
    <w:p w14:paraId="336AC705">
      <w:pPr>
        <w:pStyle w:val="19"/>
        <w:numPr>
          <w:ilvl w:val="1"/>
          <w:numId w:val="7"/>
        </w:numPr>
        <w:tabs>
          <w:tab w:val="left" w:pos="1560"/>
        </w:tabs>
        <w:snapToGrid w:val="0"/>
        <w:spacing w:before="5" w:line="300" w:lineRule="auto"/>
        <w:ind w:left="978" w:leftChars="241" w:hanging="448" w:hangingChars="187"/>
        <w:jc w:val="both"/>
        <w:rPr>
          <w:rFonts w:ascii="Arial" w:hAnsi="Arial" w:eastAsia="宋体" w:cs="Arial"/>
          <w:sz w:val="24"/>
          <w:szCs w:val="24"/>
          <w:lang w:eastAsia="zh-CN"/>
        </w:rPr>
      </w:pPr>
      <w:r>
        <w:rPr>
          <w:rFonts w:ascii="Arial" w:hAnsi="Arial" w:eastAsia="宋体" w:cs="Arial"/>
          <w:sz w:val="24"/>
          <w:lang w:eastAsia="zh-CN"/>
        </w:rPr>
        <w:t>为具有特定病症或慢性疾病（例如肥胖、厌食、关节炎、糖尿病、心脏病）的患者提供简单工具以记录、跟踪或预测其事件或测量（例如血压测量、药物摄入时间、 饮食、日常生活或情绪状态），并将该信息与医疗服务人员分享以作为疾病管理计划一部分的应用。</w:t>
      </w:r>
    </w:p>
    <w:p w14:paraId="6C93D720">
      <w:pPr>
        <w:snapToGrid w:val="0"/>
        <w:spacing w:line="300" w:lineRule="auto"/>
        <w:jc w:val="both"/>
        <w:rPr>
          <w:rFonts w:ascii="Arial" w:hAnsi="Arial" w:eastAsia="宋体" w:cs="Arial"/>
          <w:sz w:val="20"/>
          <w:szCs w:val="20"/>
          <w:lang w:eastAsia="zh-CN"/>
        </w:rPr>
      </w:pPr>
    </w:p>
    <w:p w14:paraId="67727DD8">
      <w:pPr>
        <w:snapToGrid w:val="0"/>
        <w:spacing w:line="300" w:lineRule="auto"/>
        <w:jc w:val="both"/>
        <w:rPr>
          <w:rFonts w:ascii="Arial" w:hAnsi="Arial" w:eastAsia="宋体" w:cs="Arial"/>
          <w:sz w:val="20"/>
          <w:szCs w:val="20"/>
          <w:lang w:eastAsia="zh-CN"/>
        </w:rPr>
      </w:pPr>
    </w:p>
    <w:p w14:paraId="1132A3E2">
      <w:pPr>
        <w:snapToGrid w:val="0"/>
        <w:spacing w:before="9" w:line="300" w:lineRule="auto"/>
        <w:jc w:val="both"/>
        <w:rPr>
          <w:rFonts w:ascii="Arial" w:hAnsi="Arial" w:eastAsia="宋体" w:cs="Arial"/>
          <w:sz w:val="12"/>
          <w:szCs w:val="12"/>
          <w:lang w:eastAsia="zh-CN"/>
        </w:rPr>
      </w:pPr>
    </w:p>
    <w:p w14:paraId="16232B88">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2" name="Group 3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3" name="Group 38"/>
                        <wpg:cNvGrpSpPr/>
                        <wpg:grpSpPr>
                          <a:xfrm>
                            <a:off x="6" y="6"/>
                            <a:ext cx="2880" cy="2"/>
                            <a:chOff x="6" y="6"/>
                            <a:chExt cx="2880" cy="2"/>
                          </a:xfrm>
                        </wpg:grpSpPr>
                        <wps:wsp>
                          <wps:cNvPr id="34" name="Freeform 3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MbZFyBsDAAD+BwAADgAAAAAAAAABACAAAAAjAQAAZHJzL2Uyb0Rv&#10;Yy54bWxQSwUGAAAAAAYABgBZAQAAsAYAAAAA&#10;">
                <o:lock v:ext="edit" aspectratio="f"/>
                <v:group id="Group 38" o:spid="_x0000_s1026" o:spt="203" style="position:absolute;left:6;top:6;height:2;width:2880;" coordorigin="6,6" coordsize="2880,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39" o:spid="_x0000_s1026" o:spt="100" style="position:absolute;left:6;top:6;height:2;width:2880;" filled="f" stroked="t" coordsize="2880,1" o:gfxdata="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FX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A8D5056">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26</w:t>
      </w:r>
      <w:r>
        <w:rPr>
          <w:rFonts w:ascii="Arial" w:hAnsi="Arial" w:eastAsia="宋体" w:cs="Arial"/>
          <w:sz w:val="20"/>
          <w:szCs w:val="20"/>
          <w:lang w:eastAsia="zh-CN"/>
        </w:rPr>
        <w:t>我们的意思是，该应用可以由患者在医疗专业人员未提供主动监督的情况下安全地使用，并且当用于需要专业医疗护理的严重病症时，该应用的使用并不旨在替代或阻止寻求医疗服务人员的治疗。</w:t>
      </w:r>
    </w:p>
    <w:p w14:paraId="33660CDD">
      <w:pPr>
        <w:snapToGrid w:val="0"/>
        <w:spacing w:before="3" w:line="300" w:lineRule="auto"/>
        <w:jc w:val="both"/>
        <w:rPr>
          <w:rFonts w:ascii="Arial" w:hAnsi="Arial" w:eastAsia="宋体" w:cs="Arial"/>
          <w:sz w:val="20"/>
          <w:szCs w:val="20"/>
          <w:lang w:eastAsia="zh-CN"/>
        </w:rPr>
      </w:pPr>
      <w:r>
        <w:rPr>
          <w:rFonts w:ascii="Arial" w:hAnsi="Arial" w:eastAsia="宋体" w:cs="Arial"/>
          <w:position w:val="9"/>
          <w:sz w:val="13"/>
          <w:szCs w:val="13"/>
          <w:lang w:eastAsia="zh-CN"/>
        </w:rPr>
        <w:t>27</w:t>
      </w:r>
      <w:r>
        <w:rPr>
          <w:rFonts w:ascii="Arial" w:hAnsi="Arial" w:eastAsia="宋体" w:cs="Arial"/>
          <w:sz w:val="20"/>
          <w:szCs w:val="20"/>
          <w:lang w:eastAsia="zh-CN"/>
        </w:rPr>
        <w:t>我们将这些移动医疗应用视为“服药提醒仪-产品代码NXQ”，目前定义为“</w:t>
      </w:r>
      <w:r>
        <w:rPr>
          <w:rFonts w:hint="eastAsia" w:ascii="Arial" w:hAnsi="Arial" w:eastAsia="宋体" w:cs="Arial"/>
          <w:i/>
          <w:sz w:val="20"/>
          <w:szCs w:val="20"/>
          <w:lang w:eastAsia="zh-CN"/>
        </w:rPr>
        <w:t>服药提醒仪是用于医疗目的以针对预定药物给药方案向患者或医疗服务人员提供警报的器械。该器械可能包含无线通信</w:t>
      </w:r>
      <w:r>
        <w:rPr>
          <w:rFonts w:ascii="Arial" w:hAnsi="Arial" w:eastAsia="宋体" w:cs="Arial"/>
          <w:sz w:val="20"/>
          <w:szCs w:val="20"/>
          <w:lang w:eastAsia="zh-CN"/>
        </w:rPr>
        <w:t>。“FDA打算为根据“21 CFR 890.5050-日常活动辅助器械”确定的特定产品代码（NXQ）行使自由裁量权。</w:t>
      </w:r>
    </w:p>
    <w:p w14:paraId="165A129A">
      <w:pPr>
        <w:snapToGrid w:val="0"/>
        <w:spacing w:line="300" w:lineRule="auto"/>
        <w:jc w:val="both"/>
        <w:rPr>
          <w:rFonts w:ascii="Arial" w:hAnsi="Arial" w:eastAsia="宋体" w:cs="Arial"/>
          <w:sz w:val="20"/>
          <w:szCs w:val="20"/>
          <w:lang w:eastAsia="zh-CN"/>
        </w:rPr>
      </w:pPr>
      <w:r>
        <w:rPr>
          <w:rFonts w:ascii="Arial" w:hAnsi="Arial" w:eastAsia="宋体" w:cs="Arial"/>
          <w:position w:val="11"/>
          <w:sz w:val="16"/>
          <w:lang w:eastAsia="zh-CN"/>
        </w:rPr>
        <w:t>28</w:t>
      </w:r>
      <w:r>
        <w:rPr>
          <w:rFonts w:ascii="Arial" w:hAnsi="Arial" w:eastAsia="宋体" w:cs="Arial"/>
          <w:sz w:val="20"/>
          <w:szCs w:val="20"/>
          <w:lang w:eastAsia="zh-CN"/>
        </w:rPr>
        <w:t>我们将这些移动应用视为简单工具，其中，其并不旨在提供具体的治疗建议。对于此类简单工具，即使超出了21 CFR 8XX.9中所述的510（k）豁免的限制，FDA也不打算强制要求其遵守监管控制。例如，在这些限制适用的范围内，FDA不打算强制要求此类简单工具、旨在用于糖尿病管理（21 CFR 8xx.9（c）（5）））或用于评估心血管疾病（21 CFR 8xx.9（c）（4））的体外器械遵守监管控制。</w:t>
      </w:r>
    </w:p>
    <w:p w14:paraId="2A4A8160">
      <w:pPr>
        <w:snapToGrid w:val="0"/>
        <w:spacing w:line="300" w:lineRule="auto"/>
        <w:rPr>
          <w:rFonts w:ascii="Arial" w:hAnsi="Arial" w:eastAsia="宋体" w:cs="Arial"/>
          <w:sz w:val="20"/>
          <w:szCs w:val="20"/>
          <w:lang w:eastAsia="zh-CN"/>
        </w:rPr>
      </w:pPr>
      <w:r>
        <w:rPr>
          <w:rFonts w:ascii="Arial" w:hAnsi="Arial" w:eastAsia="宋体" w:cs="Arial"/>
          <w:sz w:val="20"/>
          <w:szCs w:val="20"/>
          <w:lang w:eastAsia="zh-CN"/>
        </w:rPr>
        <w:br w:type="page"/>
      </w:r>
    </w:p>
    <w:p w14:paraId="42B36DB9">
      <w:pPr>
        <w:pStyle w:val="19"/>
        <w:numPr>
          <w:ilvl w:val="0"/>
          <w:numId w:val="7"/>
        </w:numPr>
        <w:tabs>
          <w:tab w:val="left" w:pos="480"/>
        </w:tabs>
        <w:snapToGrid w:val="0"/>
        <w:spacing w:before="75" w:line="300" w:lineRule="auto"/>
        <w:ind w:left="446" w:hanging="446" w:hangingChars="185"/>
        <w:jc w:val="both"/>
        <w:rPr>
          <w:rFonts w:ascii="Arial" w:hAnsi="Arial" w:eastAsia="宋体" w:cs="Arial"/>
          <w:sz w:val="24"/>
          <w:szCs w:val="24"/>
          <w:lang w:eastAsia="zh-CN"/>
        </w:rPr>
      </w:pPr>
      <w:r>
        <w:rPr>
          <w:rFonts w:ascii="Arial" w:hAnsi="Arial" w:eastAsia="宋体" w:cs="Arial"/>
          <w:b/>
          <w:bCs/>
          <w:sz w:val="24"/>
          <w:szCs w:val="24"/>
          <w:lang w:eastAsia="zh-CN"/>
        </w:rPr>
        <w:t>可提供对与患者健康状况或治疗相关信息轻松访问的移动应用（不仅仅是提供医疗参考的电子“副本”）</w:t>
      </w:r>
      <w:r>
        <w:rPr>
          <w:rFonts w:ascii="Arial" w:hAnsi="Arial" w:eastAsia="宋体" w:cs="Arial"/>
          <w:sz w:val="24"/>
          <w:szCs w:val="24"/>
          <w:lang w:eastAsia="zh-CN"/>
        </w:rPr>
        <w:t>-这些应用是通过匹配患者特定信息与常规用于临床实践的参考信息（例如，实践指南）以为用户提供与情境相关的信息（ 例如诊断、治疗、过敏、体征或症状），从而便于用户对特定患者进行评估的应用。示例包括：</w:t>
      </w:r>
    </w:p>
    <w:p w14:paraId="72DE7A46">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使用患者诊断为临床医生提供常见疾病或病症（如流感）的最佳实践治疗指南的应用；</w:t>
      </w:r>
    </w:p>
    <w:p w14:paraId="1F7F14AF">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属于药物相互作用或药物过敏查找工具的应用。</w:t>
      </w:r>
    </w:p>
    <w:p w14:paraId="336AFC0A">
      <w:pPr>
        <w:snapToGrid w:val="0"/>
        <w:spacing w:line="300" w:lineRule="auto"/>
        <w:jc w:val="both"/>
        <w:rPr>
          <w:rFonts w:ascii="Arial" w:hAnsi="Arial" w:eastAsia="宋体" w:cs="Arial"/>
          <w:sz w:val="26"/>
          <w:szCs w:val="26"/>
          <w:lang w:eastAsia="zh-CN"/>
        </w:rPr>
      </w:pPr>
    </w:p>
    <w:p w14:paraId="102AE18E">
      <w:pPr>
        <w:snapToGrid w:val="0"/>
        <w:spacing w:before="8" w:line="300" w:lineRule="auto"/>
        <w:jc w:val="both"/>
        <w:rPr>
          <w:rFonts w:ascii="Arial" w:hAnsi="Arial" w:eastAsia="宋体" w:cs="Arial"/>
          <w:sz w:val="20"/>
          <w:szCs w:val="20"/>
          <w:lang w:eastAsia="zh-CN"/>
        </w:rPr>
      </w:pPr>
    </w:p>
    <w:p w14:paraId="5FBFB991">
      <w:pPr>
        <w:pStyle w:val="19"/>
        <w:numPr>
          <w:ilvl w:val="0"/>
          <w:numId w:val="7"/>
        </w:numPr>
        <w:tabs>
          <w:tab w:val="left" w:pos="480"/>
        </w:tabs>
        <w:snapToGrid w:val="0"/>
        <w:spacing w:before="75" w:line="300" w:lineRule="auto"/>
        <w:ind w:left="446" w:hanging="446" w:hangingChars="185"/>
        <w:jc w:val="both"/>
        <w:rPr>
          <w:rFonts w:ascii="Arial" w:hAnsi="Arial" w:eastAsia="宋体" w:cs="Arial"/>
          <w:sz w:val="24"/>
          <w:szCs w:val="24"/>
          <w:lang w:eastAsia="zh-CN"/>
        </w:rPr>
      </w:pPr>
      <w:r>
        <w:rPr>
          <w:rFonts w:ascii="Arial" w:hAnsi="Arial" w:eastAsia="宋体" w:cs="Arial"/>
          <w:b/>
          <w:bCs/>
          <w:sz w:val="24"/>
          <w:szCs w:val="24"/>
          <w:lang w:eastAsia="zh-CN"/>
        </w:rPr>
        <w:t>专门上市用于帮助患者记录、显示或与供应商沟通潜在医疗状况的移动应用</w:t>
      </w:r>
      <w:r>
        <w:rPr>
          <w:rFonts w:ascii="Arial" w:hAnsi="Arial" w:eastAsia="宋体" w:cs="Arial"/>
          <w:sz w:val="24"/>
          <w:szCs w:val="24"/>
          <w:lang w:eastAsia="zh-CN"/>
        </w:rPr>
        <w:t>- 这些应用是其标签或宣传材料中的内容并不用于医疗用途，但由于其分布周围的其他环境 ，可能符合医疗器械定义的应用。这些产品可带来较少风险或不会带来任何风险，或者是已将其用于医疗应用中的医疗服务人员的全部责任。示例包括：</w:t>
      </w:r>
    </w:p>
    <w:p w14:paraId="58A2F0B9">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作为专门用于医疗用途并加强患者、医疗服务人员和护理人员之间沟通的视频会议门户的应用；</w:t>
      </w:r>
    </w:p>
    <w:p w14:paraId="1C4A5766">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专门用于医疗用途且使用移动器械的内置摄像头或连接摄像头以记录或传输照片（例如，患者皮肤损伤或伤口的照片），以补充或增加医疗服务人员之间或医疗服务人员和患者/护理人员之间的磋商口头描述内容的应用。</w:t>
      </w:r>
    </w:p>
    <w:p w14:paraId="63C22853">
      <w:pPr>
        <w:snapToGrid w:val="0"/>
        <w:spacing w:line="300" w:lineRule="auto"/>
        <w:jc w:val="both"/>
        <w:rPr>
          <w:rFonts w:ascii="Arial" w:hAnsi="Arial" w:eastAsia="宋体" w:cs="Arial"/>
          <w:sz w:val="24"/>
          <w:szCs w:val="24"/>
          <w:lang w:eastAsia="zh-CN"/>
        </w:rPr>
      </w:pPr>
    </w:p>
    <w:p w14:paraId="6118816B">
      <w:pPr>
        <w:pStyle w:val="19"/>
        <w:numPr>
          <w:ilvl w:val="0"/>
          <w:numId w:val="7"/>
        </w:numPr>
        <w:tabs>
          <w:tab w:val="left" w:pos="480"/>
        </w:tabs>
        <w:snapToGrid w:val="0"/>
        <w:spacing w:before="75" w:line="300" w:lineRule="auto"/>
        <w:ind w:left="446" w:hanging="446" w:hangingChars="185"/>
        <w:jc w:val="both"/>
        <w:rPr>
          <w:rFonts w:ascii="Arial" w:hAnsi="Arial" w:eastAsia="宋体" w:cs="Arial"/>
          <w:sz w:val="24"/>
          <w:szCs w:val="24"/>
          <w:lang w:eastAsia="zh-CN"/>
        </w:rPr>
      </w:pPr>
      <w:r>
        <w:rPr>
          <w:rFonts w:ascii="Arial" w:hAnsi="Arial" w:eastAsia="宋体" w:cs="Arial"/>
          <w:b/>
          <w:bCs/>
          <w:sz w:val="24"/>
          <w:szCs w:val="24"/>
          <w:lang w:eastAsia="zh-CN"/>
        </w:rPr>
        <w:t>执行临床实践中常规使用的简单计算的移动应用</w:t>
      </w:r>
      <w:r>
        <w:rPr>
          <w:rFonts w:ascii="Arial" w:hAnsi="Arial" w:eastAsia="宋体" w:cs="Arial"/>
          <w:sz w:val="24"/>
          <w:szCs w:val="24"/>
          <w:lang w:eastAsia="zh-CN"/>
        </w:rPr>
        <w:t>-这些应用旨在为临床医生提供便利方式来执行在医学院学到的各种简单医学计算</w:t>
      </w:r>
      <w:r>
        <w:rPr>
          <w:rFonts w:ascii="Arial" w:hAnsi="Arial" w:eastAsia="宋体" w:cs="Arial"/>
          <w:sz w:val="24"/>
          <w:szCs w:val="24"/>
          <w:vertAlign w:val="superscript"/>
          <w:lang w:eastAsia="zh-CN"/>
        </w:rPr>
        <w:t>30</w:t>
      </w:r>
      <w:r>
        <w:rPr>
          <w:rFonts w:ascii="Arial" w:hAnsi="Arial" w:eastAsia="宋体" w:cs="Arial"/>
          <w:sz w:val="24"/>
          <w:szCs w:val="24"/>
          <w:lang w:eastAsia="zh-CN"/>
        </w:rPr>
        <w:t>，并且常规用于临床实践的应用。这些应用通常将根据临床应用进行调整，但将保留与简单通用工具（如纸质图表、电子表格、计时器或通用数学计算器）类似的功能。此类通用工具的示例包括用于计算以下内容的医用计算器：</w:t>
      </w:r>
    </w:p>
    <w:p w14:paraId="48621D13">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rPr>
        <w:t>体重指数</w:t>
      </w:r>
      <w:r>
        <w:rPr>
          <w:rFonts w:ascii="Arial" w:hAnsi="Arial" w:eastAsia="宋体" w:cs="Arial"/>
          <w:sz w:val="24"/>
          <w:szCs w:val="24"/>
          <w:lang w:eastAsia="zh-CN"/>
        </w:rPr>
        <w:t>（BMI）</w:t>
      </w:r>
    </w:p>
    <w:p w14:paraId="18EF7907">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总体内水分/尿素分布量</w:t>
      </w:r>
    </w:p>
    <w:p w14:paraId="6775B6FF">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平均动脉压</w:t>
      </w:r>
    </w:p>
    <w:p w14:paraId="7BFBB3DF">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Glascow昏迷量表评分</w:t>
      </w:r>
    </w:p>
    <w:p w14:paraId="430DC05C">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APGAR评分</w:t>
      </w:r>
    </w:p>
    <w:p w14:paraId="60F4AC7D">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NIH中风量表</w:t>
      </w:r>
    </w:p>
    <w:p w14:paraId="4C692BE0">
      <w:pPr>
        <w:pStyle w:val="19"/>
        <w:numPr>
          <w:ilvl w:val="1"/>
          <w:numId w:val="7"/>
        </w:numPr>
        <w:tabs>
          <w:tab w:val="left" w:pos="1560"/>
        </w:tabs>
        <w:snapToGrid w:val="0"/>
        <w:spacing w:line="300" w:lineRule="auto"/>
        <w:ind w:left="1006" w:leftChars="261" w:hanging="432" w:hangingChars="180"/>
        <w:jc w:val="both"/>
        <w:rPr>
          <w:rFonts w:ascii="Arial" w:hAnsi="Arial" w:eastAsia="宋体" w:cs="Arial"/>
          <w:sz w:val="24"/>
          <w:szCs w:val="24"/>
          <w:lang w:eastAsia="zh-CN"/>
        </w:rPr>
      </w:pPr>
      <w:r>
        <w:rPr>
          <w:rFonts w:ascii="Arial" w:hAnsi="Arial" w:eastAsia="宋体" w:cs="Arial"/>
          <w:sz w:val="24"/>
          <w:szCs w:val="24"/>
          <w:lang w:eastAsia="zh-CN"/>
        </w:rPr>
        <w:t>实施日期估算器</w:t>
      </w:r>
    </w:p>
    <w:p w14:paraId="29EF8CEA">
      <w:pPr>
        <w:snapToGrid w:val="0"/>
        <w:spacing w:line="300" w:lineRule="auto"/>
        <w:jc w:val="both"/>
        <w:rPr>
          <w:rFonts w:ascii="Arial" w:hAnsi="Arial" w:eastAsia="宋体" w:cs="Arial"/>
          <w:sz w:val="20"/>
          <w:szCs w:val="20"/>
        </w:rPr>
      </w:pPr>
    </w:p>
    <w:p w14:paraId="5EAA2692">
      <w:pPr>
        <w:snapToGrid w:val="0"/>
        <w:spacing w:before="4" w:line="300" w:lineRule="auto"/>
        <w:jc w:val="both"/>
        <w:rPr>
          <w:rFonts w:ascii="Arial" w:hAnsi="Arial" w:eastAsia="宋体" w:cs="Arial"/>
        </w:rPr>
      </w:pPr>
    </w:p>
    <w:p w14:paraId="0A88DB3B">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9" name="Group 3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0" name="Group 35"/>
                        <wpg:cNvGrpSpPr/>
                        <wpg:grpSpPr>
                          <a:xfrm>
                            <a:off x="6" y="6"/>
                            <a:ext cx="2880" cy="2"/>
                            <a:chOff x="6" y="6"/>
                            <a:chExt cx="2880" cy="2"/>
                          </a:xfrm>
                        </wpg:grpSpPr>
                        <wps:wsp>
                          <wps:cNvPr id="31" name="Freeform 3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A/oSF1AAAAAMBAAAPAAAAAAAAAAEAIAAAACIAAABkcnMvZG93bnJl&#10;di54bWxQSwECFAAUAAAACACHTuJAsH9KHh4DAAD+BwAADgAAAAAAAAABACAAAAAjAQAAZHJzL2Uy&#10;b0RvYy54bWxQSwUGAAAAAAYABgBZAQAAswYAAAAA&#10;">
                <o:lock v:ext="edit" aspectratio="f"/>
                <v:group id="Group 35" o:spid="_x0000_s1026" o:spt="203" style="position:absolute;left:6;top:6;height:2;width:2880;" coordorigin="6,6" coordsize="2880,2"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Freeform 36" o:spid="_x0000_s1026" o:spt="100" style="position:absolute;left:6;top:6;height:2;width:2880;" filled="f" stroked="t" coordsize="2880,1" o:gfxdata="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Zmx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28F10C86">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29</w:t>
      </w:r>
      <w:r>
        <w:rPr>
          <w:rFonts w:ascii="Arial" w:hAnsi="Arial" w:eastAsia="宋体" w:cs="Arial"/>
          <w:sz w:val="20"/>
          <w:szCs w:val="20"/>
          <w:lang w:eastAsia="zh-CN"/>
        </w:rPr>
        <w:t>这些应用中提供的信息类型来自权威医疗来源，且已被应用所涉及的领域或学科认可。</w:t>
      </w:r>
    </w:p>
    <w:p w14:paraId="328C1251">
      <w:pPr>
        <w:snapToGrid w:val="0"/>
        <w:spacing w:line="300" w:lineRule="auto"/>
        <w:jc w:val="both"/>
        <w:rPr>
          <w:rFonts w:ascii="Arial" w:hAnsi="Arial" w:eastAsia="宋体" w:cs="Arial"/>
          <w:sz w:val="20"/>
          <w:szCs w:val="20"/>
          <w:lang w:eastAsia="zh-CN"/>
        </w:rPr>
      </w:pPr>
      <w:r>
        <w:rPr>
          <w:rFonts w:ascii="Arial" w:hAnsi="Arial" w:eastAsia="宋体" w:cs="Arial"/>
          <w:position w:val="9"/>
          <w:sz w:val="13"/>
          <w:lang w:eastAsia="zh-CN"/>
        </w:rPr>
        <w:t xml:space="preserve">30 </w:t>
      </w:r>
      <w:bookmarkStart w:id="33" w:name="_bookmark41"/>
      <w:bookmarkEnd w:id="33"/>
      <w:r>
        <w:rPr>
          <w:rFonts w:ascii="Arial" w:hAnsi="Arial" w:eastAsia="宋体" w:cs="Arial"/>
          <w:sz w:val="20"/>
          <w:szCs w:val="20"/>
          <w:lang w:eastAsia="zh-CN"/>
        </w:rPr>
        <w:t>这些计算器中的信息类型可以在医疗来源中获得，其中包括在认可医学院校课程中使用的医学教科书。</w:t>
      </w:r>
    </w:p>
    <w:p w14:paraId="60BB6A56">
      <w:pPr>
        <w:snapToGrid w:val="0"/>
        <w:spacing w:line="300" w:lineRule="auto"/>
        <w:rPr>
          <w:rFonts w:ascii="Arial" w:hAnsi="Arial" w:eastAsia="宋体" w:cs="Arial"/>
          <w:sz w:val="20"/>
          <w:szCs w:val="20"/>
          <w:lang w:eastAsia="zh-CN"/>
        </w:rPr>
      </w:pPr>
      <w:r>
        <w:rPr>
          <w:rFonts w:ascii="Arial" w:hAnsi="Arial" w:eastAsia="宋体" w:cs="Arial"/>
          <w:sz w:val="20"/>
          <w:szCs w:val="20"/>
          <w:lang w:eastAsia="zh-CN"/>
        </w:rPr>
        <w:br w:type="page"/>
      </w:r>
    </w:p>
    <w:p w14:paraId="75C98FC8">
      <w:pPr>
        <w:pStyle w:val="19"/>
        <w:numPr>
          <w:ilvl w:val="0"/>
          <w:numId w:val="7"/>
        </w:numPr>
        <w:tabs>
          <w:tab w:val="left" w:pos="460"/>
        </w:tabs>
        <w:snapToGrid w:val="0"/>
        <w:spacing w:before="69" w:line="300" w:lineRule="auto"/>
        <w:ind w:left="446" w:hanging="446" w:hangingChars="185"/>
        <w:jc w:val="both"/>
        <w:rPr>
          <w:rFonts w:ascii="Arial" w:hAnsi="Arial" w:eastAsia="宋体" w:cs="Arial"/>
          <w:sz w:val="24"/>
          <w:szCs w:val="24"/>
          <w:lang w:eastAsia="zh-CN"/>
        </w:rPr>
      </w:pPr>
      <w:r>
        <w:rPr>
          <w:rFonts w:ascii="Arial" w:hAnsi="Arial" w:eastAsia="宋体" w:cs="Arial"/>
          <w:b/>
          <w:bCs/>
          <w:sz w:val="24"/>
          <w:szCs w:val="24"/>
          <w:lang w:eastAsia="zh-CN"/>
        </w:rPr>
        <w:t>使个人能够与PHR系统或EHR系统交互的移动应用-</w:t>
      </w:r>
      <w:r>
        <w:rPr>
          <w:rFonts w:ascii="Arial" w:hAnsi="Arial" w:eastAsia="宋体" w:cs="Arial"/>
          <w:sz w:val="24"/>
          <w:szCs w:val="24"/>
          <w:lang w:eastAsia="zh-CN"/>
        </w:rPr>
        <w:t>这些应用是为患者和供应商提供对健康记录系统的移动访问，或使其能够获得对存储在PHR系统或EHR系统中的健康信息的电子访问的应用。仅允许个人查看或下载EHR数据的应用也包括在此类别中。这些移动应用通常旨在促进患者健康信息管理和健康记录保存活动。</w:t>
      </w:r>
    </w:p>
    <w:p w14:paraId="45D611C0">
      <w:pPr>
        <w:snapToGrid w:val="0"/>
        <w:spacing w:line="300" w:lineRule="auto"/>
        <w:jc w:val="both"/>
        <w:rPr>
          <w:rFonts w:ascii="Arial" w:hAnsi="Arial" w:eastAsia="宋体" w:cs="Arial"/>
          <w:sz w:val="24"/>
          <w:szCs w:val="24"/>
          <w:lang w:eastAsia="zh-CN"/>
        </w:rPr>
      </w:pPr>
    </w:p>
    <w:p w14:paraId="762E5210">
      <w:pPr>
        <w:pStyle w:val="19"/>
        <w:numPr>
          <w:ilvl w:val="0"/>
          <w:numId w:val="7"/>
        </w:numPr>
        <w:tabs>
          <w:tab w:val="left" w:pos="460"/>
        </w:tabs>
        <w:snapToGrid w:val="0"/>
        <w:spacing w:before="69" w:line="300" w:lineRule="auto"/>
        <w:ind w:left="446" w:hanging="446" w:hangingChars="185"/>
        <w:jc w:val="both"/>
        <w:rPr>
          <w:rFonts w:ascii="Arial" w:hAnsi="Arial" w:eastAsia="宋体" w:cs="Arial"/>
          <w:sz w:val="24"/>
          <w:szCs w:val="24"/>
          <w:lang w:eastAsia="zh-CN"/>
        </w:rPr>
      </w:pPr>
      <w:r>
        <w:rPr>
          <w:rFonts w:hint="eastAsia" w:ascii="Arial" w:hAnsi="Arial" w:eastAsia="宋体" w:cs="Arial"/>
          <w:b/>
          <w:sz w:val="24"/>
          <w:szCs w:val="24"/>
          <w:lang w:eastAsia="zh-CN"/>
        </w:rPr>
        <w:t>符合医疗器械数据系统定义的移动应用</w:t>
      </w:r>
      <w:r>
        <w:rPr>
          <w:rFonts w:ascii="Arial" w:hAnsi="Arial" w:eastAsia="宋体" w:cs="Arial"/>
          <w:b/>
          <w:sz w:val="24"/>
          <w:szCs w:val="24"/>
          <w:lang w:eastAsia="zh-CN"/>
        </w:rPr>
        <w:t>-</w:t>
      </w:r>
      <w:r>
        <w:rPr>
          <w:rFonts w:ascii="Arial" w:hAnsi="Arial" w:eastAsia="宋体" w:cs="Arial"/>
          <w:sz w:val="24"/>
          <w:szCs w:val="24"/>
          <w:lang w:eastAsia="zh-CN"/>
        </w:rPr>
        <w:t>这些应用旨在不控制或更改任何连接医疗器械的功能或参数的情况下传输、存储、转换格式和显示医疗器械数据，如MDDS分类规定（21 CFR 880.6310）中所述。这些移动应用包括那些这些应用并未旨在提供主要诊断、治疗决策或与主动患者监控结合使用时，用作受监管医疗器械的辅助显示器的应用（即，符合MDDS定义的移动应用）。</w:t>
      </w:r>
    </w:p>
    <w:p w14:paraId="48A295E3">
      <w:pPr>
        <w:snapToGrid w:val="0"/>
        <w:spacing w:line="300" w:lineRule="auto"/>
        <w:jc w:val="both"/>
        <w:rPr>
          <w:rFonts w:ascii="Arial" w:hAnsi="Arial" w:eastAsia="宋体" w:cs="Arial"/>
          <w:sz w:val="24"/>
          <w:szCs w:val="24"/>
          <w:lang w:eastAsia="zh-CN"/>
        </w:rPr>
      </w:pPr>
    </w:p>
    <w:p w14:paraId="448B3338">
      <w:pPr>
        <w:snapToGrid w:val="0"/>
        <w:spacing w:line="300" w:lineRule="auto"/>
        <w:jc w:val="both"/>
        <w:rPr>
          <w:rFonts w:ascii="Arial" w:hAnsi="Arial" w:eastAsia="宋体" w:cs="Arial"/>
          <w:sz w:val="24"/>
          <w:szCs w:val="24"/>
          <w:lang w:eastAsia="zh-CN"/>
        </w:rPr>
      </w:pPr>
    </w:p>
    <w:p w14:paraId="06AD1A5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有关上述类别的其他示例，请参阅附录B。</w:t>
      </w:r>
    </w:p>
    <w:p w14:paraId="22FA4F13">
      <w:pPr>
        <w:snapToGrid w:val="0"/>
        <w:spacing w:line="300" w:lineRule="auto"/>
        <w:jc w:val="both"/>
        <w:rPr>
          <w:rFonts w:ascii="Arial" w:hAnsi="Arial" w:eastAsia="宋体" w:cs="Arial"/>
          <w:lang w:eastAsia="zh-CN"/>
        </w:rPr>
        <w:sectPr>
          <w:pgSz w:w="12260" w:h="15840"/>
          <w:pgMar w:top="1134" w:right="1134" w:bottom="1134" w:left="1134" w:header="748" w:footer="773" w:gutter="0"/>
          <w:cols w:space="720" w:num="1"/>
          <w:docGrid w:linePitch="299" w:charSpace="0"/>
        </w:sectPr>
      </w:pPr>
    </w:p>
    <w:p w14:paraId="7ABDAD0C">
      <w:pPr>
        <w:pStyle w:val="2"/>
        <w:numPr>
          <w:ilvl w:val="0"/>
          <w:numId w:val="1"/>
        </w:numPr>
        <w:tabs>
          <w:tab w:val="left" w:pos="840"/>
        </w:tabs>
        <w:snapToGrid w:val="0"/>
        <w:spacing w:before="170" w:line="300" w:lineRule="auto"/>
        <w:ind w:left="0" w:firstLine="0"/>
        <w:jc w:val="both"/>
        <w:rPr>
          <w:rFonts w:ascii="Arial" w:hAnsi="Arial" w:eastAsia="宋体" w:cs="Arial"/>
          <w:b w:val="0"/>
          <w:bCs w:val="0"/>
        </w:rPr>
      </w:pPr>
      <w:bookmarkStart w:id="34" w:name="_Toc481592029"/>
      <w:r>
        <w:rPr>
          <w:rFonts w:ascii="Arial" w:hAnsi="Arial" w:eastAsia="宋体" w:cs="Arial"/>
        </w:rPr>
        <w:t>监管要求</w:t>
      </w:r>
      <w:bookmarkEnd w:id="34"/>
    </w:p>
    <w:p w14:paraId="189571CB">
      <w:pPr>
        <w:snapToGrid w:val="0"/>
        <w:spacing w:before="7" w:line="300" w:lineRule="auto"/>
        <w:jc w:val="both"/>
        <w:rPr>
          <w:rFonts w:ascii="Arial" w:hAnsi="Arial" w:eastAsia="宋体" w:cs="Arial"/>
          <w:b/>
          <w:bCs/>
          <w:sz w:val="28"/>
          <w:szCs w:val="28"/>
        </w:rPr>
      </w:pPr>
    </w:p>
    <w:p w14:paraId="4969C872">
      <w:pPr>
        <w:pStyle w:val="6"/>
        <w:snapToGrid w:val="0"/>
        <w:spacing w:line="300" w:lineRule="auto"/>
        <w:ind w:left="0" w:firstLine="0"/>
        <w:rPr>
          <w:rFonts w:ascii="Arial" w:hAnsi="Arial" w:eastAsia="宋体" w:cs="Arial"/>
          <w:lang w:eastAsia="zh-CN"/>
        </w:rPr>
      </w:pPr>
      <w:r>
        <w:rPr>
          <w:rFonts w:ascii="Arial" w:hAnsi="Arial" w:eastAsia="宋体" w:cs="Arial"/>
          <w:lang w:eastAsia="zh-CN"/>
        </w:rPr>
        <w:t>本指南，包括0和附录D中的现有医疗器械监管分类，旨在帮助制造商确定产品是否为移动医疗应用，以及FDA对该产品的期望。有关更多信息，请参见“器械建议：</w:t>
      </w:r>
      <w:r>
        <w:rPr>
          <w:rFonts w:hint="eastAsia" w:ascii="Arial" w:hAnsi="Arial" w:eastAsia="宋体" w:cs="Arial"/>
          <w:color w:val="0000FF"/>
          <w:u w:val="single"/>
          <w:lang w:eastAsia="zh-CN"/>
        </w:rPr>
        <w:t>分类贵公司的医疗器械</w:t>
      </w:r>
      <w:r>
        <w:rPr>
          <w:rFonts w:ascii="Arial" w:hAnsi="Arial" w:eastAsia="宋体" w:cs="Arial"/>
          <w:lang w:eastAsia="zh-CN"/>
        </w:rPr>
        <w:t>”，网址为</w:t>
      </w:r>
      <w:r>
        <w:rPr>
          <w:rFonts w:ascii="Arial" w:hAnsi="Arial" w:eastAsia="宋体" w:cs="Arial"/>
          <w:color w:val="0000FF"/>
          <w:u w:val="single"/>
          <w:lang w:eastAsia="zh-CN"/>
        </w:rPr>
        <w:t>http://www.fda.gov/MedicalDevices/DeviceRegulationandGuidance/Overview/ClassifyYourDev ice/default.htm</w:t>
      </w:r>
      <w:r>
        <w:rPr>
          <w:rFonts w:ascii="Arial" w:hAnsi="Arial" w:eastAsia="宋体" w:cs="Arial"/>
          <w:lang w:eastAsia="zh-CN"/>
        </w:rPr>
        <w:t>。本节将更详细地介绍适用于本指南的移动医疗应用的监管要求（如第V节所述）。</w:t>
      </w:r>
    </w:p>
    <w:p w14:paraId="77A08AD1">
      <w:pPr>
        <w:pStyle w:val="6"/>
        <w:snapToGrid w:val="0"/>
        <w:spacing w:line="300" w:lineRule="auto"/>
        <w:ind w:left="0" w:firstLine="0"/>
        <w:jc w:val="both"/>
        <w:rPr>
          <w:rFonts w:ascii="Arial" w:hAnsi="Arial" w:eastAsia="宋体" w:cs="Arial"/>
          <w:lang w:eastAsia="zh-CN"/>
        </w:rPr>
      </w:pPr>
    </w:p>
    <w:p w14:paraId="216E7DD8">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移动医疗应用制造商应遵守以下适用器械分类法规中所述的要求。根据移动医疗应用的分类和相关法规，移动医疗应用制造商必须遵循该法规制定的相关控制。</w:t>
      </w:r>
    </w:p>
    <w:p w14:paraId="540FB011">
      <w:pPr>
        <w:snapToGrid w:val="0"/>
        <w:spacing w:line="300" w:lineRule="auto"/>
        <w:jc w:val="both"/>
        <w:rPr>
          <w:rFonts w:ascii="Arial" w:hAnsi="Arial" w:eastAsia="宋体" w:cs="Arial"/>
          <w:sz w:val="24"/>
          <w:szCs w:val="24"/>
          <w:lang w:eastAsia="zh-CN"/>
        </w:rPr>
      </w:pPr>
    </w:p>
    <w:p w14:paraId="3F27D068">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总之，下面将概述每种器械类别的相关控制。</w:t>
      </w:r>
    </w:p>
    <w:p w14:paraId="6CA3B34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I类器械：一般控制，包括：</w:t>
      </w:r>
    </w:p>
    <w:p w14:paraId="6A95B4AB">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lang w:eastAsia="zh-CN"/>
        </w:rPr>
      </w:pPr>
      <w:r>
        <w:rPr>
          <w:rFonts w:ascii="Arial" w:hAnsi="Arial" w:eastAsia="宋体" w:cs="Arial"/>
          <w:sz w:val="24"/>
          <w:szCs w:val="24"/>
          <w:lang w:eastAsia="zh-CN"/>
        </w:rPr>
        <w:t>机构登记和医疗器械清单（21 CFR第807部分）；</w:t>
      </w:r>
    </w:p>
    <w:p w14:paraId="587B1673">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lang w:eastAsia="zh-CN"/>
        </w:rPr>
      </w:pPr>
      <w:r>
        <w:rPr>
          <w:rFonts w:ascii="Arial" w:hAnsi="Arial" w:eastAsia="宋体" w:cs="Arial"/>
          <w:sz w:val="24"/>
          <w:szCs w:val="24"/>
          <w:lang w:eastAsia="zh-CN"/>
        </w:rPr>
        <w:t>质量体系（QS）法规（21 CFR第820部分）；</w:t>
      </w:r>
    </w:p>
    <w:p w14:paraId="3730CDA8">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rPr>
      </w:pPr>
      <w:r>
        <w:rPr>
          <w:rFonts w:ascii="Arial" w:hAnsi="Arial" w:eastAsia="宋体" w:cs="Arial"/>
          <w:sz w:val="24"/>
          <w:szCs w:val="24"/>
        </w:rPr>
        <w:t>标签要求（21 CFR Part 801）；</w:t>
      </w:r>
    </w:p>
    <w:p w14:paraId="60E0696F">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lang w:eastAsia="zh-CN"/>
        </w:rPr>
      </w:pPr>
      <w:r>
        <w:rPr>
          <w:rFonts w:ascii="Arial" w:hAnsi="Arial" w:eastAsia="宋体" w:cs="Arial"/>
          <w:sz w:val="24"/>
          <w:szCs w:val="24"/>
          <w:lang w:eastAsia="zh-CN"/>
        </w:rPr>
        <w:t>医疗器械报告（21 CFR第803部分）；</w:t>
      </w:r>
    </w:p>
    <w:p w14:paraId="1A7F94B0">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rPr>
      </w:pPr>
      <w:r>
        <w:rPr>
          <w:rFonts w:ascii="Arial" w:hAnsi="Arial" w:eastAsia="宋体" w:cs="Arial"/>
          <w:sz w:val="24"/>
          <w:szCs w:val="24"/>
        </w:rPr>
        <w:t>上市前通告（21 CFR Part 807）；</w:t>
      </w:r>
    </w:p>
    <w:p w14:paraId="29BB1DBA">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lang w:eastAsia="zh-CN"/>
        </w:rPr>
      </w:pPr>
      <w:r>
        <w:rPr>
          <w:rFonts w:ascii="Arial" w:hAnsi="Arial" w:eastAsia="宋体" w:cs="Arial"/>
          <w:sz w:val="24"/>
          <w:szCs w:val="24"/>
          <w:lang w:eastAsia="zh-CN"/>
        </w:rPr>
        <w:t>报告纠正和移除（21 CFR第806部分）；以及</w:t>
      </w:r>
    </w:p>
    <w:p w14:paraId="280CDCE6">
      <w:pPr>
        <w:pStyle w:val="19"/>
        <w:numPr>
          <w:ilvl w:val="0"/>
          <w:numId w:val="8"/>
        </w:numPr>
        <w:tabs>
          <w:tab w:val="left" w:pos="840"/>
        </w:tabs>
        <w:snapToGrid w:val="0"/>
        <w:spacing w:line="300" w:lineRule="auto"/>
        <w:ind w:left="0" w:firstLine="376" w:firstLineChars="157"/>
        <w:jc w:val="both"/>
        <w:rPr>
          <w:rFonts w:ascii="Arial" w:hAnsi="Arial" w:eastAsia="宋体" w:cs="Arial"/>
          <w:sz w:val="24"/>
          <w:szCs w:val="24"/>
          <w:lang w:eastAsia="zh-CN"/>
        </w:rPr>
      </w:pPr>
      <w:r>
        <w:rPr>
          <w:rFonts w:ascii="Arial" w:hAnsi="Arial" w:eastAsia="宋体" w:cs="Arial"/>
          <w:sz w:val="24"/>
          <w:szCs w:val="24"/>
          <w:lang w:eastAsia="zh-CN"/>
        </w:rPr>
        <w:t>研究器械临床研究的器械临床研究豁免（IDE）要求（21 CFR第812部分）。</w:t>
      </w:r>
    </w:p>
    <w:p w14:paraId="44573349">
      <w:pPr>
        <w:snapToGrid w:val="0"/>
        <w:spacing w:line="300" w:lineRule="auto"/>
        <w:jc w:val="both"/>
        <w:rPr>
          <w:rFonts w:ascii="Arial" w:hAnsi="Arial" w:eastAsia="宋体" w:cs="Arial"/>
          <w:sz w:val="24"/>
          <w:szCs w:val="24"/>
          <w:lang w:eastAsia="zh-CN"/>
        </w:rPr>
      </w:pPr>
    </w:p>
    <w:p w14:paraId="66D081E0">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II类器械：一般控制（如为I类所述）、特殊控制和（对于大多数II类器械）上市前通告。</w:t>
      </w:r>
    </w:p>
    <w:p w14:paraId="06536357">
      <w:pPr>
        <w:snapToGrid w:val="0"/>
        <w:spacing w:line="300" w:lineRule="auto"/>
        <w:jc w:val="both"/>
        <w:rPr>
          <w:rFonts w:ascii="Arial" w:hAnsi="Arial" w:eastAsia="宋体" w:cs="Arial"/>
          <w:sz w:val="24"/>
          <w:szCs w:val="24"/>
          <w:lang w:eastAsia="zh-CN"/>
        </w:rPr>
      </w:pPr>
    </w:p>
    <w:p w14:paraId="1E2A2168">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III类器械：一般控制（如为I类所述）和上市前批准（21 CFR第814部分）。</w:t>
      </w:r>
    </w:p>
    <w:p w14:paraId="6832D7CD">
      <w:pPr>
        <w:snapToGrid w:val="0"/>
        <w:spacing w:line="300" w:lineRule="auto"/>
        <w:jc w:val="both"/>
        <w:rPr>
          <w:rFonts w:ascii="Arial" w:hAnsi="Arial" w:eastAsia="宋体" w:cs="Arial"/>
          <w:sz w:val="24"/>
          <w:szCs w:val="24"/>
          <w:lang w:eastAsia="zh-CN"/>
        </w:rPr>
      </w:pPr>
    </w:p>
    <w:p w14:paraId="0FBAE4E4">
      <w:pPr>
        <w:pStyle w:val="6"/>
        <w:snapToGrid w:val="0"/>
        <w:spacing w:line="300" w:lineRule="auto"/>
        <w:ind w:left="0" w:firstLine="0"/>
        <w:rPr>
          <w:rFonts w:ascii="Arial" w:hAnsi="Arial" w:eastAsia="宋体" w:cs="Arial"/>
          <w:lang w:eastAsia="zh-CN"/>
        </w:rPr>
      </w:pPr>
      <w:r>
        <w:rPr>
          <w:rFonts w:ascii="Arial" w:hAnsi="Arial" w:eastAsia="宋体" w:cs="Arial"/>
          <w:lang w:eastAsia="zh-CN"/>
        </w:rPr>
        <w:t>附录E简要总结了上述要求。有关更多信息，请访问</w:t>
      </w:r>
      <w:r>
        <w:fldChar w:fldCharType="begin"/>
      </w:r>
      <w:r>
        <w:instrText xml:space="preserve"> HYPERLINK "http://www.fda.gov/MedicalDevices/DeviceRegulationandGuidance/default.htm" </w:instrText>
      </w:r>
      <w:r>
        <w:fldChar w:fldCharType="separate"/>
      </w:r>
      <w:r>
        <w:rPr>
          <w:rStyle w:val="17"/>
          <w:rFonts w:ascii="Arial" w:hAnsi="Arial" w:eastAsia="宋体" w:cs="Arial"/>
          <w:lang w:eastAsia="zh-CN"/>
        </w:rPr>
        <w:t>http://www.fda.gov/MedicalDevices/DeviceRegulationandGuidance/default.htm</w:t>
      </w:r>
      <w:r>
        <w:rPr>
          <w:rStyle w:val="17"/>
          <w:rFonts w:ascii="Arial" w:hAnsi="Arial" w:eastAsia="宋体" w:cs="Arial"/>
          <w:lang w:eastAsia="zh-CN"/>
        </w:rPr>
        <w:fldChar w:fldCharType="end"/>
      </w:r>
      <w:r>
        <w:rPr>
          <w:rFonts w:ascii="Arial" w:hAnsi="Arial" w:eastAsia="宋体" w:cs="Arial"/>
          <w:lang w:eastAsia="zh-CN"/>
        </w:rPr>
        <w:t>，见“</w:t>
      </w:r>
      <w:r>
        <w:rPr>
          <w:rFonts w:hint="eastAsia" w:ascii="Arial" w:hAnsi="Arial" w:eastAsia="宋体" w:cs="Arial"/>
          <w:color w:val="0000FF"/>
          <w:u w:val="single"/>
          <w:lang w:eastAsia="zh-CN"/>
        </w:rPr>
        <w:t>医疗器械法规概述</w:t>
      </w:r>
      <w:r>
        <w:rPr>
          <w:rFonts w:ascii="Arial" w:hAnsi="Arial" w:eastAsia="宋体" w:cs="Arial"/>
          <w:lang w:eastAsia="zh-CN"/>
        </w:rPr>
        <w:t>”以及“</w:t>
      </w:r>
      <w:r>
        <w:rPr>
          <w:rFonts w:hint="eastAsia" w:ascii="Arial" w:hAnsi="Arial" w:eastAsia="宋体" w:cs="Arial"/>
          <w:color w:val="0000FF"/>
          <w:u w:val="single"/>
          <w:lang w:eastAsia="zh-CN"/>
        </w:rPr>
        <w:t>如何上市贵公司的器械</w:t>
      </w:r>
      <w:r>
        <w:rPr>
          <w:rFonts w:ascii="Arial" w:hAnsi="Arial" w:eastAsia="宋体" w:cs="Arial"/>
          <w:lang w:eastAsia="zh-CN"/>
        </w:rPr>
        <w:t>”。</w:t>
      </w:r>
    </w:p>
    <w:p w14:paraId="7776101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如果贵公司需要进一步的帮助，贵公司可以联系行业和消费者教育部：电子邮箱：DICE@fda.hhs.gov；电话：301-796-7100或800-638-2041。</w:t>
      </w:r>
    </w:p>
    <w:p w14:paraId="0076EAA7">
      <w:pPr>
        <w:snapToGrid w:val="0"/>
        <w:spacing w:line="300" w:lineRule="auto"/>
        <w:rPr>
          <w:rFonts w:ascii="Arial" w:hAnsi="Arial" w:eastAsia="宋体" w:cs="Arial"/>
          <w:lang w:eastAsia="zh-CN"/>
        </w:rPr>
        <w:sectPr>
          <w:pgSz w:w="12260" w:h="15840"/>
          <w:pgMar w:top="1134" w:right="1134" w:bottom="1134" w:left="1134" w:header="748" w:footer="773" w:gutter="0"/>
          <w:cols w:space="720" w:num="1"/>
          <w:docGrid w:linePitch="299" w:charSpace="0"/>
        </w:sectPr>
      </w:pPr>
    </w:p>
    <w:p w14:paraId="6E1617C1">
      <w:pPr>
        <w:pStyle w:val="2"/>
        <w:tabs>
          <w:tab w:val="left" w:pos="2279"/>
        </w:tabs>
        <w:snapToGrid w:val="0"/>
        <w:spacing w:after="240" w:afterLines="100" w:line="300" w:lineRule="auto"/>
        <w:ind w:left="0" w:firstLine="0"/>
        <w:rPr>
          <w:rFonts w:ascii="Arial" w:hAnsi="Arial" w:eastAsia="宋体" w:cs="Arial"/>
          <w:b w:val="0"/>
          <w:bCs w:val="0"/>
          <w:lang w:eastAsia="zh-CN"/>
        </w:rPr>
      </w:pPr>
      <w:bookmarkStart w:id="35" w:name="Examples_of_mobile_apps_that_are_NOT_med"/>
      <w:bookmarkEnd w:id="35"/>
      <w:bookmarkStart w:id="36" w:name="_Toc481592030"/>
      <w:r>
        <w:rPr>
          <w:rFonts w:ascii="Arial" w:hAnsi="Arial" w:eastAsia="宋体" w:cs="Arial"/>
          <w:lang w:eastAsia="zh-CN"/>
        </w:rPr>
        <w:t>附录A 非医疗器械的移动应用示例</w:t>
      </w:r>
      <w:bookmarkEnd w:id="36"/>
    </w:p>
    <w:p w14:paraId="2F7ABF49">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本附录提供了移动应用功能的代表性列表，说明可用于医疗环境、临床护理或患者管理中但不被视为医疗器械的移动应用类型。由于这些移动应用不被视为医疗器械，FDA不会对其进行监管。FDA了解，可能还有其他特殊和创新性移动应用未列于在此列表中，其中，此类应用也可能构成与医疗相关的移动应用。</w:t>
      </w:r>
      <w:r>
        <w:rPr>
          <w:rFonts w:hint="eastAsia" w:ascii="Arial" w:hAnsi="Arial" w:eastAsia="宋体" w:cs="Arial"/>
          <w:b/>
          <w:u w:val="single"/>
          <w:lang w:eastAsia="zh-CN"/>
        </w:rPr>
        <w:t>此列表并不十分详尽</w:t>
      </w:r>
      <w:r>
        <w:rPr>
          <w:rFonts w:ascii="Arial" w:hAnsi="Arial" w:eastAsia="宋体" w:cs="Arial"/>
          <w:lang w:eastAsia="zh-CN"/>
        </w:rPr>
        <w:t>；其仅旨在提供说明并帮助确定不应将移动应用视为医疗器械的情况。</w:t>
      </w:r>
    </w:p>
    <w:p w14:paraId="24C6EE15">
      <w:pPr>
        <w:pStyle w:val="6"/>
        <w:snapToGrid w:val="0"/>
        <w:spacing w:line="300" w:lineRule="auto"/>
        <w:ind w:left="0" w:firstLine="0"/>
        <w:jc w:val="both"/>
        <w:rPr>
          <w:rFonts w:ascii="Arial" w:hAnsi="Arial" w:eastAsia="宋体" w:cs="Arial"/>
          <w:lang w:eastAsia="zh-CN"/>
        </w:rPr>
      </w:pPr>
    </w:p>
    <w:p w14:paraId="63E15A71">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FDA根据FDA实行的现行法律不将其视为器械并且未提出监管要求的移动应用的具体示例包括：</w:t>
      </w:r>
    </w:p>
    <w:p w14:paraId="12C4ADE9">
      <w:pPr>
        <w:snapToGrid w:val="0"/>
        <w:spacing w:line="300" w:lineRule="auto"/>
        <w:jc w:val="both"/>
        <w:rPr>
          <w:rFonts w:ascii="Arial" w:hAnsi="Arial" w:eastAsia="宋体" w:cs="Arial"/>
          <w:sz w:val="24"/>
          <w:szCs w:val="24"/>
          <w:lang w:eastAsia="zh-CN"/>
        </w:rPr>
      </w:pPr>
    </w:p>
    <w:p w14:paraId="3E4FE197">
      <w:pPr>
        <w:pStyle w:val="19"/>
        <w:numPr>
          <w:ilvl w:val="0"/>
          <w:numId w:val="9"/>
        </w:numPr>
        <w:snapToGrid w:val="0"/>
        <w:spacing w:line="300" w:lineRule="auto"/>
        <w:ind w:left="490" w:hanging="489" w:hangingChars="204"/>
        <w:jc w:val="both"/>
        <w:rPr>
          <w:rFonts w:ascii="Arial" w:hAnsi="Arial" w:eastAsia="宋体" w:cs="Arial"/>
          <w:sz w:val="24"/>
          <w:szCs w:val="24"/>
          <w:lang w:eastAsia="zh-CN"/>
        </w:rPr>
      </w:pPr>
      <w:r>
        <w:rPr>
          <w:rFonts w:ascii="Arial" w:hAnsi="Arial" w:eastAsia="宋体" w:cs="Arial"/>
          <w:sz w:val="24"/>
          <w:szCs w:val="24"/>
          <w:lang w:eastAsia="zh-CN"/>
        </w:rPr>
        <w:t>旨在提供医疗教科书或其他参考资料的电子“副本”（例如电子书、音频书籍）且具有通用文本搜索能力的移动应用。这些应用并不属于器械，因为其旨在用作参考材料，且不用于通过有助于健康专家对特定患者的评估、替换临床人员的判断或进行任何临床评估来诊断疾病或其他病症，或治愈、缓解、治疗或预防疾病。示例包括用于以下用途的医疗应用：</w:t>
      </w:r>
    </w:p>
    <w:p w14:paraId="42B19747">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rPr>
      </w:pPr>
      <w:r>
        <w:rPr>
          <w:rFonts w:ascii="Arial" w:hAnsi="Arial" w:eastAsia="宋体" w:cs="Arial"/>
          <w:sz w:val="24"/>
          <w:szCs w:val="24"/>
        </w:rPr>
        <w:t>医学词典；</w:t>
      </w:r>
    </w:p>
    <w:p w14:paraId="09F4B739">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医学教科书或文学作品的电子副本，如“医师案头参考”或“精神障碍诊断与统计手册”（DSM）；</w:t>
      </w:r>
    </w:p>
    <w:p w14:paraId="04788BD6">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疾病和病症临床描述图书馆；</w:t>
      </w:r>
    </w:p>
    <w:p w14:paraId="69A7249B">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急救或急诊信息百科全书；</w:t>
      </w:r>
    </w:p>
    <w:p w14:paraId="05E21830">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医学缩略词和定义；</w:t>
      </w:r>
    </w:p>
    <w:p w14:paraId="364D1402">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多种语言间的医学术语翻译。</w:t>
      </w:r>
    </w:p>
    <w:p w14:paraId="3E0FF66B">
      <w:pPr>
        <w:tabs>
          <w:tab w:val="left" w:pos="1358"/>
        </w:tabs>
        <w:snapToGrid w:val="0"/>
        <w:spacing w:before="3" w:line="300" w:lineRule="auto"/>
        <w:ind w:left="1247" w:leftChars="439" w:hanging="281" w:hangingChars="128"/>
        <w:jc w:val="both"/>
        <w:rPr>
          <w:rFonts w:ascii="Arial" w:hAnsi="Arial" w:eastAsia="宋体" w:cs="Arial"/>
          <w:lang w:eastAsia="zh-CN"/>
        </w:rPr>
      </w:pPr>
    </w:p>
    <w:p w14:paraId="2283FA3C">
      <w:pPr>
        <w:pStyle w:val="19"/>
        <w:numPr>
          <w:ilvl w:val="0"/>
          <w:numId w:val="9"/>
        </w:numPr>
        <w:snapToGrid w:val="0"/>
        <w:spacing w:line="300" w:lineRule="auto"/>
        <w:ind w:left="490" w:hanging="489" w:hangingChars="204"/>
        <w:jc w:val="both"/>
        <w:rPr>
          <w:rFonts w:ascii="Arial" w:hAnsi="Arial" w:eastAsia="宋体" w:cs="Arial"/>
          <w:sz w:val="24"/>
          <w:szCs w:val="24"/>
          <w:lang w:eastAsia="zh-CN"/>
        </w:rPr>
      </w:pPr>
      <w:r>
        <w:rPr>
          <w:rFonts w:ascii="Arial" w:hAnsi="Arial" w:eastAsia="宋体" w:cs="Arial"/>
          <w:sz w:val="24"/>
          <w:szCs w:val="24"/>
          <w:lang w:eastAsia="zh-CN"/>
        </w:rPr>
        <w:t>旨在供医疗服务人员用作医疗培训的教育工具或加强先前接收的培训的移动应用。除提供文本的电子副本（例如，视频、交互式图表）外，这些应用可能具有更多功能，但其并不属于器械，因为其通常用于用户教育，且不用于通过促进健康专家对特定患者的评估、替换临床人员的判断或进行任何临床评估来诊断疾病或其他病症，或治愈、缓解、治疗或预防疾病。示例包括用于以下用途的医疗应用：</w:t>
      </w:r>
    </w:p>
    <w:p w14:paraId="3AE46D22">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lang w:eastAsia="zh-CN"/>
        </w:rPr>
        <w:t>具有医学</w:t>
      </w:r>
      <w:r>
        <w:rPr>
          <w:rFonts w:ascii="Arial" w:hAnsi="Arial" w:eastAsia="宋体" w:cs="Arial"/>
          <w:sz w:val="24"/>
          <w:szCs w:val="24"/>
          <w:lang w:eastAsia="zh-CN"/>
        </w:rPr>
        <w:t>图像、图片、图表等的医疗闪存卡；</w:t>
      </w:r>
    </w:p>
    <w:p w14:paraId="4BD6501A">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问题/答案测验应用；</w:t>
      </w:r>
    </w:p>
    <w:p w14:paraId="0ACF43EB">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交互式解剖形态图或视频；</w:t>
      </w:r>
    </w:p>
    <w:p w14:paraId="2B982F55">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手术培训视频；</w:t>
      </w:r>
    </w:p>
    <w:p w14:paraId="6FBE41D4">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szCs w:val="24"/>
          <w:lang w:eastAsia="zh-CN"/>
        </w:rPr>
      </w:pPr>
      <w:r>
        <w:rPr>
          <w:rFonts w:ascii="Arial" w:hAnsi="Arial" w:eastAsia="宋体" w:cs="Arial"/>
          <w:sz w:val="24"/>
          <w:szCs w:val="24"/>
          <w:lang w:eastAsia="zh-CN"/>
        </w:rPr>
        <w:t>医疗委员会认证或再认证准备应用；</w:t>
      </w:r>
    </w:p>
    <w:p w14:paraId="2D7A4C80">
      <w:pPr>
        <w:pStyle w:val="19"/>
        <w:numPr>
          <w:ilvl w:val="1"/>
          <w:numId w:val="9"/>
        </w:numPr>
        <w:tabs>
          <w:tab w:val="left" w:pos="1358"/>
        </w:tabs>
        <w:snapToGrid w:val="0"/>
        <w:spacing w:line="300" w:lineRule="auto"/>
        <w:ind w:left="1273" w:leftChars="439" w:hanging="307" w:hangingChars="128"/>
        <w:jc w:val="both"/>
        <w:rPr>
          <w:rFonts w:ascii="Arial" w:hAnsi="Arial" w:eastAsia="宋体" w:cs="Arial"/>
          <w:sz w:val="24"/>
          <w:lang w:eastAsia="zh-CN"/>
        </w:rPr>
      </w:pPr>
      <w:r>
        <w:rPr>
          <w:rFonts w:ascii="Arial" w:hAnsi="Arial" w:eastAsia="宋体" w:cs="Arial"/>
          <w:sz w:val="24"/>
          <w:szCs w:val="24"/>
          <w:lang w:eastAsia="zh-CN"/>
        </w:rPr>
        <w:t>模拟各种心脏骤停情景</w:t>
      </w:r>
      <w:r>
        <w:rPr>
          <w:rFonts w:ascii="Arial" w:hAnsi="Arial" w:eastAsia="宋体" w:cs="Arial"/>
          <w:sz w:val="24"/>
          <w:lang w:eastAsia="zh-CN"/>
        </w:rPr>
        <w:t>以训练医疗专业人员的高级心肺复苏技能的游戏。</w:t>
      </w:r>
    </w:p>
    <w:p w14:paraId="133DA12B">
      <w:pPr>
        <w:pStyle w:val="19"/>
        <w:numPr>
          <w:ilvl w:val="0"/>
          <w:numId w:val="9"/>
        </w:numPr>
        <w:snapToGrid w:val="0"/>
        <w:spacing w:line="300" w:lineRule="auto"/>
        <w:ind w:left="490" w:hanging="489" w:hangingChars="204"/>
        <w:jc w:val="both"/>
        <w:rPr>
          <w:rFonts w:ascii="Arial" w:hAnsi="Arial" w:eastAsia="宋体" w:cs="Arial"/>
          <w:sz w:val="24"/>
          <w:szCs w:val="24"/>
          <w:lang w:eastAsia="zh-CN"/>
        </w:rPr>
      </w:pPr>
      <w:r>
        <w:rPr>
          <w:rFonts w:ascii="Arial" w:hAnsi="Arial" w:eastAsia="宋体" w:cs="Arial"/>
          <w:sz w:val="24"/>
          <w:szCs w:val="24"/>
          <w:lang w:eastAsia="zh-CN"/>
        </w:rPr>
        <w:t>适用于一般患者教育，并使患者易于访问常用参考信息的移动应用。这些应用可以具有患者特异性（即，根据患者特定特性过滤信息），但旨在提高患者意识、教育和授权，并最终支持以患者为中心的医疗。这些应用并不属于器械，因为其通常用于患者教育，并且不用于通过帮助临床决策制定来诊断疾病或其他病症，或治愈、缓解、治疗或预防疾病（即，促进健康专家对特定患者的评估、替换临床人员的判断或进行任何临床评估）。示例包括用于以下用途的医疗应用：</w:t>
      </w:r>
    </w:p>
    <w:p w14:paraId="35EF8016">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为医疗服务人员提供一个门户网站，以向患者分发有关其疾病、病情、治疗或后续手术的教育信息（如交互图、有用的链接和资源）；</w:t>
      </w:r>
    </w:p>
    <w:p w14:paraId="4FA43D42">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帮助指导患者向其医生询问与其特定疾病、病情或关注相关的适当问题；</w:t>
      </w:r>
    </w:p>
    <w:p w14:paraId="386380E6">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提供有关无谷蛋白食品或餐馆的信息；</w:t>
      </w:r>
    </w:p>
    <w:p w14:paraId="0B74F331">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帮助匹配患者与潜在适用的临床试验，并促进患者和临床试验研究者之间的沟通；</w:t>
      </w:r>
    </w:p>
    <w:p w14:paraId="6C769E9F">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提供有关如何施用急救或CPR的教程或培训视频；</w:t>
      </w:r>
    </w:p>
    <w:p w14:paraId="34037C6E">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允许用户输入药丸形状、颜色或印记，并显示符合此说明的药丸的图片和名称；</w:t>
      </w:r>
    </w:p>
    <w:p w14:paraId="19A8C0C9">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找到离用户位置最近的医疗机构和医生；</w:t>
      </w:r>
    </w:p>
    <w:p w14:paraId="5006EAF3">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提供紧急热线和医师/护士咨询热线的列表；</w:t>
      </w:r>
    </w:p>
    <w:p w14:paraId="79CF7D61">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提供和比较用户所在地的药房的药物和医疗产品的费用。</w:t>
      </w:r>
    </w:p>
    <w:p w14:paraId="0086FC38">
      <w:pPr>
        <w:snapToGrid w:val="0"/>
        <w:spacing w:line="300" w:lineRule="auto"/>
        <w:jc w:val="both"/>
        <w:rPr>
          <w:rFonts w:ascii="Arial" w:hAnsi="Arial" w:eastAsia="宋体" w:cs="Arial"/>
          <w:sz w:val="20"/>
          <w:szCs w:val="20"/>
          <w:lang w:eastAsia="zh-CN"/>
        </w:rPr>
      </w:pPr>
    </w:p>
    <w:p w14:paraId="758C0DCE">
      <w:pPr>
        <w:snapToGrid w:val="0"/>
        <w:spacing w:before="4" w:line="300" w:lineRule="auto"/>
        <w:jc w:val="both"/>
        <w:rPr>
          <w:rFonts w:ascii="Arial" w:hAnsi="Arial" w:eastAsia="宋体" w:cs="Arial"/>
          <w:lang w:eastAsia="zh-CN"/>
        </w:rPr>
      </w:pPr>
    </w:p>
    <w:p w14:paraId="616D5FF5">
      <w:pPr>
        <w:pStyle w:val="19"/>
        <w:numPr>
          <w:ilvl w:val="0"/>
          <w:numId w:val="9"/>
        </w:numPr>
        <w:snapToGrid w:val="0"/>
        <w:spacing w:line="300" w:lineRule="auto"/>
        <w:ind w:left="490" w:hanging="489" w:hangingChars="204"/>
        <w:jc w:val="both"/>
        <w:rPr>
          <w:rFonts w:ascii="Arial" w:hAnsi="Arial" w:eastAsia="宋体" w:cs="Arial"/>
          <w:sz w:val="24"/>
          <w:szCs w:val="24"/>
          <w:lang w:eastAsia="zh-CN"/>
        </w:rPr>
      </w:pPr>
      <w:r>
        <w:rPr>
          <w:rFonts w:ascii="Arial" w:hAnsi="Arial" w:eastAsia="宋体" w:cs="Arial"/>
          <w:sz w:val="24"/>
          <w:lang w:eastAsia="zh-CN"/>
        </w:rPr>
        <w:t>自动进行医疗环境中的一般办公室操作，但不用于诊断疾病或其他疾病或治愈、缓解、治疗或预防疾病的移动</w:t>
      </w:r>
      <w:r>
        <w:rPr>
          <w:rFonts w:ascii="Arial" w:hAnsi="Arial" w:eastAsia="宋体" w:cs="Arial"/>
          <w:sz w:val="24"/>
          <w:szCs w:val="24"/>
          <w:lang w:eastAsia="zh-CN"/>
        </w:rPr>
        <w:t>应用</w:t>
      </w:r>
      <w:r>
        <w:rPr>
          <w:rFonts w:ascii="Arial" w:hAnsi="Arial" w:eastAsia="宋体" w:cs="Arial"/>
          <w:sz w:val="24"/>
          <w:lang w:eastAsia="zh-CN"/>
        </w:rPr>
        <w:t>。</w:t>
      </w:r>
      <w:r>
        <w:rPr>
          <w:rFonts w:ascii="Arial" w:hAnsi="Arial" w:eastAsia="宋体" w:cs="Arial"/>
          <w:sz w:val="24"/>
          <w:szCs w:val="24"/>
          <w:lang w:eastAsia="zh-CN"/>
        </w:rPr>
        <w:t>示例包括用于以下用途的医疗应用</w:t>
      </w:r>
      <w:r>
        <w:rPr>
          <w:rFonts w:ascii="Arial" w:hAnsi="Arial" w:eastAsia="宋体" w:cs="Arial"/>
          <w:sz w:val="24"/>
          <w:lang w:eastAsia="zh-CN"/>
        </w:rPr>
        <w:t>：</w:t>
      </w:r>
    </w:p>
    <w:p w14:paraId="22961299">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确定计费代码，如ICD-9（国际疾病统计分类）；</w:t>
      </w:r>
    </w:p>
    <w:p w14:paraId="23BDF43C">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启用保险索赔数据收集和处理以及具有类似管理性质的其他应用；</w:t>
      </w:r>
    </w:p>
    <w:p w14:paraId="41C5FAAD">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分析有关欺诈或滥用的保险索赔；</w:t>
      </w:r>
    </w:p>
    <w:p w14:paraId="1EA01463">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执行医疗业务会计功能或跟踪和预测计费工时和程序；</w:t>
      </w:r>
    </w:p>
    <w:p w14:paraId="12CF1A95">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生成预订医疗预约或献血预约的提醒；</w:t>
      </w:r>
    </w:p>
    <w:p w14:paraId="46ACA1EA">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帮助患者在线追踪、审查和支付医保申报和账单；</w:t>
      </w:r>
    </w:p>
    <w:p w14:paraId="31B89B02">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管理医生的班次；</w:t>
      </w:r>
    </w:p>
    <w:p w14:paraId="57CE6EA0">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管理或安排病房或床位；</w:t>
      </w:r>
    </w:p>
    <w:p w14:paraId="09A227DD">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为医院急诊室和紧急护理部门提供等候时间和电子登记；</w:t>
      </w:r>
    </w:p>
    <w:p w14:paraId="237B036E">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允许医护机构的医护服务人员或员工处理付款（例如，使用符合HIPAA的应用处理付款）；</w:t>
      </w:r>
    </w:p>
    <w:p w14:paraId="3D3B8A14">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0"/>
          <w:szCs w:val="20"/>
          <w:lang w:eastAsia="zh-CN"/>
        </w:rPr>
      </w:pPr>
      <w:r>
        <w:rPr>
          <w:rFonts w:ascii="Arial" w:hAnsi="Arial" w:eastAsia="宋体" w:cs="Arial"/>
          <w:sz w:val="24"/>
          <w:szCs w:val="24"/>
          <w:lang w:eastAsia="zh-CN"/>
        </w:rPr>
        <w:t>在偶遇或临床访问后跟踪或进行患者满意度调查。</w:t>
      </w:r>
    </w:p>
    <w:p w14:paraId="24E696A2">
      <w:pPr>
        <w:snapToGrid w:val="0"/>
        <w:spacing w:before="7" w:line="300" w:lineRule="auto"/>
        <w:jc w:val="both"/>
        <w:rPr>
          <w:rFonts w:ascii="Arial" w:hAnsi="Arial" w:eastAsia="宋体" w:cs="Arial"/>
          <w:sz w:val="16"/>
          <w:szCs w:val="16"/>
          <w:lang w:eastAsia="zh-CN"/>
        </w:rPr>
      </w:pPr>
    </w:p>
    <w:p w14:paraId="4294109B">
      <w:pPr>
        <w:snapToGrid w:val="0"/>
        <w:spacing w:line="300" w:lineRule="auto"/>
        <w:rPr>
          <w:rFonts w:ascii="Arial" w:hAnsi="Arial" w:eastAsia="宋体" w:cs="Arial"/>
          <w:sz w:val="24"/>
          <w:lang w:eastAsia="zh-CN"/>
        </w:rPr>
      </w:pPr>
      <w:r>
        <w:rPr>
          <w:rFonts w:ascii="Arial" w:hAnsi="Arial" w:eastAsia="宋体" w:cs="Arial"/>
          <w:sz w:val="24"/>
          <w:lang w:eastAsia="zh-CN"/>
        </w:rPr>
        <w:br w:type="page"/>
      </w:r>
    </w:p>
    <w:p w14:paraId="1E3D5553">
      <w:pPr>
        <w:pStyle w:val="19"/>
        <w:numPr>
          <w:ilvl w:val="0"/>
          <w:numId w:val="9"/>
        </w:numPr>
        <w:snapToGrid w:val="0"/>
        <w:spacing w:line="300" w:lineRule="auto"/>
        <w:ind w:left="490" w:hanging="489" w:hangingChars="204"/>
        <w:jc w:val="both"/>
        <w:rPr>
          <w:rFonts w:ascii="Arial" w:hAnsi="Arial" w:eastAsia="宋体" w:cs="Arial"/>
          <w:sz w:val="24"/>
          <w:szCs w:val="24"/>
          <w:lang w:eastAsia="zh-CN"/>
        </w:rPr>
      </w:pPr>
      <w:r>
        <w:rPr>
          <w:rFonts w:ascii="Arial" w:hAnsi="Arial" w:eastAsia="宋体" w:cs="Arial"/>
          <w:sz w:val="24"/>
          <w:lang w:eastAsia="zh-CN"/>
        </w:rPr>
        <w:t>属于通用辅助工具或通用产品的移动应用。这些应用不被视为器械，因为其不用于诊断疾病或其他病症，或用于治愈、缓解、治疗或预防疾病。</w:t>
      </w:r>
      <w:r>
        <w:rPr>
          <w:rFonts w:ascii="Arial" w:hAnsi="Arial" w:eastAsia="宋体" w:cs="Arial"/>
          <w:sz w:val="24"/>
          <w:szCs w:val="24"/>
          <w:lang w:eastAsia="zh-CN"/>
        </w:rPr>
        <w:t>示例包括用于以下用途的医疗应用</w:t>
      </w:r>
      <w:r>
        <w:rPr>
          <w:rFonts w:ascii="Arial" w:hAnsi="Arial" w:eastAsia="宋体" w:cs="Arial"/>
          <w:sz w:val="24"/>
          <w:lang w:eastAsia="zh-CN"/>
        </w:rPr>
        <w:t>：</w:t>
      </w:r>
    </w:p>
    <w:p w14:paraId="6CD074C0">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使用移动平台作为放大镜（但不是专门用于医疗目的31）；</w:t>
      </w:r>
    </w:p>
    <w:p w14:paraId="7244EB64">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使用移动平台记录音频、记笔记、重播放大后的音频或其他类似功能；</w:t>
      </w:r>
    </w:p>
    <w:p w14:paraId="18D79586">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允许患者或医疗服务人员通过电子邮件、网络平台、视频或其他通信机制（但不是专门用于医疗目的）进行交互；</w:t>
      </w:r>
    </w:p>
    <w:p w14:paraId="26D81CF2">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向医疗机构提供地图和分路段导航；</w:t>
      </w:r>
    </w:p>
    <w:p w14:paraId="298EB7F6">
      <w:pPr>
        <w:pStyle w:val="19"/>
        <w:numPr>
          <w:ilvl w:val="1"/>
          <w:numId w:val="9"/>
        </w:numPr>
        <w:tabs>
          <w:tab w:val="left" w:pos="1260"/>
        </w:tabs>
        <w:snapToGrid w:val="0"/>
        <w:spacing w:before="5" w:line="300" w:lineRule="auto"/>
        <w:ind w:left="1259" w:leftChars="425" w:hanging="324" w:hangingChars="135"/>
        <w:jc w:val="both"/>
        <w:rPr>
          <w:rFonts w:ascii="Arial" w:hAnsi="Arial" w:eastAsia="宋体" w:cs="Arial"/>
          <w:sz w:val="24"/>
          <w:szCs w:val="24"/>
          <w:lang w:eastAsia="zh-CN"/>
        </w:rPr>
      </w:pPr>
      <w:r>
        <w:rPr>
          <w:rFonts w:ascii="Arial" w:hAnsi="Arial" w:eastAsia="宋体" w:cs="Arial"/>
          <w:sz w:val="24"/>
          <w:szCs w:val="24"/>
          <w:lang w:eastAsia="zh-CN"/>
        </w:rPr>
        <w:t>允许医疗服务人员以安全和受保护的方式进行通信（例如，使用符合HIPAA的应用在医院内的医疗服务人员之间发送消息）。</w:t>
      </w:r>
    </w:p>
    <w:p w14:paraId="6605B998">
      <w:pPr>
        <w:snapToGrid w:val="0"/>
        <w:spacing w:line="300" w:lineRule="auto"/>
        <w:jc w:val="both"/>
        <w:rPr>
          <w:rFonts w:ascii="Arial" w:hAnsi="Arial" w:eastAsia="宋体" w:cs="Arial"/>
          <w:sz w:val="20"/>
          <w:szCs w:val="20"/>
          <w:lang w:eastAsia="zh-CN"/>
        </w:rPr>
      </w:pPr>
    </w:p>
    <w:p w14:paraId="611D2D33">
      <w:pPr>
        <w:snapToGrid w:val="0"/>
        <w:spacing w:line="300" w:lineRule="auto"/>
        <w:jc w:val="both"/>
        <w:rPr>
          <w:rFonts w:ascii="Arial" w:hAnsi="Arial" w:eastAsia="宋体" w:cs="Arial"/>
          <w:sz w:val="20"/>
          <w:szCs w:val="20"/>
          <w:lang w:eastAsia="zh-CN"/>
        </w:rPr>
      </w:pPr>
    </w:p>
    <w:p w14:paraId="3AC39327">
      <w:pPr>
        <w:snapToGrid w:val="0"/>
        <w:spacing w:line="300" w:lineRule="auto"/>
        <w:jc w:val="both"/>
        <w:rPr>
          <w:rFonts w:ascii="Arial" w:hAnsi="Arial" w:eastAsia="宋体" w:cs="Arial"/>
          <w:sz w:val="20"/>
          <w:szCs w:val="20"/>
          <w:lang w:eastAsia="zh-CN"/>
        </w:rPr>
      </w:pPr>
    </w:p>
    <w:p w14:paraId="71D66B2B">
      <w:pPr>
        <w:snapToGrid w:val="0"/>
        <w:spacing w:line="300" w:lineRule="auto"/>
        <w:jc w:val="both"/>
        <w:rPr>
          <w:rFonts w:ascii="Arial" w:hAnsi="Arial" w:eastAsia="宋体" w:cs="Arial"/>
          <w:sz w:val="20"/>
          <w:szCs w:val="20"/>
          <w:lang w:eastAsia="zh-CN"/>
        </w:rPr>
      </w:pPr>
    </w:p>
    <w:p w14:paraId="3BC7F552">
      <w:pPr>
        <w:snapToGrid w:val="0"/>
        <w:spacing w:line="300" w:lineRule="auto"/>
        <w:jc w:val="both"/>
        <w:rPr>
          <w:rFonts w:ascii="Arial" w:hAnsi="Arial" w:eastAsia="宋体" w:cs="Arial"/>
          <w:sz w:val="20"/>
          <w:szCs w:val="20"/>
          <w:lang w:eastAsia="zh-CN"/>
        </w:rPr>
      </w:pPr>
    </w:p>
    <w:p w14:paraId="0F1CEFF1">
      <w:pPr>
        <w:snapToGrid w:val="0"/>
        <w:spacing w:line="300" w:lineRule="auto"/>
        <w:jc w:val="both"/>
        <w:rPr>
          <w:rFonts w:ascii="Arial" w:hAnsi="Arial" w:eastAsia="宋体" w:cs="Arial"/>
          <w:sz w:val="20"/>
          <w:szCs w:val="20"/>
          <w:lang w:eastAsia="zh-CN"/>
        </w:rPr>
      </w:pPr>
    </w:p>
    <w:p w14:paraId="6F1A7237">
      <w:pPr>
        <w:snapToGrid w:val="0"/>
        <w:spacing w:line="300" w:lineRule="auto"/>
        <w:jc w:val="both"/>
        <w:rPr>
          <w:rFonts w:ascii="Arial" w:hAnsi="Arial" w:eastAsia="宋体" w:cs="Arial"/>
          <w:sz w:val="20"/>
          <w:szCs w:val="20"/>
          <w:lang w:eastAsia="zh-CN"/>
        </w:rPr>
      </w:pPr>
    </w:p>
    <w:p w14:paraId="3C55D875">
      <w:pPr>
        <w:snapToGrid w:val="0"/>
        <w:spacing w:line="300" w:lineRule="auto"/>
        <w:jc w:val="both"/>
        <w:rPr>
          <w:rFonts w:ascii="Arial" w:hAnsi="Arial" w:eastAsia="宋体" w:cs="Arial"/>
          <w:sz w:val="20"/>
          <w:szCs w:val="20"/>
          <w:lang w:eastAsia="zh-CN"/>
        </w:rPr>
      </w:pPr>
    </w:p>
    <w:p w14:paraId="4BB3154B">
      <w:pPr>
        <w:snapToGrid w:val="0"/>
        <w:spacing w:line="300" w:lineRule="auto"/>
        <w:jc w:val="both"/>
        <w:rPr>
          <w:rFonts w:ascii="Arial" w:hAnsi="Arial" w:eastAsia="宋体" w:cs="Arial"/>
          <w:sz w:val="20"/>
          <w:szCs w:val="20"/>
          <w:lang w:eastAsia="zh-CN"/>
        </w:rPr>
      </w:pPr>
    </w:p>
    <w:p w14:paraId="6B7BC88B">
      <w:pPr>
        <w:snapToGrid w:val="0"/>
        <w:spacing w:line="300" w:lineRule="auto"/>
        <w:jc w:val="both"/>
        <w:rPr>
          <w:rFonts w:ascii="Arial" w:hAnsi="Arial" w:eastAsia="宋体" w:cs="Arial"/>
          <w:sz w:val="20"/>
          <w:szCs w:val="20"/>
          <w:lang w:eastAsia="zh-CN"/>
        </w:rPr>
      </w:pPr>
    </w:p>
    <w:p w14:paraId="75568CA5">
      <w:pPr>
        <w:snapToGrid w:val="0"/>
        <w:spacing w:line="300" w:lineRule="auto"/>
        <w:jc w:val="both"/>
        <w:rPr>
          <w:rFonts w:ascii="Arial" w:hAnsi="Arial" w:eastAsia="宋体" w:cs="Arial"/>
          <w:sz w:val="20"/>
          <w:szCs w:val="20"/>
          <w:lang w:eastAsia="zh-CN"/>
        </w:rPr>
      </w:pPr>
    </w:p>
    <w:p w14:paraId="1666872F">
      <w:pPr>
        <w:snapToGrid w:val="0"/>
        <w:spacing w:line="300" w:lineRule="auto"/>
        <w:jc w:val="both"/>
        <w:rPr>
          <w:rFonts w:ascii="Arial" w:hAnsi="Arial" w:eastAsia="宋体" w:cs="Arial"/>
          <w:sz w:val="20"/>
          <w:szCs w:val="20"/>
          <w:lang w:eastAsia="zh-CN"/>
        </w:rPr>
      </w:pPr>
    </w:p>
    <w:p w14:paraId="6F9882E6">
      <w:pPr>
        <w:snapToGrid w:val="0"/>
        <w:spacing w:line="300" w:lineRule="auto"/>
        <w:jc w:val="both"/>
        <w:rPr>
          <w:rFonts w:ascii="Arial" w:hAnsi="Arial" w:eastAsia="宋体" w:cs="Arial"/>
          <w:sz w:val="20"/>
          <w:szCs w:val="20"/>
          <w:lang w:eastAsia="zh-CN"/>
        </w:rPr>
      </w:pPr>
    </w:p>
    <w:p w14:paraId="4B738748">
      <w:pPr>
        <w:snapToGrid w:val="0"/>
        <w:spacing w:line="300" w:lineRule="auto"/>
        <w:jc w:val="both"/>
        <w:rPr>
          <w:rFonts w:ascii="Arial" w:hAnsi="Arial" w:eastAsia="宋体" w:cs="Arial"/>
          <w:sz w:val="20"/>
          <w:szCs w:val="20"/>
          <w:lang w:eastAsia="zh-CN"/>
        </w:rPr>
      </w:pPr>
    </w:p>
    <w:p w14:paraId="686C9ED1">
      <w:pPr>
        <w:snapToGrid w:val="0"/>
        <w:spacing w:line="300" w:lineRule="auto"/>
        <w:jc w:val="both"/>
        <w:rPr>
          <w:rFonts w:ascii="Arial" w:hAnsi="Arial" w:eastAsia="宋体" w:cs="Arial"/>
          <w:sz w:val="20"/>
          <w:szCs w:val="20"/>
          <w:lang w:eastAsia="zh-CN"/>
        </w:rPr>
      </w:pPr>
    </w:p>
    <w:p w14:paraId="502A2FC3">
      <w:pPr>
        <w:snapToGrid w:val="0"/>
        <w:spacing w:line="300" w:lineRule="auto"/>
        <w:jc w:val="both"/>
        <w:rPr>
          <w:rFonts w:ascii="Arial" w:hAnsi="Arial" w:eastAsia="宋体" w:cs="Arial"/>
          <w:sz w:val="20"/>
          <w:szCs w:val="20"/>
          <w:lang w:eastAsia="zh-CN"/>
        </w:rPr>
      </w:pPr>
    </w:p>
    <w:p w14:paraId="142A7A70">
      <w:pPr>
        <w:snapToGrid w:val="0"/>
        <w:spacing w:line="300" w:lineRule="auto"/>
        <w:jc w:val="both"/>
        <w:rPr>
          <w:rFonts w:ascii="Arial" w:hAnsi="Arial" w:eastAsia="宋体" w:cs="Arial"/>
          <w:sz w:val="20"/>
          <w:szCs w:val="20"/>
          <w:lang w:eastAsia="zh-CN"/>
        </w:rPr>
      </w:pPr>
    </w:p>
    <w:p w14:paraId="0C4ED04F">
      <w:pPr>
        <w:snapToGrid w:val="0"/>
        <w:spacing w:line="300" w:lineRule="auto"/>
        <w:jc w:val="both"/>
        <w:rPr>
          <w:rFonts w:ascii="Arial" w:hAnsi="Arial" w:eastAsia="宋体" w:cs="Arial"/>
          <w:sz w:val="20"/>
          <w:szCs w:val="20"/>
          <w:lang w:eastAsia="zh-CN"/>
        </w:rPr>
      </w:pPr>
    </w:p>
    <w:p w14:paraId="25D5E6C7">
      <w:pPr>
        <w:snapToGrid w:val="0"/>
        <w:spacing w:line="300" w:lineRule="auto"/>
        <w:jc w:val="both"/>
        <w:rPr>
          <w:rFonts w:ascii="Arial" w:hAnsi="Arial" w:eastAsia="宋体" w:cs="Arial"/>
          <w:sz w:val="20"/>
          <w:szCs w:val="20"/>
          <w:lang w:eastAsia="zh-CN"/>
        </w:rPr>
      </w:pPr>
    </w:p>
    <w:p w14:paraId="0BAB966E">
      <w:pPr>
        <w:snapToGrid w:val="0"/>
        <w:spacing w:line="300" w:lineRule="auto"/>
        <w:jc w:val="both"/>
        <w:rPr>
          <w:rFonts w:ascii="Arial" w:hAnsi="Arial" w:eastAsia="宋体" w:cs="Arial"/>
          <w:sz w:val="20"/>
          <w:szCs w:val="20"/>
          <w:lang w:eastAsia="zh-CN"/>
        </w:rPr>
      </w:pPr>
    </w:p>
    <w:p w14:paraId="300F0ED8">
      <w:pPr>
        <w:snapToGrid w:val="0"/>
        <w:spacing w:line="300" w:lineRule="auto"/>
        <w:jc w:val="both"/>
        <w:rPr>
          <w:rFonts w:ascii="Arial" w:hAnsi="Arial" w:eastAsia="宋体" w:cs="Arial"/>
          <w:sz w:val="20"/>
          <w:szCs w:val="20"/>
          <w:lang w:eastAsia="zh-CN"/>
        </w:rPr>
      </w:pPr>
    </w:p>
    <w:p w14:paraId="23F7B285">
      <w:pPr>
        <w:snapToGrid w:val="0"/>
        <w:spacing w:line="300" w:lineRule="auto"/>
        <w:jc w:val="both"/>
        <w:rPr>
          <w:rFonts w:ascii="Arial" w:hAnsi="Arial" w:eastAsia="宋体" w:cs="Arial"/>
          <w:sz w:val="20"/>
          <w:szCs w:val="20"/>
          <w:lang w:eastAsia="zh-CN"/>
        </w:rPr>
      </w:pPr>
    </w:p>
    <w:p w14:paraId="500392E9">
      <w:pPr>
        <w:snapToGrid w:val="0"/>
        <w:spacing w:line="300" w:lineRule="auto"/>
        <w:jc w:val="both"/>
        <w:rPr>
          <w:rFonts w:ascii="Arial" w:hAnsi="Arial" w:eastAsia="宋体" w:cs="Arial"/>
          <w:sz w:val="20"/>
          <w:szCs w:val="20"/>
          <w:lang w:eastAsia="zh-CN"/>
        </w:rPr>
      </w:pPr>
    </w:p>
    <w:p w14:paraId="2E815D36">
      <w:pPr>
        <w:snapToGrid w:val="0"/>
        <w:spacing w:line="300" w:lineRule="auto"/>
        <w:jc w:val="both"/>
        <w:rPr>
          <w:rFonts w:ascii="Arial" w:hAnsi="Arial" w:eastAsia="宋体" w:cs="Arial"/>
          <w:sz w:val="20"/>
          <w:szCs w:val="20"/>
          <w:lang w:eastAsia="zh-CN"/>
        </w:rPr>
      </w:pPr>
    </w:p>
    <w:p w14:paraId="5DC286BA">
      <w:pPr>
        <w:snapToGrid w:val="0"/>
        <w:spacing w:line="300" w:lineRule="auto"/>
        <w:jc w:val="both"/>
        <w:rPr>
          <w:rFonts w:ascii="Arial" w:hAnsi="Arial" w:eastAsia="宋体" w:cs="Arial"/>
          <w:sz w:val="20"/>
          <w:szCs w:val="20"/>
          <w:lang w:eastAsia="zh-CN"/>
        </w:rPr>
      </w:pPr>
    </w:p>
    <w:p w14:paraId="2FC72035">
      <w:pPr>
        <w:snapToGrid w:val="0"/>
        <w:spacing w:line="300" w:lineRule="auto"/>
        <w:jc w:val="both"/>
        <w:rPr>
          <w:rFonts w:ascii="Arial" w:hAnsi="Arial" w:eastAsia="宋体" w:cs="Arial"/>
          <w:sz w:val="20"/>
          <w:szCs w:val="20"/>
          <w:lang w:eastAsia="zh-CN"/>
        </w:rPr>
      </w:pPr>
    </w:p>
    <w:p w14:paraId="0528503D">
      <w:pPr>
        <w:snapToGrid w:val="0"/>
        <w:spacing w:line="300" w:lineRule="auto"/>
        <w:jc w:val="both"/>
        <w:rPr>
          <w:rFonts w:ascii="Arial" w:hAnsi="Arial" w:eastAsia="宋体" w:cs="Arial"/>
          <w:sz w:val="20"/>
          <w:szCs w:val="20"/>
          <w:lang w:eastAsia="zh-CN"/>
        </w:rPr>
      </w:pPr>
    </w:p>
    <w:p w14:paraId="3EFAD286">
      <w:pPr>
        <w:snapToGrid w:val="0"/>
        <w:spacing w:line="300" w:lineRule="auto"/>
        <w:jc w:val="both"/>
        <w:rPr>
          <w:rFonts w:ascii="Arial" w:hAnsi="Arial" w:eastAsia="宋体" w:cs="Arial"/>
          <w:sz w:val="20"/>
          <w:szCs w:val="20"/>
          <w:lang w:eastAsia="zh-CN"/>
        </w:rPr>
      </w:pPr>
    </w:p>
    <w:p w14:paraId="72B1327C">
      <w:pPr>
        <w:snapToGrid w:val="0"/>
        <w:spacing w:before="3" w:line="300" w:lineRule="auto"/>
        <w:jc w:val="both"/>
        <w:rPr>
          <w:rFonts w:ascii="Arial" w:hAnsi="Arial" w:eastAsia="宋体" w:cs="Arial"/>
          <w:sz w:val="24"/>
          <w:szCs w:val="24"/>
          <w:lang w:eastAsia="zh-CN"/>
        </w:rPr>
      </w:pPr>
    </w:p>
    <w:p w14:paraId="0D7FEDCF">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6" name="Group 3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7" name="Group 32"/>
                        <wpg:cNvGrpSpPr/>
                        <wpg:grpSpPr>
                          <a:xfrm>
                            <a:off x="6" y="6"/>
                            <a:ext cx="2880" cy="2"/>
                            <a:chOff x="6" y="6"/>
                            <a:chExt cx="2880" cy="2"/>
                          </a:xfrm>
                        </wpg:grpSpPr>
                        <wps:wsp>
                          <wps:cNvPr id="28" name="Freeform 3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GNqlV4cAwAA/gcAAA4AAAAAAAAAAQAgAAAAIwEAAGRycy9lMm9E&#10;b2MueG1sUEsFBgAAAAAGAAYAWQEAALEGAAAAAA==&#10;">
                <o:lock v:ext="edit" aspectratio="f"/>
                <v:group id="Group 32" o:spid="_x0000_s1026" o:spt="203" style="position:absolute;left:6;top:6;height:2;width:2880;" coordorigin="6,6" coordsize="2880,2"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Freeform 33" o:spid="_x0000_s1026" o:spt="100" style="position:absolute;left:6;top:6;height:2;width:2880;" filled="f" stroked="t" coordsize="2880,1" o:gfxdata="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ZVmGugAAANsA&#10;AAAPAAAAAAAAAAEAIAAAACIAAABkcnMvZG93bnJldi54bWxQSwECFAAUAAAACACHTuJAMy8FnjsA&#10;AAA5AAAAEAAAAAAAAAABACAAAAAJAQAAZHJzL3NoYXBleG1sLnhtbFBLBQYAAAAABgAGAFsBAACz&#10;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891CBE6">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szCs w:val="13"/>
          <w:lang w:eastAsia="zh-CN"/>
        </w:rPr>
        <w:t>31</w:t>
      </w:r>
      <w:r>
        <w:rPr>
          <w:rFonts w:ascii="Arial" w:hAnsi="Arial" w:eastAsia="宋体" w:cs="Arial"/>
          <w:sz w:val="20"/>
          <w:szCs w:val="20"/>
          <w:lang w:eastAsia="zh-CN"/>
        </w:rPr>
        <w:t>医用放大镜由21 CFR 886.5840-放大眼镜（“由眼镜架以及凸透镜组成、用于由视力受损患者佩戴以放大图像的器械”）或由21 CFR 886.5540-低视力放大镜（“由放大镜组成、用于由视力受损患者使用的器械，该器械可以手持或连接到眼镜上”）监管。</w:t>
      </w:r>
    </w:p>
    <w:p w14:paraId="4729B79D">
      <w:pPr>
        <w:snapToGrid w:val="0"/>
        <w:spacing w:line="300" w:lineRule="auto"/>
        <w:rPr>
          <w:rFonts w:ascii="Arial" w:hAnsi="Arial" w:eastAsia="宋体" w:cs="Arial"/>
          <w:sz w:val="20"/>
          <w:szCs w:val="20"/>
          <w:lang w:eastAsia="zh-CN"/>
        </w:rPr>
      </w:pPr>
      <w:r>
        <w:rPr>
          <w:rFonts w:ascii="Arial" w:hAnsi="Arial" w:eastAsia="宋体" w:cs="Arial"/>
          <w:sz w:val="20"/>
          <w:szCs w:val="20"/>
          <w:lang w:eastAsia="zh-CN"/>
        </w:rPr>
        <w:br w:type="page"/>
      </w:r>
    </w:p>
    <w:p w14:paraId="567A4B2E">
      <w:pPr>
        <w:pStyle w:val="2"/>
        <w:tabs>
          <w:tab w:val="left" w:pos="2259"/>
        </w:tabs>
        <w:snapToGrid w:val="0"/>
        <w:spacing w:after="240" w:afterLines="100" w:line="300" w:lineRule="auto"/>
        <w:ind w:left="0" w:firstLine="0"/>
        <w:jc w:val="both"/>
        <w:rPr>
          <w:rFonts w:ascii="Arial" w:hAnsi="Arial" w:eastAsia="宋体" w:cs="Arial"/>
          <w:bCs w:val="0"/>
          <w:lang w:eastAsia="zh-CN"/>
        </w:rPr>
      </w:pPr>
      <w:bookmarkStart w:id="37" w:name="Examples_of_mobile_apps_for_which_FDA_in"/>
      <w:bookmarkEnd w:id="37"/>
      <w:bookmarkStart w:id="38" w:name="_Toc481592031"/>
      <w:r>
        <w:rPr>
          <w:rFonts w:ascii="Arial" w:hAnsi="Arial" w:eastAsia="宋体" w:cs="Arial"/>
          <w:bCs w:val="0"/>
          <w:lang w:eastAsia="zh-CN"/>
        </w:rPr>
        <w:t>附录B FDA打算为其行使自由裁量权的移动应用示例</w:t>
      </w:r>
      <w:bookmarkEnd w:id="38"/>
    </w:p>
    <w:p w14:paraId="6705CAE5">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本附录提供了</w:t>
      </w:r>
      <w:r>
        <w:rPr>
          <w:rFonts w:hint="eastAsia" w:ascii="Arial" w:hAnsi="Arial" w:eastAsia="宋体" w:cs="Arial"/>
          <w:b/>
          <w:lang w:eastAsia="zh-CN"/>
        </w:rPr>
        <w:t>可能</w:t>
      </w:r>
      <w:r>
        <w:rPr>
          <w:rFonts w:ascii="Arial" w:hAnsi="Arial" w:eastAsia="宋体" w:cs="Arial"/>
          <w:lang w:eastAsia="zh-CN"/>
        </w:rPr>
        <w:t>符合医疗器械定义但FDA打算为其行使自由裁量权的移动应用示例。这些移动应用可能用于诊断疾病或其他病症，或用于治愈、缓解、治疗或预防疾病。即使这些移动应用可能符合医疗器械的定义，FDA仍然打算为这些移动应用行使自由裁量权，因为其仅可对公众造成较低的风险。</w:t>
      </w:r>
    </w:p>
    <w:p w14:paraId="19097537">
      <w:pPr>
        <w:snapToGrid w:val="0"/>
        <w:spacing w:before="2" w:line="300" w:lineRule="auto"/>
        <w:jc w:val="both"/>
        <w:rPr>
          <w:rFonts w:ascii="Arial" w:hAnsi="Arial" w:eastAsia="宋体" w:cs="Arial"/>
          <w:sz w:val="24"/>
          <w:szCs w:val="24"/>
          <w:lang w:eastAsia="zh-CN"/>
        </w:rPr>
      </w:pPr>
    </w:p>
    <w:p w14:paraId="42146F4A">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FDA了解，可能还有其他特殊和创新性移动应用未列于在此列表中，其中，此类应用也可能构成与医疗相关的移动应用。此列表并不十分详尽；其仅旨在提供说明并帮助确定此时不受制于监管要求的医疗应用。</w:t>
      </w:r>
    </w:p>
    <w:p w14:paraId="6731B8E8">
      <w:pPr>
        <w:snapToGrid w:val="0"/>
        <w:spacing w:before="3" w:line="300" w:lineRule="auto"/>
        <w:jc w:val="both"/>
        <w:rPr>
          <w:rFonts w:ascii="Arial" w:hAnsi="Arial" w:eastAsia="宋体" w:cs="Arial"/>
          <w:sz w:val="21"/>
          <w:szCs w:val="21"/>
          <w:lang w:eastAsia="zh-CN"/>
        </w:rPr>
      </w:pPr>
    </w:p>
    <w:p w14:paraId="3065F0A7">
      <w:pPr>
        <w:pStyle w:val="19"/>
        <w:snapToGrid w:val="0"/>
        <w:spacing w:line="300" w:lineRule="auto"/>
        <w:jc w:val="both"/>
        <w:rPr>
          <w:rFonts w:ascii="Arial" w:hAnsi="Arial" w:eastAsia="宋体" w:cs="Arial"/>
          <w:sz w:val="24"/>
          <w:szCs w:val="24"/>
          <w:lang w:eastAsia="zh-CN"/>
        </w:rPr>
      </w:pPr>
    </w:p>
    <w:p w14:paraId="17C2458A">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通过提供“当日技能”行为技术或用户在其焦虑增加时可以使用的音频消息来帮助具有已确诊的精神病学状态（例如创伤后应激障碍（PTSD）、抑郁症、焦虑症、强迫症）的患者维持其行为应对技能的移动应用；</w:t>
      </w:r>
    </w:p>
    <w:p w14:paraId="2528682E">
      <w:pPr>
        <w:pStyle w:val="19"/>
        <w:tabs>
          <w:tab w:val="left" w:pos="820"/>
        </w:tabs>
        <w:snapToGrid w:val="0"/>
        <w:spacing w:line="300" w:lineRule="auto"/>
        <w:ind w:left="796" w:leftChars="216" w:hanging="321" w:hangingChars="134"/>
        <w:jc w:val="both"/>
        <w:rPr>
          <w:rFonts w:ascii="Arial" w:hAnsi="Arial" w:eastAsia="宋体" w:cs="Arial"/>
          <w:sz w:val="24"/>
          <w:szCs w:val="24"/>
          <w:lang w:eastAsia="zh-CN"/>
        </w:rPr>
      </w:pPr>
    </w:p>
    <w:p w14:paraId="18A90B6A">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为尝试戒烟的吸烟者、戒毒中的患者或孕妇提供定期的教育信息、提醒或激发性指南的移动应用；</w:t>
      </w:r>
    </w:p>
    <w:p w14:paraId="4A12FCE6">
      <w:pPr>
        <w:pStyle w:val="19"/>
        <w:tabs>
          <w:tab w:val="left" w:pos="820"/>
        </w:tabs>
        <w:snapToGrid w:val="0"/>
        <w:spacing w:line="300" w:lineRule="auto"/>
        <w:ind w:left="796" w:leftChars="216" w:hanging="321" w:hangingChars="134"/>
        <w:jc w:val="both"/>
        <w:rPr>
          <w:rFonts w:ascii="Arial" w:hAnsi="Arial" w:eastAsia="宋体" w:cs="Arial"/>
          <w:sz w:val="24"/>
          <w:szCs w:val="24"/>
          <w:lang w:eastAsia="zh-CN"/>
        </w:rPr>
      </w:pPr>
    </w:p>
    <w:p w14:paraId="4CE56537">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使用GPS位置信息来警告哮喘患者可能导致哮喘症状的环境条件，或者在接近预定高风险地点时警告吸毒者（药物滥用者）的移动应用；</w:t>
      </w:r>
    </w:p>
    <w:p w14:paraId="7CD9B653">
      <w:pPr>
        <w:pStyle w:val="19"/>
        <w:snapToGrid w:val="0"/>
        <w:spacing w:line="300" w:lineRule="auto"/>
        <w:ind w:left="796" w:leftChars="216" w:hanging="321" w:hangingChars="134"/>
        <w:jc w:val="both"/>
        <w:rPr>
          <w:rFonts w:ascii="Arial" w:hAnsi="Arial" w:eastAsia="宋体" w:cs="Arial"/>
          <w:sz w:val="24"/>
          <w:szCs w:val="24"/>
          <w:lang w:eastAsia="zh-CN"/>
        </w:rPr>
      </w:pPr>
    </w:p>
    <w:p w14:paraId="23E2933B">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使用视频和视频游戏来激励患者在家里进行身体锻炼的移动应用；</w:t>
      </w:r>
    </w:p>
    <w:p w14:paraId="05708494">
      <w:pPr>
        <w:pStyle w:val="19"/>
        <w:tabs>
          <w:tab w:val="left" w:pos="820"/>
        </w:tabs>
        <w:snapToGrid w:val="0"/>
        <w:spacing w:line="300" w:lineRule="auto"/>
        <w:ind w:left="796" w:leftChars="216" w:hanging="321" w:hangingChars="134"/>
        <w:jc w:val="both"/>
        <w:rPr>
          <w:rFonts w:ascii="Arial" w:hAnsi="Arial" w:eastAsia="宋体" w:cs="Arial"/>
          <w:sz w:val="24"/>
          <w:szCs w:val="24"/>
          <w:lang w:eastAsia="zh-CN"/>
        </w:rPr>
      </w:pPr>
    </w:p>
    <w:p w14:paraId="089A4DF8">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提示用户输入他们想要同时服用的草药和药物，并提供有关文献中是否以观察到相互作用的信息以及已报告何种类型的相互作用的摘要的移动应用；</w:t>
      </w:r>
    </w:p>
    <w:p w14:paraId="4811693D">
      <w:pPr>
        <w:pStyle w:val="19"/>
        <w:tabs>
          <w:tab w:val="left" w:pos="820"/>
        </w:tabs>
        <w:snapToGrid w:val="0"/>
        <w:spacing w:line="300" w:lineRule="auto"/>
        <w:ind w:left="796" w:leftChars="216" w:hanging="321" w:hangingChars="134"/>
        <w:jc w:val="both"/>
        <w:rPr>
          <w:rFonts w:ascii="Arial" w:hAnsi="Arial" w:eastAsia="宋体" w:cs="Arial"/>
          <w:sz w:val="24"/>
          <w:szCs w:val="24"/>
          <w:lang w:eastAsia="zh-CN"/>
        </w:rPr>
      </w:pPr>
    </w:p>
    <w:p w14:paraId="0C751FEE">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帮助哮喘患者了解吸入器用法、经历的哮喘发作、用户者在发作时的位置或哮喘发作的环境触发的移动应用；</w:t>
      </w:r>
    </w:p>
    <w:p w14:paraId="6E3858C5">
      <w:pPr>
        <w:pStyle w:val="19"/>
        <w:snapToGrid w:val="0"/>
        <w:spacing w:line="300" w:lineRule="auto"/>
        <w:ind w:left="743" w:leftChars="216" w:hanging="268" w:hangingChars="134"/>
        <w:jc w:val="both"/>
        <w:rPr>
          <w:rFonts w:ascii="Arial" w:hAnsi="Arial" w:eastAsia="宋体" w:cs="Arial"/>
          <w:sz w:val="20"/>
          <w:szCs w:val="20"/>
          <w:lang w:eastAsia="zh-CN"/>
        </w:rPr>
      </w:pPr>
    </w:p>
    <w:p w14:paraId="2A58F35D">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提示用户手动输入症状、行为或环境信息、由医疗服务人员预先定义的内容的具体细节，并存储信息以供后续审查</w:t>
      </w:r>
      <w:r>
        <w:rPr>
          <w:rFonts w:ascii="Arial" w:hAnsi="Arial" w:eastAsia="宋体" w:cs="Arial"/>
          <w:sz w:val="24"/>
          <w:szCs w:val="24"/>
          <w:lang w:eastAsia="zh-CN"/>
        </w:rPr>
        <w:t>的移动应用</w:t>
      </w:r>
      <w:r>
        <w:rPr>
          <w:rFonts w:ascii="Arial" w:hAnsi="Arial" w:eastAsia="宋体" w:cs="Arial"/>
          <w:sz w:val="24"/>
          <w:lang w:eastAsia="zh-CN"/>
        </w:rPr>
        <w:t>；</w:t>
      </w:r>
    </w:p>
    <w:p w14:paraId="7F89A50A">
      <w:pPr>
        <w:pStyle w:val="19"/>
        <w:tabs>
          <w:tab w:val="left" w:pos="820"/>
        </w:tabs>
        <w:snapToGrid w:val="0"/>
        <w:spacing w:line="300" w:lineRule="auto"/>
        <w:ind w:left="796" w:leftChars="216" w:hanging="321" w:hangingChars="134"/>
        <w:jc w:val="both"/>
        <w:rPr>
          <w:rFonts w:ascii="Arial" w:hAnsi="Arial" w:eastAsia="宋体" w:cs="Arial"/>
          <w:sz w:val="24"/>
          <w:lang w:eastAsia="zh-CN"/>
        </w:rPr>
      </w:pPr>
    </w:p>
    <w:p w14:paraId="6252E618">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使用患者特性（如年龄、性别和行为风险因素）以提供来自知名和官方机构的患者特异性筛查、咨询和预防性建议</w:t>
      </w:r>
      <w:r>
        <w:rPr>
          <w:rFonts w:ascii="Arial" w:hAnsi="Arial" w:eastAsia="宋体" w:cs="Arial"/>
          <w:sz w:val="24"/>
          <w:szCs w:val="24"/>
          <w:lang w:eastAsia="zh-CN"/>
        </w:rPr>
        <w:t>的移动应用</w:t>
      </w:r>
      <w:r>
        <w:rPr>
          <w:rFonts w:ascii="Arial" w:hAnsi="Arial" w:eastAsia="宋体" w:cs="Arial"/>
          <w:sz w:val="24"/>
          <w:lang w:eastAsia="zh-CN"/>
        </w:rPr>
        <w:t>；</w:t>
      </w:r>
    </w:p>
    <w:p w14:paraId="5CC21FBB">
      <w:pPr>
        <w:snapToGrid w:val="0"/>
        <w:spacing w:before="9" w:line="300" w:lineRule="auto"/>
        <w:jc w:val="both"/>
        <w:rPr>
          <w:rFonts w:ascii="Arial" w:hAnsi="Arial" w:eastAsia="宋体" w:cs="Arial"/>
          <w:sz w:val="20"/>
          <w:szCs w:val="20"/>
          <w:lang w:eastAsia="zh-CN"/>
        </w:rPr>
      </w:pPr>
    </w:p>
    <w:p w14:paraId="6F373906">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使用常见体征和症状清单来提供可能的医疗状况的列表，以及何时咨询医疗服务人员的建议的移动应用；</w:t>
      </w:r>
    </w:p>
    <w:p w14:paraId="1D1943FF">
      <w:pPr>
        <w:pStyle w:val="19"/>
        <w:tabs>
          <w:tab w:val="left" w:pos="820"/>
        </w:tabs>
        <w:snapToGrid w:val="0"/>
        <w:spacing w:line="300" w:lineRule="auto"/>
        <w:jc w:val="both"/>
        <w:rPr>
          <w:rFonts w:ascii="Arial" w:hAnsi="Arial" w:eastAsia="宋体" w:cs="Arial"/>
          <w:sz w:val="24"/>
          <w:lang w:eastAsia="zh-CN"/>
        </w:rPr>
      </w:pPr>
    </w:p>
    <w:p w14:paraId="28FC862B">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通过体征和症状调查表指导用户以提供有关最适合其需求的医疗机构类型的建议的移动应用；</w:t>
      </w:r>
    </w:p>
    <w:p w14:paraId="14CB170C">
      <w:pPr>
        <w:pStyle w:val="19"/>
        <w:tabs>
          <w:tab w:val="left" w:pos="820"/>
        </w:tabs>
        <w:snapToGrid w:val="0"/>
        <w:spacing w:line="300" w:lineRule="auto"/>
        <w:jc w:val="both"/>
        <w:rPr>
          <w:rFonts w:ascii="Arial" w:hAnsi="Arial" w:eastAsia="宋体" w:cs="Arial"/>
          <w:sz w:val="24"/>
          <w:lang w:eastAsia="zh-CN"/>
        </w:rPr>
      </w:pPr>
    </w:p>
    <w:p w14:paraId="07A1213D">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记录临床医生与患者进行临床对话并在访问后将其发送（或链接）给患者以供其使用的移动应用；</w:t>
      </w:r>
    </w:p>
    <w:p w14:paraId="4D9EF687">
      <w:pPr>
        <w:pStyle w:val="19"/>
        <w:tabs>
          <w:tab w:val="left" w:pos="820"/>
        </w:tabs>
        <w:snapToGrid w:val="0"/>
        <w:spacing w:line="300" w:lineRule="auto"/>
        <w:jc w:val="both"/>
        <w:rPr>
          <w:rFonts w:ascii="Arial" w:hAnsi="Arial" w:eastAsia="宋体" w:cs="Arial"/>
          <w:sz w:val="24"/>
          <w:lang w:eastAsia="zh-CN"/>
        </w:rPr>
      </w:pPr>
    </w:p>
    <w:p w14:paraId="5FBDCCAE">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旨在允许用户使用宽带或移动电话技术发起预指定护士呼叫或紧急呼叫的移动应用；</w:t>
      </w:r>
    </w:p>
    <w:p w14:paraId="053E0BDC">
      <w:pPr>
        <w:snapToGrid w:val="0"/>
        <w:spacing w:before="9" w:line="300" w:lineRule="auto"/>
        <w:jc w:val="both"/>
        <w:rPr>
          <w:rFonts w:ascii="Arial" w:hAnsi="Arial" w:eastAsia="宋体" w:cs="Arial"/>
          <w:sz w:val="20"/>
          <w:szCs w:val="20"/>
          <w:lang w:eastAsia="zh-CN"/>
        </w:rPr>
      </w:pPr>
    </w:p>
    <w:p w14:paraId="311FFD60">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使患者或护理人员能够创建并向第一反应者发送警报或通用紧急通知的移动应用；</w:t>
      </w:r>
    </w:p>
    <w:p w14:paraId="4C0ECC5D">
      <w:pPr>
        <w:pStyle w:val="19"/>
        <w:tabs>
          <w:tab w:val="left" w:pos="820"/>
        </w:tabs>
        <w:snapToGrid w:val="0"/>
        <w:spacing w:line="300" w:lineRule="auto"/>
        <w:jc w:val="both"/>
        <w:rPr>
          <w:rFonts w:ascii="Arial" w:hAnsi="Arial" w:eastAsia="宋体" w:cs="Arial"/>
          <w:sz w:val="24"/>
          <w:lang w:eastAsia="zh-CN"/>
        </w:rPr>
      </w:pPr>
    </w:p>
    <w:p w14:paraId="12436FCC">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跟踪药物治疗并提供用户配置的提醒以改善药物治疗依从性的移动应用；</w:t>
      </w:r>
    </w:p>
    <w:p w14:paraId="2315CEAB">
      <w:pPr>
        <w:pStyle w:val="19"/>
        <w:tabs>
          <w:tab w:val="left" w:pos="820"/>
        </w:tabs>
        <w:snapToGrid w:val="0"/>
        <w:spacing w:line="300" w:lineRule="auto"/>
        <w:jc w:val="both"/>
        <w:rPr>
          <w:rFonts w:ascii="Arial" w:hAnsi="Arial" w:eastAsia="宋体" w:cs="Arial"/>
          <w:sz w:val="24"/>
          <w:lang w:eastAsia="zh-CN"/>
        </w:rPr>
      </w:pPr>
    </w:p>
    <w:p w14:paraId="158351AD">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为患者提供访问其自身健康信息的入口的移动应用，例如访问在先前临床访视期间获取的信息，或历史趋势和生命体征比较（例如体温、心率、血压或呼吸频率）的移动应用；</w:t>
      </w:r>
    </w:p>
    <w:p w14:paraId="1AB49A59">
      <w:pPr>
        <w:pStyle w:val="19"/>
        <w:tabs>
          <w:tab w:val="left" w:pos="820"/>
        </w:tabs>
        <w:snapToGrid w:val="0"/>
        <w:spacing w:line="300" w:lineRule="auto"/>
        <w:jc w:val="both"/>
        <w:rPr>
          <w:rFonts w:ascii="Arial" w:hAnsi="Arial" w:eastAsia="宋体" w:cs="Arial"/>
          <w:sz w:val="24"/>
          <w:lang w:eastAsia="zh-CN"/>
        </w:rPr>
      </w:pPr>
    </w:p>
    <w:p w14:paraId="25797542">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累积和显示个人健康事件趋势（例如，住院率或警报通知率）的移动应用；</w:t>
      </w:r>
    </w:p>
    <w:p w14:paraId="1E407404">
      <w:pPr>
        <w:pStyle w:val="19"/>
        <w:snapToGrid w:val="0"/>
        <w:spacing w:line="300" w:lineRule="auto"/>
        <w:jc w:val="both"/>
        <w:rPr>
          <w:rFonts w:ascii="Arial" w:hAnsi="Arial" w:eastAsia="宋体" w:cs="Arial"/>
          <w:sz w:val="24"/>
          <w:szCs w:val="24"/>
          <w:lang w:eastAsia="zh-CN"/>
        </w:rPr>
      </w:pPr>
    </w:p>
    <w:p w14:paraId="4DA6F4A8">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允许用户收集（电子或手动输入）血压数据并通过电子邮件分享此数据，对其进行追踪和预测或将其上传到个人或电子健康记录的移动应用；</w:t>
      </w:r>
    </w:p>
    <w:p w14:paraId="6E42902A">
      <w:pPr>
        <w:pStyle w:val="19"/>
        <w:tabs>
          <w:tab w:val="left" w:pos="820"/>
        </w:tabs>
        <w:snapToGrid w:val="0"/>
        <w:spacing w:line="300" w:lineRule="auto"/>
        <w:jc w:val="both"/>
        <w:rPr>
          <w:rFonts w:ascii="Arial" w:hAnsi="Arial" w:eastAsia="宋体" w:cs="Arial"/>
          <w:sz w:val="24"/>
          <w:lang w:eastAsia="zh-CN"/>
        </w:rPr>
      </w:pPr>
    </w:p>
    <w:p w14:paraId="0804C386">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为口腔疾病患者提供口腔健康提醒或跟踪工具的移动应用；</w:t>
      </w:r>
    </w:p>
    <w:p w14:paraId="6B9F525E">
      <w:pPr>
        <w:pStyle w:val="19"/>
        <w:tabs>
          <w:tab w:val="left" w:pos="820"/>
        </w:tabs>
        <w:snapToGrid w:val="0"/>
        <w:spacing w:line="300" w:lineRule="auto"/>
        <w:jc w:val="both"/>
        <w:rPr>
          <w:rFonts w:ascii="Arial" w:hAnsi="Arial" w:eastAsia="宋体" w:cs="Arial"/>
          <w:sz w:val="24"/>
          <w:lang w:eastAsia="zh-CN"/>
        </w:rPr>
      </w:pPr>
    </w:p>
    <w:p w14:paraId="6BF1B35A">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为糖尿病前期患者提供指南或工具以帮助其培育更好的饮食习惯或增加体育活动的移动应用；</w:t>
      </w:r>
    </w:p>
    <w:p w14:paraId="07F58885">
      <w:pPr>
        <w:pStyle w:val="19"/>
        <w:tabs>
          <w:tab w:val="left" w:pos="820"/>
        </w:tabs>
        <w:snapToGrid w:val="0"/>
        <w:spacing w:line="300" w:lineRule="auto"/>
        <w:jc w:val="both"/>
        <w:rPr>
          <w:rFonts w:ascii="Arial" w:hAnsi="Arial" w:eastAsia="宋体" w:cs="Arial"/>
          <w:sz w:val="24"/>
          <w:lang w:eastAsia="zh-CN"/>
        </w:rPr>
      </w:pPr>
    </w:p>
    <w:p w14:paraId="55A62011">
      <w:pPr>
        <w:pStyle w:val="19"/>
        <w:numPr>
          <w:ilvl w:val="0"/>
          <w:numId w:val="10"/>
        </w:numPr>
        <w:tabs>
          <w:tab w:val="left" w:pos="820"/>
        </w:tabs>
        <w:snapToGrid w:val="0"/>
        <w:spacing w:line="300"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及时为想要阻止成瘾行为的药物滥用者显示图像或其他信息的移动应用；</w:t>
      </w:r>
    </w:p>
    <w:p w14:paraId="5C6DBB03">
      <w:pPr>
        <w:pStyle w:val="19"/>
        <w:snapToGrid w:val="0"/>
        <w:spacing w:line="300" w:lineRule="auto"/>
        <w:jc w:val="both"/>
        <w:rPr>
          <w:rFonts w:ascii="Arial" w:hAnsi="Arial" w:eastAsia="宋体" w:cs="Arial"/>
          <w:sz w:val="19"/>
          <w:szCs w:val="19"/>
          <w:lang w:eastAsia="zh-CN"/>
        </w:rPr>
      </w:pPr>
    </w:p>
    <w:p w14:paraId="2CECBA92">
      <w:pPr>
        <w:snapToGrid w:val="0"/>
        <w:spacing w:line="300" w:lineRule="auto"/>
        <w:rPr>
          <w:rFonts w:ascii="Arial" w:hAnsi="Arial" w:eastAsia="宋体" w:cs="Arial"/>
          <w:sz w:val="24"/>
          <w:lang w:eastAsia="zh-CN"/>
        </w:rPr>
      </w:pPr>
      <w:r>
        <w:rPr>
          <w:rFonts w:ascii="Arial" w:hAnsi="Arial" w:eastAsia="宋体" w:cs="Arial"/>
          <w:sz w:val="24"/>
          <w:lang w:eastAsia="zh-CN"/>
        </w:rPr>
        <w:br w:type="page"/>
      </w:r>
    </w:p>
    <w:p w14:paraId="21CD494E">
      <w:pPr>
        <w:pStyle w:val="19"/>
        <w:numPr>
          <w:ilvl w:val="0"/>
          <w:numId w:val="10"/>
        </w:numPr>
        <w:tabs>
          <w:tab w:val="left" w:pos="820"/>
        </w:tabs>
        <w:snapToGrid w:val="0"/>
        <w:spacing w:line="288" w:lineRule="auto"/>
        <w:ind w:left="796" w:leftChars="216" w:hanging="321" w:hangingChars="134"/>
        <w:jc w:val="both"/>
        <w:rPr>
          <w:rFonts w:ascii="Arial" w:hAnsi="Arial" w:eastAsia="宋体" w:cs="Arial"/>
          <w:sz w:val="24"/>
          <w:lang w:eastAsia="zh-CN"/>
        </w:rPr>
      </w:pPr>
      <w:r>
        <w:rPr>
          <w:rFonts w:ascii="Arial" w:hAnsi="Arial" w:eastAsia="宋体" w:cs="Arial"/>
          <w:sz w:val="24"/>
          <w:lang w:eastAsia="zh-CN"/>
        </w:rPr>
        <w:t>用于个人登录、记录、跟踪、评价或做出与开发或维护一般健身、卫生或健康相关的决策或行为建议</w:t>
      </w:r>
      <w:r>
        <w:rPr>
          <w:rFonts w:ascii="Arial" w:hAnsi="Arial" w:eastAsia="宋体" w:cs="Arial"/>
          <w:sz w:val="24"/>
          <w:szCs w:val="24"/>
          <w:lang w:eastAsia="zh-CN"/>
        </w:rPr>
        <w:t>的移动应用</w:t>
      </w:r>
      <w:r>
        <w:fldChar w:fldCharType="begin"/>
      </w:r>
      <w:r>
        <w:instrText xml:space="preserve"> HYPERLINK \l "_bookmark46" </w:instrText>
      </w:r>
      <w:r>
        <w:fldChar w:fldCharType="separate"/>
      </w:r>
      <w:r>
        <w:rPr>
          <w:rFonts w:ascii="Arial" w:hAnsi="Arial" w:eastAsia="宋体" w:cs="Arial"/>
          <w:sz w:val="24"/>
          <w:vertAlign w:val="superscript"/>
          <w:lang w:eastAsia="zh-CN"/>
        </w:rPr>
        <w:t>32</w:t>
      </w:r>
      <w:r>
        <w:rPr>
          <w:rFonts w:ascii="Arial" w:hAnsi="Arial" w:eastAsia="宋体" w:cs="Arial"/>
          <w:sz w:val="24"/>
          <w:vertAlign w:val="superscript"/>
          <w:lang w:eastAsia="zh-CN"/>
        </w:rPr>
        <w:fldChar w:fldCharType="end"/>
      </w:r>
      <w:r>
        <w:rPr>
          <w:rFonts w:ascii="Arial" w:hAnsi="Arial" w:eastAsia="宋体" w:cs="Arial"/>
          <w:sz w:val="24"/>
          <w:lang w:eastAsia="zh-CN"/>
        </w:rPr>
        <w:t>，例如：</w:t>
      </w:r>
    </w:p>
    <w:p w14:paraId="0DF702F5">
      <w:pPr>
        <w:snapToGrid w:val="0"/>
        <w:spacing w:line="288" w:lineRule="auto"/>
        <w:jc w:val="both"/>
        <w:rPr>
          <w:rFonts w:ascii="Arial" w:hAnsi="Arial" w:eastAsia="宋体" w:cs="Arial"/>
          <w:sz w:val="21"/>
          <w:szCs w:val="21"/>
          <w:lang w:eastAsia="zh-CN"/>
        </w:rPr>
      </w:pPr>
    </w:p>
    <w:p w14:paraId="294CFA57">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提供用于促进或鼓励与健康生活方式或健康有关的健康饮食、运动、减肥或其他活动的工具；</w:t>
      </w:r>
    </w:p>
    <w:p w14:paraId="7D1E852D">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提供膳食日志、热量计数器或提供饮食建议；</w:t>
      </w:r>
    </w:p>
    <w:p w14:paraId="10A61E47">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提供餐饮规划人员和食谱；</w:t>
      </w:r>
    </w:p>
    <w:p w14:paraId="2714F0DA">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跟踪一般日常活动或提供运动或姿势建议；</w:t>
      </w:r>
    </w:p>
    <w:p w14:paraId="58DC28B0">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跟踪正常的宝宝睡眠和饮食习惯；</w:t>
      </w:r>
    </w:p>
    <w:p w14:paraId="5605B630">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主动监测和预测运动活动；</w:t>
      </w:r>
    </w:p>
    <w:p w14:paraId="6AB88E3A">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帮助健康人追踪其正常睡眠模式的数量或质量；</w:t>
      </w:r>
    </w:p>
    <w:p w14:paraId="240B2A06">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提供和跟踪在思维挑战性的游戏或通用“脑年龄”试验中的分数；</w:t>
      </w:r>
    </w:p>
    <w:p w14:paraId="21F4536D">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提供日常激发性提示（例如，通过文本或其他类型的信息）来减轻压力并促进积极的精神面貌；</w:t>
      </w:r>
    </w:p>
    <w:p w14:paraId="678782C8">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使用社交游戏来鼓励健康的生活习惯；</w:t>
      </w:r>
    </w:p>
    <w:p w14:paraId="386F1B45">
      <w:pPr>
        <w:pStyle w:val="19"/>
        <w:numPr>
          <w:ilvl w:val="2"/>
          <w:numId w:val="11"/>
        </w:numPr>
        <w:tabs>
          <w:tab w:val="left" w:pos="1112"/>
        </w:tabs>
        <w:snapToGrid w:val="0"/>
        <w:spacing w:line="288" w:lineRule="auto"/>
        <w:ind w:left="1104" w:leftChars="382" w:hanging="264" w:hangingChars="110"/>
        <w:jc w:val="both"/>
        <w:rPr>
          <w:rFonts w:ascii="Arial" w:hAnsi="Arial" w:eastAsia="宋体" w:cs="Arial"/>
          <w:sz w:val="24"/>
          <w:szCs w:val="24"/>
          <w:lang w:eastAsia="zh-CN"/>
        </w:rPr>
      </w:pPr>
      <w:r>
        <w:rPr>
          <w:rFonts w:ascii="Arial" w:hAnsi="Arial" w:eastAsia="宋体" w:cs="Arial"/>
          <w:sz w:val="24"/>
          <w:szCs w:val="24"/>
          <w:lang w:eastAsia="zh-CN"/>
        </w:rPr>
        <w:t>计算锻炼中燃烧的卡路里。</w:t>
      </w:r>
    </w:p>
    <w:p w14:paraId="055CACB3">
      <w:pPr>
        <w:pStyle w:val="19"/>
        <w:snapToGrid w:val="0"/>
        <w:spacing w:line="288" w:lineRule="auto"/>
        <w:jc w:val="both"/>
        <w:rPr>
          <w:rFonts w:ascii="Arial" w:hAnsi="Arial" w:eastAsia="宋体" w:cs="Arial"/>
          <w:sz w:val="24"/>
          <w:szCs w:val="24"/>
          <w:lang w:eastAsia="zh-CN"/>
        </w:rPr>
      </w:pPr>
    </w:p>
    <w:p w14:paraId="30403036">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在未修改数据的情况下传输、存储、转换格式并显示医疗器械数据，且不会控制或更改任何连接医疗器械的功能或参数的移动应用（即符合21 CFR 880.6310中MDDS定义的移动应用）。</w:t>
      </w:r>
    </w:p>
    <w:p w14:paraId="5C5DFA13">
      <w:pPr>
        <w:pStyle w:val="19"/>
        <w:tabs>
          <w:tab w:val="left" w:pos="840"/>
        </w:tabs>
        <w:snapToGrid w:val="0"/>
        <w:spacing w:line="288" w:lineRule="auto"/>
        <w:jc w:val="both"/>
        <w:rPr>
          <w:rFonts w:ascii="Arial" w:hAnsi="Arial" w:eastAsia="宋体" w:cs="Arial"/>
          <w:sz w:val="24"/>
          <w:szCs w:val="24"/>
          <w:lang w:eastAsia="zh-CN"/>
        </w:rPr>
      </w:pPr>
    </w:p>
    <w:p w14:paraId="59437DA6">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符合MDDS定义并连接至护理中心站并将医疗器械数据展示给医师的移动平台以供审查的移动应用。</w:t>
      </w:r>
      <w:r>
        <w:rPr>
          <w:rFonts w:ascii="Arial" w:hAnsi="Arial" w:eastAsia="宋体" w:cs="Arial"/>
          <w:sz w:val="24"/>
          <w:lang w:eastAsia="zh-CN"/>
        </w:rPr>
        <w:t>产品</w:t>
      </w:r>
      <w:r>
        <w:rPr>
          <w:rFonts w:ascii="Arial" w:hAnsi="Arial" w:eastAsia="宋体" w:cs="Arial"/>
          <w:sz w:val="24"/>
          <w:szCs w:val="24"/>
          <w:lang w:eastAsia="zh-CN"/>
        </w:rPr>
        <w:t>代码：OUG（21 CFR 880.6310）。</w:t>
      </w:r>
    </w:p>
    <w:p w14:paraId="1463F77C">
      <w:pPr>
        <w:pStyle w:val="19"/>
        <w:tabs>
          <w:tab w:val="left" w:pos="840"/>
        </w:tabs>
        <w:snapToGrid w:val="0"/>
        <w:spacing w:line="288" w:lineRule="auto"/>
        <w:jc w:val="both"/>
        <w:rPr>
          <w:rFonts w:ascii="Arial" w:hAnsi="Arial" w:eastAsia="宋体" w:cs="Arial"/>
          <w:sz w:val="24"/>
          <w:szCs w:val="24"/>
          <w:lang w:eastAsia="zh-CN"/>
        </w:rPr>
      </w:pPr>
    </w:p>
    <w:p w14:paraId="270E3ABF">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不适用于诊断图像审查的移动应用，例如用于多学科患者管理会议（例如，轮次）或患者咨询的图像显示（以及持续屏幕通知，例如“仅供参考且不用于诊断用途”）。此类器械将被视为21 CFR 892.</w:t>
      </w:r>
      <w:r>
        <w:rPr>
          <w:rFonts w:ascii="Arial" w:hAnsi="Arial" w:eastAsia="宋体" w:cs="Arial"/>
          <w:sz w:val="24"/>
          <w:lang w:eastAsia="zh-CN"/>
        </w:rPr>
        <w:t>2020</w:t>
      </w:r>
      <w:r>
        <w:rPr>
          <w:rFonts w:ascii="Arial" w:hAnsi="Arial" w:eastAsia="宋体" w:cs="Arial"/>
          <w:sz w:val="24"/>
          <w:szCs w:val="24"/>
          <w:lang w:eastAsia="zh-CN"/>
        </w:rPr>
        <w:t>下的医疗影像通信器械，产品代码LMD，</w:t>
      </w:r>
    </w:p>
    <w:p w14:paraId="091134BC">
      <w:pPr>
        <w:pStyle w:val="19"/>
        <w:snapToGrid w:val="0"/>
        <w:spacing w:line="288" w:lineRule="auto"/>
        <w:jc w:val="both"/>
        <w:rPr>
          <w:rFonts w:ascii="Arial" w:hAnsi="Arial" w:eastAsia="宋体" w:cs="Arial"/>
          <w:sz w:val="24"/>
          <w:szCs w:val="24"/>
          <w:lang w:eastAsia="zh-CN"/>
        </w:rPr>
      </w:pPr>
    </w:p>
    <w:p w14:paraId="077C5099">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用于通过</w:t>
      </w:r>
      <w:r>
        <w:rPr>
          <w:rFonts w:ascii="Arial" w:hAnsi="Arial" w:eastAsia="宋体" w:cs="Arial"/>
          <w:sz w:val="24"/>
          <w:lang w:eastAsia="zh-CN"/>
        </w:rPr>
        <w:t>评估</w:t>
      </w:r>
      <w:r>
        <w:rPr>
          <w:rFonts w:ascii="Arial" w:hAnsi="Arial" w:eastAsia="宋体" w:cs="Arial"/>
          <w:sz w:val="24"/>
          <w:szCs w:val="24"/>
          <w:lang w:eastAsia="zh-CN"/>
        </w:rPr>
        <w:t>有关提供免疫、同意书和免疫批号的需求，帮助追踪或管理患者免疫的供应商的移动应用；</w:t>
      </w:r>
    </w:p>
    <w:p w14:paraId="064F23B7">
      <w:pPr>
        <w:pStyle w:val="19"/>
        <w:tabs>
          <w:tab w:val="left" w:pos="840"/>
        </w:tabs>
        <w:snapToGrid w:val="0"/>
        <w:spacing w:line="288" w:lineRule="auto"/>
        <w:jc w:val="both"/>
        <w:rPr>
          <w:rFonts w:ascii="Arial" w:hAnsi="Arial" w:eastAsia="宋体" w:cs="Arial"/>
          <w:sz w:val="24"/>
          <w:szCs w:val="24"/>
          <w:lang w:eastAsia="zh-CN"/>
        </w:rPr>
      </w:pPr>
    </w:p>
    <w:p w14:paraId="67511979">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根据人口</w:t>
      </w:r>
      <w:r>
        <w:rPr>
          <w:rFonts w:ascii="Arial" w:hAnsi="Arial" w:eastAsia="宋体" w:cs="Arial"/>
          <w:sz w:val="24"/>
          <w:lang w:eastAsia="zh-CN"/>
        </w:rPr>
        <w:t>统计</w:t>
      </w:r>
      <w:r>
        <w:rPr>
          <w:rFonts w:ascii="Arial" w:hAnsi="Arial" w:eastAsia="宋体" w:cs="Arial"/>
          <w:sz w:val="24"/>
          <w:szCs w:val="24"/>
          <w:lang w:eastAsia="zh-CN"/>
        </w:rPr>
        <w:t>数据（年龄、性别）、临床信息（当前诊断）和当前药物治疗，提供药物相互作用和相关安全信息（副作用、药物相互作用、活性成分）以作为报告的移动应用；</w:t>
      </w:r>
    </w:p>
    <w:p w14:paraId="59A83C68">
      <w:pPr>
        <w:snapToGrid w:val="0"/>
        <w:spacing w:line="288" w:lineRule="auto"/>
        <w:jc w:val="both"/>
        <w:rPr>
          <w:rFonts w:ascii="Arial" w:hAnsi="Arial" w:eastAsia="宋体" w:cs="Arial"/>
          <w:sz w:val="18"/>
          <w:szCs w:val="18"/>
          <w:lang w:eastAsia="zh-CN"/>
        </w:rPr>
      </w:pPr>
    </w:p>
    <w:p w14:paraId="3BC360D6">
      <w:pPr>
        <w:snapToGrid w:val="0"/>
        <w:spacing w:line="288"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3" name="Group 2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4" name="Group 29"/>
                        <wpg:cNvGrpSpPr/>
                        <wpg:grpSpPr>
                          <a:xfrm>
                            <a:off x="6" y="6"/>
                            <a:ext cx="2880" cy="2"/>
                            <a:chOff x="6" y="6"/>
                            <a:chExt cx="2880" cy="2"/>
                          </a:xfrm>
                        </wpg:grpSpPr>
                        <wps:wsp>
                          <wps:cNvPr id="25" name="Freeform 3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Dsy0SAcAwAA/gcAAA4AAAAAAAAAAQAgAAAAIwEAAGRycy9lMm9E&#10;b2MueG1sUEsFBgAAAAAGAAYAWQEAALEGAAAAAA==&#10;">
                <o:lock v:ext="edit" aspectratio="f"/>
                <v:group id="Group 29" o:spid="_x0000_s1026" o:spt="203" style="position:absolute;left:6;top:6;height:2;width:2880;" coordorigin="6,6" coordsize="2880,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30" o:spid="_x0000_s1026" o:spt="100" style="position:absolute;left:6;top:6;height:2;width:2880;" filled="f" stroked="t" coordsize="2880,1" o:gfxdata="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ZPYY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60F0008">
      <w:pPr>
        <w:snapToGrid w:val="0"/>
        <w:spacing w:line="288" w:lineRule="auto"/>
        <w:jc w:val="both"/>
        <w:rPr>
          <w:rFonts w:ascii="Arial" w:hAnsi="Arial" w:eastAsia="宋体" w:cs="Arial"/>
          <w:sz w:val="20"/>
          <w:szCs w:val="20"/>
          <w:lang w:eastAsia="zh-CN"/>
        </w:rPr>
      </w:pPr>
      <w:r>
        <w:rPr>
          <w:rFonts w:ascii="Arial" w:hAnsi="Arial" w:eastAsia="宋体" w:cs="Arial"/>
          <w:position w:val="9"/>
          <w:sz w:val="13"/>
          <w:lang w:eastAsia="zh-CN"/>
        </w:rPr>
        <w:t>32</w:t>
      </w:r>
      <w:r>
        <w:rPr>
          <w:rFonts w:ascii="Arial" w:hAnsi="Arial" w:eastAsia="宋体" w:cs="Arial"/>
          <w:sz w:val="20"/>
          <w:szCs w:val="20"/>
          <w:lang w:eastAsia="zh-CN"/>
        </w:rPr>
        <w:t>当这些物品的上市、推广或预期目的并不在于诊断疾病或其他病症或治愈、缓解、治疗或预防疾病或不以其他方式符合医疗器械的定义时，FDA不会对其进行监管。当其上市、推广或预期目的在于诊断疾病或其他病症，或治愈、缓解、治疗或预防疾病或以其他方式符合医疗器械的定义时，FDA打算行使自由裁量权。</w:t>
      </w:r>
    </w:p>
    <w:p w14:paraId="36BD05AC">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4ECB9557">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在遇到时允许医疗服务人员访问其在基于网络的或其他平台上托管的患者个人健康记录（健康信息）的移动应用；</w:t>
      </w:r>
    </w:p>
    <w:p w14:paraId="390FFA13">
      <w:pPr>
        <w:pStyle w:val="19"/>
        <w:tabs>
          <w:tab w:val="left" w:pos="460"/>
        </w:tabs>
        <w:snapToGrid w:val="0"/>
        <w:spacing w:line="300" w:lineRule="auto"/>
        <w:jc w:val="both"/>
        <w:rPr>
          <w:rFonts w:ascii="Arial" w:hAnsi="Arial" w:eastAsia="宋体" w:cs="Arial"/>
          <w:sz w:val="24"/>
          <w:szCs w:val="24"/>
          <w:lang w:eastAsia="zh-CN"/>
        </w:rPr>
      </w:pPr>
    </w:p>
    <w:p w14:paraId="06CF7F73">
      <w:pPr>
        <w:pStyle w:val="19"/>
        <w:numPr>
          <w:ilvl w:val="0"/>
          <w:numId w:val="10"/>
        </w:numPr>
        <w:tabs>
          <w:tab w:val="left" w:pos="840"/>
        </w:tabs>
        <w:snapToGrid w:val="0"/>
        <w:spacing w:line="288" w:lineRule="auto"/>
        <w:ind w:left="796" w:leftChars="216" w:hanging="321" w:hangingChars="134"/>
        <w:jc w:val="both"/>
        <w:rPr>
          <w:rFonts w:ascii="Arial" w:hAnsi="Arial" w:eastAsia="宋体" w:cs="Arial"/>
          <w:sz w:val="24"/>
          <w:szCs w:val="24"/>
          <w:lang w:eastAsia="zh-CN"/>
        </w:rPr>
      </w:pPr>
      <w:r>
        <w:rPr>
          <w:rFonts w:ascii="Arial" w:hAnsi="Arial" w:eastAsia="宋体" w:cs="Arial"/>
          <w:sz w:val="24"/>
          <w:szCs w:val="24"/>
          <w:lang w:eastAsia="zh-CN"/>
        </w:rPr>
        <w:t>允许用户从器械收集、记录、跟踪和预测来自器械的数据，例如血糖、血压、心率、体重或其他数据，以最终与医疗服务人员共享，或将其上传到在线（云端）数据库、个人或电子健康记录的移动应用。</w:t>
      </w:r>
    </w:p>
    <w:p w14:paraId="651723DF">
      <w:pPr>
        <w:snapToGrid w:val="0"/>
        <w:spacing w:line="300" w:lineRule="auto"/>
        <w:rPr>
          <w:rFonts w:ascii="Arial" w:hAnsi="Arial" w:eastAsia="宋体" w:cs="Arial"/>
          <w:sz w:val="24"/>
          <w:szCs w:val="24"/>
          <w:lang w:eastAsia="zh-CN"/>
        </w:rPr>
      </w:pPr>
      <w:r>
        <w:rPr>
          <w:rFonts w:ascii="Arial" w:hAnsi="Arial" w:eastAsia="宋体" w:cs="Arial"/>
          <w:b/>
          <w:bCs/>
          <w:sz w:val="24"/>
          <w:szCs w:val="24"/>
          <w:lang w:eastAsia="zh-CN"/>
        </w:rPr>
        <w:br w:type="page"/>
      </w:r>
    </w:p>
    <w:p w14:paraId="48522412">
      <w:pPr>
        <w:pStyle w:val="2"/>
        <w:tabs>
          <w:tab w:val="left" w:pos="2279"/>
        </w:tabs>
        <w:snapToGrid w:val="0"/>
        <w:spacing w:line="300" w:lineRule="auto"/>
        <w:ind w:left="0" w:firstLine="0"/>
        <w:jc w:val="both"/>
        <w:rPr>
          <w:rFonts w:ascii="Arial" w:hAnsi="Arial" w:eastAsia="宋体" w:cs="Arial"/>
          <w:lang w:eastAsia="zh-CN"/>
        </w:rPr>
      </w:pPr>
      <w:bookmarkStart w:id="39" w:name="_Toc481592032"/>
      <w:r>
        <w:rPr>
          <w:rFonts w:ascii="Arial" w:hAnsi="Arial" w:eastAsia="宋体" w:cs="Arial"/>
          <w:lang w:eastAsia="zh-CN"/>
        </w:rPr>
        <w:t>附录C 作为FDA监管监督重点的移动应用示例（移动医疗应用）</w:t>
      </w:r>
      <w:bookmarkEnd w:id="39"/>
    </w:p>
    <w:p w14:paraId="6FAF4A48">
      <w:pPr>
        <w:snapToGrid w:val="0"/>
        <w:spacing w:before="7" w:line="300" w:lineRule="auto"/>
        <w:jc w:val="both"/>
        <w:rPr>
          <w:rFonts w:ascii="Arial" w:hAnsi="Arial" w:eastAsia="宋体" w:cs="Arial"/>
          <w:b/>
          <w:bCs/>
          <w:sz w:val="28"/>
          <w:szCs w:val="28"/>
          <w:lang w:eastAsia="zh-CN"/>
        </w:rPr>
      </w:pPr>
    </w:p>
    <w:p w14:paraId="731884E9">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本附录提供了被视为医疗器械（即移动医疗应用）的移动应用的示例，其中，FDA将把监管监督的重点放在此类应用上。这些移动应用符合FD＆C法案中医疗器械的定义，且如果移动应用不能按预期的方式运行，其功能将对患者的安全性构成风险。以下每个示例提供了可能相关产品代码和/或法规编号的列表。</w:t>
      </w:r>
    </w:p>
    <w:p w14:paraId="3B9D7E6A">
      <w:pPr>
        <w:pStyle w:val="6"/>
        <w:snapToGrid w:val="0"/>
        <w:spacing w:line="300" w:lineRule="auto"/>
        <w:ind w:left="0" w:firstLine="0"/>
        <w:jc w:val="both"/>
        <w:rPr>
          <w:rFonts w:ascii="Arial" w:hAnsi="Arial" w:eastAsia="宋体" w:cs="Arial"/>
          <w:lang w:eastAsia="zh-CN"/>
        </w:rPr>
      </w:pPr>
    </w:p>
    <w:p w14:paraId="039A22B2">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FDA还鼓励移动医疗应用制造商搜索FDA的公共数据库，例如“</w:t>
      </w:r>
      <w:r>
        <w:rPr>
          <w:rFonts w:hint="eastAsia" w:ascii="Arial" w:hAnsi="Arial" w:eastAsia="宋体" w:cs="Arial"/>
          <w:color w:val="0000FF"/>
          <w:u w:val="single"/>
          <w:lang w:eastAsia="zh-CN"/>
        </w:rPr>
        <w:t>产品分类</w:t>
      </w:r>
      <w:r>
        <w:rPr>
          <w:rFonts w:ascii="Arial" w:hAnsi="Arial" w:eastAsia="宋体" w:cs="Arial"/>
          <w:lang w:eastAsia="zh-CN"/>
        </w:rPr>
        <w:t>”数据库和“</w:t>
      </w:r>
      <w:r>
        <w:rPr>
          <w:rFonts w:ascii="Arial" w:hAnsi="Arial" w:eastAsia="宋体" w:cs="Arial"/>
          <w:color w:val="0000FF"/>
          <w:u w:val="single"/>
          <w:lang w:eastAsia="zh-CN"/>
        </w:rPr>
        <w:t>510</w:t>
      </w:r>
      <w:r>
        <w:rPr>
          <w:rFonts w:hint="eastAsia" w:ascii="Arial" w:hAnsi="Arial" w:eastAsia="宋体" w:cs="Arial"/>
          <w:color w:val="0000FF"/>
          <w:u w:val="single"/>
          <w:lang w:eastAsia="zh-CN"/>
        </w:rPr>
        <w:t>（</w:t>
      </w:r>
      <w:r>
        <w:rPr>
          <w:rFonts w:ascii="Arial" w:hAnsi="Arial" w:eastAsia="宋体" w:cs="Arial"/>
          <w:color w:val="0000FF"/>
          <w:u w:val="single"/>
          <w:lang w:eastAsia="zh-CN"/>
        </w:rPr>
        <w:t>k</w:t>
      </w:r>
      <w:r>
        <w:rPr>
          <w:rFonts w:hint="eastAsia" w:ascii="Arial" w:hAnsi="Arial" w:eastAsia="宋体" w:cs="Arial"/>
          <w:color w:val="0000FF"/>
          <w:u w:val="single"/>
          <w:lang w:eastAsia="zh-CN"/>
        </w:rPr>
        <w:t>）上市前通告</w:t>
      </w:r>
      <w:r>
        <w:rPr>
          <w:rFonts w:ascii="Arial" w:hAnsi="Arial" w:eastAsia="宋体" w:cs="Arial"/>
          <w:lang w:eastAsia="zh-CN"/>
        </w:rPr>
        <w:t>”数据库，以确定给定器械的监管级别，以及最新的 、关于相关监管要求的信息。可以通过以下链接访问这些数据库：</w:t>
      </w:r>
    </w:p>
    <w:p w14:paraId="7E914436">
      <w:pPr>
        <w:pStyle w:val="6"/>
        <w:snapToGrid w:val="0"/>
        <w:spacing w:line="300" w:lineRule="auto"/>
        <w:ind w:left="0" w:firstLine="0"/>
        <w:rPr>
          <w:rFonts w:ascii="Arial" w:hAnsi="Arial" w:eastAsia="宋体" w:cs="Arial"/>
          <w:lang w:eastAsia="zh-CN"/>
        </w:rPr>
      </w:pPr>
      <w:r>
        <w:rPr>
          <w:rFonts w:ascii="Arial" w:hAnsi="Arial" w:eastAsia="宋体" w:cs="Arial"/>
          <w:lang w:eastAsia="zh-CN"/>
        </w:rPr>
        <w:t>（</w:t>
      </w:r>
      <w:r>
        <w:rPr>
          <w:rFonts w:ascii="Arial" w:hAnsi="Arial" w:eastAsia="宋体" w:cs="Arial"/>
          <w:color w:val="0000FF"/>
          <w:u w:val="single"/>
          <w:lang w:eastAsia="zh-CN"/>
        </w:rPr>
        <w:t>http://www.accessdata.fda.gov/scripts/cdrh/cfdocs/cfPCD/classification.cfm</w:t>
      </w:r>
      <w:r>
        <w:rPr>
          <w:rFonts w:ascii="Arial" w:hAnsi="Arial" w:eastAsia="宋体" w:cs="Arial"/>
          <w:lang w:eastAsia="zh-CN"/>
        </w:rPr>
        <w:t>）和（</w:t>
      </w:r>
      <w:r>
        <w:rPr>
          <w:rFonts w:ascii="Arial" w:hAnsi="Arial" w:eastAsia="宋体" w:cs="Arial"/>
          <w:color w:val="0000FF"/>
          <w:u w:val="single"/>
          <w:lang w:eastAsia="zh-CN"/>
        </w:rPr>
        <w:t>http://www.accessdata.fda.gov/scripts/cdrh/cfdocs/cfPMN/pmn.cfm</w:t>
      </w:r>
      <w:r>
        <w:rPr>
          <w:rFonts w:ascii="Arial" w:hAnsi="Arial" w:eastAsia="宋体" w:cs="Arial"/>
          <w:lang w:eastAsia="zh-CN"/>
        </w:rPr>
        <w:t>。）</w:t>
      </w:r>
    </w:p>
    <w:p w14:paraId="471A525E">
      <w:pPr>
        <w:snapToGrid w:val="0"/>
        <w:spacing w:line="300" w:lineRule="auto"/>
        <w:jc w:val="both"/>
        <w:rPr>
          <w:rFonts w:ascii="Arial" w:hAnsi="Arial" w:eastAsia="宋体" w:cs="Arial"/>
          <w:sz w:val="20"/>
          <w:szCs w:val="20"/>
          <w:lang w:eastAsia="zh-CN"/>
        </w:rPr>
      </w:pPr>
    </w:p>
    <w:p w14:paraId="6ADD1120">
      <w:pPr>
        <w:snapToGrid w:val="0"/>
        <w:spacing w:before="5" w:line="300" w:lineRule="auto"/>
        <w:jc w:val="both"/>
        <w:rPr>
          <w:rFonts w:ascii="Arial" w:hAnsi="Arial" w:eastAsia="宋体" w:cs="Arial"/>
          <w:lang w:eastAsia="zh-CN"/>
        </w:rPr>
      </w:pPr>
    </w:p>
    <w:p w14:paraId="2D015B84">
      <w:pPr>
        <w:snapToGrid w:val="0"/>
        <w:spacing w:before="69" w:line="300" w:lineRule="auto"/>
        <w:jc w:val="both"/>
        <w:rPr>
          <w:rFonts w:ascii="Arial" w:hAnsi="Arial" w:eastAsia="宋体" w:cs="Arial"/>
          <w:sz w:val="24"/>
          <w:szCs w:val="24"/>
          <w:lang w:eastAsia="zh-CN"/>
        </w:rPr>
      </w:pPr>
      <w:r>
        <w:rPr>
          <w:rFonts w:ascii="Arial" w:hAnsi="Arial" w:eastAsia="宋体" w:cs="Arial"/>
          <w:b/>
          <w:bCs/>
          <w:sz w:val="24"/>
          <w:szCs w:val="24"/>
          <w:lang w:eastAsia="zh-CN"/>
        </w:rPr>
        <w:t>将移动平台转换为受监管的医疗器械，并因此属于移动医疗应用的移动应用：</w:t>
      </w:r>
      <w:r>
        <w:rPr>
          <w:rFonts w:ascii="Arial" w:hAnsi="Arial" w:eastAsia="宋体" w:cs="Arial"/>
          <w:sz w:val="24"/>
          <w:szCs w:val="24"/>
          <w:lang w:eastAsia="zh-CN"/>
        </w:rPr>
        <w:t>这些移动应用使用了移动平台的内置功能，如光线、振动、摄像头或其他类似来源以执行医疗器械功能（例如，由执业医师使用来诊断或治疗疾病的移动医疗应用）。可能的产品代码：因移动医疗应用的预期用途和功能而异；请参阅下面的其他示例。</w:t>
      </w:r>
    </w:p>
    <w:p w14:paraId="79D65AEA">
      <w:pPr>
        <w:pStyle w:val="19"/>
        <w:snapToGrid w:val="0"/>
        <w:spacing w:line="300" w:lineRule="auto"/>
        <w:jc w:val="both"/>
        <w:rPr>
          <w:rFonts w:ascii="Arial" w:hAnsi="Arial" w:eastAsia="宋体" w:cs="Arial"/>
          <w:sz w:val="24"/>
          <w:szCs w:val="24"/>
          <w:lang w:eastAsia="zh-CN"/>
        </w:rPr>
      </w:pPr>
    </w:p>
    <w:p w14:paraId="5C6FB413">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使用连接至移动平台的传感器或引线来测量和显示心脏产生的电信号的移动应用（心电图仪或ECG）。可能的产品代码：DPS、MLC、OEY（21 CFR 870.2340）、MLO、MWJ（21 CFR 870.2800）。</w:t>
      </w:r>
    </w:p>
    <w:p w14:paraId="5AF2BA24">
      <w:pPr>
        <w:pStyle w:val="19"/>
        <w:tabs>
          <w:tab w:val="left" w:pos="840"/>
        </w:tabs>
        <w:snapToGrid w:val="0"/>
        <w:spacing w:line="300" w:lineRule="auto"/>
        <w:ind w:left="712" w:leftChars="171" w:hanging="336" w:hangingChars="140"/>
        <w:jc w:val="both"/>
        <w:rPr>
          <w:rFonts w:ascii="Arial" w:hAnsi="Arial" w:eastAsia="宋体" w:cs="Arial"/>
          <w:sz w:val="24"/>
          <w:szCs w:val="24"/>
          <w:lang w:eastAsia="zh-CN"/>
        </w:rPr>
      </w:pPr>
    </w:p>
    <w:p w14:paraId="38D3BAE1">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使用连接至移动平台的传感器或电极或移动平台本身内的工具（例如麦克风和扬声器）来以电子方式放大并“呈现与心脏、动脉和静脉和其他内脏器官相关的声音” 的移动应用（即 ，电子听诊器）。可能的产品代码：DQD（21 CFR 870.1875（b））。</w:t>
      </w:r>
    </w:p>
    <w:p w14:paraId="5DBD7BC6">
      <w:pPr>
        <w:pStyle w:val="19"/>
        <w:tabs>
          <w:tab w:val="left" w:pos="840"/>
        </w:tabs>
        <w:snapToGrid w:val="0"/>
        <w:spacing w:line="300" w:lineRule="auto"/>
        <w:ind w:left="712" w:leftChars="171" w:hanging="336" w:hangingChars="140"/>
        <w:jc w:val="both"/>
        <w:rPr>
          <w:rFonts w:ascii="Arial" w:hAnsi="Arial" w:eastAsia="宋体" w:cs="Arial"/>
          <w:sz w:val="24"/>
          <w:szCs w:val="24"/>
          <w:lang w:eastAsia="zh-CN"/>
        </w:rPr>
      </w:pPr>
    </w:p>
    <w:p w14:paraId="3C7EA41F">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使用连接至移动平台的传感器或电极或移动平台本身内的工具（例如加速度计）来测量心肺复苏（CPR）中的生理参数，并提供有关所输送的CPR质量的反馈的移动应用。可能的产品代码：LIX（21 CFR 870.5200）。</w:t>
      </w:r>
    </w:p>
    <w:p w14:paraId="1599F22C">
      <w:pPr>
        <w:pStyle w:val="19"/>
        <w:snapToGrid w:val="0"/>
        <w:spacing w:line="300" w:lineRule="auto"/>
        <w:ind w:left="712" w:leftChars="171" w:hanging="336" w:hangingChars="140"/>
        <w:jc w:val="both"/>
        <w:rPr>
          <w:rFonts w:ascii="Arial" w:hAnsi="Arial" w:eastAsia="宋体" w:cs="Arial"/>
          <w:sz w:val="24"/>
          <w:szCs w:val="24"/>
          <w:lang w:eastAsia="zh-CN"/>
        </w:rPr>
      </w:pPr>
    </w:p>
    <w:p w14:paraId="71F132E2">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使用连接至移动平台的传感器或移动平台本身内的工具记录、查看或分析眼动来诊断用于平衡障碍（即，眼震））的移动应用。可能的产品代码：GWN（21 CFR 882.1460）。</w:t>
      </w:r>
    </w:p>
    <w:p w14:paraId="7E67686A">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使用移动平台（例如，扬声器）内的工具来产生受控级别的试验音调和信号，以用于进行诊断性听力评价并协助诊断可能的耳科疾病（即，听力计）的移动应用。可能的产品代码：EWO（21 CFR 874.1050）。</w:t>
      </w:r>
    </w:p>
    <w:p w14:paraId="2E88A140">
      <w:pPr>
        <w:pStyle w:val="19"/>
        <w:tabs>
          <w:tab w:val="left" w:pos="840"/>
        </w:tabs>
        <w:snapToGrid w:val="0"/>
        <w:spacing w:line="300" w:lineRule="auto"/>
        <w:jc w:val="both"/>
        <w:rPr>
          <w:rFonts w:ascii="Arial" w:hAnsi="Arial" w:eastAsia="宋体" w:cs="Arial"/>
          <w:sz w:val="24"/>
          <w:szCs w:val="24"/>
          <w:lang w:eastAsia="zh-CN"/>
        </w:rPr>
      </w:pPr>
    </w:p>
    <w:p w14:paraId="399DF054">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使用连接至移动平台的传感器或移动平台本身内的工具（例如加速度计）来测量由某些疾病（即震颤传感器）造成的震颤程度的移动应用。可能的产品代码：GYD（21 CFR 882.1950）。</w:t>
      </w:r>
    </w:p>
    <w:p w14:paraId="05011918">
      <w:pPr>
        <w:pStyle w:val="19"/>
        <w:snapToGrid w:val="0"/>
        <w:spacing w:line="300" w:lineRule="auto"/>
        <w:jc w:val="both"/>
        <w:rPr>
          <w:rFonts w:ascii="Arial" w:hAnsi="Arial" w:eastAsia="宋体" w:cs="Arial"/>
          <w:sz w:val="24"/>
          <w:szCs w:val="24"/>
          <w:lang w:eastAsia="zh-CN"/>
        </w:rPr>
      </w:pPr>
    </w:p>
    <w:p w14:paraId="2164C802">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连接至移动平台的传感器或移动平台本身的工具（例如加速度计、麦克风）来测量睡眠期间的生理参数（例如，肢体运动、脑电活动（EEG）），并且旨在用于诊断特定疾病或病症（如睡眠呼吸中止症）的移动应用。可能的产品代码：OLV（21 CFR 882.1400）、LEL、MNR（21 CFR 868.2375）、FLS、NPF（21 CFR 868.2377）。</w:t>
      </w:r>
    </w:p>
    <w:p w14:paraId="51BF1155">
      <w:pPr>
        <w:pStyle w:val="19"/>
        <w:tabs>
          <w:tab w:val="left" w:pos="840"/>
        </w:tabs>
        <w:snapToGrid w:val="0"/>
        <w:spacing w:line="300" w:lineRule="auto"/>
        <w:jc w:val="both"/>
        <w:rPr>
          <w:rFonts w:ascii="Arial" w:hAnsi="Arial" w:eastAsia="宋体" w:cs="Arial"/>
          <w:sz w:val="24"/>
          <w:szCs w:val="24"/>
          <w:lang w:eastAsia="zh-CN"/>
        </w:rPr>
      </w:pPr>
    </w:p>
    <w:p w14:paraId="2AD9787F">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使用移动平台的附件来测量血氧饱和度，以诊断特定疾病或病症的移动应用。可能的产品代码：DQA、NLF、MUD、NMD（21 CFR 870.2700）或DPZ（21 CFR 870.2710）。</w:t>
      </w:r>
    </w:p>
    <w:p w14:paraId="52A5431B">
      <w:pPr>
        <w:pStyle w:val="19"/>
        <w:tabs>
          <w:tab w:val="left" w:pos="840"/>
        </w:tabs>
        <w:snapToGrid w:val="0"/>
        <w:spacing w:line="300" w:lineRule="auto"/>
        <w:jc w:val="both"/>
        <w:rPr>
          <w:rFonts w:ascii="Arial" w:hAnsi="Arial" w:eastAsia="宋体" w:cs="Arial"/>
          <w:sz w:val="24"/>
          <w:szCs w:val="24"/>
          <w:lang w:eastAsia="zh-CN"/>
        </w:rPr>
      </w:pPr>
    </w:p>
    <w:p w14:paraId="7142806C">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向潜在的献血者提供献血者历史问题，并记录和/或传输对有关血液收集机构的那些问题的答复，以在收集血液或血液组分之前确定献血者资格的移动应用。可能的产品代码：MMH</w:t>
      </w:r>
    </w:p>
    <w:p w14:paraId="4B72FBA9">
      <w:pPr>
        <w:pStyle w:val="19"/>
        <w:snapToGrid w:val="0"/>
        <w:spacing w:line="300" w:lineRule="auto"/>
        <w:jc w:val="both"/>
        <w:rPr>
          <w:rFonts w:ascii="Arial" w:hAnsi="Arial" w:eastAsia="宋体" w:cs="Arial"/>
          <w:sz w:val="24"/>
          <w:szCs w:val="24"/>
          <w:lang w:eastAsia="zh-CN"/>
        </w:rPr>
      </w:pPr>
    </w:p>
    <w:p w14:paraId="1457B950">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使用移动平台的附件来测量血糖水平的移动应用。可能的产品代码：NBW（21 CFR 862.1345）。</w:t>
      </w:r>
    </w:p>
    <w:p w14:paraId="79B13438">
      <w:pPr>
        <w:pStyle w:val="19"/>
        <w:tabs>
          <w:tab w:val="left" w:pos="840"/>
        </w:tabs>
        <w:snapToGrid w:val="0"/>
        <w:spacing w:line="300" w:lineRule="auto"/>
        <w:jc w:val="both"/>
        <w:rPr>
          <w:rFonts w:ascii="Arial" w:hAnsi="Arial" w:eastAsia="宋体" w:cs="Arial"/>
          <w:sz w:val="24"/>
          <w:szCs w:val="24"/>
          <w:lang w:eastAsia="zh-CN"/>
        </w:rPr>
      </w:pPr>
    </w:p>
    <w:p w14:paraId="63733B23">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使用移动平台的附件（例如光源、激光）来治疗痤疮、减少皱纹或清除头发的移动应用。可能的产品代码：OLP、OHT、OHS（21 CFR 878.4810）、OZC（21 CFR 890.5740）。</w:t>
      </w:r>
    </w:p>
    <w:p w14:paraId="7C62FA53">
      <w:pPr>
        <w:pStyle w:val="19"/>
        <w:tabs>
          <w:tab w:val="left" w:pos="840"/>
        </w:tabs>
        <w:snapToGrid w:val="0"/>
        <w:spacing w:line="300" w:lineRule="auto"/>
        <w:jc w:val="both"/>
        <w:rPr>
          <w:rFonts w:ascii="Arial" w:hAnsi="Arial" w:eastAsia="宋体" w:cs="Arial"/>
          <w:sz w:val="24"/>
          <w:szCs w:val="24"/>
          <w:lang w:eastAsia="zh-CN"/>
        </w:rPr>
      </w:pPr>
    </w:p>
    <w:p w14:paraId="254B3F2B">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将移动平台内的麦克风或扬声器作为听力计以允许医疗服务人员以不同频率确定听力损失的移动应用。可能的产品代码：EWO（21 CFR 874.1050）</w:t>
      </w:r>
    </w:p>
    <w:p w14:paraId="3436D488">
      <w:pPr>
        <w:pStyle w:val="19"/>
        <w:tabs>
          <w:tab w:val="left" w:pos="840"/>
        </w:tabs>
        <w:snapToGrid w:val="0"/>
        <w:spacing w:line="300" w:lineRule="auto"/>
        <w:jc w:val="both"/>
        <w:rPr>
          <w:rFonts w:ascii="Arial" w:hAnsi="Arial" w:eastAsia="宋体" w:cs="Arial"/>
          <w:sz w:val="24"/>
          <w:szCs w:val="24"/>
          <w:lang w:eastAsia="zh-CN"/>
        </w:rPr>
      </w:pPr>
    </w:p>
    <w:p w14:paraId="010CECE1">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使用数学算法（如分形分析）分析皮肤病变图像，并向用户提供病变风险评估的移动应用。</w:t>
      </w:r>
    </w:p>
    <w:p w14:paraId="43EE469C">
      <w:pPr>
        <w:snapToGrid w:val="0"/>
        <w:spacing w:line="300" w:lineRule="auto"/>
        <w:jc w:val="both"/>
        <w:rPr>
          <w:rFonts w:ascii="Arial" w:hAnsi="Arial" w:eastAsia="宋体" w:cs="Arial"/>
          <w:sz w:val="21"/>
          <w:szCs w:val="21"/>
          <w:lang w:eastAsia="zh-CN"/>
        </w:rPr>
      </w:pPr>
    </w:p>
    <w:p w14:paraId="064FE489">
      <w:pPr>
        <w:snapToGrid w:val="0"/>
        <w:spacing w:line="300" w:lineRule="auto"/>
        <w:jc w:val="both"/>
        <w:rPr>
          <w:rFonts w:ascii="Arial" w:hAnsi="Arial" w:eastAsia="宋体" w:cs="Arial"/>
          <w:sz w:val="20"/>
          <w:szCs w:val="20"/>
          <w:lang w:eastAsia="zh-CN"/>
        </w:rPr>
      </w:pPr>
      <w:r>
        <w:rPr>
          <w:rFonts w:ascii="Arial" w:hAnsi="Arial" w:eastAsia="宋体" w:cs="Arial"/>
          <w:b/>
          <w:sz w:val="24"/>
          <w:lang w:eastAsia="zh-CN"/>
        </w:rPr>
        <w:t>连接至现有器械类型以控制其操作、功能或能源，并因此属于移动医疗应用的移动应用：</w:t>
      </w:r>
      <w:r>
        <w:rPr>
          <w:rFonts w:ascii="Arial" w:hAnsi="Arial" w:eastAsia="宋体" w:cs="Arial"/>
          <w:sz w:val="24"/>
          <w:lang w:eastAsia="zh-CN"/>
        </w:rPr>
        <w:t>这些移动应用是控制可植入或可穿戴式医疗器械的操作或功能（例如，更改设置）的应用。可能的产品代码：因母体医疗器械的预期用途和功能而异；请参阅下面的其他示例。</w:t>
      </w:r>
    </w:p>
    <w:p w14:paraId="4183072E">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改变输液泵功能或设置的移动应用。可能的产品代码：MEB、FRN、LZH、LZG、OPP、MEA（21 CFR 880.5725）、FIH（21 CFR 876.5820）、LKK。</w:t>
      </w:r>
    </w:p>
    <w:p w14:paraId="33175275">
      <w:pPr>
        <w:pStyle w:val="19"/>
        <w:tabs>
          <w:tab w:val="left" w:pos="840"/>
        </w:tabs>
        <w:snapToGrid w:val="0"/>
        <w:spacing w:line="300" w:lineRule="auto"/>
        <w:jc w:val="both"/>
        <w:rPr>
          <w:rFonts w:ascii="Arial" w:hAnsi="Arial" w:eastAsia="宋体" w:cs="Arial"/>
          <w:sz w:val="24"/>
          <w:szCs w:val="24"/>
          <w:lang w:eastAsia="zh-CN"/>
        </w:rPr>
      </w:pPr>
    </w:p>
    <w:p w14:paraId="4D7EB060">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用作计算机断层摄影（CT）或X线机的无线遥控器或同步器械的移动应用。可能的产品代码：JAK（21 CFR 892.1750）、IZL（21 CFR 892.1720）、KPR（21 CFR 892.1680）。</w:t>
      </w:r>
    </w:p>
    <w:p w14:paraId="2E03E8DE">
      <w:pPr>
        <w:pStyle w:val="19"/>
        <w:tabs>
          <w:tab w:val="left" w:pos="840"/>
        </w:tabs>
        <w:snapToGrid w:val="0"/>
        <w:spacing w:line="300" w:lineRule="auto"/>
        <w:jc w:val="both"/>
        <w:rPr>
          <w:rFonts w:ascii="Arial" w:hAnsi="Arial" w:eastAsia="宋体" w:cs="Arial"/>
          <w:sz w:val="24"/>
          <w:szCs w:val="24"/>
          <w:lang w:eastAsia="zh-CN"/>
        </w:rPr>
      </w:pPr>
    </w:p>
    <w:p w14:paraId="2B64BB9D">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控制或更改植入式神经肌肉刺激器设置的移动应用。可能的产品代码：GZC（21 CFR 882.5860）。</w:t>
      </w:r>
    </w:p>
    <w:p w14:paraId="634A9013">
      <w:pPr>
        <w:pStyle w:val="19"/>
        <w:tabs>
          <w:tab w:val="left" w:pos="840"/>
        </w:tabs>
        <w:snapToGrid w:val="0"/>
        <w:spacing w:line="300" w:lineRule="auto"/>
        <w:jc w:val="both"/>
        <w:rPr>
          <w:rFonts w:ascii="Arial" w:hAnsi="Arial" w:eastAsia="宋体" w:cs="Arial"/>
          <w:sz w:val="24"/>
          <w:szCs w:val="24"/>
          <w:lang w:eastAsia="zh-CN"/>
        </w:rPr>
      </w:pPr>
    </w:p>
    <w:p w14:paraId="7C13A6C4">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校准、控制或更改耳蜗植入物设置的移动应用。可能的产品代码：MCM。</w:t>
      </w:r>
    </w:p>
    <w:p w14:paraId="1B7A5213">
      <w:pPr>
        <w:pStyle w:val="19"/>
        <w:snapToGrid w:val="0"/>
        <w:spacing w:line="300" w:lineRule="auto"/>
        <w:jc w:val="both"/>
        <w:rPr>
          <w:rFonts w:ascii="Arial" w:hAnsi="Arial" w:eastAsia="宋体" w:cs="Arial"/>
          <w:sz w:val="24"/>
          <w:szCs w:val="24"/>
          <w:lang w:eastAsia="zh-CN"/>
        </w:rPr>
      </w:pPr>
    </w:p>
    <w:p w14:paraId="0A14E24C">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控制血压袖带的充气或放气的移动应用。可能的产品代码：DSJ（21 CFR 870.1100）、DSK（21 CFR 870.1110）、DXN（21 CFR 870.1130）。</w:t>
      </w:r>
    </w:p>
    <w:p w14:paraId="0473CD9E">
      <w:pPr>
        <w:pStyle w:val="19"/>
        <w:tabs>
          <w:tab w:val="left" w:pos="840"/>
        </w:tabs>
        <w:snapToGrid w:val="0"/>
        <w:spacing w:line="300" w:lineRule="auto"/>
        <w:jc w:val="both"/>
        <w:rPr>
          <w:rFonts w:ascii="Arial" w:hAnsi="Arial" w:eastAsia="宋体" w:cs="Arial"/>
          <w:sz w:val="24"/>
          <w:szCs w:val="24"/>
          <w:lang w:eastAsia="zh-CN"/>
        </w:rPr>
      </w:pPr>
    </w:p>
    <w:p w14:paraId="5EBFD397">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szCs w:val="24"/>
          <w:lang w:eastAsia="zh-CN"/>
        </w:rPr>
      </w:pPr>
      <w:r>
        <w:rPr>
          <w:rFonts w:ascii="Arial" w:hAnsi="Arial" w:eastAsia="宋体" w:cs="Arial"/>
          <w:sz w:val="24"/>
          <w:szCs w:val="24"/>
          <w:lang w:eastAsia="zh-CN"/>
        </w:rPr>
        <w:t>用于校准助听器并评估从助听器、主助听器、组助听器或组听觉训练器产生的电声频率和声音强度特征的移动应用。可能的产品代码ETW（21 CFR 874.3310）。</w:t>
      </w:r>
    </w:p>
    <w:p w14:paraId="78670D78">
      <w:pPr>
        <w:snapToGrid w:val="0"/>
        <w:spacing w:line="300" w:lineRule="auto"/>
        <w:jc w:val="both"/>
        <w:rPr>
          <w:rFonts w:ascii="Arial" w:hAnsi="Arial" w:eastAsia="宋体" w:cs="Arial"/>
          <w:sz w:val="24"/>
          <w:szCs w:val="24"/>
          <w:lang w:eastAsia="zh-CN"/>
        </w:rPr>
      </w:pPr>
    </w:p>
    <w:p w14:paraId="1BCAFC14">
      <w:pPr>
        <w:snapToGrid w:val="0"/>
        <w:spacing w:line="300" w:lineRule="auto"/>
        <w:jc w:val="both"/>
        <w:rPr>
          <w:rFonts w:ascii="Arial" w:hAnsi="Arial" w:eastAsia="宋体" w:cs="Arial"/>
          <w:sz w:val="24"/>
          <w:szCs w:val="24"/>
          <w:lang w:eastAsia="zh-CN"/>
        </w:rPr>
      </w:pPr>
    </w:p>
    <w:p w14:paraId="4B556D64">
      <w:pPr>
        <w:snapToGrid w:val="0"/>
        <w:spacing w:line="300" w:lineRule="auto"/>
        <w:jc w:val="both"/>
        <w:rPr>
          <w:rFonts w:ascii="Arial" w:hAnsi="Arial" w:eastAsia="宋体" w:cs="Arial"/>
          <w:sz w:val="24"/>
          <w:szCs w:val="24"/>
          <w:lang w:eastAsia="zh-CN"/>
        </w:rPr>
      </w:pPr>
    </w:p>
    <w:p w14:paraId="2D08B7AC">
      <w:pPr>
        <w:snapToGrid w:val="0"/>
        <w:spacing w:before="3" w:line="300" w:lineRule="auto"/>
        <w:jc w:val="both"/>
        <w:rPr>
          <w:rFonts w:ascii="Arial" w:hAnsi="Arial" w:eastAsia="宋体" w:cs="Arial"/>
          <w:sz w:val="21"/>
          <w:szCs w:val="21"/>
          <w:lang w:eastAsia="zh-CN"/>
        </w:rPr>
      </w:pPr>
    </w:p>
    <w:p w14:paraId="3BA0E89A">
      <w:pPr>
        <w:pStyle w:val="5"/>
        <w:snapToGrid w:val="0"/>
        <w:spacing w:line="300" w:lineRule="auto"/>
        <w:ind w:left="0"/>
        <w:jc w:val="both"/>
        <w:rPr>
          <w:rFonts w:ascii="Arial" w:hAnsi="Arial" w:eastAsia="宋体" w:cs="Arial"/>
          <w:b w:val="0"/>
          <w:bCs w:val="0"/>
          <w:lang w:eastAsia="zh-CN"/>
        </w:rPr>
      </w:pPr>
      <w:r>
        <w:rPr>
          <w:rFonts w:ascii="Arial" w:hAnsi="Arial" w:eastAsia="宋体" w:cs="Arial"/>
          <w:lang w:eastAsia="zh-CN"/>
        </w:rPr>
        <w:t>用于主动患者监测或分析来自连接器械的患者特定医疗器械数据，并因此属于移动医疗应用的移动应用：</w:t>
      </w:r>
    </w:p>
    <w:p w14:paraId="1956CEB4">
      <w:pPr>
        <w:snapToGrid w:val="0"/>
        <w:spacing w:before="11" w:line="300" w:lineRule="auto"/>
        <w:jc w:val="both"/>
        <w:rPr>
          <w:rFonts w:ascii="Arial" w:hAnsi="Arial" w:eastAsia="宋体" w:cs="Arial"/>
          <w:sz w:val="21"/>
          <w:szCs w:val="21"/>
          <w:lang w:eastAsia="zh-CN"/>
        </w:rPr>
      </w:pPr>
    </w:p>
    <w:p w14:paraId="5A2D164B">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lang w:eastAsia="zh-CN"/>
        </w:rPr>
      </w:pPr>
      <w:r>
        <w:rPr>
          <w:rFonts w:ascii="Arial" w:hAnsi="Arial" w:eastAsia="宋体" w:cs="Arial"/>
          <w:sz w:val="24"/>
          <w:lang w:eastAsia="zh-CN"/>
        </w:rPr>
        <w:t>连接至临床（或心脏）监视器并将数据传输到中央观察站以进行显示和主动患者监测</w:t>
      </w:r>
      <w:r>
        <w:rPr>
          <w:rFonts w:ascii="Arial" w:hAnsi="Arial" w:eastAsia="宋体" w:cs="Arial"/>
          <w:sz w:val="24"/>
          <w:szCs w:val="24"/>
          <w:lang w:eastAsia="zh-CN"/>
        </w:rPr>
        <w:t>的移动应用</w:t>
      </w:r>
      <w:r>
        <w:rPr>
          <w:rFonts w:ascii="Arial" w:hAnsi="Arial" w:eastAsia="宋体" w:cs="Arial"/>
          <w:sz w:val="24"/>
          <w:lang w:eastAsia="zh-CN"/>
        </w:rPr>
        <w:t>。可能的产品代码：DSI、MHX、MLD（21 CFR 870.1025）、DRT、MWI、MSX（21 CFR 870.2300）。</w:t>
      </w:r>
    </w:p>
    <w:p w14:paraId="037F7194">
      <w:pPr>
        <w:pStyle w:val="19"/>
        <w:tabs>
          <w:tab w:val="left" w:pos="840"/>
        </w:tabs>
        <w:snapToGrid w:val="0"/>
        <w:spacing w:line="300" w:lineRule="auto"/>
        <w:jc w:val="both"/>
        <w:rPr>
          <w:rFonts w:ascii="Arial" w:hAnsi="Arial" w:eastAsia="宋体" w:cs="Arial"/>
          <w:sz w:val="24"/>
          <w:lang w:eastAsia="zh-CN"/>
        </w:rPr>
      </w:pPr>
    </w:p>
    <w:p w14:paraId="4781A158">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24"/>
          <w:lang w:eastAsia="zh-CN"/>
        </w:rPr>
      </w:pPr>
      <w:r>
        <w:rPr>
          <w:rFonts w:ascii="Arial" w:hAnsi="Arial" w:eastAsia="宋体" w:cs="Arial"/>
          <w:sz w:val="24"/>
          <w:lang w:eastAsia="zh-CN"/>
        </w:rPr>
        <w:t>连接至围产期监测系统并将子宫收缩和胎儿心率数据传输到另一个显示器以允许远程监测工作进度</w:t>
      </w:r>
      <w:r>
        <w:rPr>
          <w:rFonts w:ascii="Arial" w:hAnsi="Arial" w:eastAsia="宋体" w:cs="Arial"/>
          <w:sz w:val="24"/>
          <w:szCs w:val="24"/>
          <w:lang w:eastAsia="zh-CN"/>
        </w:rPr>
        <w:t>的移动应用</w:t>
      </w:r>
      <w:r>
        <w:rPr>
          <w:rFonts w:ascii="Arial" w:hAnsi="Arial" w:eastAsia="宋体" w:cs="Arial"/>
          <w:sz w:val="24"/>
          <w:lang w:eastAsia="zh-CN"/>
        </w:rPr>
        <w:t>。可能的产品代码：HGM（21 CFR 884.2740）。</w:t>
      </w:r>
    </w:p>
    <w:p w14:paraId="69E92961">
      <w:pPr>
        <w:pStyle w:val="19"/>
        <w:tabs>
          <w:tab w:val="left" w:pos="840"/>
        </w:tabs>
        <w:snapToGrid w:val="0"/>
        <w:spacing w:line="300" w:lineRule="auto"/>
        <w:jc w:val="both"/>
        <w:rPr>
          <w:rFonts w:ascii="Arial" w:hAnsi="Arial" w:eastAsia="宋体" w:cs="Arial"/>
          <w:sz w:val="24"/>
          <w:lang w:eastAsia="zh-CN"/>
        </w:rPr>
      </w:pPr>
    </w:p>
    <w:p w14:paraId="20064DC9">
      <w:pPr>
        <w:pStyle w:val="19"/>
        <w:numPr>
          <w:ilvl w:val="1"/>
          <w:numId w:val="11"/>
        </w:numPr>
        <w:tabs>
          <w:tab w:val="left" w:pos="840"/>
        </w:tabs>
        <w:snapToGrid w:val="0"/>
        <w:spacing w:line="300" w:lineRule="auto"/>
        <w:ind w:left="712" w:leftChars="171" w:hanging="336" w:hangingChars="140"/>
        <w:jc w:val="both"/>
        <w:rPr>
          <w:rFonts w:ascii="Arial" w:hAnsi="Arial" w:eastAsia="宋体" w:cs="Arial"/>
          <w:sz w:val="36"/>
          <w:szCs w:val="36"/>
          <w:lang w:eastAsia="zh-CN"/>
        </w:rPr>
      </w:pPr>
      <w:r>
        <w:rPr>
          <w:rFonts w:ascii="Arial" w:hAnsi="Arial" w:eastAsia="宋体" w:cs="Arial"/>
          <w:sz w:val="24"/>
          <w:lang w:eastAsia="zh-CN"/>
        </w:rPr>
        <w:t>旨在显示用于诊断审查的图像，可能会被视为图片归档和通信系统并因此受到监管的移动应用。可能的产品</w:t>
      </w:r>
      <w:r>
        <w:rPr>
          <w:rFonts w:ascii="Arial" w:hAnsi="Arial" w:eastAsia="宋体" w:cs="Arial"/>
          <w:sz w:val="24"/>
          <w:szCs w:val="24"/>
          <w:lang w:eastAsia="zh-CN"/>
        </w:rPr>
        <w:t>代码</w:t>
      </w:r>
      <w:r>
        <w:rPr>
          <w:rFonts w:ascii="Arial" w:hAnsi="Arial" w:eastAsia="宋体" w:cs="Arial"/>
          <w:sz w:val="24"/>
          <w:lang w:eastAsia="zh-CN"/>
        </w:rPr>
        <w:t>LLZ，（21 CFR 892.2050）。</w:t>
      </w:r>
    </w:p>
    <w:p w14:paraId="54157944">
      <w:pPr>
        <w:snapToGrid w:val="0"/>
        <w:spacing w:line="300" w:lineRule="auto"/>
        <w:rPr>
          <w:rFonts w:ascii="Arial" w:hAnsi="Arial" w:eastAsia="宋体" w:cs="Arial"/>
          <w:sz w:val="36"/>
          <w:szCs w:val="36"/>
          <w:lang w:eastAsia="zh-CN"/>
        </w:rPr>
      </w:pPr>
      <w:r>
        <w:rPr>
          <w:rFonts w:ascii="Arial" w:hAnsi="Arial" w:eastAsia="宋体" w:cs="Arial"/>
          <w:sz w:val="36"/>
          <w:szCs w:val="36"/>
          <w:lang w:eastAsia="zh-CN"/>
        </w:rPr>
        <w:br w:type="page"/>
      </w:r>
    </w:p>
    <w:p w14:paraId="56294227">
      <w:pPr>
        <w:pStyle w:val="2"/>
        <w:tabs>
          <w:tab w:val="left" w:pos="2379"/>
        </w:tabs>
        <w:snapToGrid w:val="0"/>
        <w:spacing w:line="300" w:lineRule="auto"/>
        <w:ind w:left="0" w:firstLine="0"/>
        <w:jc w:val="both"/>
        <w:rPr>
          <w:rFonts w:ascii="Arial" w:hAnsi="Arial" w:eastAsia="宋体" w:cs="Arial"/>
          <w:b w:val="0"/>
          <w:bCs w:val="0"/>
          <w:lang w:eastAsia="zh-CN"/>
        </w:rPr>
      </w:pPr>
      <w:bookmarkStart w:id="40" w:name="Examples_of_current_regulations"/>
      <w:bookmarkEnd w:id="40"/>
      <w:bookmarkStart w:id="41" w:name="_Toc481592033"/>
      <w:r>
        <w:rPr>
          <w:rFonts w:ascii="Arial" w:hAnsi="Arial" w:eastAsia="宋体" w:cs="Arial"/>
          <w:lang w:eastAsia="zh-CN"/>
        </w:rPr>
        <w:t>附录D 现行法规的示例</w:t>
      </w:r>
      <w:bookmarkEnd w:id="41"/>
    </w:p>
    <w:p w14:paraId="56B5FB62">
      <w:pPr>
        <w:snapToGrid w:val="0"/>
        <w:spacing w:before="7" w:line="300" w:lineRule="auto"/>
        <w:jc w:val="both"/>
        <w:rPr>
          <w:rFonts w:ascii="Arial" w:hAnsi="Arial" w:eastAsia="宋体" w:cs="Arial"/>
          <w:b/>
          <w:bCs/>
          <w:sz w:val="28"/>
          <w:szCs w:val="28"/>
          <w:lang w:eastAsia="zh-CN"/>
        </w:rPr>
      </w:pPr>
    </w:p>
    <w:p w14:paraId="5D7FCD68">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本附录提供了有关受监管医疗器械分类、据此对其进行监管的类别及其法规编号（如“联邦法规”（CFR）第21章所列）的附加示例。本列表旨在作为移动医疗应用制造商的起点以帮助其确定受监管医疗器械。</w:t>
      </w:r>
    </w:p>
    <w:p w14:paraId="3672E040">
      <w:pPr>
        <w:pStyle w:val="6"/>
        <w:snapToGrid w:val="0"/>
        <w:spacing w:line="300" w:lineRule="auto"/>
        <w:ind w:left="0" w:firstLine="0"/>
        <w:jc w:val="both"/>
        <w:rPr>
          <w:rFonts w:ascii="Arial" w:hAnsi="Arial" w:eastAsia="宋体" w:cs="Arial"/>
          <w:lang w:eastAsia="zh-CN"/>
        </w:rPr>
      </w:pPr>
    </w:p>
    <w:p w14:paraId="1D715A36">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在下表中–法规编号8xx.yyyy是指21 CFR 8xx.yyyy；器械类别1、2、3--表示适用于器械的分类；提交材料类型“510（k）豁免”-表示制造商在上市器械之前无需提交上市前通告（即510（k））。但是，510（k）豁免可能会受到某些限制。提交材料类型“510（k）”-表示制造商通常需要提交上市前通告。</w:t>
      </w:r>
    </w:p>
    <w:p w14:paraId="1611CD9A">
      <w:pPr>
        <w:snapToGrid w:val="0"/>
        <w:spacing w:before="8" w:line="300" w:lineRule="auto"/>
        <w:jc w:val="both"/>
        <w:rPr>
          <w:rFonts w:ascii="Arial" w:hAnsi="Arial" w:eastAsia="宋体" w:cs="Arial"/>
          <w:sz w:val="24"/>
          <w:szCs w:val="24"/>
          <w:lang w:eastAsia="zh-CN"/>
        </w:rPr>
      </w:pPr>
    </w:p>
    <w:tbl>
      <w:tblPr>
        <w:tblStyle w:val="18"/>
        <w:tblW w:w="5000" w:type="pct"/>
        <w:tblInd w:w="0" w:type="dxa"/>
        <w:tblLayout w:type="autofit"/>
        <w:tblCellMar>
          <w:top w:w="0" w:type="dxa"/>
          <w:left w:w="0" w:type="dxa"/>
          <w:bottom w:w="0" w:type="dxa"/>
          <w:right w:w="0" w:type="dxa"/>
        </w:tblCellMar>
      </w:tblPr>
      <w:tblGrid>
        <w:gridCol w:w="1273"/>
        <w:gridCol w:w="2170"/>
        <w:gridCol w:w="4183"/>
        <w:gridCol w:w="865"/>
        <w:gridCol w:w="1517"/>
      </w:tblGrid>
      <w:tr w14:paraId="0D36AFDC">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7D3ABA7D">
            <w:pPr>
              <w:pStyle w:val="20"/>
              <w:snapToGrid w:val="0"/>
              <w:spacing w:before="36" w:beforeLines="15" w:after="36" w:afterLines="15"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法规编号</w:t>
            </w:r>
          </w:p>
        </w:tc>
        <w:tc>
          <w:tcPr>
            <w:tcW w:w="1084" w:type="pct"/>
            <w:tcBorders>
              <w:top w:val="single" w:color="000000" w:sz="6" w:space="0"/>
              <w:left w:val="nil"/>
              <w:bottom w:val="single" w:color="000000" w:sz="6" w:space="0"/>
              <w:right w:val="nil"/>
            </w:tcBorders>
          </w:tcPr>
          <w:p w14:paraId="69222017">
            <w:pPr>
              <w:pStyle w:val="20"/>
              <w:snapToGrid w:val="0"/>
              <w:spacing w:before="36" w:beforeLines="15" w:after="36" w:afterLines="15"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法规说明</w:t>
            </w:r>
          </w:p>
        </w:tc>
        <w:tc>
          <w:tcPr>
            <w:tcW w:w="2090" w:type="pct"/>
            <w:tcBorders>
              <w:top w:val="single" w:color="000000" w:sz="6" w:space="0"/>
              <w:left w:val="nil"/>
              <w:bottom w:val="single" w:color="000000" w:sz="6" w:space="0"/>
              <w:right w:val="nil"/>
            </w:tcBorders>
          </w:tcPr>
          <w:p w14:paraId="75B43699">
            <w:pPr>
              <w:pStyle w:val="20"/>
              <w:snapToGrid w:val="0"/>
              <w:spacing w:before="36" w:beforeLines="15" w:after="36" w:afterLines="15"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法规中的示例器械（和当前产品代码）</w:t>
            </w:r>
          </w:p>
        </w:tc>
        <w:tc>
          <w:tcPr>
            <w:tcW w:w="432" w:type="pct"/>
            <w:tcBorders>
              <w:top w:val="single" w:color="000000" w:sz="6" w:space="0"/>
              <w:left w:val="nil"/>
              <w:bottom w:val="single" w:color="000000" w:sz="6" w:space="0"/>
              <w:right w:val="nil"/>
            </w:tcBorders>
          </w:tcPr>
          <w:p w14:paraId="1D8115BD">
            <w:pPr>
              <w:pStyle w:val="20"/>
              <w:snapToGrid w:val="0"/>
              <w:spacing w:before="36" w:beforeLines="15" w:after="36" w:afterLines="15"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器械类别</w:t>
            </w:r>
          </w:p>
        </w:tc>
        <w:tc>
          <w:tcPr>
            <w:tcW w:w="758" w:type="pct"/>
            <w:tcBorders>
              <w:top w:val="single" w:color="000000" w:sz="6" w:space="0"/>
              <w:left w:val="nil"/>
              <w:bottom w:val="single" w:color="000000" w:sz="6" w:space="0"/>
              <w:right w:val="single" w:color="000000" w:sz="6" w:space="0"/>
            </w:tcBorders>
          </w:tcPr>
          <w:p w14:paraId="1F0D340A">
            <w:pPr>
              <w:pStyle w:val="20"/>
              <w:snapToGrid w:val="0"/>
              <w:spacing w:before="36" w:beforeLines="15" w:after="36" w:afterLines="15"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提交材料类型</w:t>
            </w:r>
          </w:p>
        </w:tc>
      </w:tr>
      <w:tr w14:paraId="3DA070CF">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0BF97D20">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862.1345</w:t>
            </w:r>
          </w:p>
        </w:tc>
        <w:tc>
          <w:tcPr>
            <w:tcW w:w="1084" w:type="pct"/>
            <w:tcBorders>
              <w:top w:val="single" w:color="000000" w:sz="6" w:space="0"/>
              <w:left w:val="nil"/>
              <w:bottom w:val="single" w:color="000000" w:sz="6" w:space="0"/>
              <w:right w:val="nil"/>
            </w:tcBorders>
          </w:tcPr>
          <w:p w14:paraId="3968E543">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葡萄糖试验系统</w:t>
            </w:r>
          </w:p>
        </w:tc>
        <w:tc>
          <w:tcPr>
            <w:tcW w:w="2090" w:type="pct"/>
            <w:tcBorders>
              <w:top w:val="single" w:color="000000" w:sz="6" w:space="0"/>
              <w:left w:val="nil"/>
              <w:bottom w:val="single" w:color="000000" w:sz="6" w:space="0"/>
              <w:right w:val="nil"/>
            </w:tcBorders>
          </w:tcPr>
          <w:p w14:paraId="26354194">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系统、试验、血糖、计数器（NBW）</w:t>
            </w:r>
          </w:p>
        </w:tc>
        <w:tc>
          <w:tcPr>
            <w:tcW w:w="432" w:type="pct"/>
            <w:tcBorders>
              <w:top w:val="single" w:color="000000" w:sz="6" w:space="0"/>
              <w:left w:val="nil"/>
              <w:bottom w:val="single" w:color="000000" w:sz="6" w:space="0"/>
              <w:right w:val="nil"/>
            </w:tcBorders>
          </w:tcPr>
          <w:p w14:paraId="5F678100">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5DA5F771">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3F7D07C1">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0B24A02C">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862.2100</w:t>
            </w:r>
          </w:p>
        </w:tc>
        <w:tc>
          <w:tcPr>
            <w:tcW w:w="1084" w:type="pct"/>
            <w:tcBorders>
              <w:top w:val="single" w:color="000000" w:sz="6" w:space="0"/>
              <w:left w:val="nil"/>
              <w:bottom w:val="single" w:color="000000" w:sz="6" w:space="0"/>
              <w:right w:val="nil"/>
            </w:tcBorders>
          </w:tcPr>
          <w:p w14:paraId="18CC6E0A">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用于临床应用的计算器/数据处理模块</w:t>
            </w:r>
          </w:p>
        </w:tc>
        <w:tc>
          <w:tcPr>
            <w:tcW w:w="2090" w:type="pct"/>
            <w:tcBorders>
              <w:top w:val="single" w:color="000000" w:sz="6" w:space="0"/>
              <w:left w:val="nil"/>
              <w:bottom w:val="single" w:color="000000" w:sz="6" w:space="0"/>
              <w:right w:val="nil"/>
            </w:tcBorders>
          </w:tcPr>
          <w:p w14:paraId="0C8B5EDE">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数字图像、存储和通信、非诊断、实验室信息系统（NVV）</w:t>
            </w:r>
          </w:p>
        </w:tc>
        <w:tc>
          <w:tcPr>
            <w:tcW w:w="432" w:type="pct"/>
            <w:tcBorders>
              <w:top w:val="single" w:color="000000" w:sz="6" w:space="0"/>
              <w:left w:val="nil"/>
              <w:bottom w:val="single" w:color="000000" w:sz="6" w:space="0"/>
              <w:right w:val="nil"/>
            </w:tcBorders>
          </w:tcPr>
          <w:p w14:paraId="026E51DA">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single" w:color="000000" w:sz="6" w:space="0"/>
              <w:right w:val="single" w:color="000000" w:sz="6" w:space="0"/>
            </w:tcBorders>
          </w:tcPr>
          <w:p w14:paraId="423585A6">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 豁免</w:t>
            </w:r>
          </w:p>
        </w:tc>
      </w:tr>
      <w:tr w14:paraId="3163CF14">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4273ECD9">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868.1850</w:t>
            </w:r>
          </w:p>
        </w:tc>
        <w:tc>
          <w:tcPr>
            <w:tcW w:w="1084" w:type="pct"/>
            <w:tcBorders>
              <w:top w:val="single" w:color="000000" w:sz="6" w:space="0"/>
              <w:left w:val="nil"/>
              <w:bottom w:val="single" w:color="000000" w:sz="6" w:space="0"/>
              <w:right w:val="nil"/>
            </w:tcBorders>
          </w:tcPr>
          <w:p w14:paraId="1FDB2C72">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监测肺活量计</w:t>
            </w:r>
          </w:p>
        </w:tc>
        <w:tc>
          <w:tcPr>
            <w:tcW w:w="2090" w:type="pct"/>
            <w:tcBorders>
              <w:top w:val="single" w:color="000000" w:sz="6" w:space="0"/>
              <w:left w:val="nil"/>
              <w:bottom w:val="single" w:color="000000" w:sz="6" w:space="0"/>
              <w:right w:val="nil"/>
            </w:tcBorders>
          </w:tcPr>
          <w:p w14:paraId="41EB3720">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肺活量计、监测（有/无报警）（BZK）</w:t>
            </w:r>
          </w:p>
        </w:tc>
        <w:tc>
          <w:tcPr>
            <w:tcW w:w="432" w:type="pct"/>
            <w:tcBorders>
              <w:top w:val="single" w:color="000000" w:sz="6" w:space="0"/>
              <w:left w:val="nil"/>
              <w:bottom w:val="single" w:color="000000" w:sz="6" w:space="0"/>
              <w:right w:val="nil"/>
            </w:tcBorders>
          </w:tcPr>
          <w:p w14:paraId="05B6A7EB">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650FA4D2">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6F16F996">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7F66094F">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868.1920</w:t>
            </w:r>
          </w:p>
        </w:tc>
        <w:tc>
          <w:tcPr>
            <w:tcW w:w="1084" w:type="pct"/>
            <w:tcBorders>
              <w:top w:val="single" w:color="000000" w:sz="6" w:space="0"/>
              <w:left w:val="nil"/>
              <w:bottom w:val="single" w:color="000000" w:sz="6" w:space="0"/>
              <w:right w:val="nil"/>
            </w:tcBorders>
          </w:tcPr>
          <w:p w14:paraId="10D765DF">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带电导体的食管听诊器</w:t>
            </w:r>
          </w:p>
        </w:tc>
        <w:tc>
          <w:tcPr>
            <w:tcW w:w="2090" w:type="pct"/>
            <w:tcBorders>
              <w:top w:val="single" w:color="000000" w:sz="6" w:space="0"/>
              <w:left w:val="nil"/>
              <w:bottom w:val="single" w:color="000000" w:sz="6" w:space="0"/>
              <w:right w:val="nil"/>
            </w:tcBorders>
          </w:tcPr>
          <w:p w14:paraId="59AD8595">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听诊器、食管、电导体（BZT）</w:t>
            </w:r>
          </w:p>
        </w:tc>
        <w:tc>
          <w:tcPr>
            <w:tcW w:w="432" w:type="pct"/>
            <w:tcBorders>
              <w:top w:val="single" w:color="000000" w:sz="6" w:space="0"/>
              <w:left w:val="nil"/>
              <w:bottom w:val="single" w:color="000000" w:sz="6" w:space="0"/>
              <w:right w:val="nil"/>
            </w:tcBorders>
          </w:tcPr>
          <w:p w14:paraId="646B6C28">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69D8026F">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23FD1B0C">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592CF4BD">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868.2375</w:t>
            </w:r>
          </w:p>
        </w:tc>
        <w:tc>
          <w:tcPr>
            <w:tcW w:w="1084" w:type="pct"/>
            <w:tcBorders>
              <w:top w:val="single" w:color="000000" w:sz="6" w:space="0"/>
              <w:left w:val="nil"/>
              <w:bottom w:val="single" w:color="000000" w:sz="6" w:space="0"/>
              <w:right w:val="nil"/>
            </w:tcBorders>
          </w:tcPr>
          <w:p w14:paraId="1DD90698">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呼吸频率监护仪</w:t>
            </w:r>
          </w:p>
        </w:tc>
        <w:tc>
          <w:tcPr>
            <w:tcW w:w="2090" w:type="pct"/>
            <w:tcBorders>
              <w:top w:val="single" w:color="000000" w:sz="6" w:space="0"/>
              <w:left w:val="nil"/>
              <w:bottom w:val="single" w:color="000000" w:sz="6" w:space="0"/>
              <w:right w:val="nil"/>
            </w:tcBorders>
          </w:tcPr>
          <w:p w14:paraId="11A47F26">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通气尝试记录仪（MNR）</w:t>
            </w:r>
          </w:p>
        </w:tc>
        <w:tc>
          <w:tcPr>
            <w:tcW w:w="432" w:type="pct"/>
            <w:tcBorders>
              <w:top w:val="single" w:color="000000" w:sz="6" w:space="0"/>
              <w:left w:val="nil"/>
              <w:bottom w:val="single" w:color="000000" w:sz="6" w:space="0"/>
              <w:right w:val="nil"/>
            </w:tcBorders>
          </w:tcPr>
          <w:p w14:paraId="0A081127">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5C9D91D5">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5CD4716B">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3025FE28">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868.2377</w:t>
            </w:r>
          </w:p>
        </w:tc>
        <w:tc>
          <w:tcPr>
            <w:tcW w:w="1084" w:type="pct"/>
            <w:tcBorders>
              <w:top w:val="single" w:color="000000" w:sz="6" w:space="0"/>
              <w:left w:val="nil"/>
              <w:bottom w:val="single" w:color="000000" w:sz="6" w:space="0"/>
              <w:right w:val="nil"/>
            </w:tcBorders>
          </w:tcPr>
          <w:p w14:paraId="7CF0C812">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呼吸暂停监测</w:t>
            </w:r>
          </w:p>
        </w:tc>
        <w:tc>
          <w:tcPr>
            <w:tcW w:w="2090" w:type="pct"/>
            <w:tcBorders>
              <w:top w:val="single" w:color="000000" w:sz="6" w:space="0"/>
              <w:left w:val="nil"/>
              <w:bottom w:val="single" w:color="000000" w:sz="6" w:space="0"/>
              <w:right w:val="nil"/>
            </w:tcBorders>
          </w:tcPr>
          <w:p w14:paraId="29C5E105">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监测、呼吸暂停、家庭使用（NPF）</w:t>
            </w:r>
          </w:p>
        </w:tc>
        <w:tc>
          <w:tcPr>
            <w:tcW w:w="432" w:type="pct"/>
            <w:tcBorders>
              <w:top w:val="single" w:color="000000" w:sz="6" w:space="0"/>
              <w:left w:val="nil"/>
              <w:bottom w:val="single" w:color="000000" w:sz="6" w:space="0"/>
              <w:right w:val="nil"/>
            </w:tcBorders>
          </w:tcPr>
          <w:p w14:paraId="74BA4C88">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6251947B">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312F4D55">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74724848">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870.1025</w:t>
            </w:r>
          </w:p>
        </w:tc>
        <w:tc>
          <w:tcPr>
            <w:tcW w:w="1084" w:type="pct"/>
            <w:tcBorders>
              <w:top w:val="single" w:color="000000" w:sz="6" w:space="0"/>
              <w:left w:val="nil"/>
              <w:bottom w:val="single" w:color="000000" w:sz="6" w:space="0"/>
              <w:right w:val="nil"/>
            </w:tcBorders>
          </w:tcPr>
          <w:p w14:paraId="1A4EC800">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心律失常检测器和报警器（包括ST段测量和报警）</w:t>
            </w:r>
          </w:p>
        </w:tc>
        <w:tc>
          <w:tcPr>
            <w:tcW w:w="2090" w:type="pct"/>
            <w:tcBorders>
              <w:top w:val="single" w:color="000000" w:sz="6" w:space="0"/>
              <w:left w:val="nil"/>
              <w:bottom w:val="single" w:color="000000" w:sz="6" w:space="0"/>
              <w:right w:val="nil"/>
            </w:tcBorders>
          </w:tcPr>
          <w:p w14:paraId="662CF593">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检测器和报警器、心律失常（DSI）</w:t>
            </w:r>
          </w:p>
        </w:tc>
        <w:tc>
          <w:tcPr>
            <w:tcW w:w="432" w:type="pct"/>
            <w:tcBorders>
              <w:top w:val="single" w:color="000000" w:sz="6" w:space="0"/>
              <w:left w:val="nil"/>
              <w:bottom w:val="single" w:color="000000" w:sz="6" w:space="0"/>
              <w:right w:val="nil"/>
            </w:tcBorders>
          </w:tcPr>
          <w:p w14:paraId="57E4988F">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3F2E2ADF">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4EBEE199">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7E64576F">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870.1110</w:t>
            </w:r>
          </w:p>
        </w:tc>
        <w:tc>
          <w:tcPr>
            <w:tcW w:w="1084" w:type="pct"/>
            <w:tcBorders>
              <w:top w:val="single" w:color="000000" w:sz="6" w:space="0"/>
              <w:left w:val="nil"/>
              <w:bottom w:val="single" w:color="000000" w:sz="6" w:space="0"/>
              <w:right w:val="nil"/>
            </w:tcBorders>
          </w:tcPr>
          <w:p w14:paraId="470C6BAF">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血压计算机</w:t>
            </w:r>
          </w:p>
        </w:tc>
        <w:tc>
          <w:tcPr>
            <w:tcW w:w="2090" w:type="pct"/>
            <w:tcBorders>
              <w:top w:val="single" w:color="000000" w:sz="6" w:space="0"/>
              <w:left w:val="nil"/>
              <w:bottom w:val="single" w:color="000000" w:sz="6" w:space="0"/>
              <w:right w:val="nil"/>
            </w:tcBorders>
          </w:tcPr>
          <w:p w14:paraId="30DFB84E">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电脑、血压（DSK）</w:t>
            </w:r>
          </w:p>
        </w:tc>
        <w:tc>
          <w:tcPr>
            <w:tcW w:w="432" w:type="pct"/>
            <w:tcBorders>
              <w:top w:val="single" w:color="000000" w:sz="6" w:space="0"/>
              <w:left w:val="nil"/>
              <w:bottom w:val="single" w:color="000000" w:sz="6" w:space="0"/>
              <w:right w:val="nil"/>
            </w:tcBorders>
          </w:tcPr>
          <w:p w14:paraId="16DD7BF2">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2F31B861">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60854487">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2ED5CA12">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870.1130</w:t>
            </w:r>
          </w:p>
        </w:tc>
        <w:tc>
          <w:tcPr>
            <w:tcW w:w="1084" w:type="pct"/>
            <w:tcBorders>
              <w:top w:val="single" w:color="000000" w:sz="6" w:space="0"/>
              <w:left w:val="nil"/>
              <w:bottom w:val="single" w:color="000000" w:sz="6" w:space="0"/>
              <w:right w:val="nil"/>
            </w:tcBorders>
          </w:tcPr>
          <w:p w14:paraId="05087752">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无创血压测量系统</w:t>
            </w:r>
          </w:p>
        </w:tc>
        <w:tc>
          <w:tcPr>
            <w:tcW w:w="2090" w:type="pct"/>
            <w:tcBorders>
              <w:top w:val="single" w:color="000000" w:sz="6" w:space="0"/>
              <w:left w:val="nil"/>
              <w:bottom w:val="single" w:color="000000" w:sz="6" w:space="0"/>
              <w:right w:val="nil"/>
            </w:tcBorders>
          </w:tcPr>
          <w:p w14:paraId="1BE2F8D9">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系统、测量、血压、无创（DXN）</w:t>
            </w:r>
          </w:p>
        </w:tc>
        <w:tc>
          <w:tcPr>
            <w:tcW w:w="432" w:type="pct"/>
            <w:tcBorders>
              <w:top w:val="single" w:color="000000" w:sz="6" w:space="0"/>
              <w:left w:val="nil"/>
              <w:bottom w:val="single" w:color="000000" w:sz="6" w:space="0"/>
              <w:right w:val="nil"/>
            </w:tcBorders>
          </w:tcPr>
          <w:p w14:paraId="6ACC2DC1">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0B62248B">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52C6E7CF">
        <w:tc>
          <w:tcPr>
            <w:tcW w:w="636" w:type="pct"/>
            <w:tcBorders>
              <w:top w:val="single" w:color="000000" w:sz="6" w:space="0"/>
              <w:left w:val="single" w:color="000000" w:sz="6" w:space="0"/>
              <w:bottom w:val="single" w:color="000000" w:sz="6" w:space="0"/>
              <w:right w:val="nil"/>
            </w:tcBorders>
          </w:tcPr>
          <w:p w14:paraId="052FCFAB">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870.1875(b)</w:t>
            </w:r>
          </w:p>
        </w:tc>
        <w:tc>
          <w:tcPr>
            <w:tcW w:w="1084" w:type="pct"/>
            <w:tcBorders>
              <w:top w:val="single" w:color="000000" w:sz="6" w:space="0"/>
              <w:left w:val="nil"/>
              <w:bottom w:val="single" w:color="000000" w:sz="6" w:space="0"/>
              <w:right w:val="nil"/>
            </w:tcBorders>
          </w:tcPr>
          <w:p w14:paraId="485AFD55">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听诊器</w:t>
            </w:r>
          </w:p>
        </w:tc>
        <w:tc>
          <w:tcPr>
            <w:tcW w:w="2090" w:type="pct"/>
            <w:tcBorders>
              <w:top w:val="single" w:color="000000" w:sz="6" w:space="0"/>
              <w:left w:val="nil"/>
              <w:bottom w:val="single" w:color="000000" w:sz="6" w:space="0"/>
              <w:right w:val="nil"/>
            </w:tcBorders>
          </w:tcPr>
          <w:p w14:paraId="67EEB6BA">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肺声监听器（OCR）听诊器、电子（DQD）</w:t>
            </w:r>
          </w:p>
        </w:tc>
        <w:tc>
          <w:tcPr>
            <w:tcW w:w="432" w:type="pct"/>
            <w:tcBorders>
              <w:top w:val="single" w:color="000000" w:sz="6" w:space="0"/>
              <w:left w:val="nil"/>
              <w:bottom w:val="single" w:color="000000" w:sz="6" w:space="0"/>
              <w:right w:val="nil"/>
            </w:tcBorders>
          </w:tcPr>
          <w:p w14:paraId="1FE27439">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p w14:paraId="2F70324E">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27CF38CF">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p w14:paraId="2E053374">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3229553A">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2FD0D746">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870.2300</w:t>
            </w:r>
          </w:p>
        </w:tc>
        <w:tc>
          <w:tcPr>
            <w:tcW w:w="1084" w:type="pct"/>
            <w:tcBorders>
              <w:top w:val="single" w:color="000000" w:sz="6" w:space="0"/>
              <w:left w:val="nil"/>
              <w:bottom w:val="single" w:color="000000" w:sz="6" w:space="0"/>
              <w:right w:val="nil"/>
            </w:tcBorders>
          </w:tcPr>
          <w:p w14:paraId="360D1064">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心脏监护仪（包括心率表和速率报警器）</w:t>
            </w:r>
          </w:p>
        </w:tc>
        <w:tc>
          <w:tcPr>
            <w:tcW w:w="2090" w:type="pct"/>
            <w:tcBorders>
              <w:top w:val="single" w:color="000000" w:sz="6" w:space="0"/>
              <w:left w:val="nil"/>
              <w:bottom w:val="single" w:color="000000" w:sz="6" w:space="0"/>
              <w:right w:val="nil"/>
            </w:tcBorders>
          </w:tcPr>
          <w:p w14:paraId="17E6F2AA">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监护仪、心脏（含心率表和速率报警器）（DRT）</w:t>
            </w:r>
          </w:p>
          <w:p w14:paraId="29B2B444">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监护仪、生理、患者（无心律失常检测或报警）（MWI）</w:t>
            </w:r>
          </w:p>
          <w:p w14:paraId="54BD0AD2">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系统、网络和通信、生理监护仪（MSX）</w:t>
            </w:r>
          </w:p>
        </w:tc>
        <w:tc>
          <w:tcPr>
            <w:tcW w:w="432" w:type="pct"/>
            <w:tcBorders>
              <w:top w:val="single" w:color="000000" w:sz="6" w:space="0"/>
              <w:left w:val="nil"/>
              <w:bottom w:val="single" w:color="000000" w:sz="6" w:space="0"/>
              <w:right w:val="nil"/>
            </w:tcBorders>
          </w:tcPr>
          <w:p w14:paraId="396D55A1">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p w14:paraId="5DA12C93">
            <w:pPr>
              <w:pStyle w:val="20"/>
              <w:snapToGrid w:val="0"/>
              <w:spacing w:before="36" w:beforeLines="15" w:after="36" w:afterLines="15" w:line="280" w:lineRule="exact"/>
              <w:jc w:val="center"/>
              <w:rPr>
                <w:rFonts w:ascii="Arial" w:hAnsi="Arial" w:eastAsia="宋体" w:cs="Arial"/>
                <w:sz w:val="20"/>
                <w:szCs w:val="20"/>
              </w:rPr>
            </w:pPr>
          </w:p>
          <w:p w14:paraId="65167B32">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p w14:paraId="04465C5E">
            <w:pPr>
              <w:pStyle w:val="20"/>
              <w:snapToGrid w:val="0"/>
              <w:spacing w:before="36" w:beforeLines="15" w:after="36" w:afterLines="15" w:line="280" w:lineRule="exact"/>
              <w:jc w:val="center"/>
              <w:rPr>
                <w:rFonts w:ascii="Arial" w:hAnsi="Arial" w:eastAsia="宋体" w:cs="Arial"/>
                <w:sz w:val="19"/>
                <w:szCs w:val="19"/>
              </w:rPr>
            </w:pPr>
          </w:p>
          <w:p w14:paraId="6A1E6A62">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2C8BB35A">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p w14:paraId="21FD55B2">
            <w:pPr>
              <w:pStyle w:val="20"/>
              <w:snapToGrid w:val="0"/>
              <w:spacing w:before="36" w:beforeLines="15" w:after="36" w:afterLines="15" w:line="280" w:lineRule="exact"/>
              <w:jc w:val="both"/>
              <w:rPr>
                <w:rFonts w:ascii="Arial" w:hAnsi="Arial" w:eastAsia="宋体" w:cs="Arial"/>
                <w:sz w:val="20"/>
                <w:szCs w:val="20"/>
              </w:rPr>
            </w:pPr>
          </w:p>
          <w:p w14:paraId="79A29E42">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p w14:paraId="6987921C">
            <w:pPr>
              <w:pStyle w:val="20"/>
              <w:snapToGrid w:val="0"/>
              <w:spacing w:before="36" w:beforeLines="15" w:after="36" w:afterLines="15" w:line="280" w:lineRule="exact"/>
              <w:jc w:val="both"/>
              <w:rPr>
                <w:rFonts w:ascii="Arial" w:hAnsi="Arial" w:eastAsia="宋体" w:cs="Arial"/>
                <w:sz w:val="19"/>
                <w:szCs w:val="19"/>
              </w:rPr>
            </w:pPr>
          </w:p>
          <w:p w14:paraId="5DFF800B">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7162B48B">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61D91535">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870.2340</w:t>
            </w:r>
          </w:p>
        </w:tc>
        <w:tc>
          <w:tcPr>
            <w:tcW w:w="1084" w:type="pct"/>
            <w:tcBorders>
              <w:top w:val="single" w:color="000000" w:sz="6" w:space="0"/>
              <w:left w:val="nil"/>
              <w:bottom w:val="single" w:color="000000" w:sz="6" w:space="0"/>
              <w:right w:val="nil"/>
            </w:tcBorders>
          </w:tcPr>
          <w:p w14:paraId="26B7D5FE">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心电图仪</w:t>
            </w:r>
          </w:p>
        </w:tc>
        <w:tc>
          <w:tcPr>
            <w:tcW w:w="2090" w:type="pct"/>
            <w:tcBorders>
              <w:top w:val="single" w:color="000000" w:sz="6" w:space="0"/>
              <w:left w:val="nil"/>
              <w:bottom w:val="single" w:color="000000" w:sz="6" w:space="0"/>
              <w:right w:val="nil"/>
            </w:tcBorders>
          </w:tcPr>
          <w:p w14:paraId="660EBBF3">
            <w:pPr>
              <w:pStyle w:val="20"/>
              <w:snapToGrid w:val="0"/>
              <w:spacing w:before="36" w:beforeLines="15" w:after="36" w:afterLines="15" w:line="280" w:lineRule="exact"/>
              <w:jc w:val="both"/>
              <w:rPr>
                <w:rFonts w:ascii="Arial" w:hAnsi="Arial" w:eastAsia="宋体" w:cs="Arial"/>
                <w:sz w:val="20"/>
                <w:lang w:eastAsia="zh-CN"/>
              </w:rPr>
            </w:pPr>
            <w:r>
              <w:rPr>
                <w:rFonts w:ascii="Arial" w:hAnsi="Arial" w:eastAsia="宋体" w:cs="Arial"/>
                <w:sz w:val="20"/>
                <w:lang w:eastAsia="zh-CN"/>
              </w:rPr>
              <w:t>监护仪、St段（MLC）单导管场心电图仪（OEY）</w:t>
            </w:r>
          </w:p>
        </w:tc>
        <w:tc>
          <w:tcPr>
            <w:tcW w:w="432" w:type="pct"/>
            <w:tcBorders>
              <w:top w:val="single" w:color="000000" w:sz="6" w:space="0"/>
              <w:left w:val="nil"/>
              <w:bottom w:val="single" w:color="000000" w:sz="6" w:space="0"/>
              <w:right w:val="nil"/>
            </w:tcBorders>
          </w:tcPr>
          <w:p w14:paraId="270B3CEC">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p w14:paraId="5DBB9E52">
            <w:pPr>
              <w:pStyle w:val="20"/>
              <w:snapToGrid w:val="0"/>
              <w:spacing w:before="36" w:beforeLines="15" w:after="36" w:afterLines="15" w:line="280" w:lineRule="exact"/>
              <w:jc w:val="center"/>
              <w:rPr>
                <w:rFonts w:ascii="Arial" w:hAnsi="Arial" w:eastAsia="宋体" w:cs="Arial"/>
                <w:sz w:val="20"/>
                <w:szCs w:val="20"/>
              </w:rPr>
            </w:pPr>
          </w:p>
          <w:p w14:paraId="2C576973">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37399F48">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p w14:paraId="5C835164">
            <w:pPr>
              <w:pStyle w:val="20"/>
              <w:snapToGrid w:val="0"/>
              <w:spacing w:before="36" w:beforeLines="15" w:after="36" w:afterLines="15" w:line="280" w:lineRule="exact"/>
              <w:jc w:val="both"/>
              <w:rPr>
                <w:rFonts w:ascii="Arial" w:hAnsi="Arial" w:eastAsia="宋体" w:cs="Arial"/>
                <w:sz w:val="20"/>
                <w:szCs w:val="20"/>
              </w:rPr>
            </w:pPr>
          </w:p>
          <w:p w14:paraId="78723C58">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r w14:paraId="393C928F">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264A9E46">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pacing w:val="-1"/>
                <w:sz w:val="20"/>
              </w:rPr>
              <w:t>870.2700</w:t>
            </w:r>
          </w:p>
        </w:tc>
        <w:tc>
          <w:tcPr>
            <w:tcW w:w="1084" w:type="pct"/>
            <w:tcBorders>
              <w:top w:val="single" w:color="000000" w:sz="6" w:space="0"/>
              <w:left w:val="nil"/>
              <w:bottom w:val="single" w:color="000000" w:sz="6" w:space="0"/>
              <w:right w:val="nil"/>
            </w:tcBorders>
          </w:tcPr>
          <w:p w14:paraId="10C7DF1F">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血氧计</w:t>
            </w:r>
          </w:p>
        </w:tc>
        <w:tc>
          <w:tcPr>
            <w:tcW w:w="2090" w:type="pct"/>
            <w:tcBorders>
              <w:top w:val="single" w:color="000000" w:sz="6" w:space="0"/>
              <w:left w:val="nil"/>
              <w:bottom w:val="single" w:color="000000" w:sz="6" w:space="0"/>
              <w:right w:val="nil"/>
            </w:tcBorders>
          </w:tcPr>
          <w:p w14:paraId="1BF675DC">
            <w:pPr>
              <w:pStyle w:val="20"/>
              <w:snapToGrid w:val="0"/>
              <w:spacing w:before="36" w:beforeLines="15" w:after="36" w:afterLines="15" w:line="280" w:lineRule="exact"/>
              <w:jc w:val="both"/>
              <w:rPr>
                <w:rFonts w:ascii="Arial" w:hAnsi="Arial" w:eastAsia="宋体" w:cs="Arial"/>
                <w:sz w:val="20"/>
              </w:rPr>
            </w:pPr>
            <w:r>
              <w:rPr>
                <w:rFonts w:ascii="Arial" w:hAnsi="Arial" w:eastAsia="宋体" w:cs="Arial"/>
                <w:sz w:val="20"/>
              </w:rPr>
              <w:t>血氧计（DQA）</w:t>
            </w:r>
          </w:p>
        </w:tc>
        <w:tc>
          <w:tcPr>
            <w:tcW w:w="432" w:type="pct"/>
            <w:tcBorders>
              <w:top w:val="single" w:color="000000" w:sz="6" w:space="0"/>
              <w:left w:val="nil"/>
              <w:bottom w:val="single" w:color="000000" w:sz="6" w:space="0"/>
              <w:right w:val="nil"/>
            </w:tcBorders>
          </w:tcPr>
          <w:p w14:paraId="101B91B9">
            <w:pPr>
              <w:pStyle w:val="20"/>
              <w:snapToGrid w:val="0"/>
              <w:spacing w:before="36" w:beforeLines="15" w:after="36" w:afterLines="15"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1C41C489">
            <w:pPr>
              <w:pStyle w:val="20"/>
              <w:snapToGrid w:val="0"/>
              <w:spacing w:before="36" w:beforeLines="15" w:after="36" w:afterLines="15" w:line="280" w:lineRule="exact"/>
              <w:jc w:val="both"/>
              <w:rPr>
                <w:rFonts w:ascii="Arial" w:hAnsi="Arial" w:eastAsia="宋体" w:cs="Arial"/>
                <w:sz w:val="20"/>
                <w:szCs w:val="20"/>
              </w:rPr>
            </w:pPr>
            <w:r>
              <w:rPr>
                <w:rFonts w:ascii="Arial" w:hAnsi="Arial" w:eastAsia="宋体" w:cs="Arial"/>
                <w:sz w:val="20"/>
              </w:rPr>
              <w:t>510(k)</w:t>
            </w:r>
          </w:p>
        </w:tc>
      </w:tr>
    </w:tbl>
    <w:p w14:paraId="564A49FF">
      <w:pPr>
        <w:snapToGrid w:val="0"/>
        <w:spacing w:line="300" w:lineRule="auto"/>
        <w:jc w:val="both"/>
        <w:rPr>
          <w:rFonts w:ascii="Arial" w:hAnsi="Arial" w:eastAsia="宋体" w:cs="Arial"/>
          <w:sz w:val="20"/>
          <w:szCs w:val="20"/>
        </w:rPr>
        <w:sectPr>
          <w:pgSz w:w="12260" w:h="15840"/>
          <w:pgMar w:top="1134" w:right="1134" w:bottom="1134" w:left="1134" w:header="748" w:footer="773" w:gutter="0"/>
          <w:cols w:space="720" w:num="1"/>
          <w:docGrid w:linePitch="299" w:charSpace="0"/>
        </w:sectPr>
      </w:pPr>
    </w:p>
    <w:tbl>
      <w:tblPr>
        <w:tblStyle w:val="18"/>
        <w:tblW w:w="5000" w:type="pct"/>
        <w:tblInd w:w="0" w:type="dxa"/>
        <w:tblLayout w:type="autofit"/>
        <w:tblCellMar>
          <w:top w:w="0" w:type="dxa"/>
          <w:left w:w="0" w:type="dxa"/>
          <w:bottom w:w="0" w:type="dxa"/>
          <w:right w:w="0" w:type="dxa"/>
        </w:tblCellMar>
      </w:tblPr>
      <w:tblGrid>
        <w:gridCol w:w="1272"/>
        <w:gridCol w:w="2180"/>
        <w:gridCol w:w="4099"/>
        <w:gridCol w:w="934"/>
        <w:gridCol w:w="1517"/>
      </w:tblGrid>
      <w:tr w14:paraId="3822CF01">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32EA8F32">
            <w:pPr>
              <w:pStyle w:val="20"/>
              <w:snapToGrid w:val="0"/>
              <w:spacing w:before="36" w:beforeLines="15" w:after="36" w:afterLines="15" w:line="24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法规编号</w:t>
            </w:r>
          </w:p>
        </w:tc>
        <w:tc>
          <w:tcPr>
            <w:tcW w:w="1090" w:type="pct"/>
            <w:tcBorders>
              <w:top w:val="single" w:color="000000" w:sz="6" w:space="0"/>
              <w:left w:val="nil"/>
              <w:bottom w:val="single" w:color="000000" w:sz="6" w:space="0"/>
              <w:right w:val="nil"/>
            </w:tcBorders>
          </w:tcPr>
          <w:p w14:paraId="3C8CCB9E">
            <w:pPr>
              <w:pStyle w:val="20"/>
              <w:snapToGrid w:val="0"/>
              <w:spacing w:before="36" w:beforeLines="15" w:after="36" w:afterLines="15" w:line="24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法规说明</w:t>
            </w:r>
          </w:p>
        </w:tc>
        <w:tc>
          <w:tcPr>
            <w:tcW w:w="2049" w:type="pct"/>
            <w:tcBorders>
              <w:top w:val="single" w:color="000000" w:sz="6" w:space="0"/>
              <w:left w:val="nil"/>
              <w:bottom w:val="single" w:color="000000" w:sz="6" w:space="0"/>
              <w:right w:val="nil"/>
            </w:tcBorders>
          </w:tcPr>
          <w:p w14:paraId="6EBED50F">
            <w:pPr>
              <w:pStyle w:val="20"/>
              <w:snapToGrid w:val="0"/>
              <w:spacing w:before="36" w:beforeLines="15" w:after="36" w:afterLines="15" w:line="24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法规中的示例器械（和当前产品代码）</w:t>
            </w:r>
          </w:p>
        </w:tc>
        <w:tc>
          <w:tcPr>
            <w:tcW w:w="467" w:type="pct"/>
            <w:tcBorders>
              <w:top w:val="single" w:color="000000" w:sz="6" w:space="0"/>
              <w:left w:val="nil"/>
              <w:bottom w:val="single" w:color="000000" w:sz="6" w:space="0"/>
              <w:right w:val="nil"/>
            </w:tcBorders>
          </w:tcPr>
          <w:p w14:paraId="3BD00884">
            <w:pPr>
              <w:pStyle w:val="20"/>
              <w:snapToGrid w:val="0"/>
              <w:spacing w:before="36" w:beforeLines="15" w:after="36" w:afterLines="15" w:line="24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器械类别</w:t>
            </w:r>
          </w:p>
        </w:tc>
        <w:tc>
          <w:tcPr>
            <w:tcW w:w="758" w:type="pct"/>
            <w:tcBorders>
              <w:top w:val="single" w:color="000000" w:sz="6" w:space="0"/>
              <w:left w:val="nil"/>
              <w:bottom w:val="single" w:color="000000" w:sz="6" w:space="0"/>
              <w:right w:val="single" w:color="auto" w:sz="4" w:space="0"/>
            </w:tcBorders>
          </w:tcPr>
          <w:p w14:paraId="551A4E21">
            <w:pPr>
              <w:pStyle w:val="20"/>
              <w:snapToGrid w:val="0"/>
              <w:spacing w:before="36" w:beforeLines="15" w:after="36" w:afterLines="15" w:line="24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提交材料类型</w:t>
            </w:r>
          </w:p>
        </w:tc>
      </w:tr>
      <w:tr w14:paraId="54B6CF54">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50E2FB88">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870.2770</w:t>
            </w:r>
          </w:p>
        </w:tc>
        <w:tc>
          <w:tcPr>
            <w:tcW w:w="1090" w:type="pct"/>
            <w:tcBorders>
              <w:top w:val="single" w:color="000000" w:sz="6" w:space="0"/>
              <w:left w:val="nil"/>
              <w:bottom w:val="nil"/>
              <w:right w:val="nil"/>
            </w:tcBorders>
          </w:tcPr>
          <w:p w14:paraId="725AFFAB">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阻抗</w:t>
            </w:r>
          </w:p>
        </w:tc>
        <w:tc>
          <w:tcPr>
            <w:tcW w:w="2049" w:type="pct"/>
            <w:tcBorders>
              <w:top w:val="single" w:color="000000" w:sz="6" w:space="0"/>
              <w:left w:val="nil"/>
              <w:bottom w:val="nil"/>
              <w:right w:val="nil"/>
            </w:tcBorders>
          </w:tcPr>
          <w:p w14:paraId="61274975">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分析仪、身体成分（MNW）</w:t>
            </w:r>
          </w:p>
        </w:tc>
        <w:tc>
          <w:tcPr>
            <w:tcW w:w="467" w:type="pct"/>
            <w:tcBorders>
              <w:top w:val="single" w:color="000000" w:sz="6" w:space="0"/>
              <w:left w:val="nil"/>
              <w:bottom w:val="nil"/>
              <w:right w:val="nil"/>
            </w:tcBorders>
          </w:tcPr>
          <w:p w14:paraId="36EB4C3E">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2781597C">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49FBE262">
        <w:tblPrEx>
          <w:tblCellMar>
            <w:top w:w="0" w:type="dxa"/>
            <w:left w:w="0" w:type="dxa"/>
            <w:bottom w:w="0" w:type="dxa"/>
            <w:right w:w="0" w:type="dxa"/>
          </w:tblCellMar>
        </w:tblPrEx>
        <w:tc>
          <w:tcPr>
            <w:tcW w:w="636" w:type="pct"/>
            <w:tcBorders>
              <w:top w:val="nil"/>
              <w:left w:val="single" w:color="auto" w:sz="4" w:space="0"/>
              <w:bottom w:val="single" w:color="000000" w:sz="6" w:space="0"/>
              <w:right w:val="nil"/>
            </w:tcBorders>
          </w:tcPr>
          <w:p w14:paraId="7D0E3130">
            <w:pPr>
              <w:snapToGrid w:val="0"/>
              <w:spacing w:before="36" w:beforeLines="15" w:after="36" w:afterLines="15" w:line="240" w:lineRule="exact"/>
              <w:jc w:val="both"/>
              <w:rPr>
                <w:rFonts w:ascii="Arial" w:hAnsi="Arial" w:eastAsia="宋体" w:cs="Arial"/>
              </w:rPr>
            </w:pPr>
          </w:p>
        </w:tc>
        <w:tc>
          <w:tcPr>
            <w:tcW w:w="1090" w:type="pct"/>
            <w:tcBorders>
              <w:top w:val="nil"/>
              <w:left w:val="nil"/>
              <w:bottom w:val="single" w:color="000000" w:sz="6" w:space="0"/>
              <w:right w:val="nil"/>
            </w:tcBorders>
          </w:tcPr>
          <w:p w14:paraId="23A30BA5">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体积描记器</w:t>
            </w:r>
          </w:p>
        </w:tc>
        <w:tc>
          <w:tcPr>
            <w:tcW w:w="2049" w:type="pct"/>
            <w:tcBorders>
              <w:top w:val="nil"/>
              <w:left w:val="nil"/>
              <w:bottom w:val="single" w:color="000000" w:sz="6" w:space="0"/>
              <w:right w:val="nil"/>
            </w:tcBorders>
          </w:tcPr>
          <w:p w14:paraId="049788F5">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single" w:color="000000" w:sz="6" w:space="0"/>
              <w:right w:val="nil"/>
            </w:tcBorders>
          </w:tcPr>
          <w:p w14:paraId="5647FF6B">
            <w:pPr>
              <w:snapToGrid w:val="0"/>
              <w:spacing w:before="36" w:beforeLines="15" w:after="36" w:afterLines="15" w:line="240" w:lineRule="exact"/>
              <w:jc w:val="center"/>
              <w:rPr>
                <w:rFonts w:ascii="Arial" w:hAnsi="Arial" w:eastAsia="宋体" w:cs="Arial"/>
              </w:rPr>
            </w:pPr>
          </w:p>
        </w:tc>
        <w:tc>
          <w:tcPr>
            <w:tcW w:w="758" w:type="pct"/>
            <w:tcBorders>
              <w:top w:val="nil"/>
              <w:left w:val="nil"/>
              <w:bottom w:val="single" w:color="000000" w:sz="6" w:space="0"/>
              <w:right w:val="single" w:color="auto" w:sz="4" w:space="0"/>
            </w:tcBorders>
          </w:tcPr>
          <w:p w14:paraId="0AA2FA9E">
            <w:pPr>
              <w:snapToGrid w:val="0"/>
              <w:spacing w:before="36" w:beforeLines="15" w:after="36" w:afterLines="15" w:line="240" w:lineRule="exact"/>
              <w:jc w:val="both"/>
              <w:rPr>
                <w:rFonts w:ascii="Arial" w:hAnsi="Arial" w:eastAsia="宋体" w:cs="Arial"/>
              </w:rPr>
            </w:pPr>
          </w:p>
        </w:tc>
      </w:tr>
      <w:tr w14:paraId="6976026F">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59A5154F">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870.2800</w:t>
            </w:r>
          </w:p>
        </w:tc>
        <w:tc>
          <w:tcPr>
            <w:tcW w:w="1090" w:type="pct"/>
            <w:tcBorders>
              <w:top w:val="single" w:color="000000" w:sz="6" w:space="0"/>
              <w:left w:val="nil"/>
              <w:bottom w:val="nil"/>
              <w:right w:val="nil"/>
            </w:tcBorders>
          </w:tcPr>
          <w:p w14:paraId="7016E727">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医用磁带</w:t>
            </w:r>
          </w:p>
        </w:tc>
        <w:tc>
          <w:tcPr>
            <w:tcW w:w="2049" w:type="pct"/>
            <w:vMerge w:val="restart"/>
            <w:tcBorders>
              <w:top w:val="single" w:color="000000" w:sz="6" w:space="0"/>
              <w:left w:val="nil"/>
              <w:right w:val="nil"/>
            </w:tcBorders>
          </w:tcPr>
          <w:p w14:paraId="2B06D366">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心电图、动态、分析算法（MLO）</w:t>
            </w:r>
          </w:p>
          <w:p w14:paraId="083AA36B">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记录仪、事件、植入式心脏、</w:t>
            </w:r>
          </w:p>
        </w:tc>
        <w:tc>
          <w:tcPr>
            <w:tcW w:w="467" w:type="pct"/>
            <w:tcBorders>
              <w:top w:val="single" w:color="000000" w:sz="6" w:space="0"/>
              <w:left w:val="nil"/>
              <w:bottom w:val="nil"/>
              <w:right w:val="nil"/>
            </w:tcBorders>
          </w:tcPr>
          <w:p w14:paraId="714BA8BB">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6BAD456A">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1588311B">
        <w:tblPrEx>
          <w:tblCellMar>
            <w:top w:w="0" w:type="dxa"/>
            <w:left w:w="0" w:type="dxa"/>
            <w:bottom w:w="0" w:type="dxa"/>
            <w:right w:w="0" w:type="dxa"/>
          </w:tblCellMar>
        </w:tblPrEx>
        <w:tc>
          <w:tcPr>
            <w:tcW w:w="636" w:type="pct"/>
            <w:tcBorders>
              <w:top w:val="nil"/>
              <w:left w:val="single" w:color="auto" w:sz="4" w:space="0"/>
              <w:bottom w:val="nil"/>
              <w:right w:val="nil"/>
            </w:tcBorders>
          </w:tcPr>
          <w:p w14:paraId="48FABDA7">
            <w:pPr>
              <w:snapToGrid w:val="0"/>
              <w:spacing w:before="36" w:beforeLines="15" w:after="36" w:afterLines="15" w:line="240" w:lineRule="exact"/>
              <w:jc w:val="both"/>
              <w:rPr>
                <w:rFonts w:ascii="Arial" w:hAnsi="Arial" w:eastAsia="宋体" w:cs="Arial"/>
              </w:rPr>
            </w:pPr>
          </w:p>
        </w:tc>
        <w:tc>
          <w:tcPr>
            <w:tcW w:w="1090" w:type="pct"/>
            <w:tcBorders>
              <w:top w:val="nil"/>
              <w:left w:val="nil"/>
              <w:bottom w:val="nil"/>
              <w:right w:val="nil"/>
            </w:tcBorders>
          </w:tcPr>
          <w:p w14:paraId="5684289C">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录音机</w:t>
            </w:r>
          </w:p>
        </w:tc>
        <w:tc>
          <w:tcPr>
            <w:tcW w:w="2049" w:type="pct"/>
            <w:vMerge w:val="continue"/>
            <w:tcBorders>
              <w:left w:val="nil"/>
              <w:right w:val="nil"/>
            </w:tcBorders>
          </w:tcPr>
          <w:p w14:paraId="5718CE1E">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nil"/>
              <w:right w:val="nil"/>
            </w:tcBorders>
          </w:tcPr>
          <w:p w14:paraId="055930AC">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nil"/>
              <w:left w:val="nil"/>
              <w:bottom w:val="nil"/>
              <w:right w:val="single" w:color="auto" w:sz="4" w:space="0"/>
            </w:tcBorders>
          </w:tcPr>
          <w:p w14:paraId="01534B0D">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35C37070">
        <w:tblPrEx>
          <w:tblCellMar>
            <w:top w:w="0" w:type="dxa"/>
            <w:left w:w="0" w:type="dxa"/>
            <w:bottom w:w="0" w:type="dxa"/>
            <w:right w:w="0" w:type="dxa"/>
          </w:tblCellMar>
        </w:tblPrEx>
        <w:tc>
          <w:tcPr>
            <w:tcW w:w="5000" w:type="pct"/>
            <w:gridSpan w:val="5"/>
            <w:tcBorders>
              <w:top w:val="nil"/>
              <w:left w:val="single" w:color="auto" w:sz="4" w:space="0"/>
              <w:bottom w:val="single" w:color="000000" w:sz="6" w:space="0"/>
              <w:right w:val="single" w:color="auto" w:sz="4" w:space="0"/>
            </w:tcBorders>
          </w:tcPr>
          <w:p w14:paraId="6FC6F124">
            <w:pPr>
              <w:pStyle w:val="20"/>
              <w:snapToGrid w:val="0"/>
              <w:spacing w:before="36" w:beforeLines="15" w:after="36" w:afterLines="15" w:line="240" w:lineRule="exact"/>
              <w:jc w:val="center"/>
              <w:rPr>
                <w:rFonts w:ascii="Arial" w:hAnsi="Arial" w:eastAsia="宋体" w:cs="Arial"/>
                <w:sz w:val="20"/>
                <w:lang w:eastAsia="zh-CN"/>
              </w:rPr>
            </w:pPr>
            <w:r>
              <w:rPr>
                <w:rFonts w:ascii="Arial" w:hAnsi="Arial" w:eastAsia="宋体" w:cs="Arial"/>
                <w:sz w:val="20"/>
                <w:lang w:eastAsia="zh-CN"/>
              </w:rPr>
              <w:t>(无心律失常检测) (MXC)</w:t>
            </w:r>
          </w:p>
        </w:tc>
      </w:tr>
      <w:tr w14:paraId="115F480F">
        <w:tblPrEx>
          <w:tblCellMar>
            <w:top w:w="0" w:type="dxa"/>
            <w:left w:w="0" w:type="dxa"/>
            <w:bottom w:w="0" w:type="dxa"/>
            <w:right w:w="0" w:type="dxa"/>
          </w:tblCellMar>
        </w:tblPrEx>
        <w:tc>
          <w:tcPr>
            <w:tcW w:w="636" w:type="pct"/>
            <w:tcBorders>
              <w:top w:val="nil"/>
              <w:left w:val="single" w:color="auto" w:sz="4" w:space="0"/>
              <w:bottom w:val="nil"/>
              <w:right w:val="nil"/>
            </w:tcBorders>
          </w:tcPr>
          <w:p w14:paraId="74F0F9EA">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874.1050</w:t>
            </w:r>
          </w:p>
        </w:tc>
        <w:tc>
          <w:tcPr>
            <w:tcW w:w="1090" w:type="pct"/>
            <w:tcBorders>
              <w:top w:val="nil"/>
              <w:left w:val="nil"/>
              <w:bottom w:val="nil"/>
              <w:right w:val="nil"/>
            </w:tcBorders>
          </w:tcPr>
          <w:p w14:paraId="42B1AD92">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听力计</w:t>
            </w:r>
          </w:p>
        </w:tc>
        <w:tc>
          <w:tcPr>
            <w:tcW w:w="2049" w:type="pct"/>
            <w:tcBorders>
              <w:top w:val="nil"/>
              <w:left w:val="nil"/>
              <w:bottom w:val="nil"/>
              <w:right w:val="nil"/>
            </w:tcBorders>
          </w:tcPr>
          <w:p w14:paraId="6D2B2A14">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听力计（EWO）</w:t>
            </w:r>
          </w:p>
        </w:tc>
        <w:tc>
          <w:tcPr>
            <w:tcW w:w="467" w:type="pct"/>
            <w:tcBorders>
              <w:top w:val="nil"/>
              <w:left w:val="nil"/>
              <w:bottom w:val="nil"/>
              <w:right w:val="nil"/>
            </w:tcBorders>
          </w:tcPr>
          <w:p w14:paraId="06DADE09">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nil"/>
              <w:left w:val="nil"/>
              <w:bottom w:val="nil"/>
              <w:right w:val="single" w:color="auto" w:sz="4" w:space="0"/>
            </w:tcBorders>
          </w:tcPr>
          <w:p w14:paraId="6E1FA47D">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r>
              <w:rPr>
                <w:rFonts w:ascii="Arial" w:hAnsi="Arial" w:eastAsia="宋体" w:cs="Arial"/>
                <w:spacing w:val="-4"/>
                <w:sz w:val="20"/>
              </w:rPr>
              <w:t xml:space="preserve"> </w:t>
            </w:r>
            <w:r>
              <w:rPr>
                <w:rFonts w:ascii="Arial" w:hAnsi="Arial" w:eastAsia="宋体" w:cs="Arial"/>
                <w:sz w:val="20"/>
              </w:rPr>
              <w:t>or</w:t>
            </w:r>
          </w:p>
        </w:tc>
      </w:tr>
      <w:tr w14:paraId="764E7F24">
        <w:tblPrEx>
          <w:tblCellMar>
            <w:top w:w="0" w:type="dxa"/>
            <w:left w:w="0" w:type="dxa"/>
            <w:bottom w:w="0" w:type="dxa"/>
            <w:right w:w="0" w:type="dxa"/>
          </w:tblCellMar>
        </w:tblPrEx>
        <w:tc>
          <w:tcPr>
            <w:tcW w:w="636" w:type="pct"/>
            <w:tcBorders>
              <w:top w:val="nil"/>
              <w:left w:val="single" w:color="auto" w:sz="4" w:space="0"/>
              <w:bottom w:val="single" w:color="000000" w:sz="6" w:space="0"/>
              <w:right w:val="nil"/>
            </w:tcBorders>
          </w:tcPr>
          <w:p w14:paraId="2D3E367E">
            <w:pPr>
              <w:snapToGrid w:val="0"/>
              <w:spacing w:before="36" w:beforeLines="15" w:after="36" w:afterLines="15" w:line="240" w:lineRule="exact"/>
              <w:jc w:val="both"/>
              <w:rPr>
                <w:rFonts w:ascii="Arial" w:hAnsi="Arial" w:eastAsia="宋体" w:cs="Arial"/>
              </w:rPr>
            </w:pPr>
          </w:p>
        </w:tc>
        <w:tc>
          <w:tcPr>
            <w:tcW w:w="1090" w:type="pct"/>
            <w:tcBorders>
              <w:top w:val="nil"/>
              <w:left w:val="nil"/>
              <w:bottom w:val="single" w:color="000000" w:sz="6" w:space="0"/>
              <w:right w:val="nil"/>
            </w:tcBorders>
          </w:tcPr>
          <w:p w14:paraId="7F3AB97E">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single" w:color="000000" w:sz="6" w:space="0"/>
              <w:right w:val="nil"/>
            </w:tcBorders>
          </w:tcPr>
          <w:p w14:paraId="42201842">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single" w:color="000000" w:sz="6" w:space="0"/>
              <w:right w:val="nil"/>
            </w:tcBorders>
          </w:tcPr>
          <w:p w14:paraId="2B4918A6">
            <w:pPr>
              <w:snapToGrid w:val="0"/>
              <w:spacing w:before="36" w:beforeLines="15" w:after="36" w:afterLines="15" w:line="240" w:lineRule="exact"/>
              <w:jc w:val="center"/>
              <w:rPr>
                <w:rFonts w:ascii="Arial" w:hAnsi="Arial" w:eastAsia="宋体" w:cs="Arial"/>
              </w:rPr>
            </w:pPr>
          </w:p>
        </w:tc>
        <w:tc>
          <w:tcPr>
            <w:tcW w:w="758" w:type="pct"/>
            <w:tcBorders>
              <w:top w:val="nil"/>
              <w:left w:val="nil"/>
              <w:bottom w:val="single" w:color="000000" w:sz="6" w:space="0"/>
              <w:right w:val="single" w:color="auto" w:sz="4" w:space="0"/>
            </w:tcBorders>
          </w:tcPr>
          <w:p w14:paraId="2409804F">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78B52FC9">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6D63BE4D">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874.3400</w:t>
            </w:r>
          </w:p>
        </w:tc>
        <w:tc>
          <w:tcPr>
            <w:tcW w:w="1090" w:type="pct"/>
            <w:tcBorders>
              <w:top w:val="single" w:color="000000" w:sz="6" w:space="0"/>
              <w:left w:val="nil"/>
              <w:bottom w:val="single" w:color="000000" w:sz="6" w:space="0"/>
              <w:right w:val="nil"/>
            </w:tcBorders>
          </w:tcPr>
          <w:p w14:paraId="74A5BAD9">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耳鸣掩蔽器</w:t>
            </w:r>
          </w:p>
        </w:tc>
        <w:tc>
          <w:tcPr>
            <w:tcW w:w="2049" w:type="pct"/>
            <w:tcBorders>
              <w:top w:val="single" w:color="000000" w:sz="6" w:space="0"/>
              <w:left w:val="nil"/>
              <w:bottom w:val="single" w:color="000000" w:sz="6" w:space="0"/>
              <w:right w:val="nil"/>
            </w:tcBorders>
          </w:tcPr>
          <w:p w14:paraId="5DD829DC">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掩蔽器、耳鸣（KLW）</w:t>
            </w:r>
          </w:p>
        </w:tc>
        <w:tc>
          <w:tcPr>
            <w:tcW w:w="467" w:type="pct"/>
            <w:tcBorders>
              <w:top w:val="single" w:color="000000" w:sz="6" w:space="0"/>
              <w:left w:val="nil"/>
              <w:bottom w:val="single" w:color="000000" w:sz="6" w:space="0"/>
              <w:right w:val="nil"/>
            </w:tcBorders>
          </w:tcPr>
          <w:p w14:paraId="328B0029">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auto" w:sz="4" w:space="0"/>
            </w:tcBorders>
          </w:tcPr>
          <w:p w14:paraId="2551F2B5">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08DBFA51">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32469E1B">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874.4770</w:t>
            </w:r>
          </w:p>
        </w:tc>
        <w:tc>
          <w:tcPr>
            <w:tcW w:w="1090" w:type="pct"/>
            <w:tcBorders>
              <w:top w:val="single" w:color="000000" w:sz="6" w:space="0"/>
              <w:left w:val="nil"/>
              <w:bottom w:val="single" w:color="000000" w:sz="6" w:space="0"/>
              <w:right w:val="nil"/>
            </w:tcBorders>
          </w:tcPr>
          <w:p w14:paraId="1FB1F88B">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耳镜</w:t>
            </w:r>
          </w:p>
        </w:tc>
        <w:tc>
          <w:tcPr>
            <w:tcW w:w="2049" w:type="pct"/>
            <w:tcBorders>
              <w:top w:val="single" w:color="000000" w:sz="6" w:space="0"/>
              <w:left w:val="nil"/>
              <w:bottom w:val="single" w:color="000000" w:sz="6" w:space="0"/>
              <w:right w:val="nil"/>
            </w:tcBorders>
          </w:tcPr>
          <w:p w14:paraId="57D1E6ED">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耳镜（ERA）</w:t>
            </w:r>
          </w:p>
        </w:tc>
        <w:tc>
          <w:tcPr>
            <w:tcW w:w="467" w:type="pct"/>
            <w:tcBorders>
              <w:top w:val="single" w:color="000000" w:sz="6" w:space="0"/>
              <w:left w:val="nil"/>
              <w:bottom w:val="single" w:color="000000" w:sz="6" w:space="0"/>
              <w:right w:val="nil"/>
            </w:tcBorders>
          </w:tcPr>
          <w:p w14:paraId="4687E91C">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single" w:color="000000" w:sz="6" w:space="0"/>
              <w:right w:val="single" w:color="auto" w:sz="4" w:space="0"/>
            </w:tcBorders>
          </w:tcPr>
          <w:p w14:paraId="6745A4A5">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25E226F6">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051301C9">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876.1500</w:t>
            </w:r>
          </w:p>
        </w:tc>
        <w:tc>
          <w:tcPr>
            <w:tcW w:w="1090" w:type="pct"/>
            <w:tcBorders>
              <w:top w:val="single" w:color="000000" w:sz="6" w:space="0"/>
              <w:left w:val="nil"/>
              <w:bottom w:val="nil"/>
              <w:right w:val="nil"/>
            </w:tcBorders>
          </w:tcPr>
          <w:p w14:paraId="078612E5">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内镜和</w:t>
            </w:r>
          </w:p>
        </w:tc>
        <w:tc>
          <w:tcPr>
            <w:tcW w:w="2049" w:type="pct"/>
            <w:vMerge w:val="restart"/>
            <w:tcBorders>
              <w:top w:val="single" w:color="000000" w:sz="6" w:space="0"/>
              <w:left w:val="nil"/>
              <w:right w:val="nil"/>
            </w:tcBorders>
          </w:tcPr>
          <w:p w14:paraId="22F4E936">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内窥镜视频成像系统/组件、胃肠病学-泌尿学（FET）</w:t>
            </w:r>
          </w:p>
        </w:tc>
        <w:tc>
          <w:tcPr>
            <w:tcW w:w="467" w:type="pct"/>
            <w:tcBorders>
              <w:top w:val="single" w:color="000000" w:sz="6" w:space="0"/>
              <w:left w:val="nil"/>
              <w:bottom w:val="nil"/>
              <w:right w:val="nil"/>
            </w:tcBorders>
          </w:tcPr>
          <w:p w14:paraId="74958148">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0BD9775B">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4A5FB669">
        <w:tblPrEx>
          <w:tblCellMar>
            <w:top w:w="0" w:type="dxa"/>
            <w:left w:w="0" w:type="dxa"/>
            <w:bottom w:w="0" w:type="dxa"/>
            <w:right w:w="0" w:type="dxa"/>
          </w:tblCellMar>
        </w:tblPrEx>
        <w:tc>
          <w:tcPr>
            <w:tcW w:w="636" w:type="pct"/>
            <w:tcBorders>
              <w:top w:val="nil"/>
              <w:left w:val="single" w:color="auto" w:sz="4" w:space="0"/>
              <w:bottom w:val="nil"/>
              <w:right w:val="nil"/>
            </w:tcBorders>
          </w:tcPr>
          <w:p w14:paraId="306568D8">
            <w:pPr>
              <w:snapToGrid w:val="0"/>
              <w:spacing w:before="36" w:beforeLines="15" w:after="36" w:afterLines="15" w:line="240" w:lineRule="exact"/>
              <w:jc w:val="both"/>
              <w:rPr>
                <w:rFonts w:ascii="Arial" w:hAnsi="Arial" w:eastAsia="宋体" w:cs="Arial"/>
              </w:rPr>
            </w:pPr>
          </w:p>
        </w:tc>
        <w:tc>
          <w:tcPr>
            <w:tcW w:w="1090" w:type="pct"/>
            <w:tcBorders>
              <w:top w:val="nil"/>
              <w:left w:val="nil"/>
              <w:bottom w:val="nil"/>
              <w:right w:val="nil"/>
            </w:tcBorders>
          </w:tcPr>
          <w:p w14:paraId="2DD71302">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附件</w:t>
            </w:r>
          </w:p>
        </w:tc>
        <w:tc>
          <w:tcPr>
            <w:tcW w:w="2049" w:type="pct"/>
            <w:vMerge w:val="continue"/>
            <w:tcBorders>
              <w:left w:val="nil"/>
              <w:right w:val="nil"/>
            </w:tcBorders>
          </w:tcPr>
          <w:p w14:paraId="12BFCCBF">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nil"/>
              <w:right w:val="nil"/>
            </w:tcBorders>
          </w:tcPr>
          <w:p w14:paraId="4AF35EC0">
            <w:pPr>
              <w:snapToGrid w:val="0"/>
              <w:spacing w:before="36" w:beforeLines="15" w:after="36" w:afterLines="15" w:line="240" w:lineRule="exact"/>
              <w:jc w:val="both"/>
              <w:rPr>
                <w:rFonts w:ascii="Arial" w:hAnsi="Arial" w:eastAsia="宋体" w:cs="Arial"/>
              </w:rPr>
            </w:pPr>
          </w:p>
        </w:tc>
        <w:tc>
          <w:tcPr>
            <w:tcW w:w="758" w:type="pct"/>
            <w:tcBorders>
              <w:top w:val="nil"/>
              <w:left w:val="nil"/>
              <w:bottom w:val="nil"/>
              <w:right w:val="single" w:color="auto" w:sz="4" w:space="0"/>
            </w:tcBorders>
          </w:tcPr>
          <w:p w14:paraId="14CA7036">
            <w:pPr>
              <w:snapToGrid w:val="0"/>
              <w:spacing w:before="36" w:beforeLines="15" w:after="36" w:afterLines="15" w:line="240" w:lineRule="exact"/>
              <w:jc w:val="both"/>
              <w:rPr>
                <w:rFonts w:ascii="Arial" w:hAnsi="Arial" w:eastAsia="宋体" w:cs="Arial"/>
              </w:rPr>
            </w:pPr>
          </w:p>
        </w:tc>
      </w:tr>
      <w:tr w14:paraId="6277EE30">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0A311BC2">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876.1725</w:t>
            </w:r>
          </w:p>
        </w:tc>
        <w:tc>
          <w:tcPr>
            <w:tcW w:w="1090" w:type="pct"/>
            <w:vMerge w:val="restart"/>
            <w:tcBorders>
              <w:top w:val="single" w:color="000000" w:sz="6" w:space="0"/>
              <w:left w:val="nil"/>
              <w:right w:val="nil"/>
            </w:tcBorders>
          </w:tcPr>
          <w:p w14:paraId="130500D3">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胃肠动力监测系统</w:t>
            </w:r>
          </w:p>
          <w:p w14:paraId="213C864C">
            <w:pPr>
              <w:pStyle w:val="20"/>
              <w:snapToGrid w:val="0"/>
              <w:spacing w:before="36" w:beforeLines="15" w:after="36" w:afterLines="15" w:line="240" w:lineRule="exact"/>
              <w:jc w:val="both"/>
              <w:rPr>
                <w:rFonts w:ascii="Arial" w:hAnsi="Arial" w:eastAsia="宋体" w:cs="Arial"/>
                <w:sz w:val="20"/>
              </w:rPr>
            </w:pPr>
          </w:p>
        </w:tc>
        <w:tc>
          <w:tcPr>
            <w:tcW w:w="2049" w:type="pct"/>
            <w:vMerge w:val="restart"/>
            <w:tcBorders>
              <w:top w:val="single" w:color="000000" w:sz="6" w:space="0"/>
              <w:left w:val="nil"/>
              <w:right w:val="nil"/>
            </w:tcBorders>
          </w:tcPr>
          <w:p w14:paraId="08F0DEDE">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记录仪、外部、压力、放大器和传感器（FES）</w:t>
            </w:r>
          </w:p>
        </w:tc>
        <w:tc>
          <w:tcPr>
            <w:tcW w:w="467" w:type="pct"/>
            <w:tcBorders>
              <w:top w:val="single" w:color="000000" w:sz="6" w:space="0"/>
              <w:left w:val="nil"/>
              <w:bottom w:val="nil"/>
              <w:right w:val="nil"/>
            </w:tcBorders>
          </w:tcPr>
          <w:p w14:paraId="5C19CC70">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624E53CA">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25E0E3B6">
        <w:tblPrEx>
          <w:tblCellMar>
            <w:top w:w="0" w:type="dxa"/>
            <w:left w:w="0" w:type="dxa"/>
            <w:bottom w:w="0" w:type="dxa"/>
            <w:right w:w="0" w:type="dxa"/>
          </w:tblCellMar>
        </w:tblPrEx>
        <w:tc>
          <w:tcPr>
            <w:tcW w:w="636" w:type="pct"/>
            <w:tcBorders>
              <w:top w:val="nil"/>
              <w:left w:val="single" w:color="auto" w:sz="4" w:space="0"/>
              <w:bottom w:val="nil"/>
              <w:right w:val="nil"/>
            </w:tcBorders>
          </w:tcPr>
          <w:p w14:paraId="53E6CE43">
            <w:pPr>
              <w:snapToGrid w:val="0"/>
              <w:spacing w:before="36" w:beforeLines="15" w:after="36" w:afterLines="15" w:line="240" w:lineRule="exact"/>
              <w:jc w:val="both"/>
              <w:rPr>
                <w:rFonts w:ascii="Arial" w:hAnsi="Arial" w:eastAsia="宋体" w:cs="Arial"/>
              </w:rPr>
            </w:pPr>
          </w:p>
        </w:tc>
        <w:tc>
          <w:tcPr>
            <w:tcW w:w="1090" w:type="pct"/>
            <w:vMerge w:val="continue"/>
            <w:tcBorders>
              <w:left w:val="nil"/>
              <w:right w:val="nil"/>
            </w:tcBorders>
          </w:tcPr>
          <w:p w14:paraId="1E65A7F7">
            <w:pPr>
              <w:pStyle w:val="20"/>
              <w:snapToGrid w:val="0"/>
              <w:spacing w:before="36" w:beforeLines="15" w:after="36" w:afterLines="15" w:line="240" w:lineRule="exact"/>
              <w:jc w:val="both"/>
              <w:rPr>
                <w:rFonts w:ascii="Arial" w:hAnsi="Arial" w:eastAsia="宋体" w:cs="Arial"/>
                <w:sz w:val="20"/>
              </w:rPr>
            </w:pPr>
          </w:p>
        </w:tc>
        <w:tc>
          <w:tcPr>
            <w:tcW w:w="2049" w:type="pct"/>
            <w:vMerge w:val="continue"/>
            <w:tcBorders>
              <w:left w:val="nil"/>
              <w:bottom w:val="nil"/>
              <w:right w:val="nil"/>
            </w:tcBorders>
          </w:tcPr>
          <w:p w14:paraId="0ECC4785">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nil"/>
              <w:right w:val="nil"/>
            </w:tcBorders>
          </w:tcPr>
          <w:p w14:paraId="5B9BB66E">
            <w:pPr>
              <w:snapToGrid w:val="0"/>
              <w:spacing w:before="36" w:beforeLines="15" w:after="36" w:afterLines="15" w:line="240" w:lineRule="exact"/>
              <w:jc w:val="both"/>
              <w:rPr>
                <w:rFonts w:ascii="Arial" w:hAnsi="Arial" w:eastAsia="宋体" w:cs="Arial"/>
              </w:rPr>
            </w:pPr>
          </w:p>
        </w:tc>
        <w:tc>
          <w:tcPr>
            <w:tcW w:w="758" w:type="pct"/>
            <w:tcBorders>
              <w:top w:val="nil"/>
              <w:left w:val="nil"/>
              <w:bottom w:val="nil"/>
              <w:right w:val="single" w:color="auto" w:sz="4" w:space="0"/>
            </w:tcBorders>
          </w:tcPr>
          <w:p w14:paraId="18918B46">
            <w:pPr>
              <w:snapToGrid w:val="0"/>
              <w:spacing w:before="36" w:beforeLines="15" w:after="36" w:afterLines="15" w:line="240" w:lineRule="exact"/>
              <w:jc w:val="both"/>
              <w:rPr>
                <w:rFonts w:ascii="Arial" w:hAnsi="Arial" w:eastAsia="宋体" w:cs="Arial"/>
              </w:rPr>
            </w:pPr>
          </w:p>
        </w:tc>
      </w:tr>
      <w:tr w14:paraId="6F1DC108">
        <w:tc>
          <w:tcPr>
            <w:tcW w:w="636" w:type="pct"/>
            <w:tcBorders>
              <w:top w:val="single" w:color="000000" w:sz="6" w:space="0"/>
              <w:left w:val="single" w:color="auto" w:sz="4" w:space="0"/>
              <w:bottom w:val="nil"/>
              <w:right w:val="nil"/>
            </w:tcBorders>
          </w:tcPr>
          <w:p w14:paraId="490A9C84">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878.4160</w:t>
            </w:r>
          </w:p>
        </w:tc>
        <w:tc>
          <w:tcPr>
            <w:tcW w:w="1090" w:type="pct"/>
            <w:vMerge w:val="restart"/>
            <w:tcBorders>
              <w:top w:val="single" w:color="000000" w:sz="6" w:space="0"/>
              <w:left w:val="nil"/>
              <w:right w:val="nil"/>
            </w:tcBorders>
          </w:tcPr>
          <w:p w14:paraId="6B6365CF">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手术摄像头及附件</w:t>
            </w:r>
          </w:p>
        </w:tc>
        <w:tc>
          <w:tcPr>
            <w:tcW w:w="2049" w:type="pct"/>
            <w:tcBorders>
              <w:top w:val="single" w:color="000000" w:sz="6" w:space="0"/>
              <w:left w:val="nil"/>
              <w:bottom w:val="nil"/>
              <w:right w:val="nil"/>
            </w:tcBorders>
          </w:tcPr>
          <w:p w14:paraId="7F2E5EBB">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摄像头、电影、显微外科、带音频</w:t>
            </w:r>
          </w:p>
        </w:tc>
        <w:tc>
          <w:tcPr>
            <w:tcW w:w="467" w:type="pct"/>
            <w:tcBorders>
              <w:top w:val="single" w:color="000000" w:sz="6" w:space="0"/>
              <w:left w:val="nil"/>
              <w:bottom w:val="nil"/>
              <w:right w:val="nil"/>
            </w:tcBorders>
          </w:tcPr>
          <w:p w14:paraId="5D630F22">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nil"/>
              <w:right w:val="single" w:color="auto" w:sz="4" w:space="0"/>
            </w:tcBorders>
          </w:tcPr>
          <w:p w14:paraId="02ACFEA4">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1DD26451">
        <w:tblPrEx>
          <w:tblCellMar>
            <w:top w:w="0" w:type="dxa"/>
            <w:left w:w="0" w:type="dxa"/>
            <w:bottom w:w="0" w:type="dxa"/>
            <w:right w:w="0" w:type="dxa"/>
          </w:tblCellMar>
        </w:tblPrEx>
        <w:tc>
          <w:tcPr>
            <w:tcW w:w="636" w:type="pct"/>
            <w:tcBorders>
              <w:top w:val="nil"/>
              <w:left w:val="single" w:color="auto" w:sz="4" w:space="0"/>
              <w:bottom w:val="nil"/>
              <w:right w:val="nil"/>
            </w:tcBorders>
          </w:tcPr>
          <w:p w14:paraId="583D6688">
            <w:pPr>
              <w:snapToGrid w:val="0"/>
              <w:spacing w:before="36" w:beforeLines="15" w:after="36" w:afterLines="15" w:line="240" w:lineRule="exact"/>
              <w:jc w:val="both"/>
              <w:rPr>
                <w:rFonts w:ascii="Arial" w:hAnsi="Arial" w:eastAsia="宋体" w:cs="Arial"/>
              </w:rPr>
            </w:pPr>
          </w:p>
        </w:tc>
        <w:tc>
          <w:tcPr>
            <w:tcW w:w="1090" w:type="pct"/>
            <w:vMerge w:val="continue"/>
            <w:tcBorders>
              <w:left w:val="nil"/>
              <w:bottom w:val="nil"/>
              <w:right w:val="nil"/>
            </w:tcBorders>
          </w:tcPr>
          <w:p w14:paraId="7A08E681">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nil"/>
              <w:right w:val="nil"/>
            </w:tcBorders>
          </w:tcPr>
          <w:p w14:paraId="75C7F85D">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（FWK）</w:t>
            </w:r>
          </w:p>
        </w:tc>
        <w:tc>
          <w:tcPr>
            <w:tcW w:w="467" w:type="pct"/>
            <w:tcBorders>
              <w:top w:val="nil"/>
              <w:left w:val="nil"/>
              <w:bottom w:val="nil"/>
              <w:right w:val="nil"/>
            </w:tcBorders>
          </w:tcPr>
          <w:p w14:paraId="66313D3E">
            <w:pPr>
              <w:snapToGrid w:val="0"/>
              <w:spacing w:before="36" w:beforeLines="15" w:after="36" w:afterLines="15" w:line="240" w:lineRule="exact"/>
              <w:jc w:val="center"/>
              <w:rPr>
                <w:rFonts w:ascii="Arial" w:hAnsi="Arial" w:eastAsia="宋体" w:cs="Arial"/>
              </w:rPr>
            </w:pPr>
          </w:p>
        </w:tc>
        <w:tc>
          <w:tcPr>
            <w:tcW w:w="758" w:type="pct"/>
            <w:tcBorders>
              <w:top w:val="nil"/>
              <w:left w:val="nil"/>
              <w:bottom w:val="nil"/>
              <w:right w:val="single" w:color="auto" w:sz="4" w:space="0"/>
            </w:tcBorders>
          </w:tcPr>
          <w:p w14:paraId="3D988D88">
            <w:pPr>
              <w:snapToGrid w:val="0"/>
              <w:spacing w:before="36" w:beforeLines="15" w:after="36" w:afterLines="15" w:line="240" w:lineRule="exact"/>
              <w:jc w:val="both"/>
              <w:rPr>
                <w:rFonts w:ascii="Arial" w:hAnsi="Arial" w:eastAsia="宋体" w:cs="Arial"/>
              </w:rPr>
            </w:pPr>
          </w:p>
        </w:tc>
      </w:tr>
      <w:tr w14:paraId="6A9D432C">
        <w:tblPrEx>
          <w:tblCellMar>
            <w:top w:w="0" w:type="dxa"/>
            <w:left w:w="0" w:type="dxa"/>
            <w:bottom w:w="0" w:type="dxa"/>
            <w:right w:w="0" w:type="dxa"/>
          </w:tblCellMar>
        </w:tblPrEx>
        <w:tc>
          <w:tcPr>
            <w:tcW w:w="636" w:type="pct"/>
            <w:tcBorders>
              <w:top w:val="nil"/>
              <w:left w:val="single" w:color="auto" w:sz="4" w:space="0"/>
              <w:bottom w:val="nil"/>
              <w:right w:val="nil"/>
            </w:tcBorders>
          </w:tcPr>
          <w:p w14:paraId="6CABB01D">
            <w:pPr>
              <w:snapToGrid w:val="0"/>
              <w:spacing w:before="36" w:beforeLines="15" w:after="36" w:afterLines="15" w:line="240" w:lineRule="exact"/>
              <w:jc w:val="both"/>
              <w:rPr>
                <w:rFonts w:ascii="Arial" w:hAnsi="Arial" w:eastAsia="宋体" w:cs="Arial"/>
              </w:rPr>
            </w:pPr>
          </w:p>
        </w:tc>
        <w:tc>
          <w:tcPr>
            <w:tcW w:w="1090" w:type="pct"/>
            <w:tcBorders>
              <w:top w:val="nil"/>
              <w:left w:val="nil"/>
              <w:bottom w:val="nil"/>
              <w:right w:val="nil"/>
            </w:tcBorders>
          </w:tcPr>
          <w:p w14:paraId="0B7B6B7C">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nil"/>
              <w:right w:val="nil"/>
            </w:tcBorders>
          </w:tcPr>
          <w:p w14:paraId="4F66D529">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摄像头、静态、显微手术（FTH）</w:t>
            </w:r>
          </w:p>
        </w:tc>
        <w:tc>
          <w:tcPr>
            <w:tcW w:w="467" w:type="pct"/>
            <w:tcBorders>
              <w:top w:val="nil"/>
              <w:left w:val="nil"/>
              <w:bottom w:val="nil"/>
              <w:right w:val="nil"/>
            </w:tcBorders>
          </w:tcPr>
          <w:p w14:paraId="42C636B7">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nil"/>
              <w:left w:val="nil"/>
              <w:bottom w:val="nil"/>
              <w:right w:val="single" w:color="auto" w:sz="4" w:space="0"/>
            </w:tcBorders>
          </w:tcPr>
          <w:p w14:paraId="0B964167">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56B84C6E">
        <w:tblPrEx>
          <w:tblCellMar>
            <w:top w:w="0" w:type="dxa"/>
            <w:left w:w="0" w:type="dxa"/>
            <w:bottom w:w="0" w:type="dxa"/>
            <w:right w:w="0" w:type="dxa"/>
          </w:tblCellMar>
        </w:tblPrEx>
        <w:tc>
          <w:tcPr>
            <w:tcW w:w="636" w:type="pct"/>
            <w:tcBorders>
              <w:top w:val="nil"/>
              <w:left w:val="single" w:color="auto" w:sz="4" w:space="0"/>
              <w:bottom w:val="nil"/>
              <w:right w:val="nil"/>
            </w:tcBorders>
          </w:tcPr>
          <w:p w14:paraId="2C6DBB24">
            <w:pPr>
              <w:snapToGrid w:val="0"/>
              <w:spacing w:before="36" w:beforeLines="15" w:after="36" w:afterLines="15" w:line="240" w:lineRule="exact"/>
              <w:jc w:val="both"/>
              <w:rPr>
                <w:rFonts w:ascii="Arial" w:hAnsi="Arial" w:eastAsia="宋体" w:cs="Arial"/>
              </w:rPr>
            </w:pPr>
          </w:p>
        </w:tc>
        <w:tc>
          <w:tcPr>
            <w:tcW w:w="1090" w:type="pct"/>
            <w:tcBorders>
              <w:top w:val="nil"/>
              <w:left w:val="nil"/>
              <w:bottom w:val="nil"/>
              <w:right w:val="nil"/>
            </w:tcBorders>
          </w:tcPr>
          <w:p w14:paraId="582AA6A5">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nil"/>
              <w:right w:val="nil"/>
            </w:tcBorders>
          </w:tcPr>
          <w:p w14:paraId="0801F624">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摄像头、电视机、内窥镜、音频</w:t>
            </w:r>
          </w:p>
        </w:tc>
        <w:tc>
          <w:tcPr>
            <w:tcW w:w="467" w:type="pct"/>
            <w:tcBorders>
              <w:top w:val="nil"/>
              <w:left w:val="nil"/>
              <w:bottom w:val="nil"/>
              <w:right w:val="nil"/>
            </w:tcBorders>
          </w:tcPr>
          <w:p w14:paraId="62020FFD">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nil"/>
              <w:left w:val="nil"/>
              <w:bottom w:val="nil"/>
              <w:right w:val="single" w:color="auto" w:sz="4" w:space="0"/>
            </w:tcBorders>
          </w:tcPr>
          <w:p w14:paraId="04C4416E">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40EC5F33">
        <w:tblPrEx>
          <w:tblCellMar>
            <w:top w:w="0" w:type="dxa"/>
            <w:left w:w="0" w:type="dxa"/>
            <w:bottom w:w="0" w:type="dxa"/>
            <w:right w:w="0" w:type="dxa"/>
          </w:tblCellMar>
        </w:tblPrEx>
        <w:tc>
          <w:tcPr>
            <w:tcW w:w="5000" w:type="pct"/>
            <w:gridSpan w:val="5"/>
            <w:tcBorders>
              <w:top w:val="nil"/>
              <w:left w:val="single" w:color="auto" w:sz="4" w:space="0"/>
              <w:bottom w:val="single" w:color="000000" w:sz="6" w:space="0"/>
              <w:right w:val="single" w:color="auto" w:sz="4" w:space="0"/>
            </w:tcBorders>
          </w:tcPr>
          <w:p w14:paraId="7BEE6EE8">
            <w:pPr>
              <w:pStyle w:val="20"/>
              <w:snapToGrid w:val="0"/>
              <w:spacing w:before="36" w:beforeLines="15" w:after="36" w:afterLines="15" w:line="240" w:lineRule="exact"/>
              <w:jc w:val="center"/>
              <w:rPr>
                <w:rFonts w:ascii="Arial" w:hAnsi="Arial" w:eastAsia="宋体" w:cs="Arial"/>
                <w:sz w:val="20"/>
              </w:rPr>
            </w:pPr>
            <w:r>
              <w:rPr>
                <w:rFonts w:ascii="Arial" w:hAnsi="Arial" w:eastAsia="宋体" w:cs="Arial"/>
                <w:sz w:val="20"/>
              </w:rPr>
              <w:t>(FWG)</w:t>
            </w:r>
          </w:p>
        </w:tc>
      </w:tr>
      <w:tr w14:paraId="3201C35E">
        <w:tblPrEx>
          <w:tblCellMar>
            <w:top w:w="0" w:type="dxa"/>
            <w:left w:w="0" w:type="dxa"/>
            <w:bottom w:w="0" w:type="dxa"/>
            <w:right w:w="0" w:type="dxa"/>
          </w:tblCellMar>
        </w:tblPrEx>
        <w:tc>
          <w:tcPr>
            <w:tcW w:w="636" w:type="pct"/>
            <w:tcBorders>
              <w:top w:val="nil"/>
              <w:left w:val="single" w:color="auto" w:sz="4" w:space="0"/>
              <w:bottom w:val="nil"/>
              <w:right w:val="nil"/>
            </w:tcBorders>
          </w:tcPr>
          <w:p w14:paraId="0542D32D">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878.4810</w:t>
            </w:r>
          </w:p>
        </w:tc>
        <w:tc>
          <w:tcPr>
            <w:tcW w:w="1090" w:type="pct"/>
            <w:vMerge w:val="restart"/>
            <w:tcBorders>
              <w:top w:val="nil"/>
              <w:left w:val="nil"/>
              <w:right w:val="nil"/>
            </w:tcBorders>
          </w:tcPr>
          <w:p w14:paraId="78A2E09D">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用于一般和整形手术和皮肤科的激光手术工具</w:t>
            </w:r>
          </w:p>
        </w:tc>
        <w:tc>
          <w:tcPr>
            <w:tcW w:w="2049" w:type="pct"/>
            <w:vMerge w:val="restart"/>
            <w:tcBorders>
              <w:top w:val="nil"/>
              <w:left w:val="nil"/>
              <w:right w:val="nil"/>
            </w:tcBorders>
          </w:tcPr>
          <w:p w14:paraId="4C67B5F0">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基于光线的非处方祛皱（OHS）</w:t>
            </w:r>
          </w:p>
          <w:p w14:paraId="4844460D">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基于光线的非处方电动痤疮激光器（OLP）</w:t>
            </w:r>
          </w:p>
        </w:tc>
        <w:tc>
          <w:tcPr>
            <w:tcW w:w="467" w:type="pct"/>
            <w:tcBorders>
              <w:top w:val="nil"/>
              <w:left w:val="nil"/>
              <w:bottom w:val="nil"/>
              <w:right w:val="nil"/>
            </w:tcBorders>
          </w:tcPr>
          <w:p w14:paraId="4422FEB9">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nil"/>
              <w:left w:val="nil"/>
              <w:bottom w:val="nil"/>
              <w:right w:val="single" w:color="auto" w:sz="4" w:space="0"/>
            </w:tcBorders>
          </w:tcPr>
          <w:p w14:paraId="5ECFED88">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6D68026E">
        <w:tblPrEx>
          <w:tblCellMar>
            <w:top w:w="0" w:type="dxa"/>
            <w:left w:w="0" w:type="dxa"/>
            <w:bottom w:w="0" w:type="dxa"/>
            <w:right w:w="0" w:type="dxa"/>
          </w:tblCellMar>
        </w:tblPrEx>
        <w:tc>
          <w:tcPr>
            <w:tcW w:w="636" w:type="pct"/>
            <w:tcBorders>
              <w:top w:val="nil"/>
              <w:left w:val="single" w:color="auto" w:sz="4" w:space="0"/>
              <w:bottom w:val="nil"/>
              <w:right w:val="nil"/>
            </w:tcBorders>
          </w:tcPr>
          <w:p w14:paraId="323850DE">
            <w:pPr>
              <w:snapToGrid w:val="0"/>
              <w:spacing w:before="36" w:beforeLines="15" w:after="36" w:afterLines="15" w:line="240" w:lineRule="exact"/>
              <w:jc w:val="both"/>
              <w:rPr>
                <w:rFonts w:ascii="Arial" w:hAnsi="Arial" w:eastAsia="宋体" w:cs="Arial"/>
              </w:rPr>
            </w:pPr>
          </w:p>
        </w:tc>
        <w:tc>
          <w:tcPr>
            <w:tcW w:w="1090" w:type="pct"/>
            <w:vMerge w:val="continue"/>
            <w:tcBorders>
              <w:left w:val="nil"/>
              <w:right w:val="nil"/>
            </w:tcBorders>
          </w:tcPr>
          <w:p w14:paraId="417B6164">
            <w:pPr>
              <w:pStyle w:val="20"/>
              <w:snapToGrid w:val="0"/>
              <w:spacing w:before="36" w:beforeLines="15" w:after="36" w:afterLines="15" w:line="240" w:lineRule="exact"/>
              <w:jc w:val="both"/>
              <w:rPr>
                <w:rFonts w:ascii="Arial" w:hAnsi="Arial" w:eastAsia="宋体" w:cs="Arial"/>
                <w:sz w:val="20"/>
              </w:rPr>
            </w:pPr>
          </w:p>
        </w:tc>
        <w:tc>
          <w:tcPr>
            <w:tcW w:w="2049" w:type="pct"/>
            <w:vMerge w:val="continue"/>
            <w:tcBorders>
              <w:left w:val="nil"/>
              <w:bottom w:val="nil"/>
              <w:right w:val="nil"/>
            </w:tcBorders>
          </w:tcPr>
          <w:p w14:paraId="06F7D7D0">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nil"/>
              <w:right w:val="nil"/>
            </w:tcBorders>
          </w:tcPr>
          <w:p w14:paraId="1D045151">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nil"/>
              <w:left w:val="nil"/>
              <w:bottom w:val="nil"/>
              <w:right w:val="single" w:color="auto" w:sz="4" w:space="0"/>
            </w:tcBorders>
          </w:tcPr>
          <w:p w14:paraId="77224C07">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651CB16E">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0BE47690">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880.2400</w:t>
            </w:r>
          </w:p>
        </w:tc>
        <w:tc>
          <w:tcPr>
            <w:tcW w:w="1090" w:type="pct"/>
            <w:tcBorders>
              <w:top w:val="single" w:color="000000" w:sz="6" w:space="0"/>
              <w:left w:val="nil"/>
              <w:bottom w:val="single" w:color="000000" w:sz="6" w:space="0"/>
              <w:right w:val="nil"/>
            </w:tcBorders>
          </w:tcPr>
          <w:p w14:paraId="13DFF0DC">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临床监护仪</w:t>
            </w:r>
          </w:p>
        </w:tc>
        <w:tc>
          <w:tcPr>
            <w:tcW w:w="2049" w:type="pct"/>
            <w:tcBorders>
              <w:top w:val="single" w:color="000000" w:sz="6" w:space="0"/>
              <w:left w:val="nil"/>
              <w:bottom w:val="single" w:color="000000" w:sz="6" w:space="0"/>
              <w:right w:val="nil"/>
            </w:tcBorders>
          </w:tcPr>
          <w:p w14:paraId="0E2F383F">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监护仪、卧床患者（KMI）</w:t>
            </w:r>
          </w:p>
        </w:tc>
        <w:tc>
          <w:tcPr>
            <w:tcW w:w="467" w:type="pct"/>
            <w:tcBorders>
              <w:top w:val="single" w:color="000000" w:sz="6" w:space="0"/>
              <w:left w:val="nil"/>
              <w:bottom w:val="single" w:color="000000" w:sz="6" w:space="0"/>
              <w:right w:val="nil"/>
            </w:tcBorders>
          </w:tcPr>
          <w:p w14:paraId="0E3FB734">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single" w:color="000000" w:sz="6" w:space="0"/>
              <w:right w:val="single" w:color="auto" w:sz="4" w:space="0"/>
            </w:tcBorders>
          </w:tcPr>
          <w:p w14:paraId="22955304">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4A6A225B">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04BBF610">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880.2700</w:t>
            </w:r>
          </w:p>
        </w:tc>
        <w:tc>
          <w:tcPr>
            <w:tcW w:w="1090" w:type="pct"/>
            <w:tcBorders>
              <w:top w:val="single" w:color="000000" w:sz="6" w:space="0"/>
              <w:left w:val="nil"/>
              <w:bottom w:val="single" w:color="000000" w:sz="6" w:space="0"/>
              <w:right w:val="nil"/>
            </w:tcBorders>
          </w:tcPr>
          <w:p w14:paraId="198A99BB">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独立患者量表</w:t>
            </w:r>
          </w:p>
        </w:tc>
        <w:tc>
          <w:tcPr>
            <w:tcW w:w="2049" w:type="pct"/>
            <w:tcBorders>
              <w:top w:val="single" w:color="000000" w:sz="6" w:space="0"/>
              <w:left w:val="nil"/>
              <w:bottom w:val="single" w:color="000000" w:sz="6" w:space="0"/>
              <w:right w:val="nil"/>
            </w:tcBorders>
          </w:tcPr>
          <w:p w14:paraId="13468CAD">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量表、单独、患者（FRI）</w:t>
            </w:r>
          </w:p>
        </w:tc>
        <w:tc>
          <w:tcPr>
            <w:tcW w:w="467" w:type="pct"/>
            <w:tcBorders>
              <w:top w:val="single" w:color="000000" w:sz="6" w:space="0"/>
              <w:left w:val="nil"/>
              <w:bottom w:val="single" w:color="000000" w:sz="6" w:space="0"/>
              <w:right w:val="nil"/>
            </w:tcBorders>
          </w:tcPr>
          <w:p w14:paraId="66ACA6E3">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single" w:color="000000" w:sz="6" w:space="0"/>
              <w:right w:val="single" w:color="auto" w:sz="4" w:space="0"/>
            </w:tcBorders>
          </w:tcPr>
          <w:p w14:paraId="0BB70174">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012C44BB">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2E2B411C">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880.2910</w:t>
            </w:r>
          </w:p>
        </w:tc>
        <w:tc>
          <w:tcPr>
            <w:tcW w:w="1090" w:type="pct"/>
            <w:vMerge w:val="restart"/>
            <w:tcBorders>
              <w:top w:val="single" w:color="000000" w:sz="6" w:space="0"/>
              <w:left w:val="nil"/>
              <w:right w:val="nil"/>
            </w:tcBorders>
          </w:tcPr>
          <w:p w14:paraId="4B3E3F8F">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临床电子体温计</w:t>
            </w:r>
          </w:p>
        </w:tc>
        <w:tc>
          <w:tcPr>
            <w:tcW w:w="2049" w:type="pct"/>
            <w:tcBorders>
              <w:top w:val="single" w:color="000000" w:sz="6" w:space="0"/>
              <w:left w:val="nil"/>
              <w:bottom w:val="nil"/>
              <w:right w:val="nil"/>
            </w:tcBorders>
          </w:tcPr>
          <w:p w14:paraId="410BCEBA">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温度计、电子、临床（FLL）</w:t>
            </w:r>
          </w:p>
        </w:tc>
        <w:tc>
          <w:tcPr>
            <w:tcW w:w="467" w:type="pct"/>
            <w:tcBorders>
              <w:top w:val="single" w:color="000000" w:sz="6" w:space="0"/>
              <w:left w:val="nil"/>
              <w:bottom w:val="nil"/>
              <w:right w:val="nil"/>
            </w:tcBorders>
          </w:tcPr>
          <w:p w14:paraId="38F8892F">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52708B54">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652D74A1">
        <w:tblPrEx>
          <w:tblCellMar>
            <w:top w:w="0" w:type="dxa"/>
            <w:left w:w="0" w:type="dxa"/>
            <w:bottom w:w="0" w:type="dxa"/>
            <w:right w:w="0" w:type="dxa"/>
          </w:tblCellMar>
        </w:tblPrEx>
        <w:tc>
          <w:tcPr>
            <w:tcW w:w="636" w:type="pct"/>
            <w:tcBorders>
              <w:top w:val="nil"/>
              <w:left w:val="single" w:color="auto" w:sz="4" w:space="0"/>
              <w:bottom w:val="single" w:color="000000" w:sz="6" w:space="0"/>
              <w:right w:val="nil"/>
            </w:tcBorders>
          </w:tcPr>
          <w:p w14:paraId="60F455C8">
            <w:pPr>
              <w:snapToGrid w:val="0"/>
              <w:spacing w:before="36" w:beforeLines="15" w:after="36" w:afterLines="15" w:line="240" w:lineRule="exact"/>
              <w:jc w:val="both"/>
              <w:rPr>
                <w:rFonts w:ascii="Arial" w:hAnsi="Arial" w:eastAsia="宋体" w:cs="Arial"/>
              </w:rPr>
            </w:pPr>
          </w:p>
        </w:tc>
        <w:tc>
          <w:tcPr>
            <w:tcW w:w="1090" w:type="pct"/>
            <w:vMerge w:val="continue"/>
            <w:tcBorders>
              <w:left w:val="nil"/>
              <w:bottom w:val="single" w:color="000000" w:sz="6" w:space="0"/>
              <w:right w:val="nil"/>
            </w:tcBorders>
          </w:tcPr>
          <w:p w14:paraId="2E840A8B">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single" w:color="000000" w:sz="6" w:space="0"/>
              <w:right w:val="nil"/>
            </w:tcBorders>
          </w:tcPr>
          <w:p w14:paraId="5B287A65">
            <w:pPr>
              <w:pStyle w:val="20"/>
              <w:snapToGrid w:val="0"/>
              <w:spacing w:before="36" w:beforeLines="15" w:after="36" w:afterLines="15" w:line="240" w:lineRule="exact"/>
              <w:jc w:val="both"/>
              <w:rPr>
                <w:rFonts w:ascii="Arial" w:hAnsi="Arial" w:eastAsia="宋体" w:cs="Arial"/>
                <w:sz w:val="20"/>
              </w:rPr>
            </w:pPr>
          </w:p>
        </w:tc>
        <w:tc>
          <w:tcPr>
            <w:tcW w:w="467" w:type="pct"/>
            <w:tcBorders>
              <w:top w:val="nil"/>
              <w:left w:val="nil"/>
              <w:bottom w:val="single" w:color="000000" w:sz="6" w:space="0"/>
              <w:right w:val="nil"/>
            </w:tcBorders>
          </w:tcPr>
          <w:p w14:paraId="6755B103">
            <w:pPr>
              <w:snapToGrid w:val="0"/>
              <w:spacing w:before="36" w:beforeLines="15" w:after="36" w:afterLines="15" w:line="240" w:lineRule="exact"/>
              <w:jc w:val="center"/>
              <w:rPr>
                <w:rFonts w:ascii="Arial" w:hAnsi="Arial" w:eastAsia="宋体" w:cs="Arial"/>
              </w:rPr>
            </w:pPr>
          </w:p>
        </w:tc>
        <w:tc>
          <w:tcPr>
            <w:tcW w:w="758" w:type="pct"/>
            <w:tcBorders>
              <w:top w:val="nil"/>
              <w:left w:val="nil"/>
              <w:bottom w:val="single" w:color="000000" w:sz="6" w:space="0"/>
              <w:right w:val="single" w:color="auto" w:sz="4" w:space="0"/>
            </w:tcBorders>
          </w:tcPr>
          <w:p w14:paraId="725306D1">
            <w:pPr>
              <w:snapToGrid w:val="0"/>
              <w:spacing w:before="36" w:beforeLines="15" w:after="36" w:afterLines="15" w:line="240" w:lineRule="exact"/>
              <w:jc w:val="both"/>
              <w:rPr>
                <w:rFonts w:ascii="Arial" w:hAnsi="Arial" w:eastAsia="宋体" w:cs="Arial"/>
              </w:rPr>
            </w:pPr>
          </w:p>
        </w:tc>
      </w:tr>
      <w:tr w14:paraId="0CA44252">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17836910">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880.5580</w:t>
            </w:r>
          </w:p>
        </w:tc>
        <w:tc>
          <w:tcPr>
            <w:tcW w:w="1090" w:type="pct"/>
            <w:tcBorders>
              <w:top w:val="single" w:color="000000" w:sz="6" w:space="0"/>
              <w:left w:val="nil"/>
              <w:bottom w:val="single" w:color="000000" w:sz="6" w:space="0"/>
              <w:right w:val="nil"/>
            </w:tcBorders>
          </w:tcPr>
          <w:p w14:paraId="76DE1175">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针灸针</w:t>
            </w:r>
          </w:p>
        </w:tc>
        <w:tc>
          <w:tcPr>
            <w:tcW w:w="2049" w:type="pct"/>
            <w:tcBorders>
              <w:top w:val="single" w:color="000000" w:sz="6" w:space="0"/>
              <w:left w:val="nil"/>
              <w:bottom w:val="single" w:color="000000" w:sz="6" w:space="0"/>
              <w:right w:val="nil"/>
            </w:tcBorders>
          </w:tcPr>
          <w:p w14:paraId="393B3066">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定位器、针刺点（BWJ）</w:t>
            </w:r>
          </w:p>
        </w:tc>
        <w:tc>
          <w:tcPr>
            <w:tcW w:w="467" w:type="pct"/>
            <w:tcBorders>
              <w:top w:val="single" w:color="000000" w:sz="6" w:space="0"/>
              <w:left w:val="nil"/>
              <w:bottom w:val="single" w:color="000000" w:sz="6" w:space="0"/>
              <w:right w:val="nil"/>
            </w:tcBorders>
          </w:tcPr>
          <w:p w14:paraId="440651E3">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auto" w:sz="4" w:space="0"/>
            </w:tcBorders>
          </w:tcPr>
          <w:p w14:paraId="5CFA13EF">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5E485574">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6798C5D6">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880.6350</w:t>
            </w:r>
          </w:p>
        </w:tc>
        <w:tc>
          <w:tcPr>
            <w:tcW w:w="1090" w:type="pct"/>
            <w:tcBorders>
              <w:top w:val="single" w:color="000000" w:sz="6" w:space="0"/>
              <w:left w:val="nil"/>
              <w:right w:val="nil"/>
            </w:tcBorders>
          </w:tcPr>
          <w:p w14:paraId="781DD6D3">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电池供电体检灯</w:t>
            </w:r>
          </w:p>
        </w:tc>
        <w:tc>
          <w:tcPr>
            <w:tcW w:w="2049" w:type="pct"/>
            <w:tcBorders>
              <w:top w:val="single" w:color="000000" w:sz="6" w:space="0"/>
              <w:left w:val="nil"/>
              <w:right w:val="nil"/>
            </w:tcBorders>
          </w:tcPr>
          <w:p w14:paraId="7655D017">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光线、检查、医疗、电池供电（KYT）</w:t>
            </w:r>
          </w:p>
        </w:tc>
        <w:tc>
          <w:tcPr>
            <w:tcW w:w="467" w:type="pct"/>
            <w:tcBorders>
              <w:top w:val="single" w:color="000000" w:sz="6" w:space="0"/>
              <w:left w:val="nil"/>
              <w:bottom w:val="nil"/>
              <w:right w:val="nil"/>
            </w:tcBorders>
          </w:tcPr>
          <w:p w14:paraId="5D403087">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nil"/>
              <w:right w:val="single" w:color="auto" w:sz="4" w:space="0"/>
            </w:tcBorders>
          </w:tcPr>
          <w:p w14:paraId="5607AD49">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 豁免</w:t>
            </w:r>
          </w:p>
        </w:tc>
      </w:tr>
      <w:tr w14:paraId="23DE2FF4">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43B85A45">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882.1400</w:t>
            </w:r>
          </w:p>
        </w:tc>
        <w:tc>
          <w:tcPr>
            <w:tcW w:w="1090" w:type="pct"/>
            <w:tcBorders>
              <w:top w:val="single" w:color="000000" w:sz="6" w:space="0"/>
              <w:left w:val="nil"/>
              <w:bottom w:val="nil"/>
              <w:right w:val="nil"/>
            </w:tcBorders>
          </w:tcPr>
          <w:p w14:paraId="560505C1">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脑电图</w:t>
            </w:r>
          </w:p>
        </w:tc>
        <w:tc>
          <w:tcPr>
            <w:tcW w:w="2049" w:type="pct"/>
            <w:tcBorders>
              <w:top w:val="single" w:color="000000" w:sz="6" w:space="0"/>
              <w:left w:val="nil"/>
              <w:bottom w:val="nil"/>
              <w:right w:val="nil"/>
            </w:tcBorders>
          </w:tcPr>
          <w:p w14:paraId="40BA937B">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全蒙太奇脑电图（GWQ）</w:t>
            </w:r>
          </w:p>
        </w:tc>
        <w:tc>
          <w:tcPr>
            <w:tcW w:w="467" w:type="pct"/>
            <w:tcBorders>
              <w:top w:val="single" w:color="000000" w:sz="6" w:space="0"/>
              <w:left w:val="nil"/>
              <w:bottom w:val="nil"/>
              <w:right w:val="nil"/>
            </w:tcBorders>
          </w:tcPr>
          <w:p w14:paraId="521362A4">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1A46F1A0">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2E033ADB">
        <w:tblPrEx>
          <w:tblCellMar>
            <w:top w:w="0" w:type="dxa"/>
            <w:left w:w="0" w:type="dxa"/>
            <w:bottom w:w="0" w:type="dxa"/>
            <w:right w:w="0" w:type="dxa"/>
          </w:tblCellMar>
        </w:tblPrEx>
        <w:tc>
          <w:tcPr>
            <w:tcW w:w="636" w:type="pct"/>
            <w:tcBorders>
              <w:top w:val="nil"/>
              <w:left w:val="single" w:color="auto" w:sz="4" w:space="0"/>
              <w:bottom w:val="nil"/>
              <w:right w:val="nil"/>
            </w:tcBorders>
          </w:tcPr>
          <w:p w14:paraId="25043DBE">
            <w:pPr>
              <w:snapToGrid w:val="0"/>
              <w:spacing w:before="36" w:beforeLines="15" w:after="36" w:afterLines="15" w:line="240" w:lineRule="exact"/>
              <w:jc w:val="both"/>
              <w:rPr>
                <w:rFonts w:ascii="Arial" w:hAnsi="Arial" w:eastAsia="宋体" w:cs="Arial"/>
              </w:rPr>
            </w:pPr>
          </w:p>
        </w:tc>
        <w:tc>
          <w:tcPr>
            <w:tcW w:w="1090" w:type="pct"/>
            <w:tcBorders>
              <w:top w:val="nil"/>
              <w:left w:val="nil"/>
              <w:bottom w:val="nil"/>
              <w:right w:val="nil"/>
            </w:tcBorders>
          </w:tcPr>
          <w:p w14:paraId="3BEF96CF">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right w:val="nil"/>
            </w:tcBorders>
          </w:tcPr>
          <w:p w14:paraId="7F756E2B">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带脑电图仪（OLV）的标准睡眠记录仪</w:t>
            </w:r>
          </w:p>
        </w:tc>
        <w:tc>
          <w:tcPr>
            <w:tcW w:w="467" w:type="pct"/>
            <w:tcBorders>
              <w:top w:val="nil"/>
              <w:left w:val="nil"/>
              <w:bottom w:val="nil"/>
              <w:right w:val="nil"/>
            </w:tcBorders>
          </w:tcPr>
          <w:p w14:paraId="25B1BCD8">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nil"/>
              <w:left w:val="nil"/>
              <w:bottom w:val="nil"/>
              <w:right w:val="single" w:color="auto" w:sz="4" w:space="0"/>
            </w:tcBorders>
          </w:tcPr>
          <w:p w14:paraId="04F88C1C">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4C5E43E3">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5D478D33">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882.1550</w:t>
            </w:r>
          </w:p>
        </w:tc>
        <w:tc>
          <w:tcPr>
            <w:tcW w:w="1090" w:type="pct"/>
            <w:tcBorders>
              <w:top w:val="single" w:color="000000" w:sz="6" w:space="0"/>
              <w:left w:val="nil"/>
              <w:right w:val="nil"/>
            </w:tcBorders>
          </w:tcPr>
          <w:p w14:paraId="19609014">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神经传导速度测量器械</w:t>
            </w:r>
          </w:p>
        </w:tc>
        <w:tc>
          <w:tcPr>
            <w:tcW w:w="2049" w:type="pct"/>
            <w:tcBorders>
              <w:top w:val="single" w:color="000000" w:sz="6" w:space="0"/>
              <w:left w:val="nil"/>
              <w:right w:val="nil"/>
            </w:tcBorders>
          </w:tcPr>
          <w:p w14:paraId="4A096C73">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器械、神经传导速度测量（JXE）</w:t>
            </w:r>
          </w:p>
        </w:tc>
        <w:tc>
          <w:tcPr>
            <w:tcW w:w="467" w:type="pct"/>
            <w:tcBorders>
              <w:top w:val="single" w:color="000000" w:sz="6" w:space="0"/>
              <w:left w:val="nil"/>
              <w:bottom w:val="nil"/>
              <w:right w:val="nil"/>
            </w:tcBorders>
          </w:tcPr>
          <w:p w14:paraId="7F912A4A">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585A33A5">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26716472">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7D17ACCC">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882.1620</w:t>
            </w:r>
          </w:p>
        </w:tc>
        <w:tc>
          <w:tcPr>
            <w:tcW w:w="1090" w:type="pct"/>
            <w:vMerge w:val="restart"/>
            <w:tcBorders>
              <w:top w:val="single" w:color="000000" w:sz="6" w:space="0"/>
              <w:left w:val="nil"/>
              <w:right w:val="nil"/>
            </w:tcBorders>
          </w:tcPr>
          <w:p w14:paraId="73655A78">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颅内压监测器械</w:t>
            </w:r>
          </w:p>
          <w:p w14:paraId="4DDCE6E0">
            <w:pPr>
              <w:pStyle w:val="20"/>
              <w:snapToGrid w:val="0"/>
              <w:spacing w:before="36" w:beforeLines="15" w:after="36" w:afterLines="15" w:line="240" w:lineRule="exact"/>
              <w:jc w:val="both"/>
              <w:rPr>
                <w:rFonts w:ascii="Arial" w:hAnsi="Arial" w:eastAsia="宋体" w:cs="Arial"/>
                <w:sz w:val="20"/>
              </w:rPr>
            </w:pPr>
          </w:p>
        </w:tc>
        <w:tc>
          <w:tcPr>
            <w:tcW w:w="2049" w:type="pct"/>
            <w:tcBorders>
              <w:top w:val="single" w:color="000000" w:sz="6" w:space="0"/>
              <w:left w:val="nil"/>
              <w:bottom w:val="nil"/>
              <w:right w:val="nil"/>
            </w:tcBorders>
          </w:tcPr>
          <w:p w14:paraId="4CC9FDA0">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器械、监测、颅内压</w:t>
            </w:r>
          </w:p>
        </w:tc>
        <w:tc>
          <w:tcPr>
            <w:tcW w:w="467" w:type="pct"/>
            <w:tcBorders>
              <w:top w:val="single" w:color="000000" w:sz="6" w:space="0"/>
              <w:left w:val="nil"/>
              <w:bottom w:val="nil"/>
              <w:right w:val="nil"/>
            </w:tcBorders>
          </w:tcPr>
          <w:p w14:paraId="071ACBFB">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3D3CB311">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7085E8A5">
        <w:tblPrEx>
          <w:tblCellMar>
            <w:top w:w="0" w:type="dxa"/>
            <w:left w:w="0" w:type="dxa"/>
            <w:bottom w:w="0" w:type="dxa"/>
            <w:right w:w="0" w:type="dxa"/>
          </w:tblCellMar>
        </w:tblPrEx>
        <w:tc>
          <w:tcPr>
            <w:tcW w:w="636" w:type="pct"/>
            <w:tcBorders>
              <w:top w:val="nil"/>
              <w:left w:val="single" w:color="auto" w:sz="4" w:space="0"/>
              <w:bottom w:val="single" w:color="000000" w:sz="6" w:space="0"/>
              <w:right w:val="nil"/>
            </w:tcBorders>
          </w:tcPr>
          <w:p w14:paraId="4E35C08D">
            <w:pPr>
              <w:snapToGrid w:val="0"/>
              <w:spacing w:before="36" w:beforeLines="15" w:after="36" w:afterLines="15" w:line="240" w:lineRule="exact"/>
              <w:jc w:val="both"/>
              <w:rPr>
                <w:rFonts w:ascii="Arial" w:hAnsi="Arial" w:eastAsia="宋体" w:cs="Arial"/>
              </w:rPr>
            </w:pPr>
          </w:p>
        </w:tc>
        <w:tc>
          <w:tcPr>
            <w:tcW w:w="1090" w:type="pct"/>
            <w:vMerge w:val="continue"/>
            <w:tcBorders>
              <w:left w:val="nil"/>
              <w:bottom w:val="single" w:color="000000" w:sz="6" w:space="0"/>
              <w:right w:val="nil"/>
            </w:tcBorders>
          </w:tcPr>
          <w:p w14:paraId="159BD699">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single" w:color="000000" w:sz="6" w:space="0"/>
              <w:right w:val="nil"/>
            </w:tcBorders>
          </w:tcPr>
          <w:p w14:paraId="6A892476">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（GWM）</w:t>
            </w:r>
          </w:p>
        </w:tc>
        <w:tc>
          <w:tcPr>
            <w:tcW w:w="467" w:type="pct"/>
            <w:tcBorders>
              <w:top w:val="nil"/>
              <w:left w:val="nil"/>
              <w:bottom w:val="single" w:color="000000" w:sz="6" w:space="0"/>
              <w:right w:val="nil"/>
            </w:tcBorders>
          </w:tcPr>
          <w:p w14:paraId="4D68BE91">
            <w:pPr>
              <w:snapToGrid w:val="0"/>
              <w:spacing w:before="36" w:beforeLines="15" w:after="36" w:afterLines="15" w:line="240" w:lineRule="exact"/>
              <w:jc w:val="center"/>
              <w:rPr>
                <w:rFonts w:ascii="Arial" w:hAnsi="Arial" w:eastAsia="宋体" w:cs="Arial"/>
              </w:rPr>
            </w:pPr>
          </w:p>
        </w:tc>
        <w:tc>
          <w:tcPr>
            <w:tcW w:w="758" w:type="pct"/>
            <w:tcBorders>
              <w:top w:val="nil"/>
              <w:left w:val="nil"/>
              <w:bottom w:val="single" w:color="000000" w:sz="6" w:space="0"/>
              <w:right w:val="single" w:color="auto" w:sz="4" w:space="0"/>
            </w:tcBorders>
          </w:tcPr>
          <w:p w14:paraId="42067337">
            <w:pPr>
              <w:snapToGrid w:val="0"/>
              <w:spacing w:before="36" w:beforeLines="15" w:after="36" w:afterLines="15" w:line="240" w:lineRule="exact"/>
              <w:jc w:val="both"/>
              <w:rPr>
                <w:rFonts w:ascii="Arial" w:hAnsi="Arial" w:eastAsia="宋体" w:cs="Arial"/>
              </w:rPr>
            </w:pPr>
          </w:p>
        </w:tc>
      </w:tr>
      <w:tr w14:paraId="2C67D16A">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4EA20DC8">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882.1890</w:t>
            </w:r>
          </w:p>
        </w:tc>
        <w:tc>
          <w:tcPr>
            <w:tcW w:w="1090" w:type="pct"/>
            <w:tcBorders>
              <w:top w:val="single" w:color="000000" w:sz="6" w:space="0"/>
              <w:left w:val="nil"/>
              <w:right w:val="nil"/>
            </w:tcBorders>
          </w:tcPr>
          <w:p w14:paraId="7D769BAB">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诱发反应光刺激剂</w:t>
            </w:r>
          </w:p>
        </w:tc>
        <w:tc>
          <w:tcPr>
            <w:tcW w:w="2049" w:type="pct"/>
            <w:tcBorders>
              <w:top w:val="single" w:color="000000" w:sz="6" w:space="0"/>
              <w:left w:val="nil"/>
              <w:bottom w:val="nil"/>
              <w:right w:val="nil"/>
            </w:tcBorders>
          </w:tcPr>
          <w:p w14:paraId="735CB724">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刺激器、发光、诱发反应（GWE）</w:t>
            </w:r>
          </w:p>
        </w:tc>
        <w:tc>
          <w:tcPr>
            <w:tcW w:w="467" w:type="pct"/>
            <w:tcBorders>
              <w:top w:val="single" w:color="000000" w:sz="6" w:space="0"/>
              <w:left w:val="nil"/>
              <w:bottom w:val="nil"/>
              <w:right w:val="nil"/>
            </w:tcBorders>
          </w:tcPr>
          <w:p w14:paraId="00D6A555">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6FBBAFE8">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2850D456">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6EE1AA81">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882.1900</w:t>
            </w:r>
          </w:p>
        </w:tc>
        <w:tc>
          <w:tcPr>
            <w:tcW w:w="1090" w:type="pct"/>
            <w:tcBorders>
              <w:top w:val="single" w:color="000000" w:sz="6" w:space="0"/>
              <w:left w:val="nil"/>
              <w:right w:val="nil"/>
            </w:tcBorders>
          </w:tcPr>
          <w:p w14:paraId="63B4E5CD">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诱发反应听觉刺激器</w:t>
            </w:r>
          </w:p>
        </w:tc>
        <w:tc>
          <w:tcPr>
            <w:tcW w:w="2049" w:type="pct"/>
            <w:tcBorders>
              <w:top w:val="single" w:color="000000" w:sz="6" w:space="0"/>
              <w:left w:val="nil"/>
              <w:bottom w:val="nil"/>
              <w:right w:val="nil"/>
            </w:tcBorders>
          </w:tcPr>
          <w:p w14:paraId="1C5E05EE">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刺激器、听觉、诱发反应（GWJ）</w:t>
            </w:r>
          </w:p>
        </w:tc>
        <w:tc>
          <w:tcPr>
            <w:tcW w:w="467" w:type="pct"/>
            <w:tcBorders>
              <w:top w:val="single" w:color="000000" w:sz="6" w:space="0"/>
              <w:left w:val="nil"/>
              <w:bottom w:val="nil"/>
              <w:right w:val="nil"/>
            </w:tcBorders>
          </w:tcPr>
          <w:p w14:paraId="3DB6C59C">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5CA8BCBE">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088A437B">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24B62DA1">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882.1950</w:t>
            </w:r>
          </w:p>
        </w:tc>
        <w:tc>
          <w:tcPr>
            <w:tcW w:w="1090" w:type="pct"/>
            <w:tcBorders>
              <w:top w:val="single" w:color="000000" w:sz="6" w:space="0"/>
              <w:left w:val="nil"/>
              <w:bottom w:val="single" w:color="000000" w:sz="6" w:space="0"/>
              <w:right w:val="nil"/>
            </w:tcBorders>
          </w:tcPr>
          <w:p w14:paraId="7BAAF2DE">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震颤传感器</w:t>
            </w:r>
          </w:p>
        </w:tc>
        <w:tc>
          <w:tcPr>
            <w:tcW w:w="2049" w:type="pct"/>
            <w:tcBorders>
              <w:top w:val="single" w:color="000000" w:sz="6" w:space="0"/>
              <w:left w:val="nil"/>
              <w:bottom w:val="single" w:color="000000" w:sz="6" w:space="0"/>
              <w:right w:val="nil"/>
            </w:tcBorders>
          </w:tcPr>
          <w:p w14:paraId="24706048">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传感器、震颤（GYD）</w:t>
            </w:r>
          </w:p>
        </w:tc>
        <w:tc>
          <w:tcPr>
            <w:tcW w:w="467" w:type="pct"/>
            <w:tcBorders>
              <w:top w:val="single" w:color="000000" w:sz="6" w:space="0"/>
              <w:left w:val="nil"/>
              <w:bottom w:val="single" w:color="000000" w:sz="6" w:space="0"/>
              <w:right w:val="nil"/>
            </w:tcBorders>
          </w:tcPr>
          <w:p w14:paraId="568D3013">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auto" w:sz="4" w:space="0"/>
            </w:tcBorders>
          </w:tcPr>
          <w:p w14:paraId="394FDA8A">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7739EAE9">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5A32B217">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884.2730</w:t>
            </w:r>
          </w:p>
        </w:tc>
        <w:tc>
          <w:tcPr>
            <w:tcW w:w="1090" w:type="pct"/>
            <w:vMerge w:val="restart"/>
            <w:tcBorders>
              <w:top w:val="single" w:color="000000" w:sz="6" w:space="0"/>
              <w:left w:val="nil"/>
              <w:right w:val="nil"/>
            </w:tcBorders>
          </w:tcPr>
          <w:p w14:paraId="1FB7DBDB">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家用子宫活动监护仪</w:t>
            </w:r>
          </w:p>
          <w:p w14:paraId="1BA3B29F">
            <w:pPr>
              <w:pStyle w:val="20"/>
              <w:snapToGrid w:val="0"/>
              <w:spacing w:before="36" w:beforeLines="15" w:after="36" w:afterLines="15" w:line="240" w:lineRule="exact"/>
              <w:jc w:val="both"/>
              <w:rPr>
                <w:rFonts w:ascii="Arial" w:hAnsi="Arial" w:eastAsia="宋体" w:cs="Arial"/>
                <w:sz w:val="20"/>
              </w:rPr>
            </w:pPr>
          </w:p>
        </w:tc>
        <w:tc>
          <w:tcPr>
            <w:tcW w:w="2049" w:type="pct"/>
            <w:tcBorders>
              <w:top w:val="single" w:color="000000" w:sz="6" w:space="0"/>
              <w:left w:val="nil"/>
              <w:bottom w:val="nil"/>
              <w:right w:val="nil"/>
            </w:tcBorders>
          </w:tcPr>
          <w:p w14:paraId="501AB99A">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监测、心率、胎儿、非压力测试</w:t>
            </w:r>
          </w:p>
        </w:tc>
        <w:tc>
          <w:tcPr>
            <w:tcW w:w="467" w:type="pct"/>
            <w:tcBorders>
              <w:top w:val="single" w:color="000000" w:sz="6" w:space="0"/>
              <w:left w:val="nil"/>
              <w:bottom w:val="nil"/>
              <w:right w:val="nil"/>
            </w:tcBorders>
          </w:tcPr>
          <w:p w14:paraId="3541E6F0">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12FFEB56">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3059C7CA">
        <w:tblPrEx>
          <w:tblCellMar>
            <w:top w:w="0" w:type="dxa"/>
            <w:left w:w="0" w:type="dxa"/>
            <w:bottom w:w="0" w:type="dxa"/>
            <w:right w:w="0" w:type="dxa"/>
          </w:tblCellMar>
        </w:tblPrEx>
        <w:tc>
          <w:tcPr>
            <w:tcW w:w="636" w:type="pct"/>
            <w:tcBorders>
              <w:top w:val="nil"/>
              <w:left w:val="single" w:color="auto" w:sz="4" w:space="0"/>
              <w:bottom w:val="single" w:color="000000" w:sz="6" w:space="0"/>
              <w:right w:val="nil"/>
            </w:tcBorders>
          </w:tcPr>
          <w:p w14:paraId="3F7AC192">
            <w:pPr>
              <w:snapToGrid w:val="0"/>
              <w:spacing w:before="36" w:beforeLines="15" w:after="36" w:afterLines="15" w:line="240" w:lineRule="exact"/>
              <w:jc w:val="both"/>
              <w:rPr>
                <w:rFonts w:ascii="Arial" w:hAnsi="Arial" w:eastAsia="宋体" w:cs="Arial"/>
              </w:rPr>
            </w:pPr>
          </w:p>
        </w:tc>
        <w:tc>
          <w:tcPr>
            <w:tcW w:w="1090" w:type="pct"/>
            <w:vMerge w:val="continue"/>
            <w:tcBorders>
              <w:left w:val="nil"/>
              <w:bottom w:val="single" w:color="000000" w:sz="6" w:space="0"/>
              <w:right w:val="nil"/>
            </w:tcBorders>
          </w:tcPr>
          <w:p w14:paraId="4CF861FE">
            <w:pPr>
              <w:pStyle w:val="20"/>
              <w:snapToGrid w:val="0"/>
              <w:spacing w:before="36" w:beforeLines="15" w:after="36" w:afterLines="15" w:line="240" w:lineRule="exact"/>
              <w:jc w:val="both"/>
              <w:rPr>
                <w:rFonts w:ascii="Arial" w:hAnsi="Arial" w:eastAsia="宋体" w:cs="Arial"/>
                <w:sz w:val="20"/>
              </w:rPr>
            </w:pPr>
          </w:p>
        </w:tc>
        <w:tc>
          <w:tcPr>
            <w:tcW w:w="2049" w:type="pct"/>
            <w:tcBorders>
              <w:top w:val="nil"/>
              <w:left w:val="nil"/>
              <w:bottom w:val="single" w:color="000000" w:sz="6" w:space="0"/>
              <w:right w:val="nil"/>
            </w:tcBorders>
          </w:tcPr>
          <w:p w14:paraId="68A37815">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（家庭使用）（MOH）</w:t>
            </w:r>
          </w:p>
        </w:tc>
        <w:tc>
          <w:tcPr>
            <w:tcW w:w="467" w:type="pct"/>
            <w:tcBorders>
              <w:top w:val="nil"/>
              <w:left w:val="nil"/>
              <w:bottom w:val="single" w:color="000000" w:sz="6" w:space="0"/>
              <w:right w:val="nil"/>
            </w:tcBorders>
          </w:tcPr>
          <w:p w14:paraId="1969AE61">
            <w:pPr>
              <w:snapToGrid w:val="0"/>
              <w:spacing w:before="36" w:beforeLines="15" w:after="36" w:afterLines="15" w:line="240" w:lineRule="exact"/>
              <w:jc w:val="center"/>
              <w:rPr>
                <w:rFonts w:ascii="Arial" w:hAnsi="Arial" w:eastAsia="宋体" w:cs="Arial"/>
              </w:rPr>
            </w:pPr>
          </w:p>
        </w:tc>
        <w:tc>
          <w:tcPr>
            <w:tcW w:w="758" w:type="pct"/>
            <w:tcBorders>
              <w:top w:val="nil"/>
              <w:left w:val="nil"/>
              <w:bottom w:val="single" w:color="000000" w:sz="6" w:space="0"/>
              <w:right w:val="single" w:color="auto" w:sz="4" w:space="0"/>
            </w:tcBorders>
          </w:tcPr>
          <w:p w14:paraId="4EA6E08A">
            <w:pPr>
              <w:snapToGrid w:val="0"/>
              <w:spacing w:before="36" w:beforeLines="15" w:after="36" w:afterLines="15" w:line="240" w:lineRule="exact"/>
              <w:jc w:val="both"/>
              <w:rPr>
                <w:rFonts w:ascii="Arial" w:hAnsi="Arial" w:eastAsia="宋体" w:cs="Arial"/>
              </w:rPr>
            </w:pPr>
          </w:p>
        </w:tc>
      </w:tr>
      <w:tr w14:paraId="7C9DDAD9">
        <w:tblPrEx>
          <w:tblCellMar>
            <w:top w:w="0" w:type="dxa"/>
            <w:left w:w="0" w:type="dxa"/>
            <w:bottom w:w="0" w:type="dxa"/>
            <w:right w:w="0" w:type="dxa"/>
          </w:tblCellMar>
        </w:tblPrEx>
        <w:tc>
          <w:tcPr>
            <w:tcW w:w="636" w:type="pct"/>
            <w:tcBorders>
              <w:top w:val="single" w:color="000000" w:sz="6" w:space="0"/>
              <w:left w:val="single" w:color="auto" w:sz="4" w:space="0"/>
              <w:bottom w:val="nil"/>
              <w:right w:val="nil"/>
            </w:tcBorders>
          </w:tcPr>
          <w:p w14:paraId="737D87F8">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884.2740</w:t>
            </w:r>
          </w:p>
        </w:tc>
        <w:tc>
          <w:tcPr>
            <w:tcW w:w="1090" w:type="pct"/>
            <w:tcBorders>
              <w:top w:val="single" w:color="000000" w:sz="6" w:space="0"/>
              <w:left w:val="nil"/>
              <w:right w:val="nil"/>
            </w:tcBorders>
          </w:tcPr>
          <w:p w14:paraId="6C30D364">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围产期监测系统及附件</w:t>
            </w:r>
          </w:p>
        </w:tc>
        <w:tc>
          <w:tcPr>
            <w:tcW w:w="2049" w:type="pct"/>
            <w:tcBorders>
              <w:top w:val="single" w:color="000000" w:sz="6" w:space="0"/>
              <w:left w:val="nil"/>
              <w:bottom w:val="nil"/>
              <w:right w:val="nil"/>
            </w:tcBorders>
          </w:tcPr>
          <w:p w14:paraId="75FA3193">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系统、监测、围产期（HGM）</w:t>
            </w:r>
          </w:p>
        </w:tc>
        <w:tc>
          <w:tcPr>
            <w:tcW w:w="467" w:type="pct"/>
            <w:tcBorders>
              <w:top w:val="single" w:color="000000" w:sz="6" w:space="0"/>
              <w:left w:val="nil"/>
              <w:bottom w:val="nil"/>
              <w:right w:val="nil"/>
            </w:tcBorders>
          </w:tcPr>
          <w:p w14:paraId="094D0B2F">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auto" w:sz="4" w:space="0"/>
            </w:tcBorders>
          </w:tcPr>
          <w:p w14:paraId="53EE94E2">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r w14:paraId="7086A92E">
        <w:tblPrEx>
          <w:tblCellMar>
            <w:top w:w="0" w:type="dxa"/>
            <w:left w:w="0" w:type="dxa"/>
            <w:bottom w:w="0" w:type="dxa"/>
            <w:right w:w="0" w:type="dxa"/>
          </w:tblCellMar>
        </w:tblPrEx>
        <w:tc>
          <w:tcPr>
            <w:tcW w:w="636" w:type="pct"/>
            <w:tcBorders>
              <w:top w:val="single" w:color="000000" w:sz="6" w:space="0"/>
              <w:left w:val="single" w:color="auto" w:sz="4" w:space="0"/>
              <w:bottom w:val="single" w:color="000000" w:sz="6" w:space="0"/>
              <w:right w:val="nil"/>
            </w:tcBorders>
          </w:tcPr>
          <w:p w14:paraId="21853A9C">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pacing w:val="-1"/>
                <w:sz w:val="20"/>
              </w:rPr>
              <w:t>884.2800</w:t>
            </w:r>
          </w:p>
        </w:tc>
        <w:tc>
          <w:tcPr>
            <w:tcW w:w="1090" w:type="pct"/>
            <w:tcBorders>
              <w:top w:val="single" w:color="000000" w:sz="6" w:space="0"/>
              <w:left w:val="nil"/>
              <w:bottom w:val="single" w:color="000000" w:sz="6" w:space="0"/>
              <w:right w:val="nil"/>
            </w:tcBorders>
          </w:tcPr>
          <w:p w14:paraId="4D851692">
            <w:pPr>
              <w:pStyle w:val="20"/>
              <w:snapToGrid w:val="0"/>
              <w:spacing w:before="36" w:beforeLines="15" w:after="36" w:afterLines="15" w:line="240" w:lineRule="exact"/>
              <w:jc w:val="both"/>
              <w:rPr>
                <w:rFonts w:ascii="Arial" w:hAnsi="Arial" w:eastAsia="宋体" w:cs="Arial"/>
                <w:sz w:val="20"/>
              </w:rPr>
            </w:pPr>
            <w:r>
              <w:rPr>
                <w:rFonts w:ascii="Arial" w:hAnsi="Arial" w:eastAsia="宋体" w:cs="Arial"/>
                <w:sz w:val="20"/>
              </w:rPr>
              <w:t>电脑化工作监测系统</w:t>
            </w:r>
          </w:p>
        </w:tc>
        <w:tc>
          <w:tcPr>
            <w:tcW w:w="2049" w:type="pct"/>
            <w:tcBorders>
              <w:top w:val="single" w:color="000000" w:sz="6" w:space="0"/>
              <w:left w:val="nil"/>
              <w:bottom w:val="single" w:color="000000" w:sz="6" w:space="0"/>
              <w:right w:val="nil"/>
            </w:tcBorders>
          </w:tcPr>
          <w:p w14:paraId="0E4F5332">
            <w:pPr>
              <w:pStyle w:val="20"/>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系统、监测、工作进度</w:t>
            </w:r>
          </w:p>
        </w:tc>
        <w:tc>
          <w:tcPr>
            <w:tcW w:w="467" w:type="pct"/>
            <w:tcBorders>
              <w:top w:val="single" w:color="000000" w:sz="6" w:space="0"/>
              <w:left w:val="nil"/>
              <w:bottom w:val="single" w:color="000000" w:sz="6" w:space="0"/>
              <w:right w:val="nil"/>
            </w:tcBorders>
          </w:tcPr>
          <w:p w14:paraId="5059E2AC">
            <w:pPr>
              <w:pStyle w:val="20"/>
              <w:snapToGrid w:val="0"/>
              <w:spacing w:before="36" w:beforeLines="15" w:after="36" w:afterLines="15" w:line="24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auto" w:sz="4" w:space="0"/>
            </w:tcBorders>
          </w:tcPr>
          <w:p w14:paraId="1AC04293">
            <w:pPr>
              <w:pStyle w:val="20"/>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510(k)</w:t>
            </w:r>
          </w:p>
        </w:tc>
      </w:tr>
    </w:tbl>
    <w:p w14:paraId="1CD86336">
      <w:pPr>
        <w:snapToGrid w:val="0"/>
        <w:spacing w:line="300" w:lineRule="auto"/>
        <w:jc w:val="both"/>
        <w:rPr>
          <w:rFonts w:ascii="Arial" w:hAnsi="Arial" w:eastAsia="宋体" w:cs="Arial"/>
          <w:sz w:val="20"/>
          <w:szCs w:val="20"/>
        </w:rPr>
        <w:sectPr>
          <w:pgSz w:w="12260" w:h="15840"/>
          <w:pgMar w:top="1134" w:right="1134" w:bottom="1134" w:left="1134" w:header="748" w:footer="773" w:gutter="0"/>
          <w:cols w:space="720" w:num="1"/>
          <w:docGrid w:linePitch="299" w:charSpace="0"/>
        </w:sectPr>
      </w:pPr>
    </w:p>
    <w:tbl>
      <w:tblPr>
        <w:tblStyle w:val="18"/>
        <w:tblW w:w="5000" w:type="pct"/>
        <w:tblInd w:w="0" w:type="dxa"/>
        <w:tblLayout w:type="autofit"/>
        <w:tblCellMar>
          <w:top w:w="0" w:type="dxa"/>
          <w:left w:w="0" w:type="dxa"/>
          <w:bottom w:w="0" w:type="dxa"/>
          <w:right w:w="0" w:type="dxa"/>
        </w:tblCellMar>
      </w:tblPr>
      <w:tblGrid>
        <w:gridCol w:w="1273"/>
        <w:gridCol w:w="2176"/>
        <w:gridCol w:w="4211"/>
        <w:gridCol w:w="831"/>
        <w:gridCol w:w="1517"/>
      </w:tblGrid>
      <w:tr w14:paraId="2211018C">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19848830">
            <w:pPr>
              <w:pStyle w:val="20"/>
              <w:snapToGrid w:val="0"/>
              <w:spacing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法规编号</w:t>
            </w:r>
          </w:p>
        </w:tc>
        <w:tc>
          <w:tcPr>
            <w:tcW w:w="1087" w:type="pct"/>
            <w:tcBorders>
              <w:top w:val="single" w:color="000000" w:sz="6" w:space="0"/>
              <w:left w:val="nil"/>
              <w:bottom w:val="single" w:color="000000" w:sz="6" w:space="0"/>
              <w:right w:val="nil"/>
            </w:tcBorders>
          </w:tcPr>
          <w:p w14:paraId="16E60FC6">
            <w:pPr>
              <w:pStyle w:val="20"/>
              <w:snapToGrid w:val="0"/>
              <w:spacing w:line="280" w:lineRule="exact"/>
              <w:rPr>
                <w:rFonts w:ascii="Arial" w:hAnsi="Arial" w:eastAsia="宋体" w:cs="Arial"/>
                <w:b/>
                <w:color w:val="000080"/>
                <w:sz w:val="20"/>
                <w:lang w:eastAsia="zh-CN"/>
              </w:rPr>
            </w:pPr>
            <w:r>
              <w:rPr>
                <w:rFonts w:ascii="Arial" w:hAnsi="Arial" w:eastAsia="宋体" w:cs="Arial"/>
                <w:b/>
                <w:color w:val="000080"/>
                <w:sz w:val="20"/>
                <w:lang w:eastAsia="zh-CN"/>
              </w:rPr>
              <w:t>法规说明</w:t>
            </w:r>
          </w:p>
        </w:tc>
        <w:tc>
          <w:tcPr>
            <w:tcW w:w="2104" w:type="pct"/>
            <w:tcBorders>
              <w:top w:val="single" w:color="000000" w:sz="6" w:space="0"/>
              <w:left w:val="nil"/>
              <w:bottom w:val="single" w:color="000000" w:sz="6" w:space="0"/>
              <w:right w:val="nil"/>
            </w:tcBorders>
          </w:tcPr>
          <w:p w14:paraId="479A6731">
            <w:pPr>
              <w:pStyle w:val="20"/>
              <w:snapToGrid w:val="0"/>
              <w:spacing w:line="280" w:lineRule="exact"/>
              <w:rPr>
                <w:rFonts w:ascii="Arial" w:hAnsi="Arial" w:eastAsia="宋体" w:cs="Arial"/>
                <w:b/>
                <w:color w:val="000080"/>
                <w:sz w:val="20"/>
                <w:lang w:eastAsia="zh-CN"/>
              </w:rPr>
            </w:pPr>
            <w:r>
              <w:rPr>
                <w:rFonts w:ascii="Arial" w:hAnsi="Arial" w:eastAsia="宋体" w:cs="Arial"/>
                <w:b/>
                <w:color w:val="000080"/>
                <w:sz w:val="20"/>
                <w:lang w:eastAsia="zh-CN"/>
              </w:rPr>
              <w:t>法规中的示例器械（和当前产品代码）</w:t>
            </w:r>
          </w:p>
        </w:tc>
        <w:tc>
          <w:tcPr>
            <w:tcW w:w="415" w:type="pct"/>
            <w:tcBorders>
              <w:top w:val="single" w:color="000000" w:sz="6" w:space="0"/>
              <w:left w:val="nil"/>
              <w:bottom w:val="single" w:color="000000" w:sz="6" w:space="0"/>
              <w:right w:val="nil"/>
            </w:tcBorders>
          </w:tcPr>
          <w:p w14:paraId="1D83A551">
            <w:pPr>
              <w:pStyle w:val="20"/>
              <w:snapToGrid w:val="0"/>
              <w:spacing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器械类别</w:t>
            </w:r>
          </w:p>
        </w:tc>
        <w:tc>
          <w:tcPr>
            <w:tcW w:w="758" w:type="pct"/>
            <w:tcBorders>
              <w:top w:val="single" w:color="000000" w:sz="6" w:space="0"/>
              <w:left w:val="nil"/>
              <w:bottom w:val="single" w:color="000000" w:sz="6" w:space="0"/>
              <w:right w:val="single" w:color="000000" w:sz="6" w:space="0"/>
            </w:tcBorders>
          </w:tcPr>
          <w:p w14:paraId="276A247E">
            <w:pPr>
              <w:pStyle w:val="20"/>
              <w:snapToGrid w:val="0"/>
              <w:spacing w:line="280" w:lineRule="exact"/>
              <w:jc w:val="center"/>
              <w:rPr>
                <w:rFonts w:ascii="Arial" w:hAnsi="Arial" w:eastAsia="宋体" w:cs="Arial"/>
                <w:b/>
                <w:color w:val="000080"/>
                <w:sz w:val="20"/>
                <w:lang w:eastAsia="zh-CN"/>
              </w:rPr>
            </w:pPr>
            <w:r>
              <w:rPr>
                <w:rFonts w:ascii="Arial" w:hAnsi="Arial" w:eastAsia="宋体" w:cs="Arial"/>
                <w:b/>
                <w:color w:val="000080"/>
                <w:sz w:val="20"/>
                <w:lang w:eastAsia="zh-CN"/>
              </w:rPr>
              <w:t>提交材料类型</w:t>
            </w:r>
          </w:p>
        </w:tc>
      </w:tr>
      <w:tr w14:paraId="3AD72533">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798A7B30">
            <w:pPr>
              <w:snapToGrid w:val="0"/>
              <w:spacing w:line="280" w:lineRule="exact"/>
              <w:jc w:val="both"/>
              <w:rPr>
                <w:rFonts w:ascii="Arial" w:hAnsi="Arial" w:eastAsia="宋体" w:cs="Arial"/>
              </w:rPr>
            </w:pPr>
          </w:p>
        </w:tc>
        <w:tc>
          <w:tcPr>
            <w:tcW w:w="1087" w:type="pct"/>
            <w:tcBorders>
              <w:top w:val="single" w:color="000000" w:sz="6" w:space="0"/>
              <w:left w:val="nil"/>
              <w:bottom w:val="single" w:color="000000" w:sz="6" w:space="0"/>
              <w:right w:val="nil"/>
            </w:tcBorders>
          </w:tcPr>
          <w:p w14:paraId="1EB1AA90">
            <w:pPr>
              <w:pStyle w:val="20"/>
              <w:snapToGrid w:val="0"/>
              <w:spacing w:line="280" w:lineRule="exact"/>
              <w:jc w:val="both"/>
              <w:rPr>
                <w:rFonts w:ascii="Arial" w:hAnsi="Arial" w:eastAsia="宋体" w:cs="Arial"/>
                <w:sz w:val="20"/>
              </w:rPr>
            </w:pPr>
          </w:p>
        </w:tc>
        <w:tc>
          <w:tcPr>
            <w:tcW w:w="2104" w:type="pct"/>
            <w:tcBorders>
              <w:top w:val="single" w:color="000000" w:sz="6" w:space="0"/>
              <w:left w:val="nil"/>
              <w:bottom w:val="single" w:color="000000" w:sz="6" w:space="0"/>
              <w:right w:val="nil"/>
            </w:tcBorders>
          </w:tcPr>
          <w:p w14:paraId="15593FE4">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(NPB)</w:t>
            </w:r>
          </w:p>
        </w:tc>
        <w:tc>
          <w:tcPr>
            <w:tcW w:w="415" w:type="pct"/>
            <w:tcBorders>
              <w:top w:val="single" w:color="000000" w:sz="6" w:space="0"/>
              <w:left w:val="nil"/>
              <w:bottom w:val="single" w:color="000000" w:sz="6" w:space="0"/>
              <w:right w:val="nil"/>
            </w:tcBorders>
          </w:tcPr>
          <w:p w14:paraId="5B1E3D01">
            <w:pPr>
              <w:snapToGrid w:val="0"/>
              <w:spacing w:line="280" w:lineRule="exact"/>
              <w:jc w:val="both"/>
              <w:rPr>
                <w:rFonts w:ascii="Arial" w:hAnsi="Arial" w:eastAsia="宋体" w:cs="Arial"/>
              </w:rPr>
            </w:pPr>
          </w:p>
        </w:tc>
        <w:tc>
          <w:tcPr>
            <w:tcW w:w="758" w:type="pct"/>
            <w:tcBorders>
              <w:top w:val="single" w:color="000000" w:sz="6" w:space="0"/>
              <w:left w:val="nil"/>
              <w:bottom w:val="single" w:color="000000" w:sz="6" w:space="0"/>
              <w:right w:val="single" w:color="000000" w:sz="6" w:space="0"/>
            </w:tcBorders>
          </w:tcPr>
          <w:p w14:paraId="64719F41">
            <w:pPr>
              <w:snapToGrid w:val="0"/>
              <w:spacing w:line="280" w:lineRule="exact"/>
              <w:jc w:val="both"/>
              <w:rPr>
                <w:rFonts w:ascii="Arial" w:hAnsi="Arial" w:eastAsia="宋体" w:cs="Arial"/>
              </w:rPr>
            </w:pPr>
          </w:p>
        </w:tc>
      </w:tr>
      <w:tr w14:paraId="740710A0">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0D21BF75">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884.2900</w:t>
            </w:r>
          </w:p>
        </w:tc>
        <w:tc>
          <w:tcPr>
            <w:tcW w:w="1087" w:type="pct"/>
            <w:tcBorders>
              <w:top w:val="single" w:color="000000" w:sz="6" w:space="0"/>
              <w:left w:val="nil"/>
              <w:bottom w:val="single" w:color="000000" w:sz="6" w:space="0"/>
              <w:right w:val="nil"/>
            </w:tcBorders>
          </w:tcPr>
          <w:p w14:paraId="19B7A219">
            <w:pPr>
              <w:pStyle w:val="20"/>
              <w:snapToGrid w:val="0"/>
              <w:spacing w:line="280" w:lineRule="exact"/>
              <w:jc w:val="both"/>
              <w:rPr>
                <w:rFonts w:ascii="Arial" w:hAnsi="Arial" w:eastAsia="宋体" w:cs="Arial"/>
                <w:sz w:val="20"/>
              </w:rPr>
            </w:pPr>
            <w:r>
              <w:rPr>
                <w:rFonts w:ascii="Arial" w:hAnsi="Arial" w:eastAsia="宋体" w:cs="Arial"/>
                <w:sz w:val="20"/>
              </w:rPr>
              <w:t>胎儿听诊器</w:t>
            </w:r>
          </w:p>
        </w:tc>
        <w:tc>
          <w:tcPr>
            <w:tcW w:w="2104" w:type="pct"/>
            <w:tcBorders>
              <w:top w:val="single" w:color="000000" w:sz="6" w:space="0"/>
              <w:left w:val="nil"/>
              <w:bottom w:val="single" w:color="000000" w:sz="6" w:space="0"/>
              <w:right w:val="nil"/>
            </w:tcBorders>
          </w:tcPr>
          <w:p w14:paraId="72E1C85E">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听诊器、胎儿（HGN）</w:t>
            </w:r>
          </w:p>
        </w:tc>
        <w:tc>
          <w:tcPr>
            <w:tcW w:w="415" w:type="pct"/>
            <w:tcBorders>
              <w:top w:val="single" w:color="000000" w:sz="6" w:space="0"/>
              <w:left w:val="nil"/>
              <w:bottom w:val="single" w:color="000000" w:sz="6" w:space="0"/>
              <w:right w:val="nil"/>
            </w:tcBorders>
          </w:tcPr>
          <w:p w14:paraId="405E5D4D">
            <w:pPr>
              <w:pStyle w:val="20"/>
              <w:snapToGrid w:val="0"/>
              <w:spacing w:line="28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single" w:color="000000" w:sz="6" w:space="0"/>
              <w:right w:val="single" w:color="000000" w:sz="6" w:space="0"/>
            </w:tcBorders>
          </w:tcPr>
          <w:p w14:paraId="3C8ECBBE">
            <w:pPr>
              <w:pStyle w:val="20"/>
              <w:snapToGrid w:val="0"/>
              <w:spacing w:line="280" w:lineRule="exact"/>
              <w:jc w:val="both"/>
              <w:rPr>
                <w:rFonts w:ascii="Arial" w:hAnsi="Arial" w:eastAsia="宋体" w:cs="Arial"/>
                <w:sz w:val="20"/>
                <w:szCs w:val="20"/>
              </w:rPr>
            </w:pPr>
            <w:r>
              <w:rPr>
                <w:rFonts w:ascii="Arial" w:hAnsi="Arial" w:eastAsia="宋体" w:cs="Arial"/>
                <w:sz w:val="20"/>
              </w:rPr>
              <w:t>510(k) 豁免</w:t>
            </w:r>
          </w:p>
        </w:tc>
      </w:tr>
      <w:tr w14:paraId="47BAFF49">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6EC6F8E1">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884.6120</w:t>
            </w:r>
          </w:p>
        </w:tc>
        <w:tc>
          <w:tcPr>
            <w:tcW w:w="1087" w:type="pct"/>
            <w:vMerge w:val="restart"/>
            <w:tcBorders>
              <w:top w:val="single" w:color="000000" w:sz="6" w:space="0"/>
              <w:left w:val="nil"/>
              <w:right w:val="nil"/>
            </w:tcBorders>
          </w:tcPr>
          <w:p w14:paraId="6829C199">
            <w:pPr>
              <w:pStyle w:val="20"/>
              <w:snapToGrid w:val="0"/>
              <w:spacing w:line="280" w:lineRule="exact"/>
              <w:jc w:val="both"/>
              <w:rPr>
                <w:rFonts w:ascii="Arial" w:hAnsi="Arial" w:eastAsia="宋体" w:cs="Arial"/>
                <w:sz w:val="20"/>
              </w:rPr>
            </w:pPr>
            <w:r>
              <w:rPr>
                <w:rFonts w:ascii="Arial" w:hAnsi="Arial" w:eastAsia="宋体" w:cs="Arial"/>
                <w:sz w:val="20"/>
              </w:rPr>
              <w:t>辅助生殖附件</w:t>
            </w:r>
          </w:p>
          <w:p w14:paraId="09B728FC">
            <w:pPr>
              <w:pStyle w:val="20"/>
              <w:snapToGrid w:val="0"/>
              <w:spacing w:line="280" w:lineRule="exact"/>
              <w:jc w:val="both"/>
              <w:rPr>
                <w:rFonts w:ascii="Arial" w:hAnsi="Arial" w:eastAsia="宋体" w:cs="Arial"/>
                <w:sz w:val="20"/>
              </w:rPr>
            </w:pPr>
          </w:p>
        </w:tc>
        <w:tc>
          <w:tcPr>
            <w:tcW w:w="2104" w:type="pct"/>
            <w:tcBorders>
              <w:top w:val="single" w:color="000000" w:sz="6" w:space="0"/>
              <w:left w:val="nil"/>
              <w:bottom w:val="nil"/>
              <w:right w:val="nil"/>
            </w:tcBorders>
          </w:tcPr>
          <w:p w14:paraId="77377E8C">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附件、辅助生殖（MQG）</w:t>
            </w:r>
          </w:p>
        </w:tc>
        <w:tc>
          <w:tcPr>
            <w:tcW w:w="415" w:type="pct"/>
            <w:tcBorders>
              <w:top w:val="single" w:color="000000" w:sz="6" w:space="0"/>
              <w:left w:val="nil"/>
              <w:bottom w:val="nil"/>
              <w:right w:val="nil"/>
            </w:tcBorders>
          </w:tcPr>
          <w:p w14:paraId="1EE83263">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000000" w:sz="6" w:space="0"/>
            </w:tcBorders>
          </w:tcPr>
          <w:p w14:paraId="0C8482F9">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r w14:paraId="515E8CC4">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755AF2D8">
            <w:pPr>
              <w:snapToGrid w:val="0"/>
              <w:spacing w:line="280" w:lineRule="exact"/>
              <w:jc w:val="both"/>
              <w:rPr>
                <w:rFonts w:ascii="Arial" w:hAnsi="Arial" w:eastAsia="宋体" w:cs="Arial"/>
              </w:rPr>
            </w:pPr>
          </w:p>
        </w:tc>
        <w:tc>
          <w:tcPr>
            <w:tcW w:w="1087" w:type="pct"/>
            <w:vMerge w:val="continue"/>
            <w:tcBorders>
              <w:left w:val="nil"/>
              <w:bottom w:val="single" w:color="000000" w:sz="6" w:space="0"/>
              <w:right w:val="nil"/>
            </w:tcBorders>
          </w:tcPr>
          <w:p w14:paraId="21371346">
            <w:pPr>
              <w:pStyle w:val="20"/>
              <w:snapToGrid w:val="0"/>
              <w:spacing w:line="280" w:lineRule="exact"/>
              <w:jc w:val="both"/>
              <w:rPr>
                <w:rFonts w:ascii="Arial" w:hAnsi="Arial" w:eastAsia="宋体" w:cs="Arial"/>
                <w:sz w:val="20"/>
              </w:rPr>
            </w:pPr>
          </w:p>
        </w:tc>
        <w:tc>
          <w:tcPr>
            <w:tcW w:w="2104" w:type="pct"/>
            <w:tcBorders>
              <w:top w:val="nil"/>
              <w:left w:val="nil"/>
              <w:bottom w:val="single" w:color="000000" w:sz="6" w:space="0"/>
              <w:right w:val="nil"/>
            </w:tcBorders>
          </w:tcPr>
          <w:p w14:paraId="02911F05">
            <w:pPr>
              <w:pStyle w:val="20"/>
              <w:snapToGrid w:val="0"/>
              <w:spacing w:line="280" w:lineRule="exact"/>
              <w:jc w:val="both"/>
              <w:rPr>
                <w:rFonts w:ascii="Arial" w:hAnsi="Arial" w:eastAsia="宋体" w:cs="Arial"/>
                <w:sz w:val="20"/>
                <w:lang w:eastAsia="zh-CN"/>
              </w:rPr>
            </w:pPr>
          </w:p>
        </w:tc>
        <w:tc>
          <w:tcPr>
            <w:tcW w:w="415" w:type="pct"/>
            <w:tcBorders>
              <w:top w:val="nil"/>
              <w:left w:val="nil"/>
              <w:bottom w:val="single" w:color="000000" w:sz="6" w:space="0"/>
              <w:right w:val="nil"/>
            </w:tcBorders>
          </w:tcPr>
          <w:p w14:paraId="2DBA2331">
            <w:pPr>
              <w:snapToGrid w:val="0"/>
              <w:spacing w:line="280" w:lineRule="exact"/>
              <w:jc w:val="center"/>
              <w:rPr>
                <w:rFonts w:ascii="Arial" w:hAnsi="Arial" w:eastAsia="宋体" w:cs="Arial"/>
              </w:rPr>
            </w:pPr>
          </w:p>
        </w:tc>
        <w:tc>
          <w:tcPr>
            <w:tcW w:w="758" w:type="pct"/>
            <w:tcBorders>
              <w:top w:val="nil"/>
              <w:left w:val="nil"/>
              <w:bottom w:val="single" w:color="000000" w:sz="6" w:space="0"/>
              <w:right w:val="single" w:color="000000" w:sz="6" w:space="0"/>
            </w:tcBorders>
          </w:tcPr>
          <w:p w14:paraId="506A9EE4">
            <w:pPr>
              <w:snapToGrid w:val="0"/>
              <w:spacing w:line="280" w:lineRule="exact"/>
              <w:jc w:val="both"/>
              <w:rPr>
                <w:rFonts w:ascii="Arial" w:hAnsi="Arial" w:eastAsia="宋体" w:cs="Arial"/>
              </w:rPr>
            </w:pPr>
          </w:p>
        </w:tc>
      </w:tr>
      <w:tr w14:paraId="4F89AB33">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54B41363">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884.6190</w:t>
            </w:r>
          </w:p>
        </w:tc>
        <w:tc>
          <w:tcPr>
            <w:tcW w:w="1087" w:type="pct"/>
            <w:vMerge w:val="restart"/>
            <w:tcBorders>
              <w:top w:val="single" w:color="000000" w:sz="6" w:space="0"/>
              <w:left w:val="nil"/>
              <w:right w:val="nil"/>
            </w:tcBorders>
          </w:tcPr>
          <w:p w14:paraId="1D3234D9">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辅助生殖显微镜和显微镜附件</w:t>
            </w:r>
          </w:p>
          <w:p w14:paraId="72F5AB17">
            <w:pPr>
              <w:pStyle w:val="20"/>
              <w:snapToGrid w:val="0"/>
              <w:spacing w:line="280" w:lineRule="exact"/>
              <w:jc w:val="both"/>
              <w:rPr>
                <w:rFonts w:ascii="Arial" w:hAnsi="Arial" w:eastAsia="宋体" w:cs="Arial"/>
                <w:sz w:val="20"/>
                <w:lang w:eastAsia="zh-CN"/>
              </w:rPr>
            </w:pPr>
          </w:p>
        </w:tc>
        <w:tc>
          <w:tcPr>
            <w:tcW w:w="2104" w:type="pct"/>
            <w:tcBorders>
              <w:top w:val="single" w:color="000000" w:sz="6" w:space="0"/>
              <w:left w:val="nil"/>
              <w:bottom w:val="nil"/>
              <w:right w:val="nil"/>
            </w:tcBorders>
          </w:tcPr>
          <w:p w14:paraId="0D4C99D2">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显微镜和显微镜附件、</w:t>
            </w:r>
          </w:p>
        </w:tc>
        <w:tc>
          <w:tcPr>
            <w:tcW w:w="415" w:type="pct"/>
            <w:tcBorders>
              <w:top w:val="single" w:color="000000" w:sz="6" w:space="0"/>
              <w:left w:val="nil"/>
              <w:bottom w:val="nil"/>
              <w:right w:val="nil"/>
            </w:tcBorders>
          </w:tcPr>
          <w:p w14:paraId="410526EC">
            <w:pPr>
              <w:pStyle w:val="20"/>
              <w:snapToGrid w:val="0"/>
              <w:spacing w:line="28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nil"/>
              <w:right w:val="single" w:color="000000" w:sz="6" w:space="0"/>
            </w:tcBorders>
          </w:tcPr>
          <w:p w14:paraId="6DC113D5">
            <w:pPr>
              <w:pStyle w:val="20"/>
              <w:snapToGrid w:val="0"/>
              <w:spacing w:line="280" w:lineRule="exact"/>
              <w:jc w:val="both"/>
              <w:rPr>
                <w:rFonts w:ascii="Arial" w:hAnsi="Arial" w:eastAsia="宋体" w:cs="Arial"/>
                <w:sz w:val="20"/>
                <w:szCs w:val="20"/>
              </w:rPr>
            </w:pPr>
            <w:r>
              <w:rPr>
                <w:rFonts w:ascii="Arial" w:hAnsi="Arial" w:eastAsia="宋体" w:cs="Arial"/>
                <w:sz w:val="20"/>
              </w:rPr>
              <w:t>510(k) 豁免</w:t>
            </w:r>
          </w:p>
        </w:tc>
      </w:tr>
      <w:tr w14:paraId="0F352EF9">
        <w:tblPrEx>
          <w:tblCellMar>
            <w:top w:w="0" w:type="dxa"/>
            <w:left w:w="0" w:type="dxa"/>
            <w:bottom w:w="0" w:type="dxa"/>
            <w:right w:w="0" w:type="dxa"/>
          </w:tblCellMar>
        </w:tblPrEx>
        <w:tc>
          <w:tcPr>
            <w:tcW w:w="636" w:type="pct"/>
            <w:tcBorders>
              <w:top w:val="nil"/>
              <w:left w:val="single" w:color="000000" w:sz="6" w:space="0"/>
              <w:bottom w:val="nil"/>
              <w:right w:val="nil"/>
            </w:tcBorders>
          </w:tcPr>
          <w:p w14:paraId="66A5E60C">
            <w:pPr>
              <w:snapToGrid w:val="0"/>
              <w:spacing w:line="280" w:lineRule="exact"/>
              <w:jc w:val="both"/>
              <w:rPr>
                <w:rFonts w:ascii="Arial" w:hAnsi="Arial" w:eastAsia="宋体" w:cs="Arial"/>
              </w:rPr>
            </w:pPr>
          </w:p>
        </w:tc>
        <w:tc>
          <w:tcPr>
            <w:tcW w:w="1087" w:type="pct"/>
            <w:vMerge w:val="continue"/>
            <w:tcBorders>
              <w:left w:val="nil"/>
              <w:right w:val="nil"/>
            </w:tcBorders>
          </w:tcPr>
          <w:p w14:paraId="2A81A029">
            <w:pPr>
              <w:pStyle w:val="20"/>
              <w:snapToGrid w:val="0"/>
              <w:spacing w:line="280" w:lineRule="exact"/>
              <w:jc w:val="both"/>
              <w:rPr>
                <w:rFonts w:ascii="Arial" w:hAnsi="Arial" w:eastAsia="宋体" w:cs="Arial"/>
                <w:sz w:val="20"/>
              </w:rPr>
            </w:pPr>
          </w:p>
        </w:tc>
        <w:tc>
          <w:tcPr>
            <w:tcW w:w="2104" w:type="pct"/>
            <w:tcBorders>
              <w:top w:val="nil"/>
              <w:left w:val="nil"/>
              <w:bottom w:val="nil"/>
              <w:right w:val="nil"/>
            </w:tcBorders>
          </w:tcPr>
          <w:p w14:paraId="3C1B7423">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生殖、辅助（MTX）</w:t>
            </w:r>
          </w:p>
        </w:tc>
        <w:tc>
          <w:tcPr>
            <w:tcW w:w="415" w:type="pct"/>
            <w:tcBorders>
              <w:top w:val="nil"/>
              <w:left w:val="nil"/>
              <w:bottom w:val="nil"/>
              <w:right w:val="nil"/>
            </w:tcBorders>
          </w:tcPr>
          <w:p w14:paraId="21329B03">
            <w:pPr>
              <w:snapToGrid w:val="0"/>
              <w:spacing w:line="280" w:lineRule="exact"/>
              <w:jc w:val="center"/>
              <w:rPr>
                <w:rFonts w:ascii="Arial" w:hAnsi="Arial" w:eastAsia="宋体" w:cs="Arial"/>
                <w:lang w:eastAsia="zh-CN"/>
              </w:rPr>
            </w:pPr>
          </w:p>
        </w:tc>
        <w:tc>
          <w:tcPr>
            <w:tcW w:w="758" w:type="pct"/>
            <w:tcBorders>
              <w:top w:val="nil"/>
              <w:left w:val="nil"/>
              <w:bottom w:val="nil"/>
              <w:right w:val="single" w:color="000000" w:sz="6" w:space="0"/>
            </w:tcBorders>
          </w:tcPr>
          <w:p w14:paraId="4CF43836">
            <w:pPr>
              <w:snapToGrid w:val="0"/>
              <w:spacing w:line="280" w:lineRule="exact"/>
              <w:jc w:val="both"/>
              <w:rPr>
                <w:rFonts w:ascii="Arial" w:hAnsi="Arial" w:eastAsia="宋体" w:cs="Arial"/>
                <w:lang w:eastAsia="zh-CN"/>
              </w:rPr>
            </w:pPr>
          </w:p>
        </w:tc>
      </w:tr>
      <w:tr w14:paraId="1E79B4AE">
        <w:tblPrEx>
          <w:tblCellMar>
            <w:top w:w="0" w:type="dxa"/>
            <w:left w:w="0" w:type="dxa"/>
            <w:bottom w:w="0" w:type="dxa"/>
            <w:right w:w="0" w:type="dxa"/>
          </w:tblCellMar>
        </w:tblPrEx>
        <w:tc>
          <w:tcPr>
            <w:tcW w:w="636" w:type="pct"/>
            <w:tcBorders>
              <w:top w:val="nil"/>
              <w:left w:val="single" w:color="000000" w:sz="6" w:space="0"/>
              <w:bottom w:val="nil"/>
              <w:right w:val="nil"/>
            </w:tcBorders>
          </w:tcPr>
          <w:p w14:paraId="1121E555">
            <w:pPr>
              <w:snapToGrid w:val="0"/>
              <w:spacing w:line="280" w:lineRule="exact"/>
              <w:jc w:val="both"/>
              <w:rPr>
                <w:rFonts w:ascii="Arial" w:hAnsi="Arial" w:eastAsia="宋体" w:cs="Arial"/>
                <w:lang w:eastAsia="zh-CN"/>
              </w:rPr>
            </w:pPr>
          </w:p>
        </w:tc>
        <w:tc>
          <w:tcPr>
            <w:tcW w:w="1087" w:type="pct"/>
            <w:vMerge w:val="continue"/>
            <w:tcBorders>
              <w:left w:val="nil"/>
              <w:right w:val="nil"/>
            </w:tcBorders>
          </w:tcPr>
          <w:p w14:paraId="4EAD19C7">
            <w:pPr>
              <w:pStyle w:val="20"/>
              <w:snapToGrid w:val="0"/>
              <w:spacing w:line="280" w:lineRule="exact"/>
              <w:jc w:val="both"/>
              <w:rPr>
                <w:rFonts w:ascii="Arial" w:hAnsi="Arial" w:eastAsia="宋体" w:cs="Arial"/>
                <w:sz w:val="20"/>
                <w:lang w:eastAsia="zh-CN"/>
              </w:rPr>
            </w:pPr>
          </w:p>
        </w:tc>
        <w:tc>
          <w:tcPr>
            <w:tcW w:w="2104" w:type="pct"/>
            <w:tcBorders>
              <w:top w:val="nil"/>
              <w:left w:val="nil"/>
              <w:bottom w:val="nil"/>
              <w:right w:val="nil"/>
            </w:tcBorders>
          </w:tcPr>
          <w:p w14:paraId="5C5A5DB9">
            <w:pPr>
              <w:pStyle w:val="20"/>
              <w:snapToGrid w:val="0"/>
              <w:spacing w:line="280" w:lineRule="exact"/>
              <w:jc w:val="both"/>
              <w:rPr>
                <w:rFonts w:ascii="Arial" w:hAnsi="Arial" w:eastAsia="宋体" w:cs="Arial"/>
                <w:sz w:val="20"/>
                <w:lang w:eastAsia="zh-CN"/>
              </w:rPr>
            </w:pPr>
          </w:p>
        </w:tc>
        <w:tc>
          <w:tcPr>
            <w:tcW w:w="415" w:type="pct"/>
            <w:tcBorders>
              <w:top w:val="nil"/>
              <w:left w:val="nil"/>
              <w:bottom w:val="nil"/>
              <w:right w:val="nil"/>
            </w:tcBorders>
          </w:tcPr>
          <w:p w14:paraId="300E9EF4">
            <w:pPr>
              <w:snapToGrid w:val="0"/>
              <w:spacing w:line="280" w:lineRule="exact"/>
              <w:jc w:val="center"/>
              <w:rPr>
                <w:rFonts w:ascii="Arial" w:hAnsi="Arial" w:eastAsia="宋体" w:cs="Arial"/>
                <w:lang w:eastAsia="zh-CN"/>
              </w:rPr>
            </w:pPr>
          </w:p>
        </w:tc>
        <w:tc>
          <w:tcPr>
            <w:tcW w:w="758" w:type="pct"/>
            <w:tcBorders>
              <w:top w:val="nil"/>
              <w:left w:val="nil"/>
              <w:bottom w:val="nil"/>
              <w:right w:val="single" w:color="000000" w:sz="6" w:space="0"/>
            </w:tcBorders>
          </w:tcPr>
          <w:p w14:paraId="569F5DC9">
            <w:pPr>
              <w:snapToGrid w:val="0"/>
              <w:spacing w:line="280" w:lineRule="exact"/>
              <w:jc w:val="both"/>
              <w:rPr>
                <w:rFonts w:ascii="Arial" w:hAnsi="Arial" w:eastAsia="宋体" w:cs="Arial"/>
                <w:lang w:eastAsia="zh-CN"/>
              </w:rPr>
            </w:pPr>
          </w:p>
        </w:tc>
      </w:tr>
      <w:tr w14:paraId="5DF7FA87">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21496E60">
            <w:pPr>
              <w:snapToGrid w:val="0"/>
              <w:spacing w:line="280" w:lineRule="exact"/>
              <w:jc w:val="both"/>
              <w:rPr>
                <w:rFonts w:ascii="Arial" w:hAnsi="Arial" w:eastAsia="宋体" w:cs="Arial"/>
                <w:lang w:eastAsia="zh-CN"/>
              </w:rPr>
            </w:pPr>
          </w:p>
        </w:tc>
        <w:tc>
          <w:tcPr>
            <w:tcW w:w="1087" w:type="pct"/>
            <w:vMerge w:val="continue"/>
            <w:tcBorders>
              <w:left w:val="nil"/>
              <w:bottom w:val="single" w:color="000000" w:sz="6" w:space="0"/>
              <w:right w:val="nil"/>
            </w:tcBorders>
          </w:tcPr>
          <w:p w14:paraId="4C30E4C7">
            <w:pPr>
              <w:pStyle w:val="20"/>
              <w:snapToGrid w:val="0"/>
              <w:spacing w:line="280" w:lineRule="exact"/>
              <w:jc w:val="both"/>
              <w:rPr>
                <w:rFonts w:ascii="Arial" w:hAnsi="Arial" w:eastAsia="宋体" w:cs="Arial"/>
                <w:sz w:val="20"/>
                <w:lang w:eastAsia="zh-CN"/>
              </w:rPr>
            </w:pPr>
          </w:p>
        </w:tc>
        <w:tc>
          <w:tcPr>
            <w:tcW w:w="2104" w:type="pct"/>
            <w:tcBorders>
              <w:top w:val="nil"/>
              <w:left w:val="nil"/>
              <w:bottom w:val="single" w:color="000000" w:sz="6" w:space="0"/>
              <w:right w:val="nil"/>
            </w:tcBorders>
          </w:tcPr>
          <w:p w14:paraId="66780A5E">
            <w:pPr>
              <w:pStyle w:val="20"/>
              <w:snapToGrid w:val="0"/>
              <w:spacing w:line="280" w:lineRule="exact"/>
              <w:jc w:val="both"/>
              <w:rPr>
                <w:rFonts w:ascii="Arial" w:hAnsi="Arial" w:eastAsia="宋体" w:cs="Arial"/>
                <w:sz w:val="20"/>
                <w:lang w:eastAsia="zh-CN"/>
              </w:rPr>
            </w:pPr>
          </w:p>
        </w:tc>
        <w:tc>
          <w:tcPr>
            <w:tcW w:w="415" w:type="pct"/>
            <w:tcBorders>
              <w:top w:val="nil"/>
              <w:left w:val="nil"/>
              <w:bottom w:val="single" w:color="000000" w:sz="6" w:space="0"/>
              <w:right w:val="nil"/>
            </w:tcBorders>
          </w:tcPr>
          <w:p w14:paraId="5A795117">
            <w:pPr>
              <w:snapToGrid w:val="0"/>
              <w:spacing w:line="280" w:lineRule="exact"/>
              <w:jc w:val="center"/>
              <w:rPr>
                <w:rFonts w:ascii="Arial" w:hAnsi="Arial" w:eastAsia="宋体" w:cs="Arial"/>
                <w:lang w:eastAsia="zh-CN"/>
              </w:rPr>
            </w:pPr>
          </w:p>
        </w:tc>
        <w:tc>
          <w:tcPr>
            <w:tcW w:w="758" w:type="pct"/>
            <w:tcBorders>
              <w:top w:val="nil"/>
              <w:left w:val="nil"/>
              <w:bottom w:val="single" w:color="000000" w:sz="6" w:space="0"/>
              <w:right w:val="single" w:color="000000" w:sz="6" w:space="0"/>
            </w:tcBorders>
          </w:tcPr>
          <w:p w14:paraId="1C713E74">
            <w:pPr>
              <w:snapToGrid w:val="0"/>
              <w:spacing w:line="280" w:lineRule="exact"/>
              <w:jc w:val="both"/>
              <w:rPr>
                <w:rFonts w:ascii="Arial" w:hAnsi="Arial" w:eastAsia="宋体" w:cs="Arial"/>
                <w:lang w:eastAsia="zh-CN"/>
              </w:rPr>
            </w:pPr>
          </w:p>
        </w:tc>
      </w:tr>
      <w:tr w14:paraId="62E51734">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4A04CAD3">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886.1510</w:t>
            </w:r>
          </w:p>
        </w:tc>
        <w:tc>
          <w:tcPr>
            <w:tcW w:w="1087" w:type="pct"/>
            <w:vMerge w:val="restart"/>
            <w:tcBorders>
              <w:top w:val="single" w:color="000000" w:sz="6" w:space="0"/>
              <w:left w:val="nil"/>
              <w:right w:val="nil"/>
            </w:tcBorders>
          </w:tcPr>
          <w:p w14:paraId="11C6DFB3">
            <w:pPr>
              <w:pStyle w:val="20"/>
              <w:snapToGrid w:val="0"/>
              <w:spacing w:line="280" w:lineRule="exact"/>
              <w:jc w:val="both"/>
              <w:rPr>
                <w:rFonts w:ascii="Arial" w:hAnsi="Arial" w:eastAsia="宋体" w:cs="Arial"/>
                <w:sz w:val="20"/>
              </w:rPr>
            </w:pPr>
            <w:r>
              <w:rPr>
                <w:rFonts w:ascii="Arial" w:hAnsi="Arial" w:eastAsia="宋体" w:cs="Arial"/>
                <w:sz w:val="20"/>
              </w:rPr>
              <w:t>眼动监护仪</w:t>
            </w:r>
          </w:p>
        </w:tc>
        <w:tc>
          <w:tcPr>
            <w:tcW w:w="2104" w:type="pct"/>
            <w:tcBorders>
              <w:top w:val="single" w:color="000000" w:sz="6" w:space="0"/>
              <w:left w:val="nil"/>
              <w:bottom w:val="nil"/>
              <w:right w:val="nil"/>
            </w:tcBorders>
          </w:tcPr>
          <w:p w14:paraId="417FEE16">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监护仪、眼动、诊断（HMC）</w:t>
            </w:r>
          </w:p>
        </w:tc>
        <w:tc>
          <w:tcPr>
            <w:tcW w:w="415" w:type="pct"/>
            <w:tcBorders>
              <w:top w:val="single" w:color="000000" w:sz="6" w:space="0"/>
              <w:left w:val="nil"/>
              <w:bottom w:val="nil"/>
              <w:right w:val="nil"/>
            </w:tcBorders>
          </w:tcPr>
          <w:p w14:paraId="2DF83413">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000000" w:sz="6" w:space="0"/>
            </w:tcBorders>
          </w:tcPr>
          <w:p w14:paraId="1FB38E71">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r w14:paraId="34C1D7A1">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27700DFA">
            <w:pPr>
              <w:snapToGrid w:val="0"/>
              <w:spacing w:line="280" w:lineRule="exact"/>
              <w:jc w:val="both"/>
              <w:rPr>
                <w:rFonts w:ascii="Arial" w:hAnsi="Arial" w:eastAsia="宋体" w:cs="Arial"/>
              </w:rPr>
            </w:pPr>
          </w:p>
        </w:tc>
        <w:tc>
          <w:tcPr>
            <w:tcW w:w="1087" w:type="pct"/>
            <w:vMerge w:val="continue"/>
            <w:tcBorders>
              <w:left w:val="nil"/>
              <w:bottom w:val="single" w:color="000000" w:sz="6" w:space="0"/>
              <w:right w:val="nil"/>
            </w:tcBorders>
          </w:tcPr>
          <w:p w14:paraId="2F9A0213">
            <w:pPr>
              <w:pStyle w:val="20"/>
              <w:snapToGrid w:val="0"/>
              <w:spacing w:line="280" w:lineRule="exact"/>
              <w:jc w:val="both"/>
              <w:rPr>
                <w:rFonts w:ascii="Arial" w:hAnsi="Arial" w:eastAsia="宋体" w:cs="Arial"/>
                <w:sz w:val="20"/>
              </w:rPr>
            </w:pPr>
          </w:p>
        </w:tc>
        <w:tc>
          <w:tcPr>
            <w:tcW w:w="2104" w:type="pct"/>
            <w:tcBorders>
              <w:top w:val="nil"/>
              <w:left w:val="nil"/>
              <w:bottom w:val="single" w:color="000000" w:sz="6" w:space="0"/>
              <w:right w:val="nil"/>
            </w:tcBorders>
          </w:tcPr>
          <w:p w14:paraId="04333B96">
            <w:pPr>
              <w:pStyle w:val="20"/>
              <w:snapToGrid w:val="0"/>
              <w:spacing w:line="280" w:lineRule="exact"/>
              <w:jc w:val="both"/>
              <w:rPr>
                <w:rFonts w:ascii="Arial" w:hAnsi="Arial" w:eastAsia="宋体" w:cs="Arial"/>
                <w:sz w:val="20"/>
                <w:lang w:eastAsia="zh-CN"/>
              </w:rPr>
            </w:pPr>
          </w:p>
        </w:tc>
        <w:tc>
          <w:tcPr>
            <w:tcW w:w="415" w:type="pct"/>
            <w:tcBorders>
              <w:top w:val="nil"/>
              <w:left w:val="nil"/>
              <w:bottom w:val="single" w:color="000000" w:sz="6" w:space="0"/>
              <w:right w:val="nil"/>
            </w:tcBorders>
          </w:tcPr>
          <w:p w14:paraId="320B704C">
            <w:pPr>
              <w:snapToGrid w:val="0"/>
              <w:spacing w:line="280" w:lineRule="exact"/>
              <w:jc w:val="center"/>
              <w:rPr>
                <w:rFonts w:ascii="Arial" w:hAnsi="Arial" w:eastAsia="宋体" w:cs="Arial"/>
              </w:rPr>
            </w:pPr>
          </w:p>
        </w:tc>
        <w:tc>
          <w:tcPr>
            <w:tcW w:w="758" w:type="pct"/>
            <w:tcBorders>
              <w:top w:val="nil"/>
              <w:left w:val="nil"/>
              <w:bottom w:val="single" w:color="000000" w:sz="6" w:space="0"/>
              <w:right w:val="single" w:color="000000" w:sz="6" w:space="0"/>
            </w:tcBorders>
          </w:tcPr>
          <w:p w14:paraId="66EB9EAF">
            <w:pPr>
              <w:snapToGrid w:val="0"/>
              <w:spacing w:line="280" w:lineRule="exact"/>
              <w:jc w:val="both"/>
              <w:rPr>
                <w:rFonts w:ascii="Arial" w:hAnsi="Arial" w:eastAsia="宋体" w:cs="Arial"/>
              </w:rPr>
            </w:pPr>
          </w:p>
        </w:tc>
      </w:tr>
      <w:tr w14:paraId="27C728A9">
        <w:tblPrEx>
          <w:tblCellMar>
            <w:top w:w="0" w:type="dxa"/>
            <w:left w:w="0" w:type="dxa"/>
            <w:bottom w:w="0" w:type="dxa"/>
            <w:right w:w="0" w:type="dxa"/>
          </w:tblCellMar>
        </w:tblPrEx>
        <w:tc>
          <w:tcPr>
            <w:tcW w:w="636" w:type="pct"/>
            <w:tcBorders>
              <w:top w:val="single" w:color="000000" w:sz="6" w:space="0"/>
              <w:left w:val="single" w:color="000000" w:sz="6" w:space="0"/>
              <w:bottom w:val="single" w:color="000000" w:sz="6" w:space="0"/>
              <w:right w:val="nil"/>
            </w:tcBorders>
          </w:tcPr>
          <w:p w14:paraId="73E75C4A">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886.1570</w:t>
            </w:r>
          </w:p>
        </w:tc>
        <w:tc>
          <w:tcPr>
            <w:tcW w:w="1087" w:type="pct"/>
            <w:tcBorders>
              <w:top w:val="single" w:color="000000" w:sz="6" w:space="0"/>
              <w:left w:val="nil"/>
              <w:bottom w:val="single" w:color="000000" w:sz="6" w:space="0"/>
              <w:right w:val="nil"/>
            </w:tcBorders>
          </w:tcPr>
          <w:p w14:paraId="5EA063FF">
            <w:pPr>
              <w:pStyle w:val="20"/>
              <w:snapToGrid w:val="0"/>
              <w:spacing w:line="280" w:lineRule="exact"/>
              <w:jc w:val="both"/>
              <w:rPr>
                <w:rFonts w:ascii="Arial" w:hAnsi="Arial" w:eastAsia="宋体" w:cs="Arial"/>
                <w:sz w:val="20"/>
              </w:rPr>
            </w:pPr>
            <w:r>
              <w:rPr>
                <w:rFonts w:ascii="Arial" w:hAnsi="Arial" w:eastAsia="宋体" w:cs="Arial"/>
                <w:sz w:val="20"/>
              </w:rPr>
              <w:t>眼科检查仪</w:t>
            </w:r>
          </w:p>
        </w:tc>
        <w:tc>
          <w:tcPr>
            <w:tcW w:w="2104" w:type="pct"/>
            <w:tcBorders>
              <w:top w:val="single" w:color="000000" w:sz="6" w:space="0"/>
              <w:left w:val="nil"/>
              <w:bottom w:val="single" w:color="000000" w:sz="6" w:space="0"/>
              <w:right w:val="nil"/>
            </w:tcBorders>
          </w:tcPr>
          <w:p w14:paraId="7F683496">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眼镜、电池供电（HLJ）</w:t>
            </w:r>
          </w:p>
        </w:tc>
        <w:tc>
          <w:tcPr>
            <w:tcW w:w="415" w:type="pct"/>
            <w:tcBorders>
              <w:top w:val="single" w:color="000000" w:sz="6" w:space="0"/>
              <w:left w:val="nil"/>
              <w:bottom w:val="single" w:color="000000" w:sz="6" w:space="0"/>
              <w:right w:val="nil"/>
            </w:tcBorders>
          </w:tcPr>
          <w:p w14:paraId="5A50A180">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single" w:color="000000" w:sz="6" w:space="0"/>
              <w:right w:val="single" w:color="000000" w:sz="6" w:space="0"/>
            </w:tcBorders>
          </w:tcPr>
          <w:p w14:paraId="1E777177">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r w14:paraId="6BF795DB">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2F9A01CA">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886.1930</w:t>
            </w:r>
          </w:p>
        </w:tc>
        <w:tc>
          <w:tcPr>
            <w:tcW w:w="1087" w:type="pct"/>
            <w:vMerge w:val="restart"/>
            <w:tcBorders>
              <w:top w:val="single" w:color="000000" w:sz="6" w:space="0"/>
              <w:left w:val="nil"/>
              <w:right w:val="nil"/>
            </w:tcBorders>
          </w:tcPr>
          <w:p w14:paraId="536E339E">
            <w:pPr>
              <w:pStyle w:val="20"/>
              <w:snapToGrid w:val="0"/>
              <w:spacing w:line="280" w:lineRule="exact"/>
              <w:jc w:val="both"/>
              <w:rPr>
                <w:rFonts w:ascii="Arial" w:hAnsi="Arial" w:eastAsia="宋体" w:cs="Arial"/>
                <w:sz w:val="20"/>
              </w:rPr>
            </w:pPr>
            <w:r>
              <w:rPr>
                <w:rFonts w:ascii="Arial" w:hAnsi="Arial" w:eastAsia="宋体" w:cs="Arial"/>
                <w:sz w:val="20"/>
              </w:rPr>
              <w:t>眼压计和附件</w:t>
            </w:r>
          </w:p>
          <w:p w14:paraId="0D2DD812">
            <w:pPr>
              <w:pStyle w:val="20"/>
              <w:snapToGrid w:val="0"/>
              <w:spacing w:line="280" w:lineRule="exact"/>
              <w:jc w:val="both"/>
              <w:rPr>
                <w:rFonts w:ascii="Arial" w:hAnsi="Arial" w:eastAsia="宋体" w:cs="Arial"/>
                <w:sz w:val="20"/>
              </w:rPr>
            </w:pPr>
          </w:p>
        </w:tc>
        <w:tc>
          <w:tcPr>
            <w:tcW w:w="2104" w:type="pct"/>
            <w:tcBorders>
              <w:top w:val="single" w:color="000000" w:sz="6" w:space="0"/>
              <w:left w:val="nil"/>
              <w:bottom w:val="nil"/>
              <w:right w:val="nil"/>
            </w:tcBorders>
          </w:tcPr>
          <w:p w14:paraId="68DCB929">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眼压计、交流电力（HPK）</w:t>
            </w:r>
          </w:p>
        </w:tc>
        <w:tc>
          <w:tcPr>
            <w:tcW w:w="415" w:type="pct"/>
            <w:tcBorders>
              <w:top w:val="single" w:color="000000" w:sz="6" w:space="0"/>
              <w:left w:val="nil"/>
              <w:bottom w:val="nil"/>
              <w:right w:val="nil"/>
            </w:tcBorders>
          </w:tcPr>
          <w:p w14:paraId="042F43E4">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000000" w:sz="6" w:space="0"/>
            </w:tcBorders>
          </w:tcPr>
          <w:p w14:paraId="07CA7147">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r w14:paraId="47773E4A">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4189EF4F">
            <w:pPr>
              <w:snapToGrid w:val="0"/>
              <w:spacing w:line="280" w:lineRule="exact"/>
              <w:jc w:val="both"/>
              <w:rPr>
                <w:rFonts w:ascii="Arial" w:hAnsi="Arial" w:eastAsia="宋体" w:cs="Arial"/>
              </w:rPr>
            </w:pPr>
          </w:p>
        </w:tc>
        <w:tc>
          <w:tcPr>
            <w:tcW w:w="1087" w:type="pct"/>
            <w:vMerge w:val="continue"/>
            <w:tcBorders>
              <w:left w:val="nil"/>
              <w:bottom w:val="single" w:color="000000" w:sz="6" w:space="0"/>
              <w:right w:val="nil"/>
            </w:tcBorders>
          </w:tcPr>
          <w:p w14:paraId="0284FBEC">
            <w:pPr>
              <w:pStyle w:val="20"/>
              <w:snapToGrid w:val="0"/>
              <w:spacing w:line="280" w:lineRule="exact"/>
              <w:jc w:val="both"/>
              <w:rPr>
                <w:rFonts w:ascii="Arial" w:hAnsi="Arial" w:eastAsia="宋体" w:cs="Arial"/>
                <w:sz w:val="20"/>
              </w:rPr>
            </w:pPr>
          </w:p>
        </w:tc>
        <w:tc>
          <w:tcPr>
            <w:tcW w:w="2104" w:type="pct"/>
            <w:tcBorders>
              <w:top w:val="nil"/>
              <w:left w:val="nil"/>
              <w:bottom w:val="single" w:color="000000" w:sz="6" w:space="0"/>
              <w:right w:val="nil"/>
            </w:tcBorders>
          </w:tcPr>
          <w:p w14:paraId="1E215461">
            <w:pPr>
              <w:pStyle w:val="20"/>
              <w:snapToGrid w:val="0"/>
              <w:spacing w:line="280" w:lineRule="exact"/>
              <w:jc w:val="both"/>
              <w:rPr>
                <w:rFonts w:ascii="Arial" w:hAnsi="Arial" w:eastAsia="宋体" w:cs="Arial"/>
                <w:sz w:val="20"/>
                <w:lang w:eastAsia="zh-CN"/>
              </w:rPr>
            </w:pPr>
          </w:p>
        </w:tc>
        <w:tc>
          <w:tcPr>
            <w:tcW w:w="415" w:type="pct"/>
            <w:tcBorders>
              <w:top w:val="nil"/>
              <w:left w:val="nil"/>
              <w:bottom w:val="single" w:color="000000" w:sz="6" w:space="0"/>
              <w:right w:val="nil"/>
            </w:tcBorders>
          </w:tcPr>
          <w:p w14:paraId="11085A55">
            <w:pPr>
              <w:snapToGrid w:val="0"/>
              <w:spacing w:line="280" w:lineRule="exact"/>
              <w:jc w:val="center"/>
              <w:rPr>
                <w:rFonts w:ascii="Arial" w:hAnsi="Arial" w:eastAsia="宋体" w:cs="Arial"/>
              </w:rPr>
            </w:pPr>
          </w:p>
        </w:tc>
        <w:tc>
          <w:tcPr>
            <w:tcW w:w="758" w:type="pct"/>
            <w:tcBorders>
              <w:top w:val="nil"/>
              <w:left w:val="nil"/>
              <w:bottom w:val="single" w:color="000000" w:sz="6" w:space="0"/>
              <w:right w:val="single" w:color="000000" w:sz="6" w:space="0"/>
            </w:tcBorders>
          </w:tcPr>
          <w:p w14:paraId="10C4CAC1">
            <w:pPr>
              <w:snapToGrid w:val="0"/>
              <w:spacing w:line="280" w:lineRule="exact"/>
              <w:jc w:val="both"/>
              <w:rPr>
                <w:rFonts w:ascii="Arial" w:hAnsi="Arial" w:eastAsia="宋体" w:cs="Arial"/>
              </w:rPr>
            </w:pPr>
          </w:p>
        </w:tc>
      </w:tr>
      <w:tr w14:paraId="7A8EF5D0">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6333D935">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886.5540</w:t>
            </w:r>
          </w:p>
        </w:tc>
        <w:tc>
          <w:tcPr>
            <w:tcW w:w="1087" w:type="pct"/>
            <w:tcBorders>
              <w:top w:val="single" w:color="000000" w:sz="6" w:space="0"/>
              <w:left w:val="nil"/>
              <w:bottom w:val="nil"/>
              <w:right w:val="nil"/>
            </w:tcBorders>
          </w:tcPr>
          <w:p w14:paraId="4AF05AB6">
            <w:pPr>
              <w:pStyle w:val="20"/>
              <w:snapToGrid w:val="0"/>
              <w:spacing w:line="280" w:lineRule="exact"/>
              <w:jc w:val="both"/>
              <w:rPr>
                <w:rFonts w:ascii="Arial" w:hAnsi="Arial" w:eastAsia="宋体" w:cs="Arial"/>
                <w:sz w:val="20"/>
              </w:rPr>
            </w:pPr>
            <w:r>
              <w:rPr>
                <w:rFonts w:ascii="Arial" w:hAnsi="Arial" w:eastAsia="宋体" w:cs="Arial"/>
                <w:sz w:val="20"/>
              </w:rPr>
              <w:t>低视力放大镜</w:t>
            </w:r>
          </w:p>
        </w:tc>
        <w:tc>
          <w:tcPr>
            <w:tcW w:w="2104" w:type="pct"/>
            <w:tcBorders>
              <w:top w:val="single" w:color="000000" w:sz="6" w:space="0"/>
              <w:left w:val="nil"/>
              <w:bottom w:val="nil"/>
              <w:right w:val="nil"/>
            </w:tcBorders>
          </w:tcPr>
          <w:p w14:paraId="584AB9CB">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放大镜、手持式、低视力（HJF）</w:t>
            </w:r>
          </w:p>
        </w:tc>
        <w:tc>
          <w:tcPr>
            <w:tcW w:w="415" w:type="pct"/>
            <w:tcBorders>
              <w:top w:val="single" w:color="000000" w:sz="6" w:space="0"/>
              <w:left w:val="nil"/>
              <w:bottom w:val="nil"/>
              <w:right w:val="nil"/>
            </w:tcBorders>
          </w:tcPr>
          <w:p w14:paraId="7AFD826A">
            <w:pPr>
              <w:pStyle w:val="20"/>
              <w:snapToGrid w:val="0"/>
              <w:spacing w:line="280" w:lineRule="exact"/>
              <w:jc w:val="center"/>
              <w:rPr>
                <w:rFonts w:ascii="Arial" w:hAnsi="Arial" w:eastAsia="宋体" w:cs="Arial"/>
                <w:sz w:val="20"/>
                <w:szCs w:val="20"/>
              </w:rPr>
            </w:pPr>
            <w:r>
              <w:rPr>
                <w:rFonts w:ascii="Arial" w:hAnsi="Arial" w:eastAsia="宋体" w:cs="Arial"/>
                <w:sz w:val="20"/>
              </w:rPr>
              <w:t>1</w:t>
            </w:r>
          </w:p>
        </w:tc>
        <w:tc>
          <w:tcPr>
            <w:tcW w:w="758" w:type="pct"/>
            <w:tcBorders>
              <w:top w:val="single" w:color="000000" w:sz="6" w:space="0"/>
              <w:left w:val="nil"/>
              <w:bottom w:val="nil"/>
              <w:right w:val="single" w:color="000000" w:sz="6" w:space="0"/>
            </w:tcBorders>
          </w:tcPr>
          <w:p w14:paraId="183C3115">
            <w:pPr>
              <w:pStyle w:val="20"/>
              <w:snapToGrid w:val="0"/>
              <w:spacing w:line="280" w:lineRule="exact"/>
              <w:jc w:val="both"/>
              <w:rPr>
                <w:rFonts w:ascii="Arial" w:hAnsi="Arial" w:eastAsia="宋体" w:cs="Arial"/>
                <w:sz w:val="20"/>
                <w:szCs w:val="20"/>
              </w:rPr>
            </w:pPr>
            <w:r>
              <w:rPr>
                <w:rFonts w:ascii="Arial" w:hAnsi="Arial" w:eastAsia="宋体" w:cs="Arial"/>
                <w:sz w:val="20"/>
              </w:rPr>
              <w:t>510(k) 豁免</w:t>
            </w:r>
          </w:p>
        </w:tc>
      </w:tr>
      <w:tr w14:paraId="1AC413C9">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05029EE1">
            <w:pPr>
              <w:snapToGrid w:val="0"/>
              <w:spacing w:line="280" w:lineRule="exact"/>
              <w:jc w:val="both"/>
              <w:rPr>
                <w:rFonts w:ascii="Arial" w:hAnsi="Arial" w:eastAsia="宋体" w:cs="Arial"/>
              </w:rPr>
            </w:pPr>
          </w:p>
        </w:tc>
        <w:tc>
          <w:tcPr>
            <w:tcW w:w="1087" w:type="pct"/>
            <w:tcBorders>
              <w:top w:val="nil"/>
              <w:left w:val="nil"/>
              <w:bottom w:val="single" w:color="000000" w:sz="6" w:space="0"/>
              <w:right w:val="nil"/>
            </w:tcBorders>
          </w:tcPr>
          <w:p w14:paraId="7A35E56D">
            <w:pPr>
              <w:pStyle w:val="20"/>
              <w:snapToGrid w:val="0"/>
              <w:spacing w:line="280" w:lineRule="exact"/>
              <w:jc w:val="both"/>
              <w:rPr>
                <w:rFonts w:ascii="Arial" w:hAnsi="Arial" w:eastAsia="宋体" w:cs="Arial"/>
                <w:sz w:val="20"/>
              </w:rPr>
            </w:pPr>
          </w:p>
        </w:tc>
        <w:tc>
          <w:tcPr>
            <w:tcW w:w="2104" w:type="pct"/>
            <w:tcBorders>
              <w:top w:val="nil"/>
              <w:left w:val="nil"/>
              <w:bottom w:val="single" w:color="000000" w:sz="6" w:space="0"/>
              <w:right w:val="nil"/>
            </w:tcBorders>
          </w:tcPr>
          <w:p w14:paraId="545AE742">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眼镜显微镜、低视力（HKC）</w:t>
            </w:r>
          </w:p>
        </w:tc>
        <w:tc>
          <w:tcPr>
            <w:tcW w:w="415" w:type="pct"/>
            <w:tcBorders>
              <w:top w:val="nil"/>
              <w:left w:val="nil"/>
              <w:bottom w:val="single" w:color="000000" w:sz="6" w:space="0"/>
              <w:right w:val="nil"/>
            </w:tcBorders>
          </w:tcPr>
          <w:p w14:paraId="4FA91362">
            <w:pPr>
              <w:pStyle w:val="20"/>
              <w:snapToGrid w:val="0"/>
              <w:spacing w:line="280" w:lineRule="exact"/>
              <w:jc w:val="center"/>
              <w:rPr>
                <w:rFonts w:ascii="Arial" w:hAnsi="Arial" w:eastAsia="宋体" w:cs="Arial"/>
                <w:sz w:val="20"/>
                <w:szCs w:val="20"/>
              </w:rPr>
            </w:pPr>
            <w:r>
              <w:rPr>
                <w:rFonts w:ascii="Arial" w:hAnsi="Arial" w:eastAsia="宋体" w:cs="Arial"/>
                <w:sz w:val="20"/>
              </w:rPr>
              <w:t>1</w:t>
            </w:r>
          </w:p>
        </w:tc>
        <w:tc>
          <w:tcPr>
            <w:tcW w:w="758" w:type="pct"/>
            <w:tcBorders>
              <w:top w:val="nil"/>
              <w:left w:val="nil"/>
              <w:bottom w:val="single" w:color="000000" w:sz="6" w:space="0"/>
              <w:right w:val="single" w:color="000000" w:sz="6" w:space="0"/>
            </w:tcBorders>
          </w:tcPr>
          <w:p w14:paraId="6EE10373">
            <w:pPr>
              <w:pStyle w:val="20"/>
              <w:snapToGrid w:val="0"/>
              <w:spacing w:line="280" w:lineRule="exact"/>
              <w:jc w:val="both"/>
              <w:rPr>
                <w:rFonts w:ascii="Arial" w:hAnsi="Arial" w:eastAsia="宋体" w:cs="Arial"/>
                <w:sz w:val="20"/>
                <w:szCs w:val="20"/>
              </w:rPr>
            </w:pPr>
            <w:r>
              <w:rPr>
                <w:rFonts w:ascii="Arial" w:hAnsi="Arial" w:eastAsia="宋体" w:cs="Arial"/>
                <w:sz w:val="20"/>
              </w:rPr>
              <w:t>510(k) 豁免</w:t>
            </w:r>
          </w:p>
        </w:tc>
      </w:tr>
      <w:tr w14:paraId="53DD570C">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0576DA17">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892.1560</w:t>
            </w:r>
          </w:p>
        </w:tc>
        <w:tc>
          <w:tcPr>
            <w:tcW w:w="1087" w:type="pct"/>
            <w:vMerge w:val="restart"/>
            <w:tcBorders>
              <w:top w:val="single" w:color="000000" w:sz="6" w:space="0"/>
              <w:left w:val="nil"/>
              <w:right w:val="nil"/>
            </w:tcBorders>
          </w:tcPr>
          <w:p w14:paraId="60DFD30F">
            <w:pPr>
              <w:pStyle w:val="20"/>
              <w:snapToGrid w:val="0"/>
              <w:spacing w:line="280" w:lineRule="exact"/>
              <w:jc w:val="both"/>
              <w:rPr>
                <w:rFonts w:ascii="Arial" w:hAnsi="Arial" w:eastAsia="宋体" w:cs="Arial"/>
                <w:sz w:val="20"/>
              </w:rPr>
            </w:pPr>
            <w:r>
              <w:rPr>
                <w:rFonts w:ascii="Arial" w:hAnsi="Arial" w:eastAsia="宋体" w:cs="Arial"/>
                <w:sz w:val="20"/>
              </w:rPr>
              <w:t>超声脉冲回波成像系统</w:t>
            </w:r>
          </w:p>
          <w:p w14:paraId="1BD5CE3E">
            <w:pPr>
              <w:pStyle w:val="20"/>
              <w:snapToGrid w:val="0"/>
              <w:spacing w:line="280" w:lineRule="exact"/>
              <w:jc w:val="both"/>
              <w:rPr>
                <w:rFonts w:ascii="Arial" w:hAnsi="Arial" w:eastAsia="宋体" w:cs="Arial"/>
                <w:sz w:val="20"/>
              </w:rPr>
            </w:pPr>
          </w:p>
        </w:tc>
        <w:tc>
          <w:tcPr>
            <w:tcW w:w="2104" w:type="pct"/>
            <w:vMerge w:val="restart"/>
            <w:tcBorders>
              <w:top w:val="single" w:color="000000" w:sz="6" w:space="0"/>
              <w:left w:val="nil"/>
              <w:right w:val="nil"/>
            </w:tcBorders>
          </w:tcPr>
          <w:p w14:paraId="3A38C521">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系统、成像、光学相干断层扫描（Oct）（NQQ）</w:t>
            </w:r>
          </w:p>
        </w:tc>
        <w:tc>
          <w:tcPr>
            <w:tcW w:w="415" w:type="pct"/>
            <w:tcBorders>
              <w:top w:val="single" w:color="000000" w:sz="6" w:space="0"/>
              <w:left w:val="nil"/>
              <w:bottom w:val="nil"/>
              <w:right w:val="nil"/>
            </w:tcBorders>
          </w:tcPr>
          <w:p w14:paraId="11931CD1">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000000" w:sz="6" w:space="0"/>
            </w:tcBorders>
          </w:tcPr>
          <w:p w14:paraId="75EA909E">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r w14:paraId="0DF235D9">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54B420E0">
            <w:pPr>
              <w:snapToGrid w:val="0"/>
              <w:spacing w:line="280" w:lineRule="exact"/>
              <w:jc w:val="both"/>
              <w:rPr>
                <w:rFonts w:ascii="Arial" w:hAnsi="Arial" w:eastAsia="宋体" w:cs="Arial"/>
              </w:rPr>
            </w:pPr>
          </w:p>
        </w:tc>
        <w:tc>
          <w:tcPr>
            <w:tcW w:w="1087" w:type="pct"/>
            <w:vMerge w:val="continue"/>
            <w:tcBorders>
              <w:left w:val="nil"/>
              <w:bottom w:val="single" w:color="000000" w:sz="6" w:space="0"/>
              <w:right w:val="nil"/>
            </w:tcBorders>
          </w:tcPr>
          <w:p w14:paraId="4FFDC543">
            <w:pPr>
              <w:pStyle w:val="20"/>
              <w:snapToGrid w:val="0"/>
              <w:spacing w:line="280" w:lineRule="exact"/>
              <w:jc w:val="both"/>
              <w:rPr>
                <w:rFonts w:ascii="Arial" w:hAnsi="Arial" w:eastAsia="宋体" w:cs="Arial"/>
                <w:sz w:val="20"/>
              </w:rPr>
            </w:pPr>
          </w:p>
        </w:tc>
        <w:tc>
          <w:tcPr>
            <w:tcW w:w="2104" w:type="pct"/>
            <w:vMerge w:val="continue"/>
            <w:tcBorders>
              <w:left w:val="nil"/>
              <w:bottom w:val="single" w:color="000000" w:sz="6" w:space="0"/>
              <w:right w:val="nil"/>
            </w:tcBorders>
          </w:tcPr>
          <w:p w14:paraId="4207070A">
            <w:pPr>
              <w:pStyle w:val="20"/>
              <w:snapToGrid w:val="0"/>
              <w:spacing w:line="280" w:lineRule="exact"/>
              <w:jc w:val="both"/>
              <w:rPr>
                <w:rFonts w:ascii="Arial" w:hAnsi="Arial" w:eastAsia="宋体" w:cs="Arial"/>
                <w:sz w:val="20"/>
                <w:lang w:eastAsia="zh-CN"/>
              </w:rPr>
            </w:pPr>
          </w:p>
        </w:tc>
        <w:tc>
          <w:tcPr>
            <w:tcW w:w="415" w:type="pct"/>
            <w:tcBorders>
              <w:top w:val="nil"/>
              <w:left w:val="nil"/>
              <w:bottom w:val="single" w:color="000000" w:sz="6" w:space="0"/>
              <w:right w:val="nil"/>
            </w:tcBorders>
          </w:tcPr>
          <w:p w14:paraId="10DE72AC">
            <w:pPr>
              <w:snapToGrid w:val="0"/>
              <w:spacing w:line="280" w:lineRule="exact"/>
              <w:jc w:val="center"/>
              <w:rPr>
                <w:rFonts w:ascii="Arial" w:hAnsi="Arial" w:eastAsia="宋体" w:cs="Arial"/>
              </w:rPr>
            </w:pPr>
          </w:p>
        </w:tc>
        <w:tc>
          <w:tcPr>
            <w:tcW w:w="758" w:type="pct"/>
            <w:tcBorders>
              <w:top w:val="nil"/>
              <w:left w:val="nil"/>
              <w:bottom w:val="single" w:color="000000" w:sz="6" w:space="0"/>
              <w:right w:val="single" w:color="000000" w:sz="6" w:space="0"/>
            </w:tcBorders>
          </w:tcPr>
          <w:p w14:paraId="1D44ED33">
            <w:pPr>
              <w:snapToGrid w:val="0"/>
              <w:spacing w:line="280" w:lineRule="exact"/>
              <w:jc w:val="both"/>
              <w:rPr>
                <w:rFonts w:ascii="Arial" w:hAnsi="Arial" w:eastAsia="宋体" w:cs="Arial"/>
              </w:rPr>
            </w:pPr>
          </w:p>
        </w:tc>
      </w:tr>
      <w:tr w14:paraId="060D4286">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34427005">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892.2030</w:t>
            </w:r>
          </w:p>
        </w:tc>
        <w:tc>
          <w:tcPr>
            <w:tcW w:w="1087" w:type="pct"/>
            <w:vMerge w:val="restart"/>
            <w:tcBorders>
              <w:top w:val="single" w:color="000000" w:sz="6" w:space="0"/>
              <w:left w:val="nil"/>
              <w:right w:val="nil"/>
            </w:tcBorders>
          </w:tcPr>
          <w:p w14:paraId="7B4C7FDD">
            <w:pPr>
              <w:pStyle w:val="20"/>
              <w:snapToGrid w:val="0"/>
              <w:spacing w:line="280" w:lineRule="exact"/>
              <w:jc w:val="both"/>
              <w:rPr>
                <w:rFonts w:ascii="Arial" w:hAnsi="Arial" w:eastAsia="宋体" w:cs="Arial"/>
                <w:sz w:val="20"/>
              </w:rPr>
            </w:pPr>
            <w:r>
              <w:rPr>
                <w:rFonts w:ascii="Arial" w:hAnsi="Arial" w:eastAsia="宋体" w:cs="Arial"/>
                <w:sz w:val="20"/>
              </w:rPr>
              <w:t>医用图像数字化仪</w:t>
            </w:r>
          </w:p>
        </w:tc>
        <w:tc>
          <w:tcPr>
            <w:tcW w:w="2104" w:type="pct"/>
            <w:tcBorders>
              <w:top w:val="single" w:color="000000" w:sz="6" w:space="0"/>
              <w:left w:val="nil"/>
              <w:bottom w:val="nil"/>
              <w:right w:val="nil"/>
            </w:tcBorders>
          </w:tcPr>
          <w:p w14:paraId="329FA423">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数字化仪、图像、放射学（LMA）</w:t>
            </w:r>
          </w:p>
        </w:tc>
        <w:tc>
          <w:tcPr>
            <w:tcW w:w="415" w:type="pct"/>
            <w:tcBorders>
              <w:top w:val="single" w:color="000000" w:sz="6" w:space="0"/>
              <w:left w:val="nil"/>
              <w:bottom w:val="nil"/>
              <w:right w:val="nil"/>
            </w:tcBorders>
          </w:tcPr>
          <w:p w14:paraId="5044DCED">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vMerge w:val="restart"/>
            <w:tcBorders>
              <w:top w:val="single" w:color="000000" w:sz="6" w:space="0"/>
              <w:left w:val="nil"/>
              <w:right w:val="single" w:color="000000" w:sz="6" w:space="0"/>
            </w:tcBorders>
          </w:tcPr>
          <w:p w14:paraId="4C82286F">
            <w:pPr>
              <w:pStyle w:val="20"/>
              <w:snapToGrid w:val="0"/>
              <w:spacing w:line="280" w:lineRule="exact"/>
              <w:jc w:val="both"/>
              <w:rPr>
                <w:rFonts w:ascii="Arial" w:hAnsi="Arial" w:eastAsia="宋体" w:cs="Arial"/>
                <w:sz w:val="20"/>
                <w:szCs w:val="20"/>
                <w:lang w:eastAsia="zh-CN"/>
              </w:rPr>
            </w:pPr>
            <w:r>
              <w:rPr>
                <w:rFonts w:ascii="Arial" w:hAnsi="Arial" w:eastAsia="宋体" w:cs="Arial"/>
                <w:sz w:val="20"/>
                <w:lang w:eastAsia="zh-CN"/>
              </w:rPr>
              <w:t>有关510（k）提交此材料的自由裁量权</w:t>
            </w:r>
            <w:r>
              <w:fldChar w:fldCharType="begin"/>
            </w:r>
            <w:r>
              <w:instrText xml:space="preserve"> HYPERLINK \l "_bookmark49" </w:instrText>
            </w:r>
            <w:r>
              <w:fldChar w:fldCharType="separate"/>
            </w:r>
            <w:r>
              <w:rPr>
                <w:rFonts w:ascii="Arial" w:hAnsi="Arial" w:eastAsia="宋体" w:cs="Arial"/>
                <w:position w:val="9"/>
                <w:sz w:val="13"/>
                <w:lang w:eastAsia="zh-CN"/>
              </w:rPr>
              <w:t>33</w:t>
            </w:r>
            <w:r>
              <w:rPr>
                <w:rFonts w:ascii="Arial" w:hAnsi="Arial" w:eastAsia="宋体" w:cs="Arial"/>
                <w:position w:val="9"/>
                <w:sz w:val="13"/>
                <w:lang w:eastAsia="zh-CN"/>
              </w:rPr>
              <w:fldChar w:fldCharType="end"/>
            </w:r>
          </w:p>
        </w:tc>
      </w:tr>
      <w:tr w14:paraId="1F73D6F1">
        <w:tblPrEx>
          <w:tblCellMar>
            <w:top w:w="0" w:type="dxa"/>
            <w:left w:w="0" w:type="dxa"/>
            <w:bottom w:w="0" w:type="dxa"/>
            <w:right w:w="0" w:type="dxa"/>
          </w:tblCellMar>
        </w:tblPrEx>
        <w:tc>
          <w:tcPr>
            <w:tcW w:w="636" w:type="pct"/>
            <w:tcBorders>
              <w:top w:val="nil"/>
              <w:left w:val="single" w:color="000000" w:sz="6" w:space="0"/>
              <w:bottom w:val="nil"/>
              <w:right w:val="nil"/>
            </w:tcBorders>
          </w:tcPr>
          <w:p w14:paraId="623682EA">
            <w:pPr>
              <w:snapToGrid w:val="0"/>
              <w:spacing w:line="280" w:lineRule="exact"/>
              <w:jc w:val="both"/>
              <w:rPr>
                <w:rFonts w:ascii="Arial" w:hAnsi="Arial" w:eastAsia="宋体" w:cs="Arial"/>
                <w:lang w:eastAsia="zh-CN"/>
              </w:rPr>
            </w:pPr>
          </w:p>
        </w:tc>
        <w:tc>
          <w:tcPr>
            <w:tcW w:w="1087" w:type="pct"/>
            <w:vMerge w:val="continue"/>
            <w:tcBorders>
              <w:left w:val="nil"/>
              <w:bottom w:val="nil"/>
              <w:right w:val="nil"/>
            </w:tcBorders>
          </w:tcPr>
          <w:p w14:paraId="32ADCF35">
            <w:pPr>
              <w:pStyle w:val="20"/>
              <w:snapToGrid w:val="0"/>
              <w:spacing w:line="280" w:lineRule="exact"/>
              <w:jc w:val="both"/>
              <w:rPr>
                <w:rFonts w:ascii="Arial" w:hAnsi="Arial" w:eastAsia="宋体" w:cs="Arial"/>
                <w:sz w:val="20"/>
                <w:szCs w:val="20"/>
                <w:lang w:eastAsia="zh-CN"/>
              </w:rPr>
            </w:pPr>
          </w:p>
        </w:tc>
        <w:tc>
          <w:tcPr>
            <w:tcW w:w="2104" w:type="pct"/>
            <w:tcBorders>
              <w:top w:val="nil"/>
              <w:left w:val="nil"/>
              <w:bottom w:val="nil"/>
              <w:right w:val="nil"/>
            </w:tcBorders>
          </w:tcPr>
          <w:p w14:paraId="430E0BD3">
            <w:pPr>
              <w:pStyle w:val="20"/>
              <w:snapToGrid w:val="0"/>
              <w:spacing w:line="280" w:lineRule="exact"/>
              <w:jc w:val="both"/>
              <w:rPr>
                <w:rFonts w:ascii="Arial" w:hAnsi="Arial" w:eastAsia="宋体" w:cs="Arial"/>
                <w:sz w:val="20"/>
                <w:lang w:eastAsia="zh-CN"/>
              </w:rPr>
            </w:pPr>
          </w:p>
        </w:tc>
        <w:tc>
          <w:tcPr>
            <w:tcW w:w="415" w:type="pct"/>
            <w:tcBorders>
              <w:top w:val="nil"/>
              <w:left w:val="nil"/>
              <w:bottom w:val="nil"/>
              <w:right w:val="nil"/>
            </w:tcBorders>
          </w:tcPr>
          <w:p w14:paraId="11EF0977">
            <w:pPr>
              <w:snapToGrid w:val="0"/>
              <w:spacing w:line="280" w:lineRule="exact"/>
              <w:jc w:val="center"/>
              <w:rPr>
                <w:rFonts w:ascii="Arial" w:hAnsi="Arial" w:eastAsia="宋体" w:cs="Arial"/>
                <w:lang w:eastAsia="zh-CN"/>
              </w:rPr>
            </w:pPr>
          </w:p>
        </w:tc>
        <w:tc>
          <w:tcPr>
            <w:tcW w:w="758" w:type="pct"/>
            <w:vMerge w:val="continue"/>
            <w:tcBorders>
              <w:left w:val="nil"/>
              <w:right w:val="single" w:color="000000" w:sz="6" w:space="0"/>
            </w:tcBorders>
          </w:tcPr>
          <w:p w14:paraId="69021CA7">
            <w:pPr>
              <w:pStyle w:val="20"/>
              <w:snapToGrid w:val="0"/>
              <w:spacing w:line="280" w:lineRule="exact"/>
              <w:jc w:val="both"/>
              <w:rPr>
                <w:rFonts w:ascii="Arial" w:hAnsi="Arial" w:eastAsia="宋体" w:cs="Arial"/>
                <w:sz w:val="20"/>
                <w:szCs w:val="20"/>
                <w:lang w:eastAsia="zh-CN"/>
              </w:rPr>
            </w:pPr>
          </w:p>
        </w:tc>
      </w:tr>
      <w:tr w14:paraId="44E7778F">
        <w:tblPrEx>
          <w:tblCellMar>
            <w:top w:w="0" w:type="dxa"/>
            <w:left w:w="0" w:type="dxa"/>
            <w:bottom w:w="0" w:type="dxa"/>
            <w:right w:w="0" w:type="dxa"/>
          </w:tblCellMar>
        </w:tblPrEx>
        <w:tc>
          <w:tcPr>
            <w:tcW w:w="636" w:type="pct"/>
            <w:tcBorders>
              <w:top w:val="nil"/>
              <w:left w:val="single" w:color="000000" w:sz="6" w:space="0"/>
              <w:bottom w:val="nil"/>
              <w:right w:val="nil"/>
            </w:tcBorders>
          </w:tcPr>
          <w:p w14:paraId="3255102B">
            <w:pPr>
              <w:snapToGrid w:val="0"/>
              <w:spacing w:line="280" w:lineRule="exact"/>
              <w:jc w:val="both"/>
              <w:rPr>
                <w:rFonts w:ascii="Arial" w:hAnsi="Arial" w:eastAsia="宋体" w:cs="Arial"/>
                <w:lang w:eastAsia="zh-CN"/>
              </w:rPr>
            </w:pPr>
          </w:p>
        </w:tc>
        <w:tc>
          <w:tcPr>
            <w:tcW w:w="1087" w:type="pct"/>
            <w:tcBorders>
              <w:top w:val="nil"/>
              <w:left w:val="nil"/>
              <w:bottom w:val="nil"/>
              <w:right w:val="nil"/>
            </w:tcBorders>
          </w:tcPr>
          <w:p w14:paraId="104ACB0B">
            <w:pPr>
              <w:snapToGrid w:val="0"/>
              <w:spacing w:line="280" w:lineRule="exact"/>
              <w:jc w:val="both"/>
              <w:rPr>
                <w:rFonts w:ascii="Arial" w:hAnsi="Arial" w:eastAsia="宋体" w:cs="Arial"/>
                <w:lang w:eastAsia="zh-CN"/>
              </w:rPr>
            </w:pPr>
          </w:p>
        </w:tc>
        <w:tc>
          <w:tcPr>
            <w:tcW w:w="2104" w:type="pct"/>
            <w:tcBorders>
              <w:top w:val="nil"/>
              <w:left w:val="nil"/>
              <w:bottom w:val="nil"/>
              <w:right w:val="nil"/>
            </w:tcBorders>
          </w:tcPr>
          <w:p w14:paraId="28B75DB7">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数字化仪、图像、眼科（NFH）</w:t>
            </w:r>
          </w:p>
        </w:tc>
        <w:tc>
          <w:tcPr>
            <w:tcW w:w="415" w:type="pct"/>
            <w:tcBorders>
              <w:top w:val="nil"/>
              <w:left w:val="nil"/>
              <w:bottom w:val="nil"/>
              <w:right w:val="nil"/>
            </w:tcBorders>
          </w:tcPr>
          <w:p w14:paraId="16F89866">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vMerge w:val="continue"/>
            <w:tcBorders>
              <w:left w:val="nil"/>
              <w:right w:val="single" w:color="000000" w:sz="6" w:space="0"/>
            </w:tcBorders>
          </w:tcPr>
          <w:p w14:paraId="2AAA388C">
            <w:pPr>
              <w:pStyle w:val="20"/>
              <w:snapToGrid w:val="0"/>
              <w:spacing w:line="280" w:lineRule="exact"/>
              <w:jc w:val="both"/>
              <w:rPr>
                <w:rFonts w:ascii="Arial" w:hAnsi="Arial" w:eastAsia="宋体" w:cs="Arial"/>
                <w:sz w:val="20"/>
                <w:szCs w:val="20"/>
              </w:rPr>
            </w:pPr>
          </w:p>
        </w:tc>
      </w:tr>
      <w:tr w14:paraId="26A3D160">
        <w:tblPrEx>
          <w:tblCellMar>
            <w:top w:w="0" w:type="dxa"/>
            <w:left w:w="0" w:type="dxa"/>
            <w:bottom w:w="0" w:type="dxa"/>
            <w:right w:w="0" w:type="dxa"/>
          </w:tblCellMar>
        </w:tblPrEx>
        <w:tc>
          <w:tcPr>
            <w:tcW w:w="636" w:type="pct"/>
            <w:tcBorders>
              <w:top w:val="nil"/>
              <w:left w:val="single" w:color="000000" w:sz="6" w:space="0"/>
              <w:bottom w:val="nil"/>
              <w:right w:val="nil"/>
            </w:tcBorders>
          </w:tcPr>
          <w:p w14:paraId="46645229">
            <w:pPr>
              <w:snapToGrid w:val="0"/>
              <w:spacing w:line="280" w:lineRule="exact"/>
              <w:jc w:val="both"/>
              <w:rPr>
                <w:rFonts w:ascii="Arial" w:hAnsi="Arial" w:eastAsia="宋体" w:cs="Arial"/>
              </w:rPr>
            </w:pPr>
          </w:p>
        </w:tc>
        <w:tc>
          <w:tcPr>
            <w:tcW w:w="1087" w:type="pct"/>
            <w:tcBorders>
              <w:top w:val="nil"/>
              <w:left w:val="nil"/>
              <w:bottom w:val="nil"/>
              <w:right w:val="nil"/>
            </w:tcBorders>
          </w:tcPr>
          <w:p w14:paraId="6D49B914">
            <w:pPr>
              <w:snapToGrid w:val="0"/>
              <w:spacing w:line="280" w:lineRule="exact"/>
              <w:jc w:val="both"/>
              <w:rPr>
                <w:rFonts w:ascii="Arial" w:hAnsi="Arial" w:eastAsia="宋体" w:cs="Arial"/>
              </w:rPr>
            </w:pPr>
          </w:p>
        </w:tc>
        <w:tc>
          <w:tcPr>
            <w:tcW w:w="2104" w:type="pct"/>
            <w:tcBorders>
              <w:top w:val="nil"/>
              <w:left w:val="nil"/>
              <w:bottom w:val="nil"/>
              <w:right w:val="nil"/>
            </w:tcBorders>
          </w:tcPr>
          <w:p w14:paraId="7C669402">
            <w:pPr>
              <w:pStyle w:val="20"/>
              <w:snapToGrid w:val="0"/>
              <w:spacing w:line="280" w:lineRule="exact"/>
              <w:jc w:val="both"/>
              <w:rPr>
                <w:rFonts w:ascii="Arial" w:hAnsi="Arial" w:eastAsia="宋体" w:cs="Arial"/>
                <w:sz w:val="20"/>
                <w:lang w:eastAsia="zh-CN"/>
              </w:rPr>
            </w:pPr>
          </w:p>
        </w:tc>
        <w:tc>
          <w:tcPr>
            <w:tcW w:w="415" w:type="pct"/>
            <w:tcBorders>
              <w:top w:val="nil"/>
              <w:left w:val="nil"/>
              <w:bottom w:val="nil"/>
              <w:right w:val="nil"/>
            </w:tcBorders>
          </w:tcPr>
          <w:p w14:paraId="0EED233D">
            <w:pPr>
              <w:snapToGrid w:val="0"/>
              <w:spacing w:line="280" w:lineRule="exact"/>
              <w:jc w:val="center"/>
              <w:rPr>
                <w:rFonts w:ascii="Arial" w:hAnsi="Arial" w:eastAsia="宋体" w:cs="Arial"/>
              </w:rPr>
            </w:pPr>
          </w:p>
        </w:tc>
        <w:tc>
          <w:tcPr>
            <w:tcW w:w="758" w:type="pct"/>
            <w:vMerge w:val="continue"/>
            <w:tcBorders>
              <w:left w:val="nil"/>
              <w:bottom w:val="nil"/>
              <w:right w:val="single" w:color="000000" w:sz="6" w:space="0"/>
            </w:tcBorders>
          </w:tcPr>
          <w:p w14:paraId="5DD8487D">
            <w:pPr>
              <w:pStyle w:val="20"/>
              <w:snapToGrid w:val="0"/>
              <w:spacing w:line="280" w:lineRule="exact"/>
              <w:jc w:val="both"/>
              <w:rPr>
                <w:rFonts w:ascii="Arial" w:hAnsi="Arial" w:eastAsia="宋体" w:cs="Arial"/>
                <w:sz w:val="13"/>
                <w:szCs w:val="13"/>
              </w:rPr>
            </w:pPr>
          </w:p>
        </w:tc>
      </w:tr>
      <w:tr w14:paraId="1B5654E2">
        <w:tblPrEx>
          <w:tblCellMar>
            <w:top w:w="0" w:type="dxa"/>
            <w:left w:w="0" w:type="dxa"/>
            <w:bottom w:w="0" w:type="dxa"/>
            <w:right w:w="0" w:type="dxa"/>
          </w:tblCellMar>
        </w:tblPrEx>
        <w:tc>
          <w:tcPr>
            <w:tcW w:w="636" w:type="pct"/>
            <w:tcBorders>
              <w:top w:val="nil"/>
              <w:left w:val="single" w:color="000000" w:sz="6" w:space="0"/>
              <w:bottom w:val="nil"/>
              <w:right w:val="nil"/>
            </w:tcBorders>
          </w:tcPr>
          <w:p w14:paraId="52F01AD3">
            <w:pPr>
              <w:snapToGrid w:val="0"/>
              <w:spacing w:line="280" w:lineRule="exact"/>
              <w:jc w:val="both"/>
              <w:rPr>
                <w:rFonts w:ascii="Arial" w:hAnsi="Arial" w:eastAsia="宋体" w:cs="Arial"/>
              </w:rPr>
            </w:pPr>
          </w:p>
        </w:tc>
        <w:tc>
          <w:tcPr>
            <w:tcW w:w="1087" w:type="pct"/>
            <w:tcBorders>
              <w:top w:val="nil"/>
              <w:left w:val="nil"/>
              <w:bottom w:val="nil"/>
              <w:right w:val="nil"/>
            </w:tcBorders>
          </w:tcPr>
          <w:p w14:paraId="7EE19F7F">
            <w:pPr>
              <w:snapToGrid w:val="0"/>
              <w:spacing w:line="280" w:lineRule="exact"/>
              <w:jc w:val="both"/>
              <w:rPr>
                <w:rFonts w:ascii="Arial" w:hAnsi="Arial" w:eastAsia="宋体" w:cs="Arial"/>
              </w:rPr>
            </w:pPr>
          </w:p>
        </w:tc>
        <w:tc>
          <w:tcPr>
            <w:tcW w:w="2104" w:type="pct"/>
            <w:tcBorders>
              <w:top w:val="nil"/>
              <w:left w:val="nil"/>
              <w:bottom w:val="nil"/>
              <w:right w:val="nil"/>
            </w:tcBorders>
          </w:tcPr>
          <w:p w14:paraId="380E7E7F">
            <w:pPr>
              <w:pStyle w:val="20"/>
              <w:snapToGrid w:val="0"/>
              <w:spacing w:line="280" w:lineRule="exact"/>
              <w:jc w:val="both"/>
              <w:rPr>
                <w:rFonts w:ascii="Arial" w:hAnsi="Arial" w:eastAsia="宋体" w:cs="Arial"/>
                <w:sz w:val="20"/>
                <w:lang w:eastAsia="zh-CN"/>
              </w:rPr>
            </w:pPr>
          </w:p>
        </w:tc>
        <w:tc>
          <w:tcPr>
            <w:tcW w:w="415" w:type="pct"/>
            <w:tcBorders>
              <w:top w:val="nil"/>
              <w:left w:val="nil"/>
              <w:bottom w:val="nil"/>
              <w:right w:val="nil"/>
            </w:tcBorders>
          </w:tcPr>
          <w:p w14:paraId="7727C91F">
            <w:pPr>
              <w:snapToGrid w:val="0"/>
              <w:spacing w:line="280" w:lineRule="exact"/>
              <w:jc w:val="center"/>
              <w:rPr>
                <w:rFonts w:ascii="Arial" w:hAnsi="Arial" w:eastAsia="宋体" w:cs="Arial"/>
              </w:rPr>
            </w:pPr>
          </w:p>
        </w:tc>
        <w:tc>
          <w:tcPr>
            <w:tcW w:w="758" w:type="pct"/>
            <w:vMerge w:val="restart"/>
            <w:tcBorders>
              <w:top w:val="nil"/>
              <w:left w:val="nil"/>
              <w:right w:val="single" w:color="000000" w:sz="6" w:space="0"/>
            </w:tcBorders>
          </w:tcPr>
          <w:p w14:paraId="092C785C">
            <w:pPr>
              <w:pStyle w:val="20"/>
              <w:snapToGrid w:val="0"/>
              <w:spacing w:line="280" w:lineRule="exact"/>
              <w:jc w:val="both"/>
              <w:rPr>
                <w:rFonts w:ascii="Arial" w:hAnsi="Arial" w:eastAsia="宋体" w:cs="Arial"/>
                <w:sz w:val="20"/>
                <w:szCs w:val="20"/>
                <w:lang w:eastAsia="zh-CN"/>
              </w:rPr>
            </w:pPr>
            <w:r>
              <w:rPr>
                <w:rFonts w:ascii="Arial" w:hAnsi="Arial" w:eastAsia="宋体" w:cs="Arial"/>
                <w:sz w:val="20"/>
                <w:lang w:eastAsia="zh-CN"/>
              </w:rPr>
              <w:t>有关510（k）提交此材料的自由裁量权</w:t>
            </w:r>
            <w:r>
              <w:fldChar w:fldCharType="begin"/>
            </w:r>
            <w:r>
              <w:instrText xml:space="preserve"> HYPERLINK \l "_bookmark50" </w:instrText>
            </w:r>
            <w:r>
              <w:fldChar w:fldCharType="separate"/>
            </w:r>
            <w:r>
              <w:rPr>
                <w:rFonts w:ascii="Arial" w:hAnsi="Arial" w:eastAsia="宋体" w:cs="Arial"/>
                <w:position w:val="9"/>
                <w:sz w:val="13"/>
                <w:lang w:eastAsia="zh-CN"/>
              </w:rPr>
              <w:t>34</w:t>
            </w:r>
            <w:r>
              <w:rPr>
                <w:rFonts w:ascii="Arial" w:hAnsi="Arial" w:eastAsia="宋体" w:cs="Arial"/>
                <w:position w:val="9"/>
                <w:sz w:val="13"/>
                <w:lang w:eastAsia="zh-CN"/>
              </w:rPr>
              <w:fldChar w:fldCharType="end"/>
            </w:r>
          </w:p>
        </w:tc>
      </w:tr>
      <w:tr w14:paraId="1D8FD767">
        <w:tblPrEx>
          <w:tblCellMar>
            <w:top w:w="0" w:type="dxa"/>
            <w:left w:w="0" w:type="dxa"/>
            <w:bottom w:w="0" w:type="dxa"/>
            <w:right w:w="0" w:type="dxa"/>
          </w:tblCellMar>
        </w:tblPrEx>
        <w:tc>
          <w:tcPr>
            <w:tcW w:w="636" w:type="pct"/>
            <w:tcBorders>
              <w:top w:val="nil"/>
              <w:left w:val="single" w:color="000000" w:sz="6" w:space="0"/>
              <w:bottom w:val="nil"/>
              <w:right w:val="nil"/>
            </w:tcBorders>
          </w:tcPr>
          <w:p w14:paraId="413AF300">
            <w:pPr>
              <w:snapToGrid w:val="0"/>
              <w:spacing w:line="280" w:lineRule="exact"/>
              <w:jc w:val="both"/>
              <w:rPr>
                <w:rFonts w:ascii="Arial" w:hAnsi="Arial" w:eastAsia="宋体" w:cs="Arial"/>
                <w:lang w:eastAsia="zh-CN"/>
              </w:rPr>
            </w:pPr>
          </w:p>
        </w:tc>
        <w:tc>
          <w:tcPr>
            <w:tcW w:w="1087" w:type="pct"/>
            <w:tcBorders>
              <w:top w:val="nil"/>
              <w:left w:val="nil"/>
              <w:bottom w:val="nil"/>
              <w:right w:val="nil"/>
            </w:tcBorders>
          </w:tcPr>
          <w:p w14:paraId="017DF71E">
            <w:pPr>
              <w:snapToGrid w:val="0"/>
              <w:spacing w:line="280" w:lineRule="exact"/>
              <w:jc w:val="both"/>
              <w:rPr>
                <w:rFonts w:ascii="Arial" w:hAnsi="Arial" w:eastAsia="宋体" w:cs="Arial"/>
                <w:lang w:eastAsia="zh-CN"/>
              </w:rPr>
            </w:pPr>
          </w:p>
        </w:tc>
        <w:tc>
          <w:tcPr>
            <w:tcW w:w="2104" w:type="pct"/>
            <w:tcBorders>
              <w:top w:val="nil"/>
              <w:left w:val="nil"/>
              <w:bottom w:val="nil"/>
              <w:right w:val="nil"/>
            </w:tcBorders>
          </w:tcPr>
          <w:p w14:paraId="01457546">
            <w:pPr>
              <w:pStyle w:val="20"/>
              <w:snapToGrid w:val="0"/>
              <w:spacing w:line="280" w:lineRule="exact"/>
              <w:jc w:val="both"/>
              <w:rPr>
                <w:rFonts w:ascii="Arial" w:hAnsi="Arial" w:eastAsia="宋体" w:cs="Arial"/>
                <w:sz w:val="20"/>
                <w:lang w:eastAsia="zh-CN"/>
              </w:rPr>
            </w:pPr>
          </w:p>
        </w:tc>
        <w:tc>
          <w:tcPr>
            <w:tcW w:w="415" w:type="pct"/>
            <w:tcBorders>
              <w:top w:val="nil"/>
              <w:left w:val="nil"/>
              <w:bottom w:val="nil"/>
              <w:right w:val="nil"/>
            </w:tcBorders>
          </w:tcPr>
          <w:p w14:paraId="60908B02">
            <w:pPr>
              <w:snapToGrid w:val="0"/>
              <w:spacing w:line="280" w:lineRule="exact"/>
              <w:jc w:val="center"/>
              <w:rPr>
                <w:rFonts w:ascii="Arial" w:hAnsi="Arial" w:eastAsia="宋体" w:cs="Arial"/>
                <w:lang w:eastAsia="zh-CN"/>
              </w:rPr>
            </w:pPr>
          </w:p>
        </w:tc>
        <w:tc>
          <w:tcPr>
            <w:tcW w:w="758" w:type="pct"/>
            <w:vMerge w:val="continue"/>
            <w:tcBorders>
              <w:left w:val="nil"/>
              <w:right w:val="single" w:color="000000" w:sz="6" w:space="0"/>
            </w:tcBorders>
          </w:tcPr>
          <w:p w14:paraId="58031D83">
            <w:pPr>
              <w:pStyle w:val="20"/>
              <w:snapToGrid w:val="0"/>
              <w:spacing w:line="280" w:lineRule="exact"/>
              <w:jc w:val="both"/>
              <w:rPr>
                <w:rFonts w:ascii="Arial" w:hAnsi="Arial" w:eastAsia="宋体" w:cs="Arial"/>
                <w:sz w:val="20"/>
                <w:szCs w:val="20"/>
                <w:lang w:eastAsia="zh-CN"/>
              </w:rPr>
            </w:pPr>
          </w:p>
        </w:tc>
      </w:tr>
      <w:tr w14:paraId="248F72FE">
        <w:tblPrEx>
          <w:tblCellMar>
            <w:top w:w="0" w:type="dxa"/>
            <w:left w:w="0" w:type="dxa"/>
            <w:bottom w:w="0" w:type="dxa"/>
            <w:right w:w="0" w:type="dxa"/>
          </w:tblCellMar>
        </w:tblPrEx>
        <w:tc>
          <w:tcPr>
            <w:tcW w:w="636" w:type="pct"/>
            <w:tcBorders>
              <w:top w:val="nil"/>
              <w:left w:val="single" w:color="000000" w:sz="6" w:space="0"/>
              <w:bottom w:val="nil"/>
              <w:right w:val="nil"/>
            </w:tcBorders>
          </w:tcPr>
          <w:p w14:paraId="12AD8349">
            <w:pPr>
              <w:snapToGrid w:val="0"/>
              <w:spacing w:line="280" w:lineRule="exact"/>
              <w:jc w:val="both"/>
              <w:rPr>
                <w:rFonts w:ascii="Arial" w:hAnsi="Arial" w:eastAsia="宋体" w:cs="Arial"/>
                <w:lang w:eastAsia="zh-CN"/>
              </w:rPr>
            </w:pPr>
          </w:p>
        </w:tc>
        <w:tc>
          <w:tcPr>
            <w:tcW w:w="1087" w:type="pct"/>
            <w:tcBorders>
              <w:top w:val="nil"/>
              <w:left w:val="nil"/>
              <w:bottom w:val="nil"/>
              <w:right w:val="nil"/>
            </w:tcBorders>
          </w:tcPr>
          <w:p w14:paraId="227CFD07">
            <w:pPr>
              <w:snapToGrid w:val="0"/>
              <w:spacing w:line="280" w:lineRule="exact"/>
              <w:jc w:val="both"/>
              <w:rPr>
                <w:rFonts w:ascii="Arial" w:hAnsi="Arial" w:eastAsia="宋体" w:cs="Arial"/>
                <w:lang w:eastAsia="zh-CN"/>
              </w:rPr>
            </w:pPr>
          </w:p>
        </w:tc>
        <w:tc>
          <w:tcPr>
            <w:tcW w:w="2104" w:type="pct"/>
            <w:tcBorders>
              <w:top w:val="nil"/>
              <w:left w:val="nil"/>
              <w:bottom w:val="nil"/>
              <w:right w:val="nil"/>
            </w:tcBorders>
          </w:tcPr>
          <w:p w14:paraId="350CE2A1">
            <w:pPr>
              <w:pStyle w:val="20"/>
              <w:snapToGrid w:val="0"/>
              <w:spacing w:line="280" w:lineRule="exact"/>
              <w:jc w:val="both"/>
              <w:rPr>
                <w:rFonts w:ascii="Arial" w:hAnsi="Arial" w:eastAsia="宋体" w:cs="Arial"/>
                <w:sz w:val="20"/>
                <w:lang w:eastAsia="zh-CN"/>
              </w:rPr>
            </w:pPr>
          </w:p>
        </w:tc>
        <w:tc>
          <w:tcPr>
            <w:tcW w:w="415" w:type="pct"/>
            <w:tcBorders>
              <w:top w:val="nil"/>
              <w:left w:val="nil"/>
              <w:bottom w:val="nil"/>
              <w:right w:val="nil"/>
            </w:tcBorders>
          </w:tcPr>
          <w:p w14:paraId="350C0393">
            <w:pPr>
              <w:snapToGrid w:val="0"/>
              <w:spacing w:line="280" w:lineRule="exact"/>
              <w:jc w:val="center"/>
              <w:rPr>
                <w:rFonts w:ascii="Arial" w:hAnsi="Arial" w:eastAsia="宋体" w:cs="Arial"/>
                <w:lang w:eastAsia="zh-CN"/>
              </w:rPr>
            </w:pPr>
          </w:p>
        </w:tc>
        <w:tc>
          <w:tcPr>
            <w:tcW w:w="758" w:type="pct"/>
            <w:vMerge w:val="continue"/>
            <w:tcBorders>
              <w:left w:val="nil"/>
              <w:right w:val="single" w:color="000000" w:sz="6" w:space="0"/>
            </w:tcBorders>
          </w:tcPr>
          <w:p w14:paraId="39672240">
            <w:pPr>
              <w:pStyle w:val="20"/>
              <w:snapToGrid w:val="0"/>
              <w:spacing w:line="280" w:lineRule="exact"/>
              <w:jc w:val="both"/>
              <w:rPr>
                <w:rFonts w:ascii="Arial" w:hAnsi="Arial" w:eastAsia="宋体" w:cs="Arial"/>
                <w:sz w:val="20"/>
                <w:szCs w:val="20"/>
                <w:lang w:eastAsia="zh-CN"/>
              </w:rPr>
            </w:pPr>
          </w:p>
        </w:tc>
      </w:tr>
      <w:tr w14:paraId="115283DE">
        <w:tblPrEx>
          <w:tblCellMar>
            <w:top w:w="0" w:type="dxa"/>
            <w:left w:w="0" w:type="dxa"/>
            <w:bottom w:w="0" w:type="dxa"/>
            <w:right w:w="0" w:type="dxa"/>
          </w:tblCellMar>
        </w:tblPrEx>
        <w:tc>
          <w:tcPr>
            <w:tcW w:w="636" w:type="pct"/>
            <w:tcBorders>
              <w:top w:val="single" w:color="000000" w:sz="6" w:space="0"/>
              <w:left w:val="single" w:color="000000" w:sz="6" w:space="0"/>
              <w:bottom w:val="nil"/>
              <w:right w:val="nil"/>
            </w:tcBorders>
          </w:tcPr>
          <w:p w14:paraId="76A015F7">
            <w:pPr>
              <w:pStyle w:val="20"/>
              <w:snapToGrid w:val="0"/>
              <w:spacing w:line="280" w:lineRule="exact"/>
              <w:jc w:val="both"/>
              <w:rPr>
                <w:rFonts w:ascii="Arial" w:hAnsi="Arial" w:eastAsia="宋体" w:cs="Arial"/>
                <w:sz w:val="20"/>
                <w:szCs w:val="20"/>
              </w:rPr>
            </w:pPr>
            <w:r>
              <w:rPr>
                <w:rFonts w:ascii="Arial" w:hAnsi="Arial" w:eastAsia="宋体" w:cs="Arial"/>
                <w:spacing w:val="-1"/>
                <w:sz w:val="20"/>
              </w:rPr>
              <w:t>892.2050</w:t>
            </w:r>
          </w:p>
        </w:tc>
        <w:tc>
          <w:tcPr>
            <w:tcW w:w="1087" w:type="pct"/>
            <w:vMerge w:val="restart"/>
            <w:tcBorders>
              <w:top w:val="single" w:color="000000" w:sz="6" w:space="0"/>
              <w:left w:val="nil"/>
              <w:right w:val="nil"/>
            </w:tcBorders>
          </w:tcPr>
          <w:p w14:paraId="3D992628">
            <w:pPr>
              <w:pStyle w:val="20"/>
              <w:snapToGrid w:val="0"/>
              <w:spacing w:line="280" w:lineRule="exact"/>
              <w:jc w:val="both"/>
              <w:rPr>
                <w:rFonts w:ascii="Arial" w:hAnsi="Arial" w:eastAsia="宋体" w:cs="Arial"/>
                <w:sz w:val="20"/>
                <w:szCs w:val="20"/>
              </w:rPr>
            </w:pPr>
            <w:r>
              <w:rPr>
                <w:rFonts w:ascii="Arial" w:hAnsi="Arial" w:eastAsia="宋体" w:cs="Arial"/>
                <w:sz w:val="20"/>
              </w:rPr>
              <w:t>图片</w:t>
            </w:r>
            <w:r>
              <w:rPr>
                <w:rFonts w:ascii="Arial" w:hAnsi="Arial" w:eastAsia="宋体" w:cs="Arial"/>
                <w:sz w:val="20"/>
                <w:lang w:eastAsia="zh-CN"/>
              </w:rPr>
              <w:t>存档</w:t>
            </w:r>
            <w:r>
              <w:rPr>
                <w:rFonts w:ascii="Arial" w:hAnsi="Arial" w:eastAsia="宋体" w:cs="Arial"/>
                <w:sz w:val="20"/>
              </w:rPr>
              <w:t>和通信系统</w:t>
            </w:r>
          </w:p>
        </w:tc>
        <w:tc>
          <w:tcPr>
            <w:tcW w:w="2104" w:type="pct"/>
            <w:tcBorders>
              <w:top w:val="single" w:color="000000" w:sz="6" w:space="0"/>
              <w:left w:val="nil"/>
              <w:bottom w:val="nil"/>
              <w:right w:val="nil"/>
            </w:tcBorders>
          </w:tcPr>
          <w:p w14:paraId="2CA0A2A8">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系统、图像处理、放射学</w:t>
            </w:r>
          </w:p>
        </w:tc>
        <w:tc>
          <w:tcPr>
            <w:tcW w:w="415" w:type="pct"/>
            <w:tcBorders>
              <w:top w:val="single" w:color="000000" w:sz="6" w:space="0"/>
              <w:left w:val="nil"/>
              <w:bottom w:val="nil"/>
              <w:right w:val="nil"/>
            </w:tcBorders>
          </w:tcPr>
          <w:p w14:paraId="415E46C5">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single" w:color="000000" w:sz="6" w:space="0"/>
              <w:left w:val="nil"/>
              <w:bottom w:val="nil"/>
              <w:right w:val="single" w:color="000000" w:sz="6" w:space="0"/>
            </w:tcBorders>
          </w:tcPr>
          <w:p w14:paraId="6405E89C">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r w14:paraId="3AEEAD5C">
        <w:tblPrEx>
          <w:tblCellMar>
            <w:top w:w="0" w:type="dxa"/>
            <w:left w:w="0" w:type="dxa"/>
            <w:bottom w:w="0" w:type="dxa"/>
            <w:right w:w="0" w:type="dxa"/>
          </w:tblCellMar>
        </w:tblPrEx>
        <w:tc>
          <w:tcPr>
            <w:tcW w:w="636" w:type="pct"/>
            <w:tcBorders>
              <w:top w:val="nil"/>
              <w:left w:val="single" w:color="000000" w:sz="6" w:space="0"/>
              <w:bottom w:val="nil"/>
              <w:right w:val="nil"/>
            </w:tcBorders>
          </w:tcPr>
          <w:p w14:paraId="3541013B">
            <w:pPr>
              <w:snapToGrid w:val="0"/>
              <w:spacing w:line="280" w:lineRule="exact"/>
              <w:jc w:val="both"/>
              <w:rPr>
                <w:rFonts w:ascii="Arial" w:hAnsi="Arial" w:eastAsia="宋体" w:cs="Arial"/>
              </w:rPr>
            </w:pPr>
          </w:p>
        </w:tc>
        <w:tc>
          <w:tcPr>
            <w:tcW w:w="1087" w:type="pct"/>
            <w:vMerge w:val="continue"/>
            <w:tcBorders>
              <w:left w:val="nil"/>
              <w:right w:val="nil"/>
            </w:tcBorders>
          </w:tcPr>
          <w:p w14:paraId="458BDA09">
            <w:pPr>
              <w:pStyle w:val="20"/>
              <w:snapToGrid w:val="0"/>
              <w:spacing w:line="280" w:lineRule="exact"/>
              <w:jc w:val="both"/>
              <w:rPr>
                <w:rFonts w:ascii="Arial" w:hAnsi="Arial" w:eastAsia="宋体" w:cs="Arial"/>
                <w:sz w:val="20"/>
                <w:szCs w:val="20"/>
              </w:rPr>
            </w:pPr>
          </w:p>
        </w:tc>
        <w:tc>
          <w:tcPr>
            <w:tcW w:w="2104" w:type="pct"/>
            <w:tcBorders>
              <w:top w:val="nil"/>
              <w:left w:val="nil"/>
              <w:bottom w:val="nil"/>
              <w:right w:val="nil"/>
            </w:tcBorders>
          </w:tcPr>
          <w:p w14:paraId="2AE25C19">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（LLZ）</w:t>
            </w:r>
          </w:p>
        </w:tc>
        <w:tc>
          <w:tcPr>
            <w:tcW w:w="415" w:type="pct"/>
            <w:tcBorders>
              <w:top w:val="nil"/>
              <w:left w:val="nil"/>
              <w:bottom w:val="nil"/>
              <w:right w:val="nil"/>
            </w:tcBorders>
          </w:tcPr>
          <w:p w14:paraId="77307C69">
            <w:pPr>
              <w:snapToGrid w:val="0"/>
              <w:spacing w:line="280" w:lineRule="exact"/>
              <w:jc w:val="center"/>
              <w:rPr>
                <w:rFonts w:ascii="Arial" w:hAnsi="Arial" w:eastAsia="宋体" w:cs="Arial"/>
              </w:rPr>
            </w:pPr>
          </w:p>
        </w:tc>
        <w:tc>
          <w:tcPr>
            <w:tcW w:w="758" w:type="pct"/>
            <w:tcBorders>
              <w:top w:val="nil"/>
              <w:left w:val="nil"/>
              <w:bottom w:val="nil"/>
              <w:right w:val="single" w:color="000000" w:sz="6" w:space="0"/>
            </w:tcBorders>
          </w:tcPr>
          <w:p w14:paraId="0163C402">
            <w:pPr>
              <w:snapToGrid w:val="0"/>
              <w:spacing w:line="280" w:lineRule="exact"/>
              <w:jc w:val="both"/>
              <w:rPr>
                <w:rFonts w:ascii="Arial" w:hAnsi="Arial" w:eastAsia="宋体" w:cs="Arial"/>
              </w:rPr>
            </w:pPr>
          </w:p>
        </w:tc>
      </w:tr>
      <w:tr w14:paraId="0AE78252">
        <w:tblPrEx>
          <w:tblCellMar>
            <w:top w:w="0" w:type="dxa"/>
            <w:left w:w="0" w:type="dxa"/>
            <w:bottom w:w="0" w:type="dxa"/>
            <w:right w:w="0" w:type="dxa"/>
          </w:tblCellMar>
        </w:tblPrEx>
        <w:tc>
          <w:tcPr>
            <w:tcW w:w="636" w:type="pct"/>
            <w:tcBorders>
              <w:top w:val="nil"/>
              <w:left w:val="single" w:color="000000" w:sz="6" w:space="0"/>
              <w:bottom w:val="single" w:color="000000" w:sz="6" w:space="0"/>
              <w:right w:val="nil"/>
            </w:tcBorders>
          </w:tcPr>
          <w:p w14:paraId="72F98FD2">
            <w:pPr>
              <w:snapToGrid w:val="0"/>
              <w:spacing w:line="280" w:lineRule="exact"/>
              <w:jc w:val="both"/>
              <w:rPr>
                <w:rFonts w:ascii="Arial" w:hAnsi="Arial" w:eastAsia="宋体" w:cs="Arial"/>
              </w:rPr>
            </w:pPr>
          </w:p>
        </w:tc>
        <w:tc>
          <w:tcPr>
            <w:tcW w:w="1087" w:type="pct"/>
            <w:vMerge w:val="continue"/>
            <w:tcBorders>
              <w:left w:val="nil"/>
              <w:bottom w:val="single" w:color="000000" w:sz="6" w:space="0"/>
              <w:right w:val="nil"/>
            </w:tcBorders>
          </w:tcPr>
          <w:p w14:paraId="3A755A05">
            <w:pPr>
              <w:pStyle w:val="20"/>
              <w:snapToGrid w:val="0"/>
              <w:spacing w:line="280" w:lineRule="exact"/>
              <w:jc w:val="both"/>
              <w:rPr>
                <w:rFonts w:ascii="Arial" w:hAnsi="Arial" w:eastAsia="宋体" w:cs="Arial"/>
                <w:sz w:val="20"/>
                <w:szCs w:val="20"/>
              </w:rPr>
            </w:pPr>
          </w:p>
        </w:tc>
        <w:tc>
          <w:tcPr>
            <w:tcW w:w="2104" w:type="pct"/>
            <w:tcBorders>
              <w:top w:val="nil"/>
              <w:left w:val="nil"/>
              <w:bottom w:val="single" w:color="000000" w:sz="6" w:space="0"/>
              <w:right w:val="nil"/>
            </w:tcBorders>
          </w:tcPr>
          <w:p w14:paraId="44A8ECD5">
            <w:pPr>
              <w:pStyle w:val="20"/>
              <w:snapToGrid w:val="0"/>
              <w:spacing w:line="280" w:lineRule="exact"/>
              <w:jc w:val="both"/>
              <w:rPr>
                <w:rFonts w:ascii="Arial" w:hAnsi="Arial" w:eastAsia="宋体" w:cs="Arial"/>
                <w:sz w:val="20"/>
                <w:lang w:eastAsia="zh-CN"/>
              </w:rPr>
            </w:pPr>
            <w:r>
              <w:rPr>
                <w:rFonts w:ascii="Arial" w:hAnsi="Arial" w:eastAsia="宋体" w:cs="Arial"/>
                <w:sz w:val="20"/>
                <w:lang w:eastAsia="zh-CN"/>
              </w:rPr>
              <w:t>系统、图像管理、眼科（NFJ）</w:t>
            </w:r>
          </w:p>
        </w:tc>
        <w:tc>
          <w:tcPr>
            <w:tcW w:w="415" w:type="pct"/>
            <w:tcBorders>
              <w:top w:val="nil"/>
              <w:left w:val="nil"/>
              <w:bottom w:val="single" w:color="000000" w:sz="6" w:space="0"/>
              <w:right w:val="nil"/>
            </w:tcBorders>
          </w:tcPr>
          <w:p w14:paraId="259A3F42">
            <w:pPr>
              <w:pStyle w:val="20"/>
              <w:snapToGrid w:val="0"/>
              <w:spacing w:line="280" w:lineRule="exact"/>
              <w:jc w:val="center"/>
              <w:rPr>
                <w:rFonts w:ascii="Arial" w:hAnsi="Arial" w:eastAsia="宋体" w:cs="Arial"/>
                <w:sz w:val="20"/>
                <w:szCs w:val="20"/>
              </w:rPr>
            </w:pPr>
            <w:r>
              <w:rPr>
                <w:rFonts w:ascii="Arial" w:hAnsi="Arial" w:eastAsia="宋体" w:cs="Arial"/>
                <w:sz w:val="20"/>
              </w:rPr>
              <w:t>2</w:t>
            </w:r>
          </w:p>
        </w:tc>
        <w:tc>
          <w:tcPr>
            <w:tcW w:w="758" w:type="pct"/>
            <w:tcBorders>
              <w:top w:val="nil"/>
              <w:left w:val="nil"/>
              <w:bottom w:val="single" w:color="000000" w:sz="6" w:space="0"/>
              <w:right w:val="single" w:color="000000" w:sz="6" w:space="0"/>
            </w:tcBorders>
          </w:tcPr>
          <w:p w14:paraId="3037682E">
            <w:pPr>
              <w:pStyle w:val="20"/>
              <w:snapToGrid w:val="0"/>
              <w:spacing w:line="280" w:lineRule="exact"/>
              <w:jc w:val="both"/>
              <w:rPr>
                <w:rFonts w:ascii="Arial" w:hAnsi="Arial" w:eastAsia="宋体" w:cs="Arial"/>
                <w:sz w:val="20"/>
                <w:szCs w:val="20"/>
              </w:rPr>
            </w:pPr>
            <w:r>
              <w:rPr>
                <w:rFonts w:ascii="Arial" w:hAnsi="Arial" w:eastAsia="宋体" w:cs="Arial"/>
                <w:sz w:val="20"/>
              </w:rPr>
              <w:t>510(k)</w:t>
            </w:r>
          </w:p>
        </w:tc>
      </w:tr>
    </w:tbl>
    <w:p w14:paraId="10D5935E">
      <w:pPr>
        <w:snapToGrid w:val="0"/>
        <w:spacing w:line="300" w:lineRule="auto"/>
        <w:jc w:val="both"/>
        <w:rPr>
          <w:rFonts w:ascii="Arial" w:hAnsi="Arial" w:eastAsia="宋体" w:cs="Arial"/>
          <w:sz w:val="20"/>
          <w:szCs w:val="20"/>
        </w:rPr>
      </w:pPr>
    </w:p>
    <w:p w14:paraId="591BD644">
      <w:pPr>
        <w:snapToGrid w:val="0"/>
        <w:spacing w:line="300" w:lineRule="auto"/>
        <w:jc w:val="both"/>
        <w:rPr>
          <w:rFonts w:ascii="Arial" w:hAnsi="Arial" w:eastAsia="宋体" w:cs="Arial"/>
          <w:sz w:val="20"/>
          <w:szCs w:val="20"/>
        </w:rPr>
      </w:pPr>
    </w:p>
    <w:p w14:paraId="14A7A771">
      <w:pPr>
        <w:snapToGrid w:val="0"/>
        <w:spacing w:line="300" w:lineRule="auto"/>
        <w:jc w:val="both"/>
        <w:rPr>
          <w:rFonts w:ascii="Arial" w:hAnsi="Arial" w:eastAsia="宋体" w:cs="Arial"/>
          <w:sz w:val="20"/>
          <w:szCs w:val="20"/>
        </w:rPr>
      </w:pPr>
    </w:p>
    <w:p w14:paraId="16DCAE24">
      <w:pPr>
        <w:snapToGrid w:val="0"/>
        <w:spacing w:line="300" w:lineRule="auto"/>
        <w:jc w:val="both"/>
        <w:rPr>
          <w:rFonts w:ascii="Arial" w:hAnsi="Arial" w:eastAsia="宋体" w:cs="Arial"/>
          <w:sz w:val="20"/>
          <w:szCs w:val="20"/>
        </w:rPr>
      </w:pPr>
    </w:p>
    <w:p w14:paraId="45756BC3">
      <w:pPr>
        <w:snapToGrid w:val="0"/>
        <w:spacing w:line="300" w:lineRule="auto"/>
        <w:jc w:val="both"/>
        <w:rPr>
          <w:rFonts w:ascii="Arial" w:hAnsi="Arial" w:eastAsia="宋体" w:cs="Arial"/>
          <w:sz w:val="20"/>
          <w:szCs w:val="20"/>
        </w:rPr>
      </w:pPr>
    </w:p>
    <w:p w14:paraId="56FB3187">
      <w:pPr>
        <w:snapToGrid w:val="0"/>
        <w:spacing w:line="300" w:lineRule="auto"/>
        <w:jc w:val="both"/>
        <w:rPr>
          <w:rFonts w:ascii="Arial" w:hAnsi="Arial" w:eastAsia="宋体" w:cs="Arial"/>
          <w:sz w:val="20"/>
          <w:szCs w:val="20"/>
        </w:rPr>
      </w:pPr>
    </w:p>
    <w:p w14:paraId="3F901AD6">
      <w:pPr>
        <w:snapToGrid w:val="0"/>
        <w:spacing w:line="300" w:lineRule="auto"/>
        <w:jc w:val="both"/>
        <w:rPr>
          <w:rFonts w:ascii="Arial" w:hAnsi="Arial" w:eastAsia="宋体" w:cs="Arial"/>
          <w:sz w:val="20"/>
          <w:szCs w:val="20"/>
        </w:rPr>
      </w:pPr>
    </w:p>
    <w:p w14:paraId="0C84FCFC">
      <w:pPr>
        <w:snapToGrid w:val="0"/>
        <w:spacing w:line="300" w:lineRule="auto"/>
        <w:jc w:val="both"/>
        <w:rPr>
          <w:rFonts w:ascii="Arial" w:hAnsi="Arial" w:eastAsia="宋体" w:cs="Arial"/>
          <w:sz w:val="20"/>
          <w:szCs w:val="20"/>
        </w:rPr>
      </w:pPr>
    </w:p>
    <w:p w14:paraId="5943B06A">
      <w:pPr>
        <w:snapToGrid w:val="0"/>
        <w:spacing w:line="300" w:lineRule="auto"/>
        <w:jc w:val="both"/>
        <w:rPr>
          <w:rFonts w:ascii="Arial" w:hAnsi="Arial" w:eastAsia="宋体" w:cs="Arial"/>
          <w:sz w:val="20"/>
          <w:szCs w:val="20"/>
        </w:rPr>
      </w:pPr>
    </w:p>
    <w:p w14:paraId="6293CF53">
      <w:pPr>
        <w:snapToGrid w:val="0"/>
        <w:spacing w:line="300" w:lineRule="auto"/>
        <w:jc w:val="both"/>
        <w:rPr>
          <w:rFonts w:ascii="Arial" w:hAnsi="Arial" w:eastAsia="宋体" w:cs="Arial"/>
          <w:sz w:val="20"/>
          <w:szCs w:val="20"/>
        </w:rPr>
      </w:pPr>
    </w:p>
    <w:p w14:paraId="75B5BE0E">
      <w:pPr>
        <w:snapToGrid w:val="0"/>
        <w:spacing w:line="300" w:lineRule="auto"/>
        <w:jc w:val="both"/>
        <w:rPr>
          <w:rFonts w:ascii="Arial" w:hAnsi="Arial" w:eastAsia="宋体" w:cs="Arial"/>
          <w:sz w:val="20"/>
          <w:szCs w:val="20"/>
        </w:rPr>
      </w:pPr>
    </w:p>
    <w:p w14:paraId="17F8C5CC">
      <w:pPr>
        <w:snapToGrid w:val="0"/>
        <w:spacing w:line="300" w:lineRule="auto"/>
        <w:jc w:val="both"/>
        <w:rPr>
          <w:rFonts w:ascii="Arial" w:hAnsi="Arial" w:eastAsia="宋体" w:cs="Arial"/>
          <w:sz w:val="20"/>
          <w:szCs w:val="20"/>
        </w:rPr>
      </w:pPr>
    </w:p>
    <w:p w14:paraId="5B7FF4CF">
      <w:pPr>
        <w:snapToGrid w:val="0"/>
        <w:spacing w:before="5" w:line="300" w:lineRule="auto"/>
        <w:jc w:val="both"/>
        <w:rPr>
          <w:rFonts w:ascii="Arial" w:hAnsi="Arial" w:eastAsia="宋体" w:cs="Arial"/>
          <w:sz w:val="23"/>
          <w:szCs w:val="23"/>
        </w:rPr>
      </w:pPr>
    </w:p>
    <w:p w14:paraId="240F7441">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0" name="Group 2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1" name="Group 22"/>
                        <wpg:cNvGrpSpPr/>
                        <wpg:grpSpPr>
                          <a:xfrm>
                            <a:off x="6" y="6"/>
                            <a:ext cx="2880" cy="2"/>
                            <a:chOff x="6" y="6"/>
                            <a:chExt cx="2880" cy="2"/>
                          </a:xfrm>
                        </wpg:grpSpPr>
                        <wps:wsp>
                          <wps:cNvPr id="22" name="Freeform 2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iayZmxsDAAD+BwAADgAAAAAAAAABACAAAAAjAQAAZHJzL2Uyb0Rv&#10;Yy54bWxQSwUGAAAAAAYABgBZAQAAsAYAAAAA&#10;">
                <o:lock v:ext="edit" aspectratio="f"/>
                <v:group id="Group 22" o:spid="_x0000_s1026" o:spt="203" style="position:absolute;left:6;top:6;height:2;width:2880;" coordorigin="6,6" coordsize="2880,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3" o:spid="_x0000_s1026" o:spt="100" style="position:absolute;left:6;top:6;height:2;width:2880;" filled="f" stroked="t" coordsize="2880,1" o:gfxdata="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W5s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4F59C78">
      <w:pPr>
        <w:snapToGrid w:val="0"/>
        <w:spacing w:before="71" w:line="300" w:lineRule="auto"/>
        <w:rPr>
          <w:rFonts w:ascii="Arial" w:hAnsi="Arial" w:eastAsia="宋体" w:cs="Arial"/>
          <w:sz w:val="20"/>
          <w:szCs w:val="20"/>
          <w:lang w:eastAsia="zh-CN"/>
        </w:rPr>
      </w:pPr>
      <w:r>
        <w:rPr>
          <w:rFonts w:ascii="Arial" w:hAnsi="Arial" w:eastAsia="宋体" w:cs="Arial"/>
          <w:position w:val="9"/>
          <w:sz w:val="13"/>
          <w:szCs w:val="13"/>
          <w:lang w:eastAsia="zh-CN"/>
        </w:rPr>
        <w:t>33</w:t>
      </w:r>
      <w:r>
        <w:rPr>
          <w:rFonts w:ascii="Arial" w:hAnsi="Arial" w:eastAsia="宋体" w:cs="Arial"/>
          <w:sz w:val="20"/>
          <w:szCs w:val="20"/>
          <w:lang w:eastAsia="zh-CN"/>
        </w:rPr>
        <w:t>请参见“行业和食品药品监督管理局员工指南- 某些体外诊断和放射器械上市前通告要求的执行政策”（2011年12月20日），其可在以下网站中获得：</w:t>
      </w:r>
      <w:r>
        <w:rPr>
          <w:rFonts w:ascii="Arial" w:hAnsi="Arial" w:eastAsia="宋体" w:cs="Arial"/>
          <w:color w:val="0000FF"/>
          <w:sz w:val="20"/>
          <w:szCs w:val="20"/>
          <w:u w:val="single"/>
          <w:lang w:eastAsia="zh-CN"/>
        </w:rPr>
        <w:t>http://www.fda.gov/MedicalDevices/DeviceRegulationandGuidance/GuidanceDocuments /ucm283904.htm</w:t>
      </w:r>
    </w:p>
    <w:p w14:paraId="7EF17A62">
      <w:pPr>
        <w:snapToGrid w:val="0"/>
        <w:spacing w:line="300" w:lineRule="auto"/>
        <w:rPr>
          <w:rFonts w:ascii="Arial" w:hAnsi="Arial" w:eastAsia="宋体" w:cs="Arial"/>
          <w:sz w:val="20"/>
          <w:szCs w:val="20"/>
          <w:lang w:eastAsia="zh-CN"/>
        </w:rPr>
      </w:pPr>
      <w:r>
        <w:rPr>
          <w:rFonts w:ascii="Arial" w:hAnsi="Arial" w:eastAsia="宋体" w:cs="Arial"/>
          <w:position w:val="9"/>
          <w:sz w:val="13"/>
          <w:lang w:eastAsia="zh-CN"/>
        </w:rPr>
        <w:t xml:space="preserve">34 </w:t>
      </w:r>
      <w:bookmarkStart w:id="42" w:name="_bookmark50"/>
      <w:bookmarkEnd w:id="42"/>
      <w:r>
        <w:rPr>
          <w:rFonts w:ascii="Arial" w:hAnsi="Arial" w:eastAsia="宋体" w:cs="Arial"/>
          <w:sz w:val="20"/>
          <w:szCs w:val="20"/>
          <w:lang w:eastAsia="zh-CN"/>
        </w:rPr>
        <w:t>请参见脚注31。</w:t>
      </w:r>
    </w:p>
    <w:p w14:paraId="77FEB8B9">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178F4909">
      <w:pPr>
        <w:pStyle w:val="2"/>
        <w:tabs>
          <w:tab w:val="left" w:pos="2279"/>
        </w:tabs>
        <w:snapToGrid w:val="0"/>
        <w:spacing w:before="0" w:line="276" w:lineRule="auto"/>
        <w:ind w:left="0" w:firstLine="0"/>
        <w:jc w:val="both"/>
        <w:rPr>
          <w:rFonts w:ascii="Arial" w:hAnsi="Arial" w:eastAsia="宋体" w:cs="Arial"/>
          <w:b w:val="0"/>
          <w:bCs w:val="0"/>
          <w:lang w:eastAsia="zh-CN"/>
        </w:rPr>
      </w:pPr>
      <w:bookmarkStart w:id="43" w:name="Brief_description_of_certain_device_regu"/>
      <w:bookmarkEnd w:id="43"/>
      <w:bookmarkStart w:id="44" w:name="_Toc481592034"/>
      <w:r>
        <w:rPr>
          <w:rFonts w:ascii="Arial" w:hAnsi="Arial" w:eastAsia="宋体" w:cs="Arial"/>
          <w:lang w:eastAsia="zh-CN"/>
        </w:rPr>
        <w:t>附录E某些器械监管要求的简要说明</w:t>
      </w:r>
      <w:bookmarkEnd w:id="44"/>
    </w:p>
    <w:p w14:paraId="66C29D2C">
      <w:pPr>
        <w:snapToGrid w:val="0"/>
        <w:spacing w:line="276" w:lineRule="auto"/>
        <w:jc w:val="both"/>
        <w:rPr>
          <w:rFonts w:ascii="Arial" w:hAnsi="Arial" w:eastAsia="宋体" w:cs="Arial"/>
          <w:b/>
          <w:bCs/>
          <w:sz w:val="28"/>
          <w:szCs w:val="28"/>
          <w:lang w:eastAsia="zh-CN"/>
        </w:rPr>
      </w:pPr>
    </w:p>
    <w:p w14:paraId="0ADB2CE6">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本附录提供了医疗器械（包括移动医疗应用）某些监管要求的详细说明。FDA已在线上提供其他资源和出版物以详细说明这些和其他要求。</w:t>
      </w:r>
    </w:p>
    <w:p w14:paraId="6661F6AE">
      <w:pPr>
        <w:snapToGrid w:val="0"/>
        <w:spacing w:line="276" w:lineRule="auto"/>
        <w:jc w:val="both"/>
        <w:rPr>
          <w:rFonts w:ascii="Arial" w:hAnsi="Arial" w:eastAsia="宋体" w:cs="Arial"/>
          <w:sz w:val="24"/>
          <w:szCs w:val="24"/>
          <w:lang w:eastAsia="zh-CN"/>
        </w:rPr>
      </w:pPr>
    </w:p>
    <w:p w14:paraId="78812640">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机构登记及医疗器械清单</w:t>
      </w:r>
    </w:p>
    <w:p w14:paraId="25AE9DAF">
      <w:pPr>
        <w:snapToGrid w:val="0"/>
        <w:spacing w:line="276" w:lineRule="auto"/>
        <w:jc w:val="both"/>
        <w:rPr>
          <w:rFonts w:ascii="Arial" w:hAnsi="Arial" w:eastAsia="宋体" w:cs="Arial"/>
          <w:b/>
          <w:bCs/>
          <w:sz w:val="25"/>
          <w:szCs w:val="25"/>
          <w:lang w:eastAsia="zh-CN"/>
        </w:rPr>
      </w:pPr>
    </w:p>
    <w:p w14:paraId="69A3F32B">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根据21 CFR第807部分，医疗器械的制造商必须每年在FDA处登记其机构</w:t>
      </w:r>
      <w:r>
        <w:rPr>
          <w:rFonts w:ascii="Arial" w:hAnsi="Arial" w:eastAsia="宋体" w:cs="Arial"/>
          <w:vertAlign w:val="superscript"/>
          <w:lang w:eastAsia="zh-CN"/>
        </w:rPr>
        <w:t>35</w:t>
      </w:r>
      <w:r>
        <w:rPr>
          <w:rFonts w:ascii="Arial" w:hAnsi="Arial" w:eastAsia="宋体" w:cs="Arial"/>
          <w:lang w:eastAsia="zh-CN"/>
        </w:rPr>
        <w:t>，并提供其已上市的器械清单。登记和清单要求是保持FDA知晓制造器械的人员以及某一机构正在制造的器械类型的一种手段。移动医疗应用制造商必须在FDA处登记其机构，并通过标志向FDA提供他们拟上市的移动医疗应用列表</w:t>
      </w:r>
      <w:r>
        <w:rPr>
          <w:rFonts w:ascii="Arial" w:hAnsi="Arial" w:eastAsia="宋体" w:cs="Arial"/>
          <w:vertAlign w:val="superscript"/>
          <w:lang w:eastAsia="zh-CN"/>
        </w:rPr>
        <w:t>36</w:t>
      </w:r>
      <w:r>
        <w:rPr>
          <w:rFonts w:ascii="Arial" w:hAnsi="Arial" w:eastAsia="宋体" w:cs="Arial"/>
          <w:lang w:eastAsia="zh-CN"/>
        </w:rPr>
        <w:t>。</w:t>
      </w:r>
    </w:p>
    <w:p w14:paraId="500599D1">
      <w:pPr>
        <w:snapToGrid w:val="0"/>
        <w:spacing w:line="276" w:lineRule="auto"/>
        <w:jc w:val="both"/>
        <w:rPr>
          <w:rFonts w:ascii="Arial" w:hAnsi="Arial" w:eastAsia="宋体" w:cs="Arial"/>
          <w:sz w:val="23"/>
          <w:szCs w:val="23"/>
          <w:lang w:eastAsia="zh-CN"/>
        </w:rPr>
      </w:pPr>
    </w:p>
    <w:p w14:paraId="5573DF90">
      <w:pPr>
        <w:pStyle w:val="6"/>
        <w:snapToGrid w:val="0"/>
        <w:spacing w:line="276" w:lineRule="auto"/>
        <w:ind w:left="0" w:firstLine="0"/>
        <w:rPr>
          <w:rFonts w:ascii="Arial" w:hAnsi="Arial" w:eastAsia="宋体" w:cs="Arial"/>
        </w:rPr>
      </w:pPr>
      <w:r>
        <w:rPr>
          <w:rFonts w:ascii="Arial" w:hAnsi="Arial" w:eastAsia="宋体" w:cs="Arial"/>
        </w:rPr>
        <w:t>有关更多信息，请参见“器械注意事项：</w:t>
      </w:r>
      <w:r>
        <w:rPr>
          <w:rFonts w:hint="eastAsia" w:ascii="Arial" w:hAnsi="Arial" w:eastAsia="宋体" w:cs="Arial"/>
          <w:color w:val="0000FF"/>
          <w:u w:val="single"/>
        </w:rPr>
        <w:t>器械</w:t>
      </w:r>
      <w:r>
        <w:rPr>
          <w:rFonts w:hint="eastAsia" w:ascii="Arial" w:hAnsi="Arial" w:eastAsia="宋体" w:cs="Arial"/>
          <w:color w:val="0000FF"/>
          <w:u w:val="single"/>
          <w:lang w:eastAsia="zh-CN"/>
        </w:rPr>
        <w:t>登记</w:t>
      </w:r>
      <w:r>
        <w:rPr>
          <w:rFonts w:hint="eastAsia" w:ascii="Arial" w:hAnsi="Arial" w:eastAsia="宋体" w:cs="Arial"/>
          <w:color w:val="0000FF"/>
          <w:u w:val="single"/>
        </w:rPr>
        <w:t>和</w:t>
      </w:r>
      <w:r>
        <w:rPr>
          <w:rFonts w:hint="eastAsia" w:ascii="Arial" w:hAnsi="Arial" w:eastAsia="宋体" w:cs="Arial"/>
          <w:color w:val="0000FF"/>
          <w:u w:val="single"/>
          <w:lang w:eastAsia="zh-CN"/>
        </w:rPr>
        <w:t>上市</w:t>
      </w:r>
      <w:r>
        <w:rPr>
          <w:rFonts w:ascii="Arial" w:hAnsi="Arial" w:eastAsia="宋体" w:cs="Arial"/>
        </w:rPr>
        <w:t>”，网址为</w:t>
      </w:r>
      <w:r>
        <w:rPr>
          <w:rFonts w:ascii="Arial" w:hAnsi="Arial" w:eastAsia="宋体" w:cs="Arial"/>
          <w:color w:val="0000FF"/>
          <w:u w:val="single"/>
        </w:rPr>
        <w:t>http://www.fda.gov/MedicalDevices/DeviceRegulationandGuidance/HowtoMarketYourDevice/ RegistrationandListing/default.htm</w:t>
      </w:r>
      <w:r>
        <w:rPr>
          <w:rFonts w:ascii="Arial" w:hAnsi="Arial" w:eastAsia="宋体" w:cs="Arial"/>
        </w:rPr>
        <w:t>。如果贵公司需要进一步的帮助，贵公司可以联系风险管理</w:t>
      </w:r>
      <w:r>
        <w:rPr>
          <w:rFonts w:ascii="Arial" w:hAnsi="Arial" w:eastAsia="宋体" w:cs="Arial"/>
          <w:lang w:eastAsia="zh-CN"/>
        </w:rPr>
        <w:t>操作部</w:t>
      </w:r>
      <w:r>
        <w:rPr>
          <w:rFonts w:ascii="Arial" w:hAnsi="Arial" w:eastAsia="宋体" w:cs="Arial"/>
        </w:rPr>
        <w:t>，监管政策和系统</w:t>
      </w:r>
      <w:r>
        <w:rPr>
          <w:rFonts w:ascii="Arial" w:hAnsi="Arial" w:eastAsia="宋体" w:cs="Arial"/>
          <w:lang w:eastAsia="zh-CN"/>
        </w:rPr>
        <w:t>课</w:t>
      </w:r>
      <w:r>
        <w:rPr>
          <w:rFonts w:ascii="Arial" w:hAnsi="Arial" w:eastAsia="宋体" w:cs="Arial"/>
        </w:rPr>
        <w:t>：电子</w:t>
      </w:r>
      <w:r>
        <w:rPr>
          <w:rFonts w:ascii="Arial" w:hAnsi="Arial" w:eastAsia="宋体" w:cs="Arial"/>
          <w:lang w:eastAsia="zh-CN"/>
        </w:rPr>
        <w:t>邮箱</w:t>
      </w:r>
      <w:r>
        <w:rPr>
          <w:rFonts w:ascii="Arial" w:hAnsi="Arial" w:eastAsia="宋体" w:cs="Arial"/>
        </w:rPr>
        <w:t>：</w:t>
      </w:r>
      <w:r>
        <w:rPr>
          <w:rFonts w:ascii="Arial" w:hAnsi="Arial" w:eastAsia="宋体" w:cs="Arial"/>
          <w:color w:val="0000FF"/>
          <w:u w:val="single"/>
        </w:rPr>
        <w:t>reglist@fda.hhs.gov</w:t>
      </w:r>
      <w:r>
        <w:rPr>
          <w:rFonts w:ascii="Arial" w:hAnsi="Arial" w:eastAsia="宋体" w:cs="Arial"/>
        </w:rPr>
        <w:t>，电话：301-796-7400。</w:t>
      </w:r>
      <w:r>
        <w:rPr>
          <w:rFonts w:ascii="Arial" w:hAnsi="Arial" w:eastAsia="宋体" w:cs="Arial"/>
          <w:lang w:eastAsia="zh-CN"/>
        </w:rPr>
        <w:t>也可从行业</w:t>
      </w:r>
      <w:r>
        <w:rPr>
          <w:rFonts w:ascii="Arial" w:hAnsi="Arial" w:eastAsia="宋体" w:cs="Arial"/>
        </w:rPr>
        <w:t>和消费者教育部</w:t>
      </w:r>
      <w:r>
        <w:rPr>
          <w:rFonts w:ascii="Arial" w:hAnsi="Arial" w:eastAsia="宋体" w:cs="Arial"/>
          <w:lang w:eastAsia="zh-CN"/>
        </w:rPr>
        <w:t>获得帮助</w:t>
      </w:r>
      <w:r>
        <w:rPr>
          <w:rFonts w:ascii="Arial" w:hAnsi="Arial" w:eastAsia="宋体" w:cs="Arial"/>
        </w:rPr>
        <w:t>：电子</w:t>
      </w:r>
      <w:r>
        <w:rPr>
          <w:rFonts w:ascii="Arial" w:hAnsi="Arial" w:eastAsia="宋体" w:cs="Arial"/>
          <w:lang w:eastAsia="zh-CN"/>
        </w:rPr>
        <w:t>邮箱</w:t>
      </w:r>
      <w:r>
        <w:rPr>
          <w:rFonts w:ascii="Arial" w:hAnsi="Arial" w:eastAsia="宋体" w:cs="Arial"/>
        </w:rPr>
        <w:t>：</w:t>
      </w:r>
      <w:r>
        <w:rPr>
          <w:rFonts w:ascii="Arial" w:hAnsi="Arial" w:eastAsia="宋体" w:cs="Arial"/>
          <w:color w:val="0000FF"/>
          <w:u w:val="single"/>
        </w:rPr>
        <w:t>DICE@fda.hhs.gov</w:t>
      </w:r>
      <w:r>
        <w:rPr>
          <w:rFonts w:ascii="Arial" w:hAnsi="Arial" w:eastAsia="宋体" w:cs="Arial"/>
        </w:rPr>
        <w:t>电话：301-796-7100或800-638-2041。</w:t>
      </w:r>
    </w:p>
    <w:p w14:paraId="6CD9D0D5">
      <w:pPr>
        <w:snapToGrid w:val="0"/>
        <w:spacing w:line="276" w:lineRule="auto"/>
        <w:jc w:val="both"/>
        <w:rPr>
          <w:rFonts w:ascii="Arial" w:hAnsi="Arial" w:eastAsia="宋体" w:cs="Arial"/>
          <w:sz w:val="24"/>
          <w:szCs w:val="24"/>
        </w:rPr>
      </w:pPr>
    </w:p>
    <w:p w14:paraId="7F85F69A">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器械临床研究豁免（IDE）要求</w:t>
      </w:r>
    </w:p>
    <w:p w14:paraId="41058160">
      <w:pPr>
        <w:snapToGrid w:val="0"/>
        <w:spacing w:line="276" w:lineRule="auto"/>
        <w:jc w:val="both"/>
        <w:rPr>
          <w:rFonts w:ascii="Arial" w:hAnsi="Arial" w:eastAsia="宋体" w:cs="Arial"/>
          <w:b/>
          <w:bCs/>
          <w:sz w:val="24"/>
          <w:szCs w:val="24"/>
          <w:lang w:eastAsia="zh-CN"/>
        </w:rPr>
      </w:pPr>
    </w:p>
    <w:p w14:paraId="6760EB89">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IDE允许在临床研究中使用研究器械，以收集支持上市前批准（PMA）应用或提交给FDA的上市前通告510（k）提交材料所需的安全性和有效性数据。涉及具有重大风险的器械的临床研究必须在获得FDA和机构审查委员会（IRB）的批准后才能开始着手进行。涉及具有非重大风险的器械的研究必须在获得IRB的批准后才能开始着手进行。</w:t>
      </w:r>
    </w:p>
    <w:p w14:paraId="652F5D58">
      <w:pPr>
        <w:pStyle w:val="6"/>
        <w:snapToGrid w:val="0"/>
        <w:spacing w:line="276" w:lineRule="auto"/>
        <w:ind w:left="0" w:firstLine="0"/>
        <w:jc w:val="both"/>
        <w:rPr>
          <w:rFonts w:ascii="Arial" w:hAnsi="Arial" w:eastAsia="宋体" w:cs="Arial"/>
          <w:lang w:eastAsia="zh-CN"/>
        </w:rPr>
      </w:pPr>
    </w:p>
    <w:p w14:paraId="409382CA">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我们鼓励使用新技术创建移动应用的移动医疗应用制造商与FDA进行早期协作会议，以接收有关需要进行临床研究以支持上市的那些器械的试验和开发的建议。</w:t>
      </w:r>
    </w:p>
    <w:p w14:paraId="3378BEE0">
      <w:pPr>
        <w:snapToGrid w:val="0"/>
        <w:spacing w:line="276" w:lineRule="auto"/>
        <w:jc w:val="both"/>
        <w:rPr>
          <w:rFonts w:ascii="Arial" w:hAnsi="Arial" w:eastAsia="宋体" w:cs="Arial"/>
          <w:sz w:val="24"/>
          <w:szCs w:val="24"/>
          <w:lang w:eastAsia="zh-CN"/>
        </w:rPr>
      </w:pPr>
    </w:p>
    <w:p w14:paraId="5D48D06D">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关于此类会议的更多信息，请参见2001年2月28日发布的指南：“</w:t>
      </w:r>
      <w:r>
        <w:rPr>
          <w:rFonts w:hint="eastAsia" w:ascii="Arial" w:hAnsi="Arial" w:eastAsia="宋体" w:cs="Arial"/>
          <w:color w:val="0000FF"/>
          <w:u w:val="single"/>
          <w:lang w:eastAsia="zh-CN"/>
        </w:rPr>
        <w:t>根据</w:t>
      </w:r>
      <w:r>
        <w:rPr>
          <w:rFonts w:ascii="Arial" w:hAnsi="Arial" w:eastAsia="宋体" w:cs="Arial"/>
          <w:color w:val="0000FF"/>
          <w:u w:val="single"/>
          <w:lang w:eastAsia="zh-CN"/>
        </w:rPr>
        <w:t>FDA</w:t>
      </w:r>
      <w:r>
        <w:rPr>
          <w:rFonts w:hint="eastAsia" w:ascii="Arial" w:hAnsi="Arial" w:eastAsia="宋体" w:cs="Arial"/>
          <w:color w:val="0000FF"/>
          <w:u w:val="single"/>
          <w:lang w:eastAsia="zh-CN"/>
        </w:rPr>
        <w:t>现代化法（</w:t>
      </w:r>
      <w:r>
        <w:rPr>
          <w:rFonts w:ascii="Arial" w:hAnsi="Arial" w:eastAsia="宋体" w:cs="Arial"/>
          <w:color w:val="0000FF"/>
          <w:u w:val="single"/>
          <w:lang w:eastAsia="zh-CN"/>
        </w:rPr>
        <w:t>FDAMA</w:t>
      </w:r>
      <w:r>
        <w:rPr>
          <w:rFonts w:hint="eastAsia" w:ascii="Arial" w:hAnsi="Arial" w:eastAsia="宋体" w:cs="Arial"/>
          <w:color w:val="0000FF"/>
          <w:u w:val="single"/>
          <w:lang w:eastAsia="zh-CN"/>
        </w:rPr>
        <w:t>）进行的早期协作会议；行业和</w:t>
      </w:r>
      <w:r>
        <w:rPr>
          <w:rFonts w:ascii="Arial" w:hAnsi="Arial" w:eastAsia="宋体" w:cs="Arial"/>
          <w:color w:val="0000FF"/>
          <w:u w:val="single"/>
          <w:lang w:eastAsia="zh-CN"/>
        </w:rPr>
        <w:t>CDRH</w:t>
      </w:r>
      <w:r>
        <w:rPr>
          <w:rFonts w:hint="eastAsia" w:ascii="Arial" w:hAnsi="Arial" w:eastAsia="宋体" w:cs="Arial"/>
          <w:color w:val="0000FF"/>
          <w:u w:val="single"/>
          <w:lang w:eastAsia="zh-CN"/>
        </w:rPr>
        <w:t>员工最终指南</w:t>
      </w:r>
      <w:r>
        <w:rPr>
          <w:rFonts w:ascii="Arial" w:hAnsi="Arial" w:eastAsia="宋体" w:cs="Arial"/>
          <w:lang w:eastAsia="zh-CN"/>
        </w:rPr>
        <w:t>“。本文件可在以下网站中获得：</w:t>
      </w:r>
      <w:r>
        <w:rPr>
          <w:rFonts w:ascii="Arial" w:hAnsi="Arial" w:eastAsia="宋体" w:cs="Arial"/>
          <w:color w:val="0000FF"/>
          <w:u w:val="single"/>
          <w:lang w:eastAsia="zh-CN"/>
        </w:rPr>
        <w:t>http://www.fda.gov/MedicalDevices/DeviceRegulationandGuidance/GuidanceDocuments/ucm0 73604.htm</w:t>
      </w:r>
      <w:r>
        <w:rPr>
          <w:rFonts w:ascii="Arial" w:hAnsi="Arial" w:eastAsia="宋体" w:cs="Arial"/>
          <w:lang w:eastAsia="zh-CN"/>
        </w:rPr>
        <w:t>。</w:t>
      </w:r>
    </w:p>
    <w:p w14:paraId="78818197">
      <w:pPr>
        <w:snapToGrid w:val="0"/>
        <w:spacing w:line="276" w:lineRule="auto"/>
        <w:jc w:val="both"/>
        <w:rPr>
          <w:rFonts w:ascii="Arial" w:hAnsi="Arial" w:eastAsia="宋体" w:cs="Arial"/>
          <w:sz w:val="28"/>
          <w:szCs w:val="28"/>
          <w:lang w:eastAsia="zh-CN"/>
        </w:rPr>
      </w:pPr>
    </w:p>
    <w:p w14:paraId="747EA980">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7" name="Group 1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8" name="Group 19"/>
                        <wpg:cNvGrpSpPr/>
                        <wpg:grpSpPr>
                          <a:xfrm>
                            <a:off x="6" y="6"/>
                            <a:ext cx="2880" cy="2"/>
                            <a:chOff x="6" y="6"/>
                            <a:chExt cx="2880" cy="2"/>
                          </a:xfrm>
                        </wpg:grpSpPr>
                        <wps:wsp>
                          <wps:cNvPr id="19" name="Freeform 2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HTLmcGgMAAP4HAAAOAAAAAAAAAAEAIAAAACMBAABkcnMvZTJvRG9j&#10;LnhtbFBLBQYAAAAABgAGAFkBAACvBgAAAAA=&#10;">
                <o:lock v:ext="edit" aspectratio="f"/>
                <v:group id="Group 19" o:spid="_x0000_s1026" o:spt="203" style="position:absolute;left:6;top:6;height:2;width:2880;" coordorigin="6,6" coordsize="2880,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Freeform 20" o:spid="_x0000_s1026" o:spt="100" style="position:absolute;left:6;top:6;height:2;width:2880;" filled="f" stroked="t" coordsize="2880,1" o:gfxdata="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Tag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B3D4F2A">
      <w:pPr>
        <w:snapToGrid w:val="0"/>
        <w:spacing w:line="276" w:lineRule="auto"/>
        <w:jc w:val="both"/>
        <w:rPr>
          <w:rFonts w:ascii="Arial" w:hAnsi="Arial" w:eastAsia="宋体" w:cs="Arial"/>
          <w:sz w:val="20"/>
          <w:szCs w:val="20"/>
          <w:lang w:eastAsia="zh-CN"/>
        </w:rPr>
      </w:pPr>
      <w:r>
        <w:rPr>
          <w:rFonts w:ascii="Arial" w:hAnsi="Arial" w:eastAsia="宋体" w:cs="Arial"/>
          <w:position w:val="9"/>
          <w:sz w:val="13"/>
          <w:szCs w:val="13"/>
          <w:lang w:eastAsia="zh-CN"/>
        </w:rPr>
        <w:t>35</w:t>
      </w:r>
      <w:r>
        <w:rPr>
          <w:rFonts w:ascii="Arial" w:hAnsi="Arial" w:eastAsia="宋体" w:cs="Arial"/>
          <w:sz w:val="20"/>
          <w:szCs w:val="20"/>
          <w:lang w:eastAsia="zh-CN"/>
        </w:rPr>
        <w:t>根据21 CFR 807.3（c），“机构”的定义为“位于一个普通物理位置、处于统一管理之下、制造，组装或以其他方式加工器械的营业场所”。</w:t>
      </w:r>
    </w:p>
    <w:p w14:paraId="44F764C3">
      <w:pPr>
        <w:snapToGrid w:val="0"/>
        <w:spacing w:line="276" w:lineRule="auto"/>
        <w:jc w:val="both"/>
        <w:rPr>
          <w:rFonts w:ascii="Arial" w:hAnsi="Arial" w:eastAsia="宋体" w:cs="Arial"/>
          <w:sz w:val="20"/>
          <w:szCs w:val="20"/>
          <w:lang w:eastAsia="zh-CN"/>
        </w:rPr>
      </w:pPr>
      <w:r>
        <w:rPr>
          <w:rFonts w:ascii="Arial" w:hAnsi="Arial" w:eastAsia="宋体" w:cs="Arial"/>
          <w:position w:val="9"/>
          <w:sz w:val="13"/>
          <w:lang w:eastAsia="zh-CN"/>
        </w:rPr>
        <w:t xml:space="preserve">36  </w:t>
      </w:r>
      <w:bookmarkStart w:id="45" w:name="_bookmark53"/>
      <w:bookmarkEnd w:id="45"/>
      <w:r>
        <w:rPr>
          <w:rFonts w:ascii="Arial" w:hAnsi="Arial" w:eastAsia="宋体" w:cs="Arial"/>
          <w:sz w:val="20"/>
          <w:szCs w:val="20"/>
          <w:lang w:eastAsia="zh-CN"/>
        </w:rPr>
        <w:t>请参</w:t>
      </w:r>
      <w:r>
        <w:rPr>
          <w:rFonts w:ascii="Arial" w:hAnsi="Arial" w:eastAsia="宋体" w:cs="Arial"/>
          <w:sz w:val="20"/>
          <w:szCs w:val="20"/>
        </w:rPr>
        <w:t>见21 CFR第807部分。</w:t>
      </w:r>
    </w:p>
    <w:p w14:paraId="147B177C">
      <w:pPr>
        <w:snapToGrid w:val="0"/>
        <w:spacing w:line="300" w:lineRule="auto"/>
        <w:jc w:val="both"/>
        <w:rPr>
          <w:rFonts w:ascii="Arial" w:hAnsi="Arial" w:eastAsia="宋体" w:cs="Arial"/>
          <w:sz w:val="20"/>
          <w:szCs w:val="20"/>
        </w:rPr>
        <w:sectPr>
          <w:pgSz w:w="12260" w:h="15840"/>
          <w:pgMar w:top="1134" w:right="1134" w:bottom="1134" w:left="1134" w:header="748" w:footer="773" w:gutter="0"/>
          <w:cols w:space="720" w:num="1"/>
          <w:docGrid w:linePitch="299" w:charSpace="0"/>
        </w:sectPr>
      </w:pPr>
    </w:p>
    <w:p w14:paraId="65FBDCAE">
      <w:pPr>
        <w:pStyle w:val="6"/>
        <w:snapToGrid w:val="0"/>
        <w:spacing w:before="69" w:line="300" w:lineRule="auto"/>
        <w:ind w:left="0" w:firstLine="0"/>
        <w:jc w:val="both"/>
        <w:rPr>
          <w:rFonts w:ascii="Arial" w:hAnsi="Arial" w:eastAsia="宋体" w:cs="Arial"/>
        </w:rPr>
      </w:pPr>
      <w:bookmarkStart w:id="46" w:name="_bookmark54"/>
      <w:bookmarkEnd w:id="46"/>
      <w:r>
        <w:rPr>
          <w:rFonts w:ascii="Arial" w:hAnsi="Arial" w:eastAsia="宋体" w:cs="Arial"/>
        </w:rPr>
        <w:t>有关研究器械豁免的更多信息，请参见“</w:t>
      </w:r>
      <w:r>
        <w:rPr>
          <w:rFonts w:hint="eastAsia" w:ascii="Arial" w:hAnsi="Arial" w:eastAsia="宋体" w:cs="Arial"/>
          <w:color w:val="0000FF"/>
          <w:u w:val="single"/>
        </w:rPr>
        <w:t>器械建议：器械临床研究豁免</w:t>
      </w:r>
      <w:r>
        <w:rPr>
          <w:rFonts w:ascii="Arial" w:hAnsi="Arial" w:eastAsia="宋体" w:cs="Arial"/>
        </w:rPr>
        <w:t>”，网址为</w:t>
      </w:r>
      <w:r>
        <w:rPr>
          <w:rFonts w:ascii="Arial" w:hAnsi="Arial" w:eastAsia="宋体" w:cs="Arial"/>
          <w:color w:val="0000FF"/>
          <w:u w:val="single"/>
        </w:rPr>
        <w:t>http://www.fda.gov/MedicalDevices/DeviceRegulationandGuidance/HowtoMarketYourDevice/I nvestigationalDeviceExemptionIDE/default.htm</w:t>
      </w:r>
      <w:r>
        <w:rPr>
          <w:rFonts w:ascii="Arial" w:hAnsi="Arial" w:eastAsia="宋体" w:cs="Arial"/>
        </w:rPr>
        <w:t>。</w:t>
      </w:r>
    </w:p>
    <w:p w14:paraId="7FA73F23">
      <w:pPr>
        <w:snapToGrid w:val="0"/>
        <w:spacing w:before="9" w:line="300" w:lineRule="auto"/>
        <w:jc w:val="both"/>
        <w:rPr>
          <w:rFonts w:ascii="Arial" w:hAnsi="Arial" w:eastAsia="宋体" w:cs="Arial"/>
          <w:sz w:val="18"/>
          <w:szCs w:val="18"/>
        </w:rPr>
      </w:pPr>
    </w:p>
    <w:p w14:paraId="613F0F71">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标签要求</w:t>
      </w:r>
    </w:p>
    <w:p w14:paraId="6310D721">
      <w:pPr>
        <w:snapToGrid w:val="0"/>
        <w:spacing w:before="2" w:line="300" w:lineRule="auto"/>
        <w:jc w:val="both"/>
        <w:rPr>
          <w:rFonts w:ascii="Arial" w:hAnsi="Arial" w:eastAsia="宋体" w:cs="Arial"/>
          <w:b/>
          <w:bCs/>
          <w:sz w:val="24"/>
          <w:szCs w:val="24"/>
        </w:rPr>
      </w:pPr>
    </w:p>
    <w:p w14:paraId="60C0EE71">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医疗器械制造商必须遵守有关医疗器械的21 CFR第801部分以及有关体外诊断产品的第809部分中的适用标签法规。</w:t>
      </w:r>
    </w:p>
    <w:p w14:paraId="36C66117">
      <w:pPr>
        <w:snapToGrid w:val="0"/>
        <w:spacing w:before="7" w:line="300" w:lineRule="auto"/>
        <w:jc w:val="both"/>
        <w:rPr>
          <w:rFonts w:ascii="Arial" w:hAnsi="Arial" w:eastAsia="宋体" w:cs="Arial"/>
          <w:sz w:val="24"/>
          <w:szCs w:val="24"/>
          <w:lang w:eastAsia="zh-CN"/>
        </w:rPr>
      </w:pPr>
    </w:p>
    <w:p w14:paraId="00715749">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用于批准或许可的上市前提交材料</w:t>
      </w:r>
    </w:p>
    <w:p w14:paraId="5F4B23E3">
      <w:pPr>
        <w:snapToGrid w:val="0"/>
        <w:spacing w:before="11" w:line="300" w:lineRule="auto"/>
        <w:jc w:val="both"/>
        <w:rPr>
          <w:rFonts w:ascii="Arial" w:hAnsi="Arial" w:eastAsia="宋体" w:cs="Arial"/>
          <w:b/>
          <w:bCs/>
          <w:sz w:val="23"/>
          <w:szCs w:val="23"/>
          <w:lang w:eastAsia="zh-CN"/>
        </w:rPr>
      </w:pPr>
    </w:p>
    <w:p w14:paraId="0DF42589">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移动医疗应用制造商应确定其移动医疗应用的当前分类。制造商必须根据器械分类的要求准备并提交给FDA一份适当的上市前提交材料。</w:t>
      </w:r>
    </w:p>
    <w:p w14:paraId="240A431D">
      <w:pPr>
        <w:pStyle w:val="6"/>
        <w:snapToGrid w:val="0"/>
        <w:spacing w:line="300" w:lineRule="auto"/>
        <w:ind w:left="0" w:firstLine="0"/>
        <w:jc w:val="both"/>
        <w:rPr>
          <w:rFonts w:ascii="Arial" w:hAnsi="Arial" w:eastAsia="宋体" w:cs="Arial"/>
          <w:lang w:eastAsia="zh-CN"/>
        </w:rPr>
      </w:pPr>
    </w:p>
    <w:p w14:paraId="42665B10">
      <w:pPr>
        <w:pStyle w:val="6"/>
        <w:snapToGrid w:val="0"/>
        <w:spacing w:line="300" w:lineRule="auto"/>
        <w:ind w:left="0" w:firstLine="0"/>
        <w:rPr>
          <w:rFonts w:ascii="Arial" w:hAnsi="Arial" w:eastAsia="宋体" w:cs="Arial"/>
        </w:rPr>
      </w:pPr>
      <w:r>
        <w:rPr>
          <w:rFonts w:ascii="Arial" w:hAnsi="Arial" w:eastAsia="宋体" w:cs="Arial"/>
        </w:rPr>
        <w:t>有关更多信息，请参见“</w:t>
      </w:r>
      <w:r>
        <w:rPr>
          <w:rFonts w:hint="eastAsia" w:ascii="Arial" w:hAnsi="Arial" w:eastAsia="宋体" w:cs="Arial"/>
          <w:color w:val="0000FF"/>
          <w:u w:val="single"/>
        </w:rPr>
        <w:t>器械注意事项：器械</w:t>
      </w:r>
      <w:r>
        <w:rPr>
          <w:rFonts w:hint="eastAsia" w:ascii="Arial" w:hAnsi="Arial" w:eastAsia="宋体" w:cs="Arial"/>
          <w:color w:val="0000FF"/>
          <w:u w:val="single"/>
          <w:lang w:eastAsia="zh-CN"/>
        </w:rPr>
        <w:t>登记</w:t>
      </w:r>
      <w:r>
        <w:rPr>
          <w:rFonts w:hint="eastAsia" w:ascii="Arial" w:hAnsi="Arial" w:eastAsia="宋体" w:cs="Arial"/>
          <w:color w:val="0000FF"/>
          <w:u w:val="single"/>
        </w:rPr>
        <w:t>和</w:t>
      </w:r>
      <w:r>
        <w:rPr>
          <w:rFonts w:hint="eastAsia" w:ascii="Arial" w:hAnsi="Arial" w:eastAsia="宋体" w:cs="Arial"/>
          <w:color w:val="0000FF"/>
          <w:u w:val="single"/>
          <w:lang w:eastAsia="zh-CN"/>
        </w:rPr>
        <w:t>清单</w:t>
      </w:r>
      <w:r>
        <w:rPr>
          <w:rFonts w:ascii="Arial" w:hAnsi="Arial" w:eastAsia="宋体" w:cs="Arial"/>
        </w:rPr>
        <w:t>”，网址为</w:t>
      </w:r>
      <w:r>
        <w:rPr>
          <w:rFonts w:ascii="Arial" w:hAnsi="Arial" w:eastAsia="宋体" w:cs="Arial"/>
          <w:color w:val="0000FF"/>
          <w:u w:val="single"/>
        </w:rPr>
        <w:t>http://www.fda.gov/MedicalDevices/DeviceRegulationandGuidance/HowtoMarketYourDevice/ RegistrationandListing/default.htm</w:t>
      </w:r>
      <w:r>
        <w:rPr>
          <w:rFonts w:ascii="Arial" w:hAnsi="Arial" w:eastAsia="宋体" w:cs="Arial"/>
        </w:rPr>
        <w:t>。</w:t>
      </w:r>
    </w:p>
    <w:p w14:paraId="25F92D5C">
      <w:pPr>
        <w:snapToGrid w:val="0"/>
        <w:spacing w:before="11" w:line="300" w:lineRule="auto"/>
        <w:jc w:val="both"/>
        <w:rPr>
          <w:rFonts w:ascii="Arial" w:hAnsi="Arial" w:eastAsia="宋体" w:cs="Arial"/>
          <w:sz w:val="18"/>
          <w:szCs w:val="18"/>
        </w:rPr>
      </w:pPr>
    </w:p>
    <w:p w14:paraId="6FB3D075">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质量体系法规（QS 法规）</w:t>
      </w:r>
    </w:p>
    <w:p w14:paraId="184A60CE">
      <w:pPr>
        <w:snapToGrid w:val="0"/>
        <w:spacing w:before="10" w:line="300" w:lineRule="auto"/>
        <w:jc w:val="both"/>
        <w:rPr>
          <w:rFonts w:ascii="Arial" w:hAnsi="Arial" w:eastAsia="宋体" w:cs="Arial"/>
          <w:b/>
          <w:bCs/>
          <w:sz w:val="20"/>
          <w:szCs w:val="20"/>
          <w:lang w:eastAsia="zh-CN"/>
        </w:rPr>
      </w:pPr>
    </w:p>
    <w:p w14:paraId="5595CF4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移动医疗应用制造商必须遵守QS法规。</w:t>
      </w:r>
      <w:r>
        <w:rPr>
          <w:rFonts w:ascii="Arial" w:hAnsi="Arial" w:eastAsia="宋体" w:cs="Arial"/>
          <w:vertAlign w:val="superscript"/>
          <w:lang w:eastAsia="zh-CN"/>
        </w:rPr>
        <w:t>37</w:t>
      </w:r>
      <w:r>
        <w:rPr>
          <w:rFonts w:ascii="Arial" w:hAnsi="Arial" w:eastAsia="宋体" w:cs="Arial"/>
          <w:lang w:eastAsia="zh-CN"/>
        </w:rPr>
        <w:t xml:space="preserve"> QS法规没有详细规定制造商应如何生产特定器械，但其为所有制造商提供一个框架以用于开发和跟踪，从而确保其产品始终符合适用的要求和规格。作为此框架的一部分，移动医疗应用制造商需要制定有关其产品的要求，以使器械具有安全性和有效性，并确定用于设计、生产和销售器械的方法和程序。</w:t>
      </w:r>
    </w:p>
    <w:p w14:paraId="1FA4C33D">
      <w:pPr>
        <w:snapToGrid w:val="0"/>
        <w:spacing w:line="300" w:lineRule="auto"/>
        <w:jc w:val="both"/>
        <w:rPr>
          <w:rFonts w:ascii="Arial" w:hAnsi="Arial" w:eastAsia="宋体" w:cs="Arial"/>
          <w:sz w:val="24"/>
          <w:szCs w:val="24"/>
          <w:lang w:eastAsia="zh-CN"/>
        </w:rPr>
      </w:pPr>
    </w:p>
    <w:p w14:paraId="3C09CAB6">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此外，作为QS法规（21 CFR 820.30）的一部分，移动医疗应用制造商需要适当验证并确认其移动医疗应用以及移动平台，以确保移动医疗应用可安全且有效地运行。</w:t>
      </w:r>
    </w:p>
    <w:p w14:paraId="7BA871D1">
      <w:pPr>
        <w:pStyle w:val="6"/>
        <w:snapToGrid w:val="0"/>
        <w:spacing w:line="300" w:lineRule="auto"/>
        <w:ind w:left="0" w:firstLine="0"/>
        <w:jc w:val="both"/>
        <w:rPr>
          <w:rFonts w:ascii="Arial" w:hAnsi="Arial" w:eastAsia="宋体" w:cs="Arial"/>
          <w:lang w:eastAsia="zh-CN"/>
        </w:rPr>
      </w:pPr>
    </w:p>
    <w:p w14:paraId="37C3114B">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移动医疗应用制造商需要确保已通过购买控制来确保移动医疗应用的安全销售、安装和操作提供足够的控制和流程。</w:t>
      </w:r>
    </w:p>
    <w:p w14:paraId="53E1FB77">
      <w:pPr>
        <w:pStyle w:val="6"/>
        <w:snapToGrid w:val="0"/>
        <w:spacing w:line="300" w:lineRule="auto"/>
        <w:ind w:left="0" w:firstLine="0"/>
        <w:jc w:val="both"/>
        <w:rPr>
          <w:rFonts w:ascii="Arial" w:hAnsi="Arial" w:eastAsia="宋体" w:cs="Arial"/>
          <w:lang w:eastAsia="zh-CN"/>
        </w:rPr>
      </w:pPr>
    </w:p>
    <w:p w14:paraId="44D512A2">
      <w:pPr>
        <w:pStyle w:val="6"/>
        <w:snapToGrid w:val="0"/>
        <w:spacing w:line="300" w:lineRule="auto"/>
        <w:ind w:left="0" w:firstLine="0"/>
        <w:rPr>
          <w:rFonts w:ascii="Arial" w:hAnsi="Arial" w:eastAsia="宋体" w:cs="Arial"/>
          <w:spacing w:val="-4"/>
          <w:sz w:val="20"/>
          <w:szCs w:val="20"/>
          <w:lang w:eastAsia="zh-CN"/>
        </w:rPr>
      </w:pPr>
      <w:r>
        <w:rPr>
          <w:rFonts w:ascii="Arial" w:hAnsi="Arial" w:eastAsia="宋体" w:cs="Arial"/>
          <w:spacing w:val="-4"/>
          <w:lang w:eastAsia="zh-CN"/>
        </w:rPr>
        <w:t>关于QS法规的更多信息，可以在“质量体系（QS）法规/医疗器械良好生产规范”中找到，网址为：</w:t>
      </w:r>
      <w:bookmarkStart w:id="47" w:name="_bookmark55"/>
      <w:bookmarkEnd w:id="47"/>
      <w:r>
        <w:rPr>
          <w:rFonts w:ascii="Arial" w:hAnsi="Arial" w:eastAsia="宋体" w:cs="Arial"/>
          <w:spacing w:val="-4"/>
        </w:rPr>
        <w:fldChar w:fldCharType="begin"/>
      </w:r>
      <w:r>
        <w:rPr>
          <w:rFonts w:ascii="Arial" w:hAnsi="Arial" w:eastAsia="宋体" w:cs="Arial"/>
          <w:spacing w:val="-4"/>
        </w:rPr>
        <w:instrText xml:space="preserve"> HYPERLINK "http://www.fda.gov/MedicalDevices/DeviceRegulationandGuidance/PostmarketRequirements/QualitySystemsRegulations/default.htm" \h </w:instrText>
      </w:r>
      <w:r>
        <w:rPr>
          <w:rFonts w:ascii="Arial" w:hAnsi="Arial" w:eastAsia="宋体" w:cs="Arial"/>
          <w:spacing w:val="-4"/>
        </w:rPr>
        <w:fldChar w:fldCharType="separate"/>
      </w:r>
      <w:r>
        <w:rPr>
          <w:rFonts w:ascii="Arial" w:hAnsi="Arial" w:eastAsia="宋体" w:cs="Arial"/>
          <w:color w:val="0000FF"/>
          <w:spacing w:val="-4"/>
          <w:u w:val="single" w:color="0000FF"/>
        </w:rPr>
        <w:t xml:space="preserve">http://www.fda.gov/MedicalDevices/DeviceRegulationandGuidance/PostmarketRequirements/Q </w:t>
      </w:r>
      <w:r>
        <w:rPr>
          <w:rFonts w:ascii="Arial" w:hAnsi="Arial" w:eastAsia="宋体" w:cs="Arial"/>
          <w:color w:val="0000FF"/>
          <w:spacing w:val="-4"/>
          <w:u w:val="single" w:color="0000FF"/>
        </w:rPr>
        <w:fldChar w:fldCharType="end"/>
      </w:r>
      <w:r>
        <w:fldChar w:fldCharType="begin"/>
      </w:r>
      <w:r>
        <w:instrText xml:space="preserve"> HYPERLINK "http://www.fda.gov/MedicalDevices/DeviceRegulationandGuidance/PostmarketRequirements/QualitySystemsRegulations/default.htm" \h </w:instrText>
      </w:r>
      <w:r>
        <w:fldChar w:fldCharType="separate"/>
      </w:r>
      <w:r>
        <w:rPr>
          <w:rFonts w:ascii="Arial" w:hAnsi="Arial" w:eastAsia="宋体" w:cs="Arial"/>
          <w:color w:val="0000FF"/>
          <w:spacing w:val="-4"/>
          <w:u w:val="single" w:color="0000FF"/>
        </w:rPr>
        <w:t>ualitySystemsRegulations/default.htm</w:t>
      </w:r>
      <w:r>
        <w:rPr>
          <w:rFonts w:ascii="Arial" w:hAnsi="Arial" w:eastAsia="宋体" w:cs="Arial"/>
          <w:spacing w:val="-4"/>
        </w:rPr>
        <w:t>.</w:t>
      </w:r>
      <w:r>
        <w:rPr>
          <w:rFonts w:ascii="Arial" w:hAnsi="Arial" w:eastAsia="宋体" w:cs="Arial"/>
          <w:spacing w:val="-4"/>
        </w:rPr>
        <w:fldChar w:fldCharType="end"/>
      </w:r>
    </w:p>
    <w:p w14:paraId="0FBE95FC">
      <w:pPr>
        <w:snapToGrid w:val="0"/>
        <w:spacing w:line="300" w:lineRule="auto"/>
        <w:jc w:val="both"/>
        <w:rPr>
          <w:rFonts w:ascii="Arial" w:hAnsi="Arial" w:eastAsia="宋体" w:cs="Arial"/>
          <w:sz w:val="20"/>
          <w:szCs w:val="20"/>
        </w:rPr>
      </w:pPr>
      <w:r>
        <w:rPr>
          <w:rFonts w:ascii="Arial" w:hAnsi="Arial" w:eastAsia="宋体" w:cs="Arial"/>
          <w:sz w:val="20"/>
          <w:szCs w:val="20"/>
          <w:lang w:eastAsia="zh-CN"/>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172720</wp:posOffset>
                </wp:positionV>
                <wp:extent cx="1932305" cy="0"/>
                <wp:effectExtent l="5715" t="10795" r="5080" b="8255"/>
                <wp:wrapNone/>
                <wp:docPr id="16" name="AutoShape 99"/>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ln>
                      </wps:spPr>
                      <wps:bodyPr/>
                    </wps:wsp>
                  </a:graphicData>
                </a:graphic>
              </wp:anchor>
            </w:drawing>
          </mc:Choice>
          <mc:Fallback>
            <w:pict>
              <v:shape id="AutoShape 99" o:spid="_x0000_s1026" o:spt="32" type="#_x0000_t32" style="position:absolute;left:0pt;margin-left:-1.05pt;margin-top:13.6pt;height:0pt;width:152.15pt;z-index:251663360;mso-width-relative:page;mso-height-relative:page;" filled="f" stroked="t" coordsize="21600,21600" o:gfxdata="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kcaBzWAAAACAEAAA8AAAAAAAAAAQAg&#10;AAAAIgAAAGRycy9kb3ducmV2LnhtbFBLAQIUABQAAAAIAIdO4kDKwprP1wEAALQDAAAOAAAAAAAA&#10;AAEAIAAAACUBAABkcnMvZTJvRG9jLnhtbFBLBQYAAAAABgAGAFkBAABuBQAAAAA=&#10;">
                <v:fill on="f" focussize="0,0"/>
                <v:stroke color="#000000" joinstyle="round"/>
                <v:imagedata o:title=""/>
                <o:lock v:ext="edit" aspectratio="f"/>
              </v:shape>
            </w:pict>
          </mc:Fallback>
        </mc:AlternateContent>
      </w:r>
    </w:p>
    <w:p w14:paraId="50BA343C">
      <w:pPr>
        <w:snapToGrid w:val="0"/>
        <w:spacing w:before="2" w:line="300" w:lineRule="auto"/>
        <w:jc w:val="both"/>
        <w:rPr>
          <w:rFonts w:ascii="Arial" w:hAnsi="Arial" w:eastAsia="宋体" w:cs="Arial"/>
          <w:sz w:val="20"/>
          <w:szCs w:val="20"/>
          <w:lang w:eastAsia="zh-CN"/>
        </w:rPr>
      </w:pPr>
      <w:r>
        <w:rPr>
          <w:rFonts w:ascii="Arial" w:hAnsi="Arial" w:eastAsia="宋体" w:cs="Arial"/>
          <w:sz w:val="13"/>
          <w:szCs w:val="13"/>
        </w:rPr>
        <w:t>37</w:t>
      </w:r>
      <w:r>
        <w:rPr>
          <w:rFonts w:ascii="Arial" w:hAnsi="Arial" w:eastAsia="宋体" w:cs="Arial"/>
          <w:sz w:val="20"/>
          <w:szCs w:val="20"/>
          <w:lang w:eastAsia="zh-CN"/>
        </w:rPr>
        <w:t>参见</w:t>
      </w:r>
      <w:r>
        <w:rPr>
          <w:rFonts w:ascii="Arial" w:hAnsi="Arial" w:eastAsia="宋体" w:cs="Arial"/>
          <w:sz w:val="20"/>
          <w:szCs w:val="20"/>
        </w:rPr>
        <w:t xml:space="preserve">21 CFR </w:t>
      </w:r>
      <w:r>
        <w:rPr>
          <w:rFonts w:ascii="Arial" w:hAnsi="Arial" w:eastAsia="宋体" w:cs="Arial"/>
          <w:sz w:val="20"/>
          <w:szCs w:val="20"/>
          <w:lang w:eastAsia="zh-CN"/>
        </w:rPr>
        <w:t>第</w:t>
      </w:r>
      <w:r>
        <w:rPr>
          <w:rFonts w:ascii="Arial" w:hAnsi="Arial" w:eastAsia="宋体" w:cs="Arial"/>
          <w:sz w:val="20"/>
          <w:szCs w:val="20"/>
        </w:rPr>
        <w:t>820</w:t>
      </w:r>
      <w:r>
        <w:rPr>
          <w:rFonts w:ascii="Arial" w:hAnsi="Arial" w:eastAsia="宋体" w:cs="Arial"/>
          <w:sz w:val="20"/>
          <w:szCs w:val="20"/>
          <w:lang w:eastAsia="zh-CN"/>
        </w:rPr>
        <w:t>部分。</w:t>
      </w:r>
    </w:p>
    <w:p w14:paraId="1D593681">
      <w:pPr>
        <w:rPr>
          <w:rFonts w:ascii="Arial" w:hAnsi="Arial" w:eastAsia="宋体" w:cs="Arial"/>
          <w:b/>
          <w:sz w:val="26"/>
          <w:szCs w:val="26"/>
          <w:lang w:eastAsia="zh-CN"/>
        </w:rPr>
      </w:pPr>
      <w:r>
        <w:rPr>
          <w:rFonts w:ascii="Arial" w:hAnsi="Arial" w:eastAsia="宋体" w:cs="Arial"/>
          <w:b/>
          <w:sz w:val="26"/>
          <w:szCs w:val="26"/>
          <w:lang w:eastAsia="zh-CN"/>
        </w:rPr>
        <w:br w:type="page"/>
      </w:r>
    </w:p>
    <w:p w14:paraId="74B6B161">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医疗器械报告（MDR）（不良事件报告）</w:t>
      </w:r>
    </w:p>
    <w:p w14:paraId="159E3824">
      <w:pPr>
        <w:snapToGrid w:val="0"/>
        <w:spacing w:before="2" w:line="300" w:lineRule="auto"/>
        <w:jc w:val="both"/>
        <w:rPr>
          <w:rFonts w:ascii="Arial" w:hAnsi="Arial" w:eastAsia="宋体" w:cs="Arial"/>
          <w:b/>
          <w:bCs/>
          <w:sz w:val="24"/>
          <w:szCs w:val="24"/>
          <w:lang w:eastAsia="zh-CN"/>
        </w:rPr>
      </w:pPr>
    </w:p>
    <w:p w14:paraId="09F92E4B">
      <w:pPr>
        <w:pStyle w:val="6"/>
        <w:snapToGrid w:val="0"/>
        <w:spacing w:before="15" w:line="300" w:lineRule="auto"/>
        <w:ind w:left="0" w:firstLine="0"/>
        <w:jc w:val="both"/>
        <w:rPr>
          <w:rFonts w:ascii="Arial" w:hAnsi="Arial" w:eastAsia="宋体" w:cs="Arial"/>
          <w:lang w:eastAsia="zh-CN"/>
        </w:rPr>
      </w:pPr>
      <w:r>
        <w:rPr>
          <w:rFonts w:ascii="Arial" w:hAnsi="Arial" w:eastAsia="宋体" w:cs="Arial"/>
          <w:lang w:eastAsia="zh-CN"/>
        </w:rPr>
        <w:t>医疗器械报告（MDR）法规要求医疗器械的制造商和进口商在收到或以其他方式了解来自任何来源的信息时，应向FDA提交报告，其中，此类信息合理地表明其上市的器械可能已经引起或促成死亡或严重伤害或已发生故障，且如果故障再次发生，他们上市的器械或类似器械可能会引起或促成可报告的死亡或严重伤害。</w:t>
      </w:r>
      <w:r>
        <w:rPr>
          <w:rFonts w:ascii="Arial" w:hAnsi="Arial" w:eastAsia="宋体" w:cs="Arial"/>
          <w:vertAlign w:val="superscript"/>
          <w:lang w:eastAsia="zh-CN"/>
        </w:rPr>
        <w:t>38</w:t>
      </w:r>
      <w:r>
        <w:rPr>
          <w:rFonts w:ascii="Arial" w:hAnsi="Arial" w:eastAsia="宋体" w:cs="Arial"/>
          <w:lang w:eastAsia="zh-CN"/>
        </w:rPr>
        <w:t xml:space="preserve"> MDR要求医疗器械制造商：</w:t>
      </w:r>
    </w:p>
    <w:p w14:paraId="142AF74B">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按照21 CFR 803.10（c）和803.50中所述的要求提交涉及其医疗器械的MDR可报告事件；</w:t>
      </w:r>
    </w:p>
    <w:p w14:paraId="361ECD85">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按照21 CFR 803.53中所述的要求提交长达5天的报告；</w:t>
      </w:r>
    </w:p>
    <w:p w14:paraId="55B777B8">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按照21 CFR 803.56中所述的要求提交补充报告；</w:t>
      </w:r>
    </w:p>
    <w:p w14:paraId="71A41CD6">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制定、维持并实施用于确定和评价所有医疗器械事件的书面程序，确定事件是否符合21 CFR 803.17中所述的MDR报告；</w:t>
      </w:r>
    </w:p>
    <w:p w14:paraId="44E95953">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按照21 CFR 803.50（b）（3）中所述的要求对每个事件进行研究并评价事件的原因；以及</w:t>
      </w:r>
    </w:p>
    <w:p w14:paraId="67324AF1">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建立并维持关于不良医疗器械事件的所有投诉的完整档案，如21 CFR 803.18所述。</w:t>
      </w:r>
    </w:p>
    <w:p w14:paraId="62CD9165">
      <w:pPr>
        <w:snapToGrid w:val="0"/>
        <w:spacing w:before="9" w:line="300" w:lineRule="auto"/>
        <w:jc w:val="both"/>
        <w:rPr>
          <w:rFonts w:ascii="Arial" w:hAnsi="Arial" w:eastAsia="宋体" w:cs="Arial"/>
          <w:sz w:val="23"/>
          <w:szCs w:val="23"/>
          <w:lang w:eastAsia="zh-CN"/>
        </w:rPr>
      </w:pPr>
    </w:p>
    <w:p w14:paraId="2C6646D2">
      <w:pPr>
        <w:pStyle w:val="19"/>
        <w:tabs>
          <w:tab w:val="left" w:pos="8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MDR报告（FDA表格3500A）必须包含制造商已合理知晓的21 CFR 803.52中所述的所有信息。合理知晓的信息包括以下类型的信息：</w:t>
      </w:r>
    </w:p>
    <w:p w14:paraId="00A25804">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可以通过联系用户机构、进口商或其他初始报告人员获得；</w:t>
      </w:r>
    </w:p>
    <w:p w14:paraId="0A63E714">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由制造商拥有；或</w:t>
      </w:r>
    </w:p>
    <w:p w14:paraId="4862CF7B">
      <w:pPr>
        <w:pStyle w:val="19"/>
        <w:numPr>
          <w:ilvl w:val="1"/>
          <w:numId w:val="13"/>
        </w:numPr>
        <w:snapToGrid w:val="0"/>
        <w:spacing w:before="21" w:line="300" w:lineRule="auto"/>
        <w:ind w:left="795" w:leftChars="222" w:hanging="307" w:hangingChars="128"/>
        <w:jc w:val="both"/>
        <w:rPr>
          <w:rFonts w:ascii="Arial" w:hAnsi="Arial" w:eastAsia="宋体" w:cs="Arial"/>
          <w:sz w:val="24"/>
          <w:szCs w:val="24"/>
          <w:lang w:eastAsia="zh-CN"/>
        </w:rPr>
      </w:pPr>
      <w:r>
        <w:rPr>
          <w:rFonts w:ascii="Arial" w:hAnsi="Arial" w:eastAsia="宋体" w:cs="Arial"/>
          <w:sz w:val="24"/>
          <w:szCs w:val="24"/>
          <w:lang w:eastAsia="zh-CN"/>
        </w:rPr>
        <w:t>可以通过器械的分析、试验或其他评价获得。</w:t>
      </w:r>
    </w:p>
    <w:p w14:paraId="15D7D7CF">
      <w:pPr>
        <w:snapToGrid w:val="0"/>
        <w:spacing w:before="8" w:line="300" w:lineRule="auto"/>
        <w:jc w:val="both"/>
        <w:rPr>
          <w:rFonts w:ascii="Arial" w:hAnsi="Arial" w:eastAsia="宋体" w:cs="Arial"/>
          <w:sz w:val="23"/>
          <w:szCs w:val="23"/>
          <w:lang w:eastAsia="zh-CN"/>
        </w:rPr>
      </w:pPr>
    </w:p>
    <w:p w14:paraId="7EE64DA7">
      <w:pPr>
        <w:pStyle w:val="19"/>
        <w:tabs>
          <w:tab w:val="left" w:pos="840"/>
        </w:tabs>
        <w:snapToGrid w:val="0"/>
        <w:spacing w:line="300" w:lineRule="auto"/>
        <w:rPr>
          <w:rFonts w:ascii="Arial" w:hAnsi="Arial" w:eastAsia="宋体" w:cs="Arial"/>
          <w:sz w:val="24"/>
          <w:szCs w:val="24"/>
          <w:lang w:eastAsia="zh-CN"/>
        </w:rPr>
      </w:pPr>
      <w:r>
        <w:rPr>
          <w:rFonts w:ascii="Arial" w:hAnsi="Arial" w:eastAsia="宋体" w:cs="Arial"/>
          <w:sz w:val="24"/>
          <w:szCs w:val="24"/>
          <w:lang w:eastAsia="zh-CN"/>
        </w:rPr>
        <w:t>有关如何完成3500A表单的其他说明，请参阅题为“</w:t>
      </w:r>
      <w:r>
        <w:rPr>
          <w:rFonts w:hint="eastAsia" w:ascii="Arial" w:hAnsi="Arial" w:eastAsia="宋体" w:cs="Arial"/>
          <w:color w:val="0000FF"/>
          <w:sz w:val="24"/>
          <w:szCs w:val="24"/>
          <w:u w:val="single"/>
          <w:lang w:eastAsia="zh-CN"/>
        </w:rPr>
        <w:t>有关完成表格</w:t>
      </w:r>
      <w:r>
        <w:rPr>
          <w:rFonts w:ascii="Arial" w:hAnsi="Arial" w:eastAsia="宋体" w:cs="Arial"/>
          <w:color w:val="0000FF"/>
          <w:sz w:val="24"/>
          <w:szCs w:val="24"/>
          <w:u w:val="single"/>
          <w:lang w:eastAsia="zh-CN"/>
        </w:rPr>
        <w:t>FDA 3500A</w:t>
      </w:r>
      <w:r>
        <w:rPr>
          <w:rFonts w:hint="eastAsia" w:ascii="Arial" w:hAnsi="Arial" w:eastAsia="宋体" w:cs="Arial"/>
          <w:color w:val="0000FF"/>
          <w:sz w:val="24"/>
          <w:szCs w:val="24"/>
          <w:u w:val="single"/>
          <w:lang w:eastAsia="zh-CN"/>
        </w:rPr>
        <w:t>的说明</w:t>
      </w:r>
      <w:r>
        <w:rPr>
          <w:rFonts w:ascii="Arial" w:hAnsi="Arial" w:eastAsia="宋体" w:cs="Arial"/>
          <w:sz w:val="24"/>
          <w:szCs w:val="24"/>
          <w:lang w:eastAsia="zh-CN"/>
        </w:rPr>
        <w:t>”的文件，网址为：</w:t>
      </w:r>
      <w:r>
        <w:rPr>
          <w:rFonts w:ascii="Arial" w:hAnsi="Arial" w:eastAsia="宋体" w:cs="Arial"/>
          <w:color w:val="0000FF"/>
          <w:sz w:val="24"/>
          <w:szCs w:val="24"/>
          <w:u w:val="single"/>
          <w:lang w:eastAsia="zh-CN"/>
        </w:rPr>
        <w:t>http://www.fda.gov/Safety/MedWatch/HowToReport/DownloadForms/ucm149238.htm</w:t>
      </w:r>
      <w:r>
        <w:rPr>
          <w:rFonts w:ascii="Arial" w:hAnsi="Arial" w:eastAsia="宋体" w:cs="Arial"/>
          <w:sz w:val="24"/>
          <w:szCs w:val="24"/>
          <w:lang w:eastAsia="zh-CN"/>
        </w:rPr>
        <w:t>。</w:t>
      </w:r>
    </w:p>
    <w:p w14:paraId="69DF19FA">
      <w:pPr>
        <w:pStyle w:val="19"/>
        <w:tabs>
          <w:tab w:val="left" w:pos="840"/>
        </w:tabs>
        <w:snapToGrid w:val="0"/>
        <w:spacing w:line="300" w:lineRule="auto"/>
        <w:jc w:val="both"/>
        <w:rPr>
          <w:rFonts w:ascii="Arial" w:hAnsi="Arial" w:eastAsia="宋体" w:cs="Arial"/>
          <w:sz w:val="24"/>
          <w:szCs w:val="24"/>
          <w:lang w:eastAsia="zh-CN"/>
        </w:rPr>
      </w:pPr>
    </w:p>
    <w:p w14:paraId="401593D8">
      <w:pPr>
        <w:pStyle w:val="19"/>
        <w:tabs>
          <w:tab w:val="left" w:pos="8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有关MDR法规和报告要求的其他指南，请参阅题为“</w:t>
      </w:r>
      <w:r>
        <w:rPr>
          <w:rFonts w:hint="eastAsia" w:ascii="Arial" w:hAnsi="Arial" w:eastAsia="宋体" w:cs="Arial"/>
          <w:color w:val="0000FF"/>
          <w:sz w:val="24"/>
          <w:szCs w:val="24"/>
          <w:u w:val="single"/>
          <w:lang w:eastAsia="zh-CN"/>
        </w:rPr>
        <w:t>制造商医疗器械报告</w:t>
      </w:r>
      <w:r>
        <w:rPr>
          <w:rFonts w:ascii="Arial" w:hAnsi="Arial" w:eastAsia="宋体" w:cs="Arial"/>
          <w:sz w:val="24"/>
          <w:szCs w:val="24"/>
          <w:lang w:eastAsia="zh-CN"/>
        </w:rPr>
        <w:t>”的文件，网址为：</w:t>
      </w:r>
      <w:r>
        <w:rPr>
          <w:rFonts w:ascii="Arial" w:hAnsi="Arial" w:eastAsia="宋体" w:cs="Arial"/>
          <w:color w:val="0000FF"/>
          <w:sz w:val="24"/>
          <w:szCs w:val="24"/>
          <w:u w:val="single"/>
          <w:lang w:eastAsia="zh-CN"/>
        </w:rPr>
        <w:t>http://www.fda.gov/MedicalDevices/DeviceRegulationandGuidance/GuidanceDocuments/ucm0 94529.htm</w:t>
      </w:r>
      <w:r>
        <w:rPr>
          <w:rFonts w:ascii="Arial" w:hAnsi="Arial" w:eastAsia="宋体" w:cs="Arial"/>
          <w:sz w:val="24"/>
          <w:szCs w:val="24"/>
          <w:lang w:eastAsia="zh-CN"/>
        </w:rPr>
        <w:t>。</w:t>
      </w:r>
    </w:p>
    <w:p w14:paraId="48552659">
      <w:pPr>
        <w:pStyle w:val="19"/>
        <w:tabs>
          <w:tab w:val="left" w:pos="840"/>
        </w:tabs>
        <w:snapToGrid w:val="0"/>
        <w:spacing w:line="300" w:lineRule="auto"/>
        <w:jc w:val="both"/>
        <w:rPr>
          <w:rFonts w:ascii="Arial" w:hAnsi="Arial" w:eastAsia="宋体" w:cs="Arial"/>
          <w:sz w:val="24"/>
          <w:szCs w:val="24"/>
          <w:lang w:eastAsia="zh-CN"/>
        </w:rPr>
      </w:pPr>
    </w:p>
    <w:p w14:paraId="38A7C7E3">
      <w:pPr>
        <w:pStyle w:val="19"/>
        <w:tabs>
          <w:tab w:val="left" w:pos="840"/>
        </w:tabs>
        <w:snapToGrid w:val="0"/>
        <w:spacing w:line="300" w:lineRule="auto"/>
        <w:jc w:val="both"/>
        <w:rPr>
          <w:rFonts w:ascii="Arial" w:hAnsi="Arial" w:eastAsia="宋体" w:cs="Arial"/>
          <w:sz w:val="20"/>
          <w:szCs w:val="20"/>
          <w:lang w:eastAsia="zh-CN"/>
        </w:rPr>
      </w:pPr>
      <w:r>
        <w:rPr>
          <w:rFonts w:ascii="Arial" w:hAnsi="Arial" w:eastAsia="宋体" w:cs="Arial"/>
          <w:sz w:val="24"/>
          <w:szCs w:val="24"/>
          <w:lang w:eastAsia="zh-CN"/>
        </w:rPr>
        <w:t>有关医疗器械报告的问题，包括MDR政策的解释：</w:t>
      </w:r>
      <w:r>
        <w:rPr>
          <w:rFonts w:ascii="Arial" w:hAnsi="Arial" w:eastAsia="宋体" w:cs="Arial"/>
          <w:sz w:val="20"/>
          <w:szCs w:val="20"/>
          <w:lang w:eastAsia="zh-CN"/>
        </w:rPr>
        <w:t xml:space="preserve"> </w:t>
      </w:r>
    </w:p>
    <w:p w14:paraId="0E40E579">
      <w:pPr>
        <w:snapToGrid w:val="0"/>
        <w:spacing w:line="300" w:lineRule="auto"/>
        <w:jc w:val="both"/>
        <w:rPr>
          <w:rFonts w:ascii="Arial" w:hAnsi="Arial" w:eastAsia="宋体" w:cs="Arial"/>
          <w:sz w:val="20"/>
          <w:szCs w:val="20"/>
          <w:lang w:eastAsia="zh-CN"/>
        </w:rPr>
      </w:pPr>
      <w:r>
        <w:rPr>
          <w:rFonts w:ascii="Arial" w:hAnsi="Arial" w:eastAsia="宋体" w:cs="Arial"/>
          <w:sz w:val="13"/>
          <w:szCs w:val="13"/>
          <w:lang w:eastAsia="zh-CN"/>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167640</wp:posOffset>
                </wp:positionV>
                <wp:extent cx="1714500" cy="0"/>
                <wp:effectExtent l="6350" t="5715" r="12700" b="13335"/>
                <wp:wrapNone/>
                <wp:docPr id="15" name="AutoShape 100"/>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ln>
                      </wps:spPr>
                      <wps:bodyPr/>
                    </wps:wsp>
                  </a:graphicData>
                </a:graphic>
              </wp:anchor>
            </w:drawing>
          </mc:Choice>
          <mc:Fallback>
            <w:pict>
              <v:shape id="AutoShape 100" o:spid="_x0000_s1026" o:spt="32" type="#_x0000_t32" style="position:absolute;left:0pt;margin-left:-0.25pt;margin-top:13.2pt;height:0pt;width:135pt;z-index:251664384;mso-width-relative:page;mso-height-relative:page;" filled="f" stroked="t" coordsize="21600,21600" o:gfxdata="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XOcs1AAAAAcBAAAPAAAAAAAAAAEAIAAA&#10;ACIAAABkcnMvZG93bnJldi54bWxQSwECFAAUAAAACACHTuJAlOvoDtcBAAC1AwAADgAAAAAAAAAB&#10;ACAAAAAjAQAAZHJzL2Uyb0RvYy54bWxQSwUGAAAAAAYABgBZAQAAbAUAAAAA&#10;">
                <v:fill on="f" focussize="0,0"/>
                <v:stroke color="#000000" joinstyle="round"/>
                <v:imagedata o:title=""/>
                <o:lock v:ext="edit" aspectratio="f"/>
              </v:shape>
            </w:pict>
          </mc:Fallback>
        </mc:AlternateContent>
      </w:r>
    </w:p>
    <w:p w14:paraId="0EF68681">
      <w:pPr>
        <w:snapToGrid w:val="0"/>
        <w:spacing w:line="300" w:lineRule="auto"/>
        <w:jc w:val="both"/>
        <w:rPr>
          <w:rFonts w:ascii="Arial" w:hAnsi="Arial" w:eastAsia="宋体" w:cs="Arial"/>
          <w:sz w:val="20"/>
          <w:szCs w:val="20"/>
          <w:lang w:eastAsia="zh-CN"/>
        </w:rPr>
      </w:pPr>
      <w:r>
        <w:rPr>
          <w:rFonts w:ascii="Arial" w:hAnsi="Arial" w:eastAsia="宋体" w:cs="Arial"/>
          <w:sz w:val="13"/>
          <w:szCs w:val="13"/>
          <w:lang w:eastAsia="zh-CN"/>
        </w:rPr>
        <w:t xml:space="preserve">38 </w:t>
      </w:r>
      <w:r>
        <w:rPr>
          <w:rFonts w:ascii="Arial" w:hAnsi="Arial" w:eastAsia="宋体" w:cs="Arial"/>
          <w:sz w:val="20"/>
          <w:szCs w:val="20"/>
          <w:lang w:eastAsia="zh-CN"/>
        </w:rPr>
        <w:t>参见 21 CFR第803部分。</w:t>
      </w:r>
    </w:p>
    <w:p w14:paraId="4A9B8519">
      <w:pPr>
        <w:rPr>
          <w:rFonts w:ascii="Arial" w:hAnsi="Arial" w:eastAsia="宋体" w:cs="Arial"/>
          <w:w w:val="95"/>
          <w:sz w:val="20"/>
          <w:szCs w:val="20"/>
          <w:lang w:eastAsia="zh-CN"/>
        </w:rPr>
      </w:pPr>
      <w:r>
        <w:rPr>
          <w:rFonts w:ascii="Arial" w:hAnsi="Arial" w:eastAsia="宋体" w:cs="Arial"/>
          <w:w w:val="95"/>
          <w:sz w:val="20"/>
          <w:szCs w:val="20"/>
          <w:lang w:eastAsia="zh-CN"/>
        </w:rPr>
        <w:br w:type="page"/>
      </w:r>
    </w:p>
    <w:p w14:paraId="31A21661">
      <w:pPr>
        <w:pStyle w:val="19"/>
        <w:numPr>
          <w:ilvl w:val="1"/>
          <w:numId w:val="13"/>
        </w:numPr>
        <w:snapToGrid w:val="0"/>
        <w:spacing w:line="276" w:lineRule="auto"/>
        <w:ind w:left="795" w:leftChars="222" w:hanging="307" w:hangingChars="128"/>
        <w:jc w:val="both"/>
        <w:rPr>
          <w:rFonts w:ascii="Arial" w:hAnsi="Arial" w:eastAsia="宋体" w:cs="Arial"/>
          <w:lang w:eastAsia="zh-CN"/>
        </w:rPr>
      </w:pPr>
      <w:r>
        <w:rPr>
          <w:rFonts w:ascii="Arial" w:hAnsi="Arial" w:eastAsia="宋体" w:cs="Arial"/>
          <w:sz w:val="24"/>
          <w:szCs w:val="24"/>
          <w:lang w:eastAsia="zh-CN"/>
        </w:rPr>
        <w:t>致电</w:t>
      </w:r>
      <w:r>
        <w:rPr>
          <w:rFonts w:ascii="Arial" w:hAnsi="Arial" w:eastAsia="宋体" w:cs="Arial"/>
          <w:lang w:eastAsia="zh-CN"/>
        </w:rPr>
        <w:t>：（301）796-6670（语音）</w:t>
      </w:r>
    </w:p>
    <w:p w14:paraId="62DF667A">
      <w:pPr>
        <w:pStyle w:val="19"/>
        <w:numPr>
          <w:ilvl w:val="1"/>
          <w:numId w:val="13"/>
        </w:numPr>
        <w:snapToGrid w:val="0"/>
        <w:spacing w:line="276" w:lineRule="auto"/>
        <w:ind w:left="795" w:leftChars="222" w:hanging="307" w:hangingChars="128"/>
        <w:jc w:val="both"/>
        <w:rPr>
          <w:rFonts w:ascii="Arial" w:hAnsi="Arial" w:eastAsia="宋体" w:cs="Arial"/>
          <w:sz w:val="24"/>
        </w:rPr>
      </w:pPr>
      <w:r>
        <w:rPr>
          <w:rFonts w:ascii="Arial" w:hAnsi="Arial" w:eastAsia="宋体" w:cs="Arial"/>
          <w:sz w:val="24"/>
          <w:szCs w:val="24"/>
          <w:lang w:eastAsia="zh-CN"/>
        </w:rPr>
        <w:t>电子邮箱</w:t>
      </w:r>
      <w:r>
        <w:rPr>
          <w:rFonts w:ascii="Arial" w:hAnsi="Arial" w:eastAsia="宋体" w:cs="Arial"/>
          <w:sz w:val="24"/>
        </w:rPr>
        <w:t>：</w:t>
      </w:r>
      <w:r>
        <w:rPr>
          <w:rFonts w:ascii="Arial" w:hAnsi="Arial" w:eastAsia="宋体" w:cs="Arial"/>
          <w:color w:val="0000FF"/>
          <w:sz w:val="24"/>
          <w:u w:val="single"/>
        </w:rPr>
        <w:t>RSMB@fda.hhs.gov</w:t>
      </w:r>
    </w:p>
    <w:p w14:paraId="13406C6F">
      <w:pPr>
        <w:pStyle w:val="19"/>
        <w:numPr>
          <w:ilvl w:val="1"/>
          <w:numId w:val="13"/>
        </w:numPr>
        <w:snapToGrid w:val="0"/>
        <w:spacing w:line="276" w:lineRule="auto"/>
        <w:ind w:left="795" w:leftChars="222" w:hanging="307" w:hangingChars="128"/>
        <w:jc w:val="both"/>
        <w:rPr>
          <w:rFonts w:ascii="Arial" w:hAnsi="Arial" w:eastAsia="宋体" w:cs="Arial"/>
          <w:sz w:val="24"/>
        </w:rPr>
      </w:pPr>
      <w:r>
        <w:rPr>
          <w:rFonts w:ascii="Arial" w:hAnsi="Arial" w:eastAsia="宋体" w:cs="Arial"/>
          <w:sz w:val="24"/>
        </w:rPr>
        <w:t>邮件：食品药品监督管理局，</w:t>
      </w:r>
      <w:r>
        <w:rPr>
          <w:rFonts w:ascii="Arial" w:hAnsi="Arial" w:eastAsia="宋体" w:cs="Arial"/>
          <w:sz w:val="24"/>
          <w:szCs w:val="24"/>
          <w:lang w:eastAsia="zh-CN"/>
        </w:rPr>
        <w:t>器械与放射健康中心</w:t>
      </w:r>
      <w:r>
        <w:rPr>
          <w:rFonts w:ascii="Arial" w:hAnsi="Arial" w:eastAsia="宋体" w:cs="Arial"/>
          <w:sz w:val="24"/>
        </w:rPr>
        <w:t>，报告系统监测</w:t>
      </w:r>
      <w:r>
        <w:rPr>
          <w:rFonts w:ascii="Arial" w:hAnsi="Arial" w:eastAsia="宋体" w:cs="Arial"/>
          <w:sz w:val="24"/>
          <w:lang w:eastAsia="zh-CN"/>
        </w:rPr>
        <w:t>科</w:t>
      </w:r>
      <w:r>
        <w:rPr>
          <w:rFonts w:ascii="Arial" w:hAnsi="Arial" w:eastAsia="宋体" w:cs="Arial"/>
          <w:sz w:val="24"/>
        </w:rPr>
        <w:t>，10903 New Hampshire</w:t>
      </w:r>
      <w:r>
        <w:rPr>
          <w:rFonts w:ascii="Arial" w:hAnsi="Arial" w:eastAsia="宋体" w:cs="Arial"/>
          <w:spacing w:val="-18"/>
          <w:sz w:val="24"/>
        </w:rPr>
        <w:t xml:space="preserve"> </w:t>
      </w:r>
      <w:r>
        <w:rPr>
          <w:rFonts w:ascii="Arial" w:hAnsi="Arial" w:eastAsia="宋体" w:cs="Arial"/>
          <w:sz w:val="24"/>
        </w:rPr>
        <w:t>Avenue，WO Bldg 66，Room 3217，Silver Spring，MD 20993-0002</w:t>
      </w:r>
    </w:p>
    <w:p w14:paraId="2E44600C">
      <w:pPr>
        <w:snapToGrid w:val="0"/>
        <w:spacing w:line="276" w:lineRule="auto"/>
        <w:jc w:val="both"/>
        <w:rPr>
          <w:rFonts w:ascii="Arial" w:hAnsi="Arial" w:eastAsia="宋体" w:cs="Arial"/>
          <w:sz w:val="24"/>
          <w:szCs w:val="24"/>
        </w:rPr>
      </w:pPr>
    </w:p>
    <w:p w14:paraId="13952E40">
      <w:pPr>
        <w:pStyle w:val="6"/>
        <w:numPr>
          <w:ilvl w:val="0"/>
          <w:numId w:val="12"/>
        </w:numPr>
        <w:snapToGrid w:val="0"/>
        <w:spacing w:line="276" w:lineRule="auto"/>
        <w:jc w:val="both"/>
        <w:rPr>
          <w:rFonts w:ascii="Arial" w:hAnsi="Arial" w:eastAsia="宋体" w:cs="Arial"/>
          <w:b/>
          <w:sz w:val="26"/>
          <w:szCs w:val="26"/>
          <w:lang w:eastAsia="zh-CN"/>
        </w:rPr>
      </w:pPr>
      <w:r>
        <w:rPr>
          <w:rFonts w:ascii="Arial" w:hAnsi="Arial" w:eastAsia="宋体" w:cs="Arial"/>
          <w:b/>
          <w:sz w:val="26"/>
          <w:szCs w:val="26"/>
          <w:lang w:eastAsia="zh-CN"/>
        </w:rPr>
        <w:t>纠正问题</w:t>
      </w:r>
    </w:p>
    <w:p w14:paraId="7C445DF7">
      <w:pPr>
        <w:snapToGrid w:val="0"/>
        <w:spacing w:line="276" w:lineRule="auto"/>
        <w:jc w:val="both"/>
        <w:rPr>
          <w:rFonts w:ascii="Arial" w:hAnsi="Arial" w:eastAsia="宋体" w:cs="Arial"/>
          <w:b/>
          <w:bCs/>
          <w:sz w:val="23"/>
          <w:szCs w:val="23"/>
        </w:rPr>
      </w:pPr>
    </w:p>
    <w:p w14:paraId="0B1FAA3F">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移动医疗应用制造商可以随时自愿采取行动，或者可能要求FDA采取行动来纠正问题。器械制造商通常将采取自愿行动。移动医疗应用制造商可能要求采取的行动类型的示例包括但不限于：</w:t>
      </w:r>
    </w:p>
    <w:p w14:paraId="69071E77">
      <w:pPr>
        <w:snapToGrid w:val="0"/>
        <w:spacing w:line="276" w:lineRule="auto"/>
        <w:jc w:val="both"/>
        <w:rPr>
          <w:rFonts w:ascii="Arial" w:hAnsi="Arial" w:eastAsia="宋体" w:cs="Arial"/>
          <w:sz w:val="24"/>
          <w:szCs w:val="24"/>
          <w:lang w:eastAsia="zh-CN"/>
        </w:rPr>
      </w:pPr>
    </w:p>
    <w:p w14:paraId="7A923A24">
      <w:pPr>
        <w:pStyle w:val="19"/>
        <w:numPr>
          <w:ilvl w:val="1"/>
          <w:numId w:val="13"/>
        </w:numPr>
        <w:snapToGrid w:val="0"/>
        <w:spacing w:line="276" w:lineRule="auto"/>
        <w:ind w:left="795" w:leftChars="222" w:hanging="307" w:hangingChars="128"/>
        <w:jc w:val="both"/>
        <w:rPr>
          <w:rFonts w:ascii="Arial" w:hAnsi="Arial" w:eastAsia="宋体" w:cs="Arial"/>
          <w:sz w:val="24"/>
          <w:lang w:eastAsia="zh-CN"/>
        </w:rPr>
      </w:pPr>
      <w:r>
        <w:rPr>
          <w:rFonts w:ascii="Arial" w:hAnsi="Arial" w:eastAsia="宋体" w:cs="Arial"/>
          <w:sz w:val="24"/>
          <w:szCs w:val="24"/>
          <w:lang w:eastAsia="zh-CN"/>
        </w:rPr>
        <w:t>检查</w:t>
      </w:r>
      <w:r>
        <w:rPr>
          <w:rFonts w:ascii="Arial" w:hAnsi="Arial" w:eastAsia="宋体" w:cs="Arial"/>
          <w:sz w:val="24"/>
          <w:lang w:eastAsia="zh-CN"/>
        </w:rPr>
        <w:t>器械是否存在问题；</w:t>
      </w:r>
    </w:p>
    <w:p w14:paraId="5B99DA2E">
      <w:pPr>
        <w:pStyle w:val="19"/>
        <w:numPr>
          <w:ilvl w:val="1"/>
          <w:numId w:val="13"/>
        </w:numPr>
        <w:snapToGrid w:val="0"/>
        <w:spacing w:line="276" w:lineRule="auto"/>
        <w:ind w:left="795" w:leftChars="222" w:hanging="307" w:hangingChars="128"/>
        <w:jc w:val="both"/>
        <w:rPr>
          <w:rFonts w:ascii="Arial" w:hAnsi="Arial" w:eastAsia="宋体" w:cs="Arial"/>
          <w:sz w:val="24"/>
        </w:rPr>
      </w:pPr>
      <w:r>
        <w:rPr>
          <w:rFonts w:ascii="Arial" w:hAnsi="Arial" w:eastAsia="宋体" w:cs="Arial"/>
          <w:sz w:val="24"/>
        </w:rPr>
        <w:t>修理器械；</w:t>
      </w:r>
    </w:p>
    <w:p w14:paraId="4E604E60">
      <w:pPr>
        <w:pStyle w:val="19"/>
        <w:numPr>
          <w:ilvl w:val="1"/>
          <w:numId w:val="13"/>
        </w:numPr>
        <w:snapToGrid w:val="0"/>
        <w:spacing w:line="276" w:lineRule="auto"/>
        <w:ind w:left="795" w:leftChars="222" w:hanging="307" w:hangingChars="128"/>
        <w:jc w:val="both"/>
        <w:rPr>
          <w:rFonts w:ascii="Arial" w:hAnsi="Arial" w:eastAsia="宋体" w:cs="Arial"/>
          <w:sz w:val="24"/>
          <w:lang w:eastAsia="zh-CN"/>
        </w:rPr>
      </w:pPr>
      <w:r>
        <w:rPr>
          <w:rFonts w:ascii="Arial" w:hAnsi="Arial" w:eastAsia="宋体" w:cs="Arial"/>
          <w:sz w:val="24"/>
          <w:lang w:eastAsia="zh-CN"/>
        </w:rPr>
        <w:t>调整器械上的设置；以及</w:t>
      </w:r>
    </w:p>
    <w:p w14:paraId="795373CC">
      <w:pPr>
        <w:pStyle w:val="19"/>
        <w:numPr>
          <w:ilvl w:val="1"/>
          <w:numId w:val="13"/>
        </w:numPr>
        <w:snapToGrid w:val="0"/>
        <w:spacing w:line="276" w:lineRule="auto"/>
        <w:ind w:left="795" w:leftChars="222" w:hanging="307" w:hangingChars="128"/>
        <w:jc w:val="both"/>
        <w:rPr>
          <w:rFonts w:ascii="Arial" w:hAnsi="Arial" w:eastAsia="宋体" w:cs="Arial"/>
          <w:sz w:val="24"/>
          <w:szCs w:val="24"/>
          <w:lang w:eastAsia="zh-CN"/>
        </w:rPr>
      </w:pPr>
      <w:r>
        <w:rPr>
          <w:rFonts w:ascii="Arial" w:hAnsi="Arial" w:eastAsia="宋体" w:cs="Arial"/>
          <w:sz w:val="24"/>
          <w:lang w:eastAsia="zh-CN"/>
        </w:rPr>
        <w:t>升级软件以减</w:t>
      </w:r>
      <w:r>
        <w:rPr>
          <w:rFonts w:ascii="Arial" w:hAnsi="Arial" w:eastAsia="宋体" w:cs="Arial"/>
          <w:sz w:val="24"/>
          <w:szCs w:val="24"/>
          <w:lang w:eastAsia="zh-CN"/>
        </w:rPr>
        <w:t>少来自“漏洞”或意外响应的风险。</w:t>
      </w:r>
    </w:p>
    <w:p w14:paraId="4DF10B30">
      <w:pPr>
        <w:pStyle w:val="19"/>
        <w:tabs>
          <w:tab w:val="left" w:pos="840"/>
        </w:tabs>
        <w:snapToGrid w:val="0"/>
        <w:spacing w:line="276" w:lineRule="auto"/>
        <w:jc w:val="both"/>
        <w:rPr>
          <w:rFonts w:ascii="Arial" w:hAnsi="Arial" w:eastAsia="宋体" w:cs="Arial"/>
          <w:sz w:val="24"/>
          <w:szCs w:val="24"/>
          <w:lang w:eastAsia="zh-CN"/>
        </w:rPr>
      </w:pPr>
    </w:p>
    <w:p w14:paraId="5578A331">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在某些情况下，FDA可能会通过其他方式要求制造商解决器械问题，包括从市场上移除该产品。当建议采取纠正措施时，FDA打算考虑某些移动医疗应用作为大型患者护理系统的组成部分所承担的重要作用。</w:t>
      </w:r>
    </w:p>
    <w:p w14:paraId="0E1642E1">
      <w:pPr>
        <w:snapToGrid w:val="0"/>
        <w:spacing w:line="276" w:lineRule="auto"/>
        <w:jc w:val="both"/>
        <w:rPr>
          <w:rFonts w:ascii="Arial" w:hAnsi="Arial" w:eastAsia="宋体" w:cs="Arial"/>
          <w:sz w:val="24"/>
          <w:szCs w:val="24"/>
          <w:lang w:eastAsia="zh-CN"/>
        </w:rPr>
      </w:pPr>
    </w:p>
    <w:p w14:paraId="69A30C0A">
      <w:pPr>
        <w:pStyle w:val="5"/>
        <w:snapToGrid w:val="0"/>
        <w:spacing w:line="276" w:lineRule="auto"/>
        <w:ind w:left="0"/>
        <w:jc w:val="both"/>
        <w:rPr>
          <w:rFonts w:ascii="Arial" w:hAnsi="Arial" w:eastAsia="宋体" w:cs="Arial"/>
          <w:b w:val="0"/>
          <w:bCs w:val="0"/>
          <w:lang w:eastAsia="zh-CN"/>
        </w:rPr>
      </w:pPr>
      <w:r>
        <w:rPr>
          <w:rFonts w:ascii="Arial" w:hAnsi="Arial" w:eastAsia="宋体" w:cs="Arial"/>
          <w:lang w:eastAsia="zh-CN"/>
        </w:rPr>
        <w:t>向FDA报告纠正内容：</w:t>
      </w:r>
    </w:p>
    <w:p w14:paraId="42007FA3">
      <w:pPr>
        <w:snapToGrid w:val="0"/>
        <w:spacing w:line="276" w:lineRule="auto"/>
        <w:jc w:val="both"/>
        <w:rPr>
          <w:rFonts w:ascii="Arial" w:hAnsi="Arial" w:eastAsia="宋体" w:cs="Arial"/>
          <w:b/>
          <w:bCs/>
          <w:sz w:val="23"/>
          <w:szCs w:val="23"/>
          <w:lang w:eastAsia="zh-CN"/>
        </w:rPr>
      </w:pPr>
    </w:p>
    <w:p w14:paraId="29142A3A">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根据21 CFR 806.10，移动医疗应用制造商必须在从启动纠正之日起10个工作日内及时向FDA报告有关移动医疗应用的器械纠正和移除的某些行动。具体来说，移动医疗应用制造商必须向FDA报告任何对移动医疗应用进行的、以减少移动医疗应用造成的健康风险，或者补救由移动医疗应用导致的、可能造成健康风险的FD＆C法案违反的纠正措施。</w:t>
      </w:r>
    </w:p>
    <w:p w14:paraId="619AA36A">
      <w:pPr>
        <w:snapToGrid w:val="0"/>
        <w:spacing w:line="276" w:lineRule="auto"/>
        <w:jc w:val="both"/>
        <w:rPr>
          <w:rFonts w:ascii="Arial" w:hAnsi="Arial" w:eastAsia="宋体" w:cs="Arial"/>
          <w:sz w:val="24"/>
          <w:szCs w:val="24"/>
          <w:lang w:eastAsia="zh-CN"/>
        </w:rPr>
      </w:pPr>
    </w:p>
    <w:p w14:paraId="715586E4">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报告要求不会延伸至对移动医疗应用的所有修改。例如，某些可以提高移动医疗应用质量但不会降低移动医疗应用造成的健康风险或纠正对FD＆C法案的违反的行动无需根据21 CFR 806.1（b）进行报告</w:t>
      </w:r>
      <w:r>
        <w:rPr>
          <w:rFonts w:ascii="Arial" w:hAnsi="Arial" w:eastAsia="宋体" w:cs="Arial"/>
          <w:vertAlign w:val="superscript"/>
          <w:lang w:eastAsia="zh-CN"/>
        </w:rPr>
        <w:t>39</w:t>
      </w:r>
      <w:r>
        <w:rPr>
          <w:rFonts w:ascii="Arial" w:hAnsi="Arial" w:eastAsia="宋体" w:cs="Arial"/>
          <w:lang w:eastAsia="zh-CN"/>
        </w:rPr>
        <w:t>。如果没有涉及“健康风险”，则无需向FDA提交报告，但移动医疗应用制造商必须保留纠正记录。由制造商采取的此类行动的示例可以是为了纠正可损害用户但不对用户或患者的健康构成危害的缺陷而进行的更改。</w:t>
      </w:r>
    </w:p>
    <w:p w14:paraId="3A865D47">
      <w:pPr>
        <w:pStyle w:val="6"/>
        <w:snapToGrid w:val="0"/>
        <w:spacing w:line="276" w:lineRule="auto"/>
        <w:ind w:left="0" w:firstLine="0"/>
        <w:jc w:val="both"/>
        <w:rPr>
          <w:rFonts w:ascii="Arial" w:hAnsi="Arial" w:eastAsia="宋体" w:cs="Arial"/>
          <w:lang w:eastAsia="zh-CN"/>
        </w:rPr>
      </w:pPr>
    </w:p>
    <w:p w14:paraId="24355F00">
      <w:pPr>
        <w:snapToGrid w:val="0"/>
        <w:spacing w:line="276" w:lineRule="auto"/>
        <w:jc w:val="both"/>
        <w:rPr>
          <w:rFonts w:ascii="Arial" w:hAnsi="Arial" w:eastAsia="宋体" w:cs="Arial"/>
          <w:sz w:val="11"/>
          <w:szCs w:val="11"/>
          <w:lang w:eastAsia="zh-CN"/>
        </w:rPr>
      </w:pPr>
    </w:p>
    <w:p w14:paraId="033CDE2D">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2" name="Group 1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3" name="Group 16"/>
                        <wpg:cNvGrpSpPr/>
                        <wpg:grpSpPr>
                          <a:xfrm>
                            <a:off x="6" y="6"/>
                            <a:ext cx="2880" cy="2"/>
                            <a:chOff x="6" y="6"/>
                            <a:chExt cx="2880" cy="2"/>
                          </a:xfrm>
                        </wpg:grpSpPr>
                        <wps:wsp>
                          <wps:cNvPr id="14" name="Freeform 1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VBBlzRsDAAD+BwAADgAAAAAAAAABACAAAAAjAQAAZHJzL2Uyb0Rv&#10;Yy54bWxQSwUGAAAAAAYABgBZAQAAsAYAAAAA&#10;">
                <o:lock v:ext="edit" aspectratio="f"/>
                <v:group id="Group 16" o:spid="_x0000_s1026" o:spt="203" style="position:absolute;left:6;top:6;height:2;width:2880;" coordorigin="6,6" coordsize="2880,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17" o:spid="_x0000_s1026" o:spt="100" style="position:absolute;left:6;top:6;height:2;width:2880;" filled="f" stroked="t" coordsize="2880,1" o:gfxdata="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SZP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1911CBB">
      <w:pPr>
        <w:snapToGrid w:val="0"/>
        <w:spacing w:line="276" w:lineRule="auto"/>
        <w:jc w:val="both"/>
        <w:rPr>
          <w:rFonts w:ascii="Arial" w:hAnsi="Arial" w:eastAsia="宋体" w:cs="Arial"/>
          <w:sz w:val="20"/>
          <w:szCs w:val="20"/>
          <w:lang w:eastAsia="zh-CN"/>
        </w:rPr>
      </w:pPr>
      <w:r>
        <w:rPr>
          <w:rFonts w:ascii="Arial" w:hAnsi="Arial" w:eastAsia="宋体" w:cs="Arial"/>
          <w:position w:val="9"/>
          <w:sz w:val="13"/>
          <w:lang w:eastAsia="zh-CN"/>
        </w:rPr>
        <w:t xml:space="preserve">39 </w:t>
      </w:r>
      <w:bookmarkStart w:id="48" w:name="_bookmark56"/>
      <w:bookmarkEnd w:id="48"/>
      <w:r>
        <w:rPr>
          <w:rFonts w:ascii="Arial" w:hAnsi="Arial" w:eastAsia="宋体" w:cs="Arial"/>
          <w:sz w:val="20"/>
          <w:lang w:eastAsia="zh-CN"/>
        </w:rPr>
        <w:t>根据“21 CFR 806.1（b）”规定，以下行动可以免于遵守第806部分的报告要求：</w:t>
      </w:r>
    </w:p>
    <w:p w14:paraId="2C868553">
      <w:pPr>
        <w:pStyle w:val="19"/>
        <w:numPr>
          <w:ilvl w:val="0"/>
          <w:numId w:val="14"/>
        </w:numPr>
        <w:tabs>
          <w:tab w:val="left" w:pos="405"/>
        </w:tabs>
        <w:snapToGrid w:val="0"/>
        <w:spacing w:line="276" w:lineRule="auto"/>
        <w:ind w:left="392" w:hanging="392" w:hangingChars="196"/>
        <w:jc w:val="both"/>
        <w:rPr>
          <w:rFonts w:ascii="Arial" w:hAnsi="Arial" w:eastAsia="宋体" w:cs="Arial"/>
          <w:sz w:val="20"/>
          <w:lang w:eastAsia="zh-CN"/>
        </w:rPr>
      </w:pPr>
      <w:r>
        <w:rPr>
          <w:rFonts w:ascii="Arial" w:hAnsi="Arial" w:eastAsia="宋体" w:cs="Arial"/>
          <w:sz w:val="20"/>
          <w:lang w:eastAsia="zh-CN"/>
        </w:rPr>
        <w:t>器械制造商或进口商为提高器械的性能或质量而采取的行动，但此类行动无法降低器械造成的健康风险或补救由器械引起的法律违反。</w:t>
      </w:r>
    </w:p>
    <w:p w14:paraId="0F3E3592">
      <w:pPr>
        <w:pStyle w:val="19"/>
        <w:numPr>
          <w:ilvl w:val="0"/>
          <w:numId w:val="14"/>
        </w:numPr>
        <w:tabs>
          <w:tab w:val="left" w:pos="405"/>
        </w:tabs>
        <w:snapToGrid w:val="0"/>
        <w:spacing w:line="276" w:lineRule="auto"/>
        <w:ind w:left="0" w:firstLine="0"/>
        <w:jc w:val="both"/>
        <w:rPr>
          <w:rFonts w:ascii="Arial" w:hAnsi="Arial" w:eastAsia="宋体" w:cs="Arial"/>
          <w:sz w:val="20"/>
          <w:lang w:eastAsia="zh-CN"/>
        </w:rPr>
      </w:pPr>
      <w:r>
        <w:rPr>
          <w:rFonts w:ascii="Arial" w:hAnsi="Arial" w:eastAsia="宋体" w:cs="Arial"/>
          <w:sz w:val="20"/>
          <w:lang w:eastAsia="zh-CN"/>
        </w:rPr>
        <w:t>21 CFR 806.2（h）中定义的市场退出。</w:t>
      </w:r>
    </w:p>
    <w:p w14:paraId="7DD108DE">
      <w:pPr>
        <w:pStyle w:val="19"/>
        <w:numPr>
          <w:ilvl w:val="0"/>
          <w:numId w:val="14"/>
        </w:numPr>
        <w:tabs>
          <w:tab w:val="left" w:pos="405"/>
        </w:tabs>
        <w:snapToGrid w:val="0"/>
        <w:spacing w:line="276" w:lineRule="auto"/>
        <w:ind w:left="0" w:firstLine="0"/>
        <w:jc w:val="both"/>
        <w:rPr>
          <w:rFonts w:ascii="Arial" w:hAnsi="Arial" w:eastAsia="宋体" w:cs="Arial"/>
          <w:sz w:val="20"/>
          <w:lang w:eastAsia="zh-CN"/>
        </w:rPr>
      </w:pPr>
      <w:r>
        <w:rPr>
          <w:rFonts w:ascii="Arial" w:hAnsi="Arial" w:eastAsia="宋体" w:cs="Arial"/>
          <w:sz w:val="20"/>
          <w:lang w:eastAsia="zh-CN"/>
        </w:rPr>
        <w:t>21 CFR 806.2（k）中定义的日常维修。</w:t>
      </w:r>
    </w:p>
    <w:p w14:paraId="0F9D086C">
      <w:pPr>
        <w:pStyle w:val="19"/>
        <w:numPr>
          <w:ilvl w:val="0"/>
          <w:numId w:val="14"/>
        </w:numPr>
        <w:tabs>
          <w:tab w:val="left" w:pos="405"/>
        </w:tabs>
        <w:snapToGrid w:val="0"/>
        <w:spacing w:line="276" w:lineRule="auto"/>
        <w:ind w:left="0" w:firstLine="0"/>
        <w:jc w:val="both"/>
        <w:rPr>
          <w:rFonts w:ascii="Arial" w:hAnsi="Arial" w:eastAsia="宋体" w:cs="Arial"/>
          <w:sz w:val="20"/>
          <w:lang w:eastAsia="zh-CN"/>
        </w:rPr>
      </w:pPr>
      <w:r>
        <w:rPr>
          <w:rFonts w:ascii="Arial" w:hAnsi="Arial" w:eastAsia="宋体" w:cs="Arial"/>
          <w:sz w:val="20"/>
          <w:lang w:eastAsia="zh-CN"/>
        </w:rPr>
        <w:t>21 CFR 806.2（l）中定义的库存回收。</w:t>
      </w:r>
    </w:p>
    <w:p w14:paraId="319EB238">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pgNumType w:start="34"/>
          <w:cols w:space="720" w:num="1"/>
          <w:docGrid w:linePitch="299" w:charSpace="0"/>
        </w:sectPr>
      </w:pPr>
    </w:p>
    <w:p w14:paraId="568EB52C">
      <w:pPr>
        <w:pStyle w:val="6"/>
        <w:snapToGrid w:val="0"/>
        <w:spacing w:line="300" w:lineRule="auto"/>
        <w:ind w:left="0" w:firstLine="0"/>
        <w:rPr>
          <w:rFonts w:ascii="Arial" w:hAnsi="Arial" w:eastAsia="宋体" w:cs="Arial"/>
        </w:rPr>
      </w:pPr>
      <w:r>
        <w:rPr>
          <w:rFonts w:ascii="Arial" w:hAnsi="Arial" w:eastAsia="宋体" w:cs="Arial"/>
        </w:rPr>
        <w:t>有关21 CFR第806部分</w:t>
      </w:r>
      <w:r>
        <w:rPr>
          <w:rFonts w:ascii="Arial" w:hAnsi="Arial" w:eastAsia="宋体" w:cs="Arial"/>
          <w:lang w:eastAsia="zh-CN"/>
        </w:rPr>
        <w:t>中</w:t>
      </w:r>
      <w:r>
        <w:rPr>
          <w:rFonts w:ascii="Arial" w:hAnsi="Arial" w:eastAsia="宋体" w:cs="Arial"/>
        </w:rPr>
        <w:t>报告要求的更多信息，请参见“器械建议：</w:t>
      </w:r>
      <w:r>
        <w:rPr>
          <w:rFonts w:ascii="Arial" w:hAnsi="Arial" w:eastAsia="宋体" w:cs="Arial"/>
          <w:lang w:eastAsia="zh-CN"/>
        </w:rPr>
        <w:t>召回、纠正</w:t>
      </w:r>
      <w:r>
        <w:rPr>
          <w:rFonts w:ascii="Arial" w:hAnsi="Arial" w:eastAsia="宋体" w:cs="Arial"/>
        </w:rPr>
        <w:t>和</w:t>
      </w:r>
      <w:r>
        <w:rPr>
          <w:rFonts w:ascii="Arial" w:hAnsi="Arial" w:eastAsia="宋体" w:cs="Arial"/>
          <w:lang w:eastAsia="zh-CN"/>
        </w:rPr>
        <w:t>移除</w:t>
      </w:r>
      <w:r>
        <w:rPr>
          <w:rFonts w:ascii="Arial" w:hAnsi="Arial" w:eastAsia="宋体" w:cs="Arial"/>
        </w:rPr>
        <w:t>”</w:t>
      </w:r>
      <w:r>
        <w:rPr>
          <w:rFonts w:ascii="Arial" w:hAnsi="Arial" w:eastAsia="宋体" w:cs="Arial"/>
          <w:lang w:eastAsia="zh-CN"/>
        </w:rPr>
        <w:t>，其网址为：</w:t>
      </w:r>
      <w:r>
        <w:rPr>
          <w:rFonts w:ascii="Arial" w:hAnsi="Arial" w:eastAsia="宋体" w:cs="Arial"/>
          <w:color w:val="0000FF"/>
          <w:u w:val="single"/>
        </w:rPr>
        <w:t>http://www.fda.gov/MedicalDevices/DeviceRegulationandGuidance/PostmarketRequirements/R ecallsCorrectionsAndRemovals/default.htm</w:t>
      </w:r>
      <w:r>
        <w:rPr>
          <w:rFonts w:ascii="Arial" w:hAnsi="Arial" w:eastAsia="宋体" w:cs="Arial"/>
        </w:rPr>
        <w:t>。</w:t>
      </w:r>
    </w:p>
    <w:p w14:paraId="2F5A1551">
      <w:pPr>
        <w:snapToGrid w:val="0"/>
        <w:spacing w:line="300" w:lineRule="auto"/>
        <w:jc w:val="both"/>
        <w:rPr>
          <w:rFonts w:ascii="Arial" w:hAnsi="Arial" w:eastAsia="宋体" w:cs="Arial"/>
        </w:rPr>
        <w:sectPr>
          <w:pgSz w:w="12260" w:h="15840"/>
          <w:pgMar w:top="1134" w:right="1134" w:bottom="1134" w:left="1134" w:header="748" w:footer="773" w:gutter="0"/>
          <w:cols w:space="720" w:num="1"/>
          <w:docGrid w:linePitch="299" w:charSpace="0"/>
        </w:sectPr>
      </w:pPr>
    </w:p>
    <w:p w14:paraId="42BF2D00">
      <w:pPr>
        <w:pStyle w:val="2"/>
        <w:snapToGrid w:val="0"/>
        <w:spacing w:before="0" w:line="276" w:lineRule="auto"/>
        <w:ind w:left="0" w:firstLine="0"/>
        <w:jc w:val="both"/>
        <w:rPr>
          <w:rFonts w:ascii="Arial" w:hAnsi="Arial" w:eastAsia="宋体" w:cs="Arial"/>
          <w:b w:val="0"/>
          <w:bCs w:val="0"/>
          <w:lang w:eastAsia="zh-CN"/>
        </w:rPr>
      </w:pPr>
      <w:bookmarkStart w:id="49" w:name="Frequently_Asked_Questions_(FAQs)"/>
      <w:bookmarkEnd w:id="49"/>
      <w:bookmarkStart w:id="50" w:name="I_have_a_mobile_app_not_identified_in_th"/>
      <w:bookmarkEnd w:id="50"/>
      <w:bookmarkStart w:id="51" w:name="_Toc481592035"/>
      <w:r>
        <w:rPr>
          <w:rFonts w:ascii="Arial" w:hAnsi="Arial" w:eastAsia="宋体" w:cs="Arial"/>
          <w:lang w:eastAsia="zh-CN"/>
        </w:rPr>
        <w:t xml:space="preserve">附录F </w:t>
      </w:r>
      <w:r>
        <w:rPr>
          <w:rFonts w:ascii="Arial" w:hAnsi="Arial" w:eastAsia="宋体" w:cs="Arial"/>
          <w:spacing w:val="-6"/>
          <w:lang w:eastAsia="zh-CN"/>
        </w:rPr>
        <w:t>常见问题（FAQS）</w:t>
      </w:r>
      <w:bookmarkEnd w:id="51"/>
    </w:p>
    <w:p w14:paraId="66AEA106">
      <w:pPr>
        <w:snapToGrid w:val="0"/>
        <w:spacing w:line="276" w:lineRule="auto"/>
        <w:jc w:val="both"/>
        <w:rPr>
          <w:rFonts w:ascii="Arial" w:hAnsi="Arial" w:eastAsia="宋体" w:cs="Arial"/>
          <w:b/>
          <w:bCs/>
          <w:sz w:val="49"/>
          <w:szCs w:val="49"/>
          <w:lang w:eastAsia="zh-CN"/>
        </w:rPr>
      </w:pPr>
    </w:p>
    <w:p w14:paraId="3145F73E">
      <w:pPr>
        <w:pStyle w:val="19"/>
        <w:numPr>
          <w:ilvl w:val="0"/>
          <w:numId w:val="15"/>
        </w:numPr>
        <w:tabs>
          <w:tab w:val="left" w:pos="567"/>
        </w:tabs>
        <w:snapToGrid w:val="0"/>
        <w:spacing w:line="276" w:lineRule="auto"/>
        <w:ind w:left="0" w:firstLine="0"/>
        <w:jc w:val="both"/>
        <w:rPr>
          <w:rFonts w:ascii="Arial" w:hAnsi="Arial" w:eastAsia="宋体" w:cs="Arial"/>
          <w:lang w:eastAsia="zh-CN"/>
        </w:rPr>
      </w:pPr>
      <w:r>
        <w:rPr>
          <w:rFonts w:ascii="Arial" w:hAnsi="Arial" w:eastAsia="宋体" w:cs="Arial"/>
          <w:b/>
          <w:lang w:eastAsia="zh-CN"/>
        </w:rPr>
        <w:t>我拥有本指南中没有确定的移动应用。从FDA获得有关我的产品的更多信息的最佳方法是什么？</w:t>
      </w:r>
    </w:p>
    <w:p w14:paraId="4DE42D6B">
      <w:pPr>
        <w:snapToGrid w:val="0"/>
        <w:spacing w:line="276" w:lineRule="auto"/>
        <w:jc w:val="both"/>
        <w:rPr>
          <w:rFonts w:ascii="Arial" w:hAnsi="Arial" w:eastAsia="宋体" w:cs="Arial"/>
          <w:b/>
          <w:bCs/>
          <w:sz w:val="28"/>
          <w:szCs w:val="28"/>
          <w:lang w:eastAsia="zh-CN"/>
        </w:rPr>
      </w:pPr>
    </w:p>
    <w:p w14:paraId="60008165">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答：FDA认识到，本指南并未介绍医疗中使用的所有类型移动应用。一些制造商可能不确定其移动应用是否被视为受监管监督制约的医疗器械，或其医疗器械是否可能位于FDA行使自由裁量权的意图范围内。如果器械受监管监督的制约，制造商可能会对哪些监管要求适用于其特定的移动应用有疑问。</w:t>
      </w:r>
    </w:p>
    <w:p w14:paraId="0740AA9F">
      <w:pPr>
        <w:pStyle w:val="6"/>
        <w:snapToGrid w:val="0"/>
        <w:spacing w:line="276" w:lineRule="auto"/>
        <w:ind w:left="0" w:firstLine="0"/>
        <w:jc w:val="both"/>
        <w:rPr>
          <w:rFonts w:ascii="Arial" w:hAnsi="Arial" w:eastAsia="宋体" w:cs="Arial"/>
          <w:lang w:eastAsia="zh-CN"/>
        </w:rPr>
      </w:pPr>
    </w:p>
    <w:p w14:paraId="056AD370">
      <w:pPr>
        <w:pStyle w:val="6"/>
        <w:snapToGrid w:val="0"/>
        <w:spacing w:line="276" w:lineRule="auto"/>
        <w:ind w:left="0" w:firstLine="0"/>
        <w:jc w:val="both"/>
        <w:rPr>
          <w:rFonts w:ascii="Arial" w:hAnsi="Arial" w:eastAsia="宋体" w:cs="Arial"/>
          <w:lang w:eastAsia="zh-CN"/>
        </w:rPr>
      </w:pPr>
      <w:r>
        <w:rPr>
          <w:rFonts w:ascii="Arial" w:hAnsi="Arial" w:eastAsia="宋体" w:cs="Arial"/>
          <w:lang w:eastAsia="zh-CN"/>
        </w:rPr>
        <w:t>在审查了本指南后，FDA鼓励移动应用制造商通过以下方式之一联系本审查机构以获取更多信息：</w:t>
      </w:r>
    </w:p>
    <w:p w14:paraId="436263E3">
      <w:pPr>
        <w:snapToGrid w:val="0"/>
        <w:spacing w:line="276" w:lineRule="auto"/>
        <w:jc w:val="both"/>
        <w:rPr>
          <w:rFonts w:ascii="Arial" w:hAnsi="Arial" w:eastAsia="宋体" w:cs="Arial"/>
          <w:sz w:val="24"/>
          <w:szCs w:val="24"/>
          <w:lang w:eastAsia="zh-CN"/>
        </w:rPr>
      </w:pPr>
    </w:p>
    <w:p w14:paraId="3F05FA07">
      <w:pPr>
        <w:pStyle w:val="6"/>
        <w:numPr>
          <w:ilvl w:val="0"/>
          <w:numId w:val="16"/>
        </w:numPr>
        <w:snapToGrid w:val="0"/>
        <w:spacing w:line="276" w:lineRule="auto"/>
        <w:jc w:val="both"/>
        <w:rPr>
          <w:rFonts w:ascii="Arial" w:hAnsi="Arial" w:eastAsia="宋体" w:cs="Arial"/>
          <w:lang w:eastAsia="zh-CN"/>
        </w:rPr>
      </w:pPr>
      <w:r>
        <w:rPr>
          <w:rFonts w:hint="eastAsia" w:ascii="Arial" w:hAnsi="Arial" w:eastAsia="宋体" w:cs="Arial"/>
          <w:u w:val="single"/>
          <w:lang w:eastAsia="zh-CN"/>
        </w:rPr>
        <w:t>电话或电子邮件</w:t>
      </w:r>
      <w:r>
        <w:rPr>
          <w:rFonts w:ascii="Arial" w:hAnsi="Arial" w:eastAsia="宋体" w:cs="Arial"/>
          <w:lang w:eastAsia="zh-CN"/>
        </w:rPr>
        <w:t>-有关一般监管信息，请联系行业和消费者教育部（DICE）。电子邮箱：</w:t>
      </w:r>
      <w:r>
        <w:rPr>
          <w:rFonts w:ascii="Arial" w:hAnsi="Arial" w:eastAsia="宋体" w:cs="Arial"/>
          <w:color w:val="0000FF"/>
          <w:u w:val="single"/>
          <w:lang w:eastAsia="zh-CN"/>
        </w:rPr>
        <w:t>DICE@fda.hhs.gov</w:t>
      </w:r>
      <w:r>
        <w:rPr>
          <w:rFonts w:ascii="Arial" w:hAnsi="Arial" w:eastAsia="宋体" w:cs="Arial"/>
          <w:lang w:eastAsia="zh-CN"/>
        </w:rPr>
        <w:t>；电话：301-796-7100或800-638-2041。</w:t>
      </w:r>
    </w:p>
    <w:p w14:paraId="52EE281C">
      <w:pPr>
        <w:pStyle w:val="6"/>
        <w:snapToGrid w:val="0"/>
        <w:spacing w:line="276" w:lineRule="auto"/>
        <w:ind w:left="431" w:leftChars="195" w:hanging="2" w:hangingChars="1"/>
        <w:jc w:val="both"/>
        <w:rPr>
          <w:rFonts w:ascii="Arial" w:hAnsi="Arial" w:eastAsia="宋体" w:cs="Arial"/>
          <w:lang w:eastAsia="zh-CN"/>
        </w:rPr>
      </w:pPr>
      <w:r>
        <w:rPr>
          <w:rFonts w:ascii="Arial" w:hAnsi="Arial" w:eastAsia="宋体" w:cs="Arial"/>
          <w:lang w:eastAsia="zh-CN"/>
        </w:rPr>
        <w:t>如果贵公司的问题与血液机构中使用的应用或CBER法规的其他领域有关，请联系交流、外联与开发办公室，生物制品评价和研究中心，</w:t>
      </w:r>
      <w:r>
        <w:rPr>
          <w:rFonts w:ascii="Arial" w:hAnsi="Arial" w:eastAsia="宋体" w:cs="Arial"/>
        </w:rPr>
        <w:t>10903 New Hampshire Ave., Bldg. 71, Room</w:t>
      </w:r>
      <w:r>
        <w:rPr>
          <w:rFonts w:ascii="Arial" w:hAnsi="Arial" w:eastAsia="宋体" w:cs="Arial"/>
          <w:spacing w:val="-19"/>
        </w:rPr>
        <w:t xml:space="preserve"> </w:t>
      </w:r>
      <w:r>
        <w:rPr>
          <w:rFonts w:ascii="Arial" w:hAnsi="Arial" w:eastAsia="宋体" w:cs="Arial"/>
        </w:rPr>
        <w:t>3128, Silver Spring</w:t>
      </w:r>
      <w:r>
        <w:rPr>
          <w:rFonts w:ascii="Arial" w:hAnsi="Arial" w:eastAsia="宋体" w:cs="Arial"/>
          <w:lang w:eastAsia="zh-CN"/>
        </w:rPr>
        <w:t>。电子邮箱：</w:t>
      </w:r>
      <w:r>
        <w:rPr>
          <w:rFonts w:ascii="Arial" w:hAnsi="Arial" w:eastAsia="宋体" w:cs="Arial"/>
          <w:color w:val="0000FF"/>
          <w:u w:val="single"/>
          <w:lang w:eastAsia="zh-CN"/>
        </w:rPr>
        <w:t>ocod@fda.hhs.gov</w:t>
      </w:r>
      <w:r>
        <w:rPr>
          <w:rFonts w:ascii="Arial" w:hAnsi="Arial" w:eastAsia="宋体" w:cs="Arial"/>
          <w:lang w:eastAsia="zh-CN"/>
        </w:rPr>
        <w:t>；电话：1-800-835-4709或240-402-7800。</w:t>
      </w:r>
    </w:p>
    <w:p w14:paraId="6F88AB6A">
      <w:pPr>
        <w:snapToGrid w:val="0"/>
        <w:spacing w:line="276" w:lineRule="auto"/>
        <w:jc w:val="both"/>
        <w:rPr>
          <w:rFonts w:ascii="Arial" w:hAnsi="Arial" w:eastAsia="宋体" w:cs="Arial"/>
          <w:sz w:val="17"/>
          <w:szCs w:val="17"/>
          <w:lang w:eastAsia="zh-CN"/>
        </w:rPr>
      </w:pPr>
    </w:p>
    <w:p w14:paraId="4827D2A0">
      <w:pPr>
        <w:pStyle w:val="6"/>
        <w:numPr>
          <w:ilvl w:val="0"/>
          <w:numId w:val="16"/>
        </w:numPr>
        <w:snapToGrid w:val="0"/>
        <w:spacing w:line="276" w:lineRule="auto"/>
        <w:jc w:val="both"/>
        <w:rPr>
          <w:rFonts w:ascii="Arial" w:hAnsi="Arial" w:eastAsia="宋体" w:cs="Arial"/>
          <w:lang w:eastAsia="zh-CN"/>
        </w:rPr>
      </w:pPr>
      <w:r>
        <w:rPr>
          <w:rFonts w:hint="eastAsia" w:ascii="Arial" w:hAnsi="Arial" w:eastAsia="宋体" w:cs="Arial"/>
          <w:u w:val="single"/>
          <w:lang w:eastAsia="zh-CN"/>
        </w:rPr>
        <w:t>在线</w:t>
      </w:r>
      <w:r>
        <w:rPr>
          <w:rFonts w:ascii="Arial" w:hAnsi="Arial" w:eastAsia="宋体" w:cs="Arial"/>
          <w:lang w:eastAsia="zh-CN"/>
        </w:rPr>
        <w:t>-FDA有多个资源和</w:t>
      </w:r>
      <w:r>
        <w:rPr>
          <w:rFonts w:ascii="Arial" w:hAnsi="Arial" w:eastAsia="宋体" w:cs="Arial"/>
          <w:u w:val="single"/>
          <w:lang w:eastAsia="zh-CN"/>
        </w:rPr>
        <w:t>在线</w:t>
      </w:r>
      <w:r>
        <w:rPr>
          <w:rFonts w:ascii="Arial" w:hAnsi="Arial" w:eastAsia="宋体" w:cs="Arial"/>
          <w:lang w:eastAsia="zh-CN"/>
        </w:rPr>
        <w:t>出版物，其详细描述了各种法规要求。FDA的“</w:t>
      </w:r>
      <w:r>
        <w:rPr>
          <w:rFonts w:ascii="Arial" w:hAnsi="Arial" w:eastAsia="宋体" w:cs="Arial"/>
          <w:color w:val="0000FF"/>
          <w:u w:val="single"/>
          <w:lang w:eastAsia="zh-CN"/>
        </w:rPr>
        <w:t>器械建议</w:t>
      </w:r>
      <w:r>
        <w:rPr>
          <w:rFonts w:ascii="Arial" w:hAnsi="Arial" w:eastAsia="宋体" w:cs="Arial"/>
          <w:lang w:eastAsia="zh-CN"/>
        </w:rPr>
        <w:t>”网站（</w:t>
      </w:r>
      <w:r>
        <w:rPr>
          <w:rFonts w:ascii="Arial" w:hAnsi="Arial" w:eastAsia="宋体" w:cs="Arial"/>
          <w:color w:val="0000FF"/>
          <w:u w:val="single"/>
          <w:lang w:eastAsia="zh-CN"/>
        </w:rPr>
        <w:t>http://www.fda.gov/MedicalDevices/DeviceRegulationandGuidance/default.htm</w:t>
      </w:r>
      <w:r>
        <w:rPr>
          <w:rFonts w:ascii="Arial" w:hAnsi="Arial" w:eastAsia="宋体" w:cs="Arial"/>
          <w:lang w:eastAsia="zh-CN"/>
        </w:rPr>
        <w:t>）和“</w:t>
      </w:r>
      <w:r>
        <w:rPr>
          <w:rFonts w:ascii="Arial" w:hAnsi="Arial" w:eastAsia="宋体" w:cs="Arial"/>
          <w:color w:val="0000FF"/>
          <w:u w:val="single"/>
          <w:lang w:eastAsia="zh-CN"/>
        </w:rPr>
        <w:t>CDRH学习</w:t>
      </w:r>
      <w:r>
        <w:rPr>
          <w:rFonts w:ascii="Arial" w:hAnsi="Arial" w:eastAsia="宋体" w:cs="Arial"/>
          <w:lang w:eastAsia="zh-CN"/>
        </w:rPr>
        <w:t>”（</w:t>
      </w:r>
      <w:r>
        <w:rPr>
          <w:rFonts w:ascii="Arial" w:hAnsi="Arial" w:eastAsia="宋体" w:cs="Arial"/>
          <w:color w:val="0000FF"/>
          <w:u w:val="single"/>
          <w:lang w:eastAsia="zh-CN"/>
        </w:rPr>
        <w:t>http://www.fda.gov/Training/CDRHLearn/default htm</w:t>
      </w:r>
      <w:r>
        <w:rPr>
          <w:rFonts w:ascii="Arial" w:hAnsi="Arial" w:eastAsia="宋体" w:cs="Arial"/>
          <w:lang w:eastAsia="zh-CN"/>
        </w:rPr>
        <w:t>）上的在线课程可开始了解各种法规要求。本指南中的其他章节提供了与更具体主题相关的更详细信息的链接。</w:t>
      </w:r>
    </w:p>
    <w:p w14:paraId="2E151242">
      <w:pPr>
        <w:pStyle w:val="19"/>
        <w:snapToGrid w:val="0"/>
        <w:spacing w:line="276" w:lineRule="auto"/>
        <w:jc w:val="both"/>
        <w:rPr>
          <w:rFonts w:ascii="Arial" w:hAnsi="Arial" w:eastAsia="宋体" w:cs="Arial"/>
          <w:sz w:val="24"/>
          <w:lang w:eastAsia="zh-CN"/>
        </w:rPr>
      </w:pPr>
    </w:p>
    <w:p w14:paraId="4745320E">
      <w:pPr>
        <w:pStyle w:val="6"/>
        <w:numPr>
          <w:ilvl w:val="0"/>
          <w:numId w:val="16"/>
        </w:numPr>
        <w:snapToGrid w:val="0"/>
        <w:spacing w:line="276" w:lineRule="auto"/>
        <w:jc w:val="both"/>
        <w:rPr>
          <w:rFonts w:ascii="Arial" w:hAnsi="Arial" w:eastAsia="宋体" w:cs="Arial"/>
          <w:lang w:eastAsia="zh-CN"/>
        </w:rPr>
      </w:pPr>
      <w:r>
        <w:rPr>
          <w:rFonts w:hint="eastAsia" w:ascii="Arial" w:hAnsi="Arial" w:eastAsia="宋体" w:cs="Arial"/>
          <w:u w:val="single"/>
          <w:lang w:eastAsia="zh-CN"/>
        </w:rPr>
        <w:t>信函</w:t>
      </w:r>
      <w:r>
        <w:rPr>
          <w:rFonts w:ascii="Arial" w:hAnsi="Arial" w:eastAsia="宋体" w:cs="Arial"/>
          <w:lang w:eastAsia="zh-CN"/>
        </w:rPr>
        <w:t>-对于可能适用于属于器械的移动医疗应用的分类和法规要求的书面反馈，制造商应使用513（g）过程。具体来说，制造商应提交以下有关513（g）提交材料的内容：</w:t>
      </w:r>
    </w:p>
    <w:p w14:paraId="1D11ACDA">
      <w:pPr>
        <w:pStyle w:val="19"/>
        <w:numPr>
          <w:ilvl w:val="1"/>
          <w:numId w:val="17"/>
        </w:numPr>
        <w:tabs>
          <w:tab w:val="left" w:pos="1180"/>
        </w:tabs>
        <w:snapToGrid w:val="0"/>
        <w:spacing w:line="276" w:lineRule="auto"/>
        <w:ind w:left="1146" w:leftChars="343" w:hanging="391" w:hangingChars="163"/>
        <w:jc w:val="both"/>
        <w:rPr>
          <w:rFonts w:ascii="Arial" w:hAnsi="Arial" w:eastAsia="宋体" w:cs="Arial"/>
          <w:sz w:val="24"/>
          <w:szCs w:val="24"/>
        </w:rPr>
      </w:pPr>
      <w:r>
        <w:rPr>
          <w:rFonts w:ascii="Arial" w:hAnsi="Arial" w:eastAsia="宋体" w:cs="Arial"/>
          <w:sz w:val="24"/>
          <w:szCs w:val="24"/>
        </w:rPr>
        <w:t>用户</w:t>
      </w:r>
      <w:r>
        <w:rPr>
          <w:rFonts w:ascii="Arial" w:hAnsi="Arial" w:eastAsia="宋体" w:cs="Arial"/>
          <w:sz w:val="24"/>
          <w:szCs w:val="24"/>
          <w:lang w:eastAsia="zh-CN"/>
        </w:rPr>
        <w:t>收费</w:t>
      </w:r>
      <w:r>
        <w:rPr>
          <w:rFonts w:ascii="Arial" w:hAnsi="Arial" w:eastAsia="宋体" w:cs="Arial"/>
          <w:sz w:val="24"/>
          <w:szCs w:val="24"/>
        </w:rPr>
        <w:t>，</w:t>
      </w:r>
    </w:p>
    <w:p w14:paraId="205D23D4">
      <w:pPr>
        <w:pStyle w:val="19"/>
        <w:numPr>
          <w:ilvl w:val="1"/>
          <w:numId w:val="17"/>
        </w:numPr>
        <w:tabs>
          <w:tab w:val="left" w:pos="1180"/>
        </w:tabs>
        <w:snapToGrid w:val="0"/>
        <w:spacing w:line="276" w:lineRule="auto"/>
        <w:ind w:left="1146" w:leftChars="343" w:hanging="391" w:hangingChars="163"/>
        <w:jc w:val="both"/>
        <w:rPr>
          <w:rFonts w:ascii="Arial" w:hAnsi="Arial" w:eastAsia="宋体" w:cs="Arial"/>
          <w:sz w:val="24"/>
          <w:szCs w:val="24"/>
        </w:rPr>
      </w:pPr>
      <w:r>
        <w:rPr>
          <w:rFonts w:ascii="Arial" w:hAnsi="Arial" w:eastAsia="宋体" w:cs="Arial"/>
          <w:sz w:val="24"/>
          <w:szCs w:val="24"/>
          <w:lang w:eastAsia="zh-CN"/>
        </w:rPr>
        <w:t>附信</w:t>
      </w:r>
      <w:r>
        <w:rPr>
          <w:rFonts w:ascii="Arial" w:hAnsi="Arial" w:eastAsia="宋体" w:cs="Arial"/>
          <w:sz w:val="24"/>
          <w:szCs w:val="24"/>
        </w:rPr>
        <w:t>，</w:t>
      </w:r>
    </w:p>
    <w:p w14:paraId="0E7BD27D">
      <w:pPr>
        <w:pStyle w:val="19"/>
        <w:numPr>
          <w:ilvl w:val="1"/>
          <w:numId w:val="17"/>
        </w:numPr>
        <w:tabs>
          <w:tab w:val="left" w:pos="1180"/>
        </w:tabs>
        <w:snapToGrid w:val="0"/>
        <w:spacing w:line="276" w:lineRule="auto"/>
        <w:ind w:left="1146" w:leftChars="343" w:hanging="391" w:hangingChars="163"/>
        <w:jc w:val="both"/>
        <w:rPr>
          <w:rFonts w:ascii="Arial" w:hAnsi="Arial" w:eastAsia="宋体" w:cs="Arial"/>
          <w:sz w:val="24"/>
          <w:szCs w:val="24"/>
          <w:lang w:eastAsia="zh-CN"/>
        </w:rPr>
      </w:pPr>
      <w:r>
        <w:rPr>
          <w:rFonts w:ascii="Arial" w:hAnsi="Arial" w:eastAsia="宋体" w:cs="Arial"/>
          <w:sz w:val="24"/>
          <w:szCs w:val="24"/>
          <w:lang w:eastAsia="zh-CN"/>
        </w:rPr>
        <w:t>移动应用的说明，</w:t>
      </w:r>
    </w:p>
    <w:p w14:paraId="016A48B2">
      <w:pPr>
        <w:pStyle w:val="19"/>
        <w:numPr>
          <w:ilvl w:val="1"/>
          <w:numId w:val="17"/>
        </w:numPr>
        <w:tabs>
          <w:tab w:val="left" w:pos="1180"/>
        </w:tabs>
        <w:snapToGrid w:val="0"/>
        <w:spacing w:line="276" w:lineRule="auto"/>
        <w:ind w:left="1146" w:leftChars="343" w:hanging="391" w:hangingChars="163"/>
        <w:jc w:val="both"/>
        <w:rPr>
          <w:rFonts w:ascii="Arial" w:hAnsi="Arial" w:eastAsia="宋体" w:cs="Arial"/>
          <w:sz w:val="24"/>
          <w:szCs w:val="24"/>
          <w:lang w:eastAsia="zh-CN"/>
        </w:rPr>
      </w:pPr>
      <w:r>
        <w:rPr>
          <w:rFonts w:ascii="Arial" w:hAnsi="Arial" w:eastAsia="宋体" w:cs="Arial"/>
          <w:sz w:val="24"/>
          <w:szCs w:val="24"/>
          <w:lang w:eastAsia="zh-CN"/>
        </w:rPr>
        <w:t>移动应用所适用用途的说明，以及</w:t>
      </w:r>
    </w:p>
    <w:p w14:paraId="0EF62B48">
      <w:pPr>
        <w:pStyle w:val="19"/>
        <w:numPr>
          <w:ilvl w:val="1"/>
          <w:numId w:val="17"/>
        </w:numPr>
        <w:tabs>
          <w:tab w:val="left" w:pos="1180"/>
        </w:tabs>
        <w:snapToGrid w:val="0"/>
        <w:spacing w:line="276" w:lineRule="auto"/>
        <w:ind w:left="1146" w:leftChars="343" w:hanging="391" w:hangingChars="163"/>
        <w:jc w:val="both"/>
        <w:rPr>
          <w:rFonts w:ascii="Arial" w:hAnsi="Arial" w:eastAsia="宋体" w:cs="Arial"/>
          <w:sz w:val="24"/>
          <w:szCs w:val="24"/>
          <w:lang w:eastAsia="zh-CN"/>
        </w:rPr>
      </w:pPr>
      <w:r>
        <w:rPr>
          <w:rFonts w:ascii="Arial" w:hAnsi="Arial" w:eastAsia="宋体" w:cs="Arial"/>
          <w:sz w:val="24"/>
          <w:szCs w:val="24"/>
          <w:lang w:eastAsia="zh-CN"/>
        </w:rPr>
        <w:t>移动应用的任何拟定标签或宣传材料，以及如果适用，类似合法上市器械的任何标签或宣传材料（如果有）。</w:t>
      </w:r>
    </w:p>
    <w:p w14:paraId="1DF30C2D">
      <w:pPr>
        <w:pStyle w:val="6"/>
        <w:snapToGrid w:val="0"/>
        <w:spacing w:line="276" w:lineRule="auto"/>
        <w:ind w:left="0" w:firstLine="0"/>
        <w:rPr>
          <w:rFonts w:ascii="Arial" w:hAnsi="Arial" w:eastAsia="宋体" w:cs="Arial"/>
        </w:rPr>
      </w:pPr>
      <w:r>
        <w:rPr>
          <w:rFonts w:ascii="Arial" w:hAnsi="Arial" w:eastAsia="宋体" w:cs="Arial"/>
          <w:lang w:eastAsia="zh-CN"/>
        </w:rPr>
        <w:t>在收到信息请求后60天内，FDA将通常以密件形式向制造商发出一份对513（g）的回应。有关513（g）中包含哪些内容及其发送地点的更多具体信息，请参阅FDA的指导性文件“</w:t>
      </w:r>
      <w:r>
        <w:rPr>
          <w:rFonts w:hint="eastAsia" w:ascii="Arial" w:hAnsi="Arial" w:eastAsia="宋体" w:cs="Arial"/>
          <w:color w:val="0000FF"/>
          <w:u w:val="single"/>
          <w:lang w:eastAsia="zh-CN"/>
        </w:rPr>
        <w:t>根据联邦食品、药品和化妆品法案提出的第</w:t>
      </w:r>
      <w:r>
        <w:rPr>
          <w:rFonts w:ascii="Arial" w:hAnsi="Arial" w:eastAsia="宋体" w:cs="Arial"/>
          <w:color w:val="0000FF"/>
          <w:u w:val="single"/>
          <w:lang w:eastAsia="zh-CN"/>
        </w:rPr>
        <w:t>513</w:t>
      </w:r>
      <w:r>
        <w:rPr>
          <w:rFonts w:hint="eastAsia" w:ascii="Arial" w:hAnsi="Arial" w:eastAsia="宋体" w:cs="Arial"/>
          <w:color w:val="0000FF"/>
          <w:u w:val="single"/>
          <w:lang w:eastAsia="zh-CN"/>
        </w:rPr>
        <w:t>（</w:t>
      </w:r>
      <w:r>
        <w:rPr>
          <w:rFonts w:ascii="Arial" w:hAnsi="Arial" w:eastAsia="宋体" w:cs="Arial"/>
          <w:color w:val="0000FF"/>
          <w:u w:val="single"/>
          <w:lang w:eastAsia="zh-CN"/>
        </w:rPr>
        <w:t>g</w:t>
      </w:r>
      <w:r>
        <w:rPr>
          <w:rFonts w:hint="eastAsia" w:ascii="Arial" w:hAnsi="Arial" w:eastAsia="宋体" w:cs="Arial"/>
          <w:color w:val="0000FF"/>
          <w:u w:val="single"/>
          <w:lang w:eastAsia="zh-CN"/>
        </w:rPr>
        <w:t>）节信息请求的</w:t>
      </w:r>
      <w:r>
        <w:rPr>
          <w:rFonts w:ascii="Arial" w:hAnsi="Arial" w:eastAsia="宋体" w:cs="Arial"/>
          <w:color w:val="0000FF"/>
          <w:u w:val="single"/>
          <w:lang w:eastAsia="zh-CN"/>
        </w:rPr>
        <w:t>FDA</w:t>
      </w:r>
      <w:r>
        <w:rPr>
          <w:rFonts w:hint="eastAsia" w:ascii="Arial" w:hAnsi="Arial" w:eastAsia="宋体" w:cs="Arial"/>
          <w:color w:val="0000FF"/>
          <w:u w:val="single"/>
          <w:lang w:eastAsia="zh-CN"/>
        </w:rPr>
        <w:t>和行业程序</w:t>
      </w:r>
      <w:r>
        <w:rPr>
          <w:rFonts w:ascii="Arial" w:hAnsi="Arial" w:eastAsia="宋体" w:cs="Arial"/>
          <w:lang w:eastAsia="zh-CN"/>
        </w:rPr>
        <w:t>”，网址为：</w:t>
      </w:r>
      <w:r>
        <w:rPr>
          <w:rFonts w:ascii="Arial" w:hAnsi="Arial" w:eastAsia="宋体" w:cs="Arial"/>
          <w:color w:val="0000FF"/>
          <w:u w:val="single"/>
          <w:lang w:eastAsia="zh-CN"/>
        </w:rPr>
        <w:t>http://www.fda.gov/MedicalDevices/DeviceRegulationandGuidance/GuidanceDocuments/uc m209841.htm</w:t>
      </w:r>
      <w:r>
        <w:rPr>
          <w:rFonts w:ascii="Arial" w:hAnsi="Arial" w:eastAsia="宋体" w:cs="Arial"/>
          <w:lang w:eastAsia="zh-CN"/>
        </w:rPr>
        <w:t>。</w:t>
      </w:r>
      <w:r>
        <w:rPr>
          <w:rFonts w:ascii="Arial" w:hAnsi="Arial" w:eastAsia="宋体" w:cs="Arial"/>
        </w:rPr>
        <w:t>有关513（g）用户</w:t>
      </w:r>
      <w:r>
        <w:rPr>
          <w:rFonts w:ascii="Arial" w:hAnsi="Arial" w:eastAsia="宋体" w:cs="Arial"/>
          <w:lang w:eastAsia="zh-CN"/>
        </w:rPr>
        <w:t>收费</w:t>
      </w:r>
      <w:r>
        <w:rPr>
          <w:rFonts w:ascii="Arial" w:hAnsi="Arial" w:eastAsia="宋体" w:cs="Arial"/>
        </w:rPr>
        <w:t>的更多信息，请参阅FDA的指导性文件“</w:t>
      </w:r>
      <w:r>
        <w:rPr>
          <w:rFonts w:ascii="Arial" w:hAnsi="Arial" w:eastAsia="宋体" w:cs="Arial"/>
          <w:color w:val="0000FF"/>
          <w:u w:val="single"/>
        </w:rPr>
        <w:t>513</w:t>
      </w:r>
      <w:r>
        <w:rPr>
          <w:rFonts w:hint="eastAsia" w:ascii="Arial" w:hAnsi="Arial" w:eastAsia="宋体" w:cs="Arial"/>
          <w:color w:val="0000FF"/>
          <w:u w:val="single"/>
        </w:rPr>
        <w:t>（</w:t>
      </w:r>
      <w:r>
        <w:rPr>
          <w:rFonts w:ascii="Arial" w:hAnsi="Arial" w:eastAsia="宋体" w:cs="Arial"/>
          <w:color w:val="0000FF"/>
          <w:u w:val="single"/>
        </w:rPr>
        <w:t>g</w:t>
      </w:r>
      <w:r>
        <w:rPr>
          <w:rFonts w:hint="eastAsia" w:ascii="Arial" w:hAnsi="Arial" w:eastAsia="宋体" w:cs="Arial"/>
          <w:color w:val="0000FF"/>
          <w:u w:val="single"/>
        </w:rPr>
        <w:t>）信息请求的用户</w:t>
      </w:r>
      <w:r>
        <w:rPr>
          <w:rFonts w:hint="eastAsia" w:ascii="Arial" w:hAnsi="Arial" w:eastAsia="宋体" w:cs="Arial"/>
          <w:color w:val="0000FF"/>
          <w:u w:val="single"/>
          <w:lang w:eastAsia="zh-CN"/>
        </w:rPr>
        <w:t>收费</w:t>
      </w:r>
      <w:r>
        <w:rPr>
          <w:rFonts w:ascii="Arial" w:hAnsi="Arial" w:eastAsia="宋体" w:cs="Arial"/>
        </w:rPr>
        <w:t>”，网址为：</w:t>
      </w:r>
      <w:r>
        <w:fldChar w:fldCharType="begin"/>
      </w:r>
      <w:r>
        <w:instrText xml:space="preserve"> HYPERLINK "http://www.fda.gov/MedicalDevices/DeviceRegulationandGuidance/GuidanceDocuments/ucm209852.htm" \h </w:instrText>
      </w:r>
      <w:r>
        <w:fldChar w:fldCharType="separate"/>
      </w:r>
      <w:r>
        <w:rPr>
          <w:rFonts w:ascii="Arial" w:hAnsi="Arial" w:eastAsia="宋体" w:cs="Arial"/>
          <w:color w:val="0000FF"/>
          <w:spacing w:val="-1"/>
          <w:u w:val="single" w:color="0000FF"/>
        </w:rPr>
        <w:t xml:space="preserve">http://www.fda.gov/MedicalDevices/DeviceRegulationandGuidance/GuidanceDocuments/uc </w:t>
      </w:r>
      <w:r>
        <w:rPr>
          <w:rFonts w:ascii="Arial" w:hAnsi="Arial" w:eastAsia="宋体" w:cs="Arial"/>
          <w:color w:val="0000FF"/>
          <w:spacing w:val="-1"/>
          <w:u w:val="single" w:color="0000FF"/>
        </w:rPr>
        <w:fldChar w:fldCharType="end"/>
      </w:r>
      <w:r>
        <w:fldChar w:fldCharType="begin"/>
      </w:r>
      <w:r>
        <w:instrText xml:space="preserve"> HYPERLINK "http://www.fda.gov/MedicalDevices/DeviceRegulationandGuidance/GuidanceDocuments/ucm209852.htm" \h </w:instrText>
      </w:r>
      <w:r>
        <w:fldChar w:fldCharType="separate"/>
      </w:r>
      <w:r>
        <w:rPr>
          <w:rFonts w:ascii="Arial" w:hAnsi="Arial" w:eastAsia="宋体" w:cs="Arial"/>
          <w:color w:val="0000FF"/>
          <w:u w:val="single" w:color="0000FF"/>
        </w:rPr>
        <w:t>m209852.htm</w:t>
      </w:r>
      <w:r>
        <w:rPr>
          <w:rFonts w:ascii="Arial" w:hAnsi="Arial" w:eastAsia="宋体" w:cs="Arial"/>
          <w:color w:val="0000FF"/>
          <w:u w:val="single" w:color="0000FF"/>
        </w:rPr>
        <w:fldChar w:fldCharType="end"/>
      </w:r>
      <w:r>
        <w:rPr>
          <w:rFonts w:ascii="Arial" w:hAnsi="Arial" w:eastAsia="宋体" w:cs="Arial"/>
        </w:rPr>
        <w:t>。</w:t>
      </w:r>
    </w:p>
    <w:p w14:paraId="3EBAE427">
      <w:pPr>
        <w:snapToGrid w:val="0"/>
        <w:spacing w:line="300" w:lineRule="auto"/>
        <w:jc w:val="both"/>
        <w:rPr>
          <w:rFonts w:ascii="Arial" w:hAnsi="Arial" w:eastAsia="宋体" w:cs="Arial"/>
          <w:sz w:val="20"/>
          <w:szCs w:val="20"/>
        </w:rPr>
      </w:pPr>
    </w:p>
    <w:p w14:paraId="6FE71CF9">
      <w:pPr>
        <w:snapToGrid w:val="0"/>
        <w:spacing w:before="10" w:line="300" w:lineRule="auto"/>
        <w:jc w:val="both"/>
        <w:rPr>
          <w:rFonts w:ascii="Arial" w:hAnsi="Arial" w:eastAsia="宋体" w:cs="Arial"/>
          <w:sz w:val="18"/>
          <w:szCs w:val="18"/>
        </w:rPr>
      </w:pPr>
    </w:p>
    <w:p w14:paraId="7395DEF4">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为什么FDA建议制造商遵守可能属于器械且也可能属于移动医疗应用但FDA打算为其行使自由裁量权的移动应用的质量体系（QS）法规？</w:t>
      </w:r>
    </w:p>
    <w:p w14:paraId="122BFC40">
      <w:pPr>
        <w:snapToGrid w:val="0"/>
        <w:spacing w:before="2" w:line="300" w:lineRule="auto"/>
        <w:jc w:val="both"/>
        <w:rPr>
          <w:rFonts w:ascii="Arial" w:hAnsi="Arial" w:eastAsia="宋体" w:cs="Arial"/>
          <w:b/>
          <w:bCs/>
          <w:sz w:val="29"/>
          <w:szCs w:val="29"/>
          <w:lang w:eastAsia="zh-CN"/>
        </w:rPr>
      </w:pPr>
    </w:p>
    <w:p w14:paraId="475C085D">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答：FDA认为，医疗器械软件的所有制造商都应确定充分的质量管理体系，以确保其产品始终符合适用的要求和规格，并可在整个生命周期内支持软件。拥有和维持适当的质量管理体系也很重要，因为FDA已经发现，医疗器械中大多数与软件有关的故障是源于设计错误。在一项研究中，最常见的问题是在日常维护之前未能确认软件。</w:t>
      </w:r>
      <w:r>
        <w:rPr>
          <w:rFonts w:ascii="Arial" w:hAnsi="Arial" w:eastAsia="宋体" w:cs="Arial"/>
          <w:vertAlign w:val="superscript"/>
          <w:lang w:eastAsia="zh-CN"/>
        </w:rPr>
        <w:t>40</w:t>
      </w:r>
    </w:p>
    <w:p w14:paraId="4A9FD3B6">
      <w:pPr>
        <w:pStyle w:val="6"/>
        <w:snapToGrid w:val="0"/>
        <w:spacing w:line="300" w:lineRule="auto"/>
        <w:ind w:left="0" w:firstLine="0"/>
        <w:jc w:val="both"/>
        <w:rPr>
          <w:rFonts w:ascii="Arial" w:hAnsi="Arial" w:eastAsia="宋体" w:cs="Arial"/>
          <w:lang w:eastAsia="zh-CN"/>
        </w:rPr>
      </w:pPr>
    </w:p>
    <w:p w14:paraId="3BF41443">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适当的质量管理体系包含适当的风险管理策略、良好设计规范、充分的验证和确认以及纠正和预防患者风险以及使用产品可能引起的不良事件的适当方法。所有这些要素都是FDA的QS法规的一部分。</w:t>
      </w:r>
    </w:p>
    <w:p w14:paraId="2799A7D0">
      <w:pPr>
        <w:snapToGrid w:val="0"/>
        <w:spacing w:line="300" w:lineRule="auto"/>
        <w:jc w:val="both"/>
        <w:rPr>
          <w:rFonts w:ascii="Arial" w:hAnsi="Arial" w:eastAsia="宋体" w:cs="Arial"/>
          <w:sz w:val="24"/>
          <w:szCs w:val="24"/>
          <w:lang w:eastAsia="zh-CN"/>
        </w:rPr>
      </w:pPr>
    </w:p>
    <w:p w14:paraId="32252442">
      <w:pPr>
        <w:snapToGrid w:val="0"/>
        <w:spacing w:before="2" w:line="300" w:lineRule="auto"/>
        <w:jc w:val="both"/>
        <w:rPr>
          <w:rFonts w:ascii="Arial" w:hAnsi="Arial" w:eastAsia="宋体" w:cs="Arial"/>
          <w:sz w:val="21"/>
          <w:szCs w:val="21"/>
          <w:lang w:eastAsia="zh-CN"/>
        </w:rPr>
      </w:pPr>
    </w:p>
    <w:p w14:paraId="680CD4D9">
      <w:pPr>
        <w:pStyle w:val="19"/>
        <w:numPr>
          <w:ilvl w:val="0"/>
          <w:numId w:val="15"/>
        </w:numPr>
        <w:tabs>
          <w:tab w:val="left" w:pos="567"/>
        </w:tabs>
        <w:snapToGrid w:val="0"/>
        <w:spacing w:line="276" w:lineRule="auto"/>
        <w:ind w:left="504" w:hanging="504" w:hangingChars="228"/>
        <w:jc w:val="both"/>
        <w:rPr>
          <w:rFonts w:ascii="Arial" w:hAnsi="Arial" w:eastAsia="宋体" w:cs="Arial"/>
          <w:b/>
          <w:lang w:eastAsia="zh-CN"/>
        </w:rPr>
      </w:pPr>
      <w:r>
        <w:rPr>
          <w:rFonts w:ascii="Arial" w:hAnsi="Arial" w:eastAsia="宋体" w:cs="Arial"/>
          <w:b/>
          <w:lang w:eastAsia="zh-CN"/>
        </w:rPr>
        <w:t>FDA的QS法规是否与我已经使用的软件开发实践类似？</w:t>
      </w:r>
    </w:p>
    <w:p w14:paraId="7AAEF881">
      <w:pPr>
        <w:snapToGrid w:val="0"/>
        <w:spacing w:before="2" w:line="300" w:lineRule="auto"/>
        <w:jc w:val="both"/>
        <w:rPr>
          <w:rFonts w:ascii="Arial" w:hAnsi="Arial" w:eastAsia="宋体" w:cs="Arial"/>
          <w:b/>
          <w:bCs/>
          <w:sz w:val="29"/>
          <w:szCs w:val="29"/>
          <w:lang w:eastAsia="zh-CN"/>
        </w:rPr>
      </w:pPr>
    </w:p>
    <w:p w14:paraId="039A5AD4">
      <w:pPr>
        <w:pStyle w:val="6"/>
        <w:snapToGrid w:val="0"/>
        <w:spacing w:before="217" w:line="300" w:lineRule="auto"/>
        <w:ind w:left="0" w:firstLine="0"/>
        <w:jc w:val="both"/>
        <w:rPr>
          <w:rFonts w:ascii="Arial" w:hAnsi="Arial" w:eastAsia="宋体" w:cs="Arial"/>
          <w:sz w:val="16"/>
          <w:szCs w:val="16"/>
          <w:lang w:eastAsia="zh-CN"/>
        </w:rPr>
      </w:pPr>
      <w:r>
        <w:rPr>
          <w:rFonts w:ascii="Arial" w:hAnsi="Arial" w:eastAsia="宋体" w:cs="Arial"/>
          <w:lang w:eastAsia="zh-CN"/>
        </w:rPr>
        <w:t>答：很有可能。虽然并非QS法规的所有原则都适用于高质量移动医疗应用的开发和制造</w:t>
      </w:r>
      <w:r>
        <w:rPr>
          <w:rFonts w:ascii="Arial" w:hAnsi="Arial" w:eastAsia="宋体" w:cs="Arial"/>
          <w:vertAlign w:val="superscript"/>
          <w:lang w:eastAsia="zh-CN"/>
        </w:rPr>
        <w:t>41</w:t>
      </w:r>
      <w:r>
        <w:rPr>
          <w:rFonts w:ascii="Arial" w:hAnsi="Arial" w:eastAsia="宋体" w:cs="Arial"/>
          <w:lang w:eastAsia="zh-CN"/>
        </w:rPr>
        <w:t>，但它们大多数均适用，且与常用和公认良好软件开发规范一致，如电气和电子工程师协会（IEEE）、软件工程知识体系（SWEBOK）和卡内基梅隆软件工程研究所的能力成熟度模型集成（CMMI）方法中的规范。</w:t>
      </w:r>
    </w:p>
    <w:p w14:paraId="63789F70">
      <w:pPr>
        <w:pStyle w:val="6"/>
        <w:snapToGrid w:val="0"/>
        <w:spacing w:line="300" w:lineRule="auto"/>
        <w:ind w:left="0" w:firstLine="0"/>
        <w:jc w:val="both"/>
        <w:rPr>
          <w:rFonts w:ascii="Arial" w:hAnsi="Arial" w:eastAsia="宋体" w:cs="Arial"/>
          <w:lang w:eastAsia="zh-CN"/>
        </w:rPr>
      </w:pPr>
    </w:p>
    <w:p w14:paraId="600B0140">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FDA应用QS法规的方法也符合ISO 9001和ISO 13485.42等某些国际标准。</w:t>
      </w:r>
      <w:r>
        <w:fldChar w:fldCharType="begin"/>
      </w:r>
      <w:r>
        <w:instrText xml:space="preserve"> HYPERLINK \l "_bookmark60" </w:instrText>
      </w:r>
      <w:r>
        <w:fldChar w:fldCharType="separate"/>
      </w:r>
      <w:r>
        <w:rPr>
          <w:rFonts w:ascii="Arial" w:hAnsi="Arial" w:eastAsia="宋体" w:cs="Arial"/>
          <w:position w:val="11"/>
          <w:sz w:val="16"/>
          <w:szCs w:val="16"/>
          <w:lang w:eastAsia="zh-CN"/>
        </w:rPr>
        <w:t>42</w:t>
      </w:r>
      <w:r>
        <w:rPr>
          <w:rFonts w:ascii="Arial" w:hAnsi="Arial" w:eastAsia="宋体" w:cs="Arial"/>
          <w:position w:val="11"/>
          <w:sz w:val="16"/>
          <w:szCs w:val="16"/>
          <w:lang w:eastAsia="zh-CN"/>
        </w:rPr>
        <w:fldChar w:fldCharType="end"/>
      </w:r>
      <w:r>
        <w:rPr>
          <w:rFonts w:ascii="Arial" w:hAnsi="Arial" w:eastAsia="宋体" w:cs="Arial"/>
          <w:lang w:eastAsia="zh-CN"/>
        </w:rPr>
        <w:t>与这些国际标准相似，QS法规没有详细规定制造商应如何生产特定器械，但为所有制造商提供了一个框架以用于开发和跟踪，以确保其产品始终符合适用的要求和规格。QS法规可适用于并为任何的制造商和任何类型的产品进行调整。其还允许制造商选择最适合其给定器械和制造过程的这些要求。</w:t>
      </w:r>
      <w:r>
        <w:fldChar w:fldCharType="begin"/>
      </w:r>
      <w:r>
        <w:instrText xml:space="preserve"> HYPERLINK \l "_bookmark61" </w:instrText>
      </w:r>
      <w:r>
        <w:fldChar w:fldCharType="separate"/>
      </w:r>
      <w:r>
        <w:rPr>
          <w:rFonts w:ascii="Arial" w:hAnsi="Arial" w:eastAsia="宋体" w:cs="Arial"/>
          <w:position w:val="11"/>
          <w:sz w:val="16"/>
          <w:lang w:eastAsia="zh-CN"/>
        </w:rPr>
        <w:t>4</w:t>
      </w:r>
      <w:r>
        <w:rPr>
          <w:rFonts w:ascii="Arial" w:hAnsi="Arial" w:eastAsia="宋体" w:cs="Arial"/>
          <w:position w:val="11"/>
          <w:sz w:val="16"/>
          <w:lang w:eastAsia="zh-CN"/>
        </w:rPr>
        <w:fldChar w:fldCharType="end"/>
      </w:r>
      <w:r>
        <w:rPr>
          <w:rFonts w:ascii="Arial" w:hAnsi="Arial" w:eastAsia="宋体" w:cs="Arial"/>
          <w:position w:val="11"/>
          <w:sz w:val="16"/>
          <w:lang w:eastAsia="zh-CN"/>
        </w:rPr>
        <w:t>3</w:t>
      </w:r>
    </w:p>
    <w:p w14:paraId="2F004CA0">
      <w:pPr>
        <w:snapToGrid w:val="0"/>
        <w:spacing w:before="9" w:line="300" w:lineRule="auto"/>
        <w:jc w:val="both"/>
        <w:rPr>
          <w:rFonts w:ascii="Arial" w:hAnsi="Arial" w:eastAsia="宋体" w:cs="Arial"/>
          <w:sz w:val="27"/>
          <w:szCs w:val="27"/>
          <w:lang w:eastAsia="zh-CN"/>
        </w:rPr>
      </w:pPr>
    </w:p>
    <w:p w14:paraId="6221DE34">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9" name="Group 1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0" name="Group 11"/>
                        <wpg:cNvGrpSpPr/>
                        <wpg:grpSpPr>
                          <a:xfrm>
                            <a:off x="6" y="6"/>
                            <a:ext cx="2880" cy="2"/>
                            <a:chOff x="6" y="6"/>
                            <a:chExt cx="2880" cy="2"/>
                          </a:xfrm>
                        </wpg:grpSpPr>
                        <wps:wsp>
                          <wps:cNvPr id="11" name="Freeform 1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6Um3lxsDAAD9BwAADgAAAAAAAAABACAAAAAjAQAAZHJzL2Uyb0Rv&#10;Yy54bWxQSwUGAAAAAAYABgBZAQAAsAYAAAAA&#10;">
                <o:lock v:ext="edit" aspectratio="f"/>
                <v:group id="Group 11" o:spid="_x0000_s1026" o:spt="203" style="position:absolute;left:6;top:6;height:2;width:2880;" coordorigin="6,6" coordsize="2880,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2" o:spid="_x0000_s1026" o:spt="100" style="position:absolute;left:6;top:6;height:2;width:2880;" filled="f" stroked="t" coordsize="2880,1" o:gfxdata="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M6p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3DC9EE4">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lang w:eastAsia="zh-CN"/>
        </w:rPr>
        <w:t>40</w:t>
      </w:r>
      <w:r>
        <w:rPr>
          <w:rFonts w:ascii="Arial" w:hAnsi="Arial" w:eastAsia="宋体" w:cs="Arial"/>
          <w:sz w:val="20"/>
          <w:szCs w:val="20"/>
          <w:lang w:eastAsia="zh-CN"/>
        </w:rPr>
        <w:t>请参见脚注19。</w:t>
      </w:r>
    </w:p>
    <w:p w14:paraId="26D0DEF7">
      <w:pPr>
        <w:snapToGrid w:val="0"/>
        <w:spacing w:before="15" w:line="300" w:lineRule="auto"/>
        <w:jc w:val="both"/>
        <w:rPr>
          <w:rFonts w:ascii="Arial" w:hAnsi="Arial" w:eastAsia="宋体" w:cs="Arial"/>
          <w:sz w:val="20"/>
          <w:szCs w:val="20"/>
          <w:lang w:eastAsia="zh-CN"/>
        </w:rPr>
      </w:pPr>
      <w:r>
        <w:rPr>
          <w:rFonts w:ascii="Arial" w:hAnsi="Arial" w:eastAsia="宋体" w:cs="Arial"/>
          <w:position w:val="9"/>
          <w:sz w:val="13"/>
          <w:lang w:eastAsia="zh-CN"/>
        </w:rPr>
        <w:t>41</w:t>
      </w:r>
      <w:r>
        <w:rPr>
          <w:rFonts w:ascii="Arial" w:hAnsi="Arial" w:eastAsia="宋体" w:cs="Arial"/>
          <w:sz w:val="20"/>
          <w:szCs w:val="20"/>
          <w:lang w:eastAsia="zh-CN"/>
        </w:rPr>
        <w:t>适用于医疗器械硬件（例如21 CFR 820.70中概述的生产和过程控制）的QS法规的某些部分可能不会明确适用于移动医疗应用。</w:t>
      </w:r>
    </w:p>
    <w:p w14:paraId="2C40A904">
      <w:pPr>
        <w:snapToGrid w:val="0"/>
        <w:spacing w:line="300" w:lineRule="auto"/>
        <w:jc w:val="both"/>
        <w:rPr>
          <w:rFonts w:ascii="Arial" w:hAnsi="Arial" w:eastAsia="宋体" w:cs="Arial"/>
          <w:sz w:val="20"/>
          <w:szCs w:val="20"/>
          <w:lang w:eastAsia="zh-CN"/>
        </w:rPr>
      </w:pPr>
      <w:r>
        <w:rPr>
          <w:rFonts w:ascii="Arial" w:hAnsi="Arial" w:eastAsia="宋体" w:cs="Arial"/>
          <w:position w:val="9"/>
          <w:sz w:val="13"/>
          <w:szCs w:val="13"/>
          <w:lang w:eastAsia="zh-CN"/>
        </w:rPr>
        <w:t xml:space="preserve">42 </w:t>
      </w:r>
      <w:bookmarkStart w:id="52" w:name="_bookmark60"/>
      <w:bookmarkEnd w:id="52"/>
      <w:r>
        <w:rPr>
          <w:rFonts w:ascii="Arial" w:hAnsi="Arial" w:eastAsia="宋体" w:cs="Arial"/>
          <w:sz w:val="20"/>
          <w:szCs w:val="20"/>
          <w:lang w:eastAsia="zh-CN"/>
        </w:rPr>
        <w:t>ISO 9001：2008“质量管理体系-要求”和ISO 13485：2003“医疗器械质量管理体系-监管要求“。另请参见ANSI/AAMI/ISO 13485：2003。</w:t>
      </w:r>
    </w:p>
    <w:p w14:paraId="0C057737">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5847ED35">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bookmarkStart w:id="53" w:name="What_are_some_examples_of_parts_of_the_Q"/>
      <w:bookmarkEnd w:id="53"/>
      <w:bookmarkStart w:id="54" w:name="Do_all_the_mobile_medical_apps_have_to_s"/>
      <w:bookmarkEnd w:id="54"/>
      <w:r>
        <w:rPr>
          <w:rFonts w:ascii="Arial" w:hAnsi="Arial" w:eastAsia="宋体" w:cs="Arial"/>
          <w:b/>
          <w:lang w:eastAsia="zh-CN"/>
        </w:rPr>
        <w:t>对移动医疗应用尤为重要的QS法规部分的一些示例是什么，我可以从哪些地方找到更多有关它们的信息？</w:t>
      </w:r>
    </w:p>
    <w:p w14:paraId="4322E2BE">
      <w:pPr>
        <w:snapToGrid w:val="0"/>
        <w:spacing w:before="10" w:line="300" w:lineRule="auto"/>
        <w:jc w:val="both"/>
        <w:rPr>
          <w:rFonts w:ascii="Arial" w:hAnsi="Arial" w:eastAsia="宋体" w:cs="Arial"/>
          <w:b/>
          <w:bCs/>
          <w:sz w:val="28"/>
          <w:szCs w:val="28"/>
          <w:lang w:eastAsia="zh-CN"/>
        </w:rPr>
      </w:pPr>
    </w:p>
    <w:p w14:paraId="0715FC22">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答：虽然未提供完整清单，但QS法规中与所有移动医疗应用制造商相关的一些原则示例包括风险评定和管理、设计控制以及纠正和预防措施。风险评定和管理是质量管理体系的重要组成部分。良好设计规范对于开发和制造安全的移动医疗应用至关重要。制造商也必须制定程序来确定、分析、纠正和预防患者或用户伤害的应用相关原因。有关这些示例的参考资料在本指南的附录E中提供。有关移动医疗应用制造商可能会发现的有用原则其他参考资料包括：</w:t>
      </w:r>
    </w:p>
    <w:p w14:paraId="26F3EBAC">
      <w:pPr>
        <w:snapToGrid w:val="0"/>
        <w:spacing w:line="300" w:lineRule="auto"/>
        <w:jc w:val="both"/>
        <w:rPr>
          <w:rFonts w:ascii="Arial" w:hAnsi="Arial" w:eastAsia="宋体" w:cs="Arial"/>
          <w:sz w:val="24"/>
          <w:szCs w:val="24"/>
          <w:lang w:eastAsia="zh-CN"/>
        </w:rPr>
      </w:pPr>
    </w:p>
    <w:p w14:paraId="3C1D76C7">
      <w:pPr>
        <w:pStyle w:val="6"/>
        <w:snapToGrid w:val="0"/>
        <w:spacing w:before="69" w:line="300" w:lineRule="auto"/>
        <w:ind w:left="0" w:firstLine="0"/>
        <w:rPr>
          <w:rFonts w:ascii="Arial" w:hAnsi="Arial" w:eastAsia="宋体" w:cs="Arial"/>
        </w:rPr>
      </w:pPr>
      <w:r>
        <w:rPr>
          <w:rFonts w:ascii="Arial" w:hAnsi="Arial" w:eastAsia="宋体" w:cs="Arial"/>
        </w:rPr>
        <w:t>FDA的“</w:t>
      </w:r>
      <w:r>
        <w:rPr>
          <w:rFonts w:hint="eastAsia" w:ascii="Arial" w:hAnsi="Arial" w:eastAsia="宋体" w:cs="Arial"/>
          <w:color w:val="0000FF"/>
          <w:u w:val="single"/>
        </w:rPr>
        <w:t>医疗器械制造商设计控制指南</w:t>
      </w:r>
      <w:r>
        <w:rPr>
          <w:rFonts w:ascii="Arial" w:hAnsi="Arial" w:eastAsia="宋体" w:cs="Arial"/>
        </w:rPr>
        <w:t>”，网址为</w:t>
      </w:r>
      <w:r>
        <w:rPr>
          <w:rFonts w:ascii="Arial" w:hAnsi="Arial" w:eastAsia="宋体" w:cs="Arial"/>
          <w:color w:val="0000FF"/>
          <w:u w:val="single"/>
        </w:rPr>
        <w:t>http://www.fda.gov/MedicalDevices/DeviceRegulationandGuidance/GuidanceDocuments/uc m070627.htm</w:t>
      </w:r>
    </w:p>
    <w:p w14:paraId="132B7D88">
      <w:pPr>
        <w:pStyle w:val="6"/>
        <w:snapToGrid w:val="0"/>
        <w:spacing w:before="69" w:line="300" w:lineRule="auto"/>
        <w:ind w:left="0" w:firstLine="0"/>
        <w:rPr>
          <w:rFonts w:ascii="Arial" w:hAnsi="Arial" w:eastAsia="宋体" w:cs="Arial"/>
        </w:rPr>
      </w:pPr>
    </w:p>
    <w:p w14:paraId="41856CD9">
      <w:pPr>
        <w:pStyle w:val="6"/>
        <w:snapToGrid w:val="0"/>
        <w:spacing w:before="69" w:line="300" w:lineRule="auto"/>
        <w:ind w:left="0" w:firstLine="0"/>
        <w:rPr>
          <w:rFonts w:ascii="Arial" w:hAnsi="Arial" w:eastAsia="宋体" w:cs="Arial"/>
        </w:rPr>
      </w:pPr>
      <w:r>
        <w:rPr>
          <w:rFonts w:ascii="Arial" w:hAnsi="Arial" w:eastAsia="宋体" w:cs="Arial"/>
        </w:rPr>
        <w:t>FDA的“</w:t>
      </w:r>
      <w:r>
        <w:rPr>
          <w:rFonts w:ascii="Arial" w:hAnsi="Arial" w:eastAsia="宋体" w:cs="Arial"/>
          <w:color w:val="0000FF"/>
          <w:u w:val="single"/>
        </w:rPr>
        <w:t>软件确认</w:t>
      </w:r>
      <w:r>
        <w:rPr>
          <w:rFonts w:hint="eastAsia" w:ascii="Arial" w:hAnsi="Arial" w:eastAsia="宋体" w:cs="Arial"/>
          <w:color w:val="0000FF"/>
          <w:u w:val="single"/>
        </w:rPr>
        <w:t>一般原则</w:t>
      </w:r>
      <w:r>
        <w:rPr>
          <w:rFonts w:ascii="Arial" w:hAnsi="Arial" w:eastAsia="宋体" w:cs="Arial"/>
        </w:rPr>
        <w:t>”指南，网址为</w:t>
      </w:r>
      <w:r>
        <w:rPr>
          <w:rFonts w:ascii="Arial" w:hAnsi="Arial" w:eastAsia="宋体" w:cs="Arial"/>
          <w:color w:val="0000FF"/>
          <w:u w:val="single"/>
        </w:rPr>
        <w:t>http://www.fda.gov/MedicalDevices/DeviceRegulationandGuidance/GuidanceDocuments/uc m085281.htm</w:t>
      </w:r>
    </w:p>
    <w:p w14:paraId="527C0FF6">
      <w:pPr>
        <w:snapToGrid w:val="0"/>
        <w:spacing w:line="300" w:lineRule="auto"/>
        <w:jc w:val="both"/>
        <w:rPr>
          <w:rFonts w:ascii="Arial" w:hAnsi="Arial" w:eastAsia="宋体" w:cs="Arial"/>
          <w:sz w:val="20"/>
          <w:szCs w:val="20"/>
        </w:rPr>
      </w:pPr>
    </w:p>
    <w:p w14:paraId="710CB572">
      <w:pPr>
        <w:snapToGrid w:val="0"/>
        <w:spacing w:before="10" w:line="300" w:lineRule="auto"/>
        <w:jc w:val="both"/>
        <w:rPr>
          <w:rFonts w:ascii="Arial" w:hAnsi="Arial" w:eastAsia="宋体" w:cs="Arial"/>
        </w:rPr>
      </w:pPr>
    </w:p>
    <w:p w14:paraId="64790D2D">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所有移动医疗应用是否必须提交上市前提交材料，并在上市前获得FDA许可或批准？</w:t>
      </w:r>
    </w:p>
    <w:p w14:paraId="08CA3851">
      <w:pPr>
        <w:pStyle w:val="6"/>
        <w:snapToGrid w:val="0"/>
        <w:spacing w:before="214" w:line="300" w:lineRule="auto"/>
        <w:ind w:left="0" w:firstLine="0"/>
        <w:jc w:val="both"/>
        <w:rPr>
          <w:rFonts w:ascii="Arial" w:hAnsi="Arial" w:eastAsia="宋体" w:cs="Arial"/>
          <w:lang w:eastAsia="zh-CN"/>
        </w:rPr>
      </w:pPr>
      <w:r>
        <w:rPr>
          <w:rFonts w:hint="eastAsia" w:ascii="Arial" w:hAnsi="Arial" w:eastAsia="宋体" w:cs="Arial"/>
          <w:b/>
          <w:lang w:eastAsia="zh-CN"/>
        </w:rPr>
        <w:t>答</w:t>
      </w:r>
      <w:r>
        <w:rPr>
          <w:rFonts w:ascii="Arial" w:hAnsi="Arial" w:eastAsia="宋体" w:cs="Arial"/>
          <w:lang w:eastAsia="zh-CN"/>
        </w:rPr>
        <w:t>：否，并非所有移动医疗应用制造商必须在上市其应用之前提交上市前提交材料（即510（k）或PMA）。此决定取决于器械的分类。免除510（k）或PMA要求的器械的制造商在上市其器械之前不必向FDA提交材料。例如，大多数I类器械都免于上市前提交要求，并受最小监管控制制约。</w:t>
      </w:r>
    </w:p>
    <w:p w14:paraId="74A2B647">
      <w:pPr>
        <w:pStyle w:val="6"/>
        <w:snapToGrid w:val="0"/>
        <w:spacing w:before="214" w:line="300" w:lineRule="auto"/>
        <w:ind w:left="0" w:firstLine="0"/>
        <w:rPr>
          <w:rFonts w:ascii="Arial" w:hAnsi="Arial" w:eastAsia="宋体" w:cs="Arial"/>
        </w:rPr>
      </w:pPr>
      <w:r>
        <w:rPr>
          <w:rFonts w:ascii="Arial" w:hAnsi="Arial" w:eastAsia="宋体" w:cs="Arial"/>
          <w:lang w:eastAsia="zh-CN"/>
        </w:rPr>
        <w:t>无论医疗器械是否受制于上市前提交，大多数医疗器械（包括I类器械）必须符合其他基本法规要求，即“一般控制”。</w:t>
      </w:r>
      <w:r>
        <w:rPr>
          <w:rFonts w:ascii="Arial" w:hAnsi="Arial" w:eastAsia="宋体" w:cs="Arial"/>
        </w:rPr>
        <w:t>有关“一般控制”</w:t>
      </w:r>
      <w:r>
        <w:rPr>
          <w:rFonts w:ascii="Arial" w:hAnsi="Arial" w:eastAsia="宋体" w:cs="Arial"/>
          <w:lang w:eastAsia="zh-CN"/>
        </w:rPr>
        <w:t>的内容</w:t>
      </w:r>
      <w:r>
        <w:rPr>
          <w:rFonts w:ascii="Arial" w:hAnsi="Arial" w:eastAsia="宋体" w:cs="Arial"/>
        </w:rPr>
        <w:t>以及医疗器械制造商应该遵守这些要求</w:t>
      </w:r>
      <w:r>
        <w:rPr>
          <w:rFonts w:ascii="Arial" w:hAnsi="Arial" w:eastAsia="宋体" w:cs="Arial"/>
          <w:lang w:eastAsia="zh-CN"/>
        </w:rPr>
        <w:t>的做法</w:t>
      </w:r>
      <w:r>
        <w:rPr>
          <w:rFonts w:ascii="Arial" w:hAnsi="Arial" w:eastAsia="宋体" w:cs="Arial"/>
        </w:rPr>
        <w:t>，可以在“</w:t>
      </w:r>
      <w:r>
        <w:rPr>
          <w:rFonts w:hint="eastAsia" w:ascii="Arial" w:hAnsi="Arial" w:eastAsia="宋体" w:cs="Arial"/>
          <w:color w:val="0000FF"/>
          <w:u w:val="single"/>
          <w:lang w:eastAsia="zh-CN"/>
        </w:rPr>
        <w:t>器械</w:t>
      </w:r>
      <w:r>
        <w:rPr>
          <w:rFonts w:hint="eastAsia" w:ascii="Arial" w:hAnsi="Arial" w:eastAsia="宋体" w:cs="Arial"/>
          <w:color w:val="0000FF"/>
          <w:u w:val="single"/>
        </w:rPr>
        <w:t>建议：医疗</w:t>
      </w:r>
      <w:r>
        <w:rPr>
          <w:rFonts w:hint="eastAsia" w:ascii="Arial" w:hAnsi="Arial" w:eastAsia="宋体" w:cs="Arial"/>
          <w:color w:val="0000FF"/>
          <w:u w:val="single"/>
          <w:lang w:eastAsia="zh-CN"/>
        </w:rPr>
        <w:t>器械</w:t>
      </w:r>
      <w:r>
        <w:rPr>
          <w:rFonts w:hint="eastAsia" w:ascii="Arial" w:hAnsi="Arial" w:eastAsia="宋体" w:cs="Arial"/>
          <w:color w:val="0000FF"/>
          <w:u w:val="single"/>
        </w:rPr>
        <w:t>的</w:t>
      </w:r>
      <w:r>
        <w:rPr>
          <w:rFonts w:ascii="Arial" w:hAnsi="Arial" w:eastAsia="宋体" w:cs="Arial"/>
          <w:color w:val="0000FF"/>
          <w:u w:val="single"/>
        </w:rPr>
        <w:t>一般控制</w:t>
      </w:r>
      <w:r>
        <w:rPr>
          <w:rFonts w:ascii="Arial" w:hAnsi="Arial" w:eastAsia="宋体" w:cs="Arial"/>
        </w:rPr>
        <w:t>”中找到</w:t>
      </w:r>
      <w:r>
        <w:rPr>
          <w:rFonts w:ascii="Arial" w:hAnsi="Arial" w:eastAsia="宋体" w:cs="Arial"/>
          <w:lang w:eastAsia="zh-CN"/>
        </w:rPr>
        <w:t>，网址为：</w:t>
      </w:r>
      <w:r>
        <w:fldChar w:fldCharType="begin"/>
      </w:r>
      <w:r>
        <w:instrText xml:space="preserve"> HYPERLINK "http://www.fda.gov/MedicalDevices/DeviceRegulationandGuidance/Overview/GeneralandSpeci%20alControls%20/%20ucm055910.htm" </w:instrText>
      </w:r>
      <w:r>
        <w:fldChar w:fldCharType="separate"/>
      </w:r>
      <w:r>
        <w:rPr>
          <w:rStyle w:val="17"/>
          <w:rFonts w:ascii="Arial" w:hAnsi="Arial" w:eastAsia="宋体" w:cs="Arial"/>
        </w:rPr>
        <w:t>http://www.fda.gov/MedicalDevices/DeviceRegulationandGuidance/Overview/GeneralandSpeci alControls/ucm055910.htm</w:t>
      </w:r>
      <w:r>
        <w:rPr>
          <w:rStyle w:val="17"/>
          <w:rFonts w:ascii="Arial" w:hAnsi="Arial" w:eastAsia="宋体" w:cs="Arial"/>
        </w:rPr>
        <w:fldChar w:fldCharType="end"/>
      </w:r>
      <w:r>
        <w:rPr>
          <w:rFonts w:ascii="Arial" w:hAnsi="Arial" w:eastAsia="宋体" w:cs="Arial"/>
          <w:lang w:eastAsia="zh-CN"/>
        </w:rPr>
        <w:t>以及</w:t>
      </w:r>
      <w:r>
        <w:rPr>
          <w:rFonts w:ascii="Arial" w:hAnsi="Arial" w:eastAsia="宋体" w:cs="Arial"/>
          <w:color w:val="0000FF"/>
          <w:u w:val="single"/>
        </w:rPr>
        <w:t>http://www.fda.gov/MedicalDevices/DeviceRegulationandGuidance/Overview/GeneralandSpeci alControls/default.htm</w:t>
      </w:r>
      <w:r>
        <w:rPr>
          <w:rFonts w:ascii="Arial" w:hAnsi="Arial" w:eastAsia="宋体" w:cs="Arial"/>
        </w:rPr>
        <w:t>。</w:t>
      </w:r>
    </w:p>
    <w:p w14:paraId="1EEC691B">
      <w:pPr>
        <w:pStyle w:val="6"/>
        <w:snapToGrid w:val="0"/>
        <w:spacing w:line="300" w:lineRule="auto"/>
        <w:ind w:left="0" w:firstLine="0"/>
        <w:jc w:val="both"/>
        <w:rPr>
          <w:rFonts w:ascii="Arial" w:hAnsi="Arial" w:eastAsia="宋体" w:cs="Arial"/>
        </w:rPr>
      </w:pPr>
    </w:p>
    <w:p w14:paraId="5F28DB0D">
      <w:pPr>
        <w:snapToGrid w:val="0"/>
        <w:spacing w:before="11" w:line="300" w:lineRule="auto"/>
        <w:jc w:val="both"/>
        <w:rPr>
          <w:rFonts w:ascii="Arial" w:hAnsi="Arial" w:eastAsia="宋体" w:cs="Arial"/>
          <w:sz w:val="21"/>
          <w:szCs w:val="21"/>
        </w:rPr>
      </w:pPr>
    </w:p>
    <w:p w14:paraId="0241CD06">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6" name="Group 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7" name="Group 8"/>
                        <wpg:cNvGrpSpPr/>
                        <wpg:grpSpPr>
                          <a:xfrm>
                            <a:off x="6" y="6"/>
                            <a:ext cx="2880" cy="2"/>
                            <a:chOff x="6" y="6"/>
                            <a:chExt cx="2880" cy="2"/>
                          </a:xfrm>
                        </wpg:grpSpPr>
                        <wps:wsp>
                          <wps:cNvPr id="8" name="Freeform 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D+hIXUAAAAAwEAAA8AAAAAAAAAAQAgAAAAIgAAAGRycy9kb3ducmV2LnhtbFBL&#10;AQIUABQAAAAIAIdO4kDclt4PFwMAAPgHAAAOAAAAAAAAAAEAIAAAACMBAABkcnMvZTJvRG9jLnht&#10;bFBLBQYAAAAABgAGAFkBAACsBgAAAAA=&#10;">
                <o:lock v:ext="edit" aspectratio="f"/>
                <v:group id="Group 8" o:spid="_x0000_s1026" o:spt="203" style="position:absolute;left:6;top:6;height:2;width:2880;" coordorigin="6,6"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9" o:spid="_x0000_s1026" o:spt="100" style="position:absolute;left:6;top:6;height:2;width:2880;" filled="f" stroked="t" coordsize="2880,1" o:gfxdata="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wC/pugAAANoA&#10;AAAPAAAAAAAAAAEAIAAAACIAAABkcnMvZG93bnJldi54bWxQSwECFAAUAAAACACHTuJAMy8FnjsA&#10;AAA5AAAAEAAAAAAAAAABACAAAAAJAQAAZHJzL3NoYXBleG1sLnhtbFBLBQYAAAAABgAGAFsBAACz&#10;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91D1BC6">
      <w:pPr>
        <w:snapToGrid w:val="0"/>
        <w:spacing w:before="71" w:line="300" w:lineRule="auto"/>
        <w:jc w:val="both"/>
        <w:rPr>
          <w:rFonts w:ascii="Arial" w:hAnsi="Arial" w:eastAsia="宋体" w:cs="Arial"/>
          <w:sz w:val="20"/>
          <w:szCs w:val="20"/>
        </w:rPr>
      </w:pPr>
      <w:r>
        <w:rPr>
          <w:rFonts w:ascii="Arial" w:hAnsi="Arial" w:eastAsia="宋体" w:cs="Arial"/>
          <w:position w:val="9"/>
          <w:sz w:val="13"/>
          <w:szCs w:val="13"/>
          <w:lang w:eastAsia="zh-CN"/>
        </w:rPr>
        <w:t>43</w:t>
      </w:r>
      <w:r>
        <w:rPr>
          <w:rFonts w:ascii="Arial" w:hAnsi="Arial" w:eastAsia="宋体" w:cs="Arial"/>
          <w:sz w:val="20"/>
          <w:szCs w:val="20"/>
          <w:lang w:eastAsia="zh-CN"/>
        </w:rPr>
        <w:t>请参阅21 CFR 820.1（声明“如果制造商仅参与了受制于本部分而不是其他部分中的要求的某些操作，则制造商仅需遵守适用于其所参与的操作的那些要求”。</w:t>
      </w:r>
      <w:r>
        <w:rPr>
          <w:rFonts w:ascii="Arial" w:hAnsi="Arial" w:eastAsia="宋体" w:cs="Arial"/>
          <w:sz w:val="20"/>
          <w:szCs w:val="20"/>
        </w:rPr>
        <w:t>）</w:t>
      </w:r>
    </w:p>
    <w:p w14:paraId="75C44FD4">
      <w:pPr>
        <w:snapToGrid w:val="0"/>
        <w:spacing w:line="300" w:lineRule="auto"/>
        <w:jc w:val="both"/>
        <w:rPr>
          <w:rFonts w:ascii="Arial" w:hAnsi="Arial" w:eastAsia="宋体" w:cs="Arial"/>
          <w:sz w:val="20"/>
          <w:szCs w:val="20"/>
        </w:rPr>
        <w:sectPr>
          <w:pgSz w:w="12260" w:h="15840"/>
          <w:pgMar w:top="1134" w:right="1134" w:bottom="1134" w:left="1134" w:header="748" w:footer="773" w:gutter="0"/>
          <w:cols w:space="720" w:num="1"/>
          <w:docGrid w:linePitch="299" w:charSpace="0"/>
        </w:sectPr>
      </w:pPr>
    </w:p>
    <w:p w14:paraId="348868A3">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某些FDA分类表明其是“510（k）豁免”。510（k）豁免是什么意思，如何知道其是否适用于我的产品？</w:t>
      </w:r>
    </w:p>
    <w:p w14:paraId="5C506A3C">
      <w:pPr>
        <w:snapToGrid w:val="0"/>
        <w:spacing w:before="10" w:line="300" w:lineRule="auto"/>
        <w:jc w:val="both"/>
        <w:rPr>
          <w:rFonts w:ascii="Arial" w:hAnsi="Arial" w:eastAsia="宋体" w:cs="Arial"/>
          <w:b/>
          <w:bCs/>
          <w:sz w:val="24"/>
          <w:szCs w:val="24"/>
          <w:lang w:eastAsia="zh-CN"/>
        </w:rPr>
      </w:pPr>
    </w:p>
    <w:p w14:paraId="69D76AAF">
      <w:pPr>
        <w:pStyle w:val="6"/>
        <w:snapToGrid w:val="0"/>
        <w:spacing w:before="69" w:line="300" w:lineRule="auto"/>
        <w:ind w:left="0" w:firstLine="0"/>
        <w:jc w:val="both"/>
        <w:rPr>
          <w:rFonts w:ascii="Arial" w:hAnsi="Arial" w:eastAsia="宋体" w:cs="Arial"/>
          <w:lang w:eastAsia="zh-CN"/>
        </w:rPr>
      </w:pPr>
      <w:r>
        <w:rPr>
          <w:rFonts w:ascii="Arial" w:hAnsi="Arial" w:eastAsia="宋体" w:cs="Arial"/>
          <w:lang w:eastAsia="zh-CN"/>
        </w:rPr>
        <w:t>答：如果分类表明器械类型为“510（k）”，则表示制造商在上市器械之前无需提交上市前通告（即510（k））。但是，510（k）豁免可能会受到某些限制。我们鼓励制造商确认器械的豁免状态以及根据</w:t>
      </w:r>
      <w:r>
        <w:rPr>
          <w:rFonts w:ascii="Arial" w:hAnsi="Arial" w:eastAsia="宋体" w:cs="Arial"/>
          <w:color w:val="0000FF"/>
          <w:u w:val="single"/>
          <w:lang w:eastAsia="zh-CN"/>
        </w:rPr>
        <w:t>21 CFR第862-892部分</w:t>
      </w:r>
      <w:r>
        <w:rPr>
          <w:rFonts w:ascii="Arial" w:hAnsi="Arial" w:eastAsia="宋体" w:cs="Arial"/>
          <w:lang w:eastAsia="zh-CN"/>
        </w:rPr>
        <w:t>可能适用的该状态的任何限制。关于510（k）豁免器械的附加信息，</w:t>
      </w:r>
    </w:p>
    <w:p w14:paraId="3F302408">
      <w:pPr>
        <w:pStyle w:val="6"/>
        <w:snapToGrid w:val="0"/>
        <w:spacing w:before="69" w:line="300" w:lineRule="auto"/>
        <w:ind w:left="0" w:firstLine="0"/>
        <w:jc w:val="both"/>
        <w:rPr>
          <w:rFonts w:ascii="Arial" w:hAnsi="Arial" w:eastAsia="宋体" w:cs="Arial"/>
          <w:lang w:eastAsia="zh-CN"/>
        </w:rPr>
      </w:pPr>
      <w:r>
        <w:rPr>
          <w:rFonts w:ascii="Arial" w:hAnsi="Arial" w:eastAsia="宋体" w:cs="Arial"/>
          <w:lang w:eastAsia="zh-CN"/>
        </w:rPr>
        <w:t>可以在</w:t>
      </w:r>
      <w:r>
        <w:rPr>
          <w:rFonts w:ascii="Arial" w:hAnsi="Arial" w:eastAsia="宋体" w:cs="Arial"/>
          <w:color w:val="0000FF"/>
          <w:u w:val="single"/>
          <w:lang w:eastAsia="zh-CN"/>
        </w:rPr>
        <w:t>http://www.accessdata.fda.gov/scripts/cdrh/cfdocs/cfpcd/315.cfm</w:t>
      </w:r>
      <w:r>
        <w:rPr>
          <w:rFonts w:ascii="Arial" w:hAnsi="Arial" w:eastAsia="宋体" w:cs="Arial"/>
          <w:lang w:eastAsia="zh-CN"/>
        </w:rPr>
        <w:t>找到。</w:t>
      </w:r>
    </w:p>
    <w:p w14:paraId="104388D0">
      <w:pPr>
        <w:snapToGrid w:val="0"/>
        <w:spacing w:line="300" w:lineRule="auto"/>
        <w:jc w:val="both"/>
        <w:rPr>
          <w:rFonts w:ascii="Arial" w:hAnsi="Arial" w:eastAsia="宋体" w:cs="Arial"/>
          <w:sz w:val="20"/>
          <w:szCs w:val="20"/>
          <w:lang w:eastAsia="zh-CN"/>
        </w:rPr>
      </w:pPr>
    </w:p>
    <w:p w14:paraId="5DEB69BC">
      <w:pPr>
        <w:snapToGrid w:val="0"/>
        <w:spacing w:line="300" w:lineRule="auto"/>
        <w:jc w:val="both"/>
        <w:rPr>
          <w:rFonts w:ascii="Arial" w:hAnsi="Arial" w:eastAsia="宋体" w:cs="Arial"/>
          <w:sz w:val="20"/>
          <w:szCs w:val="20"/>
          <w:lang w:eastAsia="zh-CN"/>
        </w:rPr>
      </w:pPr>
    </w:p>
    <w:p w14:paraId="7F2EA2F2">
      <w:pPr>
        <w:snapToGrid w:val="0"/>
        <w:spacing w:before="4" w:line="300" w:lineRule="auto"/>
        <w:jc w:val="both"/>
        <w:rPr>
          <w:rFonts w:ascii="Arial" w:hAnsi="Arial" w:eastAsia="宋体" w:cs="Arial"/>
          <w:sz w:val="23"/>
          <w:szCs w:val="23"/>
          <w:lang w:eastAsia="zh-CN"/>
        </w:rPr>
      </w:pPr>
    </w:p>
    <w:p w14:paraId="71977828">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如果我的移动医疗应用需要提交510（k），FDA建议我纳入提交文件哪些类型的软件文档？</w:t>
      </w:r>
    </w:p>
    <w:p w14:paraId="6A3E7E10">
      <w:pPr>
        <w:snapToGrid w:val="0"/>
        <w:spacing w:before="1" w:line="300" w:lineRule="auto"/>
        <w:jc w:val="both"/>
        <w:rPr>
          <w:rFonts w:ascii="Arial" w:hAnsi="Arial" w:eastAsia="宋体" w:cs="Arial"/>
          <w:b/>
          <w:bCs/>
          <w:sz w:val="29"/>
          <w:szCs w:val="29"/>
          <w:lang w:eastAsia="zh-CN"/>
        </w:rPr>
      </w:pPr>
    </w:p>
    <w:p w14:paraId="6953B88D">
      <w:pPr>
        <w:pStyle w:val="6"/>
        <w:snapToGrid w:val="0"/>
        <w:spacing w:before="69" w:line="300" w:lineRule="auto"/>
        <w:ind w:left="0" w:firstLine="0"/>
        <w:jc w:val="both"/>
        <w:rPr>
          <w:rFonts w:ascii="Arial" w:hAnsi="Arial" w:eastAsia="宋体" w:cs="Arial"/>
          <w:lang w:eastAsia="zh-CN"/>
        </w:rPr>
      </w:pPr>
      <w:r>
        <w:rPr>
          <w:rFonts w:ascii="Arial" w:hAnsi="Arial" w:eastAsia="宋体" w:cs="Arial"/>
          <w:lang w:eastAsia="zh-CN"/>
        </w:rPr>
        <w:t>答：FDA对贵公司应在贵公司的上市前提交材料中提供的软件相关文档的建议详见FDA的“</w:t>
      </w:r>
      <w:r>
        <w:rPr>
          <w:rFonts w:ascii="Arial" w:hAnsi="Arial" w:eastAsia="宋体" w:cs="Arial"/>
          <w:color w:val="0000FF"/>
          <w:u w:val="single"/>
          <w:lang w:eastAsia="zh-CN"/>
        </w:rPr>
        <w:t>医疗器械中软件</w:t>
      </w:r>
      <w:r>
        <w:rPr>
          <w:rFonts w:hint="eastAsia" w:ascii="Arial" w:hAnsi="Arial" w:eastAsia="宋体" w:cs="Arial"/>
          <w:color w:val="0000FF"/>
          <w:u w:val="single"/>
          <w:lang w:eastAsia="zh-CN"/>
        </w:rPr>
        <w:t>上市前提交材料的内容指南</w:t>
      </w:r>
      <w:r>
        <w:rPr>
          <w:rFonts w:ascii="Arial" w:hAnsi="Arial" w:eastAsia="宋体" w:cs="Arial"/>
          <w:lang w:eastAsia="zh-CN"/>
        </w:rPr>
        <w:t>”。本指南可以在FDA的网站上获得：</w:t>
      </w:r>
      <w:r>
        <w:rPr>
          <w:rFonts w:ascii="Arial" w:hAnsi="Arial" w:eastAsia="宋体" w:cs="Arial"/>
          <w:color w:val="0000FF"/>
          <w:u w:val="single"/>
          <w:lang w:eastAsia="zh-CN"/>
        </w:rPr>
        <w:t>http://www.fda.gov/MedicalDevices/DeviceRegulationandGuidance/GuidanceDocuments/ucm0 89543.htm</w:t>
      </w:r>
      <w:r>
        <w:rPr>
          <w:rFonts w:ascii="Arial" w:hAnsi="Arial" w:eastAsia="宋体" w:cs="Arial"/>
          <w:lang w:eastAsia="zh-CN"/>
        </w:rPr>
        <w:t>。</w:t>
      </w:r>
    </w:p>
    <w:p w14:paraId="324F2A57">
      <w:pPr>
        <w:pStyle w:val="6"/>
        <w:snapToGrid w:val="0"/>
        <w:spacing w:before="69" w:line="300" w:lineRule="auto"/>
        <w:ind w:left="0" w:firstLine="0"/>
        <w:jc w:val="both"/>
        <w:rPr>
          <w:rFonts w:ascii="Arial" w:hAnsi="Arial" w:eastAsia="宋体" w:cs="Arial"/>
          <w:lang w:eastAsia="zh-CN"/>
        </w:rPr>
      </w:pPr>
    </w:p>
    <w:p w14:paraId="49F3237E">
      <w:pPr>
        <w:pStyle w:val="6"/>
        <w:snapToGrid w:val="0"/>
        <w:spacing w:before="69" w:line="300" w:lineRule="auto"/>
        <w:ind w:left="0" w:firstLine="0"/>
        <w:rPr>
          <w:rFonts w:ascii="Arial" w:hAnsi="Arial" w:eastAsia="宋体" w:cs="Arial"/>
          <w:lang w:eastAsia="zh-CN"/>
        </w:rPr>
      </w:pPr>
      <w:r>
        <w:rPr>
          <w:rFonts w:ascii="Arial" w:hAnsi="Arial" w:eastAsia="宋体" w:cs="Arial"/>
          <w:lang w:eastAsia="zh-CN"/>
        </w:rPr>
        <w:t>如果移动医疗应用使用了现货软件，制造商还应参考FDA的“</w:t>
      </w:r>
      <w:r>
        <w:rPr>
          <w:rFonts w:ascii="Arial" w:hAnsi="Arial" w:eastAsia="宋体" w:cs="Arial"/>
          <w:color w:val="0000FF"/>
          <w:u w:val="single"/>
          <w:lang w:eastAsia="zh-CN"/>
        </w:rPr>
        <w:t>行业、FDA审查员以及医疗器械中现货软件使用合规性指南</w:t>
      </w:r>
      <w:r>
        <w:rPr>
          <w:rFonts w:ascii="Arial" w:hAnsi="Arial" w:eastAsia="宋体" w:cs="Arial"/>
          <w:lang w:eastAsia="zh-CN"/>
        </w:rPr>
        <w:t>”，网址为：</w:t>
      </w:r>
      <w:r>
        <w:fldChar w:fldCharType="begin"/>
      </w:r>
      <w:r>
        <w:instrText xml:space="preserve"> HYPERLINK "http://www.fda.gov/MedicalDevices/DeviceRegulationandGuidance/GuidanceDocuments/ucm073778.htm" \h </w:instrText>
      </w:r>
      <w:r>
        <w:fldChar w:fldCharType="separate"/>
      </w:r>
      <w:r>
        <w:rPr>
          <w:rFonts w:ascii="Arial" w:hAnsi="Arial" w:eastAsia="宋体" w:cs="Arial"/>
          <w:color w:val="0000FF"/>
          <w:spacing w:val="-1"/>
          <w:u w:val="single" w:color="0000FF"/>
          <w:lang w:eastAsia="zh-CN"/>
        </w:rPr>
        <w:t>http://www.fda.gov/MedicalDevices/DeviceRegulationandGuidance/GuidanceDocuments/ucm0</w:t>
      </w:r>
      <w:r>
        <w:rPr>
          <w:rFonts w:ascii="Arial" w:hAnsi="Arial" w:eastAsia="宋体" w:cs="Arial"/>
          <w:color w:val="0000FF"/>
          <w:spacing w:val="6"/>
          <w:u w:val="single" w:color="0000FF"/>
          <w:lang w:eastAsia="zh-CN"/>
        </w:rPr>
        <w:t xml:space="preserve"> </w:t>
      </w:r>
      <w:r>
        <w:rPr>
          <w:rFonts w:ascii="Arial" w:hAnsi="Arial" w:eastAsia="宋体" w:cs="Arial"/>
          <w:color w:val="0000FF"/>
          <w:spacing w:val="6"/>
          <w:u w:val="single" w:color="0000FF"/>
          <w:lang w:eastAsia="zh-CN"/>
        </w:rPr>
        <w:fldChar w:fldCharType="end"/>
      </w:r>
      <w:r>
        <w:fldChar w:fldCharType="begin"/>
      </w:r>
      <w:r>
        <w:instrText xml:space="preserve"> HYPERLINK "http://www.fda.gov/MedicalDevices/DeviceRegulationandGuidance/GuidanceDocuments/ucm073778.htm" \h </w:instrText>
      </w:r>
      <w:r>
        <w:fldChar w:fldCharType="separate"/>
      </w:r>
      <w:r>
        <w:rPr>
          <w:rFonts w:ascii="Arial" w:hAnsi="Arial" w:eastAsia="宋体" w:cs="Arial"/>
          <w:color w:val="0000FF"/>
          <w:u w:val="single" w:color="0000FF"/>
          <w:lang w:eastAsia="zh-CN"/>
        </w:rPr>
        <w:t>73778.htm</w:t>
      </w:r>
      <w:r>
        <w:rPr>
          <w:rFonts w:ascii="Arial" w:hAnsi="Arial" w:eastAsia="宋体" w:cs="Arial"/>
          <w:color w:val="0000FF"/>
          <w:u w:val="single" w:color="0000FF"/>
          <w:lang w:eastAsia="zh-CN"/>
        </w:rPr>
        <w:fldChar w:fldCharType="end"/>
      </w:r>
      <w:r>
        <w:rPr>
          <w:rFonts w:ascii="Arial" w:hAnsi="Arial" w:eastAsia="宋体" w:cs="Arial"/>
          <w:lang w:eastAsia="zh-CN"/>
        </w:rPr>
        <w:t>。</w:t>
      </w:r>
    </w:p>
    <w:p w14:paraId="7B9DFE11">
      <w:pPr>
        <w:snapToGrid w:val="0"/>
        <w:spacing w:before="10" w:line="300" w:lineRule="auto"/>
        <w:jc w:val="both"/>
        <w:rPr>
          <w:rFonts w:ascii="Arial" w:hAnsi="Arial" w:eastAsia="宋体" w:cs="Arial"/>
          <w:sz w:val="14"/>
          <w:szCs w:val="14"/>
          <w:lang w:eastAsia="zh-CN"/>
        </w:rPr>
      </w:pPr>
    </w:p>
    <w:p w14:paraId="6AE183A7">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我是医疗器械制造商，并使用移动应用以电子方式制作我的产品标签。我的应用是否被视为移动医疗应用？</w:t>
      </w:r>
    </w:p>
    <w:p w14:paraId="05C8F0C0">
      <w:pPr>
        <w:snapToGrid w:val="0"/>
        <w:spacing w:before="1" w:line="300" w:lineRule="auto"/>
        <w:jc w:val="both"/>
        <w:rPr>
          <w:rFonts w:ascii="Arial" w:hAnsi="Arial" w:eastAsia="宋体" w:cs="Arial"/>
          <w:b/>
          <w:bCs/>
          <w:sz w:val="29"/>
          <w:szCs w:val="29"/>
          <w:lang w:eastAsia="zh-CN"/>
        </w:rPr>
      </w:pPr>
    </w:p>
    <w:p w14:paraId="7D5833F7">
      <w:pPr>
        <w:pStyle w:val="6"/>
        <w:snapToGrid w:val="0"/>
        <w:spacing w:line="300" w:lineRule="auto"/>
        <w:ind w:left="0" w:firstLine="0"/>
        <w:jc w:val="both"/>
        <w:rPr>
          <w:rFonts w:ascii="Arial" w:hAnsi="Arial" w:eastAsia="宋体" w:cs="Arial"/>
          <w:sz w:val="20"/>
          <w:szCs w:val="20"/>
          <w:lang w:eastAsia="zh-CN"/>
        </w:rPr>
      </w:pPr>
      <w:r>
        <w:rPr>
          <w:rFonts w:ascii="Arial" w:hAnsi="Arial" w:eastAsia="宋体" w:cs="Arial"/>
          <w:lang w:eastAsia="zh-CN"/>
        </w:rPr>
        <w:t>答：提供电子访问且旨在用作医疗器械标签或使用说明的数字版本的移动应用不被视为医疗器械，因此不被视为移动医疗应用。这些应用是来自器械制造商以提供信息支持公司自己的器械的应用。示例包括提供已许可或批准的医疗器械标签的电子副本的应用或提供如何使用医疗器械的视频说明的应用。这些类型的应用本身不被视为器械，而是被视为医疗器械标签的一部分，并受与该特定产品相关的监管标签要求约束。</w:t>
      </w:r>
    </w:p>
    <w:p w14:paraId="5DF44081">
      <w:pPr>
        <w:snapToGrid w:val="0"/>
        <w:spacing w:line="300" w:lineRule="auto"/>
        <w:jc w:val="both"/>
        <w:rPr>
          <w:rFonts w:ascii="Arial" w:hAnsi="Arial" w:eastAsia="宋体" w:cs="Arial"/>
          <w:sz w:val="20"/>
          <w:szCs w:val="20"/>
          <w:lang w:eastAsia="zh-CN"/>
        </w:rPr>
      </w:pPr>
    </w:p>
    <w:p w14:paraId="60EB3FB9">
      <w:pPr>
        <w:snapToGrid w:val="0"/>
        <w:spacing w:before="11" w:line="300" w:lineRule="auto"/>
        <w:jc w:val="both"/>
        <w:rPr>
          <w:rFonts w:ascii="Arial" w:hAnsi="Arial" w:eastAsia="宋体" w:cs="Arial"/>
          <w:sz w:val="18"/>
          <w:szCs w:val="18"/>
          <w:lang w:eastAsia="zh-CN"/>
        </w:rPr>
      </w:pPr>
    </w:p>
    <w:p w14:paraId="0C16B257">
      <w:pPr>
        <w:rPr>
          <w:rFonts w:ascii="Arial" w:hAnsi="Arial" w:eastAsia="宋体" w:cs="Arial"/>
          <w:b/>
          <w:lang w:eastAsia="zh-CN"/>
        </w:rPr>
      </w:pPr>
      <w:bookmarkStart w:id="55" w:name="Does_an_electronic_method_of_collecting_"/>
      <w:bookmarkEnd w:id="55"/>
      <w:bookmarkStart w:id="56" w:name="_bookmark62"/>
      <w:bookmarkEnd w:id="56"/>
      <w:bookmarkStart w:id="57" w:name="I_am_a_medical_device_manufacturer.__Is_"/>
      <w:bookmarkEnd w:id="57"/>
      <w:r>
        <w:rPr>
          <w:rFonts w:ascii="Arial" w:hAnsi="Arial" w:eastAsia="宋体" w:cs="Arial"/>
          <w:b/>
          <w:lang w:eastAsia="zh-CN"/>
        </w:rPr>
        <w:br w:type="page"/>
      </w:r>
    </w:p>
    <w:p w14:paraId="65804DAB">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是否用于，例如，通过移动应用收集临床研究的电子方法是否应被视为移动医疗应用，哪些要求适用？</w:t>
      </w:r>
    </w:p>
    <w:p w14:paraId="6D9A0485">
      <w:pPr>
        <w:snapToGrid w:val="0"/>
        <w:spacing w:before="1" w:line="300" w:lineRule="auto"/>
        <w:jc w:val="both"/>
        <w:rPr>
          <w:rFonts w:ascii="Arial" w:hAnsi="Arial" w:eastAsia="宋体" w:cs="Arial"/>
          <w:b/>
          <w:bCs/>
          <w:sz w:val="29"/>
          <w:szCs w:val="29"/>
          <w:lang w:eastAsia="zh-CN"/>
        </w:rPr>
      </w:pPr>
    </w:p>
    <w:p w14:paraId="0C239D9E">
      <w:pPr>
        <w:pStyle w:val="6"/>
        <w:snapToGrid w:val="0"/>
        <w:spacing w:before="3" w:line="300" w:lineRule="auto"/>
        <w:ind w:left="0" w:firstLine="0"/>
        <w:jc w:val="both"/>
        <w:rPr>
          <w:rFonts w:ascii="Arial" w:hAnsi="Arial" w:eastAsia="宋体" w:cs="Arial"/>
          <w:spacing w:val="-4"/>
          <w:lang w:eastAsia="zh-CN"/>
        </w:rPr>
      </w:pPr>
      <w:r>
        <w:rPr>
          <w:rFonts w:ascii="Arial" w:hAnsi="Arial" w:eastAsia="宋体" w:cs="Arial"/>
          <w:spacing w:val="-4"/>
          <w:lang w:eastAsia="zh-CN"/>
        </w:rPr>
        <w:t>答：临床研究中用于数据收集的移动应用（如电子患者报告结果（ePRO）应用）本身不被视为移动医疗应用。然而，这种类型的移动应用的制造商和用户应参考关于在临床试验中使用计算机的FDA指南草案 “临床研究中的电子源数据” （于2012年11月20日发布）。</w:t>
      </w:r>
      <w:r>
        <w:rPr>
          <w:rFonts w:ascii="Arial" w:hAnsi="Arial" w:eastAsia="宋体" w:cs="Arial"/>
          <w:spacing w:val="-4"/>
          <w:vertAlign w:val="superscript"/>
          <w:lang w:eastAsia="zh-CN"/>
        </w:rPr>
        <w:t>44</w:t>
      </w:r>
      <w:r>
        <w:rPr>
          <w:rFonts w:ascii="Arial" w:hAnsi="Arial" w:eastAsia="宋体" w:cs="Arial"/>
          <w:spacing w:val="-4"/>
          <w:lang w:eastAsia="zh-CN"/>
        </w:rPr>
        <w:t>定稿时，本指南将代表 FDA目前对此主题的见解。有关本指南的最新版本，请访问CDER指南网页，网址为：</w:t>
      </w:r>
      <w:r>
        <w:rPr>
          <w:rFonts w:ascii="Arial" w:hAnsi="Arial" w:eastAsia="宋体" w:cs="Arial"/>
          <w:color w:val="0000FF"/>
          <w:spacing w:val="-4"/>
          <w:u w:val="single"/>
          <w:lang w:eastAsia="zh-CN"/>
        </w:rPr>
        <w:t>http://www.fda.gov/Drugs/GuidanceComplianceRegulatoryInformation/Guidances/default.htm</w:t>
      </w:r>
      <w:r>
        <w:rPr>
          <w:rFonts w:ascii="Arial" w:hAnsi="Arial" w:eastAsia="宋体" w:cs="Arial"/>
          <w:spacing w:val="-4"/>
          <w:lang w:eastAsia="zh-CN"/>
        </w:rPr>
        <w:t>。</w:t>
      </w:r>
    </w:p>
    <w:p w14:paraId="58E0FB81">
      <w:pPr>
        <w:snapToGrid w:val="0"/>
        <w:spacing w:line="300" w:lineRule="auto"/>
        <w:jc w:val="both"/>
        <w:rPr>
          <w:rFonts w:ascii="Arial" w:hAnsi="Arial" w:eastAsia="宋体" w:cs="Arial"/>
          <w:sz w:val="20"/>
          <w:szCs w:val="20"/>
          <w:lang w:eastAsia="zh-CN"/>
        </w:rPr>
      </w:pPr>
    </w:p>
    <w:p w14:paraId="09A4A996">
      <w:pPr>
        <w:snapToGrid w:val="0"/>
        <w:spacing w:line="300" w:lineRule="auto"/>
        <w:jc w:val="both"/>
        <w:rPr>
          <w:rFonts w:ascii="Arial" w:hAnsi="Arial" w:eastAsia="宋体" w:cs="Arial"/>
          <w:sz w:val="20"/>
          <w:szCs w:val="20"/>
          <w:lang w:eastAsia="zh-CN"/>
        </w:rPr>
      </w:pPr>
    </w:p>
    <w:p w14:paraId="61631AA4">
      <w:pPr>
        <w:snapToGrid w:val="0"/>
        <w:spacing w:before="5" w:line="300" w:lineRule="auto"/>
        <w:jc w:val="both"/>
        <w:rPr>
          <w:rFonts w:ascii="Arial" w:hAnsi="Arial" w:eastAsia="宋体" w:cs="Arial"/>
          <w:sz w:val="17"/>
          <w:szCs w:val="17"/>
          <w:lang w:eastAsia="zh-CN"/>
        </w:rPr>
      </w:pPr>
    </w:p>
    <w:p w14:paraId="517394C4">
      <w:pPr>
        <w:pStyle w:val="19"/>
        <w:numPr>
          <w:ilvl w:val="0"/>
          <w:numId w:val="15"/>
        </w:numPr>
        <w:tabs>
          <w:tab w:val="left" w:pos="567"/>
        </w:tabs>
        <w:snapToGrid w:val="0"/>
        <w:spacing w:line="276" w:lineRule="auto"/>
        <w:ind w:left="504" w:hanging="504" w:hangingChars="228"/>
        <w:jc w:val="both"/>
        <w:rPr>
          <w:rFonts w:ascii="Arial" w:hAnsi="Arial" w:eastAsia="宋体" w:cs="Arial"/>
          <w:lang w:eastAsia="zh-CN"/>
        </w:rPr>
      </w:pPr>
      <w:r>
        <w:rPr>
          <w:rFonts w:ascii="Arial" w:hAnsi="Arial" w:eastAsia="宋体" w:cs="Arial"/>
          <w:b/>
          <w:lang w:eastAsia="zh-CN"/>
        </w:rPr>
        <w:t>我是医疗器械制造商。在我的制造过程中收集和存储质量体系信息的电子方法是否应被视为医疗器械或移动医疗应用？</w:t>
      </w:r>
    </w:p>
    <w:p w14:paraId="07910035">
      <w:pPr>
        <w:snapToGrid w:val="0"/>
        <w:spacing w:before="10" w:line="300" w:lineRule="auto"/>
        <w:jc w:val="both"/>
        <w:rPr>
          <w:rFonts w:ascii="Arial" w:hAnsi="Arial" w:eastAsia="宋体" w:cs="Arial"/>
          <w:b/>
          <w:bCs/>
          <w:sz w:val="28"/>
          <w:szCs w:val="28"/>
          <w:lang w:eastAsia="zh-CN"/>
        </w:rPr>
      </w:pPr>
    </w:p>
    <w:p w14:paraId="43578778">
      <w:pPr>
        <w:pStyle w:val="6"/>
        <w:snapToGrid w:val="0"/>
        <w:spacing w:line="300" w:lineRule="auto"/>
        <w:ind w:left="0" w:firstLine="0"/>
        <w:jc w:val="both"/>
        <w:rPr>
          <w:rFonts w:ascii="Arial" w:hAnsi="Arial" w:eastAsia="宋体" w:cs="Arial"/>
          <w:lang w:eastAsia="zh-CN"/>
        </w:rPr>
      </w:pPr>
      <w:r>
        <w:rPr>
          <w:rFonts w:ascii="Arial" w:hAnsi="Arial" w:eastAsia="宋体" w:cs="Arial"/>
          <w:lang w:eastAsia="zh-CN"/>
        </w:rPr>
        <w:t>答：医疗器械生产过程中使用的移动应用，或用于收集、存储和维护医疗器械（包括投诉提交）的质量系统数据收集的移动应用本身不被视为医疗器械，因此不被视为移动医疗应用。这些类型的应用不符合医疗器械的定义，而是质量体系的一部分。但是，这些移动应用需要遵守相应的良好生产规范（GMP）法规（请参见21 CFR 第820部分）。</w:t>
      </w:r>
    </w:p>
    <w:p w14:paraId="6F21DCEC">
      <w:pPr>
        <w:snapToGrid w:val="0"/>
        <w:spacing w:line="300" w:lineRule="auto"/>
        <w:jc w:val="both"/>
        <w:rPr>
          <w:rFonts w:ascii="Arial" w:hAnsi="Arial" w:eastAsia="宋体" w:cs="Arial"/>
          <w:sz w:val="20"/>
          <w:szCs w:val="20"/>
          <w:lang w:eastAsia="zh-CN"/>
        </w:rPr>
      </w:pPr>
    </w:p>
    <w:p w14:paraId="39F56FA3">
      <w:pPr>
        <w:snapToGrid w:val="0"/>
        <w:spacing w:line="300" w:lineRule="auto"/>
        <w:jc w:val="both"/>
        <w:rPr>
          <w:rFonts w:ascii="Arial" w:hAnsi="Arial" w:eastAsia="宋体" w:cs="Arial"/>
          <w:sz w:val="20"/>
          <w:szCs w:val="20"/>
          <w:lang w:eastAsia="zh-CN"/>
        </w:rPr>
      </w:pPr>
    </w:p>
    <w:p w14:paraId="518F1BDF">
      <w:pPr>
        <w:snapToGrid w:val="0"/>
        <w:spacing w:line="300" w:lineRule="auto"/>
        <w:jc w:val="both"/>
        <w:rPr>
          <w:rFonts w:ascii="Arial" w:hAnsi="Arial" w:eastAsia="宋体" w:cs="Arial"/>
          <w:sz w:val="20"/>
          <w:szCs w:val="20"/>
          <w:lang w:eastAsia="zh-CN"/>
        </w:rPr>
      </w:pPr>
    </w:p>
    <w:p w14:paraId="7EA296DF">
      <w:pPr>
        <w:snapToGrid w:val="0"/>
        <w:spacing w:line="300" w:lineRule="auto"/>
        <w:jc w:val="both"/>
        <w:rPr>
          <w:rFonts w:ascii="Arial" w:hAnsi="Arial" w:eastAsia="宋体" w:cs="Arial"/>
          <w:sz w:val="20"/>
          <w:szCs w:val="20"/>
          <w:lang w:eastAsia="zh-CN"/>
        </w:rPr>
      </w:pPr>
    </w:p>
    <w:p w14:paraId="5D019016">
      <w:pPr>
        <w:snapToGrid w:val="0"/>
        <w:spacing w:line="300" w:lineRule="auto"/>
        <w:jc w:val="both"/>
        <w:rPr>
          <w:rFonts w:ascii="Arial" w:hAnsi="Arial" w:eastAsia="宋体" w:cs="Arial"/>
          <w:sz w:val="20"/>
          <w:szCs w:val="20"/>
          <w:lang w:eastAsia="zh-CN"/>
        </w:rPr>
      </w:pPr>
    </w:p>
    <w:p w14:paraId="693A8F36">
      <w:pPr>
        <w:snapToGrid w:val="0"/>
        <w:spacing w:line="300" w:lineRule="auto"/>
        <w:jc w:val="both"/>
        <w:rPr>
          <w:rFonts w:ascii="Arial" w:hAnsi="Arial" w:eastAsia="宋体" w:cs="Arial"/>
          <w:sz w:val="20"/>
          <w:szCs w:val="20"/>
          <w:lang w:eastAsia="zh-CN"/>
        </w:rPr>
      </w:pPr>
    </w:p>
    <w:p w14:paraId="3597F936">
      <w:pPr>
        <w:snapToGrid w:val="0"/>
        <w:spacing w:line="300" w:lineRule="auto"/>
        <w:jc w:val="both"/>
        <w:rPr>
          <w:rFonts w:ascii="Arial" w:hAnsi="Arial" w:eastAsia="宋体" w:cs="Arial"/>
          <w:sz w:val="20"/>
          <w:szCs w:val="20"/>
          <w:lang w:eastAsia="zh-CN"/>
        </w:rPr>
      </w:pPr>
    </w:p>
    <w:p w14:paraId="06859123">
      <w:pPr>
        <w:snapToGrid w:val="0"/>
        <w:spacing w:line="300" w:lineRule="auto"/>
        <w:jc w:val="both"/>
        <w:rPr>
          <w:rFonts w:ascii="Arial" w:hAnsi="Arial" w:eastAsia="宋体" w:cs="Arial"/>
          <w:sz w:val="20"/>
          <w:szCs w:val="20"/>
          <w:lang w:eastAsia="zh-CN"/>
        </w:rPr>
      </w:pPr>
    </w:p>
    <w:p w14:paraId="32548BE6">
      <w:pPr>
        <w:snapToGrid w:val="0"/>
        <w:spacing w:line="300" w:lineRule="auto"/>
        <w:jc w:val="both"/>
        <w:rPr>
          <w:rFonts w:ascii="Arial" w:hAnsi="Arial" w:eastAsia="宋体" w:cs="Arial"/>
          <w:sz w:val="20"/>
          <w:szCs w:val="20"/>
          <w:lang w:eastAsia="zh-CN"/>
        </w:rPr>
      </w:pPr>
    </w:p>
    <w:p w14:paraId="64AE3628">
      <w:pPr>
        <w:snapToGrid w:val="0"/>
        <w:spacing w:line="300" w:lineRule="auto"/>
        <w:jc w:val="both"/>
        <w:rPr>
          <w:rFonts w:ascii="Arial" w:hAnsi="Arial" w:eastAsia="宋体" w:cs="Arial"/>
          <w:sz w:val="20"/>
          <w:szCs w:val="20"/>
          <w:lang w:eastAsia="zh-CN"/>
        </w:rPr>
      </w:pPr>
    </w:p>
    <w:p w14:paraId="615C3F10">
      <w:pPr>
        <w:snapToGrid w:val="0"/>
        <w:spacing w:line="300" w:lineRule="auto"/>
        <w:jc w:val="both"/>
        <w:rPr>
          <w:rFonts w:ascii="Arial" w:hAnsi="Arial" w:eastAsia="宋体" w:cs="Arial"/>
          <w:sz w:val="20"/>
          <w:szCs w:val="20"/>
          <w:lang w:eastAsia="zh-CN"/>
        </w:rPr>
      </w:pPr>
    </w:p>
    <w:p w14:paraId="5F880386">
      <w:pPr>
        <w:snapToGrid w:val="0"/>
        <w:spacing w:line="300" w:lineRule="auto"/>
        <w:jc w:val="both"/>
        <w:rPr>
          <w:rFonts w:ascii="Arial" w:hAnsi="Arial" w:eastAsia="宋体" w:cs="Arial"/>
          <w:sz w:val="20"/>
          <w:szCs w:val="20"/>
          <w:lang w:eastAsia="zh-CN"/>
        </w:rPr>
      </w:pPr>
    </w:p>
    <w:p w14:paraId="7D5364F3">
      <w:pPr>
        <w:snapToGrid w:val="0"/>
        <w:spacing w:line="300" w:lineRule="auto"/>
        <w:jc w:val="both"/>
        <w:rPr>
          <w:rFonts w:ascii="Arial" w:hAnsi="Arial" w:eastAsia="宋体" w:cs="Arial"/>
          <w:sz w:val="20"/>
          <w:szCs w:val="20"/>
          <w:lang w:eastAsia="zh-CN"/>
        </w:rPr>
      </w:pPr>
    </w:p>
    <w:p w14:paraId="46B5933E">
      <w:pPr>
        <w:snapToGrid w:val="0"/>
        <w:spacing w:line="300" w:lineRule="auto"/>
        <w:jc w:val="both"/>
        <w:rPr>
          <w:rFonts w:ascii="Arial" w:hAnsi="Arial" w:eastAsia="宋体" w:cs="Arial"/>
          <w:sz w:val="20"/>
          <w:szCs w:val="20"/>
          <w:lang w:eastAsia="zh-CN"/>
        </w:rPr>
      </w:pPr>
    </w:p>
    <w:p w14:paraId="1841FC32">
      <w:pPr>
        <w:snapToGrid w:val="0"/>
        <w:spacing w:line="300" w:lineRule="auto"/>
        <w:jc w:val="both"/>
        <w:rPr>
          <w:rFonts w:ascii="Arial" w:hAnsi="Arial" w:eastAsia="宋体" w:cs="Arial"/>
          <w:sz w:val="20"/>
          <w:szCs w:val="20"/>
          <w:lang w:eastAsia="zh-CN"/>
        </w:rPr>
      </w:pPr>
    </w:p>
    <w:p w14:paraId="1E576430">
      <w:pPr>
        <w:snapToGrid w:val="0"/>
        <w:spacing w:line="300" w:lineRule="auto"/>
        <w:jc w:val="both"/>
        <w:rPr>
          <w:rFonts w:ascii="Arial" w:hAnsi="Arial" w:eastAsia="宋体" w:cs="Arial"/>
          <w:sz w:val="20"/>
          <w:szCs w:val="20"/>
          <w:lang w:eastAsia="zh-CN"/>
        </w:rPr>
      </w:pPr>
    </w:p>
    <w:p w14:paraId="77925156">
      <w:pPr>
        <w:snapToGrid w:val="0"/>
        <w:spacing w:line="300" w:lineRule="auto"/>
        <w:jc w:val="both"/>
        <w:rPr>
          <w:rFonts w:ascii="Arial" w:hAnsi="Arial" w:eastAsia="宋体" w:cs="Arial"/>
          <w:sz w:val="20"/>
          <w:szCs w:val="20"/>
          <w:lang w:eastAsia="zh-CN"/>
        </w:rPr>
      </w:pPr>
    </w:p>
    <w:p w14:paraId="2F9E6DE4">
      <w:pPr>
        <w:snapToGrid w:val="0"/>
        <w:spacing w:line="300" w:lineRule="auto"/>
        <w:jc w:val="both"/>
        <w:rPr>
          <w:rFonts w:ascii="Arial" w:hAnsi="Arial" w:eastAsia="宋体" w:cs="Arial"/>
          <w:sz w:val="20"/>
          <w:szCs w:val="20"/>
          <w:lang w:eastAsia="zh-CN"/>
        </w:rPr>
      </w:pPr>
    </w:p>
    <w:p w14:paraId="21123A5E">
      <w:pPr>
        <w:snapToGrid w:val="0"/>
        <w:spacing w:line="300" w:lineRule="auto"/>
        <w:jc w:val="both"/>
        <w:rPr>
          <w:rFonts w:ascii="Arial" w:hAnsi="Arial" w:eastAsia="宋体" w:cs="Arial"/>
          <w:sz w:val="20"/>
          <w:szCs w:val="20"/>
          <w:lang w:eastAsia="zh-CN"/>
        </w:rPr>
      </w:pPr>
    </w:p>
    <w:p w14:paraId="718F0CAC">
      <w:pPr>
        <w:snapToGrid w:val="0"/>
        <w:spacing w:line="300" w:lineRule="auto"/>
        <w:jc w:val="both"/>
        <w:rPr>
          <w:rFonts w:ascii="Arial" w:hAnsi="Arial" w:eastAsia="宋体" w:cs="Arial"/>
          <w:sz w:val="20"/>
          <w:szCs w:val="20"/>
          <w:lang w:eastAsia="zh-CN"/>
        </w:rPr>
      </w:pPr>
    </w:p>
    <w:p w14:paraId="73EF40E1">
      <w:pPr>
        <w:snapToGrid w:val="0"/>
        <w:spacing w:line="300" w:lineRule="auto"/>
        <w:jc w:val="both"/>
        <w:rPr>
          <w:rFonts w:ascii="Arial" w:hAnsi="Arial" w:eastAsia="宋体" w:cs="Arial"/>
          <w:sz w:val="20"/>
          <w:szCs w:val="20"/>
          <w:lang w:eastAsia="zh-CN"/>
        </w:rPr>
      </w:pPr>
    </w:p>
    <w:p w14:paraId="4BC81187">
      <w:pPr>
        <w:snapToGrid w:val="0"/>
        <w:spacing w:before="11" w:line="300" w:lineRule="auto"/>
        <w:jc w:val="both"/>
        <w:rPr>
          <w:rFonts w:ascii="Arial" w:hAnsi="Arial" w:eastAsia="宋体" w:cs="Arial"/>
          <w:sz w:val="19"/>
          <w:szCs w:val="19"/>
          <w:lang w:eastAsia="zh-CN"/>
        </w:rPr>
      </w:pPr>
    </w:p>
    <w:p w14:paraId="67961B32">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 name="Group 3"/>
                        <wpg:cNvGrpSpPr/>
                        <wpg:grpSpPr>
                          <a:xfrm>
                            <a:off x="6" y="6"/>
                            <a:ext cx="2880" cy="2"/>
                            <a:chOff x="6" y="6"/>
                            <a:chExt cx="2880" cy="2"/>
                          </a:xfrm>
                        </wpg:grpSpPr>
                        <wps:wsp>
                          <wps:cNvPr id="5"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A/oSF1AAAAAMBAAAPAAAAAAAAAAEAIAAAACIAAABkcnMvZG93bnJldi54bWxQ&#10;SwECFAAUAAAACACHTuJAdEdKWBgDAAD4BwAADgAAAAAAAAABACAAAAAjAQAAZHJzL2Uyb0RvYy54&#10;bWxQSwUGAAAAAAYABgBZAQAArQYAAAAA&#10;">
                <o:lock v:ext="edit" aspectratio="f"/>
                <v:group id="Group 3" o:spid="_x0000_s1026" o:spt="203" style="position:absolute;left:6;top:6;height:2;width:2880;" coordorigin="6,6" coordsize="28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 o:spid="_x0000_s1026" o:spt="100" style="position:absolute;left:6;top:6;height:2;width:2880;" filled="f" stroked="t" coordsize="2880,1" o:gfxdata="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BgHe8AAAA&#10;2g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78F075A">
      <w:pPr>
        <w:snapToGrid w:val="0"/>
        <w:spacing w:line="300" w:lineRule="auto"/>
        <w:jc w:val="both"/>
        <w:rPr>
          <w:rFonts w:ascii="Arial" w:hAnsi="Arial" w:eastAsia="宋体" w:cs="Arial"/>
          <w:sz w:val="2"/>
          <w:szCs w:val="2"/>
        </w:rPr>
        <w:sectPr>
          <w:pgSz w:w="12260" w:h="15840"/>
          <w:pgMar w:top="1134" w:right="1134" w:bottom="1134" w:left="1134" w:header="748" w:footer="773" w:gutter="0"/>
          <w:cols w:space="720" w:num="1"/>
          <w:docGrid w:linePitch="299" w:charSpace="0"/>
        </w:sectPr>
      </w:pPr>
    </w:p>
    <w:p w14:paraId="140CFBBF">
      <w:pPr>
        <w:pStyle w:val="2"/>
        <w:tabs>
          <w:tab w:val="left" w:pos="2279"/>
        </w:tabs>
        <w:snapToGrid w:val="0"/>
        <w:spacing w:before="230" w:line="300" w:lineRule="auto"/>
        <w:ind w:left="0" w:firstLine="0"/>
        <w:jc w:val="both"/>
        <w:rPr>
          <w:rFonts w:ascii="Arial" w:hAnsi="Arial" w:eastAsia="宋体" w:cs="Arial"/>
          <w:b w:val="0"/>
          <w:bCs w:val="0"/>
          <w:lang w:eastAsia="zh-CN"/>
        </w:rPr>
      </w:pPr>
      <w:bookmarkStart w:id="58" w:name="Additional_Resources"/>
      <w:bookmarkEnd w:id="58"/>
      <w:bookmarkStart w:id="59" w:name="_Toc481592036"/>
      <w:r>
        <w:rPr>
          <w:rFonts w:ascii="Arial" w:hAnsi="Arial" w:eastAsia="宋体" w:cs="Arial"/>
          <w:lang w:eastAsia="zh-CN"/>
        </w:rPr>
        <w:t>附录G 其他资源</w:t>
      </w:r>
      <w:bookmarkEnd w:id="59"/>
    </w:p>
    <w:p w14:paraId="7A0005B3">
      <w:pPr>
        <w:pStyle w:val="6"/>
        <w:tabs>
          <w:tab w:val="left" w:pos="1019"/>
        </w:tabs>
        <w:snapToGrid w:val="0"/>
        <w:spacing w:line="300" w:lineRule="auto"/>
        <w:ind w:left="0" w:firstLine="0"/>
        <w:jc w:val="both"/>
        <w:rPr>
          <w:rFonts w:ascii="Arial" w:hAnsi="Arial" w:eastAsia="宋体" w:cs="Arial"/>
          <w:spacing w:val="-1"/>
          <w:lang w:eastAsia="zh-CN"/>
        </w:rPr>
      </w:pPr>
    </w:p>
    <w:p w14:paraId="4DC5251C">
      <w:pPr>
        <w:pStyle w:val="6"/>
        <w:tabs>
          <w:tab w:val="left" w:pos="1019"/>
        </w:tabs>
        <w:snapToGrid w:val="0"/>
        <w:spacing w:line="300" w:lineRule="auto"/>
        <w:ind w:left="0" w:firstLine="0"/>
        <w:jc w:val="both"/>
        <w:rPr>
          <w:rFonts w:ascii="Arial" w:hAnsi="Arial" w:eastAsia="宋体" w:cs="Arial"/>
          <w:spacing w:val="-1"/>
          <w:lang w:eastAsia="zh-CN"/>
        </w:rPr>
      </w:pPr>
      <w:r>
        <w:rPr>
          <w:rFonts w:ascii="Arial" w:hAnsi="Arial" w:eastAsia="宋体" w:cs="Arial"/>
          <w:spacing w:val="-1"/>
          <w:lang w:eastAsia="zh-CN"/>
        </w:rPr>
        <w:t>AAMI =医疗器械促进协会</w:t>
      </w:r>
    </w:p>
    <w:p w14:paraId="0763BAB8">
      <w:pPr>
        <w:pStyle w:val="6"/>
        <w:tabs>
          <w:tab w:val="left" w:pos="1019"/>
        </w:tabs>
        <w:snapToGrid w:val="0"/>
        <w:spacing w:line="300" w:lineRule="auto"/>
        <w:ind w:left="0" w:firstLine="0"/>
        <w:jc w:val="both"/>
        <w:rPr>
          <w:rFonts w:ascii="Arial" w:hAnsi="Arial" w:eastAsia="宋体" w:cs="Arial"/>
          <w:spacing w:val="-1"/>
          <w:lang w:eastAsia="zh-CN"/>
        </w:rPr>
      </w:pPr>
      <w:r>
        <w:rPr>
          <w:rFonts w:ascii="Arial" w:hAnsi="Arial" w:eastAsia="宋体" w:cs="Arial"/>
          <w:spacing w:val="-1"/>
          <w:lang w:eastAsia="zh-CN"/>
        </w:rPr>
        <w:t>ANSI =美国国家标准学会</w:t>
      </w:r>
    </w:p>
    <w:p w14:paraId="648E557F">
      <w:pPr>
        <w:pStyle w:val="6"/>
        <w:tabs>
          <w:tab w:val="left" w:pos="1019"/>
        </w:tabs>
        <w:snapToGrid w:val="0"/>
        <w:spacing w:line="300" w:lineRule="auto"/>
        <w:ind w:left="0" w:firstLine="0"/>
        <w:jc w:val="both"/>
        <w:rPr>
          <w:rFonts w:ascii="Arial" w:hAnsi="Arial" w:eastAsia="宋体" w:cs="Arial"/>
          <w:spacing w:val="-1"/>
          <w:lang w:eastAsia="zh-CN"/>
        </w:rPr>
      </w:pPr>
      <w:r>
        <w:rPr>
          <w:rFonts w:ascii="Arial" w:hAnsi="Arial" w:eastAsia="宋体" w:cs="Arial"/>
          <w:spacing w:val="-1"/>
          <w:lang w:eastAsia="zh-CN"/>
        </w:rPr>
        <w:t>IEC =国际电工委员会</w:t>
      </w:r>
    </w:p>
    <w:p w14:paraId="6A8609B1">
      <w:pPr>
        <w:pStyle w:val="6"/>
        <w:tabs>
          <w:tab w:val="left" w:pos="1019"/>
        </w:tabs>
        <w:snapToGrid w:val="0"/>
        <w:spacing w:line="300" w:lineRule="auto"/>
        <w:ind w:left="0" w:firstLine="0"/>
        <w:jc w:val="both"/>
        <w:rPr>
          <w:rFonts w:ascii="Arial" w:hAnsi="Arial" w:eastAsia="宋体" w:cs="Arial"/>
          <w:spacing w:val="-1"/>
          <w:lang w:eastAsia="zh-CN"/>
        </w:rPr>
      </w:pPr>
      <w:r>
        <w:rPr>
          <w:rFonts w:ascii="Arial" w:hAnsi="Arial" w:eastAsia="宋体" w:cs="Arial"/>
          <w:spacing w:val="-1"/>
          <w:lang w:eastAsia="zh-CN"/>
        </w:rPr>
        <w:t>IEEE =电气与电子工程师学会</w:t>
      </w:r>
    </w:p>
    <w:p w14:paraId="1581FB65">
      <w:pPr>
        <w:pStyle w:val="6"/>
        <w:tabs>
          <w:tab w:val="left" w:pos="1019"/>
        </w:tabs>
        <w:snapToGrid w:val="0"/>
        <w:spacing w:line="300" w:lineRule="auto"/>
        <w:ind w:left="0" w:firstLine="0"/>
        <w:jc w:val="both"/>
        <w:rPr>
          <w:rFonts w:ascii="Arial" w:hAnsi="Arial" w:eastAsia="宋体" w:cs="Arial"/>
          <w:spacing w:val="-1"/>
        </w:rPr>
      </w:pPr>
      <w:r>
        <w:rPr>
          <w:rFonts w:ascii="Arial" w:hAnsi="Arial" w:eastAsia="宋体" w:cs="Arial"/>
          <w:spacing w:val="-1"/>
        </w:rPr>
        <w:t>ISO =国际标准化组织</w:t>
      </w:r>
    </w:p>
    <w:p w14:paraId="4C1C305C">
      <w:pPr>
        <w:pStyle w:val="6"/>
        <w:tabs>
          <w:tab w:val="left" w:pos="1019"/>
        </w:tabs>
        <w:snapToGrid w:val="0"/>
        <w:spacing w:line="300" w:lineRule="auto"/>
        <w:ind w:left="0" w:firstLine="0"/>
        <w:jc w:val="both"/>
        <w:rPr>
          <w:rFonts w:ascii="Arial" w:hAnsi="Arial" w:eastAsia="宋体" w:cs="Arial"/>
          <w:spacing w:val="-1"/>
        </w:rPr>
      </w:pPr>
    </w:p>
    <w:p w14:paraId="6690F6B1">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行业和FDA员工指南-2007年食品药品监督管理局修订法案制定的医疗器械登记和器械清单要求的实施。</w:t>
      </w:r>
      <w:r>
        <w:rPr>
          <w:rFonts w:ascii="Arial" w:hAnsi="Arial" w:eastAsia="宋体" w:cs="Arial"/>
          <w:spacing w:val="-1"/>
          <w:sz w:val="24"/>
          <w:lang w:eastAsia="zh-CN"/>
        </w:rPr>
        <w:t>(</w:t>
      </w:r>
      <w:r>
        <w:fldChar w:fldCharType="begin"/>
      </w:r>
      <w:r>
        <w:instrText xml:space="preserve"> HYPERLINK "http://www.fda.gov/MedicalDevices/DeviceRegulationandGuidance/GuidanceDocuments/ucm185871.htm" \h </w:instrText>
      </w:r>
      <w:r>
        <w:fldChar w:fldCharType="separate"/>
      </w:r>
      <w:r>
        <w:rPr>
          <w:rFonts w:ascii="Arial" w:hAnsi="Arial" w:eastAsia="宋体" w:cs="Arial"/>
          <w:color w:val="0000FF"/>
          <w:spacing w:val="-1"/>
          <w:sz w:val="24"/>
          <w:u w:val="single" w:color="0000FF"/>
          <w:lang w:eastAsia="zh-CN"/>
        </w:rPr>
        <w:t xml:space="preserve">http://www.fda.gov/MedicalDevices/DeviceRegulationandGuidance/GuidanceDocuments/u </w:t>
      </w:r>
      <w:r>
        <w:rPr>
          <w:rFonts w:ascii="Arial" w:hAnsi="Arial" w:eastAsia="宋体" w:cs="Arial"/>
          <w:color w:val="0000FF"/>
          <w:spacing w:val="-1"/>
          <w:sz w:val="24"/>
          <w:u w:val="single" w:color="0000FF"/>
          <w:lang w:eastAsia="zh-CN"/>
        </w:rPr>
        <w:fldChar w:fldCharType="end"/>
      </w:r>
      <w:r>
        <w:fldChar w:fldCharType="begin"/>
      </w:r>
      <w:r>
        <w:instrText xml:space="preserve"> HYPERLINK "http://www.fda.gov/MedicalDevices/DeviceRegulationandGuidance/GuidanceDocuments/ucm185871.htm" \h </w:instrText>
      </w:r>
      <w:r>
        <w:fldChar w:fldCharType="separate"/>
      </w:r>
      <w:r>
        <w:rPr>
          <w:rFonts w:ascii="Arial" w:hAnsi="Arial" w:eastAsia="宋体" w:cs="Arial"/>
          <w:color w:val="0000FF"/>
          <w:sz w:val="24"/>
          <w:u w:val="single" w:color="0000FF"/>
          <w:lang w:eastAsia="zh-CN"/>
        </w:rPr>
        <w:t>cm185871.htm</w:t>
      </w:r>
      <w:r>
        <w:rPr>
          <w:rFonts w:ascii="Arial" w:hAnsi="Arial" w:eastAsia="宋体" w:cs="Arial"/>
          <w:sz w:val="24"/>
          <w:lang w:eastAsia="zh-CN"/>
        </w:rPr>
        <w:t>)</w:t>
      </w:r>
      <w:r>
        <w:rPr>
          <w:rFonts w:ascii="Arial" w:hAnsi="Arial" w:eastAsia="宋体" w:cs="Arial"/>
          <w:sz w:val="24"/>
          <w:lang w:eastAsia="zh-CN"/>
        </w:rPr>
        <w:fldChar w:fldCharType="end"/>
      </w:r>
      <w:r>
        <w:rPr>
          <w:rFonts w:ascii="Arial" w:hAnsi="Arial" w:eastAsia="宋体" w:cs="Arial"/>
          <w:sz w:val="24"/>
          <w:szCs w:val="24"/>
          <w:lang w:eastAsia="zh-CN"/>
        </w:rPr>
        <w:t xml:space="preserve"> </w:t>
      </w:r>
    </w:p>
    <w:p w14:paraId="41ED36EC">
      <w:pPr>
        <w:pStyle w:val="19"/>
        <w:numPr>
          <w:ilvl w:val="0"/>
          <w:numId w:val="18"/>
        </w:numPr>
        <w:snapToGrid w:val="0"/>
        <w:spacing w:after="120" w:afterLines="50" w:line="300" w:lineRule="auto"/>
        <w:ind w:left="425" w:hanging="417" w:hangingChars="180"/>
        <w:jc w:val="both"/>
        <w:rPr>
          <w:rFonts w:ascii="Arial" w:hAnsi="Arial" w:eastAsia="宋体" w:cs="Arial"/>
          <w:spacing w:val="-4"/>
          <w:sz w:val="24"/>
          <w:szCs w:val="24"/>
          <w:lang w:eastAsia="zh-CN"/>
        </w:rPr>
      </w:pPr>
      <w:r>
        <w:rPr>
          <w:rFonts w:ascii="Arial" w:hAnsi="Arial" w:eastAsia="宋体" w:cs="Arial"/>
          <w:spacing w:val="-4"/>
          <w:sz w:val="24"/>
          <w:szCs w:val="24"/>
          <w:lang w:eastAsia="zh-CN"/>
        </w:rPr>
        <w:t>ISO/IEC 90003：2004，</w:t>
      </w:r>
      <w:r>
        <w:rPr>
          <w:rFonts w:ascii="Arial" w:hAnsi="Arial" w:eastAsia="宋体" w:cs="Arial"/>
          <w:i/>
          <w:spacing w:val="-4"/>
          <w:sz w:val="24"/>
          <w:szCs w:val="24"/>
          <w:lang w:eastAsia="zh-CN"/>
        </w:rPr>
        <w:t>软件工程–将ISO 9001：2000应用于计算机软件的指南，</w:t>
      </w:r>
      <w:r>
        <w:rPr>
          <w:rFonts w:ascii="Arial" w:hAnsi="Arial" w:eastAsia="宋体" w:cs="Arial"/>
          <w:spacing w:val="-4"/>
          <w:sz w:val="24"/>
          <w:szCs w:val="24"/>
          <w:lang w:eastAsia="zh-CN"/>
        </w:rPr>
        <w:t>2004年。</w:t>
      </w:r>
    </w:p>
    <w:p w14:paraId="5D5342A2">
      <w:pPr>
        <w:pStyle w:val="19"/>
        <w:numPr>
          <w:ilvl w:val="0"/>
          <w:numId w:val="18"/>
        </w:numPr>
        <w:snapToGrid w:val="0"/>
        <w:spacing w:after="120" w:afterLines="50" w:line="300" w:lineRule="auto"/>
        <w:ind w:left="432" w:hanging="432" w:hangingChars="180"/>
        <w:jc w:val="both"/>
        <w:rPr>
          <w:rFonts w:ascii="Arial" w:hAnsi="Arial" w:eastAsia="宋体" w:cs="Arial"/>
          <w:sz w:val="24"/>
          <w:szCs w:val="24"/>
        </w:rPr>
      </w:pPr>
      <w:r>
        <w:rPr>
          <w:rFonts w:ascii="Arial" w:hAnsi="Arial" w:eastAsia="宋体" w:cs="Arial"/>
          <w:sz w:val="24"/>
          <w:szCs w:val="24"/>
        </w:rPr>
        <w:t>ISO 9001：</w:t>
      </w:r>
      <w:r>
        <w:rPr>
          <w:rFonts w:ascii="Arial" w:hAnsi="Arial" w:eastAsia="宋体" w:cs="Arial"/>
          <w:i/>
          <w:sz w:val="24"/>
          <w:szCs w:val="24"/>
        </w:rPr>
        <w:t>2008质量管理体系</w:t>
      </w:r>
      <w:r>
        <w:rPr>
          <w:rFonts w:ascii="Arial" w:hAnsi="Arial" w:eastAsia="宋体" w:cs="Arial"/>
          <w:i/>
          <w:sz w:val="24"/>
          <w:szCs w:val="24"/>
          <w:lang w:eastAsia="zh-CN"/>
        </w:rPr>
        <w:t>-</w:t>
      </w:r>
      <w:r>
        <w:rPr>
          <w:rFonts w:ascii="Arial" w:hAnsi="Arial" w:eastAsia="宋体" w:cs="Arial"/>
          <w:i/>
          <w:sz w:val="24"/>
          <w:szCs w:val="24"/>
        </w:rPr>
        <w:t>要求，</w:t>
      </w:r>
      <w:r>
        <w:rPr>
          <w:rFonts w:ascii="Arial" w:hAnsi="Arial" w:eastAsia="宋体" w:cs="Arial"/>
          <w:sz w:val="24"/>
          <w:szCs w:val="24"/>
        </w:rPr>
        <w:t>2008年。</w:t>
      </w:r>
    </w:p>
    <w:p w14:paraId="6A97FE2D">
      <w:pPr>
        <w:pStyle w:val="19"/>
        <w:numPr>
          <w:ilvl w:val="0"/>
          <w:numId w:val="18"/>
        </w:numPr>
        <w:snapToGrid w:val="0"/>
        <w:spacing w:after="120" w:afterLines="50" w:line="300" w:lineRule="auto"/>
        <w:ind w:left="432" w:hanging="432" w:hangingChars="180"/>
        <w:jc w:val="both"/>
        <w:rPr>
          <w:rFonts w:ascii="Arial" w:hAnsi="Arial" w:eastAsia="宋体" w:cs="Arial"/>
          <w:sz w:val="24"/>
          <w:szCs w:val="24"/>
          <w:lang w:eastAsia="zh-CN"/>
        </w:rPr>
      </w:pPr>
      <w:r>
        <w:rPr>
          <w:rFonts w:ascii="Arial" w:hAnsi="Arial" w:eastAsia="宋体" w:cs="Arial"/>
          <w:sz w:val="24"/>
          <w:szCs w:val="24"/>
          <w:lang w:eastAsia="zh-CN"/>
        </w:rPr>
        <w:t>ISO 13485：2003，</w:t>
      </w:r>
      <w:r>
        <w:rPr>
          <w:rFonts w:ascii="Arial" w:hAnsi="Arial" w:eastAsia="宋体" w:cs="Arial"/>
          <w:i/>
          <w:sz w:val="24"/>
          <w:szCs w:val="24"/>
          <w:lang w:eastAsia="zh-CN"/>
        </w:rPr>
        <w:t>医疗器械-质量管理体系 -监管要求，</w:t>
      </w:r>
      <w:r>
        <w:rPr>
          <w:rFonts w:ascii="Arial" w:hAnsi="Arial" w:eastAsia="宋体" w:cs="Arial"/>
          <w:sz w:val="24"/>
          <w:szCs w:val="24"/>
          <w:lang w:eastAsia="zh-CN"/>
        </w:rPr>
        <w:t>2003年。请注意：其已被美国采用，作为ANSI/AAMI/ISO 13485：2003年，</w:t>
      </w:r>
      <w:r>
        <w:rPr>
          <w:rFonts w:ascii="Arial" w:hAnsi="Arial" w:eastAsia="宋体" w:cs="Arial"/>
          <w:i/>
          <w:sz w:val="24"/>
          <w:szCs w:val="24"/>
          <w:lang w:eastAsia="zh-CN"/>
        </w:rPr>
        <w:t>医疗器械-质量管理体系-监管要求，</w:t>
      </w:r>
      <w:r>
        <w:rPr>
          <w:rFonts w:ascii="Arial" w:hAnsi="Arial" w:eastAsia="宋体" w:cs="Arial"/>
          <w:sz w:val="24"/>
          <w:szCs w:val="24"/>
          <w:lang w:eastAsia="zh-CN"/>
        </w:rPr>
        <w:t>2003年（一致采用）。</w:t>
      </w:r>
    </w:p>
    <w:p w14:paraId="65C9B6C9">
      <w:pPr>
        <w:pStyle w:val="19"/>
        <w:numPr>
          <w:ilvl w:val="0"/>
          <w:numId w:val="18"/>
        </w:numPr>
        <w:snapToGrid w:val="0"/>
        <w:spacing w:after="120" w:afterLines="50" w:line="300" w:lineRule="auto"/>
        <w:ind w:left="432" w:hanging="432" w:hangingChars="180"/>
        <w:jc w:val="both"/>
        <w:rPr>
          <w:rFonts w:ascii="Arial" w:hAnsi="Arial" w:eastAsia="宋体" w:cs="Arial"/>
          <w:sz w:val="24"/>
          <w:szCs w:val="24"/>
          <w:lang w:eastAsia="zh-CN"/>
        </w:rPr>
      </w:pPr>
      <w:r>
        <w:rPr>
          <w:rFonts w:ascii="Arial" w:hAnsi="Arial" w:eastAsia="宋体" w:cs="Arial"/>
          <w:sz w:val="24"/>
          <w:szCs w:val="24"/>
          <w:lang w:eastAsia="zh-CN"/>
        </w:rPr>
        <w:t>ISO 9000：</w:t>
      </w:r>
      <w:r>
        <w:rPr>
          <w:rFonts w:ascii="Arial" w:hAnsi="Arial" w:eastAsia="宋体" w:cs="Arial"/>
          <w:i/>
          <w:sz w:val="24"/>
          <w:szCs w:val="24"/>
          <w:lang w:eastAsia="zh-CN"/>
        </w:rPr>
        <w:t>2005质量管理体系–基本原理和术语，</w:t>
      </w:r>
      <w:r>
        <w:rPr>
          <w:rFonts w:ascii="Arial" w:hAnsi="Arial" w:eastAsia="宋体" w:cs="Arial"/>
          <w:sz w:val="24"/>
          <w:szCs w:val="24"/>
          <w:lang w:eastAsia="zh-CN"/>
        </w:rPr>
        <w:t>2005年。</w:t>
      </w:r>
    </w:p>
    <w:p w14:paraId="79728C4C">
      <w:pPr>
        <w:pStyle w:val="19"/>
        <w:numPr>
          <w:ilvl w:val="0"/>
          <w:numId w:val="18"/>
        </w:numPr>
        <w:snapToGrid w:val="0"/>
        <w:spacing w:after="120" w:afterLines="50" w:line="300" w:lineRule="auto"/>
        <w:ind w:left="432" w:hanging="432" w:hangingChars="180"/>
        <w:jc w:val="both"/>
        <w:rPr>
          <w:rFonts w:ascii="Arial" w:hAnsi="Arial" w:eastAsia="宋体" w:cs="Arial"/>
          <w:sz w:val="24"/>
          <w:szCs w:val="24"/>
          <w:lang w:eastAsia="zh-CN"/>
        </w:rPr>
      </w:pPr>
      <w:r>
        <w:rPr>
          <w:rFonts w:ascii="Arial" w:hAnsi="Arial" w:eastAsia="宋体" w:cs="Arial"/>
          <w:sz w:val="24"/>
          <w:szCs w:val="24"/>
          <w:lang w:eastAsia="zh-CN"/>
        </w:rPr>
        <w:t>ISO 14971：2007，医疗器械-风险管理-第1部分：风险分析应用，2007年。请注意：其已被美国采用，作为ANSI/AAMI/ISO 14971：2007，</w:t>
      </w:r>
      <w:r>
        <w:rPr>
          <w:rFonts w:ascii="Arial" w:hAnsi="Arial" w:eastAsia="宋体" w:cs="Arial"/>
          <w:i/>
          <w:sz w:val="24"/>
          <w:szCs w:val="24"/>
          <w:lang w:eastAsia="zh-CN"/>
        </w:rPr>
        <w:t>医疗器械–将风险管理应用于医疗器械，</w:t>
      </w:r>
      <w:r>
        <w:rPr>
          <w:rFonts w:ascii="Arial" w:hAnsi="Arial" w:eastAsia="宋体" w:cs="Arial"/>
          <w:sz w:val="24"/>
          <w:szCs w:val="24"/>
          <w:lang w:eastAsia="zh-CN"/>
        </w:rPr>
        <w:t>2007年（一致采用）。</w:t>
      </w:r>
    </w:p>
    <w:p w14:paraId="3792AD88">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行业指南-包含现货（OTS）软件的网络医疗器械的网络安全（</w:t>
      </w:r>
      <w:r>
        <w:rPr>
          <w:rFonts w:ascii="Arial" w:hAnsi="Arial" w:eastAsia="宋体" w:cs="Arial"/>
          <w:color w:val="0000FF"/>
          <w:sz w:val="24"/>
          <w:szCs w:val="24"/>
          <w:u w:val="single"/>
          <w:lang w:eastAsia="zh-CN"/>
        </w:rPr>
        <w:t>http://www.fda.gov/MedicalDevices/DeviceRegulationandGuidance/GuidanceDocuments/u cm077812.htm</w:t>
      </w:r>
      <w:r>
        <w:rPr>
          <w:rFonts w:ascii="Arial" w:hAnsi="Arial" w:eastAsia="宋体" w:cs="Arial"/>
          <w:sz w:val="24"/>
          <w:szCs w:val="24"/>
          <w:lang w:eastAsia="zh-CN"/>
        </w:rPr>
        <w:t>）。</w:t>
      </w:r>
    </w:p>
    <w:p w14:paraId="288162DF">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关于FDA的行业指南的医疗机构信息：包含现货（OTS）软件的网络医疗器械的网络安全”的信息-</w:t>
      </w:r>
      <w:r>
        <w:fldChar w:fldCharType="begin"/>
      </w:r>
      <w:r>
        <w:instrText xml:space="preserve"> HYPERLINK "http://www.fda.gov/MedicalDevices/DeviceRegulationandGuidance/GuidanceDocuments/ucm070634.htm" \h </w:instrText>
      </w:r>
      <w:r>
        <w:fldChar w:fldCharType="separate"/>
      </w:r>
      <w:r>
        <w:rPr>
          <w:rFonts w:ascii="Arial" w:hAnsi="Arial" w:eastAsia="宋体" w:cs="Arial"/>
          <w:color w:val="0000FF"/>
          <w:sz w:val="24"/>
          <w:u w:val="single" w:color="0000FF"/>
          <w:lang w:eastAsia="zh-CN"/>
        </w:rPr>
        <w:t>http://www.fda.gov/MedicalDevices/DeviceRegulationandGuidance/GuidanceDocuments/uc</w:t>
      </w:r>
      <w:r>
        <w:rPr>
          <w:rFonts w:ascii="Arial" w:hAnsi="Arial" w:eastAsia="宋体" w:cs="Arial"/>
          <w:color w:val="0000FF"/>
          <w:sz w:val="24"/>
          <w:u w:val="single" w:color="0000FF"/>
          <w:lang w:eastAsia="zh-CN"/>
        </w:rPr>
        <w:fldChar w:fldCharType="end"/>
      </w:r>
      <w:r>
        <w:rPr>
          <w:rFonts w:ascii="Arial" w:hAnsi="Arial" w:eastAsia="宋体" w:cs="Arial"/>
          <w:color w:val="0000FF"/>
          <w:sz w:val="24"/>
          <w:lang w:eastAsia="zh-CN"/>
        </w:rPr>
        <w:t xml:space="preserve"> </w:t>
      </w:r>
      <w:r>
        <w:fldChar w:fldCharType="begin"/>
      </w:r>
      <w:r>
        <w:instrText xml:space="preserve"> HYPERLINK "http://www.fda.gov/MedicalDevices/DeviceRegulationandGuidance/GuidanceDocuments/ucm070634.htm" \h </w:instrText>
      </w:r>
      <w:r>
        <w:fldChar w:fldCharType="separate"/>
      </w:r>
      <w:r>
        <w:rPr>
          <w:rFonts w:ascii="Arial" w:hAnsi="Arial" w:eastAsia="宋体" w:cs="Arial"/>
          <w:color w:val="0000FF"/>
          <w:sz w:val="24"/>
          <w:u w:val="single" w:color="0000FF"/>
          <w:lang w:eastAsia="zh-CN"/>
        </w:rPr>
        <w:t>m070634.htm</w:t>
      </w:r>
      <w:r>
        <w:rPr>
          <w:rFonts w:ascii="Arial" w:hAnsi="Arial" w:eastAsia="宋体" w:cs="Arial"/>
          <w:color w:val="0000FF"/>
          <w:sz w:val="24"/>
          <w:u w:val="single" w:color="0000FF"/>
          <w:lang w:eastAsia="zh-CN"/>
        </w:rPr>
        <w:fldChar w:fldCharType="end"/>
      </w:r>
    </w:p>
    <w:p w14:paraId="45734C14">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IEC 62304：2006，</w:t>
      </w:r>
      <w:r>
        <w:rPr>
          <w:rFonts w:ascii="Arial" w:hAnsi="Arial" w:eastAsia="宋体" w:cs="Arial"/>
          <w:i/>
          <w:sz w:val="24"/>
          <w:szCs w:val="24"/>
          <w:lang w:eastAsia="zh-CN"/>
        </w:rPr>
        <w:t>医疗器械软件-软件生命周期流程，</w:t>
      </w:r>
      <w:r>
        <w:rPr>
          <w:rFonts w:ascii="Arial" w:hAnsi="Arial" w:eastAsia="宋体" w:cs="Arial"/>
          <w:sz w:val="24"/>
          <w:szCs w:val="24"/>
          <w:lang w:eastAsia="zh-CN"/>
        </w:rPr>
        <w:t>2006年。注：请注意：其已被美国采用，作为ANSI/AAMI/IEC 62304：2006，</w:t>
      </w:r>
      <w:r>
        <w:rPr>
          <w:rFonts w:ascii="Arial" w:hAnsi="Arial" w:eastAsia="宋体" w:cs="Arial"/>
          <w:i/>
          <w:sz w:val="24"/>
          <w:szCs w:val="24"/>
          <w:lang w:eastAsia="zh-CN"/>
        </w:rPr>
        <w:t>医疗器械软件-软件生命周期流程，</w:t>
      </w:r>
      <w:r>
        <w:rPr>
          <w:rFonts w:ascii="Arial" w:hAnsi="Arial" w:eastAsia="宋体" w:cs="Arial"/>
          <w:sz w:val="24"/>
          <w:szCs w:val="24"/>
          <w:lang w:eastAsia="zh-CN"/>
        </w:rPr>
        <w:t>2006年（一致采用）。</w:t>
      </w:r>
    </w:p>
    <w:p w14:paraId="25B3272E">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IEEE Std 1012-2004，</w:t>
      </w:r>
      <w:r>
        <w:rPr>
          <w:rFonts w:ascii="Arial" w:hAnsi="Arial" w:eastAsia="宋体" w:cs="Arial"/>
          <w:i/>
          <w:sz w:val="24"/>
          <w:szCs w:val="24"/>
          <w:lang w:eastAsia="zh-CN"/>
        </w:rPr>
        <w:t>软件验证和确认的IEEE标准，</w:t>
      </w:r>
      <w:r>
        <w:rPr>
          <w:rFonts w:ascii="Arial" w:hAnsi="Arial" w:eastAsia="宋体" w:cs="Arial"/>
          <w:sz w:val="24"/>
          <w:szCs w:val="24"/>
          <w:lang w:eastAsia="zh-CN"/>
        </w:rPr>
        <w:t>2004年。</w:t>
      </w:r>
    </w:p>
    <w:p w14:paraId="291C71A7">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IEEE 1012-2012，</w:t>
      </w:r>
      <w:r>
        <w:rPr>
          <w:rFonts w:ascii="Arial" w:hAnsi="Arial" w:eastAsia="宋体" w:cs="Arial"/>
          <w:i/>
          <w:sz w:val="24"/>
          <w:szCs w:val="24"/>
          <w:lang w:eastAsia="zh-CN"/>
        </w:rPr>
        <w:t>系统和软件验证和确认的IEEE标准，</w:t>
      </w:r>
      <w:r>
        <w:rPr>
          <w:rFonts w:ascii="Arial" w:hAnsi="Arial" w:eastAsia="宋体" w:cs="Arial"/>
          <w:sz w:val="24"/>
          <w:szCs w:val="24"/>
          <w:lang w:eastAsia="zh-CN"/>
        </w:rPr>
        <w:t>2012年。</w:t>
      </w:r>
    </w:p>
    <w:p w14:paraId="0A2D0F5D">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i/>
          <w:sz w:val="24"/>
          <w:szCs w:val="24"/>
          <w:lang w:eastAsia="zh-CN"/>
        </w:rPr>
        <w:t>IEEE 标准资源，软件工程，</w:t>
      </w:r>
      <w:r>
        <w:rPr>
          <w:rFonts w:ascii="Arial" w:hAnsi="Arial" w:eastAsia="宋体" w:cs="Arial"/>
          <w:sz w:val="24"/>
          <w:szCs w:val="24"/>
          <w:lang w:eastAsia="zh-CN"/>
        </w:rPr>
        <w:t>1994.ISBN 1-55937-442-X。</w:t>
      </w:r>
    </w:p>
    <w:p w14:paraId="79B96CEE">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ISO/IEC 25051：2006，</w:t>
      </w:r>
      <w:r>
        <w:rPr>
          <w:rFonts w:ascii="Arial" w:hAnsi="Arial" w:eastAsia="宋体" w:cs="Arial"/>
          <w:i/>
          <w:sz w:val="24"/>
          <w:szCs w:val="24"/>
          <w:lang w:eastAsia="zh-CN"/>
        </w:rPr>
        <w:t>软件工程-软件产品质量要求和评价（SQuaRE）-商业现货（COTS）软件产品质量要求和试验说明，</w:t>
      </w:r>
      <w:r>
        <w:rPr>
          <w:rFonts w:ascii="Arial" w:hAnsi="Arial" w:eastAsia="宋体" w:cs="Arial"/>
          <w:sz w:val="24"/>
          <w:szCs w:val="24"/>
          <w:lang w:eastAsia="zh-CN"/>
        </w:rPr>
        <w:t>2006年。</w:t>
      </w:r>
    </w:p>
    <w:p w14:paraId="72FCC93C">
      <w:pPr>
        <w:pStyle w:val="19"/>
        <w:numPr>
          <w:ilvl w:val="0"/>
          <w:numId w:val="18"/>
        </w:numPr>
        <w:snapToGrid w:val="0"/>
        <w:spacing w:after="120" w:afterLines="50" w:line="300" w:lineRule="auto"/>
        <w:ind w:left="432" w:hanging="432" w:hangingChars="180"/>
        <w:rPr>
          <w:rFonts w:ascii="Arial" w:hAnsi="Arial" w:eastAsia="宋体" w:cs="Arial"/>
          <w:sz w:val="24"/>
          <w:szCs w:val="24"/>
        </w:rPr>
      </w:pPr>
      <w:r>
        <w:rPr>
          <w:rFonts w:ascii="Arial" w:hAnsi="Arial" w:eastAsia="宋体" w:cs="Arial"/>
          <w:sz w:val="24"/>
          <w:szCs w:val="24"/>
        </w:rPr>
        <w:t>ISO/IEC 12207：2008，</w:t>
      </w:r>
      <w:r>
        <w:rPr>
          <w:rFonts w:ascii="Arial" w:hAnsi="Arial" w:eastAsia="宋体" w:cs="Arial"/>
          <w:i/>
          <w:sz w:val="24"/>
          <w:szCs w:val="24"/>
        </w:rPr>
        <w:t>系统和软件工程-软件生命周期流程，</w:t>
      </w:r>
      <w:r>
        <w:rPr>
          <w:rFonts w:ascii="Arial" w:hAnsi="Arial" w:eastAsia="宋体" w:cs="Arial"/>
          <w:sz w:val="24"/>
          <w:szCs w:val="24"/>
        </w:rPr>
        <w:t>2008</w:t>
      </w:r>
      <w:r>
        <w:rPr>
          <w:rFonts w:ascii="Arial" w:hAnsi="Arial" w:eastAsia="宋体" w:cs="Arial"/>
          <w:sz w:val="24"/>
          <w:szCs w:val="24"/>
          <w:lang w:eastAsia="zh-CN"/>
        </w:rPr>
        <w:t>年以及</w:t>
      </w:r>
      <w:r>
        <w:rPr>
          <w:rFonts w:ascii="Arial" w:hAnsi="Arial" w:eastAsia="宋体" w:cs="Arial"/>
          <w:sz w:val="24"/>
          <w:szCs w:val="24"/>
        </w:rPr>
        <w:t>IEEE Std 12207-2008，</w:t>
      </w:r>
      <w:r>
        <w:rPr>
          <w:rFonts w:ascii="Arial" w:hAnsi="Arial" w:eastAsia="宋体" w:cs="Arial"/>
          <w:i/>
          <w:sz w:val="24"/>
          <w:szCs w:val="24"/>
        </w:rPr>
        <w:t>系统与软件工程-软件生命周期流程，</w:t>
      </w:r>
      <w:r>
        <w:rPr>
          <w:rFonts w:ascii="Arial" w:hAnsi="Arial" w:eastAsia="宋体" w:cs="Arial"/>
          <w:sz w:val="24"/>
          <w:szCs w:val="24"/>
        </w:rPr>
        <w:t>2008</w:t>
      </w:r>
      <w:r>
        <w:rPr>
          <w:rFonts w:ascii="Arial" w:hAnsi="Arial" w:eastAsia="宋体" w:cs="Arial"/>
          <w:sz w:val="24"/>
          <w:szCs w:val="24"/>
          <w:lang w:eastAsia="zh-CN"/>
        </w:rPr>
        <w:t>年</w:t>
      </w:r>
      <w:r>
        <w:rPr>
          <w:rFonts w:ascii="Arial" w:hAnsi="Arial" w:eastAsia="宋体" w:cs="Arial"/>
          <w:sz w:val="24"/>
          <w:szCs w:val="24"/>
        </w:rPr>
        <w:t>。</w:t>
      </w:r>
    </w:p>
    <w:p w14:paraId="534B2284">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ISO/IEC 14598：1999，</w:t>
      </w:r>
      <w:r>
        <w:rPr>
          <w:rFonts w:ascii="Arial" w:hAnsi="Arial" w:eastAsia="宋体" w:cs="Arial"/>
          <w:i/>
          <w:sz w:val="24"/>
          <w:szCs w:val="24"/>
          <w:lang w:eastAsia="zh-CN"/>
        </w:rPr>
        <w:t>信息技术-软件产品评价，</w:t>
      </w:r>
      <w:r>
        <w:rPr>
          <w:rFonts w:ascii="Arial" w:hAnsi="Arial" w:eastAsia="宋体" w:cs="Arial"/>
          <w:sz w:val="24"/>
          <w:szCs w:val="24"/>
          <w:lang w:eastAsia="zh-CN"/>
        </w:rPr>
        <w:t>1999年。</w:t>
      </w:r>
    </w:p>
    <w:p w14:paraId="742D71F8">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AAMI TIR32：2004，</w:t>
      </w:r>
      <w:r>
        <w:rPr>
          <w:rFonts w:ascii="Arial" w:hAnsi="Arial" w:eastAsia="宋体" w:cs="Arial"/>
          <w:i/>
          <w:sz w:val="24"/>
          <w:szCs w:val="24"/>
          <w:lang w:eastAsia="zh-CN"/>
        </w:rPr>
        <w:t>医疗器械软件风险管理，</w:t>
      </w:r>
      <w:r>
        <w:rPr>
          <w:rFonts w:ascii="Arial" w:hAnsi="Arial" w:eastAsia="宋体" w:cs="Arial"/>
          <w:sz w:val="24"/>
          <w:szCs w:val="24"/>
          <w:lang w:eastAsia="zh-CN"/>
        </w:rPr>
        <w:t>2004年。</w:t>
      </w:r>
    </w:p>
    <w:p w14:paraId="072FA74D">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AAMI TIR36：2007，</w:t>
      </w:r>
      <w:r>
        <w:rPr>
          <w:rFonts w:ascii="Arial" w:hAnsi="Arial" w:eastAsia="宋体" w:cs="Arial"/>
          <w:i/>
          <w:sz w:val="24"/>
          <w:szCs w:val="24"/>
          <w:lang w:eastAsia="zh-CN"/>
        </w:rPr>
        <w:t>监管流程的软件确认，</w:t>
      </w:r>
      <w:r>
        <w:rPr>
          <w:rFonts w:ascii="Arial" w:hAnsi="Arial" w:eastAsia="宋体" w:cs="Arial"/>
          <w:sz w:val="24"/>
          <w:szCs w:val="24"/>
          <w:lang w:eastAsia="zh-CN"/>
        </w:rPr>
        <w:t>2007年。</w:t>
      </w:r>
    </w:p>
    <w:p w14:paraId="5FDED28A">
      <w:pPr>
        <w:pStyle w:val="19"/>
        <w:numPr>
          <w:ilvl w:val="0"/>
          <w:numId w:val="18"/>
        </w:numPr>
        <w:snapToGrid w:val="0"/>
        <w:spacing w:after="120" w:afterLines="50" w:line="300" w:lineRule="auto"/>
        <w:ind w:left="432" w:hanging="432" w:hangingChars="180"/>
        <w:rPr>
          <w:rFonts w:ascii="Arial" w:hAnsi="Arial" w:eastAsia="宋体" w:cs="Arial"/>
          <w:sz w:val="24"/>
          <w:szCs w:val="24"/>
        </w:rPr>
      </w:pPr>
      <w:r>
        <w:rPr>
          <w:rFonts w:ascii="Arial" w:hAnsi="Arial" w:eastAsia="宋体" w:cs="Arial"/>
          <w:sz w:val="24"/>
          <w:szCs w:val="24"/>
        </w:rPr>
        <w:t>ANSI/AAMI/IEC TIR80002-1：2009，</w:t>
      </w:r>
      <w:r>
        <w:rPr>
          <w:rFonts w:ascii="Arial" w:hAnsi="Arial" w:eastAsia="宋体" w:cs="Arial"/>
          <w:i/>
          <w:sz w:val="24"/>
          <w:szCs w:val="24"/>
        </w:rPr>
        <w:t>医疗器械软件-第1部分：</w:t>
      </w:r>
      <w:r>
        <w:rPr>
          <w:rFonts w:ascii="Arial" w:hAnsi="Arial" w:eastAsia="宋体" w:cs="Arial"/>
          <w:i/>
          <w:sz w:val="24"/>
          <w:szCs w:val="24"/>
          <w:lang w:eastAsia="zh-CN"/>
        </w:rPr>
        <w:t>将</w:t>
      </w:r>
      <w:r>
        <w:rPr>
          <w:rFonts w:ascii="Arial" w:hAnsi="Arial" w:eastAsia="宋体" w:cs="Arial"/>
          <w:i/>
          <w:sz w:val="24"/>
          <w:szCs w:val="24"/>
        </w:rPr>
        <w:t xml:space="preserve"> ISO 14971应用于医疗器械软件的指南</w:t>
      </w:r>
      <w:r>
        <w:rPr>
          <w:rFonts w:ascii="Arial" w:hAnsi="Arial" w:eastAsia="宋体" w:cs="Arial"/>
          <w:i/>
          <w:sz w:val="24"/>
          <w:szCs w:val="24"/>
          <w:lang w:eastAsia="zh-CN"/>
        </w:rPr>
        <w:t>，</w:t>
      </w:r>
      <w:r>
        <w:rPr>
          <w:rFonts w:ascii="Arial" w:hAnsi="Arial" w:eastAsia="宋体" w:cs="Arial"/>
          <w:sz w:val="24"/>
          <w:szCs w:val="24"/>
        </w:rPr>
        <w:t>2009年</w:t>
      </w:r>
      <w:r>
        <w:rPr>
          <w:rFonts w:ascii="Arial" w:hAnsi="Arial" w:eastAsia="宋体" w:cs="Arial"/>
          <w:sz w:val="24"/>
          <w:szCs w:val="24"/>
          <w:lang w:eastAsia="zh-CN"/>
        </w:rPr>
        <w:t>。</w:t>
      </w:r>
      <w:r>
        <w:rPr>
          <w:rFonts w:ascii="Arial" w:hAnsi="Arial" w:eastAsia="宋体" w:cs="Arial"/>
          <w:sz w:val="24"/>
          <w:szCs w:val="24"/>
        </w:rPr>
        <w:t>（</w:t>
      </w:r>
      <w:r>
        <w:rPr>
          <w:rFonts w:ascii="Arial" w:hAnsi="Arial" w:eastAsia="宋体" w:cs="Arial"/>
          <w:sz w:val="24"/>
          <w:szCs w:val="24"/>
          <w:lang w:eastAsia="zh-CN"/>
        </w:rPr>
        <w:t>一致</w:t>
      </w:r>
      <w:r>
        <w:rPr>
          <w:rFonts w:ascii="Arial" w:hAnsi="Arial" w:eastAsia="宋体" w:cs="Arial"/>
          <w:sz w:val="24"/>
          <w:szCs w:val="24"/>
        </w:rPr>
        <w:t>采用IEC/TR 80002-1：2009）</w:t>
      </w:r>
    </w:p>
    <w:p w14:paraId="32827808">
      <w:pPr>
        <w:pStyle w:val="19"/>
        <w:numPr>
          <w:ilvl w:val="0"/>
          <w:numId w:val="18"/>
        </w:numPr>
        <w:snapToGrid w:val="0"/>
        <w:spacing w:after="120" w:afterLines="50" w:line="300" w:lineRule="auto"/>
        <w:ind w:left="432" w:hanging="432" w:hangingChars="180"/>
        <w:rPr>
          <w:rFonts w:ascii="Arial" w:hAnsi="Arial" w:eastAsia="宋体" w:cs="Arial"/>
          <w:sz w:val="24"/>
          <w:szCs w:val="24"/>
        </w:rPr>
      </w:pPr>
      <w:r>
        <w:rPr>
          <w:rFonts w:ascii="Arial" w:hAnsi="Arial" w:eastAsia="宋体" w:cs="Arial"/>
          <w:sz w:val="24"/>
          <w:szCs w:val="24"/>
        </w:rPr>
        <w:t>提交医学图像管理器械上市前通知的指南（</w:t>
      </w:r>
      <w:r>
        <w:rPr>
          <w:rFonts w:ascii="Arial" w:hAnsi="Arial" w:eastAsia="宋体" w:cs="Arial"/>
          <w:color w:val="0000FF"/>
          <w:sz w:val="24"/>
          <w:szCs w:val="24"/>
          <w:u w:val="single"/>
        </w:rPr>
        <w:t>http://www.fda.gov/MedicalDevices/DeviceRegulationandGuidance/GuidanceDocuments/u cm073720.htm</w:t>
      </w:r>
      <w:r>
        <w:rPr>
          <w:rFonts w:ascii="Arial" w:hAnsi="Arial" w:eastAsia="宋体" w:cs="Arial"/>
          <w:sz w:val="24"/>
          <w:szCs w:val="24"/>
        </w:rPr>
        <w:t>）</w:t>
      </w:r>
    </w:p>
    <w:p w14:paraId="3D97C618">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IEC 60601-1：2005第14条，</w:t>
      </w:r>
      <w:r>
        <w:rPr>
          <w:rFonts w:ascii="Arial" w:hAnsi="Arial" w:eastAsia="宋体" w:cs="Arial"/>
          <w:i/>
          <w:sz w:val="24"/>
          <w:szCs w:val="24"/>
          <w:lang w:eastAsia="zh-CN"/>
        </w:rPr>
        <w:t>医疗电气设备，第1部分：基本安全性和基本性能的一般要求，</w:t>
      </w:r>
      <w:r>
        <w:rPr>
          <w:rFonts w:ascii="Arial" w:hAnsi="Arial" w:eastAsia="宋体" w:cs="Arial"/>
          <w:sz w:val="24"/>
          <w:szCs w:val="24"/>
          <w:lang w:eastAsia="zh-CN"/>
        </w:rPr>
        <w:t>2005年或ANSI/AAMI ES60601- 1：2005第14条，</w:t>
      </w:r>
      <w:r>
        <w:rPr>
          <w:rFonts w:ascii="Arial" w:hAnsi="Arial" w:eastAsia="宋体" w:cs="Arial"/>
          <w:i/>
          <w:sz w:val="24"/>
          <w:szCs w:val="24"/>
          <w:lang w:eastAsia="zh-CN"/>
        </w:rPr>
        <w:t>医疗电气设备，第1部分：基本安全性和基本性能的一般要求，</w:t>
      </w:r>
      <w:r>
        <w:rPr>
          <w:rFonts w:ascii="Arial" w:hAnsi="Arial" w:eastAsia="宋体" w:cs="Arial"/>
          <w:sz w:val="24"/>
          <w:szCs w:val="24"/>
          <w:lang w:eastAsia="zh-CN"/>
        </w:rPr>
        <w:t>2005年（采用IEC 60601-1：2005的国家偏差）。</w:t>
      </w:r>
    </w:p>
    <w:p w14:paraId="048A571E">
      <w:pPr>
        <w:pStyle w:val="19"/>
        <w:numPr>
          <w:ilvl w:val="0"/>
          <w:numId w:val="18"/>
        </w:numPr>
        <w:snapToGrid w:val="0"/>
        <w:spacing w:after="120" w:afterLines="50" w:line="300" w:lineRule="auto"/>
        <w:ind w:left="432" w:hanging="432" w:hangingChars="180"/>
        <w:rPr>
          <w:rFonts w:ascii="Arial" w:hAnsi="Arial" w:eastAsia="宋体" w:cs="Arial"/>
          <w:sz w:val="24"/>
          <w:szCs w:val="24"/>
          <w:lang w:eastAsia="zh-CN"/>
        </w:rPr>
      </w:pPr>
      <w:r>
        <w:rPr>
          <w:rFonts w:ascii="Arial" w:hAnsi="Arial" w:eastAsia="宋体" w:cs="Arial"/>
          <w:sz w:val="24"/>
          <w:szCs w:val="24"/>
          <w:lang w:eastAsia="zh-CN"/>
        </w:rPr>
        <w:t>IEC 61508-2：2010，</w:t>
      </w:r>
      <w:r>
        <w:rPr>
          <w:rFonts w:ascii="Arial" w:hAnsi="Arial" w:eastAsia="宋体" w:cs="Arial"/>
          <w:i/>
          <w:sz w:val="24"/>
          <w:szCs w:val="24"/>
          <w:lang w:eastAsia="zh-CN"/>
        </w:rPr>
        <w:t>电气/电子/可编程电子安全相关系统的功能安全，</w:t>
      </w:r>
      <w:r>
        <w:rPr>
          <w:rFonts w:ascii="Arial" w:hAnsi="Arial" w:eastAsia="宋体" w:cs="Arial"/>
          <w:sz w:val="24"/>
          <w:szCs w:val="24"/>
          <w:lang w:eastAsia="zh-CN"/>
        </w:rPr>
        <w:t>2010年。</w:t>
      </w:r>
    </w:p>
    <w:p w14:paraId="0F523938">
      <w:pPr>
        <w:snapToGrid w:val="0"/>
        <w:spacing w:before="3" w:line="300" w:lineRule="auto"/>
        <w:rPr>
          <w:rFonts w:hint="eastAsia" w:eastAsia="宋体"/>
          <w:lang w:eastAsia="zh-CN"/>
        </w:rPr>
      </w:pPr>
    </w:p>
    <w:p w14:paraId="3DDCAEA9">
      <w:pPr>
        <w:snapToGrid w:val="0"/>
        <w:spacing w:before="3" w:line="300" w:lineRule="auto"/>
        <w:jc w:val="center"/>
        <w:rPr>
          <w:rFonts w:hint="eastAsia" w:eastAsia="宋体"/>
          <w:lang w:eastAsia="zh-CN"/>
        </w:rPr>
      </w:pPr>
    </w:p>
    <w:p w14:paraId="691EF1B5">
      <w:pPr>
        <w:snapToGrid w:val="0"/>
        <w:spacing w:before="3"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71" name="图片 71" descr="2"/>
            <wp:cNvGraphicFramePr/>
            <a:graphic xmlns:a="http://schemas.openxmlformats.org/drawingml/2006/main">
              <a:graphicData uri="http://schemas.openxmlformats.org/drawingml/2006/picture">
                <pic:pic xmlns:pic="http://schemas.openxmlformats.org/drawingml/2006/picture">
                  <pic:nvPicPr>
                    <pic:cNvPr id="71" name="图片 71" descr="2"/>
                    <pic:cNvPicPr/>
                  </pic:nvPicPr>
                  <pic:blipFill>
                    <a:blip r:embed="rId8"/>
                    <a:stretch>
                      <a:fillRect/>
                    </a:stretch>
                  </pic:blipFill>
                  <pic:spPr>
                    <a:xfrm>
                      <a:off x="0" y="0"/>
                      <a:ext cx="5210175" cy="7343775"/>
                    </a:xfrm>
                    <a:prstGeom prst="rect">
                      <a:avLst/>
                    </a:prstGeom>
                  </pic:spPr>
                </pic:pic>
              </a:graphicData>
            </a:graphic>
          </wp:inline>
        </w:drawing>
      </w:r>
    </w:p>
    <w:sectPr>
      <w:pgSz w:w="12260" w:h="15840"/>
      <w:pgMar w:top="1134" w:right="1134" w:bottom="1134" w:left="1134" w:header="748" w:footer="77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7572">
    <w:pPr>
      <w:pStyle w:val="10"/>
      <w:jc w:val="center"/>
      <w:rPr>
        <w:rFonts w:ascii="Arial" w:hAnsi="Arial" w:cs="Arial"/>
        <w:sz w:val="21"/>
        <w:szCs w:val="21"/>
      </w:rPr>
    </w:pPr>
    <w:r>
      <w:rPr>
        <w:rFonts w:ascii="Arial" w:hAnsi="Arial" w:cs="Arial"/>
        <w:sz w:val="21"/>
        <w:szCs w:val="21"/>
      </w:rPr>
      <w:t>-</w:t>
    </w:r>
    <w:sdt>
      <w:sdtPr>
        <w:rPr>
          <w:rFonts w:ascii="Arial" w:hAnsi="Arial" w:cs="Arial"/>
          <w:sz w:val="21"/>
          <w:szCs w:val="21"/>
        </w:rPr>
        <w:id w:val="1997298972"/>
        <w:docPartObj>
          <w:docPartGallery w:val="AutoText"/>
        </w:docPartObj>
      </w:sdtPr>
      <w:sdtEndPr>
        <w:rPr>
          <w:rFonts w:ascii="Arial" w:hAnsi="Arial" w:cs="Arial"/>
          <w:sz w:val="21"/>
          <w:szCs w:val="21"/>
        </w:rPr>
      </w:sdtEndPr>
      <w:sdtContent>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44</w:t>
        </w:r>
        <w:r>
          <w:rPr>
            <w:rFonts w:ascii="Arial" w:hAnsi="Arial" w:cs="Arial"/>
            <w:sz w:val="21"/>
            <w:szCs w:val="21"/>
          </w:rPr>
          <w:fldChar w:fldCharType="end"/>
        </w:r>
        <w:r>
          <w:rPr>
            <w:rFonts w:ascii="Arial" w:hAnsi="Arial" w:cs="Arial"/>
            <w:sz w:val="21"/>
            <w:szCs w:val="21"/>
          </w:rPr>
          <w:t>-</w:t>
        </w:r>
      </w:sdtContent>
    </w:sdt>
  </w:p>
  <w:p w14:paraId="796EF8EB">
    <w:pPr>
      <w:spacing w:line="14" w:lineRule="auto"/>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13BE">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71A99B38">
    <w:pPr>
      <w:pStyle w:val="11"/>
      <w:pBdr>
        <w:bottom w:val="none" w:color="auto" w:sz="0" w:space="0"/>
      </w:pBdr>
    </w:pPr>
  </w:p>
  <w:p w14:paraId="7605A558">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53476"/>
    <w:multiLevelType w:val="multilevel"/>
    <w:tmpl w:val="00253476"/>
    <w:lvl w:ilvl="0" w:tentative="0">
      <w:start w:val="1"/>
      <w:numFmt w:val="decimal"/>
      <w:lvlText w:val="(%1)"/>
      <w:lvlJc w:val="left"/>
      <w:pPr>
        <w:ind w:left="120" w:hanging="285"/>
      </w:pPr>
      <w:rPr>
        <w:rFonts w:hint="default" w:ascii="Arial" w:hAnsi="Arial" w:eastAsia="Times New Roman" w:cs="Arial"/>
        <w:spacing w:val="-5"/>
        <w:w w:val="100"/>
        <w:sz w:val="20"/>
        <w:szCs w:val="20"/>
      </w:rPr>
    </w:lvl>
    <w:lvl w:ilvl="1" w:tentative="0">
      <w:start w:val="1"/>
      <w:numFmt w:val="bullet"/>
      <w:lvlText w:val="•"/>
      <w:lvlJc w:val="left"/>
      <w:pPr>
        <w:ind w:left="1062" w:hanging="285"/>
      </w:pPr>
      <w:rPr>
        <w:rFonts w:hint="default"/>
      </w:rPr>
    </w:lvl>
    <w:lvl w:ilvl="2" w:tentative="0">
      <w:start w:val="1"/>
      <w:numFmt w:val="bullet"/>
      <w:lvlText w:val="•"/>
      <w:lvlJc w:val="left"/>
      <w:pPr>
        <w:ind w:left="2004" w:hanging="285"/>
      </w:pPr>
      <w:rPr>
        <w:rFonts w:hint="default"/>
      </w:rPr>
    </w:lvl>
    <w:lvl w:ilvl="3" w:tentative="0">
      <w:start w:val="1"/>
      <w:numFmt w:val="bullet"/>
      <w:lvlText w:val="•"/>
      <w:lvlJc w:val="left"/>
      <w:pPr>
        <w:ind w:left="2946" w:hanging="285"/>
      </w:pPr>
      <w:rPr>
        <w:rFonts w:hint="default"/>
      </w:rPr>
    </w:lvl>
    <w:lvl w:ilvl="4" w:tentative="0">
      <w:start w:val="1"/>
      <w:numFmt w:val="bullet"/>
      <w:lvlText w:val="•"/>
      <w:lvlJc w:val="left"/>
      <w:pPr>
        <w:ind w:left="3888" w:hanging="285"/>
      </w:pPr>
      <w:rPr>
        <w:rFonts w:hint="default"/>
      </w:rPr>
    </w:lvl>
    <w:lvl w:ilvl="5" w:tentative="0">
      <w:start w:val="1"/>
      <w:numFmt w:val="bullet"/>
      <w:lvlText w:val="•"/>
      <w:lvlJc w:val="left"/>
      <w:pPr>
        <w:ind w:left="4830" w:hanging="285"/>
      </w:pPr>
      <w:rPr>
        <w:rFonts w:hint="default"/>
      </w:rPr>
    </w:lvl>
    <w:lvl w:ilvl="6" w:tentative="0">
      <w:start w:val="1"/>
      <w:numFmt w:val="bullet"/>
      <w:lvlText w:val="•"/>
      <w:lvlJc w:val="left"/>
      <w:pPr>
        <w:ind w:left="5772" w:hanging="285"/>
      </w:pPr>
      <w:rPr>
        <w:rFonts w:hint="default"/>
      </w:rPr>
    </w:lvl>
    <w:lvl w:ilvl="7" w:tentative="0">
      <w:start w:val="1"/>
      <w:numFmt w:val="bullet"/>
      <w:lvlText w:val="•"/>
      <w:lvlJc w:val="left"/>
      <w:pPr>
        <w:ind w:left="6714" w:hanging="285"/>
      </w:pPr>
      <w:rPr>
        <w:rFonts w:hint="default"/>
      </w:rPr>
    </w:lvl>
    <w:lvl w:ilvl="8" w:tentative="0">
      <w:start w:val="1"/>
      <w:numFmt w:val="bullet"/>
      <w:lvlText w:val="•"/>
      <w:lvlJc w:val="left"/>
      <w:pPr>
        <w:ind w:left="7656" w:hanging="285"/>
      </w:pPr>
      <w:rPr>
        <w:rFonts w:hint="default"/>
      </w:rPr>
    </w:lvl>
  </w:abstractNum>
  <w:abstractNum w:abstractNumId="1">
    <w:nsid w:val="01BD6A30"/>
    <w:multiLevelType w:val="multilevel"/>
    <w:tmpl w:val="01BD6A30"/>
    <w:lvl w:ilvl="0" w:tentative="0">
      <w:start w:val="1"/>
      <w:numFmt w:val="bullet"/>
      <w:lvlText w:val=""/>
      <w:lvlJc w:val="left"/>
      <w:pPr>
        <w:ind w:left="840" w:hanging="360"/>
      </w:pPr>
      <w:rPr>
        <w:rFonts w:hint="default" w:ascii="Symbol" w:hAnsi="Symbol" w:eastAsia="Symbol"/>
        <w:w w:val="99"/>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2">
    <w:nsid w:val="0DAC3948"/>
    <w:multiLevelType w:val="multilevel"/>
    <w:tmpl w:val="0DAC3948"/>
    <w:lvl w:ilvl="0" w:tentative="0">
      <w:start w:val="1"/>
      <w:numFmt w:val="decimal"/>
      <w:lvlText w:val="%1."/>
      <w:lvlJc w:val="left"/>
      <w:pPr>
        <w:ind w:left="480" w:hanging="360"/>
      </w:pPr>
      <w:rPr>
        <w:rFonts w:hint="default" w:ascii="Arial" w:hAnsi="Arial" w:eastAsia="Times New Roman" w:cs="Arial"/>
        <w:spacing w:val="-19"/>
        <w:w w:val="100"/>
        <w:sz w:val="24"/>
        <w:szCs w:val="24"/>
      </w:rPr>
    </w:lvl>
    <w:lvl w:ilvl="1" w:tentative="0">
      <w:start w:val="1"/>
      <w:numFmt w:val="bullet"/>
      <w:lvlText w:val="o"/>
      <w:lvlJc w:val="left"/>
      <w:pPr>
        <w:ind w:left="1560" w:hanging="360"/>
      </w:pPr>
      <w:rPr>
        <w:rFonts w:hint="default" w:ascii="Courier New" w:hAnsi="Courier New" w:eastAsia="Courier New"/>
        <w:w w:val="100"/>
        <w:sz w:val="24"/>
        <w:szCs w:val="24"/>
      </w:rPr>
    </w:lvl>
    <w:lvl w:ilvl="2" w:tentative="0">
      <w:start w:val="1"/>
      <w:numFmt w:val="bullet"/>
      <w:lvlText w:val="•"/>
      <w:lvlJc w:val="left"/>
      <w:pPr>
        <w:ind w:left="2451" w:hanging="360"/>
      </w:pPr>
      <w:rPr>
        <w:rFonts w:hint="default"/>
      </w:rPr>
    </w:lvl>
    <w:lvl w:ilvl="3" w:tentative="0">
      <w:start w:val="1"/>
      <w:numFmt w:val="bullet"/>
      <w:lvlText w:val="•"/>
      <w:lvlJc w:val="left"/>
      <w:pPr>
        <w:ind w:left="3342" w:hanging="360"/>
      </w:pPr>
      <w:rPr>
        <w:rFonts w:hint="default"/>
      </w:rPr>
    </w:lvl>
    <w:lvl w:ilvl="4" w:tentative="0">
      <w:start w:val="1"/>
      <w:numFmt w:val="bullet"/>
      <w:lvlText w:val="•"/>
      <w:lvlJc w:val="left"/>
      <w:pPr>
        <w:ind w:left="4233" w:hanging="360"/>
      </w:pPr>
      <w:rPr>
        <w:rFonts w:hint="default"/>
      </w:rPr>
    </w:lvl>
    <w:lvl w:ilvl="5" w:tentative="0">
      <w:start w:val="1"/>
      <w:numFmt w:val="bullet"/>
      <w:lvlText w:val="•"/>
      <w:lvlJc w:val="left"/>
      <w:pPr>
        <w:ind w:left="5124" w:hanging="360"/>
      </w:pPr>
      <w:rPr>
        <w:rFonts w:hint="default"/>
      </w:rPr>
    </w:lvl>
    <w:lvl w:ilvl="6" w:tentative="0">
      <w:start w:val="1"/>
      <w:numFmt w:val="bullet"/>
      <w:lvlText w:val="•"/>
      <w:lvlJc w:val="left"/>
      <w:pPr>
        <w:ind w:left="6015" w:hanging="360"/>
      </w:pPr>
      <w:rPr>
        <w:rFonts w:hint="default"/>
      </w:rPr>
    </w:lvl>
    <w:lvl w:ilvl="7" w:tentative="0">
      <w:start w:val="1"/>
      <w:numFmt w:val="bullet"/>
      <w:lvlText w:val="•"/>
      <w:lvlJc w:val="left"/>
      <w:pPr>
        <w:ind w:left="6906" w:hanging="360"/>
      </w:pPr>
      <w:rPr>
        <w:rFonts w:hint="default"/>
      </w:rPr>
    </w:lvl>
    <w:lvl w:ilvl="8" w:tentative="0">
      <w:start w:val="1"/>
      <w:numFmt w:val="bullet"/>
      <w:lvlText w:val="•"/>
      <w:lvlJc w:val="left"/>
      <w:pPr>
        <w:ind w:left="7797" w:hanging="360"/>
      </w:pPr>
      <w:rPr>
        <w:rFonts w:hint="default"/>
      </w:rPr>
    </w:lvl>
  </w:abstractNum>
  <w:abstractNum w:abstractNumId="3">
    <w:nsid w:val="17EB34BD"/>
    <w:multiLevelType w:val="multilevel"/>
    <w:tmpl w:val="17EB34BD"/>
    <w:lvl w:ilvl="0" w:tentative="0">
      <w:start w:val="1"/>
      <w:numFmt w:val="decimal"/>
      <w:lvlText w:val="%1)"/>
      <w:lvlJc w:val="left"/>
      <w:pPr>
        <w:ind w:left="820" w:hanging="720"/>
      </w:pPr>
      <w:rPr>
        <w:rFonts w:hint="default" w:ascii="Arial" w:hAnsi="Arial" w:eastAsia="Arial"/>
        <w:b/>
        <w:bCs/>
        <w:spacing w:val="-7"/>
        <w:w w:val="100"/>
        <w:sz w:val="22"/>
        <w:szCs w:val="22"/>
      </w:rPr>
    </w:lvl>
    <w:lvl w:ilvl="1" w:tentative="0">
      <w:start w:val="1"/>
      <w:numFmt w:val="bullet"/>
      <w:lvlText w:val="•"/>
      <w:lvlJc w:val="left"/>
      <w:pPr>
        <w:ind w:left="1692" w:hanging="720"/>
      </w:pPr>
      <w:rPr>
        <w:rFonts w:hint="default"/>
      </w:rPr>
    </w:lvl>
    <w:lvl w:ilvl="2" w:tentative="0">
      <w:start w:val="1"/>
      <w:numFmt w:val="bullet"/>
      <w:lvlText w:val="•"/>
      <w:lvlJc w:val="left"/>
      <w:pPr>
        <w:ind w:left="2564" w:hanging="720"/>
      </w:pPr>
      <w:rPr>
        <w:rFonts w:hint="default"/>
      </w:rPr>
    </w:lvl>
    <w:lvl w:ilvl="3" w:tentative="0">
      <w:start w:val="1"/>
      <w:numFmt w:val="bullet"/>
      <w:lvlText w:val="•"/>
      <w:lvlJc w:val="left"/>
      <w:pPr>
        <w:ind w:left="3436" w:hanging="720"/>
      </w:pPr>
      <w:rPr>
        <w:rFonts w:hint="default"/>
      </w:rPr>
    </w:lvl>
    <w:lvl w:ilvl="4" w:tentative="0">
      <w:start w:val="1"/>
      <w:numFmt w:val="bullet"/>
      <w:lvlText w:val="•"/>
      <w:lvlJc w:val="left"/>
      <w:pPr>
        <w:ind w:left="4308" w:hanging="720"/>
      </w:pPr>
      <w:rPr>
        <w:rFonts w:hint="default"/>
      </w:rPr>
    </w:lvl>
    <w:lvl w:ilvl="5" w:tentative="0">
      <w:start w:val="1"/>
      <w:numFmt w:val="bullet"/>
      <w:lvlText w:val="•"/>
      <w:lvlJc w:val="left"/>
      <w:pPr>
        <w:ind w:left="5180" w:hanging="720"/>
      </w:pPr>
      <w:rPr>
        <w:rFonts w:hint="default"/>
      </w:rPr>
    </w:lvl>
    <w:lvl w:ilvl="6" w:tentative="0">
      <w:start w:val="1"/>
      <w:numFmt w:val="bullet"/>
      <w:lvlText w:val="•"/>
      <w:lvlJc w:val="left"/>
      <w:pPr>
        <w:ind w:left="6052" w:hanging="720"/>
      </w:pPr>
      <w:rPr>
        <w:rFonts w:hint="default"/>
      </w:rPr>
    </w:lvl>
    <w:lvl w:ilvl="7" w:tentative="0">
      <w:start w:val="1"/>
      <w:numFmt w:val="bullet"/>
      <w:lvlText w:val="•"/>
      <w:lvlJc w:val="left"/>
      <w:pPr>
        <w:ind w:left="6924" w:hanging="720"/>
      </w:pPr>
      <w:rPr>
        <w:rFonts w:hint="default"/>
      </w:rPr>
    </w:lvl>
    <w:lvl w:ilvl="8" w:tentative="0">
      <w:start w:val="1"/>
      <w:numFmt w:val="bullet"/>
      <w:lvlText w:val="•"/>
      <w:lvlJc w:val="left"/>
      <w:pPr>
        <w:ind w:left="7796" w:hanging="720"/>
      </w:pPr>
      <w:rPr>
        <w:rFonts w:hint="default"/>
      </w:rPr>
    </w:lvl>
  </w:abstractNum>
  <w:abstractNum w:abstractNumId="4">
    <w:nsid w:val="288645AF"/>
    <w:multiLevelType w:val="multilevel"/>
    <w:tmpl w:val="288645AF"/>
    <w:lvl w:ilvl="0" w:tentative="0">
      <w:start w:val="1"/>
      <w:numFmt w:val="bullet"/>
      <w:lvlText w:val=""/>
      <w:lvlJc w:val="left"/>
      <w:pPr>
        <w:ind w:left="840" w:hanging="360"/>
      </w:pPr>
      <w:rPr>
        <w:rFonts w:hint="default" w:ascii="Symbol" w:hAnsi="Symbol" w:eastAsia="Symbol"/>
        <w:w w:val="99"/>
        <w:sz w:val="24"/>
        <w:szCs w:val="24"/>
      </w:rPr>
    </w:lvl>
    <w:lvl w:ilvl="1" w:tentative="0">
      <w:start w:val="1"/>
      <w:numFmt w:val="bullet"/>
      <w:lvlText w:val="•"/>
      <w:lvlJc w:val="left"/>
      <w:pPr>
        <w:ind w:left="1712" w:hanging="360"/>
      </w:pPr>
      <w:rPr>
        <w:rFonts w:hint="default"/>
      </w:rPr>
    </w:lvl>
    <w:lvl w:ilvl="2" w:tentative="0">
      <w:start w:val="1"/>
      <w:numFmt w:val="bullet"/>
      <w:lvlText w:val="•"/>
      <w:lvlJc w:val="left"/>
      <w:pPr>
        <w:ind w:left="2584" w:hanging="360"/>
      </w:pPr>
      <w:rPr>
        <w:rFonts w:hint="default"/>
      </w:rPr>
    </w:lvl>
    <w:lvl w:ilvl="3" w:tentative="0">
      <w:start w:val="1"/>
      <w:numFmt w:val="bullet"/>
      <w:lvlText w:val="•"/>
      <w:lvlJc w:val="left"/>
      <w:pPr>
        <w:ind w:left="3456" w:hanging="360"/>
      </w:pPr>
      <w:rPr>
        <w:rFonts w:hint="default"/>
      </w:rPr>
    </w:lvl>
    <w:lvl w:ilvl="4" w:tentative="0">
      <w:start w:val="1"/>
      <w:numFmt w:val="bullet"/>
      <w:lvlText w:val="•"/>
      <w:lvlJc w:val="left"/>
      <w:pPr>
        <w:ind w:left="4328"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2" w:hanging="360"/>
      </w:pPr>
      <w:rPr>
        <w:rFonts w:hint="default"/>
      </w:rPr>
    </w:lvl>
    <w:lvl w:ilvl="7" w:tentative="0">
      <w:start w:val="1"/>
      <w:numFmt w:val="bullet"/>
      <w:lvlText w:val="•"/>
      <w:lvlJc w:val="left"/>
      <w:pPr>
        <w:ind w:left="6944" w:hanging="360"/>
      </w:pPr>
      <w:rPr>
        <w:rFonts w:hint="default"/>
      </w:rPr>
    </w:lvl>
    <w:lvl w:ilvl="8" w:tentative="0">
      <w:start w:val="1"/>
      <w:numFmt w:val="bullet"/>
      <w:lvlText w:val="•"/>
      <w:lvlJc w:val="left"/>
      <w:pPr>
        <w:ind w:left="7816" w:hanging="360"/>
      </w:pPr>
      <w:rPr>
        <w:rFonts w:hint="default"/>
      </w:rPr>
    </w:lvl>
  </w:abstractNum>
  <w:abstractNum w:abstractNumId="5">
    <w:nsid w:val="29AC6053"/>
    <w:multiLevelType w:val="multilevel"/>
    <w:tmpl w:val="29AC6053"/>
    <w:lvl w:ilvl="0" w:tentative="0">
      <w:start w:val="1"/>
      <w:numFmt w:val="bullet"/>
      <w:lvlText w:val=""/>
      <w:lvlJc w:val="left"/>
      <w:pPr>
        <w:ind w:left="820" w:hanging="360"/>
      </w:pPr>
      <w:rPr>
        <w:rFonts w:hint="default" w:ascii="Symbol" w:hAnsi="Symbol" w:eastAsia="Symbol"/>
        <w:w w:val="99"/>
        <w:sz w:val="24"/>
        <w:szCs w:val="24"/>
      </w:rPr>
    </w:lvl>
    <w:lvl w:ilvl="1" w:tentative="0">
      <w:start w:val="1"/>
      <w:numFmt w:val="bullet"/>
      <w:lvlText w:val="•"/>
      <w:lvlJc w:val="left"/>
      <w:pPr>
        <w:ind w:left="1694" w:hanging="360"/>
      </w:pPr>
      <w:rPr>
        <w:rFonts w:hint="default"/>
      </w:rPr>
    </w:lvl>
    <w:lvl w:ilvl="2" w:tentative="0">
      <w:start w:val="1"/>
      <w:numFmt w:val="bullet"/>
      <w:lvlText w:val="•"/>
      <w:lvlJc w:val="left"/>
      <w:pPr>
        <w:ind w:left="2568" w:hanging="360"/>
      </w:pPr>
      <w:rPr>
        <w:rFonts w:hint="default"/>
      </w:rPr>
    </w:lvl>
    <w:lvl w:ilvl="3" w:tentative="0">
      <w:start w:val="1"/>
      <w:numFmt w:val="bullet"/>
      <w:lvlText w:val="•"/>
      <w:lvlJc w:val="left"/>
      <w:pPr>
        <w:ind w:left="3442" w:hanging="360"/>
      </w:pPr>
      <w:rPr>
        <w:rFonts w:hint="default"/>
      </w:rPr>
    </w:lvl>
    <w:lvl w:ilvl="4" w:tentative="0">
      <w:start w:val="1"/>
      <w:numFmt w:val="bullet"/>
      <w:lvlText w:val="•"/>
      <w:lvlJc w:val="left"/>
      <w:pPr>
        <w:ind w:left="4316"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6064" w:hanging="360"/>
      </w:pPr>
      <w:rPr>
        <w:rFonts w:hint="default"/>
      </w:rPr>
    </w:lvl>
    <w:lvl w:ilvl="7" w:tentative="0">
      <w:start w:val="1"/>
      <w:numFmt w:val="bullet"/>
      <w:lvlText w:val="•"/>
      <w:lvlJc w:val="left"/>
      <w:pPr>
        <w:ind w:left="6938" w:hanging="360"/>
      </w:pPr>
      <w:rPr>
        <w:rFonts w:hint="default"/>
      </w:rPr>
    </w:lvl>
    <w:lvl w:ilvl="8" w:tentative="0">
      <w:start w:val="1"/>
      <w:numFmt w:val="bullet"/>
      <w:lvlText w:val="•"/>
      <w:lvlJc w:val="left"/>
      <w:pPr>
        <w:ind w:left="7812" w:hanging="360"/>
      </w:pPr>
      <w:rPr>
        <w:rFonts w:hint="default"/>
      </w:rPr>
    </w:lvl>
  </w:abstractNum>
  <w:abstractNum w:abstractNumId="6">
    <w:nsid w:val="2C3F1913"/>
    <w:multiLevelType w:val="multilevel"/>
    <w:tmpl w:val="2C3F1913"/>
    <w:lvl w:ilvl="0" w:tentative="0">
      <w:start w:val="1"/>
      <w:numFmt w:val="decimal"/>
      <w:lvlText w:val="%1."/>
      <w:lvlJc w:val="left"/>
      <w:pPr>
        <w:ind w:left="480" w:hanging="360"/>
      </w:pPr>
      <w:rPr>
        <w:rFonts w:hint="default" w:ascii="Arial" w:hAnsi="Arial" w:eastAsia="Times New Roman" w:cs="Arial"/>
        <w:spacing w:val="-3"/>
        <w:w w:val="100"/>
        <w:sz w:val="24"/>
        <w:szCs w:val="24"/>
      </w:rPr>
    </w:lvl>
    <w:lvl w:ilvl="1" w:tentative="0">
      <w:start w:val="1"/>
      <w:numFmt w:val="bullet"/>
      <w:lvlText w:val="o"/>
      <w:lvlJc w:val="left"/>
      <w:pPr>
        <w:ind w:left="1200" w:hanging="360"/>
      </w:pPr>
      <w:rPr>
        <w:rFonts w:hint="default" w:ascii="Courier New" w:hAnsi="Courier New" w:eastAsia="Courier New"/>
        <w:w w:val="100"/>
        <w:sz w:val="24"/>
        <w:szCs w:val="24"/>
      </w:rPr>
    </w:lvl>
    <w:lvl w:ilvl="2" w:tentative="0">
      <w:start w:val="1"/>
      <w:numFmt w:val="bullet"/>
      <w:lvlText w:val="•"/>
      <w:lvlJc w:val="left"/>
      <w:pPr>
        <w:ind w:left="1200" w:hanging="360"/>
      </w:pPr>
      <w:rPr>
        <w:rFonts w:hint="default"/>
      </w:rPr>
    </w:lvl>
    <w:lvl w:ilvl="3" w:tentative="0">
      <w:start w:val="1"/>
      <w:numFmt w:val="bullet"/>
      <w:lvlText w:val="•"/>
      <w:lvlJc w:val="left"/>
      <w:pPr>
        <w:ind w:left="2240" w:hanging="360"/>
      </w:pPr>
      <w:rPr>
        <w:rFonts w:hint="default"/>
      </w:rPr>
    </w:lvl>
    <w:lvl w:ilvl="4" w:tentative="0">
      <w:start w:val="1"/>
      <w:numFmt w:val="bullet"/>
      <w:lvlText w:val="•"/>
      <w:lvlJc w:val="left"/>
      <w:pPr>
        <w:ind w:left="3280" w:hanging="360"/>
      </w:pPr>
      <w:rPr>
        <w:rFonts w:hint="default"/>
      </w:rPr>
    </w:lvl>
    <w:lvl w:ilvl="5" w:tentative="0">
      <w:start w:val="1"/>
      <w:numFmt w:val="bullet"/>
      <w:lvlText w:val="•"/>
      <w:lvlJc w:val="left"/>
      <w:pPr>
        <w:ind w:left="4320" w:hanging="360"/>
      </w:pPr>
      <w:rPr>
        <w:rFonts w:hint="default"/>
      </w:rPr>
    </w:lvl>
    <w:lvl w:ilvl="6" w:tentative="0">
      <w:start w:val="1"/>
      <w:numFmt w:val="bullet"/>
      <w:lvlText w:val="•"/>
      <w:lvlJc w:val="left"/>
      <w:pPr>
        <w:ind w:left="5360" w:hanging="360"/>
      </w:pPr>
      <w:rPr>
        <w:rFonts w:hint="default"/>
      </w:rPr>
    </w:lvl>
    <w:lvl w:ilvl="7" w:tentative="0">
      <w:start w:val="1"/>
      <w:numFmt w:val="bullet"/>
      <w:lvlText w:val="•"/>
      <w:lvlJc w:val="left"/>
      <w:pPr>
        <w:ind w:left="6400" w:hanging="360"/>
      </w:pPr>
      <w:rPr>
        <w:rFonts w:hint="default"/>
      </w:rPr>
    </w:lvl>
    <w:lvl w:ilvl="8" w:tentative="0">
      <w:start w:val="1"/>
      <w:numFmt w:val="bullet"/>
      <w:lvlText w:val="•"/>
      <w:lvlJc w:val="left"/>
      <w:pPr>
        <w:ind w:left="7440" w:hanging="360"/>
      </w:pPr>
      <w:rPr>
        <w:rFonts w:hint="default"/>
      </w:rPr>
    </w:lvl>
  </w:abstractNum>
  <w:abstractNum w:abstractNumId="7">
    <w:nsid w:val="352B614F"/>
    <w:multiLevelType w:val="multilevel"/>
    <w:tmpl w:val="352B61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C473BE"/>
    <w:multiLevelType w:val="multilevel"/>
    <w:tmpl w:val="56C473BE"/>
    <w:lvl w:ilvl="0" w:tentative="0">
      <w:start w:val="1"/>
      <w:numFmt w:val="bullet"/>
      <w:lvlText w:val="-"/>
      <w:lvlJc w:val="left"/>
      <w:pPr>
        <w:ind w:left="460" w:hanging="288"/>
      </w:pPr>
      <w:rPr>
        <w:rFonts w:hint="default" w:ascii="Times New Roman" w:hAnsi="Times New Roman" w:eastAsia="Times New Roman"/>
        <w:spacing w:val="-6"/>
        <w:w w:val="100"/>
        <w:sz w:val="24"/>
        <w:szCs w:val="24"/>
      </w:rPr>
    </w:lvl>
    <w:lvl w:ilvl="1" w:tentative="0">
      <w:start w:val="1"/>
      <w:numFmt w:val="bullet"/>
      <w:lvlText w:val=""/>
      <w:lvlJc w:val="left"/>
      <w:pPr>
        <w:ind w:left="1180" w:hanging="360"/>
      </w:pPr>
      <w:rPr>
        <w:rFonts w:hint="default" w:ascii="Symbol" w:hAnsi="Symbol" w:eastAsia="Symbol"/>
        <w:w w:val="99"/>
        <w:sz w:val="20"/>
        <w:szCs w:val="20"/>
      </w:rPr>
    </w:lvl>
    <w:lvl w:ilvl="2" w:tentative="0">
      <w:start w:val="1"/>
      <w:numFmt w:val="bullet"/>
      <w:lvlText w:val="•"/>
      <w:lvlJc w:val="left"/>
      <w:pPr>
        <w:ind w:left="2108" w:hanging="360"/>
      </w:pPr>
      <w:rPr>
        <w:rFonts w:hint="default"/>
      </w:rPr>
    </w:lvl>
    <w:lvl w:ilvl="3" w:tentative="0">
      <w:start w:val="1"/>
      <w:numFmt w:val="bullet"/>
      <w:lvlText w:val="•"/>
      <w:lvlJc w:val="left"/>
      <w:pPr>
        <w:ind w:left="3037" w:hanging="360"/>
      </w:pPr>
      <w:rPr>
        <w:rFonts w:hint="default"/>
      </w:rPr>
    </w:lvl>
    <w:lvl w:ilvl="4" w:tentative="0">
      <w:start w:val="1"/>
      <w:numFmt w:val="bullet"/>
      <w:lvlText w:val="•"/>
      <w:lvlJc w:val="left"/>
      <w:pPr>
        <w:ind w:left="3966" w:hanging="360"/>
      </w:pPr>
      <w:rPr>
        <w:rFonts w:hint="default"/>
      </w:rPr>
    </w:lvl>
    <w:lvl w:ilvl="5" w:tentative="0">
      <w:start w:val="1"/>
      <w:numFmt w:val="bullet"/>
      <w:lvlText w:val="•"/>
      <w:lvlJc w:val="left"/>
      <w:pPr>
        <w:ind w:left="4895" w:hanging="360"/>
      </w:pPr>
      <w:rPr>
        <w:rFonts w:hint="default"/>
      </w:rPr>
    </w:lvl>
    <w:lvl w:ilvl="6" w:tentative="0">
      <w:start w:val="1"/>
      <w:numFmt w:val="bullet"/>
      <w:lvlText w:val="•"/>
      <w:lvlJc w:val="left"/>
      <w:pPr>
        <w:ind w:left="5824" w:hanging="360"/>
      </w:pPr>
      <w:rPr>
        <w:rFonts w:hint="default"/>
      </w:rPr>
    </w:lvl>
    <w:lvl w:ilvl="7" w:tentative="0">
      <w:start w:val="1"/>
      <w:numFmt w:val="bullet"/>
      <w:lvlText w:val="•"/>
      <w:lvlJc w:val="left"/>
      <w:pPr>
        <w:ind w:left="6753" w:hanging="360"/>
      </w:pPr>
      <w:rPr>
        <w:rFonts w:hint="default"/>
      </w:rPr>
    </w:lvl>
    <w:lvl w:ilvl="8" w:tentative="0">
      <w:start w:val="1"/>
      <w:numFmt w:val="bullet"/>
      <w:lvlText w:val="•"/>
      <w:lvlJc w:val="left"/>
      <w:pPr>
        <w:ind w:left="7682" w:hanging="360"/>
      </w:pPr>
      <w:rPr>
        <w:rFonts w:hint="default"/>
      </w:rPr>
    </w:lvl>
  </w:abstractNum>
  <w:abstractNum w:abstractNumId="9">
    <w:nsid w:val="59EC0C23"/>
    <w:multiLevelType w:val="multilevel"/>
    <w:tmpl w:val="59EC0C23"/>
    <w:lvl w:ilvl="0" w:tentative="0">
      <w:start w:val="3"/>
      <w:numFmt w:val="upperLetter"/>
      <w:lvlText w:val="%1."/>
      <w:lvlJc w:val="left"/>
      <w:pPr>
        <w:ind w:left="120" w:hanging="341"/>
      </w:pPr>
      <w:rPr>
        <w:rFonts w:hint="default" w:ascii="Times New Roman" w:hAnsi="Times New Roman" w:eastAsia="Times New Roman"/>
        <w:spacing w:val="-5"/>
        <w:w w:val="100"/>
        <w:sz w:val="24"/>
        <w:szCs w:val="24"/>
      </w:rPr>
    </w:lvl>
    <w:lvl w:ilvl="1" w:tentative="0">
      <w:start w:val="1"/>
      <w:numFmt w:val="decimal"/>
      <w:lvlText w:val="%2."/>
      <w:lvlJc w:val="left"/>
      <w:pPr>
        <w:ind w:left="1637" w:hanging="360"/>
      </w:pPr>
      <w:rPr>
        <w:rFonts w:hint="default" w:ascii="Arial" w:hAnsi="Arial" w:eastAsia="Times New Roman" w:cs="Arial"/>
        <w:b w:val="0"/>
        <w:spacing w:val="-19"/>
        <w:w w:val="100"/>
        <w:sz w:val="24"/>
        <w:szCs w:val="24"/>
      </w:rPr>
    </w:lvl>
    <w:lvl w:ilvl="2" w:tentative="0">
      <w:start w:val="1"/>
      <w:numFmt w:val="bullet"/>
      <w:lvlText w:val="o"/>
      <w:lvlJc w:val="left"/>
      <w:pPr>
        <w:ind w:left="1740" w:hanging="360"/>
      </w:pPr>
      <w:rPr>
        <w:rFonts w:hint="default" w:ascii="Courier New" w:hAnsi="Courier New" w:eastAsia="Courier New"/>
        <w:w w:val="100"/>
        <w:sz w:val="24"/>
        <w:szCs w:val="24"/>
      </w:rPr>
    </w:lvl>
    <w:lvl w:ilvl="3" w:tentative="0">
      <w:start w:val="1"/>
      <w:numFmt w:val="bullet"/>
      <w:lvlText w:val="•"/>
      <w:lvlJc w:val="left"/>
      <w:pPr>
        <w:ind w:left="2717" w:hanging="360"/>
      </w:pPr>
      <w:rPr>
        <w:rFonts w:hint="default"/>
      </w:rPr>
    </w:lvl>
    <w:lvl w:ilvl="4" w:tentative="0">
      <w:start w:val="1"/>
      <w:numFmt w:val="bullet"/>
      <w:lvlText w:val="•"/>
      <w:lvlJc w:val="left"/>
      <w:pPr>
        <w:ind w:left="3695" w:hanging="360"/>
      </w:pPr>
      <w:rPr>
        <w:rFonts w:hint="default"/>
      </w:rPr>
    </w:lvl>
    <w:lvl w:ilvl="5" w:tentative="0">
      <w:start w:val="1"/>
      <w:numFmt w:val="bullet"/>
      <w:lvlText w:val="•"/>
      <w:lvlJc w:val="left"/>
      <w:pPr>
        <w:ind w:left="4672" w:hanging="360"/>
      </w:pPr>
      <w:rPr>
        <w:rFonts w:hint="default"/>
      </w:rPr>
    </w:lvl>
    <w:lvl w:ilvl="6" w:tentative="0">
      <w:start w:val="1"/>
      <w:numFmt w:val="bullet"/>
      <w:lvlText w:val="•"/>
      <w:lvlJc w:val="left"/>
      <w:pPr>
        <w:ind w:left="5650" w:hanging="360"/>
      </w:pPr>
      <w:rPr>
        <w:rFonts w:hint="default"/>
      </w:rPr>
    </w:lvl>
    <w:lvl w:ilvl="7" w:tentative="0">
      <w:start w:val="1"/>
      <w:numFmt w:val="bullet"/>
      <w:lvlText w:val="•"/>
      <w:lvlJc w:val="left"/>
      <w:pPr>
        <w:ind w:left="6627" w:hanging="360"/>
      </w:pPr>
      <w:rPr>
        <w:rFonts w:hint="default"/>
      </w:rPr>
    </w:lvl>
    <w:lvl w:ilvl="8" w:tentative="0">
      <w:start w:val="1"/>
      <w:numFmt w:val="bullet"/>
      <w:lvlText w:val="•"/>
      <w:lvlJc w:val="left"/>
      <w:pPr>
        <w:ind w:left="7605" w:hanging="360"/>
      </w:pPr>
      <w:rPr>
        <w:rFonts w:hint="default"/>
      </w:rPr>
    </w:lvl>
  </w:abstractNum>
  <w:abstractNum w:abstractNumId="10">
    <w:nsid w:val="60CD6A22"/>
    <w:multiLevelType w:val="multilevel"/>
    <w:tmpl w:val="60CD6A22"/>
    <w:lvl w:ilvl="0" w:tentative="0">
      <w:start w:val="1"/>
      <w:numFmt w:val="upperRoman"/>
      <w:lvlText w:val="%1."/>
      <w:lvlJc w:val="left"/>
      <w:pPr>
        <w:ind w:left="1000" w:hanging="720"/>
        <w:jc w:val="right"/>
      </w:pPr>
      <w:rPr>
        <w:rFonts w:hint="default" w:ascii="Arial" w:hAnsi="Arial" w:eastAsia="Times New Roman" w:cs="Arial"/>
        <w:b/>
        <w:bCs/>
        <w:spacing w:val="-6"/>
        <w:w w:val="99"/>
        <w:sz w:val="36"/>
        <w:szCs w:val="36"/>
      </w:rPr>
    </w:lvl>
    <w:lvl w:ilvl="1" w:tentative="0">
      <w:start w:val="1"/>
      <w:numFmt w:val="bullet"/>
      <w:lvlText w:val="•"/>
      <w:lvlJc w:val="left"/>
      <w:pPr>
        <w:ind w:left="1892" w:hanging="720"/>
      </w:pPr>
      <w:rPr>
        <w:rFonts w:hint="default"/>
      </w:rPr>
    </w:lvl>
    <w:lvl w:ilvl="2" w:tentative="0">
      <w:start w:val="1"/>
      <w:numFmt w:val="bullet"/>
      <w:lvlText w:val="•"/>
      <w:lvlJc w:val="left"/>
      <w:pPr>
        <w:ind w:left="2784" w:hanging="720"/>
      </w:pPr>
      <w:rPr>
        <w:rFonts w:hint="default"/>
      </w:rPr>
    </w:lvl>
    <w:lvl w:ilvl="3" w:tentative="0">
      <w:start w:val="1"/>
      <w:numFmt w:val="bullet"/>
      <w:lvlText w:val="•"/>
      <w:lvlJc w:val="left"/>
      <w:pPr>
        <w:ind w:left="3676" w:hanging="720"/>
      </w:pPr>
      <w:rPr>
        <w:rFonts w:hint="default"/>
      </w:rPr>
    </w:lvl>
    <w:lvl w:ilvl="4" w:tentative="0">
      <w:start w:val="1"/>
      <w:numFmt w:val="bullet"/>
      <w:lvlText w:val="•"/>
      <w:lvlJc w:val="left"/>
      <w:pPr>
        <w:ind w:left="4568" w:hanging="720"/>
      </w:pPr>
      <w:rPr>
        <w:rFonts w:hint="default"/>
      </w:rPr>
    </w:lvl>
    <w:lvl w:ilvl="5" w:tentative="0">
      <w:start w:val="1"/>
      <w:numFmt w:val="bullet"/>
      <w:lvlText w:val="•"/>
      <w:lvlJc w:val="left"/>
      <w:pPr>
        <w:ind w:left="5460" w:hanging="720"/>
      </w:pPr>
      <w:rPr>
        <w:rFonts w:hint="default"/>
      </w:rPr>
    </w:lvl>
    <w:lvl w:ilvl="6" w:tentative="0">
      <w:start w:val="1"/>
      <w:numFmt w:val="bullet"/>
      <w:lvlText w:val="•"/>
      <w:lvlJc w:val="left"/>
      <w:pPr>
        <w:ind w:left="6352" w:hanging="720"/>
      </w:pPr>
      <w:rPr>
        <w:rFonts w:hint="default"/>
      </w:rPr>
    </w:lvl>
    <w:lvl w:ilvl="7" w:tentative="0">
      <w:start w:val="1"/>
      <w:numFmt w:val="bullet"/>
      <w:lvlText w:val="•"/>
      <w:lvlJc w:val="left"/>
      <w:pPr>
        <w:ind w:left="7244" w:hanging="720"/>
      </w:pPr>
      <w:rPr>
        <w:rFonts w:hint="default"/>
      </w:rPr>
    </w:lvl>
    <w:lvl w:ilvl="8" w:tentative="0">
      <w:start w:val="1"/>
      <w:numFmt w:val="bullet"/>
      <w:lvlText w:val="•"/>
      <w:lvlJc w:val="left"/>
      <w:pPr>
        <w:ind w:left="8136" w:hanging="720"/>
      </w:pPr>
      <w:rPr>
        <w:rFonts w:hint="default"/>
      </w:rPr>
    </w:lvl>
  </w:abstractNum>
  <w:abstractNum w:abstractNumId="11">
    <w:nsid w:val="6A42359D"/>
    <w:multiLevelType w:val="multilevel"/>
    <w:tmpl w:val="6A42359D"/>
    <w:lvl w:ilvl="0" w:tentative="0">
      <w:start w:val="1"/>
      <w:numFmt w:val="bullet"/>
      <w:lvlText w:val=""/>
      <w:lvlJc w:val="left"/>
      <w:pPr>
        <w:ind w:left="840" w:hanging="360"/>
      </w:pPr>
      <w:rPr>
        <w:rFonts w:hint="default" w:ascii="Symbol" w:hAnsi="Symbol" w:eastAsia="Symbol"/>
        <w:w w:val="99"/>
        <w:sz w:val="20"/>
        <w:szCs w:val="20"/>
      </w:rPr>
    </w:lvl>
    <w:lvl w:ilvl="1" w:tentative="0">
      <w:start w:val="1"/>
      <w:numFmt w:val="bullet"/>
      <w:lvlText w:val="•"/>
      <w:lvlJc w:val="left"/>
      <w:pPr>
        <w:ind w:left="1712" w:hanging="360"/>
      </w:pPr>
      <w:rPr>
        <w:rFonts w:hint="default"/>
      </w:rPr>
    </w:lvl>
    <w:lvl w:ilvl="2" w:tentative="0">
      <w:start w:val="1"/>
      <w:numFmt w:val="bullet"/>
      <w:lvlText w:val="•"/>
      <w:lvlJc w:val="left"/>
      <w:pPr>
        <w:ind w:left="2584" w:hanging="360"/>
      </w:pPr>
      <w:rPr>
        <w:rFonts w:hint="default"/>
      </w:rPr>
    </w:lvl>
    <w:lvl w:ilvl="3" w:tentative="0">
      <w:start w:val="1"/>
      <w:numFmt w:val="bullet"/>
      <w:lvlText w:val="•"/>
      <w:lvlJc w:val="left"/>
      <w:pPr>
        <w:ind w:left="3456" w:hanging="360"/>
      </w:pPr>
      <w:rPr>
        <w:rFonts w:hint="default"/>
      </w:rPr>
    </w:lvl>
    <w:lvl w:ilvl="4" w:tentative="0">
      <w:start w:val="1"/>
      <w:numFmt w:val="bullet"/>
      <w:lvlText w:val="•"/>
      <w:lvlJc w:val="left"/>
      <w:pPr>
        <w:ind w:left="4328"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2" w:hanging="360"/>
      </w:pPr>
      <w:rPr>
        <w:rFonts w:hint="default"/>
      </w:rPr>
    </w:lvl>
    <w:lvl w:ilvl="7" w:tentative="0">
      <w:start w:val="1"/>
      <w:numFmt w:val="bullet"/>
      <w:lvlText w:val="•"/>
      <w:lvlJc w:val="left"/>
      <w:pPr>
        <w:ind w:left="6944" w:hanging="360"/>
      </w:pPr>
      <w:rPr>
        <w:rFonts w:hint="default"/>
      </w:rPr>
    </w:lvl>
    <w:lvl w:ilvl="8" w:tentative="0">
      <w:start w:val="1"/>
      <w:numFmt w:val="bullet"/>
      <w:lvlText w:val="•"/>
      <w:lvlJc w:val="left"/>
      <w:pPr>
        <w:ind w:left="7816" w:hanging="360"/>
      </w:pPr>
      <w:rPr>
        <w:rFonts w:hint="default"/>
      </w:rPr>
    </w:lvl>
  </w:abstractNum>
  <w:abstractNum w:abstractNumId="12">
    <w:nsid w:val="6B1141AA"/>
    <w:multiLevelType w:val="multilevel"/>
    <w:tmpl w:val="6B1141AA"/>
    <w:lvl w:ilvl="0" w:tentative="0">
      <w:start w:val="1"/>
      <w:numFmt w:val="bullet"/>
      <w:lvlText w:val=""/>
      <w:lvlJc w:val="left"/>
      <w:pPr>
        <w:ind w:left="480" w:hanging="360"/>
      </w:pPr>
      <w:rPr>
        <w:rFonts w:hint="default" w:ascii="Symbol" w:hAnsi="Symbol" w:eastAsia="Symbol"/>
        <w:w w:val="99"/>
        <w:sz w:val="24"/>
        <w:szCs w:val="24"/>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o"/>
      <w:lvlJc w:val="left"/>
      <w:pPr>
        <w:ind w:left="1111" w:hanging="360"/>
      </w:pPr>
      <w:rPr>
        <w:rFonts w:hint="default" w:ascii="Courier New" w:hAnsi="Courier New" w:eastAsia="Courier New"/>
        <w:w w:val="100"/>
        <w:sz w:val="24"/>
        <w:szCs w:val="24"/>
      </w:rPr>
    </w:lvl>
    <w:lvl w:ilvl="3" w:tentative="0">
      <w:start w:val="1"/>
      <w:numFmt w:val="bullet"/>
      <w:lvlText w:val="•"/>
      <w:lvlJc w:val="left"/>
      <w:pPr>
        <w:ind w:left="2127" w:hanging="360"/>
      </w:pPr>
      <w:rPr>
        <w:rFonts w:hint="default"/>
      </w:rPr>
    </w:lvl>
    <w:lvl w:ilvl="4" w:tentative="0">
      <w:start w:val="1"/>
      <w:numFmt w:val="bullet"/>
      <w:lvlText w:val="•"/>
      <w:lvlJc w:val="left"/>
      <w:pPr>
        <w:ind w:left="3135" w:hanging="360"/>
      </w:pPr>
      <w:rPr>
        <w:rFonts w:hint="default"/>
      </w:rPr>
    </w:lvl>
    <w:lvl w:ilvl="5" w:tentative="0">
      <w:start w:val="1"/>
      <w:numFmt w:val="bullet"/>
      <w:lvlText w:val="•"/>
      <w:lvlJc w:val="left"/>
      <w:pPr>
        <w:ind w:left="4142" w:hanging="360"/>
      </w:pPr>
      <w:rPr>
        <w:rFonts w:hint="default"/>
      </w:rPr>
    </w:lvl>
    <w:lvl w:ilvl="6" w:tentative="0">
      <w:start w:val="1"/>
      <w:numFmt w:val="bullet"/>
      <w:lvlText w:val="•"/>
      <w:lvlJc w:val="left"/>
      <w:pPr>
        <w:ind w:left="5150" w:hanging="360"/>
      </w:pPr>
      <w:rPr>
        <w:rFonts w:hint="default"/>
      </w:rPr>
    </w:lvl>
    <w:lvl w:ilvl="7" w:tentative="0">
      <w:start w:val="1"/>
      <w:numFmt w:val="bullet"/>
      <w:lvlText w:val="•"/>
      <w:lvlJc w:val="left"/>
      <w:pPr>
        <w:ind w:left="6157" w:hanging="360"/>
      </w:pPr>
      <w:rPr>
        <w:rFonts w:hint="default"/>
      </w:rPr>
    </w:lvl>
    <w:lvl w:ilvl="8" w:tentative="0">
      <w:start w:val="1"/>
      <w:numFmt w:val="bullet"/>
      <w:lvlText w:val="•"/>
      <w:lvlJc w:val="left"/>
      <w:pPr>
        <w:ind w:left="7165" w:hanging="360"/>
      </w:pPr>
      <w:rPr>
        <w:rFonts w:hint="default"/>
      </w:rPr>
    </w:lvl>
  </w:abstractNum>
  <w:abstractNum w:abstractNumId="13">
    <w:nsid w:val="6B893B60"/>
    <w:multiLevelType w:val="multilevel"/>
    <w:tmpl w:val="6B893B60"/>
    <w:lvl w:ilvl="0" w:tentative="0">
      <w:start w:val="1"/>
      <w:numFmt w:val="decimal"/>
      <w:lvlText w:val="%1."/>
      <w:lvlJc w:val="left"/>
      <w:pPr>
        <w:ind w:left="552" w:hanging="432"/>
      </w:pPr>
      <w:rPr>
        <w:rFonts w:hint="default" w:ascii="Arial" w:hAnsi="Arial" w:eastAsia="Arial"/>
        <w:b/>
        <w:bCs/>
        <w:spacing w:val="-3"/>
        <w:w w:val="100"/>
        <w:sz w:val="26"/>
        <w:szCs w:val="26"/>
      </w:rPr>
    </w:lvl>
    <w:lvl w:ilvl="1" w:tentative="0">
      <w:start w:val="1"/>
      <w:numFmt w:val="bullet"/>
      <w:lvlText w:val=""/>
      <w:lvlJc w:val="left"/>
      <w:pPr>
        <w:ind w:left="777" w:hanging="360"/>
      </w:pPr>
      <w:rPr>
        <w:rFonts w:hint="default" w:ascii="Symbol" w:hAnsi="Symbol" w:eastAsia="Symbol"/>
        <w:w w:val="99"/>
      </w:rPr>
    </w:lvl>
    <w:lvl w:ilvl="2" w:tentative="0">
      <w:start w:val="1"/>
      <w:numFmt w:val="bullet"/>
      <w:lvlText w:val="•"/>
      <w:lvlJc w:val="left"/>
      <w:pPr>
        <w:ind w:left="840" w:hanging="360"/>
      </w:pPr>
      <w:rPr>
        <w:rFonts w:hint="default"/>
      </w:rPr>
    </w:lvl>
    <w:lvl w:ilvl="3" w:tentative="0">
      <w:start w:val="1"/>
      <w:numFmt w:val="bullet"/>
      <w:lvlText w:val="•"/>
      <w:lvlJc w:val="left"/>
      <w:pPr>
        <w:ind w:left="1927" w:hanging="360"/>
      </w:pPr>
      <w:rPr>
        <w:rFonts w:hint="default"/>
      </w:rPr>
    </w:lvl>
    <w:lvl w:ilvl="4" w:tentative="0">
      <w:start w:val="1"/>
      <w:numFmt w:val="bullet"/>
      <w:lvlText w:val="•"/>
      <w:lvlJc w:val="left"/>
      <w:pPr>
        <w:ind w:left="3015" w:hanging="360"/>
      </w:pPr>
      <w:rPr>
        <w:rFonts w:hint="default"/>
      </w:rPr>
    </w:lvl>
    <w:lvl w:ilvl="5" w:tentative="0">
      <w:start w:val="1"/>
      <w:numFmt w:val="bullet"/>
      <w:lvlText w:val="•"/>
      <w:lvlJc w:val="left"/>
      <w:pPr>
        <w:ind w:left="4102" w:hanging="360"/>
      </w:pPr>
      <w:rPr>
        <w:rFonts w:hint="default"/>
      </w:rPr>
    </w:lvl>
    <w:lvl w:ilvl="6" w:tentative="0">
      <w:start w:val="1"/>
      <w:numFmt w:val="bullet"/>
      <w:lvlText w:val="•"/>
      <w:lvlJc w:val="left"/>
      <w:pPr>
        <w:ind w:left="5190" w:hanging="360"/>
      </w:pPr>
      <w:rPr>
        <w:rFonts w:hint="default"/>
      </w:rPr>
    </w:lvl>
    <w:lvl w:ilvl="7" w:tentative="0">
      <w:start w:val="1"/>
      <w:numFmt w:val="bullet"/>
      <w:lvlText w:val="•"/>
      <w:lvlJc w:val="left"/>
      <w:pPr>
        <w:ind w:left="6277" w:hanging="360"/>
      </w:pPr>
      <w:rPr>
        <w:rFonts w:hint="default"/>
      </w:rPr>
    </w:lvl>
    <w:lvl w:ilvl="8" w:tentative="0">
      <w:start w:val="1"/>
      <w:numFmt w:val="bullet"/>
      <w:lvlText w:val="•"/>
      <w:lvlJc w:val="left"/>
      <w:pPr>
        <w:ind w:left="7365" w:hanging="360"/>
      </w:pPr>
      <w:rPr>
        <w:rFonts w:hint="default"/>
      </w:rPr>
    </w:lvl>
  </w:abstractNum>
  <w:abstractNum w:abstractNumId="14">
    <w:nsid w:val="7080284E"/>
    <w:multiLevelType w:val="multilevel"/>
    <w:tmpl w:val="7080284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0FE0C72"/>
    <w:multiLevelType w:val="multilevel"/>
    <w:tmpl w:val="70FE0C72"/>
    <w:lvl w:ilvl="0" w:tentative="0">
      <w:start w:val="2"/>
      <w:numFmt w:val="upperLetter"/>
      <w:lvlText w:val="%1."/>
      <w:lvlJc w:val="left"/>
      <w:pPr>
        <w:ind w:left="480" w:hanging="360"/>
      </w:pPr>
      <w:rPr>
        <w:rFonts w:hint="default" w:ascii="Arial" w:hAnsi="Arial" w:eastAsia="Arial"/>
        <w:b/>
        <w:bCs/>
        <w:i/>
        <w:spacing w:val="-1"/>
        <w:w w:val="100"/>
        <w:sz w:val="28"/>
        <w:szCs w:val="28"/>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
      <w:lvlJc w:val="left"/>
      <w:pPr>
        <w:ind w:left="1808" w:hanging="360"/>
      </w:pPr>
      <w:rPr>
        <w:rFonts w:hint="default"/>
      </w:rPr>
    </w:lvl>
    <w:lvl w:ilvl="3" w:tentative="0">
      <w:start w:val="1"/>
      <w:numFmt w:val="bullet"/>
      <w:lvlText w:val="•"/>
      <w:lvlJc w:val="left"/>
      <w:pPr>
        <w:ind w:left="2777" w:hanging="360"/>
      </w:pPr>
      <w:rPr>
        <w:rFonts w:hint="default"/>
      </w:rPr>
    </w:lvl>
    <w:lvl w:ilvl="4" w:tentative="0">
      <w:start w:val="1"/>
      <w:numFmt w:val="bullet"/>
      <w:lvlText w:val="•"/>
      <w:lvlJc w:val="left"/>
      <w:pPr>
        <w:ind w:left="3746" w:hanging="360"/>
      </w:pPr>
      <w:rPr>
        <w:rFonts w:hint="default"/>
      </w:rPr>
    </w:lvl>
    <w:lvl w:ilvl="5" w:tentative="0">
      <w:start w:val="1"/>
      <w:numFmt w:val="bullet"/>
      <w:lvlText w:val="•"/>
      <w:lvlJc w:val="left"/>
      <w:pPr>
        <w:ind w:left="4715" w:hanging="360"/>
      </w:pPr>
      <w:rPr>
        <w:rFonts w:hint="default"/>
      </w:rPr>
    </w:lvl>
    <w:lvl w:ilvl="6" w:tentative="0">
      <w:start w:val="1"/>
      <w:numFmt w:val="bullet"/>
      <w:lvlText w:val="•"/>
      <w:lvlJc w:val="left"/>
      <w:pPr>
        <w:ind w:left="5684" w:hanging="360"/>
      </w:pPr>
      <w:rPr>
        <w:rFonts w:hint="default"/>
      </w:rPr>
    </w:lvl>
    <w:lvl w:ilvl="7" w:tentative="0">
      <w:start w:val="1"/>
      <w:numFmt w:val="bullet"/>
      <w:lvlText w:val="•"/>
      <w:lvlJc w:val="left"/>
      <w:pPr>
        <w:ind w:left="6653" w:hanging="360"/>
      </w:pPr>
      <w:rPr>
        <w:rFonts w:hint="default"/>
      </w:rPr>
    </w:lvl>
    <w:lvl w:ilvl="8" w:tentative="0">
      <w:start w:val="1"/>
      <w:numFmt w:val="bullet"/>
      <w:lvlText w:val="•"/>
      <w:lvlJc w:val="left"/>
      <w:pPr>
        <w:ind w:left="7622" w:hanging="360"/>
      </w:pPr>
      <w:rPr>
        <w:rFonts w:hint="default"/>
      </w:rPr>
    </w:lvl>
  </w:abstractNum>
  <w:abstractNum w:abstractNumId="16">
    <w:nsid w:val="78C14F01"/>
    <w:multiLevelType w:val="multilevel"/>
    <w:tmpl w:val="78C14F01"/>
    <w:lvl w:ilvl="0" w:tentative="0">
      <w:start w:val="1"/>
      <w:numFmt w:val="upperLetter"/>
      <w:lvlText w:val="%1."/>
      <w:lvlJc w:val="left"/>
      <w:pPr>
        <w:ind w:left="660" w:hanging="540"/>
      </w:pPr>
      <w:rPr>
        <w:rFonts w:hint="default" w:ascii="Arial" w:hAnsi="Arial" w:eastAsia="Arial"/>
        <w:b/>
        <w:bCs/>
        <w:i/>
        <w:spacing w:val="-3"/>
        <w:w w:val="100"/>
        <w:sz w:val="28"/>
        <w:szCs w:val="28"/>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
      <w:lvlJc w:val="left"/>
      <w:pPr>
        <w:ind w:left="1200" w:hanging="360"/>
      </w:pPr>
      <w:rPr>
        <w:rFonts w:hint="default"/>
      </w:rPr>
    </w:lvl>
    <w:lvl w:ilvl="3" w:tentative="0">
      <w:start w:val="1"/>
      <w:numFmt w:val="bullet"/>
      <w:lvlText w:val="•"/>
      <w:lvlJc w:val="left"/>
      <w:pPr>
        <w:ind w:left="2245" w:hanging="360"/>
      </w:pPr>
      <w:rPr>
        <w:rFonts w:hint="default"/>
      </w:rPr>
    </w:lvl>
    <w:lvl w:ilvl="4" w:tentative="0">
      <w:start w:val="1"/>
      <w:numFmt w:val="bullet"/>
      <w:lvlText w:val="•"/>
      <w:lvlJc w:val="left"/>
      <w:pPr>
        <w:ind w:left="3290" w:hanging="360"/>
      </w:pPr>
      <w:rPr>
        <w:rFonts w:hint="default"/>
      </w:rPr>
    </w:lvl>
    <w:lvl w:ilvl="5" w:tentative="0">
      <w:start w:val="1"/>
      <w:numFmt w:val="bullet"/>
      <w:lvlText w:val="•"/>
      <w:lvlJc w:val="left"/>
      <w:pPr>
        <w:ind w:left="4335" w:hanging="360"/>
      </w:pPr>
      <w:rPr>
        <w:rFonts w:hint="default"/>
      </w:rPr>
    </w:lvl>
    <w:lvl w:ilvl="6" w:tentative="0">
      <w:start w:val="1"/>
      <w:numFmt w:val="bullet"/>
      <w:lvlText w:val="•"/>
      <w:lvlJc w:val="left"/>
      <w:pPr>
        <w:ind w:left="5380" w:hanging="360"/>
      </w:pPr>
      <w:rPr>
        <w:rFonts w:hint="default"/>
      </w:rPr>
    </w:lvl>
    <w:lvl w:ilvl="7" w:tentative="0">
      <w:start w:val="1"/>
      <w:numFmt w:val="bullet"/>
      <w:lvlText w:val="•"/>
      <w:lvlJc w:val="left"/>
      <w:pPr>
        <w:ind w:left="6425" w:hanging="360"/>
      </w:pPr>
      <w:rPr>
        <w:rFonts w:hint="default"/>
      </w:rPr>
    </w:lvl>
    <w:lvl w:ilvl="8" w:tentative="0">
      <w:start w:val="1"/>
      <w:numFmt w:val="bullet"/>
      <w:lvlText w:val="•"/>
      <w:lvlJc w:val="left"/>
      <w:pPr>
        <w:ind w:left="7470" w:hanging="360"/>
      </w:pPr>
      <w:rPr>
        <w:rFonts w:hint="default"/>
      </w:rPr>
    </w:lvl>
  </w:abstractNum>
  <w:abstractNum w:abstractNumId="17">
    <w:nsid w:val="7B720876"/>
    <w:multiLevelType w:val="multilevel"/>
    <w:tmpl w:val="7B720876"/>
    <w:lvl w:ilvl="0" w:tentative="0">
      <w:start w:val="1"/>
      <w:numFmt w:val="decimal"/>
      <w:lvlText w:val="%1."/>
      <w:lvlJc w:val="left"/>
      <w:pPr>
        <w:ind w:left="480" w:hanging="360"/>
      </w:pPr>
      <w:rPr>
        <w:rFonts w:hint="default" w:ascii="Arial" w:hAnsi="Arial" w:eastAsia="Times New Roman" w:cs="Arial"/>
        <w:spacing w:val="-5"/>
        <w:w w:val="100"/>
        <w:sz w:val="24"/>
        <w:szCs w:val="24"/>
      </w:rPr>
    </w:lvl>
    <w:lvl w:ilvl="1" w:tentative="0">
      <w:start w:val="1"/>
      <w:numFmt w:val="bullet"/>
      <w:lvlText w:val="•"/>
      <w:lvlJc w:val="left"/>
      <w:pPr>
        <w:ind w:left="1388" w:hanging="360"/>
      </w:pPr>
      <w:rPr>
        <w:rFonts w:hint="default"/>
      </w:rPr>
    </w:lvl>
    <w:lvl w:ilvl="2" w:tentative="0">
      <w:start w:val="1"/>
      <w:numFmt w:val="bullet"/>
      <w:lvlText w:val="•"/>
      <w:lvlJc w:val="left"/>
      <w:pPr>
        <w:ind w:left="2296" w:hanging="360"/>
      </w:pPr>
      <w:rPr>
        <w:rFonts w:hint="default"/>
      </w:rPr>
    </w:lvl>
    <w:lvl w:ilvl="3" w:tentative="0">
      <w:start w:val="1"/>
      <w:numFmt w:val="bullet"/>
      <w:lvlText w:val="•"/>
      <w:lvlJc w:val="left"/>
      <w:pPr>
        <w:ind w:left="3204" w:hanging="360"/>
      </w:pPr>
      <w:rPr>
        <w:rFonts w:hint="default"/>
      </w:rPr>
    </w:lvl>
    <w:lvl w:ilvl="4" w:tentative="0">
      <w:start w:val="1"/>
      <w:numFmt w:val="bullet"/>
      <w:lvlText w:val="•"/>
      <w:lvlJc w:val="left"/>
      <w:pPr>
        <w:ind w:left="4112"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28" w:hanging="360"/>
      </w:pPr>
      <w:rPr>
        <w:rFonts w:hint="default"/>
      </w:rPr>
    </w:lvl>
    <w:lvl w:ilvl="7" w:tentative="0">
      <w:start w:val="1"/>
      <w:numFmt w:val="bullet"/>
      <w:lvlText w:val="•"/>
      <w:lvlJc w:val="left"/>
      <w:pPr>
        <w:ind w:left="6836" w:hanging="360"/>
      </w:pPr>
      <w:rPr>
        <w:rFonts w:hint="default"/>
      </w:rPr>
    </w:lvl>
    <w:lvl w:ilvl="8" w:tentative="0">
      <w:start w:val="1"/>
      <w:numFmt w:val="bullet"/>
      <w:lvlText w:val="•"/>
      <w:lvlJc w:val="left"/>
      <w:pPr>
        <w:ind w:left="7744" w:hanging="360"/>
      </w:pPr>
      <w:rPr>
        <w:rFonts w:hint="default"/>
      </w:rPr>
    </w:lvl>
  </w:abstractNum>
  <w:num w:numId="1">
    <w:abstractNumId w:val="10"/>
  </w:num>
  <w:num w:numId="2">
    <w:abstractNumId w:val="16"/>
  </w:num>
  <w:num w:numId="3">
    <w:abstractNumId w:val="1"/>
  </w:num>
  <w:num w:numId="4">
    <w:abstractNumId w:val="4"/>
  </w:num>
  <w:num w:numId="5">
    <w:abstractNumId w:val="9"/>
  </w:num>
  <w:num w:numId="6">
    <w:abstractNumId w:val="15"/>
  </w:num>
  <w:num w:numId="7">
    <w:abstractNumId w:val="2"/>
  </w:num>
  <w:num w:numId="8">
    <w:abstractNumId w:val="11"/>
  </w:num>
  <w:num w:numId="9">
    <w:abstractNumId w:val="6"/>
  </w:num>
  <w:num w:numId="10">
    <w:abstractNumId w:val="5"/>
  </w:num>
  <w:num w:numId="11">
    <w:abstractNumId w:val="12"/>
  </w:num>
  <w:num w:numId="12">
    <w:abstractNumId w:val="7"/>
  </w:num>
  <w:num w:numId="13">
    <w:abstractNumId w:val="13"/>
  </w:num>
  <w:num w:numId="14">
    <w:abstractNumId w:val="0"/>
  </w:num>
  <w:num w:numId="15">
    <w:abstractNumId w:val="3"/>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DF"/>
    <w:rsid w:val="00011424"/>
    <w:rsid w:val="00014F1A"/>
    <w:rsid w:val="000162C1"/>
    <w:rsid w:val="000237BE"/>
    <w:rsid w:val="00030642"/>
    <w:rsid w:val="00031771"/>
    <w:rsid w:val="000317BB"/>
    <w:rsid w:val="00047FC5"/>
    <w:rsid w:val="000574AC"/>
    <w:rsid w:val="0006635C"/>
    <w:rsid w:val="00067B19"/>
    <w:rsid w:val="000701C7"/>
    <w:rsid w:val="000733D5"/>
    <w:rsid w:val="00084C27"/>
    <w:rsid w:val="00087B8D"/>
    <w:rsid w:val="00095515"/>
    <w:rsid w:val="000A05A4"/>
    <w:rsid w:val="000A29E4"/>
    <w:rsid w:val="000A7D30"/>
    <w:rsid w:val="000D4C53"/>
    <w:rsid w:val="000D6646"/>
    <w:rsid w:val="000E503B"/>
    <w:rsid w:val="000F74F1"/>
    <w:rsid w:val="001023EA"/>
    <w:rsid w:val="00104E02"/>
    <w:rsid w:val="0011782A"/>
    <w:rsid w:val="00120722"/>
    <w:rsid w:val="00120738"/>
    <w:rsid w:val="0012114A"/>
    <w:rsid w:val="0012361B"/>
    <w:rsid w:val="00123ADF"/>
    <w:rsid w:val="00134A48"/>
    <w:rsid w:val="00135C48"/>
    <w:rsid w:val="001461FD"/>
    <w:rsid w:val="00153ED7"/>
    <w:rsid w:val="00154645"/>
    <w:rsid w:val="00160D94"/>
    <w:rsid w:val="00161443"/>
    <w:rsid w:val="001705D7"/>
    <w:rsid w:val="00171CEA"/>
    <w:rsid w:val="00171DD8"/>
    <w:rsid w:val="001739B8"/>
    <w:rsid w:val="00175A40"/>
    <w:rsid w:val="00176838"/>
    <w:rsid w:val="00177C5A"/>
    <w:rsid w:val="001B044A"/>
    <w:rsid w:val="001C4BEF"/>
    <w:rsid w:val="001D1D44"/>
    <w:rsid w:val="001D32F1"/>
    <w:rsid w:val="001E36FB"/>
    <w:rsid w:val="001F63D5"/>
    <w:rsid w:val="00212035"/>
    <w:rsid w:val="00212AD1"/>
    <w:rsid w:val="00212E63"/>
    <w:rsid w:val="00214650"/>
    <w:rsid w:val="0021735F"/>
    <w:rsid w:val="00223B2E"/>
    <w:rsid w:val="0024452B"/>
    <w:rsid w:val="002534D7"/>
    <w:rsid w:val="00257E66"/>
    <w:rsid w:val="00275A5A"/>
    <w:rsid w:val="002924D8"/>
    <w:rsid w:val="00295E97"/>
    <w:rsid w:val="002A4B6C"/>
    <w:rsid w:val="002B0FEA"/>
    <w:rsid w:val="002B25D8"/>
    <w:rsid w:val="002D483C"/>
    <w:rsid w:val="002E7BEA"/>
    <w:rsid w:val="002F233D"/>
    <w:rsid w:val="002F3703"/>
    <w:rsid w:val="002F40F1"/>
    <w:rsid w:val="00301103"/>
    <w:rsid w:val="003058EA"/>
    <w:rsid w:val="00307033"/>
    <w:rsid w:val="00321721"/>
    <w:rsid w:val="00321A76"/>
    <w:rsid w:val="0033087D"/>
    <w:rsid w:val="0035618C"/>
    <w:rsid w:val="003617B8"/>
    <w:rsid w:val="00362753"/>
    <w:rsid w:val="00371084"/>
    <w:rsid w:val="00373A78"/>
    <w:rsid w:val="003A232D"/>
    <w:rsid w:val="003A655C"/>
    <w:rsid w:val="003B46E7"/>
    <w:rsid w:val="003C19DB"/>
    <w:rsid w:val="003C721E"/>
    <w:rsid w:val="003D7FBE"/>
    <w:rsid w:val="003E417C"/>
    <w:rsid w:val="003E6A99"/>
    <w:rsid w:val="003F121D"/>
    <w:rsid w:val="003F3FEF"/>
    <w:rsid w:val="003F77EB"/>
    <w:rsid w:val="00400C2F"/>
    <w:rsid w:val="00430A1F"/>
    <w:rsid w:val="00430F77"/>
    <w:rsid w:val="00433CE2"/>
    <w:rsid w:val="00437547"/>
    <w:rsid w:val="004418C8"/>
    <w:rsid w:val="00442614"/>
    <w:rsid w:val="00442FF9"/>
    <w:rsid w:val="00445221"/>
    <w:rsid w:val="004544DD"/>
    <w:rsid w:val="00457FBA"/>
    <w:rsid w:val="00474BE8"/>
    <w:rsid w:val="0048399E"/>
    <w:rsid w:val="00497EAB"/>
    <w:rsid w:val="004A015E"/>
    <w:rsid w:val="004A367B"/>
    <w:rsid w:val="004B0C1A"/>
    <w:rsid w:val="004C5E96"/>
    <w:rsid w:val="004D28EB"/>
    <w:rsid w:val="004F039C"/>
    <w:rsid w:val="004F625B"/>
    <w:rsid w:val="005005BE"/>
    <w:rsid w:val="00517BAB"/>
    <w:rsid w:val="00535A3A"/>
    <w:rsid w:val="00565046"/>
    <w:rsid w:val="00566949"/>
    <w:rsid w:val="00570D5D"/>
    <w:rsid w:val="00574283"/>
    <w:rsid w:val="00574775"/>
    <w:rsid w:val="00582B2F"/>
    <w:rsid w:val="005A79E9"/>
    <w:rsid w:val="005B29A4"/>
    <w:rsid w:val="005D7877"/>
    <w:rsid w:val="005F5FC1"/>
    <w:rsid w:val="00611FDC"/>
    <w:rsid w:val="00616CC6"/>
    <w:rsid w:val="006220FB"/>
    <w:rsid w:val="006313C9"/>
    <w:rsid w:val="00633C5E"/>
    <w:rsid w:val="00634F1E"/>
    <w:rsid w:val="00650909"/>
    <w:rsid w:val="0066405B"/>
    <w:rsid w:val="00664A0E"/>
    <w:rsid w:val="006677AD"/>
    <w:rsid w:val="006716D7"/>
    <w:rsid w:val="0067556B"/>
    <w:rsid w:val="006934E4"/>
    <w:rsid w:val="00694425"/>
    <w:rsid w:val="00695E0C"/>
    <w:rsid w:val="00697D2D"/>
    <w:rsid w:val="006B5242"/>
    <w:rsid w:val="006B6D48"/>
    <w:rsid w:val="006C273E"/>
    <w:rsid w:val="006D4E4A"/>
    <w:rsid w:val="006F347C"/>
    <w:rsid w:val="006F677A"/>
    <w:rsid w:val="006F6EB9"/>
    <w:rsid w:val="007039CD"/>
    <w:rsid w:val="00704F9D"/>
    <w:rsid w:val="007148B3"/>
    <w:rsid w:val="00723526"/>
    <w:rsid w:val="00723B20"/>
    <w:rsid w:val="00724903"/>
    <w:rsid w:val="00761A6F"/>
    <w:rsid w:val="00781A37"/>
    <w:rsid w:val="00783284"/>
    <w:rsid w:val="007A0A56"/>
    <w:rsid w:val="007C2A88"/>
    <w:rsid w:val="007C47F6"/>
    <w:rsid w:val="007C60AC"/>
    <w:rsid w:val="007D5EFD"/>
    <w:rsid w:val="007D604F"/>
    <w:rsid w:val="007E0C46"/>
    <w:rsid w:val="007F0C5B"/>
    <w:rsid w:val="008030FE"/>
    <w:rsid w:val="00807F91"/>
    <w:rsid w:val="00834272"/>
    <w:rsid w:val="008366C8"/>
    <w:rsid w:val="0084158D"/>
    <w:rsid w:val="00844535"/>
    <w:rsid w:val="0085502A"/>
    <w:rsid w:val="00856870"/>
    <w:rsid w:val="008679AB"/>
    <w:rsid w:val="008726FD"/>
    <w:rsid w:val="008758BE"/>
    <w:rsid w:val="0087659E"/>
    <w:rsid w:val="00881B47"/>
    <w:rsid w:val="008825D9"/>
    <w:rsid w:val="00886DAC"/>
    <w:rsid w:val="00891664"/>
    <w:rsid w:val="0089354E"/>
    <w:rsid w:val="008A327F"/>
    <w:rsid w:val="008B664B"/>
    <w:rsid w:val="008C0654"/>
    <w:rsid w:val="008D5773"/>
    <w:rsid w:val="008E0653"/>
    <w:rsid w:val="008E6B29"/>
    <w:rsid w:val="008F7917"/>
    <w:rsid w:val="00901F3A"/>
    <w:rsid w:val="009137D7"/>
    <w:rsid w:val="009401D7"/>
    <w:rsid w:val="00943F7D"/>
    <w:rsid w:val="00957CF1"/>
    <w:rsid w:val="00957D35"/>
    <w:rsid w:val="009622F6"/>
    <w:rsid w:val="009701ED"/>
    <w:rsid w:val="00987B71"/>
    <w:rsid w:val="00994CAA"/>
    <w:rsid w:val="009A2A87"/>
    <w:rsid w:val="009B1790"/>
    <w:rsid w:val="009B5530"/>
    <w:rsid w:val="009C1E10"/>
    <w:rsid w:val="009C3235"/>
    <w:rsid w:val="009C4ADE"/>
    <w:rsid w:val="009D08C2"/>
    <w:rsid w:val="009D0958"/>
    <w:rsid w:val="009D13C5"/>
    <w:rsid w:val="009E3316"/>
    <w:rsid w:val="009E3BA9"/>
    <w:rsid w:val="00A0537A"/>
    <w:rsid w:val="00A0579A"/>
    <w:rsid w:val="00A13E5F"/>
    <w:rsid w:val="00A20729"/>
    <w:rsid w:val="00A32E15"/>
    <w:rsid w:val="00A504C4"/>
    <w:rsid w:val="00A72CB5"/>
    <w:rsid w:val="00A736FF"/>
    <w:rsid w:val="00A81956"/>
    <w:rsid w:val="00A84440"/>
    <w:rsid w:val="00A86B77"/>
    <w:rsid w:val="00AA39A3"/>
    <w:rsid w:val="00AE4BFC"/>
    <w:rsid w:val="00AF4145"/>
    <w:rsid w:val="00B220EE"/>
    <w:rsid w:val="00B22A4A"/>
    <w:rsid w:val="00B25785"/>
    <w:rsid w:val="00B324C0"/>
    <w:rsid w:val="00B529BF"/>
    <w:rsid w:val="00B56B56"/>
    <w:rsid w:val="00B6770F"/>
    <w:rsid w:val="00B77762"/>
    <w:rsid w:val="00B90ED5"/>
    <w:rsid w:val="00BA0F1F"/>
    <w:rsid w:val="00BA4B9E"/>
    <w:rsid w:val="00BB28C9"/>
    <w:rsid w:val="00BB3079"/>
    <w:rsid w:val="00BC0A4F"/>
    <w:rsid w:val="00BE51C0"/>
    <w:rsid w:val="00BF4EE8"/>
    <w:rsid w:val="00BF5818"/>
    <w:rsid w:val="00C21358"/>
    <w:rsid w:val="00C2143C"/>
    <w:rsid w:val="00C361B6"/>
    <w:rsid w:val="00C37F2D"/>
    <w:rsid w:val="00C41C85"/>
    <w:rsid w:val="00C42D4D"/>
    <w:rsid w:val="00C55141"/>
    <w:rsid w:val="00C75BC6"/>
    <w:rsid w:val="00C92F9D"/>
    <w:rsid w:val="00CA33DA"/>
    <w:rsid w:val="00CA4542"/>
    <w:rsid w:val="00CB6126"/>
    <w:rsid w:val="00CD1E66"/>
    <w:rsid w:val="00CE5341"/>
    <w:rsid w:val="00CE5FFF"/>
    <w:rsid w:val="00CF030B"/>
    <w:rsid w:val="00D040B5"/>
    <w:rsid w:val="00D063B3"/>
    <w:rsid w:val="00D61B0C"/>
    <w:rsid w:val="00D629CB"/>
    <w:rsid w:val="00D648C9"/>
    <w:rsid w:val="00D64B83"/>
    <w:rsid w:val="00D9148F"/>
    <w:rsid w:val="00DA4980"/>
    <w:rsid w:val="00DB6320"/>
    <w:rsid w:val="00DC7A2E"/>
    <w:rsid w:val="00DE0535"/>
    <w:rsid w:val="00DE0C4E"/>
    <w:rsid w:val="00DE1E44"/>
    <w:rsid w:val="00DF4FFB"/>
    <w:rsid w:val="00E01660"/>
    <w:rsid w:val="00E01BB3"/>
    <w:rsid w:val="00E04D7E"/>
    <w:rsid w:val="00E17368"/>
    <w:rsid w:val="00E23A98"/>
    <w:rsid w:val="00E3220D"/>
    <w:rsid w:val="00E3500E"/>
    <w:rsid w:val="00E37C0A"/>
    <w:rsid w:val="00E401AA"/>
    <w:rsid w:val="00E43561"/>
    <w:rsid w:val="00E457FC"/>
    <w:rsid w:val="00E64247"/>
    <w:rsid w:val="00E87CF4"/>
    <w:rsid w:val="00E94A94"/>
    <w:rsid w:val="00EA51C6"/>
    <w:rsid w:val="00EB5AC7"/>
    <w:rsid w:val="00EC4391"/>
    <w:rsid w:val="00EC4C52"/>
    <w:rsid w:val="00EC72BE"/>
    <w:rsid w:val="00ED6F71"/>
    <w:rsid w:val="00EE3096"/>
    <w:rsid w:val="00EF4D0D"/>
    <w:rsid w:val="00EF5622"/>
    <w:rsid w:val="00F00D53"/>
    <w:rsid w:val="00F03B13"/>
    <w:rsid w:val="00F03F71"/>
    <w:rsid w:val="00F046BC"/>
    <w:rsid w:val="00F1184F"/>
    <w:rsid w:val="00F1272D"/>
    <w:rsid w:val="00F26328"/>
    <w:rsid w:val="00F327B0"/>
    <w:rsid w:val="00F44060"/>
    <w:rsid w:val="00F502FF"/>
    <w:rsid w:val="00F53287"/>
    <w:rsid w:val="00F60965"/>
    <w:rsid w:val="00F62803"/>
    <w:rsid w:val="00F64249"/>
    <w:rsid w:val="00F7500B"/>
    <w:rsid w:val="00F9724D"/>
    <w:rsid w:val="00F97CAB"/>
    <w:rsid w:val="00FB09E2"/>
    <w:rsid w:val="00FB77D4"/>
    <w:rsid w:val="00FC1084"/>
    <w:rsid w:val="00FC209B"/>
    <w:rsid w:val="00FC4F7F"/>
    <w:rsid w:val="00FE2788"/>
    <w:rsid w:val="00FE6A04"/>
    <w:rsid w:val="7228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220"/>
      <w:ind w:left="840" w:hanging="720"/>
      <w:outlineLvl w:val="0"/>
    </w:pPr>
    <w:rPr>
      <w:rFonts w:ascii="Times New Roman" w:hAnsi="Times New Roman" w:eastAsia="Times New Roman"/>
      <w:b/>
      <w:bCs/>
      <w:sz w:val="36"/>
      <w:szCs w:val="36"/>
    </w:rPr>
  </w:style>
  <w:style w:type="paragraph" w:styleId="3">
    <w:name w:val="heading 2"/>
    <w:basedOn w:val="1"/>
    <w:qFormat/>
    <w:uiPriority w:val="1"/>
    <w:pPr>
      <w:ind w:left="660" w:hanging="540"/>
      <w:outlineLvl w:val="1"/>
    </w:pPr>
    <w:rPr>
      <w:rFonts w:ascii="Arial" w:hAnsi="Arial" w:eastAsia="Arial"/>
      <w:b/>
      <w:bCs/>
      <w:i/>
      <w:sz w:val="28"/>
      <w:szCs w:val="28"/>
    </w:rPr>
  </w:style>
  <w:style w:type="paragraph" w:styleId="4">
    <w:name w:val="heading 3"/>
    <w:basedOn w:val="1"/>
    <w:qFormat/>
    <w:uiPriority w:val="1"/>
    <w:pPr>
      <w:ind w:left="552" w:hanging="432"/>
      <w:outlineLvl w:val="2"/>
    </w:pPr>
    <w:rPr>
      <w:rFonts w:ascii="Arial" w:hAnsi="Arial" w:eastAsia="Arial"/>
      <w:b/>
      <w:bCs/>
      <w:sz w:val="26"/>
      <w:szCs w:val="26"/>
    </w:rPr>
  </w:style>
  <w:style w:type="paragraph" w:styleId="5">
    <w:name w:val="heading 4"/>
    <w:basedOn w:val="1"/>
    <w:qFormat/>
    <w:uiPriority w:val="1"/>
    <w:pPr>
      <w:ind w:left="1020"/>
      <w:outlineLvl w:val="3"/>
    </w:pPr>
    <w:rPr>
      <w:rFonts w:ascii="Times New Roman" w:hAnsi="Times New Roman" w:eastAsia="Times New Roman"/>
      <w:b/>
      <w:bCs/>
      <w:sz w:val="24"/>
      <w:szCs w:val="24"/>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ind w:left="120" w:hanging="360"/>
    </w:pPr>
    <w:rPr>
      <w:rFonts w:ascii="Times New Roman" w:hAnsi="Times New Roman" w:eastAsia="Times New Roman"/>
      <w:sz w:val="24"/>
      <w:szCs w:val="24"/>
    </w:rPr>
  </w:style>
  <w:style w:type="paragraph" w:styleId="7">
    <w:name w:val="toc 5"/>
    <w:basedOn w:val="1"/>
    <w:qFormat/>
    <w:uiPriority w:val="1"/>
    <w:pPr>
      <w:ind w:left="820"/>
    </w:pPr>
    <w:rPr>
      <w:rFonts w:ascii="Times New Roman" w:hAnsi="Times New Roman" w:eastAsia="Times New Roman"/>
      <w:b/>
      <w:bCs/>
      <w:i/>
    </w:rPr>
  </w:style>
  <w:style w:type="paragraph" w:styleId="8">
    <w:name w:val="toc 3"/>
    <w:basedOn w:val="1"/>
    <w:qFormat/>
    <w:uiPriority w:val="39"/>
    <w:pPr>
      <w:ind w:left="820" w:hanging="480"/>
    </w:pPr>
    <w:rPr>
      <w:rFonts w:ascii="Times New Roman" w:hAnsi="Times New Roman" w:eastAsia="Times New Roman"/>
      <w:b/>
      <w:bCs/>
      <w:i/>
    </w:rPr>
  </w:style>
  <w:style w:type="paragraph" w:styleId="9">
    <w:name w:val="Balloon Text"/>
    <w:basedOn w:val="1"/>
    <w:link w:val="25"/>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pacing w:before="120"/>
      <w:ind w:left="640" w:hanging="540"/>
    </w:pPr>
    <w:rPr>
      <w:rFonts w:ascii="Times New Roman" w:hAnsi="Times New Roman" w:eastAsia="Times New Roman"/>
      <w:b/>
      <w:bCs/>
      <w:sz w:val="20"/>
      <w:szCs w:val="20"/>
    </w:rPr>
  </w:style>
  <w:style w:type="paragraph" w:styleId="13">
    <w:name w:val="toc 4"/>
    <w:basedOn w:val="1"/>
    <w:qFormat/>
    <w:uiPriority w:val="1"/>
    <w:pPr>
      <w:ind w:left="640"/>
    </w:pPr>
    <w:rPr>
      <w:rFonts w:ascii="Times New Roman" w:hAnsi="Times New Roman" w:eastAsia="Times New Roman"/>
      <w:b/>
      <w:bCs/>
      <w:sz w:val="20"/>
      <w:szCs w:val="20"/>
    </w:rPr>
  </w:style>
  <w:style w:type="paragraph" w:styleId="14">
    <w:name w:val="toc 2"/>
    <w:basedOn w:val="1"/>
    <w:qFormat/>
    <w:uiPriority w:val="39"/>
    <w:pPr>
      <w:ind w:left="820" w:hanging="480"/>
    </w:pPr>
    <w:rPr>
      <w:rFonts w:ascii="Times New Roman" w:hAnsi="Times New Roman" w:eastAsia="Times New Roman"/>
      <w:sz w:val="16"/>
      <w:szCs w:val="16"/>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页眉 Char"/>
    <w:basedOn w:val="16"/>
    <w:link w:val="11"/>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web-item2"/>
    <w:basedOn w:val="16"/>
    <w:qFormat/>
    <w:uiPriority w:val="0"/>
    <w:rPr>
      <w:sz w:val="18"/>
      <w:szCs w:val="18"/>
    </w:rPr>
  </w:style>
  <w:style w:type="paragraph" w:customStyle="1" w:styleId="24">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25">
    <w:name w:val="批注框文本 Char"/>
    <w:basedOn w:val="16"/>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8B494-7F54-4621-B4CA-59BA88D7494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18479</Words>
  <Characters>21322</Characters>
  <Lines>272</Lines>
  <Paragraphs>76</Paragraphs>
  <TotalTime>1</TotalTime>
  <ScaleCrop>false</ScaleCrop>
  <LinksUpToDate>false</LinksUpToDate>
  <CharactersWithSpaces>21635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2017-06-09T06:08:00Z</dcterms:created>
  <dc:creator>lxd</dc:creator>
  <cp:lastModifiedBy>太极箫客</cp:lastModifiedBy>
  <dcterms:modified xsi:type="dcterms:W3CDTF">2025-08-14T07:12:52Z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LastSaved">
    <vt:filetime>2017-03-18T00:00:00Z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84A72F27A67C4796921B0183C1E92951_12</vt:lpwstr>
  </property>
</Properties>
</file>