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05876">
      <w:pPr>
        <w:pBdr>
          <w:bottom w:val="single" w:color="auto" w:sz="4" w:space="1"/>
        </w:pBdr>
        <w:snapToGrid w:val="0"/>
        <w:spacing w:before="480" w:beforeLines="200" w:after="120" w:afterLines="50" w:line="300" w:lineRule="auto"/>
        <w:jc w:val="center"/>
        <w:rPr>
          <w:rFonts w:ascii="Arial" w:hAnsi="Arial" w:eastAsia="宋体" w:cs="Arial"/>
          <w:sz w:val="52"/>
          <w:szCs w:val="52"/>
          <w:lang w:eastAsia="zh-CN"/>
        </w:rPr>
      </w:pPr>
      <w:bookmarkStart w:id="16" w:name="_GoBack"/>
      <w:bookmarkEnd w:id="16"/>
      <w:r>
        <w:rPr>
          <w:rFonts w:ascii="Arial" w:hAnsi="Arial" w:eastAsia="宋体" w:cs="Arial"/>
          <w:b/>
          <w:sz w:val="52"/>
          <w:szCs w:val="52"/>
          <w:lang w:eastAsia="zh-CN"/>
        </w:rPr>
        <w:t>磁共振诊断器械重大风险研究标准</w:t>
      </w:r>
    </w:p>
    <w:p w14:paraId="37BB8D4F">
      <w:pPr>
        <w:snapToGrid w:val="0"/>
        <w:spacing w:after="120" w:afterLines="50" w:line="300" w:lineRule="auto"/>
        <w:jc w:val="center"/>
        <w:rPr>
          <w:rFonts w:ascii="Arial" w:hAnsi="Arial" w:eastAsia="宋体" w:cs="Arial"/>
          <w:b/>
          <w:sz w:val="52"/>
          <w:szCs w:val="52"/>
          <w:lang w:eastAsia="zh-CN"/>
        </w:rPr>
      </w:pPr>
      <w:r>
        <w:rPr>
          <w:rFonts w:ascii="Arial" w:hAnsi="Arial" w:eastAsia="宋体" w:cs="Arial"/>
          <w:b/>
          <w:sz w:val="52"/>
          <w:szCs w:val="52"/>
          <w:lang w:eastAsia="zh-CN"/>
        </w:rPr>
        <w:t>行业及食品药品监督管理局工作人员指南</w:t>
      </w:r>
    </w:p>
    <w:p w14:paraId="7CEC8DC0">
      <w:pPr>
        <w:pStyle w:val="14"/>
        <w:snapToGrid w:val="0"/>
        <w:spacing w:before="240" w:beforeLines="100" w:after="240" w:afterLines="100" w:line="300" w:lineRule="auto"/>
        <w:ind w:left="0"/>
        <w:jc w:val="center"/>
        <w:rPr>
          <w:rFonts w:ascii="Arial" w:hAnsi="Arial" w:eastAsia="宋体" w:cs="Arial"/>
          <w:b w:val="0"/>
          <w:bCs w:val="0"/>
          <w:lang w:eastAsia="zh-CN"/>
        </w:rPr>
      </w:pPr>
      <w:r>
        <w:rPr>
          <w:rFonts w:ascii="Arial" w:hAnsi="Arial" w:eastAsia="宋体" w:cs="Arial"/>
          <w:lang w:eastAsia="zh-CN"/>
        </w:rPr>
        <w:t>文件发布日期：2014年6月20日</w:t>
      </w:r>
    </w:p>
    <w:p w14:paraId="0B787715">
      <w:pPr>
        <w:snapToGrid w:val="0"/>
        <w:spacing w:after="120" w:afterLines="50" w:line="300" w:lineRule="auto"/>
        <w:rPr>
          <w:rFonts w:ascii="Arial" w:hAnsi="Arial" w:eastAsia="宋体" w:cs="Arial"/>
          <w:sz w:val="28"/>
          <w:szCs w:val="28"/>
          <w:lang w:eastAsia="zh-CN"/>
        </w:rPr>
      </w:pPr>
      <w:r>
        <w:rPr>
          <w:rFonts w:ascii="Arial" w:hAnsi="Arial" w:eastAsia="宋体" w:cs="Arial"/>
          <w:b/>
          <w:bCs/>
          <w:sz w:val="28"/>
          <w:szCs w:val="28"/>
          <w:lang w:eastAsia="zh-CN"/>
        </w:rPr>
        <w:t>本文件取代2003 年7月14日发布的</w:t>
      </w:r>
      <w:r>
        <w:rPr>
          <w:rFonts w:ascii="宋体" w:hAnsi="宋体" w:eastAsia="宋体" w:cs="Arial"/>
          <w:b/>
          <w:bCs/>
          <w:sz w:val="28"/>
          <w:szCs w:val="28"/>
          <w:lang w:eastAsia="zh-CN"/>
        </w:rPr>
        <w:t>“</w:t>
      </w:r>
      <w:r>
        <w:rPr>
          <w:rFonts w:ascii="Arial" w:hAnsi="Arial" w:eastAsia="宋体" w:cs="Arial"/>
          <w:b/>
          <w:bCs/>
          <w:sz w:val="28"/>
          <w:szCs w:val="28"/>
          <w:lang w:eastAsia="zh-CN"/>
        </w:rPr>
        <w:t>行业及FDA工作人员指南–磁共振诊断器械重大风险研究标准</w:t>
      </w:r>
      <w:r>
        <w:rPr>
          <w:rFonts w:ascii="宋体" w:hAnsi="宋体" w:eastAsia="宋体" w:cs="Arial"/>
          <w:b/>
          <w:bCs/>
          <w:sz w:val="28"/>
          <w:szCs w:val="28"/>
          <w:lang w:eastAsia="zh-CN"/>
        </w:rPr>
        <w:t>”</w:t>
      </w:r>
    </w:p>
    <w:p w14:paraId="18FE8D13">
      <w:pPr>
        <w:snapToGrid w:val="0"/>
        <w:spacing w:after="120" w:afterLines="50" w:line="300" w:lineRule="auto"/>
        <w:rPr>
          <w:rFonts w:ascii="Arial" w:hAnsi="Arial" w:eastAsia="宋体" w:cs="Arial"/>
          <w:b/>
          <w:bCs/>
          <w:sz w:val="28"/>
          <w:szCs w:val="28"/>
          <w:lang w:eastAsia="zh-CN"/>
        </w:rPr>
      </w:pPr>
    </w:p>
    <w:p w14:paraId="0BFBFCA7">
      <w:pPr>
        <w:pStyle w:val="15"/>
        <w:snapToGrid w:val="0"/>
        <w:spacing w:after="120" w:afterLines="50" w:line="300" w:lineRule="auto"/>
        <w:ind w:left="0"/>
        <w:rPr>
          <w:rFonts w:ascii="Arial" w:hAnsi="Arial" w:eastAsia="宋体" w:cs="Arial"/>
          <w:lang w:eastAsia="zh-CN"/>
        </w:rPr>
      </w:pPr>
      <w:r>
        <w:rPr>
          <w:rFonts w:ascii="Arial" w:hAnsi="Arial" w:eastAsia="宋体" w:cs="Arial"/>
          <w:lang w:eastAsia="zh-CN"/>
        </w:rPr>
        <w:t>2014年6月20日编制本文件以修正关于比吸收率（SAR）的表格并稍作格式调整以及更新联系信息。</w:t>
      </w:r>
    </w:p>
    <w:p w14:paraId="6EF74E21">
      <w:pPr>
        <w:snapToGrid w:val="0"/>
        <w:spacing w:after="120" w:afterLines="50" w:line="300" w:lineRule="auto"/>
        <w:rPr>
          <w:rFonts w:ascii="Arial" w:hAnsi="Arial" w:eastAsia="宋体" w:cs="Arial"/>
          <w:sz w:val="28"/>
          <w:szCs w:val="28"/>
          <w:lang w:eastAsia="zh-CN"/>
        </w:rPr>
      </w:pPr>
    </w:p>
    <w:p w14:paraId="2C72AE44">
      <w:pPr>
        <w:snapToGrid w:val="0"/>
        <w:spacing w:after="120" w:afterLines="50" w:line="300" w:lineRule="auto"/>
        <w:rPr>
          <w:rFonts w:ascii="Arial" w:hAnsi="Arial" w:eastAsia="宋体" w:cs="Arial"/>
          <w:sz w:val="28"/>
          <w:szCs w:val="28"/>
          <w:lang w:eastAsia="zh-CN"/>
        </w:rPr>
      </w:pPr>
      <w:r>
        <w:rPr>
          <w:rFonts w:ascii="Arial" w:hAnsi="Arial" w:eastAsia="宋体" w:cs="Arial"/>
          <w:sz w:val="28"/>
          <w:lang w:eastAsia="zh-CN"/>
        </w:rPr>
        <w:t>有关本文件的问题，联系博士Jana Delfino，电话301-796-6503</w:t>
      </w:r>
      <w:r>
        <w:rPr>
          <w:rFonts w:ascii="Arial" w:hAnsi="Arial" w:eastAsia="宋体" w:cs="Arial"/>
          <w:color w:val="000000" w:themeColor="text1"/>
          <w:sz w:val="28"/>
          <w:lang w:eastAsia="zh-CN"/>
          <w14:textFill>
            <w14:solidFill>
              <w14:schemeClr w14:val="tx1"/>
            </w14:solidFill>
          </w14:textFill>
        </w:rPr>
        <w:fldChar w:fldCharType="begin"/>
      </w:r>
      <w:r>
        <w:rPr>
          <w:rFonts w:ascii="Arial" w:hAnsi="Arial" w:eastAsia="宋体" w:cs="Arial"/>
          <w:color w:val="000000" w:themeColor="text1"/>
          <w:sz w:val="28"/>
          <w:lang w:eastAsia="zh-CN"/>
          <w14:textFill>
            <w14:solidFill>
              <w14:schemeClr w14:val="tx1"/>
            </w14:solidFill>
          </w14:textFill>
        </w:rPr>
        <w:instrText xml:space="preserve"> HYPERLINK "mailto:</w:instrText>
      </w:r>
      <w:r>
        <w:rPr>
          <w:rFonts w:hint="eastAsia" w:ascii="Arial" w:hAnsi="Arial" w:eastAsia="宋体" w:cs="Arial"/>
          <w:color w:val="000000" w:themeColor="text1"/>
          <w:lang w:eastAsia="zh-CN"/>
          <w14:textFill>
            <w14:solidFill>
              <w14:schemeClr w14:val="tx1"/>
            </w14:solidFill>
          </w14:textFill>
        </w:rPr>
        <w:instrText xml:space="preserve">或电子邮箱</w:instrText>
      </w:r>
      <w:r>
        <w:rPr>
          <w:rFonts w:ascii="Arial" w:hAnsi="Arial" w:eastAsia="宋体" w:cs="Arial"/>
          <w:color w:val="000000" w:themeColor="text1"/>
          <w:sz w:val="28"/>
          <w:lang w:eastAsia="zh-CN"/>
          <w14:textFill>
            <w14:solidFill>
              <w14:schemeClr w14:val="tx1"/>
            </w14:solidFill>
          </w14:textFill>
        </w:rPr>
        <w:instrText xml:space="preserve"> jana.delfino@fda.hhs.gov" </w:instrText>
      </w:r>
      <w:r>
        <w:rPr>
          <w:rFonts w:ascii="Arial" w:hAnsi="Arial" w:eastAsia="宋体" w:cs="Arial"/>
          <w:color w:val="000000" w:themeColor="text1"/>
          <w:sz w:val="28"/>
          <w:lang w:eastAsia="zh-CN"/>
          <w14:textFill>
            <w14:solidFill>
              <w14:schemeClr w14:val="tx1"/>
            </w14:solidFill>
          </w14:textFill>
        </w:rPr>
        <w:fldChar w:fldCharType="separate"/>
      </w:r>
      <w:r>
        <w:rPr>
          <w:rStyle w:val="9"/>
          <w:rFonts w:hint="eastAsia" w:ascii="Arial" w:hAnsi="Arial" w:eastAsia="宋体" w:cs="Arial"/>
          <w:color w:val="000000" w:themeColor="text1"/>
          <w:sz w:val="28"/>
          <w:u w:val="none"/>
          <w:lang w:eastAsia="zh-CN"/>
          <w14:textFill>
            <w14:solidFill>
              <w14:schemeClr w14:val="tx1"/>
            </w14:solidFill>
          </w14:textFill>
        </w:rPr>
        <w:t>或电子邮箱</w:t>
      </w:r>
      <w:r>
        <w:rPr>
          <w:rStyle w:val="9"/>
          <w:rFonts w:ascii="Arial" w:hAnsi="Arial" w:eastAsia="宋体" w:cs="Arial"/>
          <w:color w:val="000000" w:themeColor="text1"/>
          <w:sz w:val="28"/>
          <w:u w:val="none"/>
          <w:lang w:eastAsia="zh-CN"/>
          <w14:textFill>
            <w14:solidFill>
              <w14:schemeClr w14:val="tx1"/>
            </w14:solidFill>
          </w14:textFill>
        </w:rPr>
        <w:t xml:space="preserve"> </w:t>
      </w:r>
      <w:r>
        <w:rPr>
          <w:rStyle w:val="9"/>
          <w:rFonts w:ascii="Arial" w:hAnsi="Arial" w:eastAsia="宋体" w:cs="Arial"/>
          <w:color w:val="0000FF"/>
          <w:sz w:val="28"/>
          <w:lang w:eastAsia="zh-CN"/>
        </w:rPr>
        <w:t>jana.delfino@fda.hhs.gov</w:t>
      </w:r>
      <w:r>
        <w:rPr>
          <w:rFonts w:ascii="Arial" w:hAnsi="Arial" w:eastAsia="宋体" w:cs="Arial"/>
          <w:color w:val="000000" w:themeColor="text1"/>
          <w:sz w:val="28"/>
          <w:lang w:eastAsia="zh-CN"/>
          <w14:textFill>
            <w14:solidFill>
              <w14:schemeClr w14:val="tx1"/>
            </w14:solidFill>
          </w14:textFill>
        </w:rPr>
        <w:fldChar w:fldCharType="end"/>
      </w:r>
      <w:r>
        <w:rPr>
          <w:rFonts w:ascii="Arial" w:hAnsi="Arial" w:eastAsia="宋体" w:cs="Arial"/>
          <w:sz w:val="28"/>
          <w:lang w:eastAsia="zh-CN"/>
        </w:rPr>
        <w:t>。</w:t>
      </w:r>
    </w:p>
    <w:p w14:paraId="6AA1FD18">
      <w:pPr>
        <w:snapToGrid w:val="0"/>
        <w:spacing w:after="120" w:afterLines="50" w:line="300" w:lineRule="auto"/>
        <w:rPr>
          <w:rFonts w:ascii="Arial" w:hAnsi="Arial" w:eastAsia="宋体" w:cs="Arial"/>
          <w:sz w:val="41"/>
          <w:szCs w:val="41"/>
          <w:lang w:eastAsia="zh-CN"/>
        </w:rPr>
      </w:pPr>
    </w:p>
    <w:p w14:paraId="413568E9">
      <w:pPr>
        <w:snapToGrid w:val="0"/>
        <w:spacing w:after="120" w:afterLines="50" w:line="300" w:lineRule="auto"/>
        <w:rPr>
          <w:rFonts w:ascii="Arial" w:hAnsi="Arial" w:eastAsia="宋体" w:cs="Arial"/>
          <w:sz w:val="41"/>
          <w:szCs w:val="41"/>
          <w:lang w:eastAsia="zh-CN"/>
        </w:rPr>
      </w:pPr>
    </w:p>
    <w:p w14:paraId="0DE6D4B4">
      <w:pPr>
        <w:snapToGrid w:val="0"/>
        <w:spacing w:line="300" w:lineRule="auto"/>
        <w:jc w:val="right"/>
        <w:rPr>
          <w:rFonts w:ascii="Arial" w:hAnsi="Arial" w:eastAsia="宋体" w:cs="Arial"/>
          <w:b/>
          <w:sz w:val="28"/>
          <w:szCs w:val="28"/>
          <w:lang w:eastAsia="zh-CN"/>
        </w:rPr>
      </w:pPr>
      <w:r>
        <w:rPr>
          <w:rFonts w:ascii="Arial" w:hAnsi="Arial" w:eastAsia="宋体" w:cs="Arial"/>
          <w:sz w:val="28"/>
          <w:szCs w:val="28"/>
          <w:lang w:eastAsia="zh-CN"/>
        </w:rPr>
        <w:drawing>
          <wp:anchor distT="0" distB="0" distL="114300" distR="114300" simplePos="0" relativeHeight="251659264" behindDoc="0" locked="0" layoutInCell="1" allowOverlap="1">
            <wp:simplePos x="0" y="0"/>
            <wp:positionH relativeFrom="page">
              <wp:posOffset>922020</wp:posOffset>
            </wp:positionH>
            <wp:positionV relativeFrom="paragraph">
              <wp:posOffset>-78740</wp:posOffset>
            </wp:positionV>
            <wp:extent cx="952500" cy="762000"/>
            <wp:effectExtent l="0" t="0" r="0" b="0"/>
            <wp:wrapNone/>
            <wp:docPr id="3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52500" cy="762000"/>
                    </a:xfrm>
                    <a:prstGeom prst="rect">
                      <a:avLst/>
                    </a:prstGeom>
                    <a:noFill/>
                  </pic:spPr>
                </pic:pic>
              </a:graphicData>
            </a:graphic>
          </wp:anchor>
        </w:drawing>
      </w:r>
      <w:r>
        <w:rPr>
          <w:rFonts w:ascii="Arial" w:hAnsi="Arial" w:eastAsia="宋体" w:cs="Arial"/>
          <w:b/>
          <w:sz w:val="28"/>
          <w:szCs w:val="28"/>
          <w:lang w:eastAsia="zh-CN"/>
        </w:rPr>
        <w:t>U.S. 美国卫生和人类服务署</w:t>
      </w:r>
    </w:p>
    <w:p w14:paraId="425A10DF">
      <w:pPr>
        <w:snapToGrid w:val="0"/>
        <w:spacing w:line="300" w:lineRule="auto"/>
        <w:ind w:firstLine="1251"/>
        <w:jc w:val="right"/>
        <w:rPr>
          <w:rFonts w:ascii="Arial" w:hAnsi="Arial" w:eastAsia="宋体" w:cs="Arial"/>
          <w:b/>
          <w:sz w:val="28"/>
          <w:szCs w:val="28"/>
          <w:lang w:eastAsia="zh-CN"/>
        </w:rPr>
      </w:pPr>
      <w:r>
        <w:rPr>
          <w:rFonts w:ascii="Arial" w:hAnsi="Arial" w:eastAsia="宋体" w:cs="Arial"/>
          <w:b/>
          <w:sz w:val="28"/>
          <w:szCs w:val="28"/>
          <w:lang w:eastAsia="zh-CN"/>
        </w:rPr>
        <w:t>食品药品监督管理局</w:t>
      </w:r>
    </w:p>
    <w:p w14:paraId="7ACD6933">
      <w:pPr>
        <w:snapToGrid w:val="0"/>
        <w:spacing w:line="300" w:lineRule="auto"/>
        <w:ind w:firstLine="1251"/>
        <w:jc w:val="right"/>
        <w:rPr>
          <w:rFonts w:ascii="Arial" w:hAnsi="Arial" w:eastAsia="宋体" w:cs="Arial"/>
          <w:sz w:val="28"/>
          <w:szCs w:val="28"/>
          <w:lang w:eastAsia="zh-CN"/>
        </w:rPr>
      </w:pPr>
      <w:bookmarkStart w:id="0" w:name="OLE_LINK269"/>
      <w:bookmarkStart w:id="1" w:name="OLE_LINK270"/>
      <w:r>
        <w:rPr>
          <w:rFonts w:ascii="Arial" w:hAnsi="Arial" w:eastAsia="宋体" w:cs="Arial"/>
          <w:b/>
          <w:sz w:val="28"/>
          <w:szCs w:val="28"/>
          <w:lang w:eastAsia="zh-CN"/>
        </w:rPr>
        <w:t>器械和放射卫生中心</w:t>
      </w:r>
      <w:bookmarkEnd w:id="0"/>
      <w:bookmarkEnd w:id="1"/>
    </w:p>
    <w:p w14:paraId="2DD379F5">
      <w:pPr>
        <w:snapToGrid w:val="0"/>
        <w:spacing w:line="300" w:lineRule="auto"/>
        <w:jc w:val="right"/>
        <w:rPr>
          <w:rFonts w:ascii="Arial" w:hAnsi="Arial" w:eastAsia="宋体" w:cs="Arial"/>
          <w:b/>
          <w:bCs/>
          <w:sz w:val="28"/>
          <w:szCs w:val="28"/>
          <w:lang w:eastAsia="zh-CN"/>
        </w:rPr>
      </w:pPr>
    </w:p>
    <w:p w14:paraId="61A0E48D">
      <w:pPr>
        <w:snapToGrid w:val="0"/>
        <w:spacing w:line="300" w:lineRule="auto"/>
        <w:jc w:val="right"/>
        <w:rPr>
          <w:rFonts w:ascii="Arial" w:hAnsi="Arial" w:eastAsia="宋体" w:cs="Arial"/>
          <w:sz w:val="28"/>
          <w:szCs w:val="28"/>
          <w:lang w:eastAsia="zh-CN"/>
        </w:rPr>
      </w:pPr>
      <w:r>
        <w:rPr>
          <w:rFonts w:ascii="Arial" w:hAnsi="Arial" w:eastAsia="宋体" w:cs="Arial"/>
          <w:b/>
          <w:sz w:val="28"/>
          <w:szCs w:val="28"/>
          <w:lang w:eastAsia="zh-CN"/>
        </w:rPr>
        <w:t>磁共振和电子产品分部</w:t>
      </w:r>
    </w:p>
    <w:p w14:paraId="54611E07">
      <w:pPr>
        <w:snapToGrid w:val="0"/>
        <w:spacing w:line="300" w:lineRule="auto"/>
        <w:ind w:firstLine="2359"/>
        <w:jc w:val="right"/>
        <w:rPr>
          <w:rFonts w:ascii="Arial" w:hAnsi="Arial" w:eastAsia="宋体" w:cs="Arial"/>
          <w:b/>
          <w:sz w:val="28"/>
          <w:szCs w:val="28"/>
          <w:lang w:eastAsia="zh-CN"/>
        </w:rPr>
      </w:pPr>
      <w:r>
        <w:rPr>
          <w:rFonts w:ascii="Arial" w:hAnsi="Arial" w:eastAsia="宋体" w:cs="Arial"/>
          <w:b/>
          <w:sz w:val="28"/>
          <w:szCs w:val="28"/>
          <w:lang w:eastAsia="zh-CN"/>
        </w:rPr>
        <w:t>放射卫生科</w:t>
      </w:r>
    </w:p>
    <w:p w14:paraId="559B03E3">
      <w:pPr>
        <w:snapToGrid w:val="0"/>
        <w:spacing w:after="120" w:afterLines="50" w:line="300" w:lineRule="auto"/>
        <w:ind w:firstLine="2359"/>
        <w:jc w:val="right"/>
        <w:rPr>
          <w:rFonts w:ascii="Arial" w:hAnsi="Arial" w:eastAsia="宋体" w:cs="Arial"/>
          <w:b/>
          <w:bCs/>
          <w:sz w:val="28"/>
          <w:szCs w:val="28"/>
          <w:lang w:eastAsia="zh-CN"/>
        </w:rPr>
      </w:pPr>
      <w:r>
        <w:rPr>
          <w:rFonts w:ascii="Arial" w:hAnsi="Arial" w:eastAsia="宋体" w:cs="Arial"/>
          <w:b/>
          <w:sz w:val="28"/>
          <w:szCs w:val="28"/>
          <w:lang w:eastAsia="zh-CN"/>
        </w:rPr>
        <w:t xml:space="preserve"> 体外诊断和放射卫生办公室</w:t>
      </w:r>
    </w:p>
    <w:p w14:paraId="19E61737">
      <w:pPr>
        <w:snapToGrid w:val="0"/>
        <w:spacing w:after="120" w:afterLines="50" w:line="300" w:lineRule="auto"/>
        <w:jc w:val="center"/>
        <w:rPr>
          <w:rFonts w:ascii="Arial" w:hAnsi="Arial" w:eastAsia="宋体" w:cs="Arial"/>
          <w:b/>
          <w:sz w:val="52"/>
          <w:lang w:eastAsia="zh-CN"/>
        </w:rPr>
      </w:pPr>
      <w:bookmarkStart w:id="2" w:name="Public_Comment"/>
      <w:bookmarkEnd w:id="2"/>
      <w:r>
        <w:rPr>
          <w:rFonts w:ascii="Arial" w:hAnsi="Arial" w:eastAsia="宋体" w:cs="Arial"/>
          <w:b/>
          <w:sz w:val="52"/>
          <w:lang w:eastAsia="zh-CN"/>
        </w:rPr>
        <w:t>前言</w:t>
      </w:r>
    </w:p>
    <w:p w14:paraId="46D88B72">
      <w:pPr>
        <w:snapToGrid w:val="0"/>
        <w:spacing w:after="120" w:afterLines="50" w:line="300" w:lineRule="auto"/>
        <w:rPr>
          <w:rFonts w:ascii="Arial" w:hAnsi="Arial" w:eastAsia="宋体" w:cs="Arial"/>
          <w:sz w:val="36"/>
          <w:szCs w:val="36"/>
          <w:lang w:eastAsia="zh-CN"/>
        </w:rPr>
      </w:pPr>
      <w:r>
        <w:rPr>
          <w:rFonts w:ascii="Arial" w:hAnsi="Arial" w:eastAsia="宋体" w:cs="Arial"/>
          <w:b/>
          <w:sz w:val="36"/>
          <w:szCs w:val="36"/>
          <w:lang w:eastAsia="zh-CN"/>
        </w:rPr>
        <w:t>公共评论</w:t>
      </w:r>
    </w:p>
    <w:p w14:paraId="7E1CF152">
      <w:pPr>
        <w:pStyle w:val="2"/>
        <w:snapToGrid w:val="0"/>
        <w:spacing w:after="120" w:afterLines="50" w:line="300" w:lineRule="auto"/>
        <w:ind w:left="0"/>
        <w:rPr>
          <w:rFonts w:ascii="Arial" w:hAnsi="Arial" w:eastAsia="宋体" w:cs="Arial"/>
          <w:lang w:eastAsia="zh-CN"/>
        </w:rPr>
      </w:pPr>
      <w:bookmarkStart w:id="3" w:name="You_may_submit_electronic_comments_and_s"/>
      <w:bookmarkEnd w:id="3"/>
      <w:r>
        <w:rPr>
          <w:rFonts w:ascii="Arial" w:hAnsi="Arial" w:eastAsia="宋体" w:cs="Arial"/>
          <w:lang w:eastAsia="zh-CN"/>
        </w:rPr>
        <w:t>为便于本机构收集评论和建议，电子评论和建议可随时提交至</w:t>
      </w:r>
      <w:r>
        <w:fldChar w:fldCharType="begin"/>
      </w:r>
      <w:r>
        <w:instrText xml:space="preserve"> HYPERLINK "http://www.regulations.gov/" \h </w:instrText>
      </w:r>
      <w:r>
        <w:fldChar w:fldCharType="separate"/>
      </w:r>
      <w:r>
        <w:rPr>
          <w:rFonts w:ascii="Arial" w:hAnsi="Arial" w:eastAsia="宋体" w:cs="Arial"/>
          <w:color w:val="0000FF"/>
          <w:u w:val="single" w:color="0000FF"/>
          <w:lang w:eastAsia="zh-CN"/>
        </w:rPr>
        <w:t>http://www.regulations.gov</w:t>
      </w:r>
      <w:r>
        <w:rPr>
          <w:rFonts w:ascii="Arial" w:hAnsi="Arial" w:eastAsia="宋体" w:cs="Arial"/>
          <w:color w:val="0000FF"/>
          <w:u w:val="single" w:color="0000FF"/>
          <w:lang w:eastAsia="zh-CN"/>
        </w:rPr>
        <w:fldChar w:fldCharType="end"/>
      </w:r>
      <w:r>
        <w:rPr>
          <w:rFonts w:ascii="Arial" w:hAnsi="Arial" w:eastAsia="宋体" w:cs="Arial"/>
          <w:lang w:eastAsia="zh-CN"/>
        </w:rPr>
        <w:t>。书面评论可提交至食品药品监督管理局，案卷管理科（5630 Fishers Lane, Room 1061, （HFA-305）, Rockville, MD20852）。提交评论时，请指出本指导性文件的准确标题。再次进行文件修订或更新之前，本机构可能不会针对评论采取行动。</w:t>
      </w:r>
    </w:p>
    <w:p w14:paraId="45377AE7">
      <w:pPr>
        <w:snapToGrid w:val="0"/>
        <w:spacing w:after="120" w:afterLines="50" w:line="300" w:lineRule="auto"/>
        <w:rPr>
          <w:rFonts w:ascii="Arial" w:hAnsi="Arial" w:eastAsia="宋体" w:cs="Arial"/>
          <w:b/>
          <w:sz w:val="36"/>
          <w:szCs w:val="36"/>
          <w:lang w:eastAsia="zh-CN"/>
        </w:rPr>
      </w:pPr>
      <w:bookmarkStart w:id="4" w:name="Additional_Copies"/>
      <w:bookmarkEnd w:id="4"/>
      <w:r>
        <w:rPr>
          <w:rFonts w:ascii="Arial" w:hAnsi="Arial" w:eastAsia="宋体" w:cs="Arial"/>
          <w:b/>
          <w:sz w:val="36"/>
          <w:szCs w:val="36"/>
          <w:lang w:eastAsia="zh-CN"/>
        </w:rPr>
        <w:t>其他副本</w:t>
      </w:r>
    </w:p>
    <w:p w14:paraId="74C4BC33">
      <w:pPr>
        <w:pStyle w:val="2"/>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其他副本可从互联网获得。您还可以向</w:t>
      </w:r>
      <w:r>
        <w:rPr>
          <w:rFonts w:ascii="Arial" w:hAnsi="Arial" w:eastAsia="宋体" w:cs="Arial"/>
          <w:lang w:eastAsia="zh-CN"/>
        </w:rPr>
        <w:fldChar w:fldCharType="begin"/>
      </w:r>
      <w:r>
        <w:rPr>
          <w:rFonts w:ascii="Arial" w:hAnsi="Arial" w:eastAsia="宋体" w:cs="Arial"/>
          <w:lang w:eastAsia="zh-CN"/>
        </w:rPr>
        <w:instrText xml:space="preserve"> HYPERLINK "mailto:CDRH-Guidance@fda.hhs.gov" \h </w:instrText>
      </w:r>
      <w:r>
        <w:rPr>
          <w:rFonts w:ascii="Arial" w:hAnsi="Arial" w:eastAsia="宋体" w:cs="Arial"/>
          <w:lang w:eastAsia="zh-CN"/>
        </w:rPr>
        <w:fldChar w:fldCharType="separate"/>
      </w:r>
      <w:r>
        <w:fldChar w:fldCharType="begin"/>
      </w:r>
      <w:r>
        <w:instrText xml:space="preserve"> HYPERLINK "mailto:CDRH-Guidance@fda.hhs.gov" \h </w:instrText>
      </w:r>
      <w:r>
        <w:fldChar w:fldCharType="separate"/>
      </w:r>
      <w:r>
        <w:rPr>
          <w:rFonts w:ascii="Arial" w:hAnsi="Arial" w:eastAsia="宋体" w:cs="Arial"/>
          <w:color w:val="0000FF"/>
          <w:u w:val="single" w:color="0000FF"/>
          <w:lang w:eastAsia="zh-CN"/>
        </w:rPr>
        <w:t>CDRH-</w:t>
      </w:r>
      <w:r>
        <w:rPr>
          <w:rFonts w:ascii="Arial" w:hAnsi="Arial" w:eastAsia="宋体" w:cs="Arial"/>
          <w:color w:val="0000FF"/>
          <w:u w:val="single" w:color="0000FF"/>
          <w:lang w:eastAsia="zh-CN"/>
        </w:rPr>
        <w:fldChar w:fldCharType="end"/>
      </w:r>
      <w:r>
        <w:rPr>
          <w:rFonts w:ascii="Arial" w:hAnsi="Arial" w:eastAsia="宋体" w:cs="Arial"/>
          <w:color w:val="0000FF"/>
          <w:u w:val="single" w:color="0000FF"/>
          <w:lang w:eastAsia="zh-CN"/>
        </w:rPr>
        <w:t>Guidance@fda.hhs.gov</w:t>
      </w:r>
      <w:r>
        <w:rPr>
          <w:rFonts w:ascii="Arial" w:hAnsi="Arial" w:eastAsia="宋体" w:cs="Arial"/>
          <w:color w:val="0000FF"/>
          <w:lang w:eastAsia="zh-CN"/>
        </w:rPr>
        <w:t xml:space="preserve"> </w:t>
      </w:r>
      <w:r>
        <w:rPr>
          <w:rFonts w:ascii="Arial" w:hAnsi="Arial" w:eastAsia="宋体" w:cs="Arial"/>
          <w:color w:val="0000FF"/>
          <w:u w:val="single" w:color="0000FF"/>
          <w:lang w:eastAsia="zh-CN"/>
        </w:rPr>
        <w:fldChar w:fldCharType="end"/>
      </w:r>
      <w:r>
        <w:rPr>
          <w:rFonts w:ascii="Arial" w:hAnsi="Arial" w:eastAsia="宋体" w:cs="Arial"/>
          <w:lang w:eastAsia="zh-CN"/>
        </w:rPr>
        <w:t>发送电子邮件请求以接收本指导性文件的副本。请使用文件编号793来注明您所要求获得的指南。</w:t>
      </w:r>
    </w:p>
    <w:p w14:paraId="4B9FC4C6">
      <w:pPr>
        <w:snapToGrid w:val="0"/>
        <w:spacing w:after="120" w:afterLines="50" w:line="300" w:lineRule="auto"/>
        <w:rPr>
          <w:rFonts w:ascii="Arial" w:hAnsi="Arial" w:eastAsia="宋体" w:cs="Arial"/>
          <w:lang w:eastAsia="zh-CN"/>
        </w:rPr>
        <w:sectPr>
          <w:headerReference r:id="rId3" w:type="default"/>
          <w:type w:val="continuous"/>
          <w:pgSz w:w="12240" w:h="15840"/>
          <w:pgMar w:top="1440" w:right="1800" w:bottom="1440" w:left="1800" w:header="720" w:footer="720" w:gutter="0"/>
          <w:cols w:space="720" w:num="1"/>
          <w:docGrid w:linePitch="299" w:charSpace="0"/>
        </w:sectPr>
      </w:pPr>
    </w:p>
    <w:p w14:paraId="4F1979FF">
      <w:pPr>
        <w:pBdr>
          <w:bottom w:val="single" w:color="auto" w:sz="4" w:space="1"/>
        </w:pBdr>
        <w:snapToGrid w:val="0"/>
        <w:spacing w:before="480" w:beforeLines="200" w:after="120" w:afterLines="50" w:line="300" w:lineRule="auto"/>
        <w:jc w:val="center"/>
        <w:rPr>
          <w:rFonts w:ascii="Arial" w:hAnsi="Arial" w:eastAsia="宋体" w:cs="Arial"/>
          <w:b/>
          <w:sz w:val="52"/>
          <w:szCs w:val="52"/>
          <w:lang w:eastAsia="zh-CN"/>
        </w:rPr>
      </w:pPr>
      <w:r>
        <w:rPr>
          <w:rFonts w:ascii="Arial" w:hAnsi="Arial" w:eastAsia="宋体" w:cs="Arial"/>
          <w:b/>
          <w:sz w:val="52"/>
          <w:szCs w:val="52"/>
          <w:lang w:eastAsia="zh-CN"/>
        </w:rPr>
        <w:t>磁共振诊断器械重大风险研究标准</w:t>
      </w:r>
    </w:p>
    <w:p w14:paraId="5C5A0747">
      <w:pPr>
        <w:snapToGrid w:val="0"/>
        <w:spacing w:after="120" w:afterLines="50" w:line="300" w:lineRule="auto"/>
        <w:jc w:val="center"/>
        <w:rPr>
          <w:rFonts w:ascii="Arial" w:hAnsi="Arial" w:eastAsia="宋体" w:cs="Arial"/>
          <w:b/>
          <w:sz w:val="52"/>
          <w:szCs w:val="52"/>
          <w:lang w:eastAsia="zh-CN"/>
        </w:rPr>
      </w:pPr>
      <w:r>
        <w:rPr>
          <w:rFonts w:ascii="Arial" w:hAnsi="Arial" w:eastAsia="宋体" w:cs="Arial"/>
          <w:b/>
          <w:sz w:val="52"/>
          <w:szCs w:val="52"/>
          <w:lang w:eastAsia="zh-CN"/>
        </w:rPr>
        <w:t>行业及食品药品监督管理局工作人员指南</w:t>
      </w:r>
    </w:p>
    <w:p w14:paraId="15AA1145">
      <w:pPr>
        <w:snapToGrid w:val="0"/>
        <w:spacing w:after="120" w:afterLines="50" w:line="300" w:lineRule="auto"/>
        <w:rPr>
          <w:rFonts w:ascii="Arial" w:hAnsi="Arial" w:eastAsia="宋体" w:cs="Arial"/>
          <w:b/>
          <w:bCs/>
          <w:sz w:val="24"/>
          <w:szCs w:val="24"/>
          <w:lang w:eastAsia="zh-CN"/>
        </w:rPr>
      </w:pPr>
    </w:p>
    <w:tbl>
      <w:tblPr>
        <w:tblStyle w:val="7"/>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8856"/>
      </w:tblGrid>
      <w:tr w14:paraId="5E330913">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8856" w:type="dxa"/>
          </w:tcPr>
          <w:p w14:paraId="4C30C0C2">
            <w:pPr>
              <w:ind w:left="33" w:right="125"/>
              <w:jc w:val="both"/>
              <w:rPr>
                <w:rFonts w:ascii="Arial" w:hAnsi="Arial" w:eastAsia="宋体" w:cs="Arial"/>
                <w:sz w:val="24"/>
                <w:szCs w:val="24"/>
                <w:lang w:eastAsia="zh-CN"/>
              </w:rPr>
            </w:pPr>
            <w:r>
              <w:rPr>
                <w:rFonts w:ascii="Arial" w:hAnsi="Arial" w:eastAsia="宋体" w:cs="Arial"/>
                <w:b/>
                <w:i/>
                <w:spacing w:val="-1"/>
                <w:sz w:val="24"/>
                <w:lang w:eastAsia="zh-CN"/>
              </w:rPr>
              <w:t>本指南代表FDA目前关于该主题的思考。其不会为任何人创造或赋予任何权利，也不会对FDA或公众产生约束。如果替代方法满足适用的法律法规的要求，则可以使用该方法。如果您想讨论另一种方法，请联系FDA负责实施本指南的人员。如果您无法确定适当的FDA工作人员，请拨打本指南标题页上列出的适当号码。</w:t>
            </w:r>
          </w:p>
        </w:tc>
      </w:tr>
    </w:tbl>
    <w:p w14:paraId="5E5BAAEA">
      <w:pPr>
        <w:snapToGrid w:val="0"/>
        <w:spacing w:after="120" w:afterLines="50" w:line="300" w:lineRule="auto"/>
        <w:rPr>
          <w:rFonts w:ascii="Arial" w:hAnsi="Arial" w:eastAsia="宋体" w:cs="Arial"/>
          <w:b/>
          <w:bCs/>
          <w:sz w:val="24"/>
          <w:szCs w:val="24"/>
          <w:lang w:eastAsia="zh-CN"/>
        </w:rPr>
      </w:pPr>
    </w:p>
    <w:p w14:paraId="2478FBB6">
      <w:pPr>
        <w:pStyle w:val="13"/>
        <w:snapToGrid w:val="0"/>
        <w:spacing w:after="120" w:afterLines="50" w:line="300" w:lineRule="auto"/>
        <w:ind w:left="0"/>
        <w:rPr>
          <w:rFonts w:ascii="Arial" w:hAnsi="Arial" w:eastAsia="宋体" w:cs="Arial"/>
          <w:b w:val="0"/>
          <w:bCs w:val="0"/>
          <w:lang w:eastAsia="zh-CN"/>
        </w:rPr>
      </w:pPr>
      <w:bookmarkStart w:id="5" w:name="Introduction"/>
      <w:bookmarkEnd w:id="5"/>
      <w:r>
        <w:rPr>
          <w:rFonts w:ascii="Arial" w:hAnsi="Arial" w:eastAsia="宋体" w:cs="Arial"/>
          <w:lang w:eastAsia="zh-CN"/>
        </w:rPr>
        <w:t>引言</w:t>
      </w:r>
    </w:p>
    <w:p w14:paraId="39FC7384">
      <w:pPr>
        <w:pStyle w:val="2"/>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本指南描述FDA认为有重大风险的磁共振诊断器械的器械操作条件，用于确定临床研究是否需要机构批准的试验器械豁免（IDE）。根据21 CFR 892.1000的描述，磁共振诊断器械是II类器械。这些器械的产品代码是：</w:t>
      </w:r>
    </w:p>
    <w:p w14:paraId="5CEE6519">
      <w:pPr>
        <w:snapToGrid w:val="0"/>
        <w:spacing w:after="120" w:afterLines="50" w:line="300" w:lineRule="auto"/>
        <w:jc w:val="both"/>
        <w:rPr>
          <w:rFonts w:ascii="Arial" w:hAnsi="Arial" w:eastAsia="宋体" w:cs="Arial"/>
          <w:sz w:val="24"/>
          <w:szCs w:val="24"/>
          <w:lang w:eastAsia="zh-CN"/>
        </w:rPr>
      </w:pPr>
    </w:p>
    <w:p w14:paraId="3C1688D2">
      <w:pPr>
        <w:pStyle w:val="2"/>
        <w:tabs>
          <w:tab w:val="left" w:pos="1204"/>
        </w:tabs>
        <w:snapToGrid w:val="0"/>
        <w:spacing w:after="120" w:afterLines="50" w:line="300" w:lineRule="auto"/>
        <w:ind w:left="440" w:leftChars="200"/>
        <w:jc w:val="both"/>
        <w:rPr>
          <w:rFonts w:ascii="Arial" w:hAnsi="Arial" w:eastAsia="宋体" w:cs="Arial"/>
          <w:lang w:eastAsia="zh-CN"/>
        </w:rPr>
      </w:pPr>
      <w:r>
        <w:rPr>
          <w:rFonts w:ascii="Arial" w:hAnsi="Arial" w:eastAsia="宋体" w:cs="Arial"/>
          <w:lang w:eastAsia="zh-CN"/>
        </w:rPr>
        <w:t>LNH</w:t>
      </w:r>
      <w:r>
        <w:rPr>
          <w:rFonts w:ascii="Arial" w:hAnsi="Arial" w:eastAsia="宋体" w:cs="Arial"/>
          <w:lang w:eastAsia="zh-CN"/>
        </w:rPr>
        <w:tab/>
      </w:r>
      <w:r>
        <w:rPr>
          <w:rFonts w:ascii="Arial" w:hAnsi="Arial" w:eastAsia="宋体" w:cs="Arial"/>
          <w:lang w:eastAsia="zh-CN"/>
        </w:rPr>
        <w:t>磁共振成像系统</w:t>
      </w:r>
    </w:p>
    <w:p w14:paraId="7AC4E15D">
      <w:pPr>
        <w:pStyle w:val="2"/>
        <w:tabs>
          <w:tab w:val="left" w:pos="1204"/>
        </w:tabs>
        <w:snapToGrid w:val="0"/>
        <w:spacing w:after="120" w:afterLines="50" w:line="300" w:lineRule="auto"/>
        <w:ind w:left="440" w:leftChars="200"/>
        <w:jc w:val="both"/>
        <w:rPr>
          <w:rFonts w:ascii="Arial" w:hAnsi="Arial" w:eastAsia="宋体" w:cs="Arial"/>
          <w:lang w:eastAsia="zh-CN"/>
        </w:rPr>
      </w:pPr>
      <w:r>
        <w:rPr>
          <w:rFonts w:ascii="Arial" w:hAnsi="Arial" w:eastAsia="宋体" w:cs="Arial"/>
          <w:lang w:eastAsia="zh-CN"/>
        </w:rPr>
        <w:t>LNI</w:t>
      </w:r>
      <w:r>
        <w:rPr>
          <w:rFonts w:ascii="Arial" w:hAnsi="Arial" w:eastAsia="宋体" w:cs="Arial"/>
          <w:lang w:eastAsia="zh-CN"/>
        </w:rPr>
        <w:tab/>
      </w:r>
      <w:bookmarkStart w:id="6" w:name="OLE_LINK5"/>
      <w:bookmarkStart w:id="7" w:name="OLE_LINK4"/>
      <w:r>
        <w:rPr>
          <w:rFonts w:ascii="Arial" w:hAnsi="Arial" w:eastAsia="宋体" w:cs="Arial"/>
          <w:lang w:eastAsia="zh-CN"/>
        </w:rPr>
        <w:t>磁共振光谱系统</w:t>
      </w:r>
    </w:p>
    <w:bookmarkEnd w:id="6"/>
    <w:bookmarkEnd w:id="7"/>
    <w:p w14:paraId="1C63E605">
      <w:pPr>
        <w:snapToGrid w:val="0"/>
        <w:spacing w:after="120" w:afterLines="50" w:line="300" w:lineRule="auto"/>
        <w:jc w:val="both"/>
        <w:rPr>
          <w:rFonts w:ascii="Arial" w:hAnsi="Arial" w:eastAsia="宋体" w:cs="Arial"/>
          <w:sz w:val="24"/>
          <w:szCs w:val="24"/>
          <w:lang w:eastAsia="zh-CN"/>
        </w:rPr>
      </w:pPr>
    </w:p>
    <w:p w14:paraId="669489E2">
      <w:pPr>
        <w:snapToGrid w:val="0"/>
        <w:spacing w:after="120" w:afterLines="50" w:line="300" w:lineRule="auto"/>
        <w:jc w:val="both"/>
        <w:rPr>
          <w:rFonts w:ascii="Arial" w:hAnsi="Arial" w:eastAsia="宋体" w:cs="Arial"/>
          <w:sz w:val="24"/>
          <w:szCs w:val="24"/>
          <w:lang w:eastAsia="zh-CN"/>
        </w:rPr>
      </w:pPr>
      <w:r>
        <w:rPr>
          <w:rFonts w:ascii="Arial" w:hAnsi="Arial" w:eastAsia="宋体" w:cs="Arial"/>
          <w:sz w:val="24"/>
          <w:szCs w:val="24"/>
          <w:lang w:eastAsia="zh-CN"/>
        </w:rPr>
        <w:t>FDA的指导性文件，包括本指南，不构成具有法律强制力的责任。相反，指南表明了本审查机构对某一主题的最新见解，除非引用具体的法规或法律要求，否则只应视为建议。在本审查机构指南中使用术语</w:t>
      </w:r>
      <w:r>
        <w:rPr>
          <w:rFonts w:ascii="宋体" w:hAnsi="宋体" w:eastAsia="宋体" w:cs="Arial"/>
          <w:sz w:val="24"/>
          <w:szCs w:val="24"/>
          <w:lang w:eastAsia="zh-CN"/>
        </w:rPr>
        <w:t>“</w:t>
      </w:r>
      <w:r>
        <w:rPr>
          <w:rFonts w:ascii="Arial" w:hAnsi="Arial" w:eastAsia="宋体" w:cs="Arial"/>
          <w:sz w:val="24"/>
          <w:szCs w:val="24"/>
          <w:lang w:eastAsia="zh-CN"/>
        </w:rPr>
        <w:t>应</w:t>
      </w:r>
      <w:r>
        <w:rPr>
          <w:rFonts w:ascii="宋体" w:hAnsi="宋体" w:eastAsia="宋体" w:cs="Arial"/>
          <w:sz w:val="24"/>
          <w:szCs w:val="24"/>
          <w:lang w:eastAsia="zh-CN"/>
        </w:rPr>
        <w:t>”</w:t>
      </w:r>
      <w:r>
        <w:rPr>
          <w:rFonts w:ascii="Arial" w:hAnsi="Arial" w:eastAsia="宋体" w:cs="Arial"/>
          <w:sz w:val="24"/>
          <w:szCs w:val="24"/>
          <w:lang w:eastAsia="zh-CN"/>
        </w:rPr>
        <w:t>是指建议或推荐进行某一事项，并非强制要求。</w:t>
      </w:r>
      <w:bookmarkStart w:id="8" w:name="Studies_of_Magnetic_Resonance_Diagnostic"/>
      <w:bookmarkEnd w:id="8"/>
    </w:p>
    <w:p w14:paraId="1EF9F538">
      <w:pPr>
        <w:jc w:val="both"/>
        <w:rPr>
          <w:rFonts w:ascii="Arial" w:hAnsi="Arial" w:eastAsia="宋体" w:cs="Arial"/>
          <w:sz w:val="24"/>
          <w:szCs w:val="24"/>
          <w:lang w:eastAsia="zh-CN"/>
        </w:rPr>
      </w:pPr>
      <w:r>
        <w:rPr>
          <w:rFonts w:ascii="Arial" w:hAnsi="Arial" w:eastAsia="宋体" w:cs="Arial"/>
          <w:sz w:val="24"/>
          <w:szCs w:val="24"/>
          <w:lang w:eastAsia="zh-CN"/>
        </w:rPr>
        <w:br w:type="page"/>
      </w:r>
    </w:p>
    <w:p w14:paraId="13F82179">
      <w:pPr>
        <w:pStyle w:val="13"/>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磁共振诊断器械研究</w:t>
      </w:r>
    </w:p>
    <w:p w14:paraId="0A8ECE79">
      <w:pPr>
        <w:pStyle w:val="2"/>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如果需要在获得器械510（k）许可前实施临床研究以证明实质等同性，则必须按照IDE法规 （21 CFR 第 812部分） 实施研究。FDA认为一种磁共振诊断器械在以下列出的任一操作条件下使用时即成为如21 CFR 812.3（m）（4）定义的重大风险器械，因此涉及这类器械的研究不具备遵守21 CFR 812.2（b）中简短IDE要求的资格。除需拥有FDA批准的IDE外，重大风险研究的申办方还必须遵守管理机构审查委员会（21CFR 第 56部分）和知情同意（21CFR 第 50部分）的条例。</w:t>
      </w:r>
    </w:p>
    <w:p w14:paraId="523D1F92">
      <w:pPr>
        <w:pStyle w:val="13"/>
        <w:snapToGrid w:val="0"/>
        <w:spacing w:after="120" w:afterLines="50" w:line="300" w:lineRule="auto"/>
        <w:ind w:left="0"/>
        <w:jc w:val="both"/>
        <w:rPr>
          <w:rFonts w:ascii="Arial" w:hAnsi="Arial" w:eastAsia="宋体" w:cs="Arial"/>
          <w:b w:val="0"/>
          <w:bCs w:val="0"/>
          <w:lang w:eastAsia="zh-CN"/>
        </w:rPr>
      </w:pPr>
      <w:bookmarkStart w:id="9" w:name="Significant_Risk_Magnetic_Resonance_Diag"/>
      <w:bookmarkEnd w:id="9"/>
      <w:r>
        <w:rPr>
          <w:rFonts w:ascii="Arial" w:hAnsi="Arial" w:eastAsia="宋体" w:cs="Arial"/>
          <w:lang w:eastAsia="zh-CN"/>
        </w:rPr>
        <w:t>重大风险磁共振诊断器械</w:t>
      </w:r>
    </w:p>
    <w:p w14:paraId="58A2E6CA">
      <w:pPr>
        <w:pStyle w:val="2"/>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当评估研究是否可视为重大风险研究时应考虑以下操作条件：</w:t>
      </w:r>
    </w:p>
    <w:p w14:paraId="1D93C859">
      <w:pPr>
        <w:pStyle w:val="2"/>
        <w:numPr>
          <w:ilvl w:val="0"/>
          <w:numId w:val="1"/>
        </w:numPr>
        <w:tabs>
          <w:tab w:val="left" w:pos="824"/>
        </w:tabs>
        <w:snapToGrid w:val="0"/>
        <w:spacing w:after="120" w:afterLines="50" w:line="300" w:lineRule="auto"/>
        <w:ind w:left="797" w:leftChars="200" w:hanging="357"/>
        <w:jc w:val="both"/>
        <w:rPr>
          <w:rFonts w:ascii="Arial" w:hAnsi="Arial" w:eastAsia="宋体" w:cs="Arial"/>
          <w:lang w:eastAsia="zh-CN"/>
        </w:rPr>
      </w:pPr>
      <w:bookmarkStart w:id="10" w:name="OLE_LINK6"/>
      <w:bookmarkStart w:id="11" w:name="OLE_LINK7"/>
      <w:r>
        <w:rPr>
          <w:rFonts w:ascii="Arial" w:hAnsi="Arial" w:eastAsia="宋体" w:cs="Arial"/>
          <w:lang w:eastAsia="zh-CN"/>
        </w:rPr>
        <w:t>主静态磁场</w:t>
      </w:r>
    </w:p>
    <w:bookmarkEnd w:id="10"/>
    <w:bookmarkEnd w:id="11"/>
    <w:p w14:paraId="04E8571E">
      <w:pPr>
        <w:pStyle w:val="2"/>
        <w:numPr>
          <w:ilvl w:val="0"/>
          <w:numId w:val="1"/>
        </w:numPr>
        <w:tabs>
          <w:tab w:val="left" w:pos="824"/>
        </w:tabs>
        <w:snapToGrid w:val="0"/>
        <w:spacing w:after="120" w:afterLines="50" w:line="300" w:lineRule="auto"/>
        <w:ind w:left="797" w:leftChars="200" w:hanging="357"/>
        <w:jc w:val="both"/>
        <w:rPr>
          <w:rFonts w:ascii="Arial" w:hAnsi="Arial" w:eastAsia="宋体" w:cs="Arial"/>
          <w:lang w:eastAsia="zh-CN"/>
        </w:rPr>
      </w:pPr>
      <w:r>
        <w:rPr>
          <w:rFonts w:ascii="Arial" w:hAnsi="Arial" w:eastAsia="宋体" w:cs="Arial"/>
          <w:lang w:eastAsia="zh-CN"/>
        </w:rPr>
        <w:t>比吸收率（SAR）</w:t>
      </w:r>
    </w:p>
    <w:p w14:paraId="5EC258A0">
      <w:pPr>
        <w:pStyle w:val="2"/>
        <w:numPr>
          <w:ilvl w:val="0"/>
          <w:numId w:val="1"/>
        </w:numPr>
        <w:tabs>
          <w:tab w:val="left" w:pos="824"/>
        </w:tabs>
        <w:snapToGrid w:val="0"/>
        <w:spacing w:after="120" w:afterLines="50" w:line="300" w:lineRule="auto"/>
        <w:ind w:left="797" w:leftChars="200" w:hanging="357"/>
        <w:jc w:val="both"/>
        <w:rPr>
          <w:rFonts w:ascii="Arial" w:hAnsi="Arial" w:eastAsia="宋体" w:cs="Arial"/>
          <w:lang w:eastAsia="zh-CN"/>
        </w:rPr>
      </w:pPr>
      <w:r>
        <w:rPr>
          <w:rFonts w:ascii="Arial" w:hAnsi="Arial" w:eastAsia="宋体" w:cs="Arial"/>
          <w:lang w:eastAsia="zh-CN"/>
        </w:rPr>
        <w:t>梯度场变化率</w:t>
      </w:r>
    </w:p>
    <w:p w14:paraId="3B50AB91">
      <w:pPr>
        <w:pStyle w:val="2"/>
        <w:numPr>
          <w:ilvl w:val="0"/>
          <w:numId w:val="1"/>
        </w:numPr>
        <w:tabs>
          <w:tab w:val="left" w:pos="824"/>
        </w:tabs>
        <w:snapToGrid w:val="0"/>
        <w:spacing w:after="120" w:afterLines="50" w:line="300" w:lineRule="auto"/>
        <w:ind w:left="797" w:leftChars="200" w:hanging="357"/>
        <w:jc w:val="both"/>
        <w:rPr>
          <w:rFonts w:ascii="Arial" w:hAnsi="Arial" w:eastAsia="宋体" w:cs="Arial"/>
          <w:lang w:eastAsia="zh-CN"/>
        </w:rPr>
      </w:pPr>
      <w:r>
        <w:rPr>
          <w:rFonts w:ascii="Arial" w:hAnsi="Arial" w:eastAsia="宋体" w:cs="Arial"/>
          <w:lang w:eastAsia="zh-CN"/>
        </w:rPr>
        <w:t>声压级</w:t>
      </w:r>
    </w:p>
    <w:p w14:paraId="23435FD1">
      <w:pPr>
        <w:pStyle w:val="2"/>
        <w:snapToGrid w:val="0"/>
        <w:spacing w:after="120" w:afterLines="50" w:line="300" w:lineRule="auto"/>
        <w:ind w:left="0"/>
        <w:jc w:val="both"/>
        <w:rPr>
          <w:rFonts w:ascii="Arial" w:hAnsi="Arial" w:eastAsia="宋体" w:cs="Arial"/>
          <w:lang w:eastAsia="zh-CN"/>
        </w:rPr>
      </w:pPr>
      <w:r>
        <w:rPr>
          <w:rFonts w:ascii="Arial" w:hAnsi="Arial" w:eastAsia="宋体" w:cs="Arial"/>
          <w:lang w:eastAsia="zh-CN"/>
        </w:rPr>
        <w:t>通常，当磁共振诊断器械在以下描述的任一操作条件中使用时，FDA即视其为重大风险器械。</w:t>
      </w:r>
    </w:p>
    <w:p w14:paraId="7A56C4F2">
      <w:pPr>
        <w:snapToGrid w:val="0"/>
        <w:spacing w:after="120" w:afterLines="50" w:line="300" w:lineRule="auto"/>
        <w:rPr>
          <w:rFonts w:ascii="Arial" w:hAnsi="Arial" w:eastAsia="宋体" w:cs="Arial"/>
          <w:sz w:val="24"/>
          <w:szCs w:val="24"/>
          <w:lang w:eastAsia="zh-CN"/>
        </w:rPr>
      </w:pPr>
    </w:p>
    <w:p w14:paraId="3E86582B">
      <w:pPr>
        <w:pStyle w:val="14"/>
        <w:snapToGrid w:val="0"/>
        <w:spacing w:after="120" w:afterLines="50" w:line="300" w:lineRule="auto"/>
        <w:ind w:left="660" w:leftChars="300"/>
        <w:rPr>
          <w:rFonts w:ascii="Arial" w:hAnsi="Arial" w:eastAsia="宋体" w:cs="Arial"/>
          <w:b w:val="0"/>
          <w:bCs w:val="0"/>
          <w:lang w:eastAsia="zh-CN"/>
        </w:rPr>
      </w:pPr>
      <w:r>
        <w:rPr>
          <w:rFonts w:ascii="Arial" w:hAnsi="Arial" w:eastAsia="宋体" w:cs="Arial"/>
          <w:lang w:eastAsia="zh-CN"/>
        </w:rPr>
        <w:t>主静态磁场</w:t>
      </w:r>
    </w:p>
    <w:tbl>
      <w:tblPr>
        <w:tblStyle w:val="10"/>
        <w:tblW w:w="0" w:type="auto"/>
        <w:jc w:val="center"/>
        <w:tblLayout w:type="fixed"/>
        <w:tblCellMar>
          <w:top w:w="0" w:type="dxa"/>
          <w:left w:w="0" w:type="dxa"/>
          <w:bottom w:w="0" w:type="dxa"/>
          <w:right w:w="0" w:type="dxa"/>
        </w:tblCellMar>
      </w:tblPr>
      <w:tblGrid>
        <w:gridCol w:w="4698"/>
        <w:gridCol w:w="2700"/>
      </w:tblGrid>
      <w:tr w14:paraId="4F36DCE4">
        <w:tblPrEx>
          <w:tblCellMar>
            <w:top w:w="0" w:type="dxa"/>
            <w:left w:w="0" w:type="dxa"/>
            <w:bottom w:w="0" w:type="dxa"/>
            <w:right w:w="0" w:type="dxa"/>
          </w:tblCellMar>
        </w:tblPrEx>
        <w:trPr>
          <w:jc w:val="center"/>
        </w:trPr>
        <w:tc>
          <w:tcPr>
            <w:tcW w:w="4698" w:type="dxa"/>
            <w:tcBorders>
              <w:top w:val="single" w:color="000000" w:sz="4" w:space="0"/>
              <w:left w:val="single" w:color="000000" w:sz="4" w:space="0"/>
              <w:bottom w:val="single" w:color="000000" w:sz="4" w:space="0"/>
              <w:right w:val="single" w:color="000000" w:sz="4" w:space="0"/>
            </w:tcBorders>
            <w:shd w:val="clear" w:color="auto" w:fill="DAEEF3"/>
            <w:vAlign w:val="center"/>
          </w:tcPr>
          <w:p w14:paraId="2EBA9FBD">
            <w:pPr>
              <w:pStyle w:val="17"/>
              <w:snapToGrid w:val="0"/>
              <w:spacing w:before="48" w:beforeLines="20" w:after="48" w:afterLines="20" w:line="276" w:lineRule="auto"/>
              <w:ind w:left="44" w:leftChars="20" w:right="44" w:rightChars="20"/>
              <w:jc w:val="center"/>
              <w:rPr>
                <w:rFonts w:ascii="Arial" w:hAnsi="Arial" w:eastAsia="宋体" w:cs="Arial"/>
                <w:sz w:val="21"/>
                <w:szCs w:val="21"/>
                <w:lang w:eastAsia="zh-CN"/>
              </w:rPr>
            </w:pPr>
            <w:r>
              <w:rPr>
                <w:rFonts w:ascii="Arial" w:hAnsi="Arial" w:eastAsia="宋体" w:cs="Arial"/>
                <w:b/>
                <w:sz w:val="21"/>
                <w:szCs w:val="21"/>
                <w:lang w:eastAsia="zh-CN"/>
              </w:rPr>
              <w:t>人群</w:t>
            </w:r>
          </w:p>
        </w:tc>
        <w:tc>
          <w:tcPr>
            <w:tcW w:w="2700" w:type="dxa"/>
            <w:tcBorders>
              <w:top w:val="single" w:color="000000" w:sz="4" w:space="0"/>
              <w:left w:val="single" w:color="000000" w:sz="4" w:space="0"/>
              <w:bottom w:val="single" w:color="000000" w:sz="4" w:space="0"/>
              <w:right w:val="single" w:color="000000" w:sz="4" w:space="0"/>
            </w:tcBorders>
            <w:shd w:val="clear" w:color="auto" w:fill="DAEEF3"/>
            <w:vAlign w:val="center"/>
          </w:tcPr>
          <w:p w14:paraId="28BBC330">
            <w:pPr>
              <w:pStyle w:val="17"/>
              <w:snapToGrid w:val="0"/>
              <w:spacing w:before="48" w:beforeLines="20" w:after="48" w:afterLines="20" w:line="276" w:lineRule="auto"/>
              <w:ind w:left="44" w:leftChars="20" w:right="44" w:rightChars="20"/>
              <w:rPr>
                <w:rFonts w:ascii="Arial" w:hAnsi="Arial" w:eastAsia="宋体" w:cs="Arial"/>
                <w:sz w:val="21"/>
                <w:szCs w:val="21"/>
                <w:lang w:eastAsia="zh-CN"/>
              </w:rPr>
            </w:pPr>
            <w:r>
              <w:rPr>
                <w:rFonts w:ascii="Arial" w:hAnsi="Arial" w:eastAsia="宋体" w:cs="Arial"/>
                <w:b/>
                <w:sz w:val="21"/>
                <w:szCs w:val="21"/>
                <w:lang w:eastAsia="zh-CN"/>
              </w:rPr>
              <w:t>主静态磁场大于</w:t>
            </w:r>
            <w:r>
              <w:rPr>
                <w:rFonts w:ascii="Arial" w:hAnsi="Arial" w:eastAsia="宋体" w:cs="Arial"/>
                <w:sz w:val="21"/>
                <w:szCs w:val="21"/>
                <w:lang w:eastAsia="zh-CN"/>
              </w:rPr>
              <w:t>（特斯拉）</w:t>
            </w:r>
          </w:p>
        </w:tc>
      </w:tr>
      <w:tr w14:paraId="4CB8BEFB">
        <w:tblPrEx>
          <w:tblCellMar>
            <w:top w:w="0" w:type="dxa"/>
            <w:left w:w="0" w:type="dxa"/>
            <w:bottom w:w="0" w:type="dxa"/>
            <w:right w:w="0" w:type="dxa"/>
          </w:tblCellMar>
        </w:tblPrEx>
        <w:trPr>
          <w:jc w:val="center"/>
        </w:trPr>
        <w:tc>
          <w:tcPr>
            <w:tcW w:w="4698" w:type="dxa"/>
            <w:tcBorders>
              <w:top w:val="single" w:color="000000" w:sz="4" w:space="0"/>
              <w:left w:val="single" w:color="000000" w:sz="4" w:space="0"/>
              <w:bottom w:val="single" w:color="000000" w:sz="4" w:space="0"/>
              <w:right w:val="single" w:color="000000" w:sz="4" w:space="0"/>
            </w:tcBorders>
            <w:vAlign w:val="center"/>
          </w:tcPr>
          <w:p w14:paraId="39DABB6A">
            <w:pPr>
              <w:pStyle w:val="17"/>
              <w:snapToGrid w:val="0"/>
              <w:spacing w:before="48" w:beforeLines="20" w:after="48" w:afterLines="20" w:line="276" w:lineRule="auto"/>
              <w:ind w:left="44" w:leftChars="20" w:right="44" w:rightChars="20"/>
              <w:rPr>
                <w:rFonts w:ascii="Arial" w:hAnsi="Arial" w:eastAsia="宋体" w:cs="Arial"/>
                <w:sz w:val="21"/>
                <w:szCs w:val="21"/>
                <w:lang w:eastAsia="zh-CN"/>
              </w:rPr>
            </w:pPr>
            <w:r>
              <w:rPr>
                <w:rFonts w:ascii="Arial" w:hAnsi="Arial" w:eastAsia="宋体" w:cs="Arial"/>
                <w:sz w:val="21"/>
                <w:szCs w:val="21"/>
                <w:lang w:eastAsia="zh-CN"/>
              </w:rPr>
              <w:t>成人、儿童和</w:t>
            </w:r>
            <w:bookmarkStart w:id="12" w:name="OLE_LINK8"/>
            <w:bookmarkStart w:id="13" w:name="OLE_LINK9"/>
            <w:r>
              <w:rPr>
                <w:rFonts w:ascii="Arial" w:hAnsi="Arial" w:eastAsia="宋体" w:cs="Arial"/>
                <w:sz w:val="21"/>
                <w:szCs w:val="21"/>
                <w:lang w:eastAsia="zh-CN"/>
              </w:rPr>
              <w:t>1个月</w:t>
            </w:r>
            <w:bookmarkEnd w:id="12"/>
            <w:bookmarkEnd w:id="13"/>
            <w:r>
              <w:rPr>
                <w:rFonts w:ascii="Arial" w:hAnsi="Arial" w:eastAsia="宋体" w:cs="Arial"/>
                <w:sz w:val="21"/>
                <w:szCs w:val="21"/>
                <w:lang w:eastAsia="zh-CN"/>
              </w:rPr>
              <w:t>以上的婴儿</w:t>
            </w:r>
          </w:p>
        </w:tc>
        <w:tc>
          <w:tcPr>
            <w:tcW w:w="2700" w:type="dxa"/>
            <w:tcBorders>
              <w:top w:val="single" w:color="000000" w:sz="4" w:space="0"/>
              <w:left w:val="single" w:color="000000" w:sz="4" w:space="0"/>
              <w:bottom w:val="single" w:color="000000" w:sz="4" w:space="0"/>
              <w:right w:val="single" w:color="000000" w:sz="4" w:space="0"/>
            </w:tcBorders>
            <w:vAlign w:val="center"/>
          </w:tcPr>
          <w:p w14:paraId="510F7BCB">
            <w:pPr>
              <w:pStyle w:val="17"/>
              <w:snapToGrid w:val="0"/>
              <w:spacing w:before="48" w:beforeLines="20" w:after="48" w:afterLines="20" w:line="276" w:lineRule="auto"/>
              <w:ind w:left="44" w:leftChars="20" w:right="44" w:rightChars="20"/>
              <w:jc w:val="center"/>
              <w:rPr>
                <w:rFonts w:ascii="Arial" w:hAnsi="Arial" w:eastAsia="宋体" w:cs="Arial"/>
                <w:sz w:val="21"/>
                <w:szCs w:val="21"/>
                <w:lang w:eastAsia="zh-CN"/>
              </w:rPr>
            </w:pPr>
            <w:r>
              <w:rPr>
                <w:rFonts w:ascii="Arial" w:hAnsi="Arial" w:eastAsia="宋体" w:cs="Arial"/>
                <w:sz w:val="21"/>
                <w:szCs w:val="21"/>
                <w:lang w:eastAsia="zh-CN"/>
              </w:rPr>
              <w:t>8</w:t>
            </w:r>
          </w:p>
        </w:tc>
      </w:tr>
      <w:tr w14:paraId="2945B7D8">
        <w:tblPrEx>
          <w:tblCellMar>
            <w:top w:w="0" w:type="dxa"/>
            <w:left w:w="0" w:type="dxa"/>
            <w:bottom w:w="0" w:type="dxa"/>
            <w:right w:w="0" w:type="dxa"/>
          </w:tblCellMar>
        </w:tblPrEx>
        <w:trPr>
          <w:jc w:val="center"/>
        </w:trPr>
        <w:tc>
          <w:tcPr>
            <w:tcW w:w="4698" w:type="dxa"/>
            <w:tcBorders>
              <w:top w:val="single" w:color="000000" w:sz="4" w:space="0"/>
              <w:left w:val="single" w:color="000000" w:sz="4" w:space="0"/>
              <w:bottom w:val="single" w:color="000000" w:sz="4" w:space="0"/>
              <w:right w:val="single" w:color="000000" w:sz="4" w:space="0"/>
            </w:tcBorders>
            <w:vAlign w:val="center"/>
          </w:tcPr>
          <w:p w14:paraId="51591AEA">
            <w:pPr>
              <w:pStyle w:val="17"/>
              <w:snapToGrid w:val="0"/>
              <w:spacing w:before="48" w:beforeLines="20" w:after="48" w:afterLines="20" w:line="276" w:lineRule="auto"/>
              <w:ind w:left="44" w:leftChars="20" w:right="44" w:rightChars="20"/>
              <w:rPr>
                <w:rFonts w:ascii="Arial" w:hAnsi="Arial" w:eastAsia="宋体" w:cs="Arial"/>
                <w:sz w:val="21"/>
                <w:szCs w:val="21"/>
                <w:lang w:eastAsia="zh-CN"/>
              </w:rPr>
            </w:pPr>
            <w:r>
              <w:rPr>
                <w:rFonts w:ascii="Arial" w:hAnsi="Arial" w:eastAsia="宋体" w:cs="Arial"/>
                <w:sz w:val="21"/>
                <w:szCs w:val="21"/>
                <w:lang w:eastAsia="zh-CN"/>
              </w:rPr>
              <w:t>新生儿，即1个月或以下的婴儿</w:t>
            </w:r>
          </w:p>
        </w:tc>
        <w:tc>
          <w:tcPr>
            <w:tcW w:w="2700" w:type="dxa"/>
            <w:tcBorders>
              <w:top w:val="single" w:color="000000" w:sz="4" w:space="0"/>
              <w:left w:val="single" w:color="000000" w:sz="4" w:space="0"/>
              <w:bottom w:val="single" w:color="000000" w:sz="4" w:space="0"/>
              <w:right w:val="single" w:color="000000" w:sz="4" w:space="0"/>
            </w:tcBorders>
            <w:vAlign w:val="center"/>
          </w:tcPr>
          <w:p w14:paraId="0961D7EE">
            <w:pPr>
              <w:pStyle w:val="17"/>
              <w:snapToGrid w:val="0"/>
              <w:spacing w:before="48" w:beforeLines="20" w:after="48" w:afterLines="20" w:line="276" w:lineRule="auto"/>
              <w:ind w:left="44" w:leftChars="20" w:right="44" w:rightChars="20"/>
              <w:jc w:val="center"/>
              <w:rPr>
                <w:rFonts w:ascii="Arial" w:hAnsi="Arial" w:eastAsia="宋体" w:cs="Arial"/>
                <w:sz w:val="21"/>
                <w:szCs w:val="21"/>
                <w:lang w:eastAsia="zh-CN"/>
              </w:rPr>
            </w:pPr>
            <w:r>
              <w:rPr>
                <w:rFonts w:ascii="Arial" w:hAnsi="Arial" w:eastAsia="宋体" w:cs="Arial"/>
                <w:sz w:val="21"/>
                <w:szCs w:val="21"/>
                <w:lang w:eastAsia="zh-CN"/>
              </w:rPr>
              <w:t>4</w:t>
            </w:r>
          </w:p>
        </w:tc>
      </w:tr>
    </w:tbl>
    <w:p w14:paraId="77A09466">
      <w:pPr>
        <w:pStyle w:val="14"/>
        <w:snapToGrid w:val="0"/>
        <w:spacing w:after="120" w:afterLines="50" w:line="300" w:lineRule="auto"/>
        <w:ind w:left="0"/>
        <w:rPr>
          <w:rFonts w:ascii="Arial" w:hAnsi="Arial" w:eastAsia="宋体" w:cs="Arial"/>
          <w:lang w:eastAsia="zh-CN"/>
        </w:rPr>
      </w:pPr>
    </w:p>
    <w:p w14:paraId="6B97E3D8">
      <w:pPr>
        <w:rPr>
          <w:rFonts w:ascii="Arial" w:hAnsi="Arial" w:eastAsia="宋体" w:cs="Arial"/>
          <w:b/>
          <w:bCs/>
          <w:sz w:val="28"/>
          <w:szCs w:val="28"/>
          <w:lang w:eastAsia="zh-CN"/>
        </w:rPr>
      </w:pPr>
      <w:r>
        <w:rPr>
          <w:rFonts w:ascii="Arial" w:hAnsi="Arial" w:eastAsia="宋体" w:cs="Arial"/>
          <w:lang w:eastAsia="zh-CN"/>
        </w:rPr>
        <w:br w:type="page"/>
      </w:r>
    </w:p>
    <w:p w14:paraId="5262FC8E">
      <w:pPr>
        <w:pStyle w:val="14"/>
        <w:snapToGrid w:val="0"/>
        <w:spacing w:after="120" w:afterLines="50" w:line="300" w:lineRule="auto"/>
        <w:ind w:left="660" w:leftChars="300"/>
        <w:rPr>
          <w:rFonts w:ascii="Arial" w:hAnsi="Arial" w:eastAsia="宋体" w:cs="Arial"/>
          <w:b w:val="0"/>
          <w:bCs w:val="0"/>
          <w:lang w:eastAsia="zh-CN"/>
        </w:rPr>
      </w:pPr>
      <w:r>
        <w:rPr>
          <w:rFonts w:ascii="Arial" w:hAnsi="Arial" w:eastAsia="宋体" w:cs="Arial"/>
          <w:lang w:eastAsia="zh-CN"/>
        </w:rPr>
        <w:t>比吸收率（SAR）</w:t>
      </w:r>
    </w:p>
    <w:tbl>
      <w:tblPr>
        <w:tblStyle w:val="10"/>
        <w:tblW w:w="0" w:type="auto"/>
        <w:tblInd w:w="710" w:type="dxa"/>
        <w:tblLayout w:type="fixed"/>
        <w:tblCellMar>
          <w:top w:w="0" w:type="dxa"/>
          <w:left w:w="0" w:type="dxa"/>
          <w:bottom w:w="0" w:type="dxa"/>
          <w:right w:w="0" w:type="dxa"/>
        </w:tblCellMar>
      </w:tblPr>
      <w:tblGrid>
        <w:gridCol w:w="1609"/>
        <w:gridCol w:w="2425"/>
        <w:gridCol w:w="2644"/>
        <w:gridCol w:w="1242"/>
      </w:tblGrid>
      <w:tr w14:paraId="0AA10542">
        <w:tblPrEx>
          <w:tblCellMar>
            <w:top w:w="0" w:type="dxa"/>
            <w:left w:w="0" w:type="dxa"/>
            <w:bottom w:w="0" w:type="dxa"/>
            <w:right w:w="0" w:type="dxa"/>
          </w:tblCellMar>
        </w:tblPrEx>
        <w:tc>
          <w:tcPr>
            <w:tcW w:w="1609" w:type="dxa"/>
            <w:tcBorders>
              <w:top w:val="single" w:color="000000" w:sz="4" w:space="0"/>
              <w:left w:val="single" w:color="000000" w:sz="4" w:space="0"/>
              <w:bottom w:val="single" w:color="000000" w:sz="4" w:space="0"/>
              <w:right w:val="single" w:color="000000" w:sz="4" w:space="0"/>
            </w:tcBorders>
            <w:shd w:val="clear" w:color="auto" w:fill="DAEEF3"/>
            <w:vAlign w:val="center"/>
          </w:tcPr>
          <w:p w14:paraId="362E58EC">
            <w:pPr>
              <w:pStyle w:val="17"/>
              <w:snapToGrid w:val="0"/>
              <w:spacing w:before="48" w:beforeLines="20" w:after="48" w:afterLines="20" w:line="276" w:lineRule="auto"/>
              <w:ind w:left="44" w:leftChars="20" w:right="44" w:rightChars="20"/>
              <w:jc w:val="center"/>
              <w:rPr>
                <w:rFonts w:ascii="Arial" w:hAnsi="Arial" w:eastAsia="宋体" w:cs="Arial"/>
                <w:sz w:val="21"/>
                <w:szCs w:val="21"/>
                <w:lang w:eastAsia="zh-CN"/>
              </w:rPr>
            </w:pPr>
            <w:r>
              <w:rPr>
                <w:rFonts w:ascii="Arial" w:hAnsi="Arial" w:eastAsia="宋体" w:cs="Arial"/>
                <w:b/>
                <w:sz w:val="21"/>
                <w:szCs w:val="21"/>
                <w:lang w:eastAsia="zh-CN"/>
              </w:rPr>
              <w:t>位置</w:t>
            </w:r>
          </w:p>
        </w:tc>
        <w:tc>
          <w:tcPr>
            <w:tcW w:w="2425" w:type="dxa"/>
            <w:tcBorders>
              <w:top w:val="single" w:color="000000" w:sz="4" w:space="0"/>
              <w:left w:val="single" w:color="000000" w:sz="4" w:space="0"/>
              <w:bottom w:val="single" w:color="000000" w:sz="4" w:space="0"/>
              <w:right w:val="single" w:color="000000" w:sz="4" w:space="0"/>
            </w:tcBorders>
            <w:shd w:val="clear" w:color="auto" w:fill="DAEEF3"/>
            <w:vAlign w:val="center"/>
          </w:tcPr>
          <w:p w14:paraId="0A446474">
            <w:pPr>
              <w:pStyle w:val="17"/>
              <w:snapToGrid w:val="0"/>
              <w:spacing w:before="48" w:beforeLines="20" w:after="48" w:afterLines="20" w:line="276" w:lineRule="auto"/>
              <w:ind w:left="44" w:leftChars="20" w:right="44" w:rightChars="20"/>
              <w:jc w:val="center"/>
              <w:rPr>
                <w:rFonts w:ascii="Arial" w:hAnsi="Arial" w:eastAsia="宋体" w:cs="Arial"/>
                <w:sz w:val="21"/>
                <w:szCs w:val="21"/>
                <w:lang w:eastAsia="zh-CN"/>
              </w:rPr>
            </w:pPr>
            <w:r>
              <w:rPr>
                <w:rFonts w:ascii="Arial" w:hAnsi="Arial" w:eastAsia="宋体" w:cs="Arial"/>
                <w:b/>
                <w:sz w:val="21"/>
                <w:szCs w:val="21"/>
                <w:lang w:eastAsia="zh-CN"/>
              </w:rPr>
              <w:t>剂量</w:t>
            </w:r>
          </w:p>
        </w:tc>
        <w:tc>
          <w:tcPr>
            <w:tcW w:w="2644" w:type="dxa"/>
            <w:tcBorders>
              <w:top w:val="single" w:color="000000" w:sz="4" w:space="0"/>
              <w:left w:val="single" w:color="000000" w:sz="4" w:space="0"/>
              <w:bottom w:val="single" w:color="000000" w:sz="4" w:space="0"/>
              <w:right w:val="single" w:color="000000" w:sz="4" w:space="0"/>
            </w:tcBorders>
            <w:shd w:val="clear" w:color="auto" w:fill="DAEEF3"/>
            <w:vAlign w:val="center"/>
          </w:tcPr>
          <w:p w14:paraId="787DB098">
            <w:pPr>
              <w:pStyle w:val="17"/>
              <w:snapToGrid w:val="0"/>
              <w:spacing w:before="48" w:beforeLines="20" w:after="48" w:afterLines="20" w:line="276" w:lineRule="auto"/>
              <w:ind w:left="44" w:leftChars="20" w:right="44" w:rightChars="20"/>
              <w:jc w:val="center"/>
              <w:rPr>
                <w:rFonts w:ascii="Arial" w:hAnsi="Arial" w:eastAsia="宋体" w:cs="Arial"/>
                <w:sz w:val="21"/>
                <w:szCs w:val="21"/>
                <w:lang w:eastAsia="zh-CN"/>
              </w:rPr>
            </w:pPr>
            <w:r>
              <w:rPr>
                <w:rFonts w:ascii="Arial" w:hAnsi="Arial" w:eastAsia="宋体" w:cs="Arial"/>
                <w:b/>
                <w:sz w:val="21"/>
                <w:szCs w:val="21"/>
                <w:lang w:eastAsia="zh-CN"/>
              </w:rPr>
              <w:t>时间 （分钟）</w:t>
            </w:r>
          </w:p>
          <w:p w14:paraId="12878815">
            <w:pPr>
              <w:pStyle w:val="17"/>
              <w:snapToGrid w:val="0"/>
              <w:spacing w:before="48" w:beforeLines="20" w:after="48" w:afterLines="20" w:line="276" w:lineRule="auto"/>
              <w:ind w:left="44" w:leftChars="20" w:right="44" w:rightChars="20"/>
              <w:jc w:val="center"/>
              <w:rPr>
                <w:rFonts w:ascii="Arial" w:hAnsi="Arial" w:eastAsia="宋体" w:cs="Arial"/>
                <w:sz w:val="21"/>
                <w:szCs w:val="21"/>
                <w:lang w:eastAsia="zh-CN"/>
              </w:rPr>
            </w:pPr>
            <w:r>
              <w:rPr>
                <w:rFonts w:ascii="Arial" w:hAnsi="Arial" w:eastAsia="宋体" w:cs="Arial"/>
                <w:sz w:val="21"/>
                <w:szCs w:val="21"/>
                <w:lang w:eastAsia="zh-CN"/>
              </w:rPr>
              <w:t>等于或大于：</w:t>
            </w:r>
          </w:p>
        </w:tc>
        <w:tc>
          <w:tcPr>
            <w:tcW w:w="1242" w:type="dxa"/>
            <w:tcBorders>
              <w:top w:val="single" w:color="000000" w:sz="4" w:space="0"/>
              <w:left w:val="single" w:color="000000" w:sz="4" w:space="0"/>
              <w:bottom w:val="single" w:color="000000" w:sz="4" w:space="0"/>
              <w:right w:val="single" w:color="000000" w:sz="4" w:space="0"/>
            </w:tcBorders>
            <w:shd w:val="clear" w:color="auto" w:fill="DAEEF3"/>
            <w:vAlign w:val="center"/>
          </w:tcPr>
          <w:p w14:paraId="3DD6F66E">
            <w:pPr>
              <w:pStyle w:val="17"/>
              <w:snapToGrid w:val="0"/>
              <w:spacing w:before="48" w:beforeLines="20" w:after="48" w:afterLines="20" w:line="276" w:lineRule="auto"/>
              <w:ind w:left="44" w:leftChars="20" w:right="44" w:rightChars="20"/>
              <w:jc w:val="center"/>
              <w:rPr>
                <w:rFonts w:ascii="Arial" w:hAnsi="Arial" w:eastAsia="宋体" w:cs="Arial"/>
                <w:sz w:val="21"/>
                <w:szCs w:val="21"/>
                <w:lang w:eastAsia="zh-CN"/>
              </w:rPr>
            </w:pPr>
            <w:r>
              <w:rPr>
                <w:rFonts w:ascii="Arial" w:hAnsi="Arial" w:eastAsia="宋体" w:cs="Arial"/>
                <w:b/>
                <w:sz w:val="21"/>
                <w:szCs w:val="21"/>
                <w:lang w:eastAsia="zh-CN"/>
              </w:rPr>
              <w:t>SAR</w:t>
            </w:r>
          </w:p>
          <w:p w14:paraId="4E7474F0">
            <w:pPr>
              <w:pStyle w:val="17"/>
              <w:snapToGrid w:val="0"/>
              <w:spacing w:before="48" w:beforeLines="20" w:after="48" w:afterLines="20" w:line="276" w:lineRule="auto"/>
              <w:ind w:left="44" w:leftChars="20" w:right="44" w:rightChars="20"/>
              <w:jc w:val="center"/>
              <w:rPr>
                <w:rFonts w:ascii="Arial" w:hAnsi="Arial" w:eastAsia="宋体" w:cs="Arial"/>
                <w:sz w:val="21"/>
                <w:szCs w:val="21"/>
                <w:lang w:eastAsia="zh-CN"/>
              </w:rPr>
            </w:pPr>
            <w:r>
              <w:rPr>
                <w:rFonts w:ascii="Arial" w:hAnsi="Arial" w:eastAsia="宋体" w:cs="Arial"/>
                <w:b/>
                <w:sz w:val="21"/>
                <w:szCs w:val="21"/>
                <w:lang w:eastAsia="zh-CN"/>
              </w:rPr>
              <w:t>（W/kg）</w:t>
            </w:r>
          </w:p>
        </w:tc>
      </w:tr>
      <w:tr w14:paraId="08394166">
        <w:tblPrEx>
          <w:tblCellMar>
            <w:top w:w="0" w:type="dxa"/>
            <w:left w:w="0" w:type="dxa"/>
            <w:bottom w:w="0" w:type="dxa"/>
            <w:right w:w="0" w:type="dxa"/>
          </w:tblCellMar>
        </w:tblPrEx>
        <w:tc>
          <w:tcPr>
            <w:tcW w:w="1609" w:type="dxa"/>
            <w:tcBorders>
              <w:top w:val="single" w:color="000000" w:sz="4" w:space="0"/>
              <w:left w:val="single" w:color="000000" w:sz="4" w:space="0"/>
              <w:bottom w:val="single" w:color="000000" w:sz="4" w:space="0"/>
              <w:right w:val="single" w:color="000000" w:sz="4" w:space="0"/>
            </w:tcBorders>
            <w:vAlign w:val="center"/>
          </w:tcPr>
          <w:p w14:paraId="404CA05D">
            <w:pPr>
              <w:pStyle w:val="17"/>
              <w:snapToGrid w:val="0"/>
              <w:spacing w:before="48" w:beforeLines="20" w:after="48" w:afterLines="20" w:line="276" w:lineRule="auto"/>
              <w:ind w:left="44" w:leftChars="20" w:right="44" w:rightChars="20"/>
              <w:jc w:val="center"/>
              <w:rPr>
                <w:rFonts w:ascii="Arial" w:hAnsi="Arial" w:eastAsia="宋体" w:cs="Arial"/>
                <w:sz w:val="21"/>
                <w:szCs w:val="21"/>
                <w:lang w:eastAsia="zh-CN"/>
              </w:rPr>
            </w:pPr>
            <w:r>
              <w:rPr>
                <w:rFonts w:ascii="Arial" w:hAnsi="Arial" w:eastAsia="宋体" w:cs="Arial"/>
                <w:sz w:val="21"/>
                <w:szCs w:val="21"/>
                <w:lang w:eastAsia="zh-CN"/>
              </w:rPr>
              <w:t>全身</w:t>
            </w:r>
          </w:p>
        </w:tc>
        <w:tc>
          <w:tcPr>
            <w:tcW w:w="2425" w:type="dxa"/>
            <w:tcBorders>
              <w:top w:val="single" w:color="000000" w:sz="4" w:space="0"/>
              <w:left w:val="single" w:color="000000" w:sz="4" w:space="0"/>
              <w:bottom w:val="single" w:color="000000" w:sz="4" w:space="0"/>
              <w:right w:val="single" w:color="000000" w:sz="4" w:space="0"/>
            </w:tcBorders>
            <w:vAlign w:val="center"/>
          </w:tcPr>
          <w:p w14:paraId="12A66FCF">
            <w:pPr>
              <w:pStyle w:val="17"/>
              <w:snapToGrid w:val="0"/>
              <w:spacing w:before="48" w:beforeLines="20" w:after="48" w:afterLines="20" w:line="276" w:lineRule="auto"/>
              <w:ind w:left="44" w:leftChars="20" w:right="44" w:rightChars="20"/>
              <w:jc w:val="center"/>
              <w:rPr>
                <w:rFonts w:ascii="Arial" w:hAnsi="Arial" w:eastAsia="宋体" w:cs="Arial"/>
                <w:sz w:val="21"/>
                <w:szCs w:val="21"/>
                <w:lang w:eastAsia="zh-CN"/>
              </w:rPr>
            </w:pPr>
            <w:r>
              <w:rPr>
                <w:rFonts w:hint="eastAsia" w:ascii="Arial" w:hAnsi="Arial" w:eastAsia="宋体" w:cs="Arial"/>
                <w:sz w:val="21"/>
                <w:szCs w:val="21"/>
                <w:lang w:eastAsia="zh-CN"/>
              </w:rPr>
              <w:t>超出平均</w:t>
            </w:r>
          </w:p>
        </w:tc>
        <w:tc>
          <w:tcPr>
            <w:tcW w:w="2644" w:type="dxa"/>
            <w:tcBorders>
              <w:top w:val="single" w:color="000000" w:sz="4" w:space="0"/>
              <w:left w:val="single" w:color="000000" w:sz="4" w:space="0"/>
              <w:bottom w:val="single" w:color="000000" w:sz="4" w:space="0"/>
              <w:right w:val="single" w:color="000000" w:sz="4" w:space="0"/>
            </w:tcBorders>
            <w:vAlign w:val="center"/>
          </w:tcPr>
          <w:p w14:paraId="7BFA3308">
            <w:pPr>
              <w:pStyle w:val="17"/>
              <w:snapToGrid w:val="0"/>
              <w:spacing w:before="48" w:beforeLines="20" w:after="48" w:afterLines="20" w:line="276" w:lineRule="auto"/>
              <w:ind w:left="44" w:leftChars="20" w:right="44" w:rightChars="20"/>
              <w:jc w:val="center"/>
              <w:rPr>
                <w:rFonts w:ascii="Arial" w:hAnsi="Arial" w:eastAsia="宋体" w:cs="Arial"/>
                <w:sz w:val="21"/>
                <w:szCs w:val="21"/>
                <w:lang w:eastAsia="zh-CN"/>
              </w:rPr>
            </w:pPr>
            <w:r>
              <w:rPr>
                <w:rFonts w:ascii="Arial" w:hAnsi="Arial" w:eastAsia="宋体" w:cs="Arial"/>
                <w:sz w:val="21"/>
                <w:szCs w:val="21"/>
                <w:lang w:eastAsia="zh-CN"/>
              </w:rPr>
              <w:t>15</w:t>
            </w:r>
          </w:p>
        </w:tc>
        <w:tc>
          <w:tcPr>
            <w:tcW w:w="1242" w:type="dxa"/>
            <w:tcBorders>
              <w:top w:val="single" w:color="000000" w:sz="4" w:space="0"/>
              <w:left w:val="single" w:color="000000" w:sz="4" w:space="0"/>
              <w:bottom w:val="single" w:color="000000" w:sz="4" w:space="0"/>
              <w:right w:val="single" w:color="000000" w:sz="4" w:space="0"/>
            </w:tcBorders>
            <w:vAlign w:val="center"/>
          </w:tcPr>
          <w:p w14:paraId="144A00E5">
            <w:pPr>
              <w:pStyle w:val="17"/>
              <w:snapToGrid w:val="0"/>
              <w:spacing w:before="48" w:beforeLines="20" w:after="48" w:afterLines="20" w:line="276" w:lineRule="auto"/>
              <w:ind w:left="44" w:leftChars="20" w:right="44" w:rightChars="20"/>
              <w:jc w:val="center"/>
              <w:rPr>
                <w:rFonts w:ascii="Arial" w:hAnsi="Arial" w:eastAsia="宋体" w:cs="Arial"/>
                <w:sz w:val="21"/>
                <w:szCs w:val="21"/>
                <w:lang w:eastAsia="zh-CN"/>
              </w:rPr>
            </w:pPr>
            <w:r>
              <w:rPr>
                <w:rFonts w:ascii="Arial" w:hAnsi="Arial" w:eastAsia="宋体" w:cs="Arial"/>
                <w:sz w:val="21"/>
                <w:szCs w:val="21"/>
                <w:lang w:eastAsia="zh-CN"/>
              </w:rPr>
              <w:t>&gt;4</w:t>
            </w:r>
          </w:p>
        </w:tc>
      </w:tr>
      <w:tr w14:paraId="758D584F">
        <w:tblPrEx>
          <w:tblCellMar>
            <w:top w:w="0" w:type="dxa"/>
            <w:left w:w="0" w:type="dxa"/>
            <w:bottom w:w="0" w:type="dxa"/>
            <w:right w:w="0" w:type="dxa"/>
          </w:tblCellMar>
        </w:tblPrEx>
        <w:tc>
          <w:tcPr>
            <w:tcW w:w="1609" w:type="dxa"/>
            <w:tcBorders>
              <w:top w:val="single" w:color="000000" w:sz="4" w:space="0"/>
              <w:left w:val="single" w:color="000000" w:sz="4" w:space="0"/>
              <w:bottom w:val="single" w:color="000000" w:sz="4" w:space="0"/>
              <w:right w:val="single" w:color="000000" w:sz="4" w:space="0"/>
            </w:tcBorders>
            <w:vAlign w:val="center"/>
          </w:tcPr>
          <w:p w14:paraId="56C2855E">
            <w:pPr>
              <w:pStyle w:val="17"/>
              <w:snapToGrid w:val="0"/>
              <w:spacing w:before="48" w:beforeLines="20" w:after="48" w:afterLines="20" w:line="276" w:lineRule="auto"/>
              <w:ind w:left="44" w:leftChars="20" w:right="44" w:rightChars="20"/>
              <w:jc w:val="center"/>
              <w:rPr>
                <w:rFonts w:ascii="Arial" w:hAnsi="Arial" w:eastAsia="宋体" w:cs="Arial"/>
                <w:sz w:val="21"/>
                <w:szCs w:val="21"/>
                <w:lang w:eastAsia="zh-CN"/>
              </w:rPr>
            </w:pPr>
            <w:r>
              <w:rPr>
                <w:rFonts w:ascii="Arial" w:hAnsi="Arial" w:eastAsia="宋体" w:cs="Arial"/>
                <w:sz w:val="21"/>
                <w:szCs w:val="21"/>
                <w:lang w:eastAsia="zh-CN"/>
              </w:rPr>
              <w:t>头部</w:t>
            </w:r>
          </w:p>
        </w:tc>
        <w:tc>
          <w:tcPr>
            <w:tcW w:w="2425" w:type="dxa"/>
            <w:tcBorders>
              <w:top w:val="single" w:color="000000" w:sz="4" w:space="0"/>
              <w:left w:val="single" w:color="000000" w:sz="4" w:space="0"/>
              <w:bottom w:val="single" w:color="000000" w:sz="4" w:space="0"/>
              <w:right w:val="single" w:color="000000" w:sz="4" w:space="0"/>
            </w:tcBorders>
            <w:vAlign w:val="center"/>
          </w:tcPr>
          <w:p w14:paraId="582C48E4">
            <w:pPr>
              <w:pStyle w:val="17"/>
              <w:snapToGrid w:val="0"/>
              <w:spacing w:before="48" w:beforeLines="20" w:after="48" w:afterLines="20" w:line="276" w:lineRule="auto"/>
              <w:ind w:left="44" w:leftChars="20" w:right="44" w:rightChars="20"/>
              <w:jc w:val="center"/>
              <w:rPr>
                <w:rFonts w:ascii="Arial" w:hAnsi="Arial" w:eastAsia="宋体" w:cs="Arial"/>
                <w:sz w:val="21"/>
                <w:szCs w:val="21"/>
                <w:lang w:eastAsia="zh-CN"/>
              </w:rPr>
            </w:pPr>
            <w:r>
              <w:rPr>
                <w:rFonts w:hint="eastAsia" w:ascii="Arial" w:hAnsi="Arial" w:eastAsia="宋体" w:cs="Arial"/>
                <w:sz w:val="21"/>
                <w:szCs w:val="21"/>
                <w:lang w:eastAsia="zh-CN"/>
              </w:rPr>
              <w:t>超出平均</w:t>
            </w:r>
          </w:p>
        </w:tc>
        <w:tc>
          <w:tcPr>
            <w:tcW w:w="2644" w:type="dxa"/>
            <w:tcBorders>
              <w:top w:val="single" w:color="000000" w:sz="4" w:space="0"/>
              <w:left w:val="single" w:color="000000" w:sz="4" w:space="0"/>
              <w:bottom w:val="single" w:color="000000" w:sz="4" w:space="0"/>
              <w:right w:val="single" w:color="000000" w:sz="4" w:space="0"/>
            </w:tcBorders>
            <w:vAlign w:val="center"/>
          </w:tcPr>
          <w:p w14:paraId="03C181FC">
            <w:pPr>
              <w:pStyle w:val="17"/>
              <w:snapToGrid w:val="0"/>
              <w:spacing w:before="48" w:beforeLines="20" w:after="48" w:afterLines="20" w:line="276" w:lineRule="auto"/>
              <w:ind w:left="44" w:leftChars="20" w:right="44" w:rightChars="20"/>
              <w:jc w:val="center"/>
              <w:rPr>
                <w:rFonts w:ascii="Arial" w:hAnsi="Arial" w:eastAsia="宋体" w:cs="Arial"/>
                <w:sz w:val="21"/>
                <w:szCs w:val="21"/>
                <w:lang w:eastAsia="zh-CN"/>
              </w:rPr>
            </w:pPr>
            <w:r>
              <w:rPr>
                <w:rFonts w:ascii="Arial" w:hAnsi="Arial" w:eastAsia="宋体" w:cs="Arial"/>
                <w:sz w:val="21"/>
                <w:szCs w:val="21"/>
                <w:lang w:eastAsia="zh-CN"/>
              </w:rPr>
              <w:t>10</w:t>
            </w:r>
          </w:p>
        </w:tc>
        <w:tc>
          <w:tcPr>
            <w:tcW w:w="1242" w:type="dxa"/>
            <w:tcBorders>
              <w:top w:val="single" w:color="000000" w:sz="4" w:space="0"/>
              <w:left w:val="single" w:color="000000" w:sz="4" w:space="0"/>
              <w:bottom w:val="single" w:color="000000" w:sz="4" w:space="0"/>
              <w:right w:val="single" w:color="000000" w:sz="4" w:space="0"/>
            </w:tcBorders>
            <w:vAlign w:val="center"/>
          </w:tcPr>
          <w:p w14:paraId="1CEB306E">
            <w:pPr>
              <w:pStyle w:val="17"/>
              <w:snapToGrid w:val="0"/>
              <w:spacing w:before="48" w:beforeLines="20" w:after="48" w:afterLines="20" w:line="276" w:lineRule="auto"/>
              <w:ind w:left="44" w:leftChars="20" w:right="44" w:rightChars="20"/>
              <w:jc w:val="center"/>
              <w:rPr>
                <w:rFonts w:ascii="Arial" w:hAnsi="Arial" w:eastAsia="宋体" w:cs="Arial"/>
                <w:sz w:val="21"/>
                <w:szCs w:val="21"/>
                <w:lang w:eastAsia="zh-CN"/>
              </w:rPr>
            </w:pPr>
            <w:r>
              <w:rPr>
                <w:rFonts w:ascii="Arial" w:hAnsi="Arial" w:eastAsia="宋体" w:cs="Arial"/>
                <w:sz w:val="21"/>
                <w:szCs w:val="21"/>
                <w:lang w:eastAsia="zh-CN"/>
              </w:rPr>
              <w:t>&gt;3.2</w:t>
            </w:r>
          </w:p>
        </w:tc>
      </w:tr>
    </w:tbl>
    <w:p w14:paraId="13AB424B">
      <w:pPr>
        <w:snapToGrid w:val="0"/>
        <w:spacing w:after="120" w:afterLines="50" w:line="300" w:lineRule="auto"/>
        <w:rPr>
          <w:rFonts w:ascii="Arial" w:hAnsi="Arial" w:eastAsia="宋体" w:cs="Arial"/>
          <w:b/>
          <w:bCs/>
          <w:sz w:val="17"/>
          <w:szCs w:val="17"/>
          <w:lang w:eastAsia="zh-CN"/>
        </w:rPr>
      </w:pPr>
    </w:p>
    <w:p w14:paraId="31A1B84F">
      <w:pPr>
        <w:pStyle w:val="2"/>
        <w:snapToGrid w:val="0"/>
        <w:spacing w:after="120" w:afterLines="50" w:line="300" w:lineRule="auto"/>
        <w:ind w:left="660" w:leftChars="300"/>
        <w:rPr>
          <w:rFonts w:ascii="Arial" w:hAnsi="Arial" w:eastAsia="宋体" w:cs="Arial"/>
          <w:lang w:eastAsia="zh-CN"/>
        </w:rPr>
      </w:pPr>
      <w:r>
        <w:rPr>
          <w:rFonts w:ascii="Arial" w:hAnsi="Arial" w:eastAsia="宋体" w:cs="Arial"/>
          <w:lang w:eastAsia="zh-CN"/>
        </w:rPr>
        <w:t>如果有关于局部SAR重大风险标准的问题，可联系FDA。</w:t>
      </w:r>
    </w:p>
    <w:p w14:paraId="52EF202A">
      <w:pPr>
        <w:pStyle w:val="14"/>
        <w:snapToGrid w:val="0"/>
        <w:spacing w:after="120" w:afterLines="50" w:line="300" w:lineRule="auto"/>
        <w:ind w:left="660" w:leftChars="300"/>
        <w:rPr>
          <w:rFonts w:ascii="Arial" w:hAnsi="Arial" w:eastAsia="宋体" w:cs="Arial"/>
          <w:b w:val="0"/>
          <w:bCs w:val="0"/>
          <w:lang w:eastAsia="zh-CN"/>
        </w:rPr>
      </w:pPr>
      <w:r>
        <w:rPr>
          <w:rFonts w:ascii="Arial" w:hAnsi="Arial" w:eastAsia="宋体" w:cs="Arial"/>
          <w:lang w:eastAsia="zh-CN"/>
        </w:rPr>
        <w:t>梯度场变化率</w:t>
      </w:r>
    </w:p>
    <w:p w14:paraId="0445CC24">
      <w:pPr>
        <w:pStyle w:val="2"/>
        <w:snapToGrid w:val="0"/>
        <w:spacing w:after="120" w:afterLines="50" w:line="300" w:lineRule="auto"/>
        <w:ind w:left="660" w:leftChars="300"/>
        <w:rPr>
          <w:rFonts w:ascii="Arial" w:hAnsi="Arial" w:eastAsia="宋体" w:cs="Arial"/>
          <w:lang w:eastAsia="zh-CN"/>
        </w:rPr>
      </w:pPr>
      <w:r>
        <w:rPr>
          <w:rFonts w:ascii="Arial" w:hAnsi="Arial" w:eastAsia="宋体" w:cs="Arial"/>
          <w:lang w:eastAsia="zh-CN"/>
        </w:rPr>
        <w:t>梯度场的任何时间变化率（dB/dt）均足以产生严重不适或痛苦的神经刺激</w:t>
      </w:r>
    </w:p>
    <w:p w14:paraId="13E8D44B">
      <w:pPr>
        <w:pStyle w:val="14"/>
        <w:snapToGrid w:val="0"/>
        <w:spacing w:after="120" w:afterLines="50" w:line="300" w:lineRule="auto"/>
        <w:ind w:left="660" w:leftChars="300"/>
        <w:rPr>
          <w:rFonts w:ascii="Arial" w:hAnsi="Arial" w:eastAsia="宋体" w:cs="Arial"/>
          <w:b w:val="0"/>
          <w:bCs w:val="0"/>
          <w:lang w:eastAsia="zh-CN"/>
        </w:rPr>
      </w:pPr>
      <w:r>
        <w:rPr>
          <w:rFonts w:ascii="Arial" w:hAnsi="Arial" w:eastAsia="宋体" w:cs="Arial"/>
          <w:lang w:eastAsia="zh-CN"/>
        </w:rPr>
        <w:t>声压级</w:t>
      </w:r>
    </w:p>
    <w:p w14:paraId="18B86829">
      <w:pPr>
        <w:pStyle w:val="2"/>
        <w:snapToGrid w:val="0"/>
        <w:spacing w:after="120" w:afterLines="50" w:line="300" w:lineRule="auto"/>
        <w:ind w:left="660" w:leftChars="300"/>
        <w:rPr>
          <w:rFonts w:ascii="Arial" w:hAnsi="Arial" w:eastAsia="宋体" w:cs="Arial"/>
          <w:lang w:eastAsia="zh-CN"/>
        </w:rPr>
      </w:pPr>
      <w:r>
        <w:rPr>
          <w:rFonts w:ascii="Arial" w:hAnsi="Arial" w:eastAsia="宋体" w:cs="Arial"/>
          <w:lang w:eastAsia="zh-CN"/>
        </w:rPr>
        <w:t>未加权峰值声压级大于140 dB。</w:t>
      </w:r>
    </w:p>
    <w:p w14:paraId="7750FEA6">
      <w:pPr>
        <w:pStyle w:val="2"/>
        <w:snapToGrid w:val="0"/>
        <w:spacing w:after="120" w:afterLines="50" w:line="300" w:lineRule="auto"/>
        <w:ind w:left="660" w:leftChars="300"/>
        <w:rPr>
          <w:rFonts w:ascii="Arial" w:hAnsi="Arial" w:eastAsia="宋体" w:cs="Arial"/>
          <w:lang w:eastAsia="zh-CN"/>
        </w:rPr>
      </w:pPr>
      <w:r>
        <w:rPr>
          <w:rFonts w:ascii="Arial" w:hAnsi="Arial" w:eastAsia="宋体" w:cs="Arial"/>
          <w:lang w:eastAsia="zh-CN"/>
        </w:rPr>
        <w:t>有听力保护时</w:t>
      </w:r>
      <w:bookmarkStart w:id="14" w:name="OLE_LINK10"/>
      <w:bookmarkStart w:id="15" w:name="OLE_LINK11"/>
      <w:r>
        <w:rPr>
          <w:rFonts w:ascii="Arial" w:hAnsi="Arial" w:eastAsia="宋体" w:cs="Arial"/>
          <w:lang w:eastAsia="zh-CN"/>
        </w:rPr>
        <w:t>A计权均方根（rms）声压级大于99 dBA</w:t>
      </w:r>
      <w:bookmarkEnd w:id="14"/>
      <w:bookmarkEnd w:id="15"/>
      <w:r>
        <w:rPr>
          <w:rFonts w:ascii="Arial" w:hAnsi="Arial" w:eastAsia="宋体" w:cs="Arial"/>
          <w:lang w:eastAsia="zh-CN"/>
        </w:rPr>
        <w:t>。</w:t>
      </w:r>
    </w:p>
    <w:p w14:paraId="1DA76BBA">
      <w:pPr>
        <w:snapToGrid w:val="0"/>
        <w:spacing w:after="120" w:afterLines="50" w:line="300" w:lineRule="auto"/>
        <w:rPr>
          <w:rFonts w:ascii="Arial" w:hAnsi="Arial" w:eastAsia="宋体" w:cs="Arial"/>
          <w:sz w:val="24"/>
          <w:szCs w:val="24"/>
          <w:lang w:eastAsia="zh-CN"/>
        </w:rPr>
      </w:pPr>
      <w:r>
        <w:rPr>
          <w:rFonts w:ascii="Arial" w:hAnsi="Arial" w:eastAsia="宋体" w:cs="Arial"/>
          <w:sz w:val="24"/>
          <w:lang w:eastAsia="zh-CN"/>
        </w:rPr>
        <w:t>这些标准仅适用于器械操作条件。研究的其他方面可能涉及重大风险，因此无论操作条件如何，研究都可能需要IDE批准。进一步讨论见标题为</w:t>
      </w:r>
      <w:r>
        <w:rPr>
          <w:rFonts w:ascii="宋体" w:hAnsi="宋体" w:eastAsia="宋体" w:cs="Arial"/>
          <w:sz w:val="24"/>
          <w:lang w:eastAsia="zh-CN"/>
        </w:rPr>
        <w:t>“</w:t>
      </w:r>
      <w:r>
        <w:rPr>
          <w:rFonts w:ascii="Arial" w:hAnsi="Arial" w:eastAsia="宋体" w:cs="Arial"/>
          <w:b/>
          <w:sz w:val="24"/>
          <w:lang w:eastAsia="zh-CN"/>
        </w:rPr>
        <w:t>重大风险和非重大风险医疗器械研究</w:t>
      </w:r>
      <w:r>
        <w:rPr>
          <w:rFonts w:ascii="宋体" w:hAnsi="宋体" w:eastAsia="宋体" w:cs="Arial"/>
          <w:b/>
          <w:sz w:val="24"/>
          <w:lang w:eastAsia="zh-CN"/>
        </w:rPr>
        <w:t>”</w:t>
      </w:r>
      <w:r>
        <w:rPr>
          <w:rFonts w:ascii="Arial" w:hAnsi="Arial" w:eastAsia="宋体" w:cs="Arial"/>
          <w:sz w:val="24"/>
          <w:lang w:eastAsia="zh-CN"/>
        </w:rPr>
        <w:t>的蓝皮书备忘录</w:t>
      </w:r>
      <w:r>
        <w:rPr>
          <w:rFonts w:ascii="Arial" w:hAnsi="Arial" w:eastAsia="宋体" w:cs="Arial"/>
          <w:b/>
          <w:sz w:val="24"/>
          <w:lang w:eastAsia="zh-CN"/>
        </w:rPr>
        <w:t>（</w:t>
      </w:r>
      <w:r>
        <w:fldChar w:fldCharType="begin"/>
      </w:r>
      <w:r>
        <w:instrText xml:space="preserve"> HYPERLINK "http://www.fda.gov/downloads/RegulatoryInformation/Guidances/ucm126418.pdf" \h </w:instrText>
      </w:r>
      <w:r>
        <w:fldChar w:fldCharType="separate"/>
      </w:r>
      <w:r>
        <w:rPr>
          <w:rFonts w:ascii="Arial" w:hAnsi="Arial" w:eastAsia="宋体" w:cs="Arial"/>
          <w:b/>
          <w:color w:val="0000FF"/>
          <w:sz w:val="24"/>
          <w:u w:val="single"/>
          <w:lang w:eastAsia="zh-CN"/>
        </w:rPr>
        <w:t>http://www.fda.gov/downloads/RegulatoryInformation/Guidances/ucm126418.pdf</w:t>
      </w:r>
      <w:r>
        <w:rPr>
          <w:rFonts w:ascii="Arial" w:hAnsi="Arial" w:eastAsia="宋体" w:cs="Arial"/>
          <w:b/>
          <w:color w:val="0000FF"/>
          <w:sz w:val="24"/>
          <w:u w:val="single"/>
          <w:lang w:eastAsia="zh-CN"/>
        </w:rPr>
        <w:fldChar w:fldCharType="end"/>
      </w:r>
      <w:r>
        <w:rPr>
          <w:rFonts w:ascii="Arial" w:hAnsi="Arial" w:eastAsia="宋体" w:cs="Arial"/>
          <w:b/>
          <w:sz w:val="24"/>
          <w:lang w:eastAsia="zh-CN"/>
        </w:rPr>
        <w:t>）。</w:t>
      </w:r>
    </w:p>
    <w:p w14:paraId="6C8F7380">
      <w:pPr>
        <w:pStyle w:val="2"/>
        <w:snapToGrid w:val="0"/>
        <w:spacing w:after="120" w:afterLines="50" w:line="300" w:lineRule="auto"/>
        <w:ind w:left="0"/>
        <w:rPr>
          <w:rFonts w:ascii="Arial" w:hAnsi="Arial" w:eastAsia="宋体" w:cs="Arial"/>
          <w:lang w:eastAsia="zh-CN"/>
        </w:rPr>
      </w:pPr>
      <w:r>
        <w:rPr>
          <w:rFonts w:ascii="Arial" w:hAnsi="Arial" w:eastAsia="宋体" w:cs="Arial"/>
          <w:lang w:eastAsia="zh-CN"/>
        </w:rPr>
        <w:t>FDA确定器械实质等同后，根据510（k）中经审核的适应症实施的临床研究，包括根据质量体系规范实施的临床设计确认研究，免于遵守试验器械豁免（IDE）要求。然而，必须按照21 CFR 56 和 21 CFR 50实施这类研究。</w:t>
      </w:r>
    </w:p>
    <w:p w14:paraId="1A964D94">
      <w:pPr>
        <w:pBdr>
          <w:bottom w:val="single" w:color="auto" w:sz="4" w:space="1"/>
        </w:pBdr>
        <w:snapToGrid w:val="0"/>
        <w:spacing w:before="480" w:beforeLines="200" w:after="120" w:afterLines="50" w:line="300" w:lineRule="auto"/>
        <w:jc w:val="center"/>
        <w:rPr>
          <w:rFonts w:hint="eastAsia" w:eastAsia="宋体"/>
          <w:lang w:eastAsia="zh-CN"/>
        </w:rPr>
      </w:pPr>
    </w:p>
    <w:p w14:paraId="68E528B3">
      <w:pPr>
        <w:pBdr>
          <w:bottom w:val="single" w:color="auto" w:sz="4" w:space="1"/>
        </w:pBdr>
        <w:snapToGrid w:val="0"/>
        <w:spacing w:before="480" w:beforeLines="200" w:after="120" w:afterLines="50" w:line="300" w:lineRule="auto"/>
        <w:jc w:val="center"/>
        <w:rPr>
          <w:rFonts w:hint="eastAsia" w:eastAsia="宋体"/>
          <w:lang w:eastAsia="zh-CN"/>
        </w:rPr>
      </w:pPr>
    </w:p>
    <w:p w14:paraId="7C2448DC">
      <w:pPr>
        <w:pBdr>
          <w:bottom w:val="single" w:color="auto" w:sz="4" w:space="1"/>
        </w:pBdr>
        <w:snapToGrid w:val="0"/>
        <w:spacing w:before="480" w:beforeLines="200" w:after="120" w:after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4" w:type="default"/>
      <w:footerReference r:id="rId5" w:type="default"/>
      <w:pgSz w:w="12240" w:h="15840"/>
      <w:pgMar w:top="1440" w:right="1800" w:bottom="1440" w:left="1800" w:header="0" w:footer="1044" w:gutter="0"/>
      <w:pgNumType w:start="1"/>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2127681609"/>
      <w:docPartObj>
        <w:docPartGallery w:val="AutoText"/>
      </w:docPartObj>
    </w:sdtPr>
    <w:sdtEndPr>
      <w:rPr>
        <w:rFonts w:ascii="Arial" w:hAnsi="Arial" w:cs="Arial"/>
        <w:sz w:val="21"/>
        <w:szCs w:val="21"/>
      </w:rPr>
    </w:sdtEndPr>
    <w:sdtContent>
      <w:p w14:paraId="7905B081">
        <w:pPr>
          <w:pStyle w:val="4"/>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3</w:t>
        </w:r>
        <w:r>
          <w:rPr>
            <w:rFonts w:ascii="Arial" w:hAnsi="Arial" w:cs="Arial"/>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7462C">
    <w:pPr>
      <w:snapToGrid w:val="0"/>
      <w:spacing w:line="300" w:lineRule="auto"/>
      <w:jc w:val="center"/>
      <w:rPr>
        <w:rFonts w:ascii="宋体" w:hAnsi="宋体" w:eastAsia="宋体"/>
        <w:b/>
        <w:i/>
        <w:sz w:val="21"/>
        <w:szCs w:val="21"/>
        <w:lang w:eastAsia="zh-CN"/>
      </w:rPr>
    </w:pPr>
    <w:r>
      <w:rPr>
        <w:rFonts w:hint="eastAsia" w:ascii="宋体" w:hAnsi="宋体" w:eastAsia="宋体"/>
        <w:b/>
        <w:i/>
        <w:sz w:val="21"/>
        <w:szCs w:val="21"/>
        <w:lang w:eastAsia="zh-CN"/>
      </w:rPr>
      <w:t>所含建议不具约束力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1E899">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BF0E6F"/>
    <w:multiLevelType w:val="multilevel"/>
    <w:tmpl w:val="39BF0E6F"/>
    <w:lvl w:ilvl="0" w:tentative="0">
      <w:start w:val="1"/>
      <w:numFmt w:val="bullet"/>
      <w:lvlText w:val=""/>
      <w:lvlJc w:val="left"/>
      <w:pPr>
        <w:ind w:left="824" w:hanging="360"/>
      </w:pPr>
      <w:rPr>
        <w:rFonts w:hint="default" w:ascii="Symbol" w:hAnsi="Symbol" w:eastAsia="Symbol"/>
        <w:sz w:val="18"/>
        <w:szCs w:val="18"/>
      </w:rPr>
    </w:lvl>
    <w:lvl w:ilvl="1" w:tentative="0">
      <w:start w:val="1"/>
      <w:numFmt w:val="bullet"/>
      <w:lvlText w:val="•"/>
      <w:lvlJc w:val="left"/>
      <w:pPr>
        <w:ind w:left="1669" w:hanging="360"/>
      </w:pPr>
      <w:rPr>
        <w:rFonts w:hint="default"/>
      </w:rPr>
    </w:lvl>
    <w:lvl w:ilvl="2" w:tentative="0">
      <w:start w:val="1"/>
      <w:numFmt w:val="bullet"/>
      <w:lvlText w:val="•"/>
      <w:lvlJc w:val="left"/>
      <w:pPr>
        <w:ind w:left="2515" w:hanging="360"/>
      </w:pPr>
      <w:rPr>
        <w:rFonts w:hint="default"/>
      </w:rPr>
    </w:lvl>
    <w:lvl w:ilvl="3" w:tentative="0">
      <w:start w:val="1"/>
      <w:numFmt w:val="bullet"/>
      <w:lvlText w:val="•"/>
      <w:lvlJc w:val="left"/>
      <w:pPr>
        <w:ind w:left="3360" w:hanging="360"/>
      </w:pPr>
      <w:rPr>
        <w:rFonts w:hint="default"/>
      </w:rPr>
    </w:lvl>
    <w:lvl w:ilvl="4" w:tentative="0">
      <w:start w:val="1"/>
      <w:numFmt w:val="bullet"/>
      <w:lvlText w:val="•"/>
      <w:lvlJc w:val="left"/>
      <w:pPr>
        <w:ind w:left="4206" w:hanging="360"/>
      </w:pPr>
      <w:rPr>
        <w:rFonts w:hint="default"/>
      </w:rPr>
    </w:lvl>
    <w:lvl w:ilvl="5" w:tentative="0">
      <w:start w:val="1"/>
      <w:numFmt w:val="bullet"/>
      <w:lvlText w:val="•"/>
      <w:lvlJc w:val="left"/>
      <w:pPr>
        <w:ind w:left="5052" w:hanging="360"/>
      </w:pPr>
      <w:rPr>
        <w:rFonts w:hint="default"/>
      </w:rPr>
    </w:lvl>
    <w:lvl w:ilvl="6" w:tentative="0">
      <w:start w:val="1"/>
      <w:numFmt w:val="bullet"/>
      <w:lvlText w:val="•"/>
      <w:lvlJc w:val="left"/>
      <w:pPr>
        <w:ind w:left="5897" w:hanging="360"/>
      </w:pPr>
      <w:rPr>
        <w:rFonts w:hint="default"/>
      </w:rPr>
    </w:lvl>
    <w:lvl w:ilvl="7" w:tentative="0">
      <w:start w:val="1"/>
      <w:numFmt w:val="bullet"/>
      <w:lvlText w:val="•"/>
      <w:lvlJc w:val="left"/>
      <w:pPr>
        <w:ind w:left="6743" w:hanging="360"/>
      </w:pPr>
      <w:rPr>
        <w:rFonts w:hint="default"/>
      </w:rPr>
    </w:lvl>
    <w:lvl w:ilvl="8" w:tentative="0">
      <w:start w:val="1"/>
      <w:numFmt w:val="bullet"/>
      <w:lvlText w:val="•"/>
      <w:lvlJc w:val="left"/>
      <w:pPr>
        <w:ind w:left="758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B35"/>
    <w:rsid w:val="0001368F"/>
    <w:rsid w:val="000422C0"/>
    <w:rsid w:val="00053FC1"/>
    <w:rsid w:val="000576EF"/>
    <w:rsid w:val="000634EE"/>
    <w:rsid w:val="00077E8C"/>
    <w:rsid w:val="00093402"/>
    <w:rsid w:val="000D5524"/>
    <w:rsid w:val="000D6C07"/>
    <w:rsid w:val="00102E1C"/>
    <w:rsid w:val="001252C1"/>
    <w:rsid w:val="001A261E"/>
    <w:rsid w:val="001E18BC"/>
    <w:rsid w:val="00203C0C"/>
    <w:rsid w:val="0021356D"/>
    <w:rsid w:val="002335FA"/>
    <w:rsid w:val="00233BC9"/>
    <w:rsid w:val="00247317"/>
    <w:rsid w:val="002F261E"/>
    <w:rsid w:val="00333B8B"/>
    <w:rsid w:val="00343315"/>
    <w:rsid w:val="00370A00"/>
    <w:rsid w:val="00372A90"/>
    <w:rsid w:val="0037407E"/>
    <w:rsid w:val="003C34E2"/>
    <w:rsid w:val="003D03B9"/>
    <w:rsid w:val="00404553"/>
    <w:rsid w:val="004A0E4A"/>
    <w:rsid w:val="004B433F"/>
    <w:rsid w:val="00510F41"/>
    <w:rsid w:val="0051216E"/>
    <w:rsid w:val="00521366"/>
    <w:rsid w:val="00537765"/>
    <w:rsid w:val="00573099"/>
    <w:rsid w:val="005A6327"/>
    <w:rsid w:val="006055D8"/>
    <w:rsid w:val="006057B5"/>
    <w:rsid w:val="00626260"/>
    <w:rsid w:val="00630D0F"/>
    <w:rsid w:val="00666FE4"/>
    <w:rsid w:val="006A78D6"/>
    <w:rsid w:val="006D0603"/>
    <w:rsid w:val="006D769C"/>
    <w:rsid w:val="006E282E"/>
    <w:rsid w:val="007018AF"/>
    <w:rsid w:val="00707C15"/>
    <w:rsid w:val="00737A1E"/>
    <w:rsid w:val="00744267"/>
    <w:rsid w:val="007902A5"/>
    <w:rsid w:val="007A7319"/>
    <w:rsid w:val="007C5DFF"/>
    <w:rsid w:val="007C7B0F"/>
    <w:rsid w:val="007D5336"/>
    <w:rsid w:val="007E5C25"/>
    <w:rsid w:val="007F3651"/>
    <w:rsid w:val="00800545"/>
    <w:rsid w:val="008111ED"/>
    <w:rsid w:val="0084479D"/>
    <w:rsid w:val="008563F3"/>
    <w:rsid w:val="00856C33"/>
    <w:rsid w:val="00867C94"/>
    <w:rsid w:val="008D59BC"/>
    <w:rsid w:val="008E1BFB"/>
    <w:rsid w:val="00967F8D"/>
    <w:rsid w:val="00971CFA"/>
    <w:rsid w:val="009843E0"/>
    <w:rsid w:val="00987F1A"/>
    <w:rsid w:val="0099728D"/>
    <w:rsid w:val="009C408A"/>
    <w:rsid w:val="009E6EE8"/>
    <w:rsid w:val="009F7676"/>
    <w:rsid w:val="00A50B35"/>
    <w:rsid w:val="00A82646"/>
    <w:rsid w:val="00A95980"/>
    <w:rsid w:val="00AB75B8"/>
    <w:rsid w:val="00AC0916"/>
    <w:rsid w:val="00AD10EE"/>
    <w:rsid w:val="00B311FF"/>
    <w:rsid w:val="00B325E0"/>
    <w:rsid w:val="00B502CC"/>
    <w:rsid w:val="00B62426"/>
    <w:rsid w:val="00B939F9"/>
    <w:rsid w:val="00B96E4C"/>
    <w:rsid w:val="00BB478B"/>
    <w:rsid w:val="00BD28EB"/>
    <w:rsid w:val="00BE793D"/>
    <w:rsid w:val="00C5673D"/>
    <w:rsid w:val="00CA0434"/>
    <w:rsid w:val="00CA1C6B"/>
    <w:rsid w:val="00CA3B18"/>
    <w:rsid w:val="00CB3E5A"/>
    <w:rsid w:val="00CB4AA3"/>
    <w:rsid w:val="00CD043C"/>
    <w:rsid w:val="00CD669A"/>
    <w:rsid w:val="00CF2055"/>
    <w:rsid w:val="00D231F7"/>
    <w:rsid w:val="00D37B11"/>
    <w:rsid w:val="00D41B7C"/>
    <w:rsid w:val="00D6320C"/>
    <w:rsid w:val="00D725E4"/>
    <w:rsid w:val="00DC71F7"/>
    <w:rsid w:val="00DF1BF4"/>
    <w:rsid w:val="00DF3B87"/>
    <w:rsid w:val="00E11448"/>
    <w:rsid w:val="00E23898"/>
    <w:rsid w:val="00E41861"/>
    <w:rsid w:val="00E7710D"/>
    <w:rsid w:val="00EA735F"/>
    <w:rsid w:val="00EB58B7"/>
    <w:rsid w:val="00EE67B6"/>
    <w:rsid w:val="00F02E26"/>
    <w:rsid w:val="00F4744B"/>
    <w:rsid w:val="00F50933"/>
    <w:rsid w:val="00F52E7C"/>
    <w:rsid w:val="00F722FA"/>
    <w:rsid w:val="00F76175"/>
    <w:rsid w:val="00FB7E36"/>
    <w:rsid w:val="00FC469F"/>
    <w:rsid w:val="00FD7B18"/>
    <w:rsid w:val="00FE5692"/>
    <w:rsid w:val="51050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824"/>
    </w:pPr>
    <w:rPr>
      <w:rFonts w:ascii="Times New Roman" w:hAnsi="Times New Roman" w:eastAsia="Times New Roman"/>
      <w:sz w:val="24"/>
      <w:szCs w:val="24"/>
    </w:rPr>
  </w:style>
  <w:style w:type="paragraph" w:styleId="3">
    <w:name w:val="Balloon Text"/>
    <w:basedOn w:val="1"/>
    <w:link w:val="20"/>
    <w:semiHidden/>
    <w:unhideWhenUsed/>
    <w:qFormat/>
    <w:uiPriority w:val="99"/>
    <w:rPr>
      <w:sz w:val="18"/>
      <w:szCs w:val="18"/>
    </w:rPr>
  </w:style>
  <w:style w:type="paragraph" w:styleId="4">
    <w:name w:val="footer"/>
    <w:basedOn w:val="1"/>
    <w:link w:val="19"/>
    <w:unhideWhenUsed/>
    <w:qFormat/>
    <w:uiPriority w:val="99"/>
    <w:pPr>
      <w:tabs>
        <w:tab w:val="center" w:pos="4153"/>
        <w:tab w:val="right" w:pos="8306"/>
      </w:tabs>
      <w:snapToGrid w:val="0"/>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customStyle="1" w:styleId="11">
    <w:name w:val="标题 11"/>
    <w:basedOn w:val="1"/>
    <w:qFormat/>
    <w:uiPriority w:val="1"/>
    <w:pPr>
      <w:ind w:left="454"/>
      <w:outlineLvl w:val="1"/>
    </w:pPr>
    <w:rPr>
      <w:rFonts w:ascii="Times New Roman" w:hAnsi="Times New Roman" w:eastAsia="Times New Roman"/>
      <w:b/>
      <w:bCs/>
      <w:sz w:val="56"/>
      <w:szCs w:val="56"/>
    </w:rPr>
  </w:style>
  <w:style w:type="paragraph" w:customStyle="1" w:styleId="12">
    <w:name w:val="标题 21"/>
    <w:basedOn w:val="1"/>
    <w:qFormat/>
    <w:uiPriority w:val="1"/>
    <w:pPr>
      <w:spacing w:before="32"/>
      <w:ind w:left="120"/>
      <w:outlineLvl w:val="2"/>
    </w:pPr>
    <w:rPr>
      <w:rFonts w:ascii="Times New Roman" w:hAnsi="Times New Roman" w:eastAsia="Times New Roman"/>
      <w:b/>
      <w:bCs/>
      <w:sz w:val="52"/>
      <w:szCs w:val="52"/>
    </w:rPr>
  </w:style>
  <w:style w:type="paragraph" w:customStyle="1" w:styleId="13">
    <w:name w:val="标题 31"/>
    <w:basedOn w:val="1"/>
    <w:qFormat/>
    <w:uiPriority w:val="1"/>
    <w:pPr>
      <w:ind w:left="104"/>
      <w:outlineLvl w:val="3"/>
    </w:pPr>
    <w:rPr>
      <w:rFonts w:ascii="Times New Roman" w:hAnsi="Times New Roman" w:eastAsia="Times New Roman"/>
      <w:b/>
      <w:bCs/>
      <w:sz w:val="40"/>
      <w:szCs w:val="40"/>
    </w:rPr>
  </w:style>
  <w:style w:type="paragraph" w:customStyle="1" w:styleId="14">
    <w:name w:val="标题 41"/>
    <w:basedOn w:val="1"/>
    <w:qFormat/>
    <w:uiPriority w:val="1"/>
    <w:pPr>
      <w:ind w:left="824"/>
      <w:outlineLvl w:val="4"/>
    </w:pPr>
    <w:rPr>
      <w:rFonts w:ascii="Times New Roman" w:hAnsi="Times New Roman" w:eastAsia="Times New Roman"/>
      <w:b/>
      <w:bCs/>
      <w:sz w:val="28"/>
      <w:szCs w:val="28"/>
    </w:rPr>
  </w:style>
  <w:style w:type="paragraph" w:customStyle="1" w:styleId="15">
    <w:name w:val="标题 51"/>
    <w:basedOn w:val="1"/>
    <w:qFormat/>
    <w:uiPriority w:val="1"/>
    <w:pPr>
      <w:ind w:left="119"/>
      <w:outlineLvl w:val="5"/>
    </w:pPr>
    <w:rPr>
      <w:rFonts w:ascii="Times New Roman" w:hAnsi="Times New Roman" w:eastAsia="Times New Roman"/>
      <w:sz w:val="28"/>
      <w:szCs w:val="28"/>
    </w:r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页眉 Char"/>
    <w:basedOn w:val="8"/>
    <w:link w:val="5"/>
    <w:qFormat/>
    <w:uiPriority w:val="99"/>
    <w:rPr>
      <w:sz w:val="18"/>
      <w:szCs w:val="18"/>
    </w:rPr>
  </w:style>
  <w:style w:type="character" w:customStyle="1" w:styleId="19">
    <w:name w:val="页脚 Char"/>
    <w:basedOn w:val="8"/>
    <w:link w:val="4"/>
    <w:qFormat/>
    <w:uiPriority w:val="99"/>
    <w:rPr>
      <w:sz w:val="18"/>
      <w:szCs w:val="18"/>
    </w:rPr>
  </w:style>
  <w:style w:type="character" w:customStyle="1" w:styleId="20">
    <w:name w:val="批注框文本 Char"/>
    <w:basedOn w:val="8"/>
    <w:link w:val="3"/>
    <w:semiHidden/>
    <w:qFormat/>
    <w:uiPriority w:val="99"/>
    <w:rPr>
      <w:sz w:val="18"/>
      <w:szCs w:val="18"/>
    </w:rPr>
  </w:style>
  <w:style w:type="paragraph" w:customStyle="1" w:styleId="21">
    <w:name w:val="Revision"/>
    <w:hidden/>
    <w:semiHidden/>
    <w:qFormat/>
    <w:uiPriority w:val="99"/>
    <w:pPr>
      <w:widowControl/>
    </w:pPr>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1463</Words>
  <Characters>1813</Characters>
  <Lines>15</Lines>
  <Paragraphs>4</Paragraphs>
  <TotalTime>0</TotalTime>
  <ScaleCrop>false</ScaleCrop>
  <LinksUpToDate>false</LinksUpToDate>
  <CharactersWithSpaces>1852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2017-11-15T11:27:00Z</dcterms:created>
  <dc:creator>Krainak, Daniel</dc:creator>
  <cp:lastModifiedBy>太极箫客</cp:lastModifiedBy>
  <dcterms:modified xsi:type="dcterms:W3CDTF">2025-08-14T07:12:10Z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2014-06-20T00:00:00Z</vt:filetime>
  </property>
  <property fmtid="{D5CDD505-2E9C-101B-9397-08002B2CF9AE}" pid="3" name="LastSaved">
    <vt:filetime>2017-09-28T00:00:00Z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EF11C782C8CE413E9D20678AEE772F05_12</vt:lpwstr>
  </property>
</Properties>
</file>