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0987">
      <w:pPr>
        <w:adjustRightInd w:val="0"/>
        <w:snapToGrid w:val="0"/>
        <w:spacing w:before="156" w:beforeLines="50" w:line="300" w:lineRule="auto"/>
        <w:rPr>
          <w:rFonts w:asciiTheme="minorBidi" w:hAnsiTheme="minorBidi"/>
        </w:rPr>
      </w:pPr>
      <w:bookmarkStart w:id="27" w:name="_GoBack"/>
      <w:bookmarkEnd w:id="27"/>
    </w:p>
    <w:p w14:paraId="1C3A5DAA">
      <w:pPr>
        <w:adjustRightInd w:val="0"/>
        <w:snapToGrid w:val="0"/>
        <w:spacing w:before="156" w:beforeLines="50" w:line="300" w:lineRule="auto"/>
        <w:jc w:val="center"/>
        <w:rPr>
          <w:rFonts w:asciiTheme="minorBidi" w:hAnsiTheme="minorBidi"/>
          <w:b/>
          <w:bCs/>
          <w:sz w:val="36"/>
          <w:szCs w:val="36"/>
        </w:rPr>
      </w:pPr>
      <w:r>
        <w:rPr>
          <w:rFonts w:asciiTheme="minorBidi" w:hAnsiTheme="minorBidi"/>
          <w:b/>
          <w:bCs/>
          <w:sz w:val="36"/>
          <w:szCs w:val="36"/>
        </w:rPr>
        <w:t>行业和食品药品监督管理局</w:t>
      </w:r>
    </w:p>
    <w:p w14:paraId="2C728E24">
      <w:pPr>
        <w:pBdr>
          <w:bottom w:val="single" w:color="auto" w:sz="4" w:space="0"/>
        </w:pBdr>
        <w:adjustRightInd w:val="0"/>
        <w:snapToGrid w:val="0"/>
        <w:spacing w:before="156" w:beforeLines="50" w:line="300" w:lineRule="auto"/>
        <w:jc w:val="center"/>
        <w:rPr>
          <w:rFonts w:asciiTheme="minorBidi" w:hAnsiTheme="minorBidi"/>
          <w:sz w:val="36"/>
          <w:szCs w:val="36"/>
        </w:rPr>
      </w:pPr>
      <w:r>
        <w:rPr>
          <w:rFonts w:asciiTheme="minorBidi" w:hAnsiTheme="minorBidi"/>
          <w:b/>
          <w:bCs/>
          <w:sz w:val="36"/>
          <w:szCs w:val="36"/>
        </w:rPr>
        <w:t>工作人员指南</w:t>
      </w:r>
    </w:p>
    <w:p w14:paraId="1CFD2F87">
      <w:pPr>
        <w:adjustRightInd w:val="0"/>
        <w:snapToGrid w:val="0"/>
        <w:spacing w:before="156" w:beforeLines="50" w:line="300" w:lineRule="auto"/>
        <w:jc w:val="center"/>
        <w:rPr>
          <w:rFonts w:asciiTheme="minorBidi" w:hAnsiTheme="minorBidi"/>
          <w:b/>
          <w:bCs/>
          <w:sz w:val="36"/>
          <w:szCs w:val="36"/>
        </w:rPr>
      </w:pPr>
      <w:r>
        <w:rPr>
          <w:rFonts w:asciiTheme="minorBidi" w:hAnsiTheme="minorBidi"/>
          <w:b/>
          <w:bCs/>
          <w:sz w:val="36"/>
          <w:szCs w:val="36"/>
        </w:rPr>
        <w:t>确立用于检测或诊断区分</w:t>
      </w:r>
    </w:p>
    <w:p w14:paraId="5834C7A3">
      <w:pPr>
        <w:adjustRightInd w:val="0"/>
        <w:snapToGrid w:val="0"/>
        <w:spacing w:before="156" w:beforeLines="50" w:line="300" w:lineRule="auto"/>
        <w:jc w:val="center"/>
        <w:rPr>
          <w:rFonts w:asciiTheme="minorBidi" w:hAnsiTheme="minorBidi"/>
          <w:b/>
          <w:bCs/>
          <w:sz w:val="36"/>
          <w:szCs w:val="36"/>
        </w:rPr>
      </w:pPr>
      <w:r>
        <w:rPr>
          <w:rFonts w:asciiTheme="minorBidi" w:hAnsiTheme="minorBidi"/>
          <w:b/>
          <w:bCs/>
          <w:sz w:val="36"/>
          <w:szCs w:val="36"/>
        </w:rPr>
        <w:t>人乳头瘤病毒的体外诊断器械</w:t>
      </w:r>
    </w:p>
    <w:p w14:paraId="02A5A622">
      <w:pPr>
        <w:adjustRightInd w:val="0"/>
        <w:snapToGrid w:val="0"/>
        <w:spacing w:before="156" w:beforeLines="50" w:line="300" w:lineRule="auto"/>
        <w:jc w:val="center"/>
        <w:rPr>
          <w:rFonts w:asciiTheme="minorBidi" w:hAnsiTheme="minorBidi"/>
          <w:b/>
          <w:bCs/>
          <w:sz w:val="36"/>
          <w:szCs w:val="36"/>
        </w:rPr>
      </w:pPr>
      <w:r>
        <w:rPr>
          <w:rFonts w:asciiTheme="minorBidi" w:hAnsiTheme="minorBidi"/>
          <w:b/>
          <w:bCs/>
          <w:sz w:val="36"/>
          <w:szCs w:val="36"/>
        </w:rPr>
        <w:t>性能特征</w:t>
      </w:r>
    </w:p>
    <w:p w14:paraId="6CEEC22C">
      <w:pPr>
        <w:adjustRightInd w:val="0"/>
        <w:snapToGrid w:val="0"/>
        <w:spacing w:before="156" w:beforeLines="50" w:line="300" w:lineRule="auto"/>
        <w:rPr>
          <w:rFonts w:asciiTheme="minorBidi" w:hAnsiTheme="minorBidi"/>
          <w:b/>
          <w:bCs/>
          <w:sz w:val="24"/>
        </w:rPr>
      </w:pPr>
    </w:p>
    <w:p w14:paraId="2E105217">
      <w:pPr>
        <w:adjustRightInd w:val="0"/>
        <w:snapToGrid w:val="0"/>
        <w:spacing w:before="156" w:beforeLines="50" w:line="300" w:lineRule="auto"/>
        <w:jc w:val="center"/>
        <w:rPr>
          <w:rFonts w:asciiTheme="minorBidi" w:hAnsiTheme="minorBidi"/>
          <w:b/>
          <w:bCs/>
          <w:sz w:val="24"/>
        </w:rPr>
      </w:pPr>
      <w:r>
        <w:rPr>
          <w:rFonts w:asciiTheme="minorBidi" w:hAnsiTheme="minorBidi"/>
          <w:b/>
          <w:bCs/>
          <w:sz w:val="24"/>
        </w:rPr>
        <w:t>发布时间：2011年11月28日</w:t>
      </w:r>
    </w:p>
    <w:p w14:paraId="689E8B4A">
      <w:pPr>
        <w:adjustRightInd w:val="0"/>
        <w:snapToGrid w:val="0"/>
        <w:spacing w:before="156" w:beforeLines="50" w:line="300" w:lineRule="auto"/>
        <w:jc w:val="center"/>
        <w:rPr>
          <w:rFonts w:asciiTheme="minorBidi" w:hAnsiTheme="minorBidi"/>
          <w:b/>
          <w:bCs/>
          <w:sz w:val="24"/>
        </w:rPr>
      </w:pPr>
      <w:r>
        <w:rPr>
          <w:rFonts w:asciiTheme="minorBidi" w:hAnsiTheme="minorBidi"/>
          <w:b/>
          <w:bCs/>
          <w:sz w:val="24"/>
        </w:rPr>
        <w:t>本文件草案发布时间为2009年9月9日</w:t>
      </w:r>
    </w:p>
    <w:p w14:paraId="0ED39131">
      <w:pPr>
        <w:adjustRightInd w:val="0"/>
        <w:snapToGrid w:val="0"/>
        <w:spacing w:before="156" w:beforeLines="50" w:line="300" w:lineRule="auto"/>
        <w:rPr>
          <w:rFonts w:asciiTheme="minorBidi" w:hAnsiTheme="minorBidi"/>
          <w:sz w:val="24"/>
        </w:rPr>
      </w:pPr>
    </w:p>
    <w:p w14:paraId="17DB2A96">
      <w:pPr>
        <w:adjustRightInd w:val="0"/>
        <w:snapToGrid w:val="0"/>
        <w:spacing w:before="156" w:beforeLines="50" w:line="300" w:lineRule="auto"/>
        <w:rPr>
          <w:rFonts w:asciiTheme="minorBidi" w:hAnsiTheme="minorBidi"/>
          <w:color w:val="0000FF"/>
          <w:sz w:val="24"/>
        </w:rPr>
      </w:pPr>
      <w:r>
        <w:rPr>
          <w:rFonts w:asciiTheme="minorBidi" w:hAnsiTheme="minorBidi"/>
          <w:sz w:val="24"/>
        </w:rPr>
        <w:t>关于本文件的问题，请联系Kate Simon博士，电话（301）796-6204，电子邮箱</w:t>
      </w:r>
      <w:r>
        <w:rPr>
          <w:rFonts w:asciiTheme="minorBidi" w:hAnsiTheme="minorBidi"/>
          <w:color w:val="0000FF"/>
          <w:sz w:val="24"/>
        </w:rPr>
        <w:t xml:space="preserve">kathleen.simon@fda.hhs.gov </w:t>
      </w:r>
      <w:r>
        <w:rPr>
          <w:rFonts w:asciiTheme="minorBidi" w:hAnsiTheme="minorBidi"/>
          <w:sz w:val="24"/>
        </w:rPr>
        <w:t>或Marina V. Kondratovich博士，电话（301）796-6036，电子邮箱</w:t>
      </w:r>
      <w:r>
        <w:rPr>
          <w:rFonts w:asciiTheme="minorBidi" w:hAnsiTheme="minorBidi"/>
          <w:color w:val="0000FF"/>
          <w:sz w:val="24"/>
        </w:rPr>
        <w:t>marina.kondratovich@fda.hhs.gov。</w:t>
      </w:r>
    </w:p>
    <w:p w14:paraId="47D9DEA2">
      <w:pPr>
        <w:adjustRightInd w:val="0"/>
        <w:snapToGrid w:val="0"/>
        <w:spacing w:before="156" w:beforeLines="50" w:line="300" w:lineRule="auto"/>
        <w:rPr>
          <w:rFonts w:asciiTheme="minorBidi" w:hAnsiTheme="minorBidi"/>
          <w:sz w:val="24"/>
        </w:rPr>
      </w:pPr>
    </w:p>
    <w:p w14:paraId="2450E354">
      <w:pPr>
        <w:adjustRightInd w:val="0"/>
        <w:snapToGrid w:val="0"/>
        <w:spacing w:before="156" w:beforeLines="50" w:line="300" w:lineRule="auto"/>
        <w:rPr>
          <w:rFonts w:asciiTheme="minorBidi" w:hAnsiTheme="minorBidi"/>
          <w:b/>
          <w:bCs/>
          <w:sz w:val="24"/>
        </w:rPr>
      </w:pPr>
      <w:r>
        <w:rPr>
          <w:rFonts w:asciiTheme="minorBidi" w:hAnsiTheme="minorBidi"/>
          <w:sz w:val="24"/>
        </w:rPr>
        <w:drawing>
          <wp:inline distT="0" distB="0" distL="114300" distR="114300">
            <wp:extent cx="1181100" cy="1152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81100" cy="1152525"/>
                    </a:xfrm>
                    <a:prstGeom prst="rect">
                      <a:avLst/>
                    </a:prstGeom>
                    <a:noFill/>
                    <a:ln w="9525">
                      <a:noFill/>
                    </a:ln>
                  </pic:spPr>
                </pic:pic>
              </a:graphicData>
            </a:graphic>
          </wp:inline>
        </w:drawing>
      </w:r>
    </w:p>
    <w:p w14:paraId="3AD41525">
      <w:pPr>
        <w:adjustRightInd w:val="0"/>
        <w:snapToGrid w:val="0"/>
        <w:spacing w:before="156" w:beforeLines="50" w:line="300" w:lineRule="auto"/>
        <w:jc w:val="right"/>
        <w:rPr>
          <w:rFonts w:asciiTheme="minorBidi" w:hAnsiTheme="minorBidi"/>
          <w:b/>
          <w:bCs/>
          <w:sz w:val="24"/>
        </w:rPr>
      </w:pPr>
      <w:r>
        <w:rPr>
          <w:rFonts w:asciiTheme="minorBidi" w:hAnsiTheme="minorBidi"/>
          <w:b/>
          <w:bCs/>
          <w:sz w:val="24"/>
        </w:rPr>
        <w:t>美国卫生及公众服务部</w:t>
      </w:r>
    </w:p>
    <w:p w14:paraId="753273E1">
      <w:pPr>
        <w:adjustRightInd w:val="0"/>
        <w:snapToGrid w:val="0"/>
        <w:spacing w:before="156" w:beforeLines="50" w:line="300" w:lineRule="auto"/>
        <w:jc w:val="right"/>
        <w:rPr>
          <w:rFonts w:asciiTheme="minorBidi" w:hAnsiTheme="minorBidi"/>
          <w:b/>
          <w:bCs/>
          <w:sz w:val="24"/>
        </w:rPr>
      </w:pPr>
      <w:r>
        <w:rPr>
          <w:rFonts w:asciiTheme="minorBidi" w:hAnsiTheme="minorBidi"/>
          <w:b/>
          <w:bCs/>
          <w:sz w:val="24"/>
        </w:rPr>
        <w:t>食品药品监督管理局</w:t>
      </w:r>
    </w:p>
    <w:p w14:paraId="4C3A054B">
      <w:pPr>
        <w:adjustRightInd w:val="0"/>
        <w:snapToGrid w:val="0"/>
        <w:spacing w:before="156" w:beforeLines="50" w:line="300" w:lineRule="auto"/>
        <w:jc w:val="right"/>
        <w:rPr>
          <w:rFonts w:asciiTheme="minorBidi" w:hAnsiTheme="minorBidi"/>
          <w:b/>
          <w:bCs/>
          <w:sz w:val="24"/>
        </w:rPr>
      </w:pPr>
      <w:r>
        <w:rPr>
          <w:rFonts w:asciiTheme="minorBidi" w:hAnsiTheme="minorBidi"/>
          <w:b/>
          <w:bCs/>
          <w:sz w:val="24"/>
        </w:rPr>
        <w:t>医疗器械与放射健康中心</w:t>
      </w:r>
    </w:p>
    <w:p w14:paraId="6C2352F8">
      <w:pPr>
        <w:adjustRightInd w:val="0"/>
        <w:snapToGrid w:val="0"/>
        <w:spacing w:before="156" w:beforeLines="50" w:line="300" w:lineRule="auto"/>
        <w:jc w:val="right"/>
        <w:rPr>
          <w:rFonts w:asciiTheme="minorBidi" w:hAnsiTheme="minorBidi"/>
          <w:b/>
          <w:bCs/>
          <w:sz w:val="24"/>
        </w:rPr>
      </w:pPr>
      <w:r>
        <w:rPr>
          <w:rFonts w:asciiTheme="minorBidi" w:hAnsiTheme="minorBidi"/>
          <w:b/>
          <w:bCs/>
          <w:sz w:val="24"/>
        </w:rPr>
        <w:t>体外诊断器械评估和安全办公室</w:t>
      </w:r>
    </w:p>
    <w:p w14:paraId="07967711">
      <w:pPr>
        <w:adjustRightInd w:val="0"/>
        <w:snapToGrid w:val="0"/>
        <w:spacing w:before="156" w:beforeLines="50" w:line="300" w:lineRule="auto"/>
        <w:jc w:val="right"/>
        <w:rPr>
          <w:rFonts w:asciiTheme="minorBidi" w:hAnsiTheme="minorBidi"/>
          <w:b/>
          <w:bCs/>
          <w:sz w:val="24"/>
        </w:rPr>
      </w:pPr>
      <w:r>
        <w:rPr>
          <w:rFonts w:asciiTheme="minorBidi" w:hAnsiTheme="minorBidi"/>
          <w:b/>
          <w:bCs/>
          <w:sz w:val="24"/>
        </w:rPr>
        <w:t>微生物器械部</w:t>
      </w:r>
    </w:p>
    <w:p w14:paraId="4035CE6D">
      <w:pPr>
        <w:adjustRightInd w:val="0"/>
        <w:snapToGrid w:val="0"/>
        <w:spacing w:before="156" w:beforeLines="50" w:line="300" w:lineRule="auto"/>
        <w:rPr>
          <w:rFonts w:asciiTheme="minorBidi" w:hAnsiTheme="minorBidi"/>
        </w:rPr>
      </w:pPr>
      <w:r>
        <w:rPr>
          <w:rFonts w:asciiTheme="minorBidi" w:hAnsiTheme="minorBidi"/>
        </w:rPr>
        <w:br w:type="page"/>
      </w:r>
    </w:p>
    <w:p w14:paraId="22762108">
      <w:pPr>
        <w:adjustRightInd w:val="0"/>
        <w:snapToGrid w:val="0"/>
        <w:spacing w:before="156" w:beforeLines="50" w:line="300" w:lineRule="auto"/>
        <w:jc w:val="center"/>
        <w:rPr>
          <w:rFonts w:asciiTheme="minorBidi" w:hAnsiTheme="minorBidi"/>
          <w:b/>
          <w:bCs/>
          <w:sz w:val="32"/>
          <w:szCs w:val="32"/>
        </w:rPr>
      </w:pPr>
      <w:r>
        <w:rPr>
          <w:rFonts w:asciiTheme="minorBidi" w:hAnsiTheme="minorBidi"/>
          <w:b/>
          <w:bCs/>
          <w:sz w:val="32"/>
          <w:szCs w:val="32"/>
        </w:rPr>
        <w:t>前言</w:t>
      </w:r>
    </w:p>
    <w:p w14:paraId="74CF03D0">
      <w:pPr>
        <w:adjustRightInd w:val="0"/>
        <w:snapToGrid w:val="0"/>
        <w:spacing w:before="156" w:beforeLines="50" w:line="300" w:lineRule="auto"/>
        <w:rPr>
          <w:rFonts w:asciiTheme="minorBidi" w:hAnsiTheme="minorBidi"/>
          <w:b/>
          <w:bCs/>
          <w:sz w:val="30"/>
          <w:szCs w:val="30"/>
        </w:rPr>
      </w:pPr>
      <w:r>
        <w:rPr>
          <w:rFonts w:asciiTheme="minorBidi" w:hAnsiTheme="minorBidi"/>
          <w:b/>
          <w:bCs/>
          <w:sz w:val="30"/>
          <w:szCs w:val="30"/>
        </w:rPr>
        <w:t>公众评论</w:t>
      </w:r>
    </w:p>
    <w:p w14:paraId="4A3FBA29">
      <w:pPr>
        <w:adjustRightInd w:val="0"/>
        <w:snapToGrid w:val="0"/>
        <w:spacing w:before="156" w:beforeLines="50" w:line="300" w:lineRule="auto"/>
        <w:rPr>
          <w:rFonts w:asciiTheme="minorBidi" w:hAnsiTheme="minorBidi"/>
          <w:sz w:val="24"/>
        </w:rPr>
      </w:pPr>
      <w:r>
        <w:rPr>
          <w:rFonts w:asciiTheme="minorBidi" w:hAnsiTheme="minorBidi"/>
          <w:sz w:val="24"/>
        </w:rPr>
        <w:t>贵公司可随时将供机构考虑的书面意见提交至美国食品药品监督管理局文档管理部，5630 Fishers Lane，</w:t>
      </w:r>
      <w:r>
        <w:rPr>
          <w:rFonts w:asciiTheme="minorBidi" w:hAnsiTheme="minorBidi"/>
          <w:color w:val="000000"/>
          <w:sz w:val="24"/>
        </w:rPr>
        <w:t>rm. 1061, (HFA-305), Rockville, MD, 20852</w:t>
      </w:r>
      <w:r>
        <w:rPr>
          <w:rFonts w:asciiTheme="minorBidi" w:hAnsiTheme="minorBidi"/>
          <w:sz w:val="24"/>
        </w:rPr>
        <w:t>。电子意见提交至</w:t>
      </w:r>
      <w:r>
        <w:fldChar w:fldCharType="begin"/>
      </w:r>
      <w:r>
        <w:instrText xml:space="preserve"> HYPERLINK "http://www.regulations.gov" </w:instrText>
      </w:r>
      <w:r>
        <w:fldChar w:fldCharType="separate"/>
      </w:r>
      <w:r>
        <w:rPr>
          <w:rStyle w:val="12"/>
          <w:rFonts w:asciiTheme="minorBidi" w:hAnsiTheme="minorBidi"/>
          <w:sz w:val="24"/>
        </w:rPr>
        <w:t>http://www.regulations.gov</w:t>
      </w:r>
      <w:r>
        <w:rPr>
          <w:rStyle w:val="12"/>
          <w:rFonts w:asciiTheme="minorBidi" w:hAnsiTheme="minorBidi"/>
          <w:sz w:val="24"/>
        </w:rPr>
        <w:fldChar w:fldCharType="end"/>
      </w:r>
      <w:r>
        <w:rPr>
          <w:rFonts w:asciiTheme="minorBidi" w:hAnsiTheme="minorBidi"/>
          <w:color w:val="0000FF"/>
          <w:sz w:val="24"/>
          <w:u w:val="single"/>
        </w:rPr>
        <w:t>。</w:t>
      </w:r>
      <w:r>
        <w:rPr>
          <w:rFonts w:asciiTheme="minorBidi" w:hAnsiTheme="minorBidi"/>
          <w:sz w:val="24"/>
        </w:rPr>
        <w:t>请使用在《联邦公报》发表的生效通知中所列出的卷宗号标识所有意见。可能直到文件下次修订或更新时，机构才会受理评论。</w:t>
      </w:r>
    </w:p>
    <w:p w14:paraId="65EE9F6E">
      <w:pPr>
        <w:adjustRightInd w:val="0"/>
        <w:snapToGrid w:val="0"/>
        <w:spacing w:before="156" w:beforeLines="50" w:line="300" w:lineRule="auto"/>
        <w:rPr>
          <w:rFonts w:asciiTheme="minorBidi" w:hAnsiTheme="minorBidi"/>
        </w:rPr>
      </w:pPr>
    </w:p>
    <w:p w14:paraId="6485BB87">
      <w:pPr>
        <w:adjustRightInd w:val="0"/>
        <w:snapToGrid w:val="0"/>
        <w:spacing w:before="156" w:beforeLines="50" w:line="300" w:lineRule="auto"/>
        <w:rPr>
          <w:rFonts w:asciiTheme="minorBidi" w:hAnsiTheme="minorBidi"/>
        </w:rPr>
      </w:pPr>
    </w:p>
    <w:p w14:paraId="2FAD7294">
      <w:pPr>
        <w:adjustRightInd w:val="0"/>
        <w:snapToGrid w:val="0"/>
        <w:spacing w:before="156" w:beforeLines="50" w:line="300" w:lineRule="auto"/>
        <w:rPr>
          <w:rFonts w:asciiTheme="minorBidi" w:hAnsiTheme="minorBidi"/>
        </w:rPr>
      </w:pPr>
    </w:p>
    <w:p w14:paraId="31D29278">
      <w:pPr>
        <w:adjustRightInd w:val="0"/>
        <w:snapToGrid w:val="0"/>
        <w:spacing w:before="156" w:beforeLines="50" w:line="300" w:lineRule="auto"/>
        <w:rPr>
          <w:rFonts w:asciiTheme="minorBidi" w:hAnsiTheme="minorBidi"/>
        </w:rPr>
      </w:pPr>
    </w:p>
    <w:p w14:paraId="3E2F6CB1">
      <w:pPr>
        <w:adjustRightInd w:val="0"/>
        <w:snapToGrid w:val="0"/>
        <w:spacing w:before="156" w:beforeLines="50" w:line="300" w:lineRule="auto"/>
        <w:rPr>
          <w:rFonts w:asciiTheme="minorBidi" w:hAnsiTheme="minorBidi"/>
        </w:rPr>
      </w:pPr>
    </w:p>
    <w:p w14:paraId="13189AAC">
      <w:pPr>
        <w:adjustRightInd w:val="0"/>
        <w:snapToGrid w:val="0"/>
        <w:spacing w:before="156" w:beforeLines="50" w:line="300" w:lineRule="auto"/>
        <w:rPr>
          <w:rFonts w:asciiTheme="minorBidi" w:hAnsiTheme="minorBidi"/>
          <w:b/>
          <w:bCs/>
          <w:sz w:val="30"/>
          <w:szCs w:val="30"/>
        </w:rPr>
      </w:pPr>
      <w:r>
        <w:rPr>
          <w:rFonts w:asciiTheme="minorBidi" w:hAnsiTheme="minorBidi"/>
          <w:b/>
          <w:bCs/>
          <w:sz w:val="30"/>
          <w:szCs w:val="30"/>
        </w:rPr>
        <w:t>其他副本</w:t>
      </w:r>
    </w:p>
    <w:p w14:paraId="3D22CA0D">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其他副本可从网上获取。贵公司也可以向</w:t>
      </w:r>
      <w:r>
        <w:rPr>
          <w:rFonts w:asciiTheme="minorBidi" w:hAnsiTheme="minorBidi"/>
          <w:color w:val="0000FF"/>
          <w:sz w:val="24"/>
          <w:szCs w:val="32"/>
        </w:rPr>
        <w:t>dsmica@fda.hhs.gov</w:t>
      </w:r>
      <w:r>
        <w:rPr>
          <w:rFonts w:asciiTheme="minorBidi" w:hAnsiTheme="minorBidi"/>
          <w:sz w:val="24"/>
          <w:szCs w:val="32"/>
        </w:rPr>
        <w:t>发送邮件，获取指南的电子版，或向301-827-8149发送传真请求获取打印件。请使用文件编号1740标识贵公司所需的指南。</w:t>
      </w:r>
    </w:p>
    <w:p w14:paraId="6BECDF6E">
      <w:pPr>
        <w:adjustRightInd w:val="0"/>
        <w:snapToGrid w:val="0"/>
        <w:spacing w:before="156" w:beforeLines="50" w:line="300" w:lineRule="auto"/>
        <w:rPr>
          <w:rFonts w:asciiTheme="minorBidi" w:hAnsiTheme="minorBidi"/>
        </w:rPr>
      </w:pPr>
    </w:p>
    <w:p w14:paraId="192350B4">
      <w:pPr>
        <w:adjustRightInd w:val="0"/>
        <w:snapToGrid w:val="0"/>
        <w:spacing w:before="156" w:beforeLines="50" w:line="300" w:lineRule="auto"/>
        <w:rPr>
          <w:rFonts w:asciiTheme="minorBidi" w:hAnsiTheme="minorBidi"/>
        </w:rPr>
      </w:pPr>
      <w:r>
        <w:rPr>
          <w:rFonts w:asciiTheme="minorBidi" w:hAnsiTheme="minorBidi"/>
        </w:rPr>
        <w:br w:type="page"/>
      </w:r>
    </w:p>
    <w:p w14:paraId="65B0E379">
      <w:pPr>
        <w:adjustRightInd w:val="0"/>
        <w:snapToGrid w:val="0"/>
        <w:spacing w:before="156" w:beforeLines="50" w:line="300" w:lineRule="auto"/>
        <w:rPr>
          <w:rFonts w:asciiTheme="minorBidi" w:hAnsiTheme="minorBidi"/>
        </w:rPr>
      </w:pPr>
    </w:p>
    <w:p w14:paraId="294A04A3">
      <w:pPr>
        <w:adjustRightInd w:val="0"/>
        <w:snapToGrid w:val="0"/>
        <w:spacing w:before="156" w:beforeLines="50" w:line="300" w:lineRule="auto"/>
        <w:jc w:val="center"/>
        <w:rPr>
          <w:rFonts w:asciiTheme="minorBidi" w:hAnsiTheme="minorBidi"/>
          <w:b/>
          <w:bCs/>
          <w:sz w:val="32"/>
          <w:szCs w:val="32"/>
        </w:rPr>
      </w:pPr>
      <w:r>
        <w:rPr>
          <w:rFonts w:asciiTheme="minorBidi" w:hAnsiTheme="minorBidi"/>
          <w:b/>
          <w:bCs/>
          <w:sz w:val="32"/>
          <w:szCs w:val="32"/>
        </w:rPr>
        <w:t>目录</w:t>
      </w:r>
    </w:p>
    <w:p w14:paraId="0D0B3359">
      <w:pPr>
        <w:pStyle w:val="6"/>
        <w:tabs>
          <w:tab w:val="left" w:pos="420"/>
          <w:tab w:val="right" w:leader="dot" w:pos="9628"/>
        </w:tabs>
        <w:adjustRightInd w:val="0"/>
        <w:snapToGrid w:val="0"/>
        <w:spacing w:line="288" w:lineRule="auto"/>
        <w:rPr>
          <w:rFonts w:asciiTheme="minorBidi" w:hAnsiTheme="minorBidi"/>
          <w:sz w:val="24"/>
        </w:rPr>
      </w:pPr>
      <w:r>
        <w:rPr>
          <w:rFonts w:asciiTheme="minorBidi" w:hAnsiTheme="minorBidi"/>
          <w:sz w:val="24"/>
        </w:rPr>
        <w:fldChar w:fldCharType="begin"/>
      </w:r>
      <w:r>
        <w:rPr>
          <w:rFonts w:asciiTheme="minorBidi" w:hAnsiTheme="minorBidi"/>
          <w:sz w:val="24"/>
        </w:rPr>
        <w:instrText xml:space="preserve"> TOC \o "1-3" \h \z \u </w:instrText>
      </w:r>
      <w:r>
        <w:rPr>
          <w:rFonts w:asciiTheme="minorBidi" w:hAnsiTheme="minorBidi"/>
          <w:sz w:val="24"/>
        </w:rPr>
        <w:fldChar w:fldCharType="separate"/>
      </w:r>
      <w:r>
        <w:fldChar w:fldCharType="begin"/>
      </w:r>
      <w:r>
        <w:instrText xml:space="preserve"> HYPERLINK \l "_Toc479653364" </w:instrText>
      </w:r>
      <w:r>
        <w:fldChar w:fldCharType="separate"/>
      </w:r>
      <w:r>
        <w:rPr>
          <w:rStyle w:val="12"/>
          <w:rFonts w:asciiTheme="minorBidi" w:hAnsiTheme="minorBidi"/>
          <w:b/>
          <w:bCs/>
          <w:sz w:val="24"/>
        </w:rPr>
        <w:t>I.</w:t>
      </w:r>
      <w:r>
        <w:rPr>
          <w:rFonts w:asciiTheme="minorBidi" w:hAnsiTheme="minorBidi"/>
          <w:sz w:val="24"/>
        </w:rPr>
        <w:tab/>
      </w:r>
      <w:r>
        <w:rPr>
          <w:rStyle w:val="12"/>
          <w:rFonts w:asciiTheme="minorBidi" w:hAnsiTheme="minorBidi"/>
          <w:b/>
          <w:bCs/>
          <w:sz w:val="24"/>
        </w:rPr>
        <w:t>简介</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_Toc479653364 \h </w:instrText>
      </w:r>
      <w:r>
        <w:rPr>
          <w:rFonts w:asciiTheme="minorBidi" w:hAnsiTheme="minorBidi"/>
          <w:sz w:val="24"/>
        </w:rPr>
        <w:fldChar w:fldCharType="separate"/>
      </w:r>
      <w:r>
        <w:rPr>
          <w:rFonts w:asciiTheme="minorBidi" w:hAnsiTheme="minorBidi"/>
          <w:sz w:val="24"/>
        </w:rPr>
        <w:t>1</w:t>
      </w:r>
      <w:r>
        <w:rPr>
          <w:rFonts w:asciiTheme="minorBidi" w:hAnsiTheme="minorBidi"/>
          <w:sz w:val="24"/>
        </w:rPr>
        <w:fldChar w:fldCharType="end"/>
      </w:r>
      <w:r>
        <w:rPr>
          <w:rFonts w:asciiTheme="minorBidi" w:hAnsiTheme="minorBidi"/>
          <w:sz w:val="24"/>
        </w:rPr>
        <w:fldChar w:fldCharType="end"/>
      </w:r>
    </w:p>
    <w:p w14:paraId="50582ECD">
      <w:pPr>
        <w:pStyle w:val="6"/>
        <w:tabs>
          <w:tab w:val="left" w:pos="420"/>
          <w:tab w:val="right" w:leader="dot" w:pos="9628"/>
        </w:tabs>
        <w:adjustRightInd w:val="0"/>
        <w:snapToGrid w:val="0"/>
        <w:spacing w:line="288" w:lineRule="auto"/>
        <w:rPr>
          <w:rFonts w:asciiTheme="minorBidi" w:hAnsiTheme="minorBidi"/>
          <w:sz w:val="24"/>
        </w:rPr>
      </w:pPr>
      <w:r>
        <w:fldChar w:fldCharType="begin"/>
      </w:r>
      <w:r>
        <w:instrText xml:space="preserve"> HYPERLINK \l "_Toc479653365" </w:instrText>
      </w:r>
      <w:r>
        <w:fldChar w:fldCharType="separate"/>
      </w:r>
      <w:r>
        <w:rPr>
          <w:rStyle w:val="12"/>
          <w:rFonts w:asciiTheme="minorBidi" w:hAnsiTheme="minorBidi"/>
          <w:b/>
          <w:bCs/>
          <w:sz w:val="24"/>
        </w:rPr>
        <w:t>II.</w:t>
      </w:r>
      <w:r>
        <w:rPr>
          <w:rFonts w:asciiTheme="minorBidi" w:hAnsiTheme="minorBidi"/>
          <w:sz w:val="24"/>
        </w:rPr>
        <w:tab/>
      </w:r>
      <w:r>
        <w:rPr>
          <w:rStyle w:val="12"/>
          <w:rFonts w:asciiTheme="minorBidi" w:hAnsiTheme="minorBidi"/>
          <w:b/>
          <w:bCs/>
          <w:sz w:val="24"/>
        </w:rPr>
        <w:t>背景</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_Toc479653365 \h </w:instrText>
      </w:r>
      <w:r>
        <w:rPr>
          <w:rFonts w:asciiTheme="minorBidi" w:hAnsiTheme="minorBidi"/>
          <w:sz w:val="24"/>
        </w:rPr>
        <w:fldChar w:fldCharType="separate"/>
      </w:r>
      <w:r>
        <w:rPr>
          <w:rFonts w:asciiTheme="minorBidi" w:hAnsiTheme="minorBidi"/>
          <w:sz w:val="24"/>
        </w:rPr>
        <w:t>2</w:t>
      </w:r>
      <w:r>
        <w:rPr>
          <w:rFonts w:asciiTheme="minorBidi" w:hAnsiTheme="minorBidi"/>
          <w:sz w:val="24"/>
        </w:rPr>
        <w:fldChar w:fldCharType="end"/>
      </w:r>
      <w:r>
        <w:rPr>
          <w:rFonts w:asciiTheme="minorBidi" w:hAnsiTheme="minorBidi"/>
          <w:sz w:val="24"/>
        </w:rPr>
        <w:fldChar w:fldCharType="end"/>
      </w:r>
    </w:p>
    <w:p w14:paraId="3C8DC184">
      <w:pPr>
        <w:pStyle w:val="6"/>
        <w:tabs>
          <w:tab w:val="left" w:pos="630"/>
          <w:tab w:val="right" w:leader="dot" w:pos="9628"/>
        </w:tabs>
        <w:adjustRightInd w:val="0"/>
        <w:snapToGrid w:val="0"/>
        <w:spacing w:line="288" w:lineRule="auto"/>
        <w:rPr>
          <w:rFonts w:asciiTheme="minorBidi" w:hAnsiTheme="minorBidi"/>
          <w:sz w:val="24"/>
        </w:rPr>
      </w:pPr>
      <w:r>
        <w:fldChar w:fldCharType="begin"/>
      </w:r>
      <w:r>
        <w:instrText xml:space="preserve"> HYPERLINK \l "_Toc479653366" </w:instrText>
      </w:r>
      <w:r>
        <w:fldChar w:fldCharType="separate"/>
      </w:r>
      <w:r>
        <w:rPr>
          <w:rStyle w:val="12"/>
          <w:rFonts w:asciiTheme="minorBidi" w:hAnsiTheme="minorBidi"/>
          <w:b/>
          <w:bCs/>
          <w:sz w:val="24"/>
        </w:rPr>
        <w:t>III.</w:t>
      </w:r>
      <w:r>
        <w:rPr>
          <w:rFonts w:asciiTheme="minorBidi" w:hAnsiTheme="minorBidi"/>
          <w:sz w:val="24"/>
        </w:rPr>
        <w:tab/>
      </w:r>
      <w:r>
        <w:rPr>
          <w:rStyle w:val="12"/>
          <w:rFonts w:asciiTheme="minorBidi" w:hAnsiTheme="minorBidi"/>
          <w:b/>
          <w:bCs/>
          <w:sz w:val="24"/>
        </w:rPr>
        <w:t>范围</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_Toc479653366 \h </w:instrText>
      </w:r>
      <w:r>
        <w:rPr>
          <w:rFonts w:asciiTheme="minorBidi" w:hAnsiTheme="minorBidi"/>
          <w:sz w:val="24"/>
        </w:rPr>
        <w:fldChar w:fldCharType="separate"/>
      </w:r>
      <w:r>
        <w:rPr>
          <w:rFonts w:asciiTheme="minorBidi" w:hAnsiTheme="minorBidi"/>
          <w:sz w:val="24"/>
        </w:rPr>
        <w:t>3</w:t>
      </w:r>
      <w:r>
        <w:rPr>
          <w:rFonts w:asciiTheme="minorBidi" w:hAnsiTheme="minorBidi"/>
          <w:sz w:val="24"/>
        </w:rPr>
        <w:fldChar w:fldCharType="end"/>
      </w:r>
      <w:r>
        <w:rPr>
          <w:rFonts w:asciiTheme="minorBidi" w:hAnsiTheme="minorBidi"/>
          <w:sz w:val="24"/>
        </w:rPr>
        <w:fldChar w:fldCharType="end"/>
      </w:r>
    </w:p>
    <w:p w14:paraId="6516BE32">
      <w:pPr>
        <w:pStyle w:val="6"/>
        <w:tabs>
          <w:tab w:val="left" w:pos="630"/>
          <w:tab w:val="right" w:leader="dot" w:pos="9628"/>
        </w:tabs>
        <w:adjustRightInd w:val="0"/>
        <w:snapToGrid w:val="0"/>
        <w:spacing w:line="288" w:lineRule="auto"/>
        <w:rPr>
          <w:rFonts w:asciiTheme="minorBidi" w:hAnsiTheme="minorBidi"/>
          <w:sz w:val="24"/>
        </w:rPr>
      </w:pPr>
      <w:r>
        <w:fldChar w:fldCharType="begin"/>
      </w:r>
      <w:r>
        <w:instrText xml:space="preserve"> HYPERLINK \l "_Toc479653367" </w:instrText>
      </w:r>
      <w:r>
        <w:fldChar w:fldCharType="separate"/>
      </w:r>
      <w:r>
        <w:rPr>
          <w:rStyle w:val="12"/>
          <w:rFonts w:asciiTheme="minorBidi" w:hAnsiTheme="minorBidi"/>
          <w:b/>
          <w:bCs/>
          <w:sz w:val="24"/>
        </w:rPr>
        <w:t>IV.</w:t>
      </w:r>
      <w:r>
        <w:rPr>
          <w:rFonts w:asciiTheme="minorBidi" w:hAnsiTheme="minorBidi"/>
          <w:sz w:val="24"/>
        </w:rPr>
        <w:tab/>
      </w:r>
      <w:r>
        <w:rPr>
          <w:rStyle w:val="12"/>
          <w:rFonts w:asciiTheme="minorBidi" w:hAnsiTheme="minorBidi"/>
          <w:b/>
          <w:bCs/>
          <w:sz w:val="24"/>
        </w:rPr>
        <w:t>健康风险</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_Toc479653367 \h </w:instrText>
      </w:r>
      <w:r>
        <w:rPr>
          <w:rFonts w:asciiTheme="minorBidi" w:hAnsiTheme="minorBidi"/>
          <w:sz w:val="24"/>
        </w:rPr>
        <w:fldChar w:fldCharType="separate"/>
      </w:r>
      <w:r>
        <w:rPr>
          <w:rFonts w:asciiTheme="minorBidi" w:hAnsiTheme="minorBidi"/>
          <w:sz w:val="24"/>
        </w:rPr>
        <w:t>3</w:t>
      </w:r>
      <w:r>
        <w:rPr>
          <w:rFonts w:asciiTheme="minorBidi" w:hAnsiTheme="minorBidi"/>
          <w:sz w:val="24"/>
        </w:rPr>
        <w:fldChar w:fldCharType="end"/>
      </w:r>
      <w:r>
        <w:rPr>
          <w:rFonts w:asciiTheme="minorBidi" w:hAnsiTheme="minorBidi"/>
          <w:sz w:val="24"/>
        </w:rPr>
        <w:fldChar w:fldCharType="end"/>
      </w:r>
    </w:p>
    <w:p w14:paraId="5F4557A7">
      <w:pPr>
        <w:pStyle w:val="6"/>
        <w:tabs>
          <w:tab w:val="left" w:pos="420"/>
          <w:tab w:val="right" w:leader="dot" w:pos="9628"/>
        </w:tabs>
        <w:adjustRightInd w:val="0"/>
        <w:snapToGrid w:val="0"/>
        <w:spacing w:line="288" w:lineRule="auto"/>
        <w:rPr>
          <w:rFonts w:asciiTheme="minorBidi" w:hAnsiTheme="minorBidi"/>
          <w:sz w:val="24"/>
        </w:rPr>
      </w:pPr>
      <w:r>
        <w:fldChar w:fldCharType="begin"/>
      </w:r>
      <w:r>
        <w:instrText xml:space="preserve"> HYPERLINK \l "_Toc479653368" </w:instrText>
      </w:r>
      <w:r>
        <w:fldChar w:fldCharType="separate"/>
      </w:r>
      <w:r>
        <w:rPr>
          <w:rStyle w:val="12"/>
          <w:rFonts w:asciiTheme="minorBidi" w:hAnsiTheme="minorBidi"/>
          <w:b/>
          <w:bCs/>
          <w:sz w:val="24"/>
        </w:rPr>
        <w:t>V.</w:t>
      </w:r>
      <w:r>
        <w:rPr>
          <w:rFonts w:asciiTheme="minorBidi" w:hAnsiTheme="minorBidi"/>
          <w:sz w:val="24"/>
        </w:rPr>
        <w:tab/>
      </w:r>
      <w:r>
        <w:rPr>
          <w:rStyle w:val="12"/>
          <w:rFonts w:asciiTheme="minorBidi" w:hAnsiTheme="minorBidi"/>
          <w:b/>
          <w:bCs/>
          <w:sz w:val="24"/>
        </w:rPr>
        <w:t>确立性能特征</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_Toc479653368 \h </w:instrText>
      </w:r>
      <w:r>
        <w:rPr>
          <w:rFonts w:asciiTheme="minorBidi" w:hAnsiTheme="minorBidi"/>
          <w:sz w:val="24"/>
        </w:rPr>
        <w:fldChar w:fldCharType="separate"/>
      </w:r>
      <w:r>
        <w:rPr>
          <w:rFonts w:asciiTheme="minorBidi" w:hAnsiTheme="minorBidi"/>
          <w:sz w:val="24"/>
        </w:rPr>
        <w:t>4</w:t>
      </w:r>
      <w:r>
        <w:rPr>
          <w:rFonts w:asciiTheme="minorBidi" w:hAnsiTheme="minorBidi"/>
          <w:sz w:val="24"/>
        </w:rPr>
        <w:fldChar w:fldCharType="end"/>
      </w:r>
      <w:r>
        <w:rPr>
          <w:rFonts w:asciiTheme="minorBidi" w:hAnsiTheme="minorBidi"/>
          <w:sz w:val="24"/>
        </w:rPr>
        <w:fldChar w:fldCharType="end"/>
      </w:r>
    </w:p>
    <w:p w14:paraId="5A75E652">
      <w:pPr>
        <w:pStyle w:val="8"/>
        <w:tabs>
          <w:tab w:val="left" w:pos="1050"/>
          <w:tab w:val="right" w:leader="dot" w:pos="9628"/>
        </w:tabs>
        <w:adjustRightInd w:val="0"/>
        <w:snapToGrid w:val="0"/>
        <w:spacing w:line="288" w:lineRule="auto"/>
        <w:rPr>
          <w:rFonts w:asciiTheme="minorBidi" w:hAnsiTheme="minorBidi"/>
          <w:sz w:val="24"/>
        </w:rPr>
      </w:pPr>
      <w:r>
        <w:fldChar w:fldCharType="begin"/>
      </w:r>
      <w:r>
        <w:instrText xml:space="preserve"> HYPERLINK \l "_Toc479653369" </w:instrText>
      </w:r>
      <w:r>
        <w:fldChar w:fldCharType="separate"/>
      </w:r>
      <w:r>
        <w:rPr>
          <w:rStyle w:val="12"/>
          <w:rFonts w:asciiTheme="minorBidi" w:hAnsiTheme="minorBidi"/>
          <w:b/>
          <w:sz w:val="24"/>
        </w:rPr>
        <w:t>A.</w:t>
      </w:r>
      <w:r>
        <w:rPr>
          <w:rFonts w:asciiTheme="minorBidi" w:hAnsiTheme="minorBidi"/>
          <w:sz w:val="24"/>
        </w:rPr>
        <w:tab/>
      </w:r>
      <w:r>
        <w:rPr>
          <w:rStyle w:val="12"/>
          <w:rFonts w:asciiTheme="minorBidi" w:hAnsiTheme="minorBidi"/>
          <w:b/>
          <w:sz w:val="24"/>
        </w:rPr>
        <w:t>分析研究</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_Toc479653369 \h </w:instrText>
      </w:r>
      <w:r>
        <w:rPr>
          <w:rFonts w:asciiTheme="minorBidi" w:hAnsiTheme="minorBidi"/>
          <w:sz w:val="24"/>
        </w:rPr>
        <w:fldChar w:fldCharType="separate"/>
      </w:r>
      <w:r>
        <w:rPr>
          <w:rFonts w:asciiTheme="minorBidi" w:hAnsiTheme="minorBidi"/>
          <w:sz w:val="24"/>
        </w:rPr>
        <w:t>4</w:t>
      </w:r>
      <w:r>
        <w:rPr>
          <w:rFonts w:asciiTheme="minorBidi" w:hAnsiTheme="minorBidi"/>
          <w:sz w:val="24"/>
        </w:rPr>
        <w:fldChar w:fldCharType="end"/>
      </w:r>
      <w:r>
        <w:rPr>
          <w:rFonts w:asciiTheme="minorBidi" w:hAnsiTheme="minorBidi"/>
          <w:sz w:val="24"/>
        </w:rPr>
        <w:fldChar w:fldCharType="end"/>
      </w:r>
    </w:p>
    <w:p w14:paraId="2D4F1EA4">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"_Toc479653370" </w:instrText>
      </w:r>
      <w:r>
        <w:fldChar w:fldCharType="separate"/>
      </w:r>
      <w:r>
        <w:rPr>
          <w:rStyle w:val="12"/>
          <w:rFonts w:asciiTheme="minorBidi" w:hAnsiTheme="minorBidi"/>
          <w:b/>
          <w:sz w:val="24"/>
        </w:rPr>
        <w:t>检测限</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_Toc479653370 \h </w:instrText>
      </w:r>
      <w:r>
        <w:rPr>
          <w:rFonts w:asciiTheme="minorBidi" w:hAnsiTheme="minorBidi"/>
          <w:sz w:val="24"/>
        </w:rPr>
        <w:fldChar w:fldCharType="separate"/>
      </w:r>
      <w:r>
        <w:rPr>
          <w:rFonts w:asciiTheme="minorBidi" w:hAnsiTheme="minorBidi"/>
          <w:sz w:val="24"/>
        </w:rPr>
        <w:t>4</w:t>
      </w:r>
      <w:r>
        <w:rPr>
          <w:rFonts w:asciiTheme="minorBidi" w:hAnsiTheme="minorBidi"/>
          <w:sz w:val="24"/>
        </w:rPr>
        <w:fldChar w:fldCharType="end"/>
      </w:r>
      <w:r>
        <w:rPr>
          <w:rFonts w:asciiTheme="minorBidi" w:hAnsiTheme="minorBidi"/>
          <w:sz w:val="24"/>
        </w:rPr>
        <w:fldChar w:fldCharType="end"/>
      </w:r>
    </w:p>
    <w:p w14:paraId="6CB602AF">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"_Toc479653371" </w:instrText>
      </w:r>
      <w:r>
        <w:fldChar w:fldCharType="separate"/>
      </w:r>
      <w:r>
        <w:rPr>
          <w:rStyle w:val="12"/>
          <w:rFonts w:asciiTheme="minorBidi" w:hAnsiTheme="minorBidi"/>
          <w:b/>
          <w:sz w:val="24"/>
        </w:rPr>
        <w:t>实验室内精密度/可重复性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_Toc479653371 \h </w:instrText>
      </w:r>
      <w:r>
        <w:rPr>
          <w:rFonts w:asciiTheme="minorBidi" w:hAnsiTheme="minorBidi"/>
          <w:sz w:val="24"/>
        </w:rPr>
        <w:fldChar w:fldCharType="separate"/>
      </w:r>
      <w:r>
        <w:rPr>
          <w:rFonts w:asciiTheme="minorBidi" w:hAnsiTheme="minorBidi"/>
          <w:sz w:val="24"/>
        </w:rPr>
        <w:t>5</w:t>
      </w:r>
      <w:r>
        <w:rPr>
          <w:rFonts w:asciiTheme="minorBidi" w:hAnsiTheme="minorBidi"/>
          <w:sz w:val="24"/>
        </w:rPr>
        <w:fldChar w:fldCharType="end"/>
      </w:r>
      <w:r>
        <w:rPr>
          <w:rFonts w:asciiTheme="minorBidi" w:hAnsiTheme="minorBidi"/>
          <w:sz w:val="24"/>
        </w:rPr>
        <w:fldChar w:fldCharType="end"/>
      </w:r>
    </w:p>
    <w:p w14:paraId="14DE50F7">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"_Toc479653372" </w:instrText>
      </w:r>
      <w:r>
        <w:fldChar w:fldCharType="separate"/>
      </w:r>
      <w:r>
        <w:rPr>
          <w:rStyle w:val="12"/>
          <w:rFonts w:asciiTheme="minorBidi" w:hAnsiTheme="minorBidi"/>
          <w:b/>
          <w:sz w:val="24"/>
        </w:rPr>
        <w:t>再现性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_Toc479653372 \h </w:instrText>
      </w:r>
      <w:r>
        <w:rPr>
          <w:rFonts w:asciiTheme="minorBidi" w:hAnsiTheme="minorBidi"/>
          <w:sz w:val="24"/>
        </w:rPr>
        <w:fldChar w:fldCharType="separate"/>
      </w:r>
      <w:r>
        <w:rPr>
          <w:rFonts w:asciiTheme="minorBidi" w:hAnsiTheme="minorBidi"/>
          <w:sz w:val="24"/>
        </w:rPr>
        <w:t>7</w:t>
      </w:r>
      <w:r>
        <w:rPr>
          <w:rFonts w:asciiTheme="minorBidi" w:hAnsiTheme="minorBidi"/>
          <w:sz w:val="24"/>
        </w:rPr>
        <w:fldChar w:fldCharType="end"/>
      </w:r>
      <w:r>
        <w:rPr>
          <w:rFonts w:asciiTheme="minorBidi" w:hAnsiTheme="minorBidi"/>
          <w:sz w:val="24"/>
        </w:rPr>
        <w:fldChar w:fldCharType="end"/>
      </w:r>
    </w:p>
    <w:p w14:paraId="15E5AAC2">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"_Toc479653373" </w:instrText>
      </w:r>
      <w:r>
        <w:fldChar w:fldCharType="separate"/>
      </w:r>
      <w:r>
        <w:rPr>
          <w:rStyle w:val="12"/>
          <w:rFonts w:asciiTheme="minorBidi" w:hAnsiTheme="minorBidi"/>
          <w:b/>
          <w:sz w:val="24"/>
        </w:rPr>
        <w:t>交叉反应性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_Toc479653373 \h </w:instrText>
      </w:r>
      <w:r>
        <w:rPr>
          <w:rFonts w:asciiTheme="minorBidi" w:hAnsiTheme="minorBidi"/>
          <w:sz w:val="24"/>
        </w:rPr>
        <w:fldChar w:fldCharType="separate"/>
      </w:r>
      <w:r>
        <w:rPr>
          <w:rFonts w:asciiTheme="minorBidi" w:hAnsiTheme="minorBidi"/>
          <w:sz w:val="24"/>
        </w:rPr>
        <w:t>7</w:t>
      </w:r>
      <w:r>
        <w:rPr>
          <w:rFonts w:asciiTheme="minorBidi" w:hAnsiTheme="minorBidi"/>
          <w:sz w:val="24"/>
        </w:rPr>
        <w:fldChar w:fldCharType="end"/>
      </w:r>
      <w:r>
        <w:rPr>
          <w:rFonts w:asciiTheme="minorBidi" w:hAnsiTheme="minorBidi"/>
          <w:sz w:val="24"/>
        </w:rPr>
        <w:fldChar w:fldCharType="end"/>
      </w:r>
    </w:p>
    <w:p w14:paraId="6977C141">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"_Toc479653374" </w:instrText>
      </w:r>
      <w:r>
        <w:fldChar w:fldCharType="separate"/>
      </w:r>
      <w:r>
        <w:rPr>
          <w:rStyle w:val="12"/>
          <w:rFonts w:asciiTheme="minorBidi" w:hAnsiTheme="minorBidi"/>
          <w:b/>
          <w:sz w:val="24"/>
        </w:rPr>
        <w:t>干扰</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_Toc479653374 \h </w:instrText>
      </w:r>
      <w:r>
        <w:rPr>
          <w:rFonts w:asciiTheme="minorBidi" w:hAnsiTheme="minorBidi"/>
          <w:sz w:val="24"/>
        </w:rPr>
        <w:fldChar w:fldCharType="separate"/>
      </w:r>
      <w:r>
        <w:rPr>
          <w:rFonts w:asciiTheme="minorBidi" w:hAnsiTheme="minorBidi"/>
          <w:sz w:val="24"/>
        </w:rPr>
        <w:t>9</w:t>
      </w:r>
      <w:r>
        <w:rPr>
          <w:rFonts w:asciiTheme="minorBidi" w:hAnsiTheme="minorBidi"/>
          <w:sz w:val="24"/>
        </w:rPr>
        <w:fldChar w:fldCharType="end"/>
      </w:r>
      <w:r>
        <w:rPr>
          <w:rFonts w:asciiTheme="minorBidi" w:hAnsiTheme="minorBidi"/>
          <w:sz w:val="24"/>
        </w:rPr>
        <w:fldChar w:fldCharType="end"/>
      </w:r>
    </w:p>
    <w:p w14:paraId="6D8F5815">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"_Toc479653375" </w:instrText>
      </w:r>
      <w:r>
        <w:fldChar w:fldCharType="separate"/>
      </w:r>
      <w:r>
        <w:rPr>
          <w:rStyle w:val="12"/>
          <w:rFonts w:asciiTheme="minorBidi" w:hAnsiTheme="minorBidi"/>
          <w:b/>
          <w:sz w:val="24"/>
        </w:rPr>
        <w:t>遗留和交叉污染研究（针对有自动液体处理系统的器械）</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_Toc479653375 \h </w:instrText>
      </w:r>
      <w:r>
        <w:rPr>
          <w:rFonts w:asciiTheme="minorBidi" w:hAnsiTheme="minorBidi"/>
          <w:sz w:val="24"/>
        </w:rPr>
        <w:fldChar w:fldCharType="separate"/>
      </w:r>
      <w:r>
        <w:rPr>
          <w:rFonts w:asciiTheme="minorBidi" w:hAnsiTheme="minorBidi"/>
          <w:sz w:val="24"/>
        </w:rPr>
        <w:t>10</w:t>
      </w:r>
      <w:r>
        <w:rPr>
          <w:rFonts w:asciiTheme="minorBidi" w:hAnsiTheme="minorBidi"/>
          <w:sz w:val="24"/>
        </w:rPr>
        <w:fldChar w:fldCharType="end"/>
      </w:r>
      <w:r>
        <w:rPr>
          <w:rFonts w:asciiTheme="minorBidi" w:hAnsiTheme="minorBidi"/>
          <w:sz w:val="24"/>
        </w:rPr>
        <w:fldChar w:fldCharType="end"/>
      </w:r>
    </w:p>
    <w:p w14:paraId="22308981">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"_Toc479653376" </w:instrText>
      </w:r>
      <w:r>
        <w:fldChar w:fldCharType="separate"/>
      </w:r>
      <w:r>
        <w:rPr>
          <w:rStyle w:val="12"/>
          <w:rFonts w:asciiTheme="minorBidi" w:hAnsiTheme="minorBidi"/>
          <w:b/>
          <w:sz w:val="24"/>
        </w:rPr>
        <w:t>标本储存和运输条件</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_Toc479653376 \h </w:instrText>
      </w:r>
      <w:r>
        <w:rPr>
          <w:rFonts w:asciiTheme="minorBidi" w:hAnsiTheme="minorBidi"/>
          <w:sz w:val="24"/>
        </w:rPr>
        <w:fldChar w:fldCharType="separate"/>
      </w:r>
      <w:r>
        <w:rPr>
          <w:rFonts w:asciiTheme="minorBidi" w:hAnsiTheme="minorBidi"/>
          <w:sz w:val="24"/>
        </w:rPr>
        <w:t>10</w:t>
      </w:r>
      <w:r>
        <w:rPr>
          <w:rFonts w:asciiTheme="minorBidi" w:hAnsiTheme="minorBidi"/>
          <w:sz w:val="24"/>
        </w:rPr>
        <w:fldChar w:fldCharType="end"/>
      </w:r>
      <w:r>
        <w:rPr>
          <w:rFonts w:asciiTheme="minorBidi" w:hAnsiTheme="minorBidi"/>
          <w:sz w:val="24"/>
        </w:rPr>
        <w:fldChar w:fldCharType="end"/>
      </w:r>
    </w:p>
    <w:p w14:paraId="57C89424">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"_Toc479653377" </w:instrText>
      </w:r>
      <w:r>
        <w:fldChar w:fldCharType="separate"/>
      </w:r>
      <w:r>
        <w:rPr>
          <w:rStyle w:val="12"/>
          <w:rFonts w:asciiTheme="minorBidi" w:hAnsiTheme="minorBidi"/>
          <w:b/>
          <w:sz w:val="24"/>
        </w:rPr>
        <w:t>试剂储存和运输条件</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_Toc479653377 \h </w:instrText>
      </w:r>
      <w:r>
        <w:rPr>
          <w:rFonts w:asciiTheme="minorBidi" w:hAnsiTheme="minorBidi"/>
          <w:sz w:val="24"/>
        </w:rPr>
        <w:fldChar w:fldCharType="separate"/>
      </w:r>
      <w:r>
        <w:rPr>
          <w:rFonts w:asciiTheme="minorBidi" w:hAnsiTheme="minorBidi"/>
          <w:sz w:val="24"/>
        </w:rPr>
        <w:t>10</w:t>
      </w:r>
      <w:r>
        <w:rPr>
          <w:rFonts w:asciiTheme="minorBidi" w:hAnsiTheme="minorBidi"/>
          <w:sz w:val="24"/>
        </w:rPr>
        <w:fldChar w:fldCharType="end"/>
      </w:r>
      <w:r>
        <w:rPr>
          <w:rFonts w:asciiTheme="minorBidi" w:hAnsiTheme="minorBidi"/>
          <w:sz w:val="24"/>
        </w:rPr>
        <w:fldChar w:fldCharType="end"/>
      </w:r>
    </w:p>
    <w:p w14:paraId="1A8FCF59">
      <w:pPr>
        <w:pStyle w:val="8"/>
        <w:tabs>
          <w:tab w:val="left" w:pos="1050"/>
          <w:tab w:val="right" w:leader="dot" w:pos="9628"/>
        </w:tabs>
        <w:adjustRightInd w:val="0"/>
        <w:snapToGrid w:val="0"/>
        <w:spacing w:line="288" w:lineRule="auto"/>
        <w:rPr>
          <w:rFonts w:asciiTheme="minorBidi" w:hAnsiTheme="minorBidi"/>
          <w:sz w:val="24"/>
        </w:rPr>
      </w:pPr>
      <w:r>
        <w:fldChar w:fldCharType="begin"/>
      </w:r>
      <w:r>
        <w:instrText xml:space="preserve"> HYPERLINK \l "_Toc479653378" </w:instrText>
      </w:r>
      <w:r>
        <w:fldChar w:fldCharType="separate"/>
      </w:r>
      <w:r>
        <w:rPr>
          <w:rStyle w:val="12"/>
          <w:rFonts w:asciiTheme="minorBidi" w:hAnsiTheme="minorBidi"/>
          <w:b/>
          <w:sz w:val="24"/>
        </w:rPr>
        <w:t>B.</w:t>
      </w:r>
      <w:r>
        <w:rPr>
          <w:rFonts w:asciiTheme="minorBidi" w:hAnsiTheme="minorBidi"/>
          <w:sz w:val="24"/>
        </w:rPr>
        <w:tab/>
      </w:r>
      <w:r>
        <w:rPr>
          <w:rStyle w:val="12"/>
          <w:rFonts w:asciiTheme="minorBidi" w:hAnsiTheme="minorBidi"/>
          <w:b/>
          <w:sz w:val="24"/>
        </w:rPr>
        <w:t>临床性能研究</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_Toc479653378 \h </w:instrText>
      </w:r>
      <w:r>
        <w:rPr>
          <w:rFonts w:asciiTheme="minorBidi" w:hAnsiTheme="minorBidi"/>
          <w:sz w:val="24"/>
        </w:rPr>
        <w:fldChar w:fldCharType="separate"/>
      </w:r>
      <w:r>
        <w:rPr>
          <w:rFonts w:asciiTheme="minorBidi" w:hAnsiTheme="minorBidi"/>
          <w:sz w:val="24"/>
        </w:rPr>
        <w:t>10</w:t>
      </w:r>
      <w:r>
        <w:rPr>
          <w:rFonts w:asciiTheme="minorBidi" w:hAnsiTheme="minorBidi"/>
          <w:sz w:val="24"/>
        </w:rPr>
        <w:fldChar w:fldCharType="end"/>
      </w:r>
      <w:r>
        <w:rPr>
          <w:rFonts w:asciiTheme="minorBidi" w:hAnsiTheme="minorBidi"/>
          <w:sz w:val="24"/>
        </w:rPr>
        <w:fldChar w:fldCharType="end"/>
      </w:r>
    </w:p>
    <w:p w14:paraId="2DBDE794">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"_Toc479653379" </w:instrText>
      </w:r>
      <w:r>
        <w:fldChar w:fldCharType="separate"/>
      </w:r>
      <w:r>
        <w:rPr>
          <w:rStyle w:val="12"/>
          <w:rFonts w:asciiTheme="minorBidi" w:hAnsiTheme="minorBidi"/>
          <w:b/>
          <w:sz w:val="24"/>
        </w:rPr>
        <w:t>指南注意事项</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_Toc479653379 \h </w:instrText>
      </w:r>
      <w:r>
        <w:rPr>
          <w:rFonts w:asciiTheme="minorBidi" w:hAnsiTheme="minorBidi"/>
          <w:sz w:val="24"/>
        </w:rPr>
        <w:fldChar w:fldCharType="separate"/>
      </w:r>
      <w:r>
        <w:rPr>
          <w:rFonts w:asciiTheme="minorBidi" w:hAnsiTheme="minorBidi"/>
          <w:sz w:val="24"/>
        </w:rPr>
        <w:t>10</w:t>
      </w:r>
      <w:r>
        <w:rPr>
          <w:rFonts w:asciiTheme="minorBidi" w:hAnsiTheme="minorBidi"/>
          <w:sz w:val="24"/>
        </w:rPr>
        <w:fldChar w:fldCharType="end"/>
      </w:r>
      <w:r>
        <w:rPr>
          <w:rFonts w:asciiTheme="minorBidi" w:hAnsiTheme="minorBidi"/>
          <w:sz w:val="24"/>
        </w:rPr>
        <w:fldChar w:fldCharType="end"/>
      </w:r>
    </w:p>
    <w:p w14:paraId="3B8420E7">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"_Toc479653380" </w:instrText>
      </w:r>
      <w:r>
        <w:fldChar w:fldCharType="separate"/>
      </w:r>
      <w:r>
        <w:rPr>
          <w:rStyle w:val="12"/>
          <w:rFonts w:asciiTheme="minorBidi" w:hAnsiTheme="minorBidi"/>
          <w:b/>
          <w:sz w:val="24"/>
        </w:rPr>
        <w:t>预期用途</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_Toc479653380 \h </w:instrText>
      </w:r>
      <w:r>
        <w:rPr>
          <w:rFonts w:asciiTheme="minorBidi" w:hAnsiTheme="minorBidi"/>
          <w:sz w:val="24"/>
        </w:rPr>
        <w:fldChar w:fldCharType="separate"/>
      </w:r>
      <w:r>
        <w:rPr>
          <w:rFonts w:asciiTheme="minorBidi" w:hAnsiTheme="minorBidi"/>
          <w:sz w:val="24"/>
        </w:rPr>
        <w:t>11</w:t>
      </w:r>
      <w:r>
        <w:rPr>
          <w:rFonts w:asciiTheme="minorBidi" w:hAnsiTheme="minorBidi"/>
          <w:sz w:val="24"/>
        </w:rPr>
        <w:fldChar w:fldCharType="end"/>
      </w:r>
      <w:r>
        <w:rPr>
          <w:rFonts w:asciiTheme="minorBidi" w:hAnsiTheme="minorBidi"/>
          <w:sz w:val="24"/>
        </w:rPr>
        <w:fldChar w:fldCharType="end"/>
      </w:r>
    </w:p>
    <w:p w14:paraId="4BFD2B57">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"_Toc479653381" </w:instrText>
      </w:r>
      <w:r>
        <w:fldChar w:fldCharType="separate"/>
      </w:r>
      <w:r>
        <w:rPr>
          <w:rStyle w:val="12"/>
          <w:rFonts w:asciiTheme="minorBidi" w:hAnsiTheme="minorBidi"/>
          <w:b/>
          <w:sz w:val="24"/>
        </w:rPr>
        <w:t>ASC-US分类辅助预期用途（和很可能的任何其他预期用途）中常见的通用研究设计注意事项：</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_Toc479653381 \h </w:instrText>
      </w:r>
      <w:r>
        <w:rPr>
          <w:rFonts w:asciiTheme="minorBidi" w:hAnsiTheme="minorBidi"/>
          <w:sz w:val="24"/>
        </w:rPr>
        <w:fldChar w:fldCharType="separate"/>
      </w:r>
      <w:r>
        <w:rPr>
          <w:rFonts w:asciiTheme="minorBidi" w:hAnsiTheme="minorBidi"/>
          <w:sz w:val="24"/>
        </w:rPr>
        <w:t>11</w:t>
      </w:r>
      <w:r>
        <w:rPr>
          <w:rFonts w:asciiTheme="minorBidi" w:hAnsiTheme="minorBidi"/>
          <w:sz w:val="24"/>
        </w:rPr>
        <w:fldChar w:fldCharType="end"/>
      </w:r>
      <w:r>
        <w:rPr>
          <w:rFonts w:asciiTheme="minorBidi" w:hAnsiTheme="minorBidi"/>
          <w:sz w:val="24"/>
        </w:rPr>
        <w:fldChar w:fldCharType="end"/>
      </w:r>
    </w:p>
    <w:p w14:paraId="30B0B48A">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"_Toc479653382" </w:instrText>
      </w:r>
      <w:r>
        <w:fldChar w:fldCharType="separate"/>
      </w:r>
      <w:r>
        <w:rPr>
          <w:rStyle w:val="12"/>
          <w:rFonts w:asciiTheme="minorBidi" w:hAnsiTheme="minorBidi"/>
          <w:b/>
          <w:sz w:val="24"/>
        </w:rPr>
        <w:t>ASC-US分类预期用途 – 高风险HPV测试</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_Toc479653382 \h </w:instrText>
      </w:r>
      <w:r>
        <w:rPr>
          <w:rFonts w:asciiTheme="minorBidi" w:hAnsiTheme="minorBidi"/>
          <w:sz w:val="24"/>
        </w:rPr>
        <w:fldChar w:fldCharType="separate"/>
      </w:r>
      <w:r>
        <w:rPr>
          <w:rFonts w:asciiTheme="minorBidi" w:hAnsiTheme="minorBidi"/>
          <w:sz w:val="24"/>
        </w:rPr>
        <w:t>16</w:t>
      </w:r>
      <w:r>
        <w:rPr>
          <w:rFonts w:asciiTheme="minorBidi" w:hAnsiTheme="minorBidi"/>
          <w:sz w:val="24"/>
        </w:rPr>
        <w:fldChar w:fldCharType="end"/>
      </w:r>
      <w:r>
        <w:rPr>
          <w:rFonts w:asciiTheme="minorBidi" w:hAnsiTheme="minorBidi"/>
          <w:sz w:val="24"/>
        </w:rPr>
        <w:fldChar w:fldCharType="end"/>
      </w:r>
    </w:p>
    <w:p w14:paraId="47B832F5">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"_Toc479653383" </w:instrText>
      </w:r>
      <w:r>
        <w:fldChar w:fldCharType="separate"/>
      </w:r>
      <w:r>
        <w:rPr>
          <w:rStyle w:val="12"/>
          <w:rFonts w:asciiTheme="minorBidi" w:hAnsiTheme="minorBidi"/>
          <w:b/>
          <w:sz w:val="24"/>
        </w:rPr>
        <w:t>ASC-US人群 – HPV基因分型测试</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_Toc479653383 \h </w:instrText>
      </w:r>
      <w:r>
        <w:rPr>
          <w:rFonts w:asciiTheme="minorBidi" w:hAnsiTheme="minorBidi"/>
          <w:sz w:val="24"/>
        </w:rPr>
        <w:fldChar w:fldCharType="separate"/>
      </w:r>
      <w:r>
        <w:rPr>
          <w:rFonts w:asciiTheme="minorBidi" w:hAnsiTheme="minorBidi"/>
          <w:sz w:val="24"/>
        </w:rPr>
        <w:t>19</w:t>
      </w:r>
      <w:r>
        <w:rPr>
          <w:rFonts w:asciiTheme="minorBidi" w:hAnsiTheme="minorBidi"/>
          <w:sz w:val="24"/>
        </w:rPr>
        <w:fldChar w:fldCharType="end"/>
      </w:r>
      <w:r>
        <w:rPr>
          <w:rFonts w:asciiTheme="minorBidi" w:hAnsiTheme="minorBidi"/>
          <w:sz w:val="24"/>
        </w:rPr>
        <w:fldChar w:fldCharType="end"/>
      </w:r>
    </w:p>
    <w:p w14:paraId="4967302B">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"_Toc479653384" </w:instrText>
      </w:r>
      <w:r>
        <w:fldChar w:fldCharType="separate"/>
      </w:r>
      <w:r>
        <w:rPr>
          <w:rStyle w:val="12"/>
          <w:rFonts w:asciiTheme="minorBidi" w:hAnsiTheme="minorBidi"/>
          <w:b/>
          <w:sz w:val="24"/>
        </w:rPr>
        <w:t>辅助预期用途 – 高风险HPV测试</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_Toc479653384 \h </w:instrText>
      </w:r>
      <w:r>
        <w:rPr>
          <w:rFonts w:asciiTheme="minorBidi" w:hAnsiTheme="minorBidi"/>
          <w:sz w:val="24"/>
        </w:rPr>
        <w:fldChar w:fldCharType="separate"/>
      </w:r>
      <w:r>
        <w:rPr>
          <w:rFonts w:asciiTheme="minorBidi" w:hAnsiTheme="minorBidi"/>
          <w:sz w:val="24"/>
        </w:rPr>
        <w:t>20</w:t>
      </w:r>
      <w:r>
        <w:rPr>
          <w:rFonts w:asciiTheme="minorBidi" w:hAnsiTheme="minorBidi"/>
          <w:sz w:val="24"/>
        </w:rPr>
        <w:fldChar w:fldCharType="end"/>
      </w:r>
      <w:r>
        <w:rPr>
          <w:rFonts w:asciiTheme="minorBidi" w:hAnsiTheme="minorBidi"/>
          <w:sz w:val="24"/>
        </w:rPr>
        <w:fldChar w:fldCharType="end"/>
      </w:r>
    </w:p>
    <w:p w14:paraId="195F0DAB">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"_Toc479653385" </w:instrText>
      </w:r>
      <w:r>
        <w:fldChar w:fldCharType="separate"/>
      </w:r>
      <w:r>
        <w:rPr>
          <w:rStyle w:val="12"/>
          <w:rFonts w:asciiTheme="minorBidi" w:hAnsiTheme="minorBidi"/>
          <w:b/>
          <w:sz w:val="24"/>
        </w:rPr>
        <w:t>辅助预期用途 – HPV基因分型测试</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_Toc479653385 \h </w:instrText>
      </w:r>
      <w:r>
        <w:rPr>
          <w:rFonts w:asciiTheme="minorBidi" w:hAnsiTheme="minorBidi"/>
          <w:sz w:val="24"/>
        </w:rPr>
        <w:fldChar w:fldCharType="separate"/>
      </w:r>
      <w:r>
        <w:rPr>
          <w:rFonts w:asciiTheme="minorBidi" w:hAnsiTheme="minorBidi"/>
          <w:sz w:val="24"/>
        </w:rPr>
        <w:t>22</w:t>
      </w:r>
      <w:r>
        <w:rPr>
          <w:rFonts w:asciiTheme="minorBidi" w:hAnsiTheme="minorBidi"/>
          <w:sz w:val="24"/>
        </w:rPr>
        <w:fldChar w:fldCharType="end"/>
      </w:r>
      <w:r>
        <w:rPr>
          <w:rFonts w:asciiTheme="minorBidi" w:hAnsiTheme="minorBidi"/>
          <w:sz w:val="24"/>
        </w:rPr>
        <w:fldChar w:fldCharType="end"/>
      </w:r>
    </w:p>
    <w:p w14:paraId="49523AAF">
      <w:pPr>
        <w:pStyle w:val="8"/>
        <w:tabs>
          <w:tab w:val="left" w:pos="1050"/>
          <w:tab w:val="right" w:leader="dot" w:pos="9628"/>
        </w:tabs>
        <w:adjustRightInd w:val="0"/>
        <w:snapToGrid w:val="0"/>
        <w:spacing w:line="288" w:lineRule="auto"/>
        <w:rPr>
          <w:rFonts w:asciiTheme="minorBidi" w:hAnsiTheme="minorBidi"/>
          <w:sz w:val="24"/>
        </w:rPr>
      </w:pPr>
      <w:r>
        <w:fldChar w:fldCharType="begin"/>
      </w:r>
      <w:r>
        <w:instrText xml:space="preserve"> HYPERLINK \l "_Toc479653386" </w:instrText>
      </w:r>
      <w:r>
        <w:fldChar w:fldCharType="separate"/>
      </w:r>
      <w:r>
        <w:rPr>
          <w:rStyle w:val="12"/>
          <w:rFonts w:asciiTheme="minorBidi" w:hAnsiTheme="minorBidi"/>
          <w:b/>
          <w:sz w:val="24"/>
        </w:rPr>
        <w:t>C.</w:t>
      </w:r>
      <w:r>
        <w:rPr>
          <w:rFonts w:asciiTheme="minorBidi" w:hAnsiTheme="minorBidi"/>
          <w:sz w:val="24"/>
        </w:rPr>
        <w:tab/>
      </w:r>
      <w:r>
        <w:rPr>
          <w:rStyle w:val="12"/>
          <w:rFonts w:asciiTheme="minorBidi" w:hAnsiTheme="minorBidi"/>
          <w:b/>
          <w:sz w:val="24"/>
        </w:rPr>
        <w:t>对照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_Toc479653386 \h </w:instrText>
      </w:r>
      <w:r>
        <w:rPr>
          <w:rFonts w:asciiTheme="minorBidi" w:hAnsiTheme="minorBidi"/>
          <w:sz w:val="24"/>
        </w:rPr>
        <w:fldChar w:fldCharType="separate"/>
      </w:r>
      <w:r>
        <w:rPr>
          <w:rFonts w:asciiTheme="minorBidi" w:hAnsiTheme="minorBidi"/>
          <w:sz w:val="24"/>
        </w:rPr>
        <w:t>22</w:t>
      </w:r>
      <w:r>
        <w:rPr>
          <w:rFonts w:asciiTheme="minorBidi" w:hAnsiTheme="minorBidi"/>
          <w:sz w:val="24"/>
        </w:rPr>
        <w:fldChar w:fldCharType="end"/>
      </w:r>
      <w:r>
        <w:rPr>
          <w:rFonts w:asciiTheme="minorBidi" w:hAnsiTheme="minorBidi"/>
          <w:sz w:val="24"/>
        </w:rPr>
        <w:fldChar w:fldCharType="end"/>
      </w:r>
    </w:p>
    <w:p w14:paraId="121D43BE">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"_Toc479653387" </w:instrText>
      </w:r>
      <w:r>
        <w:fldChar w:fldCharType="separate"/>
      </w:r>
      <w:r>
        <w:rPr>
          <w:rStyle w:val="12"/>
          <w:rFonts w:asciiTheme="minorBidi" w:hAnsiTheme="minorBidi"/>
          <w:b/>
          <w:sz w:val="24"/>
        </w:rPr>
        <w:t>外部对照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_Toc479653387 \h </w:instrText>
      </w:r>
      <w:r>
        <w:rPr>
          <w:rFonts w:asciiTheme="minorBidi" w:hAnsiTheme="minorBidi"/>
          <w:sz w:val="24"/>
        </w:rPr>
        <w:fldChar w:fldCharType="separate"/>
      </w:r>
      <w:r>
        <w:rPr>
          <w:rFonts w:asciiTheme="minorBidi" w:hAnsiTheme="minorBidi"/>
          <w:sz w:val="24"/>
        </w:rPr>
        <w:t>23</w:t>
      </w:r>
      <w:r>
        <w:rPr>
          <w:rFonts w:asciiTheme="minorBidi" w:hAnsiTheme="minorBidi"/>
          <w:sz w:val="24"/>
        </w:rPr>
        <w:fldChar w:fldCharType="end"/>
      </w:r>
      <w:r>
        <w:rPr>
          <w:rFonts w:asciiTheme="minorBidi" w:hAnsiTheme="minorBidi"/>
          <w:sz w:val="24"/>
        </w:rPr>
        <w:fldChar w:fldCharType="end"/>
      </w:r>
    </w:p>
    <w:p w14:paraId="0EEC641B">
      <w:pPr>
        <w:pStyle w:val="2"/>
        <w:tabs>
          <w:tab w:val="right" w:leader="dot" w:pos="9628"/>
        </w:tabs>
        <w:adjustRightInd w:val="0"/>
        <w:snapToGrid w:val="0"/>
        <w:spacing w:line="288" w:lineRule="auto"/>
        <w:rPr>
          <w:rFonts w:asciiTheme="minorBidi" w:hAnsiTheme="minorBidi"/>
          <w:sz w:val="24"/>
        </w:rPr>
      </w:pPr>
      <w:r>
        <w:fldChar w:fldCharType="begin"/>
      </w:r>
      <w:r>
        <w:instrText xml:space="preserve"> HYPERLINK \l "_Toc479653388" </w:instrText>
      </w:r>
      <w:r>
        <w:fldChar w:fldCharType="separate"/>
      </w:r>
      <w:r>
        <w:rPr>
          <w:rStyle w:val="12"/>
          <w:rFonts w:asciiTheme="minorBidi" w:hAnsiTheme="minorBidi"/>
          <w:b/>
          <w:sz w:val="24"/>
        </w:rPr>
        <w:t>内部对照</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_Toc479653388 \h </w:instrText>
      </w:r>
      <w:r>
        <w:rPr>
          <w:rFonts w:asciiTheme="minorBidi" w:hAnsiTheme="minorBidi"/>
          <w:sz w:val="24"/>
        </w:rPr>
        <w:fldChar w:fldCharType="separate"/>
      </w:r>
      <w:r>
        <w:rPr>
          <w:rFonts w:asciiTheme="minorBidi" w:hAnsiTheme="minorBidi"/>
          <w:sz w:val="24"/>
        </w:rPr>
        <w:t>23</w:t>
      </w:r>
      <w:r>
        <w:rPr>
          <w:rFonts w:asciiTheme="minorBidi" w:hAnsiTheme="minorBidi"/>
          <w:sz w:val="24"/>
        </w:rPr>
        <w:fldChar w:fldCharType="end"/>
      </w:r>
      <w:r>
        <w:rPr>
          <w:rFonts w:asciiTheme="minorBidi" w:hAnsiTheme="minorBidi"/>
          <w:sz w:val="24"/>
        </w:rPr>
        <w:fldChar w:fldCharType="end"/>
      </w:r>
    </w:p>
    <w:p w14:paraId="501BBB1A">
      <w:pPr>
        <w:pStyle w:val="6"/>
        <w:tabs>
          <w:tab w:val="left" w:pos="840"/>
          <w:tab w:val="right" w:leader="dot" w:pos="9628"/>
        </w:tabs>
        <w:adjustRightInd w:val="0"/>
        <w:snapToGrid w:val="0"/>
        <w:spacing w:line="288" w:lineRule="auto"/>
        <w:rPr>
          <w:rFonts w:asciiTheme="minorBidi" w:hAnsiTheme="minorBidi"/>
          <w:sz w:val="24"/>
        </w:rPr>
      </w:pPr>
      <w:r>
        <w:fldChar w:fldCharType="begin"/>
      </w:r>
      <w:r>
        <w:instrText xml:space="preserve"> HYPERLINK \l "_Toc479653389" </w:instrText>
      </w:r>
      <w:r>
        <w:fldChar w:fldCharType="separate"/>
      </w:r>
      <w:r>
        <w:rPr>
          <w:rStyle w:val="12"/>
          <w:rFonts w:asciiTheme="minorBidi" w:hAnsiTheme="minorBidi"/>
          <w:b/>
          <w:bCs/>
          <w:sz w:val="24"/>
        </w:rPr>
        <w:t>VI.</w:t>
      </w:r>
      <w:r>
        <w:rPr>
          <w:rFonts w:asciiTheme="minorBidi" w:hAnsiTheme="minorBidi"/>
          <w:sz w:val="24"/>
        </w:rPr>
        <w:tab/>
      </w:r>
      <w:r>
        <w:rPr>
          <w:rStyle w:val="12"/>
          <w:rFonts w:asciiTheme="minorBidi" w:hAnsiTheme="minorBidi"/>
          <w:b/>
          <w:bCs/>
          <w:sz w:val="24"/>
        </w:rPr>
        <w:t>参考文件</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_Toc479653389 \h </w:instrText>
      </w:r>
      <w:r>
        <w:rPr>
          <w:rFonts w:asciiTheme="minorBidi" w:hAnsiTheme="minorBidi"/>
          <w:sz w:val="24"/>
        </w:rPr>
        <w:fldChar w:fldCharType="separate"/>
      </w:r>
      <w:r>
        <w:rPr>
          <w:rFonts w:asciiTheme="minorBidi" w:hAnsiTheme="minorBidi"/>
          <w:sz w:val="24"/>
        </w:rPr>
        <w:t>23</w:t>
      </w:r>
      <w:r>
        <w:rPr>
          <w:rFonts w:asciiTheme="minorBidi" w:hAnsiTheme="minorBidi"/>
          <w:sz w:val="24"/>
        </w:rPr>
        <w:fldChar w:fldCharType="end"/>
      </w:r>
      <w:r>
        <w:rPr>
          <w:rFonts w:asciiTheme="minorBidi" w:hAnsiTheme="minorBidi"/>
          <w:sz w:val="24"/>
        </w:rPr>
        <w:fldChar w:fldCharType="end"/>
      </w:r>
    </w:p>
    <w:p w14:paraId="5892A17C">
      <w:pPr>
        <w:pStyle w:val="6"/>
        <w:tabs>
          <w:tab w:val="left" w:pos="840"/>
          <w:tab w:val="right" w:leader="dot" w:pos="9628"/>
        </w:tabs>
        <w:adjustRightInd w:val="0"/>
        <w:snapToGrid w:val="0"/>
        <w:spacing w:line="288" w:lineRule="auto"/>
        <w:rPr>
          <w:rFonts w:asciiTheme="minorBidi" w:hAnsiTheme="minorBidi"/>
          <w:sz w:val="24"/>
        </w:rPr>
      </w:pPr>
      <w:r>
        <w:fldChar w:fldCharType="begin"/>
      </w:r>
      <w:r>
        <w:instrText xml:space="preserve"> HYPERLINK \l "_Toc479653390" </w:instrText>
      </w:r>
      <w:r>
        <w:fldChar w:fldCharType="separate"/>
      </w:r>
      <w:r>
        <w:rPr>
          <w:rStyle w:val="12"/>
          <w:rFonts w:asciiTheme="minorBidi" w:hAnsiTheme="minorBidi"/>
          <w:b/>
          <w:bCs/>
          <w:sz w:val="24"/>
        </w:rPr>
        <w:t>VII.</w:t>
      </w:r>
      <w:r>
        <w:rPr>
          <w:rFonts w:asciiTheme="minorBidi" w:hAnsiTheme="minorBidi"/>
          <w:sz w:val="24"/>
        </w:rPr>
        <w:tab/>
      </w:r>
      <w:r>
        <w:rPr>
          <w:rStyle w:val="12"/>
          <w:rFonts w:asciiTheme="minorBidi" w:hAnsiTheme="minorBidi"/>
          <w:b/>
          <w:bCs/>
          <w:sz w:val="24"/>
        </w:rPr>
        <w:t>统计分析附录</w:t>
      </w:r>
      <w:r>
        <w:rPr>
          <w:rFonts w:asciiTheme="minorBidi" w:hAnsiTheme="minorBidi"/>
          <w:sz w:val="24"/>
        </w:rPr>
        <w:tab/>
      </w:r>
      <w:r>
        <w:rPr>
          <w:rFonts w:asciiTheme="minorBidi" w:hAnsiTheme="minorBidi"/>
          <w:sz w:val="24"/>
        </w:rPr>
        <w:fldChar w:fldCharType="begin"/>
      </w:r>
      <w:r>
        <w:rPr>
          <w:rFonts w:asciiTheme="minorBidi" w:hAnsiTheme="minorBidi"/>
          <w:sz w:val="24"/>
        </w:rPr>
        <w:instrText xml:space="preserve"> PAGEREF _Toc479653390 \h </w:instrText>
      </w:r>
      <w:r>
        <w:rPr>
          <w:rFonts w:asciiTheme="minorBidi" w:hAnsiTheme="minorBidi"/>
          <w:sz w:val="24"/>
        </w:rPr>
        <w:fldChar w:fldCharType="separate"/>
      </w:r>
      <w:r>
        <w:rPr>
          <w:rFonts w:asciiTheme="minorBidi" w:hAnsiTheme="minorBidi"/>
          <w:sz w:val="24"/>
        </w:rPr>
        <w:t>26</w:t>
      </w:r>
      <w:r>
        <w:rPr>
          <w:rFonts w:asciiTheme="minorBidi" w:hAnsiTheme="minorBidi"/>
          <w:sz w:val="24"/>
        </w:rPr>
        <w:fldChar w:fldCharType="end"/>
      </w:r>
      <w:r>
        <w:rPr>
          <w:rFonts w:asciiTheme="minorBidi" w:hAnsiTheme="minorBidi"/>
          <w:sz w:val="24"/>
        </w:rPr>
        <w:fldChar w:fldCharType="end"/>
      </w:r>
    </w:p>
    <w:p w14:paraId="16F02D10">
      <w:pPr>
        <w:adjustRightInd w:val="0"/>
        <w:snapToGrid w:val="0"/>
        <w:spacing w:before="156" w:beforeLines="50" w:line="288" w:lineRule="auto"/>
        <w:rPr>
          <w:rFonts w:asciiTheme="minorBidi" w:hAnsiTheme="minorBidi"/>
        </w:rPr>
      </w:pPr>
      <w:r>
        <w:rPr>
          <w:rFonts w:asciiTheme="minorBidi" w:hAnsiTheme="minorBidi"/>
          <w:sz w:val="24"/>
        </w:rPr>
        <w:fldChar w:fldCharType="end"/>
      </w:r>
    </w:p>
    <w:p w14:paraId="2A3C661E">
      <w:pPr>
        <w:adjustRightInd w:val="0"/>
        <w:snapToGrid w:val="0"/>
        <w:spacing w:before="156" w:beforeLines="50" w:line="300" w:lineRule="auto"/>
        <w:rPr>
          <w:rFonts w:asciiTheme="minorBidi" w:hAnsiTheme="minorBidi"/>
        </w:rPr>
        <w:sectPr>
          <w:headerReference r:id="rId4" w:type="default"/>
          <w:footerReference r:id="rId5" w:type="default"/>
          <w:pgSz w:w="11906" w:h="16838"/>
          <w:pgMar w:top="1134" w:right="1134" w:bottom="1134" w:left="1134" w:header="851" w:footer="992" w:gutter="0"/>
          <w:cols w:space="425" w:num="1"/>
          <w:docGrid w:type="lines" w:linePitch="312" w:charSpace="0"/>
        </w:sectPr>
      </w:pPr>
    </w:p>
    <w:p w14:paraId="71811E92">
      <w:pPr>
        <w:adjustRightInd w:val="0"/>
        <w:snapToGrid w:val="0"/>
        <w:spacing w:before="156" w:beforeLines="50" w:line="300" w:lineRule="auto"/>
        <w:rPr>
          <w:rFonts w:asciiTheme="minorBidi" w:hAnsiTheme="minorBidi"/>
        </w:rPr>
      </w:pPr>
    </w:p>
    <w:p w14:paraId="3BF50AC2">
      <w:pPr>
        <w:adjustRightInd w:val="0"/>
        <w:snapToGrid w:val="0"/>
        <w:spacing w:before="156" w:beforeLines="50" w:line="300" w:lineRule="auto"/>
        <w:jc w:val="center"/>
        <w:rPr>
          <w:rFonts w:asciiTheme="minorBidi" w:hAnsiTheme="minorBidi"/>
          <w:b/>
          <w:bCs/>
          <w:sz w:val="40"/>
          <w:szCs w:val="40"/>
        </w:rPr>
      </w:pPr>
      <w:r>
        <w:rPr>
          <w:rFonts w:asciiTheme="minorBidi" w:hAnsiTheme="minorBidi"/>
          <w:b/>
          <w:bCs/>
          <w:sz w:val="40"/>
          <w:szCs w:val="40"/>
        </w:rPr>
        <w:t>行业和食品药品监督</w:t>
      </w:r>
    </w:p>
    <w:p w14:paraId="18463784">
      <w:pPr>
        <w:pBdr>
          <w:bottom w:val="single" w:color="auto" w:sz="4" w:space="0"/>
        </w:pBdr>
        <w:adjustRightInd w:val="0"/>
        <w:snapToGrid w:val="0"/>
        <w:spacing w:before="156" w:beforeLines="50" w:line="300" w:lineRule="auto"/>
        <w:jc w:val="center"/>
        <w:rPr>
          <w:rFonts w:asciiTheme="minorBidi" w:hAnsiTheme="minorBidi"/>
          <w:sz w:val="40"/>
          <w:szCs w:val="40"/>
        </w:rPr>
      </w:pPr>
      <w:r>
        <w:rPr>
          <w:rFonts w:asciiTheme="minorBidi" w:hAnsiTheme="minorBidi"/>
          <w:b/>
          <w:bCs/>
          <w:sz w:val="40"/>
          <w:szCs w:val="40"/>
        </w:rPr>
        <w:t>管理局工作人员指南</w:t>
      </w:r>
    </w:p>
    <w:p w14:paraId="7FCAEA57">
      <w:pPr>
        <w:adjustRightInd w:val="0"/>
        <w:snapToGrid w:val="0"/>
        <w:spacing w:before="156" w:beforeLines="50" w:line="300" w:lineRule="auto"/>
        <w:jc w:val="center"/>
        <w:rPr>
          <w:rFonts w:asciiTheme="minorBidi" w:hAnsiTheme="minorBidi"/>
          <w:b/>
          <w:bCs/>
          <w:sz w:val="40"/>
          <w:szCs w:val="40"/>
        </w:rPr>
      </w:pPr>
      <w:r>
        <w:rPr>
          <w:rFonts w:asciiTheme="minorBidi" w:hAnsiTheme="minorBidi"/>
          <w:b/>
          <w:bCs/>
          <w:sz w:val="40"/>
          <w:szCs w:val="40"/>
        </w:rPr>
        <w:t>确立用于检测或检测区分</w:t>
      </w:r>
    </w:p>
    <w:p w14:paraId="29DA760A">
      <w:pPr>
        <w:adjustRightInd w:val="0"/>
        <w:snapToGrid w:val="0"/>
        <w:spacing w:before="156" w:beforeLines="50" w:line="300" w:lineRule="auto"/>
        <w:jc w:val="center"/>
        <w:rPr>
          <w:rFonts w:asciiTheme="minorBidi" w:hAnsiTheme="minorBidi"/>
          <w:b/>
          <w:bCs/>
          <w:sz w:val="40"/>
          <w:szCs w:val="40"/>
        </w:rPr>
      </w:pPr>
      <w:r>
        <w:rPr>
          <w:rFonts w:asciiTheme="minorBidi" w:hAnsiTheme="minorBidi"/>
          <w:b/>
          <w:bCs/>
          <w:sz w:val="40"/>
          <w:szCs w:val="40"/>
        </w:rPr>
        <w:t>人乳头瘤病毒的体外诊断器械</w:t>
      </w:r>
    </w:p>
    <w:p w14:paraId="296C0303">
      <w:pPr>
        <w:adjustRightInd w:val="0"/>
        <w:snapToGrid w:val="0"/>
        <w:spacing w:before="156" w:beforeLines="50" w:line="300" w:lineRule="auto"/>
        <w:jc w:val="center"/>
        <w:rPr>
          <w:rFonts w:asciiTheme="minorBidi" w:hAnsiTheme="minorBidi"/>
          <w:b/>
          <w:bCs/>
          <w:sz w:val="40"/>
          <w:szCs w:val="40"/>
        </w:rPr>
      </w:pPr>
      <w:r>
        <w:rPr>
          <w:rFonts w:asciiTheme="minorBidi" w:hAnsiTheme="minorBidi"/>
          <w:b/>
          <w:bCs/>
          <w:sz w:val="40"/>
          <w:szCs w:val="40"/>
        </w:rPr>
        <w:t>性能特征</w:t>
      </w:r>
    </w:p>
    <w:p w14:paraId="25AF585E">
      <w:pPr>
        <w:adjustRightInd w:val="0"/>
        <w:snapToGrid w:val="0"/>
        <w:spacing w:before="156" w:beforeLines="50" w:line="300" w:lineRule="auto"/>
        <w:rPr>
          <w:rFonts w:asciiTheme="minorBidi" w:hAnsiTheme="minorBidi"/>
        </w:rPr>
      </w:pPr>
    </w:p>
    <w:p w14:paraId="19883268">
      <w:pPr>
        <w:adjustRightInd w:val="0"/>
        <w:snapToGrid w:val="0"/>
        <w:spacing w:before="156" w:beforeLines="50" w:line="300" w:lineRule="auto"/>
        <w:rPr>
          <w:rFonts w:asciiTheme="minorBidi" w:hAnsiTheme="minorBidi"/>
        </w:rPr>
      </w:pPr>
    </w:p>
    <w:p w14:paraId="6B01797F">
      <w:pPr>
        <w:adjustRightInd w:val="0"/>
        <w:snapToGrid w:val="0"/>
        <w:spacing w:before="156" w:beforeLines="50" w:line="300" w:lineRule="auto"/>
        <w:rPr>
          <w:rFonts w:asciiTheme="minorBidi" w:hAnsiTheme="minorBidi"/>
        </w:rPr>
      </w:pPr>
    </w:p>
    <w:p w14:paraId="07E5FCB8">
      <w:pPr>
        <w:pBdr>
          <w:top w:val="thinThickThinSmallGap" w:color="auto" w:sz="24" w:space="1"/>
          <w:left w:val="thinThickThinSmallGap" w:color="auto" w:sz="24" w:space="4"/>
          <w:bottom w:val="thinThickThinSmallGap" w:color="auto" w:sz="24" w:space="1"/>
          <w:right w:val="thinThickThinSmallGap" w:color="auto" w:sz="24" w:space="4"/>
        </w:pBdr>
        <w:adjustRightInd w:val="0"/>
        <w:snapToGrid w:val="0"/>
        <w:spacing w:before="156" w:beforeLines="50" w:line="300" w:lineRule="auto"/>
        <w:rPr>
          <w:rFonts w:asciiTheme="minorBidi" w:hAnsiTheme="minorBidi"/>
          <w:b/>
          <w:bCs/>
          <w:i/>
          <w:iCs/>
          <w:sz w:val="24"/>
        </w:rPr>
      </w:pPr>
      <w:r>
        <w:rPr>
          <w:rFonts w:asciiTheme="minorBidi" w:hAnsiTheme="minorBidi"/>
          <w:b/>
          <w:bCs/>
          <w:i/>
          <w:iCs/>
          <w:sz w:val="24"/>
        </w:rPr>
        <w:t>本指南代表食品药品监督管理局（FDA）当前对本主题的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p w14:paraId="53B9322E">
      <w:pPr>
        <w:adjustRightInd w:val="0"/>
        <w:snapToGrid w:val="0"/>
        <w:spacing w:before="156" w:beforeLines="50" w:line="300" w:lineRule="auto"/>
        <w:rPr>
          <w:rFonts w:asciiTheme="minorBidi" w:hAnsiTheme="minorBidi"/>
        </w:rPr>
      </w:pPr>
    </w:p>
    <w:p w14:paraId="4E4C3A45">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0" w:name="_Toc479653364"/>
      <w:r>
        <w:rPr>
          <w:rFonts w:asciiTheme="minorBidi" w:hAnsiTheme="minorBidi"/>
          <w:b/>
          <w:bCs/>
          <w:sz w:val="30"/>
          <w:szCs w:val="30"/>
        </w:rPr>
        <w:t>简介</w:t>
      </w:r>
      <w:bookmarkEnd w:id="0"/>
    </w:p>
    <w:p w14:paraId="26DFAA30">
      <w:pPr>
        <w:adjustRightInd w:val="0"/>
        <w:snapToGrid w:val="0"/>
        <w:spacing w:before="156" w:beforeLines="50" w:line="300" w:lineRule="auto"/>
        <w:rPr>
          <w:rFonts w:asciiTheme="minorBidi" w:hAnsiTheme="minorBidi"/>
          <w:sz w:val="24"/>
        </w:rPr>
      </w:pPr>
      <w:r>
        <w:rPr>
          <w:rFonts w:asciiTheme="minorBidi" w:hAnsiTheme="minorBidi"/>
          <w:sz w:val="24"/>
        </w:rPr>
        <w:t>食品药品监督管理局发布本指南的目的是为行业和机构工作人员提供建议，进行研究以确立预期用于检测或检测区分人乳头瘤病毒的体外诊断器械（IVD）性能特征。这些器械与宫颈细胞学一同使用，以辅助进行宫颈癌筛查。其包括可检测一组人乳头瘤病毒（HPV）基因型的器械，尤其是高风险人乳头瘤病毒，以及检测一种以上HPV基因型并对其做进一步区分以指明存在哪种（哪些）HPV基因型的器械。已识别到100余种HPV基因型，其中约40种可影响生殖道【参考文件1】。HPV的“高风险”类型感染事实上被视为所有宫颈癌的必要病因【参考文件2】。约15种HPV基因型被视为致癌或“高风险”【参考文件3和20】。“高风险HPV测试”指检测但不区分不同类型HPV的HPV IVD器械，而“HPV基因分型测试” 指检测并进一步区分不同类型HPV的HPV IVD器械。本文件中，“HPV”指“高风险 HPV”，除非另有说明。</w:t>
      </w:r>
    </w:p>
    <w:p w14:paraId="2A922F32">
      <w:pPr>
        <w:adjustRightInd w:val="0"/>
        <w:snapToGrid w:val="0"/>
        <w:spacing w:before="156" w:beforeLines="50" w:line="300" w:lineRule="auto"/>
        <w:rPr>
          <w:rFonts w:asciiTheme="minorBidi" w:hAnsiTheme="minorBidi"/>
          <w:sz w:val="24"/>
        </w:rPr>
      </w:pPr>
    </w:p>
    <w:p w14:paraId="6994192C">
      <w:pPr>
        <w:adjustRightInd w:val="0"/>
        <w:snapToGrid w:val="0"/>
        <w:spacing w:before="156" w:beforeLines="50" w:line="300" w:lineRule="auto"/>
        <w:rPr>
          <w:rFonts w:asciiTheme="minorBidi" w:hAnsiTheme="minorBidi"/>
          <w:sz w:val="24"/>
        </w:rPr>
      </w:pPr>
    </w:p>
    <w:p w14:paraId="2032B9DC">
      <w:pPr>
        <w:adjustRightInd w:val="0"/>
        <w:snapToGrid w:val="0"/>
        <w:spacing w:before="156" w:beforeLines="50" w:line="300" w:lineRule="auto"/>
        <w:rPr>
          <w:rFonts w:asciiTheme="minorBidi" w:hAnsiTheme="minorBidi"/>
          <w:sz w:val="24"/>
        </w:rPr>
      </w:pPr>
      <w:r>
        <w:rPr>
          <w:rFonts w:asciiTheme="minorBidi" w:hAnsiTheme="minorBidi"/>
          <w:sz w:val="24"/>
        </w:rPr>
        <w:t>本指南提供关于食品药品监督管理局（FDA）推荐用以支持这些器械上市前应用（PMA）的研究类型的详细信息。我们建议贵公司在开始贵公司的研究前联系OIVD，以讨论贵公司器械的具体研究提案和性能目标。</w:t>
      </w:r>
    </w:p>
    <w:p w14:paraId="3EE61383">
      <w:pPr>
        <w:adjustRightInd w:val="0"/>
        <w:snapToGrid w:val="0"/>
        <w:spacing w:before="156" w:beforeLines="50" w:line="300" w:lineRule="auto"/>
        <w:rPr>
          <w:rFonts w:asciiTheme="minorBidi" w:hAnsiTheme="minorBidi"/>
          <w:sz w:val="24"/>
        </w:rPr>
      </w:pPr>
      <w:r>
        <w:rPr>
          <w:rFonts w:asciiTheme="minorBidi" w:hAnsiTheme="minorBidi"/>
          <w:sz w:val="24"/>
        </w:rPr>
        <w:t>本指南限制为预期确立体外诊断HPV器械性能特征的研究，这些器械用于与宫颈细胞学一同使用，进行宫颈癌筛查。其不讨论预期独立于宫颈细胞学结果使用的HPV器械。本指南特别讨论了定性检测宫颈标本中HPV核酸的器械，但很多建议也适用于检测HPV蛋白的器械。关于本指南文件中所包含内容的更多详细信息，请参见第III章范围。</w:t>
      </w:r>
    </w:p>
    <w:p w14:paraId="7FAA6614">
      <w:pPr>
        <w:adjustRightInd w:val="0"/>
        <w:snapToGrid w:val="0"/>
        <w:spacing w:before="156" w:beforeLines="50" w:line="300" w:lineRule="auto"/>
        <w:rPr>
          <w:rFonts w:asciiTheme="minorBidi" w:hAnsiTheme="minorBidi"/>
          <w:sz w:val="24"/>
        </w:rPr>
      </w:pPr>
      <w:r>
        <w:rPr>
          <w:rFonts w:asciiTheme="minorBidi" w:hAnsiTheme="minorBidi"/>
          <w:sz w:val="24"/>
        </w:rPr>
        <w:t>食品药品监督管理局指南文件，包括本指南，均不设立法律上的可执行责任。相反，指南描述了机构当前对某一主题的见解，仅应视作建议，除非引入了具体监管或法定要求。机构指南中词语应指建议或推荐某事，而非要求。</w:t>
      </w:r>
    </w:p>
    <w:p w14:paraId="7A6AD40D">
      <w:pPr>
        <w:adjustRightInd w:val="0"/>
        <w:snapToGrid w:val="0"/>
        <w:spacing w:before="156" w:beforeLines="50" w:line="300" w:lineRule="auto"/>
        <w:rPr>
          <w:rFonts w:asciiTheme="minorBidi" w:hAnsiTheme="minorBidi"/>
          <w:sz w:val="24"/>
        </w:rPr>
      </w:pPr>
    </w:p>
    <w:p w14:paraId="40E0D0CE">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1" w:name="_Toc479653365"/>
      <w:r>
        <w:rPr>
          <w:rFonts w:asciiTheme="minorBidi" w:hAnsiTheme="minorBidi"/>
          <w:b/>
          <w:bCs/>
          <w:sz w:val="30"/>
          <w:szCs w:val="30"/>
        </w:rPr>
        <w:t>背景</w:t>
      </w:r>
      <w:bookmarkEnd w:id="1"/>
    </w:p>
    <w:p w14:paraId="47ACC92B">
      <w:pPr>
        <w:adjustRightInd w:val="0"/>
        <w:snapToGrid w:val="0"/>
        <w:spacing w:before="156" w:beforeLines="50" w:line="300" w:lineRule="auto"/>
        <w:rPr>
          <w:rFonts w:asciiTheme="minorBidi" w:hAnsiTheme="minorBidi"/>
          <w:sz w:val="24"/>
        </w:rPr>
      </w:pPr>
      <w:r>
        <w:rPr>
          <w:rFonts w:asciiTheme="minorBidi" w:hAnsiTheme="minorBidi"/>
          <w:sz w:val="24"/>
        </w:rPr>
        <w:t>本文件提供的指南可用于确立检测或检测区分宫颈标本中人乳头瘤的体外诊断器械性能特征。这些建议适用于HPV IVD的PMA。</w:t>
      </w:r>
    </w:p>
    <w:p w14:paraId="4C62DDE3">
      <w:pPr>
        <w:adjustRightInd w:val="0"/>
        <w:snapToGrid w:val="0"/>
        <w:spacing w:before="156" w:beforeLines="50" w:line="300" w:lineRule="auto"/>
        <w:rPr>
          <w:rFonts w:asciiTheme="minorBidi" w:hAnsiTheme="minorBidi"/>
          <w:sz w:val="24"/>
        </w:rPr>
      </w:pPr>
      <w:r>
        <w:rPr>
          <w:rFonts w:asciiTheme="minorBidi" w:hAnsiTheme="minorBidi"/>
          <w:sz w:val="24"/>
        </w:rPr>
        <w:t>预期上市一种用于检测或区分人乳头瘤病毒的IVD器械的生产商必须符合联邦食品、药品和化妆品法案（FD&amp;C法案）的通用控制条件，并在器械上市前获得上市前批准（FD&amp;C法案第513和第515章；21 U.S.C. 360C和360e）。由于HPV诊断器械为修正后器械，可自动分类为FD&amp;C法案513（f）（1）节下的III类器械。已分类为第 513（f）（1）节的器械需要按照FD&amp;C法案第515章进行上市前批准。请参见FD&amp;C法案第515（a）（2）节（需要根据第513（f）节分类为III类的器械的上市前批准）；也请参见FD&amp;C法案第513（a）（1）（C）节（定义一种器械，其作为“需按照第515章遵守上市前批准，以提供其安全性和有效性的合理保证”）。</w:t>
      </w:r>
    </w:p>
    <w:p w14:paraId="0D2D13F1">
      <w:pPr>
        <w:adjustRightInd w:val="0"/>
        <w:snapToGrid w:val="0"/>
        <w:spacing w:before="156" w:beforeLines="50" w:line="300" w:lineRule="auto"/>
        <w:rPr>
          <w:rFonts w:asciiTheme="minorBidi" w:hAnsiTheme="minorBidi"/>
          <w:color w:val="0000FF"/>
          <w:sz w:val="24"/>
        </w:rPr>
      </w:pPr>
      <w:r>
        <w:rPr>
          <w:rFonts w:asciiTheme="minorBidi" w:hAnsiTheme="minorBidi"/>
          <w:sz w:val="24"/>
        </w:rPr>
        <w:t>关于器械测试的进一步信息请参见标题为“体外诊断（IVD）器械研究- 常见问题”的指南，网址</w:t>
      </w:r>
      <w:r>
        <w:rPr>
          <w:rFonts w:asciiTheme="minorBidi" w:hAnsiTheme="minorBidi"/>
          <w:color w:val="0000FF"/>
          <w:sz w:val="24"/>
        </w:rPr>
        <w:t>http://www.fda.gov/downloads/MedicalDevices/DeviceRegulationandGuidance/Guidanc eDocuments/ucm071230.pdf</w:t>
      </w:r>
      <w:r>
        <w:rPr>
          <w:rFonts w:asciiTheme="minorBidi" w:hAnsiTheme="minorBidi"/>
          <w:sz w:val="24"/>
        </w:rPr>
        <w:t>，和标题为“使用不可单独识别的残余人体样本进行体外诊断器械研究知情同意指南”的指南，网址</w:t>
      </w:r>
      <w:r>
        <w:rPr>
          <w:rFonts w:asciiTheme="minorBidi" w:hAnsiTheme="minorBidi"/>
          <w:sz w:val="24"/>
        </w:rPr>
        <w:br w:type="textWrapping"/>
      </w:r>
      <w:r>
        <w:rPr>
          <w:rFonts w:asciiTheme="minorBidi" w:hAnsiTheme="minorBidi"/>
          <w:color w:val="0000FF"/>
          <w:sz w:val="24"/>
        </w:rPr>
        <w:t>http://www.fda.gov/downloads/MedicalDevices/DeviceRegulationandGuidance/Guidanc eDocuments/ucm071265.pdf.</w:t>
      </w:r>
    </w:p>
    <w:p w14:paraId="45E59B78">
      <w:pPr>
        <w:adjustRightInd w:val="0"/>
        <w:snapToGrid w:val="0"/>
        <w:spacing w:before="156" w:beforeLines="50" w:line="300" w:lineRule="auto"/>
        <w:rPr>
          <w:rFonts w:asciiTheme="minorBidi" w:hAnsiTheme="minorBidi"/>
          <w:sz w:val="24"/>
        </w:rPr>
      </w:pPr>
    </w:p>
    <w:p w14:paraId="056A0FEF">
      <w:pPr>
        <w:adjustRightInd w:val="0"/>
        <w:snapToGrid w:val="0"/>
        <w:spacing w:before="156" w:beforeLines="50" w:line="300" w:lineRule="auto"/>
        <w:rPr>
          <w:rFonts w:asciiTheme="minorBidi" w:hAnsiTheme="minorBidi"/>
          <w:sz w:val="24"/>
        </w:rPr>
      </w:pPr>
    </w:p>
    <w:p w14:paraId="48627A7D">
      <w:pPr>
        <w:adjustRightInd w:val="0"/>
        <w:snapToGrid w:val="0"/>
        <w:spacing w:before="156" w:beforeLines="50" w:line="300" w:lineRule="auto"/>
        <w:rPr>
          <w:rFonts w:asciiTheme="minorBidi" w:hAnsiTheme="minorBidi"/>
          <w:sz w:val="24"/>
        </w:rPr>
      </w:pPr>
    </w:p>
    <w:p w14:paraId="19AC8E74">
      <w:pPr>
        <w:adjustRightInd w:val="0"/>
        <w:snapToGrid w:val="0"/>
        <w:spacing w:before="156" w:beforeLines="50" w:line="300" w:lineRule="auto"/>
        <w:rPr>
          <w:rFonts w:asciiTheme="minorBidi" w:hAnsiTheme="minorBidi"/>
          <w:sz w:val="24"/>
        </w:rPr>
      </w:pPr>
    </w:p>
    <w:p w14:paraId="18106CBE">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2" w:name="_Toc479653366"/>
      <w:r>
        <w:rPr>
          <w:rFonts w:asciiTheme="minorBidi" w:hAnsiTheme="minorBidi"/>
          <w:b/>
          <w:bCs/>
          <w:sz w:val="30"/>
          <w:szCs w:val="30"/>
        </w:rPr>
        <w:t>范围</w:t>
      </w:r>
      <w:bookmarkEnd w:id="2"/>
    </w:p>
    <w:p w14:paraId="5134ECA6">
      <w:pPr>
        <w:adjustRightInd w:val="0"/>
        <w:snapToGrid w:val="0"/>
        <w:spacing w:before="156" w:beforeLines="50" w:line="300" w:lineRule="auto"/>
        <w:rPr>
          <w:rFonts w:asciiTheme="minorBidi" w:hAnsiTheme="minorBidi"/>
          <w:sz w:val="24"/>
        </w:rPr>
      </w:pPr>
      <w:r>
        <w:rPr>
          <w:rFonts w:asciiTheme="minorBidi" w:hAnsiTheme="minorBidi"/>
          <w:sz w:val="24"/>
        </w:rPr>
        <w:t>本文件推荐的研究可用于确立检测或区分人乳头瘤的体外诊断器械性能特征。本指南限制为预期确立体外诊断HPV器械性能特征的研究，这些器械与宫颈细胞学一同使用，进行宫颈癌筛查。其不讨论预期独立于宫颈细胞学结果或在其之前使用的HPV器械。其不讨论非宫颈标本的HPV检测，如阴道和阴茎标本，或HPV感染的易感性检测。其不讨论HPV的定量或半定量试验。</w:t>
      </w:r>
    </w:p>
    <w:p w14:paraId="03F12863">
      <w:pPr>
        <w:adjustRightInd w:val="0"/>
        <w:snapToGrid w:val="0"/>
        <w:spacing w:before="156" w:beforeLines="50" w:line="300" w:lineRule="auto"/>
        <w:rPr>
          <w:rFonts w:asciiTheme="minorBidi" w:hAnsiTheme="minorBidi"/>
          <w:sz w:val="24"/>
        </w:rPr>
      </w:pPr>
      <w:r>
        <w:rPr>
          <w:rFonts w:asciiTheme="minorBidi" w:hAnsiTheme="minorBidi"/>
          <w:sz w:val="24"/>
        </w:rPr>
        <w:t>作为修正后器械，HPV诊断器械科自动分类为FD&amp;C法案513（f）（1）节下的III类器械。迄今已为HPV DNA检测器械确立了单独产品代码：MAQ，III类。本指南的建议适用于检测HPV核酸（不仅HPV DNA，还包括HPV RNA）的HPV诊断器械。很多建议也适用于利用HPV核酸以外靶标（如HPV蛋白）的HPV检测器械。因此，本指南可包含所列代码以外的后续HPV产品代码。</w:t>
      </w:r>
    </w:p>
    <w:p w14:paraId="51B623C7">
      <w:pPr>
        <w:adjustRightInd w:val="0"/>
        <w:snapToGrid w:val="0"/>
        <w:spacing w:before="156" w:beforeLines="50" w:line="300" w:lineRule="auto"/>
        <w:rPr>
          <w:rFonts w:asciiTheme="minorBidi" w:hAnsiTheme="minorBidi"/>
          <w:sz w:val="24"/>
        </w:rPr>
      </w:pPr>
    </w:p>
    <w:p w14:paraId="3817A32B">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3" w:name="_Toc479653367"/>
      <w:r>
        <w:rPr>
          <w:rFonts w:asciiTheme="minorBidi" w:hAnsiTheme="minorBidi"/>
          <w:b/>
          <w:bCs/>
          <w:sz w:val="30"/>
          <w:szCs w:val="30"/>
        </w:rPr>
        <w:t>健康风险</w:t>
      </w:r>
      <w:bookmarkEnd w:id="3"/>
    </w:p>
    <w:p w14:paraId="4D2EC8B6">
      <w:pPr>
        <w:adjustRightInd w:val="0"/>
        <w:snapToGrid w:val="0"/>
        <w:spacing w:before="156" w:beforeLines="50" w:line="300" w:lineRule="auto"/>
        <w:rPr>
          <w:rFonts w:asciiTheme="minorBidi" w:hAnsiTheme="minorBidi"/>
          <w:sz w:val="24"/>
        </w:rPr>
      </w:pPr>
      <w:r>
        <w:rPr>
          <w:rFonts w:asciiTheme="minorBidi" w:hAnsiTheme="minorBidi"/>
          <w:sz w:val="24"/>
        </w:rPr>
        <w:t>未能按照预期进行的检测或区分人乳头瘤病毒的器械，或未能正确解释结果，可能导致宫颈癌筛查和治疗中有错误的患者管理决策。假阴性结果可导致宫颈癌的及时诊断和治疗延迟，使未检测到的疾病恶化，并可能增加患病率和死亡率。假阳性结果可导致很多女性接收更多不必要的筛查和可能的侵入性程序，如阴道镜和活检。最高风险HPV类型，如HPV 16和/或18的假阳性结果可导致宫颈病灶的不必要积极治疗，可能损害生育力。由于对几乎所有性活跃女性均推荐进行宫颈癌筛查，这些女性中有相当数量级进行HPV测试，假阴性和假阳性HPV所致公共健康潜在伤害的风险量极为显著。因此，确立这些器械的性能并了解与这些器械使用相关的风险，对其安全和有效使用而言至关重要。</w:t>
      </w:r>
    </w:p>
    <w:p w14:paraId="73B01FF0">
      <w:pPr>
        <w:adjustRightInd w:val="0"/>
        <w:snapToGrid w:val="0"/>
        <w:spacing w:before="156" w:beforeLines="50" w:line="300" w:lineRule="auto"/>
        <w:rPr>
          <w:rFonts w:asciiTheme="minorBidi" w:hAnsiTheme="minorBidi"/>
          <w:sz w:val="24"/>
        </w:rPr>
      </w:pPr>
      <w:r>
        <w:rPr>
          <w:rFonts w:asciiTheme="minorBidi" w:hAnsiTheme="minorBidi"/>
          <w:sz w:val="24"/>
        </w:rPr>
        <w:t>提交给PMA以确立HPV检测器械性能的研究为确定这些器械安全性和有效性的基础。</w:t>
      </w:r>
    </w:p>
    <w:p w14:paraId="7E864D7C">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255777F1">
      <w:pPr>
        <w:adjustRightInd w:val="0"/>
        <w:snapToGrid w:val="0"/>
        <w:spacing w:before="156" w:beforeLines="50" w:line="300" w:lineRule="auto"/>
        <w:rPr>
          <w:rFonts w:asciiTheme="minorBidi" w:hAnsiTheme="minorBidi"/>
          <w:b/>
          <w:sz w:val="24"/>
        </w:rPr>
      </w:pPr>
    </w:p>
    <w:p w14:paraId="4F217588">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4" w:name="_Toc479653368"/>
      <w:r>
        <w:rPr>
          <w:rFonts w:asciiTheme="minorBidi" w:hAnsiTheme="minorBidi"/>
          <w:b/>
          <w:bCs/>
          <w:sz w:val="30"/>
          <w:szCs w:val="30"/>
        </w:rPr>
        <w:t>确立性能特征</w:t>
      </w:r>
      <w:bookmarkEnd w:id="4"/>
    </w:p>
    <w:p w14:paraId="1715BCE8">
      <w:pPr>
        <w:pStyle w:val="17"/>
        <w:numPr>
          <w:ilvl w:val="1"/>
          <w:numId w:val="2"/>
        </w:numPr>
        <w:adjustRightInd w:val="0"/>
        <w:snapToGrid w:val="0"/>
        <w:spacing w:before="156" w:beforeLines="50" w:line="300" w:lineRule="auto"/>
        <w:ind w:left="482" w:hanging="482" w:hangingChars="200"/>
        <w:outlineLvl w:val="1"/>
        <w:rPr>
          <w:rFonts w:asciiTheme="minorBidi" w:hAnsiTheme="minorBidi"/>
          <w:b/>
          <w:sz w:val="24"/>
          <w:u w:val="single"/>
        </w:rPr>
      </w:pPr>
      <w:bookmarkStart w:id="5" w:name="_Toc479653369"/>
      <w:r>
        <w:rPr>
          <w:rFonts w:asciiTheme="minorBidi" w:hAnsiTheme="minorBidi"/>
          <w:b/>
          <w:sz w:val="24"/>
          <w:u w:val="single"/>
        </w:rPr>
        <w:t>分析研究</w:t>
      </w:r>
      <w:bookmarkEnd w:id="5"/>
    </w:p>
    <w:p w14:paraId="741CC008">
      <w:pPr>
        <w:adjustRightInd w:val="0"/>
        <w:snapToGrid w:val="0"/>
        <w:spacing w:before="156" w:beforeLines="50" w:line="300" w:lineRule="auto"/>
        <w:outlineLvl w:val="2"/>
        <w:rPr>
          <w:rFonts w:asciiTheme="minorBidi" w:hAnsiTheme="minorBidi"/>
          <w:b/>
          <w:sz w:val="24"/>
        </w:rPr>
      </w:pPr>
      <w:bookmarkStart w:id="6" w:name="_Toc479653370"/>
      <w:r>
        <w:rPr>
          <w:rFonts w:asciiTheme="minorBidi" w:hAnsiTheme="minorBidi"/>
          <w:b/>
          <w:sz w:val="24"/>
        </w:rPr>
        <w:t>检测限</w:t>
      </w:r>
      <w:bookmarkEnd w:id="6"/>
    </w:p>
    <w:p w14:paraId="3ECBCFE8">
      <w:pPr>
        <w:adjustRightInd w:val="0"/>
        <w:snapToGrid w:val="0"/>
        <w:spacing w:before="156" w:beforeLines="50" w:line="300" w:lineRule="auto"/>
        <w:rPr>
          <w:rFonts w:asciiTheme="minorBidi" w:hAnsiTheme="minorBidi"/>
          <w:sz w:val="24"/>
        </w:rPr>
      </w:pPr>
      <w:r>
        <w:rPr>
          <w:rFonts w:asciiTheme="minorBidi" w:hAnsiTheme="minorBidi"/>
          <w:sz w:val="24"/>
        </w:rPr>
        <w:t>我们建议贵公司使用HPV基因组DNA或RNA转录本的系列稀释确定检测限（LOD），如适当，在样本采集缓冲液中进行。基因组DNA和/或RNA转录本可为经克隆或人工合成的材料，因为HPV无法培养。我们建议贵公司确定使用器械测试的每种HPV基因型和每种标本采集培养基的LoD。</w:t>
      </w:r>
    </w:p>
    <w:p w14:paraId="2A7F752E">
      <w:pPr>
        <w:adjustRightInd w:val="0"/>
        <w:snapToGrid w:val="0"/>
        <w:spacing w:before="156" w:beforeLines="50" w:line="300" w:lineRule="auto"/>
        <w:rPr>
          <w:rFonts w:asciiTheme="minorBidi" w:hAnsiTheme="minorBidi"/>
          <w:sz w:val="24"/>
        </w:rPr>
      </w:pPr>
      <w:r>
        <w:rPr>
          <w:rFonts w:asciiTheme="minorBidi" w:hAnsiTheme="minorBidi"/>
          <w:sz w:val="24"/>
        </w:rPr>
        <w:t>如果贵公司的试验适用于使用液基细胞学（LBC）标本进行测试，且涉及在处理前离心宫颈细胞和除去LBC采集培养基，无论离心步骤后重悬细胞的矩阵或缓冲液为何，贵公司均应在其中进行LOD研究。如果贵公司在任意分析研究中使用了含HPV感染细胞系的LBC模拟样本（精密度如下文推荐），则贵公司还应使用这些样本类型进行LoD研究。推荐使用人上皮细胞系，如Jurkat，作为使用HPV感染细胞系（如，SiHa和海拉细胞系）设计的LBC样本中非HPV感染细胞的替代品。</w:t>
      </w:r>
    </w:p>
    <w:p w14:paraId="2162FA8B">
      <w:pPr>
        <w:adjustRightInd w:val="0"/>
        <w:snapToGrid w:val="0"/>
        <w:spacing w:before="156" w:beforeLines="50" w:line="300" w:lineRule="auto"/>
        <w:rPr>
          <w:rFonts w:asciiTheme="minorBidi" w:hAnsiTheme="minorBidi"/>
          <w:sz w:val="24"/>
        </w:rPr>
      </w:pPr>
      <w:r>
        <w:rPr>
          <w:rFonts w:asciiTheme="minorBidi" w:hAnsiTheme="minorBidi"/>
          <w:sz w:val="24"/>
        </w:rPr>
        <w:t>我们建议贵公司首先定义信号临界值（空白限（LoB）），从而使患者样本中超出LoB的信号可指示检测到病毒。贵公司还应估计得到95%检测率的病毒水平（LOD）。请注意，临床临界值定义了临床样本中HPV测试的阳性和阴性结果，其可高于LoB，LoB分析性定义了HPV病毒是否存在。C</w:t>
      </w:r>
      <w:r>
        <w:rPr>
          <w:rFonts w:asciiTheme="minorBidi" w:hAnsiTheme="minorBidi"/>
          <w:sz w:val="24"/>
          <w:vertAlign w:val="subscript"/>
        </w:rPr>
        <w:t>95</w:t>
      </w:r>
      <w:r>
        <w:rPr>
          <w:rFonts w:asciiTheme="minorBidi" w:hAnsiTheme="minorBidi"/>
          <w:sz w:val="24"/>
        </w:rPr>
        <w:t>浓度是仅高于临床临界值的分析物浓度，因此本样本重复测试的结果在95%的时间里为阳性。当LoB用作临界值时，则浓度C</w:t>
      </w:r>
      <w:r>
        <w:rPr>
          <w:rFonts w:asciiTheme="minorBidi" w:hAnsiTheme="minorBidi"/>
          <w:sz w:val="24"/>
          <w:vertAlign w:val="subscript"/>
        </w:rPr>
        <w:t>95</w:t>
      </w:r>
      <w:r>
        <w:rPr>
          <w:rFonts w:asciiTheme="minorBidi" w:hAnsiTheme="minorBidi"/>
          <w:sz w:val="24"/>
        </w:rPr>
        <w:t>与LOD相同。对于临床临界值高于LoB的HPV试验，浓度C</w:t>
      </w:r>
      <w:r>
        <w:rPr>
          <w:rFonts w:asciiTheme="minorBidi" w:hAnsiTheme="minorBidi"/>
          <w:sz w:val="24"/>
          <w:vertAlign w:val="subscript"/>
        </w:rPr>
        <w:t>95</w:t>
      </w:r>
      <w:r>
        <w:rPr>
          <w:rFonts w:asciiTheme="minorBidi" w:hAnsiTheme="minorBidi"/>
          <w:sz w:val="24"/>
        </w:rPr>
        <w:t>可能与LoD浓度不同。</w:t>
      </w:r>
    </w:p>
    <w:p w14:paraId="4B5BDD8C">
      <w:pPr>
        <w:adjustRightInd w:val="0"/>
        <w:snapToGrid w:val="0"/>
        <w:spacing w:before="156" w:beforeLines="50" w:line="300" w:lineRule="auto"/>
        <w:rPr>
          <w:rFonts w:asciiTheme="minorBidi" w:hAnsiTheme="minorBidi"/>
          <w:sz w:val="24"/>
        </w:rPr>
      </w:pPr>
      <w:r>
        <w:rPr>
          <w:rFonts w:asciiTheme="minorBidi" w:hAnsiTheme="minorBidi"/>
          <w:sz w:val="24"/>
        </w:rPr>
        <w:t>我们建议贵公司参考临床和实验室标准研究所（CLSI）文件EP17-A 【参考文件4】获取LoD研究的基本概念、设计和统计分析。贵公司可使用CLSI EP17-A中、以及Linnet和Kondratovich 【参考文件5】所述的方法，使用基底浓度样本的标准差评估LoD。或者，可使用命中率（检测到病毒的百分比）评估LoD，只要确定所测定的命中率覆盖较大部分的检测范围（0%-100%）。LoD研究应包括每种目标HPV基因型、细胞系或标本类型的系列稀释，并可使用概率元分析进行统计分析【参考文件6】。应通过制备至少20份LoD浓度的额外重复，并标明可在95%的时间里检测到病毒，以确认LoD。在两种LoD评估方法中，应在LoD研究中纳入适当的变异性来源，方法为在3-5天中检测贵公司器械2-3个批次的3-5个样本。</w:t>
      </w:r>
    </w:p>
    <w:p w14:paraId="1F7FCB7E">
      <w:pPr>
        <w:adjustRightInd w:val="0"/>
        <w:snapToGrid w:val="0"/>
        <w:spacing w:before="156" w:beforeLines="50" w:line="300" w:lineRule="auto"/>
        <w:rPr>
          <w:rFonts w:asciiTheme="minorBidi" w:hAnsiTheme="minorBidi"/>
          <w:sz w:val="24"/>
        </w:rPr>
      </w:pPr>
    </w:p>
    <w:p w14:paraId="14E376C5">
      <w:pPr>
        <w:adjustRightInd w:val="0"/>
        <w:snapToGrid w:val="0"/>
        <w:spacing w:before="156" w:beforeLines="50" w:line="300" w:lineRule="auto"/>
        <w:rPr>
          <w:rFonts w:asciiTheme="minorBidi" w:hAnsiTheme="minorBidi"/>
          <w:sz w:val="24"/>
        </w:rPr>
      </w:pPr>
    </w:p>
    <w:p w14:paraId="5F11B0A5">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2F955022">
      <w:pPr>
        <w:adjustRightInd w:val="0"/>
        <w:snapToGrid w:val="0"/>
        <w:spacing w:before="156" w:beforeLines="50" w:line="300" w:lineRule="auto"/>
        <w:rPr>
          <w:rFonts w:asciiTheme="minorBidi" w:hAnsiTheme="minorBidi"/>
          <w:b/>
          <w:sz w:val="24"/>
        </w:rPr>
      </w:pPr>
    </w:p>
    <w:p w14:paraId="3D5AB0A3">
      <w:pPr>
        <w:adjustRightInd w:val="0"/>
        <w:snapToGrid w:val="0"/>
        <w:spacing w:before="156" w:beforeLines="50" w:line="300" w:lineRule="auto"/>
        <w:outlineLvl w:val="2"/>
        <w:rPr>
          <w:rFonts w:asciiTheme="minorBidi" w:hAnsiTheme="minorBidi"/>
          <w:b/>
          <w:sz w:val="24"/>
        </w:rPr>
      </w:pPr>
      <w:bookmarkStart w:id="7" w:name="_Toc479653371"/>
      <w:r>
        <w:rPr>
          <w:rFonts w:asciiTheme="minorBidi" w:hAnsiTheme="minorBidi"/>
          <w:b/>
          <w:sz w:val="24"/>
        </w:rPr>
        <w:t>实验室内精密度/可重复性</w:t>
      </w:r>
      <w:bookmarkEnd w:id="7"/>
    </w:p>
    <w:p w14:paraId="50B15FE8">
      <w:pPr>
        <w:adjustRightInd w:val="0"/>
        <w:snapToGrid w:val="0"/>
        <w:spacing w:before="156" w:beforeLines="50" w:line="300" w:lineRule="auto"/>
        <w:rPr>
          <w:rFonts w:asciiTheme="minorBidi" w:hAnsiTheme="minorBidi"/>
          <w:sz w:val="24"/>
        </w:rPr>
      </w:pPr>
      <w:r>
        <w:rPr>
          <w:rFonts w:asciiTheme="minorBidi" w:hAnsiTheme="minorBidi"/>
          <w:sz w:val="24"/>
        </w:rPr>
        <w:t>我们建议贵公司在外部研究中心需要最小测试天数时，于室内进行以下实验室内精密度/可重复性研究。另一种选择是将实验室内精密度研究和重复性研究结合成一项单独研究，本研究在12天里于内部和贵公司的外部测试中心同时进行。</w:t>
      </w:r>
    </w:p>
    <w:p w14:paraId="37A0AE6E">
      <w:pPr>
        <w:adjustRightInd w:val="0"/>
        <w:snapToGrid w:val="0"/>
        <w:spacing w:before="156" w:beforeLines="50" w:line="300" w:lineRule="auto"/>
        <w:rPr>
          <w:rFonts w:asciiTheme="minorBidi" w:hAnsiTheme="minorBidi"/>
          <w:i/>
          <w:sz w:val="24"/>
        </w:rPr>
      </w:pPr>
      <w:r>
        <w:rPr>
          <w:rFonts w:asciiTheme="minorBidi" w:hAnsiTheme="minorBidi"/>
          <w:i/>
          <w:sz w:val="24"/>
        </w:rPr>
        <w:t>精密度研究的标本</w:t>
      </w:r>
    </w:p>
    <w:p w14:paraId="51D9FDC8">
      <w:pPr>
        <w:adjustRightInd w:val="0"/>
        <w:snapToGrid w:val="0"/>
        <w:spacing w:before="156" w:beforeLines="50" w:line="300" w:lineRule="auto"/>
        <w:rPr>
          <w:rFonts w:asciiTheme="minorBidi" w:hAnsiTheme="minorBidi"/>
          <w:sz w:val="24"/>
        </w:rPr>
      </w:pPr>
      <w:r>
        <w:rPr>
          <w:rFonts w:asciiTheme="minorBidi" w:hAnsiTheme="minorBidi"/>
          <w:sz w:val="24"/>
        </w:rPr>
        <w:t>为确立HPV测试的精密度，贵公司应使用已定义的分析物水平和HPV基因型创建10-20种精密度测试组成员。除含中度分析物水平的标本外，贵公司还应使用含可激发医学决策点分析物水平的样本确立性能（如下所述）。考虑以下理由以确定充分体积：1） HPV不能培养，2）临床样本的获取受限，以及3）剩余标本的完全表征可耗尽可用于测试的标本。处理本问题的一个选择是使用HPV感染的细胞系（与非HPV感染的“背景”细胞系相混合，如Jurkat），以创建模拟临床标本的测试组成员。对LBC标本而言，利用细胞系很重要，因为这可有助于解释一些因细胞不均匀混悬物的采样和处理导致的变异性。当贵公司预期声明用于检测的HPV基因型不易获取用作感染细胞系时，贵公司也可使用从HPV DNA质粒或RNA复制获取的人造测试组成员（如适用）。除这些含已定义HPV感染或HPV核酸水平的人造样本外，贵公司还应在研究组中纳入4种或以上所含信号水平可激发贵公司临床临界值的真实临床样本，加上至少一种HPV阴性样本。由于单独的细胞系和质粒不能处理临床样本中存在的所有变异性，因此需要真实临床样本。可汇总临床样本以创建足够体积和达到所需病毒水平浓度。临床标本的病毒载量不能定义，但你应通过纳入仅部分时间（本部分的精确值不关键，5%至95%阳性之间均可接受）测试为阳性和/或阴性的标本激发医学决策点【临床临界值】。通过这种方法，最终用户可观察到哪些输出信号水平有变异性等级，以及其定性结果。来源于细胞系和/或真实临床样本的测试组成员应作为真实LBC标本进行处理，从核酸提取步骤前的LBC培养基混悬液开始处理。如果贵公司希望利用由真实临床标本组成的精密度测试组（无任何模拟标本），请联系食品药品监督管理局体外诊断器械评价和安全办公室（OIVD）讨论关于此类标本额外表征的建议。</w:t>
      </w:r>
    </w:p>
    <w:p w14:paraId="09A7DA8C">
      <w:pPr>
        <w:adjustRightInd w:val="0"/>
        <w:snapToGrid w:val="0"/>
        <w:spacing w:before="156" w:beforeLines="50" w:line="300" w:lineRule="auto"/>
        <w:rPr>
          <w:rFonts w:asciiTheme="minorBidi" w:hAnsiTheme="minorBidi"/>
          <w:sz w:val="24"/>
        </w:rPr>
      </w:pPr>
      <w:r>
        <w:rPr>
          <w:rFonts w:asciiTheme="minorBidi" w:hAnsiTheme="minorBidi"/>
          <w:sz w:val="24"/>
        </w:rPr>
        <w:t>我们建议贵公司进行实验室内精密度研究，包括仪器或自动组件。贵公司应纳入变异性来源（如操作者、天数、仪器、试验运行等），包含至少12天（不必须连续），每天进行2次运行，每次运行每份样本有2份重复。这些测试天数应覆盖指示2次仪器校准周期（如适用）。贵公司应在精密度研究中评估这些不同仪器和3种实际批次之间的精密度。</w:t>
      </w:r>
    </w:p>
    <w:p w14:paraId="04178EA8">
      <w:pPr>
        <w:adjustRightInd w:val="0"/>
        <w:snapToGrid w:val="0"/>
        <w:spacing w:before="156" w:beforeLines="50" w:line="300" w:lineRule="auto"/>
        <w:rPr>
          <w:rFonts w:asciiTheme="minorBidi" w:hAnsiTheme="minorBidi"/>
          <w:sz w:val="24"/>
        </w:rPr>
      </w:pPr>
    </w:p>
    <w:p w14:paraId="1C49D395">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213D52BE">
      <w:pPr>
        <w:adjustRightInd w:val="0"/>
        <w:snapToGrid w:val="0"/>
        <w:spacing w:before="156" w:beforeLines="50" w:line="300" w:lineRule="auto"/>
        <w:rPr>
          <w:rFonts w:asciiTheme="minorBidi" w:hAnsiTheme="minorBidi"/>
          <w:sz w:val="24"/>
        </w:rPr>
      </w:pPr>
      <w:r>
        <w:rPr>
          <w:rFonts w:asciiTheme="minorBidi" w:hAnsiTheme="minorBidi"/>
          <w:sz w:val="24"/>
        </w:rPr>
        <w:t>对于模拟精密度测试组成员，测试组应纳入至少3种病毒载量水平的6个样本（2种HPV基因型），如下所述：</w:t>
      </w:r>
    </w:p>
    <w:p w14:paraId="651FA1CB">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一种“零浓度”样本，无任何分析物。</w:t>
      </w:r>
    </w:p>
    <w:p w14:paraId="59C598FD">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一种“高阴性”样本，旨在代表低于临床确立临界值的分析物浓度，从而使本样本重复测试在约95%的时间里结果为阴性，约5%的时间里结果为阳性，C</w:t>
      </w:r>
      <w:r>
        <w:rPr>
          <w:rFonts w:asciiTheme="minorBidi" w:hAnsiTheme="minorBidi"/>
          <w:sz w:val="24"/>
          <w:vertAlign w:val="subscript"/>
        </w:rPr>
        <w:t>5</w:t>
      </w:r>
      <w:r>
        <w:rPr>
          <w:rFonts w:asciiTheme="minorBidi" w:hAnsiTheme="minorBidi"/>
          <w:sz w:val="24"/>
        </w:rPr>
        <w:t>浓度（如，实时PCR试验中，所含分析物浓度比试验临床临界值低不超过10倍）。</w:t>
      </w:r>
    </w:p>
    <w:p w14:paraId="6F8E4627">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一种“低阳性”样本（C</w:t>
      </w:r>
      <w:r>
        <w:rPr>
          <w:rFonts w:asciiTheme="minorBidi" w:hAnsiTheme="minorBidi"/>
          <w:sz w:val="24"/>
          <w:vertAlign w:val="subscript"/>
        </w:rPr>
        <w:t>95</w:t>
      </w:r>
      <w:r>
        <w:rPr>
          <w:rFonts w:asciiTheme="minorBidi" w:hAnsiTheme="minorBidi"/>
          <w:sz w:val="24"/>
        </w:rPr>
        <w:t>浓度）：一种所含分析物浓度恰好高于临床临界值的样本，从而使本样本重复测试的结果在约95%的时间里为阳性。</w:t>
      </w:r>
    </w:p>
    <w:p w14:paraId="065E4247">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一种“中度阳性”样本：一种此浓度时可预期在约100%时间里均为阳性结果的样本（如，约为临床临界值浓度的2至3倍）。</w:t>
      </w:r>
    </w:p>
    <w:p w14:paraId="2FDD6560">
      <w:pPr>
        <w:adjustRightInd w:val="0"/>
        <w:snapToGrid w:val="0"/>
        <w:spacing w:before="156" w:beforeLines="50" w:line="300" w:lineRule="auto"/>
        <w:rPr>
          <w:rFonts w:asciiTheme="minorBidi" w:hAnsiTheme="minorBidi"/>
          <w:sz w:val="24"/>
          <w:szCs w:val="32"/>
        </w:rPr>
      </w:pPr>
      <w:r>
        <w:rPr>
          <w:rFonts w:asciiTheme="minorBidi" w:hAnsiTheme="minorBidi"/>
          <w:sz w:val="24"/>
        </w:rPr>
        <w:t>图表1</w:t>
      </w:r>
    </w:p>
    <w:p w14:paraId="2452581A">
      <w:pPr>
        <w:adjustRightInd w:val="0"/>
        <w:snapToGrid w:val="0"/>
        <w:spacing w:before="156" w:beforeLines="50" w:line="300" w:lineRule="auto"/>
        <w:jc w:val="center"/>
        <w:rPr>
          <w:rFonts w:asciiTheme="minorBidi" w:hAnsiTheme="minorBidi"/>
          <w:sz w:val="24"/>
          <w:szCs w:val="32"/>
        </w:rPr>
      </w:pPr>
      <w:r>
        <w:rPr>
          <w:rFonts w:asciiTheme="minorBidi" w:hAnsiTheme="minorBidi"/>
        </w:rPr>
        <mc:AlternateContent>
          <mc:Choice Requires="wps">
            <w:drawing>
              <wp:anchor distT="0" distB="0" distL="114300" distR="114300" simplePos="0" relativeHeight="251659264" behindDoc="0" locked="0" layoutInCell="1" allowOverlap="1">
                <wp:simplePos x="0" y="0"/>
                <wp:positionH relativeFrom="column">
                  <wp:posOffset>4143375</wp:posOffset>
                </wp:positionH>
                <wp:positionV relativeFrom="paragraph">
                  <wp:posOffset>2160270</wp:posOffset>
                </wp:positionV>
                <wp:extent cx="923925" cy="24765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bg2">
                            <a:lumMod val="90000"/>
                          </a:schemeClr>
                        </a:solidFill>
                        <a:ln w="6350">
                          <a:noFill/>
                        </a:ln>
                      </wps:spPr>
                      <wps:txbx>
                        <w:txbxContent>
                          <w:p w14:paraId="1B669429">
                            <w:pPr>
                              <w:jc w:val="center"/>
                              <w:rPr>
                                <w:sz w:val="24"/>
                              </w:rPr>
                            </w:pPr>
                            <w:r>
                              <w:rPr>
                                <w:rFonts w:hint="eastAsia"/>
                                <w:sz w:val="24"/>
                              </w:rPr>
                              <w:t>临床临界值</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6.25pt;margin-top:170.1pt;height:19.5pt;width:72.75pt;z-index:251659264;mso-width-relative:page;mso-height-relative:page;" fillcolor="#D0CECE [2894]" filled="t" stroked="f" coordsize="21600,21600" o:gfxdata="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L&#10;6YIP2wAAAAsBAAAPAAAAAAAAAAEAIAAAACIAAABkcnMvZG93bnJldi54bWxQSwECFAAUAAAACACH&#10;TuJAq4U3ZFoCAACgBAAADgAAAAAAAAABACAAAAAqAQAAZHJzL2Uyb0RvYy54bWxQSwUGAAAAAAYA&#10;BgBZAQAA9gUAAAAA&#10;">
                <v:fill on="t" focussize="0,0"/>
                <v:stroke on="f" weight="0.5pt"/>
                <v:imagedata o:title=""/>
                <o:lock v:ext="edit" aspectratio="f"/>
                <v:textbox inset="0mm,0mm,0mm,0mm">
                  <w:txbxContent>
                    <w:p w14:paraId="1B669429">
                      <w:pPr>
                        <w:jc w:val="center"/>
                        <w:rPr>
                          <w:sz w:val="24"/>
                        </w:rPr>
                      </w:pPr>
                      <w:r>
                        <w:rPr>
                          <w:rFonts w:hint="eastAsia"/>
                          <w:sz w:val="24"/>
                        </w:rPr>
                        <w:t>临床临界值</w:t>
                      </w:r>
                    </w:p>
                  </w:txbxContent>
                </v:textbox>
              </v:shape>
            </w:pict>
          </mc:Fallback>
        </mc:AlternateContent>
      </w:r>
      <w:r>
        <w:rPr>
          <w:rFonts w:asciiTheme="minorBidi" w:hAnsiTheme="minorBidi"/>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2684145</wp:posOffset>
                </wp:positionV>
                <wp:extent cx="428625" cy="171450"/>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428625" cy="171450"/>
                        </a:xfrm>
                        <a:prstGeom prst="rect">
                          <a:avLst/>
                        </a:prstGeom>
                        <a:solidFill>
                          <a:schemeClr val="bg1"/>
                        </a:solidFill>
                        <a:ln w="6350">
                          <a:noFill/>
                        </a:ln>
                      </wps:spPr>
                      <wps:txbx>
                        <w:txbxContent>
                          <w:p w14:paraId="494AC2A2">
                            <w:pPr>
                              <w:rPr>
                                <w:sz w:val="24"/>
                                <w:szCs w:val="32"/>
                              </w:rPr>
                            </w:pPr>
                            <w:r>
                              <w:rPr>
                                <w:rFonts w:hint="eastAsia"/>
                                <w:sz w:val="24"/>
                                <w:szCs w:val="32"/>
                              </w:rPr>
                              <w:t>信号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3pt;margin-top:211.35pt;height:13.5pt;width:33.75pt;z-index:251662336;mso-width-relative:page;mso-height-relative:page;" fillcolor="#FFFFFF [3212]" filled="t" stroked="f" coordsize="21600,21600" o:gfxdata="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gLHgr2QAAAAsBAAAPAAAAAAAAAAEAIAAA&#10;ACIAAABkcnMvZG93bnJldi54bWxQSwECFAAUAAAACACHTuJAkJLrMUQCAAB+BAAADgAAAAAAAAAB&#10;ACAAAAAoAQAAZHJzL2Uyb0RvYy54bWxQSwUGAAAAAAYABgBZAQAA3gUAAAAA&#10;">
                <v:fill on="t" focussize="0,0"/>
                <v:stroke on="f" weight="0.5pt"/>
                <v:imagedata o:title=""/>
                <o:lock v:ext="edit" aspectratio="f"/>
                <v:textbox inset="0mm,0mm,0mm,0mm">
                  <w:txbxContent>
                    <w:p w14:paraId="494AC2A2">
                      <w:pPr>
                        <w:rPr>
                          <w:sz w:val="24"/>
                          <w:szCs w:val="32"/>
                        </w:rPr>
                      </w:pPr>
                      <w:r>
                        <w:rPr>
                          <w:rFonts w:hint="eastAsia"/>
                          <w:sz w:val="24"/>
                          <w:szCs w:val="32"/>
                        </w:rPr>
                        <w:t>信号</w:t>
                      </w:r>
                    </w:p>
                  </w:txbxContent>
                </v:textbox>
              </v:shape>
            </w:pict>
          </mc:Fallback>
        </mc:AlternateContent>
      </w:r>
      <w:r>
        <w:rPr>
          <w:rFonts w:asciiTheme="minorBidi" w:hAnsiTheme="minorBidi"/>
        </w:rPr>
        <mc:AlternateContent>
          <mc:Choice Requires="wps">
            <w:drawing>
              <wp:anchor distT="0" distB="0" distL="114300" distR="114300" simplePos="0" relativeHeight="251661312" behindDoc="0" locked="0" layoutInCell="1" allowOverlap="1">
                <wp:simplePos x="0" y="0"/>
                <wp:positionH relativeFrom="column">
                  <wp:posOffset>3457575</wp:posOffset>
                </wp:positionH>
                <wp:positionV relativeFrom="paragraph">
                  <wp:posOffset>2884170</wp:posOffset>
                </wp:positionV>
                <wp:extent cx="1085850" cy="1905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85850" cy="190500"/>
                        </a:xfrm>
                        <a:prstGeom prst="rect">
                          <a:avLst/>
                        </a:prstGeom>
                        <a:solidFill>
                          <a:schemeClr val="bg2">
                            <a:lumMod val="90000"/>
                          </a:schemeClr>
                        </a:solidFill>
                        <a:ln w="6350">
                          <a:noFill/>
                        </a:ln>
                      </wps:spPr>
                      <wps:txbx>
                        <w:txbxContent>
                          <w:p w14:paraId="3F7EE78F">
                            <w:pPr>
                              <w:jc w:val="center"/>
                              <w:rPr>
                                <w:rFonts w:asciiTheme="minorBidi" w:hAnsiTheme="minorBidi"/>
                                <w:sz w:val="24"/>
                                <w:szCs w:val="32"/>
                                <w:vertAlign w:val="subscript"/>
                              </w:rPr>
                            </w:pPr>
                            <w:r>
                              <w:rPr>
                                <w:rFonts w:asciiTheme="minorBidi" w:hAnsiTheme="minorBidi"/>
                                <w:sz w:val="24"/>
                                <w:szCs w:val="32"/>
                              </w:rPr>
                              <w:t>低阳性C</w:t>
                            </w:r>
                            <w:r>
                              <w:rPr>
                                <w:rFonts w:asciiTheme="minorBidi" w:hAnsiTheme="minorBidi"/>
                                <w:sz w:val="24"/>
                                <w:szCs w:val="32"/>
                                <w:vertAlign w:val="subscript"/>
                              </w:rPr>
                              <w:t>95</w:t>
                            </w:r>
                          </w:p>
                          <w:p w14:paraId="00B85E35">
                            <w:pPr>
                              <w:rPr>
                                <w:rFonts w:asciiTheme="minorBidi" w:hAnsiTheme="minorBidi"/>
                                <w:sz w:val="24"/>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72.25pt;margin-top:227.1pt;height:15pt;width:85.5pt;z-index:251661312;mso-width-relative:page;mso-height-relative:page;" fillcolor="#D0CECE [2894]" filled="t" stroked="f" coordsize="21600,21600" o:gfxdata="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1lPUB&#10;2gAAAAsBAAAPAAAAAAAAAAEAIAAAACIAAABkcnMvZG93bnJldi54bWxQSwECFAAUAAAACACHTuJA&#10;f96vtFgCAAChBAAADgAAAAAAAAABACAAAAApAQAAZHJzL2Uyb0RvYy54bWxQSwUGAAAAAAYABgBZ&#10;AQAA8wUAAAAA&#10;">
                <v:fill on="t" focussize="0,0"/>
                <v:stroke on="f" weight="0.5pt"/>
                <v:imagedata o:title=""/>
                <o:lock v:ext="edit" aspectratio="f"/>
                <v:textbox inset="0mm,0mm,0mm,0mm">
                  <w:txbxContent>
                    <w:p w14:paraId="3F7EE78F">
                      <w:pPr>
                        <w:jc w:val="center"/>
                        <w:rPr>
                          <w:rFonts w:asciiTheme="minorBidi" w:hAnsiTheme="minorBidi"/>
                          <w:sz w:val="24"/>
                          <w:szCs w:val="32"/>
                          <w:vertAlign w:val="subscript"/>
                        </w:rPr>
                      </w:pPr>
                      <w:r>
                        <w:rPr>
                          <w:rFonts w:asciiTheme="minorBidi" w:hAnsiTheme="minorBidi"/>
                          <w:sz w:val="24"/>
                          <w:szCs w:val="32"/>
                        </w:rPr>
                        <w:t>低阳性C</w:t>
                      </w:r>
                      <w:r>
                        <w:rPr>
                          <w:rFonts w:asciiTheme="minorBidi" w:hAnsiTheme="minorBidi"/>
                          <w:sz w:val="24"/>
                          <w:szCs w:val="32"/>
                          <w:vertAlign w:val="subscript"/>
                        </w:rPr>
                        <w:t>95</w:t>
                      </w:r>
                    </w:p>
                    <w:p w14:paraId="00B85E35">
                      <w:pPr>
                        <w:rPr>
                          <w:rFonts w:asciiTheme="minorBidi" w:hAnsiTheme="minorBidi"/>
                          <w:sz w:val="24"/>
                          <w:szCs w:val="32"/>
                        </w:rPr>
                      </w:pPr>
                    </w:p>
                  </w:txbxContent>
                </v:textbox>
              </v:shape>
            </w:pict>
          </mc:Fallback>
        </mc:AlternateContent>
      </w:r>
      <w:r>
        <w:rPr>
          <w:rFonts w:asciiTheme="minorBidi" w:hAnsiTheme="minorBidi"/>
        </w:rPr>
        <mc:AlternateContent>
          <mc:Choice Requires="wps">
            <w:drawing>
              <wp:anchor distT="0" distB="0" distL="114300" distR="114300" simplePos="0" relativeHeight="251660288" behindDoc="0" locked="0" layoutInCell="1" allowOverlap="1">
                <wp:simplePos x="0" y="0"/>
                <wp:positionH relativeFrom="column">
                  <wp:posOffset>1447800</wp:posOffset>
                </wp:positionH>
                <wp:positionV relativeFrom="paragraph">
                  <wp:posOffset>2903220</wp:posOffset>
                </wp:positionV>
                <wp:extent cx="1085850" cy="238125"/>
                <wp:effectExtent l="0" t="0" r="0" b="9525"/>
                <wp:wrapNone/>
                <wp:docPr id="4" name="文本框 4"/>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bg2">
                            <a:lumMod val="90000"/>
                          </a:schemeClr>
                        </a:solidFill>
                        <a:ln w="6350">
                          <a:noFill/>
                        </a:ln>
                      </wps:spPr>
                      <wps:txbx>
                        <w:txbxContent>
                          <w:p w14:paraId="3110CF44">
                            <w:pPr>
                              <w:jc w:val="center"/>
                              <w:rPr>
                                <w:rFonts w:asciiTheme="minorBidi" w:hAnsiTheme="minorBidi"/>
                                <w:sz w:val="24"/>
                                <w:szCs w:val="32"/>
                                <w:vertAlign w:val="subscript"/>
                              </w:rPr>
                            </w:pPr>
                            <w:r>
                              <w:rPr>
                                <w:rFonts w:asciiTheme="minorBidi" w:hAnsiTheme="minorBidi"/>
                                <w:sz w:val="24"/>
                                <w:szCs w:val="32"/>
                              </w:rPr>
                              <w:t>高阴性C</w:t>
                            </w:r>
                            <w:r>
                              <w:rPr>
                                <w:rFonts w:asciiTheme="minorBidi" w:hAnsiTheme="minorBidi"/>
                                <w:sz w:val="24"/>
                                <w:szCs w:val="32"/>
                                <w:vertAlign w:val="subscript"/>
                              </w:rPr>
                              <w:t>5</w:t>
                            </w:r>
                          </w:p>
                          <w:p w14:paraId="2E718162">
                            <w:pPr>
                              <w:rPr>
                                <w:rFonts w:asciiTheme="minorBidi" w:hAnsiTheme="minorBidi"/>
                                <w:sz w:val="24"/>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14pt;margin-top:228.6pt;height:18.75pt;width:85.5pt;z-index:251660288;mso-width-relative:page;mso-height-relative:page;" fillcolor="#D0CECE [2894]" filled="t" stroked="f" coordsize="21600,21600" o:gfxdata="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7rZtf&#10;2wAAAAsBAAAPAAAAAAAAAAEAIAAAACIAAABkcnMvZG93bnJldi54bWxQSwECFAAUAAAACACHTuJA&#10;xllS5lcCAAChBAAADgAAAAAAAAABACAAAAAqAQAAZHJzL2Uyb0RvYy54bWxQSwUGAAAAAAYABgBZ&#10;AQAA8wUAAAAA&#10;">
                <v:fill on="t" focussize="0,0"/>
                <v:stroke on="f" weight="0.5pt"/>
                <v:imagedata o:title=""/>
                <o:lock v:ext="edit" aspectratio="f"/>
                <v:textbox inset="0mm,0mm,0mm,0mm">
                  <w:txbxContent>
                    <w:p w14:paraId="3110CF44">
                      <w:pPr>
                        <w:jc w:val="center"/>
                        <w:rPr>
                          <w:rFonts w:asciiTheme="minorBidi" w:hAnsiTheme="minorBidi"/>
                          <w:sz w:val="24"/>
                          <w:szCs w:val="32"/>
                          <w:vertAlign w:val="subscript"/>
                        </w:rPr>
                      </w:pPr>
                      <w:r>
                        <w:rPr>
                          <w:rFonts w:asciiTheme="minorBidi" w:hAnsiTheme="minorBidi"/>
                          <w:sz w:val="24"/>
                          <w:szCs w:val="32"/>
                        </w:rPr>
                        <w:t>高阴性C</w:t>
                      </w:r>
                      <w:r>
                        <w:rPr>
                          <w:rFonts w:asciiTheme="minorBidi" w:hAnsiTheme="minorBidi"/>
                          <w:sz w:val="24"/>
                          <w:szCs w:val="32"/>
                          <w:vertAlign w:val="subscript"/>
                        </w:rPr>
                        <w:t>5</w:t>
                      </w:r>
                    </w:p>
                    <w:p w14:paraId="2E718162">
                      <w:pPr>
                        <w:rPr>
                          <w:rFonts w:asciiTheme="minorBidi" w:hAnsiTheme="minorBidi"/>
                          <w:sz w:val="24"/>
                          <w:szCs w:val="32"/>
                        </w:rPr>
                      </w:pPr>
                    </w:p>
                  </w:txbxContent>
                </v:textbox>
              </v:shape>
            </w:pict>
          </mc:Fallback>
        </mc:AlternateContent>
      </w:r>
      <w:r>
        <w:rPr>
          <w:rFonts w:asciiTheme="minorBidi" w:hAnsiTheme="minorBidi"/>
        </w:rPr>
        <mc:AlternateContent>
          <mc:Choice Requires="wps">
            <w:drawing>
              <wp:anchor distT="0" distB="0" distL="114300" distR="114300" simplePos="0" relativeHeight="251663360" behindDoc="0" locked="0" layoutInCell="1" allowOverlap="1">
                <wp:simplePos x="0" y="0"/>
                <wp:positionH relativeFrom="column">
                  <wp:posOffset>485140</wp:posOffset>
                </wp:positionH>
                <wp:positionV relativeFrom="paragraph">
                  <wp:posOffset>1283335</wp:posOffset>
                </wp:positionV>
                <wp:extent cx="1171575" cy="190500"/>
                <wp:effectExtent l="0" t="4762" r="4762" b="4763"/>
                <wp:wrapNone/>
                <wp:docPr id="7" name="文本框 7"/>
                <wp:cNvGraphicFramePr/>
                <a:graphic xmlns:a="http://schemas.openxmlformats.org/drawingml/2006/main">
                  <a:graphicData uri="http://schemas.microsoft.com/office/word/2010/wordprocessingShape">
                    <wps:wsp>
                      <wps:cNvSpPr txBox="1"/>
                      <wps:spPr>
                        <a:xfrm rot="16200000">
                          <a:off x="0" y="0"/>
                          <a:ext cx="1171575" cy="190500"/>
                        </a:xfrm>
                        <a:prstGeom prst="rect">
                          <a:avLst/>
                        </a:prstGeom>
                        <a:solidFill>
                          <a:schemeClr val="bg1"/>
                        </a:solidFill>
                        <a:ln w="6350">
                          <a:noFill/>
                        </a:ln>
                      </wps:spPr>
                      <wps:txbx>
                        <w:txbxContent>
                          <w:p w14:paraId="31EA4809">
                            <w:pPr>
                              <w:rPr>
                                <w:b/>
                                <w:szCs w:val="32"/>
                              </w:rPr>
                            </w:pPr>
                            <w:r>
                              <w:rPr>
                                <w:rFonts w:hint="eastAsia"/>
                                <w:b/>
                                <w:szCs w:val="32"/>
                              </w:rPr>
                              <w:t>阳性结果百分比</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pt;margin-top:101.05pt;height:15pt;width:92.25pt;rotation:-5898240f;z-index:251663360;mso-width-relative:page;mso-height-relative:page;" fillcolor="#FFFFFF [3212]" filled="t" stroked="f" coordsize="21600,21600" o:gfxdata="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vIeSDWAAAACgEAAA8AAAAAAAAA&#10;AQAgAAAAIgAAAGRycy9kb3ducmV2LnhtbFBLAQIUABQAAAAIAIdO4kARRsSoTAIAAI4EAAAOAAAA&#10;AAAAAAEAIAAAACUBAABkcnMvZTJvRG9jLnhtbFBLBQYAAAAABgAGAFkBAADjBQAAAAA=&#10;">
                <v:fill on="t" focussize="0,0"/>
                <v:stroke on="f" weight="0.5pt"/>
                <v:imagedata o:title=""/>
                <o:lock v:ext="edit" aspectratio="f"/>
                <v:textbox inset="0mm,0mm,0mm,0mm">
                  <w:txbxContent>
                    <w:p w14:paraId="31EA4809">
                      <w:pPr>
                        <w:rPr>
                          <w:b/>
                          <w:szCs w:val="32"/>
                        </w:rPr>
                      </w:pPr>
                      <w:r>
                        <w:rPr>
                          <w:rFonts w:hint="eastAsia"/>
                          <w:b/>
                          <w:szCs w:val="32"/>
                        </w:rPr>
                        <w:t>阳性结果百分比</w:t>
                      </w:r>
                    </w:p>
                  </w:txbxContent>
                </v:textbox>
              </v:shape>
            </w:pict>
          </mc:Fallback>
        </mc:AlternateContent>
      </w:r>
      <w:r>
        <w:rPr>
          <w:rFonts w:asciiTheme="minorBidi" w:hAnsiTheme="minorBidi"/>
        </w:rPr>
        <w:drawing>
          <wp:inline distT="0" distB="0" distL="0" distR="0">
            <wp:extent cx="4485005" cy="3162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492292" cy="3167293"/>
                    </a:xfrm>
                    <a:prstGeom prst="rect">
                      <a:avLst/>
                    </a:prstGeom>
                  </pic:spPr>
                </pic:pic>
              </a:graphicData>
            </a:graphic>
          </wp:inline>
        </w:drawing>
      </w:r>
    </w:p>
    <w:p w14:paraId="25CF9F05">
      <w:pPr>
        <w:adjustRightInd w:val="0"/>
        <w:snapToGrid w:val="0"/>
        <w:spacing w:before="156" w:beforeLines="50" w:line="300" w:lineRule="auto"/>
        <w:rPr>
          <w:rFonts w:asciiTheme="minorBidi" w:hAnsiTheme="minorBidi"/>
          <w:sz w:val="24"/>
          <w:szCs w:val="32"/>
        </w:rPr>
      </w:pPr>
    </w:p>
    <w:p w14:paraId="5FCA9510">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使用LoB作为临床临界值时，浓度C</w:t>
      </w:r>
      <w:r>
        <w:rPr>
          <w:rFonts w:asciiTheme="minorBidi" w:hAnsiTheme="minorBidi"/>
          <w:sz w:val="24"/>
          <w:szCs w:val="32"/>
          <w:vertAlign w:val="subscript"/>
        </w:rPr>
        <w:t>95</w:t>
      </w:r>
      <w:r>
        <w:rPr>
          <w:rFonts w:asciiTheme="minorBidi" w:hAnsiTheme="minorBidi"/>
          <w:sz w:val="24"/>
          <w:szCs w:val="32"/>
        </w:rPr>
        <w:t>与检测限（LoD）相同，零浓度（样本中不存在分析物）为C</w:t>
      </w:r>
      <w:r>
        <w:rPr>
          <w:rFonts w:asciiTheme="minorBidi" w:hAnsiTheme="minorBidi"/>
          <w:sz w:val="24"/>
          <w:szCs w:val="32"/>
          <w:vertAlign w:val="subscript"/>
        </w:rPr>
        <w:t>5</w:t>
      </w:r>
      <w:r>
        <w:rPr>
          <w:rFonts w:asciiTheme="minorBidi" w:hAnsiTheme="minorBidi"/>
          <w:sz w:val="24"/>
          <w:szCs w:val="32"/>
        </w:rPr>
        <w:t xml:space="preserve"> 【参考文件4】。CLSI文件EP05-A2 【参考文件7】和EP12-A2 【参考文件8】包含关于设计和进行精密度研究的进一步信息。</w:t>
      </w:r>
    </w:p>
    <w:p w14:paraId="0B4CFAF7">
      <w:pPr>
        <w:widowControl/>
        <w:rPr>
          <w:rFonts w:asciiTheme="minorBidi" w:hAnsiTheme="minorBidi"/>
          <w:sz w:val="24"/>
          <w:szCs w:val="32"/>
        </w:rPr>
      </w:pPr>
      <w:r>
        <w:rPr>
          <w:rFonts w:asciiTheme="minorBidi" w:hAnsiTheme="minorBidi"/>
          <w:sz w:val="24"/>
          <w:szCs w:val="32"/>
        </w:rPr>
        <w:br w:type="page"/>
      </w:r>
    </w:p>
    <w:p w14:paraId="773524BA">
      <w:pPr>
        <w:adjustRightInd w:val="0"/>
        <w:snapToGrid w:val="0"/>
        <w:spacing w:before="156" w:beforeLines="50" w:line="300" w:lineRule="auto"/>
        <w:rPr>
          <w:rFonts w:asciiTheme="minorBidi" w:hAnsiTheme="minorBidi"/>
          <w:sz w:val="24"/>
          <w:szCs w:val="32"/>
        </w:rPr>
      </w:pPr>
    </w:p>
    <w:p w14:paraId="4D69C18E">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对于实验室内精密度研究，不必须使用精确到C</w:t>
      </w:r>
      <w:r>
        <w:rPr>
          <w:rFonts w:asciiTheme="minorBidi" w:hAnsiTheme="minorBidi"/>
          <w:sz w:val="24"/>
          <w:szCs w:val="32"/>
          <w:vertAlign w:val="subscript"/>
        </w:rPr>
        <w:t>5</w:t>
      </w:r>
      <w:r>
        <w:rPr>
          <w:rFonts w:asciiTheme="minorBidi" w:hAnsiTheme="minorBidi"/>
          <w:sz w:val="24"/>
          <w:szCs w:val="32"/>
        </w:rPr>
        <w:t>或C</w:t>
      </w:r>
      <w:r>
        <w:rPr>
          <w:rFonts w:asciiTheme="minorBidi" w:hAnsiTheme="minorBidi"/>
          <w:sz w:val="24"/>
          <w:szCs w:val="32"/>
          <w:vertAlign w:val="subscript"/>
        </w:rPr>
        <w:t>95</w:t>
      </w:r>
      <w:r>
        <w:rPr>
          <w:rFonts w:asciiTheme="minorBidi" w:hAnsiTheme="minorBidi"/>
          <w:sz w:val="24"/>
          <w:szCs w:val="32"/>
        </w:rPr>
        <w:t>的高阴性和低阳性样本。如果精密度研究中高阴性和低阳性样本足够接近临界值，且临界值的标准差（或变异系数百分比（%CV））在临界值周围的范围中近似不变，则可通过本实验室内精密度研究评估C</w:t>
      </w:r>
      <w:r>
        <w:rPr>
          <w:rFonts w:asciiTheme="minorBidi" w:hAnsiTheme="minorBidi"/>
          <w:sz w:val="24"/>
          <w:szCs w:val="32"/>
          <w:vertAlign w:val="subscript"/>
        </w:rPr>
        <w:t>5</w:t>
      </w:r>
      <w:r>
        <w:rPr>
          <w:rFonts w:asciiTheme="minorBidi" w:hAnsiTheme="minorBidi"/>
          <w:sz w:val="24"/>
          <w:szCs w:val="32"/>
        </w:rPr>
        <w:t>和C</w:t>
      </w:r>
      <w:r>
        <w:rPr>
          <w:rFonts w:asciiTheme="minorBidi" w:hAnsiTheme="minorBidi"/>
          <w:sz w:val="24"/>
          <w:szCs w:val="32"/>
          <w:vertAlign w:val="subscript"/>
        </w:rPr>
        <w:t>95</w:t>
      </w:r>
      <w:r>
        <w:rPr>
          <w:rFonts w:asciiTheme="minorBidi" w:hAnsiTheme="minorBidi"/>
          <w:sz w:val="24"/>
          <w:szCs w:val="32"/>
        </w:rPr>
        <w:t>。</w:t>
      </w:r>
      <w:r>
        <w:rPr>
          <w:rStyle w:val="13"/>
          <w:rFonts w:asciiTheme="minorBidi" w:hAnsiTheme="minorBidi"/>
          <w:sz w:val="24"/>
          <w:szCs w:val="32"/>
        </w:rPr>
        <w:footnoteReference w:id="0"/>
      </w:r>
      <w:r>
        <w:rPr>
          <w:rFonts w:asciiTheme="minorBidi" w:hAnsiTheme="minorBidi"/>
          <w:sz w:val="24"/>
          <w:szCs w:val="32"/>
        </w:rPr>
        <w:t xml:space="preserve"> 以本方式估计C</w:t>
      </w:r>
      <w:r>
        <w:rPr>
          <w:rFonts w:asciiTheme="minorBidi" w:hAnsiTheme="minorBidi"/>
          <w:sz w:val="24"/>
          <w:szCs w:val="32"/>
          <w:vertAlign w:val="subscript"/>
        </w:rPr>
        <w:t>5</w:t>
      </w:r>
      <w:r>
        <w:rPr>
          <w:rFonts w:asciiTheme="minorBidi" w:hAnsiTheme="minorBidi"/>
          <w:sz w:val="24"/>
          <w:szCs w:val="32"/>
        </w:rPr>
        <w:t>和C</w:t>
      </w:r>
      <w:r>
        <w:rPr>
          <w:rFonts w:asciiTheme="minorBidi" w:hAnsiTheme="minorBidi"/>
          <w:sz w:val="24"/>
          <w:szCs w:val="32"/>
          <w:vertAlign w:val="subscript"/>
        </w:rPr>
        <w:t>95</w:t>
      </w:r>
      <w:r>
        <w:rPr>
          <w:rFonts w:asciiTheme="minorBidi" w:hAnsiTheme="minorBidi"/>
          <w:sz w:val="24"/>
          <w:szCs w:val="32"/>
        </w:rPr>
        <w:t>浓度的目的是确保贵公司的精密度测试组成员能够充分激发贵公司的医学决策点。</w:t>
      </w:r>
    </w:p>
    <w:p w14:paraId="0A76B236">
      <w:pPr>
        <w:adjustRightInd w:val="0"/>
        <w:snapToGrid w:val="0"/>
        <w:spacing w:before="156" w:beforeLines="50" w:line="300" w:lineRule="auto"/>
        <w:rPr>
          <w:rFonts w:asciiTheme="minorBidi" w:hAnsiTheme="minorBidi"/>
          <w:sz w:val="24"/>
          <w:szCs w:val="32"/>
        </w:rPr>
      </w:pPr>
    </w:p>
    <w:p w14:paraId="0E322D4B">
      <w:pPr>
        <w:adjustRightInd w:val="0"/>
        <w:snapToGrid w:val="0"/>
        <w:spacing w:before="156" w:beforeLines="50" w:line="300" w:lineRule="auto"/>
        <w:outlineLvl w:val="2"/>
        <w:rPr>
          <w:rFonts w:asciiTheme="minorBidi" w:hAnsiTheme="minorBidi"/>
          <w:b/>
          <w:sz w:val="24"/>
          <w:szCs w:val="32"/>
        </w:rPr>
      </w:pPr>
      <w:bookmarkStart w:id="8" w:name="_Toc479653372"/>
      <w:r>
        <w:rPr>
          <w:rFonts w:asciiTheme="minorBidi" w:hAnsiTheme="minorBidi"/>
          <w:b/>
          <w:sz w:val="24"/>
          <w:szCs w:val="32"/>
        </w:rPr>
        <w:t>再现性</w:t>
      </w:r>
      <w:bookmarkEnd w:id="8"/>
    </w:p>
    <w:p w14:paraId="56378D8C">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再现性研究的方案可根据试验格式而有轻微变化。需注意，如果类似于上述室内精密度研究的较大型12天研究在除贵公司的室内测试外又纳入了2个外部研究中心，则不必须进行一项单独再现性研究。当贵公司的外部研究中心需要一些测试天数时，我们推荐以下方案：</w:t>
      </w:r>
    </w:p>
    <w:p w14:paraId="33292D69">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szCs w:val="32"/>
        </w:rPr>
      </w:pPr>
      <w:r>
        <w:rPr>
          <w:rFonts w:asciiTheme="minorBidi" w:hAnsiTheme="minorBidi"/>
          <w:sz w:val="24"/>
          <w:szCs w:val="32"/>
        </w:rPr>
        <w:t>在3个测试中心评估贵公司测试的再现性（例如，2个外部研究中心和1个内部研究中心）。</w:t>
      </w:r>
    </w:p>
    <w:p w14:paraId="6BE7EB31">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szCs w:val="32"/>
        </w:rPr>
      </w:pPr>
      <w:r>
        <w:rPr>
          <w:rFonts w:asciiTheme="minorBidi" w:hAnsiTheme="minorBidi"/>
          <w:sz w:val="24"/>
          <w:szCs w:val="32"/>
        </w:rPr>
        <w:t>使用5天测试方案，包括每天至少2次运行（除非试验设计排除了每天多次运行）和每次运行每种测试组成员3份重复。</w:t>
      </w:r>
    </w:p>
    <w:p w14:paraId="33F031B0">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szCs w:val="32"/>
        </w:rPr>
      </w:pPr>
      <w:r>
        <w:rPr>
          <w:rFonts w:asciiTheme="minorBidi" w:hAnsiTheme="minorBidi"/>
          <w:sz w:val="24"/>
          <w:szCs w:val="32"/>
        </w:rPr>
        <w:t>每天，每个机构需至少2位操作者进行测试。</w:t>
      </w:r>
    </w:p>
    <w:p w14:paraId="28B8D0A1">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szCs w:val="32"/>
        </w:rPr>
      </w:pPr>
      <w:r>
        <w:rPr>
          <w:rFonts w:asciiTheme="minorBidi" w:hAnsiTheme="minorBidi"/>
          <w:sz w:val="24"/>
          <w:szCs w:val="32"/>
        </w:rPr>
        <w:t>使用以上实验室内精密度研究中所述的样本测试组（包括根据贵公司再现性研究中实验室内精密度内部研究中评估的C</w:t>
      </w:r>
      <w:r>
        <w:rPr>
          <w:rFonts w:asciiTheme="minorBidi" w:hAnsiTheme="minorBidi"/>
          <w:sz w:val="24"/>
          <w:szCs w:val="32"/>
          <w:vertAlign w:val="subscript"/>
        </w:rPr>
        <w:t>5</w:t>
      </w:r>
      <w:r>
        <w:rPr>
          <w:rFonts w:asciiTheme="minorBidi" w:hAnsiTheme="minorBidi"/>
          <w:sz w:val="24"/>
          <w:szCs w:val="32"/>
        </w:rPr>
        <w:t>和C</w:t>
      </w:r>
      <w:r>
        <w:rPr>
          <w:rFonts w:asciiTheme="minorBidi" w:hAnsiTheme="minorBidi"/>
          <w:sz w:val="24"/>
          <w:szCs w:val="32"/>
          <w:vertAlign w:val="subscript"/>
        </w:rPr>
        <w:t>95</w:t>
      </w:r>
      <w:r>
        <w:rPr>
          <w:rFonts w:asciiTheme="minorBidi" w:hAnsiTheme="minorBidi"/>
          <w:sz w:val="24"/>
          <w:szCs w:val="32"/>
        </w:rPr>
        <w:t>样本）。对于贵公司的可重复项研究，细胞系测试组成员对每次运行的处理均应从核酸提取步骤开始，每次运行进行独立提取。</w:t>
      </w:r>
    </w:p>
    <w:p w14:paraId="5146C9B5">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对于精密度研究中（实验室内部精密度研究和再现性研究）测试的每种样本，我们建议贵公司展示信号平均值和方差分量（标准差和百分CV）。此外，贵公司应在精密度研究中纳入每种样本临界值以上和以下值的百分比。对于再现性研究，展示每个试验中心分别和合并数据的平均值和方差分量，以及高于和低于临界值值的百分比，</w:t>
      </w:r>
    </w:p>
    <w:p w14:paraId="62FB1E70">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我们建议贵公司咨询CLSI文件，EP05-A2 【参考文件7】和EP15-A2 【参考文件9】，以获取关于再现性研究设计和统计分析的其他信息。</w:t>
      </w:r>
    </w:p>
    <w:p w14:paraId="6B3EC282">
      <w:pPr>
        <w:adjustRightInd w:val="0"/>
        <w:snapToGrid w:val="0"/>
        <w:spacing w:before="156" w:beforeLines="50" w:line="300" w:lineRule="auto"/>
        <w:outlineLvl w:val="2"/>
        <w:rPr>
          <w:rFonts w:asciiTheme="minorBidi" w:hAnsiTheme="minorBidi"/>
          <w:b/>
          <w:sz w:val="24"/>
          <w:szCs w:val="32"/>
        </w:rPr>
      </w:pPr>
      <w:bookmarkStart w:id="9" w:name="_Toc479653373"/>
      <w:r>
        <w:rPr>
          <w:rFonts w:asciiTheme="minorBidi" w:hAnsiTheme="minorBidi"/>
          <w:b/>
          <w:sz w:val="24"/>
          <w:szCs w:val="32"/>
        </w:rPr>
        <w:t>交叉反应性</w:t>
      </w:r>
      <w:bookmarkEnd w:id="9"/>
    </w:p>
    <w:p w14:paraId="7EBE8B33">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我们建议贵公司使用已知会感染生殖道的其他微生物测试潜在交叉反应性，包括通过性接触传播的人类病原体。我们建议贵公司测试病毒和细菌的医学相关水平（病毒通常为10</w:t>
      </w:r>
      <w:r>
        <w:rPr>
          <w:rFonts w:asciiTheme="minorBidi" w:hAnsiTheme="minorBidi"/>
          <w:sz w:val="24"/>
          <w:szCs w:val="32"/>
          <w:vertAlign w:val="superscript"/>
        </w:rPr>
        <w:t>5</w:t>
      </w:r>
      <w:r>
        <w:rPr>
          <w:rFonts w:asciiTheme="minorBidi" w:hAnsiTheme="minorBidi"/>
          <w:sz w:val="24"/>
          <w:szCs w:val="32"/>
        </w:rPr>
        <w:t xml:space="preserve"> pfu/ml或以上，细菌为10</w:t>
      </w:r>
      <w:r>
        <w:rPr>
          <w:rFonts w:asciiTheme="minorBidi" w:hAnsiTheme="minorBidi"/>
          <w:sz w:val="24"/>
          <w:szCs w:val="32"/>
          <w:vertAlign w:val="superscript"/>
        </w:rPr>
        <w:t>6</w:t>
      </w:r>
      <w:r>
        <w:rPr>
          <w:rFonts w:asciiTheme="minorBidi" w:hAnsiTheme="minorBidi"/>
          <w:sz w:val="24"/>
          <w:szCs w:val="32"/>
        </w:rPr>
        <w:t xml:space="preserve"> cfu/ml或以上）。我们建议贵公司确认病毒和细菌的识别及滴度。滴度通常由供应商估计，但不保证。推荐用于进行交叉反应性研究的微生物列出如下。具体种属按照患病率和/或相关性推荐，但其他种属可能也根据申办者的判断进行测试。所选的任何其他种属均应已知会感染生殖道。如果有其他理由怀疑可能出现交叉感染性，应检测其他微生物（即，交叉感染的临床证据、所选探针/引物序列的血液学等。</w:t>
      </w:r>
    </w:p>
    <w:p w14:paraId="4CBA3BAE">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对于目标为一组乳头瘤病毒（HPV）基因型但不对其进行区分的器械，贵公司应测试最密切相关和/或临床显著的非目标HPV基因型，以测试交叉反应性。对于检测一种以上HPV基因型并对其进一步区分的器械，贵公司应测试目标基因型之间的交叉反应性。由于HPV不易培养，可根据贵公司的目标分析物，将HPV基因型作为质粒中经克隆HPV DNA或体外转录本进行测试。</w:t>
      </w:r>
    </w:p>
    <w:p w14:paraId="57E33759">
      <w:pPr>
        <w:adjustRightInd w:val="0"/>
        <w:snapToGrid w:val="0"/>
        <w:spacing w:before="156" w:beforeLines="50" w:line="300" w:lineRule="auto"/>
        <w:rPr>
          <w:rFonts w:asciiTheme="minorBidi" w:hAnsiTheme="minorBidi"/>
          <w:b/>
          <w:sz w:val="24"/>
          <w:szCs w:val="32"/>
        </w:rPr>
      </w:pPr>
      <w:r>
        <w:rPr>
          <w:rFonts w:asciiTheme="minorBidi" w:hAnsiTheme="minorBidi"/>
          <w:b/>
          <w:sz w:val="24"/>
          <w:szCs w:val="32"/>
        </w:rPr>
        <w:t>表1.推荐用于进行分析特异性（交叉反应性）研究的微生物。</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66A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shd w:val="clear" w:color="auto" w:fill="D0CECE" w:themeFill="background2" w:themeFillShade="E6"/>
          </w:tcPr>
          <w:p w14:paraId="7EC14346">
            <w:pPr>
              <w:adjustRightInd w:val="0"/>
              <w:snapToGrid w:val="0"/>
              <w:spacing w:before="62" w:beforeLines="20"/>
              <w:jc w:val="center"/>
              <w:rPr>
                <w:rFonts w:asciiTheme="minorBidi" w:hAnsiTheme="minorBidi"/>
                <w:b/>
                <w:szCs w:val="21"/>
              </w:rPr>
            </w:pPr>
            <w:r>
              <w:rPr>
                <w:rFonts w:asciiTheme="minorBidi" w:hAnsiTheme="minorBidi"/>
                <w:b/>
                <w:szCs w:val="21"/>
              </w:rPr>
              <w:t>微生物</w:t>
            </w:r>
          </w:p>
        </w:tc>
      </w:tr>
      <w:tr w14:paraId="1F7D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shd w:val="clear" w:color="auto" w:fill="D0CECE" w:themeFill="background2" w:themeFillShade="E6"/>
          </w:tcPr>
          <w:p w14:paraId="4F8352AC">
            <w:pPr>
              <w:adjustRightInd w:val="0"/>
              <w:snapToGrid w:val="0"/>
              <w:spacing w:before="62" w:beforeLines="20"/>
              <w:rPr>
                <w:rFonts w:asciiTheme="minorBidi" w:hAnsiTheme="minorBidi"/>
                <w:b/>
                <w:szCs w:val="21"/>
              </w:rPr>
            </w:pPr>
            <w:r>
              <w:rPr>
                <w:rFonts w:asciiTheme="minorBidi" w:hAnsiTheme="minorBidi"/>
                <w:b/>
                <w:szCs w:val="21"/>
              </w:rPr>
              <w:t>细菌：</w:t>
            </w:r>
          </w:p>
        </w:tc>
        <w:tc>
          <w:tcPr>
            <w:tcW w:w="4261" w:type="dxa"/>
            <w:shd w:val="clear" w:color="auto" w:fill="D0CECE" w:themeFill="background2" w:themeFillShade="E6"/>
          </w:tcPr>
          <w:p w14:paraId="1B9CAA53">
            <w:pPr>
              <w:adjustRightInd w:val="0"/>
              <w:snapToGrid w:val="0"/>
              <w:spacing w:before="62" w:beforeLines="20"/>
              <w:rPr>
                <w:rFonts w:asciiTheme="minorBidi" w:hAnsiTheme="minorBidi"/>
                <w:b/>
                <w:szCs w:val="21"/>
              </w:rPr>
            </w:pPr>
            <w:r>
              <w:rPr>
                <w:rFonts w:asciiTheme="minorBidi" w:hAnsiTheme="minorBidi"/>
                <w:b/>
                <w:szCs w:val="21"/>
              </w:rPr>
              <w:t>人乳头瘤病毒</w:t>
            </w:r>
          </w:p>
        </w:tc>
      </w:tr>
      <w:tr w14:paraId="69F9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1CE5B01">
            <w:pPr>
              <w:adjustRightInd w:val="0"/>
              <w:snapToGrid w:val="0"/>
              <w:spacing w:before="62" w:beforeLines="20"/>
              <w:rPr>
                <w:rFonts w:asciiTheme="minorBidi" w:hAnsiTheme="minorBidi"/>
                <w:i/>
                <w:iCs/>
                <w:szCs w:val="21"/>
              </w:rPr>
            </w:pPr>
            <w:r>
              <w:rPr>
                <w:rFonts w:asciiTheme="minorBidi" w:hAnsiTheme="minorBidi"/>
                <w:i/>
                <w:iCs/>
                <w:szCs w:val="21"/>
              </w:rPr>
              <w:t>嗜酸乳杆菌</w:t>
            </w:r>
          </w:p>
        </w:tc>
        <w:tc>
          <w:tcPr>
            <w:tcW w:w="4261" w:type="dxa"/>
            <w:vMerge w:val="restart"/>
          </w:tcPr>
          <w:p w14:paraId="37D252F2">
            <w:pPr>
              <w:adjustRightInd w:val="0"/>
              <w:snapToGrid w:val="0"/>
              <w:spacing w:before="62" w:beforeLines="20"/>
              <w:rPr>
                <w:rFonts w:asciiTheme="minorBidi" w:hAnsiTheme="minorBidi"/>
                <w:szCs w:val="21"/>
              </w:rPr>
            </w:pPr>
            <w:r>
              <w:rPr>
                <w:rFonts w:asciiTheme="minorBidi" w:hAnsiTheme="minorBidi"/>
                <w:szCs w:val="21"/>
              </w:rPr>
              <w:t>所有非目标的α-HPV基因型。α-HPV基因型包括：HPV 16、18、26、30、31、33、34、35、39、45、51、52、53、56、58、59、66、67、68，69、70、73、82、85</w:t>
            </w:r>
          </w:p>
        </w:tc>
      </w:tr>
      <w:tr w14:paraId="7584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4A89D0E">
            <w:pPr>
              <w:adjustRightInd w:val="0"/>
              <w:snapToGrid w:val="0"/>
              <w:spacing w:before="62" w:beforeLines="20"/>
              <w:rPr>
                <w:rFonts w:asciiTheme="minorBidi" w:hAnsiTheme="minorBidi"/>
                <w:i/>
                <w:iCs/>
                <w:szCs w:val="21"/>
              </w:rPr>
            </w:pPr>
            <w:r>
              <w:rPr>
                <w:rFonts w:asciiTheme="minorBidi" w:hAnsiTheme="minorBidi"/>
                <w:i/>
                <w:iCs/>
                <w:szCs w:val="21"/>
              </w:rPr>
              <w:t>表皮葡萄球菌</w:t>
            </w:r>
          </w:p>
        </w:tc>
        <w:tc>
          <w:tcPr>
            <w:tcW w:w="4261" w:type="dxa"/>
            <w:vMerge w:val="continue"/>
          </w:tcPr>
          <w:p w14:paraId="620C6835">
            <w:pPr>
              <w:adjustRightInd w:val="0"/>
              <w:snapToGrid w:val="0"/>
              <w:spacing w:before="62" w:beforeLines="20"/>
              <w:rPr>
                <w:rFonts w:asciiTheme="minorBidi" w:hAnsiTheme="minorBidi"/>
                <w:szCs w:val="21"/>
              </w:rPr>
            </w:pPr>
          </w:p>
        </w:tc>
      </w:tr>
      <w:tr w14:paraId="2873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B051361">
            <w:pPr>
              <w:adjustRightInd w:val="0"/>
              <w:snapToGrid w:val="0"/>
              <w:spacing w:before="62" w:beforeLines="20"/>
              <w:rPr>
                <w:rFonts w:asciiTheme="minorBidi" w:hAnsiTheme="minorBidi"/>
                <w:i/>
                <w:iCs/>
                <w:szCs w:val="21"/>
              </w:rPr>
            </w:pPr>
            <w:r>
              <w:rPr>
                <w:rFonts w:asciiTheme="minorBidi" w:hAnsiTheme="minorBidi"/>
                <w:i/>
                <w:iCs/>
                <w:szCs w:val="21"/>
              </w:rPr>
              <w:t>金黄色葡萄球菌</w:t>
            </w:r>
          </w:p>
        </w:tc>
        <w:tc>
          <w:tcPr>
            <w:tcW w:w="4261" w:type="dxa"/>
            <w:vMerge w:val="continue"/>
          </w:tcPr>
          <w:p w14:paraId="2243BC25">
            <w:pPr>
              <w:adjustRightInd w:val="0"/>
              <w:snapToGrid w:val="0"/>
              <w:spacing w:before="62" w:beforeLines="20"/>
              <w:rPr>
                <w:rFonts w:asciiTheme="minorBidi" w:hAnsiTheme="minorBidi"/>
                <w:szCs w:val="21"/>
              </w:rPr>
            </w:pPr>
          </w:p>
        </w:tc>
      </w:tr>
      <w:tr w14:paraId="5C3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D74D536">
            <w:pPr>
              <w:adjustRightInd w:val="0"/>
              <w:snapToGrid w:val="0"/>
              <w:spacing w:before="62" w:beforeLines="20"/>
              <w:rPr>
                <w:rFonts w:asciiTheme="minorBidi" w:hAnsiTheme="minorBidi"/>
                <w:i/>
                <w:iCs/>
                <w:szCs w:val="21"/>
              </w:rPr>
            </w:pPr>
            <w:r>
              <w:rPr>
                <w:rFonts w:asciiTheme="minorBidi" w:hAnsiTheme="minorBidi"/>
                <w:i/>
                <w:iCs/>
                <w:szCs w:val="21"/>
              </w:rPr>
              <w:t>粪链球菌</w:t>
            </w:r>
          </w:p>
        </w:tc>
        <w:tc>
          <w:tcPr>
            <w:tcW w:w="4261" w:type="dxa"/>
          </w:tcPr>
          <w:p w14:paraId="4EDA9C15">
            <w:pPr>
              <w:adjustRightInd w:val="0"/>
              <w:snapToGrid w:val="0"/>
              <w:spacing w:before="62" w:beforeLines="20"/>
              <w:rPr>
                <w:rFonts w:asciiTheme="minorBidi" w:hAnsiTheme="minorBidi"/>
                <w:szCs w:val="21"/>
              </w:rPr>
            </w:pPr>
            <w:r>
              <w:rPr>
                <w:rFonts w:asciiTheme="minorBidi" w:hAnsiTheme="minorBidi"/>
                <w:szCs w:val="21"/>
              </w:rPr>
              <w:t>HPV 6，11</w:t>
            </w:r>
          </w:p>
        </w:tc>
      </w:tr>
      <w:tr w14:paraId="4A56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6E495D1">
            <w:pPr>
              <w:adjustRightInd w:val="0"/>
              <w:snapToGrid w:val="0"/>
              <w:spacing w:before="62" w:beforeLines="20"/>
              <w:rPr>
                <w:rFonts w:asciiTheme="minorBidi" w:hAnsiTheme="minorBidi"/>
                <w:i/>
                <w:iCs/>
                <w:szCs w:val="21"/>
              </w:rPr>
            </w:pPr>
            <w:r>
              <w:rPr>
                <w:rFonts w:asciiTheme="minorBidi" w:hAnsiTheme="minorBidi"/>
                <w:i/>
                <w:iCs/>
                <w:szCs w:val="21"/>
              </w:rPr>
              <w:t>酿脓链球菌</w:t>
            </w:r>
          </w:p>
        </w:tc>
        <w:tc>
          <w:tcPr>
            <w:tcW w:w="4261" w:type="dxa"/>
            <w:vMerge w:val="restart"/>
          </w:tcPr>
          <w:p w14:paraId="2094214A">
            <w:pPr>
              <w:adjustRightInd w:val="0"/>
              <w:snapToGrid w:val="0"/>
              <w:spacing w:before="62" w:beforeLines="20"/>
              <w:rPr>
                <w:rFonts w:asciiTheme="minorBidi" w:hAnsiTheme="minorBidi"/>
                <w:szCs w:val="21"/>
              </w:rPr>
            </w:pPr>
            <w:r>
              <w:rPr>
                <w:rFonts w:asciiTheme="minorBidi" w:hAnsiTheme="minorBidi"/>
                <w:szCs w:val="21"/>
              </w:rPr>
              <w:t>根据探针-血液学分析（如，blast检索结果），任何可能与贵公司的试验产生交叉反应的非目标生殖器HPV基因型。</w:t>
            </w:r>
          </w:p>
        </w:tc>
      </w:tr>
      <w:tr w14:paraId="7D02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20BA76A8">
            <w:pPr>
              <w:adjustRightInd w:val="0"/>
              <w:snapToGrid w:val="0"/>
              <w:spacing w:before="62" w:beforeLines="20"/>
              <w:rPr>
                <w:rFonts w:asciiTheme="minorBidi" w:hAnsiTheme="minorBidi"/>
                <w:i/>
                <w:iCs/>
                <w:szCs w:val="21"/>
              </w:rPr>
            </w:pPr>
            <w:r>
              <w:rPr>
                <w:rFonts w:asciiTheme="minorBidi" w:hAnsiTheme="minorBidi"/>
                <w:i/>
                <w:iCs/>
                <w:szCs w:val="21"/>
              </w:rPr>
              <w:t>无乳链球菌</w:t>
            </w:r>
          </w:p>
        </w:tc>
        <w:tc>
          <w:tcPr>
            <w:tcW w:w="4261" w:type="dxa"/>
            <w:vMerge w:val="continue"/>
          </w:tcPr>
          <w:p w14:paraId="23786EE5">
            <w:pPr>
              <w:adjustRightInd w:val="0"/>
              <w:snapToGrid w:val="0"/>
              <w:spacing w:before="62" w:beforeLines="20"/>
              <w:rPr>
                <w:rFonts w:asciiTheme="minorBidi" w:hAnsiTheme="minorBidi"/>
                <w:szCs w:val="21"/>
              </w:rPr>
            </w:pPr>
          </w:p>
        </w:tc>
      </w:tr>
      <w:tr w14:paraId="0A98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5227244">
            <w:pPr>
              <w:adjustRightInd w:val="0"/>
              <w:snapToGrid w:val="0"/>
              <w:spacing w:before="62" w:beforeLines="20"/>
              <w:rPr>
                <w:rFonts w:asciiTheme="minorBidi" w:hAnsiTheme="minorBidi"/>
                <w:i/>
                <w:iCs/>
                <w:szCs w:val="21"/>
              </w:rPr>
            </w:pPr>
            <w:r>
              <w:rPr>
                <w:rFonts w:asciiTheme="minorBidi" w:hAnsiTheme="minorBidi"/>
                <w:i/>
                <w:iCs/>
                <w:szCs w:val="21"/>
              </w:rPr>
              <w:t>棒状杆菌属</w:t>
            </w:r>
          </w:p>
        </w:tc>
        <w:tc>
          <w:tcPr>
            <w:tcW w:w="4261" w:type="dxa"/>
            <w:vMerge w:val="continue"/>
          </w:tcPr>
          <w:p w14:paraId="00516C8E">
            <w:pPr>
              <w:adjustRightInd w:val="0"/>
              <w:snapToGrid w:val="0"/>
              <w:spacing w:before="62" w:beforeLines="20"/>
              <w:rPr>
                <w:rFonts w:asciiTheme="minorBidi" w:hAnsiTheme="minorBidi"/>
                <w:szCs w:val="21"/>
              </w:rPr>
            </w:pPr>
          </w:p>
        </w:tc>
      </w:tr>
      <w:tr w14:paraId="34BD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75A5FC4">
            <w:pPr>
              <w:adjustRightInd w:val="0"/>
              <w:snapToGrid w:val="0"/>
              <w:spacing w:before="62" w:beforeLines="20"/>
              <w:rPr>
                <w:rFonts w:asciiTheme="minorBidi" w:hAnsiTheme="minorBidi"/>
                <w:i/>
                <w:iCs/>
                <w:szCs w:val="21"/>
              </w:rPr>
            </w:pPr>
            <w:r>
              <w:rPr>
                <w:rFonts w:asciiTheme="minorBidi" w:hAnsiTheme="minorBidi"/>
                <w:i/>
                <w:iCs/>
                <w:szCs w:val="21"/>
              </w:rPr>
              <w:t>沙眼衣原体</w:t>
            </w:r>
          </w:p>
        </w:tc>
        <w:tc>
          <w:tcPr>
            <w:tcW w:w="4261" w:type="dxa"/>
          </w:tcPr>
          <w:p w14:paraId="2D69D567">
            <w:pPr>
              <w:adjustRightInd w:val="0"/>
              <w:snapToGrid w:val="0"/>
              <w:spacing w:before="62" w:beforeLines="20"/>
              <w:rPr>
                <w:rFonts w:asciiTheme="minorBidi" w:hAnsiTheme="minorBidi"/>
                <w:b/>
                <w:szCs w:val="21"/>
              </w:rPr>
            </w:pPr>
          </w:p>
        </w:tc>
      </w:tr>
      <w:tr w14:paraId="18D0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FCDC4FA">
            <w:pPr>
              <w:adjustRightInd w:val="0"/>
              <w:snapToGrid w:val="0"/>
              <w:spacing w:before="62" w:beforeLines="20"/>
              <w:rPr>
                <w:rFonts w:asciiTheme="minorBidi" w:hAnsiTheme="minorBidi"/>
                <w:i/>
                <w:iCs/>
                <w:szCs w:val="21"/>
              </w:rPr>
            </w:pPr>
            <w:r>
              <w:rPr>
                <w:rFonts w:asciiTheme="minorBidi" w:hAnsiTheme="minorBidi"/>
                <w:i/>
                <w:iCs/>
                <w:szCs w:val="21"/>
              </w:rPr>
              <w:t>淋病奈瑟菌</w:t>
            </w:r>
          </w:p>
        </w:tc>
        <w:tc>
          <w:tcPr>
            <w:tcW w:w="4261" w:type="dxa"/>
          </w:tcPr>
          <w:p w14:paraId="6BF13F9D">
            <w:pPr>
              <w:adjustRightInd w:val="0"/>
              <w:snapToGrid w:val="0"/>
              <w:spacing w:before="62" w:beforeLines="20"/>
              <w:rPr>
                <w:rFonts w:asciiTheme="minorBidi" w:hAnsiTheme="minorBidi"/>
                <w:szCs w:val="21"/>
              </w:rPr>
            </w:pPr>
            <w:r>
              <w:rPr>
                <w:rFonts w:asciiTheme="minorBidi" w:hAnsiTheme="minorBidi"/>
                <w:b/>
                <w:szCs w:val="21"/>
              </w:rPr>
              <w:t>其他病毒：</w:t>
            </w:r>
          </w:p>
        </w:tc>
      </w:tr>
      <w:tr w14:paraId="25EE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1BF4F6AD">
            <w:pPr>
              <w:adjustRightInd w:val="0"/>
              <w:snapToGrid w:val="0"/>
              <w:spacing w:before="62" w:beforeLines="20"/>
              <w:rPr>
                <w:rFonts w:asciiTheme="minorBidi" w:hAnsiTheme="minorBidi"/>
                <w:i/>
                <w:iCs/>
                <w:szCs w:val="21"/>
              </w:rPr>
            </w:pPr>
            <w:r>
              <w:rPr>
                <w:rFonts w:asciiTheme="minorBidi" w:hAnsiTheme="minorBidi"/>
                <w:i/>
                <w:iCs/>
                <w:szCs w:val="21"/>
              </w:rPr>
              <w:t>大肠杆菌</w:t>
            </w:r>
          </w:p>
        </w:tc>
        <w:tc>
          <w:tcPr>
            <w:tcW w:w="4261" w:type="dxa"/>
          </w:tcPr>
          <w:p w14:paraId="03647088">
            <w:pPr>
              <w:adjustRightInd w:val="0"/>
              <w:snapToGrid w:val="0"/>
              <w:spacing w:before="62" w:beforeLines="20"/>
              <w:rPr>
                <w:rFonts w:asciiTheme="minorBidi" w:hAnsiTheme="minorBidi"/>
                <w:szCs w:val="21"/>
              </w:rPr>
            </w:pPr>
            <w:r>
              <w:rPr>
                <w:rFonts w:asciiTheme="minorBidi" w:hAnsiTheme="minorBidi"/>
                <w:szCs w:val="21"/>
              </w:rPr>
              <w:t>腺病毒</w:t>
            </w:r>
          </w:p>
        </w:tc>
      </w:tr>
      <w:tr w14:paraId="7D3C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25E60FBF">
            <w:pPr>
              <w:adjustRightInd w:val="0"/>
              <w:snapToGrid w:val="0"/>
              <w:spacing w:before="62" w:beforeLines="20"/>
              <w:rPr>
                <w:rFonts w:asciiTheme="minorBidi" w:hAnsiTheme="minorBidi"/>
                <w:i/>
                <w:iCs/>
                <w:szCs w:val="21"/>
              </w:rPr>
            </w:pPr>
            <w:r>
              <w:rPr>
                <w:rFonts w:asciiTheme="minorBidi" w:hAnsiTheme="minorBidi"/>
                <w:i/>
                <w:iCs/>
                <w:szCs w:val="21"/>
              </w:rPr>
              <w:t>肠球菌属</w:t>
            </w:r>
          </w:p>
        </w:tc>
        <w:tc>
          <w:tcPr>
            <w:tcW w:w="4261" w:type="dxa"/>
          </w:tcPr>
          <w:p w14:paraId="5C56152D">
            <w:pPr>
              <w:adjustRightInd w:val="0"/>
              <w:snapToGrid w:val="0"/>
              <w:spacing w:before="62" w:beforeLines="20"/>
              <w:rPr>
                <w:rFonts w:asciiTheme="minorBidi" w:hAnsiTheme="minorBidi"/>
                <w:szCs w:val="21"/>
              </w:rPr>
            </w:pPr>
            <w:r>
              <w:rPr>
                <w:rFonts w:asciiTheme="minorBidi" w:hAnsiTheme="minorBidi"/>
                <w:szCs w:val="21"/>
              </w:rPr>
              <w:t>巨细胞病毒</w:t>
            </w:r>
          </w:p>
        </w:tc>
      </w:tr>
      <w:tr w14:paraId="489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7649563">
            <w:pPr>
              <w:adjustRightInd w:val="0"/>
              <w:snapToGrid w:val="0"/>
              <w:spacing w:before="62" w:beforeLines="20"/>
              <w:rPr>
                <w:rFonts w:asciiTheme="minorBidi" w:hAnsiTheme="minorBidi"/>
                <w:i/>
                <w:iCs/>
                <w:szCs w:val="21"/>
              </w:rPr>
            </w:pPr>
            <w:r>
              <w:rPr>
                <w:rFonts w:asciiTheme="minorBidi" w:hAnsiTheme="minorBidi"/>
                <w:i/>
                <w:iCs/>
                <w:szCs w:val="21"/>
              </w:rPr>
              <w:t>梭菌属</w:t>
            </w:r>
          </w:p>
        </w:tc>
        <w:tc>
          <w:tcPr>
            <w:tcW w:w="4261" w:type="dxa"/>
          </w:tcPr>
          <w:p w14:paraId="31A41B2B">
            <w:pPr>
              <w:adjustRightInd w:val="0"/>
              <w:snapToGrid w:val="0"/>
              <w:spacing w:before="62" w:beforeLines="20"/>
              <w:rPr>
                <w:rFonts w:asciiTheme="minorBidi" w:hAnsiTheme="minorBidi"/>
                <w:szCs w:val="21"/>
              </w:rPr>
            </w:pPr>
            <w:r>
              <w:rPr>
                <w:rFonts w:asciiTheme="minorBidi" w:hAnsiTheme="minorBidi"/>
                <w:szCs w:val="21"/>
              </w:rPr>
              <w:t>EB病毒</w:t>
            </w:r>
          </w:p>
        </w:tc>
      </w:tr>
      <w:tr w14:paraId="536B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4A9C56A">
            <w:pPr>
              <w:adjustRightInd w:val="0"/>
              <w:snapToGrid w:val="0"/>
              <w:spacing w:before="62" w:beforeLines="20"/>
              <w:rPr>
                <w:rFonts w:asciiTheme="minorBidi" w:hAnsiTheme="minorBidi"/>
                <w:i/>
                <w:iCs/>
                <w:szCs w:val="21"/>
              </w:rPr>
            </w:pPr>
            <w:r>
              <w:rPr>
                <w:rFonts w:asciiTheme="minorBidi" w:hAnsiTheme="minorBidi"/>
                <w:i/>
                <w:iCs/>
                <w:szCs w:val="21"/>
              </w:rPr>
              <w:t>消化链球菌属</w:t>
            </w:r>
          </w:p>
        </w:tc>
        <w:tc>
          <w:tcPr>
            <w:tcW w:w="4261" w:type="dxa"/>
          </w:tcPr>
          <w:p w14:paraId="393E897E">
            <w:pPr>
              <w:adjustRightInd w:val="0"/>
              <w:snapToGrid w:val="0"/>
              <w:spacing w:before="62" w:beforeLines="20"/>
              <w:rPr>
                <w:rFonts w:asciiTheme="minorBidi" w:hAnsiTheme="minorBidi"/>
                <w:szCs w:val="21"/>
              </w:rPr>
            </w:pPr>
            <w:r>
              <w:rPr>
                <w:rFonts w:asciiTheme="minorBidi" w:hAnsiTheme="minorBidi"/>
                <w:szCs w:val="21"/>
              </w:rPr>
              <w:t>单纯疱疹病毒1</w:t>
            </w:r>
          </w:p>
        </w:tc>
      </w:tr>
      <w:tr w14:paraId="41BB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4CA10AAD">
            <w:pPr>
              <w:adjustRightInd w:val="0"/>
              <w:snapToGrid w:val="0"/>
              <w:spacing w:before="62" w:beforeLines="20"/>
              <w:rPr>
                <w:rFonts w:asciiTheme="minorBidi" w:hAnsiTheme="minorBidi"/>
                <w:i/>
                <w:iCs/>
                <w:szCs w:val="21"/>
              </w:rPr>
            </w:pPr>
            <w:r>
              <w:rPr>
                <w:rFonts w:asciiTheme="minorBidi" w:hAnsiTheme="minorBidi"/>
                <w:i/>
                <w:iCs/>
                <w:szCs w:val="21"/>
              </w:rPr>
              <w:t>克雷伯氏菌属</w:t>
            </w:r>
          </w:p>
        </w:tc>
        <w:tc>
          <w:tcPr>
            <w:tcW w:w="4261" w:type="dxa"/>
          </w:tcPr>
          <w:p w14:paraId="5DED15CD">
            <w:pPr>
              <w:adjustRightInd w:val="0"/>
              <w:snapToGrid w:val="0"/>
              <w:spacing w:before="62" w:beforeLines="20"/>
              <w:rPr>
                <w:rFonts w:asciiTheme="minorBidi" w:hAnsiTheme="minorBidi"/>
                <w:szCs w:val="21"/>
              </w:rPr>
            </w:pPr>
            <w:r>
              <w:rPr>
                <w:rFonts w:asciiTheme="minorBidi" w:hAnsiTheme="minorBidi"/>
                <w:szCs w:val="21"/>
              </w:rPr>
              <w:t>单纯疱疹病毒2</w:t>
            </w:r>
          </w:p>
        </w:tc>
      </w:tr>
      <w:tr w14:paraId="59DC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6660315">
            <w:pPr>
              <w:adjustRightInd w:val="0"/>
              <w:snapToGrid w:val="0"/>
              <w:spacing w:before="62" w:beforeLines="20"/>
              <w:rPr>
                <w:rFonts w:asciiTheme="minorBidi" w:hAnsiTheme="minorBidi"/>
                <w:i/>
                <w:iCs/>
                <w:szCs w:val="21"/>
              </w:rPr>
            </w:pPr>
            <w:r>
              <w:rPr>
                <w:rFonts w:asciiTheme="minorBidi" w:hAnsiTheme="minorBidi"/>
                <w:i/>
                <w:iCs/>
                <w:szCs w:val="21"/>
              </w:rPr>
              <w:t>肠杆菌属</w:t>
            </w:r>
          </w:p>
        </w:tc>
        <w:tc>
          <w:tcPr>
            <w:tcW w:w="4261" w:type="dxa"/>
          </w:tcPr>
          <w:p w14:paraId="5B59FA0F">
            <w:pPr>
              <w:adjustRightInd w:val="0"/>
              <w:snapToGrid w:val="0"/>
              <w:spacing w:before="62" w:beforeLines="20"/>
              <w:rPr>
                <w:rFonts w:asciiTheme="minorBidi" w:hAnsiTheme="minorBidi"/>
                <w:szCs w:val="21"/>
              </w:rPr>
            </w:pPr>
          </w:p>
        </w:tc>
      </w:tr>
      <w:tr w14:paraId="7A7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EDA3C0B">
            <w:pPr>
              <w:adjustRightInd w:val="0"/>
              <w:snapToGrid w:val="0"/>
              <w:spacing w:before="62" w:beforeLines="20"/>
              <w:rPr>
                <w:rFonts w:asciiTheme="minorBidi" w:hAnsiTheme="minorBidi"/>
                <w:i/>
                <w:iCs/>
                <w:szCs w:val="21"/>
              </w:rPr>
            </w:pPr>
            <w:r>
              <w:rPr>
                <w:rFonts w:asciiTheme="minorBidi" w:hAnsiTheme="minorBidi"/>
                <w:i/>
                <w:iCs/>
                <w:szCs w:val="21"/>
              </w:rPr>
              <w:t>变形杆菌属</w:t>
            </w:r>
          </w:p>
        </w:tc>
        <w:tc>
          <w:tcPr>
            <w:tcW w:w="4261" w:type="dxa"/>
          </w:tcPr>
          <w:p w14:paraId="45893722">
            <w:pPr>
              <w:adjustRightInd w:val="0"/>
              <w:snapToGrid w:val="0"/>
              <w:spacing w:before="62" w:beforeLines="20"/>
              <w:rPr>
                <w:rFonts w:asciiTheme="minorBidi" w:hAnsiTheme="minorBidi"/>
                <w:szCs w:val="21"/>
              </w:rPr>
            </w:pPr>
          </w:p>
        </w:tc>
      </w:tr>
      <w:tr w14:paraId="6BB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6B77820">
            <w:pPr>
              <w:adjustRightInd w:val="0"/>
              <w:snapToGrid w:val="0"/>
              <w:spacing w:before="62" w:beforeLines="20"/>
              <w:rPr>
                <w:rFonts w:asciiTheme="minorBidi" w:hAnsiTheme="minorBidi"/>
                <w:i/>
                <w:iCs/>
                <w:szCs w:val="21"/>
              </w:rPr>
            </w:pPr>
            <w:r>
              <w:rPr>
                <w:rFonts w:asciiTheme="minorBidi" w:hAnsiTheme="minorBidi"/>
                <w:i/>
                <w:iCs/>
                <w:szCs w:val="21"/>
              </w:rPr>
              <w:t>假单胞菌属</w:t>
            </w:r>
          </w:p>
        </w:tc>
        <w:tc>
          <w:tcPr>
            <w:tcW w:w="4261" w:type="dxa"/>
          </w:tcPr>
          <w:p w14:paraId="66C1C42D">
            <w:pPr>
              <w:adjustRightInd w:val="0"/>
              <w:snapToGrid w:val="0"/>
              <w:spacing w:before="62" w:beforeLines="20"/>
              <w:rPr>
                <w:rFonts w:asciiTheme="minorBidi" w:hAnsiTheme="minorBidi"/>
                <w:szCs w:val="21"/>
              </w:rPr>
            </w:pPr>
          </w:p>
        </w:tc>
      </w:tr>
      <w:tr w14:paraId="6447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4806E350">
            <w:pPr>
              <w:adjustRightInd w:val="0"/>
              <w:snapToGrid w:val="0"/>
              <w:spacing w:before="62" w:beforeLines="20"/>
              <w:rPr>
                <w:rFonts w:asciiTheme="minorBidi" w:hAnsiTheme="minorBidi"/>
                <w:i/>
                <w:iCs/>
                <w:szCs w:val="21"/>
              </w:rPr>
            </w:pPr>
            <w:r>
              <w:rPr>
                <w:rFonts w:asciiTheme="minorBidi" w:hAnsiTheme="minorBidi"/>
                <w:i/>
                <w:iCs/>
                <w:szCs w:val="21"/>
              </w:rPr>
              <w:t>拟杆菌属</w:t>
            </w:r>
          </w:p>
        </w:tc>
        <w:tc>
          <w:tcPr>
            <w:tcW w:w="4261" w:type="dxa"/>
          </w:tcPr>
          <w:p w14:paraId="385125DA">
            <w:pPr>
              <w:adjustRightInd w:val="0"/>
              <w:snapToGrid w:val="0"/>
              <w:spacing w:before="62" w:beforeLines="20"/>
              <w:rPr>
                <w:rFonts w:asciiTheme="minorBidi" w:hAnsiTheme="minorBidi"/>
                <w:b/>
                <w:szCs w:val="21"/>
              </w:rPr>
            </w:pPr>
            <w:r>
              <w:rPr>
                <w:rFonts w:asciiTheme="minorBidi" w:hAnsiTheme="minorBidi"/>
                <w:b/>
                <w:szCs w:val="21"/>
              </w:rPr>
              <w:t>其他：</w:t>
            </w:r>
          </w:p>
        </w:tc>
      </w:tr>
      <w:tr w14:paraId="5E08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1114990E">
            <w:pPr>
              <w:adjustRightInd w:val="0"/>
              <w:snapToGrid w:val="0"/>
              <w:spacing w:before="62" w:beforeLines="20"/>
              <w:rPr>
                <w:rFonts w:asciiTheme="minorBidi" w:hAnsiTheme="minorBidi"/>
                <w:i/>
                <w:iCs/>
                <w:szCs w:val="21"/>
              </w:rPr>
            </w:pPr>
            <w:r>
              <w:rPr>
                <w:rFonts w:asciiTheme="minorBidi" w:hAnsiTheme="minorBidi"/>
                <w:i/>
                <w:iCs/>
                <w:szCs w:val="21"/>
              </w:rPr>
              <w:t>双歧杆菌属</w:t>
            </w:r>
          </w:p>
        </w:tc>
        <w:tc>
          <w:tcPr>
            <w:tcW w:w="4261" w:type="dxa"/>
          </w:tcPr>
          <w:p w14:paraId="5A65A75B">
            <w:pPr>
              <w:adjustRightInd w:val="0"/>
              <w:snapToGrid w:val="0"/>
              <w:spacing w:before="62" w:beforeLines="20"/>
              <w:rPr>
                <w:rFonts w:asciiTheme="minorBidi" w:hAnsiTheme="minorBidi"/>
                <w:szCs w:val="21"/>
              </w:rPr>
            </w:pPr>
            <w:r>
              <w:rPr>
                <w:rFonts w:asciiTheme="minorBidi" w:hAnsiTheme="minorBidi"/>
                <w:szCs w:val="21"/>
              </w:rPr>
              <w:t>白色念珠菌</w:t>
            </w:r>
          </w:p>
        </w:tc>
      </w:tr>
      <w:tr w14:paraId="2BDD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446C79D2">
            <w:pPr>
              <w:adjustRightInd w:val="0"/>
              <w:snapToGrid w:val="0"/>
              <w:spacing w:before="62" w:beforeLines="20"/>
              <w:rPr>
                <w:rFonts w:asciiTheme="minorBidi" w:hAnsiTheme="minorBidi"/>
                <w:i/>
                <w:iCs/>
                <w:szCs w:val="21"/>
              </w:rPr>
            </w:pPr>
            <w:r>
              <w:rPr>
                <w:rFonts w:asciiTheme="minorBidi" w:hAnsiTheme="minorBidi"/>
                <w:i/>
                <w:iCs/>
                <w:szCs w:val="21"/>
              </w:rPr>
              <w:t>梭杆菌属</w:t>
            </w:r>
          </w:p>
        </w:tc>
        <w:tc>
          <w:tcPr>
            <w:tcW w:w="4261" w:type="dxa"/>
          </w:tcPr>
          <w:p w14:paraId="7DB4A7F8">
            <w:pPr>
              <w:adjustRightInd w:val="0"/>
              <w:snapToGrid w:val="0"/>
              <w:spacing w:before="62" w:beforeLines="20"/>
              <w:rPr>
                <w:rFonts w:asciiTheme="minorBidi" w:hAnsiTheme="minorBidi"/>
                <w:szCs w:val="21"/>
              </w:rPr>
            </w:pPr>
            <w:r>
              <w:rPr>
                <w:rFonts w:asciiTheme="minorBidi" w:hAnsiTheme="minorBidi"/>
                <w:szCs w:val="21"/>
              </w:rPr>
              <w:t>阴道毛滴虫</w:t>
            </w:r>
          </w:p>
        </w:tc>
      </w:tr>
    </w:tbl>
    <w:p w14:paraId="4121B3BA">
      <w:pPr>
        <w:adjustRightInd w:val="0"/>
        <w:snapToGrid w:val="0"/>
        <w:spacing w:before="156" w:beforeLines="50" w:line="300" w:lineRule="auto"/>
        <w:rPr>
          <w:rFonts w:asciiTheme="minorBidi" w:hAnsiTheme="minorBidi"/>
          <w:sz w:val="24"/>
          <w:szCs w:val="32"/>
        </w:rPr>
      </w:pPr>
    </w:p>
    <w:p w14:paraId="150A287E">
      <w:pPr>
        <w:widowControl/>
        <w:adjustRightInd w:val="0"/>
        <w:snapToGrid w:val="0"/>
        <w:spacing w:before="156" w:beforeLines="50" w:line="300" w:lineRule="auto"/>
        <w:jc w:val="left"/>
        <w:rPr>
          <w:rFonts w:asciiTheme="minorBidi" w:hAnsiTheme="minorBidi"/>
          <w:sz w:val="24"/>
          <w:szCs w:val="32"/>
        </w:rPr>
      </w:pPr>
      <w:r>
        <w:rPr>
          <w:rFonts w:asciiTheme="minorBidi" w:hAnsiTheme="minorBidi"/>
          <w:sz w:val="24"/>
          <w:szCs w:val="32"/>
        </w:rPr>
        <w:br w:type="page"/>
      </w:r>
    </w:p>
    <w:p w14:paraId="00F7C5AE">
      <w:pPr>
        <w:adjustRightInd w:val="0"/>
        <w:snapToGrid w:val="0"/>
        <w:spacing w:before="156" w:beforeLines="50" w:line="300" w:lineRule="auto"/>
        <w:rPr>
          <w:rFonts w:asciiTheme="minorBidi" w:hAnsiTheme="minorBidi"/>
          <w:b/>
          <w:sz w:val="24"/>
          <w:szCs w:val="32"/>
        </w:rPr>
      </w:pPr>
    </w:p>
    <w:p w14:paraId="0375CD34">
      <w:pPr>
        <w:adjustRightInd w:val="0"/>
        <w:snapToGrid w:val="0"/>
        <w:spacing w:before="156" w:beforeLines="50" w:line="300" w:lineRule="auto"/>
        <w:outlineLvl w:val="2"/>
        <w:rPr>
          <w:rFonts w:asciiTheme="minorBidi" w:hAnsiTheme="minorBidi"/>
          <w:b/>
          <w:sz w:val="24"/>
          <w:szCs w:val="32"/>
        </w:rPr>
      </w:pPr>
      <w:bookmarkStart w:id="10" w:name="_Toc479653374"/>
      <w:r>
        <w:rPr>
          <w:rFonts w:asciiTheme="minorBidi" w:hAnsiTheme="minorBidi"/>
          <w:b/>
          <w:sz w:val="24"/>
          <w:szCs w:val="32"/>
        </w:rPr>
        <w:t>干扰</w:t>
      </w:r>
      <w:bookmarkEnd w:id="10"/>
    </w:p>
    <w:p w14:paraId="2EA4B74A">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我们建议贵公司使用医学相关浓度的干扰物和至少一种与临床最相关的HPV基因型（如HPV 16或HPV 18）进行综合干扰研究，以评估宫颈标本中所见物质的潜在抑制作用。</w:t>
      </w:r>
    </w:p>
    <w:p w14:paraId="76539A09">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潜在干扰物质包括但不限于以下几种：全血（人）、白细胞、避孕用品和女性卫生用品。所选产品的活性成分和/或商标名以及所检测浓度均应在贵公司的标签中提供。潜在干扰物质的示例列出如下。我们建议贵公司使用含可激发医学决策点（临床临界值周围，如，C</w:t>
      </w:r>
      <w:r>
        <w:rPr>
          <w:rFonts w:asciiTheme="minorBidi" w:hAnsiTheme="minorBidi"/>
          <w:sz w:val="24"/>
          <w:szCs w:val="32"/>
          <w:vertAlign w:val="subscript"/>
        </w:rPr>
        <w:t>95</w:t>
      </w:r>
      <w:r>
        <w:rPr>
          <w:rFonts w:asciiTheme="minorBidi" w:hAnsiTheme="minorBidi"/>
          <w:sz w:val="24"/>
          <w:szCs w:val="32"/>
        </w:rPr>
        <w:t>）分析物水平的样本测试干扰性。我们还建议贵公司评估每种潜在最高浓度的干扰物质（“最差情况”）。完成本目的的一种方法是，将一种标本采集器械直接浸入潜在干扰物质中，随后将采集器械置于一种分离测试标本的分装品中。测试无潜在干扰物的另一份分装品，从而比较成对样本之间的信号。本方法中，2份分装品（有和无潜在干扰物）均以相同方式在一次分析运行中作为有充分复制的患者标本（至少4至7份重复）进行测试。计算所观察干扰影响的估计值，作为2份分装品平均值之间差异，并计算了干扰作用的双侧95%置信区间。如果未观察到显著临床影响，不需要进一步测试。我们建议贵公司参见CLSI文件EP07-A2 【参考文件10】获取关于干扰测试的其他信息。</w:t>
      </w:r>
    </w:p>
    <w:p w14:paraId="0F5BF976">
      <w:pPr>
        <w:adjustRightInd w:val="0"/>
        <w:snapToGrid w:val="0"/>
        <w:spacing w:before="156" w:beforeLines="50" w:line="300" w:lineRule="auto"/>
        <w:rPr>
          <w:rFonts w:asciiTheme="minorBidi" w:hAnsiTheme="minorBidi"/>
          <w:b/>
          <w:sz w:val="24"/>
          <w:szCs w:val="32"/>
        </w:rPr>
      </w:pPr>
      <w:r>
        <w:rPr>
          <w:rFonts w:asciiTheme="minorBidi" w:hAnsiTheme="minorBidi"/>
          <w:b/>
          <w:sz w:val="24"/>
          <w:szCs w:val="32"/>
        </w:rPr>
        <w:t>表2.干扰研究推荐的物质</w:t>
      </w:r>
    </w:p>
    <w:tbl>
      <w:tblPr>
        <w:tblStyle w:val="10"/>
        <w:tblW w:w="4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tblGrid>
      <w:tr w14:paraId="4404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D0CECE" w:themeFill="background2" w:themeFillShade="E6"/>
          </w:tcPr>
          <w:p w14:paraId="1B012AF7">
            <w:pPr>
              <w:adjustRightInd w:val="0"/>
              <w:snapToGrid w:val="0"/>
              <w:spacing w:before="156" w:beforeLines="50"/>
              <w:rPr>
                <w:rFonts w:asciiTheme="minorBidi" w:hAnsiTheme="minorBidi"/>
                <w:b/>
                <w:szCs w:val="21"/>
              </w:rPr>
            </w:pPr>
            <w:r>
              <w:rPr>
                <w:rFonts w:asciiTheme="minorBidi" w:hAnsiTheme="minorBidi"/>
                <w:b/>
                <w:szCs w:val="21"/>
              </w:rPr>
              <w:t>物质</w:t>
            </w:r>
          </w:p>
        </w:tc>
      </w:tr>
      <w:tr w14:paraId="1E8C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F2CE9F">
            <w:pPr>
              <w:adjustRightInd w:val="0"/>
              <w:snapToGrid w:val="0"/>
              <w:spacing w:before="156" w:beforeLines="50"/>
              <w:rPr>
                <w:rFonts w:asciiTheme="minorBidi" w:hAnsiTheme="minorBidi"/>
                <w:szCs w:val="21"/>
              </w:rPr>
            </w:pPr>
            <w:r>
              <w:rPr>
                <w:rFonts w:asciiTheme="minorBidi" w:hAnsiTheme="minorBidi"/>
                <w:szCs w:val="21"/>
              </w:rPr>
              <w:t>全血（人）</w:t>
            </w:r>
          </w:p>
        </w:tc>
      </w:tr>
      <w:tr w14:paraId="386A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0B5917">
            <w:pPr>
              <w:adjustRightInd w:val="0"/>
              <w:snapToGrid w:val="0"/>
              <w:spacing w:before="156" w:beforeLines="50"/>
              <w:rPr>
                <w:rFonts w:asciiTheme="minorBidi" w:hAnsiTheme="minorBidi"/>
                <w:szCs w:val="21"/>
              </w:rPr>
            </w:pPr>
            <w:r>
              <w:rPr>
                <w:rFonts w:asciiTheme="minorBidi" w:hAnsiTheme="minorBidi"/>
                <w:szCs w:val="21"/>
              </w:rPr>
              <w:t>白细胞（1×10</w:t>
            </w:r>
            <w:r>
              <w:rPr>
                <w:rFonts w:asciiTheme="minorBidi" w:hAnsiTheme="minorBidi"/>
                <w:szCs w:val="21"/>
                <w:vertAlign w:val="superscript"/>
              </w:rPr>
              <w:t>6</w:t>
            </w:r>
            <w:r>
              <w:rPr>
                <w:rFonts w:asciiTheme="minorBidi" w:hAnsiTheme="minorBidi"/>
                <w:szCs w:val="21"/>
              </w:rPr>
              <w:t xml:space="preserve"> 细胞/ml）</w:t>
            </w:r>
          </w:p>
        </w:tc>
      </w:tr>
      <w:tr w14:paraId="4769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88134D">
            <w:pPr>
              <w:adjustRightInd w:val="0"/>
              <w:snapToGrid w:val="0"/>
              <w:spacing w:before="156" w:beforeLines="50"/>
              <w:rPr>
                <w:rFonts w:asciiTheme="minorBidi" w:hAnsiTheme="minorBidi"/>
                <w:szCs w:val="21"/>
              </w:rPr>
            </w:pPr>
            <w:r>
              <w:rPr>
                <w:rFonts w:asciiTheme="minorBidi" w:hAnsiTheme="minorBidi"/>
                <w:szCs w:val="21"/>
              </w:rPr>
              <w:t>避孕胶冻</w:t>
            </w:r>
          </w:p>
        </w:tc>
      </w:tr>
      <w:tr w14:paraId="5018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6319A0">
            <w:pPr>
              <w:adjustRightInd w:val="0"/>
              <w:snapToGrid w:val="0"/>
              <w:spacing w:before="156" w:beforeLines="50"/>
              <w:rPr>
                <w:rFonts w:asciiTheme="minorBidi" w:hAnsiTheme="minorBidi"/>
                <w:szCs w:val="21"/>
              </w:rPr>
            </w:pPr>
            <w:r>
              <w:rPr>
                <w:rFonts w:asciiTheme="minorBidi" w:hAnsiTheme="minorBidi"/>
                <w:szCs w:val="21"/>
              </w:rPr>
              <w:t>冲洗器</w:t>
            </w:r>
          </w:p>
        </w:tc>
      </w:tr>
      <w:tr w14:paraId="3BE2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DECC2D1">
            <w:pPr>
              <w:adjustRightInd w:val="0"/>
              <w:snapToGrid w:val="0"/>
              <w:spacing w:before="156" w:beforeLines="50"/>
              <w:rPr>
                <w:rFonts w:asciiTheme="minorBidi" w:hAnsiTheme="minorBidi"/>
                <w:szCs w:val="21"/>
              </w:rPr>
            </w:pPr>
            <w:r>
              <w:rPr>
                <w:rFonts w:asciiTheme="minorBidi" w:hAnsiTheme="minorBidi"/>
                <w:szCs w:val="21"/>
              </w:rPr>
              <w:t>抗真菌乳膏</w:t>
            </w:r>
          </w:p>
        </w:tc>
      </w:tr>
      <w:tr w14:paraId="4772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7A0EB6">
            <w:pPr>
              <w:adjustRightInd w:val="0"/>
              <w:snapToGrid w:val="0"/>
              <w:spacing w:before="156" w:beforeLines="50"/>
              <w:rPr>
                <w:rFonts w:asciiTheme="minorBidi" w:hAnsiTheme="minorBidi"/>
                <w:szCs w:val="21"/>
              </w:rPr>
            </w:pPr>
            <w:r>
              <w:rPr>
                <w:rFonts w:asciiTheme="minorBidi" w:hAnsiTheme="minorBidi"/>
                <w:szCs w:val="21"/>
              </w:rPr>
              <w:t>杀精子剂</w:t>
            </w:r>
          </w:p>
        </w:tc>
      </w:tr>
      <w:tr w14:paraId="3853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AF854B">
            <w:pPr>
              <w:adjustRightInd w:val="0"/>
              <w:snapToGrid w:val="0"/>
              <w:spacing w:before="156" w:beforeLines="50"/>
              <w:rPr>
                <w:rFonts w:asciiTheme="minorBidi" w:hAnsiTheme="minorBidi"/>
                <w:szCs w:val="21"/>
              </w:rPr>
            </w:pPr>
            <w:r>
              <w:rPr>
                <w:rFonts w:asciiTheme="minorBidi" w:hAnsiTheme="minorBidi"/>
                <w:szCs w:val="21"/>
              </w:rPr>
              <w:t>阴道润滑剂</w:t>
            </w:r>
          </w:p>
        </w:tc>
      </w:tr>
      <w:tr w14:paraId="0C88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77DB06">
            <w:pPr>
              <w:adjustRightInd w:val="0"/>
              <w:snapToGrid w:val="0"/>
              <w:spacing w:before="156" w:beforeLines="50"/>
              <w:rPr>
                <w:rFonts w:asciiTheme="minorBidi" w:hAnsiTheme="minorBidi"/>
                <w:szCs w:val="21"/>
              </w:rPr>
            </w:pPr>
            <w:r>
              <w:rPr>
                <w:rFonts w:asciiTheme="minorBidi" w:hAnsiTheme="minorBidi"/>
                <w:szCs w:val="21"/>
              </w:rPr>
              <w:t>女性喷雾</w:t>
            </w:r>
          </w:p>
        </w:tc>
      </w:tr>
      <w:tr w14:paraId="3958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086004">
            <w:pPr>
              <w:adjustRightInd w:val="0"/>
              <w:snapToGrid w:val="0"/>
              <w:spacing w:before="156" w:beforeLines="50"/>
              <w:rPr>
                <w:rFonts w:asciiTheme="minorBidi" w:hAnsiTheme="minorBidi"/>
                <w:szCs w:val="21"/>
              </w:rPr>
            </w:pPr>
            <w:r>
              <w:rPr>
                <w:rFonts w:asciiTheme="minorBidi" w:hAnsiTheme="minorBidi"/>
                <w:szCs w:val="21"/>
              </w:rPr>
              <w:t>阴道内激素</w:t>
            </w:r>
          </w:p>
        </w:tc>
      </w:tr>
      <w:tr w14:paraId="5D3A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28EE7EF">
            <w:pPr>
              <w:adjustRightInd w:val="0"/>
              <w:snapToGrid w:val="0"/>
              <w:spacing w:before="156" w:beforeLines="50"/>
              <w:rPr>
                <w:rFonts w:asciiTheme="minorBidi" w:hAnsiTheme="minorBidi"/>
                <w:szCs w:val="21"/>
              </w:rPr>
            </w:pPr>
            <w:r>
              <w:rPr>
                <w:rFonts w:asciiTheme="minorBidi" w:hAnsiTheme="minorBidi"/>
                <w:szCs w:val="21"/>
              </w:rPr>
              <w:t>粘液</w:t>
            </w:r>
          </w:p>
        </w:tc>
      </w:tr>
    </w:tbl>
    <w:p w14:paraId="155B189D">
      <w:pPr>
        <w:adjustRightInd w:val="0"/>
        <w:snapToGrid w:val="0"/>
        <w:spacing w:before="156" w:beforeLines="50" w:line="300" w:lineRule="auto"/>
        <w:rPr>
          <w:rFonts w:asciiTheme="minorBidi" w:hAnsiTheme="minorBidi"/>
          <w:sz w:val="24"/>
          <w:szCs w:val="32"/>
        </w:rPr>
      </w:pPr>
    </w:p>
    <w:p w14:paraId="4B1D5CEA">
      <w:pPr>
        <w:widowControl/>
        <w:adjustRightInd w:val="0"/>
        <w:snapToGrid w:val="0"/>
        <w:spacing w:before="156" w:beforeLines="50" w:line="300" w:lineRule="auto"/>
        <w:jc w:val="left"/>
        <w:rPr>
          <w:rFonts w:asciiTheme="minorBidi" w:hAnsiTheme="minorBidi"/>
          <w:sz w:val="24"/>
          <w:szCs w:val="32"/>
        </w:rPr>
      </w:pPr>
      <w:r>
        <w:rPr>
          <w:rFonts w:asciiTheme="minorBidi" w:hAnsiTheme="minorBidi"/>
          <w:sz w:val="24"/>
          <w:szCs w:val="32"/>
        </w:rPr>
        <w:br w:type="page"/>
      </w:r>
    </w:p>
    <w:p w14:paraId="315A949C">
      <w:pPr>
        <w:adjustRightInd w:val="0"/>
        <w:snapToGrid w:val="0"/>
        <w:spacing w:before="156" w:beforeLines="50" w:line="300" w:lineRule="auto"/>
        <w:rPr>
          <w:rFonts w:asciiTheme="minorBidi" w:hAnsiTheme="minorBidi"/>
          <w:b/>
          <w:sz w:val="24"/>
          <w:szCs w:val="32"/>
        </w:rPr>
      </w:pPr>
    </w:p>
    <w:p w14:paraId="47A0BD1A">
      <w:pPr>
        <w:adjustRightInd w:val="0"/>
        <w:snapToGrid w:val="0"/>
        <w:spacing w:before="156" w:beforeLines="50" w:line="300" w:lineRule="auto"/>
        <w:outlineLvl w:val="2"/>
        <w:rPr>
          <w:rFonts w:asciiTheme="minorBidi" w:hAnsiTheme="minorBidi"/>
          <w:b/>
          <w:sz w:val="24"/>
        </w:rPr>
      </w:pPr>
      <w:bookmarkStart w:id="11" w:name="_Toc479653375"/>
      <w:r>
        <w:rPr>
          <w:rFonts w:asciiTheme="minorBidi" w:hAnsiTheme="minorBidi"/>
          <w:b/>
          <w:sz w:val="24"/>
        </w:rPr>
        <w:t>遗留和交叉污染研究（针对有自动液体处理系统的器械）</w:t>
      </w:r>
      <w:bookmarkEnd w:id="11"/>
    </w:p>
    <w:p w14:paraId="6AF25635">
      <w:pPr>
        <w:adjustRightInd w:val="0"/>
        <w:snapToGrid w:val="0"/>
        <w:spacing w:before="156" w:beforeLines="50" w:line="300" w:lineRule="auto"/>
        <w:rPr>
          <w:rFonts w:asciiTheme="minorBidi" w:hAnsiTheme="minorBidi"/>
          <w:sz w:val="24"/>
        </w:rPr>
      </w:pPr>
      <w:r>
        <w:rPr>
          <w:rFonts w:asciiTheme="minorBidi" w:hAnsiTheme="minorBidi"/>
          <w:sz w:val="24"/>
        </w:rPr>
        <w:t>我们建议贵公司证明在贵公司推荐的使用说明下，贵公司的器械不会出现遗留和交叉污染。在一项遗留和交叉污染研究中，我们建议根据器械的运行功能，将高阳性样本与阴性样本按顺序交替使用。应使用交替高阳性和阴性样本进行5次运行。我们建议研究中高阳性样本应足够高，在预期用途人群中超过95%或高于患病患者中获得的结果。随后可估算遗留和交叉污染影响，使用与无临近高阳性样本（即，仅在板上运行阴性样本）中阴性结果的百分比相比，在遗留研究中临近高阳性样本的阴性样本的阴性结果百分比进行。详细信息请参见Haeckel 【参考文件11】。对于适用于测试残留细胞学样本的器械，应提供任何上游自动细胞学处理系统的遗留影响分析。</w:t>
      </w:r>
    </w:p>
    <w:p w14:paraId="5B602CFA">
      <w:pPr>
        <w:adjustRightInd w:val="0"/>
        <w:snapToGrid w:val="0"/>
        <w:spacing w:before="156" w:beforeLines="50" w:line="300" w:lineRule="auto"/>
        <w:rPr>
          <w:rFonts w:asciiTheme="minorBidi" w:hAnsiTheme="minorBidi"/>
          <w:sz w:val="24"/>
        </w:rPr>
      </w:pPr>
    </w:p>
    <w:p w14:paraId="0C801ED0">
      <w:pPr>
        <w:adjustRightInd w:val="0"/>
        <w:snapToGrid w:val="0"/>
        <w:spacing w:before="156" w:beforeLines="50" w:line="300" w:lineRule="auto"/>
        <w:outlineLvl w:val="2"/>
        <w:rPr>
          <w:rFonts w:asciiTheme="minorBidi" w:hAnsiTheme="minorBidi"/>
          <w:b/>
          <w:sz w:val="24"/>
        </w:rPr>
      </w:pPr>
      <w:bookmarkStart w:id="12" w:name="_Toc479653376"/>
      <w:r>
        <w:rPr>
          <w:rFonts w:asciiTheme="minorBidi" w:hAnsiTheme="minorBidi"/>
          <w:b/>
          <w:sz w:val="24"/>
        </w:rPr>
        <w:t>标本储存和运输条件</w:t>
      </w:r>
      <w:bookmarkEnd w:id="12"/>
    </w:p>
    <w:p w14:paraId="4B7CDBE0">
      <w:pPr>
        <w:adjustRightInd w:val="0"/>
        <w:snapToGrid w:val="0"/>
        <w:spacing w:before="156" w:beforeLines="50" w:line="300" w:lineRule="auto"/>
        <w:rPr>
          <w:rFonts w:asciiTheme="minorBidi" w:hAnsiTheme="minorBidi"/>
          <w:sz w:val="24"/>
        </w:rPr>
      </w:pPr>
      <w:r>
        <w:rPr>
          <w:rFonts w:asciiTheme="minorBidi" w:hAnsiTheme="minorBidi"/>
          <w:sz w:val="24"/>
        </w:rPr>
        <w:t>对于贵公司推荐的标本储存条件，贵公司应证明在整个推荐储存持续时间内几个时间点时，贵公司的器械对所储存标本可生成与时间零点等效的结果。评估的储存温度应代表贵公司推荐温度范围的每种极限。贵公司应利用贵公司预期用途中声明的标本类型和可激发贵公司试验中医学决策点的分析物水平，确立贵公司的标本储存和运输条件。</w:t>
      </w:r>
    </w:p>
    <w:p w14:paraId="7123C971">
      <w:pPr>
        <w:adjustRightInd w:val="0"/>
        <w:snapToGrid w:val="0"/>
        <w:spacing w:before="156" w:beforeLines="50" w:line="300" w:lineRule="auto"/>
        <w:rPr>
          <w:rFonts w:asciiTheme="minorBidi" w:hAnsiTheme="minorBidi"/>
          <w:sz w:val="24"/>
        </w:rPr>
      </w:pPr>
    </w:p>
    <w:p w14:paraId="1A0226C8">
      <w:pPr>
        <w:adjustRightInd w:val="0"/>
        <w:snapToGrid w:val="0"/>
        <w:spacing w:before="156" w:beforeLines="50" w:line="300" w:lineRule="auto"/>
        <w:outlineLvl w:val="2"/>
        <w:rPr>
          <w:rFonts w:asciiTheme="minorBidi" w:hAnsiTheme="minorBidi"/>
          <w:b/>
          <w:sz w:val="24"/>
        </w:rPr>
      </w:pPr>
      <w:bookmarkStart w:id="13" w:name="_Toc479653377"/>
      <w:r>
        <w:rPr>
          <w:rFonts w:asciiTheme="minorBidi" w:hAnsiTheme="minorBidi"/>
          <w:b/>
          <w:sz w:val="24"/>
        </w:rPr>
        <w:t>试剂储存和运输条件</w:t>
      </w:r>
      <w:bookmarkEnd w:id="13"/>
    </w:p>
    <w:p w14:paraId="5BA74FEA">
      <w:pPr>
        <w:adjustRightInd w:val="0"/>
        <w:snapToGrid w:val="0"/>
        <w:spacing w:before="156" w:beforeLines="50" w:line="300" w:lineRule="auto"/>
        <w:rPr>
          <w:rFonts w:asciiTheme="minorBidi" w:hAnsiTheme="minorBidi"/>
          <w:sz w:val="24"/>
        </w:rPr>
      </w:pPr>
      <w:r>
        <w:rPr>
          <w:rFonts w:asciiTheme="minorBidi" w:hAnsiTheme="minorBidi"/>
          <w:sz w:val="24"/>
        </w:rPr>
        <w:t>对于贵公司推荐的试剂储存条件，贵公司应利用所储存试剂证明在整个推荐储存持续时间内几个时间点时，贵公司的器械可生成与时间零点等效的结果。评估的储存温度应代表贵公司推荐温度范围的每种极限。我们建议贵公司参见CLSI文件EP25-A 【参考文件12】获取其他信息。极速稳定性研究适用于估算试剂稳定性，但贵公司提交资料中的数据应显示真实时间性能。贵公司应利用贵公司预期用途中声明的标本类型和可激发贵公司试验中医学决策点的分析物水平，确立贵公司的试剂储存和运输条件。</w:t>
      </w:r>
    </w:p>
    <w:p w14:paraId="4A443682">
      <w:pPr>
        <w:adjustRightInd w:val="0"/>
        <w:snapToGrid w:val="0"/>
        <w:spacing w:before="156" w:beforeLines="50" w:line="300" w:lineRule="auto"/>
        <w:rPr>
          <w:rFonts w:asciiTheme="minorBidi" w:hAnsiTheme="minorBidi"/>
          <w:sz w:val="24"/>
        </w:rPr>
      </w:pPr>
    </w:p>
    <w:p w14:paraId="694D2A75">
      <w:pPr>
        <w:pStyle w:val="17"/>
        <w:numPr>
          <w:ilvl w:val="1"/>
          <w:numId w:val="2"/>
        </w:numPr>
        <w:adjustRightInd w:val="0"/>
        <w:snapToGrid w:val="0"/>
        <w:spacing w:before="156" w:beforeLines="50" w:line="300" w:lineRule="auto"/>
        <w:ind w:left="482" w:hanging="482" w:hangingChars="200"/>
        <w:outlineLvl w:val="1"/>
        <w:rPr>
          <w:rFonts w:asciiTheme="minorBidi" w:hAnsiTheme="minorBidi"/>
          <w:b/>
          <w:sz w:val="24"/>
          <w:u w:val="single"/>
        </w:rPr>
      </w:pPr>
      <w:bookmarkStart w:id="14" w:name="_Toc479653378"/>
      <w:r>
        <w:rPr>
          <w:rFonts w:asciiTheme="minorBidi" w:hAnsiTheme="minorBidi"/>
          <w:b/>
          <w:sz w:val="24"/>
          <w:u w:val="single"/>
        </w:rPr>
        <w:t>临床性能研究</w:t>
      </w:r>
      <w:bookmarkEnd w:id="14"/>
    </w:p>
    <w:p w14:paraId="7B7A5DC5">
      <w:pPr>
        <w:adjustRightInd w:val="0"/>
        <w:snapToGrid w:val="0"/>
        <w:spacing w:before="156" w:beforeLines="50" w:line="300" w:lineRule="auto"/>
        <w:outlineLvl w:val="2"/>
        <w:rPr>
          <w:rFonts w:asciiTheme="minorBidi" w:hAnsiTheme="minorBidi"/>
          <w:b/>
          <w:sz w:val="24"/>
        </w:rPr>
      </w:pPr>
      <w:bookmarkStart w:id="15" w:name="_Toc479653379"/>
      <w:r>
        <w:rPr>
          <w:rFonts w:asciiTheme="minorBidi" w:hAnsiTheme="minorBidi"/>
          <w:b/>
          <w:sz w:val="24"/>
        </w:rPr>
        <w:t>指南注意事项</w:t>
      </w:r>
      <w:bookmarkEnd w:id="15"/>
    </w:p>
    <w:p w14:paraId="0AA291D9">
      <w:pPr>
        <w:adjustRightInd w:val="0"/>
        <w:snapToGrid w:val="0"/>
        <w:spacing w:before="156" w:beforeLines="50" w:line="300" w:lineRule="auto"/>
        <w:rPr>
          <w:rFonts w:asciiTheme="minorBidi" w:hAnsiTheme="minorBidi"/>
          <w:sz w:val="24"/>
        </w:rPr>
      </w:pPr>
      <w:r>
        <w:rPr>
          <w:rFonts w:asciiTheme="minorBidi" w:hAnsiTheme="minorBidi"/>
          <w:sz w:val="24"/>
        </w:rPr>
        <w:t>专业宫颈癌筛选指南可帮助定义一种HPV器械将在较大患者管理方案中起到的作用，因此有助于评估一种HPV器械的任何预期用途声明及其支持数据。在本指南中将考虑的指南为2006年子宫颈癌筛查异常妇女处理的共识指南（2006共识指南） 【参考文件13】，其为宫颈癌筛查方面可用的最新共识指南。</w:t>
      </w:r>
    </w:p>
    <w:p w14:paraId="28512415">
      <w:pPr>
        <w:adjustRightInd w:val="0"/>
        <w:snapToGrid w:val="0"/>
        <w:spacing w:before="156" w:beforeLines="50" w:line="300" w:lineRule="auto"/>
        <w:rPr>
          <w:rFonts w:asciiTheme="minorBidi" w:hAnsiTheme="minorBidi"/>
          <w:sz w:val="24"/>
        </w:rPr>
      </w:pPr>
    </w:p>
    <w:p w14:paraId="5AD8CFFD">
      <w:pPr>
        <w:adjustRightInd w:val="0"/>
        <w:snapToGrid w:val="0"/>
        <w:spacing w:before="156" w:beforeLines="50" w:line="300" w:lineRule="auto"/>
        <w:rPr>
          <w:rFonts w:asciiTheme="minorBidi" w:hAnsiTheme="minorBidi"/>
          <w:sz w:val="24"/>
        </w:rPr>
      </w:pPr>
      <w:r>
        <w:rPr>
          <w:rFonts w:asciiTheme="minorBidi" w:hAnsiTheme="minorBidi"/>
          <w:sz w:val="24"/>
        </w:rPr>
        <w:t>尽管食品药品监督管理局中考虑了专业指南，给出进行HPV测试的预期用途仍主要受提交供测试批准的数据所支持，且通常受限于所评估的人群和样本类型。研究应针对于在按照HPV测试结局分层的给定人群中，确立女性的宫颈疾病风险。HPV测试的预期用途可进行更通用的书写（如以下“辅助”预期用途），以使临床医师能够按照其认为合适的方式灵活使用本风险信息，尤其是在未来宫颈癌筛查指南的开发中。</w:t>
      </w:r>
    </w:p>
    <w:p w14:paraId="0CB4E05C">
      <w:pPr>
        <w:adjustRightInd w:val="0"/>
        <w:snapToGrid w:val="0"/>
        <w:spacing w:before="156" w:beforeLines="50" w:line="300" w:lineRule="auto"/>
        <w:rPr>
          <w:rFonts w:asciiTheme="minorBidi" w:hAnsiTheme="minorBidi"/>
          <w:sz w:val="24"/>
        </w:rPr>
      </w:pPr>
    </w:p>
    <w:p w14:paraId="43C1A243">
      <w:pPr>
        <w:adjustRightInd w:val="0"/>
        <w:snapToGrid w:val="0"/>
        <w:spacing w:before="156" w:beforeLines="50" w:line="300" w:lineRule="auto"/>
        <w:outlineLvl w:val="2"/>
        <w:rPr>
          <w:rFonts w:asciiTheme="minorBidi" w:hAnsiTheme="minorBidi"/>
          <w:b/>
          <w:sz w:val="24"/>
        </w:rPr>
      </w:pPr>
      <w:bookmarkStart w:id="16" w:name="_Toc479653380"/>
      <w:r>
        <w:rPr>
          <w:rFonts w:asciiTheme="minorBidi" w:hAnsiTheme="minorBidi"/>
          <w:b/>
          <w:sz w:val="24"/>
        </w:rPr>
        <w:t>预期用途</w:t>
      </w:r>
      <w:bookmarkEnd w:id="16"/>
    </w:p>
    <w:p w14:paraId="2F01F64E">
      <w:pPr>
        <w:adjustRightInd w:val="0"/>
        <w:snapToGrid w:val="0"/>
        <w:spacing w:before="156" w:beforeLines="50" w:line="300" w:lineRule="auto"/>
        <w:rPr>
          <w:rFonts w:asciiTheme="minorBidi" w:hAnsiTheme="minorBidi"/>
          <w:sz w:val="24"/>
        </w:rPr>
      </w:pPr>
      <w:r>
        <w:rPr>
          <w:rFonts w:asciiTheme="minorBidi" w:hAnsiTheme="minorBidi"/>
          <w:sz w:val="24"/>
        </w:rPr>
        <w:t>贵公司器械的预期用途应驱使贵公司的临床研究设计以评估性能，因为预期用途将最终确定食品药品监督管理局将如何审查贵公司的数据。以下为一种预期用途声明的示例，可适用于本器械类型：</w:t>
      </w:r>
    </w:p>
    <w:p w14:paraId="508232DE">
      <w:pPr>
        <w:adjustRightInd w:val="0"/>
        <w:snapToGrid w:val="0"/>
        <w:spacing w:before="156" w:beforeLines="50" w:line="300" w:lineRule="auto"/>
        <w:rPr>
          <w:rFonts w:asciiTheme="minorBidi" w:hAnsiTheme="minorBidi"/>
          <w:sz w:val="24"/>
        </w:rPr>
      </w:pPr>
    </w:p>
    <w:p w14:paraId="6BB117ED">
      <w:pPr>
        <w:adjustRightInd w:val="0"/>
        <w:snapToGrid w:val="0"/>
        <w:spacing w:before="156" w:beforeLines="50" w:line="300" w:lineRule="auto"/>
        <w:ind w:left="708" w:leftChars="337"/>
        <w:rPr>
          <w:rFonts w:asciiTheme="minorBidi" w:hAnsiTheme="minorBidi"/>
          <w:sz w:val="24"/>
        </w:rPr>
      </w:pPr>
      <w:r>
        <w:rPr>
          <w:rFonts w:asciiTheme="minorBidi" w:hAnsiTheme="minorBidi"/>
          <w:sz w:val="24"/>
        </w:rPr>
        <w:t>【商品名】 HPV测试是一种【试验技术或类型】试验，用于定性检测宫颈标本中高风险类型的人乳头瘤病毒（HPV） 【指明目标，如DNA、RNA转录本或蛋白】。试验检测的HPV类型为高风险HPV类型【列出类型 –指明测试是否可识别具体类型】。可使用【商品名】HPV测试进行测试的宫颈样本包括【插入可能使用试验测试的样本名和可能用于采集样本的采集器械类型】。</w:t>
      </w:r>
    </w:p>
    <w:p w14:paraId="39E2D7AE">
      <w:pPr>
        <w:adjustRightInd w:val="0"/>
        <w:snapToGrid w:val="0"/>
        <w:spacing w:before="156" w:beforeLines="50" w:line="300" w:lineRule="auto"/>
        <w:ind w:left="708" w:leftChars="337"/>
        <w:rPr>
          <w:rFonts w:asciiTheme="minorBidi" w:hAnsiTheme="minorBidi"/>
          <w:sz w:val="24"/>
        </w:rPr>
      </w:pPr>
      <w:r>
        <w:rPr>
          <w:rFonts w:asciiTheme="minorBidi" w:hAnsiTheme="minorBidi"/>
          <w:sz w:val="24"/>
        </w:rPr>
        <w:t>使用本测试适用于：</w:t>
      </w:r>
    </w:p>
    <w:p w14:paraId="4292E544">
      <w:pPr>
        <w:pStyle w:val="17"/>
        <w:numPr>
          <w:ilvl w:val="2"/>
          <w:numId w:val="4"/>
        </w:numPr>
        <w:adjustRightInd w:val="0"/>
        <w:snapToGrid w:val="0"/>
        <w:spacing w:before="156" w:beforeLines="50" w:line="300" w:lineRule="auto"/>
        <w:ind w:left="1320" w:leftChars="400" w:hanging="480" w:hangingChars="200"/>
        <w:rPr>
          <w:rFonts w:asciiTheme="minorBidi" w:hAnsiTheme="minorBidi"/>
          <w:sz w:val="24"/>
        </w:rPr>
      </w:pPr>
      <w:r>
        <w:rPr>
          <w:rFonts w:asciiTheme="minorBidi" w:hAnsiTheme="minorBidi"/>
          <w:sz w:val="24"/>
        </w:rPr>
        <w:t>为筛查有ASC-US（未测定显著性的非典型鳞状细胞）宫颈细胞学结果的患者以确定转诊进行阴道镜检查的需要。</w:t>
      </w:r>
    </w:p>
    <w:p w14:paraId="1E9E88E9">
      <w:pPr>
        <w:pStyle w:val="17"/>
        <w:numPr>
          <w:ilvl w:val="2"/>
          <w:numId w:val="4"/>
        </w:numPr>
        <w:adjustRightInd w:val="0"/>
        <w:snapToGrid w:val="0"/>
        <w:spacing w:before="156" w:beforeLines="50" w:line="300" w:lineRule="auto"/>
        <w:ind w:left="1320" w:leftChars="400" w:hanging="480" w:hangingChars="200"/>
        <w:rPr>
          <w:rFonts w:asciiTheme="minorBidi" w:hAnsiTheme="minorBidi"/>
          <w:sz w:val="24"/>
        </w:rPr>
      </w:pPr>
      <w:r>
        <w:rPr>
          <w:rFonts w:asciiTheme="minorBidi" w:hAnsiTheme="minorBidi"/>
          <w:sz w:val="24"/>
        </w:rPr>
        <w:t>30岁及以上女性中，【商品名】测试可与宫颈细胞学一同使用进行辅助性筛查，以评估是否存在高风险HPV类型。本信息与细胞学病史的医师评估、其他风险因素和专家指南一同，可能用于指导患者管理。</w:t>
      </w:r>
    </w:p>
    <w:p w14:paraId="7D6143A3">
      <w:pPr>
        <w:adjustRightInd w:val="0"/>
        <w:snapToGrid w:val="0"/>
        <w:spacing w:before="156" w:beforeLines="50" w:line="300" w:lineRule="auto"/>
        <w:ind w:left="708" w:leftChars="337"/>
        <w:rPr>
          <w:rFonts w:asciiTheme="minorBidi" w:hAnsiTheme="minorBidi"/>
          <w:sz w:val="24"/>
        </w:rPr>
      </w:pPr>
    </w:p>
    <w:p w14:paraId="3BA18A50">
      <w:pPr>
        <w:adjustRightInd w:val="0"/>
        <w:snapToGrid w:val="0"/>
        <w:spacing w:before="156" w:beforeLines="50" w:line="300" w:lineRule="auto"/>
        <w:rPr>
          <w:rFonts w:asciiTheme="minorBidi" w:hAnsiTheme="minorBidi"/>
          <w:sz w:val="24"/>
        </w:rPr>
      </w:pPr>
      <w:r>
        <w:rPr>
          <w:rFonts w:asciiTheme="minorBidi" w:hAnsiTheme="minorBidi"/>
          <w:b/>
          <w:sz w:val="24"/>
        </w:rPr>
        <w:t>本指南全文中首个预期用途将称为“ASC-US分类”预期用途，第二个预期用途将称为“辅助”预期用途。</w:t>
      </w:r>
      <w:r>
        <w:rPr>
          <w:rFonts w:asciiTheme="minorBidi" w:hAnsiTheme="minorBidi"/>
          <w:sz w:val="24"/>
        </w:rPr>
        <w:t>具体预期用途的研究设计注意事项描述如下，其后为更多通用研究设计建议。</w:t>
      </w:r>
    </w:p>
    <w:p w14:paraId="502EDC39">
      <w:pPr>
        <w:adjustRightInd w:val="0"/>
        <w:snapToGrid w:val="0"/>
        <w:spacing w:before="156" w:beforeLines="50" w:line="300" w:lineRule="auto"/>
        <w:outlineLvl w:val="2"/>
        <w:rPr>
          <w:rFonts w:asciiTheme="minorBidi" w:hAnsiTheme="minorBidi"/>
          <w:b/>
          <w:sz w:val="24"/>
        </w:rPr>
      </w:pPr>
      <w:bookmarkStart w:id="17" w:name="_Toc479653381"/>
      <w:r>
        <w:rPr>
          <w:rFonts w:asciiTheme="minorBidi" w:hAnsiTheme="minorBidi"/>
          <w:b/>
          <w:sz w:val="24"/>
        </w:rPr>
        <w:t>ASC-US分类辅助预期用途（和很可能的任何其他预期用途）中常见的通用研究设计注意事项：</w:t>
      </w:r>
      <w:bookmarkEnd w:id="17"/>
    </w:p>
    <w:p w14:paraId="1F0A1EEE">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31E1EE40">
      <w:pPr>
        <w:adjustRightInd w:val="0"/>
        <w:snapToGrid w:val="0"/>
        <w:spacing w:before="156" w:beforeLines="50" w:line="300" w:lineRule="auto"/>
        <w:rPr>
          <w:rFonts w:asciiTheme="minorBidi" w:hAnsiTheme="minorBidi"/>
          <w:i/>
          <w:sz w:val="24"/>
        </w:rPr>
      </w:pPr>
      <w:r>
        <w:rPr>
          <w:rFonts w:asciiTheme="minorBidi" w:hAnsiTheme="minorBidi"/>
          <w:i/>
          <w:sz w:val="24"/>
        </w:rPr>
        <w:t>美国以外研究中心的使用（21 CFR 814.15）</w:t>
      </w:r>
    </w:p>
    <w:p w14:paraId="499FC5E3">
      <w:pPr>
        <w:adjustRightInd w:val="0"/>
        <w:snapToGrid w:val="0"/>
        <w:spacing w:before="156" w:beforeLines="50" w:line="300" w:lineRule="auto"/>
        <w:rPr>
          <w:rFonts w:asciiTheme="minorBidi" w:hAnsiTheme="minorBidi"/>
          <w:sz w:val="24"/>
        </w:rPr>
      </w:pPr>
      <w:r>
        <w:rPr>
          <w:rFonts w:asciiTheme="minorBidi" w:hAnsiTheme="minorBidi"/>
          <w:sz w:val="24"/>
        </w:rPr>
        <w:t>如果贵公司依赖于国外临床数据支持贵公司的PMA，必须满足食品药品监督管理局要求，即数据科学有效且人类受试者的权利、安全性和福利按照21 CFR 814.15受到保护。为科学有效，贵公司的数据应适用于预期人群和美国医学实践。我们鼓励贵公司在提交前会议中与我们见面，以根据国外数据寻求批准，由此减少国外研究不能支持贵公司预期用途的风险。一些考虑领域为具体高风险HPV株系的患病率、患者筛查间期、开始筛查的平均年龄和性活动、宫颈癌风险、宫颈采样方法和种族。</w:t>
      </w:r>
    </w:p>
    <w:p w14:paraId="76C331A3">
      <w:pPr>
        <w:adjustRightInd w:val="0"/>
        <w:snapToGrid w:val="0"/>
        <w:spacing w:before="156" w:beforeLines="50" w:line="300" w:lineRule="auto"/>
        <w:rPr>
          <w:rFonts w:asciiTheme="minorBidi" w:hAnsiTheme="minorBidi"/>
          <w:i/>
          <w:sz w:val="24"/>
        </w:rPr>
      </w:pPr>
      <w:r>
        <w:rPr>
          <w:rFonts w:asciiTheme="minorBidi" w:hAnsiTheme="minorBidi"/>
          <w:i/>
          <w:sz w:val="24"/>
        </w:rPr>
        <w:t>组织学审查</w:t>
      </w:r>
    </w:p>
    <w:p w14:paraId="636C375C">
      <w:pPr>
        <w:adjustRightInd w:val="0"/>
        <w:snapToGrid w:val="0"/>
        <w:spacing w:before="156" w:beforeLines="50" w:line="300" w:lineRule="auto"/>
        <w:rPr>
          <w:rFonts w:asciiTheme="minorBidi" w:hAnsiTheme="minorBidi"/>
          <w:sz w:val="24"/>
        </w:rPr>
      </w:pPr>
      <w:r>
        <w:rPr>
          <w:rFonts w:asciiTheme="minorBidi" w:hAnsiTheme="minorBidi"/>
          <w:sz w:val="24"/>
        </w:rPr>
        <w:t>食品药品监督管理局认为阴道镜检查和活检（如必须）的结果为临床研究中受试者疾病评估的临床参考标准（金标准）。贵公司可选择使用贵公司每个临床研究中心生成的组织学结果，但我们建议使用集中的三专家病理学家审查组，其很可能为贵公司的研究生成更一致且精确的疾病评估。这些病理学家应区别宫颈上皮内瘤样病变（CIN）2和3，不得出于报告目的将这2种类别结合在一起（即，不得报告“CIN2/3”的结果）。我们建议审查组确立受试者的临床参考标准（临床真理），并建议3位专家病理学家中的2位以遮掩方式独立审查切片。如果2位病理学家意见一致，应将诊断视为临床参考标准。如果无一致意见，第三位专家病理学家应以遮掩访视独立读取切片。如果3位专家病理学家诊断中有一致意见，应视为受试者的临床参考标准。如果第三位病理学家审查后仍无一致意见，所有3位专家病理学家均应在一台多头显微镜（或等效技术）下一同审查切片，尝试并达到共识诊断（如果不能达到完全共识，根据多数原则，使用3位中的2位的意见）。提交贵公司的数据是，贵公司应提供关于如何解决不一致组织学结果的信息。</w:t>
      </w:r>
    </w:p>
    <w:p w14:paraId="5BE18B4D">
      <w:pPr>
        <w:adjustRightInd w:val="0"/>
        <w:snapToGrid w:val="0"/>
        <w:spacing w:before="156" w:beforeLines="50" w:line="300" w:lineRule="auto"/>
        <w:rPr>
          <w:rFonts w:asciiTheme="minorBidi" w:hAnsiTheme="minorBidi"/>
          <w:i/>
          <w:sz w:val="24"/>
        </w:rPr>
      </w:pPr>
      <w:r>
        <w:rPr>
          <w:rFonts w:asciiTheme="minorBidi" w:hAnsiTheme="minorBidi"/>
          <w:i/>
          <w:sz w:val="24"/>
        </w:rPr>
        <w:t>细胞学报告术语</w:t>
      </w:r>
    </w:p>
    <w:p w14:paraId="613842AF">
      <w:pPr>
        <w:adjustRightInd w:val="0"/>
        <w:snapToGrid w:val="0"/>
        <w:spacing w:before="156" w:beforeLines="50" w:line="300" w:lineRule="auto"/>
        <w:rPr>
          <w:rFonts w:asciiTheme="minorBidi" w:hAnsiTheme="minorBidi"/>
          <w:sz w:val="24"/>
        </w:rPr>
      </w:pPr>
      <w:r>
        <w:rPr>
          <w:rFonts w:asciiTheme="minorBidi" w:hAnsiTheme="minorBidi"/>
          <w:sz w:val="24"/>
        </w:rPr>
        <w:t>采集中心应利用可翻译为2001年报告宫颈细胞学Bethesda系统（2001年Bethesda系统）的细胞学报告术语，或更新的Bethesda如同（如可用，或可用时）【参考文件14】。细胞学结果应在向食品药品监督管理局报告数据前转换为2001（或更新）Bethesda系统。</w:t>
      </w:r>
    </w:p>
    <w:p w14:paraId="039D90D9">
      <w:pPr>
        <w:adjustRightInd w:val="0"/>
        <w:snapToGrid w:val="0"/>
        <w:spacing w:before="156" w:beforeLines="50" w:line="300" w:lineRule="auto"/>
        <w:rPr>
          <w:rFonts w:asciiTheme="minorBidi" w:hAnsiTheme="minorBidi"/>
          <w:i/>
          <w:sz w:val="24"/>
        </w:rPr>
      </w:pPr>
      <w:r>
        <w:rPr>
          <w:rFonts w:asciiTheme="minorBidi" w:hAnsiTheme="minorBidi"/>
          <w:i/>
          <w:sz w:val="24"/>
        </w:rPr>
        <w:t>HPV基因型</w:t>
      </w:r>
    </w:p>
    <w:p w14:paraId="394C2D7B">
      <w:pPr>
        <w:adjustRightInd w:val="0"/>
        <w:snapToGrid w:val="0"/>
        <w:spacing w:before="156" w:beforeLines="50" w:line="300" w:lineRule="auto"/>
        <w:rPr>
          <w:rFonts w:asciiTheme="minorBidi" w:hAnsiTheme="minorBidi"/>
          <w:sz w:val="24"/>
        </w:rPr>
      </w:pPr>
      <w:r>
        <w:rPr>
          <w:rFonts w:asciiTheme="minorBidi" w:hAnsiTheme="minorBidi"/>
          <w:sz w:val="24"/>
        </w:rPr>
        <w:t>对于可检测“高风险”HPV的试验，应以下列按照世界卫生组织国际癌症研究机构（IARC）分类为“致癌”的基因型作为目标：16、18、31、33、35、39、45、51、52、56、58和59 【参考文件15】。如果贵公司的试验不以这些推荐高风险基因型的任何一种作为目标，贵公司应解释原因。其他基因型，如IARC视为“很可能致癌”或“可能致癌”（即，第66、68和73型）的基因型可能也被考虑入选，但这应在开始贵公司的研究前与食品药品监督管理局进行讨论。</w:t>
      </w:r>
    </w:p>
    <w:p w14:paraId="43AEFC0C">
      <w:pPr>
        <w:adjustRightInd w:val="0"/>
        <w:snapToGrid w:val="0"/>
        <w:spacing w:before="156" w:beforeLines="50" w:line="300" w:lineRule="auto"/>
        <w:rPr>
          <w:rFonts w:asciiTheme="minorBidi" w:hAnsiTheme="minorBidi"/>
          <w:sz w:val="24"/>
        </w:rPr>
      </w:pPr>
    </w:p>
    <w:p w14:paraId="7A33ABB8">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13BD0DA0">
      <w:pPr>
        <w:adjustRightInd w:val="0"/>
        <w:snapToGrid w:val="0"/>
        <w:spacing w:before="156" w:beforeLines="50" w:line="300" w:lineRule="auto"/>
        <w:rPr>
          <w:rFonts w:asciiTheme="minorBidi" w:hAnsiTheme="minorBidi"/>
          <w:i/>
          <w:sz w:val="24"/>
        </w:rPr>
      </w:pPr>
      <w:r>
        <w:rPr>
          <w:rFonts w:asciiTheme="minorBidi" w:hAnsiTheme="minorBidi"/>
          <w:i/>
          <w:sz w:val="24"/>
        </w:rPr>
        <w:t>样本采集培养基</w:t>
      </w:r>
    </w:p>
    <w:p w14:paraId="6E002D16">
      <w:pPr>
        <w:adjustRightInd w:val="0"/>
        <w:snapToGrid w:val="0"/>
        <w:spacing w:before="156" w:beforeLines="50" w:line="300" w:lineRule="auto"/>
        <w:rPr>
          <w:rFonts w:asciiTheme="minorBidi" w:hAnsiTheme="minorBidi"/>
          <w:sz w:val="24"/>
        </w:rPr>
      </w:pPr>
      <w:r>
        <w:rPr>
          <w:rFonts w:asciiTheme="minorBidi" w:hAnsiTheme="minorBidi"/>
          <w:sz w:val="24"/>
        </w:rPr>
        <w:t>我们建议贵公司对预期用途中声明的每种标本采集培养基类型（即，液基细胞学采集液的具体商标）均进行所述分析和临床研究。应分别展示每种采集培养基的临床性能。</w:t>
      </w:r>
    </w:p>
    <w:p w14:paraId="05D791F8">
      <w:pPr>
        <w:adjustRightInd w:val="0"/>
        <w:snapToGrid w:val="0"/>
        <w:spacing w:before="156" w:beforeLines="50" w:line="300" w:lineRule="auto"/>
        <w:rPr>
          <w:rFonts w:asciiTheme="minorBidi" w:hAnsiTheme="minorBidi"/>
          <w:i/>
          <w:sz w:val="24"/>
        </w:rPr>
      </w:pPr>
      <w:r>
        <w:rPr>
          <w:rFonts w:asciiTheme="minorBidi" w:hAnsiTheme="minorBidi"/>
          <w:i/>
          <w:sz w:val="24"/>
        </w:rPr>
        <w:t>样本采集器械</w:t>
      </w:r>
    </w:p>
    <w:p w14:paraId="796213A5">
      <w:pPr>
        <w:adjustRightInd w:val="0"/>
        <w:snapToGrid w:val="0"/>
        <w:spacing w:before="156" w:beforeLines="50" w:line="300" w:lineRule="auto"/>
        <w:rPr>
          <w:rFonts w:asciiTheme="minorBidi" w:hAnsiTheme="minorBidi"/>
          <w:sz w:val="24"/>
        </w:rPr>
      </w:pPr>
      <w:r>
        <w:rPr>
          <w:rFonts w:asciiTheme="minorBidi" w:hAnsiTheme="minorBidi"/>
          <w:sz w:val="24"/>
        </w:rPr>
        <w:t>可能用于采集标本供贵公司器械测试的采集器械列表应在预期用途声明中进行描述，且应获批通过贵公司所指的细胞学方法进行使用。贵公司的分析研究中不需要评估每种声明的采集器械（即，采集毛刷/刮刀相比于采集刷）。然而，贵公司的临床研究中应评估每种指明的采集器械。应分别展示每种采集器械的临床性能。</w:t>
      </w:r>
    </w:p>
    <w:p w14:paraId="3EDDA33B">
      <w:pPr>
        <w:adjustRightInd w:val="0"/>
        <w:snapToGrid w:val="0"/>
        <w:spacing w:before="156" w:beforeLines="50" w:line="300" w:lineRule="auto"/>
        <w:rPr>
          <w:rFonts w:asciiTheme="minorBidi" w:hAnsiTheme="minorBidi"/>
          <w:i/>
          <w:sz w:val="24"/>
        </w:rPr>
      </w:pPr>
      <w:r>
        <w:rPr>
          <w:rFonts w:asciiTheme="minorBidi" w:hAnsiTheme="minorBidi"/>
          <w:i/>
          <w:sz w:val="24"/>
        </w:rPr>
        <w:t>活检方法</w:t>
      </w:r>
    </w:p>
    <w:p w14:paraId="7AB38645">
      <w:pPr>
        <w:adjustRightInd w:val="0"/>
        <w:snapToGrid w:val="0"/>
        <w:spacing w:before="156" w:beforeLines="50" w:line="300" w:lineRule="auto"/>
        <w:rPr>
          <w:rFonts w:asciiTheme="minorBidi" w:hAnsiTheme="minorBidi"/>
          <w:sz w:val="24"/>
        </w:rPr>
      </w:pPr>
      <w:r>
        <w:rPr>
          <w:rFonts w:asciiTheme="minorBidi" w:hAnsiTheme="minorBidi"/>
          <w:sz w:val="24"/>
        </w:rPr>
        <w:t>每项研究中对所有患者和所有研究中心利用的活检方法应一致。如果对不同适应症（即，ASC-US分类和辅助）进行了独立研究，则每项研究可能使用不同的活检方法。如果给定适应症的数据集中活检方法不同，可能导致贵公司研究中出现偏差，可能影响对贵公司在该适应症方面性能特征的正确确立。标准活检方法可有与其相关的不同变量，但这些变量应与阴道镜检查期间可视化时宫颈的表现有关，如存在或不存在可见病灶、或鳞柱状上皮交界处（SCJ）的可视性。如果需要其他变量，贵公司应在开始贵公司的研究前就其与OIVD进行讨论。请注意，有病灶和无病灶区进行的活检应在贵公司的病例报告表上区别表示。</w:t>
      </w:r>
    </w:p>
    <w:p w14:paraId="6E1B1A87">
      <w:pPr>
        <w:adjustRightInd w:val="0"/>
        <w:snapToGrid w:val="0"/>
        <w:spacing w:before="156" w:beforeLines="50" w:line="300" w:lineRule="auto"/>
        <w:rPr>
          <w:rFonts w:asciiTheme="minorBidi" w:hAnsiTheme="minorBidi"/>
          <w:i/>
          <w:sz w:val="24"/>
        </w:rPr>
      </w:pPr>
      <w:r>
        <w:rPr>
          <w:rFonts w:asciiTheme="minorBidi" w:hAnsiTheme="minorBidi"/>
          <w:i/>
          <w:sz w:val="24"/>
        </w:rPr>
        <w:t>细胞学样本分装</w:t>
      </w:r>
    </w:p>
    <w:p w14:paraId="400A2C83">
      <w:pPr>
        <w:adjustRightInd w:val="0"/>
        <w:snapToGrid w:val="0"/>
        <w:spacing w:before="156" w:beforeLines="50" w:line="300" w:lineRule="auto"/>
        <w:rPr>
          <w:rFonts w:asciiTheme="minorBidi" w:hAnsiTheme="minorBidi"/>
          <w:sz w:val="24"/>
        </w:rPr>
      </w:pPr>
      <w:r>
        <w:rPr>
          <w:rFonts w:asciiTheme="minorBidi" w:hAnsiTheme="minorBidi"/>
          <w:sz w:val="24"/>
        </w:rPr>
        <w:t>追求细胞学样本中HPV测试预期用途的申办者在设计其研究时应考虑他们应为从分装前细胞学样本（切片处理前采集的分装品）进行测试，还是从残留细胞学样本（切片处理后采集的分装品）进行工作。细胞学样本的预分装仅可在细胞学采集得到细胞学切片处理前分装品移除的批准时，方可能进行。这可确保患者细胞学测试结果不受其细胞学标本的标示外处理所影响。</w:t>
      </w:r>
    </w:p>
    <w:p w14:paraId="750205D2">
      <w:pPr>
        <w:adjustRightInd w:val="0"/>
        <w:snapToGrid w:val="0"/>
        <w:spacing w:before="156" w:beforeLines="50" w:line="300" w:lineRule="auto"/>
        <w:rPr>
          <w:rFonts w:asciiTheme="minorBidi" w:hAnsiTheme="minorBidi"/>
          <w:sz w:val="24"/>
        </w:rPr>
      </w:pPr>
      <w:r>
        <w:rPr>
          <w:rFonts w:asciiTheme="minorBidi" w:hAnsiTheme="minorBidi"/>
          <w:sz w:val="24"/>
        </w:rPr>
        <w:t>或者，进行残留细胞学样本工作的申办者将需要分析性评估细胞学切片处理期间遗留的影响（参见分析研究章节的遗留和交叉污染研究）。进行放大试验且已考虑到污染的申办者可能需要使用替代标本采集系统或批准用于预分装的系统进行巩固走，以解决其污染问题。</w:t>
      </w:r>
    </w:p>
    <w:p w14:paraId="5BEC637B">
      <w:pPr>
        <w:adjustRightInd w:val="0"/>
        <w:snapToGrid w:val="0"/>
        <w:spacing w:before="156" w:beforeLines="50" w:line="300" w:lineRule="auto"/>
        <w:rPr>
          <w:rFonts w:asciiTheme="minorBidi" w:hAnsiTheme="minorBidi"/>
          <w:i/>
          <w:sz w:val="24"/>
        </w:rPr>
      </w:pPr>
      <w:r>
        <w:rPr>
          <w:rFonts w:asciiTheme="minorBidi" w:hAnsiTheme="minorBidi"/>
          <w:i/>
          <w:sz w:val="24"/>
        </w:rPr>
        <w:t>HPV基因分型试验的报告结果</w:t>
      </w:r>
    </w:p>
    <w:p w14:paraId="4BF75CE9">
      <w:pPr>
        <w:adjustRightInd w:val="0"/>
        <w:snapToGrid w:val="0"/>
        <w:spacing w:before="156" w:beforeLines="50" w:line="300" w:lineRule="auto"/>
        <w:rPr>
          <w:rFonts w:asciiTheme="minorBidi" w:hAnsiTheme="minorBidi"/>
          <w:sz w:val="24"/>
        </w:rPr>
      </w:pPr>
      <w:r>
        <w:rPr>
          <w:rFonts w:asciiTheme="minorBidi" w:hAnsiTheme="minorBidi"/>
          <w:sz w:val="24"/>
        </w:rPr>
        <w:t>结果应由临床医师以可容易解释的方式进行报告。有相似风险的HPV基因型组可分组报告，而非单独报告（如适用）。</w:t>
      </w:r>
    </w:p>
    <w:p w14:paraId="5EE93E88">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48A6526A">
      <w:pPr>
        <w:adjustRightInd w:val="0"/>
        <w:snapToGrid w:val="0"/>
        <w:spacing w:before="156" w:beforeLines="50" w:line="300" w:lineRule="auto"/>
        <w:rPr>
          <w:rFonts w:asciiTheme="minorBidi" w:hAnsiTheme="minorBidi"/>
          <w:i/>
          <w:sz w:val="24"/>
        </w:rPr>
      </w:pPr>
      <w:r>
        <w:rPr>
          <w:rFonts w:asciiTheme="minorBidi" w:hAnsiTheme="minorBidi"/>
          <w:i/>
          <w:sz w:val="24"/>
        </w:rPr>
        <w:t>HPV疫苗接种和研究人群</w:t>
      </w:r>
    </w:p>
    <w:p w14:paraId="7CD34B44">
      <w:pPr>
        <w:adjustRightInd w:val="0"/>
        <w:snapToGrid w:val="0"/>
        <w:spacing w:before="156" w:beforeLines="50" w:line="300" w:lineRule="auto"/>
        <w:rPr>
          <w:rFonts w:asciiTheme="minorBidi" w:hAnsiTheme="minorBidi"/>
          <w:sz w:val="24"/>
        </w:rPr>
      </w:pPr>
      <w:r>
        <w:rPr>
          <w:rFonts w:asciiTheme="minorBidi" w:hAnsiTheme="minorBidi"/>
          <w:sz w:val="24"/>
        </w:rPr>
        <w:t>由于在将来几年里，美国HPV疫苗接种的个体数有增长的可能，临床最相关的HPV基因型预期会随时间转变。针对此原因，除任何当前食品药品监督管理局许可的疫苗所靶向的HPV基因型外，贵公司还应考虑在贵公司的分析评估中（精密度、遗留、稳定性等）纳入临床最相关的非疫苗目标HPV基因型之一（如HPV 45或31）。</w:t>
      </w:r>
    </w:p>
    <w:p w14:paraId="32A214B7">
      <w:pPr>
        <w:adjustRightInd w:val="0"/>
        <w:snapToGrid w:val="0"/>
        <w:spacing w:before="156" w:beforeLines="50" w:line="300" w:lineRule="auto"/>
        <w:rPr>
          <w:rFonts w:asciiTheme="minorBidi" w:hAnsiTheme="minorBidi"/>
          <w:sz w:val="24"/>
        </w:rPr>
      </w:pPr>
      <w:r>
        <w:rPr>
          <w:rFonts w:asciiTheme="minorBidi" w:hAnsiTheme="minorBidi"/>
          <w:sz w:val="24"/>
        </w:rPr>
        <w:t>确定样本量估算值时，贵公司应考虑HPV疫苗接种个体数增加将减少美国宫颈疾病的总体患病率。估算研究样本量时，应将疫苗率和疾病患病率的当前估值考虑在内。纳入非疫苗接种个体高于平均水平的研究中心最终可能较为明智，因为全美的疫苗接种个体数可增加。请注意，本情境下，有平均水平疫苗接种个体的研究中心也需要进行评估。考虑本设计类型的申办者应在开始其研究前与食品药品监督管理局的讨论本选择。</w:t>
      </w:r>
    </w:p>
    <w:p w14:paraId="0ED04C99">
      <w:pPr>
        <w:adjustRightInd w:val="0"/>
        <w:snapToGrid w:val="0"/>
        <w:spacing w:before="156" w:beforeLines="50" w:line="300" w:lineRule="auto"/>
        <w:rPr>
          <w:rFonts w:asciiTheme="minorBidi" w:hAnsiTheme="minorBidi"/>
          <w:i/>
          <w:sz w:val="24"/>
        </w:rPr>
      </w:pPr>
      <w:r>
        <w:rPr>
          <w:rFonts w:asciiTheme="minorBidi" w:hAnsiTheme="minorBidi"/>
          <w:i/>
          <w:sz w:val="24"/>
        </w:rPr>
        <w:t>临床数据集中HPV检测的评估</w:t>
      </w:r>
    </w:p>
    <w:p w14:paraId="3F367EC4">
      <w:pPr>
        <w:adjustRightInd w:val="0"/>
        <w:snapToGrid w:val="0"/>
        <w:spacing w:before="156" w:beforeLines="50" w:line="300" w:lineRule="auto"/>
        <w:rPr>
          <w:rFonts w:asciiTheme="minorBidi" w:hAnsiTheme="minorBidi"/>
          <w:sz w:val="24"/>
        </w:rPr>
      </w:pPr>
      <w:r>
        <w:rPr>
          <w:rFonts w:asciiTheme="minorBidi" w:hAnsiTheme="minorBidi"/>
          <w:sz w:val="24"/>
        </w:rPr>
        <w:t>我们建议贵公司提供在贵公司的临床数据集中贵公司的器械检测目标HPV基因型能力的评估。进行评估的一个方法是，进行一项检测基因型与贵公司的测试相同经食品药品监督管理局批准HPV测试，或贵公司可在对贵公司的临床标本进行RCR后对扩增产物测序（PCR/测序），并将这些结果与贵公司器械的结果进行比较。使用结合了经食品药品监督管理局批准HPV测试和/或PCR/测序的复合HPV比较器也是一种选择。对于PCR/测序，我们建议贵公司对扩增产物的2个条带均进行测序（双向测序），生成的序列应符合以下所有验收标准：</w:t>
      </w:r>
    </w:p>
    <w:p w14:paraId="6271EE38">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序列包含至少100个连续碱基，</w:t>
      </w:r>
    </w:p>
    <w:p w14:paraId="360E151C">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使用PHRED、美国应用生物系统公司KBBasecaller或类似软件测量，碱基的质量价值均为20或以上（这代表误差可能性为1%或以下）。</w:t>
      </w:r>
    </w:p>
    <w:p w14:paraId="732009EB">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序列匹配参考或共有序列，具体目标的预期（E值）&lt; 10-30（GenBank中的BLAST检索，http://www.ncbi.nlm.nih.gov/Genbank/）。</w:t>
      </w:r>
    </w:p>
    <w:p w14:paraId="2892A991">
      <w:pPr>
        <w:adjustRightInd w:val="0"/>
        <w:snapToGrid w:val="0"/>
        <w:spacing w:before="156" w:beforeLines="50" w:line="300" w:lineRule="auto"/>
        <w:rPr>
          <w:rFonts w:asciiTheme="minorBidi" w:hAnsiTheme="minorBidi"/>
          <w:sz w:val="24"/>
        </w:rPr>
      </w:pPr>
      <w:r>
        <w:rPr>
          <w:rFonts w:asciiTheme="minorBidi" w:hAnsiTheme="minorBidi"/>
          <w:sz w:val="24"/>
        </w:rPr>
        <w:t>对于进行HPV基因分型试验以确定贵公司的器械已识别到正确的HPV基因型，与RCR后扩增产物测序的比较尤其重要。请注意，不一致标本的任何其他测试均不必须，且不能用于改变协议估算值。然而，可将对不一致标本的额外测试结果作为性能表的脚注。</w:t>
      </w:r>
    </w:p>
    <w:p w14:paraId="41134927">
      <w:pPr>
        <w:adjustRightInd w:val="0"/>
        <w:snapToGrid w:val="0"/>
        <w:spacing w:before="156" w:beforeLines="50" w:line="300" w:lineRule="auto"/>
        <w:rPr>
          <w:rFonts w:asciiTheme="minorBidi" w:hAnsiTheme="minorBidi"/>
          <w:sz w:val="24"/>
        </w:rPr>
      </w:pPr>
      <w:r>
        <w:rPr>
          <w:rFonts w:asciiTheme="minorBidi" w:hAnsiTheme="minorBidi"/>
          <w:sz w:val="24"/>
        </w:rPr>
        <w:t>请注意，在2种情形下，当临床临界值设置高于LoB时，HPV测试发现样本为阴性：a）HPV测试检测到一些量的分析物（分析物水平高于LoB），但该量低于用作定义阳性和阴性结果的临床临界值（下表中的“检测到” = “LoB&lt;信号&lt;临床临界值”），或b）HPV测试未检测到关注的分析物。</w:t>
      </w:r>
    </w:p>
    <w:p w14:paraId="0986DE3B">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22F923F2">
      <w:pPr>
        <w:adjustRightInd w:val="0"/>
        <w:snapToGrid w:val="0"/>
        <w:spacing w:before="156" w:beforeLines="50" w:line="300" w:lineRule="auto"/>
        <w:rPr>
          <w:rFonts w:asciiTheme="minorBidi" w:hAnsiTheme="minorBidi"/>
          <w:sz w:val="24"/>
        </w:rPr>
      </w:pPr>
      <w:r>
        <w:rPr>
          <w:rFonts w:asciiTheme="minorBidi" w:hAnsiTheme="minorBidi"/>
          <w:sz w:val="24"/>
        </w:rPr>
        <w:t>（下表中“未检测到”=信号≤LoB）。对于HPV测试和PCR/测序（或其他有效比较器，如上讨论）的比较，请展示以上定义的HPV测试中为阴性的样本中是否检测到分析物。贵公司应在表格中分别展示ASC-US和NILM（上皮内病变或恶性肿瘤阴性）≥30人群的比较。在一份行业请求中有人询问我们如何提供本信息。表3为贵公司可用作辅助工具的格式。</w:t>
      </w:r>
    </w:p>
    <w:p w14:paraId="301BDB95">
      <w:pPr>
        <w:adjustRightInd w:val="0"/>
        <w:snapToGrid w:val="0"/>
        <w:spacing w:before="156" w:beforeLines="50" w:line="300" w:lineRule="auto"/>
        <w:rPr>
          <w:rFonts w:asciiTheme="minorBidi" w:hAnsiTheme="minorBidi"/>
          <w:b/>
          <w:sz w:val="24"/>
          <w:szCs w:val="32"/>
        </w:rPr>
      </w:pPr>
      <w:r>
        <w:rPr>
          <w:rFonts w:asciiTheme="minorBidi" w:hAnsiTheme="minorBidi"/>
          <w:b/>
          <w:sz w:val="24"/>
        </w:rPr>
        <w:t>表3.</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606"/>
        <w:gridCol w:w="1606"/>
        <w:gridCol w:w="1606"/>
        <w:gridCol w:w="1607"/>
        <w:gridCol w:w="1607"/>
      </w:tblGrid>
      <w:tr w14:paraId="1712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vMerge w:val="restart"/>
          </w:tcPr>
          <w:p w14:paraId="0B6164C8">
            <w:pPr>
              <w:adjustRightInd w:val="0"/>
              <w:snapToGrid w:val="0"/>
              <w:spacing w:before="62" w:beforeLines="20"/>
              <w:jc w:val="center"/>
              <w:rPr>
                <w:rFonts w:asciiTheme="minorBidi" w:hAnsiTheme="minorBidi"/>
                <w:b/>
                <w:szCs w:val="21"/>
              </w:rPr>
            </w:pPr>
          </w:p>
        </w:tc>
        <w:tc>
          <w:tcPr>
            <w:tcW w:w="4261" w:type="dxa"/>
            <w:gridSpan w:val="3"/>
          </w:tcPr>
          <w:p w14:paraId="47CBCCC2">
            <w:pPr>
              <w:adjustRightInd w:val="0"/>
              <w:snapToGrid w:val="0"/>
              <w:spacing w:before="62" w:beforeLines="20"/>
              <w:jc w:val="center"/>
              <w:rPr>
                <w:rFonts w:asciiTheme="minorBidi" w:hAnsiTheme="minorBidi"/>
                <w:b/>
                <w:szCs w:val="21"/>
              </w:rPr>
            </w:pPr>
            <w:r>
              <w:rPr>
                <w:rFonts w:asciiTheme="minorBidi" w:hAnsiTheme="minorBidi"/>
                <w:szCs w:val="21"/>
              </w:rPr>
              <w:t>PCR/测序</w:t>
            </w:r>
          </w:p>
        </w:tc>
        <w:tc>
          <w:tcPr>
            <w:tcW w:w="1421" w:type="dxa"/>
            <w:vMerge w:val="restart"/>
          </w:tcPr>
          <w:p w14:paraId="77ADCCF6">
            <w:pPr>
              <w:adjustRightInd w:val="0"/>
              <w:snapToGrid w:val="0"/>
              <w:spacing w:before="62" w:beforeLines="20"/>
              <w:jc w:val="center"/>
              <w:rPr>
                <w:rFonts w:asciiTheme="minorBidi" w:hAnsiTheme="minorBidi"/>
                <w:b/>
                <w:szCs w:val="21"/>
              </w:rPr>
            </w:pPr>
            <w:r>
              <w:rPr>
                <w:rFonts w:asciiTheme="minorBidi" w:hAnsiTheme="minorBidi"/>
                <w:szCs w:val="21"/>
              </w:rPr>
              <w:t>合计</w:t>
            </w:r>
          </w:p>
        </w:tc>
      </w:tr>
      <w:tr w14:paraId="3BBF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vMerge w:val="continue"/>
          </w:tcPr>
          <w:p w14:paraId="056F7A0C">
            <w:pPr>
              <w:adjustRightInd w:val="0"/>
              <w:snapToGrid w:val="0"/>
              <w:spacing w:before="62" w:beforeLines="20"/>
              <w:jc w:val="center"/>
              <w:rPr>
                <w:rFonts w:asciiTheme="minorBidi" w:hAnsiTheme="minorBidi"/>
                <w:b/>
                <w:szCs w:val="21"/>
              </w:rPr>
            </w:pPr>
          </w:p>
        </w:tc>
        <w:tc>
          <w:tcPr>
            <w:tcW w:w="1420" w:type="dxa"/>
          </w:tcPr>
          <w:p w14:paraId="52CC2F2A">
            <w:pPr>
              <w:adjustRightInd w:val="0"/>
              <w:snapToGrid w:val="0"/>
              <w:spacing w:before="62" w:beforeLines="20"/>
              <w:jc w:val="center"/>
              <w:rPr>
                <w:rFonts w:asciiTheme="minorBidi" w:hAnsiTheme="minorBidi"/>
                <w:b/>
                <w:szCs w:val="21"/>
              </w:rPr>
            </w:pPr>
            <w:r>
              <w:rPr>
                <w:rFonts w:asciiTheme="minorBidi" w:hAnsiTheme="minorBidi"/>
                <w:szCs w:val="21"/>
              </w:rPr>
              <w:t>高风险</w:t>
            </w:r>
            <w:r>
              <w:rPr>
                <w:rFonts w:asciiTheme="minorBidi" w:hAnsiTheme="minorBidi"/>
                <w:szCs w:val="21"/>
              </w:rPr>
              <w:br w:type="textWrapping"/>
            </w:r>
            <w:r>
              <w:rPr>
                <w:rFonts w:asciiTheme="minorBidi" w:hAnsiTheme="minorBidi"/>
                <w:szCs w:val="21"/>
              </w:rPr>
              <w:t>阳性</w:t>
            </w:r>
          </w:p>
        </w:tc>
        <w:tc>
          <w:tcPr>
            <w:tcW w:w="1420" w:type="dxa"/>
          </w:tcPr>
          <w:p w14:paraId="0FAF4A94">
            <w:pPr>
              <w:adjustRightInd w:val="0"/>
              <w:snapToGrid w:val="0"/>
              <w:spacing w:before="62" w:beforeLines="20"/>
              <w:jc w:val="center"/>
              <w:rPr>
                <w:rFonts w:asciiTheme="minorBidi" w:hAnsiTheme="minorBidi"/>
                <w:szCs w:val="21"/>
              </w:rPr>
            </w:pPr>
            <w:r>
              <w:rPr>
                <w:rFonts w:asciiTheme="minorBidi" w:hAnsiTheme="minorBidi"/>
                <w:szCs w:val="21"/>
              </w:rPr>
              <w:t>高风险</w:t>
            </w:r>
            <w:r>
              <w:rPr>
                <w:rFonts w:asciiTheme="minorBidi" w:hAnsiTheme="minorBidi"/>
                <w:szCs w:val="21"/>
              </w:rPr>
              <w:br w:type="textWrapping"/>
            </w:r>
            <w:r>
              <w:rPr>
                <w:rFonts w:asciiTheme="minorBidi" w:hAnsiTheme="minorBidi"/>
                <w:szCs w:val="21"/>
              </w:rPr>
              <w:t>阴性</w:t>
            </w:r>
          </w:p>
        </w:tc>
        <w:tc>
          <w:tcPr>
            <w:tcW w:w="1421" w:type="dxa"/>
          </w:tcPr>
          <w:p w14:paraId="608CAB0D">
            <w:pPr>
              <w:adjustRightInd w:val="0"/>
              <w:snapToGrid w:val="0"/>
              <w:spacing w:before="62" w:beforeLines="20"/>
              <w:jc w:val="center"/>
              <w:rPr>
                <w:rFonts w:asciiTheme="minorBidi" w:hAnsiTheme="minorBidi"/>
                <w:b/>
                <w:szCs w:val="21"/>
              </w:rPr>
            </w:pPr>
            <w:r>
              <w:rPr>
                <w:rFonts w:asciiTheme="minorBidi" w:hAnsiTheme="minorBidi"/>
                <w:szCs w:val="21"/>
              </w:rPr>
              <w:t>未测定</w:t>
            </w:r>
          </w:p>
        </w:tc>
        <w:tc>
          <w:tcPr>
            <w:tcW w:w="1421" w:type="dxa"/>
            <w:vMerge w:val="continue"/>
          </w:tcPr>
          <w:p w14:paraId="6EF7CEFE">
            <w:pPr>
              <w:adjustRightInd w:val="0"/>
              <w:snapToGrid w:val="0"/>
              <w:spacing w:before="62" w:beforeLines="20"/>
              <w:jc w:val="center"/>
              <w:rPr>
                <w:rFonts w:asciiTheme="minorBidi" w:hAnsiTheme="minorBidi"/>
                <w:b/>
                <w:szCs w:val="21"/>
              </w:rPr>
            </w:pPr>
          </w:p>
        </w:tc>
      </w:tr>
      <w:tr w14:paraId="7C6F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tcPr>
          <w:p w14:paraId="0D130A01">
            <w:pPr>
              <w:adjustRightInd w:val="0"/>
              <w:snapToGrid w:val="0"/>
              <w:spacing w:before="62" w:beforeLines="20"/>
              <w:jc w:val="center"/>
              <w:rPr>
                <w:rFonts w:asciiTheme="minorBidi" w:hAnsiTheme="minorBidi"/>
                <w:b/>
                <w:szCs w:val="21"/>
              </w:rPr>
            </w:pPr>
            <w:r>
              <w:rPr>
                <w:rFonts w:asciiTheme="minorBidi" w:hAnsiTheme="minorBidi"/>
                <w:szCs w:val="21"/>
              </w:rPr>
              <w:t>HPV阳性</w:t>
            </w:r>
          </w:p>
        </w:tc>
        <w:tc>
          <w:tcPr>
            <w:tcW w:w="1420" w:type="dxa"/>
          </w:tcPr>
          <w:p w14:paraId="2305CEEA">
            <w:pPr>
              <w:adjustRightInd w:val="0"/>
              <w:snapToGrid w:val="0"/>
              <w:spacing w:before="62" w:beforeLines="20"/>
              <w:jc w:val="center"/>
              <w:rPr>
                <w:rFonts w:asciiTheme="minorBidi" w:hAnsiTheme="minorBidi"/>
                <w:b/>
                <w:szCs w:val="21"/>
              </w:rPr>
            </w:pPr>
          </w:p>
        </w:tc>
        <w:tc>
          <w:tcPr>
            <w:tcW w:w="1420" w:type="dxa"/>
          </w:tcPr>
          <w:p w14:paraId="44546CDB">
            <w:pPr>
              <w:adjustRightInd w:val="0"/>
              <w:snapToGrid w:val="0"/>
              <w:spacing w:before="62" w:beforeLines="20"/>
              <w:jc w:val="center"/>
              <w:rPr>
                <w:rFonts w:asciiTheme="minorBidi" w:hAnsiTheme="minorBidi"/>
                <w:b/>
                <w:szCs w:val="21"/>
              </w:rPr>
            </w:pPr>
          </w:p>
        </w:tc>
        <w:tc>
          <w:tcPr>
            <w:tcW w:w="1421" w:type="dxa"/>
          </w:tcPr>
          <w:p w14:paraId="529E02BC">
            <w:pPr>
              <w:adjustRightInd w:val="0"/>
              <w:snapToGrid w:val="0"/>
              <w:spacing w:before="62" w:beforeLines="20"/>
              <w:jc w:val="center"/>
              <w:rPr>
                <w:rFonts w:asciiTheme="minorBidi" w:hAnsiTheme="minorBidi"/>
                <w:b/>
                <w:szCs w:val="21"/>
              </w:rPr>
            </w:pPr>
          </w:p>
        </w:tc>
        <w:tc>
          <w:tcPr>
            <w:tcW w:w="1421" w:type="dxa"/>
          </w:tcPr>
          <w:p w14:paraId="4A05D407">
            <w:pPr>
              <w:adjustRightInd w:val="0"/>
              <w:snapToGrid w:val="0"/>
              <w:spacing w:before="62" w:beforeLines="20"/>
              <w:jc w:val="center"/>
              <w:rPr>
                <w:rFonts w:asciiTheme="minorBidi" w:hAnsiTheme="minorBidi"/>
                <w:b/>
                <w:szCs w:val="21"/>
              </w:rPr>
            </w:pPr>
          </w:p>
        </w:tc>
      </w:tr>
      <w:tr w14:paraId="0090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tcPr>
          <w:p w14:paraId="6EB7AF04">
            <w:pPr>
              <w:adjustRightInd w:val="0"/>
              <w:snapToGrid w:val="0"/>
              <w:spacing w:before="62" w:beforeLines="20"/>
              <w:jc w:val="center"/>
              <w:rPr>
                <w:rFonts w:asciiTheme="minorBidi" w:hAnsiTheme="minorBidi"/>
                <w:szCs w:val="21"/>
              </w:rPr>
            </w:pPr>
            <w:r>
              <w:rPr>
                <w:rFonts w:asciiTheme="minorBidi" w:hAnsiTheme="minorBidi"/>
                <w:szCs w:val="21"/>
              </w:rPr>
              <w:t>HPV</w:t>
            </w:r>
            <w:r>
              <w:rPr>
                <w:rFonts w:asciiTheme="minorBidi" w:hAnsiTheme="minorBidi"/>
                <w:szCs w:val="21"/>
              </w:rPr>
              <w:br w:type="textWrapping"/>
            </w:r>
            <w:r>
              <w:rPr>
                <w:rFonts w:asciiTheme="minorBidi" w:hAnsiTheme="minorBidi"/>
                <w:szCs w:val="21"/>
              </w:rPr>
              <w:t>阴性</w:t>
            </w:r>
          </w:p>
        </w:tc>
        <w:tc>
          <w:tcPr>
            <w:tcW w:w="1420" w:type="dxa"/>
          </w:tcPr>
          <w:p w14:paraId="5113809F">
            <w:pPr>
              <w:adjustRightInd w:val="0"/>
              <w:snapToGrid w:val="0"/>
              <w:spacing w:before="62" w:beforeLines="20"/>
              <w:jc w:val="center"/>
              <w:rPr>
                <w:rFonts w:asciiTheme="minorBidi" w:hAnsiTheme="minorBidi"/>
                <w:b/>
                <w:szCs w:val="21"/>
              </w:rPr>
            </w:pPr>
            <w:r>
              <w:rPr>
                <w:rFonts w:asciiTheme="minorBidi" w:hAnsiTheme="minorBidi"/>
                <w:szCs w:val="21"/>
              </w:rPr>
              <w:t>检测到</w:t>
            </w:r>
          </w:p>
        </w:tc>
        <w:tc>
          <w:tcPr>
            <w:tcW w:w="1420" w:type="dxa"/>
          </w:tcPr>
          <w:p w14:paraId="7455E919">
            <w:pPr>
              <w:adjustRightInd w:val="0"/>
              <w:snapToGrid w:val="0"/>
              <w:spacing w:before="62" w:beforeLines="20"/>
              <w:jc w:val="center"/>
              <w:rPr>
                <w:rFonts w:asciiTheme="minorBidi" w:hAnsiTheme="minorBidi"/>
                <w:b/>
                <w:szCs w:val="21"/>
              </w:rPr>
            </w:pPr>
          </w:p>
        </w:tc>
        <w:tc>
          <w:tcPr>
            <w:tcW w:w="1420" w:type="dxa"/>
          </w:tcPr>
          <w:p w14:paraId="23C2F4C6">
            <w:pPr>
              <w:adjustRightInd w:val="0"/>
              <w:snapToGrid w:val="0"/>
              <w:spacing w:before="62" w:beforeLines="20"/>
              <w:jc w:val="center"/>
              <w:rPr>
                <w:rFonts w:asciiTheme="minorBidi" w:hAnsiTheme="minorBidi"/>
                <w:b/>
                <w:szCs w:val="21"/>
              </w:rPr>
            </w:pPr>
          </w:p>
        </w:tc>
        <w:tc>
          <w:tcPr>
            <w:tcW w:w="1421" w:type="dxa"/>
          </w:tcPr>
          <w:p w14:paraId="582682B3">
            <w:pPr>
              <w:adjustRightInd w:val="0"/>
              <w:snapToGrid w:val="0"/>
              <w:spacing w:before="62" w:beforeLines="20"/>
              <w:jc w:val="center"/>
              <w:rPr>
                <w:rFonts w:asciiTheme="minorBidi" w:hAnsiTheme="minorBidi"/>
                <w:b/>
                <w:szCs w:val="21"/>
              </w:rPr>
            </w:pPr>
          </w:p>
        </w:tc>
        <w:tc>
          <w:tcPr>
            <w:tcW w:w="1421" w:type="dxa"/>
          </w:tcPr>
          <w:p w14:paraId="038C4925">
            <w:pPr>
              <w:adjustRightInd w:val="0"/>
              <w:snapToGrid w:val="0"/>
              <w:spacing w:before="62" w:beforeLines="20"/>
              <w:jc w:val="center"/>
              <w:rPr>
                <w:rFonts w:asciiTheme="minorBidi" w:hAnsiTheme="minorBidi"/>
                <w:b/>
                <w:szCs w:val="21"/>
              </w:rPr>
            </w:pPr>
          </w:p>
        </w:tc>
      </w:tr>
      <w:tr w14:paraId="752F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tcPr>
          <w:p w14:paraId="45A5A477">
            <w:pPr>
              <w:adjustRightInd w:val="0"/>
              <w:snapToGrid w:val="0"/>
              <w:spacing w:before="62" w:beforeLines="20"/>
              <w:jc w:val="center"/>
              <w:rPr>
                <w:rFonts w:asciiTheme="minorBidi" w:hAnsiTheme="minorBidi"/>
                <w:b/>
                <w:szCs w:val="21"/>
              </w:rPr>
            </w:pPr>
          </w:p>
        </w:tc>
        <w:tc>
          <w:tcPr>
            <w:tcW w:w="1420" w:type="dxa"/>
          </w:tcPr>
          <w:p w14:paraId="3195F834">
            <w:pPr>
              <w:adjustRightInd w:val="0"/>
              <w:snapToGrid w:val="0"/>
              <w:spacing w:before="62" w:beforeLines="20"/>
              <w:jc w:val="center"/>
              <w:rPr>
                <w:rFonts w:asciiTheme="minorBidi" w:hAnsiTheme="minorBidi"/>
                <w:b/>
                <w:szCs w:val="21"/>
              </w:rPr>
            </w:pPr>
            <w:r>
              <w:rPr>
                <w:rFonts w:asciiTheme="minorBidi" w:hAnsiTheme="minorBidi"/>
                <w:szCs w:val="21"/>
              </w:rPr>
              <w:t>未检测到</w:t>
            </w:r>
          </w:p>
        </w:tc>
        <w:tc>
          <w:tcPr>
            <w:tcW w:w="1420" w:type="dxa"/>
          </w:tcPr>
          <w:p w14:paraId="57740DA8">
            <w:pPr>
              <w:adjustRightInd w:val="0"/>
              <w:snapToGrid w:val="0"/>
              <w:spacing w:before="62" w:beforeLines="20"/>
              <w:jc w:val="center"/>
              <w:rPr>
                <w:rFonts w:asciiTheme="minorBidi" w:hAnsiTheme="minorBidi"/>
                <w:b/>
                <w:szCs w:val="21"/>
              </w:rPr>
            </w:pPr>
          </w:p>
        </w:tc>
        <w:tc>
          <w:tcPr>
            <w:tcW w:w="1420" w:type="dxa"/>
          </w:tcPr>
          <w:p w14:paraId="2B5D9913">
            <w:pPr>
              <w:adjustRightInd w:val="0"/>
              <w:snapToGrid w:val="0"/>
              <w:spacing w:before="62" w:beforeLines="20"/>
              <w:jc w:val="center"/>
              <w:rPr>
                <w:rFonts w:asciiTheme="minorBidi" w:hAnsiTheme="minorBidi"/>
                <w:b/>
                <w:szCs w:val="21"/>
              </w:rPr>
            </w:pPr>
          </w:p>
        </w:tc>
        <w:tc>
          <w:tcPr>
            <w:tcW w:w="1421" w:type="dxa"/>
          </w:tcPr>
          <w:p w14:paraId="6A6A5B84">
            <w:pPr>
              <w:adjustRightInd w:val="0"/>
              <w:snapToGrid w:val="0"/>
              <w:spacing w:before="62" w:beforeLines="20"/>
              <w:jc w:val="center"/>
              <w:rPr>
                <w:rFonts w:asciiTheme="minorBidi" w:hAnsiTheme="minorBidi"/>
                <w:b/>
                <w:szCs w:val="21"/>
              </w:rPr>
            </w:pPr>
          </w:p>
        </w:tc>
        <w:tc>
          <w:tcPr>
            <w:tcW w:w="1421" w:type="dxa"/>
          </w:tcPr>
          <w:p w14:paraId="7031F6EE">
            <w:pPr>
              <w:adjustRightInd w:val="0"/>
              <w:snapToGrid w:val="0"/>
              <w:spacing w:before="62" w:beforeLines="20"/>
              <w:jc w:val="center"/>
              <w:rPr>
                <w:rFonts w:asciiTheme="minorBidi" w:hAnsiTheme="minorBidi"/>
                <w:b/>
                <w:szCs w:val="21"/>
              </w:rPr>
            </w:pPr>
          </w:p>
        </w:tc>
      </w:tr>
      <w:tr w14:paraId="10AE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tcPr>
          <w:p w14:paraId="06093B25">
            <w:pPr>
              <w:adjustRightInd w:val="0"/>
              <w:snapToGrid w:val="0"/>
              <w:spacing w:before="62" w:beforeLines="20"/>
              <w:jc w:val="center"/>
              <w:rPr>
                <w:rFonts w:asciiTheme="minorBidi" w:hAnsiTheme="minorBidi"/>
                <w:szCs w:val="21"/>
              </w:rPr>
            </w:pPr>
            <w:r>
              <w:rPr>
                <w:rFonts w:asciiTheme="minorBidi" w:hAnsiTheme="minorBidi"/>
                <w:szCs w:val="21"/>
              </w:rPr>
              <w:t>其他</w:t>
            </w:r>
            <w:r>
              <w:rPr>
                <w:rFonts w:asciiTheme="minorBidi" w:hAnsiTheme="minorBidi"/>
                <w:szCs w:val="21"/>
              </w:rPr>
              <w:br w:type="textWrapping"/>
            </w:r>
            <w:r>
              <w:rPr>
                <w:rFonts w:asciiTheme="minorBidi" w:hAnsiTheme="minorBidi"/>
                <w:szCs w:val="21"/>
              </w:rPr>
              <w:t>（无效/未测定）</w:t>
            </w:r>
          </w:p>
        </w:tc>
        <w:tc>
          <w:tcPr>
            <w:tcW w:w="1420" w:type="dxa"/>
          </w:tcPr>
          <w:p w14:paraId="55D25A68">
            <w:pPr>
              <w:adjustRightInd w:val="0"/>
              <w:snapToGrid w:val="0"/>
              <w:spacing w:before="62" w:beforeLines="20"/>
              <w:jc w:val="center"/>
              <w:rPr>
                <w:rFonts w:asciiTheme="minorBidi" w:hAnsiTheme="minorBidi"/>
                <w:b/>
                <w:szCs w:val="21"/>
              </w:rPr>
            </w:pPr>
          </w:p>
        </w:tc>
        <w:tc>
          <w:tcPr>
            <w:tcW w:w="1420" w:type="dxa"/>
          </w:tcPr>
          <w:p w14:paraId="4C886828">
            <w:pPr>
              <w:adjustRightInd w:val="0"/>
              <w:snapToGrid w:val="0"/>
              <w:spacing w:before="62" w:beforeLines="20"/>
              <w:jc w:val="center"/>
              <w:rPr>
                <w:rFonts w:asciiTheme="minorBidi" w:hAnsiTheme="minorBidi"/>
                <w:b/>
                <w:szCs w:val="21"/>
              </w:rPr>
            </w:pPr>
          </w:p>
        </w:tc>
        <w:tc>
          <w:tcPr>
            <w:tcW w:w="1421" w:type="dxa"/>
          </w:tcPr>
          <w:p w14:paraId="33EF8AD8">
            <w:pPr>
              <w:adjustRightInd w:val="0"/>
              <w:snapToGrid w:val="0"/>
              <w:spacing w:before="62" w:beforeLines="20"/>
              <w:jc w:val="center"/>
              <w:rPr>
                <w:rFonts w:asciiTheme="minorBidi" w:hAnsiTheme="minorBidi"/>
                <w:b/>
                <w:szCs w:val="21"/>
              </w:rPr>
            </w:pPr>
          </w:p>
        </w:tc>
        <w:tc>
          <w:tcPr>
            <w:tcW w:w="1421" w:type="dxa"/>
          </w:tcPr>
          <w:p w14:paraId="53F0060B">
            <w:pPr>
              <w:adjustRightInd w:val="0"/>
              <w:snapToGrid w:val="0"/>
              <w:spacing w:before="62" w:beforeLines="20"/>
              <w:jc w:val="center"/>
              <w:rPr>
                <w:rFonts w:asciiTheme="minorBidi" w:hAnsiTheme="minorBidi"/>
                <w:b/>
                <w:szCs w:val="21"/>
              </w:rPr>
            </w:pPr>
          </w:p>
        </w:tc>
      </w:tr>
      <w:tr w14:paraId="1C8B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tcPr>
          <w:p w14:paraId="2EA11222">
            <w:pPr>
              <w:adjustRightInd w:val="0"/>
              <w:snapToGrid w:val="0"/>
              <w:spacing w:before="62" w:beforeLines="20"/>
              <w:jc w:val="center"/>
              <w:rPr>
                <w:rFonts w:asciiTheme="minorBidi" w:hAnsiTheme="minorBidi"/>
                <w:b/>
                <w:szCs w:val="21"/>
              </w:rPr>
            </w:pPr>
            <w:r>
              <w:rPr>
                <w:rFonts w:asciiTheme="minorBidi" w:hAnsiTheme="minorBidi"/>
                <w:szCs w:val="21"/>
              </w:rPr>
              <w:t>合计</w:t>
            </w:r>
          </w:p>
        </w:tc>
        <w:tc>
          <w:tcPr>
            <w:tcW w:w="1420" w:type="dxa"/>
          </w:tcPr>
          <w:p w14:paraId="5CDC57A8">
            <w:pPr>
              <w:adjustRightInd w:val="0"/>
              <w:snapToGrid w:val="0"/>
              <w:spacing w:before="62" w:beforeLines="20"/>
              <w:jc w:val="center"/>
              <w:rPr>
                <w:rFonts w:asciiTheme="minorBidi" w:hAnsiTheme="minorBidi"/>
                <w:b/>
                <w:szCs w:val="21"/>
              </w:rPr>
            </w:pPr>
          </w:p>
        </w:tc>
        <w:tc>
          <w:tcPr>
            <w:tcW w:w="1420" w:type="dxa"/>
          </w:tcPr>
          <w:p w14:paraId="71CD75CE">
            <w:pPr>
              <w:adjustRightInd w:val="0"/>
              <w:snapToGrid w:val="0"/>
              <w:spacing w:before="62" w:beforeLines="20"/>
              <w:jc w:val="center"/>
              <w:rPr>
                <w:rFonts w:asciiTheme="minorBidi" w:hAnsiTheme="minorBidi"/>
                <w:b/>
                <w:szCs w:val="21"/>
              </w:rPr>
            </w:pPr>
          </w:p>
        </w:tc>
        <w:tc>
          <w:tcPr>
            <w:tcW w:w="1421" w:type="dxa"/>
          </w:tcPr>
          <w:p w14:paraId="659F78FE">
            <w:pPr>
              <w:adjustRightInd w:val="0"/>
              <w:snapToGrid w:val="0"/>
              <w:spacing w:before="62" w:beforeLines="20"/>
              <w:jc w:val="center"/>
              <w:rPr>
                <w:rFonts w:asciiTheme="minorBidi" w:hAnsiTheme="minorBidi"/>
                <w:b/>
                <w:szCs w:val="21"/>
              </w:rPr>
            </w:pPr>
          </w:p>
        </w:tc>
        <w:tc>
          <w:tcPr>
            <w:tcW w:w="1421" w:type="dxa"/>
          </w:tcPr>
          <w:p w14:paraId="67F69878">
            <w:pPr>
              <w:adjustRightInd w:val="0"/>
              <w:snapToGrid w:val="0"/>
              <w:spacing w:before="62" w:beforeLines="20"/>
              <w:jc w:val="center"/>
              <w:rPr>
                <w:rFonts w:asciiTheme="minorBidi" w:hAnsiTheme="minorBidi"/>
                <w:b/>
                <w:szCs w:val="21"/>
              </w:rPr>
            </w:pPr>
          </w:p>
        </w:tc>
      </w:tr>
    </w:tbl>
    <w:p w14:paraId="295E8932">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应分别展示每个测试中心，以及分别展示每种采集培养基类型的HPV检测评估。对于HPV基因分型测试的区分，贵公司应在表格中分别展示ASC-US和NILM ≥30人群中，比较PCR/测序与所有HPV测试输出物的数据。详细信息请参见CLSI MM17-A第9章【参考文件16】。</w:t>
      </w:r>
    </w:p>
    <w:p w14:paraId="6BB47394">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在一份行业请求中有人询问我们如何为有5种可能结局的HPV基因分型测试提供本信息：HPV16阳性、HPV18阳性、HPV16和HPV18阳性、阴性和无效（不确定）：表4为贵公司可用作辅助工具的格式。</w:t>
      </w:r>
    </w:p>
    <w:p w14:paraId="01B6F2DA">
      <w:pPr>
        <w:adjustRightInd w:val="0"/>
        <w:snapToGrid w:val="0"/>
        <w:spacing w:before="156" w:beforeLines="50" w:line="300" w:lineRule="auto"/>
        <w:rPr>
          <w:rFonts w:asciiTheme="minorBidi" w:hAnsiTheme="minorBidi"/>
          <w:b/>
          <w:sz w:val="24"/>
          <w:szCs w:val="32"/>
        </w:rPr>
      </w:pPr>
      <w:r>
        <w:rPr>
          <w:rFonts w:asciiTheme="minorBidi" w:hAnsiTheme="minorBidi"/>
          <w:b/>
          <w:sz w:val="24"/>
          <w:szCs w:val="32"/>
        </w:rPr>
        <w:t>表4</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270"/>
        <w:gridCol w:w="560"/>
        <w:gridCol w:w="560"/>
        <w:gridCol w:w="727"/>
        <w:gridCol w:w="899"/>
        <w:gridCol w:w="1011"/>
        <w:gridCol w:w="1011"/>
        <w:gridCol w:w="666"/>
        <w:gridCol w:w="1120"/>
      </w:tblGrid>
      <w:tr w14:paraId="241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restart"/>
            <w:vAlign w:val="center"/>
          </w:tcPr>
          <w:p w14:paraId="6E3FF30C">
            <w:pPr>
              <w:adjustRightInd w:val="0"/>
              <w:snapToGrid w:val="0"/>
              <w:spacing w:before="62" w:beforeLines="20"/>
              <w:jc w:val="center"/>
              <w:rPr>
                <w:rFonts w:asciiTheme="minorBidi" w:hAnsiTheme="minorBidi"/>
                <w:szCs w:val="21"/>
              </w:rPr>
            </w:pPr>
          </w:p>
        </w:tc>
        <w:tc>
          <w:tcPr>
            <w:tcW w:w="6918" w:type="dxa"/>
            <w:gridSpan w:val="9"/>
            <w:vAlign w:val="center"/>
          </w:tcPr>
          <w:p w14:paraId="23B12E21">
            <w:pPr>
              <w:adjustRightInd w:val="0"/>
              <w:snapToGrid w:val="0"/>
              <w:spacing w:before="62" w:beforeLines="20"/>
              <w:jc w:val="center"/>
              <w:rPr>
                <w:rFonts w:asciiTheme="minorBidi" w:hAnsiTheme="minorBidi"/>
                <w:szCs w:val="21"/>
              </w:rPr>
            </w:pPr>
            <w:r>
              <w:rPr>
                <w:rFonts w:asciiTheme="minorBidi" w:hAnsiTheme="minorBidi"/>
                <w:szCs w:val="21"/>
              </w:rPr>
              <w:t>PCR/测序</w:t>
            </w:r>
          </w:p>
        </w:tc>
      </w:tr>
      <w:tr w14:paraId="320B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7EFFA9BF">
            <w:pPr>
              <w:adjustRightInd w:val="0"/>
              <w:snapToGrid w:val="0"/>
              <w:spacing w:before="62" w:beforeLines="20"/>
              <w:jc w:val="center"/>
              <w:rPr>
                <w:rFonts w:asciiTheme="minorBidi" w:hAnsiTheme="minorBidi"/>
                <w:szCs w:val="21"/>
              </w:rPr>
            </w:pPr>
          </w:p>
        </w:tc>
        <w:tc>
          <w:tcPr>
            <w:tcW w:w="1123" w:type="dxa"/>
            <w:vMerge w:val="restart"/>
            <w:vAlign w:val="center"/>
          </w:tcPr>
          <w:p w14:paraId="5E4DE3B1">
            <w:pPr>
              <w:adjustRightInd w:val="0"/>
              <w:snapToGrid w:val="0"/>
              <w:spacing w:before="62" w:beforeLines="20"/>
              <w:jc w:val="center"/>
              <w:rPr>
                <w:rFonts w:asciiTheme="minorBidi" w:hAnsiTheme="minorBidi"/>
                <w:szCs w:val="21"/>
              </w:rPr>
            </w:pPr>
            <w:r>
              <w:rPr>
                <w:rFonts w:asciiTheme="minorBidi" w:hAnsiTheme="minorBidi"/>
                <w:szCs w:val="21"/>
              </w:rPr>
              <w:t>高风险类型数</w:t>
            </w:r>
          </w:p>
        </w:tc>
        <w:tc>
          <w:tcPr>
            <w:tcW w:w="1633" w:type="dxa"/>
            <w:gridSpan w:val="3"/>
            <w:vAlign w:val="center"/>
          </w:tcPr>
          <w:p w14:paraId="463ACD08">
            <w:pPr>
              <w:adjustRightInd w:val="0"/>
              <w:snapToGrid w:val="0"/>
              <w:spacing w:before="62" w:beforeLines="20"/>
              <w:jc w:val="center"/>
              <w:rPr>
                <w:rFonts w:asciiTheme="minorBidi" w:hAnsiTheme="minorBidi"/>
                <w:szCs w:val="21"/>
              </w:rPr>
            </w:pPr>
            <w:r>
              <w:rPr>
                <w:rFonts w:asciiTheme="minorBidi" w:hAnsiTheme="minorBidi"/>
                <w:szCs w:val="21"/>
              </w:rPr>
              <w:t>1种高风险类型</w:t>
            </w:r>
          </w:p>
        </w:tc>
        <w:tc>
          <w:tcPr>
            <w:tcW w:w="3172" w:type="dxa"/>
            <w:gridSpan w:val="4"/>
            <w:vAlign w:val="center"/>
          </w:tcPr>
          <w:p w14:paraId="6617F836">
            <w:pPr>
              <w:adjustRightInd w:val="0"/>
              <w:snapToGrid w:val="0"/>
              <w:spacing w:before="62" w:beforeLines="20"/>
              <w:jc w:val="center"/>
              <w:rPr>
                <w:rFonts w:asciiTheme="minorBidi" w:hAnsiTheme="minorBidi"/>
                <w:szCs w:val="21"/>
              </w:rPr>
            </w:pPr>
            <w:r>
              <w:rPr>
                <w:rFonts w:asciiTheme="minorBidi" w:hAnsiTheme="minorBidi"/>
                <w:szCs w:val="21"/>
              </w:rPr>
              <w:t>2种高风险类型</w:t>
            </w:r>
          </w:p>
        </w:tc>
        <w:tc>
          <w:tcPr>
            <w:tcW w:w="990" w:type="dxa"/>
            <w:vAlign w:val="center"/>
          </w:tcPr>
          <w:p w14:paraId="62E6CC66">
            <w:pPr>
              <w:adjustRightInd w:val="0"/>
              <w:snapToGrid w:val="0"/>
              <w:spacing w:before="62" w:beforeLines="20"/>
              <w:jc w:val="center"/>
              <w:rPr>
                <w:rFonts w:asciiTheme="minorBidi" w:hAnsiTheme="minorBidi"/>
                <w:szCs w:val="21"/>
              </w:rPr>
            </w:pPr>
            <w:r>
              <w:rPr>
                <w:rFonts w:asciiTheme="minorBidi" w:hAnsiTheme="minorBidi"/>
                <w:szCs w:val="21"/>
              </w:rPr>
              <w:t>多种</w:t>
            </w:r>
          </w:p>
          <w:p w14:paraId="4C8FAEF5">
            <w:pPr>
              <w:adjustRightInd w:val="0"/>
              <w:snapToGrid w:val="0"/>
              <w:spacing w:before="62" w:beforeLines="20"/>
              <w:jc w:val="center"/>
              <w:rPr>
                <w:rFonts w:asciiTheme="minorBidi" w:hAnsiTheme="minorBidi"/>
                <w:szCs w:val="21"/>
              </w:rPr>
            </w:pPr>
            <w:r>
              <w:rPr>
                <w:rFonts w:asciiTheme="minorBidi" w:hAnsiTheme="minorBidi"/>
                <w:szCs w:val="21"/>
              </w:rPr>
              <w:t>高风险类型</w:t>
            </w:r>
          </w:p>
        </w:tc>
      </w:tr>
      <w:tr w14:paraId="7ECB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3047DC62">
            <w:pPr>
              <w:adjustRightInd w:val="0"/>
              <w:snapToGrid w:val="0"/>
              <w:spacing w:before="62" w:beforeLines="20"/>
              <w:jc w:val="center"/>
              <w:rPr>
                <w:rFonts w:asciiTheme="minorBidi" w:hAnsiTheme="minorBidi"/>
                <w:szCs w:val="21"/>
              </w:rPr>
            </w:pPr>
          </w:p>
        </w:tc>
        <w:tc>
          <w:tcPr>
            <w:tcW w:w="1123" w:type="dxa"/>
            <w:vMerge w:val="continue"/>
            <w:vAlign w:val="center"/>
          </w:tcPr>
          <w:p w14:paraId="7B429E7E">
            <w:pPr>
              <w:adjustRightInd w:val="0"/>
              <w:snapToGrid w:val="0"/>
              <w:spacing w:before="62" w:beforeLines="20"/>
              <w:jc w:val="center"/>
              <w:rPr>
                <w:rFonts w:asciiTheme="minorBidi" w:hAnsiTheme="minorBidi"/>
                <w:szCs w:val="21"/>
              </w:rPr>
            </w:pPr>
          </w:p>
        </w:tc>
        <w:tc>
          <w:tcPr>
            <w:tcW w:w="495" w:type="dxa"/>
            <w:vAlign w:val="center"/>
          </w:tcPr>
          <w:p w14:paraId="62EC3267">
            <w:pPr>
              <w:adjustRightInd w:val="0"/>
              <w:snapToGrid w:val="0"/>
              <w:spacing w:before="62" w:beforeLines="20"/>
              <w:jc w:val="center"/>
              <w:rPr>
                <w:rFonts w:asciiTheme="minorBidi" w:hAnsiTheme="minorBidi"/>
                <w:szCs w:val="21"/>
              </w:rPr>
            </w:pPr>
            <w:r>
              <w:rPr>
                <w:rFonts w:asciiTheme="minorBidi" w:hAnsiTheme="minorBidi"/>
                <w:szCs w:val="21"/>
              </w:rPr>
              <w:t>16</w:t>
            </w:r>
          </w:p>
        </w:tc>
        <w:tc>
          <w:tcPr>
            <w:tcW w:w="495" w:type="dxa"/>
            <w:vAlign w:val="center"/>
          </w:tcPr>
          <w:p w14:paraId="32920A7F">
            <w:pPr>
              <w:adjustRightInd w:val="0"/>
              <w:snapToGrid w:val="0"/>
              <w:spacing w:before="62" w:beforeLines="20"/>
              <w:jc w:val="center"/>
              <w:rPr>
                <w:rFonts w:asciiTheme="minorBidi" w:hAnsiTheme="minorBidi"/>
                <w:szCs w:val="21"/>
              </w:rPr>
            </w:pPr>
            <w:r>
              <w:rPr>
                <w:rFonts w:asciiTheme="minorBidi" w:hAnsiTheme="minorBidi"/>
                <w:szCs w:val="21"/>
              </w:rPr>
              <w:t>18</w:t>
            </w:r>
          </w:p>
        </w:tc>
        <w:tc>
          <w:tcPr>
            <w:tcW w:w="643" w:type="dxa"/>
            <w:vAlign w:val="center"/>
          </w:tcPr>
          <w:p w14:paraId="4CF67E1B">
            <w:pPr>
              <w:adjustRightInd w:val="0"/>
              <w:snapToGrid w:val="0"/>
              <w:spacing w:before="62" w:beforeLines="20"/>
              <w:jc w:val="center"/>
              <w:rPr>
                <w:rFonts w:asciiTheme="minorBidi" w:hAnsiTheme="minorBidi"/>
                <w:szCs w:val="21"/>
              </w:rPr>
            </w:pPr>
            <w:r>
              <w:rPr>
                <w:rFonts w:asciiTheme="minorBidi" w:hAnsiTheme="minorBidi"/>
                <w:szCs w:val="21"/>
              </w:rPr>
              <w:t>其他</w:t>
            </w:r>
          </w:p>
        </w:tc>
        <w:tc>
          <w:tcPr>
            <w:tcW w:w="795" w:type="dxa"/>
            <w:vAlign w:val="center"/>
          </w:tcPr>
          <w:p w14:paraId="1EB814A0">
            <w:pPr>
              <w:adjustRightInd w:val="0"/>
              <w:snapToGrid w:val="0"/>
              <w:spacing w:before="62" w:beforeLines="20"/>
              <w:jc w:val="center"/>
              <w:rPr>
                <w:rFonts w:asciiTheme="minorBidi" w:hAnsiTheme="minorBidi"/>
                <w:szCs w:val="21"/>
              </w:rPr>
            </w:pPr>
            <w:r>
              <w:rPr>
                <w:rFonts w:asciiTheme="minorBidi" w:hAnsiTheme="minorBidi"/>
                <w:szCs w:val="21"/>
              </w:rPr>
              <w:t>16和18</w:t>
            </w:r>
          </w:p>
        </w:tc>
        <w:tc>
          <w:tcPr>
            <w:tcW w:w="894" w:type="dxa"/>
            <w:vAlign w:val="center"/>
          </w:tcPr>
          <w:p w14:paraId="743C8694">
            <w:pPr>
              <w:adjustRightInd w:val="0"/>
              <w:snapToGrid w:val="0"/>
              <w:spacing w:before="62" w:beforeLines="20"/>
              <w:jc w:val="center"/>
              <w:rPr>
                <w:rFonts w:asciiTheme="minorBidi" w:hAnsiTheme="minorBidi"/>
                <w:szCs w:val="21"/>
              </w:rPr>
            </w:pPr>
            <w:r>
              <w:rPr>
                <w:rFonts w:asciiTheme="minorBidi" w:hAnsiTheme="minorBidi"/>
                <w:szCs w:val="21"/>
              </w:rPr>
              <w:t>16和其他</w:t>
            </w:r>
          </w:p>
        </w:tc>
        <w:tc>
          <w:tcPr>
            <w:tcW w:w="894" w:type="dxa"/>
            <w:vAlign w:val="center"/>
          </w:tcPr>
          <w:p w14:paraId="04681B95">
            <w:pPr>
              <w:adjustRightInd w:val="0"/>
              <w:snapToGrid w:val="0"/>
              <w:spacing w:before="62" w:beforeLines="20"/>
              <w:jc w:val="center"/>
              <w:rPr>
                <w:rFonts w:asciiTheme="minorBidi" w:hAnsiTheme="minorBidi"/>
                <w:szCs w:val="21"/>
              </w:rPr>
            </w:pPr>
            <w:r>
              <w:rPr>
                <w:rFonts w:asciiTheme="minorBidi" w:hAnsiTheme="minorBidi"/>
                <w:szCs w:val="21"/>
              </w:rPr>
              <w:t>18和其他</w:t>
            </w:r>
          </w:p>
        </w:tc>
        <w:tc>
          <w:tcPr>
            <w:tcW w:w="589" w:type="dxa"/>
            <w:vAlign w:val="center"/>
          </w:tcPr>
          <w:p w14:paraId="3B5F2407">
            <w:pPr>
              <w:adjustRightInd w:val="0"/>
              <w:snapToGrid w:val="0"/>
              <w:spacing w:before="62" w:beforeLines="20"/>
              <w:jc w:val="center"/>
              <w:rPr>
                <w:rFonts w:asciiTheme="minorBidi" w:hAnsiTheme="minorBidi"/>
                <w:szCs w:val="21"/>
              </w:rPr>
            </w:pPr>
            <w:r>
              <w:rPr>
                <w:rFonts w:asciiTheme="minorBidi" w:hAnsiTheme="minorBidi"/>
                <w:szCs w:val="21"/>
              </w:rPr>
              <w:t>其他</w:t>
            </w:r>
          </w:p>
        </w:tc>
        <w:tc>
          <w:tcPr>
            <w:tcW w:w="990" w:type="dxa"/>
            <w:vAlign w:val="center"/>
          </w:tcPr>
          <w:p w14:paraId="7D40ACDC">
            <w:pPr>
              <w:adjustRightInd w:val="0"/>
              <w:snapToGrid w:val="0"/>
              <w:spacing w:before="62" w:beforeLines="20"/>
              <w:jc w:val="center"/>
              <w:rPr>
                <w:rFonts w:asciiTheme="minorBidi" w:hAnsiTheme="minorBidi"/>
                <w:szCs w:val="21"/>
              </w:rPr>
            </w:pPr>
          </w:p>
        </w:tc>
      </w:tr>
      <w:tr w14:paraId="36CC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38B39CC6">
            <w:pPr>
              <w:adjustRightInd w:val="0"/>
              <w:snapToGrid w:val="0"/>
              <w:spacing w:before="62" w:beforeLines="20"/>
              <w:jc w:val="center"/>
              <w:rPr>
                <w:rFonts w:asciiTheme="minorBidi" w:hAnsiTheme="minorBidi"/>
                <w:szCs w:val="21"/>
              </w:rPr>
            </w:pPr>
            <w:r>
              <w:rPr>
                <w:rFonts w:asciiTheme="minorBidi" w:hAnsiTheme="minorBidi"/>
                <w:szCs w:val="21"/>
              </w:rPr>
              <w:t>阳性：HPV16</w:t>
            </w:r>
          </w:p>
        </w:tc>
        <w:tc>
          <w:tcPr>
            <w:tcW w:w="1123" w:type="dxa"/>
            <w:vAlign w:val="center"/>
          </w:tcPr>
          <w:p w14:paraId="27236A83">
            <w:pPr>
              <w:adjustRightInd w:val="0"/>
              <w:snapToGrid w:val="0"/>
              <w:spacing w:before="62" w:beforeLines="20"/>
              <w:jc w:val="center"/>
              <w:rPr>
                <w:rFonts w:asciiTheme="minorBidi" w:hAnsiTheme="minorBidi"/>
                <w:szCs w:val="21"/>
              </w:rPr>
            </w:pPr>
          </w:p>
        </w:tc>
        <w:tc>
          <w:tcPr>
            <w:tcW w:w="495" w:type="dxa"/>
            <w:vAlign w:val="center"/>
          </w:tcPr>
          <w:p w14:paraId="05978728">
            <w:pPr>
              <w:adjustRightInd w:val="0"/>
              <w:snapToGrid w:val="0"/>
              <w:spacing w:before="62" w:beforeLines="20"/>
              <w:jc w:val="center"/>
              <w:rPr>
                <w:rFonts w:asciiTheme="minorBidi" w:hAnsiTheme="minorBidi"/>
                <w:szCs w:val="21"/>
              </w:rPr>
            </w:pPr>
          </w:p>
        </w:tc>
        <w:tc>
          <w:tcPr>
            <w:tcW w:w="495" w:type="dxa"/>
            <w:vAlign w:val="center"/>
          </w:tcPr>
          <w:p w14:paraId="52960772">
            <w:pPr>
              <w:adjustRightInd w:val="0"/>
              <w:snapToGrid w:val="0"/>
              <w:spacing w:before="62" w:beforeLines="20"/>
              <w:jc w:val="center"/>
              <w:rPr>
                <w:rFonts w:asciiTheme="minorBidi" w:hAnsiTheme="minorBidi"/>
                <w:szCs w:val="21"/>
              </w:rPr>
            </w:pPr>
          </w:p>
        </w:tc>
        <w:tc>
          <w:tcPr>
            <w:tcW w:w="643" w:type="dxa"/>
            <w:vAlign w:val="center"/>
          </w:tcPr>
          <w:p w14:paraId="082EFD5C">
            <w:pPr>
              <w:adjustRightInd w:val="0"/>
              <w:snapToGrid w:val="0"/>
              <w:spacing w:before="62" w:beforeLines="20"/>
              <w:jc w:val="center"/>
              <w:rPr>
                <w:rFonts w:asciiTheme="minorBidi" w:hAnsiTheme="minorBidi"/>
                <w:szCs w:val="21"/>
              </w:rPr>
            </w:pPr>
          </w:p>
        </w:tc>
        <w:tc>
          <w:tcPr>
            <w:tcW w:w="795" w:type="dxa"/>
            <w:vAlign w:val="center"/>
          </w:tcPr>
          <w:p w14:paraId="18E57F0F">
            <w:pPr>
              <w:adjustRightInd w:val="0"/>
              <w:snapToGrid w:val="0"/>
              <w:spacing w:before="62" w:beforeLines="20"/>
              <w:jc w:val="center"/>
              <w:rPr>
                <w:rFonts w:asciiTheme="minorBidi" w:hAnsiTheme="minorBidi"/>
                <w:szCs w:val="21"/>
              </w:rPr>
            </w:pPr>
          </w:p>
        </w:tc>
        <w:tc>
          <w:tcPr>
            <w:tcW w:w="894" w:type="dxa"/>
            <w:vAlign w:val="center"/>
          </w:tcPr>
          <w:p w14:paraId="69941953">
            <w:pPr>
              <w:adjustRightInd w:val="0"/>
              <w:snapToGrid w:val="0"/>
              <w:spacing w:before="62" w:beforeLines="20"/>
              <w:jc w:val="center"/>
              <w:rPr>
                <w:rFonts w:asciiTheme="minorBidi" w:hAnsiTheme="minorBidi"/>
                <w:szCs w:val="21"/>
              </w:rPr>
            </w:pPr>
          </w:p>
        </w:tc>
        <w:tc>
          <w:tcPr>
            <w:tcW w:w="894" w:type="dxa"/>
            <w:vAlign w:val="center"/>
          </w:tcPr>
          <w:p w14:paraId="4563CB32">
            <w:pPr>
              <w:adjustRightInd w:val="0"/>
              <w:snapToGrid w:val="0"/>
              <w:spacing w:before="62" w:beforeLines="20"/>
              <w:jc w:val="center"/>
              <w:rPr>
                <w:rFonts w:asciiTheme="minorBidi" w:hAnsiTheme="minorBidi"/>
                <w:szCs w:val="21"/>
              </w:rPr>
            </w:pPr>
          </w:p>
        </w:tc>
        <w:tc>
          <w:tcPr>
            <w:tcW w:w="589" w:type="dxa"/>
            <w:vAlign w:val="center"/>
          </w:tcPr>
          <w:p w14:paraId="480A9518">
            <w:pPr>
              <w:adjustRightInd w:val="0"/>
              <w:snapToGrid w:val="0"/>
              <w:spacing w:before="62" w:beforeLines="20"/>
              <w:jc w:val="center"/>
              <w:rPr>
                <w:rFonts w:asciiTheme="minorBidi" w:hAnsiTheme="minorBidi"/>
                <w:szCs w:val="21"/>
              </w:rPr>
            </w:pPr>
          </w:p>
        </w:tc>
        <w:tc>
          <w:tcPr>
            <w:tcW w:w="990" w:type="dxa"/>
            <w:vAlign w:val="center"/>
          </w:tcPr>
          <w:p w14:paraId="534DBA42">
            <w:pPr>
              <w:adjustRightInd w:val="0"/>
              <w:snapToGrid w:val="0"/>
              <w:spacing w:before="62" w:beforeLines="20"/>
              <w:jc w:val="center"/>
              <w:rPr>
                <w:rFonts w:asciiTheme="minorBidi" w:hAnsiTheme="minorBidi"/>
                <w:szCs w:val="21"/>
              </w:rPr>
            </w:pPr>
          </w:p>
        </w:tc>
      </w:tr>
      <w:tr w14:paraId="2990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77B579A7">
            <w:pPr>
              <w:adjustRightInd w:val="0"/>
              <w:snapToGrid w:val="0"/>
              <w:spacing w:before="62" w:beforeLines="20"/>
              <w:jc w:val="center"/>
              <w:rPr>
                <w:rFonts w:asciiTheme="minorBidi" w:hAnsiTheme="minorBidi"/>
                <w:szCs w:val="21"/>
              </w:rPr>
            </w:pPr>
            <w:r>
              <w:rPr>
                <w:rFonts w:asciiTheme="minorBidi" w:hAnsiTheme="minorBidi"/>
                <w:szCs w:val="21"/>
              </w:rPr>
              <w:t>阳性：HPV18</w:t>
            </w:r>
          </w:p>
        </w:tc>
        <w:tc>
          <w:tcPr>
            <w:tcW w:w="1123" w:type="dxa"/>
            <w:vAlign w:val="center"/>
          </w:tcPr>
          <w:p w14:paraId="3A870ADF">
            <w:pPr>
              <w:adjustRightInd w:val="0"/>
              <w:snapToGrid w:val="0"/>
              <w:spacing w:before="62" w:beforeLines="20"/>
              <w:jc w:val="center"/>
              <w:rPr>
                <w:rFonts w:asciiTheme="minorBidi" w:hAnsiTheme="minorBidi"/>
                <w:szCs w:val="21"/>
              </w:rPr>
            </w:pPr>
          </w:p>
        </w:tc>
        <w:tc>
          <w:tcPr>
            <w:tcW w:w="495" w:type="dxa"/>
            <w:vAlign w:val="center"/>
          </w:tcPr>
          <w:p w14:paraId="0DAFA3D5">
            <w:pPr>
              <w:adjustRightInd w:val="0"/>
              <w:snapToGrid w:val="0"/>
              <w:spacing w:before="62" w:beforeLines="20"/>
              <w:jc w:val="center"/>
              <w:rPr>
                <w:rFonts w:asciiTheme="minorBidi" w:hAnsiTheme="minorBidi"/>
                <w:szCs w:val="21"/>
              </w:rPr>
            </w:pPr>
          </w:p>
        </w:tc>
        <w:tc>
          <w:tcPr>
            <w:tcW w:w="495" w:type="dxa"/>
            <w:vAlign w:val="center"/>
          </w:tcPr>
          <w:p w14:paraId="5BEAD4C8">
            <w:pPr>
              <w:adjustRightInd w:val="0"/>
              <w:snapToGrid w:val="0"/>
              <w:spacing w:before="62" w:beforeLines="20"/>
              <w:jc w:val="center"/>
              <w:rPr>
                <w:rFonts w:asciiTheme="minorBidi" w:hAnsiTheme="minorBidi"/>
                <w:szCs w:val="21"/>
              </w:rPr>
            </w:pPr>
          </w:p>
        </w:tc>
        <w:tc>
          <w:tcPr>
            <w:tcW w:w="643" w:type="dxa"/>
            <w:vAlign w:val="center"/>
          </w:tcPr>
          <w:p w14:paraId="7EC10E28">
            <w:pPr>
              <w:adjustRightInd w:val="0"/>
              <w:snapToGrid w:val="0"/>
              <w:spacing w:before="62" w:beforeLines="20"/>
              <w:jc w:val="center"/>
              <w:rPr>
                <w:rFonts w:asciiTheme="minorBidi" w:hAnsiTheme="minorBidi"/>
                <w:szCs w:val="21"/>
              </w:rPr>
            </w:pPr>
          </w:p>
        </w:tc>
        <w:tc>
          <w:tcPr>
            <w:tcW w:w="795" w:type="dxa"/>
            <w:vAlign w:val="center"/>
          </w:tcPr>
          <w:p w14:paraId="3C155DC0">
            <w:pPr>
              <w:adjustRightInd w:val="0"/>
              <w:snapToGrid w:val="0"/>
              <w:spacing w:before="62" w:beforeLines="20"/>
              <w:jc w:val="center"/>
              <w:rPr>
                <w:rFonts w:asciiTheme="minorBidi" w:hAnsiTheme="minorBidi"/>
                <w:szCs w:val="21"/>
              </w:rPr>
            </w:pPr>
          </w:p>
        </w:tc>
        <w:tc>
          <w:tcPr>
            <w:tcW w:w="894" w:type="dxa"/>
            <w:vAlign w:val="center"/>
          </w:tcPr>
          <w:p w14:paraId="195131E1">
            <w:pPr>
              <w:adjustRightInd w:val="0"/>
              <w:snapToGrid w:val="0"/>
              <w:spacing w:before="62" w:beforeLines="20"/>
              <w:jc w:val="center"/>
              <w:rPr>
                <w:rFonts w:asciiTheme="minorBidi" w:hAnsiTheme="minorBidi"/>
                <w:szCs w:val="21"/>
              </w:rPr>
            </w:pPr>
          </w:p>
        </w:tc>
        <w:tc>
          <w:tcPr>
            <w:tcW w:w="894" w:type="dxa"/>
            <w:vAlign w:val="center"/>
          </w:tcPr>
          <w:p w14:paraId="04B7307E">
            <w:pPr>
              <w:adjustRightInd w:val="0"/>
              <w:snapToGrid w:val="0"/>
              <w:spacing w:before="62" w:beforeLines="20"/>
              <w:jc w:val="center"/>
              <w:rPr>
                <w:rFonts w:asciiTheme="minorBidi" w:hAnsiTheme="minorBidi"/>
                <w:szCs w:val="21"/>
              </w:rPr>
            </w:pPr>
          </w:p>
        </w:tc>
        <w:tc>
          <w:tcPr>
            <w:tcW w:w="589" w:type="dxa"/>
            <w:vAlign w:val="center"/>
          </w:tcPr>
          <w:p w14:paraId="28E0D5EE">
            <w:pPr>
              <w:adjustRightInd w:val="0"/>
              <w:snapToGrid w:val="0"/>
              <w:spacing w:before="62" w:beforeLines="20"/>
              <w:jc w:val="center"/>
              <w:rPr>
                <w:rFonts w:asciiTheme="minorBidi" w:hAnsiTheme="minorBidi"/>
                <w:szCs w:val="21"/>
              </w:rPr>
            </w:pPr>
          </w:p>
        </w:tc>
        <w:tc>
          <w:tcPr>
            <w:tcW w:w="990" w:type="dxa"/>
            <w:vAlign w:val="center"/>
          </w:tcPr>
          <w:p w14:paraId="7F7D6964">
            <w:pPr>
              <w:adjustRightInd w:val="0"/>
              <w:snapToGrid w:val="0"/>
              <w:spacing w:before="62" w:beforeLines="20"/>
              <w:jc w:val="center"/>
              <w:rPr>
                <w:rFonts w:asciiTheme="minorBidi" w:hAnsiTheme="minorBidi"/>
                <w:szCs w:val="21"/>
              </w:rPr>
            </w:pPr>
          </w:p>
        </w:tc>
      </w:tr>
      <w:tr w14:paraId="726D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3A0D334E">
            <w:pPr>
              <w:adjustRightInd w:val="0"/>
              <w:snapToGrid w:val="0"/>
              <w:spacing w:before="62" w:beforeLines="20"/>
              <w:jc w:val="center"/>
              <w:rPr>
                <w:rFonts w:asciiTheme="minorBidi" w:hAnsiTheme="minorBidi"/>
                <w:szCs w:val="21"/>
              </w:rPr>
            </w:pPr>
            <w:r>
              <w:rPr>
                <w:rFonts w:asciiTheme="minorBidi" w:hAnsiTheme="minorBidi"/>
                <w:szCs w:val="21"/>
              </w:rPr>
              <w:t>阳性：HPV16和18</w:t>
            </w:r>
          </w:p>
        </w:tc>
        <w:tc>
          <w:tcPr>
            <w:tcW w:w="1123" w:type="dxa"/>
            <w:vAlign w:val="center"/>
          </w:tcPr>
          <w:p w14:paraId="44BA560C">
            <w:pPr>
              <w:adjustRightInd w:val="0"/>
              <w:snapToGrid w:val="0"/>
              <w:spacing w:before="62" w:beforeLines="20"/>
              <w:jc w:val="center"/>
              <w:rPr>
                <w:rFonts w:asciiTheme="minorBidi" w:hAnsiTheme="minorBidi"/>
                <w:szCs w:val="21"/>
              </w:rPr>
            </w:pPr>
          </w:p>
        </w:tc>
        <w:tc>
          <w:tcPr>
            <w:tcW w:w="495" w:type="dxa"/>
            <w:vAlign w:val="center"/>
          </w:tcPr>
          <w:p w14:paraId="56E13D06">
            <w:pPr>
              <w:adjustRightInd w:val="0"/>
              <w:snapToGrid w:val="0"/>
              <w:spacing w:before="62" w:beforeLines="20"/>
              <w:jc w:val="center"/>
              <w:rPr>
                <w:rFonts w:asciiTheme="minorBidi" w:hAnsiTheme="minorBidi"/>
                <w:szCs w:val="21"/>
              </w:rPr>
            </w:pPr>
          </w:p>
        </w:tc>
        <w:tc>
          <w:tcPr>
            <w:tcW w:w="495" w:type="dxa"/>
            <w:vAlign w:val="center"/>
          </w:tcPr>
          <w:p w14:paraId="149640B7">
            <w:pPr>
              <w:adjustRightInd w:val="0"/>
              <w:snapToGrid w:val="0"/>
              <w:spacing w:before="62" w:beforeLines="20"/>
              <w:jc w:val="center"/>
              <w:rPr>
                <w:rFonts w:asciiTheme="minorBidi" w:hAnsiTheme="minorBidi"/>
                <w:szCs w:val="21"/>
              </w:rPr>
            </w:pPr>
          </w:p>
        </w:tc>
        <w:tc>
          <w:tcPr>
            <w:tcW w:w="643" w:type="dxa"/>
            <w:vAlign w:val="center"/>
          </w:tcPr>
          <w:p w14:paraId="29BD875E">
            <w:pPr>
              <w:adjustRightInd w:val="0"/>
              <w:snapToGrid w:val="0"/>
              <w:spacing w:before="62" w:beforeLines="20"/>
              <w:jc w:val="center"/>
              <w:rPr>
                <w:rFonts w:asciiTheme="minorBidi" w:hAnsiTheme="minorBidi"/>
                <w:szCs w:val="21"/>
              </w:rPr>
            </w:pPr>
          </w:p>
        </w:tc>
        <w:tc>
          <w:tcPr>
            <w:tcW w:w="795" w:type="dxa"/>
            <w:vAlign w:val="center"/>
          </w:tcPr>
          <w:p w14:paraId="5E3B583A">
            <w:pPr>
              <w:adjustRightInd w:val="0"/>
              <w:snapToGrid w:val="0"/>
              <w:spacing w:before="62" w:beforeLines="20"/>
              <w:jc w:val="center"/>
              <w:rPr>
                <w:rFonts w:asciiTheme="minorBidi" w:hAnsiTheme="minorBidi"/>
                <w:szCs w:val="21"/>
              </w:rPr>
            </w:pPr>
          </w:p>
        </w:tc>
        <w:tc>
          <w:tcPr>
            <w:tcW w:w="894" w:type="dxa"/>
            <w:vAlign w:val="center"/>
          </w:tcPr>
          <w:p w14:paraId="5BA13F4E">
            <w:pPr>
              <w:adjustRightInd w:val="0"/>
              <w:snapToGrid w:val="0"/>
              <w:spacing w:before="62" w:beforeLines="20"/>
              <w:jc w:val="center"/>
              <w:rPr>
                <w:rFonts w:asciiTheme="minorBidi" w:hAnsiTheme="minorBidi"/>
                <w:szCs w:val="21"/>
              </w:rPr>
            </w:pPr>
          </w:p>
        </w:tc>
        <w:tc>
          <w:tcPr>
            <w:tcW w:w="894" w:type="dxa"/>
            <w:vAlign w:val="center"/>
          </w:tcPr>
          <w:p w14:paraId="2D629956">
            <w:pPr>
              <w:adjustRightInd w:val="0"/>
              <w:snapToGrid w:val="0"/>
              <w:spacing w:before="62" w:beforeLines="20"/>
              <w:jc w:val="center"/>
              <w:rPr>
                <w:rFonts w:asciiTheme="minorBidi" w:hAnsiTheme="minorBidi"/>
                <w:szCs w:val="21"/>
              </w:rPr>
            </w:pPr>
          </w:p>
        </w:tc>
        <w:tc>
          <w:tcPr>
            <w:tcW w:w="589" w:type="dxa"/>
            <w:vAlign w:val="center"/>
          </w:tcPr>
          <w:p w14:paraId="34D7F30C">
            <w:pPr>
              <w:adjustRightInd w:val="0"/>
              <w:snapToGrid w:val="0"/>
              <w:spacing w:before="62" w:beforeLines="20"/>
              <w:jc w:val="center"/>
              <w:rPr>
                <w:rFonts w:asciiTheme="minorBidi" w:hAnsiTheme="minorBidi"/>
                <w:szCs w:val="21"/>
              </w:rPr>
            </w:pPr>
          </w:p>
        </w:tc>
        <w:tc>
          <w:tcPr>
            <w:tcW w:w="990" w:type="dxa"/>
            <w:vAlign w:val="center"/>
          </w:tcPr>
          <w:p w14:paraId="41D4A298">
            <w:pPr>
              <w:adjustRightInd w:val="0"/>
              <w:snapToGrid w:val="0"/>
              <w:spacing w:before="62" w:beforeLines="20"/>
              <w:jc w:val="center"/>
              <w:rPr>
                <w:rFonts w:asciiTheme="minorBidi" w:hAnsiTheme="minorBidi"/>
                <w:szCs w:val="21"/>
              </w:rPr>
            </w:pPr>
          </w:p>
        </w:tc>
      </w:tr>
      <w:tr w14:paraId="752E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2F33E9E1">
            <w:pPr>
              <w:adjustRightInd w:val="0"/>
              <w:snapToGrid w:val="0"/>
              <w:spacing w:before="62" w:beforeLines="20"/>
              <w:jc w:val="center"/>
              <w:rPr>
                <w:rFonts w:asciiTheme="minorBidi" w:hAnsiTheme="minorBidi"/>
                <w:szCs w:val="21"/>
              </w:rPr>
            </w:pPr>
            <w:r>
              <w:rPr>
                <w:rFonts w:asciiTheme="minorBidi" w:hAnsiTheme="minorBidi"/>
                <w:szCs w:val="21"/>
              </w:rPr>
              <w:t>阴性</w:t>
            </w:r>
          </w:p>
        </w:tc>
        <w:tc>
          <w:tcPr>
            <w:tcW w:w="1123" w:type="dxa"/>
            <w:vAlign w:val="center"/>
          </w:tcPr>
          <w:p w14:paraId="3966D63D">
            <w:pPr>
              <w:adjustRightInd w:val="0"/>
              <w:snapToGrid w:val="0"/>
              <w:spacing w:before="62" w:beforeLines="20"/>
              <w:jc w:val="center"/>
              <w:rPr>
                <w:rFonts w:asciiTheme="minorBidi" w:hAnsiTheme="minorBidi"/>
                <w:szCs w:val="21"/>
              </w:rPr>
            </w:pPr>
          </w:p>
        </w:tc>
        <w:tc>
          <w:tcPr>
            <w:tcW w:w="495" w:type="dxa"/>
            <w:vAlign w:val="center"/>
          </w:tcPr>
          <w:p w14:paraId="4E61BD2B">
            <w:pPr>
              <w:adjustRightInd w:val="0"/>
              <w:snapToGrid w:val="0"/>
              <w:spacing w:before="62" w:beforeLines="20"/>
              <w:jc w:val="center"/>
              <w:rPr>
                <w:rFonts w:asciiTheme="minorBidi" w:hAnsiTheme="minorBidi"/>
                <w:szCs w:val="21"/>
              </w:rPr>
            </w:pPr>
          </w:p>
        </w:tc>
        <w:tc>
          <w:tcPr>
            <w:tcW w:w="495" w:type="dxa"/>
            <w:vAlign w:val="center"/>
          </w:tcPr>
          <w:p w14:paraId="6A295FF7">
            <w:pPr>
              <w:adjustRightInd w:val="0"/>
              <w:snapToGrid w:val="0"/>
              <w:spacing w:before="62" w:beforeLines="20"/>
              <w:jc w:val="center"/>
              <w:rPr>
                <w:rFonts w:asciiTheme="minorBidi" w:hAnsiTheme="minorBidi"/>
                <w:szCs w:val="21"/>
              </w:rPr>
            </w:pPr>
          </w:p>
        </w:tc>
        <w:tc>
          <w:tcPr>
            <w:tcW w:w="643" w:type="dxa"/>
            <w:vAlign w:val="center"/>
          </w:tcPr>
          <w:p w14:paraId="29626C93">
            <w:pPr>
              <w:adjustRightInd w:val="0"/>
              <w:snapToGrid w:val="0"/>
              <w:spacing w:before="62" w:beforeLines="20"/>
              <w:jc w:val="center"/>
              <w:rPr>
                <w:rFonts w:asciiTheme="minorBidi" w:hAnsiTheme="minorBidi"/>
                <w:szCs w:val="21"/>
              </w:rPr>
            </w:pPr>
          </w:p>
        </w:tc>
        <w:tc>
          <w:tcPr>
            <w:tcW w:w="795" w:type="dxa"/>
            <w:vAlign w:val="center"/>
          </w:tcPr>
          <w:p w14:paraId="77648D4B">
            <w:pPr>
              <w:adjustRightInd w:val="0"/>
              <w:snapToGrid w:val="0"/>
              <w:spacing w:before="62" w:beforeLines="20"/>
              <w:jc w:val="center"/>
              <w:rPr>
                <w:rFonts w:asciiTheme="minorBidi" w:hAnsiTheme="minorBidi"/>
                <w:szCs w:val="21"/>
              </w:rPr>
            </w:pPr>
          </w:p>
        </w:tc>
        <w:tc>
          <w:tcPr>
            <w:tcW w:w="894" w:type="dxa"/>
            <w:vAlign w:val="center"/>
          </w:tcPr>
          <w:p w14:paraId="2393C41A">
            <w:pPr>
              <w:adjustRightInd w:val="0"/>
              <w:snapToGrid w:val="0"/>
              <w:spacing w:before="62" w:beforeLines="20"/>
              <w:jc w:val="center"/>
              <w:rPr>
                <w:rFonts w:asciiTheme="minorBidi" w:hAnsiTheme="minorBidi"/>
                <w:szCs w:val="21"/>
              </w:rPr>
            </w:pPr>
          </w:p>
        </w:tc>
        <w:tc>
          <w:tcPr>
            <w:tcW w:w="894" w:type="dxa"/>
            <w:vAlign w:val="center"/>
          </w:tcPr>
          <w:p w14:paraId="4A5237BC">
            <w:pPr>
              <w:adjustRightInd w:val="0"/>
              <w:snapToGrid w:val="0"/>
              <w:spacing w:before="62" w:beforeLines="20"/>
              <w:jc w:val="center"/>
              <w:rPr>
                <w:rFonts w:asciiTheme="minorBidi" w:hAnsiTheme="minorBidi"/>
                <w:szCs w:val="21"/>
              </w:rPr>
            </w:pPr>
          </w:p>
        </w:tc>
        <w:tc>
          <w:tcPr>
            <w:tcW w:w="589" w:type="dxa"/>
            <w:vAlign w:val="center"/>
          </w:tcPr>
          <w:p w14:paraId="1AA82BC4">
            <w:pPr>
              <w:adjustRightInd w:val="0"/>
              <w:snapToGrid w:val="0"/>
              <w:spacing w:before="62" w:beforeLines="20"/>
              <w:jc w:val="center"/>
              <w:rPr>
                <w:rFonts w:asciiTheme="minorBidi" w:hAnsiTheme="minorBidi"/>
                <w:szCs w:val="21"/>
              </w:rPr>
            </w:pPr>
          </w:p>
        </w:tc>
        <w:tc>
          <w:tcPr>
            <w:tcW w:w="990" w:type="dxa"/>
            <w:vAlign w:val="center"/>
          </w:tcPr>
          <w:p w14:paraId="261F4EE4">
            <w:pPr>
              <w:adjustRightInd w:val="0"/>
              <w:snapToGrid w:val="0"/>
              <w:spacing w:before="62" w:beforeLines="20"/>
              <w:jc w:val="center"/>
              <w:rPr>
                <w:rFonts w:asciiTheme="minorBidi" w:hAnsiTheme="minorBidi"/>
                <w:szCs w:val="21"/>
              </w:rPr>
            </w:pPr>
          </w:p>
        </w:tc>
      </w:tr>
      <w:tr w14:paraId="206C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728758AE">
            <w:pPr>
              <w:adjustRightInd w:val="0"/>
              <w:snapToGrid w:val="0"/>
              <w:spacing w:before="62" w:beforeLines="20"/>
              <w:jc w:val="center"/>
              <w:rPr>
                <w:rFonts w:asciiTheme="minorBidi" w:hAnsiTheme="minorBidi"/>
                <w:szCs w:val="21"/>
              </w:rPr>
            </w:pPr>
            <w:r>
              <w:rPr>
                <w:rFonts w:asciiTheme="minorBidi" w:hAnsiTheme="minorBidi"/>
                <w:szCs w:val="21"/>
              </w:rPr>
              <w:t>其他</w:t>
            </w:r>
            <w:r>
              <w:rPr>
                <w:rFonts w:asciiTheme="minorBidi" w:hAnsiTheme="minorBidi"/>
                <w:szCs w:val="21"/>
              </w:rPr>
              <w:br w:type="textWrapping"/>
            </w:r>
            <w:r>
              <w:rPr>
                <w:rFonts w:asciiTheme="minorBidi" w:hAnsiTheme="minorBidi"/>
                <w:szCs w:val="21"/>
              </w:rPr>
              <w:t>无效/未测定</w:t>
            </w:r>
          </w:p>
        </w:tc>
        <w:tc>
          <w:tcPr>
            <w:tcW w:w="1123" w:type="dxa"/>
            <w:vAlign w:val="center"/>
          </w:tcPr>
          <w:p w14:paraId="7DF2A7F2">
            <w:pPr>
              <w:adjustRightInd w:val="0"/>
              <w:snapToGrid w:val="0"/>
              <w:spacing w:before="62" w:beforeLines="20"/>
              <w:jc w:val="center"/>
              <w:rPr>
                <w:rFonts w:asciiTheme="minorBidi" w:hAnsiTheme="minorBidi"/>
                <w:szCs w:val="21"/>
              </w:rPr>
            </w:pPr>
          </w:p>
        </w:tc>
        <w:tc>
          <w:tcPr>
            <w:tcW w:w="495" w:type="dxa"/>
            <w:vAlign w:val="center"/>
          </w:tcPr>
          <w:p w14:paraId="78A8A1A6">
            <w:pPr>
              <w:adjustRightInd w:val="0"/>
              <w:snapToGrid w:val="0"/>
              <w:spacing w:before="62" w:beforeLines="20"/>
              <w:jc w:val="center"/>
              <w:rPr>
                <w:rFonts w:asciiTheme="minorBidi" w:hAnsiTheme="minorBidi"/>
                <w:szCs w:val="21"/>
              </w:rPr>
            </w:pPr>
          </w:p>
        </w:tc>
        <w:tc>
          <w:tcPr>
            <w:tcW w:w="495" w:type="dxa"/>
            <w:vAlign w:val="center"/>
          </w:tcPr>
          <w:p w14:paraId="15CD960D">
            <w:pPr>
              <w:adjustRightInd w:val="0"/>
              <w:snapToGrid w:val="0"/>
              <w:spacing w:before="62" w:beforeLines="20"/>
              <w:jc w:val="center"/>
              <w:rPr>
                <w:rFonts w:asciiTheme="minorBidi" w:hAnsiTheme="minorBidi"/>
                <w:szCs w:val="21"/>
              </w:rPr>
            </w:pPr>
          </w:p>
        </w:tc>
        <w:tc>
          <w:tcPr>
            <w:tcW w:w="643" w:type="dxa"/>
            <w:vAlign w:val="center"/>
          </w:tcPr>
          <w:p w14:paraId="3DA294A4">
            <w:pPr>
              <w:adjustRightInd w:val="0"/>
              <w:snapToGrid w:val="0"/>
              <w:spacing w:before="62" w:beforeLines="20"/>
              <w:jc w:val="center"/>
              <w:rPr>
                <w:rFonts w:asciiTheme="minorBidi" w:hAnsiTheme="minorBidi"/>
                <w:szCs w:val="21"/>
              </w:rPr>
            </w:pPr>
          </w:p>
        </w:tc>
        <w:tc>
          <w:tcPr>
            <w:tcW w:w="795" w:type="dxa"/>
            <w:vAlign w:val="center"/>
          </w:tcPr>
          <w:p w14:paraId="402B0BFD">
            <w:pPr>
              <w:adjustRightInd w:val="0"/>
              <w:snapToGrid w:val="0"/>
              <w:spacing w:before="62" w:beforeLines="20"/>
              <w:jc w:val="center"/>
              <w:rPr>
                <w:rFonts w:asciiTheme="minorBidi" w:hAnsiTheme="minorBidi"/>
                <w:szCs w:val="21"/>
              </w:rPr>
            </w:pPr>
          </w:p>
        </w:tc>
        <w:tc>
          <w:tcPr>
            <w:tcW w:w="894" w:type="dxa"/>
            <w:vAlign w:val="center"/>
          </w:tcPr>
          <w:p w14:paraId="649E0C0A">
            <w:pPr>
              <w:adjustRightInd w:val="0"/>
              <w:snapToGrid w:val="0"/>
              <w:spacing w:before="62" w:beforeLines="20"/>
              <w:jc w:val="center"/>
              <w:rPr>
                <w:rFonts w:asciiTheme="minorBidi" w:hAnsiTheme="minorBidi"/>
                <w:szCs w:val="21"/>
              </w:rPr>
            </w:pPr>
          </w:p>
        </w:tc>
        <w:tc>
          <w:tcPr>
            <w:tcW w:w="894" w:type="dxa"/>
            <w:vAlign w:val="center"/>
          </w:tcPr>
          <w:p w14:paraId="06C0BAF0">
            <w:pPr>
              <w:adjustRightInd w:val="0"/>
              <w:snapToGrid w:val="0"/>
              <w:spacing w:before="62" w:beforeLines="20"/>
              <w:jc w:val="center"/>
              <w:rPr>
                <w:rFonts w:asciiTheme="minorBidi" w:hAnsiTheme="minorBidi"/>
                <w:szCs w:val="21"/>
              </w:rPr>
            </w:pPr>
          </w:p>
        </w:tc>
        <w:tc>
          <w:tcPr>
            <w:tcW w:w="589" w:type="dxa"/>
            <w:vAlign w:val="center"/>
          </w:tcPr>
          <w:p w14:paraId="2259722B">
            <w:pPr>
              <w:adjustRightInd w:val="0"/>
              <w:snapToGrid w:val="0"/>
              <w:spacing w:before="62" w:beforeLines="20"/>
              <w:jc w:val="center"/>
              <w:rPr>
                <w:rFonts w:asciiTheme="minorBidi" w:hAnsiTheme="minorBidi"/>
                <w:szCs w:val="21"/>
              </w:rPr>
            </w:pPr>
          </w:p>
        </w:tc>
        <w:tc>
          <w:tcPr>
            <w:tcW w:w="990" w:type="dxa"/>
            <w:vAlign w:val="center"/>
          </w:tcPr>
          <w:p w14:paraId="733EC71A">
            <w:pPr>
              <w:adjustRightInd w:val="0"/>
              <w:snapToGrid w:val="0"/>
              <w:spacing w:before="62" w:beforeLines="20"/>
              <w:jc w:val="center"/>
              <w:rPr>
                <w:rFonts w:asciiTheme="minorBidi" w:hAnsiTheme="minorBidi"/>
                <w:szCs w:val="21"/>
              </w:rPr>
            </w:pPr>
          </w:p>
        </w:tc>
      </w:tr>
      <w:tr w14:paraId="2FE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676FD29C">
            <w:pPr>
              <w:adjustRightInd w:val="0"/>
              <w:snapToGrid w:val="0"/>
              <w:spacing w:before="62" w:beforeLines="20"/>
              <w:jc w:val="center"/>
              <w:rPr>
                <w:rFonts w:asciiTheme="minorBidi" w:hAnsiTheme="minorBidi"/>
                <w:szCs w:val="21"/>
              </w:rPr>
            </w:pPr>
            <w:r>
              <w:rPr>
                <w:rFonts w:asciiTheme="minorBidi" w:hAnsiTheme="minorBidi"/>
                <w:szCs w:val="21"/>
              </w:rPr>
              <w:t>合计</w:t>
            </w:r>
          </w:p>
        </w:tc>
        <w:tc>
          <w:tcPr>
            <w:tcW w:w="1123" w:type="dxa"/>
            <w:vAlign w:val="center"/>
          </w:tcPr>
          <w:p w14:paraId="6A635BD2">
            <w:pPr>
              <w:adjustRightInd w:val="0"/>
              <w:snapToGrid w:val="0"/>
              <w:spacing w:before="62" w:beforeLines="20"/>
              <w:jc w:val="center"/>
              <w:rPr>
                <w:rFonts w:asciiTheme="minorBidi" w:hAnsiTheme="minorBidi"/>
                <w:szCs w:val="21"/>
              </w:rPr>
            </w:pPr>
          </w:p>
        </w:tc>
        <w:tc>
          <w:tcPr>
            <w:tcW w:w="495" w:type="dxa"/>
            <w:vAlign w:val="center"/>
          </w:tcPr>
          <w:p w14:paraId="7B551615">
            <w:pPr>
              <w:adjustRightInd w:val="0"/>
              <w:snapToGrid w:val="0"/>
              <w:spacing w:before="62" w:beforeLines="20"/>
              <w:jc w:val="center"/>
              <w:rPr>
                <w:rFonts w:asciiTheme="minorBidi" w:hAnsiTheme="minorBidi"/>
                <w:szCs w:val="21"/>
              </w:rPr>
            </w:pPr>
          </w:p>
        </w:tc>
        <w:tc>
          <w:tcPr>
            <w:tcW w:w="495" w:type="dxa"/>
            <w:vAlign w:val="center"/>
          </w:tcPr>
          <w:p w14:paraId="3AB741C6">
            <w:pPr>
              <w:adjustRightInd w:val="0"/>
              <w:snapToGrid w:val="0"/>
              <w:spacing w:before="62" w:beforeLines="20"/>
              <w:jc w:val="center"/>
              <w:rPr>
                <w:rFonts w:asciiTheme="minorBidi" w:hAnsiTheme="minorBidi"/>
                <w:szCs w:val="21"/>
              </w:rPr>
            </w:pPr>
          </w:p>
        </w:tc>
        <w:tc>
          <w:tcPr>
            <w:tcW w:w="643" w:type="dxa"/>
            <w:vAlign w:val="center"/>
          </w:tcPr>
          <w:p w14:paraId="090C2997">
            <w:pPr>
              <w:adjustRightInd w:val="0"/>
              <w:snapToGrid w:val="0"/>
              <w:spacing w:before="62" w:beforeLines="20"/>
              <w:jc w:val="center"/>
              <w:rPr>
                <w:rFonts w:asciiTheme="minorBidi" w:hAnsiTheme="minorBidi"/>
                <w:szCs w:val="21"/>
              </w:rPr>
            </w:pPr>
          </w:p>
        </w:tc>
        <w:tc>
          <w:tcPr>
            <w:tcW w:w="795" w:type="dxa"/>
            <w:vAlign w:val="center"/>
          </w:tcPr>
          <w:p w14:paraId="4206EF49">
            <w:pPr>
              <w:adjustRightInd w:val="0"/>
              <w:snapToGrid w:val="0"/>
              <w:spacing w:before="62" w:beforeLines="20"/>
              <w:jc w:val="center"/>
              <w:rPr>
                <w:rFonts w:asciiTheme="minorBidi" w:hAnsiTheme="minorBidi"/>
                <w:szCs w:val="21"/>
              </w:rPr>
            </w:pPr>
          </w:p>
        </w:tc>
        <w:tc>
          <w:tcPr>
            <w:tcW w:w="894" w:type="dxa"/>
            <w:vAlign w:val="center"/>
          </w:tcPr>
          <w:p w14:paraId="29E74E4B">
            <w:pPr>
              <w:adjustRightInd w:val="0"/>
              <w:snapToGrid w:val="0"/>
              <w:spacing w:before="62" w:beforeLines="20"/>
              <w:jc w:val="center"/>
              <w:rPr>
                <w:rFonts w:asciiTheme="minorBidi" w:hAnsiTheme="minorBidi"/>
                <w:szCs w:val="21"/>
              </w:rPr>
            </w:pPr>
          </w:p>
        </w:tc>
        <w:tc>
          <w:tcPr>
            <w:tcW w:w="894" w:type="dxa"/>
            <w:vAlign w:val="center"/>
          </w:tcPr>
          <w:p w14:paraId="2327267F">
            <w:pPr>
              <w:adjustRightInd w:val="0"/>
              <w:snapToGrid w:val="0"/>
              <w:spacing w:before="62" w:beforeLines="20"/>
              <w:jc w:val="center"/>
              <w:rPr>
                <w:rFonts w:asciiTheme="minorBidi" w:hAnsiTheme="minorBidi"/>
                <w:szCs w:val="21"/>
              </w:rPr>
            </w:pPr>
          </w:p>
        </w:tc>
        <w:tc>
          <w:tcPr>
            <w:tcW w:w="589" w:type="dxa"/>
            <w:vAlign w:val="center"/>
          </w:tcPr>
          <w:p w14:paraId="528BCC79">
            <w:pPr>
              <w:adjustRightInd w:val="0"/>
              <w:snapToGrid w:val="0"/>
              <w:spacing w:before="62" w:beforeLines="20"/>
              <w:jc w:val="center"/>
              <w:rPr>
                <w:rFonts w:asciiTheme="minorBidi" w:hAnsiTheme="minorBidi"/>
                <w:szCs w:val="21"/>
              </w:rPr>
            </w:pPr>
          </w:p>
        </w:tc>
        <w:tc>
          <w:tcPr>
            <w:tcW w:w="990" w:type="dxa"/>
            <w:vAlign w:val="center"/>
          </w:tcPr>
          <w:p w14:paraId="19F29CB0">
            <w:pPr>
              <w:adjustRightInd w:val="0"/>
              <w:snapToGrid w:val="0"/>
              <w:spacing w:before="62" w:beforeLines="20"/>
              <w:jc w:val="center"/>
              <w:rPr>
                <w:rFonts w:asciiTheme="minorBidi" w:hAnsiTheme="minorBidi"/>
                <w:szCs w:val="21"/>
              </w:rPr>
            </w:pPr>
          </w:p>
        </w:tc>
      </w:tr>
    </w:tbl>
    <w:p w14:paraId="0647F490">
      <w:pPr>
        <w:adjustRightInd w:val="0"/>
        <w:snapToGrid w:val="0"/>
        <w:spacing w:before="156" w:beforeLines="50" w:line="300" w:lineRule="auto"/>
        <w:rPr>
          <w:rFonts w:asciiTheme="minorBidi" w:hAnsiTheme="minorBidi"/>
          <w:sz w:val="24"/>
          <w:szCs w:val="32"/>
        </w:rPr>
      </w:pPr>
    </w:p>
    <w:p w14:paraId="198D2985">
      <w:pPr>
        <w:widowControl/>
        <w:adjustRightInd w:val="0"/>
        <w:snapToGrid w:val="0"/>
        <w:spacing w:before="156" w:beforeLines="50" w:line="300" w:lineRule="auto"/>
        <w:jc w:val="left"/>
        <w:rPr>
          <w:rFonts w:asciiTheme="minorBidi" w:hAnsiTheme="minorBidi"/>
          <w:sz w:val="24"/>
          <w:szCs w:val="32"/>
        </w:rPr>
      </w:pPr>
      <w:r>
        <w:rPr>
          <w:rFonts w:asciiTheme="minorBidi" w:hAnsiTheme="minorBidi"/>
          <w:sz w:val="24"/>
          <w:szCs w:val="32"/>
        </w:rPr>
        <w:br w:type="page"/>
      </w:r>
    </w:p>
    <w:p w14:paraId="623DE3BD">
      <w:pPr>
        <w:adjustRightInd w:val="0"/>
        <w:snapToGrid w:val="0"/>
        <w:spacing w:before="156" w:beforeLines="50" w:line="300" w:lineRule="auto"/>
        <w:rPr>
          <w:rFonts w:asciiTheme="minorBidi" w:hAnsiTheme="minorBidi"/>
          <w:b/>
          <w:sz w:val="28"/>
          <w:szCs w:val="28"/>
        </w:rPr>
      </w:pPr>
    </w:p>
    <w:p w14:paraId="0D6EC463">
      <w:pPr>
        <w:adjustRightInd w:val="0"/>
        <w:snapToGrid w:val="0"/>
        <w:spacing w:before="156" w:beforeLines="50" w:line="300" w:lineRule="auto"/>
        <w:outlineLvl w:val="2"/>
        <w:rPr>
          <w:rFonts w:asciiTheme="minorBidi" w:hAnsiTheme="minorBidi"/>
          <w:b/>
          <w:sz w:val="24"/>
        </w:rPr>
      </w:pPr>
      <w:bookmarkStart w:id="18" w:name="_Toc479653382"/>
      <w:r>
        <w:rPr>
          <w:rFonts w:asciiTheme="minorBidi" w:hAnsiTheme="minorBidi"/>
          <w:b/>
          <w:sz w:val="24"/>
        </w:rPr>
        <w:t>ASC-US分类预期用途 – 高风险HPV测试</w:t>
      </w:r>
      <w:bookmarkEnd w:id="18"/>
    </w:p>
    <w:p w14:paraId="1A34C911">
      <w:pPr>
        <w:adjustRightInd w:val="0"/>
        <w:snapToGrid w:val="0"/>
        <w:spacing w:before="156" w:beforeLines="50" w:line="300" w:lineRule="auto"/>
        <w:rPr>
          <w:rFonts w:asciiTheme="minorBidi" w:hAnsiTheme="minorBidi"/>
          <w:sz w:val="24"/>
        </w:rPr>
      </w:pPr>
      <w:r>
        <w:rPr>
          <w:rFonts w:asciiTheme="minorBidi" w:hAnsiTheme="minorBidi"/>
          <w:sz w:val="24"/>
        </w:rPr>
        <w:t>贵公司应使用代表预期用途人群（即，有ASC-US细胞学结果的患者）的标本进行预期研究，已确定所有标本类型中贵公司器械的临床性能，和贵公司在标签中声明的标本采集器械。定性测试（使用双结局，阳性或阴性的测试）的临床性能通过其灵敏度和特异性进行描述。贵公司器械的临床灵敏度为有癌前和癌症【大于或等于宫颈上皮内瘤样病变2（≥CIN2）】、贵公司的测试为阳性的个体比例。贵公司器械的临床特异性为无癌前或癌症（&lt;CIN2）、贵公司的测试为阴性的个体比例。这些性能特征应在作为美国临床研究中心代表的最少3个研究中心进行的前瞻性临床研究中确立。</w:t>
      </w:r>
    </w:p>
    <w:p w14:paraId="1DF2DC34">
      <w:pPr>
        <w:adjustRightInd w:val="0"/>
        <w:snapToGrid w:val="0"/>
        <w:spacing w:before="156" w:beforeLines="50" w:line="300" w:lineRule="auto"/>
        <w:rPr>
          <w:rFonts w:asciiTheme="minorBidi" w:hAnsiTheme="minorBidi"/>
          <w:i/>
          <w:sz w:val="24"/>
        </w:rPr>
      </w:pPr>
      <w:r>
        <w:rPr>
          <w:rFonts w:asciiTheme="minorBidi" w:hAnsiTheme="minorBidi"/>
          <w:i/>
          <w:sz w:val="24"/>
        </w:rPr>
        <w:t>样本采集和处理</w:t>
      </w:r>
    </w:p>
    <w:p w14:paraId="36DEF987">
      <w:pPr>
        <w:adjustRightInd w:val="0"/>
        <w:snapToGrid w:val="0"/>
        <w:spacing w:before="156" w:beforeLines="50" w:line="300" w:lineRule="auto"/>
        <w:rPr>
          <w:rFonts w:asciiTheme="minorBidi" w:hAnsiTheme="minorBidi"/>
          <w:sz w:val="24"/>
        </w:rPr>
      </w:pPr>
      <w:r>
        <w:rPr>
          <w:rFonts w:asciiTheme="minorBidi" w:hAnsiTheme="minorBidi"/>
          <w:sz w:val="24"/>
        </w:rPr>
        <w:t>正确的标本采集和处理对确立HPV测试的性能特征而言至关重要。对于ASC-US分类预期用途，所研究的女性人群应从妇产科门诊进行招募。请注意，阴道镜门诊不是进行ASC-US分类评估患者的良好来源，因为前往阴道镜门诊的女性已确定需要阴道镜检查（即，已通过其他测试确定为HPV阳性，或通过细胞学重复ASC-US）。由于已知需要腹腔镜检查的女性不是HPV分类适应症的目标人群，本人群不得用于贵公司的研究，因为所衍生的性能估算值不准确。出现在腹腔镜门诊的女性人群HPV感染和宫颈疾病的患病率均较高，日期由于验证的偏差，会对器械灵敏度进行夸大。</w:t>
      </w:r>
    </w:p>
    <w:p w14:paraId="7416572F">
      <w:pPr>
        <w:adjustRightInd w:val="0"/>
        <w:snapToGrid w:val="0"/>
        <w:spacing w:before="156" w:beforeLines="50" w:line="300" w:lineRule="auto"/>
        <w:rPr>
          <w:rFonts w:asciiTheme="minorBidi" w:hAnsiTheme="minorBidi"/>
          <w:sz w:val="24"/>
        </w:rPr>
      </w:pPr>
      <w:r>
        <w:rPr>
          <w:rFonts w:asciiTheme="minorBidi" w:hAnsiTheme="minorBidi"/>
          <w:sz w:val="24"/>
        </w:rPr>
        <w:t>对于应直接使用液基细胞学（LBC）标本进行的测试，也应对生成细胞学结果所用相同的LBC样本进行所有研究型HPV测试。这将使贵公司能够避免贵公司研究中的任何偏差（即，在初始细胞学样本和研究型样本采集时间之间可能消失的感染，在首份样本中除去大部分HPV感染细胞等）。尽管采集额外样本时，一种减轻采样变差的方法是将对2中样本进行的测试程序进行随机化（即，细胞学和HPV测试），对于在患者中产的细胞学结果而言，此方法不可接受。从患者中采集的首份细胞学样本应始终为用于生成细胞学结果的样本，因此本结果（以及后续的患者健康情况）不会受到损害。因此，对2份细胞学标本的随机测试不会减轻HPV研究的采样偏差。</w:t>
      </w:r>
    </w:p>
    <w:p w14:paraId="5132AEF8">
      <w:pPr>
        <w:adjustRightInd w:val="0"/>
        <w:snapToGrid w:val="0"/>
        <w:spacing w:before="156" w:beforeLines="50" w:line="300" w:lineRule="auto"/>
        <w:rPr>
          <w:rFonts w:asciiTheme="minorBidi" w:hAnsiTheme="minorBidi"/>
          <w:sz w:val="24"/>
        </w:rPr>
      </w:pPr>
      <w:r>
        <w:rPr>
          <w:rFonts w:asciiTheme="minorBidi" w:hAnsiTheme="minorBidi"/>
          <w:sz w:val="24"/>
        </w:rPr>
        <w:t>从妇产科门诊入组患者与阴道镜门诊是一种截然相反的挑战，其可导致大量女性不属于预期使用人群的一部分。如果贵公司正在进行一项大型研究以支持多种HPV测试预期用途，明智做法是在贵公司的研究中入组所有女性，不考虑细胞学状态。另一个选择，如果ASC-US的预期用途是在单独的研究中进行的，则只将ASC-US细胞学检查结果的患者登记到您的前瞻性临床研究中。当采用后一方法时，重要的是确立一种方法用于获取最初用于生成入组ASC-US结果的初始细胞学样本，从而避免上述采样偏差。</w:t>
      </w:r>
    </w:p>
    <w:p w14:paraId="73B4D302">
      <w:pPr>
        <w:adjustRightInd w:val="0"/>
        <w:snapToGrid w:val="0"/>
        <w:spacing w:before="156" w:beforeLines="50" w:line="300" w:lineRule="auto"/>
        <w:rPr>
          <w:rFonts w:asciiTheme="minorBidi" w:hAnsiTheme="minorBidi"/>
          <w:i/>
          <w:sz w:val="24"/>
        </w:rPr>
      </w:pPr>
      <w:r>
        <w:rPr>
          <w:rFonts w:asciiTheme="minorBidi" w:hAnsiTheme="minorBidi"/>
          <w:i/>
          <w:sz w:val="24"/>
        </w:rPr>
        <w:t>临床参考（“金”）标准</w:t>
      </w:r>
    </w:p>
    <w:p w14:paraId="5D2599AB">
      <w:pPr>
        <w:adjustRightInd w:val="0"/>
        <w:snapToGrid w:val="0"/>
        <w:spacing w:before="156" w:beforeLines="50" w:line="300" w:lineRule="auto"/>
        <w:rPr>
          <w:rFonts w:asciiTheme="minorBidi" w:hAnsiTheme="minorBidi"/>
          <w:sz w:val="24"/>
        </w:rPr>
      </w:pPr>
      <w:r>
        <w:rPr>
          <w:rFonts w:asciiTheme="minorBidi" w:hAnsiTheme="minorBidi"/>
          <w:sz w:val="24"/>
        </w:rPr>
        <w:t>贵公司的研究应设计为，来自妇产科门诊且有ASC-US细胞学的所有女性将继续进行应到经检查，不考虑HPV状态或其他因素。患者的HPV状态应对研究者、患者和临床医师（包括进行阴道镜检查和组织学检查的医师）设盲，直至完成阴道镜检查/组织学检查，以避免研究中的偏差。</w:t>
      </w:r>
    </w:p>
    <w:p w14:paraId="336D82BA">
      <w:pPr>
        <w:adjustRightInd w:val="0"/>
        <w:snapToGrid w:val="0"/>
        <w:spacing w:before="156" w:beforeLines="50" w:line="300" w:lineRule="auto"/>
        <w:rPr>
          <w:rFonts w:asciiTheme="minorBidi" w:hAnsiTheme="minorBidi"/>
          <w:sz w:val="24"/>
        </w:rPr>
      </w:pPr>
      <w:r>
        <w:rPr>
          <w:rFonts w:asciiTheme="minorBidi" w:hAnsiTheme="minorBidi"/>
          <w:sz w:val="24"/>
        </w:rPr>
        <w:t>筛选宫颈细胞学标本的采集和后续细胞学程序之间的经过时间不得超过12周。这些程序中经过过长时间可能导致HPV感染及其相关宫颈病灶的自发消退率高于正常值，将对贵公司估算临床灵敏度和特异性产生不良影响。</w:t>
      </w:r>
    </w:p>
    <w:p w14:paraId="44FFE9B9">
      <w:pPr>
        <w:adjustRightInd w:val="0"/>
        <w:snapToGrid w:val="0"/>
        <w:spacing w:before="156" w:beforeLines="50" w:line="300" w:lineRule="auto"/>
        <w:rPr>
          <w:rFonts w:asciiTheme="minorBidi" w:hAnsiTheme="minorBidi"/>
          <w:sz w:val="24"/>
        </w:rPr>
      </w:pPr>
      <w:r>
        <w:rPr>
          <w:rFonts w:asciiTheme="minorBidi" w:hAnsiTheme="minorBidi"/>
          <w:sz w:val="24"/>
        </w:rPr>
        <w:t>贵公司应描述临床研究中所用阴道镜检查程序的详细信息，且阴道镜检查程序的结果应分类为（阴道镜检查阴性/无活检）、活检阴性、CIN1、CIN2、CIN3和癌症。</w:t>
      </w:r>
    </w:p>
    <w:p w14:paraId="712B757A">
      <w:pPr>
        <w:adjustRightInd w:val="0"/>
        <w:snapToGrid w:val="0"/>
        <w:spacing w:before="156" w:beforeLines="50" w:line="300" w:lineRule="auto"/>
        <w:rPr>
          <w:rFonts w:asciiTheme="minorBidi" w:hAnsiTheme="minorBidi"/>
          <w:i/>
          <w:sz w:val="24"/>
        </w:rPr>
      </w:pPr>
      <w:r>
        <w:rPr>
          <w:rFonts w:asciiTheme="minorBidi" w:hAnsiTheme="minorBidi"/>
          <w:i/>
          <w:sz w:val="24"/>
        </w:rPr>
        <w:t>临床性能评估</w:t>
      </w:r>
    </w:p>
    <w:p w14:paraId="28F3753B">
      <w:pPr>
        <w:adjustRightInd w:val="0"/>
        <w:snapToGrid w:val="0"/>
        <w:spacing w:before="156" w:beforeLines="50" w:line="300" w:lineRule="auto"/>
        <w:rPr>
          <w:rFonts w:asciiTheme="minorBidi" w:hAnsiTheme="minorBidi"/>
          <w:sz w:val="24"/>
        </w:rPr>
      </w:pPr>
      <w:r>
        <w:rPr>
          <w:rFonts w:asciiTheme="minorBidi" w:hAnsiTheme="minorBidi"/>
          <w:sz w:val="24"/>
        </w:rPr>
        <w:t>用于检测HPV的测试（定性测试）临床新能使用其临床灵敏度和特异性，其阳性和阴性预测值，以及预期用途人群中目标疾病的患病率进行描述。用于检测和区分HPV基因型的测试（有多种结局的测试）临床性能使用每种测试结局的目标疾病可能性，以及有每种测试结局的研究受试者百分比进行描述。</w:t>
      </w:r>
    </w:p>
    <w:p w14:paraId="66BAC2A9">
      <w:pPr>
        <w:adjustRightInd w:val="0"/>
        <w:snapToGrid w:val="0"/>
        <w:spacing w:before="156" w:beforeLines="50" w:line="300" w:lineRule="auto"/>
        <w:rPr>
          <w:rFonts w:asciiTheme="minorBidi" w:hAnsiTheme="minorBidi"/>
          <w:sz w:val="24"/>
        </w:rPr>
      </w:pPr>
      <w:r>
        <w:rPr>
          <w:rFonts w:asciiTheme="minorBidi" w:hAnsiTheme="minorBidi"/>
          <w:sz w:val="24"/>
        </w:rPr>
        <w:t>在一份行业请求中有人询问我们如何提供本信息。对于2种结局的定性测试（阳性和阴性），表5为贵公司可用作辅助工具的格式：</w:t>
      </w:r>
    </w:p>
    <w:p w14:paraId="151731E0">
      <w:pPr>
        <w:adjustRightInd w:val="0"/>
        <w:snapToGrid w:val="0"/>
        <w:spacing w:before="156" w:beforeLines="50" w:line="300" w:lineRule="auto"/>
        <w:rPr>
          <w:rFonts w:asciiTheme="minorBidi" w:hAnsiTheme="minorBidi"/>
          <w:sz w:val="24"/>
          <w:szCs w:val="32"/>
        </w:rPr>
      </w:pPr>
      <w:r>
        <w:rPr>
          <w:rFonts w:asciiTheme="minorBidi" w:hAnsiTheme="minorBidi"/>
          <w:sz w:val="24"/>
        </w:rPr>
        <w:t>表5</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283"/>
        <w:gridCol w:w="926"/>
        <w:gridCol w:w="1205"/>
        <w:gridCol w:w="1205"/>
        <w:gridCol w:w="1205"/>
        <w:gridCol w:w="2411"/>
      </w:tblGrid>
      <w:tr w14:paraId="420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Pr>
          <w:p w14:paraId="1F9E1C88">
            <w:pPr>
              <w:adjustRightInd w:val="0"/>
              <w:snapToGrid w:val="0"/>
              <w:spacing w:before="62" w:beforeLines="20"/>
              <w:jc w:val="center"/>
              <w:rPr>
                <w:rFonts w:asciiTheme="minorBidi" w:hAnsiTheme="minorBidi"/>
                <w:szCs w:val="21"/>
              </w:rPr>
            </w:pPr>
          </w:p>
        </w:tc>
        <w:tc>
          <w:tcPr>
            <w:tcW w:w="1134" w:type="dxa"/>
            <w:vMerge w:val="restart"/>
          </w:tcPr>
          <w:p w14:paraId="226F1F92">
            <w:pPr>
              <w:adjustRightInd w:val="0"/>
              <w:snapToGrid w:val="0"/>
              <w:spacing w:before="62" w:beforeLines="20"/>
              <w:jc w:val="center"/>
              <w:rPr>
                <w:rFonts w:asciiTheme="minorBidi" w:hAnsiTheme="minorBidi"/>
                <w:szCs w:val="21"/>
              </w:rPr>
            </w:pPr>
            <w:r>
              <w:rPr>
                <w:rFonts w:asciiTheme="minorBidi" w:hAnsiTheme="minorBidi"/>
                <w:szCs w:val="21"/>
              </w:rPr>
              <w:t>阴性</w:t>
            </w:r>
            <w:r>
              <w:rPr>
                <w:rFonts w:asciiTheme="minorBidi" w:hAnsiTheme="minorBidi"/>
                <w:szCs w:val="21"/>
              </w:rPr>
              <w:br w:type="textWrapping"/>
            </w:r>
            <w:r>
              <w:rPr>
                <w:rFonts w:asciiTheme="minorBidi" w:hAnsiTheme="minorBidi"/>
                <w:szCs w:val="21"/>
              </w:rPr>
              <w:t>阴道镜</w:t>
            </w:r>
          </w:p>
        </w:tc>
        <w:tc>
          <w:tcPr>
            <w:tcW w:w="4014" w:type="dxa"/>
            <w:gridSpan w:val="4"/>
          </w:tcPr>
          <w:p w14:paraId="5A3AD59D">
            <w:pPr>
              <w:adjustRightInd w:val="0"/>
              <w:snapToGrid w:val="0"/>
              <w:spacing w:before="62" w:beforeLines="20"/>
              <w:jc w:val="center"/>
              <w:rPr>
                <w:rFonts w:asciiTheme="minorBidi" w:hAnsiTheme="minorBidi"/>
                <w:szCs w:val="21"/>
              </w:rPr>
            </w:pPr>
            <w:r>
              <w:rPr>
                <w:rFonts w:asciiTheme="minorBidi" w:hAnsiTheme="minorBidi"/>
                <w:szCs w:val="21"/>
              </w:rPr>
              <w:t>中枢组织学</w:t>
            </w:r>
          </w:p>
        </w:tc>
        <w:tc>
          <w:tcPr>
            <w:tcW w:w="2132" w:type="dxa"/>
          </w:tcPr>
          <w:p w14:paraId="13F5030E">
            <w:pPr>
              <w:adjustRightInd w:val="0"/>
              <w:snapToGrid w:val="0"/>
              <w:spacing w:before="62" w:beforeLines="20"/>
              <w:jc w:val="center"/>
              <w:rPr>
                <w:rFonts w:asciiTheme="minorBidi" w:hAnsiTheme="minorBidi"/>
                <w:szCs w:val="21"/>
              </w:rPr>
            </w:pPr>
          </w:p>
        </w:tc>
      </w:tr>
      <w:tr w14:paraId="50D7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Pr>
          <w:p w14:paraId="3ED582A1">
            <w:pPr>
              <w:adjustRightInd w:val="0"/>
              <w:snapToGrid w:val="0"/>
              <w:spacing w:before="62" w:beforeLines="20"/>
              <w:jc w:val="center"/>
              <w:rPr>
                <w:rFonts w:asciiTheme="minorBidi" w:hAnsiTheme="minorBidi"/>
                <w:szCs w:val="21"/>
              </w:rPr>
            </w:pPr>
          </w:p>
        </w:tc>
        <w:tc>
          <w:tcPr>
            <w:tcW w:w="1134" w:type="dxa"/>
            <w:vMerge w:val="continue"/>
          </w:tcPr>
          <w:p w14:paraId="69123ABF">
            <w:pPr>
              <w:adjustRightInd w:val="0"/>
              <w:snapToGrid w:val="0"/>
              <w:spacing w:before="62" w:beforeLines="20"/>
              <w:jc w:val="center"/>
              <w:rPr>
                <w:rFonts w:asciiTheme="minorBidi" w:hAnsiTheme="minorBidi"/>
                <w:szCs w:val="21"/>
              </w:rPr>
            </w:pPr>
          </w:p>
        </w:tc>
        <w:tc>
          <w:tcPr>
            <w:tcW w:w="819" w:type="dxa"/>
          </w:tcPr>
          <w:p w14:paraId="03B41CAD">
            <w:pPr>
              <w:adjustRightInd w:val="0"/>
              <w:snapToGrid w:val="0"/>
              <w:spacing w:before="62" w:beforeLines="20"/>
              <w:jc w:val="center"/>
              <w:rPr>
                <w:rFonts w:asciiTheme="minorBidi" w:hAnsiTheme="minorBidi"/>
                <w:szCs w:val="21"/>
              </w:rPr>
            </w:pPr>
            <w:r>
              <w:rPr>
                <w:rFonts w:asciiTheme="minorBidi" w:hAnsiTheme="minorBidi"/>
                <w:szCs w:val="21"/>
              </w:rPr>
              <w:t>阴性</w:t>
            </w:r>
          </w:p>
        </w:tc>
        <w:tc>
          <w:tcPr>
            <w:tcW w:w="1065" w:type="dxa"/>
          </w:tcPr>
          <w:p w14:paraId="0265BDFE">
            <w:pPr>
              <w:adjustRightInd w:val="0"/>
              <w:snapToGrid w:val="0"/>
              <w:spacing w:before="62" w:beforeLines="20"/>
              <w:jc w:val="center"/>
              <w:rPr>
                <w:rFonts w:asciiTheme="minorBidi" w:hAnsiTheme="minorBidi"/>
                <w:szCs w:val="21"/>
              </w:rPr>
            </w:pPr>
            <w:r>
              <w:rPr>
                <w:rFonts w:asciiTheme="minorBidi" w:hAnsiTheme="minorBidi"/>
                <w:szCs w:val="21"/>
              </w:rPr>
              <w:t>CIN1</w:t>
            </w:r>
          </w:p>
        </w:tc>
        <w:tc>
          <w:tcPr>
            <w:tcW w:w="1065" w:type="dxa"/>
          </w:tcPr>
          <w:p w14:paraId="4A0BE367">
            <w:pPr>
              <w:adjustRightInd w:val="0"/>
              <w:snapToGrid w:val="0"/>
              <w:spacing w:before="62" w:beforeLines="20"/>
              <w:jc w:val="center"/>
              <w:rPr>
                <w:rFonts w:asciiTheme="minorBidi" w:hAnsiTheme="minorBidi"/>
                <w:szCs w:val="21"/>
              </w:rPr>
            </w:pPr>
            <w:r>
              <w:rPr>
                <w:rFonts w:asciiTheme="minorBidi" w:hAnsiTheme="minorBidi"/>
                <w:szCs w:val="21"/>
              </w:rPr>
              <w:t>CIN2</w:t>
            </w:r>
          </w:p>
        </w:tc>
        <w:tc>
          <w:tcPr>
            <w:tcW w:w="1065" w:type="dxa"/>
          </w:tcPr>
          <w:p w14:paraId="326660A3">
            <w:pPr>
              <w:adjustRightInd w:val="0"/>
              <w:snapToGrid w:val="0"/>
              <w:spacing w:before="62" w:beforeLines="20"/>
              <w:jc w:val="center"/>
              <w:rPr>
                <w:rFonts w:asciiTheme="minorBidi" w:hAnsiTheme="minorBidi"/>
                <w:szCs w:val="21"/>
              </w:rPr>
            </w:pPr>
            <w:r>
              <w:rPr>
                <w:rFonts w:asciiTheme="minorBidi" w:hAnsiTheme="minorBidi"/>
                <w:szCs w:val="21"/>
              </w:rPr>
              <w:t>≥CIN3</w:t>
            </w:r>
          </w:p>
        </w:tc>
        <w:tc>
          <w:tcPr>
            <w:tcW w:w="2132" w:type="dxa"/>
          </w:tcPr>
          <w:p w14:paraId="268D6B2B">
            <w:pPr>
              <w:adjustRightInd w:val="0"/>
              <w:snapToGrid w:val="0"/>
              <w:spacing w:before="62" w:beforeLines="20"/>
              <w:jc w:val="center"/>
              <w:rPr>
                <w:rFonts w:asciiTheme="minorBidi" w:hAnsiTheme="minorBidi"/>
                <w:szCs w:val="21"/>
              </w:rPr>
            </w:pPr>
          </w:p>
        </w:tc>
      </w:tr>
      <w:tr w14:paraId="053E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Pr>
          <w:p w14:paraId="0A1E35D5">
            <w:pPr>
              <w:adjustRightInd w:val="0"/>
              <w:snapToGrid w:val="0"/>
              <w:spacing w:before="62" w:beforeLines="20"/>
              <w:jc w:val="center"/>
              <w:rPr>
                <w:rFonts w:asciiTheme="minorBidi" w:hAnsiTheme="minorBidi"/>
                <w:szCs w:val="21"/>
              </w:rPr>
            </w:pPr>
            <w:r>
              <w:rPr>
                <w:rFonts w:asciiTheme="minorBidi" w:hAnsiTheme="minorBidi"/>
                <w:szCs w:val="21"/>
              </w:rPr>
              <w:t>HPV阳性</w:t>
            </w:r>
          </w:p>
        </w:tc>
        <w:tc>
          <w:tcPr>
            <w:tcW w:w="1134" w:type="dxa"/>
          </w:tcPr>
          <w:p w14:paraId="33A8F55F">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w:t>
            </w:r>
          </w:p>
        </w:tc>
        <w:tc>
          <w:tcPr>
            <w:tcW w:w="819" w:type="dxa"/>
          </w:tcPr>
          <w:p w14:paraId="75D2DC74">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w:t>
            </w:r>
          </w:p>
        </w:tc>
        <w:tc>
          <w:tcPr>
            <w:tcW w:w="1065" w:type="dxa"/>
          </w:tcPr>
          <w:p w14:paraId="0E2AA00F">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w:t>
            </w:r>
          </w:p>
        </w:tc>
        <w:tc>
          <w:tcPr>
            <w:tcW w:w="1065" w:type="dxa"/>
          </w:tcPr>
          <w:p w14:paraId="11509FBD">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4</w:t>
            </w:r>
          </w:p>
        </w:tc>
        <w:tc>
          <w:tcPr>
            <w:tcW w:w="1065" w:type="dxa"/>
          </w:tcPr>
          <w:p w14:paraId="2B790E58">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5</w:t>
            </w:r>
          </w:p>
        </w:tc>
        <w:tc>
          <w:tcPr>
            <w:tcW w:w="2132" w:type="dxa"/>
          </w:tcPr>
          <w:p w14:paraId="29BC0167">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w:t>
            </w:r>
            <w:r>
              <w:rPr>
                <w:rFonts w:asciiTheme="minorBidi" w:hAnsiTheme="minorBidi"/>
                <w:szCs w:val="21"/>
              </w:rPr>
              <w:t>+A</w:t>
            </w:r>
            <w:r>
              <w:rPr>
                <w:rFonts w:asciiTheme="minorBidi" w:hAnsiTheme="minorBidi"/>
                <w:szCs w:val="21"/>
                <w:vertAlign w:val="subscript"/>
              </w:rPr>
              <w:t>2</w:t>
            </w:r>
            <w:r>
              <w:rPr>
                <w:rFonts w:asciiTheme="minorBidi" w:hAnsiTheme="minorBidi"/>
                <w:szCs w:val="21"/>
              </w:rPr>
              <w:t>+A</w:t>
            </w:r>
            <w:r>
              <w:rPr>
                <w:rFonts w:asciiTheme="minorBidi" w:hAnsiTheme="minorBidi"/>
                <w:szCs w:val="21"/>
                <w:vertAlign w:val="subscript"/>
              </w:rPr>
              <w:t>3</w:t>
            </w:r>
            <w:r>
              <w:rPr>
                <w:rFonts w:asciiTheme="minorBidi" w:hAnsiTheme="minorBidi"/>
                <w:szCs w:val="21"/>
              </w:rPr>
              <w:t>+A</w:t>
            </w:r>
            <w:r>
              <w:rPr>
                <w:rFonts w:asciiTheme="minorBidi" w:hAnsiTheme="minorBidi"/>
                <w:szCs w:val="21"/>
                <w:vertAlign w:val="subscript"/>
              </w:rPr>
              <w:t>4</w:t>
            </w:r>
            <w:r>
              <w:rPr>
                <w:rFonts w:asciiTheme="minorBidi" w:hAnsiTheme="minorBidi"/>
                <w:szCs w:val="21"/>
              </w:rPr>
              <w:t>+A</w:t>
            </w:r>
            <w:r>
              <w:rPr>
                <w:rFonts w:asciiTheme="minorBidi" w:hAnsiTheme="minorBidi"/>
                <w:szCs w:val="21"/>
                <w:vertAlign w:val="subscript"/>
              </w:rPr>
              <w:t>5</w:t>
            </w:r>
          </w:p>
        </w:tc>
      </w:tr>
      <w:tr w14:paraId="2D0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Pr>
          <w:p w14:paraId="3CC63BFA">
            <w:pPr>
              <w:adjustRightInd w:val="0"/>
              <w:snapToGrid w:val="0"/>
              <w:spacing w:before="62" w:beforeLines="20"/>
              <w:jc w:val="center"/>
              <w:rPr>
                <w:rFonts w:asciiTheme="minorBidi" w:hAnsiTheme="minorBidi"/>
                <w:szCs w:val="21"/>
              </w:rPr>
            </w:pPr>
            <w:r>
              <w:rPr>
                <w:rFonts w:asciiTheme="minorBidi" w:hAnsiTheme="minorBidi"/>
                <w:szCs w:val="21"/>
              </w:rPr>
              <w:t>HPV阴性</w:t>
            </w:r>
          </w:p>
        </w:tc>
        <w:tc>
          <w:tcPr>
            <w:tcW w:w="1134" w:type="dxa"/>
          </w:tcPr>
          <w:p w14:paraId="68BD985A">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1</w:t>
            </w:r>
          </w:p>
        </w:tc>
        <w:tc>
          <w:tcPr>
            <w:tcW w:w="819" w:type="dxa"/>
          </w:tcPr>
          <w:p w14:paraId="1402DB6F">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2</w:t>
            </w:r>
          </w:p>
        </w:tc>
        <w:tc>
          <w:tcPr>
            <w:tcW w:w="1065" w:type="dxa"/>
          </w:tcPr>
          <w:p w14:paraId="793A59E9">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3</w:t>
            </w:r>
          </w:p>
        </w:tc>
        <w:tc>
          <w:tcPr>
            <w:tcW w:w="1065" w:type="dxa"/>
          </w:tcPr>
          <w:p w14:paraId="4C347E80">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4</w:t>
            </w:r>
          </w:p>
        </w:tc>
        <w:tc>
          <w:tcPr>
            <w:tcW w:w="1065" w:type="dxa"/>
          </w:tcPr>
          <w:p w14:paraId="39DB48FB">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5</w:t>
            </w:r>
          </w:p>
        </w:tc>
        <w:tc>
          <w:tcPr>
            <w:tcW w:w="2132" w:type="dxa"/>
          </w:tcPr>
          <w:p w14:paraId="2FA1E994">
            <w:pPr>
              <w:adjustRightInd w:val="0"/>
              <w:snapToGrid w:val="0"/>
              <w:spacing w:before="62" w:beforeLines="20"/>
              <w:jc w:val="center"/>
              <w:rPr>
                <w:rFonts w:asciiTheme="minorBidi" w:hAnsiTheme="minorBidi"/>
                <w:szCs w:val="21"/>
              </w:rPr>
            </w:pPr>
            <w:r>
              <w:rPr>
                <w:rFonts w:asciiTheme="minorBidi" w:hAnsiTheme="minorBidi"/>
                <w:szCs w:val="21"/>
              </w:rPr>
              <w:t>B</w:t>
            </w:r>
            <w:r>
              <w:rPr>
                <w:rFonts w:asciiTheme="minorBidi" w:hAnsiTheme="minorBidi"/>
                <w:szCs w:val="21"/>
                <w:vertAlign w:val="subscript"/>
              </w:rPr>
              <w:t>1</w:t>
            </w:r>
            <w:r>
              <w:rPr>
                <w:rFonts w:asciiTheme="minorBidi" w:hAnsiTheme="minorBidi"/>
                <w:szCs w:val="21"/>
              </w:rPr>
              <w:t>+B</w:t>
            </w:r>
            <w:r>
              <w:rPr>
                <w:rFonts w:asciiTheme="minorBidi" w:hAnsiTheme="minorBidi"/>
                <w:szCs w:val="21"/>
                <w:vertAlign w:val="subscript"/>
              </w:rPr>
              <w:t>2</w:t>
            </w:r>
            <w:r>
              <w:rPr>
                <w:rFonts w:asciiTheme="minorBidi" w:hAnsiTheme="minorBidi"/>
                <w:szCs w:val="21"/>
              </w:rPr>
              <w:t>+B</w:t>
            </w:r>
            <w:r>
              <w:rPr>
                <w:rFonts w:asciiTheme="minorBidi" w:hAnsiTheme="minorBidi"/>
                <w:szCs w:val="21"/>
                <w:vertAlign w:val="subscript"/>
              </w:rPr>
              <w:t>3</w:t>
            </w:r>
            <w:r>
              <w:rPr>
                <w:rFonts w:asciiTheme="minorBidi" w:hAnsiTheme="minorBidi"/>
                <w:szCs w:val="21"/>
              </w:rPr>
              <w:t>+B</w:t>
            </w:r>
            <w:r>
              <w:rPr>
                <w:rFonts w:asciiTheme="minorBidi" w:hAnsiTheme="minorBidi"/>
                <w:szCs w:val="21"/>
                <w:vertAlign w:val="subscript"/>
              </w:rPr>
              <w:t>4</w:t>
            </w:r>
            <w:r>
              <w:rPr>
                <w:rFonts w:asciiTheme="minorBidi" w:hAnsiTheme="minorBidi"/>
                <w:szCs w:val="21"/>
              </w:rPr>
              <w:t>+B</w:t>
            </w:r>
            <w:r>
              <w:rPr>
                <w:rFonts w:asciiTheme="minorBidi" w:hAnsiTheme="minorBidi"/>
                <w:szCs w:val="21"/>
                <w:vertAlign w:val="subscript"/>
              </w:rPr>
              <w:t>5</w:t>
            </w:r>
          </w:p>
        </w:tc>
      </w:tr>
      <w:tr w14:paraId="0DC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Pr>
          <w:p w14:paraId="756A1623">
            <w:pPr>
              <w:adjustRightInd w:val="0"/>
              <w:snapToGrid w:val="0"/>
              <w:spacing w:before="62" w:beforeLines="20"/>
              <w:jc w:val="center"/>
              <w:rPr>
                <w:rFonts w:asciiTheme="minorBidi" w:hAnsiTheme="minorBidi"/>
                <w:szCs w:val="21"/>
              </w:rPr>
            </w:pPr>
            <w:r>
              <w:rPr>
                <w:rFonts w:asciiTheme="minorBidi" w:hAnsiTheme="minorBidi"/>
                <w:szCs w:val="21"/>
              </w:rPr>
              <w:t>合计</w:t>
            </w:r>
          </w:p>
        </w:tc>
        <w:tc>
          <w:tcPr>
            <w:tcW w:w="1134" w:type="dxa"/>
          </w:tcPr>
          <w:p w14:paraId="3E083F60">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w:t>
            </w:r>
            <w:r>
              <w:rPr>
                <w:rFonts w:asciiTheme="minorBidi" w:hAnsiTheme="minorBidi"/>
                <w:szCs w:val="21"/>
              </w:rPr>
              <w:t>+B</w:t>
            </w:r>
            <w:r>
              <w:rPr>
                <w:rFonts w:asciiTheme="minorBidi" w:hAnsiTheme="minorBidi"/>
                <w:szCs w:val="21"/>
                <w:vertAlign w:val="subscript"/>
              </w:rPr>
              <w:t>1</w:t>
            </w:r>
          </w:p>
        </w:tc>
        <w:tc>
          <w:tcPr>
            <w:tcW w:w="819" w:type="dxa"/>
          </w:tcPr>
          <w:p w14:paraId="63945A0B">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w:t>
            </w:r>
            <w:r>
              <w:rPr>
                <w:rFonts w:asciiTheme="minorBidi" w:hAnsiTheme="minorBidi"/>
                <w:szCs w:val="21"/>
              </w:rPr>
              <w:t>+B</w:t>
            </w:r>
            <w:r>
              <w:rPr>
                <w:rFonts w:asciiTheme="minorBidi" w:hAnsiTheme="minorBidi"/>
                <w:szCs w:val="21"/>
                <w:vertAlign w:val="subscript"/>
              </w:rPr>
              <w:t>2</w:t>
            </w:r>
          </w:p>
        </w:tc>
        <w:tc>
          <w:tcPr>
            <w:tcW w:w="1065" w:type="dxa"/>
          </w:tcPr>
          <w:p w14:paraId="3CF75D5C">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w:t>
            </w:r>
            <w:r>
              <w:rPr>
                <w:rFonts w:asciiTheme="minorBidi" w:hAnsiTheme="minorBidi"/>
                <w:szCs w:val="21"/>
              </w:rPr>
              <w:t>+B</w:t>
            </w:r>
            <w:r>
              <w:rPr>
                <w:rFonts w:asciiTheme="minorBidi" w:hAnsiTheme="minorBidi"/>
                <w:szCs w:val="21"/>
                <w:vertAlign w:val="subscript"/>
              </w:rPr>
              <w:t>3</w:t>
            </w:r>
          </w:p>
        </w:tc>
        <w:tc>
          <w:tcPr>
            <w:tcW w:w="1065" w:type="dxa"/>
          </w:tcPr>
          <w:p w14:paraId="6B27ADC2">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4</w:t>
            </w:r>
            <w:r>
              <w:rPr>
                <w:rFonts w:asciiTheme="minorBidi" w:hAnsiTheme="minorBidi"/>
                <w:szCs w:val="21"/>
              </w:rPr>
              <w:t>+B</w:t>
            </w:r>
            <w:r>
              <w:rPr>
                <w:rFonts w:asciiTheme="minorBidi" w:hAnsiTheme="minorBidi"/>
                <w:szCs w:val="21"/>
                <w:vertAlign w:val="subscript"/>
              </w:rPr>
              <w:t>4</w:t>
            </w:r>
          </w:p>
        </w:tc>
        <w:tc>
          <w:tcPr>
            <w:tcW w:w="1065" w:type="dxa"/>
          </w:tcPr>
          <w:p w14:paraId="6121E418">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5</w:t>
            </w:r>
            <w:r>
              <w:rPr>
                <w:rFonts w:asciiTheme="minorBidi" w:hAnsiTheme="minorBidi"/>
                <w:szCs w:val="21"/>
              </w:rPr>
              <w:t>+B</w:t>
            </w:r>
            <w:r>
              <w:rPr>
                <w:rFonts w:asciiTheme="minorBidi" w:hAnsiTheme="minorBidi"/>
                <w:szCs w:val="21"/>
                <w:vertAlign w:val="subscript"/>
              </w:rPr>
              <w:t>5</w:t>
            </w:r>
          </w:p>
        </w:tc>
        <w:tc>
          <w:tcPr>
            <w:tcW w:w="2132" w:type="dxa"/>
          </w:tcPr>
          <w:p w14:paraId="4087D94B">
            <w:pPr>
              <w:adjustRightInd w:val="0"/>
              <w:snapToGrid w:val="0"/>
              <w:spacing w:before="62" w:beforeLines="20"/>
              <w:jc w:val="center"/>
              <w:rPr>
                <w:rFonts w:asciiTheme="minorBidi" w:hAnsiTheme="minorBidi"/>
                <w:szCs w:val="21"/>
              </w:rPr>
            </w:pPr>
            <w:r>
              <w:rPr>
                <w:rFonts w:asciiTheme="minorBidi" w:hAnsiTheme="minorBidi"/>
                <w:szCs w:val="21"/>
              </w:rPr>
              <w:t>N</w:t>
            </w:r>
          </w:p>
        </w:tc>
      </w:tr>
    </w:tbl>
    <w:p w14:paraId="108C7966">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贵公司的器械对于目标疾病“CIN2和以上”（≥CIN2）的临床性能应评估如下：</w:t>
      </w:r>
    </w:p>
    <w:p w14:paraId="586A1DA1">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灵敏度=（A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w:t>
      </w:r>
    </w:p>
    <w:p w14:paraId="12D94221">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特异性=（B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）/（A</w:t>
      </w:r>
      <w:r>
        <w:rPr>
          <w:rFonts w:asciiTheme="minorBidi" w:hAnsiTheme="minorBidi"/>
          <w:sz w:val="24"/>
          <w:szCs w:val="32"/>
          <w:vertAlign w:val="subscript"/>
        </w:rPr>
        <w:t>1</w:t>
      </w:r>
      <w:r>
        <w:rPr>
          <w:rFonts w:asciiTheme="minorBidi" w:hAnsiTheme="minorBidi"/>
          <w:sz w:val="24"/>
          <w:szCs w:val="32"/>
        </w:rPr>
        <w:t>+A</w:t>
      </w:r>
      <w:r>
        <w:rPr>
          <w:rFonts w:asciiTheme="minorBidi" w:hAnsiTheme="minorBidi"/>
          <w:sz w:val="24"/>
          <w:szCs w:val="32"/>
          <w:vertAlign w:val="subscript"/>
        </w:rPr>
        <w:t>2</w:t>
      </w:r>
      <w:r>
        <w:rPr>
          <w:rFonts w:asciiTheme="minorBidi" w:hAnsiTheme="minorBidi"/>
          <w:sz w:val="24"/>
          <w:szCs w:val="32"/>
        </w:rPr>
        <w:t>+A</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w:t>
      </w:r>
    </w:p>
    <w:p w14:paraId="2DA8CAA3">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PPV=（A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）/（A</w:t>
      </w:r>
      <w:r>
        <w:rPr>
          <w:rFonts w:asciiTheme="minorBidi" w:hAnsiTheme="minorBidi"/>
          <w:sz w:val="24"/>
          <w:szCs w:val="32"/>
          <w:vertAlign w:val="subscript"/>
        </w:rPr>
        <w:t>1</w:t>
      </w:r>
      <w:r>
        <w:rPr>
          <w:rFonts w:asciiTheme="minorBidi" w:hAnsiTheme="minorBidi"/>
          <w:sz w:val="24"/>
          <w:szCs w:val="32"/>
        </w:rPr>
        <w:t>+A</w:t>
      </w:r>
      <w:r>
        <w:rPr>
          <w:rFonts w:asciiTheme="minorBidi" w:hAnsiTheme="minorBidi"/>
          <w:sz w:val="24"/>
          <w:szCs w:val="32"/>
          <w:vertAlign w:val="subscript"/>
        </w:rPr>
        <w:t>2</w:t>
      </w:r>
      <w:r>
        <w:rPr>
          <w:rFonts w:asciiTheme="minorBidi" w:hAnsiTheme="minorBidi"/>
          <w:sz w:val="24"/>
          <w:szCs w:val="32"/>
        </w:rPr>
        <w:t>+A</w:t>
      </w:r>
      <w:r>
        <w:rPr>
          <w:rFonts w:asciiTheme="minorBidi" w:hAnsiTheme="minorBidi"/>
          <w:sz w:val="24"/>
          <w:szCs w:val="32"/>
          <w:vertAlign w:val="subscript"/>
        </w:rPr>
        <w:t>3</w:t>
      </w:r>
      <w:r>
        <w:rPr>
          <w:rFonts w:asciiTheme="minorBidi" w:hAnsiTheme="minorBidi"/>
          <w:sz w:val="24"/>
          <w:szCs w:val="32"/>
        </w:rPr>
        <w:t>+A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w:t>
      </w:r>
    </w:p>
    <w:p w14:paraId="12423793">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NPV=（B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w:t>
      </w:r>
    </w:p>
    <w:p w14:paraId="01382007">
      <w:pPr>
        <w:widowControl/>
        <w:adjustRightInd w:val="0"/>
        <w:snapToGrid w:val="0"/>
        <w:spacing w:before="156" w:beforeLines="50" w:line="300" w:lineRule="auto"/>
        <w:rPr>
          <w:rFonts w:asciiTheme="minorBidi" w:hAnsiTheme="minorBidi"/>
          <w:sz w:val="24"/>
          <w:szCs w:val="32"/>
        </w:rPr>
      </w:pPr>
      <w:r>
        <w:rPr>
          <w:rFonts w:asciiTheme="minorBidi" w:hAnsiTheme="minorBidi"/>
          <w:sz w:val="24"/>
          <w:szCs w:val="32"/>
        </w:rPr>
        <w:br w:type="page"/>
      </w:r>
    </w:p>
    <w:p w14:paraId="4D681534">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≥CIN2的患病率=（A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）/N</w:t>
      </w:r>
    </w:p>
    <w:p w14:paraId="26C6DFF7">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由于与CIN2相比，CIN3病灶最可能进展为宫颈癌【参考文件17】，贵公司的器械对目标疾病“CIN3和以上”（≥CIN3）的临床性能应表示为：</w:t>
      </w:r>
    </w:p>
    <w:p w14:paraId="094B1AFE">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灵敏度= A</w:t>
      </w:r>
      <w:r>
        <w:rPr>
          <w:rFonts w:asciiTheme="minorBidi" w:hAnsiTheme="minorBidi"/>
          <w:sz w:val="24"/>
          <w:szCs w:val="32"/>
          <w:vertAlign w:val="subscript"/>
        </w:rPr>
        <w:t>5</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w:t>
      </w:r>
    </w:p>
    <w:p w14:paraId="27D70A81">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特异性=（B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1</w:t>
      </w:r>
      <w:r>
        <w:rPr>
          <w:rFonts w:asciiTheme="minorBidi" w:hAnsiTheme="minorBidi"/>
          <w:sz w:val="24"/>
          <w:szCs w:val="32"/>
        </w:rPr>
        <w:t>+A</w:t>
      </w:r>
      <w:r>
        <w:rPr>
          <w:rFonts w:asciiTheme="minorBidi" w:hAnsiTheme="minorBidi"/>
          <w:sz w:val="24"/>
          <w:szCs w:val="32"/>
          <w:vertAlign w:val="subscript"/>
        </w:rPr>
        <w:t>2</w:t>
      </w:r>
      <w:r>
        <w:rPr>
          <w:rFonts w:asciiTheme="minorBidi" w:hAnsiTheme="minorBidi"/>
          <w:sz w:val="24"/>
          <w:szCs w:val="32"/>
        </w:rPr>
        <w:t>+A</w:t>
      </w:r>
      <w:r>
        <w:rPr>
          <w:rFonts w:asciiTheme="minorBidi" w:hAnsiTheme="minorBidi"/>
          <w:sz w:val="24"/>
          <w:szCs w:val="32"/>
          <w:vertAlign w:val="subscript"/>
        </w:rPr>
        <w:t>3</w:t>
      </w:r>
      <w:r>
        <w:rPr>
          <w:rFonts w:asciiTheme="minorBidi" w:hAnsiTheme="minorBidi"/>
          <w:sz w:val="24"/>
          <w:szCs w:val="32"/>
        </w:rPr>
        <w:t>+A</w:t>
      </w:r>
      <w:r>
        <w:rPr>
          <w:rFonts w:asciiTheme="minorBidi" w:hAnsiTheme="minorBidi"/>
          <w:sz w:val="24"/>
          <w:szCs w:val="32"/>
          <w:vertAlign w:val="subscript"/>
        </w:rPr>
        <w:t>4</w:t>
      </w:r>
      <w:r>
        <w:rPr>
          <w:rFonts w:asciiTheme="minorBidi" w:hAnsiTheme="minorBidi"/>
          <w:sz w:val="24"/>
          <w:szCs w:val="32"/>
        </w:rPr>
        <w:t>+B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w:t>
      </w:r>
    </w:p>
    <w:p w14:paraId="1AA75800">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PPV=A5/（A</w:t>
      </w:r>
      <w:r>
        <w:rPr>
          <w:rFonts w:asciiTheme="minorBidi" w:hAnsiTheme="minorBidi"/>
          <w:sz w:val="24"/>
          <w:szCs w:val="32"/>
          <w:vertAlign w:val="subscript"/>
        </w:rPr>
        <w:t>1</w:t>
      </w:r>
      <w:r>
        <w:rPr>
          <w:rFonts w:asciiTheme="minorBidi" w:hAnsiTheme="minorBidi"/>
          <w:sz w:val="24"/>
          <w:szCs w:val="32"/>
        </w:rPr>
        <w:t>+A</w:t>
      </w:r>
      <w:r>
        <w:rPr>
          <w:rFonts w:asciiTheme="minorBidi" w:hAnsiTheme="minorBidi"/>
          <w:sz w:val="24"/>
          <w:szCs w:val="32"/>
          <w:vertAlign w:val="subscript"/>
        </w:rPr>
        <w:t>2</w:t>
      </w:r>
      <w:r>
        <w:rPr>
          <w:rFonts w:asciiTheme="minorBidi" w:hAnsiTheme="minorBidi"/>
          <w:sz w:val="24"/>
          <w:szCs w:val="32"/>
        </w:rPr>
        <w:t>+A</w:t>
      </w:r>
      <w:r>
        <w:rPr>
          <w:rFonts w:asciiTheme="minorBidi" w:hAnsiTheme="minorBidi"/>
          <w:sz w:val="24"/>
          <w:szCs w:val="32"/>
          <w:vertAlign w:val="subscript"/>
        </w:rPr>
        <w:t>3</w:t>
      </w:r>
      <w:r>
        <w:rPr>
          <w:rFonts w:asciiTheme="minorBidi" w:hAnsiTheme="minorBidi"/>
          <w:sz w:val="24"/>
          <w:szCs w:val="32"/>
        </w:rPr>
        <w:t>+A</w:t>
      </w:r>
      <w:r>
        <w:rPr>
          <w:rFonts w:asciiTheme="minorBidi" w:hAnsiTheme="minorBidi"/>
          <w:sz w:val="24"/>
          <w:szCs w:val="32"/>
          <w:vertAlign w:val="subscript"/>
        </w:rPr>
        <w:t>4</w:t>
      </w:r>
      <w:r>
        <w:rPr>
          <w:rFonts w:asciiTheme="minorBidi" w:hAnsiTheme="minorBidi"/>
          <w:sz w:val="24"/>
          <w:szCs w:val="32"/>
        </w:rPr>
        <w:t>+A</w:t>
      </w:r>
      <w:r>
        <w:rPr>
          <w:rFonts w:asciiTheme="minorBidi" w:hAnsiTheme="minorBidi"/>
          <w:sz w:val="24"/>
          <w:szCs w:val="32"/>
          <w:vertAlign w:val="subscript"/>
        </w:rPr>
        <w:t>5</w:t>
      </w:r>
      <w:r>
        <w:rPr>
          <w:rFonts w:asciiTheme="minorBidi" w:hAnsiTheme="minorBidi"/>
          <w:sz w:val="24"/>
          <w:szCs w:val="32"/>
        </w:rPr>
        <w:t>）</w:t>
      </w:r>
    </w:p>
    <w:p w14:paraId="469689CA">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NPV=（B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+B3+B4）/（B</w:t>
      </w:r>
      <w:r>
        <w:rPr>
          <w:rFonts w:asciiTheme="minorBidi" w:hAnsiTheme="minorBidi"/>
          <w:sz w:val="24"/>
          <w:szCs w:val="32"/>
          <w:vertAlign w:val="subscript"/>
        </w:rPr>
        <w:t>1</w:t>
      </w:r>
      <w:r>
        <w:rPr>
          <w:rFonts w:asciiTheme="minorBidi" w:hAnsiTheme="minorBidi"/>
          <w:sz w:val="24"/>
          <w:szCs w:val="32"/>
        </w:rPr>
        <w:t>+B</w:t>
      </w:r>
      <w:r>
        <w:rPr>
          <w:rFonts w:asciiTheme="minorBidi" w:hAnsiTheme="minorBidi"/>
          <w:sz w:val="24"/>
          <w:szCs w:val="32"/>
          <w:vertAlign w:val="subscript"/>
        </w:rPr>
        <w:t>2</w:t>
      </w:r>
      <w:r>
        <w:rPr>
          <w:rFonts w:asciiTheme="minorBidi" w:hAnsiTheme="minorBidi"/>
          <w:sz w:val="24"/>
          <w:szCs w:val="32"/>
        </w:rPr>
        <w:t>+B</w:t>
      </w:r>
      <w:r>
        <w:rPr>
          <w:rFonts w:asciiTheme="minorBidi" w:hAnsiTheme="minorBidi"/>
          <w:sz w:val="24"/>
          <w:szCs w:val="32"/>
          <w:vertAlign w:val="subscript"/>
        </w:rPr>
        <w:t>3</w:t>
      </w:r>
      <w:r>
        <w:rPr>
          <w:rFonts w:asciiTheme="minorBidi" w:hAnsiTheme="minorBidi"/>
          <w:sz w:val="24"/>
          <w:szCs w:val="32"/>
        </w:rPr>
        <w:t>+B</w:t>
      </w:r>
      <w:r>
        <w:rPr>
          <w:rFonts w:asciiTheme="minorBidi" w:hAnsiTheme="minorBidi"/>
          <w:sz w:val="24"/>
          <w:szCs w:val="32"/>
          <w:vertAlign w:val="subscript"/>
        </w:rPr>
        <w:t>4</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w:t>
      </w:r>
    </w:p>
    <w:p w14:paraId="4C39EE2F">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≥CIN3的患病率=（A</w:t>
      </w:r>
      <w:r>
        <w:rPr>
          <w:rFonts w:asciiTheme="minorBidi" w:hAnsiTheme="minorBidi"/>
          <w:sz w:val="24"/>
          <w:szCs w:val="32"/>
          <w:vertAlign w:val="subscript"/>
        </w:rPr>
        <w:t>5</w:t>
      </w:r>
      <w:r>
        <w:rPr>
          <w:rFonts w:asciiTheme="minorBidi" w:hAnsiTheme="minorBidi"/>
          <w:sz w:val="24"/>
          <w:szCs w:val="32"/>
        </w:rPr>
        <w:t>+B</w:t>
      </w:r>
      <w:r>
        <w:rPr>
          <w:rFonts w:asciiTheme="minorBidi" w:hAnsiTheme="minorBidi"/>
          <w:sz w:val="24"/>
          <w:szCs w:val="32"/>
          <w:vertAlign w:val="subscript"/>
        </w:rPr>
        <w:t>5</w:t>
      </w:r>
      <w:r>
        <w:rPr>
          <w:rFonts w:asciiTheme="minorBidi" w:hAnsiTheme="minorBidi"/>
          <w:sz w:val="24"/>
          <w:szCs w:val="32"/>
        </w:rPr>
        <w:t>）/N</w:t>
      </w:r>
    </w:p>
    <w:p w14:paraId="398FF588">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灵敏度和特异性的估算值、阳性和阴性预测值用于95%双侧置信区间一同提供。对于灵敏度和特异性的95%置信区间，推荐使用一种评分方法（关于评分置信区间的更多详细信息请参见统计分析附录和CLSI EP12-A2 【参考文件8】）。预测值的置信区间可根据（如果患病率为常数）相应似然比的置信区间计算（似然比的估算值为2个独立比例的比值；因此，可以使用2个独立比例比值的置信区间，参见统计分析附录）。</w:t>
      </w:r>
    </w:p>
    <w:p w14:paraId="20FB6F5D">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目标疾病≥CIN2的临床性能应按照年龄进行分层。对于 &lt;21、21-30、30-39和39+的年龄组，患病率展示为≥CIN2、灵敏度、特异性、PPV和NPV，以及95% CI。</w:t>
      </w:r>
    </w:p>
    <w:p w14:paraId="11CDD499">
      <w:pPr>
        <w:adjustRightInd w:val="0"/>
        <w:snapToGrid w:val="0"/>
        <w:spacing w:before="156" w:beforeLines="50" w:line="300" w:lineRule="auto"/>
        <w:rPr>
          <w:rFonts w:asciiTheme="minorBidi" w:hAnsiTheme="minorBidi"/>
          <w:i/>
          <w:sz w:val="24"/>
          <w:szCs w:val="32"/>
        </w:rPr>
      </w:pPr>
      <w:r>
        <w:rPr>
          <w:rFonts w:asciiTheme="minorBidi" w:hAnsiTheme="minorBidi"/>
          <w:i/>
          <w:sz w:val="24"/>
          <w:szCs w:val="32"/>
        </w:rPr>
        <w:t>样本量</w:t>
      </w:r>
    </w:p>
    <w:p w14:paraId="74FD6736">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当考虑到用于ASC-US分类预期用途的样本量时，人们应考虑到ASC-US患者中所需用于确立临床灵敏度和特异性点估算值的样本数，以及95%双侧置信区间下限。宫颈疾病的临床灵敏度（≥CIN2）为HPV测试的最关键性能参数，因为假阴性HPV测试结果可导致宫颈癌检测和治疗延迟【参考文件13】。</w:t>
      </w:r>
    </w:p>
    <w:p w14:paraId="54D6B65A">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如果贵公司器械的估算临床灵敏度和后续阴性预测值达不到HPV测试的当前预期值【参考文件13】，可能必须进行对贵公司性能数据的小组审查以对贵公司的测试进行临床有效性评估。</w:t>
      </w:r>
    </w:p>
    <w:p w14:paraId="2B6C55EE">
      <w:pPr>
        <w:adjustRightInd w:val="0"/>
        <w:snapToGrid w:val="0"/>
        <w:spacing w:before="156" w:beforeLines="50" w:line="300" w:lineRule="auto"/>
        <w:rPr>
          <w:rFonts w:asciiTheme="minorBidi" w:hAnsiTheme="minorBidi"/>
          <w:i/>
          <w:sz w:val="24"/>
          <w:szCs w:val="32"/>
        </w:rPr>
      </w:pPr>
      <w:r>
        <w:rPr>
          <w:rFonts w:asciiTheme="minorBidi" w:hAnsiTheme="minorBidi"/>
          <w:i/>
          <w:sz w:val="24"/>
          <w:szCs w:val="32"/>
        </w:rPr>
        <w:t>临床临界值的选择</w:t>
      </w:r>
    </w:p>
    <w:p w14:paraId="7323B1E7">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根据使用临床样本的试点研究的接受者操作曲线（ROC）分析，可通过敏感度和特异性的相关水平进行调整，选择适当的临床临界值。所选临床临界值时HPV测试的临床性能可使用一项试点临床研究进行理想估算。一些情况下，临床临界值可使用无偏倚的程序和适当样本量，在关键临床研究期间确定。如果临床可接受的敏感度水平为预先设定（例如，敏感度水平93%-95%为预期用途人群的临床可接受水平），则可使用关键研究确立对应于预先设定灵敏度水平的临床临界值，并使用本所选临界值获取HPV测试的无偏差临床性能估算值【参考文件18，19】。</w:t>
      </w:r>
    </w:p>
    <w:p w14:paraId="2C722298">
      <w:pPr>
        <w:adjustRightInd w:val="0"/>
        <w:snapToGrid w:val="0"/>
        <w:spacing w:before="156" w:beforeLines="50" w:line="300" w:lineRule="auto"/>
        <w:rPr>
          <w:rFonts w:asciiTheme="minorBidi" w:hAnsiTheme="minorBidi"/>
          <w:sz w:val="24"/>
          <w:szCs w:val="32"/>
        </w:rPr>
      </w:pPr>
    </w:p>
    <w:p w14:paraId="0045A3A4">
      <w:pPr>
        <w:adjustRightInd w:val="0"/>
        <w:snapToGrid w:val="0"/>
        <w:spacing w:before="156" w:beforeLines="50" w:line="300" w:lineRule="auto"/>
        <w:outlineLvl w:val="2"/>
        <w:rPr>
          <w:rFonts w:asciiTheme="minorBidi" w:hAnsiTheme="minorBidi"/>
          <w:b/>
          <w:sz w:val="24"/>
          <w:szCs w:val="32"/>
        </w:rPr>
      </w:pPr>
      <w:bookmarkStart w:id="19" w:name="_Toc479653383"/>
      <w:r>
        <w:rPr>
          <w:rFonts w:asciiTheme="minorBidi" w:hAnsiTheme="minorBidi"/>
          <w:b/>
          <w:sz w:val="24"/>
          <w:szCs w:val="32"/>
        </w:rPr>
        <w:t>ASC-US人群 – HPV基因分型测试</w:t>
      </w:r>
      <w:bookmarkEnd w:id="19"/>
    </w:p>
    <w:p w14:paraId="5056DA54">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检测和区分HPV基因型的测试通常有多种结局。例如：HPV16+、HPV18+、HPV16/18+等。前一章节（ASC-US分类预期用途 – 高风险HPV测试）描述了研究原则，以确立有ASC-US细胞学的女性中，≥CIN2的临床灵敏度和特异性，适用于双结局的高风险HPV测试（高风险HPV阳性或阴性）以及多结局的HPV基因分型测试。除了确立HPV基因分型测试的ASC-US人群中≥CIN2的临床灵敏度和特异性，每种测试结局的似然比和有每种测试结局的受试者百分比也应按如下所述确立。</w:t>
      </w:r>
    </w:p>
    <w:p w14:paraId="734E2E03">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在一份行业请求中有人询问我们如何提供ASC-US人群中HPV基因分型临床研究的数据。表6为贵公司可用作辅助工具的格式（所示范例有以下结局：HPV16+、HPV18+、HPV16/18+等）：</w:t>
      </w:r>
    </w:p>
    <w:p w14:paraId="3369CB99">
      <w:pPr>
        <w:adjustRightInd w:val="0"/>
        <w:snapToGrid w:val="0"/>
        <w:spacing w:before="156" w:beforeLines="50" w:line="300" w:lineRule="auto"/>
        <w:rPr>
          <w:rFonts w:asciiTheme="minorBidi" w:hAnsiTheme="minorBidi"/>
          <w:sz w:val="24"/>
          <w:szCs w:val="32"/>
        </w:rPr>
      </w:pPr>
      <w:r>
        <w:rPr>
          <w:rFonts w:asciiTheme="minorBidi" w:hAnsiTheme="minorBidi"/>
          <w:sz w:val="24"/>
          <w:szCs w:val="32"/>
        </w:rPr>
        <w:t>表6</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850"/>
        <w:gridCol w:w="1134"/>
        <w:gridCol w:w="993"/>
        <w:gridCol w:w="1134"/>
        <w:gridCol w:w="2301"/>
      </w:tblGrid>
      <w:tr w14:paraId="1783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FBA970B">
            <w:pPr>
              <w:adjustRightInd w:val="0"/>
              <w:snapToGrid w:val="0"/>
              <w:spacing w:before="62" w:beforeLines="20"/>
              <w:jc w:val="center"/>
              <w:rPr>
                <w:rFonts w:asciiTheme="minorBidi" w:hAnsiTheme="minorBidi"/>
                <w:szCs w:val="21"/>
              </w:rPr>
            </w:pPr>
          </w:p>
        </w:tc>
        <w:tc>
          <w:tcPr>
            <w:tcW w:w="1276" w:type="dxa"/>
            <w:vMerge w:val="restart"/>
          </w:tcPr>
          <w:p w14:paraId="477128F5">
            <w:pPr>
              <w:adjustRightInd w:val="0"/>
              <w:snapToGrid w:val="0"/>
              <w:spacing w:before="62" w:beforeLines="20"/>
              <w:jc w:val="center"/>
              <w:rPr>
                <w:rFonts w:asciiTheme="minorBidi" w:hAnsiTheme="minorBidi"/>
                <w:szCs w:val="21"/>
              </w:rPr>
            </w:pPr>
            <w:r>
              <w:rPr>
                <w:rFonts w:asciiTheme="minorBidi" w:hAnsiTheme="minorBidi"/>
                <w:szCs w:val="21"/>
              </w:rPr>
              <w:t>阴性</w:t>
            </w:r>
            <w:r>
              <w:rPr>
                <w:rFonts w:asciiTheme="minorBidi" w:hAnsiTheme="minorBidi"/>
                <w:szCs w:val="21"/>
              </w:rPr>
              <w:br w:type="textWrapping"/>
            </w:r>
            <w:r>
              <w:rPr>
                <w:rFonts w:asciiTheme="minorBidi" w:hAnsiTheme="minorBidi"/>
                <w:szCs w:val="21"/>
              </w:rPr>
              <w:t>阴道镜</w:t>
            </w:r>
          </w:p>
        </w:tc>
        <w:tc>
          <w:tcPr>
            <w:tcW w:w="4111" w:type="dxa"/>
            <w:gridSpan w:val="4"/>
          </w:tcPr>
          <w:p w14:paraId="46AC09FC">
            <w:pPr>
              <w:adjustRightInd w:val="0"/>
              <w:snapToGrid w:val="0"/>
              <w:spacing w:before="62" w:beforeLines="20"/>
              <w:jc w:val="center"/>
              <w:rPr>
                <w:rFonts w:asciiTheme="minorBidi" w:hAnsiTheme="minorBidi"/>
                <w:szCs w:val="21"/>
              </w:rPr>
            </w:pPr>
            <w:r>
              <w:rPr>
                <w:rFonts w:asciiTheme="minorBidi" w:hAnsiTheme="minorBidi"/>
                <w:szCs w:val="21"/>
              </w:rPr>
              <w:t>中枢组织学</w:t>
            </w:r>
          </w:p>
        </w:tc>
        <w:tc>
          <w:tcPr>
            <w:tcW w:w="2301" w:type="dxa"/>
          </w:tcPr>
          <w:p w14:paraId="0BD0CFCC">
            <w:pPr>
              <w:adjustRightInd w:val="0"/>
              <w:snapToGrid w:val="0"/>
              <w:spacing w:before="62" w:beforeLines="20"/>
              <w:jc w:val="center"/>
              <w:rPr>
                <w:rFonts w:asciiTheme="minorBidi" w:hAnsiTheme="minorBidi"/>
                <w:szCs w:val="21"/>
              </w:rPr>
            </w:pPr>
          </w:p>
        </w:tc>
      </w:tr>
      <w:tr w14:paraId="3343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D9C62B9">
            <w:pPr>
              <w:adjustRightInd w:val="0"/>
              <w:snapToGrid w:val="0"/>
              <w:spacing w:before="62" w:beforeLines="20"/>
              <w:jc w:val="center"/>
              <w:rPr>
                <w:rFonts w:asciiTheme="minorBidi" w:hAnsiTheme="minorBidi"/>
                <w:szCs w:val="21"/>
              </w:rPr>
            </w:pPr>
          </w:p>
        </w:tc>
        <w:tc>
          <w:tcPr>
            <w:tcW w:w="1276" w:type="dxa"/>
            <w:vMerge w:val="continue"/>
          </w:tcPr>
          <w:p w14:paraId="6B520660">
            <w:pPr>
              <w:adjustRightInd w:val="0"/>
              <w:snapToGrid w:val="0"/>
              <w:spacing w:before="62" w:beforeLines="20"/>
              <w:jc w:val="center"/>
              <w:rPr>
                <w:rFonts w:asciiTheme="minorBidi" w:hAnsiTheme="minorBidi"/>
                <w:szCs w:val="21"/>
              </w:rPr>
            </w:pPr>
          </w:p>
        </w:tc>
        <w:tc>
          <w:tcPr>
            <w:tcW w:w="850" w:type="dxa"/>
          </w:tcPr>
          <w:p w14:paraId="3D55AEC8">
            <w:pPr>
              <w:adjustRightInd w:val="0"/>
              <w:snapToGrid w:val="0"/>
              <w:spacing w:before="62" w:beforeLines="20"/>
              <w:jc w:val="center"/>
              <w:rPr>
                <w:rFonts w:asciiTheme="minorBidi" w:hAnsiTheme="minorBidi"/>
                <w:szCs w:val="21"/>
              </w:rPr>
            </w:pPr>
            <w:r>
              <w:rPr>
                <w:rFonts w:asciiTheme="minorBidi" w:hAnsiTheme="minorBidi"/>
                <w:szCs w:val="21"/>
              </w:rPr>
              <w:t>阴性</w:t>
            </w:r>
          </w:p>
        </w:tc>
        <w:tc>
          <w:tcPr>
            <w:tcW w:w="1134" w:type="dxa"/>
          </w:tcPr>
          <w:p w14:paraId="1194DFA3">
            <w:pPr>
              <w:adjustRightInd w:val="0"/>
              <w:snapToGrid w:val="0"/>
              <w:spacing w:before="62" w:beforeLines="20"/>
              <w:jc w:val="center"/>
              <w:rPr>
                <w:rFonts w:asciiTheme="minorBidi" w:hAnsiTheme="minorBidi"/>
                <w:szCs w:val="21"/>
              </w:rPr>
            </w:pPr>
            <w:r>
              <w:rPr>
                <w:rFonts w:asciiTheme="minorBidi" w:hAnsiTheme="minorBidi"/>
                <w:szCs w:val="21"/>
              </w:rPr>
              <w:t>CIN1</w:t>
            </w:r>
          </w:p>
        </w:tc>
        <w:tc>
          <w:tcPr>
            <w:tcW w:w="993" w:type="dxa"/>
          </w:tcPr>
          <w:p w14:paraId="53DCF258">
            <w:pPr>
              <w:adjustRightInd w:val="0"/>
              <w:snapToGrid w:val="0"/>
              <w:spacing w:before="62" w:beforeLines="20"/>
              <w:jc w:val="center"/>
              <w:rPr>
                <w:rFonts w:asciiTheme="minorBidi" w:hAnsiTheme="minorBidi"/>
                <w:szCs w:val="21"/>
              </w:rPr>
            </w:pPr>
            <w:r>
              <w:rPr>
                <w:rFonts w:asciiTheme="minorBidi" w:hAnsiTheme="minorBidi"/>
                <w:szCs w:val="21"/>
              </w:rPr>
              <w:t>CIN2</w:t>
            </w:r>
          </w:p>
        </w:tc>
        <w:tc>
          <w:tcPr>
            <w:tcW w:w="1134" w:type="dxa"/>
          </w:tcPr>
          <w:p w14:paraId="3D8E4D68">
            <w:pPr>
              <w:adjustRightInd w:val="0"/>
              <w:snapToGrid w:val="0"/>
              <w:spacing w:before="62" w:beforeLines="20"/>
              <w:jc w:val="center"/>
              <w:rPr>
                <w:rFonts w:asciiTheme="minorBidi" w:hAnsiTheme="minorBidi"/>
                <w:szCs w:val="21"/>
              </w:rPr>
            </w:pPr>
            <w:r>
              <w:rPr>
                <w:rFonts w:asciiTheme="minorBidi" w:hAnsiTheme="minorBidi"/>
                <w:szCs w:val="21"/>
              </w:rPr>
              <w:t>≥CIN3</w:t>
            </w:r>
          </w:p>
        </w:tc>
        <w:tc>
          <w:tcPr>
            <w:tcW w:w="2301" w:type="dxa"/>
          </w:tcPr>
          <w:p w14:paraId="567258E8">
            <w:pPr>
              <w:adjustRightInd w:val="0"/>
              <w:snapToGrid w:val="0"/>
              <w:spacing w:before="62" w:beforeLines="20"/>
              <w:jc w:val="center"/>
              <w:rPr>
                <w:rFonts w:asciiTheme="minorBidi" w:hAnsiTheme="minorBidi"/>
                <w:szCs w:val="21"/>
              </w:rPr>
            </w:pPr>
          </w:p>
        </w:tc>
      </w:tr>
      <w:tr w14:paraId="2E9F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3B4401C">
            <w:pPr>
              <w:adjustRightInd w:val="0"/>
              <w:snapToGrid w:val="0"/>
              <w:spacing w:before="62" w:beforeLines="20"/>
              <w:jc w:val="center"/>
              <w:rPr>
                <w:rFonts w:asciiTheme="minorBidi" w:hAnsiTheme="minorBidi"/>
                <w:szCs w:val="21"/>
              </w:rPr>
            </w:pPr>
            <w:r>
              <w:rPr>
                <w:rFonts w:asciiTheme="minorBidi" w:hAnsiTheme="minorBidi"/>
                <w:szCs w:val="21"/>
              </w:rPr>
              <w:t>阳性：HPV16</w:t>
            </w:r>
          </w:p>
        </w:tc>
        <w:tc>
          <w:tcPr>
            <w:tcW w:w="1276" w:type="dxa"/>
          </w:tcPr>
          <w:p w14:paraId="646C6F1C">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11</w:t>
            </w:r>
          </w:p>
        </w:tc>
        <w:tc>
          <w:tcPr>
            <w:tcW w:w="850" w:type="dxa"/>
          </w:tcPr>
          <w:p w14:paraId="3EC62457">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12</w:t>
            </w:r>
          </w:p>
        </w:tc>
        <w:tc>
          <w:tcPr>
            <w:tcW w:w="1134" w:type="dxa"/>
          </w:tcPr>
          <w:p w14:paraId="39C776C1">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13</w:t>
            </w:r>
          </w:p>
        </w:tc>
        <w:tc>
          <w:tcPr>
            <w:tcW w:w="993" w:type="dxa"/>
          </w:tcPr>
          <w:p w14:paraId="5FAE9575">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14</w:t>
            </w:r>
          </w:p>
        </w:tc>
        <w:tc>
          <w:tcPr>
            <w:tcW w:w="1134" w:type="dxa"/>
          </w:tcPr>
          <w:p w14:paraId="7EF949EB">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15</w:t>
            </w:r>
          </w:p>
        </w:tc>
        <w:tc>
          <w:tcPr>
            <w:tcW w:w="2301" w:type="dxa"/>
          </w:tcPr>
          <w:p w14:paraId="08A69026">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11</w:t>
            </w:r>
            <w:r>
              <w:rPr>
                <w:rFonts w:asciiTheme="minorBidi" w:hAnsiTheme="minorBidi"/>
                <w:szCs w:val="21"/>
              </w:rPr>
              <w:t>+A</w:t>
            </w:r>
            <w:r>
              <w:rPr>
                <w:rFonts w:asciiTheme="minorBidi" w:hAnsiTheme="minorBidi"/>
                <w:szCs w:val="21"/>
                <w:vertAlign w:val="subscript"/>
              </w:rPr>
              <w:t>12</w:t>
            </w:r>
            <w:r>
              <w:rPr>
                <w:rFonts w:asciiTheme="minorBidi" w:hAnsiTheme="minorBidi"/>
                <w:szCs w:val="21"/>
              </w:rPr>
              <w:t>+A</w:t>
            </w:r>
            <w:r>
              <w:rPr>
                <w:rFonts w:asciiTheme="minorBidi" w:hAnsiTheme="minorBidi"/>
                <w:szCs w:val="21"/>
                <w:vertAlign w:val="subscript"/>
              </w:rPr>
              <w:t>13</w:t>
            </w:r>
            <w:r>
              <w:rPr>
                <w:rFonts w:asciiTheme="minorBidi" w:hAnsiTheme="minorBidi"/>
                <w:szCs w:val="21"/>
              </w:rPr>
              <w:t>+A</w:t>
            </w:r>
            <w:r>
              <w:rPr>
                <w:rFonts w:asciiTheme="minorBidi" w:hAnsiTheme="minorBidi"/>
                <w:szCs w:val="21"/>
                <w:vertAlign w:val="subscript"/>
              </w:rPr>
              <w:t>14</w:t>
            </w:r>
            <w:r>
              <w:rPr>
                <w:rFonts w:asciiTheme="minorBidi" w:hAnsiTheme="minorBidi"/>
                <w:szCs w:val="21"/>
              </w:rPr>
              <w:t>+A</w:t>
            </w:r>
            <w:r>
              <w:rPr>
                <w:rFonts w:asciiTheme="minorBidi" w:hAnsiTheme="minorBidi"/>
                <w:szCs w:val="21"/>
                <w:vertAlign w:val="subscript"/>
              </w:rPr>
              <w:t>15</w:t>
            </w:r>
          </w:p>
        </w:tc>
      </w:tr>
      <w:tr w14:paraId="48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1930B2">
            <w:pPr>
              <w:adjustRightInd w:val="0"/>
              <w:snapToGrid w:val="0"/>
              <w:spacing w:before="62" w:beforeLines="20"/>
              <w:jc w:val="center"/>
              <w:rPr>
                <w:rFonts w:asciiTheme="minorBidi" w:hAnsiTheme="minorBidi"/>
                <w:szCs w:val="21"/>
              </w:rPr>
            </w:pPr>
            <w:r>
              <w:rPr>
                <w:rFonts w:asciiTheme="minorBidi" w:hAnsiTheme="minorBidi"/>
                <w:szCs w:val="21"/>
              </w:rPr>
              <w:t>阳性：HPV18</w:t>
            </w:r>
          </w:p>
        </w:tc>
        <w:tc>
          <w:tcPr>
            <w:tcW w:w="1276" w:type="dxa"/>
          </w:tcPr>
          <w:p w14:paraId="36156C65">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21</w:t>
            </w:r>
          </w:p>
        </w:tc>
        <w:tc>
          <w:tcPr>
            <w:tcW w:w="850" w:type="dxa"/>
          </w:tcPr>
          <w:p w14:paraId="4ABB0700">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22</w:t>
            </w:r>
          </w:p>
        </w:tc>
        <w:tc>
          <w:tcPr>
            <w:tcW w:w="1134" w:type="dxa"/>
          </w:tcPr>
          <w:p w14:paraId="15F9A21B">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23</w:t>
            </w:r>
          </w:p>
        </w:tc>
        <w:tc>
          <w:tcPr>
            <w:tcW w:w="993" w:type="dxa"/>
          </w:tcPr>
          <w:p w14:paraId="75FFA4B6">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24</w:t>
            </w:r>
          </w:p>
        </w:tc>
        <w:tc>
          <w:tcPr>
            <w:tcW w:w="1134" w:type="dxa"/>
          </w:tcPr>
          <w:p w14:paraId="73BA312D">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25</w:t>
            </w:r>
          </w:p>
        </w:tc>
        <w:tc>
          <w:tcPr>
            <w:tcW w:w="2301" w:type="dxa"/>
          </w:tcPr>
          <w:p w14:paraId="49382341">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21</w:t>
            </w:r>
            <w:r>
              <w:rPr>
                <w:rFonts w:asciiTheme="minorBidi" w:hAnsiTheme="minorBidi"/>
                <w:szCs w:val="21"/>
              </w:rPr>
              <w:t>+A</w:t>
            </w:r>
            <w:r>
              <w:rPr>
                <w:rFonts w:asciiTheme="minorBidi" w:hAnsiTheme="minorBidi"/>
                <w:szCs w:val="21"/>
                <w:vertAlign w:val="subscript"/>
              </w:rPr>
              <w:t>22</w:t>
            </w:r>
            <w:r>
              <w:rPr>
                <w:rFonts w:asciiTheme="minorBidi" w:hAnsiTheme="minorBidi"/>
                <w:szCs w:val="21"/>
              </w:rPr>
              <w:t>+A</w:t>
            </w:r>
            <w:r>
              <w:rPr>
                <w:rFonts w:asciiTheme="minorBidi" w:hAnsiTheme="minorBidi"/>
                <w:szCs w:val="21"/>
                <w:vertAlign w:val="subscript"/>
              </w:rPr>
              <w:t>23</w:t>
            </w:r>
            <w:r>
              <w:rPr>
                <w:rFonts w:asciiTheme="minorBidi" w:hAnsiTheme="minorBidi"/>
                <w:szCs w:val="21"/>
              </w:rPr>
              <w:t>+A</w:t>
            </w:r>
            <w:r>
              <w:rPr>
                <w:rFonts w:asciiTheme="minorBidi" w:hAnsiTheme="minorBidi"/>
                <w:szCs w:val="21"/>
                <w:vertAlign w:val="subscript"/>
              </w:rPr>
              <w:t>24</w:t>
            </w:r>
            <w:r>
              <w:rPr>
                <w:rFonts w:asciiTheme="minorBidi" w:hAnsiTheme="minorBidi"/>
                <w:szCs w:val="21"/>
              </w:rPr>
              <w:t>+A</w:t>
            </w:r>
            <w:r>
              <w:rPr>
                <w:rFonts w:asciiTheme="minorBidi" w:hAnsiTheme="minorBidi"/>
                <w:szCs w:val="21"/>
                <w:vertAlign w:val="subscript"/>
              </w:rPr>
              <w:t>25</w:t>
            </w:r>
          </w:p>
        </w:tc>
      </w:tr>
      <w:tr w14:paraId="2E38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2FDB02A">
            <w:pPr>
              <w:adjustRightInd w:val="0"/>
              <w:snapToGrid w:val="0"/>
              <w:spacing w:before="62" w:beforeLines="20"/>
              <w:jc w:val="center"/>
              <w:rPr>
                <w:rFonts w:asciiTheme="minorBidi" w:hAnsiTheme="minorBidi"/>
                <w:szCs w:val="21"/>
              </w:rPr>
            </w:pPr>
            <w:r>
              <w:rPr>
                <w:rFonts w:asciiTheme="minorBidi" w:hAnsiTheme="minorBidi"/>
                <w:szCs w:val="21"/>
              </w:rPr>
              <w:t>阳性：HPV16和18</w:t>
            </w:r>
          </w:p>
        </w:tc>
        <w:tc>
          <w:tcPr>
            <w:tcW w:w="1276" w:type="dxa"/>
          </w:tcPr>
          <w:p w14:paraId="0FD0E66F">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31</w:t>
            </w:r>
          </w:p>
        </w:tc>
        <w:tc>
          <w:tcPr>
            <w:tcW w:w="850" w:type="dxa"/>
          </w:tcPr>
          <w:p w14:paraId="077CFA30">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32</w:t>
            </w:r>
          </w:p>
        </w:tc>
        <w:tc>
          <w:tcPr>
            <w:tcW w:w="1134" w:type="dxa"/>
          </w:tcPr>
          <w:p w14:paraId="3DFA5388">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33</w:t>
            </w:r>
          </w:p>
        </w:tc>
        <w:tc>
          <w:tcPr>
            <w:tcW w:w="993" w:type="dxa"/>
          </w:tcPr>
          <w:p w14:paraId="68ACA1A1">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34</w:t>
            </w:r>
          </w:p>
        </w:tc>
        <w:tc>
          <w:tcPr>
            <w:tcW w:w="1134" w:type="dxa"/>
          </w:tcPr>
          <w:p w14:paraId="508AE450">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35</w:t>
            </w:r>
          </w:p>
        </w:tc>
        <w:tc>
          <w:tcPr>
            <w:tcW w:w="2301" w:type="dxa"/>
          </w:tcPr>
          <w:p w14:paraId="6C8E336E">
            <w:pPr>
              <w:adjustRightInd w:val="0"/>
              <w:snapToGrid w:val="0"/>
              <w:spacing w:before="62" w:beforeLines="20"/>
              <w:jc w:val="center"/>
              <w:rPr>
                <w:rFonts w:asciiTheme="minorBidi" w:hAnsiTheme="minorBidi"/>
                <w:szCs w:val="21"/>
              </w:rPr>
            </w:pPr>
            <w:r>
              <w:rPr>
                <w:rFonts w:asciiTheme="minorBidi" w:hAnsiTheme="minorBidi"/>
                <w:szCs w:val="21"/>
              </w:rPr>
              <w:t>A</w:t>
            </w:r>
            <w:r>
              <w:rPr>
                <w:rFonts w:asciiTheme="minorBidi" w:hAnsiTheme="minorBidi"/>
                <w:szCs w:val="21"/>
                <w:vertAlign w:val="subscript"/>
              </w:rPr>
              <w:t>31</w:t>
            </w:r>
            <w:r>
              <w:rPr>
                <w:rFonts w:asciiTheme="minorBidi" w:hAnsiTheme="minorBidi"/>
                <w:szCs w:val="21"/>
              </w:rPr>
              <w:t>+A</w:t>
            </w:r>
            <w:r>
              <w:rPr>
                <w:rFonts w:asciiTheme="minorBidi" w:hAnsiTheme="minorBidi"/>
                <w:szCs w:val="21"/>
                <w:vertAlign w:val="subscript"/>
              </w:rPr>
              <w:t>32</w:t>
            </w:r>
            <w:r>
              <w:rPr>
                <w:rFonts w:asciiTheme="minorBidi" w:hAnsiTheme="minorBidi"/>
                <w:szCs w:val="21"/>
              </w:rPr>
              <w:t>+A</w:t>
            </w:r>
            <w:r>
              <w:rPr>
                <w:rFonts w:asciiTheme="minorBidi" w:hAnsiTheme="minorBidi"/>
                <w:szCs w:val="21"/>
                <w:vertAlign w:val="subscript"/>
              </w:rPr>
              <w:t>33</w:t>
            </w:r>
            <w:r>
              <w:rPr>
                <w:rFonts w:asciiTheme="minorBidi" w:hAnsiTheme="minorBidi"/>
                <w:szCs w:val="21"/>
              </w:rPr>
              <w:t>+A</w:t>
            </w:r>
            <w:r>
              <w:rPr>
                <w:rFonts w:asciiTheme="minorBidi" w:hAnsiTheme="minorBidi"/>
                <w:szCs w:val="21"/>
                <w:vertAlign w:val="subscript"/>
              </w:rPr>
              <w:t>34</w:t>
            </w:r>
            <w:r>
              <w:rPr>
                <w:rFonts w:asciiTheme="minorBidi" w:hAnsiTheme="minorBidi"/>
                <w:szCs w:val="21"/>
              </w:rPr>
              <w:t>+A</w:t>
            </w:r>
            <w:r>
              <w:rPr>
                <w:rFonts w:asciiTheme="minorBidi" w:hAnsiTheme="minorBidi"/>
                <w:szCs w:val="21"/>
                <w:vertAlign w:val="subscript"/>
              </w:rPr>
              <w:t>35</w:t>
            </w:r>
          </w:p>
        </w:tc>
      </w:tr>
      <w:tr w14:paraId="0DC9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85071DC">
            <w:pPr>
              <w:adjustRightInd w:val="0"/>
              <w:snapToGrid w:val="0"/>
              <w:spacing w:before="62" w:beforeLines="20"/>
              <w:jc w:val="center"/>
              <w:rPr>
                <w:rFonts w:asciiTheme="minorBidi" w:hAnsiTheme="minorBidi"/>
                <w:szCs w:val="21"/>
              </w:rPr>
            </w:pPr>
            <w:r>
              <w:rPr>
                <w:rFonts w:asciiTheme="minorBidi" w:hAnsiTheme="minorBidi"/>
                <w:szCs w:val="21"/>
              </w:rPr>
              <w:t>……</w:t>
            </w:r>
          </w:p>
        </w:tc>
        <w:tc>
          <w:tcPr>
            <w:tcW w:w="1276" w:type="dxa"/>
          </w:tcPr>
          <w:p w14:paraId="3222CBAE">
            <w:pPr>
              <w:adjustRightInd w:val="0"/>
              <w:snapToGrid w:val="0"/>
              <w:spacing w:before="62" w:beforeLines="20"/>
              <w:rPr>
                <w:rFonts w:asciiTheme="minorBidi" w:hAnsiTheme="minorBidi"/>
                <w:szCs w:val="21"/>
              </w:rPr>
            </w:pPr>
            <w:r>
              <w:rPr>
                <w:rFonts w:asciiTheme="minorBidi" w:hAnsiTheme="minorBidi"/>
                <w:szCs w:val="21"/>
              </w:rPr>
              <w:t>……</w:t>
            </w:r>
          </w:p>
        </w:tc>
        <w:tc>
          <w:tcPr>
            <w:tcW w:w="850" w:type="dxa"/>
          </w:tcPr>
          <w:p w14:paraId="19DC7A14">
            <w:pPr>
              <w:adjustRightInd w:val="0"/>
              <w:snapToGrid w:val="0"/>
              <w:spacing w:before="62" w:beforeLines="20"/>
              <w:rPr>
                <w:rFonts w:asciiTheme="minorBidi" w:hAnsiTheme="minorBidi"/>
                <w:szCs w:val="21"/>
              </w:rPr>
            </w:pPr>
            <w:r>
              <w:rPr>
                <w:rFonts w:asciiTheme="minorBidi" w:hAnsiTheme="minorBidi"/>
                <w:szCs w:val="21"/>
              </w:rPr>
              <w:t>……</w:t>
            </w:r>
          </w:p>
        </w:tc>
        <w:tc>
          <w:tcPr>
            <w:tcW w:w="1134" w:type="dxa"/>
          </w:tcPr>
          <w:p w14:paraId="1A582258">
            <w:pPr>
              <w:adjustRightInd w:val="0"/>
              <w:snapToGrid w:val="0"/>
              <w:spacing w:before="62" w:beforeLines="20"/>
              <w:rPr>
                <w:rFonts w:asciiTheme="minorBidi" w:hAnsiTheme="minorBidi"/>
                <w:szCs w:val="21"/>
              </w:rPr>
            </w:pPr>
            <w:r>
              <w:rPr>
                <w:rFonts w:asciiTheme="minorBidi" w:hAnsiTheme="minorBidi"/>
                <w:szCs w:val="21"/>
              </w:rPr>
              <w:t>……</w:t>
            </w:r>
          </w:p>
        </w:tc>
        <w:tc>
          <w:tcPr>
            <w:tcW w:w="993" w:type="dxa"/>
          </w:tcPr>
          <w:p w14:paraId="3124682C">
            <w:pPr>
              <w:adjustRightInd w:val="0"/>
              <w:snapToGrid w:val="0"/>
              <w:spacing w:before="62" w:beforeLines="20"/>
              <w:rPr>
                <w:rFonts w:asciiTheme="minorBidi" w:hAnsiTheme="minorBidi"/>
                <w:szCs w:val="21"/>
              </w:rPr>
            </w:pPr>
            <w:r>
              <w:rPr>
                <w:rFonts w:asciiTheme="minorBidi" w:hAnsiTheme="minorBidi"/>
                <w:szCs w:val="21"/>
              </w:rPr>
              <w:t>……</w:t>
            </w:r>
          </w:p>
        </w:tc>
        <w:tc>
          <w:tcPr>
            <w:tcW w:w="1134" w:type="dxa"/>
          </w:tcPr>
          <w:p w14:paraId="7296B0F4">
            <w:pPr>
              <w:adjustRightInd w:val="0"/>
              <w:snapToGrid w:val="0"/>
              <w:spacing w:before="62" w:beforeLines="20"/>
              <w:rPr>
                <w:rFonts w:asciiTheme="minorBidi" w:hAnsiTheme="minorBidi"/>
                <w:szCs w:val="21"/>
              </w:rPr>
            </w:pPr>
            <w:r>
              <w:rPr>
                <w:rFonts w:asciiTheme="minorBidi" w:hAnsiTheme="minorBidi"/>
                <w:szCs w:val="21"/>
              </w:rPr>
              <w:t>……</w:t>
            </w:r>
          </w:p>
        </w:tc>
        <w:tc>
          <w:tcPr>
            <w:tcW w:w="2301" w:type="dxa"/>
          </w:tcPr>
          <w:p w14:paraId="09746699">
            <w:pPr>
              <w:adjustRightInd w:val="0"/>
              <w:snapToGrid w:val="0"/>
              <w:spacing w:before="62" w:beforeLines="20"/>
              <w:rPr>
                <w:rFonts w:asciiTheme="minorBidi" w:hAnsiTheme="minorBidi"/>
                <w:szCs w:val="21"/>
              </w:rPr>
            </w:pPr>
            <w:r>
              <w:rPr>
                <w:rFonts w:asciiTheme="minorBidi" w:hAnsiTheme="minorBidi"/>
                <w:szCs w:val="21"/>
              </w:rPr>
              <w:t>……</w:t>
            </w:r>
          </w:p>
        </w:tc>
      </w:tr>
      <w:tr w14:paraId="4B98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951" w:type="dxa"/>
          </w:tcPr>
          <w:p w14:paraId="48B42C84">
            <w:pPr>
              <w:adjustRightInd w:val="0"/>
              <w:snapToGrid w:val="0"/>
              <w:spacing w:before="62" w:beforeLines="20"/>
              <w:jc w:val="center"/>
              <w:rPr>
                <w:rFonts w:asciiTheme="minorBidi" w:hAnsiTheme="minorBidi"/>
                <w:szCs w:val="21"/>
              </w:rPr>
            </w:pPr>
            <w:r>
              <w:rPr>
                <w:rFonts w:asciiTheme="minorBidi" w:hAnsiTheme="minorBidi"/>
                <w:szCs w:val="21"/>
              </w:rPr>
              <w:t>合计</w:t>
            </w:r>
          </w:p>
        </w:tc>
        <w:tc>
          <w:tcPr>
            <w:tcW w:w="1276" w:type="dxa"/>
          </w:tcPr>
          <w:p w14:paraId="033E8E51">
            <w:pPr>
              <w:adjustRightInd w:val="0"/>
              <w:snapToGrid w:val="0"/>
              <w:spacing w:before="62" w:beforeLines="20"/>
              <w:jc w:val="center"/>
              <w:rPr>
                <w:rFonts w:asciiTheme="minorBidi" w:hAnsiTheme="minorBidi"/>
                <w:szCs w:val="21"/>
              </w:rPr>
            </w:pPr>
          </w:p>
        </w:tc>
        <w:tc>
          <w:tcPr>
            <w:tcW w:w="850" w:type="dxa"/>
          </w:tcPr>
          <w:p w14:paraId="43CF9417">
            <w:pPr>
              <w:adjustRightInd w:val="0"/>
              <w:snapToGrid w:val="0"/>
              <w:spacing w:before="62" w:beforeLines="20"/>
              <w:jc w:val="center"/>
              <w:rPr>
                <w:rFonts w:asciiTheme="minorBidi" w:hAnsiTheme="minorBidi"/>
                <w:szCs w:val="21"/>
              </w:rPr>
            </w:pPr>
          </w:p>
        </w:tc>
        <w:tc>
          <w:tcPr>
            <w:tcW w:w="1134" w:type="dxa"/>
          </w:tcPr>
          <w:p w14:paraId="772402BE">
            <w:pPr>
              <w:adjustRightInd w:val="0"/>
              <w:snapToGrid w:val="0"/>
              <w:spacing w:before="62" w:beforeLines="20"/>
              <w:jc w:val="center"/>
              <w:rPr>
                <w:rFonts w:asciiTheme="minorBidi" w:hAnsiTheme="minorBidi"/>
                <w:szCs w:val="21"/>
              </w:rPr>
            </w:pPr>
          </w:p>
        </w:tc>
        <w:tc>
          <w:tcPr>
            <w:tcW w:w="993" w:type="dxa"/>
          </w:tcPr>
          <w:p w14:paraId="34DD8687">
            <w:pPr>
              <w:adjustRightInd w:val="0"/>
              <w:snapToGrid w:val="0"/>
              <w:spacing w:before="62" w:beforeLines="20"/>
              <w:jc w:val="center"/>
              <w:rPr>
                <w:rFonts w:asciiTheme="minorBidi" w:hAnsiTheme="minorBidi"/>
                <w:szCs w:val="21"/>
              </w:rPr>
            </w:pPr>
          </w:p>
        </w:tc>
        <w:tc>
          <w:tcPr>
            <w:tcW w:w="1134" w:type="dxa"/>
          </w:tcPr>
          <w:p w14:paraId="3E2D5753">
            <w:pPr>
              <w:adjustRightInd w:val="0"/>
              <w:snapToGrid w:val="0"/>
              <w:spacing w:before="62" w:beforeLines="20"/>
              <w:jc w:val="center"/>
              <w:rPr>
                <w:rFonts w:asciiTheme="minorBidi" w:hAnsiTheme="minorBidi"/>
                <w:szCs w:val="21"/>
              </w:rPr>
            </w:pPr>
          </w:p>
        </w:tc>
        <w:tc>
          <w:tcPr>
            <w:tcW w:w="2301" w:type="dxa"/>
          </w:tcPr>
          <w:p w14:paraId="6FB5E519">
            <w:pPr>
              <w:adjustRightInd w:val="0"/>
              <w:snapToGrid w:val="0"/>
              <w:spacing w:before="62" w:beforeLines="20"/>
              <w:jc w:val="center"/>
              <w:rPr>
                <w:rFonts w:asciiTheme="minorBidi" w:hAnsiTheme="minorBidi"/>
                <w:szCs w:val="21"/>
              </w:rPr>
            </w:pPr>
            <w:r>
              <w:rPr>
                <w:rFonts w:asciiTheme="minorBidi" w:hAnsiTheme="minorBidi"/>
                <w:szCs w:val="21"/>
              </w:rPr>
              <w:t>N</w:t>
            </w:r>
          </w:p>
        </w:tc>
      </w:tr>
    </w:tbl>
    <w:p w14:paraId="22CCEA5C">
      <w:pPr>
        <w:adjustRightInd w:val="0"/>
        <w:snapToGrid w:val="0"/>
        <w:spacing w:before="156" w:beforeLines="50" w:line="300" w:lineRule="auto"/>
        <w:rPr>
          <w:rFonts w:asciiTheme="minorBidi" w:hAnsiTheme="minorBidi"/>
          <w:sz w:val="24"/>
        </w:rPr>
      </w:pPr>
      <w:r>
        <w:rPr>
          <w:rFonts w:asciiTheme="minorBidi" w:hAnsiTheme="minorBidi"/>
          <w:sz w:val="24"/>
        </w:rPr>
        <w:t>此类测试对目标疾病≥CIN2的临床性能可通过每种测试结局的似然比X和有每种测试结局的受试者百分比进行评估。测试结局的似然比X汇总了有此疾病（≥CIN2）的受试者与无此疾病的受试者相比，有特定结果X的可能性高（或低）多少倍：LR（T=X）= Pr（T=X|D+）/Pr（T=X|D-）。</w:t>
      </w:r>
    </w:p>
    <w:p w14:paraId="22F17F8C">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应计算每种结局的似然比以及95%置信区间。</w:t>
      </w:r>
    </w:p>
    <w:p w14:paraId="0A652DDA">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除似然比外，还应计算每种测试结局患者有≥CIN2的可能性以及95%置信区间。每种结局K的可能性计算方法：每种K的可能性（）≥CIN2|结局</w:t>
      </w:r>
      <w:r>
        <w:rPr>
          <w:rFonts w:asciiTheme="minorBidi" w:hAnsiTheme="minorBidi"/>
          <w:sz w:val="24"/>
          <w:vertAlign w:val="subscript"/>
        </w:rPr>
        <w:t>K</w:t>
      </w:r>
      <w:r>
        <w:rPr>
          <w:rFonts w:asciiTheme="minorBidi" w:hAnsiTheme="minorBidi"/>
          <w:sz w:val="24"/>
        </w:rPr>
        <w:t>）=（）A</w:t>
      </w:r>
      <w:r>
        <w:rPr>
          <w:rFonts w:asciiTheme="minorBidi" w:hAnsiTheme="minorBidi"/>
          <w:sz w:val="24"/>
          <w:vertAlign w:val="subscript"/>
        </w:rPr>
        <w:t>K4</w:t>
      </w:r>
      <w:r>
        <w:rPr>
          <w:rFonts w:asciiTheme="minorBidi" w:hAnsiTheme="minorBidi"/>
          <w:sz w:val="24"/>
        </w:rPr>
        <w:t>+A</w:t>
      </w:r>
      <w:r>
        <w:rPr>
          <w:rFonts w:asciiTheme="minorBidi" w:hAnsiTheme="minorBidi"/>
          <w:sz w:val="24"/>
          <w:vertAlign w:val="subscript"/>
        </w:rPr>
        <w:t>K5</w:t>
      </w:r>
      <w:r>
        <w:rPr>
          <w:rFonts w:asciiTheme="minorBidi" w:hAnsiTheme="minorBidi"/>
          <w:sz w:val="24"/>
        </w:rPr>
        <w:t>）/（A</w:t>
      </w:r>
      <w:r>
        <w:rPr>
          <w:rFonts w:asciiTheme="minorBidi" w:hAnsiTheme="minorBidi"/>
          <w:sz w:val="24"/>
          <w:vertAlign w:val="subscript"/>
        </w:rPr>
        <w:t>K1</w:t>
      </w:r>
      <w:r>
        <w:rPr>
          <w:rFonts w:asciiTheme="minorBidi" w:hAnsiTheme="minorBidi"/>
          <w:sz w:val="24"/>
        </w:rPr>
        <w:t>+A</w:t>
      </w:r>
      <w:r>
        <w:rPr>
          <w:rFonts w:asciiTheme="minorBidi" w:hAnsiTheme="minorBidi"/>
          <w:sz w:val="24"/>
          <w:vertAlign w:val="subscript"/>
        </w:rPr>
        <w:t>K2</w:t>
      </w:r>
      <w:r>
        <w:rPr>
          <w:rFonts w:asciiTheme="minorBidi" w:hAnsiTheme="minorBidi"/>
          <w:sz w:val="24"/>
        </w:rPr>
        <w:t>+A</w:t>
      </w:r>
      <w:r>
        <w:rPr>
          <w:rFonts w:asciiTheme="minorBidi" w:hAnsiTheme="minorBidi"/>
          <w:sz w:val="24"/>
          <w:vertAlign w:val="subscript"/>
        </w:rPr>
        <w:t>K3</w:t>
      </w:r>
      <w:r>
        <w:rPr>
          <w:rFonts w:asciiTheme="minorBidi" w:hAnsiTheme="minorBidi"/>
          <w:sz w:val="24"/>
        </w:rPr>
        <w:t>+A</w:t>
      </w:r>
      <w:r>
        <w:rPr>
          <w:rFonts w:asciiTheme="minorBidi" w:hAnsiTheme="minorBidi"/>
          <w:sz w:val="24"/>
          <w:vertAlign w:val="subscript"/>
        </w:rPr>
        <w:t>K4</w:t>
      </w:r>
      <w:r>
        <w:rPr>
          <w:rFonts w:asciiTheme="minorBidi" w:hAnsiTheme="minorBidi"/>
          <w:sz w:val="24"/>
        </w:rPr>
        <w:t>+A</w:t>
      </w:r>
      <w:r>
        <w:rPr>
          <w:rFonts w:asciiTheme="minorBidi" w:hAnsiTheme="minorBidi"/>
          <w:sz w:val="24"/>
          <w:vertAlign w:val="subscript"/>
        </w:rPr>
        <w:t>K5</w:t>
      </w:r>
      <w:r>
        <w:rPr>
          <w:rFonts w:asciiTheme="minorBidi" w:hAnsiTheme="minorBidi"/>
          <w:sz w:val="24"/>
        </w:rPr>
        <w:t>）。</w:t>
      </w:r>
    </w:p>
    <w:p w14:paraId="5DD74894">
      <w:pPr>
        <w:pStyle w:val="14"/>
        <w:numPr>
          <w:ilvl w:val="0"/>
          <w:numId w:val="3"/>
        </w:numPr>
        <w:adjustRightInd w:val="0"/>
        <w:snapToGrid w:val="0"/>
        <w:spacing w:before="156" w:beforeLines="50" w:line="300" w:lineRule="auto"/>
        <w:ind w:left="828" w:leftChars="200" w:hanging="408" w:hangingChars="170"/>
        <w:rPr>
          <w:rFonts w:asciiTheme="minorBidi" w:hAnsiTheme="minorBidi"/>
          <w:sz w:val="24"/>
        </w:rPr>
      </w:pPr>
      <w:r>
        <w:rPr>
          <w:rFonts w:asciiTheme="minorBidi" w:hAnsiTheme="minorBidi"/>
          <w:sz w:val="24"/>
        </w:rPr>
        <w:t>临床数据集中每种结局的百分比也应展示如下：每种K的可能性（≥CIN2|结局K）=（AK4+AK5）/（AK1+AK2+AK3+AK4+AK5）。</w:t>
      </w:r>
    </w:p>
    <w:p w14:paraId="6BF532FD">
      <w:pPr>
        <w:adjustRightInd w:val="0"/>
        <w:snapToGrid w:val="0"/>
        <w:spacing w:before="156" w:beforeLines="50" w:line="300" w:lineRule="auto"/>
        <w:rPr>
          <w:rFonts w:asciiTheme="minorBidi" w:hAnsiTheme="minorBidi"/>
          <w:sz w:val="24"/>
        </w:rPr>
      </w:pPr>
      <w:r>
        <w:rPr>
          <w:rFonts w:asciiTheme="minorBidi" w:hAnsiTheme="minorBidi"/>
          <w:sz w:val="24"/>
        </w:rPr>
        <w:t>此外，合并结局 HPV16/18+的≥CIN2可能性（如果HPV16+或HPV18+或二者均由，则HPV16/18定义为阳性）应计算如下：可能性（≥CIN2|HPV16/18+）=（A</w:t>
      </w:r>
      <w:r>
        <w:rPr>
          <w:rFonts w:asciiTheme="minorBidi" w:hAnsiTheme="minorBidi"/>
          <w:sz w:val="24"/>
          <w:vertAlign w:val="subscript"/>
        </w:rPr>
        <w:t>14</w:t>
      </w:r>
      <w:r>
        <w:rPr>
          <w:rFonts w:asciiTheme="minorBidi" w:hAnsiTheme="minorBidi"/>
          <w:sz w:val="24"/>
        </w:rPr>
        <w:t>+A</w:t>
      </w:r>
      <w:r>
        <w:rPr>
          <w:rFonts w:asciiTheme="minorBidi" w:hAnsiTheme="minorBidi"/>
          <w:sz w:val="24"/>
          <w:vertAlign w:val="subscript"/>
        </w:rPr>
        <w:t>15</w:t>
      </w:r>
      <w:r>
        <w:rPr>
          <w:rFonts w:asciiTheme="minorBidi" w:hAnsiTheme="minorBidi"/>
          <w:sz w:val="24"/>
        </w:rPr>
        <w:t>+A</w:t>
      </w:r>
      <w:r>
        <w:rPr>
          <w:rFonts w:asciiTheme="minorBidi" w:hAnsiTheme="minorBidi"/>
          <w:sz w:val="24"/>
          <w:vertAlign w:val="subscript"/>
        </w:rPr>
        <w:t>24</w:t>
      </w:r>
      <w:r>
        <w:rPr>
          <w:rFonts w:asciiTheme="minorBidi" w:hAnsiTheme="minorBidi"/>
          <w:sz w:val="24"/>
        </w:rPr>
        <w:t>+A</w:t>
      </w:r>
      <w:r>
        <w:rPr>
          <w:rFonts w:asciiTheme="minorBidi" w:hAnsiTheme="minorBidi"/>
          <w:sz w:val="24"/>
          <w:vertAlign w:val="subscript"/>
        </w:rPr>
        <w:t>25</w:t>
      </w:r>
      <w:r>
        <w:rPr>
          <w:rFonts w:asciiTheme="minorBidi" w:hAnsiTheme="minorBidi"/>
          <w:sz w:val="24"/>
        </w:rPr>
        <w:t>+A</w:t>
      </w:r>
      <w:r>
        <w:rPr>
          <w:rFonts w:asciiTheme="minorBidi" w:hAnsiTheme="minorBidi"/>
          <w:sz w:val="24"/>
          <w:vertAlign w:val="subscript"/>
        </w:rPr>
        <w:t>34</w:t>
      </w:r>
      <w:r>
        <w:rPr>
          <w:rFonts w:asciiTheme="minorBidi" w:hAnsiTheme="minorBidi"/>
          <w:sz w:val="24"/>
        </w:rPr>
        <w:t>+A</w:t>
      </w:r>
      <w:r>
        <w:rPr>
          <w:rFonts w:asciiTheme="minorBidi" w:hAnsiTheme="minorBidi"/>
          <w:sz w:val="24"/>
          <w:vertAlign w:val="subscript"/>
        </w:rPr>
        <w:t>35</w:t>
      </w:r>
      <w:r>
        <w:rPr>
          <w:rFonts w:asciiTheme="minorBidi" w:hAnsiTheme="minorBidi"/>
          <w:sz w:val="24"/>
        </w:rPr>
        <w:t>）/（A</w:t>
      </w:r>
      <w:r>
        <w:rPr>
          <w:rFonts w:asciiTheme="minorBidi" w:hAnsiTheme="minorBidi"/>
          <w:sz w:val="24"/>
          <w:vertAlign w:val="subscript"/>
        </w:rPr>
        <w:t>11</w:t>
      </w:r>
      <w:r>
        <w:rPr>
          <w:rFonts w:asciiTheme="minorBidi" w:hAnsiTheme="minorBidi"/>
          <w:sz w:val="24"/>
        </w:rPr>
        <w:t>+A</w:t>
      </w:r>
      <w:r>
        <w:rPr>
          <w:rFonts w:asciiTheme="minorBidi" w:hAnsiTheme="minorBidi"/>
          <w:sz w:val="24"/>
          <w:vertAlign w:val="subscript"/>
        </w:rPr>
        <w:t>12</w:t>
      </w:r>
      <w:r>
        <w:rPr>
          <w:rFonts w:asciiTheme="minorBidi" w:hAnsiTheme="minorBidi"/>
          <w:sz w:val="24"/>
        </w:rPr>
        <w:t>+A</w:t>
      </w:r>
      <w:r>
        <w:rPr>
          <w:rFonts w:asciiTheme="minorBidi" w:hAnsiTheme="minorBidi"/>
          <w:sz w:val="24"/>
          <w:vertAlign w:val="subscript"/>
        </w:rPr>
        <w:t>13</w:t>
      </w:r>
      <w:r>
        <w:rPr>
          <w:rFonts w:asciiTheme="minorBidi" w:hAnsiTheme="minorBidi"/>
          <w:sz w:val="24"/>
        </w:rPr>
        <w:t>+A</w:t>
      </w:r>
      <w:r>
        <w:rPr>
          <w:rFonts w:asciiTheme="minorBidi" w:hAnsiTheme="minorBidi"/>
          <w:sz w:val="24"/>
          <w:vertAlign w:val="subscript"/>
        </w:rPr>
        <w:t>14</w:t>
      </w:r>
      <w:r>
        <w:rPr>
          <w:rFonts w:asciiTheme="minorBidi" w:hAnsiTheme="minorBidi"/>
          <w:sz w:val="24"/>
        </w:rPr>
        <w:t>+A</w:t>
      </w:r>
      <w:r>
        <w:rPr>
          <w:rFonts w:asciiTheme="minorBidi" w:hAnsiTheme="minorBidi"/>
          <w:sz w:val="24"/>
          <w:vertAlign w:val="subscript"/>
        </w:rPr>
        <w:t>15</w:t>
      </w:r>
      <w:r>
        <w:rPr>
          <w:rFonts w:asciiTheme="minorBidi" w:hAnsiTheme="minorBidi"/>
          <w:sz w:val="24"/>
        </w:rPr>
        <w:t>+A</w:t>
      </w:r>
      <w:r>
        <w:rPr>
          <w:rFonts w:asciiTheme="minorBidi" w:hAnsiTheme="minorBidi"/>
          <w:sz w:val="24"/>
          <w:vertAlign w:val="subscript"/>
        </w:rPr>
        <w:t>21</w:t>
      </w:r>
      <w:r>
        <w:rPr>
          <w:rFonts w:asciiTheme="minorBidi" w:hAnsiTheme="minorBidi"/>
          <w:sz w:val="24"/>
        </w:rPr>
        <w:t>+A</w:t>
      </w:r>
      <w:r>
        <w:rPr>
          <w:rFonts w:asciiTheme="minorBidi" w:hAnsiTheme="minorBidi"/>
          <w:sz w:val="24"/>
          <w:vertAlign w:val="subscript"/>
        </w:rPr>
        <w:t>22</w:t>
      </w:r>
      <w:r>
        <w:rPr>
          <w:rFonts w:asciiTheme="minorBidi" w:hAnsiTheme="minorBidi"/>
          <w:sz w:val="24"/>
        </w:rPr>
        <w:t>+A</w:t>
      </w:r>
      <w:r>
        <w:rPr>
          <w:rFonts w:asciiTheme="minorBidi" w:hAnsiTheme="minorBidi"/>
          <w:sz w:val="24"/>
          <w:vertAlign w:val="subscript"/>
        </w:rPr>
        <w:t>23</w:t>
      </w:r>
      <w:r>
        <w:rPr>
          <w:rFonts w:asciiTheme="minorBidi" w:hAnsiTheme="minorBidi"/>
          <w:sz w:val="24"/>
        </w:rPr>
        <w:t>+A</w:t>
      </w:r>
      <w:r>
        <w:rPr>
          <w:rFonts w:asciiTheme="minorBidi" w:hAnsiTheme="minorBidi"/>
          <w:sz w:val="24"/>
          <w:vertAlign w:val="subscript"/>
        </w:rPr>
        <w:t>24</w:t>
      </w:r>
      <w:r>
        <w:rPr>
          <w:rFonts w:asciiTheme="minorBidi" w:hAnsiTheme="minorBidi"/>
          <w:sz w:val="24"/>
        </w:rPr>
        <w:t>+A</w:t>
      </w:r>
      <w:r>
        <w:rPr>
          <w:rFonts w:asciiTheme="minorBidi" w:hAnsiTheme="minorBidi"/>
          <w:sz w:val="24"/>
          <w:vertAlign w:val="subscript"/>
        </w:rPr>
        <w:t>25</w:t>
      </w:r>
      <w:r>
        <w:rPr>
          <w:rFonts w:asciiTheme="minorBidi" w:hAnsiTheme="minorBidi"/>
          <w:sz w:val="24"/>
        </w:rPr>
        <w:t>+A</w:t>
      </w:r>
      <w:r>
        <w:rPr>
          <w:rFonts w:asciiTheme="minorBidi" w:hAnsiTheme="minorBidi"/>
          <w:sz w:val="24"/>
          <w:vertAlign w:val="subscript"/>
        </w:rPr>
        <w:t>31</w:t>
      </w:r>
      <w:r>
        <w:rPr>
          <w:rFonts w:asciiTheme="minorBidi" w:hAnsiTheme="minorBidi"/>
          <w:sz w:val="24"/>
        </w:rPr>
        <w:t>+A</w:t>
      </w:r>
      <w:r>
        <w:rPr>
          <w:rFonts w:asciiTheme="minorBidi" w:hAnsiTheme="minorBidi"/>
          <w:sz w:val="24"/>
          <w:vertAlign w:val="subscript"/>
        </w:rPr>
        <w:t>32</w:t>
      </w:r>
      <w:r>
        <w:rPr>
          <w:rFonts w:asciiTheme="minorBidi" w:hAnsiTheme="minorBidi"/>
          <w:sz w:val="24"/>
        </w:rPr>
        <w:t>+A</w:t>
      </w:r>
      <w:r>
        <w:rPr>
          <w:rFonts w:asciiTheme="minorBidi" w:hAnsiTheme="minorBidi"/>
          <w:sz w:val="24"/>
          <w:vertAlign w:val="subscript"/>
        </w:rPr>
        <w:t>33</w:t>
      </w:r>
      <w:r>
        <w:rPr>
          <w:rFonts w:asciiTheme="minorBidi" w:hAnsiTheme="minorBidi"/>
          <w:sz w:val="24"/>
        </w:rPr>
        <w:t>+A</w:t>
      </w:r>
      <w:r>
        <w:rPr>
          <w:rFonts w:asciiTheme="minorBidi" w:hAnsiTheme="minorBidi"/>
          <w:sz w:val="24"/>
          <w:vertAlign w:val="subscript"/>
        </w:rPr>
        <w:t>34</w:t>
      </w:r>
      <w:r>
        <w:rPr>
          <w:rFonts w:asciiTheme="minorBidi" w:hAnsiTheme="minorBidi"/>
          <w:sz w:val="24"/>
        </w:rPr>
        <w:t>+A</w:t>
      </w:r>
      <w:r>
        <w:rPr>
          <w:rFonts w:asciiTheme="minorBidi" w:hAnsiTheme="minorBidi"/>
          <w:sz w:val="24"/>
          <w:vertAlign w:val="subscript"/>
        </w:rPr>
        <w:t>35</w:t>
      </w:r>
      <w:r>
        <w:rPr>
          <w:rFonts w:asciiTheme="minorBidi" w:hAnsiTheme="minorBidi"/>
          <w:sz w:val="24"/>
        </w:rPr>
        <w:t>）和有HPV16/18+结果的受试者百分比。</w:t>
      </w:r>
    </w:p>
    <w:p w14:paraId="6A30925A">
      <w:pPr>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57C700AF">
      <w:pPr>
        <w:adjustRightInd w:val="0"/>
        <w:snapToGrid w:val="0"/>
        <w:spacing w:before="156" w:beforeLines="50" w:line="300" w:lineRule="auto"/>
        <w:rPr>
          <w:rFonts w:asciiTheme="minorBidi" w:hAnsiTheme="minorBidi"/>
          <w:sz w:val="24"/>
        </w:rPr>
      </w:pPr>
      <w:r>
        <w:rPr>
          <w:rFonts w:asciiTheme="minorBidi" w:hAnsiTheme="minorBidi"/>
          <w:sz w:val="24"/>
        </w:rPr>
        <w:t>≥CIN2可能性的置信区间可根据相应似然比的置信区间进行计算。</w:t>
      </w:r>
    </w:p>
    <w:p w14:paraId="3108FA70">
      <w:pPr>
        <w:adjustRightInd w:val="0"/>
        <w:snapToGrid w:val="0"/>
        <w:spacing w:before="156" w:beforeLines="50" w:line="300" w:lineRule="auto"/>
        <w:rPr>
          <w:rFonts w:asciiTheme="minorBidi" w:hAnsiTheme="minorBidi"/>
          <w:sz w:val="24"/>
        </w:rPr>
      </w:pPr>
      <w:r>
        <w:rPr>
          <w:rFonts w:asciiTheme="minorBidi" w:hAnsiTheme="minorBidi"/>
          <w:sz w:val="24"/>
        </w:rPr>
        <w:t>通过相似访视，对于目标疾病≥CIN3，应对HPV测试的临床性能进行估算。</w:t>
      </w:r>
    </w:p>
    <w:p w14:paraId="11FCF696">
      <w:pPr>
        <w:adjustRightInd w:val="0"/>
        <w:snapToGrid w:val="0"/>
        <w:spacing w:before="156" w:beforeLines="50" w:line="300" w:lineRule="auto"/>
        <w:rPr>
          <w:rFonts w:asciiTheme="minorBidi" w:hAnsiTheme="minorBidi"/>
          <w:b/>
          <w:sz w:val="24"/>
        </w:rPr>
      </w:pPr>
    </w:p>
    <w:p w14:paraId="00927351">
      <w:pPr>
        <w:adjustRightInd w:val="0"/>
        <w:snapToGrid w:val="0"/>
        <w:spacing w:before="156" w:beforeLines="50" w:line="300" w:lineRule="auto"/>
        <w:outlineLvl w:val="2"/>
        <w:rPr>
          <w:rFonts w:asciiTheme="minorBidi" w:hAnsiTheme="minorBidi"/>
          <w:b/>
          <w:sz w:val="24"/>
        </w:rPr>
      </w:pPr>
      <w:bookmarkStart w:id="20" w:name="_Toc479653384"/>
      <w:r>
        <w:rPr>
          <w:rFonts w:asciiTheme="minorBidi" w:hAnsiTheme="minorBidi"/>
          <w:b/>
          <w:sz w:val="24"/>
        </w:rPr>
        <w:t>辅助预期用途 – 高风险HPV测试</w:t>
      </w:r>
      <w:bookmarkEnd w:id="20"/>
    </w:p>
    <w:p w14:paraId="6D8F60AB">
      <w:pPr>
        <w:adjustRightInd w:val="0"/>
        <w:snapToGrid w:val="0"/>
        <w:spacing w:before="156" w:beforeLines="50" w:line="300" w:lineRule="auto"/>
        <w:rPr>
          <w:rFonts w:asciiTheme="minorBidi" w:hAnsiTheme="minorBidi"/>
          <w:i/>
          <w:sz w:val="24"/>
        </w:rPr>
      </w:pPr>
      <w:r>
        <w:rPr>
          <w:rFonts w:asciiTheme="minorBidi" w:hAnsiTheme="minorBidi"/>
          <w:i/>
          <w:sz w:val="24"/>
        </w:rPr>
        <w:t>通用研究设计选择</w:t>
      </w:r>
    </w:p>
    <w:p w14:paraId="17B04AFE">
      <w:pPr>
        <w:adjustRightInd w:val="0"/>
        <w:snapToGrid w:val="0"/>
        <w:spacing w:before="156" w:beforeLines="50" w:line="300" w:lineRule="auto"/>
        <w:rPr>
          <w:rFonts w:asciiTheme="minorBidi" w:hAnsiTheme="minorBidi"/>
          <w:sz w:val="24"/>
        </w:rPr>
      </w:pPr>
      <w:r>
        <w:rPr>
          <w:rFonts w:asciiTheme="minorBidi" w:hAnsiTheme="minorBidi"/>
          <w:sz w:val="24"/>
        </w:rPr>
        <w:t>按照2006年共识指南，30岁及以上女性中，建议在细胞学正常的女性中主要将HPV测试作为细胞学的辅助方法。在细胞学正常的女性人群中确立贵公司器械的临床灵敏度和特异性会更复杂，因为这些女性在进行HPV测试时由于宫颈癌现有风险较低，通常不会被送往进行阴道镜检查。然而，细胞学正常的女性子集可能有未检测到的宫颈异常（≥CIN2）【参考文件20】。HPV测试可能有助于识别细胞学正常、有较高宫颈癌风险的30岁和以上女性受试者。为证明贵公司的器械能够识别本较高风险的女性子集，贵公司应如上所述，使用贵公司的试验估算本人群中阳性与阴性个体相比的≥CIN2绝对风险和相对风险。估算本预期用途人群中的绝对风险和相对风险可使用以下2中前瞻性临床研究设计中的至少一种来完成：</w:t>
      </w:r>
    </w:p>
    <w:p w14:paraId="25491753">
      <w:pPr>
        <w:pStyle w:val="17"/>
        <w:numPr>
          <w:ilvl w:val="3"/>
          <w:numId w:val="5"/>
        </w:numPr>
        <w:adjustRightInd w:val="0"/>
        <w:snapToGrid w:val="0"/>
        <w:spacing w:before="156" w:beforeLines="50" w:line="300" w:lineRule="auto"/>
        <w:ind w:left="900" w:leftChars="200" w:hanging="480" w:hangingChars="200"/>
        <w:rPr>
          <w:rFonts w:asciiTheme="minorBidi" w:hAnsiTheme="minorBidi"/>
          <w:sz w:val="24"/>
        </w:rPr>
      </w:pPr>
      <w:r>
        <w:rPr>
          <w:rFonts w:asciiTheme="minorBidi" w:hAnsiTheme="minorBidi"/>
          <w:sz w:val="24"/>
        </w:rPr>
        <w:t>使用贵公司的研究型器械将一个30岁和以上细胞学正常的人群表征为阳性或阴性，并确立含有效比较器HPV检测器械的协议，如食品药品监督管理局批准的HPV检测器械，或基线时PCR/测序；随后以每年一次为间期对这些女性进行至少3年的随访。参见上文标题为“临床数据集中HPV检测的评估”的章节，获取在HPV检测方面与前瞻性临床数据集基线分析相关的更多详细信息。随访期间所有出现异常细胞学（≥ASC-US）的女性均应被送往进行阴道镜检查，无论其HPV状态如何。与下列选择2不同, 本研究设计中不将细胞学正常的女性送往进行腹腔镜检查，尤其是如果送往进行腹腔镜检查的决定基于基线访视时或随访期间的研究型或已批准HPV测试结果</w:t>
      </w:r>
      <w:r>
        <w:rPr>
          <w:rStyle w:val="13"/>
          <w:rFonts w:asciiTheme="minorBidi" w:hAnsiTheme="minorBidi"/>
          <w:sz w:val="24"/>
        </w:rPr>
        <w:footnoteReference w:id="1"/>
      </w:r>
      <w:r>
        <w:rPr>
          <w:rFonts w:asciiTheme="minorBidi" w:hAnsiTheme="minorBidi"/>
          <w:sz w:val="24"/>
        </w:rPr>
        <w:t>时（这对避免偏差而言很重要）。请注意，如果女性在研究期间任何时间出现≥CIN2的阴道镜检查结果，则随访结束，这些女性被视为“疾病阳性”。进行腹腔镜检查但&lt;CIN2的女性应在剩余研究持续时间里继续接受随访。数据应表明，入组时贵公司的器械测为阳性或阴性的女性中，在≥CIN2的相对风险方面，有统计学和临床显著差异。此外，如果基线时贵公司的测试为阴性的女性在3年时绝对风险≥CIN2，应进行评估，并计算95% CI。数据应证明本绝对风险足够低，以确保贵公司的测试可安全用于30及以上女性的辅助筛查。此外，展示 ≥CIN2的总体风险（不考虑基线时的HPV状态）。数据分析应按照年龄组分层（30-39岁和40岁以上）。本研究的纵向随风部分可能在批准后进行（更多详细信息请参见下文“纵向随访”）。</w:t>
      </w:r>
    </w:p>
    <w:p w14:paraId="5D3972AF">
      <w:pPr>
        <w:widowControl/>
        <w:jc w:val="left"/>
        <w:rPr>
          <w:rFonts w:asciiTheme="minorBidi" w:hAnsiTheme="minorBidi"/>
          <w:sz w:val="24"/>
        </w:rPr>
      </w:pPr>
      <w:r>
        <w:rPr>
          <w:rFonts w:asciiTheme="minorBidi" w:hAnsiTheme="minorBidi"/>
          <w:sz w:val="24"/>
        </w:rPr>
        <w:br w:type="page"/>
      </w:r>
    </w:p>
    <w:p w14:paraId="41EBAC54">
      <w:pPr>
        <w:adjustRightInd w:val="0"/>
        <w:snapToGrid w:val="0"/>
        <w:spacing w:before="156" w:beforeLines="50" w:line="300" w:lineRule="auto"/>
        <w:ind w:left="420"/>
        <w:rPr>
          <w:rFonts w:asciiTheme="minorBidi" w:hAnsiTheme="minorBidi"/>
          <w:sz w:val="24"/>
        </w:rPr>
      </w:pPr>
    </w:p>
    <w:p w14:paraId="22CE860C">
      <w:pPr>
        <w:pStyle w:val="17"/>
        <w:numPr>
          <w:ilvl w:val="3"/>
          <w:numId w:val="5"/>
        </w:numPr>
        <w:adjustRightInd w:val="0"/>
        <w:snapToGrid w:val="0"/>
        <w:spacing w:before="156" w:beforeLines="50" w:line="300" w:lineRule="auto"/>
        <w:ind w:left="900" w:leftChars="200" w:hanging="480" w:hangingChars="200"/>
        <w:rPr>
          <w:rFonts w:asciiTheme="minorBidi" w:hAnsiTheme="minorBidi"/>
          <w:sz w:val="24"/>
        </w:rPr>
      </w:pPr>
      <w:r>
        <w:rPr>
          <w:rFonts w:asciiTheme="minorBidi" w:hAnsiTheme="minorBidi"/>
          <w:sz w:val="24"/>
        </w:rPr>
        <w:t>基线时使用贵公司的研究型器械将一个30岁和以上细胞学正常的人群表征为阳性或阴性，随后将这些女性子集进行阴道镜检查。贵公司还应使用此第二种研究设计选择，确立含比较器HPV检测仪器的协议，但由于贵公司有更多关于基线时≥CIN2风险的信息，也可对相似的样本子集进行评估。建议贵公司将所有HPV阳性女性（通过研究型和/或已批准测试）和HPV阴性女性的随机子集送往进行阴道镜检查。数据应表明，入组时贵公司的器械测为阳性或阴性的女性中，在≥CIN2的相对风险方面，有统计学和临床显著差异。应使用多重插补法计算贵公司的器械所测阳性和阴性受试者中≥CIN2的绝对风险。用于检测和区分的HPV测试中，数据也应证明，基线时一些阳性结局的≥CIN2绝对风险足够高，足以证明预期用途人群中测试的有效性。由于仅HPV阴性女性的随机样本将送往进行阴道镜检查，属于有验证偏差，因此，应使用适当的统计方法，如多重插补法【参考文件21】，进行绝对和相对风险的计算。</w:t>
      </w:r>
    </w:p>
    <w:p w14:paraId="28CED658">
      <w:pPr>
        <w:adjustRightInd w:val="0"/>
        <w:snapToGrid w:val="0"/>
        <w:spacing w:before="156" w:beforeLines="50" w:line="300" w:lineRule="auto"/>
        <w:rPr>
          <w:rFonts w:asciiTheme="minorBidi" w:hAnsiTheme="minorBidi"/>
          <w:sz w:val="24"/>
        </w:rPr>
      </w:pPr>
    </w:p>
    <w:p w14:paraId="25BD8D63">
      <w:pPr>
        <w:adjustRightInd w:val="0"/>
        <w:snapToGrid w:val="0"/>
        <w:spacing w:before="156" w:beforeLines="50" w:line="300" w:lineRule="auto"/>
        <w:rPr>
          <w:rFonts w:asciiTheme="minorBidi" w:hAnsiTheme="minorBidi"/>
          <w:i/>
          <w:sz w:val="24"/>
        </w:rPr>
      </w:pPr>
      <w:r>
        <w:rPr>
          <w:rFonts w:asciiTheme="minorBidi" w:hAnsiTheme="minorBidi"/>
          <w:i/>
          <w:sz w:val="24"/>
        </w:rPr>
        <w:t>纵向随访：</w:t>
      </w:r>
    </w:p>
    <w:p w14:paraId="20B37A63">
      <w:pPr>
        <w:adjustRightInd w:val="0"/>
        <w:snapToGrid w:val="0"/>
        <w:spacing w:before="156" w:beforeLines="50" w:line="300" w:lineRule="auto"/>
        <w:rPr>
          <w:rFonts w:asciiTheme="minorBidi" w:hAnsiTheme="minorBidi"/>
          <w:sz w:val="24"/>
        </w:rPr>
      </w:pPr>
      <w:r>
        <w:rPr>
          <w:rFonts w:asciiTheme="minorBidi" w:hAnsiTheme="minorBidi"/>
          <w:sz w:val="24"/>
        </w:rPr>
        <w:t>考虑到细胞学正常的女性人群中确立临床灵敏度和特异性会涉及极大样本量和/或长期患者随访，食品药品监督管理局考虑了以下选择：在确保安全性和疗效的同时，允许更快获得这些重要器械。食品药品监督管理局认为，在正接受或已接受HPV测试的情况下，在测试显示有高等级宫颈学癌前/癌症（≥CIN2）灵敏度时，对于ASC-US分类预期用途的批准，在与HPV测试当前预期一致的水平时进行测试有较高的置信性 【参考文件2】。此类病例中，为接受相同HPV测试的辅助预期用途，食品药品监督管理局可能提供上文选择1中所述辅助研究的纵向随访部分，只要其显示在前瞻性采集的30及以上NILM（NILM ≥30）数据集中，研究型测试的HPV检测与ASC-US人群中的HPV检测相似。本情景种，对于已确立HPV测试特征的前瞻性采集NILM ≥30数据集，其中的相同患者将接受纵向随访，作为批准后研究的一部分，以在使用本人群中研究型HPV测试测得阳性或阴性的人群中，确立癌前/癌症的累积三年风险。当前临床实践指南支持用于 NILM ≥30人群并检测HPV类型的测试中将考虑本方法【参考文件13】。请注意，CDRH的监测和生物识别办公室已发布了一份批准后研究指南，“行业和食品药品监督管理局工作人员指南 - PMA法令强制实施的处理批准后研究的程序”</w:t>
      </w:r>
      <w:r>
        <w:rPr>
          <w:rStyle w:val="13"/>
          <w:rFonts w:asciiTheme="minorBidi" w:hAnsiTheme="minorBidi"/>
          <w:sz w:val="24"/>
        </w:rPr>
        <w:footnoteReference w:id="2"/>
      </w:r>
      <w:r>
        <w:rPr>
          <w:rFonts w:asciiTheme="minorBidi" w:hAnsiTheme="minorBidi"/>
          <w:sz w:val="24"/>
          <w:vertAlign w:val="superscript"/>
        </w:rPr>
        <w:t xml:space="preserve"> 3</w:t>
      </w:r>
      <w:r>
        <w:rPr>
          <w:rFonts w:asciiTheme="minorBidi" w:hAnsiTheme="minorBidi"/>
          <w:sz w:val="24"/>
        </w:rPr>
        <w:t>。有新型HPV目标的申办者应联系FDA，讨论起完成上市后纵向评估的合格性。</w:t>
      </w:r>
    </w:p>
    <w:p w14:paraId="3B59478D">
      <w:pPr>
        <w:adjustRightInd w:val="0"/>
        <w:snapToGrid w:val="0"/>
        <w:spacing w:before="156" w:beforeLines="50" w:line="300" w:lineRule="auto"/>
        <w:rPr>
          <w:rFonts w:asciiTheme="minorBidi" w:hAnsiTheme="minorBidi"/>
          <w:sz w:val="24"/>
        </w:rPr>
      </w:pPr>
    </w:p>
    <w:p w14:paraId="078317C4">
      <w:pPr>
        <w:adjustRightInd w:val="0"/>
        <w:snapToGrid w:val="0"/>
        <w:spacing w:before="156" w:beforeLines="50" w:line="300" w:lineRule="auto"/>
        <w:rPr>
          <w:rFonts w:asciiTheme="minorBidi" w:hAnsiTheme="minorBidi"/>
          <w:sz w:val="24"/>
        </w:rPr>
      </w:pPr>
    </w:p>
    <w:p w14:paraId="6D5C6B5B">
      <w:pPr>
        <w:adjustRightInd w:val="0"/>
        <w:snapToGrid w:val="0"/>
        <w:spacing w:before="156" w:beforeLines="50" w:line="300" w:lineRule="auto"/>
        <w:rPr>
          <w:rFonts w:asciiTheme="minorBidi" w:hAnsiTheme="minorBidi"/>
          <w:sz w:val="24"/>
        </w:rPr>
      </w:pPr>
    </w:p>
    <w:p w14:paraId="1F224925">
      <w:pPr>
        <w:adjustRightInd w:val="0"/>
        <w:snapToGrid w:val="0"/>
        <w:spacing w:before="156" w:beforeLines="50" w:line="300" w:lineRule="auto"/>
        <w:rPr>
          <w:rFonts w:asciiTheme="minorBidi" w:hAnsiTheme="minorBidi"/>
          <w:sz w:val="24"/>
        </w:rPr>
      </w:pPr>
    </w:p>
    <w:p w14:paraId="0609FA61">
      <w:pPr>
        <w:adjustRightInd w:val="0"/>
        <w:snapToGrid w:val="0"/>
        <w:spacing w:before="156" w:beforeLines="50" w:line="300" w:lineRule="auto"/>
        <w:outlineLvl w:val="2"/>
        <w:rPr>
          <w:rFonts w:asciiTheme="minorBidi" w:hAnsiTheme="minorBidi"/>
          <w:b/>
          <w:sz w:val="24"/>
        </w:rPr>
      </w:pPr>
      <w:bookmarkStart w:id="21" w:name="_Toc479653385"/>
      <w:r>
        <w:rPr>
          <w:rFonts w:asciiTheme="minorBidi" w:hAnsiTheme="minorBidi"/>
          <w:b/>
          <w:sz w:val="24"/>
        </w:rPr>
        <w:t>辅助预期用途 – HPV基因分型测试</w:t>
      </w:r>
      <w:bookmarkEnd w:id="21"/>
    </w:p>
    <w:p w14:paraId="74A6095C">
      <w:pPr>
        <w:adjustRightInd w:val="0"/>
        <w:snapToGrid w:val="0"/>
        <w:spacing w:before="156" w:beforeLines="50" w:line="300" w:lineRule="auto"/>
        <w:rPr>
          <w:rFonts w:asciiTheme="minorBidi" w:hAnsiTheme="minorBidi"/>
          <w:sz w:val="24"/>
        </w:rPr>
      </w:pPr>
      <w:r>
        <w:rPr>
          <w:rFonts w:asciiTheme="minorBidi" w:hAnsiTheme="minorBidi"/>
          <w:sz w:val="24"/>
        </w:rPr>
        <w:t>细胞学正常的30及以上女性中，前一章节（辅助预期用途 – 高风险HPV测试）中所述用于确立≥CIN2相对风险的研究选择可适用于双结局高风险HPV测试（阳性或印象高风险HPV）和多结局HPV基因分型测试（不仅检测还区分不同高风险HPV类型的测试）。HPV基因分型测试的结局越多，其表明每种结局相对风险有统计学差异的挑战越大。</w:t>
      </w:r>
    </w:p>
    <w:p w14:paraId="33BC1B1B">
      <w:pPr>
        <w:adjustRightInd w:val="0"/>
        <w:snapToGrid w:val="0"/>
        <w:spacing w:before="156" w:beforeLines="50" w:line="300" w:lineRule="auto"/>
        <w:rPr>
          <w:rFonts w:asciiTheme="minorBidi" w:hAnsiTheme="minorBidi"/>
          <w:sz w:val="24"/>
        </w:rPr>
      </w:pPr>
    </w:p>
    <w:p w14:paraId="449DDC2E">
      <w:pPr>
        <w:adjustRightInd w:val="0"/>
        <w:snapToGrid w:val="0"/>
        <w:spacing w:before="156" w:beforeLines="50" w:line="300" w:lineRule="auto"/>
        <w:rPr>
          <w:rFonts w:asciiTheme="minorBidi" w:hAnsiTheme="minorBidi"/>
          <w:sz w:val="24"/>
        </w:rPr>
      </w:pPr>
      <w:r>
        <w:rPr>
          <w:rFonts w:asciiTheme="minorBidi" w:hAnsiTheme="minorBidi"/>
          <w:sz w:val="24"/>
        </w:rPr>
        <w:t>按照2006年共识指南的推荐，对于HPV基因分型试验，公司希望追求的其他选择（更多通用辅助筛查预期用途除外）为最高风险HPV基因型的特异性NILM ≥30阴道镜分类预期用途，如HPV 16和18。本类型研究设计和评估的原则与ASC-US分类极为相似，除了贵公司需处理不同研究人群和测试结局。如果贵公司希望追求此类预期用途，请联系OIVD获取进一步辅助。</w:t>
      </w:r>
    </w:p>
    <w:p w14:paraId="08F67862">
      <w:pPr>
        <w:adjustRightInd w:val="0"/>
        <w:snapToGrid w:val="0"/>
        <w:spacing w:before="156" w:beforeLines="50" w:line="300" w:lineRule="auto"/>
        <w:rPr>
          <w:rFonts w:asciiTheme="minorBidi" w:hAnsiTheme="minorBidi"/>
          <w:sz w:val="24"/>
        </w:rPr>
      </w:pPr>
    </w:p>
    <w:p w14:paraId="42FD3653">
      <w:pPr>
        <w:adjustRightInd w:val="0"/>
        <w:snapToGrid w:val="0"/>
        <w:spacing w:before="156" w:beforeLines="50" w:line="300" w:lineRule="auto"/>
        <w:rPr>
          <w:rFonts w:asciiTheme="minorBidi" w:hAnsiTheme="minorBidi"/>
          <w:i/>
          <w:sz w:val="24"/>
        </w:rPr>
      </w:pPr>
      <w:r>
        <w:rPr>
          <w:rFonts w:asciiTheme="minorBidi" w:hAnsiTheme="minorBidi"/>
          <w:i/>
          <w:sz w:val="24"/>
        </w:rPr>
        <w:t>ASC-US细胞学&gt;30及以上女性中的HPV测试</w:t>
      </w:r>
    </w:p>
    <w:p w14:paraId="4FE1665D">
      <w:pPr>
        <w:adjustRightInd w:val="0"/>
        <w:snapToGrid w:val="0"/>
        <w:spacing w:before="156" w:beforeLines="50" w:line="300" w:lineRule="auto"/>
        <w:rPr>
          <w:rFonts w:asciiTheme="minorBidi" w:hAnsiTheme="minorBidi"/>
          <w:sz w:val="24"/>
        </w:rPr>
      </w:pPr>
      <w:r>
        <w:rPr>
          <w:rFonts w:asciiTheme="minorBidi" w:hAnsiTheme="minorBidi"/>
          <w:sz w:val="24"/>
        </w:rPr>
        <w:t>为了能够进行平行细胞学和HPV测试，辅助预期用途需不对细胞学正常的女性设限（即，无需等待细胞学结果以预定HPV测试）。对于所有辅助预期用途的HPV器械，标签均应表明，&gt;ASC-US细胞学的30岁和以上女性的阴性HPV结果</w:t>
      </w:r>
    </w:p>
    <w:p w14:paraId="608384C3">
      <w:pPr>
        <w:adjustRightInd w:val="0"/>
        <w:snapToGrid w:val="0"/>
        <w:spacing w:before="156" w:beforeLines="50" w:line="300" w:lineRule="auto"/>
        <w:rPr>
          <w:rFonts w:asciiTheme="minorBidi" w:hAnsiTheme="minorBidi"/>
          <w:sz w:val="24"/>
        </w:rPr>
      </w:pPr>
      <w:r>
        <w:rPr>
          <w:rFonts w:asciiTheme="minorBidi" w:hAnsiTheme="minorBidi"/>
          <w:sz w:val="24"/>
        </w:rPr>
        <w:t>不会妨碍女性进行阴道镜检查。</w:t>
      </w:r>
    </w:p>
    <w:p w14:paraId="16768C8B">
      <w:pPr>
        <w:adjustRightInd w:val="0"/>
        <w:snapToGrid w:val="0"/>
        <w:spacing w:before="156" w:beforeLines="50" w:line="300" w:lineRule="auto"/>
        <w:rPr>
          <w:rFonts w:asciiTheme="minorBidi" w:hAnsiTheme="minorBidi"/>
          <w:sz w:val="24"/>
        </w:rPr>
      </w:pPr>
    </w:p>
    <w:p w14:paraId="05C1DBFC">
      <w:pPr>
        <w:pStyle w:val="17"/>
        <w:numPr>
          <w:ilvl w:val="1"/>
          <w:numId w:val="2"/>
        </w:numPr>
        <w:adjustRightInd w:val="0"/>
        <w:snapToGrid w:val="0"/>
        <w:spacing w:before="156" w:beforeLines="50" w:line="300" w:lineRule="auto"/>
        <w:ind w:left="482" w:hanging="482" w:hangingChars="200"/>
        <w:outlineLvl w:val="1"/>
        <w:rPr>
          <w:rFonts w:asciiTheme="minorBidi" w:hAnsiTheme="minorBidi"/>
          <w:b/>
          <w:sz w:val="24"/>
          <w:u w:val="single"/>
        </w:rPr>
      </w:pPr>
      <w:bookmarkStart w:id="22" w:name="_Toc479653386"/>
      <w:r>
        <w:rPr>
          <w:rFonts w:asciiTheme="minorBidi" w:hAnsiTheme="minorBidi"/>
          <w:b/>
          <w:sz w:val="24"/>
          <w:u w:val="single"/>
        </w:rPr>
        <w:t>对照</w:t>
      </w:r>
      <w:bookmarkEnd w:id="22"/>
    </w:p>
    <w:p w14:paraId="534B84CA">
      <w:pPr>
        <w:adjustRightInd w:val="0"/>
        <w:snapToGrid w:val="0"/>
        <w:spacing w:before="156" w:beforeLines="50" w:line="300" w:lineRule="auto"/>
        <w:rPr>
          <w:rFonts w:asciiTheme="minorBidi" w:hAnsiTheme="minorBidi"/>
          <w:sz w:val="24"/>
        </w:rPr>
      </w:pPr>
      <w:r>
        <w:rPr>
          <w:rFonts w:asciiTheme="minorBidi" w:hAnsiTheme="minorBidi"/>
          <w:sz w:val="24"/>
        </w:rPr>
        <w:t>当进行上述性能研究时，我们建议贵公司在分析和临床研究的持续时间中，每天对测试运行适当的外部对照。由于HPV不易培养，适当的外部对照包括质粒内包含的HPV基因组DNA或合成的HPV RNA转录物（取决于贵公司的测试目标是HPV DNA或RNA）在尽可能接近临床样品的基质中。贵公司对照中选择使用的HPV基因型应属于临床最相关的HPV基因型（如，HPV 16）。由于疫苗接种项目，HPV株系的临床显著性有变化，因此可能需要适当的对照序列进行再次评估。</w:t>
      </w:r>
    </w:p>
    <w:p w14:paraId="3C3094A0">
      <w:pPr>
        <w:adjustRightInd w:val="0"/>
        <w:snapToGrid w:val="0"/>
        <w:spacing w:before="156" w:beforeLines="50" w:line="300" w:lineRule="auto"/>
        <w:rPr>
          <w:rFonts w:asciiTheme="minorBidi" w:hAnsiTheme="minorBidi"/>
          <w:sz w:val="24"/>
        </w:rPr>
      </w:pPr>
      <w:r>
        <w:rPr>
          <w:rFonts w:asciiTheme="minorBidi" w:hAnsiTheme="minorBidi"/>
          <w:sz w:val="24"/>
        </w:rPr>
        <w:t>我们建议贵公司在设计器械对照时咨询OIVD。如果贵公司的器械基于核酸技术进行，我们通常推荐贵公司纳入以下类型的对照：</w:t>
      </w:r>
    </w:p>
    <w:p w14:paraId="2EAF9835">
      <w:pPr>
        <w:widowControl/>
        <w:adjustRightInd w:val="0"/>
        <w:snapToGrid w:val="0"/>
        <w:spacing w:before="156" w:beforeLines="50" w:line="300" w:lineRule="auto"/>
        <w:rPr>
          <w:rFonts w:asciiTheme="minorBidi" w:hAnsiTheme="minorBidi"/>
          <w:color w:val="0000FF"/>
          <w:sz w:val="24"/>
        </w:rPr>
      </w:pPr>
      <w:r>
        <w:rPr>
          <w:rFonts w:asciiTheme="minorBidi" w:hAnsiTheme="minorBidi"/>
          <w:color w:val="0000FF"/>
          <w:sz w:val="24"/>
        </w:rPr>
        <w:br w:type="page"/>
      </w:r>
    </w:p>
    <w:p w14:paraId="23AE3578">
      <w:pPr>
        <w:adjustRightInd w:val="0"/>
        <w:snapToGrid w:val="0"/>
        <w:spacing w:before="156" w:beforeLines="50" w:line="300" w:lineRule="auto"/>
        <w:outlineLvl w:val="2"/>
        <w:rPr>
          <w:rFonts w:asciiTheme="minorBidi" w:hAnsiTheme="minorBidi"/>
          <w:b/>
          <w:sz w:val="24"/>
        </w:rPr>
      </w:pPr>
      <w:bookmarkStart w:id="23" w:name="_Toc479653387"/>
      <w:r>
        <w:rPr>
          <w:rFonts w:asciiTheme="minorBidi" w:hAnsiTheme="minorBidi"/>
          <w:b/>
          <w:sz w:val="24"/>
        </w:rPr>
        <w:t>外部对照</w:t>
      </w:r>
      <w:bookmarkEnd w:id="23"/>
    </w:p>
    <w:p w14:paraId="3B58EB01">
      <w:pPr>
        <w:adjustRightInd w:val="0"/>
        <w:snapToGrid w:val="0"/>
        <w:spacing w:before="156" w:beforeLines="50" w:line="300" w:lineRule="auto"/>
        <w:rPr>
          <w:rFonts w:asciiTheme="minorBidi" w:hAnsiTheme="minorBidi"/>
          <w:i/>
          <w:sz w:val="24"/>
        </w:rPr>
      </w:pPr>
      <w:r>
        <w:rPr>
          <w:rFonts w:asciiTheme="minorBidi" w:hAnsiTheme="minorBidi"/>
          <w:i/>
          <w:sz w:val="24"/>
        </w:rPr>
        <w:t>阴性对照</w:t>
      </w:r>
    </w:p>
    <w:p w14:paraId="3B4D50D3">
      <w:pPr>
        <w:adjustRightInd w:val="0"/>
        <w:snapToGrid w:val="0"/>
        <w:spacing w:before="156" w:beforeLines="50" w:line="300" w:lineRule="auto"/>
        <w:rPr>
          <w:rFonts w:asciiTheme="minorBidi" w:hAnsiTheme="minorBidi"/>
          <w:sz w:val="24"/>
        </w:rPr>
      </w:pPr>
      <w:r>
        <w:rPr>
          <w:rFonts w:asciiTheme="minorBidi" w:hAnsiTheme="minorBidi"/>
          <w:sz w:val="24"/>
        </w:rPr>
        <w:t>阴性外部对照含适当缓冲液或样本运送培养基，且通过与临床标本相同的方式在整个试验过程中运行。本对照用于排除目标核酸的污染物，或扩增和/或检测反应。</w:t>
      </w:r>
    </w:p>
    <w:p w14:paraId="65555D04">
      <w:pPr>
        <w:adjustRightInd w:val="0"/>
        <w:snapToGrid w:val="0"/>
        <w:spacing w:before="156" w:beforeLines="50" w:line="300" w:lineRule="auto"/>
        <w:rPr>
          <w:rFonts w:asciiTheme="minorBidi" w:hAnsiTheme="minorBidi"/>
          <w:i/>
          <w:sz w:val="24"/>
        </w:rPr>
      </w:pPr>
      <w:r>
        <w:rPr>
          <w:rFonts w:asciiTheme="minorBidi" w:hAnsiTheme="minorBidi"/>
          <w:i/>
          <w:sz w:val="24"/>
        </w:rPr>
        <w:t>阳性对照</w:t>
      </w:r>
    </w:p>
    <w:p w14:paraId="2ABA2AA0">
      <w:pPr>
        <w:adjustRightInd w:val="0"/>
        <w:snapToGrid w:val="0"/>
        <w:spacing w:before="156" w:beforeLines="50" w:line="300" w:lineRule="auto"/>
        <w:rPr>
          <w:rFonts w:asciiTheme="minorBidi" w:hAnsiTheme="minorBidi"/>
          <w:sz w:val="24"/>
        </w:rPr>
      </w:pPr>
      <w:r>
        <w:rPr>
          <w:rFonts w:asciiTheme="minorBidi" w:hAnsiTheme="minorBidi"/>
          <w:sz w:val="24"/>
        </w:rPr>
        <w:t>阳性内部对照包含目标核酸，水平约比试验的C</w:t>
      </w:r>
      <w:r>
        <w:rPr>
          <w:rFonts w:asciiTheme="minorBidi" w:hAnsiTheme="minorBidi"/>
          <w:sz w:val="24"/>
          <w:vertAlign w:val="subscript"/>
        </w:rPr>
        <w:t>95</w:t>
      </w:r>
      <w:r>
        <w:rPr>
          <w:rFonts w:asciiTheme="minorBidi" w:hAnsiTheme="minorBidi"/>
          <w:sz w:val="24"/>
        </w:rPr>
        <w:t>浓度高2倍，溶于适当缓冲液或样本运送培养基中，且通过与临床标本相同的方式在整个试验过程中运行。对于靶向于HPV DNA的测试，可将在载体质粒DNA中的克隆HPV 16基因组溶于样本运送培养基中作为一种合适对照。HPV 16的完整靶向保守区，如L1区，也可用作全长基因组克隆的替代物。对于靶向HPV RNA转录本的测试，可将悬浮在样本运送培养基中的靶基因合成全长转录本作为一种合适对照。对于不能充分激发医学决策点的分析物水平对照，作为确保与21 CFR 809.10（b）（8）（vi）依从性的一部分，应在标签中纳入以下警告：</w:t>
      </w:r>
    </w:p>
    <w:p w14:paraId="215E5CAD">
      <w:pPr>
        <w:adjustRightInd w:val="0"/>
        <w:snapToGrid w:val="0"/>
        <w:spacing w:before="156" w:beforeLines="50" w:line="300" w:lineRule="auto"/>
        <w:rPr>
          <w:rFonts w:asciiTheme="minorBidi" w:hAnsiTheme="minorBidi"/>
          <w:sz w:val="24"/>
        </w:rPr>
      </w:pPr>
      <w:r>
        <w:rPr>
          <w:rFonts w:asciiTheme="minorBidi" w:hAnsiTheme="minorBidi"/>
          <w:sz w:val="24"/>
        </w:rPr>
        <w:t>“阳性和阴性对照预期用于监测实质性试剂失败。阳性对照不得用作临界值精密度的指示剂，仅可保证试剂功能。必须按照当地、国家和/或州条例或认证要求以及贵公司实验室的标准质量控制程序，进行质量控制要求。”</w:t>
      </w:r>
    </w:p>
    <w:p w14:paraId="3B2A4DF7">
      <w:pPr>
        <w:adjustRightInd w:val="0"/>
        <w:snapToGrid w:val="0"/>
        <w:spacing w:before="156" w:beforeLines="50" w:line="300" w:lineRule="auto"/>
        <w:outlineLvl w:val="2"/>
        <w:rPr>
          <w:rFonts w:asciiTheme="minorBidi" w:hAnsiTheme="minorBidi"/>
          <w:b/>
          <w:sz w:val="24"/>
        </w:rPr>
      </w:pPr>
      <w:bookmarkStart w:id="24" w:name="_Toc479653388"/>
      <w:r>
        <w:rPr>
          <w:rFonts w:asciiTheme="minorBidi" w:hAnsiTheme="minorBidi"/>
          <w:b/>
          <w:sz w:val="24"/>
        </w:rPr>
        <w:t>内部对照</w:t>
      </w:r>
      <w:bookmarkEnd w:id="24"/>
    </w:p>
    <w:p w14:paraId="3AF260EF">
      <w:pPr>
        <w:adjustRightInd w:val="0"/>
        <w:snapToGrid w:val="0"/>
        <w:spacing w:before="156" w:beforeLines="50" w:line="300" w:lineRule="auto"/>
        <w:rPr>
          <w:rFonts w:asciiTheme="minorBidi" w:hAnsiTheme="minorBidi"/>
          <w:sz w:val="24"/>
        </w:rPr>
      </w:pPr>
      <w:r>
        <w:rPr>
          <w:rFonts w:asciiTheme="minorBidi" w:hAnsiTheme="minorBidi"/>
          <w:sz w:val="24"/>
        </w:rPr>
        <w:t>内部对照为非目标核酸序列，与目标核酸序列一同处理（即，提取和扩增）。其可对照试剂的完整性（聚合酶、引物等）、设备功能（热循环仪）和样本中存在的抑制物。可接受的内部对照材料举例包括与人乳头瘤病毒共同处理的人类核酸，以及扩增人体管家基因的引物（如，RNaseP，β-actin）。人体“管家”基因的内部对照也可帮助确定分装样本的足够细胞采样应在器械个例分析的基础上确定是否需要本对照【参考文件22】。</w:t>
      </w:r>
    </w:p>
    <w:p w14:paraId="28EF7FBF">
      <w:pPr>
        <w:adjustRightInd w:val="0"/>
        <w:snapToGrid w:val="0"/>
        <w:spacing w:before="156" w:beforeLines="50" w:line="300" w:lineRule="auto"/>
        <w:rPr>
          <w:rFonts w:asciiTheme="minorBidi" w:hAnsiTheme="minorBidi"/>
          <w:sz w:val="24"/>
        </w:rPr>
      </w:pPr>
    </w:p>
    <w:p w14:paraId="45CA50AF">
      <w:pPr>
        <w:adjustRightInd w:val="0"/>
        <w:snapToGrid w:val="0"/>
        <w:spacing w:before="156" w:beforeLines="50" w:line="300" w:lineRule="auto"/>
        <w:rPr>
          <w:rFonts w:asciiTheme="minorBidi" w:hAnsiTheme="minorBidi"/>
          <w:sz w:val="24"/>
        </w:rPr>
      </w:pPr>
    </w:p>
    <w:p w14:paraId="611525CE">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25" w:name="_Toc479653389"/>
      <w:r>
        <w:rPr>
          <w:rFonts w:asciiTheme="minorBidi" w:hAnsiTheme="minorBidi"/>
          <w:b/>
          <w:bCs/>
          <w:sz w:val="30"/>
          <w:szCs w:val="30"/>
        </w:rPr>
        <w:t>参考文件</w:t>
      </w:r>
      <w:bookmarkEnd w:id="25"/>
    </w:p>
    <w:p w14:paraId="00934FE1">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De Villiers EM.Taxonomic classification of papillomaviruses.Virology.2004; 324(1):17-27.</w:t>
      </w:r>
    </w:p>
    <w:p w14:paraId="19B0E294">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Walboomers JM, Jacobs MV, Manos MM, Bosch FX, et al.Human papillomavirus is a necessary cause of invasive cervical cancer worldwide.Journal of Pathology.1999; 189:12-19.</w:t>
      </w:r>
    </w:p>
    <w:p w14:paraId="4A87AE62">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4C10A7C9">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Munoz N, Bosch FX, de Sanjose S, Herrero R, Castellsague X, Shah KV, Snijders PJ, Meijer CJ.Epidemiologic Classification of Human Papillomavirus Types Associated with Cervical Cancer.2003.New England Journal of Medicine 348:518–527</w:t>
      </w:r>
    </w:p>
    <w:p w14:paraId="17CE5C63">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Institute.2004.Protocol for Determination of Limits of Detection and Limits of Quantitation; Approved Guideline.EP17-A.</w:t>
      </w:r>
    </w:p>
    <w:p w14:paraId="6378FA87">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Linnet, K. and Kondratovich, M. (2004).A partly nonparametric approach for determination of the limit of detection.Clinical Chemistry; 50, 732-740.</w:t>
      </w:r>
    </w:p>
    <w:p w14:paraId="604DD7ED">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Weusten J.J.A.M (2008).A statistical approach to assess analytical sensitivity of diagnostic assays in the presence of false-positive results.Journal of Virological Methods (2008), doi:10.1016/j.jviromet.2008.05.013</w:t>
      </w:r>
    </w:p>
    <w:p w14:paraId="61DD8EA7">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Institute.2004. Evaluation of Precision Performance of Quantitative Measurement Methods; Approved Guideline.EP05-A2.Clinical and Laboratory Standards Institute, Wayne PA.</w:t>
      </w:r>
    </w:p>
    <w:p w14:paraId="42430D0E">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Institute.2002. User Protocol for Evaluation of Qualitative Test Performance; Approved Guideline.EP12-A2.Clinical and Laboratory Standards Institute, Wayne PA.</w:t>
      </w:r>
    </w:p>
    <w:p w14:paraId="330A6CD5">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Institute.2006.User Verification of Performance for Precision and Trueness; Approved Guideline.EP15-A2.Clinical and Laboratory Standards Institute, Wayne PA.</w:t>
      </w:r>
    </w:p>
    <w:p w14:paraId="216F5BB3">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Institute.2005. Interference Testing in Clinical Chemistry; Approved Guideline.EP07-A2.Clinical and Laboratory Standards Institute, Wayne PA.</w:t>
      </w:r>
    </w:p>
    <w:p w14:paraId="10C73422">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Haeckel R. Proposals for the description and measurement of carry-over effects in clinical chemistry.Pure Applied Chemistry 1991; 63:302-306.</w:t>
      </w:r>
    </w:p>
    <w:p w14:paraId="1AB56581">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Institute.2009. Evaluation of Stability of In Vitro Diagnostic method products; Approved Guideline.EP25-A. Clinical and Laboratory Standards Institute, Wayne PA.</w:t>
      </w:r>
    </w:p>
    <w:p w14:paraId="634B912F">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Wright T, Massad L, Dunton C, Dunton J, Spitzer M, Wilkinson E, et al.2006 consensus guidelines for the management of women with abnormal cervical cancer screening tests.American Journal of Obstetrics and Gynecology.2007; 197(4):346-55. 访问网址：</w:t>
      </w:r>
      <w:r>
        <w:rPr>
          <w:rFonts w:asciiTheme="minorBidi" w:hAnsiTheme="minorBidi"/>
          <w:sz w:val="24"/>
        </w:rPr>
        <w:br w:type="textWrapping"/>
      </w:r>
      <w:r>
        <w:rPr>
          <w:rFonts w:asciiTheme="minorBidi" w:hAnsiTheme="minorBidi"/>
          <w:sz w:val="24"/>
        </w:rPr>
        <w:t>http://download.journals.elsevierhealth.com/pdfs/journals/0002- 9378/PIIS0002937807009301.pdf</w:t>
      </w:r>
    </w:p>
    <w:p w14:paraId="06ACC49B">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Solomon D, Davey D, Kurman R, Moriarty A, O'Connor D, Prey M, et al.Forum Group Members; Bethesda 2001 Workshop.The 2001 Bethesda System: terminology for reporting results of cervical cytology.JAMA.2002; 287:2114-9.</w:t>
      </w:r>
    </w:p>
    <w:p w14:paraId="4BE4993A">
      <w:pPr>
        <w:adjustRightInd w:val="0"/>
        <w:snapToGrid w:val="0"/>
        <w:spacing w:before="156" w:beforeLines="50" w:line="300" w:lineRule="auto"/>
        <w:rPr>
          <w:rFonts w:asciiTheme="minorBidi" w:hAnsiTheme="minorBidi"/>
          <w:sz w:val="24"/>
        </w:rPr>
      </w:pPr>
    </w:p>
    <w:p w14:paraId="68F4C483">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Schiffman M, Clifford G, Buonaguro F. Classification of weakly carcinogenic human papillomavirus types; addressing the limits of epidemiology at the borderline.Infectious Agents and Cancer.2009; 4:1-8.</w:t>
      </w:r>
    </w:p>
    <w:p w14:paraId="52B9B8C6">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Institute.2008.Verification and Validation of Multiplex Nucleic Acid Assays:Approved Guideline.MM17-A. Clinical and Laboratory Standards Institute, Wayne PA</w:t>
      </w:r>
    </w:p>
    <w:p w14:paraId="4914DEA5">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Schiffman M, Rodriguez AC.Heterogeneity in CIN3 diagnosis.Lancet Oncology. 2008; 9:404-6.</w:t>
      </w:r>
    </w:p>
    <w:p w14:paraId="7139F444">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Linnet K., Brandt E. Assessing diagnostic tests once an optimal cutoff point has been selected.Clinical Chemistry.1986; 32: p.1341-6.</w:t>
      </w:r>
    </w:p>
    <w:p w14:paraId="71255361">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Kondratovich M, Yousef WA.Evaluation of accuracy and ‘optimal’ cutoff of diagnostic devices in the same study.Joint Statistical Meeting.2005.ASA Section on Statistics in Epidemiology, p.2547-2551.</w:t>
      </w:r>
    </w:p>
    <w:p w14:paraId="580565DA">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Khan MJ, Castle PE, Lorincz AT, Wacholder S, Sherman M, Scott DR, Rush BB, Glass, AG, Schiffman M. The elevated 10-year risk of cervical precancer and cancer in women with human papillomavirus (HPV) type 16 or 18 and the possible utility of type-specific HPV testing in clinical practice.Journal of the National Cancer Institute.2005; 97(14):1072-79.</w:t>
      </w:r>
    </w:p>
    <w:p w14:paraId="7A53F28B">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Kondratovich M. Comparing two medical tests when results of reference standard are unavailable for those negative via both tests.Journal of Biopharmaceutical Statistics.2008; 18:145-66.</w:t>
      </w:r>
    </w:p>
    <w:p w14:paraId="43FC9585">
      <w:pPr>
        <w:pStyle w:val="14"/>
        <w:numPr>
          <w:ilvl w:val="0"/>
          <w:numId w:val="6"/>
        </w:numPr>
        <w:adjustRightInd w:val="0"/>
        <w:snapToGrid w:val="0"/>
        <w:spacing w:before="156" w:beforeLines="50" w:line="300" w:lineRule="auto"/>
        <w:ind w:firstLineChars="0"/>
        <w:rPr>
          <w:rFonts w:asciiTheme="minorBidi" w:hAnsiTheme="minorBidi"/>
          <w:sz w:val="24"/>
        </w:rPr>
      </w:pPr>
      <w:r>
        <w:rPr>
          <w:rFonts w:asciiTheme="minorBidi" w:hAnsiTheme="minorBidi"/>
          <w:sz w:val="24"/>
        </w:rPr>
        <w:t>Clinical and Laboratory Standards Institute.2006 Molecular Diagnostic Methods for Infectious Disease; Proposed Guideline.MM3-A2.Clinical and Laboratory Standards Institute, Wayne PA.</w:t>
      </w:r>
    </w:p>
    <w:p w14:paraId="39D5EE59">
      <w:pPr>
        <w:widowControl/>
        <w:adjustRightInd w:val="0"/>
        <w:snapToGrid w:val="0"/>
        <w:spacing w:before="156" w:beforeLines="50" w:line="300" w:lineRule="auto"/>
        <w:rPr>
          <w:rFonts w:asciiTheme="minorBidi" w:hAnsiTheme="minorBidi"/>
          <w:sz w:val="24"/>
        </w:rPr>
      </w:pPr>
      <w:r>
        <w:rPr>
          <w:rFonts w:asciiTheme="minorBidi" w:hAnsiTheme="minorBidi"/>
          <w:sz w:val="24"/>
        </w:rPr>
        <w:br w:type="page"/>
      </w:r>
    </w:p>
    <w:p w14:paraId="6E9837CA">
      <w:pPr>
        <w:pStyle w:val="17"/>
        <w:numPr>
          <w:ilvl w:val="0"/>
          <w:numId w:val="1"/>
        </w:numPr>
        <w:adjustRightInd w:val="0"/>
        <w:snapToGrid w:val="0"/>
        <w:spacing w:before="156" w:beforeLines="50" w:line="300" w:lineRule="auto"/>
        <w:ind w:left="602" w:hanging="602" w:hangingChars="200"/>
        <w:outlineLvl w:val="0"/>
        <w:rPr>
          <w:rFonts w:asciiTheme="minorBidi" w:hAnsiTheme="minorBidi"/>
          <w:b/>
          <w:bCs/>
          <w:sz w:val="30"/>
          <w:szCs w:val="30"/>
        </w:rPr>
      </w:pPr>
      <w:bookmarkStart w:id="26" w:name="_Toc479653390"/>
      <w:r>
        <w:rPr>
          <w:rFonts w:asciiTheme="minorBidi" w:hAnsiTheme="minorBidi"/>
          <w:b/>
          <w:bCs/>
          <w:sz w:val="30"/>
          <w:szCs w:val="30"/>
        </w:rPr>
        <w:t>统计分析附录</w:t>
      </w:r>
      <w:bookmarkEnd w:id="26"/>
    </w:p>
    <w:p w14:paraId="52BB93D1">
      <w:pPr>
        <w:adjustRightInd w:val="0"/>
        <w:snapToGrid w:val="0"/>
        <w:spacing w:before="156" w:beforeLines="50" w:line="300" w:lineRule="auto"/>
        <w:rPr>
          <w:rFonts w:asciiTheme="minorBidi" w:hAnsiTheme="minorBidi"/>
          <w:b/>
          <w:sz w:val="24"/>
        </w:rPr>
      </w:pPr>
      <w:r>
        <w:rPr>
          <w:rFonts w:asciiTheme="minorBidi" w:hAnsiTheme="minorBidi"/>
          <w:b/>
          <w:sz w:val="24"/>
        </w:rPr>
        <w:t>百分比和比例的计算评分置信区间</w:t>
      </w:r>
    </w:p>
    <w:p w14:paraId="10DF87D1">
      <w:pPr>
        <w:adjustRightInd w:val="0"/>
        <w:snapToGrid w:val="0"/>
        <w:spacing w:before="156" w:beforeLines="50" w:line="300" w:lineRule="auto"/>
        <w:rPr>
          <w:rFonts w:asciiTheme="minorBidi" w:hAnsiTheme="minorBidi"/>
          <w:sz w:val="24"/>
        </w:rPr>
      </w:pPr>
      <w:r>
        <w:rPr>
          <w:rFonts w:asciiTheme="minorBidi" w:hAnsiTheme="minorBidi"/>
          <w:sz w:val="24"/>
        </w:rPr>
        <w:t>以下为进行百分比或比例统计学分析的其他建议。有一些不同方法可供选择。我们推荐使用Altman，</w:t>
      </w:r>
      <w:r>
        <w:rPr>
          <w:rFonts w:asciiTheme="minorBidi" w:hAnsiTheme="minorBidi"/>
          <w:kern w:val="0"/>
          <w:sz w:val="24"/>
        </w:rPr>
        <w:t>et al.</w:t>
      </w:r>
      <w:r>
        <w:rPr>
          <w:rFonts w:asciiTheme="minorBidi" w:hAnsiTheme="minorBidi"/>
          <w:sz w:val="24"/>
        </w:rPr>
        <w:t xml:space="preserve">（Altman D.A.，Machin D.，Bryant T.N.，Gardner M.J. eds. </w:t>
      </w:r>
      <w:r>
        <w:rPr>
          <w:rFonts w:asciiTheme="minorBidi" w:hAnsiTheme="minorBidi"/>
          <w:i/>
          <w:sz w:val="24"/>
        </w:rPr>
        <w:t>Statistics with Confidence</w:t>
      </w:r>
      <w:r>
        <w:rPr>
          <w:rFonts w:asciiTheme="minorBidi" w:hAnsiTheme="minorBidi"/>
          <w:sz w:val="24"/>
        </w:rPr>
        <w:t>. 2</w:t>
      </w:r>
      <w:r>
        <w:rPr>
          <w:rFonts w:asciiTheme="minorBidi" w:hAnsiTheme="minorBidi"/>
          <w:sz w:val="24"/>
          <w:vertAlign w:val="superscript"/>
        </w:rPr>
        <w:t>nd</w:t>
      </w:r>
      <w:r>
        <w:rPr>
          <w:rFonts w:asciiTheme="minorBidi" w:hAnsiTheme="minorBidi"/>
          <w:sz w:val="24"/>
        </w:rPr>
        <w:t xml:space="preserve"> ed. British Medical Journal; 2000）所述的评分方法或Clopper-Pearson方法（Clopper CJ，Pearson E. The use of confidence or fiducial limits illustrated in the case of binomial. </w:t>
      </w:r>
      <w:r>
        <w:rPr>
          <w:rFonts w:asciiTheme="minorBidi" w:hAnsiTheme="minorBidi"/>
          <w:i/>
          <w:sz w:val="24"/>
        </w:rPr>
        <w:t>Biometrika</w:t>
      </w:r>
      <w:r>
        <w:rPr>
          <w:rFonts w:asciiTheme="minorBidi" w:hAnsiTheme="minorBidi"/>
          <w:sz w:val="24"/>
        </w:rPr>
        <w:t xml:space="preserve"> 1934; 26:404-413）。本评分方法的优点是其统计特性较好且可直接进行计算。评分置信限值趋向于产生与Clopper-Pearson置信区间相比较窄的置信区间，导致较大的置信下限。因此当n=70例样本时，65/70=92.9%，双侧95%置信区间的评分下限为84.3%。相反，Clopper-Pearson置信下限为84.1%。本文件中，我们已使用评分方法举例说明了置信区间的报告。方便起见，我们提供了百分比的评分置信区间公式。</w:t>
      </w:r>
    </w:p>
    <w:p w14:paraId="21825D43">
      <w:pPr>
        <w:adjustRightInd w:val="0"/>
        <w:snapToGrid w:val="0"/>
        <w:spacing w:before="156" w:beforeLines="50" w:line="300" w:lineRule="auto"/>
        <w:rPr>
          <w:rFonts w:asciiTheme="minorBidi" w:hAnsiTheme="minorBidi"/>
          <w:sz w:val="24"/>
        </w:rPr>
      </w:pPr>
      <w:r>
        <w:rPr>
          <w:rFonts w:asciiTheme="minorBidi" w:hAnsiTheme="minorBidi"/>
          <w:sz w:val="24"/>
        </w:rPr>
        <w:t>A/B比例的双侧95%评分置信区间计算方法：</w:t>
      </w:r>
    </w:p>
    <w:p w14:paraId="49127D86">
      <w:pPr>
        <w:adjustRightInd w:val="0"/>
        <w:snapToGrid w:val="0"/>
        <w:spacing w:before="156" w:beforeLines="50" w:line="300" w:lineRule="auto"/>
        <w:textAlignment w:val="center"/>
        <w:rPr>
          <w:rFonts w:asciiTheme="minorBidi" w:hAnsiTheme="minorBidi"/>
          <w:sz w:val="24"/>
        </w:rPr>
      </w:pPr>
      <w:r>
        <w:rPr>
          <w:rFonts w:asciiTheme="minorBidi" w:hAnsiTheme="minorBidi"/>
          <w:sz w:val="24"/>
        </w:rPr>
        <w:drawing>
          <wp:inline distT="0" distB="0" distL="0" distR="0">
            <wp:extent cx="2618740" cy="24701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2619048" cy="247619"/>
                    </a:xfrm>
                    <a:prstGeom prst="rect">
                      <a:avLst/>
                    </a:prstGeom>
                  </pic:spPr>
                </pic:pic>
              </a:graphicData>
            </a:graphic>
          </wp:inline>
        </w:drawing>
      </w:r>
      <w:r>
        <w:rPr>
          <w:rFonts w:asciiTheme="minorBidi" w:hAnsiTheme="minorBidi"/>
          <w:sz w:val="24"/>
        </w:rPr>
        <w:t>，其中数量Q1、Q2和Q3使用以下公式根据数据计算。对于A/B的比例：</w:t>
      </w:r>
    </w:p>
    <w:p w14:paraId="64EBB21F">
      <w:pPr>
        <w:adjustRightInd w:val="0"/>
        <w:snapToGrid w:val="0"/>
        <w:spacing w:before="156" w:beforeLines="50" w:line="300" w:lineRule="auto"/>
        <w:rPr>
          <w:rFonts w:asciiTheme="minorBidi" w:hAnsiTheme="minorBidi"/>
          <w:sz w:val="24"/>
        </w:rPr>
      </w:pPr>
      <w:r>
        <w:rPr>
          <w:rFonts w:asciiTheme="minorBidi" w:hAnsiTheme="minorBidi"/>
          <w:sz w:val="24"/>
        </w:rPr>
        <w:drawing>
          <wp:inline distT="0" distB="0" distL="0" distR="0">
            <wp:extent cx="4371340" cy="7327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371429" cy="733333"/>
                    </a:xfrm>
                    <a:prstGeom prst="rect">
                      <a:avLst/>
                    </a:prstGeom>
                  </pic:spPr>
                </pic:pic>
              </a:graphicData>
            </a:graphic>
          </wp:inline>
        </w:drawing>
      </w:r>
    </w:p>
    <w:p w14:paraId="512B3CFB">
      <w:pPr>
        <w:adjustRightInd w:val="0"/>
        <w:snapToGrid w:val="0"/>
        <w:spacing w:before="156" w:beforeLines="50" w:line="300" w:lineRule="auto"/>
        <w:rPr>
          <w:rFonts w:asciiTheme="minorBidi" w:hAnsiTheme="minorBidi"/>
          <w:sz w:val="24"/>
        </w:rPr>
      </w:pPr>
      <w:r>
        <w:rPr>
          <w:rFonts w:asciiTheme="minorBidi" w:hAnsiTheme="minorBidi"/>
          <w:sz w:val="24"/>
        </w:rPr>
        <w:t>在以上公式中，1.96是标准正太分布的分位数，对应于95%置信。</w:t>
      </w:r>
    </w:p>
    <w:p w14:paraId="75061DA0">
      <w:pPr>
        <w:adjustRightInd w:val="0"/>
        <w:snapToGrid w:val="0"/>
        <w:spacing w:before="156" w:beforeLines="50" w:line="300" w:lineRule="auto"/>
        <w:rPr>
          <w:rFonts w:asciiTheme="minorBidi" w:hAnsiTheme="minorBidi"/>
          <w:sz w:val="24"/>
        </w:rPr>
      </w:pPr>
      <w:r>
        <w:rPr>
          <w:rFonts w:asciiTheme="minorBidi" w:hAnsiTheme="minorBidi"/>
          <w:sz w:val="24"/>
        </w:rPr>
        <w:t>例如比例，如果为（65/70），Q1=133.84，Q2=9.28，且Q3=147.68，则双侧95%评分置信区间为84.3%至96.9%。</w:t>
      </w:r>
    </w:p>
    <w:p w14:paraId="4803F709">
      <w:pPr>
        <w:adjustRightInd w:val="0"/>
        <w:snapToGrid w:val="0"/>
        <w:spacing w:before="156" w:beforeLines="50" w:line="300" w:lineRule="auto"/>
        <w:rPr>
          <w:rFonts w:asciiTheme="minorBidi" w:hAnsiTheme="minorBidi"/>
          <w:b/>
          <w:sz w:val="24"/>
        </w:rPr>
      </w:pPr>
      <w:r>
        <w:rPr>
          <w:rFonts w:asciiTheme="minorBidi" w:hAnsiTheme="minorBidi"/>
          <w:b/>
          <w:sz w:val="24"/>
        </w:rPr>
        <w:t>基于似然比置信区间（患病率为常数）的阳性预测值（PPV）和阴性预测值（NPV）置信区间计算</w:t>
      </w:r>
    </w:p>
    <w:p w14:paraId="1A8E8651">
      <w:pPr>
        <w:adjustRightInd w:val="0"/>
        <w:snapToGrid w:val="0"/>
        <w:spacing w:before="156" w:beforeLines="50" w:line="300" w:lineRule="auto"/>
        <w:rPr>
          <w:rFonts w:asciiTheme="minorBidi" w:hAnsiTheme="minorBidi"/>
          <w:sz w:val="24"/>
        </w:rPr>
      </w:pPr>
      <w:r>
        <w:rPr>
          <w:rFonts w:asciiTheme="minorBidi" w:hAnsiTheme="minorBidi"/>
          <w:sz w:val="24"/>
        </w:rPr>
        <w:t>PPV为（1+PLR-1*（1-π）/π）-1，其中PLR为阳性似然比（PLR=se/（1-sp））；NPV为（1+NLR*π/（1-π））-1 ，其中NLR为阴性似然比（NLR=（1-se）/sp））。π为患病率。对于似然比的95%置信区间计算，使用置信区间计算值计算2种独立比例的比值（Se的估算值和（1-Sp）的估算值计算PLR，（1-Se）的估算值和Sp的估算值计算NLR）。对于似然比的置信区间计算，有一些不同方法可用（参见Altman D.A.，Machin D.，Bryant T.N.，Gardner M.J. eds.</w:t>
      </w:r>
      <w:r>
        <w:rPr>
          <w:rFonts w:asciiTheme="minorBidi" w:hAnsiTheme="minorBidi"/>
          <w:i/>
          <w:iCs/>
          <w:color w:val="000000"/>
          <w:kern w:val="0"/>
          <w:sz w:val="24"/>
          <w:lang w:val="zh-CN"/>
        </w:rPr>
        <w:t xml:space="preserve"> </w:t>
      </w:r>
      <w:r>
        <w:rPr>
          <w:rFonts w:asciiTheme="minorBidi" w:hAnsiTheme="minorBidi"/>
          <w:i/>
          <w:iCs/>
          <w:color w:val="000000"/>
          <w:kern w:val="0"/>
          <w:sz w:val="24"/>
        </w:rPr>
        <w:t xml:space="preserve">Statistics with Confidence. </w:t>
      </w:r>
      <w:r>
        <w:rPr>
          <w:rFonts w:asciiTheme="minorBidi" w:hAnsiTheme="minorBidi"/>
          <w:sz w:val="24"/>
        </w:rPr>
        <w:t>2nd ed. British Medical Journal; 2000, pages 18-110）。我们建议，使用Nam（Nam J. Confidence limits for the ratio of two binomial proportions based on likelihood scores: non-iterative method.Biom J 1995; 37:375-9）的文章中描述的评分方法。使用相应似然比的95%置信区间，可轻易计算相应预测值的95% CI，其中π（患病率）为常数。</w:t>
      </w:r>
    </w:p>
    <w:p w14:paraId="177BB2BA">
      <w:pPr>
        <w:adjustRightInd w:val="0"/>
        <w:snapToGrid w:val="0"/>
        <w:spacing w:before="156" w:beforeLines="50" w:line="300" w:lineRule="auto"/>
        <w:rPr>
          <w:rFonts w:asciiTheme="minorBidi" w:hAnsiTheme="minorBidi"/>
          <w:sz w:val="24"/>
        </w:rPr>
      </w:pPr>
    </w:p>
    <w:p w14:paraId="357E53EE">
      <w:pPr>
        <w:adjustRightInd w:val="0"/>
        <w:snapToGrid w:val="0"/>
        <w:spacing w:before="156" w:beforeLines="50" w:line="300" w:lineRule="auto"/>
        <w:rPr>
          <w:rFonts w:asciiTheme="minorBidi" w:hAnsiTheme="minorBidi"/>
          <w:sz w:val="24"/>
        </w:rPr>
      </w:pPr>
      <w:r>
        <w:rPr>
          <w:rFonts w:asciiTheme="minorBidi" w:hAnsiTheme="minorBidi"/>
          <w:sz w:val="24"/>
        </w:rPr>
        <w:t>注：</w:t>
      </w:r>
    </w:p>
    <w:p w14:paraId="566BD2EE">
      <w:pPr>
        <w:adjustRightInd w:val="0"/>
        <w:snapToGrid w:val="0"/>
        <w:spacing w:before="156" w:beforeLines="50" w:line="300" w:lineRule="auto"/>
        <w:rPr>
          <w:rFonts w:asciiTheme="minorBidi" w:hAnsiTheme="minorBidi"/>
          <w:sz w:val="24"/>
        </w:rPr>
      </w:pPr>
      <w:r>
        <w:rPr>
          <w:rFonts w:asciiTheme="minorBidi" w:hAnsiTheme="minorBidi"/>
          <w:sz w:val="24"/>
        </w:rPr>
        <w:t>假设【L，U】为b的1-r水平置信区间，假设G为参数空间上定义的函数。</w:t>
      </w:r>
    </w:p>
    <w:p w14:paraId="16BE4C98">
      <w:pPr>
        <w:adjustRightInd w:val="0"/>
        <w:snapToGrid w:val="0"/>
        <w:spacing w:before="156" w:beforeLines="50" w:line="300" w:lineRule="auto"/>
        <w:rPr>
          <w:rFonts w:asciiTheme="minorBidi" w:hAnsiTheme="minorBidi"/>
          <w:sz w:val="24"/>
        </w:rPr>
      </w:pPr>
      <w:r>
        <w:rPr>
          <w:rFonts w:asciiTheme="minorBidi" w:hAnsiTheme="minorBidi"/>
          <w:sz w:val="24"/>
        </w:rPr>
        <w:t>如果G升高，则【G（L），G（U）】为G（b）的1-r水平置信区间。如果G降低，则【G（U），G（L）】为G（b）的1-r水平置信区间。</w:t>
      </w:r>
    </w:p>
    <w:p w14:paraId="25B1435E">
      <w:pPr>
        <w:adjustRightInd w:val="0"/>
        <w:snapToGrid w:val="0"/>
        <w:spacing w:before="156" w:beforeLines="50" w:line="300" w:lineRule="auto"/>
        <w:rPr>
          <w:rFonts w:asciiTheme="minorBidi" w:hAnsiTheme="minorBidi"/>
          <w:sz w:val="24"/>
          <w:szCs w:val="32"/>
        </w:rPr>
      </w:pPr>
      <w:r>
        <w:rPr>
          <w:rFonts w:asciiTheme="minorBidi" w:hAnsiTheme="minorBidi"/>
          <w:sz w:val="24"/>
        </w:rPr>
        <w:t>（当π为常数时，函数（1+x</w:t>
      </w:r>
      <w:r>
        <w:rPr>
          <w:rFonts w:asciiTheme="minorBidi" w:hAnsiTheme="minorBidi"/>
          <w:sz w:val="24"/>
          <w:vertAlign w:val="superscript"/>
        </w:rPr>
        <w:t>-1</w:t>
      </w:r>
      <w:r>
        <w:rPr>
          <w:rFonts w:asciiTheme="minorBidi" w:hAnsiTheme="minorBidi"/>
          <w:sz w:val="24"/>
        </w:rPr>
        <w:t>*（1-π）/π）</w:t>
      </w:r>
      <w:r>
        <w:rPr>
          <w:rFonts w:asciiTheme="minorBidi" w:hAnsiTheme="minorBidi"/>
          <w:sz w:val="24"/>
          <w:vertAlign w:val="superscript"/>
        </w:rPr>
        <w:t>-1</w:t>
      </w:r>
      <w:r>
        <w:rPr>
          <w:rFonts w:asciiTheme="minorBidi" w:hAnsiTheme="minorBidi"/>
          <w:sz w:val="24"/>
        </w:rPr>
        <w:t>和（1+x*π/（1-π））</w:t>
      </w:r>
      <w:r>
        <w:rPr>
          <w:rFonts w:asciiTheme="minorBidi" w:hAnsiTheme="minorBidi"/>
          <w:sz w:val="24"/>
          <w:vertAlign w:val="superscript"/>
        </w:rPr>
        <w:t>-1</w:t>
      </w:r>
      <w:r>
        <w:rPr>
          <w:rFonts w:asciiTheme="minorBidi" w:hAnsiTheme="minorBidi"/>
          <w:sz w:val="24"/>
        </w:rPr>
        <w:t>为单调函数。）</w:t>
      </w:r>
    </w:p>
    <w:p w14:paraId="104971A4">
      <w:pPr>
        <w:adjustRightInd w:val="0"/>
        <w:snapToGrid w:val="0"/>
        <w:spacing w:before="156" w:beforeLines="50" w:line="300" w:lineRule="auto"/>
        <w:rPr>
          <w:rFonts w:asciiTheme="minorBidi" w:hAnsiTheme="minorBidi"/>
        </w:rPr>
      </w:pPr>
    </w:p>
    <w:p w14:paraId="729D3A5A">
      <w:pPr>
        <w:adjustRightInd w:val="0"/>
        <w:snapToGrid w:val="0"/>
        <w:spacing w:before="156" w:beforeLines="50" w:line="300" w:lineRule="auto"/>
        <w:rPr>
          <w:rFonts w:hint="eastAsia" w:eastAsia="宋体"/>
          <w:lang w:eastAsia="zh-CN"/>
        </w:rPr>
      </w:pPr>
    </w:p>
    <w:p w14:paraId="580B2487">
      <w:pPr>
        <w:adjustRightInd w:val="0"/>
        <w:snapToGrid w:val="0"/>
        <w:spacing w:before="156" w:beforeLines="50" w:line="300" w:lineRule="auto"/>
        <w:jc w:val="center"/>
        <w:rPr>
          <w:rFonts w:hint="eastAsia" w:eastAsia="宋体"/>
          <w:lang w:eastAsia="zh-CN"/>
        </w:rPr>
      </w:pPr>
    </w:p>
    <w:p w14:paraId="2963E25E">
      <w:pPr>
        <w:adjustRightInd w:val="0"/>
        <w:snapToGrid w:val="0"/>
        <w:spacing w:before="156"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0" name="图片 10" descr="2"/>
            <wp:cNvGraphicFramePr/>
            <a:graphic xmlns:a="http://schemas.openxmlformats.org/drawingml/2006/main">
              <a:graphicData uri="http://schemas.openxmlformats.org/drawingml/2006/picture">
                <pic:pic xmlns:pic="http://schemas.openxmlformats.org/drawingml/2006/picture">
                  <pic:nvPicPr>
                    <pic:cNvPr id="10" name="图片 10"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A77E">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B8B9">
    <w:pPr>
      <w:pStyle w:val="4"/>
      <w:jc w:val="right"/>
      <w:rPr>
        <w:rFonts w:asciiTheme="minorBidi" w:hAnsiTheme="minorBidi"/>
        <w:sz w:val="21"/>
        <w:szCs w:val="21"/>
      </w:rPr>
    </w:pPr>
    <w:r>
      <w:rPr>
        <w:rFonts w:asciiTheme="minorBidi" w:hAnsiTheme="minorBidi"/>
        <w:sz w:val="21"/>
        <w:szCs w:val="21"/>
      </w:rPr>
      <w:fldChar w:fldCharType="begin"/>
    </w:r>
    <w:r>
      <w:rPr>
        <w:rFonts w:asciiTheme="minorBidi" w:hAnsiTheme="minorBidi"/>
        <w:sz w:val="21"/>
        <w:szCs w:val="21"/>
      </w:rPr>
      <w:instrText xml:space="preserve">PAGE   \* MERGEFORMAT</w:instrText>
    </w:r>
    <w:r>
      <w:rPr>
        <w:rFonts w:asciiTheme="minorBidi" w:hAnsiTheme="minorBidi"/>
        <w:sz w:val="21"/>
        <w:szCs w:val="21"/>
      </w:rPr>
      <w:fldChar w:fldCharType="separate"/>
    </w:r>
    <w:r>
      <w:rPr>
        <w:rFonts w:asciiTheme="minorBidi" w:hAnsiTheme="minorBidi"/>
        <w:sz w:val="21"/>
        <w:szCs w:val="21"/>
        <w:lang w:val="zh-CN"/>
      </w:rPr>
      <w:t>18</w:t>
    </w:r>
    <w:r>
      <w:rPr>
        <w:rFonts w:asciiTheme="minorBidi" w:hAnsiTheme="minorBidi"/>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FE33A77">
      <w:pPr>
        <w:pStyle w:val="7"/>
        <w:adjustRightInd w:val="0"/>
        <w:spacing w:before="62" w:beforeLines="20"/>
        <w:ind w:left="360" w:hanging="360" w:hangingChars="200"/>
      </w:pPr>
      <w:r>
        <w:rPr>
          <w:rStyle w:val="13"/>
        </w:rPr>
        <w:footnoteRef/>
      </w:r>
      <w:r>
        <w:t xml:space="preserve"> </w:t>
      </w:r>
      <w:r>
        <w:rPr>
          <w:rFonts w:hint="eastAsia"/>
        </w:rPr>
        <w:tab/>
      </w:r>
      <w:r>
        <w:rPr>
          <w:rFonts w:asciiTheme="minorBidi" w:hAnsiTheme="minorBidi"/>
          <w:szCs w:val="32"/>
        </w:rPr>
        <w:t>如果截止值周围浓度精密度研究的标准差（SD）几乎不变，则：C</w:t>
      </w:r>
      <w:r>
        <w:rPr>
          <w:rFonts w:asciiTheme="minorBidi" w:hAnsiTheme="minorBidi"/>
          <w:szCs w:val="32"/>
          <w:vertAlign w:val="subscript"/>
        </w:rPr>
        <w:t>95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+1.645 × SD，C</w:t>
      </w:r>
      <w:r>
        <w:rPr>
          <w:rFonts w:asciiTheme="minorBidi" w:hAnsiTheme="minorBidi"/>
          <w:szCs w:val="32"/>
          <w:vertAlign w:val="subscript"/>
        </w:rPr>
        <w:t>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- 1.645 × SD。如果截止值周围浓度精密度研究的变异系数（CV）几乎不变，则C</w:t>
      </w:r>
      <w:r>
        <w:rPr>
          <w:rFonts w:asciiTheme="minorBidi" w:hAnsiTheme="minorBidi"/>
          <w:szCs w:val="32"/>
          <w:vertAlign w:val="subscript"/>
        </w:rPr>
        <w:t>95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+ 1.645 × CV × C</w:t>
      </w:r>
      <w:r>
        <w:rPr>
          <w:rFonts w:asciiTheme="minorBidi" w:hAnsiTheme="minorBidi"/>
          <w:szCs w:val="32"/>
          <w:vertAlign w:val="subscript"/>
        </w:rPr>
        <w:t>95</w:t>
      </w:r>
      <w:r>
        <w:rPr>
          <w:rFonts w:asciiTheme="minorBidi" w:hAnsiTheme="minorBidi"/>
          <w:szCs w:val="32"/>
        </w:rPr>
        <w:t>，C</w:t>
      </w:r>
      <w:r>
        <w:rPr>
          <w:rFonts w:asciiTheme="minorBidi" w:hAnsiTheme="minorBidi"/>
          <w:szCs w:val="32"/>
          <w:vertAlign w:val="subscript"/>
        </w:rPr>
        <w:t>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 1.645 × CV × C</w:t>
      </w:r>
      <w:r>
        <w:rPr>
          <w:rFonts w:asciiTheme="minorBidi" w:hAnsiTheme="minorBidi"/>
          <w:szCs w:val="32"/>
          <w:vertAlign w:val="subscript"/>
        </w:rPr>
        <w:t>5</w:t>
      </w:r>
      <w:r>
        <w:rPr>
          <w:rFonts w:asciiTheme="minorBidi" w:hAnsiTheme="minorBidi"/>
          <w:szCs w:val="32"/>
        </w:rPr>
        <w:t>。由此，C</w:t>
      </w:r>
      <w:r>
        <w:rPr>
          <w:rFonts w:asciiTheme="minorBidi" w:hAnsiTheme="minorBidi"/>
          <w:szCs w:val="32"/>
          <w:vertAlign w:val="subscript"/>
        </w:rPr>
        <w:t>95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 (1 – 1.645 × CV)，C</w:t>
      </w:r>
      <w:r>
        <w:rPr>
          <w:rFonts w:asciiTheme="minorBidi" w:hAnsiTheme="minorBidi"/>
          <w:szCs w:val="32"/>
          <w:vertAlign w:val="subscript"/>
        </w:rPr>
        <w:t>5</w:t>
      </w:r>
      <w:r>
        <w:rPr>
          <w:rFonts w:asciiTheme="minorBidi" w:hAnsiTheme="minorBidi"/>
          <w:szCs w:val="32"/>
        </w:rPr>
        <w:t xml:space="preserve"> = C</w:t>
      </w:r>
      <w:r>
        <w:rPr>
          <w:rFonts w:asciiTheme="minorBidi" w:hAnsiTheme="minorBidi"/>
          <w:szCs w:val="32"/>
          <w:vertAlign w:val="subscript"/>
        </w:rPr>
        <w:t>50</w:t>
      </w:r>
      <w:r>
        <w:rPr>
          <w:rFonts w:asciiTheme="minorBidi" w:hAnsiTheme="minorBidi"/>
          <w:szCs w:val="32"/>
        </w:rPr>
        <w:t xml:space="preserve"> / (1 + 1.645 × CV)。</w:t>
      </w:r>
    </w:p>
  </w:footnote>
  <w:footnote w:id="1">
    <w:p w14:paraId="342DA685">
      <w:pPr>
        <w:pStyle w:val="7"/>
      </w:pPr>
      <w:r>
        <w:rPr>
          <w:rStyle w:val="13"/>
        </w:rPr>
        <w:footnoteRef/>
      </w:r>
      <w:r>
        <w:t xml:space="preserve"> </w:t>
      </w:r>
      <w:r>
        <w:rPr>
          <w:rFonts w:hint="eastAsia"/>
        </w:rPr>
        <w:t>一种例外是，如果一例女性出现2次细胞学检查阴性和HPV阳性（连续2年的访视时） – 本情景下，应按照2006年共识指南，将其送往进行阴道镜检查[参考文件13]。本情况下出现的偏差不可避免，因为患者健康最重要。</w:t>
      </w:r>
    </w:p>
  </w:footnote>
  <w:footnote w:id="2">
    <w:p w14:paraId="1C74472C">
      <w:pPr>
        <w:pStyle w:val="7"/>
      </w:pPr>
      <w:r>
        <w:rPr>
          <w:rStyle w:val="13"/>
        </w:rPr>
        <w:footnoteRef/>
      </w:r>
      <w:r>
        <w:t xml:space="preserve"> http://www.fda.gov/MedicalDevices/DeviceRegulationandGuidance/GuidanceDocuments/ucm070974.htm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721A">
    <w:pPr>
      <w:pStyle w:val="5"/>
      <w:adjustRightInd w:val="0"/>
      <w:spacing w:after="120" w:afterLines="50"/>
      <w:jc w:val="center"/>
      <w:rPr>
        <w:b/>
        <w:bCs/>
        <w:i/>
        <w:iCs/>
        <w:sz w:val="24"/>
      </w:rPr>
    </w:pPr>
    <w:r>
      <w:rPr>
        <w:rFonts w:hint="eastAsia"/>
        <w:b/>
        <w:bCs/>
        <w:i/>
        <w:iCs/>
        <w:sz w:val="24"/>
      </w:rPr>
      <w:t>含无约束力的建议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9470C"/>
    <w:multiLevelType w:val="multilevel"/>
    <w:tmpl w:val="1289470C"/>
    <w:lvl w:ilvl="0" w:tentative="0">
      <w:start w:val="25"/>
      <w:numFmt w:val="bullet"/>
      <w:lvlText w:val=""/>
      <w:lvlJc w:val="left"/>
      <w:pPr>
        <w:ind w:left="360" w:hanging="36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1257889"/>
    <w:multiLevelType w:val="multilevel"/>
    <w:tmpl w:val="41257889"/>
    <w:lvl w:ilvl="0" w:tentative="0">
      <w:start w:val="1"/>
      <w:numFmt w:val="upperRoman"/>
      <w:lvlText w:val="%1."/>
      <w:lvlJc w:val="left"/>
      <w:pPr>
        <w:ind w:left="420" w:hanging="420"/>
      </w:pPr>
      <w:rPr>
        <w:rFonts w:hint="eastAsia"/>
      </w:rPr>
    </w:lvl>
    <w:lvl w:ilvl="1" w:tentative="0">
      <w:start w:val="1"/>
      <w:numFmt w:val="upperLetter"/>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A41C3"/>
    <w:multiLevelType w:val="multilevel"/>
    <w:tmpl w:val="438A41C3"/>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070A3F"/>
    <w:multiLevelType w:val="multilevel"/>
    <w:tmpl w:val="61070A3F"/>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4">
    <w:nsid w:val="71DB2D7C"/>
    <w:multiLevelType w:val="multilevel"/>
    <w:tmpl w:val="71DB2D7C"/>
    <w:lvl w:ilvl="0" w:tentative="0">
      <w:start w:val="1"/>
      <w:numFmt w:val="decimal"/>
      <w:lvlText w:val="%1."/>
      <w:lvlJc w:val="left"/>
      <w:pPr>
        <w:ind w:left="1128" w:hanging="420"/>
      </w:pPr>
    </w:lvl>
    <w:lvl w:ilvl="1" w:tentative="0">
      <w:start w:val="1"/>
      <w:numFmt w:val="lowerLetter"/>
      <w:lvlText w:val="%2)"/>
      <w:lvlJc w:val="left"/>
      <w:pPr>
        <w:ind w:left="1548" w:hanging="420"/>
      </w:pPr>
    </w:lvl>
    <w:lvl w:ilvl="2" w:tentative="0">
      <w:start w:val="1"/>
      <w:numFmt w:val="decimal"/>
      <w:lvlText w:val="%3."/>
      <w:lvlJc w:val="lef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
    <w:nsid w:val="7AB6701F"/>
    <w:multiLevelType w:val="multilevel"/>
    <w:tmpl w:val="7AB6701F"/>
    <w:lvl w:ilvl="0" w:tentative="0">
      <w:start w:val="1"/>
      <w:numFmt w:val="decimal"/>
      <w:lvlText w:val="%1."/>
      <w:lvlJc w:val="left"/>
      <w:pPr>
        <w:ind w:left="362" w:hanging="36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D0AC7"/>
    <w:rsid w:val="001D3DE8"/>
    <w:rsid w:val="00254DA7"/>
    <w:rsid w:val="00281478"/>
    <w:rsid w:val="00323537"/>
    <w:rsid w:val="00367F82"/>
    <w:rsid w:val="003A4530"/>
    <w:rsid w:val="00426F8D"/>
    <w:rsid w:val="004F3041"/>
    <w:rsid w:val="005433D4"/>
    <w:rsid w:val="00544B0A"/>
    <w:rsid w:val="005621CE"/>
    <w:rsid w:val="00575B42"/>
    <w:rsid w:val="005976B6"/>
    <w:rsid w:val="005A59E2"/>
    <w:rsid w:val="006462E1"/>
    <w:rsid w:val="006B056B"/>
    <w:rsid w:val="006B725E"/>
    <w:rsid w:val="006E4802"/>
    <w:rsid w:val="00723BC9"/>
    <w:rsid w:val="007626B3"/>
    <w:rsid w:val="00793AF9"/>
    <w:rsid w:val="007D7FA6"/>
    <w:rsid w:val="0081263F"/>
    <w:rsid w:val="008A43A4"/>
    <w:rsid w:val="008A78CD"/>
    <w:rsid w:val="00903B35"/>
    <w:rsid w:val="00903D22"/>
    <w:rsid w:val="00911D48"/>
    <w:rsid w:val="009F48F4"/>
    <w:rsid w:val="00A57DBC"/>
    <w:rsid w:val="00A84C73"/>
    <w:rsid w:val="00AD3C0A"/>
    <w:rsid w:val="00AF08E8"/>
    <w:rsid w:val="00CC79D8"/>
    <w:rsid w:val="00DA6E2F"/>
    <w:rsid w:val="00E10D91"/>
    <w:rsid w:val="00E27A61"/>
    <w:rsid w:val="00F42422"/>
    <w:rsid w:val="00F943F0"/>
    <w:rsid w:val="00FF0C44"/>
    <w:rsid w:val="269B081F"/>
    <w:rsid w:val="2D024AB5"/>
    <w:rsid w:val="37081575"/>
    <w:rsid w:val="56DE012F"/>
    <w:rsid w:val="76FB6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39"/>
    <w:pPr>
      <w:ind w:left="840" w:leftChars="400"/>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39"/>
  </w:style>
  <w:style w:type="paragraph" w:styleId="7">
    <w:name w:val="footnote text"/>
    <w:basedOn w:val="1"/>
    <w:link w:val="16"/>
    <w:qFormat/>
    <w:uiPriority w:val="0"/>
    <w:pPr>
      <w:snapToGrid w:val="0"/>
      <w:jc w:val="left"/>
    </w:pPr>
    <w:rPr>
      <w:sz w:val="18"/>
      <w:szCs w:val="18"/>
    </w:rPr>
  </w:style>
  <w:style w:type="paragraph" w:styleId="8">
    <w:name w:val="toc 2"/>
    <w:basedOn w:val="1"/>
    <w:next w:val="1"/>
    <w:autoRedefine/>
    <w:qFormat/>
    <w:uiPriority w:val="39"/>
    <w:pPr>
      <w:ind w:left="420" w:leftChars="200"/>
    </w:p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563C1" w:themeColor="hyperlink"/>
      <w:u w:val="single"/>
      <w14:textFill>
        <w14:solidFill>
          <w14:schemeClr w14:val="hlink"/>
        </w14:solidFill>
      </w14:textFill>
    </w:rPr>
  </w:style>
  <w:style w:type="character" w:styleId="13">
    <w:name w:val="footnote reference"/>
    <w:basedOn w:val="11"/>
    <w:qFormat/>
    <w:uiPriority w:val="0"/>
    <w:rPr>
      <w:vertAlign w:val="superscript"/>
    </w:rPr>
  </w:style>
  <w:style w:type="paragraph" w:customStyle="1" w:styleId="14">
    <w:name w:val="列出段落1"/>
    <w:basedOn w:val="1"/>
    <w:qFormat/>
    <w:uiPriority w:val="99"/>
    <w:pPr>
      <w:ind w:firstLine="420" w:firstLineChars="200"/>
    </w:pPr>
  </w:style>
  <w:style w:type="character" w:customStyle="1" w:styleId="15">
    <w:name w:val="批注框文本 Char"/>
    <w:basedOn w:val="11"/>
    <w:link w:val="3"/>
    <w:uiPriority w:val="0"/>
    <w:rPr>
      <w:kern w:val="2"/>
      <w:sz w:val="18"/>
      <w:szCs w:val="18"/>
    </w:rPr>
  </w:style>
  <w:style w:type="character" w:customStyle="1" w:styleId="16">
    <w:name w:val="脚注文本 Char"/>
    <w:basedOn w:val="11"/>
    <w:link w:val="7"/>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D9967-FE47-43B2-947C-BBFA6715931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17732</Words>
  <Characters>20447</Characters>
  <Lines>1583</Lines>
  <Paragraphs>2381</Paragraphs>
  <TotalTime>0</TotalTime>
  <ScaleCrop>false</ScaleCrop>
  <LinksUpToDate>false</LinksUpToDate>
  <CharactersWithSpaces>20602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2017-04-11T09:27:00Z</dcterms:created>
  <dc:creator>89lix</dc:creator>
  <cp:lastModifiedBy>太极箫客</cp:lastModifiedBy>
  <dcterms:modified xsi:type="dcterms:W3CDTF">2025-08-14T07:11:52Z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F22C08D2D307456392C36CE28D45DC20_12</vt:lpwstr>
  </property>
</Properties>
</file>