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1603">
      <w:pPr>
        <w:pStyle w:val="7"/>
        <w:snapToGrid w:val="0"/>
        <w:spacing w:before="201" w:line="300" w:lineRule="auto"/>
        <w:ind w:left="0"/>
        <w:jc w:val="center"/>
        <w:rPr>
          <w:rFonts w:ascii="Arial" w:hAnsi="Arial" w:eastAsia="宋体" w:cs="Arial"/>
          <w:b/>
          <w:sz w:val="44"/>
          <w:szCs w:val="44"/>
          <w:lang w:eastAsia="zh-CN"/>
        </w:rPr>
      </w:pPr>
      <w:bookmarkStart w:id="18" w:name="_GoBack"/>
      <w:bookmarkEnd w:id="18"/>
      <w:r>
        <w:rPr>
          <w:rFonts w:ascii="Arial" w:hAnsi="Arial" w:eastAsia="宋体" w:cs="Arial"/>
          <w:b/>
          <w:sz w:val="44"/>
          <w:szCs w:val="44"/>
          <w:lang w:eastAsia="zh-CN"/>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974725</wp:posOffset>
                </wp:positionV>
                <wp:extent cx="5622290" cy="0"/>
                <wp:effectExtent l="0" t="0" r="35560" b="19050"/>
                <wp:wrapNone/>
                <wp:docPr id="10" name="直接连接符 10"/>
                <wp:cNvGraphicFramePr/>
                <a:graphic xmlns:a="http://schemas.openxmlformats.org/drawingml/2006/main">
                  <a:graphicData uri="http://schemas.microsoft.com/office/word/2010/wordprocessingShape">
                    <wps:wsp>
                      <wps:cNvCnPr/>
                      <wps:spPr>
                        <a:xfrm>
                          <a:off x="0" y="0"/>
                          <a:ext cx="56223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5pt;margin-top:76.75pt;height:0pt;width:442.7pt;z-index:251659264;mso-width-relative:page;mso-height-relative:page;" filled="f" stroked="t" coordsize="21600,21600" o:gfxdata="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9HUbH1gAAAAkBAAAPAAAAAAAAAAEA&#10;IAAAACIAAABkcnMvZG93bnJldi54bWxQSwECFAAUAAAACACHTuJAcPMuv9gBAACcAwAADgAAAAAA&#10;AAABACAAAAAlAQAAZHJzL2Uyb0RvYy54bWxQSwUGAAAAAAYABgBZAQAAbwUAAAAA&#10;">
                <v:fill on="f" focussize="0,0"/>
                <v:stroke color="#000000 [3213]" joinstyle="round"/>
                <v:imagedata o:title=""/>
                <o:lock v:ext="edit" aspectratio="f"/>
              </v:line>
            </w:pict>
          </mc:Fallback>
        </mc:AlternateContent>
      </w:r>
      <w:r>
        <w:rPr>
          <w:rFonts w:ascii="Arial" w:hAnsi="Arial" w:eastAsia="宋体" w:cs="Arial"/>
          <w:b/>
          <w:sz w:val="44"/>
          <w:szCs w:val="44"/>
          <w:lang w:eastAsia="zh-CN"/>
        </w:rPr>
        <w:t>确定用于检测伯氏疏螺旋体抗体的体外诊断器械的性能特性</w:t>
      </w:r>
    </w:p>
    <w:p w14:paraId="3AE19338">
      <w:pPr>
        <w:pStyle w:val="7"/>
        <w:snapToGrid w:val="0"/>
        <w:spacing w:before="201" w:line="300" w:lineRule="auto"/>
        <w:ind w:left="0"/>
        <w:jc w:val="center"/>
        <w:rPr>
          <w:rFonts w:ascii="Arial" w:hAnsi="Arial" w:eastAsia="宋体" w:cs="Arial"/>
          <w:b/>
          <w:sz w:val="44"/>
          <w:szCs w:val="44"/>
          <w:lang w:eastAsia="zh-CN"/>
        </w:rPr>
      </w:pPr>
      <w:r>
        <w:rPr>
          <w:rFonts w:ascii="Arial" w:hAnsi="Arial" w:eastAsia="宋体" w:cs="Arial"/>
          <w:b/>
          <w:sz w:val="44"/>
          <w:szCs w:val="44"/>
          <w:lang w:eastAsia="zh-CN"/>
        </w:rPr>
        <w:t>行业和食品药品监督管理局工作人员指南</w:t>
      </w:r>
    </w:p>
    <w:p w14:paraId="51981741">
      <w:pPr>
        <w:snapToGrid w:val="0"/>
        <w:spacing w:line="300" w:lineRule="auto"/>
        <w:jc w:val="center"/>
        <w:rPr>
          <w:rFonts w:ascii="Arial" w:hAnsi="Arial" w:eastAsia="宋体" w:cs="Arial"/>
          <w:b/>
          <w:bCs/>
          <w:sz w:val="28"/>
          <w:szCs w:val="28"/>
          <w:lang w:eastAsia="zh-CN"/>
        </w:rPr>
      </w:pPr>
      <w:r>
        <w:rPr>
          <w:rFonts w:ascii="Arial" w:hAnsi="Arial" w:eastAsia="宋体" w:cs="Arial"/>
          <w:b/>
          <w:bCs/>
          <w:sz w:val="28"/>
          <w:szCs w:val="28"/>
          <w:lang w:eastAsia="zh-CN"/>
        </w:rPr>
        <w:t>发布日期：2013年3月28日</w:t>
      </w:r>
    </w:p>
    <w:p w14:paraId="5FB09029">
      <w:pPr>
        <w:snapToGrid w:val="0"/>
        <w:spacing w:line="300" w:lineRule="auto"/>
        <w:jc w:val="center"/>
        <w:rPr>
          <w:rFonts w:ascii="Arial" w:hAnsi="Arial" w:eastAsia="宋体" w:cs="Arial"/>
          <w:b/>
          <w:bCs/>
          <w:sz w:val="28"/>
          <w:szCs w:val="28"/>
          <w:lang w:eastAsia="zh-CN"/>
        </w:rPr>
      </w:pPr>
      <w:r>
        <w:rPr>
          <w:rFonts w:ascii="Arial" w:hAnsi="Arial" w:eastAsia="宋体" w:cs="Arial"/>
          <w:b/>
          <w:bCs/>
          <w:sz w:val="28"/>
          <w:szCs w:val="28"/>
          <w:lang w:eastAsia="zh-CN"/>
        </w:rPr>
        <w:t>本文件草案于2011年1月5日发布。</w:t>
      </w:r>
    </w:p>
    <w:p w14:paraId="5DCC7C29">
      <w:pPr>
        <w:pStyle w:val="7"/>
        <w:snapToGrid w:val="0"/>
        <w:spacing w:before="201" w:line="300" w:lineRule="auto"/>
        <w:ind w:left="0"/>
        <w:jc w:val="both"/>
        <w:rPr>
          <w:rFonts w:ascii="Arial" w:hAnsi="Arial" w:eastAsia="宋体" w:cs="Arial"/>
          <w:lang w:eastAsia="zh-CN"/>
        </w:rPr>
      </w:pPr>
    </w:p>
    <w:p w14:paraId="33D0D4E7">
      <w:pPr>
        <w:pStyle w:val="7"/>
        <w:snapToGrid w:val="0"/>
        <w:spacing w:before="201" w:line="300" w:lineRule="auto"/>
        <w:ind w:left="0"/>
        <w:jc w:val="both"/>
        <w:rPr>
          <w:rFonts w:ascii="Arial" w:hAnsi="Arial" w:eastAsia="宋体" w:cs="Arial"/>
          <w:lang w:eastAsia="zh-CN"/>
        </w:rPr>
      </w:pPr>
    </w:p>
    <w:p w14:paraId="37A2FA71">
      <w:pPr>
        <w:pStyle w:val="7"/>
        <w:snapToGrid w:val="0"/>
        <w:spacing w:before="201" w:line="300" w:lineRule="auto"/>
        <w:ind w:left="0"/>
        <w:jc w:val="both"/>
        <w:rPr>
          <w:rFonts w:ascii="Arial" w:hAnsi="Arial" w:eastAsia="宋体" w:cs="Arial"/>
          <w:lang w:eastAsia="zh-CN"/>
        </w:rPr>
      </w:pPr>
    </w:p>
    <w:p w14:paraId="635123A9">
      <w:pPr>
        <w:pStyle w:val="7"/>
        <w:snapToGrid w:val="0"/>
        <w:spacing w:before="201" w:line="300" w:lineRule="auto"/>
        <w:ind w:left="0"/>
        <w:jc w:val="both"/>
        <w:rPr>
          <w:rFonts w:ascii="Arial" w:hAnsi="Arial" w:eastAsia="宋体" w:cs="Arial"/>
          <w:lang w:eastAsia="zh-CN"/>
        </w:rPr>
      </w:pPr>
      <w:r>
        <w:rPr>
          <w:rFonts w:ascii="Arial" w:hAnsi="Arial" w:eastAsia="宋体" w:cs="Arial"/>
          <w:lang w:eastAsia="zh-CN"/>
        </w:rPr>
        <w:t>有关本文件的问题，请以电话301-796-6203或电子邮件prasad.rao@fda.hhs.gov联系Prasad Rao博士。</w:t>
      </w:r>
    </w:p>
    <w:p w14:paraId="0A3AB659">
      <w:pPr>
        <w:snapToGrid w:val="0"/>
        <w:spacing w:before="6" w:line="300" w:lineRule="auto"/>
        <w:jc w:val="both"/>
        <w:rPr>
          <w:rFonts w:ascii="Arial" w:hAnsi="Arial" w:eastAsia="宋体" w:cs="Arial"/>
          <w:sz w:val="24"/>
          <w:szCs w:val="24"/>
          <w:lang w:eastAsia="zh-CN"/>
        </w:rPr>
      </w:pPr>
      <w:r>
        <w:rPr>
          <w:rFonts w:ascii="Arial" w:hAnsi="Arial" w:eastAsia="宋体" w:cs="Arial"/>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87630</wp:posOffset>
                </wp:positionV>
                <wp:extent cx="1939925" cy="13716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940010"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7619D">
                            <w:r>
                              <w:rPr>
                                <w:rFonts w:ascii="Arial" w:hAnsi="Arial" w:eastAsia="宋体" w:cs="Arial"/>
                                <w:lang w:eastAsia="zh-CN"/>
                              </w:rPr>
                              <w:drawing>
                                <wp:inline distT="0" distB="0" distL="0" distR="0">
                                  <wp:extent cx="1191260" cy="1238885"/>
                                  <wp:effectExtent l="0" t="0" r="0" b="0"/>
                                  <wp:docPr id="1" name="image1.jpeg" descr="Center for Devices and Radiologic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enter for Devices and Radiological Health"/>
                                          <pic:cNvPicPr>
                                            <a:picLocks noChangeAspect="1"/>
                                          </pic:cNvPicPr>
                                        </pic:nvPicPr>
                                        <pic:blipFill>
                                          <a:blip r:embed="rId7" cstate="print"/>
                                          <a:stretch>
                                            <a:fillRect/>
                                          </a:stretch>
                                        </pic:blipFill>
                                        <pic:spPr>
                                          <a:xfrm>
                                            <a:off x="0" y="0"/>
                                            <a:ext cx="1191882" cy="12388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pt;margin-top:6.9pt;height:108pt;width:152.75pt;z-index:251660288;mso-width-relative:page;mso-height-relative:page;" filled="f" stroked="f" coordsize="21600,21600" o:gfxdata="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xUkcHZAAAACAEAAA8AAAAAAAAAAQAgAAAA&#10;IgAAAGRycy9kb3ducmV2LnhtbFBLAQIUABQAAAAIAIdO4kCBAZwaQwIAAHcEAAAOAAAAAAAAAAEA&#10;IAAAACgBAABkcnMvZTJvRG9jLnhtbFBLBQYAAAAABgAGAFkBAADdBQAAAAA=&#10;">
                <v:fill on="f" focussize="0,0"/>
                <v:stroke on="f" weight="0.5pt"/>
                <v:imagedata o:title=""/>
                <o:lock v:ext="edit" aspectratio="f"/>
                <v:textbox>
                  <w:txbxContent>
                    <w:p w14:paraId="3F57619D">
                      <w:r>
                        <w:rPr>
                          <w:rFonts w:ascii="Arial" w:hAnsi="Arial" w:eastAsia="宋体" w:cs="Arial"/>
                          <w:lang w:eastAsia="zh-CN"/>
                        </w:rPr>
                        <w:drawing>
                          <wp:inline distT="0" distB="0" distL="0" distR="0">
                            <wp:extent cx="1191260" cy="1238885"/>
                            <wp:effectExtent l="0" t="0" r="0" b="0"/>
                            <wp:docPr id="1" name="image1.jpeg" descr="Center for Devices and Radiologic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enter for Devices and Radiological Health"/>
                                    <pic:cNvPicPr>
                                      <a:picLocks noChangeAspect="1"/>
                                    </pic:cNvPicPr>
                                  </pic:nvPicPr>
                                  <pic:blipFill>
                                    <a:blip r:embed="rId7" cstate="print"/>
                                    <a:stretch>
                                      <a:fillRect/>
                                    </a:stretch>
                                  </pic:blipFill>
                                  <pic:spPr>
                                    <a:xfrm>
                                      <a:off x="0" y="0"/>
                                      <a:ext cx="1191882" cy="1238889"/>
                                    </a:xfrm>
                                    <a:prstGeom prst="rect">
                                      <a:avLst/>
                                    </a:prstGeom>
                                  </pic:spPr>
                                </pic:pic>
                              </a:graphicData>
                            </a:graphic>
                          </wp:inline>
                        </w:drawing>
                      </w:r>
                    </w:p>
                  </w:txbxContent>
                </v:textbox>
              </v:shape>
            </w:pict>
          </mc:Fallback>
        </mc:AlternateContent>
      </w:r>
    </w:p>
    <w:p w14:paraId="70AEEEFC">
      <w:pPr>
        <w:snapToGrid w:val="0"/>
        <w:spacing w:before="6" w:line="300" w:lineRule="auto"/>
        <w:jc w:val="both"/>
        <w:rPr>
          <w:rFonts w:ascii="Arial" w:hAnsi="Arial" w:eastAsia="宋体" w:cs="Arial"/>
          <w:sz w:val="24"/>
          <w:szCs w:val="24"/>
          <w:lang w:eastAsia="zh-CN"/>
        </w:rPr>
      </w:pPr>
    </w:p>
    <w:p w14:paraId="0087BF65">
      <w:pPr>
        <w:snapToGrid w:val="0"/>
        <w:spacing w:before="6" w:line="300" w:lineRule="auto"/>
        <w:jc w:val="both"/>
        <w:rPr>
          <w:rFonts w:ascii="Arial" w:hAnsi="Arial" w:eastAsia="宋体" w:cs="Arial"/>
          <w:sz w:val="24"/>
          <w:szCs w:val="24"/>
          <w:lang w:eastAsia="zh-CN"/>
        </w:rPr>
      </w:pPr>
    </w:p>
    <w:p w14:paraId="3E116BE4">
      <w:pPr>
        <w:snapToGrid w:val="0"/>
        <w:spacing w:before="6" w:line="300" w:lineRule="auto"/>
        <w:jc w:val="both"/>
        <w:rPr>
          <w:rFonts w:ascii="Arial" w:hAnsi="Arial" w:eastAsia="宋体" w:cs="Arial"/>
          <w:sz w:val="24"/>
          <w:szCs w:val="24"/>
          <w:lang w:eastAsia="zh-CN"/>
        </w:rPr>
      </w:pPr>
    </w:p>
    <w:p w14:paraId="534A196D">
      <w:pPr>
        <w:snapToGrid w:val="0"/>
        <w:spacing w:before="6" w:line="300" w:lineRule="auto"/>
        <w:jc w:val="both"/>
        <w:rPr>
          <w:rFonts w:ascii="Arial" w:hAnsi="Arial" w:eastAsia="宋体" w:cs="Arial"/>
          <w:sz w:val="24"/>
          <w:szCs w:val="24"/>
          <w:lang w:eastAsia="zh-CN"/>
        </w:rPr>
      </w:pPr>
    </w:p>
    <w:p w14:paraId="06F048E3">
      <w:pPr>
        <w:snapToGrid w:val="0"/>
        <w:spacing w:before="6" w:line="300" w:lineRule="auto"/>
        <w:jc w:val="both"/>
        <w:rPr>
          <w:rFonts w:ascii="Arial" w:hAnsi="Arial" w:eastAsia="宋体" w:cs="Arial"/>
          <w:sz w:val="24"/>
          <w:szCs w:val="24"/>
          <w:lang w:eastAsia="zh-CN"/>
        </w:rPr>
      </w:pPr>
    </w:p>
    <w:p w14:paraId="4D0CBC36">
      <w:pPr>
        <w:snapToGrid w:val="0"/>
        <w:spacing w:before="6" w:line="300" w:lineRule="auto"/>
        <w:jc w:val="both"/>
        <w:rPr>
          <w:rFonts w:ascii="Arial" w:hAnsi="Arial" w:eastAsia="宋体" w:cs="Arial"/>
          <w:sz w:val="24"/>
          <w:szCs w:val="24"/>
          <w:lang w:eastAsia="zh-CN"/>
        </w:rPr>
      </w:pPr>
    </w:p>
    <w:p w14:paraId="4FCE644A">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美国卫生及公众服务部</w:t>
      </w:r>
    </w:p>
    <w:p w14:paraId="46590F41">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食品药品监督管理局</w:t>
      </w:r>
    </w:p>
    <w:p w14:paraId="2CF1EB5E">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器械与放射健康中心</w:t>
      </w:r>
    </w:p>
    <w:p w14:paraId="7B327727">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体外诊断和放射健康办公室</w:t>
      </w:r>
    </w:p>
    <w:p w14:paraId="2D464E85">
      <w:pPr>
        <w:snapToGrid w:val="0"/>
        <w:spacing w:line="300" w:lineRule="auto"/>
        <w:jc w:val="right"/>
        <w:rPr>
          <w:rFonts w:ascii="Arial" w:hAnsi="Arial" w:eastAsia="宋体" w:cs="Arial"/>
          <w:b/>
          <w:sz w:val="24"/>
          <w:szCs w:val="24"/>
          <w:lang w:eastAsia="zh-CN"/>
        </w:rPr>
      </w:pPr>
      <w:r>
        <w:rPr>
          <w:rFonts w:ascii="Arial" w:hAnsi="Arial" w:eastAsia="宋体" w:cs="Arial"/>
          <w:b/>
          <w:sz w:val="24"/>
          <w:szCs w:val="24"/>
          <w:lang w:eastAsia="zh-CN"/>
        </w:rPr>
        <w:t>微生物学器械部</w:t>
      </w:r>
    </w:p>
    <w:p w14:paraId="1E48064D">
      <w:pPr>
        <w:snapToGrid w:val="0"/>
        <w:spacing w:line="300" w:lineRule="auto"/>
        <w:jc w:val="both"/>
        <w:rPr>
          <w:rFonts w:ascii="Arial" w:hAnsi="Arial" w:eastAsia="宋体" w:cs="Arial"/>
          <w:sz w:val="24"/>
          <w:szCs w:val="24"/>
          <w:lang w:eastAsia="zh-CN"/>
        </w:rPr>
      </w:pPr>
    </w:p>
    <w:p w14:paraId="284F3035">
      <w:pPr>
        <w:snapToGrid w:val="0"/>
        <w:spacing w:line="300" w:lineRule="auto"/>
        <w:jc w:val="both"/>
        <w:rPr>
          <w:rFonts w:ascii="Arial" w:hAnsi="Arial" w:eastAsia="宋体" w:cs="Arial"/>
          <w:sz w:val="24"/>
          <w:szCs w:val="24"/>
          <w:lang w:eastAsia="zh-CN"/>
        </w:rPr>
        <w:sectPr>
          <w:headerReference r:id="rId3" w:type="default"/>
          <w:type w:val="continuous"/>
          <w:pgSz w:w="12260" w:h="15840"/>
          <w:pgMar w:top="1500" w:right="1500" w:bottom="280" w:left="1700" w:header="720" w:footer="720" w:gutter="0"/>
          <w:cols w:space="720" w:num="1"/>
        </w:sectPr>
      </w:pPr>
    </w:p>
    <w:p w14:paraId="5483FE08">
      <w:pPr>
        <w:snapToGrid w:val="0"/>
        <w:spacing w:before="3" w:line="300" w:lineRule="auto"/>
        <w:jc w:val="both"/>
        <w:rPr>
          <w:rFonts w:ascii="Arial" w:hAnsi="Arial" w:eastAsia="宋体" w:cs="Arial"/>
          <w:b/>
          <w:bCs/>
          <w:sz w:val="21"/>
          <w:szCs w:val="21"/>
          <w:lang w:eastAsia="zh-CN"/>
        </w:rPr>
      </w:pPr>
    </w:p>
    <w:p w14:paraId="48AC02E5">
      <w:pPr>
        <w:snapToGrid w:val="0"/>
        <w:spacing w:before="38" w:line="300" w:lineRule="auto"/>
        <w:jc w:val="center"/>
        <w:rPr>
          <w:rFonts w:ascii="Arial" w:hAnsi="Arial" w:eastAsia="宋体" w:cs="Arial"/>
          <w:sz w:val="48"/>
          <w:szCs w:val="48"/>
          <w:lang w:eastAsia="zh-CN"/>
        </w:rPr>
      </w:pPr>
      <w:r>
        <w:rPr>
          <w:rFonts w:ascii="Arial" w:hAnsi="Arial" w:eastAsia="宋体" w:cs="Arial"/>
          <w:b/>
          <w:sz w:val="48"/>
          <w:lang w:eastAsia="zh-CN"/>
        </w:rPr>
        <w:t>前言</w:t>
      </w:r>
    </w:p>
    <w:p w14:paraId="474341EB">
      <w:pPr>
        <w:snapToGrid w:val="0"/>
        <w:spacing w:line="300" w:lineRule="auto"/>
        <w:jc w:val="both"/>
        <w:rPr>
          <w:rFonts w:ascii="Arial" w:hAnsi="Arial" w:eastAsia="宋体" w:cs="Arial"/>
          <w:b/>
          <w:bCs/>
          <w:sz w:val="20"/>
          <w:szCs w:val="20"/>
          <w:lang w:eastAsia="zh-CN"/>
        </w:rPr>
      </w:pPr>
    </w:p>
    <w:p w14:paraId="4471DCC2">
      <w:pPr>
        <w:snapToGrid w:val="0"/>
        <w:spacing w:line="300" w:lineRule="auto"/>
        <w:jc w:val="both"/>
        <w:rPr>
          <w:rFonts w:ascii="Arial" w:hAnsi="Arial" w:eastAsia="宋体" w:cs="Arial"/>
          <w:b/>
          <w:bCs/>
          <w:sz w:val="20"/>
          <w:szCs w:val="20"/>
          <w:lang w:eastAsia="zh-CN"/>
        </w:rPr>
      </w:pPr>
    </w:p>
    <w:p w14:paraId="74FE302C">
      <w:pPr>
        <w:snapToGrid w:val="0"/>
        <w:spacing w:before="4" w:line="300" w:lineRule="auto"/>
        <w:jc w:val="both"/>
        <w:rPr>
          <w:rFonts w:ascii="Arial" w:hAnsi="Arial" w:eastAsia="宋体" w:cs="Arial"/>
          <w:b/>
          <w:bCs/>
          <w:sz w:val="27"/>
          <w:szCs w:val="27"/>
          <w:lang w:eastAsia="zh-CN"/>
        </w:rPr>
      </w:pPr>
    </w:p>
    <w:p w14:paraId="1CD6BF11">
      <w:pPr>
        <w:snapToGrid w:val="0"/>
        <w:spacing w:line="300" w:lineRule="auto"/>
        <w:jc w:val="both"/>
        <w:rPr>
          <w:rFonts w:ascii="Arial" w:hAnsi="Arial" w:eastAsia="宋体" w:cs="Arial"/>
          <w:sz w:val="24"/>
          <w:szCs w:val="24"/>
          <w:lang w:eastAsia="zh-CN"/>
        </w:rPr>
      </w:pPr>
      <w:r>
        <w:rPr>
          <w:rFonts w:ascii="Arial" w:hAnsi="Arial" w:eastAsia="宋体" w:cs="Arial"/>
          <w:b/>
          <w:sz w:val="36"/>
          <w:lang w:eastAsia="zh-CN"/>
        </w:rPr>
        <w:t>公众评论</w:t>
      </w:r>
    </w:p>
    <w:p w14:paraId="50AF0163">
      <w:pPr>
        <w:pStyle w:val="7"/>
        <w:snapToGrid w:val="0"/>
        <w:spacing w:before="276" w:line="300" w:lineRule="auto"/>
        <w:ind w:left="0"/>
        <w:jc w:val="both"/>
        <w:rPr>
          <w:rFonts w:ascii="Arial" w:hAnsi="Arial" w:eastAsia="宋体" w:cs="Arial"/>
          <w:lang w:eastAsia="zh-CN"/>
        </w:rPr>
      </w:pPr>
      <w:r>
        <w:rPr>
          <w:rFonts w:ascii="Arial" w:hAnsi="Arial" w:eastAsia="宋体" w:cs="Arial"/>
          <w:lang w:eastAsia="zh-CN"/>
        </w:rPr>
        <w:t>贵公司可以随时提交书面评论和建议至食品药品监督管理局，文件管理部（5630 Fishers Lane，rm。1061，（HFA-305），Rockville，MD，20852），供部门审议。电子评论请提交至</w:t>
      </w:r>
      <w:r>
        <w:fldChar w:fldCharType="begin"/>
      </w:r>
      <w:r>
        <w:instrText xml:space="preserve"> HYPERLINK "http://www.regulations.gov" </w:instrText>
      </w:r>
      <w:r>
        <w:fldChar w:fldCharType="separate"/>
      </w:r>
      <w:r>
        <w:rPr>
          <w:rStyle w:val="17"/>
          <w:rFonts w:ascii="Arial" w:hAnsi="Arial" w:eastAsia="宋体" w:cs="Arial"/>
          <w:lang w:eastAsia="zh-CN"/>
        </w:rPr>
        <w:t>http：//www.regulations.gov</w:t>
      </w:r>
      <w:r>
        <w:rPr>
          <w:rStyle w:val="17"/>
          <w:rFonts w:ascii="Arial" w:hAnsi="Arial" w:eastAsia="宋体" w:cs="Arial"/>
          <w:lang w:eastAsia="zh-CN"/>
        </w:rPr>
        <w:fldChar w:fldCharType="end"/>
      </w:r>
      <w:r>
        <w:rPr>
          <w:rFonts w:ascii="Arial" w:hAnsi="Arial" w:eastAsia="宋体" w:cs="Arial"/>
          <w:lang w:eastAsia="zh-CN"/>
        </w:rPr>
        <w:t>。请使用提供指南的联邦公报通告中列出的案卷编号标识所有评论。可能直到文件下次修订或更新时，评论才会被机构受理。</w:t>
      </w:r>
    </w:p>
    <w:p w14:paraId="472021E9">
      <w:pPr>
        <w:snapToGrid w:val="0"/>
        <w:spacing w:before="3" w:line="300" w:lineRule="auto"/>
        <w:jc w:val="both"/>
        <w:rPr>
          <w:rFonts w:ascii="Arial" w:hAnsi="Arial" w:eastAsia="宋体" w:cs="Arial"/>
          <w:sz w:val="24"/>
          <w:szCs w:val="24"/>
          <w:lang w:eastAsia="zh-CN"/>
        </w:rPr>
      </w:pPr>
    </w:p>
    <w:p w14:paraId="656C5247">
      <w:pPr>
        <w:snapToGrid w:val="0"/>
        <w:spacing w:line="300" w:lineRule="auto"/>
        <w:jc w:val="both"/>
        <w:rPr>
          <w:rFonts w:ascii="Arial" w:hAnsi="Arial" w:eastAsia="宋体" w:cs="Arial"/>
          <w:lang w:eastAsia="zh-CN"/>
        </w:rPr>
      </w:pPr>
      <w:r>
        <w:rPr>
          <w:rFonts w:ascii="Arial" w:hAnsi="Arial" w:eastAsia="宋体" w:cs="Arial"/>
          <w:b/>
          <w:sz w:val="36"/>
          <w:lang w:eastAsia="zh-CN"/>
        </w:rPr>
        <w:t>其他副本</w:t>
      </w:r>
    </w:p>
    <w:p w14:paraId="41A4259A">
      <w:pPr>
        <w:pStyle w:val="7"/>
        <w:snapToGrid w:val="0"/>
        <w:spacing w:before="276" w:line="300" w:lineRule="auto"/>
        <w:ind w:left="0"/>
        <w:jc w:val="both"/>
        <w:rPr>
          <w:rFonts w:ascii="Arial" w:hAnsi="Arial" w:eastAsia="宋体" w:cs="Arial"/>
          <w:lang w:eastAsia="zh-CN"/>
        </w:rPr>
        <w:sectPr>
          <w:headerReference r:id="rId4" w:type="default"/>
          <w:footerReference r:id="rId5" w:type="default"/>
          <w:pgSz w:w="12260" w:h="15840"/>
          <w:pgMar w:top="980" w:right="1680" w:bottom="960" w:left="1700" w:header="748" w:footer="764" w:gutter="0"/>
          <w:pgNumType w:start="2"/>
          <w:cols w:space="720" w:num="1"/>
        </w:sectPr>
      </w:pPr>
      <w:r>
        <w:rPr>
          <w:rFonts w:ascii="Arial" w:hAnsi="Arial" w:eastAsia="宋体" w:cs="Arial"/>
          <w:lang w:eastAsia="zh-CN"/>
        </w:rPr>
        <w:t>其他副本可从互联网获得。贵公司还可以向dsmica@fda.hhs.gov发送电子邮件请求，以接收本指南的电子副本，或向301-827-8149发送传真请求以接收打印件。请使用文件编号1721来标识贵公司所要求获得的指南。</w:t>
      </w:r>
    </w:p>
    <w:p w14:paraId="7D00BB04">
      <w:pPr>
        <w:snapToGrid w:val="0"/>
        <w:spacing w:line="300" w:lineRule="auto"/>
        <w:jc w:val="both"/>
        <w:rPr>
          <w:rFonts w:ascii="Arial" w:hAnsi="Arial" w:eastAsia="宋体" w:cs="Arial"/>
          <w:sz w:val="20"/>
          <w:szCs w:val="20"/>
          <w:lang w:eastAsia="zh-CN"/>
        </w:rPr>
      </w:pPr>
    </w:p>
    <w:p w14:paraId="2DC5EB10">
      <w:pPr>
        <w:snapToGrid w:val="0"/>
        <w:spacing w:line="300" w:lineRule="auto"/>
        <w:jc w:val="both"/>
        <w:rPr>
          <w:rFonts w:ascii="Arial" w:hAnsi="Arial" w:eastAsia="宋体" w:cs="Arial"/>
          <w:sz w:val="20"/>
          <w:szCs w:val="20"/>
          <w:lang w:eastAsia="zh-CN"/>
        </w:rPr>
      </w:pPr>
    </w:p>
    <w:sdt>
      <w:sdtPr>
        <w:rPr>
          <w:rFonts w:asciiTheme="minorHAnsi" w:hAnsiTheme="minorHAnsi" w:eastAsiaTheme="minorEastAsia" w:cstheme="minorBidi"/>
          <w:color w:val="auto"/>
          <w:sz w:val="22"/>
          <w:szCs w:val="22"/>
          <w:lang w:val="zh-CN" w:eastAsia="en-US"/>
        </w:rPr>
        <w:id w:val="-1584832159"/>
        <w:docPartObj>
          <w:docPartGallery w:val="Table of Contents"/>
          <w:docPartUnique/>
        </w:docPartObj>
      </w:sdtPr>
      <w:sdtEndPr>
        <w:rPr>
          <w:rFonts w:asciiTheme="minorHAnsi" w:hAnsiTheme="minorHAnsi" w:eastAsiaTheme="minorEastAsia" w:cstheme="minorBidi"/>
          <w:b/>
          <w:bCs/>
          <w:color w:val="auto"/>
          <w:sz w:val="22"/>
          <w:szCs w:val="22"/>
          <w:lang w:val="zh-CN" w:eastAsia="en-US"/>
        </w:rPr>
      </w:sdtEndPr>
      <w:sdtContent>
        <w:p w14:paraId="44FEB5E3">
          <w:pPr>
            <w:pStyle w:val="29"/>
            <w:jc w:val="center"/>
            <w:rPr>
              <w:b/>
              <w:color w:val="auto"/>
            </w:rPr>
          </w:pPr>
          <w:r>
            <w:rPr>
              <w:b/>
              <w:color w:val="auto"/>
              <w:lang w:val="zh-CN"/>
            </w:rPr>
            <w:t>目录</w:t>
          </w:r>
        </w:p>
        <w:p w14:paraId="67988EB2">
          <w:pPr>
            <w:pStyle w:val="14"/>
            <w:tabs>
              <w:tab w:val="right" w:leader="dot" w:pos="9310"/>
            </w:tabs>
            <w:rPr>
              <w:rFonts w:ascii="Arial" w:hAnsi="Arial" w:eastAsia="宋体" w:cs="Arial"/>
              <w:b w:val="0"/>
              <w:bCs w:val="0"/>
              <w:i w:val="0"/>
              <w:kern w:val="2"/>
              <w:lang w:eastAsia="zh-CN"/>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"_Toc479616103" </w:instrText>
          </w:r>
          <w:r>
            <w:fldChar w:fldCharType="separate"/>
          </w:r>
          <w:r>
            <w:rPr>
              <w:rStyle w:val="17"/>
              <w:rFonts w:ascii="Arial" w:hAnsi="Arial" w:eastAsia="宋体" w:cs="Arial"/>
              <w:lang w:eastAsia="zh-CN"/>
            </w:rPr>
            <w:t>简介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_Toc479616103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2008C052">
          <w:pPr>
            <w:pStyle w:val="14"/>
            <w:tabs>
              <w:tab w:val="right" w:leader="dot" w:pos="9310"/>
            </w:tabs>
            <w:rPr>
              <w:rFonts w:ascii="Arial" w:hAnsi="Arial" w:eastAsia="宋体" w:cs="Arial"/>
              <w:b w:val="0"/>
              <w:bCs w:val="0"/>
              <w:i w:val="0"/>
              <w:kern w:val="2"/>
              <w:lang w:eastAsia="zh-CN"/>
            </w:rPr>
          </w:pPr>
          <w:r>
            <w:fldChar w:fldCharType="begin"/>
          </w:r>
          <w:r>
            <w:instrText xml:space="preserve"> HYPERLINK \l "_Toc479616104" </w:instrText>
          </w:r>
          <w:r>
            <w:fldChar w:fldCharType="separate"/>
          </w:r>
          <w:r>
            <w:rPr>
              <w:rStyle w:val="17"/>
              <w:rFonts w:ascii="Arial" w:hAnsi="Arial" w:eastAsia="宋体" w:cs="Arial"/>
              <w:lang w:eastAsia="zh-CN"/>
            </w:rPr>
            <w:t>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_Toc479616104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BF39E3C">
          <w:pPr>
            <w:pStyle w:val="14"/>
            <w:tabs>
              <w:tab w:val="right" w:leader="dot" w:pos="9310"/>
            </w:tabs>
            <w:rPr>
              <w:rFonts w:ascii="Arial" w:hAnsi="Arial" w:eastAsia="宋体" w:cs="Arial"/>
              <w:b w:val="0"/>
              <w:bCs w:val="0"/>
              <w:i w:val="0"/>
              <w:kern w:val="2"/>
              <w:lang w:eastAsia="zh-CN"/>
            </w:rPr>
          </w:pPr>
          <w:r>
            <w:fldChar w:fldCharType="begin"/>
          </w:r>
          <w:r>
            <w:instrText xml:space="preserve"> HYPERLINK \l "_Toc479616105" </w:instrText>
          </w:r>
          <w:r>
            <w:fldChar w:fldCharType="separate"/>
          </w:r>
          <w:r>
            <w:rPr>
              <w:rStyle w:val="17"/>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_Toc479616105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646E065D">
          <w:pPr>
            <w:pStyle w:val="14"/>
            <w:tabs>
              <w:tab w:val="right" w:leader="dot" w:pos="9310"/>
            </w:tabs>
            <w:rPr>
              <w:rFonts w:ascii="Arial" w:hAnsi="Arial" w:eastAsia="宋体" w:cs="Arial"/>
              <w:b w:val="0"/>
              <w:bCs w:val="0"/>
              <w:i w:val="0"/>
              <w:kern w:val="2"/>
              <w:lang w:eastAsia="zh-CN"/>
            </w:rPr>
          </w:pPr>
          <w:r>
            <w:fldChar w:fldCharType="begin"/>
          </w:r>
          <w:r>
            <w:instrText xml:space="preserve"> HYPERLINK \l "_Toc479616106" </w:instrText>
          </w:r>
          <w:r>
            <w:fldChar w:fldCharType="separate"/>
          </w:r>
          <w:r>
            <w:rPr>
              <w:rStyle w:val="17"/>
              <w:rFonts w:ascii="Arial" w:hAnsi="Arial" w:eastAsia="宋体" w:cs="Arial"/>
              <w:lang w:eastAsia="zh-CN"/>
            </w:rPr>
            <w:t>健康风险</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_Toc479616106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1C74FF6A">
          <w:pPr>
            <w:pStyle w:val="14"/>
            <w:tabs>
              <w:tab w:val="right" w:leader="dot" w:pos="9310"/>
            </w:tabs>
            <w:rPr>
              <w:rFonts w:ascii="Arial" w:hAnsi="Arial" w:eastAsia="宋体" w:cs="Arial"/>
              <w:b w:val="0"/>
              <w:bCs w:val="0"/>
              <w:i w:val="0"/>
              <w:kern w:val="2"/>
              <w:lang w:eastAsia="zh-CN"/>
            </w:rPr>
          </w:pPr>
          <w:r>
            <w:fldChar w:fldCharType="begin"/>
          </w:r>
          <w:r>
            <w:instrText xml:space="preserve"> HYPERLINK \l "_Toc479616107" </w:instrText>
          </w:r>
          <w:r>
            <w:fldChar w:fldCharType="separate"/>
          </w:r>
          <w:r>
            <w:rPr>
              <w:rStyle w:val="17"/>
              <w:rFonts w:ascii="Arial" w:hAnsi="Arial" w:eastAsia="宋体" w:cs="Arial"/>
              <w:lang w:eastAsia="zh-CN"/>
            </w:rPr>
            <w:t>确定性能特性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_Toc479616107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04CDE313">
          <w:pPr>
            <w:pStyle w:val="8"/>
            <w:tabs>
              <w:tab w:val="left" w:pos="840"/>
              <w:tab w:val="right" w:leader="dot" w:pos="9310"/>
            </w:tabs>
            <w:rPr>
              <w:rFonts w:ascii="Arial" w:hAnsi="Arial" w:eastAsia="宋体" w:cs="Arial"/>
              <w:b w:val="0"/>
              <w:bCs w:val="0"/>
              <w:kern w:val="2"/>
              <w:sz w:val="22"/>
              <w:szCs w:val="22"/>
              <w:lang w:eastAsia="zh-CN"/>
            </w:rPr>
          </w:pPr>
          <w:r>
            <w:fldChar w:fldCharType="begin"/>
          </w:r>
          <w:r>
            <w:instrText xml:space="preserve"> HYPERLINK \l "_Toc479616108" </w:instrText>
          </w:r>
          <w:r>
            <w:fldChar w:fldCharType="separate"/>
          </w:r>
          <w:r>
            <w:rPr>
              <w:rStyle w:val="17"/>
              <w:rFonts w:ascii="Arial" w:hAnsi="Arial" w:eastAsia="宋体" w:cs="Arial"/>
              <w:spacing w:val="-1"/>
              <w:w w:val="99"/>
              <w:sz w:val="22"/>
              <w:szCs w:val="22"/>
              <w:u w:color="000000"/>
            </w:rPr>
            <w:t>A.</w:t>
          </w:r>
          <w:r>
            <w:rPr>
              <w:rFonts w:ascii="Arial" w:hAnsi="Arial" w:eastAsia="宋体" w:cs="Arial"/>
              <w:b w:val="0"/>
              <w:bCs w:val="0"/>
              <w:kern w:val="2"/>
              <w:sz w:val="22"/>
              <w:szCs w:val="22"/>
              <w:lang w:eastAsia="zh-CN"/>
            </w:rPr>
            <w:tab/>
          </w:r>
          <w:r>
            <w:rPr>
              <w:rStyle w:val="17"/>
              <w:rFonts w:ascii="Arial" w:hAnsi="Arial" w:eastAsia="宋体" w:cs="Arial"/>
              <w:sz w:val="22"/>
              <w:szCs w:val="22"/>
            </w:rPr>
            <w:t>控制</w:t>
          </w:r>
          <w:r>
            <w:rPr>
              <w:rFonts w:ascii="Arial" w:hAnsi="Arial" w:eastAsia="宋体" w:cs="Arial"/>
              <w:sz w:val="22"/>
              <w:szCs w:val="22"/>
            </w:rPr>
            <w:tab/>
          </w:r>
          <w:r>
            <w:rPr>
              <w:rFonts w:ascii="Arial" w:hAnsi="Arial" w:eastAsia="宋体" w:cs="Arial"/>
              <w:sz w:val="22"/>
              <w:szCs w:val="22"/>
            </w:rPr>
            <w:fldChar w:fldCharType="begin"/>
          </w:r>
          <w:r>
            <w:rPr>
              <w:rFonts w:ascii="Arial" w:hAnsi="Arial" w:eastAsia="宋体" w:cs="Arial"/>
              <w:sz w:val="22"/>
              <w:szCs w:val="22"/>
            </w:rPr>
            <w:instrText xml:space="preserve"> PAGEREF _Toc479616108 \h </w:instrText>
          </w:r>
          <w:r>
            <w:rPr>
              <w:rFonts w:ascii="Arial" w:hAnsi="Arial" w:eastAsia="宋体" w:cs="Arial"/>
              <w:sz w:val="22"/>
              <w:szCs w:val="22"/>
            </w:rPr>
            <w:fldChar w:fldCharType="separate"/>
          </w:r>
          <w:r>
            <w:rPr>
              <w:rFonts w:ascii="Arial" w:hAnsi="Arial" w:eastAsia="宋体" w:cs="Arial"/>
              <w:sz w:val="22"/>
              <w:szCs w:val="22"/>
            </w:rPr>
            <w:t>6</w:t>
          </w:r>
          <w:r>
            <w:rPr>
              <w:rFonts w:ascii="Arial" w:hAnsi="Arial" w:eastAsia="宋体" w:cs="Arial"/>
              <w:sz w:val="22"/>
              <w:szCs w:val="22"/>
            </w:rPr>
            <w:fldChar w:fldCharType="end"/>
          </w:r>
          <w:r>
            <w:rPr>
              <w:rFonts w:ascii="Arial" w:hAnsi="Arial" w:eastAsia="宋体" w:cs="Arial"/>
              <w:sz w:val="22"/>
              <w:szCs w:val="22"/>
            </w:rPr>
            <w:fldChar w:fldCharType="end"/>
          </w:r>
        </w:p>
        <w:p w14:paraId="724B122D">
          <w:pPr>
            <w:pStyle w:val="8"/>
            <w:tabs>
              <w:tab w:val="left" w:pos="840"/>
              <w:tab w:val="right" w:leader="dot" w:pos="9310"/>
            </w:tabs>
            <w:rPr>
              <w:rFonts w:ascii="Arial" w:hAnsi="Arial" w:eastAsia="宋体" w:cs="Arial"/>
              <w:b w:val="0"/>
              <w:bCs w:val="0"/>
              <w:kern w:val="2"/>
              <w:sz w:val="22"/>
              <w:szCs w:val="22"/>
              <w:lang w:eastAsia="zh-CN"/>
            </w:rPr>
          </w:pPr>
          <w:r>
            <w:fldChar w:fldCharType="begin"/>
          </w:r>
          <w:r>
            <w:instrText xml:space="preserve"> HYPERLINK \l "_Toc479616109" </w:instrText>
          </w:r>
          <w:r>
            <w:fldChar w:fldCharType="separate"/>
          </w:r>
          <w:r>
            <w:rPr>
              <w:rStyle w:val="17"/>
              <w:rFonts w:ascii="Arial" w:hAnsi="Arial" w:eastAsia="宋体" w:cs="Arial"/>
              <w:spacing w:val="-1"/>
              <w:w w:val="99"/>
              <w:sz w:val="22"/>
              <w:szCs w:val="22"/>
              <w:u w:color="000000"/>
            </w:rPr>
            <w:t>B.</w:t>
          </w:r>
          <w:r>
            <w:rPr>
              <w:rFonts w:ascii="Arial" w:hAnsi="Arial" w:eastAsia="宋体" w:cs="Arial"/>
              <w:b w:val="0"/>
              <w:bCs w:val="0"/>
              <w:kern w:val="2"/>
              <w:sz w:val="22"/>
              <w:szCs w:val="22"/>
              <w:lang w:eastAsia="zh-CN"/>
            </w:rPr>
            <w:tab/>
          </w:r>
          <w:r>
            <w:rPr>
              <w:rStyle w:val="17"/>
              <w:rFonts w:ascii="Arial" w:hAnsi="Arial" w:eastAsia="宋体" w:cs="Arial"/>
              <w:sz w:val="22"/>
              <w:szCs w:val="22"/>
              <w:lang w:eastAsia="zh-CN"/>
            </w:rPr>
            <w:t>性能研究</w:t>
          </w:r>
          <w:r>
            <w:rPr>
              <w:rFonts w:ascii="Arial" w:hAnsi="Arial" w:eastAsia="宋体" w:cs="Arial"/>
              <w:sz w:val="22"/>
              <w:szCs w:val="22"/>
            </w:rPr>
            <w:tab/>
          </w:r>
          <w:r>
            <w:rPr>
              <w:rFonts w:ascii="Arial" w:hAnsi="Arial" w:eastAsia="宋体" w:cs="Arial"/>
              <w:sz w:val="22"/>
              <w:szCs w:val="22"/>
            </w:rPr>
            <w:fldChar w:fldCharType="begin"/>
          </w:r>
          <w:r>
            <w:rPr>
              <w:rFonts w:ascii="Arial" w:hAnsi="Arial" w:eastAsia="宋体" w:cs="Arial"/>
              <w:sz w:val="22"/>
              <w:szCs w:val="22"/>
            </w:rPr>
            <w:instrText xml:space="preserve"> PAGEREF _Toc479616109 \h </w:instrText>
          </w:r>
          <w:r>
            <w:rPr>
              <w:rFonts w:ascii="Arial" w:hAnsi="Arial" w:eastAsia="宋体" w:cs="Arial"/>
              <w:sz w:val="22"/>
              <w:szCs w:val="22"/>
            </w:rPr>
            <w:fldChar w:fldCharType="separate"/>
          </w:r>
          <w:r>
            <w:rPr>
              <w:rFonts w:ascii="Arial" w:hAnsi="Arial" w:eastAsia="宋体" w:cs="Arial"/>
              <w:sz w:val="22"/>
              <w:szCs w:val="22"/>
            </w:rPr>
            <w:t>6</w:t>
          </w:r>
          <w:r>
            <w:rPr>
              <w:rFonts w:ascii="Arial" w:hAnsi="Arial" w:eastAsia="宋体" w:cs="Arial"/>
              <w:sz w:val="22"/>
              <w:szCs w:val="22"/>
            </w:rPr>
            <w:fldChar w:fldCharType="end"/>
          </w:r>
          <w:r>
            <w:rPr>
              <w:rFonts w:ascii="Arial" w:hAnsi="Arial" w:eastAsia="宋体" w:cs="Arial"/>
              <w:sz w:val="22"/>
              <w:szCs w:val="22"/>
            </w:rPr>
            <w:fldChar w:fldCharType="end"/>
          </w:r>
        </w:p>
        <w:p w14:paraId="28513B01">
          <w:pPr>
            <w:pStyle w:val="8"/>
            <w:tabs>
              <w:tab w:val="left" w:pos="840"/>
              <w:tab w:val="right" w:leader="dot" w:pos="9310"/>
            </w:tabs>
            <w:rPr>
              <w:rFonts w:ascii="Arial" w:hAnsi="Arial" w:eastAsia="宋体" w:cs="Arial"/>
              <w:b w:val="0"/>
              <w:bCs w:val="0"/>
              <w:kern w:val="2"/>
              <w:sz w:val="22"/>
              <w:szCs w:val="22"/>
              <w:lang w:eastAsia="zh-CN"/>
            </w:rPr>
          </w:pPr>
          <w:r>
            <w:fldChar w:fldCharType="begin"/>
          </w:r>
          <w:r>
            <w:instrText xml:space="preserve"> HYPERLINK \l "_Toc479616110" </w:instrText>
          </w:r>
          <w:r>
            <w:fldChar w:fldCharType="separate"/>
          </w:r>
          <w:r>
            <w:rPr>
              <w:rStyle w:val="17"/>
              <w:rFonts w:ascii="Arial" w:hAnsi="Arial" w:eastAsia="宋体" w:cs="Arial"/>
              <w:spacing w:val="-1"/>
              <w:w w:val="99"/>
              <w:sz w:val="22"/>
              <w:szCs w:val="22"/>
              <w:u w:color="000000"/>
            </w:rPr>
            <w:t>C.</w:t>
          </w:r>
          <w:r>
            <w:rPr>
              <w:rFonts w:ascii="Arial" w:hAnsi="Arial" w:eastAsia="宋体" w:cs="Arial"/>
              <w:b w:val="0"/>
              <w:bCs w:val="0"/>
              <w:kern w:val="2"/>
              <w:sz w:val="22"/>
              <w:szCs w:val="22"/>
              <w:lang w:eastAsia="zh-CN"/>
            </w:rPr>
            <w:tab/>
          </w:r>
          <w:r>
            <w:rPr>
              <w:rStyle w:val="17"/>
              <w:rFonts w:ascii="Arial" w:hAnsi="Arial" w:eastAsia="宋体" w:cs="Arial"/>
              <w:sz w:val="22"/>
              <w:szCs w:val="22"/>
              <w:u w:color="000000"/>
            </w:rPr>
            <w:t xml:space="preserve">CLIA </w:t>
          </w:r>
          <w:r>
            <w:rPr>
              <w:rStyle w:val="17"/>
              <w:rFonts w:ascii="Arial" w:hAnsi="Arial" w:eastAsia="宋体" w:cs="Arial"/>
              <w:sz w:val="22"/>
              <w:szCs w:val="22"/>
              <w:u w:color="000000"/>
              <w:lang w:eastAsia="zh-CN"/>
            </w:rPr>
            <w:t>豁免</w:t>
          </w:r>
          <w:r>
            <w:rPr>
              <w:rFonts w:ascii="Arial" w:hAnsi="Arial" w:eastAsia="宋体" w:cs="Arial"/>
              <w:sz w:val="22"/>
              <w:szCs w:val="22"/>
            </w:rPr>
            <w:tab/>
          </w:r>
          <w:r>
            <w:rPr>
              <w:rFonts w:ascii="Arial" w:hAnsi="Arial" w:eastAsia="宋体" w:cs="Arial"/>
              <w:sz w:val="22"/>
              <w:szCs w:val="22"/>
            </w:rPr>
            <w:fldChar w:fldCharType="begin"/>
          </w:r>
          <w:r>
            <w:rPr>
              <w:rFonts w:ascii="Arial" w:hAnsi="Arial" w:eastAsia="宋体" w:cs="Arial"/>
              <w:sz w:val="22"/>
              <w:szCs w:val="22"/>
            </w:rPr>
            <w:instrText xml:space="preserve"> PAGEREF _Toc479616110 \h </w:instrText>
          </w:r>
          <w:r>
            <w:rPr>
              <w:rFonts w:ascii="Arial" w:hAnsi="Arial" w:eastAsia="宋体" w:cs="Arial"/>
              <w:sz w:val="22"/>
              <w:szCs w:val="22"/>
            </w:rPr>
            <w:fldChar w:fldCharType="separate"/>
          </w:r>
          <w:r>
            <w:rPr>
              <w:rFonts w:ascii="Arial" w:hAnsi="Arial" w:eastAsia="宋体" w:cs="Arial"/>
              <w:sz w:val="22"/>
              <w:szCs w:val="22"/>
            </w:rPr>
            <w:t>11</w:t>
          </w:r>
          <w:r>
            <w:rPr>
              <w:rFonts w:ascii="Arial" w:hAnsi="Arial" w:eastAsia="宋体" w:cs="Arial"/>
              <w:sz w:val="22"/>
              <w:szCs w:val="22"/>
            </w:rPr>
            <w:fldChar w:fldCharType="end"/>
          </w:r>
          <w:r>
            <w:rPr>
              <w:rFonts w:ascii="Arial" w:hAnsi="Arial" w:eastAsia="宋体" w:cs="Arial"/>
              <w:sz w:val="22"/>
              <w:szCs w:val="22"/>
            </w:rPr>
            <w:fldChar w:fldCharType="end"/>
          </w:r>
        </w:p>
        <w:p w14:paraId="3D83A717">
          <w:pPr>
            <w:pStyle w:val="14"/>
            <w:tabs>
              <w:tab w:val="right" w:leader="dot" w:pos="9310"/>
            </w:tabs>
            <w:rPr>
              <w:rFonts w:ascii="Arial" w:hAnsi="Arial" w:eastAsia="宋体" w:cs="Arial"/>
              <w:b w:val="0"/>
              <w:bCs w:val="0"/>
              <w:i w:val="0"/>
              <w:kern w:val="2"/>
              <w:sz w:val="21"/>
              <w:lang w:eastAsia="zh-CN"/>
            </w:rPr>
          </w:pPr>
          <w:r>
            <w:fldChar w:fldCharType="begin"/>
          </w:r>
          <w:r>
            <w:instrText xml:space="preserve"> HYPERLINK \l "_Toc479616111" </w:instrText>
          </w:r>
          <w:r>
            <w:fldChar w:fldCharType="separate"/>
          </w:r>
          <w:r>
            <w:rPr>
              <w:rStyle w:val="17"/>
              <w:rFonts w:ascii="Arial" w:hAnsi="Arial" w:eastAsia="宋体" w:cs="Arial"/>
              <w:lang w:eastAsia="zh-CN"/>
            </w:rPr>
            <w:t>参考文件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_Toc479616111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35045A52">
          <w:r>
            <w:rPr>
              <w:rFonts w:ascii="Arial" w:hAnsi="Arial" w:eastAsia="宋体" w:cs="Arial"/>
              <w:b/>
              <w:bCs/>
              <w:lang w:val="zh-CN"/>
            </w:rPr>
            <w:fldChar w:fldCharType="end"/>
          </w:r>
        </w:p>
      </w:sdtContent>
    </w:sdt>
    <w:p w14:paraId="3634F36B">
      <w:pPr>
        <w:snapToGrid w:val="0"/>
        <w:spacing w:before="10" w:line="300" w:lineRule="auto"/>
        <w:jc w:val="both"/>
        <w:rPr>
          <w:rFonts w:ascii="Arial" w:hAnsi="Arial" w:eastAsia="宋体" w:cs="Arial"/>
          <w:sz w:val="27"/>
          <w:szCs w:val="27"/>
          <w:lang w:eastAsia="zh-CN"/>
        </w:rPr>
      </w:pPr>
    </w:p>
    <w:p w14:paraId="5155BFA3">
      <w:pPr>
        <w:pStyle w:val="7"/>
        <w:snapToGrid w:val="0"/>
        <w:spacing w:line="300" w:lineRule="auto"/>
        <w:ind w:left="0"/>
        <w:jc w:val="center"/>
        <w:rPr>
          <w:rFonts w:ascii="Arial" w:hAnsi="Arial" w:eastAsia="宋体" w:cs="Arial"/>
          <w:b/>
          <w:sz w:val="44"/>
          <w:szCs w:val="44"/>
          <w:lang w:eastAsia="zh-CN"/>
        </w:rPr>
        <w:sectPr>
          <w:pgSz w:w="12260" w:h="15840"/>
          <w:pgMar w:top="980" w:right="1480" w:bottom="960" w:left="1460" w:header="748" w:footer="764" w:gutter="0"/>
          <w:cols w:space="720" w:num="1"/>
        </w:sectPr>
      </w:pPr>
    </w:p>
    <w:p w14:paraId="1E5EAB91">
      <w:pPr>
        <w:pStyle w:val="7"/>
        <w:snapToGrid w:val="0"/>
        <w:spacing w:line="300" w:lineRule="auto"/>
        <w:ind w:left="0"/>
        <w:jc w:val="center"/>
        <w:rPr>
          <w:rFonts w:ascii="Arial" w:hAnsi="Arial" w:eastAsia="宋体" w:cs="Arial"/>
          <w:b/>
          <w:sz w:val="44"/>
          <w:szCs w:val="44"/>
          <w:lang w:eastAsia="zh-CN"/>
        </w:rPr>
      </w:pPr>
      <w:r>
        <w:rPr>
          <w:rFonts w:ascii="Arial" w:hAnsi="Arial" w:eastAsia="宋体" w:cs="Arial"/>
          <w:b/>
          <w:sz w:val="44"/>
          <w:szCs w:val="44"/>
          <w:lang w:eastAsia="zh-CN"/>
        </w:rPr>
        <w:t>确定用于检测伯氏疏螺旋体抗体的体外诊断器械的性能特性</w:t>
      </w:r>
    </w:p>
    <w:p w14:paraId="1BC54CD7">
      <w:pPr>
        <w:pStyle w:val="7"/>
        <w:snapToGrid w:val="0"/>
        <w:spacing w:line="300" w:lineRule="auto"/>
        <w:ind w:left="0"/>
        <w:jc w:val="center"/>
        <w:rPr>
          <w:rFonts w:ascii="Arial" w:hAnsi="Arial" w:eastAsia="宋体" w:cs="Arial"/>
          <w:b/>
          <w:sz w:val="44"/>
          <w:szCs w:val="44"/>
          <w:lang w:eastAsia="zh-CN"/>
        </w:rPr>
      </w:pPr>
      <w:r>
        <w:rPr>
          <w:rFonts w:ascii="Arial" w:hAnsi="Arial" w:eastAsia="宋体" w:cs="Arial"/>
          <w:b/>
          <w:sz w:val="44"/>
          <w:szCs w:val="44"/>
          <w:lang w:eastAsia="zh-CN"/>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90170</wp:posOffset>
                </wp:positionV>
                <wp:extent cx="5844540" cy="0"/>
                <wp:effectExtent l="0" t="0" r="22860" b="19050"/>
                <wp:wrapNone/>
                <wp:docPr id="13" name="直接连接符 13"/>
                <wp:cNvGraphicFramePr/>
                <a:graphic xmlns:a="http://schemas.openxmlformats.org/drawingml/2006/main">
                  <a:graphicData uri="http://schemas.microsoft.com/office/word/2010/wordprocessingShape">
                    <wps:wsp>
                      <wps:cNvCnPr/>
                      <wps:spPr>
                        <a:xfrm>
                          <a:off x="0" y="0"/>
                          <a:ext cx="5844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pt;margin-top:7.1pt;height:0pt;width:460.2pt;z-index:251660288;mso-width-relative:page;mso-height-relative:page;" filled="f" stroked="t" coordsize="21600,21600" o:gfxdata="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tlzvrUAAAABwEAAA8AAAAAAAAAAQAg&#10;AAAAIgAAAGRycy9kb3ducmV2LnhtbFBLAQIUABQAAAAIAIdO4kBFtLUp2QEAAJwDAAAOAAAAAAAA&#10;AAEAIAAAACMBAABkcnMvZTJvRG9jLnhtbFBLBQYAAAAABgAGAFkBAABuBQAAAAA=&#10;">
                <v:fill on="f" focussize="0,0"/>
                <v:stroke color="#000000 [3213]" joinstyle="round"/>
                <v:imagedata o:title=""/>
                <o:lock v:ext="edit" aspectratio="f"/>
              </v:line>
            </w:pict>
          </mc:Fallback>
        </mc:AlternateContent>
      </w:r>
    </w:p>
    <w:p w14:paraId="06A373F4">
      <w:pPr>
        <w:pStyle w:val="7"/>
        <w:snapToGrid w:val="0"/>
        <w:spacing w:line="300" w:lineRule="auto"/>
        <w:ind w:left="0"/>
        <w:jc w:val="center"/>
        <w:rPr>
          <w:rFonts w:ascii="Arial" w:hAnsi="Arial" w:eastAsia="宋体" w:cs="Arial"/>
          <w:b/>
          <w:sz w:val="44"/>
          <w:szCs w:val="44"/>
          <w:lang w:eastAsia="zh-CN"/>
        </w:rPr>
      </w:pPr>
      <w:r>
        <w:rPr>
          <w:rFonts w:ascii="Arial" w:hAnsi="Arial" w:eastAsia="宋体" w:cs="Arial"/>
          <w:b/>
          <w:sz w:val="44"/>
          <w:szCs w:val="44"/>
          <w:lang w:eastAsia="zh-CN"/>
        </w:rPr>
        <w:t>行业和食品药品监督管理局工作人员指南</w:t>
      </w:r>
    </w:p>
    <w:p w14:paraId="2CB22CC9">
      <w:pPr>
        <w:pStyle w:val="2"/>
        <w:snapToGrid w:val="0"/>
        <w:spacing w:before="30" w:line="300" w:lineRule="auto"/>
        <w:ind w:left="0" w:hanging="197"/>
        <w:jc w:val="both"/>
        <w:rPr>
          <w:rFonts w:ascii="Arial" w:hAnsi="Arial" w:eastAsia="宋体" w:cs="Arial"/>
          <w:b w:val="0"/>
          <w:bCs w:val="0"/>
          <w:lang w:eastAsia="zh-CN"/>
        </w:rPr>
      </w:pPr>
    </w:p>
    <w:p w14:paraId="18DAD6A3">
      <w:pPr>
        <w:pStyle w:val="24"/>
        <w:pBdr>
          <w:top w:val="single" w:color="auto" w:sz="4" w:space="1"/>
          <w:left w:val="single" w:color="auto" w:sz="4" w:space="4"/>
          <w:bottom w:val="single" w:color="auto" w:sz="4" w:space="1"/>
          <w:right w:val="single" w:color="auto" w:sz="4" w:space="4"/>
        </w:pBdr>
        <w:shd w:val="clear" w:color="auto" w:fill="auto"/>
        <w:snapToGrid w:val="0"/>
        <w:spacing w:before="0" w:after="439" w:line="300" w:lineRule="auto"/>
        <w:rPr>
          <w:rFonts w:ascii="Arial" w:hAnsi="Arial" w:eastAsia="宋体" w:cs="Arial"/>
          <w:lang w:eastAsia="zh-CN"/>
        </w:rPr>
      </w:pPr>
      <w:r>
        <w:rPr>
          <w:rFonts w:ascii="Arial" w:hAnsi="Arial" w:eastAsia="宋体" w:cs="Arial"/>
          <w:lang w:eastAsia="zh-CN"/>
        </w:rPr>
        <w:t>本指南草案定稿时，将代表食品药品监督管理局在这一主题上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p w14:paraId="5D607149">
      <w:pPr>
        <w:pStyle w:val="3"/>
        <w:snapToGrid w:val="0"/>
        <w:spacing w:line="300" w:lineRule="auto"/>
        <w:ind w:left="0"/>
        <w:jc w:val="both"/>
        <w:rPr>
          <w:rFonts w:ascii="Arial" w:hAnsi="Arial" w:eastAsia="宋体" w:cs="Arial"/>
          <w:bCs w:val="0"/>
          <w:lang w:eastAsia="zh-CN"/>
        </w:rPr>
      </w:pPr>
      <w:bookmarkStart w:id="0" w:name="_bookmark0"/>
      <w:bookmarkEnd w:id="0"/>
      <w:bookmarkStart w:id="1" w:name="_Toc479616103"/>
      <w:r>
        <w:rPr>
          <w:rFonts w:ascii="Arial" w:hAnsi="Arial" w:eastAsia="宋体" w:cs="Arial"/>
          <w:bCs w:val="0"/>
          <w:lang w:eastAsia="zh-CN"/>
        </w:rPr>
        <w:t>简介</w:t>
      </w:r>
      <w:bookmarkEnd w:id="1"/>
    </w:p>
    <w:p w14:paraId="5F5FD951">
      <w:pPr>
        <w:pStyle w:val="7"/>
        <w:snapToGrid w:val="0"/>
        <w:spacing w:line="300" w:lineRule="auto"/>
        <w:ind w:left="0"/>
        <w:jc w:val="both"/>
        <w:rPr>
          <w:rFonts w:ascii="Arial" w:hAnsi="Arial" w:eastAsia="宋体" w:cs="Arial"/>
          <w:lang w:eastAsia="zh-CN"/>
        </w:rPr>
      </w:pPr>
      <w:r>
        <w:rPr>
          <w:rFonts w:ascii="Arial" w:hAnsi="Arial" w:eastAsia="宋体" w:cs="Arial"/>
          <w:lang w:eastAsia="zh-CN"/>
        </w:rPr>
        <w:t>食品药品监督管理局正在发布本指南，为行业和机构工作人员提供研究建议，其中，此类研究旨在确定用于检测伯氏疏螺旋体抗体的体外诊断器械（IVD）的分析和临床性能。这些器械可用于帮助诊断莱姆病。</w:t>
      </w:r>
    </w:p>
    <w:p w14:paraId="4512A753">
      <w:pPr>
        <w:pStyle w:val="7"/>
        <w:snapToGrid w:val="0"/>
        <w:spacing w:line="300" w:lineRule="auto"/>
        <w:ind w:left="0"/>
        <w:jc w:val="both"/>
        <w:rPr>
          <w:rFonts w:ascii="Arial" w:hAnsi="Arial" w:eastAsia="宋体" w:cs="Arial"/>
          <w:lang w:eastAsia="zh-CN"/>
        </w:rPr>
      </w:pPr>
      <w:r>
        <w:rPr>
          <w:rFonts w:ascii="Arial" w:hAnsi="Arial" w:eastAsia="宋体" w:cs="Arial"/>
          <w:lang w:eastAsia="zh-CN"/>
        </w:rPr>
        <w:t>食品药品监督管理局的指导性文件（包括本指南）并不具有法律上可强制执行的责任。相反，指南说明了审查机构关于某一主题的最新见解，除非引用具体的监管或法定要求，否则应仅视为建议。在审查机构指南中使用这个词“应”是指建议或推荐进行某项事务，但非必须进行某项事务。</w:t>
      </w:r>
    </w:p>
    <w:p w14:paraId="02FEE123">
      <w:pPr>
        <w:pStyle w:val="7"/>
        <w:snapToGrid w:val="0"/>
        <w:spacing w:line="300" w:lineRule="auto"/>
        <w:ind w:left="0"/>
        <w:jc w:val="both"/>
        <w:rPr>
          <w:rFonts w:ascii="Arial" w:hAnsi="Arial" w:eastAsia="宋体" w:cs="Arial"/>
          <w:lang w:eastAsia="zh-CN"/>
        </w:rPr>
      </w:pPr>
    </w:p>
    <w:p w14:paraId="2301EAF0">
      <w:pPr>
        <w:pStyle w:val="3"/>
        <w:snapToGrid w:val="0"/>
        <w:spacing w:line="300" w:lineRule="auto"/>
        <w:ind w:left="0"/>
        <w:jc w:val="both"/>
        <w:rPr>
          <w:rFonts w:ascii="Arial" w:hAnsi="Arial" w:eastAsia="宋体" w:cs="Arial"/>
          <w:b w:val="0"/>
          <w:bCs w:val="0"/>
          <w:lang w:eastAsia="zh-CN"/>
        </w:rPr>
      </w:pPr>
      <w:bookmarkStart w:id="2" w:name="_bookmark1"/>
      <w:bookmarkEnd w:id="2"/>
      <w:bookmarkStart w:id="3" w:name="_Toc479616104"/>
      <w:r>
        <w:rPr>
          <w:rFonts w:ascii="Arial" w:hAnsi="Arial" w:eastAsia="宋体" w:cs="Arial"/>
          <w:lang w:eastAsia="zh-CN"/>
        </w:rPr>
        <w:t>背景</w:t>
      </w:r>
      <w:bookmarkEnd w:id="3"/>
    </w:p>
    <w:p w14:paraId="3DB721CD">
      <w:pPr>
        <w:pStyle w:val="7"/>
        <w:snapToGrid w:val="0"/>
        <w:spacing w:line="300" w:lineRule="auto"/>
        <w:ind w:left="0"/>
        <w:jc w:val="both"/>
        <w:rPr>
          <w:rFonts w:ascii="Arial" w:hAnsi="Arial" w:eastAsia="宋体" w:cs="Arial"/>
          <w:lang w:eastAsia="zh-CN"/>
        </w:rPr>
        <w:sectPr>
          <w:pgSz w:w="12260" w:h="15840"/>
          <w:pgMar w:top="980" w:right="1480" w:bottom="960" w:left="1460" w:header="748" w:footer="764" w:gutter="0"/>
          <w:cols w:space="720" w:num="1"/>
        </w:sectPr>
      </w:pPr>
      <w:r>
        <w:rPr>
          <w:rFonts w:ascii="Arial" w:hAnsi="Arial" w:eastAsia="宋体" w:cs="Arial"/>
          <w:lang w:eastAsia="zh-CN"/>
        </w:rPr>
        <w:t>本文件对旨在确定用于检测人血清、血浆和血液中的伯氏疏螺旋体抗体的体外诊断器械的性能特性的研究提供建议。在莱姆病诊断中针对伯氏疏螺旋体抗体进行的血清学试验是一种两步式程序[参考文件：1，2]。通过酶免疫测定（EIA）或免疫荧光测定（IFA）进行初始试验； 然后，通过使用蛋白质免疫印迹测定进一步对产生阳性或不定结果的样本进行测试。通过灵敏度EIA或IFA而呈阴性的样本无需进行进一步试验。由对伯氏疏螺旋体抗体进行的蛋白质印迹测定而产生的结果仅具补充性而非验证性。两步式阳性结果可提供暴露于伯氏疏螺旋体的支持性证据，其可以支持莱姆病的临床诊断，但不应该用作诊断的唯一标准。</w:t>
      </w:r>
    </w:p>
    <w:p w14:paraId="58E82029">
      <w:pPr>
        <w:pStyle w:val="7"/>
        <w:snapToGrid w:val="0"/>
        <w:spacing w:line="300" w:lineRule="auto"/>
        <w:ind w:left="0"/>
        <w:jc w:val="both"/>
        <w:rPr>
          <w:rFonts w:ascii="Arial" w:hAnsi="Arial" w:eastAsia="宋体" w:cs="Arial"/>
          <w:lang w:eastAsia="zh-CN"/>
        </w:rPr>
      </w:pPr>
    </w:p>
    <w:p w14:paraId="68E0A8E9">
      <w:pPr>
        <w:pStyle w:val="7"/>
        <w:snapToGrid w:val="0"/>
        <w:spacing w:line="300" w:lineRule="auto"/>
        <w:ind w:left="0"/>
        <w:jc w:val="both"/>
        <w:rPr>
          <w:rFonts w:ascii="Arial" w:hAnsi="Arial" w:eastAsia="宋体" w:cs="Arial"/>
        </w:rPr>
      </w:pPr>
      <w:r>
        <w:rPr>
          <w:rFonts w:ascii="Arial" w:hAnsi="Arial" w:eastAsia="宋体" w:cs="Arial"/>
          <w:lang w:eastAsia="zh-CN"/>
        </w:rPr>
        <w:t>打算上市用于检测伯氏疏螺旋体抗体的体外诊断器械的制造商必须遵守联邦食品、药品和化妆品法案（FD＆C 法案）的一般控制，并且除非豁免，否则在上市器械之前必须获得上市前审批或批准（FD＆C法案第510（k）、513、515条； 21 USC 360（k）、360c、360e）。本文件旨在补充21 CFR 807.87（上市前通知中所需信息）和其他食品药品监督管理局资源，如“上市前通知510（k）”，其网址为：http：//www.fda.gov/MedicalDevices/DeviceRegulationandGuidance/HowtoMarketYour Device / PremarketSubmissions / PremarketNotification510k / default.htm。</w:t>
      </w:r>
      <w:r>
        <w:rPr>
          <w:rFonts w:ascii="Arial" w:hAnsi="Arial" w:eastAsia="宋体" w:cs="Arial"/>
        </w:rPr>
        <w:t>关于</w:t>
      </w:r>
      <w:r>
        <w:rPr>
          <w:rFonts w:ascii="Arial" w:hAnsi="Arial" w:eastAsia="宋体" w:cs="Arial"/>
          <w:lang w:eastAsia="zh-CN"/>
        </w:rPr>
        <w:t>简化</w:t>
      </w:r>
      <w:r>
        <w:rPr>
          <w:rFonts w:ascii="Arial" w:hAnsi="Arial" w:eastAsia="宋体" w:cs="Arial"/>
        </w:rPr>
        <w:t>和传统510（k）的内容和格式的</w:t>
      </w:r>
      <w:r>
        <w:rPr>
          <w:rFonts w:ascii="Arial" w:hAnsi="Arial" w:eastAsia="宋体" w:cs="Arial"/>
          <w:lang w:eastAsia="zh-CN"/>
        </w:rPr>
        <w:t>指南</w:t>
      </w:r>
      <w:r>
        <w:rPr>
          <w:rFonts w:ascii="Arial" w:hAnsi="Arial" w:eastAsia="宋体" w:cs="Arial"/>
        </w:rPr>
        <w:t>可在</w:t>
      </w:r>
      <w:r>
        <w:rPr>
          <w:rFonts w:ascii="Arial" w:hAnsi="Arial" w:eastAsia="宋体" w:cs="Arial"/>
          <w:lang w:eastAsia="zh-CN"/>
        </w:rPr>
        <w:t>标</w:t>
      </w:r>
      <w:r>
        <w:rPr>
          <w:rFonts w:ascii="Arial" w:hAnsi="Arial" w:eastAsia="宋体" w:cs="Arial"/>
        </w:rPr>
        <w:t>题为“传统和</w:t>
      </w:r>
      <w:r>
        <w:rPr>
          <w:rFonts w:ascii="Arial" w:hAnsi="Arial" w:eastAsia="宋体" w:cs="Arial"/>
          <w:lang w:eastAsia="zh-CN"/>
        </w:rPr>
        <w:t>简化</w:t>
      </w:r>
      <w:r>
        <w:rPr>
          <w:rFonts w:ascii="Arial" w:hAnsi="Arial" w:eastAsia="宋体" w:cs="Arial"/>
        </w:rPr>
        <w:t>510（k）的格式”的指</w:t>
      </w:r>
      <w:r>
        <w:rPr>
          <w:rFonts w:ascii="Arial" w:hAnsi="Arial" w:eastAsia="宋体" w:cs="Arial"/>
          <w:lang w:eastAsia="zh-CN"/>
        </w:rPr>
        <w:t>南</w:t>
      </w:r>
      <w:r>
        <w:rPr>
          <w:rFonts w:ascii="Arial" w:hAnsi="Arial" w:eastAsia="宋体" w:cs="Arial"/>
        </w:rPr>
        <w:t>中找到，</w:t>
      </w:r>
      <w:r>
        <w:rPr>
          <w:rFonts w:ascii="Arial" w:hAnsi="Arial" w:eastAsia="宋体" w:cs="Arial"/>
          <w:lang w:eastAsia="zh-CN"/>
        </w:rPr>
        <w:t>其</w:t>
      </w:r>
      <w:r>
        <w:rPr>
          <w:rFonts w:ascii="Arial" w:hAnsi="Arial" w:eastAsia="宋体" w:cs="Arial"/>
        </w:rPr>
        <w:t>网址为：http</w:t>
      </w:r>
      <w:r>
        <w:rPr>
          <w:rFonts w:hint="eastAsia" w:ascii="Arial" w:hAnsi="Arial" w:eastAsia="宋体" w:cs="Arial"/>
          <w:lang w:eastAsia="zh-CN"/>
        </w:rPr>
        <w:t>:</w:t>
      </w:r>
      <w:r>
        <w:rPr>
          <w:rFonts w:ascii="Arial" w:hAnsi="Arial" w:eastAsia="宋体" w:cs="Arial"/>
        </w:rPr>
        <w:t>//www.fda.gov/downloads/MedicalDevices/ DeviceRegulationandGuidance / Guidanc eDocuments / ucm084396.pdf。</w:t>
      </w:r>
    </w:p>
    <w:p w14:paraId="4B94431D">
      <w:pPr>
        <w:snapToGrid w:val="0"/>
        <w:spacing w:before="5" w:line="300" w:lineRule="auto"/>
        <w:jc w:val="both"/>
        <w:rPr>
          <w:rFonts w:ascii="Arial" w:hAnsi="Arial" w:eastAsia="宋体" w:cs="Arial"/>
          <w:sz w:val="24"/>
          <w:szCs w:val="24"/>
        </w:rPr>
      </w:pPr>
    </w:p>
    <w:p w14:paraId="5E24D427">
      <w:pPr>
        <w:pStyle w:val="7"/>
        <w:snapToGrid w:val="0"/>
        <w:spacing w:line="300" w:lineRule="auto"/>
        <w:ind w:left="0"/>
        <w:rPr>
          <w:rFonts w:ascii="Arial" w:hAnsi="Arial" w:eastAsia="宋体" w:cs="Arial"/>
        </w:rPr>
      </w:pPr>
      <w:r>
        <w:rPr>
          <w:rFonts w:ascii="Arial" w:hAnsi="Arial" w:eastAsia="宋体" w:cs="Arial"/>
        </w:rPr>
        <w:t>有关标准</w:t>
      </w:r>
      <w:r>
        <w:rPr>
          <w:rFonts w:ascii="Arial" w:hAnsi="Arial" w:eastAsia="宋体" w:cs="Arial"/>
          <w:lang w:eastAsia="zh-CN"/>
        </w:rPr>
        <w:t>的</w:t>
      </w:r>
      <w:r>
        <w:rPr>
          <w:rFonts w:ascii="Arial" w:hAnsi="Arial" w:eastAsia="宋体" w:cs="Arial"/>
        </w:rPr>
        <w:t>使用的信息可参见FD＆C法案（21 USC 360d（c）（1）（B））第514（c）（1）（B）节，以及</w:t>
      </w:r>
      <w:r>
        <w:rPr>
          <w:rFonts w:ascii="Arial" w:hAnsi="Arial" w:eastAsia="宋体" w:cs="Arial"/>
          <w:lang w:eastAsia="zh-CN"/>
        </w:rPr>
        <w:t>标题为“实质等同性测定中的标准的使用”的食品药品监督管理局指南</w:t>
      </w:r>
      <w:r>
        <w:rPr>
          <w:rFonts w:ascii="Arial" w:hAnsi="Arial" w:eastAsia="宋体" w:cs="Arial"/>
        </w:rPr>
        <w:t>，</w:t>
      </w:r>
      <w:r>
        <w:rPr>
          <w:rFonts w:ascii="Arial" w:hAnsi="Arial" w:eastAsia="宋体" w:cs="Arial"/>
          <w:lang w:eastAsia="zh-CN"/>
        </w:rPr>
        <w:t>其</w:t>
      </w:r>
      <w:r>
        <w:rPr>
          <w:rFonts w:ascii="Arial" w:hAnsi="Arial" w:eastAsia="宋体" w:cs="Arial"/>
        </w:rPr>
        <w:t>网址为</w:t>
      </w:r>
      <w:r>
        <w:rPr>
          <w:rFonts w:ascii="Arial" w:hAnsi="Arial" w:eastAsia="宋体" w:cs="Arial"/>
          <w:lang w:eastAsia="zh-CN"/>
        </w:rPr>
        <w:t>：</w:t>
      </w:r>
      <w:r>
        <w:rPr>
          <w:rFonts w:ascii="Arial" w:hAnsi="Arial" w:eastAsia="宋体" w:cs="Arial"/>
        </w:rPr>
        <w:t>http</w:t>
      </w:r>
      <w:r>
        <w:rPr>
          <w:rFonts w:hint="eastAsia" w:ascii="Arial" w:hAnsi="Arial" w:eastAsia="宋体" w:cs="Arial"/>
          <w:lang w:eastAsia="zh-CN"/>
        </w:rPr>
        <w:t>:</w:t>
      </w:r>
      <w:r>
        <w:rPr>
          <w:rFonts w:ascii="Arial" w:hAnsi="Arial" w:eastAsia="宋体" w:cs="Arial"/>
        </w:rPr>
        <w:t>//www.fda.gov/downloads/MedicalDevices/DeviceRegulationandGuidance/Guidanc eDocuments / ucm073756.pdf。</w:t>
      </w:r>
      <w:r>
        <w:rPr>
          <w:rFonts w:ascii="Arial" w:hAnsi="Arial" w:eastAsia="宋体" w:cs="Arial"/>
          <w:lang w:eastAsia="zh-CN"/>
        </w:rPr>
        <w:t>考虑对其自己的已批准器械进行修改的制造商可以选择提交特殊510（k）。</w:t>
      </w:r>
      <w:r>
        <w:rPr>
          <w:rFonts w:ascii="Arial" w:hAnsi="Arial" w:eastAsia="宋体" w:cs="Arial"/>
        </w:rPr>
        <w:t>关于如何</w:t>
      </w:r>
      <w:r>
        <w:rPr>
          <w:rFonts w:ascii="Arial" w:hAnsi="Arial" w:eastAsia="宋体" w:cs="Arial"/>
          <w:lang w:eastAsia="zh-CN"/>
        </w:rPr>
        <w:t>编制</w:t>
      </w:r>
      <w:r>
        <w:rPr>
          <w:rFonts w:ascii="Arial" w:hAnsi="Arial" w:eastAsia="宋体" w:cs="Arial"/>
        </w:rPr>
        <w:t>特</w:t>
      </w:r>
      <w:r>
        <w:rPr>
          <w:rFonts w:ascii="Arial" w:hAnsi="Arial" w:eastAsia="宋体" w:cs="Arial"/>
          <w:lang w:eastAsia="zh-CN"/>
        </w:rPr>
        <w:t>殊</w:t>
      </w:r>
      <w:r>
        <w:rPr>
          <w:rFonts w:ascii="Arial" w:hAnsi="Arial" w:eastAsia="宋体" w:cs="Arial"/>
        </w:rPr>
        <w:t>510（k）的信息可以在以下网站获得：http</w:t>
      </w:r>
      <w:r>
        <w:rPr>
          <w:rFonts w:hint="eastAsia" w:ascii="Arial" w:hAnsi="Arial" w:eastAsia="宋体" w:cs="Arial"/>
          <w:lang w:eastAsia="zh-CN"/>
        </w:rPr>
        <w:t>:</w:t>
      </w:r>
      <w:r>
        <w:rPr>
          <w:rFonts w:ascii="Arial" w:hAnsi="Arial" w:eastAsia="宋体" w:cs="Arial"/>
        </w:rPr>
        <w:t>//www.fda.gov/MedicalDevices/DeviceRegulationandGuidance/HowtoMarketYour Device / PremarketSubmissions / PremarketNotification510k / ucm134573.htm。</w:t>
      </w:r>
    </w:p>
    <w:p w14:paraId="2C85C2AF">
      <w:pPr>
        <w:snapToGrid w:val="0"/>
        <w:spacing w:before="5" w:line="300" w:lineRule="auto"/>
        <w:jc w:val="both"/>
        <w:rPr>
          <w:rFonts w:ascii="Arial" w:hAnsi="Arial" w:eastAsia="宋体" w:cs="Arial"/>
          <w:sz w:val="24"/>
          <w:szCs w:val="24"/>
        </w:rPr>
      </w:pPr>
    </w:p>
    <w:p w14:paraId="4C0898AA">
      <w:pPr>
        <w:snapToGrid w:val="0"/>
        <w:spacing w:line="300" w:lineRule="auto"/>
        <w:jc w:val="both"/>
        <w:rPr>
          <w:rFonts w:ascii="Arial" w:hAnsi="Arial" w:eastAsia="宋体" w:cs="Arial"/>
          <w:sz w:val="24"/>
          <w:szCs w:val="24"/>
        </w:rPr>
      </w:pPr>
      <w:r>
        <w:rPr>
          <w:rFonts w:ascii="Arial" w:hAnsi="Arial" w:eastAsia="宋体" w:cs="Arial"/>
          <w:sz w:val="24"/>
          <w:szCs w:val="24"/>
          <w:lang w:eastAsia="zh-CN"/>
        </w:rPr>
        <w:t>贵公司可在标题为“体外</w:t>
      </w:r>
      <w:r>
        <w:rPr>
          <w:rFonts w:ascii="Arial" w:hAnsi="Arial" w:eastAsia="宋体" w:cs="Arial"/>
          <w:sz w:val="24"/>
          <w:szCs w:val="24"/>
        </w:rPr>
        <w:t>诊断（IVD）器械研究 - 常见问题</w:t>
      </w:r>
      <w:r>
        <w:rPr>
          <w:rFonts w:ascii="Arial" w:hAnsi="Arial" w:eastAsia="宋体" w:cs="Arial"/>
          <w:sz w:val="24"/>
          <w:szCs w:val="24"/>
          <w:lang w:eastAsia="zh-CN"/>
        </w:rPr>
        <w:t>”的指南（其网址为：</w:t>
      </w:r>
      <w:r>
        <w:rPr>
          <w:rFonts w:ascii="Arial" w:hAnsi="Arial" w:eastAsia="宋体" w:cs="Arial"/>
          <w:sz w:val="24"/>
          <w:szCs w:val="24"/>
        </w:rPr>
        <w:t>http</w:t>
      </w:r>
      <w:r>
        <w:rPr>
          <w:rFonts w:hint="eastAsia" w:ascii="Arial" w:hAnsi="Arial" w:eastAsia="宋体" w:cs="Arial"/>
          <w:sz w:val="24"/>
          <w:szCs w:val="24"/>
          <w:lang w:eastAsia="zh-CN"/>
        </w:rPr>
        <w:t>:</w:t>
      </w:r>
      <w:r>
        <w:rPr>
          <w:rFonts w:ascii="Arial" w:hAnsi="Arial" w:eastAsia="宋体" w:cs="Arial"/>
          <w:sz w:val="24"/>
          <w:szCs w:val="24"/>
        </w:rPr>
        <w:t>//www.vda.gov/downloads/MedicalDevices/DeviceRegulationandGuidance/Guidanc eDocuments / ucm071230.pdf</w:t>
      </w:r>
      <w:r>
        <w:rPr>
          <w:rFonts w:ascii="Arial" w:hAnsi="Arial" w:eastAsia="宋体" w:cs="Arial"/>
          <w:sz w:val="24"/>
          <w:szCs w:val="24"/>
          <w:lang w:eastAsia="zh-CN"/>
        </w:rPr>
        <w:t>）</w:t>
      </w:r>
      <w:r>
        <w:rPr>
          <w:rFonts w:ascii="Arial" w:hAnsi="Arial" w:eastAsia="宋体" w:cs="Arial"/>
          <w:sz w:val="24"/>
          <w:szCs w:val="24"/>
        </w:rPr>
        <w:t>以及</w:t>
      </w:r>
      <w:r>
        <w:rPr>
          <w:rFonts w:ascii="Arial" w:hAnsi="Arial" w:eastAsia="宋体" w:cs="Arial"/>
          <w:sz w:val="24"/>
          <w:szCs w:val="24"/>
          <w:lang w:eastAsia="zh-CN"/>
        </w:rPr>
        <w:t>标题为</w:t>
      </w:r>
      <w:r>
        <w:rPr>
          <w:rFonts w:ascii="Arial" w:hAnsi="Arial" w:eastAsia="宋体" w:cs="Arial"/>
          <w:sz w:val="24"/>
          <w:szCs w:val="24"/>
        </w:rPr>
        <w:t>“</w:t>
      </w:r>
      <w:r>
        <w:rPr>
          <w:rFonts w:ascii="Arial" w:hAnsi="Arial" w:eastAsia="宋体" w:cs="Arial"/>
          <w:sz w:val="24"/>
          <w:szCs w:val="24"/>
          <w:lang w:eastAsia="zh-CN"/>
        </w:rPr>
        <w:t>有关用于</w:t>
      </w:r>
      <w:r>
        <w:rPr>
          <w:rFonts w:ascii="Arial" w:hAnsi="Arial" w:eastAsia="宋体" w:cs="Arial"/>
          <w:sz w:val="24"/>
          <w:szCs w:val="24"/>
        </w:rPr>
        <w:t>使用不可单独识别的残留人体样本进行体外诊断器械研究的知情同意</w:t>
      </w:r>
      <w:r>
        <w:rPr>
          <w:rFonts w:ascii="Arial" w:hAnsi="Arial" w:eastAsia="宋体" w:cs="Arial"/>
          <w:sz w:val="24"/>
          <w:szCs w:val="24"/>
          <w:lang w:eastAsia="zh-CN"/>
        </w:rPr>
        <w:t>的</w:t>
      </w:r>
      <w:r>
        <w:rPr>
          <w:rFonts w:ascii="Arial" w:hAnsi="Arial" w:eastAsia="宋体" w:cs="Arial"/>
          <w:sz w:val="24"/>
          <w:szCs w:val="24"/>
        </w:rPr>
        <w:t>指南”的指</w:t>
      </w:r>
      <w:r>
        <w:rPr>
          <w:rFonts w:ascii="Arial" w:hAnsi="Arial" w:eastAsia="宋体" w:cs="Arial"/>
          <w:sz w:val="24"/>
          <w:szCs w:val="24"/>
          <w:lang w:eastAsia="zh-CN"/>
        </w:rPr>
        <w:t>南（其网址为</w:t>
      </w:r>
      <w:r>
        <w:rPr>
          <w:rFonts w:ascii="Arial" w:hAnsi="Arial" w:eastAsia="宋体" w:cs="Arial"/>
          <w:sz w:val="24"/>
          <w:szCs w:val="24"/>
        </w:rPr>
        <w:t>http</w:t>
      </w:r>
      <w:r>
        <w:rPr>
          <w:rFonts w:hint="eastAsia" w:ascii="Arial" w:hAnsi="Arial" w:eastAsia="宋体" w:cs="Arial"/>
          <w:sz w:val="24"/>
          <w:szCs w:val="24"/>
          <w:lang w:eastAsia="zh-CN"/>
        </w:rPr>
        <w:t>:</w:t>
      </w:r>
      <w:r>
        <w:rPr>
          <w:rFonts w:ascii="Arial" w:hAnsi="Arial" w:eastAsia="宋体" w:cs="Arial"/>
          <w:sz w:val="24"/>
          <w:szCs w:val="24"/>
        </w:rPr>
        <w:t>//www.fda.gov/downloads/MedicalDevices/DeviceRegulationandGuidance/Guidanc eDocuments / ucm071265.pdf</w:t>
      </w:r>
      <w:r>
        <w:rPr>
          <w:rFonts w:ascii="Arial" w:hAnsi="Arial" w:eastAsia="宋体" w:cs="Arial"/>
          <w:sz w:val="24"/>
          <w:szCs w:val="24"/>
          <w:lang w:eastAsia="zh-CN"/>
        </w:rPr>
        <w:t>）中找到关于</w:t>
      </w:r>
      <w:r>
        <w:rPr>
          <w:rFonts w:ascii="Arial" w:hAnsi="Arial" w:eastAsia="宋体" w:cs="Arial"/>
          <w:sz w:val="24"/>
          <w:szCs w:val="24"/>
        </w:rPr>
        <w:t>器械试验的更多信息。</w:t>
      </w:r>
    </w:p>
    <w:p w14:paraId="7EA5591E">
      <w:pPr>
        <w:snapToGrid w:val="0"/>
        <w:spacing w:before="6" w:line="300" w:lineRule="auto"/>
        <w:jc w:val="both"/>
        <w:rPr>
          <w:rFonts w:ascii="Arial" w:hAnsi="Arial" w:eastAsia="宋体" w:cs="Arial"/>
          <w:sz w:val="24"/>
          <w:szCs w:val="24"/>
        </w:rPr>
      </w:pPr>
    </w:p>
    <w:p w14:paraId="65351B31">
      <w:pPr>
        <w:pStyle w:val="3"/>
        <w:snapToGrid w:val="0"/>
        <w:spacing w:line="300" w:lineRule="auto"/>
        <w:ind w:left="0"/>
        <w:jc w:val="both"/>
        <w:rPr>
          <w:rFonts w:ascii="Arial" w:hAnsi="Arial" w:eastAsia="宋体" w:cs="Arial"/>
          <w:b w:val="0"/>
          <w:bCs w:val="0"/>
          <w:lang w:eastAsia="zh-CN"/>
        </w:rPr>
      </w:pPr>
      <w:bookmarkStart w:id="4" w:name="_bookmark2"/>
      <w:bookmarkEnd w:id="4"/>
      <w:bookmarkStart w:id="5" w:name="_Toc479616105"/>
      <w:r>
        <w:rPr>
          <w:rFonts w:ascii="Arial" w:hAnsi="Arial" w:eastAsia="宋体" w:cs="Arial"/>
          <w:lang w:eastAsia="zh-CN"/>
        </w:rPr>
        <w:t>范围</w:t>
      </w:r>
      <w:bookmarkEnd w:id="5"/>
    </w:p>
    <w:p w14:paraId="566D7414">
      <w:pPr>
        <w:pStyle w:val="7"/>
        <w:snapToGrid w:val="0"/>
        <w:spacing w:before="269" w:line="300" w:lineRule="auto"/>
        <w:ind w:left="0"/>
        <w:jc w:val="both"/>
        <w:rPr>
          <w:rFonts w:ascii="Arial" w:hAnsi="Arial" w:eastAsia="宋体" w:cs="Arial"/>
          <w:lang w:eastAsia="zh-CN"/>
        </w:rPr>
      </w:pPr>
      <w:r>
        <w:rPr>
          <w:rFonts w:ascii="Arial" w:hAnsi="Arial" w:eastAsia="宋体" w:cs="Arial"/>
          <w:lang w:eastAsia="zh-CN"/>
        </w:rPr>
        <w:t>本文件对旨在确定用于检测人血清、血浆和血液中的伯氏疏螺旋体抗体的EIA或蛋白质印记器械的性能特性的研究提供建议。以下是根据21 CFR 866.3830批准的伯氏疏螺旋体（莱姆病）II类器械的产品代码：</w:t>
      </w:r>
    </w:p>
    <w:p w14:paraId="20A1407D">
      <w:pPr>
        <w:snapToGrid w:val="0"/>
        <w:spacing w:line="300" w:lineRule="auto"/>
        <w:jc w:val="both"/>
        <w:rPr>
          <w:rFonts w:ascii="Arial" w:hAnsi="Arial" w:eastAsia="宋体" w:cs="Arial"/>
          <w:sz w:val="24"/>
          <w:szCs w:val="24"/>
          <w:lang w:eastAsia="zh-CN"/>
        </w:rPr>
      </w:pPr>
    </w:p>
    <w:p w14:paraId="312E4586">
      <w:pPr>
        <w:pStyle w:val="7"/>
        <w:snapToGrid w:val="0"/>
        <w:spacing w:line="300" w:lineRule="auto"/>
        <w:ind w:left="0"/>
        <w:jc w:val="both"/>
        <w:rPr>
          <w:rFonts w:ascii="Arial" w:hAnsi="Arial" w:eastAsia="宋体" w:cs="Arial"/>
          <w:lang w:eastAsia="zh-CN"/>
        </w:rPr>
      </w:pPr>
      <w:r>
        <w:rPr>
          <w:rFonts w:ascii="Arial" w:hAnsi="Arial" w:eastAsia="宋体" w:cs="Arial"/>
          <w:lang w:eastAsia="zh-CN"/>
        </w:rPr>
        <w:t>LSR - 试剂，疏螺旋体属血清学试剂</w:t>
      </w:r>
    </w:p>
    <w:p w14:paraId="5AD0FF8A">
      <w:pPr>
        <w:pStyle w:val="7"/>
        <w:snapToGrid w:val="0"/>
        <w:spacing w:before="69" w:line="300" w:lineRule="auto"/>
        <w:ind w:left="0"/>
        <w:jc w:val="both"/>
        <w:rPr>
          <w:rFonts w:ascii="Arial" w:hAnsi="Arial" w:eastAsia="宋体" w:cs="Arial"/>
          <w:lang w:eastAsia="zh-CN"/>
        </w:rPr>
      </w:pPr>
      <w:r>
        <w:rPr>
          <w:rFonts w:ascii="Arial" w:hAnsi="Arial" w:eastAsia="宋体" w:cs="Arial"/>
          <w:lang w:eastAsia="zh-CN"/>
        </w:rPr>
        <w:t>本文件不适用于伯氏疏螺旋体核酸扩增测定。请联系体外诊断和放射健康办公室的微生物学器械部，以了解有关核酸扩增器械的更多信息。</w:t>
      </w:r>
    </w:p>
    <w:p w14:paraId="34B5448A">
      <w:pPr>
        <w:snapToGrid w:val="0"/>
        <w:spacing w:before="6" w:line="300" w:lineRule="auto"/>
        <w:jc w:val="both"/>
        <w:rPr>
          <w:rFonts w:ascii="Arial" w:hAnsi="Arial" w:eastAsia="宋体" w:cs="Arial"/>
          <w:sz w:val="24"/>
          <w:szCs w:val="24"/>
          <w:lang w:eastAsia="zh-CN"/>
        </w:rPr>
      </w:pPr>
    </w:p>
    <w:p w14:paraId="5F38B2AB">
      <w:pPr>
        <w:pStyle w:val="3"/>
        <w:snapToGrid w:val="0"/>
        <w:spacing w:line="300" w:lineRule="auto"/>
        <w:ind w:left="0"/>
        <w:jc w:val="both"/>
        <w:rPr>
          <w:rFonts w:ascii="Arial" w:hAnsi="Arial" w:eastAsia="宋体" w:cs="Arial"/>
          <w:lang w:eastAsia="zh-CN"/>
        </w:rPr>
      </w:pPr>
      <w:bookmarkStart w:id="6" w:name="_bookmark3"/>
      <w:bookmarkEnd w:id="6"/>
      <w:bookmarkStart w:id="7" w:name="_Toc479616106"/>
      <w:r>
        <w:rPr>
          <w:rFonts w:ascii="Arial" w:hAnsi="Arial" w:eastAsia="宋体" w:cs="Arial"/>
          <w:lang w:eastAsia="zh-CN"/>
        </w:rPr>
        <w:t>健康风险</w:t>
      </w:r>
      <w:bookmarkEnd w:id="7"/>
    </w:p>
    <w:p w14:paraId="0684B94D">
      <w:pPr>
        <w:pStyle w:val="7"/>
        <w:snapToGrid w:val="0"/>
        <w:spacing w:before="269" w:line="300" w:lineRule="auto"/>
        <w:ind w:left="0"/>
        <w:jc w:val="both"/>
        <w:rPr>
          <w:rFonts w:ascii="Arial" w:hAnsi="Arial" w:eastAsia="宋体" w:cs="Arial"/>
          <w:lang w:eastAsia="zh-CN"/>
        </w:rPr>
      </w:pPr>
      <w:r>
        <w:rPr>
          <w:rFonts w:ascii="Arial" w:hAnsi="Arial" w:eastAsia="宋体" w:cs="Arial"/>
          <w:lang w:eastAsia="zh-CN"/>
        </w:rPr>
        <w:t>莱姆病是一种显著的公共卫生问题。它是北美最常见的传染性传染病。莱姆病的感染因子是螺旋军伯氏疏螺旋体。伯氏疏螺旋体感染的最终诊断由于临床症状的不同性质以及这些症状与许多其它感染性和非感染性疾病重叠而复杂化。</w:t>
      </w:r>
    </w:p>
    <w:p w14:paraId="6FF1C649">
      <w:pPr>
        <w:snapToGrid w:val="0"/>
        <w:spacing w:before="5" w:line="300" w:lineRule="auto"/>
        <w:jc w:val="both"/>
        <w:rPr>
          <w:rFonts w:ascii="Arial" w:hAnsi="Arial" w:eastAsia="宋体" w:cs="Arial"/>
          <w:sz w:val="24"/>
          <w:szCs w:val="24"/>
          <w:lang w:eastAsia="zh-CN"/>
        </w:rPr>
      </w:pPr>
    </w:p>
    <w:p w14:paraId="69CD0B76">
      <w:pPr>
        <w:pStyle w:val="7"/>
        <w:snapToGrid w:val="0"/>
        <w:spacing w:line="300" w:lineRule="auto"/>
        <w:ind w:left="0"/>
        <w:jc w:val="both"/>
        <w:rPr>
          <w:rFonts w:ascii="Arial" w:hAnsi="Arial" w:eastAsia="宋体" w:cs="Arial"/>
          <w:lang w:eastAsia="zh-CN"/>
        </w:rPr>
      </w:pPr>
      <w:r>
        <w:rPr>
          <w:rFonts w:ascii="Arial" w:hAnsi="Arial" w:eastAsia="宋体" w:cs="Arial"/>
          <w:lang w:eastAsia="zh-CN"/>
        </w:rPr>
        <w:t>用于检测伯氏疏螺旋体抗体的器械未能如预期地发挥作用或未能正确解释结果可能使患者管理决定不正确以及公共卫生疾病报告不适当。在管理个别患者的情况下，假阴性报告可能导致延迟或未能提供治疗。假阳性报告可能导致不必要或不适当的治疗。因此，确立这些器械的性能并理解与其使用相关的风险对于其安全和有效使用至关重要。</w:t>
      </w:r>
    </w:p>
    <w:p w14:paraId="399723DA">
      <w:pPr>
        <w:snapToGrid w:val="0"/>
        <w:spacing w:before="2" w:line="300" w:lineRule="auto"/>
        <w:jc w:val="both"/>
        <w:rPr>
          <w:rFonts w:ascii="Arial" w:hAnsi="Arial" w:eastAsia="宋体" w:cs="Arial"/>
          <w:sz w:val="24"/>
          <w:szCs w:val="24"/>
          <w:lang w:eastAsia="zh-CN"/>
        </w:rPr>
      </w:pPr>
    </w:p>
    <w:p w14:paraId="03E05E00">
      <w:pPr>
        <w:pStyle w:val="7"/>
        <w:snapToGrid w:val="0"/>
        <w:spacing w:line="300" w:lineRule="auto"/>
        <w:ind w:left="0"/>
        <w:jc w:val="both"/>
        <w:rPr>
          <w:rFonts w:ascii="Arial" w:hAnsi="Arial" w:eastAsia="宋体" w:cs="Arial"/>
          <w:lang w:eastAsia="zh-CN"/>
        </w:rPr>
      </w:pPr>
      <w:r>
        <w:rPr>
          <w:rFonts w:ascii="Arial" w:hAnsi="Arial" w:eastAsia="宋体" w:cs="Arial"/>
          <w:lang w:eastAsia="zh-CN"/>
        </w:rPr>
        <w:t>制造商进行的用于确立伯氏疏螺旋体抗体检测器械的性能的研究是确定这些器械的安全性和有效性以及实质等同性的基础。</w:t>
      </w:r>
    </w:p>
    <w:p w14:paraId="68FF56CB">
      <w:pPr>
        <w:snapToGrid w:val="0"/>
        <w:spacing w:line="300" w:lineRule="auto"/>
        <w:jc w:val="both"/>
        <w:rPr>
          <w:rFonts w:ascii="Arial" w:hAnsi="Arial" w:eastAsia="宋体" w:cs="Arial"/>
          <w:sz w:val="24"/>
          <w:szCs w:val="24"/>
          <w:lang w:eastAsia="zh-CN"/>
        </w:rPr>
      </w:pPr>
    </w:p>
    <w:p w14:paraId="79051C84">
      <w:pPr>
        <w:pStyle w:val="3"/>
        <w:snapToGrid w:val="0"/>
        <w:spacing w:line="300" w:lineRule="auto"/>
        <w:ind w:left="0"/>
        <w:jc w:val="both"/>
        <w:rPr>
          <w:rFonts w:ascii="Arial" w:hAnsi="Arial" w:eastAsia="宋体" w:cs="Arial"/>
          <w:lang w:eastAsia="zh-CN"/>
        </w:rPr>
      </w:pPr>
      <w:bookmarkStart w:id="8" w:name="_bookmark4"/>
      <w:bookmarkEnd w:id="8"/>
      <w:bookmarkStart w:id="9" w:name="_Toc479616107"/>
      <w:r>
        <w:rPr>
          <w:rFonts w:ascii="Arial" w:hAnsi="Arial" w:eastAsia="宋体" w:cs="Arial"/>
          <w:lang w:eastAsia="zh-CN"/>
        </w:rPr>
        <w:t>确定性能特性</w:t>
      </w:r>
      <w:bookmarkEnd w:id="9"/>
    </w:p>
    <w:p w14:paraId="21867F5F">
      <w:pPr>
        <w:pStyle w:val="5"/>
        <w:numPr>
          <w:ilvl w:val="0"/>
          <w:numId w:val="1"/>
        </w:numPr>
        <w:tabs>
          <w:tab w:val="left" w:pos="442"/>
        </w:tabs>
        <w:snapToGrid w:val="0"/>
        <w:spacing w:before="277" w:line="300" w:lineRule="auto"/>
        <w:ind w:left="0" w:hanging="341"/>
        <w:jc w:val="both"/>
        <w:rPr>
          <w:rFonts w:ascii="Arial" w:hAnsi="Arial" w:eastAsia="宋体" w:cs="Arial"/>
          <w:b w:val="0"/>
          <w:bCs w:val="0"/>
        </w:rPr>
      </w:pPr>
      <w:bookmarkStart w:id="10" w:name="_bookmark5"/>
      <w:bookmarkEnd w:id="10"/>
      <w:bookmarkStart w:id="11" w:name="_Toc479616108"/>
      <w:r>
        <w:rPr>
          <w:rFonts w:ascii="Arial" w:hAnsi="Arial" w:eastAsia="宋体" w:cs="Arial"/>
          <w:sz w:val="24"/>
          <w:szCs w:val="24"/>
        </w:rPr>
        <w:t>控制</w:t>
      </w:r>
      <w:bookmarkEnd w:id="11"/>
    </w:p>
    <w:p w14:paraId="1158B7BE">
      <w:pPr>
        <w:snapToGrid w:val="0"/>
        <w:spacing w:before="10" w:line="300" w:lineRule="auto"/>
        <w:jc w:val="both"/>
        <w:rPr>
          <w:rFonts w:ascii="Arial" w:hAnsi="Arial" w:eastAsia="宋体" w:cs="Arial"/>
          <w:b/>
          <w:bCs/>
          <w:sz w:val="17"/>
          <w:szCs w:val="17"/>
        </w:rPr>
      </w:pPr>
    </w:p>
    <w:p w14:paraId="5DED8217">
      <w:pPr>
        <w:pStyle w:val="7"/>
        <w:snapToGrid w:val="0"/>
        <w:spacing w:before="69" w:line="300" w:lineRule="auto"/>
        <w:ind w:left="0"/>
        <w:jc w:val="both"/>
        <w:rPr>
          <w:rFonts w:ascii="Arial" w:hAnsi="Arial" w:eastAsia="宋体" w:cs="Arial"/>
          <w:lang w:eastAsia="zh-CN"/>
        </w:rPr>
      </w:pPr>
      <w:r>
        <w:rPr>
          <w:rFonts w:ascii="Arial" w:hAnsi="Arial" w:eastAsia="宋体" w:cs="Arial"/>
          <w:lang w:eastAsia="zh-CN"/>
        </w:rPr>
        <w:t>在进行下述性能验证研究时，我们建议贵公司在分析和临床研究期间每天进行适当的控制。</w:t>
      </w:r>
    </w:p>
    <w:p w14:paraId="5EC08391">
      <w:pPr>
        <w:snapToGrid w:val="0"/>
        <w:spacing w:before="6" w:line="300" w:lineRule="auto"/>
        <w:jc w:val="both"/>
        <w:rPr>
          <w:rFonts w:ascii="Arial" w:hAnsi="Arial" w:eastAsia="宋体" w:cs="Arial"/>
          <w:sz w:val="24"/>
          <w:szCs w:val="24"/>
          <w:lang w:eastAsia="zh-CN"/>
        </w:rPr>
      </w:pPr>
    </w:p>
    <w:p w14:paraId="662DFE5F">
      <w:pPr>
        <w:pStyle w:val="5"/>
        <w:numPr>
          <w:ilvl w:val="0"/>
          <w:numId w:val="1"/>
        </w:numPr>
        <w:tabs>
          <w:tab w:val="left" w:pos="427"/>
        </w:tabs>
        <w:snapToGrid w:val="0"/>
        <w:spacing w:line="300" w:lineRule="auto"/>
        <w:ind w:left="0" w:hanging="326"/>
        <w:jc w:val="both"/>
        <w:rPr>
          <w:rFonts w:ascii="Arial" w:hAnsi="Arial" w:eastAsia="宋体" w:cs="Arial"/>
          <w:bCs w:val="0"/>
        </w:rPr>
      </w:pPr>
      <w:bookmarkStart w:id="12" w:name="_bookmark6"/>
      <w:bookmarkEnd w:id="12"/>
      <w:bookmarkStart w:id="13" w:name="_Toc479616109"/>
      <w:r>
        <w:rPr>
          <w:rFonts w:ascii="Arial" w:hAnsi="Arial" w:eastAsia="宋体" w:cs="Arial"/>
          <w:bCs w:val="0"/>
          <w:lang w:eastAsia="zh-CN"/>
        </w:rPr>
        <w:t>性能研究</w:t>
      </w:r>
      <w:bookmarkEnd w:id="13"/>
    </w:p>
    <w:p w14:paraId="38F19921">
      <w:pPr>
        <w:snapToGrid w:val="0"/>
        <w:spacing w:before="5" w:line="300" w:lineRule="auto"/>
        <w:jc w:val="both"/>
        <w:rPr>
          <w:rFonts w:ascii="Arial" w:hAnsi="Arial" w:eastAsia="宋体" w:cs="Arial"/>
          <w:b/>
          <w:bCs/>
          <w:sz w:val="17"/>
          <w:szCs w:val="17"/>
        </w:rPr>
      </w:pPr>
    </w:p>
    <w:p w14:paraId="5FE8E882">
      <w:pPr>
        <w:pStyle w:val="7"/>
        <w:snapToGrid w:val="0"/>
        <w:spacing w:before="69" w:line="300" w:lineRule="auto"/>
        <w:ind w:left="0"/>
        <w:jc w:val="both"/>
        <w:rPr>
          <w:rFonts w:ascii="Arial" w:hAnsi="Arial" w:eastAsia="宋体" w:cs="Arial"/>
          <w:lang w:eastAsia="zh-CN"/>
        </w:rPr>
      </w:pPr>
      <w:r>
        <w:rPr>
          <w:rFonts w:ascii="Arial" w:hAnsi="Arial" w:eastAsia="宋体" w:cs="Arial"/>
          <w:lang w:eastAsia="zh-CN"/>
        </w:rPr>
        <w:t>我们建议贵公司执行以下研究：</w:t>
      </w:r>
    </w:p>
    <w:p w14:paraId="5216101C">
      <w:pPr>
        <w:snapToGrid w:val="0"/>
        <w:spacing w:before="7" w:line="300" w:lineRule="auto"/>
        <w:jc w:val="both"/>
        <w:rPr>
          <w:rFonts w:ascii="Arial" w:hAnsi="Arial" w:eastAsia="宋体" w:cs="Arial"/>
          <w:sz w:val="24"/>
          <w:szCs w:val="24"/>
          <w:lang w:eastAsia="zh-CN"/>
        </w:rPr>
      </w:pPr>
    </w:p>
    <w:p w14:paraId="2254A788">
      <w:pPr>
        <w:pStyle w:val="6"/>
        <w:numPr>
          <w:ilvl w:val="1"/>
          <w:numId w:val="1"/>
        </w:numPr>
        <w:tabs>
          <w:tab w:val="left" w:pos="460"/>
        </w:tabs>
        <w:snapToGrid w:val="0"/>
        <w:spacing w:line="300" w:lineRule="auto"/>
        <w:ind w:left="0"/>
        <w:jc w:val="both"/>
        <w:rPr>
          <w:rFonts w:ascii="Arial" w:hAnsi="Arial" w:eastAsia="宋体" w:cs="Arial"/>
          <w:b w:val="0"/>
          <w:bCs w:val="0"/>
        </w:rPr>
      </w:pPr>
      <w:r>
        <w:rPr>
          <w:rFonts w:ascii="Arial" w:hAnsi="Arial" w:eastAsia="宋体" w:cs="Arial"/>
        </w:rPr>
        <w:t>交叉反应性</w:t>
      </w:r>
    </w:p>
    <w:p w14:paraId="28D3CCA1">
      <w:pPr>
        <w:snapToGrid w:val="0"/>
        <w:spacing w:before="7" w:line="300" w:lineRule="auto"/>
        <w:jc w:val="both"/>
        <w:rPr>
          <w:rFonts w:ascii="Arial" w:hAnsi="Arial" w:eastAsia="宋体" w:cs="Arial"/>
          <w:b/>
          <w:bCs/>
          <w:sz w:val="23"/>
          <w:szCs w:val="23"/>
        </w:rPr>
      </w:pPr>
    </w:p>
    <w:p w14:paraId="34580AFF">
      <w:pPr>
        <w:pStyle w:val="7"/>
        <w:snapToGrid w:val="0"/>
        <w:spacing w:line="300" w:lineRule="auto"/>
        <w:ind w:left="0"/>
        <w:jc w:val="both"/>
        <w:rPr>
          <w:rFonts w:ascii="Arial" w:hAnsi="Arial" w:eastAsia="宋体" w:cs="Arial"/>
          <w:lang w:eastAsia="zh-CN"/>
        </w:rPr>
      </w:pPr>
      <w:r>
        <w:rPr>
          <w:rFonts w:ascii="Arial" w:hAnsi="Arial" w:eastAsia="宋体" w:cs="Arial"/>
          <w:lang w:eastAsia="zh-CN"/>
        </w:rPr>
        <w:t>应对已知含有与伯氏疏螺旋体交叉反应的抗体的样本进行评估。我们建议针对每种类型至少测试10例样本。这些样本的示例包括但不限于：（1）从具有以下症状的患者获得的样本：如蜱传回归热等感染、梅毒和其他密螺旋体感染，立克次体疾病、埃里希体病 、巴贝虫病、钩端螺旋体病、细小病毒B19、流感病毒、Epstein-Barr病毒、巨细胞病毒、和幽门螺杆菌的感染；以及（2）从具有可与莱姆病的晚期临床症状混淆的诊断的患者获得的样本，如慢性疲劳综合症、纤维肌痛、类风湿性关节炎、自身免疫疾病、以及多发性硬化</w:t>
      </w:r>
    </w:p>
    <w:p w14:paraId="77246C70">
      <w:pPr>
        <w:pStyle w:val="7"/>
        <w:snapToGrid w:val="0"/>
        <w:spacing w:line="300" w:lineRule="auto"/>
        <w:ind w:left="0"/>
        <w:jc w:val="both"/>
        <w:rPr>
          <w:rFonts w:ascii="Arial" w:hAnsi="Arial" w:eastAsia="宋体" w:cs="Arial"/>
          <w:lang w:eastAsia="zh-CN"/>
        </w:rPr>
      </w:pPr>
    </w:p>
    <w:p w14:paraId="77E6A80C">
      <w:pPr>
        <w:pStyle w:val="7"/>
        <w:snapToGrid w:val="0"/>
        <w:spacing w:line="300" w:lineRule="auto"/>
        <w:ind w:left="0"/>
        <w:jc w:val="both"/>
        <w:rPr>
          <w:rFonts w:ascii="Arial" w:hAnsi="Arial" w:eastAsia="宋体" w:cs="Arial"/>
          <w:i/>
          <w:lang w:eastAsia="zh-CN"/>
        </w:rPr>
      </w:pPr>
      <w:r>
        <w:rPr>
          <w:rFonts w:ascii="Arial" w:hAnsi="Arial" w:eastAsia="宋体" w:cs="Arial"/>
          <w:i/>
          <w:lang w:eastAsia="zh-CN"/>
        </w:rPr>
        <w:t>干扰</w:t>
      </w:r>
    </w:p>
    <w:p w14:paraId="6F773D41">
      <w:pPr>
        <w:snapToGrid w:val="0"/>
        <w:spacing w:line="300" w:lineRule="auto"/>
        <w:jc w:val="both"/>
        <w:rPr>
          <w:rFonts w:ascii="Arial" w:hAnsi="Arial" w:eastAsia="宋体" w:cs="Arial"/>
          <w:sz w:val="24"/>
          <w:szCs w:val="24"/>
          <w:lang w:eastAsia="zh-CN"/>
        </w:rPr>
      </w:pPr>
    </w:p>
    <w:p w14:paraId="79EC56D5">
      <w:pPr>
        <w:pStyle w:val="7"/>
        <w:snapToGrid w:val="0"/>
        <w:spacing w:before="120" w:line="300" w:lineRule="auto"/>
        <w:ind w:left="0"/>
        <w:jc w:val="both"/>
        <w:rPr>
          <w:rFonts w:ascii="Arial" w:hAnsi="Arial" w:eastAsia="宋体" w:cs="Arial"/>
          <w:spacing w:val="-2"/>
          <w:lang w:eastAsia="zh-CN"/>
        </w:rPr>
      </w:pPr>
      <w:r>
        <w:rPr>
          <w:rFonts w:ascii="Arial" w:hAnsi="Arial" w:eastAsia="宋体" w:cs="Arial"/>
          <w:spacing w:val="-2"/>
          <w:lang w:eastAsia="zh-CN"/>
        </w:rPr>
        <w:t>我们建议贵公司详细说明潜在的干扰物对测定性能的影响。实验设计的示例（包括用于选择用于试验的干扰物的指南）见CLSI文献EP7-A2 [参考文件：3]。潜在的干扰源可以包括通常存在于血清中的高水平的化合物，例如甘油三酯、血红蛋白（即溶血样本）、胆红素、蛋白质和脂质。我们建议贵公司说明确定无干扰的标准或级别。</w:t>
      </w:r>
    </w:p>
    <w:p w14:paraId="44DFE934">
      <w:pPr>
        <w:snapToGrid w:val="0"/>
        <w:spacing w:before="5" w:line="300" w:lineRule="auto"/>
        <w:jc w:val="both"/>
        <w:rPr>
          <w:rFonts w:ascii="Arial" w:hAnsi="Arial" w:eastAsia="宋体" w:cs="Arial"/>
          <w:sz w:val="24"/>
          <w:szCs w:val="24"/>
          <w:lang w:eastAsia="zh-CN"/>
        </w:rPr>
      </w:pPr>
    </w:p>
    <w:p w14:paraId="1CF0D61F">
      <w:pPr>
        <w:pStyle w:val="19"/>
        <w:numPr>
          <w:ilvl w:val="1"/>
          <w:numId w:val="1"/>
        </w:numPr>
        <w:snapToGrid w:val="0"/>
        <w:spacing w:line="300" w:lineRule="auto"/>
        <w:ind w:left="0"/>
        <w:jc w:val="both"/>
        <w:rPr>
          <w:rFonts w:ascii="Arial" w:hAnsi="Arial" w:eastAsia="宋体" w:cs="Arial"/>
          <w:sz w:val="24"/>
          <w:szCs w:val="24"/>
        </w:rPr>
      </w:pPr>
      <w:r>
        <w:rPr>
          <w:rFonts w:ascii="Arial" w:hAnsi="Arial" w:eastAsia="宋体" w:cs="Arial"/>
          <w:sz w:val="24"/>
          <w:szCs w:val="24"/>
          <w:lang w:eastAsia="zh-CN"/>
        </w:rPr>
        <w:t>精确性</w:t>
      </w:r>
    </w:p>
    <w:p w14:paraId="1D000F28">
      <w:pPr>
        <w:snapToGrid w:val="0"/>
        <w:spacing w:before="5" w:line="300" w:lineRule="auto"/>
        <w:jc w:val="both"/>
        <w:rPr>
          <w:rFonts w:ascii="Arial" w:hAnsi="Arial" w:eastAsia="宋体" w:cs="Arial"/>
          <w:b/>
          <w:bCs/>
          <w:sz w:val="20"/>
          <w:szCs w:val="20"/>
        </w:rPr>
      </w:pPr>
    </w:p>
    <w:p w14:paraId="479C575C">
      <w:pPr>
        <w:snapToGrid w:val="0"/>
        <w:spacing w:line="300" w:lineRule="auto"/>
        <w:jc w:val="both"/>
        <w:rPr>
          <w:rFonts w:ascii="Arial" w:hAnsi="Arial" w:eastAsia="宋体" w:cs="Arial"/>
          <w:i/>
          <w:sz w:val="24"/>
          <w:szCs w:val="24"/>
          <w:lang w:eastAsia="zh-CN"/>
        </w:rPr>
      </w:pPr>
      <w:r>
        <w:rPr>
          <w:rFonts w:ascii="Arial" w:hAnsi="Arial" w:eastAsia="宋体" w:cs="Arial"/>
          <w:i/>
          <w:sz w:val="24"/>
          <w:szCs w:val="24"/>
          <w:lang w:eastAsia="zh-CN"/>
        </w:rPr>
        <w:t>实验室内精确性/复现性</w:t>
      </w:r>
    </w:p>
    <w:p w14:paraId="67239C2A">
      <w:pPr>
        <w:snapToGrid w:val="0"/>
        <w:spacing w:line="300" w:lineRule="auto"/>
        <w:jc w:val="both"/>
        <w:rPr>
          <w:rFonts w:ascii="Arial" w:hAnsi="Arial" w:eastAsia="宋体" w:cs="Arial"/>
          <w:sz w:val="24"/>
          <w:szCs w:val="24"/>
          <w:lang w:eastAsia="zh-CN"/>
        </w:rPr>
      </w:pPr>
    </w:p>
    <w:p w14:paraId="3E46C8A9">
      <w:pPr>
        <w:pStyle w:val="7"/>
        <w:snapToGrid w:val="0"/>
        <w:spacing w:before="120" w:line="300" w:lineRule="auto"/>
        <w:ind w:left="0"/>
        <w:jc w:val="both"/>
        <w:rPr>
          <w:rFonts w:ascii="Arial" w:hAnsi="Arial" w:eastAsia="宋体" w:cs="Arial"/>
          <w:lang w:eastAsia="zh-CN"/>
        </w:rPr>
      </w:pPr>
      <w:r>
        <w:rPr>
          <w:rFonts w:ascii="Arial" w:hAnsi="Arial" w:eastAsia="宋体" w:cs="Arial"/>
          <w:lang w:eastAsia="zh-CN"/>
        </w:rPr>
        <w:t>我们建议贵公司对（包括工具或自动化组件）器械进行实验室内精确性研究。贵公司可以在内部执行这些研究，即在贵公司自己的公司内。</w:t>
      </w:r>
    </w:p>
    <w:p w14:paraId="449C8F5A">
      <w:pPr>
        <w:snapToGrid w:val="0"/>
        <w:spacing w:line="300" w:lineRule="auto"/>
        <w:jc w:val="both"/>
        <w:rPr>
          <w:rFonts w:ascii="Arial" w:hAnsi="Arial" w:eastAsia="宋体" w:cs="Arial"/>
          <w:sz w:val="24"/>
          <w:szCs w:val="24"/>
          <w:lang w:eastAsia="zh-CN"/>
        </w:rPr>
      </w:pPr>
    </w:p>
    <w:p w14:paraId="3770255E">
      <w:pPr>
        <w:pStyle w:val="7"/>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至少对变异性来源（如操作员、天数、测定运行等）测试12天（日期不一定连续），每天运行2次，每次运行对每例样本重复测试2次。这些试验天数应至少跨越两个校准周期。试验小组应由3-6个处于三个不同水平抗体的患者样本组成，包括：</w:t>
      </w:r>
    </w:p>
    <w:p w14:paraId="281ABB6F">
      <w:pPr>
        <w:snapToGrid w:val="0"/>
        <w:spacing w:before="1" w:line="300" w:lineRule="auto"/>
        <w:jc w:val="both"/>
        <w:rPr>
          <w:rFonts w:ascii="Arial" w:hAnsi="Arial" w:eastAsia="宋体" w:cs="Arial"/>
          <w:sz w:val="24"/>
          <w:szCs w:val="24"/>
          <w:lang w:eastAsia="zh-CN"/>
        </w:rPr>
      </w:pPr>
    </w:p>
    <w:p w14:paraId="285312F5">
      <w:pPr>
        <w:pStyle w:val="28"/>
        <w:numPr>
          <w:ilvl w:val="0"/>
          <w:numId w:val="2"/>
        </w:numPr>
        <w:snapToGrid w:val="0"/>
        <w:spacing w:before="1" w:line="300" w:lineRule="auto"/>
        <w:ind w:firstLineChars="0"/>
        <w:jc w:val="both"/>
        <w:rPr>
          <w:rFonts w:ascii="Arial" w:hAnsi="Arial" w:eastAsia="宋体" w:cs="Arial"/>
          <w:sz w:val="24"/>
          <w:szCs w:val="24"/>
          <w:lang w:eastAsia="zh-CN"/>
        </w:rPr>
      </w:pPr>
      <w:r>
        <w:rPr>
          <w:rFonts w:ascii="Arial" w:hAnsi="Arial" w:eastAsia="宋体" w:cs="Arial"/>
          <w:sz w:val="24"/>
          <w:szCs w:val="24"/>
          <w:lang w:eastAsia="zh-CN"/>
        </w:rPr>
        <w:t>阴性样本：不含分析物的样本，因此当时对该样本进行的重复试验结果为100％阴性。</w:t>
      </w:r>
    </w:p>
    <w:p w14:paraId="7BC523B7">
      <w:pPr>
        <w:pStyle w:val="28"/>
        <w:numPr>
          <w:ilvl w:val="0"/>
          <w:numId w:val="2"/>
        </w:numPr>
        <w:snapToGrid w:val="0"/>
        <w:spacing w:before="1" w:line="300" w:lineRule="auto"/>
        <w:ind w:firstLineChars="0"/>
        <w:jc w:val="both"/>
        <w:rPr>
          <w:rFonts w:ascii="Arial" w:hAnsi="Arial" w:eastAsia="宋体" w:cs="Arial"/>
          <w:sz w:val="24"/>
          <w:szCs w:val="24"/>
          <w:lang w:eastAsia="zh-CN"/>
        </w:rPr>
      </w:pPr>
      <w:r>
        <w:rPr>
          <w:rFonts w:ascii="Arial" w:hAnsi="Arial" w:eastAsia="宋体" w:cs="Arial"/>
          <w:sz w:val="24"/>
          <w:szCs w:val="24"/>
          <w:lang w:eastAsia="zh-CN"/>
        </w:rPr>
        <w:t>“高阴性”样本（C5浓度）：分析物浓度低于临床临界点的样本，使得当时对该样本进行的重复试验结果约为95％阴性（当时阳性结果约为5％）。</w:t>
      </w:r>
    </w:p>
    <w:p w14:paraId="5DC1C8A8">
      <w:pPr>
        <w:pStyle w:val="28"/>
        <w:numPr>
          <w:ilvl w:val="0"/>
          <w:numId w:val="2"/>
        </w:numPr>
        <w:snapToGrid w:val="0"/>
        <w:spacing w:before="1" w:line="300" w:lineRule="auto"/>
        <w:ind w:firstLineChars="0"/>
        <w:jc w:val="both"/>
        <w:rPr>
          <w:rFonts w:ascii="Arial" w:hAnsi="Arial" w:eastAsia="宋体" w:cs="Arial"/>
          <w:sz w:val="24"/>
          <w:szCs w:val="24"/>
          <w:lang w:eastAsia="zh-CN"/>
        </w:rPr>
      </w:pPr>
      <w:r>
        <w:rPr>
          <w:rFonts w:ascii="Arial" w:hAnsi="Arial" w:eastAsia="宋体" w:cs="Arial"/>
          <w:sz w:val="24"/>
          <w:szCs w:val="24"/>
          <w:lang w:eastAsia="zh-CN"/>
        </w:rPr>
        <w:t>“低阳性”样本（C95浓度）：分析物浓度刚好高于临床临界点的样本，使得当时对该样本进行的重复试验结果约为95％阳性。</w:t>
      </w:r>
    </w:p>
    <w:p w14:paraId="1536DB21">
      <w:pPr>
        <w:pStyle w:val="28"/>
        <w:numPr>
          <w:ilvl w:val="0"/>
          <w:numId w:val="2"/>
        </w:numPr>
        <w:snapToGrid w:val="0"/>
        <w:spacing w:before="1" w:line="300" w:lineRule="auto"/>
        <w:ind w:firstLineChars="0"/>
        <w:jc w:val="both"/>
        <w:rPr>
          <w:rFonts w:ascii="Arial" w:hAnsi="Arial" w:eastAsia="宋体" w:cs="Arial"/>
          <w:sz w:val="24"/>
          <w:szCs w:val="24"/>
          <w:lang w:eastAsia="zh-CN"/>
        </w:rPr>
      </w:pPr>
      <w:r>
        <w:rPr>
          <w:rFonts w:ascii="Arial" w:hAnsi="Arial" w:eastAsia="宋体" w:cs="Arial"/>
          <w:sz w:val="24"/>
          <w:szCs w:val="24"/>
          <w:lang w:eastAsia="zh-CN"/>
        </w:rPr>
        <w:t>“中等阳性”样本：具有预期可使当时的阳性结果约为100％（例如，约临床临界浓度的2-3倍）的浓度的样本。</w:t>
      </w:r>
    </w:p>
    <w:p w14:paraId="55141D18">
      <w:pPr>
        <w:snapToGrid w:val="0"/>
        <w:spacing w:before="1" w:line="300" w:lineRule="auto"/>
        <w:jc w:val="both"/>
        <w:rPr>
          <w:rFonts w:ascii="Arial" w:hAnsi="Arial" w:eastAsia="宋体" w:cs="Arial"/>
          <w:sz w:val="24"/>
          <w:szCs w:val="24"/>
          <w:lang w:eastAsia="zh-CN"/>
        </w:rPr>
      </w:pPr>
    </w:p>
    <w:p w14:paraId="584E5FCF">
      <w:pPr>
        <w:pStyle w:val="7"/>
        <w:snapToGrid w:val="0"/>
        <w:spacing w:line="300" w:lineRule="auto"/>
        <w:ind w:left="0"/>
        <w:jc w:val="both"/>
        <w:rPr>
          <w:rFonts w:ascii="Arial" w:hAnsi="Arial" w:eastAsia="宋体" w:cs="Arial"/>
          <w:i/>
          <w:lang w:eastAsia="zh-CN"/>
        </w:rPr>
      </w:pPr>
      <w:r>
        <w:rPr>
          <w:rFonts w:ascii="Arial" w:hAnsi="Arial" w:eastAsia="宋体" w:cs="Arial"/>
          <w:lang w:eastAsia="zh-CN"/>
        </w:rPr>
        <w:t>CLSI文件EP5-A2 [ 参考文件：4]和EP12-A [ 参考文件：5]包含有关设计和执行精确性研究的更多信息。</w:t>
      </w:r>
      <w:r>
        <w:rPr>
          <w:rFonts w:ascii="Arial" w:hAnsi="Arial" w:eastAsia="宋体" w:cs="Arial"/>
          <w:i/>
          <w:lang w:eastAsia="zh-CN"/>
        </w:rPr>
        <w:br w:type="page"/>
      </w:r>
    </w:p>
    <w:p w14:paraId="68F69475">
      <w:pPr>
        <w:snapToGrid w:val="0"/>
        <w:spacing w:before="7" w:line="300" w:lineRule="auto"/>
        <w:jc w:val="both"/>
        <w:rPr>
          <w:rFonts w:ascii="Arial" w:hAnsi="Arial" w:eastAsia="宋体" w:cs="Arial"/>
          <w:sz w:val="24"/>
          <w:szCs w:val="24"/>
          <w:lang w:eastAsia="zh-CN"/>
        </w:rPr>
      </w:pPr>
      <w:r>
        <w:rPr>
          <w:rFonts w:ascii="Arial" w:hAnsi="Arial" w:eastAsia="宋体" w:cs="Arial"/>
          <w:i/>
          <w:sz w:val="24"/>
          <w:lang w:eastAsia="zh-CN"/>
        </w:rPr>
        <w:t>复现性</w:t>
      </w:r>
    </w:p>
    <w:p w14:paraId="05BC94A6">
      <w:pPr>
        <w:snapToGrid w:val="0"/>
        <w:spacing w:before="7" w:line="300" w:lineRule="auto"/>
        <w:jc w:val="both"/>
        <w:rPr>
          <w:rFonts w:ascii="Arial" w:hAnsi="Arial" w:eastAsia="宋体" w:cs="Arial"/>
          <w:sz w:val="24"/>
          <w:szCs w:val="24"/>
          <w:lang w:eastAsia="zh-CN"/>
        </w:rPr>
      </w:pPr>
      <w:r>
        <w:rPr>
          <w:rFonts w:ascii="Arial" w:hAnsi="Arial" w:eastAsia="宋体" w:cs="Arial"/>
          <w:sz w:val="24"/>
          <w:szCs w:val="24"/>
          <w:lang w:eastAsia="zh-CN"/>
        </w:rPr>
        <w:t>用于复现性研究的方案可能根据测定形式稍有不同。作为一般指南，我们建议执行以下方案：</w:t>
      </w:r>
    </w:p>
    <w:p w14:paraId="5B7132CB">
      <w:pPr>
        <w:pStyle w:val="28"/>
        <w:numPr>
          <w:ilvl w:val="0"/>
          <w:numId w:val="3"/>
        </w:numPr>
        <w:tabs>
          <w:tab w:val="left" w:pos="1199"/>
          <w:tab w:val="left" w:pos="1200"/>
        </w:tabs>
        <w:snapToGrid w:val="0"/>
        <w:spacing w:before="144" w:line="300" w:lineRule="auto"/>
        <w:ind w:firstLineChars="0"/>
        <w:jc w:val="both"/>
        <w:rPr>
          <w:rFonts w:ascii="Arial" w:hAnsi="Arial" w:eastAsia="宋体" w:cs="Arial"/>
          <w:sz w:val="24"/>
          <w:szCs w:val="24"/>
          <w:lang w:eastAsia="zh-CN"/>
        </w:rPr>
      </w:pPr>
      <w:r>
        <w:rPr>
          <w:rFonts w:ascii="Arial" w:hAnsi="Arial" w:eastAsia="宋体" w:cs="Arial"/>
          <w:sz w:val="24"/>
          <w:szCs w:val="24"/>
          <w:lang w:eastAsia="zh-CN"/>
        </w:rPr>
        <w:t>在3个试验中心（例如，两个外部中心和一个内部中心）评估贵公司所进行的试验的复现性。</w:t>
      </w:r>
    </w:p>
    <w:p w14:paraId="62FED757">
      <w:pPr>
        <w:pStyle w:val="28"/>
        <w:numPr>
          <w:ilvl w:val="0"/>
          <w:numId w:val="3"/>
        </w:numPr>
        <w:tabs>
          <w:tab w:val="left" w:pos="1199"/>
          <w:tab w:val="left" w:pos="1200"/>
        </w:tabs>
        <w:snapToGrid w:val="0"/>
        <w:spacing w:before="1" w:line="300" w:lineRule="auto"/>
        <w:ind w:firstLineChars="0"/>
        <w:jc w:val="both"/>
        <w:rPr>
          <w:rFonts w:ascii="Arial" w:hAnsi="Arial" w:eastAsia="宋体" w:cs="Arial"/>
          <w:sz w:val="24"/>
          <w:szCs w:val="24"/>
          <w:lang w:eastAsia="zh-CN"/>
        </w:rPr>
      </w:pPr>
      <w:r>
        <w:rPr>
          <w:rFonts w:ascii="Arial" w:hAnsi="Arial" w:eastAsia="宋体" w:cs="Arial"/>
          <w:sz w:val="24"/>
          <w:szCs w:val="24"/>
          <w:lang w:eastAsia="zh-CN"/>
        </w:rPr>
        <w:t>使用时间长达五天的试验方案，包括每天至少执行两次运行（除非测定设计排除了每天多次运行）以及每次运行中每个小组成员需重复试验三次。</w:t>
      </w:r>
    </w:p>
    <w:p w14:paraId="265D2E8C">
      <w:pPr>
        <w:pStyle w:val="28"/>
        <w:numPr>
          <w:ilvl w:val="0"/>
          <w:numId w:val="3"/>
        </w:numPr>
        <w:tabs>
          <w:tab w:val="left" w:pos="1199"/>
          <w:tab w:val="left" w:pos="1200"/>
        </w:tabs>
        <w:snapToGrid w:val="0"/>
        <w:spacing w:before="12" w:line="300" w:lineRule="auto"/>
        <w:ind w:firstLineChars="0"/>
        <w:jc w:val="both"/>
        <w:rPr>
          <w:rFonts w:ascii="Arial" w:hAnsi="Arial" w:eastAsia="宋体" w:cs="Arial"/>
          <w:sz w:val="24"/>
          <w:szCs w:val="24"/>
          <w:lang w:eastAsia="zh-CN"/>
        </w:rPr>
      </w:pPr>
      <w:r>
        <w:rPr>
          <w:rFonts w:ascii="Arial" w:hAnsi="Arial" w:eastAsia="宋体" w:cs="Arial"/>
          <w:sz w:val="24"/>
          <w:szCs w:val="24"/>
          <w:lang w:eastAsia="zh-CN"/>
        </w:rPr>
        <w:t>每天至少由两个操作员在各场地进行试验。我们建议，对于快速试验或护理点（POC）</w:t>
      </w:r>
      <w:r>
        <w:rPr>
          <w:rFonts w:ascii="Arial" w:hAnsi="Arial" w:eastAsia="宋体" w:cs="Arial"/>
          <w:sz w:val="24"/>
          <w:szCs w:val="24"/>
          <w:vertAlign w:val="superscript"/>
          <w:lang w:eastAsia="zh-CN"/>
        </w:rPr>
        <w:t>1</w:t>
      </w:r>
      <w:r>
        <w:rPr>
          <w:rFonts w:ascii="Arial" w:hAnsi="Arial" w:eastAsia="宋体" w:cs="Arial"/>
          <w:sz w:val="24"/>
          <w:szCs w:val="24"/>
          <w:lang w:eastAsia="zh-CN"/>
        </w:rPr>
        <w:t>器械，贵公司应在评估中纳入更多器械，以最好地表征将使用器械的环境。</w:t>
      </w:r>
    </w:p>
    <w:p w14:paraId="605ED0BA">
      <w:pPr>
        <w:pStyle w:val="28"/>
        <w:numPr>
          <w:ilvl w:val="0"/>
          <w:numId w:val="3"/>
        </w:numPr>
        <w:tabs>
          <w:tab w:val="left" w:pos="1199"/>
          <w:tab w:val="left" w:pos="1200"/>
        </w:tabs>
        <w:snapToGrid w:val="0"/>
        <w:spacing w:before="4" w:line="300" w:lineRule="auto"/>
        <w:ind w:firstLineChars="0"/>
        <w:jc w:val="both"/>
        <w:rPr>
          <w:rFonts w:ascii="Arial" w:hAnsi="Arial" w:eastAsia="宋体" w:cs="Arial"/>
          <w:sz w:val="24"/>
          <w:szCs w:val="24"/>
          <w:lang w:eastAsia="zh-CN"/>
        </w:rPr>
      </w:pPr>
      <w:r>
        <w:rPr>
          <w:rFonts w:ascii="Arial" w:hAnsi="Arial" w:eastAsia="宋体" w:cs="Arial"/>
          <w:sz w:val="24"/>
          <w:szCs w:val="24"/>
          <w:lang w:eastAsia="zh-CN"/>
        </w:rPr>
        <w:t>使用与上述复现性研究中所述相同的样本小组。</w:t>
      </w:r>
    </w:p>
    <w:p w14:paraId="1F9A7F79">
      <w:pPr>
        <w:pStyle w:val="7"/>
        <w:snapToGrid w:val="0"/>
        <w:spacing w:line="300" w:lineRule="auto"/>
        <w:ind w:left="0"/>
        <w:jc w:val="both"/>
        <w:rPr>
          <w:rFonts w:ascii="Arial" w:hAnsi="Arial" w:eastAsia="宋体" w:cs="Arial"/>
          <w:lang w:eastAsia="zh-CN"/>
        </w:rPr>
      </w:pPr>
      <w:r>
        <w:rPr>
          <w:rFonts w:ascii="Arial" w:hAnsi="Arial" w:eastAsia="宋体" w:cs="Arial"/>
          <w:lang w:eastAsia="zh-CN"/>
        </w:rPr>
        <w:t>CLSI文件，EP15-A2 [参考文件：6]，包含有关复现性研究设计的附加信息。</w:t>
      </w:r>
    </w:p>
    <w:p w14:paraId="34C37747">
      <w:pPr>
        <w:pStyle w:val="7"/>
        <w:snapToGrid w:val="0"/>
        <w:spacing w:line="300" w:lineRule="auto"/>
        <w:ind w:left="0"/>
        <w:jc w:val="both"/>
        <w:rPr>
          <w:rFonts w:ascii="Arial" w:hAnsi="Arial" w:eastAsia="宋体" w:cs="Arial"/>
          <w:lang w:eastAsia="zh-CN"/>
        </w:rPr>
      </w:pPr>
    </w:p>
    <w:p w14:paraId="4E3FB9D6">
      <w:pPr>
        <w:pStyle w:val="6"/>
        <w:snapToGrid w:val="0"/>
        <w:spacing w:line="300" w:lineRule="auto"/>
        <w:ind w:left="0" w:firstLine="0"/>
        <w:jc w:val="both"/>
        <w:rPr>
          <w:rFonts w:ascii="Arial" w:hAnsi="Arial" w:eastAsia="宋体" w:cs="Arial"/>
          <w:b w:val="0"/>
          <w:bCs w:val="0"/>
          <w:lang w:eastAsia="zh-CN"/>
        </w:rPr>
      </w:pPr>
      <w:r>
        <w:rPr>
          <w:rFonts w:ascii="Arial" w:hAnsi="Arial" w:eastAsia="宋体" w:cs="Arial"/>
          <w:lang w:eastAsia="zh-CN"/>
        </w:rPr>
        <w:t>3.样本采集和处理条件</w:t>
      </w:r>
    </w:p>
    <w:p w14:paraId="53D097B7">
      <w:pPr>
        <w:snapToGrid w:val="0"/>
        <w:spacing w:before="4" w:line="300" w:lineRule="auto"/>
        <w:jc w:val="both"/>
        <w:rPr>
          <w:rFonts w:ascii="Arial" w:hAnsi="Arial" w:eastAsia="宋体" w:cs="Arial"/>
          <w:b/>
          <w:bCs/>
          <w:sz w:val="23"/>
          <w:szCs w:val="23"/>
          <w:lang w:eastAsia="zh-CN"/>
        </w:rPr>
      </w:pPr>
    </w:p>
    <w:p w14:paraId="58FDC092">
      <w:pPr>
        <w:pStyle w:val="7"/>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通过评估器械在建议用户使用的存储时间和温度范围内是否可以保持可接受的性能，来证实标签中有关样本存储和运输的声明。例如，适当的研究将包括对在建议的时间、温度或指定数量的冷冻/解冻循环条件下储存的等分试样进行的分析。我们建议贵公司根据CLSI文件H18-A [参考文件：7]中所述的建议存储和处理条件下说明可接受的回收范围的标准。。</w:t>
      </w:r>
    </w:p>
    <w:p w14:paraId="39333E54">
      <w:pPr>
        <w:snapToGrid w:val="0"/>
        <w:spacing w:before="2" w:line="300" w:lineRule="auto"/>
        <w:jc w:val="both"/>
        <w:rPr>
          <w:rFonts w:ascii="Arial" w:hAnsi="Arial" w:eastAsia="宋体" w:cs="Arial"/>
          <w:sz w:val="24"/>
          <w:szCs w:val="24"/>
          <w:lang w:eastAsia="zh-CN"/>
        </w:rPr>
      </w:pPr>
    </w:p>
    <w:p w14:paraId="581DC644">
      <w:pPr>
        <w:pStyle w:val="6"/>
        <w:numPr>
          <w:ilvl w:val="0"/>
          <w:numId w:val="4"/>
        </w:numPr>
        <w:tabs>
          <w:tab w:val="left" w:pos="360"/>
        </w:tabs>
        <w:snapToGrid w:val="0"/>
        <w:spacing w:line="300" w:lineRule="auto"/>
        <w:ind w:left="0"/>
        <w:jc w:val="both"/>
        <w:rPr>
          <w:rFonts w:ascii="Arial" w:hAnsi="Arial" w:eastAsia="宋体" w:cs="Arial"/>
          <w:b w:val="0"/>
          <w:bCs w:val="0"/>
        </w:rPr>
      </w:pPr>
      <w:r>
        <w:rPr>
          <w:rFonts w:ascii="Arial" w:hAnsi="Arial" w:eastAsia="宋体" w:cs="Arial"/>
        </w:rPr>
        <w:t>测定</w:t>
      </w:r>
      <w:r>
        <w:rPr>
          <w:rFonts w:ascii="Arial" w:hAnsi="Arial" w:eastAsia="宋体" w:cs="Arial"/>
          <w:lang w:eastAsia="zh-CN"/>
        </w:rPr>
        <w:t>临界</w:t>
      </w:r>
      <w:r>
        <w:rPr>
          <w:rFonts w:ascii="Arial" w:hAnsi="Arial" w:eastAsia="宋体" w:cs="Arial"/>
        </w:rPr>
        <w:t>点</w:t>
      </w:r>
    </w:p>
    <w:p w14:paraId="0C21C16A">
      <w:pPr>
        <w:snapToGrid w:val="0"/>
        <w:spacing w:before="7" w:line="300" w:lineRule="auto"/>
        <w:jc w:val="both"/>
        <w:rPr>
          <w:rFonts w:ascii="Arial" w:hAnsi="Arial" w:eastAsia="宋体" w:cs="Arial"/>
          <w:b/>
          <w:bCs/>
          <w:sz w:val="23"/>
          <w:szCs w:val="23"/>
        </w:rPr>
      </w:pPr>
    </w:p>
    <w:p w14:paraId="46BF1B2F">
      <w:pPr>
        <w:pStyle w:val="7"/>
        <w:snapToGrid w:val="0"/>
        <w:spacing w:line="300" w:lineRule="auto"/>
        <w:ind w:left="0"/>
        <w:jc w:val="both"/>
        <w:rPr>
          <w:rFonts w:ascii="Arial" w:hAnsi="Arial" w:eastAsia="宋体" w:cs="Arial"/>
          <w:lang w:eastAsia="zh-CN"/>
        </w:rPr>
      </w:pPr>
      <w:r>
        <w:rPr>
          <w:rFonts w:ascii="Arial" w:hAnsi="Arial" w:eastAsia="宋体" w:cs="Arial"/>
          <w:lang w:eastAsia="zh-CN"/>
        </w:rPr>
        <w:t>我们建议提供数据以说明如何选择和确定测定临界点。如果适当，应提供关于使用不明确区域进行试验的信息。如果数据表明某一不明确的区域不适于进行试验，请提供说明。</w:t>
      </w:r>
    </w:p>
    <w:p w14:paraId="6AADBBBE">
      <w:pPr>
        <w:snapToGrid w:val="0"/>
        <w:spacing w:before="4" w:line="300" w:lineRule="auto"/>
        <w:jc w:val="both"/>
        <w:rPr>
          <w:rFonts w:ascii="Arial" w:hAnsi="Arial" w:eastAsia="宋体" w:cs="Arial"/>
          <w:sz w:val="28"/>
          <w:szCs w:val="28"/>
          <w:lang w:eastAsia="zh-CN"/>
        </w:rPr>
      </w:pPr>
    </w:p>
    <w:p w14:paraId="593FBA49">
      <w:pPr>
        <w:pStyle w:val="6"/>
        <w:numPr>
          <w:ilvl w:val="0"/>
          <w:numId w:val="4"/>
        </w:numPr>
        <w:tabs>
          <w:tab w:val="left" w:pos="361"/>
        </w:tabs>
        <w:snapToGrid w:val="0"/>
        <w:spacing w:line="300" w:lineRule="auto"/>
        <w:ind w:left="0"/>
        <w:jc w:val="both"/>
        <w:rPr>
          <w:rFonts w:ascii="Arial" w:hAnsi="Arial" w:eastAsia="宋体" w:cs="Arial"/>
          <w:b w:val="0"/>
          <w:bCs w:val="0"/>
        </w:rPr>
      </w:pPr>
      <w:r>
        <w:rPr>
          <w:rFonts w:ascii="Arial" w:hAnsi="Arial" w:eastAsia="宋体" w:cs="Arial"/>
        </w:rPr>
        <w:t>临床性能研究</w:t>
      </w:r>
    </w:p>
    <w:p w14:paraId="3091D18C">
      <w:pPr>
        <w:snapToGrid w:val="0"/>
        <w:spacing w:before="5" w:line="300" w:lineRule="auto"/>
        <w:jc w:val="both"/>
        <w:rPr>
          <w:rFonts w:ascii="Arial" w:hAnsi="Arial" w:eastAsia="宋体" w:cs="Arial"/>
          <w:b/>
          <w:bCs/>
          <w:sz w:val="20"/>
          <w:szCs w:val="20"/>
        </w:rPr>
      </w:pPr>
    </w:p>
    <w:p w14:paraId="3D7368AA">
      <w:pPr>
        <w:pStyle w:val="7"/>
        <w:snapToGrid w:val="0"/>
        <w:spacing w:line="300" w:lineRule="auto"/>
        <w:ind w:left="0"/>
        <w:jc w:val="both"/>
        <w:rPr>
          <w:rFonts w:ascii="Arial" w:hAnsi="Arial" w:eastAsia="宋体" w:cs="Arial"/>
          <w:lang w:eastAsia="zh-CN"/>
        </w:rPr>
      </w:pPr>
      <w:r>
        <w:rPr>
          <w:rFonts w:ascii="Arial" w:hAnsi="Arial" w:eastAsia="宋体" w:cs="Arial"/>
          <w:lang w:eastAsia="zh-CN"/>
        </w:rPr>
        <w:t>目前推荐的莱姆病血清学试验是一个两步式程序[参考文件：1，2]：</w:t>
      </w:r>
    </w:p>
    <w:p w14:paraId="70CC0E52">
      <w:pPr>
        <w:snapToGrid w:val="0"/>
        <w:spacing w:line="300" w:lineRule="auto"/>
        <w:jc w:val="both"/>
        <w:rPr>
          <w:rFonts w:ascii="Arial" w:hAnsi="Arial" w:eastAsia="宋体" w:cs="Arial"/>
          <w:sz w:val="20"/>
          <w:szCs w:val="20"/>
          <w:lang w:eastAsia="zh-CN"/>
        </w:rPr>
      </w:pPr>
    </w:p>
    <w:p w14:paraId="46A8B3FC">
      <w:pPr>
        <w:snapToGrid w:val="0"/>
        <w:spacing w:before="2" w:line="300" w:lineRule="auto"/>
        <w:jc w:val="both"/>
        <w:rPr>
          <w:rFonts w:ascii="Arial" w:hAnsi="Arial" w:eastAsia="宋体" w:cs="Arial"/>
          <w:sz w:val="15"/>
          <w:szCs w:val="15"/>
          <w:lang w:eastAsia="zh-CN"/>
        </w:rPr>
      </w:pPr>
    </w:p>
    <w:p w14:paraId="31EBEC3D">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11430" b="11430"/>
                <wp:docPr id="7" name="Group 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8" name="Group 6"/>
                        <wpg:cNvGrpSpPr/>
                        <wpg:grpSpPr>
                          <a:xfrm>
                            <a:off x="6" y="6"/>
                            <a:ext cx="2880" cy="2"/>
                            <a:chOff x="6" y="6"/>
                            <a:chExt cx="2880" cy="2"/>
                          </a:xfrm>
                        </wpg:grpSpPr>
                        <wps:wsp>
                          <wps:cNvPr id="9" name="Freeform 7"/>
                          <wps:cNvSpPr/>
                          <wps:spPr bwMode="auto">
                            <a:xfrm>
                              <a:off x="12" y="12"/>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CA/oSF1AAAAAMBAAAPAAAAAAAAAAEAIAAAACIAAABkcnMvZG93bnJl&#10;di54bWxQSwECFAAUAAAACACHTuJAx1084B4DAAD6BwAADgAAAAAAAAABACAAAAAjAQAAZHJzL2Uy&#10;b0RvYy54bWxQSwUGAAAAAAYABgBZAQAAswYAAAAA&#10;">
                <o:lock v:ext="edit" aspectratio="f"/>
                <v:group id="Group 6" o:spid="_x0000_s1026" o:spt="203" style="position:absolute;left:6;top:6;height:2;width:2880;" coordorigin="6,6" coordsize="288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7" o:spid="_x0000_s1026" o:spt="100" style="position:absolute;left:12;top:12;height:0;width:2880;" filled="f" stroked="t" coordsize="2880,1" o:gfxdata="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yKcr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B0D11E4">
      <w:pPr>
        <w:snapToGrid w:val="0"/>
        <w:spacing w:before="71" w:line="300" w:lineRule="auto"/>
        <w:jc w:val="both"/>
        <w:rPr>
          <w:rFonts w:ascii="Arial" w:hAnsi="Arial" w:eastAsia="宋体" w:cs="Arial"/>
          <w:sz w:val="20"/>
          <w:szCs w:val="20"/>
          <w:lang w:eastAsia="zh-CN"/>
        </w:rPr>
        <w:sectPr>
          <w:pgSz w:w="12260" w:h="15840"/>
          <w:pgMar w:top="980" w:right="1720" w:bottom="960" w:left="1680" w:header="748" w:footer="764" w:gutter="0"/>
          <w:cols w:space="720" w:num="1"/>
        </w:sectPr>
      </w:pPr>
      <w:r>
        <w:rPr>
          <w:rFonts w:ascii="Arial" w:hAnsi="Arial" w:eastAsia="宋体" w:cs="Arial"/>
          <w:position w:val="9"/>
          <w:sz w:val="13"/>
          <w:lang w:eastAsia="zh-CN"/>
        </w:rPr>
        <w:t>1</w:t>
      </w:r>
      <w:r>
        <w:rPr>
          <w:rFonts w:ascii="Arial" w:hAnsi="Arial" w:eastAsia="宋体" w:cs="Arial"/>
          <w:sz w:val="20"/>
          <w:szCs w:val="20"/>
          <w:lang w:eastAsia="zh-CN"/>
        </w:rPr>
        <w:t>护理点试验（也称为临床或近患者试验）是一个术语，其包括在患者护理部位附近进行的任何诊断试验，其中，不论该器械是由训练有素的医疗专业人员使用还是由外行用户使用。在护理点附近进行诊断试验的人员，无论是训练有素的医疗专业人员还是外行用户，在此情况下均属于护理人员，因为该人员提供护理。</w:t>
      </w:r>
    </w:p>
    <w:p w14:paraId="22441F92">
      <w:pPr>
        <w:snapToGrid w:val="0"/>
        <w:spacing w:before="9" w:line="300" w:lineRule="auto"/>
        <w:jc w:val="both"/>
        <w:rPr>
          <w:rFonts w:ascii="Arial" w:hAnsi="Arial" w:eastAsia="宋体" w:cs="Arial"/>
          <w:sz w:val="23"/>
          <w:szCs w:val="23"/>
          <w:lang w:eastAsia="zh-CN"/>
        </w:rPr>
      </w:pPr>
      <w:r>
        <w:rPr>
          <w:rFonts w:ascii="Arial" w:hAnsi="Arial" w:eastAsia="宋体" w:cs="Arial"/>
          <w:sz w:val="23"/>
          <w:szCs w:val="23"/>
          <w:lang w:eastAsia="zh-CN"/>
        </w:rPr>
        <w:t>步骤I：对IgM和/或IgG抗体进行EIA试验</w:t>
      </w:r>
    </w:p>
    <w:p w14:paraId="3C088DF4">
      <w:pPr>
        <w:snapToGrid w:val="0"/>
        <w:spacing w:before="9" w:line="300" w:lineRule="auto"/>
        <w:jc w:val="both"/>
        <w:rPr>
          <w:rFonts w:ascii="Arial" w:hAnsi="Arial" w:eastAsia="宋体" w:cs="Arial"/>
          <w:sz w:val="23"/>
          <w:szCs w:val="23"/>
          <w:lang w:eastAsia="zh-CN"/>
        </w:rPr>
      </w:pPr>
      <w:r>
        <w:rPr>
          <w:rFonts w:ascii="Arial" w:hAnsi="Arial" w:eastAsia="宋体" w:cs="Arial"/>
          <w:sz w:val="23"/>
          <w:szCs w:val="23"/>
          <w:lang w:eastAsia="zh-CN"/>
        </w:rPr>
        <w:t>步骤II：当EIA试验的结果为阳性或不明确时，对IgM或IgG抗体进行蛋白质印迹试验</w:t>
      </w:r>
    </w:p>
    <w:p w14:paraId="0478BFBB">
      <w:pPr>
        <w:snapToGrid w:val="0"/>
        <w:spacing w:line="300" w:lineRule="auto"/>
        <w:jc w:val="both"/>
        <w:rPr>
          <w:rFonts w:ascii="Arial" w:hAnsi="Arial" w:eastAsia="宋体" w:cs="Arial"/>
          <w:sz w:val="24"/>
          <w:szCs w:val="24"/>
          <w:lang w:eastAsia="zh-CN"/>
        </w:rPr>
      </w:pPr>
    </w:p>
    <w:p w14:paraId="32DC239D">
      <w:pPr>
        <w:pStyle w:val="7"/>
        <w:snapToGrid w:val="0"/>
        <w:spacing w:line="300" w:lineRule="auto"/>
        <w:ind w:left="0"/>
        <w:jc w:val="both"/>
        <w:rPr>
          <w:rFonts w:ascii="Arial" w:hAnsi="Arial" w:eastAsia="宋体" w:cs="Arial"/>
          <w:lang w:eastAsia="zh-CN"/>
        </w:rPr>
      </w:pPr>
      <w:r>
        <w:rPr>
          <w:rFonts w:ascii="Arial" w:hAnsi="Arial" w:eastAsia="宋体" w:cs="Arial"/>
          <w:sz w:val="23"/>
          <w:szCs w:val="23"/>
          <w:lang w:eastAsia="zh-CN"/>
        </w:rPr>
        <w:t>由于来自美国（美国）的伯氏疏螺旋体菌株与欧洲和其他非美国地方性流行区明显不同，所以将在美国上市的莱姆病器械中使用的所有抗原试剂应该由美国菌株制成（准确来说为 B31伯氏疏螺旋体）而不得用其他非美国菌株制成。当使用全细胞超声处理作为抗原试剂以在EIA和蛋白质印迹器械中捕获伯氏疏螺旋体抗体时，上述要求尤其重要。然而，可以接受使用欧洲疏螺旋体物种的重组蛋白（长度既定）来增强美国伯氏疏螺旋体菌株的抗原，但不得使用其全部细胞裂解物。对于IgM或IgG抗体，这仅适用于第一级EIA试验，而不适用于蛋白质印迹试验。</w:t>
      </w:r>
    </w:p>
    <w:p w14:paraId="238390D6">
      <w:pPr>
        <w:snapToGrid w:val="0"/>
        <w:spacing w:before="9" w:line="300" w:lineRule="auto"/>
        <w:jc w:val="both"/>
        <w:rPr>
          <w:rFonts w:ascii="Arial" w:hAnsi="Arial" w:eastAsia="宋体" w:cs="Arial"/>
          <w:sz w:val="23"/>
          <w:szCs w:val="23"/>
          <w:lang w:eastAsia="zh-CN"/>
        </w:rPr>
      </w:pPr>
    </w:p>
    <w:p w14:paraId="1596693A">
      <w:pPr>
        <w:pStyle w:val="7"/>
        <w:snapToGrid w:val="0"/>
        <w:spacing w:line="300" w:lineRule="auto"/>
        <w:ind w:left="0"/>
        <w:jc w:val="both"/>
        <w:rPr>
          <w:rFonts w:ascii="Arial" w:hAnsi="Arial" w:eastAsia="宋体" w:cs="Arial"/>
          <w:lang w:eastAsia="zh-CN"/>
        </w:rPr>
      </w:pPr>
      <w:r>
        <w:rPr>
          <w:rFonts w:ascii="Arial" w:hAnsi="Arial" w:eastAsia="宋体" w:cs="Arial"/>
          <w:sz w:val="23"/>
          <w:szCs w:val="23"/>
          <w:lang w:eastAsia="zh-CN"/>
        </w:rPr>
        <w:t>临床研究对于确定EIA和蛋白质印迹器械的性能特性极为必要。通常，我们建议在由将试验用于临床实践的个体（例如，训练有素的技术人员）最终使用该器械的试验环境（例如，临床实验室）中对性能进行评估。下面将列举在确定每种器械类型的性能特性方面的预期结果。</w:t>
      </w:r>
    </w:p>
    <w:p w14:paraId="5C5091CC">
      <w:pPr>
        <w:snapToGrid w:val="0"/>
        <w:spacing w:line="300" w:lineRule="auto"/>
        <w:jc w:val="both"/>
        <w:rPr>
          <w:rFonts w:ascii="Arial" w:hAnsi="Arial" w:eastAsia="宋体" w:cs="Arial"/>
          <w:sz w:val="24"/>
          <w:szCs w:val="24"/>
          <w:lang w:eastAsia="zh-CN"/>
        </w:rPr>
      </w:pPr>
    </w:p>
    <w:p w14:paraId="5E793018">
      <w:pPr>
        <w:snapToGrid w:val="0"/>
        <w:spacing w:line="300" w:lineRule="auto"/>
        <w:jc w:val="both"/>
        <w:rPr>
          <w:rFonts w:ascii="Arial" w:hAnsi="Arial" w:eastAsia="宋体" w:cs="Arial"/>
          <w:i/>
          <w:sz w:val="24"/>
          <w:szCs w:val="24"/>
          <w:lang w:eastAsia="zh-CN"/>
        </w:rPr>
      </w:pPr>
      <w:r>
        <w:rPr>
          <w:rFonts w:ascii="Arial" w:hAnsi="Arial" w:eastAsia="宋体" w:cs="Arial"/>
          <w:i/>
          <w:sz w:val="24"/>
          <w:szCs w:val="24"/>
          <w:lang w:eastAsia="zh-CN"/>
        </w:rPr>
        <w:t>研究方案</w:t>
      </w:r>
    </w:p>
    <w:p w14:paraId="4BFBB85D">
      <w:pPr>
        <w:snapToGrid w:val="0"/>
        <w:spacing w:line="300" w:lineRule="auto"/>
        <w:jc w:val="both"/>
        <w:rPr>
          <w:rFonts w:ascii="Arial" w:hAnsi="Arial" w:eastAsia="宋体" w:cs="Arial"/>
          <w:sz w:val="24"/>
          <w:szCs w:val="24"/>
          <w:lang w:eastAsia="zh-CN"/>
        </w:rPr>
      </w:pPr>
    </w:p>
    <w:p w14:paraId="2FBEDB81">
      <w:pPr>
        <w:pStyle w:val="7"/>
        <w:snapToGrid w:val="0"/>
        <w:spacing w:before="120" w:line="300" w:lineRule="auto"/>
        <w:ind w:left="0"/>
        <w:jc w:val="both"/>
        <w:rPr>
          <w:rFonts w:ascii="Arial" w:hAnsi="Arial" w:eastAsia="宋体" w:cs="Arial"/>
          <w:lang w:eastAsia="zh-CN"/>
        </w:rPr>
      </w:pPr>
      <w:r>
        <w:rPr>
          <w:rFonts w:ascii="Arial" w:hAnsi="Arial" w:eastAsia="宋体" w:cs="Arial"/>
          <w:lang w:eastAsia="zh-CN"/>
        </w:rPr>
        <w:t>我们建议贵公司制定详细的研究方案，该方案须包括特定的患者纳入和排除标准、所需样本的类型和数量、使用说明以及解决差异以防止数据产生偏差的统计分析计划。贵公司需要提供统计说明来支持研究人群的样本量。我们建议贵公司在上市前申报中纳入该方案和任何其他相关方案信息。</w:t>
      </w:r>
    </w:p>
    <w:p w14:paraId="7891BD40">
      <w:pPr>
        <w:snapToGrid w:val="0"/>
        <w:spacing w:line="300" w:lineRule="auto"/>
        <w:jc w:val="both"/>
        <w:rPr>
          <w:rFonts w:ascii="Arial" w:hAnsi="Arial" w:eastAsia="宋体" w:cs="Arial"/>
          <w:sz w:val="24"/>
          <w:szCs w:val="24"/>
          <w:lang w:eastAsia="zh-CN"/>
        </w:rPr>
      </w:pPr>
    </w:p>
    <w:p w14:paraId="718AD7DE">
      <w:pPr>
        <w:pStyle w:val="7"/>
        <w:snapToGrid w:val="0"/>
        <w:spacing w:line="300" w:lineRule="auto"/>
        <w:ind w:left="0"/>
        <w:jc w:val="both"/>
        <w:rPr>
          <w:rFonts w:ascii="Arial" w:hAnsi="Arial" w:eastAsia="宋体" w:cs="Arial"/>
          <w:lang w:eastAsia="zh-CN"/>
        </w:rPr>
      </w:pPr>
      <w:r>
        <w:rPr>
          <w:rFonts w:ascii="Arial" w:hAnsi="Arial" w:eastAsia="宋体" w:cs="Arial"/>
          <w:lang w:eastAsia="zh-CN"/>
        </w:rPr>
        <w:t>我们鼓励发起人联系微生物学器械部，以要求在研究开始之前对其其拟定研究以及对样本类型的选择进行审查。</w:t>
      </w:r>
    </w:p>
    <w:p w14:paraId="70E47E6B">
      <w:pPr>
        <w:snapToGrid w:val="0"/>
        <w:spacing w:line="300" w:lineRule="auto"/>
        <w:jc w:val="both"/>
        <w:rPr>
          <w:rFonts w:ascii="Arial" w:hAnsi="Arial" w:eastAsia="宋体" w:cs="Arial"/>
          <w:sz w:val="24"/>
          <w:szCs w:val="24"/>
          <w:lang w:eastAsia="zh-CN"/>
        </w:rPr>
      </w:pPr>
    </w:p>
    <w:p w14:paraId="13B71B26">
      <w:pPr>
        <w:snapToGrid w:val="0"/>
        <w:spacing w:line="300" w:lineRule="auto"/>
        <w:jc w:val="both"/>
        <w:rPr>
          <w:rFonts w:ascii="Arial" w:hAnsi="Arial" w:eastAsia="宋体" w:cs="Arial"/>
          <w:sz w:val="24"/>
          <w:szCs w:val="24"/>
          <w:lang w:eastAsia="zh-CN"/>
        </w:rPr>
      </w:pPr>
      <w:r>
        <w:rPr>
          <w:rFonts w:ascii="Arial" w:hAnsi="Arial" w:eastAsia="宋体" w:cs="Arial"/>
          <w:i/>
          <w:sz w:val="24"/>
          <w:lang w:eastAsia="zh-CN"/>
        </w:rPr>
        <w:t>研究中心</w:t>
      </w:r>
    </w:p>
    <w:p w14:paraId="05A19BEE">
      <w:pPr>
        <w:snapToGrid w:val="0"/>
        <w:spacing w:line="300" w:lineRule="auto"/>
        <w:jc w:val="both"/>
        <w:rPr>
          <w:rFonts w:ascii="Arial" w:hAnsi="Arial" w:eastAsia="宋体" w:cs="Arial"/>
          <w:sz w:val="24"/>
          <w:szCs w:val="24"/>
          <w:lang w:eastAsia="zh-CN"/>
        </w:rPr>
      </w:pPr>
    </w:p>
    <w:p w14:paraId="4B387852">
      <w:pPr>
        <w:pStyle w:val="7"/>
        <w:snapToGrid w:val="0"/>
        <w:spacing w:before="120" w:line="300" w:lineRule="auto"/>
        <w:ind w:left="0"/>
        <w:jc w:val="both"/>
        <w:rPr>
          <w:rFonts w:ascii="Arial" w:hAnsi="Arial" w:eastAsia="宋体" w:cs="Arial"/>
          <w:lang w:eastAsia="zh-CN"/>
        </w:rPr>
      </w:pPr>
      <w:r>
        <w:rPr>
          <w:rFonts w:ascii="Arial" w:hAnsi="Arial" w:eastAsia="宋体" w:cs="Arial"/>
          <w:lang w:eastAsia="zh-CN"/>
        </w:rPr>
        <w:t>我们建议贵公司至少在三个不同的中心进行研究，其中一个可为内部中心。但须注意，我们认为在非美国临床试验中心获得的数据并不适当，因为其他国家存在不同菌株。对未经审批和未经批准的体外诊断器械（包括用于莱姆病的诊断器械）的临床研究受制于联邦食品、药品和化妆品法案（21 USC 360j）第520（g）节的器械临床研究豁免（IDE）和实施法规。贵公司应该考虑21 CFR第812部分（IDEs）如何适用于贵公司的特定研究，并参考21 CFR第50部分（知情同意）和21 CFR第56部分（机构审查委员会评审）以获得其他适用的要求。</w:t>
      </w:r>
    </w:p>
    <w:p w14:paraId="251A2C4C">
      <w:pPr>
        <w:snapToGrid w:val="0"/>
        <w:spacing w:line="300" w:lineRule="auto"/>
        <w:jc w:val="both"/>
        <w:rPr>
          <w:rFonts w:ascii="Arial" w:hAnsi="Arial" w:eastAsia="宋体" w:cs="Arial"/>
          <w:sz w:val="24"/>
          <w:szCs w:val="24"/>
          <w:lang w:eastAsia="zh-CN"/>
        </w:rPr>
      </w:pPr>
    </w:p>
    <w:p w14:paraId="25CF4E10">
      <w:pPr>
        <w:pStyle w:val="7"/>
        <w:snapToGrid w:val="0"/>
        <w:spacing w:before="69" w:line="300" w:lineRule="auto"/>
        <w:ind w:left="0"/>
        <w:jc w:val="both"/>
        <w:rPr>
          <w:rFonts w:ascii="Arial" w:hAnsi="Arial" w:eastAsia="宋体" w:cs="Arial"/>
          <w:lang w:eastAsia="zh-CN"/>
        </w:rPr>
      </w:pPr>
      <w:r>
        <w:rPr>
          <w:rFonts w:ascii="Arial" w:hAnsi="Arial" w:eastAsia="宋体" w:cs="Arial"/>
          <w:lang w:eastAsia="zh-CN"/>
        </w:rPr>
        <w:t>我们建议对适用于护理点（POC）使用的器械进行的性能评估至少包括临床实验室中的一个中心以及代表器械所适用的非实验室环境中的两个或多个中心（例如，急诊科）。</w:t>
      </w:r>
    </w:p>
    <w:p w14:paraId="691EF1A7">
      <w:pPr>
        <w:snapToGrid w:val="0"/>
        <w:spacing w:line="300" w:lineRule="auto"/>
        <w:jc w:val="both"/>
        <w:rPr>
          <w:rFonts w:ascii="Arial" w:hAnsi="Arial" w:eastAsia="宋体" w:cs="Arial"/>
          <w:i/>
          <w:sz w:val="24"/>
          <w:lang w:eastAsia="zh-CN"/>
        </w:rPr>
      </w:pPr>
    </w:p>
    <w:p w14:paraId="161BC6AF">
      <w:pPr>
        <w:snapToGrid w:val="0"/>
        <w:spacing w:line="300" w:lineRule="auto"/>
        <w:jc w:val="both"/>
        <w:rPr>
          <w:rFonts w:ascii="Arial" w:hAnsi="Arial" w:eastAsia="宋体" w:cs="Arial"/>
          <w:sz w:val="24"/>
          <w:szCs w:val="24"/>
          <w:lang w:eastAsia="zh-CN"/>
        </w:rPr>
      </w:pPr>
      <w:r>
        <w:rPr>
          <w:rFonts w:ascii="Arial" w:hAnsi="Arial" w:eastAsia="宋体" w:cs="Arial"/>
          <w:i/>
          <w:sz w:val="24"/>
          <w:lang w:eastAsia="zh-CN"/>
        </w:rPr>
        <w:t>研究设计</w:t>
      </w:r>
    </w:p>
    <w:p w14:paraId="4192EEE8">
      <w:pPr>
        <w:snapToGrid w:val="0"/>
        <w:spacing w:line="300" w:lineRule="auto"/>
        <w:jc w:val="both"/>
        <w:rPr>
          <w:rFonts w:ascii="Arial" w:hAnsi="Arial" w:eastAsia="宋体" w:cs="Arial"/>
          <w:sz w:val="24"/>
          <w:szCs w:val="24"/>
          <w:lang w:eastAsia="zh-CN"/>
        </w:rPr>
      </w:pPr>
    </w:p>
    <w:p w14:paraId="2E4829BA">
      <w:pPr>
        <w:pStyle w:val="7"/>
        <w:snapToGrid w:val="0"/>
        <w:spacing w:before="120" w:line="300" w:lineRule="auto"/>
        <w:ind w:left="0"/>
        <w:jc w:val="both"/>
        <w:rPr>
          <w:rFonts w:ascii="Arial" w:hAnsi="Arial" w:eastAsia="宋体" w:cs="Arial"/>
          <w:lang w:eastAsia="zh-CN"/>
        </w:rPr>
      </w:pPr>
      <w:r>
        <w:rPr>
          <w:rFonts w:ascii="Arial" w:hAnsi="Arial" w:eastAsia="宋体" w:cs="Arial"/>
          <w:lang w:eastAsia="zh-CN"/>
        </w:rPr>
        <w:t>对于莱姆病EIA器械或莱姆病蛋白质印迹器械，应该进行以下研究并提交510（k）申请。IgM和IgG试验的研究设计类似。</w:t>
      </w:r>
    </w:p>
    <w:p w14:paraId="3B8F4D2F">
      <w:pPr>
        <w:snapToGrid w:val="0"/>
        <w:spacing w:line="300" w:lineRule="auto"/>
        <w:jc w:val="both"/>
        <w:rPr>
          <w:rFonts w:ascii="Arial" w:hAnsi="Arial" w:eastAsia="宋体" w:cs="Arial"/>
          <w:sz w:val="24"/>
          <w:szCs w:val="24"/>
          <w:lang w:eastAsia="zh-CN"/>
        </w:rPr>
      </w:pPr>
    </w:p>
    <w:p w14:paraId="491D3E42">
      <w:pPr>
        <w:pStyle w:val="19"/>
        <w:numPr>
          <w:ilvl w:val="0"/>
          <w:numId w:val="5"/>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szCs w:val="24"/>
          <w:u w:val="single"/>
          <w:lang w:eastAsia="zh-CN"/>
        </w:rPr>
        <w:t>灵敏度研究：</w:t>
      </w:r>
      <w:r>
        <w:rPr>
          <w:rFonts w:ascii="Arial" w:hAnsi="Arial" w:eastAsia="宋体" w:cs="Arial"/>
          <w:sz w:val="24"/>
          <w:szCs w:val="24"/>
          <w:lang w:eastAsia="zh-CN"/>
        </w:rPr>
        <w:t>由至少100例在临床上良好表征或用培养物确定具有莱姆病的样本组成的研究应该用试验器械进行。这些已归档的样本应包含早期疾病、早期播散性疾病和晚期疾病的样本。应将试验器械对这些样本的灵敏度与一个类似器械进行对比。应纳入提供研究样本的每个特定患者的谱系；该谱系应该包括可用的临床和实验室试验信息。</w:t>
      </w:r>
    </w:p>
    <w:p w14:paraId="733CC010">
      <w:pPr>
        <w:snapToGrid w:val="0"/>
        <w:spacing w:line="300" w:lineRule="auto"/>
        <w:jc w:val="both"/>
        <w:rPr>
          <w:rFonts w:ascii="Arial" w:hAnsi="Arial" w:eastAsia="宋体" w:cs="Arial"/>
          <w:sz w:val="24"/>
          <w:szCs w:val="24"/>
          <w:lang w:eastAsia="zh-CN"/>
        </w:rPr>
      </w:pPr>
    </w:p>
    <w:p w14:paraId="1AFD912F">
      <w:pPr>
        <w:pStyle w:val="7"/>
        <w:snapToGrid w:val="0"/>
        <w:spacing w:line="300" w:lineRule="auto"/>
        <w:ind w:left="0"/>
        <w:jc w:val="both"/>
        <w:rPr>
          <w:rFonts w:ascii="Arial" w:hAnsi="Arial" w:eastAsia="宋体" w:cs="Arial"/>
          <w:lang w:eastAsia="zh-CN"/>
        </w:rPr>
      </w:pPr>
      <w:r>
        <w:rPr>
          <w:rFonts w:ascii="Arial" w:hAnsi="Arial" w:eastAsia="宋体" w:cs="Arial"/>
          <w:lang w:eastAsia="zh-CN"/>
        </w:rPr>
        <w:t>建议针对灵敏度试验对患者人群做出如下细分：</w:t>
      </w:r>
    </w:p>
    <w:p w14:paraId="4C46F506">
      <w:pPr>
        <w:snapToGrid w:val="0"/>
        <w:spacing w:line="300" w:lineRule="auto"/>
        <w:jc w:val="both"/>
        <w:rPr>
          <w:rFonts w:ascii="Arial" w:hAnsi="Arial" w:eastAsia="宋体" w:cs="Arial"/>
          <w:sz w:val="24"/>
          <w:szCs w:val="24"/>
          <w:lang w:eastAsia="zh-CN"/>
        </w:rPr>
      </w:pPr>
    </w:p>
    <w:p w14:paraId="25E9BB73">
      <w:pPr>
        <w:pStyle w:val="19"/>
        <w:numPr>
          <w:ilvl w:val="2"/>
          <w:numId w:val="4"/>
        </w:numPr>
        <w:snapToGrid w:val="0"/>
        <w:spacing w:line="300" w:lineRule="auto"/>
        <w:ind w:left="517" w:leftChars="76" w:hanging="350"/>
        <w:jc w:val="both"/>
        <w:rPr>
          <w:rFonts w:ascii="Arial" w:hAnsi="Arial" w:eastAsia="宋体" w:cs="Arial"/>
          <w:sz w:val="24"/>
          <w:szCs w:val="24"/>
          <w:lang w:eastAsia="zh-CN"/>
        </w:rPr>
      </w:pPr>
      <w:r>
        <w:rPr>
          <w:rFonts w:ascii="Arial" w:hAnsi="Arial" w:eastAsia="宋体" w:cs="Arial"/>
          <w:sz w:val="24"/>
          <w:szCs w:val="24"/>
          <w:lang w:eastAsia="zh-CN"/>
        </w:rPr>
        <w:t>来自具有记录红斑变性（EM）或培养物呈阳性（症状发作后&lt;1个月，1-2个月， 2-3个月）的患者的初始（急性）样本。</w:t>
      </w:r>
    </w:p>
    <w:p w14:paraId="315C67B9">
      <w:pPr>
        <w:pStyle w:val="19"/>
        <w:numPr>
          <w:ilvl w:val="2"/>
          <w:numId w:val="4"/>
        </w:numPr>
        <w:snapToGrid w:val="0"/>
        <w:spacing w:line="300" w:lineRule="auto"/>
        <w:ind w:left="517" w:leftChars="76" w:hanging="350"/>
        <w:jc w:val="both"/>
        <w:rPr>
          <w:rFonts w:ascii="Arial" w:hAnsi="Arial" w:eastAsia="宋体" w:cs="Arial"/>
          <w:sz w:val="24"/>
          <w:szCs w:val="24"/>
          <w:lang w:eastAsia="zh-CN"/>
        </w:rPr>
      </w:pPr>
      <w:r>
        <w:rPr>
          <w:rFonts w:ascii="Arial" w:hAnsi="Arial" w:eastAsia="宋体" w:cs="Arial"/>
          <w:sz w:val="24"/>
          <w:szCs w:val="24"/>
          <w:lang w:eastAsia="zh-CN"/>
        </w:rPr>
        <w:t>来自具有记录EM或培养物呈阳性的患者的恢复期样本，并在最初出现症状（3-12个月）后进行抽取时对其进行分层。</w:t>
      </w:r>
    </w:p>
    <w:p w14:paraId="652BE481">
      <w:pPr>
        <w:pStyle w:val="19"/>
        <w:numPr>
          <w:ilvl w:val="2"/>
          <w:numId w:val="4"/>
        </w:numPr>
        <w:snapToGrid w:val="0"/>
        <w:spacing w:line="300" w:lineRule="auto"/>
        <w:ind w:left="517" w:leftChars="76" w:hanging="350"/>
        <w:jc w:val="both"/>
        <w:rPr>
          <w:rFonts w:ascii="Arial" w:hAnsi="Arial" w:eastAsia="宋体" w:cs="Arial"/>
          <w:sz w:val="24"/>
          <w:szCs w:val="24"/>
          <w:lang w:eastAsia="zh-CN"/>
        </w:rPr>
      </w:pPr>
      <w:r>
        <w:rPr>
          <w:rFonts w:ascii="Arial" w:hAnsi="Arial" w:eastAsia="宋体" w:cs="Arial"/>
          <w:sz w:val="24"/>
          <w:szCs w:val="24"/>
          <w:lang w:eastAsia="zh-CN"/>
        </w:rPr>
        <w:t>对已患有莱姆病并具有除了EM以外的其他症状（例如神经，关节炎等）的患者进行的测试，其中从感染到症状发作的时间间隔可能未知或超过1年。</w:t>
      </w:r>
    </w:p>
    <w:p w14:paraId="170CC0E3">
      <w:pPr>
        <w:pStyle w:val="7"/>
        <w:snapToGrid w:val="0"/>
        <w:spacing w:line="300" w:lineRule="auto"/>
        <w:ind w:left="0"/>
        <w:jc w:val="both"/>
        <w:rPr>
          <w:rFonts w:ascii="Arial" w:hAnsi="Arial" w:eastAsia="宋体" w:cs="Arial"/>
          <w:lang w:eastAsia="zh-CN"/>
        </w:rPr>
      </w:pPr>
    </w:p>
    <w:p w14:paraId="7A317B36">
      <w:pPr>
        <w:pStyle w:val="7"/>
        <w:snapToGrid w:val="0"/>
        <w:spacing w:line="300" w:lineRule="auto"/>
        <w:ind w:left="0"/>
        <w:jc w:val="both"/>
        <w:rPr>
          <w:rFonts w:ascii="Arial" w:hAnsi="Arial" w:eastAsia="宋体" w:cs="Arial"/>
          <w:lang w:eastAsia="zh-CN"/>
        </w:rPr>
      </w:pPr>
      <w:r>
        <w:rPr>
          <w:rFonts w:ascii="Arial" w:hAnsi="Arial" w:eastAsia="宋体" w:cs="Arial"/>
          <w:lang w:eastAsia="zh-CN"/>
        </w:rPr>
        <w:t>建议对来自所有范围的患者的样本进行试验。</w:t>
      </w:r>
    </w:p>
    <w:p w14:paraId="4E965580">
      <w:pPr>
        <w:pStyle w:val="19"/>
        <w:snapToGrid w:val="0"/>
        <w:spacing w:line="300" w:lineRule="auto"/>
        <w:jc w:val="both"/>
        <w:rPr>
          <w:rFonts w:ascii="Arial" w:hAnsi="Arial" w:eastAsia="宋体" w:cs="Arial"/>
          <w:sz w:val="24"/>
          <w:szCs w:val="24"/>
          <w:lang w:eastAsia="zh-CN"/>
        </w:rPr>
      </w:pPr>
    </w:p>
    <w:p w14:paraId="05BA0558">
      <w:pPr>
        <w:pStyle w:val="19"/>
        <w:numPr>
          <w:ilvl w:val="0"/>
          <w:numId w:val="5"/>
        </w:numPr>
        <w:tabs>
          <w:tab w:val="left" w:pos="1160"/>
        </w:tabs>
        <w:snapToGrid w:val="0"/>
        <w:spacing w:line="300" w:lineRule="auto"/>
        <w:jc w:val="both"/>
        <w:rPr>
          <w:rFonts w:ascii="Arial" w:hAnsi="Arial" w:eastAsia="宋体" w:cs="Arial"/>
          <w:sz w:val="24"/>
          <w:szCs w:val="24"/>
          <w:lang w:eastAsia="zh-CN"/>
        </w:rPr>
      </w:pPr>
      <w:r>
        <w:rPr>
          <w:rFonts w:ascii="Arial" w:hAnsi="Arial" w:eastAsia="宋体" w:cs="Arial"/>
          <w:sz w:val="24"/>
          <w:szCs w:val="24"/>
          <w:u w:val="single"/>
          <w:lang w:eastAsia="zh-CN"/>
        </w:rPr>
        <w:t>预期研究：</w:t>
      </w:r>
      <w:r>
        <w:rPr>
          <w:rFonts w:ascii="Arial" w:hAnsi="Arial" w:eastAsia="宋体" w:cs="Arial"/>
          <w:sz w:val="24"/>
          <w:szCs w:val="24"/>
          <w:lang w:eastAsia="zh-CN"/>
        </w:rPr>
        <w:t>应该进行一项旨在测试未经筛选、预期从美国境内至少三个地理位置不同的地点采集的连续样本的研究。应使用试验器械和对比器械对这些样本进行试验，其中，试验应在至少3个中心进行，其中一个中心可以是内部中心。</w:t>
      </w:r>
    </w:p>
    <w:p w14:paraId="2AAC68B8">
      <w:pPr>
        <w:pStyle w:val="19"/>
        <w:numPr>
          <w:ilvl w:val="3"/>
          <w:numId w:val="4"/>
        </w:numPr>
        <w:snapToGrid w:val="0"/>
        <w:spacing w:line="300" w:lineRule="auto"/>
        <w:ind w:left="993" w:leftChars="305" w:hanging="322"/>
        <w:jc w:val="both"/>
        <w:rPr>
          <w:rFonts w:ascii="Arial" w:hAnsi="Arial" w:eastAsia="宋体" w:cs="Arial"/>
          <w:sz w:val="24"/>
          <w:szCs w:val="24"/>
          <w:lang w:eastAsia="zh-CN"/>
        </w:rPr>
      </w:pPr>
      <w:r>
        <w:rPr>
          <w:rFonts w:ascii="Arial" w:hAnsi="Arial" w:eastAsia="宋体" w:cs="Arial"/>
          <w:sz w:val="24"/>
          <w:szCs w:val="24"/>
          <w:lang w:eastAsia="zh-CN"/>
        </w:rPr>
        <w:t>对于EIA器械：应将结果与使用类似器械获得的结果进行对比。通过试验器械和类似器械获得的所有阳性和不定样本应当通过食品药品监督管理局批准的IgM和/或IgG 蛋白质印迹测定（如适用）进行试验。</w:t>
      </w:r>
    </w:p>
    <w:p w14:paraId="4E50E99F">
      <w:pPr>
        <w:pStyle w:val="19"/>
        <w:numPr>
          <w:ilvl w:val="3"/>
          <w:numId w:val="4"/>
        </w:numPr>
        <w:snapToGrid w:val="0"/>
        <w:spacing w:line="300" w:lineRule="auto"/>
        <w:ind w:left="993" w:leftChars="305" w:hanging="322"/>
        <w:jc w:val="both"/>
        <w:rPr>
          <w:rFonts w:ascii="Arial" w:hAnsi="Arial" w:eastAsia="宋体" w:cs="Arial"/>
          <w:lang w:eastAsia="zh-CN"/>
        </w:rPr>
      </w:pPr>
      <w:r>
        <w:rPr>
          <w:rFonts w:ascii="Arial" w:hAnsi="Arial" w:eastAsia="宋体" w:cs="Arial"/>
          <w:sz w:val="24"/>
          <w:szCs w:val="24"/>
          <w:lang w:eastAsia="zh-CN"/>
        </w:rPr>
        <w:t>对于蛋白质印迹器械：应首先通过食品药品监督管理局批准的第一步EIA对前瞻性研究样本进行测试。所有EIA阳性和不定样本应通过试验器械和类似蛋白质印迹进行测试。应提供两个器械之间的阳性和阴性％协定。</w:t>
      </w:r>
    </w:p>
    <w:p w14:paraId="01220E63">
      <w:pPr>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蛋白质印迹结果的解释：对蛋白质印迹结果进行的解释应遵循疾病控制中心（CDC）所述的推荐标准[参考文件：1]以及关于莱姆病血清学诊断的第二次全国会议的推荐标准 [参考文件：2]。如果以下3种频带中有2种存在，则IgM免疫印迹被视为阳性：23kDa（OspC），39kDa（BmpA）以及41kDa（Fla）。如果以下10种频带中有5种存在，则IgG免疫印迹被视为阳性：18kDa、23kDa（OspC）、28kDa、30kDa、39kDa（BmpA）、41kDa（Fla）、45kDa、58kDa、66kDa和93kDa。</w:t>
      </w:r>
    </w:p>
    <w:p w14:paraId="03C13D36">
      <w:pPr>
        <w:snapToGrid w:val="0"/>
        <w:spacing w:line="300" w:lineRule="auto"/>
        <w:jc w:val="both"/>
        <w:rPr>
          <w:rFonts w:ascii="Arial" w:hAnsi="Arial" w:eastAsia="宋体" w:cs="Arial"/>
          <w:sz w:val="24"/>
          <w:szCs w:val="24"/>
          <w:lang w:eastAsia="zh-CN"/>
        </w:rPr>
      </w:pPr>
    </w:p>
    <w:p w14:paraId="6FD20696">
      <w:pPr>
        <w:pStyle w:val="7"/>
        <w:snapToGrid w:val="0"/>
        <w:spacing w:line="300" w:lineRule="auto"/>
        <w:ind w:left="0"/>
        <w:jc w:val="both"/>
        <w:rPr>
          <w:rFonts w:ascii="Arial" w:hAnsi="Arial" w:eastAsia="宋体" w:cs="Arial"/>
          <w:lang w:eastAsia="zh-CN"/>
        </w:rPr>
      </w:pPr>
      <w:r>
        <w:rPr>
          <w:rFonts w:ascii="Arial" w:hAnsi="Arial" w:eastAsia="宋体" w:cs="Arial"/>
          <w:lang w:eastAsia="zh-CN"/>
        </w:rPr>
        <w:t>分析特异性试验：为了确定分析特异性，建议对来自地方性和非地方性区域的样本进行试验（每个区域至少100例样本）。这些样本应从无症状人群获得，但不应包括预筛选的献血者。结果以阳性％和阴性％表示，并应分别根据地方性和非地方性受试者呈现。</w:t>
      </w:r>
    </w:p>
    <w:p w14:paraId="35126B42">
      <w:pPr>
        <w:snapToGrid w:val="0"/>
        <w:spacing w:line="300" w:lineRule="auto"/>
        <w:jc w:val="both"/>
        <w:rPr>
          <w:rFonts w:ascii="Arial" w:hAnsi="Arial" w:eastAsia="宋体" w:cs="Arial"/>
          <w:sz w:val="24"/>
          <w:szCs w:val="24"/>
          <w:lang w:eastAsia="zh-CN"/>
        </w:rPr>
      </w:pPr>
    </w:p>
    <w:p w14:paraId="1DC0A06F">
      <w:pPr>
        <w:pStyle w:val="7"/>
        <w:snapToGrid w:val="0"/>
        <w:spacing w:line="300" w:lineRule="auto"/>
        <w:ind w:left="0"/>
        <w:jc w:val="both"/>
        <w:rPr>
          <w:rFonts w:ascii="Arial" w:hAnsi="Arial" w:eastAsia="宋体" w:cs="Arial"/>
          <w:lang w:eastAsia="zh-CN"/>
        </w:rPr>
      </w:pPr>
      <w:r>
        <w:rPr>
          <w:rFonts w:ascii="Arial" w:hAnsi="Arial" w:eastAsia="宋体" w:cs="Arial"/>
          <w:lang w:eastAsia="zh-CN"/>
        </w:rPr>
        <w:t>CDC标准小组试验：应该通过新器械对由CDC提供以用于测试莱姆病检测器械的标准阳性和阴性样本小组进行测试，并且提供实际结果与预期结果，其中，应以％协定表示实际结果。数据应按疾病分期分层：早期、中期、晚期，并与比较器械进行对比。</w:t>
      </w:r>
    </w:p>
    <w:p w14:paraId="5E1835B1">
      <w:pPr>
        <w:snapToGrid w:val="0"/>
        <w:spacing w:line="300" w:lineRule="auto"/>
        <w:jc w:val="both"/>
        <w:rPr>
          <w:rFonts w:ascii="Arial" w:hAnsi="Arial" w:eastAsia="宋体" w:cs="Arial"/>
          <w:sz w:val="24"/>
          <w:szCs w:val="24"/>
          <w:lang w:eastAsia="zh-CN"/>
        </w:rPr>
      </w:pPr>
    </w:p>
    <w:p w14:paraId="70F51255">
      <w:pPr>
        <w:pStyle w:val="6"/>
        <w:numPr>
          <w:ilvl w:val="0"/>
          <w:numId w:val="4"/>
        </w:numPr>
        <w:tabs>
          <w:tab w:val="left" w:pos="360"/>
        </w:tabs>
        <w:snapToGrid w:val="0"/>
        <w:spacing w:line="300" w:lineRule="auto"/>
        <w:ind w:left="0"/>
        <w:jc w:val="both"/>
        <w:rPr>
          <w:rFonts w:ascii="Arial" w:hAnsi="Arial" w:eastAsia="宋体" w:cs="Arial"/>
          <w:b w:val="0"/>
          <w:bCs w:val="0"/>
        </w:rPr>
      </w:pPr>
      <w:r>
        <w:rPr>
          <w:rFonts w:ascii="Arial" w:hAnsi="Arial" w:eastAsia="宋体" w:cs="Arial"/>
        </w:rPr>
        <w:t>标签</w:t>
      </w:r>
    </w:p>
    <w:p w14:paraId="75E45410">
      <w:pPr>
        <w:snapToGrid w:val="0"/>
        <w:spacing w:before="7" w:line="300" w:lineRule="auto"/>
        <w:jc w:val="both"/>
        <w:rPr>
          <w:rFonts w:ascii="Arial" w:hAnsi="Arial" w:eastAsia="宋体" w:cs="Arial"/>
          <w:b/>
          <w:bCs/>
          <w:sz w:val="23"/>
          <w:szCs w:val="23"/>
        </w:rPr>
      </w:pPr>
    </w:p>
    <w:p w14:paraId="63B3477E">
      <w:pPr>
        <w:pStyle w:val="7"/>
        <w:snapToGrid w:val="0"/>
        <w:spacing w:line="300" w:lineRule="auto"/>
        <w:ind w:left="0"/>
        <w:jc w:val="both"/>
        <w:rPr>
          <w:rFonts w:ascii="Arial" w:hAnsi="Arial" w:eastAsia="宋体" w:cs="Arial"/>
          <w:lang w:eastAsia="zh-CN"/>
        </w:rPr>
      </w:pPr>
      <w:r>
        <w:rPr>
          <w:rFonts w:ascii="Arial" w:hAnsi="Arial" w:eastAsia="宋体" w:cs="Arial"/>
          <w:lang w:eastAsia="zh-CN"/>
        </w:rPr>
        <w:t>器械的拟定标签必须符合21 CFR 809.10的要求。作为满足这些要求的一部分，我们建议贵公司的标签应说明质量控制建议，其中应清楚说明与测定一起使用的控制和校准物以及其使用频率。</w:t>
      </w:r>
    </w:p>
    <w:p w14:paraId="44EB19F8">
      <w:pPr>
        <w:snapToGrid w:val="0"/>
        <w:spacing w:before="4" w:line="300" w:lineRule="auto"/>
        <w:jc w:val="both"/>
        <w:rPr>
          <w:rFonts w:ascii="Arial" w:hAnsi="Arial" w:eastAsia="宋体" w:cs="Arial"/>
          <w:sz w:val="21"/>
          <w:szCs w:val="21"/>
          <w:lang w:eastAsia="zh-CN"/>
        </w:rPr>
      </w:pPr>
    </w:p>
    <w:p w14:paraId="6A057F38">
      <w:pPr>
        <w:pStyle w:val="5"/>
        <w:numPr>
          <w:ilvl w:val="0"/>
          <w:numId w:val="1"/>
        </w:numPr>
        <w:tabs>
          <w:tab w:val="left" w:pos="462"/>
        </w:tabs>
        <w:snapToGrid w:val="0"/>
        <w:spacing w:line="300" w:lineRule="auto"/>
        <w:ind w:left="0" w:hanging="341"/>
        <w:jc w:val="both"/>
        <w:rPr>
          <w:rFonts w:ascii="Arial" w:hAnsi="Arial" w:eastAsia="宋体" w:cs="Arial"/>
          <w:b w:val="0"/>
          <w:bCs w:val="0"/>
        </w:rPr>
      </w:pPr>
      <w:bookmarkStart w:id="14" w:name="_bookmark8"/>
      <w:bookmarkEnd w:id="14"/>
      <w:bookmarkStart w:id="15" w:name="_Toc479616110"/>
      <w:r>
        <w:rPr>
          <w:rFonts w:ascii="Arial" w:hAnsi="Arial" w:eastAsia="宋体" w:cs="Arial"/>
          <w:u w:val="thick" w:color="000000"/>
        </w:rPr>
        <w:t xml:space="preserve">CLIA </w:t>
      </w:r>
      <w:r>
        <w:rPr>
          <w:rFonts w:ascii="Arial" w:hAnsi="Arial" w:eastAsia="宋体" w:cs="Arial"/>
          <w:u w:val="thick" w:color="000000"/>
          <w:lang w:eastAsia="zh-CN"/>
        </w:rPr>
        <w:t>豁免</w:t>
      </w:r>
      <w:bookmarkEnd w:id="15"/>
    </w:p>
    <w:p w14:paraId="479F4D6B">
      <w:pPr>
        <w:snapToGrid w:val="0"/>
        <w:spacing w:before="5" w:line="300" w:lineRule="auto"/>
        <w:jc w:val="both"/>
        <w:rPr>
          <w:rFonts w:ascii="Arial" w:hAnsi="Arial" w:eastAsia="宋体" w:cs="Arial"/>
          <w:b/>
          <w:bCs/>
          <w:sz w:val="17"/>
          <w:szCs w:val="17"/>
        </w:rPr>
      </w:pPr>
    </w:p>
    <w:p w14:paraId="5A621C7D">
      <w:pPr>
        <w:pStyle w:val="7"/>
        <w:snapToGrid w:val="0"/>
        <w:spacing w:before="72" w:line="300" w:lineRule="auto"/>
        <w:ind w:left="0"/>
        <w:rPr>
          <w:rFonts w:ascii="Arial" w:hAnsi="Arial" w:eastAsia="宋体" w:cs="Arial"/>
        </w:rPr>
      </w:pPr>
      <w:r>
        <w:rPr>
          <w:rFonts w:ascii="Arial" w:hAnsi="Arial" w:eastAsia="宋体" w:cs="Arial"/>
          <w:lang w:eastAsia="zh-CN"/>
        </w:rPr>
        <w:t>如果贵公司正根据1988年临床实验室改进法案（CLIA）</w:t>
      </w:r>
      <w:r>
        <w:rPr>
          <w:rFonts w:ascii="Arial" w:hAnsi="Arial" w:eastAsia="宋体" w:cs="Arial"/>
          <w:vertAlign w:val="superscript"/>
          <w:lang w:eastAsia="zh-CN"/>
        </w:rPr>
        <w:t>2</w:t>
      </w:r>
      <w:r>
        <w:rPr>
          <w:rFonts w:ascii="Arial" w:hAnsi="Arial" w:eastAsia="宋体" w:cs="Arial"/>
          <w:lang w:eastAsia="zh-CN"/>
        </w:rPr>
        <w:t>为贵公司的器械寻求豁免，我们建议贵公司就具体研究的设计咨询微生物学器械部的工作人员，以支持贵公司的器械的CLIA豁免申请。“行业和食品药品监督管理局工作人员指南，建议：1988年临床实验室改进法案（CLIA）体外诊断器械制造商豁免申请”可在以下网站获得：</w:t>
      </w:r>
      <w:r>
        <w:rPr>
          <w:rFonts w:ascii="Arial" w:hAnsi="Arial" w:eastAsia="宋体" w:cs="Arial"/>
          <w:color w:val="0000FF"/>
          <w:u w:val="single"/>
          <w:lang w:eastAsia="zh-CN"/>
        </w:rPr>
        <w:t>http</w:t>
      </w:r>
      <w:r>
        <w:rPr>
          <w:rFonts w:hint="eastAsia" w:ascii="Arial" w:hAnsi="Arial" w:eastAsia="宋体" w:cs="Arial"/>
          <w:color w:val="0000FF"/>
          <w:u w:val="single"/>
          <w:lang w:eastAsia="zh-CN"/>
        </w:rPr>
        <w:t>:</w:t>
      </w:r>
      <w:r>
        <w:rPr>
          <w:rFonts w:ascii="Arial" w:hAnsi="Arial" w:eastAsia="宋体" w:cs="Arial"/>
          <w:color w:val="0000FF"/>
          <w:u w:val="single"/>
          <w:lang w:eastAsia="zh-CN"/>
        </w:rPr>
        <w:t>//www.fda.gov/MedicalDevices/DeviceRegulationandGuidance/GuidanceDocument s / ucm079632.htm</w:t>
      </w:r>
      <w:r>
        <w:rPr>
          <w:rFonts w:ascii="Arial" w:hAnsi="Arial" w:eastAsia="宋体" w:cs="Arial"/>
          <w:lang w:eastAsia="zh-CN"/>
        </w:rPr>
        <w:t>。</w:t>
      </w:r>
    </w:p>
    <w:p w14:paraId="769051AA">
      <w:pPr>
        <w:snapToGrid w:val="0"/>
        <w:spacing w:line="300" w:lineRule="auto"/>
        <w:jc w:val="both"/>
        <w:rPr>
          <w:rFonts w:ascii="Arial" w:hAnsi="Arial" w:eastAsia="宋体" w:cs="Arial"/>
          <w:sz w:val="20"/>
          <w:szCs w:val="20"/>
        </w:rPr>
      </w:pPr>
    </w:p>
    <w:p w14:paraId="24DDB72B">
      <w:pPr>
        <w:snapToGrid w:val="0"/>
        <w:spacing w:line="300" w:lineRule="auto"/>
        <w:jc w:val="both"/>
        <w:rPr>
          <w:rFonts w:ascii="Arial" w:hAnsi="Arial" w:eastAsia="宋体" w:cs="Arial"/>
          <w:sz w:val="20"/>
          <w:szCs w:val="20"/>
        </w:rPr>
      </w:pPr>
    </w:p>
    <w:p w14:paraId="10F4482D">
      <w:pPr>
        <w:snapToGrid w:val="0"/>
        <w:spacing w:line="300" w:lineRule="auto"/>
        <w:jc w:val="both"/>
        <w:rPr>
          <w:rFonts w:ascii="Arial" w:hAnsi="Arial" w:eastAsia="宋体" w:cs="Arial"/>
          <w:sz w:val="20"/>
          <w:szCs w:val="20"/>
        </w:rPr>
      </w:pPr>
    </w:p>
    <w:p w14:paraId="06ADF1D4">
      <w:pPr>
        <w:snapToGrid w:val="0"/>
        <w:spacing w:line="300" w:lineRule="auto"/>
        <w:jc w:val="both"/>
        <w:rPr>
          <w:rFonts w:ascii="Arial" w:hAnsi="Arial" w:eastAsia="宋体" w:cs="Arial"/>
          <w:sz w:val="20"/>
          <w:szCs w:val="20"/>
        </w:rPr>
      </w:pPr>
    </w:p>
    <w:p w14:paraId="66001DA6">
      <w:pPr>
        <w:snapToGrid w:val="0"/>
        <w:spacing w:before="4" w:line="300" w:lineRule="auto"/>
        <w:jc w:val="both"/>
        <w:rPr>
          <w:rFonts w:ascii="Arial" w:hAnsi="Arial" w:eastAsia="宋体" w:cs="Arial"/>
          <w:sz w:val="23"/>
          <w:szCs w:val="23"/>
        </w:rPr>
      </w:pPr>
    </w:p>
    <w:p w14:paraId="0349DD84">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11430" b="11430"/>
                <wp:docPr id="4"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 name="Group 3"/>
                        <wpg:cNvGrpSpPr/>
                        <wpg:grpSpPr>
                          <a:xfrm>
                            <a:off x="6" y="6"/>
                            <a:ext cx="2880" cy="2"/>
                            <a:chOff x="6" y="6"/>
                            <a:chExt cx="2880" cy="2"/>
                          </a:xfrm>
                        </wpg:grpSpPr>
                        <wps:wsp>
                          <wps:cNvPr id="6" name="Freeform 4"/>
                          <wps:cNvSpPr/>
                          <wps:spPr bwMode="auto">
                            <a:xfrm>
                              <a:off x="12" y="12"/>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CA/oSF1AAAAAMBAAAPAAAAAAAAAAEAIAAAACIAAABkcnMvZG93bnJl&#10;di54bWxQSwECFAAUAAAACACHTuJAniDhmh4DAAD6BwAADgAAAAAAAAABACAAAAAjAQAAZHJzL2Uy&#10;b0RvYy54bWxQSwUGAAAAAAYABgBZAQAAswYAAAAA&#10;">
                <o:lock v:ext="edit" aspectratio="f"/>
                <v:group id="Group 3" o:spid="_x0000_s1026" o:spt="203" style="position:absolute;left:6;top:6;height:2;width:2880;" coordorigin="6,6" coordsize="2880,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4" o:spid="_x0000_s1026" o:spt="100" style="position:absolute;left:12;top:12;height:0;width:2880;" filled="f" stroked="t" coordsize="2880,1" o:gfxdata="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THgC8AAAA&#10;2gAAAA8AAAAAAAAAAQAgAAAAIgAAAGRycy9kb3ducmV2LnhtbFBLAQIUABQAAAAIAIdO4kAzLwWe&#10;OwAAADkAAAAQAAAAAAAAAAEAIAAAAAsBAABkcnMvc2hhcGV4bWwueG1sUEsFBgAAAAAGAAYAWwEA&#10;ALUDA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5AA8914">
      <w:pPr>
        <w:snapToGrid w:val="0"/>
        <w:spacing w:before="71" w:line="300" w:lineRule="auto"/>
        <w:jc w:val="both"/>
        <w:rPr>
          <w:rFonts w:ascii="Arial" w:hAnsi="Arial" w:eastAsia="宋体" w:cs="Arial"/>
          <w:sz w:val="20"/>
          <w:szCs w:val="20"/>
          <w:lang w:eastAsia="zh-CN"/>
        </w:rPr>
      </w:pPr>
      <w:r>
        <w:rPr>
          <w:rFonts w:ascii="Arial" w:hAnsi="Arial" w:eastAsia="宋体" w:cs="Arial"/>
          <w:position w:val="9"/>
          <w:sz w:val="13"/>
          <w:szCs w:val="13"/>
          <w:lang w:eastAsia="zh-CN"/>
        </w:rPr>
        <w:t>2</w:t>
      </w:r>
      <w:r>
        <w:rPr>
          <w:rFonts w:ascii="Arial" w:hAnsi="Arial" w:eastAsia="宋体" w:cs="Arial"/>
          <w:sz w:val="20"/>
          <w:szCs w:val="20"/>
          <w:lang w:eastAsia="zh-CN"/>
        </w:rPr>
        <w:t>请参见42 U.S.C. §</w:t>
      </w:r>
      <w:r>
        <w:rPr>
          <w:rFonts w:ascii="Arial" w:hAnsi="Arial" w:eastAsia="宋体" w:cs="Arial"/>
          <w:spacing w:val="8"/>
          <w:sz w:val="20"/>
          <w:szCs w:val="20"/>
          <w:lang w:eastAsia="zh-CN"/>
        </w:rPr>
        <w:t xml:space="preserve"> </w:t>
      </w:r>
      <w:r>
        <w:rPr>
          <w:rFonts w:ascii="Arial" w:hAnsi="Arial" w:eastAsia="宋体" w:cs="Arial"/>
          <w:sz w:val="20"/>
          <w:szCs w:val="20"/>
          <w:lang w:eastAsia="zh-CN"/>
        </w:rPr>
        <w:t>263a（d）（3）.</w:t>
      </w:r>
    </w:p>
    <w:p w14:paraId="7E1B1FDF">
      <w:pPr>
        <w:snapToGrid w:val="0"/>
        <w:spacing w:line="300" w:lineRule="auto"/>
        <w:jc w:val="both"/>
        <w:rPr>
          <w:rFonts w:ascii="Arial" w:hAnsi="Arial" w:eastAsia="宋体" w:cs="Arial"/>
          <w:sz w:val="20"/>
          <w:szCs w:val="20"/>
          <w:lang w:eastAsia="zh-CN"/>
        </w:rPr>
        <w:sectPr>
          <w:pgSz w:w="12260" w:h="15840"/>
          <w:pgMar w:top="980" w:right="1720" w:bottom="960" w:left="1680" w:header="748" w:footer="764" w:gutter="0"/>
          <w:cols w:space="720" w:num="1"/>
        </w:sectPr>
      </w:pPr>
    </w:p>
    <w:p w14:paraId="3BD2706E">
      <w:pPr>
        <w:pStyle w:val="3"/>
        <w:snapToGrid w:val="0"/>
        <w:spacing w:before="53" w:line="300" w:lineRule="auto"/>
        <w:ind w:left="0"/>
        <w:jc w:val="both"/>
        <w:rPr>
          <w:rFonts w:ascii="Arial" w:hAnsi="Arial" w:eastAsia="宋体" w:cs="Arial"/>
          <w:b w:val="0"/>
          <w:bCs w:val="0"/>
          <w:lang w:eastAsia="zh-CN"/>
        </w:rPr>
      </w:pPr>
      <w:bookmarkStart w:id="16" w:name="_bookmark10"/>
      <w:bookmarkEnd w:id="16"/>
      <w:bookmarkStart w:id="17" w:name="_Toc479616111"/>
      <w:r>
        <w:rPr>
          <w:rFonts w:ascii="Arial" w:hAnsi="Arial" w:eastAsia="宋体" w:cs="Arial"/>
          <w:lang w:eastAsia="zh-CN"/>
        </w:rPr>
        <w:t>参考文件</w:t>
      </w:r>
      <w:bookmarkEnd w:id="17"/>
    </w:p>
    <w:p w14:paraId="30E7CC7B">
      <w:pPr>
        <w:snapToGrid w:val="0"/>
        <w:spacing w:before="3" w:line="300" w:lineRule="auto"/>
        <w:jc w:val="both"/>
        <w:rPr>
          <w:rFonts w:ascii="Arial" w:hAnsi="Arial" w:eastAsia="宋体" w:cs="Arial"/>
          <w:b/>
          <w:bCs/>
          <w:sz w:val="44"/>
          <w:szCs w:val="44"/>
          <w:lang w:eastAsia="zh-CN"/>
        </w:rPr>
      </w:pPr>
    </w:p>
    <w:p w14:paraId="608675B3">
      <w:pPr>
        <w:pStyle w:val="19"/>
        <w:numPr>
          <w:ilvl w:val="0"/>
          <w:numId w:val="6"/>
        </w:numPr>
        <w:tabs>
          <w:tab w:val="left" w:pos="820"/>
        </w:tabs>
        <w:snapToGrid w:val="0"/>
        <w:spacing w:line="300" w:lineRule="auto"/>
        <w:ind w:left="0"/>
        <w:jc w:val="both"/>
        <w:rPr>
          <w:rFonts w:ascii="Arial" w:hAnsi="Arial" w:eastAsia="宋体" w:cs="Arial"/>
          <w:sz w:val="24"/>
          <w:szCs w:val="24"/>
        </w:rPr>
      </w:pPr>
      <w:r>
        <w:rPr>
          <w:rFonts w:ascii="Arial" w:hAnsi="Arial" w:eastAsia="宋体" w:cs="Arial"/>
          <w:sz w:val="24"/>
        </w:rPr>
        <w:t>CDC. Recommendations for test performance and interpretation from the</w:t>
      </w:r>
      <w:r>
        <w:rPr>
          <w:rFonts w:ascii="Arial" w:hAnsi="Arial" w:eastAsia="宋体" w:cs="Arial"/>
          <w:spacing w:val="-16"/>
          <w:sz w:val="24"/>
        </w:rPr>
        <w:t xml:space="preserve"> </w:t>
      </w:r>
      <w:r>
        <w:rPr>
          <w:rFonts w:ascii="Arial" w:hAnsi="Arial" w:eastAsia="宋体" w:cs="Arial"/>
          <w:sz w:val="24"/>
        </w:rPr>
        <w:t>Second National Conference on Serologic Diagnosis of Lyme Disease.</w:t>
      </w:r>
      <w:r>
        <w:rPr>
          <w:rFonts w:ascii="Arial" w:hAnsi="Arial" w:eastAsia="宋体" w:cs="Arial"/>
          <w:spacing w:val="-5"/>
          <w:sz w:val="24"/>
        </w:rPr>
        <w:t xml:space="preserve"> </w:t>
      </w:r>
      <w:r>
        <w:rPr>
          <w:rFonts w:ascii="Arial" w:hAnsi="Arial" w:eastAsia="宋体" w:cs="Arial"/>
          <w:sz w:val="24"/>
        </w:rPr>
        <w:t>MMWR</w:t>
      </w:r>
      <w:r>
        <w:rPr>
          <w:rFonts w:ascii="Arial" w:hAnsi="Arial" w:eastAsia="宋体" w:cs="Arial"/>
          <w:w w:val="99"/>
          <w:sz w:val="24"/>
        </w:rPr>
        <w:t xml:space="preserve"> </w:t>
      </w:r>
      <w:r>
        <w:rPr>
          <w:rFonts w:ascii="Arial" w:hAnsi="Arial" w:eastAsia="宋体" w:cs="Arial"/>
          <w:sz w:val="24"/>
        </w:rPr>
        <w:t>1995；44：590-591.</w:t>
      </w:r>
    </w:p>
    <w:p w14:paraId="19B05564">
      <w:pPr>
        <w:pStyle w:val="19"/>
        <w:numPr>
          <w:ilvl w:val="0"/>
          <w:numId w:val="6"/>
        </w:numPr>
        <w:tabs>
          <w:tab w:val="left" w:pos="820"/>
        </w:tabs>
        <w:snapToGrid w:val="0"/>
        <w:spacing w:before="120" w:line="300" w:lineRule="auto"/>
        <w:ind w:left="0"/>
        <w:jc w:val="both"/>
        <w:rPr>
          <w:rFonts w:ascii="Arial" w:hAnsi="Arial" w:eastAsia="宋体" w:cs="Arial"/>
          <w:sz w:val="24"/>
          <w:szCs w:val="24"/>
        </w:rPr>
      </w:pPr>
      <w:r>
        <w:rPr>
          <w:rFonts w:ascii="Arial" w:hAnsi="Arial" w:eastAsia="宋体" w:cs="Arial"/>
          <w:sz w:val="24"/>
        </w:rPr>
        <w:t>Association of State and Territorial Public Health Laboratory Directors and</w:t>
      </w:r>
      <w:r>
        <w:rPr>
          <w:rFonts w:ascii="Arial" w:hAnsi="Arial" w:eastAsia="宋体" w:cs="Arial"/>
          <w:spacing w:val="-15"/>
          <w:sz w:val="24"/>
        </w:rPr>
        <w:t xml:space="preserve"> </w:t>
      </w:r>
      <w:r>
        <w:rPr>
          <w:rFonts w:ascii="Arial" w:hAnsi="Arial" w:eastAsia="宋体" w:cs="Arial"/>
          <w:sz w:val="24"/>
        </w:rPr>
        <w:t>the Centers for Disease Control and Prevention. Recommendations. In：</w:t>
      </w:r>
      <w:r>
        <w:rPr>
          <w:rFonts w:ascii="Arial" w:hAnsi="Arial" w:eastAsia="宋体" w:cs="Arial"/>
          <w:i/>
          <w:sz w:val="24"/>
        </w:rPr>
        <w:t>Proceedings</w:t>
      </w:r>
      <w:r>
        <w:rPr>
          <w:rFonts w:ascii="Arial" w:hAnsi="Arial" w:eastAsia="宋体" w:cs="Arial"/>
          <w:i/>
          <w:w w:val="99"/>
          <w:sz w:val="24"/>
        </w:rPr>
        <w:t xml:space="preserve"> </w:t>
      </w:r>
      <w:r>
        <w:rPr>
          <w:rFonts w:ascii="Arial" w:hAnsi="Arial" w:eastAsia="宋体" w:cs="Arial"/>
          <w:i/>
          <w:sz w:val="24"/>
        </w:rPr>
        <w:t>of the Second National Conference on Serologic Diagnosis of Lyme</w:t>
      </w:r>
      <w:r>
        <w:rPr>
          <w:rFonts w:ascii="Arial" w:hAnsi="Arial" w:eastAsia="宋体" w:cs="Arial"/>
          <w:i/>
          <w:spacing w:val="-7"/>
          <w:sz w:val="24"/>
        </w:rPr>
        <w:t xml:space="preserve"> </w:t>
      </w:r>
      <w:r>
        <w:rPr>
          <w:rFonts w:ascii="Arial" w:hAnsi="Arial" w:eastAsia="宋体" w:cs="Arial"/>
          <w:i/>
          <w:sz w:val="24"/>
        </w:rPr>
        <w:t>Disease</w:t>
      </w:r>
      <w:r>
        <w:rPr>
          <w:rFonts w:ascii="Arial" w:hAnsi="Arial" w:eastAsia="宋体" w:cs="Arial"/>
          <w:i/>
          <w:w w:val="99"/>
          <w:sz w:val="24"/>
        </w:rPr>
        <w:t xml:space="preserve"> </w:t>
      </w:r>
      <w:r>
        <w:rPr>
          <w:rFonts w:ascii="Arial" w:hAnsi="Arial" w:eastAsia="宋体" w:cs="Arial"/>
          <w:i/>
          <w:sz w:val="24"/>
        </w:rPr>
        <w:t>（Dearborn， Michigan）</w:t>
      </w:r>
      <w:r>
        <w:rPr>
          <w:rFonts w:ascii="Arial" w:hAnsi="Arial" w:eastAsia="宋体" w:cs="Arial"/>
          <w:sz w:val="24"/>
        </w:rPr>
        <w:t>. Washington， DC：Association of State and</w:t>
      </w:r>
      <w:r>
        <w:rPr>
          <w:rFonts w:ascii="Arial" w:hAnsi="Arial" w:eastAsia="宋体" w:cs="Arial"/>
          <w:spacing w:val="-10"/>
          <w:sz w:val="24"/>
        </w:rPr>
        <w:t xml:space="preserve"> </w:t>
      </w:r>
      <w:r>
        <w:rPr>
          <w:rFonts w:ascii="Arial" w:hAnsi="Arial" w:eastAsia="宋体" w:cs="Arial"/>
          <w:sz w:val="24"/>
        </w:rPr>
        <w:t>Territorial Public Health Laboratory Directors 1995；</w:t>
      </w:r>
      <w:r>
        <w:rPr>
          <w:rFonts w:ascii="Arial" w:hAnsi="Arial" w:eastAsia="宋体" w:cs="Arial"/>
          <w:spacing w:val="-12"/>
          <w:sz w:val="24"/>
        </w:rPr>
        <w:t xml:space="preserve"> </w:t>
      </w:r>
      <w:r>
        <w:rPr>
          <w:rFonts w:ascii="Arial" w:hAnsi="Arial" w:eastAsia="宋体" w:cs="Arial"/>
          <w:sz w:val="24"/>
        </w:rPr>
        <w:t>1-5.</w:t>
      </w:r>
    </w:p>
    <w:p w14:paraId="06A5B7D3">
      <w:pPr>
        <w:pStyle w:val="19"/>
        <w:numPr>
          <w:ilvl w:val="0"/>
          <w:numId w:val="6"/>
        </w:numPr>
        <w:tabs>
          <w:tab w:val="left" w:pos="820"/>
        </w:tabs>
        <w:snapToGrid w:val="0"/>
        <w:spacing w:before="120" w:line="300" w:lineRule="auto"/>
        <w:ind w:left="0"/>
        <w:jc w:val="both"/>
        <w:rPr>
          <w:rFonts w:ascii="Arial" w:hAnsi="Arial" w:eastAsia="宋体" w:cs="Arial"/>
          <w:sz w:val="24"/>
          <w:szCs w:val="24"/>
        </w:rPr>
      </w:pPr>
      <w:r>
        <w:rPr>
          <w:rFonts w:ascii="Arial" w:hAnsi="Arial" w:eastAsia="宋体" w:cs="Arial"/>
          <w:sz w:val="24"/>
        </w:rPr>
        <w:t>Clinical and Laboratory Standards Institute. 2005. Interference Testing in</w:t>
      </w:r>
      <w:r>
        <w:rPr>
          <w:rFonts w:ascii="Arial" w:hAnsi="Arial" w:eastAsia="宋体" w:cs="Arial"/>
          <w:spacing w:val="-17"/>
          <w:sz w:val="24"/>
        </w:rPr>
        <w:t xml:space="preserve"> </w:t>
      </w:r>
      <w:r>
        <w:rPr>
          <w:rFonts w:ascii="Arial" w:hAnsi="Arial" w:eastAsia="宋体" w:cs="Arial"/>
          <w:sz w:val="24"/>
        </w:rPr>
        <w:t>Clinical Chemistry； Approved Guideline. EP7-A2. Clinical and Laboratory</w:t>
      </w:r>
      <w:r>
        <w:rPr>
          <w:rFonts w:ascii="Arial" w:hAnsi="Arial" w:eastAsia="宋体" w:cs="Arial"/>
          <w:spacing w:val="-6"/>
          <w:sz w:val="24"/>
        </w:rPr>
        <w:t xml:space="preserve"> </w:t>
      </w:r>
      <w:r>
        <w:rPr>
          <w:rFonts w:ascii="Arial" w:hAnsi="Arial" w:eastAsia="宋体" w:cs="Arial"/>
          <w:sz w:val="24"/>
        </w:rPr>
        <w:t>Standards</w:t>
      </w:r>
      <w:r>
        <w:rPr>
          <w:rFonts w:ascii="Arial" w:hAnsi="Arial" w:eastAsia="宋体" w:cs="Arial"/>
          <w:w w:val="99"/>
          <w:sz w:val="24"/>
        </w:rPr>
        <w:t xml:space="preserve"> </w:t>
      </w:r>
      <w:r>
        <w:rPr>
          <w:rFonts w:ascii="Arial" w:hAnsi="Arial" w:eastAsia="宋体" w:cs="Arial"/>
          <w:sz w:val="24"/>
        </w:rPr>
        <w:t>Institute， Wayne</w:t>
      </w:r>
      <w:r>
        <w:rPr>
          <w:rFonts w:ascii="Arial" w:hAnsi="Arial" w:eastAsia="宋体" w:cs="Arial"/>
          <w:spacing w:val="-8"/>
          <w:sz w:val="24"/>
        </w:rPr>
        <w:t xml:space="preserve"> </w:t>
      </w:r>
      <w:r>
        <w:rPr>
          <w:rFonts w:ascii="Arial" w:hAnsi="Arial" w:eastAsia="宋体" w:cs="Arial"/>
          <w:sz w:val="24"/>
        </w:rPr>
        <w:t>PA.</w:t>
      </w:r>
    </w:p>
    <w:p w14:paraId="675EACBE">
      <w:pPr>
        <w:pStyle w:val="19"/>
        <w:numPr>
          <w:ilvl w:val="0"/>
          <w:numId w:val="6"/>
        </w:numPr>
        <w:tabs>
          <w:tab w:val="left" w:pos="820"/>
        </w:tabs>
        <w:snapToGrid w:val="0"/>
        <w:spacing w:before="120" w:line="300" w:lineRule="auto"/>
        <w:ind w:left="0"/>
        <w:jc w:val="both"/>
        <w:rPr>
          <w:rFonts w:ascii="Arial" w:hAnsi="Arial" w:eastAsia="宋体" w:cs="Arial"/>
          <w:sz w:val="24"/>
          <w:szCs w:val="24"/>
        </w:rPr>
      </w:pPr>
      <w:r>
        <w:rPr>
          <w:rFonts w:ascii="Arial" w:hAnsi="Arial" w:eastAsia="宋体" w:cs="Arial"/>
          <w:sz w:val="24"/>
        </w:rPr>
        <w:t>Clinical and Laboratory Standards Institute. 2004. Evaluation of</w:t>
      </w:r>
      <w:r>
        <w:rPr>
          <w:rFonts w:ascii="Arial" w:hAnsi="Arial" w:eastAsia="宋体" w:cs="Arial"/>
          <w:spacing w:val="-9"/>
          <w:sz w:val="24"/>
        </w:rPr>
        <w:t xml:space="preserve"> </w:t>
      </w:r>
      <w:r>
        <w:rPr>
          <w:rFonts w:ascii="Arial" w:hAnsi="Arial" w:eastAsia="宋体" w:cs="Arial"/>
          <w:sz w:val="24"/>
        </w:rPr>
        <w:t>Precision Performance of Quantitative Measurement Methods； Approved Guideline.</w:t>
      </w:r>
      <w:r>
        <w:rPr>
          <w:rFonts w:ascii="Arial" w:hAnsi="Arial" w:eastAsia="宋体" w:cs="Arial"/>
          <w:spacing w:val="-9"/>
          <w:sz w:val="24"/>
        </w:rPr>
        <w:t xml:space="preserve"> </w:t>
      </w:r>
      <w:r>
        <w:rPr>
          <w:rFonts w:ascii="Arial" w:hAnsi="Arial" w:eastAsia="宋体" w:cs="Arial"/>
          <w:sz w:val="24"/>
        </w:rPr>
        <w:t>EP5- A2. Clinical and Laboratory Standards Institute， Wayne</w:t>
      </w:r>
      <w:r>
        <w:rPr>
          <w:rFonts w:ascii="Arial" w:hAnsi="Arial" w:eastAsia="宋体" w:cs="Arial"/>
          <w:spacing w:val="-19"/>
          <w:sz w:val="24"/>
        </w:rPr>
        <w:t xml:space="preserve"> </w:t>
      </w:r>
      <w:r>
        <w:rPr>
          <w:rFonts w:ascii="Arial" w:hAnsi="Arial" w:eastAsia="宋体" w:cs="Arial"/>
          <w:sz w:val="24"/>
        </w:rPr>
        <w:t>PA.</w:t>
      </w:r>
    </w:p>
    <w:p w14:paraId="3D8A64D0">
      <w:pPr>
        <w:pStyle w:val="19"/>
        <w:numPr>
          <w:ilvl w:val="0"/>
          <w:numId w:val="6"/>
        </w:numPr>
        <w:tabs>
          <w:tab w:val="left" w:pos="820"/>
        </w:tabs>
        <w:snapToGrid w:val="0"/>
        <w:spacing w:before="120" w:line="300" w:lineRule="auto"/>
        <w:ind w:left="0"/>
        <w:jc w:val="both"/>
        <w:rPr>
          <w:rFonts w:ascii="Arial" w:hAnsi="Arial" w:eastAsia="宋体" w:cs="Arial"/>
          <w:sz w:val="24"/>
          <w:szCs w:val="24"/>
        </w:rPr>
      </w:pPr>
      <w:r>
        <w:rPr>
          <w:rFonts w:ascii="Arial" w:hAnsi="Arial" w:eastAsia="宋体" w:cs="Arial"/>
          <w:sz w:val="24"/>
        </w:rPr>
        <w:t>Clinical and Laboratory Standards Institute. 2002. User Protocol for Evaluation</w:t>
      </w:r>
      <w:r>
        <w:rPr>
          <w:rFonts w:ascii="Arial" w:hAnsi="Arial" w:eastAsia="宋体" w:cs="Arial"/>
          <w:spacing w:val="-18"/>
          <w:sz w:val="24"/>
        </w:rPr>
        <w:t xml:space="preserve"> </w:t>
      </w:r>
      <w:r>
        <w:rPr>
          <w:rFonts w:ascii="Arial" w:hAnsi="Arial" w:eastAsia="宋体" w:cs="Arial"/>
          <w:sz w:val="24"/>
        </w:rPr>
        <w:t>of Qualitative Test Performance； Approved Guideline. EP12-A. Clinical</w:t>
      </w:r>
      <w:r>
        <w:rPr>
          <w:rFonts w:ascii="Arial" w:hAnsi="Arial" w:eastAsia="宋体" w:cs="Arial"/>
          <w:spacing w:val="-12"/>
          <w:sz w:val="24"/>
        </w:rPr>
        <w:t xml:space="preserve"> </w:t>
      </w:r>
      <w:r>
        <w:rPr>
          <w:rFonts w:ascii="Arial" w:hAnsi="Arial" w:eastAsia="宋体" w:cs="Arial"/>
          <w:sz w:val="24"/>
        </w:rPr>
        <w:t>and Laboratory Standards Institute， Wayne</w:t>
      </w:r>
      <w:r>
        <w:rPr>
          <w:rFonts w:ascii="Arial" w:hAnsi="Arial" w:eastAsia="宋体" w:cs="Arial"/>
          <w:spacing w:val="-14"/>
          <w:sz w:val="24"/>
        </w:rPr>
        <w:t xml:space="preserve"> </w:t>
      </w:r>
      <w:r>
        <w:rPr>
          <w:rFonts w:ascii="Arial" w:hAnsi="Arial" w:eastAsia="宋体" w:cs="Arial"/>
          <w:sz w:val="24"/>
        </w:rPr>
        <w:t>PA.</w:t>
      </w:r>
    </w:p>
    <w:p w14:paraId="10FC7D79">
      <w:pPr>
        <w:pStyle w:val="19"/>
        <w:numPr>
          <w:ilvl w:val="0"/>
          <w:numId w:val="6"/>
        </w:numPr>
        <w:tabs>
          <w:tab w:val="left" w:pos="820"/>
        </w:tabs>
        <w:snapToGrid w:val="0"/>
        <w:spacing w:before="120" w:line="300" w:lineRule="auto"/>
        <w:ind w:left="0"/>
        <w:jc w:val="both"/>
        <w:rPr>
          <w:rFonts w:ascii="Arial" w:hAnsi="Arial" w:eastAsia="宋体" w:cs="Arial"/>
          <w:sz w:val="24"/>
          <w:szCs w:val="24"/>
        </w:rPr>
      </w:pPr>
      <w:r>
        <w:rPr>
          <w:rFonts w:ascii="Arial" w:hAnsi="Arial" w:eastAsia="宋体" w:cs="Arial"/>
          <w:sz w:val="24"/>
        </w:rPr>
        <w:t>Clinical and Laboratory Standards Institute. 2006. User Verification</w:t>
      </w:r>
      <w:r>
        <w:rPr>
          <w:rFonts w:ascii="Arial" w:hAnsi="Arial" w:eastAsia="宋体" w:cs="Arial"/>
          <w:spacing w:val="-6"/>
          <w:sz w:val="24"/>
        </w:rPr>
        <w:t xml:space="preserve"> </w:t>
      </w:r>
      <w:r>
        <w:rPr>
          <w:rFonts w:ascii="Arial" w:hAnsi="Arial" w:eastAsia="宋体" w:cs="Arial"/>
          <w:sz w:val="24"/>
        </w:rPr>
        <w:t>of Performance for Precision and Trueness； Approved Guideline. EP15-A2.</w:t>
      </w:r>
      <w:r>
        <w:rPr>
          <w:rFonts w:ascii="Arial" w:hAnsi="Arial" w:eastAsia="宋体" w:cs="Arial"/>
          <w:spacing w:val="-13"/>
          <w:sz w:val="24"/>
        </w:rPr>
        <w:t xml:space="preserve"> </w:t>
      </w:r>
      <w:r>
        <w:rPr>
          <w:rFonts w:ascii="Arial" w:hAnsi="Arial" w:eastAsia="宋体" w:cs="Arial"/>
          <w:sz w:val="24"/>
        </w:rPr>
        <w:t>Clinical and Laboratory Standards Institute， Wayne</w:t>
      </w:r>
      <w:r>
        <w:rPr>
          <w:rFonts w:ascii="Arial" w:hAnsi="Arial" w:eastAsia="宋体" w:cs="Arial"/>
          <w:spacing w:val="-11"/>
          <w:sz w:val="24"/>
        </w:rPr>
        <w:t xml:space="preserve"> </w:t>
      </w:r>
      <w:r>
        <w:rPr>
          <w:rFonts w:ascii="Arial" w:hAnsi="Arial" w:eastAsia="宋体" w:cs="Arial"/>
          <w:sz w:val="24"/>
        </w:rPr>
        <w:t>PA.</w:t>
      </w:r>
    </w:p>
    <w:p w14:paraId="7222DB04">
      <w:pPr>
        <w:pStyle w:val="19"/>
        <w:numPr>
          <w:ilvl w:val="0"/>
          <w:numId w:val="6"/>
        </w:numPr>
        <w:tabs>
          <w:tab w:val="left" w:pos="820"/>
        </w:tabs>
        <w:snapToGrid w:val="0"/>
        <w:spacing w:before="120" w:line="300" w:lineRule="auto"/>
        <w:ind w:left="0"/>
        <w:jc w:val="both"/>
        <w:rPr>
          <w:rFonts w:ascii="Arial" w:hAnsi="Arial" w:eastAsia="宋体" w:cs="Arial"/>
          <w:sz w:val="24"/>
          <w:szCs w:val="24"/>
        </w:rPr>
      </w:pPr>
      <w:r>
        <w:rPr>
          <w:rFonts w:ascii="Arial" w:hAnsi="Arial" w:eastAsia="宋体" w:cs="Arial"/>
          <w:sz w:val="24"/>
        </w:rPr>
        <w:t>Clinical and Laboratory Standards Institute. 1990. Procedures for Handling</w:t>
      </w:r>
      <w:r>
        <w:rPr>
          <w:rFonts w:ascii="Arial" w:hAnsi="Arial" w:eastAsia="宋体" w:cs="Arial"/>
          <w:spacing w:val="-21"/>
          <w:sz w:val="24"/>
        </w:rPr>
        <w:t xml:space="preserve"> </w:t>
      </w:r>
      <w:r>
        <w:rPr>
          <w:rFonts w:ascii="Arial" w:hAnsi="Arial" w:eastAsia="宋体" w:cs="Arial"/>
          <w:sz w:val="24"/>
        </w:rPr>
        <w:t>and Processing of Blood Specimens； Approved Guideline. H18-A. Clinical</w:t>
      </w:r>
      <w:r>
        <w:rPr>
          <w:rFonts w:ascii="Arial" w:hAnsi="Arial" w:eastAsia="宋体" w:cs="Arial"/>
          <w:spacing w:val="-10"/>
          <w:sz w:val="24"/>
        </w:rPr>
        <w:t xml:space="preserve"> </w:t>
      </w:r>
      <w:r>
        <w:rPr>
          <w:rFonts w:ascii="Arial" w:hAnsi="Arial" w:eastAsia="宋体" w:cs="Arial"/>
          <w:sz w:val="24"/>
        </w:rPr>
        <w:t>and Laboratory Standards Institute， Wayne</w:t>
      </w:r>
      <w:r>
        <w:rPr>
          <w:rFonts w:ascii="Arial" w:hAnsi="Arial" w:eastAsia="宋体" w:cs="Arial"/>
          <w:spacing w:val="-14"/>
          <w:sz w:val="24"/>
        </w:rPr>
        <w:t xml:space="preserve"> </w:t>
      </w:r>
      <w:r>
        <w:rPr>
          <w:rFonts w:ascii="Arial" w:hAnsi="Arial" w:eastAsia="宋体" w:cs="Arial"/>
          <w:sz w:val="24"/>
        </w:rPr>
        <w:t>PA.</w:t>
      </w:r>
    </w:p>
    <w:p w14:paraId="78ED2EF5">
      <w:pPr>
        <w:pStyle w:val="7"/>
        <w:snapToGrid w:val="0"/>
        <w:spacing w:before="201" w:line="300" w:lineRule="auto"/>
        <w:ind w:left="0"/>
        <w:jc w:val="center"/>
        <w:rPr>
          <w:rFonts w:hint="eastAsia" w:eastAsia="宋体"/>
          <w:lang w:eastAsia="zh-CN"/>
        </w:rPr>
      </w:pPr>
    </w:p>
    <w:p w14:paraId="654BCE54">
      <w:pPr>
        <w:pStyle w:val="7"/>
        <w:snapToGrid w:val="0"/>
        <w:spacing w:before="201" w:line="300" w:lineRule="auto"/>
        <w:ind w:left="0"/>
        <w:jc w:val="center"/>
        <w:rPr>
          <w:rFonts w:hint="eastAsia" w:eastAsia="宋体"/>
          <w:lang w:eastAsia="zh-CN"/>
        </w:rPr>
      </w:pPr>
    </w:p>
    <w:p w14:paraId="219382C2">
      <w:pPr>
        <w:pStyle w:val="7"/>
        <w:snapToGrid w:val="0"/>
        <w:spacing w:before="201" w:line="300" w:lineRule="auto"/>
        <w:ind w:lef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pgSz w:w="12260" w:h="15840"/>
      <w:pgMar w:top="980" w:right="1720" w:bottom="960" w:left="1700" w:header="748" w:footer="7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1561">
    <w:pPr>
      <w:spacing w:line="14" w:lineRule="auto"/>
      <w:rPr>
        <w:sz w:val="20"/>
        <w:szCs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3779520</wp:posOffset>
              </wp:positionH>
              <wp:positionV relativeFrom="page">
                <wp:posOffset>9433560</wp:posOffset>
              </wp:positionV>
              <wp:extent cx="203200" cy="177800"/>
              <wp:effectExtent l="0" t="381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wps:spPr>
                    <wps:txbx>
                      <w:txbxContent>
                        <w:p w14:paraId="7AEB014B">
                          <w:pPr>
                            <w:pStyle w:val="7"/>
                            <w:spacing w:line="265"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12</w:t>
                          </w:r>
                          <w:r>
                            <w:rPr>
                              <w:rFonts w:ascii="Arial" w:hAnsi="Arial" w:cs="Arial"/>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7.6pt;margin-top:742.8pt;height:14pt;width:16pt;mso-position-horizontal-relative:page;mso-position-vertical-relative:page;z-index:-251655168;mso-width-relative:page;mso-height-relative:page;" filled="f" stroked="f" coordsize="21600,21600" o:gfxdata="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KTM0I2wAAAA0BAAAPAAAAAAAAAAEAIAAAACIAAABkcnMvZG93bnJl&#10;di54bWxQSwECFAAUAAAACACHTuJAVHhed/oBAAADBAAADgAAAAAAAAABACAAAAAqAQAAZHJzL2Uy&#10;b0RvYy54bWxQSwUGAAAAAAYABgBZAQAAlgUAAAAA&#10;">
              <v:fill on="f" focussize="0,0"/>
              <v:stroke on="f"/>
              <v:imagedata o:title=""/>
              <o:lock v:ext="edit" aspectratio="f"/>
              <v:textbox inset="0mm,0mm,0mm,0mm">
                <w:txbxContent>
                  <w:p w14:paraId="7AEB014B">
                    <w:pPr>
                      <w:pStyle w:val="7"/>
                      <w:spacing w:line="265" w:lineRule="exact"/>
                      <w:ind w:left="4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12</w:t>
                    </w:r>
                    <w:r>
                      <w:rPr>
                        <w:rFonts w:ascii="Arial" w:hAnsi="Arial" w:cs="Aria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B9FC">
    <w:pPr>
      <w:spacing w:line="265" w:lineRule="exact"/>
      <w:ind w:left="20"/>
      <w:jc w:val="center"/>
      <w:rPr>
        <w:rFonts w:cs="Times New Roman" w:asciiTheme="minorEastAsia" w:hAnsiTheme="minorEastAsia"/>
        <w:i/>
        <w:sz w:val="24"/>
        <w:szCs w:val="24"/>
        <w:lang w:eastAsia="zh-CN"/>
      </w:rPr>
    </w:pPr>
    <w:r>
      <w:rPr>
        <w:rFonts w:hint="eastAsia" w:cs="Times New Roman" w:asciiTheme="minorEastAsia" w:hAnsiTheme="minorEastAsia"/>
        <w:i/>
        <w:sz w:val="24"/>
        <w:szCs w:val="24"/>
        <w:lang w:eastAsia="zh-CN"/>
      </w:rPr>
      <w:t>含有非约束性建议</w:t>
    </w:r>
  </w:p>
  <w:p w14:paraId="3B0F71D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3BDD4">
    <w:pPr>
      <w:spacing w:line="265" w:lineRule="exact"/>
      <w:ind w:left="20"/>
      <w:jc w:val="center"/>
      <w:rPr>
        <w:rFonts w:cs="Times New Roman" w:asciiTheme="minorEastAsia" w:hAnsiTheme="minorEastAsia"/>
        <w:i/>
        <w:sz w:val="24"/>
        <w:szCs w:val="24"/>
        <w:lang w:eastAsia="zh-CN"/>
      </w:rPr>
    </w:pPr>
    <w:r>
      <w:rPr>
        <w:rFonts w:hint="eastAsia" w:cs="Times New Roman" w:asciiTheme="minorEastAsia" w:hAnsiTheme="minorEastAsia"/>
        <w:i/>
        <w:sz w:val="24"/>
        <w:szCs w:val="24"/>
        <w:lang w:eastAsia="zh-CN"/>
      </w:rPr>
      <w:t>含有非约束性建议</w:t>
    </w:r>
  </w:p>
  <w:p w14:paraId="3D60888E">
    <w:pPr>
      <w:pStyle w:val="11"/>
      <w:pBdr>
        <w:bottom w:val="none" w:color="auto" w:sz="0" w:space="0"/>
      </w:pBdr>
    </w:pPr>
  </w:p>
  <w:p w14:paraId="07D1142A">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A7FC2"/>
    <w:multiLevelType w:val="multilevel"/>
    <w:tmpl w:val="0BCA7FC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0F53BE0"/>
    <w:multiLevelType w:val="multilevel"/>
    <w:tmpl w:val="10F53BE0"/>
    <w:lvl w:ilvl="0" w:tentative="0">
      <w:start w:val="1"/>
      <w:numFmt w:val="upperLetter"/>
      <w:lvlText w:val="%1."/>
      <w:lvlJc w:val="left"/>
      <w:pPr>
        <w:ind w:left="342" w:hanging="342"/>
      </w:pPr>
      <w:rPr>
        <w:rFonts w:hint="default"/>
        <w:spacing w:val="-1"/>
        <w:w w:val="99"/>
        <w:u w:val="thick" w:color="000000"/>
      </w:rPr>
    </w:lvl>
    <w:lvl w:ilvl="1" w:tentative="0">
      <w:start w:val="1"/>
      <w:numFmt w:val="decimal"/>
      <w:lvlText w:val="%2."/>
      <w:lvlJc w:val="left"/>
      <w:pPr>
        <w:ind w:left="361" w:hanging="360"/>
      </w:pPr>
      <w:rPr>
        <w:rFonts w:hint="default" w:ascii="Arial" w:hAnsi="Arial" w:eastAsia="Times New Roman" w:cs="Arial"/>
        <w:b/>
        <w:bCs/>
        <w:spacing w:val="-1"/>
        <w:w w:val="99"/>
        <w:sz w:val="24"/>
        <w:szCs w:val="24"/>
      </w:rPr>
    </w:lvl>
    <w:lvl w:ilvl="2" w:tentative="0">
      <w:start w:val="1"/>
      <w:numFmt w:val="bullet"/>
      <w:lvlText w:val=""/>
      <w:lvlJc w:val="left"/>
      <w:pPr>
        <w:ind w:left="1081" w:hanging="360"/>
      </w:pPr>
      <w:rPr>
        <w:rFonts w:hint="default" w:ascii="Symbol" w:hAnsi="Symbol" w:eastAsia="Symbol"/>
        <w:w w:val="99"/>
        <w:sz w:val="24"/>
        <w:szCs w:val="24"/>
      </w:rPr>
    </w:lvl>
    <w:lvl w:ilvl="3" w:tentative="0">
      <w:start w:val="1"/>
      <w:numFmt w:val="bullet"/>
      <w:lvlText w:val="•"/>
      <w:lvlJc w:val="left"/>
      <w:pPr>
        <w:ind w:left="2038" w:hanging="360"/>
      </w:pPr>
      <w:rPr>
        <w:rFonts w:hint="default"/>
      </w:rPr>
    </w:lvl>
    <w:lvl w:ilvl="4" w:tentative="0">
      <w:start w:val="1"/>
      <w:numFmt w:val="bullet"/>
      <w:lvlText w:val="•"/>
      <w:lvlJc w:val="left"/>
      <w:pPr>
        <w:ind w:left="2996" w:hanging="360"/>
      </w:pPr>
      <w:rPr>
        <w:rFonts w:hint="default"/>
      </w:rPr>
    </w:lvl>
    <w:lvl w:ilvl="5" w:tentative="0">
      <w:start w:val="1"/>
      <w:numFmt w:val="bullet"/>
      <w:lvlText w:val="•"/>
      <w:lvlJc w:val="left"/>
      <w:pPr>
        <w:ind w:left="3953" w:hanging="360"/>
      </w:pPr>
      <w:rPr>
        <w:rFonts w:hint="default"/>
      </w:rPr>
    </w:lvl>
    <w:lvl w:ilvl="6" w:tentative="0">
      <w:start w:val="1"/>
      <w:numFmt w:val="bullet"/>
      <w:lvlText w:val="•"/>
      <w:lvlJc w:val="left"/>
      <w:pPr>
        <w:ind w:left="4911" w:hanging="360"/>
      </w:pPr>
      <w:rPr>
        <w:rFonts w:hint="default"/>
      </w:rPr>
    </w:lvl>
    <w:lvl w:ilvl="7" w:tentative="0">
      <w:start w:val="1"/>
      <w:numFmt w:val="bullet"/>
      <w:lvlText w:val="•"/>
      <w:lvlJc w:val="left"/>
      <w:pPr>
        <w:ind w:left="5868" w:hanging="360"/>
      </w:pPr>
      <w:rPr>
        <w:rFonts w:hint="default"/>
      </w:rPr>
    </w:lvl>
    <w:lvl w:ilvl="8" w:tentative="0">
      <w:start w:val="1"/>
      <w:numFmt w:val="bullet"/>
      <w:lvlText w:val="•"/>
      <w:lvlJc w:val="left"/>
      <w:pPr>
        <w:ind w:left="6826" w:hanging="360"/>
      </w:pPr>
      <w:rPr>
        <w:rFonts w:hint="default"/>
      </w:rPr>
    </w:lvl>
  </w:abstractNum>
  <w:abstractNum w:abstractNumId="2">
    <w:nsid w:val="33904A77"/>
    <w:multiLevelType w:val="multilevel"/>
    <w:tmpl w:val="33904A77"/>
    <w:lvl w:ilvl="0" w:tentative="0">
      <w:start w:val="4"/>
      <w:numFmt w:val="decimal"/>
      <w:lvlText w:val="%1."/>
      <w:lvlJc w:val="left"/>
      <w:pPr>
        <w:ind w:left="360" w:hanging="240"/>
      </w:pPr>
      <w:rPr>
        <w:rFonts w:hint="default" w:ascii="Times New Roman" w:hAnsi="Times New Roman" w:eastAsia="Times New Roman"/>
        <w:b/>
        <w:bCs/>
        <w:spacing w:val="-3"/>
        <w:w w:val="99"/>
        <w:sz w:val="24"/>
        <w:szCs w:val="24"/>
      </w:rPr>
    </w:lvl>
    <w:lvl w:ilvl="1" w:tentative="0">
      <w:start w:val="1"/>
      <w:numFmt w:val="lowerLetter"/>
      <w:lvlText w:val="%2."/>
      <w:lvlJc w:val="left"/>
      <w:pPr>
        <w:ind w:left="1340" w:hanging="180"/>
      </w:pPr>
      <w:rPr>
        <w:rFonts w:hint="default" w:ascii="Times New Roman" w:hAnsi="Times New Roman" w:eastAsia="Times New Roman"/>
        <w:spacing w:val="-1"/>
        <w:w w:val="100"/>
        <w:sz w:val="24"/>
        <w:szCs w:val="24"/>
      </w:rPr>
    </w:lvl>
    <w:lvl w:ilvl="2" w:tentative="0">
      <w:start w:val="1"/>
      <w:numFmt w:val="lowerLetter"/>
      <w:lvlText w:val="%3."/>
      <w:lvlJc w:val="left"/>
      <w:pPr>
        <w:ind w:left="1880" w:hanging="449"/>
      </w:pPr>
      <w:rPr>
        <w:rFonts w:hint="default" w:ascii="Times New Roman" w:hAnsi="Times New Roman" w:eastAsia="Times New Roman"/>
        <w:spacing w:val="-8"/>
        <w:w w:val="99"/>
        <w:sz w:val="24"/>
        <w:szCs w:val="24"/>
      </w:rPr>
    </w:lvl>
    <w:lvl w:ilvl="3" w:tentative="0">
      <w:start w:val="1"/>
      <w:numFmt w:val="lowerRoman"/>
      <w:lvlText w:val="%4."/>
      <w:lvlJc w:val="left"/>
      <w:pPr>
        <w:ind w:left="1880" w:hanging="308"/>
        <w:jc w:val="right"/>
      </w:pPr>
      <w:rPr>
        <w:rFonts w:hint="default" w:ascii="Times New Roman" w:hAnsi="Times New Roman" w:eastAsia="Times New Roman"/>
        <w:spacing w:val="-5"/>
        <w:w w:val="99"/>
        <w:sz w:val="24"/>
        <w:szCs w:val="24"/>
      </w:rPr>
    </w:lvl>
    <w:lvl w:ilvl="4" w:tentative="0">
      <w:start w:val="1"/>
      <w:numFmt w:val="bullet"/>
      <w:lvlText w:val="•"/>
      <w:lvlJc w:val="left"/>
      <w:pPr>
        <w:ind w:left="3615" w:hanging="308"/>
      </w:pPr>
      <w:rPr>
        <w:rFonts w:hint="default"/>
      </w:rPr>
    </w:lvl>
    <w:lvl w:ilvl="5" w:tentative="0">
      <w:start w:val="1"/>
      <w:numFmt w:val="bullet"/>
      <w:lvlText w:val="•"/>
      <w:lvlJc w:val="left"/>
      <w:pPr>
        <w:ind w:left="4482" w:hanging="308"/>
      </w:pPr>
      <w:rPr>
        <w:rFonts w:hint="default"/>
      </w:rPr>
    </w:lvl>
    <w:lvl w:ilvl="6" w:tentative="0">
      <w:start w:val="1"/>
      <w:numFmt w:val="bullet"/>
      <w:lvlText w:val="•"/>
      <w:lvlJc w:val="left"/>
      <w:pPr>
        <w:ind w:left="5350" w:hanging="308"/>
      </w:pPr>
      <w:rPr>
        <w:rFonts w:hint="default"/>
      </w:rPr>
    </w:lvl>
    <w:lvl w:ilvl="7" w:tentative="0">
      <w:start w:val="1"/>
      <w:numFmt w:val="bullet"/>
      <w:lvlText w:val="•"/>
      <w:lvlJc w:val="left"/>
      <w:pPr>
        <w:ind w:left="6217" w:hanging="308"/>
      </w:pPr>
      <w:rPr>
        <w:rFonts w:hint="default"/>
      </w:rPr>
    </w:lvl>
    <w:lvl w:ilvl="8" w:tentative="0">
      <w:start w:val="1"/>
      <w:numFmt w:val="bullet"/>
      <w:lvlText w:val="•"/>
      <w:lvlJc w:val="left"/>
      <w:pPr>
        <w:ind w:left="7085" w:hanging="308"/>
      </w:pPr>
      <w:rPr>
        <w:rFonts w:hint="default"/>
      </w:rPr>
    </w:lvl>
  </w:abstractNum>
  <w:abstractNum w:abstractNumId="3">
    <w:nsid w:val="4EF00197"/>
    <w:multiLevelType w:val="multilevel"/>
    <w:tmpl w:val="4EF0019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9E0F63"/>
    <w:multiLevelType w:val="multilevel"/>
    <w:tmpl w:val="5B9E0F63"/>
    <w:lvl w:ilvl="0" w:tentative="0">
      <w:start w:val="1"/>
      <w:numFmt w:val="decimal"/>
      <w:lvlText w:val="%1."/>
      <w:lvlJc w:val="left"/>
      <w:pPr>
        <w:ind w:left="820" w:hanging="360"/>
      </w:pPr>
      <w:rPr>
        <w:rFonts w:hint="default" w:ascii="Arial" w:hAnsi="Arial" w:eastAsia="Times New Roman" w:cs="Arial"/>
        <w:spacing w:val="-5"/>
        <w:w w:val="99"/>
        <w:sz w:val="24"/>
        <w:szCs w:val="24"/>
      </w:rPr>
    </w:lvl>
    <w:lvl w:ilvl="1" w:tentative="0">
      <w:start w:val="1"/>
      <w:numFmt w:val="bullet"/>
      <w:lvlText w:val="•"/>
      <w:lvlJc w:val="left"/>
      <w:pPr>
        <w:ind w:left="1622" w:hanging="360"/>
      </w:pPr>
      <w:rPr>
        <w:rFonts w:hint="default"/>
      </w:rPr>
    </w:lvl>
    <w:lvl w:ilvl="2" w:tentative="0">
      <w:start w:val="1"/>
      <w:numFmt w:val="bullet"/>
      <w:lvlText w:val="•"/>
      <w:lvlJc w:val="left"/>
      <w:pPr>
        <w:ind w:left="2424" w:hanging="360"/>
      </w:pPr>
      <w:rPr>
        <w:rFonts w:hint="default"/>
      </w:rPr>
    </w:lvl>
    <w:lvl w:ilvl="3" w:tentative="0">
      <w:start w:val="1"/>
      <w:numFmt w:val="bullet"/>
      <w:lvlText w:val="•"/>
      <w:lvlJc w:val="left"/>
      <w:pPr>
        <w:ind w:left="3226" w:hanging="360"/>
      </w:pPr>
      <w:rPr>
        <w:rFonts w:hint="default"/>
      </w:rPr>
    </w:lvl>
    <w:lvl w:ilvl="4" w:tentative="0">
      <w:start w:val="1"/>
      <w:numFmt w:val="bullet"/>
      <w:lvlText w:val="•"/>
      <w:lvlJc w:val="left"/>
      <w:pPr>
        <w:ind w:left="4028" w:hanging="360"/>
      </w:pPr>
      <w:rPr>
        <w:rFonts w:hint="default"/>
      </w:rPr>
    </w:lvl>
    <w:lvl w:ilvl="5" w:tentative="0">
      <w:start w:val="1"/>
      <w:numFmt w:val="bullet"/>
      <w:lvlText w:val="•"/>
      <w:lvlJc w:val="left"/>
      <w:pPr>
        <w:ind w:left="4830" w:hanging="360"/>
      </w:pPr>
      <w:rPr>
        <w:rFonts w:hint="default"/>
      </w:rPr>
    </w:lvl>
    <w:lvl w:ilvl="6" w:tentative="0">
      <w:start w:val="1"/>
      <w:numFmt w:val="bullet"/>
      <w:lvlText w:val="•"/>
      <w:lvlJc w:val="left"/>
      <w:pPr>
        <w:ind w:left="5632" w:hanging="360"/>
      </w:pPr>
      <w:rPr>
        <w:rFonts w:hint="default"/>
      </w:rPr>
    </w:lvl>
    <w:lvl w:ilvl="7" w:tentative="0">
      <w:start w:val="1"/>
      <w:numFmt w:val="bullet"/>
      <w:lvlText w:val="•"/>
      <w:lvlJc w:val="left"/>
      <w:pPr>
        <w:ind w:left="6434" w:hanging="360"/>
      </w:pPr>
      <w:rPr>
        <w:rFonts w:hint="default"/>
      </w:rPr>
    </w:lvl>
    <w:lvl w:ilvl="8" w:tentative="0">
      <w:start w:val="1"/>
      <w:numFmt w:val="bullet"/>
      <w:lvlText w:val="•"/>
      <w:lvlJc w:val="left"/>
      <w:pPr>
        <w:ind w:left="7236" w:hanging="360"/>
      </w:pPr>
      <w:rPr>
        <w:rFonts w:hint="default"/>
      </w:rPr>
    </w:lvl>
  </w:abstractNum>
  <w:abstractNum w:abstractNumId="5">
    <w:nsid w:val="624A7232"/>
    <w:multiLevelType w:val="multilevel"/>
    <w:tmpl w:val="624A723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98"/>
    <w:rsid w:val="000148A4"/>
    <w:rsid w:val="000B2661"/>
    <w:rsid w:val="00146568"/>
    <w:rsid w:val="0018241F"/>
    <w:rsid w:val="0018793E"/>
    <w:rsid w:val="001A219B"/>
    <w:rsid w:val="001E12C9"/>
    <w:rsid w:val="001E1B24"/>
    <w:rsid w:val="00207887"/>
    <w:rsid w:val="002133EC"/>
    <w:rsid w:val="002A2586"/>
    <w:rsid w:val="002D735B"/>
    <w:rsid w:val="00310E3B"/>
    <w:rsid w:val="003261DB"/>
    <w:rsid w:val="00355425"/>
    <w:rsid w:val="0036123D"/>
    <w:rsid w:val="003F3BB8"/>
    <w:rsid w:val="004062EF"/>
    <w:rsid w:val="00440A28"/>
    <w:rsid w:val="0049126C"/>
    <w:rsid w:val="005166BA"/>
    <w:rsid w:val="006042D0"/>
    <w:rsid w:val="00653D8A"/>
    <w:rsid w:val="006B56B9"/>
    <w:rsid w:val="006C5F5F"/>
    <w:rsid w:val="006D43F7"/>
    <w:rsid w:val="0075419D"/>
    <w:rsid w:val="00760FBD"/>
    <w:rsid w:val="007F0D44"/>
    <w:rsid w:val="00803CAE"/>
    <w:rsid w:val="00806C34"/>
    <w:rsid w:val="00842FDB"/>
    <w:rsid w:val="008E23EA"/>
    <w:rsid w:val="0090554F"/>
    <w:rsid w:val="00966869"/>
    <w:rsid w:val="009822ED"/>
    <w:rsid w:val="009A27B0"/>
    <w:rsid w:val="009B2359"/>
    <w:rsid w:val="009D298A"/>
    <w:rsid w:val="009E567F"/>
    <w:rsid w:val="00A13ED8"/>
    <w:rsid w:val="00A44EBB"/>
    <w:rsid w:val="00A615A9"/>
    <w:rsid w:val="00A66B4A"/>
    <w:rsid w:val="00AF6483"/>
    <w:rsid w:val="00B3618D"/>
    <w:rsid w:val="00B375DC"/>
    <w:rsid w:val="00B65B79"/>
    <w:rsid w:val="00BD5F94"/>
    <w:rsid w:val="00BF662E"/>
    <w:rsid w:val="00C171A0"/>
    <w:rsid w:val="00C25BDA"/>
    <w:rsid w:val="00C26CA5"/>
    <w:rsid w:val="00C561A8"/>
    <w:rsid w:val="00C60B98"/>
    <w:rsid w:val="00CF1B6C"/>
    <w:rsid w:val="00D03FBE"/>
    <w:rsid w:val="00DB3F4F"/>
    <w:rsid w:val="00DF7DB0"/>
    <w:rsid w:val="00E2634D"/>
    <w:rsid w:val="00EE7FE2"/>
    <w:rsid w:val="00F36872"/>
    <w:rsid w:val="00F466DD"/>
    <w:rsid w:val="00F53374"/>
    <w:rsid w:val="00F872E5"/>
    <w:rsid w:val="00FC15ED"/>
    <w:rsid w:val="1FAC401B"/>
    <w:rsid w:val="27837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qFormat="1" w:unhideWhenUsed="0" w:uiPriority="39"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spacing w:before="10"/>
      <w:ind w:left="529" w:hanging="248"/>
      <w:outlineLvl w:val="0"/>
    </w:pPr>
    <w:rPr>
      <w:rFonts w:ascii="Times New Roman" w:hAnsi="Times New Roman" w:eastAsia="Times New Roman"/>
      <w:b/>
      <w:bCs/>
      <w:sz w:val="56"/>
      <w:szCs w:val="56"/>
    </w:rPr>
  </w:style>
  <w:style w:type="paragraph" w:styleId="3">
    <w:name w:val="heading 2"/>
    <w:basedOn w:val="1"/>
    <w:next w:val="4"/>
    <w:qFormat/>
    <w:uiPriority w:val="1"/>
    <w:pPr>
      <w:ind w:left="100"/>
      <w:outlineLvl w:val="1"/>
    </w:pPr>
    <w:rPr>
      <w:rFonts w:ascii="Times New Roman" w:hAnsi="Times New Roman" w:eastAsia="Times New Roman"/>
      <w:b/>
      <w:bCs/>
      <w:sz w:val="36"/>
      <w:szCs w:val="36"/>
    </w:rPr>
  </w:style>
  <w:style w:type="paragraph" w:styleId="5">
    <w:name w:val="heading 3"/>
    <w:basedOn w:val="1"/>
    <w:next w:val="1"/>
    <w:qFormat/>
    <w:uiPriority w:val="1"/>
    <w:pPr>
      <w:ind w:left="529" w:hanging="341"/>
      <w:outlineLvl w:val="2"/>
    </w:pPr>
    <w:rPr>
      <w:rFonts w:ascii="Times New Roman" w:hAnsi="Times New Roman" w:eastAsia="Times New Roman"/>
      <w:b/>
      <w:bCs/>
      <w:sz w:val="28"/>
      <w:szCs w:val="28"/>
    </w:rPr>
  </w:style>
  <w:style w:type="paragraph" w:styleId="6">
    <w:name w:val="heading 4"/>
    <w:basedOn w:val="1"/>
    <w:next w:val="1"/>
    <w:qFormat/>
    <w:uiPriority w:val="1"/>
    <w:pPr>
      <w:ind w:left="360" w:hanging="240"/>
      <w:outlineLvl w:val="3"/>
    </w:pPr>
    <w:rPr>
      <w:rFonts w:ascii="Times New Roman" w:hAnsi="Times New Roman" w:eastAsia="Times New Roman"/>
      <w:b/>
      <w:bCs/>
      <w:sz w:val="24"/>
      <w:szCs w:val="24"/>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uiPriority w:val="99"/>
    <w:pPr>
      <w:ind w:firstLine="420" w:firstLineChars="200"/>
    </w:pPr>
  </w:style>
  <w:style w:type="paragraph" w:styleId="7">
    <w:name w:val="Body Text"/>
    <w:basedOn w:val="1"/>
    <w:qFormat/>
    <w:uiPriority w:val="1"/>
    <w:pPr>
      <w:ind w:left="100"/>
    </w:pPr>
    <w:rPr>
      <w:rFonts w:ascii="Times New Roman" w:hAnsi="Times New Roman" w:eastAsia="Times New Roman"/>
      <w:sz w:val="24"/>
      <w:szCs w:val="24"/>
    </w:rPr>
  </w:style>
  <w:style w:type="paragraph" w:styleId="8">
    <w:name w:val="toc 3"/>
    <w:basedOn w:val="1"/>
    <w:next w:val="1"/>
    <w:qFormat/>
    <w:uiPriority w:val="39"/>
    <w:pPr>
      <w:spacing w:before="98"/>
      <w:ind w:left="620" w:hanging="292"/>
    </w:pPr>
    <w:rPr>
      <w:rFonts w:ascii="Times New Roman" w:hAnsi="Times New Roman" w:eastAsia="Times New Roman"/>
      <w:b/>
      <w:bCs/>
      <w:sz w:val="24"/>
      <w:szCs w:val="24"/>
    </w:rPr>
  </w:style>
  <w:style w:type="paragraph" w:styleId="9">
    <w:name w:val="Balloon Text"/>
    <w:basedOn w:val="1"/>
    <w:link w:val="27"/>
    <w:semiHidden/>
    <w:unhideWhenUsed/>
    <w:uiPriority w:val="99"/>
    <w:rPr>
      <w:sz w:val="18"/>
      <w:szCs w:val="18"/>
    </w:rPr>
  </w:style>
  <w:style w:type="paragraph" w:styleId="10">
    <w:name w:val="footer"/>
    <w:basedOn w:val="1"/>
    <w:link w:val="22"/>
    <w:unhideWhenUsed/>
    <w:uiPriority w:val="99"/>
    <w:pPr>
      <w:tabs>
        <w:tab w:val="center" w:pos="4153"/>
        <w:tab w:val="right" w:pos="8306"/>
      </w:tabs>
      <w:snapToGrid w:val="0"/>
    </w:pPr>
    <w:rPr>
      <w:sz w:val="18"/>
      <w:szCs w:val="18"/>
    </w:rPr>
  </w:style>
  <w:style w:type="paragraph" w:styleId="11">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1"/>
    <w:pPr>
      <w:spacing w:before="101"/>
      <w:ind w:left="100"/>
    </w:pPr>
    <w:rPr>
      <w:rFonts w:ascii="Times New Roman" w:hAnsi="Times New Roman" w:eastAsia="Times New Roman"/>
      <w:b/>
      <w:bCs/>
      <w:sz w:val="24"/>
      <w:szCs w:val="24"/>
    </w:rPr>
  </w:style>
  <w:style w:type="paragraph" w:styleId="13">
    <w:name w:val="toc 4"/>
    <w:basedOn w:val="1"/>
    <w:next w:val="1"/>
    <w:qFormat/>
    <w:uiPriority w:val="1"/>
    <w:pPr>
      <w:spacing w:before="101"/>
      <w:ind w:left="632" w:hanging="292"/>
    </w:pPr>
    <w:rPr>
      <w:rFonts w:ascii="Times New Roman" w:hAnsi="Times New Roman" w:eastAsia="Times New Roman"/>
      <w:b/>
      <w:bCs/>
      <w:i/>
    </w:rPr>
  </w:style>
  <w:style w:type="paragraph" w:styleId="14">
    <w:name w:val="toc 2"/>
    <w:basedOn w:val="1"/>
    <w:next w:val="1"/>
    <w:qFormat/>
    <w:uiPriority w:val="39"/>
    <w:pPr>
      <w:spacing w:before="101"/>
      <w:ind w:left="100"/>
    </w:pPr>
    <w:rPr>
      <w:rFonts w:ascii="Times New Roman" w:hAnsi="Times New Roman" w:eastAsia="Times New Roman"/>
      <w:b/>
      <w:bCs/>
      <w:i/>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table" w:customStyle="1" w:styleId="18">
    <w:name w:val="Table Normal"/>
    <w:unhideWhenUsed/>
    <w:qFormat/>
    <w:uiPriority w:val="2"/>
    <w:tblPr>
      <w:tblCellMar>
        <w:top w:w="0" w:type="dxa"/>
        <w:left w:w="0" w:type="dxa"/>
        <w:bottom w:w="0" w:type="dxa"/>
        <w:right w:w="0" w:type="dxa"/>
      </w:tblCellMar>
    </w:tblPr>
  </w:style>
  <w:style w:type="paragraph" w:customStyle="1" w:styleId="19">
    <w:name w:val="列出段落1"/>
    <w:basedOn w:val="1"/>
    <w:qFormat/>
    <w:uiPriority w:val="1"/>
  </w:style>
  <w:style w:type="paragraph" w:customStyle="1" w:styleId="20">
    <w:name w:val="Table Paragraph"/>
    <w:basedOn w:val="1"/>
    <w:qFormat/>
    <w:uiPriority w:val="1"/>
  </w:style>
  <w:style w:type="character" w:customStyle="1" w:styleId="21">
    <w:name w:val="页眉 Char"/>
    <w:basedOn w:val="16"/>
    <w:link w:val="11"/>
    <w:uiPriority w:val="99"/>
    <w:rPr>
      <w:sz w:val="18"/>
      <w:szCs w:val="18"/>
    </w:rPr>
  </w:style>
  <w:style w:type="character" w:customStyle="1" w:styleId="22">
    <w:name w:val="页脚 Char"/>
    <w:basedOn w:val="16"/>
    <w:link w:val="10"/>
    <w:uiPriority w:val="99"/>
    <w:rPr>
      <w:sz w:val="18"/>
      <w:szCs w:val="18"/>
    </w:rPr>
  </w:style>
  <w:style w:type="character" w:customStyle="1" w:styleId="23">
    <w:name w:val="正文文本 (7)_"/>
    <w:basedOn w:val="16"/>
    <w:link w:val="24"/>
    <w:locked/>
    <w:uiPriority w:val="99"/>
    <w:rPr>
      <w:rFonts w:ascii="Times New Roman" w:hAnsi="Times New Roman" w:cs="Times New Roman"/>
      <w:b/>
      <w:bCs/>
      <w:i/>
      <w:iCs/>
      <w:sz w:val="23"/>
      <w:szCs w:val="23"/>
      <w:shd w:val="clear" w:color="auto" w:fill="FFFFFF"/>
    </w:rPr>
  </w:style>
  <w:style w:type="paragraph" w:customStyle="1" w:styleId="24">
    <w:name w:val="正文文本 (7)"/>
    <w:basedOn w:val="1"/>
    <w:link w:val="23"/>
    <w:uiPriority w:val="99"/>
    <w:pPr>
      <w:widowControl/>
      <w:shd w:val="clear" w:color="auto" w:fill="FFFFFF"/>
      <w:spacing w:before="780" w:after="480" w:line="278" w:lineRule="exact"/>
      <w:jc w:val="both"/>
    </w:pPr>
    <w:rPr>
      <w:rFonts w:ascii="Times New Roman" w:hAnsi="Times New Roman" w:cs="Times New Roman"/>
      <w:b/>
      <w:bCs/>
      <w:i/>
      <w:iCs/>
      <w:sz w:val="23"/>
      <w:szCs w:val="23"/>
    </w:rPr>
  </w:style>
  <w:style w:type="character" w:customStyle="1" w:styleId="25">
    <w:name w:val="标题1"/>
    <w:basedOn w:val="16"/>
    <w:uiPriority w:val="0"/>
  </w:style>
  <w:style w:type="character" w:customStyle="1" w:styleId="26">
    <w:name w:val="apple-converted-space"/>
    <w:basedOn w:val="16"/>
    <w:uiPriority w:val="0"/>
  </w:style>
  <w:style w:type="character" w:customStyle="1" w:styleId="27">
    <w:name w:val="批注框文本 Char"/>
    <w:basedOn w:val="16"/>
    <w:link w:val="9"/>
    <w:semiHidden/>
    <w:uiPriority w:val="99"/>
    <w:rPr>
      <w:rFonts w:asciiTheme="minorHAnsi" w:hAnsiTheme="minorHAnsi" w:eastAsiaTheme="minorEastAsia" w:cstheme="minorBidi"/>
      <w:sz w:val="18"/>
      <w:szCs w:val="18"/>
      <w:lang w:eastAsia="en-US"/>
    </w:rPr>
  </w:style>
  <w:style w:type="paragraph" w:styleId="28">
    <w:name w:val="List Paragraph"/>
    <w:basedOn w:val="1"/>
    <w:uiPriority w:val="99"/>
    <w:pPr>
      <w:ind w:firstLine="420" w:firstLineChars="200"/>
    </w:pPr>
  </w:style>
  <w:style w:type="paragraph" w:customStyle="1" w:styleId="29">
    <w:name w:val="TOC Heading"/>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CF644-A803-44AF-8973-07CBA7DCEF3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6128</Words>
  <Characters>8520</Characters>
  <Lines>67</Lines>
  <Paragraphs>19</Paragraphs>
  <TotalTime>0</TotalTime>
  <ScaleCrop>false</ScaleCrop>
  <LinksUpToDate>false</LinksUpToDate>
  <CharactersWithSpaces>8805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2017-04-10T11:44:00Z</dcterms:created>
  <dc:creator>孟客楠</dc:creator>
  <cp:lastModifiedBy>太极箫客</cp:lastModifiedBy>
  <dcterms:modified xsi:type="dcterms:W3CDTF">2025-08-14T07:11:40Z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2013-03-25T00:00:00Z</vt:filetime>
  </property>
  <property fmtid="{D5CDD505-2E9C-101B-9397-08002B2CF9AE}" pid="3" name="LastSaved">
    <vt:filetime>2017-02-17T00:00:00Z</vt:filetime>
  </property>
  <property fmtid="{D5CDD505-2E9C-101B-9397-08002B2CF9AE}" pid="4" name="KSOProductBuildVer">
    <vt:lpwstr>2052-12.1.0.21915</vt:lpwstr>
  </property>
  <property fmtid="{D5CDD505-2E9C-101B-9397-08002B2CF9AE}" pid="5" name="KSOTemplateDocerSaveRecord">
    <vt:lpwstr>eyJoZGlkIjoiMDJiMzI3ODBiNTFmMWRjNDUyMjM1ZmZjODY5NDc2MWMiLCJ1c2VySWQiOiI0NTQ4Nzg1NzAifQ==</vt:lpwstr>
  </property>
  <property fmtid="{D5CDD505-2E9C-101B-9397-08002B2CF9AE}" pid="6" name="ICV">
    <vt:lpwstr>9AD615658E944147B7128C0B87E661EB_12</vt:lpwstr>
  </property>
</Properties>
</file>