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19B22">
      <w:pPr>
        <w:pBdr>
          <w:bottom w:val="single" w:color="auto" w:sz="4" w:space="1"/>
        </w:pBdr>
        <w:snapToGrid w:val="0"/>
        <w:spacing w:before="120" w:beforeLines="50"/>
        <w:jc w:val="center"/>
        <w:rPr>
          <w:sz w:val="52"/>
          <w:szCs w:val="52"/>
          <w:lang w:eastAsia="zh-CN"/>
        </w:rPr>
      </w:pPr>
      <w:bookmarkStart w:id="148" w:name="_GoBack"/>
      <w:bookmarkEnd w:id="148"/>
      <w:r>
        <w:rPr>
          <w:b/>
          <w:bCs/>
          <w:sz w:val="52"/>
          <w:szCs w:val="52"/>
          <w:lang w:eastAsia="zh-CN"/>
        </w:rPr>
        <w:t>确定医疗器械上市前批准和新分类的获益-风险时要考虑的因素</w:t>
      </w:r>
    </w:p>
    <w:p w14:paraId="6AE19B23">
      <w:pPr>
        <w:snapToGrid w:val="0"/>
        <w:spacing w:before="120" w:beforeLines="50"/>
        <w:jc w:val="center"/>
        <w:rPr>
          <w:sz w:val="52"/>
          <w:szCs w:val="52"/>
          <w:lang w:eastAsia="zh-CN"/>
        </w:rPr>
      </w:pPr>
      <w:r>
        <w:rPr>
          <w:b/>
          <w:bCs/>
          <w:sz w:val="52"/>
          <w:szCs w:val="52"/>
          <w:lang w:eastAsia="zh-CN"/>
        </w:rPr>
        <w:t>行业和美国食品药品监督管理局工作人员指南</w:t>
      </w:r>
    </w:p>
    <w:p w14:paraId="6AE19B24">
      <w:pPr>
        <w:snapToGrid w:val="0"/>
        <w:spacing w:before="120" w:beforeLines="50"/>
        <w:jc w:val="center"/>
        <w:rPr>
          <w:sz w:val="28"/>
          <w:szCs w:val="28"/>
          <w:lang w:eastAsia="zh-CN"/>
        </w:rPr>
      </w:pPr>
      <w:r>
        <w:rPr>
          <w:b/>
          <w:bCs/>
          <w:sz w:val="28"/>
          <w:szCs w:val="28"/>
          <w:lang w:eastAsia="zh-CN"/>
        </w:rPr>
        <w:t>文件发布日期：2019年8月30日。</w:t>
      </w:r>
    </w:p>
    <w:p w14:paraId="6AE19B25">
      <w:pPr>
        <w:snapToGrid w:val="0"/>
        <w:spacing w:before="120" w:beforeLines="50"/>
        <w:jc w:val="center"/>
        <w:rPr>
          <w:sz w:val="28"/>
          <w:szCs w:val="28"/>
          <w:lang w:eastAsia="zh-CN"/>
        </w:rPr>
      </w:pPr>
      <w:r>
        <w:rPr>
          <w:b/>
          <w:bCs/>
          <w:sz w:val="28"/>
          <w:szCs w:val="28"/>
          <w:lang w:eastAsia="zh-CN"/>
        </w:rPr>
        <w:t>文件首次发布日期：2012年3月28日</w:t>
      </w:r>
      <w:r>
        <w:rPr>
          <w:rFonts w:hint="eastAsia"/>
          <w:b/>
          <w:bCs/>
          <w:sz w:val="28"/>
          <w:szCs w:val="28"/>
          <w:lang w:eastAsia="zh-CN"/>
        </w:rPr>
        <w:t>。</w:t>
      </w:r>
    </w:p>
    <w:p w14:paraId="6AE19B26">
      <w:pPr>
        <w:snapToGrid w:val="0"/>
        <w:spacing w:before="120" w:beforeLines="50"/>
        <w:jc w:val="center"/>
        <w:rPr>
          <w:b/>
          <w:bCs/>
          <w:sz w:val="28"/>
          <w:szCs w:val="28"/>
          <w:lang w:eastAsia="zh-CN"/>
        </w:rPr>
      </w:pPr>
      <w:r>
        <w:rPr>
          <w:b/>
          <w:bCs/>
          <w:sz w:val="28"/>
          <w:szCs w:val="28"/>
          <w:lang w:eastAsia="zh-CN"/>
        </w:rPr>
        <w:t>本文件取代在2016年8月24日发布的</w:t>
      </w:r>
      <w:r>
        <w:rPr>
          <w:rFonts w:ascii="宋体" w:hAnsi="宋体"/>
          <w:b/>
          <w:bCs/>
          <w:sz w:val="28"/>
          <w:szCs w:val="28"/>
          <w:lang w:eastAsia="zh-CN"/>
        </w:rPr>
        <w:t>“</w:t>
      </w:r>
      <w:r>
        <w:rPr>
          <w:b/>
          <w:bCs/>
          <w:sz w:val="28"/>
          <w:szCs w:val="28"/>
          <w:lang w:eastAsia="zh-CN"/>
        </w:rPr>
        <w:t>确定医疗器械上市前批准和新分类的获益-风险时要考虑的因素</w:t>
      </w:r>
      <w:r>
        <w:rPr>
          <w:rFonts w:ascii="宋体" w:hAnsi="宋体"/>
          <w:b/>
          <w:bCs/>
          <w:sz w:val="28"/>
          <w:szCs w:val="28"/>
          <w:lang w:eastAsia="zh-CN"/>
        </w:rPr>
        <w:t>”</w:t>
      </w:r>
      <w:r>
        <w:rPr>
          <w:b/>
          <w:bCs/>
          <w:sz w:val="28"/>
          <w:szCs w:val="28"/>
          <w:lang w:eastAsia="zh-CN"/>
        </w:rPr>
        <w:t>。</w:t>
      </w:r>
    </w:p>
    <w:p w14:paraId="6AE19B27">
      <w:pPr>
        <w:snapToGrid w:val="0"/>
        <w:spacing w:before="120" w:beforeLines="50"/>
        <w:jc w:val="center"/>
        <w:rPr>
          <w:b/>
          <w:bCs/>
          <w:sz w:val="28"/>
          <w:szCs w:val="28"/>
          <w:lang w:eastAsia="zh-CN"/>
        </w:rPr>
      </w:pPr>
    </w:p>
    <w:p w14:paraId="6AE19B28">
      <w:pPr>
        <w:snapToGrid w:val="0"/>
        <w:spacing w:before="120" w:beforeLines="50"/>
        <w:jc w:val="center"/>
        <w:rPr>
          <w:sz w:val="28"/>
          <w:szCs w:val="28"/>
          <w:lang w:eastAsia="zh-CN"/>
        </w:rPr>
      </w:pPr>
    </w:p>
    <w:p w14:paraId="6AE19B29">
      <w:pPr>
        <w:snapToGrid w:val="0"/>
        <w:spacing w:before="120" w:beforeLines="50"/>
        <w:jc w:val="both"/>
        <w:rPr>
          <w:sz w:val="24"/>
          <w:szCs w:val="24"/>
          <w:lang w:eastAsia="zh-CN"/>
        </w:rPr>
      </w:pPr>
      <w:r>
        <w:rPr>
          <w:sz w:val="24"/>
          <w:szCs w:val="24"/>
          <w:lang w:eastAsia="zh-CN"/>
        </w:rPr>
        <w:t>有关本文件中受CDRH监管器械的问题，请拨打301-796-5441联系政策办公室。有关本文件中受CBER监管器械的问题，请拨打800-8354709或240-402-8010联系对外信息、外联与发展办公室（OCOD）。</w:t>
      </w:r>
    </w:p>
    <w:p w14:paraId="6AE19B2A">
      <w:pPr>
        <w:snapToGrid w:val="0"/>
        <w:spacing w:before="120" w:beforeLines="50"/>
        <w:jc w:val="both"/>
        <w:rPr>
          <w:lang w:eastAsia="zh-CN"/>
        </w:rPr>
      </w:pPr>
    </w:p>
    <w:p w14:paraId="6AE19B2B">
      <w:pPr>
        <w:snapToGrid w:val="0"/>
        <w:spacing w:before="120" w:beforeLines="50"/>
        <w:jc w:val="both"/>
        <w:rPr>
          <w:lang w:eastAsia="zh-CN"/>
        </w:rPr>
      </w:pPr>
    </w:p>
    <w:p w14:paraId="6AE19B2C">
      <w:pPr>
        <w:snapToGrid w:val="0"/>
        <w:spacing w:before="120" w:beforeLines="50"/>
        <w:jc w:val="both"/>
        <w:rPr>
          <w:lang w:eastAsia="zh-CN"/>
        </w:rPr>
      </w:pPr>
    </w:p>
    <w:p w14:paraId="6AE19B2D">
      <w:pPr>
        <w:snapToGrid w:val="0"/>
        <w:spacing w:before="120" w:beforeLines="50"/>
        <w:jc w:val="both"/>
        <w:rPr>
          <w:lang w:eastAsia="zh-CN"/>
        </w:rPr>
      </w:pPr>
    </w:p>
    <w:p w14:paraId="6AE19B2E">
      <w:pPr>
        <w:snapToGrid w:val="0"/>
        <w:spacing w:before="120" w:beforeLines="50"/>
        <w:jc w:val="both"/>
        <w:rPr>
          <w:lang w:eastAsia="zh-CN"/>
        </w:rPr>
      </w:pPr>
    </w:p>
    <w:p w14:paraId="6AE19B2F">
      <w:pPr>
        <w:snapToGrid w:val="0"/>
        <w:spacing w:before="120" w:beforeLines="50"/>
        <w:jc w:val="both"/>
        <w:rPr>
          <w:lang w:eastAsia="zh-CN"/>
        </w:rPr>
      </w:pPr>
    </w:p>
    <w:p w14:paraId="6AE19B30">
      <w:pPr>
        <w:snapToGrid w:val="0"/>
        <w:spacing w:before="120" w:beforeLines="50"/>
        <w:jc w:val="both"/>
        <w:rPr>
          <w:lang w:eastAsia="zh-CN"/>
        </w:rPr>
      </w:pPr>
    </w:p>
    <w:p w14:paraId="6AE19B31">
      <w:pPr>
        <w:snapToGrid w:val="0"/>
        <w:spacing w:before="120" w:beforeLines="50"/>
        <w:jc w:val="both"/>
        <w:rPr>
          <w:lang w:eastAsia="zh-CN"/>
        </w:rPr>
      </w:pPr>
    </w:p>
    <w:p w14:paraId="6AE19B32">
      <w:pPr>
        <w:snapToGrid w:val="0"/>
        <w:spacing w:before="120" w:beforeLines="50"/>
        <w:jc w:val="both"/>
        <w:rPr>
          <w:lang w:eastAsia="zh-CN"/>
        </w:rPr>
      </w:pPr>
    </w:p>
    <w:p w14:paraId="6AE19B33">
      <w:pPr>
        <w:snapToGrid w:val="0"/>
        <w:spacing w:before="120" w:beforeLines="50"/>
        <w:jc w:val="both"/>
        <w:rPr>
          <w:lang w:eastAsia="zh-CN"/>
        </w:rPr>
      </w:pPr>
    </w:p>
    <w:p w14:paraId="6AE19B34">
      <w:pPr>
        <w:snapToGrid w:val="0"/>
        <w:spacing w:before="120" w:beforeLines="50"/>
        <w:jc w:val="both"/>
        <w:rPr>
          <w:lang w:eastAsia="zh-CN"/>
        </w:rPr>
      </w:pPr>
    </w:p>
    <w:p w14:paraId="6AE19B35">
      <w:pPr>
        <w:snapToGrid w:val="0"/>
        <w:spacing w:before="120" w:beforeLines="50"/>
        <w:jc w:val="both"/>
        <w:rPr>
          <w:lang w:eastAsia="zh-CN"/>
        </w:rPr>
      </w:pPr>
    </w:p>
    <w:p w14:paraId="6AE19B36">
      <w:pPr>
        <w:snapToGrid w:val="0"/>
        <w:spacing w:before="120" w:beforeLines="50"/>
        <w:jc w:val="both"/>
        <w:rPr>
          <w:lang w:eastAsia="zh-CN"/>
        </w:rPr>
      </w:pPr>
    </w:p>
    <w:p w14:paraId="6AE19B37">
      <w:pPr>
        <w:snapToGrid w:val="0"/>
        <w:spacing w:before="120" w:beforeLines="50"/>
        <w:jc w:val="both"/>
        <w:rPr>
          <w:lang w:eastAsia="zh-CN"/>
        </w:rPr>
      </w:pPr>
    </w:p>
    <w:tbl>
      <w:tblPr>
        <w:tblStyle w:val="8"/>
        <w:tblW w:w="0" w:type="auto"/>
        <w:tblInd w:w="0" w:type="dxa"/>
        <w:tblLayout w:type="autofit"/>
        <w:tblCellMar>
          <w:top w:w="0" w:type="dxa"/>
          <w:left w:w="57" w:type="dxa"/>
          <w:bottom w:w="0" w:type="dxa"/>
          <w:right w:w="57" w:type="dxa"/>
        </w:tblCellMar>
      </w:tblPr>
      <w:tblGrid>
        <w:gridCol w:w="774"/>
        <w:gridCol w:w="3467"/>
        <w:gridCol w:w="4944"/>
      </w:tblGrid>
      <w:tr w14:paraId="6AE19B3E">
        <w:tblPrEx>
          <w:tblCellMar>
            <w:top w:w="0" w:type="dxa"/>
            <w:left w:w="57" w:type="dxa"/>
            <w:bottom w:w="0" w:type="dxa"/>
            <w:right w:w="57" w:type="dxa"/>
          </w:tblCellMar>
        </w:tblPrEx>
        <w:tc>
          <w:tcPr>
            <w:tcW w:w="120" w:type="dxa"/>
            <w:shd w:val="clear" w:color="auto" w:fill="000000" w:themeFill="text1"/>
            <w:vAlign w:val="center"/>
          </w:tcPr>
          <w:p w14:paraId="6AE19B38">
            <w:pPr>
              <w:snapToGrid w:val="0"/>
              <w:jc w:val="both"/>
            </w:pPr>
            <w:r>
              <w:rPr>
                <w:lang w:eastAsia="zh-CN" w:bidi="ar-SA"/>
              </w:rPr>
              <w:drawing>
                <wp:inline distT="0" distB="0" distL="0" distR="0">
                  <wp:extent cx="395605" cy="464185"/>
                  <wp:effectExtent l="19050" t="0" r="4445" b="0"/>
                  <wp:docPr id="3" name="图片 3" descr="C:\Users\Asus\Desktop\谭-11.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sus\Desktop\谭-11.11\media\image1.jpeg"/>
                          <pic:cNvPicPr>
                            <a:picLocks noChangeAspect="1" noChangeArrowheads="1"/>
                          </pic:cNvPicPr>
                        </pic:nvPicPr>
                        <pic:blipFill>
                          <a:blip r:embed="rId6" cstate="print"/>
                          <a:srcRect/>
                          <a:stretch>
                            <a:fillRect/>
                          </a:stretch>
                        </pic:blipFill>
                        <pic:spPr>
                          <a:xfrm>
                            <a:off x="0" y="0"/>
                            <a:ext cx="395605" cy="464185"/>
                          </a:xfrm>
                          <a:prstGeom prst="rect">
                            <a:avLst/>
                          </a:prstGeom>
                          <a:noFill/>
                          <a:ln w="9525">
                            <a:noFill/>
                            <a:miter lim="800000"/>
                            <a:headEnd/>
                            <a:tailEnd/>
                          </a:ln>
                        </pic:spPr>
                      </pic:pic>
                    </a:graphicData>
                  </a:graphic>
                </wp:inline>
              </w:drawing>
            </w:r>
          </w:p>
        </w:tc>
        <w:tc>
          <w:tcPr>
            <w:tcW w:w="3518" w:type="dxa"/>
            <w:shd w:val="clear" w:color="auto" w:fill="FFFFFF"/>
            <w:vAlign w:val="center"/>
          </w:tcPr>
          <w:p w14:paraId="6AE19B39">
            <w:pPr>
              <w:snapToGrid w:val="0"/>
              <w:jc w:val="both"/>
              <w:rPr>
                <w:sz w:val="28"/>
                <w:szCs w:val="28"/>
                <w:lang w:eastAsia="zh-CN"/>
              </w:rPr>
            </w:pPr>
            <w:r>
              <w:rPr>
                <w:b/>
                <w:bCs/>
                <w:sz w:val="28"/>
                <w:szCs w:val="28"/>
                <w:lang w:eastAsia="zh-CN"/>
              </w:rPr>
              <w:t>美国食品药品监督管理局</w:t>
            </w:r>
          </w:p>
        </w:tc>
        <w:tc>
          <w:tcPr>
            <w:tcW w:w="5021" w:type="dxa"/>
            <w:shd w:val="clear" w:color="auto" w:fill="FFFFFF"/>
          </w:tcPr>
          <w:p w14:paraId="6AE19B3A">
            <w:pPr>
              <w:snapToGrid w:val="0"/>
              <w:jc w:val="right"/>
              <w:rPr>
                <w:lang w:eastAsia="zh-CN"/>
              </w:rPr>
            </w:pPr>
            <w:r>
              <w:rPr>
                <w:b/>
                <w:bCs/>
                <w:lang w:eastAsia="zh-CN"/>
              </w:rPr>
              <w:t>美国卫生</w:t>
            </w:r>
            <w:r>
              <w:rPr>
                <w:rFonts w:hint="eastAsia"/>
                <w:b/>
                <w:bCs/>
                <w:lang w:eastAsia="zh-CN"/>
              </w:rPr>
              <w:t>与</w:t>
            </w:r>
            <w:r>
              <w:rPr>
                <w:b/>
                <w:bCs/>
                <w:lang w:eastAsia="zh-CN"/>
              </w:rPr>
              <w:t>公众服务部</w:t>
            </w:r>
          </w:p>
          <w:p w14:paraId="6AE19B3B">
            <w:pPr>
              <w:snapToGrid w:val="0"/>
              <w:jc w:val="right"/>
              <w:rPr>
                <w:lang w:eastAsia="zh-CN"/>
              </w:rPr>
            </w:pPr>
            <w:r>
              <w:rPr>
                <w:b/>
                <w:bCs/>
                <w:lang w:eastAsia="zh-CN"/>
              </w:rPr>
              <w:t>美国食品药品监督管理局</w:t>
            </w:r>
          </w:p>
          <w:p w14:paraId="6AE19B3C">
            <w:pPr>
              <w:snapToGrid w:val="0"/>
              <w:jc w:val="right"/>
              <w:rPr>
                <w:lang w:eastAsia="zh-CN"/>
              </w:rPr>
            </w:pPr>
            <w:r>
              <w:rPr>
                <w:b/>
                <w:bCs/>
                <w:lang w:eastAsia="zh-CN"/>
              </w:rPr>
              <w:t>医疗器械和放射健康中心</w:t>
            </w:r>
          </w:p>
          <w:p w14:paraId="6AE19B3D">
            <w:pPr>
              <w:snapToGrid w:val="0"/>
              <w:jc w:val="right"/>
              <w:rPr>
                <w:lang w:eastAsia="zh-CN"/>
              </w:rPr>
            </w:pPr>
            <w:r>
              <w:rPr>
                <w:b/>
                <w:bCs/>
                <w:lang w:eastAsia="zh-CN"/>
              </w:rPr>
              <w:t>生物制品评价和研究中心</w:t>
            </w:r>
          </w:p>
        </w:tc>
      </w:tr>
    </w:tbl>
    <w:p w14:paraId="6AE19B3F">
      <w:pPr>
        <w:snapToGrid w:val="0"/>
        <w:spacing w:before="120" w:beforeLines="50"/>
        <w:jc w:val="both"/>
        <w:rPr>
          <w:lang w:eastAsia="zh-CN"/>
        </w:rPr>
      </w:pPr>
      <w:r>
        <w:rPr>
          <w:lang w:eastAsia="zh-CN"/>
        </w:rPr>
        <w:br w:type="page"/>
      </w:r>
    </w:p>
    <w:p w14:paraId="6AE19B40">
      <w:pPr>
        <w:snapToGrid w:val="0"/>
        <w:spacing w:before="120" w:beforeLines="50"/>
        <w:jc w:val="center"/>
        <w:rPr>
          <w:sz w:val="44"/>
          <w:szCs w:val="44"/>
        </w:rPr>
      </w:pPr>
      <w:bookmarkStart w:id="0" w:name="bookmark0"/>
      <w:r>
        <w:rPr>
          <w:b/>
          <w:bCs/>
          <w:sz w:val="44"/>
          <w:szCs w:val="44"/>
          <w:lang w:eastAsia="zh-CN"/>
        </w:rPr>
        <w:t>前言</w:t>
      </w:r>
      <w:bookmarkEnd w:id="0"/>
    </w:p>
    <w:p w14:paraId="6AE19B41">
      <w:pPr>
        <w:snapToGrid w:val="0"/>
        <w:spacing w:before="120" w:beforeLines="50"/>
        <w:jc w:val="both"/>
        <w:rPr>
          <w:b/>
          <w:bCs/>
          <w:sz w:val="28"/>
          <w:szCs w:val="28"/>
          <w:lang w:eastAsia="zh-CN"/>
        </w:rPr>
      </w:pPr>
      <w:bookmarkStart w:id="1" w:name="bookmark1"/>
    </w:p>
    <w:p w14:paraId="6AE19B42">
      <w:pPr>
        <w:snapToGrid w:val="0"/>
        <w:spacing w:before="120" w:beforeLines="50"/>
        <w:jc w:val="both"/>
        <w:rPr>
          <w:sz w:val="28"/>
          <w:szCs w:val="28"/>
        </w:rPr>
      </w:pPr>
      <w:r>
        <w:rPr>
          <w:b/>
          <w:bCs/>
          <w:sz w:val="28"/>
          <w:szCs w:val="28"/>
          <w:lang w:eastAsia="zh-CN"/>
        </w:rPr>
        <w:t>公众意见</w:t>
      </w:r>
      <w:bookmarkEnd w:id="1"/>
    </w:p>
    <w:p w14:paraId="6AE19B43">
      <w:pPr>
        <w:snapToGrid w:val="0"/>
        <w:spacing w:before="120" w:beforeLines="50"/>
        <w:jc w:val="both"/>
        <w:rPr>
          <w:sz w:val="24"/>
          <w:szCs w:val="24"/>
          <w:lang w:eastAsia="zh-CN"/>
        </w:rPr>
      </w:pPr>
      <w:r>
        <w:rPr>
          <w:sz w:val="24"/>
          <w:szCs w:val="24"/>
          <w:lang w:eastAsia="zh-CN"/>
        </w:rPr>
        <w:t>可随时提交电子意见和建议至</w:t>
      </w:r>
      <w:r>
        <w:rPr>
          <w:color w:val="0000FF"/>
          <w:sz w:val="24"/>
          <w:szCs w:val="24"/>
          <w:u w:val="single"/>
          <w:lang w:eastAsia="zh-CN"/>
        </w:rPr>
        <w:t>https://www.regulations.gov</w:t>
      </w:r>
      <w:r>
        <w:rPr>
          <w:sz w:val="24"/>
          <w:szCs w:val="24"/>
          <w:lang w:eastAsia="zh-CN"/>
        </w:rPr>
        <w:t>，以供</w:t>
      </w:r>
      <w:r>
        <w:rPr>
          <w:rFonts w:hint="eastAsia"/>
          <w:sz w:val="24"/>
          <w:szCs w:val="24"/>
          <w:lang w:eastAsia="zh-CN"/>
        </w:rPr>
        <w:t>F</w:t>
      </w:r>
      <w:r>
        <w:rPr>
          <w:sz w:val="24"/>
          <w:szCs w:val="24"/>
          <w:lang w:eastAsia="zh-CN"/>
        </w:rPr>
        <w:t>DA考虑。将书面意见提交给</w:t>
      </w:r>
      <w:r>
        <w:rPr>
          <w:rFonts w:hint="eastAsia"/>
          <w:sz w:val="24"/>
          <w:szCs w:val="24"/>
          <w:lang w:eastAsia="zh-CN"/>
        </w:rPr>
        <w:t>美国食品药品监督管理局备案文件管理部（5630 Fishers Lane, Room 1061, (HFA-305), Rockville, MD 20852）</w:t>
      </w:r>
      <w:r>
        <w:rPr>
          <w:sz w:val="24"/>
          <w:szCs w:val="24"/>
          <w:lang w:eastAsia="zh-CN"/>
        </w:rPr>
        <w:t>。</w:t>
      </w:r>
    </w:p>
    <w:p w14:paraId="6AE19B44">
      <w:pPr>
        <w:snapToGrid w:val="0"/>
        <w:spacing w:before="120" w:beforeLines="50"/>
        <w:jc w:val="both"/>
        <w:rPr>
          <w:sz w:val="24"/>
          <w:szCs w:val="24"/>
          <w:lang w:eastAsia="zh-CN"/>
        </w:rPr>
      </w:pPr>
    </w:p>
    <w:p w14:paraId="6AE19B45">
      <w:pPr>
        <w:snapToGrid w:val="0"/>
        <w:spacing w:before="120" w:beforeLines="50"/>
        <w:jc w:val="both"/>
        <w:rPr>
          <w:sz w:val="24"/>
          <w:szCs w:val="24"/>
          <w:lang w:eastAsia="zh-CN"/>
        </w:rPr>
      </w:pPr>
      <w:r>
        <w:rPr>
          <w:sz w:val="24"/>
          <w:szCs w:val="24"/>
          <w:lang w:eastAsia="zh-CN"/>
        </w:rPr>
        <w:t>请在所有意见中注明</w:t>
      </w:r>
      <w:r>
        <w:rPr>
          <w:rFonts w:hint="eastAsia"/>
          <w:sz w:val="24"/>
          <w:szCs w:val="24"/>
          <w:lang w:eastAsia="zh-CN"/>
        </w:rPr>
        <w:t>档案</w:t>
      </w:r>
      <w:r>
        <w:rPr>
          <w:sz w:val="24"/>
          <w:szCs w:val="24"/>
          <w:lang w:eastAsia="zh-CN"/>
        </w:rPr>
        <w:t>编号FDA-2011-D-0577。</w:t>
      </w:r>
      <w:r>
        <w:rPr>
          <w:rFonts w:hint="eastAsia"/>
          <w:sz w:val="24"/>
          <w:szCs w:val="24"/>
          <w:lang w:eastAsia="zh-CN"/>
        </w:rPr>
        <w:t>在下次修订或更新文件以前，FDA可能不会对公众意见采取措施</w:t>
      </w:r>
      <w:r>
        <w:rPr>
          <w:sz w:val="24"/>
          <w:szCs w:val="24"/>
          <w:lang w:eastAsia="zh-CN"/>
        </w:rPr>
        <w:t>。</w:t>
      </w:r>
    </w:p>
    <w:p w14:paraId="6AE19B46">
      <w:pPr>
        <w:snapToGrid w:val="0"/>
        <w:spacing w:before="120" w:beforeLines="50"/>
        <w:jc w:val="both"/>
        <w:rPr>
          <w:sz w:val="24"/>
          <w:szCs w:val="24"/>
          <w:lang w:eastAsia="zh-CN"/>
        </w:rPr>
      </w:pPr>
    </w:p>
    <w:p w14:paraId="6AE19B47">
      <w:pPr>
        <w:snapToGrid w:val="0"/>
        <w:spacing w:before="120" w:beforeLines="50"/>
        <w:jc w:val="both"/>
        <w:rPr>
          <w:sz w:val="28"/>
          <w:szCs w:val="28"/>
          <w:lang w:eastAsia="zh-CN"/>
        </w:rPr>
      </w:pPr>
      <w:bookmarkStart w:id="2" w:name="bookmark2"/>
      <w:r>
        <w:rPr>
          <w:rFonts w:hint="eastAsia"/>
          <w:b/>
          <w:bCs/>
          <w:sz w:val="28"/>
          <w:szCs w:val="28"/>
          <w:lang w:eastAsia="zh-CN"/>
        </w:rPr>
        <w:t>更多</w:t>
      </w:r>
      <w:r>
        <w:rPr>
          <w:b/>
          <w:bCs/>
          <w:sz w:val="28"/>
          <w:szCs w:val="28"/>
          <w:lang w:eastAsia="zh-CN"/>
        </w:rPr>
        <w:t>副本</w:t>
      </w:r>
      <w:bookmarkEnd w:id="2"/>
    </w:p>
    <w:p w14:paraId="6AE19B48">
      <w:pPr>
        <w:snapToGrid w:val="0"/>
        <w:spacing w:before="120" w:beforeLines="50"/>
        <w:jc w:val="both"/>
        <w:rPr>
          <w:sz w:val="28"/>
          <w:szCs w:val="28"/>
          <w:lang w:eastAsia="zh-CN"/>
        </w:rPr>
      </w:pPr>
      <w:r>
        <w:rPr>
          <w:b/>
          <w:bCs/>
          <w:sz w:val="28"/>
          <w:szCs w:val="28"/>
          <w:lang w:eastAsia="zh-CN"/>
        </w:rPr>
        <w:t>医疗器械和放射健康中心（CDRH）</w:t>
      </w:r>
    </w:p>
    <w:p w14:paraId="6AE19B49">
      <w:pPr>
        <w:snapToGrid w:val="0"/>
        <w:spacing w:before="120" w:beforeLines="50"/>
        <w:jc w:val="both"/>
        <w:rPr>
          <w:sz w:val="24"/>
          <w:szCs w:val="24"/>
          <w:lang w:eastAsia="zh-CN"/>
        </w:rPr>
      </w:pPr>
      <w:r>
        <w:rPr>
          <w:sz w:val="24"/>
          <w:szCs w:val="24"/>
          <w:lang w:eastAsia="zh-CN"/>
        </w:rPr>
        <w:t>可从互联网获取</w:t>
      </w:r>
      <w:r>
        <w:rPr>
          <w:rFonts w:hint="eastAsia"/>
          <w:sz w:val="24"/>
          <w:szCs w:val="24"/>
          <w:lang w:eastAsia="zh-CN"/>
        </w:rPr>
        <w:t>更多</w:t>
      </w:r>
      <w:r>
        <w:rPr>
          <w:sz w:val="24"/>
          <w:szCs w:val="24"/>
          <w:lang w:eastAsia="zh-CN"/>
        </w:rPr>
        <w:t>副本。</w:t>
      </w:r>
      <w:r>
        <w:fldChar w:fldCharType="begin"/>
      </w:r>
      <w:r>
        <w:instrText xml:space="preserve"> HYPERLINK "mailto:也可发送电子邮件请求至CDRH-Guidance@fda.hhs.gov" </w:instrText>
      </w:r>
      <w:r>
        <w:fldChar w:fldCharType="separate"/>
      </w:r>
      <w:r>
        <w:rPr>
          <w:rStyle w:val="11"/>
          <w:sz w:val="24"/>
          <w:szCs w:val="24"/>
          <w:lang w:eastAsia="zh-CN"/>
        </w:rPr>
        <w:t>也可发送电子邮件请求至CDRH-Guidance@fda.hhs.gov</w:t>
      </w:r>
      <w:r>
        <w:rPr>
          <w:rStyle w:val="11"/>
          <w:sz w:val="24"/>
          <w:szCs w:val="24"/>
          <w:lang w:eastAsia="zh-CN"/>
        </w:rPr>
        <w:fldChar w:fldCharType="end"/>
      </w:r>
      <w:r>
        <w:rPr>
          <w:rFonts w:hint="eastAsia"/>
          <w:sz w:val="24"/>
          <w:szCs w:val="24"/>
          <w:lang w:eastAsia="zh-CN"/>
        </w:rPr>
        <w:t>以获取</w:t>
      </w:r>
      <w:r>
        <w:rPr>
          <w:sz w:val="24"/>
          <w:szCs w:val="24"/>
          <w:lang w:eastAsia="zh-CN"/>
        </w:rPr>
        <w:t>指南副本。请在申请中</w:t>
      </w:r>
      <w:r>
        <w:rPr>
          <w:rFonts w:hint="eastAsia"/>
          <w:sz w:val="24"/>
          <w:szCs w:val="24"/>
          <w:lang w:eastAsia="zh-CN"/>
        </w:rPr>
        <w:t>注明文件</w:t>
      </w:r>
      <w:r>
        <w:rPr>
          <w:sz w:val="24"/>
          <w:szCs w:val="24"/>
          <w:lang w:eastAsia="zh-CN"/>
        </w:rPr>
        <w:t>编号1772和完整的</w:t>
      </w:r>
      <w:r>
        <w:rPr>
          <w:rFonts w:hint="eastAsia"/>
          <w:sz w:val="24"/>
          <w:szCs w:val="24"/>
          <w:lang w:eastAsia="zh-CN"/>
        </w:rPr>
        <w:t>指南</w:t>
      </w:r>
      <w:r>
        <w:rPr>
          <w:sz w:val="24"/>
          <w:szCs w:val="24"/>
          <w:lang w:eastAsia="zh-CN"/>
        </w:rPr>
        <w:t>标题。</w:t>
      </w:r>
    </w:p>
    <w:p w14:paraId="6AE19B4A">
      <w:pPr>
        <w:snapToGrid w:val="0"/>
        <w:spacing w:before="120" w:beforeLines="50"/>
        <w:jc w:val="both"/>
        <w:rPr>
          <w:sz w:val="24"/>
          <w:szCs w:val="24"/>
          <w:lang w:eastAsia="zh-CN"/>
        </w:rPr>
      </w:pPr>
    </w:p>
    <w:p w14:paraId="6AE19B4B">
      <w:pPr>
        <w:snapToGrid w:val="0"/>
        <w:spacing w:before="120" w:beforeLines="50"/>
        <w:jc w:val="both"/>
        <w:rPr>
          <w:sz w:val="28"/>
          <w:szCs w:val="28"/>
          <w:lang w:eastAsia="zh-CN"/>
        </w:rPr>
      </w:pPr>
      <w:r>
        <w:rPr>
          <w:b/>
          <w:bCs/>
          <w:sz w:val="28"/>
          <w:szCs w:val="28"/>
          <w:lang w:eastAsia="zh-CN"/>
        </w:rPr>
        <w:t>生物制品评价</w:t>
      </w:r>
      <w:r>
        <w:rPr>
          <w:rFonts w:hint="eastAsia"/>
          <w:b/>
          <w:bCs/>
          <w:sz w:val="28"/>
          <w:szCs w:val="28"/>
          <w:lang w:eastAsia="zh-CN"/>
        </w:rPr>
        <w:t>和</w:t>
      </w:r>
      <w:r>
        <w:rPr>
          <w:b/>
          <w:bCs/>
          <w:sz w:val="28"/>
          <w:szCs w:val="28"/>
          <w:lang w:eastAsia="zh-CN"/>
        </w:rPr>
        <w:t>研究中心（CBER）</w:t>
      </w:r>
    </w:p>
    <w:p w14:paraId="6AE19B4C">
      <w:pPr>
        <w:snapToGrid w:val="0"/>
        <w:spacing w:before="120" w:beforeLines="50"/>
        <w:rPr>
          <w:color w:val="0000FF"/>
          <w:sz w:val="24"/>
          <w:szCs w:val="24"/>
          <w:u w:val="single"/>
        </w:rPr>
      </w:pPr>
      <w:r>
        <w:rPr>
          <w:sz w:val="24"/>
          <w:szCs w:val="24"/>
          <w:lang w:eastAsia="zh-CN"/>
        </w:rPr>
        <w:t>可向生物制品评价和研究中心（CBER）、对外信息、外联与发展办公室（OCOD）（10903 New Hampshire Ave., WO71, Room 3128, Silver Spring, MD 20903），或致电1-800-835-4709或240-402-8010，或发送电子邮件至</w:t>
      </w:r>
      <w:r>
        <w:rPr>
          <w:color w:val="0000FF"/>
          <w:sz w:val="24"/>
          <w:szCs w:val="24"/>
          <w:u w:val="single"/>
          <w:lang w:eastAsia="zh-CN"/>
        </w:rPr>
        <w:t>ocod@fda.hhs.gov</w:t>
      </w:r>
      <w:r>
        <w:rPr>
          <w:sz w:val="24"/>
          <w:szCs w:val="24"/>
          <w:lang w:eastAsia="zh-CN"/>
        </w:rPr>
        <w:t>或登陆因特网</w:t>
      </w:r>
      <w:r>
        <w:rPr>
          <w:color w:val="0000FF"/>
          <w:sz w:val="24"/>
          <w:szCs w:val="24"/>
          <w:u w:val="single"/>
          <w:lang w:eastAsia="zh-CN"/>
        </w:rPr>
        <w:t>https://www.fda.gov/vaccines-blood-biologics/guidance-compliance-regulatory-information-biologics/biologics-guidances</w:t>
      </w:r>
      <w:r>
        <w:rPr>
          <w:sz w:val="24"/>
          <w:szCs w:val="24"/>
          <w:lang w:eastAsia="zh-CN"/>
        </w:rPr>
        <w:t>获取</w:t>
      </w:r>
      <w:r>
        <w:rPr>
          <w:rFonts w:hint="eastAsia"/>
          <w:sz w:val="24"/>
          <w:szCs w:val="24"/>
          <w:lang w:eastAsia="zh-CN"/>
        </w:rPr>
        <w:t>更多</w:t>
      </w:r>
      <w:r>
        <w:rPr>
          <w:sz w:val="24"/>
          <w:szCs w:val="24"/>
          <w:lang w:eastAsia="zh-CN"/>
        </w:rPr>
        <w:t>副本。</w:t>
      </w:r>
    </w:p>
    <w:p w14:paraId="6AE19B4D">
      <w:pPr>
        <w:snapToGrid w:val="0"/>
        <w:spacing w:before="120" w:beforeLines="50"/>
        <w:jc w:val="both"/>
      </w:pPr>
      <w:r>
        <w:rPr>
          <w:lang w:eastAsia="zh-CN"/>
        </w:rPr>
        <w:br w:type="page"/>
      </w:r>
    </w:p>
    <w:p w14:paraId="6AE19B4E">
      <w:pPr>
        <w:snapToGrid w:val="0"/>
        <w:spacing w:before="120" w:beforeLines="50"/>
        <w:jc w:val="center"/>
        <w:rPr>
          <w:b/>
          <w:bCs/>
          <w:sz w:val="28"/>
          <w:szCs w:val="28"/>
          <w:lang w:eastAsia="zh-CN"/>
        </w:rPr>
      </w:pPr>
      <w:r>
        <w:rPr>
          <w:b/>
          <w:bCs/>
          <w:sz w:val="28"/>
          <w:szCs w:val="28"/>
          <w:lang w:eastAsia="zh-CN"/>
        </w:rPr>
        <w:t>目录</w:t>
      </w:r>
    </w:p>
    <w:p w14:paraId="6AE19B4F">
      <w:pPr>
        <w:snapToGrid w:val="0"/>
        <w:spacing w:before="120" w:beforeLines="50"/>
        <w:jc w:val="both"/>
        <w:rPr>
          <w:lang w:eastAsia="zh-CN"/>
        </w:rPr>
      </w:pPr>
    </w:p>
    <w:p w14:paraId="6AE19B50">
      <w:pPr>
        <w:pStyle w:val="6"/>
        <w:tabs>
          <w:tab w:val="left" w:pos="400"/>
          <w:tab w:val="right" w:leader="dot" w:pos="9061"/>
        </w:tabs>
        <w:spacing w:before="120"/>
        <w:rPr>
          <w:rFonts w:asciiTheme="minorHAnsi" w:hAnsiTheme="minorHAnsi" w:eastAsiaTheme="minorEastAsia" w:cstheme="minorBidi"/>
          <w:color w:val="auto"/>
          <w:kern w:val="2"/>
          <w:szCs w:val="22"/>
          <w:lang w:eastAsia="zh-CN" w:bidi="ar-SA"/>
        </w:rPr>
      </w:pPr>
      <w:r>
        <w:rPr>
          <w:lang w:eastAsia="zh-CN"/>
        </w:rPr>
        <w:fldChar w:fldCharType="begin"/>
      </w:r>
      <w:r>
        <w:rPr>
          <w:lang w:eastAsia="zh-CN"/>
        </w:rPr>
        <w:instrText xml:space="preserve"> TOC \o "1-3" \t "样式m1,1,样式m2,2,样式m22,2,样式m3,3" </w:instrText>
      </w:r>
      <w:r>
        <w:fldChar w:fldCharType="separate"/>
      </w:r>
      <w:r>
        <w:rPr>
          <w:lang w:eastAsia="zh-CN"/>
        </w:rPr>
        <w:t>I.</w:t>
      </w:r>
      <w:r>
        <w:rPr>
          <w:rFonts w:asciiTheme="minorHAnsi" w:hAnsiTheme="minorHAnsi" w:eastAsiaTheme="minorEastAsia" w:cstheme="minorBidi"/>
          <w:color w:val="auto"/>
          <w:kern w:val="2"/>
          <w:szCs w:val="22"/>
          <w:lang w:eastAsia="zh-CN" w:bidi="ar-SA"/>
        </w:rPr>
        <w:tab/>
      </w:r>
      <w:r>
        <w:rPr>
          <w:lang w:eastAsia="zh-CN"/>
        </w:rPr>
        <w:t>引言</w:t>
      </w:r>
      <w:r>
        <w:rPr>
          <w:lang w:eastAsia="zh-CN"/>
        </w:rPr>
        <w:tab/>
      </w:r>
      <w:r>
        <w:fldChar w:fldCharType="begin"/>
      </w:r>
      <w:r>
        <w:rPr>
          <w:lang w:eastAsia="zh-CN"/>
        </w:rPr>
        <w:instrText xml:space="preserve"> PAGEREF _Toc97318812 \h </w:instrText>
      </w:r>
      <w:r>
        <w:fldChar w:fldCharType="separate"/>
      </w:r>
      <w:r>
        <w:rPr>
          <w:lang w:eastAsia="zh-CN"/>
        </w:rPr>
        <w:t>5</w:t>
      </w:r>
      <w:r>
        <w:fldChar w:fldCharType="end"/>
      </w:r>
    </w:p>
    <w:p w14:paraId="6AE19B51">
      <w:pPr>
        <w:pStyle w:val="6"/>
        <w:tabs>
          <w:tab w:val="left" w:pos="630"/>
          <w:tab w:val="right" w:leader="dot" w:pos="9061"/>
        </w:tabs>
        <w:spacing w:before="120"/>
        <w:rPr>
          <w:rFonts w:asciiTheme="minorHAnsi" w:hAnsiTheme="minorHAnsi" w:eastAsiaTheme="minorEastAsia" w:cstheme="minorBidi"/>
          <w:color w:val="auto"/>
          <w:kern w:val="2"/>
          <w:szCs w:val="22"/>
          <w:lang w:eastAsia="zh-CN" w:bidi="ar-SA"/>
        </w:rPr>
      </w:pPr>
      <w:r>
        <w:rPr>
          <w:lang w:eastAsia="zh-CN"/>
        </w:rPr>
        <w:t>II.</w:t>
      </w:r>
      <w:r>
        <w:rPr>
          <w:rFonts w:asciiTheme="minorHAnsi" w:hAnsiTheme="minorHAnsi" w:eastAsiaTheme="minorEastAsia" w:cstheme="minorBidi"/>
          <w:color w:val="auto"/>
          <w:kern w:val="2"/>
          <w:szCs w:val="22"/>
          <w:lang w:eastAsia="zh-CN" w:bidi="ar-SA"/>
        </w:rPr>
        <w:tab/>
      </w:r>
      <w:r>
        <w:rPr>
          <w:lang w:eastAsia="zh-CN"/>
        </w:rPr>
        <w:t>适用范围</w:t>
      </w:r>
      <w:r>
        <w:rPr>
          <w:lang w:eastAsia="zh-CN"/>
        </w:rPr>
        <w:tab/>
      </w:r>
      <w:r>
        <w:fldChar w:fldCharType="begin"/>
      </w:r>
      <w:r>
        <w:rPr>
          <w:lang w:eastAsia="zh-CN"/>
        </w:rPr>
        <w:instrText xml:space="preserve"> PAGEREF _Toc97318813 \h </w:instrText>
      </w:r>
      <w:r>
        <w:fldChar w:fldCharType="separate"/>
      </w:r>
      <w:r>
        <w:rPr>
          <w:lang w:eastAsia="zh-CN"/>
        </w:rPr>
        <w:t>5</w:t>
      </w:r>
      <w:r>
        <w:fldChar w:fldCharType="end"/>
      </w:r>
    </w:p>
    <w:p w14:paraId="6AE19B52">
      <w:pPr>
        <w:pStyle w:val="6"/>
        <w:tabs>
          <w:tab w:val="left" w:pos="630"/>
          <w:tab w:val="right" w:leader="dot" w:pos="9061"/>
        </w:tabs>
        <w:spacing w:before="120"/>
        <w:rPr>
          <w:rFonts w:asciiTheme="minorHAnsi" w:hAnsiTheme="minorHAnsi" w:eastAsiaTheme="minorEastAsia" w:cstheme="minorBidi"/>
          <w:color w:val="auto"/>
          <w:kern w:val="2"/>
          <w:szCs w:val="22"/>
          <w:lang w:eastAsia="zh-CN" w:bidi="ar-SA"/>
        </w:rPr>
      </w:pPr>
      <w:r>
        <w:rPr>
          <w:lang w:eastAsia="zh-CN"/>
        </w:rPr>
        <w:t>III.</w:t>
      </w:r>
      <w:r>
        <w:rPr>
          <w:rFonts w:asciiTheme="minorHAnsi" w:hAnsiTheme="minorHAnsi" w:eastAsiaTheme="minorEastAsia" w:cstheme="minorBidi"/>
          <w:color w:val="auto"/>
          <w:kern w:val="2"/>
          <w:szCs w:val="22"/>
          <w:lang w:eastAsia="zh-CN" w:bidi="ar-SA"/>
        </w:rPr>
        <w:tab/>
      </w:r>
      <w:r>
        <w:rPr>
          <w:lang w:eastAsia="zh-CN"/>
        </w:rPr>
        <w:t>背景</w:t>
      </w:r>
      <w:r>
        <w:rPr>
          <w:lang w:eastAsia="zh-CN"/>
        </w:rPr>
        <w:tab/>
      </w:r>
      <w:r>
        <w:fldChar w:fldCharType="begin"/>
      </w:r>
      <w:r>
        <w:rPr>
          <w:lang w:eastAsia="zh-CN"/>
        </w:rPr>
        <w:instrText xml:space="preserve"> PAGEREF _Toc97318814 \h </w:instrText>
      </w:r>
      <w:r>
        <w:fldChar w:fldCharType="separate"/>
      </w:r>
      <w:r>
        <w:rPr>
          <w:lang w:eastAsia="zh-CN"/>
        </w:rPr>
        <w:t>6</w:t>
      </w:r>
      <w:r>
        <w:fldChar w:fldCharType="end"/>
      </w:r>
    </w:p>
    <w:p w14:paraId="6AE19B53">
      <w:pPr>
        <w:pStyle w:val="7"/>
        <w:tabs>
          <w:tab w:val="left" w:pos="840"/>
          <w:tab w:val="right" w:leader="dot" w:pos="9061"/>
        </w:tabs>
        <w:spacing w:before="120"/>
        <w:ind w:left="420"/>
        <w:rPr>
          <w:rFonts w:asciiTheme="minorHAnsi" w:hAnsiTheme="minorHAnsi" w:eastAsiaTheme="minorEastAsia" w:cstheme="minorBidi"/>
          <w:color w:val="auto"/>
          <w:kern w:val="2"/>
          <w:szCs w:val="22"/>
          <w:lang w:eastAsia="zh-CN" w:bidi="ar-SA"/>
        </w:rPr>
      </w:pPr>
      <w:r>
        <w:rPr>
          <w:lang w:eastAsia="zh-CN"/>
        </w:rPr>
        <w:t>A.</w:t>
      </w:r>
      <w:r>
        <w:rPr>
          <w:rFonts w:asciiTheme="minorHAnsi" w:hAnsiTheme="minorHAnsi" w:eastAsiaTheme="minorEastAsia" w:cstheme="minorBidi"/>
          <w:color w:val="auto"/>
          <w:kern w:val="2"/>
          <w:szCs w:val="22"/>
          <w:lang w:eastAsia="zh-CN" w:bidi="ar-SA"/>
        </w:rPr>
        <w:tab/>
      </w:r>
      <w:r>
        <w:rPr>
          <w:lang w:eastAsia="zh-CN"/>
        </w:rPr>
        <w:t>安全性和有效性的法定标准</w:t>
      </w:r>
      <w:r>
        <w:rPr>
          <w:lang w:eastAsia="zh-CN"/>
        </w:rPr>
        <w:tab/>
      </w:r>
      <w:r>
        <w:fldChar w:fldCharType="begin"/>
      </w:r>
      <w:r>
        <w:rPr>
          <w:lang w:eastAsia="zh-CN"/>
        </w:rPr>
        <w:instrText xml:space="preserve"> PAGEREF _Toc97318815 \h </w:instrText>
      </w:r>
      <w:r>
        <w:fldChar w:fldCharType="separate"/>
      </w:r>
      <w:r>
        <w:rPr>
          <w:lang w:eastAsia="zh-CN"/>
        </w:rPr>
        <w:t>6</w:t>
      </w:r>
      <w:r>
        <w:fldChar w:fldCharType="end"/>
      </w:r>
    </w:p>
    <w:p w14:paraId="6AE19B54">
      <w:pPr>
        <w:pStyle w:val="7"/>
        <w:tabs>
          <w:tab w:val="left" w:pos="840"/>
          <w:tab w:val="right" w:leader="dot" w:pos="9061"/>
        </w:tabs>
        <w:spacing w:before="120"/>
        <w:ind w:left="420"/>
        <w:rPr>
          <w:rFonts w:asciiTheme="minorHAnsi" w:hAnsiTheme="minorHAnsi" w:eastAsiaTheme="minorEastAsia" w:cstheme="minorBidi"/>
          <w:color w:val="auto"/>
          <w:kern w:val="2"/>
          <w:szCs w:val="22"/>
          <w:lang w:eastAsia="zh-CN" w:bidi="ar-SA"/>
        </w:rPr>
      </w:pPr>
      <w:r>
        <w:rPr>
          <w:lang w:eastAsia="zh-CN"/>
        </w:rPr>
        <w:t>B.</w:t>
      </w:r>
      <w:r>
        <w:rPr>
          <w:rFonts w:asciiTheme="minorHAnsi" w:hAnsiTheme="minorHAnsi" w:eastAsiaTheme="minorEastAsia" w:cstheme="minorBidi"/>
          <w:color w:val="auto"/>
          <w:kern w:val="2"/>
          <w:szCs w:val="22"/>
          <w:lang w:eastAsia="zh-CN" w:bidi="ar-SA"/>
        </w:rPr>
        <w:tab/>
      </w:r>
      <w:r>
        <w:rPr>
          <w:lang w:eastAsia="zh-CN"/>
        </w:rPr>
        <w:t>科学证据的类型</w:t>
      </w:r>
      <w:r>
        <w:rPr>
          <w:lang w:eastAsia="zh-CN"/>
        </w:rPr>
        <w:tab/>
      </w:r>
      <w:r>
        <w:fldChar w:fldCharType="begin"/>
      </w:r>
      <w:r>
        <w:rPr>
          <w:lang w:eastAsia="zh-CN"/>
        </w:rPr>
        <w:instrText xml:space="preserve"> PAGEREF _Toc97318816 \h </w:instrText>
      </w:r>
      <w:r>
        <w:fldChar w:fldCharType="separate"/>
      </w:r>
      <w:r>
        <w:rPr>
          <w:lang w:eastAsia="zh-CN"/>
        </w:rPr>
        <w:t>7</w:t>
      </w:r>
      <w:r>
        <w:fldChar w:fldCharType="end"/>
      </w:r>
    </w:p>
    <w:p w14:paraId="6AE19B55">
      <w:pPr>
        <w:pStyle w:val="7"/>
        <w:tabs>
          <w:tab w:val="left" w:pos="840"/>
          <w:tab w:val="right" w:leader="dot" w:pos="9061"/>
        </w:tabs>
        <w:spacing w:before="120"/>
        <w:ind w:left="420"/>
        <w:rPr>
          <w:rFonts w:asciiTheme="minorHAnsi" w:hAnsiTheme="minorHAnsi" w:eastAsiaTheme="minorEastAsia" w:cstheme="minorBidi"/>
          <w:color w:val="auto"/>
          <w:kern w:val="2"/>
          <w:szCs w:val="22"/>
          <w:lang w:eastAsia="zh-CN" w:bidi="ar-SA"/>
        </w:rPr>
      </w:pPr>
      <w:r>
        <w:rPr>
          <w:lang w:eastAsia="zh-CN"/>
        </w:rPr>
        <w:t>C.</w:t>
      </w:r>
      <w:r>
        <w:rPr>
          <w:rFonts w:asciiTheme="minorHAnsi" w:hAnsiTheme="minorHAnsi" w:eastAsiaTheme="minorEastAsia" w:cstheme="minorBidi"/>
          <w:color w:val="auto"/>
          <w:kern w:val="2"/>
          <w:szCs w:val="22"/>
          <w:lang w:eastAsia="zh-CN" w:bidi="ar-SA"/>
        </w:rPr>
        <w:tab/>
      </w:r>
      <w:r>
        <w:rPr>
          <w:lang w:eastAsia="zh-CN"/>
        </w:rPr>
        <w:t>获益-风险确定</w:t>
      </w:r>
      <w:r>
        <w:rPr>
          <w:lang w:eastAsia="zh-CN"/>
        </w:rPr>
        <w:tab/>
      </w:r>
      <w:r>
        <w:fldChar w:fldCharType="begin"/>
      </w:r>
      <w:r>
        <w:rPr>
          <w:lang w:eastAsia="zh-CN"/>
        </w:rPr>
        <w:instrText xml:space="preserve"> PAGEREF _Toc97318817 \h </w:instrText>
      </w:r>
      <w:r>
        <w:fldChar w:fldCharType="separate"/>
      </w:r>
      <w:r>
        <w:rPr>
          <w:lang w:eastAsia="zh-CN"/>
        </w:rPr>
        <w:t>8</w:t>
      </w:r>
      <w:r>
        <w:fldChar w:fldCharType="end"/>
      </w:r>
    </w:p>
    <w:p w14:paraId="6AE19B56">
      <w:pPr>
        <w:pStyle w:val="6"/>
        <w:tabs>
          <w:tab w:val="left" w:pos="630"/>
          <w:tab w:val="right" w:leader="dot" w:pos="9061"/>
        </w:tabs>
        <w:spacing w:before="120"/>
        <w:rPr>
          <w:rFonts w:asciiTheme="minorHAnsi" w:hAnsiTheme="minorHAnsi" w:eastAsiaTheme="minorEastAsia" w:cstheme="minorBidi"/>
          <w:color w:val="auto"/>
          <w:kern w:val="2"/>
          <w:szCs w:val="22"/>
          <w:lang w:eastAsia="zh-CN" w:bidi="ar-SA"/>
        </w:rPr>
      </w:pPr>
      <w:r>
        <w:rPr>
          <w:lang w:eastAsia="zh-CN"/>
        </w:rPr>
        <w:t>IV.</w:t>
      </w:r>
      <w:r>
        <w:rPr>
          <w:rFonts w:asciiTheme="minorHAnsi" w:hAnsiTheme="minorHAnsi" w:eastAsiaTheme="minorEastAsia" w:cstheme="minorBidi"/>
          <w:color w:val="auto"/>
          <w:kern w:val="2"/>
          <w:szCs w:val="22"/>
          <w:lang w:eastAsia="zh-CN" w:bidi="ar-SA"/>
        </w:rPr>
        <w:tab/>
      </w:r>
      <w:r>
        <w:rPr>
          <w:lang w:eastAsia="zh-CN"/>
        </w:rPr>
        <w:t>FDA确定获益-风险要考虑的因素</w:t>
      </w:r>
      <w:r>
        <w:rPr>
          <w:lang w:eastAsia="zh-CN"/>
        </w:rPr>
        <w:tab/>
      </w:r>
      <w:r>
        <w:fldChar w:fldCharType="begin"/>
      </w:r>
      <w:r>
        <w:rPr>
          <w:lang w:eastAsia="zh-CN"/>
        </w:rPr>
        <w:instrText xml:space="preserve"> PAGEREF _Toc97318818 \h </w:instrText>
      </w:r>
      <w:r>
        <w:fldChar w:fldCharType="separate"/>
      </w:r>
      <w:r>
        <w:rPr>
          <w:lang w:eastAsia="zh-CN"/>
        </w:rPr>
        <w:t>9</w:t>
      </w:r>
      <w:r>
        <w:fldChar w:fldCharType="end"/>
      </w:r>
    </w:p>
    <w:p w14:paraId="6AE19B57">
      <w:pPr>
        <w:pStyle w:val="7"/>
        <w:tabs>
          <w:tab w:val="left" w:pos="840"/>
          <w:tab w:val="right" w:leader="dot" w:pos="9061"/>
        </w:tabs>
        <w:spacing w:before="120"/>
        <w:ind w:left="420"/>
        <w:rPr>
          <w:rFonts w:asciiTheme="minorHAnsi" w:hAnsiTheme="minorHAnsi" w:eastAsiaTheme="minorEastAsia" w:cstheme="minorBidi"/>
          <w:color w:val="auto"/>
          <w:kern w:val="2"/>
          <w:szCs w:val="22"/>
          <w:lang w:eastAsia="zh-CN" w:bidi="ar-SA"/>
        </w:rPr>
      </w:pPr>
      <w:r>
        <w:rPr>
          <w:lang w:eastAsia="zh-CN"/>
        </w:rPr>
        <w:t>A.</w:t>
      </w:r>
      <w:r>
        <w:rPr>
          <w:rFonts w:asciiTheme="minorHAnsi" w:hAnsiTheme="minorHAnsi" w:eastAsiaTheme="minorEastAsia" w:cstheme="minorBidi"/>
          <w:color w:val="auto"/>
          <w:kern w:val="2"/>
          <w:szCs w:val="22"/>
          <w:lang w:eastAsia="zh-CN" w:bidi="ar-SA"/>
        </w:rPr>
        <w:tab/>
      </w:r>
      <w:r>
        <w:rPr>
          <w:lang w:eastAsia="zh-CN"/>
        </w:rPr>
        <w:t>器械的获益评估</w:t>
      </w:r>
      <w:r>
        <w:rPr>
          <w:lang w:eastAsia="zh-CN"/>
        </w:rPr>
        <w:tab/>
      </w:r>
      <w:r>
        <w:fldChar w:fldCharType="begin"/>
      </w:r>
      <w:r>
        <w:rPr>
          <w:lang w:eastAsia="zh-CN"/>
        </w:rPr>
        <w:instrText xml:space="preserve"> PAGEREF _Toc97318819 \h </w:instrText>
      </w:r>
      <w:r>
        <w:fldChar w:fldCharType="separate"/>
      </w:r>
      <w:r>
        <w:rPr>
          <w:lang w:eastAsia="zh-CN"/>
        </w:rPr>
        <w:t>9</w:t>
      </w:r>
      <w:r>
        <w:fldChar w:fldCharType="end"/>
      </w:r>
    </w:p>
    <w:p w14:paraId="6AE19B58">
      <w:pPr>
        <w:pStyle w:val="7"/>
        <w:tabs>
          <w:tab w:val="left" w:pos="840"/>
          <w:tab w:val="right" w:leader="dot" w:pos="9061"/>
        </w:tabs>
        <w:spacing w:before="120"/>
        <w:ind w:left="420"/>
        <w:rPr>
          <w:rFonts w:asciiTheme="minorHAnsi" w:hAnsiTheme="minorHAnsi" w:eastAsiaTheme="minorEastAsia" w:cstheme="minorBidi"/>
          <w:color w:val="auto"/>
          <w:kern w:val="2"/>
          <w:szCs w:val="22"/>
          <w:lang w:eastAsia="zh-CN" w:bidi="ar-SA"/>
        </w:rPr>
      </w:pPr>
      <w:r>
        <w:rPr>
          <w:lang w:eastAsia="zh-CN"/>
        </w:rPr>
        <w:t>B.</w:t>
      </w:r>
      <w:r>
        <w:rPr>
          <w:rFonts w:asciiTheme="minorHAnsi" w:hAnsiTheme="minorHAnsi" w:eastAsiaTheme="minorEastAsia" w:cstheme="minorBidi"/>
          <w:color w:val="auto"/>
          <w:kern w:val="2"/>
          <w:szCs w:val="22"/>
          <w:lang w:eastAsia="zh-CN" w:bidi="ar-SA"/>
        </w:rPr>
        <w:tab/>
      </w:r>
      <w:r>
        <w:rPr>
          <w:lang w:eastAsia="zh-CN"/>
        </w:rPr>
        <w:t>器械的风险评估</w:t>
      </w:r>
      <w:r>
        <w:rPr>
          <w:lang w:eastAsia="zh-CN"/>
        </w:rPr>
        <w:tab/>
      </w:r>
      <w:r>
        <w:fldChar w:fldCharType="begin"/>
      </w:r>
      <w:r>
        <w:rPr>
          <w:lang w:eastAsia="zh-CN"/>
        </w:rPr>
        <w:instrText xml:space="preserve"> PAGEREF _Toc97318820 \h </w:instrText>
      </w:r>
      <w:r>
        <w:fldChar w:fldCharType="separate"/>
      </w:r>
      <w:r>
        <w:rPr>
          <w:lang w:eastAsia="zh-CN"/>
        </w:rPr>
        <w:t>10</w:t>
      </w:r>
      <w:r>
        <w:fldChar w:fldCharType="end"/>
      </w:r>
    </w:p>
    <w:p w14:paraId="6AE19B59">
      <w:pPr>
        <w:pStyle w:val="7"/>
        <w:tabs>
          <w:tab w:val="left" w:pos="840"/>
          <w:tab w:val="right" w:leader="dot" w:pos="9061"/>
        </w:tabs>
        <w:spacing w:before="120"/>
        <w:ind w:left="420"/>
        <w:rPr>
          <w:rFonts w:asciiTheme="minorHAnsi" w:hAnsiTheme="minorHAnsi" w:eastAsiaTheme="minorEastAsia" w:cstheme="minorBidi"/>
          <w:color w:val="auto"/>
          <w:kern w:val="2"/>
          <w:szCs w:val="22"/>
          <w:lang w:eastAsia="zh-CN" w:bidi="ar-SA"/>
        </w:rPr>
      </w:pPr>
      <w:r>
        <w:rPr>
          <w:lang w:eastAsia="zh-CN"/>
        </w:rPr>
        <w:t>C.</w:t>
      </w:r>
      <w:r>
        <w:rPr>
          <w:rFonts w:asciiTheme="minorHAnsi" w:hAnsiTheme="minorHAnsi" w:eastAsiaTheme="minorEastAsia" w:cstheme="minorBidi"/>
          <w:color w:val="auto"/>
          <w:kern w:val="2"/>
          <w:szCs w:val="22"/>
          <w:lang w:eastAsia="zh-CN" w:bidi="ar-SA"/>
        </w:rPr>
        <w:tab/>
      </w:r>
      <w:r>
        <w:rPr>
          <w:lang w:eastAsia="zh-CN"/>
        </w:rPr>
        <w:t>评估器械可能的获益和风险的其他因素</w:t>
      </w:r>
      <w:r>
        <w:rPr>
          <w:lang w:eastAsia="zh-CN"/>
        </w:rPr>
        <w:tab/>
      </w:r>
      <w:r>
        <w:fldChar w:fldCharType="begin"/>
      </w:r>
      <w:r>
        <w:rPr>
          <w:lang w:eastAsia="zh-CN"/>
        </w:rPr>
        <w:instrText xml:space="preserve"> PAGEREF _Toc97318821 \h </w:instrText>
      </w:r>
      <w:r>
        <w:fldChar w:fldCharType="separate"/>
      </w:r>
      <w:r>
        <w:rPr>
          <w:lang w:eastAsia="zh-CN"/>
        </w:rPr>
        <w:t>11</w:t>
      </w:r>
      <w:r>
        <w:fldChar w:fldCharType="end"/>
      </w:r>
    </w:p>
    <w:p w14:paraId="6AE19B5A">
      <w:pPr>
        <w:pStyle w:val="6"/>
        <w:tabs>
          <w:tab w:val="left" w:pos="630"/>
          <w:tab w:val="right" w:leader="dot" w:pos="9061"/>
        </w:tabs>
        <w:spacing w:before="120"/>
        <w:rPr>
          <w:rFonts w:asciiTheme="minorHAnsi" w:hAnsiTheme="minorHAnsi" w:eastAsiaTheme="minorEastAsia" w:cstheme="minorBidi"/>
          <w:color w:val="auto"/>
          <w:kern w:val="2"/>
          <w:szCs w:val="22"/>
          <w:lang w:eastAsia="zh-CN" w:bidi="ar-SA"/>
        </w:rPr>
      </w:pPr>
      <w:r>
        <w:rPr>
          <w:lang w:eastAsia="zh-CN"/>
        </w:rPr>
        <w:t>V.</w:t>
      </w:r>
      <w:r>
        <w:rPr>
          <w:rFonts w:asciiTheme="minorHAnsi" w:hAnsiTheme="minorHAnsi" w:eastAsiaTheme="minorEastAsia" w:cstheme="minorBidi"/>
          <w:color w:val="auto"/>
          <w:kern w:val="2"/>
          <w:szCs w:val="22"/>
          <w:lang w:eastAsia="zh-CN" w:bidi="ar-SA"/>
        </w:rPr>
        <w:tab/>
      </w:r>
      <w:r>
        <w:rPr>
          <w:lang w:eastAsia="zh-CN"/>
        </w:rPr>
        <w:t>确定获益-风险的举例</w:t>
      </w:r>
      <w:r>
        <w:rPr>
          <w:lang w:eastAsia="zh-CN"/>
        </w:rPr>
        <w:tab/>
      </w:r>
      <w:r>
        <w:fldChar w:fldCharType="begin"/>
      </w:r>
      <w:r>
        <w:rPr>
          <w:lang w:eastAsia="zh-CN"/>
        </w:rPr>
        <w:instrText xml:space="preserve"> PAGEREF _Toc97318822 \h </w:instrText>
      </w:r>
      <w:r>
        <w:fldChar w:fldCharType="separate"/>
      </w:r>
      <w:r>
        <w:rPr>
          <w:lang w:eastAsia="zh-CN"/>
        </w:rPr>
        <w:t>15</w:t>
      </w:r>
      <w:r>
        <w:fldChar w:fldCharType="end"/>
      </w:r>
    </w:p>
    <w:p w14:paraId="6AE19B5B">
      <w:pPr>
        <w:pStyle w:val="7"/>
        <w:tabs>
          <w:tab w:val="left" w:pos="840"/>
          <w:tab w:val="right" w:leader="dot" w:pos="9061"/>
        </w:tabs>
        <w:spacing w:before="120"/>
        <w:ind w:left="420"/>
        <w:rPr>
          <w:rFonts w:asciiTheme="minorHAnsi" w:hAnsiTheme="minorHAnsi" w:eastAsiaTheme="minorEastAsia" w:cstheme="minorBidi"/>
          <w:color w:val="auto"/>
          <w:kern w:val="2"/>
          <w:szCs w:val="22"/>
          <w:lang w:eastAsia="zh-CN" w:bidi="ar-SA"/>
        </w:rPr>
      </w:pPr>
      <w:r>
        <w:rPr>
          <w:lang w:eastAsia="zh-CN"/>
        </w:rPr>
        <w:t>A.</w:t>
      </w:r>
      <w:r>
        <w:rPr>
          <w:rFonts w:asciiTheme="minorHAnsi" w:hAnsiTheme="minorHAnsi" w:eastAsiaTheme="minorEastAsia" w:cstheme="minorBidi"/>
          <w:color w:val="auto"/>
          <w:kern w:val="2"/>
          <w:szCs w:val="22"/>
          <w:lang w:eastAsia="zh-CN" w:bidi="ar-SA"/>
        </w:rPr>
        <w:tab/>
      </w:r>
      <w:r>
        <w:rPr>
          <w:lang w:eastAsia="zh-CN"/>
        </w:rPr>
        <w:t>假设举例</w:t>
      </w:r>
      <w:r>
        <w:rPr>
          <w:lang w:eastAsia="zh-CN"/>
        </w:rPr>
        <w:tab/>
      </w:r>
      <w:r>
        <w:fldChar w:fldCharType="begin"/>
      </w:r>
      <w:r>
        <w:rPr>
          <w:lang w:eastAsia="zh-CN"/>
        </w:rPr>
        <w:instrText xml:space="preserve"> PAGEREF _Toc97318823 \h </w:instrText>
      </w:r>
      <w:r>
        <w:fldChar w:fldCharType="separate"/>
      </w:r>
      <w:r>
        <w:rPr>
          <w:lang w:eastAsia="zh-CN"/>
        </w:rPr>
        <w:t>15</w:t>
      </w:r>
      <w:r>
        <w:fldChar w:fldCharType="end"/>
      </w:r>
    </w:p>
    <w:p w14:paraId="6AE19B5C">
      <w:pPr>
        <w:pStyle w:val="7"/>
        <w:tabs>
          <w:tab w:val="left" w:pos="840"/>
          <w:tab w:val="right" w:leader="dot" w:pos="9061"/>
        </w:tabs>
        <w:spacing w:before="120"/>
        <w:ind w:left="420"/>
        <w:rPr>
          <w:rFonts w:asciiTheme="minorHAnsi" w:hAnsiTheme="minorHAnsi" w:eastAsiaTheme="minorEastAsia" w:cstheme="minorBidi"/>
          <w:color w:val="auto"/>
          <w:kern w:val="2"/>
          <w:szCs w:val="22"/>
          <w:lang w:eastAsia="zh-CN" w:bidi="ar-SA"/>
        </w:rPr>
      </w:pPr>
      <w:r>
        <w:rPr>
          <w:lang w:eastAsia="zh-CN"/>
        </w:rPr>
        <w:t>B.</w:t>
      </w:r>
      <w:r>
        <w:rPr>
          <w:rFonts w:asciiTheme="minorHAnsi" w:hAnsiTheme="minorHAnsi" w:eastAsiaTheme="minorEastAsia" w:cstheme="minorBidi"/>
          <w:color w:val="auto"/>
          <w:kern w:val="2"/>
          <w:szCs w:val="22"/>
          <w:lang w:eastAsia="zh-CN" w:bidi="ar-SA"/>
        </w:rPr>
        <w:tab/>
      </w:r>
      <w:r>
        <w:rPr>
          <w:lang w:eastAsia="zh-CN"/>
        </w:rPr>
        <w:t>基于实际FDA获益-风险确定的举例</w:t>
      </w:r>
      <w:r>
        <w:rPr>
          <w:lang w:eastAsia="zh-CN"/>
        </w:rPr>
        <w:tab/>
      </w:r>
      <w:r>
        <w:fldChar w:fldCharType="begin"/>
      </w:r>
      <w:r>
        <w:rPr>
          <w:lang w:eastAsia="zh-CN"/>
        </w:rPr>
        <w:instrText xml:space="preserve"> PAGEREF _Toc97318824 \h </w:instrText>
      </w:r>
      <w:r>
        <w:fldChar w:fldCharType="separate"/>
      </w:r>
      <w:r>
        <w:rPr>
          <w:lang w:eastAsia="zh-CN"/>
        </w:rPr>
        <w:t>22</w:t>
      </w:r>
      <w:r>
        <w:fldChar w:fldCharType="end"/>
      </w:r>
    </w:p>
    <w:p w14:paraId="6AE19B5D">
      <w:pPr>
        <w:pStyle w:val="6"/>
        <w:tabs>
          <w:tab w:val="right" w:leader="dot" w:pos="9061"/>
        </w:tabs>
        <w:spacing w:before="120"/>
        <w:rPr>
          <w:rFonts w:asciiTheme="minorHAnsi" w:hAnsiTheme="minorHAnsi" w:eastAsiaTheme="minorEastAsia" w:cstheme="minorBidi"/>
          <w:color w:val="auto"/>
          <w:kern w:val="2"/>
          <w:szCs w:val="22"/>
          <w:lang w:eastAsia="zh-CN" w:bidi="ar-SA"/>
        </w:rPr>
      </w:pPr>
      <w:r>
        <w:rPr>
          <w:lang w:eastAsia="zh-CN"/>
        </w:rPr>
        <w:t>附录A</w:t>
      </w:r>
      <w:r>
        <w:rPr>
          <w:lang w:eastAsia="zh-CN"/>
        </w:rPr>
        <w:tab/>
      </w:r>
      <w:r>
        <w:fldChar w:fldCharType="begin"/>
      </w:r>
      <w:r>
        <w:rPr>
          <w:lang w:eastAsia="zh-CN"/>
        </w:rPr>
        <w:instrText xml:space="preserve"> PAGEREF _Toc97318825 \h </w:instrText>
      </w:r>
      <w:r>
        <w:fldChar w:fldCharType="separate"/>
      </w:r>
      <w:r>
        <w:rPr>
          <w:lang w:eastAsia="zh-CN"/>
        </w:rPr>
        <w:t>24</w:t>
      </w:r>
      <w:r>
        <w:fldChar w:fldCharType="end"/>
      </w:r>
    </w:p>
    <w:p w14:paraId="6AE19B5E">
      <w:pPr>
        <w:pStyle w:val="7"/>
        <w:tabs>
          <w:tab w:val="right" w:leader="dot" w:pos="9061"/>
        </w:tabs>
        <w:spacing w:before="120"/>
        <w:ind w:left="420"/>
        <w:rPr>
          <w:rFonts w:asciiTheme="minorHAnsi" w:hAnsiTheme="minorHAnsi" w:eastAsiaTheme="minorEastAsia" w:cstheme="minorBidi"/>
          <w:color w:val="auto"/>
          <w:kern w:val="2"/>
          <w:szCs w:val="22"/>
          <w:lang w:eastAsia="zh-CN" w:bidi="ar-SA"/>
        </w:rPr>
      </w:pPr>
      <w:r>
        <w:rPr>
          <w:lang w:eastAsia="zh-CN"/>
        </w:rPr>
        <w:t>本指南与ISO 14971的重叠之处</w:t>
      </w:r>
      <w:r>
        <w:rPr>
          <w:lang w:eastAsia="zh-CN"/>
        </w:rPr>
        <w:tab/>
      </w:r>
      <w:r>
        <w:fldChar w:fldCharType="begin"/>
      </w:r>
      <w:r>
        <w:rPr>
          <w:lang w:eastAsia="zh-CN"/>
        </w:rPr>
        <w:instrText xml:space="preserve"> PAGEREF _Toc97318826 \h </w:instrText>
      </w:r>
      <w:r>
        <w:fldChar w:fldCharType="separate"/>
      </w:r>
      <w:r>
        <w:rPr>
          <w:lang w:eastAsia="zh-CN"/>
        </w:rPr>
        <w:t>24</w:t>
      </w:r>
      <w:r>
        <w:fldChar w:fldCharType="end"/>
      </w:r>
    </w:p>
    <w:p w14:paraId="6AE19B5F">
      <w:pPr>
        <w:pStyle w:val="6"/>
        <w:tabs>
          <w:tab w:val="right" w:leader="dot" w:pos="9061"/>
        </w:tabs>
        <w:spacing w:before="120"/>
        <w:rPr>
          <w:rFonts w:asciiTheme="minorHAnsi" w:hAnsiTheme="minorHAnsi" w:eastAsiaTheme="minorEastAsia" w:cstheme="minorBidi"/>
          <w:color w:val="auto"/>
          <w:kern w:val="2"/>
          <w:szCs w:val="22"/>
          <w:lang w:eastAsia="zh-CN" w:bidi="ar-SA"/>
        </w:rPr>
      </w:pPr>
      <w:r>
        <w:rPr>
          <w:lang w:eastAsia="zh-CN"/>
        </w:rPr>
        <w:t>附录B</w:t>
      </w:r>
      <w:r>
        <w:rPr>
          <w:lang w:eastAsia="zh-CN"/>
        </w:rPr>
        <w:tab/>
      </w:r>
      <w:r>
        <w:fldChar w:fldCharType="begin"/>
      </w:r>
      <w:r>
        <w:rPr>
          <w:lang w:eastAsia="zh-CN"/>
        </w:rPr>
        <w:instrText xml:space="preserve"> PAGEREF _Toc97318827 \h </w:instrText>
      </w:r>
      <w:r>
        <w:fldChar w:fldCharType="separate"/>
      </w:r>
      <w:r>
        <w:rPr>
          <w:lang w:eastAsia="zh-CN"/>
        </w:rPr>
        <w:t>25</w:t>
      </w:r>
      <w:r>
        <w:fldChar w:fldCharType="end"/>
      </w:r>
    </w:p>
    <w:p w14:paraId="6AE19B60">
      <w:pPr>
        <w:pStyle w:val="7"/>
        <w:tabs>
          <w:tab w:val="right" w:leader="dot" w:pos="9061"/>
        </w:tabs>
        <w:spacing w:before="120"/>
        <w:ind w:left="420"/>
        <w:rPr>
          <w:rFonts w:asciiTheme="minorHAnsi" w:hAnsiTheme="minorHAnsi" w:eastAsiaTheme="minorEastAsia" w:cstheme="minorBidi"/>
          <w:color w:val="auto"/>
          <w:kern w:val="2"/>
          <w:szCs w:val="22"/>
          <w:lang w:eastAsia="zh-CN" w:bidi="ar-SA"/>
        </w:rPr>
      </w:pPr>
      <w:r>
        <w:rPr>
          <w:lang w:eastAsia="zh-CN"/>
        </w:rPr>
        <w:t>获益-风险评估工作表</w:t>
      </w:r>
      <w:r>
        <w:rPr>
          <w:lang w:eastAsia="zh-CN"/>
        </w:rPr>
        <w:tab/>
      </w:r>
      <w:r>
        <w:fldChar w:fldCharType="begin"/>
      </w:r>
      <w:r>
        <w:rPr>
          <w:lang w:eastAsia="zh-CN"/>
        </w:rPr>
        <w:instrText xml:space="preserve"> PAGEREF _Toc97318828 \h </w:instrText>
      </w:r>
      <w:r>
        <w:fldChar w:fldCharType="separate"/>
      </w:r>
      <w:r>
        <w:rPr>
          <w:lang w:eastAsia="zh-CN"/>
        </w:rPr>
        <w:t>25</w:t>
      </w:r>
      <w:r>
        <w:fldChar w:fldCharType="end"/>
      </w:r>
    </w:p>
    <w:p w14:paraId="6AE19B61">
      <w:pPr>
        <w:pStyle w:val="7"/>
        <w:tabs>
          <w:tab w:val="right" w:leader="dot" w:pos="9061"/>
        </w:tabs>
        <w:spacing w:before="120"/>
        <w:ind w:left="420"/>
        <w:rPr>
          <w:rFonts w:asciiTheme="minorHAnsi" w:hAnsiTheme="minorHAnsi" w:eastAsiaTheme="minorEastAsia" w:cstheme="minorBidi"/>
          <w:color w:val="auto"/>
          <w:kern w:val="2"/>
          <w:szCs w:val="22"/>
          <w:lang w:eastAsia="zh-CN" w:bidi="ar-SA"/>
        </w:rPr>
      </w:pPr>
      <w:r>
        <w:rPr>
          <w:lang w:eastAsia="zh-CN"/>
        </w:rPr>
        <w:t>获益-风险评估总结</w:t>
      </w:r>
      <w:r>
        <w:rPr>
          <w:lang w:eastAsia="zh-CN"/>
        </w:rPr>
        <w:tab/>
      </w:r>
      <w:r>
        <w:fldChar w:fldCharType="begin"/>
      </w:r>
      <w:r>
        <w:rPr>
          <w:lang w:eastAsia="zh-CN"/>
        </w:rPr>
        <w:instrText xml:space="preserve"> PAGEREF _Toc97318829 \h </w:instrText>
      </w:r>
      <w:r>
        <w:fldChar w:fldCharType="separate"/>
      </w:r>
      <w:r>
        <w:rPr>
          <w:lang w:eastAsia="zh-CN"/>
        </w:rPr>
        <w:t>34</w:t>
      </w:r>
      <w:r>
        <w:fldChar w:fldCharType="end"/>
      </w:r>
    </w:p>
    <w:p w14:paraId="6AE19B62">
      <w:pPr>
        <w:pStyle w:val="6"/>
        <w:tabs>
          <w:tab w:val="right" w:leader="dot" w:pos="9061"/>
        </w:tabs>
        <w:spacing w:before="120"/>
        <w:rPr>
          <w:rFonts w:asciiTheme="minorHAnsi" w:hAnsiTheme="minorHAnsi" w:eastAsiaTheme="minorEastAsia" w:cstheme="minorBidi"/>
          <w:color w:val="auto"/>
          <w:kern w:val="2"/>
          <w:szCs w:val="22"/>
          <w:lang w:eastAsia="zh-CN" w:bidi="ar-SA"/>
        </w:rPr>
      </w:pPr>
      <w:r>
        <w:rPr>
          <w:lang w:eastAsia="zh-CN"/>
        </w:rPr>
        <w:t>附录C</w:t>
      </w:r>
      <w:r>
        <w:rPr>
          <w:lang w:eastAsia="zh-CN"/>
        </w:rPr>
        <w:tab/>
      </w:r>
      <w:r>
        <w:fldChar w:fldCharType="begin"/>
      </w:r>
      <w:r>
        <w:rPr>
          <w:lang w:eastAsia="zh-CN"/>
        </w:rPr>
        <w:instrText xml:space="preserve"> PAGEREF _Toc97318830 \h </w:instrText>
      </w:r>
      <w:r>
        <w:fldChar w:fldCharType="separate"/>
      </w:r>
      <w:r>
        <w:rPr>
          <w:lang w:eastAsia="zh-CN"/>
        </w:rPr>
        <w:t>35</w:t>
      </w:r>
      <w:r>
        <w:fldChar w:fldCharType="end"/>
      </w:r>
    </w:p>
    <w:p w14:paraId="6AE19B63">
      <w:pPr>
        <w:pStyle w:val="7"/>
        <w:tabs>
          <w:tab w:val="right" w:leader="dot" w:pos="9061"/>
        </w:tabs>
        <w:spacing w:before="120"/>
        <w:ind w:left="420"/>
        <w:rPr>
          <w:rFonts w:asciiTheme="minorHAnsi" w:hAnsiTheme="minorHAnsi" w:eastAsiaTheme="minorEastAsia" w:cstheme="minorBidi"/>
          <w:color w:val="auto"/>
          <w:kern w:val="2"/>
          <w:szCs w:val="22"/>
          <w:lang w:eastAsia="zh-CN" w:bidi="ar-SA"/>
        </w:rPr>
      </w:pPr>
      <w:r>
        <w:rPr>
          <w:lang w:eastAsia="zh-CN"/>
        </w:rPr>
        <w:t>假设举例的工作表</w:t>
      </w:r>
      <w:r>
        <w:rPr>
          <w:lang w:eastAsia="zh-CN"/>
        </w:rPr>
        <w:tab/>
      </w:r>
      <w:r>
        <w:fldChar w:fldCharType="begin"/>
      </w:r>
      <w:r>
        <w:rPr>
          <w:lang w:eastAsia="zh-CN"/>
        </w:rPr>
        <w:instrText xml:space="preserve"> PAGEREF _Toc97318831 \h </w:instrText>
      </w:r>
      <w:r>
        <w:fldChar w:fldCharType="separate"/>
      </w:r>
      <w:r>
        <w:rPr>
          <w:lang w:eastAsia="zh-CN"/>
        </w:rPr>
        <w:t>35</w:t>
      </w:r>
      <w:r>
        <w:fldChar w:fldCharType="end"/>
      </w:r>
    </w:p>
    <w:p w14:paraId="6AE19B64">
      <w:pPr>
        <w:pStyle w:val="2"/>
        <w:tabs>
          <w:tab w:val="right" w:leader="dot" w:pos="9061"/>
        </w:tabs>
        <w:spacing w:before="120"/>
        <w:ind w:left="840"/>
        <w:rPr>
          <w:rFonts w:asciiTheme="minorHAnsi" w:hAnsiTheme="minorHAnsi" w:eastAsiaTheme="minorEastAsia" w:cstheme="minorBidi"/>
          <w:color w:val="auto"/>
          <w:kern w:val="2"/>
          <w:szCs w:val="22"/>
          <w:lang w:eastAsia="zh-CN" w:bidi="ar-SA"/>
        </w:rPr>
      </w:pPr>
      <w:r>
        <w:rPr>
          <w:lang w:eastAsia="zh-CN"/>
        </w:rPr>
        <w:t>假设举例1的工作表</w:t>
      </w:r>
      <w:r>
        <w:rPr>
          <w:lang w:eastAsia="zh-CN"/>
        </w:rPr>
        <w:tab/>
      </w:r>
      <w:r>
        <w:fldChar w:fldCharType="begin"/>
      </w:r>
      <w:r>
        <w:rPr>
          <w:lang w:eastAsia="zh-CN"/>
        </w:rPr>
        <w:instrText xml:space="preserve"> PAGEREF _Toc97318832 \h </w:instrText>
      </w:r>
      <w:r>
        <w:fldChar w:fldCharType="separate"/>
      </w:r>
      <w:r>
        <w:rPr>
          <w:lang w:eastAsia="zh-CN"/>
        </w:rPr>
        <w:t>36</w:t>
      </w:r>
      <w:r>
        <w:fldChar w:fldCharType="end"/>
      </w:r>
    </w:p>
    <w:p w14:paraId="6AE19B65">
      <w:pPr>
        <w:pStyle w:val="2"/>
        <w:tabs>
          <w:tab w:val="right" w:leader="dot" w:pos="9061"/>
        </w:tabs>
        <w:spacing w:before="120"/>
        <w:ind w:left="840"/>
        <w:rPr>
          <w:rFonts w:asciiTheme="minorHAnsi" w:hAnsiTheme="minorHAnsi" w:eastAsiaTheme="minorEastAsia" w:cstheme="minorBidi"/>
          <w:color w:val="auto"/>
          <w:kern w:val="2"/>
          <w:szCs w:val="22"/>
          <w:lang w:eastAsia="zh-CN" w:bidi="ar-SA"/>
        </w:rPr>
      </w:pPr>
      <w:r>
        <w:rPr>
          <w:lang w:eastAsia="zh-CN"/>
        </w:rPr>
        <w:t>假设举例2的工作表</w:t>
      </w:r>
      <w:r>
        <w:rPr>
          <w:lang w:eastAsia="zh-CN"/>
        </w:rPr>
        <w:tab/>
      </w:r>
      <w:r>
        <w:fldChar w:fldCharType="begin"/>
      </w:r>
      <w:r>
        <w:rPr>
          <w:lang w:eastAsia="zh-CN"/>
        </w:rPr>
        <w:instrText xml:space="preserve"> PAGEREF _Toc97318833 \h </w:instrText>
      </w:r>
      <w:r>
        <w:fldChar w:fldCharType="separate"/>
      </w:r>
      <w:r>
        <w:rPr>
          <w:lang w:eastAsia="zh-CN"/>
        </w:rPr>
        <w:t>46</w:t>
      </w:r>
      <w:r>
        <w:fldChar w:fldCharType="end"/>
      </w:r>
    </w:p>
    <w:p w14:paraId="6AE19B66">
      <w:pPr>
        <w:pStyle w:val="2"/>
        <w:tabs>
          <w:tab w:val="right" w:leader="dot" w:pos="9061"/>
        </w:tabs>
        <w:spacing w:before="120"/>
        <w:ind w:left="840"/>
        <w:rPr>
          <w:rFonts w:asciiTheme="minorHAnsi" w:hAnsiTheme="minorHAnsi" w:eastAsiaTheme="minorEastAsia" w:cstheme="minorBidi"/>
          <w:color w:val="auto"/>
          <w:kern w:val="2"/>
          <w:szCs w:val="22"/>
          <w:lang w:eastAsia="zh-CN" w:bidi="ar-SA"/>
        </w:rPr>
      </w:pPr>
      <w:r>
        <w:rPr>
          <w:lang w:eastAsia="zh-CN"/>
        </w:rPr>
        <w:t>假设举例3的工作表</w:t>
      </w:r>
      <w:r>
        <w:rPr>
          <w:lang w:eastAsia="zh-CN"/>
        </w:rPr>
        <w:tab/>
      </w:r>
      <w:r>
        <w:fldChar w:fldCharType="begin"/>
      </w:r>
      <w:r>
        <w:rPr>
          <w:lang w:eastAsia="zh-CN"/>
        </w:rPr>
        <w:instrText xml:space="preserve"> PAGEREF _Toc97318834 \h </w:instrText>
      </w:r>
      <w:r>
        <w:fldChar w:fldCharType="separate"/>
      </w:r>
      <w:r>
        <w:rPr>
          <w:lang w:eastAsia="zh-CN"/>
        </w:rPr>
        <w:t>56</w:t>
      </w:r>
      <w:r>
        <w:fldChar w:fldCharType="end"/>
      </w:r>
    </w:p>
    <w:p w14:paraId="6AE19B67">
      <w:pPr>
        <w:pStyle w:val="2"/>
        <w:tabs>
          <w:tab w:val="right" w:leader="dot" w:pos="9061"/>
        </w:tabs>
        <w:spacing w:before="120"/>
        <w:ind w:left="840"/>
        <w:rPr>
          <w:rFonts w:asciiTheme="minorHAnsi" w:hAnsiTheme="minorHAnsi" w:eastAsiaTheme="minorEastAsia" w:cstheme="minorBidi"/>
          <w:color w:val="auto"/>
          <w:kern w:val="2"/>
          <w:szCs w:val="22"/>
          <w:lang w:eastAsia="zh-CN" w:bidi="ar-SA"/>
        </w:rPr>
      </w:pPr>
      <w:r>
        <w:rPr>
          <w:lang w:eastAsia="zh-CN"/>
        </w:rPr>
        <w:t>假设举例4的工作表</w:t>
      </w:r>
      <w:r>
        <w:rPr>
          <w:lang w:eastAsia="zh-CN"/>
        </w:rPr>
        <w:tab/>
      </w:r>
      <w:r>
        <w:fldChar w:fldCharType="begin"/>
      </w:r>
      <w:r>
        <w:rPr>
          <w:lang w:eastAsia="zh-CN"/>
        </w:rPr>
        <w:instrText xml:space="preserve"> PAGEREF _Toc97318835 \h </w:instrText>
      </w:r>
      <w:r>
        <w:fldChar w:fldCharType="separate"/>
      </w:r>
      <w:r>
        <w:rPr>
          <w:lang w:eastAsia="zh-CN"/>
        </w:rPr>
        <w:t>66</w:t>
      </w:r>
      <w:r>
        <w:fldChar w:fldCharType="end"/>
      </w:r>
    </w:p>
    <w:p w14:paraId="6AE19B68">
      <w:pPr>
        <w:snapToGrid w:val="0"/>
        <w:spacing w:before="120" w:beforeLines="50"/>
        <w:jc w:val="both"/>
        <w:rPr>
          <w:lang w:eastAsia="zh-CN"/>
        </w:rPr>
      </w:pPr>
      <w:r>
        <w:fldChar w:fldCharType="end"/>
      </w:r>
    </w:p>
    <w:p w14:paraId="6AE19B69">
      <w:pPr>
        <w:snapToGrid w:val="0"/>
        <w:spacing w:before="120" w:beforeLines="50"/>
        <w:jc w:val="both"/>
        <w:rPr>
          <w:lang w:eastAsia="zh-CN"/>
        </w:rPr>
      </w:pPr>
      <w:r>
        <w:rPr>
          <w:lang w:eastAsia="zh-CN"/>
        </w:rPr>
        <w:br w:type="page"/>
      </w:r>
    </w:p>
    <w:p w14:paraId="6AE19B6A">
      <w:pPr>
        <w:pBdr>
          <w:bottom w:val="single" w:color="auto" w:sz="4" w:space="1"/>
        </w:pBdr>
        <w:snapToGrid w:val="0"/>
        <w:spacing w:before="120" w:beforeLines="50"/>
        <w:jc w:val="center"/>
        <w:rPr>
          <w:sz w:val="52"/>
          <w:szCs w:val="52"/>
          <w:lang w:eastAsia="zh-CN"/>
        </w:rPr>
      </w:pPr>
      <w:r>
        <w:rPr>
          <w:b/>
          <w:bCs/>
          <w:sz w:val="52"/>
          <w:szCs w:val="52"/>
          <w:lang w:eastAsia="zh-CN"/>
        </w:rPr>
        <w:t>确定医疗器械上市前批准和新分类的获益-风险时要考虑的因素</w:t>
      </w:r>
    </w:p>
    <w:p w14:paraId="6AE19B6B">
      <w:pPr>
        <w:snapToGrid w:val="0"/>
        <w:spacing w:before="120" w:beforeLines="50"/>
        <w:jc w:val="center"/>
        <w:rPr>
          <w:b/>
          <w:bCs/>
          <w:sz w:val="52"/>
          <w:szCs w:val="52"/>
          <w:lang w:eastAsia="zh-CN"/>
        </w:rPr>
      </w:pPr>
      <w:r>
        <w:rPr>
          <w:b/>
          <w:bCs/>
          <w:sz w:val="52"/>
          <w:szCs w:val="52"/>
          <w:lang w:eastAsia="zh-CN"/>
        </w:rPr>
        <w:t>对行业和美国食品药品监督管理局工作人员的指南</w:t>
      </w:r>
    </w:p>
    <w:p w14:paraId="6AE19B6C">
      <w:pPr>
        <w:snapToGrid w:val="0"/>
        <w:spacing w:before="120" w:beforeLines="50"/>
        <w:jc w:val="center"/>
        <w:rPr>
          <w:sz w:val="52"/>
          <w:szCs w:val="52"/>
          <w:lang w:eastAsia="zh-CN"/>
        </w:rPr>
      </w:pPr>
    </w:p>
    <w:tbl>
      <w:tblPr>
        <w:tblStyle w:val="8"/>
        <w:tblW w:w="5000" w:type="pct"/>
        <w:tblInd w:w="0" w:type="dxa"/>
        <w:tblBorders>
          <w:top w:val="thinThickMediumGap" w:color="auto" w:sz="24" w:space="0"/>
          <w:left w:val="thinThickMediumGap" w:color="auto" w:sz="24" w:space="0"/>
          <w:bottom w:val="thickThinMediumGap" w:color="auto" w:sz="24" w:space="0"/>
          <w:right w:val="thickThinMediumGap" w:color="auto" w:sz="24" w:space="0"/>
          <w:insideH w:val="none" w:color="auto" w:sz="0" w:space="0"/>
          <w:insideV w:val="none" w:color="auto" w:sz="0" w:space="0"/>
        </w:tblBorders>
        <w:tblLayout w:type="autofit"/>
        <w:tblCellMar>
          <w:top w:w="0" w:type="dxa"/>
          <w:left w:w="57" w:type="dxa"/>
          <w:bottom w:w="0" w:type="dxa"/>
          <w:right w:w="57" w:type="dxa"/>
        </w:tblCellMar>
      </w:tblPr>
      <w:tblGrid>
        <w:gridCol w:w="9191"/>
      </w:tblGrid>
      <w:tr w14:paraId="6AE19B6E">
        <w:tblPrEx>
          <w:tblBorders>
            <w:top w:val="thinThickMediumGap" w:color="auto" w:sz="24" w:space="0"/>
            <w:left w:val="thinThickMediumGap" w:color="auto" w:sz="24" w:space="0"/>
            <w:bottom w:val="thickThinMediumGap" w:color="auto" w:sz="24" w:space="0"/>
            <w:right w:val="thickThinMediumGap" w:color="auto" w:sz="24" w:space="0"/>
            <w:insideH w:val="none" w:color="auto" w:sz="0" w:space="0"/>
            <w:insideV w:val="none" w:color="auto" w:sz="0" w:space="0"/>
          </w:tblBorders>
          <w:tblCellMar>
            <w:top w:w="0" w:type="dxa"/>
            <w:left w:w="57" w:type="dxa"/>
            <w:bottom w:w="0" w:type="dxa"/>
            <w:right w:w="57" w:type="dxa"/>
          </w:tblCellMar>
        </w:tblPrEx>
        <w:trPr>
          <w:trHeight w:val="1426" w:hRule="atLeast"/>
        </w:trPr>
        <w:tc>
          <w:tcPr>
            <w:tcW w:w="5000" w:type="pct"/>
            <w:shd w:val="clear" w:color="auto" w:fill="FFFFFF"/>
          </w:tcPr>
          <w:p w14:paraId="6AE19B6D">
            <w:pPr>
              <w:snapToGrid w:val="0"/>
              <w:rPr>
                <w:lang w:eastAsia="zh-CN"/>
              </w:rPr>
            </w:pPr>
            <w:r>
              <w:rPr>
                <w:rFonts w:hint="eastAsia"/>
                <w:b/>
                <w:bCs/>
                <w:i/>
                <w:iCs/>
                <w:sz w:val="24"/>
                <w:szCs w:val="24"/>
                <w:lang w:eastAsia="zh-CN"/>
              </w:rPr>
              <w:t>本指南代表美国食品药品监督管理局（FDA）对该主题的当前看法。本文件不赋予任何人任何权利，对FDA或公众不具有约束力。如果替代方法满足适用的情形和法规 的要求，则贵司可使用替代方法。如需讨论替代方法，请联系标题页所列负责本指南的FDA工作人员或办公室。</w:t>
            </w:r>
          </w:p>
        </w:tc>
      </w:tr>
    </w:tbl>
    <w:p w14:paraId="6AE19B6F">
      <w:pPr>
        <w:pStyle w:val="16"/>
        <w:spacing w:before="120" w:after="120"/>
        <w:rPr>
          <w:lang w:eastAsia="zh-CN"/>
        </w:rPr>
      </w:pPr>
      <w:bookmarkStart w:id="3" w:name="bookmark4"/>
      <w:bookmarkStart w:id="4" w:name="_Toc97318812"/>
      <w:bookmarkStart w:id="5" w:name="bookmark3"/>
    </w:p>
    <w:p w14:paraId="6AE19B70">
      <w:pPr>
        <w:pStyle w:val="16"/>
        <w:spacing w:before="120" w:after="120" w:line="400" w:lineRule="exact"/>
        <w:rPr>
          <w:lang w:eastAsia="zh-CN"/>
        </w:rPr>
      </w:pPr>
      <w:r>
        <w:rPr>
          <w:lang w:eastAsia="zh-CN"/>
        </w:rPr>
        <w:t>I.</w:t>
      </w:r>
      <w:r>
        <w:rPr>
          <w:lang w:eastAsia="zh-CN"/>
        </w:rPr>
        <w:tab/>
      </w:r>
      <w:r>
        <w:rPr>
          <w:lang w:eastAsia="zh-CN"/>
        </w:rPr>
        <w:t>引言</w:t>
      </w:r>
      <w:bookmarkEnd w:id="3"/>
      <w:bookmarkEnd w:id="4"/>
      <w:bookmarkEnd w:id="5"/>
    </w:p>
    <w:p w14:paraId="6AE19B71">
      <w:pPr>
        <w:snapToGrid w:val="0"/>
        <w:spacing w:before="120" w:beforeLines="50" w:line="400" w:lineRule="exact"/>
        <w:jc w:val="both"/>
        <w:rPr>
          <w:sz w:val="24"/>
          <w:szCs w:val="24"/>
          <w:lang w:eastAsia="zh-CN"/>
        </w:rPr>
      </w:pPr>
      <w:r>
        <w:rPr>
          <w:sz w:val="24"/>
          <w:szCs w:val="24"/>
          <w:lang w:eastAsia="zh-CN"/>
        </w:rPr>
        <w:t>FDA制定本指</w:t>
      </w:r>
      <w:r>
        <w:rPr>
          <w:rFonts w:hint="eastAsia"/>
          <w:sz w:val="24"/>
          <w:szCs w:val="24"/>
          <w:lang w:eastAsia="zh-CN"/>
        </w:rPr>
        <w:t>南</w:t>
      </w:r>
      <w:r>
        <w:rPr>
          <w:sz w:val="24"/>
          <w:szCs w:val="24"/>
          <w:lang w:eastAsia="zh-CN"/>
        </w:rPr>
        <w:t>文件的目的是，为FDA审查者和行业人员提供更明确的信息，说明FDA在对某些医疗器械进行上市前审查的过程中决定获益-风险所考虑的主要因素。FDA认为，统一应用本指导文件中的因素将提高上市前审查过程的可预测性、一致性和透明度。</w:t>
      </w:r>
    </w:p>
    <w:p w14:paraId="6AE19B72">
      <w:pPr>
        <w:snapToGrid w:val="0"/>
        <w:spacing w:before="120" w:beforeLines="50" w:line="400" w:lineRule="exact"/>
        <w:jc w:val="both"/>
        <w:rPr>
          <w:sz w:val="24"/>
          <w:szCs w:val="24"/>
          <w:lang w:eastAsia="zh-CN"/>
        </w:rPr>
      </w:pPr>
      <w:r>
        <w:rPr>
          <w:sz w:val="24"/>
          <w:szCs w:val="24"/>
          <w:lang w:eastAsia="zh-CN"/>
        </w:rPr>
        <w:t>。</w:t>
      </w:r>
      <w:bookmarkStart w:id="6" w:name="_Hlk99545046"/>
      <w:r>
        <w:rPr>
          <w:sz w:val="24"/>
          <w:lang w:eastAsia="zh-CN"/>
        </w:rPr>
        <w:t>FDA指南文件，包括本指南，并未规定具有法律强制力的责任。相反，指南描述了</w:t>
      </w:r>
      <w:r>
        <w:rPr>
          <w:rFonts w:hint="eastAsia"/>
          <w:sz w:val="24"/>
          <w:lang w:eastAsia="zh-CN"/>
        </w:rPr>
        <w:t>F</w:t>
      </w:r>
      <w:r>
        <w:rPr>
          <w:sz w:val="24"/>
          <w:lang w:eastAsia="zh-CN"/>
        </w:rPr>
        <w:t>DA对该主题的当前看法，除非引用了具体监管或法定要求，否则应仅视为建议。</w:t>
      </w:r>
      <w:r>
        <w:rPr>
          <w:rFonts w:hint="eastAsia"/>
          <w:sz w:val="24"/>
          <w:lang w:eastAsia="zh-CN"/>
        </w:rPr>
        <w:t>F</w:t>
      </w:r>
      <w:r>
        <w:rPr>
          <w:sz w:val="24"/>
          <w:lang w:eastAsia="zh-CN"/>
        </w:rPr>
        <w:t>DA指南中使用的</w:t>
      </w:r>
      <w:r>
        <w:rPr>
          <w:rFonts w:ascii="宋体" w:hAnsi="宋体"/>
          <w:sz w:val="24"/>
          <w:lang w:eastAsia="zh-CN"/>
        </w:rPr>
        <w:t>“</w:t>
      </w:r>
      <w:r>
        <w:rPr>
          <w:rFonts w:hint="eastAsia"/>
          <w:i/>
          <w:sz w:val="24"/>
          <w:lang w:eastAsia="zh-CN"/>
        </w:rPr>
        <w:t>应该</w:t>
      </w:r>
      <w:r>
        <w:rPr>
          <w:i/>
          <w:sz w:val="24"/>
          <w:lang w:eastAsia="zh-CN"/>
        </w:rPr>
        <w:t>（should）</w:t>
      </w:r>
      <w:r>
        <w:rPr>
          <w:rFonts w:ascii="宋体" w:hAnsi="宋体"/>
          <w:sz w:val="24"/>
          <w:lang w:eastAsia="zh-CN"/>
        </w:rPr>
        <w:t>”</w:t>
      </w:r>
      <w:r>
        <w:rPr>
          <w:sz w:val="24"/>
          <w:lang w:eastAsia="zh-CN"/>
        </w:rPr>
        <w:t>一词指建议或推荐</w:t>
      </w:r>
      <w:r>
        <w:rPr>
          <w:sz w:val="24"/>
          <w:szCs w:val="24"/>
          <w:lang w:eastAsia="zh-CN"/>
        </w:rPr>
        <w:t>进行某一事项，并非强制要求</w:t>
      </w:r>
      <w:r>
        <w:rPr>
          <w:sz w:val="24"/>
          <w:lang w:eastAsia="zh-CN"/>
        </w:rPr>
        <w:t>。</w:t>
      </w:r>
      <w:bookmarkEnd w:id="6"/>
    </w:p>
    <w:p w14:paraId="6AE19B73">
      <w:pPr>
        <w:snapToGrid w:val="0"/>
        <w:spacing w:before="120" w:beforeLines="50" w:line="400" w:lineRule="exact"/>
        <w:jc w:val="both"/>
        <w:rPr>
          <w:sz w:val="24"/>
          <w:szCs w:val="24"/>
          <w:lang w:eastAsia="zh-CN"/>
        </w:rPr>
      </w:pPr>
    </w:p>
    <w:p w14:paraId="6AE19B74">
      <w:pPr>
        <w:pStyle w:val="16"/>
        <w:spacing w:before="120" w:after="120" w:line="400" w:lineRule="exact"/>
        <w:rPr>
          <w:lang w:eastAsia="zh-CN"/>
        </w:rPr>
      </w:pPr>
      <w:bookmarkStart w:id="7" w:name="bookmark5"/>
      <w:bookmarkStart w:id="8" w:name="bookmark6"/>
      <w:bookmarkStart w:id="9" w:name="_Toc97318813"/>
      <w:r>
        <w:rPr>
          <w:lang w:eastAsia="zh-CN"/>
        </w:rPr>
        <w:t>II.</w:t>
      </w:r>
      <w:r>
        <w:rPr>
          <w:lang w:eastAsia="zh-CN"/>
        </w:rPr>
        <w:tab/>
      </w:r>
      <w:r>
        <w:rPr>
          <w:lang w:eastAsia="zh-CN"/>
        </w:rPr>
        <w:t>范围</w:t>
      </w:r>
      <w:bookmarkEnd w:id="7"/>
      <w:bookmarkEnd w:id="8"/>
      <w:bookmarkEnd w:id="9"/>
    </w:p>
    <w:p w14:paraId="6AE19B75">
      <w:pPr>
        <w:snapToGrid w:val="0"/>
        <w:spacing w:before="120" w:beforeLines="50" w:line="400" w:lineRule="exact"/>
        <w:jc w:val="both"/>
        <w:rPr>
          <w:sz w:val="24"/>
          <w:szCs w:val="24"/>
          <w:lang w:eastAsia="zh-CN"/>
        </w:rPr>
      </w:pPr>
      <w:r>
        <w:rPr>
          <w:rFonts w:hint="eastAsia"/>
          <w:sz w:val="24"/>
          <w:szCs w:val="24"/>
          <w:lang w:eastAsia="zh-CN"/>
        </w:rPr>
        <w:t>本指南文件解释了</w:t>
      </w:r>
      <w:r>
        <w:rPr>
          <w:sz w:val="24"/>
          <w:szCs w:val="24"/>
          <w:lang w:eastAsia="zh-CN"/>
        </w:rPr>
        <w:t>FDA</w:t>
      </w:r>
      <w:r>
        <w:rPr>
          <w:rFonts w:hint="eastAsia"/>
          <w:sz w:val="24"/>
          <w:szCs w:val="24"/>
          <w:lang w:eastAsia="zh-CN"/>
        </w:rPr>
        <w:t>在对某些医疗器械进行上市前审查过程中决定获益</w:t>
      </w:r>
      <w:r>
        <w:rPr>
          <w:sz w:val="24"/>
          <w:szCs w:val="24"/>
          <w:lang w:eastAsia="zh-CN"/>
        </w:rPr>
        <w:t>-</w:t>
      </w:r>
      <w:r>
        <w:rPr>
          <w:rFonts w:hint="eastAsia"/>
          <w:sz w:val="24"/>
          <w:szCs w:val="24"/>
          <w:lang w:eastAsia="zh-CN"/>
        </w:rPr>
        <w:t>风险所考虑的主要因素</w:t>
      </w:r>
      <w:r>
        <w:rPr>
          <w:sz w:val="24"/>
          <w:szCs w:val="24"/>
          <w:lang w:eastAsia="zh-CN"/>
        </w:rPr>
        <w:t>。本指南所讨论的过程适用于受上市前批准（PMA）申请或新分类申请约束的器械。本指南适用于诊断和治疗器械。本指南中讨论的概念适用于从医疗器械设计到上市的整个开发过程。同样，在设计、非临床试验、预提交和临床试验用器械豁免（IDE）以及PMA申请或新分类申请的</w:t>
      </w:r>
      <w:r>
        <w:rPr>
          <w:rFonts w:hint="eastAsia"/>
          <w:sz w:val="24"/>
          <w:szCs w:val="24"/>
          <w:lang w:eastAsia="zh-CN"/>
        </w:rPr>
        <w:t>汇编</w:t>
      </w:r>
      <w:r>
        <w:rPr>
          <w:sz w:val="24"/>
          <w:szCs w:val="24"/>
          <w:lang w:eastAsia="zh-CN"/>
        </w:rPr>
        <w:t>和评估期间，应该考虑此处的获益-风险因素。尽管指南无约束性，本文所述的概念和因素通常解释了FDA在上市前审查过程中如何确定获益-风险。本指南与ISO 14971的</w:t>
      </w:r>
      <w:r>
        <w:rPr>
          <w:rFonts w:hint="eastAsia"/>
          <w:sz w:val="24"/>
          <w:szCs w:val="24"/>
          <w:lang w:eastAsia="zh-CN"/>
        </w:rPr>
        <w:t>重叠之处</w:t>
      </w:r>
      <w:r>
        <w:rPr>
          <w:sz w:val="24"/>
          <w:szCs w:val="24"/>
          <w:lang w:eastAsia="zh-CN"/>
        </w:rPr>
        <w:t>的讨论见</w:t>
      </w:r>
      <w:r>
        <w:fldChar w:fldCharType="begin"/>
      </w:r>
      <w:r>
        <w:instrText xml:space="preserve"> HYPERLINK \l "bookmark50" \o "当前文件" \h </w:instrText>
      </w:r>
      <w:r>
        <w:fldChar w:fldCharType="separate"/>
      </w:r>
      <w:r>
        <w:rPr>
          <w:color w:val="0070C0"/>
          <w:sz w:val="24"/>
          <w:szCs w:val="24"/>
          <w:u w:val="single"/>
          <w:lang w:eastAsia="zh-CN"/>
        </w:rPr>
        <w:t>附录A</w:t>
      </w:r>
      <w:r>
        <w:rPr>
          <w:sz w:val="24"/>
          <w:szCs w:val="24"/>
          <w:lang w:eastAsia="zh-CN"/>
        </w:rPr>
        <w:t>。</w:t>
      </w:r>
      <w:r>
        <w:rPr>
          <w:sz w:val="24"/>
          <w:szCs w:val="24"/>
          <w:lang w:eastAsia="zh-CN"/>
        </w:rPr>
        <w:fldChar w:fldCharType="end"/>
      </w:r>
      <w:r>
        <w:rPr>
          <w:sz w:val="24"/>
          <w:szCs w:val="24"/>
          <w:lang w:eastAsia="zh-CN"/>
        </w:rPr>
        <w:br w:type="page"/>
      </w:r>
    </w:p>
    <w:p w14:paraId="6AE19B76">
      <w:pPr>
        <w:pStyle w:val="16"/>
        <w:spacing w:before="120" w:after="120" w:line="400" w:lineRule="exact"/>
        <w:rPr>
          <w:lang w:eastAsia="zh-CN"/>
        </w:rPr>
      </w:pPr>
      <w:bookmarkStart w:id="10" w:name="bookmark7"/>
      <w:bookmarkStart w:id="11" w:name="_Toc97318814"/>
      <w:bookmarkStart w:id="12" w:name="bookmark9"/>
      <w:bookmarkStart w:id="13" w:name="bookmark8"/>
      <w:r>
        <w:rPr>
          <w:lang w:eastAsia="zh-CN"/>
        </w:rPr>
        <w:t>III.</w:t>
      </w:r>
      <w:r>
        <w:rPr>
          <w:lang w:eastAsia="zh-CN"/>
        </w:rPr>
        <w:tab/>
      </w:r>
      <w:r>
        <w:rPr>
          <w:lang w:eastAsia="zh-CN"/>
        </w:rPr>
        <w:t>背景</w:t>
      </w:r>
      <w:bookmarkEnd w:id="10"/>
      <w:bookmarkEnd w:id="11"/>
      <w:bookmarkEnd w:id="12"/>
      <w:bookmarkEnd w:id="13"/>
    </w:p>
    <w:p w14:paraId="6AE19B77">
      <w:pPr>
        <w:pStyle w:val="17"/>
        <w:spacing w:before="120" w:after="120" w:line="400" w:lineRule="exact"/>
        <w:rPr>
          <w:lang w:eastAsia="zh-CN"/>
        </w:rPr>
      </w:pPr>
      <w:bookmarkStart w:id="14" w:name="_Toc97318815"/>
      <w:bookmarkStart w:id="15" w:name="bookmark10"/>
      <w:r>
        <w:rPr>
          <w:lang w:eastAsia="zh-CN"/>
        </w:rPr>
        <w:t>A.</w:t>
      </w:r>
      <w:r>
        <w:rPr>
          <w:lang w:eastAsia="zh-CN"/>
        </w:rPr>
        <w:tab/>
      </w:r>
      <w:r>
        <w:rPr>
          <w:lang w:eastAsia="zh-CN"/>
        </w:rPr>
        <w:t>安全性和有效性的法定标准</w:t>
      </w:r>
      <w:bookmarkEnd w:id="14"/>
      <w:bookmarkEnd w:id="15"/>
    </w:p>
    <w:p w14:paraId="6AE19B78">
      <w:pPr>
        <w:snapToGrid w:val="0"/>
        <w:spacing w:before="120" w:beforeLines="50" w:line="400" w:lineRule="exact"/>
        <w:jc w:val="both"/>
        <w:rPr>
          <w:lang w:eastAsia="zh-CN"/>
        </w:rPr>
      </w:pPr>
      <w:r>
        <w:rPr>
          <w:sz w:val="24"/>
          <w:szCs w:val="24"/>
          <w:lang w:eastAsia="zh-CN"/>
        </w:rPr>
        <w:t>根据联邦食品、药品和化妆品法案（</w:t>
      </w:r>
      <w:r>
        <w:rPr>
          <w:rFonts w:ascii="宋体" w:hAnsi="宋体"/>
          <w:sz w:val="24"/>
          <w:szCs w:val="24"/>
          <w:lang w:eastAsia="zh-CN"/>
        </w:rPr>
        <w:t>“</w:t>
      </w:r>
      <w:r>
        <w:rPr>
          <w:sz w:val="24"/>
          <w:szCs w:val="24"/>
          <w:lang w:eastAsia="zh-CN"/>
        </w:rPr>
        <w:t>《FD&amp;C法案》</w:t>
      </w:r>
      <w:r>
        <w:rPr>
          <w:rFonts w:ascii="宋体" w:hAnsi="宋体"/>
          <w:sz w:val="24"/>
          <w:szCs w:val="24"/>
          <w:lang w:eastAsia="zh-CN"/>
        </w:rPr>
        <w:t>”</w:t>
      </w:r>
      <w:r>
        <w:rPr>
          <w:sz w:val="24"/>
          <w:szCs w:val="24"/>
          <w:lang w:eastAsia="zh-CN"/>
        </w:rPr>
        <w:t>）的第513(a)节，FDA通过在其他相关因素中</w:t>
      </w:r>
      <w:r>
        <w:rPr>
          <w:rFonts w:ascii="宋体" w:hAnsi="宋体"/>
          <w:sz w:val="24"/>
          <w:szCs w:val="24"/>
          <w:lang w:eastAsia="zh-CN"/>
        </w:rPr>
        <w:t>“</w:t>
      </w:r>
      <w:r>
        <w:rPr>
          <w:sz w:val="24"/>
          <w:szCs w:val="24"/>
          <w:lang w:eastAsia="zh-CN"/>
        </w:rPr>
        <w:t>对使用器械的任何可能的健康获益与任何可能的任何可能的损伤或疾病风险加以权衡</w:t>
      </w:r>
      <w:r>
        <w:rPr>
          <w:rFonts w:ascii="宋体" w:hAnsi="宋体"/>
          <w:sz w:val="24"/>
          <w:szCs w:val="24"/>
          <w:lang w:eastAsia="zh-CN"/>
        </w:rPr>
        <w:t>”</w:t>
      </w:r>
      <w:r>
        <w:rPr>
          <w:rFonts w:hint="eastAsia" w:ascii="宋体" w:hAnsi="宋体"/>
          <w:sz w:val="24"/>
          <w:szCs w:val="24"/>
          <w:lang w:eastAsia="zh-CN"/>
        </w:rPr>
        <w:t>，</w:t>
      </w:r>
      <w:r>
        <w:rPr>
          <w:sz w:val="24"/>
          <w:szCs w:val="24"/>
          <w:lang w:eastAsia="zh-CN"/>
        </w:rPr>
        <w:t>确定PMA申请是否</w:t>
      </w:r>
      <w:r>
        <w:rPr>
          <w:rFonts w:ascii="宋体" w:hAnsi="宋体"/>
          <w:sz w:val="24"/>
          <w:szCs w:val="24"/>
          <w:lang w:eastAsia="zh-CN"/>
        </w:rPr>
        <w:t>“</w:t>
      </w:r>
      <w:r>
        <w:rPr>
          <w:sz w:val="24"/>
          <w:szCs w:val="24"/>
          <w:lang w:eastAsia="zh-CN"/>
        </w:rPr>
        <w:t>能够合理保证安全性和有效性</w:t>
      </w:r>
      <w:r>
        <w:rPr>
          <w:rFonts w:ascii="宋体" w:hAnsi="宋体"/>
          <w:sz w:val="24"/>
          <w:szCs w:val="24"/>
          <w:lang w:eastAsia="zh-CN"/>
        </w:rPr>
        <w:t>”</w:t>
      </w:r>
      <w:r>
        <w:rPr>
          <w:sz w:val="24"/>
          <w:szCs w:val="24"/>
          <w:lang w:eastAsia="zh-CN"/>
        </w:rPr>
        <w:t>。</w:t>
      </w:r>
      <w:r>
        <w:fldChar w:fldCharType="begin"/>
      </w:r>
      <w:r>
        <w:instrText xml:space="preserve"> HYPERLINK \l "bookmark11" \o "当前文件" \h </w:instrText>
      </w:r>
      <w:r>
        <w:fldChar w:fldCharType="separate"/>
      </w:r>
      <w:r>
        <w:rPr>
          <w:sz w:val="24"/>
          <w:szCs w:val="24"/>
          <w:vertAlign w:val="superscript"/>
          <w:lang w:eastAsia="zh-CN"/>
        </w:rPr>
        <w:t>1</w:t>
      </w:r>
      <w:r>
        <w:rPr>
          <w:sz w:val="24"/>
          <w:szCs w:val="24"/>
          <w:lang w:eastAsia="zh-CN"/>
        </w:rPr>
        <w:t xml:space="preserve"> </w:t>
      </w:r>
      <w:r>
        <w:rPr>
          <w:sz w:val="24"/>
          <w:szCs w:val="24"/>
          <w:lang w:eastAsia="zh-CN"/>
        </w:rPr>
        <w:fldChar w:fldCharType="end"/>
      </w:r>
      <w:r>
        <w:rPr>
          <w:sz w:val="24"/>
          <w:szCs w:val="24"/>
          <w:lang w:eastAsia="zh-CN"/>
        </w:rPr>
        <w:t>为帮助完成该过程，PMA申办者提交有效的科学证据，在适当情况下包括一项或更多临床研究，以便FDA审查确定</w:t>
      </w:r>
      <w:r>
        <w:rPr>
          <w:rFonts w:ascii="宋体" w:hAnsi="宋体"/>
          <w:sz w:val="24"/>
          <w:szCs w:val="24"/>
          <w:lang w:eastAsia="zh-CN"/>
        </w:rPr>
        <w:t>“</w:t>
      </w:r>
      <w:r>
        <w:rPr>
          <w:sz w:val="24"/>
          <w:szCs w:val="24"/>
          <w:lang w:eastAsia="zh-CN"/>
        </w:rPr>
        <w:t>器械是否具有其所声称的或所代表的使用条件下该器械的标签所规定、推荐或建议的效果</w:t>
      </w:r>
      <w:r>
        <w:rPr>
          <w:rFonts w:ascii="宋体" w:hAnsi="宋体"/>
          <w:sz w:val="24"/>
          <w:szCs w:val="24"/>
          <w:lang w:eastAsia="zh-CN"/>
        </w:rPr>
        <w:t>”</w:t>
      </w:r>
      <w:r>
        <w:rPr>
          <w:sz w:val="24"/>
          <w:szCs w:val="24"/>
          <w:lang w:eastAsia="zh-CN"/>
        </w:rPr>
        <w:t>。</w:t>
      </w:r>
      <w:r>
        <w:fldChar w:fldCharType="begin"/>
      </w:r>
      <w:r>
        <w:instrText xml:space="preserve"> HYPERLINK \l "bookmark12" \o "当前文件" \h </w:instrText>
      </w:r>
      <w:r>
        <w:fldChar w:fldCharType="separate"/>
      </w:r>
      <w:r>
        <w:rPr>
          <w:sz w:val="24"/>
          <w:szCs w:val="24"/>
          <w:vertAlign w:val="superscript"/>
          <w:lang w:eastAsia="zh-CN"/>
        </w:rPr>
        <w:t>2</w:t>
      </w:r>
      <w:r>
        <w:rPr>
          <w:sz w:val="24"/>
          <w:szCs w:val="24"/>
          <w:vertAlign w:val="superscript"/>
          <w:lang w:eastAsia="zh-CN"/>
        </w:rPr>
        <w:fldChar w:fldCharType="end"/>
      </w:r>
      <w:r>
        <w:rPr>
          <w:sz w:val="24"/>
          <w:szCs w:val="24"/>
          <w:lang w:eastAsia="zh-CN"/>
        </w:rPr>
        <w:t>FDA工作人员审查在PMA申请中提交的数据，并根据多个因素确定数据是否支持申办者根据器械具有临床意义的结果</w:t>
      </w:r>
      <w:r>
        <w:rPr>
          <w:rFonts w:hint="eastAsia"/>
          <w:sz w:val="24"/>
          <w:szCs w:val="24"/>
          <w:lang w:eastAsia="zh-CN"/>
        </w:rPr>
        <w:t>所</w:t>
      </w:r>
      <w:r>
        <w:rPr>
          <w:sz w:val="24"/>
          <w:szCs w:val="24"/>
          <w:lang w:eastAsia="zh-CN"/>
        </w:rPr>
        <w:t>做出的声明（即预期用途和适应症），数据分析是否证明器械可能的</w:t>
      </w:r>
      <w:r>
        <w:fldChar w:fldCharType="begin"/>
      </w:r>
      <w:r>
        <w:instrText xml:space="preserve"> HYPERLINK \l "bookmark13" \o "当前文件" \h </w:instrText>
      </w:r>
      <w:r>
        <w:fldChar w:fldCharType="separate"/>
      </w:r>
      <w:r>
        <w:rPr>
          <w:sz w:val="24"/>
          <w:szCs w:val="24"/>
          <w:vertAlign w:val="superscript"/>
          <w:lang w:eastAsia="zh-CN"/>
        </w:rPr>
        <w:t>3</w:t>
      </w:r>
      <w:r>
        <w:rPr>
          <w:sz w:val="24"/>
          <w:szCs w:val="24"/>
          <w:vertAlign w:val="superscript"/>
          <w:lang w:eastAsia="zh-CN"/>
        </w:rPr>
        <w:fldChar w:fldCharType="end"/>
      </w:r>
      <w:r>
        <w:rPr>
          <w:sz w:val="24"/>
          <w:szCs w:val="24"/>
          <w:lang w:eastAsia="zh-CN"/>
        </w:rPr>
        <w:t>获益超过其可能的风险。平衡可能的获益与可能的风险是FDA确定是否能够合理保证安全性和有效性的重要</w:t>
      </w:r>
      <w:r>
        <w:rPr>
          <w:rFonts w:hint="eastAsia"/>
          <w:sz w:val="24"/>
          <w:szCs w:val="24"/>
          <w:lang w:eastAsia="zh-CN"/>
        </w:rPr>
        <w:t>举措</w:t>
      </w:r>
      <w:r>
        <w:rPr>
          <w:sz w:val="24"/>
          <w:szCs w:val="24"/>
          <w:lang w:eastAsia="zh-CN"/>
        </w:rPr>
        <w:t>。</w:t>
      </w:r>
      <w:r>
        <w:fldChar w:fldCharType="begin"/>
      </w:r>
      <w:r>
        <w:instrText xml:space="preserve"> HYPERLINK \l "bookmark16" \o "当前文件" \h </w:instrText>
      </w:r>
      <w:r>
        <w:fldChar w:fldCharType="separate"/>
      </w:r>
      <w:r>
        <w:rPr>
          <w:sz w:val="24"/>
          <w:szCs w:val="24"/>
          <w:vertAlign w:val="superscript"/>
          <w:lang w:eastAsia="zh-CN"/>
        </w:rPr>
        <w:t>4</w:t>
      </w:r>
      <w:r>
        <w:rPr>
          <w:sz w:val="24"/>
          <w:szCs w:val="24"/>
          <w:vertAlign w:val="superscript"/>
          <w:lang w:eastAsia="zh-CN"/>
        </w:rPr>
        <w:fldChar w:fldCharType="end"/>
      </w:r>
      <w:r>
        <w:rPr>
          <w:sz w:val="24"/>
          <w:szCs w:val="24"/>
          <w:lang w:eastAsia="zh-CN"/>
        </w:rPr>
        <w:t>其他注意事项包括器械的制造符合FDA的质量体系要求。</w:t>
      </w:r>
      <w:r>
        <w:fldChar w:fldCharType="begin"/>
      </w:r>
      <w:r>
        <w:instrText xml:space="preserve"> HYPERLINK \l "bookmark17" \o "当前文件" \h </w:instrText>
      </w:r>
      <w:r>
        <w:fldChar w:fldCharType="separate"/>
      </w:r>
      <w:r>
        <w:rPr>
          <w:sz w:val="24"/>
          <w:szCs w:val="24"/>
          <w:vertAlign w:val="superscript"/>
          <w:lang w:eastAsia="zh-CN"/>
        </w:rPr>
        <w:t>5</w:t>
      </w:r>
      <w:r>
        <w:rPr>
          <w:sz w:val="24"/>
          <w:szCs w:val="24"/>
          <w:vertAlign w:val="superscript"/>
          <w:lang w:eastAsia="zh-CN"/>
        </w:rPr>
        <w:fldChar w:fldCharType="end"/>
      </w:r>
    </w:p>
    <w:p w14:paraId="6AE19B79">
      <w:pPr>
        <w:snapToGrid w:val="0"/>
        <w:spacing w:before="120" w:beforeLines="50"/>
        <w:jc w:val="both"/>
        <w:rPr>
          <w:lang w:eastAsia="zh-CN"/>
        </w:rPr>
      </w:pPr>
    </w:p>
    <w:p w14:paraId="6AE19B7A">
      <w:pPr>
        <w:snapToGrid w:val="0"/>
        <w:spacing w:before="120" w:beforeLines="50"/>
        <w:jc w:val="both"/>
        <w:rPr>
          <w:lang w:eastAsia="zh-CN"/>
        </w:rPr>
      </w:pPr>
    </w:p>
    <w:p w14:paraId="6AE19B7B">
      <w:pPr>
        <w:snapToGrid w:val="0"/>
        <w:spacing w:before="120" w:beforeLines="50"/>
        <w:jc w:val="both"/>
        <w:rPr>
          <w:lang w:eastAsia="zh-CN"/>
        </w:rPr>
      </w:pPr>
    </w:p>
    <w:p w14:paraId="6AE19B7C">
      <w:pPr>
        <w:snapToGrid w:val="0"/>
        <w:spacing w:before="120" w:beforeLines="50"/>
        <w:jc w:val="both"/>
        <w:rPr>
          <w:lang w:eastAsia="zh-CN"/>
        </w:rPr>
      </w:pPr>
    </w:p>
    <w:p w14:paraId="6AE19B7D">
      <w:pPr>
        <w:snapToGrid w:val="0"/>
        <w:spacing w:before="120" w:beforeLines="50"/>
        <w:jc w:val="both"/>
        <w:rPr>
          <w:lang w:eastAsia="zh-CN"/>
        </w:rPr>
      </w:pPr>
    </w:p>
    <w:p w14:paraId="6AE19B7E">
      <w:pPr>
        <w:snapToGrid w:val="0"/>
        <w:spacing w:before="120" w:beforeLines="50"/>
        <w:jc w:val="both"/>
        <w:rPr>
          <w:sz w:val="24"/>
          <w:szCs w:val="24"/>
          <w:lang w:eastAsia="zh-CN"/>
        </w:rPr>
      </w:pPr>
    </w:p>
    <w:p w14:paraId="6AE19B7F">
      <w:pPr>
        <w:snapToGrid w:val="0"/>
        <w:spacing w:before="120" w:beforeLines="50"/>
        <w:jc w:val="both"/>
        <w:rPr>
          <w:sz w:val="24"/>
          <w:szCs w:val="24"/>
          <w:lang w:eastAsia="zh-CN"/>
        </w:rPr>
      </w:pPr>
    </w:p>
    <w:p w14:paraId="6AE19B80">
      <w:pPr>
        <w:snapToGrid w:val="0"/>
        <w:spacing w:before="120" w:beforeLines="50"/>
        <w:jc w:val="both"/>
        <w:rPr>
          <w:sz w:val="24"/>
          <w:szCs w:val="24"/>
          <w:lang w:eastAsia="zh-CN"/>
        </w:rPr>
      </w:pPr>
    </w:p>
    <w:p w14:paraId="6AE19B81">
      <w:pPr>
        <w:snapToGrid w:val="0"/>
        <w:spacing w:before="120" w:beforeLines="50"/>
        <w:jc w:val="both"/>
        <w:rPr>
          <w:sz w:val="24"/>
          <w:szCs w:val="24"/>
          <w:lang w:eastAsia="zh-CN"/>
        </w:rPr>
      </w:pPr>
    </w:p>
    <w:p w14:paraId="6AE19B82">
      <w:pPr>
        <w:snapToGrid w:val="0"/>
        <w:spacing w:before="120" w:beforeLines="50"/>
        <w:jc w:val="both"/>
        <w:rPr>
          <w:sz w:val="24"/>
          <w:szCs w:val="24"/>
          <w:lang w:eastAsia="zh-CN"/>
        </w:rPr>
      </w:pPr>
    </w:p>
    <w:p w14:paraId="6AE19B83">
      <w:pPr>
        <w:snapToGrid w:val="0"/>
        <w:spacing w:before="120" w:beforeLines="50"/>
        <w:jc w:val="both"/>
        <w:rPr>
          <w:sz w:val="24"/>
          <w:szCs w:val="24"/>
          <w:lang w:eastAsia="zh-CN"/>
        </w:rPr>
      </w:pPr>
    </w:p>
    <w:p w14:paraId="6AE19B84">
      <w:pPr>
        <w:snapToGrid w:val="0"/>
        <w:spacing w:before="120" w:beforeLines="50"/>
        <w:jc w:val="both"/>
        <w:rPr>
          <w:sz w:val="18"/>
          <w:szCs w:val="18"/>
          <w:lang w:eastAsia="zh-CN"/>
        </w:rPr>
      </w:pPr>
      <w:r>
        <w:rPr>
          <w:sz w:val="18"/>
          <w:szCs w:val="18"/>
          <w:lang w:eastAsia="zh-CN"/>
        </w:rPr>
        <w:t>_______________________</w:t>
      </w:r>
    </w:p>
    <w:p w14:paraId="6AE19B85">
      <w:pPr>
        <w:tabs>
          <w:tab w:val="left" w:pos="120"/>
        </w:tabs>
        <w:snapToGrid w:val="0"/>
        <w:spacing w:before="120" w:beforeLines="50"/>
        <w:jc w:val="both"/>
        <w:rPr>
          <w:sz w:val="18"/>
          <w:szCs w:val="18"/>
          <w:lang w:eastAsia="zh-CN"/>
        </w:rPr>
      </w:pPr>
      <w:bookmarkStart w:id="16" w:name="bookmark12"/>
      <w:bookmarkStart w:id="17" w:name="bookmark11"/>
      <w:r>
        <w:rPr>
          <w:sz w:val="18"/>
          <w:szCs w:val="18"/>
          <w:vertAlign w:val="superscript"/>
          <w:lang w:eastAsia="zh-CN"/>
        </w:rPr>
        <w:t>1</w:t>
      </w:r>
      <w:r>
        <w:rPr>
          <w:sz w:val="18"/>
          <w:szCs w:val="18"/>
          <w:lang w:eastAsia="zh-CN"/>
        </w:rPr>
        <w:tab/>
      </w:r>
      <w:r>
        <w:rPr>
          <w:sz w:val="18"/>
          <w:szCs w:val="18"/>
          <w:lang w:eastAsia="zh-CN"/>
        </w:rPr>
        <w:t>除第513(a)节以外，21 CFR 860.7规定了确定器械安全性和有效性的标准。第(b)(1)节指出，</w:t>
      </w:r>
      <w:r>
        <w:rPr>
          <w:rFonts w:ascii="宋体" w:hAnsi="宋体"/>
          <w:sz w:val="18"/>
          <w:szCs w:val="18"/>
          <w:lang w:eastAsia="zh-CN"/>
        </w:rPr>
        <w:t>“</w:t>
      </w:r>
      <w:r>
        <w:rPr>
          <w:sz w:val="18"/>
          <w:szCs w:val="18"/>
          <w:lang w:eastAsia="zh-CN"/>
        </w:rPr>
        <w:t>在确定器械的安全性和有效性期间，委员会和分类专家组将考虑其他相关因素中的以下因素。将使用器械可能的健康获益与可能的损伤或疾病相权衡</w:t>
      </w:r>
      <w:r>
        <w:rPr>
          <w:rFonts w:ascii="宋体" w:hAnsi="宋体"/>
          <w:sz w:val="18"/>
          <w:szCs w:val="18"/>
          <w:lang w:eastAsia="zh-CN"/>
        </w:rPr>
        <w:t>”</w:t>
      </w:r>
      <w:r>
        <w:rPr>
          <w:sz w:val="18"/>
          <w:szCs w:val="18"/>
          <w:lang w:eastAsia="zh-CN"/>
        </w:rPr>
        <w:t>（21 CFR 860.7(b)）。</w:t>
      </w:r>
      <w:r>
        <w:rPr>
          <w:rFonts w:ascii="宋体" w:hAnsi="宋体"/>
          <w:sz w:val="18"/>
          <w:szCs w:val="18"/>
          <w:lang w:eastAsia="zh-CN"/>
        </w:rPr>
        <w:t>“</w:t>
      </w:r>
      <w:r>
        <w:rPr>
          <w:rFonts w:hint="eastAsia"/>
          <w:sz w:val="18"/>
          <w:szCs w:val="18"/>
          <w:lang w:eastAsia="zh-CN"/>
        </w:rPr>
        <w:t>F</w:t>
      </w:r>
      <w:r>
        <w:rPr>
          <w:sz w:val="18"/>
          <w:szCs w:val="18"/>
          <w:lang w:eastAsia="zh-CN"/>
        </w:rPr>
        <w:t>DA仅</w:t>
      </w:r>
      <w:r>
        <w:rPr>
          <w:rFonts w:hint="eastAsia"/>
          <w:sz w:val="18"/>
          <w:szCs w:val="18"/>
          <w:lang w:eastAsia="zh-CN"/>
        </w:rPr>
        <w:t>根据</w:t>
      </w:r>
      <w:r>
        <w:rPr>
          <w:sz w:val="18"/>
          <w:szCs w:val="18"/>
          <w:lang w:eastAsia="zh-CN"/>
        </w:rPr>
        <w:t>有效的科学证据</w:t>
      </w:r>
      <w:r>
        <w:rPr>
          <w:rFonts w:ascii="宋体" w:hAnsi="宋体"/>
          <w:sz w:val="18"/>
          <w:szCs w:val="18"/>
          <w:lang w:eastAsia="zh-CN"/>
        </w:rPr>
        <w:t>”</w:t>
      </w:r>
      <w:r>
        <w:rPr>
          <w:sz w:val="18"/>
          <w:szCs w:val="18"/>
          <w:lang w:eastAsia="zh-CN"/>
        </w:rPr>
        <w:t>做出该决定（21 CFR 860.7(c)(1)）。有效科学证据定义为</w:t>
      </w:r>
      <w:r>
        <w:rPr>
          <w:rFonts w:ascii="宋体" w:hAnsi="宋体"/>
          <w:sz w:val="18"/>
          <w:szCs w:val="18"/>
          <w:lang w:eastAsia="zh-CN"/>
        </w:rPr>
        <w:t>“</w:t>
      </w:r>
      <w:r>
        <w:rPr>
          <w:sz w:val="18"/>
          <w:szCs w:val="18"/>
          <w:lang w:eastAsia="zh-CN"/>
        </w:rPr>
        <w:t>来自充分对照的研究（尤其是对照研究）、无匹配对照的研究和客观试验、由合格专家</w:t>
      </w:r>
      <w:r>
        <w:rPr>
          <w:rFonts w:hint="eastAsia"/>
          <w:sz w:val="18"/>
          <w:szCs w:val="18"/>
          <w:lang w:eastAsia="zh-CN"/>
        </w:rPr>
        <w:t>得出</w:t>
      </w:r>
      <w:r>
        <w:rPr>
          <w:sz w:val="18"/>
          <w:szCs w:val="18"/>
          <w:lang w:eastAsia="zh-CN"/>
        </w:rPr>
        <w:t>的证据完善的病史以及已上市器械的重要人类经验报告，合格专家能够据此公正合理地得出在使用条件下能够合理保证器械安全性和有效性的结论的证据</w:t>
      </w:r>
      <w:r>
        <w:rPr>
          <w:rFonts w:ascii="宋体" w:hAnsi="宋体"/>
          <w:sz w:val="18"/>
          <w:szCs w:val="18"/>
          <w:lang w:eastAsia="zh-CN"/>
        </w:rPr>
        <w:t>”</w:t>
      </w:r>
      <w:r>
        <w:rPr>
          <w:sz w:val="18"/>
          <w:szCs w:val="18"/>
          <w:lang w:eastAsia="zh-CN"/>
        </w:rPr>
        <w:t>（21 CFR 860.7(c)(2)）。当</w:t>
      </w:r>
      <w:r>
        <w:rPr>
          <w:rFonts w:ascii="宋体" w:hAnsi="宋体"/>
          <w:sz w:val="18"/>
          <w:szCs w:val="18"/>
          <w:lang w:eastAsia="zh-CN"/>
        </w:rPr>
        <w:t>“</w:t>
      </w:r>
      <w:r>
        <w:rPr>
          <w:sz w:val="18"/>
          <w:szCs w:val="18"/>
          <w:lang w:eastAsia="zh-CN"/>
        </w:rPr>
        <w:t>根据有效科学证据确定可能的获益超过任何可能的风险</w:t>
      </w:r>
      <w:r>
        <w:rPr>
          <w:rFonts w:ascii="宋体" w:hAnsi="宋体"/>
          <w:sz w:val="18"/>
          <w:szCs w:val="18"/>
          <w:lang w:eastAsia="zh-CN"/>
        </w:rPr>
        <w:t>”</w:t>
      </w:r>
      <w:r>
        <w:rPr>
          <w:sz w:val="18"/>
          <w:szCs w:val="18"/>
          <w:lang w:eastAsia="zh-CN"/>
        </w:rPr>
        <w:t>时，能够合理保证安全性，可以通过</w:t>
      </w:r>
      <w:r>
        <w:rPr>
          <w:rFonts w:ascii="宋体" w:hAnsi="宋体"/>
          <w:sz w:val="18"/>
          <w:szCs w:val="18"/>
          <w:lang w:eastAsia="zh-CN"/>
        </w:rPr>
        <w:t>“</w:t>
      </w:r>
      <w:r>
        <w:rPr>
          <w:sz w:val="18"/>
          <w:szCs w:val="18"/>
          <w:lang w:eastAsia="zh-CN"/>
        </w:rPr>
        <w:t>将器械用于其预期用途和使用条件不会产生不</w:t>
      </w:r>
      <w:r>
        <w:rPr>
          <w:rFonts w:hint="eastAsia"/>
          <w:sz w:val="18"/>
          <w:szCs w:val="18"/>
          <w:lang w:eastAsia="zh-CN"/>
        </w:rPr>
        <w:t>当</w:t>
      </w:r>
      <w:r>
        <w:rPr>
          <w:sz w:val="18"/>
          <w:szCs w:val="18"/>
          <w:lang w:eastAsia="zh-CN"/>
        </w:rPr>
        <w:t>的疾病或损伤风险</w:t>
      </w:r>
      <w:r>
        <w:rPr>
          <w:rFonts w:ascii="宋体" w:hAnsi="宋体"/>
          <w:sz w:val="18"/>
          <w:szCs w:val="18"/>
          <w:lang w:eastAsia="zh-CN"/>
        </w:rPr>
        <w:t>”</w:t>
      </w:r>
      <w:r>
        <w:rPr>
          <w:sz w:val="18"/>
          <w:szCs w:val="18"/>
          <w:lang w:eastAsia="zh-CN"/>
        </w:rPr>
        <w:t>加以证明（21 CFR 860.7(d)(1)）。同样，当</w:t>
      </w:r>
      <w:r>
        <w:rPr>
          <w:rFonts w:ascii="宋体" w:hAnsi="宋体"/>
          <w:sz w:val="18"/>
          <w:szCs w:val="18"/>
          <w:lang w:eastAsia="zh-CN"/>
        </w:rPr>
        <w:t>“</w:t>
      </w:r>
      <w:r>
        <w:rPr>
          <w:sz w:val="18"/>
          <w:szCs w:val="18"/>
          <w:lang w:eastAsia="zh-CN"/>
        </w:rPr>
        <w:t>根据有效的科学证据确定将器械用于其预期用途可获得具有临床意义的结果</w:t>
      </w:r>
      <w:r>
        <w:rPr>
          <w:rFonts w:ascii="宋体" w:hAnsi="宋体"/>
          <w:sz w:val="18"/>
          <w:szCs w:val="18"/>
          <w:lang w:eastAsia="zh-CN"/>
        </w:rPr>
        <w:t>”</w:t>
      </w:r>
      <w:r>
        <w:rPr>
          <w:sz w:val="18"/>
          <w:szCs w:val="18"/>
          <w:lang w:eastAsia="zh-CN"/>
        </w:rPr>
        <w:t>时，能够合理保证有效性（21 CFR 860.7(e)(1)）。根据21 CFR 860.7(f)的规定，主要通过</w:t>
      </w:r>
      <w:r>
        <w:rPr>
          <w:rFonts w:ascii="宋体" w:hAnsi="宋体"/>
          <w:sz w:val="18"/>
          <w:szCs w:val="18"/>
          <w:lang w:eastAsia="zh-CN"/>
        </w:rPr>
        <w:t>“</w:t>
      </w:r>
      <w:r>
        <w:rPr>
          <w:sz w:val="18"/>
          <w:szCs w:val="18"/>
          <w:lang w:eastAsia="zh-CN"/>
        </w:rPr>
        <w:t>充分对照的研究</w:t>
      </w:r>
      <w:r>
        <w:rPr>
          <w:rFonts w:ascii="宋体" w:hAnsi="宋体"/>
          <w:sz w:val="18"/>
          <w:szCs w:val="18"/>
          <w:lang w:eastAsia="zh-CN"/>
        </w:rPr>
        <w:t>”所</w:t>
      </w:r>
      <w:r>
        <w:rPr>
          <w:sz w:val="18"/>
          <w:szCs w:val="18"/>
          <w:lang w:eastAsia="zh-CN"/>
        </w:rPr>
        <w:t>证明的证据（见21 CFR 860.7(e)(2)）。</w:t>
      </w:r>
      <w:bookmarkEnd w:id="16"/>
      <w:bookmarkEnd w:id="17"/>
    </w:p>
    <w:p w14:paraId="6AE19B86">
      <w:pPr>
        <w:tabs>
          <w:tab w:val="left" w:pos="125"/>
        </w:tabs>
        <w:snapToGrid w:val="0"/>
        <w:spacing w:before="120" w:beforeLines="50"/>
        <w:jc w:val="both"/>
        <w:rPr>
          <w:sz w:val="18"/>
          <w:szCs w:val="18"/>
          <w:lang w:eastAsia="zh-CN"/>
        </w:rPr>
      </w:pPr>
      <w:r>
        <w:rPr>
          <w:sz w:val="18"/>
          <w:szCs w:val="18"/>
          <w:vertAlign w:val="superscript"/>
          <w:lang w:eastAsia="zh-CN"/>
        </w:rPr>
        <w:t>2</w:t>
      </w:r>
      <w:r>
        <w:rPr>
          <w:sz w:val="18"/>
          <w:szCs w:val="18"/>
          <w:lang w:eastAsia="zh-CN"/>
        </w:rPr>
        <w:tab/>
      </w:r>
      <w:r>
        <w:rPr>
          <w:sz w:val="18"/>
          <w:szCs w:val="18"/>
          <w:lang w:eastAsia="zh-CN"/>
        </w:rPr>
        <w:t>《FD&amp;C法案》的第513(a)(3)(A)节。</w:t>
      </w:r>
    </w:p>
    <w:p w14:paraId="6AE19B87">
      <w:pPr>
        <w:tabs>
          <w:tab w:val="left" w:pos="115"/>
        </w:tabs>
        <w:snapToGrid w:val="0"/>
        <w:spacing w:before="120" w:beforeLines="50"/>
        <w:jc w:val="both"/>
        <w:rPr>
          <w:sz w:val="18"/>
          <w:szCs w:val="18"/>
          <w:lang w:eastAsia="zh-CN"/>
        </w:rPr>
      </w:pPr>
      <w:bookmarkStart w:id="18" w:name="bookmark13"/>
      <w:r>
        <w:rPr>
          <w:sz w:val="18"/>
          <w:szCs w:val="18"/>
          <w:vertAlign w:val="superscript"/>
          <w:lang w:eastAsia="zh-CN"/>
        </w:rPr>
        <w:t>3</w:t>
      </w:r>
      <w:r>
        <w:rPr>
          <w:sz w:val="18"/>
          <w:szCs w:val="18"/>
          <w:lang w:eastAsia="zh-CN"/>
        </w:rPr>
        <w:tab/>
      </w:r>
      <w:r>
        <w:rPr>
          <w:sz w:val="18"/>
          <w:szCs w:val="18"/>
          <w:lang w:eastAsia="zh-CN"/>
        </w:rPr>
        <w:t>总之，本指南中的</w:t>
      </w:r>
      <w:r>
        <w:rPr>
          <w:rFonts w:ascii="宋体" w:hAnsi="宋体"/>
          <w:sz w:val="18"/>
          <w:szCs w:val="18"/>
          <w:lang w:eastAsia="zh-CN"/>
        </w:rPr>
        <w:t>“</w:t>
      </w:r>
      <w:r>
        <w:rPr>
          <w:sz w:val="18"/>
          <w:szCs w:val="18"/>
          <w:lang w:eastAsia="zh-CN"/>
        </w:rPr>
        <w:t>可能</w:t>
      </w:r>
      <w:r>
        <w:rPr>
          <w:rFonts w:ascii="宋体" w:hAnsi="宋体"/>
          <w:sz w:val="18"/>
          <w:szCs w:val="18"/>
          <w:lang w:eastAsia="zh-CN"/>
        </w:rPr>
        <w:t>”</w:t>
      </w:r>
      <w:r>
        <w:rPr>
          <w:sz w:val="18"/>
          <w:szCs w:val="18"/>
          <w:lang w:eastAsia="zh-CN"/>
        </w:rPr>
        <w:t>和</w:t>
      </w:r>
      <w:r>
        <w:rPr>
          <w:rFonts w:ascii="宋体" w:hAnsi="宋体"/>
          <w:sz w:val="18"/>
          <w:szCs w:val="18"/>
          <w:lang w:eastAsia="zh-CN"/>
        </w:rPr>
        <w:t>“</w:t>
      </w:r>
      <w:r>
        <w:rPr>
          <w:sz w:val="18"/>
          <w:szCs w:val="18"/>
          <w:lang w:eastAsia="zh-CN"/>
        </w:rPr>
        <w:t>概率</w:t>
      </w:r>
      <w:r>
        <w:rPr>
          <w:rFonts w:ascii="宋体" w:hAnsi="宋体"/>
          <w:sz w:val="18"/>
          <w:szCs w:val="18"/>
          <w:lang w:eastAsia="zh-CN"/>
        </w:rPr>
        <w:t>”</w:t>
      </w:r>
      <w:r>
        <w:rPr>
          <w:sz w:val="18"/>
          <w:szCs w:val="18"/>
          <w:lang w:eastAsia="zh-CN"/>
        </w:rPr>
        <w:t>与21 CFR 860.7(b)(3)中的含义相同，即它们表示患者获益或发生风险的可能性。假设检验、概率、预测概率和可能性的正式概念可能是评估</w:t>
      </w:r>
      <w:r>
        <w:rPr>
          <w:rFonts w:ascii="宋体" w:hAnsi="宋体"/>
          <w:sz w:val="18"/>
          <w:szCs w:val="18"/>
          <w:lang w:eastAsia="zh-CN"/>
        </w:rPr>
        <w:t>“</w:t>
      </w:r>
      <w:r>
        <w:rPr>
          <w:sz w:val="18"/>
          <w:szCs w:val="18"/>
          <w:lang w:eastAsia="zh-CN"/>
        </w:rPr>
        <w:t>可能的</w:t>
      </w:r>
      <w:r>
        <w:rPr>
          <w:rFonts w:ascii="宋体" w:hAnsi="宋体"/>
          <w:sz w:val="18"/>
          <w:szCs w:val="18"/>
          <w:lang w:eastAsia="zh-CN"/>
        </w:rPr>
        <w:t>”</w:t>
      </w:r>
      <w:r>
        <w:rPr>
          <w:sz w:val="18"/>
          <w:szCs w:val="18"/>
          <w:lang w:eastAsia="zh-CN"/>
        </w:rPr>
        <w:t>获益和风险的关键要素。FDA</w:t>
      </w:r>
      <w:r>
        <w:rPr>
          <w:rFonts w:hint="eastAsia"/>
          <w:sz w:val="18"/>
          <w:szCs w:val="18"/>
          <w:lang w:eastAsia="zh-CN"/>
        </w:rPr>
        <w:t>不会</w:t>
      </w:r>
      <w:r>
        <w:rPr>
          <w:sz w:val="18"/>
          <w:szCs w:val="18"/>
          <w:lang w:eastAsia="zh-CN"/>
        </w:rPr>
        <w:t>在本指南中使用</w:t>
      </w:r>
      <w:r>
        <w:rPr>
          <w:rFonts w:ascii="宋体" w:hAnsi="宋体"/>
          <w:sz w:val="18"/>
          <w:szCs w:val="18"/>
          <w:lang w:eastAsia="zh-CN"/>
        </w:rPr>
        <w:t>“</w:t>
      </w:r>
      <w:r>
        <w:rPr>
          <w:sz w:val="18"/>
          <w:szCs w:val="18"/>
          <w:lang w:eastAsia="zh-CN"/>
        </w:rPr>
        <w:t>可能的获益</w:t>
      </w:r>
      <w:r>
        <w:rPr>
          <w:rFonts w:ascii="宋体" w:hAnsi="宋体"/>
          <w:sz w:val="18"/>
          <w:szCs w:val="18"/>
          <w:lang w:eastAsia="zh-CN"/>
        </w:rPr>
        <w:t>”</w:t>
      </w:r>
      <w:r>
        <w:rPr>
          <w:sz w:val="18"/>
          <w:szCs w:val="18"/>
          <w:lang w:eastAsia="zh-CN"/>
        </w:rPr>
        <w:t>一词来指代《FD&amp;C法案》第520(m)节中的人道主义器械豁免（HDE）的法规背景以及FDA实施HDE法规的情况。</w:t>
      </w:r>
      <w:bookmarkEnd w:id="18"/>
    </w:p>
    <w:p w14:paraId="6AE19B88">
      <w:pPr>
        <w:tabs>
          <w:tab w:val="left" w:pos="115"/>
        </w:tabs>
        <w:snapToGrid w:val="0"/>
        <w:spacing w:before="120" w:beforeLines="50"/>
        <w:jc w:val="both"/>
        <w:rPr>
          <w:lang w:eastAsia="zh-CN"/>
        </w:rPr>
      </w:pPr>
      <w:r>
        <w:rPr>
          <w:lang w:eastAsia="zh-CN"/>
        </w:rPr>
        <w:br w:type="page"/>
      </w:r>
    </w:p>
    <w:p w14:paraId="6AE19B89">
      <w:pPr>
        <w:snapToGrid w:val="0"/>
        <w:spacing w:before="120" w:beforeLines="50" w:line="400" w:lineRule="exact"/>
        <w:jc w:val="both"/>
        <w:rPr>
          <w:sz w:val="24"/>
          <w:szCs w:val="24"/>
          <w:lang w:eastAsia="zh-CN"/>
        </w:rPr>
      </w:pPr>
      <w:bookmarkStart w:id="19" w:name="bookmark14"/>
      <w:r>
        <w:rPr>
          <w:sz w:val="24"/>
          <w:szCs w:val="24"/>
          <w:lang w:eastAsia="zh-CN"/>
        </w:rPr>
        <w:t>同样，根据《FD&amp;C法案》的第513(f)(2)节，已通过510（k）计划确定</w:t>
      </w:r>
      <w:r>
        <w:rPr>
          <w:rFonts w:hint="eastAsia"/>
          <w:sz w:val="24"/>
          <w:szCs w:val="24"/>
          <w:lang w:eastAsia="zh-CN"/>
        </w:rPr>
        <w:t>，非</w:t>
      </w:r>
      <w:r>
        <w:rPr>
          <w:sz w:val="24"/>
          <w:szCs w:val="24"/>
          <w:lang w:eastAsia="zh-CN"/>
        </w:rPr>
        <w:t>实质等</w:t>
      </w:r>
      <w:r>
        <w:rPr>
          <w:rFonts w:hint="eastAsia"/>
          <w:sz w:val="24"/>
          <w:szCs w:val="24"/>
          <w:lang w:eastAsia="zh-CN"/>
        </w:rPr>
        <w:t>同</w:t>
      </w:r>
      <w:r>
        <w:rPr>
          <w:sz w:val="24"/>
          <w:szCs w:val="24"/>
          <w:lang w:eastAsia="zh-CN"/>
        </w:rPr>
        <w:t>（NSE）器械的申办者，或者如果认为其器械</w:t>
      </w:r>
      <w:r>
        <w:rPr>
          <w:rFonts w:hint="eastAsia"/>
          <w:sz w:val="24"/>
          <w:szCs w:val="24"/>
          <w:lang w:eastAsia="zh-CN"/>
        </w:rPr>
        <w:t>适合</w:t>
      </w:r>
      <w:r>
        <w:rPr>
          <w:sz w:val="24"/>
          <w:szCs w:val="24"/>
          <w:lang w:eastAsia="zh-CN"/>
        </w:rPr>
        <w:t>归类为I类或II类器械，并根据现有信息确定尚无合法上市的实质等同器械，可以提交新分类申请，请求FDA按照《FD&amp;C法案》的第513(a)(1)节确定器械的风险分类。</w:t>
      </w:r>
      <w:r>
        <w:fldChar w:fldCharType="begin"/>
      </w:r>
      <w:r>
        <w:instrText xml:space="preserve"> HYPERLINK \l "bookmark18" \o "当前文件" \h </w:instrText>
      </w:r>
      <w:r>
        <w:fldChar w:fldCharType="separate"/>
      </w:r>
      <w:r>
        <w:rPr>
          <w:sz w:val="24"/>
          <w:szCs w:val="24"/>
          <w:vertAlign w:val="superscript"/>
          <w:lang w:eastAsia="zh-CN"/>
        </w:rPr>
        <w:t>6</w:t>
      </w:r>
      <w:r>
        <w:rPr>
          <w:sz w:val="24"/>
          <w:szCs w:val="24"/>
          <w:vertAlign w:val="superscript"/>
          <w:lang w:eastAsia="zh-CN"/>
        </w:rPr>
        <w:fldChar w:fldCharType="end"/>
      </w:r>
      <w:r>
        <w:rPr>
          <w:sz w:val="24"/>
          <w:szCs w:val="24"/>
          <w:lang w:eastAsia="zh-CN"/>
        </w:rPr>
        <w:t>由于按此方式（新器械）进行分类的器械为低至中等风险器械，要达到有利的获益-风险状况，无需为患者带来实质性的益处</w:t>
      </w:r>
      <w:r>
        <w:fldChar w:fldCharType="begin"/>
      </w:r>
      <w:r>
        <w:instrText xml:space="preserve"> HYPERLINK \l "bookmark19" \o "当前文件" \h </w:instrText>
      </w:r>
      <w:r>
        <w:fldChar w:fldCharType="separate"/>
      </w:r>
      <w:r>
        <w:rPr>
          <w:sz w:val="24"/>
          <w:szCs w:val="24"/>
          <w:vertAlign w:val="superscript"/>
          <w:lang w:eastAsia="zh-CN"/>
        </w:rPr>
        <w:t>7</w:t>
      </w:r>
      <w:r>
        <w:rPr>
          <w:sz w:val="24"/>
          <w:szCs w:val="24"/>
          <w:vertAlign w:val="superscript"/>
          <w:lang w:eastAsia="zh-CN"/>
        </w:rPr>
        <w:fldChar w:fldCharType="end"/>
      </w:r>
      <w:r>
        <w:rPr>
          <w:sz w:val="24"/>
          <w:szCs w:val="24"/>
          <w:lang w:eastAsia="zh-CN"/>
        </w:rPr>
        <w:t>。应充分理解根据新分类申请授予上市许可的器械，以解释该器械的所有风险和获益，以便通过采取一般和/或特殊控制措施适当缓解所有风险，从而合理地保证安全性和有效性。此外，按照新分类申请归类的器械可以用作通过510（k）计划进行适当监管的未来器械的同品种器械，因此，FDA在确定是否能够合理保证安全性和有效性时要仔细考虑这些器械的获益-风险状况。</w:t>
      </w:r>
      <w:bookmarkEnd w:id="19"/>
    </w:p>
    <w:p w14:paraId="6AE19B8A">
      <w:pPr>
        <w:snapToGrid w:val="0"/>
        <w:spacing w:before="120" w:beforeLines="50" w:line="400" w:lineRule="exact"/>
        <w:jc w:val="both"/>
        <w:rPr>
          <w:sz w:val="24"/>
          <w:szCs w:val="24"/>
          <w:lang w:eastAsia="zh-CN"/>
        </w:rPr>
      </w:pPr>
    </w:p>
    <w:p w14:paraId="6AE19B8B">
      <w:pPr>
        <w:pStyle w:val="17"/>
        <w:spacing w:before="120" w:after="120" w:line="400" w:lineRule="exact"/>
        <w:rPr>
          <w:lang w:eastAsia="zh-CN"/>
        </w:rPr>
      </w:pPr>
      <w:bookmarkStart w:id="20" w:name="_Toc97318816"/>
      <w:bookmarkStart w:id="21" w:name="bookmark15"/>
      <w:r>
        <w:rPr>
          <w:lang w:eastAsia="zh-CN"/>
        </w:rPr>
        <w:t>B.</w:t>
      </w:r>
      <w:r>
        <w:rPr>
          <w:lang w:eastAsia="zh-CN"/>
        </w:rPr>
        <w:tab/>
      </w:r>
      <w:r>
        <w:rPr>
          <w:lang w:eastAsia="zh-CN"/>
        </w:rPr>
        <w:t>科学证据的类型</w:t>
      </w:r>
      <w:bookmarkEnd w:id="20"/>
      <w:bookmarkEnd w:id="21"/>
    </w:p>
    <w:p w14:paraId="6AE19B8C">
      <w:pPr>
        <w:snapToGrid w:val="0"/>
        <w:spacing w:before="120" w:beforeLines="50" w:line="400" w:lineRule="exact"/>
        <w:jc w:val="both"/>
        <w:rPr>
          <w:sz w:val="24"/>
          <w:szCs w:val="24"/>
          <w:lang w:eastAsia="zh-CN"/>
        </w:rPr>
      </w:pPr>
      <w:r>
        <w:rPr>
          <w:sz w:val="24"/>
          <w:szCs w:val="24"/>
          <w:lang w:eastAsia="zh-CN"/>
        </w:rPr>
        <w:t>可以使用临床和非临床试验方法评价医疗器械。在适当情况下，医疗器械的临床试验方法包括包含适当目标人群的随机临床试验、充分对照的研究、部分对照研究、无匹配对照的研究和客观试验、由合格专家</w:t>
      </w:r>
      <w:r>
        <w:rPr>
          <w:rFonts w:hint="eastAsia"/>
          <w:sz w:val="24"/>
          <w:szCs w:val="24"/>
          <w:lang w:eastAsia="zh-CN"/>
        </w:rPr>
        <w:t>得出</w:t>
      </w:r>
      <w:r>
        <w:rPr>
          <w:sz w:val="24"/>
          <w:szCs w:val="24"/>
          <w:lang w:eastAsia="zh-CN"/>
        </w:rPr>
        <w:t>的证据充分的病史、重要人类经验的报告以及人体临床样本的试验（DNA、组织、器官和尸体研究）。</w:t>
      </w:r>
      <w:r>
        <w:fldChar w:fldCharType="begin"/>
      </w:r>
      <w:r>
        <w:instrText xml:space="preserve"> HYPERLINK \l "bookmark20" \o "当前文件" \h </w:instrText>
      </w:r>
      <w:r>
        <w:fldChar w:fldCharType="separate"/>
      </w:r>
      <w:r>
        <w:rPr>
          <w:sz w:val="24"/>
          <w:szCs w:val="24"/>
          <w:vertAlign w:val="superscript"/>
          <w:lang w:eastAsia="zh-CN"/>
        </w:rPr>
        <w:t>8</w:t>
      </w:r>
      <w:r>
        <w:rPr>
          <w:sz w:val="24"/>
          <w:szCs w:val="24"/>
          <w:vertAlign w:val="superscript"/>
          <w:lang w:eastAsia="zh-CN"/>
        </w:rPr>
        <w:fldChar w:fldCharType="end"/>
      </w:r>
      <w:r>
        <w:rPr>
          <w:sz w:val="24"/>
          <w:szCs w:val="24"/>
          <w:lang w:eastAsia="zh-CN"/>
        </w:rPr>
        <w:t>非临床试验方法可能包含各种方法，包括产品安全性/可靠性/表征的性能试验、模拟使用条件下的</w:t>
      </w:r>
      <w:r>
        <w:rPr>
          <w:rFonts w:hint="eastAsia"/>
          <w:sz w:val="24"/>
          <w:szCs w:val="24"/>
          <w:lang w:eastAsia="zh-CN"/>
        </w:rPr>
        <w:t>人为因素</w:t>
      </w:r>
      <w:r>
        <w:rPr>
          <w:sz w:val="24"/>
          <w:szCs w:val="24"/>
          <w:lang w:eastAsia="zh-CN"/>
        </w:rPr>
        <w:t>和可用性工程试验、动物细胞研究以及计算机模拟。这些试验表征了器械的机械、电气和化学性质，包括但不限于磨损、抗拉强度、压缩、流速、爆破压、生物相容性、毒性、电磁兼容（EMC）、无菌、稳定性/有效期数据、软件确认及合成样本试验（包括细胞系）。在上市前审查和</w:t>
      </w:r>
      <w:r>
        <w:rPr>
          <w:rFonts w:hint="eastAsia"/>
          <w:sz w:val="24"/>
          <w:szCs w:val="24"/>
          <w:lang w:eastAsia="zh-CN"/>
        </w:rPr>
        <w:t>确定</w:t>
      </w:r>
      <w:r>
        <w:rPr>
          <w:sz w:val="24"/>
          <w:szCs w:val="24"/>
          <w:lang w:eastAsia="zh-CN"/>
        </w:rPr>
        <w:t>FDA获益-风险的过程中将考虑</w:t>
      </w:r>
      <w:r>
        <w:rPr>
          <w:rFonts w:hint="eastAsia"/>
          <w:sz w:val="24"/>
          <w:szCs w:val="24"/>
          <w:lang w:eastAsia="zh-CN"/>
        </w:rPr>
        <w:t>任何从</w:t>
      </w:r>
      <w:r>
        <w:rPr>
          <w:sz w:val="24"/>
          <w:szCs w:val="24"/>
          <w:lang w:eastAsia="zh-CN"/>
        </w:rPr>
        <w:t>临床和/或非临床试验获得的信息。</w:t>
      </w:r>
    </w:p>
    <w:p w14:paraId="6AE19B8D">
      <w:pPr>
        <w:snapToGrid w:val="0"/>
        <w:spacing w:before="120" w:beforeLines="50"/>
        <w:jc w:val="both"/>
        <w:rPr>
          <w:sz w:val="24"/>
          <w:szCs w:val="24"/>
          <w:lang w:eastAsia="zh-CN"/>
        </w:rPr>
      </w:pPr>
    </w:p>
    <w:p w14:paraId="6AE19B8E">
      <w:pPr>
        <w:snapToGrid w:val="0"/>
        <w:spacing w:before="120" w:beforeLines="50"/>
        <w:jc w:val="both"/>
        <w:rPr>
          <w:sz w:val="24"/>
          <w:szCs w:val="24"/>
          <w:lang w:eastAsia="zh-CN"/>
        </w:rPr>
      </w:pPr>
    </w:p>
    <w:p w14:paraId="6AE19B8F">
      <w:pPr>
        <w:snapToGrid w:val="0"/>
        <w:spacing w:before="120" w:beforeLines="50"/>
        <w:jc w:val="both"/>
        <w:rPr>
          <w:sz w:val="24"/>
          <w:szCs w:val="24"/>
          <w:lang w:eastAsia="zh-CN"/>
        </w:rPr>
      </w:pPr>
    </w:p>
    <w:p w14:paraId="6AE19B90">
      <w:pPr>
        <w:snapToGrid w:val="0"/>
        <w:spacing w:before="120" w:beforeLines="50"/>
        <w:jc w:val="both"/>
        <w:rPr>
          <w:sz w:val="24"/>
          <w:szCs w:val="24"/>
          <w:lang w:eastAsia="zh-CN"/>
        </w:rPr>
      </w:pPr>
    </w:p>
    <w:p w14:paraId="6AE19B91">
      <w:pPr>
        <w:snapToGrid w:val="0"/>
        <w:spacing w:before="120" w:beforeLines="50"/>
        <w:jc w:val="both"/>
        <w:rPr>
          <w:sz w:val="24"/>
          <w:szCs w:val="24"/>
          <w:lang w:eastAsia="zh-CN"/>
        </w:rPr>
      </w:pPr>
    </w:p>
    <w:p w14:paraId="6AE19B92">
      <w:pPr>
        <w:snapToGrid w:val="0"/>
        <w:spacing w:before="120" w:beforeLines="50"/>
        <w:jc w:val="both"/>
        <w:rPr>
          <w:sz w:val="18"/>
          <w:szCs w:val="18"/>
          <w:lang w:eastAsia="zh-CN"/>
        </w:rPr>
      </w:pPr>
      <w:bookmarkStart w:id="22" w:name="bookmark16"/>
      <w:bookmarkStart w:id="23" w:name="bookmark17"/>
      <w:r>
        <w:rPr>
          <w:sz w:val="18"/>
          <w:szCs w:val="18"/>
          <w:lang w:eastAsia="zh-CN"/>
        </w:rPr>
        <w:t>_______________________</w:t>
      </w:r>
    </w:p>
    <w:p w14:paraId="6AE19B93">
      <w:pPr>
        <w:tabs>
          <w:tab w:val="left" w:pos="110"/>
        </w:tabs>
        <w:snapToGrid w:val="0"/>
        <w:spacing w:before="120" w:beforeLines="50"/>
        <w:rPr>
          <w:sz w:val="18"/>
          <w:szCs w:val="18"/>
          <w:lang w:eastAsia="zh-CN"/>
        </w:rPr>
      </w:pPr>
      <w:r>
        <w:rPr>
          <w:sz w:val="18"/>
          <w:szCs w:val="18"/>
          <w:vertAlign w:val="superscript"/>
          <w:lang w:eastAsia="zh-CN"/>
        </w:rPr>
        <w:t>4</w:t>
      </w:r>
      <w:r>
        <w:rPr>
          <w:sz w:val="18"/>
          <w:szCs w:val="18"/>
          <w:lang w:eastAsia="zh-CN"/>
        </w:rPr>
        <w:tab/>
      </w:r>
      <w:r>
        <w:rPr>
          <w:sz w:val="18"/>
          <w:szCs w:val="18"/>
          <w:lang w:eastAsia="zh-CN"/>
        </w:rPr>
        <w:t>同样重要的是FDA对有效性的确定。参见脚注1。</w:t>
      </w:r>
      <w:bookmarkEnd w:id="22"/>
      <w:bookmarkEnd w:id="23"/>
    </w:p>
    <w:p w14:paraId="6AE19B94">
      <w:pPr>
        <w:tabs>
          <w:tab w:val="left" w:pos="125"/>
        </w:tabs>
        <w:snapToGrid w:val="0"/>
        <w:spacing w:before="120" w:beforeLines="50"/>
        <w:rPr>
          <w:sz w:val="18"/>
          <w:szCs w:val="18"/>
          <w:lang w:eastAsia="zh-CN"/>
        </w:rPr>
      </w:pPr>
      <w:r>
        <w:rPr>
          <w:sz w:val="18"/>
          <w:szCs w:val="18"/>
          <w:vertAlign w:val="superscript"/>
          <w:lang w:eastAsia="zh-CN"/>
        </w:rPr>
        <w:t>5</w:t>
      </w:r>
      <w:r>
        <w:rPr>
          <w:sz w:val="18"/>
          <w:szCs w:val="18"/>
          <w:lang w:eastAsia="zh-CN"/>
        </w:rPr>
        <w:tab/>
      </w:r>
      <w:r>
        <w:rPr>
          <w:sz w:val="18"/>
          <w:szCs w:val="18"/>
          <w:lang w:eastAsia="zh-CN"/>
        </w:rPr>
        <w:t>见21 CFR第820部分。</w:t>
      </w:r>
    </w:p>
    <w:p w14:paraId="6AE19B95">
      <w:pPr>
        <w:tabs>
          <w:tab w:val="left" w:pos="130"/>
        </w:tabs>
        <w:snapToGrid w:val="0"/>
        <w:spacing w:before="120" w:beforeLines="50"/>
        <w:rPr>
          <w:sz w:val="18"/>
          <w:szCs w:val="18"/>
        </w:rPr>
      </w:pPr>
      <w:bookmarkStart w:id="24" w:name="bookmark18"/>
      <w:r>
        <w:rPr>
          <w:sz w:val="18"/>
          <w:szCs w:val="18"/>
          <w:vertAlign w:val="superscript"/>
          <w:lang w:eastAsia="zh-CN"/>
        </w:rPr>
        <w:t>6</w:t>
      </w:r>
      <w:r>
        <w:rPr>
          <w:sz w:val="18"/>
          <w:szCs w:val="18"/>
          <w:lang w:eastAsia="zh-CN"/>
        </w:rPr>
        <w:tab/>
      </w:r>
      <w:r>
        <w:rPr>
          <w:sz w:val="18"/>
          <w:szCs w:val="18"/>
          <w:lang w:eastAsia="zh-CN"/>
        </w:rPr>
        <w:t>见FDA指南</w:t>
      </w:r>
      <w:r>
        <w:rPr>
          <w:rFonts w:ascii="宋体" w:hAnsi="宋体"/>
          <w:sz w:val="18"/>
          <w:szCs w:val="18"/>
          <w:lang w:eastAsia="zh-CN"/>
        </w:rPr>
        <w:t>“</w:t>
      </w:r>
      <w:r>
        <w:rPr>
          <w:sz w:val="18"/>
          <w:szCs w:val="18"/>
          <w:lang w:eastAsia="zh-CN"/>
        </w:rPr>
        <w:t>新分类过程（自动III类分配的评价）</w:t>
      </w:r>
      <w:r>
        <w:rPr>
          <w:rFonts w:ascii="宋体" w:hAnsi="宋体"/>
          <w:sz w:val="18"/>
          <w:szCs w:val="18"/>
          <w:lang w:eastAsia="zh-CN"/>
        </w:rPr>
        <w:t>”</w:t>
      </w:r>
      <w:r>
        <w:rPr>
          <w:sz w:val="18"/>
          <w:szCs w:val="18"/>
          <w:lang w:eastAsia="zh-CN"/>
        </w:rPr>
        <w:t>，请访问</w:t>
      </w:r>
      <w:r>
        <w:rPr>
          <w:color w:val="0000FF"/>
          <w:sz w:val="18"/>
          <w:szCs w:val="18"/>
          <w:u w:val="single"/>
          <w:lang w:eastAsia="zh-CN"/>
        </w:rPr>
        <w:t>https://www.fda.gov/regulatorv-information/search-fda-guidance-documents/de-novo-classification-process-evaluation-automatic-class-iii-designation</w:t>
      </w:r>
      <w:r>
        <w:rPr>
          <w:sz w:val="18"/>
          <w:szCs w:val="18"/>
          <w:lang w:eastAsia="zh-CN"/>
        </w:rPr>
        <w:t>。</w:t>
      </w:r>
      <w:bookmarkEnd w:id="24"/>
    </w:p>
    <w:p w14:paraId="6AE19B96">
      <w:pPr>
        <w:tabs>
          <w:tab w:val="left" w:pos="115"/>
        </w:tabs>
        <w:snapToGrid w:val="0"/>
        <w:spacing w:before="120" w:beforeLines="50"/>
        <w:rPr>
          <w:sz w:val="18"/>
          <w:szCs w:val="18"/>
          <w:lang w:eastAsia="zh-CN"/>
        </w:rPr>
      </w:pPr>
      <w:bookmarkStart w:id="25" w:name="bookmark19"/>
      <w:bookmarkStart w:id="26" w:name="bookmark20"/>
      <w:r>
        <w:rPr>
          <w:sz w:val="18"/>
          <w:szCs w:val="18"/>
          <w:vertAlign w:val="superscript"/>
          <w:lang w:eastAsia="zh-CN"/>
        </w:rPr>
        <w:t>7</w:t>
      </w:r>
      <w:r>
        <w:rPr>
          <w:sz w:val="18"/>
          <w:szCs w:val="18"/>
          <w:lang w:eastAsia="zh-CN"/>
        </w:rPr>
        <w:tab/>
      </w:r>
      <w:r>
        <w:rPr>
          <w:sz w:val="18"/>
          <w:szCs w:val="18"/>
          <w:lang w:eastAsia="zh-CN"/>
        </w:rPr>
        <w:t>一般而言，对于本指南的目的，使用术语</w:t>
      </w:r>
      <w:r>
        <w:rPr>
          <w:rFonts w:ascii="宋体" w:hAnsi="宋体"/>
          <w:sz w:val="18"/>
          <w:szCs w:val="18"/>
          <w:lang w:eastAsia="zh-CN"/>
        </w:rPr>
        <w:t>“</w:t>
      </w:r>
      <w:r>
        <w:rPr>
          <w:sz w:val="18"/>
          <w:szCs w:val="18"/>
          <w:lang w:eastAsia="zh-CN"/>
        </w:rPr>
        <w:t>患者</w:t>
      </w:r>
      <w:r>
        <w:rPr>
          <w:rFonts w:ascii="宋体" w:hAnsi="宋体"/>
          <w:sz w:val="18"/>
          <w:szCs w:val="18"/>
          <w:lang w:eastAsia="zh-CN"/>
        </w:rPr>
        <w:t>”</w:t>
      </w:r>
      <w:r>
        <w:rPr>
          <w:sz w:val="18"/>
          <w:szCs w:val="18"/>
          <w:lang w:eastAsia="zh-CN"/>
        </w:rPr>
        <w:t>表示正在接受医学护理或治疗的个人而非受试者，使用术语</w:t>
      </w:r>
      <w:r>
        <w:rPr>
          <w:rFonts w:ascii="宋体" w:hAnsi="宋体"/>
          <w:sz w:val="18"/>
          <w:szCs w:val="18"/>
          <w:lang w:eastAsia="zh-CN"/>
        </w:rPr>
        <w:t>“</w:t>
      </w:r>
      <w:r>
        <w:rPr>
          <w:sz w:val="18"/>
          <w:szCs w:val="18"/>
          <w:lang w:eastAsia="zh-CN"/>
        </w:rPr>
        <w:t>受试者</w:t>
      </w:r>
      <w:r>
        <w:rPr>
          <w:rFonts w:ascii="宋体" w:hAnsi="宋体"/>
          <w:sz w:val="18"/>
          <w:szCs w:val="18"/>
          <w:lang w:eastAsia="zh-CN"/>
        </w:rPr>
        <w:t>”</w:t>
      </w:r>
      <w:r>
        <w:rPr>
          <w:sz w:val="18"/>
          <w:szCs w:val="18"/>
          <w:lang w:eastAsia="zh-CN"/>
        </w:rPr>
        <w:t>表示参与临床研究的个人。</w:t>
      </w:r>
      <w:bookmarkEnd w:id="25"/>
      <w:bookmarkEnd w:id="26"/>
    </w:p>
    <w:p w14:paraId="6AE19B97">
      <w:pPr>
        <w:tabs>
          <w:tab w:val="left" w:pos="125"/>
        </w:tabs>
        <w:snapToGrid w:val="0"/>
        <w:spacing w:before="120" w:beforeLines="50"/>
        <w:rPr>
          <w:lang w:eastAsia="zh-CN"/>
        </w:rPr>
      </w:pPr>
      <w:r>
        <w:rPr>
          <w:sz w:val="18"/>
          <w:szCs w:val="18"/>
          <w:vertAlign w:val="superscript"/>
          <w:lang w:eastAsia="zh-CN"/>
        </w:rPr>
        <w:t>8</w:t>
      </w:r>
      <w:r>
        <w:rPr>
          <w:sz w:val="18"/>
          <w:szCs w:val="18"/>
          <w:lang w:eastAsia="zh-CN"/>
        </w:rPr>
        <w:tab/>
      </w:r>
      <w:r>
        <w:rPr>
          <w:sz w:val="18"/>
          <w:szCs w:val="18"/>
          <w:lang w:eastAsia="zh-CN"/>
        </w:rPr>
        <w:t>见21 CFR 860.7。</w:t>
      </w:r>
      <w:r>
        <w:rPr>
          <w:lang w:eastAsia="zh-CN"/>
        </w:rPr>
        <w:br w:type="page"/>
      </w:r>
    </w:p>
    <w:p w14:paraId="6AE19B98">
      <w:pPr>
        <w:snapToGrid w:val="0"/>
        <w:spacing w:before="120" w:beforeLines="50" w:line="400" w:lineRule="exact"/>
        <w:jc w:val="both"/>
        <w:rPr>
          <w:sz w:val="24"/>
          <w:szCs w:val="24"/>
          <w:lang w:eastAsia="zh-CN"/>
        </w:rPr>
      </w:pPr>
      <w:r>
        <w:rPr>
          <w:sz w:val="24"/>
          <w:szCs w:val="24"/>
          <w:lang w:eastAsia="zh-CN"/>
        </w:rPr>
        <w:t>尽管着重强调了临床数据在证明医疗器械安全性和有效性中的重要性，但是非临床数据对于了解器械的安全性和有效性也非常关键。医疗器械的属性通常无法仅仅使用临床方法进行试验，这些属性在器械的安全性或有效性中起到主要作用。</w:t>
      </w:r>
    </w:p>
    <w:p w14:paraId="6AE19B99">
      <w:pPr>
        <w:snapToGrid w:val="0"/>
        <w:spacing w:before="120" w:beforeLines="50" w:line="400" w:lineRule="exact"/>
        <w:jc w:val="both"/>
        <w:rPr>
          <w:sz w:val="24"/>
          <w:szCs w:val="24"/>
          <w:lang w:eastAsia="zh-CN"/>
        </w:rPr>
      </w:pPr>
      <w:r>
        <w:rPr>
          <w:sz w:val="24"/>
          <w:szCs w:val="24"/>
          <w:lang w:eastAsia="zh-CN"/>
        </w:rPr>
        <w:t>临床和非临床试验方法可以用于评估特定风险的发生概率或严重度和/或风险缓解的成功率。例如，对于某些植入物，最可靠的长期证据来自能够在最差情况条件下挑战器械并将器械测试至失效和模拟多年使用的工程试验。相比之下，临床研究通常受到随访时间的限制，因此，可能无法充分显示器械的长期性能。在此情况下，如果缺乏临床结果，工程试验的结果可能大大影响FDA确定的获益-风险。</w:t>
      </w:r>
    </w:p>
    <w:p w14:paraId="6AE19B9A">
      <w:pPr>
        <w:snapToGrid w:val="0"/>
        <w:spacing w:before="120" w:beforeLines="50" w:line="400" w:lineRule="exact"/>
        <w:jc w:val="both"/>
        <w:rPr>
          <w:sz w:val="24"/>
          <w:szCs w:val="24"/>
          <w:lang w:eastAsia="zh-CN"/>
        </w:rPr>
      </w:pPr>
      <w:r>
        <w:rPr>
          <w:sz w:val="24"/>
          <w:szCs w:val="24"/>
          <w:lang w:eastAsia="zh-CN"/>
        </w:rPr>
        <w:t>临床和非临床数据在FDA确定获益-风险期间起到重要作用，本指南中讨论的因素取决于两种数据。</w:t>
      </w:r>
    </w:p>
    <w:p w14:paraId="6AE19B9B">
      <w:pPr>
        <w:snapToGrid w:val="0"/>
        <w:spacing w:before="120" w:beforeLines="50" w:line="400" w:lineRule="exact"/>
        <w:jc w:val="both"/>
        <w:rPr>
          <w:lang w:eastAsia="zh-CN"/>
        </w:rPr>
      </w:pPr>
      <w:bookmarkStart w:id="27" w:name="bookmark21"/>
      <w:r>
        <w:rPr>
          <w:sz w:val="24"/>
          <w:szCs w:val="24"/>
          <w:lang w:eastAsia="zh-CN"/>
        </w:rPr>
        <w:t>FDA根据有效科学证据确定风险和获益，包括首先确定</w:t>
      </w:r>
      <w:r>
        <w:rPr>
          <w:rFonts w:ascii="宋体" w:hAnsi="宋体"/>
          <w:sz w:val="24"/>
          <w:szCs w:val="24"/>
          <w:lang w:eastAsia="zh-CN"/>
        </w:rPr>
        <w:t>“</w:t>
      </w:r>
      <w:r>
        <w:rPr>
          <w:sz w:val="24"/>
          <w:szCs w:val="24"/>
          <w:lang w:eastAsia="zh-CN"/>
        </w:rPr>
        <w:t>可能的风险</w:t>
      </w:r>
      <w:r>
        <w:rPr>
          <w:rFonts w:ascii="宋体" w:hAnsi="宋体"/>
          <w:sz w:val="24"/>
          <w:szCs w:val="24"/>
          <w:lang w:eastAsia="zh-CN"/>
        </w:rPr>
        <w:t>”</w:t>
      </w:r>
      <w:r>
        <w:rPr>
          <w:sz w:val="24"/>
          <w:szCs w:val="24"/>
          <w:lang w:eastAsia="zh-CN"/>
        </w:rPr>
        <w:t>和</w:t>
      </w:r>
      <w:r>
        <w:rPr>
          <w:rFonts w:ascii="宋体" w:hAnsi="宋体"/>
          <w:sz w:val="24"/>
          <w:szCs w:val="24"/>
          <w:lang w:eastAsia="zh-CN"/>
        </w:rPr>
        <w:t>“</w:t>
      </w:r>
      <w:r>
        <w:rPr>
          <w:sz w:val="24"/>
          <w:szCs w:val="24"/>
          <w:lang w:eastAsia="zh-CN"/>
        </w:rPr>
        <w:t>可能的获益</w:t>
      </w:r>
      <w:r>
        <w:rPr>
          <w:rFonts w:ascii="宋体" w:hAnsi="宋体"/>
          <w:sz w:val="24"/>
          <w:szCs w:val="24"/>
          <w:lang w:eastAsia="zh-CN"/>
        </w:rPr>
        <w:t>”</w:t>
      </w:r>
      <w:r>
        <w:rPr>
          <w:rFonts w:hint="eastAsia"/>
          <w:sz w:val="24"/>
          <w:szCs w:val="24"/>
          <w:lang w:eastAsia="zh-CN"/>
        </w:rPr>
        <w:t>这一</w:t>
      </w:r>
      <w:r>
        <w:rPr>
          <w:sz w:val="24"/>
          <w:szCs w:val="24"/>
          <w:lang w:eastAsia="zh-CN"/>
        </w:rPr>
        <w:t>关键问题。一般而言，</w:t>
      </w:r>
      <w:r>
        <w:rPr>
          <w:rFonts w:ascii="宋体" w:hAnsi="宋体"/>
          <w:sz w:val="24"/>
          <w:szCs w:val="24"/>
          <w:lang w:eastAsia="zh-CN"/>
        </w:rPr>
        <w:t>“</w:t>
      </w:r>
      <w:r>
        <w:rPr>
          <w:sz w:val="24"/>
          <w:szCs w:val="24"/>
          <w:lang w:eastAsia="zh-CN"/>
        </w:rPr>
        <w:t>可能的风险</w:t>
      </w:r>
      <w:r>
        <w:rPr>
          <w:rFonts w:ascii="宋体" w:hAnsi="宋体"/>
          <w:sz w:val="24"/>
          <w:szCs w:val="24"/>
          <w:lang w:eastAsia="zh-CN"/>
        </w:rPr>
        <w:t>”</w:t>
      </w:r>
      <w:r>
        <w:rPr>
          <w:sz w:val="24"/>
          <w:szCs w:val="24"/>
          <w:lang w:eastAsia="zh-CN"/>
        </w:rPr>
        <w:t>和</w:t>
      </w:r>
      <w:r>
        <w:rPr>
          <w:rFonts w:ascii="宋体" w:hAnsi="宋体"/>
          <w:sz w:val="24"/>
          <w:szCs w:val="24"/>
          <w:lang w:eastAsia="zh-CN"/>
        </w:rPr>
        <w:t>“</w:t>
      </w:r>
      <w:r>
        <w:rPr>
          <w:sz w:val="24"/>
          <w:szCs w:val="24"/>
          <w:lang w:eastAsia="zh-CN"/>
        </w:rPr>
        <w:t>可能的获益</w:t>
      </w:r>
      <w:r>
        <w:rPr>
          <w:rFonts w:ascii="宋体" w:hAnsi="宋体"/>
          <w:sz w:val="24"/>
          <w:szCs w:val="24"/>
          <w:lang w:eastAsia="zh-CN"/>
        </w:rPr>
        <w:t>”</w:t>
      </w:r>
      <w:r>
        <w:rPr>
          <w:sz w:val="24"/>
          <w:szCs w:val="24"/>
          <w:lang w:eastAsia="zh-CN"/>
        </w:rPr>
        <w:t>不包括理论风险和获益，而是其存在和特征获得有效的科学证据支持的风险和获益。通常，孤立的病例报告、随机经验、</w:t>
      </w:r>
      <w:r>
        <w:rPr>
          <w:rFonts w:hint="eastAsia"/>
          <w:sz w:val="24"/>
          <w:szCs w:val="24"/>
          <w:lang w:eastAsia="zh-CN"/>
        </w:rPr>
        <w:t>因为</w:t>
      </w:r>
      <w:r>
        <w:rPr>
          <w:sz w:val="24"/>
          <w:szCs w:val="24"/>
          <w:lang w:eastAsia="zh-CN"/>
        </w:rPr>
        <w:t>缺乏足够的细节</w:t>
      </w:r>
      <w:r>
        <w:rPr>
          <w:rFonts w:hint="eastAsia"/>
          <w:sz w:val="24"/>
          <w:szCs w:val="24"/>
          <w:lang w:eastAsia="zh-CN"/>
        </w:rPr>
        <w:t>无</w:t>
      </w:r>
      <w:r>
        <w:rPr>
          <w:sz w:val="24"/>
          <w:szCs w:val="24"/>
          <w:lang w:eastAsia="zh-CN"/>
        </w:rPr>
        <w:t>法进行科学评价的报告以及未经证实的观点不是证明安全性或有效性的有效科学证据。然而，在确定器械的可疑安全性和有效性时可以考虑这些信息。</w:t>
      </w:r>
      <w:r>
        <w:fldChar w:fldCharType="begin"/>
      </w:r>
      <w:r>
        <w:instrText xml:space="preserve"> HYPERLINK \l "bookmark23" \o "当前文件" \h </w:instrText>
      </w:r>
      <w:r>
        <w:fldChar w:fldCharType="separate"/>
      </w:r>
      <w:r>
        <w:rPr>
          <w:sz w:val="24"/>
          <w:szCs w:val="24"/>
          <w:vertAlign w:val="superscript"/>
          <w:lang w:eastAsia="zh-CN"/>
        </w:rPr>
        <w:t>9</w:t>
      </w:r>
      <w:bookmarkEnd w:id="27"/>
      <w:r>
        <w:rPr>
          <w:sz w:val="24"/>
          <w:szCs w:val="24"/>
          <w:vertAlign w:val="superscript"/>
          <w:lang w:eastAsia="zh-CN"/>
        </w:rPr>
        <w:fldChar w:fldCharType="end"/>
      </w:r>
    </w:p>
    <w:p w14:paraId="6AE19B9C">
      <w:pPr>
        <w:snapToGrid w:val="0"/>
        <w:spacing w:before="120" w:beforeLines="50" w:line="400" w:lineRule="exact"/>
        <w:jc w:val="both"/>
        <w:rPr>
          <w:sz w:val="24"/>
          <w:szCs w:val="24"/>
          <w:lang w:eastAsia="zh-CN"/>
        </w:rPr>
      </w:pPr>
    </w:p>
    <w:p w14:paraId="6AE19B9D">
      <w:pPr>
        <w:pStyle w:val="17"/>
        <w:spacing w:before="120" w:after="120" w:line="400" w:lineRule="exact"/>
        <w:rPr>
          <w:lang w:eastAsia="zh-CN"/>
        </w:rPr>
      </w:pPr>
      <w:bookmarkStart w:id="28" w:name="_Toc97318817"/>
      <w:bookmarkStart w:id="29" w:name="bookmark22"/>
      <w:r>
        <w:rPr>
          <w:lang w:eastAsia="zh-CN"/>
        </w:rPr>
        <w:t>C.</w:t>
      </w:r>
      <w:r>
        <w:rPr>
          <w:lang w:eastAsia="zh-CN"/>
        </w:rPr>
        <w:tab/>
      </w:r>
      <w:r>
        <w:rPr>
          <w:lang w:eastAsia="zh-CN"/>
        </w:rPr>
        <w:t>获益-风险确定</w:t>
      </w:r>
      <w:bookmarkEnd w:id="28"/>
      <w:bookmarkEnd w:id="29"/>
    </w:p>
    <w:p w14:paraId="6AE19B9E">
      <w:pPr>
        <w:snapToGrid w:val="0"/>
        <w:spacing w:before="120" w:beforeLines="50" w:line="400" w:lineRule="exact"/>
        <w:jc w:val="both"/>
        <w:rPr>
          <w:sz w:val="24"/>
          <w:szCs w:val="24"/>
          <w:lang w:eastAsia="zh-CN"/>
        </w:rPr>
      </w:pPr>
      <w:r>
        <w:rPr>
          <w:sz w:val="24"/>
          <w:szCs w:val="24"/>
          <w:lang w:eastAsia="zh-CN"/>
        </w:rPr>
        <w:t>FDA在确定获益-风险期间考虑的因素详见下文。我们也举例说明了这些因素如何发生关联</w:t>
      </w:r>
      <w:r>
        <w:rPr>
          <w:rFonts w:hint="eastAsia"/>
          <w:sz w:val="24"/>
          <w:szCs w:val="24"/>
          <w:lang w:eastAsia="zh-CN"/>
        </w:rPr>
        <w:t>及其</w:t>
      </w:r>
      <w:r>
        <w:rPr>
          <w:sz w:val="24"/>
          <w:szCs w:val="24"/>
          <w:lang w:eastAsia="zh-CN"/>
        </w:rPr>
        <w:t>如何影响FDA的决定。通过提供更清晰的FDA决策过程，我们希望提高适用器械审查过程的可预测性、一致性和透明度。</w:t>
      </w:r>
    </w:p>
    <w:p w14:paraId="6AE19B9F">
      <w:pPr>
        <w:snapToGrid w:val="0"/>
        <w:spacing w:before="120" w:beforeLines="50" w:line="400" w:lineRule="exact"/>
        <w:jc w:val="both"/>
        <w:rPr>
          <w:sz w:val="24"/>
          <w:szCs w:val="24"/>
          <w:lang w:eastAsia="zh-CN"/>
        </w:rPr>
      </w:pPr>
      <w:r>
        <w:rPr>
          <w:sz w:val="24"/>
          <w:szCs w:val="24"/>
          <w:lang w:eastAsia="zh-CN"/>
        </w:rPr>
        <w:t>我们也会提供一张工作表，以供审查者在上市前审查过程中确定获益-风险。工作表见本指南的</w:t>
      </w:r>
      <w:r>
        <w:fldChar w:fldCharType="begin"/>
      </w:r>
      <w:r>
        <w:instrText xml:space="preserve"> HYPERLINK \l "bookmark57" \o "当前文件" \h </w:instrText>
      </w:r>
      <w:r>
        <w:fldChar w:fldCharType="separate"/>
      </w:r>
      <w:r>
        <w:rPr>
          <w:color w:val="0070C0"/>
          <w:sz w:val="24"/>
          <w:szCs w:val="24"/>
          <w:u w:val="single"/>
          <w:lang w:eastAsia="zh-CN"/>
        </w:rPr>
        <w:t>附录B</w:t>
      </w:r>
      <w:r>
        <w:rPr>
          <w:color w:val="0070C0"/>
          <w:sz w:val="24"/>
          <w:szCs w:val="24"/>
          <w:u w:val="single"/>
          <w:lang w:eastAsia="zh-CN"/>
        </w:rPr>
        <w:fldChar w:fldCharType="end"/>
      </w:r>
      <w:r>
        <w:rPr>
          <w:sz w:val="24"/>
          <w:szCs w:val="24"/>
          <w:lang w:eastAsia="zh-CN"/>
        </w:rPr>
        <w:t>，并附上审查者如何使用工作表的举例作为</w:t>
      </w:r>
      <w:r>
        <w:fldChar w:fldCharType="begin"/>
      </w:r>
      <w:r>
        <w:instrText xml:space="preserve"> HYPERLINK \l "bookmark73" \o "当前文件" \h </w:instrText>
      </w:r>
      <w:r>
        <w:fldChar w:fldCharType="separate"/>
      </w:r>
      <w:r>
        <w:rPr>
          <w:sz w:val="24"/>
          <w:szCs w:val="24"/>
          <w:lang w:eastAsia="zh-CN"/>
        </w:rPr>
        <w:t xml:space="preserve"> </w:t>
      </w:r>
      <w:r>
        <w:rPr>
          <w:color w:val="0070C0"/>
          <w:sz w:val="24"/>
          <w:szCs w:val="24"/>
          <w:u w:val="single"/>
          <w:lang w:eastAsia="zh-CN"/>
        </w:rPr>
        <w:t>附录C</w:t>
      </w:r>
      <w:r>
        <w:rPr>
          <w:sz w:val="24"/>
          <w:szCs w:val="24"/>
          <w:lang w:eastAsia="zh-CN"/>
        </w:rPr>
        <w:t>。</w:t>
      </w:r>
      <w:r>
        <w:rPr>
          <w:sz w:val="24"/>
          <w:szCs w:val="24"/>
          <w:lang w:eastAsia="zh-CN"/>
        </w:rPr>
        <w:fldChar w:fldCharType="end"/>
      </w:r>
      <w:r>
        <w:rPr>
          <w:sz w:val="24"/>
          <w:szCs w:val="24"/>
          <w:lang w:eastAsia="zh-CN"/>
        </w:rPr>
        <w:t>通过在行政记录中记录审查者的思维过程，在某些情况下，还可以作为我们决定的公开摘要，</w:t>
      </w:r>
      <w:r>
        <w:fldChar w:fldCharType="begin"/>
      </w:r>
      <w:r>
        <w:instrText xml:space="preserve"> HYPERLINK \l "bookmark24" \o "当前文件" \h </w:instrText>
      </w:r>
      <w:r>
        <w:fldChar w:fldCharType="separate"/>
      </w:r>
      <w:r>
        <w:rPr>
          <w:sz w:val="24"/>
          <w:szCs w:val="24"/>
          <w:vertAlign w:val="superscript"/>
          <w:lang w:eastAsia="zh-CN"/>
        </w:rPr>
        <w:t>10</w:t>
      </w:r>
      <w:r>
        <w:rPr>
          <w:sz w:val="24"/>
          <w:szCs w:val="24"/>
          <w:lang w:eastAsia="zh-CN"/>
        </w:rPr>
        <w:t xml:space="preserve"> </w:t>
      </w:r>
      <w:r>
        <w:rPr>
          <w:sz w:val="24"/>
          <w:szCs w:val="24"/>
          <w:lang w:eastAsia="zh-CN"/>
        </w:rPr>
        <w:fldChar w:fldCharType="end"/>
      </w:r>
      <w:r>
        <w:rPr>
          <w:sz w:val="24"/>
          <w:szCs w:val="24"/>
          <w:lang w:eastAsia="zh-CN"/>
        </w:rPr>
        <w:t>申办者将更好地了解FDA做出有利决定的基础，并更深入地了解哪些因素通过新分类流程进行审批或降级。然而，由于特定器械类型的因素权衡可能随时间发生变化，例如</w:t>
      </w:r>
      <w:r>
        <w:rPr>
          <w:rFonts w:hint="eastAsia"/>
          <w:sz w:val="24"/>
          <w:szCs w:val="24"/>
          <w:lang w:eastAsia="zh-CN"/>
        </w:rPr>
        <w:t>在批准新疗法时，</w:t>
      </w:r>
      <w:r>
        <w:rPr>
          <w:sz w:val="24"/>
          <w:szCs w:val="24"/>
          <w:lang w:eastAsia="zh-CN"/>
        </w:rPr>
        <w:t>器械不再是同类别首个或唯一可行的治疗方法</w:t>
      </w:r>
      <w:r>
        <w:rPr>
          <w:rFonts w:hint="eastAsia"/>
          <w:sz w:val="24"/>
          <w:szCs w:val="24"/>
          <w:lang w:eastAsia="zh-CN"/>
        </w:rPr>
        <w:t>，</w:t>
      </w:r>
      <w:r>
        <w:rPr>
          <w:sz w:val="24"/>
          <w:szCs w:val="24"/>
          <w:lang w:eastAsia="zh-CN"/>
        </w:rPr>
        <w:t>特定器械在某一时刻确定的获益-风险可能不再代表未来相同或类似类型器械的适当因素权重。</w:t>
      </w:r>
    </w:p>
    <w:p w14:paraId="6AE19BA0">
      <w:pPr>
        <w:snapToGrid w:val="0"/>
        <w:spacing w:before="120" w:beforeLines="50"/>
        <w:jc w:val="both"/>
        <w:rPr>
          <w:sz w:val="24"/>
          <w:szCs w:val="24"/>
          <w:lang w:eastAsia="zh-CN"/>
        </w:rPr>
      </w:pPr>
    </w:p>
    <w:p w14:paraId="6AE19BA1">
      <w:pPr>
        <w:snapToGrid w:val="0"/>
        <w:spacing w:before="120" w:beforeLines="50"/>
        <w:jc w:val="both"/>
        <w:rPr>
          <w:sz w:val="24"/>
          <w:szCs w:val="24"/>
          <w:lang w:eastAsia="zh-CN"/>
        </w:rPr>
      </w:pPr>
    </w:p>
    <w:p w14:paraId="6AE19BA2">
      <w:pPr>
        <w:snapToGrid w:val="0"/>
        <w:spacing w:before="120" w:beforeLines="50"/>
        <w:jc w:val="both"/>
        <w:rPr>
          <w:sz w:val="18"/>
          <w:szCs w:val="18"/>
        </w:rPr>
      </w:pPr>
      <w:bookmarkStart w:id="30" w:name="bookmark23"/>
      <w:r>
        <w:rPr>
          <w:sz w:val="18"/>
          <w:szCs w:val="18"/>
          <w:lang w:eastAsia="zh-CN"/>
        </w:rPr>
        <w:t>_______________________</w:t>
      </w:r>
    </w:p>
    <w:p w14:paraId="6AE19BA3">
      <w:pPr>
        <w:tabs>
          <w:tab w:val="left" w:pos="115"/>
        </w:tabs>
        <w:snapToGrid w:val="0"/>
        <w:spacing w:before="120" w:beforeLines="50"/>
        <w:jc w:val="both"/>
        <w:rPr>
          <w:sz w:val="18"/>
          <w:szCs w:val="18"/>
        </w:rPr>
      </w:pPr>
      <w:r>
        <w:rPr>
          <w:sz w:val="18"/>
          <w:szCs w:val="18"/>
          <w:vertAlign w:val="superscript"/>
          <w:lang w:eastAsia="zh-CN"/>
        </w:rPr>
        <w:t>9</w:t>
      </w:r>
      <w:r>
        <w:rPr>
          <w:sz w:val="18"/>
          <w:szCs w:val="18"/>
          <w:lang w:eastAsia="zh-CN"/>
        </w:rPr>
        <w:tab/>
      </w:r>
      <w:r>
        <w:rPr>
          <w:sz w:val="18"/>
          <w:szCs w:val="18"/>
          <w:lang w:eastAsia="zh-CN"/>
        </w:rPr>
        <w:t>21 CFR 860.7(c)(2)。</w:t>
      </w:r>
      <w:bookmarkEnd w:id="30"/>
    </w:p>
    <w:p w14:paraId="6AE19BA4">
      <w:pPr>
        <w:tabs>
          <w:tab w:val="left" w:pos="187"/>
        </w:tabs>
        <w:snapToGrid w:val="0"/>
        <w:spacing w:before="120" w:beforeLines="50"/>
        <w:jc w:val="both"/>
        <w:rPr>
          <w:sz w:val="18"/>
          <w:szCs w:val="18"/>
        </w:rPr>
      </w:pPr>
      <w:bookmarkStart w:id="31" w:name="bookmark24"/>
      <w:r>
        <w:rPr>
          <w:sz w:val="18"/>
          <w:szCs w:val="18"/>
          <w:vertAlign w:val="superscript"/>
          <w:lang w:eastAsia="zh-CN"/>
        </w:rPr>
        <w:t>10</w:t>
      </w:r>
      <w:r>
        <w:rPr>
          <w:sz w:val="18"/>
          <w:szCs w:val="18"/>
          <w:lang w:eastAsia="zh-CN"/>
        </w:rPr>
        <w:tab/>
      </w:r>
      <w:r>
        <w:rPr>
          <w:sz w:val="18"/>
          <w:szCs w:val="18"/>
          <w:lang w:eastAsia="zh-CN"/>
        </w:rPr>
        <w:t>See</w:t>
      </w:r>
      <w:r>
        <w:rPr>
          <w:color w:val="0000FF"/>
          <w:sz w:val="18"/>
          <w:szCs w:val="18"/>
          <w:u w:val="single"/>
          <w:lang w:eastAsia="zh-CN"/>
        </w:rPr>
        <w:t xml:space="preserve"> </w:t>
      </w:r>
      <w:r>
        <w:fldChar w:fldCharType="begin"/>
      </w:r>
      <w:r>
        <w:instrText xml:space="preserve"> HYPERLINK "https://www.accessdata.fda.gov/scripts/cdrh/cfdocs/cfpma/pma.cfm" </w:instrText>
      </w:r>
      <w:r>
        <w:fldChar w:fldCharType="separate"/>
      </w:r>
      <w:r>
        <w:rPr>
          <w:rStyle w:val="11"/>
          <w:sz w:val="18"/>
          <w:szCs w:val="18"/>
          <w:lang w:eastAsia="zh-CN"/>
        </w:rPr>
        <w:t>https://www.accessdata.fda.gov/scripts/cdrh/cfdocs/cfpma/pma.cfm</w:t>
      </w:r>
      <w:r>
        <w:rPr>
          <w:rStyle w:val="11"/>
          <w:sz w:val="18"/>
          <w:szCs w:val="18"/>
          <w:lang w:eastAsia="zh-CN"/>
        </w:rPr>
        <w:fldChar w:fldCharType="end"/>
      </w:r>
      <w:bookmarkEnd w:id="31"/>
      <w:r>
        <w:rPr>
          <w:rFonts w:hint="eastAsia"/>
          <w:sz w:val="18"/>
          <w:szCs w:val="18"/>
          <w:lang w:eastAsia="zh-CN"/>
        </w:rPr>
        <w:t>。</w:t>
      </w:r>
    </w:p>
    <w:p w14:paraId="6AE19BA5">
      <w:pPr>
        <w:tabs>
          <w:tab w:val="left" w:pos="187"/>
        </w:tabs>
        <w:snapToGrid w:val="0"/>
        <w:spacing w:before="120" w:beforeLines="50"/>
        <w:jc w:val="both"/>
      </w:pPr>
      <w:r>
        <w:rPr>
          <w:lang w:eastAsia="zh-CN"/>
        </w:rPr>
        <w:br w:type="page"/>
      </w:r>
    </w:p>
    <w:p w14:paraId="6AE19BA6">
      <w:pPr>
        <w:pStyle w:val="16"/>
        <w:spacing w:before="120" w:after="120" w:line="400" w:lineRule="exact"/>
        <w:rPr>
          <w:lang w:eastAsia="zh-CN"/>
        </w:rPr>
      </w:pPr>
      <w:bookmarkStart w:id="32" w:name="bookmark25"/>
      <w:bookmarkStart w:id="33" w:name="_Toc97318818"/>
      <w:bookmarkStart w:id="34" w:name="bookmark26"/>
      <w:r>
        <w:rPr>
          <w:lang w:eastAsia="zh-CN"/>
        </w:rPr>
        <w:t>IV.</w:t>
      </w:r>
      <w:r>
        <w:rPr>
          <w:lang w:eastAsia="zh-CN"/>
        </w:rPr>
        <w:tab/>
      </w:r>
      <w:r>
        <w:rPr>
          <w:lang w:eastAsia="zh-CN"/>
        </w:rPr>
        <w:t>FDA确定获益-风险要考虑的因素</w:t>
      </w:r>
      <w:bookmarkEnd w:id="32"/>
      <w:bookmarkEnd w:id="33"/>
      <w:bookmarkEnd w:id="34"/>
    </w:p>
    <w:p w14:paraId="6AE19BA7">
      <w:pPr>
        <w:snapToGrid w:val="0"/>
        <w:spacing w:before="120" w:beforeLines="50" w:line="400" w:lineRule="exact"/>
        <w:jc w:val="both"/>
        <w:rPr>
          <w:sz w:val="24"/>
          <w:szCs w:val="24"/>
          <w:lang w:eastAsia="zh-CN"/>
        </w:rPr>
      </w:pPr>
      <w:bookmarkStart w:id="35" w:name="bookmark27"/>
      <w:r>
        <w:rPr>
          <w:sz w:val="24"/>
          <w:szCs w:val="24"/>
          <w:lang w:eastAsia="zh-CN"/>
        </w:rPr>
        <w:t>器械的预期用途考虑以下因素（包括目标人群）。这些部分不打算为根据数据推断的因素或方法的评估提供特定器械的数据要求。</w:t>
      </w:r>
      <w:bookmarkEnd w:id="35"/>
    </w:p>
    <w:p w14:paraId="6AE19BA8">
      <w:pPr>
        <w:snapToGrid w:val="0"/>
        <w:spacing w:before="120" w:beforeLines="50" w:line="400" w:lineRule="exact"/>
        <w:jc w:val="both"/>
        <w:rPr>
          <w:sz w:val="24"/>
          <w:szCs w:val="24"/>
          <w:lang w:eastAsia="zh-CN"/>
        </w:rPr>
      </w:pPr>
    </w:p>
    <w:p w14:paraId="6AE19BA9">
      <w:pPr>
        <w:pStyle w:val="17"/>
        <w:spacing w:before="120" w:after="120" w:line="400" w:lineRule="exact"/>
        <w:rPr>
          <w:lang w:eastAsia="zh-CN"/>
        </w:rPr>
      </w:pPr>
      <w:bookmarkStart w:id="36" w:name="_Toc97318819"/>
      <w:bookmarkStart w:id="37" w:name="bookmark28"/>
      <w:r>
        <w:rPr>
          <w:lang w:eastAsia="zh-CN"/>
        </w:rPr>
        <w:t>A.</w:t>
      </w:r>
      <w:r>
        <w:rPr>
          <w:lang w:eastAsia="zh-CN"/>
        </w:rPr>
        <w:tab/>
      </w:r>
      <w:r>
        <w:rPr>
          <w:lang w:eastAsia="zh-CN"/>
        </w:rPr>
        <w:t>器械的获益评估</w:t>
      </w:r>
      <w:bookmarkEnd w:id="36"/>
      <w:bookmarkEnd w:id="37"/>
    </w:p>
    <w:p w14:paraId="6AE19BAA">
      <w:pPr>
        <w:snapToGrid w:val="0"/>
        <w:spacing w:before="120" w:beforeLines="50" w:line="400" w:lineRule="exact"/>
        <w:jc w:val="both"/>
        <w:rPr>
          <w:sz w:val="24"/>
          <w:szCs w:val="24"/>
          <w:lang w:eastAsia="zh-CN"/>
        </w:rPr>
      </w:pPr>
      <w:r>
        <w:rPr>
          <w:b/>
          <w:bCs/>
          <w:sz w:val="24"/>
          <w:szCs w:val="24"/>
          <w:lang w:eastAsia="zh-CN"/>
        </w:rPr>
        <w:t>可能的获益程度：</w:t>
      </w:r>
      <w:r>
        <w:rPr>
          <w:sz w:val="24"/>
          <w:szCs w:val="24"/>
          <w:lang w:eastAsia="zh-CN"/>
        </w:rPr>
        <w:t>FDA通过单独和综合考虑以下因素来评估PMA申请或新分类申请中提供的关于可能的获益程度的信息：</w:t>
      </w:r>
    </w:p>
    <w:p w14:paraId="6AE19BAB">
      <w:pPr>
        <w:snapToGrid w:val="0"/>
        <w:spacing w:before="120" w:beforeLines="50" w:line="400" w:lineRule="exact"/>
        <w:jc w:val="both"/>
        <w:rPr>
          <w:sz w:val="24"/>
          <w:szCs w:val="24"/>
          <w:lang w:eastAsia="zh-CN"/>
        </w:rPr>
      </w:pPr>
    </w:p>
    <w:p w14:paraId="6AE19BAC">
      <w:pPr>
        <w:pStyle w:val="18"/>
        <w:spacing w:before="120" w:line="400" w:lineRule="exact"/>
        <w:ind w:left="748" w:hanging="322"/>
        <w:rPr>
          <w:sz w:val="24"/>
          <w:szCs w:val="24"/>
          <w:lang w:eastAsia="zh-CN"/>
        </w:rPr>
      </w:pPr>
      <w:r>
        <w:rPr>
          <w:sz w:val="24"/>
          <w:szCs w:val="24"/>
          <w:lang w:eastAsia="zh-CN"/>
        </w:rPr>
        <w:t>-</w:t>
      </w:r>
      <w:r>
        <w:rPr>
          <w:sz w:val="24"/>
          <w:szCs w:val="24"/>
          <w:lang w:eastAsia="zh-CN"/>
        </w:rPr>
        <w:tab/>
      </w:r>
      <w:r>
        <w:rPr>
          <w:b/>
          <w:bCs/>
          <w:sz w:val="24"/>
          <w:szCs w:val="24"/>
          <w:lang w:eastAsia="zh-CN"/>
        </w:rPr>
        <w:t xml:space="preserve">获益类型 - </w:t>
      </w:r>
      <w:r>
        <w:rPr>
          <w:sz w:val="24"/>
          <w:szCs w:val="24"/>
          <w:lang w:eastAsia="zh-CN"/>
        </w:rPr>
        <w:t>示例包括但不限于：器械对临床管理、患者健康、目标人群的患者满意度的影响，例如显著改善患者管理和生活质量、降低死亡概率、帮助改善患者功能、降低功能缺失概率和缓解症状。这些表明临床获益的终点通常是直接测量的，但在某些情况下，可以使用经确认的替代终点来证明。由于器械能够确定特定疾病，</w:t>
      </w:r>
      <w:r>
        <w:rPr>
          <w:rFonts w:hint="eastAsia"/>
          <w:sz w:val="24"/>
          <w:szCs w:val="24"/>
          <w:lang w:eastAsia="zh-CN"/>
        </w:rPr>
        <w:t>从而预防其扩散</w:t>
      </w:r>
      <w:r>
        <w:rPr>
          <w:sz w:val="24"/>
          <w:szCs w:val="24"/>
          <w:lang w:eastAsia="zh-CN"/>
        </w:rPr>
        <w:t>，预测未来的疾病发作，</w:t>
      </w:r>
      <w:r>
        <w:rPr>
          <w:rFonts w:hint="eastAsia"/>
          <w:sz w:val="24"/>
          <w:szCs w:val="24"/>
          <w:lang w:eastAsia="zh-CN"/>
        </w:rPr>
        <w:t>尽早</w:t>
      </w:r>
      <w:r>
        <w:rPr>
          <w:sz w:val="24"/>
          <w:szCs w:val="24"/>
          <w:lang w:eastAsia="zh-CN"/>
        </w:rPr>
        <w:t>诊断疾病或者确定特定治疗更有效的患者，诊断的获益可能根据特定器械对公共健康的影响来评估。</w:t>
      </w:r>
    </w:p>
    <w:p w14:paraId="6AE19BAD">
      <w:pPr>
        <w:pStyle w:val="18"/>
        <w:spacing w:before="120" w:line="400" w:lineRule="exact"/>
        <w:ind w:left="748" w:hanging="322"/>
        <w:rPr>
          <w:sz w:val="24"/>
          <w:szCs w:val="24"/>
          <w:lang w:eastAsia="zh-CN"/>
        </w:rPr>
      </w:pPr>
      <w:r>
        <w:rPr>
          <w:sz w:val="24"/>
          <w:szCs w:val="24"/>
          <w:lang w:eastAsia="zh-CN"/>
        </w:rPr>
        <w:t>-</w:t>
      </w:r>
      <w:r>
        <w:rPr>
          <w:sz w:val="24"/>
          <w:szCs w:val="24"/>
          <w:lang w:eastAsia="zh-CN"/>
        </w:rPr>
        <w:tab/>
      </w:r>
      <w:r>
        <w:rPr>
          <w:b/>
          <w:bCs/>
          <w:sz w:val="24"/>
          <w:szCs w:val="24"/>
          <w:lang w:eastAsia="zh-CN"/>
        </w:rPr>
        <w:t xml:space="preserve">获益程度 - </w:t>
      </w:r>
      <w:r>
        <w:rPr>
          <w:sz w:val="24"/>
          <w:szCs w:val="24"/>
          <w:lang w:eastAsia="zh-CN"/>
        </w:rPr>
        <w:t>我们通常按照量表或根据特定终点或标准（获益类型），或通过评价是否达到预先确定的健康阈值来评估获益。</w:t>
      </w:r>
      <w:r>
        <w:rPr>
          <w:rFonts w:hint="eastAsia"/>
          <w:sz w:val="24"/>
          <w:szCs w:val="24"/>
          <w:lang w:eastAsia="zh-CN"/>
        </w:rPr>
        <w:t>根据量表测定的或根据终点改善或恶化确定的受试者状况或临床管理的变化</w:t>
      </w:r>
      <w:r>
        <w:rPr>
          <w:sz w:val="24"/>
          <w:szCs w:val="24"/>
          <w:lang w:eastAsia="zh-CN"/>
        </w:rPr>
        <w:t>，能够让我们确定受试者的获益程度。也可能考虑整个人群中获益程度的变化。</w:t>
      </w:r>
    </w:p>
    <w:p w14:paraId="6AE19BAE">
      <w:pPr>
        <w:pStyle w:val="18"/>
        <w:spacing w:before="120" w:line="400" w:lineRule="exact"/>
        <w:ind w:left="748" w:hanging="322"/>
        <w:rPr>
          <w:sz w:val="24"/>
          <w:szCs w:val="24"/>
          <w:lang w:eastAsia="zh-CN"/>
        </w:rPr>
      </w:pPr>
      <w:r>
        <w:rPr>
          <w:sz w:val="24"/>
          <w:szCs w:val="24"/>
          <w:lang w:eastAsia="zh-CN"/>
        </w:rPr>
        <w:t>-</w:t>
      </w:r>
      <w:r>
        <w:rPr>
          <w:sz w:val="24"/>
          <w:szCs w:val="24"/>
          <w:lang w:eastAsia="zh-CN"/>
        </w:rPr>
        <w:tab/>
      </w:r>
      <w:r>
        <w:rPr>
          <w:b/>
          <w:bCs/>
          <w:sz w:val="24"/>
          <w:szCs w:val="24"/>
          <w:lang w:eastAsia="zh-CN"/>
        </w:rPr>
        <w:t>患者获得一种或</w:t>
      </w:r>
      <w:r>
        <w:rPr>
          <w:rFonts w:hint="eastAsia"/>
          <w:b/>
          <w:bCs/>
          <w:sz w:val="24"/>
          <w:szCs w:val="24"/>
          <w:lang w:eastAsia="zh-CN"/>
        </w:rPr>
        <w:t>多种</w:t>
      </w:r>
      <w:r>
        <w:rPr>
          <w:b/>
          <w:bCs/>
          <w:sz w:val="24"/>
          <w:szCs w:val="24"/>
          <w:lang w:eastAsia="zh-CN"/>
        </w:rPr>
        <w:t>获益的概率</w:t>
      </w:r>
      <w:r>
        <w:rPr>
          <w:sz w:val="24"/>
          <w:szCs w:val="24"/>
          <w:lang w:eastAsia="zh-CN"/>
        </w:rPr>
        <w:t xml:space="preserve"> - 根据提供的数据，有时可能预测哪些患者可能获益，有时则无法充分预测。数据可能表明，可能只有目标人群中的少</w:t>
      </w:r>
      <w:r>
        <w:rPr>
          <w:rFonts w:hint="eastAsia"/>
          <w:sz w:val="24"/>
          <w:szCs w:val="24"/>
          <w:lang w:eastAsia="zh-CN"/>
        </w:rPr>
        <w:t>数</w:t>
      </w:r>
      <w:r>
        <w:rPr>
          <w:sz w:val="24"/>
          <w:szCs w:val="24"/>
          <w:lang w:eastAsia="zh-CN"/>
        </w:rPr>
        <w:t>患者获益，另一方面，往往是整个目标人群中的患者获益。</w:t>
      </w:r>
      <w:r>
        <w:rPr>
          <w:rFonts w:hint="eastAsia"/>
          <w:sz w:val="24"/>
          <w:szCs w:val="24"/>
          <w:lang w:eastAsia="zh-CN"/>
        </w:rPr>
        <w:t>也</w:t>
      </w:r>
      <w:r>
        <w:rPr>
          <w:sz w:val="24"/>
          <w:szCs w:val="24"/>
          <w:lang w:eastAsia="zh-CN"/>
        </w:rPr>
        <w:t>可能是，数据显示不同的患者亚群可能会有不同的获益，或同一获益的程度不同。如果可以确定亚组，器械可能适用于这些亚组。但在某些情况下，这些亚群可能无法被识别。此外，在权衡获益与风险时，我们同时考虑了获益程度和概率。也就是说，</w:t>
      </w:r>
      <w:r>
        <w:rPr>
          <w:rFonts w:hint="eastAsia"/>
          <w:sz w:val="24"/>
          <w:szCs w:val="24"/>
          <w:lang w:eastAsia="zh-CN"/>
        </w:rPr>
        <w:t>少数</w:t>
      </w:r>
      <w:r>
        <w:rPr>
          <w:sz w:val="24"/>
          <w:szCs w:val="24"/>
          <w:lang w:eastAsia="zh-CN"/>
        </w:rPr>
        <w:t>受试者获得的大量获益可能会引起不同的考虑，而大多数</w:t>
      </w:r>
      <w:r>
        <w:rPr>
          <w:rFonts w:hint="eastAsia"/>
          <w:sz w:val="24"/>
          <w:szCs w:val="24"/>
          <w:lang w:eastAsia="zh-CN"/>
        </w:rPr>
        <w:t>受试者</w:t>
      </w:r>
      <w:r>
        <w:rPr>
          <w:sz w:val="24"/>
          <w:szCs w:val="24"/>
          <w:lang w:eastAsia="zh-CN"/>
        </w:rPr>
        <w:t>获得的少量获益则会引起不同的考虑。例如，即使只有少量患者，大幅获益也可能足以超过风险，除非大量受试者获益，否则小幅获益可能不会超过风险。</w:t>
      </w:r>
    </w:p>
    <w:p w14:paraId="6AE19BAF">
      <w:pPr>
        <w:pStyle w:val="18"/>
        <w:spacing w:before="120"/>
        <w:ind w:left="748" w:hanging="322"/>
        <w:rPr>
          <w:sz w:val="24"/>
          <w:szCs w:val="24"/>
          <w:lang w:eastAsia="zh-CN"/>
        </w:rPr>
      </w:pPr>
      <w:r>
        <w:rPr>
          <w:sz w:val="24"/>
          <w:szCs w:val="24"/>
          <w:lang w:eastAsia="zh-CN"/>
        </w:rPr>
        <w:br w:type="page"/>
      </w:r>
    </w:p>
    <w:p w14:paraId="6AE19BB0">
      <w:pPr>
        <w:pStyle w:val="18"/>
        <w:spacing w:before="120" w:line="400" w:lineRule="exact"/>
        <w:ind w:left="748" w:hanging="322"/>
        <w:rPr>
          <w:sz w:val="24"/>
          <w:szCs w:val="24"/>
          <w:lang w:eastAsia="zh-CN"/>
        </w:rPr>
      </w:pPr>
      <w:r>
        <w:rPr>
          <w:sz w:val="24"/>
          <w:szCs w:val="24"/>
          <w:lang w:eastAsia="zh-CN"/>
        </w:rPr>
        <w:t>-</w:t>
      </w:r>
      <w:r>
        <w:rPr>
          <w:sz w:val="24"/>
          <w:szCs w:val="24"/>
          <w:lang w:eastAsia="zh-CN"/>
        </w:rPr>
        <w:tab/>
      </w:r>
      <w:r>
        <w:rPr>
          <w:b/>
          <w:bCs/>
          <w:sz w:val="24"/>
          <w:szCs w:val="24"/>
          <w:lang w:eastAsia="zh-CN"/>
        </w:rPr>
        <w:t>起效时间</w:t>
      </w:r>
      <w:r>
        <w:rPr>
          <w:sz w:val="24"/>
          <w:szCs w:val="24"/>
          <w:lang w:eastAsia="zh-CN"/>
        </w:rPr>
        <w:t xml:space="preserve">（即预计对患者的获益可以持续多长时间） - </w:t>
      </w:r>
      <w:r>
        <w:rPr>
          <w:rFonts w:hint="eastAsia"/>
          <w:sz w:val="24"/>
          <w:szCs w:val="24"/>
          <w:lang w:eastAsia="zh-CN"/>
        </w:rPr>
        <w:t>有</w:t>
      </w:r>
      <w:r>
        <w:rPr>
          <w:sz w:val="24"/>
          <w:szCs w:val="24"/>
          <w:lang w:eastAsia="zh-CN"/>
        </w:rPr>
        <w:t>些治疗方式能够起到治愈效果，而</w:t>
      </w:r>
      <w:r>
        <w:rPr>
          <w:rFonts w:hint="eastAsia"/>
          <w:sz w:val="24"/>
          <w:szCs w:val="24"/>
          <w:lang w:eastAsia="zh-CN"/>
        </w:rPr>
        <w:t>有些</w:t>
      </w:r>
      <w:r>
        <w:rPr>
          <w:sz w:val="24"/>
          <w:szCs w:val="24"/>
          <w:lang w:eastAsia="zh-CN"/>
        </w:rPr>
        <w:t>则可能需要在患者的一生中频繁重复。在已知范围内，治疗起效时间可能直接影响其获益的界定。必须随时间重复进行的治疗方式可能产生更大的风险，或者每次重复治疗</w:t>
      </w:r>
      <w:r>
        <w:rPr>
          <w:rFonts w:hint="eastAsia"/>
          <w:sz w:val="24"/>
          <w:szCs w:val="24"/>
          <w:lang w:eastAsia="zh-CN"/>
        </w:rPr>
        <w:t>的</w:t>
      </w:r>
      <w:r>
        <w:rPr>
          <w:sz w:val="24"/>
          <w:szCs w:val="24"/>
          <w:lang w:eastAsia="zh-CN"/>
        </w:rPr>
        <w:t>获益可能会减少。</w:t>
      </w:r>
    </w:p>
    <w:p w14:paraId="6AE19BB1">
      <w:pPr>
        <w:pStyle w:val="17"/>
        <w:spacing w:before="120" w:after="120" w:line="400" w:lineRule="exact"/>
        <w:rPr>
          <w:lang w:eastAsia="zh-CN"/>
        </w:rPr>
      </w:pPr>
      <w:bookmarkStart w:id="38" w:name="bookmark29"/>
      <w:bookmarkStart w:id="39" w:name="_Toc97318820"/>
    </w:p>
    <w:p w14:paraId="6AE19BB2">
      <w:pPr>
        <w:pStyle w:val="17"/>
        <w:spacing w:before="120" w:after="120" w:line="400" w:lineRule="exact"/>
        <w:rPr>
          <w:lang w:eastAsia="zh-CN"/>
        </w:rPr>
      </w:pPr>
      <w:r>
        <w:rPr>
          <w:lang w:eastAsia="zh-CN"/>
        </w:rPr>
        <w:t>B.</w:t>
      </w:r>
      <w:r>
        <w:rPr>
          <w:lang w:eastAsia="zh-CN"/>
        </w:rPr>
        <w:tab/>
      </w:r>
      <w:r>
        <w:rPr>
          <w:lang w:eastAsia="zh-CN"/>
        </w:rPr>
        <w:t>器械的风险评估</w:t>
      </w:r>
      <w:bookmarkEnd w:id="38"/>
      <w:bookmarkEnd w:id="39"/>
    </w:p>
    <w:p w14:paraId="6AE19BB3">
      <w:pPr>
        <w:tabs>
          <w:tab w:val="left" w:pos="4512"/>
        </w:tabs>
        <w:snapToGrid w:val="0"/>
        <w:spacing w:before="120" w:beforeLines="50" w:line="400" w:lineRule="exact"/>
        <w:jc w:val="both"/>
        <w:rPr>
          <w:sz w:val="24"/>
          <w:szCs w:val="24"/>
          <w:lang w:eastAsia="zh-CN"/>
        </w:rPr>
      </w:pPr>
      <w:bookmarkStart w:id="40" w:name="bookmark30"/>
      <w:r>
        <w:rPr>
          <w:b/>
          <w:bCs/>
          <w:sz w:val="24"/>
          <w:szCs w:val="24"/>
          <w:lang w:eastAsia="zh-CN"/>
        </w:rPr>
        <w:t>可能的风险/伤害程度：</w:t>
      </w:r>
      <w:r>
        <w:rPr>
          <w:sz w:val="24"/>
          <w:szCs w:val="24"/>
          <w:lang w:eastAsia="zh-CN"/>
        </w:rPr>
        <w:t>FDA通过单独和综合考虑以下因素来评估可能的</w:t>
      </w:r>
      <w:bookmarkEnd w:id="40"/>
      <w:r>
        <w:rPr>
          <w:sz w:val="24"/>
          <w:szCs w:val="24"/>
          <w:lang w:eastAsia="zh-CN"/>
        </w:rPr>
        <w:t>风险/伤害程度：</w:t>
      </w:r>
    </w:p>
    <w:p w14:paraId="6AE19BB4">
      <w:pPr>
        <w:pStyle w:val="18"/>
        <w:spacing w:before="120" w:line="400" w:lineRule="exact"/>
        <w:ind w:left="748" w:hanging="322"/>
        <w:rPr>
          <w:b/>
          <w:bCs/>
          <w:sz w:val="24"/>
          <w:szCs w:val="24"/>
          <w:lang w:eastAsia="zh-CN"/>
        </w:rPr>
      </w:pPr>
      <w:r>
        <w:rPr>
          <w:sz w:val="24"/>
          <w:szCs w:val="24"/>
          <w:lang w:eastAsia="zh-CN"/>
        </w:rPr>
        <w:t>-</w:t>
      </w:r>
      <w:r>
        <w:rPr>
          <w:sz w:val="24"/>
          <w:szCs w:val="24"/>
          <w:lang w:eastAsia="zh-CN"/>
        </w:rPr>
        <w:tab/>
      </w:r>
      <w:r>
        <w:rPr>
          <w:b/>
          <w:bCs/>
          <w:sz w:val="24"/>
          <w:szCs w:val="24"/>
          <w:lang w:eastAsia="zh-CN"/>
        </w:rPr>
        <w:t>使用器械</w:t>
      </w:r>
      <w:r>
        <w:fldChar w:fldCharType="begin"/>
      </w:r>
      <w:r>
        <w:instrText xml:space="preserve"> HYPERLINK \l "bookmark32" \o "Current Document" \h </w:instrText>
      </w:r>
      <w:r>
        <w:fldChar w:fldCharType="separate"/>
      </w:r>
      <w:r>
        <w:rPr>
          <w:b/>
          <w:bCs/>
          <w:sz w:val="24"/>
          <w:szCs w:val="24"/>
          <w:vertAlign w:val="superscript"/>
          <w:lang w:eastAsia="zh-CN"/>
        </w:rPr>
        <w:t>12</w:t>
      </w:r>
      <w:r>
        <w:rPr>
          <w:b/>
          <w:bCs/>
          <w:sz w:val="24"/>
          <w:szCs w:val="24"/>
          <w:vertAlign w:val="superscript"/>
          <w:lang w:eastAsia="zh-CN"/>
        </w:rPr>
        <w:fldChar w:fldCharType="end"/>
      </w:r>
      <w:r>
        <w:rPr>
          <w:b/>
          <w:bCs/>
          <w:sz w:val="24"/>
          <w:szCs w:val="24"/>
          <w:lang w:eastAsia="zh-CN"/>
        </w:rPr>
        <w:t>发生的有害事件的严重度、类型、数量和发生率</w:t>
      </w:r>
      <w:r>
        <w:fldChar w:fldCharType="begin"/>
      </w:r>
      <w:r>
        <w:instrText xml:space="preserve"> HYPERLINK \l "bookmark31" \o "当前文件" \h </w:instrText>
      </w:r>
      <w:r>
        <w:fldChar w:fldCharType="separate"/>
      </w:r>
      <w:r>
        <w:rPr>
          <w:b/>
          <w:bCs/>
          <w:sz w:val="24"/>
          <w:szCs w:val="24"/>
          <w:vertAlign w:val="superscript"/>
          <w:lang w:eastAsia="zh-CN"/>
        </w:rPr>
        <w:t>11</w:t>
      </w:r>
      <w:r>
        <w:rPr>
          <w:b/>
          <w:bCs/>
          <w:sz w:val="24"/>
          <w:szCs w:val="24"/>
          <w:lang w:eastAsia="zh-CN"/>
        </w:rPr>
        <w:t xml:space="preserve"> </w:t>
      </w:r>
      <w:r>
        <w:rPr>
          <w:b/>
          <w:bCs/>
          <w:sz w:val="24"/>
          <w:szCs w:val="24"/>
          <w:lang w:eastAsia="zh-CN"/>
        </w:rPr>
        <w:fldChar w:fldCharType="end"/>
      </w:r>
      <w:r>
        <w:rPr>
          <w:b/>
          <w:bCs/>
          <w:sz w:val="24"/>
          <w:szCs w:val="24"/>
          <w:lang w:eastAsia="zh-CN"/>
        </w:rPr>
        <w:t>：</w:t>
      </w:r>
    </w:p>
    <w:p w14:paraId="6AE19BB5">
      <w:pPr>
        <w:pStyle w:val="18"/>
        <w:spacing w:before="120" w:line="400" w:lineRule="exact"/>
        <w:ind w:left="748" w:hanging="322"/>
        <w:rPr>
          <w:sz w:val="24"/>
          <w:szCs w:val="24"/>
          <w:lang w:eastAsia="zh-CN"/>
        </w:rPr>
      </w:pPr>
    </w:p>
    <w:p w14:paraId="6AE19BB6">
      <w:pPr>
        <w:pStyle w:val="19"/>
        <w:spacing w:before="120" w:line="400" w:lineRule="exact"/>
        <w:ind w:left="1619" w:hanging="487"/>
        <w:rPr>
          <w:sz w:val="24"/>
          <w:szCs w:val="24"/>
          <w:lang w:eastAsia="zh-CN"/>
        </w:rPr>
      </w:pPr>
      <w:r>
        <w:rPr>
          <w:sz w:val="24"/>
          <w:szCs w:val="24"/>
          <w:lang w:eastAsia="zh-CN"/>
        </w:rPr>
        <w:t>○</w:t>
      </w:r>
      <w:r>
        <w:rPr>
          <w:sz w:val="24"/>
          <w:szCs w:val="24"/>
          <w:lang w:eastAsia="zh-CN"/>
        </w:rPr>
        <w:tab/>
      </w:r>
      <w:r>
        <w:rPr>
          <w:b/>
          <w:bCs/>
          <w:sz w:val="24"/>
          <w:szCs w:val="24"/>
          <w:lang w:eastAsia="zh-CN"/>
        </w:rPr>
        <w:t xml:space="preserve">器械相关严重不良事件 </w:t>
      </w:r>
      <w:r>
        <w:rPr>
          <w:sz w:val="24"/>
          <w:szCs w:val="24"/>
          <w:lang w:eastAsia="zh-CN"/>
        </w:rPr>
        <w:t>-可能是使用器械引起的、导致危及生命的任何损伤或疾病、导致身体发生永久损害或损伤或需要医学或外科治疗以防对身体造成永久伤害的事件。</w:t>
      </w:r>
      <w:r>
        <w:fldChar w:fldCharType="begin"/>
      </w:r>
      <w:r>
        <w:instrText xml:space="preserve"> HYPERLINK \l "bookmark33" \o "当前文件" \h </w:instrText>
      </w:r>
      <w:r>
        <w:fldChar w:fldCharType="separate"/>
      </w:r>
      <w:r>
        <w:rPr>
          <w:sz w:val="24"/>
          <w:szCs w:val="24"/>
          <w:vertAlign w:val="superscript"/>
          <w:lang w:eastAsia="zh-CN"/>
        </w:rPr>
        <w:t>13</w:t>
      </w:r>
      <w:r>
        <w:rPr>
          <w:sz w:val="24"/>
          <w:szCs w:val="24"/>
          <w:vertAlign w:val="superscript"/>
          <w:lang w:eastAsia="zh-CN"/>
        </w:rPr>
        <w:fldChar w:fldCharType="end"/>
      </w:r>
    </w:p>
    <w:p w14:paraId="6AE19BB7">
      <w:pPr>
        <w:pStyle w:val="19"/>
        <w:spacing w:before="120" w:line="400" w:lineRule="exact"/>
        <w:ind w:left="1619" w:hanging="487"/>
        <w:rPr>
          <w:sz w:val="24"/>
          <w:szCs w:val="24"/>
          <w:lang w:eastAsia="zh-CN"/>
        </w:rPr>
      </w:pPr>
      <w:r>
        <w:rPr>
          <w:sz w:val="24"/>
          <w:szCs w:val="24"/>
          <w:lang w:eastAsia="zh-CN"/>
        </w:rPr>
        <w:t>○</w:t>
      </w:r>
      <w:r>
        <w:rPr>
          <w:sz w:val="24"/>
          <w:szCs w:val="24"/>
          <w:lang w:eastAsia="zh-CN"/>
        </w:rPr>
        <w:tab/>
      </w:r>
      <w:r>
        <w:rPr>
          <w:b/>
          <w:bCs/>
          <w:sz w:val="24"/>
          <w:szCs w:val="24"/>
          <w:lang w:eastAsia="zh-CN"/>
        </w:rPr>
        <w:t xml:space="preserve">器械相关非严重不良事件 - </w:t>
      </w:r>
      <w:r>
        <w:rPr>
          <w:sz w:val="24"/>
          <w:szCs w:val="24"/>
          <w:lang w:eastAsia="zh-CN"/>
        </w:rPr>
        <w:t>可能是使用器械引起的但不符合器械相关严重不良事件分类标准的事件。</w:t>
      </w:r>
    </w:p>
    <w:p w14:paraId="6AE19BB8">
      <w:pPr>
        <w:pStyle w:val="19"/>
        <w:spacing w:before="120" w:line="400" w:lineRule="exact"/>
        <w:ind w:left="1619" w:hanging="487"/>
        <w:rPr>
          <w:lang w:eastAsia="zh-CN"/>
        </w:rPr>
      </w:pPr>
      <w:r>
        <w:rPr>
          <w:sz w:val="24"/>
          <w:szCs w:val="24"/>
          <w:lang w:eastAsia="zh-CN"/>
        </w:rPr>
        <w:t>○</w:t>
      </w:r>
      <w:r>
        <w:rPr>
          <w:sz w:val="24"/>
          <w:szCs w:val="24"/>
          <w:lang w:eastAsia="zh-CN"/>
        </w:rPr>
        <w:tab/>
      </w:r>
      <w:r>
        <w:rPr>
          <w:b/>
          <w:bCs/>
          <w:sz w:val="24"/>
          <w:szCs w:val="24"/>
          <w:lang w:eastAsia="zh-CN"/>
        </w:rPr>
        <w:t xml:space="preserve">手术相关并发症 - </w:t>
      </w:r>
      <w:r>
        <w:rPr>
          <w:sz w:val="24"/>
          <w:szCs w:val="24"/>
          <w:lang w:eastAsia="zh-CN"/>
        </w:rPr>
        <w:t>不属于严重或非严重不良事件的、不是使用器械直接引起的患者伤害。例如植入器械期间与麻醉相关的并发症。同样，在确定获益-风险时，FDA将考虑与收集人类生物材料相关的风险。</w:t>
      </w:r>
      <w:r>
        <w:fldChar w:fldCharType="begin"/>
      </w:r>
      <w:r>
        <w:instrText xml:space="preserve"> HYPERLINK \l "bookmark36" \o "当前文件" \h </w:instrText>
      </w:r>
      <w:r>
        <w:fldChar w:fldCharType="separate"/>
      </w:r>
      <w:r>
        <w:rPr>
          <w:sz w:val="24"/>
          <w:szCs w:val="24"/>
          <w:vertAlign w:val="superscript"/>
          <w:lang w:eastAsia="zh-CN"/>
        </w:rPr>
        <w:t>14</w:t>
      </w:r>
      <w:r>
        <w:rPr>
          <w:sz w:val="24"/>
          <w:szCs w:val="24"/>
          <w:vertAlign w:val="superscript"/>
          <w:lang w:eastAsia="zh-CN"/>
        </w:rPr>
        <w:fldChar w:fldCharType="end"/>
      </w:r>
    </w:p>
    <w:p w14:paraId="6AE19BB9">
      <w:pPr>
        <w:pStyle w:val="19"/>
        <w:spacing w:before="120"/>
        <w:rPr>
          <w:lang w:eastAsia="zh-CN"/>
        </w:rPr>
      </w:pPr>
    </w:p>
    <w:p w14:paraId="6AE19BBA">
      <w:pPr>
        <w:pStyle w:val="19"/>
        <w:spacing w:before="120"/>
        <w:ind w:left="1619" w:hanging="487"/>
        <w:rPr>
          <w:sz w:val="24"/>
          <w:szCs w:val="24"/>
          <w:lang w:eastAsia="zh-CN"/>
        </w:rPr>
      </w:pPr>
    </w:p>
    <w:p w14:paraId="6AE19BBB">
      <w:pPr>
        <w:pStyle w:val="19"/>
        <w:spacing w:before="120"/>
        <w:ind w:left="1619" w:hanging="487"/>
        <w:rPr>
          <w:sz w:val="24"/>
          <w:szCs w:val="24"/>
          <w:lang w:eastAsia="zh-CN"/>
        </w:rPr>
      </w:pPr>
    </w:p>
    <w:p w14:paraId="6AE19BBC">
      <w:pPr>
        <w:pStyle w:val="19"/>
        <w:spacing w:before="120"/>
        <w:ind w:left="1619" w:hanging="487"/>
        <w:rPr>
          <w:sz w:val="24"/>
          <w:szCs w:val="24"/>
          <w:lang w:eastAsia="zh-CN"/>
        </w:rPr>
      </w:pPr>
    </w:p>
    <w:p w14:paraId="6AE19BBD">
      <w:pPr>
        <w:pStyle w:val="19"/>
        <w:spacing w:before="120"/>
        <w:ind w:left="1619" w:hanging="487"/>
        <w:rPr>
          <w:sz w:val="24"/>
          <w:szCs w:val="24"/>
          <w:lang w:eastAsia="zh-CN"/>
        </w:rPr>
      </w:pPr>
    </w:p>
    <w:p w14:paraId="6AE19BBE">
      <w:pPr>
        <w:pStyle w:val="19"/>
        <w:spacing w:before="120"/>
        <w:ind w:left="1619" w:hanging="487"/>
        <w:rPr>
          <w:sz w:val="24"/>
          <w:szCs w:val="24"/>
          <w:lang w:eastAsia="zh-CN"/>
        </w:rPr>
      </w:pPr>
    </w:p>
    <w:p w14:paraId="6AE19BBF">
      <w:pPr>
        <w:pStyle w:val="19"/>
        <w:spacing w:before="120"/>
        <w:ind w:left="1619" w:hanging="487"/>
        <w:rPr>
          <w:sz w:val="24"/>
          <w:szCs w:val="24"/>
          <w:lang w:eastAsia="zh-CN"/>
        </w:rPr>
      </w:pPr>
    </w:p>
    <w:p w14:paraId="6AE19BC0">
      <w:pPr>
        <w:pStyle w:val="19"/>
        <w:spacing w:before="120"/>
        <w:ind w:left="1619" w:hanging="487"/>
        <w:rPr>
          <w:sz w:val="24"/>
          <w:szCs w:val="24"/>
          <w:lang w:eastAsia="zh-CN"/>
        </w:rPr>
      </w:pPr>
    </w:p>
    <w:p w14:paraId="6AE19BC1">
      <w:pPr>
        <w:pStyle w:val="19"/>
        <w:spacing w:before="120"/>
        <w:ind w:left="1619" w:hanging="487"/>
        <w:rPr>
          <w:sz w:val="24"/>
          <w:szCs w:val="24"/>
          <w:lang w:eastAsia="zh-CN"/>
        </w:rPr>
      </w:pPr>
    </w:p>
    <w:p w14:paraId="6AE19BC2">
      <w:pPr>
        <w:pStyle w:val="19"/>
        <w:spacing w:before="120"/>
        <w:ind w:left="1557" w:hanging="424" w:hangingChars="177"/>
        <w:rPr>
          <w:sz w:val="24"/>
          <w:szCs w:val="24"/>
          <w:lang w:eastAsia="zh-CN"/>
        </w:rPr>
      </w:pPr>
    </w:p>
    <w:p w14:paraId="6AE19BC3">
      <w:pPr>
        <w:snapToGrid w:val="0"/>
        <w:spacing w:before="120" w:beforeLines="50"/>
        <w:jc w:val="both"/>
        <w:rPr>
          <w:sz w:val="18"/>
          <w:szCs w:val="18"/>
          <w:lang w:eastAsia="zh-CN"/>
        </w:rPr>
      </w:pPr>
      <w:bookmarkStart w:id="41" w:name="bookmark31"/>
      <w:bookmarkStart w:id="42" w:name="bookmark32"/>
      <w:r>
        <w:rPr>
          <w:sz w:val="18"/>
          <w:szCs w:val="18"/>
          <w:lang w:eastAsia="zh-CN"/>
        </w:rPr>
        <w:t>_______________________</w:t>
      </w:r>
    </w:p>
    <w:p w14:paraId="6AE19BC4">
      <w:pPr>
        <w:tabs>
          <w:tab w:val="left" w:pos="173"/>
        </w:tabs>
        <w:snapToGrid w:val="0"/>
        <w:spacing w:before="120" w:beforeLines="50"/>
        <w:jc w:val="both"/>
        <w:rPr>
          <w:sz w:val="18"/>
          <w:szCs w:val="18"/>
          <w:lang w:eastAsia="zh-CN"/>
        </w:rPr>
      </w:pPr>
      <w:r>
        <w:rPr>
          <w:sz w:val="18"/>
          <w:szCs w:val="18"/>
          <w:vertAlign w:val="superscript"/>
          <w:lang w:eastAsia="zh-CN"/>
        </w:rPr>
        <w:t>11</w:t>
      </w:r>
      <w:r>
        <w:rPr>
          <w:sz w:val="18"/>
          <w:szCs w:val="18"/>
          <w:lang w:eastAsia="zh-CN"/>
        </w:rPr>
        <w:tab/>
      </w:r>
      <w:r>
        <w:rPr>
          <w:sz w:val="18"/>
          <w:szCs w:val="18"/>
          <w:lang w:eastAsia="zh-CN"/>
        </w:rPr>
        <w:t>对于本指南的目的，</w:t>
      </w:r>
      <w:r>
        <w:rPr>
          <w:rFonts w:ascii="宋体" w:hAnsi="宋体"/>
          <w:sz w:val="18"/>
          <w:szCs w:val="18"/>
          <w:lang w:eastAsia="zh-CN"/>
        </w:rPr>
        <w:t>“</w:t>
      </w:r>
      <w:r>
        <w:rPr>
          <w:sz w:val="18"/>
          <w:szCs w:val="18"/>
          <w:lang w:eastAsia="zh-CN"/>
        </w:rPr>
        <w:t>发生率</w:t>
      </w:r>
      <w:r>
        <w:rPr>
          <w:rFonts w:ascii="宋体" w:hAnsi="宋体"/>
          <w:sz w:val="18"/>
          <w:szCs w:val="18"/>
          <w:lang w:eastAsia="zh-CN"/>
        </w:rPr>
        <w:t>”</w:t>
      </w:r>
      <w:r>
        <w:rPr>
          <w:sz w:val="18"/>
          <w:szCs w:val="18"/>
          <w:lang w:eastAsia="zh-CN"/>
        </w:rPr>
        <w:t>表示每例患者发生的有害事件数量或者单位时间内的有害事件数量。</w:t>
      </w:r>
      <w:bookmarkEnd w:id="41"/>
      <w:bookmarkEnd w:id="42"/>
    </w:p>
    <w:p w14:paraId="6AE19BC5">
      <w:pPr>
        <w:tabs>
          <w:tab w:val="left" w:pos="187"/>
        </w:tabs>
        <w:snapToGrid w:val="0"/>
        <w:spacing w:before="120" w:beforeLines="50"/>
        <w:jc w:val="both"/>
        <w:rPr>
          <w:sz w:val="18"/>
          <w:szCs w:val="18"/>
          <w:lang w:eastAsia="zh-CN"/>
        </w:rPr>
      </w:pPr>
      <w:bookmarkStart w:id="43" w:name="bookmark33"/>
      <w:r>
        <w:rPr>
          <w:sz w:val="18"/>
          <w:szCs w:val="18"/>
          <w:vertAlign w:val="superscript"/>
          <w:lang w:eastAsia="zh-CN"/>
        </w:rPr>
        <w:t>12</w:t>
      </w:r>
      <w:r>
        <w:rPr>
          <w:sz w:val="18"/>
          <w:szCs w:val="18"/>
          <w:lang w:eastAsia="zh-CN"/>
        </w:rPr>
        <w:tab/>
      </w:r>
      <w:r>
        <w:rPr>
          <w:sz w:val="18"/>
          <w:szCs w:val="18"/>
          <w:lang w:eastAsia="zh-CN"/>
        </w:rPr>
        <w:t>我们单独列出了每种类型的伤害，以澄清FDA在获益-风险评估中考虑的更常见的公认伤害。在获益-风险评估期间，FDA</w:t>
      </w:r>
      <w:r>
        <w:rPr>
          <w:rFonts w:hint="eastAsia"/>
          <w:sz w:val="18"/>
          <w:szCs w:val="18"/>
          <w:lang w:eastAsia="zh-CN"/>
        </w:rPr>
        <w:t>并未</w:t>
      </w:r>
      <w:r>
        <w:rPr>
          <w:sz w:val="18"/>
          <w:szCs w:val="18"/>
          <w:lang w:eastAsia="zh-CN"/>
        </w:rPr>
        <w:t>单独考虑每一种伤害，而是着眼于与该器械相关的所有有害事件。</w:t>
      </w:r>
      <w:bookmarkEnd w:id="43"/>
    </w:p>
    <w:p w14:paraId="6AE19BC6">
      <w:pPr>
        <w:tabs>
          <w:tab w:val="left" w:pos="187"/>
        </w:tabs>
        <w:snapToGrid w:val="0"/>
        <w:spacing w:before="120" w:beforeLines="50"/>
        <w:jc w:val="both"/>
        <w:rPr>
          <w:lang w:eastAsia="zh-CN"/>
        </w:rPr>
      </w:pPr>
      <w:r>
        <w:rPr>
          <w:sz w:val="18"/>
          <w:szCs w:val="18"/>
          <w:vertAlign w:val="superscript"/>
          <w:lang w:eastAsia="zh-CN"/>
        </w:rPr>
        <w:t>13</w:t>
      </w:r>
      <w:r>
        <w:rPr>
          <w:sz w:val="18"/>
          <w:szCs w:val="18"/>
          <w:lang w:eastAsia="zh-CN"/>
        </w:rPr>
        <w:tab/>
      </w:r>
      <w:r>
        <w:rPr>
          <w:sz w:val="18"/>
          <w:szCs w:val="18"/>
          <w:lang w:eastAsia="zh-CN"/>
        </w:rPr>
        <w:t>见21 CFR 803.3。</w:t>
      </w:r>
      <w:r>
        <w:rPr>
          <w:lang w:eastAsia="zh-CN"/>
        </w:rPr>
        <w:br w:type="page"/>
      </w:r>
    </w:p>
    <w:p w14:paraId="6AE19BC7">
      <w:pPr>
        <w:pStyle w:val="18"/>
        <w:spacing w:before="120" w:line="400" w:lineRule="exact"/>
        <w:ind w:left="748" w:hanging="322"/>
        <w:rPr>
          <w:sz w:val="24"/>
          <w:szCs w:val="24"/>
          <w:lang w:eastAsia="zh-CN"/>
        </w:rPr>
      </w:pPr>
      <w:r>
        <w:rPr>
          <w:sz w:val="24"/>
          <w:szCs w:val="24"/>
          <w:lang w:eastAsia="zh-CN"/>
        </w:rPr>
        <w:t>-</w:t>
      </w:r>
      <w:r>
        <w:rPr>
          <w:sz w:val="24"/>
          <w:szCs w:val="24"/>
          <w:lang w:eastAsia="zh-CN"/>
        </w:rPr>
        <w:tab/>
      </w:r>
      <w:r>
        <w:rPr>
          <w:b/>
          <w:bCs/>
          <w:sz w:val="24"/>
          <w:szCs w:val="24"/>
          <w:lang w:eastAsia="zh-CN"/>
        </w:rPr>
        <w:t xml:space="preserve">有害事件的概率 - </w:t>
      </w:r>
      <w:r>
        <w:rPr>
          <w:sz w:val="24"/>
          <w:szCs w:val="24"/>
          <w:lang w:eastAsia="zh-CN"/>
        </w:rPr>
        <w:t>预计发生有害事件的适应人群比例。FDA将在概率测量中考虑事件是发生一次还是重复发生。</w:t>
      </w:r>
    </w:p>
    <w:p w14:paraId="6AE19BC8">
      <w:pPr>
        <w:pStyle w:val="18"/>
        <w:spacing w:before="120" w:line="400" w:lineRule="exact"/>
        <w:ind w:left="748" w:hanging="322"/>
        <w:rPr>
          <w:sz w:val="24"/>
          <w:szCs w:val="24"/>
          <w:lang w:eastAsia="zh-CN"/>
        </w:rPr>
      </w:pPr>
      <w:r>
        <w:rPr>
          <w:sz w:val="24"/>
          <w:szCs w:val="24"/>
          <w:lang w:eastAsia="zh-CN"/>
        </w:rPr>
        <w:t>-</w:t>
      </w:r>
      <w:r>
        <w:rPr>
          <w:sz w:val="24"/>
          <w:szCs w:val="24"/>
          <w:lang w:eastAsia="zh-CN"/>
        </w:rPr>
        <w:tab/>
      </w:r>
      <w:r>
        <w:rPr>
          <w:b/>
          <w:bCs/>
          <w:sz w:val="24"/>
          <w:szCs w:val="24"/>
          <w:lang w:eastAsia="zh-CN"/>
        </w:rPr>
        <w:t>有害事件的持续时间</w:t>
      </w:r>
      <w:r>
        <w:rPr>
          <w:sz w:val="24"/>
          <w:szCs w:val="24"/>
          <w:lang w:eastAsia="zh-CN"/>
        </w:rPr>
        <w:t>（即不良后果会持续多长时间） - 一些器械可能导致短暂的轻微伤害；一些器械可能导致重复但可逆的伤害；其他器械则可能导致使人衰弱的永久损伤。FDA会考虑伤害的严重度和持续时间。</w:t>
      </w:r>
    </w:p>
    <w:p w14:paraId="6AE19BC9">
      <w:pPr>
        <w:pStyle w:val="18"/>
        <w:spacing w:before="120" w:line="400" w:lineRule="exact"/>
        <w:ind w:left="748" w:hanging="322"/>
        <w:rPr>
          <w:sz w:val="24"/>
          <w:szCs w:val="24"/>
          <w:lang w:eastAsia="zh-CN"/>
        </w:rPr>
      </w:pPr>
      <w:r>
        <w:rPr>
          <w:sz w:val="24"/>
          <w:szCs w:val="24"/>
          <w:lang w:eastAsia="zh-CN"/>
        </w:rPr>
        <w:t>-</w:t>
      </w:r>
      <w:r>
        <w:rPr>
          <w:sz w:val="24"/>
          <w:szCs w:val="24"/>
          <w:lang w:eastAsia="zh-CN"/>
        </w:rPr>
        <w:tab/>
      </w:r>
      <w:r>
        <w:rPr>
          <w:b/>
          <w:bCs/>
          <w:sz w:val="24"/>
          <w:szCs w:val="24"/>
          <w:lang w:eastAsia="zh-CN"/>
        </w:rPr>
        <w:t xml:space="preserve">诊断假阳性或假阴性结果的风险 </w:t>
      </w:r>
      <w:r>
        <w:rPr>
          <w:sz w:val="24"/>
          <w:szCs w:val="24"/>
          <w:lang w:eastAsia="zh-CN"/>
        </w:rPr>
        <w:t>- 如果诊断器械提供假阳性结果，例如，患者可能接受不必要的治疗，并承担伴随治疗的所有风险，或者可能被误诊为严重疾病。如果诊断器械提供假阴性结果，患者可能不会接受有效治疗（从而错过治疗的获益），或者可能不会诊断为正确的疾病或状况。假阳性和假阴性的风险可能翻倍，但是鉴于可能的风险，FDA会考虑这些风险。</w:t>
      </w:r>
    </w:p>
    <w:p w14:paraId="6AE19BCA">
      <w:pPr>
        <w:snapToGrid w:val="0"/>
        <w:spacing w:before="120" w:beforeLines="50" w:line="400" w:lineRule="exact"/>
        <w:jc w:val="both"/>
        <w:rPr>
          <w:sz w:val="24"/>
          <w:szCs w:val="24"/>
          <w:lang w:eastAsia="zh-CN"/>
        </w:rPr>
      </w:pPr>
      <w:bookmarkStart w:id="44" w:name="bookmark34"/>
      <w:r>
        <w:rPr>
          <w:sz w:val="24"/>
          <w:szCs w:val="24"/>
          <w:lang w:eastAsia="zh-CN"/>
        </w:rPr>
        <w:t>我们也会考虑使用该器械可能导致的不同类型的有害事件的数量及其总体效应的严重度。当同时发生多例有害事件时，它们会产生更大的总体效应。例如，当单独发生有害事件时，该事件可能被认定为轻微事件，但当它与其他有害事件一起发生时，对患者的总体效应可能非常大。</w:t>
      </w:r>
      <w:bookmarkEnd w:id="44"/>
    </w:p>
    <w:p w14:paraId="6AE19BCB">
      <w:pPr>
        <w:snapToGrid w:val="0"/>
        <w:spacing w:before="120" w:beforeLines="50" w:line="400" w:lineRule="exact"/>
        <w:jc w:val="both"/>
        <w:rPr>
          <w:sz w:val="24"/>
          <w:szCs w:val="24"/>
          <w:lang w:eastAsia="zh-CN"/>
        </w:rPr>
      </w:pPr>
    </w:p>
    <w:p w14:paraId="6AE19BCC">
      <w:pPr>
        <w:pStyle w:val="17"/>
        <w:spacing w:before="120" w:after="120" w:line="400" w:lineRule="exact"/>
        <w:rPr>
          <w:lang w:eastAsia="zh-CN"/>
        </w:rPr>
      </w:pPr>
      <w:bookmarkStart w:id="45" w:name="bookmark35"/>
      <w:bookmarkStart w:id="46" w:name="_Toc97318821"/>
      <w:r>
        <w:rPr>
          <w:lang w:eastAsia="zh-CN"/>
        </w:rPr>
        <w:t>C.</w:t>
      </w:r>
      <w:r>
        <w:rPr>
          <w:lang w:eastAsia="zh-CN"/>
        </w:rPr>
        <w:tab/>
      </w:r>
      <w:r>
        <w:rPr>
          <w:lang w:eastAsia="zh-CN"/>
        </w:rPr>
        <w:t>评估器械可能的获益和风险的其他因素</w:t>
      </w:r>
      <w:bookmarkEnd w:id="45"/>
      <w:bookmarkEnd w:id="46"/>
    </w:p>
    <w:p w14:paraId="6AE19BCD">
      <w:pPr>
        <w:snapToGrid w:val="0"/>
        <w:spacing w:before="120" w:beforeLines="50" w:line="400" w:lineRule="exact"/>
        <w:jc w:val="both"/>
        <w:rPr>
          <w:sz w:val="24"/>
          <w:szCs w:val="24"/>
          <w:lang w:eastAsia="zh-CN"/>
        </w:rPr>
      </w:pPr>
      <w:r>
        <w:rPr>
          <w:b/>
          <w:bCs/>
          <w:sz w:val="24"/>
          <w:szCs w:val="24"/>
          <w:lang w:eastAsia="zh-CN"/>
        </w:rPr>
        <w:t xml:space="preserve">不确定性 </w:t>
      </w:r>
      <w:r>
        <w:rPr>
          <w:sz w:val="24"/>
          <w:szCs w:val="24"/>
          <w:lang w:eastAsia="zh-CN"/>
        </w:rPr>
        <w:t>- 在确定是否能合理保证器械的安全性和有效性时，从来没有100%的确定性。然而，当确定获益-风险时，会考虑器械获益和风险的确定</w:t>
      </w:r>
      <w:r>
        <w:rPr>
          <w:rFonts w:hint="eastAsia"/>
          <w:sz w:val="24"/>
          <w:szCs w:val="24"/>
          <w:lang w:eastAsia="zh-CN"/>
        </w:rPr>
        <w:t>性</w:t>
      </w:r>
      <w:r>
        <w:rPr>
          <w:sz w:val="24"/>
          <w:szCs w:val="24"/>
          <w:lang w:eastAsia="zh-CN"/>
        </w:rPr>
        <w:t>。</w:t>
      </w:r>
      <w:r>
        <w:fldChar w:fldCharType="begin"/>
      </w:r>
      <w:r>
        <w:instrText xml:space="preserve"> HYPERLINK \l "bookmark37" \o "当前文件" \h </w:instrText>
      </w:r>
      <w:r>
        <w:fldChar w:fldCharType="separate"/>
      </w:r>
      <w:r>
        <w:rPr>
          <w:sz w:val="24"/>
          <w:szCs w:val="24"/>
          <w:vertAlign w:val="superscript"/>
          <w:lang w:eastAsia="zh-CN"/>
        </w:rPr>
        <w:t>15</w:t>
      </w:r>
      <w:r>
        <w:rPr>
          <w:sz w:val="24"/>
          <w:szCs w:val="24"/>
          <w:vertAlign w:val="superscript"/>
          <w:lang w:eastAsia="zh-CN"/>
        </w:rPr>
        <w:fldChar w:fldCharType="end"/>
      </w:r>
      <w:r>
        <w:rPr>
          <w:sz w:val="24"/>
          <w:szCs w:val="24"/>
          <w:lang w:eastAsia="zh-CN"/>
        </w:rPr>
        <w:t>临床试验的设计或实施不当或数据分析不充分等因素都可能导致研究结果不可靠。此外，对于某些类型的器械，如果无法采用对研究者和受试者设盲的试验设计，有时很难区分真实效果与安慰剂效果。此外，研究结果的可重复性、分析方法的确认、其他类似研究的结果以及该研究是第一项同类研究还是独立研究，都可能影响确定性水平。此外，试验结果对预期治疗和用户群体的普遍性也是重要因素。例如，如果器械需要深入的用户培训或专业化，临床研究的结果可能无法推广到更广泛的医生群体。同样，如果器械预期用于对部分群体的疾病进行诊断，那么该器械可能无法用于普通人群。一般而言，重点是考虑临床试验人群在多大程度上代表了预期的销售或目标人群。</w:t>
      </w:r>
    </w:p>
    <w:p w14:paraId="6AE19BCE">
      <w:pPr>
        <w:snapToGrid w:val="0"/>
        <w:spacing w:before="120" w:beforeLines="50"/>
        <w:jc w:val="both"/>
        <w:rPr>
          <w:sz w:val="24"/>
          <w:szCs w:val="24"/>
          <w:lang w:eastAsia="zh-CN"/>
        </w:rPr>
      </w:pPr>
    </w:p>
    <w:p w14:paraId="6AE19BCF">
      <w:pPr>
        <w:snapToGrid w:val="0"/>
        <w:spacing w:before="120" w:beforeLines="50"/>
        <w:jc w:val="both"/>
        <w:rPr>
          <w:sz w:val="24"/>
          <w:szCs w:val="24"/>
          <w:lang w:eastAsia="zh-CN"/>
        </w:rPr>
      </w:pPr>
    </w:p>
    <w:p w14:paraId="6AE19BD0">
      <w:pPr>
        <w:snapToGrid w:val="0"/>
        <w:spacing w:before="120" w:beforeLines="50"/>
        <w:jc w:val="both"/>
        <w:rPr>
          <w:sz w:val="24"/>
          <w:szCs w:val="24"/>
          <w:lang w:eastAsia="zh-CN"/>
        </w:rPr>
      </w:pPr>
    </w:p>
    <w:p w14:paraId="6AE19BD1">
      <w:pPr>
        <w:snapToGrid w:val="0"/>
        <w:spacing w:before="120" w:beforeLines="50"/>
        <w:jc w:val="both"/>
        <w:rPr>
          <w:sz w:val="18"/>
          <w:szCs w:val="18"/>
          <w:lang w:eastAsia="zh-CN"/>
        </w:rPr>
      </w:pPr>
      <w:bookmarkStart w:id="47" w:name="bookmark37"/>
      <w:bookmarkStart w:id="48" w:name="bookmark36"/>
      <w:r>
        <w:rPr>
          <w:sz w:val="18"/>
          <w:szCs w:val="18"/>
          <w:lang w:eastAsia="zh-CN"/>
        </w:rPr>
        <w:t>_______________________</w:t>
      </w:r>
    </w:p>
    <w:p w14:paraId="6AE19BD2">
      <w:pPr>
        <w:tabs>
          <w:tab w:val="left" w:pos="182"/>
        </w:tabs>
        <w:snapToGrid w:val="0"/>
        <w:spacing w:before="120" w:beforeLines="50"/>
        <w:jc w:val="both"/>
        <w:rPr>
          <w:sz w:val="18"/>
          <w:szCs w:val="18"/>
          <w:lang w:eastAsia="zh-CN"/>
        </w:rPr>
      </w:pPr>
      <w:r>
        <w:rPr>
          <w:sz w:val="18"/>
          <w:szCs w:val="18"/>
          <w:vertAlign w:val="superscript"/>
          <w:lang w:eastAsia="zh-CN"/>
        </w:rPr>
        <w:t>14</w:t>
      </w:r>
      <w:r>
        <w:rPr>
          <w:sz w:val="18"/>
          <w:szCs w:val="18"/>
          <w:lang w:eastAsia="zh-CN"/>
        </w:rPr>
        <w:tab/>
      </w:r>
      <w:r>
        <w:rPr>
          <w:sz w:val="18"/>
          <w:szCs w:val="18"/>
          <w:lang w:eastAsia="zh-CN"/>
        </w:rPr>
        <w:t>当通过有创手术收集生物材料进行诊断试验时，这些考虑因素会影响体外诊断器械的风险状况。</w:t>
      </w:r>
      <w:bookmarkEnd w:id="47"/>
      <w:bookmarkEnd w:id="48"/>
    </w:p>
    <w:p w14:paraId="6AE19BD3">
      <w:pPr>
        <w:tabs>
          <w:tab w:val="left" w:pos="192"/>
        </w:tabs>
        <w:snapToGrid w:val="0"/>
        <w:spacing w:before="120" w:beforeLines="50"/>
        <w:jc w:val="both"/>
      </w:pPr>
      <w:r>
        <w:rPr>
          <w:sz w:val="18"/>
          <w:szCs w:val="18"/>
          <w:vertAlign w:val="superscript"/>
          <w:lang w:eastAsia="zh-CN"/>
        </w:rPr>
        <w:t>15</w:t>
      </w:r>
      <w:r>
        <w:rPr>
          <w:sz w:val="18"/>
          <w:szCs w:val="18"/>
          <w:lang w:eastAsia="zh-CN"/>
        </w:rPr>
        <w:tab/>
      </w:r>
      <w:r>
        <w:rPr>
          <w:sz w:val="18"/>
          <w:szCs w:val="18"/>
          <w:lang w:eastAsia="zh-CN"/>
        </w:rPr>
        <w:t>参见FDA指南</w:t>
      </w:r>
      <w:r>
        <w:rPr>
          <w:rFonts w:ascii="宋体" w:hAnsi="宋体"/>
          <w:sz w:val="18"/>
          <w:szCs w:val="18"/>
          <w:lang w:eastAsia="zh-CN"/>
        </w:rPr>
        <w:t>“</w:t>
      </w:r>
      <w:r>
        <w:rPr>
          <w:sz w:val="18"/>
          <w:szCs w:val="18"/>
          <w:lang w:eastAsia="zh-CN"/>
        </w:rPr>
        <w:t>确定医疗器械上市前批准、新分类和人道主义器械豁免的获益-风险要考虑的不确定性</w:t>
      </w:r>
      <w:r>
        <w:rPr>
          <w:rFonts w:ascii="宋体" w:hAnsi="宋体"/>
          <w:sz w:val="18"/>
          <w:szCs w:val="18"/>
          <w:lang w:eastAsia="zh-CN"/>
        </w:rPr>
        <w:t>”</w:t>
      </w:r>
      <w:r>
        <w:rPr>
          <w:sz w:val="18"/>
          <w:szCs w:val="18"/>
          <w:lang w:eastAsia="zh-CN"/>
        </w:rPr>
        <w:t>，请访问</w:t>
      </w:r>
      <w:r>
        <w:rPr>
          <w:color w:val="0000FF"/>
          <w:sz w:val="18"/>
          <w:szCs w:val="18"/>
          <w:u w:val="single"/>
          <w:lang w:eastAsia="zh-CN"/>
        </w:rPr>
        <w:t>https://www.fda.gov/regulatorv-information/search-fda-guidance-documents/consideration-uncertaintv-making-benefit-risk-determinations-medical-device-premarket-approvals-de.</w:t>
      </w:r>
      <w:r>
        <w:rPr>
          <w:lang w:eastAsia="zh-CN"/>
        </w:rPr>
        <w:br w:type="page"/>
      </w:r>
    </w:p>
    <w:p w14:paraId="6AE19BD4">
      <w:pPr>
        <w:snapToGrid w:val="0"/>
        <w:spacing w:before="120" w:beforeLines="50" w:line="400" w:lineRule="exact"/>
        <w:jc w:val="both"/>
        <w:rPr>
          <w:sz w:val="24"/>
          <w:szCs w:val="24"/>
          <w:lang w:eastAsia="zh-CN"/>
        </w:rPr>
      </w:pPr>
      <w:r>
        <w:rPr>
          <w:b/>
          <w:bCs/>
          <w:sz w:val="24"/>
          <w:szCs w:val="24"/>
          <w:lang w:eastAsia="zh-CN"/>
        </w:rPr>
        <w:t xml:space="preserve">以患者为中心的评估和患者报告的结局（PRO） - </w:t>
      </w:r>
      <w:r>
        <w:rPr>
          <w:sz w:val="24"/>
          <w:szCs w:val="24"/>
          <w:lang w:eastAsia="zh-CN"/>
        </w:rPr>
        <w:t>我们认识到，当讨论治疗方案和决定时，以患者为中心的指标（例如经确认的健康相关生活质量指标和其他患者报告的结局（PRO），例如表示患者疼痛或功能体验的量表或评分）可能帮到患者和</w:t>
      </w:r>
      <w:r>
        <w:rPr>
          <w:rFonts w:hint="eastAsia"/>
          <w:sz w:val="24"/>
          <w:szCs w:val="24"/>
          <w:lang w:eastAsia="zh-CN"/>
        </w:rPr>
        <w:t>医护人员</w:t>
      </w:r>
      <w:r>
        <w:rPr>
          <w:sz w:val="24"/>
          <w:szCs w:val="24"/>
          <w:lang w:eastAsia="zh-CN"/>
        </w:rPr>
        <w:t>，也可用于证明获益，从而使产品获得批准。这些类型的指标能够让医生更好地定量器械对患者健康的影响，并帮助患者做出更明智的决定。</w:t>
      </w:r>
    </w:p>
    <w:p w14:paraId="6AE19BD5">
      <w:pPr>
        <w:snapToGrid w:val="0"/>
        <w:spacing w:before="120" w:beforeLines="50" w:line="400" w:lineRule="exact"/>
        <w:jc w:val="both"/>
        <w:rPr>
          <w:sz w:val="24"/>
          <w:szCs w:val="24"/>
          <w:lang w:eastAsia="zh-CN"/>
        </w:rPr>
      </w:pPr>
      <w:r>
        <w:rPr>
          <w:b/>
          <w:bCs/>
          <w:sz w:val="24"/>
          <w:szCs w:val="24"/>
          <w:lang w:eastAsia="zh-CN"/>
        </w:rPr>
        <w:t xml:space="preserve">疾病表征 </w:t>
      </w:r>
      <w:r>
        <w:rPr>
          <w:sz w:val="24"/>
          <w:szCs w:val="24"/>
          <w:lang w:eastAsia="zh-CN"/>
        </w:rPr>
        <w:t>- 治疗或诊断的疾病及其临床表现、它如何影响患病患者、如何</w:t>
      </w:r>
      <w:r>
        <w:rPr>
          <w:rFonts w:hint="eastAsia"/>
          <w:sz w:val="24"/>
          <w:szCs w:val="24"/>
          <w:lang w:eastAsia="zh-CN"/>
        </w:rPr>
        <w:t>及</w:t>
      </w:r>
      <w:r>
        <w:rPr>
          <w:sz w:val="24"/>
          <w:szCs w:val="24"/>
          <w:lang w:eastAsia="zh-CN"/>
        </w:rPr>
        <w:t>是否治疗确诊的疾病、疾病的自然史和进展（即患者发生改善还是恶化，及其预期发生率）都是表征疾病和确定获益和风险期间FDA考虑的重要因素。</w:t>
      </w:r>
    </w:p>
    <w:p w14:paraId="6AE19BD6">
      <w:pPr>
        <w:snapToGrid w:val="0"/>
        <w:spacing w:before="120" w:beforeLines="50" w:line="400" w:lineRule="exact"/>
        <w:jc w:val="both"/>
        <w:rPr>
          <w:sz w:val="24"/>
          <w:szCs w:val="24"/>
          <w:lang w:eastAsia="zh-CN"/>
        </w:rPr>
      </w:pPr>
      <w:r>
        <w:rPr>
          <w:b/>
          <w:bCs/>
          <w:sz w:val="24"/>
          <w:szCs w:val="24"/>
          <w:lang w:eastAsia="zh-CN"/>
        </w:rPr>
        <w:t xml:space="preserve">患者观点 </w:t>
      </w:r>
      <w:r>
        <w:rPr>
          <w:sz w:val="24"/>
          <w:szCs w:val="24"/>
          <w:lang w:eastAsia="zh-CN"/>
        </w:rPr>
        <w:t>- 如果风险可识别并可界定，不同患者</w:t>
      </w:r>
      <w:r>
        <w:rPr>
          <w:rFonts w:hint="eastAsia"/>
          <w:sz w:val="24"/>
          <w:szCs w:val="24"/>
          <w:lang w:eastAsia="zh-CN"/>
        </w:rPr>
        <w:t>对</w:t>
      </w:r>
      <w:r>
        <w:rPr>
          <w:sz w:val="24"/>
          <w:szCs w:val="24"/>
          <w:lang w:eastAsia="zh-CN"/>
        </w:rPr>
        <w:t>风险的容忍度不同，这会影响个体患者是否接受风险以换取可能的获益的决定。在审批或新分类期间确定获益-风险时，FDA认识到，患者对获益和风险的</w:t>
      </w:r>
      <w:r>
        <w:rPr>
          <w:rFonts w:hint="eastAsia"/>
          <w:sz w:val="24"/>
          <w:szCs w:val="24"/>
          <w:lang w:eastAsia="zh-CN"/>
        </w:rPr>
        <w:t>观点</w:t>
      </w:r>
      <w:r>
        <w:rPr>
          <w:sz w:val="24"/>
          <w:szCs w:val="24"/>
          <w:lang w:eastAsia="zh-CN"/>
        </w:rPr>
        <w:t>可能表明愿意忍受非常高的风险以达到可能的获益的合理患者，尤其是该获益能够改善生活质量的情况。患者偏好评估应考虑患者是否愿意使用器械或承担风险来换取可能的获益，和/或评价患者如何看待各种治疗方案的获益和风险之间的权衡，而非单侧评价。</w:t>
      </w:r>
    </w:p>
    <w:p w14:paraId="6AE19BD7">
      <w:pPr>
        <w:snapToGrid w:val="0"/>
        <w:spacing w:before="120" w:beforeLines="50" w:line="400" w:lineRule="exact"/>
        <w:jc w:val="both"/>
        <w:rPr>
          <w:sz w:val="24"/>
          <w:szCs w:val="24"/>
          <w:lang w:eastAsia="zh-CN"/>
        </w:rPr>
      </w:pPr>
      <w:r>
        <w:rPr>
          <w:sz w:val="24"/>
          <w:szCs w:val="24"/>
          <w:lang w:eastAsia="zh-CN"/>
        </w:rPr>
        <w:t>患者偏好研究能够</w:t>
      </w:r>
      <w:r>
        <w:rPr>
          <w:rFonts w:hint="eastAsia"/>
          <w:sz w:val="24"/>
          <w:szCs w:val="24"/>
          <w:lang w:eastAsia="zh-CN"/>
        </w:rPr>
        <w:t>了解</w:t>
      </w:r>
      <w:r>
        <w:rPr>
          <w:sz w:val="24"/>
          <w:szCs w:val="24"/>
          <w:lang w:eastAsia="zh-CN"/>
        </w:rPr>
        <w:t>与风险相比，患者的获益如何。患者偏好信息定义为</w:t>
      </w:r>
      <w:r>
        <w:rPr>
          <w:rFonts w:ascii="宋体" w:hAnsi="宋体"/>
          <w:sz w:val="24"/>
          <w:szCs w:val="24"/>
          <w:lang w:eastAsia="zh-CN"/>
        </w:rPr>
        <w:t>“</w:t>
      </w:r>
      <w:r>
        <w:rPr>
          <w:rFonts w:hint="eastAsia"/>
          <w:sz w:val="24"/>
          <w:szCs w:val="24"/>
          <w:lang w:eastAsia="zh-CN"/>
        </w:rPr>
        <w:t>在替代健康干预措施中的不同结局或其他属性中，患者对指定替代方案或选择的相对合适性或可接受性进行的定性或定量评估</w:t>
      </w:r>
      <w:r>
        <w:rPr>
          <w:rFonts w:ascii="宋体" w:hAnsi="宋体"/>
          <w:sz w:val="24"/>
          <w:szCs w:val="24"/>
          <w:lang w:eastAsia="zh-CN"/>
        </w:rPr>
        <w:t>”</w:t>
      </w:r>
      <w:r>
        <w:rPr>
          <w:sz w:val="24"/>
          <w:szCs w:val="24"/>
          <w:lang w:eastAsia="zh-CN"/>
        </w:rPr>
        <w:t>。</w:t>
      </w:r>
      <w:r>
        <w:fldChar w:fldCharType="begin"/>
      </w:r>
      <w:r>
        <w:instrText xml:space="preserve"> HYPERLINK \l "bookmark38" \o "当前文件" \h </w:instrText>
      </w:r>
      <w:r>
        <w:fldChar w:fldCharType="separate"/>
      </w:r>
      <w:r>
        <w:rPr>
          <w:sz w:val="24"/>
          <w:szCs w:val="24"/>
          <w:vertAlign w:val="superscript"/>
          <w:lang w:eastAsia="zh-CN"/>
        </w:rPr>
        <w:t>16</w:t>
      </w:r>
      <w:r>
        <w:rPr>
          <w:sz w:val="24"/>
          <w:szCs w:val="24"/>
          <w:lang w:eastAsia="zh-CN"/>
        </w:rPr>
        <w:t xml:space="preserve"> </w:t>
      </w:r>
      <w:r>
        <w:rPr>
          <w:sz w:val="24"/>
          <w:szCs w:val="24"/>
          <w:lang w:eastAsia="zh-CN"/>
        </w:rPr>
        <w:fldChar w:fldCharType="end"/>
      </w:r>
      <w:r>
        <w:rPr>
          <w:sz w:val="24"/>
          <w:szCs w:val="24"/>
          <w:lang w:eastAsia="zh-CN"/>
        </w:rPr>
        <w:t>FDA还可以考虑医疗合作伙伴（如父母）和医疗保健专业人员的偏好，以确定他们在PMA、HDE申请或新分类申请中对特定器械进行获益-风险评估时的相关性。</w:t>
      </w:r>
    </w:p>
    <w:p w14:paraId="6AE19BD8">
      <w:pPr>
        <w:snapToGrid w:val="0"/>
        <w:spacing w:before="120" w:beforeLines="50"/>
        <w:jc w:val="both"/>
        <w:rPr>
          <w:sz w:val="24"/>
          <w:szCs w:val="24"/>
          <w:lang w:eastAsia="zh-CN"/>
        </w:rPr>
      </w:pPr>
    </w:p>
    <w:p w14:paraId="6AE19BD9">
      <w:pPr>
        <w:snapToGrid w:val="0"/>
        <w:spacing w:before="120" w:beforeLines="50"/>
        <w:jc w:val="both"/>
        <w:rPr>
          <w:sz w:val="24"/>
          <w:szCs w:val="24"/>
          <w:lang w:eastAsia="zh-CN"/>
        </w:rPr>
      </w:pPr>
    </w:p>
    <w:p w14:paraId="6AE19BDA">
      <w:pPr>
        <w:snapToGrid w:val="0"/>
        <w:spacing w:before="120" w:beforeLines="50"/>
        <w:jc w:val="both"/>
        <w:rPr>
          <w:sz w:val="24"/>
          <w:szCs w:val="24"/>
          <w:lang w:eastAsia="zh-CN"/>
        </w:rPr>
      </w:pPr>
    </w:p>
    <w:p w14:paraId="6AE19BDB">
      <w:pPr>
        <w:snapToGrid w:val="0"/>
        <w:spacing w:before="120" w:beforeLines="50"/>
        <w:jc w:val="both"/>
        <w:rPr>
          <w:sz w:val="24"/>
          <w:szCs w:val="24"/>
          <w:lang w:eastAsia="zh-CN"/>
        </w:rPr>
      </w:pPr>
    </w:p>
    <w:p w14:paraId="6AE19BDC">
      <w:pPr>
        <w:snapToGrid w:val="0"/>
        <w:spacing w:before="120" w:beforeLines="50"/>
        <w:jc w:val="both"/>
        <w:rPr>
          <w:sz w:val="24"/>
          <w:szCs w:val="24"/>
          <w:lang w:eastAsia="zh-CN"/>
        </w:rPr>
      </w:pPr>
    </w:p>
    <w:p w14:paraId="6AE19BDD">
      <w:pPr>
        <w:snapToGrid w:val="0"/>
        <w:spacing w:before="120" w:beforeLines="50"/>
        <w:jc w:val="both"/>
        <w:rPr>
          <w:sz w:val="24"/>
          <w:szCs w:val="24"/>
          <w:lang w:eastAsia="zh-CN"/>
        </w:rPr>
      </w:pPr>
    </w:p>
    <w:p w14:paraId="6AE19BDE">
      <w:pPr>
        <w:snapToGrid w:val="0"/>
        <w:spacing w:before="120" w:beforeLines="50"/>
        <w:jc w:val="both"/>
        <w:rPr>
          <w:sz w:val="24"/>
          <w:szCs w:val="24"/>
          <w:lang w:eastAsia="zh-CN"/>
        </w:rPr>
      </w:pPr>
    </w:p>
    <w:p w14:paraId="6AE19BDF">
      <w:pPr>
        <w:snapToGrid w:val="0"/>
        <w:spacing w:before="120" w:beforeLines="50"/>
        <w:jc w:val="both"/>
        <w:rPr>
          <w:sz w:val="24"/>
          <w:szCs w:val="24"/>
          <w:lang w:eastAsia="zh-CN"/>
        </w:rPr>
      </w:pPr>
    </w:p>
    <w:p w14:paraId="6AE19BE0">
      <w:pPr>
        <w:snapToGrid w:val="0"/>
        <w:spacing w:before="120" w:beforeLines="50"/>
        <w:jc w:val="both"/>
        <w:rPr>
          <w:sz w:val="24"/>
          <w:szCs w:val="24"/>
          <w:lang w:eastAsia="zh-CN"/>
        </w:rPr>
      </w:pPr>
    </w:p>
    <w:p w14:paraId="6AE19BE1">
      <w:pPr>
        <w:snapToGrid w:val="0"/>
        <w:spacing w:before="120" w:beforeLines="50"/>
        <w:jc w:val="both"/>
        <w:rPr>
          <w:sz w:val="24"/>
          <w:szCs w:val="24"/>
          <w:lang w:eastAsia="zh-CN"/>
        </w:rPr>
      </w:pPr>
    </w:p>
    <w:p w14:paraId="6AE19BE2">
      <w:pPr>
        <w:snapToGrid w:val="0"/>
        <w:spacing w:before="120" w:beforeLines="50"/>
        <w:jc w:val="both"/>
        <w:rPr>
          <w:sz w:val="24"/>
          <w:szCs w:val="24"/>
          <w:lang w:eastAsia="zh-CN"/>
        </w:rPr>
      </w:pPr>
    </w:p>
    <w:p w14:paraId="6AE19BE3">
      <w:pPr>
        <w:snapToGrid w:val="0"/>
        <w:spacing w:before="120" w:beforeLines="50"/>
        <w:jc w:val="both"/>
        <w:rPr>
          <w:sz w:val="24"/>
          <w:szCs w:val="24"/>
          <w:lang w:eastAsia="zh-CN"/>
        </w:rPr>
      </w:pPr>
    </w:p>
    <w:p w14:paraId="6AE19BE4">
      <w:pPr>
        <w:snapToGrid w:val="0"/>
        <w:spacing w:before="120" w:beforeLines="50"/>
        <w:jc w:val="both"/>
        <w:rPr>
          <w:sz w:val="18"/>
          <w:szCs w:val="18"/>
          <w:lang w:eastAsia="zh-CN"/>
        </w:rPr>
      </w:pPr>
      <w:bookmarkStart w:id="49" w:name="bookmark38"/>
      <w:r>
        <w:rPr>
          <w:sz w:val="18"/>
          <w:szCs w:val="18"/>
          <w:lang w:eastAsia="zh-CN"/>
        </w:rPr>
        <w:t>_______________________</w:t>
      </w:r>
    </w:p>
    <w:p w14:paraId="6AE19BE5">
      <w:pPr>
        <w:snapToGrid w:val="0"/>
        <w:spacing w:before="120" w:beforeLines="50"/>
        <w:jc w:val="both"/>
        <w:rPr>
          <w:sz w:val="18"/>
          <w:szCs w:val="18"/>
        </w:rPr>
      </w:pPr>
      <w:r>
        <w:rPr>
          <w:sz w:val="18"/>
          <w:szCs w:val="18"/>
          <w:vertAlign w:val="superscript"/>
          <w:lang w:eastAsia="zh-CN"/>
        </w:rPr>
        <w:t>16</w:t>
      </w:r>
      <w:r>
        <w:rPr>
          <w:sz w:val="18"/>
          <w:szCs w:val="18"/>
          <w:lang w:eastAsia="zh-CN"/>
        </w:rPr>
        <w:tab/>
      </w:r>
      <w:r>
        <w:rPr>
          <w:sz w:val="18"/>
          <w:szCs w:val="18"/>
          <w:lang w:eastAsia="zh-CN"/>
        </w:rPr>
        <w:t>改编自：</w:t>
      </w:r>
      <w:r>
        <w:rPr>
          <w:i/>
          <w:iCs/>
          <w:sz w:val="18"/>
          <w:szCs w:val="18"/>
          <w:lang w:eastAsia="zh-CN"/>
        </w:rPr>
        <w:t>医疗器械创新联盟。</w:t>
      </w:r>
      <w:r>
        <w:rPr>
          <w:sz w:val="18"/>
          <w:szCs w:val="18"/>
          <w:lang w:eastAsia="zh-CN"/>
        </w:rPr>
        <w:t>将患者对获益和风险的偏好信息纳入新医疗技术监管评估的框架。2015（</w:t>
      </w:r>
      <w:r>
        <w:rPr>
          <w:color w:val="0000FF"/>
          <w:sz w:val="18"/>
          <w:szCs w:val="18"/>
          <w:u w:val="single"/>
          <w:lang w:eastAsia="zh-CN"/>
        </w:rPr>
        <w:t>http://mdic.org/wp-content/uploads/2015/05/MDIC PCBR Framework Proof5 Web.pdf</w:t>
      </w:r>
      <w:r>
        <w:rPr>
          <w:sz w:val="18"/>
          <w:szCs w:val="18"/>
          <w:lang w:eastAsia="zh-CN"/>
        </w:rPr>
        <w:t>）。</w:t>
      </w:r>
      <w:bookmarkEnd w:id="49"/>
      <w:r>
        <w:rPr>
          <w:sz w:val="18"/>
          <w:szCs w:val="18"/>
          <w:lang w:eastAsia="zh-CN"/>
        </w:rPr>
        <w:br w:type="page"/>
      </w:r>
    </w:p>
    <w:p w14:paraId="6AE19BE6">
      <w:pPr>
        <w:snapToGrid w:val="0"/>
        <w:spacing w:before="120" w:beforeLines="50" w:line="400" w:lineRule="exact"/>
        <w:jc w:val="both"/>
        <w:rPr>
          <w:sz w:val="24"/>
          <w:szCs w:val="24"/>
          <w:lang w:eastAsia="zh-CN"/>
        </w:rPr>
      </w:pPr>
      <w:r>
        <w:rPr>
          <w:sz w:val="24"/>
          <w:szCs w:val="24"/>
          <w:lang w:eastAsia="zh-CN"/>
        </w:rPr>
        <w:t>有关患者偏好研究的更多信息，请参阅FDA指南：</w:t>
      </w:r>
      <w:r>
        <w:fldChar w:fldCharType="begin"/>
      </w:r>
      <w:r>
        <w:instrText xml:space="preserve"> HYPERLINK "https://www.fda.gov/regulatory-information/search-fda-guidance-documents/patient-preference-information-voluntary-submission-review-premarket-approval-applications" </w:instrText>
      </w:r>
      <w:r>
        <w:fldChar w:fldCharType="separate"/>
      </w:r>
      <w:r>
        <w:rPr>
          <w:rStyle w:val="11"/>
          <w:sz w:val="24"/>
          <w:szCs w:val="24"/>
          <w:lang w:eastAsia="zh-CN"/>
        </w:rPr>
        <w:t>患者</w:t>
      </w:r>
      <w:r>
        <w:rPr>
          <w:rStyle w:val="11"/>
          <w:sz w:val="24"/>
          <w:szCs w:val="24"/>
          <w:lang w:eastAsia="zh-CN"/>
        </w:rPr>
        <w:fldChar w:fldCharType="end"/>
      </w:r>
      <w:r>
        <w:fldChar w:fldCharType="begin"/>
      </w:r>
      <w:r>
        <w:instrText xml:space="preserve"> HYPERLINK "https://www.fda.gov/regulatory-information/search-fda-guidance-documents/patient-preference-information-voluntary-submission-review-premarket-approval-applications" </w:instrText>
      </w:r>
      <w:r>
        <w:fldChar w:fldCharType="separate"/>
      </w:r>
      <w:r>
        <w:rPr>
          <w:rStyle w:val="11"/>
          <w:sz w:val="24"/>
          <w:szCs w:val="24"/>
          <w:lang w:eastAsia="zh-CN"/>
        </w:rPr>
        <w:t>偏好信息 - 自愿提交、PMA、HDE申请和</w:t>
      </w:r>
      <w:r>
        <w:rPr>
          <w:rStyle w:val="11"/>
          <w:sz w:val="24"/>
          <w:szCs w:val="24"/>
          <w:lang w:eastAsia="zh-CN"/>
        </w:rPr>
        <w:fldChar w:fldCharType="end"/>
      </w:r>
      <w:r>
        <w:fldChar w:fldCharType="begin"/>
      </w:r>
      <w:r>
        <w:instrText xml:space="preserve"> HYPERLINK "https://www.fda.gov/regulatory-information/search-fda-guidance-documents/patient-preference-information-voluntary-submission-review-premarket-approval-applications" </w:instrText>
      </w:r>
      <w:r>
        <w:fldChar w:fldCharType="separate"/>
      </w:r>
      <w:r>
        <w:rPr>
          <w:rStyle w:val="11"/>
          <w:sz w:val="24"/>
          <w:szCs w:val="24"/>
          <w:lang w:eastAsia="zh-CN"/>
        </w:rPr>
        <w:t>新分类申请的审查以及纳入决定总结和器械标签。</w:t>
      </w:r>
      <w:r>
        <w:rPr>
          <w:rStyle w:val="11"/>
          <w:sz w:val="24"/>
          <w:szCs w:val="24"/>
          <w:lang w:eastAsia="zh-CN"/>
        </w:rPr>
        <w:fldChar w:fldCharType="end"/>
      </w:r>
      <w:r>
        <w:fldChar w:fldCharType="begin"/>
      </w:r>
      <w:r>
        <w:instrText xml:space="preserve"> HYPERLINK \l "bookmark39" \o "当前文件" \h </w:instrText>
      </w:r>
      <w:r>
        <w:fldChar w:fldCharType="separate"/>
      </w:r>
      <w:r>
        <w:rPr>
          <w:sz w:val="24"/>
          <w:szCs w:val="24"/>
          <w:vertAlign w:val="superscript"/>
          <w:lang w:eastAsia="zh-CN"/>
        </w:rPr>
        <w:t>17</w:t>
      </w:r>
      <w:r>
        <w:rPr>
          <w:sz w:val="24"/>
          <w:szCs w:val="24"/>
          <w:vertAlign w:val="superscript"/>
          <w:lang w:eastAsia="zh-CN"/>
        </w:rPr>
        <w:fldChar w:fldCharType="end"/>
      </w:r>
    </w:p>
    <w:p w14:paraId="6AE19BE7">
      <w:pPr>
        <w:snapToGrid w:val="0"/>
        <w:spacing w:before="120" w:beforeLines="50" w:line="400" w:lineRule="exact"/>
        <w:jc w:val="both"/>
        <w:rPr>
          <w:sz w:val="24"/>
          <w:szCs w:val="24"/>
          <w:lang w:eastAsia="zh-CN"/>
        </w:rPr>
      </w:pPr>
      <w:r>
        <w:rPr>
          <w:sz w:val="24"/>
          <w:szCs w:val="24"/>
          <w:lang w:eastAsia="zh-CN"/>
        </w:rPr>
        <w:t>有关患者风险容忍度和其他以患者为中心的指标的数据</w:t>
      </w:r>
      <w:r>
        <w:rPr>
          <w:rFonts w:hint="eastAsia"/>
          <w:sz w:val="24"/>
          <w:szCs w:val="24"/>
          <w:lang w:eastAsia="zh-CN"/>
        </w:rPr>
        <w:t>会</w:t>
      </w:r>
      <w:r>
        <w:rPr>
          <w:sz w:val="24"/>
          <w:szCs w:val="24"/>
          <w:lang w:eastAsia="zh-CN"/>
        </w:rPr>
        <w:t>如何根据诸多因素（包括疾病或状况的性质、现有治疗方式的可用性以及存在的风险和获益）发生变化。FDA鼓励申办者考虑开发这些数据，以便与</w:t>
      </w:r>
      <w:r>
        <w:rPr>
          <w:rFonts w:hint="eastAsia"/>
          <w:sz w:val="24"/>
          <w:szCs w:val="24"/>
          <w:lang w:eastAsia="zh-CN"/>
        </w:rPr>
        <w:t>相应</w:t>
      </w:r>
      <w:r>
        <w:rPr>
          <w:sz w:val="24"/>
          <w:szCs w:val="24"/>
          <w:lang w:eastAsia="zh-CN"/>
        </w:rPr>
        <w:t>FDA审查部门进行早期互动。</w:t>
      </w:r>
      <w:r>
        <w:fldChar w:fldCharType="begin"/>
      </w:r>
      <w:r>
        <w:instrText xml:space="preserve"> HYPERLINK \l "bookmark40" \o "当前文件" \h </w:instrText>
      </w:r>
      <w:r>
        <w:fldChar w:fldCharType="separate"/>
      </w:r>
      <w:r>
        <w:rPr>
          <w:sz w:val="24"/>
          <w:szCs w:val="24"/>
          <w:vertAlign w:val="superscript"/>
          <w:lang w:eastAsia="zh-CN"/>
        </w:rPr>
        <w:t>18</w:t>
      </w:r>
      <w:r>
        <w:rPr>
          <w:sz w:val="24"/>
          <w:szCs w:val="24"/>
          <w:vertAlign w:val="superscript"/>
          <w:lang w:eastAsia="zh-CN"/>
        </w:rPr>
        <w:fldChar w:fldCharType="end"/>
      </w:r>
    </w:p>
    <w:p w14:paraId="6AE19BE8">
      <w:pPr>
        <w:snapToGrid w:val="0"/>
        <w:spacing w:before="120" w:beforeLines="50" w:line="400" w:lineRule="exact"/>
        <w:jc w:val="both"/>
        <w:rPr>
          <w:sz w:val="24"/>
          <w:szCs w:val="24"/>
          <w:lang w:eastAsia="zh-CN"/>
        </w:rPr>
      </w:pPr>
      <w:r>
        <w:rPr>
          <w:sz w:val="24"/>
          <w:szCs w:val="24"/>
          <w:lang w:eastAsia="zh-CN"/>
        </w:rPr>
        <w:t>在PMA申请或新分类申请中评估这些数据时，FDA认识到，一些患者愿意承担非常高的风险以换取少量获益，而其他患者则</w:t>
      </w:r>
      <w:r>
        <w:rPr>
          <w:rFonts w:hint="eastAsia"/>
          <w:sz w:val="24"/>
          <w:szCs w:val="24"/>
          <w:lang w:eastAsia="zh-CN"/>
        </w:rPr>
        <w:t>更愿意规避风险。</w:t>
      </w:r>
      <w:r>
        <w:rPr>
          <w:sz w:val="24"/>
          <w:szCs w:val="24"/>
          <w:lang w:eastAsia="zh-CN"/>
        </w:rPr>
        <w:t>因此，FDA在决定该器械是否有效时，会考虑与患者</w:t>
      </w:r>
      <w:r>
        <w:rPr>
          <w:rFonts w:hint="eastAsia"/>
          <w:sz w:val="24"/>
          <w:szCs w:val="24"/>
          <w:lang w:eastAsia="zh-CN"/>
        </w:rPr>
        <w:t>看法</w:t>
      </w:r>
      <w:r>
        <w:rPr>
          <w:sz w:val="24"/>
          <w:szCs w:val="24"/>
          <w:lang w:eastAsia="zh-CN"/>
        </w:rPr>
        <w:t>有关的证据，即有意义的获益包括哪些内容，因为一些患者可能比其他患者更看重获益。也应指出，对于某些器械，如果</w:t>
      </w:r>
      <w:r>
        <w:rPr>
          <w:rFonts w:hint="eastAsia"/>
          <w:sz w:val="24"/>
          <w:szCs w:val="24"/>
          <w:lang w:eastAsia="zh-CN"/>
        </w:rPr>
        <w:t>对于</w:t>
      </w:r>
      <w:r>
        <w:rPr>
          <w:sz w:val="24"/>
          <w:szCs w:val="24"/>
          <w:lang w:eastAsia="zh-CN"/>
        </w:rPr>
        <w:t>所有合理患者，可能的风险超过可能的获益，FDA认为使用这类器械在本质上是不合理的。</w:t>
      </w:r>
      <w:r>
        <w:fldChar w:fldCharType="begin"/>
      </w:r>
      <w:r>
        <w:instrText xml:space="preserve"> HYPERLINK \l "bookmark41" \o "当前文件" \h </w:instrText>
      </w:r>
      <w:r>
        <w:fldChar w:fldCharType="separate"/>
      </w:r>
      <w:r>
        <w:rPr>
          <w:sz w:val="24"/>
          <w:szCs w:val="24"/>
          <w:vertAlign w:val="superscript"/>
          <w:lang w:eastAsia="zh-CN"/>
        </w:rPr>
        <w:t>19</w:t>
      </w:r>
      <w:r>
        <w:rPr>
          <w:sz w:val="24"/>
          <w:szCs w:val="24"/>
          <w:vertAlign w:val="superscript"/>
          <w:lang w:eastAsia="zh-CN"/>
        </w:rPr>
        <w:fldChar w:fldCharType="end"/>
      </w:r>
    </w:p>
    <w:p w14:paraId="6AE19BE9">
      <w:pPr>
        <w:snapToGrid w:val="0"/>
        <w:spacing w:before="120" w:beforeLines="50" w:line="400" w:lineRule="exact"/>
        <w:jc w:val="both"/>
        <w:rPr>
          <w:sz w:val="24"/>
          <w:szCs w:val="24"/>
          <w:lang w:eastAsia="zh-CN"/>
        </w:rPr>
      </w:pPr>
      <w:r>
        <w:rPr>
          <w:sz w:val="24"/>
          <w:szCs w:val="24"/>
          <w:lang w:eastAsia="zh-CN"/>
        </w:rPr>
        <w:t>患者偏好信息可能表明，大多数（如果不是全部）患有特定疾病或状况的患者人群认为获益-风险权衡可接受。不同的因素可能会影响患者对获益和风险的</w:t>
      </w:r>
      <w:r>
        <w:rPr>
          <w:rFonts w:hint="eastAsia"/>
          <w:sz w:val="24"/>
          <w:szCs w:val="24"/>
          <w:lang w:eastAsia="zh-CN"/>
        </w:rPr>
        <w:t>观点</w:t>
      </w:r>
      <w:r>
        <w:rPr>
          <w:sz w:val="24"/>
          <w:szCs w:val="24"/>
          <w:lang w:eastAsia="zh-CN"/>
        </w:rPr>
        <w:t>，包括：</w:t>
      </w:r>
    </w:p>
    <w:p w14:paraId="6AE19BEA">
      <w:pPr>
        <w:pStyle w:val="18"/>
        <w:spacing w:before="120" w:line="400" w:lineRule="exact"/>
        <w:ind w:left="748" w:hanging="322"/>
        <w:rPr>
          <w:sz w:val="24"/>
          <w:szCs w:val="24"/>
          <w:lang w:eastAsia="zh-CN"/>
        </w:rPr>
      </w:pPr>
      <w:r>
        <w:rPr>
          <w:sz w:val="24"/>
          <w:szCs w:val="24"/>
          <w:lang w:eastAsia="zh-CN"/>
        </w:rPr>
        <w:t>-</w:t>
      </w:r>
      <w:r>
        <w:rPr>
          <w:sz w:val="24"/>
          <w:szCs w:val="24"/>
          <w:lang w:eastAsia="zh-CN"/>
        </w:rPr>
        <w:tab/>
      </w:r>
      <w:r>
        <w:rPr>
          <w:b/>
          <w:bCs/>
          <w:sz w:val="24"/>
          <w:szCs w:val="24"/>
          <w:lang w:eastAsia="zh-CN"/>
        </w:rPr>
        <w:t xml:space="preserve">疾病或状况的严重度 </w:t>
      </w:r>
      <w:r>
        <w:rPr>
          <w:sz w:val="24"/>
          <w:szCs w:val="24"/>
          <w:lang w:eastAsia="zh-CN"/>
        </w:rPr>
        <w:t>- 在治疗期间，发生非常严重的疾病（即危及生命的疾病）的患者可能忍受更高的器械风险。对于诊断器械，人们可能更</w:t>
      </w:r>
      <w:r>
        <w:rPr>
          <w:rFonts w:hint="eastAsia"/>
          <w:sz w:val="24"/>
          <w:szCs w:val="24"/>
          <w:lang w:eastAsia="zh-CN"/>
        </w:rPr>
        <w:t>愿意规避</w:t>
      </w:r>
      <w:r>
        <w:rPr>
          <w:sz w:val="24"/>
          <w:szCs w:val="24"/>
          <w:lang w:eastAsia="zh-CN"/>
        </w:rPr>
        <w:t>重病的假阴性结果。</w:t>
      </w:r>
    </w:p>
    <w:p w14:paraId="6AE19BEB">
      <w:pPr>
        <w:pStyle w:val="18"/>
        <w:spacing w:before="120" w:line="400" w:lineRule="exact"/>
        <w:ind w:left="748" w:hanging="322"/>
        <w:rPr>
          <w:sz w:val="24"/>
          <w:szCs w:val="24"/>
          <w:lang w:eastAsia="zh-CN"/>
        </w:rPr>
      </w:pPr>
      <w:r>
        <w:rPr>
          <w:sz w:val="24"/>
          <w:szCs w:val="24"/>
          <w:lang w:eastAsia="zh-CN"/>
        </w:rPr>
        <w:t>-</w:t>
      </w:r>
      <w:r>
        <w:rPr>
          <w:sz w:val="24"/>
          <w:szCs w:val="24"/>
          <w:lang w:eastAsia="zh-CN"/>
        </w:rPr>
        <w:tab/>
      </w:r>
      <w:r>
        <w:rPr>
          <w:b/>
          <w:bCs/>
          <w:sz w:val="24"/>
          <w:szCs w:val="24"/>
          <w:lang w:eastAsia="zh-CN"/>
        </w:rPr>
        <w:t xml:space="preserve">疾病慢性 </w:t>
      </w:r>
      <w:r>
        <w:rPr>
          <w:sz w:val="24"/>
          <w:szCs w:val="24"/>
          <w:lang w:eastAsia="zh-CN"/>
        </w:rPr>
        <w:t>- 一些慢性病患者已经适应了他们的疾病，并将其对日常生活的干扰降至最低，他们可能会忍受更低的风险，需要有风险的器械来增加治疗获益，而在长时间内发生使人衰弱的慢性病的其他患者可能忍受更高的风险来换取更少的获益。</w:t>
      </w:r>
    </w:p>
    <w:p w14:paraId="6AE19BEC">
      <w:pPr>
        <w:pStyle w:val="18"/>
        <w:spacing w:before="120" w:line="400" w:lineRule="exact"/>
        <w:ind w:left="748" w:hanging="322"/>
        <w:rPr>
          <w:sz w:val="24"/>
          <w:szCs w:val="24"/>
          <w:lang w:eastAsia="zh-CN"/>
        </w:rPr>
      </w:pPr>
      <w:r>
        <w:rPr>
          <w:sz w:val="24"/>
          <w:szCs w:val="24"/>
          <w:lang w:eastAsia="zh-CN"/>
        </w:rPr>
        <w:t>-</w:t>
      </w:r>
      <w:r>
        <w:rPr>
          <w:sz w:val="24"/>
          <w:szCs w:val="24"/>
          <w:lang w:eastAsia="zh-CN"/>
        </w:rPr>
        <w:tab/>
      </w:r>
      <w:r>
        <w:rPr>
          <w:b/>
          <w:bCs/>
          <w:sz w:val="24"/>
          <w:szCs w:val="24"/>
          <w:lang w:eastAsia="zh-CN"/>
        </w:rPr>
        <w:t>替代治疗/诊断方案的可用性</w:t>
      </w:r>
      <w:r>
        <w:rPr>
          <w:sz w:val="24"/>
          <w:szCs w:val="24"/>
          <w:lang w:eastAsia="zh-CN"/>
        </w:rPr>
        <w:t>（也见下文） - 如果</w:t>
      </w:r>
      <w:r>
        <w:rPr>
          <w:rFonts w:hint="eastAsia"/>
          <w:sz w:val="24"/>
          <w:szCs w:val="24"/>
          <w:lang w:eastAsia="zh-CN"/>
        </w:rPr>
        <w:t>没有</w:t>
      </w:r>
      <w:r>
        <w:rPr>
          <w:sz w:val="24"/>
          <w:szCs w:val="24"/>
          <w:lang w:eastAsia="zh-CN"/>
        </w:rPr>
        <w:t>其他治疗/诊断方案可</w:t>
      </w:r>
      <w:r>
        <w:rPr>
          <w:rFonts w:hint="eastAsia"/>
          <w:sz w:val="24"/>
          <w:szCs w:val="24"/>
          <w:lang w:eastAsia="zh-CN"/>
        </w:rPr>
        <w:t>以</w:t>
      </w:r>
      <w:r>
        <w:rPr>
          <w:sz w:val="24"/>
          <w:szCs w:val="24"/>
          <w:lang w:eastAsia="zh-CN"/>
        </w:rPr>
        <w:t>使用，即使只有小幅获益，患者也可能忍受更高的风险。</w:t>
      </w:r>
    </w:p>
    <w:p w14:paraId="6AE19BED">
      <w:pPr>
        <w:snapToGrid w:val="0"/>
        <w:spacing w:before="120" w:beforeLines="50" w:line="360" w:lineRule="exact"/>
        <w:jc w:val="both"/>
        <w:rPr>
          <w:sz w:val="24"/>
          <w:szCs w:val="24"/>
          <w:lang w:eastAsia="zh-CN"/>
        </w:rPr>
      </w:pPr>
      <w:r>
        <w:rPr>
          <w:b/>
          <w:bCs/>
          <w:sz w:val="24"/>
          <w:szCs w:val="24"/>
          <w:lang w:eastAsia="zh-CN"/>
        </w:rPr>
        <w:t>替代治疗或诊断的可用性</w:t>
      </w:r>
      <w:r>
        <w:rPr>
          <w:sz w:val="24"/>
          <w:szCs w:val="24"/>
          <w:lang w:eastAsia="zh-CN"/>
        </w:rPr>
        <w:t xml:space="preserve"> - 在确定获益-风险时，FDA考虑是否已经批准或许可其他治疗或诊断方案（包括非器械疗法）用于预期的状况和患者人群。在考虑其他疗法时，FDA会考虑这些疗法的有效性如何；已知风险有哪些；如何用于当前的医学实践；获益-风险状况；现有替代方案如何解决患者和医护人员的需求。对于治疗一种尚无替代治疗方式的状况并且具有已知的获益和高风险概率的器械，FDA将考虑如果因为器械未获批准无法用于治疗而对患者产生的风险。例如，如果新器械具有非常小的显著获益并且该获益的不确定性较高，如果尚无替代治疗方案并且可能的获益超过可能的风险，则我们可能仍然会批准该产品。</w:t>
      </w:r>
    </w:p>
    <w:p w14:paraId="6AE19BEE">
      <w:pPr>
        <w:snapToGrid w:val="0"/>
        <w:spacing w:before="120" w:beforeLines="50" w:line="200" w:lineRule="exact"/>
        <w:rPr>
          <w:sz w:val="18"/>
          <w:szCs w:val="18"/>
          <w:lang w:eastAsia="zh-CN"/>
        </w:rPr>
      </w:pPr>
      <w:bookmarkStart w:id="50" w:name="bookmark39"/>
      <w:bookmarkStart w:id="51" w:name="bookmark40"/>
      <w:r>
        <w:rPr>
          <w:sz w:val="18"/>
          <w:szCs w:val="18"/>
          <w:lang w:eastAsia="zh-CN"/>
        </w:rPr>
        <w:t>_______________________</w:t>
      </w:r>
    </w:p>
    <w:p w14:paraId="6AE19BEF">
      <w:pPr>
        <w:tabs>
          <w:tab w:val="left" w:pos="187"/>
        </w:tabs>
        <w:snapToGrid w:val="0"/>
        <w:spacing w:before="120" w:beforeLines="50" w:line="200" w:lineRule="exact"/>
        <w:rPr>
          <w:sz w:val="18"/>
          <w:szCs w:val="18"/>
          <w:lang w:eastAsia="zh-CN"/>
        </w:rPr>
      </w:pPr>
      <w:r>
        <w:rPr>
          <w:sz w:val="18"/>
          <w:szCs w:val="18"/>
          <w:vertAlign w:val="superscript"/>
          <w:lang w:eastAsia="zh-CN"/>
        </w:rPr>
        <w:t>17</w:t>
      </w:r>
      <w:r>
        <w:rPr>
          <w:sz w:val="18"/>
          <w:szCs w:val="18"/>
          <w:lang w:eastAsia="zh-CN"/>
        </w:rPr>
        <w:tab/>
      </w:r>
      <w:r>
        <w:rPr>
          <w:sz w:val="18"/>
          <w:szCs w:val="18"/>
          <w:lang w:eastAsia="zh-CN"/>
        </w:rPr>
        <w:t>请访问</w:t>
      </w:r>
      <w:r>
        <w:fldChar w:fldCharType="begin"/>
      </w:r>
      <w:r>
        <w:instrText xml:space="preserve"> HYPERLINK "%20https://www.fda.gov/regulatory-information/search-fda-guidance-documents%20/patient-" </w:instrText>
      </w:r>
      <w:r>
        <w:fldChar w:fldCharType="separate"/>
      </w:r>
      <w:r>
        <w:rPr>
          <w:rStyle w:val="11"/>
          <w:sz w:val="18"/>
          <w:szCs w:val="18"/>
          <w:lang w:eastAsia="zh-CN"/>
        </w:rPr>
        <w:t xml:space="preserve"> https://www.fda.gov/regulatory-information/search-fda-guidance-documents</w:t>
      </w:r>
      <w:r>
        <w:rPr>
          <w:rStyle w:val="11"/>
          <w:rFonts w:hint="eastAsia"/>
          <w:sz w:val="18"/>
          <w:szCs w:val="18"/>
          <w:lang w:eastAsia="zh-CN"/>
        </w:rPr>
        <w:t xml:space="preserve"> </w:t>
      </w:r>
      <w:r>
        <w:rPr>
          <w:rStyle w:val="11"/>
          <w:sz w:val="18"/>
          <w:szCs w:val="18"/>
          <w:lang w:eastAsia="zh-CN"/>
        </w:rPr>
        <w:t>/patient-</w:t>
      </w:r>
      <w:r>
        <w:rPr>
          <w:rStyle w:val="11"/>
          <w:sz w:val="18"/>
          <w:szCs w:val="18"/>
          <w:lang w:eastAsia="zh-CN"/>
        </w:rPr>
        <w:fldChar w:fldCharType="end"/>
      </w:r>
      <w:r>
        <w:fldChar w:fldCharType="begin"/>
      </w:r>
      <w:r>
        <w:instrText xml:space="preserve"> HYPERLINK "https://www.fda.gov/regulatory-information/search-fda-guidance-documents/patient-preference-information-voluntary-submission-review-premarket-approval-applications" </w:instrText>
      </w:r>
      <w:r>
        <w:fldChar w:fldCharType="separate"/>
      </w:r>
      <w:r>
        <w:rPr>
          <w:rStyle w:val="11"/>
          <w:sz w:val="18"/>
          <w:szCs w:val="18"/>
          <w:lang w:eastAsia="zh-CN"/>
        </w:rPr>
        <w:t>preference-information-voluntary-submission-review-premarket-approval-applications.</w:t>
      </w:r>
      <w:bookmarkEnd w:id="50"/>
      <w:bookmarkEnd w:id="51"/>
      <w:r>
        <w:rPr>
          <w:rStyle w:val="11"/>
          <w:sz w:val="18"/>
          <w:szCs w:val="18"/>
          <w:lang w:eastAsia="zh-CN"/>
        </w:rPr>
        <w:fldChar w:fldCharType="end"/>
      </w:r>
    </w:p>
    <w:p w14:paraId="6AE19BF0">
      <w:pPr>
        <w:tabs>
          <w:tab w:val="left" w:pos="192"/>
        </w:tabs>
        <w:snapToGrid w:val="0"/>
        <w:spacing w:before="120" w:beforeLines="50" w:line="200" w:lineRule="exact"/>
        <w:rPr>
          <w:sz w:val="18"/>
          <w:szCs w:val="18"/>
        </w:rPr>
      </w:pPr>
      <w:bookmarkStart w:id="52" w:name="bookmark41"/>
      <w:r>
        <w:rPr>
          <w:sz w:val="18"/>
          <w:szCs w:val="18"/>
          <w:vertAlign w:val="superscript"/>
          <w:lang w:eastAsia="zh-CN"/>
        </w:rPr>
        <w:t>18</w:t>
      </w:r>
      <w:r>
        <w:rPr>
          <w:sz w:val="18"/>
          <w:szCs w:val="18"/>
          <w:lang w:eastAsia="zh-CN"/>
        </w:rPr>
        <w:tab/>
      </w:r>
      <w:r>
        <w:rPr>
          <w:sz w:val="18"/>
          <w:szCs w:val="18"/>
          <w:lang w:eastAsia="zh-CN"/>
        </w:rPr>
        <w:t>参见FDA指南</w:t>
      </w:r>
      <w:r>
        <w:rPr>
          <w:rFonts w:ascii="宋体" w:hAnsi="宋体"/>
          <w:sz w:val="18"/>
          <w:szCs w:val="18"/>
          <w:lang w:eastAsia="zh-CN"/>
        </w:rPr>
        <w:t>“</w:t>
      </w:r>
      <w:r>
        <w:rPr>
          <w:sz w:val="18"/>
          <w:szCs w:val="18"/>
          <w:lang w:eastAsia="zh-CN"/>
        </w:rPr>
        <w:t>医疗器械提交反馈和会议申请：Q-Submission计划</w:t>
      </w:r>
      <w:r>
        <w:rPr>
          <w:rFonts w:ascii="宋体" w:hAnsi="宋体"/>
          <w:sz w:val="18"/>
          <w:szCs w:val="18"/>
          <w:lang w:eastAsia="zh-CN"/>
        </w:rPr>
        <w:t>”</w:t>
      </w:r>
      <w:r>
        <w:rPr>
          <w:sz w:val="18"/>
          <w:szCs w:val="18"/>
          <w:lang w:eastAsia="zh-CN"/>
        </w:rPr>
        <w:t>，请访问</w:t>
      </w:r>
      <w:r>
        <w:fldChar w:fldCharType="begin"/>
      </w:r>
      <w:r>
        <w:instrText xml:space="preserve"> HYPERLINK "https://www.fda.gov/regulatory-information/search-fda-guidance-documents/requests-feedback-and-meetings-medical-device-submissions-q-submission-program" </w:instrText>
      </w:r>
      <w:r>
        <w:fldChar w:fldCharType="separate"/>
      </w:r>
      <w:r>
        <w:rPr>
          <w:rStyle w:val="11"/>
          <w:sz w:val="18"/>
          <w:szCs w:val="18"/>
          <w:lang w:eastAsia="zh-CN"/>
        </w:rPr>
        <w:t>https://www.fda.gov/regulatory-information/search-fda-guidance-documents/requests-feedback-and-meetings-medical-device-submissions-q-submission-program</w:t>
      </w:r>
      <w:r>
        <w:rPr>
          <w:rStyle w:val="11"/>
          <w:sz w:val="18"/>
          <w:szCs w:val="18"/>
          <w:lang w:eastAsia="zh-CN"/>
        </w:rPr>
        <w:fldChar w:fldCharType="end"/>
      </w:r>
      <w:r>
        <w:rPr>
          <w:color w:val="0000FF"/>
          <w:sz w:val="18"/>
          <w:szCs w:val="18"/>
          <w:lang w:eastAsia="zh-CN"/>
        </w:rPr>
        <w:t>。</w:t>
      </w:r>
      <w:bookmarkEnd w:id="52"/>
    </w:p>
    <w:p w14:paraId="6AE19BF1">
      <w:pPr>
        <w:tabs>
          <w:tab w:val="left" w:pos="182"/>
        </w:tabs>
        <w:snapToGrid w:val="0"/>
        <w:spacing w:before="120" w:beforeLines="50" w:line="200" w:lineRule="exact"/>
        <w:jc w:val="both"/>
        <w:rPr>
          <w:lang w:eastAsia="zh-CN"/>
        </w:rPr>
      </w:pPr>
      <w:r>
        <w:rPr>
          <w:sz w:val="18"/>
          <w:szCs w:val="18"/>
          <w:vertAlign w:val="superscript"/>
          <w:lang w:eastAsia="zh-CN"/>
        </w:rPr>
        <w:t>19</w:t>
      </w:r>
      <w:r>
        <w:rPr>
          <w:sz w:val="18"/>
          <w:szCs w:val="18"/>
          <w:lang w:eastAsia="zh-CN"/>
        </w:rPr>
        <w:tab/>
      </w:r>
      <w:r>
        <w:rPr>
          <w:sz w:val="18"/>
          <w:szCs w:val="18"/>
          <w:lang w:eastAsia="zh-CN"/>
        </w:rPr>
        <w:t>对于本指南的目的，</w:t>
      </w:r>
      <w:r>
        <w:rPr>
          <w:rFonts w:ascii="宋体" w:hAnsi="宋体"/>
          <w:sz w:val="18"/>
          <w:szCs w:val="18"/>
          <w:lang w:eastAsia="zh-CN"/>
        </w:rPr>
        <w:t>“</w:t>
      </w:r>
      <w:r>
        <w:rPr>
          <w:sz w:val="18"/>
          <w:szCs w:val="18"/>
          <w:lang w:eastAsia="zh-CN"/>
        </w:rPr>
        <w:t>不</w:t>
      </w:r>
      <w:r>
        <w:rPr>
          <w:rFonts w:hint="eastAsia"/>
          <w:sz w:val="18"/>
          <w:szCs w:val="18"/>
          <w:lang w:eastAsia="zh-CN"/>
        </w:rPr>
        <w:t>当</w:t>
      </w:r>
      <w:r>
        <w:rPr>
          <w:sz w:val="18"/>
          <w:szCs w:val="18"/>
          <w:lang w:eastAsia="zh-CN"/>
        </w:rPr>
        <w:t>风险</w:t>
      </w:r>
      <w:r>
        <w:rPr>
          <w:rFonts w:ascii="宋体" w:hAnsi="宋体"/>
          <w:sz w:val="18"/>
          <w:szCs w:val="18"/>
          <w:lang w:eastAsia="zh-CN"/>
        </w:rPr>
        <w:t>”</w:t>
      </w:r>
      <w:r>
        <w:rPr>
          <w:sz w:val="18"/>
          <w:szCs w:val="18"/>
          <w:lang w:eastAsia="zh-CN"/>
        </w:rPr>
        <w:t>表示没有一组合理的患者愿意为了可能的获益而忍受的风险。</w:t>
      </w:r>
      <w:r>
        <w:rPr>
          <w:lang w:eastAsia="zh-CN"/>
        </w:rPr>
        <w:br w:type="page"/>
      </w:r>
    </w:p>
    <w:p w14:paraId="6AE19BF2">
      <w:pPr>
        <w:snapToGrid w:val="0"/>
        <w:spacing w:before="120" w:beforeLines="50" w:line="400" w:lineRule="exact"/>
        <w:jc w:val="both"/>
        <w:rPr>
          <w:sz w:val="24"/>
          <w:szCs w:val="24"/>
          <w:lang w:eastAsia="zh-CN"/>
        </w:rPr>
      </w:pPr>
      <w:r>
        <w:rPr>
          <w:b/>
          <w:bCs/>
          <w:sz w:val="24"/>
          <w:szCs w:val="24"/>
          <w:lang w:eastAsia="zh-CN"/>
        </w:rPr>
        <w:t xml:space="preserve">风险缓解 </w:t>
      </w:r>
      <w:r>
        <w:rPr>
          <w:sz w:val="24"/>
          <w:szCs w:val="24"/>
          <w:lang w:eastAsia="zh-CN"/>
        </w:rPr>
        <w:t>- 在适当情况下，采取缓解措施可以尽量降低发生有害事件并改善获益-风险状况的概率。风险缓解最常见的形式是在说明书中包含适当的信息（例如警告、预防措施等），或者将适应症限制在更有限的用途内。可以通过其他形式的风险沟通缓解一些伤害（包括培训和患者</w:t>
      </w:r>
      <w:r>
        <w:rPr>
          <w:rFonts w:hint="eastAsia"/>
          <w:sz w:val="24"/>
          <w:szCs w:val="24"/>
          <w:lang w:eastAsia="zh-CN"/>
        </w:rPr>
        <w:t>说明书</w:t>
      </w:r>
      <w:r>
        <w:rPr>
          <w:sz w:val="24"/>
          <w:szCs w:val="24"/>
          <w:lang w:eastAsia="zh-CN"/>
        </w:rPr>
        <w:t>）。对于体外诊断，可以通过当代诊断检测试剂盒缓解风险。</w:t>
      </w:r>
    </w:p>
    <w:p w14:paraId="6AE19BF3">
      <w:pPr>
        <w:snapToGrid w:val="0"/>
        <w:spacing w:before="120" w:beforeLines="50" w:line="400" w:lineRule="exact"/>
        <w:jc w:val="both"/>
        <w:rPr>
          <w:sz w:val="24"/>
          <w:szCs w:val="24"/>
          <w:lang w:eastAsia="zh-CN"/>
        </w:rPr>
      </w:pPr>
      <w:r>
        <w:rPr>
          <w:b/>
          <w:bCs/>
          <w:sz w:val="24"/>
          <w:szCs w:val="24"/>
          <w:lang w:eastAsia="zh-CN"/>
        </w:rPr>
        <w:t xml:space="preserve">上市后数据 </w:t>
      </w:r>
      <w:r>
        <w:rPr>
          <w:sz w:val="24"/>
          <w:szCs w:val="24"/>
          <w:lang w:eastAsia="zh-CN"/>
        </w:rPr>
        <w:t>- 在真实世界中使用器械有助于加深对风险和获益的了解。在确定获益-风险时，FDA可以考虑收集上市后数据以明确缓解程度和效果，或者开发有关某些器械类型或特定患者人群的获益或风险的其他信息。FDA</w:t>
      </w:r>
      <w:r>
        <w:rPr>
          <w:rFonts w:hint="eastAsia"/>
          <w:sz w:val="24"/>
          <w:szCs w:val="24"/>
          <w:lang w:eastAsia="zh-CN"/>
        </w:rPr>
        <w:t>有权要求对PMA器械进行批准后研究并对PMA和新器械进行上市后监督</w:t>
      </w:r>
      <w:r>
        <w:rPr>
          <w:sz w:val="24"/>
          <w:szCs w:val="24"/>
          <w:lang w:eastAsia="zh-CN"/>
        </w:rPr>
        <w:t>。</w:t>
      </w:r>
      <w:r>
        <w:fldChar w:fldCharType="begin"/>
      </w:r>
      <w:r>
        <w:instrText xml:space="preserve"> HYPERLINK \l "bookmark42" \o "当前文件" \h </w:instrText>
      </w:r>
      <w:r>
        <w:fldChar w:fldCharType="separate"/>
      </w:r>
      <w:r>
        <w:rPr>
          <w:sz w:val="24"/>
          <w:szCs w:val="24"/>
          <w:vertAlign w:val="superscript"/>
          <w:lang w:eastAsia="zh-CN"/>
        </w:rPr>
        <w:t>20</w:t>
      </w:r>
      <w:r>
        <w:rPr>
          <w:sz w:val="24"/>
          <w:szCs w:val="24"/>
          <w:lang w:eastAsia="zh-CN"/>
        </w:rPr>
        <w:t xml:space="preserve"> </w:t>
      </w:r>
      <w:r>
        <w:rPr>
          <w:sz w:val="24"/>
          <w:szCs w:val="24"/>
          <w:lang w:eastAsia="zh-CN"/>
        </w:rPr>
        <w:fldChar w:fldCharType="end"/>
      </w:r>
      <w:r>
        <w:rPr>
          <w:sz w:val="24"/>
          <w:szCs w:val="24"/>
          <w:lang w:eastAsia="zh-CN"/>
        </w:rPr>
        <w:t>此外，根据《FD&amp;C法案》的第513(a)(3)(C)节，在某些情况下，例如如果因为对有效性不确定可能拒绝批准器械，FDA将考虑是否可以设定上市后数据收集</w:t>
      </w:r>
      <w:r>
        <w:rPr>
          <w:rFonts w:hint="eastAsia"/>
          <w:sz w:val="24"/>
          <w:szCs w:val="24"/>
          <w:lang w:eastAsia="zh-CN"/>
        </w:rPr>
        <w:t>条件</w:t>
      </w:r>
      <w:r>
        <w:rPr>
          <w:sz w:val="24"/>
          <w:szCs w:val="24"/>
          <w:lang w:eastAsia="zh-CN"/>
        </w:rPr>
        <w:t>或其他条件，以便根据这些条件进行审批。</w:t>
      </w:r>
      <w:r>
        <w:fldChar w:fldCharType="begin"/>
      </w:r>
      <w:r>
        <w:instrText xml:space="preserve"> HYPERLINK \l "bookmark43" \o "当前文件" \h </w:instrText>
      </w:r>
      <w:r>
        <w:fldChar w:fldCharType="separate"/>
      </w:r>
      <w:r>
        <w:rPr>
          <w:sz w:val="24"/>
          <w:szCs w:val="24"/>
          <w:vertAlign w:val="superscript"/>
          <w:lang w:eastAsia="zh-CN"/>
        </w:rPr>
        <w:t>21</w:t>
      </w:r>
      <w:r>
        <w:rPr>
          <w:sz w:val="24"/>
          <w:szCs w:val="24"/>
          <w:vertAlign w:val="superscript"/>
          <w:lang w:eastAsia="zh-CN"/>
        </w:rPr>
        <w:fldChar w:fldCharType="end"/>
      </w:r>
    </w:p>
    <w:p w14:paraId="6AE19BF4">
      <w:pPr>
        <w:snapToGrid w:val="0"/>
        <w:spacing w:before="120" w:beforeLines="50" w:line="400" w:lineRule="exact"/>
        <w:jc w:val="both"/>
        <w:rPr>
          <w:sz w:val="24"/>
          <w:szCs w:val="24"/>
          <w:lang w:eastAsia="zh-CN"/>
        </w:rPr>
      </w:pPr>
      <w:r>
        <w:rPr>
          <w:sz w:val="24"/>
          <w:szCs w:val="24"/>
          <w:lang w:eastAsia="zh-CN"/>
        </w:rPr>
        <w:t>这些类型的研究或在真实世界中使用器械后获得的其他数据可能会改变某些器械的获益-风险状况，尤其是如果发现新风险，或如果可以使用信息确认某些风险已缓解，从而确定哪些患者最有可能发生不良事件，或更具体地确定不同的患者人群将如何反应。</w:t>
      </w:r>
    </w:p>
    <w:p w14:paraId="6AE19BF5">
      <w:pPr>
        <w:snapToGrid w:val="0"/>
        <w:spacing w:before="120" w:beforeLines="50" w:line="400" w:lineRule="exact"/>
        <w:jc w:val="both"/>
        <w:rPr>
          <w:sz w:val="24"/>
          <w:szCs w:val="24"/>
          <w:lang w:eastAsia="zh-CN"/>
        </w:rPr>
      </w:pPr>
      <w:r>
        <w:rPr>
          <w:b/>
          <w:bCs/>
          <w:sz w:val="24"/>
          <w:szCs w:val="24"/>
          <w:lang w:eastAsia="zh-CN"/>
        </w:rPr>
        <w:t xml:space="preserve">解决未满足的医疗需求的新技术 </w:t>
      </w:r>
      <w:r>
        <w:rPr>
          <w:sz w:val="24"/>
          <w:szCs w:val="24"/>
          <w:lang w:eastAsia="zh-CN"/>
        </w:rPr>
        <w:t>- 在评估获益和风险期间，FDA将考虑一种器械是否代表或</w:t>
      </w:r>
      <w:r>
        <w:rPr>
          <w:rFonts w:hint="eastAsia"/>
          <w:sz w:val="24"/>
          <w:szCs w:val="24"/>
          <w:lang w:eastAsia="zh-CN"/>
        </w:rPr>
        <w:t>采用</w:t>
      </w:r>
      <w:r>
        <w:rPr>
          <w:sz w:val="24"/>
          <w:szCs w:val="24"/>
          <w:lang w:eastAsia="zh-CN"/>
        </w:rPr>
        <w:t>突破性技术，是否能解决未能满足的医疗需求。器械可以通过提供相对于现有技术的临床优势、提供比现有疗法更大的临床获益、比现有疗法更</w:t>
      </w:r>
      <w:r>
        <w:rPr>
          <w:rFonts w:hint="eastAsia"/>
          <w:sz w:val="24"/>
          <w:szCs w:val="24"/>
          <w:lang w:eastAsia="zh-CN"/>
        </w:rPr>
        <w:t>低</w:t>
      </w:r>
      <w:r>
        <w:rPr>
          <w:sz w:val="24"/>
          <w:szCs w:val="24"/>
          <w:lang w:eastAsia="zh-CN"/>
        </w:rPr>
        <w:t>的风险、或提供缺乏替代方法的治疗或诊断手段来满足未能满足的医疗需求。</w:t>
      </w:r>
    </w:p>
    <w:p w14:paraId="6AE19BF6">
      <w:pPr>
        <w:snapToGrid w:val="0"/>
        <w:spacing w:before="120" w:beforeLines="50"/>
        <w:jc w:val="both"/>
        <w:rPr>
          <w:sz w:val="24"/>
          <w:szCs w:val="24"/>
          <w:lang w:eastAsia="zh-CN"/>
        </w:rPr>
      </w:pPr>
    </w:p>
    <w:p w14:paraId="6AE19BF7">
      <w:pPr>
        <w:snapToGrid w:val="0"/>
        <w:spacing w:before="120" w:beforeLines="50"/>
        <w:jc w:val="both"/>
        <w:rPr>
          <w:sz w:val="24"/>
          <w:szCs w:val="24"/>
          <w:lang w:eastAsia="zh-CN"/>
        </w:rPr>
      </w:pPr>
    </w:p>
    <w:p w14:paraId="6AE19BF8">
      <w:pPr>
        <w:snapToGrid w:val="0"/>
        <w:spacing w:before="120" w:beforeLines="50"/>
        <w:jc w:val="both"/>
        <w:rPr>
          <w:sz w:val="24"/>
          <w:szCs w:val="24"/>
          <w:lang w:eastAsia="zh-CN"/>
        </w:rPr>
      </w:pPr>
    </w:p>
    <w:p w14:paraId="6AE19BF9">
      <w:pPr>
        <w:snapToGrid w:val="0"/>
        <w:spacing w:before="120" w:beforeLines="50"/>
        <w:jc w:val="both"/>
        <w:rPr>
          <w:sz w:val="24"/>
          <w:szCs w:val="24"/>
          <w:lang w:eastAsia="zh-CN"/>
        </w:rPr>
      </w:pPr>
    </w:p>
    <w:p w14:paraId="6AE19BFA">
      <w:pPr>
        <w:snapToGrid w:val="0"/>
        <w:spacing w:before="120" w:beforeLines="50"/>
        <w:jc w:val="both"/>
        <w:rPr>
          <w:sz w:val="24"/>
          <w:szCs w:val="24"/>
          <w:lang w:eastAsia="zh-CN"/>
        </w:rPr>
      </w:pPr>
    </w:p>
    <w:p w14:paraId="6AE19BFB">
      <w:pPr>
        <w:snapToGrid w:val="0"/>
        <w:spacing w:before="120" w:beforeLines="50"/>
        <w:jc w:val="both"/>
        <w:rPr>
          <w:sz w:val="24"/>
          <w:szCs w:val="24"/>
          <w:lang w:eastAsia="zh-CN"/>
        </w:rPr>
      </w:pPr>
    </w:p>
    <w:p w14:paraId="6AE19BFC">
      <w:pPr>
        <w:snapToGrid w:val="0"/>
        <w:spacing w:before="120" w:beforeLines="50"/>
        <w:jc w:val="both"/>
        <w:rPr>
          <w:sz w:val="24"/>
          <w:szCs w:val="24"/>
          <w:lang w:eastAsia="zh-CN"/>
        </w:rPr>
      </w:pPr>
    </w:p>
    <w:p w14:paraId="6AE19BFD">
      <w:pPr>
        <w:snapToGrid w:val="0"/>
        <w:spacing w:before="120" w:beforeLines="50"/>
        <w:jc w:val="both"/>
        <w:rPr>
          <w:sz w:val="24"/>
          <w:szCs w:val="24"/>
          <w:lang w:eastAsia="zh-CN"/>
        </w:rPr>
      </w:pPr>
    </w:p>
    <w:p w14:paraId="6AE19BFE">
      <w:pPr>
        <w:snapToGrid w:val="0"/>
        <w:spacing w:before="120" w:beforeLines="50"/>
        <w:jc w:val="both"/>
        <w:rPr>
          <w:sz w:val="24"/>
          <w:szCs w:val="24"/>
          <w:lang w:eastAsia="zh-CN"/>
        </w:rPr>
      </w:pPr>
    </w:p>
    <w:p w14:paraId="6AE19BFF">
      <w:pPr>
        <w:snapToGrid w:val="0"/>
        <w:spacing w:before="120" w:beforeLines="50"/>
        <w:jc w:val="both"/>
        <w:rPr>
          <w:sz w:val="24"/>
          <w:szCs w:val="24"/>
          <w:lang w:eastAsia="zh-CN"/>
        </w:rPr>
      </w:pPr>
    </w:p>
    <w:p w14:paraId="6AE19C00">
      <w:pPr>
        <w:snapToGrid w:val="0"/>
        <w:spacing w:before="120" w:beforeLines="50"/>
        <w:jc w:val="both"/>
        <w:rPr>
          <w:sz w:val="24"/>
          <w:szCs w:val="24"/>
          <w:lang w:eastAsia="zh-CN"/>
        </w:rPr>
      </w:pPr>
    </w:p>
    <w:p w14:paraId="6AE19C01">
      <w:pPr>
        <w:snapToGrid w:val="0"/>
        <w:spacing w:before="120" w:beforeLines="50"/>
        <w:jc w:val="both"/>
        <w:rPr>
          <w:sz w:val="24"/>
          <w:szCs w:val="24"/>
          <w:lang w:eastAsia="zh-CN"/>
        </w:rPr>
      </w:pPr>
    </w:p>
    <w:p w14:paraId="6AE19C02">
      <w:pPr>
        <w:snapToGrid w:val="0"/>
        <w:spacing w:before="120" w:beforeLines="50"/>
        <w:jc w:val="both"/>
        <w:rPr>
          <w:sz w:val="18"/>
          <w:szCs w:val="18"/>
          <w:lang w:eastAsia="zh-CN"/>
        </w:rPr>
      </w:pPr>
      <w:bookmarkStart w:id="53" w:name="bookmark43"/>
      <w:bookmarkStart w:id="54" w:name="bookmark42"/>
      <w:r>
        <w:rPr>
          <w:sz w:val="18"/>
          <w:szCs w:val="18"/>
          <w:lang w:eastAsia="zh-CN"/>
        </w:rPr>
        <w:t>_______________________</w:t>
      </w:r>
    </w:p>
    <w:p w14:paraId="6AE19C03">
      <w:pPr>
        <w:tabs>
          <w:tab w:val="left" w:pos="182"/>
        </w:tabs>
        <w:snapToGrid w:val="0"/>
        <w:spacing w:before="120" w:beforeLines="50"/>
        <w:rPr>
          <w:sz w:val="18"/>
          <w:szCs w:val="18"/>
          <w:lang w:eastAsia="zh-CN"/>
        </w:rPr>
      </w:pPr>
      <w:r>
        <w:rPr>
          <w:sz w:val="18"/>
          <w:szCs w:val="18"/>
          <w:vertAlign w:val="superscript"/>
          <w:lang w:eastAsia="zh-CN"/>
        </w:rPr>
        <w:t>20</w:t>
      </w:r>
      <w:r>
        <w:rPr>
          <w:sz w:val="18"/>
          <w:szCs w:val="18"/>
          <w:lang w:eastAsia="zh-CN"/>
        </w:rPr>
        <w:tab/>
      </w:r>
      <w:r>
        <w:rPr>
          <w:sz w:val="18"/>
          <w:szCs w:val="18"/>
          <w:lang w:eastAsia="zh-CN"/>
        </w:rPr>
        <w:t>21 CFR 814.82规定，</w:t>
      </w:r>
      <w:r>
        <w:rPr>
          <w:rFonts w:ascii="宋体" w:hAnsi="宋体"/>
          <w:sz w:val="18"/>
          <w:szCs w:val="18"/>
          <w:lang w:eastAsia="zh-CN"/>
        </w:rPr>
        <w:t>“</w:t>
      </w:r>
      <w:r>
        <w:rPr>
          <w:sz w:val="18"/>
          <w:szCs w:val="18"/>
          <w:lang w:eastAsia="zh-CN"/>
        </w:rPr>
        <w:t>FDA可以在PMA批准令中或在PMA批准时或在批准后通过法规条例实施批准后要求。</w:t>
      </w:r>
      <w:r>
        <w:rPr>
          <w:rFonts w:ascii="宋体" w:hAnsi="宋体"/>
          <w:sz w:val="18"/>
          <w:szCs w:val="18"/>
          <w:lang w:eastAsia="zh-CN"/>
        </w:rPr>
        <w:t>”</w:t>
      </w:r>
      <w:r>
        <w:rPr>
          <w:sz w:val="18"/>
          <w:szCs w:val="18"/>
          <w:lang w:eastAsia="zh-CN"/>
        </w:rPr>
        <w:t>此外，根据《FD&amp;C法案》的第522节和21 CFR第822部分的FDA实施条例，FDA可能要求对II类或III类器械进行上市后监督。</w:t>
      </w:r>
      <w:bookmarkEnd w:id="53"/>
      <w:bookmarkEnd w:id="54"/>
    </w:p>
    <w:p w14:paraId="6AE19C04">
      <w:pPr>
        <w:tabs>
          <w:tab w:val="left" w:pos="202"/>
        </w:tabs>
        <w:snapToGrid w:val="0"/>
        <w:spacing w:before="120" w:beforeLines="50"/>
      </w:pPr>
      <w:r>
        <w:rPr>
          <w:sz w:val="18"/>
          <w:szCs w:val="18"/>
          <w:vertAlign w:val="superscript"/>
          <w:lang w:eastAsia="zh-CN"/>
        </w:rPr>
        <w:t>21</w:t>
      </w:r>
      <w:r>
        <w:rPr>
          <w:sz w:val="18"/>
          <w:szCs w:val="18"/>
          <w:lang w:eastAsia="zh-CN"/>
        </w:rPr>
        <w:tab/>
      </w:r>
      <w:r>
        <w:rPr>
          <w:sz w:val="18"/>
          <w:szCs w:val="18"/>
          <w:lang w:eastAsia="zh-CN"/>
        </w:rPr>
        <w:t>参见FDA指南</w:t>
      </w:r>
      <w:r>
        <w:rPr>
          <w:rFonts w:ascii="宋体" w:hAnsi="宋体"/>
          <w:sz w:val="18"/>
          <w:szCs w:val="18"/>
          <w:lang w:eastAsia="zh-CN"/>
        </w:rPr>
        <w:t>“</w:t>
      </w:r>
      <w:r>
        <w:rPr>
          <w:sz w:val="18"/>
          <w:szCs w:val="18"/>
          <w:lang w:eastAsia="zh-CN"/>
        </w:rPr>
        <w:t>最简规定：概念和原则：对行业和</w:t>
      </w:r>
      <w:r>
        <w:rPr>
          <w:rFonts w:hint="eastAsia"/>
          <w:sz w:val="18"/>
          <w:szCs w:val="18"/>
          <w:lang w:eastAsia="zh-CN"/>
        </w:rPr>
        <w:t>美国食品药品监督</w:t>
      </w:r>
      <w:r>
        <w:rPr>
          <w:sz w:val="18"/>
          <w:szCs w:val="18"/>
          <w:lang w:eastAsia="zh-CN"/>
        </w:rPr>
        <w:t>管理局工作人员的指</w:t>
      </w:r>
      <w:r>
        <w:rPr>
          <w:rFonts w:hint="eastAsia"/>
          <w:sz w:val="18"/>
          <w:szCs w:val="18"/>
          <w:lang w:eastAsia="zh-CN"/>
        </w:rPr>
        <w:t>南</w:t>
      </w:r>
      <w:r>
        <w:rPr>
          <w:sz w:val="18"/>
          <w:szCs w:val="18"/>
          <w:lang w:eastAsia="zh-CN"/>
        </w:rPr>
        <w:t>，请访问</w:t>
      </w:r>
      <w:r>
        <w:rPr>
          <w:rStyle w:val="11"/>
          <w:sz w:val="18"/>
          <w:szCs w:val="18"/>
          <w:u w:val="none"/>
          <w:lang w:eastAsia="zh-CN"/>
        </w:rPr>
        <w:fldChar w:fldCharType="begin"/>
      </w:r>
      <w:r>
        <w:rPr>
          <w:rStyle w:val="11"/>
          <w:sz w:val="18"/>
          <w:szCs w:val="18"/>
          <w:u w:val="none"/>
          <w:lang w:eastAsia="zh-CN"/>
        </w:rPr>
        <w:instrText xml:space="preserve"> HYPERLINK "https://www.fda.gov/regulatory-information/search-fda-guidance-documents/least-" </w:instrText>
      </w:r>
      <w:r>
        <w:rPr>
          <w:rStyle w:val="11"/>
          <w:sz w:val="18"/>
          <w:szCs w:val="18"/>
          <w:u w:val="none"/>
          <w:lang w:eastAsia="zh-CN"/>
        </w:rPr>
        <w:fldChar w:fldCharType="separate"/>
      </w:r>
      <w:r>
        <w:rPr>
          <w:rStyle w:val="11"/>
          <w:sz w:val="18"/>
          <w:szCs w:val="18"/>
          <w:lang w:eastAsia="zh-CN"/>
        </w:rPr>
        <w:t>https://www.fda.gov/regulatory-information/search-fda-guidance-documents/least-</w:t>
      </w:r>
      <w:r>
        <w:rPr>
          <w:rStyle w:val="11"/>
          <w:sz w:val="18"/>
          <w:szCs w:val="18"/>
          <w:u w:val="none"/>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"https://www.fda.gov/regulatory-information/search-fda-guidance-documents/least-burdensome-provisions-concept-and-principles" </w:instrText>
      </w:r>
      <w:r>
        <w:fldChar w:fldCharType="separate"/>
      </w:r>
      <w:r>
        <w:rPr>
          <w:rStyle w:val="11"/>
          <w:sz w:val="18"/>
          <w:szCs w:val="18"/>
          <w:lang w:eastAsia="zh-CN"/>
        </w:rPr>
        <w:t>burdensome-provisions-concept-and-principles。</w:t>
      </w:r>
      <w:r>
        <w:rPr>
          <w:rStyle w:val="11"/>
          <w:sz w:val="18"/>
          <w:szCs w:val="18"/>
          <w:lang w:eastAsia="zh-CN"/>
        </w:rPr>
        <w:fldChar w:fldCharType="end"/>
      </w:r>
      <w:r>
        <w:rPr>
          <w:lang w:eastAsia="zh-CN"/>
        </w:rPr>
        <w:br w:type="page"/>
      </w:r>
    </w:p>
    <w:p w14:paraId="6AE19C05">
      <w:pPr>
        <w:snapToGrid w:val="0"/>
        <w:spacing w:before="120" w:beforeLines="50" w:line="400" w:lineRule="exact"/>
        <w:jc w:val="both"/>
        <w:rPr>
          <w:sz w:val="24"/>
          <w:szCs w:val="24"/>
          <w:lang w:eastAsia="zh-CN"/>
        </w:rPr>
      </w:pPr>
      <w:r>
        <w:rPr>
          <w:sz w:val="24"/>
          <w:szCs w:val="24"/>
          <w:lang w:eastAsia="zh-CN"/>
        </w:rPr>
        <w:t>解决未能满足的医疗需求的新器械可能具有相对较小的获益并不少见。即使申办者证明可能的获益相对较小，FDA也可能会确定这种新器械具有合理的安全性和有效性。此外，创新技术的开发可能在未来</w:t>
      </w:r>
      <w:r>
        <w:rPr>
          <w:rFonts w:hint="eastAsia"/>
          <w:sz w:val="24"/>
          <w:szCs w:val="24"/>
          <w:lang w:eastAsia="zh-CN"/>
        </w:rPr>
        <w:t>对患者有额外收益</w:t>
      </w:r>
      <w:r>
        <w:rPr>
          <w:sz w:val="24"/>
          <w:szCs w:val="24"/>
          <w:lang w:eastAsia="zh-CN"/>
        </w:rPr>
        <w:t>。随着器械后续发生迭代，获益-风险状况可能发生变化（例如获益可能增加，或风险可能降低），预计的安全性和有效性水平可能发生变化，后续版本与初始器械相比可能具有显著优势。在这些情况下，为了帮助患者使用对公共健康非常重要的新器械并鼓励创新，与大多数已建立的技术相比，我们可能在获益或风险评估中承受更大的不确定性，特别是当医护人员和患者</w:t>
      </w:r>
      <w:r>
        <w:rPr>
          <w:rFonts w:hint="eastAsia"/>
          <w:sz w:val="24"/>
          <w:szCs w:val="24"/>
          <w:lang w:eastAsia="zh-CN"/>
        </w:rPr>
        <w:t>可以使用</w:t>
      </w:r>
      <w:r>
        <w:rPr>
          <w:sz w:val="24"/>
          <w:szCs w:val="24"/>
          <w:lang w:eastAsia="zh-CN"/>
        </w:rPr>
        <w:t>的替代方案有限时。</w:t>
      </w:r>
    </w:p>
    <w:p w14:paraId="6AE19C06">
      <w:pPr>
        <w:snapToGrid w:val="0"/>
        <w:spacing w:before="120" w:beforeLines="50" w:line="400" w:lineRule="exact"/>
        <w:jc w:val="both"/>
        <w:rPr>
          <w:sz w:val="24"/>
          <w:szCs w:val="24"/>
          <w:lang w:eastAsia="zh-CN"/>
        </w:rPr>
      </w:pPr>
    </w:p>
    <w:p w14:paraId="6AE19C07">
      <w:pPr>
        <w:pStyle w:val="16"/>
        <w:spacing w:before="120" w:after="120" w:line="400" w:lineRule="exact"/>
        <w:rPr>
          <w:lang w:eastAsia="zh-CN"/>
        </w:rPr>
      </w:pPr>
      <w:bookmarkStart w:id="55" w:name="bookmark45"/>
      <w:bookmarkStart w:id="56" w:name="bookmark44"/>
      <w:bookmarkStart w:id="57" w:name="_Toc97318822"/>
      <w:r>
        <w:rPr>
          <w:lang w:eastAsia="zh-CN"/>
        </w:rPr>
        <w:t>V.</w:t>
      </w:r>
      <w:r>
        <w:rPr>
          <w:lang w:eastAsia="zh-CN"/>
        </w:rPr>
        <w:tab/>
      </w:r>
      <w:r>
        <w:rPr>
          <w:lang w:eastAsia="zh-CN"/>
        </w:rPr>
        <w:t>确定获益-风险的举例</w:t>
      </w:r>
      <w:bookmarkEnd w:id="55"/>
      <w:bookmarkEnd w:id="56"/>
      <w:bookmarkEnd w:id="57"/>
    </w:p>
    <w:p w14:paraId="6AE19C08">
      <w:pPr>
        <w:snapToGrid w:val="0"/>
        <w:spacing w:before="120" w:beforeLines="50" w:line="400" w:lineRule="exact"/>
        <w:jc w:val="both"/>
        <w:rPr>
          <w:sz w:val="24"/>
          <w:szCs w:val="24"/>
          <w:lang w:eastAsia="zh-CN"/>
        </w:rPr>
      </w:pPr>
      <w:r>
        <w:rPr>
          <w:rFonts w:hint="eastAsia"/>
          <w:sz w:val="24"/>
          <w:szCs w:val="24"/>
          <w:lang w:eastAsia="zh-CN"/>
        </w:rPr>
        <w:t>下面提供了假设或简化的例子</w:t>
      </w:r>
      <w:r>
        <w:rPr>
          <w:sz w:val="24"/>
          <w:szCs w:val="24"/>
          <w:lang w:eastAsia="zh-CN"/>
        </w:rPr>
        <w:t>，仅供说明之用。这些例子中所述的决策并不能预测FDA未来的决策，它们只是假设的结果，只是为了说明FDA在确定获益-风险时如何考虑本指南中所述的因素。类似的情况或器械可能会导致不同的批准结果，这取决于特定器械的单个性能特征和适用人群。</w:t>
      </w:r>
    </w:p>
    <w:p w14:paraId="6AE19C09">
      <w:pPr>
        <w:snapToGrid w:val="0"/>
        <w:spacing w:before="120" w:beforeLines="50" w:line="400" w:lineRule="exact"/>
        <w:jc w:val="both"/>
        <w:rPr>
          <w:sz w:val="24"/>
          <w:szCs w:val="24"/>
          <w:lang w:eastAsia="zh-CN"/>
        </w:rPr>
      </w:pPr>
      <w:bookmarkStart w:id="58" w:name="bookmark46"/>
      <w:r>
        <w:rPr>
          <w:sz w:val="24"/>
          <w:szCs w:val="24"/>
          <w:lang w:eastAsia="zh-CN"/>
        </w:rPr>
        <w:t>FDA如何在审查者工作表条件中考虑这些</w:t>
      </w:r>
      <w:r>
        <w:rPr>
          <w:rFonts w:hint="eastAsia"/>
          <w:sz w:val="24"/>
          <w:szCs w:val="24"/>
          <w:lang w:eastAsia="zh-CN"/>
        </w:rPr>
        <w:t>例子</w:t>
      </w:r>
      <w:r>
        <w:rPr>
          <w:sz w:val="24"/>
          <w:szCs w:val="24"/>
          <w:lang w:eastAsia="zh-CN"/>
        </w:rPr>
        <w:t>的描述见</w:t>
      </w:r>
      <w:r>
        <w:fldChar w:fldCharType="begin"/>
      </w:r>
      <w:r>
        <w:instrText xml:space="preserve"> HYPERLINK \l "bookmark72" \o "当前文件" \h </w:instrText>
      </w:r>
      <w:r>
        <w:fldChar w:fldCharType="separate"/>
      </w:r>
      <w:r>
        <w:rPr>
          <w:sz w:val="24"/>
          <w:szCs w:val="24"/>
          <w:lang w:eastAsia="zh-CN"/>
        </w:rPr>
        <w:t>附录C。</w:t>
      </w:r>
      <w:bookmarkEnd w:id="58"/>
      <w:r>
        <w:rPr>
          <w:sz w:val="24"/>
          <w:szCs w:val="24"/>
          <w:lang w:eastAsia="zh-CN"/>
        </w:rPr>
        <w:fldChar w:fldCharType="end"/>
      </w:r>
    </w:p>
    <w:p w14:paraId="6AE19C0A">
      <w:pPr>
        <w:pStyle w:val="17"/>
        <w:spacing w:before="120" w:after="120" w:line="400" w:lineRule="exact"/>
        <w:rPr>
          <w:lang w:eastAsia="zh-CN"/>
        </w:rPr>
      </w:pPr>
      <w:bookmarkStart w:id="59" w:name="bookmark47"/>
      <w:bookmarkStart w:id="60" w:name="_Toc97318823"/>
      <w:r>
        <w:rPr>
          <w:lang w:eastAsia="zh-CN"/>
        </w:rPr>
        <w:t>A.</w:t>
      </w:r>
      <w:r>
        <w:rPr>
          <w:lang w:eastAsia="zh-CN"/>
        </w:rPr>
        <w:tab/>
      </w:r>
      <w:r>
        <w:rPr>
          <w:lang w:eastAsia="zh-CN"/>
        </w:rPr>
        <w:t>假设举例</w:t>
      </w:r>
      <w:bookmarkEnd w:id="59"/>
      <w:bookmarkEnd w:id="60"/>
    </w:p>
    <w:p w14:paraId="6AE19C0B">
      <w:pPr>
        <w:snapToGrid w:val="0"/>
        <w:spacing w:before="120" w:beforeLines="50" w:line="400" w:lineRule="exact"/>
        <w:jc w:val="center"/>
        <w:rPr>
          <w:b/>
          <w:bCs/>
          <w:sz w:val="24"/>
          <w:szCs w:val="24"/>
          <w:lang w:eastAsia="zh-CN"/>
        </w:rPr>
      </w:pPr>
      <w:r>
        <w:rPr>
          <w:b/>
          <w:bCs/>
          <w:sz w:val="24"/>
          <w:szCs w:val="24"/>
          <w:lang w:eastAsia="zh-CN"/>
        </w:rPr>
        <w:t>示例1</w:t>
      </w:r>
    </w:p>
    <w:p w14:paraId="6AE19C0C">
      <w:pPr>
        <w:snapToGrid w:val="0"/>
        <w:spacing w:before="120" w:beforeLines="50" w:line="400" w:lineRule="exact"/>
        <w:jc w:val="center"/>
        <w:rPr>
          <w:sz w:val="24"/>
          <w:szCs w:val="24"/>
          <w:lang w:eastAsia="zh-CN"/>
        </w:rPr>
      </w:pPr>
    </w:p>
    <w:p w14:paraId="6AE19C0D">
      <w:pPr>
        <w:snapToGrid w:val="0"/>
        <w:spacing w:before="120" w:beforeLines="50" w:line="400" w:lineRule="exact"/>
        <w:jc w:val="both"/>
        <w:rPr>
          <w:sz w:val="24"/>
          <w:szCs w:val="24"/>
          <w:lang w:eastAsia="zh-CN"/>
        </w:rPr>
      </w:pPr>
      <w:r>
        <w:rPr>
          <w:sz w:val="24"/>
          <w:szCs w:val="24"/>
          <w:lang w:eastAsia="zh-CN"/>
        </w:rPr>
        <w:t>植入式器械是为了治疗所有其他治疗方案都失败的慢性重症患者。</w:t>
      </w:r>
    </w:p>
    <w:p w14:paraId="6AE19C0E">
      <w:pPr>
        <w:snapToGrid w:val="0"/>
        <w:spacing w:before="120" w:beforeLines="50" w:line="400" w:lineRule="exact"/>
        <w:jc w:val="both"/>
        <w:rPr>
          <w:sz w:val="24"/>
          <w:szCs w:val="24"/>
          <w:lang w:eastAsia="zh-CN"/>
        </w:rPr>
      </w:pPr>
      <w:r>
        <w:rPr>
          <w:sz w:val="24"/>
          <w:szCs w:val="24"/>
          <w:lang w:eastAsia="zh-CN"/>
        </w:rPr>
        <w:t>该器械在关键性临床试验中进行研究，研究设计为所有受试者均植入器械，但是仅一半受试者启动器械。在完成试验后，打开未激活的器械。试验的主要终点是获益程度，即试验设计为测量器械与当前的标准治疗相比，减少受试者症状的具体程度。</w:t>
      </w:r>
    </w:p>
    <w:p w14:paraId="6AE19C0F">
      <w:pPr>
        <w:snapToGrid w:val="0"/>
        <w:spacing w:before="120" w:beforeLines="50" w:line="400" w:lineRule="exact"/>
        <w:jc w:val="both"/>
        <w:rPr>
          <w:sz w:val="24"/>
          <w:szCs w:val="24"/>
          <w:lang w:eastAsia="zh-CN"/>
        </w:rPr>
      </w:pPr>
      <w:r>
        <w:rPr>
          <w:sz w:val="24"/>
          <w:szCs w:val="24"/>
          <w:lang w:eastAsia="zh-CN"/>
        </w:rPr>
        <w:t>关键性临床试验的结果如下：</w:t>
      </w:r>
    </w:p>
    <w:p w14:paraId="6AE19C10">
      <w:pPr>
        <w:snapToGrid w:val="0"/>
        <w:spacing w:before="120" w:beforeLines="50" w:line="400" w:lineRule="exact"/>
        <w:jc w:val="both"/>
        <w:rPr>
          <w:sz w:val="24"/>
          <w:szCs w:val="24"/>
          <w:lang w:eastAsia="zh-CN"/>
        </w:rPr>
      </w:pPr>
      <w:r>
        <w:rPr>
          <w:b/>
          <w:bCs/>
          <w:sz w:val="24"/>
          <w:szCs w:val="24"/>
          <w:lang w:eastAsia="zh-CN"/>
        </w:rPr>
        <w:t>获益</w:t>
      </w:r>
      <w:r>
        <w:rPr>
          <w:rFonts w:hint="eastAsia"/>
          <w:b/>
          <w:bCs/>
          <w:sz w:val="24"/>
          <w:szCs w:val="24"/>
          <w:lang w:eastAsia="zh-CN"/>
        </w:rPr>
        <w:t>：</w:t>
      </w:r>
      <w:r>
        <w:rPr>
          <w:sz w:val="24"/>
          <w:szCs w:val="24"/>
          <w:lang w:eastAsia="zh-CN"/>
        </w:rPr>
        <w:t>根据临床研究，推断患者植入器械后大幅获益的概率为75%。认定试验达到其主要终点。一般而言，患有该疾病并且能够维持良好活动的患者趋于具有更长的预期寿命。</w:t>
      </w:r>
    </w:p>
    <w:p w14:paraId="6AE19C11">
      <w:pPr>
        <w:snapToGrid w:val="0"/>
        <w:spacing w:before="120" w:beforeLines="50" w:line="400" w:lineRule="exact"/>
        <w:jc w:val="both"/>
        <w:rPr>
          <w:sz w:val="24"/>
          <w:szCs w:val="24"/>
          <w:lang w:eastAsia="zh-CN"/>
        </w:rPr>
      </w:pPr>
      <w:r>
        <w:rPr>
          <w:sz w:val="24"/>
          <w:szCs w:val="24"/>
          <w:lang w:eastAsia="zh-CN"/>
        </w:rPr>
        <w:br w:type="page"/>
      </w:r>
    </w:p>
    <w:p w14:paraId="6AE19C12">
      <w:pPr>
        <w:snapToGrid w:val="0"/>
        <w:spacing w:before="120" w:beforeLines="50" w:line="400" w:lineRule="exact"/>
        <w:jc w:val="both"/>
        <w:rPr>
          <w:sz w:val="24"/>
          <w:szCs w:val="24"/>
          <w:lang w:eastAsia="zh-CN"/>
        </w:rPr>
      </w:pPr>
      <w:r>
        <w:rPr>
          <w:sz w:val="24"/>
          <w:szCs w:val="24"/>
          <w:lang w:eastAsia="zh-CN"/>
        </w:rPr>
        <w:t>然而，由于研究受试者仅随访了1年，无法确定获益的持续时间。</w:t>
      </w:r>
    </w:p>
    <w:p w14:paraId="6AE19C13">
      <w:pPr>
        <w:snapToGrid w:val="0"/>
        <w:spacing w:before="120" w:beforeLines="50" w:line="400" w:lineRule="exact"/>
        <w:jc w:val="both"/>
        <w:rPr>
          <w:sz w:val="24"/>
          <w:szCs w:val="24"/>
          <w:lang w:eastAsia="zh-CN"/>
        </w:rPr>
      </w:pPr>
      <w:r>
        <w:rPr>
          <w:b/>
          <w:bCs/>
          <w:sz w:val="24"/>
          <w:szCs w:val="24"/>
          <w:lang w:eastAsia="zh-CN"/>
        </w:rPr>
        <w:t>风险：</w:t>
      </w:r>
      <w:r>
        <w:rPr>
          <w:sz w:val="24"/>
          <w:szCs w:val="24"/>
          <w:lang w:eastAsia="zh-CN"/>
        </w:rPr>
        <w:t>研究表明，在植入器械后，有害事件的发生概率非常低（</w:t>
      </w:r>
      <w:r>
        <w:rPr>
          <w:rFonts w:hint="eastAsia"/>
          <w:sz w:val="24"/>
          <w:szCs w:val="24"/>
          <w:lang w:eastAsia="zh-CN"/>
        </w:rPr>
        <w:t>低于</w:t>
      </w:r>
      <w:r>
        <w:rPr>
          <w:sz w:val="24"/>
          <w:szCs w:val="24"/>
          <w:lang w:eastAsia="zh-CN"/>
        </w:rPr>
        <w:t>3%）。然而，需要外科手术的所有植入器械都有自己的风险。在此情况下，根据文献得知，植入该器械并非常规操作，手术死亡概率</w:t>
      </w:r>
      <w:r>
        <w:rPr>
          <w:rFonts w:hint="eastAsia"/>
          <w:sz w:val="24"/>
          <w:szCs w:val="24"/>
          <w:lang w:eastAsia="zh-CN"/>
        </w:rPr>
        <w:t>概率</w:t>
      </w:r>
      <w:r>
        <w:rPr>
          <w:sz w:val="24"/>
          <w:szCs w:val="24"/>
          <w:lang w:eastAsia="zh-CN"/>
        </w:rPr>
        <w:t>为1%。此外，永久植入物还会产生额外的风险，即它们通常会伴随患者一生，可能很难取出。即使在器械失效的情况下，也保持植入，仍然存在器械断裂、机械失效或对器械发生不良生物反应的风险（即概率</w:t>
      </w:r>
      <w:r>
        <w:rPr>
          <w:rFonts w:hint="eastAsia"/>
          <w:sz w:val="24"/>
          <w:szCs w:val="24"/>
          <w:lang w:eastAsia="zh-CN"/>
        </w:rPr>
        <w:t>低于</w:t>
      </w:r>
      <w:r>
        <w:rPr>
          <w:sz w:val="24"/>
          <w:szCs w:val="24"/>
          <w:lang w:eastAsia="zh-CN"/>
        </w:rPr>
        <w:t>3%）。</w:t>
      </w:r>
    </w:p>
    <w:p w14:paraId="6AE19C14">
      <w:pPr>
        <w:snapToGrid w:val="0"/>
        <w:spacing w:before="120" w:beforeLines="50" w:line="400" w:lineRule="exact"/>
        <w:jc w:val="both"/>
        <w:rPr>
          <w:sz w:val="24"/>
          <w:szCs w:val="24"/>
          <w:lang w:eastAsia="zh-CN"/>
        </w:rPr>
      </w:pPr>
      <w:r>
        <w:rPr>
          <w:b/>
          <w:bCs/>
          <w:sz w:val="24"/>
          <w:szCs w:val="24"/>
          <w:lang w:eastAsia="zh-CN"/>
        </w:rPr>
        <w:t>其他因素：</w:t>
      </w:r>
    </w:p>
    <w:p w14:paraId="6AE19C15">
      <w:pPr>
        <w:snapToGrid w:val="0"/>
        <w:spacing w:before="120" w:beforeLines="50" w:line="400" w:lineRule="exact"/>
        <w:jc w:val="both"/>
        <w:rPr>
          <w:sz w:val="24"/>
          <w:szCs w:val="24"/>
          <w:lang w:eastAsia="zh-CN"/>
        </w:rPr>
      </w:pPr>
      <w:r>
        <w:rPr>
          <w:sz w:val="24"/>
          <w:szCs w:val="24"/>
          <w:u w:val="single"/>
          <w:lang w:eastAsia="zh-CN"/>
        </w:rPr>
        <w:t>不确定</w:t>
      </w:r>
      <w:r>
        <w:rPr>
          <w:rFonts w:hint="eastAsia"/>
          <w:sz w:val="24"/>
          <w:szCs w:val="24"/>
          <w:u w:val="single"/>
          <w:lang w:eastAsia="zh-CN"/>
        </w:rPr>
        <w:t>性</w:t>
      </w:r>
      <w:r>
        <w:rPr>
          <w:sz w:val="24"/>
          <w:szCs w:val="24"/>
          <w:lang w:eastAsia="zh-CN"/>
        </w:rPr>
        <w:t>：很难辨别受试者症状改善和手术是否可能促使发生这些改善的作用机制。由于试验在1年后结束，很难确定1年后的获益持续时间，在植入器械时，患者取得完全成功的几率只有75%。</w:t>
      </w:r>
    </w:p>
    <w:p w14:paraId="6AE19C16">
      <w:pPr>
        <w:snapToGrid w:val="0"/>
        <w:spacing w:before="120" w:beforeLines="50" w:line="400" w:lineRule="exact"/>
        <w:jc w:val="both"/>
        <w:rPr>
          <w:sz w:val="24"/>
          <w:szCs w:val="24"/>
          <w:lang w:eastAsia="zh-CN"/>
        </w:rPr>
      </w:pPr>
      <w:r>
        <w:rPr>
          <w:sz w:val="24"/>
          <w:szCs w:val="24"/>
          <w:u w:val="single"/>
          <w:lang w:eastAsia="zh-CN"/>
        </w:rPr>
        <w:t>患者角度</w:t>
      </w:r>
      <w:r>
        <w:rPr>
          <w:sz w:val="24"/>
          <w:szCs w:val="24"/>
          <w:lang w:eastAsia="zh-CN"/>
        </w:rPr>
        <w:t>：申办者提供的数据表明，因为替代治疗方案对他们无效，并且他们的症状较为严重，即使只有75%的概率获益，大部分患者也愿意承担植入器械的风险。</w:t>
      </w:r>
    </w:p>
    <w:p w14:paraId="6AE19C17">
      <w:pPr>
        <w:snapToGrid w:val="0"/>
        <w:spacing w:before="120" w:beforeLines="50" w:line="400" w:lineRule="exact"/>
        <w:jc w:val="both"/>
        <w:rPr>
          <w:sz w:val="24"/>
          <w:szCs w:val="24"/>
          <w:lang w:eastAsia="zh-CN"/>
        </w:rPr>
      </w:pPr>
      <w:r>
        <w:rPr>
          <w:sz w:val="24"/>
          <w:szCs w:val="24"/>
          <w:u w:val="single"/>
          <w:lang w:eastAsia="zh-CN"/>
        </w:rPr>
        <w:t>风险缓解</w:t>
      </w:r>
      <w:r>
        <w:rPr>
          <w:sz w:val="24"/>
          <w:szCs w:val="24"/>
          <w:lang w:eastAsia="zh-CN"/>
        </w:rPr>
        <w:t>：植入和取出（如果需要）器械的手术</w:t>
      </w:r>
      <w:r>
        <w:rPr>
          <w:rFonts w:hint="eastAsia"/>
          <w:sz w:val="24"/>
          <w:szCs w:val="24"/>
          <w:lang w:eastAsia="zh-CN"/>
        </w:rPr>
        <w:t>存在</w:t>
      </w:r>
      <w:r>
        <w:rPr>
          <w:sz w:val="24"/>
          <w:szCs w:val="24"/>
          <w:lang w:eastAsia="zh-CN"/>
        </w:rPr>
        <w:t>风险，但是可以通过要求由受过专业培训的外科医生植入器械来缓解风险。</w:t>
      </w:r>
    </w:p>
    <w:p w14:paraId="6AE19C18">
      <w:pPr>
        <w:snapToGrid w:val="0"/>
        <w:spacing w:before="120" w:beforeLines="50" w:line="400" w:lineRule="exact"/>
        <w:jc w:val="both"/>
        <w:rPr>
          <w:sz w:val="24"/>
          <w:szCs w:val="24"/>
          <w:lang w:eastAsia="zh-CN"/>
        </w:rPr>
      </w:pPr>
      <w:r>
        <w:rPr>
          <w:b/>
          <w:bCs/>
          <w:sz w:val="24"/>
          <w:szCs w:val="24"/>
          <w:lang w:eastAsia="zh-CN"/>
        </w:rPr>
        <w:t>批准/未批准的注意事项：</w:t>
      </w:r>
      <w:r>
        <w:rPr>
          <w:sz w:val="24"/>
          <w:szCs w:val="24"/>
          <w:lang w:eastAsia="zh-CN"/>
        </w:rPr>
        <w:t>患者获益的概率相对较高（如果临床试验结果适用于适用人群，约为75%）。在这种特殊情况下，因为确定肯定会获益的患者亚群的协变量尚不清楚，FDA并未选择将该器械的使用限制在最有可能获益的患者。此外，这类永久植入式器械存在显著风险，试验结果有时存在一定不确定性。然而，对于目标人群中将获益的患者，症状缓解和生活质量改善让人印象深刻，一些患者表示愿意承担风险以换取这些益处。此外，虽然风险较大，但是可以通过限制只能由受过专业培训的临床医师使用器械加以缓解。最后，器械能够治疗替代治疗方式较少（如果有）的严重和慢性疾病。因此，FDA可能批准该器械。</w:t>
      </w:r>
    </w:p>
    <w:p w14:paraId="6AE19C19">
      <w:pPr>
        <w:snapToGrid w:val="0"/>
        <w:spacing w:before="120" w:beforeLines="50"/>
        <w:jc w:val="center"/>
        <w:rPr>
          <w:b/>
          <w:bCs/>
          <w:sz w:val="24"/>
          <w:szCs w:val="24"/>
          <w:lang w:eastAsia="zh-CN"/>
        </w:rPr>
      </w:pPr>
      <w:r>
        <w:rPr>
          <w:b/>
          <w:bCs/>
          <w:sz w:val="24"/>
          <w:szCs w:val="24"/>
          <w:lang w:eastAsia="zh-CN"/>
        </w:rPr>
        <w:t>示例2</w:t>
      </w:r>
    </w:p>
    <w:p w14:paraId="6AE19C1A">
      <w:pPr>
        <w:snapToGrid w:val="0"/>
        <w:spacing w:before="120" w:beforeLines="50"/>
        <w:jc w:val="both"/>
        <w:rPr>
          <w:lang w:eastAsia="zh-CN"/>
        </w:rPr>
      </w:pPr>
      <w:r>
        <w:rPr>
          <w:lang w:eastAsia="zh-CN"/>
        </w:rPr>
        <w:br w:type="page"/>
      </w:r>
    </w:p>
    <w:p w14:paraId="6AE19C1B">
      <w:pPr>
        <w:snapToGrid w:val="0"/>
        <w:spacing w:before="120" w:beforeLines="50" w:line="400" w:lineRule="exact"/>
        <w:jc w:val="both"/>
        <w:rPr>
          <w:sz w:val="24"/>
          <w:szCs w:val="24"/>
          <w:lang w:eastAsia="zh-CN"/>
        </w:rPr>
      </w:pPr>
      <w:r>
        <w:rPr>
          <w:sz w:val="24"/>
          <w:szCs w:val="24"/>
          <w:lang w:eastAsia="zh-CN"/>
        </w:rPr>
        <w:t>开发了替代患者记忆的新器械，以治疗阿尔茨海默病、痴呆和其他记忆障碍。器械设计为永久植入，为了让器械适当工作，患者必须接受颅内切除术。器械通过将患者的记忆下载到计算机芯片上发挥作用。在植入器械后，患者就无法访问其保留的任何残余记忆。</w:t>
      </w:r>
    </w:p>
    <w:p w14:paraId="6AE19C1C">
      <w:pPr>
        <w:snapToGrid w:val="0"/>
        <w:spacing w:before="120" w:beforeLines="50" w:line="400" w:lineRule="exact"/>
        <w:jc w:val="both"/>
        <w:rPr>
          <w:sz w:val="24"/>
          <w:szCs w:val="24"/>
          <w:lang w:eastAsia="zh-CN"/>
        </w:rPr>
      </w:pPr>
      <w:r>
        <w:rPr>
          <w:b/>
          <w:bCs/>
          <w:sz w:val="24"/>
          <w:szCs w:val="24"/>
          <w:lang w:eastAsia="zh-CN"/>
        </w:rPr>
        <w:t>获益</w:t>
      </w:r>
      <w:r>
        <w:rPr>
          <w:rFonts w:hint="eastAsia"/>
          <w:b/>
          <w:bCs/>
          <w:sz w:val="24"/>
          <w:szCs w:val="24"/>
          <w:lang w:eastAsia="zh-CN"/>
        </w:rPr>
        <w:t>：</w:t>
      </w:r>
      <w:r>
        <w:rPr>
          <w:sz w:val="24"/>
          <w:szCs w:val="24"/>
          <w:lang w:eastAsia="zh-CN"/>
        </w:rPr>
        <w:t>器械的临床试验显示，早期痴呆受试者取得重大改善，而痴呆症状更晚期的受试者则改善</w:t>
      </w:r>
      <w:r>
        <w:rPr>
          <w:rFonts w:hint="eastAsia"/>
          <w:sz w:val="24"/>
          <w:szCs w:val="24"/>
          <w:lang w:eastAsia="zh-CN"/>
        </w:rPr>
        <w:t>甚微</w:t>
      </w:r>
      <w:r>
        <w:rPr>
          <w:sz w:val="24"/>
          <w:szCs w:val="24"/>
          <w:lang w:eastAsia="zh-CN"/>
        </w:rPr>
        <w:t>。在大部分记忆保持完好时，植入器械的受试者获益最大，他们的总体生活质量也得到了提高。由于试验设计仅考虑了两个亚组（即早期患者和晚期患者），可以推断，如果器械上市，早期患者人群很可能取得重大改善，而晚期患者人群很可能改善</w:t>
      </w:r>
      <w:r>
        <w:rPr>
          <w:rFonts w:hint="eastAsia"/>
          <w:sz w:val="24"/>
          <w:szCs w:val="24"/>
          <w:lang w:eastAsia="zh-CN"/>
        </w:rPr>
        <w:t>甚微</w:t>
      </w:r>
      <w:r>
        <w:rPr>
          <w:sz w:val="24"/>
          <w:szCs w:val="24"/>
          <w:lang w:eastAsia="zh-CN"/>
        </w:rPr>
        <w:t>。</w:t>
      </w:r>
    </w:p>
    <w:p w14:paraId="6AE19C1D">
      <w:pPr>
        <w:snapToGrid w:val="0"/>
        <w:spacing w:before="120" w:beforeLines="50" w:line="400" w:lineRule="exact"/>
        <w:jc w:val="both"/>
        <w:rPr>
          <w:sz w:val="24"/>
          <w:szCs w:val="24"/>
          <w:lang w:eastAsia="zh-CN"/>
        </w:rPr>
      </w:pPr>
      <w:r>
        <w:rPr>
          <w:b/>
          <w:bCs/>
          <w:sz w:val="24"/>
          <w:szCs w:val="24"/>
          <w:lang w:eastAsia="zh-CN"/>
        </w:rPr>
        <w:t>风险：</w:t>
      </w:r>
      <w:r>
        <w:rPr>
          <w:sz w:val="24"/>
          <w:szCs w:val="24"/>
          <w:lang w:eastAsia="zh-CN"/>
        </w:rPr>
        <w:t>植入器械的手术存在较高风险，通常只能由受过特殊培训的神经外科医师进行。即使存在这些手术限制条件，根据既往的研究和文献，单纯外科手术发生严重不良事件的风险为8%。此外，临床研究显示，不良事件包括部分麻痹、失明、运动技能丧失、眩晕和失眠（预测概率为1%）。非严重不良事件包括短暂性格转变、情绪波动和言语不清（研究显示预测概率为5%）。</w:t>
      </w:r>
    </w:p>
    <w:p w14:paraId="6AE19C1E">
      <w:pPr>
        <w:snapToGrid w:val="0"/>
        <w:spacing w:before="120" w:beforeLines="50" w:line="400" w:lineRule="exact"/>
        <w:jc w:val="both"/>
        <w:rPr>
          <w:sz w:val="24"/>
          <w:szCs w:val="24"/>
          <w:lang w:eastAsia="zh-CN"/>
        </w:rPr>
      </w:pPr>
      <w:r>
        <w:rPr>
          <w:rFonts w:hint="eastAsia"/>
          <w:b/>
          <w:bCs/>
          <w:sz w:val="24"/>
          <w:szCs w:val="24"/>
          <w:lang w:eastAsia="zh-CN"/>
        </w:rPr>
        <w:t>其他</w:t>
      </w:r>
      <w:r>
        <w:rPr>
          <w:b/>
          <w:bCs/>
          <w:sz w:val="24"/>
          <w:szCs w:val="24"/>
          <w:lang w:eastAsia="zh-CN"/>
        </w:rPr>
        <w:t>因素：</w:t>
      </w:r>
    </w:p>
    <w:p w14:paraId="6AE19C1F">
      <w:pPr>
        <w:snapToGrid w:val="0"/>
        <w:spacing w:before="120" w:beforeLines="50" w:line="400" w:lineRule="exact"/>
        <w:jc w:val="both"/>
        <w:rPr>
          <w:sz w:val="24"/>
          <w:szCs w:val="24"/>
          <w:lang w:eastAsia="zh-CN"/>
        </w:rPr>
      </w:pPr>
      <w:r>
        <w:rPr>
          <w:sz w:val="24"/>
          <w:szCs w:val="24"/>
          <w:u w:val="single"/>
          <w:lang w:eastAsia="zh-CN"/>
        </w:rPr>
        <w:t>不确定</w:t>
      </w:r>
      <w:r>
        <w:rPr>
          <w:rFonts w:hint="eastAsia"/>
          <w:sz w:val="24"/>
          <w:szCs w:val="24"/>
          <w:u w:val="single"/>
          <w:lang w:eastAsia="zh-CN"/>
        </w:rPr>
        <w:t>性</w:t>
      </w:r>
      <w:r>
        <w:rPr>
          <w:sz w:val="24"/>
          <w:szCs w:val="24"/>
          <w:lang w:eastAsia="zh-CN"/>
        </w:rPr>
        <w:t>：适宜和愿意入组试验的受试者人数较少，但是数据较为可靠，试验的设计和实施都较好。试验结果具有推广价值。结果表明，很可能取得最佳结果的受试者目前处于记忆丧失的早期阶段。</w:t>
      </w:r>
    </w:p>
    <w:p w14:paraId="6AE19C20">
      <w:pPr>
        <w:snapToGrid w:val="0"/>
        <w:spacing w:before="120" w:beforeLines="50" w:line="400" w:lineRule="exact"/>
        <w:jc w:val="both"/>
        <w:rPr>
          <w:sz w:val="24"/>
          <w:szCs w:val="24"/>
          <w:lang w:eastAsia="zh-CN"/>
        </w:rPr>
      </w:pPr>
      <w:r>
        <w:rPr>
          <w:sz w:val="24"/>
          <w:szCs w:val="24"/>
          <w:u w:val="single"/>
          <w:lang w:eastAsia="zh-CN"/>
        </w:rPr>
        <w:t>患者角度</w:t>
      </w:r>
      <w:r>
        <w:rPr>
          <w:sz w:val="24"/>
          <w:szCs w:val="24"/>
          <w:lang w:eastAsia="zh-CN"/>
        </w:rPr>
        <w:t>：由于阿尔茨海默病、其他形式的痴呆、与严重记忆丧失相关的其他病症等以及阿尔茨海默病</w:t>
      </w:r>
      <w:r>
        <w:rPr>
          <w:rFonts w:hint="eastAsia"/>
          <w:sz w:val="24"/>
          <w:szCs w:val="24"/>
          <w:lang w:eastAsia="zh-CN"/>
        </w:rPr>
        <w:t>持续</w:t>
      </w:r>
      <w:r>
        <w:rPr>
          <w:sz w:val="24"/>
          <w:szCs w:val="24"/>
          <w:lang w:eastAsia="zh-CN"/>
        </w:rPr>
        <w:t>进展会对患者的生活质量造成严重影响，为了改善疾病症状，并减轻在疾病后期预计对家庭成员可能造成的负担，一些患有这些病症的患者及其护理人员往往对风险的容忍度很高，甚至是严重不良事件的风险。诸如高龄患者等其他患者可能不太愿意承担这些风险。</w:t>
      </w:r>
    </w:p>
    <w:p w14:paraId="6AE19C21">
      <w:pPr>
        <w:snapToGrid w:val="0"/>
        <w:spacing w:before="120" w:beforeLines="50" w:line="400" w:lineRule="exact"/>
        <w:jc w:val="both"/>
        <w:rPr>
          <w:sz w:val="24"/>
          <w:szCs w:val="24"/>
          <w:lang w:eastAsia="zh-CN"/>
        </w:rPr>
      </w:pPr>
      <w:r>
        <w:rPr>
          <w:sz w:val="24"/>
          <w:szCs w:val="24"/>
          <w:lang w:eastAsia="zh-CN"/>
        </w:rPr>
        <w:t>疾病处于更晚期和发生更严重的症状的患者，不太可能获益于该器械。此外，由于患有晚期疾病，很难评估他们的风险容忍度。</w:t>
      </w:r>
    </w:p>
    <w:p w14:paraId="6AE19C22">
      <w:pPr>
        <w:snapToGrid w:val="0"/>
        <w:spacing w:before="120" w:beforeLines="50" w:line="400" w:lineRule="exact"/>
        <w:jc w:val="both"/>
        <w:rPr>
          <w:sz w:val="24"/>
          <w:szCs w:val="24"/>
          <w:lang w:eastAsia="zh-CN"/>
        </w:rPr>
      </w:pPr>
      <w:r>
        <w:rPr>
          <w:sz w:val="24"/>
          <w:szCs w:val="24"/>
          <w:u w:val="single"/>
          <w:lang w:eastAsia="zh-CN"/>
        </w:rPr>
        <w:t>替代治疗或诊断方式的可用性：</w:t>
      </w:r>
      <w:r>
        <w:rPr>
          <w:sz w:val="24"/>
          <w:szCs w:val="24"/>
          <w:lang w:eastAsia="zh-CN"/>
        </w:rPr>
        <w:t>目前尚无替代治疗方式。</w:t>
      </w:r>
    </w:p>
    <w:p w14:paraId="6AE19C23">
      <w:pPr>
        <w:snapToGrid w:val="0"/>
        <w:spacing w:before="120" w:beforeLines="50"/>
        <w:jc w:val="both"/>
        <w:rPr>
          <w:sz w:val="24"/>
          <w:szCs w:val="24"/>
          <w:lang w:eastAsia="zh-CN"/>
        </w:rPr>
      </w:pPr>
      <w:r>
        <w:rPr>
          <w:sz w:val="24"/>
          <w:szCs w:val="24"/>
          <w:lang w:eastAsia="zh-CN"/>
        </w:rPr>
        <w:br w:type="page"/>
      </w:r>
    </w:p>
    <w:p w14:paraId="6AE19C24">
      <w:pPr>
        <w:snapToGrid w:val="0"/>
        <w:spacing w:before="120" w:beforeLines="50" w:line="400" w:lineRule="exact"/>
        <w:jc w:val="both"/>
        <w:rPr>
          <w:sz w:val="24"/>
          <w:szCs w:val="24"/>
          <w:lang w:eastAsia="zh-CN"/>
        </w:rPr>
      </w:pPr>
      <w:r>
        <w:rPr>
          <w:sz w:val="24"/>
          <w:szCs w:val="24"/>
          <w:u w:val="single"/>
          <w:lang w:eastAsia="zh-CN"/>
        </w:rPr>
        <w:t>风险缓解</w:t>
      </w:r>
      <w:r>
        <w:rPr>
          <w:sz w:val="24"/>
          <w:szCs w:val="24"/>
          <w:lang w:eastAsia="zh-CN"/>
        </w:rPr>
        <w:t>：该器械的风险较高。可以通过仅由受过特殊培训的外科医生使用器械来缓解植入和取出的风险（必要时），但是无法缓解或预测人格改变的风险。也可以通过表明更有可能获益于器械的早期患者，并在</w:t>
      </w:r>
      <w:r>
        <w:rPr>
          <w:rFonts w:hint="eastAsia"/>
          <w:sz w:val="24"/>
          <w:szCs w:val="24"/>
          <w:lang w:eastAsia="zh-CN"/>
        </w:rPr>
        <w:t>说明书</w:t>
      </w:r>
      <w:r>
        <w:rPr>
          <w:sz w:val="24"/>
          <w:szCs w:val="24"/>
          <w:lang w:eastAsia="zh-CN"/>
        </w:rPr>
        <w:t>中根据临床试验数据解释症状更严重的患者不太可能获益于器械来缓解风险。</w:t>
      </w:r>
    </w:p>
    <w:p w14:paraId="6AE19C25">
      <w:pPr>
        <w:snapToGrid w:val="0"/>
        <w:spacing w:before="120" w:beforeLines="50" w:line="400" w:lineRule="exact"/>
        <w:jc w:val="both"/>
        <w:rPr>
          <w:sz w:val="24"/>
          <w:szCs w:val="24"/>
          <w:lang w:eastAsia="zh-CN"/>
        </w:rPr>
      </w:pPr>
      <w:r>
        <w:rPr>
          <w:sz w:val="24"/>
          <w:szCs w:val="24"/>
          <w:u w:val="single"/>
          <w:lang w:eastAsia="zh-CN"/>
        </w:rPr>
        <w:t>解决未满足的医疗需求的新技术</w:t>
      </w:r>
      <w:r>
        <w:rPr>
          <w:sz w:val="24"/>
          <w:szCs w:val="24"/>
          <w:lang w:eastAsia="zh-CN"/>
        </w:rPr>
        <w:t>：尚无其他类似技术可以使用。器械未来的进展可能治疗许多其他影响认知功能的状况。此外，尚无其他治疗方式能够达到该器械对目标人群的获益水平。</w:t>
      </w:r>
    </w:p>
    <w:p w14:paraId="6AE19C26">
      <w:pPr>
        <w:snapToGrid w:val="0"/>
        <w:spacing w:before="120" w:beforeLines="50" w:line="400" w:lineRule="exact"/>
        <w:jc w:val="both"/>
        <w:rPr>
          <w:sz w:val="24"/>
          <w:szCs w:val="24"/>
          <w:lang w:eastAsia="zh-CN"/>
        </w:rPr>
      </w:pPr>
      <w:r>
        <w:rPr>
          <w:b/>
          <w:bCs/>
          <w:sz w:val="24"/>
          <w:szCs w:val="24"/>
          <w:lang w:eastAsia="zh-CN"/>
        </w:rPr>
        <w:t>批准/未批准的注意事项：</w:t>
      </w:r>
      <w:r>
        <w:rPr>
          <w:sz w:val="24"/>
          <w:szCs w:val="24"/>
          <w:lang w:eastAsia="zh-CN"/>
        </w:rPr>
        <w:t>该器械对界定和可预测的患者亚组</w:t>
      </w:r>
      <w:r>
        <w:rPr>
          <w:rFonts w:hint="eastAsia"/>
          <w:sz w:val="24"/>
          <w:szCs w:val="24"/>
          <w:lang w:eastAsia="zh-CN"/>
        </w:rPr>
        <w:t>的</w:t>
      </w:r>
      <w:r>
        <w:rPr>
          <w:sz w:val="24"/>
          <w:szCs w:val="24"/>
          <w:lang w:eastAsia="zh-CN"/>
        </w:rPr>
        <w:t>获益显著，对另一个界定和可预测的患者亚组的获益</w:t>
      </w:r>
      <w:r>
        <w:rPr>
          <w:rFonts w:hint="eastAsia"/>
          <w:sz w:val="24"/>
          <w:szCs w:val="24"/>
          <w:lang w:eastAsia="zh-CN"/>
        </w:rPr>
        <w:t>甚微</w:t>
      </w:r>
      <w:r>
        <w:rPr>
          <w:sz w:val="24"/>
          <w:szCs w:val="24"/>
          <w:lang w:eastAsia="zh-CN"/>
        </w:rPr>
        <w:t>。即使临床试验较小，数据质量也较好，获得的置信区间较窄。</w:t>
      </w:r>
      <w:r>
        <w:rPr>
          <w:rFonts w:hint="eastAsia"/>
          <w:sz w:val="24"/>
          <w:szCs w:val="24"/>
          <w:lang w:eastAsia="zh-CN"/>
        </w:rPr>
        <w:t>结果的不确定性是常见不确定性，是将研究样本推断到市面上的患者人群所引起的</w:t>
      </w:r>
      <w:r>
        <w:rPr>
          <w:sz w:val="24"/>
          <w:szCs w:val="24"/>
          <w:lang w:eastAsia="zh-CN"/>
        </w:rPr>
        <w:t>。器械的风险较高，可以通过对植入/取出器械的医生进行培训（如果需要）得到部分缓解。此外，由于患者早期植入器械最能获益，必然会导致他们面临更长时间的风险才能获得最大获益，因此，坚持获得最大获益的患者也面临最高的风险。申办者提供的数据表明，为了保留记忆并维持生活质量，许多记忆障碍患者愿意尝试存在重大风险的新方法。该状况缺乏替代治疗方式是另一个重要的考虑因素。即使器械相关风险较高，但由于器械可能的获益以及不治疗疾病会发生进展，一些患者也能承担这些风险。此外，风险既是已知的，又是可量化的。因此，尽管本器械具有重大风险，在全面考虑所有这些因素以后，也可能批准该器械。特定患者是否植入该器械的决定是患者偏好（可能涉及法定代理人）和医学判断问题。在充分考虑疾病进展的可能性和时间段以及不采取干预措施未来会造成损害的可预测性以后，只要</w:t>
      </w:r>
      <w:r>
        <w:rPr>
          <w:rFonts w:hint="eastAsia"/>
          <w:sz w:val="24"/>
          <w:szCs w:val="24"/>
          <w:lang w:eastAsia="zh-CN"/>
        </w:rPr>
        <w:t>说明书</w:t>
      </w:r>
      <w:r>
        <w:rPr>
          <w:sz w:val="24"/>
          <w:szCs w:val="24"/>
          <w:lang w:eastAsia="zh-CN"/>
        </w:rPr>
        <w:t>明确表明严重不良事件的发生率为8%并且批准条件是只能由受过大量培训的医生植入器械，FDA就有可能批准该器械。</w:t>
      </w:r>
    </w:p>
    <w:p w14:paraId="6AE19C27">
      <w:pPr>
        <w:snapToGrid w:val="0"/>
        <w:spacing w:before="120" w:beforeLines="50" w:line="400" w:lineRule="exact"/>
        <w:jc w:val="center"/>
        <w:rPr>
          <w:sz w:val="24"/>
          <w:szCs w:val="24"/>
          <w:lang w:eastAsia="zh-CN"/>
        </w:rPr>
      </w:pPr>
      <w:r>
        <w:rPr>
          <w:b/>
          <w:bCs/>
          <w:sz w:val="24"/>
          <w:szCs w:val="24"/>
          <w:lang w:eastAsia="zh-CN"/>
        </w:rPr>
        <w:t>示例3</w:t>
      </w:r>
    </w:p>
    <w:p w14:paraId="6AE19C28">
      <w:pPr>
        <w:snapToGrid w:val="0"/>
        <w:spacing w:before="120" w:beforeLines="50" w:line="400" w:lineRule="exact"/>
        <w:jc w:val="both"/>
        <w:rPr>
          <w:lang w:eastAsia="zh-CN"/>
        </w:rPr>
      </w:pPr>
      <w:r>
        <w:rPr>
          <w:sz w:val="24"/>
          <w:szCs w:val="24"/>
          <w:lang w:eastAsia="zh-CN"/>
        </w:rPr>
        <w:t>申办者指出，新的体外诊断器械（IVD）（血清检测试剂盒）可以将BI-RADS 4乳腺X线影像结果分为两组，即癌症概率低的患者，</w:t>
      </w:r>
      <w:r>
        <w:rPr>
          <w:rFonts w:hint="eastAsia"/>
          <w:sz w:val="24"/>
          <w:szCs w:val="24"/>
          <w:lang w:eastAsia="zh-CN"/>
        </w:rPr>
        <w:t>为了</w:t>
      </w:r>
      <w:r>
        <w:rPr>
          <w:sz w:val="24"/>
          <w:szCs w:val="24"/>
          <w:lang w:eastAsia="zh-CN"/>
        </w:rPr>
        <w:t>避免活检引起并发症</w:t>
      </w:r>
      <w:r>
        <w:rPr>
          <w:rFonts w:hint="eastAsia"/>
          <w:sz w:val="24"/>
          <w:szCs w:val="24"/>
          <w:lang w:eastAsia="zh-CN"/>
        </w:rPr>
        <w:t>，</w:t>
      </w:r>
      <w:r>
        <w:rPr>
          <w:sz w:val="24"/>
          <w:szCs w:val="24"/>
          <w:lang w:eastAsia="zh-CN"/>
        </w:rPr>
        <w:t>医生可能建议其等待数月以进行额外检测；所有其他BI-RADS 4患者，根据当前的标准治疗建议进行活检。拟定的预期用途为：</w:t>
      </w:r>
      <w:r>
        <w:rPr>
          <w:lang w:eastAsia="zh-CN"/>
        </w:rPr>
        <w:br w:type="page"/>
      </w:r>
    </w:p>
    <w:p w14:paraId="6AE19C29">
      <w:pPr>
        <w:snapToGrid w:val="0"/>
        <w:spacing w:before="120" w:beforeLines="50" w:line="400" w:lineRule="exact"/>
        <w:jc w:val="both"/>
        <w:rPr>
          <w:sz w:val="24"/>
          <w:szCs w:val="24"/>
          <w:lang w:eastAsia="zh-CN"/>
        </w:rPr>
      </w:pPr>
      <w:r>
        <w:rPr>
          <w:sz w:val="24"/>
          <w:szCs w:val="24"/>
          <w:lang w:eastAsia="zh-CN"/>
        </w:rPr>
        <w:t>体外诊断检测试剂盒能够测量10份</w:t>
      </w:r>
      <w:r>
        <w:rPr>
          <w:rFonts w:hint="eastAsia"/>
          <w:sz w:val="24"/>
          <w:szCs w:val="24"/>
          <w:lang w:eastAsia="zh-CN"/>
        </w:rPr>
        <w:t>多</w:t>
      </w:r>
      <w:r>
        <w:rPr>
          <w:sz w:val="24"/>
          <w:szCs w:val="24"/>
          <w:lang w:eastAsia="zh-CN"/>
        </w:rPr>
        <w:t>肽分析物，并获得一个定性结果。该试剂盒预期供40岁</w:t>
      </w:r>
      <w:r>
        <w:rPr>
          <w:rFonts w:hint="eastAsia"/>
          <w:sz w:val="24"/>
          <w:szCs w:val="24"/>
          <w:lang w:eastAsia="zh-CN"/>
        </w:rPr>
        <w:t>以上</w:t>
      </w:r>
      <w:r>
        <w:rPr>
          <w:sz w:val="24"/>
          <w:szCs w:val="24"/>
          <w:lang w:eastAsia="zh-CN"/>
        </w:rPr>
        <w:t>女性在乳腺病灶的乳腺X线</w:t>
      </w:r>
      <w:r>
        <w:rPr>
          <w:rFonts w:hint="eastAsia"/>
          <w:sz w:val="24"/>
          <w:szCs w:val="24"/>
          <w:lang w:eastAsia="zh-CN"/>
        </w:rPr>
        <w:t>影像</w:t>
      </w:r>
      <w:r>
        <w:rPr>
          <w:sz w:val="24"/>
          <w:szCs w:val="24"/>
          <w:lang w:eastAsia="zh-CN"/>
        </w:rPr>
        <w:t>显示BI-RADS 4级结果后使用，以帮助医生确定是否推荐进行乳腺活检。</w:t>
      </w:r>
    </w:p>
    <w:p w14:paraId="6AE19C2A">
      <w:pPr>
        <w:snapToGrid w:val="0"/>
        <w:spacing w:before="120" w:beforeLines="50" w:line="400" w:lineRule="exact"/>
        <w:jc w:val="both"/>
        <w:rPr>
          <w:sz w:val="24"/>
          <w:szCs w:val="24"/>
          <w:lang w:eastAsia="zh-CN"/>
        </w:rPr>
      </w:pPr>
      <w:r>
        <w:rPr>
          <w:sz w:val="24"/>
          <w:szCs w:val="24"/>
          <w:lang w:eastAsia="zh-CN"/>
        </w:rPr>
        <w:t>阴性检测结果（低风险）：不建议立即进行活检，等待数月进一步检测。</w:t>
      </w:r>
    </w:p>
    <w:p w14:paraId="6AE19C2B">
      <w:pPr>
        <w:snapToGrid w:val="0"/>
        <w:spacing w:before="120" w:beforeLines="50" w:line="400" w:lineRule="exact"/>
        <w:jc w:val="both"/>
        <w:rPr>
          <w:sz w:val="24"/>
          <w:szCs w:val="24"/>
          <w:lang w:eastAsia="zh-CN"/>
        </w:rPr>
      </w:pPr>
      <w:r>
        <w:rPr>
          <w:sz w:val="24"/>
          <w:szCs w:val="24"/>
          <w:lang w:eastAsia="zh-CN"/>
        </w:rPr>
        <w:t>阳性检测结果（高风险）：建议立即进行活检。</w:t>
      </w:r>
    </w:p>
    <w:p w14:paraId="6AE19C2C">
      <w:pPr>
        <w:snapToGrid w:val="0"/>
        <w:spacing w:before="120" w:beforeLines="50" w:line="400" w:lineRule="exact"/>
        <w:jc w:val="both"/>
        <w:rPr>
          <w:sz w:val="24"/>
          <w:szCs w:val="24"/>
          <w:lang w:eastAsia="zh-CN"/>
        </w:rPr>
      </w:pPr>
      <w:r>
        <w:rPr>
          <w:sz w:val="24"/>
          <w:szCs w:val="24"/>
          <w:lang w:eastAsia="zh-CN"/>
        </w:rPr>
        <w:t>适用人群临床研究的结果（所有受试者的活检结果）为：</w:t>
      </w:r>
    </w:p>
    <w:p w14:paraId="6AE19C2D">
      <w:pPr>
        <w:snapToGrid w:val="0"/>
        <w:spacing w:before="120" w:beforeLines="50" w:line="400" w:lineRule="exact"/>
        <w:jc w:val="both"/>
        <w:rPr>
          <w:sz w:val="24"/>
          <w:szCs w:val="24"/>
          <w:lang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776"/>
        <w:gridCol w:w="1771"/>
        <w:gridCol w:w="1781"/>
        <w:gridCol w:w="1762"/>
        <w:gridCol w:w="1781"/>
      </w:tblGrid>
      <w:tr w14:paraId="6AE1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8" w:hRule="atLeast"/>
        </w:trPr>
        <w:tc>
          <w:tcPr>
            <w:tcW w:w="1776" w:type="dxa"/>
            <w:shd w:val="clear" w:color="auto" w:fill="FFFFFF"/>
            <w:vAlign w:val="center"/>
          </w:tcPr>
          <w:p w14:paraId="6AE19C2E">
            <w:pPr>
              <w:snapToGrid w:val="0"/>
              <w:spacing w:before="120" w:beforeLines="50" w:line="400" w:lineRule="exact"/>
              <w:jc w:val="center"/>
              <w:rPr>
                <w:lang w:eastAsia="zh-CN"/>
              </w:rPr>
            </w:pPr>
          </w:p>
        </w:tc>
        <w:tc>
          <w:tcPr>
            <w:tcW w:w="1771" w:type="dxa"/>
            <w:shd w:val="clear" w:color="auto" w:fill="FFFFFF"/>
            <w:vAlign w:val="center"/>
          </w:tcPr>
          <w:p w14:paraId="6AE19C2F">
            <w:pPr>
              <w:snapToGrid w:val="0"/>
              <w:spacing w:before="120" w:beforeLines="50" w:line="400" w:lineRule="exact"/>
              <w:jc w:val="center"/>
              <w:rPr>
                <w:lang w:eastAsia="zh-CN"/>
              </w:rPr>
            </w:pPr>
          </w:p>
        </w:tc>
        <w:tc>
          <w:tcPr>
            <w:tcW w:w="3543" w:type="dxa"/>
            <w:gridSpan w:val="2"/>
            <w:shd w:val="clear" w:color="auto" w:fill="FFFFFF"/>
            <w:vAlign w:val="center"/>
          </w:tcPr>
          <w:p w14:paraId="6AE19C30">
            <w:pPr>
              <w:snapToGrid w:val="0"/>
              <w:spacing w:before="120" w:beforeLines="50" w:line="400" w:lineRule="exact"/>
              <w:jc w:val="center"/>
            </w:pPr>
            <w:r>
              <w:rPr>
                <w:lang w:eastAsia="zh-CN"/>
              </w:rPr>
              <w:t>活检</w:t>
            </w:r>
          </w:p>
        </w:tc>
        <w:tc>
          <w:tcPr>
            <w:tcW w:w="1781" w:type="dxa"/>
            <w:shd w:val="clear" w:color="auto" w:fill="FFFFFF"/>
            <w:vAlign w:val="center"/>
          </w:tcPr>
          <w:p w14:paraId="6AE19C31">
            <w:pPr>
              <w:snapToGrid w:val="0"/>
              <w:spacing w:before="120" w:beforeLines="50" w:line="400" w:lineRule="exact"/>
              <w:jc w:val="center"/>
            </w:pPr>
          </w:p>
        </w:tc>
      </w:tr>
      <w:tr w14:paraId="6AE1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3" w:hRule="atLeast"/>
        </w:trPr>
        <w:tc>
          <w:tcPr>
            <w:tcW w:w="1776" w:type="dxa"/>
            <w:shd w:val="clear" w:color="auto" w:fill="FFFFFF"/>
            <w:vAlign w:val="center"/>
          </w:tcPr>
          <w:p w14:paraId="6AE19C33">
            <w:pPr>
              <w:snapToGrid w:val="0"/>
              <w:spacing w:before="120" w:beforeLines="50" w:line="400" w:lineRule="exact"/>
              <w:jc w:val="center"/>
            </w:pPr>
          </w:p>
        </w:tc>
        <w:tc>
          <w:tcPr>
            <w:tcW w:w="1771" w:type="dxa"/>
            <w:shd w:val="clear" w:color="auto" w:fill="FFFFFF"/>
            <w:vAlign w:val="center"/>
          </w:tcPr>
          <w:p w14:paraId="6AE19C34">
            <w:pPr>
              <w:snapToGrid w:val="0"/>
              <w:spacing w:before="120" w:beforeLines="50" w:line="400" w:lineRule="exact"/>
              <w:jc w:val="center"/>
            </w:pPr>
          </w:p>
        </w:tc>
        <w:tc>
          <w:tcPr>
            <w:tcW w:w="1781" w:type="dxa"/>
            <w:shd w:val="clear" w:color="auto" w:fill="FFFFFF"/>
            <w:vAlign w:val="center"/>
          </w:tcPr>
          <w:p w14:paraId="6AE19C35">
            <w:pPr>
              <w:snapToGrid w:val="0"/>
              <w:spacing w:before="120" w:beforeLines="50" w:line="400" w:lineRule="exact"/>
              <w:jc w:val="center"/>
            </w:pPr>
            <w:r>
              <w:rPr>
                <w:lang w:eastAsia="zh-CN"/>
              </w:rPr>
              <w:t>恶性肿瘤</w:t>
            </w:r>
          </w:p>
        </w:tc>
        <w:tc>
          <w:tcPr>
            <w:tcW w:w="1762" w:type="dxa"/>
            <w:shd w:val="clear" w:color="auto" w:fill="FFFFFF"/>
            <w:vAlign w:val="center"/>
          </w:tcPr>
          <w:p w14:paraId="6AE19C36">
            <w:pPr>
              <w:snapToGrid w:val="0"/>
              <w:spacing w:before="120" w:beforeLines="50" w:line="400" w:lineRule="exact"/>
              <w:jc w:val="center"/>
            </w:pPr>
            <w:r>
              <w:rPr>
                <w:lang w:eastAsia="zh-CN"/>
              </w:rPr>
              <w:t>良性</w:t>
            </w:r>
          </w:p>
        </w:tc>
        <w:tc>
          <w:tcPr>
            <w:tcW w:w="1781" w:type="dxa"/>
            <w:shd w:val="clear" w:color="auto" w:fill="FFFFFF"/>
            <w:vAlign w:val="center"/>
          </w:tcPr>
          <w:p w14:paraId="6AE19C37">
            <w:pPr>
              <w:snapToGrid w:val="0"/>
              <w:spacing w:before="120" w:beforeLines="50" w:line="400" w:lineRule="exact"/>
              <w:jc w:val="center"/>
            </w:pPr>
          </w:p>
        </w:tc>
      </w:tr>
      <w:tr w14:paraId="6AE1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3" w:hRule="atLeast"/>
        </w:trPr>
        <w:tc>
          <w:tcPr>
            <w:tcW w:w="1776" w:type="dxa"/>
            <w:vMerge w:val="restart"/>
            <w:shd w:val="clear" w:color="auto" w:fill="FFFFFF"/>
            <w:vAlign w:val="center"/>
          </w:tcPr>
          <w:p w14:paraId="6AE19C39">
            <w:pPr>
              <w:snapToGrid w:val="0"/>
              <w:spacing w:before="120" w:beforeLines="50" w:line="400" w:lineRule="exact"/>
              <w:jc w:val="center"/>
            </w:pPr>
            <w:r>
              <w:rPr>
                <w:lang w:eastAsia="zh-CN"/>
              </w:rPr>
              <w:t>试验组</w:t>
            </w:r>
          </w:p>
        </w:tc>
        <w:tc>
          <w:tcPr>
            <w:tcW w:w="1771" w:type="dxa"/>
            <w:shd w:val="clear" w:color="auto" w:fill="FFFFFF"/>
            <w:vAlign w:val="center"/>
          </w:tcPr>
          <w:p w14:paraId="6AE19C3A">
            <w:pPr>
              <w:snapToGrid w:val="0"/>
              <w:spacing w:before="120" w:beforeLines="50" w:line="400" w:lineRule="exact"/>
              <w:jc w:val="center"/>
            </w:pPr>
            <w:r>
              <w:rPr>
                <w:rFonts w:hint="eastAsia"/>
                <w:lang w:eastAsia="zh-CN"/>
              </w:rPr>
              <w:t>阳</w:t>
            </w:r>
            <w:r>
              <w:rPr>
                <w:lang w:eastAsia="zh-CN"/>
              </w:rPr>
              <w:t>极</w:t>
            </w:r>
          </w:p>
        </w:tc>
        <w:tc>
          <w:tcPr>
            <w:tcW w:w="1781" w:type="dxa"/>
            <w:shd w:val="clear" w:color="auto" w:fill="FFFFFF"/>
            <w:vAlign w:val="center"/>
          </w:tcPr>
          <w:p w14:paraId="6AE19C3B">
            <w:pPr>
              <w:snapToGrid w:val="0"/>
              <w:spacing w:before="120" w:beforeLines="50" w:line="400" w:lineRule="exact"/>
              <w:jc w:val="center"/>
            </w:pPr>
            <w:r>
              <w:rPr>
                <w:lang w:eastAsia="zh-CN"/>
              </w:rPr>
              <w:t>97</w:t>
            </w:r>
          </w:p>
        </w:tc>
        <w:tc>
          <w:tcPr>
            <w:tcW w:w="1762" w:type="dxa"/>
            <w:shd w:val="clear" w:color="auto" w:fill="FFFFFF"/>
            <w:vAlign w:val="center"/>
          </w:tcPr>
          <w:p w14:paraId="6AE19C3C">
            <w:pPr>
              <w:snapToGrid w:val="0"/>
              <w:spacing w:before="120" w:beforeLines="50" w:line="400" w:lineRule="exact"/>
              <w:jc w:val="center"/>
            </w:pPr>
            <w:r>
              <w:rPr>
                <w:lang w:eastAsia="zh-CN"/>
              </w:rPr>
              <w:t>75</w:t>
            </w:r>
          </w:p>
        </w:tc>
        <w:tc>
          <w:tcPr>
            <w:tcW w:w="1781" w:type="dxa"/>
            <w:shd w:val="clear" w:color="auto" w:fill="FFFFFF"/>
            <w:vAlign w:val="center"/>
          </w:tcPr>
          <w:p w14:paraId="6AE19C3D">
            <w:pPr>
              <w:snapToGrid w:val="0"/>
              <w:spacing w:before="120" w:beforeLines="50" w:line="400" w:lineRule="exact"/>
              <w:jc w:val="center"/>
            </w:pPr>
            <w:r>
              <w:rPr>
                <w:lang w:eastAsia="zh-CN"/>
              </w:rPr>
              <w:t>172</w:t>
            </w:r>
          </w:p>
        </w:tc>
      </w:tr>
      <w:tr w14:paraId="6AE1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3" w:hRule="atLeast"/>
        </w:trPr>
        <w:tc>
          <w:tcPr>
            <w:tcW w:w="1776" w:type="dxa"/>
            <w:vMerge w:val="continue"/>
            <w:shd w:val="clear" w:color="auto" w:fill="FFFFFF"/>
            <w:vAlign w:val="center"/>
          </w:tcPr>
          <w:p w14:paraId="6AE19C3F">
            <w:pPr>
              <w:snapToGrid w:val="0"/>
              <w:spacing w:before="120" w:beforeLines="50" w:line="400" w:lineRule="exact"/>
              <w:jc w:val="center"/>
            </w:pPr>
          </w:p>
        </w:tc>
        <w:tc>
          <w:tcPr>
            <w:tcW w:w="1771" w:type="dxa"/>
            <w:shd w:val="clear" w:color="auto" w:fill="FFFFFF"/>
            <w:vAlign w:val="center"/>
          </w:tcPr>
          <w:p w14:paraId="6AE19C40">
            <w:pPr>
              <w:snapToGrid w:val="0"/>
              <w:spacing w:before="120" w:beforeLines="50" w:line="400" w:lineRule="exact"/>
              <w:jc w:val="center"/>
            </w:pPr>
            <w:r>
              <w:rPr>
                <w:lang w:eastAsia="zh-CN"/>
              </w:rPr>
              <w:t>阴性</w:t>
            </w:r>
          </w:p>
        </w:tc>
        <w:tc>
          <w:tcPr>
            <w:tcW w:w="1781" w:type="dxa"/>
            <w:shd w:val="clear" w:color="auto" w:fill="FFFFFF"/>
            <w:vAlign w:val="center"/>
          </w:tcPr>
          <w:p w14:paraId="6AE19C41">
            <w:pPr>
              <w:snapToGrid w:val="0"/>
              <w:spacing w:before="120" w:beforeLines="50" w:line="400" w:lineRule="exact"/>
              <w:jc w:val="center"/>
            </w:pPr>
            <w:r>
              <w:rPr>
                <w:lang w:eastAsia="zh-CN"/>
              </w:rPr>
              <w:t>3</w:t>
            </w:r>
          </w:p>
        </w:tc>
        <w:tc>
          <w:tcPr>
            <w:tcW w:w="1762" w:type="dxa"/>
            <w:shd w:val="clear" w:color="auto" w:fill="FFFFFF"/>
            <w:vAlign w:val="center"/>
          </w:tcPr>
          <w:p w14:paraId="6AE19C42">
            <w:pPr>
              <w:snapToGrid w:val="0"/>
              <w:spacing w:before="120" w:beforeLines="50" w:line="400" w:lineRule="exact"/>
              <w:jc w:val="center"/>
            </w:pPr>
            <w:r>
              <w:rPr>
                <w:lang w:eastAsia="zh-CN"/>
              </w:rPr>
              <w:t>225</w:t>
            </w:r>
          </w:p>
        </w:tc>
        <w:tc>
          <w:tcPr>
            <w:tcW w:w="1781" w:type="dxa"/>
            <w:shd w:val="clear" w:color="auto" w:fill="FFFFFF"/>
            <w:vAlign w:val="center"/>
          </w:tcPr>
          <w:p w14:paraId="6AE19C43">
            <w:pPr>
              <w:snapToGrid w:val="0"/>
              <w:spacing w:before="120" w:beforeLines="50" w:line="400" w:lineRule="exact"/>
              <w:jc w:val="center"/>
            </w:pPr>
            <w:r>
              <w:rPr>
                <w:lang w:eastAsia="zh-CN"/>
              </w:rPr>
              <w:t>228</w:t>
            </w:r>
          </w:p>
        </w:tc>
      </w:tr>
      <w:tr w14:paraId="6AE1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2" w:hRule="atLeast"/>
        </w:trPr>
        <w:tc>
          <w:tcPr>
            <w:tcW w:w="1776" w:type="dxa"/>
            <w:shd w:val="clear" w:color="auto" w:fill="FFFFFF"/>
            <w:vAlign w:val="center"/>
          </w:tcPr>
          <w:p w14:paraId="6AE19C45">
            <w:pPr>
              <w:snapToGrid w:val="0"/>
              <w:spacing w:before="120" w:beforeLines="50" w:line="400" w:lineRule="exact"/>
              <w:jc w:val="center"/>
            </w:pPr>
          </w:p>
        </w:tc>
        <w:tc>
          <w:tcPr>
            <w:tcW w:w="1771" w:type="dxa"/>
            <w:shd w:val="clear" w:color="auto" w:fill="FFFFFF"/>
            <w:vAlign w:val="center"/>
          </w:tcPr>
          <w:p w14:paraId="6AE19C46">
            <w:pPr>
              <w:snapToGrid w:val="0"/>
              <w:spacing w:before="120" w:beforeLines="50" w:line="400" w:lineRule="exact"/>
              <w:jc w:val="center"/>
            </w:pPr>
          </w:p>
        </w:tc>
        <w:tc>
          <w:tcPr>
            <w:tcW w:w="1781" w:type="dxa"/>
            <w:shd w:val="clear" w:color="auto" w:fill="FFFFFF"/>
            <w:vAlign w:val="center"/>
          </w:tcPr>
          <w:p w14:paraId="6AE19C47">
            <w:pPr>
              <w:snapToGrid w:val="0"/>
              <w:spacing w:before="120" w:beforeLines="50" w:line="400" w:lineRule="exact"/>
              <w:jc w:val="center"/>
            </w:pPr>
            <w:r>
              <w:rPr>
                <w:lang w:eastAsia="zh-CN"/>
              </w:rPr>
              <w:t>100</w:t>
            </w:r>
          </w:p>
        </w:tc>
        <w:tc>
          <w:tcPr>
            <w:tcW w:w="1762" w:type="dxa"/>
            <w:shd w:val="clear" w:color="auto" w:fill="FFFFFF"/>
            <w:vAlign w:val="center"/>
          </w:tcPr>
          <w:p w14:paraId="6AE19C48">
            <w:pPr>
              <w:snapToGrid w:val="0"/>
              <w:spacing w:before="120" w:beforeLines="50" w:line="400" w:lineRule="exact"/>
              <w:jc w:val="center"/>
            </w:pPr>
            <w:r>
              <w:rPr>
                <w:lang w:eastAsia="zh-CN"/>
              </w:rPr>
              <w:t>300</w:t>
            </w:r>
          </w:p>
        </w:tc>
        <w:tc>
          <w:tcPr>
            <w:tcW w:w="1781" w:type="dxa"/>
            <w:shd w:val="clear" w:color="auto" w:fill="FFFFFF"/>
            <w:vAlign w:val="center"/>
          </w:tcPr>
          <w:p w14:paraId="6AE19C49">
            <w:pPr>
              <w:snapToGrid w:val="0"/>
              <w:spacing w:before="120" w:beforeLines="50" w:line="400" w:lineRule="exact"/>
              <w:jc w:val="center"/>
            </w:pPr>
            <w:r>
              <w:rPr>
                <w:lang w:eastAsia="zh-CN"/>
              </w:rPr>
              <w:t>400</w:t>
            </w:r>
          </w:p>
        </w:tc>
      </w:tr>
    </w:tbl>
    <w:p w14:paraId="6AE19C4B">
      <w:pPr>
        <w:snapToGrid w:val="0"/>
        <w:spacing w:before="120" w:beforeLines="50" w:line="400" w:lineRule="exact"/>
        <w:jc w:val="both"/>
        <w:rPr>
          <w:sz w:val="24"/>
          <w:szCs w:val="24"/>
          <w:lang w:eastAsia="zh-CN"/>
        </w:rPr>
      </w:pPr>
      <w:r>
        <w:rPr>
          <w:sz w:val="24"/>
          <w:szCs w:val="24"/>
          <w:lang w:eastAsia="zh-CN"/>
        </w:rPr>
        <w:t>敏感性=97%（97/100）和95%双侧CI：91.5%-99.0% 特异性=75%（225/300）和95%双侧CI:：69.8%-79.6% 患病率=25%（100/400）NPV=98.7%（225/228）PPV=56.4%（97/172）</w:t>
      </w:r>
    </w:p>
    <w:p w14:paraId="6AE19C4C">
      <w:pPr>
        <w:snapToGrid w:val="0"/>
        <w:spacing w:before="120" w:beforeLines="50" w:line="400" w:lineRule="exact"/>
        <w:jc w:val="both"/>
        <w:rPr>
          <w:sz w:val="24"/>
          <w:szCs w:val="24"/>
          <w:lang w:eastAsia="zh-CN"/>
        </w:rPr>
      </w:pPr>
      <w:r>
        <w:rPr>
          <w:b/>
          <w:bCs/>
          <w:sz w:val="24"/>
          <w:szCs w:val="24"/>
          <w:lang w:eastAsia="zh-CN"/>
        </w:rPr>
        <w:t>获益</w:t>
      </w:r>
      <w:r>
        <w:rPr>
          <w:rFonts w:hint="eastAsia"/>
          <w:b/>
          <w:bCs/>
          <w:sz w:val="24"/>
          <w:szCs w:val="24"/>
          <w:lang w:eastAsia="zh-CN"/>
        </w:rPr>
        <w:t>：</w:t>
      </w:r>
      <w:r>
        <w:rPr>
          <w:sz w:val="24"/>
          <w:szCs w:val="24"/>
          <w:lang w:eastAsia="zh-CN"/>
        </w:rPr>
        <w:t>使用器械的主要获益是避免57%（228/400）的受试者发生即刻活检的并发症，他们的检测结果表明发生乳腺癌的概率较低。</w:t>
      </w:r>
    </w:p>
    <w:p w14:paraId="6AE19C4D">
      <w:pPr>
        <w:snapToGrid w:val="0"/>
        <w:spacing w:before="120" w:beforeLines="50" w:line="400" w:lineRule="exact"/>
        <w:jc w:val="both"/>
        <w:rPr>
          <w:sz w:val="24"/>
          <w:szCs w:val="24"/>
          <w:lang w:eastAsia="zh-CN"/>
        </w:rPr>
      </w:pPr>
      <w:r>
        <w:rPr>
          <w:b/>
          <w:bCs/>
          <w:sz w:val="24"/>
          <w:szCs w:val="24"/>
          <w:lang w:eastAsia="zh-CN"/>
        </w:rPr>
        <w:t>风险：</w:t>
      </w:r>
      <w:r>
        <w:rPr>
          <w:sz w:val="24"/>
          <w:szCs w:val="24"/>
          <w:lang w:eastAsia="zh-CN"/>
        </w:rPr>
        <w:t>在检测结果为阴性的受试者中，发现癌症的患病率（即刻活检）为1.3%（3/228 = 1-NPV）。使用器械的主要风险是，一些发生活检可测乳腺癌的BI-RADS 4患者未进行活检，导致她们的诊治被延迟。对于该风险，申办者声称，在非活检BI-RADS 4受试者中，在临床上可接受的癌症患病率为2%或更低，因为：a）通常不建议BI-RADS 3患者立即进行活检（或者等待数月以供进一步评价）；b）在BI-RADS 3患者中，预计乳腺癌的患病率为2%。临床研究测量的获益-风险几率为75</w:t>
      </w:r>
      <w:r>
        <w:rPr>
          <w:rFonts w:hint="eastAsia"/>
          <w:sz w:val="24"/>
          <w:szCs w:val="24"/>
          <w:lang w:eastAsia="zh-CN"/>
        </w:rPr>
        <w:t>%</w:t>
      </w:r>
      <w:r>
        <w:rPr>
          <w:sz w:val="24"/>
          <w:szCs w:val="24"/>
          <w:lang w:eastAsia="zh-CN"/>
        </w:rPr>
        <w:t>（225/300），发现未活检BI-RADS 4受试者的风险低于BI-RADS 3患者的预期风险。</w:t>
      </w:r>
    </w:p>
    <w:p w14:paraId="6AE19C4E">
      <w:pPr>
        <w:snapToGrid w:val="0"/>
        <w:spacing w:before="120" w:beforeLines="50" w:line="400" w:lineRule="exact"/>
        <w:jc w:val="both"/>
        <w:rPr>
          <w:sz w:val="24"/>
          <w:szCs w:val="24"/>
          <w:lang w:eastAsia="zh-CN"/>
        </w:rPr>
      </w:pPr>
      <w:r>
        <w:rPr>
          <w:rFonts w:hint="eastAsia"/>
          <w:b/>
          <w:bCs/>
          <w:sz w:val="24"/>
          <w:szCs w:val="24"/>
          <w:lang w:eastAsia="zh-CN"/>
        </w:rPr>
        <w:t>其他</w:t>
      </w:r>
      <w:r>
        <w:rPr>
          <w:b/>
          <w:bCs/>
          <w:sz w:val="24"/>
          <w:szCs w:val="24"/>
          <w:lang w:eastAsia="zh-CN"/>
        </w:rPr>
        <w:t>因素：</w:t>
      </w:r>
    </w:p>
    <w:p w14:paraId="6AE19C4F">
      <w:pPr>
        <w:snapToGrid w:val="0"/>
        <w:spacing w:before="120" w:beforeLines="50" w:line="400" w:lineRule="exact"/>
        <w:jc w:val="both"/>
        <w:rPr>
          <w:sz w:val="24"/>
          <w:szCs w:val="24"/>
          <w:lang w:eastAsia="zh-CN"/>
        </w:rPr>
      </w:pPr>
      <w:r>
        <w:rPr>
          <w:sz w:val="24"/>
          <w:szCs w:val="24"/>
          <w:u w:val="single"/>
          <w:lang w:eastAsia="zh-CN"/>
        </w:rPr>
        <w:t>不确定</w:t>
      </w:r>
      <w:r>
        <w:rPr>
          <w:rFonts w:hint="eastAsia"/>
          <w:sz w:val="24"/>
          <w:szCs w:val="24"/>
          <w:u w:val="single"/>
          <w:lang w:eastAsia="zh-CN"/>
        </w:rPr>
        <w:t>性</w:t>
      </w:r>
      <w:r>
        <w:rPr>
          <w:sz w:val="24"/>
          <w:szCs w:val="24"/>
          <w:lang w:eastAsia="zh-CN"/>
        </w:rPr>
        <w:t>：在观察到的研究结果周围，统计置信区间通常具有不确定性。</w:t>
      </w:r>
    </w:p>
    <w:p w14:paraId="6AE19C50">
      <w:pPr>
        <w:snapToGrid w:val="0"/>
        <w:spacing w:before="120" w:beforeLines="50" w:line="400" w:lineRule="exact"/>
        <w:jc w:val="both"/>
        <w:rPr>
          <w:sz w:val="24"/>
          <w:szCs w:val="24"/>
          <w:lang w:eastAsia="zh-CN"/>
        </w:rPr>
      </w:pPr>
      <w:r>
        <w:rPr>
          <w:sz w:val="24"/>
          <w:szCs w:val="24"/>
          <w:lang w:eastAsia="zh-CN"/>
        </w:rPr>
        <w:t>与错过活检可检测癌症的临床影响相比，没有对避免活检并发症的临床影响的获益-风险几率进行权衡。换言之，获益类型不一定与风险类型相对应。</w:t>
      </w:r>
    </w:p>
    <w:p w14:paraId="6AE19C51">
      <w:pPr>
        <w:snapToGrid w:val="0"/>
        <w:spacing w:before="120" w:beforeLines="50"/>
        <w:jc w:val="both"/>
        <w:rPr>
          <w:lang w:eastAsia="zh-CN"/>
        </w:rPr>
      </w:pPr>
      <w:r>
        <w:rPr>
          <w:lang w:eastAsia="zh-CN"/>
        </w:rPr>
        <w:br w:type="page"/>
      </w:r>
    </w:p>
    <w:p w14:paraId="6AE19C52">
      <w:pPr>
        <w:snapToGrid w:val="0"/>
        <w:spacing w:before="120" w:beforeLines="50" w:line="400" w:lineRule="exact"/>
        <w:jc w:val="both"/>
        <w:rPr>
          <w:sz w:val="24"/>
          <w:szCs w:val="24"/>
          <w:lang w:eastAsia="zh-CN"/>
        </w:rPr>
      </w:pPr>
      <w:r>
        <w:rPr>
          <w:sz w:val="24"/>
          <w:szCs w:val="24"/>
          <w:lang w:eastAsia="zh-CN"/>
        </w:rPr>
        <w:t>无法保证在乳腺X线影像结果为BI-RADS 4的患者中，错过乳腺癌的临床影响等同于结果为BI-RADS 3的患者发生乳腺癌的临床影响。因此，不确定可能的风险/伤害程度。</w:t>
      </w:r>
    </w:p>
    <w:p w14:paraId="6AE19C53">
      <w:pPr>
        <w:snapToGrid w:val="0"/>
        <w:spacing w:before="120" w:beforeLines="50" w:line="400" w:lineRule="exact"/>
        <w:jc w:val="both"/>
        <w:rPr>
          <w:sz w:val="24"/>
          <w:szCs w:val="24"/>
          <w:lang w:eastAsia="zh-CN"/>
        </w:rPr>
      </w:pPr>
      <w:r>
        <w:rPr>
          <w:sz w:val="24"/>
          <w:szCs w:val="24"/>
          <w:lang w:eastAsia="zh-CN"/>
        </w:rPr>
        <w:t>未进行活检的检测阴性BI-RADS 4患者不会对存在的良性疾病进行组织病理学评估。</w:t>
      </w:r>
    </w:p>
    <w:p w14:paraId="6AE19C54">
      <w:pPr>
        <w:snapToGrid w:val="0"/>
        <w:spacing w:before="120" w:beforeLines="50" w:line="400" w:lineRule="exact"/>
        <w:jc w:val="both"/>
        <w:rPr>
          <w:sz w:val="24"/>
          <w:szCs w:val="24"/>
          <w:lang w:eastAsia="zh-CN"/>
        </w:rPr>
      </w:pPr>
      <w:r>
        <w:rPr>
          <w:sz w:val="24"/>
          <w:szCs w:val="24"/>
          <w:u w:val="single"/>
          <w:lang w:eastAsia="zh-CN"/>
        </w:rPr>
        <w:t>患者角度</w:t>
      </w:r>
      <w:r>
        <w:rPr>
          <w:sz w:val="24"/>
          <w:szCs w:val="24"/>
          <w:lang w:eastAsia="zh-CN"/>
        </w:rPr>
        <w:t>：患者对延迟诊断和治疗乳腺癌的耐受性通常较低。这需要与患者对避免活检相关并发症的重视程度</w:t>
      </w:r>
      <w:r>
        <w:rPr>
          <w:rFonts w:hint="eastAsia"/>
          <w:sz w:val="24"/>
          <w:szCs w:val="24"/>
          <w:lang w:eastAsia="zh-CN"/>
        </w:rPr>
        <w:t>相</w:t>
      </w:r>
      <w:r>
        <w:rPr>
          <w:sz w:val="24"/>
          <w:szCs w:val="24"/>
          <w:lang w:eastAsia="zh-CN"/>
        </w:rPr>
        <w:t>权衡。</w:t>
      </w:r>
    </w:p>
    <w:p w14:paraId="6AE19C55">
      <w:pPr>
        <w:snapToGrid w:val="0"/>
        <w:spacing w:before="120" w:beforeLines="50" w:line="400" w:lineRule="exact"/>
        <w:jc w:val="both"/>
        <w:rPr>
          <w:sz w:val="24"/>
          <w:szCs w:val="24"/>
          <w:lang w:eastAsia="zh-CN"/>
        </w:rPr>
      </w:pPr>
      <w:r>
        <w:rPr>
          <w:sz w:val="24"/>
          <w:szCs w:val="24"/>
          <w:u w:val="single"/>
          <w:lang w:eastAsia="zh-CN"/>
        </w:rPr>
        <w:t>替代治疗或诊断方式的可用性：</w:t>
      </w:r>
      <w:r>
        <w:rPr>
          <w:sz w:val="24"/>
          <w:szCs w:val="24"/>
          <w:lang w:eastAsia="zh-CN"/>
        </w:rPr>
        <w:t>尚无其他体外诊断器械获得许可或批准用于新的检测试剂盒的预期用途。</w:t>
      </w:r>
    </w:p>
    <w:p w14:paraId="6AE19C56">
      <w:pPr>
        <w:snapToGrid w:val="0"/>
        <w:spacing w:before="120" w:beforeLines="50" w:line="400" w:lineRule="exact"/>
        <w:jc w:val="both"/>
        <w:rPr>
          <w:sz w:val="24"/>
          <w:szCs w:val="24"/>
          <w:lang w:eastAsia="zh-CN"/>
        </w:rPr>
      </w:pPr>
      <w:r>
        <w:rPr>
          <w:sz w:val="24"/>
          <w:szCs w:val="24"/>
          <w:u w:val="single"/>
          <w:lang w:eastAsia="zh-CN"/>
        </w:rPr>
        <w:t>风险缓解</w:t>
      </w:r>
      <w:r>
        <w:rPr>
          <w:sz w:val="24"/>
          <w:szCs w:val="24"/>
          <w:lang w:eastAsia="zh-CN"/>
        </w:rPr>
        <w:t>：检测结果为阴性的所有女性都将进行随访访视，以进一步评价和检测。</w:t>
      </w:r>
    </w:p>
    <w:p w14:paraId="6AE19C57">
      <w:pPr>
        <w:snapToGrid w:val="0"/>
        <w:spacing w:before="120" w:beforeLines="50" w:line="400" w:lineRule="exact"/>
        <w:jc w:val="both"/>
        <w:rPr>
          <w:sz w:val="24"/>
          <w:szCs w:val="24"/>
          <w:lang w:eastAsia="zh-CN"/>
        </w:rPr>
      </w:pPr>
      <w:r>
        <w:rPr>
          <w:b/>
          <w:bCs/>
          <w:sz w:val="24"/>
          <w:szCs w:val="24"/>
          <w:lang w:eastAsia="zh-CN"/>
        </w:rPr>
        <w:t>批准/未批准的注意事项：</w:t>
      </w:r>
      <w:r>
        <w:rPr>
          <w:sz w:val="24"/>
          <w:szCs w:val="24"/>
          <w:lang w:eastAsia="zh-CN"/>
        </w:rPr>
        <w:t>合理规定获益和风险的类型和概率。提出了可接受风险的临床实践参考，以使检测试剂盒的性能特征保持一致。未直接处理不同类型的获益与风险的权衡，需要其他信息以确定权衡结果是否可接受。鉴于获益不确定并且风险较高（对于非常少的患者），FDA可能确定不可批准该器械，但是在做出决定以前可能将其交给顾问小组。</w:t>
      </w:r>
    </w:p>
    <w:p w14:paraId="6AE19C58">
      <w:pPr>
        <w:snapToGrid w:val="0"/>
        <w:spacing w:before="120" w:beforeLines="50" w:line="400" w:lineRule="exact"/>
        <w:jc w:val="center"/>
        <w:rPr>
          <w:sz w:val="24"/>
          <w:szCs w:val="24"/>
          <w:lang w:eastAsia="zh-CN"/>
        </w:rPr>
      </w:pPr>
      <w:r>
        <w:rPr>
          <w:b/>
          <w:bCs/>
          <w:sz w:val="24"/>
          <w:szCs w:val="24"/>
          <w:lang w:eastAsia="zh-CN"/>
        </w:rPr>
        <w:t xml:space="preserve">示例4 - </w:t>
      </w:r>
      <w:r>
        <w:rPr>
          <w:sz w:val="24"/>
          <w:szCs w:val="24"/>
          <w:lang w:eastAsia="zh-CN"/>
        </w:rPr>
        <w:t>新分类</w:t>
      </w:r>
    </w:p>
    <w:p w14:paraId="6AE19C59">
      <w:pPr>
        <w:snapToGrid w:val="0"/>
        <w:spacing w:before="120" w:beforeLines="50" w:line="400" w:lineRule="exact"/>
        <w:jc w:val="both"/>
        <w:rPr>
          <w:sz w:val="24"/>
          <w:szCs w:val="24"/>
          <w:lang w:eastAsia="zh-CN"/>
        </w:rPr>
      </w:pPr>
      <w:r>
        <w:rPr>
          <w:sz w:val="24"/>
          <w:szCs w:val="24"/>
          <w:lang w:eastAsia="zh-CN"/>
        </w:rPr>
        <w:t>新的独立治疗器械旨在增加高侵入性和高风险植入器械的稳定性，否则这些器械可能会在没有支撑的情况下自行固定。在植入时，器械可用于支撑主要器械，或者可以添加到发生故障的植入器械上。</w:t>
      </w:r>
    </w:p>
    <w:p w14:paraId="6AE19C5A">
      <w:pPr>
        <w:snapToGrid w:val="0"/>
        <w:spacing w:before="120" w:beforeLines="50" w:line="400" w:lineRule="exact"/>
        <w:jc w:val="both"/>
        <w:rPr>
          <w:sz w:val="24"/>
          <w:szCs w:val="24"/>
          <w:lang w:eastAsia="zh-CN"/>
        </w:rPr>
      </w:pPr>
      <w:r>
        <w:rPr>
          <w:sz w:val="24"/>
          <w:szCs w:val="24"/>
          <w:lang w:eastAsia="zh-CN"/>
        </w:rPr>
        <w:t>在包含200多例受试者的一项前瞻性、多中心、单组临床研究中研究了该器械。试验的主要终点是获益程度，即该试验旨在</w:t>
      </w:r>
      <w:r>
        <w:rPr>
          <w:rFonts w:hint="eastAsia"/>
          <w:sz w:val="24"/>
          <w:szCs w:val="24"/>
          <w:lang w:eastAsia="zh-CN"/>
        </w:rPr>
        <w:t>确定</w:t>
      </w:r>
      <w:r>
        <w:rPr>
          <w:sz w:val="24"/>
          <w:szCs w:val="24"/>
          <w:lang w:eastAsia="zh-CN"/>
        </w:rPr>
        <w:t>该器械与植入时相比，防止主要器械移动和故障的效果如何，对</w:t>
      </w:r>
      <w:r>
        <w:rPr>
          <w:rFonts w:hint="eastAsia"/>
          <w:sz w:val="24"/>
          <w:szCs w:val="24"/>
          <w:lang w:eastAsia="zh-CN"/>
        </w:rPr>
        <w:t>提高</w:t>
      </w:r>
      <w:r>
        <w:rPr>
          <w:sz w:val="24"/>
          <w:szCs w:val="24"/>
          <w:lang w:eastAsia="zh-CN"/>
        </w:rPr>
        <w:t>稳定性无益。</w:t>
      </w:r>
    </w:p>
    <w:p w14:paraId="6AE19C5B">
      <w:pPr>
        <w:snapToGrid w:val="0"/>
        <w:spacing w:before="120" w:beforeLines="50" w:line="400" w:lineRule="exact"/>
        <w:jc w:val="both"/>
        <w:rPr>
          <w:sz w:val="24"/>
          <w:szCs w:val="24"/>
          <w:lang w:eastAsia="zh-CN"/>
        </w:rPr>
      </w:pPr>
      <w:r>
        <w:rPr>
          <w:sz w:val="24"/>
          <w:szCs w:val="24"/>
          <w:lang w:eastAsia="zh-CN"/>
        </w:rPr>
        <w:t>关键性临床试验的结果如下：</w:t>
      </w:r>
    </w:p>
    <w:p w14:paraId="6AE19C5C">
      <w:pPr>
        <w:snapToGrid w:val="0"/>
        <w:spacing w:before="120" w:beforeLines="50" w:line="400" w:lineRule="exact"/>
        <w:jc w:val="both"/>
        <w:rPr>
          <w:sz w:val="24"/>
          <w:szCs w:val="24"/>
          <w:lang w:eastAsia="zh-CN"/>
        </w:rPr>
      </w:pPr>
      <w:r>
        <w:rPr>
          <w:b/>
          <w:bCs/>
          <w:sz w:val="24"/>
          <w:szCs w:val="24"/>
          <w:lang w:eastAsia="zh-CN"/>
        </w:rPr>
        <w:t>获益</w:t>
      </w:r>
      <w:r>
        <w:rPr>
          <w:rFonts w:hint="eastAsia"/>
          <w:b/>
          <w:bCs/>
          <w:sz w:val="24"/>
          <w:szCs w:val="24"/>
          <w:lang w:eastAsia="zh-CN"/>
        </w:rPr>
        <w:t>：</w:t>
      </w:r>
      <w:r>
        <w:rPr>
          <w:rFonts w:hint="eastAsia"/>
          <w:sz w:val="24"/>
          <w:szCs w:val="24"/>
          <w:lang w:eastAsia="zh-CN"/>
        </w:rPr>
        <w:t>通过</w:t>
      </w:r>
      <w:r>
        <w:rPr>
          <w:sz w:val="24"/>
          <w:szCs w:val="24"/>
          <w:lang w:eastAsia="zh-CN"/>
        </w:rPr>
        <w:t>1年随访，无受试者发生器械移动，只有2例受试者发生与器械故障相关的并发症。在单独植入时，主要器械的性能显著改善，植入器械的患者</w:t>
      </w:r>
      <w:r>
        <w:rPr>
          <w:rFonts w:hint="eastAsia"/>
          <w:sz w:val="24"/>
          <w:szCs w:val="24"/>
          <w:lang w:eastAsia="zh-CN"/>
        </w:rPr>
        <w:t>不会</w:t>
      </w:r>
      <w:r>
        <w:rPr>
          <w:sz w:val="24"/>
          <w:szCs w:val="24"/>
          <w:lang w:eastAsia="zh-CN"/>
        </w:rPr>
        <w:t>发生器械移动的预测概率非常高。</w:t>
      </w:r>
    </w:p>
    <w:p w14:paraId="6AE19C5D">
      <w:pPr>
        <w:snapToGrid w:val="0"/>
        <w:spacing w:before="120" w:beforeLines="50"/>
        <w:jc w:val="both"/>
        <w:rPr>
          <w:sz w:val="24"/>
          <w:szCs w:val="24"/>
          <w:lang w:eastAsia="zh-CN"/>
        </w:rPr>
      </w:pPr>
      <w:r>
        <w:rPr>
          <w:sz w:val="24"/>
          <w:szCs w:val="24"/>
          <w:lang w:eastAsia="zh-CN"/>
        </w:rPr>
        <w:br w:type="page"/>
      </w:r>
    </w:p>
    <w:p w14:paraId="6AE19C5E">
      <w:pPr>
        <w:snapToGrid w:val="0"/>
        <w:spacing w:before="120" w:beforeLines="50" w:line="400" w:lineRule="exact"/>
        <w:jc w:val="both"/>
        <w:rPr>
          <w:sz w:val="24"/>
          <w:szCs w:val="24"/>
          <w:lang w:eastAsia="zh-CN"/>
        </w:rPr>
      </w:pPr>
      <w:r>
        <w:rPr>
          <w:b/>
          <w:bCs/>
          <w:sz w:val="24"/>
          <w:szCs w:val="24"/>
          <w:lang w:eastAsia="zh-CN"/>
        </w:rPr>
        <w:t>风险：</w:t>
      </w:r>
      <w:r>
        <w:rPr>
          <w:sz w:val="24"/>
          <w:szCs w:val="24"/>
          <w:lang w:eastAsia="zh-CN"/>
        </w:rPr>
        <w:t>通过1年随访，未发生任何主要器械断裂，只有支撑系统发生些许故障，这些均未导致严重不良事件。支撑系统失效的风险不高，因为即使支撑系统发生失效，也不太可能导致主要器械发生整体失效。</w:t>
      </w:r>
    </w:p>
    <w:p w14:paraId="6AE19C5F">
      <w:pPr>
        <w:snapToGrid w:val="0"/>
        <w:spacing w:before="120" w:beforeLines="50" w:line="400" w:lineRule="exact"/>
        <w:jc w:val="both"/>
        <w:rPr>
          <w:sz w:val="24"/>
          <w:szCs w:val="24"/>
          <w:lang w:eastAsia="zh-CN"/>
        </w:rPr>
      </w:pPr>
      <w:r>
        <w:rPr>
          <w:sz w:val="24"/>
          <w:szCs w:val="24"/>
          <w:lang w:eastAsia="zh-CN"/>
        </w:rPr>
        <w:t>尽管需要外科手术的所有植入器械都有自己的风险（例如手术死亡概率</w:t>
      </w:r>
      <w:r>
        <w:rPr>
          <w:rFonts w:hint="eastAsia"/>
          <w:sz w:val="24"/>
          <w:szCs w:val="24"/>
          <w:lang w:eastAsia="zh-CN"/>
        </w:rPr>
        <w:t>概率</w:t>
      </w:r>
      <w:r>
        <w:rPr>
          <w:sz w:val="24"/>
          <w:szCs w:val="24"/>
          <w:lang w:eastAsia="zh-CN"/>
        </w:rPr>
        <w:t>为1%），该器械连同主要器械一并植入，因此无需额外进行植入手术。或者，如果植入该器械是为了增强发生故障的主要器械的性能，该器械是在术中植入的，而手术本身是为了修复发生故障的主要器械。因此，数据表明在术中添加支撑器械似乎不会增加对患者的风险。</w:t>
      </w:r>
    </w:p>
    <w:p w14:paraId="6AE19C60">
      <w:pPr>
        <w:snapToGrid w:val="0"/>
        <w:spacing w:before="120" w:beforeLines="50" w:line="400" w:lineRule="exact"/>
        <w:jc w:val="both"/>
        <w:rPr>
          <w:sz w:val="24"/>
          <w:szCs w:val="24"/>
          <w:lang w:eastAsia="zh-CN"/>
        </w:rPr>
      </w:pPr>
      <w:r>
        <w:rPr>
          <w:sz w:val="24"/>
          <w:szCs w:val="24"/>
          <w:lang w:eastAsia="zh-CN"/>
        </w:rPr>
        <w:t>FDA确定，支撑器械存在低至中等风险，使用支撑器械的风险较为明确，可以通过一般和特殊控制措施缓解风险，这能合理保证器械的安全性和有效性。因此，支撑器械适用于新途径。</w:t>
      </w:r>
    </w:p>
    <w:p w14:paraId="6AE19C61">
      <w:pPr>
        <w:snapToGrid w:val="0"/>
        <w:spacing w:before="120" w:beforeLines="50" w:line="400" w:lineRule="exact"/>
        <w:jc w:val="both"/>
        <w:rPr>
          <w:sz w:val="24"/>
          <w:szCs w:val="24"/>
          <w:lang w:eastAsia="zh-CN"/>
        </w:rPr>
      </w:pPr>
      <w:r>
        <w:rPr>
          <w:rFonts w:hint="eastAsia"/>
          <w:b/>
          <w:bCs/>
          <w:sz w:val="24"/>
          <w:szCs w:val="24"/>
          <w:lang w:eastAsia="zh-CN"/>
        </w:rPr>
        <w:t>其他</w:t>
      </w:r>
      <w:r>
        <w:rPr>
          <w:b/>
          <w:bCs/>
          <w:sz w:val="24"/>
          <w:szCs w:val="24"/>
          <w:lang w:eastAsia="zh-CN"/>
        </w:rPr>
        <w:t>因素：</w:t>
      </w:r>
    </w:p>
    <w:p w14:paraId="6AE19C62">
      <w:pPr>
        <w:snapToGrid w:val="0"/>
        <w:spacing w:before="120" w:beforeLines="50" w:line="400" w:lineRule="exact"/>
        <w:jc w:val="both"/>
        <w:rPr>
          <w:sz w:val="24"/>
          <w:szCs w:val="24"/>
          <w:lang w:eastAsia="zh-CN"/>
        </w:rPr>
      </w:pPr>
      <w:r>
        <w:rPr>
          <w:sz w:val="24"/>
          <w:szCs w:val="24"/>
          <w:u w:val="single"/>
          <w:lang w:eastAsia="zh-CN"/>
        </w:rPr>
        <w:t>不确定</w:t>
      </w:r>
      <w:r>
        <w:rPr>
          <w:rFonts w:hint="eastAsia"/>
          <w:sz w:val="24"/>
          <w:szCs w:val="24"/>
          <w:u w:val="single"/>
          <w:lang w:eastAsia="zh-CN"/>
        </w:rPr>
        <w:t>性</w:t>
      </w:r>
      <w:r>
        <w:rPr>
          <w:sz w:val="24"/>
          <w:szCs w:val="24"/>
          <w:lang w:eastAsia="zh-CN"/>
        </w:rPr>
        <w:t>：关键性临床试验只有1年随访的结果。对于永久植入式器械，延长随访时间能够降低器械长期安全性和有效性的不确定性。</w:t>
      </w:r>
    </w:p>
    <w:p w14:paraId="6AE19C63">
      <w:pPr>
        <w:snapToGrid w:val="0"/>
        <w:spacing w:before="120" w:beforeLines="50" w:line="400" w:lineRule="exact"/>
        <w:jc w:val="both"/>
        <w:rPr>
          <w:sz w:val="24"/>
          <w:szCs w:val="24"/>
          <w:lang w:eastAsia="zh-CN"/>
        </w:rPr>
      </w:pPr>
      <w:r>
        <w:rPr>
          <w:sz w:val="24"/>
          <w:szCs w:val="24"/>
          <w:u w:val="single"/>
          <w:lang w:eastAsia="zh-CN"/>
        </w:rPr>
        <w:t>患者角度</w:t>
      </w:r>
      <w:r>
        <w:rPr>
          <w:sz w:val="24"/>
          <w:szCs w:val="24"/>
          <w:lang w:eastAsia="zh-CN"/>
        </w:rPr>
        <w:t>：植入支撑器械的患者要么已经接受了外科手术和植入主要器械，要么发生了与现有器械相关的并发症，可以使用支撑器械进行非手术修复。关键性临床试验的结果表明，由于使用了支撑器械，未来的患者将获益于主要器械更加稳定。因此，考虑到可能的风险，大部分患者表明他们会接受器械可能的获益。</w:t>
      </w:r>
    </w:p>
    <w:p w14:paraId="6AE19C64">
      <w:pPr>
        <w:snapToGrid w:val="0"/>
        <w:spacing w:before="120" w:beforeLines="50" w:line="400" w:lineRule="exact"/>
        <w:jc w:val="both"/>
        <w:rPr>
          <w:sz w:val="24"/>
          <w:szCs w:val="24"/>
          <w:lang w:eastAsia="zh-CN"/>
        </w:rPr>
      </w:pPr>
      <w:r>
        <w:rPr>
          <w:sz w:val="24"/>
          <w:szCs w:val="24"/>
          <w:u w:val="single"/>
          <w:lang w:eastAsia="zh-CN"/>
        </w:rPr>
        <w:t>风险缓解</w:t>
      </w:r>
      <w:r>
        <w:rPr>
          <w:sz w:val="24"/>
          <w:szCs w:val="24"/>
          <w:lang w:eastAsia="zh-CN"/>
        </w:rPr>
        <w:t>：对于本新分类申请，FDA确定了特殊控制措施以缓解器械的相关风险，并使其适宜分类为II类器械。对于本器械，FDA要求证明生物相容性、无菌性、安全性和有效性数据（包括临床性能数据、耐久性、兼容性、缓解、阻力、耐蚀性、输送和展开）；器械MR兼容性评价；器械电磁兼容性确认；按处方使用器械；在</w:t>
      </w:r>
      <w:r>
        <w:rPr>
          <w:rFonts w:hint="eastAsia"/>
          <w:sz w:val="24"/>
          <w:szCs w:val="24"/>
          <w:lang w:eastAsia="zh-CN"/>
        </w:rPr>
        <w:t>说明书</w:t>
      </w:r>
      <w:r>
        <w:rPr>
          <w:sz w:val="24"/>
          <w:szCs w:val="24"/>
          <w:lang w:eastAsia="zh-CN"/>
        </w:rPr>
        <w:t>中提供安全和有效使用器械的明确说明。由于该器械无需额外进行植入术，手术风险不是问题。</w:t>
      </w:r>
    </w:p>
    <w:p w14:paraId="6AE19C65">
      <w:pPr>
        <w:snapToGrid w:val="0"/>
        <w:spacing w:before="120" w:beforeLines="50" w:line="400" w:lineRule="exact"/>
        <w:jc w:val="both"/>
        <w:rPr>
          <w:sz w:val="24"/>
          <w:szCs w:val="24"/>
          <w:lang w:eastAsia="zh-CN"/>
        </w:rPr>
      </w:pPr>
      <w:r>
        <w:rPr>
          <w:sz w:val="24"/>
          <w:szCs w:val="24"/>
          <w:u w:val="single"/>
          <w:lang w:eastAsia="zh-CN"/>
        </w:rPr>
        <w:t>解决未满足的医疗需求的新技术：</w:t>
      </w:r>
      <w:r>
        <w:rPr>
          <w:sz w:val="24"/>
          <w:szCs w:val="24"/>
          <w:lang w:eastAsia="zh-CN"/>
        </w:rPr>
        <w:t>该器械是第一种能够进入和修复发生失效或问题的主要器械的系统，向外科医生提供了一种微创方案以重新固定未适当定位或已发生移位的器械或者存在发生这些并发症的风险的器械。</w:t>
      </w:r>
    </w:p>
    <w:p w14:paraId="6AE19C66">
      <w:pPr>
        <w:snapToGrid w:val="0"/>
        <w:spacing w:before="120" w:beforeLines="50"/>
        <w:jc w:val="both"/>
        <w:rPr>
          <w:lang w:eastAsia="zh-CN"/>
        </w:rPr>
      </w:pPr>
      <w:r>
        <w:rPr>
          <w:lang w:eastAsia="zh-CN"/>
        </w:rPr>
        <w:br w:type="page"/>
      </w:r>
    </w:p>
    <w:p w14:paraId="6AE19C67">
      <w:pPr>
        <w:snapToGrid w:val="0"/>
        <w:spacing w:before="120" w:beforeLines="50" w:line="400" w:lineRule="exact"/>
        <w:jc w:val="both"/>
        <w:rPr>
          <w:sz w:val="24"/>
          <w:szCs w:val="24"/>
          <w:lang w:eastAsia="zh-CN"/>
        </w:rPr>
      </w:pPr>
      <w:r>
        <w:rPr>
          <w:b/>
          <w:bCs/>
          <w:sz w:val="24"/>
          <w:szCs w:val="24"/>
          <w:lang w:eastAsia="zh-CN"/>
        </w:rPr>
        <w:t>批准/未批准的注意事项：</w:t>
      </w:r>
      <w:r>
        <w:rPr>
          <w:sz w:val="24"/>
          <w:szCs w:val="24"/>
          <w:lang w:eastAsia="zh-CN"/>
        </w:rPr>
        <w:t>临床试验结果至少能保证器械在1年内的临床有效性。此外，重点是要考虑到器械只用于支持和补充另一种器械的有效性，该器械发生失效不会显著影响主要器械的性能。器械并</w:t>
      </w:r>
      <w:r>
        <w:rPr>
          <w:rFonts w:hint="eastAsia"/>
          <w:sz w:val="24"/>
          <w:szCs w:val="24"/>
          <w:lang w:eastAsia="zh-CN"/>
        </w:rPr>
        <w:t>无升级为</w:t>
      </w:r>
      <w:r>
        <w:rPr>
          <w:sz w:val="24"/>
          <w:szCs w:val="24"/>
          <w:lang w:eastAsia="zh-CN"/>
        </w:rPr>
        <w:t>III类器械的风险。</w:t>
      </w:r>
    </w:p>
    <w:p w14:paraId="6AE19C68">
      <w:pPr>
        <w:snapToGrid w:val="0"/>
        <w:spacing w:before="120" w:beforeLines="50" w:line="400" w:lineRule="exact"/>
        <w:jc w:val="both"/>
        <w:rPr>
          <w:sz w:val="24"/>
          <w:szCs w:val="24"/>
          <w:lang w:eastAsia="zh-CN"/>
        </w:rPr>
      </w:pPr>
      <w:bookmarkStart w:id="61" w:name="bookmark48"/>
      <w:r>
        <w:rPr>
          <w:sz w:val="24"/>
          <w:szCs w:val="24"/>
          <w:lang w:eastAsia="zh-CN"/>
        </w:rPr>
        <w:t>可以通过对适当试验和</w:t>
      </w:r>
      <w:r>
        <w:rPr>
          <w:rFonts w:hint="eastAsia"/>
          <w:sz w:val="24"/>
          <w:szCs w:val="24"/>
          <w:lang w:eastAsia="zh-CN"/>
        </w:rPr>
        <w:t>说明书</w:t>
      </w:r>
      <w:r>
        <w:rPr>
          <w:sz w:val="24"/>
          <w:szCs w:val="24"/>
          <w:lang w:eastAsia="zh-CN"/>
        </w:rPr>
        <w:t>采取特殊控制措施以解决有关器械失效的任何安全问题。</w:t>
      </w:r>
      <w:r>
        <w:rPr>
          <w:rFonts w:hint="eastAsia"/>
          <w:sz w:val="24"/>
          <w:szCs w:val="24"/>
          <w:lang w:eastAsia="zh-CN"/>
        </w:rPr>
        <w:t>考虑到</w:t>
      </w:r>
      <w:r>
        <w:rPr>
          <w:sz w:val="24"/>
          <w:szCs w:val="24"/>
          <w:lang w:eastAsia="zh-CN"/>
        </w:rPr>
        <w:t>器械获益、通过特殊控制措施缓解风险的能力、该器械不用于生命支持和生命支持，FDA可能颁发新分类申请以将该器械分类为II类器械。</w:t>
      </w:r>
      <w:bookmarkEnd w:id="61"/>
    </w:p>
    <w:p w14:paraId="6AE19C69">
      <w:pPr>
        <w:pStyle w:val="17"/>
        <w:spacing w:before="120" w:after="120" w:line="400" w:lineRule="exact"/>
        <w:rPr>
          <w:sz w:val="28"/>
          <w:szCs w:val="28"/>
          <w:lang w:eastAsia="zh-CN"/>
        </w:rPr>
      </w:pPr>
      <w:bookmarkStart w:id="62" w:name="bookmark49"/>
      <w:bookmarkStart w:id="63" w:name="_Toc97318824"/>
      <w:r>
        <w:rPr>
          <w:sz w:val="28"/>
          <w:szCs w:val="28"/>
          <w:lang w:eastAsia="zh-CN"/>
        </w:rPr>
        <w:t>B.</w:t>
      </w:r>
      <w:r>
        <w:rPr>
          <w:sz w:val="28"/>
          <w:szCs w:val="28"/>
          <w:lang w:eastAsia="zh-CN"/>
        </w:rPr>
        <w:tab/>
      </w:r>
      <w:r>
        <w:rPr>
          <w:rFonts w:hint="eastAsia"/>
          <w:sz w:val="28"/>
          <w:szCs w:val="28"/>
          <w:lang w:eastAsia="zh-CN"/>
        </w:rPr>
        <w:t>基于实际</w:t>
      </w:r>
      <w:r>
        <w:rPr>
          <w:sz w:val="28"/>
          <w:szCs w:val="28"/>
          <w:lang w:eastAsia="zh-CN"/>
        </w:rPr>
        <w:t>FDA</w:t>
      </w:r>
      <w:r>
        <w:rPr>
          <w:rFonts w:hint="eastAsia"/>
          <w:sz w:val="28"/>
          <w:szCs w:val="28"/>
          <w:lang w:eastAsia="zh-CN"/>
        </w:rPr>
        <w:t>获益</w:t>
      </w:r>
      <w:r>
        <w:rPr>
          <w:sz w:val="28"/>
          <w:szCs w:val="28"/>
          <w:lang w:eastAsia="zh-CN"/>
        </w:rPr>
        <w:t>-</w:t>
      </w:r>
      <w:r>
        <w:rPr>
          <w:rFonts w:hint="eastAsia"/>
          <w:sz w:val="28"/>
          <w:szCs w:val="28"/>
          <w:lang w:eastAsia="zh-CN"/>
        </w:rPr>
        <w:t>风险确定的举例</w:t>
      </w:r>
      <w:bookmarkEnd w:id="62"/>
      <w:bookmarkEnd w:id="63"/>
    </w:p>
    <w:p w14:paraId="6AE19C6A">
      <w:pPr>
        <w:pStyle w:val="18"/>
        <w:spacing w:before="120" w:line="400" w:lineRule="exact"/>
        <w:ind w:left="748" w:hanging="322"/>
        <w:rPr>
          <w:sz w:val="24"/>
          <w:szCs w:val="24"/>
          <w:lang w:eastAsia="zh-CN"/>
        </w:rPr>
      </w:pPr>
      <w:r>
        <w:rPr>
          <w:sz w:val="24"/>
          <w:szCs w:val="24"/>
          <w:lang w:eastAsia="zh-CN"/>
        </w:rPr>
        <w:t>○</w:t>
      </w:r>
      <w:r>
        <w:rPr>
          <w:sz w:val="24"/>
          <w:szCs w:val="24"/>
          <w:lang w:eastAsia="zh-CN"/>
        </w:rPr>
        <w:tab/>
      </w:r>
      <w:r>
        <w:rPr>
          <w:sz w:val="24"/>
          <w:szCs w:val="24"/>
          <w:lang w:eastAsia="zh-CN"/>
        </w:rPr>
        <w:t>在一项临床试验中对一种治疗极罕见癌症的器械进行了试验，该试验证明，器械的性能</w:t>
      </w:r>
      <w:r>
        <w:rPr>
          <w:rFonts w:hint="eastAsia"/>
          <w:sz w:val="24"/>
          <w:szCs w:val="24"/>
          <w:lang w:eastAsia="zh-CN"/>
        </w:rPr>
        <w:t>和</w:t>
      </w:r>
      <w:r>
        <w:rPr>
          <w:sz w:val="24"/>
          <w:szCs w:val="24"/>
          <w:lang w:eastAsia="zh-CN"/>
        </w:rPr>
        <w:t>标准治疗存在不确定性，但不是更好。然而，使用器械不会产生与标准抗癌治疗一样严重的有害影响，两种治疗方式都无法治愈疾病。癌症会迅速进展到晚期，因此受试者在确诊后的存活时间非常短。FDA批准了该器械，因为它给患者提供了</w:t>
      </w:r>
      <w:r>
        <w:rPr>
          <w:rFonts w:hint="eastAsia"/>
          <w:sz w:val="24"/>
          <w:szCs w:val="24"/>
          <w:lang w:eastAsia="zh-CN"/>
        </w:rPr>
        <w:t>几乎</w:t>
      </w:r>
      <w:r>
        <w:rPr>
          <w:sz w:val="24"/>
          <w:szCs w:val="24"/>
          <w:lang w:eastAsia="zh-CN"/>
        </w:rPr>
        <w:t>与标准治疗相当但</w:t>
      </w:r>
      <w:r>
        <w:rPr>
          <w:rFonts w:hint="eastAsia"/>
          <w:sz w:val="24"/>
          <w:szCs w:val="24"/>
          <w:lang w:eastAsia="zh-CN"/>
        </w:rPr>
        <w:t>未</w:t>
      </w:r>
      <w:r>
        <w:rPr>
          <w:sz w:val="24"/>
          <w:szCs w:val="24"/>
          <w:lang w:eastAsia="zh-CN"/>
        </w:rPr>
        <w:t>引起同样严重的副作用的治疗方式（仍存在一定不确定性）。</w:t>
      </w:r>
    </w:p>
    <w:p w14:paraId="6AE19C6B">
      <w:pPr>
        <w:pStyle w:val="18"/>
        <w:spacing w:before="120" w:line="400" w:lineRule="exact"/>
        <w:ind w:left="748" w:hanging="322"/>
        <w:rPr>
          <w:sz w:val="24"/>
          <w:szCs w:val="24"/>
          <w:lang w:eastAsia="zh-CN"/>
        </w:rPr>
      </w:pPr>
      <w:r>
        <w:rPr>
          <w:sz w:val="24"/>
          <w:szCs w:val="24"/>
          <w:lang w:eastAsia="zh-CN"/>
        </w:rPr>
        <w:t>○</w:t>
      </w:r>
      <w:r>
        <w:rPr>
          <w:sz w:val="24"/>
          <w:szCs w:val="24"/>
          <w:lang w:eastAsia="zh-CN"/>
        </w:rPr>
        <w:tab/>
      </w:r>
      <w:r>
        <w:rPr>
          <w:sz w:val="24"/>
          <w:szCs w:val="24"/>
          <w:lang w:eastAsia="zh-CN"/>
        </w:rPr>
        <w:t>永久植入的心血管监测器械预期用于诊断心力衰竭。对器械进行研究，研究显示，使用该器械可以将受试者因为心力衰竭住院的时间缩短3天左右。然而，器械的植入术</w:t>
      </w:r>
      <w:r>
        <w:rPr>
          <w:rFonts w:hint="eastAsia"/>
          <w:sz w:val="24"/>
          <w:szCs w:val="24"/>
          <w:lang w:eastAsia="zh-CN"/>
        </w:rPr>
        <w:t>需要</w:t>
      </w:r>
      <w:r>
        <w:rPr>
          <w:sz w:val="24"/>
          <w:szCs w:val="24"/>
          <w:lang w:eastAsia="zh-CN"/>
        </w:rPr>
        <w:t>患者住院2天。市面上已经有同品种器械具有类似于本器械的获益水平，而本器械无需实施植入术。FDA</w:t>
      </w:r>
      <w:r>
        <w:rPr>
          <w:rFonts w:hint="eastAsia"/>
          <w:sz w:val="24"/>
          <w:szCs w:val="24"/>
          <w:lang w:eastAsia="zh-CN"/>
        </w:rPr>
        <w:t>认为</w:t>
      </w:r>
      <w:r>
        <w:rPr>
          <w:sz w:val="24"/>
          <w:szCs w:val="24"/>
          <w:lang w:eastAsia="zh-CN"/>
        </w:rPr>
        <w:t>减少1天住院时间的获益并未超过植入器械所需的外科手术的并发症风险，</w:t>
      </w:r>
      <w:r>
        <w:rPr>
          <w:rFonts w:hint="eastAsia"/>
          <w:sz w:val="24"/>
          <w:szCs w:val="24"/>
          <w:lang w:eastAsia="zh-CN"/>
        </w:rPr>
        <w:t>并发现器械不可批准。</w:t>
      </w:r>
    </w:p>
    <w:p w14:paraId="6AE19C6C">
      <w:pPr>
        <w:pStyle w:val="18"/>
        <w:spacing w:before="120" w:line="400" w:lineRule="exact"/>
        <w:ind w:left="748" w:hanging="322"/>
        <w:rPr>
          <w:sz w:val="24"/>
          <w:szCs w:val="24"/>
          <w:lang w:eastAsia="zh-CN"/>
        </w:rPr>
      </w:pPr>
      <w:r>
        <w:rPr>
          <w:sz w:val="24"/>
          <w:szCs w:val="24"/>
          <w:lang w:eastAsia="zh-CN"/>
        </w:rPr>
        <w:t>○</w:t>
      </w:r>
      <w:r>
        <w:rPr>
          <w:sz w:val="24"/>
          <w:szCs w:val="24"/>
          <w:lang w:eastAsia="zh-CN"/>
        </w:rPr>
        <w:tab/>
      </w:r>
      <w:r>
        <w:rPr>
          <w:sz w:val="24"/>
          <w:szCs w:val="24"/>
          <w:lang w:eastAsia="zh-CN"/>
        </w:rPr>
        <w:t>可以使用专业输送导管，通过阴道将永久性节育装置置入女性的生殖系统。该器械是一种不</w:t>
      </w:r>
      <w:r>
        <w:rPr>
          <w:rFonts w:hint="eastAsia"/>
          <w:sz w:val="24"/>
          <w:szCs w:val="24"/>
          <w:lang w:eastAsia="zh-CN"/>
        </w:rPr>
        <w:t>会</w:t>
      </w:r>
      <w:r>
        <w:rPr>
          <w:sz w:val="24"/>
          <w:szCs w:val="24"/>
          <w:lang w:eastAsia="zh-CN"/>
        </w:rPr>
        <w:t>取出的永久植入物。取出器械需要外科手术。临床数据显示，该器械可以在2年内有效预防女性妊娠，安全性数据显示临床不良事件的发生率较低。然而，研究结果也显示，在几个病例中，医生很难准确置入器械。此外，在几例研究受试者中，随访X射线显示器械断裂。考虑到器械长期影响的不确定</w:t>
      </w:r>
      <w:r>
        <w:rPr>
          <w:rFonts w:hint="eastAsia"/>
          <w:sz w:val="24"/>
          <w:szCs w:val="24"/>
          <w:lang w:eastAsia="zh-CN"/>
        </w:rPr>
        <w:t>性</w:t>
      </w:r>
      <w:r>
        <w:rPr>
          <w:sz w:val="24"/>
          <w:szCs w:val="24"/>
          <w:lang w:eastAsia="zh-CN"/>
        </w:rPr>
        <w:t>、器械断裂的可能性（在任何台架试验和动物试验中均未预测到）以及替代疗法的安全性和有效性，由于其适用患者人群，FDA认为不可批准器械。</w:t>
      </w:r>
    </w:p>
    <w:p w14:paraId="6AE19C6D">
      <w:pPr>
        <w:pStyle w:val="18"/>
        <w:spacing w:before="120"/>
        <w:ind w:left="748" w:hanging="322"/>
        <w:rPr>
          <w:sz w:val="24"/>
          <w:szCs w:val="24"/>
          <w:lang w:eastAsia="zh-CN"/>
        </w:rPr>
      </w:pPr>
      <w:r>
        <w:rPr>
          <w:sz w:val="24"/>
          <w:szCs w:val="24"/>
          <w:lang w:eastAsia="zh-CN"/>
        </w:rPr>
        <w:br w:type="page"/>
      </w:r>
    </w:p>
    <w:p w14:paraId="6AE19C6E">
      <w:pPr>
        <w:pStyle w:val="18"/>
        <w:spacing w:before="120" w:line="400" w:lineRule="exact"/>
        <w:ind w:left="748" w:hanging="322"/>
        <w:rPr>
          <w:sz w:val="24"/>
          <w:szCs w:val="24"/>
          <w:lang w:eastAsia="zh-CN"/>
        </w:rPr>
      </w:pPr>
      <w:r>
        <w:rPr>
          <w:sz w:val="24"/>
          <w:szCs w:val="24"/>
          <w:lang w:eastAsia="zh-CN"/>
        </w:rPr>
        <w:t>○</w:t>
      </w:r>
      <w:r>
        <w:rPr>
          <w:sz w:val="24"/>
          <w:szCs w:val="24"/>
          <w:lang w:eastAsia="zh-CN"/>
        </w:rPr>
        <w:tab/>
      </w:r>
      <w:r>
        <w:rPr>
          <w:sz w:val="24"/>
          <w:szCs w:val="24"/>
          <w:lang w:eastAsia="zh-CN"/>
        </w:rPr>
        <w:t>与用于治疗类似状况的标准治疗相比，植入器械具有独特的设计特征。尽管当前的标准治疗的效果非常好，但是存在一定局限，会影响患者的活动，相比之下，新植入的器械不会影响患者活动。根据临床研究的有效性数据，器械的功能结局与当前的标准治疗相比显著改善。然而，从安全角度看，器械的不良事件确实与当前的标准治疗不同。通过对外科手术专家进行培训并贴上适当的标签，可以适当缓解风险。如果植入物随时间发生失效，临床医师也会利用当前的标准治疗。在此情况下，尽管不良事件不同，但是可能的获益超过风险，FDA批准了器械。</w:t>
      </w:r>
    </w:p>
    <w:p w14:paraId="6AE19C6F">
      <w:pPr>
        <w:pStyle w:val="18"/>
        <w:spacing w:before="120"/>
        <w:ind w:left="748" w:hanging="322"/>
        <w:rPr>
          <w:sz w:val="24"/>
          <w:szCs w:val="24"/>
          <w:lang w:eastAsia="zh-CN"/>
        </w:rPr>
      </w:pPr>
      <w:r>
        <w:rPr>
          <w:sz w:val="24"/>
          <w:szCs w:val="24"/>
          <w:lang w:eastAsia="zh-CN"/>
        </w:rPr>
        <w:br w:type="page"/>
      </w:r>
    </w:p>
    <w:p w14:paraId="6AE19C70">
      <w:pPr>
        <w:pStyle w:val="16"/>
        <w:spacing w:before="120" w:after="120" w:line="400" w:lineRule="exact"/>
        <w:rPr>
          <w:lang w:eastAsia="zh-CN"/>
        </w:rPr>
      </w:pPr>
      <w:bookmarkStart w:id="64" w:name="bookmark50"/>
      <w:bookmarkStart w:id="65" w:name="_Toc97318825"/>
      <w:bookmarkStart w:id="66" w:name="bookmark51"/>
      <w:r>
        <w:rPr>
          <w:lang w:eastAsia="zh-CN"/>
        </w:rPr>
        <w:t>附录A</w:t>
      </w:r>
      <w:bookmarkEnd w:id="64"/>
      <w:bookmarkEnd w:id="65"/>
      <w:bookmarkEnd w:id="66"/>
    </w:p>
    <w:p w14:paraId="6AE19C71">
      <w:pPr>
        <w:pStyle w:val="20"/>
        <w:spacing w:before="120" w:after="120" w:line="400" w:lineRule="exact"/>
        <w:rPr>
          <w:lang w:eastAsia="zh-CN"/>
        </w:rPr>
      </w:pPr>
      <w:bookmarkStart w:id="67" w:name="bookmark53"/>
      <w:bookmarkStart w:id="68" w:name="bookmark52"/>
      <w:bookmarkStart w:id="69" w:name="_Toc97318826"/>
      <w:r>
        <w:rPr>
          <w:lang w:eastAsia="zh-CN"/>
        </w:rPr>
        <w:t>本指南与ISO 14971的重叠之处</w:t>
      </w:r>
      <w:bookmarkEnd w:id="67"/>
      <w:bookmarkEnd w:id="68"/>
      <w:bookmarkEnd w:id="69"/>
    </w:p>
    <w:p w14:paraId="6AE19C72">
      <w:pPr>
        <w:snapToGrid w:val="0"/>
        <w:spacing w:before="120" w:beforeLines="50" w:line="400" w:lineRule="exact"/>
        <w:jc w:val="both"/>
        <w:rPr>
          <w:sz w:val="24"/>
          <w:szCs w:val="24"/>
          <w:lang w:eastAsia="zh-CN"/>
        </w:rPr>
      </w:pPr>
      <w:r>
        <w:rPr>
          <w:sz w:val="24"/>
          <w:szCs w:val="24"/>
          <w:lang w:eastAsia="zh-CN"/>
        </w:rPr>
        <w:t>ISO 14971向医疗器械制造商提供了系统性管理使用医疗器械对人员、财产和环境造成的风险的框架。具体而言，该标准描述了医疗器械制造商据此在整个产品生命周期内确定医疗器械的相关危险、估计并评价这些危险的风险、控制这些风险和监测这些控制措施的有效性的过程。</w:t>
      </w:r>
      <w:r>
        <w:fldChar w:fldCharType="begin"/>
      </w:r>
      <w:r>
        <w:instrText xml:space="preserve"> HYPERLINK \l "bookmark54" \o "当前文件" \h </w:instrText>
      </w:r>
      <w:r>
        <w:fldChar w:fldCharType="separate"/>
      </w:r>
      <w:r>
        <w:rPr>
          <w:sz w:val="24"/>
          <w:szCs w:val="24"/>
          <w:vertAlign w:val="superscript"/>
          <w:lang w:eastAsia="zh-CN"/>
        </w:rPr>
        <w:t>22</w:t>
      </w:r>
      <w:r>
        <w:rPr>
          <w:sz w:val="24"/>
          <w:szCs w:val="24"/>
          <w:vertAlign w:val="superscript"/>
          <w:lang w:eastAsia="zh-CN"/>
        </w:rPr>
        <w:fldChar w:fldCharType="end"/>
      </w:r>
      <w:r>
        <w:rPr>
          <w:sz w:val="24"/>
          <w:szCs w:val="24"/>
          <w:lang w:eastAsia="zh-CN"/>
        </w:rPr>
        <w:t>该标准的实施要求用户确定个体风险的可接受性，以及在其整个生命周期内医疗器械的总体剩余风险。</w:t>
      </w:r>
    </w:p>
    <w:p w14:paraId="6AE19C73">
      <w:pPr>
        <w:snapToGrid w:val="0"/>
        <w:spacing w:before="120" w:beforeLines="50" w:line="400" w:lineRule="exact"/>
        <w:jc w:val="both"/>
        <w:rPr>
          <w:sz w:val="24"/>
          <w:szCs w:val="24"/>
          <w:lang w:eastAsia="zh-CN"/>
        </w:rPr>
      </w:pPr>
      <w:r>
        <w:rPr>
          <w:sz w:val="24"/>
          <w:szCs w:val="24"/>
          <w:lang w:eastAsia="zh-CN"/>
        </w:rPr>
        <w:t>ISO 14971是一种获得FDA许可的标准，确保符合该标准可能帮助器械制造商符合FDA质量体系法规第820部分中的设计控制部分</w:t>
      </w:r>
      <w:r>
        <w:rPr>
          <w:rFonts w:hint="eastAsia"/>
          <w:sz w:val="24"/>
          <w:szCs w:val="24"/>
          <w:lang w:eastAsia="zh-CN"/>
        </w:rPr>
        <w:t>所</w:t>
      </w:r>
      <w:r>
        <w:rPr>
          <w:sz w:val="24"/>
          <w:szCs w:val="24"/>
          <w:lang w:eastAsia="zh-CN"/>
        </w:rPr>
        <w:t>规定的设计确认要求。</w:t>
      </w:r>
      <w:r>
        <w:fldChar w:fldCharType="begin"/>
      </w:r>
      <w:r>
        <w:instrText xml:space="preserve"> HYPERLINK \l "bookmark55" \o "当前文件" \h </w:instrText>
      </w:r>
      <w:r>
        <w:fldChar w:fldCharType="separate"/>
      </w:r>
      <w:r>
        <w:rPr>
          <w:sz w:val="24"/>
          <w:szCs w:val="24"/>
          <w:vertAlign w:val="superscript"/>
          <w:lang w:eastAsia="zh-CN"/>
        </w:rPr>
        <w:t>23</w:t>
      </w:r>
      <w:r>
        <w:rPr>
          <w:sz w:val="24"/>
          <w:szCs w:val="24"/>
          <w:lang w:eastAsia="zh-CN"/>
        </w:rPr>
        <w:t xml:space="preserve"> </w:t>
      </w:r>
      <w:r>
        <w:rPr>
          <w:sz w:val="24"/>
          <w:szCs w:val="24"/>
          <w:lang w:eastAsia="zh-CN"/>
        </w:rPr>
        <w:fldChar w:fldCharType="end"/>
      </w:r>
      <w:r>
        <w:rPr>
          <w:sz w:val="24"/>
          <w:szCs w:val="24"/>
          <w:lang w:eastAsia="zh-CN"/>
        </w:rPr>
        <w:t>部分上市前审查过程是评价（直接和/或间接）医疗器械制造商的风险管理决定，因为它们与在美国销售器械的要求相关。</w:t>
      </w:r>
      <w:r>
        <w:fldChar w:fldCharType="begin"/>
      </w:r>
      <w:r>
        <w:instrText xml:space="preserve"> HYPERLINK \l "bookmark56" \o "当前文件" \h </w:instrText>
      </w:r>
      <w:r>
        <w:fldChar w:fldCharType="separate"/>
      </w:r>
      <w:r>
        <w:rPr>
          <w:sz w:val="24"/>
          <w:szCs w:val="24"/>
          <w:vertAlign w:val="superscript"/>
          <w:lang w:eastAsia="zh-CN"/>
        </w:rPr>
        <w:t>24</w:t>
      </w:r>
      <w:r>
        <w:rPr>
          <w:sz w:val="24"/>
          <w:szCs w:val="24"/>
          <w:vertAlign w:val="superscript"/>
          <w:lang w:eastAsia="zh-CN"/>
        </w:rPr>
        <w:fldChar w:fldCharType="end"/>
      </w:r>
      <w:r>
        <w:rPr>
          <w:sz w:val="24"/>
          <w:szCs w:val="24"/>
          <w:lang w:eastAsia="zh-CN"/>
        </w:rPr>
        <w:t>医疗器械制造商的风险管理决定是，直接和/或间接评价的决定包括与风险估计、风险评价、风险可接受性、风险控制措施和总体剩余风险相关的决定。制造商充分记录风险管理决定有助于简化FDA和制造商的上市前审查流程。在某一时刻，在制造商完成有关产品开发设计阶段的相关风险管理活动后，启动FDA的上市前提交过程，获益-风险评估具有不同的形态，这是本指南的主要重点。本指南讨论了FDA在评估为了以最低风险达到最大获益并合理保证安全性和有效性的器械获益-风险状况时所考虑的事项。</w:t>
      </w:r>
    </w:p>
    <w:p w14:paraId="6AE19C74">
      <w:pPr>
        <w:snapToGrid w:val="0"/>
        <w:spacing w:before="120" w:beforeLines="50" w:line="400" w:lineRule="exact"/>
        <w:jc w:val="both"/>
        <w:rPr>
          <w:sz w:val="24"/>
          <w:szCs w:val="24"/>
          <w:lang w:eastAsia="zh-CN"/>
        </w:rPr>
      </w:pPr>
    </w:p>
    <w:p w14:paraId="6AE19C75">
      <w:pPr>
        <w:snapToGrid w:val="0"/>
        <w:spacing w:before="120" w:beforeLines="50" w:line="400" w:lineRule="exact"/>
        <w:jc w:val="both"/>
        <w:rPr>
          <w:sz w:val="24"/>
          <w:szCs w:val="24"/>
          <w:lang w:eastAsia="zh-CN"/>
        </w:rPr>
      </w:pPr>
    </w:p>
    <w:p w14:paraId="6AE19C76">
      <w:pPr>
        <w:snapToGrid w:val="0"/>
        <w:spacing w:before="120" w:beforeLines="50" w:line="400" w:lineRule="exact"/>
        <w:jc w:val="both"/>
        <w:rPr>
          <w:sz w:val="24"/>
          <w:szCs w:val="24"/>
          <w:lang w:eastAsia="zh-CN"/>
        </w:rPr>
      </w:pPr>
    </w:p>
    <w:p w14:paraId="6AE19C77">
      <w:pPr>
        <w:snapToGrid w:val="0"/>
        <w:spacing w:before="120" w:beforeLines="50" w:line="400" w:lineRule="exact"/>
        <w:jc w:val="both"/>
        <w:rPr>
          <w:sz w:val="24"/>
          <w:szCs w:val="24"/>
          <w:lang w:eastAsia="zh-CN"/>
        </w:rPr>
      </w:pPr>
    </w:p>
    <w:p w14:paraId="6AE19C78">
      <w:pPr>
        <w:snapToGrid w:val="0"/>
        <w:spacing w:before="120" w:beforeLines="50" w:line="400" w:lineRule="exact"/>
        <w:jc w:val="both"/>
        <w:rPr>
          <w:sz w:val="24"/>
          <w:szCs w:val="24"/>
          <w:lang w:eastAsia="zh-CN"/>
        </w:rPr>
      </w:pPr>
    </w:p>
    <w:p w14:paraId="6AE19C79">
      <w:pPr>
        <w:snapToGrid w:val="0"/>
        <w:spacing w:before="120" w:beforeLines="50" w:line="400" w:lineRule="exact"/>
        <w:jc w:val="both"/>
        <w:rPr>
          <w:sz w:val="24"/>
          <w:szCs w:val="24"/>
          <w:lang w:eastAsia="zh-CN"/>
        </w:rPr>
      </w:pPr>
    </w:p>
    <w:p w14:paraId="6AE19C7A">
      <w:pPr>
        <w:snapToGrid w:val="0"/>
        <w:spacing w:before="120" w:beforeLines="50" w:line="400" w:lineRule="exact"/>
        <w:jc w:val="both"/>
        <w:rPr>
          <w:sz w:val="24"/>
          <w:szCs w:val="24"/>
          <w:lang w:eastAsia="zh-CN"/>
        </w:rPr>
      </w:pPr>
    </w:p>
    <w:p w14:paraId="6AE19C7B">
      <w:pPr>
        <w:snapToGrid w:val="0"/>
        <w:spacing w:before="120" w:beforeLines="50" w:line="400" w:lineRule="exact"/>
        <w:jc w:val="both"/>
        <w:rPr>
          <w:sz w:val="24"/>
          <w:szCs w:val="24"/>
          <w:lang w:eastAsia="zh-CN"/>
        </w:rPr>
      </w:pPr>
    </w:p>
    <w:p w14:paraId="6AE19C7C">
      <w:pPr>
        <w:snapToGrid w:val="0"/>
        <w:spacing w:before="120" w:beforeLines="50" w:line="400" w:lineRule="exact"/>
        <w:jc w:val="both"/>
        <w:rPr>
          <w:sz w:val="24"/>
          <w:szCs w:val="24"/>
          <w:lang w:eastAsia="zh-CN"/>
        </w:rPr>
      </w:pPr>
    </w:p>
    <w:p w14:paraId="6AE19C7D">
      <w:pPr>
        <w:snapToGrid w:val="0"/>
        <w:spacing w:before="120" w:beforeLines="50"/>
        <w:jc w:val="both"/>
        <w:rPr>
          <w:sz w:val="18"/>
          <w:szCs w:val="18"/>
          <w:lang w:eastAsia="zh-CN"/>
        </w:rPr>
      </w:pPr>
      <w:bookmarkStart w:id="70" w:name="bookmark54"/>
      <w:bookmarkStart w:id="71" w:name="bookmark55"/>
      <w:r>
        <w:rPr>
          <w:sz w:val="18"/>
          <w:szCs w:val="18"/>
          <w:lang w:eastAsia="zh-CN"/>
        </w:rPr>
        <w:t>_______________________</w:t>
      </w:r>
    </w:p>
    <w:p w14:paraId="6AE19C7E">
      <w:pPr>
        <w:tabs>
          <w:tab w:val="left" w:pos="178"/>
        </w:tabs>
        <w:snapToGrid w:val="0"/>
        <w:spacing w:before="120" w:beforeLines="50"/>
        <w:jc w:val="both"/>
        <w:rPr>
          <w:sz w:val="18"/>
          <w:szCs w:val="18"/>
          <w:lang w:eastAsia="zh-CN"/>
        </w:rPr>
      </w:pPr>
      <w:r>
        <w:rPr>
          <w:sz w:val="18"/>
          <w:szCs w:val="18"/>
          <w:vertAlign w:val="superscript"/>
          <w:lang w:eastAsia="zh-CN"/>
        </w:rPr>
        <w:t>22</w:t>
      </w:r>
      <w:r>
        <w:rPr>
          <w:sz w:val="18"/>
          <w:szCs w:val="18"/>
          <w:lang w:eastAsia="zh-CN"/>
        </w:rPr>
        <w:tab/>
      </w:r>
      <w:r>
        <w:rPr>
          <w:sz w:val="18"/>
          <w:szCs w:val="18"/>
          <w:lang w:eastAsia="zh-CN"/>
        </w:rPr>
        <w:t>ANSI/AAMI/ISO 14971:2007</w:t>
      </w:r>
      <w:r>
        <w:rPr>
          <w:i/>
          <w:sz w:val="18"/>
          <w:szCs w:val="18"/>
          <w:lang w:eastAsia="zh-CN"/>
        </w:rPr>
        <w:t xml:space="preserve">医疗器械 </w:t>
      </w:r>
      <w:r>
        <w:rPr>
          <w:i/>
          <w:iCs/>
          <w:sz w:val="18"/>
          <w:szCs w:val="18"/>
          <w:lang w:eastAsia="zh-CN"/>
        </w:rPr>
        <w:t xml:space="preserve">- </w:t>
      </w:r>
      <w:r>
        <w:rPr>
          <w:i/>
          <w:sz w:val="18"/>
          <w:szCs w:val="18"/>
          <w:lang w:eastAsia="zh-CN"/>
        </w:rPr>
        <w:t>医疗器械风险管理的应用</w:t>
      </w:r>
      <w:r>
        <w:rPr>
          <w:sz w:val="18"/>
          <w:szCs w:val="18"/>
          <w:lang w:eastAsia="zh-CN"/>
        </w:rPr>
        <w:t>，p xi.</w:t>
      </w:r>
      <w:bookmarkEnd w:id="70"/>
      <w:bookmarkEnd w:id="71"/>
    </w:p>
    <w:p w14:paraId="6AE19C7F">
      <w:pPr>
        <w:tabs>
          <w:tab w:val="left" w:pos="173"/>
        </w:tabs>
        <w:snapToGrid w:val="0"/>
        <w:spacing w:before="120" w:beforeLines="50"/>
        <w:jc w:val="both"/>
        <w:rPr>
          <w:sz w:val="18"/>
          <w:szCs w:val="18"/>
          <w:lang w:eastAsia="zh-CN"/>
        </w:rPr>
      </w:pPr>
      <w:bookmarkStart w:id="72" w:name="bookmark56"/>
      <w:r>
        <w:rPr>
          <w:sz w:val="18"/>
          <w:szCs w:val="18"/>
          <w:vertAlign w:val="superscript"/>
          <w:lang w:eastAsia="zh-CN"/>
        </w:rPr>
        <w:t>23</w:t>
      </w:r>
      <w:r>
        <w:rPr>
          <w:sz w:val="18"/>
          <w:szCs w:val="18"/>
          <w:lang w:eastAsia="zh-CN"/>
        </w:rPr>
        <w:tab/>
      </w:r>
      <w:r>
        <w:rPr>
          <w:sz w:val="18"/>
          <w:szCs w:val="18"/>
          <w:lang w:eastAsia="zh-CN"/>
        </w:rPr>
        <w:t>设计控制措施如21 CFR 820.30所述。</w:t>
      </w:r>
      <w:bookmarkEnd w:id="72"/>
    </w:p>
    <w:p w14:paraId="6AE19C80">
      <w:pPr>
        <w:tabs>
          <w:tab w:val="left" w:pos="182"/>
        </w:tabs>
        <w:snapToGrid w:val="0"/>
        <w:spacing w:before="120" w:beforeLines="50"/>
        <w:jc w:val="both"/>
        <w:rPr>
          <w:lang w:eastAsia="zh-CN"/>
        </w:rPr>
      </w:pPr>
      <w:r>
        <w:rPr>
          <w:sz w:val="18"/>
          <w:szCs w:val="18"/>
          <w:vertAlign w:val="superscript"/>
          <w:lang w:eastAsia="zh-CN"/>
        </w:rPr>
        <w:t>24</w:t>
      </w:r>
      <w:r>
        <w:rPr>
          <w:sz w:val="18"/>
          <w:szCs w:val="18"/>
          <w:lang w:eastAsia="zh-CN"/>
        </w:rPr>
        <w:tab/>
      </w:r>
      <w:r>
        <w:rPr>
          <w:sz w:val="18"/>
          <w:szCs w:val="18"/>
          <w:lang w:eastAsia="zh-CN"/>
        </w:rPr>
        <w:t>此外，制造商可以在预提交阶段就其提出的与临床研究设计、生物相容性试验、非临床动物试验、台架试验等相关的风险管理决策与FDA接洽，并收到关于产生信息的决策概率充分性的初步反馈，这些信息将确定该器械是否满足在美国上市的要求。</w:t>
      </w:r>
      <w:r>
        <w:rPr>
          <w:lang w:eastAsia="zh-CN"/>
        </w:rPr>
        <w:br w:type="page"/>
      </w:r>
    </w:p>
    <w:p w14:paraId="6AE19C81">
      <w:pPr>
        <w:pStyle w:val="16"/>
        <w:spacing w:before="120" w:after="120" w:line="400" w:lineRule="exact"/>
        <w:rPr>
          <w:lang w:eastAsia="zh-CN"/>
        </w:rPr>
      </w:pPr>
      <w:bookmarkStart w:id="73" w:name="bookmark58"/>
      <w:bookmarkStart w:id="74" w:name="bookmark57"/>
      <w:bookmarkStart w:id="75" w:name="_Toc97318827"/>
      <w:r>
        <w:rPr>
          <w:lang w:eastAsia="zh-CN"/>
        </w:rPr>
        <w:t>附录B</w:t>
      </w:r>
      <w:bookmarkEnd w:id="73"/>
      <w:bookmarkEnd w:id="74"/>
      <w:bookmarkEnd w:id="75"/>
    </w:p>
    <w:p w14:paraId="6AE19C82">
      <w:pPr>
        <w:pStyle w:val="20"/>
        <w:spacing w:before="120" w:after="120" w:line="400" w:lineRule="exact"/>
        <w:rPr>
          <w:lang w:eastAsia="zh-CN"/>
        </w:rPr>
      </w:pPr>
      <w:bookmarkStart w:id="76" w:name="_Toc97318828"/>
      <w:bookmarkStart w:id="77" w:name="bookmark60"/>
      <w:bookmarkStart w:id="78" w:name="bookmark59"/>
      <w:r>
        <w:rPr>
          <w:lang w:eastAsia="zh-CN"/>
        </w:rPr>
        <w:t>获益-风险评估工作表</w:t>
      </w:r>
      <w:bookmarkEnd w:id="76"/>
      <w:bookmarkEnd w:id="77"/>
      <w:bookmarkEnd w:id="78"/>
    </w:p>
    <w:p w14:paraId="6AE19C83">
      <w:pPr>
        <w:snapToGrid w:val="0"/>
        <w:spacing w:before="120" w:beforeLines="50" w:line="400" w:lineRule="exact"/>
        <w:jc w:val="both"/>
        <w:rPr>
          <w:sz w:val="24"/>
          <w:szCs w:val="24"/>
          <w:lang w:eastAsia="zh-CN"/>
        </w:rPr>
      </w:pPr>
      <w:r>
        <w:rPr>
          <w:i/>
          <w:iCs/>
          <w:sz w:val="24"/>
          <w:szCs w:val="24"/>
          <w:lang w:eastAsia="zh-CN"/>
        </w:rPr>
        <w:t>对FDA工作人员的说明：</w:t>
      </w:r>
      <w:r>
        <w:rPr>
          <w:sz w:val="24"/>
          <w:szCs w:val="24"/>
          <w:lang w:eastAsia="zh-CN"/>
        </w:rPr>
        <w:t>应该根据所有证据对获益-风险评估提出建议。在决定是否批准申请期间会进行获益-风险评估，但是不会评估所有适用的批准要求。有迹象表明这些工具的获益超过风险并不意味着申请满足其他适用PMA申请或新分类申请的要求。</w:t>
      </w:r>
    </w:p>
    <w:p w14:paraId="6AE19C84">
      <w:pPr>
        <w:snapToGrid w:val="0"/>
        <w:spacing w:before="120" w:beforeLines="50" w:line="400" w:lineRule="exact"/>
        <w:jc w:val="both"/>
        <w:rPr>
          <w:sz w:val="24"/>
          <w:szCs w:val="24"/>
          <w:lang w:eastAsia="zh-CN"/>
        </w:rPr>
      </w:pPr>
      <w:r>
        <w:rPr>
          <w:sz w:val="24"/>
          <w:szCs w:val="24"/>
          <w:lang w:eastAsia="zh-CN"/>
        </w:rPr>
        <w:t>在获益-风险评估期间，以下问题将用作帮助权衡多个因素的顺序法。同样，这些问题旨在帮助确定和解释哪些因素和考虑因素在特定器械的获益-风险评估中起到关键作用。但是，这些问题并不意味着除了已完成的工作表中列出的考虑因素以外的其他考虑因素是不相关的。当以有效的科学证据的形式提交非临床和/或临床证据时，应使用本清单。</w:t>
      </w:r>
    </w:p>
    <w:p w14:paraId="6AE19C85">
      <w:pPr>
        <w:snapToGrid w:val="0"/>
        <w:spacing w:before="120" w:beforeLines="50" w:line="400" w:lineRule="exact"/>
        <w:jc w:val="both"/>
        <w:rPr>
          <w:lang w:eastAsia="zh-CN"/>
        </w:rPr>
      </w:pPr>
      <w:r>
        <w:rPr>
          <w:sz w:val="24"/>
          <w:szCs w:val="24"/>
          <w:lang w:eastAsia="zh-CN"/>
        </w:rPr>
        <w:t>拟定适应症考虑问题1-8，直至获得获益超过风险或转到问题9的建议，这会提示您考虑修改适应症。在考虑适用的修改适应症时，与申办者</w:t>
      </w:r>
      <w:r>
        <w:rPr>
          <w:rFonts w:hint="eastAsia"/>
          <w:sz w:val="24"/>
          <w:szCs w:val="24"/>
          <w:lang w:eastAsia="zh-CN"/>
        </w:rPr>
        <w:t>沟通</w:t>
      </w:r>
      <w:r>
        <w:rPr>
          <w:sz w:val="24"/>
          <w:szCs w:val="24"/>
          <w:lang w:eastAsia="zh-CN"/>
        </w:rPr>
        <w:t>，以</w:t>
      </w:r>
      <w:r>
        <w:rPr>
          <w:rFonts w:hint="eastAsia"/>
          <w:sz w:val="24"/>
          <w:szCs w:val="24"/>
          <w:lang w:eastAsia="zh-CN"/>
        </w:rPr>
        <w:t>就</w:t>
      </w:r>
      <w:r>
        <w:rPr>
          <w:sz w:val="24"/>
          <w:szCs w:val="24"/>
          <w:lang w:eastAsia="zh-CN"/>
        </w:rPr>
        <w:t>修改后的适应症达成协议。然而，如问题1所示，如果证据不支持拟定适应症（或</w:t>
      </w:r>
      <w:r>
        <w:rPr>
          <w:rFonts w:hint="eastAsia"/>
          <w:sz w:val="24"/>
          <w:szCs w:val="24"/>
          <w:lang w:eastAsia="zh-CN"/>
        </w:rPr>
        <w:t>缩减</w:t>
      </w:r>
      <w:r>
        <w:rPr>
          <w:sz w:val="24"/>
          <w:szCs w:val="24"/>
          <w:lang w:eastAsia="zh-CN"/>
        </w:rPr>
        <w:t>后的适应症）的获益结果，或者证据不支持无法达到拟定适应症的结果和有关修改后适应症的协议或者不适用，则无法批准或授予申请。</w:t>
      </w:r>
      <w:r>
        <w:rPr>
          <w:lang w:eastAsia="zh-CN"/>
        </w:rPr>
        <w:br w:type="page"/>
      </w:r>
    </w:p>
    <w:p w14:paraId="6AE19C86">
      <w:pPr>
        <w:snapToGrid w:val="0"/>
        <w:spacing w:before="120" w:beforeLines="50" w:line="400" w:lineRule="exact"/>
        <w:jc w:val="both"/>
        <w:rPr>
          <w:sz w:val="24"/>
          <w:szCs w:val="24"/>
          <w:lang w:eastAsia="zh-CN"/>
        </w:rPr>
      </w:pPr>
      <w:bookmarkStart w:id="79" w:name="bookmark61"/>
      <w:r>
        <w:rPr>
          <w:b/>
          <w:bCs/>
          <w:sz w:val="24"/>
          <w:szCs w:val="24"/>
          <w:lang w:eastAsia="zh-CN"/>
        </w:rPr>
        <w:t>获益评估</w:t>
      </w:r>
      <w:bookmarkEnd w:id="79"/>
    </w:p>
    <w:p w14:paraId="6AE19C87">
      <w:pPr>
        <w:pStyle w:val="22"/>
        <w:spacing w:before="120" w:line="400" w:lineRule="exact"/>
      </w:pPr>
      <w:bookmarkStart w:id="80" w:name="bookmark62"/>
      <w:r>
        <w:t>1.</w:t>
      </w:r>
      <w:r>
        <w:tab/>
      </w:r>
      <w:r>
        <w:t>是否有任何临床获益的证据？</w:t>
      </w:r>
      <w:bookmarkEnd w:id="80"/>
    </w:p>
    <w:p w14:paraId="6AE19C88">
      <w:pPr>
        <w:pStyle w:val="21"/>
        <w:spacing w:before="120" w:line="400" w:lineRule="exact"/>
        <w:rPr>
          <w:sz w:val="24"/>
          <w:szCs w:val="24"/>
          <w:lang w:eastAsia="zh-CN"/>
        </w:rPr>
      </w:pPr>
      <w:r>
        <w:rPr>
          <w:sz w:val="24"/>
          <w:szCs w:val="24"/>
          <w:lang w:eastAsia="zh-CN"/>
        </w:rPr>
        <w:t>是否证明器械的该适应症具有临床获益（例如根据任何一个或更多主要和/或次要数据集或相关真实世界证据）？可以在患者感觉、功能、生存或可接受的替代结局方面对获益进行考虑。可以使用经确认的工具（例如生活质量问卷）收集该信息。也可以在管理或诊断疾病或状况的便利性方面对获益进行考虑。应根据数据的评估、结果是否具有统计学意义来对获益进行考虑。</w:t>
      </w:r>
      <w:r>
        <w:rPr>
          <w:i/>
          <w:iCs/>
          <w:sz w:val="24"/>
          <w:szCs w:val="24"/>
          <w:lang w:eastAsia="zh-CN"/>
        </w:rPr>
        <w:t>选择以下其中任何一</w:t>
      </w:r>
      <w:r>
        <w:rPr>
          <w:rFonts w:hint="eastAsia"/>
          <w:i/>
          <w:iCs/>
          <w:sz w:val="24"/>
          <w:szCs w:val="24"/>
          <w:lang w:eastAsia="zh-CN"/>
        </w:rPr>
        <w:t>项</w:t>
      </w:r>
      <w:r>
        <w:rPr>
          <w:i/>
          <w:iCs/>
          <w:sz w:val="24"/>
          <w:szCs w:val="24"/>
          <w:lang w:eastAsia="zh-CN"/>
        </w:rPr>
        <w:t>证明获益的项目，然后回答以下方框中的问题。</w:t>
      </w:r>
    </w:p>
    <w:p w14:paraId="6AE19C89">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至少1次临床评估的有利变化等于或高于对照组</w:t>
      </w:r>
    </w:p>
    <w:p w14:paraId="6AE19C8A">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至少1次临床评估的有利变化符合预定的性能目标</w:t>
      </w:r>
    </w:p>
    <w:p w14:paraId="6AE19C8B">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至少1次临床评估的有利变化符合或超过最低的重要临床差异</w:t>
      </w:r>
    </w:p>
    <w:p w14:paraId="6AE19C8C">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至少1次临床评估的有利变化等于或高于疾病或状况的其他可用方式的变化</w:t>
      </w:r>
    </w:p>
    <w:p w14:paraId="6AE19C8D">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考虑到状况的严重度、慢性性质等，再加上患者报告的结局和健康相关生活质量，至少1次临床评估的有利变化对患者有意义</w:t>
      </w:r>
    </w:p>
    <w:p w14:paraId="6AE19C8E">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非临床数据或建模的有利变化可以预测临床结局</w:t>
      </w:r>
    </w:p>
    <w:p w14:paraId="6AE19C8F">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有利的临床性能特征（例如敏感性/PPA、</w:t>
      </w:r>
      <w:r>
        <w:fldChar w:fldCharType="begin"/>
      </w:r>
      <w:r>
        <w:instrText xml:space="preserve"> HYPERLINK \l "bookmark63" \o "Current Document" \h </w:instrText>
      </w:r>
      <w:r>
        <w:fldChar w:fldCharType="separate"/>
      </w:r>
      <w:r>
        <w:rPr>
          <w:sz w:val="24"/>
          <w:szCs w:val="24"/>
          <w:vertAlign w:val="superscript"/>
          <w:lang w:eastAsia="zh-CN"/>
        </w:rPr>
        <w:t>25</w:t>
      </w:r>
      <w:r>
        <w:rPr>
          <w:sz w:val="24"/>
          <w:szCs w:val="24"/>
          <w:vertAlign w:val="superscript"/>
          <w:lang w:eastAsia="zh-CN"/>
        </w:rPr>
        <w:fldChar w:fldCharType="end"/>
      </w:r>
      <w:r>
        <w:rPr>
          <w:sz w:val="24"/>
          <w:szCs w:val="24"/>
          <w:lang w:eastAsia="zh-CN"/>
        </w:rPr>
        <w:t>特异性/NPA</w:t>
      </w:r>
      <w:r>
        <w:fldChar w:fldCharType="begin"/>
      </w:r>
      <w:r>
        <w:instrText xml:space="preserve"> HYPERLINK \l "bookmark64" \o "当前文件" \h </w:instrText>
      </w:r>
      <w:r>
        <w:fldChar w:fldCharType="separate"/>
      </w:r>
      <w:r>
        <w:rPr>
          <w:sz w:val="24"/>
          <w:szCs w:val="24"/>
          <w:vertAlign w:val="superscript"/>
          <w:lang w:eastAsia="zh-CN"/>
        </w:rPr>
        <w:t>26</w:t>
      </w:r>
      <w:r>
        <w:rPr>
          <w:sz w:val="24"/>
          <w:szCs w:val="24"/>
          <w:vertAlign w:val="superscript"/>
          <w:lang w:eastAsia="zh-CN"/>
        </w:rPr>
        <w:fldChar w:fldCharType="end"/>
      </w:r>
      <w:r>
        <w:rPr>
          <w:sz w:val="24"/>
          <w:szCs w:val="24"/>
          <w:lang w:eastAsia="zh-CN"/>
        </w:rPr>
        <w:t>等），可用于筛查、诊断、预后、监测或治疗选择</w:t>
      </w:r>
    </w:p>
    <w:p w14:paraId="6AE19C90">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器械的分析确认显示性能特征可以接受</w:t>
      </w:r>
    </w:p>
    <w:p w14:paraId="6AE19C91">
      <w:pPr>
        <w:pStyle w:val="23"/>
        <w:spacing w:before="120" w:line="400" w:lineRule="exact"/>
        <w:ind w:left="1740" w:hanging="480"/>
        <w:rPr>
          <w:sz w:val="24"/>
          <w:szCs w:val="24"/>
        </w:rPr>
      </w:pPr>
      <w:r>
        <w:rPr>
          <w:sz w:val="24"/>
          <w:szCs w:val="24"/>
          <w:lang w:eastAsia="zh-CN"/>
        </w:rPr>
        <w:t>□</w:t>
      </w:r>
      <w:r>
        <w:rPr>
          <w:sz w:val="24"/>
          <w:szCs w:val="24"/>
          <w:lang w:eastAsia="zh-CN"/>
        </w:rPr>
        <w:tab/>
      </w:r>
      <w:r>
        <w:rPr>
          <w:sz w:val="24"/>
          <w:szCs w:val="24"/>
          <w:lang w:eastAsia="zh-CN"/>
        </w:rPr>
        <w:t>其他：</w:t>
      </w:r>
    </w:p>
    <w:p w14:paraId="6AE19C92">
      <w:pPr>
        <w:pStyle w:val="23"/>
        <w:spacing w:before="120" w:line="400" w:lineRule="exact"/>
        <w:ind w:left="1740" w:hanging="480"/>
        <w:rPr>
          <w:sz w:val="24"/>
          <w:szCs w:val="24"/>
        </w:rPr>
      </w:pPr>
      <w:r>
        <w:rPr>
          <w:sz w:val="24"/>
          <w:szCs w:val="24"/>
          <w:lang w:eastAsia="zh-CN"/>
        </w:rPr>
        <w:t>□</w:t>
      </w:r>
      <w:r>
        <w:rPr>
          <w:sz w:val="24"/>
          <w:szCs w:val="24"/>
          <w:lang w:eastAsia="zh-CN"/>
        </w:rPr>
        <w:tab/>
      </w:r>
      <w:r>
        <w:rPr>
          <w:sz w:val="24"/>
          <w:szCs w:val="24"/>
          <w:lang w:eastAsia="zh-CN"/>
        </w:rPr>
        <w:t>无</w:t>
      </w:r>
    </w:p>
    <w:p w14:paraId="6AE19C93">
      <w:pPr>
        <w:pStyle w:val="23"/>
        <w:spacing w:before="120"/>
      </w:pPr>
    </w:p>
    <w:tbl>
      <w:tblPr>
        <w:tblStyle w:val="8"/>
        <w:tblW w:w="4738" w:type="pct"/>
        <w:tblInd w:w="483"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8704"/>
      </w:tblGrid>
      <w:tr w14:paraId="6AE19C97">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090" w:hRule="atLeast"/>
        </w:trPr>
        <w:tc>
          <w:tcPr>
            <w:tcW w:w="5000" w:type="pct"/>
            <w:shd w:val="clear" w:color="auto" w:fill="FFFFFF"/>
            <w:vAlign w:val="center"/>
          </w:tcPr>
          <w:p w14:paraId="6AE19C94">
            <w:pPr>
              <w:snapToGrid w:val="0"/>
              <w:spacing w:before="120" w:beforeLines="50"/>
              <w:jc w:val="both"/>
              <w:rPr>
                <w:lang w:eastAsia="zh-CN"/>
              </w:rPr>
            </w:pPr>
            <w:r>
              <w:rPr>
                <w:b/>
                <w:bCs/>
                <w:lang w:eastAsia="zh-CN"/>
              </w:rPr>
              <w:t>Q1：是否存在具有临床获益的证据？</w:t>
            </w:r>
          </w:p>
          <w:p w14:paraId="6AE19C95">
            <w:pPr>
              <w:tabs>
                <w:tab w:val="left" w:pos="221"/>
              </w:tabs>
              <w:snapToGrid w:val="0"/>
              <w:spacing w:before="120" w:beforeLines="50"/>
              <w:jc w:val="both"/>
              <w:rPr>
                <w:lang w:eastAsia="zh-CN"/>
              </w:rPr>
            </w:pPr>
            <w:r>
              <w:rPr>
                <w:lang w:eastAsia="zh-CN"/>
              </w:rPr>
              <w:t>□ 是</w:t>
            </w:r>
            <w:r>
              <w:rPr>
                <w:lang w:eastAsia="zh-CN"/>
              </w:rPr>
              <w:sym w:font="Wingdings" w:char="F0E8"/>
            </w:r>
            <w:r>
              <w:rPr>
                <w:lang w:eastAsia="zh-CN"/>
              </w:rPr>
              <w:t>继续问题2</w:t>
            </w:r>
          </w:p>
          <w:p w14:paraId="6AE19C96">
            <w:pPr>
              <w:tabs>
                <w:tab w:val="left" w:pos="221"/>
              </w:tabs>
              <w:snapToGrid w:val="0"/>
              <w:spacing w:before="120" w:beforeLines="50"/>
              <w:jc w:val="both"/>
              <w:rPr>
                <w:lang w:eastAsia="zh-CN"/>
              </w:rPr>
            </w:pPr>
            <w:r>
              <w:rPr>
                <w:lang w:eastAsia="zh-CN"/>
              </w:rPr>
              <w:t>□ 否</w:t>
            </w:r>
            <w:r>
              <w:rPr>
                <w:lang w:eastAsia="zh-CN"/>
              </w:rPr>
              <w:sym w:font="Wingdings" w:char="F0E8"/>
            </w:r>
            <w:r>
              <w:rPr>
                <w:lang w:eastAsia="zh-CN"/>
              </w:rPr>
              <w:t>转至问题9</w:t>
            </w:r>
          </w:p>
        </w:tc>
      </w:tr>
    </w:tbl>
    <w:p w14:paraId="6AE19C98">
      <w:pPr>
        <w:tabs>
          <w:tab w:val="left" w:pos="315"/>
        </w:tabs>
        <w:snapToGrid w:val="0"/>
        <w:spacing w:before="120" w:beforeLines="50"/>
        <w:jc w:val="both"/>
        <w:rPr>
          <w:b/>
          <w:bCs/>
          <w:lang w:eastAsia="zh-CN"/>
        </w:rPr>
      </w:pPr>
      <w:bookmarkStart w:id="81" w:name="bookmark63"/>
      <w:bookmarkStart w:id="82" w:name="bookmark64"/>
    </w:p>
    <w:p w14:paraId="6AE19C99">
      <w:pPr>
        <w:tabs>
          <w:tab w:val="left" w:pos="315"/>
        </w:tabs>
        <w:snapToGrid w:val="0"/>
        <w:spacing w:before="120" w:beforeLines="50"/>
        <w:jc w:val="both"/>
        <w:rPr>
          <w:b/>
          <w:bCs/>
          <w:lang w:eastAsia="zh-CN"/>
        </w:rPr>
      </w:pPr>
    </w:p>
    <w:p w14:paraId="6AE19C9A">
      <w:pPr>
        <w:tabs>
          <w:tab w:val="left" w:pos="315"/>
        </w:tabs>
        <w:snapToGrid w:val="0"/>
        <w:spacing w:before="120" w:beforeLines="50"/>
        <w:jc w:val="both"/>
        <w:rPr>
          <w:b/>
          <w:bCs/>
          <w:lang w:eastAsia="zh-CN"/>
        </w:rPr>
      </w:pPr>
    </w:p>
    <w:p w14:paraId="6AE19C9B">
      <w:pPr>
        <w:tabs>
          <w:tab w:val="left" w:pos="315"/>
        </w:tabs>
        <w:snapToGrid w:val="0"/>
        <w:spacing w:before="120" w:beforeLines="50"/>
        <w:jc w:val="both"/>
        <w:rPr>
          <w:b/>
          <w:bCs/>
          <w:lang w:eastAsia="zh-CN"/>
        </w:rPr>
      </w:pPr>
    </w:p>
    <w:p w14:paraId="6AE19C9C">
      <w:pPr>
        <w:snapToGrid w:val="0"/>
        <w:spacing w:before="120" w:beforeLines="50"/>
        <w:jc w:val="both"/>
        <w:rPr>
          <w:sz w:val="18"/>
          <w:szCs w:val="18"/>
          <w:lang w:eastAsia="zh-CN"/>
        </w:rPr>
      </w:pPr>
      <w:r>
        <w:rPr>
          <w:sz w:val="18"/>
          <w:szCs w:val="18"/>
          <w:lang w:eastAsia="zh-CN"/>
        </w:rPr>
        <w:t>_______________________</w:t>
      </w:r>
    </w:p>
    <w:p w14:paraId="6AE19C9D">
      <w:pPr>
        <w:tabs>
          <w:tab w:val="left" w:pos="315"/>
        </w:tabs>
        <w:snapToGrid w:val="0"/>
        <w:spacing w:before="120" w:beforeLines="50"/>
        <w:jc w:val="both"/>
        <w:rPr>
          <w:sz w:val="18"/>
          <w:szCs w:val="18"/>
          <w:lang w:eastAsia="zh-CN"/>
        </w:rPr>
      </w:pPr>
      <w:r>
        <w:rPr>
          <w:sz w:val="18"/>
          <w:szCs w:val="18"/>
          <w:vertAlign w:val="superscript"/>
          <w:lang w:eastAsia="zh-CN"/>
        </w:rPr>
        <w:t>25</w:t>
      </w:r>
      <w:r>
        <w:rPr>
          <w:sz w:val="18"/>
          <w:szCs w:val="18"/>
          <w:lang w:eastAsia="zh-CN"/>
        </w:rPr>
        <w:tab/>
      </w:r>
      <w:r>
        <w:rPr>
          <w:sz w:val="18"/>
          <w:szCs w:val="18"/>
          <w:lang w:eastAsia="zh-CN"/>
        </w:rPr>
        <w:t>PPA：阳性一致性</w:t>
      </w:r>
      <w:bookmarkEnd w:id="81"/>
      <w:bookmarkEnd w:id="82"/>
    </w:p>
    <w:p w14:paraId="6AE19C9E">
      <w:pPr>
        <w:tabs>
          <w:tab w:val="left" w:pos="320"/>
        </w:tabs>
        <w:snapToGrid w:val="0"/>
        <w:spacing w:before="120" w:beforeLines="50"/>
        <w:jc w:val="both"/>
        <w:rPr>
          <w:lang w:eastAsia="zh-CN"/>
        </w:rPr>
      </w:pPr>
      <w:r>
        <w:rPr>
          <w:sz w:val="18"/>
          <w:szCs w:val="18"/>
          <w:vertAlign w:val="superscript"/>
          <w:lang w:eastAsia="zh-CN"/>
        </w:rPr>
        <w:t>26</w:t>
      </w:r>
      <w:r>
        <w:rPr>
          <w:sz w:val="18"/>
          <w:szCs w:val="18"/>
          <w:lang w:eastAsia="zh-CN"/>
        </w:rPr>
        <w:tab/>
      </w:r>
      <w:r>
        <w:rPr>
          <w:sz w:val="18"/>
          <w:szCs w:val="18"/>
          <w:lang w:eastAsia="zh-CN"/>
        </w:rPr>
        <w:t>NPA：阴性一致性</w:t>
      </w:r>
      <w:r>
        <w:rPr>
          <w:lang w:eastAsia="zh-CN"/>
        </w:rPr>
        <w:br w:type="page"/>
      </w:r>
    </w:p>
    <w:p w14:paraId="6AE19C9F">
      <w:pPr>
        <w:pStyle w:val="22"/>
        <w:spacing w:before="120" w:line="400" w:lineRule="exact"/>
      </w:pPr>
      <w:bookmarkStart w:id="83" w:name="bookmark65"/>
      <w:r>
        <w:t>2.</w:t>
      </w:r>
      <w:r>
        <w:tab/>
      </w:r>
      <w:r>
        <w:t>获益的不确定性如何？</w:t>
      </w:r>
      <w:bookmarkEnd w:id="83"/>
    </w:p>
    <w:p w14:paraId="6AE19CA0">
      <w:pPr>
        <w:pStyle w:val="21"/>
        <w:spacing w:before="120" w:line="400" w:lineRule="exact"/>
        <w:rPr>
          <w:sz w:val="24"/>
          <w:szCs w:val="24"/>
          <w:lang w:eastAsia="zh-CN"/>
        </w:rPr>
      </w:pPr>
      <w:r>
        <w:rPr>
          <w:sz w:val="24"/>
          <w:szCs w:val="24"/>
          <w:lang w:eastAsia="zh-CN"/>
        </w:rPr>
        <w:t>认识到始终存在一定程度的不确定性，请在影响临床效益评价的数据中选择不确定性来源（如适用）。考虑与临床和/或分析性能特征有关的不确定性来源（如敏感性、</w:t>
      </w:r>
      <w:r>
        <w:rPr>
          <w:rFonts w:hint="eastAsia"/>
          <w:sz w:val="24"/>
          <w:szCs w:val="24"/>
          <w:lang w:eastAsia="zh-CN"/>
        </w:rPr>
        <w:t>特异性</w:t>
      </w:r>
      <w:r>
        <w:rPr>
          <w:sz w:val="24"/>
          <w:szCs w:val="24"/>
          <w:lang w:eastAsia="zh-CN"/>
        </w:rPr>
        <w:t>、准确度、精密度、重复性、适用性）。</w:t>
      </w:r>
      <w:r>
        <w:rPr>
          <w:i/>
          <w:iCs/>
          <w:sz w:val="24"/>
          <w:szCs w:val="24"/>
          <w:lang w:eastAsia="zh-CN"/>
        </w:rPr>
        <w:t>选择以下其中任何一项证明获益不确定性来源的项目，然后回答以下方框中的问题。</w:t>
      </w:r>
    </w:p>
    <w:p w14:paraId="6AE19CA1">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研究间的结果不一致或存在冲突</w:t>
      </w:r>
    </w:p>
    <w:p w14:paraId="6AE19CA2">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点估计和/或比值比周围的置信区间较宽</w:t>
      </w:r>
    </w:p>
    <w:p w14:paraId="6AE19CA3">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研究的统计效力不足且结局指标无统计学意义</w:t>
      </w:r>
    </w:p>
    <w:p w14:paraId="6AE19CA4">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关键评估时间点的受试者或样本失访率较高</w:t>
      </w:r>
    </w:p>
    <w:p w14:paraId="6AE19CA5">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关键评估时间点+/-计算存在大量缺失数据</w:t>
      </w:r>
    </w:p>
    <w:p w14:paraId="6AE19CA6">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发生大量的重大方案偏离</w:t>
      </w:r>
    </w:p>
    <w:p w14:paraId="6AE19CA7">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混淆干预或生理因素的影响</w:t>
      </w:r>
    </w:p>
    <w:p w14:paraId="6AE19CA8">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用户经验不一致或用户经验不代表可能的真实世界用户</w:t>
      </w:r>
    </w:p>
    <w:p w14:paraId="6AE19CA9">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非临床数据、预先选择的增强数据或计算机建模和临床性能之间的关系不明确</w:t>
      </w:r>
    </w:p>
    <w:p w14:paraId="6AE19CAA">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未证明替代终点与临床结局相关</w:t>
      </w:r>
    </w:p>
    <w:p w14:paraId="6AE19CAB">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对于拟定分析的目的，真实世界证据（RWE）无关或不可靠</w:t>
      </w:r>
    </w:p>
    <w:p w14:paraId="6AE19CAC">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检查结果</w:t>
      </w:r>
    </w:p>
    <w:p w14:paraId="6AE19CAD">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研究设计或结果导致对适用人群或特定临床子人群无普遍性。</w:t>
      </w:r>
    </w:p>
    <w:p w14:paraId="6AE19CAE">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诊断输出的生理范围或有临床意义的范围不详，或者拟定的临床截止值的普遍性不详</w:t>
      </w:r>
    </w:p>
    <w:p w14:paraId="6AE19CAF">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使用存在缺陷的比较法计算性能特征</w:t>
      </w:r>
    </w:p>
    <w:p w14:paraId="6AE19CB0">
      <w:pPr>
        <w:pStyle w:val="23"/>
        <w:spacing w:before="120" w:line="400" w:lineRule="exact"/>
        <w:ind w:left="1740" w:hanging="480"/>
        <w:rPr>
          <w:sz w:val="24"/>
          <w:szCs w:val="24"/>
        </w:rPr>
      </w:pPr>
      <w:r>
        <w:rPr>
          <w:sz w:val="24"/>
          <w:szCs w:val="24"/>
          <w:lang w:eastAsia="zh-CN"/>
        </w:rPr>
        <w:t>□</w:t>
      </w:r>
      <w:r>
        <w:rPr>
          <w:sz w:val="24"/>
          <w:szCs w:val="24"/>
          <w:lang w:eastAsia="zh-CN"/>
        </w:rPr>
        <w:tab/>
      </w:r>
      <w:r>
        <w:rPr>
          <w:sz w:val="24"/>
          <w:szCs w:val="24"/>
          <w:lang w:eastAsia="zh-CN"/>
        </w:rPr>
        <w:t>其他：</w:t>
      </w:r>
    </w:p>
    <w:p w14:paraId="6AE19CB1">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无</w:t>
      </w:r>
    </w:p>
    <w:tbl>
      <w:tblPr>
        <w:tblStyle w:val="8"/>
        <w:tblW w:w="4737" w:type="pct"/>
        <w:tblInd w:w="483"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8702"/>
      </w:tblGrid>
      <w:tr w14:paraId="6AE19CB6">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382" w:hRule="atLeast"/>
        </w:trPr>
        <w:tc>
          <w:tcPr>
            <w:tcW w:w="5000" w:type="pct"/>
            <w:shd w:val="clear" w:color="auto" w:fill="FFFFFF"/>
            <w:vAlign w:val="center"/>
          </w:tcPr>
          <w:p w14:paraId="6AE19CB2">
            <w:pPr>
              <w:snapToGrid w:val="0"/>
              <w:spacing w:before="120" w:beforeLines="50"/>
              <w:jc w:val="both"/>
              <w:rPr>
                <w:lang w:eastAsia="zh-CN"/>
              </w:rPr>
            </w:pPr>
            <w:r>
              <w:rPr>
                <w:b/>
                <w:bCs/>
                <w:lang w:eastAsia="zh-CN"/>
              </w:rPr>
              <w:t>Q2：获益的不确定性如何？</w:t>
            </w:r>
          </w:p>
          <w:p w14:paraId="6AE19CB3">
            <w:pPr>
              <w:tabs>
                <w:tab w:val="left" w:pos="230"/>
              </w:tabs>
              <w:snapToGrid w:val="0"/>
              <w:spacing w:before="120" w:beforeLines="50"/>
              <w:jc w:val="both"/>
              <w:rPr>
                <w:lang w:eastAsia="zh-CN"/>
              </w:rPr>
            </w:pPr>
            <w:r>
              <w:rPr>
                <w:lang w:eastAsia="zh-CN"/>
              </w:rPr>
              <w:t>□ 低</w:t>
            </w:r>
            <w:r>
              <w:rPr>
                <w:lang w:eastAsia="zh-CN"/>
              </w:rPr>
              <w:sym w:font="Wingdings" w:char="F0E8"/>
            </w:r>
            <w:r>
              <w:rPr>
                <w:lang w:eastAsia="zh-CN"/>
              </w:rPr>
              <w:t>继续问题3</w:t>
            </w:r>
          </w:p>
          <w:p w14:paraId="6AE19CB4">
            <w:pPr>
              <w:tabs>
                <w:tab w:val="left" w:pos="230"/>
              </w:tabs>
              <w:snapToGrid w:val="0"/>
              <w:spacing w:before="120" w:beforeLines="50"/>
              <w:jc w:val="both"/>
              <w:rPr>
                <w:lang w:eastAsia="zh-CN"/>
              </w:rPr>
            </w:pPr>
            <w:r>
              <w:rPr>
                <w:lang w:eastAsia="zh-CN"/>
              </w:rPr>
              <w:t>□ 中</w:t>
            </w:r>
            <w:r>
              <w:rPr>
                <w:lang w:eastAsia="zh-CN"/>
              </w:rPr>
              <w:sym w:font="Wingdings" w:char="F0E8"/>
            </w:r>
            <w:r>
              <w:rPr>
                <w:lang w:eastAsia="zh-CN"/>
              </w:rPr>
              <w:t>继续问题3</w:t>
            </w:r>
          </w:p>
          <w:p w14:paraId="6AE19CB5">
            <w:pPr>
              <w:tabs>
                <w:tab w:val="left" w:pos="226"/>
              </w:tabs>
              <w:snapToGrid w:val="0"/>
              <w:spacing w:before="120" w:beforeLines="50"/>
              <w:jc w:val="both"/>
            </w:pPr>
            <w:r>
              <w:rPr>
                <w:lang w:eastAsia="zh-CN"/>
              </w:rPr>
              <w:t>□ 高</w:t>
            </w:r>
            <w:r>
              <w:rPr>
                <w:lang w:eastAsia="zh-CN"/>
              </w:rPr>
              <w:sym w:font="Wingdings" w:char="F0E8"/>
            </w:r>
            <w:r>
              <w:rPr>
                <w:lang w:eastAsia="zh-CN"/>
              </w:rPr>
              <w:t>继续问题3</w:t>
            </w:r>
          </w:p>
        </w:tc>
      </w:tr>
    </w:tbl>
    <w:p w14:paraId="6AE19CB7">
      <w:pPr>
        <w:snapToGrid w:val="0"/>
        <w:spacing w:before="120" w:beforeLines="50"/>
        <w:jc w:val="both"/>
      </w:pPr>
      <w:r>
        <w:rPr>
          <w:lang w:eastAsia="zh-CN"/>
        </w:rPr>
        <w:br w:type="page"/>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4" w:hRule="atLeast"/>
        </w:trPr>
        <w:tc>
          <w:tcPr>
            <w:tcW w:w="5000" w:type="pct"/>
            <w:shd w:val="clear" w:color="auto" w:fill="FFFFFF"/>
            <w:vAlign w:val="center"/>
          </w:tcPr>
          <w:p w14:paraId="6AE19CB8">
            <w:pPr>
              <w:snapToGrid w:val="0"/>
              <w:spacing w:before="120" w:beforeLines="50"/>
              <w:jc w:val="both"/>
              <w:rPr>
                <w:b/>
                <w:bCs/>
                <w:u w:val="single"/>
                <w:lang w:eastAsia="zh-CN"/>
              </w:rPr>
            </w:pPr>
            <w:r>
              <w:rPr>
                <w:b/>
                <w:bCs/>
                <w:u w:val="single"/>
                <w:lang w:eastAsia="zh-CN"/>
              </w:rPr>
              <w:t>获益评估总结</w:t>
            </w:r>
          </w:p>
          <w:p w14:paraId="6AE19CB9">
            <w:pPr>
              <w:snapToGrid w:val="0"/>
              <w:spacing w:before="120" w:beforeLines="50"/>
              <w:jc w:val="both"/>
              <w:rPr>
                <w:lang w:eastAsia="zh-CN"/>
              </w:rPr>
            </w:pPr>
            <w:r>
              <w:rPr>
                <w:b/>
                <w:bCs/>
                <w:lang w:eastAsia="zh-CN"/>
              </w:rPr>
              <w:t>对于拟定适应症：</w:t>
            </w:r>
          </w:p>
          <w:p w14:paraId="6AE19CBA">
            <w:pPr>
              <w:snapToGrid w:val="0"/>
              <w:spacing w:before="120" w:beforeLines="50"/>
              <w:jc w:val="both"/>
              <w:rPr>
                <w:color w:val="808080" w:themeColor="background1" w:themeShade="80"/>
              </w:rPr>
            </w:pPr>
            <w:r>
              <w:rPr>
                <w:color w:val="808080" w:themeColor="background1" w:themeShade="80"/>
                <w:lang w:eastAsia="zh-CN"/>
              </w:rPr>
              <w:t>考虑到Q1和Q2的回答，输入拟定适应症的获益评估的总结。考虑到获益的类型、程度和概率以及起效时间，描述获益程度的评估。描述不确定性对获益评估的影响。如果未发现任何获益，简要解释原因。</w:t>
            </w:r>
          </w:p>
        </w:tc>
      </w:tr>
    </w:tbl>
    <w:p w14:paraId="6AE19CBC">
      <w:pPr>
        <w:snapToGrid w:val="0"/>
        <w:spacing w:before="120" w:beforeLines="50"/>
        <w:jc w:val="both"/>
        <w:rPr>
          <w:sz w:val="24"/>
          <w:szCs w:val="24"/>
        </w:rPr>
      </w:pPr>
      <w:bookmarkStart w:id="84" w:name="bookmark66"/>
      <w:r>
        <w:rPr>
          <w:b/>
          <w:bCs/>
          <w:sz w:val="24"/>
          <w:szCs w:val="24"/>
          <w:lang w:eastAsia="zh-CN"/>
        </w:rPr>
        <w:t>风险评估</w:t>
      </w:r>
      <w:bookmarkEnd w:id="84"/>
    </w:p>
    <w:p w14:paraId="6AE19CBD">
      <w:pPr>
        <w:pStyle w:val="22"/>
        <w:spacing w:before="120"/>
      </w:pPr>
      <w:bookmarkStart w:id="85" w:name="bookmark67"/>
      <w:r>
        <w:t>3.</w:t>
      </w:r>
      <w:r>
        <w:tab/>
      </w:r>
      <w:r>
        <w:t>已知/可能的风险是否超过最小值？</w:t>
      </w:r>
      <w:bookmarkEnd w:id="85"/>
    </w:p>
    <w:p w14:paraId="6AE19CBE">
      <w:pPr>
        <w:pStyle w:val="21"/>
        <w:spacing w:before="120"/>
        <w:rPr>
          <w:i/>
          <w:iCs/>
          <w:sz w:val="24"/>
          <w:szCs w:val="24"/>
          <w:lang w:eastAsia="zh-CN"/>
        </w:rPr>
      </w:pPr>
      <w:r>
        <w:rPr>
          <w:i/>
          <w:iCs/>
          <w:sz w:val="24"/>
          <w:szCs w:val="24"/>
          <w:lang w:eastAsia="zh-CN"/>
        </w:rPr>
        <w:t>选择以下任何要素证明比最低更高的已知/可能的风险的来源，然后回答以下方框中的问题。</w:t>
      </w:r>
    </w:p>
    <w:p w14:paraId="6AE19CBF">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与器械本身相关的不良事件（AE）或结局</w:t>
      </w:r>
    </w:p>
    <w:p w14:paraId="6AE19CC0">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与使用器械或使用器械的手术相关的AE或结局</w:t>
      </w:r>
    </w:p>
    <w:p w14:paraId="6AE19CC1">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与为使用器械而进行麻醉或镇静相关的AE或结局</w:t>
      </w:r>
    </w:p>
    <w:p w14:paraId="6AE19CC2">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后续所需的试验/治疗引起的AE或结局（例如CT扫描引起的辐射）</w:t>
      </w:r>
    </w:p>
    <w:p w14:paraId="6AE19CC3">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研究/数据中缺乏的、但可能基于</w:t>
      </w:r>
      <w:r>
        <w:rPr>
          <w:rFonts w:ascii="宋体" w:hAnsi="宋体"/>
          <w:sz w:val="24"/>
          <w:szCs w:val="24"/>
          <w:lang w:eastAsia="zh-CN"/>
        </w:rPr>
        <w:t>“</w:t>
      </w:r>
      <w:r>
        <w:rPr>
          <w:sz w:val="24"/>
          <w:szCs w:val="24"/>
          <w:lang w:eastAsia="zh-CN"/>
        </w:rPr>
        <w:t>类效应</w:t>
      </w:r>
      <w:r>
        <w:rPr>
          <w:rFonts w:ascii="宋体" w:hAnsi="宋体"/>
          <w:sz w:val="24"/>
          <w:szCs w:val="24"/>
          <w:lang w:eastAsia="zh-CN"/>
        </w:rPr>
        <w:t>”</w:t>
      </w:r>
      <w:r>
        <w:rPr>
          <w:sz w:val="24"/>
          <w:szCs w:val="24"/>
          <w:lang w:eastAsia="zh-CN"/>
        </w:rPr>
        <w:t>或类似技术已知会发生的事件的AE或结局</w:t>
      </w:r>
    </w:p>
    <w:p w14:paraId="6AE19CC4">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假阳性/假阴性/未提供诊断结果</w:t>
      </w:r>
    </w:p>
    <w:p w14:paraId="6AE19CC5">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预期用作独立方式而非辅助手段的治疗或诊断</w:t>
      </w:r>
    </w:p>
    <w:p w14:paraId="6AE19CC6">
      <w:pPr>
        <w:pStyle w:val="24"/>
        <w:spacing w:before="120"/>
        <w:ind w:left="1332" w:hanging="482"/>
        <w:rPr>
          <w:sz w:val="24"/>
          <w:szCs w:val="24"/>
        </w:rPr>
      </w:pPr>
      <w:r>
        <w:rPr>
          <w:sz w:val="24"/>
          <w:szCs w:val="24"/>
          <w:lang w:eastAsia="zh-CN"/>
        </w:rPr>
        <w:t>□</w:t>
      </w:r>
      <w:r>
        <w:rPr>
          <w:sz w:val="24"/>
          <w:szCs w:val="24"/>
          <w:lang w:eastAsia="zh-CN"/>
        </w:rPr>
        <w:tab/>
      </w:r>
      <w:r>
        <w:rPr>
          <w:sz w:val="24"/>
          <w:szCs w:val="24"/>
          <w:lang w:eastAsia="zh-CN"/>
        </w:rPr>
        <w:t>其他：</w:t>
      </w:r>
    </w:p>
    <w:p w14:paraId="6AE19CC7">
      <w:pPr>
        <w:pStyle w:val="24"/>
        <w:spacing w:before="120"/>
        <w:ind w:left="1332" w:hanging="482"/>
        <w:rPr>
          <w:sz w:val="24"/>
          <w:szCs w:val="24"/>
        </w:rPr>
      </w:pPr>
      <w:r>
        <w:rPr>
          <w:sz w:val="24"/>
          <w:szCs w:val="24"/>
          <w:lang w:eastAsia="zh-CN"/>
        </w:rPr>
        <w:t>□</w:t>
      </w:r>
      <w:r>
        <w:rPr>
          <w:sz w:val="24"/>
          <w:szCs w:val="24"/>
          <w:lang w:eastAsia="zh-CN"/>
        </w:rPr>
        <w:tab/>
      </w:r>
      <w:r>
        <w:rPr>
          <w:sz w:val="24"/>
          <w:szCs w:val="24"/>
          <w:lang w:eastAsia="zh-CN"/>
        </w:rPr>
        <w:t>无</w:t>
      </w:r>
    </w:p>
    <w:p w14:paraId="6AE19CC8">
      <w:pPr>
        <w:pStyle w:val="24"/>
        <w:spacing w:before="120"/>
      </w:pPr>
    </w:p>
    <w:tbl>
      <w:tblPr>
        <w:tblStyle w:val="8"/>
        <w:tblW w:w="2855" w:type="pct"/>
        <w:tblInd w:w="9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5245"/>
      </w:tblGrid>
      <w:tr w14:paraId="6AE19CCC">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085" w:hRule="atLeast"/>
        </w:trPr>
        <w:tc>
          <w:tcPr>
            <w:tcW w:w="5000" w:type="pct"/>
            <w:shd w:val="clear" w:color="auto" w:fill="FFFFFF"/>
            <w:vAlign w:val="center"/>
          </w:tcPr>
          <w:p w14:paraId="6AE19CC9">
            <w:pPr>
              <w:snapToGrid w:val="0"/>
              <w:spacing w:before="120" w:beforeLines="50"/>
              <w:jc w:val="both"/>
              <w:rPr>
                <w:lang w:eastAsia="zh-CN"/>
              </w:rPr>
            </w:pPr>
            <w:r>
              <w:rPr>
                <w:b/>
                <w:bCs/>
                <w:lang w:eastAsia="zh-CN"/>
              </w:rPr>
              <w:t>Q3：已知/可能风险是否超过最小值？</w:t>
            </w:r>
          </w:p>
          <w:p w14:paraId="6AE19CCA">
            <w:pPr>
              <w:tabs>
                <w:tab w:val="left" w:pos="278"/>
              </w:tabs>
              <w:snapToGrid w:val="0"/>
              <w:spacing w:before="120" w:beforeLines="50"/>
              <w:jc w:val="both"/>
              <w:rPr>
                <w:lang w:eastAsia="zh-CN"/>
              </w:rPr>
            </w:pPr>
            <w:r>
              <w:rPr>
                <w:lang w:eastAsia="zh-CN"/>
              </w:rPr>
              <w:t>□ 是</w:t>
            </w:r>
            <w:r>
              <w:rPr>
                <w:lang w:eastAsia="zh-CN"/>
              </w:rPr>
              <w:sym w:font="Wingdings" w:char="F0E8"/>
            </w:r>
            <w:r>
              <w:rPr>
                <w:lang w:eastAsia="zh-CN"/>
              </w:rPr>
              <w:t>继续问题4</w:t>
            </w:r>
          </w:p>
          <w:p w14:paraId="6AE19CCB">
            <w:pPr>
              <w:tabs>
                <w:tab w:val="left" w:pos="278"/>
              </w:tabs>
              <w:snapToGrid w:val="0"/>
              <w:spacing w:before="120" w:beforeLines="50"/>
              <w:jc w:val="both"/>
              <w:rPr>
                <w:lang w:eastAsia="zh-CN"/>
              </w:rPr>
            </w:pPr>
            <w:r>
              <w:rPr>
                <w:lang w:eastAsia="zh-CN"/>
              </w:rPr>
              <w:t>□ 否</w:t>
            </w:r>
            <w:r>
              <w:rPr>
                <w:lang w:eastAsia="zh-CN"/>
              </w:rPr>
              <w:sym w:font="Wingdings" w:char="F0E8"/>
            </w:r>
            <w:r>
              <w:rPr>
                <w:lang w:eastAsia="zh-CN"/>
              </w:rPr>
              <w:t>继续问题4</w:t>
            </w:r>
          </w:p>
        </w:tc>
      </w:tr>
    </w:tbl>
    <w:p w14:paraId="6AE19CCD">
      <w:pPr>
        <w:pStyle w:val="22"/>
        <w:spacing w:before="120"/>
      </w:pPr>
      <w:bookmarkStart w:id="86" w:name="bookmark68"/>
    </w:p>
    <w:p w14:paraId="6AE19CCE">
      <w:pPr>
        <w:pStyle w:val="22"/>
        <w:spacing w:before="120"/>
      </w:pPr>
      <w:r>
        <w:t>4.</w:t>
      </w:r>
      <w:r>
        <w:tab/>
      </w:r>
      <w:r>
        <w:t>风险的不确定性如何？</w:t>
      </w:r>
      <w:bookmarkEnd w:id="86"/>
    </w:p>
    <w:p w14:paraId="6AE19CCF">
      <w:pPr>
        <w:pStyle w:val="21"/>
        <w:spacing w:before="120"/>
        <w:rPr>
          <w:i/>
          <w:iCs/>
          <w:sz w:val="24"/>
          <w:szCs w:val="24"/>
          <w:lang w:eastAsia="zh-CN"/>
        </w:rPr>
      </w:pPr>
      <w:r>
        <w:rPr>
          <w:sz w:val="24"/>
          <w:szCs w:val="24"/>
          <w:lang w:eastAsia="zh-CN"/>
        </w:rPr>
        <w:t>认识到始终存在一定程度的不确定性，在有关不良事件/结果或风险的数据中选择不确定性的来源（如适用）。</w:t>
      </w:r>
      <w:r>
        <w:rPr>
          <w:i/>
          <w:iCs/>
          <w:sz w:val="24"/>
          <w:szCs w:val="24"/>
          <w:lang w:eastAsia="zh-CN"/>
        </w:rPr>
        <w:t>选择以下其中任何一项证明风险不确定性来源的项目，然后回答以下方框中的问题。</w:t>
      </w:r>
    </w:p>
    <w:p w14:paraId="6AE19CD0">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患者人数不足以检测严重事件或假阳性/假阴性</w:t>
      </w:r>
    </w:p>
    <w:p w14:paraId="6AE19CD1">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随访时间不足以检测延迟/晚期事件</w:t>
      </w:r>
    </w:p>
    <w:p w14:paraId="6AE19CD2">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缺乏重复暴露于器械/使用器械的数据</w:t>
      </w:r>
    </w:p>
    <w:p w14:paraId="6AE19CD3">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研究间的结果不一致或存在冲突</w:t>
      </w:r>
    </w:p>
    <w:p w14:paraId="6AE19CD4">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在研究方案中未进行适当的评价以充分检测某些AE</w:t>
      </w:r>
    </w:p>
    <w:p w14:paraId="6AE19CD5">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不良事件定义和文件记录不良或不一致</w:t>
      </w:r>
    </w:p>
    <w:p w14:paraId="6AE19CD6">
      <w:pPr>
        <w:pStyle w:val="24"/>
        <w:spacing w:before="120" w:line="400" w:lineRule="exact"/>
        <w:ind w:left="1332" w:hanging="482"/>
        <w:rPr>
          <w:sz w:val="24"/>
          <w:szCs w:val="24"/>
          <w:lang w:eastAsia="zh-CN"/>
        </w:rPr>
      </w:pPr>
      <w:r>
        <w:rPr>
          <w:sz w:val="24"/>
          <w:szCs w:val="24"/>
          <w:lang w:eastAsia="zh-CN"/>
        </w:rPr>
        <w:t>□</w:t>
      </w:r>
      <w:r>
        <w:rPr>
          <w:sz w:val="24"/>
          <w:szCs w:val="24"/>
          <w:lang w:eastAsia="zh-CN"/>
        </w:rPr>
        <w:tab/>
      </w:r>
      <w:r>
        <w:rPr>
          <w:sz w:val="24"/>
          <w:szCs w:val="24"/>
          <w:lang w:eastAsia="zh-CN"/>
        </w:rPr>
        <w:t>事件很可能被其他合并症或治疗方式混淆或者是其他合并症或治疗方式引起的</w:t>
      </w:r>
    </w:p>
    <w:p w14:paraId="6AE19CD7">
      <w:pPr>
        <w:pStyle w:val="24"/>
        <w:spacing w:before="120" w:line="400" w:lineRule="exact"/>
        <w:ind w:left="1332" w:hanging="482"/>
        <w:rPr>
          <w:sz w:val="24"/>
          <w:szCs w:val="24"/>
          <w:lang w:eastAsia="zh-CN"/>
        </w:rPr>
      </w:pPr>
      <w:r>
        <w:rPr>
          <w:sz w:val="24"/>
          <w:szCs w:val="24"/>
          <w:lang w:eastAsia="zh-CN"/>
        </w:rPr>
        <w:t>□</w:t>
      </w:r>
      <w:r>
        <w:rPr>
          <w:sz w:val="24"/>
          <w:szCs w:val="24"/>
          <w:lang w:eastAsia="zh-CN"/>
        </w:rPr>
        <w:tab/>
      </w:r>
      <w:r>
        <w:rPr>
          <w:sz w:val="24"/>
          <w:szCs w:val="24"/>
          <w:lang w:eastAsia="zh-CN"/>
        </w:rPr>
        <w:t>关键评估时间点的受试者失访率较高</w:t>
      </w:r>
    </w:p>
    <w:p w14:paraId="6AE19CD8">
      <w:pPr>
        <w:pStyle w:val="24"/>
        <w:spacing w:before="120" w:line="400" w:lineRule="exact"/>
        <w:ind w:left="1332" w:hanging="482"/>
        <w:rPr>
          <w:sz w:val="24"/>
          <w:szCs w:val="24"/>
          <w:lang w:eastAsia="zh-CN"/>
        </w:rPr>
      </w:pPr>
      <w:r>
        <w:rPr>
          <w:sz w:val="24"/>
          <w:szCs w:val="24"/>
          <w:lang w:eastAsia="zh-CN"/>
        </w:rPr>
        <w:t>□</w:t>
      </w:r>
      <w:r>
        <w:rPr>
          <w:sz w:val="24"/>
          <w:szCs w:val="24"/>
          <w:lang w:eastAsia="zh-CN"/>
        </w:rPr>
        <w:tab/>
      </w:r>
      <w:r>
        <w:rPr>
          <w:sz w:val="24"/>
          <w:szCs w:val="24"/>
          <w:lang w:eastAsia="zh-CN"/>
        </w:rPr>
        <w:t>关键评估时间点+/-计算存在大量缺失数据</w:t>
      </w:r>
    </w:p>
    <w:p w14:paraId="6AE19CD9">
      <w:pPr>
        <w:pStyle w:val="24"/>
        <w:spacing w:before="120" w:line="400" w:lineRule="exact"/>
        <w:ind w:left="1332" w:hanging="482"/>
        <w:rPr>
          <w:sz w:val="24"/>
          <w:szCs w:val="24"/>
          <w:lang w:eastAsia="zh-CN"/>
        </w:rPr>
      </w:pPr>
      <w:r>
        <w:rPr>
          <w:sz w:val="24"/>
          <w:szCs w:val="24"/>
          <w:lang w:eastAsia="zh-CN"/>
        </w:rPr>
        <w:t>□</w:t>
      </w:r>
      <w:r>
        <w:rPr>
          <w:sz w:val="24"/>
          <w:szCs w:val="24"/>
          <w:lang w:eastAsia="zh-CN"/>
        </w:rPr>
        <w:tab/>
      </w:r>
      <w:r>
        <w:rPr>
          <w:sz w:val="24"/>
          <w:szCs w:val="24"/>
          <w:lang w:eastAsia="zh-CN"/>
        </w:rPr>
        <w:t>发生大量的重大方案偏离</w:t>
      </w:r>
    </w:p>
    <w:p w14:paraId="6AE19CDA">
      <w:pPr>
        <w:pStyle w:val="24"/>
        <w:spacing w:before="120" w:line="400" w:lineRule="exact"/>
        <w:ind w:left="1332" w:hanging="482"/>
        <w:rPr>
          <w:sz w:val="24"/>
          <w:szCs w:val="24"/>
          <w:lang w:eastAsia="zh-CN"/>
        </w:rPr>
      </w:pPr>
      <w:r>
        <w:rPr>
          <w:sz w:val="24"/>
          <w:szCs w:val="24"/>
          <w:lang w:eastAsia="zh-CN"/>
        </w:rPr>
        <w:t>□</w:t>
      </w:r>
      <w:r>
        <w:rPr>
          <w:sz w:val="24"/>
          <w:szCs w:val="24"/>
          <w:lang w:eastAsia="zh-CN"/>
        </w:rPr>
        <w:tab/>
      </w:r>
      <w:r>
        <w:rPr>
          <w:sz w:val="24"/>
          <w:szCs w:val="24"/>
          <w:lang w:eastAsia="zh-CN"/>
        </w:rPr>
        <w:t>用户经验不一致或用户经验不代表可能的真实世界用户</w:t>
      </w:r>
    </w:p>
    <w:p w14:paraId="6AE19CDB">
      <w:pPr>
        <w:pStyle w:val="24"/>
        <w:spacing w:before="120" w:line="400" w:lineRule="exact"/>
        <w:ind w:left="1332" w:hanging="482"/>
        <w:rPr>
          <w:sz w:val="24"/>
          <w:szCs w:val="24"/>
          <w:lang w:eastAsia="zh-CN"/>
        </w:rPr>
      </w:pPr>
      <w:r>
        <w:rPr>
          <w:sz w:val="24"/>
          <w:szCs w:val="24"/>
          <w:lang w:eastAsia="zh-CN"/>
        </w:rPr>
        <w:t>□</w:t>
      </w:r>
      <w:r>
        <w:rPr>
          <w:sz w:val="24"/>
          <w:szCs w:val="24"/>
          <w:lang w:eastAsia="zh-CN"/>
        </w:rPr>
        <w:tab/>
      </w:r>
      <w:r>
        <w:rPr>
          <w:sz w:val="24"/>
          <w:szCs w:val="24"/>
          <w:lang w:eastAsia="zh-CN"/>
        </w:rPr>
        <w:t>有关性能特征的问题（例如敏感性/PPA、特异性/NPA）</w:t>
      </w:r>
    </w:p>
    <w:p w14:paraId="6AE19CDC">
      <w:pPr>
        <w:pStyle w:val="24"/>
        <w:spacing w:before="120" w:line="400" w:lineRule="exact"/>
        <w:ind w:left="1332" w:hanging="482"/>
        <w:rPr>
          <w:sz w:val="24"/>
          <w:szCs w:val="24"/>
          <w:lang w:eastAsia="zh-CN"/>
        </w:rPr>
      </w:pPr>
      <w:r>
        <w:rPr>
          <w:sz w:val="24"/>
          <w:szCs w:val="24"/>
          <w:lang w:eastAsia="zh-CN"/>
        </w:rPr>
        <w:t>□</w:t>
      </w:r>
      <w:r>
        <w:rPr>
          <w:sz w:val="24"/>
          <w:szCs w:val="24"/>
          <w:lang w:eastAsia="zh-CN"/>
        </w:rPr>
        <w:tab/>
      </w:r>
      <w:r>
        <w:rPr>
          <w:sz w:val="24"/>
          <w:szCs w:val="24"/>
          <w:lang w:eastAsia="zh-CN"/>
        </w:rPr>
        <w:t>使用存在缺陷的比较法计算性能特征</w:t>
      </w:r>
    </w:p>
    <w:p w14:paraId="6AE19CDD">
      <w:pPr>
        <w:pStyle w:val="24"/>
        <w:spacing w:before="120" w:line="400" w:lineRule="exact"/>
        <w:ind w:left="1332" w:hanging="482"/>
        <w:rPr>
          <w:sz w:val="24"/>
          <w:szCs w:val="24"/>
        </w:rPr>
      </w:pPr>
      <w:r>
        <w:rPr>
          <w:sz w:val="24"/>
          <w:szCs w:val="24"/>
          <w:lang w:eastAsia="zh-CN"/>
        </w:rPr>
        <w:t>□</w:t>
      </w:r>
      <w:r>
        <w:rPr>
          <w:sz w:val="24"/>
          <w:szCs w:val="24"/>
          <w:lang w:eastAsia="zh-CN"/>
        </w:rPr>
        <w:tab/>
      </w:r>
      <w:r>
        <w:rPr>
          <w:sz w:val="24"/>
          <w:szCs w:val="24"/>
          <w:lang w:eastAsia="zh-CN"/>
        </w:rPr>
        <w:t>其他：</w:t>
      </w:r>
    </w:p>
    <w:p w14:paraId="6AE19CDE">
      <w:pPr>
        <w:pStyle w:val="24"/>
        <w:spacing w:before="120" w:line="400" w:lineRule="exact"/>
        <w:ind w:left="1332" w:hanging="482"/>
        <w:rPr>
          <w:sz w:val="24"/>
          <w:szCs w:val="24"/>
        </w:rPr>
      </w:pPr>
      <w:r>
        <w:rPr>
          <w:sz w:val="24"/>
          <w:szCs w:val="24"/>
          <w:lang w:eastAsia="zh-CN"/>
        </w:rPr>
        <w:t>□</w:t>
      </w:r>
      <w:r>
        <w:rPr>
          <w:sz w:val="24"/>
          <w:szCs w:val="24"/>
          <w:lang w:eastAsia="zh-CN"/>
        </w:rPr>
        <w:tab/>
      </w:r>
      <w:r>
        <w:rPr>
          <w:sz w:val="24"/>
          <w:szCs w:val="24"/>
          <w:lang w:eastAsia="zh-CN"/>
        </w:rPr>
        <w:t>无</w:t>
      </w:r>
    </w:p>
    <w:p w14:paraId="6AE19CDF">
      <w:pPr>
        <w:pStyle w:val="24"/>
        <w:spacing w:before="120" w:line="400" w:lineRule="exact"/>
      </w:pPr>
    </w:p>
    <w:tbl>
      <w:tblPr>
        <w:tblStyle w:val="8"/>
        <w:tblW w:w="2855" w:type="pct"/>
        <w:tblInd w:w="9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5245"/>
      </w:tblGrid>
      <w:tr w14:paraId="6AE19CE4">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382" w:hRule="atLeast"/>
        </w:trPr>
        <w:tc>
          <w:tcPr>
            <w:tcW w:w="5000" w:type="pct"/>
            <w:shd w:val="clear" w:color="auto" w:fill="FFFFFF"/>
            <w:vAlign w:val="center"/>
          </w:tcPr>
          <w:p w14:paraId="6AE19CE0">
            <w:pPr>
              <w:snapToGrid w:val="0"/>
              <w:spacing w:before="120" w:beforeLines="50" w:line="400" w:lineRule="exact"/>
              <w:jc w:val="both"/>
              <w:rPr>
                <w:lang w:eastAsia="zh-CN"/>
              </w:rPr>
            </w:pPr>
            <w:r>
              <w:rPr>
                <w:b/>
                <w:bCs/>
                <w:lang w:eastAsia="zh-CN"/>
              </w:rPr>
              <w:t>Q4</w:t>
            </w:r>
            <w:r>
              <w:rPr>
                <w:rFonts w:hint="eastAsia"/>
                <w:b/>
                <w:bCs/>
                <w:lang w:eastAsia="zh-CN"/>
              </w:rPr>
              <w:t>：</w:t>
            </w:r>
            <w:r>
              <w:rPr>
                <w:b/>
                <w:bCs/>
                <w:lang w:eastAsia="zh-CN"/>
              </w:rPr>
              <w:t>风险的不确定性如何？</w:t>
            </w:r>
          </w:p>
          <w:p w14:paraId="6AE19CE1">
            <w:pPr>
              <w:tabs>
                <w:tab w:val="left" w:pos="230"/>
              </w:tabs>
              <w:snapToGrid w:val="0"/>
              <w:spacing w:before="120" w:beforeLines="50" w:line="400" w:lineRule="exact"/>
              <w:jc w:val="both"/>
              <w:rPr>
                <w:lang w:eastAsia="zh-CN"/>
              </w:rPr>
            </w:pPr>
            <w:r>
              <w:rPr>
                <w:lang w:eastAsia="zh-CN"/>
              </w:rPr>
              <w:t>□ 低</w:t>
            </w:r>
            <w:r>
              <w:rPr>
                <w:lang w:eastAsia="zh-CN"/>
              </w:rPr>
              <w:sym w:font="Wingdings" w:char="F0E8"/>
            </w:r>
            <w:r>
              <w:rPr>
                <w:lang w:eastAsia="zh-CN"/>
              </w:rPr>
              <w:t>继续问题5</w:t>
            </w:r>
          </w:p>
          <w:p w14:paraId="6AE19CE2">
            <w:pPr>
              <w:tabs>
                <w:tab w:val="left" w:pos="230"/>
              </w:tabs>
              <w:snapToGrid w:val="0"/>
              <w:spacing w:before="120" w:beforeLines="50" w:line="400" w:lineRule="exact"/>
              <w:jc w:val="both"/>
              <w:rPr>
                <w:lang w:eastAsia="zh-CN"/>
              </w:rPr>
            </w:pPr>
            <w:r>
              <w:rPr>
                <w:lang w:eastAsia="zh-CN"/>
              </w:rPr>
              <w:t>□ 中</w:t>
            </w:r>
            <w:r>
              <w:rPr>
                <w:lang w:eastAsia="zh-CN"/>
              </w:rPr>
              <w:sym w:font="Wingdings" w:char="F0E8"/>
            </w:r>
            <w:r>
              <w:rPr>
                <w:lang w:eastAsia="zh-CN"/>
              </w:rPr>
              <w:t>继续问题5</w:t>
            </w:r>
          </w:p>
          <w:p w14:paraId="6AE19CE3">
            <w:pPr>
              <w:tabs>
                <w:tab w:val="left" w:pos="226"/>
              </w:tabs>
              <w:snapToGrid w:val="0"/>
              <w:spacing w:before="120" w:beforeLines="50" w:line="400" w:lineRule="exact"/>
              <w:jc w:val="both"/>
            </w:pPr>
            <w:r>
              <w:rPr>
                <w:lang w:eastAsia="zh-CN"/>
              </w:rPr>
              <w:t>□ 高</w:t>
            </w:r>
            <w:r>
              <w:rPr>
                <w:lang w:eastAsia="zh-CN"/>
              </w:rPr>
              <w:sym w:font="Wingdings" w:char="F0E8"/>
            </w:r>
            <w:r>
              <w:rPr>
                <w:lang w:eastAsia="zh-CN"/>
              </w:rPr>
              <w:t>继续问题5</w:t>
            </w:r>
          </w:p>
        </w:tc>
      </w:tr>
    </w:tbl>
    <w:p w14:paraId="6AE19CE5">
      <w:pPr>
        <w:snapToGrid w:val="0"/>
        <w:spacing w:before="120" w:beforeLines="50" w:line="400" w:lineRule="exact"/>
        <w:jc w:val="both"/>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87" w:hRule="atLeast"/>
        </w:trPr>
        <w:tc>
          <w:tcPr>
            <w:tcW w:w="5000" w:type="pct"/>
            <w:shd w:val="clear" w:color="auto" w:fill="FFFFFF"/>
            <w:vAlign w:val="center"/>
          </w:tcPr>
          <w:p w14:paraId="6AE19CE6">
            <w:pPr>
              <w:snapToGrid w:val="0"/>
              <w:spacing w:before="120" w:beforeLines="50" w:line="400" w:lineRule="exact"/>
              <w:jc w:val="both"/>
              <w:rPr>
                <w:u w:val="single"/>
                <w:lang w:eastAsia="zh-CN"/>
              </w:rPr>
            </w:pPr>
            <w:r>
              <w:rPr>
                <w:b/>
                <w:bCs/>
                <w:u w:val="single"/>
                <w:lang w:eastAsia="zh-CN"/>
              </w:rPr>
              <w:t>风险评估总结</w:t>
            </w:r>
          </w:p>
          <w:p w14:paraId="6AE19CE7">
            <w:pPr>
              <w:snapToGrid w:val="0"/>
              <w:spacing w:before="120" w:beforeLines="50" w:line="400" w:lineRule="exact"/>
              <w:jc w:val="both"/>
              <w:rPr>
                <w:lang w:eastAsia="zh-CN"/>
              </w:rPr>
            </w:pPr>
            <w:r>
              <w:rPr>
                <w:b/>
                <w:bCs/>
                <w:lang w:eastAsia="zh-CN"/>
              </w:rPr>
              <w:t>如果问题3回答</w:t>
            </w:r>
            <w:r>
              <w:rPr>
                <w:rFonts w:ascii="宋体" w:hAnsi="宋体"/>
                <w:b/>
                <w:bCs/>
                <w:lang w:eastAsia="zh-CN"/>
              </w:rPr>
              <w:t>“</w:t>
            </w:r>
            <w:r>
              <w:rPr>
                <w:b/>
                <w:bCs/>
                <w:lang w:eastAsia="zh-CN"/>
              </w:rPr>
              <w:t>否</w:t>
            </w:r>
            <w:r>
              <w:rPr>
                <w:rFonts w:ascii="宋体" w:hAnsi="宋体"/>
                <w:b/>
                <w:bCs/>
                <w:lang w:eastAsia="zh-CN"/>
              </w:rPr>
              <w:t>”</w:t>
            </w:r>
            <w:r>
              <w:rPr>
                <w:b/>
                <w:bCs/>
                <w:lang w:eastAsia="zh-CN"/>
              </w:rPr>
              <w:t>，但问题4回答</w:t>
            </w:r>
            <w:r>
              <w:rPr>
                <w:rFonts w:ascii="宋体" w:hAnsi="宋体"/>
                <w:b/>
                <w:bCs/>
                <w:lang w:eastAsia="zh-CN"/>
              </w:rPr>
              <w:t>“</w:t>
            </w:r>
            <w:r>
              <w:rPr>
                <w:b/>
                <w:bCs/>
                <w:lang w:eastAsia="zh-CN"/>
              </w:rPr>
              <w:t>高</w:t>
            </w:r>
            <w:r>
              <w:rPr>
                <w:rFonts w:ascii="宋体" w:hAnsi="宋体"/>
                <w:b/>
                <w:bCs/>
                <w:lang w:eastAsia="zh-CN"/>
              </w:rPr>
              <w:t>”</w:t>
            </w:r>
            <w:r>
              <w:rPr>
                <w:b/>
                <w:bCs/>
                <w:lang w:eastAsia="zh-CN"/>
              </w:rPr>
              <w:t>，请在此处解释。</w:t>
            </w:r>
          </w:p>
          <w:p w14:paraId="6AE19CE8">
            <w:pPr>
              <w:snapToGrid w:val="0"/>
              <w:spacing w:before="120" w:beforeLines="50" w:line="400" w:lineRule="exact"/>
              <w:jc w:val="both"/>
              <w:rPr>
                <w:lang w:eastAsia="zh-CN"/>
              </w:rPr>
            </w:pPr>
            <w:r>
              <w:rPr>
                <w:b/>
                <w:bCs/>
                <w:lang w:eastAsia="zh-CN"/>
              </w:rPr>
              <w:t>对于拟定适应症：</w:t>
            </w:r>
          </w:p>
          <w:p w14:paraId="6AE19CE9">
            <w:pPr>
              <w:snapToGrid w:val="0"/>
              <w:spacing w:before="120" w:beforeLines="50" w:line="400" w:lineRule="exact"/>
              <w:jc w:val="both"/>
            </w:pPr>
            <w:r>
              <w:rPr>
                <w:lang w:eastAsia="zh-CN"/>
              </w:rPr>
              <w:t>输入拟定适应症的风险评估的总结。考虑到与使用器械相关的有害事件的严重度、类型、数量和发生率；有害事件的概率；有害事件的持续时间、假阳性或假阴性诊断结果的风险来描述风险程度评估。描述不确定性对风险评估的影响。</w:t>
            </w:r>
          </w:p>
        </w:tc>
      </w:tr>
    </w:tbl>
    <w:p w14:paraId="6AE19CEB">
      <w:pPr>
        <w:snapToGrid w:val="0"/>
        <w:spacing w:before="120" w:beforeLines="50" w:line="400" w:lineRule="exact"/>
        <w:jc w:val="both"/>
      </w:pPr>
      <w:r>
        <w:rPr>
          <w:lang w:eastAsia="zh-CN"/>
        </w:rPr>
        <w:br w:type="page"/>
      </w:r>
    </w:p>
    <w:p w14:paraId="6AE19CEC">
      <w:pPr>
        <w:snapToGrid w:val="0"/>
        <w:spacing w:before="120" w:beforeLines="50" w:line="400" w:lineRule="exact"/>
        <w:jc w:val="both"/>
        <w:rPr>
          <w:sz w:val="24"/>
          <w:szCs w:val="24"/>
        </w:rPr>
      </w:pPr>
      <w:bookmarkStart w:id="87" w:name="bookmark69"/>
      <w:r>
        <w:rPr>
          <w:b/>
          <w:bCs/>
          <w:sz w:val="24"/>
          <w:szCs w:val="24"/>
          <w:lang w:eastAsia="zh-CN"/>
        </w:rPr>
        <w:t>获益-风险评估</w:t>
      </w:r>
      <w:bookmarkEnd w:id="87"/>
    </w:p>
    <w:p w14:paraId="6AE19CED">
      <w:pPr>
        <w:snapToGrid w:val="0"/>
        <w:spacing w:before="120" w:beforeLines="50" w:line="400" w:lineRule="exact"/>
        <w:jc w:val="both"/>
        <w:rPr>
          <w:sz w:val="24"/>
          <w:szCs w:val="24"/>
          <w:lang w:eastAsia="zh-CN"/>
        </w:rPr>
      </w:pPr>
      <w:r>
        <w:rPr>
          <w:i/>
          <w:iCs/>
          <w:sz w:val="24"/>
          <w:szCs w:val="24"/>
          <w:lang w:eastAsia="zh-CN"/>
        </w:rPr>
        <w:t>对FDA工作人员的说明：</w:t>
      </w:r>
      <w:r>
        <w:rPr>
          <w:sz w:val="24"/>
          <w:szCs w:val="24"/>
          <w:lang w:eastAsia="zh-CN"/>
        </w:rPr>
        <w:t>根据所有证据提出建议。如上文所示，在决定是否批准PMA申请或授予新分类申请期间进行获益-风险评估，但是未评估所有适用的要求。</w:t>
      </w:r>
    </w:p>
    <w:p w14:paraId="6AE19CEE">
      <w:pPr>
        <w:snapToGrid w:val="0"/>
        <w:spacing w:before="120" w:beforeLines="50" w:line="400" w:lineRule="exact"/>
        <w:jc w:val="both"/>
        <w:rPr>
          <w:sz w:val="24"/>
          <w:szCs w:val="24"/>
          <w:lang w:eastAsia="zh-CN"/>
        </w:rPr>
      </w:pPr>
      <w:r>
        <w:rPr>
          <w:sz w:val="24"/>
          <w:szCs w:val="24"/>
          <w:lang w:eastAsia="zh-CN"/>
        </w:rPr>
        <w:t>为了批准PMA申请或授予新分类申请，FDA必须在其他方面确定能够合理保证器械的安全性和有效性。FDA通过在其他相关因素中权衡使用器械的任何可能的健康获益与任何可能的损伤或疾病风险确定是否能够合理保证安全性和有效性。为授予新分类申请，FDA必须找到能够合理保证器械的安全性和有效性的一般控制措施或一般和特殊控制措施。</w:t>
      </w:r>
    </w:p>
    <w:p w14:paraId="6AE19CEF">
      <w:pPr>
        <w:snapToGrid w:val="0"/>
        <w:spacing w:before="120" w:beforeLines="50" w:line="400" w:lineRule="exact"/>
        <w:jc w:val="both"/>
        <w:rPr>
          <w:sz w:val="24"/>
          <w:szCs w:val="24"/>
          <w:lang w:eastAsia="zh-CN"/>
        </w:rPr>
      </w:pPr>
      <w:r>
        <w:rPr>
          <w:sz w:val="24"/>
          <w:szCs w:val="24"/>
          <w:lang w:eastAsia="zh-CN"/>
        </w:rPr>
        <w:t>如果</w:t>
      </w:r>
      <w:r>
        <w:rPr>
          <w:rFonts w:hint="eastAsia"/>
          <w:sz w:val="24"/>
          <w:szCs w:val="24"/>
          <w:lang w:eastAsia="zh-CN"/>
        </w:rPr>
        <w:t>对</w:t>
      </w:r>
      <w:r>
        <w:rPr>
          <w:sz w:val="24"/>
          <w:szCs w:val="24"/>
          <w:lang w:eastAsia="zh-CN"/>
        </w:rPr>
        <w:t>Q5-8中</w:t>
      </w:r>
      <w:r>
        <w:rPr>
          <w:rFonts w:hint="eastAsia"/>
          <w:sz w:val="24"/>
          <w:szCs w:val="24"/>
          <w:lang w:eastAsia="zh-CN"/>
        </w:rPr>
        <w:t>的</w:t>
      </w:r>
      <w:r>
        <w:rPr>
          <w:sz w:val="24"/>
          <w:szCs w:val="24"/>
          <w:lang w:eastAsia="zh-CN"/>
        </w:rPr>
        <w:t>任何问题回答</w:t>
      </w:r>
      <w:r>
        <w:rPr>
          <w:rFonts w:ascii="宋体" w:hAnsi="宋体"/>
          <w:sz w:val="24"/>
          <w:szCs w:val="24"/>
          <w:lang w:eastAsia="zh-CN"/>
        </w:rPr>
        <w:t>“</w:t>
      </w:r>
      <w:r>
        <w:rPr>
          <w:sz w:val="24"/>
          <w:szCs w:val="24"/>
          <w:lang w:eastAsia="zh-CN"/>
        </w:rPr>
        <w:t>是</w:t>
      </w:r>
      <w:r>
        <w:rPr>
          <w:rFonts w:ascii="宋体" w:hAnsi="宋体"/>
          <w:sz w:val="24"/>
          <w:szCs w:val="24"/>
          <w:lang w:eastAsia="zh-CN"/>
        </w:rPr>
        <w:t>”</w:t>
      </w:r>
      <w:r>
        <w:rPr>
          <w:sz w:val="24"/>
          <w:szCs w:val="24"/>
          <w:lang w:eastAsia="zh-CN"/>
        </w:rPr>
        <w:t>，请解释获益如何超过风险的依据。您应该考虑并推荐能够增强器械的获益-风险状况的措施（例如修改拟定标签，可以包含其他适当的警告和预防措施、使用说明书或数据表示），以帮助确保产品</w:t>
      </w:r>
      <w:r>
        <w:rPr>
          <w:rFonts w:hint="eastAsia"/>
          <w:sz w:val="24"/>
          <w:szCs w:val="24"/>
          <w:lang w:eastAsia="zh-CN"/>
        </w:rPr>
        <w:t>说明书</w:t>
      </w:r>
      <w:r>
        <w:rPr>
          <w:sz w:val="24"/>
          <w:szCs w:val="24"/>
          <w:lang w:eastAsia="zh-CN"/>
        </w:rPr>
        <w:t>明确表明获益和风险。</w:t>
      </w:r>
    </w:p>
    <w:p w14:paraId="6AE19CF0">
      <w:pPr>
        <w:snapToGrid w:val="0"/>
        <w:spacing w:before="120" w:beforeLines="50" w:line="400" w:lineRule="exact"/>
        <w:jc w:val="both"/>
        <w:rPr>
          <w:sz w:val="24"/>
          <w:szCs w:val="24"/>
          <w:lang w:eastAsia="zh-CN"/>
        </w:rPr>
      </w:pPr>
      <w:r>
        <w:rPr>
          <w:sz w:val="24"/>
          <w:szCs w:val="24"/>
          <w:lang w:eastAsia="zh-CN"/>
        </w:rPr>
        <w:t>如果Q5-8回答</w:t>
      </w:r>
      <w:r>
        <w:rPr>
          <w:rFonts w:ascii="宋体" w:hAnsi="宋体"/>
          <w:sz w:val="24"/>
          <w:szCs w:val="24"/>
          <w:lang w:eastAsia="zh-CN"/>
        </w:rPr>
        <w:t>“</w:t>
      </w:r>
      <w:r>
        <w:rPr>
          <w:sz w:val="24"/>
          <w:szCs w:val="24"/>
          <w:lang w:eastAsia="zh-CN"/>
        </w:rPr>
        <w:t>无法得出结论</w:t>
      </w:r>
      <w:r>
        <w:rPr>
          <w:rFonts w:ascii="宋体" w:hAnsi="宋体"/>
          <w:sz w:val="24"/>
          <w:szCs w:val="24"/>
          <w:lang w:eastAsia="zh-CN"/>
        </w:rPr>
        <w:t>”</w:t>
      </w:r>
      <w:r>
        <w:rPr>
          <w:sz w:val="24"/>
          <w:szCs w:val="24"/>
          <w:lang w:eastAsia="zh-CN"/>
        </w:rPr>
        <w:t>，请在总结文本框中提供您认为需要的信息，以支持正在考虑的适应症的获益超过风险的判定，并继续进行Q9。</w:t>
      </w:r>
    </w:p>
    <w:p w14:paraId="6AE19CF1">
      <w:pPr>
        <w:snapToGrid w:val="0"/>
        <w:spacing w:before="120" w:beforeLines="50" w:line="400" w:lineRule="exact"/>
        <w:jc w:val="both"/>
        <w:rPr>
          <w:lang w:eastAsia="zh-CN"/>
        </w:rPr>
      </w:pPr>
    </w:p>
    <w:tbl>
      <w:tblPr>
        <w:tblStyle w:val="8"/>
        <w:tblW w:w="4167" w:type="pct"/>
        <w:tblInd w:w="9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7655"/>
      </w:tblGrid>
      <w:tr w14:paraId="6AE19CF5">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627" w:hRule="atLeast"/>
        </w:trPr>
        <w:tc>
          <w:tcPr>
            <w:tcW w:w="5000" w:type="pct"/>
            <w:shd w:val="clear" w:color="auto" w:fill="FFFFFF"/>
          </w:tcPr>
          <w:p w14:paraId="6AE19CF2">
            <w:pPr>
              <w:snapToGrid w:val="0"/>
              <w:spacing w:before="120" w:beforeLines="50" w:line="400" w:lineRule="exact"/>
              <w:jc w:val="both"/>
              <w:rPr>
                <w:lang w:eastAsia="zh-CN"/>
              </w:rPr>
            </w:pPr>
            <w:r>
              <w:rPr>
                <w:b/>
                <w:bCs/>
                <w:lang w:eastAsia="zh-CN"/>
              </w:rPr>
              <w:t>Q5</w:t>
            </w:r>
            <w:r>
              <w:rPr>
                <w:rFonts w:hint="eastAsia"/>
                <w:b/>
                <w:bCs/>
                <w:lang w:eastAsia="zh-CN"/>
              </w:rPr>
              <w:t>：</w:t>
            </w:r>
            <w:r>
              <w:rPr>
                <w:b/>
                <w:bCs/>
                <w:lang w:eastAsia="zh-CN"/>
              </w:rPr>
              <w:t>考虑到上文的获益-风险评估和不确定性程度，获益是否超过风险？</w:t>
            </w:r>
          </w:p>
          <w:p w14:paraId="6AE19CF3">
            <w:pPr>
              <w:tabs>
                <w:tab w:val="left" w:pos="235"/>
              </w:tabs>
              <w:snapToGrid w:val="0"/>
              <w:spacing w:before="120" w:beforeLines="50" w:line="400" w:lineRule="exact"/>
              <w:jc w:val="both"/>
              <w:rPr>
                <w:lang w:eastAsia="zh-CN"/>
              </w:rPr>
            </w:pPr>
            <w:r>
              <w:rPr>
                <w:lang w:eastAsia="zh-CN"/>
              </w:rPr>
              <w:t>□ 是 - 本器械的获益超过风险，为此额外考虑相关因素不会改变该判定</w:t>
            </w:r>
          </w:p>
          <w:p w14:paraId="6AE19CF4">
            <w:pPr>
              <w:tabs>
                <w:tab w:val="left" w:pos="245"/>
              </w:tabs>
              <w:snapToGrid w:val="0"/>
              <w:spacing w:before="120" w:beforeLines="50" w:line="400" w:lineRule="exact"/>
              <w:jc w:val="both"/>
              <w:rPr>
                <w:lang w:eastAsia="zh-CN"/>
              </w:rPr>
            </w:pPr>
            <w:r>
              <w:rPr>
                <w:lang w:eastAsia="zh-CN"/>
              </w:rPr>
              <w:t>□ 无法得出获益超过风险的结论 - 进一步讨论和考虑相关因素是适当的 - 继续Q6</w:t>
            </w:r>
          </w:p>
        </w:tc>
      </w:tr>
    </w:tbl>
    <w:p w14:paraId="6AE19CF6">
      <w:pPr>
        <w:snapToGrid w:val="0"/>
        <w:spacing w:before="120" w:beforeLines="50" w:line="400" w:lineRule="exact"/>
        <w:jc w:val="both"/>
        <w:rPr>
          <w:lang w:eastAsia="zh-CN"/>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6" w:hRule="atLeast"/>
        </w:trPr>
        <w:tc>
          <w:tcPr>
            <w:tcW w:w="5000" w:type="pct"/>
            <w:shd w:val="clear" w:color="auto" w:fill="FFFFFF"/>
            <w:vAlign w:val="center"/>
          </w:tcPr>
          <w:p w14:paraId="6AE19CF7">
            <w:pPr>
              <w:snapToGrid w:val="0"/>
              <w:spacing w:before="120" w:beforeLines="50" w:line="400" w:lineRule="exact"/>
              <w:jc w:val="both"/>
              <w:rPr>
                <w:b/>
                <w:bCs/>
                <w:u w:val="single"/>
                <w:lang w:eastAsia="zh-CN"/>
              </w:rPr>
            </w:pPr>
            <w:r>
              <w:rPr>
                <w:b/>
                <w:bCs/>
                <w:u w:val="single"/>
                <w:lang w:eastAsia="zh-CN"/>
              </w:rPr>
              <w:t xml:space="preserve">获益-风险评估总结 </w:t>
            </w:r>
          </w:p>
          <w:p w14:paraId="6AE19CF8">
            <w:pPr>
              <w:snapToGrid w:val="0"/>
              <w:spacing w:before="120" w:beforeLines="50" w:line="400" w:lineRule="exact"/>
              <w:jc w:val="both"/>
              <w:rPr>
                <w:lang w:eastAsia="zh-CN"/>
              </w:rPr>
            </w:pPr>
            <w:r>
              <w:rPr>
                <w:b/>
                <w:bCs/>
                <w:lang w:eastAsia="zh-CN"/>
              </w:rPr>
              <w:t>对于拟定适应症：</w:t>
            </w:r>
          </w:p>
          <w:p w14:paraId="6AE19CF9">
            <w:pPr>
              <w:snapToGrid w:val="0"/>
              <w:spacing w:before="120" w:beforeLines="50" w:line="400" w:lineRule="exact"/>
              <w:jc w:val="both"/>
              <w:rPr>
                <w:lang w:eastAsia="zh-CN"/>
              </w:rPr>
            </w:pPr>
            <w:r>
              <w:rPr>
                <w:lang w:eastAsia="zh-CN"/>
              </w:rPr>
              <w:t>总结拟定适应症已经得到证实的临床获益以及获益与风险相比如何的评估。描述获益和风险的不确定性如何影响您的评估。</w:t>
            </w:r>
          </w:p>
        </w:tc>
      </w:tr>
    </w:tbl>
    <w:p w14:paraId="6AE19CFB">
      <w:pPr>
        <w:pStyle w:val="22"/>
        <w:spacing w:before="120" w:line="400" w:lineRule="exact"/>
      </w:pPr>
      <w:r>
        <w:t>6.</w:t>
      </w:r>
      <w:r>
        <w:tab/>
      </w:r>
      <w:r>
        <w:rPr>
          <w:rFonts w:hint="eastAsia"/>
        </w:rPr>
        <w:t>当</w:t>
      </w:r>
      <w:r>
        <w:t>考虑以下附加考虑因素时，获益是否超过风险？选择相关注意事项，然后回答</w:t>
      </w:r>
      <w:r>
        <w:rPr>
          <w:rFonts w:hint="eastAsia"/>
        </w:rPr>
        <w:t>以下方框</w:t>
      </w:r>
      <w:r>
        <w:t>以下方框中的问题。</w:t>
      </w:r>
    </w:p>
    <w:p w14:paraId="6AE19CFC">
      <w:pPr>
        <w:pStyle w:val="24"/>
        <w:spacing w:before="120" w:line="400" w:lineRule="exact"/>
        <w:ind w:left="1332" w:hanging="482"/>
        <w:rPr>
          <w:sz w:val="24"/>
          <w:szCs w:val="24"/>
          <w:lang w:eastAsia="zh-CN"/>
        </w:rPr>
      </w:pPr>
      <w:r>
        <w:rPr>
          <w:sz w:val="24"/>
          <w:szCs w:val="24"/>
          <w:lang w:eastAsia="zh-CN"/>
        </w:rPr>
        <w:t>□</w:t>
      </w:r>
      <w:r>
        <w:rPr>
          <w:sz w:val="24"/>
          <w:szCs w:val="24"/>
          <w:lang w:eastAsia="zh-CN"/>
        </w:rPr>
        <w:tab/>
      </w:r>
      <w:r>
        <w:rPr>
          <w:sz w:val="24"/>
          <w:szCs w:val="24"/>
          <w:lang w:eastAsia="zh-CN"/>
        </w:rPr>
        <w:t>了解患者是否愿意接受获益和/或风险具有较大的不确定性</w:t>
      </w:r>
    </w:p>
    <w:p w14:paraId="6AE19CFD">
      <w:pPr>
        <w:pStyle w:val="24"/>
        <w:spacing w:before="120" w:line="400" w:lineRule="exact"/>
        <w:ind w:left="1332" w:hanging="482"/>
        <w:rPr>
          <w:sz w:val="24"/>
          <w:szCs w:val="24"/>
          <w:lang w:eastAsia="zh-CN"/>
        </w:rPr>
      </w:pPr>
      <w:r>
        <w:rPr>
          <w:sz w:val="24"/>
          <w:szCs w:val="24"/>
          <w:lang w:eastAsia="zh-CN"/>
        </w:rPr>
        <w:t>□</w:t>
      </w:r>
      <w:r>
        <w:rPr>
          <w:sz w:val="24"/>
          <w:szCs w:val="24"/>
          <w:lang w:eastAsia="zh-CN"/>
        </w:rPr>
        <w:tab/>
      </w:r>
      <w:r>
        <w:rPr>
          <w:sz w:val="24"/>
          <w:szCs w:val="24"/>
          <w:lang w:eastAsia="zh-CN"/>
        </w:rPr>
        <w:t>可用的患者偏好信息（PPI）显示，患者是否愿意接受风险以换取获益。在无法获得PPI的情况下（例如一些儿童或</w:t>
      </w:r>
      <w:r>
        <w:rPr>
          <w:rFonts w:hint="eastAsia"/>
          <w:sz w:val="24"/>
          <w:szCs w:val="24"/>
          <w:lang w:eastAsia="zh-CN"/>
        </w:rPr>
        <w:t>功能</w:t>
      </w:r>
      <w:r>
        <w:rPr>
          <w:sz w:val="24"/>
          <w:szCs w:val="24"/>
          <w:lang w:eastAsia="zh-CN"/>
        </w:rPr>
        <w:t>受损的患者人群），可以考虑健康伴侣的观点。</w:t>
      </w:r>
    </w:p>
    <w:p w14:paraId="6AE19CFE">
      <w:pPr>
        <w:tabs>
          <w:tab w:val="left" w:pos="1054"/>
        </w:tabs>
        <w:snapToGrid w:val="0"/>
        <w:spacing w:before="120" w:beforeLines="50"/>
        <w:jc w:val="both"/>
        <w:rPr>
          <w:sz w:val="24"/>
          <w:szCs w:val="24"/>
          <w:lang w:eastAsia="zh-CN"/>
        </w:rPr>
      </w:pPr>
      <w:r>
        <w:rPr>
          <w:sz w:val="24"/>
          <w:szCs w:val="24"/>
          <w:lang w:eastAsia="zh-CN"/>
        </w:rPr>
        <w:br w:type="page"/>
      </w:r>
    </w:p>
    <w:p w14:paraId="6AE19CFF">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了解健康伴侣对预期有益于健康伴侣的器械的获益和风险的</w:t>
      </w:r>
      <w:r>
        <w:rPr>
          <w:rFonts w:hint="eastAsia"/>
          <w:sz w:val="24"/>
          <w:szCs w:val="24"/>
          <w:lang w:eastAsia="zh-CN"/>
        </w:rPr>
        <w:t>观点</w:t>
      </w:r>
      <w:r>
        <w:rPr>
          <w:sz w:val="24"/>
          <w:szCs w:val="24"/>
          <w:lang w:eastAsia="zh-CN"/>
        </w:rPr>
        <w:t>（例如方便进行护理）</w:t>
      </w:r>
    </w:p>
    <w:p w14:paraId="6AE19D00">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了解医疗保健专业人员对预期有益于医疗保健专业人员的器械的获益和风险的观点（例如减少辐射暴露）</w:t>
      </w:r>
    </w:p>
    <w:p w14:paraId="6AE19D01">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患者对替代健康干预措施中不同结局或其他属性的相对合适性和可接受性的定性或定量评估</w:t>
      </w:r>
    </w:p>
    <w:p w14:paraId="6AE19D02">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了解患者人群的规模在多大程度上影响开展大型试验的可行性，并影响罕见和常见疾病或状况的公共卫生需求</w:t>
      </w:r>
    </w:p>
    <w:p w14:paraId="6AE19D03">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了解器械代表与当前器械技术不同的新技术</w:t>
      </w:r>
    </w:p>
    <w:p w14:paraId="6AE19D04">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在缺乏申报器械的干预或诊断信息的情况下，能够管理或诊断状况并考虑疾病进展的自然史</w:t>
      </w:r>
    </w:p>
    <w:p w14:paraId="6AE19D05">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尚无合法上市的医疗产品或医疗干预，或者器械与现有替代方式相比具有优势</w:t>
      </w:r>
    </w:p>
    <w:p w14:paraId="6AE19D06">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器械可以满足未能满足的医疗需求或领域</w:t>
      </w:r>
      <w:r>
        <w:rPr>
          <w:rFonts w:hint="eastAsia"/>
          <w:sz w:val="24"/>
          <w:szCs w:val="24"/>
          <w:lang w:eastAsia="zh-CN"/>
        </w:rPr>
        <w:t>，</w:t>
      </w:r>
      <w:r>
        <w:rPr>
          <w:sz w:val="24"/>
          <w:szCs w:val="24"/>
          <w:lang w:eastAsia="zh-CN"/>
        </w:rPr>
        <w:t>或可以更有效地治疗或诊断危及生命的或不可逆的使人衰弱的人类疾病/状况</w:t>
      </w:r>
    </w:p>
    <w:p w14:paraId="6AE19D07">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器械能够避免该疾病或状况的现有疗法的严重伤害</w:t>
      </w:r>
    </w:p>
    <w:p w14:paraId="6AE19D08">
      <w:pPr>
        <w:pStyle w:val="24"/>
        <w:spacing w:before="120"/>
        <w:ind w:left="1332" w:hanging="482"/>
        <w:rPr>
          <w:sz w:val="24"/>
          <w:szCs w:val="24"/>
        </w:rPr>
      </w:pPr>
      <w:r>
        <w:rPr>
          <w:sz w:val="24"/>
          <w:szCs w:val="24"/>
          <w:lang w:eastAsia="zh-CN"/>
        </w:rPr>
        <w:t>□</w:t>
      </w:r>
      <w:r>
        <w:rPr>
          <w:sz w:val="24"/>
          <w:szCs w:val="24"/>
          <w:lang w:eastAsia="zh-CN"/>
        </w:rPr>
        <w:tab/>
      </w:r>
      <w:r>
        <w:rPr>
          <w:sz w:val="24"/>
          <w:szCs w:val="24"/>
          <w:lang w:eastAsia="zh-CN"/>
        </w:rPr>
        <w:t>使用器械的不良事件是可逆的</w:t>
      </w:r>
    </w:p>
    <w:p w14:paraId="6AE19D09">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解决有害事件所需的干预类型（例如药物治疗、外科手术）</w:t>
      </w:r>
    </w:p>
    <w:p w14:paraId="6AE19D0A">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研究为首次研究（分析可靠性）</w:t>
      </w:r>
    </w:p>
    <w:p w14:paraId="6AE19D0B">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临界点和/或最差情况敏感性分析继续显示具有临床获益</w:t>
      </w:r>
    </w:p>
    <w:p w14:paraId="6AE19D0C">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了解机械合理性和/或</w:t>
      </w:r>
      <w:r>
        <w:rPr>
          <w:rFonts w:ascii="宋体" w:hAnsi="宋体"/>
          <w:sz w:val="24"/>
          <w:szCs w:val="24"/>
          <w:lang w:eastAsia="zh-CN"/>
        </w:rPr>
        <w:t>“</w:t>
      </w:r>
      <w:r>
        <w:rPr>
          <w:sz w:val="24"/>
          <w:szCs w:val="24"/>
          <w:lang w:eastAsia="zh-CN"/>
        </w:rPr>
        <w:t>类效应</w:t>
      </w:r>
      <w:r>
        <w:rPr>
          <w:rFonts w:ascii="宋体" w:hAnsi="宋体"/>
          <w:sz w:val="24"/>
          <w:szCs w:val="24"/>
          <w:lang w:eastAsia="zh-CN"/>
        </w:rPr>
        <w:t>”</w:t>
      </w:r>
      <w:r>
        <w:rPr>
          <w:sz w:val="24"/>
          <w:szCs w:val="24"/>
          <w:lang w:eastAsia="zh-CN"/>
        </w:rPr>
        <w:t>（例如熟练掌握类似技术）</w:t>
      </w:r>
    </w:p>
    <w:p w14:paraId="6AE19D0D">
      <w:pPr>
        <w:pStyle w:val="24"/>
        <w:spacing w:before="120"/>
        <w:ind w:left="1332" w:hanging="482"/>
        <w:rPr>
          <w:sz w:val="24"/>
          <w:szCs w:val="24"/>
        </w:rPr>
      </w:pPr>
      <w:r>
        <w:rPr>
          <w:sz w:val="24"/>
          <w:szCs w:val="24"/>
          <w:lang w:eastAsia="zh-CN"/>
        </w:rPr>
        <w:t>□</w:t>
      </w:r>
      <w:r>
        <w:rPr>
          <w:sz w:val="24"/>
          <w:szCs w:val="24"/>
          <w:lang w:eastAsia="zh-CN"/>
        </w:rPr>
        <w:tab/>
      </w:r>
      <w:r>
        <w:rPr>
          <w:sz w:val="24"/>
          <w:szCs w:val="24"/>
          <w:lang w:eastAsia="zh-CN"/>
        </w:rPr>
        <w:t>其他：</w:t>
      </w:r>
    </w:p>
    <w:p w14:paraId="6AE19D0E">
      <w:pPr>
        <w:pStyle w:val="24"/>
        <w:spacing w:before="120"/>
        <w:ind w:left="1332" w:hanging="482"/>
        <w:rPr>
          <w:sz w:val="24"/>
          <w:szCs w:val="24"/>
        </w:rPr>
      </w:pPr>
      <w:r>
        <w:rPr>
          <w:sz w:val="24"/>
          <w:szCs w:val="24"/>
          <w:lang w:eastAsia="zh-CN"/>
        </w:rPr>
        <w:t>□</w:t>
      </w:r>
      <w:r>
        <w:rPr>
          <w:sz w:val="24"/>
          <w:szCs w:val="24"/>
          <w:lang w:eastAsia="zh-CN"/>
        </w:rPr>
        <w:tab/>
      </w:r>
      <w:r>
        <w:rPr>
          <w:sz w:val="24"/>
          <w:szCs w:val="24"/>
          <w:lang w:eastAsia="zh-CN"/>
        </w:rPr>
        <w:t>无</w:t>
      </w:r>
    </w:p>
    <w:p w14:paraId="6AE19D0F">
      <w:pPr>
        <w:pStyle w:val="24"/>
        <w:spacing w:before="120"/>
      </w:pPr>
    </w:p>
    <w:tbl>
      <w:tblPr>
        <w:tblStyle w:val="8"/>
        <w:tblW w:w="0" w:type="auto"/>
        <w:tblInd w:w="9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7513"/>
      </w:tblGrid>
      <w:tr w14:paraId="6AE19D13">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858" w:hRule="atLeast"/>
        </w:trPr>
        <w:tc>
          <w:tcPr>
            <w:tcW w:w="7513" w:type="dxa"/>
            <w:shd w:val="clear" w:color="auto" w:fill="FFFFFF"/>
            <w:vAlign w:val="center"/>
          </w:tcPr>
          <w:p w14:paraId="6AE19D10">
            <w:pPr>
              <w:snapToGrid w:val="0"/>
              <w:spacing w:before="120" w:beforeLines="50"/>
              <w:jc w:val="both"/>
              <w:rPr>
                <w:lang w:eastAsia="zh-CN"/>
              </w:rPr>
            </w:pPr>
            <w:r>
              <w:rPr>
                <w:b/>
                <w:bCs/>
                <w:lang w:eastAsia="zh-CN"/>
              </w:rPr>
              <w:t>Q6：</w:t>
            </w:r>
            <w:r>
              <w:rPr>
                <w:rFonts w:hint="eastAsia"/>
                <w:b/>
                <w:bCs/>
                <w:lang w:eastAsia="zh-CN"/>
              </w:rPr>
              <w:t>：当</w:t>
            </w:r>
            <w:r>
              <w:rPr>
                <w:b/>
                <w:bCs/>
                <w:lang w:eastAsia="zh-CN"/>
              </w:rPr>
              <w:t>考虑其他相关考虑因素时，获益是否超过风险？</w:t>
            </w:r>
          </w:p>
          <w:p w14:paraId="6AE19D11">
            <w:pPr>
              <w:tabs>
                <w:tab w:val="left" w:pos="235"/>
              </w:tabs>
              <w:snapToGrid w:val="0"/>
              <w:spacing w:before="120" w:beforeLines="50"/>
              <w:jc w:val="both"/>
              <w:rPr>
                <w:lang w:eastAsia="zh-CN"/>
              </w:rPr>
            </w:pPr>
            <w:r>
              <w:rPr>
                <w:lang w:eastAsia="zh-CN"/>
              </w:rPr>
              <w:t>□ 是 - 本器械的获益超过风险，为此额外考虑相关因素不会改变该判定</w:t>
            </w:r>
          </w:p>
          <w:p w14:paraId="6AE19D12">
            <w:pPr>
              <w:tabs>
                <w:tab w:val="left" w:pos="245"/>
              </w:tabs>
              <w:snapToGrid w:val="0"/>
              <w:spacing w:before="120" w:beforeLines="50"/>
              <w:jc w:val="both"/>
              <w:rPr>
                <w:lang w:eastAsia="zh-CN"/>
              </w:rPr>
            </w:pPr>
            <w:r>
              <w:rPr>
                <w:lang w:eastAsia="zh-CN"/>
              </w:rPr>
              <w:t>□ 无法得出获益超过风险的结论 - 进一步讨论和考虑风险缓解措施是适当的 - 继续Q7</w:t>
            </w:r>
          </w:p>
        </w:tc>
      </w:tr>
    </w:tbl>
    <w:p w14:paraId="6AE19D14">
      <w:pPr>
        <w:snapToGrid w:val="0"/>
        <w:spacing w:before="120" w:beforeLines="50"/>
        <w:jc w:val="both"/>
        <w:rPr>
          <w:lang w:eastAsia="zh-CN"/>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4" w:hRule="atLeast"/>
        </w:trPr>
        <w:tc>
          <w:tcPr>
            <w:tcW w:w="5000" w:type="pct"/>
            <w:shd w:val="clear" w:color="auto" w:fill="FFFFFF"/>
            <w:vAlign w:val="center"/>
          </w:tcPr>
          <w:p w14:paraId="6AE19D15">
            <w:pPr>
              <w:snapToGrid w:val="0"/>
              <w:spacing w:before="120" w:beforeLines="50"/>
              <w:jc w:val="both"/>
              <w:rPr>
                <w:b/>
                <w:bCs/>
                <w:u w:val="single"/>
                <w:lang w:eastAsia="zh-CN"/>
              </w:rPr>
            </w:pPr>
            <w:r>
              <w:rPr>
                <w:b/>
                <w:bCs/>
                <w:u w:val="single"/>
                <w:lang w:eastAsia="zh-CN"/>
              </w:rPr>
              <w:t>考虑到其他相关考虑因素，获益-风险评估总结</w:t>
            </w:r>
          </w:p>
          <w:p w14:paraId="6AE19D16">
            <w:pPr>
              <w:snapToGrid w:val="0"/>
              <w:spacing w:before="120" w:beforeLines="50"/>
              <w:jc w:val="both"/>
              <w:rPr>
                <w:lang w:eastAsia="zh-CN"/>
              </w:rPr>
            </w:pPr>
            <w:r>
              <w:rPr>
                <w:b/>
                <w:bCs/>
                <w:lang w:eastAsia="zh-CN"/>
              </w:rPr>
              <w:t>对于拟定适应症：</w:t>
            </w:r>
          </w:p>
          <w:p w14:paraId="6AE19D17">
            <w:pPr>
              <w:snapToGrid w:val="0"/>
              <w:spacing w:before="120" w:beforeLines="50"/>
              <w:jc w:val="both"/>
            </w:pPr>
            <w:r>
              <w:rPr>
                <w:lang w:eastAsia="zh-CN"/>
              </w:rPr>
              <w:t>总结拟定适应症已经得到证实的临床获益以及获益与风险相比如何的评估。描述现有替代方式（包括其获益和风险）如何影响您的评估。描述获益和风险的不确定性如何影响您的评估。包括患者观点如何影响评价的描述。</w:t>
            </w:r>
          </w:p>
        </w:tc>
      </w:tr>
    </w:tbl>
    <w:p w14:paraId="6AE19D19">
      <w:pPr>
        <w:snapToGrid w:val="0"/>
        <w:spacing w:before="120" w:beforeLines="50"/>
        <w:jc w:val="both"/>
      </w:pPr>
      <w:r>
        <w:rPr>
          <w:lang w:eastAsia="zh-CN"/>
        </w:rPr>
        <w:br w:type="page"/>
      </w:r>
    </w:p>
    <w:p w14:paraId="6AE19D1A">
      <w:pPr>
        <w:pStyle w:val="22"/>
        <w:spacing w:before="120"/>
      </w:pPr>
      <w:r>
        <w:t>7.</w:t>
      </w:r>
      <w:r>
        <w:tab/>
      </w:r>
      <w:r>
        <w:t>是否可以缓解风险以使获益超过风险？考虑如果纳入风险缓解策略以降低发生有害事件的概率并改善器械的获益-风险状况，获益是否超过风险。选择相关注意事项，然后回答以下方框中的问题。</w:t>
      </w:r>
    </w:p>
    <w:p w14:paraId="6AE19D1B">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在医生和患者说明书中额外描述已知和可能的获益和风险，包括适当的禁忌症、警告和预防措施，并描述临床事件</w:t>
      </w:r>
    </w:p>
    <w:p w14:paraId="6AE19D1C">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额外警告注意安全性信息的局限（例如</w:t>
      </w:r>
      <w:r>
        <w:rPr>
          <w:rFonts w:ascii="宋体" w:hAnsi="宋体"/>
          <w:sz w:val="24"/>
          <w:szCs w:val="24"/>
          <w:lang w:eastAsia="zh-CN"/>
        </w:rPr>
        <w:t>“</w:t>
      </w:r>
      <w:r>
        <w:rPr>
          <w:sz w:val="24"/>
          <w:szCs w:val="24"/>
          <w:lang w:eastAsia="zh-CN"/>
        </w:rPr>
        <w:t>尚未评价在[情况]中使用该器械的安全性。</w:t>
      </w:r>
      <w:r>
        <w:rPr>
          <w:rFonts w:ascii="宋体" w:hAnsi="宋体"/>
          <w:sz w:val="24"/>
          <w:szCs w:val="24"/>
          <w:lang w:eastAsia="zh-CN"/>
        </w:rPr>
        <w:t>”</w:t>
      </w:r>
      <w:r>
        <w:rPr>
          <w:sz w:val="24"/>
          <w:szCs w:val="24"/>
          <w:lang w:eastAsia="zh-CN"/>
        </w:rPr>
        <w:t>）</w:t>
      </w:r>
    </w:p>
    <w:p w14:paraId="6AE19D1D">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在器械上标记</w:t>
      </w:r>
      <w:r>
        <w:rPr>
          <w:rFonts w:ascii="宋体" w:hAnsi="宋体"/>
          <w:sz w:val="24"/>
          <w:szCs w:val="24"/>
          <w:lang w:eastAsia="zh-CN"/>
        </w:rPr>
        <w:t>“</w:t>
      </w:r>
      <w:r>
        <w:rPr>
          <w:sz w:val="24"/>
          <w:szCs w:val="24"/>
          <w:lang w:eastAsia="zh-CN"/>
        </w:rPr>
        <w:t>仅凭处方</w:t>
      </w:r>
      <w:r>
        <w:rPr>
          <w:rFonts w:ascii="宋体" w:hAnsi="宋体"/>
          <w:sz w:val="24"/>
          <w:szCs w:val="24"/>
          <w:lang w:eastAsia="zh-CN"/>
        </w:rPr>
        <w:t>”</w:t>
      </w:r>
    </w:p>
    <w:p w14:paraId="6AE19D1E">
      <w:pPr>
        <w:pStyle w:val="24"/>
        <w:tabs>
          <w:tab w:val="left" w:pos="851"/>
          <w:tab w:val="clear" w:pos="1276"/>
        </w:tabs>
        <w:spacing w:before="120"/>
        <w:ind w:left="849" w:leftChars="404" w:hanging="1" w:firstLineChars="0"/>
        <w:rPr>
          <w:sz w:val="24"/>
          <w:szCs w:val="24"/>
          <w:u w:val="single"/>
          <w:lang w:eastAsia="zh-CN"/>
        </w:rPr>
      </w:pPr>
      <w:r>
        <w:rPr>
          <w:sz w:val="24"/>
          <w:szCs w:val="24"/>
          <w:u w:val="single"/>
          <w:lang w:eastAsia="zh-CN"/>
        </w:rPr>
        <w:t>培训：</w:t>
      </w:r>
    </w:p>
    <w:p w14:paraId="6AE19D1F">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对具有特定资格或临床培训的护理人员进行限制</w:t>
      </w:r>
    </w:p>
    <w:p w14:paraId="6AE19D20">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仅供具有最低</w:t>
      </w:r>
      <w:r>
        <w:rPr>
          <w:rFonts w:hint="eastAsia"/>
          <w:sz w:val="24"/>
          <w:szCs w:val="24"/>
          <w:lang w:eastAsia="zh-CN"/>
        </w:rPr>
        <w:t>资质</w:t>
      </w:r>
      <w:r>
        <w:rPr>
          <w:sz w:val="24"/>
          <w:szCs w:val="24"/>
          <w:lang w:eastAsia="zh-CN"/>
        </w:rPr>
        <w:t>和/或受过培训的用户使用</w:t>
      </w:r>
    </w:p>
    <w:p w14:paraId="6AE19D21">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医生/用户培训计划</w:t>
      </w:r>
    </w:p>
    <w:p w14:paraId="6AE19D22">
      <w:pPr>
        <w:pStyle w:val="24"/>
        <w:tabs>
          <w:tab w:val="left" w:pos="851"/>
          <w:tab w:val="clear" w:pos="1276"/>
        </w:tabs>
        <w:spacing w:before="120"/>
        <w:ind w:left="849" w:leftChars="404" w:hanging="1" w:firstLineChars="0"/>
        <w:rPr>
          <w:sz w:val="24"/>
          <w:szCs w:val="24"/>
          <w:u w:val="single"/>
          <w:lang w:eastAsia="zh-CN"/>
        </w:rPr>
      </w:pPr>
      <w:r>
        <w:rPr>
          <w:sz w:val="24"/>
          <w:szCs w:val="24"/>
          <w:u w:val="single"/>
          <w:lang w:eastAsia="zh-CN"/>
        </w:rPr>
        <w:t>其他：</w:t>
      </w:r>
    </w:p>
    <w:p w14:paraId="6AE19D23">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器械跟踪</w:t>
      </w:r>
    </w:p>
    <w:p w14:paraId="6AE19D24">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其他：</w:t>
      </w:r>
    </w:p>
    <w:p w14:paraId="6AE19D25">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无</w:t>
      </w:r>
    </w:p>
    <w:p w14:paraId="6AE19D26">
      <w:pPr>
        <w:pStyle w:val="24"/>
        <w:spacing w:before="120"/>
        <w:rPr>
          <w:lang w:eastAsia="zh-CN"/>
        </w:rPr>
      </w:pPr>
    </w:p>
    <w:tbl>
      <w:tblPr>
        <w:tblStyle w:val="8"/>
        <w:tblW w:w="0" w:type="auto"/>
        <w:tblInd w:w="9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7371"/>
      </w:tblGrid>
      <w:tr w14:paraId="6AE19D2A">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603" w:hRule="atLeast"/>
        </w:trPr>
        <w:tc>
          <w:tcPr>
            <w:tcW w:w="7371" w:type="dxa"/>
            <w:shd w:val="clear" w:color="auto" w:fill="FFFFFF"/>
            <w:vAlign w:val="center"/>
          </w:tcPr>
          <w:p w14:paraId="6AE19D27">
            <w:pPr>
              <w:snapToGrid w:val="0"/>
              <w:spacing w:before="120" w:beforeLines="50"/>
              <w:jc w:val="both"/>
              <w:rPr>
                <w:lang w:eastAsia="zh-CN"/>
              </w:rPr>
            </w:pPr>
            <w:r>
              <w:rPr>
                <w:b/>
                <w:bCs/>
                <w:lang w:eastAsia="zh-CN"/>
              </w:rPr>
              <w:t>Q7：是否可以缓解风险以使获益超过风险？</w:t>
            </w:r>
          </w:p>
          <w:p w14:paraId="6AE19D28">
            <w:pPr>
              <w:tabs>
                <w:tab w:val="left" w:pos="235"/>
              </w:tabs>
              <w:snapToGrid w:val="0"/>
              <w:spacing w:before="120" w:beforeLines="50"/>
              <w:jc w:val="both"/>
              <w:rPr>
                <w:lang w:eastAsia="zh-CN"/>
              </w:rPr>
            </w:pPr>
            <w:r>
              <w:rPr>
                <w:lang w:eastAsia="zh-CN"/>
              </w:rPr>
              <w:t>□ 是 - 本器械的获益超过风险，为此额外考虑相关因素不会改变该判定</w:t>
            </w:r>
          </w:p>
          <w:p w14:paraId="6AE19D29">
            <w:pPr>
              <w:tabs>
                <w:tab w:val="left" w:pos="245"/>
              </w:tabs>
              <w:snapToGrid w:val="0"/>
              <w:spacing w:before="120" w:beforeLines="50"/>
              <w:jc w:val="both"/>
              <w:rPr>
                <w:lang w:eastAsia="zh-CN"/>
              </w:rPr>
            </w:pPr>
            <w:r>
              <w:rPr>
                <w:lang w:eastAsia="zh-CN"/>
              </w:rPr>
              <w:t>□ 无法得出获益超过风险的结论 - 进一步讨论和考虑上市后措施是适当的 - 继续Q8</w:t>
            </w:r>
          </w:p>
        </w:tc>
      </w:tr>
    </w:tbl>
    <w:p w14:paraId="6AE19D2B">
      <w:pPr>
        <w:snapToGrid w:val="0"/>
        <w:spacing w:before="120" w:beforeLines="50"/>
        <w:jc w:val="both"/>
        <w:rPr>
          <w:lang w:eastAsia="zh-CN"/>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trPr>
        <w:tc>
          <w:tcPr>
            <w:tcW w:w="5000" w:type="pct"/>
            <w:shd w:val="clear" w:color="auto" w:fill="FFFFFF"/>
            <w:vAlign w:val="center"/>
          </w:tcPr>
          <w:p w14:paraId="6AE19D2C">
            <w:pPr>
              <w:snapToGrid w:val="0"/>
              <w:jc w:val="both"/>
              <w:rPr>
                <w:u w:val="single"/>
                <w:lang w:eastAsia="zh-CN"/>
              </w:rPr>
            </w:pPr>
            <w:r>
              <w:rPr>
                <w:b/>
                <w:bCs/>
                <w:u w:val="single"/>
                <w:lang w:eastAsia="zh-CN"/>
              </w:rPr>
              <w:t>考虑到拟定适应症的风险缓解策略，获益-风险评估的总结：</w:t>
            </w:r>
          </w:p>
          <w:p w14:paraId="6AE19D2D">
            <w:pPr>
              <w:snapToGrid w:val="0"/>
              <w:spacing w:before="120" w:beforeLines="50"/>
              <w:jc w:val="both"/>
            </w:pPr>
            <w:r>
              <w:rPr>
                <w:lang w:eastAsia="zh-CN"/>
              </w:rPr>
              <w:t>总结拟定适应症已经得到证实的临床获益以及获益与风险相比如何的评估。描述现有替代方式（包括其获益和风险）如何影响您的评估。描述获益和风险的不确定性如何影响您的评估。包括患者观点如何影响评价的描述。</w:t>
            </w:r>
          </w:p>
        </w:tc>
      </w:tr>
    </w:tbl>
    <w:p w14:paraId="6AE19D2F">
      <w:pPr>
        <w:pStyle w:val="22"/>
        <w:spacing w:before="120"/>
      </w:pPr>
    </w:p>
    <w:p w14:paraId="6AE19D30">
      <w:pPr>
        <w:pStyle w:val="22"/>
        <w:spacing w:before="120"/>
      </w:pPr>
      <w:r>
        <w:t>8.</w:t>
      </w:r>
      <w:r>
        <w:tab/>
      </w:r>
      <w:r>
        <w:t>考虑到采取上市后措施，获益是否超过风险？选择适当的上市后措施，然后回答以下方框中的问题。</w:t>
      </w:r>
    </w:p>
    <w:p w14:paraId="6AE19D31">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在上市后收集其他和/或确认的非临床性能数据（例如批准后研究、上市后监督）</w:t>
      </w:r>
    </w:p>
    <w:p w14:paraId="6AE19D32">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在上市后收集其他和/或确认的临床数据（例如批准后研究、上市后监督）</w:t>
      </w:r>
    </w:p>
    <w:p w14:paraId="6AE19D33">
      <w:pPr>
        <w:snapToGrid w:val="0"/>
        <w:spacing w:before="120" w:beforeLines="50"/>
        <w:jc w:val="both"/>
        <w:rPr>
          <w:lang w:eastAsia="zh-CN"/>
        </w:rPr>
      </w:pPr>
      <w:r>
        <w:rPr>
          <w:lang w:eastAsia="zh-CN"/>
        </w:rPr>
        <w:br w:type="page"/>
      </w:r>
    </w:p>
    <w:p w14:paraId="6AE19D34">
      <w:pPr>
        <w:pStyle w:val="25"/>
        <w:spacing w:before="120" w:line="400" w:lineRule="exact"/>
        <w:ind w:left="1762" w:hanging="485"/>
        <w:rPr>
          <w:sz w:val="24"/>
          <w:szCs w:val="24"/>
          <w:lang w:eastAsia="zh-CN"/>
        </w:rPr>
      </w:pPr>
      <w:r>
        <w:rPr>
          <w:sz w:val="24"/>
          <w:szCs w:val="24"/>
          <w:lang w:eastAsia="zh-CN"/>
        </w:rPr>
        <w:t>如果检查了上市后申请中的非临床或临床性能数据收集，请考虑：</w:t>
      </w:r>
    </w:p>
    <w:p w14:paraId="6AE19D35">
      <w:pPr>
        <w:pStyle w:val="25"/>
        <w:spacing w:before="120" w:line="400" w:lineRule="exact"/>
        <w:ind w:left="1762" w:hanging="485"/>
        <w:rPr>
          <w:sz w:val="24"/>
          <w:szCs w:val="24"/>
          <w:lang w:eastAsia="zh-CN"/>
        </w:rPr>
      </w:pPr>
      <w:r>
        <w:rPr>
          <w:sz w:val="24"/>
          <w:szCs w:val="24"/>
          <w:lang w:eastAsia="zh-CN"/>
        </w:rPr>
        <w:t>□</w:t>
      </w:r>
      <w:r>
        <w:rPr>
          <w:sz w:val="24"/>
          <w:szCs w:val="24"/>
          <w:lang w:eastAsia="zh-CN"/>
        </w:rPr>
        <w:tab/>
      </w:r>
      <w:r>
        <w:rPr>
          <w:sz w:val="24"/>
          <w:szCs w:val="24"/>
          <w:lang w:eastAsia="zh-CN"/>
        </w:rPr>
        <w:t>在合理的时间段内完成上市后数据收集的可行性和完成上市后数据收集的可能性</w:t>
      </w:r>
    </w:p>
    <w:p w14:paraId="6AE19D36">
      <w:pPr>
        <w:pStyle w:val="25"/>
        <w:spacing w:before="120" w:line="400" w:lineRule="exact"/>
        <w:ind w:left="1762" w:hanging="485"/>
        <w:rPr>
          <w:sz w:val="24"/>
          <w:szCs w:val="24"/>
          <w:lang w:eastAsia="zh-CN"/>
        </w:rPr>
      </w:pPr>
      <w:r>
        <w:rPr>
          <w:sz w:val="24"/>
          <w:szCs w:val="24"/>
          <w:lang w:eastAsia="zh-CN"/>
        </w:rPr>
        <w:t>□</w:t>
      </w:r>
      <w:r>
        <w:rPr>
          <w:sz w:val="24"/>
          <w:szCs w:val="24"/>
          <w:lang w:eastAsia="zh-CN"/>
        </w:rPr>
        <w:tab/>
      </w:r>
      <w:r>
        <w:rPr>
          <w:sz w:val="24"/>
          <w:szCs w:val="24"/>
          <w:lang w:eastAsia="zh-CN"/>
        </w:rPr>
        <w:t>在标签中描述上市后数据收集及其目的是否合适</w:t>
      </w:r>
    </w:p>
    <w:p w14:paraId="6AE19D37">
      <w:pPr>
        <w:pStyle w:val="24"/>
        <w:spacing w:before="120" w:line="400" w:lineRule="exact"/>
        <w:ind w:left="1332" w:hanging="482"/>
        <w:rPr>
          <w:sz w:val="24"/>
          <w:szCs w:val="24"/>
        </w:rPr>
      </w:pPr>
      <w:r>
        <w:rPr>
          <w:sz w:val="24"/>
          <w:szCs w:val="24"/>
          <w:lang w:eastAsia="zh-CN"/>
        </w:rPr>
        <w:t>□</w:t>
      </w:r>
      <w:r>
        <w:rPr>
          <w:sz w:val="24"/>
          <w:szCs w:val="24"/>
          <w:lang w:eastAsia="zh-CN"/>
        </w:rPr>
        <w:tab/>
      </w:r>
      <w:r>
        <w:rPr>
          <w:sz w:val="24"/>
          <w:szCs w:val="24"/>
          <w:lang w:eastAsia="zh-CN"/>
        </w:rPr>
        <w:t>其他：</w:t>
      </w:r>
    </w:p>
    <w:p w14:paraId="6AE19D38">
      <w:pPr>
        <w:pStyle w:val="24"/>
        <w:spacing w:before="120" w:line="400" w:lineRule="exact"/>
        <w:ind w:left="1332" w:hanging="482"/>
        <w:rPr>
          <w:sz w:val="24"/>
          <w:szCs w:val="24"/>
        </w:rPr>
      </w:pPr>
      <w:r>
        <w:rPr>
          <w:sz w:val="24"/>
          <w:szCs w:val="24"/>
          <w:lang w:eastAsia="zh-CN"/>
        </w:rPr>
        <w:t>□</w:t>
      </w:r>
      <w:r>
        <w:rPr>
          <w:sz w:val="24"/>
          <w:szCs w:val="24"/>
          <w:lang w:eastAsia="zh-CN"/>
        </w:rPr>
        <w:tab/>
      </w:r>
      <w:r>
        <w:rPr>
          <w:sz w:val="24"/>
          <w:szCs w:val="24"/>
          <w:lang w:eastAsia="zh-CN"/>
        </w:rPr>
        <w:t>无</w:t>
      </w:r>
    </w:p>
    <w:p w14:paraId="6AE19D39">
      <w:pPr>
        <w:pStyle w:val="24"/>
        <w:spacing w:before="120" w:line="400" w:lineRule="exact"/>
      </w:pPr>
    </w:p>
    <w:tbl>
      <w:tblPr>
        <w:tblStyle w:val="8"/>
        <w:tblW w:w="0" w:type="auto"/>
        <w:tblInd w:w="9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7513"/>
      </w:tblGrid>
      <w:tr w14:paraId="6AE19D3D">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090" w:hRule="atLeast"/>
        </w:trPr>
        <w:tc>
          <w:tcPr>
            <w:tcW w:w="7513" w:type="dxa"/>
            <w:shd w:val="clear" w:color="auto" w:fill="FFFFFF"/>
            <w:vAlign w:val="center"/>
          </w:tcPr>
          <w:p w14:paraId="6AE19D3A">
            <w:pPr>
              <w:snapToGrid w:val="0"/>
              <w:spacing w:before="120" w:beforeLines="50" w:line="400" w:lineRule="exact"/>
              <w:jc w:val="both"/>
              <w:rPr>
                <w:lang w:eastAsia="zh-CN"/>
              </w:rPr>
            </w:pPr>
            <w:r>
              <w:rPr>
                <w:b/>
                <w:bCs/>
                <w:lang w:eastAsia="zh-CN"/>
              </w:rPr>
              <w:t>Q8：考虑到采取上市后措施，获益是否超过风险？</w:t>
            </w:r>
          </w:p>
          <w:p w14:paraId="6AE19D3B">
            <w:pPr>
              <w:tabs>
                <w:tab w:val="left" w:pos="221"/>
              </w:tabs>
              <w:snapToGrid w:val="0"/>
              <w:spacing w:before="120" w:beforeLines="50" w:line="400" w:lineRule="exact"/>
              <w:jc w:val="both"/>
              <w:rPr>
                <w:lang w:eastAsia="zh-CN"/>
              </w:rPr>
            </w:pPr>
            <w:r>
              <w:rPr>
                <w:lang w:eastAsia="zh-CN"/>
              </w:rPr>
              <w:t>□ 是 - 获益超过手术风险</w:t>
            </w:r>
          </w:p>
          <w:p w14:paraId="6AE19D3C">
            <w:pPr>
              <w:tabs>
                <w:tab w:val="left" w:pos="230"/>
              </w:tabs>
              <w:snapToGrid w:val="0"/>
              <w:spacing w:before="120" w:beforeLines="50" w:line="400" w:lineRule="exact"/>
              <w:jc w:val="both"/>
              <w:rPr>
                <w:lang w:eastAsia="zh-CN"/>
              </w:rPr>
            </w:pPr>
            <w:r>
              <w:rPr>
                <w:lang w:eastAsia="zh-CN"/>
              </w:rPr>
              <w:t>□ 无法得出获益超过风险的结论 - 继续Q9</w:t>
            </w:r>
          </w:p>
        </w:tc>
      </w:tr>
    </w:tbl>
    <w:p w14:paraId="6AE19D3E">
      <w:pPr>
        <w:snapToGrid w:val="0"/>
        <w:spacing w:before="120" w:beforeLines="50" w:line="400" w:lineRule="exact"/>
        <w:jc w:val="both"/>
        <w:rPr>
          <w:lang w:eastAsia="zh-CN"/>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6" w:hRule="atLeast"/>
        </w:trPr>
        <w:tc>
          <w:tcPr>
            <w:tcW w:w="5000" w:type="pct"/>
            <w:shd w:val="clear" w:color="auto" w:fill="FFFFFF"/>
            <w:vAlign w:val="center"/>
          </w:tcPr>
          <w:p w14:paraId="6AE19D3F">
            <w:pPr>
              <w:snapToGrid w:val="0"/>
              <w:spacing w:before="120" w:beforeLines="50" w:line="400" w:lineRule="exact"/>
              <w:jc w:val="both"/>
              <w:rPr>
                <w:b/>
                <w:bCs/>
                <w:u w:val="single"/>
                <w:lang w:eastAsia="zh-CN"/>
              </w:rPr>
            </w:pPr>
            <w:r>
              <w:rPr>
                <w:b/>
                <w:bCs/>
                <w:u w:val="single"/>
                <w:lang w:eastAsia="zh-CN"/>
              </w:rPr>
              <w:t xml:space="preserve">考虑到上市后措施，获益-风险评估总结 </w:t>
            </w:r>
          </w:p>
          <w:p w14:paraId="6AE19D40">
            <w:pPr>
              <w:snapToGrid w:val="0"/>
              <w:spacing w:before="120" w:beforeLines="50" w:line="400" w:lineRule="exact"/>
              <w:jc w:val="both"/>
              <w:rPr>
                <w:lang w:eastAsia="zh-CN"/>
              </w:rPr>
            </w:pPr>
            <w:r>
              <w:rPr>
                <w:b/>
                <w:bCs/>
                <w:lang w:eastAsia="zh-CN"/>
              </w:rPr>
              <w:t>对于拟定适应症：</w:t>
            </w:r>
          </w:p>
          <w:p w14:paraId="6AE19D41">
            <w:pPr>
              <w:snapToGrid w:val="0"/>
              <w:spacing w:before="120" w:beforeLines="50" w:line="400" w:lineRule="exact"/>
              <w:jc w:val="both"/>
            </w:pPr>
            <w:r>
              <w:rPr>
                <w:lang w:eastAsia="zh-CN"/>
              </w:rPr>
              <w:t>总结拟定适应症已经得到证实的获益以及获益与风险相比如何的评估。描述现有替代方式（包括其获益和风险）如何影响您的评估。描述获益和风险的不确定性如何影响您的评估。包括患者观点如何影响评价的描述。</w:t>
            </w:r>
          </w:p>
        </w:tc>
      </w:tr>
    </w:tbl>
    <w:p w14:paraId="6AE19D43">
      <w:pPr>
        <w:snapToGrid w:val="0"/>
        <w:spacing w:before="120" w:beforeLines="50" w:line="400" w:lineRule="exact"/>
        <w:jc w:val="both"/>
      </w:pPr>
    </w:p>
    <w:tbl>
      <w:tblPr>
        <w:tblStyle w:val="8"/>
        <w:tblW w:w="0" w:type="auto"/>
        <w:tblInd w:w="9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7513"/>
      </w:tblGrid>
      <w:tr w14:paraId="6AE19D47">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090" w:hRule="atLeast"/>
        </w:trPr>
        <w:tc>
          <w:tcPr>
            <w:tcW w:w="7513" w:type="dxa"/>
            <w:shd w:val="clear" w:color="auto" w:fill="FFFFFF"/>
            <w:vAlign w:val="center"/>
          </w:tcPr>
          <w:p w14:paraId="6AE19D44">
            <w:pPr>
              <w:snapToGrid w:val="0"/>
              <w:spacing w:before="120" w:beforeLines="50" w:line="400" w:lineRule="exact"/>
              <w:jc w:val="both"/>
              <w:rPr>
                <w:lang w:eastAsia="zh-CN"/>
              </w:rPr>
            </w:pPr>
            <w:r>
              <w:rPr>
                <w:b/>
                <w:bCs/>
                <w:lang w:eastAsia="zh-CN"/>
              </w:rPr>
              <w:t>Q9：修改后的适应症是否具有临床获益？</w:t>
            </w:r>
          </w:p>
          <w:p w14:paraId="6AE19D45">
            <w:pPr>
              <w:tabs>
                <w:tab w:val="left" w:pos="221"/>
              </w:tabs>
              <w:snapToGrid w:val="0"/>
              <w:spacing w:before="120" w:beforeLines="50" w:line="400" w:lineRule="exact"/>
              <w:jc w:val="both"/>
              <w:rPr>
                <w:lang w:eastAsia="zh-CN"/>
              </w:rPr>
            </w:pPr>
            <w:r>
              <w:rPr>
                <w:lang w:eastAsia="zh-CN"/>
              </w:rPr>
              <w:t xml:space="preserve">□ 是 </w:t>
            </w:r>
            <w:r>
              <w:rPr>
                <w:lang w:eastAsia="zh-CN"/>
              </w:rPr>
              <w:sym w:font="Wingdings" w:char="F0E8"/>
            </w:r>
            <w:r>
              <w:rPr>
                <w:lang w:eastAsia="zh-CN"/>
              </w:rPr>
              <w:t>返回Q1并继续修改后的适应症</w:t>
            </w:r>
          </w:p>
          <w:p w14:paraId="6AE19D46">
            <w:pPr>
              <w:tabs>
                <w:tab w:val="left" w:pos="221"/>
              </w:tabs>
              <w:snapToGrid w:val="0"/>
              <w:spacing w:before="120" w:beforeLines="50" w:line="400" w:lineRule="exact"/>
              <w:jc w:val="both"/>
            </w:pPr>
            <w:r>
              <w:rPr>
                <w:lang w:eastAsia="zh-CN"/>
              </w:rPr>
              <w:t xml:space="preserve">□ 否 </w:t>
            </w:r>
            <w:r>
              <w:rPr>
                <w:lang w:eastAsia="zh-CN"/>
              </w:rPr>
              <w:sym w:font="Wingdings" w:char="F0E8"/>
            </w:r>
            <w:r>
              <w:rPr>
                <w:lang w:eastAsia="zh-CN"/>
              </w:rPr>
              <w:t xml:space="preserve"> 未批准/授予</w:t>
            </w:r>
          </w:p>
        </w:tc>
      </w:tr>
    </w:tbl>
    <w:p w14:paraId="6AE19D48">
      <w:pPr>
        <w:snapToGrid w:val="0"/>
        <w:spacing w:before="120" w:beforeLines="50" w:line="400" w:lineRule="exact"/>
        <w:jc w:val="both"/>
      </w:pPr>
      <w:r>
        <w:rPr>
          <w:lang w:eastAsia="zh-CN"/>
        </w:rPr>
        <w:br w:type="page"/>
      </w:r>
    </w:p>
    <w:p w14:paraId="6AE19D49">
      <w:pPr>
        <w:pStyle w:val="20"/>
        <w:spacing w:before="120" w:after="120"/>
        <w:jc w:val="center"/>
      </w:pPr>
      <w:bookmarkStart w:id="88" w:name="bookmark70"/>
      <w:bookmarkStart w:id="89" w:name="_Toc97318829"/>
      <w:r>
        <w:rPr>
          <w:lang w:eastAsia="zh-CN"/>
        </w:rPr>
        <w:t>获益-风险评估总结</w:t>
      </w:r>
      <w:bookmarkEnd w:id="88"/>
      <w:bookmarkEnd w:id="89"/>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3246"/>
        <w:gridCol w:w="3376"/>
        <w:gridCol w:w="2563"/>
      </w:tblGrid>
      <w:tr w14:paraId="6AE1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7" w:hRule="atLeast"/>
        </w:trPr>
        <w:tc>
          <w:tcPr>
            <w:tcW w:w="1767" w:type="pct"/>
            <w:vMerge w:val="restart"/>
            <w:shd w:val="clear" w:color="auto" w:fill="FFFFFF"/>
            <w:vAlign w:val="center"/>
          </w:tcPr>
          <w:p w14:paraId="6AE19D4A">
            <w:pPr>
              <w:snapToGrid w:val="0"/>
              <w:jc w:val="both"/>
              <w:rPr>
                <w:lang w:eastAsia="zh-CN"/>
              </w:rPr>
            </w:pPr>
            <w:bookmarkStart w:id="90" w:name="bookmark71"/>
            <w:r>
              <w:rPr>
                <w:lang w:eastAsia="zh-CN"/>
              </w:rPr>
              <w:t>基于数据器械名称的总和：</w:t>
            </w:r>
            <w:bookmarkEnd w:id="90"/>
          </w:p>
          <w:p w14:paraId="6AE19D4B">
            <w:pPr>
              <w:snapToGrid w:val="0"/>
              <w:jc w:val="both"/>
              <w:rPr>
                <w:lang w:eastAsia="zh-CN"/>
              </w:rPr>
            </w:pPr>
            <w:r>
              <w:rPr>
                <w:lang w:eastAsia="zh-CN"/>
              </w:rPr>
              <w:t>PMA/新分类编号：</w:t>
            </w:r>
          </w:p>
          <w:p w14:paraId="6AE19D4C">
            <w:pPr>
              <w:snapToGrid w:val="0"/>
              <w:jc w:val="both"/>
              <w:rPr>
                <w:lang w:eastAsia="zh-CN"/>
              </w:rPr>
            </w:pPr>
            <w:r>
              <w:rPr>
                <w:lang w:eastAsia="zh-CN"/>
              </w:rPr>
              <w:t>□ 中期 □ 最终</w:t>
            </w:r>
          </w:p>
        </w:tc>
        <w:tc>
          <w:tcPr>
            <w:tcW w:w="3233" w:type="pct"/>
            <w:gridSpan w:val="2"/>
            <w:tcBorders>
              <w:bottom w:val="single" w:color="auto" w:sz="4" w:space="0"/>
            </w:tcBorders>
            <w:shd w:val="clear" w:color="auto" w:fill="00B0F0"/>
            <w:vAlign w:val="center"/>
          </w:tcPr>
          <w:p w14:paraId="6AE19D4D">
            <w:pPr>
              <w:snapToGrid w:val="0"/>
              <w:jc w:val="center"/>
            </w:pPr>
            <w:r>
              <w:rPr>
                <w:b/>
                <w:bCs/>
                <w:lang w:eastAsia="zh-CN"/>
              </w:rPr>
              <w:t>拟定适应症</w:t>
            </w:r>
          </w:p>
        </w:tc>
      </w:tr>
      <w:tr w14:paraId="6AE1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2" w:hRule="atLeast"/>
        </w:trPr>
        <w:tc>
          <w:tcPr>
            <w:tcW w:w="1767" w:type="pct"/>
            <w:vMerge w:val="continue"/>
            <w:tcBorders>
              <w:bottom w:val="single" w:color="auto" w:sz="4" w:space="0"/>
            </w:tcBorders>
            <w:shd w:val="clear" w:color="auto" w:fill="FFFFFF"/>
            <w:vAlign w:val="center"/>
          </w:tcPr>
          <w:p w14:paraId="6AE19D4F">
            <w:pPr>
              <w:snapToGrid w:val="0"/>
              <w:jc w:val="both"/>
            </w:pPr>
          </w:p>
        </w:tc>
        <w:tc>
          <w:tcPr>
            <w:tcW w:w="3233" w:type="pct"/>
            <w:gridSpan w:val="2"/>
            <w:tcBorders>
              <w:bottom w:val="single" w:color="auto" w:sz="4" w:space="0"/>
            </w:tcBorders>
            <w:shd w:val="clear" w:color="auto" w:fill="B8CCE4" w:themeFill="accent1" w:themeFillTint="66"/>
            <w:vAlign w:val="center"/>
          </w:tcPr>
          <w:p w14:paraId="6AE19D50">
            <w:pPr>
              <w:snapToGrid w:val="0"/>
              <w:jc w:val="center"/>
            </w:pPr>
          </w:p>
        </w:tc>
      </w:tr>
      <w:tr w14:paraId="6AE1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7" w:hRule="atLeast"/>
        </w:trPr>
        <w:tc>
          <w:tcPr>
            <w:tcW w:w="1767" w:type="pct"/>
            <w:vMerge w:val="restart"/>
            <w:shd w:val="clear" w:color="auto" w:fill="D6E3BC" w:themeFill="accent3" w:themeFillTint="66"/>
            <w:vAlign w:val="center"/>
          </w:tcPr>
          <w:p w14:paraId="6AE19D52">
            <w:pPr>
              <w:snapToGrid w:val="0"/>
              <w:jc w:val="both"/>
            </w:pPr>
            <w:r>
              <w:rPr>
                <w:b/>
                <w:bCs/>
                <w:sz w:val="24"/>
                <w:szCs w:val="24"/>
                <w:lang w:eastAsia="zh-CN"/>
              </w:rPr>
              <w:t>获益评估</w:t>
            </w:r>
          </w:p>
        </w:tc>
        <w:tc>
          <w:tcPr>
            <w:tcW w:w="3233" w:type="pct"/>
            <w:gridSpan w:val="2"/>
            <w:tcBorders>
              <w:bottom w:val="nil"/>
            </w:tcBorders>
            <w:shd w:val="clear" w:color="auto" w:fill="D6E3BC" w:themeFill="accent3" w:themeFillTint="66"/>
          </w:tcPr>
          <w:p w14:paraId="6AE19D53">
            <w:pPr>
              <w:snapToGrid w:val="0"/>
              <w:jc w:val="both"/>
              <w:rPr>
                <w:lang w:eastAsia="zh-CN"/>
              </w:rPr>
            </w:pPr>
            <w:r>
              <w:rPr>
                <w:lang w:eastAsia="zh-CN"/>
              </w:rPr>
              <w:t>从以下方面考虑获益：</w:t>
            </w:r>
          </w:p>
        </w:tc>
      </w:tr>
      <w:tr w14:paraId="6AE1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trPr>
        <w:tc>
          <w:tcPr>
            <w:tcW w:w="1767" w:type="pct"/>
            <w:vMerge w:val="continue"/>
            <w:shd w:val="clear" w:color="auto" w:fill="D6E3BC" w:themeFill="accent3" w:themeFillTint="66"/>
            <w:vAlign w:val="center"/>
          </w:tcPr>
          <w:p w14:paraId="6AE19D55">
            <w:pPr>
              <w:snapToGrid w:val="0"/>
              <w:jc w:val="both"/>
              <w:rPr>
                <w:lang w:eastAsia="zh-CN"/>
              </w:rPr>
            </w:pPr>
          </w:p>
        </w:tc>
        <w:tc>
          <w:tcPr>
            <w:tcW w:w="1838" w:type="pct"/>
            <w:tcBorders>
              <w:top w:val="nil"/>
              <w:right w:val="single" w:color="auto" w:sz="4" w:space="0"/>
            </w:tcBorders>
            <w:shd w:val="clear" w:color="auto" w:fill="D6E3BC" w:themeFill="accent3" w:themeFillTint="66"/>
          </w:tcPr>
          <w:p w14:paraId="6AE19D56">
            <w:pPr>
              <w:tabs>
                <w:tab w:val="left" w:pos="355"/>
              </w:tabs>
              <w:snapToGrid w:val="0"/>
              <w:jc w:val="both"/>
              <w:rPr>
                <w:lang w:eastAsia="zh-CN"/>
              </w:rPr>
            </w:pPr>
            <w:r>
              <w:rPr>
                <w:lang w:eastAsia="zh-CN"/>
              </w:rPr>
              <w:t>•</w:t>
            </w:r>
            <w:r>
              <w:rPr>
                <w:lang w:eastAsia="zh-CN"/>
              </w:rPr>
              <w:tab/>
            </w:r>
            <w:r>
              <w:rPr>
                <w:lang w:eastAsia="zh-CN"/>
              </w:rPr>
              <w:t>类型</w:t>
            </w:r>
          </w:p>
          <w:p w14:paraId="6AE19D57">
            <w:pPr>
              <w:tabs>
                <w:tab w:val="left" w:pos="355"/>
              </w:tabs>
              <w:snapToGrid w:val="0"/>
              <w:jc w:val="both"/>
              <w:rPr>
                <w:lang w:eastAsia="zh-CN"/>
              </w:rPr>
            </w:pPr>
            <w:r>
              <w:rPr>
                <w:lang w:eastAsia="zh-CN"/>
              </w:rPr>
              <w:t>•</w:t>
            </w:r>
            <w:r>
              <w:rPr>
                <w:lang w:eastAsia="zh-CN"/>
              </w:rPr>
              <w:tab/>
            </w:r>
            <w:r>
              <w:rPr>
                <w:lang w:eastAsia="zh-CN"/>
              </w:rPr>
              <w:t>程度</w:t>
            </w:r>
          </w:p>
          <w:p w14:paraId="6AE19D58">
            <w:pPr>
              <w:tabs>
                <w:tab w:val="left" w:pos="355"/>
              </w:tabs>
              <w:snapToGrid w:val="0"/>
              <w:jc w:val="both"/>
              <w:rPr>
                <w:lang w:eastAsia="zh-CN"/>
              </w:rPr>
            </w:pPr>
            <w:r>
              <w:rPr>
                <w:lang w:eastAsia="zh-CN"/>
              </w:rPr>
              <w:t>•</w:t>
            </w:r>
            <w:r>
              <w:rPr>
                <w:lang w:eastAsia="zh-CN"/>
              </w:rPr>
              <w:tab/>
            </w:r>
            <w:r>
              <w:rPr>
                <w:lang w:eastAsia="zh-CN"/>
              </w:rPr>
              <w:t>概率</w:t>
            </w:r>
          </w:p>
          <w:p w14:paraId="6AE19D59">
            <w:pPr>
              <w:tabs>
                <w:tab w:val="left" w:pos="355"/>
              </w:tabs>
              <w:snapToGrid w:val="0"/>
              <w:jc w:val="both"/>
              <w:rPr>
                <w:lang w:eastAsia="zh-CN"/>
              </w:rPr>
            </w:pPr>
            <w:r>
              <w:rPr>
                <w:lang w:eastAsia="zh-CN"/>
              </w:rPr>
              <w:t>•</w:t>
            </w:r>
            <w:r>
              <w:rPr>
                <w:lang w:eastAsia="zh-CN"/>
              </w:rPr>
              <w:tab/>
            </w:r>
            <w:r>
              <w:rPr>
                <w:lang w:eastAsia="zh-CN"/>
              </w:rPr>
              <w:t>效应持续时间</w:t>
            </w:r>
          </w:p>
        </w:tc>
        <w:tc>
          <w:tcPr>
            <w:tcW w:w="1395" w:type="pct"/>
            <w:tcBorders>
              <w:top w:val="nil"/>
              <w:left w:val="single" w:color="auto" w:sz="4" w:space="0"/>
            </w:tcBorders>
            <w:shd w:val="clear" w:color="auto" w:fill="D6E3BC" w:themeFill="accent3" w:themeFillTint="66"/>
          </w:tcPr>
          <w:p w14:paraId="6AE19D5A">
            <w:pPr>
              <w:tabs>
                <w:tab w:val="left" w:pos="355"/>
              </w:tabs>
              <w:snapToGrid w:val="0"/>
              <w:ind w:left="420" w:hanging="420" w:hangingChars="200"/>
              <w:jc w:val="both"/>
              <w:rPr>
                <w:lang w:eastAsia="zh-CN"/>
              </w:rPr>
            </w:pPr>
            <w:r>
              <w:rPr>
                <w:lang w:eastAsia="zh-CN"/>
              </w:rPr>
              <w:t>•</w:t>
            </w:r>
            <w:r>
              <w:rPr>
                <w:lang w:eastAsia="zh-CN"/>
              </w:rPr>
              <w:tab/>
            </w:r>
            <w:r>
              <w:rPr>
                <w:lang w:eastAsia="zh-CN"/>
              </w:rPr>
              <w:t>患者观点（或如适用，健康伴侣和/或医疗保健专业人员观点）</w:t>
            </w:r>
          </w:p>
          <w:p w14:paraId="6AE19D5B">
            <w:pPr>
              <w:tabs>
                <w:tab w:val="left" w:pos="360"/>
              </w:tabs>
              <w:snapToGrid w:val="0"/>
              <w:ind w:left="420" w:hanging="420" w:hangingChars="200"/>
              <w:jc w:val="both"/>
            </w:pPr>
            <w:r>
              <w:rPr>
                <w:lang w:eastAsia="zh-CN"/>
              </w:rPr>
              <w:t>•</w:t>
            </w:r>
            <w:r>
              <w:rPr>
                <w:lang w:eastAsia="zh-CN"/>
              </w:rPr>
              <w:tab/>
            </w:r>
            <w:r>
              <w:rPr>
                <w:lang w:eastAsia="zh-CN"/>
              </w:rPr>
              <w:t>其他</w:t>
            </w:r>
          </w:p>
        </w:tc>
      </w:tr>
      <w:tr w14:paraId="6AE1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trPr>
        <w:tc>
          <w:tcPr>
            <w:tcW w:w="1767" w:type="pct"/>
            <w:shd w:val="clear" w:color="auto" w:fill="FFFFFF"/>
            <w:vAlign w:val="center"/>
          </w:tcPr>
          <w:p w14:paraId="6AE19D5D">
            <w:pPr>
              <w:snapToGrid w:val="0"/>
              <w:jc w:val="both"/>
              <w:rPr>
                <w:lang w:eastAsia="zh-CN"/>
              </w:rPr>
            </w:pPr>
            <w:r>
              <w:rPr>
                <w:lang w:eastAsia="zh-CN"/>
              </w:rPr>
              <w:t>1.是否存在具有临床获益的证据？</w:t>
            </w:r>
          </w:p>
        </w:tc>
        <w:tc>
          <w:tcPr>
            <w:tcW w:w="3233" w:type="pct"/>
            <w:gridSpan w:val="2"/>
            <w:shd w:val="clear" w:color="auto" w:fill="FFFFFF"/>
            <w:vAlign w:val="center"/>
          </w:tcPr>
          <w:p w14:paraId="6AE19D5E">
            <w:pPr>
              <w:tabs>
                <w:tab w:val="left" w:pos="221"/>
              </w:tabs>
              <w:snapToGrid w:val="0"/>
              <w:jc w:val="both"/>
              <w:rPr>
                <w:lang w:eastAsia="zh-CN"/>
              </w:rPr>
            </w:pPr>
            <w:r>
              <w:rPr>
                <w:lang w:eastAsia="zh-CN"/>
              </w:rPr>
              <w:t xml:space="preserve">□ 是 </w:t>
            </w:r>
            <w:r>
              <w:rPr>
                <w:lang w:eastAsia="zh-CN"/>
              </w:rPr>
              <w:sym w:font="Wingdings" w:char="F0E8"/>
            </w:r>
            <w:r>
              <w:rPr>
                <w:lang w:eastAsia="zh-CN"/>
              </w:rPr>
              <w:t xml:space="preserve"> Q2</w:t>
            </w:r>
          </w:p>
          <w:p w14:paraId="6AE19D5F">
            <w:pPr>
              <w:tabs>
                <w:tab w:val="left" w:pos="240"/>
              </w:tabs>
              <w:snapToGrid w:val="0"/>
              <w:jc w:val="both"/>
              <w:rPr>
                <w:lang w:eastAsia="zh-CN"/>
              </w:rPr>
            </w:pPr>
            <w:r>
              <w:rPr>
                <w:lang w:eastAsia="zh-CN"/>
              </w:rPr>
              <w:t xml:space="preserve">□ 否 </w:t>
            </w:r>
            <w:r>
              <w:rPr>
                <w:lang w:eastAsia="zh-CN"/>
              </w:rPr>
              <w:sym w:font="Wingdings" w:char="F0E8"/>
            </w:r>
            <w:r>
              <w:rPr>
                <w:lang w:eastAsia="zh-CN"/>
              </w:rPr>
              <w:t xml:space="preserve"> 未批准/授予拟定适应症；继续Q9</w:t>
            </w:r>
          </w:p>
        </w:tc>
      </w:tr>
      <w:tr w14:paraId="6AE1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trPr>
        <w:tc>
          <w:tcPr>
            <w:tcW w:w="1767" w:type="pct"/>
            <w:tcBorders>
              <w:bottom w:val="single" w:color="auto" w:sz="4" w:space="0"/>
            </w:tcBorders>
            <w:shd w:val="clear" w:color="auto" w:fill="FFFFFF"/>
            <w:vAlign w:val="center"/>
          </w:tcPr>
          <w:p w14:paraId="6AE19D61">
            <w:pPr>
              <w:snapToGrid w:val="0"/>
              <w:jc w:val="both"/>
              <w:rPr>
                <w:lang w:eastAsia="zh-CN"/>
              </w:rPr>
            </w:pPr>
            <w:r>
              <w:rPr>
                <w:lang w:eastAsia="zh-CN"/>
              </w:rPr>
              <w:t>2.获益的不确定性如何？</w:t>
            </w:r>
          </w:p>
        </w:tc>
        <w:tc>
          <w:tcPr>
            <w:tcW w:w="3233" w:type="pct"/>
            <w:gridSpan w:val="2"/>
            <w:tcBorders>
              <w:bottom w:val="single" w:color="auto" w:sz="4" w:space="0"/>
            </w:tcBorders>
            <w:shd w:val="clear" w:color="auto" w:fill="FFFFFF"/>
            <w:vAlign w:val="center"/>
          </w:tcPr>
          <w:p w14:paraId="6AE19D62">
            <w:pPr>
              <w:snapToGrid w:val="0"/>
              <w:jc w:val="both"/>
              <w:rPr>
                <w:lang w:eastAsia="zh-CN"/>
              </w:rPr>
            </w:pPr>
            <w:r>
              <w:rPr>
                <w:lang w:eastAsia="zh-CN"/>
              </w:rPr>
              <w:t>□ 高 □ 中 □ 低</w:t>
            </w:r>
          </w:p>
          <w:p w14:paraId="6AE19D63">
            <w:pPr>
              <w:snapToGrid w:val="0"/>
              <w:jc w:val="both"/>
              <w:rPr>
                <w:lang w:eastAsia="zh-CN"/>
              </w:rPr>
            </w:pPr>
            <w:r>
              <w:rPr>
                <w:lang w:eastAsia="zh-CN"/>
              </w:rPr>
              <w:t>继续问题3</w:t>
            </w:r>
          </w:p>
        </w:tc>
      </w:tr>
      <w:tr w14:paraId="6AE1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 w:hRule="atLeast"/>
        </w:trPr>
        <w:tc>
          <w:tcPr>
            <w:tcW w:w="1767" w:type="pct"/>
            <w:vMerge w:val="restart"/>
            <w:shd w:val="clear" w:color="auto" w:fill="F2DBDB" w:themeFill="accent2" w:themeFillTint="33"/>
            <w:vAlign w:val="center"/>
          </w:tcPr>
          <w:p w14:paraId="6AE19D65">
            <w:pPr>
              <w:snapToGrid w:val="0"/>
              <w:jc w:val="both"/>
            </w:pPr>
            <w:r>
              <w:rPr>
                <w:b/>
                <w:bCs/>
                <w:sz w:val="24"/>
                <w:szCs w:val="24"/>
                <w:lang w:eastAsia="zh-CN"/>
              </w:rPr>
              <w:t>风险评估</w:t>
            </w:r>
          </w:p>
        </w:tc>
        <w:tc>
          <w:tcPr>
            <w:tcW w:w="1838" w:type="pct"/>
            <w:tcBorders>
              <w:bottom w:val="nil"/>
              <w:right w:val="nil"/>
            </w:tcBorders>
            <w:shd w:val="clear" w:color="auto" w:fill="F2DBDB" w:themeFill="accent2" w:themeFillTint="33"/>
          </w:tcPr>
          <w:p w14:paraId="6AE19D66">
            <w:pPr>
              <w:snapToGrid w:val="0"/>
              <w:jc w:val="both"/>
              <w:rPr>
                <w:lang w:eastAsia="zh-CN"/>
              </w:rPr>
            </w:pPr>
            <w:r>
              <w:rPr>
                <w:lang w:eastAsia="zh-CN"/>
              </w:rPr>
              <w:t>从以下方面考虑获益：</w:t>
            </w:r>
          </w:p>
        </w:tc>
        <w:tc>
          <w:tcPr>
            <w:tcW w:w="1395" w:type="pct"/>
            <w:tcBorders>
              <w:left w:val="nil"/>
              <w:bottom w:val="nil"/>
            </w:tcBorders>
            <w:shd w:val="clear" w:color="auto" w:fill="F2DBDB" w:themeFill="accent2" w:themeFillTint="33"/>
          </w:tcPr>
          <w:p w14:paraId="6AE19D67">
            <w:pPr>
              <w:snapToGrid w:val="0"/>
              <w:jc w:val="both"/>
              <w:rPr>
                <w:lang w:eastAsia="zh-CN"/>
              </w:rPr>
            </w:pPr>
          </w:p>
        </w:tc>
      </w:tr>
      <w:tr w14:paraId="6AE1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5" w:hRule="atLeast"/>
        </w:trPr>
        <w:tc>
          <w:tcPr>
            <w:tcW w:w="1767" w:type="pct"/>
            <w:vMerge w:val="continue"/>
            <w:shd w:val="clear" w:color="auto" w:fill="F2DBDB" w:themeFill="accent2" w:themeFillTint="33"/>
            <w:vAlign w:val="center"/>
          </w:tcPr>
          <w:p w14:paraId="6AE19D69">
            <w:pPr>
              <w:snapToGrid w:val="0"/>
              <w:jc w:val="both"/>
              <w:rPr>
                <w:b/>
                <w:bCs/>
                <w:lang w:eastAsia="zh-CN"/>
              </w:rPr>
            </w:pPr>
          </w:p>
        </w:tc>
        <w:tc>
          <w:tcPr>
            <w:tcW w:w="1838" w:type="pct"/>
            <w:tcBorders>
              <w:top w:val="nil"/>
              <w:right w:val="nil"/>
            </w:tcBorders>
            <w:shd w:val="clear" w:color="auto" w:fill="F2DBDB" w:themeFill="accent2" w:themeFillTint="33"/>
          </w:tcPr>
          <w:p w14:paraId="6AE19D6A">
            <w:pPr>
              <w:tabs>
                <w:tab w:val="left" w:pos="365"/>
              </w:tabs>
              <w:snapToGrid w:val="0"/>
              <w:ind w:left="420" w:hanging="420" w:hangingChars="200"/>
              <w:jc w:val="both"/>
              <w:rPr>
                <w:lang w:eastAsia="zh-CN"/>
              </w:rPr>
            </w:pPr>
            <w:r>
              <w:rPr>
                <w:lang w:eastAsia="zh-CN"/>
              </w:rPr>
              <w:t>•</w:t>
            </w:r>
            <w:r>
              <w:rPr>
                <w:lang w:eastAsia="zh-CN"/>
              </w:rPr>
              <w:tab/>
            </w:r>
            <w:r>
              <w:rPr>
                <w:lang w:eastAsia="zh-CN"/>
              </w:rPr>
              <w:t>有害事件的严重程度、类型、数量和比率</w:t>
            </w:r>
          </w:p>
          <w:p w14:paraId="6AE19D6B">
            <w:pPr>
              <w:tabs>
                <w:tab w:val="left" w:pos="355"/>
              </w:tabs>
              <w:snapToGrid w:val="0"/>
              <w:ind w:left="420" w:hanging="420" w:hangingChars="200"/>
              <w:jc w:val="both"/>
              <w:rPr>
                <w:lang w:eastAsia="zh-CN"/>
              </w:rPr>
            </w:pPr>
            <w:r>
              <w:rPr>
                <w:lang w:eastAsia="zh-CN"/>
              </w:rPr>
              <w:t>•</w:t>
            </w:r>
            <w:r>
              <w:rPr>
                <w:lang w:eastAsia="zh-CN"/>
              </w:rPr>
              <w:tab/>
            </w:r>
            <w:r>
              <w:rPr>
                <w:lang w:eastAsia="zh-CN"/>
              </w:rPr>
              <w:t>有害事件的概率</w:t>
            </w:r>
          </w:p>
          <w:p w14:paraId="6AE19D6C">
            <w:pPr>
              <w:tabs>
                <w:tab w:val="left" w:pos="355"/>
              </w:tabs>
              <w:snapToGrid w:val="0"/>
              <w:ind w:left="420" w:hanging="420" w:hangingChars="200"/>
              <w:jc w:val="both"/>
              <w:rPr>
                <w:lang w:eastAsia="zh-CN"/>
              </w:rPr>
            </w:pPr>
            <w:r>
              <w:rPr>
                <w:lang w:eastAsia="zh-CN"/>
              </w:rPr>
              <w:t>•</w:t>
            </w:r>
            <w:r>
              <w:rPr>
                <w:lang w:eastAsia="zh-CN"/>
              </w:rPr>
              <w:tab/>
            </w:r>
            <w:r>
              <w:rPr>
                <w:lang w:eastAsia="zh-CN"/>
              </w:rPr>
              <w:t>有害事件的持续时间</w:t>
            </w:r>
          </w:p>
          <w:p w14:paraId="6AE19D6D">
            <w:pPr>
              <w:snapToGrid w:val="0"/>
              <w:ind w:left="420" w:hanging="420" w:hangingChars="200"/>
              <w:jc w:val="both"/>
              <w:rPr>
                <w:lang w:eastAsia="zh-CN"/>
              </w:rPr>
            </w:pPr>
            <w:r>
              <w:rPr>
                <w:lang w:eastAsia="zh-CN"/>
              </w:rPr>
              <w:t>•</w:t>
            </w:r>
            <w:r>
              <w:rPr>
                <w:lang w:eastAsia="zh-CN"/>
              </w:rPr>
              <w:tab/>
            </w:r>
            <w:r>
              <w:rPr>
                <w:lang w:eastAsia="zh-CN"/>
              </w:rPr>
              <w:t>假阳性或假阴性结果的风险</w:t>
            </w:r>
          </w:p>
        </w:tc>
        <w:tc>
          <w:tcPr>
            <w:tcW w:w="1395" w:type="pct"/>
            <w:tcBorders>
              <w:top w:val="nil"/>
              <w:left w:val="nil"/>
            </w:tcBorders>
            <w:shd w:val="clear" w:color="auto" w:fill="F2DBDB" w:themeFill="accent2" w:themeFillTint="33"/>
          </w:tcPr>
          <w:p w14:paraId="6AE19D6E">
            <w:pPr>
              <w:snapToGrid w:val="0"/>
              <w:ind w:left="420" w:hanging="420" w:hangingChars="200"/>
              <w:jc w:val="both"/>
              <w:rPr>
                <w:lang w:eastAsia="zh-CN"/>
              </w:rPr>
            </w:pPr>
            <w:r>
              <w:rPr>
                <w:lang w:eastAsia="zh-CN"/>
              </w:rPr>
              <w:t>•</w:t>
            </w:r>
            <w:r>
              <w:rPr>
                <w:lang w:eastAsia="zh-CN"/>
              </w:rPr>
              <w:tab/>
            </w:r>
            <w:r>
              <w:rPr>
                <w:lang w:eastAsia="zh-CN"/>
              </w:rPr>
              <w:t>患者观点（或如适用，健康伴侣和/或医疗保健专业人员观点）</w:t>
            </w:r>
          </w:p>
        </w:tc>
      </w:tr>
      <w:tr w14:paraId="6AE1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7" w:hRule="atLeast"/>
        </w:trPr>
        <w:tc>
          <w:tcPr>
            <w:tcW w:w="1767" w:type="pct"/>
            <w:shd w:val="clear" w:color="auto" w:fill="FFFFFF"/>
            <w:vAlign w:val="center"/>
          </w:tcPr>
          <w:p w14:paraId="6AE19D70">
            <w:pPr>
              <w:snapToGrid w:val="0"/>
              <w:jc w:val="both"/>
              <w:rPr>
                <w:lang w:eastAsia="zh-CN"/>
              </w:rPr>
            </w:pPr>
            <w:r>
              <w:rPr>
                <w:lang w:eastAsia="zh-CN"/>
              </w:rPr>
              <w:t>3.已知/可能的风险是否超过最小值？</w:t>
            </w:r>
          </w:p>
        </w:tc>
        <w:tc>
          <w:tcPr>
            <w:tcW w:w="3233" w:type="pct"/>
            <w:gridSpan w:val="2"/>
            <w:shd w:val="clear" w:color="auto" w:fill="FFFFFF"/>
            <w:vAlign w:val="center"/>
          </w:tcPr>
          <w:p w14:paraId="6AE19D71">
            <w:pPr>
              <w:tabs>
                <w:tab w:val="left" w:pos="221"/>
              </w:tabs>
              <w:snapToGrid w:val="0"/>
              <w:jc w:val="both"/>
            </w:pPr>
            <w:r>
              <w:rPr>
                <w:lang w:eastAsia="zh-CN"/>
              </w:rPr>
              <w:t xml:space="preserve">□ 是 </w:t>
            </w:r>
            <w:r>
              <w:rPr>
                <w:lang w:eastAsia="zh-CN"/>
              </w:rPr>
              <w:sym w:font="Wingdings" w:char="F0E8"/>
            </w:r>
            <w:r>
              <w:rPr>
                <w:lang w:eastAsia="zh-CN"/>
              </w:rPr>
              <w:t xml:space="preserve"> Q4</w:t>
            </w:r>
          </w:p>
          <w:p w14:paraId="6AE19D72">
            <w:pPr>
              <w:tabs>
                <w:tab w:val="left" w:pos="221"/>
              </w:tabs>
              <w:snapToGrid w:val="0"/>
              <w:jc w:val="both"/>
            </w:pPr>
            <w:r>
              <w:rPr>
                <w:lang w:eastAsia="zh-CN"/>
              </w:rPr>
              <w:t xml:space="preserve">□ 否 </w:t>
            </w:r>
            <w:r>
              <w:rPr>
                <w:lang w:eastAsia="zh-CN"/>
              </w:rPr>
              <w:sym w:font="Wingdings" w:char="F0E8"/>
            </w:r>
            <w:r>
              <w:rPr>
                <w:lang w:eastAsia="zh-CN"/>
              </w:rPr>
              <w:t xml:space="preserve"> Q4</w:t>
            </w:r>
          </w:p>
        </w:tc>
      </w:tr>
      <w:tr w14:paraId="6AE1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trPr>
        <w:tc>
          <w:tcPr>
            <w:tcW w:w="1767" w:type="pct"/>
            <w:tcBorders>
              <w:bottom w:val="single" w:color="auto" w:sz="4" w:space="0"/>
            </w:tcBorders>
            <w:shd w:val="clear" w:color="auto" w:fill="FFFFFF"/>
            <w:vAlign w:val="center"/>
          </w:tcPr>
          <w:p w14:paraId="6AE19D74">
            <w:pPr>
              <w:snapToGrid w:val="0"/>
              <w:jc w:val="both"/>
              <w:rPr>
                <w:lang w:eastAsia="zh-CN"/>
              </w:rPr>
            </w:pPr>
            <w:r>
              <w:rPr>
                <w:lang w:eastAsia="zh-CN"/>
              </w:rPr>
              <w:t>4.风险的不确定性如何？</w:t>
            </w:r>
          </w:p>
        </w:tc>
        <w:tc>
          <w:tcPr>
            <w:tcW w:w="3233" w:type="pct"/>
            <w:gridSpan w:val="2"/>
            <w:tcBorders>
              <w:bottom w:val="single" w:color="auto" w:sz="4" w:space="0"/>
            </w:tcBorders>
            <w:shd w:val="clear" w:color="auto" w:fill="FFFFFF"/>
            <w:vAlign w:val="center"/>
          </w:tcPr>
          <w:p w14:paraId="6AE19D75">
            <w:pPr>
              <w:snapToGrid w:val="0"/>
              <w:jc w:val="both"/>
              <w:rPr>
                <w:lang w:eastAsia="zh-CN"/>
              </w:rPr>
            </w:pPr>
            <w:r>
              <w:rPr>
                <w:lang w:eastAsia="zh-CN"/>
              </w:rPr>
              <w:t>□ 高 □ 中 □ 低</w:t>
            </w:r>
          </w:p>
          <w:p w14:paraId="6AE19D76">
            <w:pPr>
              <w:snapToGrid w:val="0"/>
              <w:jc w:val="both"/>
              <w:rPr>
                <w:lang w:eastAsia="zh-CN"/>
              </w:rPr>
            </w:pPr>
            <w:r>
              <w:rPr>
                <w:lang w:eastAsia="zh-CN"/>
              </w:rPr>
              <w:t>继续问题5</w:t>
            </w:r>
          </w:p>
        </w:tc>
      </w:tr>
      <w:tr w14:paraId="6AE1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1" w:hRule="atLeast"/>
        </w:trPr>
        <w:tc>
          <w:tcPr>
            <w:tcW w:w="5000" w:type="pct"/>
            <w:gridSpan w:val="3"/>
            <w:shd w:val="clear" w:color="auto" w:fill="F2F2F2"/>
            <w:vAlign w:val="center"/>
          </w:tcPr>
          <w:p w14:paraId="6AE19D78">
            <w:pPr>
              <w:snapToGrid w:val="0"/>
              <w:jc w:val="both"/>
            </w:pPr>
            <w:r>
              <w:rPr>
                <w:b/>
                <w:bCs/>
                <w:sz w:val="24"/>
                <w:szCs w:val="24"/>
                <w:lang w:eastAsia="zh-CN"/>
              </w:rPr>
              <w:t>获益-风险评估</w:t>
            </w:r>
          </w:p>
        </w:tc>
      </w:tr>
      <w:tr w14:paraId="6AE1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trPr>
        <w:tc>
          <w:tcPr>
            <w:tcW w:w="1767" w:type="pct"/>
            <w:shd w:val="clear" w:color="auto" w:fill="FFFFFF"/>
            <w:vAlign w:val="center"/>
          </w:tcPr>
          <w:p w14:paraId="6AE19D7A">
            <w:pPr>
              <w:snapToGrid w:val="0"/>
              <w:jc w:val="both"/>
            </w:pPr>
            <w:r>
              <w:rPr>
                <w:lang w:eastAsia="zh-CN"/>
              </w:rPr>
              <w:t>5.获益是否超过风险？</w:t>
            </w:r>
          </w:p>
        </w:tc>
        <w:tc>
          <w:tcPr>
            <w:tcW w:w="3233" w:type="pct"/>
            <w:gridSpan w:val="2"/>
            <w:shd w:val="clear" w:color="auto" w:fill="FFFFFF"/>
            <w:vAlign w:val="center"/>
          </w:tcPr>
          <w:p w14:paraId="6AE19D7B">
            <w:pPr>
              <w:tabs>
                <w:tab w:val="left" w:pos="221"/>
              </w:tabs>
              <w:snapToGrid w:val="0"/>
              <w:jc w:val="both"/>
              <w:rPr>
                <w:lang w:eastAsia="zh-CN"/>
              </w:rPr>
            </w:pPr>
            <w:r>
              <w:rPr>
                <w:lang w:eastAsia="zh-CN"/>
              </w:rPr>
              <w:t xml:space="preserve">□ 是 </w:t>
            </w:r>
            <w:r>
              <w:rPr>
                <w:lang w:eastAsia="zh-CN"/>
              </w:rPr>
              <w:sym w:font="Wingdings" w:char="F0E8"/>
            </w:r>
            <w:r>
              <w:rPr>
                <w:lang w:eastAsia="zh-CN"/>
              </w:rPr>
              <w:t xml:space="preserve"> 填写工作表</w:t>
            </w:r>
          </w:p>
          <w:p w14:paraId="6AE19D7C">
            <w:pPr>
              <w:tabs>
                <w:tab w:val="left" w:pos="230"/>
              </w:tabs>
              <w:snapToGrid w:val="0"/>
              <w:jc w:val="both"/>
              <w:rPr>
                <w:lang w:eastAsia="zh-CN"/>
              </w:rPr>
            </w:pPr>
            <w:r>
              <w:rPr>
                <w:lang w:eastAsia="zh-CN"/>
              </w:rPr>
              <w:t>□ 无法得出获益超过风险的结论</w:t>
            </w:r>
            <w:r>
              <w:rPr>
                <w:lang w:eastAsia="zh-CN"/>
              </w:rPr>
              <w:sym w:font="Wingdings" w:char="F0E8"/>
            </w:r>
            <w:r>
              <w:rPr>
                <w:lang w:eastAsia="zh-CN"/>
              </w:rPr>
              <w:t xml:space="preserve"> Q6</w:t>
            </w:r>
          </w:p>
        </w:tc>
      </w:tr>
      <w:tr w14:paraId="6AE1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trPr>
        <w:tc>
          <w:tcPr>
            <w:tcW w:w="1767" w:type="pct"/>
            <w:shd w:val="clear" w:color="auto" w:fill="FFFFFF"/>
            <w:vAlign w:val="center"/>
          </w:tcPr>
          <w:p w14:paraId="6AE19D7E">
            <w:pPr>
              <w:snapToGrid w:val="0"/>
              <w:jc w:val="both"/>
              <w:rPr>
                <w:lang w:eastAsia="zh-CN"/>
              </w:rPr>
            </w:pPr>
            <w:r>
              <w:rPr>
                <w:lang w:eastAsia="zh-CN"/>
              </w:rPr>
              <w:t>6.当考虑其他考虑因素时，获益是否超过风险？</w:t>
            </w:r>
          </w:p>
        </w:tc>
        <w:tc>
          <w:tcPr>
            <w:tcW w:w="3233" w:type="pct"/>
            <w:gridSpan w:val="2"/>
            <w:shd w:val="clear" w:color="auto" w:fill="FFFFFF"/>
            <w:vAlign w:val="center"/>
          </w:tcPr>
          <w:p w14:paraId="6AE19D7F">
            <w:pPr>
              <w:tabs>
                <w:tab w:val="left" w:pos="221"/>
              </w:tabs>
              <w:snapToGrid w:val="0"/>
              <w:jc w:val="both"/>
              <w:rPr>
                <w:lang w:eastAsia="zh-CN"/>
              </w:rPr>
            </w:pPr>
            <w:r>
              <w:rPr>
                <w:lang w:eastAsia="zh-CN"/>
              </w:rPr>
              <w:t xml:space="preserve">□ 是 </w:t>
            </w:r>
            <w:r>
              <w:rPr>
                <w:lang w:eastAsia="zh-CN"/>
              </w:rPr>
              <w:sym w:font="Wingdings" w:char="F0E8"/>
            </w:r>
            <w:r>
              <w:rPr>
                <w:lang w:eastAsia="zh-CN"/>
              </w:rPr>
              <w:t xml:space="preserve"> 填写工作表</w:t>
            </w:r>
          </w:p>
          <w:p w14:paraId="6AE19D80">
            <w:pPr>
              <w:tabs>
                <w:tab w:val="left" w:pos="230"/>
              </w:tabs>
              <w:snapToGrid w:val="0"/>
              <w:jc w:val="both"/>
              <w:rPr>
                <w:lang w:eastAsia="zh-CN"/>
              </w:rPr>
            </w:pPr>
            <w:r>
              <w:rPr>
                <w:lang w:eastAsia="zh-CN"/>
              </w:rPr>
              <w:t>□ 无法得出获益超过风险的结论</w:t>
            </w:r>
            <w:r>
              <w:rPr>
                <w:lang w:eastAsia="zh-CN"/>
              </w:rPr>
              <w:sym w:font="Wingdings" w:char="F0E8"/>
            </w:r>
            <w:r>
              <w:rPr>
                <w:lang w:eastAsia="zh-CN"/>
              </w:rPr>
              <w:t xml:space="preserve"> Q7</w:t>
            </w:r>
          </w:p>
        </w:tc>
      </w:tr>
      <w:tr w14:paraId="6AE1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trPr>
        <w:tc>
          <w:tcPr>
            <w:tcW w:w="1767" w:type="pct"/>
            <w:shd w:val="clear" w:color="auto" w:fill="FFFFFF"/>
            <w:vAlign w:val="center"/>
          </w:tcPr>
          <w:p w14:paraId="6AE19D82">
            <w:pPr>
              <w:snapToGrid w:val="0"/>
              <w:jc w:val="both"/>
              <w:rPr>
                <w:lang w:eastAsia="zh-CN"/>
              </w:rPr>
            </w:pPr>
            <w:r>
              <w:rPr>
                <w:lang w:eastAsia="zh-CN"/>
              </w:rPr>
              <w:t>7.是否可以缓解风险以使获益超过风险？</w:t>
            </w:r>
          </w:p>
        </w:tc>
        <w:tc>
          <w:tcPr>
            <w:tcW w:w="3233" w:type="pct"/>
            <w:gridSpan w:val="2"/>
            <w:shd w:val="clear" w:color="auto" w:fill="FFFFFF"/>
            <w:vAlign w:val="center"/>
          </w:tcPr>
          <w:p w14:paraId="6AE19D83">
            <w:pPr>
              <w:tabs>
                <w:tab w:val="left" w:pos="221"/>
              </w:tabs>
              <w:snapToGrid w:val="0"/>
              <w:jc w:val="both"/>
              <w:rPr>
                <w:lang w:eastAsia="zh-CN"/>
              </w:rPr>
            </w:pPr>
            <w:r>
              <w:rPr>
                <w:lang w:eastAsia="zh-CN"/>
              </w:rPr>
              <w:t xml:space="preserve">□ 是 </w:t>
            </w:r>
            <w:r>
              <w:rPr>
                <w:lang w:eastAsia="zh-CN"/>
              </w:rPr>
              <w:sym w:font="Wingdings" w:char="F0E8"/>
            </w:r>
            <w:r>
              <w:rPr>
                <w:lang w:eastAsia="zh-CN"/>
              </w:rPr>
              <w:t xml:space="preserve"> 填写工作表</w:t>
            </w:r>
          </w:p>
          <w:p w14:paraId="6AE19D84">
            <w:pPr>
              <w:tabs>
                <w:tab w:val="left" w:pos="230"/>
              </w:tabs>
              <w:snapToGrid w:val="0"/>
              <w:jc w:val="both"/>
              <w:rPr>
                <w:lang w:eastAsia="zh-CN"/>
              </w:rPr>
            </w:pPr>
            <w:r>
              <w:rPr>
                <w:lang w:eastAsia="zh-CN"/>
              </w:rPr>
              <w:t>□ 无法得出获益超过风险的结论</w:t>
            </w:r>
            <w:r>
              <w:rPr>
                <w:lang w:eastAsia="zh-CN"/>
              </w:rPr>
              <w:sym w:font="Wingdings" w:char="F0E8"/>
            </w:r>
            <w:r>
              <w:rPr>
                <w:lang w:eastAsia="zh-CN"/>
              </w:rPr>
              <w:t xml:space="preserve"> Q8</w:t>
            </w:r>
          </w:p>
        </w:tc>
      </w:tr>
      <w:tr w14:paraId="6AE1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trPr>
        <w:tc>
          <w:tcPr>
            <w:tcW w:w="1767" w:type="pct"/>
            <w:shd w:val="clear" w:color="auto" w:fill="FFFFFF"/>
            <w:vAlign w:val="center"/>
          </w:tcPr>
          <w:p w14:paraId="6AE19D86">
            <w:pPr>
              <w:snapToGrid w:val="0"/>
              <w:jc w:val="both"/>
              <w:rPr>
                <w:lang w:eastAsia="zh-CN"/>
              </w:rPr>
            </w:pPr>
            <w:r>
              <w:rPr>
                <w:lang w:eastAsia="zh-CN"/>
              </w:rPr>
              <w:t>8.考虑到采取上市后措施，获益是否超过风险？</w:t>
            </w:r>
          </w:p>
        </w:tc>
        <w:tc>
          <w:tcPr>
            <w:tcW w:w="3233" w:type="pct"/>
            <w:gridSpan w:val="2"/>
            <w:shd w:val="clear" w:color="auto" w:fill="FFFFFF"/>
            <w:vAlign w:val="center"/>
          </w:tcPr>
          <w:p w14:paraId="6AE19D87">
            <w:pPr>
              <w:tabs>
                <w:tab w:val="left" w:pos="221"/>
              </w:tabs>
              <w:snapToGrid w:val="0"/>
              <w:jc w:val="both"/>
              <w:rPr>
                <w:lang w:eastAsia="zh-CN"/>
              </w:rPr>
            </w:pPr>
            <w:r>
              <w:rPr>
                <w:lang w:eastAsia="zh-CN"/>
              </w:rPr>
              <w:t xml:space="preserve">□ 是 </w:t>
            </w:r>
            <w:r>
              <w:rPr>
                <w:lang w:eastAsia="zh-CN"/>
              </w:rPr>
              <w:sym w:font="Wingdings" w:char="F0E8"/>
            </w:r>
            <w:r>
              <w:rPr>
                <w:lang w:eastAsia="zh-CN"/>
              </w:rPr>
              <w:t xml:space="preserve"> 填写工作表</w:t>
            </w:r>
          </w:p>
          <w:p w14:paraId="6AE19D88">
            <w:pPr>
              <w:tabs>
                <w:tab w:val="left" w:pos="230"/>
              </w:tabs>
              <w:snapToGrid w:val="0"/>
              <w:jc w:val="both"/>
              <w:rPr>
                <w:lang w:eastAsia="zh-CN"/>
              </w:rPr>
            </w:pPr>
            <w:r>
              <w:rPr>
                <w:lang w:eastAsia="zh-CN"/>
              </w:rPr>
              <w:t>□ 无法得出获益超过风险的结论</w:t>
            </w:r>
            <w:r>
              <w:rPr>
                <w:lang w:eastAsia="zh-CN"/>
              </w:rPr>
              <w:sym w:font="Wingdings" w:char="F0E8"/>
            </w:r>
            <w:r>
              <w:rPr>
                <w:lang w:eastAsia="zh-CN"/>
              </w:rPr>
              <w:t xml:space="preserve"> Q9</w:t>
            </w:r>
          </w:p>
        </w:tc>
      </w:tr>
      <w:tr w14:paraId="6AE1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trPr>
        <w:tc>
          <w:tcPr>
            <w:tcW w:w="1767" w:type="pct"/>
            <w:shd w:val="clear" w:color="auto" w:fill="FFFFFF"/>
            <w:vAlign w:val="center"/>
          </w:tcPr>
          <w:p w14:paraId="6AE19D8A">
            <w:pPr>
              <w:snapToGrid w:val="0"/>
              <w:jc w:val="both"/>
              <w:rPr>
                <w:lang w:eastAsia="zh-CN"/>
              </w:rPr>
            </w:pPr>
            <w:r>
              <w:rPr>
                <w:lang w:eastAsia="zh-CN"/>
              </w:rPr>
              <w:t>9.修改后的适应症是否具有临床获益？</w:t>
            </w:r>
            <w:bookmarkStart w:id="91" w:name="bookmark72"/>
            <w:bookmarkEnd w:id="91"/>
          </w:p>
        </w:tc>
        <w:tc>
          <w:tcPr>
            <w:tcW w:w="3233" w:type="pct"/>
            <w:gridSpan w:val="2"/>
            <w:shd w:val="clear" w:color="auto" w:fill="FFFFFF"/>
            <w:vAlign w:val="center"/>
          </w:tcPr>
          <w:p w14:paraId="6AE19D8B">
            <w:pPr>
              <w:tabs>
                <w:tab w:val="left" w:pos="221"/>
              </w:tabs>
              <w:snapToGrid w:val="0"/>
              <w:jc w:val="both"/>
              <w:rPr>
                <w:lang w:eastAsia="zh-CN"/>
              </w:rPr>
            </w:pPr>
            <w:r>
              <w:rPr>
                <w:lang w:eastAsia="zh-CN"/>
              </w:rPr>
              <w:t xml:space="preserve">□ 是 </w:t>
            </w:r>
            <w:r>
              <w:rPr>
                <w:lang w:eastAsia="zh-CN"/>
              </w:rPr>
              <w:sym w:font="Wingdings" w:char="F0E8"/>
            </w:r>
            <w:r>
              <w:rPr>
                <w:lang w:eastAsia="zh-CN"/>
              </w:rPr>
              <w:t>返回Q1并继续修改后的适应症</w:t>
            </w:r>
          </w:p>
          <w:p w14:paraId="6AE19D8C">
            <w:pPr>
              <w:tabs>
                <w:tab w:val="left" w:pos="221"/>
              </w:tabs>
              <w:snapToGrid w:val="0"/>
              <w:jc w:val="both"/>
            </w:pPr>
            <w:r>
              <w:rPr>
                <w:lang w:eastAsia="zh-CN"/>
              </w:rPr>
              <w:t xml:space="preserve">□ 否 </w:t>
            </w:r>
            <w:r>
              <w:rPr>
                <w:lang w:eastAsia="zh-CN"/>
              </w:rPr>
              <w:sym w:font="Wingdings" w:char="F0E8"/>
            </w:r>
            <w:r>
              <w:rPr>
                <w:lang w:eastAsia="zh-CN"/>
              </w:rPr>
              <w:t xml:space="preserve"> 未批准/授予</w:t>
            </w:r>
          </w:p>
        </w:tc>
      </w:tr>
    </w:tbl>
    <w:p w14:paraId="6AE19D8E">
      <w:pPr>
        <w:snapToGrid w:val="0"/>
        <w:spacing w:before="120" w:beforeLines="50"/>
        <w:jc w:val="both"/>
      </w:pPr>
      <w:r>
        <w:rPr>
          <w:lang w:eastAsia="zh-CN"/>
        </w:rPr>
        <w:br w:type="page"/>
      </w:r>
    </w:p>
    <w:p w14:paraId="6AE19D8F">
      <w:pPr>
        <w:pStyle w:val="16"/>
        <w:spacing w:before="120" w:after="120" w:line="400" w:lineRule="exact"/>
      </w:pPr>
      <w:bookmarkStart w:id="92" w:name="_Toc97318830"/>
      <w:bookmarkStart w:id="93" w:name="bookmark73"/>
      <w:r>
        <w:rPr>
          <w:lang w:eastAsia="zh-CN"/>
        </w:rPr>
        <w:t>附录C</w:t>
      </w:r>
      <w:bookmarkEnd w:id="92"/>
      <w:bookmarkEnd w:id="93"/>
    </w:p>
    <w:p w14:paraId="6AE19D90">
      <w:pPr>
        <w:pStyle w:val="17"/>
        <w:spacing w:before="120" w:after="120" w:line="400" w:lineRule="exact"/>
        <w:ind w:left="0" w:leftChars="0"/>
      </w:pPr>
      <w:bookmarkStart w:id="94" w:name="bookmark74"/>
      <w:bookmarkStart w:id="95" w:name="_Toc97318831"/>
      <w:r>
        <w:rPr>
          <w:lang w:eastAsia="zh-CN"/>
        </w:rPr>
        <w:t>假设举例的工作表</w:t>
      </w:r>
      <w:bookmarkEnd w:id="94"/>
      <w:bookmarkEnd w:id="95"/>
    </w:p>
    <w:p w14:paraId="6AE19D91">
      <w:pPr>
        <w:snapToGrid w:val="0"/>
        <w:spacing w:before="120" w:beforeLines="50"/>
        <w:jc w:val="both"/>
      </w:pPr>
      <w:r>
        <w:rPr>
          <w:lang w:eastAsia="zh-CN"/>
        </w:rPr>
        <w:br w:type="page"/>
      </w:r>
    </w:p>
    <w:p w14:paraId="6AE19D92">
      <w:pPr>
        <w:pStyle w:val="26"/>
        <w:spacing w:before="120" w:after="120" w:line="400" w:lineRule="exact"/>
        <w:rPr>
          <w:sz w:val="28"/>
          <w:szCs w:val="28"/>
        </w:rPr>
      </w:pPr>
      <w:bookmarkStart w:id="96" w:name="bookmark76"/>
      <w:bookmarkStart w:id="97" w:name="bookmark75"/>
      <w:bookmarkStart w:id="98" w:name="_Toc97318832"/>
      <w:r>
        <w:rPr>
          <w:sz w:val="28"/>
          <w:szCs w:val="28"/>
          <w:lang w:eastAsia="zh-CN"/>
        </w:rPr>
        <w:t>假设举例1的工作表</w:t>
      </w:r>
      <w:bookmarkEnd w:id="96"/>
      <w:bookmarkEnd w:id="97"/>
      <w:bookmarkEnd w:id="98"/>
    </w:p>
    <w:p w14:paraId="6AE19D93">
      <w:pPr>
        <w:snapToGrid w:val="0"/>
        <w:spacing w:before="120" w:beforeLines="50" w:line="400" w:lineRule="exact"/>
        <w:jc w:val="both"/>
        <w:rPr>
          <w:sz w:val="24"/>
          <w:szCs w:val="24"/>
          <w:lang w:eastAsia="zh-CN"/>
        </w:rPr>
      </w:pPr>
      <w:r>
        <w:rPr>
          <w:i/>
          <w:iCs/>
          <w:sz w:val="24"/>
          <w:szCs w:val="24"/>
          <w:lang w:eastAsia="zh-CN"/>
        </w:rPr>
        <w:t>对FDA工作人员的说明：</w:t>
      </w:r>
      <w:r>
        <w:rPr>
          <w:sz w:val="24"/>
          <w:szCs w:val="24"/>
          <w:lang w:eastAsia="zh-CN"/>
        </w:rPr>
        <w:t>应该根据所有证据对获益-风险评估提出建议。在决定是否批准申请期间会进行获益-风险评估，但是不会评估所有适用的批准要求。有迹象表明这些工具的获益超过可能的风险并不意味着申请满足其他适用的PMA申请或新分类申请的要求。</w:t>
      </w:r>
    </w:p>
    <w:p w14:paraId="6AE19D94">
      <w:pPr>
        <w:snapToGrid w:val="0"/>
        <w:spacing w:before="120" w:beforeLines="50" w:line="400" w:lineRule="exact"/>
        <w:jc w:val="both"/>
        <w:rPr>
          <w:sz w:val="24"/>
          <w:szCs w:val="24"/>
          <w:lang w:eastAsia="zh-CN"/>
        </w:rPr>
      </w:pPr>
      <w:r>
        <w:rPr>
          <w:sz w:val="24"/>
          <w:szCs w:val="24"/>
          <w:lang w:eastAsia="zh-CN"/>
        </w:rPr>
        <w:t>在获益-风险评估期间，以下问题将用作帮助权衡多个因素的顺序法。同样，这些问题旨在帮助确定和解释哪些因素和考虑因素在特定器械的获益-风险评估中起到关键作用。但是，这些问题并不意味着除了已完成的工作表中列出的考虑因素以外的其他考虑因素是不相关的。当以有效的科学证据的形式提交非临床和/或临床证据时，应使用本清单。</w:t>
      </w:r>
    </w:p>
    <w:p w14:paraId="6AE19D95">
      <w:pPr>
        <w:snapToGrid w:val="0"/>
        <w:spacing w:before="120" w:beforeLines="50" w:line="400" w:lineRule="exact"/>
        <w:jc w:val="both"/>
        <w:rPr>
          <w:lang w:eastAsia="zh-CN"/>
        </w:rPr>
      </w:pPr>
      <w:r>
        <w:rPr>
          <w:sz w:val="24"/>
          <w:szCs w:val="24"/>
          <w:lang w:eastAsia="zh-CN"/>
        </w:rPr>
        <w:t>拟定适应症考虑问题1-8，直至获得获益超过风险或转到问题9的建议，这会提示您考虑修改适应症。在考虑适用的修改适应症时，与申办者</w:t>
      </w:r>
      <w:r>
        <w:rPr>
          <w:rFonts w:hint="eastAsia"/>
          <w:sz w:val="24"/>
          <w:szCs w:val="24"/>
          <w:lang w:eastAsia="zh-CN"/>
        </w:rPr>
        <w:t>沟通</w:t>
      </w:r>
      <w:r>
        <w:rPr>
          <w:sz w:val="24"/>
          <w:szCs w:val="24"/>
          <w:lang w:eastAsia="zh-CN"/>
        </w:rPr>
        <w:t>，以</w:t>
      </w:r>
      <w:r>
        <w:rPr>
          <w:rFonts w:hint="eastAsia"/>
          <w:sz w:val="24"/>
          <w:szCs w:val="24"/>
          <w:lang w:eastAsia="zh-CN"/>
        </w:rPr>
        <w:t>就</w:t>
      </w:r>
      <w:r>
        <w:rPr>
          <w:sz w:val="24"/>
          <w:szCs w:val="24"/>
          <w:lang w:eastAsia="zh-CN"/>
        </w:rPr>
        <w:t>修改后的适应症达成协议。然而，如问题1所示，如果证据不支持拟定适应症（或</w:t>
      </w:r>
      <w:r>
        <w:rPr>
          <w:rFonts w:hint="eastAsia"/>
          <w:sz w:val="24"/>
          <w:szCs w:val="24"/>
          <w:lang w:eastAsia="zh-CN"/>
        </w:rPr>
        <w:t>缩减</w:t>
      </w:r>
      <w:r>
        <w:rPr>
          <w:sz w:val="24"/>
          <w:szCs w:val="24"/>
          <w:lang w:eastAsia="zh-CN"/>
        </w:rPr>
        <w:t>后的适应症）的获益结果，或者证据不支持无法达到拟定适应症的结果和有关修改后适应症的协议或者不适用，则无法批准或授予申请。</w:t>
      </w:r>
      <w:r>
        <w:rPr>
          <w:lang w:eastAsia="zh-CN"/>
        </w:rPr>
        <w:br w:type="page"/>
      </w:r>
    </w:p>
    <w:p w14:paraId="6AE19D96">
      <w:pPr>
        <w:snapToGrid w:val="0"/>
        <w:spacing w:before="120" w:beforeLines="50" w:line="400" w:lineRule="exact"/>
        <w:jc w:val="both"/>
        <w:rPr>
          <w:sz w:val="28"/>
          <w:szCs w:val="28"/>
          <w:lang w:eastAsia="zh-CN"/>
        </w:rPr>
      </w:pPr>
      <w:bookmarkStart w:id="99" w:name="bookmark77"/>
      <w:r>
        <w:rPr>
          <w:b/>
          <w:bCs/>
          <w:sz w:val="28"/>
          <w:szCs w:val="28"/>
          <w:lang w:eastAsia="zh-CN"/>
        </w:rPr>
        <w:t>获益评估</w:t>
      </w:r>
      <w:bookmarkEnd w:id="99"/>
    </w:p>
    <w:p w14:paraId="6AE19D97">
      <w:pPr>
        <w:pStyle w:val="22"/>
        <w:spacing w:before="120" w:line="400" w:lineRule="exact"/>
      </w:pPr>
      <w:bookmarkStart w:id="100" w:name="bookmark78"/>
      <w:r>
        <w:t>1.</w:t>
      </w:r>
      <w:r>
        <w:tab/>
      </w:r>
      <w:r>
        <w:t>是否有任何临床获益的证据？</w:t>
      </w:r>
      <w:bookmarkEnd w:id="100"/>
    </w:p>
    <w:p w14:paraId="6AE19D98">
      <w:pPr>
        <w:pStyle w:val="21"/>
        <w:spacing w:before="120" w:line="400" w:lineRule="exact"/>
        <w:rPr>
          <w:sz w:val="24"/>
          <w:szCs w:val="24"/>
          <w:lang w:eastAsia="zh-CN"/>
        </w:rPr>
      </w:pPr>
      <w:r>
        <w:rPr>
          <w:sz w:val="24"/>
          <w:szCs w:val="24"/>
          <w:lang w:eastAsia="zh-CN"/>
        </w:rPr>
        <w:t>是否证明器械的该适应症具有临床获益（例如根据任何一个或更多主要和/或次要数据集或相关真实世界证据）？可以在患者感觉、功能、生存或可接受的替代结局方面对获益进行考虑。可以使用经确认的工具（例如生活质量问卷）收集该信息。也可以在管理或诊断疾病或状况的便利性方面对获益进行考虑。应根据数据的评估、结果是否具有统计学意义来对获益进行考虑。</w:t>
      </w:r>
      <w:r>
        <w:rPr>
          <w:i/>
          <w:iCs/>
          <w:sz w:val="24"/>
          <w:szCs w:val="24"/>
          <w:lang w:eastAsia="zh-CN"/>
        </w:rPr>
        <w:t>选择以下其中任何一项证明获益的项目，然后回答以下方框中的问题。</w:t>
      </w:r>
    </w:p>
    <w:p w14:paraId="6AE19D99">
      <w:pPr>
        <w:pStyle w:val="23"/>
        <w:spacing w:before="120" w:line="400" w:lineRule="exact"/>
        <w:ind w:left="1740" w:hanging="480"/>
        <w:rPr>
          <w:sz w:val="24"/>
          <w:szCs w:val="24"/>
          <w:lang w:eastAsia="zh-CN"/>
        </w:rPr>
      </w:pPr>
      <w:r>
        <w:rPr>
          <w:sz w:val="24"/>
          <w:szCs w:val="24"/>
          <w:lang w:eastAsia="zh-CN"/>
        </w:rPr>
        <w:sym w:font="Wingdings 2" w:char="F054"/>
      </w:r>
      <w:r>
        <w:rPr>
          <w:sz w:val="24"/>
          <w:szCs w:val="24"/>
          <w:lang w:eastAsia="zh-CN"/>
        </w:rPr>
        <w:tab/>
      </w:r>
      <w:r>
        <w:rPr>
          <w:sz w:val="24"/>
          <w:szCs w:val="24"/>
          <w:lang w:eastAsia="zh-CN"/>
        </w:rPr>
        <w:t>至少1次临床评估的有利变化等于或高于对照组</w:t>
      </w:r>
    </w:p>
    <w:p w14:paraId="6AE19D9A">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至少1次临床评估的有利变化符合预定的性能目标</w:t>
      </w:r>
    </w:p>
    <w:p w14:paraId="6AE19D9B">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至少1次临床评估的有利变化符合或超过最低的重要临床差异</w:t>
      </w:r>
    </w:p>
    <w:p w14:paraId="6AE19D9C">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至少1次临床评估的有利变化等于或高于疾病或状况的其他可用方式的变化</w:t>
      </w:r>
    </w:p>
    <w:p w14:paraId="6AE19D9D">
      <w:pPr>
        <w:pStyle w:val="23"/>
        <w:spacing w:before="120" w:line="400" w:lineRule="exact"/>
        <w:ind w:left="1740" w:hanging="480"/>
        <w:rPr>
          <w:sz w:val="24"/>
          <w:szCs w:val="24"/>
          <w:lang w:eastAsia="zh-CN"/>
        </w:rPr>
      </w:pPr>
      <w:r>
        <w:rPr>
          <w:sz w:val="24"/>
          <w:szCs w:val="24"/>
          <w:lang w:eastAsia="zh-CN"/>
        </w:rPr>
        <w:sym w:font="Wingdings 2" w:char="F054"/>
      </w:r>
      <w:r>
        <w:rPr>
          <w:sz w:val="24"/>
          <w:szCs w:val="24"/>
          <w:lang w:eastAsia="zh-CN"/>
        </w:rPr>
        <w:tab/>
      </w:r>
      <w:r>
        <w:rPr>
          <w:sz w:val="24"/>
          <w:szCs w:val="24"/>
          <w:lang w:eastAsia="zh-CN"/>
        </w:rPr>
        <w:t>考虑到状况的严重度、慢性性质等，再加上患者报告的结局和健康相关生活质量，至少1次临床评估的有利变化对患者有意义</w:t>
      </w:r>
    </w:p>
    <w:p w14:paraId="6AE19D9E">
      <w:pPr>
        <w:pStyle w:val="23"/>
        <w:spacing w:before="120" w:line="400" w:lineRule="exact"/>
        <w:ind w:left="1740" w:hanging="480"/>
        <w:rPr>
          <w:sz w:val="24"/>
          <w:szCs w:val="24"/>
          <w:lang w:eastAsia="zh-CN"/>
        </w:rPr>
      </w:pPr>
      <w:r>
        <w:rPr>
          <w:sz w:val="24"/>
          <w:szCs w:val="24"/>
          <w:lang w:eastAsia="zh-CN"/>
        </w:rPr>
        <w:t>其他：</w:t>
      </w:r>
    </w:p>
    <w:p w14:paraId="6AE19D9F">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非临床数据或建模的有利变化可以预测临床结局</w:t>
      </w:r>
    </w:p>
    <w:p w14:paraId="6AE19DA0">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有利的临床性能特征（例如敏感性/PPA、</w:t>
      </w:r>
      <w:r>
        <w:fldChar w:fldCharType="begin"/>
      </w:r>
      <w:r>
        <w:instrText xml:space="preserve"> HYPERLINK \l "bookmark79" \o "Current Document" \h </w:instrText>
      </w:r>
      <w:r>
        <w:fldChar w:fldCharType="separate"/>
      </w:r>
      <w:r>
        <w:rPr>
          <w:sz w:val="24"/>
          <w:szCs w:val="24"/>
          <w:vertAlign w:val="superscript"/>
          <w:lang w:eastAsia="zh-CN"/>
        </w:rPr>
        <w:t>27</w:t>
      </w:r>
      <w:r>
        <w:rPr>
          <w:sz w:val="24"/>
          <w:szCs w:val="24"/>
          <w:vertAlign w:val="superscript"/>
          <w:lang w:eastAsia="zh-CN"/>
        </w:rPr>
        <w:fldChar w:fldCharType="end"/>
      </w:r>
      <w:r>
        <w:rPr>
          <w:sz w:val="24"/>
          <w:szCs w:val="24"/>
          <w:lang w:eastAsia="zh-CN"/>
        </w:rPr>
        <w:t>特异性/NPA</w:t>
      </w:r>
      <w:r>
        <w:fldChar w:fldCharType="begin"/>
      </w:r>
      <w:r>
        <w:instrText xml:space="preserve"> HYPERLINK \l "bookmark80" \o "当前文件" \h </w:instrText>
      </w:r>
      <w:r>
        <w:fldChar w:fldCharType="separate"/>
      </w:r>
      <w:r>
        <w:rPr>
          <w:sz w:val="24"/>
          <w:szCs w:val="24"/>
          <w:vertAlign w:val="superscript"/>
          <w:lang w:eastAsia="zh-CN"/>
        </w:rPr>
        <w:t>28</w:t>
      </w:r>
      <w:r>
        <w:rPr>
          <w:sz w:val="24"/>
          <w:szCs w:val="24"/>
          <w:vertAlign w:val="superscript"/>
          <w:lang w:eastAsia="zh-CN"/>
        </w:rPr>
        <w:fldChar w:fldCharType="end"/>
      </w:r>
      <w:r>
        <w:rPr>
          <w:sz w:val="24"/>
          <w:szCs w:val="24"/>
          <w:lang w:eastAsia="zh-CN"/>
        </w:rPr>
        <w:t>等），可用于筛查、诊断、预后、监测或治疗选择</w:t>
      </w:r>
    </w:p>
    <w:p w14:paraId="6AE19DA1">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器械的分析确认显示性能特征可以接受</w:t>
      </w:r>
    </w:p>
    <w:p w14:paraId="6AE19DA2">
      <w:pPr>
        <w:pStyle w:val="23"/>
        <w:spacing w:before="120" w:line="400" w:lineRule="exact"/>
        <w:ind w:left="1740" w:hanging="480"/>
        <w:rPr>
          <w:sz w:val="24"/>
          <w:szCs w:val="24"/>
          <w:lang w:eastAsia="zh-CN"/>
        </w:rPr>
      </w:pPr>
      <w:r>
        <w:rPr>
          <w:sz w:val="24"/>
          <w:szCs w:val="24"/>
          <w:lang w:eastAsia="zh-CN"/>
        </w:rPr>
        <w:sym w:font="Wingdings 2" w:char="F054"/>
      </w:r>
      <w:r>
        <w:rPr>
          <w:sz w:val="24"/>
          <w:szCs w:val="24"/>
          <w:lang w:eastAsia="zh-CN"/>
        </w:rPr>
        <w:tab/>
      </w:r>
      <w:r>
        <w:rPr>
          <w:sz w:val="24"/>
          <w:szCs w:val="24"/>
          <w:lang w:eastAsia="zh-CN"/>
        </w:rPr>
        <w:t>其他：改善运动。延长预期寿命。</w:t>
      </w:r>
    </w:p>
    <w:p w14:paraId="6AE19DA3">
      <w:pPr>
        <w:pStyle w:val="23"/>
        <w:spacing w:before="120" w:line="400" w:lineRule="exact"/>
        <w:ind w:left="1740" w:hanging="480"/>
        <w:rPr>
          <w:sz w:val="24"/>
          <w:szCs w:val="24"/>
        </w:rPr>
      </w:pPr>
      <w:r>
        <w:rPr>
          <w:sz w:val="24"/>
          <w:szCs w:val="24"/>
          <w:lang w:eastAsia="zh-CN"/>
        </w:rPr>
        <w:t>□</w:t>
      </w:r>
      <w:r>
        <w:rPr>
          <w:sz w:val="24"/>
          <w:szCs w:val="24"/>
          <w:lang w:eastAsia="zh-CN"/>
        </w:rPr>
        <w:tab/>
      </w:r>
      <w:r>
        <w:rPr>
          <w:sz w:val="24"/>
          <w:szCs w:val="24"/>
          <w:lang w:eastAsia="zh-CN"/>
        </w:rPr>
        <w:t>无</w:t>
      </w:r>
    </w:p>
    <w:p w14:paraId="6AE19DA4">
      <w:pPr>
        <w:pStyle w:val="23"/>
        <w:spacing w:before="120" w:line="400" w:lineRule="exact"/>
      </w:pPr>
    </w:p>
    <w:tbl>
      <w:tblPr>
        <w:tblStyle w:val="8"/>
        <w:tblW w:w="4660" w:type="pct"/>
        <w:tblInd w:w="624"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8560"/>
      </w:tblGrid>
      <w:tr w14:paraId="6AE19DA8">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090" w:hRule="atLeast"/>
        </w:trPr>
        <w:tc>
          <w:tcPr>
            <w:tcW w:w="5000" w:type="pct"/>
            <w:shd w:val="clear" w:color="auto" w:fill="FFFFFF"/>
            <w:vAlign w:val="center"/>
          </w:tcPr>
          <w:p w14:paraId="6AE19DA5">
            <w:pPr>
              <w:snapToGrid w:val="0"/>
              <w:spacing w:before="120" w:beforeLines="50" w:line="400" w:lineRule="exact"/>
              <w:jc w:val="both"/>
              <w:rPr>
                <w:lang w:eastAsia="zh-CN"/>
              </w:rPr>
            </w:pPr>
            <w:r>
              <w:rPr>
                <w:b/>
                <w:bCs/>
                <w:lang w:eastAsia="zh-CN"/>
              </w:rPr>
              <w:t>Q1：是否存在具有临床获益的证据？</w:t>
            </w:r>
          </w:p>
          <w:p w14:paraId="6AE19DA6">
            <w:pPr>
              <w:snapToGrid w:val="0"/>
              <w:spacing w:before="120" w:beforeLines="50" w:line="400" w:lineRule="exact"/>
              <w:jc w:val="both"/>
              <w:rPr>
                <w:lang w:eastAsia="zh-CN"/>
              </w:rPr>
            </w:pPr>
            <w:r>
              <w:rPr>
                <w:sz w:val="24"/>
                <w:szCs w:val="24"/>
                <w:lang w:eastAsia="zh-CN"/>
              </w:rPr>
              <w:sym w:font="Wingdings 2" w:char="F054"/>
            </w:r>
            <w:r>
              <w:rPr>
                <w:lang w:eastAsia="zh-CN"/>
              </w:rPr>
              <w:t xml:space="preserve"> 是</w:t>
            </w:r>
            <w:r>
              <w:rPr>
                <w:lang w:eastAsia="zh-CN"/>
              </w:rPr>
              <w:sym w:font="Wingdings" w:char="F0E8"/>
            </w:r>
            <w:r>
              <w:rPr>
                <w:lang w:eastAsia="zh-CN"/>
              </w:rPr>
              <w:t>继续问题2</w:t>
            </w:r>
          </w:p>
          <w:p w14:paraId="6AE19DA7">
            <w:pPr>
              <w:snapToGrid w:val="0"/>
              <w:spacing w:before="120" w:beforeLines="50" w:line="400" w:lineRule="exact"/>
              <w:jc w:val="both"/>
              <w:rPr>
                <w:lang w:eastAsia="zh-CN"/>
              </w:rPr>
            </w:pPr>
            <w:r>
              <w:rPr>
                <w:lang w:eastAsia="zh-CN"/>
              </w:rPr>
              <w:t xml:space="preserve">□ </w:t>
            </w:r>
            <w:r>
              <w:rPr>
                <w:rFonts w:hint="eastAsia"/>
                <w:lang w:eastAsia="zh-CN"/>
              </w:rPr>
              <w:t xml:space="preserve"> </w:t>
            </w:r>
            <w:r>
              <w:rPr>
                <w:lang w:eastAsia="zh-CN"/>
              </w:rPr>
              <w:t>否</w:t>
            </w:r>
            <w:r>
              <w:rPr>
                <w:lang w:eastAsia="zh-CN"/>
              </w:rPr>
              <w:sym w:font="Wingdings" w:char="F0E8"/>
            </w:r>
            <w:r>
              <w:rPr>
                <w:lang w:eastAsia="zh-CN"/>
              </w:rPr>
              <w:t>转至问题9</w:t>
            </w:r>
          </w:p>
        </w:tc>
      </w:tr>
    </w:tbl>
    <w:p w14:paraId="6AE19DA9">
      <w:pPr>
        <w:snapToGrid w:val="0"/>
        <w:spacing w:before="120" w:beforeLines="50"/>
        <w:jc w:val="both"/>
        <w:rPr>
          <w:sz w:val="18"/>
          <w:szCs w:val="18"/>
          <w:lang w:eastAsia="zh-CN"/>
        </w:rPr>
      </w:pPr>
      <w:bookmarkStart w:id="101" w:name="bookmark80"/>
      <w:bookmarkStart w:id="102" w:name="bookmark79"/>
    </w:p>
    <w:p w14:paraId="6AE19DAA">
      <w:pPr>
        <w:snapToGrid w:val="0"/>
        <w:spacing w:before="120" w:beforeLines="50"/>
        <w:jc w:val="both"/>
        <w:rPr>
          <w:sz w:val="18"/>
          <w:szCs w:val="18"/>
          <w:lang w:eastAsia="zh-CN"/>
        </w:rPr>
      </w:pPr>
      <w:r>
        <w:rPr>
          <w:sz w:val="18"/>
          <w:szCs w:val="18"/>
          <w:lang w:eastAsia="zh-CN"/>
        </w:rPr>
        <w:t>_______________________</w:t>
      </w:r>
    </w:p>
    <w:p w14:paraId="6AE19DAB">
      <w:pPr>
        <w:tabs>
          <w:tab w:val="left" w:pos="284"/>
        </w:tabs>
        <w:snapToGrid w:val="0"/>
        <w:spacing w:before="120" w:beforeLines="50"/>
        <w:jc w:val="both"/>
        <w:rPr>
          <w:sz w:val="18"/>
          <w:szCs w:val="18"/>
          <w:lang w:eastAsia="zh-CN"/>
        </w:rPr>
      </w:pPr>
      <w:r>
        <w:rPr>
          <w:sz w:val="18"/>
          <w:szCs w:val="18"/>
          <w:vertAlign w:val="superscript"/>
          <w:lang w:eastAsia="zh-CN"/>
        </w:rPr>
        <w:t>27</w:t>
      </w:r>
      <w:r>
        <w:rPr>
          <w:sz w:val="18"/>
          <w:szCs w:val="18"/>
          <w:lang w:eastAsia="zh-CN"/>
        </w:rPr>
        <w:tab/>
      </w:r>
      <w:r>
        <w:rPr>
          <w:sz w:val="18"/>
          <w:szCs w:val="18"/>
          <w:lang w:eastAsia="zh-CN"/>
        </w:rPr>
        <w:t>PPA：阳性一致性</w:t>
      </w:r>
      <w:bookmarkEnd w:id="101"/>
      <w:bookmarkEnd w:id="102"/>
    </w:p>
    <w:p w14:paraId="6AE19DAC">
      <w:pPr>
        <w:tabs>
          <w:tab w:val="left" w:pos="284"/>
        </w:tabs>
        <w:snapToGrid w:val="0"/>
        <w:spacing w:before="120" w:beforeLines="50"/>
        <w:jc w:val="both"/>
        <w:rPr>
          <w:lang w:eastAsia="zh-CN"/>
        </w:rPr>
      </w:pPr>
      <w:r>
        <w:rPr>
          <w:sz w:val="18"/>
          <w:szCs w:val="18"/>
          <w:vertAlign w:val="superscript"/>
          <w:lang w:eastAsia="zh-CN"/>
        </w:rPr>
        <w:t>28</w:t>
      </w:r>
      <w:r>
        <w:rPr>
          <w:sz w:val="18"/>
          <w:szCs w:val="18"/>
          <w:lang w:eastAsia="zh-CN"/>
        </w:rPr>
        <w:tab/>
      </w:r>
      <w:r>
        <w:rPr>
          <w:sz w:val="18"/>
          <w:szCs w:val="18"/>
          <w:lang w:eastAsia="zh-CN"/>
        </w:rPr>
        <w:t>NPA：阴性一致性</w:t>
      </w:r>
      <w:r>
        <w:rPr>
          <w:lang w:eastAsia="zh-CN"/>
        </w:rPr>
        <w:br w:type="page"/>
      </w:r>
    </w:p>
    <w:p w14:paraId="6AE19DAD">
      <w:pPr>
        <w:pStyle w:val="22"/>
        <w:spacing w:before="120"/>
      </w:pPr>
      <w:bookmarkStart w:id="103" w:name="bookmark81"/>
      <w:r>
        <w:t>2.</w:t>
      </w:r>
      <w:r>
        <w:tab/>
      </w:r>
      <w:r>
        <w:t>获益的不确定性如何？</w:t>
      </w:r>
      <w:bookmarkEnd w:id="103"/>
    </w:p>
    <w:p w14:paraId="6AE19DAE">
      <w:pPr>
        <w:pStyle w:val="21"/>
        <w:spacing w:before="120"/>
        <w:rPr>
          <w:sz w:val="24"/>
          <w:szCs w:val="24"/>
          <w:lang w:eastAsia="zh-CN"/>
        </w:rPr>
      </w:pPr>
      <w:r>
        <w:rPr>
          <w:sz w:val="24"/>
          <w:szCs w:val="24"/>
          <w:lang w:eastAsia="zh-CN"/>
        </w:rPr>
        <w:t>认识到始终存在一定程度的不确定性，请在影响临床效益评价的数据中选择不确定性来源（如适用）。考虑与临床和/或分析性能特征有关的不确定性来源（如敏感性、特异性、准确度、精密度、重复性、适用性）。</w:t>
      </w:r>
      <w:r>
        <w:rPr>
          <w:i/>
          <w:iCs/>
          <w:sz w:val="24"/>
          <w:szCs w:val="24"/>
          <w:lang w:eastAsia="zh-CN"/>
        </w:rPr>
        <w:t>选择以下其中任何一项证明获益不确定性来源的项目，然后回答以下方框中的问题。</w:t>
      </w:r>
    </w:p>
    <w:p w14:paraId="6AE19DAF">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研究间的结果不一致或存在冲突</w:t>
      </w:r>
    </w:p>
    <w:p w14:paraId="6AE19DB0">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点估计和/或比值比周围的置信区间较宽</w:t>
      </w:r>
    </w:p>
    <w:p w14:paraId="6AE19DB1">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研究的统计效力不足且结局指标无统计学意义</w:t>
      </w:r>
    </w:p>
    <w:p w14:paraId="6AE19DB2">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关键评估时间点的受试者或样本失访率较高</w:t>
      </w:r>
    </w:p>
    <w:p w14:paraId="6AE19DB3">
      <w:pPr>
        <w:pStyle w:val="23"/>
        <w:spacing w:before="120"/>
        <w:ind w:left="1740" w:hanging="480"/>
        <w:rPr>
          <w:sz w:val="24"/>
          <w:szCs w:val="24"/>
          <w:lang w:eastAsia="zh-CN"/>
        </w:rPr>
      </w:pPr>
      <w:r>
        <w:rPr>
          <w:sz w:val="24"/>
          <w:szCs w:val="24"/>
          <w:lang w:eastAsia="zh-CN"/>
        </w:rPr>
        <w:sym w:font="Wingdings 2" w:char="F054"/>
      </w:r>
      <w:r>
        <w:rPr>
          <w:sz w:val="24"/>
          <w:szCs w:val="24"/>
          <w:lang w:eastAsia="zh-CN"/>
        </w:rPr>
        <w:tab/>
      </w:r>
      <w:r>
        <w:rPr>
          <w:sz w:val="24"/>
          <w:szCs w:val="24"/>
          <w:lang w:eastAsia="zh-CN"/>
        </w:rPr>
        <w:t>关键评估时间点+/-计算存在大量缺失数据</w:t>
      </w:r>
    </w:p>
    <w:p w14:paraId="6AE19DB4">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发生大量的重大方案偏离</w:t>
      </w:r>
    </w:p>
    <w:p w14:paraId="6AE19DB5">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混淆干预或生理因素的影响</w:t>
      </w:r>
    </w:p>
    <w:p w14:paraId="6AE19DB6">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用户经验不一致或用户经验不代表可能的真实世界用户</w:t>
      </w:r>
    </w:p>
    <w:p w14:paraId="6AE19DB7">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非临床数据、预先选择的增强数据或计算机建模和临床性能之间的关系不明确</w:t>
      </w:r>
    </w:p>
    <w:p w14:paraId="6AE19DB8">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尚未证明替代终点与临床结局相关</w:t>
      </w:r>
    </w:p>
    <w:p w14:paraId="6AE19DB9">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对于拟定分析的目的，真实世界证据（RWE）无关或不可靠</w:t>
      </w:r>
    </w:p>
    <w:p w14:paraId="6AE19DBA">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检查结果</w:t>
      </w:r>
    </w:p>
    <w:p w14:paraId="6AE19DBB">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研究设计或结果导致对适用人群或特定临床子人群无普遍性。</w:t>
      </w:r>
    </w:p>
    <w:p w14:paraId="6AE19DBC">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诊断输出的生理范围或有临床意义的范围不详，或者拟定的临床截止值的普遍性不详</w:t>
      </w:r>
    </w:p>
    <w:p w14:paraId="6AE19DBD">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 xml:space="preserve">使用存在缺陷的比较法计算性能特征 </w:t>
      </w:r>
    </w:p>
    <w:p w14:paraId="6AE19DBE">
      <w:pPr>
        <w:pStyle w:val="23"/>
        <w:spacing w:before="120"/>
        <w:ind w:left="1740" w:hanging="480"/>
        <w:rPr>
          <w:sz w:val="24"/>
          <w:szCs w:val="24"/>
          <w:lang w:eastAsia="zh-CN"/>
        </w:rPr>
      </w:pPr>
      <w:r>
        <w:rPr>
          <w:sz w:val="24"/>
          <w:szCs w:val="24"/>
          <w:lang w:eastAsia="zh-CN"/>
        </w:rPr>
        <w:sym w:font="Wingdings 2" w:char="F054"/>
      </w:r>
      <w:r>
        <w:rPr>
          <w:sz w:val="24"/>
          <w:szCs w:val="24"/>
          <w:lang w:eastAsia="zh-CN"/>
        </w:rPr>
        <w:tab/>
      </w:r>
      <w:r>
        <w:rPr>
          <w:sz w:val="24"/>
          <w:szCs w:val="24"/>
          <w:lang w:eastAsia="zh-CN"/>
        </w:rPr>
        <w:t>其他：获益持续时间不详。</w:t>
      </w:r>
    </w:p>
    <w:p w14:paraId="6AE19DBF">
      <w:pPr>
        <w:pStyle w:val="23"/>
        <w:spacing w:before="120"/>
        <w:ind w:left="1740" w:hanging="480"/>
        <w:rPr>
          <w:sz w:val="24"/>
          <w:szCs w:val="24"/>
        </w:rPr>
      </w:pPr>
      <w:r>
        <w:rPr>
          <w:sz w:val="24"/>
          <w:szCs w:val="24"/>
          <w:lang w:eastAsia="zh-CN"/>
        </w:rPr>
        <w:t>□</w:t>
      </w:r>
      <w:r>
        <w:rPr>
          <w:sz w:val="24"/>
          <w:szCs w:val="24"/>
          <w:lang w:eastAsia="zh-CN"/>
        </w:rPr>
        <w:tab/>
      </w:r>
      <w:r>
        <w:rPr>
          <w:sz w:val="24"/>
          <w:szCs w:val="24"/>
          <w:lang w:eastAsia="zh-CN"/>
        </w:rPr>
        <w:t>无</w:t>
      </w:r>
    </w:p>
    <w:p w14:paraId="6AE19DC0">
      <w:pPr>
        <w:pStyle w:val="23"/>
        <w:spacing w:before="120"/>
      </w:pPr>
    </w:p>
    <w:tbl>
      <w:tblPr>
        <w:tblStyle w:val="8"/>
        <w:tblW w:w="4660" w:type="pct"/>
        <w:tblInd w:w="624"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8560"/>
      </w:tblGrid>
      <w:tr w14:paraId="6AE19DC5">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382" w:hRule="atLeast"/>
        </w:trPr>
        <w:tc>
          <w:tcPr>
            <w:tcW w:w="5000" w:type="pct"/>
            <w:shd w:val="clear" w:color="auto" w:fill="FFFFFF"/>
            <w:vAlign w:val="center"/>
          </w:tcPr>
          <w:p w14:paraId="6AE19DC1">
            <w:pPr>
              <w:snapToGrid w:val="0"/>
              <w:spacing w:before="120" w:beforeLines="50"/>
              <w:jc w:val="both"/>
              <w:rPr>
                <w:lang w:eastAsia="zh-CN"/>
              </w:rPr>
            </w:pPr>
            <w:r>
              <w:rPr>
                <w:b/>
                <w:bCs/>
                <w:lang w:eastAsia="zh-CN"/>
              </w:rPr>
              <w:t>Q2：获益的不确定性如何？</w:t>
            </w:r>
          </w:p>
          <w:p w14:paraId="6AE19DC2">
            <w:pPr>
              <w:tabs>
                <w:tab w:val="left" w:pos="230"/>
              </w:tabs>
              <w:snapToGrid w:val="0"/>
              <w:spacing w:before="120" w:beforeLines="50"/>
              <w:jc w:val="both"/>
              <w:rPr>
                <w:lang w:eastAsia="zh-CN"/>
              </w:rPr>
            </w:pPr>
            <w:r>
              <w:rPr>
                <w:lang w:eastAsia="zh-CN"/>
              </w:rPr>
              <w:t>□ 低</w:t>
            </w:r>
            <w:r>
              <w:rPr>
                <w:lang w:eastAsia="zh-CN"/>
              </w:rPr>
              <w:sym w:font="Wingdings" w:char="F0E8"/>
            </w:r>
            <w:r>
              <w:rPr>
                <w:lang w:eastAsia="zh-CN"/>
              </w:rPr>
              <w:t>继续问题3</w:t>
            </w:r>
          </w:p>
          <w:p w14:paraId="6AE19DC3">
            <w:pPr>
              <w:snapToGrid w:val="0"/>
              <w:spacing w:before="120" w:beforeLines="50"/>
              <w:jc w:val="both"/>
              <w:rPr>
                <w:lang w:eastAsia="zh-CN"/>
              </w:rPr>
            </w:pPr>
            <w:r>
              <w:rPr>
                <w:lang w:eastAsia="zh-CN"/>
              </w:rPr>
              <w:sym w:font="Wingdings 2" w:char="F054"/>
            </w:r>
            <w:r>
              <w:rPr>
                <w:lang w:eastAsia="zh-CN"/>
              </w:rPr>
              <w:t>中</w:t>
            </w:r>
            <w:r>
              <w:rPr>
                <w:lang w:eastAsia="zh-CN"/>
              </w:rPr>
              <w:sym w:font="Wingdings" w:char="F0E8"/>
            </w:r>
            <w:r>
              <w:rPr>
                <w:lang w:eastAsia="zh-CN"/>
              </w:rPr>
              <w:t>继续问题3</w:t>
            </w:r>
          </w:p>
          <w:p w14:paraId="6AE19DC4">
            <w:pPr>
              <w:tabs>
                <w:tab w:val="left" w:pos="226"/>
              </w:tabs>
              <w:snapToGrid w:val="0"/>
              <w:spacing w:before="120" w:beforeLines="50"/>
              <w:jc w:val="both"/>
            </w:pPr>
            <w:r>
              <w:rPr>
                <w:lang w:eastAsia="zh-CN"/>
              </w:rPr>
              <w:t>□ 高</w:t>
            </w:r>
            <w:r>
              <w:rPr>
                <w:lang w:eastAsia="zh-CN"/>
              </w:rPr>
              <w:sym w:font="Wingdings" w:char="F0E8"/>
            </w:r>
            <w:r>
              <w:rPr>
                <w:lang w:eastAsia="zh-CN"/>
              </w:rPr>
              <w:t>继续问题3</w:t>
            </w:r>
          </w:p>
        </w:tc>
      </w:tr>
    </w:tbl>
    <w:p w14:paraId="6AE19DC6">
      <w:pPr>
        <w:snapToGrid w:val="0"/>
        <w:spacing w:before="120" w:beforeLines="50"/>
        <w:jc w:val="both"/>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3" w:hRule="atLeast"/>
        </w:trPr>
        <w:tc>
          <w:tcPr>
            <w:tcW w:w="5000" w:type="pct"/>
            <w:shd w:val="clear" w:color="auto" w:fill="FFFFFF"/>
            <w:vAlign w:val="center"/>
          </w:tcPr>
          <w:p w14:paraId="6AE19DC7">
            <w:pPr>
              <w:snapToGrid w:val="0"/>
              <w:spacing w:before="120" w:beforeLines="50"/>
              <w:jc w:val="both"/>
              <w:rPr>
                <w:lang w:eastAsia="zh-CN"/>
              </w:rPr>
            </w:pPr>
            <w:r>
              <w:rPr>
                <w:b/>
                <w:bCs/>
                <w:lang w:eastAsia="zh-CN"/>
              </w:rPr>
              <w:t>拟定适应症的获益评估总结</w:t>
            </w:r>
          </w:p>
          <w:p w14:paraId="6AE19DC8">
            <w:pPr>
              <w:snapToGrid w:val="0"/>
              <w:spacing w:before="120" w:beforeLines="50"/>
              <w:jc w:val="both"/>
              <w:rPr>
                <w:lang w:eastAsia="zh-CN"/>
              </w:rPr>
            </w:pPr>
            <w:r>
              <w:rPr>
                <w:lang w:eastAsia="zh-CN"/>
              </w:rPr>
              <w:t>患者植入器械后减少症状的大幅获益的概率为75%。数据也支持能够改善运动，预计这会延长预期寿命。获得获益的患者认为器械有很大价值。患者也评定了获得获益的几率。研究的设计和开展情况良好。仅随访了1年，存在缺失数据，但是进行了敏感性分析，结果相对可靠。</w:t>
            </w:r>
          </w:p>
        </w:tc>
      </w:tr>
    </w:tbl>
    <w:p w14:paraId="6AE19DCA">
      <w:pPr>
        <w:snapToGrid w:val="0"/>
        <w:spacing w:before="120" w:beforeLines="50"/>
        <w:jc w:val="both"/>
        <w:rPr>
          <w:lang w:eastAsia="zh-CN"/>
        </w:rPr>
      </w:pPr>
      <w:r>
        <w:rPr>
          <w:lang w:eastAsia="zh-CN"/>
        </w:rPr>
        <w:br w:type="page"/>
      </w:r>
    </w:p>
    <w:p w14:paraId="6AE19DCB">
      <w:pPr>
        <w:snapToGrid w:val="0"/>
        <w:spacing w:before="120" w:beforeLines="50"/>
        <w:jc w:val="both"/>
        <w:rPr>
          <w:sz w:val="28"/>
          <w:szCs w:val="28"/>
          <w:lang w:eastAsia="zh-CN"/>
        </w:rPr>
      </w:pPr>
      <w:bookmarkStart w:id="104" w:name="bookmark82"/>
      <w:r>
        <w:rPr>
          <w:b/>
          <w:bCs/>
          <w:sz w:val="28"/>
          <w:szCs w:val="28"/>
          <w:lang w:eastAsia="zh-CN"/>
        </w:rPr>
        <w:t>风险评估</w:t>
      </w:r>
      <w:bookmarkEnd w:id="104"/>
    </w:p>
    <w:p w14:paraId="6AE19DCC">
      <w:pPr>
        <w:pStyle w:val="22"/>
        <w:spacing w:before="120"/>
      </w:pPr>
      <w:bookmarkStart w:id="105" w:name="bookmark83"/>
      <w:r>
        <w:t>3.</w:t>
      </w:r>
      <w:r>
        <w:tab/>
      </w:r>
      <w:r>
        <w:t>已知/可能的风险是否超过最小值？</w:t>
      </w:r>
      <w:bookmarkEnd w:id="105"/>
    </w:p>
    <w:p w14:paraId="6AE19DCD">
      <w:pPr>
        <w:pStyle w:val="21"/>
        <w:spacing w:before="120"/>
        <w:rPr>
          <w:i/>
          <w:iCs/>
          <w:sz w:val="24"/>
          <w:szCs w:val="24"/>
          <w:lang w:eastAsia="zh-CN"/>
        </w:rPr>
      </w:pPr>
      <w:r>
        <w:rPr>
          <w:i/>
          <w:iCs/>
          <w:sz w:val="24"/>
          <w:szCs w:val="24"/>
          <w:lang w:eastAsia="zh-CN"/>
        </w:rPr>
        <w:t>选择以下任何要素证明比最低更高的已知/可能的风险的来源，然后回答以下方框中的问题。</w:t>
      </w:r>
    </w:p>
    <w:p w14:paraId="6AE19DCE">
      <w:pPr>
        <w:pStyle w:val="24"/>
        <w:spacing w:before="120"/>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与器械本身相关的不良事件（AE）或结局</w:t>
      </w:r>
    </w:p>
    <w:p w14:paraId="6AE19DCF">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与使用器械或使用器械的手术相关的AE或结局</w:t>
      </w:r>
    </w:p>
    <w:p w14:paraId="6AE19DD0">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与为使用器械而进行麻醉或镇静相关的AE或结局</w:t>
      </w:r>
    </w:p>
    <w:p w14:paraId="6AE19DD1">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后续所需的试验/治疗引起的AE或结局（例如CT扫描引起的辐射）</w:t>
      </w:r>
    </w:p>
    <w:p w14:paraId="6AE19DD2">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研究/数据中缺乏的、但可能基于</w:t>
      </w:r>
      <w:r>
        <w:rPr>
          <w:rFonts w:ascii="宋体" w:hAnsi="宋体"/>
          <w:sz w:val="24"/>
          <w:szCs w:val="24"/>
          <w:lang w:eastAsia="zh-CN"/>
        </w:rPr>
        <w:t>“</w:t>
      </w:r>
      <w:r>
        <w:rPr>
          <w:sz w:val="24"/>
          <w:szCs w:val="24"/>
          <w:lang w:eastAsia="zh-CN"/>
        </w:rPr>
        <w:t>类效应</w:t>
      </w:r>
      <w:r>
        <w:rPr>
          <w:rFonts w:ascii="宋体" w:hAnsi="宋体"/>
          <w:sz w:val="24"/>
          <w:szCs w:val="24"/>
          <w:lang w:eastAsia="zh-CN"/>
        </w:rPr>
        <w:t>”</w:t>
      </w:r>
      <w:r>
        <w:rPr>
          <w:sz w:val="24"/>
          <w:szCs w:val="24"/>
          <w:lang w:eastAsia="zh-CN"/>
        </w:rPr>
        <w:t>或类似技术已知会发生的事件的AE或结局</w:t>
      </w:r>
    </w:p>
    <w:p w14:paraId="6AE19DD3">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假阳性/假阴性/未提供诊断结果</w:t>
      </w:r>
    </w:p>
    <w:p w14:paraId="6AE19DD4">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预期用作独立方式而非辅助手段的治疗或诊断</w:t>
      </w:r>
    </w:p>
    <w:p w14:paraId="6AE19DD5">
      <w:pPr>
        <w:pStyle w:val="24"/>
        <w:spacing w:before="120"/>
        <w:ind w:left="1332" w:hanging="482"/>
        <w:rPr>
          <w:sz w:val="24"/>
          <w:szCs w:val="24"/>
        </w:rPr>
      </w:pPr>
      <w:r>
        <w:rPr>
          <w:sz w:val="24"/>
          <w:szCs w:val="24"/>
          <w:lang w:eastAsia="zh-CN"/>
        </w:rPr>
        <w:t>□</w:t>
      </w:r>
      <w:r>
        <w:rPr>
          <w:sz w:val="24"/>
          <w:szCs w:val="24"/>
          <w:lang w:eastAsia="zh-CN"/>
        </w:rPr>
        <w:tab/>
      </w:r>
      <w:r>
        <w:rPr>
          <w:sz w:val="24"/>
          <w:szCs w:val="24"/>
          <w:lang w:eastAsia="zh-CN"/>
        </w:rPr>
        <w:t>其他：</w:t>
      </w:r>
    </w:p>
    <w:p w14:paraId="6AE19DD6">
      <w:pPr>
        <w:pStyle w:val="24"/>
        <w:spacing w:before="120"/>
        <w:ind w:left="1332" w:hanging="482"/>
        <w:rPr>
          <w:sz w:val="24"/>
          <w:szCs w:val="24"/>
        </w:rPr>
      </w:pPr>
      <w:r>
        <w:rPr>
          <w:sz w:val="24"/>
          <w:szCs w:val="24"/>
          <w:lang w:eastAsia="zh-CN"/>
        </w:rPr>
        <w:t>□</w:t>
      </w:r>
      <w:r>
        <w:rPr>
          <w:sz w:val="24"/>
          <w:szCs w:val="24"/>
          <w:lang w:eastAsia="zh-CN"/>
        </w:rPr>
        <w:tab/>
      </w:r>
      <w:r>
        <w:rPr>
          <w:sz w:val="24"/>
          <w:szCs w:val="24"/>
          <w:lang w:eastAsia="zh-CN"/>
        </w:rPr>
        <w:t>无</w:t>
      </w:r>
    </w:p>
    <w:p w14:paraId="6AE19DD7">
      <w:pPr>
        <w:pStyle w:val="24"/>
        <w:spacing w:before="120"/>
      </w:pPr>
    </w:p>
    <w:tbl>
      <w:tblPr>
        <w:tblStyle w:val="8"/>
        <w:tblW w:w="0" w:type="auto"/>
        <w:tblInd w:w="9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5245"/>
      </w:tblGrid>
      <w:tr w14:paraId="6AE19DDB">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085" w:hRule="atLeast"/>
        </w:trPr>
        <w:tc>
          <w:tcPr>
            <w:tcW w:w="5245" w:type="dxa"/>
            <w:shd w:val="clear" w:color="auto" w:fill="FFFFFF"/>
            <w:vAlign w:val="center"/>
          </w:tcPr>
          <w:p w14:paraId="6AE19DD8">
            <w:pPr>
              <w:snapToGrid w:val="0"/>
              <w:spacing w:before="120" w:beforeLines="50"/>
              <w:jc w:val="both"/>
              <w:rPr>
                <w:lang w:eastAsia="zh-CN"/>
              </w:rPr>
            </w:pPr>
            <w:r>
              <w:rPr>
                <w:b/>
                <w:bCs/>
                <w:lang w:eastAsia="zh-CN"/>
              </w:rPr>
              <w:t>Q3：已知/可能风险是否超过最小值？</w:t>
            </w:r>
          </w:p>
          <w:p w14:paraId="6AE19DD9">
            <w:pPr>
              <w:snapToGrid w:val="0"/>
              <w:spacing w:before="120" w:beforeLines="50"/>
              <w:jc w:val="both"/>
              <w:rPr>
                <w:lang w:eastAsia="zh-CN"/>
              </w:rPr>
            </w:pPr>
            <w:r>
              <w:rPr>
                <w:lang w:eastAsia="zh-CN"/>
              </w:rPr>
              <w:sym w:font="Wingdings 2" w:char="F054"/>
            </w:r>
            <w:r>
              <w:rPr>
                <w:lang w:eastAsia="zh-CN"/>
              </w:rPr>
              <w:t>是</w:t>
            </w:r>
            <w:r>
              <w:rPr>
                <w:lang w:eastAsia="zh-CN"/>
              </w:rPr>
              <w:sym w:font="Wingdings" w:char="F0E8"/>
            </w:r>
            <w:r>
              <w:rPr>
                <w:lang w:eastAsia="zh-CN"/>
              </w:rPr>
              <w:t>继续问题4</w:t>
            </w:r>
          </w:p>
          <w:p w14:paraId="6AE19DDA">
            <w:pPr>
              <w:snapToGrid w:val="0"/>
              <w:spacing w:before="120" w:beforeLines="50"/>
              <w:jc w:val="both"/>
              <w:rPr>
                <w:lang w:eastAsia="zh-CN"/>
              </w:rPr>
            </w:pPr>
            <w:r>
              <w:rPr>
                <w:lang w:eastAsia="zh-CN"/>
              </w:rPr>
              <w:t>□ 否</w:t>
            </w:r>
            <w:r>
              <w:rPr>
                <w:lang w:eastAsia="zh-CN"/>
              </w:rPr>
              <w:sym w:font="Wingdings" w:char="F0E8"/>
            </w:r>
            <w:r>
              <w:rPr>
                <w:lang w:eastAsia="zh-CN"/>
              </w:rPr>
              <w:t>继续问题4</w:t>
            </w:r>
          </w:p>
        </w:tc>
      </w:tr>
    </w:tbl>
    <w:p w14:paraId="6AE19DDC">
      <w:pPr>
        <w:pStyle w:val="22"/>
        <w:spacing w:before="120"/>
      </w:pPr>
      <w:bookmarkStart w:id="106" w:name="bookmark84"/>
    </w:p>
    <w:p w14:paraId="6AE19DDD">
      <w:pPr>
        <w:pStyle w:val="22"/>
        <w:spacing w:before="120"/>
      </w:pPr>
      <w:r>
        <w:t>4.</w:t>
      </w:r>
      <w:r>
        <w:tab/>
      </w:r>
      <w:r>
        <w:t>风险的不确定性如何？</w:t>
      </w:r>
      <w:bookmarkEnd w:id="106"/>
    </w:p>
    <w:p w14:paraId="6AE19DDE">
      <w:pPr>
        <w:pStyle w:val="21"/>
        <w:spacing w:before="120"/>
        <w:rPr>
          <w:i/>
          <w:iCs/>
          <w:sz w:val="24"/>
          <w:szCs w:val="24"/>
          <w:lang w:eastAsia="zh-CN"/>
        </w:rPr>
      </w:pPr>
      <w:r>
        <w:rPr>
          <w:sz w:val="24"/>
          <w:szCs w:val="24"/>
          <w:lang w:eastAsia="zh-CN"/>
        </w:rPr>
        <w:t>认识到始终存在一定程度的不确定性，在有关不良事件/结果或风险的数据中选择不确定性的来源（如适用）。</w:t>
      </w:r>
      <w:r>
        <w:rPr>
          <w:i/>
          <w:iCs/>
          <w:sz w:val="24"/>
          <w:szCs w:val="24"/>
          <w:lang w:eastAsia="zh-CN"/>
        </w:rPr>
        <w:t>选择以下其中任何一项证明风险不确定性来源的项目，然后回答以下方框中的问题。</w:t>
      </w:r>
    </w:p>
    <w:p w14:paraId="6AE19DDF">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患者人数不足以检测严重事件或假阳性/假阴性</w:t>
      </w:r>
    </w:p>
    <w:p w14:paraId="6AE19DE0">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随访时间不足以检测延迟/晚期事件</w:t>
      </w:r>
    </w:p>
    <w:p w14:paraId="6AE19DE1">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缺乏重复暴露于器械/使用器械的数据</w:t>
      </w:r>
    </w:p>
    <w:p w14:paraId="6AE19DE2">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研究间的结果不一致或存在冲突</w:t>
      </w:r>
    </w:p>
    <w:p w14:paraId="6AE19DE3">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在研究方案中未进行适当的评价以充分检测某些AE</w:t>
      </w:r>
    </w:p>
    <w:p w14:paraId="6AE19DE4">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不良事件定义和文件记录不良或不一致</w:t>
      </w:r>
    </w:p>
    <w:p w14:paraId="6AE19DE5">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事件很可能被其他合并症或治疗方式混淆或者是其他合并症或治疗方式引起的</w:t>
      </w:r>
    </w:p>
    <w:p w14:paraId="6AE19DE6">
      <w:pPr>
        <w:pStyle w:val="24"/>
        <w:spacing w:before="120"/>
        <w:ind w:left="1332" w:hanging="482"/>
        <w:rPr>
          <w:sz w:val="24"/>
          <w:szCs w:val="24"/>
          <w:lang w:eastAsia="zh-CN"/>
        </w:rPr>
      </w:pPr>
      <w:r>
        <w:rPr>
          <w:sz w:val="24"/>
          <w:szCs w:val="24"/>
          <w:lang w:eastAsia="zh-CN"/>
        </w:rPr>
        <w:t>□ 关键评估时间点的受试者失访率较高</w:t>
      </w:r>
    </w:p>
    <w:p w14:paraId="6AE19DE7">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关键评估时间点+/-计算存在大量缺失数据</w:t>
      </w:r>
    </w:p>
    <w:p w14:paraId="6AE19DE8">
      <w:pPr>
        <w:tabs>
          <w:tab w:val="left" w:pos="1334"/>
        </w:tabs>
        <w:snapToGrid w:val="0"/>
        <w:spacing w:before="120" w:beforeLines="50"/>
        <w:jc w:val="both"/>
        <w:rPr>
          <w:lang w:eastAsia="zh-CN"/>
        </w:rPr>
      </w:pPr>
      <w:r>
        <w:rPr>
          <w:lang w:eastAsia="zh-CN"/>
        </w:rPr>
        <w:br w:type="page"/>
      </w:r>
    </w:p>
    <w:p w14:paraId="6AE19DE9">
      <w:pPr>
        <w:pStyle w:val="24"/>
        <w:spacing w:before="120" w:line="400" w:lineRule="exact"/>
        <w:ind w:left="1332" w:hanging="482"/>
        <w:rPr>
          <w:sz w:val="24"/>
          <w:szCs w:val="24"/>
          <w:lang w:eastAsia="zh-CN"/>
        </w:rPr>
      </w:pPr>
      <w:r>
        <w:rPr>
          <w:sz w:val="24"/>
          <w:szCs w:val="24"/>
          <w:lang w:eastAsia="zh-CN"/>
        </w:rPr>
        <w:t>□</w:t>
      </w:r>
      <w:r>
        <w:rPr>
          <w:sz w:val="24"/>
          <w:szCs w:val="24"/>
          <w:lang w:eastAsia="zh-CN"/>
        </w:rPr>
        <w:tab/>
      </w:r>
      <w:r>
        <w:rPr>
          <w:sz w:val="24"/>
          <w:szCs w:val="24"/>
          <w:lang w:eastAsia="zh-CN"/>
        </w:rPr>
        <w:t>发生大量的重大方案偏离</w:t>
      </w:r>
    </w:p>
    <w:p w14:paraId="6AE19DEA">
      <w:pPr>
        <w:pStyle w:val="24"/>
        <w:spacing w:before="120" w:line="400" w:lineRule="exact"/>
        <w:ind w:left="1332" w:hanging="482"/>
        <w:rPr>
          <w:sz w:val="24"/>
          <w:szCs w:val="24"/>
          <w:lang w:eastAsia="zh-CN"/>
        </w:rPr>
      </w:pPr>
      <w:r>
        <w:rPr>
          <w:sz w:val="24"/>
          <w:szCs w:val="24"/>
          <w:lang w:eastAsia="zh-CN"/>
        </w:rPr>
        <w:t>□</w:t>
      </w:r>
      <w:r>
        <w:rPr>
          <w:sz w:val="24"/>
          <w:szCs w:val="24"/>
          <w:lang w:eastAsia="zh-CN"/>
        </w:rPr>
        <w:tab/>
      </w:r>
      <w:r>
        <w:rPr>
          <w:sz w:val="24"/>
          <w:szCs w:val="24"/>
          <w:lang w:eastAsia="zh-CN"/>
        </w:rPr>
        <w:t>用户经验不一致或用户经验不代表可能的真实世界用户</w:t>
      </w:r>
    </w:p>
    <w:p w14:paraId="6AE19DEB">
      <w:pPr>
        <w:pStyle w:val="24"/>
        <w:spacing w:before="120" w:line="400" w:lineRule="exact"/>
        <w:ind w:left="1332" w:hanging="482"/>
        <w:rPr>
          <w:sz w:val="24"/>
          <w:szCs w:val="24"/>
          <w:lang w:eastAsia="zh-CN"/>
        </w:rPr>
      </w:pPr>
      <w:r>
        <w:rPr>
          <w:sz w:val="24"/>
          <w:szCs w:val="24"/>
          <w:lang w:eastAsia="zh-CN"/>
        </w:rPr>
        <w:t>□</w:t>
      </w:r>
      <w:r>
        <w:rPr>
          <w:sz w:val="24"/>
          <w:szCs w:val="24"/>
          <w:lang w:eastAsia="zh-CN"/>
        </w:rPr>
        <w:tab/>
      </w:r>
      <w:r>
        <w:rPr>
          <w:sz w:val="24"/>
          <w:szCs w:val="24"/>
          <w:lang w:eastAsia="zh-CN"/>
        </w:rPr>
        <w:t>有关性能特征的问题（例如敏感性/PPA、特异性/NPA）</w:t>
      </w:r>
    </w:p>
    <w:p w14:paraId="6AE19DEC">
      <w:pPr>
        <w:pStyle w:val="24"/>
        <w:spacing w:before="120" w:line="400" w:lineRule="exact"/>
        <w:ind w:left="1332" w:hanging="482"/>
        <w:rPr>
          <w:sz w:val="24"/>
          <w:szCs w:val="24"/>
          <w:lang w:eastAsia="zh-CN"/>
        </w:rPr>
      </w:pPr>
      <w:r>
        <w:rPr>
          <w:sz w:val="24"/>
          <w:szCs w:val="24"/>
          <w:lang w:eastAsia="zh-CN"/>
        </w:rPr>
        <w:t>□</w:t>
      </w:r>
      <w:r>
        <w:rPr>
          <w:sz w:val="24"/>
          <w:szCs w:val="24"/>
          <w:lang w:eastAsia="zh-CN"/>
        </w:rPr>
        <w:tab/>
      </w:r>
      <w:r>
        <w:rPr>
          <w:sz w:val="24"/>
          <w:szCs w:val="24"/>
          <w:lang w:eastAsia="zh-CN"/>
        </w:rPr>
        <w:t>使用存在缺陷的比较法计算性能特征</w:t>
      </w:r>
    </w:p>
    <w:p w14:paraId="6AE19DED">
      <w:pPr>
        <w:pStyle w:val="24"/>
        <w:spacing w:before="120" w:line="400" w:lineRule="exact"/>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其他：未提供取出永久植入物的相关信息。如果需要，很难取出植入物。</w:t>
      </w:r>
    </w:p>
    <w:p w14:paraId="6AE19DEE">
      <w:pPr>
        <w:pStyle w:val="24"/>
        <w:spacing w:before="120" w:line="400" w:lineRule="exact"/>
        <w:ind w:left="1332" w:hanging="482"/>
        <w:rPr>
          <w:sz w:val="24"/>
          <w:szCs w:val="24"/>
        </w:rPr>
      </w:pPr>
      <w:r>
        <w:rPr>
          <w:sz w:val="24"/>
          <w:szCs w:val="24"/>
          <w:lang w:eastAsia="zh-CN"/>
        </w:rPr>
        <w:t>□</w:t>
      </w:r>
      <w:r>
        <w:rPr>
          <w:sz w:val="24"/>
          <w:szCs w:val="24"/>
          <w:lang w:eastAsia="zh-CN"/>
        </w:rPr>
        <w:tab/>
      </w:r>
      <w:r>
        <w:rPr>
          <w:sz w:val="24"/>
          <w:szCs w:val="24"/>
          <w:lang w:eastAsia="zh-CN"/>
        </w:rPr>
        <w:t>无</w:t>
      </w:r>
    </w:p>
    <w:p w14:paraId="6AE19DEF">
      <w:pPr>
        <w:pStyle w:val="24"/>
        <w:spacing w:before="120" w:line="400" w:lineRule="exact"/>
      </w:pPr>
    </w:p>
    <w:tbl>
      <w:tblPr>
        <w:tblStyle w:val="8"/>
        <w:tblW w:w="0" w:type="auto"/>
        <w:tblInd w:w="9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5812"/>
      </w:tblGrid>
      <w:tr w14:paraId="6AE19DF4">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387" w:hRule="atLeast"/>
        </w:trPr>
        <w:tc>
          <w:tcPr>
            <w:tcW w:w="5812" w:type="dxa"/>
            <w:shd w:val="clear" w:color="auto" w:fill="FFFFFF"/>
            <w:vAlign w:val="center"/>
          </w:tcPr>
          <w:p w14:paraId="6AE19DF0">
            <w:pPr>
              <w:snapToGrid w:val="0"/>
              <w:spacing w:before="120" w:beforeLines="50" w:line="400" w:lineRule="exact"/>
              <w:jc w:val="both"/>
              <w:rPr>
                <w:lang w:eastAsia="zh-CN"/>
              </w:rPr>
            </w:pPr>
            <w:r>
              <w:rPr>
                <w:b/>
                <w:bCs/>
                <w:lang w:eastAsia="zh-CN"/>
              </w:rPr>
              <w:t>Q4</w:t>
            </w:r>
            <w:r>
              <w:rPr>
                <w:rFonts w:hint="eastAsia"/>
                <w:b/>
                <w:bCs/>
                <w:lang w:eastAsia="zh-CN"/>
              </w:rPr>
              <w:t>：</w:t>
            </w:r>
            <w:r>
              <w:rPr>
                <w:b/>
                <w:bCs/>
                <w:lang w:eastAsia="zh-CN"/>
              </w:rPr>
              <w:t>风险的不确定性如何？</w:t>
            </w:r>
          </w:p>
          <w:p w14:paraId="6AE19DF1">
            <w:pPr>
              <w:tabs>
                <w:tab w:val="left" w:pos="230"/>
              </w:tabs>
              <w:snapToGrid w:val="0"/>
              <w:spacing w:before="120" w:beforeLines="50" w:line="400" w:lineRule="exact"/>
              <w:jc w:val="both"/>
              <w:rPr>
                <w:lang w:eastAsia="zh-CN"/>
              </w:rPr>
            </w:pPr>
            <w:r>
              <w:rPr>
                <w:lang w:eastAsia="zh-CN"/>
              </w:rPr>
              <w:t>□ 低</w:t>
            </w:r>
            <w:r>
              <w:rPr>
                <w:lang w:eastAsia="zh-CN"/>
              </w:rPr>
              <w:sym w:font="Wingdings" w:char="F0E8"/>
            </w:r>
            <w:r>
              <w:rPr>
                <w:lang w:eastAsia="zh-CN"/>
              </w:rPr>
              <w:t>继续问题5</w:t>
            </w:r>
          </w:p>
          <w:p w14:paraId="6AE19DF2">
            <w:pPr>
              <w:tabs>
                <w:tab w:val="left" w:pos="230"/>
              </w:tabs>
              <w:snapToGrid w:val="0"/>
              <w:spacing w:before="120" w:beforeLines="50" w:line="400" w:lineRule="exact"/>
              <w:jc w:val="both"/>
              <w:rPr>
                <w:lang w:eastAsia="zh-CN"/>
              </w:rPr>
            </w:pPr>
            <w:r>
              <w:rPr>
                <w:lang w:eastAsia="zh-CN"/>
              </w:rPr>
              <w:sym w:font="Wingdings 2" w:char="F054"/>
            </w:r>
            <w:r>
              <w:rPr>
                <w:lang w:eastAsia="zh-CN"/>
              </w:rPr>
              <w:t>中</w:t>
            </w:r>
            <w:r>
              <w:rPr>
                <w:lang w:eastAsia="zh-CN"/>
              </w:rPr>
              <w:sym w:font="Wingdings" w:char="F0E8"/>
            </w:r>
            <w:r>
              <w:rPr>
                <w:lang w:eastAsia="zh-CN"/>
              </w:rPr>
              <w:t>继续问题5</w:t>
            </w:r>
          </w:p>
          <w:p w14:paraId="6AE19DF3">
            <w:pPr>
              <w:tabs>
                <w:tab w:val="left" w:pos="226"/>
              </w:tabs>
              <w:snapToGrid w:val="0"/>
              <w:spacing w:before="120" w:beforeLines="50" w:line="400" w:lineRule="exact"/>
              <w:jc w:val="both"/>
            </w:pPr>
            <w:r>
              <w:rPr>
                <w:lang w:eastAsia="zh-CN"/>
              </w:rPr>
              <w:t>□ 高</w:t>
            </w:r>
            <w:r>
              <w:rPr>
                <w:lang w:eastAsia="zh-CN"/>
              </w:rPr>
              <w:sym w:font="Wingdings" w:char="F0E8"/>
            </w:r>
            <w:r>
              <w:rPr>
                <w:lang w:eastAsia="zh-CN"/>
              </w:rPr>
              <w:t>继续问题5</w:t>
            </w:r>
          </w:p>
        </w:tc>
      </w:tr>
    </w:tbl>
    <w:p w14:paraId="6AE19DF5">
      <w:pPr>
        <w:snapToGrid w:val="0"/>
        <w:spacing w:before="120" w:beforeLines="50" w:line="400" w:lineRule="exact"/>
        <w:jc w:val="both"/>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68" w:hRule="atLeast"/>
        </w:trPr>
        <w:tc>
          <w:tcPr>
            <w:tcW w:w="5000" w:type="pct"/>
            <w:shd w:val="clear" w:color="auto" w:fill="FFFFFF"/>
            <w:vAlign w:val="center"/>
          </w:tcPr>
          <w:p w14:paraId="6AE19DF6">
            <w:pPr>
              <w:snapToGrid w:val="0"/>
              <w:spacing w:before="120" w:beforeLines="50" w:line="400" w:lineRule="exact"/>
              <w:jc w:val="both"/>
              <w:rPr>
                <w:u w:val="single"/>
                <w:lang w:eastAsia="zh-CN"/>
              </w:rPr>
            </w:pPr>
            <w:r>
              <w:rPr>
                <w:b/>
                <w:bCs/>
                <w:u w:val="single"/>
                <w:lang w:eastAsia="zh-CN"/>
              </w:rPr>
              <w:t>风险评估总结</w:t>
            </w:r>
          </w:p>
          <w:p w14:paraId="6AE19DF7">
            <w:pPr>
              <w:snapToGrid w:val="0"/>
              <w:spacing w:before="120" w:beforeLines="50" w:line="400" w:lineRule="exact"/>
              <w:jc w:val="both"/>
              <w:rPr>
                <w:lang w:eastAsia="zh-CN"/>
              </w:rPr>
            </w:pPr>
            <w:r>
              <w:rPr>
                <w:b/>
                <w:bCs/>
                <w:lang w:eastAsia="zh-CN"/>
              </w:rPr>
              <w:t>如果问题3回答</w:t>
            </w:r>
            <w:r>
              <w:rPr>
                <w:rFonts w:ascii="宋体" w:hAnsi="宋体"/>
                <w:b/>
                <w:bCs/>
                <w:lang w:eastAsia="zh-CN"/>
              </w:rPr>
              <w:t>“</w:t>
            </w:r>
            <w:r>
              <w:rPr>
                <w:b/>
                <w:bCs/>
                <w:lang w:eastAsia="zh-CN"/>
              </w:rPr>
              <w:t>否</w:t>
            </w:r>
            <w:r>
              <w:rPr>
                <w:rFonts w:ascii="宋体" w:hAnsi="宋体"/>
                <w:b/>
                <w:bCs/>
                <w:lang w:eastAsia="zh-CN"/>
              </w:rPr>
              <w:t>”</w:t>
            </w:r>
            <w:r>
              <w:rPr>
                <w:b/>
                <w:bCs/>
                <w:lang w:eastAsia="zh-CN"/>
              </w:rPr>
              <w:t>，但问题4回答</w:t>
            </w:r>
            <w:r>
              <w:rPr>
                <w:rFonts w:ascii="宋体" w:hAnsi="宋体"/>
                <w:b/>
                <w:bCs/>
                <w:lang w:eastAsia="zh-CN"/>
              </w:rPr>
              <w:t>“</w:t>
            </w:r>
            <w:r>
              <w:rPr>
                <w:b/>
                <w:bCs/>
                <w:lang w:eastAsia="zh-CN"/>
              </w:rPr>
              <w:t>高</w:t>
            </w:r>
            <w:r>
              <w:rPr>
                <w:rFonts w:ascii="宋体" w:hAnsi="宋体"/>
                <w:b/>
                <w:bCs/>
                <w:lang w:eastAsia="zh-CN"/>
              </w:rPr>
              <w:t>”</w:t>
            </w:r>
            <w:r>
              <w:rPr>
                <w:b/>
                <w:bCs/>
                <w:lang w:eastAsia="zh-CN"/>
              </w:rPr>
              <w:t>，请在此处解释。</w:t>
            </w:r>
          </w:p>
          <w:p w14:paraId="6AE19DF8">
            <w:pPr>
              <w:snapToGrid w:val="0"/>
              <w:spacing w:before="120" w:beforeLines="50" w:line="400" w:lineRule="exact"/>
              <w:jc w:val="both"/>
              <w:rPr>
                <w:lang w:eastAsia="zh-CN"/>
              </w:rPr>
            </w:pPr>
            <w:r>
              <w:rPr>
                <w:b/>
                <w:bCs/>
                <w:lang w:eastAsia="zh-CN"/>
              </w:rPr>
              <w:t>对于拟定适应症：</w:t>
            </w:r>
          </w:p>
          <w:p w14:paraId="6AE19DF9">
            <w:pPr>
              <w:snapToGrid w:val="0"/>
              <w:spacing w:before="120" w:beforeLines="50" w:line="400" w:lineRule="exact"/>
              <w:jc w:val="both"/>
              <w:rPr>
                <w:lang w:eastAsia="zh-CN"/>
              </w:rPr>
            </w:pPr>
            <w:r>
              <w:rPr>
                <w:lang w:eastAsia="zh-CN"/>
              </w:rPr>
              <w:t>已知的风险通常与永久植入式器械相关，包括器械断裂、机械失效或不良生物反应（</w:t>
            </w:r>
            <w:r>
              <w:rPr>
                <w:rFonts w:hint="eastAsia"/>
                <w:lang w:eastAsia="zh-CN"/>
              </w:rPr>
              <w:t>概率</w:t>
            </w:r>
            <w:r>
              <w:rPr>
                <w:lang w:eastAsia="zh-CN"/>
              </w:rPr>
              <w:t>低于3%）。然而，需要外科手术的所有植入器械都有自己的风险。在此情况下，根据文献得知，植入该器械并非常规操作，手术死亡概率为1%。只要器械保持植入，器械相关不良事件就可能持续，</w:t>
            </w:r>
            <w:r>
              <w:rPr>
                <w:rFonts w:hint="eastAsia"/>
                <w:lang w:eastAsia="zh-CN"/>
              </w:rPr>
              <w:t>但是预计在取出器械后不会持续存在</w:t>
            </w:r>
            <w:r>
              <w:rPr>
                <w:lang w:eastAsia="zh-CN"/>
              </w:rPr>
              <w:t>。然而，未提供有关取出器械的信息，如果需要，预计很难取出。</w:t>
            </w:r>
          </w:p>
        </w:tc>
      </w:tr>
    </w:tbl>
    <w:p w14:paraId="6AE19DFB">
      <w:pPr>
        <w:snapToGrid w:val="0"/>
        <w:spacing w:before="120" w:beforeLines="50" w:line="400" w:lineRule="exact"/>
        <w:jc w:val="both"/>
        <w:rPr>
          <w:lang w:eastAsia="zh-CN"/>
        </w:rPr>
      </w:pPr>
      <w:r>
        <w:rPr>
          <w:lang w:eastAsia="zh-CN"/>
        </w:rPr>
        <w:br w:type="page"/>
      </w:r>
    </w:p>
    <w:p w14:paraId="6AE19DFC">
      <w:pPr>
        <w:snapToGrid w:val="0"/>
        <w:spacing w:before="120" w:beforeLines="50" w:line="400" w:lineRule="exact"/>
        <w:jc w:val="both"/>
        <w:rPr>
          <w:sz w:val="28"/>
          <w:szCs w:val="28"/>
          <w:lang w:eastAsia="zh-CN"/>
        </w:rPr>
      </w:pPr>
      <w:bookmarkStart w:id="107" w:name="bookmark85"/>
      <w:r>
        <w:rPr>
          <w:b/>
          <w:bCs/>
          <w:sz w:val="28"/>
          <w:szCs w:val="28"/>
          <w:lang w:eastAsia="zh-CN"/>
        </w:rPr>
        <w:t>获益-风险评估</w:t>
      </w:r>
      <w:bookmarkEnd w:id="107"/>
    </w:p>
    <w:p w14:paraId="6AE19DFD">
      <w:pPr>
        <w:snapToGrid w:val="0"/>
        <w:spacing w:before="120" w:beforeLines="50" w:line="400" w:lineRule="exact"/>
        <w:jc w:val="both"/>
        <w:rPr>
          <w:sz w:val="24"/>
          <w:szCs w:val="24"/>
          <w:lang w:eastAsia="zh-CN"/>
        </w:rPr>
      </w:pPr>
      <w:r>
        <w:rPr>
          <w:i/>
          <w:iCs/>
          <w:sz w:val="24"/>
          <w:szCs w:val="24"/>
          <w:lang w:eastAsia="zh-CN"/>
        </w:rPr>
        <w:t>对FDA工作人员的说明：</w:t>
      </w:r>
      <w:r>
        <w:rPr>
          <w:sz w:val="24"/>
          <w:szCs w:val="24"/>
          <w:lang w:eastAsia="zh-CN"/>
        </w:rPr>
        <w:t>根据所有证据提出建议。如上文所示，在决定是否批准PMA申请或授予新分类申请期间进行获益-风险评估，但是未评估所有适用的要求。</w:t>
      </w:r>
    </w:p>
    <w:p w14:paraId="6AE19DFE">
      <w:pPr>
        <w:snapToGrid w:val="0"/>
        <w:spacing w:before="120" w:beforeLines="50" w:line="400" w:lineRule="exact"/>
        <w:jc w:val="both"/>
        <w:rPr>
          <w:sz w:val="24"/>
          <w:szCs w:val="24"/>
          <w:lang w:eastAsia="zh-CN"/>
        </w:rPr>
      </w:pPr>
      <w:r>
        <w:rPr>
          <w:sz w:val="24"/>
          <w:szCs w:val="24"/>
          <w:lang w:eastAsia="zh-CN"/>
        </w:rPr>
        <w:t>为了批准PMA申请或授予新分类申请，FDA必须在其他方面确定能够合理保证器械的安全性和有效性。FDA通过在其他相关因素中权衡使用器械的任何可能的健康获益与任何可能的损伤或疾病风险确定是否能够合理保证安全性和有效性。为授予新分类申请，FDA必须找到能够合理保证器械的安全性和有效性的一般控制措施或一般和特殊控制措施。</w:t>
      </w:r>
    </w:p>
    <w:p w14:paraId="6AE19DFF">
      <w:pPr>
        <w:snapToGrid w:val="0"/>
        <w:spacing w:before="120" w:beforeLines="50" w:line="400" w:lineRule="exact"/>
        <w:jc w:val="both"/>
        <w:rPr>
          <w:sz w:val="24"/>
          <w:szCs w:val="24"/>
          <w:lang w:eastAsia="zh-CN"/>
        </w:rPr>
      </w:pPr>
      <w:r>
        <w:rPr>
          <w:sz w:val="24"/>
          <w:szCs w:val="24"/>
          <w:lang w:eastAsia="zh-CN"/>
        </w:rPr>
        <w:t>如果对Q5-8中的任何问题回答</w:t>
      </w:r>
      <w:r>
        <w:rPr>
          <w:rFonts w:ascii="宋体" w:hAnsi="宋体"/>
          <w:sz w:val="24"/>
          <w:szCs w:val="24"/>
          <w:lang w:eastAsia="zh-CN"/>
        </w:rPr>
        <w:t>“</w:t>
      </w:r>
      <w:r>
        <w:rPr>
          <w:sz w:val="24"/>
          <w:szCs w:val="24"/>
          <w:lang w:eastAsia="zh-CN"/>
        </w:rPr>
        <w:t>是</w:t>
      </w:r>
      <w:r>
        <w:rPr>
          <w:rFonts w:ascii="宋体" w:hAnsi="宋体"/>
          <w:sz w:val="24"/>
          <w:szCs w:val="24"/>
          <w:lang w:eastAsia="zh-CN"/>
        </w:rPr>
        <w:t>”</w:t>
      </w:r>
      <w:r>
        <w:rPr>
          <w:sz w:val="24"/>
          <w:szCs w:val="24"/>
          <w:lang w:eastAsia="zh-CN"/>
        </w:rPr>
        <w:t>，请解释获益如何超过风险的依据。您应该考虑并推荐能够增强器械的获益-风险状况的措施（例如修改拟定标签，可以包含其他适当的警告和预防措施、使用说明书或数据表示），以帮助确保产品</w:t>
      </w:r>
      <w:r>
        <w:rPr>
          <w:rFonts w:hint="eastAsia"/>
          <w:sz w:val="24"/>
          <w:szCs w:val="24"/>
          <w:lang w:eastAsia="zh-CN"/>
        </w:rPr>
        <w:t>说明书</w:t>
      </w:r>
      <w:r>
        <w:rPr>
          <w:sz w:val="24"/>
          <w:szCs w:val="24"/>
          <w:lang w:eastAsia="zh-CN"/>
        </w:rPr>
        <w:t>明确表明获益和风险。</w:t>
      </w:r>
    </w:p>
    <w:p w14:paraId="6AE19E00">
      <w:pPr>
        <w:snapToGrid w:val="0"/>
        <w:spacing w:before="120" w:beforeLines="50" w:line="400" w:lineRule="exact"/>
        <w:jc w:val="both"/>
        <w:rPr>
          <w:sz w:val="24"/>
          <w:szCs w:val="24"/>
          <w:lang w:eastAsia="zh-CN"/>
        </w:rPr>
      </w:pPr>
      <w:r>
        <w:rPr>
          <w:sz w:val="24"/>
          <w:szCs w:val="24"/>
          <w:lang w:eastAsia="zh-CN"/>
        </w:rPr>
        <w:t>如果Q5-8回答</w:t>
      </w:r>
      <w:r>
        <w:rPr>
          <w:rFonts w:ascii="宋体" w:hAnsi="宋体"/>
          <w:sz w:val="24"/>
          <w:szCs w:val="24"/>
          <w:lang w:eastAsia="zh-CN"/>
        </w:rPr>
        <w:t>“</w:t>
      </w:r>
      <w:r>
        <w:rPr>
          <w:sz w:val="24"/>
          <w:szCs w:val="24"/>
          <w:lang w:eastAsia="zh-CN"/>
        </w:rPr>
        <w:t>无法得出结论</w:t>
      </w:r>
      <w:r>
        <w:rPr>
          <w:rFonts w:ascii="宋体" w:hAnsi="宋体"/>
          <w:sz w:val="24"/>
          <w:szCs w:val="24"/>
          <w:lang w:eastAsia="zh-CN"/>
        </w:rPr>
        <w:t>”</w:t>
      </w:r>
      <w:r>
        <w:rPr>
          <w:sz w:val="24"/>
          <w:szCs w:val="24"/>
          <w:lang w:eastAsia="zh-CN"/>
        </w:rPr>
        <w:t>，请在总结文本框中提供您认为需要的信息，以支持正在考虑的适应症的获益超过风险的判定，并继续进行Q9。</w:t>
      </w:r>
    </w:p>
    <w:p w14:paraId="6AE19E01">
      <w:pPr>
        <w:snapToGrid w:val="0"/>
        <w:spacing w:before="120" w:beforeLines="50" w:line="400" w:lineRule="exact"/>
        <w:jc w:val="both"/>
        <w:rPr>
          <w:lang w:eastAsia="zh-CN"/>
        </w:rPr>
      </w:pPr>
    </w:p>
    <w:tbl>
      <w:tblPr>
        <w:tblStyle w:val="8"/>
        <w:tblW w:w="0" w:type="auto"/>
        <w:tblInd w:w="9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7229"/>
      </w:tblGrid>
      <w:tr w14:paraId="6AE19E05">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858" w:hRule="atLeast"/>
        </w:trPr>
        <w:tc>
          <w:tcPr>
            <w:tcW w:w="7229" w:type="dxa"/>
            <w:shd w:val="clear" w:color="auto" w:fill="FFFFFF"/>
          </w:tcPr>
          <w:p w14:paraId="6AE19E02">
            <w:pPr>
              <w:snapToGrid w:val="0"/>
              <w:spacing w:before="120" w:beforeLines="50" w:line="400" w:lineRule="exact"/>
              <w:jc w:val="both"/>
              <w:rPr>
                <w:lang w:eastAsia="zh-CN"/>
              </w:rPr>
            </w:pPr>
            <w:r>
              <w:rPr>
                <w:b/>
                <w:bCs/>
                <w:lang w:eastAsia="zh-CN"/>
              </w:rPr>
              <w:t>Q5:考虑到上文的获益-风险评估和不确定性程度，获益是否超过风险？</w:t>
            </w:r>
          </w:p>
          <w:p w14:paraId="6AE19E03">
            <w:pPr>
              <w:tabs>
                <w:tab w:val="left" w:pos="235"/>
              </w:tabs>
              <w:snapToGrid w:val="0"/>
              <w:spacing w:before="120" w:beforeLines="50" w:line="400" w:lineRule="exact"/>
              <w:jc w:val="both"/>
              <w:rPr>
                <w:lang w:eastAsia="zh-CN"/>
              </w:rPr>
            </w:pPr>
            <w:r>
              <w:rPr>
                <w:lang w:eastAsia="zh-CN"/>
              </w:rPr>
              <w:t>□ 是 - 本器械的获益超过风险，为此额外考虑相关因素不会改变该判定</w:t>
            </w:r>
          </w:p>
          <w:p w14:paraId="6AE19E04">
            <w:pPr>
              <w:tabs>
                <w:tab w:val="left" w:pos="245"/>
              </w:tabs>
              <w:snapToGrid w:val="0"/>
              <w:spacing w:before="120" w:beforeLines="50" w:line="400" w:lineRule="exact"/>
              <w:jc w:val="both"/>
              <w:rPr>
                <w:lang w:eastAsia="zh-CN"/>
              </w:rPr>
            </w:pPr>
            <w:r>
              <w:rPr>
                <w:lang w:eastAsia="zh-CN"/>
              </w:rPr>
              <w:t>□ 无法得出获益超过风险的结论 - 进一步讨论和考虑相关因素是适当的 - 继续Q6</w:t>
            </w:r>
          </w:p>
        </w:tc>
      </w:tr>
    </w:tbl>
    <w:p w14:paraId="6AE19E06">
      <w:pPr>
        <w:snapToGrid w:val="0"/>
        <w:spacing w:before="120" w:beforeLines="50" w:line="400" w:lineRule="exact"/>
        <w:jc w:val="both"/>
        <w:rPr>
          <w:lang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87" w:hRule="atLeast"/>
        </w:trPr>
        <w:tc>
          <w:tcPr>
            <w:tcW w:w="9326" w:type="dxa"/>
            <w:shd w:val="clear" w:color="auto" w:fill="FFFFFF"/>
            <w:vAlign w:val="center"/>
          </w:tcPr>
          <w:p w14:paraId="6AE19E07">
            <w:pPr>
              <w:snapToGrid w:val="0"/>
              <w:spacing w:before="120" w:beforeLines="50" w:line="400" w:lineRule="exact"/>
              <w:jc w:val="both"/>
              <w:rPr>
                <w:b/>
                <w:bCs/>
                <w:u w:val="single"/>
                <w:lang w:eastAsia="zh-CN"/>
              </w:rPr>
            </w:pPr>
            <w:r>
              <w:rPr>
                <w:b/>
                <w:bCs/>
                <w:u w:val="single"/>
                <w:lang w:eastAsia="zh-CN"/>
              </w:rPr>
              <w:t>获益-风险评估总结</w:t>
            </w:r>
          </w:p>
          <w:p w14:paraId="6AE19E08">
            <w:pPr>
              <w:snapToGrid w:val="0"/>
              <w:spacing w:before="120" w:beforeLines="50" w:line="400" w:lineRule="exact"/>
              <w:jc w:val="both"/>
              <w:rPr>
                <w:lang w:eastAsia="zh-CN"/>
              </w:rPr>
            </w:pPr>
            <w:r>
              <w:rPr>
                <w:b/>
                <w:bCs/>
                <w:lang w:eastAsia="zh-CN"/>
              </w:rPr>
              <w:t>对于拟定适应症：</w:t>
            </w:r>
          </w:p>
          <w:p w14:paraId="6AE19E09">
            <w:pPr>
              <w:snapToGrid w:val="0"/>
              <w:spacing w:before="120" w:beforeLines="50" w:line="400" w:lineRule="exact"/>
              <w:jc w:val="both"/>
              <w:rPr>
                <w:lang w:eastAsia="zh-CN"/>
              </w:rPr>
            </w:pPr>
            <w:r>
              <w:rPr>
                <w:lang w:eastAsia="zh-CN"/>
              </w:rPr>
              <w:t>患者获益的概率相对较高（如果临床试验结果适用于适用人群，约为75%）。在这种特殊情况下，因为确定肯定会获益的患者亚群的协变量尚不清楚，FDA并未选择将该器械的使用限制在最有可能获益的患者。此外，这类永久植入式器械存在显著风险，试验结果有时存在一定不确定性，尤其是缺乏有关取出器械的信息的情况。</w:t>
            </w:r>
          </w:p>
        </w:tc>
      </w:tr>
    </w:tbl>
    <w:p w14:paraId="6AE19E0B">
      <w:pPr>
        <w:pStyle w:val="22"/>
        <w:spacing w:before="120" w:line="400" w:lineRule="exact"/>
      </w:pPr>
    </w:p>
    <w:p w14:paraId="6AE19E0C">
      <w:pPr>
        <w:pStyle w:val="22"/>
        <w:spacing w:before="120" w:line="400" w:lineRule="exact"/>
        <w:rPr>
          <w:b w:val="0"/>
          <w:i/>
          <w:iCs/>
        </w:rPr>
      </w:pPr>
      <w:r>
        <w:t>6.</w:t>
      </w:r>
      <w:r>
        <w:tab/>
      </w:r>
      <w:r>
        <w:t>当考虑以下附加考虑因素时，获益是否超过风险？</w:t>
      </w:r>
      <w:r>
        <w:rPr>
          <w:b w:val="0"/>
          <w:i/>
        </w:rPr>
        <w:t>选择相关注意事项，然后回答以下方框中的问题。</w:t>
      </w:r>
    </w:p>
    <w:p w14:paraId="6AE19E0D">
      <w:pPr>
        <w:pStyle w:val="22"/>
        <w:spacing w:before="120"/>
      </w:pPr>
      <w:r>
        <w:br w:type="page"/>
      </w:r>
    </w:p>
    <w:p w14:paraId="6AE19E0E">
      <w:pPr>
        <w:pStyle w:val="24"/>
        <w:spacing w:before="120"/>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了解患者是否愿意接受获益和/或风险具有较大的不确定性</w:t>
      </w:r>
    </w:p>
    <w:p w14:paraId="6AE19E0F">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可用的患者偏好信息（PPI）显示，患者是否愿意接受风险以换取获益。在无法获得PPI的情况下（例如，一些儿童或功能受损的患者人群），可以考虑健康伴侣的观点。</w:t>
      </w:r>
    </w:p>
    <w:p w14:paraId="6AE19E10">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了解健康伴侣对预期有益于健康伴侣的器械的获益和风险的观点（例如方便进行护理）</w:t>
      </w:r>
    </w:p>
    <w:p w14:paraId="6AE19E11">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了解医疗保健专业人员对预期有益于医疗保健专业人员的器械的获益和风险的观点（例如减少辐射暴露）</w:t>
      </w:r>
    </w:p>
    <w:p w14:paraId="6AE19E12">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患者对替代健康干预措施中不同结局或其他属性的相对合适性和可接受性的定性或定量评估</w:t>
      </w:r>
    </w:p>
    <w:p w14:paraId="6AE19E13">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了解患者人群的规模在多大程度上影响开展大型试验的可行性，并影响罕见和常见疾病或状况的公共卫生需求</w:t>
      </w:r>
    </w:p>
    <w:p w14:paraId="6AE19E14">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了解器械代表与当前器械技术不同的新技术</w:t>
      </w:r>
    </w:p>
    <w:p w14:paraId="6AE19E15">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在缺乏申报器械的干预或诊断信息的情况下，能够管理或诊断状况并考虑疾病进展的自然史</w:t>
      </w:r>
    </w:p>
    <w:p w14:paraId="6AE19E16">
      <w:pPr>
        <w:pStyle w:val="24"/>
        <w:spacing w:before="120"/>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尚无合法上市的医疗产品或医疗干预，或者器械与现有替代方式相比具有优势</w:t>
      </w:r>
    </w:p>
    <w:p w14:paraId="6AE19E17">
      <w:pPr>
        <w:pStyle w:val="24"/>
        <w:spacing w:before="120"/>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器械可以满足未能满足的医疗需求或领域或可以更有效地治疗或诊断危及生命的或不可逆的使人衰弱的人类疾病/状况</w:t>
      </w:r>
    </w:p>
    <w:p w14:paraId="6AE19E18">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器械能够避免该疾病或状况的现有疗法的严重伤害</w:t>
      </w:r>
    </w:p>
    <w:p w14:paraId="6AE19E19">
      <w:pPr>
        <w:pStyle w:val="24"/>
        <w:spacing w:before="120"/>
        <w:ind w:left="1332" w:hanging="482"/>
        <w:rPr>
          <w:sz w:val="24"/>
          <w:szCs w:val="24"/>
        </w:rPr>
      </w:pPr>
      <w:r>
        <w:rPr>
          <w:sz w:val="24"/>
          <w:szCs w:val="24"/>
          <w:lang w:eastAsia="zh-CN"/>
        </w:rPr>
        <w:t>□</w:t>
      </w:r>
      <w:r>
        <w:rPr>
          <w:sz w:val="24"/>
          <w:szCs w:val="24"/>
          <w:lang w:eastAsia="zh-CN"/>
        </w:rPr>
        <w:tab/>
      </w:r>
      <w:r>
        <w:rPr>
          <w:sz w:val="24"/>
          <w:szCs w:val="24"/>
          <w:lang w:eastAsia="zh-CN"/>
        </w:rPr>
        <w:t>使用器械的不良事件是可逆的</w:t>
      </w:r>
    </w:p>
    <w:p w14:paraId="6AE19E1A">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解决有害事件所需的干预类型（例如药物治疗、外科手术）</w:t>
      </w:r>
    </w:p>
    <w:p w14:paraId="6AE19E1B">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研究为首次研究（分析可靠性）</w:t>
      </w:r>
    </w:p>
    <w:p w14:paraId="6AE19E1C">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临界点和/或最差情况敏感性分析继续显示具有临床获益</w:t>
      </w:r>
    </w:p>
    <w:p w14:paraId="6AE19E1D">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了解机械合理性和/或</w:t>
      </w:r>
      <w:r>
        <w:rPr>
          <w:rFonts w:ascii="宋体" w:hAnsi="宋体"/>
          <w:sz w:val="24"/>
          <w:szCs w:val="24"/>
          <w:lang w:eastAsia="zh-CN"/>
        </w:rPr>
        <w:t>“</w:t>
      </w:r>
      <w:r>
        <w:rPr>
          <w:sz w:val="24"/>
          <w:szCs w:val="24"/>
          <w:lang w:eastAsia="zh-CN"/>
        </w:rPr>
        <w:t>类效应</w:t>
      </w:r>
      <w:r>
        <w:rPr>
          <w:rFonts w:ascii="宋体" w:hAnsi="宋体"/>
          <w:sz w:val="24"/>
          <w:szCs w:val="24"/>
          <w:lang w:eastAsia="zh-CN"/>
        </w:rPr>
        <w:t>”</w:t>
      </w:r>
      <w:r>
        <w:rPr>
          <w:sz w:val="24"/>
          <w:szCs w:val="24"/>
          <w:lang w:eastAsia="zh-CN"/>
        </w:rPr>
        <w:t>（例如熟练掌握类似技术）</w:t>
      </w:r>
    </w:p>
    <w:p w14:paraId="6AE19E1E">
      <w:pPr>
        <w:pStyle w:val="24"/>
        <w:spacing w:before="120"/>
        <w:ind w:left="1332" w:hanging="482"/>
        <w:rPr>
          <w:sz w:val="24"/>
          <w:szCs w:val="24"/>
        </w:rPr>
      </w:pPr>
      <w:r>
        <w:rPr>
          <w:sz w:val="24"/>
          <w:szCs w:val="24"/>
          <w:lang w:eastAsia="zh-CN"/>
        </w:rPr>
        <w:t>□</w:t>
      </w:r>
      <w:r>
        <w:rPr>
          <w:sz w:val="24"/>
          <w:szCs w:val="24"/>
          <w:lang w:eastAsia="zh-CN"/>
        </w:rPr>
        <w:tab/>
      </w:r>
      <w:r>
        <w:rPr>
          <w:sz w:val="24"/>
          <w:szCs w:val="24"/>
          <w:lang w:eastAsia="zh-CN"/>
        </w:rPr>
        <w:t>其他：</w:t>
      </w:r>
    </w:p>
    <w:p w14:paraId="6AE19E1F">
      <w:pPr>
        <w:pStyle w:val="24"/>
        <w:spacing w:before="120"/>
        <w:ind w:left="1332" w:hanging="482"/>
        <w:rPr>
          <w:sz w:val="24"/>
          <w:szCs w:val="24"/>
        </w:rPr>
      </w:pPr>
      <w:r>
        <w:rPr>
          <w:sz w:val="24"/>
          <w:szCs w:val="24"/>
          <w:lang w:eastAsia="zh-CN"/>
        </w:rPr>
        <w:t>□</w:t>
      </w:r>
      <w:r>
        <w:rPr>
          <w:sz w:val="24"/>
          <w:szCs w:val="24"/>
          <w:lang w:eastAsia="zh-CN"/>
        </w:rPr>
        <w:tab/>
      </w:r>
      <w:r>
        <w:rPr>
          <w:sz w:val="24"/>
          <w:szCs w:val="24"/>
          <w:lang w:eastAsia="zh-CN"/>
        </w:rPr>
        <w:t>无</w:t>
      </w:r>
    </w:p>
    <w:p w14:paraId="6AE19E20">
      <w:pPr>
        <w:pStyle w:val="24"/>
        <w:spacing w:before="120"/>
      </w:pPr>
    </w:p>
    <w:tbl>
      <w:tblPr>
        <w:tblStyle w:val="8"/>
        <w:tblW w:w="0" w:type="auto"/>
        <w:tblInd w:w="9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7796"/>
      </w:tblGrid>
      <w:tr w14:paraId="6AE19E24">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853" w:hRule="atLeast"/>
        </w:trPr>
        <w:tc>
          <w:tcPr>
            <w:tcW w:w="7796" w:type="dxa"/>
            <w:shd w:val="clear" w:color="auto" w:fill="FFFFFF"/>
            <w:vAlign w:val="bottom"/>
          </w:tcPr>
          <w:p w14:paraId="6AE19E21">
            <w:pPr>
              <w:snapToGrid w:val="0"/>
              <w:spacing w:before="120" w:beforeLines="50"/>
              <w:jc w:val="both"/>
              <w:rPr>
                <w:lang w:eastAsia="zh-CN"/>
              </w:rPr>
            </w:pPr>
            <w:r>
              <w:rPr>
                <w:b/>
                <w:bCs/>
                <w:lang w:eastAsia="zh-CN"/>
              </w:rPr>
              <w:t>Q6：当考虑其他相关考虑因素时，获益是否超过风险？</w:t>
            </w:r>
          </w:p>
          <w:p w14:paraId="6AE19E22">
            <w:pPr>
              <w:snapToGrid w:val="0"/>
              <w:spacing w:before="120" w:beforeLines="50"/>
              <w:jc w:val="both"/>
              <w:rPr>
                <w:lang w:eastAsia="zh-CN"/>
              </w:rPr>
            </w:pPr>
            <w:r>
              <w:rPr>
                <w:lang w:eastAsia="zh-CN"/>
              </w:rPr>
              <w:t>□ 是 - 本器械的获益超过风险，为此额外考虑相关因素不会改变该判定</w:t>
            </w:r>
          </w:p>
          <w:p w14:paraId="6AE19E23">
            <w:pPr>
              <w:snapToGrid w:val="0"/>
              <w:spacing w:before="120" w:beforeLines="50"/>
              <w:jc w:val="both"/>
              <w:rPr>
                <w:lang w:eastAsia="zh-CN"/>
              </w:rPr>
            </w:pPr>
            <w:r>
              <w:rPr>
                <w:lang w:eastAsia="zh-CN"/>
              </w:rPr>
              <w:sym w:font="Wingdings 2" w:char="F054"/>
            </w:r>
            <w:r>
              <w:rPr>
                <w:lang w:eastAsia="zh-CN"/>
              </w:rPr>
              <w:tab/>
            </w:r>
            <w:r>
              <w:rPr>
                <w:lang w:eastAsia="zh-CN"/>
              </w:rPr>
              <w:t>无法得出获益超过风险的结论 - 进一步讨论和考虑风险缓解措施是适当的 - 继续Q7</w:t>
            </w:r>
          </w:p>
        </w:tc>
      </w:tr>
    </w:tbl>
    <w:p w14:paraId="6AE19E25">
      <w:pPr>
        <w:snapToGrid w:val="0"/>
        <w:spacing w:before="120" w:beforeLines="50"/>
        <w:jc w:val="both"/>
        <w:rPr>
          <w:lang w:eastAsia="zh-CN"/>
        </w:rPr>
      </w:pPr>
      <w:r>
        <w:rPr>
          <w:lang w:eastAsia="zh-CN"/>
        </w:rPr>
        <w:br w:type="page"/>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trPr>
        <w:tc>
          <w:tcPr>
            <w:tcW w:w="5000" w:type="pct"/>
            <w:shd w:val="clear" w:color="auto" w:fill="FFFFFF"/>
            <w:vAlign w:val="center"/>
          </w:tcPr>
          <w:p w14:paraId="6AE19E26">
            <w:pPr>
              <w:snapToGrid w:val="0"/>
              <w:spacing w:before="120" w:beforeLines="50"/>
              <w:jc w:val="both"/>
              <w:rPr>
                <w:lang w:eastAsia="zh-CN"/>
              </w:rPr>
            </w:pPr>
            <w:r>
              <w:rPr>
                <w:b/>
                <w:bCs/>
                <w:lang w:eastAsia="zh-CN"/>
              </w:rPr>
              <w:t>考虑到拟定适应症的其他相关考虑因素，获益-风险评估总结：</w:t>
            </w:r>
          </w:p>
          <w:p w14:paraId="6AE19E27">
            <w:pPr>
              <w:snapToGrid w:val="0"/>
              <w:spacing w:before="120" w:beforeLines="50"/>
              <w:jc w:val="both"/>
              <w:rPr>
                <w:lang w:eastAsia="zh-CN"/>
              </w:rPr>
            </w:pPr>
            <w:r>
              <w:rPr>
                <w:lang w:eastAsia="zh-CN"/>
              </w:rPr>
              <w:t>对于目标人群中将获益的患者，症状缓解和生活质量改善让人印象深刻，一些患者表示愿意承担风险以换取这些益处。最后，器械能够治疗替代治疗方式已经耗尽的严重和慢性疾病。然而，尚不清楚哪些患者将获益，需要进一步缓解器械风险，以达到有利的获益-风险评估。</w:t>
            </w:r>
          </w:p>
        </w:tc>
      </w:tr>
    </w:tbl>
    <w:p w14:paraId="6AE19E29">
      <w:pPr>
        <w:pStyle w:val="22"/>
        <w:spacing w:before="120"/>
        <w:rPr>
          <w:b w:val="0"/>
          <w:i/>
        </w:rPr>
      </w:pPr>
      <w:r>
        <w:t>7.</w:t>
      </w:r>
      <w:r>
        <w:tab/>
      </w:r>
      <w:r>
        <w:t>是否可以缓解风险以使获益超过风险？考虑如果纳入风险缓解策略以降低发生有害事件的概率并改善器械的获益-风险状况，获益是否超过风险。</w:t>
      </w:r>
      <w:r>
        <w:rPr>
          <w:b w:val="0"/>
          <w:i/>
        </w:rPr>
        <w:t>选择相关注意事项，然后回答以下方框中的问题。</w:t>
      </w:r>
    </w:p>
    <w:p w14:paraId="6AE19E2A">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在医生和患者说明书中额外描述已知和可能的获益和风险，包括适当的禁忌症、警告和预防措施，并描述临床事件</w:t>
      </w:r>
    </w:p>
    <w:p w14:paraId="6AE19E2B">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额外警告注意安全性信息的局限（例如</w:t>
      </w:r>
      <w:r>
        <w:rPr>
          <w:rFonts w:ascii="宋体" w:hAnsi="宋体"/>
          <w:sz w:val="24"/>
          <w:szCs w:val="24"/>
          <w:lang w:eastAsia="zh-CN"/>
        </w:rPr>
        <w:t>“</w:t>
      </w:r>
      <w:r>
        <w:rPr>
          <w:sz w:val="24"/>
          <w:szCs w:val="24"/>
          <w:lang w:eastAsia="zh-CN"/>
        </w:rPr>
        <w:t>尚未评价在[情况]中使用该器械的安全性。</w:t>
      </w:r>
      <w:r>
        <w:rPr>
          <w:rFonts w:ascii="宋体" w:hAnsi="宋体"/>
          <w:sz w:val="24"/>
          <w:szCs w:val="24"/>
          <w:lang w:eastAsia="zh-CN"/>
        </w:rPr>
        <w:t>”</w:t>
      </w:r>
      <w:r>
        <w:rPr>
          <w:sz w:val="24"/>
          <w:szCs w:val="24"/>
          <w:lang w:eastAsia="zh-CN"/>
        </w:rPr>
        <w:t>）</w:t>
      </w:r>
    </w:p>
    <w:p w14:paraId="6AE19E2C">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在器械上标记</w:t>
      </w:r>
      <w:r>
        <w:rPr>
          <w:rFonts w:ascii="宋体" w:hAnsi="宋体"/>
          <w:sz w:val="24"/>
          <w:szCs w:val="24"/>
          <w:lang w:eastAsia="zh-CN"/>
        </w:rPr>
        <w:t>“</w:t>
      </w:r>
      <w:r>
        <w:rPr>
          <w:sz w:val="24"/>
          <w:szCs w:val="24"/>
          <w:lang w:eastAsia="zh-CN"/>
        </w:rPr>
        <w:t>仅凭处方</w:t>
      </w:r>
      <w:r>
        <w:rPr>
          <w:rFonts w:ascii="宋体" w:hAnsi="宋体"/>
          <w:sz w:val="24"/>
          <w:szCs w:val="24"/>
          <w:lang w:eastAsia="zh-CN"/>
        </w:rPr>
        <w:t>”</w:t>
      </w:r>
    </w:p>
    <w:p w14:paraId="6AE19E2D">
      <w:pPr>
        <w:pStyle w:val="24"/>
        <w:spacing w:before="120"/>
        <w:ind w:left="1332" w:hanging="482"/>
        <w:rPr>
          <w:sz w:val="24"/>
          <w:szCs w:val="24"/>
          <w:lang w:eastAsia="zh-CN"/>
        </w:rPr>
      </w:pPr>
      <w:r>
        <w:rPr>
          <w:sz w:val="24"/>
          <w:szCs w:val="24"/>
          <w:lang w:eastAsia="zh-CN"/>
        </w:rPr>
        <w:t>培训：</w:t>
      </w:r>
    </w:p>
    <w:p w14:paraId="6AE19E2E">
      <w:pPr>
        <w:pStyle w:val="24"/>
        <w:spacing w:before="120"/>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对具有特定资格或临床培训的护理人员进行限制</w:t>
      </w:r>
    </w:p>
    <w:p w14:paraId="6AE19E2F">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仅供具有最低资质和/或受过培训的用户使用</w:t>
      </w:r>
    </w:p>
    <w:p w14:paraId="6AE19E30">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医生/用户培训计划其他：</w:t>
      </w:r>
    </w:p>
    <w:p w14:paraId="6AE19E31">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器械跟踪</w:t>
      </w:r>
    </w:p>
    <w:p w14:paraId="6AE19E32">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其他：</w:t>
      </w:r>
    </w:p>
    <w:p w14:paraId="6AE19E33">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无</w:t>
      </w:r>
    </w:p>
    <w:p w14:paraId="6AE19E34">
      <w:pPr>
        <w:pStyle w:val="24"/>
        <w:spacing w:before="120"/>
        <w:rPr>
          <w:lang w:eastAsia="zh-CN"/>
        </w:rPr>
      </w:pPr>
    </w:p>
    <w:tbl>
      <w:tblPr>
        <w:tblStyle w:val="8"/>
        <w:tblW w:w="0" w:type="auto"/>
        <w:tblInd w:w="9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7513"/>
      </w:tblGrid>
      <w:tr w14:paraId="6AE19E38">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608" w:hRule="atLeast"/>
        </w:trPr>
        <w:tc>
          <w:tcPr>
            <w:tcW w:w="7513" w:type="dxa"/>
            <w:shd w:val="clear" w:color="auto" w:fill="FFFFFF"/>
            <w:vAlign w:val="center"/>
          </w:tcPr>
          <w:p w14:paraId="6AE19E35">
            <w:pPr>
              <w:snapToGrid w:val="0"/>
              <w:spacing w:before="120" w:beforeLines="50"/>
              <w:jc w:val="both"/>
              <w:rPr>
                <w:lang w:eastAsia="zh-CN"/>
              </w:rPr>
            </w:pPr>
            <w:r>
              <w:rPr>
                <w:b/>
                <w:bCs/>
                <w:lang w:eastAsia="zh-CN"/>
              </w:rPr>
              <w:t>Q7：是否可以缓解风险以使获益超过风险？</w:t>
            </w:r>
          </w:p>
          <w:p w14:paraId="6AE19E36">
            <w:pPr>
              <w:snapToGrid w:val="0"/>
              <w:spacing w:before="120" w:beforeLines="50"/>
              <w:jc w:val="both"/>
              <w:rPr>
                <w:lang w:eastAsia="zh-CN"/>
              </w:rPr>
            </w:pPr>
            <w:r>
              <w:rPr>
                <w:lang w:eastAsia="zh-CN"/>
              </w:rPr>
              <w:sym w:font="Wingdings 2" w:char="F054"/>
            </w:r>
            <w:r>
              <w:rPr>
                <w:lang w:eastAsia="zh-CN"/>
              </w:rPr>
              <w:t>是 - 本器械的获益超过风险，为此额外考虑相关因素不会改变该判定</w:t>
            </w:r>
          </w:p>
          <w:p w14:paraId="6AE19E37">
            <w:pPr>
              <w:snapToGrid w:val="0"/>
              <w:spacing w:before="120" w:beforeLines="50"/>
              <w:jc w:val="both"/>
              <w:rPr>
                <w:lang w:eastAsia="zh-CN"/>
              </w:rPr>
            </w:pPr>
            <w:r>
              <w:rPr>
                <w:lang w:eastAsia="zh-CN"/>
              </w:rPr>
              <w:t>□ 无法得出获益超过风险的结论 - 进一步讨论和考虑上市后措施是适当的 - 继续Q8</w:t>
            </w:r>
          </w:p>
        </w:tc>
      </w:tr>
    </w:tbl>
    <w:p w14:paraId="6AE19E39">
      <w:pPr>
        <w:snapToGrid w:val="0"/>
        <w:spacing w:before="120" w:beforeLines="50"/>
        <w:jc w:val="both"/>
        <w:rPr>
          <w:lang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058"/>
      </w:tblGrid>
      <w:tr w14:paraId="6AE1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6" w:hRule="atLeast"/>
        </w:trPr>
        <w:tc>
          <w:tcPr>
            <w:tcW w:w="9058" w:type="dxa"/>
            <w:shd w:val="clear" w:color="auto" w:fill="FFFFFF"/>
            <w:vAlign w:val="center"/>
          </w:tcPr>
          <w:p w14:paraId="6AE19E3A">
            <w:pPr>
              <w:snapToGrid w:val="0"/>
              <w:spacing w:before="120" w:beforeLines="50"/>
              <w:jc w:val="both"/>
              <w:rPr>
                <w:b/>
                <w:bCs/>
                <w:u w:val="single"/>
                <w:lang w:eastAsia="zh-CN"/>
              </w:rPr>
            </w:pPr>
            <w:r>
              <w:rPr>
                <w:b/>
                <w:bCs/>
                <w:u w:val="single"/>
                <w:lang w:eastAsia="zh-CN"/>
              </w:rPr>
              <w:t xml:space="preserve">考虑到风险缓解策略，获益-风险评估的总结 </w:t>
            </w:r>
          </w:p>
          <w:p w14:paraId="6AE19E3B">
            <w:pPr>
              <w:snapToGrid w:val="0"/>
              <w:spacing w:before="120" w:beforeLines="50"/>
              <w:jc w:val="both"/>
              <w:rPr>
                <w:lang w:eastAsia="zh-CN"/>
              </w:rPr>
            </w:pPr>
            <w:r>
              <w:rPr>
                <w:b/>
                <w:bCs/>
                <w:lang w:eastAsia="zh-CN"/>
              </w:rPr>
              <w:t>对于拟定适应症：</w:t>
            </w:r>
          </w:p>
          <w:p w14:paraId="6AE19E3C">
            <w:pPr>
              <w:snapToGrid w:val="0"/>
              <w:spacing w:before="120" w:beforeLines="50"/>
              <w:jc w:val="both"/>
              <w:rPr>
                <w:lang w:eastAsia="zh-CN"/>
              </w:rPr>
            </w:pPr>
            <w:r>
              <w:rPr>
                <w:lang w:eastAsia="zh-CN"/>
              </w:rPr>
              <w:t>虽然风险较大，但是可以通过限制只能由受过专业培训的临床医师使用器械进一步缓解风险。在采取额外的风险缓解措施后，器械的获益超过风险。</w:t>
            </w:r>
          </w:p>
        </w:tc>
      </w:tr>
    </w:tbl>
    <w:p w14:paraId="6AE19E3E">
      <w:pPr>
        <w:pStyle w:val="22"/>
        <w:spacing w:before="120"/>
        <w:rPr>
          <w:b w:val="0"/>
          <w:i/>
        </w:rPr>
      </w:pPr>
      <w:r>
        <w:t>8.</w:t>
      </w:r>
      <w:r>
        <w:tab/>
      </w:r>
      <w:r>
        <w:t>考虑到采取上市后措施，获益是否超过风险？</w:t>
      </w:r>
      <w:r>
        <w:rPr>
          <w:b w:val="0"/>
          <w:i/>
        </w:rPr>
        <w:t>选择适当的上市后措施，然后回答以下方框中的问题。</w:t>
      </w:r>
    </w:p>
    <w:p w14:paraId="6AE19E3F">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在上市后收集其他和/或确认的非临床性能数据</w:t>
      </w:r>
    </w:p>
    <w:p w14:paraId="6AE19E40">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在上市后收集其他和/或确认的临床数据（例如批准后研究、上市后监督）</w:t>
      </w:r>
    </w:p>
    <w:p w14:paraId="6AE19E41">
      <w:pPr>
        <w:tabs>
          <w:tab w:val="left" w:pos="1335"/>
        </w:tabs>
        <w:snapToGrid w:val="0"/>
        <w:spacing w:before="120" w:beforeLines="50"/>
        <w:jc w:val="both"/>
        <w:rPr>
          <w:lang w:eastAsia="zh-CN"/>
        </w:rPr>
      </w:pPr>
      <w:r>
        <w:rPr>
          <w:lang w:eastAsia="zh-CN"/>
        </w:rPr>
        <w:br w:type="page"/>
      </w:r>
    </w:p>
    <w:p w14:paraId="6AE19E42">
      <w:pPr>
        <w:pStyle w:val="25"/>
        <w:spacing w:before="120" w:line="400" w:lineRule="exact"/>
        <w:ind w:left="1762" w:hanging="485"/>
        <w:rPr>
          <w:sz w:val="24"/>
          <w:szCs w:val="24"/>
          <w:lang w:eastAsia="zh-CN"/>
        </w:rPr>
      </w:pPr>
      <w:r>
        <w:rPr>
          <w:sz w:val="24"/>
          <w:szCs w:val="24"/>
          <w:lang w:eastAsia="zh-CN"/>
        </w:rPr>
        <w:t>如果检查了上市后申请中的非临床或临床性能数据收集，请考虑：</w:t>
      </w:r>
    </w:p>
    <w:p w14:paraId="6AE19E43">
      <w:pPr>
        <w:pStyle w:val="25"/>
        <w:spacing w:before="120" w:line="400" w:lineRule="exact"/>
        <w:ind w:left="1762" w:hanging="485"/>
        <w:rPr>
          <w:sz w:val="24"/>
          <w:szCs w:val="24"/>
          <w:lang w:eastAsia="zh-CN"/>
        </w:rPr>
      </w:pPr>
      <w:r>
        <w:rPr>
          <w:sz w:val="24"/>
          <w:szCs w:val="24"/>
          <w:lang w:eastAsia="zh-CN"/>
        </w:rPr>
        <w:t>□</w:t>
      </w:r>
      <w:r>
        <w:rPr>
          <w:sz w:val="24"/>
          <w:szCs w:val="24"/>
          <w:lang w:eastAsia="zh-CN"/>
        </w:rPr>
        <w:tab/>
      </w:r>
      <w:r>
        <w:rPr>
          <w:sz w:val="24"/>
          <w:szCs w:val="24"/>
          <w:lang w:eastAsia="zh-CN"/>
        </w:rPr>
        <w:t>在合理的时间段内完成上市后数据收集的可行性和</w:t>
      </w:r>
    </w:p>
    <w:p w14:paraId="6AE19E44">
      <w:pPr>
        <w:pStyle w:val="25"/>
        <w:spacing w:before="120" w:line="400" w:lineRule="exact"/>
        <w:ind w:left="1762" w:hanging="485"/>
        <w:rPr>
          <w:sz w:val="24"/>
          <w:szCs w:val="24"/>
          <w:lang w:eastAsia="zh-CN"/>
        </w:rPr>
      </w:pPr>
      <w:r>
        <w:rPr>
          <w:sz w:val="24"/>
          <w:szCs w:val="24"/>
          <w:lang w:eastAsia="zh-CN"/>
        </w:rPr>
        <w:t>完成上市后数据收集的可能性</w:t>
      </w:r>
    </w:p>
    <w:p w14:paraId="6AE19E45">
      <w:pPr>
        <w:pStyle w:val="25"/>
        <w:spacing w:before="120" w:line="400" w:lineRule="exact"/>
        <w:ind w:left="1762" w:hanging="485"/>
        <w:rPr>
          <w:sz w:val="24"/>
          <w:szCs w:val="24"/>
          <w:lang w:eastAsia="zh-CN"/>
        </w:rPr>
      </w:pPr>
      <w:r>
        <w:rPr>
          <w:sz w:val="24"/>
          <w:szCs w:val="24"/>
          <w:lang w:eastAsia="zh-CN"/>
        </w:rPr>
        <w:t>□</w:t>
      </w:r>
      <w:r>
        <w:rPr>
          <w:sz w:val="24"/>
          <w:szCs w:val="24"/>
          <w:lang w:eastAsia="zh-CN"/>
        </w:rPr>
        <w:tab/>
      </w:r>
      <w:r>
        <w:rPr>
          <w:sz w:val="24"/>
          <w:szCs w:val="24"/>
          <w:lang w:eastAsia="zh-CN"/>
        </w:rPr>
        <w:t>在标签中描述上市后数据收集及其目的是否合适</w:t>
      </w:r>
    </w:p>
    <w:p w14:paraId="6AE19E46">
      <w:pPr>
        <w:pStyle w:val="24"/>
        <w:spacing w:before="120" w:line="400" w:lineRule="exact"/>
        <w:ind w:left="1332" w:hanging="482"/>
        <w:rPr>
          <w:sz w:val="24"/>
          <w:szCs w:val="24"/>
        </w:rPr>
      </w:pPr>
      <w:r>
        <w:rPr>
          <w:sz w:val="24"/>
          <w:szCs w:val="24"/>
          <w:lang w:eastAsia="zh-CN"/>
        </w:rPr>
        <w:t>□</w:t>
      </w:r>
      <w:r>
        <w:rPr>
          <w:sz w:val="24"/>
          <w:szCs w:val="24"/>
          <w:lang w:eastAsia="zh-CN"/>
        </w:rPr>
        <w:tab/>
      </w:r>
      <w:r>
        <w:rPr>
          <w:sz w:val="24"/>
          <w:szCs w:val="24"/>
          <w:lang w:eastAsia="zh-CN"/>
        </w:rPr>
        <w:t>其他：</w:t>
      </w:r>
    </w:p>
    <w:p w14:paraId="6AE19E47">
      <w:pPr>
        <w:pStyle w:val="24"/>
        <w:spacing w:before="120" w:line="400" w:lineRule="exact"/>
        <w:ind w:left="1332" w:hanging="482"/>
        <w:rPr>
          <w:sz w:val="24"/>
          <w:szCs w:val="24"/>
        </w:rPr>
      </w:pPr>
      <w:r>
        <w:rPr>
          <w:sz w:val="24"/>
          <w:szCs w:val="24"/>
          <w:lang w:eastAsia="zh-CN"/>
        </w:rPr>
        <w:t>□</w:t>
      </w:r>
      <w:r>
        <w:rPr>
          <w:sz w:val="24"/>
          <w:szCs w:val="24"/>
          <w:lang w:eastAsia="zh-CN"/>
        </w:rPr>
        <w:tab/>
      </w:r>
      <w:r>
        <w:rPr>
          <w:sz w:val="24"/>
          <w:szCs w:val="24"/>
          <w:lang w:eastAsia="zh-CN"/>
        </w:rPr>
        <w:t>无</w:t>
      </w:r>
    </w:p>
    <w:p w14:paraId="6AE19E48">
      <w:pPr>
        <w:pStyle w:val="24"/>
        <w:spacing w:before="120" w:line="400" w:lineRule="exact"/>
      </w:pPr>
    </w:p>
    <w:tbl>
      <w:tblPr>
        <w:tblStyle w:val="8"/>
        <w:tblW w:w="0" w:type="auto"/>
        <w:tblInd w:w="9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7654"/>
      </w:tblGrid>
      <w:tr w14:paraId="6AE19E4C">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090" w:hRule="atLeast"/>
        </w:trPr>
        <w:tc>
          <w:tcPr>
            <w:tcW w:w="7654" w:type="dxa"/>
            <w:shd w:val="clear" w:color="auto" w:fill="FFFFFF"/>
            <w:vAlign w:val="center"/>
          </w:tcPr>
          <w:p w14:paraId="6AE19E49">
            <w:pPr>
              <w:snapToGrid w:val="0"/>
              <w:spacing w:before="120" w:beforeLines="50" w:line="400" w:lineRule="exact"/>
              <w:jc w:val="both"/>
              <w:rPr>
                <w:lang w:eastAsia="zh-CN"/>
              </w:rPr>
            </w:pPr>
            <w:r>
              <w:rPr>
                <w:b/>
                <w:bCs/>
                <w:lang w:eastAsia="zh-CN"/>
              </w:rPr>
              <w:t>Q8：考虑到采取上市后措施，获益是否超过风险？</w:t>
            </w:r>
          </w:p>
          <w:p w14:paraId="6AE19E4A">
            <w:pPr>
              <w:tabs>
                <w:tab w:val="left" w:pos="221"/>
              </w:tabs>
              <w:snapToGrid w:val="0"/>
              <w:spacing w:before="120" w:beforeLines="50" w:line="400" w:lineRule="exact"/>
              <w:jc w:val="both"/>
              <w:rPr>
                <w:lang w:eastAsia="zh-CN"/>
              </w:rPr>
            </w:pPr>
            <w:r>
              <w:rPr>
                <w:lang w:eastAsia="zh-CN"/>
              </w:rPr>
              <w:t>□ 是 - 获益超过手术风险</w:t>
            </w:r>
          </w:p>
          <w:p w14:paraId="6AE19E4B">
            <w:pPr>
              <w:tabs>
                <w:tab w:val="left" w:pos="230"/>
              </w:tabs>
              <w:snapToGrid w:val="0"/>
              <w:spacing w:before="120" w:beforeLines="50" w:line="400" w:lineRule="exact"/>
              <w:jc w:val="both"/>
              <w:rPr>
                <w:lang w:eastAsia="zh-CN"/>
              </w:rPr>
            </w:pPr>
            <w:r>
              <w:rPr>
                <w:lang w:eastAsia="zh-CN"/>
              </w:rPr>
              <w:t>□ 无法得出获益超过风险的结论 - 继续Q9</w:t>
            </w:r>
          </w:p>
        </w:tc>
      </w:tr>
    </w:tbl>
    <w:p w14:paraId="6AE19E4D">
      <w:pPr>
        <w:snapToGrid w:val="0"/>
        <w:spacing w:before="120" w:beforeLines="50" w:line="400" w:lineRule="exact"/>
        <w:jc w:val="both"/>
        <w:rPr>
          <w:lang w:eastAsia="zh-CN"/>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4" w:hRule="atLeast"/>
        </w:trPr>
        <w:tc>
          <w:tcPr>
            <w:tcW w:w="5000" w:type="pct"/>
            <w:shd w:val="clear" w:color="auto" w:fill="FFFFFF"/>
            <w:vAlign w:val="center"/>
          </w:tcPr>
          <w:p w14:paraId="6AE19E4E">
            <w:pPr>
              <w:snapToGrid w:val="0"/>
              <w:spacing w:before="120" w:beforeLines="50" w:line="400" w:lineRule="exact"/>
              <w:jc w:val="both"/>
              <w:rPr>
                <w:u w:val="single"/>
                <w:lang w:eastAsia="zh-CN"/>
              </w:rPr>
            </w:pPr>
            <w:r>
              <w:rPr>
                <w:b/>
                <w:bCs/>
                <w:u w:val="single"/>
                <w:lang w:eastAsia="zh-CN"/>
              </w:rPr>
              <w:t>考虑到拟定适应症的上市后措施，获益-风险评估的总结：</w:t>
            </w:r>
          </w:p>
          <w:p w14:paraId="6AE19E4F">
            <w:pPr>
              <w:snapToGrid w:val="0"/>
              <w:spacing w:before="120" w:beforeLines="50" w:line="400" w:lineRule="exact"/>
              <w:jc w:val="both"/>
              <w:rPr>
                <w:lang w:eastAsia="zh-CN"/>
              </w:rPr>
            </w:pPr>
            <w:r>
              <w:rPr>
                <w:lang w:eastAsia="zh-CN"/>
              </w:rPr>
              <w:t>总结拟定适应症已经得到证实的获益以及获益与风险相比如何的评估。描述现有替代方式（包括其获益和风险）如何影响您的评估。描述获益和风险的不确定性的影响如何。</w:t>
            </w:r>
          </w:p>
        </w:tc>
      </w:tr>
    </w:tbl>
    <w:p w14:paraId="6AE19E51">
      <w:pPr>
        <w:snapToGrid w:val="0"/>
        <w:spacing w:before="120" w:beforeLines="50" w:line="400" w:lineRule="exact"/>
        <w:jc w:val="both"/>
        <w:rPr>
          <w:lang w:eastAsia="zh-CN"/>
        </w:rPr>
      </w:pPr>
    </w:p>
    <w:tbl>
      <w:tblPr>
        <w:tblStyle w:val="8"/>
        <w:tblW w:w="0" w:type="auto"/>
        <w:tblInd w:w="9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7654"/>
      </w:tblGrid>
      <w:tr w14:paraId="6AE19E55">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094" w:hRule="atLeast"/>
        </w:trPr>
        <w:tc>
          <w:tcPr>
            <w:tcW w:w="7654" w:type="dxa"/>
            <w:shd w:val="clear" w:color="auto" w:fill="FFFFFF"/>
          </w:tcPr>
          <w:p w14:paraId="6AE19E52">
            <w:pPr>
              <w:snapToGrid w:val="0"/>
              <w:spacing w:before="120" w:beforeLines="50" w:line="400" w:lineRule="exact"/>
              <w:jc w:val="both"/>
              <w:rPr>
                <w:lang w:eastAsia="zh-CN"/>
              </w:rPr>
            </w:pPr>
            <w:r>
              <w:rPr>
                <w:b/>
                <w:bCs/>
                <w:lang w:eastAsia="zh-CN"/>
              </w:rPr>
              <w:t>Q9：修改后的适应症是否具有临床获益？</w:t>
            </w:r>
          </w:p>
          <w:p w14:paraId="6AE19E53">
            <w:pPr>
              <w:tabs>
                <w:tab w:val="left" w:pos="221"/>
              </w:tabs>
              <w:snapToGrid w:val="0"/>
              <w:spacing w:before="120" w:beforeLines="50" w:line="400" w:lineRule="exact"/>
              <w:jc w:val="both"/>
              <w:rPr>
                <w:lang w:eastAsia="zh-CN"/>
              </w:rPr>
            </w:pPr>
            <w:r>
              <w:rPr>
                <w:lang w:eastAsia="zh-CN"/>
              </w:rPr>
              <w:t xml:space="preserve">□ 是 </w:t>
            </w:r>
            <w:r>
              <w:rPr>
                <w:lang w:eastAsia="zh-CN"/>
              </w:rPr>
              <w:sym w:font="Wingdings" w:char="F0E8"/>
            </w:r>
            <w:r>
              <w:rPr>
                <w:lang w:eastAsia="zh-CN"/>
              </w:rPr>
              <w:t>返回Q1并继续修改后的适应症</w:t>
            </w:r>
          </w:p>
          <w:p w14:paraId="6AE19E54">
            <w:pPr>
              <w:tabs>
                <w:tab w:val="left" w:pos="221"/>
              </w:tabs>
              <w:snapToGrid w:val="0"/>
              <w:spacing w:before="120" w:beforeLines="50" w:line="400" w:lineRule="exact"/>
              <w:jc w:val="both"/>
            </w:pPr>
            <w:r>
              <w:rPr>
                <w:lang w:eastAsia="zh-CN"/>
              </w:rPr>
              <w:t xml:space="preserve">□ 否 </w:t>
            </w:r>
            <w:r>
              <w:rPr>
                <w:lang w:eastAsia="zh-CN"/>
              </w:rPr>
              <w:sym w:font="Wingdings" w:char="F0E8"/>
            </w:r>
            <w:r>
              <w:rPr>
                <w:lang w:eastAsia="zh-CN"/>
              </w:rPr>
              <w:t xml:space="preserve"> 未批准/授予</w:t>
            </w:r>
          </w:p>
        </w:tc>
      </w:tr>
    </w:tbl>
    <w:p w14:paraId="6AE19E56">
      <w:pPr>
        <w:snapToGrid w:val="0"/>
        <w:spacing w:before="120" w:beforeLines="50" w:line="400" w:lineRule="exact"/>
        <w:jc w:val="both"/>
      </w:pPr>
      <w:r>
        <w:rPr>
          <w:lang w:eastAsia="zh-CN"/>
        </w:rPr>
        <w:br w:type="page"/>
      </w:r>
    </w:p>
    <w:p w14:paraId="6AE19E57">
      <w:pPr>
        <w:snapToGrid w:val="0"/>
        <w:spacing w:before="120" w:beforeLines="50" w:after="120" w:afterLines="50"/>
        <w:jc w:val="center"/>
        <w:rPr>
          <w:sz w:val="24"/>
          <w:szCs w:val="24"/>
        </w:rPr>
      </w:pPr>
      <w:bookmarkStart w:id="108" w:name="bookmark86"/>
      <w:r>
        <w:rPr>
          <w:b/>
          <w:bCs/>
          <w:sz w:val="24"/>
          <w:szCs w:val="24"/>
          <w:lang w:eastAsia="zh-CN"/>
        </w:rPr>
        <w:t>获益-风险评估总结</w:t>
      </w:r>
      <w:bookmarkEnd w:id="108"/>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3512"/>
        <w:gridCol w:w="2539"/>
        <w:gridCol w:w="3134"/>
      </w:tblGrid>
      <w:tr w14:paraId="6AE1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4" w:hRule="atLeast"/>
        </w:trPr>
        <w:tc>
          <w:tcPr>
            <w:tcW w:w="1912" w:type="pct"/>
            <w:vMerge w:val="restart"/>
            <w:shd w:val="clear" w:color="auto" w:fill="FFFFFF"/>
            <w:vAlign w:val="center"/>
          </w:tcPr>
          <w:p w14:paraId="6AE19E58">
            <w:pPr>
              <w:snapToGrid w:val="0"/>
              <w:jc w:val="both"/>
              <w:rPr>
                <w:lang w:eastAsia="zh-CN"/>
              </w:rPr>
            </w:pPr>
            <w:r>
              <w:rPr>
                <w:lang w:eastAsia="zh-CN"/>
              </w:rPr>
              <w:t>基于数据器械名称的总和：假设举例1PMA/新分类编号：</w:t>
            </w:r>
          </w:p>
          <w:p w14:paraId="6AE19E59">
            <w:pPr>
              <w:snapToGrid w:val="0"/>
              <w:jc w:val="both"/>
            </w:pPr>
            <w:r>
              <w:rPr>
                <w:lang w:eastAsia="zh-CN"/>
              </w:rPr>
              <w:t xml:space="preserve">□ 中期 </w:t>
            </w:r>
            <w:r>
              <w:rPr>
                <w:lang w:eastAsia="zh-CN"/>
              </w:rPr>
              <w:sym w:font="Wingdings 2" w:char="F054"/>
            </w:r>
            <w:r>
              <w:rPr>
                <w:lang w:eastAsia="zh-CN"/>
              </w:rPr>
              <w:t xml:space="preserve"> 最终</w:t>
            </w:r>
          </w:p>
        </w:tc>
        <w:tc>
          <w:tcPr>
            <w:tcW w:w="3088" w:type="pct"/>
            <w:gridSpan w:val="2"/>
            <w:tcBorders>
              <w:bottom w:val="single" w:color="auto" w:sz="4" w:space="0"/>
            </w:tcBorders>
            <w:shd w:val="clear" w:color="auto" w:fill="00B0F0"/>
            <w:vAlign w:val="center"/>
          </w:tcPr>
          <w:p w14:paraId="6AE19E5A">
            <w:pPr>
              <w:snapToGrid w:val="0"/>
              <w:jc w:val="center"/>
            </w:pPr>
            <w:r>
              <w:rPr>
                <w:b/>
                <w:bCs/>
                <w:lang w:eastAsia="zh-CN"/>
              </w:rPr>
              <w:t>拟定适应症</w:t>
            </w:r>
          </w:p>
        </w:tc>
      </w:tr>
      <w:tr w14:paraId="6AE1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2" w:hRule="atLeast"/>
        </w:trPr>
        <w:tc>
          <w:tcPr>
            <w:tcW w:w="1912" w:type="pct"/>
            <w:vMerge w:val="continue"/>
            <w:tcBorders>
              <w:bottom w:val="single" w:color="auto" w:sz="4" w:space="0"/>
            </w:tcBorders>
            <w:shd w:val="clear" w:color="auto" w:fill="FFFFFF"/>
            <w:vAlign w:val="center"/>
          </w:tcPr>
          <w:p w14:paraId="6AE19E5C">
            <w:pPr>
              <w:snapToGrid w:val="0"/>
              <w:jc w:val="both"/>
            </w:pPr>
          </w:p>
        </w:tc>
        <w:tc>
          <w:tcPr>
            <w:tcW w:w="3088" w:type="pct"/>
            <w:gridSpan w:val="2"/>
            <w:tcBorders>
              <w:bottom w:val="single" w:color="auto" w:sz="4" w:space="0"/>
            </w:tcBorders>
            <w:shd w:val="clear" w:color="auto" w:fill="DBE5F1" w:themeFill="accent1" w:themeFillTint="33"/>
            <w:vAlign w:val="center"/>
          </w:tcPr>
          <w:p w14:paraId="6AE19E5D">
            <w:pPr>
              <w:snapToGrid w:val="0"/>
              <w:jc w:val="center"/>
              <w:rPr>
                <w:lang w:eastAsia="zh-CN"/>
              </w:rPr>
            </w:pPr>
            <w:r>
              <w:rPr>
                <w:lang w:eastAsia="zh-CN"/>
              </w:rPr>
              <w:t>在所有其他治疗方式均失败的患者中，减少患有状况X的患者的症状</w:t>
            </w:r>
          </w:p>
        </w:tc>
      </w:tr>
      <w:tr w14:paraId="6AE19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 w:hRule="atLeast"/>
        </w:trPr>
        <w:tc>
          <w:tcPr>
            <w:tcW w:w="1912" w:type="pct"/>
            <w:vMerge w:val="restart"/>
            <w:shd w:val="clear" w:color="auto" w:fill="D6E3BC" w:themeFill="accent3" w:themeFillTint="66"/>
            <w:vAlign w:val="center"/>
          </w:tcPr>
          <w:p w14:paraId="6AE19E5F">
            <w:pPr>
              <w:snapToGrid w:val="0"/>
              <w:jc w:val="both"/>
            </w:pPr>
            <w:r>
              <w:rPr>
                <w:b/>
                <w:bCs/>
                <w:sz w:val="24"/>
                <w:szCs w:val="24"/>
                <w:lang w:eastAsia="zh-CN"/>
              </w:rPr>
              <w:t>获益评估</w:t>
            </w:r>
          </w:p>
        </w:tc>
        <w:tc>
          <w:tcPr>
            <w:tcW w:w="3088" w:type="pct"/>
            <w:gridSpan w:val="2"/>
            <w:tcBorders>
              <w:bottom w:val="nil"/>
            </w:tcBorders>
            <w:shd w:val="clear" w:color="auto" w:fill="D6E3BC" w:themeFill="accent3" w:themeFillTint="66"/>
            <w:vAlign w:val="center"/>
          </w:tcPr>
          <w:p w14:paraId="6AE19E60">
            <w:pPr>
              <w:snapToGrid w:val="0"/>
              <w:jc w:val="both"/>
              <w:rPr>
                <w:lang w:eastAsia="zh-CN"/>
              </w:rPr>
            </w:pPr>
            <w:r>
              <w:rPr>
                <w:lang w:eastAsia="zh-CN"/>
              </w:rPr>
              <w:t>从以下方面考虑获益：</w:t>
            </w:r>
          </w:p>
        </w:tc>
      </w:tr>
      <w:tr w14:paraId="6AE1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1" w:hRule="atLeast"/>
        </w:trPr>
        <w:tc>
          <w:tcPr>
            <w:tcW w:w="1912" w:type="pct"/>
            <w:vMerge w:val="continue"/>
            <w:shd w:val="clear" w:color="auto" w:fill="D6E3BC" w:themeFill="accent3" w:themeFillTint="66"/>
            <w:vAlign w:val="center"/>
          </w:tcPr>
          <w:p w14:paraId="6AE19E62">
            <w:pPr>
              <w:snapToGrid w:val="0"/>
              <w:jc w:val="both"/>
              <w:rPr>
                <w:lang w:eastAsia="zh-CN"/>
              </w:rPr>
            </w:pPr>
          </w:p>
        </w:tc>
        <w:tc>
          <w:tcPr>
            <w:tcW w:w="1382" w:type="pct"/>
            <w:tcBorders>
              <w:top w:val="nil"/>
              <w:right w:val="nil"/>
            </w:tcBorders>
            <w:shd w:val="clear" w:color="auto" w:fill="D6E3BC" w:themeFill="accent3" w:themeFillTint="66"/>
          </w:tcPr>
          <w:p w14:paraId="6AE19E63">
            <w:pPr>
              <w:tabs>
                <w:tab w:val="left" w:pos="355"/>
              </w:tabs>
              <w:snapToGrid w:val="0"/>
              <w:jc w:val="both"/>
              <w:rPr>
                <w:lang w:eastAsia="zh-CN"/>
              </w:rPr>
            </w:pPr>
            <w:r>
              <w:rPr>
                <w:lang w:eastAsia="zh-CN"/>
              </w:rPr>
              <w:t>•</w:t>
            </w:r>
            <w:r>
              <w:rPr>
                <w:lang w:eastAsia="zh-CN"/>
              </w:rPr>
              <w:tab/>
            </w:r>
            <w:r>
              <w:rPr>
                <w:lang w:eastAsia="zh-CN"/>
              </w:rPr>
              <w:t>类型</w:t>
            </w:r>
          </w:p>
          <w:p w14:paraId="6AE19E64">
            <w:pPr>
              <w:tabs>
                <w:tab w:val="left" w:pos="355"/>
              </w:tabs>
              <w:snapToGrid w:val="0"/>
              <w:jc w:val="both"/>
              <w:rPr>
                <w:lang w:eastAsia="zh-CN"/>
              </w:rPr>
            </w:pPr>
            <w:r>
              <w:rPr>
                <w:lang w:eastAsia="zh-CN"/>
              </w:rPr>
              <w:t>•</w:t>
            </w:r>
            <w:r>
              <w:rPr>
                <w:lang w:eastAsia="zh-CN"/>
              </w:rPr>
              <w:tab/>
            </w:r>
            <w:r>
              <w:rPr>
                <w:lang w:eastAsia="zh-CN"/>
              </w:rPr>
              <w:t>程度</w:t>
            </w:r>
          </w:p>
          <w:p w14:paraId="6AE19E65">
            <w:pPr>
              <w:tabs>
                <w:tab w:val="left" w:pos="355"/>
              </w:tabs>
              <w:snapToGrid w:val="0"/>
              <w:jc w:val="both"/>
              <w:rPr>
                <w:lang w:eastAsia="zh-CN"/>
              </w:rPr>
            </w:pPr>
            <w:r>
              <w:rPr>
                <w:lang w:eastAsia="zh-CN"/>
              </w:rPr>
              <w:t>•</w:t>
            </w:r>
            <w:r>
              <w:rPr>
                <w:lang w:eastAsia="zh-CN"/>
              </w:rPr>
              <w:tab/>
            </w:r>
            <w:r>
              <w:rPr>
                <w:lang w:eastAsia="zh-CN"/>
              </w:rPr>
              <w:t>概率</w:t>
            </w:r>
          </w:p>
          <w:p w14:paraId="6AE19E66">
            <w:pPr>
              <w:tabs>
                <w:tab w:val="left" w:pos="355"/>
              </w:tabs>
              <w:snapToGrid w:val="0"/>
              <w:jc w:val="both"/>
              <w:rPr>
                <w:lang w:eastAsia="zh-CN"/>
              </w:rPr>
            </w:pPr>
            <w:r>
              <w:rPr>
                <w:lang w:eastAsia="zh-CN"/>
              </w:rPr>
              <w:t>•</w:t>
            </w:r>
            <w:r>
              <w:rPr>
                <w:lang w:eastAsia="zh-CN"/>
              </w:rPr>
              <w:tab/>
            </w:r>
            <w:r>
              <w:rPr>
                <w:lang w:eastAsia="zh-CN"/>
              </w:rPr>
              <w:t>效应持续时间</w:t>
            </w:r>
          </w:p>
        </w:tc>
        <w:tc>
          <w:tcPr>
            <w:tcW w:w="1706" w:type="pct"/>
            <w:tcBorders>
              <w:top w:val="nil"/>
              <w:left w:val="nil"/>
            </w:tcBorders>
            <w:shd w:val="clear" w:color="auto" w:fill="D6E3BC" w:themeFill="accent3" w:themeFillTint="66"/>
          </w:tcPr>
          <w:p w14:paraId="6AE19E67">
            <w:pPr>
              <w:tabs>
                <w:tab w:val="left" w:pos="355"/>
              </w:tabs>
              <w:snapToGrid w:val="0"/>
              <w:ind w:left="420" w:hanging="420" w:hangingChars="200"/>
              <w:jc w:val="both"/>
              <w:rPr>
                <w:lang w:eastAsia="zh-CN"/>
              </w:rPr>
            </w:pPr>
            <w:r>
              <w:rPr>
                <w:lang w:eastAsia="zh-CN"/>
              </w:rPr>
              <w:t>•</w:t>
            </w:r>
            <w:r>
              <w:rPr>
                <w:lang w:eastAsia="zh-CN"/>
              </w:rPr>
              <w:tab/>
            </w:r>
            <w:r>
              <w:rPr>
                <w:lang w:eastAsia="zh-CN"/>
              </w:rPr>
              <w:t>患者观点（或如适用，健康伴侣和/或医疗保健专业人员观点）</w:t>
            </w:r>
          </w:p>
          <w:p w14:paraId="6AE19E68">
            <w:pPr>
              <w:tabs>
                <w:tab w:val="left" w:pos="360"/>
              </w:tabs>
              <w:snapToGrid w:val="0"/>
              <w:ind w:left="420" w:hanging="420" w:hangingChars="200"/>
              <w:jc w:val="both"/>
            </w:pPr>
            <w:r>
              <w:rPr>
                <w:lang w:eastAsia="zh-CN"/>
              </w:rPr>
              <w:t>•</w:t>
            </w:r>
            <w:r>
              <w:rPr>
                <w:lang w:eastAsia="zh-CN"/>
              </w:rPr>
              <w:tab/>
            </w:r>
            <w:r>
              <w:rPr>
                <w:lang w:eastAsia="zh-CN"/>
              </w:rPr>
              <w:t>其他</w:t>
            </w:r>
          </w:p>
        </w:tc>
      </w:tr>
      <w:tr w14:paraId="6AE1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5" w:hRule="atLeast"/>
        </w:trPr>
        <w:tc>
          <w:tcPr>
            <w:tcW w:w="1912" w:type="pct"/>
            <w:shd w:val="clear" w:color="auto" w:fill="FFFFFF"/>
            <w:vAlign w:val="center"/>
          </w:tcPr>
          <w:p w14:paraId="6AE19E6A">
            <w:pPr>
              <w:snapToGrid w:val="0"/>
              <w:jc w:val="both"/>
              <w:rPr>
                <w:lang w:eastAsia="zh-CN"/>
              </w:rPr>
            </w:pPr>
            <w:r>
              <w:rPr>
                <w:lang w:eastAsia="zh-CN"/>
              </w:rPr>
              <w:t>1.是否存在具有临床获益的证据？</w:t>
            </w:r>
          </w:p>
        </w:tc>
        <w:tc>
          <w:tcPr>
            <w:tcW w:w="3088" w:type="pct"/>
            <w:gridSpan w:val="2"/>
            <w:shd w:val="clear" w:color="auto" w:fill="FFFFFF"/>
            <w:vAlign w:val="center"/>
          </w:tcPr>
          <w:p w14:paraId="6AE19E6B">
            <w:pPr>
              <w:snapToGrid w:val="0"/>
              <w:jc w:val="both"/>
              <w:rPr>
                <w:lang w:eastAsia="zh-CN"/>
              </w:rPr>
            </w:pPr>
            <w:r>
              <w:rPr>
                <w:lang w:eastAsia="zh-CN"/>
              </w:rPr>
              <w:sym w:font="Wingdings 2" w:char="F054"/>
            </w:r>
            <w:r>
              <w:rPr>
                <w:lang w:eastAsia="zh-CN"/>
              </w:rPr>
              <w:t xml:space="preserve"> 是 </w:t>
            </w:r>
            <w:r>
              <w:rPr>
                <w:lang w:eastAsia="zh-CN"/>
              </w:rPr>
              <w:sym w:font="Wingdings" w:char="F0E8"/>
            </w:r>
            <w:r>
              <w:rPr>
                <w:lang w:eastAsia="zh-CN"/>
              </w:rPr>
              <w:t xml:space="preserve"> Q2</w:t>
            </w:r>
          </w:p>
          <w:p w14:paraId="6AE19E6C">
            <w:pPr>
              <w:snapToGrid w:val="0"/>
              <w:jc w:val="both"/>
              <w:rPr>
                <w:lang w:eastAsia="zh-CN"/>
              </w:rPr>
            </w:pPr>
            <w:r>
              <w:rPr>
                <w:lang w:eastAsia="zh-CN"/>
              </w:rPr>
              <w:t xml:space="preserve">□ 否 </w:t>
            </w:r>
            <w:r>
              <w:rPr>
                <w:lang w:eastAsia="zh-CN"/>
              </w:rPr>
              <w:sym w:font="Wingdings" w:char="F0E8"/>
            </w:r>
            <w:r>
              <w:rPr>
                <w:lang w:eastAsia="zh-CN"/>
              </w:rPr>
              <w:t xml:space="preserve"> 未批准/授予拟定适应症；继续Q9</w:t>
            </w:r>
          </w:p>
        </w:tc>
      </w:tr>
      <w:tr w14:paraId="6AE1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trPr>
        <w:tc>
          <w:tcPr>
            <w:tcW w:w="1912" w:type="pct"/>
            <w:tcBorders>
              <w:bottom w:val="single" w:color="auto" w:sz="4" w:space="0"/>
            </w:tcBorders>
            <w:shd w:val="clear" w:color="auto" w:fill="FFFFFF"/>
            <w:vAlign w:val="center"/>
          </w:tcPr>
          <w:p w14:paraId="6AE19E6E">
            <w:pPr>
              <w:snapToGrid w:val="0"/>
              <w:jc w:val="both"/>
              <w:rPr>
                <w:lang w:eastAsia="zh-CN"/>
              </w:rPr>
            </w:pPr>
            <w:r>
              <w:rPr>
                <w:lang w:eastAsia="zh-CN"/>
              </w:rPr>
              <w:t>2.获益的不确定性如何？</w:t>
            </w:r>
          </w:p>
        </w:tc>
        <w:tc>
          <w:tcPr>
            <w:tcW w:w="3088" w:type="pct"/>
            <w:gridSpan w:val="2"/>
            <w:tcBorders>
              <w:bottom w:val="single" w:color="auto" w:sz="4" w:space="0"/>
            </w:tcBorders>
            <w:shd w:val="clear" w:color="auto" w:fill="FFFFFF"/>
            <w:vAlign w:val="center"/>
          </w:tcPr>
          <w:p w14:paraId="6AE19E6F">
            <w:pPr>
              <w:snapToGrid w:val="0"/>
              <w:jc w:val="both"/>
              <w:rPr>
                <w:lang w:eastAsia="zh-CN"/>
              </w:rPr>
            </w:pPr>
            <w:r>
              <w:rPr>
                <w:lang w:eastAsia="zh-CN"/>
              </w:rPr>
              <w:t xml:space="preserve">□ 高 </w:t>
            </w:r>
            <w:r>
              <w:rPr>
                <w:lang w:eastAsia="zh-CN"/>
              </w:rPr>
              <w:sym w:font="Wingdings 2" w:char="F054"/>
            </w:r>
            <w:r>
              <w:rPr>
                <w:lang w:eastAsia="zh-CN"/>
              </w:rPr>
              <w:t xml:space="preserve"> 中 □ 低</w:t>
            </w:r>
          </w:p>
          <w:p w14:paraId="6AE19E70">
            <w:pPr>
              <w:snapToGrid w:val="0"/>
              <w:jc w:val="both"/>
              <w:rPr>
                <w:lang w:eastAsia="zh-CN"/>
              </w:rPr>
            </w:pPr>
            <w:r>
              <w:rPr>
                <w:lang w:eastAsia="zh-CN"/>
              </w:rPr>
              <w:t>继续问题3</w:t>
            </w:r>
          </w:p>
        </w:tc>
      </w:tr>
      <w:tr w14:paraId="6AE1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4" w:hRule="atLeast"/>
        </w:trPr>
        <w:tc>
          <w:tcPr>
            <w:tcW w:w="1912" w:type="pct"/>
            <w:vMerge w:val="restart"/>
            <w:shd w:val="clear" w:color="auto" w:fill="F2DBDB" w:themeFill="accent2" w:themeFillTint="33"/>
            <w:vAlign w:val="center"/>
          </w:tcPr>
          <w:p w14:paraId="6AE19E72">
            <w:pPr>
              <w:snapToGrid w:val="0"/>
              <w:jc w:val="both"/>
            </w:pPr>
            <w:r>
              <w:rPr>
                <w:b/>
                <w:bCs/>
                <w:sz w:val="24"/>
                <w:szCs w:val="24"/>
                <w:lang w:eastAsia="zh-CN"/>
              </w:rPr>
              <w:t>风险评估</w:t>
            </w:r>
          </w:p>
        </w:tc>
        <w:tc>
          <w:tcPr>
            <w:tcW w:w="1382" w:type="pct"/>
            <w:tcBorders>
              <w:bottom w:val="nil"/>
              <w:right w:val="nil"/>
            </w:tcBorders>
            <w:shd w:val="clear" w:color="auto" w:fill="F2DBDB" w:themeFill="accent2" w:themeFillTint="33"/>
            <w:vAlign w:val="center"/>
          </w:tcPr>
          <w:p w14:paraId="6AE19E73">
            <w:pPr>
              <w:snapToGrid w:val="0"/>
              <w:jc w:val="both"/>
              <w:rPr>
                <w:lang w:eastAsia="zh-CN"/>
              </w:rPr>
            </w:pPr>
            <w:r>
              <w:rPr>
                <w:lang w:eastAsia="zh-CN"/>
              </w:rPr>
              <w:t>从以下方面考虑获益：</w:t>
            </w:r>
          </w:p>
        </w:tc>
        <w:tc>
          <w:tcPr>
            <w:tcW w:w="1706" w:type="pct"/>
            <w:tcBorders>
              <w:left w:val="nil"/>
              <w:bottom w:val="nil"/>
            </w:tcBorders>
            <w:shd w:val="clear" w:color="auto" w:fill="F2DBDB" w:themeFill="accent2" w:themeFillTint="33"/>
            <w:vAlign w:val="center"/>
          </w:tcPr>
          <w:p w14:paraId="6AE19E74">
            <w:pPr>
              <w:tabs>
                <w:tab w:val="left" w:pos="360"/>
              </w:tabs>
              <w:snapToGrid w:val="0"/>
              <w:jc w:val="both"/>
              <w:rPr>
                <w:lang w:eastAsia="zh-CN"/>
              </w:rPr>
            </w:pPr>
          </w:p>
        </w:tc>
      </w:tr>
      <w:tr w14:paraId="6AE1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5" w:hRule="atLeast"/>
        </w:trPr>
        <w:tc>
          <w:tcPr>
            <w:tcW w:w="1912" w:type="pct"/>
            <w:vMerge w:val="continue"/>
            <w:shd w:val="clear" w:color="auto" w:fill="F2DBDB" w:themeFill="accent2" w:themeFillTint="33"/>
            <w:vAlign w:val="center"/>
          </w:tcPr>
          <w:p w14:paraId="6AE19E76">
            <w:pPr>
              <w:snapToGrid w:val="0"/>
              <w:jc w:val="both"/>
              <w:rPr>
                <w:b/>
                <w:bCs/>
                <w:lang w:eastAsia="zh-CN"/>
              </w:rPr>
            </w:pPr>
          </w:p>
        </w:tc>
        <w:tc>
          <w:tcPr>
            <w:tcW w:w="1382" w:type="pct"/>
            <w:tcBorders>
              <w:top w:val="nil"/>
              <w:right w:val="nil"/>
            </w:tcBorders>
            <w:shd w:val="clear" w:color="auto" w:fill="F2DBDB" w:themeFill="accent2" w:themeFillTint="33"/>
          </w:tcPr>
          <w:p w14:paraId="6AE19E77">
            <w:pPr>
              <w:tabs>
                <w:tab w:val="left" w:pos="365"/>
              </w:tabs>
              <w:snapToGrid w:val="0"/>
              <w:ind w:left="420" w:hanging="420" w:hangingChars="200"/>
              <w:jc w:val="both"/>
              <w:rPr>
                <w:lang w:eastAsia="zh-CN"/>
              </w:rPr>
            </w:pPr>
            <w:r>
              <w:rPr>
                <w:lang w:eastAsia="zh-CN"/>
              </w:rPr>
              <w:t>•</w:t>
            </w:r>
            <w:r>
              <w:rPr>
                <w:lang w:eastAsia="zh-CN"/>
              </w:rPr>
              <w:tab/>
            </w:r>
            <w:r>
              <w:rPr>
                <w:lang w:eastAsia="zh-CN"/>
              </w:rPr>
              <w:t>有害事件的严重程度、类型、数量和比率</w:t>
            </w:r>
          </w:p>
          <w:p w14:paraId="6AE19E78">
            <w:pPr>
              <w:tabs>
                <w:tab w:val="left" w:pos="355"/>
              </w:tabs>
              <w:snapToGrid w:val="0"/>
              <w:ind w:left="420" w:hanging="420" w:hangingChars="200"/>
              <w:jc w:val="both"/>
              <w:rPr>
                <w:lang w:eastAsia="zh-CN"/>
              </w:rPr>
            </w:pPr>
            <w:r>
              <w:rPr>
                <w:lang w:eastAsia="zh-CN"/>
              </w:rPr>
              <w:t>•</w:t>
            </w:r>
            <w:r>
              <w:rPr>
                <w:lang w:eastAsia="zh-CN"/>
              </w:rPr>
              <w:tab/>
            </w:r>
            <w:r>
              <w:rPr>
                <w:lang w:eastAsia="zh-CN"/>
              </w:rPr>
              <w:t>有害事件的概率</w:t>
            </w:r>
          </w:p>
          <w:p w14:paraId="6AE19E79">
            <w:pPr>
              <w:snapToGrid w:val="0"/>
              <w:ind w:left="420" w:hanging="420" w:hangingChars="200"/>
              <w:jc w:val="both"/>
              <w:rPr>
                <w:lang w:eastAsia="zh-CN"/>
              </w:rPr>
            </w:pPr>
            <w:r>
              <w:rPr>
                <w:lang w:eastAsia="zh-CN"/>
              </w:rPr>
              <w:t>•</w:t>
            </w:r>
            <w:r>
              <w:rPr>
                <w:lang w:eastAsia="zh-CN"/>
              </w:rPr>
              <w:tab/>
            </w:r>
            <w:r>
              <w:rPr>
                <w:lang w:eastAsia="zh-CN"/>
              </w:rPr>
              <w:t>有害事件的持续时间</w:t>
            </w:r>
          </w:p>
        </w:tc>
        <w:tc>
          <w:tcPr>
            <w:tcW w:w="1706" w:type="pct"/>
            <w:tcBorders>
              <w:top w:val="nil"/>
              <w:left w:val="nil"/>
            </w:tcBorders>
            <w:shd w:val="clear" w:color="auto" w:fill="F2DBDB" w:themeFill="accent2" w:themeFillTint="33"/>
          </w:tcPr>
          <w:p w14:paraId="6AE19E7A">
            <w:pPr>
              <w:tabs>
                <w:tab w:val="left" w:pos="360"/>
              </w:tabs>
              <w:snapToGrid w:val="0"/>
              <w:ind w:left="420" w:hanging="420" w:hangingChars="200"/>
              <w:jc w:val="both"/>
              <w:rPr>
                <w:lang w:eastAsia="zh-CN"/>
              </w:rPr>
            </w:pPr>
            <w:r>
              <w:rPr>
                <w:lang w:eastAsia="zh-CN"/>
              </w:rPr>
              <w:t>•</w:t>
            </w:r>
            <w:r>
              <w:rPr>
                <w:lang w:eastAsia="zh-CN"/>
              </w:rPr>
              <w:tab/>
            </w:r>
            <w:r>
              <w:rPr>
                <w:lang w:eastAsia="zh-CN"/>
              </w:rPr>
              <w:t>假阳性或假阴性结果的风险</w:t>
            </w:r>
          </w:p>
          <w:p w14:paraId="6AE19E7B">
            <w:pPr>
              <w:tabs>
                <w:tab w:val="left" w:pos="360"/>
              </w:tabs>
              <w:snapToGrid w:val="0"/>
              <w:ind w:left="420" w:hanging="420" w:hangingChars="200"/>
              <w:jc w:val="both"/>
              <w:rPr>
                <w:lang w:eastAsia="zh-CN"/>
              </w:rPr>
            </w:pPr>
            <w:r>
              <w:rPr>
                <w:lang w:eastAsia="zh-CN"/>
              </w:rPr>
              <w:t>•</w:t>
            </w:r>
            <w:r>
              <w:rPr>
                <w:lang w:eastAsia="zh-CN"/>
              </w:rPr>
              <w:tab/>
            </w:r>
            <w:r>
              <w:rPr>
                <w:lang w:eastAsia="zh-CN"/>
              </w:rPr>
              <w:t>患者观点（或如适用，健康伴侣和/或医疗保健专业人员观点）</w:t>
            </w:r>
          </w:p>
        </w:tc>
      </w:tr>
      <w:tr w14:paraId="6AE1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0" w:hRule="atLeast"/>
        </w:trPr>
        <w:tc>
          <w:tcPr>
            <w:tcW w:w="1912" w:type="pct"/>
            <w:shd w:val="clear" w:color="auto" w:fill="FFFFFF"/>
            <w:vAlign w:val="center"/>
          </w:tcPr>
          <w:p w14:paraId="6AE19E7D">
            <w:pPr>
              <w:snapToGrid w:val="0"/>
              <w:jc w:val="both"/>
              <w:rPr>
                <w:lang w:eastAsia="zh-CN"/>
              </w:rPr>
            </w:pPr>
            <w:r>
              <w:rPr>
                <w:lang w:eastAsia="zh-CN"/>
              </w:rPr>
              <w:t>3.已知/可能的风险是否超过最小值？</w:t>
            </w:r>
          </w:p>
        </w:tc>
        <w:tc>
          <w:tcPr>
            <w:tcW w:w="3088" w:type="pct"/>
            <w:gridSpan w:val="2"/>
            <w:shd w:val="clear" w:color="auto" w:fill="FFFFFF"/>
            <w:vAlign w:val="center"/>
          </w:tcPr>
          <w:p w14:paraId="6AE19E7E">
            <w:pPr>
              <w:snapToGrid w:val="0"/>
              <w:jc w:val="both"/>
            </w:pPr>
            <w:r>
              <w:rPr>
                <w:lang w:eastAsia="zh-CN"/>
              </w:rPr>
              <w:sym w:font="Wingdings 2" w:char="F054"/>
            </w:r>
            <w:r>
              <w:rPr>
                <w:lang w:eastAsia="zh-CN"/>
              </w:rPr>
              <w:t xml:space="preserve"> 是 </w:t>
            </w:r>
            <w:r>
              <w:rPr>
                <w:lang w:eastAsia="zh-CN"/>
              </w:rPr>
              <w:sym w:font="Wingdings" w:char="F0E8"/>
            </w:r>
            <w:r>
              <w:rPr>
                <w:lang w:eastAsia="zh-CN"/>
              </w:rPr>
              <w:t xml:space="preserve"> Q4</w:t>
            </w:r>
          </w:p>
          <w:p w14:paraId="6AE19E7F">
            <w:pPr>
              <w:snapToGrid w:val="0"/>
              <w:jc w:val="both"/>
            </w:pPr>
            <w:r>
              <w:rPr>
                <w:lang w:eastAsia="zh-CN"/>
              </w:rPr>
              <w:t xml:space="preserve">□ 否 </w:t>
            </w:r>
            <w:r>
              <w:rPr>
                <w:lang w:eastAsia="zh-CN"/>
              </w:rPr>
              <w:sym w:font="Wingdings" w:char="F0E8"/>
            </w:r>
            <w:r>
              <w:rPr>
                <w:lang w:eastAsia="zh-CN"/>
              </w:rPr>
              <w:t xml:space="preserve"> Q4</w:t>
            </w:r>
          </w:p>
        </w:tc>
      </w:tr>
      <w:tr w14:paraId="6AE1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trPr>
        <w:tc>
          <w:tcPr>
            <w:tcW w:w="1912" w:type="pct"/>
            <w:tcBorders>
              <w:bottom w:val="single" w:color="auto" w:sz="4" w:space="0"/>
            </w:tcBorders>
            <w:shd w:val="clear" w:color="auto" w:fill="FFFFFF"/>
            <w:vAlign w:val="center"/>
          </w:tcPr>
          <w:p w14:paraId="6AE19E81">
            <w:pPr>
              <w:snapToGrid w:val="0"/>
              <w:jc w:val="both"/>
              <w:rPr>
                <w:lang w:eastAsia="zh-CN"/>
              </w:rPr>
            </w:pPr>
            <w:r>
              <w:rPr>
                <w:lang w:eastAsia="zh-CN"/>
              </w:rPr>
              <w:t>4.风险的不确定性如何？</w:t>
            </w:r>
          </w:p>
        </w:tc>
        <w:tc>
          <w:tcPr>
            <w:tcW w:w="3088" w:type="pct"/>
            <w:gridSpan w:val="2"/>
            <w:tcBorders>
              <w:bottom w:val="single" w:color="auto" w:sz="4" w:space="0"/>
            </w:tcBorders>
            <w:shd w:val="clear" w:color="auto" w:fill="FFFFFF"/>
            <w:vAlign w:val="center"/>
          </w:tcPr>
          <w:p w14:paraId="6AE19E82">
            <w:pPr>
              <w:snapToGrid w:val="0"/>
              <w:jc w:val="both"/>
            </w:pPr>
            <w:r>
              <w:rPr>
                <w:lang w:eastAsia="zh-CN"/>
              </w:rPr>
              <w:t xml:space="preserve">□ 高 </w:t>
            </w:r>
            <w:r>
              <w:rPr>
                <w:lang w:eastAsia="zh-CN"/>
              </w:rPr>
              <w:sym w:font="Wingdings 2" w:char="F054"/>
            </w:r>
            <w:r>
              <w:rPr>
                <w:lang w:eastAsia="zh-CN"/>
              </w:rPr>
              <w:t xml:space="preserve"> 中 □ 低继续Q5</w:t>
            </w:r>
          </w:p>
        </w:tc>
      </w:tr>
      <w:tr w14:paraId="6AE1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trPr>
        <w:tc>
          <w:tcPr>
            <w:tcW w:w="5000" w:type="pct"/>
            <w:gridSpan w:val="3"/>
            <w:shd w:val="clear" w:color="auto" w:fill="F2F2F2"/>
            <w:vAlign w:val="center"/>
          </w:tcPr>
          <w:p w14:paraId="6AE19E84">
            <w:pPr>
              <w:snapToGrid w:val="0"/>
              <w:jc w:val="both"/>
            </w:pPr>
            <w:r>
              <w:rPr>
                <w:b/>
                <w:bCs/>
                <w:sz w:val="24"/>
                <w:szCs w:val="24"/>
                <w:lang w:eastAsia="zh-CN"/>
              </w:rPr>
              <w:t>获益-风险评估</w:t>
            </w:r>
          </w:p>
        </w:tc>
      </w:tr>
      <w:tr w14:paraId="6AE1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atLeast"/>
        </w:trPr>
        <w:tc>
          <w:tcPr>
            <w:tcW w:w="1912" w:type="pct"/>
            <w:shd w:val="clear" w:color="auto" w:fill="FFFFFF"/>
            <w:vAlign w:val="center"/>
          </w:tcPr>
          <w:p w14:paraId="6AE19E86">
            <w:pPr>
              <w:snapToGrid w:val="0"/>
              <w:jc w:val="both"/>
            </w:pPr>
            <w:r>
              <w:rPr>
                <w:lang w:eastAsia="zh-CN"/>
              </w:rPr>
              <w:t>5.获益是否超过风险？</w:t>
            </w:r>
          </w:p>
        </w:tc>
        <w:tc>
          <w:tcPr>
            <w:tcW w:w="3088" w:type="pct"/>
            <w:gridSpan w:val="2"/>
            <w:shd w:val="clear" w:color="auto" w:fill="FFFFFF"/>
            <w:vAlign w:val="center"/>
          </w:tcPr>
          <w:p w14:paraId="6AE19E87">
            <w:pPr>
              <w:snapToGrid w:val="0"/>
              <w:jc w:val="both"/>
              <w:rPr>
                <w:lang w:eastAsia="zh-CN"/>
              </w:rPr>
            </w:pPr>
            <w:r>
              <w:rPr>
                <w:lang w:eastAsia="zh-CN"/>
              </w:rPr>
              <w:t xml:space="preserve">□ 是 </w:t>
            </w:r>
            <w:r>
              <w:rPr>
                <w:lang w:eastAsia="zh-CN"/>
              </w:rPr>
              <w:sym w:font="Wingdings" w:char="F0E8"/>
            </w:r>
            <w:r>
              <w:rPr>
                <w:lang w:eastAsia="zh-CN"/>
              </w:rPr>
              <w:t xml:space="preserve"> 填写工作表</w:t>
            </w:r>
          </w:p>
          <w:p w14:paraId="6AE19E88">
            <w:pPr>
              <w:snapToGrid w:val="0"/>
              <w:jc w:val="both"/>
              <w:rPr>
                <w:lang w:eastAsia="zh-CN"/>
              </w:rPr>
            </w:pPr>
            <w:r>
              <w:rPr>
                <w:lang w:eastAsia="zh-CN"/>
              </w:rPr>
              <w:sym w:font="Wingdings 2" w:char="F054"/>
            </w:r>
            <w:r>
              <w:rPr>
                <w:lang w:eastAsia="zh-CN"/>
              </w:rPr>
              <w:t>无法得出获益超过风险的结论</w:t>
            </w:r>
            <w:r>
              <w:rPr>
                <w:lang w:eastAsia="zh-CN"/>
              </w:rPr>
              <w:sym w:font="Wingdings" w:char="F0E8"/>
            </w:r>
            <w:r>
              <w:rPr>
                <w:lang w:eastAsia="zh-CN"/>
              </w:rPr>
              <w:t xml:space="preserve"> Q6</w:t>
            </w:r>
          </w:p>
        </w:tc>
      </w:tr>
      <w:tr w14:paraId="6AE1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3" w:hRule="atLeast"/>
        </w:trPr>
        <w:tc>
          <w:tcPr>
            <w:tcW w:w="1912" w:type="pct"/>
            <w:shd w:val="clear" w:color="auto" w:fill="FFFFFF"/>
            <w:vAlign w:val="center"/>
          </w:tcPr>
          <w:p w14:paraId="6AE19E8A">
            <w:pPr>
              <w:snapToGrid w:val="0"/>
              <w:jc w:val="both"/>
              <w:rPr>
                <w:lang w:eastAsia="zh-CN"/>
              </w:rPr>
            </w:pPr>
            <w:r>
              <w:rPr>
                <w:lang w:eastAsia="zh-CN"/>
              </w:rPr>
              <w:t>6.当考虑其他考虑因素时，获益是否超过风险？</w:t>
            </w:r>
          </w:p>
        </w:tc>
        <w:tc>
          <w:tcPr>
            <w:tcW w:w="3088" w:type="pct"/>
            <w:gridSpan w:val="2"/>
            <w:shd w:val="clear" w:color="auto" w:fill="FFFFFF"/>
            <w:vAlign w:val="center"/>
          </w:tcPr>
          <w:p w14:paraId="6AE19E8B">
            <w:pPr>
              <w:snapToGrid w:val="0"/>
              <w:jc w:val="both"/>
              <w:rPr>
                <w:lang w:eastAsia="zh-CN"/>
              </w:rPr>
            </w:pPr>
            <w:r>
              <w:rPr>
                <w:lang w:eastAsia="zh-CN"/>
              </w:rPr>
              <w:t xml:space="preserve">□ 是 </w:t>
            </w:r>
            <w:r>
              <w:rPr>
                <w:lang w:eastAsia="zh-CN"/>
              </w:rPr>
              <w:sym w:font="Wingdings" w:char="F0E8"/>
            </w:r>
            <w:r>
              <w:rPr>
                <w:lang w:eastAsia="zh-CN"/>
              </w:rPr>
              <w:t xml:space="preserve"> 填写工作表</w:t>
            </w:r>
          </w:p>
          <w:p w14:paraId="6AE19E8C">
            <w:pPr>
              <w:snapToGrid w:val="0"/>
              <w:jc w:val="both"/>
              <w:rPr>
                <w:lang w:eastAsia="zh-CN"/>
              </w:rPr>
            </w:pPr>
            <w:r>
              <w:rPr>
                <w:lang w:eastAsia="zh-CN"/>
              </w:rPr>
              <w:sym w:font="Wingdings 2" w:char="F054"/>
            </w:r>
            <w:r>
              <w:rPr>
                <w:lang w:eastAsia="zh-CN"/>
              </w:rPr>
              <w:t>无法得出获益超过风险的结论</w:t>
            </w:r>
            <w:r>
              <w:rPr>
                <w:lang w:eastAsia="zh-CN"/>
              </w:rPr>
              <w:sym w:font="Wingdings" w:char="F0E8"/>
            </w:r>
            <w:r>
              <w:rPr>
                <w:lang w:eastAsia="zh-CN"/>
              </w:rPr>
              <w:t xml:space="preserve"> Q7</w:t>
            </w:r>
          </w:p>
        </w:tc>
      </w:tr>
      <w:tr w14:paraId="6AE1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atLeast"/>
        </w:trPr>
        <w:tc>
          <w:tcPr>
            <w:tcW w:w="1912" w:type="pct"/>
            <w:shd w:val="clear" w:color="auto" w:fill="FFFFFF"/>
            <w:vAlign w:val="center"/>
          </w:tcPr>
          <w:p w14:paraId="6AE19E8E">
            <w:pPr>
              <w:snapToGrid w:val="0"/>
              <w:jc w:val="both"/>
              <w:rPr>
                <w:lang w:eastAsia="zh-CN"/>
              </w:rPr>
            </w:pPr>
            <w:r>
              <w:rPr>
                <w:lang w:eastAsia="zh-CN"/>
              </w:rPr>
              <w:t>7.是否可以缓解风险以使获益超过风险？</w:t>
            </w:r>
          </w:p>
        </w:tc>
        <w:tc>
          <w:tcPr>
            <w:tcW w:w="3088" w:type="pct"/>
            <w:gridSpan w:val="2"/>
            <w:shd w:val="clear" w:color="auto" w:fill="FFFFFF"/>
            <w:vAlign w:val="center"/>
          </w:tcPr>
          <w:p w14:paraId="6AE19E8F">
            <w:pPr>
              <w:snapToGrid w:val="0"/>
              <w:jc w:val="both"/>
              <w:rPr>
                <w:lang w:eastAsia="zh-CN"/>
              </w:rPr>
            </w:pPr>
            <w:r>
              <w:rPr>
                <w:lang w:eastAsia="zh-CN"/>
              </w:rPr>
              <w:sym w:font="Wingdings 2" w:char="F054"/>
            </w:r>
            <w:r>
              <w:rPr>
                <w:lang w:eastAsia="zh-CN"/>
              </w:rPr>
              <w:t xml:space="preserve"> 是 </w:t>
            </w:r>
            <w:r>
              <w:rPr>
                <w:lang w:eastAsia="zh-CN"/>
              </w:rPr>
              <w:sym w:font="Wingdings" w:char="F0E8"/>
            </w:r>
            <w:r>
              <w:rPr>
                <w:lang w:eastAsia="zh-CN"/>
              </w:rPr>
              <w:t>填写工作表</w:t>
            </w:r>
          </w:p>
          <w:p w14:paraId="6AE19E90">
            <w:pPr>
              <w:snapToGrid w:val="0"/>
              <w:jc w:val="both"/>
              <w:rPr>
                <w:lang w:eastAsia="zh-CN"/>
              </w:rPr>
            </w:pPr>
            <w:r>
              <w:rPr>
                <w:lang w:eastAsia="zh-CN"/>
              </w:rPr>
              <w:t>□ 无法得出获益超过风险的结论</w:t>
            </w:r>
            <w:r>
              <w:rPr>
                <w:lang w:eastAsia="zh-CN"/>
              </w:rPr>
              <w:sym w:font="Wingdings" w:char="F0E8"/>
            </w:r>
            <w:r>
              <w:rPr>
                <w:lang w:eastAsia="zh-CN"/>
              </w:rPr>
              <w:t xml:space="preserve"> Q8</w:t>
            </w:r>
          </w:p>
        </w:tc>
      </w:tr>
      <w:tr w14:paraId="6AE1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8" w:hRule="atLeast"/>
        </w:trPr>
        <w:tc>
          <w:tcPr>
            <w:tcW w:w="1912" w:type="pct"/>
            <w:shd w:val="clear" w:color="auto" w:fill="FFFFFF"/>
            <w:vAlign w:val="center"/>
          </w:tcPr>
          <w:p w14:paraId="6AE19E92">
            <w:pPr>
              <w:snapToGrid w:val="0"/>
              <w:jc w:val="both"/>
              <w:rPr>
                <w:lang w:eastAsia="zh-CN"/>
              </w:rPr>
            </w:pPr>
            <w:r>
              <w:rPr>
                <w:lang w:eastAsia="zh-CN"/>
              </w:rPr>
              <w:t>8.考虑到采取上市后措施，获益是否超过风险？</w:t>
            </w:r>
          </w:p>
        </w:tc>
        <w:tc>
          <w:tcPr>
            <w:tcW w:w="3088" w:type="pct"/>
            <w:gridSpan w:val="2"/>
            <w:shd w:val="clear" w:color="auto" w:fill="FFFFFF"/>
            <w:vAlign w:val="center"/>
          </w:tcPr>
          <w:p w14:paraId="6AE19E93">
            <w:pPr>
              <w:tabs>
                <w:tab w:val="left" w:pos="221"/>
              </w:tabs>
              <w:snapToGrid w:val="0"/>
              <w:jc w:val="both"/>
              <w:rPr>
                <w:lang w:eastAsia="zh-CN"/>
              </w:rPr>
            </w:pPr>
            <w:r>
              <w:rPr>
                <w:lang w:eastAsia="zh-CN"/>
              </w:rPr>
              <w:t xml:space="preserve">□ 是 </w:t>
            </w:r>
            <w:r>
              <w:rPr>
                <w:lang w:eastAsia="zh-CN"/>
              </w:rPr>
              <w:sym w:font="Wingdings" w:char="F0E8"/>
            </w:r>
            <w:r>
              <w:rPr>
                <w:lang w:eastAsia="zh-CN"/>
              </w:rPr>
              <w:t xml:space="preserve"> 填写工作表</w:t>
            </w:r>
          </w:p>
          <w:p w14:paraId="6AE19E94">
            <w:pPr>
              <w:tabs>
                <w:tab w:val="left" w:pos="230"/>
              </w:tabs>
              <w:snapToGrid w:val="0"/>
              <w:jc w:val="both"/>
              <w:rPr>
                <w:lang w:eastAsia="zh-CN"/>
              </w:rPr>
            </w:pPr>
            <w:r>
              <w:rPr>
                <w:lang w:eastAsia="zh-CN"/>
              </w:rPr>
              <w:t>□ 无法得出获益超过风险的结论</w:t>
            </w:r>
            <w:r>
              <w:rPr>
                <w:lang w:eastAsia="zh-CN"/>
              </w:rPr>
              <w:sym w:font="Wingdings" w:char="F0E8"/>
            </w:r>
            <w:r>
              <w:rPr>
                <w:lang w:eastAsia="zh-CN"/>
              </w:rPr>
              <w:t xml:space="preserve"> Q9</w:t>
            </w:r>
          </w:p>
        </w:tc>
      </w:tr>
      <w:tr w14:paraId="6AE1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9" w:hRule="atLeast"/>
        </w:trPr>
        <w:tc>
          <w:tcPr>
            <w:tcW w:w="1912" w:type="pct"/>
            <w:shd w:val="clear" w:color="auto" w:fill="FFFFFF"/>
            <w:vAlign w:val="center"/>
          </w:tcPr>
          <w:p w14:paraId="6AE19E96">
            <w:pPr>
              <w:snapToGrid w:val="0"/>
              <w:jc w:val="both"/>
              <w:rPr>
                <w:lang w:eastAsia="zh-CN"/>
              </w:rPr>
            </w:pPr>
            <w:r>
              <w:rPr>
                <w:lang w:eastAsia="zh-CN"/>
              </w:rPr>
              <w:t>9.修改后的适应症是否具有临床获益？</w:t>
            </w:r>
          </w:p>
        </w:tc>
        <w:tc>
          <w:tcPr>
            <w:tcW w:w="3088" w:type="pct"/>
            <w:gridSpan w:val="2"/>
            <w:shd w:val="clear" w:color="auto" w:fill="FFFFFF"/>
            <w:vAlign w:val="center"/>
          </w:tcPr>
          <w:p w14:paraId="6AE19E97">
            <w:pPr>
              <w:tabs>
                <w:tab w:val="left" w:pos="221"/>
              </w:tabs>
              <w:snapToGrid w:val="0"/>
              <w:jc w:val="both"/>
              <w:rPr>
                <w:lang w:eastAsia="zh-CN"/>
              </w:rPr>
            </w:pPr>
            <w:r>
              <w:rPr>
                <w:lang w:eastAsia="zh-CN"/>
              </w:rPr>
              <w:t xml:space="preserve">□ 是 </w:t>
            </w:r>
            <w:r>
              <w:rPr>
                <w:lang w:eastAsia="zh-CN"/>
              </w:rPr>
              <w:sym w:font="Wingdings" w:char="F0E8"/>
            </w:r>
            <w:r>
              <w:rPr>
                <w:lang w:eastAsia="zh-CN"/>
              </w:rPr>
              <w:t>返回Q1并继续修改后的适应症</w:t>
            </w:r>
          </w:p>
          <w:p w14:paraId="6AE19E98">
            <w:pPr>
              <w:tabs>
                <w:tab w:val="left" w:pos="221"/>
              </w:tabs>
              <w:snapToGrid w:val="0"/>
              <w:jc w:val="both"/>
            </w:pPr>
            <w:r>
              <w:rPr>
                <w:lang w:eastAsia="zh-CN"/>
              </w:rPr>
              <w:t xml:space="preserve">□ 否 </w:t>
            </w:r>
            <w:r>
              <w:rPr>
                <w:lang w:eastAsia="zh-CN"/>
              </w:rPr>
              <w:sym w:font="Wingdings" w:char="F0E8"/>
            </w:r>
            <w:r>
              <w:rPr>
                <w:lang w:eastAsia="zh-CN"/>
              </w:rPr>
              <w:t xml:space="preserve"> 未批准/授予</w:t>
            </w:r>
          </w:p>
        </w:tc>
      </w:tr>
    </w:tbl>
    <w:p w14:paraId="6AE19E9A">
      <w:pPr>
        <w:snapToGrid w:val="0"/>
        <w:spacing w:before="120" w:beforeLines="50"/>
        <w:jc w:val="both"/>
      </w:pPr>
      <w:r>
        <w:rPr>
          <w:lang w:eastAsia="zh-CN"/>
        </w:rPr>
        <w:br w:type="page"/>
      </w:r>
    </w:p>
    <w:p w14:paraId="6AE19E9B">
      <w:pPr>
        <w:pStyle w:val="26"/>
        <w:spacing w:before="120" w:after="120" w:line="400" w:lineRule="exact"/>
        <w:rPr>
          <w:sz w:val="28"/>
          <w:szCs w:val="28"/>
        </w:rPr>
      </w:pPr>
      <w:bookmarkStart w:id="109" w:name="bookmark88"/>
      <w:bookmarkStart w:id="110" w:name="bookmark87"/>
      <w:bookmarkStart w:id="111" w:name="_Toc97318833"/>
      <w:r>
        <w:rPr>
          <w:sz w:val="28"/>
          <w:szCs w:val="28"/>
          <w:lang w:eastAsia="zh-CN"/>
        </w:rPr>
        <w:t>假设举例2的工作表</w:t>
      </w:r>
      <w:bookmarkEnd w:id="109"/>
      <w:bookmarkEnd w:id="110"/>
      <w:bookmarkEnd w:id="111"/>
    </w:p>
    <w:p w14:paraId="6AE19E9C">
      <w:pPr>
        <w:snapToGrid w:val="0"/>
        <w:spacing w:before="120" w:beforeLines="50" w:line="400" w:lineRule="exact"/>
        <w:jc w:val="both"/>
        <w:rPr>
          <w:sz w:val="24"/>
          <w:szCs w:val="24"/>
          <w:lang w:eastAsia="zh-CN"/>
        </w:rPr>
      </w:pPr>
      <w:r>
        <w:rPr>
          <w:i/>
          <w:iCs/>
          <w:sz w:val="24"/>
          <w:szCs w:val="24"/>
          <w:lang w:eastAsia="zh-CN"/>
        </w:rPr>
        <w:t>对FDA工作人员的说明：</w:t>
      </w:r>
      <w:r>
        <w:rPr>
          <w:sz w:val="24"/>
          <w:szCs w:val="24"/>
          <w:lang w:eastAsia="zh-CN"/>
        </w:rPr>
        <w:t>应该根据所有证据对获益-风险评估提出建议。在决定是否批准申请期间会进行获益-风险评估，但是不会评估所有适用的批准要求。有迹象表明这些工具的获益超过风险并不意味着申请满足其他适用PMA申请或新分类申请的要求。</w:t>
      </w:r>
    </w:p>
    <w:p w14:paraId="6AE19E9D">
      <w:pPr>
        <w:snapToGrid w:val="0"/>
        <w:spacing w:before="120" w:beforeLines="50" w:line="400" w:lineRule="exact"/>
        <w:jc w:val="both"/>
        <w:rPr>
          <w:sz w:val="24"/>
          <w:szCs w:val="24"/>
          <w:lang w:eastAsia="zh-CN"/>
        </w:rPr>
      </w:pPr>
      <w:r>
        <w:rPr>
          <w:sz w:val="24"/>
          <w:szCs w:val="24"/>
          <w:lang w:eastAsia="zh-CN"/>
        </w:rPr>
        <w:t>在获益-风险评估期间，以下问题将用作帮助权衡多个因素的顺序法。同样，这些问题旨在帮助确定和解释哪些因素和考虑因素在特定器械的获益-风险评估中起到关键作用。但是，这些问题并不意味着除了已完成的工作表中列出的考虑因素以外的其他考虑因素是不相关的。当以有效的科学证据的形式提交非临床和/或临床证据时，应使用本清单。</w:t>
      </w:r>
    </w:p>
    <w:p w14:paraId="6AE19E9E">
      <w:pPr>
        <w:snapToGrid w:val="0"/>
        <w:spacing w:before="120" w:beforeLines="50" w:line="400" w:lineRule="exact"/>
        <w:jc w:val="both"/>
        <w:rPr>
          <w:sz w:val="24"/>
          <w:szCs w:val="24"/>
          <w:lang w:eastAsia="zh-CN"/>
        </w:rPr>
      </w:pPr>
      <w:r>
        <w:rPr>
          <w:sz w:val="24"/>
          <w:szCs w:val="24"/>
          <w:lang w:eastAsia="zh-CN"/>
        </w:rPr>
        <w:t>拟定适应症考虑问题1-8，直至获得获益超过风险或转到问题9的建议，这会提示您考虑修改适应症。在考虑适用的修改适应症时，与申办者</w:t>
      </w:r>
      <w:r>
        <w:rPr>
          <w:rFonts w:hint="eastAsia"/>
          <w:sz w:val="24"/>
          <w:szCs w:val="24"/>
          <w:lang w:eastAsia="zh-CN"/>
        </w:rPr>
        <w:t>沟通</w:t>
      </w:r>
      <w:r>
        <w:rPr>
          <w:sz w:val="24"/>
          <w:szCs w:val="24"/>
          <w:lang w:eastAsia="zh-CN"/>
        </w:rPr>
        <w:t>，以</w:t>
      </w:r>
      <w:r>
        <w:rPr>
          <w:rFonts w:hint="eastAsia"/>
          <w:sz w:val="24"/>
          <w:szCs w:val="24"/>
          <w:lang w:eastAsia="zh-CN"/>
        </w:rPr>
        <w:t>就</w:t>
      </w:r>
      <w:r>
        <w:rPr>
          <w:sz w:val="24"/>
          <w:szCs w:val="24"/>
          <w:lang w:eastAsia="zh-CN"/>
        </w:rPr>
        <w:t>修改后的适应症达成协议。然而，如问题1所示，如果证据不支持拟定适应症（或</w:t>
      </w:r>
      <w:r>
        <w:rPr>
          <w:rFonts w:hint="eastAsia"/>
          <w:sz w:val="24"/>
          <w:szCs w:val="24"/>
          <w:lang w:eastAsia="zh-CN"/>
        </w:rPr>
        <w:t>缩减</w:t>
      </w:r>
      <w:r>
        <w:rPr>
          <w:sz w:val="24"/>
          <w:szCs w:val="24"/>
          <w:lang w:eastAsia="zh-CN"/>
        </w:rPr>
        <w:t>后的适应症）的获益结果，或者证据不支持无法达到拟定适应症的结果和有关修改后适应症的协议或者不适用，则无法批准或授予申请。</w:t>
      </w:r>
    </w:p>
    <w:p w14:paraId="6AE19E9F">
      <w:pPr>
        <w:snapToGrid w:val="0"/>
        <w:spacing w:before="120" w:beforeLines="50" w:line="400" w:lineRule="exact"/>
        <w:jc w:val="both"/>
        <w:rPr>
          <w:sz w:val="28"/>
          <w:szCs w:val="28"/>
          <w:lang w:eastAsia="zh-CN"/>
        </w:rPr>
      </w:pPr>
      <w:bookmarkStart w:id="112" w:name="bookmark89"/>
      <w:r>
        <w:rPr>
          <w:b/>
          <w:bCs/>
          <w:sz w:val="28"/>
          <w:szCs w:val="28"/>
          <w:lang w:eastAsia="zh-CN"/>
        </w:rPr>
        <w:t>获益评估</w:t>
      </w:r>
      <w:bookmarkEnd w:id="112"/>
    </w:p>
    <w:p w14:paraId="6AE19EA0">
      <w:pPr>
        <w:pStyle w:val="22"/>
        <w:spacing w:before="120" w:line="400" w:lineRule="exact"/>
      </w:pPr>
      <w:bookmarkStart w:id="113" w:name="bookmark90"/>
      <w:r>
        <w:t>1.</w:t>
      </w:r>
      <w:r>
        <w:tab/>
      </w:r>
      <w:r>
        <w:t>是否有任何临床获益的证据？</w:t>
      </w:r>
      <w:bookmarkEnd w:id="113"/>
    </w:p>
    <w:p w14:paraId="6AE19EA1">
      <w:pPr>
        <w:pStyle w:val="21"/>
        <w:spacing w:before="120" w:line="400" w:lineRule="exact"/>
        <w:rPr>
          <w:sz w:val="24"/>
          <w:szCs w:val="24"/>
          <w:lang w:eastAsia="zh-CN"/>
        </w:rPr>
      </w:pPr>
      <w:r>
        <w:rPr>
          <w:sz w:val="24"/>
          <w:szCs w:val="24"/>
          <w:lang w:eastAsia="zh-CN"/>
        </w:rPr>
        <w:t>是否证明器械的该适应症具有临床获益（例如根据任何一个或更多主要和/或次要数据集或相关真实世界证据）？可以在患者感觉、功能、生存或可接受的替代结局方面对获益进行考虑。可以使用经确认的工具（例如生活质量问卷）收集该信息。也可以在管理或诊断疾病或状况的便利性方面对获益进行考虑。应根据数据的评估、结果是否具有统计学意义来对获益进行考虑。</w:t>
      </w:r>
      <w:r>
        <w:rPr>
          <w:i/>
          <w:iCs/>
          <w:sz w:val="24"/>
          <w:szCs w:val="24"/>
          <w:lang w:eastAsia="zh-CN"/>
        </w:rPr>
        <w:t>选择以下其中任何一项证明获益的项目，然后回答以下方框中的问题。</w:t>
      </w:r>
    </w:p>
    <w:p w14:paraId="6AE19EA2">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至少1次临床评估的有利变化等于或高于对照组</w:t>
      </w:r>
    </w:p>
    <w:p w14:paraId="6AE19EA3">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至少1次临床评估的有利变化符合预定的性能目标</w:t>
      </w:r>
    </w:p>
    <w:p w14:paraId="6AE19EA4">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至少1次临床评估的有利变化符合或超过最低的重要临床差异</w:t>
      </w:r>
    </w:p>
    <w:p w14:paraId="6AE19EA5">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至少1次临床评估的有利变化等于或高于疾病或状况的其他可用方式的变化</w:t>
      </w:r>
    </w:p>
    <w:p w14:paraId="6AE19EA6">
      <w:pPr>
        <w:pStyle w:val="23"/>
        <w:spacing w:before="120" w:line="400" w:lineRule="exact"/>
        <w:ind w:left="1740" w:hanging="480"/>
        <w:rPr>
          <w:sz w:val="24"/>
          <w:szCs w:val="24"/>
          <w:lang w:eastAsia="zh-CN"/>
        </w:rPr>
      </w:pPr>
      <w:r>
        <w:rPr>
          <w:sz w:val="24"/>
          <w:szCs w:val="24"/>
          <w:lang w:eastAsia="zh-CN"/>
        </w:rPr>
        <w:sym w:font="Wingdings 2" w:char="F054"/>
      </w:r>
      <w:r>
        <w:rPr>
          <w:sz w:val="24"/>
          <w:szCs w:val="24"/>
          <w:lang w:eastAsia="zh-CN"/>
        </w:rPr>
        <w:tab/>
      </w:r>
      <w:r>
        <w:rPr>
          <w:sz w:val="24"/>
          <w:szCs w:val="24"/>
          <w:lang w:eastAsia="zh-CN"/>
        </w:rPr>
        <w:t>考虑到状况的严重度、慢性性质等，再加上患者报告的结局和健康相关生活质量，至少1次临床评估的有利变化对患者有意义</w:t>
      </w:r>
    </w:p>
    <w:p w14:paraId="6AE19EA7">
      <w:pPr>
        <w:pStyle w:val="23"/>
        <w:spacing w:before="120" w:line="400" w:lineRule="exact"/>
        <w:ind w:left="1740" w:hanging="480"/>
        <w:rPr>
          <w:sz w:val="24"/>
          <w:szCs w:val="24"/>
          <w:lang w:eastAsia="zh-CN"/>
        </w:rPr>
      </w:pPr>
      <w:r>
        <w:rPr>
          <w:sz w:val="24"/>
          <w:szCs w:val="24"/>
          <w:lang w:eastAsia="zh-CN"/>
        </w:rPr>
        <w:t>其他：</w:t>
      </w:r>
    </w:p>
    <w:p w14:paraId="6AE19EA8">
      <w:pPr>
        <w:snapToGrid w:val="0"/>
        <w:spacing w:before="120" w:beforeLines="50"/>
        <w:jc w:val="both"/>
        <w:rPr>
          <w:lang w:eastAsia="zh-CN"/>
        </w:rPr>
      </w:pPr>
      <w:r>
        <w:rPr>
          <w:lang w:eastAsia="zh-CN"/>
        </w:rPr>
        <w:br w:type="page"/>
      </w:r>
    </w:p>
    <w:p w14:paraId="6AE19EA9">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非临床数据或建模的有利变化可以预测临床结局</w:t>
      </w:r>
    </w:p>
    <w:p w14:paraId="6AE19EAA">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有利的临床性能特征（例如敏感性/PPA、</w:t>
      </w:r>
      <w:r>
        <w:fldChar w:fldCharType="begin"/>
      </w:r>
      <w:r>
        <w:instrText xml:space="preserve"> HYPERLINK \l "bookmark91" \o "Current Document" \h </w:instrText>
      </w:r>
      <w:r>
        <w:fldChar w:fldCharType="separate"/>
      </w:r>
      <w:r>
        <w:rPr>
          <w:sz w:val="24"/>
          <w:szCs w:val="24"/>
          <w:vertAlign w:val="superscript"/>
          <w:lang w:eastAsia="zh-CN"/>
        </w:rPr>
        <w:t>29</w:t>
      </w:r>
      <w:r>
        <w:rPr>
          <w:sz w:val="24"/>
          <w:szCs w:val="24"/>
          <w:vertAlign w:val="superscript"/>
          <w:lang w:eastAsia="zh-CN"/>
        </w:rPr>
        <w:fldChar w:fldCharType="end"/>
      </w:r>
      <w:r>
        <w:rPr>
          <w:sz w:val="24"/>
          <w:szCs w:val="24"/>
          <w:lang w:eastAsia="zh-CN"/>
        </w:rPr>
        <w:t>特异性/NPA</w:t>
      </w:r>
      <w:r>
        <w:fldChar w:fldCharType="begin"/>
      </w:r>
      <w:r>
        <w:instrText xml:space="preserve"> HYPERLINK \l "bookmark92" \o "当前文件" \h </w:instrText>
      </w:r>
      <w:r>
        <w:fldChar w:fldCharType="separate"/>
      </w:r>
      <w:r>
        <w:rPr>
          <w:sz w:val="24"/>
          <w:szCs w:val="24"/>
          <w:vertAlign w:val="superscript"/>
          <w:lang w:eastAsia="zh-CN"/>
        </w:rPr>
        <w:t>30</w:t>
      </w:r>
      <w:r>
        <w:rPr>
          <w:sz w:val="24"/>
          <w:szCs w:val="24"/>
          <w:vertAlign w:val="superscript"/>
          <w:lang w:eastAsia="zh-CN"/>
        </w:rPr>
        <w:fldChar w:fldCharType="end"/>
      </w:r>
      <w:r>
        <w:rPr>
          <w:sz w:val="24"/>
          <w:szCs w:val="24"/>
          <w:lang w:eastAsia="zh-CN"/>
        </w:rPr>
        <w:t>等），可用于筛查、诊断、预后、监测或治疗选择</w:t>
      </w:r>
    </w:p>
    <w:p w14:paraId="6AE19EAB">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器械的分析确认显示性能特征可以接受</w:t>
      </w:r>
    </w:p>
    <w:p w14:paraId="6AE19EAC">
      <w:pPr>
        <w:pStyle w:val="23"/>
        <w:spacing w:before="120" w:line="400" w:lineRule="exact"/>
        <w:ind w:left="1740" w:hanging="480"/>
        <w:rPr>
          <w:sz w:val="24"/>
          <w:szCs w:val="24"/>
        </w:rPr>
      </w:pPr>
      <w:r>
        <w:rPr>
          <w:sz w:val="24"/>
          <w:szCs w:val="24"/>
          <w:lang w:eastAsia="zh-CN"/>
        </w:rPr>
        <w:t>□</w:t>
      </w:r>
      <w:r>
        <w:rPr>
          <w:sz w:val="24"/>
          <w:szCs w:val="24"/>
          <w:lang w:eastAsia="zh-CN"/>
        </w:rPr>
        <w:tab/>
      </w:r>
      <w:r>
        <w:rPr>
          <w:sz w:val="24"/>
          <w:szCs w:val="24"/>
          <w:lang w:eastAsia="zh-CN"/>
        </w:rPr>
        <w:t>其他：</w:t>
      </w:r>
    </w:p>
    <w:p w14:paraId="6AE19EAD">
      <w:pPr>
        <w:pStyle w:val="23"/>
        <w:spacing w:before="120" w:line="400" w:lineRule="exact"/>
        <w:ind w:left="1740" w:hanging="480"/>
        <w:rPr>
          <w:sz w:val="24"/>
          <w:szCs w:val="24"/>
        </w:rPr>
      </w:pPr>
      <w:r>
        <w:rPr>
          <w:sz w:val="24"/>
          <w:szCs w:val="24"/>
          <w:lang w:eastAsia="zh-CN"/>
        </w:rPr>
        <w:t>□</w:t>
      </w:r>
      <w:r>
        <w:rPr>
          <w:sz w:val="24"/>
          <w:szCs w:val="24"/>
          <w:lang w:eastAsia="zh-CN"/>
        </w:rPr>
        <w:tab/>
      </w:r>
      <w:r>
        <w:rPr>
          <w:sz w:val="24"/>
          <w:szCs w:val="24"/>
          <w:lang w:eastAsia="zh-CN"/>
        </w:rPr>
        <w:t>无</w:t>
      </w:r>
    </w:p>
    <w:p w14:paraId="6AE19EAE">
      <w:pPr>
        <w:pStyle w:val="23"/>
        <w:spacing w:before="120" w:line="400" w:lineRule="exact"/>
      </w:pPr>
    </w:p>
    <w:tbl>
      <w:tblPr>
        <w:tblStyle w:val="8"/>
        <w:tblW w:w="4660" w:type="pct"/>
        <w:tblInd w:w="624"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8560"/>
      </w:tblGrid>
      <w:tr w14:paraId="6AE19EB2">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085" w:hRule="atLeast"/>
        </w:trPr>
        <w:tc>
          <w:tcPr>
            <w:tcW w:w="5000" w:type="pct"/>
            <w:shd w:val="clear" w:color="auto" w:fill="FFFFFF"/>
            <w:vAlign w:val="center"/>
          </w:tcPr>
          <w:p w14:paraId="6AE19EAF">
            <w:pPr>
              <w:snapToGrid w:val="0"/>
              <w:spacing w:before="120" w:beforeLines="50" w:line="400" w:lineRule="exact"/>
              <w:jc w:val="both"/>
              <w:rPr>
                <w:lang w:eastAsia="zh-CN"/>
              </w:rPr>
            </w:pPr>
            <w:r>
              <w:rPr>
                <w:b/>
                <w:bCs/>
                <w:lang w:eastAsia="zh-CN"/>
              </w:rPr>
              <w:t>Q1：是否存在具有临床获益的证据？</w:t>
            </w:r>
          </w:p>
          <w:p w14:paraId="6AE19EB0">
            <w:pPr>
              <w:snapToGrid w:val="0"/>
              <w:spacing w:before="120" w:beforeLines="50" w:line="400" w:lineRule="exact"/>
              <w:jc w:val="both"/>
              <w:rPr>
                <w:lang w:eastAsia="zh-CN"/>
              </w:rPr>
            </w:pPr>
            <w:r>
              <w:rPr>
                <w:lang w:eastAsia="zh-CN"/>
              </w:rPr>
              <w:sym w:font="Wingdings 2" w:char="F054"/>
            </w:r>
            <w:r>
              <w:rPr>
                <w:lang w:eastAsia="zh-CN"/>
              </w:rPr>
              <w:t>是</w:t>
            </w:r>
            <w:r>
              <w:rPr>
                <w:lang w:eastAsia="zh-CN"/>
              </w:rPr>
              <w:sym w:font="Wingdings" w:char="F0E8"/>
            </w:r>
            <w:r>
              <w:rPr>
                <w:lang w:eastAsia="zh-CN"/>
              </w:rPr>
              <w:t>继续问题2</w:t>
            </w:r>
          </w:p>
          <w:p w14:paraId="6AE19EB1">
            <w:pPr>
              <w:snapToGrid w:val="0"/>
              <w:spacing w:before="120" w:beforeLines="50" w:line="400" w:lineRule="exact"/>
              <w:jc w:val="both"/>
              <w:rPr>
                <w:lang w:eastAsia="zh-CN"/>
              </w:rPr>
            </w:pPr>
            <w:r>
              <w:rPr>
                <w:lang w:eastAsia="zh-CN"/>
              </w:rPr>
              <w:t>□ 否</w:t>
            </w:r>
            <w:r>
              <w:rPr>
                <w:lang w:eastAsia="zh-CN"/>
              </w:rPr>
              <w:sym w:font="Wingdings" w:char="F0E8"/>
            </w:r>
            <w:r>
              <w:rPr>
                <w:lang w:eastAsia="zh-CN"/>
              </w:rPr>
              <w:t>转至问题9</w:t>
            </w:r>
          </w:p>
        </w:tc>
      </w:tr>
    </w:tbl>
    <w:p w14:paraId="6AE19EB3">
      <w:pPr>
        <w:tabs>
          <w:tab w:val="left" w:pos="580"/>
        </w:tabs>
        <w:snapToGrid w:val="0"/>
        <w:spacing w:before="120" w:beforeLines="50"/>
        <w:jc w:val="both"/>
        <w:rPr>
          <w:sz w:val="18"/>
          <w:szCs w:val="18"/>
          <w:lang w:eastAsia="zh-CN"/>
        </w:rPr>
      </w:pPr>
      <w:bookmarkStart w:id="114" w:name="bookmark91"/>
      <w:bookmarkStart w:id="115" w:name="bookmark92"/>
    </w:p>
    <w:p w14:paraId="6AE19EB4">
      <w:pPr>
        <w:tabs>
          <w:tab w:val="left" w:pos="580"/>
        </w:tabs>
        <w:snapToGrid w:val="0"/>
        <w:spacing w:before="120" w:beforeLines="50"/>
        <w:jc w:val="both"/>
        <w:rPr>
          <w:sz w:val="18"/>
          <w:szCs w:val="18"/>
          <w:lang w:eastAsia="zh-CN"/>
        </w:rPr>
      </w:pPr>
    </w:p>
    <w:p w14:paraId="6AE19EB5">
      <w:pPr>
        <w:tabs>
          <w:tab w:val="left" w:pos="580"/>
        </w:tabs>
        <w:snapToGrid w:val="0"/>
        <w:spacing w:before="120" w:beforeLines="50"/>
        <w:jc w:val="both"/>
        <w:rPr>
          <w:sz w:val="18"/>
          <w:szCs w:val="18"/>
          <w:lang w:eastAsia="zh-CN"/>
        </w:rPr>
      </w:pPr>
    </w:p>
    <w:p w14:paraId="6AE19EB6">
      <w:pPr>
        <w:tabs>
          <w:tab w:val="left" w:pos="580"/>
        </w:tabs>
        <w:snapToGrid w:val="0"/>
        <w:spacing w:before="120" w:beforeLines="50"/>
        <w:jc w:val="both"/>
        <w:rPr>
          <w:sz w:val="18"/>
          <w:szCs w:val="18"/>
          <w:lang w:eastAsia="zh-CN"/>
        </w:rPr>
      </w:pPr>
    </w:p>
    <w:p w14:paraId="6AE19EB7">
      <w:pPr>
        <w:tabs>
          <w:tab w:val="left" w:pos="580"/>
        </w:tabs>
        <w:snapToGrid w:val="0"/>
        <w:spacing w:before="120" w:beforeLines="50"/>
        <w:jc w:val="both"/>
        <w:rPr>
          <w:sz w:val="18"/>
          <w:szCs w:val="18"/>
          <w:lang w:eastAsia="zh-CN"/>
        </w:rPr>
      </w:pPr>
    </w:p>
    <w:p w14:paraId="6AE19EB8">
      <w:pPr>
        <w:tabs>
          <w:tab w:val="left" w:pos="580"/>
        </w:tabs>
        <w:snapToGrid w:val="0"/>
        <w:spacing w:before="120" w:beforeLines="50"/>
        <w:jc w:val="both"/>
        <w:rPr>
          <w:sz w:val="18"/>
          <w:szCs w:val="18"/>
          <w:lang w:eastAsia="zh-CN"/>
        </w:rPr>
      </w:pPr>
    </w:p>
    <w:p w14:paraId="6AE19EB9">
      <w:pPr>
        <w:tabs>
          <w:tab w:val="left" w:pos="580"/>
        </w:tabs>
        <w:snapToGrid w:val="0"/>
        <w:spacing w:before="120" w:beforeLines="50"/>
        <w:jc w:val="both"/>
        <w:rPr>
          <w:sz w:val="18"/>
          <w:szCs w:val="18"/>
          <w:lang w:eastAsia="zh-CN"/>
        </w:rPr>
      </w:pPr>
    </w:p>
    <w:p w14:paraId="6AE19EBA">
      <w:pPr>
        <w:tabs>
          <w:tab w:val="left" w:pos="580"/>
        </w:tabs>
        <w:snapToGrid w:val="0"/>
        <w:spacing w:before="120" w:beforeLines="50"/>
        <w:jc w:val="both"/>
        <w:rPr>
          <w:sz w:val="18"/>
          <w:szCs w:val="18"/>
          <w:lang w:eastAsia="zh-CN"/>
        </w:rPr>
      </w:pPr>
    </w:p>
    <w:p w14:paraId="6AE19EBB">
      <w:pPr>
        <w:tabs>
          <w:tab w:val="left" w:pos="580"/>
        </w:tabs>
        <w:snapToGrid w:val="0"/>
        <w:spacing w:before="120" w:beforeLines="50"/>
        <w:jc w:val="both"/>
        <w:rPr>
          <w:sz w:val="18"/>
          <w:szCs w:val="18"/>
          <w:lang w:eastAsia="zh-CN"/>
        </w:rPr>
      </w:pPr>
    </w:p>
    <w:p w14:paraId="6AE19EBC">
      <w:pPr>
        <w:tabs>
          <w:tab w:val="left" w:pos="580"/>
        </w:tabs>
        <w:snapToGrid w:val="0"/>
        <w:spacing w:before="120" w:beforeLines="50"/>
        <w:jc w:val="both"/>
        <w:rPr>
          <w:sz w:val="18"/>
          <w:szCs w:val="18"/>
          <w:lang w:eastAsia="zh-CN"/>
        </w:rPr>
      </w:pPr>
    </w:p>
    <w:p w14:paraId="6AE19EBD">
      <w:pPr>
        <w:tabs>
          <w:tab w:val="left" w:pos="580"/>
        </w:tabs>
        <w:snapToGrid w:val="0"/>
        <w:spacing w:before="120" w:beforeLines="50"/>
        <w:jc w:val="both"/>
        <w:rPr>
          <w:sz w:val="18"/>
          <w:szCs w:val="18"/>
          <w:lang w:eastAsia="zh-CN"/>
        </w:rPr>
      </w:pPr>
    </w:p>
    <w:p w14:paraId="6AE19EBE">
      <w:pPr>
        <w:tabs>
          <w:tab w:val="left" w:pos="580"/>
        </w:tabs>
        <w:snapToGrid w:val="0"/>
        <w:spacing w:before="120" w:beforeLines="50"/>
        <w:jc w:val="both"/>
        <w:rPr>
          <w:sz w:val="18"/>
          <w:szCs w:val="18"/>
          <w:lang w:eastAsia="zh-CN"/>
        </w:rPr>
      </w:pPr>
    </w:p>
    <w:p w14:paraId="6AE19EBF">
      <w:pPr>
        <w:tabs>
          <w:tab w:val="left" w:pos="580"/>
        </w:tabs>
        <w:snapToGrid w:val="0"/>
        <w:spacing w:before="120" w:beforeLines="50"/>
        <w:jc w:val="both"/>
        <w:rPr>
          <w:sz w:val="18"/>
          <w:szCs w:val="18"/>
          <w:lang w:eastAsia="zh-CN"/>
        </w:rPr>
      </w:pPr>
    </w:p>
    <w:p w14:paraId="6AE19EC0">
      <w:pPr>
        <w:tabs>
          <w:tab w:val="left" w:pos="580"/>
        </w:tabs>
        <w:snapToGrid w:val="0"/>
        <w:spacing w:before="120" w:beforeLines="50"/>
        <w:jc w:val="both"/>
        <w:rPr>
          <w:sz w:val="18"/>
          <w:szCs w:val="18"/>
          <w:lang w:eastAsia="zh-CN"/>
        </w:rPr>
      </w:pPr>
    </w:p>
    <w:p w14:paraId="6AE19EC1">
      <w:pPr>
        <w:tabs>
          <w:tab w:val="left" w:pos="580"/>
        </w:tabs>
        <w:snapToGrid w:val="0"/>
        <w:spacing w:before="120" w:beforeLines="50"/>
        <w:jc w:val="both"/>
        <w:rPr>
          <w:sz w:val="18"/>
          <w:szCs w:val="18"/>
          <w:lang w:eastAsia="zh-CN"/>
        </w:rPr>
      </w:pPr>
    </w:p>
    <w:p w14:paraId="6AE19EC2">
      <w:pPr>
        <w:tabs>
          <w:tab w:val="left" w:pos="580"/>
        </w:tabs>
        <w:snapToGrid w:val="0"/>
        <w:spacing w:before="120" w:beforeLines="50"/>
        <w:jc w:val="both"/>
        <w:rPr>
          <w:sz w:val="18"/>
          <w:szCs w:val="18"/>
          <w:lang w:eastAsia="zh-CN"/>
        </w:rPr>
      </w:pPr>
    </w:p>
    <w:p w14:paraId="6AE19EC3">
      <w:pPr>
        <w:tabs>
          <w:tab w:val="left" w:pos="580"/>
        </w:tabs>
        <w:snapToGrid w:val="0"/>
        <w:spacing w:before="120" w:beforeLines="50"/>
        <w:jc w:val="both"/>
        <w:rPr>
          <w:sz w:val="18"/>
          <w:szCs w:val="18"/>
          <w:lang w:eastAsia="zh-CN"/>
        </w:rPr>
      </w:pPr>
    </w:p>
    <w:p w14:paraId="6AE19EC4">
      <w:pPr>
        <w:tabs>
          <w:tab w:val="left" w:pos="580"/>
        </w:tabs>
        <w:snapToGrid w:val="0"/>
        <w:spacing w:before="120" w:beforeLines="50"/>
        <w:jc w:val="both"/>
        <w:rPr>
          <w:sz w:val="18"/>
          <w:szCs w:val="18"/>
          <w:lang w:eastAsia="zh-CN"/>
        </w:rPr>
      </w:pPr>
    </w:p>
    <w:p w14:paraId="6AE19EC5">
      <w:pPr>
        <w:tabs>
          <w:tab w:val="left" w:pos="580"/>
        </w:tabs>
        <w:snapToGrid w:val="0"/>
        <w:spacing w:before="120" w:beforeLines="50"/>
        <w:jc w:val="both"/>
        <w:rPr>
          <w:sz w:val="18"/>
          <w:szCs w:val="18"/>
          <w:lang w:eastAsia="zh-CN"/>
        </w:rPr>
      </w:pPr>
    </w:p>
    <w:p w14:paraId="6AE19EC6">
      <w:pPr>
        <w:tabs>
          <w:tab w:val="left" w:pos="580"/>
        </w:tabs>
        <w:snapToGrid w:val="0"/>
        <w:spacing w:before="120" w:beforeLines="50"/>
        <w:jc w:val="both"/>
        <w:rPr>
          <w:sz w:val="18"/>
          <w:szCs w:val="18"/>
          <w:lang w:eastAsia="zh-CN"/>
        </w:rPr>
      </w:pPr>
    </w:p>
    <w:p w14:paraId="6AE19EC7">
      <w:pPr>
        <w:tabs>
          <w:tab w:val="left" w:pos="580"/>
        </w:tabs>
        <w:snapToGrid w:val="0"/>
        <w:spacing w:before="120" w:beforeLines="50"/>
        <w:jc w:val="both"/>
        <w:rPr>
          <w:sz w:val="18"/>
          <w:szCs w:val="18"/>
          <w:lang w:eastAsia="zh-CN"/>
        </w:rPr>
      </w:pPr>
    </w:p>
    <w:p w14:paraId="6AE19EC8">
      <w:pPr>
        <w:tabs>
          <w:tab w:val="left" w:pos="580"/>
        </w:tabs>
        <w:snapToGrid w:val="0"/>
        <w:spacing w:before="120" w:beforeLines="50"/>
        <w:jc w:val="both"/>
        <w:rPr>
          <w:sz w:val="18"/>
          <w:szCs w:val="18"/>
          <w:lang w:eastAsia="zh-CN"/>
        </w:rPr>
      </w:pPr>
    </w:p>
    <w:p w14:paraId="6AE19EC9">
      <w:pPr>
        <w:tabs>
          <w:tab w:val="left" w:pos="580"/>
        </w:tabs>
        <w:snapToGrid w:val="0"/>
        <w:spacing w:before="120" w:beforeLines="50"/>
        <w:jc w:val="both"/>
        <w:rPr>
          <w:sz w:val="18"/>
          <w:szCs w:val="18"/>
          <w:lang w:eastAsia="zh-CN"/>
        </w:rPr>
      </w:pPr>
    </w:p>
    <w:p w14:paraId="6AE19ECA">
      <w:pPr>
        <w:tabs>
          <w:tab w:val="left" w:pos="580"/>
        </w:tabs>
        <w:snapToGrid w:val="0"/>
        <w:spacing w:before="120" w:beforeLines="50"/>
        <w:jc w:val="both"/>
        <w:rPr>
          <w:sz w:val="18"/>
          <w:szCs w:val="18"/>
          <w:lang w:eastAsia="zh-CN"/>
        </w:rPr>
      </w:pPr>
      <w:r>
        <w:rPr>
          <w:sz w:val="18"/>
          <w:szCs w:val="18"/>
          <w:lang w:eastAsia="zh-CN"/>
        </w:rPr>
        <w:t>____________________</w:t>
      </w:r>
    </w:p>
    <w:p w14:paraId="6AE19ECB">
      <w:pPr>
        <w:tabs>
          <w:tab w:val="left" w:pos="284"/>
        </w:tabs>
        <w:snapToGrid w:val="0"/>
        <w:spacing w:before="120" w:beforeLines="50"/>
        <w:jc w:val="both"/>
        <w:rPr>
          <w:sz w:val="18"/>
          <w:szCs w:val="18"/>
          <w:lang w:eastAsia="zh-CN"/>
        </w:rPr>
      </w:pPr>
      <w:r>
        <w:rPr>
          <w:sz w:val="18"/>
          <w:szCs w:val="18"/>
          <w:vertAlign w:val="superscript"/>
          <w:lang w:eastAsia="zh-CN"/>
        </w:rPr>
        <w:t>29</w:t>
      </w:r>
      <w:r>
        <w:rPr>
          <w:sz w:val="18"/>
          <w:szCs w:val="18"/>
          <w:lang w:eastAsia="zh-CN"/>
        </w:rPr>
        <w:tab/>
      </w:r>
      <w:r>
        <w:rPr>
          <w:sz w:val="18"/>
          <w:szCs w:val="18"/>
          <w:lang w:eastAsia="zh-CN"/>
        </w:rPr>
        <w:t>PPA：阳性一致性</w:t>
      </w:r>
      <w:bookmarkEnd w:id="114"/>
      <w:bookmarkEnd w:id="115"/>
    </w:p>
    <w:p w14:paraId="6AE19ECC">
      <w:pPr>
        <w:tabs>
          <w:tab w:val="left" w:pos="284"/>
        </w:tabs>
        <w:snapToGrid w:val="0"/>
        <w:spacing w:before="120" w:beforeLines="50"/>
        <w:jc w:val="both"/>
        <w:rPr>
          <w:sz w:val="18"/>
          <w:szCs w:val="18"/>
          <w:lang w:eastAsia="zh-CN"/>
        </w:rPr>
      </w:pPr>
      <w:r>
        <w:rPr>
          <w:sz w:val="18"/>
          <w:szCs w:val="18"/>
          <w:vertAlign w:val="superscript"/>
          <w:lang w:eastAsia="zh-CN"/>
        </w:rPr>
        <w:t>30</w:t>
      </w:r>
      <w:r>
        <w:rPr>
          <w:sz w:val="18"/>
          <w:szCs w:val="18"/>
          <w:lang w:eastAsia="zh-CN"/>
        </w:rPr>
        <w:tab/>
      </w:r>
      <w:r>
        <w:rPr>
          <w:sz w:val="18"/>
          <w:szCs w:val="18"/>
          <w:lang w:eastAsia="zh-CN"/>
        </w:rPr>
        <w:t>NPA：阴性一致性</w:t>
      </w:r>
    </w:p>
    <w:p w14:paraId="6AE19ECD">
      <w:pPr>
        <w:tabs>
          <w:tab w:val="left" w:pos="580"/>
        </w:tabs>
        <w:snapToGrid w:val="0"/>
        <w:spacing w:before="120" w:beforeLines="50"/>
        <w:jc w:val="both"/>
        <w:rPr>
          <w:lang w:eastAsia="zh-CN"/>
        </w:rPr>
      </w:pPr>
      <w:r>
        <w:rPr>
          <w:lang w:eastAsia="zh-CN"/>
        </w:rPr>
        <w:br w:type="page"/>
      </w:r>
    </w:p>
    <w:p w14:paraId="6AE19ECE">
      <w:pPr>
        <w:pStyle w:val="22"/>
        <w:spacing w:before="120"/>
      </w:pPr>
      <w:bookmarkStart w:id="116" w:name="bookmark93"/>
      <w:r>
        <w:t>2.</w:t>
      </w:r>
      <w:r>
        <w:tab/>
      </w:r>
      <w:r>
        <w:t>获益的不确定性如何？</w:t>
      </w:r>
      <w:bookmarkEnd w:id="116"/>
    </w:p>
    <w:p w14:paraId="6AE19ECF">
      <w:pPr>
        <w:pStyle w:val="21"/>
        <w:spacing w:before="120"/>
        <w:rPr>
          <w:sz w:val="24"/>
          <w:szCs w:val="24"/>
          <w:lang w:eastAsia="zh-CN"/>
        </w:rPr>
      </w:pPr>
      <w:r>
        <w:rPr>
          <w:sz w:val="24"/>
          <w:szCs w:val="24"/>
          <w:lang w:eastAsia="zh-CN"/>
        </w:rPr>
        <w:t>认识到始终存在一定程度的不确定性，请在影响临床效益评价的数据中选择不确定性来源（如适用）。考虑与临床和/或分析性能特征有关的不确定性来源（如敏感性、</w:t>
      </w:r>
      <w:r>
        <w:rPr>
          <w:rFonts w:hint="eastAsia"/>
          <w:sz w:val="24"/>
          <w:szCs w:val="24"/>
          <w:lang w:eastAsia="zh-CN"/>
        </w:rPr>
        <w:t>特异性</w:t>
      </w:r>
      <w:r>
        <w:rPr>
          <w:sz w:val="24"/>
          <w:szCs w:val="24"/>
          <w:lang w:eastAsia="zh-CN"/>
        </w:rPr>
        <w:t>、准确度、精密度、重复性、适用性）。</w:t>
      </w:r>
      <w:r>
        <w:rPr>
          <w:i/>
          <w:iCs/>
          <w:sz w:val="24"/>
          <w:szCs w:val="24"/>
          <w:lang w:eastAsia="zh-CN"/>
        </w:rPr>
        <w:t>选择以下其中任何一项证明获益不确定性来源的项目，然后回答以下方框中的问题。</w:t>
      </w:r>
    </w:p>
    <w:p w14:paraId="6AE19ED0">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研究间的结果不一致或存在冲突</w:t>
      </w:r>
    </w:p>
    <w:p w14:paraId="6AE19ED1">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点估计和/或比值比周围的置信区间较宽</w:t>
      </w:r>
    </w:p>
    <w:p w14:paraId="6AE19ED2">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研究的统计效力不足且结局指标无统计学意义</w:t>
      </w:r>
    </w:p>
    <w:p w14:paraId="6AE19ED3">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关键评估时间点的受试者或样本失访率较高</w:t>
      </w:r>
    </w:p>
    <w:p w14:paraId="6AE19ED4">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关键评估时间点+/-计算存在大量缺失数据</w:t>
      </w:r>
    </w:p>
    <w:p w14:paraId="6AE19ED5">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发生大量的重大方案偏离</w:t>
      </w:r>
    </w:p>
    <w:p w14:paraId="6AE19ED6">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混淆干预或生理因素的影响</w:t>
      </w:r>
    </w:p>
    <w:p w14:paraId="6AE19ED7">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用户经验不一致或用户经验不代表可能的真实世界用户</w:t>
      </w:r>
    </w:p>
    <w:p w14:paraId="6AE19ED8">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非临床数据、预先选择的增强数据或计算机建模和临床性能之间的关系不明确</w:t>
      </w:r>
    </w:p>
    <w:p w14:paraId="6AE19ED9">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尚未证明替代终点与临床结局相关</w:t>
      </w:r>
    </w:p>
    <w:p w14:paraId="6AE19EDA">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对于拟定分析的目的，真实世界证据（RWE）无关或不可靠</w:t>
      </w:r>
    </w:p>
    <w:p w14:paraId="6AE19EDB">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检查结果</w:t>
      </w:r>
    </w:p>
    <w:p w14:paraId="6AE19EDC">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研究设计或结果导致对适用人群或特定临床子人群无普遍性。</w:t>
      </w:r>
    </w:p>
    <w:p w14:paraId="6AE19EDD">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诊断输出的生理范围或有临床意义的范围不详，或者拟定的临床截止值的普遍性不详</w:t>
      </w:r>
    </w:p>
    <w:p w14:paraId="6AE19EDE">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使用存在缺陷的比较法计算性能特征</w:t>
      </w:r>
    </w:p>
    <w:p w14:paraId="6AE19EDF">
      <w:pPr>
        <w:pStyle w:val="23"/>
        <w:spacing w:before="120"/>
        <w:ind w:left="1740" w:hanging="480"/>
        <w:rPr>
          <w:sz w:val="24"/>
          <w:szCs w:val="24"/>
        </w:rPr>
      </w:pPr>
      <w:r>
        <w:rPr>
          <w:sz w:val="24"/>
          <w:szCs w:val="24"/>
          <w:lang w:eastAsia="zh-CN"/>
        </w:rPr>
        <w:sym w:font="Wingdings 2" w:char="F054"/>
      </w:r>
      <w:r>
        <w:rPr>
          <w:sz w:val="24"/>
          <w:szCs w:val="24"/>
          <w:lang w:eastAsia="zh-CN"/>
        </w:rPr>
        <w:tab/>
      </w:r>
      <w:r>
        <w:rPr>
          <w:sz w:val="24"/>
          <w:szCs w:val="24"/>
          <w:lang w:eastAsia="zh-CN"/>
        </w:rPr>
        <w:t>其他：小样本量</w:t>
      </w:r>
    </w:p>
    <w:p w14:paraId="6AE19EE0">
      <w:pPr>
        <w:pStyle w:val="23"/>
        <w:spacing w:before="120"/>
        <w:ind w:left="1740" w:hanging="480"/>
        <w:rPr>
          <w:sz w:val="24"/>
          <w:szCs w:val="24"/>
        </w:rPr>
      </w:pPr>
      <w:r>
        <w:rPr>
          <w:sz w:val="24"/>
          <w:szCs w:val="24"/>
          <w:lang w:eastAsia="zh-CN"/>
        </w:rPr>
        <w:t>□</w:t>
      </w:r>
      <w:r>
        <w:rPr>
          <w:sz w:val="24"/>
          <w:szCs w:val="24"/>
          <w:lang w:eastAsia="zh-CN"/>
        </w:rPr>
        <w:tab/>
      </w:r>
      <w:r>
        <w:rPr>
          <w:sz w:val="24"/>
          <w:szCs w:val="24"/>
          <w:lang w:eastAsia="zh-CN"/>
        </w:rPr>
        <w:t>无</w:t>
      </w:r>
    </w:p>
    <w:p w14:paraId="6AE19EE1">
      <w:pPr>
        <w:pStyle w:val="23"/>
        <w:spacing w:before="120"/>
      </w:pPr>
    </w:p>
    <w:tbl>
      <w:tblPr>
        <w:tblStyle w:val="8"/>
        <w:tblW w:w="0" w:type="auto"/>
        <w:tblInd w:w="624"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5387"/>
      </w:tblGrid>
      <w:tr w14:paraId="6AE19EE6">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PrEx>
        <w:trPr>
          <w:trHeight w:val="1382" w:hRule="atLeast"/>
        </w:trPr>
        <w:tc>
          <w:tcPr>
            <w:tcW w:w="5387" w:type="dxa"/>
            <w:shd w:val="clear" w:color="auto" w:fill="FFFFFF"/>
            <w:vAlign w:val="center"/>
          </w:tcPr>
          <w:p w14:paraId="6AE19EE2">
            <w:pPr>
              <w:snapToGrid w:val="0"/>
              <w:spacing w:before="120" w:beforeLines="50"/>
              <w:jc w:val="both"/>
              <w:rPr>
                <w:lang w:eastAsia="zh-CN"/>
              </w:rPr>
            </w:pPr>
            <w:r>
              <w:rPr>
                <w:b/>
                <w:bCs/>
                <w:lang w:eastAsia="zh-CN"/>
              </w:rPr>
              <w:t>Q2：获益的不确定性如何？</w:t>
            </w:r>
          </w:p>
          <w:p w14:paraId="6AE19EE3">
            <w:pPr>
              <w:tabs>
                <w:tab w:val="left" w:pos="230"/>
              </w:tabs>
              <w:snapToGrid w:val="0"/>
              <w:spacing w:before="120" w:beforeLines="50"/>
              <w:jc w:val="both"/>
              <w:rPr>
                <w:lang w:eastAsia="zh-CN"/>
              </w:rPr>
            </w:pPr>
            <w:r>
              <w:rPr>
                <w:lang w:eastAsia="zh-CN"/>
              </w:rPr>
              <w:t>□ 低</w:t>
            </w:r>
            <w:r>
              <w:rPr>
                <w:lang w:eastAsia="zh-CN"/>
              </w:rPr>
              <w:sym w:font="Wingdings" w:char="F0E8"/>
            </w:r>
            <w:r>
              <w:rPr>
                <w:lang w:eastAsia="zh-CN"/>
              </w:rPr>
              <w:t>继续问题3</w:t>
            </w:r>
          </w:p>
          <w:p w14:paraId="6AE19EE4">
            <w:pPr>
              <w:snapToGrid w:val="0"/>
              <w:spacing w:before="120" w:beforeLines="50"/>
              <w:jc w:val="both"/>
              <w:rPr>
                <w:lang w:eastAsia="zh-CN"/>
              </w:rPr>
            </w:pPr>
            <w:r>
              <w:rPr>
                <w:lang w:eastAsia="zh-CN"/>
              </w:rPr>
              <w:sym w:font="Wingdings 2" w:char="F054"/>
            </w:r>
            <w:r>
              <w:rPr>
                <w:lang w:eastAsia="zh-CN"/>
              </w:rPr>
              <w:t>中</w:t>
            </w:r>
            <w:r>
              <w:rPr>
                <w:lang w:eastAsia="zh-CN"/>
              </w:rPr>
              <w:sym w:font="Wingdings" w:char="F0E8"/>
            </w:r>
            <w:r>
              <w:rPr>
                <w:lang w:eastAsia="zh-CN"/>
              </w:rPr>
              <w:t>继续问题3</w:t>
            </w:r>
          </w:p>
          <w:p w14:paraId="6AE19EE5">
            <w:pPr>
              <w:tabs>
                <w:tab w:val="left" w:pos="226"/>
              </w:tabs>
              <w:snapToGrid w:val="0"/>
              <w:spacing w:before="120" w:beforeLines="50"/>
              <w:jc w:val="both"/>
            </w:pPr>
            <w:r>
              <w:rPr>
                <w:lang w:eastAsia="zh-CN"/>
              </w:rPr>
              <w:t>□ 高</w:t>
            </w:r>
            <w:r>
              <w:rPr>
                <w:lang w:eastAsia="zh-CN"/>
              </w:rPr>
              <w:sym w:font="Wingdings" w:char="F0E8"/>
            </w:r>
            <w:r>
              <w:rPr>
                <w:lang w:eastAsia="zh-CN"/>
              </w:rPr>
              <w:t>继续问题3</w:t>
            </w:r>
          </w:p>
        </w:tc>
      </w:tr>
    </w:tbl>
    <w:p w14:paraId="6AE19EE7">
      <w:pPr>
        <w:snapToGrid w:val="0"/>
        <w:spacing w:before="120" w:beforeLines="50"/>
        <w:jc w:val="both"/>
      </w:pPr>
    </w:p>
    <w:tbl>
      <w:tblPr>
        <w:tblStyle w:val="8"/>
        <w:tblW w:w="5000" w:type="pct"/>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9EE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3" w:hRule="atLeast"/>
        </w:trPr>
        <w:tc>
          <w:tcPr>
            <w:tcW w:w="5000" w:type="pct"/>
            <w:shd w:val="clear" w:color="auto" w:fill="FFFFFF"/>
            <w:vAlign w:val="center"/>
          </w:tcPr>
          <w:p w14:paraId="6AE19EE8">
            <w:pPr>
              <w:snapToGrid w:val="0"/>
              <w:spacing w:before="120" w:beforeLines="50"/>
              <w:jc w:val="both"/>
              <w:rPr>
                <w:b/>
                <w:bCs/>
                <w:u w:val="single"/>
                <w:lang w:eastAsia="zh-CN"/>
              </w:rPr>
            </w:pPr>
            <w:r>
              <w:rPr>
                <w:b/>
                <w:bCs/>
                <w:u w:val="single"/>
                <w:lang w:eastAsia="zh-CN"/>
              </w:rPr>
              <w:t xml:space="preserve">获益评估总结 </w:t>
            </w:r>
          </w:p>
          <w:p w14:paraId="6AE19EE9">
            <w:pPr>
              <w:snapToGrid w:val="0"/>
              <w:spacing w:before="120" w:beforeLines="50"/>
              <w:jc w:val="both"/>
              <w:rPr>
                <w:lang w:eastAsia="zh-CN"/>
              </w:rPr>
            </w:pPr>
            <w:r>
              <w:rPr>
                <w:b/>
                <w:bCs/>
                <w:lang w:eastAsia="zh-CN"/>
              </w:rPr>
              <w:t>对于拟定适应症：</w:t>
            </w:r>
          </w:p>
          <w:p w14:paraId="6AE19EEA">
            <w:pPr>
              <w:snapToGrid w:val="0"/>
              <w:spacing w:before="120" w:beforeLines="50"/>
              <w:jc w:val="both"/>
              <w:rPr>
                <w:lang w:eastAsia="zh-CN"/>
              </w:rPr>
            </w:pPr>
            <w:r>
              <w:rPr>
                <w:lang w:eastAsia="zh-CN"/>
              </w:rPr>
              <w:t>患者非常看重获益，包括保留记忆和改善生活质量。对早期疾病患者的获益较大，对晚期患者的获益较小。</w:t>
            </w:r>
          </w:p>
        </w:tc>
      </w:tr>
    </w:tbl>
    <w:p w14:paraId="6AE19EEC">
      <w:pPr>
        <w:snapToGrid w:val="0"/>
        <w:spacing w:before="120" w:beforeLines="50"/>
        <w:jc w:val="both"/>
        <w:rPr>
          <w:lang w:eastAsia="zh-CN"/>
        </w:rPr>
      </w:pPr>
      <w:r>
        <w:rPr>
          <w:lang w:eastAsia="zh-CN"/>
        </w:rPr>
        <w:br w:type="page"/>
      </w:r>
    </w:p>
    <w:tbl>
      <w:tblPr>
        <w:tblStyle w:val="8"/>
        <w:tblW w:w="5000" w:type="pct"/>
        <w:tblInd w:w="0"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9EE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3" w:hRule="atLeast"/>
        </w:trPr>
        <w:tc>
          <w:tcPr>
            <w:tcW w:w="5000" w:type="pct"/>
            <w:shd w:val="clear" w:color="auto" w:fill="FFFFFF"/>
            <w:vAlign w:val="center"/>
          </w:tcPr>
          <w:p w14:paraId="6AE19EED">
            <w:pPr>
              <w:snapToGrid w:val="0"/>
              <w:spacing w:before="120" w:beforeLines="50"/>
              <w:jc w:val="both"/>
            </w:pPr>
            <w:r>
              <w:rPr>
                <w:lang w:eastAsia="zh-CN"/>
              </w:rPr>
              <w:t>试验设计为研究两个亚组：早期疾病受试者和晚期受试者。可以推断，早期患者的获益较高，晚期患者的获益更低。尽管</w:t>
            </w:r>
            <w:r>
              <w:rPr>
                <w:rFonts w:hint="eastAsia"/>
                <w:lang w:eastAsia="zh-CN"/>
              </w:rPr>
              <w:t>适合</w:t>
            </w:r>
            <w:r>
              <w:rPr>
                <w:lang w:eastAsia="zh-CN"/>
              </w:rPr>
              <w:t>和愿意入组试验的受试者人数较少，但是数据可靠，试验的设计和实施都较好。试验结果具有推广价值。</w:t>
            </w:r>
          </w:p>
        </w:tc>
      </w:tr>
    </w:tbl>
    <w:p w14:paraId="6AE19EEF">
      <w:pPr>
        <w:snapToGrid w:val="0"/>
        <w:spacing w:before="120" w:beforeLines="50"/>
        <w:jc w:val="both"/>
        <w:rPr>
          <w:sz w:val="28"/>
          <w:szCs w:val="28"/>
        </w:rPr>
      </w:pPr>
      <w:bookmarkStart w:id="117" w:name="bookmark94"/>
      <w:r>
        <w:rPr>
          <w:b/>
          <w:bCs/>
          <w:sz w:val="28"/>
          <w:szCs w:val="28"/>
          <w:lang w:eastAsia="zh-CN"/>
        </w:rPr>
        <w:t>风险评估</w:t>
      </w:r>
      <w:bookmarkEnd w:id="117"/>
    </w:p>
    <w:p w14:paraId="6AE19EF0">
      <w:pPr>
        <w:pStyle w:val="22"/>
        <w:spacing w:before="120"/>
      </w:pPr>
      <w:bookmarkStart w:id="118" w:name="bookmark95"/>
      <w:r>
        <w:t>3.</w:t>
      </w:r>
      <w:r>
        <w:tab/>
      </w:r>
      <w:r>
        <w:t>已知/可能的风险是否超过最小值？</w:t>
      </w:r>
      <w:bookmarkEnd w:id="118"/>
    </w:p>
    <w:p w14:paraId="6AE19EF1">
      <w:pPr>
        <w:pStyle w:val="21"/>
        <w:spacing w:before="120"/>
        <w:rPr>
          <w:i/>
          <w:iCs/>
          <w:sz w:val="24"/>
          <w:szCs w:val="24"/>
          <w:lang w:eastAsia="zh-CN"/>
        </w:rPr>
      </w:pPr>
      <w:r>
        <w:rPr>
          <w:i/>
          <w:iCs/>
          <w:sz w:val="24"/>
          <w:szCs w:val="24"/>
          <w:lang w:eastAsia="zh-CN"/>
        </w:rPr>
        <w:t>选择以下任何要素证明比最低更高的已知/可能的风险的来源，然后回答以下方框中的问题。</w:t>
      </w:r>
    </w:p>
    <w:p w14:paraId="6AE19EF2">
      <w:pPr>
        <w:pStyle w:val="24"/>
        <w:spacing w:before="120"/>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与器械本身相关的不良事件（AE）或结局</w:t>
      </w:r>
    </w:p>
    <w:p w14:paraId="6AE19EF3">
      <w:pPr>
        <w:pStyle w:val="24"/>
        <w:spacing w:before="120"/>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与使用器械或使用器械的手术相关的AE或结局</w:t>
      </w:r>
    </w:p>
    <w:p w14:paraId="6AE19EF4">
      <w:pPr>
        <w:pStyle w:val="24"/>
        <w:spacing w:before="120"/>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与为使用器械而进行麻醉或镇静相关的AE或结局</w:t>
      </w:r>
    </w:p>
    <w:p w14:paraId="6AE19EF5">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后续所需的试验/治疗引起的AE或结局（例如CT扫描引起的辐射）</w:t>
      </w:r>
    </w:p>
    <w:p w14:paraId="6AE19EF6">
      <w:pPr>
        <w:pStyle w:val="24"/>
        <w:spacing w:before="120"/>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研究/数据中缺乏的、但可能基于</w:t>
      </w:r>
      <w:r>
        <w:rPr>
          <w:rFonts w:ascii="宋体" w:hAnsi="宋体"/>
          <w:sz w:val="24"/>
          <w:szCs w:val="24"/>
          <w:lang w:eastAsia="zh-CN"/>
        </w:rPr>
        <w:t>“</w:t>
      </w:r>
      <w:r>
        <w:rPr>
          <w:sz w:val="24"/>
          <w:szCs w:val="24"/>
          <w:lang w:eastAsia="zh-CN"/>
        </w:rPr>
        <w:t>类效应</w:t>
      </w:r>
      <w:r>
        <w:rPr>
          <w:rFonts w:ascii="宋体" w:hAnsi="宋体"/>
          <w:sz w:val="24"/>
          <w:szCs w:val="24"/>
          <w:lang w:eastAsia="zh-CN"/>
        </w:rPr>
        <w:t>”</w:t>
      </w:r>
      <w:r>
        <w:rPr>
          <w:sz w:val="24"/>
          <w:szCs w:val="24"/>
          <w:lang w:eastAsia="zh-CN"/>
        </w:rPr>
        <w:t>或类似技术已知会发生的事件的AE或结局</w:t>
      </w:r>
    </w:p>
    <w:p w14:paraId="6AE19EF7">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假阳性/假阴性/未提供诊断结果</w:t>
      </w:r>
    </w:p>
    <w:p w14:paraId="6AE19EF8">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预期用作独立方式而非辅助手段的治疗或诊断</w:t>
      </w:r>
    </w:p>
    <w:p w14:paraId="6AE19EF9">
      <w:pPr>
        <w:pStyle w:val="24"/>
        <w:spacing w:before="120"/>
        <w:ind w:left="1332" w:hanging="482"/>
        <w:rPr>
          <w:sz w:val="24"/>
          <w:szCs w:val="24"/>
        </w:rPr>
      </w:pPr>
      <w:r>
        <w:rPr>
          <w:sz w:val="24"/>
          <w:szCs w:val="24"/>
          <w:lang w:eastAsia="zh-CN"/>
        </w:rPr>
        <w:t>□</w:t>
      </w:r>
      <w:r>
        <w:rPr>
          <w:sz w:val="24"/>
          <w:szCs w:val="24"/>
          <w:lang w:eastAsia="zh-CN"/>
        </w:rPr>
        <w:tab/>
      </w:r>
      <w:r>
        <w:rPr>
          <w:sz w:val="24"/>
          <w:szCs w:val="24"/>
          <w:lang w:eastAsia="zh-CN"/>
        </w:rPr>
        <w:t>其他：</w:t>
      </w:r>
    </w:p>
    <w:p w14:paraId="6AE19EFA">
      <w:pPr>
        <w:pStyle w:val="24"/>
        <w:spacing w:before="120"/>
        <w:ind w:left="1332" w:hanging="482"/>
        <w:rPr>
          <w:sz w:val="24"/>
          <w:szCs w:val="24"/>
        </w:rPr>
      </w:pPr>
      <w:r>
        <w:rPr>
          <w:sz w:val="24"/>
          <w:szCs w:val="24"/>
          <w:lang w:eastAsia="zh-CN"/>
        </w:rPr>
        <w:t>□</w:t>
      </w:r>
      <w:r>
        <w:rPr>
          <w:sz w:val="24"/>
          <w:szCs w:val="24"/>
          <w:lang w:eastAsia="zh-CN"/>
        </w:rPr>
        <w:tab/>
      </w:r>
      <w:r>
        <w:rPr>
          <w:sz w:val="24"/>
          <w:szCs w:val="24"/>
          <w:lang w:eastAsia="zh-CN"/>
        </w:rPr>
        <w:t>无</w:t>
      </w:r>
    </w:p>
    <w:p w14:paraId="6AE19EFB">
      <w:pPr>
        <w:pStyle w:val="24"/>
        <w:spacing w:before="120"/>
      </w:pPr>
    </w:p>
    <w:tbl>
      <w:tblPr>
        <w:tblStyle w:val="8"/>
        <w:tblW w:w="0" w:type="auto"/>
        <w:tblInd w:w="9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5103"/>
      </w:tblGrid>
      <w:tr w14:paraId="6AE19EFF">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085" w:hRule="atLeast"/>
        </w:trPr>
        <w:tc>
          <w:tcPr>
            <w:tcW w:w="5103" w:type="dxa"/>
            <w:shd w:val="clear" w:color="auto" w:fill="FFFFFF"/>
          </w:tcPr>
          <w:p w14:paraId="6AE19EFC">
            <w:pPr>
              <w:snapToGrid w:val="0"/>
              <w:spacing w:before="120" w:beforeLines="50"/>
              <w:jc w:val="both"/>
              <w:rPr>
                <w:lang w:eastAsia="zh-CN"/>
              </w:rPr>
            </w:pPr>
            <w:r>
              <w:rPr>
                <w:b/>
                <w:bCs/>
                <w:lang w:eastAsia="zh-CN"/>
              </w:rPr>
              <w:t>Q3：已知/可能风险是否超过最小值？</w:t>
            </w:r>
          </w:p>
          <w:p w14:paraId="6AE19EFD">
            <w:pPr>
              <w:snapToGrid w:val="0"/>
              <w:spacing w:before="120" w:beforeLines="50"/>
              <w:jc w:val="both"/>
              <w:rPr>
                <w:lang w:eastAsia="zh-CN"/>
              </w:rPr>
            </w:pPr>
            <w:r>
              <w:rPr>
                <w:lang w:eastAsia="zh-CN"/>
              </w:rPr>
              <w:sym w:font="Wingdings 2" w:char="F054"/>
            </w:r>
            <w:r>
              <w:rPr>
                <w:lang w:eastAsia="zh-CN"/>
              </w:rPr>
              <w:t>是</w:t>
            </w:r>
            <w:r>
              <w:rPr>
                <w:lang w:eastAsia="zh-CN"/>
              </w:rPr>
              <w:sym w:font="Wingdings" w:char="F0E8"/>
            </w:r>
            <w:r>
              <w:rPr>
                <w:lang w:eastAsia="zh-CN"/>
              </w:rPr>
              <w:t>继续问题4</w:t>
            </w:r>
          </w:p>
          <w:p w14:paraId="6AE19EFE">
            <w:pPr>
              <w:snapToGrid w:val="0"/>
              <w:spacing w:before="120" w:beforeLines="50"/>
              <w:jc w:val="both"/>
              <w:rPr>
                <w:lang w:eastAsia="zh-CN"/>
              </w:rPr>
            </w:pPr>
            <w:r>
              <w:rPr>
                <w:lang w:eastAsia="zh-CN"/>
              </w:rPr>
              <w:t>□ 否</w:t>
            </w:r>
            <w:r>
              <w:rPr>
                <w:lang w:eastAsia="zh-CN"/>
              </w:rPr>
              <w:sym w:font="Wingdings" w:char="F0E8"/>
            </w:r>
            <w:r>
              <w:rPr>
                <w:lang w:eastAsia="zh-CN"/>
              </w:rPr>
              <w:t>继续问题4</w:t>
            </w:r>
          </w:p>
        </w:tc>
      </w:tr>
    </w:tbl>
    <w:p w14:paraId="6AE19F00">
      <w:pPr>
        <w:pStyle w:val="22"/>
        <w:spacing w:before="120"/>
      </w:pPr>
      <w:bookmarkStart w:id="119" w:name="bookmark96"/>
      <w:r>
        <w:t>4.</w:t>
      </w:r>
      <w:r>
        <w:tab/>
      </w:r>
      <w:r>
        <w:t>风险的不确定性如何？</w:t>
      </w:r>
      <w:bookmarkEnd w:id="119"/>
    </w:p>
    <w:p w14:paraId="6AE19F01">
      <w:pPr>
        <w:pStyle w:val="21"/>
        <w:spacing w:before="120"/>
        <w:rPr>
          <w:i/>
          <w:iCs/>
          <w:sz w:val="24"/>
          <w:szCs w:val="24"/>
          <w:lang w:eastAsia="zh-CN"/>
        </w:rPr>
      </w:pPr>
      <w:r>
        <w:rPr>
          <w:sz w:val="24"/>
          <w:szCs w:val="24"/>
          <w:lang w:eastAsia="zh-CN"/>
        </w:rPr>
        <w:t>认识到始终存在一定程度的不确定性，在有关不良事件/结果或风险的数据中选择不确定性的来源（如适用）。</w:t>
      </w:r>
      <w:r>
        <w:rPr>
          <w:i/>
          <w:iCs/>
          <w:sz w:val="24"/>
          <w:szCs w:val="24"/>
          <w:lang w:eastAsia="zh-CN"/>
        </w:rPr>
        <w:t>选择以下其中任何一项证明风险不确定性来源的项目，然后回答以下方框中的问题。</w:t>
      </w:r>
    </w:p>
    <w:p w14:paraId="6AE19F02">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患者人数不足以检测严重事件或假阳性/假阴性</w:t>
      </w:r>
    </w:p>
    <w:p w14:paraId="6AE19F03">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随访时间不足以检测延迟/晚期事件</w:t>
      </w:r>
    </w:p>
    <w:p w14:paraId="6AE19F04">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缺乏重复暴露于器械/使用器械的数据</w:t>
      </w:r>
    </w:p>
    <w:p w14:paraId="6AE19F05">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研究间的结果不一致或存在冲突</w:t>
      </w:r>
    </w:p>
    <w:p w14:paraId="6AE19F06">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在研究方案中未进行适当的评价以充分检测某些AE</w:t>
      </w:r>
    </w:p>
    <w:p w14:paraId="6AE19F07">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不良事件定义和文件记录不良或不一致</w:t>
      </w:r>
    </w:p>
    <w:p w14:paraId="6AE19F08">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事件很可能被其他合并症或治疗方式混淆或者是其他合并症或治疗方式引起的</w:t>
      </w:r>
    </w:p>
    <w:p w14:paraId="6AE19F09">
      <w:pPr>
        <w:tabs>
          <w:tab w:val="left" w:pos="1334"/>
        </w:tabs>
        <w:snapToGrid w:val="0"/>
        <w:spacing w:before="120" w:beforeLines="50"/>
        <w:jc w:val="both"/>
        <w:rPr>
          <w:lang w:eastAsia="zh-CN"/>
        </w:rPr>
      </w:pPr>
      <w:r>
        <w:rPr>
          <w:lang w:eastAsia="zh-CN"/>
        </w:rPr>
        <w:br w:type="page"/>
      </w:r>
    </w:p>
    <w:p w14:paraId="6AE19F0A">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关键评估时间点的受试者失访率较高</w:t>
      </w:r>
    </w:p>
    <w:p w14:paraId="6AE19F0B">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关键评估时间点+/-计算存在大量缺失数据</w:t>
      </w:r>
    </w:p>
    <w:p w14:paraId="6AE19F0C">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发生大量的重大方案偏离</w:t>
      </w:r>
    </w:p>
    <w:p w14:paraId="6AE19F0D">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用户经验不一致或用户经验不代表可能的真实世界用户</w:t>
      </w:r>
    </w:p>
    <w:p w14:paraId="6AE19F0E">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有关性能特征的问题（例如敏感性/PPA、特异性/NPA）</w:t>
      </w:r>
    </w:p>
    <w:p w14:paraId="6AE19F0F">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使用存在缺陷的比较法计算性能特征</w:t>
      </w:r>
    </w:p>
    <w:p w14:paraId="6AE19F10">
      <w:pPr>
        <w:pStyle w:val="24"/>
        <w:spacing w:before="120"/>
        <w:ind w:left="1332" w:hanging="482"/>
        <w:rPr>
          <w:sz w:val="24"/>
          <w:szCs w:val="24"/>
        </w:rPr>
      </w:pPr>
      <w:r>
        <w:rPr>
          <w:sz w:val="24"/>
          <w:szCs w:val="24"/>
          <w:lang w:eastAsia="zh-CN"/>
        </w:rPr>
        <w:sym w:font="Wingdings 2" w:char="F054"/>
      </w:r>
      <w:r>
        <w:rPr>
          <w:sz w:val="24"/>
          <w:szCs w:val="24"/>
          <w:lang w:eastAsia="zh-CN"/>
        </w:rPr>
        <w:tab/>
      </w:r>
      <w:r>
        <w:rPr>
          <w:sz w:val="24"/>
          <w:szCs w:val="24"/>
          <w:lang w:eastAsia="zh-CN"/>
        </w:rPr>
        <w:t>其他：小样本量</w:t>
      </w:r>
    </w:p>
    <w:p w14:paraId="6AE19F11">
      <w:pPr>
        <w:pStyle w:val="24"/>
        <w:spacing w:before="120"/>
        <w:ind w:left="1332" w:hanging="482"/>
        <w:rPr>
          <w:sz w:val="24"/>
          <w:szCs w:val="24"/>
        </w:rPr>
      </w:pPr>
      <w:r>
        <w:rPr>
          <w:sz w:val="24"/>
          <w:szCs w:val="24"/>
          <w:lang w:eastAsia="zh-CN"/>
        </w:rPr>
        <w:t>□</w:t>
      </w:r>
      <w:r>
        <w:rPr>
          <w:sz w:val="24"/>
          <w:szCs w:val="24"/>
          <w:lang w:eastAsia="zh-CN"/>
        </w:rPr>
        <w:tab/>
      </w:r>
      <w:r>
        <w:rPr>
          <w:sz w:val="24"/>
          <w:szCs w:val="24"/>
          <w:lang w:eastAsia="zh-CN"/>
        </w:rPr>
        <w:t>无</w:t>
      </w:r>
    </w:p>
    <w:p w14:paraId="6AE19F12">
      <w:pPr>
        <w:pStyle w:val="24"/>
        <w:spacing w:before="120"/>
      </w:pPr>
    </w:p>
    <w:tbl>
      <w:tblPr>
        <w:tblStyle w:val="8"/>
        <w:tblW w:w="0" w:type="auto"/>
        <w:tblInd w:w="9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5245"/>
      </w:tblGrid>
      <w:tr w14:paraId="6AE19F17">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382" w:hRule="atLeast"/>
        </w:trPr>
        <w:tc>
          <w:tcPr>
            <w:tcW w:w="5245" w:type="dxa"/>
            <w:shd w:val="clear" w:color="auto" w:fill="FFFFFF"/>
            <w:vAlign w:val="center"/>
          </w:tcPr>
          <w:p w14:paraId="6AE19F13">
            <w:pPr>
              <w:snapToGrid w:val="0"/>
              <w:spacing w:before="120" w:beforeLines="50"/>
              <w:jc w:val="both"/>
              <w:rPr>
                <w:lang w:eastAsia="zh-CN"/>
              </w:rPr>
            </w:pPr>
            <w:r>
              <w:rPr>
                <w:b/>
                <w:bCs/>
                <w:lang w:eastAsia="zh-CN"/>
              </w:rPr>
              <w:t>Q4</w:t>
            </w:r>
            <w:r>
              <w:rPr>
                <w:rFonts w:hint="eastAsia"/>
                <w:b/>
                <w:bCs/>
                <w:lang w:eastAsia="zh-CN"/>
              </w:rPr>
              <w:t>：</w:t>
            </w:r>
            <w:r>
              <w:rPr>
                <w:b/>
                <w:bCs/>
                <w:lang w:eastAsia="zh-CN"/>
              </w:rPr>
              <w:t>风险的不确定性如何？</w:t>
            </w:r>
          </w:p>
          <w:p w14:paraId="6AE19F14">
            <w:pPr>
              <w:tabs>
                <w:tab w:val="left" w:pos="230"/>
              </w:tabs>
              <w:snapToGrid w:val="0"/>
              <w:spacing w:before="120" w:beforeLines="50"/>
              <w:jc w:val="both"/>
              <w:rPr>
                <w:lang w:eastAsia="zh-CN"/>
              </w:rPr>
            </w:pPr>
            <w:r>
              <w:rPr>
                <w:lang w:eastAsia="zh-CN"/>
              </w:rPr>
              <w:t>□ 低</w:t>
            </w:r>
            <w:r>
              <w:rPr>
                <w:lang w:eastAsia="zh-CN"/>
              </w:rPr>
              <w:sym w:font="Wingdings" w:char="F0E8"/>
            </w:r>
            <w:r>
              <w:rPr>
                <w:lang w:eastAsia="zh-CN"/>
              </w:rPr>
              <w:t>继续问题5</w:t>
            </w:r>
          </w:p>
          <w:p w14:paraId="6AE19F15">
            <w:pPr>
              <w:snapToGrid w:val="0"/>
              <w:spacing w:before="120" w:beforeLines="50"/>
              <w:jc w:val="both"/>
              <w:rPr>
                <w:lang w:eastAsia="zh-CN"/>
              </w:rPr>
            </w:pPr>
            <w:r>
              <w:rPr>
                <w:lang w:eastAsia="zh-CN"/>
              </w:rPr>
              <w:sym w:font="Wingdings 2" w:char="F054"/>
            </w:r>
            <w:r>
              <w:rPr>
                <w:lang w:eastAsia="zh-CN"/>
              </w:rPr>
              <w:t>中</w:t>
            </w:r>
            <w:r>
              <w:rPr>
                <w:lang w:eastAsia="zh-CN"/>
              </w:rPr>
              <w:sym w:font="Wingdings" w:char="F0E8"/>
            </w:r>
            <w:r>
              <w:rPr>
                <w:lang w:eastAsia="zh-CN"/>
              </w:rPr>
              <w:t>继续问题5</w:t>
            </w:r>
          </w:p>
          <w:p w14:paraId="6AE19F16">
            <w:pPr>
              <w:tabs>
                <w:tab w:val="left" w:pos="226"/>
              </w:tabs>
              <w:snapToGrid w:val="0"/>
              <w:spacing w:before="120" w:beforeLines="50"/>
              <w:jc w:val="both"/>
            </w:pPr>
            <w:r>
              <w:rPr>
                <w:lang w:eastAsia="zh-CN"/>
              </w:rPr>
              <w:t>□ 高</w:t>
            </w:r>
            <w:r>
              <w:rPr>
                <w:lang w:eastAsia="zh-CN"/>
              </w:rPr>
              <w:sym w:font="Wingdings" w:char="F0E8"/>
            </w:r>
            <w:r>
              <w:rPr>
                <w:lang w:eastAsia="zh-CN"/>
              </w:rPr>
              <w:t>继续问题5</w:t>
            </w:r>
          </w:p>
        </w:tc>
      </w:tr>
    </w:tbl>
    <w:p w14:paraId="6AE19F18">
      <w:pPr>
        <w:snapToGrid w:val="0"/>
        <w:spacing w:before="120" w:beforeLines="50"/>
        <w:jc w:val="both"/>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68" w:hRule="atLeast"/>
        </w:trPr>
        <w:tc>
          <w:tcPr>
            <w:tcW w:w="5000" w:type="pct"/>
            <w:shd w:val="clear" w:color="auto" w:fill="FFFFFF"/>
            <w:vAlign w:val="center"/>
          </w:tcPr>
          <w:p w14:paraId="6AE19F19">
            <w:pPr>
              <w:snapToGrid w:val="0"/>
              <w:spacing w:before="120" w:beforeLines="50"/>
              <w:jc w:val="both"/>
              <w:rPr>
                <w:u w:val="single"/>
                <w:lang w:eastAsia="zh-CN"/>
              </w:rPr>
            </w:pPr>
            <w:r>
              <w:rPr>
                <w:b/>
                <w:bCs/>
                <w:u w:val="single"/>
                <w:lang w:eastAsia="zh-CN"/>
              </w:rPr>
              <w:t>风险评估总结</w:t>
            </w:r>
          </w:p>
          <w:p w14:paraId="6AE19F1A">
            <w:pPr>
              <w:snapToGrid w:val="0"/>
              <w:spacing w:before="120" w:beforeLines="50"/>
              <w:jc w:val="both"/>
              <w:rPr>
                <w:lang w:eastAsia="zh-CN"/>
              </w:rPr>
            </w:pPr>
            <w:r>
              <w:rPr>
                <w:b/>
                <w:bCs/>
                <w:lang w:eastAsia="zh-CN"/>
              </w:rPr>
              <w:t>如果问题3回答</w:t>
            </w:r>
            <w:r>
              <w:rPr>
                <w:rFonts w:ascii="宋体" w:hAnsi="宋体"/>
                <w:b/>
                <w:bCs/>
                <w:lang w:eastAsia="zh-CN"/>
              </w:rPr>
              <w:t>“</w:t>
            </w:r>
            <w:r>
              <w:rPr>
                <w:b/>
                <w:bCs/>
                <w:lang w:eastAsia="zh-CN"/>
              </w:rPr>
              <w:t>否</w:t>
            </w:r>
            <w:r>
              <w:rPr>
                <w:rFonts w:ascii="宋体" w:hAnsi="宋体"/>
                <w:b/>
                <w:bCs/>
                <w:lang w:eastAsia="zh-CN"/>
              </w:rPr>
              <w:t>”</w:t>
            </w:r>
            <w:r>
              <w:rPr>
                <w:b/>
                <w:bCs/>
                <w:lang w:eastAsia="zh-CN"/>
              </w:rPr>
              <w:t>，但问题4回答</w:t>
            </w:r>
            <w:r>
              <w:rPr>
                <w:rFonts w:ascii="宋体" w:hAnsi="宋体"/>
                <w:b/>
                <w:bCs/>
                <w:lang w:eastAsia="zh-CN"/>
              </w:rPr>
              <w:t>“</w:t>
            </w:r>
            <w:r>
              <w:rPr>
                <w:b/>
                <w:bCs/>
                <w:lang w:eastAsia="zh-CN"/>
              </w:rPr>
              <w:t>高</w:t>
            </w:r>
            <w:r>
              <w:rPr>
                <w:rFonts w:ascii="宋体" w:hAnsi="宋体"/>
                <w:b/>
                <w:bCs/>
                <w:lang w:eastAsia="zh-CN"/>
              </w:rPr>
              <w:t>”</w:t>
            </w:r>
            <w:r>
              <w:rPr>
                <w:b/>
                <w:bCs/>
                <w:lang w:eastAsia="zh-CN"/>
              </w:rPr>
              <w:t>，请在此处解释。</w:t>
            </w:r>
          </w:p>
          <w:p w14:paraId="6AE19F1B">
            <w:pPr>
              <w:snapToGrid w:val="0"/>
              <w:spacing w:before="120" w:beforeLines="50"/>
              <w:jc w:val="both"/>
              <w:rPr>
                <w:lang w:eastAsia="zh-CN"/>
              </w:rPr>
            </w:pPr>
            <w:r>
              <w:rPr>
                <w:b/>
                <w:bCs/>
                <w:lang w:eastAsia="zh-CN"/>
              </w:rPr>
              <w:t>对于拟定适应症：</w:t>
            </w:r>
          </w:p>
          <w:p w14:paraId="6AE19F1C">
            <w:pPr>
              <w:snapToGrid w:val="0"/>
              <w:spacing w:before="120" w:beforeLines="50"/>
              <w:jc w:val="both"/>
              <w:rPr>
                <w:lang w:eastAsia="zh-CN"/>
              </w:rPr>
            </w:pPr>
            <w:r>
              <w:rPr>
                <w:lang w:eastAsia="zh-CN"/>
              </w:rPr>
              <w:t>该器械的风险较高。植入器械的手术存在较高风险。严重不良事件包括部分麻痹、失明、运动技能丧失、眩晕和失眠。非严重不良事件包括短暂性格转变、情绪波动和言语不清。根据既往的研究和文献，单纯外科手术发生严重不良事件的风险为8%。手术死亡风险为8%，发生严重不良事件的几率为1%，发生非严重不良事件的几率为5%。在一起考虑时，这些风险较高。由于暴露于器械的时间更长，早期患者的风险更高。</w:t>
            </w:r>
          </w:p>
        </w:tc>
      </w:tr>
    </w:tbl>
    <w:p w14:paraId="6AE19F1E">
      <w:pPr>
        <w:snapToGrid w:val="0"/>
        <w:spacing w:before="120" w:beforeLines="50"/>
        <w:jc w:val="both"/>
        <w:rPr>
          <w:lang w:eastAsia="zh-CN"/>
        </w:rPr>
      </w:pPr>
      <w:r>
        <w:rPr>
          <w:lang w:eastAsia="zh-CN"/>
        </w:rPr>
        <w:br w:type="page"/>
      </w:r>
    </w:p>
    <w:p w14:paraId="6AE19F1F">
      <w:pPr>
        <w:snapToGrid w:val="0"/>
        <w:spacing w:before="120" w:beforeLines="50"/>
        <w:jc w:val="both"/>
        <w:rPr>
          <w:sz w:val="28"/>
          <w:szCs w:val="28"/>
          <w:lang w:eastAsia="zh-CN"/>
        </w:rPr>
      </w:pPr>
      <w:bookmarkStart w:id="120" w:name="bookmark97"/>
      <w:r>
        <w:rPr>
          <w:b/>
          <w:bCs/>
          <w:sz w:val="28"/>
          <w:szCs w:val="28"/>
          <w:lang w:eastAsia="zh-CN"/>
        </w:rPr>
        <w:t>获益-风险评估</w:t>
      </w:r>
      <w:bookmarkEnd w:id="120"/>
    </w:p>
    <w:p w14:paraId="6AE19F20">
      <w:pPr>
        <w:snapToGrid w:val="0"/>
        <w:spacing w:before="120" w:beforeLines="50"/>
        <w:jc w:val="both"/>
        <w:rPr>
          <w:sz w:val="24"/>
          <w:szCs w:val="24"/>
          <w:lang w:eastAsia="zh-CN"/>
        </w:rPr>
      </w:pPr>
      <w:r>
        <w:rPr>
          <w:i/>
          <w:iCs/>
          <w:sz w:val="24"/>
          <w:szCs w:val="24"/>
          <w:lang w:eastAsia="zh-CN"/>
        </w:rPr>
        <w:t>对FDA工作人员的说明：</w:t>
      </w:r>
      <w:r>
        <w:rPr>
          <w:sz w:val="24"/>
          <w:szCs w:val="24"/>
          <w:lang w:eastAsia="zh-CN"/>
        </w:rPr>
        <w:t>根据所有证据提出建议。如上文所示，在决定是否批准PMA申请或授予新分类申请期间进行获益-风险评估，但是未评估所有适用的要求。</w:t>
      </w:r>
    </w:p>
    <w:p w14:paraId="6AE19F21">
      <w:pPr>
        <w:snapToGrid w:val="0"/>
        <w:spacing w:before="120" w:beforeLines="50"/>
        <w:jc w:val="both"/>
        <w:rPr>
          <w:sz w:val="24"/>
          <w:szCs w:val="24"/>
          <w:lang w:eastAsia="zh-CN"/>
        </w:rPr>
      </w:pPr>
      <w:r>
        <w:rPr>
          <w:sz w:val="24"/>
          <w:szCs w:val="24"/>
          <w:lang w:eastAsia="zh-CN"/>
        </w:rPr>
        <w:t>为了批准PMA申请或授予新分类申请，FDA必须在其他方面确定能够合理保证器械的安全性和有效性。FDA通过在其他相关因素中权衡使用器械的任何可能的健康获益与任何可能的损伤或疾病风险确定是否能够合理保证安全性和有效性。为授予新分类申请，FDA必须找到能够合理保证器械的安全性和有效性的一般控制措施或一般和特殊控制措施。</w:t>
      </w:r>
    </w:p>
    <w:p w14:paraId="6AE19F22">
      <w:pPr>
        <w:snapToGrid w:val="0"/>
        <w:spacing w:before="120" w:beforeLines="50"/>
        <w:jc w:val="both"/>
        <w:rPr>
          <w:sz w:val="24"/>
          <w:szCs w:val="24"/>
          <w:lang w:eastAsia="zh-CN"/>
        </w:rPr>
      </w:pPr>
      <w:r>
        <w:rPr>
          <w:sz w:val="24"/>
          <w:szCs w:val="24"/>
          <w:lang w:eastAsia="zh-CN"/>
        </w:rPr>
        <w:t>如果对Q5-8中的任何问题回答</w:t>
      </w:r>
      <w:r>
        <w:rPr>
          <w:rFonts w:ascii="宋体" w:hAnsi="宋体"/>
          <w:sz w:val="24"/>
          <w:szCs w:val="24"/>
          <w:lang w:eastAsia="zh-CN"/>
        </w:rPr>
        <w:t>“</w:t>
      </w:r>
      <w:r>
        <w:rPr>
          <w:sz w:val="24"/>
          <w:szCs w:val="24"/>
          <w:lang w:eastAsia="zh-CN"/>
        </w:rPr>
        <w:t>是</w:t>
      </w:r>
      <w:r>
        <w:rPr>
          <w:rFonts w:ascii="宋体" w:hAnsi="宋体"/>
          <w:sz w:val="24"/>
          <w:szCs w:val="24"/>
          <w:lang w:eastAsia="zh-CN"/>
        </w:rPr>
        <w:t>”</w:t>
      </w:r>
      <w:r>
        <w:rPr>
          <w:sz w:val="24"/>
          <w:szCs w:val="24"/>
          <w:lang w:eastAsia="zh-CN"/>
        </w:rPr>
        <w:t>，请解释获益如何超过风险的依据。您应该考虑并推荐能够增强器械的获益-风险状况的措施（例如修改拟定标签，可以包含其他适当的警告和预防措施、使用说明书或数据表示），以帮助确保产品</w:t>
      </w:r>
      <w:r>
        <w:rPr>
          <w:rFonts w:hint="eastAsia"/>
          <w:sz w:val="24"/>
          <w:szCs w:val="24"/>
          <w:lang w:eastAsia="zh-CN"/>
        </w:rPr>
        <w:t>说明书</w:t>
      </w:r>
      <w:r>
        <w:rPr>
          <w:sz w:val="24"/>
          <w:szCs w:val="24"/>
          <w:lang w:eastAsia="zh-CN"/>
        </w:rPr>
        <w:t>明确表明获益和风险。</w:t>
      </w:r>
    </w:p>
    <w:p w14:paraId="6AE19F23">
      <w:pPr>
        <w:snapToGrid w:val="0"/>
        <w:spacing w:before="120" w:beforeLines="50"/>
        <w:jc w:val="both"/>
        <w:rPr>
          <w:sz w:val="24"/>
          <w:szCs w:val="24"/>
          <w:lang w:eastAsia="zh-CN"/>
        </w:rPr>
      </w:pPr>
      <w:r>
        <w:rPr>
          <w:sz w:val="24"/>
          <w:szCs w:val="24"/>
          <w:lang w:eastAsia="zh-CN"/>
        </w:rPr>
        <w:t>如果Q5-8回答</w:t>
      </w:r>
      <w:r>
        <w:rPr>
          <w:rFonts w:ascii="宋体" w:hAnsi="宋体"/>
          <w:sz w:val="24"/>
          <w:szCs w:val="24"/>
          <w:lang w:eastAsia="zh-CN"/>
        </w:rPr>
        <w:t>“</w:t>
      </w:r>
      <w:r>
        <w:rPr>
          <w:sz w:val="24"/>
          <w:szCs w:val="24"/>
          <w:lang w:eastAsia="zh-CN"/>
        </w:rPr>
        <w:t>无法得出结论</w:t>
      </w:r>
      <w:r>
        <w:rPr>
          <w:rFonts w:ascii="宋体" w:hAnsi="宋体"/>
          <w:sz w:val="24"/>
          <w:szCs w:val="24"/>
          <w:lang w:eastAsia="zh-CN"/>
        </w:rPr>
        <w:t>”</w:t>
      </w:r>
      <w:r>
        <w:rPr>
          <w:sz w:val="24"/>
          <w:szCs w:val="24"/>
          <w:lang w:eastAsia="zh-CN"/>
        </w:rPr>
        <w:t>，请在总结文本框中提供您认为需要的信息，以支持正在考虑的适应症的获益超过风险的判定，并继续进行Q9。</w:t>
      </w:r>
    </w:p>
    <w:p w14:paraId="6AE19F24">
      <w:pPr>
        <w:snapToGrid w:val="0"/>
        <w:spacing w:before="120" w:beforeLines="50"/>
        <w:jc w:val="both"/>
        <w:rPr>
          <w:lang w:eastAsia="zh-CN"/>
        </w:rPr>
      </w:pPr>
    </w:p>
    <w:tbl>
      <w:tblPr>
        <w:tblStyle w:val="8"/>
        <w:tblW w:w="0" w:type="auto"/>
        <w:tblInd w:w="9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7371"/>
      </w:tblGrid>
      <w:tr w14:paraId="6AE19F28">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858" w:hRule="atLeast"/>
        </w:trPr>
        <w:tc>
          <w:tcPr>
            <w:tcW w:w="7371" w:type="dxa"/>
            <w:shd w:val="clear" w:color="auto" w:fill="FFFFFF"/>
          </w:tcPr>
          <w:p w14:paraId="6AE19F25">
            <w:pPr>
              <w:snapToGrid w:val="0"/>
              <w:spacing w:before="120" w:beforeLines="50"/>
              <w:jc w:val="both"/>
              <w:rPr>
                <w:lang w:eastAsia="zh-CN"/>
              </w:rPr>
            </w:pPr>
            <w:r>
              <w:rPr>
                <w:b/>
                <w:bCs/>
                <w:lang w:eastAsia="zh-CN"/>
              </w:rPr>
              <w:t>Q5:考虑到上文的获益-风险评估和不确定性程度，获益是否超过风险？</w:t>
            </w:r>
          </w:p>
          <w:p w14:paraId="6AE19F26">
            <w:pPr>
              <w:tabs>
                <w:tab w:val="left" w:pos="235"/>
              </w:tabs>
              <w:snapToGrid w:val="0"/>
              <w:spacing w:before="120" w:beforeLines="50"/>
              <w:jc w:val="both"/>
              <w:rPr>
                <w:lang w:eastAsia="zh-CN"/>
              </w:rPr>
            </w:pPr>
            <w:r>
              <w:rPr>
                <w:lang w:eastAsia="zh-CN"/>
              </w:rPr>
              <w:t>□ 是 - 本器械的获益超过风险，为此额外考虑相关因素不会改变该判定</w:t>
            </w:r>
          </w:p>
          <w:p w14:paraId="6AE19F27">
            <w:pPr>
              <w:tabs>
                <w:tab w:val="left" w:pos="245"/>
              </w:tabs>
              <w:snapToGrid w:val="0"/>
              <w:spacing w:before="120" w:beforeLines="50"/>
              <w:jc w:val="both"/>
              <w:rPr>
                <w:lang w:eastAsia="zh-CN"/>
              </w:rPr>
            </w:pPr>
            <w:r>
              <w:rPr>
                <w:lang w:eastAsia="zh-CN"/>
              </w:rPr>
              <w:t>□ 无法得出获益超过风险的结论 - 进一步讨论和考虑相关因素是适当的 - 继续Q6</w:t>
            </w:r>
          </w:p>
        </w:tc>
      </w:tr>
    </w:tbl>
    <w:p w14:paraId="6AE19F29">
      <w:pPr>
        <w:snapToGrid w:val="0"/>
        <w:spacing w:before="120" w:beforeLines="50"/>
        <w:jc w:val="both"/>
        <w:rPr>
          <w:lang w:eastAsia="zh-CN"/>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87" w:hRule="atLeast"/>
        </w:trPr>
        <w:tc>
          <w:tcPr>
            <w:tcW w:w="5000" w:type="pct"/>
            <w:shd w:val="clear" w:color="auto" w:fill="FFFFFF"/>
            <w:vAlign w:val="center"/>
          </w:tcPr>
          <w:p w14:paraId="6AE19F2A">
            <w:pPr>
              <w:snapToGrid w:val="0"/>
              <w:spacing w:before="120" w:beforeLines="50"/>
              <w:jc w:val="both"/>
              <w:rPr>
                <w:b/>
                <w:bCs/>
                <w:u w:val="single"/>
                <w:lang w:eastAsia="zh-CN"/>
              </w:rPr>
            </w:pPr>
            <w:r>
              <w:rPr>
                <w:b/>
                <w:bCs/>
                <w:u w:val="single"/>
                <w:lang w:eastAsia="zh-CN"/>
              </w:rPr>
              <w:t xml:space="preserve">获益-风险评估总结 </w:t>
            </w:r>
          </w:p>
          <w:p w14:paraId="6AE19F2B">
            <w:pPr>
              <w:snapToGrid w:val="0"/>
              <w:spacing w:before="120" w:beforeLines="50"/>
              <w:jc w:val="both"/>
              <w:rPr>
                <w:lang w:eastAsia="zh-CN"/>
              </w:rPr>
            </w:pPr>
            <w:r>
              <w:rPr>
                <w:b/>
                <w:bCs/>
                <w:lang w:eastAsia="zh-CN"/>
              </w:rPr>
              <w:t>对于拟定适应症：</w:t>
            </w:r>
          </w:p>
          <w:p w14:paraId="6AE19F2C">
            <w:pPr>
              <w:snapToGrid w:val="0"/>
              <w:spacing w:before="120" w:beforeLines="50"/>
              <w:jc w:val="both"/>
              <w:rPr>
                <w:lang w:eastAsia="zh-CN"/>
              </w:rPr>
            </w:pPr>
            <w:r>
              <w:rPr>
                <w:lang w:eastAsia="zh-CN"/>
              </w:rPr>
              <w:t>该器械对界定和可预测的患者亚组</w:t>
            </w:r>
            <w:r>
              <w:rPr>
                <w:rFonts w:hint="eastAsia"/>
                <w:lang w:eastAsia="zh-CN"/>
              </w:rPr>
              <w:t>的获益显著</w:t>
            </w:r>
            <w:r>
              <w:rPr>
                <w:lang w:eastAsia="zh-CN"/>
              </w:rPr>
              <w:t>，对另一个界定和可预测的患者亚组的获益</w:t>
            </w:r>
            <w:r>
              <w:rPr>
                <w:rFonts w:hint="eastAsia"/>
                <w:lang w:eastAsia="zh-CN"/>
              </w:rPr>
              <w:t>甚微</w:t>
            </w:r>
            <w:r>
              <w:rPr>
                <w:lang w:eastAsia="zh-CN"/>
              </w:rPr>
              <w:t>。即使临床试验较小，数据质量也较好，所获得的置信区间合理较窄。</w:t>
            </w:r>
            <w:r>
              <w:rPr>
                <w:rFonts w:hint="eastAsia"/>
                <w:lang w:eastAsia="zh-CN"/>
              </w:rPr>
              <w:t>结果的不确定性基于较小的样本量，常见不确定性是将研究样本推断到市面上的患者人群所引起的</w:t>
            </w:r>
            <w:r>
              <w:rPr>
                <w:lang w:eastAsia="zh-CN"/>
              </w:rPr>
              <w:t>。该器械的风险较高。仅仅根据获益、风险和不确定性程度，无法得出获益超过风险的结论。</w:t>
            </w:r>
          </w:p>
        </w:tc>
      </w:tr>
    </w:tbl>
    <w:p w14:paraId="6AE19F2E">
      <w:pPr>
        <w:pStyle w:val="22"/>
        <w:spacing w:before="120"/>
        <w:rPr>
          <w:i/>
          <w:iCs/>
        </w:rPr>
      </w:pPr>
      <w:r>
        <w:t>6.</w:t>
      </w:r>
      <w:r>
        <w:tab/>
      </w:r>
      <w:r>
        <w:t>当考虑以下附加考虑因素时，获益是否超过风险？选择相关注意事项，然后回答以下方框中的问题。</w:t>
      </w:r>
    </w:p>
    <w:p w14:paraId="6AE19F2F">
      <w:pPr>
        <w:pStyle w:val="22"/>
        <w:spacing w:before="120"/>
      </w:pPr>
      <w:r>
        <w:br w:type="page"/>
      </w:r>
    </w:p>
    <w:p w14:paraId="6AE19F30">
      <w:pPr>
        <w:pStyle w:val="24"/>
        <w:spacing w:before="120"/>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了解患者是否愿意接受获益和/或风险具有较大的不确定性</w:t>
      </w:r>
    </w:p>
    <w:p w14:paraId="6AE19F31">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可用的患者偏好信息（PPI）显示，患者是否愿意接受风险以换取获益。在无法获得PPI的情况下（例如，一些儿童或功能受损的患者人群），可以考虑健康伴侣的观点。</w:t>
      </w:r>
    </w:p>
    <w:p w14:paraId="6AE19F32">
      <w:pPr>
        <w:pStyle w:val="24"/>
        <w:spacing w:before="120"/>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了解</w:t>
      </w:r>
      <w:r>
        <w:rPr>
          <w:rFonts w:hint="eastAsia"/>
          <w:sz w:val="24"/>
          <w:szCs w:val="24"/>
          <w:lang w:eastAsia="zh-CN"/>
        </w:rPr>
        <w:t>健康伴侣</w:t>
      </w:r>
      <w:r>
        <w:rPr>
          <w:sz w:val="24"/>
          <w:szCs w:val="24"/>
          <w:lang w:eastAsia="zh-CN"/>
        </w:rPr>
        <w:t>对预期有益于</w:t>
      </w:r>
      <w:r>
        <w:rPr>
          <w:rFonts w:hint="eastAsia"/>
          <w:sz w:val="24"/>
          <w:szCs w:val="24"/>
          <w:lang w:eastAsia="zh-CN"/>
        </w:rPr>
        <w:t>健康伴侣</w:t>
      </w:r>
      <w:r>
        <w:rPr>
          <w:sz w:val="24"/>
          <w:szCs w:val="24"/>
          <w:lang w:eastAsia="zh-CN"/>
        </w:rPr>
        <w:t>的器械的获益和风险的观点（例如方便进行护理）</w:t>
      </w:r>
    </w:p>
    <w:p w14:paraId="6AE19F33">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了解医疗保健专业人员对预期有益于医疗保健专业人员的器械的获益和风险的观点（例如减少辐射暴露）</w:t>
      </w:r>
    </w:p>
    <w:p w14:paraId="6AE19F34">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患者对替代健康干预措施中不同结局或其他属性的相对合适性和可接受性的定性或定量评估</w:t>
      </w:r>
    </w:p>
    <w:p w14:paraId="6AE19F35">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了解患者人群的规模在多大程度上影响开展大型试验的可行性，并影响罕见和常见疾病或状况的公共卫生需求</w:t>
      </w:r>
    </w:p>
    <w:p w14:paraId="6AE19F36">
      <w:pPr>
        <w:pStyle w:val="24"/>
        <w:spacing w:before="120"/>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了解器械代表与当前器械技术不同的新技术</w:t>
      </w:r>
    </w:p>
    <w:p w14:paraId="6AE19F37">
      <w:pPr>
        <w:pStyle w:val="24"/>
        <w:spacing w:before="120"/>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在缺乏申报器械的干预或诊断信息的情况下，能够管理或诊断状况并考虑疾病进展的自然史</w:t>
      </w:r>
    </w:p>
    <w:p w14:paraId="6AE19F38">
      <w:pPr>
        <w:pStyle w:val="24"/>
        <w:spacing w:before="120"/>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尚无合法上市的医疗产品或医疗干预，或者器械与现有替代方式相比具有优势</w:t>
      </w:r>
    </w:p>
    <w:p w14:paraId="6AE19F39">
      <w:pPr>
        <w:pStyle w:val="24"/>
        <w:spacing w:before="120"/>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器械可以满足未能满足的医疗需求或领域或可以更有效地治疗或诊断危及生命的或不可逆的使人衰弱的人类疾病/状况</w:t>
      </w:r>
    </w:p>
    <w:p w14:paraId="6AE19F3A">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器械能够避免该疾病或状况的现有疗法的严重伤害</w:t>
      </w:r>
    </w:p>
    <w:p w14:paraId="6AE19F3B">
      <w:pPr>
        <w:pStyle w:val="24"/>
        <w:spacing w:before="120"/>
        <w:ind w:left="1332" w:hanging="482"/>
        <w:rPr>
          <w:sz w:val="24"/>
          <w:szCs w:val="24"/>
        </w:rPr>
      </w:pPr>
      <w:r>
        <w:rPr>
          <w:sz w:val="24"/>
          <w:szCs w:val="24"/>
          <w:lang w:eastAsia="zh-CN"/>
        </w:rPr>
        <w:t>□</w:t>
      </w:r>
      <w:r>
        <w:rPr>
          <w:sz w:val="24"/>
          <w:szCs w:val="24"/>
          <w:lang w:eastAsia="zh-CN"/>
        </w:rPr>
        <w:tab/>
      </w:r>
      <w:r>
        <w:rPr>
          <w:sz w:val="24"/>
          <w:szCs w:val="24"/>
          <w:lang w:eastAsia="zh-CN"/>
        </w:rPr>
        <w:t>使用器械的不良事件是可逆的</w:t>
      </w:r>
    </w:p>
    <w:p w14:paraId="6AE19F3C">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解决有害事件所需的干预类型（例如药物治疗、外科手术）</w:t>
      </w:r>
    </w:p>
    <w:p w14:paraId="6AE19F3D">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研究为首次研究（分析可靠性）</w:t>
      </w:r>
    </w:p>
    <w:p w14:paraId="6AE19F3E">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临界点和/或最差情况敏感性分析继续显示具有临床获益</w:t>
      </w:r>
    </w:p>
    <w:p w14:paraId="6AE19F3F">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了解机械合理性和/或</w:t>
      </w:r>
      <w:r>
        <w:rPr>
          <w:rFonts w:ascii="宋体" w:hAnsi="宋体"/>
          <w:sz w:val="24"/>
          <w:szCs w:val="24"/>
          <w:lang w:eastAsia="zh-CN"/>
        </w:rPr>
        <w:t>“</w:t>
      </w:r>
      <w:r>
        <w:rPr>
          <w:sz w:val="24"/>
          <w:szCs w:val="24"/>
          <w:lang w:eastAsia="zh-CN"/>
        </w:rPr>
        <w:t>类效应</w:t>
      </w:r>
      <w:r>
        <w:rPr>
          <w:rFonts w:ascii="宋体" w:hAnsi="宋体"/>
          <w:sz w:val="24"/>
          <w:szCs w:val="24"/>
          <w:lang w:eastAsia="zh-CN"/>
        </w:rPr>
        <w:t>”</w:t>
      </w:r>
      <w:r>
        <w:rPr>
          <w:sz w:val="24"/>
          <w:szCs w:val="24"/>
          <w:lang w:eastAsia="zh-CN"/>
        </w:rPr>
        <w:t>（例如熟练掌握类似技术）</w:t>
      </w:r>
    </w:p>
    <w:p w14:paraId="6AE19F40">
      <w:pPr>
        <w:pStyle w:val="24"/>
        <w:spacing w:before="120"/>
        <w:ind w:left="1332" w:hanging="482"/>
        <w:rPr>
          <w:sz w:val="24"/>
          <w:szCs w:val="24"/>
        </w:rPr>
      </w:pPr>
      <w:r>
        <w:rPr>
          <w:sz w:val="24"/>
          <w:szCs w:val="24"/>
          <w:lang w:eastAsia="zh-CN"/>
        </w:rPr>
        <w:t>□</w:t>
      </w:r>
      <w:r>
        <w:rPr>
          <w:sz w:val="24"/>
          <w:szCs w:val="24"/>
          <w:lang w:eastAsia="zh-CN"/>
        </w:rPr>
        <w:tab/>
      </w:r>
      <w:r>
        <w:rPr>
          <w:sz w:val="24"/>
          <w:szCs w:val="24"/>
          <w:lang w:eastAsia="zh-CN"/>
        </w:rPr>
        <w:t>其他：</w:t>
      </w:r>
    </w:p>
    <w:p w14:paraId="6AE19F41">
      <w:pPr>
        <w:pStyle w:val="24"/>
        <w:spacing w:before="120"/>
        <w:ind w:left="1332" w:hanging="482"/>
        <w:rPr>
          <w:sz w:val="24"/>
          <w:szCs w:val="24"/>
        </w:rPr>
      </w:pPr>
      <w:r>
        <w:rPr>
          <w:sz w:val="24"/>
          <w:szCs w:val="24"/>
          <w:lang w:eastAsia="zh-CN"/>
        </w:rPr>
        <w:t>□</w:t>
      </w:r>
      <w:r>
        <w:rPr>
          <w:sz w:val="24"/>
          <w:szCs w:val="24"/>
          <w:lang w:eastAsia="zh-CN"/>
        </w:rPr>
        <w:tab/>
      </w:r>
      <w:r>
        <w:rPr>
          <w:sz w:val="24"/>
          <w:szCs w:val="24"/>
          <w:lang w:eastAsia="zh-CN"/>
        </w:rPr>
        <w:t>无</w:t>
      </w:r>
    </w:p>
    <w:p w14:paraId="6AE19F42">
      <w:pPr>
        <w:pStyle w:val="24"/>
        <w:spacing w:before="120"/>
      </w:pPr>
    </w:p>
    <w:tbl>
      <w:tblPr>
        <w:tblStyle w:val="8"/>
        <w:tblW w:w="0" w:type="auto"/>
        <w:tblInd w:w="9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7513"/>
      </w:tblGrid>
      <w:tr w14:paraId="6AE19F46">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853" w:hRule="atLeast"/>
        </w:trPr>
        <w:tc>
          <w:tcPr>
            <w:tcW w:w="7513" w:type="dxa"/>
            <w:shd w:val="clear" w:color="auto" w:fill="FFFFFF"/>
            <w:vAlign w:val="bottom"/>
          </w:tcPr>
          <w:p w14:paraId="6AE19F43">
            <w:pPr>
              <w:snapToGrid w:val="0"/>
              <w:spacing w:before="120" w:beforeLines="50"/>
              <w:jc w:val="both"/>
              <w:rPr>
                <w:lang w:eastAsia="zh-CN"/>
              </w:rPr>
            </w:pPr>
            <w:r>
              <w:rPr>
                <w:b/>
                <w:bCs/>
                <w:lang w:eastAsia="zh-CN"/>
              </w:rPr>
              <w:t>Q6：当考虑其他相关考虑因素时，获益是否超过风险？</w:t>
            </w:r>
          </w:p>
          <w:p w14:paraId="6AE19F44">
            <w:pPr>
              <w:snapToGrid w:val="0"/>
              <w:spacing w:before="120" w:beforeLines="50"/>
              <w:jc w:val="both"/>
              <w:rPr>
                <w:lang w:eastAsia="zh-CN"/>
              </w:rPr>
            </w:pPr>
            <w:r>
              <w:rPr>
                <w:lang w:eastAsia="zh-CN"/>
              </w:rPr>
              <w:t>□ 是 - 本器械的获益超过风险，为此额外考虑相关因素不会改变该判定</w:t>
            </w:r>
          </w:p>
          <w:p w14:paraId="6AE19F45">
            <w:pPr>
              <w:snapToGrid w:val="0"/>
              <w:spacing w:before="120" w:beforeLines="50"/>
              <w:jc w:val="both"/>
              <w:rPr>
                <w:lang w:eastAsia="zh-CN"/>
              </w:rPr>
            </w:pPr>
            <w:r>
              <w:rPr>
                <w:lang w:eastAsia="zh-CN"/>
              </w:rPr>
              <w:sym w:font="Wingdings 2" w:char="F054"/>
            </w:r>
            <w:r>
              <w:rPr>
                <w:lang w:eastAsia="zh-CN"/>
              </w:rPr>
              <w:t>无法得出获益超过风险的结论 - 进一步讨论和考虑风险缓解措施是适当的 - 继续Q7</w:t>
            </w:r>
          </w:p>
        </w:tc>
      </w:tr>
    </w:tbl>
    <w:p w14:paraId="6AE19F47">
      <w:pPr>
        <w:snapToGrid w:val="0"/>
        <w:spacing w:before="120" w:beforeLines="50"/>
        <w:jc w:val="both"/>
        <w:rPr>
          <w:lang w:eastAsia="zh-CN"/>
        </w:rPr>
      </w:pPr>
      <w:r>
        <w:rPr>
          <w:lang w:eastAsia="zh-CN"/>
        </w:rPr>
        <w:br w:type="page"/>
      </w:r>
    </w:p>
    <w:p w14:paraId="6AE19F48">
      <w:pPr>
        <w:snapToGrid w:val="0"/>
        <w:spacing w:before="120" w:beforeLines="50"/>
        <w:jc w:val="both"/>
        <w:rPr>
          <w:lang w:eastAsia="zh-CN"/>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9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3" w:hRule="atLeast"/>
        </w:trPr>
        <w:tc>
          <w:tcPr>
            <w:tcW w:w="5000" w:type="pct"/>
            <w:shd w:val="clear" w:color="auto" w:fill="FFFFFF"/>
            <w:vAlign w:val="center"/>
          </w:tcPr>
          <w:p w14:paraId="6AE19F49">
            <w:pPr>
              <w:snapToGrid w:val="0"/>
              <w:spacing w:before="120" w:beforeLines="50"/>
              <w:jc w:val="both"/>
              <w:rPr>
                <w:lang w:eastAsia="zh-CN"/>
              </w:rPr>
            </w:pPr>
            <w:r>
              <w:rPr>
                <w:b/>
                <w:bCs/>
                <w:u w:val="single"/>
                <w:lang w:eastAsia="zh-CN"/>
              </w:rPr>
              <w:t>考虑到拟定适应症的其他相关考虑因素，获益-风险评估总结</w:t>
            </w:r>
            <w:r>
              <w:rPr>
                <w:b/>
                <w:bCs/>
                <w:lang w:eastAsia="zh-CN"/>
              </w:rPr>
              <w:t>：</w:t>
            </w:r>
          </w:p>
          <w:p w14:paraId="6AE19F4A">
            <w:pPr>
              <w:snapToGrid w:val="0"/>
              <w:spacing w:before="120" w:beforeLines="50"/>
              <w:jc w:val="both"/>
              <w:rPr>
                <w:lang w:eastAsia="zh-CN"/>
              </w:rPr>
            </w:pPr>
            <w:r>
              <w:rPr>
                <w:lang w:eastAsia="zh-CN"/>
              </w:rPr>
              <w:t>申办者提供的数据表明，为了保留记忆并维持生活质量，许多记忆障碍患者愿意尝试存在重大风险的新方法。该状况缺乏替代治疗方式是另一个重要的考虑因素。即使器械相关风险较高，但由于器械可能的获益以及不治疗疾病会发生进展，一些患者也能承担这些风险。然而，鉴于样本量较小并且器械的风险较高，包括器械为永久植入物这一情况，如果不额外进行标签限制和上市后数据收集，获益不会超过风险。</w:t>
            </w:r>
          </w:p>
        </w:tc>
      </w:tr>
    </w:tbl>
    <w:p w14:paraId="6AE19F4C">
      <w:pPr>
        <w:pStyle w:val="22"/>
        <w:spacing w:before="120"/>
        <w:rPr>
          <w:b w:val="0"/>
          <w:i/>
        </w:rPr>
      </w:pPr>
      <w:r>
        <w:t>7.</w:t>
      </w:r>
      <w:r>
        <w:tab/>
      </w:r>
      <w:r>
        <w:t>是否可以缓解风险以使获益超过风险？考虑如果纳入风险缓解策略以降低发生有害事件的概率并改善器械的获益-风险状况，获益是否超过风险。</w:t>
      </w:r>
      <w:r>
        <w:rPr>
          <w:b w:val="0"/>
          <w:i/>
        </w:rPr>
        <w:t>选择相关注意事项，然后回答以下方框中的问题。</w:t>
      </w:r>
    </w:p>
    <w:p w14:paraId="6AE19F4D">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在医生和患者说明书中额外描述已知和可能的获益和风险，包括适当的禁忌症、警告和预防措施，并描述临床事件</w:t>
      </w:r>
    </w:p>
    <w:p w14:paraId="6AE19F4E">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额外警告注意安全性信息的局限（例如</w:t>
      </w:r>
      <w:r>
        <w:rPr>
          <w:rFonts w:ascii="宋体" w:hAnsi="宋体"/>
          <w:sz w:val="24"/>
          <w:szCs w:val="24"/>
          <w:lang w:eastAsia="zh-CN"/>
        </w:rPr>
        <w:t>“</w:t>
      </w:r>
      <w:r>
        <w:rPr>
          <w:sz w:val="24"/>
          <w:szCs w:val="24"/>
          <w:lang w:eastAsia="zh-CN"/>
        </w:rPr>
        <w:t>尚未评价在[情况]中使用该器械的安全性。</w:t>
      </w:r>
      <w:r>
        <w:rPr>
          <w:rFonts w:ascii="宋体" w:hAnsi="宋体"/>
          <w:sz w:val="24"/>
          <w:szCs w:val="24"/>
          <w:lang w:eastAsia="zh-CN"/>
        </w:rPr>
        <w:t>”</w:t>
      </w:r>
      <w:r>
        <w:rPr>
          <w:sz w:val="24"/>
          <w:szCs w:val="24"/>
          <w:lang w:eastAsia="zh-CN"/>
        </w:rPr>
        <w:t>）</w:t>
      </w:r>
    </w:p>
    <w:p w14:paraId="6AE19F4F">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在器械上标记</w:t>
      </w:r>
      <w:r>
        <w:rPr>
          <w:rFonts w:ascii="宋体" w:hAnsi="宋体"/>
          <w:sz w:val="24"/>
          <w:szCs w:val="24"/>
          <w:lang w:eastAsia="zh-CN"/>
        </w:rPr>
        <w:t>“</w:t>
      </w:r>
      <w:r>
        <w:rPr>
          <w:sz w:val="24"/>
          <w:szCs w:val="24"/>
          <w:lang w:eastAsia="zh-CN"/>
        </w:rPr>
        <w:t>仅凭处方</w:t>
      </w:r>
      <w:r>
        <w:rPr>
          <w:rFonts w:ascii="宋体" w:hAnsi="宋体"/>
          <w:sz w:val="24"/>
          <w:szCs w:val="24"/>
          <w:lang w:eastAsia="zh-CN"/>
        </w:rPr>
        <w:t>”</w:t>
      </w:r>
    </w:p>
    <w:p w14:paraId="6AE19F50">
      <w:pPr>
        <w:pStyle w:val="24"/>
        <w:spacing w:before="120"/>
        <w:ind w:left="1332" w:hanging="482"/>
        <w:rPr>
          <w:sz w:val="24"/>
          <w:szCs w:val="24"/>
          <w:lang w:eastAsia="zh-CN"/>
        </w:rPr>
      </w:pPr>
      <w:r>
        <w:rPr>
          <w:sz w:val="24"/>
          <w:szCs w:val="24"/>
          <w:lang w:eastAsia="zh-CN"/>
        </w:rPr>
        <w:t>培训：</w:t>
      </w:r>
    </w:p>
    <w:p w14:paraId="6AE19F51">
      <w:pPr>
        <w:pStyle w:val="24"/>
        <w:spacing w:before="120"/>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对具有特定资格或临床培训的护理人员进行限制</w:t>
      </w:r>
    </w:p>
    <w:p w14:paraId="6AE19F52">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仅供具有最低资质和/或受过培训的用户使用</w:t>
      </w:r>
    </w:p>
    <w:p w14:paraId="6AE19F53">
      <w:pPr>
        <w:pStyle w:val="24"/>
        <w:spacing w:before="120"/>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医生/用户培训计划</w:t>
      </w:r>
    </w:p>
    <w:p w14:paraId="6AE19F54">
      <w:pPr>
        <w:pStyle w:val="24"/>
        <w:spacing w:before="120"/>
        <w:ind w:left="1332" w:hanging="482"/>
        <w:rPr>
          <w:sz w:val="24"/>
          <w:szCs w:val="24"/>
          <w:lang w:eastAsia="zh-CN"/>
        </w:rPr>
      </w:pPr>
      <w:r>
        <w:rPr>
          <w:sz w:val="24"/>
          <w:szCs w:val="24"/>
          <w:lang w:eastAsia="zh-CN"/>
        </w:rPr>
        <w:t>其他：</w:t>
      </w:r>
    </w:p>
    <w:p w14:paraId="6AE19F55">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器械跟踪</w:t>
      </w:r>
    </w:p>
    <w:p w14:paraId="6AE19F56">
      <w:pPr>
        <w:pStyle w:val="24"/>
        <w:spacing w:before="120"/>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其他：需要标签突出显示严重不良事件的发生率为8%</w:t>
      </w:r>
    </w:p>
    <w:p w14:paraId="6AE19F57">
      <w:pPr>
        <w:pStyle w:val="24"/>
        <w:spacing w:before="120"/>
        <w:ind w:left="1332" w:hanging="482"/>
        <w:rPr>
          <w:sz w:val="24"/>
          <w:szCs w:val="24"/>
        </w:rPr>
      </w:pPr>
      <w:r>
        <w:rPr>
          <w:sz w:val="24"/>
          <w:szCs w:val="24"/>
          <w:lang w:eastAsia="zh-CN"/>
        </w:rPr>
        <w:t>□</w:t>
      </w:r>
      <w:r>
        <w:rPr>
          <w:sz w:val="24"/>
          <w:szCs w:val="24"/>
          <w:lang w:eastAsia="zh-CN"/>
        </w:rPr>
        <w:tab/>
      </w:r>
      <w:r>
        <w:rPr>
          <w:sz w:val="24"/>
          <w:szCs w:val="24"/>
          <w:lang w:eastAsia="zh-CN"/>
        </w:rPr>
        <w:t>无</w:t>
      </w:r>
    </w:p>
    <w:p w14:paraId="6AE19F58">
      <w:pPr>
        <w:pStyle w:val="24"/>
        <w:spacing w:before="120"/>
      </w:pPr>
    </w:p>
    <w:tbl>
      <w:tblPr>
        <w:tblStyle w:val="8"/>
        <w:tblW w:w="0" w:type="auto"/>
        <w:tblInd w:w="9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7087"/>
      </w:tblGrid>
      <w:tr w14:paraId="6AE19F5C">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603" w:hRule="atLeast"/>
        </w:trPr>
        <w:tc>
          <w:tcPr>
            <w:tcW w:w="7087" w:type="dxa"/>
            <w:shd w:val="clear" w:color="auto" w:fill="FFFFFF"/>
            <w:vAlign w:val="center"/>
          </w:tcPr>
          <w:p w14:paraId="6AE19F59">
            <w:pPr>
              <w:snapToGrid w:val="0"/>
              <w:spacing w:before="120" w:beforeLines="50"/>
              <w:jc w:val="both"/>
              <w:rPr>
                <w:lang w:eastAsia="zh-CN"/>
              </w:rPr>
            </w:pPr>
            <w:r>
              <w:rPr>
                <w:b/>
                <w:bCs/>
                <w:lang w:eastAsia="zh-CN"/>
              </w:rPr>
              <w:t>Q7：是否可以缓解风险以使获益超过风险？</w:t>
            </w:r>
          </w:p>
          <w:p w14:paraId="6AE19F5A">
            <w:pPr>
              <w:snapToGrid w:val="0"/>
              <w:spacing w:before="120" w:beforeLines="50"/>
              <w:jc w:val="both"/>
              <w:rPr>
                <w:lang w:eastAsia="zh-CN"/>
              </w:rPr>
            </w:pPr>
            <w:r>
              <w:rPr>
                <w:lang w:eastAsia="zh-CN"/>
              </w:rPr>
              <w:t>□ 是 - 本器械的获益超过风险，为此额外考虑相关因素不会改变该判定</w:t>
            </w:r>
          </w:p>
          <w:p w14:paraId="6AE19F5B">
            <w:pPr>
              <w:snapToGrid w:val="0"/>
              <w:spacing w:before="120" w:beforeLines="50"/>
              <w:jc w:val="both"/>
              <w:rPr>
                <w:lang w:eastAsia="zh-CN"/>
              </w:rPr>
            </w:pPr>
            <w:r>
              <w:rPr>
                <w:lang w:eastAsia="zh-CN"/>
              </w:rPr>
              <w:sym w:font="Wingdings 2" w:char="F054"/>
            </w:r>
            <w:r>
              <w:rPr>
                <w:lang w:eastAsia="zh-CN"/>
              </w:rPr>
              <w:t>无法得出获益超过风险的结论 - 进一步讨论和考虑上市后措施是适当的 - 继续Q8</w:t>
            </w:r>
          </w:p>
        </w:tc>
      </w:tr>
    </w:tbl>
    <w:p w14:paraId="6AE19F5D">
      <w:pPr>
        <w:snapToGrid w:val="0"/>
        <w:spacing w:before="120" w:beforeLines="50"/>
        <w:jc w:val="both"/>
        <w:rPr>
          <w:lang w:eastAsia="zh-CN"/>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18" w:hRule="atLeast"/>
        </w:trPr>
        <w:tc>
          <w:tcPr>
            <w:tcW w:w="5000" w:type="pct"/>
            <w:shd w:val="clear" w:color="auto" w:fill="FFFFFF"/>
            <w:vAlign w:val="center"/>
          </w:tcPr>
          <w:p w14:paraId="6AE19F5E">
            <w:pPr>
              <w:snapToGrid w:val="0"/>
              <w:spacing w:before="120" w:beforeLines="50"/>
              <w:jc w:val="both"/>
              <w:rPr>
                <w:lang w:eastAsia="zh-CN"/>
              </w:rPr>
            </w:pPr>
            <w:r>
              <w:rPr>
                <w:b/>
                <w:bCs/>
                <w:u w:val="single"/>
                <w:lang w:eastAsia="zh-CN"/>
              </w:rPr>
              <w:t>考虑到拟定适应症的风险缓解策略，获益-风险评估的总结</w:t>
            </w:r>
            <w:r>
              <w:rPr>
                <w:b/>
                <w:bCs/>
                <w:lang w:eastAsia="zh-CN"/>
              </w:rPr>
              <w:t>：</w:t>
            </w:r>
          </w:p>
          <w:p w14:paraId="6AE19F5F">
            <w:pPr>
              <w:snapToGrid w:val="0"/>
              <w:spacing w:before="120" w:beforeLines="50"/>
              <w:jc w:val="both"/>
              <w:rPr>
                <w:lang w:eastAsia="zh-CN"/>
              </w:rPr>
            </w:pPr>
            <w:r>
              <w:rPr>
                <w:lang w:eastAsia="zh-CN"/>
              </w:rPr>
              <w:t>尽管器械的风险较高，但是可以通过在</w:t>
            </w:r>
            <w:r>
              <w:rPr>
                <w:rFonts w:hint="eastAsia"/>
                <w:lang w:eastAsia="zh-CN"/>
              </w:rPr>
              <w:t>说明书</w:t>
            </w:r>
            <w:r>
              <w:rPr>
                <w:lang w:eastAsia="zh-CN"/>
              </w:rPr>
              <w:t>中突出解释严重不良事件的发生率为8%、限制器械由具备适当专业知识的医生使用、并对植入/取出器械的医生进行培训（如果需要）得到部分缓解。然而，如果不进行上市后数据收集，可能的获益不会超过可能的风险。</w:t>
            </w:r>
          </w:p>
        </w:tc>
      </w:tr>
    </w:tbl>
    <w:p w14:paraId="6AE19F61">
      <w:pPr>
        <w:pStyle w:val="22"/>
        <w:spacing w:before="120"/>
        <w:rPr>
          <w:b w:val="0"/>
          <w:i/>
        </w:rPr>
      </w:pPr>
      <w:r>
        <w:t>8.</w:t>
      </w:r>
      <w:r>
        <w:tab/>
      </w:r>
      <w:r>
        <w:t>考虑到采取上市后措施，获益是否超过风险？</w:t>
      </w:r>
      <w:r>
        <w:rPr>
          <w:b w:val="0"/>
          <w:i/>
        </w:rPr>
        <w:t>选择适当的上市后措施，然后回答以下方框中的问题。</w:t>
      </w:r>
    </w:p>
    <w:p w14:paraId="6AE19F62">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 xml:space="preserve">在上市后收集其他和/或确认的非临床性能数据 </w:t>
      </w:r>
      <w:r>
        <w:rPr>
          <w:sz w:val="24"/>
          <w:szCs w:val="24"/>
          <w:lang w:eastAsia="zh-CN"/>
        </w:rPr>
        <w:br w:type="page"/>
      </w:r>
    </w:p>
    <w:p w14:paraId="6AE19F63">
      <w:pPr>
        <w:snapToGrid w:val="0"/>
        <w:spacing w:before="120" w:beforeLines="50"/>
        <w:jc w:val="both"/>
        <w:rPr>
          <w:lang w:eastAsia="zh-CN"/>
        </w:rPr>
      </w:pPr>
    </w:p>
    <w:p w14:paraId="6AE19F64">
      <w:pPr>
        <w:pStyle w:val="24"/>
        <w:spacing w:before="120" w:line="400" w:lineRule="exact"/>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在上市后收集其他和/或确认的临床数据（例如批准后研究、上市后监督）</w:t>
      </w:r>
    </w:p>
    <w:p w14:paraId="6AE19F65">
      <w:pPr>
        <w:pStyle w:val="25"/>
        <w:spacing w:before="120" w:line="400" w:lineRule="exact"/>
        <w:ind w:left="1762" w:hanging="485"/>
        <w:rPr>
          <w:sz w:val="24"/>
          <w:szCs w:val="24"/>
          <w:lang w:eastAsia="zh-CN"/>
        </w:rPr>
      </w:pPr>
      <w:r>
        <w:rPr>
          <w:sz w:val="24"/>
          <w:szCs w:val="24"/>
          <w:lang w:eastAsia="zh-CN"/>
        </w:rPr>
        <w:t>如果检查了上市后申请中的非临床或临床性能数据收集，请考虑：</w:t>
      </w:r>
    </w:p>
    <w:p w14:paraId="6AE19F66">
      <w:pPr>
        <w:pStyle w:val="25"/>
        <w:spacing w:before="120" w:line="400" w:lineRule="exact"/>
        <w:ind w:left="1762" w:hanging="485"/>
        <w:rPr>
          <w:sz w:val="24"/>
          <w:szCs w:val="24"/>
          <w:lang w:eastAsia="zh-CN"/>
        </w:rPr>
      </w:pPr>
      <w:r>
        <w:rPr>
          <w:sz w:val="24"/>
          <w:szCs w:val="24"/>
          <w:lang w:eastAsia="zh-CN"/>
        </w:rPr>
        <w:sym w:font="Wingdings 2" w:char="F054"/>
      </w:r>
      <w:r>
        <w:rPr>
          <w:sz w:val="24"/>
          <w:szCs w:val="24"/>
          <w:lang w:eastAsia="zh-CN"/>
        </w:rPr>
        <w:tab/>
      </w:r>
      <w:r>
        <w:rPr>
          <w:sz w:val="24"/>
          <w:szCs w:val="24"/>
          <w:lang w:eastAsia="zh-CN"/>
        </w:rPr>
        <w:t xml:space="preserve">在合理的时间段内完成上市后数据收集的可行性和完成上市后数据收集的可能性 </w:t>
      </w:r>
    </w:p>
    <w:p w14:paraId="6AE19F67">
      <w:pPr>
        <w:pStyle w:val="25"/>
        <w:spacing w:before="120" w:line="400" w:lineRule="exact"/>
        <w:ind w:left="1762" w:hanging="485"/>
        <w:rPr>
          <w:sz w:val="24"/>
          <w:szCs w:val="24"/>
          <w:lang w:eastAsia="zh-CN"/>
        </w:rPr>
      </w:pPr>
      <w:r>
        <w:rPr>
          <w:sz w:val="24"/>
          <w:szCs w:val="24"/>
          <w:lang w:eastAsia="zh-CN"/>
        </w:rPr>
        <w:t>□</w:t>
      </w:r>
      <w:r>
        <w:rPr>
          <w:sz w:val="24"/>
          <w:szCs w:val="24"/>
          <w:lang w:eastAsia="zh-CN"/>
        </w:rPr>
        <w:tab/>
      </w:r>
      <w:r>
        <w:rPr>
          <w:sz w:val="24"/>
          <w:szCs w:val="24"/>
          <w:lang w:eastAsia="zh-CN"/>
        </w:rPr>
        <w:t>在标签中描述上市后数据收集及其目的是否合适</w:t>
      </w:r>
    </w:p>
    <w:p w14:paraId="6AE19F68">
      <w:pPr>
        <w:pStyle w:val="24"/>
        <w:spacing w:before="120" w:line="400" w:lineRule="exact"/>
        <w:ind w:left="1332" w:hanging="482"/>
        <w:rPr>
          <w:sz w:val="24"/>
          <w:szCs w:val="24"/>
        </w:rPr>
      </w:pPr>
      <w:r>
        <w:rPr>
          <w:sz w:val="24"/>
          <w:szCs w:val="24"/>
          <w:lang w:eastAsia="zh-CN"/>
        </w:rPr>
        <w:t>□</w:t>
      </w:r>
      <w:r>
        <w:rPr>
          <w:sz w:val="24"/>
          <w:szCs w:val="24"/>
          <w:lang w:eastAsia="zh-CN"/>
        </w:rPr>
        <w:tab/>
      </w:r>
      <w:r>
        <w:rPr>
          <w:sz w:val="24"/>
          <w:szCs w:val="24"/>
          <w:lang w:eastAsia="zh-CN"/>
        </w:rPr>
        <w:t>其他：</w:t>
      </w:r>
    </w:p>
    <w:p w14:paraId="6AE19F69">
      <w:pPr>
        <w:pStyle w:val="24"/>
        <w:spacing w:before="120" w:line="400" w:lineRule="exact"/>
        <w:ind w:left="1332" w:hanging="482"/>
        <w:rPr>
          <w:sz w:val="24"/>
          <w:szCs w:val="24"/>
        </w:rPr>
      </w:pPr>
      <w:r>
        <w:rPr>
          <w:sz w:val="24"/>
          <w:szCs w:val="24"/>
          <w:lang w:eastAsia="zh-CN"/>
        </w:rPr>
        <w:t>□</w:t>
      </w:r>
      <w:r>
        <w:rPr>
          <w:sz w:val="24"/>
          <w:szCs w:val="24"/>
          <w:lang w:eastAsia="zh-CN"/>
        </w:rPr>
        <w:tab/>
      </w:r>
      <w:r>
        <w:rPr>
          <w:sz w:val="24"/>
          <w:szCs w:val="24"/>
          <w:lang w:eastAsia="zh-CN"/>
        </w:rPr>
        <w:t>无</w:t>
      </w:r>
    </w:p>
    <w:p w14:paraId="6AE19F6A">
      <w:pPr>
        <w:pStyle w:val="24"/>
        <w:spacing w:before="120" w:line="400" w:lineRule="exact"/>
      </w:pPr>
    </w:p>
    <w:tbl>
      <w:tblPr>
        <w:tblStyle w:val="8"/>
        <w:tblW w:w="0" w:type="auto"/>
        <w:tblInd w:w="9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7513"/>
      </w:tblGrid>
      <w:tr w14:paraId="6AE19F6E">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090" w:hRule="atLeast"/>
        </w:trPr>
        <w:tc>
          <w:tcPr>
            <w:tcW w:w="7513" w:type="dxa"/>
            <w:shd w:val="clear" w:color="auto" w:fill="FFFFFF"/>
            <w:vAlign w:val="center"/>
          </w:tcPr>
          <w:p w14:paraId="6AE19F6B">
            <w:pPr>
              <w:snapToGrid w:val="0"/>
              <w:spacing w:before="120" w:beforeLines="50" w:line="400" w:lineRule="exact"/>
              <w:jc w:val="both"/>
              <w:rPr>
                <w:lang w:eastAsia="zh-CN"/>
              </w:rPr>
            </w:pPr>
            <w:r>
              <w:rPr>
                <w:b/>
                <w:bCs/>
                <w:lang w:eastAsia="zh-CN"/>
              </w:rPr>
              <w:t>Q8：考虑到采取上市后措施，获益是否超过风险？</w:t>
            </w:r>
          </w:p>
          <w:p w14:paraId="6AE19F6C">
            <w:pPr>
              <w:snapToGrid w:val="0"/>
              <w:spacing w:before="120" w:beforeLines="50" w:line="400" w:lineRule="exact"/>
              <w:jc w:val="both"/>
              <w:rPr>
                <w:lang w:eastAsia="zh-CN"/>
              </w:rPr>
            </w:pPr>
            <w:r>
              <w:rPr>
                <w:lang w:eastAsia="zh-CN"/>
              </w:rPr>
              <w:sym w:font="Wingdings 2" w:char="F054"/>
            </w:r>
            <w:r>
              <w:rPr>
                <w:lang w:eastAsia="zh-CN"/>
              </w:rPr>
              <w:t xml:space="preserve"> 是，效益大于风险</w:t>
            </w:r>
          </w:p>
          <w:p w14:paraId="6AE19F6D">
            <w:pPr>
              <w:snapToGrid w:val="0"/>
              <w:spacing w:before="120" w:beforeLines="50" w:line="400" w:lineRule="exact"/>
              <w:jc w:val="both"/>
              <w:rPr>
                <w:lang w:eastAsia="zh-CN"/>
              </w:rPr>
            </w:pPr>
            <w:r>
              <w:rPr>
                <w:lang w:eastAsia="zh-CN"/>
              </w:rPr>
              <w:t>□ 无法得出获益超过风险的结论 - 继续Q9</w:t>
            </w:r>
          </w:p>
        </w:tc>
      </w:tr>
    </w:tbl>
    <w:p w14:paraId="6AE19F6F">
      <w:pPr>
        <w:snapToGrid w:val="0"/>
        <w:spacing w:before="120" w:beforeLines="50" w:line="400" w:lineRule="exact"/>
        <w:jc w:val="both"/>
        <w:rPr>
          <w:lang w:eastAsia="zh-CN"/>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6" w:hRule="atLeast"/>
        </w:trPr>
        <w:tc>
          <w:tcPr>
            <w:tcW w:w="5000" w:type="pct"/>
            <w:shd w:val="clear" w:color="auto" w:fill="FFFFFF"/>
            <w:vAlign w:val="center"/>
          </w:tcPr>
          <w:p w14:paraId="6AE19F70">
            <w:pPr>
              <w:snapToGrid w:val="0"/>
              <w:spacing w:before="120" w:beforeLines="50" w:line="400" w:lineRule="exact"/>
              <w:jc w:val="both"/>
              <w:rPr>
                <w:b/>
                <w:bCs/>
                <w:u w:val="single"/>
                <w:lang w:eastAsia="zh-CN"/>
              </w:rPr>
            </w:pPr>
            <w:r>
              <w:rPr>
                <w:b/>
                <w:bCs/>
                <w:u w:val="single"/>
                <w:lang w:eastAsia="zh-CN"/>
              </w:rPr>
              <w:t xml:space="preserve">考虑到上市后措施，获益-风险评估总结 </w:t>
            </w:r>
          </w:p>
          <w:p w14:paraId="6AE19F71">
            <w:pPr>
              <w:snapToGrid w:val="0"/>
              <w:spacing w:before="120" w:beforeLines="50" w:line="400" w:lineRule="exact"/>
              <w:jc w:val="both"/>
              <w:rPr>
                <w:lang w:eastAsia="zh-CN"/>
              </w:rPr>
            </w:pPr>
            <w:r>
              <w:rPr>
                <w:b/>
                <w:bCs/>
                <w:lang w:eastAsia="zh-CN"/>
              </w:rPr>
              <w:t>对于拟定适应症：</w:t>
            </w:r>
          </w:p>
          <w:p w14:paraId="6AE19F72">
            <w:pPr>
              <w:snapToGrid w:val="0"/>
              <w:spacing w:before="120" w:beforeLines="50" w:line="400" w:lineRule="exact"/>
              <w:jc w:val="both"/>
              <w:rPr>
                <w:lang w:eastAsia="zh-CN"/>
              </w:rPr>
            </w:pPr>
            <w:r>
              <w:rPr>
                <w:lang w:eastAsia="zh-CN"/>
              </w:rPr>
              <w:t>在充分考虑器械可能的获益和风险、疾病进展的可能性和时间段以及不采取干预措施未来会造成损害的可预测性以后，只要解决上述</w:t>
            </w:r>
            <w:r>
              <w:rPr>
                <w:rFonts w:hint="eastAsia"/>
                <w:lang w:eastAsia="zh-CN"/>
              </w:rPr>
              <w:t>说明书</w:t>
            </w:r>
            <w:r>
              <w:rPr>
                <w:lang w:eastAsia="zh-CN"/>
              </w:rPr>
              <w:t>和培训要求，并进行批准后研究以评价长期性能（包括有效性的维持、长期不良事件和器械持续时间），FDA就可能批准器械。</w:t>
            </w:r>
          </w:p>
        </w:tc>
      </w:tr>
    </w:tbl>
    <w:p w14:paraId="6AE19F74">
      <w:pPr>
        <w:snapToGrid w:val="0"/>
        <w:spacing w:before="120" w:beforeLines="50" w:line="400" w:lineRule="exact"/>
        <w:jc w:val="both"/>
        <w:rPr>
          <w:lang w:eastAsia="zh-CN"/>
        </w:rPr>
      </w:pPr>
    </w:p>
    <w:tbl>
      <w:tblPr>
        <w:tblStyle w:val="8"/>
        <w:tblW w:w="0" w:type="auto"/>
        <w:tblInd w:w="9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7513"/>
      </w:tblGrid>
      <w:tr w14:paraId="6AE19F78">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090" w:hRule="atLeast"/>
        </w:trPr>
        <w:tc>
          <w:tcPr>
            <w:tcW w:w="7513" w:type="dxa"/>
            <w:shd w:val="clear" w:color="auto" w:fill="FFFFFF"/>
          </w:tcPr>
          <w:p w14:paraId="6AE19F75">
            <w:pPr>
              <w:snapToGrid w:val="0"/>
              <w:spacing w:before="120" w:beforeLines="50" w:line="400" w:lineRule="exact"/>
              <w:jc w:val="both"/>
              <w:rPr>
                <w:lang w:eastAsia="zh-CN"/>
              </w:rPr>
            </w:pPr>
            <w:r>
              <w:rPr>
                <w:b/>
                <w:bCs/>
                <w:lang w:eastAsia="zh-CN"/>
              </w:rPr>
              <w:t>Q9：修改后的适应症是否具有临床获益？</w:t>
            </w:r>
          </w:p>
          <w:p w14:paraId="6AE19F76">
            <w:pPr>
              <w:tabs>
                <w:tab w:val="left" w:pos="221"/>
              </w:tabs>
              <w:snapToGrid w:val="0"/>
              <w:spacing w:before="120" w:beforeLines="50" w:line="400" w:lineRule="exact"/>
              <w:jc w:val="both"/>
              <w:rPr>
                <w:lang w:eastAsia="zh-CN"/>
              </w:rPr>
            </w:pPr>
            <w:r>
              <w:rPr>
                <w:lang w:eastAsia="zh-CN"/>
              </w:rPr>
              <w:t xml:space="preserve">□ 是 </w:t>
            </w:r>
            <w:r>
              <w:rPr>
                <w:lang w:eastAsia="zh-CN"/>
              </w:rPr>
              <w:sym w:font="Wingdings" w:char="F0E8"/>
            </w:r>
            <w:r>
              <w:rPr>
                <w:lang w:eastAsia="zh-CN"/>
              </w:rPr>
              <w:t>返回Q1并继续修改后的适应症</w:t>
            </w:r>
          </w:p>
          <w:p w14:paraId="6AE19F77">
            <w:pPr>
              <w:tabs>
                <w:tab w:val="left" w:pos="221"/>
              </w:tabs>
              <w:snapToGrid w:val="0"/>
              <w:spacing w:before="120" w:beforeLines="50" w:line="400" w:lineRule="exact"/>
              <w:jc w:val="both"/>
            </w:pPr>
            <w:r>
              <w:rPr>
                <w:lang w:eastAsia="zh-CN"/>
              </w:rPr>
              <w:t xml:space="preserve">□ 否 </w:t>
            </w:r>
            <w:r>
              <w:rPr>
                <w:lang w:eastAsia="zh-CN"/>
              </w:rPr>
              <w:sym w:font="Wingdings" w:char="F0E8"/>
            </w:r>
            <w:r>
              <w:rPr>
                <w:lang w:eastAsia="zh-CN"/>
              </w:rPr>
              <w:t xml:space="preserve"> 未批准/授予</w:t>
            </w:r>
          </w:p>
        </w:tc>
      </w:tr>
    </w:tbl>
    <w:p w14:paraId="6AE19F79">
      <w:pPr>
        <w:snapToGrid w:val="0"/>
        <w:spacing w:before="120" w:beforeLines="50"/>
        <w:jc w:val="both"/>
      </w:pPr>
      <w:r>
        <w:rPr>
          <w:lang w:eastAsia="zh-CN"/>
        </w:rPr>
        <w:br w:type="page"/>
      </w:r>
    </w:p>
    <w:p w14:paraId="6AE19F7A">
      <w:pPr>
        <w:snapToGrid w:val="0"/>
        <w:spacing w:before="120" w:beforeLines="50" w:after="120" w:afterLines="50"/>
        <w:jc w:val="center"/>
        <w:rPr>
          <w:sz w:val="28"/>
          <w:szCs w:val="28"/>
        </w:rPr>
      </w:pPr>
      <w:bookmarkStart w:id="121" w:name="bookmark98"/>
      <w:r>
        <w:rPr>
          <w:b/>
          <w:bCs/>
          <w:sz w:val="28"/>
          <w:szCs w:val="28"/>
          <w:lang w:eastAsia="zh-CN"/>
        </w:rPr>
        <w:t>获益-风险评估总结</w:t>
      </w:r>
      <w:bookmarkEnd w:id="121"/>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3544"/>
        <w:gridCol w:w="2509"/>
        <w:gridCol w:w="3132"/>
      </w:tblGrid>
      <w:tr w14:paraId="6AE1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 w:hRule="atLeast"/>
        </w:trPr>
        <w:tc>
          <w:tcPr>
            <w:tcW w:w="1929" w:type="pct"/>
            <w:vMerge w:val="restart"/>
            <w:shd w:val="clear" w:color="auto" w:fill="FFFFFF"/>
            <w:vAlign w:val="center"/>
          </w:tcPr>
          <w:p w14:paraId="6AE19F7B">
            <w:pPr>
              <w:snapToGrid w:val="0"/>
              <w:jc w:val="center"/>
              <w:rPr>
                <w:lang w:eastAsia="zh-CN"/>
              </w:rPr>
            </w:pPr>
            <w:r>
              <w:rPr>
                <w:lang w:eastAsia="zh-CN"/>
              </w:rPr>
              <w:t>基于数据器械名称的总和：假设举例2PMA/新分类编号：</w:t>
            </w:r>
          </w:p>
          <w:p w14:paraId="6AE19F7C">
            <w:pPr>
              <w:snapToGrid w:val="0"/>
              <w:jc w:val="center"/>
            </w:pPr>
            <w:r>
              <w:rPr>
                <w:lang w:eastAsia="zh-CN"/>
              </w:rPr>
              <w:t xml:space="preserve">□ 中期 </w:t>
            </w:r>
            <w:r>
              <w:rPr>
                <w:lang w:eastAsia="zh-CN"/>
              </w:rPr>
              <w:sym w:font="Wingdings 2" w:char="F054"/>
            </w:r>
            <w:r>
              <w:rPr>
                <w:lang w:eastAsia="zh-CN"/>
              </w:rPr>
              <w:t xml:space="preserve"> 最终</w:t>
            </w:r>
          </w:p>
        </w:tc>
        <w:tc>
          <w:tcPr>
            <w:tcW w:w="3071" w:type="pct"/>
            <w:gridSpan w:val="2"/>
            <w:tcBorders>
              <w:bottom w:val="single" w:color="auto" w:sz="4" w:space="0"/>
            </w:tcBorders>
            <w:shd w:val="clear" w:color="auto" w:fill="00B0F0"/>
            <w:vAlign w:val="center"/>
          </w:tcPr>
          <w:p w14:paraId="6AE19F7D">
            <w:pPr>
              <w:snapToGrid w:val="0"/>
              <w:jc w:val="center"/>
            </w:pPr>
            <w:r>
              <w:rPr>
                <w:b/>
                <w:bCs/>
                <w:lang w:eastAsia="zh-CN"/>
              </w:rPr>
              <w:t>拟定适应症</w:t>
            </w:r>
          </w:p>
        </w:tc>
      </w:tr>
      <w:tr w14:paraId="6AE1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2" w:hRule="atLeast"/>
        </w:trPr>
        <w:tc>
          <w:tcPr>
            <w:tcW w:w="1929" w:type="pct"/>
            <w:vMerge w:val="continue"/>
            <w:tcBorders>
              <w:bottom w:val="single" w:color="auto" w:sz="4" w:space="0"/>
            </w:tcBorders>
            <w:shd w:val="clear" w:color="auto" w:fill="FFFFFF"/>
            <w:vAlign w:val="center"/>
          </w:tcPr>
          <w:p w14:paraId="6AE19F7F">
            <w:pPr>
              <w:snapToGrid w:val="0"/>
              <w:jc w:val="center"/>
            </w:pPr>
          </w:p>
        </w:tc>
        <w:tc>
          <w:tcPr>
            <w:tcW w:w="3071" w:type="pct"/>
            <w:gridSpan w:val="2"/>
            <w:tcBorders>
              <w:bottom w:val="single" w:color="auto" w:sz="4" w:space="0"/>
            </w:tcBorders>
            <w:shd w:val="clear" w:color="auto" w:fill="DBE5F1" w:themeFill="accent1" w:themeFillTint="33"/>
            <w:vAlign w:val="center"/>
          </w:tcPr>
          <w:p w14:paraId="6AE19F80">
            <w:pPr>
              <w:snapToGrid w:val="0"/>
              <w:jc w:val="center"/>
              <w:rPr>
                <w:lang w:eastAsia="zh-CN"/>
              </w:rPr>
            </w:pPr>
            <w:r>
              <w:rPr>
                <w:lang w:eastAsia="zh-CN"/>
              </w:rPr>
              <w:t>器械预期用作阿尔茨海默病、痴呆和其他记忆障碍患者的记忆替换装置</w:t>
            </w:r>
          </w:p>
        </w:tc>
      </w:tr>
      <w:tr w14:paraId="6AE1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trPr>
        <w:tc>
          <w:tcPr>
            <w:tcW w:w="1929" w:type="pct"/>
            <w:vMerge w:val="restart"/>
            <w:shd w:val="clear" w:color="auto" w:fill="D6E3BC" w:themeFill="accent3" w:themeFillTint="66"/>
            <w:vAlign w:val="center"/>
          </w:tcPr>
          <w:p w14:paraId="6AE19F82">
            <w:pPr>
              <w:snapToGrid w:val="0"/>
              <w:jc w:val="both"/>
            </w:pPr>
            <w:r>
              <w:rPr>
                <w:b/>
                <w:bCs/>
                <w:sz w:val="24"/>
                <w:szCs w:val="24"/>
                <w:lang w:eastAsia="zh-CN"/>
              </w:rPr>
              <w:t>获益评估</w:t>
            </w:r>
          </w:p>
        </w:tc>
        <w:tc>
          <w:tcPr>
            <w:tcW w:w="3071" w:type="pct"/>
            <w:gridSpan w:val="2"/>
            <w:tcBorders>
              <w:bottom w:val="nil"/>
            </w:tcBorders>
            <w:shd w:val="clear" w:color="auto" w:fill="D6E3BC" w:themeFill="accent3" w:themeFillTint="66"/>
          </w:tcPr>
          <w:p w14:paraId="6AE19F83">
            <w:pPr>
              <w:snapToGrid w:val="0"/>
              <w:jc w:val="both"/>
              <w:rPr>
                <w:lang w:eastAsia="zh-CN"/>
              </w:rPr>
            </w:pPr>
            <w:r>
              <w:rPr>
                <w:lang w:eastAsia="zh-CN"/>
              </w:rPr>
              <w:t>从以下方面考虑获益：</w:t>
            </w:r>
          </w:p>
        </w:tc>
      </w:tr>
      <w:tr w14:paraId="6AE1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6" w:hRule="atLeast"/>
        </w:trPr>
        <w:tc>
          <w:tcPr>
            <w:tcW w:w="1929" w:type="pct"/>
            <w:vMerge w:val="continue"/>
            <w:shd w:val="clear" w:color="auto" w:fill="D6E3BC" w:themeFill="accent3" w:themeFillTint="66"/>
            <w:vAlign w:val="center"/>
          </w:tcPr>
          <w:p w14:paraId="6AE19F85">
            <w:pPr>
              <w:snapToGrid w:val="0"/>
              <w:jc w:val="both"/>
              <w:rPr>
                <w:lang w:eastAsia="zh-CN"/>
              </w:rPr>
            </w:pPr>
          </w:p>
        </w:tc>
        <w:tc>
          <w:tcPr>
            <w:tcW w:w="1366" w:type="pct"/>
            <w:tcBorders>
              <w:top w:val="nil"/>
              <w:right w:val="nil"/>
            </w:tcBorders>
            <w:shd w:val="clear" w:color="auto" w:fill="D6E3BC" w:themeFill="accent3" w:themeFillTint="66"/>
          </w:tcPr>
          <w:p w14:paraId="6AE19F86">
            <w:pPr>
              <w:tabs>
                <w:tab w:val="left" w:pos="355"/>
              </w:tabs>
              <w:snapToGrid w:val="0"/>
              <w:jc w:val="both"/>
              <w:rPr>
                <w:lang w:eastAsia="zh-CN"/>
              </w:rPr>
            </w:pPr>
            <w:r>
              <w:rPr>
                <w:lang w:eastAsia="zh-CN"/>
              </w:rPr>
              <w:t>•</w:t>
            </w:r>
            <w:r>
              <w:rPr>
                <w:lang w:eastAsia="zh-CN"/>
              </w:rPr>
              <w:tab/>
            </w:r>
            <w:r>
              <w:rPr>
                <w:lang w:eastAsia="zh-CN"/>
              </w:rPr>
              <w:t>类型</w:t>
            </w:r>
          </w:p>
          <w:p w14:paraId="6AE19F87">
            <w:pPr>
              <w:tabs>
                <w:tab w:val="left" w:pos="355"/>
              </w:tabs>
              <w:snapToGrid w:val="0"/>
              <w:jc w:val="both"/>
              <w:rPr>
                <w:lang w:eastAsia="zh-CN"/>
              </w:rPr>
            </w:pPr>
            <w:r>
              <w:rPr>
                <w:lang w:eastAsia="zh-CN"/>
              </w:rPr>
              <w:t>•</w:t>
            </w:r>
            <w:r>
              <w:rPr>
                <w:lang w:eastAsia="zh-CN"/>
              </w:rPr>
              <w:tab/>
            </w:r>
            <w:r>
              <w:rPr>
                <w:lang w:eastAsia="zh-CN"/>
              </w:rPr>
              <w:t>程度</w:t>
            </w:r>
          </w:p>
          <w:p w14:paraId="6AE19F88">
            <w:pPr>
              <w:tabs>
                <w:tab w:val="left" w:pos="355"/>
              </w:tabs>
              <w:snapToGrid w:val="0"/>
              <w:jc w:val="both"/>
              <w:rPr>
                <w:lang w:eastAsia="zh-CN"/>
              </w:rPr>
            </w:pPr>
            <w:r>
              <w:rPr>
                <w:lang w:eastAsia="zh-CN"/>
              </w:rPr>
              <w:t>•</w:t>
            </w:r>
            <w:r>
              <w:rPr>
                <w:lang w:eastAsia="zh-CN"/>
              </w:rPr>
              <w:tab/>
            </w:r>
            <w:r>
              <w:rPr>
                <w:lang w:eastAsia="zh-CN"/>
              </w:rPr>
              <w:t>概率</w:t>
            </w:r>
          </w:p>
          <w:p w14:paraId="6AE19F89">
            <w:pPr>
              <w:tabs>
                <w:tab w:val="left" w:pos="355"/>
              </w:tabs>
              <w:snapToGrid w:val="0"/>
              <w:jc w:val="both"/>
              <w:rPr>
                <w:lang w:eastAsia="zh-CN"/>
              </w:rPr>
            </w:pPr>
            <w:r>
              <w:rPr>
                <w:lang w:eastAsia="zh-CN"/>
              </w:rPr>
              <w:t>•</w:t>
            </w:r>
            <w:r>
              <w:rPr>
                <w:lang w:eastAsia="zh-CN"/>
              </w:rPr>
              <w:tab/>
            </w:r>
            <w:r>
              <w:rPr>
                <w:lang w:eastAsia="zh-CN"/>
              </w:rPr>
              <w:t>效应持续时间</w:t>
            </w:r>
          </w:p>
        </w:tc>
        <w:tc>
          <w:tcPr>
            <w:tcW w:w="1705" w:type="pct"/>
            <w:tcBorders>
              <w:top w:val="nil"/>
              <w:left w:val="nil"/>
            </w:tcBorders>
            <w:shd w:val="clear" w:color="auto" w:fill="D6E3BC" w:themeFill="accent3" w:themeFillTint="66"/>
          </w:tcPr>
          <w:p w14:paraId="6AE19F8A">
            <w:pPr>
              <w:tabs>
                <w:tab w:val="left" w:pos="355"/>
              </w:tabs>
              <w:snapToGrid w:val="0"/>
              <w:ind w:left="420" w:hanging="420" w:hangingChars="200"/>
              <w:jc w:val="both"/>
              <w:rPr>
                <w:lang w:eastAsia="zh-CN"/>
              </w:rPr>
            </w:pPr>
            <w:r>
              <w:rPr>
                <w:lang w:eastAsia="zh-CN"/>
              </w:rPr>
              <w:t>•</w:t>
            </w:r>
            <w:r>
              <w:rPr>
                <w:lang w:eastAsia="zh-CN"/>
              </w:rPr>
              <w:tab/>
            </w:r>
            <w:r>
              <w:rPr>
                <w:lang w:eastAsia="zh-CN"/>
              </w:rPr>
              <w:t>患者观点（或如适用，健康伴侣和/或医疗保健专业人员观点）</w:t>
            </w:r>
          </w:p>
          <w:p w14:paraId="6AE19F8B">
            <w:pPr>
              <w:tabs>
                <w:tab w:val="left" w:pos="360"/>
              </w:tabs>
              <w:snapToGrid w:val="0"/>
              <w:ind w:left="420" w:hanging="420" w:hangingChars="200"/>
              <w:jc w:val="both"/>
            </w:pPr>
            <w:r>
              <w:rPr>
                <w:lang w:eastAsia="zh-CN"/>
              </w:rPr>
              <w:t>•</w:t>
            </w:r>
            <w:r>
              <w:rPr>
                <w:lang w:eastAsia="zh-CN"/>
              </w:rPr>
              <w:tab/>
            </w:r>
            <w:r>
              <w:rPr>
                <w:lang w:eastAsia="zh-CN"/>
              </w:rPr>
              <w:t>其他</w:t>
            </w:r>
          </w:p>
        </w:tc>
      </w:tr>
      <w:tr w14:paraId="6AE1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5" w:hRule="atLeast"/>
        </w:trPr>
        <w:tc>
          <w:tcPr>
            <w:tcW w:w="1929" w:type="pct"/>
            <w:shd w:val="clear" w:color="auto" w:fill="FFFFFF"/>
            <w:vAlign w:val="center"/>
          </w:tcPr>
          <w:p w14:paraId="6AE19F8D">
            <w:pPr>
              <w:snapToGrid w:val="0"/>
              <w:jc w:val="both"/>
              <w:rPr>
                <w:lang w:eastAsia="zh-CN"/>
              </w:rPr>
            </w:pPr>
            <w:r>
              <w:rPr>
                <w:lang w:eastAsia="zh-CN"/>
              </w:rPr>
              <w:t>1.是否存在具有临床获益的证据？</w:t>
            </w:r>
          </w:p>
        </w:tc>
        <w:tc>
          <w:tcPr>
            <w:tcW w:w="3071" w:type="pct"/>
            <w:gridSpan w:val="2"/>
            <w:shd w:val="clear" w:color="auto" w:fill="FFFFFF"/>
            <w:vAlign w:val="center"/>
          </w:tcPr>
          <w:p w14:paraId="6AE19F8E">
            <w:pPr>
              <w:snapToGrid w:val="0"/>
              <w:jc w:val="both"/>
              <w:rPr>
                <w:lang w:eastAsia="zh-CN"/>
              </w:rPr>
            </w:pPr>
            <w:r>
              <w:rPr>
                <w:lang w:eastAsia="zh-CN"/>
              </w:rPr>
              <w:sym w:font="Wingdings 2" w:char="F054"/>
            </w:r>
            <w:r>
              <w:rPr>
                <w:lang w:eastAsia="zh-CN"/>
              </w:rPr>
              <w:t xml:space="preserve"> 是 </w:t>
            </w:r>
            <w:r>
              <w:rPr>
                <w:lang w:eastAsia="zh-CN"/>
              </w:rPr>
              <w:sym w:font="Wingdings" w:char="F0E8"/>
            </w:r>
            <w:r>
              <w:rPr>
                <w:lang w:eastAsia="zh-CN"/>
              </w:rPr>
              <w:t xml:space="preserve"> Q2</w:t>
            </w:r>
          </w:p>
          <w:p w14:paraId="6AE19F8F">
            <w:pPr>
              <w:snapToGrid w:val="0"/>
              <w:jc w:val="both"/>
              <w:rPr>
                <w:lang w:eastAsia="zh-CN"/>
              </w:rPr>
            </w:pPr>
            <w:r>
              <w:rPr>
                <w:lang w:eastAsia="zh-CN"/>
              </w:rPr>
              <w:t xml:space="preserve">□ 否 </w:t>
            </w:r>
            <w:r>
              <w:rPr>
                <w:lang w:eastAsia="zh-CN"/>
              </w:rPr>
              <w:sym w:font="Wingdings" w:char="F0E8"/>
            </w:r>
            <w:r>
              <w:rPr>
                <w:lang w:eastAsia="zh-CN"/>
              </w:rPr>
              <w:t xml:space="preserve"> 未批准/授予拟定适应症；继续Q9</w:t>
            </w:r>
          </w:p>
        </w:tc>
      </w:tr>
      <w:tr w14:paraId="6AE1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trPr>
        <w:tc>
          <w:tcPr>
            <w:tcW w:w="1929" w:type="pct"/>
            <w:tcBorders>
              <w:bottom w:val="single" w:color="auto" w:sz="4" w:space="0"/>
            </w:tcBorders>
            <w:shd w:val="clear" w:color="auto" w:fill="FFFFFF"/>
            <w:vAlign w:val="center"/>
          </w:tcPr>
          <w:p w14:paraId="6AE19F91">
            <w:pPr>
              <w:snapToGrid w:val="0"/>
              <w:jc w:val="both"/>
              <w:rPr>
                <w:lang w:eastAsia="zh-CN"/>
              </w:rPr>
            </w:pPr>
            <w:r>
              <w:rPr>
                <w:lang w:eastAsia="zh-CN"/>
              </w:rPr>
              <w:t>2.获益的不确定性如何？</w:t>
            </w:r>
          </w:p>
        </w:tc>
        <w:tc>
          <w:tcPr>
            <w:tcW w:w="3071" w:type="pct"/>
            <w:gridSpan w:val="2"/>
            <w:tcBorders>
              <w:bottom w:val="single" w:color="auto" w:sz="4" w:space="0"/>
            </w:tcBorders>
            <w:shd w:val="clear" w:color="auto" w:fill="FFFFFF"/>
            <w:vAlign w:val="center"/>
          </w:tcPr>
          <w:p w14:paraId="6AE19F92">
            <w:pPr>
              <w:snapToGrid w:val="0"/>
              <w:jc w:val="both"/>
              <w:rPr>
                <w:lang w:eastAsia="zh-CN"/>
              </w:rPr>
            </w:pPr>
            <w:r>
              <w:rPr>
                <w:lang w:eastAsia="zh-CN"/>
              </w:rPr>
              <w:t xml:space="preserve">□ 高 </w:t>
            </w:r>
            <w:r>
              <w:rPr>
                <w:lang w:eastAsia="zh-CN"/>
              </w:rPr>
              <w:sym w:font="Wingdings 2" w:char="F054"/>
            </w:r>
            <w:r>
              <w:rPr>
                <w:lang w:eastAsia="zh-CN"/>
              </w:rPr>
              <w:t xml:space="preserve"> 中 □ 低</w:t>
            </w:r>
          </w:p>
          <w:p w14:paraId="6AE19F93">
            <w:pPr>
              <w:snapToGrid w:val="0"/>
              <w:jc w:val="both"/>
              <w:rPr>
                <w:lang w:eastAsia="zh-CN"/>
              </w:rPr>
            </w:pPr>
            <w:r>
              <w:rPr>
                <w:lang w:eastAsia="zh-CN"/>
              </w:rPr>
              <w:t>继续问题3</w:t>
            </w:r>
          </w:p>
        </w:tc>
      </w:tr>
      <w:tr w14:paraId="6AE1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3" w:hRule="atLeast"/>
        </w:trPr>
        <w:tc>
          <w:tcPr>
            <w:tcW w:w="1929" w:type="pct"/>
            <w:vMerge w:val="restart"/>
            <w:shd w:val="clear" w:color="auto" w:fill="F2DBDB" w:themeFill="accent2" w:themeFillTint="33"/>
            <w:vAlign w:val="center"/>
          </w:tcPr>
          <w:p w14:paraId="6AE19F95">
            <w:pPr>
              <w:snapToGrid w:val="0"/>
              <w:jc w:val="both"/>
            </w:pPr>
            <w:r>
              <w:rPr>
                <w:b/>
                <w:bCs/>
                <w:sz w:val="24"/>
                <w:szCs w:val="24"/>
                <w:lang w:eastAsia="zh-CN"/>
              </w:rPr>
              <w:t>风险评估</w:t>
            </w:r>
          </w:p>
        </w:tc>
        <w:tc>
          <w:tcPr>
            <w:tcW w:w="3071" w:type="pct"/>
            <w:gridSpan w:val="2"/>
            <w:tcBorders>
              <w:bottom w:val="nil"/>
            </w:tcBorders>
            <w:shd w:val="clear" w:color="auto" w:fill="F2DBDB" w:themeFill="accent2" w:themeFillTint="33"/>
            <w:vAlign w:val="center"/>
          </w:tcPr>
          <w:p w14:paraId="6AE19F96">
            <w:pPr>
              <w:snapToGrid w:val="0"/>
              <w:jc w:val="both"/>
              <w:rPr>
                <w:lang w:eastAsia="zh-CN"/>
              </w:rPr>
            </w:pPr>
            <w:r>
              <w:rPr>
                <w:lang w:eastAsia="zh-CN"/>
              </w:rPr>
              <w:t>从以下方面考虑获益：</w:t>
            </w:r>
          </w:p>
        </w:tc>
      </w:tr>
      <w:tr w14:paraId="6AE1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0" w:hRule="atLeast"/>
        </w:trPr>
        <w:tc>
          <w:tcPr>
            <w:tcW w:w="1929" w:type="pct"/>
            <w:vMerge w:val="continue"/>
            <w:shd w:val="clear" w:color="auto" w:fill="F2DBDB" w:themeFill="accent2" w:themeFillTint="33"/>
            <w:vAlign w:val="center"/>
          </w:tcPr>
          <w:p w14:paraId="6AE19F98">
            <w:pPr>
              <w:snapToGrid w:val="0"/>
              <w:jc w:val="both"/>
              <w:rPr>
                <w:lang w:eastAsia="zh-CN"/>
              </w:rPr>
            </w:pPr>
          </w:p>
        </w:tc>
        <w:tc>
          <w:tcPr>
            <w:tcW w:w="1366" w:type="pct"/>
            <w:tcBorders>
              <w:top w:val="nil"/>
              <w:right w:val="nil"/>
            </w:tcBorders>
            <w:shd w:val="clear" w:color="auto" w:fill="F2DBDB" w:themeFill="accent2" w:themeFillTint="33"/>
          </w:tcPr>
          <w:p w14:paraId="6AE19F99">
            <w:pPr>
              <w:tabs>
                <w:tab w:val="left" w:pos="365"/>
              </w:tabs>
              <w:snapToGrid w:val="0"/>
              <w:jc w:val="both"/>
              <w:rPr>
                <w:lang w:eastAsia="zh-CN"/>
              </w:rPr>
            </w:pPr>
            <w:r>
              <w:rPr>
                <w:lang w:eastAsia="zh-CN"/>
              </w:rPr>
              <w:t>•</w:t>
            </w:r>
            <w:r>
              <w:rPr>
                <w:lang w:eastAsia="zh-CN"/>
              </w:rPr>
              <w:tab/>
            </w:r>
            <w:r>
              <w:rPr>
                <w:lang w:eastAsia="zh-CN"/>
              </w:rPr>
              <w:t>有害事件的严重程度、类型、数量和比率</w:t>
            </w:r>
          </w:p>
          <w:p w14:paraId="6AE19F9A">
            <w:pPr>
              <w:tabs>
                <w:tab w:val="left" w:pos="355"/>
              </w:tabs>
              <w:snapToGrid w:val="0"/>
              <w:jc w:val="both"/>
              <w:rPr>
                <w:lang w:eastAsia="zh-CN"/>
              </w:rPr>
            </w:pPr>
            <w:r>
              <w:rPr>
                <w:lang w:eastAsia="zh-CN"/>
              </w:rPr>
              <w:t>•</w:t>
            </w:r>
            <w:r>
              <w:rPr>
                <w:lang w:eastAsia="zh-CN"/>
              </w:rPr>
              <w:tab/>
            </w:r>
            <w:r>
              <w:rPr>
                <w:lang w:eastAsia="zh-CN"/>
              </w:rPr>
              <w:t>有害事件的概率</w:t>
            </w:r>
          </w:p>
          <w:p w14:paraId="6AE19F9B">
            <w:pPr>
              <w:tabs>
                <w:tab w:val="left" w:pos="355"/>
              </w:tabs>
              <w:snapToGrid w:val="0"/>
              <w:jc w:val="both"/>
              <w:rPr>
                <w:lang w:eastAsia="zh-CN"/>
              </w:rPr>
            </w:pPr>
            <w:r>
              <w:rPr>
                <w:lang w:eastAsia="zh-CN"/>
              </w:rPr>
              <w:t>•</w:t>
            </w:r>
            <w:r>
              <w:rPr>
                <w:lang w:eastAsia="zh-CN"/>
              </w:rPr>
              <w:tab/>
            </w:r>
            <w:r>
              <w:rPr>
                <w:lang w:eastAsia="zh-CN"/>
              </w:rPr>
              <w:t>有害事件的持续时间</w:t>
            </w:r>
          </w:p>
        </w:tc>
        <w:tc>
          <w:tcPr>
            <w:tcW w:w="1705" w:type="pct"/>
            <w:tcBorders>
              <w:top w:val="nil"/>
              <w:left w:val="nil"/>
            </w:tcBorders>
            <w:shd w:val="clear" w:color="auto" w:fill="F2DBDB" w:themeFill="accent2" w:themeFillTint="33"/>
          </w:tcPr>
          <w:p w14:paraId="6AE19F9C">
            <w:pPr>
              <w:tabs>
                <w:tab w:val="left" w:pos="360"/>
              </w:tabs>
              <w:snapToGrid w:val="0"/>
              <w:ind w:left="420" w:hanging="420" w:hangingChars="200"/>
              <w:jc w:val="both"/>
              <w:rPr>
                <w:lang w:eastAsia="zh-CN"/>
              </w:rPr>
            </w:pPr>
            <w:r>
              <w:rPr>
                <w:lang w:eastAsia="zh-CN"/>
              </w:rPr>
              <w:t>•</w:t>
            </w:r>
            <w:r>
              <w:rPr>
                <w:lang w:eastAsia="zh-CN"/>
              </w:rPr>
              <w:tab/>
            </w:r>
            <w:r>
              <w:rPr>
                <w:lang w:eastAsia="zh-CN"/>
              </w:rPr>
              <w:t>假阳性或假阴性结果的风险</w:t>
            </w:r>
          </w:p>
          <w:p w14:paraId="6AE19F9D">
            <w:pPr>
              <w:tabs>
                <w:tab w:val="left" w:pos="360"/>
              </w:tabs>
              <w:snapToGrid w:val="0"/>
              <w:ind w:left="420" w:hanging="420" w:hangingChars="200"/>
              <w:jc w:val="both"/>
              <w:rPr>
                <w:lang w:eastAsia="zh-CN"/>
              </w:rPr>
            </w:pPr>
            <w:r>
              <w:rPr>
                <w:lang w:eastAsia="zh-CN"/>
              </w:rPr>
              <w:t>•</w:t>
            </w:r>
            <w:r>
              <w:rPr>
                <w:lang w:eastAsia="zh-CN"/>
              </w:rPr>
              <w:tab/>
            </w:r>
            <w:r>
              <w:rPr>
                <w:lang w:eastAsia="zh-CN"/>
              </w:rPr>
              <w:t>患者观点（或如适用，健康伴侣和/或医疗保健专业人员观点）</w:t>
            </w:r>
          </w:p>
          <w:p w14:paraId="6AE19F9E">
            <w:pPr>
              <w:tabs>
                <w:tab w:val="left" w:pos="360"/>
              </w:tabs>
              <w:snapToGrid w:val="0"/>
              <w:ind w:left="420" w:hanging="420" w:hangingChars="200"/>
              <w:jc w:val="both"/>
            </w:pPr>
            <w:r>
              <w:rPr>
                <w:lang w:eastAsia="zh-CN"/>
              </w:rPr>
              <w:t>•</w:t>
            </w:r>
            <w:r>
              <w:rPr>
                <w:lang w:eastAsia="zh-CN"/>
              </w:rPr>
              <w:tab/>
            </w:r>
            <w:r>
              <w:rPr>
                <w:lang w:eastAsia="zh-CN"/>
              </w:rPr>
              <w:t>其他</w:t>
            </w:r>
          </w:p>
        </w:tc>
      </w:tr>
      <w:tr w14:paraId="6AE1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0" w:hRule="atLeast"/>
        </w:trPr>
        <w:tc>
          <w:tcPr>
            <w:tcW w:w="1929" w:type="pct"/>
            <w:shd w:val="clear" w:color="auto" w:fill="FFFFFF"/>
            <w:vAlign w:val="center"/>
          </w:tcPr>
          <w:p w14:paraId="6AE19FA0">
            <w:pPr>
              <w:snapToGrid w:val="0"/>
              <w:jc w:val="both"/>
              <w:rPr>
                <w:lang w:eastAsia="zh-CN"/>
              </w:rPr>
            </w:pPr>
            <w:r>
              <w:rPr>
                <w:lang w:eastAsia="zh-CN"/>
              </w:rPr>
              <w:t>3.已知/可能的风险是否超过最小值？</w:t>
            </w:r>
          </w:p>
        </w:tc>
        <w:tc>
          <w:tcPr>
            <w:tcW w:w="3071" w:type="pct"/>
            <w:gridSpan w:val="2"/>
            <w:shd w:val="clear" w:color="auto" w:fill="FFFFFF"/>
            <w:vAlign w:val="center"/>
          </w:tcPr>
          <w:p w14:paraId="6AE19FA1">
            <w:pPr>
              <w:snapToGrid w:val="0"/>
              <w:jc w:val="both"/>
            </w:pPr>
            <w:r>
              <w:rPr>
                <w:lang w:eastAsia="zh-CN"/>
              </w:rPr>
              <w:sym w:font="Wingdings 2" w:char="F054"/>
            </w:r>
            <w:r>
              <w:rPr>
                <w:lang w:eastAsia="zh-CN"/>
              </w:rPr>
              <w:t xml:space="preserve"> 是 </w:t>
            </w:r>
            <w:r>
              <w:rPr>
                <w:lang w:eastAsia="zh-CN"/>
              </w:rPr>
              <w:sym w:font="Wingdings" w:char="F0E8"/>
            </w:r>
            <w:r>
              <w:rPr>
                <w:lang w:eastAsia="zh-CN"/>
              </w:rPr>
              <w:t xml:space="preserve"> Q4</w:t>
            </w:r>
          </w:p>
          <w:p w14:paraId="6AE19FA2">
            <w:pPr>
              <w:snapToGrid w:val="0"/>
              <w:jc w:val="both"/>
            </w:pPr>
            <w:r>
              <w:rPr>
                <w:lang w:eastAsia="zh-CN"/>
              </w:rPr>
              <w:t xml:space="preserve">□ 否 </w:t>
            </w:r>
            <w:r>
              <w:rPr>
                <w:lang w:eastAsia="zh-CN"/>
              </w:rPr>
              <w:sym w:font="Wingdings" w:char="F0E8"/>
            </w:r>
            <w:r>
              <w:rPr>
                <w:lang w:eastAsia="zh-CN"/>
              </w:rPr>
              <w:t xml:space="preserve"> Q4</w:t>
            </w:r>
          </w:p>
        </w:tc>
      </w:tr>
      <w:tr w14:paraId="6AE1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trPr>
        <w:tc>
          <w:tcPr>
            <w:tcW w:w="1929" w:type="pct"/>
            <w:tcBorders>
              <w:bottom w:val="single" w:color="auto" w:sz="4" w:space="0"/>
            </w:tcBorders>
            <w:shd w:val="clear" w:color="auto" w:fill="FFFFFF"/>
            <w:vAlign w:val="center"/>
          </w:tcPr>
          <w:p w14:paraId="6AE19FA4">
            <w:pPr>
              <w:snapToGrid w:val="0"/>
              <w:jc w:val="both"/>
              <w:rPr>
                <w:lang w:eastAsia="zh-CN"/>
              </w:rPr>
            </w:pPr>
            <w:r>
              <w:rPr>
                <w:lang w:eastAsia="zh-CN"/>
              </w:rPr>
              <w:t>4.风险的不确定性如何？</w:t>
            </w:r>
          </w:p>
        </w:tc>
        <w:tc>
          <w:tcPr>
            <w:tcW w:w="3071" w:type="pct"/>
            <w:gridSpan w:val="2"/>
            <w:tcBorders>
              <w:bottom w:val="single" w:color="auto" w:sz="4" w:space="0"/>
            </w:tcBorders>
            <w:shd w:val="clear" w:color="auto" w:fill="FFFFFF"/>
            <w:vAlign w:val="center"/>
          </w:tcPr>
          <w:p w14:paraId="6AE19FA5">
            <w:pPr>
              <w:snapToGrid w:val="0"/>
              <w:jc w:val="both"/>
              <w:rPr>
                <w:lang w:eastAsia="zh-CN"/>
              </w:rPr>
            </w:pPr>
            <w:r>
              <w:rPr>
                <w:lang w:eastAsia="zh-CN"/>
              </w:rPr>
              <w:t xml:space="preserve">□ 高 </w:t>
            </w:r>
            <w:r>
              <w:rPr>
                <w:lang w:eastAsia="zh-CN"/>
              </w:rPr>
              <w:sym w:font="Wingdings 2" w:char="F054"/>
            </w:r>
            <w:r>
              <w:rPr>
                <w:lang w:eastAsia="zh-CN"/>
              </w:rPr>
              <w:t xml:space="preserve"> 中 □ 低</w:t>
            </w:r>
          </w:p>
          <w:p w14:paraId="6AE19FA6">
            <w:pPr>
              <w:snapToGrid w:val="0"/>
              <w:jc w:val="both"/>
              <w:rPr>
                <w:lang w:eastAsia="zh-CN"/>
              </w:rPr>
            </w:pPr>
            <w:r>
              <w:rPr>
                <w:lang w:eastAsia="zh-CN"/>
              </w:rPr>
              <w:t>继续问题5</w:t>
            </w:r>
          </w:p>
        </w:tc>
      </w:tr>
      <w:tr w14:paraId="6AE1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9" w:hRule="atLeast"/>
        </w:trPr>
        <w:tc>
          <w:tcPr>
            <w:tcW w:w="5000" w:type="pct"/>
            <w:gridSpan w:val="3"/>
            <w:shd w:val="clear" w:color="auto" w:fill="F2F2F2"/>
            <w:vAlign w:val="center"/>
          </w:tcPr>
          <w:p w14:paraId="6AE19FA8">
            <w:pPr>
              <w:snapToGrid w:val="0"/>
              <w:jc w:val="both"/>
            </w:pPr>
            <w:r>
              <w:rPr>
                <w:b/>
                <w:bCs/>
                <w:sz w:val="24"/>
                <w:szCs w:val="24"/>
                <w:lang w:eastAsia="zh-CN"/>
              </w:rPr>
              <w:t>获益-风险评估</w:t>
            </w:r>
          </w:p>
        </w:tc>
      </w:tr>
      <w:tr w14:paraId="6AE1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0" w:hRule="atLeast"/>
        </w:trPr>
        <w:tc>
          <w:tcPr>
            <w:tcW w:w="1929" w:type="pct"/>
            <w:shd w:val="clear" w:color="auto" w:fill="FFFFFF"/>
            <w:vAlign w:val="center"/>
          </w:tcPr>
          <w:p w14:paraId="6AE19FAA">
            <w:pPr>
              <w:snapToGrid w:val="0"/>
              <w:jc w:val="both"/>
            </w:pPr>
            <w:r>
              <w:rPr>
                <w:lang w:eastAsia="zh-CN"/>
              </w:rPr>
              <w:t>5.获益是否超过风险？</w:t>
            </w:r>
          </w:p>
        </w:tc>
        <w:tc>
          <w:tcPr>
            <w:tcW w:w="3071" w:type="pct"/>
            <w:gridSpan w:val="2"/>
            <w:shd w:val="clear" w:color="auto" w:fill="FFFFFF"/>
            <w:vAlign w:val="center"/>
          </w:tcPr>
          <w:p w14:paraId="6AE19FAB">
            <w:pPr>
              <w:snapToGrid w:val="0"/>
              <w:jc w:val="both"/>
              <w:rPr>
                <w:lang w:eastAsia="zh-CN"/>
              </w:rPr>
            </w:pPr>
            <w:r>
              <w:rPr>
                <w:lang w:eastAsia="zh-CN"/>
              </w:rPr>
              <w:t xml:space="preserve">□ 是 </w:t>
            </w:r>
            <w:r>
              <w:rPr>
                <w:lang w:eastAsia="zh-CN"/>
              </w:rPr>
              <w:sym w:font="Wingdings" w:char="F0E8"/>
            </w:r>
            <w:r>
              <w:rPr>
                <w:lang w:eastAsia="zh-CN"/>
              </w:rPr>
              <w:t xml:space="preserve"> 填写工作表</w:t>
            </w:r>
          </w:p>
          <w:p w14:paraId="6AE19FAC">
            <w:pPr>
              <w:snapToGrid w:val="0"/>
              <w:jc w:val="both"/>
              <w:rPr>
                <w:lang w:eastAsia="zh-CN"/>
              </w:rPr>
            </w:pPr>
            <w:r>
              <w:rPr>
                <w:lang w:eastAsia="zh-CN"/>
              </w:rPr>
              <w:sym w:font="Wingdings 2" w:char="F054"/>
            </w:r>
            <w:r>
              <w:rPr>
                <w:lang w:eastAsia="zh-CN"/>
              </w:rPr>
              <w:t>无法得出获益超过风险的结论</w:t>
            </w:r>
            <w:r>
              <w:rPr>
                <w:lang w:eastAsia="zh-CN"/>
              </w:rPr>
              <w:sym w:font="Wingdings" w:char="F0E8"/>
            </w:r>
            <w:r>
              <w:rPr>
                <w:lang w:eastAsia="zh-CN"/>
              </w:rPr>
              <w:t xml:space="preserve"> Q6</w:t>
            </w:r>
          </w:p>
        </w:tc>
      </w:tr>
      <w:tr w14:paraId="6AE1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3" w:hRule="atLeast"/>
        </w:trPr>
        <w:tc>
          <w:tcPr>
            <w:tcW w:w="1929" w:type="pct"/>
            <w:shd w:val="clear" w:color="auto" w:fill="FFFFFF"/>
            <w:vAlign w:val="center"/>
          </w:tcPr>
          <w:p w14:paraId="6AE19FAE">
            <w:pPr>
              <w:snapToGrid w:val="0"/>
              <w:jc w:val="both"/>
              <w:rPr>
                <w:lang w:eastAsia="zh-CN"/>
              </w:rPr>
            </w:pPr>
            <w:r>
              <w:rPr>
                <w:lang w:eastAsia="zh-CN"/>
              </w:rPr>
              <w:t>6.当考虑其他考虑因素时，获益是否超过风险？</w:t>
            </w:r>
          </w:p>
        </w:tc>
        <w:tc>
          <w:tcPr>
            <w:tcW w:w="3071" w:type="pct"/>
            <w:gridSpan w:val="2"/>
            <w:shd w:val="clear" w:color="auto" w:fill="FFFFFF"/>
            <w:vAlign w:val="center"/>
          </w:tcPr>
          <w:p w14:paraId="6AE19FAF">
            <w:pPr>
              <w:snapToGrid w:val="0"/>
              <w:jc w:val="both"/>
              <w:rPr>
                <w:lang w:eastAsia="zh-CN"/>
              </w:rPr>
            </w:pPr>
            <w:r>
              <w:rPr>
                <w:lang w:eastAsia="zh-CN"/>
              </w:rPr>
              <w:t xml:space="preserve">□ 是 </w:t>
            </w:r>
            <w:r>
              <w:rPr>
                <w:lang w:eastAsia="zh-CN"/>
              </w:rPr>
              <w:sym w:font="Wingdings" w:char="F0E8"/>
            </w:r>
            <w:r>
              <w:rPr>
                <w:lang w:eastAsia="zh-CN"/>
              </w:rPr>
              <w:t xml:space="preserve"> 填写工作表</w:t>
            </w:r>
          </w:p>
          <w:p w14:paraId="6AE19FB0">
            <w:pPr>
              <w:snapToGrid w:val="0"/>
              <w:jc w:val="both"/>
              <w:rPr>
                <w:lang w:eastAsia="zh-CN"/>
              </w:rPr>
            </w:pPr>
            <w:r>
              <w:rPr>
                <w:lang w:eastAsia="zh-CN"/>
              </w:rPr>
              <w:sym w:font="Wingdings 2" w:char="F054"/>
            </w:r>
            <w:r>
              <w:rPr>
                <w:lang w:eastAsia="zh-CN"/>
              </w:rPr>
              <w:t>无法得出获益超过风险的结论</w:t>
            </w:r>
            <w:r>
              <w:rPr>
                <w:lang w:eastAsia="zh-CN"/>
              </w:rPr>
              <w:sym w:font="Wingdings" w:char="F0E8"/>
            </w:r>
            <w:r>
              <w:rPr>
                <w:lang w:eastAsia="zh-CN"/>
              </w:rPr>
              <w:t xml:space="preserve"> Q7</w:t>
            </w:r>
          </w:p>
        </w:tc>
      </w:tr>
      <w:tr w14:paraId="6AE1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atLeast"/>
        </w:trPr>
        <w:tc>
          <w:tcPr>
            <w:tcW w:w="1929" w:type="pct"/>
            <w:shd w:val="clear" w:color="auto" w:fill="FFFFFF"/>
            <w:vAlign w:val="center"/>
          </w:tcPr>
          <w:p w14:paraId="6AE19FB2">
            <w:pPr>
              <w:snapToGrid w:val="0"/>
              <w:jc w:val="both"/>
              <w:rPr>
                <w:lang w:eastAsia="zh-CN"/>
              </w:rPr>
            </w:pPr>
            <w:r>
              <w:rPr>
                <w:lang w:eastAsia="zh-CN"/>
              </w:rPr>
              <w:t>7.是否可以缓解风险以使获益超过风险？</w:t>
            </w:r>
          </w:p>
        </w:tc>
        <w:tc>
          <w:tcPr>
            <w:tcW w:w="3071" w:type="pct"/>
            <w:gridSpan w:val="2"/>
            <w:shd w:val="clear" w:color="auto" w:fill="FFFFFF"/>
            <w:vAlign w:val="center"/>
          </w:tcPr>
          <w:p w14:paraId="6AE19FB3">
            <w:pPr>
              <w:snapToGrid w:val="0"/>
              <w:jc w:val="both"/>
              <w:rPr>
                <w:lang w:eastAsia="zh-CN"/>
              </w:rPr>
            </w:pPr>
            <w:r>
              <w:rPr>
                <w:lang w:eastAsia="zh-CN"/>
              </w:rPr>
              <w:t xml:space="preserve">□ 是 </w:t>
            </w:r>
            <w:r>
              <w:rPr>
                <w:lang w:eastAsia="zh-CN"/>
              </w:rPr>
              <w:sym w:font="Wingdings" w:char="F0E8"/>
            </w:r>
            <w:r>
              <w:rPr>
                <w:lang w:eastAsia="zh-CN"/>
              </w:rPr>
              <w:t xml:space="preserve"> 填写工作表</w:t>
            </w:r>
          </w:p>
          <w:p w14:paraId="6AE19FB4">
            <w:pPr>
              <w:snapToGrid w:val="0"/>
              <w:jc w:val="both"/>
              <w:rPr>
                <w:lang w:eastAsia="zh-CN"/>
              </w:rPr>
            </w:pPr>
            <w:r>
              <w:rPr>
                <w:lang w:eastAsia="zh-CN"/>
              </w:rPr>
              <w:sym w:font="Wingdings 2" w:char="F054"/>
            </w:r>
            <w:r>
              <w:rPr>
                <w:lang w:eastAsia="zh-CN"/>
              </w:rPr>
              <w:t>无法得出获益超过风险的结论</w:t>
            </w:r>
            <w:r>
              <w:rPr>
                <w:lang w:eastAsia="zh-CN"/>
              </w:rPr>
              <w:sym w:font="Wingdings" w:char="F0E8"/>
            </w:r>
            <w:r>
              <w:rPr>
                <w:lang w:eastAsia="zh-CN"/>
              </w:rPr>
              <w:t xml:space="preserve"> Q8</w:t>
            </w:r>
          </w:p>
        </w:tc>
      </w:tr>
      <w:tr w14:paraId="6AE1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8" w:hRule="atLeast"/>
        </w:trPr>
        <w:tc>
          <w:tcPr>
            <w:tcW w:w="1929" w:type="pct"/>
            <w:shd w:val="clear" w:color="auto" w:fill="FFFFFF"/>
            <w:vAlign w:val="center"/>
          </w:tcPr>
          <w:p w14:paraId="6AE19FB6">
            <w:pPr>
              <w:snapToGrid w:val="0"/>
              <w:jc w:val="both"/>
              <w:rPr>
                <w:lang w:eastAsia="zh-CN"/>
              </w:rPr>
            </w:pPr>
            <w:r>
              <w:rPr>
                <w:lang w:eastAsia="zh-CN"/>
              </w:rPr>
              <w:t>8.考虑到采取上市后措施，获益是否超过风险？</w:t>
            </w:r>
          </w:p>
        </w:tc>
        <w:tc>
          <w:tcPr>
            <w:tcW w:w="3071" w:type="pct"/>
            <w:gridSpan w:val="2"/>
            <w:shd w:val="clear" w:color="auto" w:fill="FFFFFF"/>
            <w:vAlign w:val="center"/>
          </w:tcPr>
          <w:p w14:paraId="6AE19FB7">
            <w:pPr>
              <w:snapToGrid w:val="0"/>
              <w:jc w:val="both"/>
              <w:rPr>
                <w:lang w:eastAsia="zh-CN"/>
              </w:rPr>
            </w:pPr>
            <w:r>
              <w:rPr>
                <w:lang w:eastAsia="zh-CN"/>
              </w:rPr>
              <w:sym w:font="Wingdings 2" w:char="F054"/>
            </w:r>
            <w:r>
              <w:rPr>
                <w:lang w:eastAsia="zh-CN"/>
              </w:rPr>
              <w:t xml:space="preserve"> 是 </w:t>
            </w:r>
            <w:r>
              <w:rPr>
                <w:lang w:eastAsia="zh-CN"/>
              </w:rPr>
              <w:sym w:font="Wingdings" w:char="F0E8"/>
            </w:r>
            <w:r>
              <w:rPr>
                <w:lang w:eastAsia="zh-CN"/>
              </w:rPr>
              <w:t>填写工作表</w:t>
            </w:r>
          </w:p>
          <w:p w14:paraId="6AE19FB8">
            <w:pPr>
              <w:snapToGrid w:val="0"/>
              <w:jc w:val="both"/>
              <w:rPr>
                <w:lang w:eastAsia="zh-CN"/>
              </w:rPr>
            </w:pPr>
            <w:r>
              <w:rPr>
                <w:lang w:eastAsia="zh-CN"/>
              </w:rPr>
              <w:t>□ 无法得出获益超过风险的结论</w:t>
            </w:r>
            <w:r>
              <w:rPr>
                <w:lang w:eastAsia="zh-CN"/>
              </w:rPr>
              <w:sym w:font="Wingdings" w:char="F0E8"/>
            </w:r>
            <w:r>
              <w:rPr>
                <w:lang w:eastAsia="zh-CN"/>
              </w:rPr>
              <w:t xml:space="preserve"> Q9</w:t>
            </w:r>
          </w:p>
        </w:tc>
      </w:tr>
      <w:tr w14:paraId="6AE1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9" w:hRule="atLeast"/>
        </w:trPr>
        <w:tc>
          <w:tcPr>
            <w:tcW w:w="1929" w:type="pct"/>
            <w:shd w:val="clear" w:color="auto" w:fill="FFFFFF"/>
            <w:vAlign w:val="center"/>
          </w:tcPr>
          <w:p w14:paraId="6AE19FBA">
            <w:pPr>
              <w:snapToGrid w:val="0"/>
              <w:jc w:val="both"/>
              <w:rPr>
                <w:lang w:eastAsia="zh-CN"/>
              </w:rPr>
            </w:pPr>
            <w:r>
              <w:rPr>
                <w:lang w:eastAsia="zh-CN"/>
              </w:rPr>
              <w:t>9.修改后的适应症是否具有临床获益？</w:t>
            </w:r>
          </w:p>
        </w:tc>
        <w:tc>
          <w:tcPr>
            <w:tcW w:w="3071" w:type="pct"/>
            <w:gridSpan w:val="2"/>
            <w:shd w:val="clear" w:color="auto" w:fill="FFFFFF"/>
            <w:vAlign w:val="center"/>
          </w:tcPr>
          <w:p w14:paraId="6AE19FBB">
            <w:pPr>
              <w:tabs>
                <w:tab w:val="left" w:pos="221"/>
              </w:tabs>
              <w:snapToGrid w:val="0"/>
              <w:jc w:val="both"/>
              <w:rPr>
                <w:lang w:eastAsia="zh-CN"/>
              </w:rPr>
            </w:pPr>
            <w:r>
              <w:rPr>
                <w:lang w:eastAsia="zh-CN"/>
              </w:rPr>
              <w:t xml:space="preserve">□ 是 </w:t>
            </w:r>
            <w:r>
              <w:rPr>
                <w:lang w:eastAsia="zh-CN"/>
              </w:rPr>
              <w:sym w:font="Wingdings" w:char="F0E8"/>
            </w:r>
            <w:r>
              <w:rPr>
                <w:lang w:eastAsia="zh-CN"/>
              </w:rPr>
              <w:t>返回Q1并继续修改后的适应症</w:t>
            </w:r>
          </w:p>
          <w:p w14:paraId="6AE19FBC">
            <w:pPr>
              <w:tabs>
                <w:tab w:val="left" w:pos="221"/>
              </w:tabs>
              <w:snapToGrid w:val="0"/>
              <w:jc w:val="both"/>
            </w:pPr>
            <w:r>
              <w:rPr>
                <w:lang w:eastAsia="zh-CN"/>
              </w:rPr>
              <w:t xml:space="preserve">□ 否 </w:t>
            </w:r>
            <w:r>
              <w:rPr>
                <w:lang w:eastAsia="zh-CN"/>
              </w:rPr>
              <w:sym w:font="Wingdings" w:char="F0E8"/>
            </w:r>
            <w:r>
              <w:rPr>
                <w:lang w:eastAsia="zh-CN"/>
              </w:rPr>
              <w:t xml:space="preserve"> 未批准/授予</w:t>
            </w:r>
          </w:p>
        </w:tc>
      </w:tr>
    </w:tbl>
    <w:p w14:paraId="6AE19FBE">
      <w:pPr>
        <w:snapToGrid w:val="0"/>
        <w:spacing w:before="120" w:beforeLines="50"/>
        <w:jc w:val="both"/>
      </w:pPr>
      <w:r>
        <w:rPr>
          <w:lang w:eastAsia="zh-CN"/>
        </w:rPr>
        <w:br w:type="page"/>
      </w:r>
    </w:p>
    <w:p w14:paraId="6AE19FBF">
      <w:pPr>
        <w:pStyle w:val="26"/>
        <w:spacing w:before="120" w:after="120" w:line="400" w:lineRule="exact"/>
      </w:pPr>
      <w:bookmarkStart w:id="122" w:name="bookmark99"/>
      <w:bookmarkStart w:id="123" w:name="_Toc97318834"/>
      <w:bookmarkStart w:id="124" w:name="bookmark100"/>
      <w:r>
        <w:rPr>
          <w:lang w:eastAsia="zh-CN"/>
        </w:rPr>
        <w:t>假设举例3的工作表</w:t>
      </w:r>
      <w:bookmarkEnd w:id="122"/>
      <w:bookmarkEnd w:id="123"/>
      <w:bookmarkEnd w:id="124"/>
    </w:p>
    <w:p w14:paraId="6AE19FC0">
      <w:pPr>
        <w:snapToGrid w:val="0"/>
        <w:spacing w:before="120" w:beforeLines="50" w:line="400" w:lineRule="exact"/>
        <w:jc w:val="both"/>
        <w:rPr>
          <w:sz w:val="24"/>
          <w:szCs w:val="24"/>
          <w:lang w:eastAsia="zh-CN"/>
        </w:rPr>
      </w:pPr>
      <w:r>
        <w:rPr>
          <w:i/>
          <w:iCs/>
          <w:sz w:val="24"/>
          <w:szCs w:val="24"/>
          <w:lang w:eastAsia="zh-CN"/>
        </w:rPr>
        <w:t>对FDA工作人员的说明：</w:t>
      </w:r>
      <w:r>
        <w:rPr>
          <w:sz w:val="24"/>
          <w:szCs w:val="24"/>
          <w:lang w:eastAsia="zh-CN"/>
        </w:rPr>
        <w:t>应该根据所有证据对获益-风险评估提出建议。在决定是否批准申请期间会进行获益-风险评估，但是不会评估所有适用的批准要求。有迹象表明这些工具的获益超过风险并不意味着申请满足其他适用PMA申请或新分类申请的要求。</w:t>
      </w:r>
    </w:p>
    <w:p w14:paraId="6AE19FC1">
      <w:pPr>
        <w:snapToGrid w:val="0"/>
        <w:spacing w:before="120" w:beforeLines="50" w:line="400" w:lineRule="exact"/>
        <w:jc w:val="both"/>
        <w:rPr>
          <w:sz w:val="24"/>
          <w:szCs w:val="24"/>
          <w:lang w:eastAsia="zh-CN"/>
        </w:rPr>
      </w:pPr>
      <w:r>
        <w:rPr>
          <w:sz w:val="24"/>
          <w:szCs w:val="24"/>
          <w:lang w:eastAsia="zh-CN"/>
        </w:rPr>
        <w:t>在获益-风险评估期间，以下问题将用作帮助权衡多个因素的顺序法。同样，这些问题旨在帮助确定和解释哪些因素和考虑因素在特定器械的获益-风险评估中起到关键作用。但是，这些问题并不意味着除了已完成的工作表中列出的考虑因素以外的其他考虑因素是不相关的。当以有效的科学证据的形式提交非临床和/或临床证据时，应使用本清单。</w:t>
      </w:r>
    </w:p>
    <w:p w14:paraId="6AE19FC2">
      <w:pPr>
        <w:snapToGrid w:val="0"/>
        <w:spacing w:before="120" w:beforeLines="50" w:line="400" w:lineRule="exact"/>
        <w:jc w:val="both"/>
        <w:rPr>
          <w:sz w:val="24"/>
          <w:szCs w:val="24"/>
          <w:lang w:eastAsia="zh-CN"/>
        </w:rPr>
      </w:pPr>
      <w:r>
        <w:rPr>
          <w:sz w:val="24"/>
          <w:szCs w:val="24"/>
          <w:lang w:eastAsia="zh-CN"/>
        </w:rPr>
        <w:t>拟定适应症考虑问题1-8，直至获得获益超过风险或转到问题9的建议，这会提示您考虑修改适应症。在考虑适用的修改适应症时，与申办者</w:t>
      </w:r>
      <w:r>
        <w:rPr>
          <w:rFonts w:hint="eastAsia"/>
          <w:sz w:val="24"/>
          <w:szCs w:val="24"/>
          <w:lang w:eastAsia="zh-CN"/>
        </w:rPr>
        <w:t>沟通</w:t>
      </w:r>
      <w:r>
        <w:rPr>
          <w:sz w:val="24"/>
          <w:szCs w:val="24"/>
          <w:lang w:eastAsia="zh-CN"/>
        </w:rPr>
        <w:t>，以</w:t>
      </w:r>
      <w:r>
        <w:rPr>
          <w:rFonts w:hint="eastAsia"/>
          <w:sz w:val="24"/>
          <w:szCs w:val="24"/>
          <w:lang w:eastAsia="zh-CN"/>
        </w:rPr>
        <w:t>就</w:t>
      </w:r>
      <w:r>
        <w:rPr>
          <w:sz w:val="24"/>
          <w:szCs w:val="24"/>
          <w:lang w:eastAsia="zh-CN"/>
        </w:rPr>
        <w:t>修改后的适应症达成协议。然而，如问题1所示，如果证据不支持拟定适应症（或</w:t>
      </w:r>
      <w:r>
        <w:rPr>
          <w:rFonts w:hint="eastAsia"/>
          <w:sz w:val="24"/>
          <w:szCs w:val="24"/>
          <w:lang w:eastAsia="zh-CN"/>
        </w:rPr>
        <w:t>缩减</w:t>
      </w:r>
      <w:r>
        <w:rPr>
          <w:sz w:val="24"/>
          <w:szCs w:val="24"/>
          <w:lang w:eastAsia="zh-CN"/>
        </w:rPr>
        <w:t>后的适应症）的获益结果，或者证据不支持无法达到拟定适应症的结果和有关修改后适应症的协议或者不适用，则无法批准或授予申请。</w:t>
      </w:r>
    </w:p>
    <w:p w14:paraId="6AE19FC3">
      <w:pPr>
        <w:snapToGrid w:val="0"/>
        <w:spacing w:before="120" w:beforeLines="50" w:line="400" w:lineRule="exact"/>
        <w:jc w:val="both"/>
        <w:rPr>
          <w:sz w:val="24"/>
          <w:szCs w:val="24"/>
          <w:lang w:eastAsia="zh-CN"/>
        </w:rPr>
      </w:pPr>
      <w:bookmarkStart w:id="125" w:name="bookmark101"/>
      <w:r>
        <w:rPr>
          <w:b/>
          <w:bCs/>
          <w:sz w:val="24"/>
          <w:szCs w:val="24"/>
          <w:lang w:eastAsia="zh-CN"/>
        </w:rPr>
        <w:t>获益评估</w:t>
      </w:r>
      <w:bookmarkEnd w:id="125"/>
    </w:p>
    <w:p w14:paraId="6AE19FC4">
      <w:pPr>
        <w:pStyle w:val="22"/>
        <w:spacing w:before="120" w:line="400" w:lineRule="exact"/>
      </w:pPr>
      <w:bookmarkStart w:id="126" w:name="bookmark102"/>
      <w:r>
        <w:t>1.</w:t>
      </w:r>
      <w:r>
        <w:tab/>
      </w:r>
      <w:r>
        <w:t>是否有任何临床获益的证据？</w:t>
      </w:r>
      <w:bookmarkEnd w:id="126"/>
    </w:p>
    <w:p w14:paraId="6AE19FC5">
      <w:pPr>
        <w:pStyle w:val="21"/>
        <w:spacing w:before="120" w:line="400" w:lineRule="exact"/>
        <w:rPr>
          <w:sz w:val="24"/>
          <w:szCs w:val="24"/>
          <w:lang w:eastAsia="zh-CN"/>
        </w:rPr>
      </w:pPr>
      <w:r>
        <w:rPr>
          <w:sz w:val="24"/>
          <w:szCs w:val="24"/>
          <w:lang w:eastAsia="zh-CN"/>
        </w:rPr>
        <w:t>是否证明器械的该适应症具有临床获益（例如根据任何一个或更多主要和/或次要数据集或相关真实世界证据）？可以在患者感觉、功能、生存或可接受的替代结局方面对获益进行考虑。可以使用经确认的工具（例如生活质量问卷）收集该信息。也可以在管理或诊断疾病或状况的便利性方面对获益进行考虑。应根据数据的评估、结果是否具有统计学意义来对获益进行考虑。</w:t>
      </w:r>
      <w:r>
        <w:rPr>
          <w:i/>
          <w:iCs/>
          <w:sz w:val="24"/>
          <w:szCs w:val="24"/>
          <w:lang w:eastAsia="zh-CN"/>
        </w:rPr>
        <w:t>选择以下其中任何一项证明获益的项目，然后回答以下方框中的问题。</w:t>
      </w:r>
    </w:p>
    <w:p w14:paraId="6AE19FC6">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至少1次临床评估的有利变化等于或高于对照组</w:t>
      </w:r>
    </w:p>
    <w:p w14:paraId="6AE19FC7">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至少1次临床评估的有利变化符合预定的性能目标</w:t>
      </w:r>
    </w:p>
    <w:p w14:paraId="6AE19FC8">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至少1次临床评估的有利变化符合或超过最低的重要临床差异</w:t>
      </w:r>
    </w:p>
    <w:p w14:paraId="6AE19FC9">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至少1次临床评估的有利变化等于或高于疾病或状况的其他可用方式的变化</w:t>
      </w:r>
    </w:p>
    <w:p w14:paraId="6AE19FCA">
      <w:pPr>
        <w:pStyle w:val="23"/>
        <w:spacing w:before="120" w:line="400" w:lineRule="exact"/>
        <w:ind w:left="1740" w:hanging="480"/>
        <w:rPr>
          <w:sz w:val="24"/>
          <w:szCs w:val="24"/>
          <w:lang w:eastAsia="zh-CN"/>
        </w:rPr>
      </w:pPr>
      <w:r>
        <w:rPr>
          <w:sz w:val="24"/>
          <w:szCs w:val="24"/>
          <w:lang w:eastAsia="zh-CN"/>
        </w:rPr>
        <w:sym w:font="Wingdings 2" w:char="F054"/>
      </w:r>
      <w:r>
        <w:rPr>
          <w:sz w:val="24"/>
          <w:szCs w:val="24"/>
          <w:lang w:eastAsia="zh-CN"/>
        </w:rPr>
        <w:tab/>
      </w:r>
      <w:r>
        <w:rPr>
          <w:sz w:val="24"/>
          <w:szCs w:val="24"/>
          <w:lang w:eastAsia="zh-CN"/>
        </w:rPr>
        <w:t>考虑到状况的严重度、慢性性质等，再加上患者报告的结局和健康相关生活质量，至少1次临床评估的有利变化对患者有意义</w:t>
      </w:r>
    </w:p>
    <w:p w14:paraId="6AE19FCB">
      <w:pPr>
        <w:pStyle w:val="23"/>
        <w:spacing w:before="120" w:line="400" w:lineRule="exact"/>
        <w:ind w:left="1740" w:hanging="480"/>
        <w:rPr>
          <w:sz w:val="24"/>
          <w:szCs w:val="24"/>
          <w:lang w:eastAsia="zh-CN"/>
        </w:rPr>
      </w:pPr>
      <w:r>
        <w:rPr>
          <w:sz w:val="24"/>
          <w:szCs w:val="24"/>
          <w:lang w:eastAsia="zh-CN"/>
        </w:rPr>
        <w:t>其他：</w:t>
      </w:r>
    </w:p>
    <w:p w14:paraId="6AE19FCC">
      <w:pPr>
        <w:snapToGrid w:val="0"/>
        <w:spacing w:before="120" w:beforeLines="50"/>
        <w:jc w:val="both"/>
        <w:rPr>
          <w:lang w:eastAsia="zh-CN"/>
        </w:rPr>
      </w:pPr>
      <w:r>
        <w:rPr>
          <w:lang w:eastAsia="zh-CN"/>
        </w:rPr>
        <w:br w:type="page"/>
      </w:r>
    </w:p>
    <w:p w14:paraId="6AE19FCD">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非临床数据或建模的有利变化可以预测临床结局</w:t>
      </w:r>
    </w:p>
    <w:p w14:paraId="6AE19FCE">
      <w:pPr>
        <w:pStyle w:val="23"/>
        <w:spacing w:before="120" w:line="400" w:lineRule="exact"/>
        <w:ind w:left="1740" w:hanging="480"/>
        <w:rPr>
          <w:sz w:val="24"/>
          <w:szCs w:val="24"/>
          <w:lang w:eastAsia="zh-CN"/>
        </w:rPr>
      </w:pPr>
      <w:r>
        <w:rPr>
          <w:sz w:val="24"/>
          <w:szCs w:val="24"/>
          <w:lang w:eastAsia="zh-CN"/>
        </w:rPr>
        <w:sym w:font="Wingdings 2" w:char="F054"/>
      </w:r>
      <w:r>
        <w:rPr>
          <w:sz w:val="24"/>
          <w:szCs w:val="24"/>
          <w:lang w:eastAsia="zh-CN"/>
        </w:rPr>
        <w:tab/>
      </w:r>
      <w:r>
        <w:rPr>
          <w:sz w:val="24"/>
          <w:szCs w:val="24"/>
          <w:lang w:eastAsia="zh-CN"/>
        </w:rPr>
        <w:t>有利的临床性能特征（例如敏感性/PPA、</w:t>
      </w:r>
      <w:r>
        <w:fldChar w:fldCharType="begin"/>
      </w:r>
      <w:r>
        <w:instrText xml:space="preserve"> HYPERLINK \l "bookmark103" \o "Current Document" \h </w:instrText>
      </w:r>
      <w:r>
        <w:fldChar w:fldCharType="separate"/>
      </w:r>
      <w:r>
        <w:rPr>
          <w:sz w:val="24"/>
          <w:szCs w:val="24"/>
          <w:vertAlign w:val="superscript"/>
          <w:lang w:eastAsia="zh-CN"/>
        </w:rPr>
        <w:t>31</w:t>
      </w:r>
      <w:r>
        <w:rPr>
          <w:sz w:val="24"/>
          <w:szCs w:val="24"/>
          <w:vertAlign w:val="superscript"/>
          <w:lang w:eastAsia="zh-CN"/>
        </w:rPr>
        <w:fldChar w:fldCharType="end"/>
      </w:r>
      <w:r>
        <w:rPr>
          <w:sz w:val="24"/>
          <w:szCs w:val="24"/>
          <w:lang w:eastAsia="zh-CN"/>
        </w:rPr>
        <w:t>特异性/NPA</w:t>
      </w:r>
      <w:r>
        <w:fldChar w:fldCharType="begin"/>
      </w:r>
      <w:r>
        <w:instrText xml:space="preserve"> HYPERLINK \l "bookmark104" \o "当前文件" \h </w:instrText>
      </w:r>
      <w:r>
        <w:fldChar w:fldCharType="separate"/>
      </w:r>
      <w:r>
        <w:rPr>
          <w:sz w:val="24"/>
          <w:szCs w:val="24"/>
          <w:vertAlign w:val="superscript"/>
          <w:lang w:eastAsia="zh-CN"/>
        </w:rPr>
        <w:t>32</w:t>
      </w:r>
      <w:r>
        <w:rPr>
          <w:sz w:val="24"/>
          <w:szCs w:val="24"/>
          <w:vertAlign w:val="superscript"/>
          <w:lang w:eastAsia="zh-CN"/>
        </w:rPr>
        <w:fldChar w:fldCharType="end"/>
      </w:r>
      <w:r>
        <w:rPr>
          <w:sz w:val="24"/>
          <w:szCs w:val="24"/>
          <w:lang w:eastAsia="zh-CN"/>
        </w:rPr>
        <w:t>等），可用于筛查、诊断、预后、监测或治疗选择</w:t>
      </w:r>
    </w:p>
    <w:p w14:paraId="6AE19FCF">
      <w:pPr>
        <w:pStyle w:val="23"/>
        <w:spacing w:before="120" w:line="400" w:lineRule="exact"/>
        <w:ind w:left="1740" w:hanging="480"/>
        <w:rPr>
          <w:sz w:val="24"/>
          <w:szCs w:val="24"/>
          <w:lang w:eastAsia="zh-CN"/>
        </w:rPr>
      </w:pPr>
      <w:r>
        <w:rPr>
          <w:sz w:val="24"/>
          <w:szCs w:val="24"/>
          <w:lang w:eastAsia="zh-CN"/>
        </w:rPr>
        <w:t>□</w:t>
      </w:r>
      <w:r>
        <w:rPr>
          <w:sz w:val="24"/>
          <w:szCs w:val="24"/>
          <w:lang w:eastAsia="zh-CN"/>
        </w:rPr>
        <w:tab/>
      </w:r>
      <w:r>
        <w:rPr>
          <w:sz w:val="24"/>
          <w:szCs w:val="24"/>
          <w:lang w:eastAsia="zh-CN"/>
        </w:rPr>
        <w:t>器械的分析确认显示性能特征可以接受</w:t>
      </w:r>
    </w:p>
    <w:p w14:paraId="6AE19FD0">
      <w:pPr>
        <w:pStyle w:val="23"/>
        <w:spacing w:before="120" w:line="400" w:lineRule="exact"/>
        <w:ind w:left="1740" w:hanging="480"/>
        <w:rPr>
          <w:sz w:val="24"/>
          <w:szCs w:val="24"/>
        </w:rPr>
      </w:pPr>
      <w:r>
        <w:rPr>
          <w:sz w:val="24"/>
          <w:szCs w:val="24"/>
          <w:lang w:eastAsia="zh-CN"/>
        </w:rPr>
        <w:t>□</w:t>
      </w:r>
      <w:r>
        <w:rPr>
          <w:sz w:val="24"/>
          <w:szCs w:val="24"/>
          <w:lang w:eastAsia="zh-CN"/>
        </w:rPr>
        <w:tab/>
      </w:r>
      <w:r>
        <w:rPr>
          <w:sz w:val="24"/>
          <w:szCs w:val="24"/>
          <w:lang w:eastAsia="zh-CN"/>
        </w:rPr>
        <w:t>其他：</w:t>
      </w:r>
    </w:p>
    <w:p w14:paraId="6AE19FD1">
      <w:pPr>
        <w:pStyle w:val="23"/>
        <w:spacing w:before="120" w:line="400" w:lineRule="exact"/>
        <w:ind w:left="1740" w:hanging="480"/>
        <w:rPr>
          <w:sz w:val="24"/>
          <w:szCs w:val="24"/>
        </w:rPr>
      </w:pPr>
      <w:r>
        <w:rPr>
          <w:sz w:val="24"/>
          <w:szCs w:val="24"/>
          <w:lang w:eastAsia="zh-CN"/>
        </w:rPr>
        <w:t>□</w:t>
      </w:r>
      <w:r>
        <w:rPr>
          <w:sz w:val="24"/>
          <w:szCs w:val="24"/>
          <w:lang w:eastAsia="zh-CN"/>
        </w:rPr>
        <w:tab/>
      </w:r>
      <w:r>
        <w:rPr>
          <w:sz w:val="24"/>
          <w:szCs w:val="24"/>
          <w:lang w:eastAsia="zh-CN"/>
        </w:rPr>
        <w:t>无</w:t>
      </w:r>
    </w:p>
    <w:p w14:paraId="6AE19FD2">
      <w:pPr>
        <w:pStyle w:val="23"/>
        <w:spacing w:before="120" w:line="400" w:lineRule="exact"/>
      </w:pPr>
    </w:p>
    <w:tbl>
      <w:tblPr>
        <w:tblStyle w:val="8"/>
        <w:tblW w:w="4660" w:type="pct"/>
        <w:tblInd w:w="624"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8560"/>
      </w:tblGrid>
      <w:tr w14:paraId="6AE19FD6">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090" w:hRule="atLeast"/>
        </w:trPr>
        <w:tc>
          <w:tcPr>
            <w:tcW w:w="5000" w:type="pct"/>
            <w:shd w:val="clear" w:color="auto" w:fill="FFFFFF"/>
            <w:vAlign w:val="center"/>
          </w:tcPr>
          <w:p w14:paraId="6AE19FD3">
            <w:pPr>
              <w:snapToGrid w:val="0"/>
              <w:spacing w:before="120" w:beforeLines="50" w:line="400" w:lineRule="exact"/>
              <w:jc w:val="both"/>
              <w:rPr>
                <w:lang w:eastAsia="zh-CN"/>
              </w:rPr>
            </w:pPr>
            <w:r>
              <w:rPr>
                <w:b/>
                <w:bCs/>
                <w:lang w:eastAsia="zh-CN"/>
              </w:rPr>
              <w:t>Q1：是否存在具有临床获益的证据？</w:t>
            </w:r>
          </w:p>
          <w:p w14:paraId="6AE19FD4">
            <w:pPr>
              <w:snapToGrid w:val="0"/>
              <w:spacing w:before="120" w:beforeLines="50" w:line="400" w:lineRule="exact"/>
              <w:jc w:val="both"/>
              <w:rPr>
                <w:lang w:eastAsia="zh-CN"/>
              </w:rPr>
            </w:pPr>
            <w:r>
              <w:rPr>
                <w:lang w:eastAsia="zh-CN"/>
              </w:rPr>
              <w:sym w:font="Wingdings 2" w:char="F054"/>
            </w:r>
            <w:r>
              <w:rPr>
                <w:lang w:eastAsia="zh-CN"/>
              </w:rPr>
              <w:t>是</w:t>
            </w:r>
            <w:r>
              <w:rPr>
                <w:lang w:eastAsia="zh-CN"/>
              </w:rPr>
              <w:sym w:font="Wingdings" w:char="F0E8"/>
            </w:r>
            <w:r>
              <w:rPr>
                <w:lang w:eastAsia="zh-CN"/>
              </w:rPr>
              <w:t>继续问题2</w:t>
            </w:r>
          </w:p>
          <w:p w14:paraId="6AE19FD5">
            <w:pPr>
              <w:snapToGrid w:val="0"/>
              <w:spacing w:before="120" w:beforeLines="50" w:line="400" w:lineRule="exact"/>
              <w:jc w:val="both"/>
              <w:rPr>
                <w:lang w:eastAsia="zh-CN"/>
              </w:rPr>
            </w:pPr>
            <w:r>
              <w:rPr>
                <w:lang w:eastAsia="zh-CN"/>
              </w:rPr>
              <w:t>□ 否</w:t>
            </w:r>
            <w:r>
              <w:rPr>
                <w:lang w:eastAsia="zh-CN"/>
              </w:rPr>
              <w:sym w:font="Wingdings" w:char="F0E8"/>
            </w:r>
            <w:r>
              <w:rPr>
                <w:lang w:eastAsia="zh-CN"/>
              </w:rPr>
              <w:t>转至问题9</w:t>
            </w:r>
          </w:p>
        </w:tc>
      </w:tr>
    </w:tbl>
    <w:p w14:paraId="6AE19FD7">
      <w:pPr>
        <w:tabs>
          <w:tab w:val="left" w:pos="561"/>
        </w:tabs>
        <w:snapToGrid w:val="0"/>
        <w:spacing w:before="120" w:beforeLines="50"/>
        <w:jc w:val="both"/>
        <w:rPr>
          <w:b/>
          <w:bCs/>
          <w:lang w:eastAsia="zh-CN"/>
        </w:rPr>
      </w:pPr>
      <w:bookmarkStart w:id="127" w:name="bookmark103"/>
      <w:bookmarkStart w:id="128" w:name="bookmark104"/>
    </w:p>
    <w:p w14:paraId="6AE19FD8">
      <w:pPr>
        <w:tabs>
          <w:tab w:val="left" w:pos="561"/>
        </w:tabs>
        <w:snapToGrid w:val="0"/>
        <w:spacing w:before="120" w:beforeLines="50"/>
        <w:jc w:val="both"/>
        <w:rPr>
          <w:b/>
          <w:bCs/>
          <w:lang w:eastAsia="zh-CN"/>
        </w:rPr>
      </w:pPr>
    </w:p>
    <w:p w14:paraId="6AE19FD9">
      <w:pPr>
        <w:tabs>
          <w:tab w:val="left" w:pos="561"/>
        </w:tabs>
        <w:snapToGrid w:val="0"/>
        <w:spacing w:before="120" w:beforeLines="50"/>
        <w:jc w:val="both"/>
        <w:rPr>
          <w:b/>
          <w:bCs/>
          <w:lang w:eastAsia="zh-CN"/>
        </w:rPr>
      </w:pPr>
    </w:p>
    <w:p w14:paraId="6AE19FDA">
      <w:pPr>
        <w:tabs>
          <w:tab w:val="left" w:pos="561"/>
        </w:tabs>
        <w:snapToGrid w:val="0"/>
        <w:spacing w:before="120" w:beforeLines="50"/>
        <w:jc w:val="both"/>
        <w:rPr>
          <w:b/>
          <w:bCs/>
          <w:lang w:eastAsia="zh-CN"/>
        </w:rPr>
      </w:pPr>
    </w:p>
    <w:p w14:paraId="6AE19FDB">
      <w:pPr>
        <w:tabs>
          <w:tab w:val="left" w:pos="561"/>
        </w:tabs>
        <w:snapToGrid w:val="0"/>
        <w:spacing w:before="120" w:beforeLines="50"/>
        <w:jc w:val="both"/>
        <w:rPr>
          <w:b/>
          <w:bCs/>
          <w:lang w:eastAsia="zh-CN"/>
        </w:rPr>
      </w:pPr>
    </w:p>
    <w:p w14:paraId="6AE19FDC">
      <w:pPr>
        <w:tabs>
          <w:tab w:val="left" w:pos="561"/>
        </w:tabs>
        <w:snapToGrid w:val="0"/>
        <w:spacing w:before="120" w:beforeLines="50"/>
        <w:jc w:val="both"/>
        <w:rPr>
          <w:b/>
          <w:bCs/>
          <w:lang w:eastAsia="zh-CN"/>
        </w:rPr>
      </w:pPr>
    </w:p>
    <w:p w14:paraId="6AE19FDD">
      <w:pPr>
        <w:tabs>
          <w:tab w:val="left" w:pos="561"/>
        </w:tabs>
        <w:snapToGrid w:val="0"/>
        <w:spacing w:before="120" w:beforeLines="50"/>
        <w:jc w:val="both"/>
        <w:rPr>
          <w:b/>
          <w:bCs/>
          <w:lang w:eastAsia="zh-CN"/>
        </w:rPr>
      </w:pPr>
    </w:p>
    <w:p w14:paraId="6AE19FDE">
      <w:pPr>
        <w:tabs>
          <w:tab w:val="left" w:pos="561"/>
        </w:tabs>
        <w:snapToGrid w:val="0"/>
        <w:spacing w:before="120" w:beforeLines="50"/>
        <w:jc w:val="both"/>
        <w:rPr>
          <w:b/>
          <w:bCs/>
          <w:lang w:eastAsia="zh-CN"/>
        </w:rPr>
      </w:pPr>
    </w:p>
    <w:p w14:paraId="6AE19FDF">
      <w:pPr>
        <w:tabs>
          <w:tab w:val="left" w:pos="561"/>
        </w:tabs>
        <w:snapToGrid w:val="0"/>
        <w:spacing w:before="120" w:beforeLines="50"/>
        <w:jc w:val="both"/>
        <w:rPr>
          <w:b/>
          <w:bCs/>
          <w:lang w:eastAsia="zh-CN"/>
        </w:rPr>
      </w:pPr>
    </w:p>
    <w:p w14:paraId="6AE19FE0">
      <w:pPr>
        <w:tabs>
          <w:tab w:val="left" w:pos="561"/>
        </w:tabs>
        <w:snapToGrid w:val="0"/>
        <w:spacing w:before="120" w:beforeLines="50"/>
        <w:jc w:val="both"/>
        <w:rPr>
          <w:b/>
          <w:bCs/>
          <w:lang w:eastAsia="zh-CN"/>
        </w:rPr>
      </w:pPr>
    </w:p>
    <w:p w14:paraId="6AE19FE1">
      <w:pPr>
        <w:tabs>
          <w:tab w:val="left" w:pos="561"/>
        </w:tabs>
        <w:snapToGrid w:val="0"/>
        <w:spacing w:before="120" w:beforeLines="50"/>
        <w:jc w:val="both"/>
        <w:rPr>
          <w:b/>
          <w:bCs/>
          <w:lang w:eastAsia="zh-CN"/>
        </w:rPr>
      </w:pPr>
    </w:p>
    <w:p w14:paraId="6AE19FE2">
      <w:pPr>
        <w:tabs>
          <w:tab w:val="left" w:pos="561"/>
        </w:tabs>
        <w:snapToGrid w:val="0"/>
        <w:spacing w:before="120" w:beforeLines="50"/>
        <w:jc w:val="both"/>
        <w:rPr>
          <w:b/>
          <w:bCs/>
          <w:lang w:eastAsia="zh-CN"/>
        </w:rPr>
      </w:pPr>
    </w:p>
    <w:p w14:paraId="6AE19FE3">
      <w:pPr>
        <w:tabs>
          <w:tab w:val="left" w:pos="561"/>
        </w:tabs>
        <w:snapToGrid w:val="0"/>
        <w:spacing w:before="120" w:beforeLines="50"/>
        <w:jc w:val="both"/>
        <w:rPr>
          <w:b/>
          <w:bCs/>
          <w:lang w:eastAsia="zh-CN"/>
        </w:rPr>
      </w:pPr>
    </w:p>
    <w:p w14:paraId="6AE19FE4">
      <w:pPr>
        <w:tabs>
          <w:tab w:val="left" w:pos="561"/>
        </w:tabs>
        <w:snapToGrid w:val="0"/>
        <w:spacing w:before="120" w:beforeLines="50"/>
        <w:jc w:val="both"/>
        <w:rPr>
          <w:b/>
          <w:bCs/>
          <w:lang w:eastAsia="zh-CN"/>
        </w:rPr>
      </w:pPr>
    </w:p>
    <w:p w14:paraId="6AE19FE5">
      <w:pPr>
        <w:tabs>
          <w:tab w:val="left" w:pos="561"/>
        </w:tabs>
        <w:snapToGrid w:val="0"/>
        <w:spacing w:before="120" w:beforeLines="50"/>
        <w:jc w:val="both"/>
        <w:rPr>
          <w:b/>
          <w:bCs/>
          <w:lang w:eastAsia="zh-CN"/>
        </w:rPr>
      </w:pPr>
    </w:p>
    <w:p w14:paraId="6AE19FE6">
      <w:pPr>
        <w:tabs>
          <w:tab w:val="left" w:pos="561"/>
        </w:tabs>
        <w:snapToGrid w:val="0"/>
        <w:spacing w:before="120" w:beforeLines="50"/>
        <w:jc w:val="both"/>
        <w:rPr>
          <w:b/>
          <w:bCs/>
          <w:lang w:eastAsia="zh-CN"/>
        </w:rPr>
      </w:pPr>
    </w:p>
    <w:p w14:paraId="6AE19FE7">
      <w:pPr>
        <w:tabs>
          <w:tab w:val="left" w:pos="561"/>
        </w:tabs>
        <w:snapToGrid w:val="0"/>
        <w:spacing w:before="120" w:beforeLines="50"/>
        <w:jc w:val="both"/>
        <w:rPr>
          <w:b/>
          <w:bCs/>
          <w:lang w:eastAsia="zh-CN"/>
        </w:rPr>
      </w:pPr>
    </w:p>
    <w:p w14:paraId="6AE19FE8">
      <w:pPr>
        <w:tabs>
          <w:tab w:val="left" w:pos="561"/>
        </w:tabs>
        <w:snapToGrid w:val="0"/>
        <w:spacing w:before="120" w:beforeLines="50"/>
        <w:jc w:val="both"/>
        <w:rPr>
          <w:b/>
          <w:bCs/>
          <w:lang w:eastAsia="zh-CN"/>
        </w:rPr>
      </w:pPr>
    </w:p>
    <w:p w14:paraId="6AE19FE9">
      <w:pPr>
        <w:tabs>
          <w:tab w:val="left" w:pos="561"/>
        </w:tabs>
        <w:snapToGrid w:val="0"/>
        <w:spacing w:before="120" w:beforeLines="50"/>
        <w:jc w:val="both"/>
        <w:rPr>
          <w:b/>
          <w:bCs/>
          <w:lang w:eastAsia="zh-CN"/>
        </w:rPr>
      </w:pPr>
    </w:p>
    <w:p w14:paraId="6AE19FEA">
      <w:pPr>
        <w:tabs>
          <w:tab w:val="left" w:pos="561"/>
        </w:tabs>
        <w:snapToGrid w:val="0"/>
        <w:spacing w:before="120" w:beforeLines="50"/>
        <w:jc w:val="both"/>
        <w:rPr>
          <w:b/>
          <w:bCs/>
          <w:lang w:eastAsia="zh-CN"/>
        </w:rPr>
      </w:pPr>
    </w:p>
    <w:p w14:paraId="6AE19FEB">
      <w:pPr>
        <w:tabs>
          <w:tab w:val="left" w:pos="561"/>
        </w:tabs>
        <w:snapToGrid w:val="0"/>
        <w:spacing w:before="120" w:beforeLines="50"/>
        <w:jc w:val="both"/>
        <w:rPr>
          <w:b/>
          <w:bCs/>
          <w:lang w:eastAsia="zh-CN"/>
        </w:rPr>
      </w:pPr>
    </w:p>
    <w:p w14:paraId="6AE19FEC">
      <w:pPr>
        <w:tabs>
          <w:tab w:val="left" w:pos="561"/>
        </w:tabs>
        <w:snapToGrid w:val="0"/>
        <w:spacing w:before="120" w:beforeLines="50"/>
        <w:jc w:val="both"/>
        <w:rPr>
          <w:sz w:val="18"/>
          <w:szCs w:val="18"/>
          <w:lang w:eastAsia="zh-CN"/>
        </w:rPr>
      </w:pPr>
      <w:r>
        <w:rPr>
          <w:sz w:val="18"/>
          <w:szCs w:val="18"/>
          <w:lang w:eastAsia="zh-CN"/>
        </w:rPr>
        <w:t>__________________</w:t>
      </w:r>
    </w:p>
    <w:p w14:paraId="6AE19FED">
      <w:pPr>
        <w:tabs>
          <w:tab w:val="left" w:pos="284"/>
        </w:tabs>
        <w:snapToGrid w:val="0"/>
        <w:spacing w:before="120" w:beforeLines="50"/>
        <w:jc w:val="both"/>
        <w:rPr>
          <w:sz w:val="18"/>
          <w:szCs w:val="18"/>
          <w:lang w:eastAsia="zh-CN"/>
        </w:rPr>
      </w:pPr>
      <w:r>
        <w:rPr>
          <w:sz w:val="18"/>
          <w:szCs w:val="18"/>
          <w:vertAlign w:val="superscript"/>
          <w:lang w:eastAsia="zh-CN"/>
        </w:rPr>
        <w:t>31</w:t>
      </w:r>
      <w:r>
        <w:rPr>
          <w:sz w:val="18"/>
          <w:szCs w:val="18"/>
          <w:lang w:eastAsia="zh-CN"/>
        </w:rPr>
        <w:tab/>
      </w:r>
      <w:r>
        <w:rPr>
          <w:sz w:val="18"/>
          <w:szCs w:val="18"/>
          <w:lang w:eastAsia="zh-CN"/>
        </w:rPr>
        <w:t>PPA：阳性一致性</w:t>
      </w:r>
      <w:bookmarkEnd w:id="127"/>
      <w:bookmarkEnd w:id="128"/>
    </w:p>
    <w:p w14:paraId="6AE19FEE">
      <w:pPr>
        <w:tabs>
          <w:tab w:val="left" w:pos="284"/>
        </w:tabs>
        <w:snapToGrid w:val="0"/>
        <w:spacing w:before="120" w:beforeLines="50"/>
        <w:jc w:val="both"/>
        <w:rPr>
          <w:lang w:eastAsia="zh-CN"/>
        </w:rPr>
      </w:pPr>
      <w:r>
        <w:rPr>
          <w:sz w:val="18"/>
          <w:szCs w:val="18"/>
          <w:vertAlign w:val="superscript"/>
          <w:lang w:eastAsia="zh-CN"/>
        </w:rPr>
        <w:t>32</w:t>
      </w:r>
      <w:r>
        <w:rPr>
          <w:sz w:val="18"/>
          <w:szCs w:val="18"/>
          <w:lang w:eastAsia="zh-CN"/>
        </w:rPr>
        <w:tab/>
      </w:r>
      <w:r>
        <w:rPr>
          <w:sz w:val="18"/>
          <w:szCs w:val="18"/>
          <w:lang w:eastAsia="zh-CN"/>
        </w:rPr>
        <w:t>NPA：阴性一致性</w:t>
      </w:r>
      <w:r>
        <w:rPr>
          <w:lang w:eastAsia="zh-CN"/>
        </w:rPr>
        <w:br w:type="page"/>
      </w:r>
    </w:p>
    <w:p w14:paraId="6AE19FEF">
      <w:pPr>
        <w:pStyle w:val="22"/>
        <w:spacing w:before="120"/>
      </w:pPr>
      <w:bookmarkStart w:id="129" w:name="bookmark105"/>
      <w:r>
        <w:t>2.</w:t>
      </w:r>
      <w:r>
        <w:tab/>
      </w:r>
      <w:r>
        <w:t>获益的不确定性如何？</w:t>
      </w:r>
      <w:bookmarkEnd w:id="129"/>
    </w:p>
    <w:p w14:paraId="6AE19FF0">
      <w:pPr>
        <w:pStyle w:val="21"/>
        <w:spacing w:before="120"/>
        <w:rPr>
          <w:sz w:val="24"/>
          <w:szCs w:val="24"/>
          <w:lang w:eastAsia="zh-CN"/>
        </w:rPr>
      </w:pPr>
      <w:r>
        <w:rPr>
          <w:sz w:val="24"/>
          <w:szCs w:val="24"/>
          <w:lang w:eastAsia="zh-CN"/>
        </w:rPr>
        <w:t>认识到始终存在一定程度的不确定性，请在影响临床效益评价的数据中选择不确定性来源（如适用）。考虑临床和/或分析性能特征不确定性的来源（例如敏感性、特异性、准确性、精密度、再现性）。</w:t>
      </w:r>
      <w:r>
        <w:rPr>
          <w:i/>
          <w:iCs/>
          <w:sz w:val="24"/>
          <w:szCs w:val="24"/>
          <w:lang w:eastAsia="zh-CN"/>
        </w:rPr>
        <w:t>选择以下其中任何一项证明获益不确定性来源的项目，然后回答以下方框中的问题。</w:t>
      </w:r>
    </w:p>
    <w:p w14:paraId="6AE19FF1">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研究间的结果不一致或存在冲突</w:t>
      </w:r>
    </w:p>
    <w:p w14:paraId="6AE19FF2">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点估计和/或比值比周围的置信区间较宽</w:t>
      </w:r>
    </w:p>
    <w:p w14:paraId="6AE19FF3">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研究的统计效力不足且结局指标无统计学意义</w:t>
      </w:r>
    </w:p>
    <w:p w14:paraId="6AE19FF4">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关键评估时间点的受试者或样本失访率较高</w:t>
      </w:r>
    </w:p>
    <w:p w14:paraId="6AE19FF5">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关键评估时间点+/-计算存在大量缺失数据</w:t>
      </w:r>
    </w:p>
    <w:p w14:paraId="6AE19FF6">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发生大量的重大方案偏离</w:t>
      </w:r>
    </w:p>
    <w:p w14:paraId="6AE19FF7">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混淆干预或生理因素的影响</w:t>
      </w:r>
    </w:p>
    <w:p w14:paraId="6AE19FF8">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用户经验不一致或用户经验不代表可能的真实世界用户</w:t>
      </w:r>
    </w:p>
    <w:p w14:paraId="6AE19FF9">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非临床数据、预先选择的增强数据或计算机建模和临床性能之间的关系不明确</w:t>
      </w:r>
    </w:p>
    <w:p w14:paraId="6AE19FFA">
      <w:pPr>
        <w:pStyle w:val="23"/>
        <w:spacing w:before="120"/>
        <w:ind w:left="1740" w:hanging="480"/>
        <w:rPr>
          <w:sz w:val="24"/>
          <w:szCs w:val="24"/>
          <w:lang w:eastAsia="zh-CN"/>
        </w:rPr>
      </w:pPr>
      <w:r>
        <w:rPr>
          <w:sz w:val="24"/>
          <w:szCs w:val="24"/>
          <w:lang w:eastAsia="zh-CN"/>
        </w:rPr>
        <w:sym w:font="Wingdings 2" w:char="F054"/>
      </w:r>
      <w:r>
        <w:rPr>
          <w:sz w:val="24"/>
          <w:szCs w:val="24"/>
          <w:lang w:eastAsia="zh-CN"/>
        </w:rPr>
        <w:tab/>
      </w:r>
      <w:r>
        <w:rPr>
          <w:sz w:val="24"/>
          <w:szCs w:val="24"/>
          <w:lang w:eastAsia="zh-CN"/>
        </w:rPr>
        <w:t>尚未证明替代终点与临床结局相关</w:t>
      </w:r>
    </w:p>
    <w:p w14:paraId="6AE19FFB">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对于拟定分析的目的，真实世界证据（RWE）无关或不可靠</w:t>
      </w:r>
    </w:p>
    <w:p w14:paraId="6AE19FFC">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检查结果</w:t>
      </w:r>
    </w:p>
    <w:p w14:paraId="6AE19FFD">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研究设计或结果导致对适用人群或特定临床子人群无普遍性。</w:t>
      </w:r>
    </w:p>
    <w:p w14:paraId="6AE19FFE">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诊断输出的生理范围或有临床意义的范围不详，或者拟定的临床截止值的普遍性不详</w:t>
      </w:r>
    </w:p>
    <w:p w14:paraId="6AE19FFF">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使用存在缺陷的比较法计算性能特征</w:t>
      </w:r>
    </w:p>
    <w:p w14:paraId="6AE1A000">
      <w:pPr>
        <w:pStyle w:val="23"/>
        <w:spacing w:before="120"/>
        <w:ind w:left="1740" w:hanging="480"/>
        <w:rPr>
          <w:sz w:val="24"/>
          <w:szCs w:val="24"/>
          <w:lang w:eastAsia="zh-CN"/>
        </w:rPr>
      </w:pPr>
      <w:r>
        <w:rPr>
          <w:sz w:val="24"/>
          <w:szCs w:val="24"/>
          <w:lang w:eastAsia="zh-CN"/>
        </w:rPr>
        <w:sym w:font="Wingdings 2" w:char="F054"/>
      </w:r>
      <w:r>
        <w:rPr>
          <w:sz w:val="24"/>
          <w:szCs w:val="24"/>
          <w:lang w:eastAsia="zh-CN"/>
        </w:rPr>
        <w:tab/>
      </w:r>
      <w:r>
        <w:rPr>
          <w:sz w:val="24"/>
          <w:szCs w:val="24"/>
          <w:lang w:eastAsia="zh-CN"/>
        </w:rPr>
        <w:t>其他：在乳腺X线影像结果为BI-RADS 4的患者中，错过乳腺癌的临床影响可能不等同于结果为BI-RADS 3的患者发生乳腺癌的临床影响</w:t>
      </w:r>
    </w:p>
    <w:p w14:paraId="6AE1A001">
      <w:pPr>
        <w:pStyle w:val="23"/>
        <w:spacing w:before="120"/>
        <w:ind w:left="1740" w:hanging="480"/>
        <w:rPr>
          <w:sz w:val="24"/>
          <w:szCs w:val="24"/>
        </w:rPr>
      </w:pPr>
      <w:r>
        <w:rPr>
          <w:sz w:val="24"/>
          <w:szCs w:val="24"/>
          <w:lang w:eastAsia="zh-CN"/>
        </w:rPr>
        <w:t>□</w:t>
      </w:r>
      <w:r>
        <w:rPr>
          <w:sz w:val="24"/>
          <w:szCs w:val="24"/>
          <w:lang w:eastAsia="zh-CN"/>
        </w:rPr>
        <w:tab/>
      </w:r>
      <w:r>
        <w:rPr>
          <w:sz w:val="24"/>
          <w:szCs w:val="24"/>
          <w:lang w:eastAsia="zh-CN"/>
        </w:rPr>
        <w:t>无</w:t>
      </w:r>
    </w:p>
    <w:p w14:paraId="6AE1A002">
      <w:pPr>
        <w:pStyle w:val="23"/>
        <w:spacing w:before="120"/>
      </w:pPr>
    </w:p>
    <w:tbl>
      <w:tblPr>
        <w:tblStyle w:val="8"/>
        <w:tblW w:w="0" w:type="auto"/>
        <w:tblInd w:w="624"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6379"/>
      </w:tblGrid>
      <w:tr w14:paraId="6AE1A007">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PrEx>
        <w:trPr>
          <w:trHeight w:val="1387" w:hRule="atLeast"/>
        </w:trPr>
        <w:tc>
          <w:tcPr>
            <w:tcW w:w="6379" w:type="dxa"/>
            <w:shd w:val="clear" w:color="auto" w:fill="FFFFFF"/>
            <w:vAlign w:val="center"/>
          </w:tcPr>
          <w:p w14:paraId="6AE1A003">
            <w:pPr>
              <w:snapToGrid w:val="0"/>
              <w:spacing w:before="120" w:beforeLines="50"/>
              <w:jc w:val="both"/>
              <w:rPr>
                <w:lang w:eastAsia="zh-CN"/>
              </w:rPr>
            </w:pPr>
            <w:r>
              <w:rPr>
                <w:b/>
                <w:bCs/>
                <w:lang w:eastAsia="zh-CN"/>
              </w:rPr>
              <w:t>Q2：获益的不确定性如何？</w:t>
            </w:r>
          </w:p>
          <w:p w14:paraId="6AE1A004">
            <w:pPr>
              <w:tabs>
                <w:tab w:val="left" w:pos="230"/>
              </w:tabs>
              <w:snapToGrid w:val="0"/>
              <w:spacing w:before="120" w:beforeLines="50"/>
              <w:jc w:val="both"/>
              <w:rPr>
                <w:lang w:eastAsia="zh-CN"/>
              </w:rPr>
            </w:pPr>
            <w:r>
              <w:rPr>
                <w:lang w:eastAsia="zh-CN"/>
              </w:rPr>
              <w:t>□ 低</w:t>
            </w:r>
            <w:r>
              <w:rPr>
                <w:lang w:eastAsia="zh-CN"/>
              </w:rPr>
              <w:sym w:font="Wingdings" w:char="F0E8"/>
            </w:r>
            <w:r>
              <w:rPr>
                <w:lang w:eastAsia="zh-CN"/>
              </w:rPr>
              <w:t>继续问题3</w:t>
            </w:r>
          </w:p>
          <w:p w14:paraId="6AE1A005">
            <w:pPr>
              <w:tabs>
                <w:tab w:val="left" w:pos="230"/>
              </w:tabs>
              <w:snapToGrid w:val="0"/>
              <w:spacing w:before="120" w:beforeLines="50"/>
              <w:jc w:val="both"/>
              <w:rPr>
                <w:lang w:eastAsia="zh-CN"/>
              </w:rPr>
            </w:pPr>
            <w:r>
              <w:rPr>
                <w:lang w:eastAsia="zh-CN"/>
              </w:rPr>
              <w:t>□ 中</w:t>
            </w:r>
            <w:r>
              <w:rPr>
                <w:lang w:eastAsia="zh-CN"/>
              </w:rPr>
              <w:sym w:font="Wingdings" w:char="F0E8"/>
            </w:r>
            <w:r>
              <w:rPr>
                <w:lang w:eastAsia="zh-CN"/>
              </w:rPr>
              <w:t>继续问题3</w:t>
            </w:r>
          </w:p>
          <w:p w14:paraId="6AE1A006">
            <w:pPr>
              <w:snapToGrid w:val="0"/>
              <w:spacing w:before="120" w:beforeLines="50"/>
              <w:jc w:val="both"/>
            </w:pPr>
            <w:r>
              <w:rPr>
                <w:lang w:eastAsia="zh-CN"/>
              </w:rPr>
              <w:sym w:font="Wingdings 2" w:char="F054"/>
            </w:r>
            <w:r>
              <w:rPr>
                <w:lang w:eastAsia="zh-CN"/>
              </w:rPr>
              <w:t>高</w:t>
            </w:r>
            <w:r>
              <w:rPr>
                <w:lang w:eastAsia="zh-CN"/>
              </w:rPr>
              <w:sym w:font="Wingdings" w:char="F0E8"/>
            </w:r>
            <w:r>
              <w:rPr>
                <w:lang w:eastAsia="zh-CN"/>
              </w:rPr>
              <w:t>继续问题3</w:t>
            </w:r>
          </w:p>
        </w:tc>
      </w:tr>
    </w:tbl>
    <w:p w14:paraId="6AE1A008">
      <w:pPr>
        <w:snapToGrid w:val="0"/>
        <w:spacing w:before="120" w:beforeLines="50"/>
        <w:jc w:val="both"/>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5" w:hRule="atLeast"/>
        </w:trPr>
        <w:tc>
          <w:tcPr>
            <w:tcW w:w="5000" w:type="pct"/>
            <w:shd w:val="clear" w:color="auto" w:fill="FFFFFF"/>
            <w:vAlign w:val="center"/>
          </w:tcPr>
          <w:p w14:paraId="6AE1A009">
            <w:pPr>
              <w:snapToGrid w:val="0"/>
              <w:spacing w:before="120" w:beforeLines="50"/>
              <w:jc w:val="both"/>
              <w:rPr>
                <w:u w:val="single"/>
                <w:lang w:eastAsia="zh-CN"/>
              </w:rPr>
            </w:pPr>
            <w:r>
              <w:rPr>
                <w:b/>
                <w:bCs/>
                <w:u w:val="single"/>
                <w:lang w:eastAsia="zh-CN"/>
              </w:rPr>
              <w:t>拟定适应症的获益评估总结</w:t>
            </w:r>
          </w:p>
          <w:p w14:paraId="6AE1A00A">
            <w:pPr>
              <w:snapToGrid w:val="0"/>
              <w:spacing w:before="120" w:beforeLines="50"/>
              <w:jc w:val="both"/>
              <w:rPr>
                <w:lang w:eastAsia="zh-CN"/>
              </w:rPr>
            </w:pPr>
            <w:r>
              <w:rPr>
                <w:lang w:eastAsia="zh-CN"/>
              </w:rPr>
              <w:t>使用器械的主要获益是避免在临床试验中的400例受试者有57%发生即刻活检的并发症，他们的检测结果表明发生乳腺癌的概率较低。这是基于分别97%和75%的敏感性和特异性和分别56.4%和98.7%的PPV和NPV证明的。</w:t>
            </w:r>
          </w:p>
        </w:tc>
      </w:tr>
    </w:tbl>
    <w:p w14:paraId="6AE1A00C">
      <w:pPr>
        <w:snapToGrid w:val="0"/>
        <w:spacing w:before="120" w:beforeLines="50"/>
        <w:jc w:val="both"/>
        <w:rPr>
          <w:lang w:eastAsia="zh-CN"/>
        </w:rPr>
      </w:pPr>
      <w:r>
        <w:rPr>
          <w:lang w:eastAsia="zh-CN"/>
        </w:rPr>
        <w:br w:type="page"/>
      </w:r>
    </w:p>
    <w:p w14:paraId="6AE1A00D">
      <w:pPr>
        <w:snapToGrid w:val="0"/>
        <w:spacing w:before="120" w:beforeLines="50"/>
        <w:jc w:val="both"/>
        <w:rPr>
          <w:sz w:val="28"/>
          <w:szCs w:val="28"/>
          <w:lang w:eastAsia="zh-CN"/>
        </w:rPr>
      </w:pPr>
      <w:bookmarkStart w:id="130" w:name="bookmark106"/>
      <w:r>
        <w:rPr>
          <w:b/>
          <w:bCs/>
          <w:sz w:val="28"/>
          <w:szCs w:val="28"/>
          <w:lang w:eastAsia="zh-CN"/>
        </w:rPr>
        <w:t>风险评估</w:t>
      </w:r>
      <w:bookmarkEnd w:id="130"/>
    </w:p>
    <w:p w14:paraId="6AE1A00E">
      <w:pPr>
        <w:pStyle w:val="22"/>
        <w:spacing w:before="120"/>
      </w:pPr>
      <w:bookmarkStart w:id="131" w:name="bookmark107"/>
      <w:r>
        <w:t>3.</w:t>
      </w:r>
      <w:r>
        <w:tab/>
      </w:r>
      <w:r>
        <w:t>已知/可能的风险是否超过最小值？</w:t>
      </w:r>
      <w:bookmarkEnd w:id="131"/>
    </w:p>
    <w:p w14:paraId="6AE1A00F">
      <w:pPr>
        <w:pStyle w:val="21"/>
        <w:spacing w:before="120"/>
        <w:rPr>
          <w:i/>
          <w:iCs/>
          <w:sz w:val="24"/>
          <w:szCs w:val="24"/>
          <w:lang w:eastAsia="zh-CN"/>
        </w:rPr>
      </w:pPr>
      <w:r>
        <w:rPr>
          <w:i/>
          <w:iCs/>
          <w:sz w:val="24"/>
          <w:szCs w:val="24"/>
          <w:lang w:eastAsia="zh-CN"/>
        </w:rPr>
        <w:t>选择以下任何要素证明比最低更高的已知/可能的风险的来源，然后回答以下方框中的问题。</w:t>
      </w:r>
    </w:p>
    <w:p w14:paraId="6AE1A010">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与器械本身相关的不良事件（AE）或结局</w:t>
      </w:r>
    </w:p>
    <w:p w14:paraId="6AE1A011">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与使用器械或使用器械的手术相关的AE或结局</w:t>
      </w:r>
    </w:p>
    <w:p w14:paraId="6AE1A012">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与为使用器械而进行麻醉或镇静相关的AE或结局</w:t>
      </w:r>
    </w:p>
    <w:p w14:paraId="6AE1A013">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后续所需的试验/治疗引起的AE或结局（例如CT扫描引起的辐射）</w:t>
      </w:r>
    </w:p>
    <w:p w14:paraId="6AE1A014">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研究/数据中缺乏的、但可能基于</w:t>
      </w:r>
      <w:r>
        <w:rPr>
          <w:rFonts w:ascii="宋体" w:hAnsi="宋体"/>
          <w:sz w:val="24"/>
          <w:szCs w:val="24"/>
          <w:lang w:eastAsia="zh-CN"/>
        </w:rPr>
        <w:t>“</w:t>
      </w:r>
      <w:r>
        <w:rPr>
          <w:sz w:val="24"/>
          <w:szCs w:val="24"/>
          <w:lang w:eastAsia="zh-CN"/>
        </w:rPr>
        <w:t>类效应</w:t>
      </w:r>
      <w:r>
        <w:rPr>
          <w:rFonts w:ascii="宋体" w:hAnsi="宋体"/>
          <w:sz w:val="24"/>
          <w:szCs w:val="24"/>
          <w:lang w:eastAsia="zh-CN"/>
        </w:rPr>
        <w:t>”</w:t>
      </w:r>
      <w:r>
        <w:rPr>
          <w:sz w:val="24"/>
          <w:szCs w:val="24"/>
          <w:lang w:eastAsia="zh-CN"/>
        </w:rPr>
        <w:t>或类似技术已知会发生的事件的AE或结局</w:t>
      </w:r>
    </w:p>
    <w:p w14:paraId="6AE1A015">
      <w:pPr>
        <w:pStyle w:val="24"/>
        <w:spacing w:before="120"/>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 xml:space="preserve">假阳性/假阴性/未提供诊断结果 </w:t>
      </w:r>
    </w:p>
    <w:p w14:paraId="6AE1A016">
      <w:pPr>
        <w:pStyle w:val="24"/>
        <w:spacing w:before="120"/>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预期用作独立方式而非辅助手段的治疗或诊断</w:t>
      </w:r>
    </w:p>
    <w:p w14:paraId="6AE1A017">
      <w:pPr>
        <w:pStyle w:val="24"/>
        <w:spacing w:before="120"/>
        <w:ind w:left="1332" w:hanging="482"/>
        <w:rPr>
          <w:sz w:val="24"/>
          <w:szCs w:val="24"/>
        </w:rPr>
      </w:pPr>
      <w:r>
        <w:rPr>
          <w:sz w:val="24"/>
          <w:szCs w:val="24"/>
          <w:lang w:eastAsia="zh-CN"/>
        </w:rPr>
        <w:t>□</w:t>
      </w:r>
      <w:r>
        <w:rPr>
          <w:sz w:val="24"/>
          <w:szCs w:val="24"/>
          <w:lang w:eastAsia="zh-CN"/>
        </w:rPr>
        <w:tab/>
      </w:r>
      <w:r>
        <w:rPr>
          <w:sz w:val="24"/>
          <w:szCs w:val="24"/>
          <w:lang w:eastAsia="zh-CN"/>
        </w:rPr>
        <w:t>其他：</w:t>
      </w:r>
    </w:p>
    <w:p w14:paraId="6AE1A018">
      <w:pPr>
        <w:pStyle w:val="24"/>
        <w:spacing w:before="120"/>
        <w:ind w:left="1332" w:hanging="482"/>
        <w:rPr>
          <w:sz w:val="24"/>
          <w:szCs w:val="24"/>
        </w:rPr>
      </w:pPr>
      <w:r>
        <w:rPr>
          <w:sz w:val="24"/>
          <w:szCs w:val="24"/>
          <w:lang w:eastAsia="zh-CN"/>
        </w:rPr>
        <w:t>□</w:t>
      </w:r>
      <w:r>
        <w:rPr>
          <w:sz w:val="24"/>
          <w:szCs w:val="24"/>
          <w:lang w:eastAsia="zh-CN"/>
        </w:rPr>
        <w:tab/>
      </w:r>
      <w:r>
        <w:rPr>
          <w:sz w:val="24"/>
          <w:szCs w:val="24"/>
          <w:lang w:eastAsia="zh-CN"/>
        </w:rPr>
        <w:t>无</w:t>
      </w:r>
    </w:p>
    <w:p w14:paraId="6AE1A019">
      <w:pPr>
        <w:pStyle w:val="24"/>
        <w:spacing w:before="120"/>
      </w:pPr>
    </w:p>
    <w:tbl>
      <w:tblPr>
        <w:tblStyle w:val="8"/>
        <w:tblW w:w="0" w:type="auto"/>
        <w:tblInd w:w="9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5386"/>
      </w:tblGrid>
      <w:tr w14:paraId="6AE1A01D">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085" w:hRule="atLeast"/>
        </w:trPr>
        <w:tc>
          <w:tcPr>
            <w:tcW w:w="5386" w:type="dxa"/>
            <w:shd w:val="clear" w:color="auto" w:fill="FFFFFF"/>
            <w:vAlign w:val="center"/>
          </w:tcPr>
          <w:p w14:paraId="6AE1A01A">
            <w:pPr>
              <w:snapToGrid w:val="0"/>
              <w:spacing w:before="120" w:beforeLines="50"/>
              <w:jc w:val="both"/>
              <w:rPr>
                <w:lang w:eastAsia="zh-CN"/>
              </w:rPr>
            </w:pPr>
            <w:r>
              <w:rPr>
                <w:b/>
                <w:bCs/>
                <w:lang w:eastAsia="zh-CN"/>
              </w:rPr>
              <w:t>Q3：已知/可能风险是否超过最小值？</w:t>
            </w:r>
          </w:p>
          <w:p w14:paraId="6AE1A01B">
            <w:pPr>
              <w:snapToGrid w:val="0"/>
              <w:spacing w:before="120" w:beforeLines="50"/>
              <w:jc w:val="both"/>
              <w:rPr>
                <w:lang w:eastAsia="zh-CN"/>
              </w:rPr>
            </w:pPr>
            <w:r>
              <w:rPr>
                <w:lang w:eastAsia="zh-CN"/>
              </w:rPr>
              <w:sym w:font="Wingdings 2" w:char="F054"/>
            </w:r>
            <w:r>
              <w:rPr>
                <w:lang w:eastAsia="zh-CN"/>
              </w:rPr>
              <w:t>是</w:t>
            </w:r>
            <w:r>
              <w:rPr>
                <w:lang w:eastAsia="zh-CN"/>
              </w:rPr>
              <w:sym w:font="Wingdings" w:char="F0E8"/>
            </w:r>
            <w:r>
              <w:rPr>
                <w:lang w:eastAsia="zh-CN"/>
              </w:rPr>
              <w:t>继续问题4</w:t>
            </w:r>
          </w:p>
          <w:p w14:paraId="6AE1A01C">
            <w:pPr>
              <w:snapToGrid w:val="0"/>
              <w:spacing w:before="120" w:beforeLines="50"/>
              <w:jc w:val="both"/>
              <w:rPr>
                <w:lang w:eastAsia="zh-CN"/>
              </w:rPr>
            </w:pPr>
            <w:r>
              <w:rPr>
                <w:lang w:eastAsia="zh-CN"/>
              </w:rPr>
              <w:t>□ 否</w:t>
            </w:r>
            <w:r>
              <w:rPr>
                <w:lang w:eastAsia="zh-CN"/>
              </w:rPr>
              <w:sym w:font="Wingdings" w:char="F0E8"/>
            </w:r>
            <w:r>
              <w:rPr>
                <w:lang w:eastAsia="zh-CN"/>
              </w:rPr>
              <w:t>继续问题4</w:t>
            </w:r>
          </w:p>
        </w:tc>
      </w:tr>
    </w:tbl>
    <w:p w14:paraId="6AE1A01E">
      <w:pPr>
        <w:pStyle w:val="22"/>
        <w:spacing w:before="120"/>
      </w:pPr>
      <w:bookmarkStart w:id="132" w:name="bookmark108"/>
      <w:r>
        <w:t>4.</w:t>
      </w:r>
      <w:r>
        <w:tab/>
      </w:r>
      <w:r>
        <w:t>风险的不确定性如何？</w:t>
      </w:r>
      <w:bookmarkEnd w:id="132"/>
    </w:p>
    <w:p w14:paraId="6AE1A01F">
      <w:pPr>
        <w:pStyle w:val="21"/>
        <w:spacing w:before="120"/>
        <w:rPr>
          <w:i/>
          <w:iCs/>
          <w:sz w:val="24"/>
          <w:szCs w:val="24"/>
          <w:lang w:eastAsia="zh-CN"/>
        </w:rPr>
      </w:pPr>
      <w:r>
        <w:rPr>
          <w:sz w:val="24"/>
          <w:szCs w:val="24"/>
          <w:lang w:eastAsia="zh-CN"/>
        </w:rPr>
        <w:t>认识到始终存在一定程度的不确定性，在有关不良事件/结果或风险的数据中选择不确定性的来源（如适用）。</w:t>
      </w:r>
      <w:r>
        <w:rPr>
          <w:i/>
          <w:iCs/>
          <w:sz w:val="24"/>
          <w:szCs w:val="24"/>
          <w:lang w:eastAsia="zh-CN"/>
        </w:rPr>
        <w:t>选择以下其中任何一项证明风险不确定性来源的项目，然后回答以下方框中的问题。</w:t>
      </w:r>
    </w:p>
    <w:p w14:paraId="6AE1A020">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患者人数不足以检测严重事件或假阳性/假阴性</w:t>
      </w:r>
    </w:p>
    <w:p w14:paraId="6AE1A021">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随访时间不足以检测延迟/晚期事件</w:t>
      </w:r>
    </w:p>
    <w:p w14:paraId="6AE1A022">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缺乏重复暴露于器械/使用器械的数据</w:t>
      </w:r>
    </w:p>
    <w:p w14:paraId="6AE1A023">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研究间的结果不一致或存在冲突</w:t>
      </w:r>
    </w:p>
    <w:p w14:paraId="6AE1A024">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在研究方案中未进行适当的评价以充分检测某些AE</w:t>
      </w:r>
    </w:p>
    <w:p w14:paraId="6AE1A025">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不良事件定义和文件记录不良或不一致</w:t>
      </w:r>
    </w:p>
    <w:p w14:paraId="6AE1A026">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事件很可能被其他合并症或治疗方式混淆或者是其他合并症或治疗方式引起的</w:t>
      </w:r>
    </w:p>
    <w:p w14:paraId="6AE1A027">
      <w:pPr>
        <w:pStyle w:val="24"/>
        <w:spacing w:before="120"/>
        <w:ind w:left="1332" w:hanging="482"/>
        <w:rPr>
          <w:sz w:val="24"/>
          <w:szCs w:val="24"/>
          <w:lang w:eastAsia="zh-CN"/>
        </w:rPr>
      </w:pPr>
      <w:r>
        <w:rPr>
          <w:sz w:val="24"/>
          <w:szCs w:val="24"/>
          <w:lang w:eastAsia="zh-CN"/>
        </w:rPr>
        <w:t>□ 关键评估时间点的受试者失访率较高</w:t>
      </w:r>
    </w:p>
    <w:p w14:paraId="6AE1A028">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关键评估时间点+/-计算存在大量缺失数据</w:t>
      </w:r>
    </w:p>
    <w:p w14:paraId="6AE1A029">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发生大量的重大方案偏离</w:t>
      </w:r>
    </w:p>
    <w:p w14:paraId="6AE1A02A">
      <w:pPr>
        <w:tabs>
          <w:tab w:val="left" w:pos="1334"/>
        </w:tabs>
        <w:snapToGrid w:val="0"/>
        <w:spacing w:before="120" w:beforeLines="50"/>
        <w:jc w:val="both"/>
        <w:rPr>
          <w:lang w:eastAsia="zh-CN"/>
        </w:rPr>
      </w:pPr>
      <w:r>
        <w:rPr>
          <w:lang w:eastAsia="zh-CN"/>
        </w:rPr>
        <w:br w:type="page"/>
      </w:r>
    </w:p>
    <w:p w14:paraId="6AE1A02B">
      <w:pPr>
        <w:pStyle w:val="24"/>
        <w:spacing w:before="120" w:line="400" w:lineRule="exact"/>
        <w:ind w:left="1332" w:hanging="482"/>
        <w:rPr>
          <w:sz w:val="24"/>
          <w:szCs w:val="24"/>
          <w:lang w:eastAsia="zh-CN"/>
        </w:rPr>
      </w:pPr>
      <w:r>
        <w:rPr>
          <w:sz w:val="24"/>
          <w:szCs w:val="24"/>
          <w:lang w:eastAsia="zh-CN"/>
        </w:rPr>
        <w:t>□</w:t>
      </w:r>
      <w:r>
        <w:rPr>
          <w:sz w:val="24"/>
          <w:szCs w:val="24"/>
          <w:lang w:eastAsia="zh-CN"/>
        </w:rPr>
        <w:tab/>
      </w:r>
      <w:r>
        <w:rPr>
          <w:sz w:val="24"/>
          <w:szCs w:val="24"/>
          <w:lang w:eastAsia="zh-CN"/>
        </w:rPr>
        <w:t>用户经验不一致或用户经验不代表可能的真实世界用户</w:t>
      </w:r>
    </w:p>
    <w:p w14:paraId="6AE1A02C">
      <w:pPr>
        <w:pStyle w:val="24"/>
        <w:spacing w:before="120" w:line="400" w:lineRule="exact"/>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有关性能特征的问题（例如敏感性/PPA、特异性/NPA）</w:t>
      </w:r>
    </w:p>
    <w:p w14:paraId="6AE1A02D">
      <w:pPr>
        <w:pStyle w:val="24"/>
        <w:spacing w:before="120" w:line="400" w:lineRule="exact"/>
        <w:ind w:left="1332" w:hanging="482"/>
        <w:rPr>
          <w:sz w:val="24"/>
          <w:szCs w:val="24"/>
          <w:lang w:eastAsia="zh-CN"/>
        </w:rPr>
      </w:pPr>
      <w:r>
        <w:rPr>
          <w:sz w:val="24"/>
          <w:szCs w:val="24"/>
          <w:lang w:eastAsia="zh-CN"/>
        </w:rPr>
        <w:t>□</w:t>
      </w:r>
      <w:r>
        <w:rPr>
          <w:sz w:val="24"/>
          <w:szCs w:val="24"/>
          <w:lang w:eastAsia="zh-CN"/>
        </w:rPr>
        <w:tab/>
      </w:r>
      <w:r>
        <w:rPr>
          <w:sz w:val="24"/>
          <w:szCs w:val="24"/>
          <w:lang w:eastAsia="zh-CN"/>
        </w:rPr>
        <w:t>使用存在缺陷的比较法计算性能特征</w:t>
      </w:r>
    </w:p>
    <w:p w14:paraId="6AE1A02E">
      <w:pPr>
        <w:pStyle w:val="24"/>
        <w:spacing w:before="120" w:line="400" w:lineRule="exact"/>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其他：乳腺癌的长期自然史会增加临床随访最终结果的不确定性</w:t>
      </w:r>
    </w:p>
    <w:p w14:paraId="6AE1A02F">
      <w:pPr>
        <w:pStyle w:val="24"/>
        <w:spacing w:before="120" w:line="400" w:lineRule="exact"/>
        <w:ind w:left="1332" w:hanging="482"/>
        <w:rPr>
          <w:sz w:val="24"/>
          <w:szCs w:val="24"/>
        </w:rPr>
      </w:pPr>
      <w:r>
        <w:rPr>
          <w:sz w:val="24"/>
          <w:szCs w:val="24"/>
          <w:lang w:eastAsia="zh-CN"/>
        </w:rPr>
        <w:t>□</w:t>
      </w:r>
      <w:r>
        <w:rPr>
          <w:sz w:val="24"/>
          <w:szCs w:val="24"/>
          <w:lang w:eastAsia="zh-CN"/>
        </w:rPr>
        <w:tab/>
      </w:r>
      <w:r>
        <w:rPr>
          <w:sz w:val="24"/>
          <w:szCs w:val="24"/>
          <w:lang w:eastAsia="zh-CN"/>
        </w:rPr>
        <w:t>无</w:t>
      </w:r>
    </w:p>
    <w:p w14:paraId="6AE1A030">
      <w:pPr>
        <w:pStyle w:val="24"/>
        <w:spacing w:before="120" w:line="400" w:lineRule="exact"/>
      </w:pPr>
    </w:p>
    <w:tbl>
      <w:tblPr>
        <w:tblStyle w:val="8"/>
        <w:tblW w:w="0" w:type="auto"/>
        <w:tblInd w:w="9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5386"/>
      </w:tblGrid>
      <w:tr w14:paraId="6AE1A035">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387" w:hRule="atLeast"/>
        </w:trPr>
        <w:tc>
          <w:tcPr>
            <w:tcW w:w="5386" w:type="dxa"/>
            <w:shd w:val="clear" w:color="auto" w:fill="FFFFFF"/>
            <w:vAlign w:val="center"/>
          </w:tcPr>
          <w:p w14:paraId="6AE1A031">
            <w:pPr>
              <w:snapToGrid w:val="0"/>
              <w:spacing w:before="120" w:beforeLines="50" w:line="400" w:lineRule="exact"/>
              <w:jc w:val="both"/>
              <w:rPr>
                <w:lang w:eastAsia="zh-CN"/>
              </w:rPr>
            </w:pPr>
            <w:r>
              <w:rPr>
                <w:b/>
                <w:bCs/>
                <w:lang w:eastAsia="zh-CN"/>
              </w:rPr>
              <w:t>Q4</w:t>
            </w:r>
            <w:r>
              <w:rPr>
                <w:rFonts w:hint="eastAsia"/>
                <w:b/>
                <w:bCs/>
                <w:lang w:eastAsia="zh-CN"/>
              </w:rPr>
              <w:t>：</w:t>
            </w:r>
            <w:r>
              <w:rPr>
                <w:b/>
                <w:bCs/>
                <w:lang w:eastAsia="zh-CN"/>
              </w:rPr>
              <w:t>风险的不确定性如何？</w:t>
            </w:r>
          </w:p>
          <w:p w14:paraId="6AE1A032">
            <w:pPr>
              <w:tabs>
                <w:tab w:val="left" w:pos="230"/>
              </w:tabs>
              <w:snapToGrid w:val="0"/>
              <w:spacing w:before="120" w:beforeLines="50" w:line="400" w:lineRule="exact"/>
              <w:jc w:val="both"/>
              <w:rPr>
                <w:lang w:eastAsia="zh-CN"/>
              </w:rPr>
            </w:pPr>
            <w:r>
              <w:rPr>
                <w:lang w:eastAsia="zh-CN"/>
              </w:rPr>
              <w:t>□ 低</w:t>
            </w:r>
            <w:r>
              <w:rPr>
                <w:lang w:eastAsia="zh-CN"/>
              </w:rPr>
              <w:sym w:font="Wingdings" w:char="F0E8"/>
            </w:r>
            <w:r>
              <w:rPr>
                <w:lang w:eastAsia="zh-CN"/>
              </w:rPr>
              <w:t>继续问题5</w:t>
            </w:r>
          </w:p>
          <w:p w14:paraId="6AE1A033">
            <w:pPr>
              <w:tabs>
                <w:tab w:val="left" w:pos="230"/>
              </w:tabs>
              <w:snapToGrid w:val="0"/>
              <w:spacing w:before="120" w:beforeLines="50" w:line="400" w:lineRule="exact"/>
              <w:jc w:val="both"/>
              <w:rPr>
                <w:lang w:eastAsia="zh-CN"/>
              </w:rPr>
            </w:pPr>
            <w:r>
              <w:rPr>
                <w:lang w:eastAsia="zh-CN"/>
              </w:rPr>
              <w:t>□ 中</w:t>
            </w:r>
            <w:r>
              <w:rPr>
                <w:lang w:eastAsia="zh-CN"/>
              </w:rPr>
              <w:sym w:font="Wingdings" w:char="F0E8"/>
            </w:r>
            <w:r>
              <w:rPr>
                <w:lang w:eastAsia="zh-CN"/>
              </w:rPr>
              <w:t>继续问题5</w:t>
            </w:r>
          </w:p>
          <w:p w14:paraId="6AE1A034">
            <w:pPr>
              <w:snapToGrid w:val="0"/>
              <w:spacing w:before="120" w:beforeLines="50" w:line="400" w:lineRule="exact"/>
              <w:jc w:val="both"/>
            </w:pPr>
            <w:r>
              <w:rPr>
                <w:lang w:eastAsia="zh-CN"/>
              </w:rPr>
              <w:sym w:font="Wingdings 2" w:char="F054"/>
            </w:r>
            <w:r>
              <w:rPr>
                <w:lang w:eastAsia="zh-CN"/>
              </w:rPr>
              <w:t>高</w:t>
            </w:r>
            <w:r>
              <w:rPr>
                <w:lang w:eastAsia="zh-CN"/>
              </w:rPr>
              <w:sym w:font="Wingdings" w:char="F0E8"/>
            </w:r>
            <w:r>
              <w:rPr>
                <w:lang w:eastAsia="zh-CN"/>
              </w:rPr>
              <w:t>继续问题5</w:t>
            </w:r>
          </w:p>
        </w:tc>
      </w:tr>
    </w:tbl>
    <w:p w14:paraId="6AE1A036">
      <w:pPr>
        <w:snapToGrid w:val="0"/>
        <w:spacing w:before="120" w:beforeLines="50" w:line="400" w:lineRule="exact"/>
        <w:jc w:val="both"/>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54" w:hRule="atLeast"/>
        </w:trPr>
        <w:tc>
          <w:tcPr>
            <w:tcW w:w="5000" w:type="pct"/>
            <w:shd w:val="clear" w:color="auto" w:fill="FFFFFF"/>
            <w:vAlign w:val="center"/>
          </w:tcPr>
          <w:p w14:paraId="6AE1A037">
            <w:pPr>
              <w:snapToGrid w:val="0"/>
              <w:spacing w:before="120" w:beforeLines="50" w:line="400" w:lineRule="exact"/>
              <w:jc w:val="both"/>
              <w:rPr>
                <w:u w:val="single"/>
                <w:lang w:eastAsia="zh-CN"/>
              </w:rPr>
            </w:pPr>
            <w:r>
              <w:rPr>
                <w:b/>
                <w:bCs/>
                <w:u w:val="single"/>
                <w:lang w:eastAsia="zh-CN"/>
              </w:rPr>
              <w:t>风险评估总结</w:t>
            </w:r>
          </w:p>
          <w:p w14:paraId="6AE1A038">
            <w:pPr>
              <w:snapToGrid w:val="0"/>
              <w:spacing w:before="120" w:beforeLines="50" w:line="400" w:lineRule="exact"/>
              <w:jc w:val="both"/>
              <w:rPr>
                <w:b/>
                <w:bCs/>
                <w:lang w:eastAsia="zh-CN"/>
              </w:rPr>
            </w:pPr>
            <w:r>
              <w:rPr>
                <w:b/>
                <w:bCs/>
                <w:lang w:eastAsia="zh-CN"/>
              </w:rPr>
              <w:t>如果问题3回答</w:t>
            </w:r>
            <w:r>
              <w:rPr>
                <w:rFonts w:ascii="宋体" w:hAnsi="宋体"/>
                <w:b/>
                <w:bCs/>
                <w:lang w:eastAsia="zh-CN"/>
              </w:rPr>
              <w:t>“</w:t>
            </w:r>
            <w:r>
              <w:rPr>
                <w:b/>
                <w:bCs/>
                <w:lang w:eastAsia="zh-CN"/>
              </w:rPr>
              <w:t>否</w:t>
            </w:r>
            <w:r>
              <w:rPr>
                <w:rFonts w:ascii="宋体" w:hAnsi="宋体"/>
                <w:b/>
                <w:bCs/>
                <w:lang w:eastAsia="zh-CN"/>
              </w:rPr>
              <w:t>”</w:t>
            </w:r>
            <w:r>
              <w:rPr>
                <w:b/>
                <w:bCs/>
                <w:lang w:eastAsia="zh-CN"/>
              </w:rPr>
              <w:t>，但问题4回答</w:t>
            </w:r>
            <w:r>
              <w:rPr>
                <w:rFonts w:ascii="宋体" w:hAnsi="宋体"/>
                <w:b/>
                <w:bCs/>
                <w:lang w:eastAsia="zh-CN"/>
              </w:rPr>
              <w:t>“</w:t>
            </w:r>
            <w:r>
              <w:rPr>
                <w:b/>
                <w:bCs/>
                <w:lang w:eastAsia="zh-CN"/>
              </w:rPr>
              <w:t>高</w:t>
            </w:r>
            <w:r>
              <w:rPr>
                <w:rFonts w:ascii="宋体" w:hAnsi="宋体"/>
                <w:b/>
                <w:bCs/>
                <w:lang w:eastAsia="zh-CN"/>
              </w:rPr>
              <w:t>”</w:t>
            </w:r>
            <w:r>
              <w:rPr>
                <w:b/>
                <w:bCs/>
                <w:lang w:eastAsia="zh-CN"/>
              </w:rPr>
              <w:t>，请在此处解释。</w:t>
            </w:r>
          </w:p>
          <w:p w14:paraId="6AE1A039">
            <w:pPr>
              <w:snapToGrid w:val="0"/>
              <w:spacing w:before="120" w:beforeLines="50" w:line="400" w:lineRule="exact"/>
              <w:jc w:val="both"/>
              <w:rPr>
                <w:lang w:eastAsia="zh-CN"/>
              </w:rPr>
            </w:pPr>
          </w:p>
          <w:p w14:paraId="6AE1A03A">
            <w:pPr>
              <w:snapToGrid w:val="0"/>
              <w:spacing w:before="120" w:beforeLines="50" w:line="400" w:lineRule="exact"/>
              <w:jc w:val="both"/>
              <w:rPr>
                <w:lang w:eastAsia="zh-CN"/>
              </w:rPr>
            </w:pPr>
            <w:r>
              <w:rPr>
                <w:b/>
                <w:bCs/>
                <w:lang w:eastAsia="zh-CN"/>
              </w:rPr>
              <w:t>对于拟定适应症：</w:t>
            </w:r>
          </w:p>
          <w:p w14:paraId="6AE1A03B">
            <w:pPr>
              <w:snapToGrid w:val="0"/>
              <w:spacing w:before="120" w:beforeLines="50" w:line="400" w:lineRule="exact"/>
              <w:jc w:val="both"/>
              <w:rPr>
                <w:lang w:eastAsia="zh-CN"/>
              </w:rPr>
            </w:pPr>
            <w:r>
              <w:rPr>
                <w:lang w:eastAsia="zh-CN"/>
              </w:rPr>
              <w:t>使用器械的主要风险是，一些发生活检可测乳腺癌的BI-RADS 4患者未进行活检，导致她们的诊治被延迟。对于该风险，申办者声称，在非活检BI-RADS 4受试者中，在临床上可接受的癌症阴性预测值为98%或更高。该截止值是根据通常不建议立即进行活检的BI-RADS 3患者的癌症患病率2%在临床上可接受确定的（而是等待数月以供进一步评价，例如6个月随访的诊断成像）。无法保证在乳腺X线影像结果为BI-RADS 4的患者中，错过乳腺癌的临床影响等</w:t>
            </w:r>
            <w:r>
              <w:rPr>
                <w:rFonts w:hint="eastAsia"/>
                <w:lang w:eastAsia="zh-CN"/>
              </w:rPr>
              <w:t>同</w:t>
            </w:r>
            <w:r>
              <w:rPr>
                <w:lang w:eastAsia="zh-CN"/>
              </w:rPr>
              <w:t>于结果为BI-RADS 3的患者发生乳腺癌的临床影响。因此，非常不确定可能的风险/伤害程度。</w:t>
            </w:r>
          </w:p>
        </w:tc>
      </w:tr>
    </w:tbl>
    <w:p w14:paraId="6AE1A03D">
      <w:pPr>
        <w:snapToGrid w:val="0"/>
        <w:spacing w:before="120" w:beforeLines="50" w:line="400" w:lineRule="exact"/>
        <w:jc w:val="both"/>
        <w:rPr>
          <w:lang w:eastAsia="zh-CN"/>
        </w:rPr>
      </w:pPr>
      <w:r>
        <w:rPr>
          <w:lang w:eastAsia="zh-CN"/>
        </w:rPr>
        <w:br w:type="page"/>
      </w:r>
    </w:p>
    <w:p w14:paraId="6AE1A03E">
      <w:pPr>
        <w:snapToGrid w:val="0"/>
        <w:spacing w:before="120" w:beforeLines="50" w:line="400" w:lineRule="exact"/>
        <w:jc w:val="both"/>
        <w:rPr>
          <w:sz w:val="28"/>
          <w:szCs w:val="28"/>
        </w:rPr>
      </w:pPr>
      <w:bookmarkStart w:id="133" w:name="bookmark109"/>
      <w:r>
        <w:rPr>
          <w:b/>
          <w:bCs/>
          <w:sz w:val="28"/>
          <w:szCs w:val="28"/>
          <w:lang w:eastAsia="zh-CN"/>
        </w:rPr>
        <w:t>获益-风险评估</w:t>
      </w:r>
      <w:bookmarkEnd w:id="133"/>
    </w:p>
    <w:p w14:paraId="6AE1A03F">
      <w:pPr>
        <w:snapToGrid w:val="0"/>
        <w:spacing w:before="120" w:beforeLines="50" w:line="400" w:lineRule="exact"/>
        <w:jc w:val="both"/>
        <w:rPr>
          <w:sz w:val="24"/>
          <w:szCs w:val="24"/>
          <w:lang w:eastAsia="zh-CN"/>
        </w:rPr>
      </w:pPr>
      <w:r>
        <w:rPr>
          <w:i/>
          <w:iCs/>
          <w:sz w:val="24"/>
          <w:szCs w:val="24"/>
          <w:lang w:eastAsia="zh-CN"/>
        </w:rPr>
        <w:t>对FDA工作人员的说明：</w:t>
      </w:r>
      <w:r>
        <w:rPr>
          <w:sz w:val="24"/>
          <w:szCs w:val="24"/>
          <w:lang w:eastAsia="zh-CN"/>
        </w:rPr>
        <w:t>根据所有证据提出建议。如上文所示，在决定是否批准PMA申请或授予新分类申请期间进行获益-风险评估，但是未评估所有适用的要求。</w:t>
      </w:r>
    </w:p>
    <w:p w14:paraId="6AE1A040">
      <w:pPr>
        <w:snapToGrid w:val="0"/>
        <w:spacing w:before="120" w:beforeLines="50" w:line="400" w:lineRule="exact"/>
        <w:jc w:val="both"/>
        <w:rPr>
          <w:sz w:val="24"/>
          <w:szCs w:val="24"/>
          <w:lang w:eastAsia="zh-CN"/>
        </w:rPr>
      </w:pPr>
      <w:r>
        <w:rPr>
          <w:sz w:val="24"/>
          <w:szCs w:val="24"/>
          <w:lang w:eastAsia="zh-CN"/>
        </w:rPr>
        <w:t>为了批准PMA申请或授予新分类申请，FDA必须在其他方面确定能够合理保证器械的安全性和有效性。FDA通过在其他相关因素中权衡使用器械的任何可能的健康获益与任何可能的损伤或疾病风险确定是否能够合理保证安全性和有效性。为授予新分类申请，FDA必须找到能够合理保证器械的安全性和有效性的一般控制措施或一般和特殊控制措施。</w:t>
      </w:r>
    </w:p>
    <w:p w14:paraId="6AE1A041">
      <w:pPr>
        <w:snapToGrid w:val="0"/>
        <w:spacing w:before="120" w:beforeLines="50" w:line="400" w:lineRule="exact"/>
        <w:jc w:val="both"/>
        <w:rPr>
          <w:sz w:val="24"/>
          <w:szCs w:val="24"/>
          <w:lang w:eastAsia="zh-CN"/>
        </w:rPr>
      </w:pPr>
      <w:r>
        <w:rPr>
          <w:sz w:val="24"/>
          <w:szCs w:val="24"/>
          <w:lang w:eastAsia="zh-CN"/>
        </w:rPr>
        <w:t>如果对Q5-8中的任何问题回答</w:t>
      </w:r>
      <w:r>
        <w:rPr>
          <w:rFonts w:ascii="宋体" w:hAnsi="宋体"/>
          <w:sz w:val="24"/>
          <w:szCs w:val="24"/>
          <w:lang w:eastAsia="zh-CN"/>
        </w:rPr>
        <w:t>“</w:t>
      </w:r>
      <w:r>
        <w:rPr>
          <w:sz w:val="24"/>
          <w:szCs w:val="24"/>
          <w:lang w:eastAsia="zh-CN"/>
        </w:rPr>
        <w:t>是</w:t>
      </w:r>
      <w:r>
        <w:rPr>
          <w:rFonts w:ascii="宋体" w:hAnsi="宋体"/>
          <w:sz w:val="24"/>
          <w:szCs w:val="24"/>
          <w:lang w:eastAsia="zh-CN"/>
        </w:rPr>
        <w:t>”</w:t>
      </w:r>
      <w:r>
        <w:rPr>
          <w:sz w:val="24"/>
          <w:szCs w:val="24"/>
          <w:lang w:eastAsia="zh-CN"/>
        </w:rPr>
        <w:t>，请解释获益如何超过风险的依据。您应该考虑并推荐能够增强器械的获益-风险状况的措施（例如修改拟定标签，可以包含其他适当的警告和预防措施、使用说明书或数据表示），以帮助确保产品</w:t>
      </w:r>
      <w:r>
        <w:rPr>
          <w:rFonts w:hint="eastAsia"/>
          <w:sz w:val="24"/>
          <w:szCs w:val="24"/>
          <w:lang w:eastAsia="zh-CN"/>
        </w:rPr>
        <w:t>说明书</w:t>
      </w:r>
      <w:r>
        <w:rPr>
          <w:sz w:val="24"/>
          <w:szCs w:val="24"/>
          <w:lang w:eastAsia="zh-CN"/>
        </w:rPr>
        <w:t>明确表明获益和风险。</w:t>
      </w:r>
    </w:p>
    <w:p w14:paraId="6AE1A042">
      <w:pPr>
        <w:snapToGrid w:val="0"/>
        <w:spacing w:before="120" w:beforeLines="50" w:line="400" w:lineRule="exact"/>
        <w:jc w:val="both"/>
        <w:rPr>
          <w:sz w:val="24"/>
          <w:szCs w:val="24"/>
          <w:lang w:eastAsia="zh-CN"/>
        </w:rPr>
      </w:pPr>
      <w:r>
        <w:rPr>
          <w:sz w:val="24"/>
          <w:szCs w:val="24"/>
          <w:lang w:eastAsia="zh-CN"/>
        </w:rPr>
        <w:t>如果Q5-8回答</w:t>
      </w:r>
      <w:r>
        <w:rPr>
          <w:rFonts w:ascii="宋体" w:hAnsi="宋体"/>
          <w:sz w:val="24"/>
          <w:szCs w:val="24"/>
          <w:lang w:eastAsia="zh-CN"/>
        </w:rPr>
        <w:t>“</w:t>
      </w:r>
      <w:r>
        <w:rPr>
          <w:sz w:val="24"/>
          <w:szCs w:val="24"/>
          <w:lang w:eastAsia="zh-CN"/>
        </w:rPr>
        <w:t>无法得出结论</w:t>
      </w:r>
      <w:r>
        <w:rPr>
          <w:rFonts w:ascii="宋体" w:hAnsi="宋体"/>
          <w:sz w:val="24"/>
          <w:szCs w:val="24"/>
          <w:lang w:eastAsia="zh-CN"/>
        </w:rPr>
        <w:t>”</w:t>
      </w:r>
      <w:r>
        <w:rPr>
          <w:sz w:val="24"/>
          <w:szCs w:val="24"/>
          <w:lang w:eastAsia="zh-CN"/>
        </w:rPr>
        <w:t>，请在总结文本框中提供您认为需要的信息，以支持正在考虑的适应症的获益超过风险的判定，并继续进行Q9。</w:t>
      </w:r>
    </w:p>
    <w:p w14:paraId="6AE1A043">
      <w:pPr>
        <w:snapToGrid w:val="0"/>
        <w:spacing w:before="120" w:beforeLines="50" w:line="400" w:lineRule="exact"/>
        <w:jc w:val="both"/>
        <w:rPr>
          <w:lang w:eastAsia="zh-CN"/>
        </w:rPr>
      </w:pPr>
    </w:p>
    <w:tbl>
      <w:tblPr>
        <w:tblStyle w:val="8"/>
        <w:tblW w:w="0" w:type="auto"/>
        <w:tblInd w:w="9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7513"/>
      </w:tblGrid>
      <w:tr w14:paraId="6AE1A047">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858" w:hRule="atLeast"/>
        </w:trPr>
        <w:tc>
          <w:tcPr>
            <w:tcW w:w="7513" w:type="dxa"/>
            <w:shd w:val="clear" w:color="auto" w:fill="FFFFFF"/>
            <w:vAlign w:val="center"/>
          </w:tcPr>
          <w:p w14:paraId="6AE1A044">
            <w:pPr>
              <w:snapToGrid w:val="0"/>
              <w:spacing w:before="120" w:beforeLines="50" w:line="400" w:lineRule="exact"/>
              <w:jc w:val="both"/>
              <w:rPr>
                <w:lang w:eastAsia="zh-CN"/>
              </w:rPr>
            </w:pPr>
            <w:r>
              <w:rPr>
                <w:b/>
                <w:bCs/>
                <w:lang w:eastAsia="zh-CN"/>
              </w:rPr>
              <w:t>Q5:考虑到上文的获益-风险评估和不确定性程度，获益是否超过风险？</w:t>
            </w:r>
          </w:p>
          <w:p w14:paraId="6AE1A045">
            <w:pPr>
              <w:tabs>
                <w:tab w:val="left" w:pos="235"/>
              </w:tabs>
              <w:snapToGrid w:val="0"/>
              <w:spacing w:before="120" w:beforeLines="50" w:line="400" w:lineRule="exact"/>
              <w:jc w:val="both"/>
              <w:rPr>
                <w:lang w:eastAsia="zh-CN"/>
              </w:rPr>
            </w:pPr>
            <w:r>
              <w:rPr>
                <w:lang w:eastAsia="zh-CN"/>
              </w:rPr>
              <w:t>□ 是 - 本器械的获益超过风险，为此额外考虑相关因素不会改变该判定</w:t>
            </w:r>
          </w:p>
          <w:p w14:paraId="6AE1A046">
            <w:pPr>
              <w:tabs>
                <w:tab w:val="left" w:pos="245"/>
              </w:tabs>
              <w:snapToGrid w:val="0"/>
              <w:spacing w:before="120" w:beforeLines="50" w:line="400" w:lineRule="exact"/>
              <w:jc w:val="both"/>
              <w:rPr>
                <w:lang w:eastAsia="zh-CN"/>
              </w:rPr>
            </w:pPr>
            <w:r>
              <w:rPr>
                <w:lang w:eastAsia="zh-CN"/>
              </w:rPr>
              <w:t>□ 无法得出获益超过风险的结论 - 进一步讨论和考虑相关因素是适当的 - 继续Q6</w:t>
            </w:r>
          </w:p>
        </w:tc>
      </w:tr>
    </w:tbl>
    <w:p w14:paraId="6AE1A048">
      <w:pPr>
        <w:snapToGrid w:val="0"/>
        <w:spacing w:before="120" w:beforeLines="50" w:line="400" w:lineRule="exact"/>
        <w:jc w:val="both"/>
        <w:rPr>
          <w:lang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trPr>
        <w:tc>
          <w:tcPr>
            <w:tcW w:w="9346" w:type="dxa"/>
            <w:shd w:val="clear" w:color="auto" w:fill="FFFFFF"/>
            <w:vAlign w:val="center"/>
          </w:tcPr>
          <w:p w14:paraId="6AE1A049">
            <w:pPr>
              <w:snapToGrid w:val="0"/>
              <w:spacing w:before="120" w:beforeLines="50" w:line="400" w:lineRule="exact"/>
              <w:jc w:val="both"/>
              <w:rPr>
                <w:b/>
                <w:bCs/>
                <w:u w:val="single"/>
                <w:lang w:eastAsia="zh-CN"/>
              </w:rPr>
            </w:pPr>
            <w:r>
              <w:rPr>
                <w:b/>
                <w:bCs/>
                <w:u w:val="single"/>
                <w:lang w:eastAsia="zh-CN"/>
              </w:rPr>
              <w:t xml:space="preserve">获益-风险评估总结 </w:t>
            </w:r>
          </w:p>
          <w:p w14:paraId="6AE1A04A">
            <w:pPr>
              <w:snapToGrid w:val="0"/>
              <w:spacing w:before="120" w:beforeLines="50" w:line="400" w:lineRule="exact"/>
              <w:jc w:val="both"/>
              <w:rPr>
                <w:lang w:eastAsia="zh-CN"/>
              </w:rPr>
            </w:pPr>
            <w:r>
              <w:rPr>
                <w:b/>
                <w:bCs/>
                <w:lang w:eastAsia="zh-CN"/>
              </w:rPr>
              <w:t>对于拟定适应症：</w:t>
            </w:r>
          </w:p>
          <w:p w14:paraId="6AE1A04B">
            <w:pPr>
              <w:snapToGrid w:val="0"/>
              <w:spacing w:before="120" w:beforeLines="50" w:line="400" w:lineRule="exact"/>
              <w:jc w:val="both"/>
              <w:rPr>
                <w:lang w:eastAsia="zh-CN"/>
              </w:rPr>
            </w:pPr>
            <w:r>
              <w:rPr>
                <w:lang w:eastAsia="zh-CN"/>
              </w:rPr>
              <w:t>仅仅根据性能数据证明的获益和风险及其相关不确定性，避免发生活检相关并发症的获益并未超过错过活检可检测癌症的风险。根据可用信息，FDA无法确定是否可以合理保证拟定健康获益的安全性和有效性，需要其他信息以确定整体获益超过风险。</w:t>
            </w:r>
          </w:p>
        </w:tc>
      </w:tr>
    </w:tbl>
    <w:p w14:paraId="6AE1A04D">
      <w:pPr>
        <w:pStyle w:val="22"/>
        <w:spacing w:before="120" w:line="400" w:lineRule="exact"/>
        <w:rPr>
          <w:b w:val="0"/>
          <w:i/>
        </w:rPr>
      </w:pPr>
      <w:r>
        <w:t>6.</w:t>
      </w:r>
      <w:r>
        <w:tab/>
      </w:r>
      <w:r>
        <w:t>当考虑以下附加考虑因素时，获益是否超过风险？</w:t>
      </w:r>
      <w:r>
        <w:rPr>
          <w:b w:val="0"/>
          <w:i/>
        </w:rPr>
        <w:t>选择相关注意事项，然后回答以下方框中的问题。</w:t>
      </w:r>
    </w:p>
    <w:p w14:paraId="6AE1A04E">
      <w:pPr>
        <w:pStyle w:val="24"/>
        <w:spacing w:before="120" w:line="400" w:lineRule="exact"/>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了解患者是否愿意接受获益和/或风险具有较大的不确定性</w:t>
      </w:r>
    </w:p>
    <w:p w14:paraId="6AE1A04F">
      <w:pPr>
        <w:snapToGrid w:val="0"/>
        <w:spacing w:before="120" w:beforeLines="50"/>
        <w:jc w:val="both"/>
        <w:rPr>
          <w:lang w:eastAsia="zh-CN"/>
        </w:rPr>
      </w:pPr>
      <w:r>
        <w:rPr>
          <w:lang w:eastAsia="zh-CN"/>
        </w:rPr>
        <w:br w:type="page"/>
      </w:r>
    </w:p>
    <w:p w14:paraId="6AE1A050">
      <w:pPr>
        <w:pStyle w:val="24"/>
        <w:spacing w:before="120"/>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可用的患者偏好信息（PPI）显示，患者是否愿意接受风险以换取获益。在无法获得PPI的情况下（例如一些儿童或功能受损的患者人群），可以考虑健康伴侣的观点。</w:t>
      </w:r>
    </w:p>
    <w:p w14:paraId="6AE1A051">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了解健康伴侣对预期有益于健康伴侣的器械的获益和风险的观点（例如方便进行护理）</w:t>
      </w:r>
    </w:p>
    <w:p w14:paraId="6AE1A052">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了解医疗保健专业人员对预期有益于医疗保健专业人员的器械的获益和风险的观点（例如减少辐射暴露）</w:t>
      </w:r>
    </w:p>
    <w:p w14:paraId="6AE1A053">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患者对替代健康干预措施中不同结局或其他属性的相对合适性和可接受性的定性或定量评估</w:t>
      </w:r>
    </w:p>
    <w:p w14:paraId="6AE1A054">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了解患者人群的规模在多大程度上影响开展大型试验的可行性，并影响罕见和常见疾病或状况的公共卫生需求</w:t>
      </w:r>
    </w:p>
    <w:p w14:paraId="6AE1A055">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了解器械代表与当前器械技术不同的新技术</w:t>
      </w:r>
    </w:p>
    <w:p w14:paraId="6AE1A056">
      <w:pPr>
        <w:pStyle w:val="24"/>
        <w:spacing w:before="120"/>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在缺乏申报器械的干预或诊断信息的情况下，能够管理或诊断状况并考虑疾病进展的自然史</w:t>
      </w:r>
    </w:p>
    <w:p w14:paraId="6AE1A057">
      <w:pPr>
        <w:pStyle w:val="24"/>
        <w:spacing w:before="120"/>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尚无合法上市的医疗产品或医疗干预，或者器械与现有替代方式相比具有优势</w:t>
      </w:r>
    </w:p>
    <w:p w14:paraId="6AE1A058">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器械可以满足未能满足的医疗需求或领域或可以更有效地治疗或诊断危及生命的或不可逆的使人衰弱的人类疾病/状况</w:t>
      </w:r>
    </w:p>
    <w:p w14:paraId="6AE1A059">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器械能够避免该疾病或状况的现有疗法的严重伤害</w:t>
      </w:r>
    </w:p>
    <w:p w14:paraId="6AE1A05A">
      <w:pPr>
        <w:pStyle w:val="24"/>
        <w:spacing w:before="120"/>
        <w:ind w:left="1332" w:hanging="482"/>
        <w:rPr>
          <w:sz w:val="24"/>
          <w:szCs w:val="24"/>
        </w:rPr>
      </w:pPr>
      <w:r>
        <w:rPr>
          <w:sz w:val="24"/>
          <w:szCs w:val="24"/>
          <w:lang w:eastAsia="zh-CN"/>
        </w:rPr>
        <w:t>□</w:t>
      </w:r>
      <w:r>
        <w:rPr>
          <w:sz w:val="24"/>
          <w:szCs w:val="24"/>
          <w:lang w:eastAsia="zh-CN"/>
        </w:rPr>
        <w:tab/>
      </w:r>
      <w:r>
        <w:rPr>
          <w:sz w:val="24"/>
          <w:szCs w:val="24"/>
          <w:lang w:eastAsia="zh-CN"/>
        </w:rPr>
        <w:t>使用器械的不良事件是可逆的</w:t>
      </w:r>
    </w:p>
    <w:p w14:paraId="6AE1A05B">
      <w:pPr>
        <w:pStyle w:val="24"/>
        <w:spacing w:before="120"/>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解决有害事件所需的干预类型（例如药物治疗、外科手术）</w:t>
      </w:r>
    </w:p>
    <w:p w14:paraId="6AE1A05C">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研究为首次研究（分析可靠性）</w:t>
      </w:r>
    </w:p>
    <w:p w14:paraId="6AE1A05D">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临界点和/或最差情况敏感性分析继续显示具有临床获益</w:t>
      </w:r>
    </w:p>
    <w:p w14:paraId="6AE1A05E">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了解机械合理性和/或</w:t>
      </w:r>
      <w:r>
        <w:rPr>
          <w:rFonts w:ascii="宋体" w:hAnsi="宋体"/>
          <w:sz w:val="24"/>
          <w:szCs w:val="24"/>
          <w:lang w:eastAsia="zh-CN"/>
        </w:rPr>
        <w:t>“</w:t>
      </w:r>
      <w:r>
        <w:rPr>
          <w:sz w:val="24"/>
          <w:szCs w:val="24"/>
          <w:lang w:eastAsia="zh-CN"/>
        </w:rPr>
        <w:t>类效应</w:t>
      </w:r>
      <w:r>
        <w:rPr>
          <w:rFonts w:ascii="宋体" w:hAnsi="宋体"/>
          <w:sz w:val="24"/>
          <w:szCs w:val="24"/>
          <w:lang w:eastAsia="zh-CN"/>
        </w:rPr>
        <w:t>”</w:t>
      </w:r>
      <w:r>
        <w:rPr>
          <w:sz w:val="24"/>
          <w:szCs w:val="24"/>
          <w:lang w:eastAsia="zh-CN"/>
        </w:rPr>
        <w:t>（例如熟练掌握类似技术）</w:t>
      </w:r>
    </w:p>
    <w:p w14:paraId="6AE1A05F">
      <w:pPr>
        <w:pStyle w:val="24"/>
        <w:spacing w:before="120"/>
        <w:ind w:left="1332" w:hanging="482"/>
        <w:rPr>
          <w:sz w:val="24"/>
          <w:szCs w:val="24"/>
        </w:rPr>
      </w:pPr>
      <w:r>
        <w:rPr>
          <w:sz w:val="24"/>
          <w:szCs w:val="24"/>
          <w:lang w:eastAsia="zh-CN"/>
        </w:rPr>
        <w:t>□</w:t>
      </w:r>
      <w:r>
        <w:rPr>
          <w:sz w:val="24"/>
          <w:szCs w:val="24"/>
          <w:lang w:eastAsia="zh-CN"/>
        </w:rPr>
        <w:tab/>
      </w:r>
      <w:r>
        <w:rPr>
          <w:sz w:val="24"/>
          <w:szCs w:val="24"/>
          <w:lang w:eastAsia="zh-CN"/>
        </w:rPr>
        <w:t>其他：</w:t>
      </w:r>
    </w:p>
    <w:p w14:paraId="6AE1A060">
      <w:pPr>
        <w:pStyle w:val="24"/>
        <w:spacing w:before="120"/>
        <w:ind w:left="1332" w:hanging="482"/>
        <w:rPr>
          <w:sz w:val="24"/>
          <w:szCs w:val="24"/>
        </w:rPr>
      </w:pPr>
      <w:r>
        <w:rPr>
          <w:sz w:val="24"/>
          <w:szCs w:val="24"/>
          <w:lang w:eastAsia="zh-CN"/>
        </w:rPr>
        <w:t>□</w:t>
      </w:r>
      <w:r>
        <w:rPr>
          <w:sz w:val="24"/>
          <w:szCs w:val="24"/>
          <w:lang w:eastAsia="zh-CN"/>
        </w:rPr>
        <w:tab/>
      </w:r>
      <w:r>
        <w:rPr>
          <w:sz w:val="24"/>
          <w:szCs w:val="24"/>
          <w:lang w:eastAsia="zh-CN"/>
        </w:rPr>
        <w:t>无</w:t>
      </w:r>
    </w:p>
    <w:p w14:paraId="6AE1A061">
      <w:pPr>
        <w:pStyle w:val="24"/>
        <w:spacing w:before="120"/>
      </w:pPr>
    </w:p>
    <w:tbl>
      <w:tblPr>
        <w:tblStyle w:val="8"/>
        <w:tblW w:w="0" w:type="auto"/>
        <w:tblInd w:w="624"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7513"/>
      </w:tblGrid>
      <w:tr w14:paraId="6AE1A065">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858" w:hRule="atLeast"/>
        </w:trPr>
        <w:tc>
          <w:tcPr>
            <w:tcW w:w="7513" w:type="dxa"/>
            <w:shd w:val="clear" w:color="auto" w:fill="FFFFFF"/>
            <w:vAlign w:val="center"/>
          </w:tcPr>
          <w:p w14:paraId="6AE1A062">
            <w:pPr>
              <w:snapToGrid w:val="0"/>
              <w:spacing w:before="120" w:beforeLines="50"/>
              <w:jc w:val="both"/>
              <w:rPr>
                <w:lang w:eastAsia="zh-CN"/>
              </w:rPr>
            </w:pPr>
            <w:r>
              <w:rPr>
                <w:b/>
                <w:bCs/>
                <w:lang w:eastAsia="zh-CN"/>
              </w:rPr>
              <w:t>Q6：当考虑其他相关考虑因素时，获益是否超过风险？</w:t>
            </w:r>
          </w:p>
          <w:p w14:paraId="6AE1A063">
            <w:pPr>
              <w:snapToGrid w:val="0"/>
              <w:spacing w:before="120" w:beforeLines="50"/>
              <w:jc w:val="both"/>
              <w:rPr>
                <w:lang w:eastAsia="zh-CN"/>
              </w:rPr>
            </w:pPr>
            <w:r>
              <w:rPr>
                <w:lang w:eastAsia="zh-CN"/>
              </w:rPr>
              <w:t>□ 是 - 本器械的获益超过风险，为此额外考虑相关因素不会改变该判定</w:t>
            </w:r>
          </w:p>
          <w:p w14:paraId="6AE1A064">
            <w:pPr>
              <w:snapToGrid w:val="0"/>
              <w:spacing w:before="120" w:beforeLines="50"/>
              <w:jc w:val="both"/>
              <w:rPr>
                <w:lang w:eastAsia="zh-CN"/>
              </w:rPr>
            </w:pPr>
            <w:r>
              <w:rPr>
                <w:lang w:eastAsia="zh-CN"/>
              </w:rPr>
              <w:sym w:font="Wingdings 2" w:char="F054"/>
            </w:r>
            <w:r>
              <w:rPr>
                <w:lang w:eastAsia="zh-CN"/>
              </w:rPr>
              <w:tab/>
            </w:r>
            <w:r>
              <w:rPr>
                <w:lang w:eastAsia="zh-CN"/>
              </w:rPr>
              <w:t>无法得出获益超过风险的结论 - 进一步讨论和考虑风险缓解措施是适当的 - 继续Q7</w:t>
            </w:r>
          </w:p>
        </w:tc>
      </w:tr>
    </w:tbl>
    <w:p w14:paraId="6AE1A066">
      <w:pPr>
        <w:snapToGrid w:val="0"/>
        <w:spacing w:before="120" w:beforeLines="50"/>
        <w:jc w:val="both"/>
        <w:rPr>
          <w:lang w:eastAsia="zh-CN"/>
        </w:rPr>
      </w:pPr>
      <w:r>
        <w:rPr>
          <w:lang w:eastAsia="zh-CN"/>
        </w:rPr>
        <w:br w:type="page"/>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39" w:hRule="atLeast"/>
        </w:trPr>
        <w:tc>
          <w:tcPr>
            <w:tcW w:w="5000" w:type="pct"/>
            <w:shd w:val="clear" w:color="auto" w:fill="FFFFFF"/>
            <w:vAlign w:val="center"/>
          </w:tcPr>
          <w:p w14:paraId="6AE1A067">
            <w:pPr>
              <w:snapToGrid w:val="0"/>
              <w:spacing w:before="120" w:beforeLines="50"/>
              <w:jc w:val="both"/>
              <w:rPr>
                <w:b/>
                <w:bCs/>
                <w:u w:val="single"/>
                <w:lang w:eastAsia="zh-CN"/>
              </w:rPr>
            </w:pPr>
            <w:r>
              <w:rPr>
                <w:b/>
                <w:bCs/>
                <w:u w:val="single"/>
                <w:lang w:eastAsia="zh-CN"/>
              </w:rPr>
              <w:t xml:space="preserve">考虑到其他相关考虑因素，获益-风险评估总结 </w:t>
            </w:r>
          </w:p>
          <w:p w14:paraId="6AE1A068">
            <w:pPr>
              <w:snapToGrid w:val="0"/>
              <w:spacing w:before="120" w:beforeLines="50"/>
              <w:jc w:val="both"/>
              <w:rPr>
                <w:lang w:eastAsia="zh-CN"/>
              </w:rPr>
            </w:pPr>
            <w:r>
              <w:rPr>
                <w:b/>
                <w:bCs/>
                <w:lang w:eastAsia="zh-CN"/>
              </w:rPr>
              <w:t>对于拟定适应症：</w:t>
            </w:r>
          </w:p>
          <w:p w14:paraId="6AE1A069">
            <w:pPr>
              <w:snapToGrid w:val="0"/>
              <w:spacing w:before="120" w:beforeLines="50"/>
              <w:jc w:val="both"/>
              <w:rPr>
                <w:lang w:eastAsia="zh-CN"/>
              </w:rPr>
            </w:pPr>
            <w:r>
              <w:rPr>
                <w:lang w:eastAsia="zh-CN"/>
              </w:rPr>
              <w:t>该体外诊断检测试剂盒未获得详细的患者偏好信息（PPI）以显示患者是否愿意接受可能的风险以换取拟定获益。也未获得健康伴侣和/或医疗保健专业人员的观点。然而，患者对延迟诊断和治疗乳腺癌的耐受性通常较低。这需要与患者对避免活检相关并发症的重视程度</w:t>
            </w:r>
            <w:r>
              <w:rPr>
                <w:rFonts w:hint="eastAsia"/>
                <w:lang w:eastAsia="zh-CN"/>
              </w:rPr>
              <w:t>相</w:t>
            </w:r>
            <w:r>
              <w:rPr>
                <w:lang w:eastAsia="zh-CN"/>
              </w:rPr>
              <w:t>权衡。延迟诊断乳腺癌可能导致更晚期的癌症，从而需要采取重大的医疗干预措施（例如积极化疗、外科手术或放疗），并且可能增加死亡率。尚无合法上市的替代体外诊断检测试剂盒，目前还不清楚该器械是否比现有替代方案</w:t>
            </w:r>
            <w:r>
              <w:rPr>
                <w:rFonts w:hint="eastAsia"/>
                <w:lang w:eastAsia="zh-CN"/>
              </w:rPr>
              <w:t>更具</w:t>
            </w:r>
            <w:r>
              <w:rPr>
                <w:lang w:eastAsia="zh-CN"/>
              </w:rPr>
              <w:t>优势。尚不清楚错过乳腺癌诊断且乳腺X线影像结果为BI-RADS 4的患者是否</w:t>
            </w:r>
            <w:r>
              <w:rPr>
                <w:rFonts w:hint="eastAsia"/>
                <w:lang w:eastAsia="zh-CN"/>
              </w:rPr>
              <w:t>达到</w:t>
            </w:r>
            <w:r>
              <w:rPr>
                <w:lang w:eastAsia="zh-CN"/>
              </w:rPr>
              <w:t>类似于乳腺X线影像结果为BI-RADS 3的患者的临床结局。因此，其他相关考虑因素并未明确证明，申报试剂盒的获益超过风险。</w:t>
            </w:r>
          </w:p>
        </w:tc>
      </w:tr>
    </w:tbl>
    <w:p w14:paraId="6AE1A06B">
      <w:pPr>
        <w:pStyle w:val="22"/>
        <w:spacing w:before="120"/>
        <w:rPr>
          <w:b w:val="0"/>
          <w:i/>
        </w:rPr>
      </w:pPr>
      <w:r>
        <w:t>7.</w:t>
      </w:r>
      <w:r>
        <w:tab/>
      </w:r>
      <w:r>
        <w:t>是否可以缓解风险以使获益超过风险？考虑如果纳入风险缓解策略以降低发生有害事件的概率并改善器械的获益-风险状况，获益是否超过风险。</w:t>
      </w:r>
      <w:r>
        <w:rPr>
          <w:b w:val="0"/>
          <w:i/>
        </w:rPr>
        <w:t>选择相关注意事项，然后回答以下方框中的问题。</w:t>
      </w:r>
    </w:p>
    <w:p w14:paraId="6AE1A06C">
      <w:pPr>
        <w:pStyle w:val="24"/>
        <w:spacing w:before="120"/>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在医生和患者说明书中额外描述已知和可能的获益和风险，包括适当的禁忌症、警告和预防措施，并描述临床事件</w:t>
      </w:r>
    </w:p>
    <w:p w14:paraId="6AE1A06D">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额外警告注意安全性信息的局限（例如</w:t>
      </w:r>
      <w:r>
        <w:rPr>
          <w:rFonts w:ascii="宋体" w:hAnsi="宋体"/>
          <w:sz w:val="24"/>
          <w:szCs w:val="24"/>
          <w:lang w:eastAsia="zh-CN"/>
        </w:rPr>
        <w:t>“</w:t>
      </w:r>
      <w:r>
        <w:rPr>
          <w:sz w:val="24"/>
          <w:szCs w:val="24"/>
          <w:lang w:eastAsia="zh-CN"/>
        </w:rPr>
        <w:t>尚未评价在[情况]中使用该器械的安全性。</w:t>
      </w:r>
      <w:r>
        <w:rPr>
          <w:rFonts w:ascii="宋体" w:hAnsi="宋体"/>
          <w:sz w:val="24"/>
          <w:szCs w:val="24"/>
          <w:lang w:eastAsia="zh-CN"/>
        </w:rPr>
        <w:t>”</w:t>
      </w:r>
      <w:r>
        <w:rPr>
          <w:sz w:val="24"/>
          <w:szCs w:val="24"/>
          <w:lang w:eastAsia="zh-CN"/>
        </w:rPr>
        <w:t>）</w:t>
      </w:r>
    </w:p>
    <w:p w14:paraId="6AE1A06E">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在器械上标记</w:t>
      </w:r>
      <w:r>
        <w:rPr>
          <w:rFonts w:ascii="宋体" w:hAnsi="宋体"/>
          <w:sz w:val="24"/>
          <w:szCs w:val="24"/>
          <w:lang w:eastAsia="zh-CN"/>
        </w:rPr>
        <w:t>“</w:t>
      </w:r>
      <w:r>
        <w:rPr>
          <w:sz w:val="24"/>
          <w:szCs w:val="24"/>
          <w:lang w:eastAsia="zh-CN"/>
        </w:rPr>
        <w:t>仅凭处方</w:t>
      </w:r>
      <w:r>
        <w:rPr>
          <w:rFonts w:ascii="宋体" w:hAnsi="宋体"/>
          <w:sz w:val="24"/>
          <w:szCs w:val="24"/>
          <w:lang w:eastAsia="zh-CN"/>
        </w:rPr>
        <w:t>”</w:t>
      </w:r>
    </w:p>
    <w:p w14:paraId="6AE1A06F">
      <w:pPr>
        <w:pStyle w:val="24"/>
        <w:spacing w:before="120"/>
        <w:ind w:left="1332" w:hanging="482"/>
        <w:rPr>
          <w:sz w:val="24"/>
          <w:szCs w:val="24"/>
          <w:lang w:eastAsia="zh-CN"/>
        </w:rPr>
      </w:pPr>
      <w:r>
        <w:rPr>
          <w:sz w:val="24"/>
          <w:szCs w:val="24"/>
          <w:lang w:eastAsia="zh-CN"/>
        </w:rPr>
        <w:t>培训：</w:t>
      </w:r>
    </w:p>
    <w:p w14:paraId="6AE1A070">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对具有特定资格或临床培训的护理人员进行限制</w:t>
      </w:r>
    </w:p>
    <w:p w14:paraId="6AE1A071">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 xml:space="preserve">仅供具有最低资质和/或受过培训的用户使用 </w:t>
      </w:r>
    </w:p>
    <w:p w14:paraId="6AE1A072">
      <w:pPr>
        <w:pStyle w:val="24"/>
        <w:spacing w:before="120"/>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医生/用户培训计划</w:t>
      </w:r>
    </w:p>
    <w:p w14:paraId="6AE1A073">
      <w:pPr>
        <w:pStyle w:val="24"/>
        <w:spacing w:before="120"/>
        <w:ind w:left="1332" w:hanging="482"/>
        <w:rPr>
          <w:sz w:val="24"/>
          <w:szCs w:val="24"/>
          <w:lang w:eastAsia="zh-CN"/>
        </w:rPr>
      </w:pPr>
      <w:r>
        <w:rPr>
          <w:sz w:val="24"/>
          <w:szCs w:val="24"/>
          <w:lang w:eastAsia="zh-CN"/>
        </w:rPr>
        <w:t>其他：</w:t>
      </w:r>
    </w:p>
    <w:p w14:paraId="6AE1A074">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器械跟踪</w:t>
      </w:r>
    </w:p>
    <w:p w14:paraId="6AE1A075">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其他：</w:t>
      </w:r>
    </w:p>
    <w:p w14:paraId="6AE1A076">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无</w:t>
      </w:r>
    </w:p>
    <w:p w14:paraId="6AE1A077">
      <w:pPr>
        <w:pStyle w:val="24"/>
        <w:spacing w:before="120"/>
        <w:rPr>
          <w:lang w:eastAsia="zh-CN"/>
        </w:rPr>
      </w:pPr>
    </w:p>
    <w:tbl>
      <w:tblPr>
        <w:tblStyle w:val="8"/>
        <w:tblW w:w="0" w:type="auto"/>
        <w:tblInd w:w="624"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7371"/>
      </w:tblGrid>
      <w:tr w14:paraId="6AE1A07B">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306" w:hRule="atLeast"/>
        </w:trPr>
        <w:tc>
          <w:tcPr>
            <w:tcW w:w="7371" w:type="dxa"/>
            <w:shd w:val="clear" w:color="auto" w:fill="FFFFFF"/>
          </w:tcPr>
          <w:p w14:paraId="6AE1A078">
            <w:pPr>
              <w:snapToGrid w:val="0"/>
              <w:spacing w:before="120" w:beforeLines="50"/>
              <w:jc w:val="both"/>
              <w:rPr>
                <w:lang w:eastAsia="zh-CN"/>
              </w:rPr>
            </w:pPr>
            <w:r>
              <w:rPr>
                <w:b/>
                <w:bCs/>
                <w:lang w:eastAsia="zh-CN"/>
              </w:rPr>
              <w:t>Q7：是否可以缓解风险以使获益超过风险？</w:t>
            </w:r>
          </w:p>
          <w:p w14:paraId="6AE1A079">
            <w:pPr>
              <w:snapToGrid w:val="0"/>
              <w:spacing w:before="120" w:beforeLines="50"/>
              <w:jc w:val="both"/>
              <w:rPr>
                <w:lang w:eastAsia="zh-CN"/>
              </w:rPr>
            </w:pPr>
            <w:r>
              <w:rPr>
                <w:lang w:eastAsia="zh-CN"/>
              </w:rPr>
              <w:t>□ 是 - 本器械的获益超过风险，为此额外考虑相关因素不会改变该判定</w:t>
            </w:r>
          </w:p>
          <w:p w14:paraId="6AE1A07A">
            <w:pPr>
              <w:snapToGrid w:val="0"/>
              <w:spacing w:before="120" w:beforeLines="50"/>
              <w:jc w:val="both"/>
              <w:rPr>
                <w:lang w:eastAsia="zh-CN"/>
              </w:rPr>
            </w:pPr>
            <w:r>
              <w:rPr>
                <w:lang w:eastAsia="zh-CN"/>
              </w:rPr>
              <w:sym w:font="Wingdings 2" w:char="F054"/>
            </w:r>
            <w:r>
              <w:rPr>
                <w:lang w:eastAsia="zh-CN"/>
              </w:rPr>
              <w:t>无法得出获益超过风险的结论 - 进一步讨论和考虑上市后措施是适当的 - 继续Q8</w:t>
            </w:r>
          </w:p>
        </w:tc>
      </w:tr>
    </w:tbl>
    <w:p w14:paraId="6AE1A07C">
      <w:pPr>
        <w:snapToGrid w:val="0"/>
        <w:spacing w:before="120" w:beforeLines="50"/>
        <w:jc w:val="both"/>
        <w:rPr>
          <w:lang w:eastAsia="zh-CN"/>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1" w:hRule="atLeast"/>
        </w:trPr>
        <w:tc>
          <w:tcPr>
            <w:tcW w:w="5000" w:type="pct"/>
            <w:shd w:val="clear" w:color="auto" w:fill="FFFFFF"/>
            <w:vAlign w:val="center"/>
          </w:tcPr>
          <w:p w14:paraId="6AE1A07D">
            <w:pPr>
              <w:snapToGrid w:val="0"/>
              <w:spacing w:before="120" w:beforeLines="50"/>
              <w:jc w:val="both"/>
              <w:rPr>
                <w:b/>
                <w:bCs/>
                <w:u w:val="single"/>
                <w:lang w:eastAsia="zh-CN"/>
              </w:rPr>
            </w:pPr>
            <w:r>
              <w:rPr>
                <w:b/>
                <w:bCs/>
                <w:u w:val="single"/>
                <w:lang w:eastAsia="zh-CN"/>
              </w:rPr>
              <w:t xml:space="preserve">考虑到风险缓解策略，获益-风险评估的总结 </w:t>
            </w:r>
          </w:p>
          <w:p w14:paraId="6AE1A07E">
            <w:pPr>
              <w:snapToGrid w:val="0"/>
              <w:spacing w:before="120" w:beforeLines="50"/>
              <w:jc w:val="both"/>
              <w:rPr>
                <w:lang w:eastAsia="zh-CN"/>
              </w:rPr>
            </w:pPr>
            <w:r>
              <w:rPr>
                <w:b/>
                <w:bCs/>
                <w:lang w:eastAsia="zh-CN"/>
              </w:rPr>
              <w:t>对于拟定适应症：</w:t>
            </w:r>
          </w:p>
          <w:p w14:paraId="6AE1A07F">
            <w:pPr>
              <w:snapToGrid w:val="0"/>
              <w:spacing w:before="120" w:beforeLines="50"/>
              <w:jc w:val="both"/>
              <w:rPr>
                <w:lang w:eastAsia="zh-CN"/>
              </w:rPr>
            </w:pPr>
            <w:r>
              <w:rPr>
                <w:lang w:eastAsia="zh-CN"/>
              </w:rPr>
              <w:t>由于错过乳腺癌诊断和乳腺X线影像结果为BI-RADS 4的患者的临床结局存在潜在不确定性，申报试剂盒的其他风险缓解策略不够充分。由于对错过癌症诊断的临床结局了解有限，获益和风险的其他描述无法添加到器械</w:t>
            </w:r>
            <w:r>
              <w:rPr>
                <w:rFonts w:hint="eastAsia"/>
                <w:lang w:eastAsia="zh-CN"/>
              </w:rPr>
              <w:t>说明书</w:t>
            </w:r>
            <w:r>
              <w:rPr>
                <w:lang w:eastAsia="zh-CN"/>
              </w:rPr>
              <w:t>中。同样，信息不足以确定有效的医生/用户培训计划以缓解风险。</w:t>
            </w:r>
          </w:p>
        </w:tc>
      </w:tr>
    </w:tbl>
    <w:p w14:paraId="6AE1A081">
      <w:pPr>
        <w:pStyle w:val="22"/>
        <w:spacing w:before="120"/>
      </w:pPr>
    </w:p>
    <w:p w14:paraId="6AE1A082">
      <w:pPr>
        <w:pStyle w:val="22"/>
        <w:spacing w:before="120" w:line="400" w:lineRule="exact"/>
        <w:rPr>
          <w:b w:val="0"/>
          <w:i/>
        </w:rPr>
      </w:pPr>
      <w:r>
        <w:t>8.</w:t>
      </w:r>
      <w:r>
        <w:tab/>
      </w:r>
      <w:r>
        <w:t>考虑到采取上市后措施，获益是否超过风险？</w:t>
      </w:r>
      <w:r>
        <w:rPr>
          <w:b w:val="0"/>
          <w:i/>
        </w:rPr>
        <w:t>选择适当的上市后措施，然后回答以下方框中的问题。</w:t>
      </w:r>
    </w:p>
    <w:p w14:paraId="6AE1A083">
      <w:pPr>
        <w:pStyle w:val="24"/>
        <w:spacing w:before="120" w:line="400" w:lineRule="exact"/>
        <w:ind w:left="1332" w:hanging="482"/>
        <w:rPr>
          <w:sz w:val="24"/>
          <w:szCs w:val="24"/>
          <w:lang w:eastAsia="zh-CN"/>
        </w:rPr>
      </w:pPr>
      <w:r>
        <w:rPr>
          <w:sz w:val="24"/>
          <w:szCs w:val="24"/>
          <w:lang w:eastAsia="zh-CN"/>
        </w:rPr>
        <w:t>□</w:t>
      </w:r>
      <w:r>
        <w:rPr>
          <w:sz w:val="24"/>
          <w:szCs w:val="24"/>
          <w:lang w:eastAsia="zh-CN"/>
        </w:rPr>
        <w:tab/>
      </w:r>
      <w:r>
        <w:rPr>
          <w:sz w:val="24"/>
          <w:szCs w:val="24"/>
          <w:lang w:eastAsia="zh-CN"/>
        </w:rPr>
        <w:t>在上市后收集其他和/或确认的非临床性能数据</w:t>
      </w:r>
    </w:p>
    <w:p w14:paraId="6AE1A084">
      <w:pPr>
        <w:pStyle w:val="24"/>
        <w:spacing w:before="120" w:line="400" w:lineRule="exact"/>
        <w:ind w:left="1332" w:hanging="482"/>
        <w:rPr>
          <w:sz w:val="24"/>
          <w:szCs w:val="24"/>
          <w:lang w:eastAsia="zh-CN"/>
        </w:rPr>
      </w:pPr>
      <w:r>
        <w:rPr>
          <w:sz w:val="24"/>
          <w:szCs w:val="24"/>
          <w:lang w:eastAsia="zh-CN"/>
        </w:rPr>
        <w:t>□</w:t>
      </w:r>
      <w:r>
        <w:rPr>
          <w:sz w:val="24"/>
          <w:szCs w:val="24"/>
          <w:lang w:eastAsia="zh-CN"/>
        </w:rPr>
        <w:tab/>
      </w:r>
      <w:r>
        <w:rPr>
          <w:sz w:val="24"/>
          <w:szCs w:val="24"/>
          <w:lang w:eastAsia="zh-CN"/>
        </w:rPr>
        <w:t>在上市后收集其他和/或确认的临床数据（例如批准后研究、上市后监督）</w:t>
      </w:r>
    </w:p>
    <w:p w14:paraId="6AE1A085">
      <w:pPr>
        <w:pStyle w:val="25"/>
        <w:spacing w:before="120" w:line="400" w:lineRule="exact"/>
        <w:ind w:left="1762" w:hanging="485"/>
        <w:rPr>
          <w:sz w:val="24"/>
          <w:szCs w:val="24"/>
          <w:lang w:eastAsia="zh-CN"/>
        </w:rPr>
      </w:pPr>
      <w:r>
        <w:rPr>
          <w:sz w:val="24"/>
          <w:szCs w:val="24"/>
          <w:lang w:eastAsia="zh-CN"/>
        </w:rPr>
        <w:t>如果检查了上市后申请中的非临床或临床性能数据收集，请考虑：</w:t>
      </w:r>
    </w:p>
    <w:p w14:paraId="6AE1A086">
      <w:pPr>
        <w:pStyle w:val="25"/>
        <w:spacing w:before="120" w:line="400" w:lineRule="exact"/>
        <w:ind w:left="1762" w:hanging="485"/>
        <w:rPr>
          <w:sz w:val="24"/>
          <w:szCs w:val="24"/>
          <w:lang w:eastAsia="zh-CN"/>
        </w:rPr>
      </w:pPr>
      <w:r>
        <w:rPr>
          <w:sz w:val="24"/>
          <w:szCs w:val="24"/>
          <w:lang w:eastAsia="zh-CN"/>
        </w:rPr>
        <w:t>□</w:t>
      </w:r>
      <w:r>
        <w:rPr>
          <w:sz w:val="24"/>
          <w:szCs w:val="24"/>
          <w:lang w:eastAsia="zh-CN"/>
        </w:rPr>
        <w:tab/>
      </w:r>
      <w:r>
        <w:rPr>
          <w:sz w:val="24"/>
          <w:szCs w:val="24"/>
          <w:lang w:eastAsia="zh-CN"/>
        </w:rPr>
        <w:t>在合理的时间段内完成上市后数据收集的可行性和完成上市后数据收集的可能性</w:t>
      </w:r>
    </w:p>
    <w:p w14:paraId="6AE1A087">
      <w:pPr>
        <w:pStyle w:val="25"/>
        <w:spacing w:before="120" w:line="400" w:lineRule="exact"/>
        <w:ind w:left="1762" w:hanging="485"/>
        <w:rPr>
          <w:sz w:val="24"/>
          <w:szCs w:val="24"/>
          <w:lang w:eastAsia="zh-CN"/>
        </w:rPr>
      </w:pPr>
      <w:r>
        <w:rPr>
          <w:sz w:val="24"/>
          <w:szCs w:val="24"/>
          <w:lang w:eastAsia="zh-CN"/>
        </w:rPr>
        <w:t>□</w:t>
      </w:r>
      <w:r>
        <w:rPr>
          <w:sz w:val="24"/>
          <w:szCs w:val="24"/>
          <w:lang w:eastAsia="zh-CN"/>
        </w:rPr>
        <w:tab/>
      </w:r>
      <w:r>
        <w:rPr>
          <w:sz w:val="24"/>
          <w:szCs w:val="24"/>
          <w:lang w:eastAsia="zh-CN"/>
        </w:rPr>
        <w:t>在标签中描述上市后数据收集及其目的是否合适</w:t>
      </w:r>
    </w:p>
    <w:p w14:paraId="6AE1A088">
      <w:pPr>
        <w:pStyle w:val="24"/>
        <w:spacing w:before="120" w:line="400" w:lineRule="exact"/>
        <w:ind w:left="1332" w:hanging="482"/>
        <w:rPr>
          <w:sz w:val="24"/>
          <w:szCs w:val="24"/>
        </w:rPr>
      </w:pPr>
      <w:r>
        <w:rPr>
          <w:sz w:val="24"/>
          <w:szCs w:val="24"/>
          <w:lang w:eastAsia="zh-CN"/>
        </w:rPr>
        <w:t>□</w:t>
      </w:r>
      <w:r>
        <w:rPr>
          <w:sz w:val="24"/>
          <w:szCs w:val="24"/>
          <w:lang w:eastAsia="zh-CN"/>
        </w:rPr>
        <w:tab/>
      </w:r>
      <w:r>
        <w:rPr>
          <w:sz w:val="24"/>
          <w:szCs w:val="24"/>
          <w:lang w:eastAsia="zh-CN"/>
        </w:rPr>
        <w:t>其他：</w:t>
      </w:r>
    </w:p>
    <w:p w14:paraId="6AE1A089">
      <w:pPr>
        <w:pStyle w:val="24"/>
        <w:spacing w:before="120" w:line="400" w:lineRule="exact"/>
        <w:ind w:left="1332" w:hanging="482"/>
        <w:rPr>
          <w:sz w:val="24"/>
          <w:szCs w:val="24"/>
        </w:rPr>
      </w:pPr>
      <w:r>
        <w:rPr>
          <w:sz w:val="24"/>
          <w:szCs w:val="24"/>
          <w:lang w:eastAsia="zh-CN"/>
        </w:rPr>
        <w:sym w:font="Wingdings 2" w:char="F054"/>
      </w:r>
      <w:r>
        <w:rPr>
          <w:sz w:val="24"/>
          <w:szCs w:val="24"/>
          <w:lang w:eastAsia="zh-CN"/>
        </w:rPr>
        <w:tab/>
      </w:r>
      <w:r>
        <w:rPr>
          <w:sz w:val="24"/>
          <w:szCs w:val="24"/>
          <w:lang w:eastAsia="zh-CN"/>
        </w:rPr>
        <w:t>无</w:t>
      </w:r>
    </w:p>
    <w:p w14:paraId="6AE1A08A">
      <w:pPr>
        <w:pStyle w:val="24"/>
        <w:spacing w:before="120" w:line="400" w:lineRule="exact"/>
      </w:pPr>
    </w:p>
    <w:tbl>
      <w:tblPr>
        <w:tblStyle w:val="8"/>
        <w:tblW w:w="0" w:type="auto"/>
        <w:tblInd w:w="9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7371"/>
      </w:tblGrid>
      <w:tr w14:paraId="6AE1A08E">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094" w:hRule="atLeast"/>
        </w:trPr>
        <w:tc>
          <w:tcPr>
            <w:tcW w:w="7371" w:type="dxa"/>
            <w:shd w:val="clear" w:color="auto" w:fill="FFFFFF"/>
            <w:vAlign w:val="center"/>
          </w:tcPr>
          <w:p w14:paraId="6AE1A08B">
            <w:pPr>
              <w:snapToGrid w:val="0"/>
              <w:spacing w:before="120" w:beforeLines="50" w:line="400" w:lineRule="exact"/>
              <w:jc w:val="both"/>
              <w:rPr>
                <w:lang w:eastAsia="zh-CN"/>
              </w:rPr>
            </w:pPr>
            <w:r>
              <w:rPr>
                <w:b/>
                <w:bCs/>
                <w:lang w:eastAsia="zh-CN"/>
              </w:rPr>
              <w:t>Q8：考虑到采取上市后措施，获益是否超过风险？</w:t>
            </w:r>
          </w:p>
          <w:p w14:paraId="6AE1A08C">
            <w:pPr>
              <w:snapToGrid w:val="0"/>
              <w:spacing w:before="120" w:beforeLines="50" w:line="400" w:lineRule="exact"/>
              <w:jc w:val="both"/>
              <w:rPr>
                <w:lang w:eastAsia="zh-CN"/>
              </w:rPr>
            </w:pPr>
            <w:r>
              <w:rPr>
                <w:lang w:eastAsia="zh-CN"/>
              </w:rPr>
              <w:t>□ 是 - 获益超过手术风险</w:t>
            </w:r>
          </w:p>
          <w:p w14:paraId="6AE1A08D">
            <w:pPr>
              <w:snapToGrid w:val="0"/>
              <w:spacing w:before="120" w:beforeLines="50" w:line="400" w:lineRule="exact"/>
              <w:jc w:val="both"/>
              <w:rPr>
                <w:lang w:eastAsia="zh-CN"/>
              </w:rPr>
            </w:pPr>
            <w:r>
              <w:rPr>
                <w:lang w:eastAsia="zh-CN"/>
              </w:rPr>
              <w:sym w:font="Wingdings 2" w:char="F054"/>
            </w:r>
            <w:r>
              <w:rPr>
                <w:lang w:eastAsia="zh-CN"/>
              </w:rPr>
              <w:t>无法得出获益超过风险的结论 - 继续Q9</w:t>
            </w:r>
          </w:p>
        </w:tc>
      </w:tr>
    </w:tbl>
    <w:p w14:paraId="6AE1A08F">
      <w:pPr>
        <w:snapToGrid w:val="0"/>
        <w:spacing w:before="120" w:beforeLines="50" w:line="400" w:lineRule="exact"/>
        <w:jc w:val="both"/>
        <w:rPr>
          <w:lang w:eastAsia="zh-CN"/>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trPr>
        <w:tc>
          <w:tcPr>
            <w:tcW w:w="5000" w:type="pct"/>
            <w:shd w:val="clear" w:color="auto" w:fill="FFFFFF"/>
            <w:vAlign w:val="center"/>
          </w:tcPr>
          <w:p w14:paraId="6AE1A090">
            <w:pPr>
              <w:snapToGrid w:val="0"/>
              <w:spacing w:before="120" w:beforeLines="50" w:line="400" w:lineRule="exact"/>
              <w:jc w:val="both"/>
              <w:rPr>
                <w:b/>
                <w:bCs/>
                <w:u w:val="single"/>
                <w:lang w:eastAsia="zh-CN"/>
              </w:rPr>
            </w:pPr>
            <w:r>
              <w:rPr>
                <w:b/>
                <w:bCs/>
                <w:u w:val="single"/>
                <w:lang w:eastAsia="zh-CN"/>
              </w:rPr>
              <w:t xml:space="preserve">考虑到上市后措施，获益-风险评估总结 </w:t>
            </w:r>
          </w:p>
          <w:p w14:paraId="6AE1A091">
            <w:pPr>
              <w:snapToGrid w:val="0"/>
              <w:spacing w:before="120" w:beforeLines="50" w:line="400" w:lineRule="exact"/>
              <w:jc w:val="both"/>
              <w:rPr>
                <w:lang w:eastAsia="zh-CN"/>
              </w:rPr>
            </w:pPr>
            <w:r>
              <w:rPr>
                <w:b/>
                <w:bCs/>
                <w:lang w:eastAsia="zh-CN"/>
              </w:rPr>
              <w:t>对于拟定适应症：</w:t>
            </w:r>
          </w:p>
          <w:p w14:paraId="6AE1A092">
            <w:pPr>
              <w:snapToGrid w:val="0"/>
              <w:spacing w:before="120" w:beforeLines="50" w:line="400" w:lineRule="exact"/>
              <w:jc w:val="both"/>
              <w:rPr>
                <w:lang w:eastAsia="zh-CN"/>
              </w:rPr>
            </w:pPr>
            <w:r>
              <w:rPr>
                <w:lang w:eastAsia="zh-CN"/>
              </w:rPr>
              <w:t>根据现有数据，我们无法得出获益超过风险的结论，并且由于不确定性较高以及错过癌症诊断的临床影响，上市后措施不足以解决这些问题。</w:t>
            </w:r>
          </w:p>
        </w:tc>
      </w:tr>
    </w:tbl>
    <w:p w14:paraId="6AE1A094">
      <w:pPr>
        <w:snapToGrid w:val="0"/>
        <w:spacing w:before="120" w:beforeLines="50" w:line="400" w:lineRule="exact"/>
        <w:jc w:val="both"/>
        <w:rPr>
          <w:lang w:eastAsia="zh-CN"/>
        </w:rPr>
      </w:pPr>
    </w:p>
    <w:tbl>
      <w:tblPr>
        <w:tblStyle w:val="8"/>
        <w:tblW w:w="0" w:type="auto"/>
        <w:tblInd w:w="9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7371"/>
      </w:tblGrid>
      <w:tr w14:paraId="6AE1A098">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075" w:hRule="atLeast"/>
        </w:trPr>
        <w:tc>
          <w:tcPr>
            <w:tcW w:w="7371" w:type="dxa"/>
            <w:shd w:val="clear" w:color="auto" w:fill="FFFFFF"/>
            <w:vAlign w:val="center"/>
          </w:tcPr>
          <w:p w14:paraId="6AE1A095">
            <w:pPr>
              <w:snapToGrid w:val="0"/>
              <w:spacing w:before="120" w:beforeLines="50" w:line="400" w:lineRule="exact"/>
              <w:jc w:val="both"/>
              <w:rPr>
                <w:lang w:eastAsia="zh-CN"/>
              </w:rPr>
            </w:pPr>
            <w:r>
              <w:rPr>
                <w:b/>
                <w:bCs/>
                <w:lang w:eastAsia="zh-CN"/>
              </w:rPr>
              <w:t>Q9：修改后的适应症是否具有临床获益？</w:t>
            </w:r>
          </w:p>
          <w:p w14:paraId="6AE1A096">
            <w:pPr>
              <w:snapToGrid w:val="0"/>
              <w:spacing w:before="120" w:beforeLines="50" w:line="400" w:lineRule="exact"/>
              <w:jc w:val="both"/>
              <w:rPr>
                <w:lang w:eastAsia="zh-CN"/>
              </w:rPr>
            </w:pPr>
            <w:r>
              <w:rPr>
                <w:lang w:eastAsia="zh-CN"/>
              </w:rPr>
              <w:t xml:space="preserve">□ 是 </w:t>
            </w:r>
            <w:r>
              <w:rPr>
                <w:lang w:eastAsia="zh-CN"/>
              </w:rPr>
              <w:sym w:font="Wingdings" w:char="F0E8"/>
            </w:r>
            <w:r>
              <w:rPr>
                <w:lang w:eastAsia="zh-CN"/>
              </w:rPr>
              <w:t>返回Q1并继续修改后的适应症</w:t>
            </w:r>
          </w:p>
          <w:p w14:paraId="6AE1A097">
            <w:pPr>
              <w:snapToGrid w:val="0"/>
              <w:spacing w:before="120" w:beforeLines="50" w:line="400" w:lineRule="exact"/>
              <w:jc w:val="both"/>
            </w:pPr>
            <w:r>
              <w:rPr>
                <w:lang w:eastAsia="zh-CN"/>
              </w:rPr>
              <w:sym w:font="Wingdings 2" w:char="F054"/>
            </w:r>
            <w:r>
              <w:rPr>
                <w:lang w:eastAsia="zh-CN"/>
              </w:rPr>
              <w:t xml:space="preserve"> 否 </w:t>
            </w:r>
            <w:r>
              <w:rPr>
                <w:lang w:eastAsia="zh-CN"/>
              </w:rPr>
              <w:sym w:font="Wingdings" w:char="F0E8"/>
            </w:r>
            <w:r>
              <w:rPr>
                <w:lang w:eastAsia="zh-CN"/>
              </w:rPr>
              <w:t>未批准/授予</w:t>
            </w:r>
          </w:p>
        </w:tc>
      </w:tr>
    </w:tbl>
    <w:p w14:paraId="6AE1A099">
      <w:pPr>
        <w:snapToGrid w:val="0"/>
        <w:spacing w:before="120" w:beforeLines="50" w:line="400" w:lineRule="exact"/>
        <w:jc w:val="both"/>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1" w:hRule="atLeast"/>
        </w:trPr>
        <w:tc>
          <w:tcPr>
            <w:tcW w:w="5000" w:type="pct"/>
            <w:shd w:val="clear" w:color="auto" w:fill="FFFFFF"/>
            <w:vAlign w:val="center"/>
          </w:tcPr>
          <w:p w14:paraId="6AE1A09A">
            <w:pPr>
              <w:snapToGrid w:val="0"/>
              <w:spacing w:before="120" w:beforeLines="50" w:line="400" w:lineRule="exact"/>
              <w:jc w:val="both"/>
              <w:rPr>
                <w:lang w:eastAsia="zh-CN"/>
              </w:rPr>
            </w:pPr>
            <w:r>
              <w:rPr>
                <w:lang w:eastAsia="zh-CN"/>
              </w:rPr>
              <w:t>此时，由于我们无法得出获益超过风险的结论，FDA无法批准PMA。鉴于获益不确定并且少量患者的风险可能较高，FDA在此时无法得出能够合理保证安全性和有效性的结论</w:t>
            </w:r>
            <w:r>
              <w:rPr>
                <w:rFonts w:hint="eastAsia"/>
                <w:lang w:eastAsia="zh-CN"/>
              </w:rPr>
              <w:t>以</w:t>
            </w:r>
            <w:r>
              <w:rPr>
                <w:lang w:eastAsia="zh-CN"/>
              </w:rPr>
              <w:t>支持批准上市前申请，</w:t>
            </w:r>
            <w:r>
              <w:rPr>
                <w:rFonts w:hint="eastAsia"/>
                <w:lang w:eastAsia="zh-CN"/>
              </w:rPr>
              <w:t>但</w:t>
            </w:r>
            <w:r>
              <w:rPr>
                <w:lang w:eastAsia="zh-CN"/>
              </w:rPr>
              <w:t>可以考虑咨询顾问委员会，以进一步评价试剂盒用于拟定和修改后的适应症的获益-风险状况。</w:t>
            </w:r>
          </w:p>
        </w:tc>
      </w:tr>
    </w:tbl>
    <w:p w14:paraId="6AE1A09C">
      <w:pPr>
        <w:snapToGrid w:val="0"/>
        <w:spacing w:before="120" w:beforeLines="50"/>
        <w:jc w:val="both"/>
        <w:rPr>
          <w:lang w:eastAsia="zh-CN"/>
        </w:rPr>
      </w:pPr>
    </w:p>
    <w:p w14:paraId="6AE1A09D">
      <w:pPr>
        <w:snapToGrid w:val="0"/>
        <w:spacing w:before="120" w:beforeLines="50" w:after="120" w:afterLines="50"/>
        <w:jc w:val="center"/>
        <w:rPr>
          <w:sz w:val="28"/>
          <w:szCs w:val="28"/>
        </w:rPr>
      </w:pPr>
      <w:bookmarkStart w:id="134" w:name="bookmark110"/>
      <w:r>
        <w:rPr>
          <w:b/>
          <w:bCs/>
          <w:sz w:val="28"/>
          <w:szCs w:val="28"/>
          <w:lang w:eastAsia="zh-CN"/>
        </w:rPr>
        <w:t>获益-风险评估总结</w:t>
      </w:r>
      <w:bookmarkEnd w:id="134"/>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3559"/>
        <w:gridCol w:w="2540"/>
        <w:gridCol w:w="3086"/>
      </w:tblGrid>
      <w:tr w14:paraId="6AE1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4" w:hRule="atLeast"/>
        </w:trPr>
        <w:tc>
          <w:tcPr>
            <w:tcW w:w="3941" w:type="dxa"/>
            <w:vMerge w:val="restart"/>
            <w:shd w:val="clear" w:color="auto" w:fill="FFFFFF"/>
            <w:vAlign w:val="center"/>
          </w:tcPr>
          <w:p w14:paraId="6AE1A09E">
            <w:pPr>
              <w:snapToGrid w:val="0"/>
              <w:jc w:val="center"/>
              <w:rPr>
                <w:lang w:eastAsia="zh-CN"/>
              </w:rPr>
            </w:pPr>
            <w:r>
              <w:rPr>
                <w:lang w:eastAsia="zh-CN"/>
              </w:rPr>
              <w:t>基于数据器械名称的总和：假设举例3PMA/新分类编号：</w:t>
            </w:r>
          </w:p>
          <w:p w14:paraId="6AE1A09F">
            <w:pPr>
              <w:snapToGrid w:val="0"/>
              <w:jc w:val="center"/>
            </w:pPr>
            <w:r>
              <w:rPr>
                <w:lang w:eastAsia="zh-CN"/>
              </w:rPr>
              <w:sym w:font="Wingdings 2" w:char="F054"/>
            </w:r>
            <w:r>
              <w:rPr>
                <w:lang w:eastAsia="zh-CN"/>
              </w:rPr>
              <w:t xml:space="preserve"> 中期 □ 最终</w:t>
            </w:r>
          </w:p>
        </w:tc>
        <w:tc>
          <w:tcPr>
            <w:tcW w:w="6129" w:type="dxa"/>
            <w:gridSpan w:val="2"/>
            <w:tcBorders>
              <w:bottom w:val="single" w:color="auto" w:sz="4" w:space="0"/>
            </w:tcBorders>
            <w:shd w:val="clear" w:color="auto" w:fill="00B0F0"/>
            <w:vAlign w:val="center"/>
          </w:tcPr>
          <w:p w14:paraId="6AE1A0A0">
            <w:pPr>
              <w:snapToGrid w:val="0"/>
              <w:jc w:val="center"/>
            </w:pPr>
            <w:r>
              <w:rPr>
                <w:b/>
                <w:bCs/>
                <w:lang w:eastAsia="zh-CN"/>
              </w:rPr>
              <w:t>拟定适应症</w:t>
            </w:r>
          </w:p>
        </w:tc>
      </w:tr>
      <w:tr w14:paraId="6AE1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7" w:hRule="atLeast"/>
        </w:trPr>
        <w:tc>
          <w:tcPr>
            <w:tcW w:w="3941" w:type="dxa"/>
            <w:vMerge w:val="continue"/>
            <w:tcBorders>
              <w:bottom w:val="single" w:color="auto" w:sz="4" w:space="0"/>
            </w:tcBorders>
            <w:shd w:val="clear" w:color="auto" w:fill="FFFFFF"/>
            <w:vAlign w:val="center"/>
          </w:tcPr>
          <w:p w14:paraId="6AE1A0A2">
            <w:pPr>
              <w:snapToGrid w:val="0"/>
              <w:jc w:val="center"/>
            </w:pPr>
          </w:p>
        </w:tc>
        <w:tc>
          <w:tcPr>
            <w:tcW w:w="6129" w:type="dxa"/>
            <w:gridSpan w:val="2"/>
            <w:tcBorders>
              <w:bottom w:val="single" w:color="auto" w:sz="4" w:space="0"/>
            </w:tcBorders>
            <w:shd w:val="clear" w:color="auto" w:fill="DBE5F1" w:themeFill="accent1" w:themeFillTint="33"/>
            <w:vAlign w:val="center"/>
          </w:tcPr>
          <w:p w14:paraId="6AE1A0A3">
            <w:pPr>
              <w:snapToGrid w:val="0"/>
              <w:jc w:val="center"/>
              <w:rPr>
                <w:lang w:eastAsia="zh-CN"/>
              </w:rPr>
            </w:pPr>
            <w:r>
              <w:rPr>
                <w:lang w:eastAsia="zh-CN"/>
              </w:rPr>
              <w:t>体外诊断检测试剂盒能够测量10份多肽分析物，并获得一个定性结果。该试剂盒预期供40岁或以上的女性在乳腺病灶的乳腺X线影像显示BI-RADS 4级结果后使用，以帮助医生确定是否推荐进行乳腺活检。</w:t>
            </w:r>
          </w:p>
        </w:tc>
      </w:tr>
      <w:tr w14:paraId="6AE1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 w:hRule="atLeast"/>
        </w:trPr>
        <w:tc>
          <w:tcPr>
            <w:tcW w:w="3941" w:type="dxa"/>
            <w:vMerge w:val="restart"/>
            <w:shd w:val="clear" w:color="auto" w:fill="D6E3BC" w:themeFill="accent3" w:themeFillTint="66"/>
            <w:vAlign w:val="center"/>
          </w:tcPr>
          <w:p w14:paraId="6AE1A0A5">
            <w:pPr>
              <w:snapToGrid w:val="0"/>
              <w:jc w:val="both"/>
            </w:pPr>
            <w:r>
              <w:rPr>
                <w:b/>
                <w:bCs/>
                <w:sz w:val="24"/>
                <w:szCs w:val="24"/>
                <w:lang w:eastAsia="zh-CN"/>
              </w:rPr>
              <w:t>获益评估</w:t>
            </w:r>
          </w:p>
        </w:tc>
        <w:tc>
          <w:tcPr>
            <w:tcW w:w="6129" w:type="dxa"/>
            <w:gridSpan w:val="2"/>
            <w:tcBorders>
              <w:bottom w:val="nil"/>
            </w:tcBorders>
            <w:shd w:val="clear" w:color="auto" w:fill="D6E3BC" w:themeFill="accent3" w:themeFillTint="66"/>
            <w:vAlign w:val="center"/>
          </w:tcPr>
          <w:p w14:paraId="6AE1A0A6">
            <w:pPr>
              <w:snapToGrid w:val="0"/>
              <w:jc w:val="both"/>
              <w:rPr>
                <w:lang w:eastAsia="zh-CN"/>
              </w:rPr>
            </w:pPr>
            <w:r>
              <w:rPr>
                <w:lang w:eastAsia="zh-CN"/>
              </w:rPr>
              <w:t>从以下方面考虑获益：</w:t>
            </w:r>
          </w:p>
        </w:tc>
      </w:tr>
      <w:tr w14:paraId="6AE1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1" w:hRule="atLeast"/>
        </w:trPr>
        <w:tc>
          <w:tcPr>
            <w:tcW w:w="3941" w:type="dxa"/>
            <w:vMerge w:val="continue"/>
            <w:shd w:val="clear" w:color="auto" w:fill="D6E3BC" w:themeFill="accent3" w:themeFillTint="66"/>
            <w:vAlign w:val="center"/>
          </w:tcPr>
          <w:p w14:paraId="6AE1A0A8">
            <w:pPr>
              <w:snapToGrid w:val="0"/>
              <w:jc w:val="both"/>
              <w:rPr>
                <w:lang w:eastAsia="zh-CN"/>
              </w:rPr>
            </w:pPr>
          </w:p>
        </w:tc>
        <w:tc>
          <w:tcPr>
            <w:tcW w:w="2755" w:type="dxa"/>
            <w:tcBorders>
              <w:top w:val="nil"/>
              <w:right w:val="nil"/>
            </w:tcBorders>
            <w:shd w:val="clear" w:color="auto" w:fill="D6E3BC" w:themeFill="accent3" w:themeFillTint="66"/>
          </w:tcPr>
          <w:p w14:paraId="6AE1A0A9">
            <w:pPr>
              <w:tabs>
                <w:tab w:val="left" w:pos="355"/>
              </w:tabs>
              <w:snapToGrid w:val="0"/>
              <w:jc w:val="both"/>
              <w:rPr>
                <w:lang w:eastAsia="zh-CN"/>
              </w:rPr>
            </w:pPr>
            <w:r>
              <w:rPr>
                <w:lang w:eastAsia="zh-CN"/>
              </w:rPr>
              <w:t>•</w:t>
            </w:r>
            <w:r>
              <w:rPr>
                <w:lang w:eastAsia="zh-CN"/>
              </w:rPr>
              <w:tab/>
            </w:r>
            <w:r>
              <w:rPr>
                <w:lang w:eastAsia="zh-CN"/>
              </w:rPr>
              <w:t>类型</w:t>
            </w:r>
          </w:p>
          <w:p w14:paraId="6AE1A0AA">
            <w:pPr>
              <w:tabs>
                <w:tab w:val="left" w:pos="355"/>
              </w:tabs>
              <w:snapToGrid w:val="0"/>
              <w:jc w:val="both"/>
              <w:rPr>
                <w:lang w:eastAsia="zh-CN"/>
              </w:rPr>
            </w:pPr>
            <w:r>
              <w:rPr>
                <w:lang w:eastAsia="zh-CN"/>
              </w:rPr>
              <w:t>•</w:t>
            </w:r>
            <w:r>
              <w:rPr>
                <w:lang w:eastAsia="zh-CN"/>
              </w:rPr>
              <w:tab/>
            </w:r>
            <w:r>
              <w:rPr>
                <w:lang w:eastAsia="zh-CN"/>
              </w:rPr>
              <w:t>程度</w:t>
            </w:r>
          </w:p>
          <w:p w14:paraId="6AE1A0AB">
            <w:pPr>
              <w:tabs>
                <w:tab w:val="left" w:pos="355"/>
              </w:tabs>
              <w:snapToGrid w:val="0"/>
              <w:jc w:val="both"/>
              <w:rPr>
                <w:lang w:eastAsia="zh-CN"/>
              </w:rPr>
            </w:pPr>
            <w:r>
              <w:rPr>
                <w:lang w:eastAsia="zh-CN"/>
              </w:rPr>
              <w:t>•</w:t>
            </w:r>
            <w:r>
              <w:rPr>
                <w:lang w:eastAsia="zh-CN"/>
              </w:rPr>
              <w:tab/>
            </w:r>
            <w:r>
              <w:rPr>
                <w:lang w:eastAsia="zh-CN"/>
              </w:rPr>
              <w:t>概率</w:t>
            </w:r>
          </w:p>
          <w:p w14:paraId="6AE1A0AC">
            <w:pPr>
              <w:tabs>
                <w:tab w:val="left" w:pos="355"/>
              </w:tabs>
              <w:snapToGrid w:val="0"/>
              <w:jc w:val="both"/>
              <w:rPr>
                <w:lang w:eastAsia="zh-CN"/>
              </w:rPr>
            </w:pPr>
            <w:r>
              <w:rPr>
                <w:lang w:eastAsia="zh-CN"/>
              </w:rPr>
              <w:t>•</w:t>
            </w:r>
            <w:r>
              <w:rPr>
                <w:lang w:eastAsia="zh-CN"/>
              </w:rPr>
              <w:tab/>
            </w:r>
            <w:r>
              <w:rPr>
                <w:lang w:eastAsia="zh-CN"/>
              </w:rPr>
              <w:t>效应持续时间</w:t>
            </w:r>
          </w:p>
        </w:tc>
        <w:tc>
          <w:tcPr>
            <w:tcW w:w="3374" w:type="dxa"/>
            <w:tcBorders>
              <w:top w:val="nil"/>
              <w:left w:val="nil"/>
            </w:tcBorders>
            <w:shd w:val="clear" w:color="auto" w:fill="D6E3BC" w:themeFill="accent3" w:themeFillTint="66"/>
          </w:tcPr>
          <w:p w14:paraId="6AE1A0AD">
            <w:pPr>
              <w:tabs>
                <w:tab w:val="left" w:pos="355"/>
              </w:tabs>
              <w:snapToGrid w:val="0"/>
              <w:ind w:left="420" w:hanging="420" w:hangingChars="200"/>
              <w:jc w:val="both"/>
              <w:rPr>
                <w:lang w:eastAsia="zh-CN"/>
              </w:rPr>
            </w:pPr>
            <w:r>
              <w:rPr>
                <w:lang w:eastAsia="zh-CN"/>
              </w:rPr>
              <w:t>•</w:t>
            </w:r>
            <w:r>
              <w:rPr>
                <w:lang w:eastAsia="zh-CN"/>
              </w:rPr>
              <w:tab/>
            </w:r>
            <w:r>
              <w:rPr>
                <w:lang w:eastAsia="zh-CN"/>
              </w:rPr>
              <w:t>患者观点（或如适用，健康伴侣和/或医疗保健专业人员观点）</w:t>
            </w:r>
          </w:p>
          <w:p w14:paraId="6AE1A0AE">
            <w:pPr>
              <w:tabs>
                <w:tab w:val="left" w:pos="360"/>
              </w:tabs>
              <w:snapToGrid w:val="0"/>
              <w:ind w:left="420" w:hanging="420" w:hangingChars="200"/>
              <w:jc w:val="both"/>
            </w:pPr>
            <w:r>
              <w:rPr>
                <w:lang w:eastAsia="zh-CN"/>
              </w:rPr>
              <w:t>•</w:t>
            </w:r>
            <w:r>
              <w:rPr>
                <w:lang w:eastAsia="zh-CN"/>
              </w:rPr>
              <w:tab/>
            </w:r>
            <w:r>
              <w:rPr>
                <w:lang w:eastAsia="zh-CN"/>
              </w:rPr>
              <w:t>其他</w:t>
            </w:r>
          </w:p>
        </w:tc>
      </w:tr>
      <w:tr w14:paraId="6AE1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5" w:hRule="atLeast"/>
        </w:trPr>
        <w:tc>
          <w:tcPr>
            <w:tcW w:w="3941" w:type="dxa"/>
            <w:shd w:val="clear" w:color="auto" w:fill="FFFFFF"/>
            <w:vAlign w:val="center"/>
          </w:tcPr>
          <w:p w14:paraId="6AE1A0B0">
            <w:pPr>
              <w:snapToGrid w:val="0"/>
              <w:jc w:val="both"/>
              <w:rPr>
                <w:lang w:eastAsia="zh-CN"/>
              </w:rPr>
            </w:pPr>
            <w:r>
              <w:rPr>
                <w:lang w:eastAsia="zh-CN"/>
              </w:rPr>
              <w:t>1.是否存在具有临床获益的证据？</w:t>
            </w:r>
          </w:p>
        </w:tc>
        <w:tc>
          <w:tcPr>
            <w:tcW w:w="6129" w:type="dxa"/>
            <w:gridSpan w:val="2"/>
            <w:shd w:val="clear" w:color="auto" w:fill="FFFFFF"/>
            <w:vAlign w:val="center"/>
          </w:tcPr>
          <w:p w14:paraId="6AE1A0B1">
            <w:pPr>
              <w:snapToGrid w:val="0"/>
              <w:jc w:val="both"/>
              <w:rPr>
                <w:lang w:eastAsia="zh-CN"/>
              </w:rPr>
            </w:pPr>
            <w:r>
              <w:rPr>
                <w:lang w:eastAsia="zh-CN"/>
              </w:rPr>
              <w:sym w:font="Wingdings 2" w:char="F054"/>
            </w:r>
            <w:r>
              <w:rPr>
                <w:lang w:eastAsia="zh-CN"/>
              </w:rPr>
              <w:t xml:space="preserve"> 是 </w:t>
            </w:r>
            <w:r>
              <w:rPr>
                <w:lang w:eastAsia="zh-CN"/>
              </w:rPr>
              <w:sym w:font="Wingdings" w:char="F0E8"/>
            </w:r>
            <w:r>
              <w:rPr>
                <w:lang w:eastAsia="zh-CN"/>
              </w:rPr>
              <w:t xml:space="preserve"> Q2</w:t>
            </w:r>
          </w:p>
          <w:p w14:paraId="6AE1A0B2">
            <w:pPr>
              <w:snapToGrid w:val="0"/>
              <w:jc w:val="both"/>
              <w:rPr>
                <w:lang w:eastAsia="zh-CN"/>
              </w:rPr>
            </w:pPr>
            <w:r>
              <w:rPr>
                <w:lang w:eastAsia="zh-CN"/>
              </w:rPr>
              <w:t xml:space="preserve">□ 否 </w:t>
            </w:r>
            <w:r>
              <w:rPr>
                <w:lang w:eastAsia="zh-CN"/>
              </w:rPr>
              <w:sym w:font="Wingdings" w:char="F0E8"/>
            </w:r>
            <w:r>
              <w:rPr>
                <w:lang w:eastAsia="zh-CN"/>
              </w:rPr>
              <w:t xml:space="preserve"> 未批准/授予拟定适应症；继续Q9</w:t>
            </w:r>
          </w:p>
        </w:tc>
      </w:tr>
      <w:tr w14:paraId="6AE1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trPr>
        <w:tc>
          <w:tcPr>
            <w:tcW w:w="3941" w:type="dxa"/>
            <w:tcBorders>
              <w:bottom w:val="single" w:color="auto" w:sz="4" w:space="0"/>
            </w:tcBorders>
            <w:shd w:val="clear" w:color="auto" w:fill="FFFFFF"/>
            <w:vAlign w:val="center"/>
          </w:tcPr>
          <w:p w14:paraId="6AE1A0B4">
            <w:pPr>
              <w:snapToGrid w:val="0"/>
              <w:jc w:val="both"/>
              <w:rPr>
                <w:lang w:eastAsia="zh-CN"/>
              </w:rPr>
            </w:pPr>
            <w:r>
              <w:rPr>
                <w:lang w:eastAsia="zh-CN"/>
              </w:rPr>
              <w:t>2.获益的不确定性如何？</w:t>
            </w:r>
          </w:p>
        </w:tc>
        <w:tc>
          <w:tcPr>
            <w:tcW w:w="6129" w:type="dxa"/>
            <w:gridSpan w:val="2"/>
            <w:tcBorders>
              <w:bottom w:val="single" w:color="auto" w:sz="4" w:space="0"/>
            </w:tcBorders>
            <w:shd w:val="clear" w:color="auto" w:fill="FFFFFF"/>
            <w:vAlign w:val="center"/>
          </w:tcPr>
          <w:p w14:paraId="6AE1A0B5">
            <w:pPr>
              <w:snapToGrid w:val="0"/>
              <w:jc w:val="both"/>
              <w:rPr>
                <w:lang w:eastAsia="zh-CN"/>
              </w:rPr>
            </w:pPr>
            <w:r>
              <w:rPr>
                <w:lang w:eastAsia="zh-CN"/>
              </w:rPr>
              <w:sym w:font="Wingdings 2" w:char="F054"/>
            </w:r>
            <w:r>
              <w:rPr>
                <w:lang w:eastAsia="zh-CN"/>
              </w:rPr>
              <w:t xml:space="preserve"> 高 □ 中 □ 低</w:t>
            </w:r>
          </w:p>
          <w:p w14:paraId="6AE1A0B6">
            <w:pPr>
              <w:snapToGrid w:val="0"/>
              <w:jc w:val="both"/>
              <w:rPr>
                <w:lang w:eastAsia="zh-CN"/>
              </w:rPr>
            </w:pPr>
            <w:r>
              <w:rPr>
                <w:lang w:eastAsia="zh-CN"/>
              </w:rPr>
              <w:t>继续问题3</w:t>
            </w:r>
          </w:p>
        </w:tc>
      </w:tr>
      <w:tr w14:paraId="6AE1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trPr>
        <w:tc>
          <w:tcPr>
            <w:tcW w:w="3941" w:type="dxa"/>
            <w:vMerge w:val="restart"/>
            <w:shd w:val="clear" w:color="auto" w:fill="F2DBDB" w:themeFill="accent2" w:themeFillTint="33"/>
            <w:vAlign w:val="center"/>
          </w:tcPr>
          <w:p w14:paraId="6AE1A0B8">
            <w:pPr>
              <w:snapToGrid w:val="0"/>
              <w:jc w:val="both"/>
            </w:pPr>
            <w:r>
              <w:rPr>
                <w:b/>
                <w:bCs/>
                <w:sz w:val="24"/>
                <w:szCs w:val="24"/>
                <w:lang w:eastAsia="zh-CN"/>
              </w:rPr>
              <w:t>风险评估</w:t>
            </w:r>
          </w:p>
        </w:tc>
        <w:tc>
          <w:tcPr>
            <w:tcW w:w="6129" w:type="dxa"/>
            <w:gridSpan w:val="2"/>
            <w:tcBorders>
              <w:bottom w:val="nil"/>
            </w:tcBorders>
            <w:shd w:val="clear" w:color="auto" w:fill="F2DBDB" w:themeFill="accent2" w:themeFillTint="33"/>
            <w:vAlign w:val="center"/>
          </w:tcPr>
          <w:p w14:paraId="6AE1A0B9">
            <w:pPr>
              <w:snapToGrid w:val="0"/>
              <w:jc w:val="both"/>
              <w:rPr>
                <w:lang w:eastAsia="zh-CN"/>
              </w:rPr>
            </w:pPr>
            <w:r>
              <w:rPr>
                <w:lang w:eastAsia="zh-CN"/>
              </w:rPr>
              <w:t>从以下方面考虑获益：</w:t>
            </w:r>
          </w:p>
        </w:tc>
      </w:tr>
      <w:tr w14:paraId="6AE1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0" w:hRule="atLeast"/>
        </w:trPr>
        <w:tc>
          <w:tcPr>
            <w:tcW w:w="3941" w:type="dxa"/>
            <w:vMerge w:val="continue"/>
            <w:shd w:val="clear" w:color="auto" w:fill="F2DBDB" w:themeFill="accent2" w:themeFillTint="33"/>
            <w:vAlign w:val="center"/>
          </w:tcPr>
          <w:p w14:paraId="6AE1A0BB">
            <w:pPr>
              <w:snapToGrid w:val="0"/>
              <w:jc w:val="both"/>
              <w:rPr>
                <w:lang w:eastAsia="zh-CN"/>
              </w:rPr>
            </w:pPr>
          </w:p>
        </w:tc>
        <w:tc>
          <w:tcPr>
            <w:tcW w:w="2755" w:type="dxa"/>
            <w:tcBorders>
              <w:top w:val="nil"/>
              <w:right w:val="nil"/>
            </w:tcBorders>
            <w:shd w:val="clear" w:color="auto" w:fill="F2DBDB" w:themeFill="accent2" w:themeFillTint="33"/>
          </w:tcPr>
          <w:p w14:paraId="6AE1A0BC">
            <w:pPr>
              <w:tabs>
                <w:tab w:val="left" w:pos="365"/>
              </w:tabs>
              <w:snapToGrid w:val="0"/>
              <w:ind w:left="420" w:hanging="420" w:hangingChars="200"/>
              <w:jc w:val="both"/>
              <w:rPr>
                <w:lang w:eastAsia="zh-CN"/>
              </w:rPr>
            </w:pPr>
            <w:r>
              <w:rPr>
                <w:lang w:eastAsia="zh-CN"/>
              </w:rPr>
              <w:t>•</w:t>
            </w:r>
            <w:r>
              <w:rPr>
                <w:lang w:eastAsia="zh-CN"/>
              </w:rPr>
              <w:tab/>
            </w:r>
            <w:r>
              <w:rPr>
                <w:lang w:eastAsia="zh-CN"/>
              </w:rPr>
              <w:t>有害事件的严重程度、类型、数量和比率</w:t>
            </w:r>
          </w:p>
          <w:p w14:paraId="6AE1A0BD">
            <w:pPr>
              <w:tabs>
                <w:tab w:val="left" w:pos="355"/>
              </w:tabs>
              <w:snapToGrid w:val="0"/>
              <w:ind w:left="420" w:hanging="420" w:hangingChars="200"/>
              <w:jc w:val="both"/>
              <w:rPr>
                <w:lang w:eastAsia="zh-CN"/>
              </w:rPr>
            </w:pPr>
            <w:r>
              <w:rPr>
                <w:lang w:eastAsia="zh-CN"/>
              </w:rPr>
              <w:t>•</w:t>
            </w:r>
            <w:r>
              <w:rPr>
                <w:lang w:eastAsia="zh-CN"/>
              </w:rPr>
              <w:tab/>
            </w:r>
            <w:r>
              <w:rPr>
                <w:lang w:eastAsia="zh-CN"/>
              </w:rPr>
              <w:t>有害事件的概率</w:t>
            </w:r>
          </w:p>
          <w:p w14:paraId="6AE1A0BE">
            <w:pPr>
              <w:tabs>
                <w:tab w:val="left" w:pos="355"/>
              </w:tabs>
              <w:snapToGrid w:val="0"/>
              <w:ind w:left="420" w:hanging="420" w:hangingChars="200"/>
              <w:jc w:val="both"/>
              <w:rPr>
                <w:lang w:eastAsia="zh-CN"/>
              </w:rPr>
            </w:pPr>
            <w:r>
              <w:rPr>
                <w:lang w:eastAsia="zh-CN"/>
              </w:rPr>
              <w:t>•</w:t>
            </w:r>
            <w:r>
              <w:rPr>
                <w:lang w:eastAsia="zh-CN"/>
              </w:rPr>
              <w:tab/>
            </w:r>
            <w:r>
              <w:rPr>
                <w:lang w:eastAsia="zh-CN"/>
              </w:rPr>
              <w:t>有害事件的持续时间</w:t>
            </w:r>
          </w:p>
        </w:tc>
        <w:tc>
          <w:tcPr>
            <w:tcW w:w="3374" w:type="dxa"/>
            <w:tcBorders>
              <w:top w:val="nil"/>
              <w:left w:val="nil"/>
            </w:tcBorders>
            <w:shd w:val="clear" w:color="auto" w:fill="F2DBDB" w:themeFill="accent2" w:themeFillTint="33"/>
          </w:tcPr>
          <w:p w14:paraId="6AE1A0BF">
            <w:pPr>
              <w:tabs>
                <w:tab w:val="left" w:pos="360"/>
              </w:tabs>
              <w:snapToGrid w:val="0"/>
              <w:ind w:left="420" w:hanging="420" w:hangingChars="200"/>
              <w:jc w:val="both"/>
              <w:rPr>
                <w:lang w:eastAsia="zh-CN"/>
              </w:rPr>
            </w:pPr>
            <w:r>
              <w:rPr>
                <w:lang w:eastAsia="zh-CN"/>
              </w:rPr>
              <w:t>•</w:t>
            </w:r>
            <w:r>
              <w:rPr>
                <w:lang w:eastAsia="zh-CN"/>
              </w:rPr>
              <w:tab/>
            </w:r>
            <w:r>
              <w:rPr>
                <w:lang w:eastAsia="zh-CN"/>
              </w:rPr>
              <w:t>假阳性或假阴性结果的风险</w:t>
            </w:r>
          </w:p>
          <w:p w14:paraId="6AE1A0C0">
            <w:pPr>
              <w:tabs>
                <w:tab w:val="left" w:pos="360"/>
              </w:tabs>
              <w:snapToGrid w:val="0"/>
              <w:ind w:left="420" w:hanging="420" w:hangingChars="200"/>
              <w:jc w:val="both"/>
              <w:rPr>
                <w:lang w:eastAsia="zh-CN"/>
              </w:rPr>
            </w:pPr>
            <w:r>
              <w:rPr>
                <w:lang w:eastAsia="zh-CN"/>
              </w:rPr>
              <w:t>•</w:t>
            </w:r>
            <w:r>
              <w:rPr>
                <w:lang w:eastAsia="zh-CN"/>
              </w:rPr>
              <w:tab/>
            </w:r>
            <w:r>
              <w:rPr>
                <w:lang w:eastAsia="zh-CN"/>
              </w:rPr>
              <w:t>患者观点（或如适用，健康伴侣和/或医疗保健专业人员观点）</w:t>
            </w:r>
          </w:p>
        </w:tc>
      </w:tr>
      <w:tr w14:paraId="6AE1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atLeast"/>
        </w:trPr>
        <w:tc>
          <w:tcPr>
            <w:tcW w:w="3941" w:type="dxa"/>
            <w:shd w:val="clear" w:color="auto" w:fill="FFFFFF"/>
            <w:vAlign w:val="center"/>
          </w:tcPr>
          <w:p w14:paraId="6AE1A0C2">
            <w:pPr>
              <w:snapToGrid w:val="0"/>
              <w:jc w:val="both"/>
              <w:rPr>
                <w:lang w:eastAsia="zh-CN"/>
              </w:rPr>
            </w:pPr>
            <w:r>
              <w:rPr>
                <w:lang w:eastAsia="zh-CN"/>
              </w:rPr>
              <w:t>3.已知/可能的风险是否超过最小值？</w:t>
            </w:r>
          </w:p>
        </w:tc>
        <w:tc>
          <w:tcPr>
            <w:tcW w:w="6129" w:type="dxa"/>
            <w:gridSpan w:val="2"/>
            <w:shd w:val="clear" w:color="auto" w:fill="FFFFFF"/>
            <w:vAlign w:val="center"/>
          </w:tcPr>
          <w:p w14:paraId="6AE1A0C3">
            <w:pPr>
              <w:snapToGrid w:val="0"/>
              <w:jc w:val="both"/>
            </w:pPr>
            <w:r>
              <w:rPr>
                <w:lang w:eastAsia="zh-CN"/>
              </w:rPr>
              <w:sym w:font="Wingdings 2" w:char="F054"/>
            </w:r>
            <w:r>
              <w:rPr>
                <w:lang w:eastAsia="zh-CN"/>
              </w:rPr>
              <w:t xml:space="preserve"> 是 </w:t>
            </w:r>
            <w:r>
              <w:rPr>
                <w:lang w:eastAsia="zh-CN"/>
              </w:rPr>
              <w:sym w:font="Wingdings" w:char="F0E8"/>
            </w:r>
            <w:r>
              <w:rPr>
                <w:lang w:eastAsia="zh-CN"/>
              </w:rPr>
              <w:t xml:space="preserve"> Q4</w:t>
            </w:r>
          </w:p>
          <w:p w14:paraId="6AE1A0C4">
            <w:pPr>
              <w:snapToGrid w:val="0"/>
              <w:jc w:val="both"/>
            </w:pPr>
            <w:r>
              <w:rPr>
                <w:lang w:eastAsia="zh-CN"/>
              </w:rPr>
              <w:t xml:space="preserve">□ 否 </w:t>
            </w:r>
            <w:r>
              <w:rPr>
                <w:lang w:eastAsia="zh-CN"/>
              </w:rPr>
              <w:sym w:font="Wingdings" w:char="F0E8"/>
            </w:r>
            <w:r>
              <w:rPr>
                <w:lang w:eastAsia="zh-CN"/>
              </w:rPr>
              <w:t xml:space="preserve"> Q4</w:t>
            </w:r>
          </w:p>
        </w:tc>
      </w:tr>
      <w:tr w14:paraId="6AE1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2" w:hRule="atLeast"/>
        </w:trPr>
        <w:tc>
          <w:tcPr>
            <w:tcW w:w="3941" w:type="dxa"/>
            <w:tcBorders>
              <w:bottom w:val="single" w:color="auto" w:sz="4" w:space="0"/>
            </w:tcBorders>
            <w:shd w:val="clear" w:color="auto" w:fill="FFFFFF"/>
            <w:vAlign w:val="center"/>
          </w:tcPr>
          <w:p w14:paraId="6AE1A0C6">
            <w:pPr>
              <w:snapToGrid w:val="0"/>
              <w:jc w:val="both"/>
              <w:rPr>
                <w:lang w:eastAsia="zh-CN"/>
              </w:rPr>
            </w:pPr>
            <w:r>
              <w:rPr>
                <w:lang w:eastAsia="zh-CN"/>
              </w:rPr>
              <w:t>4.风险的不确定性如何？</w:t>
            </w:r>
          </w:p>
        </w:tc>
        <w:tc>
          <w:tcPr>
            <w:tcW w:w="6129" w:type="dxa"/>
            <w:gridSpan w:val="2"/>
            <w:tcBorders>
              <w:bottom w:val="single" w:color="auto" w:sz="4" w:space="0"/>
            </w:tcBorders>
            <w:shd w:val="clear" w:color="auto" w:fill="FFFFFF"/>
            <w:vAlign w:val="center"/>
          </w:tcPr>
          <w:p w14:paraId="6AE1A0C7">
            <w:pPr>
              <w:snapToGrid w:val="0"/>
              <w:jc w:val="both"/>
              <w:rPr>
                <w:lang w:eastAsia="zh-CN"/>
              </w:rPr>
            </w:pPr>
            <w:r>
              <w:rPr>
                <w:lang w:eastAsia="zh-CN"/>
              </w:rPr>
              <w:sym w:font="Wingdings 2" w:char="F054"/>
            </w:r>
            <w:r>
              <w:rPr>
                <w:lang w:eastAsia="zh-CN"/>
              </w:rPr>
              <w:t xml:space="preserve"> 高 □ 中 □ 低</w:t>
            </w:r>
          </w:p>
          <w:p w14:paraId="6AE1A0C8">
            <w:pPr>
              <w:snapToGrid w:val="0"/>
              <w:jc w:val="both"/>
              <w:rPr>
                <w:lang w:eastAsia="zh-CN"/>
              </w:rPr>
            </w:pPr>
            <w:r>
              <w:rPr>
                <w:lang w:eastAsia="zh-CN"/>
              </w:rPr>
              <w:t>继续问题5</w:t>
            </w:r>
          </w:p>
        </w:tc>
      </w:tr>
      <w:tr w14:paraId="6AE1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4" w:hRule="atLeast"/>
        </w:trPr>
        <w:tc>
          <w:tcPr>
            <w:tcW w:w="10070" w:type="dxa"/>
            <w:gridSpan w:val="3"/>
            <w:shd w:val="clear" w:color="auto" w:fill="F2F2F2"/>
            <w:vAlign w:val="center"/>
          </w:tcPr>
          <w:p w14:paraId="6AE1A0CA">
            <w:pPr>
              <w:snapToGrid w:val="0"/>
              <w:jc w:val="both"/>
            </w:pPr>
            <w:r>
              <w:rPr>
                <w:b/>
                <w:bCs/>
                <w:sz w:val="24"/>
                <w:szCs w:val="24"/>
                <w:lang w:eastAsia="zh-CN"/>
              </w:rPr>
              <w:t>获益-风险评估</w:t>
            </w:r>
          </w:p>
        </w:tc>
      </w:tr>
      <w:tr w14:paraId="6AE1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atLeast"/>
        </w:trPr>
        <w:tc>
          <w:tcPr>
            <w:tcW w:w="3941" w:type="dxa"/>
            <w:shd w:val="clear" w:color="auto" w:fill="FFFFFF"/>
            <w:vAlign w:val="center"/>
          </w:tcPr>
          <w:p w14:paraId="6AE1A0CC">
            <w:pPr>
              <w:snapToGrid w:val="0"/>
              <w:jc w:val="both"/>
            </w:pPr>
            <w:r>
              <w:rPr>
                <w:lang w:eastAsia="zh-CN"/>
              </w:rPr>
              <w:t>5.获益是否超过风险？</w:t>
            </w:r>
          </w:p>
        </w:tc>
        <w:tc>
          <w:tcPr>
            <w:tcW w:w="6129" w:type="dxa"/>
            <w:gridSpan w:val="2"/>
            <w:shd w:val="clear" w:color="auto" w:fill="FFFFFF"/>
            <w:vAlign w:val="center"/>
          </w:tcPr>
          <w:p w14:paraId="6AE1A0CD">
            <w:pPr>
              <w:snapToGrid w:val="0"/>
              <w:jc w:val="both"/>
              <w:rPr>
                <w:lang w:eastAsia="zh-CN"/>
              </w:rPr>
            </w:pPr>
            <w:r>
              <w:rPr>
                <w:lang w:eastAsia="zh-CN"/>
              </w:rPr>
              <w:t xml:space="preserve">□ 是 </w:t>
            </w:r>
            <w:r>
              <w:rPr>
                <w:lang w:eastAsia="zh-CN"/>
              </w:rPr>
              <w:sym w:font="Wingdings" w:char="F0E8"/>
            </w:r>
            <w:r>
              <w:rPr>
                <w:lang w:eastAsia="zh-CN"/>
              </w:rPr>
              <w:t xml:space="preserve"> 填写工作表</w:t>
            </w:r>
          </w:p>
          <w:p w14:paraId="6AE1A0CE">
            <w:pPr>
              <w:snapToGrid w:val="0"/>
              <w:jc w:val="both"/>
              <w:rPr>
                <w:lang w:eastAsia="zh-CN"/>
              </w:rPr>
            </w:pPr>
            <w:r>
              <w:rPr>
                <w:lang w:eastAsia="zh-CN"/>
              </w:rPr>
              <w:sym w:font="Wingdings 2" w:char="F054"/>
            </w:r>
            <w:r>
              <w:rPr>
                <w:lang w:eastAsia="zh-CN"/>
              </w:rPr>
              <w:t>无法得出获益超过风险的结论</w:t>
            </w:r>
            <w:r>
              <w:rPr>
                <w:lang w:eastAsia="zh-CN"/>
              </w:rPr>
              <w:sym w:font="Wingdings" w:char="F0E8"/>
            </w:r>
            <w:r>
              <w:rPr>
                <w:lang w:eastAsia="zh-CN"/>
              </w:rPr>
              <w:t xml:space="preserve"> Q6</w:t>
            </w:r>
          </w:p>
        </w:tc>
      </w:tr>
      <w:tr w14:paraId="6AE1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8" w:hRule="atLeast"/>
        </w:trPr>
        <w:tc>
          <w:tcPr>
            <w:tcW w:w="3941" w:type="dxa"/>
            <w:shd w:val="clear" w:color="auto" w:fill="FFFFFF"/>
            <w:vAlign w:val="center"/>
          </w:tcPr>
          <w:p w14:paraId="6AE1A0D0">
            <w:pPr>
              <w:snapToGrid w:val="0"/>
              <w:jc w:val="both"/>
              <w:rPr>
                <w:lang w:eastAsia="zh-CN"/>
              </w:rPr>
            </w:pPr>
            <w:r>
              <w:rPr>
                <w:lang w:eastAsia="zh-CN"/>
              </w:rPr>
              <w:t>6.当考虑其他考虑因素时，获益是否超过风险？</w:t>
            </w:r>
          </w:p>
        </w:tc>
        <w:tc>
          <w:tcPr>
            <w:tcW w:w="6129" w:type="dxa"/>
            <w:gridSpan w:val="2"/>
            <w:shd w:val="clear" w:color="auto" w:fill="FFFFFF"/>
            <w:vAlign w:val="center"/>
          </w:tcPr>
          <w:p w14:paraId="6AE1A0D1">
            <w:pPr>
              <w:snapToGrid w:val="0"/>
              <w:jc w:val="both"/>
              <w:rPr>
                <w:lang w:eastAsia="zh-CN"/>
              </w:rPr>
            </w:pPr>
            <w:r>
              <w:rPr>
                <w:lang w:eastAsia="zh-CN"/>
              </w:rPr>
              <w:t xml:space="preserve">□ 是 </w:t>
            </w:r>
            <w:r>
              <w:rPr>
                <w:lang w:eastAsia="zh-CN"/>
              </w:rPr>
              <w:sym w:font="Wingdings" w:char="F0E8"/>
            </w:r>
            <w:r>
              <w:rPr>
                <w:lang w:eastAsia="zh-CN"/>
              </w:rPr>
              <w:t xml:space="preserve"> 填写工作表</w:t>
            </w:r>
          </w:p>
          <w:p w14:paraId="6AE1A0D2">
            <w:pPr>
              <w:snapToGrid w:val="0"/>
              <w:jc w:val="both"/>
              <w:rPr>
                <w:lang w:eastAsia="zh-CN"/>
              </w:rPr>
            </w:pPr>
            <w:r>
              <w:rPr>
                <w:lang w:eastAsia="zh-CN"/>
              </w:rPr>
              <w:sym w:font="Wingdings 2" w:char="F054"/>
            </w:r>
            <w:r>
              <w:rPr>
                <w:lang w:eastAsia="zh-CN"/>
              </w:rPr>
              <w:t>无法得出获益超过风险的结论</w:t>
            </w:r>
            <w:r>
              <w:rPr>
                <w:lang w:eastAsia="zh-CN"/>
              </w:rPr>
              <w:sym w:font="Wingdings" w:char="F0E8"/>
            </w:r>
            <w:r>
              <w:rPr>
                <w:lang w:eastAsia="zh-CN"/>
              </w:rPr>
              <w:t xml:space="preserve"> Q7</w:t>
            </w:r>
          </w:p>
        </w:tc>
      </w:tr>
      <w:tr w14:paraId="6AE1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atLeast"/>
        </w:trPr>
        <w:tc>
          <w:tcPr>
            <w:tcW w:w="3941" w:type="dxa"/>
            <w:shd w:val="clear" w:color="auto" w:fill="FFFFFF"/>
            <w:vAlign w:val="center"/>
          </w:tcPr>
          <w:p w14:paraId="6AE1A0D4">
            <w:pPr>
              <w:snapToGrid w:val="0"/>
              <w:jc w:val="both"/>
              <w:rPr>
                <w:lang w:eastAsia="zh-CN"/>
              </w:rPr>
            </w:pPr>
            <w:r>
              <w:rPr>
                <w:lang w:eastAsia="zh-CN"/>
              </w:rPr>
              <w:t>7.是否可以缓解风险以使获益超过风险？</w:t>
            </w:r>
          </w:p>
        </w:tc>
        <w:tc>
          <w:tcPr>
            <w:tcW w:w="6129" w:type="dxa"/>
            <w:gridSpan w:val="2"/>
            <w:shd w:val="clear" w:color="auto" w:fill="FFFFFF"/>
            <w:vAlign w:val="center"/>
          </w:tcPr>
          <w:p w14:paraId="6AE1A0D5">
            <w:pPr>
              <w:snapToGrid w:val="0"/>
              <w:jc w:val="both"/>
              <w:rPr>
                <w:lang w:eastAsia="zh-CN"/>
              </w:rPr>
            </w:pPr>
            <w:r>
              <w:rPr>
                <w:lang w:eastAsia="zh-CN"/>
              </w:rPr>
              <w:t xml:space="preserve">□ 是 </w:t>
            </w:r>
            <w:r>
              <w:rPr>
                <w:lang w:eastAsia="zh-CN"/>
              </w:rPr>
              <w:sym w:font="Wingdings" w:char="F0E8"/>
            </w:r>
            <w:r>
              <w:rPr>
                <w:lang w:eastAsia="zh-CN"/>
              </w:rPr>
              <w:t xml:space="preserve"> 填写工作表</w:t>
            </w:r>
          </w:p>
          <w:p w14:paraId="6AE1A0D6">
            <w:pPr>
              <w:snapToGrid w:val="0"/>
              <w:jc w:val="both"/>
              <w:rPr>
                <w:lang w:eastAsia="zh-CN"/>
              </w:rPr>
            </w:pPr>
            <w:r>
              <w:rPr>
                <w:lang w:eastAsia="zh-CN"/>
              </w:rPr>
              <w:sym w:font="Wingdings 2" w:char="F054"/>
            </w:r>
            <w:r>
              <w:rPr>
                <w:lang w:eastAsia="zh-CN"/>
              </w:rPr>
              <w:t>无法得出获益超过风险的结论</w:t>
            </w:r>
            <w:r>
              <w:rPr>
                <w:lang w:eastAsia="zh-CN"/>
              </w:rPr>
              <w:sym w:font="Wingdings" w:char="F0E8"/>
            </w:r>
            <w:r>
              <w:rPr>
                <w:lang w:eastAsia="zh-CN"/>
              </w:rPr>
              <w:t xml:space="preserve"> Q8</w:t>
            </w:r>
          </w:p>
        </w:tc>
      </w:tr>
      <w:tr w14:paraId="6AE1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3" w:hRule="atLeast"/>
        </w:trPr>
        <w:tc>
          <w:tcPr>
            <w:tcW w:w="3941" w:type="dxa"/>
            <w:shd w:val="clear" w:color="auto" w:fill="FFFFFF"/>
            <w:vAlign w:val="center"/>
          </w:tcPr>
          <w:p w14:paraId="6AE1A0D8">
            <w:pPr>
              <w:snapToGrid w:val="0"/>
              <w:jc w:val="both"/>
              <w:rPr>
                <w:lang w:eastAsia="zh-CN"/>
              </w:rPr>
            </w:pPr>
            <w:r>
              <w:rPr>
                <w:lang w:eastAsia="zh-CN"/>
              </w:rPr>
              <w:t>8.考虑到采取上市后措施，获益是否超过风险？</w:t>
            </w:r>
          </w:p>
        </w:tc>
        <w:tc>
          <w:tcPr>
            <w:tcW w:w="6129" w:type="dxa"/>
            <w:gridSpan w:val="2"/>
            <w:shd w:val="clear" w:color="auto" w:fill="FFFFFF"/>
            <w:vAlign w:val="center"/>
          </w:tcPr>
          <w:p w14:paraId="6AE1A0D9">
            <w:pPr>
              <w:snapToGrid w:val="0"/>
              <w:jc w:val="both"/>
              <w:rPr>
                <w:lang w:eastAsia="zh-CN"/>
              </w:rPr>
            </w:pPr>
            <w:r>
              <w:rPr>
                <w:lang w:eastAsia="zh-CN"/>
              </w:rPr>
              <w:t xml:space="preserve">□ 是 </w:t>
            </w:r>
            <w:r>
              <w:rPr>
                <w:lang w:eastAsia="zh-CN"/>
              </w:rPr>
              <w:sym w:font="Wingdings" w:char="F0E8"/>
            </w:r>
            <w:r>
              <w:rPr>
                <w:lang w:eastAsia="zh-CN"/>
              </w:rPr>
              <w:t xml:space="preserve"> 填写工作表</w:t>
            </w:r>
          </w:p>
          <w:p w14:paraId="6AE1A0DA">
            <w:pPr>
              <w:snapToGrid w:val="0"/>
              <w:jc w:val="both"/>
              <w:rPr>
                <w:lang w:eastAsia="zh-CN"/>
              </w:rPr>
            </w:pPr>
            <w:r>
              <w:rPr>
                <w:lang w:eastAsia="zh-CN"/>
              </w:rPr>
              <w:sym w:font="Wingdings 2" w:char="F054"/>
            </w:r>
            <w:r>
              <w:rPr>
                <w:lang w:eastAsia="zh-CN"/>
              </w:rPr>
              <w:t>无法得出获益超过风险的结论</w:t>
            </w:r>
            <w:r>
              <w:rPr>
                <w:lang w:eastAsia="zh-CN"/>
              </w:rPr>
              <w:sym w:font="Wingdings" w:char="F0E8"/>
            </w:r>
            <w:r>
              <w:rPr>
                <w:lang w:eastAsia="zh-CN"/>
              </w:rPr>
              <w:t xml:space="preserve"> Q9</w:t>
            </w:r>
          </w:p>
        </w:tc>
      </w:tr>
      <w:tr w14:paraId="6AE1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4" w:hRule="atLeast"/>
        </w:trPr>
        <w:tc>
          <w:tcPr>
            <w:tcW w:w="3941" w:type="dxa"/>
            <w:shd w:val="clear" w:color="auto" w:fill="FFFFFF"/>
            <w:vAlign w:val="center"/>
          </w:tcPr>
          <w:p w14:paraId="6AE1A0DC">
            <w:pPr>
              <w:snapToGrid w:val="0"/>
              <w:jc w:val="both"/>
              <w:rPr>
                <w:lang w:eastAsia="zh-CN"/>
              </w:rPr>
            </w:pPr>
            <w:r>
              <w:rPr>
                <w:lang w:eastAsia="zh-CN"/>
              </w:rPr>
              <w:t>9.修改后的适应症是否具有临床获益？</w:t>
            </w:r>
          </w:p>
        </w:tc>
        <w:tc>
          <w:tcPr>
            <w:tcW w:w="6129" w:type="dxa"/>
            <w:gridSpan w:val="2"/>
            <w:shd w:val="clear" w:color="auto" w:fill="FFFFFF"/>
            <w:vAlign w:val="center"/>
          </w:tcPr>
          <w:p w14:paraId="6AE1A0DD">
            <w:pPr>
              <w:snapToGrid w:val="0"/>
              <w:jc w:val="both"/>
              <w:rPr>
                <w:lang w:eastAsia="zh-CN"/>
              </w:rPr>
            </w:pPr>
            <w:r>
              <w:rPr>
                <w:lang w:eastAsia="zh-CN"/>
              </w:rPr>
              <w:t xml:space="preserve">□ 是 </w:t>
            </w:r>
            <w:r>
              <w:rPr>
                <w:lang w:eastAsia="zh-CN"/>
              </w:rPr>
              <w:sym w:font="Wingdings" w:char="F0E8"/>
            </w:r>
            <w:r>
              <w:rPr>
                <w:lang w:eastAsia="zh-CN"/>
              </w:rPr>
              <w:t>返回Q1并继续修改后的适应症</w:t>
            </w:r>
          </w:p>
          <w:p w14:paraId="6AE1A0DE">
            <w:pPr>
              <w:snapToGrid w:val="0"/>
              <w:jc w:val="both"/>
            </w:pPr>
            <w:r>
              <w:rPr>
                <w:lang w:eastAsia="zh-CN"/>
              </w:rPr>
              <w:sym w:font="Wingdings 2" w:char="F054"/>
            </w:r>
            <w:r>
              <w:rPr>
                <w:lang w:eastAsia="zh-CN"/>
              </w:rPr>
              <w:t xml:space="preserve"> 否 </w:t>
            </w:r>
            <w:r>
              <w:rPr>
                <w:lang w:eastAsia="zh-CN"/>
              </w:rPr>
              <w:sym w:font="Wingdings" w:char="F0E8"/>
            </w:r>
            <w:r>
              <w:rPr>
                <w:lang w:eastAsia="zh-CN"/>
              </w:rPr>
              <w:t>未批准/授予</w:t>
            </w:r>
          </w:p>
        </w:tc>
      </w:tr>
    </w:tbl>
    <w:p w14:paraId="6AE1A0E0">
      <w:pPr>
        <w:snapToGrid w:val="0"/>
        <w:spacing w:before="120" w:beforeLines="50"/>
        <w:jc w:val="both"/>
      </w:pPr>
      <w:r>
        <w:rPr>
          <w:lang w:eastAsia="zh-CN"/>
        </w:rPr>
        <w:br w:type="page"/>
      </w:r>
    </w:p>
    <w:p w14:paraId="6AE1A0E1">
      <w:pPr>
        <w:pStyle w:val="26"/>
        <w:spacing w:before="120" w:after="120" w:line="400" w:lineRule="exact"/>
        <w:rPr>
          <w:sz w:val="28"/>
          <w:szCs w:val="28"/>
        </w:rPr>
      </w:pPr>
      <w:bookmarkStart w:id="135" w:name="bookmark111"/>
      <w:bookmarkStart w:id="136" w:name="_Toc97318835"/>
      <w:bookmarkStart w:id="137" w:name="bookmark112"/>
      <w:r>
        <w:rPr>
          <w:sz w:val="28"/>
          <w:szCs w:val="28"/>
          <w:lang w:eastAsia="zh-CN"/>
        </w:rPr>
        <w:t>假设举例4的工作表</w:t>
      </w:r>
      <w:bookmarkEnd w:id="135"/>
      <w:bookmarkEnd w:id="136"/>
      <w:bookmarkEnd w:id="137"/>
    </w:p>
    <w:p w14:paraId="6AE1A0E2">
      <w:pPr>
        <w:snapToGrid w:val="0"/>
        <w:spacing w:before="120" w:beforeLines="50" w:line="400" w:lineRule="exact"/>
        <w:jc w:val="both"/>
        <w:rPr>
          <w:sz w:val="24"/>
          <w:szCs w:val="24"/>
          <w:lang w:eastAsia="zh-CN"/>
        </w:rPr>
      </w:pPr>
      <w:r>
        <w:rPr>
          <w:i/>
          <w:iCs/>
          <w:sz w:val="24"/>
          <w:szCs w:val="24"/>
          <w:lang w:eastAsia="zh-CN"/>
        </w:rPr>
        <w:t>对FDA工作人员的说明：</w:t>
      </w:r>
      <w:r>
        <w:rPr>
          <w:sz w:val="24"/>
          <w:szCs w:val="24"/>
          <w:lang w:eastAsia="zh-CN"/>
        </w:rPr>
        <w:t>应该根据所有证据对获益-风险评估提出建议。在决定是否批准申请期间会进行获益-风险评估，但是不会评估所有适用的批准要求。有迹象表明这些工具的获益超过风险并不意味着申请满足其他适用PMA申请或新分类申请的要求。</w:t>
      </w:r>
    </w:p>
    <w:p w14:paraId="6AE1A0E3">
      <w:pPr>
        <w:snapToGrid w:val="0"/>
        <w:spacing w:before="120" w:beforeLines="50" w:line="400" w:lineRule="exact"/>
        <w:jc w:val="both"/>
        <w:rPr>
          <w:sz w:val="24"/>
          <w:szCs w:val="24"/>
          <w:lang w:eastAsia="zh-CN"/>
        </w:rPr>
      </w:pPr>
      <w:r>
        <w:rPr>
          <w:sz w:val="24"/>
          <w:szCs w:val="24"/>
          <w:lang w:eastAsia="zh-CN"/>
        </w:rPr>
        <w:t>在获益-风险评估期间，以下问题将用作帮助权衡多个因素的顺序法。同样，这些问题旨在帮助确定和解释哪些因素和考虑因素在特定器械的获益-风险评估中起到关键作用。但是，这些问题并不意味着除了已完成的工作表中列出的考虑因素以外的其他考虑因素是不相关的。当以有效的科学证据的形式提交非临床和/或临床证据时，应使用本清单。</w:t>
      </w:r>
    </w:p>
    <w:p w14:paraId="6AE1A0E4">
      <w:pPr>
        <w:snapToGrid w:val="0"/>
        <w:spacing w:before="120" w:beforeLines="50" w:line="400" w:lineRule="exact"/>
        <w:jc w:val="both"/>
        <w:rPr>
          <w:lang w:eastAsia="zh-CN"/>
        </w:rPr>
      </w:pPr>
      <w:r>
        <w:rPr>
          <w:sz w:val="24"/>
          <w:szCs w:val="24"/>
          <w:lang w:eastAsia="zh-CN"/>
        </w:rPr>
        <w:t>拟定适应症考虑问题1-8，直至获得获益超过风险或转到问题9的建议，这会提示您考虑修改适应症。在考虑适用的修改适应症时，与申办者沟通，以</w:t>
      </w:r>
      <w:r>
        <w:rPr>
          <w:rFonts w:hint="eastAsia"/>
          <w:sz w:val="24"/>
          <w:szCs w:val="24"/>
          <w:lang w:eastAsia="zh-CN"/>
        </w:rPr>
        <w:t>就</w:t>
      </w:r>
      <w:r>
        <w:rPr>
          <w:sz w:val="24"/>
          <w:szCs w:val="24"/>
          <w:lang w:eastAsia="zh-CN"/>
        </w:rPr>
        <w:t>修改后的适应症达成协议。然而，如问题1所示，如果证据不支持拟定适应症（或</w:t>
      </w:r>
      <w:r>
        <w:rPr>
          <w:rFonts w:hint="eastAsia"/>
          <w:sz w:val="24"/>
          <w:szCs w:val="24"/>
          <w:lang w:eastAsia="zh-CN"/>
        </w:rPr>
        <w:t>缩减</w:t>
      </w:r>
      <w:r>
        <w:rPr>
          <w:sz w:val="24"/>
          <w:szCs w:val="24"/>
          <w:lang w:eastAsia="zh-CN"/>
        </w:rPr>
        <w:t>后的适应症）的获益结果，或者证据不支持无法达到拟定适应症的结果和有关修改后适应症的协议或者不适用，则无法批准或授予申请。</w:t>
      </w:r>
      <w:r>
        <w:rPr>
          <w:lang w:eastAsia="zh-CN"/>
        </w:rPr>
        <w:br w:type="page"/>
      </w:r>
    </w:p>
    <w:p w14:paraId="6AE1A0E5">
      <w:pPr>
        <w:snapToGrid w:val="0"/>
        <w:spacing w:before="120" w:beforeLines="50"/>
        <w:jc w:val="both"/>
        <w:rPr>
          <w:sz w:val="28"/>
          <w:szCs w:val="28"/>
          <w:lang w:eastAsia="zh-CN"/>
        </w:rPr>
      </w:pPr>
      <w:bookmarkStart w:id="138" w:name="bookmark113"/>
      <w:r>
        <w:rPr>
          <w:b/>
          <w:bCs/>
          <w:sz w:val="28"/>
          <w:szCs w:val="28"/>
          <w:lang w:eastAsia="zh-CN"/>
        </w:rPr>
        <w:t>获益评估</w:t>
      </w:r>
      <w:bookmarkEnd w:id="138"/>
    </w:p>
    <w:p w14:paraId="6AE1A0E6">
      <w:pPr>
        <w:pStyle w:val="22"/>
        <w:spacing w:before="120"/>
      </w:pPr>
      <w:bookmarkStart w:id="139" w:name="bookmark114"/>
      <w:r>
        <w:t>1.</w:t>
      </w:r>
      <w:r>
        <w:tab/>
      </w:r>
      <w:r>
        <w:t>是否有任何临床获益的证据？</w:t>
      </w:r>
      <w:bookmarkEnd w:id="139"/>
    </w:p>
    <w:p w14:paraId="6AE1A0E7">
      <w:pPr>
        <w:pStyle w:val="21"/>
        <w:spacing w:before="120"/>
        <w:rPr>
          <w:sz w:val="24"/>
          <w:szCs w:val="24"/>
          <w:lang w:eastAsia="zh-CN"/>
        </w:rPr>
      </w:pPr>
      <w:r>
        <w:rPr>
          <w:sz w:val="24"/>
          <w:szCs w:val="24"/>
          <w:lang w:eastAsia="zh-CN"/>
        </w:rPr>
        <w:t>是否证明器械的该适应症具有临床获益（例如根据任何一个或更多主要和/或次要数据集或相关真实世界证据）？可以在患者感觉、功能、生存或可接受的替代结局方面对获益进行考虑。可以使用经确认的工具（例如生活质量问卷）收集该信息。也可以在管理或诊断疾病或状况的便利性方面对获益进行考虑。应根据数据的评估、结果是否具有统计学意义来对获益进行考虑。</w:t>
      </w:r>
      <w:r>
        <w:rPr>
          <w:i/>
          <w:iCs/>
          <w:sz w:val="24"/>
          <w:szCs w:val="24"/>
          <w:lang w:eastAsia="zh-CN"/>
        </w:rPr>
        <w:t>选择以下其中任何一项证明获益的项目，然后回答以下方框中的问题。</w:t>
      </w:r>
    </w:p>
    <w:p w14:paraId="6AE1A0E8">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至少1次临床评估的有利变化等于或高于对照组</w:t>
      </w:r>
    </w:p>
    <w:p w14:paraId="6AE1A0E9">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至少1次临床评估的有利变化符合预定的性能目标</w:t>
      </w:r>
    </w:p>
    <w:p w14:paraId="6AE1A0EA">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至少1次临床评估的有利变化符合或超过最低的重要临床差异</w:t>
      </w:r>
    </w:p>
    <w:p w14:paraId="6AE1A0EB">
      <w:pPr>
        <w:pStyle w:val="23"/>
        <w:spacing w:before="120"/>
        <w:ind w:left="1740" w:hanging="480"/>
        <w:rPr>
          <w:sz w:val="24"/>
          <w:szCs w:val="24"/>
          <w:lang w:eastAsia="zh-CN"/>
        </w:rPr>
      </w:pPr>
      <w:r>
        <w:rPr>
          <w:sz w:val="24"/>
          <w:szCs w:val="24"/>
          <w:lang w:eastAsia="zh-CN"/>
        </w:rPr>
        <w:sym w:font="Wingdings 2" w:char="F054"/>
      </w:r>
      <w:r>
        <w:rPr>
          <w:sz w:val="24"/>
          <w:szCs w:val="24"/>
          <w:lang w:eastAsia="zh-CN"/>
        </w:rPr>
        <w:tab/>
      </w:r>
      <w:r>
        <w:rPr>
          <w:sz w:val="24"/>
          <w:szCs w:val="24"/>
          <w:lang w:eastAsia="zh-CN"/>
        </w:rPr>
        <w:t>至少1次临床评估的有利变化等于或高于疾病或状况的其他可用方式的变化</w:t>
      </w:r>
    </w:p>
    <w:p w14:paraId="6AE1A0EC">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考虑到状况的严重度、慢性性质等，再加上患者报告的结局和健康相关生活质量，至少1次临床评估的有利变化对患者有意义</w:t>
      </w:r>
    </w:p>
    <w:p w14:paraId="6AE1A0ED">
      <w:pPr>
        <w:pStyle w:val="23"/>
        <w:spacing w:before="120"/>
        <w:ind w:left="1740" w:hanging="480"/>
        <w:rPr>
          <w:sz w:val="24"/>
          <w:szCs w:val="24"/>
          <w:lang w:eastAsia="zh-CN"/>
        </w:rPr>
      </w:pPr>
      <w:r>
        <w:rPr>
          <w:sz w:val="24"/>
          <w:szCs w:val="24"/>
          <w:lang w:eastAsia="zh-CN"/>
        </w:rPr>
        <w:t>其他：</w:t>
      </w:r>
    </w:p>
    <w:p w14:paraId="6AE1A0EE">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非临床数据或建模的有利变化可以预测临床结局</w:t>
      </w:r>
    </w:p>
    <w:p w14:paraId="6AE1A0EF">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有利的临床性能特征（例如敏感性/PPA、</w:t>
      </w:r>
      <w:r>
        <w:fldChar w:fldCharType="begin"/>
      </w:r>
      <w:r>
        <w:instrText xml:space="preserve"> HYPERLINK \l "bookmark115" \o "Current Document" \h </w:instrText>
      </w:r>
      <w:r>
        <w:fldChar w:fldCharType="separate"/>
      </w:r>
      <w:r>
        <w:rPr>
          <w:sz w:val="24"/>
          <w:szCs w:val="24"/>
          <w:vertAlign w:val="superscript"/>
          <w:lang w:eastAsia="zh-CN"/>
        </w:rPr>
        <w:t>33</w:t>
      </w:r>
      <w:r>
        <w:rPr>
          <w:sz w:val="24"/>
          <w:szCs w:val="24"/>
          <w:vertAlign w:val="superscript"/>
          <w:lang w:eastAsia="zh-CN"/>
        </w:rPr>
        <w:fldChar w:fldCharType="end"/>
      </w:r>
      <w:r>
        <w:rPr>
          <w:sz w:val="24"/>
          <w:szCs w:val="24"/>
          <w:lang w:eastAsia="zh-CN"/>
        </w:rPr>
        <w:t>特异性/NPA</w:t>
      </w:r>
      <w:r>
        <w:fldChar w:fldCharType="begin"/>
      </w:r>
      <w:r>
        <w:instrText xml:space="preserve"> HYPERLINK \l "bookmark116" \o "当前文件" \h </w:instrText>
      </w:r>
      <w:r>
        <w:fldChar w:fldCharType="separate"/>
      </w:r>
      <w:r>
        <w:rPr>
          <w:sz w:val="24"/>
          <w:szCs w:val="24"/>
          <w:vertAlign w:val="superscript"/>
          <w:lang w:eastAsia="zh-CN"/>
        </w:rPr>
        <w:t>34</w:t>
      </w:r>
      <w:r>
        <w:rPr>
          <w:sz w:val="24"/>
          <w:szCs w:val="24"/>
          <w:vertAlign w:val="superscript"/>
          <w:lang w:eastAsia="zh-CN"/>
        </w:rPr>
        <w:fldChar w:fldCharType="end"/>
      </w:r>
      <w:r>
        <w:rPr>
          <w:sz w:val="24"/>
          <w:szCs w:val="24"/>
          <w:lang w:eastAsia="zh-CN"/>
        </w:rPr>
        <w:t>等），可用于筛查、诊断、预后、监测或治疗选择</w:t>
      </w:r>
    </w:p>
    <w:p w14:paraId="6AE1A0F0">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器械的分析确认显示性能特征可以接受</w:t>
      </w:r>
    </w:p>
    <w:p w14:paraId="6AE1A0F1">
      <w:pPr>
        <w:pStyle w:val="23"/>
        <w:spacing w:before="120"/>
        <w:ind w:left="1740" w:hanging="480"/>
        <w:rPr>
          <w:sz w:val="24"/>
          <w:szCs w:val="24"/>
        </w:rPr>
      </w:pPr>
      <w:r>
        <w:rPr>
          <w:sz w:val="24"/>
          <w:szCs w:val="24"/>
          <w:lang w:eastAsia="zh-CN"/>
        </w:rPr>
        <w:t>□</w:t>
      </w:r>
      <w:r>
        <w:rPr>
          <w:sz w:val="24"/>
          <w:szCs w:val="24"/>
          <w:lang w:eastAsia="zh-CN"/>
        </w:rPr>
        <w:tab/>
      </w:r>
      <w:r>
        <w:rPr>
          <w:sz w:val="24"/>
          <w:szCs w:val="24"/>
          <w:lang w:eastAsia="zh-CN"/>
        </w:rPr>
        <w:t>其他：</w:t>
      </w:r>
    </w:p>
    <w:p w14:paraId="6AE1A0F2">
      <w:pPr>
        <w:pStyle w:val="23"/>
        <w:spacing w:before="120"/>
        <w:ind w:left="1740" w:hanging="480"/>
        <w:rPr>
          <w:sz w:val="24"/>
          <w:szCs w:val="24"/>
        </w:rPr>
      </w:pPr>
      <w:r>
        <w:rPr>
          <w:sz w:val="24"/>
          <w:szCs w:val="24"/>
          <w:lang w:eastAsia="zh-CN"/>
        </w:rPr>
        <w:t>□</w:t>
      </w:r>
      <w:r>
        <w:rPr>
          <w:sz w:val="24"/>
          <w:szCs w:val="24"/>
          <w:lang w:eastAsia="zh-CN"/>
        </w:rPr>
        <w:tab/>
      </w:r>
      <w:r>
        <w:rPr>
          <w:sz w:val="24"/>
          <w:szCs w:val="24"/>
          <w:lang w:eastAsia="zh-CN"/>
        </w:rPr>
        <w:t>无</w:t>
      </w:r>
    </w:p>
    <w:p w14:paraId="6AE1A0F3">
      <w:pPr>
        <w:pStyle w:val="23"/>
        <w:spacing w:before="120"/>
      </w:pPr>
    </w:p>
    <w:tbl>
      <w:tblPr>
        <w:tblStyle w:val="8"/>
        <w:tblW w:w="4660" w:type="pct"/>
        <w:tblInd w:w="624"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8560"/>
      </w:tblGrid>
      <w:tr w14:paraId="6AE1A0F7">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090" w:hRule="atLeast"/>
        </w:trPr>
        <w:tc>
          <w:tcPr>
            <w:tcW w:w="5000" w:type="pct"/>
            <w:shd w:val="clear" w:color="auto" w:fill="FFFFFF"/>
            <w:vAlign w:val="center"/>
          </w:tcPr>
          <w:p w14:paraId="6AE1A0F4">
            <w:pPr>
              <w:snapToGrid w:val="0"/>
              <w:spacing w:before="120" w:beforeLines="50"/>
              <w:jc w:val="both"/>
              <w:rPr>
                <w:lang w:eastAsia="zh-CN"/>
              </w:rPr>
            </w:pPr>
            <w:r>
              <w:rPr>
                <w:b/>
                <w:bCs/>
                <w:lang w:eastAsia="zh-CN"/>
              </w:rPr>
              <w:t>Q1：是否存在具有临床获益的证据？</w:t>
            </w:r>
          </w:p>
          <w:p w14:paraId="6AE1A0F5">
            <w:pPr>
              <w:snapToGrid w:val="0"/>
              <w:spacing w:before="120" w:beforeLines="50"/>
              <w:jc w:val="both"/>
              <w:rPr>
                <w:lang w:eastAsia="zh-CN"/>
              </w:rPr>
            </w:pPr>
            <w:r>
              <w:rPr>
                <w:lang w:eastAsia="zh-CN"/>
              </w:rPr>
              <w:sym w:font="Wingdings 2" w:char="F054"/>
            </w:r>
            <w:r>
              <w:rPr>
                <w:lang w:eastAsia="zh-CN"/>
              </w:rPr>
              <w:t>是</w:t>
            </w:r>
            <w:r>
              <w:rPr>
                <w:lang w:eastAsia="zh-CN"/>
              </w:rPr>
              <w:sym w:font="Wingdings" w:char="F0E8"/>
            </w:r>
            <w:r>
              <w:rPr>
                <w:lang w:eastAsia="zh-CN"/>
              </w:rPr>
              <w:t>继续问题2</w:t>
            </w:r>
          </w:p>
          <w:p w14:paraId="6AE1A0F6">
            <w:pPr>
              <w:snapToGrid w:val="0"/>
              <w:spacing w:before="120" w:beforeLines="50"/>
              <w:jc w:val="both"/>
              <w:rPr>
                <w:lang w:eastAsia="zh-CN"/>
              </w:rPr>
            </w:pPr>
            <w:r>
              <w:rPr>
                <w:lang w:eastAsia="zh-CN"/>
              </w:rPr>
              <w:t>□ 否</w:t>
            </w:r>
            <w:r>
              <w:rPr>
                <w:lang w:eastAsia="zh-CN"/>
              </w:rPr>
              <w:sym w:font="Wingdings" w:char="F0E8"/>
            </w:r>
            <w:r>
              <w:rPr>
                <w:lang w:eastAsia="zh-CN"/>
              </w:rPr>
              <w:t>转至问题9</w:t>
            </w:r>
          </w:p>
        </w:tc>
      </w:tr>
    </w:tbl>
    <w:p w14:paraId="6AE1A0F8">
      <w:pPr>
        <w:tabs>
          <w:tab w:val="left" w:pos="575"/>
        </w:tabs>
        <w:snapToGrid w:val="0"/>
        <w:spacing w:before="120" w:beforeLines="50"/>
        <w:jc w:val="both"/>
        <w:rPr>
          <w:b/>
          <w:bCs/>
          <w:lang w:eastAsia="zh-CN"/>
        </w:rPr>
      </w:pPr>
      <w:bookmarkStart w:id="140" w:name="bookmark116"/>
      <w:bookmarkStart w:id="141" w:name="bookmark115"/>
    </w:p>
    <w:p w14:paraId="6AE1A0F9">
      <w:pPr>
        <w:tabs>
          <w:tab w:val="left" w:pos="575"/>
        </w:tabs>
        <w:snapToGrid w:val="0"/>
        <w:spacing w:before="120" w:beforeLines="50"/>
        <w:jc w:val="both"/>
        <w:rPr>
          <w:b/>
          <w:bCs/>
          <w:lang w:eastAsia="zh-CN"/>
        </w:rPr>
      </w:pPr>
    </w:p>
    <w:p w14:paraId="6AE1A0FA">
      <w:pPr>
        <w:tabs>
          <w:tab w:val="left" w:pos="575"/>
        </w:tabs>
        <w:snapToGrid w:val="0"/>
        <w:spacing w:before="120" w:beforeLines="50"/>
        <w:jc w:val="both"/>
        <w:rPr>
          <w:b/>
          <w:bCs/>
          <w:lang w:eastAsia="zh-CN"/>
        </w:rPr>
      </w:pPr>
    </w:p>
    <w:p w14:paraId="6AE1A0FB">
      <w:pPr>
        <w:tabs>
          <w:tab w:val="left" w:pos="575"/>
        </w:tabs>
        <w:snapToGrid w:val="0"/>
        <w:spacing w:before="120" w:beforeLines="50"/>
        <w:jc w:val="both"/>
        <w:rPr>
          <w:b/>
          <w:bCs/>
          <w:lang w:eastAsia="zh-CN"/>
        </w:rPr>
      </w:pPr>
    </w:p>
    <w:p w14:paraId="6AE1A0FC">
      <w:pPr>
        <w:tabs>
          <w:tab w:val="left" w:pos="575"/>
        </w:tabs>
        <w:snapToGrid w:val="0"/>
        <w:spacing w:before="120" w:beforeLines="50"/>
        <w:jc w:val="both"/>
        <w:rPr>
          <w:b/>
          <w:bCs/>
          <w:lang w:eastAsia="zh-CN"/>
        </w:rPr>
      </w:pPr>
    </w:p>
    <w:p w14:paraId="6AE1A0FD">
      <w:pPr>
        <w:tabs>
          <w:tab w:val="left" w:pos="575"/>
        </w:tabs>
        <w:snapToGrid w:val="0"/>
        <w:spacing w:before="120" w:beforeLines="50"/>
        <w:jc w:val="both"/>
        <w:rPr>
          <w:b/>
          <w:bCs/>
          <w:lang w:eastAsia="zh-CN"/>
        </w:rPr>
      </w:pPr>
    </w:p>
    <w:p w14:paraId="6AE1A0FE">
      <w:pPr>
        <w:tabs>
          <w:tab w:val="left" w:pos="575"/>
        </w:tabs>
        <w:snapToGrid w:val="0"/>
        <w:spacing w:before="120" w:beforeLines="50"/>
        <w:jc w:val="both"/>
        <w:rPr>
          <w:b/>
          <w:bCs/>
          <w:lang w:eastAsia="zh-CN"/>
        </w:rPr>
      </w:pPr>
    </w:p>
    <w:p w14:paraId="6AE1A0FF">
      <w:pPr>
        <w:tabs>
          <w:tab w:val="left" w:pos="575"/>
        </w:tabs>
        <w:snapToGrid w:val="0"/>
        <w:spacing w:before="120" w:beforeLines="50"/>
        <w:jc w:val="both"/>
        <w:rPr>
          <w:b/>
          <w:bCs/>
          <w:lang w:eastAsia="zh-CN"/>
        </w:rPr>
      </w:pPr>
    </w:p>
    <w:p w14:paraId="6AE1A100">
      <w:pPr>
        <w:tabs>
          <w:tab w:val="left" w:pos="575"/>
        </w:tabs>
        <w:snapToGrid w:val="0"/>
        <w:spacing w:before="120" w:beforeLines="50"/>
        <w:jc w:val="both"/>
        <w:rPr>
          <w:sz w:val="18"/>
          <w:szCs w:val="18"/>
          <w:lang w:eastAsia="zh-CN"/>
        </w:rPr>
      </w:pPr>
      <w:r>
        <w:rPr>
          <w:sz w:val="18"/>
          <w:szCs w:val="18"/>
          <w:lang w:eastAsia="zh-CN"/>
        </w:rPr>
        <w:t>___________________</w:t>
      </w:r>
    </w:p>
    <w:p w14:paraId="6AE1A101">
      <w:pPr>
        <w:tabs>
          <w:tab w:val="left" w:pos="284"/>
        </w:tabs>
        <w:snapToGrid w:val="0"/>
        <w:spacing w:before="120" w:beforeLines="50"/>
        <w:jc w:val="both"/>
        <w:rPr>
          <w:sz w:val="18"/>
          <w:szCs w:val="18"/>
          <w:lang w:eastAsia="zh-CN"/>
        </w:rPr>
      </w:pPr>
      <w:r>
        <w:rPr>
          <w:sz w:val="18"/>
          <w:szCs w:val="18"/>
          <w:vertAlign w:val="superscript"/>
          <w:lang w:eastAsia="zh-CN"/>
        </w:rPr>
        <w:t>33</w:t>
      </w:r>
      <w:r>
        <w:rPr>
          <w:sz w:val="18"/>
          <w:szCs w:val="18"/>
          <w:lang w:eastAsia="zh-CN"/>
        </w:rPr>
        <w:tab/>
      </w:r>
      <w:r>
        <w:rPr>
          <w:sz w:val="18"/>
          <w:szCs w:val="18"/>
          <w:lang w:eastAsia="zh-CN"/>
        </w:rPr>
        <w:t>PPA：阳性一致性</w:t>
      </w:r>
      <w:bookmarkEnd w:id="140"/>
      <w:bookmarkEnd w:id="141"/>
    </w:p>
    <w:p w14:paraId="6AE1A102">
      <w:pPr>
        <w:tabs>
          <w:tab w:val="left" w:pos="284"/>
        </w:tabs>
        <w:snapToGrid w:val="0"/>
        <w:spacing w:before="120" w:beforeLines="50"/>
        <w:jc w:val="both"/>
        <w:rPr>
          <w:lang w:eastAsia="zh-CN"/>
        </w:rPr>
      </w:pPr>
      <w:r>
        <w:rPr>
          <w:sz w:val="18"/>
          <w:szCs w:val="18"/>
          <w:vertAlign w:val="superscript"/>
          <w:lang w:eastAsia="zh-CN"/>
        </w:rPr>
        <w:t>34</w:t>
      </w:r>
      <w:r>
        <w:rPr>
          <w:sz w:val="18"/>
          <w:szCs w:val="18"/>
          <w:lang w:eastAsia="zh-CN"/>
        </w:rPr>
        <w:tab/>
      </w:r>
      <w:r>
        <w:rPr>
          <w:sz w:val="18"/>
          <w:szCs w:val="18"/>
          <w:lang w:eastAsia="zh-CN"/>
        </w:rPr>
        <w:t>NPA：阴性一致性</w:t>
      </w:r>
      <w:r>
        <w:rPr>
          <w:lang w:eastAsia="zh-CN"/>
        </w:rPr>
        <w:br w:type="page"/>
      </w:r>
    </w:p>
    <w:p w14:paraId="6AE1A103">
      <w:pPr>
        <w:pStyle w:val="22"/>
        <w:spacing w:before="120"/>
      </w:pPr>
      <w:bookmarkStart w:id="142" w:name="bookmark117"/>
      <w:r>
        <w:t>2.</w:t>
      </w:r>
      <w:r>
        <w:tab/>
      </w:r>
      <w:r>
        <w:t>获益的不确定性如何？</w:t>
      </w:r>
      <w:bookmarkEnd w:id="142"/>
    </w:p>
    <w:p w14:paraId="6AE1A104">
      <w:pPr>
        <w:pStyle w:val="21"/>
        <w:spacing w:before="120"/>
        <w:rPr>
          <w:sz w:val="24"/>
          <w:szCs w:val="24"/>
          <w:lang w:eastAsia="zh-CN"/>
        </w:rPr>
      </w:pPr>
      <w:r>
        <w:rPr>
          <w:sz w:val="24"/>
          <w:szCs w:val="24"/>
          <w:lang w:eastAsia="zh-CN"/>
        </w:rPr>
        <w:t>认识到始终存在一定程度的不确定性，请在影响临床效益评价的数据中选择不确定性来源（如适用）。考虑与临床和/或分析性能特征有关的不确定性来源（如敏感性、</w:t>
      </w:r>
      <w:r>
        <w:rPr>
          <w:rFonts w:hint="eastAsia"/>
          <w:sz w:val="24"/>
          <w:szCs w:val="24"/>
          <w:lang w:eastAsia="zh-CN"/>
        </w:rPr>
        <w:t>特异性</w:t>
      </w:r>
      <w:r>
        <w:rPr>
          <w:sz w:val="24"/>
          <w:szCs w:val="24"/>
          <w:lang w:eastAsia="zh-CN"/>
        </w:rPr>
        <w:t>、准确度、精密度、重复性、适用性）。</w:t>
      </w:r>
      <w:r>
        <w:rPr>
          <w:i/>
          <w:iCs/>
          <w:sz w:val="24"/>
          <w:szCs w:val="24"/>
          <w:lang w:eastAsia="zh-CN"/>
        </w:rPr>
        <w:t>选择以下其中任何一项证明获益不确定性来源的项目，然后回答以下方框中的问题。</w:t>
      </w:r>
    </w:p>
    <w:p w14:paraId="6AE1A105">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研究间的结果不一致或存在冲突</w:t>
      </w:r>
    </w:p>
    <w:p w14:paraId="6AE1A106">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点估计和/或比值比周围的置信区间较宽</w:t>
      </w:r>
    </w:p>
    <w:p w14:paraId="6AE1A107">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研究的统计效力不足且结局指标无统计学意义</w:t>
      </w:r>
    </w:p>
    <w:p w14:paraId="6AE1A108">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关键评估时间点的受试者或样本失访率较高</w:t>
      </w:r>
    </w:p>
    <w:p w14:paraId="6AE1A109">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关键评估时间点+/-计算存在大量缺失数据</w:t>
      </w:r>
    </w:p>
    <w:p w14:paraId="6AE1A10A">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发生大量的重大方案偏离</w:t>
      </w:r>
    </w:p>
    <w:p w14:paraId="6AE1A10B">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混淆干预或生理因素的影响</w:t>
      </w:r>
    </w:p>
    <w:p w14:paraId="6AE1A10C">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用户经验不一致或用户经验不代表可能的真实世界用户</w:t>
      </w:r>
    </w:p>
    <w:p w14:paraId="6AE1A10D">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非临床数据、预先选择的增强数据或计算机建模和临床性能之间的关系不明确</w:t>
      </w:r>
    </w:p>
    <w:p w14:paraId="6AE1A10E">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尚未证明替代终点与临床结局相关</w:t>
      </w:r>
    </w:p>
    <w:p w14:paraId="6AE1A10F">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对于拟定分析的目的，真实世界证据（RWE）无关或不可靠</w:t>
      </w:r>
    </w:p>
    <w:p w14:paraId="6AE1A110">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检查结果</w:t>
      </w:r>
    </w:p>
    <w:p w14:paraId="6AE1A111">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研究设计或结果导致对适用人群或特定临床子人群无普遍性。</w:t>
      </w:r>
    </w:p>
    <w:p w14:paraId="6AE1A112">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诊断输出的生理范围或有临床意义的范围不详，或者拟定的临床截止值的普遍性不详</w:t>
      </w:r>
    </w:p>
    <w:p w14:paraId="6AE1A113">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使用存在缺陷的比较法计算性能特征</w:t>
      </w:r>
    </w:p>
    <w:p w14:paraId="6AE1A114">
      <w:pPr>
        <w:pStyle w:val="23"/>
        <w:spacing w:before="120"/>
        <w:ind w:left="1740" w:hanging="480"/>
        <w:rPr>
          <w:sz w:val="24"/>
          <w:szCs w:val="24"/>
          <w:lang w:eastAsia="zh-CN"/>
        </w:rPr>
      </w:pPr>
      <w:r>
        <w:rPr>
          <w:sz w:val="24"/>
          <w:szCs w:val="24"/>
          <w:lang w:eastAsia="zh-CN"/>
        </w:rPr>
        <w:sym w:font="Wingdings 2" w:char="F054"/>
      </w:r>
      <w:r>
        <w:rPr>
          <w:sz w:val="24"/>
          <w:szCs w:val="24"/>
          <w:lang w:eastAsia="zh-CN"/>
        </w:rPr>
        <w:tab/>
      </w:r>
      <w:r>
        <w:rPr>
          <w:sz w:val="24"/>
          <w:szCs w:val="24"/>
          <w:lang w:eastAsia="zh-CN"/>
        </w:rPr>
        <w:t>其他：随访时间有限</w:t>
      </w:r>
    </w:p>
    <w:p w14:paraId="6AE1A115">
      <w:pPr>
        <w:pStyle w:val="23"/>
        <w:spacing w:before="120"/>
        <w:ind w:left="1740" w:hanging="480"/>
        <w:rPr>
          <w:sz w:val="24"/>
          <w:szCs w:val="24"/>
          <w:lang w:eastAsia="zh-CN"/>
        </w:rPr>
      </w:pPr>
      <w:r>
        <w:rPr>
          <w:sz w:val="24"/>
          <w:szCs w:val="24"/>
          <w:lang w:eastAsia="zh-CN"/>
        </w:rPr>
        <w:t>□</w:t>
      </w:r>
      <w:r>
        <w:rPr>
          <w:sz w:val="24"/>
          <w:szCs w:val="24"/>
          <w:lang w:eastAsia="zh-CN"/>
        </w:rPr>
        <w:tab/>
      </w:r>
      <w:r>
        <w:rPr>
          <w:sz w:val="24"/>
          <w:szCs w:val="24"/>
          <w:lang w:eastAsia="zh-CN"/>
        </w:rPr>
        <w:t>无</w:t>
      </w:r>
    </w:p>
    <w:p w14:paraId="6AE1A116">
      <w:pPr>
        <w:pStyle w:val="23"/>
        <w:spacing w:before="120"/>
        <w:rPr>
          <w:lang w:eastAsia="zh-CN"/>
        </w:rPr>
      </w:pPr>
    </w:p>
    <w:tbl>
      <w:tblPr>
        <w:tblStyle w:val="8"/>
        <w:tblW w:w="0" w:type="auto"/>
        <w:tblInd w:w="624"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5670"/>
      </w:tblGrid>
      <w:tr w14:paraId="6AE1A11B">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382" w:hRule="atLeast"/>
        </w:trPr>
        <w:tc>
          <w:tcPr>
            <w:tcW w:w="5670" w:type="dxa"/>
            <w:shd w:val="clear" w:color="auto" w:fill="FFFFFF"/>
            <w:vAlign w:val="center"/>
          </w:tcPr>
          <w:p w14:paraId="6AE1A117">
            <w:pPr>
              <w:snapToGrid w:val="0"/>
              <w:spacing w:before="120" w:beforeLines="50"/>
              <w:jc w:val="both"/>
              <w:rPr>
                <w:lang w:eastAsia="zh-CN"/>
              </w:rPr>
            </w:pPr>
            <w:r>
              <w:rPr>
                <w:b/>
                <w:bCs/>
                <w:lang w:eastAsia="zh-CN"/>
              </w:rPr>
              <w:t>Q2：获益的不确定性如何？</w:t>
            </w:r>
          </w:p>
          <w:p w14:paraId="6AE1A118">
            <w:pPr>
              <w:snapToGrid w:val="0"/>
              <w:spacing w:before="120" w:beforeLines="50"/>
              <w:jc w:val="both"/>
              <w:rPr>
                <w:lang w:eastAsia="zh-CN"/>
              </w:rPr>
            </w:pPr>
            <w:r>
              <w:rPr>
                <w:lang w:eastAsia="zh-CN"/>
              </w:rPr>
              <w:sym w:font="Wingdings 2" w:char="F054"/>
            </w:r>
            <w:r>
              <w:rPr>
                <w:lang w:eastAsia="zh-CN"/>
              </w:rPr>
              <w:t>低</w:t>
            </w:r>
            <w:r>
              <w:rPr>
                <w:lang w:eastAsia="zh-CN"/>
              </w:rPr>
              <w:sym w:font="Wingdings" w:char="F0E8"/>
            </w:r>
            <w:r>
              <w:rPr>
                <w:lang w:eastAsia="zh-CN"/>
              </w:rPr>
              <w:t>继续问题3</w:t>
            </w:r>
          </w:p>
          <w:p w14:paraId="6AE1A119">
            <w:pPr>
              <w:tabs>
                <w:tab w:val="left" w:pos="230"/>
              </w:tabs>
              <w:snapToGrid w:val="0"/>
              <w:spacing w:before="120" w:beforeLines="50"/>
              <w:jc w:val="both"/>
              <w:rPr>
                <w:lang w:eastAsia="zh-CN"/>
              </w:rPr>
            </w:pPr>
            <w:r>
              <w:rPr>
                <w:lang w:eastAsia="zh-CN"/>
              </w:rPr>
              <w:t>□ 中</w:t>
            </w:r>
            <w:r>
              <w:rPr>
                <w:lang w:eastAsia="zh-CN"/>
              </w:rPr>
              <w:sym w:font="Wingdings" w:char="F0E8"/>
            </w:r>
            <w:r>
              <w:rPr>
                <w:lang w:eastAsia="zh-CN"/>
              </w:rPr>
              <w:t>继续问题3</w:t>
            </w:r>
          </w:p>
          <w:p w14:paraId="6AE1A11A">
            <w:pPr>
              <w:tabs>
                <w:tab w:val="left" w:pos="226"/>
              </w:tabs>
              <w:snapToGrid w:val="0"/>
              <w:spacing w:before="120" w:beforeLines="50"/>
              <w:jc w:val="both"/>
            </w:pPr>
            <w:r>
              <w:rPr>
                <w:lang w:eastAsia="zh-CN"/>
              </w:rPr>
              <w:t>□ 高</w:t>
            </w:r>
            <w:r>
              <w:rPr>
                <w:lang w:eastAsia="zh-CN"/>
              </w:rPr>
              <w:sym w:font="Wingdings" w:char="F0E8"/>
            </w:r>
            <w:r>
              <w:rPr>
                <w:lang w:eastAsia="zh-CN"/>
              </w:rPr>
              <w:t>继续问题3</w:t>
            </w:r>
          </w:p>
        </w:tc>
      </w:tr>
    </w:tbl>
    <w:p w14:paraId="6AE1A11C">
      <w:pPr>
        <w:snapToGrid w:val="0"/>
        <w:spacing w:before="120" w:beforeLines="50"/>
        <w:jc w:val="both"/>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3" w:hRule="atLeast"/>
        </w:trPr>
        <w:tc>
          <w:tcPr>
            <w:tcW w:w="5000" w:type="pct"/>
            <w:shd w:val="clear" w:color="auto" w:fill="FFFFFF"/>
            <w:vAlign w:val="center"/>
          </w:tcPr>
          <w:p w14:paraId="6AE1A11D">
            <w:pPr>
              <w:snapToGrid w:val="0"/>
              <w:spacing w:before="120" w:beforeLines="50"/>
              <w:jc w:val="both"/>
              <w:rPr>
                <w:b/>
                <w:bCs/>
                <w:u w:val="single"/>
                <w:lang w:eastAsia="zh-CN"/>
              </w:rPr>
            </w:pPr>
            <w:r>
              <w:rPr>
                <w:b/>
                <w:bCs/>
                <w:u w:val="single"/>
                <w:lang w:eastAsia="zh-CN"/>
              </w:rPr>
              <w:t xml:space="preserve">获益评估总结 </w:t>
            </w:r>
          </w:p>
          <w:p w14:paraId="6AE1A11E">
            <w:pPr>
              <w:snapToGrid w:val="0"/>
              <w:spacing w:before="120" w:beforeLines="50"/>
              <w:jc w:val="both"/>
              <w:rPr>
                <w:lang w:eastAsia="zh-CN"/>
              </w:rPr>
            </w:pPr>
            <w:r>
              <w:rPr>
                <w:b/>
                <w:bCs/>
                <w:lang w:eastAsia="zh-CN"/>
              </w:rPr>
              <w:t>对于拟定适应症：</w:t>
            </w:r>
          </w:p>
          <w:p w14:paraId="6AE1A11F">
            <w:pPr>
              <w:snapToGrid w:val="0"/>
              <w:spacing w:before="120" w:beforeLines="50"/>
              <w:jc w:val="both"/>
              <w:rPr>
                <w:lang w:eastAsia="zh-CN"/>
              </w:rPr>
            </w:pPr>
            <w:r>
              <w:rPr>
                <w:lang w:eastAsia="zh-CN"/>
              </w:rPr>
              <w:t>通过1年随访，无受试者发生器械移动，因此，减少主要器械移位的概率非常高（接近100%）。在单独植入时，主要器械的性能显著改善，植入器械的患者不会发生器械移动的预测概率非常高。</w:t>
            </w:r>
          </w:p>
          <w:p w14:paraId="6AE1A120">
            <w:pPr>
              <w:snapToGrid w:val="0"/>
              <w:spacing w:before="120" w:beforeLines="50"/>
              <w:jc w:val="both"/>
              <w:rPr>
                <w:lang w:eastAsia="zh-CN"/>
              </w:rPr>
            </w:pPr>
            <w:r>
              <w:rPr>
                <w:lang w:eastAsia="zh-CN"/>
              </w:rPr>
              <w:t>尽管数据仅证明了1年内的获益，但是预计只要器械保持植入，获益就可以持续下去。</w:t>
            </w:r>
          </w:p>
        </w:tc>
      </w:tr>
    </w:tbl>
    <w:p w14:paraId="6AE1A122">
      <w:pPr>
        <w:snapToGrid w:val="0"/>
        <w:spacing w:before="120" w:beforeLines="50"/>
        <w:jc w:val="both"/>
        <w:rPr>
          <w:sz w:val="28"/>
          <w:szCs w:val="28"/>
          <w:lang w:eastAsia="zh-CN"/>
        </w:rPr>
      </w:pPr>
      <w:bookmarkStart w:id="143" w:name="bookmark118"/>
      <w:r>
        <w:rPr>
          <w:b/>
          <w:bCs/>
          <w:sz w:val="28"/>
          <w:szCs w:val="28"/>
          <w:lang w:eastAsia="zh-CN"/>
        </w:rPr>
        <w:t>风险评估</w:t>
      </w:r>
      <w:bookmarkEnd w:id="143"/>
    </w:p>
    <w:p w14:paraId="6AE1A123">
      <w:pPr>
        <w:pStyle w:val="22"/>
        <w:spacing w:before="120"/>
      </w:pPr>
      <w:bookmarkStart w:id="144" w:name="bookmark119"/>
      <w:r>
        <w:t>3.</w:t>
      </w:r>
      <w:r>
        <w:tab/>
      </w:r>
      <w:r>
        <w:t>已知/可能的风险是否超过最小值？</w:t>
      </w:r>
      <w:bookmarkEnd w:id="144"/>
    </w:p>
    <w:p w14:paraId="6AE1A124">
      <w:pPr>
        <w:pStyle w:val="21"/>
        <w:spacing w:before="120"/>
        <w:rPr>
          <w:i/>
          <w:iCs/>
          <w:sz w:val="24"/>
          <w:szCs w:val="24"/>
          <w:lang w:eastAsia="zh-CN"/>
        </w:rPr>
      </w:pPr>
      <w:r>
        <w:rPr>
          <w:i/>
          <w:iCs/>
          <w:sz w:val="24"/>
          <w:szCs w:val="24"/>
          <w:lang w:eastAsia="zh-CN"/>
        </w:rPr>
        <w:t>选择以下任何要素证明比最低更高的已知/可能的风险的来源，然后回答以下方框中的问题。</w:t>
      </w:r>
    </w:p>
    <w:p w14:paraId="6AE1A125">
      <w:pPr>
        <w:pStyle w:val="24"/>
        <w:spacing w:before="120"/>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与器械本身相关的不良事件（AE）或结局</w:t>
      </w:r>
    </w:p>
    <w:p w14:paraId="6AE1A126">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与使用器械或使用器械的手术相关的AE或结局</w:t>
      </w:r>
    </w:p>
    <w:p w14:paraId="6AE1A127">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与为使用器械而进行麻醉或镇静相关的AE或结局</w:t>
      </w:r>
    </w:p>
    <w:p w14:paraId="6AE1A128">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后续所需的试验/治疗引起的AE或结局（例如CT扫描引起的辐射）</w:t>
      </w:r>
    </w:p>
    <w:p w14:paraId="6AE1A129">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研究/数据中缺乏的、但可能基于</w:t>
      </w:r>
      <w:r>
        <w:rPr>
          <w:rFonts w:ascii="宋体" w:hAnsi="宋体"/>
          <w:sz w:val="24"/>
          <w:szCs w:val="24"/>
          <w:lang w:eastAsia="zh-CN"/>
        </w:rPr>
        <w:t>“</w:t>
      </w:r>
      <w:r>
        <w:rPr>
          <w:sz w:val="24"/>
          <w:szCs w:val="24"/>
          <w:lang w:eastAsia="zh-CN"/>
        </w:rPr>
        <w:t>类效应</w:t>
      </w:r>
      <w:r>
        <w:rPr>
          <w:rFonts w:ascii="宋体" w:hAnsi="宋体"/>
          <w:sz w:val="24"/>
          <w:szCs w:val="24"/>
          <w:lang w:eastAsia="zh-CN"/>
        </w:rPr>
        <w:t>”</w:t>
      </w:r>
      <w:r>
        <w:rPr>
          <w:sz w:val="24"/>
          <w:szCs w:val="24"/>
          <w:lang w:eastAsia="zh-CN"/>
        </w:rPr>
        <w:t>或类似技术已知会发生的事件的AE或结局</w:t>
      </w:r>
    </w:p>
    <w:p w14:paraId="6AE1A12A">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假阳性/假阴性/未提供诊断结果</w:t>
      </w:r>
    </w:p>
    <w:p w14:paraId="6AE1A12B">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预期用作独立方式而非辅助手段的治疗或诊断</w:t>
      </w:r>
    </w:p>
    <w:p w14:paraId="6AE1A12C">
      <w:pPr>
        <w:pStyle w:val="24"/>
        <w:spacing w:before="120"/>
        <w:ind w:left="1332" w:hanging="482"/>
        <w:rPr>
          <w:sz w:val="24"/>
          <w:szCs w:val="24"/>
        </w:rPr>
      </w:pPr>
      <w:r>
        <w:rPr>
          <w:sz w:val="24"/>
          <w:szCs w:val="24"/>
          <w:lang w:eastAsia="zh-CN"/>
        </w:rPr>
        <w:t>□</w:t>
      </w:r>
      <w:r>
        <w:rPr>
          <w:sz w:val="24"/>
          <w:szCs w:val="24"/>
          <w:lang w:eastAsia="zh-CN"/>
        </w:rPr>
        <w:tab/>
      </w:r>
      <w:r>
        <w:rPr>
          <w:sz w:val="24"/>
          <w:szCs w:val="24"/>
          <w:lang w:eastAsia="zh-CN"/>
        </w:rPr>
        <w:t>其他：</w:t>
      </w:r>
    </w:p>
    <w:p w14:paraId="6AE1A12D">
      <w:pPr>
        <w:pStyle w:val="24"/>
        <w:spacing w:before="120"/>
        <w:ind w:left="1332" w:hanging="482"/>
        <w:rPr>
          <w:sz w:val="24"/>
          <w:szCs w:val="24"/>
        </w:rPr>
      </w:pPr>
      <w:r>
        <w:rPr>
          <w:sz w:val="24"/>
          <w:szCs w:val="24"/>
          <w:lang w:eastAsia="zh-CN"/>
        </w:rPr>
        <w:t>□</w:t>
      </w:r>
      <w:r>
        <w:rPr>
          <w:sz w:val="24"/>
          <w:szCs w:val="24"/>
          <w:lang w:eastAsia="zh-CN"/>
        </w:rPr>
        <w:tab/>
      </w:r>
      <w:r>
        <w:rPr>
          <w:sz w:val="24"/>
          <w:szCs w:val="24"/>
          <w:lang w:eastAsia="zh-CN"/>
        </w:rPr>
        <w:t>无</w:t>
      </w:r>
    </w:p>
    <w:p w14:paraId="6AE1A12E">
      <w:pPr>
        <w:pStyle w:val="24"/>
        <w:spacing w:before="120"/>
      </w:pPr>
    </w:p>
    <w:tbl>
      <w:tblPr>
        <w:tblStyle w:val="8"/>
        <w:tblW w:w="0" w:type="auto"/>
        <w:tblInd w:w="9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5386"/>
      </w:tblGrid>
      <w:tr w14:paraId="6AE1A132">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085" w:hRule="atLeast"/>
        </w:trPr>
        <w:tc>
          <w:tcPr>
            <w:tcW w:w="5386" w:type="dxa"/>
            <w:shd w:val="clear" w:color="auto" w:fill="FFFFFF"/>
            <w:vAlign w:val="center"/>
          </w:tcPr>
          <w:p w14:paraId="6AE1A12F">
            <w:pPr>
              <w:snapToGrid w:val="0"/>
              <w:spacing w:before="120" w:beforeLines="50"/>
              <w:jc w:val="both"/>
              <w:rPr>
                <w:lang w:eastAsia="zh-CN"/>
              </w:rPr>
            </w:pPr>
            <w:r>
              <w:rPr>
                <w:b/>
                <w:bCs/>
                <w:lang w:eastAsia="zh-CN"/>
              </w:rPr>
              <w:t>Q3：已知/可能风险是否超过最小值？</w:t>
            </w:r>
          </w:p>
          <w:p w14:paraId="6AE1A130">
            <w:pPr>
              <w:snapToGrid w:val="0"/>
              <w:spacing w:before="120" w:beforeLines="50"/>
              <w:jc w:val="both"/>
              <w:rPr>
                <w:lang w:eastAsia="zh-CN"/>
              </w:rPr>
            </w:pPr>
            <w:r>
              <w:rPr>
                <w:lang w:eastAsia="zh-CN"/>
              </w:rPr>
              <w:sym w:font="Wingdings 2" w:char="F054"/>
            </w:r>
            <w:r>
              <w:rPr>
                <w:lang w:eastAsia="zh-CN"/>
              </w:rPr>
              <w:t>是</w:t>
            </w:r>
            <w:r>
              <w:rPr>
                <w:lang w:eastAsia="zh-CN"/>
              </w:rPr>
              <w:sym w:font="Wingdings" w:char="F0E8"/>
            </w:r>
            <w:r>
              <w:rPr>
                <w:lang w:eastAsia="zh-CN"/>
              </w:rPr>
              <w:t>继续问题4</w:t>
            </w:r>
          </w:p>
          <w:p w14:paraId="6AE1A131">
            <w:pPr>
              <w:snapToGrid w:val="0"/>
              <w:spacing w:before="120" w:beforeLines="50"/>
              <w:jc w:val="both"/>
              <w:rPr>
                <w:lang w:eastAsia="zh-CN"/>
              </w:rPr>
            </w:pPr>
            <w:r>
              <w:rPr>
                <w:lang w:eastAsia="zh-CN"/>
              </w:rPr>
              <w:t>□ 否</w:t>
            </w:r>
            <w:r>
              <w:rPr>
                <w:lang w:eastAsia="zh-CN"/>
              </w:rPr>
              <w:sym w:font="Wingdings" w:char="F0E8"/>
            </w:r>
            <w:r>
              <w:rPr>
                <w:lang w:eastAsia="zh-CN"/>
              </w:rPr>
              <w:t>继续问题4</w:t>
            </w:r>
          </w:p>
        </w:tc>
      </w:tr>
    </w:tbl>
    <w:p w14:paraId="6AE1A133">
      <w:pPr>
        <w:pStyle w:val="22"/>
        <w:spacing w:before="120"/>
      </w:pPr>
      <w:bookmarkStart w:id="145" w:name="bookmark120"/>
      <w:r>
        <w:t>4.</w:t>
      </w:r>
      <w:r>
        <w:tab/>
      </w:r>
      <w:r>
        <w:t>风险的不确定性如何？</w:t>
      </w:r>
      <w:bookmarkEnd w:id="145"/>
    </w:p>
    <w:p w14:paraId="6AE1A134">
      <w:pPr>
        <w:pStyle w:val="21"/>
        <w:spacing w:before="120"/>
        <w:rPr>
          <w:i/>
          <w:iCs/>
          <w:sz w:val="24"/>
          <w:szCs w:val="24"/>
          <w:lang w:eastAsia="zh-CN"/>
        </w:rPr>
      </w:pPr>
      <w:r>
        <w:rPr>
          <w:i/>
          <w:sz w:val="24"/>
          <w:szCs w:val="24"/>
          <w:lang w:eastAsia="zh-CN"/>
        </w:rPr>
        <w:t>认识到始终存在一定程度的不确定性，在有关不良事件/结果或风险的数据中选择不确定性的来源（如适用）。</w:t>
      </w:r>
      <w:r>
        <w:rPr>
          <w:i/>
          <w:iCs/>
          <w:sz w:val="24"/>
          <w:szCs w:val="24"/>
          <w:lang w:eastAsia="zh-CN"/>
        </w:rPr>
        <w:t>选择以下其中任何一项证明风险不确定性来源的项目，然后回答以下方框中的问题。</w:t>
      </w:r>
    </w:p>
    <w:p w14:paraId="6AE1A135">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患者人数不足以检测严重事件或假阳性/假阴性</w:t>
      </w:r>
    </w:p>
    <w:p w14:paraId="6AE1A136">
      <w:pPr>
        <w:pStyle w:val="24"/>
        <w:spacing w:before="120"/>
        <w:ind w:left="1332" w:hanging="482"/>
        <w:rPr>
          <w:sz w:val="24"/>
          <w:szCs w:val="24"/>
          <w:lang w:eastAsia="zh-CN"/>
        </w:rPr>
      </w:pPr>
      <w:r>
        <w:rPr>
          <w:sz w:val="24"/>
          <w:szCs w:val="24"/>
          <w:lang w:eastAsia="zh-CN"/>
        </w:rPr>
        <w:sym w:font="Wingdings 2" w:char="F054"/>
      </w:r>
      <w:r>
        <w:rPr>
          <w:sz w:val="24"/>
          <w:szCs w:val="24"/>
          <w:lang w:eastAsia="zh-CN"/>
        </w:rPr>
        <w:tab/>
      </w:r>
      <w:r>
        <w:rPr>
          <w:sz w:val="24"/>
          <w:szCs w:val="24"/>
          <w:lang w:eastAsia="zh-CN"/>
        </w:rPr>
        <w:t>随访时间不足以检测延迟/晚期事件</w:t>
      </w:r>
    </w:p>
    <w:p w14:paraId="6AE1A137">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缺乏重复暴露于器械/使用器械的数据</w:t>
      </w:r>
    </w:p>
    <w:p w14:paraId="6AE1A138">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研究间的结果不一致或存在冲突</w:t>
      </w:r>
    </w:p>
    <w:p w14:paraId="6AE1A139">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在研究方案中未进行适当的评价以充分检测某些AE</w:t>
      </w:r>
    </w:p>
    <w:p w14:paraId="6AE1A13A">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不良事件定义和文件记录不良或不一致</w:t>
      </w:r>
    </w:p>
    <w:p w14:paraId="6AE1A13B">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事件很可能被其他合并症或治疗方式混淆或者是其他合并症或治疗方式引起的</w:t>
      </w:r>
    </w:p>
    <w:p w14:paraId="6AE1A13C">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关键评估时间点的受试者失访率较高</w:t>
      </w:r>
    </w:p>
    <w:p w14:paraId="6AE1A13D">
      <w:pPr>
        <w:tabs>
          <w:tab w:val="left" w:pos="1334"/>
        </w:tabs>
        <w:snapToGrid w:val="0"/>
        <w:spacing w:before="120" w:beforeLines="50"/>
        <w:jc w:val="both"/>
        <w:rPr>
          <w:lang w:eastAsia="zh-CN"/>
        </w:rPr>
      </w:pPr>
      <w:r>
        <w:rPr>
          <w:lang w:eastAsia="zh-CN"/>
        </w:rPr>
        <w:br w:type="page"/>
      </w:r>
    </w:p>
    <w:p w14:paraId="6AE1A13E">
      <w:pPr>
        <w:pStyle w:val="24"/>
        <w:spacing w:before="120" w:line="400" w:lineRule="exact"/>
        <w:ind w:left="1332" w:hanging="482"/>
        <w:rPr>
          <w:sz w:val="24"/>
          <w:szCs w:val="24"/>
          <w:lang w:eastAsia="zh-CN"/>
        </w:rPr>
      </w:pPr>
      <w:r>
        <w:rPr>
          <w:sz w:val="24"/>
          <w:szCs w:val="24"/>
          <w:lang w:eastAsia="zh-CN"/>
        </w:rPr>
        <w:t>□</w:t>
      </w:r>
      <w:r>
        <w:rPr>
          <w:sz w:val="24"/>
          <w:szCs w:val="24"/>
          <w:lang w:eastAsia="zh-CN"/>
        </w:rPr>
        <w:tab/>
      </w:r>
      <w:r>
        <w:rPr>
          <w:sz w:val="24"/>
          <w:szCs w:val="24"/>
          <w:lang w:eastAsia="zh-CN"/>
        </w:rPr>
        <w:t>关键评估时间点+/-计算存在大量缺失数据</w:t>
      </w:r>
    </w:p>
    <w:p w14:paraId="6AE1A13F">
      <w:pPr>
        <w:pStyle w:val="24"/>
        <w:spacing w:before="120" w:line="400" w:lineRule="exact"/>
        <w:ind w:left="1332" w:hanging="482"/>
        <w:rPr>
          <w:sz w:val="24"/>
          <w:szCs w:val="24"/>
          <w:lang w:eastAsia="zh-CN"/>
        </w:rPr>
      </w:pPr>
      <w:r>
        <w:rPr>
          <w:sz w:val="24"/>
          <w:szCs w:val="24"/>
          <w:lang w:eastAsia="zh-CN"/>
        </w:rPr>
        <w:t>□</w:t>
      </w:r>
      <w:r>
        <w:rPr>
          <w:sz w:val="24"/>
          <w:szCs w:val="24"/>
          <w:lang w:eastAsia="zh-CN"/>
        </w:rPr>
        <w:tab/>
      </w:r>
      <w:r>
        <w:rPr>
          <w:sz w:val="24"/>
          <w:szCs w:val="24"/>
          <w:lang w:eastAsia="zh-CN"/>
        </w:rPr>
        <w:t>发生大量的重大方案偏离</w:t>
      </w:r>
    </w:p>
    <w:p w14:paraId="6AE1A140">
      <w:pPr>
        <w:pStyle w:val="24"/>
        <w:spacing w:before="120" w:line="400" w:lineRule="exact"/>
        <w:ind w:left="1332" w:hanging="482"/>
        <w:rPr>
          <w:sz w:val="24"/>
          <w:szCs w:val="24"/>
          <w:lang w:eastAsia="zh-CN"/>
        </w:rPr>
      </w:pPr>
      <w:r>
        <w:rPr>
          <w:sz w:val="24"/>
          <w:szCs w:val="24"/>
          <w:lang w:eastAsia="zh-CN"/>
        </w:rPr>
        <w:t>□</w:t>
      </w:r>
      <w:r>
        <w:rPr>
          <w:sz w:val="24"/>
          <w:szCs w:val="24"/>
          <w:lang w:eastAsia="zh-CN"/>
        </w:rPr>
        <w:tab/>
      </w:r>
      <w:r>
        <w:rPr>
          <w:sz w:val="24"/>
          <w:szCs w:val="24"/>
          <w:lang w:eastAsia="zh-CN"/>
        </w:rPr>
        <w:t>用户经验不一致或用户经验不代表可能的真实世界用户</w:t>
      </w:r>
    </w:p>
    <w:p w14:paraId="6AE1A141">
      <w:pPr>
        <w:pStyle w:val="24"/>
        <w:spacing w:before="120" w:line="400" w:lineRule="exact"/>
        <w:ind w:left="1332" w:hanging="482"/>
        <w:rPr>
          <w:sz w:val="24"/>
          <w:szCs w:val="24"/>
          <w:lang w:eastAsia="zh-CN"/>
        </w:rPr>
      </w:pPr>
      <w:r>
        <w:rPr>
          <w:sz w:val="24"/>
          <w:szCs w:val="24"/>
          <w:lang w:eastAsia="zh-CN"/>
        </w:rPr>
        <w:t>□</w:t>
      </w:r>
      <w:r>
        <w:rPr>
          <w:sz w:val="24"/>
          <w:szCs w:val="24"/>
          <w:lang w:eastAsia="zh-CN"/>
        </w:rPr>
        <w:tab/>
      </w:r>
      <w:r>
        <w:rPr>
          <w:sz w:val="24"/>
          <w:szCs w:val="24"/>
          <w:lang w:eastAsia="zh-CN"/>
        </w:rPr>
        <w:t>有关性能特征的问题（例如敏感性/PPA、特异性/NPA）</w:t>
      </w:r>
    </w:p>
    <w:p w14:paraId="6AE1A142">
      <w:pPr>
        <w:pStyle w:val="24"/>
        <w:spacing w:before="120" w:line="400" w:lineRule="exact"/>
        <w:ind w:left="1332" w:hanging="482"/>
        <w:rPr>
          <w:sz w:val="24"/>
          <w:szCs w:val="24"/>
          <w:lang w:eastAsia="zh-CN"/>
        </w:rPr>
      </w:pPr>
      <w:r>
        <w:rPr>
          <w:sz w:val="24"/>
          <w:szCs w:val="24"/>
          <w:lang w:eastAsia="zh-CN"/>
        </w:rPr>
        <w:t>□</w:t>
      </w:r>
      <w:r>
        <w:rPr>
          <w:sz w:val="24"/>
          <w:szCs w:val="24"/>
          <w:lang w:eastAsia="zh-CN"/>
        </w:rPr>
        <w:tab/>
      </w:r>
      <w:r>
        <w:rPr>
          <w:sz w:val="24"/>
          <w:szCs w:val="24"/>
          <w:lang w:eastAsia="zh-CN"/>
        </w:rPr>
        <w:t>使用存在缺陷的比较法计算性能特征</w:t>
      </w:r>
    </w:p>
    <w:p w14:paraId="6AE1A143">
      <w:pPr>
        <w:pStyle w:val="24"/>
        <w:spacing w:before="120" w:line="400" w:lineRule="exact"/>
        <w:ind w:left="1332" w:hanging="482"/>
        <w:rPr>
          <w:sz w:val="24"/>
          <w:szCs w:val="24"/>
        </w:rPr>
      </w:pPr>
      <w:r>
        <w:rPr>
          <w:sz w:val="24"/>
          <w:szCs w:val="24"/>
          <w:lang w:eastAsia="zh-CN"/>
        </w:rPr>
        <w:t>□</w:t>
      </w:r>
      <w:r>
        <w:rPr>
          <w:sz w:val="24"/>
          <w:szCs w:val="24"/>
          <w:lang w:eastAsia="zh-CN"/>
        </w:rPr>
        <w:tab/>
      </w:r>
      <w:r>
        <w:rPr>
          <w:sz w:val="24"/>
          <w:szCs w:val="24"/>
          <w:lang w:eastAsia="zh-CN"/>
        </w:rPr>
        <w:t>其他：</w:t>
      </w:r>
    </w:p>
    <w:p w14:paraId="6AE1A144">
      <w:pPr>
        <w:pStyle w:val="24"/>
        <w:spacing w:before="120" w:line="400" w:lineRule="exact"/>
        <w:ind w:left="1332" w:hanging="482"/>
        <w:rPr>
          <w:sz w:val="24"/>
          <w:szCs w:val="24"/>
        </w:rPr>
      </w:pPr>
      <w:r>
        <w:rPr>
          <w:sz w:val="24"/>
          <w:szCs w:val="24"/>
          <w:lang w:eastAsia="zh-CN"/>
        </w:rPr>
        <w:t>□</w:t>
      </w:r>
      <w:r>
        <w:rPr>
          <w:sz w:val="24"/>
          <w:szCs w:val="24"/>
          <w:lang w:eastAsia="zh-CN"/>
        </w:rPr>
        <w:tab/>
      </w:r>
      <w:r>
        <w:rPr>
          <w:sz w:val="24"/>
          <w:szCs w:val="24"/>
          <w:lang w:eastAsia="zh-CN"/>
        </w:rPr>
        <w:t>无</w:t>
      </w:r>
    </w:p>
    <w:p w14:paraId="6AE1A145">
      <w:pPr>
        <w:pStyle w:val="24"/>
        <w:spacing w:before="120" w:line="400" w:lineRule="exact"/>
      </w:pPr>
    </w:p>
    <w:tbl>
      <w:tblPr>
        <w:tblStyle w:val="8"/>
        <w:tblW w:w="0" w:type="auto"/>
        <w:tblInd w:w="624"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5670"/>
      </w:tblGrid>
      <w:tr w14:paraId="6AE1A14A">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PrEx>
        <w:trPr>
          <w:trHeight w:val="1382" w:hRule="atLeast"/>
        </w:trPr>
        <w:tc>
          <w:tcPr>
            <w:tcW w:w="5670" w:type="dxa"/>
            <w:shd w:val="clear" w:color="auto" w:fill="FFFFFF"/>
            <w:vAlign w:val="center"/>
          </w:tcPr>
          <w:p w14:paraId="6AE1A146">
            <w:pPr>
              <w:snapToGrid w:val="0"/>
              <w:spacing w:before="120" w:beforeLines="50" w:line="400" w:lineRule="exact"/>
              <w:jc w:val="both"/>
              <w:rPr>
                <w:lang w:eastAsia="zh-CN"/>
              </w:rPr>
            </w:pPr>
            <w:r>
              <w:rPr>
                <w:b/>
                <w:bCs/>
                <w:lang w:eastAsia="zh-CN"/>
              </w:rPr>
              <w:t>Q4</w:t>
            </w:r>
            <w:r>
              <w:rPr>
                <w:rFonts w:hint="eastAsia"/>
                <w:b/>
                <w:bCs/>
                <w:lang w:eastAsia="zh-CN"/>
              </w:rPr>
              <w:t>：</w:t>
            </w:r>
            <w:r>
              <w:rPr>
                <w:b/>
                <w:bCs/>
                <w:lang w:eastAsia="zh-CN"/>
              </w:rPr>
              <w:t>风险的不确定性如何？</w:t>
            </w:r>
          </w:p>
          <w:p w14:paraId="6AE1A147">
            <w:pPr>
              <w:snapToGrid w:val="0"/>
              <w:spacing w:before="120" w:beforeLines="50" w:line="400" w:lineRule="exact"/>
              <w:jc w:val="both"/>
              <w:rPr>
                <w:lang w:eastAsia="zh-CN"/>
              </w:rPr>
            </w:pPr>
            <w:r>
              <w:rPr>
                <w:lang w:eastAsia="zh-CN"/>
              </w:rPr>
              <w:sym w:font="Wingdings 2" w:char="F054"/>
            </w:r>
            <w:r>
              <w:rPr>
                <w:lang w:eastAsia="zh-CN"/>
              </w:rPr>
              <w:t>低</w:t>
            </w:r>
            <w:r>
              <w:rPr>
                <w:lang w:eastAsia="zh-CN"/>
              </w:rPr>
              <w:sym w:font="Wingdings" w:char="F0E8"/>
            </w:r>
            <w:r>
              <w:rPr>
                <w:lang w:eastAsia="zh-CN"/>
              </w:rPr>
              <w:t>继续问题5</w:t>
            </w:r>
          </w:p>
          <w:p w14:paraId="6AE1A148">
            <w:pPr>
              <w:tabs>
                <w:tab w:val="left" w:pos="230"/>
              </w:tabs>
              <w:snapToGrid w:val="0"/>
              <w:spacing w:before="120" w:beforeLines="50" w:line="400" w:lineRule="exact"/>
              <w:jc w:val="both"/>
              <w:rPr>
                <w:lang w:eastAsia="zh-CN"/>
              </w:rPr>
            </w:pPr>
            <w:r>
              <w:rPr>
                <w:lang w:eastAsia="zh-CN"/>
              </w:rPr>
              <w:t>□ 中</w:t>
            </w:r>
            <w:r>
              <w:rPr>
                <w:lang w:eastAsia="zh-CN"/>
              </w:rPr>
              <w:sym w:font="Wingdings" w:char="F0E8"/>
            </w:r>
            <w:r>
              <w:rPr>
                <w:lang w:eastAsia="zh-CN"/>
              </w:rPr>
              <w:t>继续问题5</w:t>
            </w:r>
          </w:p>
          <w:p w14:paraId="6AE1A149">
            <w:pPr>
              <w:tabs>
                <w:tab w:val="left" w:pos="226"/>
              </w:tabs>
              <w:snapToGrid w:val="0"/>
              <w:spacing w:before="120" w:beforeLines="50" w:line="400" w:lineRule="exact"/>
              <w:jc w:val="both"/>
            </w:pPr>
            <w:r>
              <w:rPr>
                <w:lang w:eastAsia="zh-CN"/>
              </w:rPr>
              <w:t>□ 高</w:t>
            </w:r>
            <w:r>
              <w:rPr>
                <w:lang w:eastAsia="zh-CN"/>
              </w:rPr>
              <w:sym w:font="Wingdings" w:char="F0E8"/>
            </w:r>
            <w:r>
              <w:rPr>
                <w:lang w:eastAsia="zh-CN"/>
              </w:rPr>
              <w:t>继续问题5</w:t>
            </w:r>
          </w:p>
        </w:tc>
      </w:tr>
    </w:tbl>
    <w:p w14:paraId="6AE1A14B">
      <w:pPr>
        <w:snapToGrid w:val="0"/>
        <w:spacing w:before="120" w:beforeLines="50" w:line="400" w:lineRule="exact"/>
        <w:jc w:val="both"/>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4" w:hRule="atLeast"/>
        </w:trPr>
        <w:tc>
          <w:tcPr>
            <w:tcW w:w="5000" w:type="pct"/>
            <w:shd w:val="clear" w:color="auto" w:fill="FFFFFF"/>
            <w:vAlign w:val="center"/>
          </w:tcPr>
          <w:p w14:paraId="6AE1A14C">
            <w:pPr>
              <w:snapToGrid w:val="0"/>
              <w:spacing w:before="120" w:beforeLines="50" w:line="400" w:lineRule="exact"/>
              <w:jc w:val="both"/>
              <w:rPr>
                <w:u w:val="single"/>
                <w:lang w:eastAsia="zh-CN"/>
              </w:rPr>
            </w:pPr>
            <w:r>
              <w:rPr>
                <w:b/>
                <w:bCs/>
                <w:u w:val="single"/>
                <w:lang w:eastAsia="zh-CN"/>
              </w:rPr>
              <w:t>风险评估总结</w:t>
            </w:r>
          </w:p>
          <w:p w14:paraId="6AE1A14D">
            <w:pPr>
              <w:snapToGrid w:val="0"/>
              <w:spacing w:before="120" w:beforeLines="50" w:line="400" w:lineRule="exact"/>
              <w:jc w:val="both"/>
              <w:rPr>
                <w:b/>
                <w:bCs/>
                <w:lang w:eastAsia="zh-CN"/>
              </w:rPr>
            </w:pPr>
            <w:r>
              <w:rPr>
                <w:b/>
                <w:bCs/>
                <w:lang w:eastAsia="zh-CN"/>
              </w:rPr>
              <w:t>如果问题3回答</w:t>
            </w:r>
            <w:r>
              <w:rPr>
                <w:rFonts w:ascii="宋体" w:hAnsi="宋体"/>
                <w:b/>
                <w:bCs/>
                <w:lang w:eastAsia="zh-CN"/>
              </w:rPr>
              <w:t>“</w:t>
            </w:r>
            <w:r>
              <w:rPr>
                <w:b/>
                <w:bCs/>
                <w:lang w:eastAsia="zh-CN"/>
              </w:rPr>
              <w:t>否</w:t>
            </w:r>
            <w:r>
              <w:rPr>
                <w:rFonts w:ascii="宋体" w:hAnsi="宋体"/>
                <w:b/>
                <w:bCs/>
                <w:lang w:eastAsia="zh-CN"/>
              </w:rPr>
              <w:t>”</w:t>
            </w:r>
            <w:r>
              <w:rPr>
                <w:b/>
                <w:bCs/>
                <w:lang w:eastAsia="zh-CN"/>
              </w:rPr>
              <w:t>，但问题4回答</w:t>
            </w:r>
            <w:r>
              <w:rPr>
                <w:rFonts w:ascii="宋体" w:hAnsi="宋体"/>
                <w:b/>
                <w:bCs/>
                <w:lang w:eastAsia="zh-CN"/>
              </w:rPr>
              <w:t>“</w:t>
            </w:r>
            <w:r>
              <w:rPr>
                <w:b/>
                <w:bCs/>
                <w:lang w:eastAsia="zh-CN"/>
              </w:rPr>
              <w:t>高</w:t>
            </w:r>
            <w:r>
              <w:rPr>
                <w:rFonts w:ascii="宋体" w:hAnsi="宋体"/>
                <w:b/>
                <w:bCs/>
                <w:lang w:eastAsia="zh-CN"/>
              </w:rPr>
              <w:t>”</w:t>
            </w:r>
            <w:r>
              <w:rPr>
                <w:b/>
                <w:bCs/>
                <w:lang w:eastAsia="zh-CN"/>
              </w:rPr>
              <w:t>，请在此处解释。</w:t>
            </w:r>
          </w:p>
          <w:p w14:paraId="6AE1A14E">
            <w:pPr>
              <w:snapToGrid w:val="0"/>
              <w:spacing w:before="120" w:beforeLines="50" w:line="400" w:lineRule="exact"/>
              <w:jc w:val="both"/>
              <w:rPr>
                <w:lang w:eastAsia="zh-CN"/>
              </w:rPr>
            </w:pPr>
          </w:p>
          <w:p w14:paraId="6AE1A14F">
            <w:pPr>
              <w:snapToGrid w:val="0"/>
              <w:spacing w:before="120" w:beforeLines="50" w:line="400" w:lineRule="exact"/>
              <w:jc w:val="both"/>
              <w:rPr>
                <w:lang w:eastAsia="zh-CN"/>
              </w:rPr>
            </w:pPr>
            <w:r>
              <w:rPr>
                <w:b/>
                <w:bCs/>
                <w:lang w:eastAsia="zh-CN"/>
              </w:rPr>
              <w:t>对于拟定适应症：</w:t>
            </w:r>
          </w:p>
          <w:p w14:paraId="6AE1A150">
            <w:pPr>
              <w:snapToGrid w:val="0"/>
              <w:spacing w:before="120" w:beforeLines="50" w:line="400" w:lineRule="exact"/>
              <w:jc w:val="both"/>
              <w:rPr>
                <w:lang w:eastAsia="zh-CN"/>
              </w:rPr>
            </w:pPr>
            <w:r>
              <w:rPr>
                <w:lang w:eastAsia="zh-CN"/>
              </w:rPr>
              <w:t>通过1年随访，未发生器械相关严重不良事件（未发生任何主要器械断裂），只有支撑系统发生些许故障，这些均未导致严重不良事件。尽管随访时间不足以检测延迟事件，支撑系统失效的风险不高，因为即使支撑系统发生失效，也不太可能导致主要器械发生整体失效。两例受试者发生与器械故障相关的并发症（器械移动）。尽管需要外科手术的所有植入器械都有自己的风险（例如手术死亡概率为1%），该器械连同主要器械一并植入，因此无需额外进行植入手术。或者，如果植入该器械是为了增强发生故障的主要器械的性能，该器械是在术中植入的，而手术本身是为了修复发生故障的主要器械。因此，数据表明在术中添加支撑器械似乎不会大幅增加对患者的风险。</w:t>
            </w:r>
          </w:p>
          <w:p w14:paraId="6AE1A151">
            <w:pPr>
              <w:snapToGrid w:val="0"/>
              <w:spacing w:before="120" w:beforeLines="50" w:line="400" w:lineRule="exact"/>
              <w:jc w:val="both"/>
              <w:rPr>
                <w:lang w:eastAsia="zh-CN"/>
              </w:rPr>
            </w:pPr>
          </w:p>
        </w:tc>
      </w:tr>
    </w:tbl>
    <w:p w14:paraId="6AE1A153">
      <w:pPr>
        <w:snapToGrid w:val="0"/>
        <w:spacing w:before="120" w:beforeLines="50" w:line="400" w:lineRule="exact"/>
        <w:jc w:val="both"/>
        <w:rPr>
          <w:lang w:eastAsia="zh-CN"/>
        </w:rPr>
      </w:pPr>
      <w:r>
        <w:rPr>
          <w:lang w:eastAsia="zh-CN"/>
        </w:rPr>
        <w:br w:type="page"/>
      </w:r>
    </w:p>
    <w:p w14:paraId="6AE1A154">
      <w:pPr>
        <w:snapToGrid w:val="0"/>
        <w:spacing w:before="120" w:beforeLines="50"/>
        <w:jc w:val="both"/>
        <w:rPr>
          <w:sz w:val="28"/>
          <w:szCs w:val="28"/>
          <w:lang w:eastAsia="zh-CN"/>
        </w:rPr>
      </w:pPr>
      <w:bookmarkStart w:id="146" w:name="bookmark121"/>
      <w:r>
        <w:rPr>
          <w:b/>
          <w:bCs/>
          <w:sz w:val="28"/>
          <w:szCs w:val="28"/>
          <w:lang w:eastAsia="zh-CN"/>
        </w:rPr>
        <w:t>获益-风险评估</w:t>
      </w:r>
      <w:bookmarkEnd w:id="146"/>
    </w:p>
    <w:p w14:paraId="6AE1A155">
      <w:pPr>
        <w:snapToGrid w:val="0"/>
        <w:spacing w:before="120" w:beforeLines="50"/>
        <w:jc w:val="both"/>
        <w:rPr>
          <w:sz w:val="24"/>
          <w:szCs w:val="24"/>
          <w:lang w:eastAsia="zh-CN"/>
        </w:rPr>
      </w:pPr>
      <w:r>
        <w:rPr>
          <w:i/>
          <w:iCs/>
          <w:sz w:val="24"/>
          <w:szCs w:val="24"/>
          <w:lang w:eastAsia="zh-CN"/>
        </w:rPr>
        <w:t>对FDA工作人员的说明：</w:t>
      </w:r>
      <w:r>
        <w:rPr>
          <w:sz w:val="24"/>
          <w:szCs w:val="24"/>
          <w:lang w:eastAsia="zh-CN"/>
        </w:rPr>
        <w:t>根据所有证据提出建议。如上文所示，在决定是否批准PMA申请或授予新分类申请期间进行获益-风险评估，但是未评估所有适用的要求。</w:t>
      </w:r>
    </w:p>
    <w:p w14:paraId="6AE1A156">
      <w:pPr>
        <w:snapToGrid w:val="0"/>
        <w:spacing w:before="120" w:beforeLines="50"/>
        <w:jc w:val="both"/>
        <w:rPr>
          <w:sz w:val="24"/>
          <w:szCs w:val="24"/>
          <w:lang w:eastAsia="zh-CN"/>
        </w:rPr>
      </w:pPr>
      <w:r>
        <w:rPr>
          <w:sz w:val="24"/>
          <w:szCs w:val="24"/>
          <w:lang w:eastAsia="zh-CN"/>
        </w:rPr>
        <w:t>为了批准PMA申请或授予新分类申请，FDA必须在其他方面确定能够合理保证器械的安全性和有效性。FDA通过在其他相关因素中权衡使用器械的任何可能的健康获益与任何可能的损伤或疾病风险确定是否能够合理保证安全性和有效性。为授予新分类申请，FDA必须找到能够合理保证器械的安全性和有效性的一般控制措施或一般和特殊控制措施。</w:t>
      </w:r>
    </w:p>
    <w:p w14:paraId="6AE1A157">
      <w:pPr>
        <w:snapToGrid w:val="0"/>
        <w:spacing w:before="120" w:beforeLines="50"/>
        <w:jc w:val="both"/>
        <w:rPr>
          <w:sz w:val="24"/>
          <w:szCs w:val="24"/>
          <w:lang w:eastAsia="zh-CN"/>
        </w:rPr>
      </w:pPr>
      <w:r>
        <w:rPr>
          <w:sz w:val="24"/>
          <w:szCs w:val="24"/>
          <w:lang w:eastAsia="zh-CN"/>
        </w:rPr>
        <w:t>如果对Q5-8中的任何问题回答</w:t>
      </w:r>
      <w:r>
        <w:rPr>
          <w:rFonts w:ascii="宋体" w:hAnsi="宋体"/>
          <w:sz w:val="24"/>
          <w:szCs w:val="24"/>
          <w:lang w:eastAsia="zh-CN"/>
        </w:rPr>
        <w:t>“</w:t>
      </w:r>
      <w:r>
        <w:rPr>
          <w:sz w:val="24"/>
          <w:szCs w:val="24"/>
          <w:lang w:eastAsia="zh-CN"/>
        </w:rPr>
        <w:t>是</w:t>
      </w:r>
      <w:r>
        <w:rPr>
          <w:rFonts w:ascii="宋体" w:hAnsi="宋体"/>
          <w:sz w:val="24"/>
          <w:szCs w:val="24"/>
          <w:lang w:eastAsia="zh-CN"/>
        </w:rPr>
        <w:t>”</w:t>
      </w:r>
      <w:r>
        <w:rPr>
          <w:sz w:val="24"/>
          <w:szCs w:val="24"/>
          <w:lang w:eastAsia="zh-CN"/>
        </w:rPr>
        <w:t>，请解释获益如何超过风险的依据。您应该考虑并推荐能够增强器械的获益-风险状况的措施（例如修改拟定标签，可以包含其他适当的警告和预防措施、使用说明书或数据表示），以帮助确保产品</w:t>
      </w:r>
      <w:r>
        <w:rPr>
          <w:rFonts w:hint="eastAsia"/>
          <w:sz w:val="24"/>
          <w:szCs w:val="24"/>
          <w:lang w:eastAsia="zh-CN"/>
        </w:rPr>
        <w:t>说明书</w:t>
      </w:r>
      <w:r>
        <w:rPr>
          <w:sz w:val="24"/>
          <w:szCs w:val="24"/>
          <w:lang w:eastAsia="zh-CN"/>
        </w:rPr>
        <w:t>明确表明获益和风险。</w:t>
      </w:r>
    </w:p>
    <w:p w14:paraId="6AE1A158">
      <w:pPr>
        <w:snapToGrid w:val="0"/>
        <w:spacing w:before="120" w:beforeLines="50"/>
        <w:jc w:val="both"/>
        <w:rPr>
          <w:sz w:val="24"/>
          <w:szCs w:val="24"/>
          <w:lang w:eastAsia="zh-CN"/>
        </w:rPr>
      </w:pPr>
      <w:r>
        <w:rPr>
          <w:sz w:val="24"/>
          <w:szCs w:val="24"/>
          <w:lang w:eastAsia="zh-CN"/>
        </w:rPr>
        <w:t>如果Q5-8回答</w:t>
      </w:r>
      <w:r>
        <w:rPr>
          <w:rFonts w:ascii="宋体" w:hAnsi="宋体"/>
          <w:sz w:val="24"/>
          <w:szCs w:val="24"/>
          <w:lang w:eastAsia="zh-CN"/>
        </w:rPr>
        <w:t>“</w:t>
      </w:r>
      <w:r>
        <w:rPr>
          <w:sz w:val="24"/>
          <w:szCs w:val="24"/>
          <w:lang w:eastAsia="zh-CN"/>
        </w:rPr>
        <w:t>无法得出结论</w:t>
      </w:r>
      <w:r>
        <w:rPr>
          <w:rFonts w:ascii="宋体" w:hAnsi="宋体"/>
          <w:sz w:val="24"/>
          <w:szCs w:val="24"/>
          <w:lang w:eastAsia="zh-CN"/>
        </w:rPr>
        <w:t>”</w:t>
      </w:r>
      <w:r>
        <w:rPr>
          <w:sz w:val="24"/>
          <w:szCs w:val="24"/>
          <w:lang w:eastAsia="zh-CN"/>
        </w:rPr>
        <w:t>，请在总结文本框中提供您认为需要的信息，以支持正在考虑的适应症的获益超过风险的判定，并继续进行Q9。</w:t>
      </w:r>
    </w:p>
    <w:p w14:paraId="6AE1A159">
      <w:pPr>
        <w:snapToGrid w:val="0"/>
        <w:spacing w:before="120" w:beforeLines="50"/>
        <w:jc w:val="both"/>
        <w:rPr>
          <w:lang w:eastAsia="zh-CN"/>
        </w:rPr>
      </w:pPr>
    </w:p>
    <w:tbl>
      <w:tblPr>
        <w:tblStyle w:val="8"/>
        <w:tblW w:w="0" w:type="auto"/>
        <w:tblInd w:w="624"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7371"/>
      </w:tblGrid>
      <w:tr w14:paraId="6AE1A15D">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853" w:hRule="atLeast"/>
        </w:trPr>
        <w:tc>
          <w:tcPr>
            <w:tcW w:w="7371" w:type="dxa"/>
            <w:shd w:val="clear" w:color="auto" w:fill="FFFFFF"/>
            <w:vAlign w:val="center"/>
          </w:tcPr>
          <w:p w14:paraId="6AE1A15A">
            <w:pPr>
              <w:snapToGrid w:val="0"/>
              <w:spacing w:before="120" w:beforeLines="50"/>
              <w:jc w:val="both"/>
              <w:rPr>
                <w:lang w:eastAsia="zh-CN"/>
              </w:rPr>
            </w:pPr>
            <w:r>
              <w:rPr>
                <w:b/>
                <w:bCs/>
                <w:lang w:eastAsia="zh-CN"/>
              </w:rPr>
              <w:t>Q5:考虑到上文的获益-风险评估和不确定性程度，获益是否超过风险？</w:t>
            </w:r>
          </w:p>
          <w:p w14:paraId="6AE1A15B">
            <w:pPr>
              <w:snapToGrid w:val="0"/>
              <w:spacing w:before="120" w:beforeLines="50"/>
              <w:jc w:val="both"/>
              <w:rPr>
                <w:lang w:eastAsia="zh-CN"/>
              </w:rPr>
            </w:pPr>
            <w:r>
              <w:rPr>
                <w:lang w:eastAsia="zh-CN"/>
              </w:rPr>
              <w:sym w:font="Wingdings 2" w:char="F054"/>
            </w:r>
            <w:r>
              <w:rPr>
                <w:lang w:eastAsia="zh-CN"/>
              </w:rPr>
              <w:t>是 - 本器械的获益超过风险，为此额外考虑相关因素不会改变该判定</w:t>
            </w:r>
          </w:p>
          <w:p w14:paraId="6AE1A15C">
            <w:pPr>
              <w:snapToGrid w:val="0"/>
              <w:spacing w:before="120" w:beforeLines="50"/>
              <w:jc w:val="both"/>
              <w:rPr>
                <w:lang w:eastAsia="zh-CN"/>
              </w:rPr>
            </w:pPr>
            <w:r>
              <w:rPr>
                <w:lang w:eastAsia="zh-CN"/>
              </w:rPr>
              <w:t>□ 无法得出获益超过风险的结论 - 进一步讨论和考虑相关因素是适当的 - 继续Q6</w:t>
            </w:r>
          </w:p>
        </w:tc>
      </w:tr>
    </w:tbl>
    <w:p w14:paraId="6AE1A15E">
      <w:pPr>
        <w:snapToGrid w:val="0"/>
        <w:spacing w:before="120" w:beforeLines="50"/>
        <w:jc w:val="both"/>
        <w:rPr>
          <w:lang w:eastAsia="zh-CN"/>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87" w:hRule="atLeast"/>
        </w:trPr>
        <w:tc>
          <w:tcPr>
            <w:tcW w:w="5000" w:type="pct"/>
            <w:shd w:val="clear" w:color="auto" w:fill="FFFFFF"/>
            <w:vAlign w:val="center"/>
          </w:tcPr>
          <w:p w14:paraId="6AE1A15F">
            <w:pPr>
              <w:snapToGrid w:val="0"/>
              <w:spacing w:before="120" w:beforeLines="50"/>
              <w:jc w:val="both"/>
              <w:rPr>
                <w:b/>
                <w:bCs/>
                <w:u w:val="single"/>
                <w:lang w:eastAsia="zh-CN"/>
              </w:rPr>
            </w:pPr>
            <w:r>
              <w:rPr>
                <w:b/>
                <w:bCs/>
                <w:u w:val="single"/>
                <w:lang w:eastAsia="zh-CN"/>
              </w:rPr>
              <w:t xml:space="preserve">获益-风险评估总结 </w:t>
            </w:r>
          </w:p>
          <w:p w14:paraId="6AE1A160">
            <w:pPr>
              <w:snapToGrid w:val="0"/>
              <w:spacing w:before="120" w:beforeLines="50"/>
              <w:jc w:val="both"/>
              <w:rPr>
                <w:lang w:eastAsia="zh-CN"/>
              </w:rPr>
            </w:pPr>
            <w:r>
              <w:rPr>
                <w:b/>
                <w:bCs/>
                <w:lang w:eastAsia="zh-CN"/>
              </w:rPr>
              <w:t>对于拟定适应症：</w:t>
            </w:r>
          </w:p>
          <w:p w14:paraId="6AE1A161">
            <w:pPr>
              <w:snapToGrid w:val="0"/>
              <w:spacing w:before="120" w:beforeLines="50"/>
              <w:jc w:val="both"/>
              <w:rPr>
                <w:lang w:eastAsia="zh-CN"/>
              </w:rPr>
            </w:pPr>
            <w:r>
              <w:rPr>
                <w:lang w:eastAsia="zh-CN"/>
              </w:rPr>
              <w:t>临床试验的设计和实施都较好，结果较为可靠。临床试验结果至少能保证器械在1年内的临床有效性，减少主要器械移位的概率较高。此外，重点是要考虑到器械只用于支持和补充另一种器械的有效性，该器械发生失效不会显著影响主要器械的性能。器械并</w:t>
            </w:r>
            <w:r>
              <w:rPr>
                <w:rFonts w:hint="eastAsia"/>
                <w:lang w:eastAsia="zh-CN"/>
              </w:rPr>
              <w:t>无升级为</w:t>
            </w:r>
            <w:r>
              <w:rPr>
                <w:lang w:eastAsia="zh-CN"/>
              </w:rPr>
              <w:t>III类器械的风险。可以通过对适当试验和说明书采取特殊控制措施以解决有关器械失效的任何安全问题。</w:t>
            </w:r>
          </w:p>
        </w:tc>
      </w:tr>
    </w:tbl>
    <w:p w14:paraId="6AE1A163">
      <w:pPr>
        <w:pStyle w:val="22"/>
        <w:spacing w:before="120"/>
        <w:rPr>
          <w:b w:val="0"/>
          <w:i/>
        </w:rPr>
      </w:pPr>
      <w:r>
        <w:t>6.</w:t>
      </w:r>
      <w:r>
        <w:tab/>
      </w:r>
      <w:r>
        <w:t>当考虑以下附加考虑因素时，获益是否超过风险？</w:t>
      </w:r>
      <w:r>
        <w:rPr>
          <w:b w:val="0"/>
          <w:i/>
        </w:rPr>
        <w:t>选择相关注意事项，然后回答以下方框中的问题。</w:t>
      </w:r>
    </w:p>
    <w:p w14:paraId="6AE1A164">
      <w:pPr>
        <w:pStyle w:val="22"/>
        <w:spacing w:before="120"/>
      </w:pPr>
      <w:r>
        <w:br w:type="page"/>
      </w:r>
    </w:p>
    <w:p w14:paraId="6AE1A165">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了解患者是否愿意接受获益和/或风险具有较大的不确定性</w:t>
      </w:r>
    </w:p>
    <w:p w14:paraId="6AE1A166">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可用的患者偏好信息（PPI）显示，患者是否愿意接受风险以换取获益。在无法获得PPI的情况下（例如一些儿童或功能受损的患者人群），可以考虑健康伴侣的观点。</w:t>
      </w:r>
    </w:p>
    <w:p w14:paraId="6AE1A167">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了解健康伴侣对预期有益于健康伴侣的器械的获益和风险的观点（例如方便进行护理）</w:t>
      </w:r>
    </w:p>
    <w:p w14:paraId="6AE1A168">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了解医疗保健专业人员对预期有益于医疗保健专业人员的器械的获益和风险的观点（例如减少辐射暴露）</w:t>
      </w:r>
    </w:p>
    <w:p w14:paraId="6AE1A169">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患者对替代健康干预措施中不同结局或其他属性的相对合适性和可接受性的定性或定量评估</w:t>
      </w:r>
    </w:p>
    <w:p w14:paraId="6AE1A16A">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了解患者人群的规模在多大程度上影响开展大型试验的可行性，并影响罕见和常见疾病或状况的公共卫生需求</w:t>
      </w:r>
    </w:p>
    <w:p w14:paraId="6AE1A16B">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了解器械代表与当前器械技术不同的新技术</w:t>
      </w:r>
    </w:p>
    <w:p w14:paraId="6AE1A16C">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在缺乏申报器械的干预或诊断信息的情况下，能够管理或诊断状况并考虑疾病进展的自然史</w:t>
      </w:r>
    </w:p>
    <w:p w14:paraId="6AE1A16D">
      <w:pPr>
        <w:pStyle w:val="24"/>
        <w:spacing w:before="120"/>
        <w:ind w:left="1332" w:hanging="482"/>
        <w:rPr>
          <w:sz w:val="24"/>
          <w:szCs w:val="24"/>
          <w:lang w:eastAsia="zh-CN"/>
        </w:rPr>
      </w:pPr>
      <w:r>
        <w:rPr>
          <w:sz w:val="24"/>
          <w:szCs w:val="24"/>
          <w:lang w:eastAsia="zh-CN"/>
        </w:rPr>
        <w:t>□ 尚无合法上市的医疗产品或医疗干预，或者器械与现有替代方式相比具有优势</w:t>
      </w:r>
    </w:p>
    <w:p w14:paraId="6AE1A16E">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器械可以满足未能满足的医疗需求或领域或可以更有效地治疗或诊断危及生命的或不可逆的使人衰弱的人类疾病/状况</w:t>
      </w:r>
    </w:p>
    <w:p w14:paraId="6AE1A16F">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 xml:space="preserve">器械能够避免该疾病或状况的现有疗法的严重伤害 </w:t>
      </w:r>
    </w:p>
    <w:p w14:paraId="6AE1A170">
      <w:pPr>
        <w:pStyle w:val="24"/>
        <w:spacing w:before="120"/>
        <w:ind w:left="1332" w:hanging="482"/>
        <w:rPr>
          <w:sz w:val="24"/>
          <w:szCs w:val="24"/>
        </w:rPr>
      </w:pPr>
      <w:r>
        <w:rPr>
          <w:sz w:val="24"/>
          <w:szCs w:val="24"/>
          <w:lang w:eastAsia="zh-CN"/>
        </w:rPr>
        <w:t>□</w:t>
      </w:r>
      <w:r>
        <w:rPr>
          <w:sz w:val="24"/>
          <w:szCs w:val="24"/>
          <w:lang w:eastAsia="zh-CN"/>
        </w:rPr>
        <w:tab/>
      </w:r>
      <w:r>
        <w:rPr>
          <w:sz w:val="24"/>
          <w:szCs w:val="24"/>
          <w:lang w:eastAsia="zh-CN"/>
        </w:rPr>
        <w:t>使用器械的不良事件是可逆的</w:t>
      </w:r>
    </w:p>
    <w:p w14:paraId="6AE1A171">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解决有害事件所需的干预类型（例如药物治疗、外科手术）</w:t>
      </w:r>
    </w:p>
    <w:p w14:paraId="6AE1A172">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研究为首次研究（分析可靠性）</w:t>
      </w:r>
    </w:p>
    <w:p w14:paraId="6AE1A173">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临界点和/或最差情况敏感性分析继续显示具有临床获益</w:t>
      </w:r>
    </w:p>
    <w:p w14:paraId="6AE1A174">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了解机械合理性和/或</w:t>
      </w:r>
      <w:r>
        <w:rPr>
          <w:rFonts w:ascii="宋体" w:hAnsi="宋体"/>
          <w:sz w:val="24"/>
          <w:szCs w:val="24"/>
          <w:lang w:eastAsia="zh-CN"/>
        </w:rPr>
        <w:t>“</w:t>
      </w:r>
      <w:r>
        <w:rPr>
          <w:sz w:val="24"/>
          <w:szCs w:val="24"/>
          <w:lang w:eastAsia="zh-CN"/>
        </w:rPr>
        <w:t>类效应</w:t>
      </w:r>
      <w:r>
        <w:rPr>
          <w:rFonts w:ascii="宋体" w:hAnsi="宋体"/>
          <w:sz w:val="24"/>
          <w:szCs w:val="24"/>
          <w:lang w:eastAsia="zh-CN"/>
        </w:rPr>
        <w:t>”</w:t>
      </w:r>
      <w:r>
        <w:rPr>
          <w:sz w:val="24"/>
          <w:szCs w:val="24"/>
          <w:lang w:eastAsia="zh-CN"/>
        </w:rPr>
        <w:t>（例如熟练掌握类似技术）</w:t>
      </w:r>
    </w:p>
    <w:p w14:paraId="6AE1A175">
      <w:pPr>
        <w:pStyle w:val="24"/>
        <w:spacing w:before="120"/>
        <w:ind w:left="1332" w:hanging="482"/>
        <w:rPr>
          <w:sz w:val="24"/>
          <w:szCs w:val="24"/>
        </w:rPr>
      </w:pPr>
      <w:r>
        <w:rPr>
          <w:sz w:val="24"/>
          <w:szCs w:val="24"/>
          <w:lang w:eastAsia="zh-CN"/>
        </w:rPr>
        <w:t>□</w:t>
      </w:r>
      <w:r>
        <w:rPr>
          <w:sz w:val="24"/>
          <w:szCs w:val="24"/>
          <w:lang w:eastAsia="zh-CN"/>
        </w:rPr>
        <w:tab/>
      </w:r>
      <w:r>
        <w:rPr>
          <w:sz w:val="24"/>
          <w:szCs w:val="24"/>
          <w:lang w:eastAsia="zh-CN"/>
        </w:rPr>
        <w:t>其他：</w:t>
      </w:r>
    </w:p>
    <w:p w14:paraId="6AE1A176">
      <w:pPr>
        <w:pStyle w:val="24"/>
        <w:spacing w:before="120"/>
        <w:ind w:left="1332" w:hanging="482"/>
        <w:rPr>
          <w:sz w:val="24"/>
          <w:szCs w:val="24"/>
        </w:rPr>
      </w:pPr>
      <w:r>
        <w:rPr>
          <w:sz w:val="24"/>
          <w:szCs w:val="24"/>
          <w:lang w:eastAsia="zh-CN"/>
        </w:rPr>
        <w:t>□</w:t>
      </w:r>
      <w:r>
        <w:rPr>
          <w:sz w:val="24"/>
          <w:szCs w:val="24"/>
          <w:lang w:eastAsia="zh-CN"/>
        </w:rPr>
        <w:tab/>
      </w:r>
      <w:r>
        <w:rPr>
          <w:sz w:val="24"/>
          <w:szCs w:val="24"/>
          <w:lang w:eastAsia="zh-CN"/>
        </w:rPr>
        <w:t>无</w:t>
      </w:r>
    </w:p>
    <w:p w14:paraId="6AE1A177">
      <w:pPr>
        <w:pStyle w:val="24"/>
        <w:spacing w:before="120"/>
      </w:pPr>
    </w:p>
    <w:tbl>
      <w:tblPr>
        <w:tblStyle w:val="8"/>
        <w:tblW w:w="0" w:type="auto"/>
        <w:tblInd w:w="624"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7088"/>
      </w:tblGrid>
      <w:tr w14:paraId="6AE1A17B">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853" w:hRule="atLeast"/>
        </w:trPr>
        <w:tc>
          <w:tcPr>
            <w:tcW w:w="7088" w:type="dxa"/>
            <w:shd w:val="clear" w:color="auto" w:fill="FFFFFF"/>
            <w:vAlign w:val="center"/>
          </w:tcPr>
          <w:p w14:paraId="6AE1A178">
            <w:pPr>
              <w:snapToGrid w:val="0"/>
              <w:spacing w:before="120" w:beforeLines="50"/>
              <w:jc w:val="both"/>
              <w:rPr>
                <w:lang w:eastAsia="zh-CN"/>
              </w:rPr>
            </w:pPr>
            <w:r>
              <w:rPr>
                <w:b/>
                <w:bCs/>
                <w:lang w:eastAsia="zh-CN"/>
              </w:rPr>
              <w:t>Q6：当考虑其他相关考虑因素时，获益是否超过风险？</w:t>
            </w:r>
          </w:p>
          <w:p w14:paraId="6AE1A179">
            <w:pPr>
              <w:tabs>
                <w:tab w:val="left" w:pos="235"/>
              </w:tabs>
              <w:snapToGrid w:val="0"/>
              <w:spacing w:before="120" w:beforeLines="50"/>
              <w:jc w:val="both"/>
              <w:rPr>
                <w:lang w:eastAsia="zh-CN"/>
              </w:rPr>
            </w:pPr>
            <w:r>
              <w:rPr>
                <w:lang w:eastAsia="zh-CN"/>
              </w:rPr>
              <w:t>□ 是 - 本器械的获益超过风险，为此额外考虑相关因素不会改变该判定</w:t>
            </w:r>
          </w:p>
          <w:p w14:paraId="6AE1A17A">
            <w:pPr>
              <w:tabs>
                <w:tab w:val="left" w:pos="245"/>
              </w:tabs>
              <w:snapToGrid w:val="0"/>
              <w:spacing w:before="120" w:beforeLines="50"/>
              <w:jc w:val="both"/>
              <w:rPr>
                <w:lang w:eastAsia="zh-CN"/>
              </w:rPr>
            </w:pPr>
            <w:r>
              <w:rPr>
                <w:lang w:eastAsia="zh-CN"/>
              </w:rPr>
              <w:t>□ 无法得出获益超过风险的结论 - 进一步讨论和考虑风险缓解措施是适当的 - 继续Q7</w:t>
            </w:r>
          </w:p>
        </w:tc>
      </w:tr>
    </w:tbl>
    <w:p w14:paraId="6AE1A17C">
      <w:pPr>
        <w:snapToGrid w:val="0"/>
        <w:spacing w:before="120" w:beforeLines="50"/>
        <w:jc w:val="both"/>
        <w:rPr>
          <w:lang w:eastAsia="zh-CN"/>
        </w:rPr>
      </w:pPr>
      <w:r>
        <w:rPr>
          <w:lang w:eastAsia="zh-CN"/>
        </w:rPr>
        <w:br w:type="page"/>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3" w:hRule="atLeast"/>
        </w:trPr>
        <w:tc>
          <w:tcPr>
            <w:tcW w:w="9185" w:type="dxa"/>
            <w:shd w:val="clear" w:color="auto" w:fill="FFFFFF"/>
            <w:vAlign w:val="bottom"/>
          </w:tcPr>
          <w:p w14:paraId="6AE1A17D">
            <w:pPr>
              <w:snapToGrid w:val="0"/>
              <w:spacing w:before="120" w:beforeLines="50"/>
              <w:jc w:val="both"/>
              <w:rPr>
                <w:u w:val="single"/>
                <w:lang w:eastAsia="zh-CN"/>
              </w:rPr>
            </w:pPr>
            <w:r>
              <w:rPr>
                <w:b/>
                <w:bCs/>
                <w:u w:val="single"/>
                <w:lang w:eastAsia="zh-CN"/>
              </w:rPr>
              <w:t>考虑到拟定适应症的其他相关考虑因素，获益-风险评估总结：</w:t>
            </w:r>
          </w:p>
          <w:p w14:paraId="6AE1A17E">
            <w:pPr>
              <w:snapToGrid w:val="0"/>
              <w:spacing w:before="120" w:beforeLines="50"/>
              <w:jc w:val="both"/>
            </w:pPr>
            <w:r>
              <w:rPr>
                <w:lang w:eastAsia="zh-CN"/>
              </w:rPr>
              <w:t>总结拟定适应症已经得到证实的临床获益以及获益与风险相比如何的评估。描述现有替代方式（包括其获益和风险）如何影响您的评估。描述获益和风险的不确定性如何影响您的评估。包括患者观点如何影响评价的描述。</w:t>
            </w:r>
          </w:p>
        </w:tc>
      </w:tr>
    </w:tbl>
    <w:p w14:paraId="6AE1A180">
      <w:pPr>
        <w:pStyle w:val="22"/>
        <w:spacing w:before="120"/>
        <w:rPr>
          <w:b w:val="0"/>
          <w:i/>
        </w:rPr>
      </w:pPr>
      <w:r>
        <w:t>7.</w:t>
      </w:r>
      <w:r>
        <w:tab/>
      </w:r>
      <w:r>
        <w:t>是否可以缓解风险以使获益超过风险？考虑如果纳入风险缓解策略以降低发生有害事件的概率并改善器械的获益-风险状况，获益是否超过风险。</w:t>
      </w:r>
      <w:r>
        <w:rPr>
          <w:b w:val="0"/>
          <w:i/>
        </w:rPr>
        <w:t>选择相关注意事项，然后回答以下方框中的问题。</w:t>
      </w:r>
    </w:p>
    <w:p w14:paraId="6AE1A181">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在医生和患者说明书中额外描述已知和可能的获益和风险，包括适当的禁忌症、警告和预防措施，并描述临床事件</w:t>
      </w:r>
    </w:p>
    <w:p w14:paraId="6AE1A182">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额外警告注意安全性信息的局限（例如</w:t>
      </w:r>
      <w:r>
        <w:rPr>
          <w:rFonts w:ascii="宋体" w:hAnsi="宋体"/>
          <w:sz w:val="24"/>
          <w:szCs w:val="24"/>
          <w:lang w:eastAsia="zh-CN"/>
        </w:rPr>
        <w:t>“</w:t>
      </w:r>
      <w:r>
        <w:rPr>
          <w:sz w:val="24"/>
          <w:szCs w:val="24"/>
          <w:lang w:eastAsia="zh-CN"/>
        </w:rPr>
        <w:t>尚未评价在[情况]中使用该器械的安全性。</w:t>
      </w:r>
      <w:r>
        <w:rPr>
          <w:rFonts w:ascii="宋体" w:hAnsi="宋体"/>
          <w:sz w:val="24"/>
          <w:szCs w:val="24"/>
          <w:lang w:eastAsia="zh-CN"/>
        </w:rPr>
        <w:t>”</w:t>
      </w:r>
      <w:r>
        <w:rPr>
          <w:sz w:val="24"/>
          <w:szCs w:val="24"/>
          <w:lang w:eastAsia="zh-CN"/>
        </w:rPr>
        <w:t>）</w:t>
      </w:r>
    </w:p>
    <w:p w14:paraId="6AE1A183">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在器械上标记</w:t>
      </w:r>
      <w:r>
        <w:rPr>
          <w:rFonts w:ascii="宋体" w:hAnsi="宋体"/>
          <w:sz w:val="24"/>
          <w:szCs w:val="24"/>
          <w:lang w:eastAsia="zh-CN"/>
        </w:rPr>
        <w:t>“</w:t>
      </w:r>
      <w:r>
        <w:rPr>
          <w:sz w:val="24"/>
          <w:szCs w:val="24"/>
          <w:lang w:eastAsia="zh-CN"/>
        </w:rPr>
        <w:t>仅凭处方</w:t>
      </w:r>
      <w:r>
        <w:rPr>
          <w:rFonts w:ascii="宋体" w:hAnsi="宋体"/>
          <w:sz w:val="24"/>
          <w:szCs w:val="24"/>
          <w:lang w:eastAsia="zh-CN"/>
        </w:rPr>
        <w:t>”</w:t>
      </w:r>
    </w:p>
    <w:p w14:paraId="6AE1A184">
      <w:pPr>
        <w:pStyle w:val="24"/>
        <w:spacing w:before="120"/>
        <w:ind w:left="1332" w:hanging="482"/>
        <w:rPr>
          <w:sz w:val="24"/>
          <w:szCs w:val="24"/>
          <w:lang w:eastAsia="zh-CN"/>
        </w:rPr>
      </w:pPr>
      <w:r>
        <w:rPr>
          <w:sz w:val="24"/>
          <w:szCs w:val="24"/>
          <w:lang w:eastAsia="zh-CN"/>
        </w:rPr>
        <w:t>培训：</w:t>
      </w:r>
    </w:p>
    <w:p w14:paraId="6AE1A185">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对具有特定资格或临床培训的护理人员进行限制</w:t>
      </w:r>
    </w:p>
    <w:p w14:paraId="6AE1A186">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仅供具有最低资质和/或受过培训的用户使用</w:t>
      </w:r>
    </w:p>
    <w:p w14:paraId="6AE1A187">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医生/用户培训计划其他：</w:t>
      </w:r>
    </w:p>
    <w:p w14:paraId="6AE1A188">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器械跟踪</w:t>
      </w:r>
    </w:p>
    <w:p w14:paraId="6AE1A189">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其他：</w:t>
      </w:r>
    </w:p>
    <w:p w14:paraId="6AE1A18A">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无</w:t>
      </w:r>
    </w:p>
    <w:p w14:paraId="6AE1A18B">
      <w:pPr>
        <w:pStyle w:val="24"/>
        <w:spacing w:before="120"/>
        <w:rPr>
          <w:lang w:eastAsia="zh-CN"/>
        </w:rPr>
      </w:pPr>
    </w:p>
    <w:tbl>
      <w:tblPr>
        <w:tblStyle w:val="8"/>
        <w:tblW w:w="0" w:type="auto"/>
        <w:tblInd w:w="624"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7088"/>
      </w:tblGrid>
      <w:tr w14:paraId="6AE1A18F">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603" w:hRule="atLeast"/>
        </w:trPr>
        <w:tc>
          <w:tcPr>
            <w:tcW w:w="7088" w:type="dxa"/>
            <w:shd w:val="clear" w:color="auto" w:fill="FFFFFF"/>
            <w:vAlign w:val="center"/>
          </w:tcPr>
          <w:p w14:paraId="6AE1A18C">
            <w:pPr>
              <w:snapToGrid w:val="0"/>
              <w:spacing w:before="120" w:beforeLines="50"/>
              <w:jc w:val="both"/>
              <w:rPr>
                <w:lang w:eastAsia="zh-CN"/>
              </w:rPr>
            </w:pPr>
            <w:r>
              <w:rPr>
                <w:b/>
                <w:bCs/>
                <w:lang w:eastAsia="zh-CN"/>
              </w:rPr>
              <w:t>Q7：是否可以缓解风险以使获益超过风险？</w:t>
            </w:r>
          </w:p>
          <w:p w14:paraId="6AE1A18D">
            <w:pPr>
              <w:tabs>
                <w:tab w:val="left" w:pos="235"/>
              </w:tabs>
              <w:snapToGrid w:val="0"/>
              <w:spacing w:before="120" w:beforeLines="50"/>
              <w:jc w:val="both"/>
              <w:rPr>
                <w:lang w:eastAsia="zh-CN"/>
              </w:rPr>
            </w:pPr>
            <w:r>
              <w:rPr>
                <w:lang w:eastAsia="zh-CN"/>
              </w:rPr>
              <w:t>□ 是 - 本器械的获益超过风险，为此额外考虑相关因素不会改变该判定</w:t>
            </w:r>
          </w:p>
          <w:p w14:paraId="6AE1A18E">
            <w:pPr>
              <w:tabs>
                <w:tab w:val="left" w:pos="245"/>
              </w:tabs>
              <w:snapToGrid w:val="0"/>
              <w:spacing w:before="120" w:beforeLines="50"/>
              <w:jc w:val="both"/>
              <w:rPr>
                <w:lang w:eastAsia="zh-CN"/>
              </w:rPr>
            </w:pPr>
            <w:r>
              <w:rPr>
                <w:lang w:eastAsia="zh-CN"/>
              </w:rPr>
              <w:t>□ 无法得出获益超过风险的结论 - 进一步讨论和考虑上市后措施是适当的 - 继续Q8</w:t>
            </w:r>
          </w:p>
        </w:tc>
      </w:tr>
    </w:tbl>
    <w:p w14:paraId="6AE1A190">
      <w:pPr>
        <w:snapToGrid w:val="0"/>
        <w:spacing w:before="120" w:beforeLines="50"/>
        <w:jc w:val="both"/>
        <w:rPr>
          <w:lang w:eastAsia="zh-CN"/>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2" w:hRule="atLeast"/>
        </w:trPr>
        <w:tc>
          <w:tcPr>
            <w:tcW w:w="5000" w:type="pct"/>
            <w:shd w:val="clear" w:color="auto" w:fill="FFFFFF"/>
            <w:vAlign w:val="center"/>
          </w:tcPr>
          <w:p w14:paraId="6AE1A191">
            <w:pPr>
              <w:snapToGrid w:val="0"/>
              <w:spacing w:before="120" w:beforeLines="50"/>
              <w:jc w:val="both"/>
              <w:rPr>
                <w:u w:val="single"/>
                <w:lang w:eastAsia="zh-CN"/>
              </w:rPr>
            </w:pPr>
            <w:r>
              <w:rPr>
                <w:b/>
                <w:bCs/>
                <w:u w:val="single"/>
                <w:lang w:eastAsia="zh-CN"/>
              </w:rPr>
              <w:t>考虑到拟定适应症的风险缓解策略，获益-风险评估的总结：</w:t>
            </w:r>
          </w:p>
          <w:p w14:paraId="6AE1A192">
            <w:pPr>
              <w:snapToGrid w:val="0"/>
              <w:spacing w:before="120" w:beforeLines="50"/>
              <w:jc w:val="both"/>
            </w:pPr>
            <w:r>
              <w:rPr>
                <w:lang w:eastAsia="zh-CN"/>
              </w:rPr>
              <w:t>总结拟定适应症已经得到证实的临床获益以及获益与风险相比如何的评估。描述现有替代方式（包括其获益和风险）如何影响您的评估。描述获益和风险的不确定性如何影响您的评估。包括患者观点如何影响评价的描述。</w:t>
            </w:r>
          </w:p>
        </w:tc>
      </w:tr>
    </w:tbl>
    <w:p w14:paraId="6AE1A194">
      <w:pPr>
        <w:pStyle w:val="22"/>
        <w:spacing w:before="120"/>
        <w:rPr>
          <w:b w:val="0"/>
          <w:i/>
        </w:rPr>
      </w:pPr>
      <w:r>
        <w:t>8.</w:t>
      </w:r>
      <w:r>
        <w:tab/>
      </w:r>
      <w:r>
        <w:t>考虑到采取上市后措施，获益是否超过风险？</w:t>
      </w:r>
      <w:r>
        <w:rPr>
          <w:b w:val="0"/>
          <w:i/>
        </w:rPr>
        <w:t>选择适当的上市后措施，然后回答以下方框中的问题。</w:t>
      </w:r>
    </w:p>
    <w:p w14:paraId="6AE1A195">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在上市后收集其他和/或确认的非临床性能数据</w:t>
      </w:r>
    </w:p>
    <w:p w14:paraId="6AE1A196">
      <w:pPr>
        <w:pStyle w:val="24"/>
        <w:spacing w:before="120"/>
        <w:ind w:left="1332" w:hanging="482"/>
        <w:rPr>
          <w:sz w:val="24"/>
          <w:szCs w:val="24"/>
          <w:lang w:eastAsia="zh-CN"/>
        </w:rPr>
      </w:pPr>
      <w:r>
        <w:rPr>
          <w:sz w:val="24"/>
          <w:szCs w:val="24"/>
          <w:lang w:eastAsia="zh-CN"/>
        </w:rPr>
        <w:t>□</w:t>
      </w:r>
      <w:r>
        <w:rPr>
          <w:sz w:val="24"/>
          <w:szCs w:val="24"/>
          <w:lang w:eastAsia="zh-CN"/>
        </w:rPr>
        <w:tab/>
      </w:r>
      <w:r>
        <w:rPr>
          <w:sz w:val="24"/>
          <w:szCs w:val="24"/>
          <w:lang w:eastAsia="zh-CN"/>
        </w:rPr>
        <w:t>在上市后收集其他和/或确认的临床数据（例如批准后研究、上市后监督）</w:t>
      </w:r>
    </w:p>
    <w:p w14:paraId="6AE1A197">
      <w:pPr>
        <w:tabs>
          <w:tab w:val="left" w:pos="1334"/>
        </w:tabs>
        <w:snapToGrid w:val="0"/>
        <w:spacing w:before="120" w:beforeLines="50"/>
        <w:jc w:val="both"/>
        <w:rPr>
          <w:lang w:eastAsia="zh-CN"/>
        </w:rPr>
      </w:pPr>
      <w:r>
        <w:rPr>
          <w:lang w:eastAsia="zh-CN"/>
        </w:rPr>
        <w:br w:type="page"/>
      </w:r>
    </w:p>
    <w:p w14:paraId="6AE1A198">
      <w:pPr>
        <w:pStyle w:val="25"/>
        <w:spacing w:before="120" w:line="400" w:lineRule="exact"/>
        <w:ind w:left="1762" w:hanging="485"/>
        <w:rPr>
          <w:sz w:val="24"/>
          <w:szCs w:val="24"/>
          <w:lang w:eastAsia="zh-CN"/>
        </w:rPr>
      </w:pPr>
      <w:r>
        <w:rPr>
          <w:sz w:val="24"/>
          <w:szCs w:val="24"/>
          <w:lang w:eastAsia="zh-CN"/>
        </w:rPr>
        <w:t>如果检查了上市后申请中的非临床或临床性能数据收集，请考虑：</w:t>
      </w:r>
    </w:p>
    <w:p w14:paraId="6AE1A199">
      <w:pPr>
        <w:pStyle w:val="25"/>
        <w:spacing w:before="120" w:line="400" w:lineRule="exact"/>
        <w:ind w:left="1762" w:hanging="485"/>
        <w:rPr>
          <w:sz w:val="24"/>
          <w:szCs w:val="24"/>
          <w:lang w:eastAsia="zh-CN"/>
        </w:rPr>
      </w:pPr>
      <w:r>
        <w:rPr>
          <w:sz w:val="24"/>
          <w:szCs w:val="24"/>
          <w:lang w:eastAsia="zh-CN"/>
        </w:rPr>
        <w:t>□</w:t>
      </w:r>
      <w:r>
        <w:rPr>
          <w:sz w:val="24"/>
          <w:szCs w:val="24"/>
          <w:lang w:eastAsia="zh-CN"/>
        </w:rPr>
        <w:tab/>
      </w:r>
      <w:r>
        <w:rPr>
          <w:sz w:val="24"/>
          <w:szCs w:val="24"/>
          <w:lang w:eastAsia="zh-CN"/>
        </w:rPr>
        <w:t xml:space="preserve">在合理的时间段内完成上市后数据收集的可行性和完成上市后数据收集的可能性 </w:t>
      </w:r>
    </w:p>
    <w:p w14:paraId="6AE1A19A">
      <w:pPr>
        <w:pStyle w:val="25"/>
        <w:spacing w:before="120" w:line="400" w:lineRule="exact"/>
        <w:ind w:left="1762" w:hanging="485"/>
        <w:rPr>
          <w:sz w:val="24"/>
          <w:szCs w:val="24"/>
          <w:lang w:eastAsia="zh-CN"/>
        </w:rPr>
      </w:pPr>
      <w:r>
        <w:rPr>
          <w:sz w:val="24"/>
          <w:szCs w:val="24"/>
          <w:lang w:eastAsia="zh-CN"/>
        </w:rPr>
        <w:t>□</w:t>
      </w:r>
      <w:r>
        <w:rPr>
          <w:sz w:val="24"/>
          <w:szCs w:val="24"/>
          <w:lang w:eastAsia="zh-CN"/>
        </w:rPr>
        <w:tab/>
      </w:r>
      <w:r>
        <w:rPr>
          <w:sz w:val="24"/>
          <w:szCs w:val="24"/>
          <w:lang w:eastAsia="zh-CN"/>
        </w:rPr>
        <w:t>在标签中描述上市后数据收集及其目的是否合适</w:t>
      </w:r>
    </w:p>
    <w:p w14:paraId="6AE1A19B">
      <w:pPr>
        <w:pStyle w:val="24"/>
        <w:spacing w:before="120" w:line="400" w:lineRule="exact"/>
        <w:ind w:left="1332" w:hanging="482"/>
        <w:rPr>
          <w:sz w:val="24"/>
          <w:szCs w:val="24"/>
        </w:rPr>
      </w:pPr>
      <w:r>
        <w:rPr>
          <w:sz w:val="24"/>
          <w:szCs w:val="24"/>
          <w:lang w:eastAsia="zh-CN"/>
        </w:rPr>
        <w:t>□</w:t>
      </w:r>
      <w:r>
        <w:rPr>
          <w:sz w:val="24"/>
          <w:szCs w:val="24"/>
          <w:lang w:eastAsia="zh-CN"/>
        </w:rPr>
        <w:tab/>
      </w:r>
      <w:r>
        <w:rPr>
          <w:sz w:val="24"/>
          <w:szCs w:val="24"/>
          <w:lang w:eastAsia="zh-CN"/>
        </w:rPr>
        <w:t>其他：</w:t>
      </w:r>
    </w:p>
    <w:p w14:paraId="6AE1A19C">
      <w:pPr>
        <w:pStyle w:val="24"/>
        <w:spacing w:before="120" w:line="400" w:lineRule="exact"/>
        <w:ind w:left="1332" w:hanging="482"/>
        <w:rPr>
          <w:sz w:val="24"/>
          <w:szCs w:val="24"/>
        </w:rPr>
      </w:pPr>
      <w:r>
        <w:rPr>
          <w:sz w:val="24"/>
          <w:szCs w:val="24"/>
          <w:lang w:eastAsia="zh-CN"/>
        </w:rPr>
        <w:t>□</w:t>
      </w:r>
      <w:r>
        <w:rPr>
          <w:sz w:val="24"/>
          <w:szCs w:val="24"/>
          <w:lang w:eastAsia="zh-CN"/>
        </w:rPr>
        <w:tab/>
      </w:r>
      <w:r>
        <w:rPr>
          <w:sz w:val="24"/>
          <w:szCs w:val="24"/>
          <w:lang w:eastAsia="zh-CN"/>
        </w:rPr>
        <w:t>无</w:t>
      </w:r>
    </w:p>
    <w:p w14:paraId="6AE1A19D">
      <w:pPr>
        <w:pStyle w:val="24"/>
        <w:spacing w:before="120" w:line="400" w:lineRule="exact"/>
      </w:pPr>
    </w:p>
    <w:tbl>
      <w:tblPr>
        <w:tblStyle w:val="8"/>
        <w:tblW w:w="0" w:type="auto"/>
        <w:tblInd w:w="624"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7797"/>
      </w:tblGrid>
      <w:tr w14:paraId="6AE1A1A1">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090" w:hRule="atLeast"/>
        </w:trPr>
        <w:tc>
          <w:tcPr>
            <w:tcW w:w="7797" w:type="dxa"/>
            <w:shd w:val="clear" w:color="auto" w:fill="FFFFFF"/>
            <w:vAlign w:val="center"/>
          </w:tcPr>
          <w:p w14:paraId="6AE1A19E">
            <w:pPr>
              <w:snapToGrid w:val="0"/>
              <w:spacing w:before="120" w:beforeLines="50" w:line="400" w:lineRule="exact"/>
              <w:jc w:val="both"/>
              <w:rPr>
                <w:lang w:eastAsia="zh-CN"/>
              </w:rPr>
            </w:pPr>
            <w:r>
              <w:rPr>
                <w:b/>
                <w:bCs/>
                <w:lang w:eastAsia="zh-CN"/>
              </w:rPr>
              <w:t>Q8：考虑到采取上市后措施，获益是否超过风险？</w:t>
            </w:r>
          </w:p>
          <w:p w14:paraId="6AE1A19F">
            <w:pPr>
              <w:tabs>
                <w:tab w:val="left" w:pos="221"/>
              </w:tabs>
              <w:snapToGrid w:val="0"/>
              <w:spacing w:before="120" w:beforeLines="50" w:line="400" w:lineRule="exact"/>
              <w:jc w:val="both"/>
              <w:rPr>
                <w:lang w:eastAsia="zh-CN"/>
              </w:rPr>
            </w:pPr>
            <w:r>
              <w:rPr>
                <w:lang w:eastAsia="zh-CN"/>
              </w:rPr>
              <w:t>□ 是 - 获益超过手术风险</w:t>
            </w:r>
          </w:p>
          <w:p w14:paraId="6AE1A1A0">
            <w:pPr>
              <w:tabs>
                <w:tab w:val="left" w:pos="230"/>
              </w:tabs>
              <w:snapToGrid w:val="0"/>
              <w:spacing w:before="120" w:beforeLines="50" w:line="400" w:lineRule="exact"/>
              <w:jc w:val="both"/>
              <w:rPr>
                <w:lang w:eastAsia="zh-CN"/>
              </w:rPr>
            </w:pPr>
            <w:r>
              <w:rPr>
                <w:lang w:eastAsia="zh-CN"/>
              </w:rPr>
              <w:t>□ 无法得出获益超过风险的结论 - 继续Q9</w:t>
            </w:r>
          </w:p>
        </w:tc>
      </w:tr>
    </w:tbl>
    <w:p w14:paraId="6AE1A1A2">
      <w:pPr>
        <w:snapToGrid w:val="0"/>
        <w:spacing w:before="120" w:beforeLines="50" w:line="400" w:lineRule="exact"/>
        <w:jc w:val="both"/>
        <w:rPr>
          <w:lang w:eastAsia="zh-CN"/>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85"/>
      </w:tblGrid>
      <w:tr w14:paraId="6AE1A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2" w:hRule="atLeast"/>
        </w:trPr>
        <w:tc>
          <w:tcPr>
            <w:tcW w:w="5000" w:type="pct"/>
            <w:shd w:val="clear" w:color="auto" w:fill="FFFFFF"/>
            <w:vAlign w:val="center"/>
          </w:tcPr>
          <w:p w14:paraId="6AE1A1A3">
            <w:pPr>
              <w:snapToGrid w:val="0"/>
              <w:spacing w:before="120" w:beforeLines="50" w:line="400" w:lineRule="exact"/>
              <w:jc w:val="both"/>
              <w:rPr>
                <w:u w:val="single"/>
                <w:lang w:eastAsia="zh-CN"/>
              </w:rPr>
            </w:pPr>
            <w:r>
              <w:rPr>
                <w:b/>
                <w:bCs/>
                <w:u w:val="single"/>
                <w:lang w:eastAsia="zh-CN"/>
              </w:rPr>
              <w:t>考虑到拟定适应症的上市后措施，获益-风险评估的总结：</w:t>
            </w:r>
          </w:p>
          <w:p w14:paraId="6AE1A1A4">
            <w:pPr>
              <w:snapToGrid w:val="0"/>
              <w:spacing w:before="120" w:beforeLines="50" w:line="400" w:lineRule="exact"/>
              <w:jc w:val="both"/>
            </w:pPr>
            <w:r>
              <w:rPr>
                <w:lang w:eastAsia="zh-CN"/>
              </w:rPr>
              <w:t>总结拟定适应症已经得到证实的获益以及获益与风险相比如何的评估。描述现有替代方式（包括其获益和风险）如何影响您的评估。描述获益和风险的不确定性如何影响您的评估。包括患者观点如何影响评价的描述。</w:t>
            </w:r>
          </w:p>
        </w:tc>
      </w:tr>
    </w:tbl>
    <w:p w14:paraId="6AE1A1A6">
      <w:pPr>
        <w:snapToGrid w:val="0"/>
        <w:spacing w:before="120" w:beforeLines="50" w:line="400" w:lineRule="exact"/>
        <w:jc w:val="both"/>
      </w:pPr>
    </w:p>
    <w:tbl>
      <w:tblPr>
        <w:tblStyle w:val="8"/>
        <w:tblW w:w="0" w:type="auto"/>
        <w:tblInd w:w="624"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autofit"/>
        <w:tblCellMar>
          <w:top w:w="0" w:type="dxa"/>
          <w:left w:w="57" w:type="dxa"/>
          <w:bottom w:w="0" w:type="dxa"/>
          <w:right w:w="57" w:type="dxa"/>
        </w:tblCellMar>
      </w:tblPr>
      <w:tblGrid>
        <w:gridCol w:w="7797"/>
      </w:tblGrid>
      <w:tr w14:paraId="6AE1A1AA">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57" w:type="dxa"/>
            <w:bottom w:w="0" w:type="dxa"/>
            <w:right w:w="57" w:type="dxa"/>
          </w:tblCellMar>
        </w:tblPrEx>
        <w:trPr>
          <w:trHeight w:val="1090" w:hRule="atLeast"/>
        </w:trPr>
        <w:tc>
          <w:tcPr>
            <w:tcW w:w="7797" w:type="dxa"/>
            <w:shd w:val="clear" w:color="auto" w:fill="FFFFFF"/>
            <w:vAlign w:val="center"/>
          </w:tcPr>
          <w:p w14:paraId="6AE1A1A7">
            <w:pPr>
              <w:snapToGrid w:val="0"/>
              <w:spacing w:before="120" w:beforeLines="50" w:line="400" w:lineRule="exact"/>
              <w:jc w:val="both"/>
              <w:rPr>
                <w:lang w:eastAsia="zh-CN"/>
              </w:rPr>
            </w:pPr>
            <w:r>
              <w:rPr>
                <w:b/>
                <w:bCs/>
                <w:lang w:eastAsia="zh-CN"/>
              </w:rPr>
              <w:t>Q9：修改后的适应症是否具有临床获益？</w:t>
            </w:r>
          </w:p>
          <w:p w14:paraId="6AE1A1A8">
            <w:pPr>
              <w:tabs>
                <w:tab w:val="left" w:pos="221"/>
              </w:tabs>
              <w:snapToGrid w:val="0"/>
              <w:spacing w:before="120" w:beforeLines="50" w:line="400" w:lineRule="exact"/>
              <w:jc w:val="both"/>
              <w:rPr>
                <w:lang w:eastAsia="zh-CN"/>
              </w:rPr>
            </w:pPr>
            <w:r>
              <w:rPr>
                <w:lang w:eastAsia="zh-CN"/>
              </w:rPr>
              <w:t xml:space="preserve">□ 是 </w:t>
            </w:r>
            <w:r>
              <w:rPr>
                <w:lang w:eastAsia="zh-CN"/>
              </w:rPr>
              <w:sym w:font="Wingdings" w:char="F0E8"/>
            </w:r>
            <w:r>
              <w:rPr>
                <w:lang w:eastAsia="zh-CN"/>
              </w:rPr>
              <w:t>返回Q1并继续修改后的适应症</w:t>
            </w:r>
          </w:p>
          <w:p w14:paraId="6AE1A1A9">
            <w:pPr>
              <w:tabs>
                <w:tab w:val="left" w:pos="221"/>
              </w:tabs>
              <w:snapToGrid w:val="0"/>
              <w:spacing w:before="120" w:beforeLines="50" w:line="400" w:lineRule="exact"/>
              <w:jc w:val="both"/>
            </w:pPr>
            <w:r>
              <w:rPr>
                <w:lang w:eastAsia="zh-CN"/>
              </w:rPr>
              <w:t xml:space="preserve">□ 否 </w:t>
            </w:r>
            <w:r>
              <w:rPr>
                <w:lang w:eastAsia="zh-CN"/>
              </w:rPr>
              <w:sym w:font="Wingdings" w:char="F0E8"/>
            </w:r>
            <w:r>
              <w:rPr>
                <w:lang w:eastAsia="zh-CN"/>
              </w:rPr>
              <w:t xml:space="preserve"> 未批准/授予</w:t>
            </w:r>
          </w:p>
        </w:tc>
      </w:tr>
    </w:tbl>
    <w:p w14:paraId="6AE1A1AB">
      <w:pPr>
        <w:snapToGrid w:val="0"/>
        <w:spacing w:before="120" w:beforeLines="50" w:line="400" w:lineRule="exact"/>
        <w:jc w:val="both"/>
      </w:pPr>
      <w:r>
        <w:rPr>
          <w:lang w:eastAsia="zh-CN"/>
        </w:rPr>
        <w:br w:type="page"/>
      </w:r>
    </w:p>
    <w:p w14:paraId="6AE1A1AC">
      <w:pPr>
        <w:snapToGrid w:val="0"/>
        <w:spacing w:before="120" w:beforeLines="50" w:after="120" w:afterLines="50"/>
        <w:jc w:val="center"/>
        <w:rPr>
          <w:sz w:val="28"/>
          <w:szCs w:val="28"/>
        </w:rPr>
      </w:pPr>
      <w:bookmarkStart w:id="147" w:name="bookmark122"/>
      <w:r>
        <w:rPr>
          <w:b/>
          <w:bCs/>
          <w:sz w:val="28"/>
          <w:szCs w:val="28"/>
          <w:lang w:eastAsia="zh-CN"/>
        </w:rPr>
        <w:t>获益-风险评估总结</w:t>
      </w:r>
      <w:bookmarkEnd w:id="147"/>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3491"/>
        <w:gridCol w:w="2449"/>
        <w:gridCol w:w="3245"/>
      </w:tblGrid>
      <w:tr w14:paraId="6AE1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 w:hRule="atLeast"/>
        </w:trPr>
        <w:tc>
          <w:tcPr>
            <w:tcW w:w="3941" w:type="dxa"/>
            <w:vMerge w:val="restart"/>
            <w:shd w:val="clear" w:color="auto" w:fill="FFFFFF"/>
            <w:vAlign w:val="center"/>
          </w:tcPr>
          <w:p w14:paraId="6AE1A1AD">
            <w:pPr>
              <w:snapToGrid w:val="0"/>
              <w:jc w:val="center"/>
              <w:rPr>
                <w:lang w:eastAsia="zh-CN"/>
              </w:rPr>
            </w:pPr>
            <w:r>
              <w:rPr>
                <w:lang w:eastAsia="zh-CN"/>
              </w:rPr>
              <w:t>基于数据器械名称的总和：假设举例4PMA/新分类编号：</w:t>
            </w:r>
          </w:p>
          <w:p w14:paraId="6AE1A1AE">
            <w:pPr>
              <w:snapToGrid w:val="0"/>
              <w:jc w:val="center"/>
            </w:pPr>
            <w:r>
              <w:rPr>
                <w:lang w:eastAsia="zh-CN"/>
              </w:rPr>
              <w:t xml:space="preserve">□ 中期 </w:t>
            </w:r>
            <w:r>
              <w:rPr>
                <w:lang w:eastAsia="zh-CN"/>
              </w:rPr>
              <w:sym w:font="Wingdings 2" w:char="F054"/>
            </w:r>
            <w:r>
              <w:rPr>
                <w:lang w:eastAsia="zh-CN"/>
              </w:rPr>
              <w:t xml:space="preserve"> 最终</w:t>
            </w:r>
          </w:p>
        </w:tc>
        <w:tc>
          <w:tcPr>
            <w:tcW w:w="6312" w:type="dxa"/>
            <w:gridSpan w:val="2"/>
            <w:tcBorders>
              <w:bottom w:val="single" w:color="auto" w:sz="4" w:space="0"/>
            </w:tcBorders>
            <w:shd w:val="clear" w:color="auto" w:fill="00B0F0"/>
            <w:vAlign w:val="center"/>
          </w:tcPr>
          <w:p w14:paraId="6AE1A1AF">
            <w:pPr>
              <w:snapToGrid w:val="0"/>
              <w:jc w:val="center"/>
            </w:pPr>
            <w:r>
              <w:rPr>
                <w:b/>
                <w:bCs/>
                <w:lang w:eastAsia="zh-CN"/>
              </w:rPr>
              <w:t>拟定适应症</w:t>
            </w:r>
          </w:p>
        </w:tc>
      </w:tr>
      <w:tr w14:paraId="6AE1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2" w:hRule="atLeast"/>
        </w:trPr>
        <w:tc>
          <w:tcPr>
            <w:tcW w:w="3941" w:type="dxa"/>
            <w:vMerge w:val="continue"/>
            <w:tcBorders>
              <w:bottom w:val="single" w:color="auto" w:sz="4" w:space="0"/>
            </w:tcBorders>
            <w:shd w:val="clear" w:color="auto" w:fill="FFFFFF"/>
            <w:vAlign w:val="center"/>
          </w:tcPr>
          <w:p w14:paraId="6AE1A1B1">
            <w:pPr>
              <w:snapToGrid w:val="0"/>
              <w:jc w:val="center"/>
            </w:pPr>
          </w:p>
        </w:tc>
        <w:tc>
          <w:tcPr>
            <w:tcW w:w="6312" w:type="dxa"/>
            <w:gridSpan w:val="2"/>
            <w:tcBorders>
              <w:bottom w:val="single" w:color="auto" w:sz="4" w:space="0"/>
            </w:tcBorders>
            <w:shd w:val="clear" w:color="auto" w:fill="DBE5F1" w:themeFill="accent1" w:themeFillTint="33"/>
            <w:vAlign w:val="center"/>
          </w:tcPr>
          <w:p w14:paraId="6AE1A1B2">
            <w:pPr>
              <w:snapToGrid w:val="0"/>
              <w:jc w:val="center"/>
              <w:rPr>
                <w:lang w:eastAsia="zh-CN"/>
              </w:rPr>
            </w:pPr>
            <w:r>
              <w:rPr>
                <w:lang w:eastAsia="zh-CN"/>
              </w:rPr>
              <w:t>器械预期用作提高其他植入器械的稳定性的辅助手段，否则这些器械可能会在没有支撑的情况下自行固定。</w:t>
            </w:r>
          </w:p>
        </w:tc>
      </w:tr>
      <w:tr w14:paraId="6AE1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trPr>
        <w:tc>
          <w:tcPr>
            <w:tcW w:w="3941" w:type="dxa"/>
            <w:vMerge w:val="restart"/>
            <w:shd w:val="clear" w:color="auto" w:fill="D6E3BC" w:themeFill="accent3" w:themeFillTint="66"/>
            <w:vAlign w:val="center"/>
          </w:tcPr>
          <w:p w14:paraId="6AE1A1B4">
            <w:pPr>
              <w:snapToGrid w:val="0"/>
              <w:jc w:val="both"/>
            </w:pPr>
            <w:r>
              <w:rPr>
                <w:b/>
                <w:bCs/>
                <w:sz w:val="24"/>
                <w:szCs w:val="24"/>
                <w:lang w:eastAsia="zh-CN"/>
              </w:rPr>
              <w:t>获益评估</w:t>
            </w:r>
          </w:p>
        </w:tc>
        <w:tc>
          <w:tcPr>
            <w:tcW w:w="6312" w:type="dxa"/>
            <w:gridSpan w:val="2"/>
            <w:tcBorders>
              <w:bottom w:val="nil"/>
            </w:tcBorders>
            <w:shd w:val="clear" w:color="auto" w:fill="D6E3BC" w:themeFill="accent3" w:themeFillTint="66"/>
            <w:vAlign w:val="center"/>
          </w:tcPr>
          <w:p w14:paraId="6AE1A1B5">
            <w:pPr>
              <w:snapToGrid w:val="0"/>
              <w:jc w:val="both"/>
              <w:rPr>
                <w:lang w:eastAsia="zh-CN"/>
              </w:rPr>
            </w:pPr>
            <w:r>
              <w:rPr>
                <w:lang w:eastAsia="zh-CN"/>
              </w:rPr>
              <w:t>从以下方面考虑获益：</w:t>
            </w:r>
          </w:p>
        </w:tc>
      </w:tr>
      <w:tr w14:paraId="6AE1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3" w:hRule="atLeast"/>
        </w:trPr>
        <w:tc>
          <w:tcPr>
            <w:tcW w:w="3941" w:type="dxa"/>
            <w:vMerge w:val="continue"/>
            <w:shd w:val="clear" w:color="auto" w:fill="D6E3BC" w:themeFill="accent3" w:themeFillTint="66"/>
            <w:vAlign w:val="center"/>
          </w:tcPr>
          <w:p w14:paraId="6AE1A1B7">
            <w:pPr>
              <w:snapToGrid w:val="0"/>
              <w:jc w:val="both"/>
              <w:rPr>
                <w:lang w:eastAsia="zh-CN"/>
              </w:rPr>
            </w:pPr>
          </w:p>
        </w:tc>
        <w:tc>
          <w:tcPr>
            <w:tcW w:w="2693" w:type="dxa"/>
            <w:tcBorders>
              <w:top w:val="nil"/>
              <w:right w:val="nil"/>
            </w:tcBorders>
            <w:shd w:val="clear" w:color="auto" w:fill="D6E3BC" w:themeFill="accent3" w:themeFillTint="66"/>
          </w:tcPr>
          <w:p w14:paraId="6AE1A1B8">
            <w:pPr>
              <w:tabs>
                <w:tab w:val="left" w:pos="355"/>
              </w:tabs>
              <w:snapToGrid w:val="0"/>
              <w:ind w:left="420" w:hanging="420" w:hangingChars="200"/>
              <w:jc w:val="both"/>
              <w:rPr>
                <w:lang w:eastAsia="zh-CN"/>
              </w:rPr>
            </w:pPr>
            <w:r>
              <w:rPr>
                <w:lang w:eastAsia="zh-CN"/>
              </w:rPr>
              <w:t>•</w:t>
            </w:r>
            <w:r>
              <w:rPr>
                <w:lang w:eastAsia="zh-CN"/>
              </w:rPr>
              <w:tab/>
            </w:r>
            <w:r>
              <w:rPr>
                <w:lang w:eastAsia="zh-CN"/>
              </w:rPr>
              <w:t>类型</w:t>
            </w:r>
          </w:p>
          <w:p w14:paraId="6AE1A1B9">
            <w:pPr>
              <w:tabs>
                <w:tab w:val="left" w:pos="355"/>
              </w:tabs>
              <w:snapToGrid w:val="0"/>
              <w:ind w:left="420" w:hanging="420" w:hangingChars="200"/>
              <w:jc w:val="both"/>
              <w:rPr>
                <w:lang w:eastAsia="zh-CN"/>
              </w:rPr>
            </w:pPr>
            <w:r>
              <w:rPr>
                <w:lang w:eastAsia="zh-CN"/>
              </w:rPr>
              <w:t>•</w:t>
            </w:r>
            <w:r>
              <w:rPr>
                <w:lang w:eastAsia="zh-CN"/>
              </w:rPr>
              <w:tab/>
            </w:r>
            <w:r>
              <w:rPr>
                <w:lang w:eastAsia="zh-CN"/>
              </w:rPr>
              <w:t>程度</w:t>
            </w:r>
          </w:p>
          <w:p w14:paraId="6AE1A1BA">
            <w:pPr>
              <w:tabs>
                <w:tab w:val="left" w:pos="355"/>
              </w:tabs>
              <w:snapToGrid w:val="0"/>
              <w:ind w:left="420" w:hanging="420" w:hangingChars="200"/>
              <w:jc w:val="both"/>
              <w:rPr>
                <w:lang w:eastAsia="zh-CN"/>
              </w:rPr>
            </w:pPr>
            <w:r>
              <w:rPr>
                <w:lang w:eastAsia="zh-CN"/>
              </w:rPr>
              <w:t>•</w:t>
            </w:r>
            <w:r>
              <w:rPr>
                <w:lang w:eastAsia="zh-CN"/>
              </w:rPr>
              <w:tab/>
            </w:r>
            <w:r>
              <w:rPr>
                <w:lang w:eastAsia="zh-CN"/>
              </w:rPr>
              <w:t>概率</w:t>
            </w:r>
          </w:p>
          <w:p w14:paraId="6AE1A1BB">
            <w:pPr>
              <w:tabs>
                <w:tab w:val="left" w:pos="355"/>
              </w:tabs>
              <w:snapToGrid w:val="0"/>
              <w:ind w:left="420" w:hanging="420" w:hangingChars="200"/>
              <w:jc w:val="both"/>
              <w:rPr>
                <w:lang w:eastAsia="zh-CN"/>
              </w:rPr>
            </w:pPr>
            <w:r>
              <w:rPr>
                <w:lang w:eastAsia="zh-CN"/>
              </w:rPr>
              <w:t>•</w:t>
            </w:r>
            <w:r>
              <w:rPr>
                <w:lang w:eastAsia="zh-CN"/>
              </w:rPr>
              <w:tab/>
            </w:r>
            <w:r>
              <w:rPr>
                <w:lang w:eastAsia="zh-CN"/>
              </w:rPr>
              <w:t>效应持续时间</w:t>
            </w:r>
          </w:p>
        </w:tc>
        <w:tc>
          <w:tcPr>
            <w:tcW w:w="3619" w:type="dxa"/>
            <w:tcBorders>
              <w:top w:val="nil"/>
              <w:left w:val="nil"/>
            </w:tcBorders>
            <w:shd w:val="clear" w:color="auto" w:fill="D6E3BC" w:themeFill="accent3" w:themeFillTint="66"/>
          </w:tcPr>
          <w:p w14:paraId="6AE1A1BC">
            <w:pPr>
              <w:tabs>
                <w:tab w:val="left" w:pos="355"/>
              </w:tabs>
              <w:snapToGrid w:val="0"/>
              <w:ind w:left="420" w:hanging="420" w:hangingChars="200"/>
              <w:jc w:val="both"/>
              <w:rPr>
                <w:lang w:eastAsia="zh-CN"/>
              </w:rPr>
            </w:pPr>
            <w:r>
              <w:rPr>
                <w:lang w:eastAsia="zh-CN"/>
              </w:rPr>
              <w:t>•</w:t>
            </w:r>
            <w:r>
              <w:rPr>
                <w:lang w:eastAsia="zh-CN"/>
              </w:rPr>
              <w:tab/>
            </w:r>
            <w:r>
              <w:rPr>
                <w:lang w:eastAsia="zh-CN"/>
              </w:rPr>
              <w:t>患者观点（或如适用，健康伴侣和/或医疗保健专业人员观点）</w:t>
            </w:r>
          </w:p>
          <w:p w14:paraId="6AE1A1BD">
            <w:pPr>
              <w:tabs>
                <w:tab w:val="left" w:pos="360"/>
              </w:tabs>
              <w:snapToGrid w:val="0"/>
              <w:ind w:left="420" w:hanging="420" w:hangingChars="200"/>
              <w:jc w:val="both"/>
            </w:pPr>
            <w:r>
              <w:rPr>
                <w:lang w:eastAsia="zh-CN"/>
              </w:rPr>
              <w:t>•</w:t>
            </w:r>
            <w:r>
              <w:rPr>
                <w:lang w:eastAsia="zh-CN"/>
              </w:rPr>
              <w:tab/>
            </w:r>
            <w:r>
              <w:rPr>
                <w:lang w:eastAsia="zh-CN"/>
              </w:rPr>
              <w:t>其他</w:t>
            </w:r>
          </w:p>
        </w:tc>
      </w:tr>
      <w:tr w14:paraId="6AE1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5" w:hRule="atLeast"/>
        </w:trPr>
        <w:tc>
          <w:tcPr>
            <w:tcW w:w="3941" w:type="dxa"/>
            <w:shd w:val="clear" w:color="auto" w:fill="FFFFFF"/>
            <w:vAlign w:val="center"/>
          </w:tcPr>
          <w:p w14:paraId="6AE1A1BF">
            <w:pPr>
              <w:snapToGrid w:val="0"/>
              <w:jc w:val="both"/>
              <w:rPr>
                <w:lang w:eastAsia="zh-CN"/>
              </w:rPr>
            </w:pPr>
            <w:r>
              <w:rPr>
                <w:lang w:eastAsia="zh-CN"/>
              </w:rPr>
              <w:t>1.是否存在具有临床获益的证据？</w:t>
            </w:r>
          </w:p>
        </w:tc>
        <w:tc>
          <w:tcPr>
            <w:tcW w:w="6312" w:type="dxa"/>
            <w:gridSpan w:val="2"/>
            <w:shd w:val="clear" w:color="auto" w:fill="FFFFFF"/>
            <w:vAlign w:val="center"/>
          </w:tcPr>
          <w:p w14:paraId="6AE1A1C0">
            <w:pPr>
              <w:snapToGrid w:val="0"/>
              <w:jc w:val="both"/>
              <w:rPr>
                <w:lang w:eastAsia="zh-CN"/>
              </w:rPr>
            </w:pPr>
            <w:r>
              <w:rPr>
                <w:lang w:eastAsia="zh-CN"/>
              </w:rPr>
              <w:sym w:font="Wingdings 2" w:char="F054"/>
            </w:r>
            <w:r>
              <w:rPr>
                <w:lang w:eastAsia="zh-CN"/>
              </w:rPr>
              <w:t xml:space="preserve"> 是 </w:t>
            </w:r>
            <w:r>
              <w:rPr>
                <w:lang w:eastAsia="zh-CN"/>
              </w:rPr>
              <w:sym w:font="Wingdings" w:char="F0E8"/>
            </w:r>
            <w:r>
              <w:rPr>
                <w:lang w:eastAsia="zh-CN"/>
              </w:rPr>
              <w:t xml:space="preserve"> Q2</w:t>
            </w:r>
          </w:p>
          <w:p w14:paraId="6AE1A1C1">
            <w:pPr>
              <w:snapToGrid w:val="0"/>
              <w:jc w:val="both"/>
              <w:rPr>
                <w:lang w:eastAsia="zh-CN"/>
              </w:rPr>
            </w:pPr>
            <w:r>
              <w:rPr>
                <w:lang w:eastAsia="zh-CN"/>
              </w:rPr>
              <w:t xml:space="preserve">□ 否 </w:t>
            </w:r>
            <w:r>
              <w:rPr>
                <w:lang w:eastAsia="zh-CN"/>
              </w:rPr>
              <w:sym w:font="Wingdings" w:char="F0E8"/>
            </w:r>
            <w:r>
              <w:rPr>
                <w:lang w:eastAsia="zh-CN"/>
              </w:rPr>
              <w:t xml:space="preserve"> 未批准/授予拟定适应症；继续Q9</w:t>
            </w:r>
          </w:p>
        </w:tc>
      </w:tr>
      <w:tr w14:paraId="6AE1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trPr>
        <w:tc>
          <w:tcPr>
            <w:tcW w:w="3941" w:type="dxa"/>
            <w:tcBorders>
              <w:bottom w:val="single" w:color="auto" w:sz="4" w:space="0"/>
            </w:tcBorders>
            <w:shd w:val="clear" w:color="auto" w:fill="FFFFFF"/>
            <w:vAlign w:val="center"/>
          </w:tcPr>
          <w:p w14:paraId="6AE1A1C3">
            <w:pPr>
              <w:snapToGrid w:val="0"/>
              <w:jc w:val="both"/>
              <w:rPr>
                <w:lang w:eastAsia="zh-CN"/>
              </w:rPr>
            </w:pPr>
            <w:r>
              <w:rPr>
                <w:lang w:eastAsia="zh-CN"/>
              </w:rPr>
              <w:t>2.获益的不确定性如何？</w:t>
            </w:r>
          </w:p>
        </w:tc>
        <w:tc>
          <w:tcPr>
            <w:tcW w:w="6312" w:type="dxa"/>
            <w:gridSpan w:val="2"/>
            <w:tcBorders>
              <w:bottom w:val="single" w:color="auto" w:sz="4" w:space="0"/>
            </w:tcBorders>
            <w:shd w:val="clear" w:color="auto" w:fill="FFFFFF"/>
            <w:vAlign w:val="center"/>
          </w:tcPr>
          <w:p w14:paraId="6AE1A1C4">
            <w:pPr>
              <w:snapToGrid w:val="0"/>
              <w:jc w:val="both"/>
              <w:rPr>
                <w:lang w:eastAsia="zh-CN"/>
              </w:rPr>
            </w:pPr>
            <w:r>
              <w:rPr>
                <w:lang w:eastAsia="zh-CN"/>
              </w:rPr>
              <w:t>□ 高 □ 中</w:t>
            </w:r>
            <w:r>
              <w:rPr>
                <w:lang w:eastAsia="zh-CN"/>
              </w:rPr>
              <w:sym w:font="Wingdings 2" w:char="F054"/>
            </w:r>
            <w:r>
              <w:rPr>
                <w:lang w:eastAsia="zh-CN"/>
              </w:rPr>
              <w:t xml:space="preserve"> 低</w:t>
            </w:r>
          </w:p>
          <w:p w14:paraId="6AE1A1C5">
            <w:pPr>
              <w:snapToGrid w:val="0"/>
              <w:jc w:val="both"/>
              <w:rPr>
                <w:lang w:eastAsia="zh-CN"/>
              </w:rPr>
            </w:pPr>
            <w:r>
              <w:rPr>
                <w:lang w:eastAsia="zh-CN"/>
              </w:rPr>
              <w:t>继续问题3</w:t>
            </w:r>
          </w:p>
        </w:tc>
      </w:tr>
      <w:tr w14:paraId="6AE1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3" w:hRule="atLeast"/>
        </w:trPr>
        <w:tc>
          <w:tcPr>
            <w:tcW w:w="3941" w:type="dxa"/>
            <w:vMerge w:val="restart"/>
            <w:shd w:val="clear" w:color="auto" w:fill="F2DBDB" w:themeFill="accent2" w:themeFillTint="33"/>
            <w:vAlign w:val="center"/>
          </w:tcPr>
          <w:p w14:paraId="6AE1A1C7">
            <w:pPr>
              <w:snapToGrid w:val="0"/>
              <w:jc w:val="both"/>
            </w:pPr>
            <w:r>
              <w:rPr>
                <w:b/>
                <w:bCs/>
                <w:sz w:val="24"/>
                <w:szCs w:val="24"/>
                <w:lang w:eastAsia="zh-CN"/>
              </w:rPr>
              <w:t>风险评估</w:t>
            </w:r>
          </w:p>
        </w:tc>
        <w:tc>
          <w:tcPr>
            <w:tcW w:w="6312" w:type="dxa"/>
            <w:gridSpan w:val="2"/>
            <w:tcBorders>
              <w:bottom w:val="nil"/>
            </w:tcBorders>
            <w:shd w:val="clear" w:color="auto" w:fill="F2DBDB" w:themeFill="accent2" w:themeFillTint="33"/>
            <w:vAlign w:val="center"/>
          </w:tcPr>
          <w:p w14:paraId="6AE1A1C8">
            <w:pPr>
              <w:snapToGrid w:val="0"/>
              <w:jc w:val="both"/>
              <w:rPr>
                <w:lang w:eastAsia="zh-CN"/>
              </w:rPr>
            </w:pPr>
            <w:r>
              <w:rPr>
                <w:lang w:eastAsia="zh-CN"/>
              </w:rPr>
              <w:t>从以下方面考虑获益：</w:t>
            </w:r>
          </w:p>
        </w:tc>
      </w:tr>
      <w:tr w14:paraId="6AE1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0" w:hRule="atLeast"/>
        </w:trPr>
        <w:tc>
          <w:tcPr>
            <w:tcW w:w="3941" w:type="dxa"/>
            <w:vMerge w:val="continue"/>
            <w:shd w:val="clear" w:color="auto" w:fill="F2DBDB" w:themeFill="accent2" w:themeFillTint="33"/>
            <w:vAlign w:val="center"/>
          </w:tcPr>
          <w:p w14:paraId="6AE1A1CA">
            <w:pPr>
              <w:snapToGrid w:val="0"/>
              <w:jc w:val="both"/>
              <w:rPr>
                <w:lang w:eastAsia="zh-CN"/>
              </w:rPr>
            </w:pPr>
          </w:p>
        </w:tc>
        <w:tc>
          <w:tcPr>
            <w:tcW w:w="2693" w:type="dxa"/>
            <w:tcBorders>
              <w:top w:val="nil"/>
              <w:right w:val="nil"/>
            </w:tcBorders>
            <w:shd w:val="clear" w:color="auto" w:fill="F2DBDB" w:themeFill="accent2" w:themeFillTint="33"/>
          </w:tcPr>
          <w:p w14:paraId="6AE1A1CB">
            <w:pPr>
              <w:tabs>
                <w:tab w:val="left" w:pos="365"/>
              </w:tabs>
              <w:snapToGrid w:val="0"/>
              <w:ind w:left="420" w:hanging="420" w:hangingChars="200"/>
              <w:jc w:val="both"/>
              <w:rPr>
                <w:lang w:eastAsia="zh-CN"/>
              </w:rPr>
            </w:pPr>
            <w:r>
              <w:rPr>
                <w:lang w:eastAsia="zh-CN"/>
              </w:rPr>
              <w:t>•</w:t>
            </w:r>
            <w:r>
              <w:rPr>
                <w:lang w:eastAsia="zh-CN"/>
              </w:rPr>
              <w:tab/>
            </w:r>
            <w:r>
              <w:rPr>
                <w:lang w:eastAsia="zh-CN"/>
              </w:rPr>
              <w:t>有害事件的严重程度、类型、数量和比率</w:t>
            </w:r>
          </w:p>
          <w:p w14:paraId="6AE1A1CC">
            <w:pPr>
              <w:tabs>
                <w:tab w:val="left" w:pos="355"/>
              </w:tabs>
              <w:snapToGrid w:val="0"/>
              <w:ind w:left="420" w:hanging="420" w:hangingChars="200"/>
              <w:jc w:val="both"/>
              <w:rPr>
                <w:lang w:eastAsia="zh-CN"/>
              </w:rPr>
            </w:pPr>
            <w:r>
              <w:rPr>
                <w:lang w:eastAsia="zh-CN"/>
              </w:rPr>
              <w:t>•</w:t>
            </w:r>
            <w:r>
              <w:rPr>
                <w:lang w:eastAsia="zh-CN"/>
              </w:rPr>
              <w:tab/>
            </w:r>
            <w:r>
              <w:rPr>
                <w:lang w:eastAsia="zh-CN"/>
              </w:rPr>
              <w:t>有害事件的概率</w:t>
            </w:r>
          </w:p>
          <w:p w14:paraId="6AE1A1CD">
            <w:pPr>
              <w:tabs>
                <w:tab w:val="left" w:pos="355"/>
              </w:tabs>
              <w:snapToGrid w:val="0"/>
              <w:ind w:left="420" w:hanging="420" w:hangingChars="200"/>
              <w:jc w:val="both"/>
              <w:rPr>
                <w:lang w:eastAsia="zh-CN"/>
              </w:rPr>
            </w:pPr>
            <w:r>
              <w:rPr>
                <w:lang w:eastAsia="zh-CN"/>
              </w:rPr>
              <w:t>•</w:t>
            </w:r>
            <w:r>
              <w:rPr>
                <w:lang w:eastAsia="zh-CN"/>
              </w:rPr>
              <w:tab/>
            </w:r>
            <w:r>
              <w:rPr>
                <w:lang w:eastAsia="zh-CN"/>
              </w:rPr>
              <w:t>有害事件的持续时间</w:t>
            </w:r>
          </w:p>
        </w:tc>
        <w:tc>
          <w:tcPr>
            <w:tcW w:w="3619" w:type="dxa"/>
            <w:tcBorders>
              <w:top w:val="nil"/>
              <w:left w:val="nil"/>
            </w:tcBorders>
            <w:shd w:val="clear" w:color="auto" w:fill="F2DBDB" w:themeFill="accent2" w:themeFillTint="33"/>
          </w:tcPr>
          <w:p w14:paraId="6AE1A1CE">
            <w:pPr>
              <w:tabs>
                <w:tab w:val="left" w:pos="360"/>
              </w:tabs>
              <w:snapToGrid w:val="0"/>
              <w:ind w:left="420" w:hanging="420" w:hangingChars="200"/>
              <w:jc w:val="both"/>
              <w:rPr>
                <w:lang w:eastAsia="zh-CN"/>
              </w:rPr>
            </w:pPr>
            <w:r>
              <w:rPr>
                <w:lang w:eastAsia="zh-CN"/>
              </w:rPr>
              <w:t>•</w:t>
            </w:r>
            <w:r>
              <w:rPr>
                <w:lang w:eastAsia="zh-CN"/>
              </w:rPr>
              <w:tab/>
            </w:r>
            <w:r>
              <w:rPr>
                <w:lang w:eastAsia="zh-CN"/>
              </w:rPr>
              <w:t>假阳性或假阴性结果的风险</w:t>
            </w:r>
          </w:p>
          <w:p w14:paraId="6AE1A1CF">
            <w:pPr>
              <w:tabs>
                <w:tab w:val="left" w:pos="360"/>
              </w:tabs>
              <w:snapToGrid w:val="0"/>
              <w:ind w:left="420" w:hanging="420" w:hangingChars="200"/>
              <w:jc w:val="both"/>
              <w:rPr>
                <w:lang w:eastAsia="zh-CN"/>
              </w:rPr>
            </w:pPr>
            <w:r>
              <w:rPr>
                <w:lang w:eastAsia="zh-CN"/>
              </w:rPr>
              <w:t>•</w:t>
            </w:r>
            <w:r>
              <w:rPr>
                <w:lang w:eastAsia="zh-CN"/>
              </w:rPr>
              <w:tab/>
            </w:r>
            <w:r>
              <w:rPr>
                <w:lang w:eastAsia="zh-CN"/>
              </w:rPr>
              <w:t>患者观点（或如适用，健康伴侣和/或医疗保健专业人员观点）</w:t>
            </w:r>
          </w:p>
        </w:tc>
      </w:tr>
      <w:tr w14:paraId="6AE1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0" w:hRule="atLeast"/>
        </w:trPr>
        <w:tc>
          <w:tcPr>
            <w:tcW w:w="3941" w:type="dxa"/>
            <w:shd w:val="clear" w:color="auto" w:fill="FFFFFF"/>
            <w:vAlign w:val="center"/>
          </w:tcPr>
          <w:p w14:paraId="6AE1A1D1">
            <w:pPr>
              <w:snapToGrid w:val="0"/>
              <w:jc w:val="both"/>
              <w:rPr>
                <w:lang w:eastAsia="zh-CN"/>
              </w:rPr>
            </w:pPr>
            <w:r>
              <w:rPr>
                <w:lang w:eastAsia="zh-CN"/>
              </w:rPr>
              <w:t>3.已知/可能的风险是否超过最小值？</w:t>
            </w:r>
          </w:p>
        </w:tc>
        <w:tc>
          <w:tcPr>
            <w:tcW w:w="6312" w:type="dxa"/>
            <w:gridSpan w:val="2"/>
            <w:shd w:val="clear" w:color="auto" w:fill="FFFFFF"/>
            <w:vAlign w:val="center"/>
          </w:tcPr>
          <w:p w14:paraId="6AE1A1D2">
            <w:pPr>
              <w:snapToGrid w:val="0"/>
              <w:jc w:val="both"/>
            </w:pPr>
            <w:r>
              <w:rPr>
                <w:lang w:eastAsia="zh-CN"/>
              </w:rPr>
              <w:sym w:font="Wingdings 2" w:char="F054"/>
            </w:r>
            <w:r>
              <w:rPr>
                <w:lang w:eastAsia="zh-CN"/>
              </w:rPr>
              <w:t xml:space="preserve"> 是 </w:t>
            </w:r>
            <w:r>
              <w:rPr>
                <w:lang w:eastAsia="zh-CN"/>
              </w:rPr>
              <w:sym w:font="Wingdings" w:char="F0E8"/>
            </w:r>
            <w:r>
              <w:rPr>
                <w:lang w:eastAsia="zh-CN"/>
              </w:rPr>
              <w:t xml:space="preserve"> Q4</w:t>
            </w:r>
          </w:p>
          <w:p w14:paraId="6AE1A1D3">
            <w:pPr>
              <w:snapToGrid w:val="0"/>
              <w:jc w:val="both"/>
            </w:pPr>
            <w:r>
              <w:rPr>
                <w:lang w:eastAsia="zh-CN"/>
              </w:rPr>
              <w:t xml:space="preserve">□ 否 </w:t>
            </w:r>
            <w:r>
              <w:rPr>
                <w:lang w:eastAsia="zh-CN"/>
              </w:rPr>
              <w:sym w:font="Wingdings" w:char="F0E8"/>
            </w:r>
            <w:r>
              <w:rPr>
                <w:lang w:eastAsia="zh-CN"/>
              </w:rPr>
              <w:t xml:space="preserve"> Q4</w:t>
            </w:r>
          </w:p>
        </w:tc>
      </w:tr>
      <w:tr w14:paraId="6AE1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trPr>
        <w:tc>
          <w:tcPr>
            <w:tcW w:w="3941" w:type="dxa"/>
            <w:tcBorders>
              <w:bottom w:val="single" w:color="auto" w:sz="4" w:space="0"/>
            </w:tcBorders>
            <w:shd w:val="clear" w:color="auto" w:fill="FFFFFF"/>
            <w:vAlign w:val="center"/>
          </w:tcPr>
          <w:p w14:paraId="6AE1A1D5">
            <w:pPr>
              <w:snapToGrid w:val="0"/>
              <w:jc w:val="both"/>
              <w:rPr>
                <w:lang w:eastAsia="zh-CN"/>
              </w:rPr>
            </w:pPr>
            <w:r>
              <w:rPr>
                <w:lang w:eastAsia="zh-CN"/>
              </w:rPr>
              <w:t>4.风险的不确定性如何？</w:t>
            </w:r>
          </w:p>
        </w:tc>
        <w:tc>
          <w:tcPr>
            <w:tcW w:w="6312" w:type="dxa"/>
            <w:gridSpan w:val="2"/>
            <w:tcBorders>
              <w:bottom w:val="single" w:color="auto" w:sz="4" w:space="0"/>
            </w:tcBorders>
            <w:shd w:val="clear" w:color="auto" w:fill="FFFFFF"/>
            <w:vAlign w:val="center"/>
          </w:tcPr>
          <w:p w14:paraId="6AE1A1D6">
            <w:pPr>
              <w:snapToGrid w:val="0"/>
              <w:jc w:val="both"/>
              <w:rPr>
                <w:lang w:eastAsia="zh-CN"/>
              </w:rPr>
            </w:pPr>
            <w:r>
              <w:rPr>
                <w:lang w:eastAsia="zh-CN"/>
              </w:rPr>
              <w:t>□ 高 □ 中</w:t>
            </w:r>
            <w:r>
              <w:rPr>
                <w:rFonts w:hint="eastAsia"/>
                <w:lang w:eastAsia="zh-CN"/>
              </w:rPr>
              <w:t xml:space="preserve"> </w:t>
            </w:r>
            <w:r>
              <w:rPr>
                <w:lang w:eastAsia="zh-CN"/>
              </w:rPr>
              <w:sym w:font="Wingdings 2" w:char="F054"/>
            </w:r>
            <w:r>
              <w:rPr>
                <w:lang w:eastAsia="zh-CN"/>
              </w:rPr>
              <w:t xml:space="preserve"> 低</w:t>
            </w:r>
          </w:p>
          <w:p w14:paraId="6AE1A1D7">
            <w:pPr>
              <w:snapToGrid w:val="0"/>
              <w:jc w:val="both"/>
              <w:rPr>
                <w:lang w:eastAsia="zh-CN"/>
              </w:rPr>
            </w:pPr>
            <w:r>
              <w:rPr>
                <w:lang w:eastAsia="zh-CN"/>
              </w:rPr>
              <w:t>继续问题5</w:t>
            </w:r>
          </w:p>
        </w:tc>
      </w:tr>
      <w:tr w14:paraId="6AE1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9" w:hRule="atLeast"/>
        </w:trPr>
        <w:tc>
          <w:tcPr>
            <w:tcW w:w="10253" w:type="dxa"/>
            <w:gridSpan w:val="3"/>
            <w:shd w:val="clear" w:color="auto" w:fill="F2F2F2"/>
            <w:vAlign w:val="center"/>
          </w:tcPr>
          <w:p w14:paraId="6AE1A1D9">
            <w:pPr>
              <w:snapToGrid w:val="0"/>
              <w:jc w:val="both"/>
            </w:pPr>
            <w:r>
              <w:rPr>
                <w:b/>
                <w:bCs/>
                <w:sz w:val="24"/>
                <w:szCs w:val="24"/>
                <w:lang w:eastAsia="zh-CN"/>
              </w:rPr>
              <w:t>获益-风险评估</w:t>
            </w:r>
          </w:p>
        </w:tc>
      </w:tr>
      <w:tr w14:paraId="6AE1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0" w:hRule="atLeast"/>
        </w:trPr>
        <w:tc>
          <w:tcPr>
            <w:tcW w:w="3941" w:type="dxa"/>
            <w:shd w:val="clear" w:color="auto" w:fill="FFFFFF"/>
            <w:vAlign w:val="center"/>
          </w:tcPr>
          <w:p w14:paraId="6AE1A1DB">
            <w:pPr>
              <w:snapToGrid w:val="0"/>
              <w:jc w:val="both"/>
            </w:pPr>
            <w:r>
              <w:rPr>
                <w:lang w:eastAsia="zh-CN"/>
              </w:rPr>
              <w:t>5.获益是否超过风险？</w:t>
            </w:r>
          </w:p>
        </w:tc>
        <w:tc>
          <w:tcPr>
            <w:tcW w:w="6312" w:type="dxa"/>
            <w:gridSpan w:val="2"/>
            <w:shd w:val="clear" w:color="auto" w:fill="FFFFFF"/>
            <w:vAlign w:val="center"/>
          </w:tcPr>
          <w:p w14:paraId="6AE1A1DC">
            <w:pPr>
              <w:snapToGrid w:val="0"/>
              <w:jc w:val="both"/>
              <w:rPr>
                <w:lang w:eastAsia="zh-CN"/>
              </w:rPr>
            </w:pPr>
            <w:r>
              <w:rPr>
                <w:lang w:eastAsia="zh-CN"/>
              </w:rPr>
              <w:sym w:font="Wingdings 2" w:char="F054"/>
            </w:r>
            <w:r>
              <w:rPr>
                <w:lang w:eastAsia="zh-CN"/>
              </w:rPr>
              <w:t xml:space="preserve"> 是 </w:t>
            </w:r>
            <w:r>
              <w:rPr>
                <w:lang w:eastAsia="zh-CN"/>
              </w:rPr>
              <w:sym w:font="Wingdings" w:char="F0E8"/>
            </w:r>
            <w:r>
              <w:rPr>
                <w:lang w:eastAsia="zh-CN"/>
              </w:rPr>
              <w:t>填写工作表</w:t>
            </w:r>
          </w:p>
          <w:p w14:paraId="6AE1A1DD">
            <w:pPr>
              <w:snapToGrid w:val="0"/>
              <w:jc w:val="both"/>
              <w:rPr>
                <w:lang w:eastAsia="zh-CN"/>
              </w:rPr>
            </w:pPr>
            <w:r>
              <w:rPr>
                <w:lang w:eastAsia="zh-CN"/>
              </w:rPr>
              <w:t>□ 无法得出获益超过风险的结论</w:t>
            </w:r>
            <w:r>
              <w:rPr>
                <w:lang w:eastAsia="zh-CN"/>
              </w:rPr>
              <w:sym w:font="Wingdings" w:char="F0E8"/>
            </w:r>
            <w:r>
              <w:rPr>
                <w:lang w:eastAsia="zh-CN"/>
              </w:rPr>
              <w:t xml:space="preserve"> Q6</w:t>
            </w:r>
          </w:p>
        </w:tc>
      </w:tr>
      <w:tr w14:paraId="6AE1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3" w:hRule="atLeast"/>
        </w:trPr>
        <w:tc>
          <w:tcPr>
            <w:tcW w:w="3941" w:type="dxa"/>
            <w:shd w:val="clear" w:color="auto" w:fill="FFFFFF"/>
            <w:vAlign w:val="center"/>
          </w:tcPr>
          <w:p w14:paraId="6AE1A1DF">
            <w:pPr>
              <w:snapToGrid w:val="0"/>
              <w:jc w:val="both"/>
              <w:rPr>
                <w:lang w:eastAsia="zh-CN"/>
              </w:rPr>
            </w:pPr>
            <w:r>
              <w:rPr>
                <w:lang w:eastAsia="zh-CN"/>
              </w:rPr>
              <w:t>6.当考虑其他考虑因素时，获益是否超过风险？</w:t>
            </w:r>
          </w:p>
        </w:tc>
        <w:tc>
          <w:tcPr>
            <w:tcW w:w="6312" w:type="dxa"/>
            <w:gridSpan w:val="2"/>
            <w:shd w:val="clear" w:color="auto" w:fill="FFFFFF"/>
            <w:vAlign w:val="center"/>
          </w:tcPr>
          <w:p w14:paraId="6AE1A1E0">
            <w:pPr>
              <w:tabs>
                <w:tab w:val="left" w:pos="221"/>
              </w:tabs>
              <w:snapToGrid w:val="0"/>
              <w:jc w:val="both"/>
              <w:rPr>
                <w:lang w:eastAsia="zh-CN"/>
              </w:rPr>
            </w:pPr>
            <w:r>
              <w:rPr>
                <w:lang w:eastAsia="zh-CN"/>
              </w:rPr>
              <w:t xml:space="preserve">□ 是 </w:t>
            </w:r>
            <w:r>
              <w:rPr>
                <w:lang w:eastAsia="zh-CN"/>
              </w:rPr>
              <w:sym w:font="Wingdings" w:char="F0E8"/>
            </w:r>
            <w:r>
              <w:rPr>
                <w:lang w:eastAsia="zh-CN"/>
              </w:rPr>
              <w:t xml:space="preserve"> 填写工作表</w:t>
            </w:r>
          </w:p>
          <w:p w14:paraId="6AE1A1E1">
            <w:pPr>
              <w:tabs>
                <w:tab w:val="left" w:pos="230"/>
              </w:tabs>
              <w:snapToGrid w:val="0"/>
              <w:jc w:val="both"/>
              <w:rPr>
                <w:lang w:eastAsia="zh-CN"/>
              </w:rPr>
            </w:pPr>
            <w:r>
              <w:rPr>
                <w:lang w:eastAsia="zh-CN"/>
              </w:rPr>
              <w:t>□ 无法得出获益超过风险的结论</w:t>
            </w:r>
            <w:r>
              <w:rPr>
                <w:lang w:eastAsia="zh-CN"/>
              </w:rPr>
              <w:sym w:font="Wingdings" w:char="F0E8"/>
            </w:r>
            <w:r>
              <w:rPr>
                <w:lang w:eastAsia="zh-CN"/>
              </w:rPr>
              <w:t xml:space="preserve"> Q7</w:t>
            </w:r>
          </w:p>
        </w:tc>
      </w:tr>
      <w:tr w14:paraId="6AE1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atLeast"/>
        </w:trPr>
        <w:tc>
          <w:tcPr>
            <w:tcW w:w="3941" w:type="dxa"/>
            <w:shd w:val="clear" w:color="auto" w:fill="FFFFFF"/>
            <w:vAlign w:val="center"/>
          </w:tcPr>
          <w:p w14:paraId="6AE1A1E3">
            <w:pPr>
              <w:snapToGrid w:val="0"/>
              <w:jc w:val="both"/>
              <w:rPr>
                <w:lang w:eastAsia="zh-CN"/>
              </w:rPr>
            </w:pPr>
            <w:r>
              <w:rPr>
                <w:lang w:eastAsia="zh-CN"/>
              </w:rPr>
              <w:t>7.是否可以缓解风险以使获益超过风险？</w:t>
            </w:r>
          </w:p>
        </w:tc>
        <w:tc>
          <w:tcPr>
            <w:tcW w:w="6312" w:type="dxa"/>
            <w:gridSpan w:val="2"/>
            <w:shd w:val="clear" w:color="auto" w:fill="FFFFFF"/>
            <w:vAlign w:val="center"/>
          </w:tcPr>
          <w:p w14:paraId="6AE1A1E4">
            <w:pPr>
              <w:tabs>
                <w:tab w:val="left" w:pos="221"/>
              </w:tabs>
              <w:snapToGrid w:val="0"/>
              <w:jc w:val="both"/>
              <w:rPr>
                <w:lang w:eastAsia="zh-CN"/>
              </w:rPr>
            </w:pPr>
            <w:r>
              <w:rPr>
                <w:lang w:eastAsia="zh-CN"/>
              </w:rPr>
              <w:t xml:space="preserve">□ 是 </w:t>
            </w:r>
            <w:r>
              <w:rPr>
                <w:lang w:eastAsia="zh-CN"/>
              </w:rPr>
              <w:sym w:font="Wingdings" w:char="F0E8"/>
            </w:r>
            <w:r>
              <w:rPr>
                <w:lang w:eastAsia="zh-CN"/>
              </w:rPr>
              <w:t xml:space="preserve"> 填写工作表</w:t>
            </w:r>
          </w:p>
          <w:p w14:paraId="6AE1A1E5">
            <w:pPr>
              <w:tabs>
                <w:tab w:val="left" w:pos="230"/>
              </w:tabs>
              <w:snapToGrid w:val="0"/>
              <w:jc w:val="both"/>
              <w:rPr>
                <w:lang w:eastAsia="zh-CN"/>
              </w:rPr>
            </w:pPr>
            <w:r>
              <w:rPr>
                <w:lang w:eastAsia="zh-CN"/>
              </w:rPr>
              <w:t>□ 无法得出获益超过风险的结论</w:t>
            </w:r>
            <w:r>
              <w:rPr>
                <w:lang w:eastAsia="zh-CN"/>
              </w:rPr>
              <w:sym w:font="Wingdings" w:char="F0E8"/>
            </w:r>
            <w:r>
              <w:rPr>
                <w:lang w:eastAsia="zh-CN"/>
              </w:rPr>
              <w:t xml:space="preserve"> Q8</w:t>
            </w:r>
          </w:p>
        </w:tc>
      </w:tr>
      <w:tr w14:paraId="6AE1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8" w:hRule="atLeast"/>
        </w:trPr>
        <w:tc>
          <w:tcPr>
            <w:tcW w:w="3941" w:type="dxa"/>
            <w:shd w:val="clear" w:color="auto" w:fill="FFFFFF"/>
            <w:vAlign w:val="center"/>
          </w:tcPr>
          <w:p w14:paraId="6AE1A1E7">
            <w:pPr>
              <w:snapToGrid w:val="0"/>
              <w:jc w:val="both"/>
              <w:rPr>
                <w:lang w:eastAsia="zh-CN"/>
              </w:rPr>
            </w:pPr>
            <w:r>
              <w:rPr>
                <w:lang w:eastAsia="zh-CN"/>
              </w:rPr>
              <w:t>8.考虑到采取上市后措施，获益是否超过风险？</w:t>
            </w:r>
          </w:p>
        </w:tc>
        <w:tc>
          <w:tcPr>
            <w:tcW w:w="6312" w:type="dxa"/>
            <w:gridSpan w:val="2"/>
            <w:shd w:val="clear" w:color="auto" w:fill="FFFFFF"/>
            <w:vAlign w:val="center"/>
          </w:tcPr>
          <w:p w14:paraId="6AE1A1E8">
            <w:pPr>
              <w:tabs>
                <w:tab w:val="left" w:pos="221"/>
              </w:tabs>
              <w:snapToGrid w:val="0"/>
              <w:jc w:val="both"/>
              <w:rPr>
                <w:lang w:eastAsia="zh-CN"/>
              </w:rPr>
            </w:pPr>
            <w:r>
              <w:rPr>
                <w:lang w:eastAsia="zh-CN"/>
              </w:rPr>
              <w:t xml:space="preserve">□ 是 </w:t>
            </w:r>
            <w:r>
              <w:rPr>
                <w:lang w:eastAsia="zh-CN"/>
              </w:rPr>
              <w:sym w:font="Wingdings" w:char="F0E8"/>
            </w:r>
            <w:r>
              <w:rPr>
                <w:lang w:eastAsia="zh-CN"/>
              </w:rPr>
              <w:t xml:space="preserve"> 填写工作表</w:t>
            </w:r>
          </w:p>
          <w:p w14:paraId="6AE1A1E9">
            <w:pPr>
              <w:tabs>
                <w:tab w:val="left" w:pos="230"/>
              </w:tabs>
              <w:snapToGrid w:val="0"/>
              <w:jc w:val="both"/>
              <w:rPr>
                <w:lang w:eastAsia="zh-CN"/>
              </w:rPr>
            </w:pPr>
            <w:r>
              <w:rPr>
                <w:lang w:eastAsia="zh-CN"/>
              </w:rPr>
              <w:t>□ 无法得出获益超过风险的结论</w:t>
            </w:r>
            <w:r>
              <w:rPr>
                <w:lang w:eastAsia="zh-CN"/>
              </w:rPr>
              <w:sym w:font="Wingdings" w:char="F0E8"/>
            </w:r>
            <w:r>
              <w:rPr>
                <w:lang w:eastAsia="zh-CN"/>
              </w:rPr>
              <w:t xml:space="preserve"> Q9</w:t>
            </w:r>
          </w:p>
        </w:tc>
      </w:tr>
      <w:tr w14:paraId="6AE1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9" w:hRule="atLeast"/>
        </w:trPr>
        <w:tc>
          <w:tcPr>
            <w:tcW w:w="3941" w:type="dxa"/>
            <w:shd w:val="clear" w:color="auto" w:fill="FFFFFF"/>
            <w:vAlign w:val="center"/>
          </w:tcPr>
          <w:p w14:paraId="6AE1A1EB">
            <w:pPr>
              <w:snapToGrid w:val="0"/>
              <w:jc w:val="both"/>
              <w:rPr>
                <w:lang w:eastAsia="zh-CN"/>
              </w:rPr>
            </w:pPr>
            <w:r>
              <w:rPr>
                <w:lang w:eastAsia="zh-CN"/>
              </w:rPr>
              <w:t>9.修改后的适应症是否具有临床获益？</w:t>
            </w:r>
          </w:p>
        </w:tc>
        <w:tc>
          <w:tcPr>
            <w:tcW w:w="6312" w:type="dxa"/>
            <w:gridSpan w:val="2"/>
            <w:shd w:val="clear" w:color="auto" w:fill="FFFFFF"/>
            <w:vAlign w:val="center"/>
          </w:tcPr>
          <w:p w14:paraId="6AE1A1EC">
            <w:pPr>
              <w:tabs>
                <w:tab w:val="left" w:pos="221"/>
              </w:tabs>
              <w:snapToGrid w:val="0"/>
              <w:jc w:val="both"/>
              <w:rPr>
                <w:lang w:eastAsia="zh-CN"/>
              </w:rPr>
            </w:pPr>
            <w:r>
              <w:rPr>
                <w:lang w:eastAsia="zh-CN"/>
              </w:rPr>
              <w:t xml:space="preserve">□ 是 </w:t>
            </w:r>
            <w:r>
              <w:rPr>
                <w:lang w:eastAsia="zh-CN"/>
              </w:rPr>
              <w:sym w:font="Wingdings" w:char="F0E8"/>
            </w:r>
            <w:r>
              <w:rPr>
                <w:lang w:eastAsia="zh-CN"/>
              </w:rPr>
              <w:t>返回Q1并继续修改后的适应症</w:t>
            </w:r>
          </w:p>
          <w:p w14:paraId="6AE1A1ED">
            <w:pPr>
              <w:tabs>
                <w:tab w:val="left" w:pos="221"/>
              </w:tabs>
              <w:snapToGrid w:val="0"/>
              <w:jc w:val="both"/>
            </w:pPr>
            <w:r>
              <w:rPr>
                <w:lang w:eastAsia="zh-CN"/>
              </w:rPr>
              <w:t xml:space="preserve">□ 否 </w:t>
            </w:r>
            <w:r>
              <w:rPr>
                <w:lang w:eastAsia="zh-CN"/>
              </w:rPr>
              <w:sym w:font="Wingdings" w:char="F0E8"/>
            </w:r>
            <w:r>
              <w:rPr>
                <w:lang w:eastAsia="zh-CN"/>
              </w:rPr>
              <w:t xml:space="preserve"> 未批准/授予</w:t>
            </w:r>
          </w:p>
        </w:tc>
      </w:tr>
    </w:tbl>
    <w:p w14:paraId="6AE1A1EF">
      <w:pPr>
        <w:snapToGrid w:val="0"/>
        <w:spacing w:before="120" w:beforeLines="50"/>
        <w:jc w:val="both"/>
      </w:pPr>
    </w:p>
    <w:p w14:paraId="0438CB52">
      <w:pPr>
        <w:pBdr>
          <w:bottom w:val="single" w:color="auto" w:sz="4" w:space="1"/>
        </w:pBdr>
        <w:snapToGrid w:val="0"/>
        <w:spacing w:before="120" w:beforeLines="50"/>
        <w:jc w:val="center"/>
        <w:rPr>
          <w:ins w:id="0" w:author="太极箫客" w:date="2025-08-14T15:11:37Z"/>
          <w:rFonts w:hint="eastAsia" w:eastAsia="宋体"/>
          <w:lang w:eastAsia="zh-CN"/>
        </w:rPr>
      </w:pPr>
    </w:p>
    <w:p w14:paraId="44E7C3DA">
      <w:pPr>
        <w:pBdr>
          <w:bottom w:val="single" w:color="auto" w:sz="4" w:space="1"/>
        </w:pBdr>
        <w:snapToGrid w:val="0"/>
        <w:spacing w:before="120" w:beforeLines="50"/>
        <w:jc w:val="center"/>
        <w:rPr>
          <w:ins w:id="1" w:author="太极箫客" w:date="2025-08-14T15:11:38Z"/>
          <w:rFonts w:hint="eastAsia" w:eastAsia="宋体"/>
          <w:lang w:eastAsia="zh-CN"/>
        </w:rPr>
      </w:pPr>
    </w:p>
    <w:p w14:paraId="2F19EB92">
      <w:pPr>
        <w:pBdr>
          <w:bottom w:val="single" w:color="auto" w:sz="4" w:space="1"/>
        </w:pBdr>
        <w:snapToGrid w:val="0"/>
        <w:spacing w:before="120" w:beforeLines="50"/>
        <w:jc w:val="center"/>
        <w:rPr>
          <w:ins w:id="2" w:author="太极箫客" w:date="2025-08-14T15:11:37Z"/>
          <w:rFonts w:hint="eastAsia" w:eastAsia="宋体"/>
          <w:lang w:eastAsia="zh-CN"/>
        </w:rPr>
      </w:pPr>
      <w:ins w:id="3" w:author="太极箫客" w:date="2025-08-14T15:11:37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ins>
    </w:p>
    <w:sectPr>
      <w:headerReference r:id="rId3" w:type="default"/>
      <w:footerReference r:id="rId4" w:type="default"/>
      <w:type w:val="continuous"/>
      <w:pgSz w:w="11907" w:h="16840"/>
      <w:pgMar w:top="1418" w:right="1418" w:bottom="1418" w:left="1418" w:header="720" w:footer="720" w:gutter="0"/>
      <w:pgNumType w:start="2"/>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1A1F7">
    <w:pPr>
      <w:pStyle w:val="4"/>
      <w:jc w:val="center"/>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2</w:t>
    </w:r>
    <w:r>
      <w:rPr>
        <w:sz w:val="21"/>
        <w:szCs w:val="21"/>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1A1F6">
    <w:pPr>
      <w:pStyle w:val="5"/>
      <w:pBdr>
        <w:bottom w:val="none" w:color="auto" w:sz="0" w:space="0"/>
      </w:pBdr>
      <w:rPr>
        <w:sz w:val="21"/>
        <w:szCs w:val="21"/>
      </w:rPr>
    </w:pPr>
    <w:r>
      <w:rPr>
        <w:rFonts w:hint="eastAsia"/>
        <w:b/>
        <w:bCs/>
        <w:i/>
        <w:iCs/>
        <w:sz w:val="21"/>
        <w:szCs w:val="21"/>
        <w:lang w:eastAsia="zh-CN"/>
      </w:rPr>
      <w:t>所含建议不具约束力</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trackRevisions w:val="1"/>
  <w:documentProtection w:enforcement="0"/>
  <w:defaultTabStop w:val="420"/>
  <w:drawingGridHorizontalSpacing w:val="181"/>
  <w:drawingGridVerticalSpacing w:val="181"/>
  <w:characterSpacingControl w:val="compressPunctuation"/>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CF"/>
    <w:rsid w:val="000156BE"/>
    <w:rsid w:val="000168E0"/>
    <w:rsid w:val="000263D4"/>
    <w:rsid w:val="000278E7"/>
    <w:rsid w:val="00036014"/>
    <w:rsid w:val="00051E11"/>
    <w:rsid w:val="00054896"/>
    <w:rsid w:val="000579F5"/>
    <w:rsid w:val="0006350C"/>
    <w:rsid w:val="00073C6F"/>
    <w:rsid w:val="000839EA"/>
    <w:rsid w:val="00083B90"/>
    <w:rsid w:val="000B4513"/>
    <w:rsid w:val="000C6D13"/>
    <w:rsid w:val="000D2801"/>
    <w:rsid w:val="000D3592"/>
    <w:rsid w:val="000E6C41"/>
    <w:rsid w:val="000E6E97"/>
    <w:rsid w:val="0011030F"/>
    <w:rsid w:val="00110E0C"/>
    <w:rsid w:val="001216EC"/>
    <w:rsid w:val="00132284"/>
    <w:rsid w:val="001B6FE8"/>
    <w:rsid w:val="001D5B04"/>
    <w:rsid w:val="001E27FC"/>
    <w:rsid w:val="001F15CF"/>
    <w:rsid w:val="001F4A4A"/>
    <w:rsid w:val="00202155"/>
    <w:rsid w:val="002036A2"/>
    <w:rsid w:val="00215620"/>
    <w:rsid w:val="00216B1A"/>
    <w:rsid w:val="0022386B"/>
    <w:rsid w:val="00230949"/>
    <w:rsid w:val="00234B18"/>
    <w:rsid w:val="00243158"/>
    <w:rsid w:val="00244EAC"/>
    <w:rsid w:val="00246903"/>
    <w:rsid w:val="0026340E"/>
    <w:rsid w:val="0027037F"/>
    <w:rsid w:val="00273046"/>
    <w:rsid w:val="00283B97"/>
    <w:rsid w:val="00285578"/>
    <w:rsid w:val="00294DB6"/>
    <w:rsid w:val="002A5856"/>
    <w:rsid w:val="002B703B"/>
    <w:rsid w:val="002D6F04"/>
    <w:rsid w:val="002E19EC"/>
    <w:rsid w:val="002F64DD"/>
    <w:rsid w:val="0030074F"/>
    <w:rsid w:val="003130B6"/>
    <w:rsid w:val="00335612"/>
    <w:rsid w:val="003520F6"/>
    <w:rsid w:val="00354130"/>
    <w:rsid w:val="00366C51"/>
    <w:rsid w:val="003745EF"/>
    <w:rsid w:val="00376510"/>
    <w:rsid w:val="00383153"/>
    <w:rsid w:val="00383B65"/>
    <w:rsid w:val="003D3755"/>
    <w:rsid w:val="003F7557"/>
    <w:rsid w:val="00411266"/>
    <w:rsid w:val="0042713D"/>
    <w:rsid w:val="0043326D"/>
    <w:rsid w:val="00450A5D"/>
    <w:rsid w:val="00451B7E"/>
    <w:rsid w:val="00453578"/>
    <w:rsid w:val="00457D9C"/>
    <w:rsid w:val="004622B0"/>
    <w:rsid w:val="00463C6E"/>
    <w:rsid w:val="004645F9"/>
    <w:rsid w:val="00464B89"/>
    <w:rsid w:val="00471D50"/>
    <w:rsid w:val="004830CF"/>
    <w:rsid w:val="00495B01"/>
    <w:rsid w:val="004A1F35"/>
    <w:rsid w:val="004C02F0"/>
    <w:rsid w:val="004E185F"/>
    <w:rsid w:val="004F63DA"/>
    <w:rsid w:val="00502B78"/>
    <w:rsid w:val="00526A76"/>
    <w:rsid w:val="00532ED7"/>
    <w:rsid w:val="005335C2"/>
    <w:rsid w:val="0054570F"/>
    <w:rsid w:val="00557E17"/>
    <w:rsid w:val="00571303"/>
    <w:rsid w:val="00573A8C"/>
    <w:rsid w:val="00580923"/>
    <w:rsid w:val="005949A0"/>
    <w:rsid w:val="005976FD"/>
    <w:rsid w:val="005B44DF"/>
    <w:rsid w:val="005D3628"/>
    <w:rsid w:val="005D58A2"/>
    <w:rsid w:val="005D6E53"/>
    <w:rsid w:val="005E243A"/>
    <w:rsid w:val="005E2ABB"/>
    <w:rsid w:val="005E6A96"/>
    <w:rsid w:val="00614C48"/>
    <w:rsid w:val="0062063B"/>
    <w:rsid w:val="006274E2"/>
    <w:rsid w:val="0065650C"/>
    <w:rsid w:val="00661A5C"/>
    <w:rsid w:val="006728AF"/>
    <w:rsid w:val="006950DB"/>
    <w:rsid w:val="006A0212"/>
    <w:rsid w:val="006A1D20"/>
    <w:rsid w:val="006B312B"/>
    <w:rsid w:val="006D198B"/>
    <w:rsid w:val="006E7B1A"/>
    <w:rsid w:val="006F1970"/>
    <w:rsid w:val="006F2231"/>
    <w:rsid w:val="006F3B6B"/>
    <w:rsid w:val="006F5618"/>
    <w:rsid w:val="00700AF4"/>
    <w:rsid w:val="00705603"/>
    <w:rsid w:val="00720220"/>
    <w:rsid w:val="007205CA"/>
    <w:rsid w:val="00751031"/>
    <w:rsid w:val="00754A79"/>
    <w:rsid w:val="007723F3"/>
    <w:rsid w:val="00775A67"/>
    <w:rsid w:val="00776D05"/>
    <w:rsid w:val="007826C8"/>
    <w:rsid w:val="007879FA"/>
    <w:rsid w:val="007900CA"/>
    <w:rsid w:val="00794424"/>
    <w:rsid w:val="007B76CB"/>
    <w:rsid w:val="007C39F6"/>
    <w:rsid w:val="007D445C"/>
    <w:rsid w:val="007E5CBE"/>
    <w:rsid w:val="007F1B7C"/>
    <w:rsid w:val="007F5CD8"/>
    <w:rsid w:val="00803A0C"/>
    <w:rsid w:val="00841C0E"/>
    <w:rsid w:val="008457A2"/>
    <w:rsid w:val="0085391B"/>
    <w:rsid w:val="00856032"/>
    <w:rsid w:val="0086560D"/>
    <w:rsid w:val="0088447D"/>
    <w:rsid w:val="008849AA"/>
    <w:rsid w:val="008B09C2"/>
    <w:rsid w:val="008B21B3"/>
    <w:rsid w:val="008B58AD"/>
    <w:rsid w:val="008C32EE"/>
    <w:rsid w:val="008C3B48"/>
    <w:rsid w:val="008C74BA"/>
    <w:rsid w:val="008D3567"/>
    <w:rsid w:val="008E4A89"/>
    <w:rsid w:val="008E4E81"/>
    <w:rsid w:val="008E6ABD"/>
    <w:rsid w:val="008F3689"/>
    <w:rsid w:val="00906C74"/>
    <w:rsid w:val="0091326D"/>
    <w:rsid w:val="00915C12"/>
    <w:rsid w:val="00916392"/>
    <w:rsid w:val="00917AEF"/>
    <w:rsid w:val="00925524"/>
    <w:rsid w:val="00937C02"/>
    <w:rsid w:val="00941E2D"/>
    <w:rsid w:val="00944CEA"/>
    <w:rsid w:val="00966378"/>
    <w:rsid w:val="009938CF"/>
    <w:rsid w:val="009A10A1"/>
    <w:rsid w:val="009B3834"/>
    <w:rsid w:val="009D52DF"/>
    <w:rsid w:val="00A057FB"/>
    <w:rsid w:val="00A15E71"/>
    <w:rsid w:val="00A243F5"/>
    <w:rsid w:val="00A4580A"/>
    <w:rsid w:val="00A52B98"/>
    <w:rsid w:val="00A53737"/>
    <w:rsid w:val="00A72EF3"/>
    <w:rsid w:val="00A8441D"/>
    <w:rsid w:val="00AA5F9C"/>
    <w:rsid w:val="00AC4D5C"/>
    <w:rsid w:val="00AC69BC"/>
    <w:rsid w:val="00AD57FB"/>
    <w:rsid w:val="00AF20ED"/>
    <w:rsid w:val="00AF60EB"/>
    <w:rsid w:val="00AF7EF7"/>
    <w:rsid w:val="00B02D56"/>
    <w:rsid w:val="00B04DBC"/>
    <w:rsid w:val="00B12F17"/>
    <w:rsid w:val="00B15D09"/>
    <w:rsid w:val="00BB1A19"/>
    <w:rsid w:val="00BB4950"/>
    <w:rsid w:val="00BC792E"/>
    <w:rsid w:val="00BD30B6"/>
    <w:rsid w:val="00BE1A02"/>
    <w:rsid w:val="00BE5161"/>
    <w:rsid w:val="00BF198E"/>
    <w:rsid w:val="00BF1C4D"/>
    <w:rsid w:val="00BF67F8"/>
    <w:rsid w:val="00C31632"/>
    <w:rsid w:val="00C42C55"/>
    <w:rsid w:val="00C56C7F"/>
    <w:rsid w:val="00C645E7"/>
    <w:rsid w:val="00C65DC0"/>
    <w:rsid w:val="00C6727C"/>
    <w:rsid w:val="00C82865"/>
    <w:rsid w:val="00C9767C"/>
    <w:rsid w:val="00CA03F7"/>
    <w:rsid w:val="00CA6E1F"/>
    <w:rsid w:val="00CB063F"/>
    <w:rsid w:val="00CB2D18"/>
    <w:rsid w:val="00CC46B4"/>
    <w:rsid w:val="00CC63CC"/>
    <w:rsid w:val="00CC783F"/>
    <w:rsid w:val="00CD18EF"/>
    <w:rsid w:val="00D015F5"/>
    <w:rsid w:val="00D01AC7"/>
    <w:rsid w:val="00D028B3"/>
    <w:rsid w:val="00D07FC7"/>
    <w:rsid w:val="00D23813"/>
    <w:rsid w:val="00D25816"/>
    <w:rsid w:val="00D42881"/>
    <w:rsid w:val="00D47DE0"/>
    <w:rsid w:val="00D52A1B"/>
    <w:rsid w:val="00D85CC1"/>
    <w:rsid w:val="00D90EA3"/>
    <w:rsid w:val="00D927B0"/>
    <w:rsid w:val="00DA0411"/>
    <w:rsid w:val="00DA2972"/>
    <w:rsid w:val="00DD1766"/>
    <w:rsid w:val="00DD6CE1"/>
    <w:rsid w:val="00DF1A5F"/>
    <w:rsid w:val="00DF5DC1"/>
    <w:rsid w:val="00E104A3"/>
    <w:rsid w:val="00E36F56"/>
    <w:rsid w:val="00E66876"/>
    <w:rsid w:val="00E83CDC"/>
    <w:rsid w:val="00E86C39"/>
    <w:rsid w:val="00EA0FDF"/>
    <w:rsid w:val="00EA5E31"/>
    <w:rsid w:val="00EC155B"/>
    <w:rsid w:val="00ED290B"/>
    <w:rsid w:val="00EE0B77"/>
    <w:rsid w:val="00EE4BA7"/>
    <w:rsid w:val="00F01D0C"/>
    <w:rsid w:val="00F030CB"/>
    <w:rsid w:val="00F1471A"/>
    <w:rsid w:val="00F20BB8"/>
    <w:rsid w:val="00F30C6A"/>
    <w:rsid w:val="00F45273"/>
    <w:rsid w:val="00F604BD"/>
    <w:rsid w:val="00F634F8"/>
    <w:rsid w:val="00F7174F"/>
    <w:rsid w:val="00F97E7F"/>
    <w:rsid w:val="00FA6BFC"/>
    <w:rsid w:val="00FB2A05"/>
    <w:rsid w:val="00FC0DE5"/>
    <w:rsid w:val="00FC3940"/>
    <w:rsid w:val="00FE0BE3"/>
    <w:rsid w:val="133A7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宋体" w:cs="Times New Roman"/>
      <w:color w:val="000000"/>
      <w:sz w:val="21"/>
      <w:szCs w:val="21"/>
      <w:lang w:val="en-US" w:eastAsia="en-US" w:bidi="en-US"/>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oc 3"/>
    <w:basedOn w:val="1"/>
    <w:next w:val="1"/>
    <w:autoRedefine/>
    <w:unhideWhenUsed/>
    <w:qFormat/>
    <w:uiPriority w:val="39"/>
    <w:pPr>
      <w:spacing w:beforeLines="50"/>
      <w:ind w:left="400" w:leftChars="400"/>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spacing w:beforeLines="50"/>
    </w:pPr>
  </w:style>
  <w:style w:type="paragraph" w:styleId="7">
    <w:name w:val="toc 2"/>
    <w:basedOn w:val="1"/>
    <w:next w:val="1"/>
    <w:autoRedefine/>
    <w:unhideWhenUsed/>
    <w:qFormat/>
    <w:uiPriority w:val="39"/>
    <w:pPr>
      <w:spacing w:beforeLines="50"/>
      <w:ind w:left="200" w:leftChars="200"/>
    </w:pPr>
  </w:style>
  <w:style w:type="character" w:styleId="10">
    <w:name w:val="FollowedHyperlink"/>
    <w:basedOn w:val="9"/>
    <w:semiHidden/>
    <w:unhideWhenUsed/>
    <w:qFormat/>
    <w:uiPriority w:val="99"/>
    <w:rPr>
      <w:color w:val="800080" w:themeColor="followedHyperlink"/>
      <w:u w:val="single"/>
      <w14:textFill>
        <w14:solidFill>
          <w14:schemeClr w14:val="folHlink"/>
        </w14:solidFill>
      </w14:textFill>
    </w:rPr>
  </w:style>
  <w:style w:type="character" w:styleId="11">
    <w:name w:val="Hyperlink"/>
    <w:basedOn w:val="9"/>
    <w:qFormat/>
    <w:uiPriority w:val="0"/>
    <w:rPr>
      <w:color w:val="0000FF"/>
      <w:u w:val="single"/>
    </w:rPr>
  </w:style>
  <w:style w:type="character" w:customStyle="1" w:styleId="12">
    <w:name w:val="页眉 字符"/>
    <w:basedOn w:val="9"/>
    <w:link w:val="5"/>
    <w:uiPriority w:val="99"/>
    <w:rPr>
      <w:rFonts w:eastAsia="Times New Roman"/>
      <w:color w:val="000000"/>
      <w:sz w:val="18"/>
      <w:szCs w:val="18"/>
    </w:rPr>
  </w:style>
  <w:style w:type="character" w:customStyle="1" w:styleId="13">
    <w:name w:val="页脚 字符"/>
    <w:basedOn w:val="9"/>
    <w:link w:val="4"/>
    <w:qFormat/>
    <w:uiPriority w:val="99"/>
    <w:rPr>
      <w:rFonts w:eastAsia="Times New Roman"/>
      <w:color w:val="000000"/>
      <w:sz w:val="18"/>
      <w:szCs w:val="18"/>
    </w:rPr>
  </w:style>
  <w:style w:type="paragraph" w:styleId="14">
    <w:name w:val="List Paragraph"/>
    <w:basedOn w:val="1"/>
    <w:qFormat/>
    <w:uiPriority w:val="34"/>
    <w:pPr>
      <w:ind w:firstLine="420" w:firstLineChars="200"/>
    </w:pPr>
  </w:style>
  <w:style w:type="character" w:customStyle="1" w:styleId="15">
    <w:name w:val="批注框文本 字符"/>
    <w:basedOn w:val="9"/>
    <w:link w:val="3"/>
    <w:semiHidden/>
    <w:qFormat/>
    <w:uiPriority w:val="99"/>
    <w:rPr>
      <w:rFonts w:eastAsia="宋体"/>
      <w:color w:val="000000"/>
      <w:sz w:val="18"/>
      <w:szCs w:val="18"/>
    </w:rPr>
  </w:style>
  <w:style w:type="paragraph" w:customStyle="1" w:styleId="16">
    <w:name w:val="样式m1"/>
    <w:basedOn w:val="1"/>
    <w:uiPriority w:val="0"/>
    <w:pPr>
      <w:tabs>
        <w:tab w:val="left" w:pos="667"/>
      </w:tabs>
      <w:snapToGrid w:val="0"/>
      <w:spacing w:beforeLines="50" w:afterLines="50"/>
      <w:jc w:val="both"/>
    </w:pPr>
    <w:rPr>
      <w:b/>
      <w:bCs/>
      <w:sz w:val="28"/>
      <w:szCs w:val="28"/>
    </w:rPr>
  </w:style>
  <w:style w:type="paragraph" w:customStyle="1" w:styleId="17">
    <w:name w:val="样式m2"/>
    <w:basedOn w:val="1"/>
    <w:uiPriority w:val="0"/>
    <w:pPr>
      <w:tabs>
        <w:tab w:val="left" w:pos="1560"/>
      </w:tabs>
      <w:snapToGrid w:val="0"/>
      <w:spacing w:beforeLines="50" w:afterLines="50"/>
      <w:ind w:left="708" w:leftChars="337"/>
      <w:jc w:val="both"/>
    </w:pPr>
    <w:rPr>
      <w:b/>
      <w:bCs/>
      <w:sz w:val="24"/>
      <w:szCs w:val="24"/>
    </w:rPr>
  </w:style>
  <w:style w:type="paragraph" w:customStyle="1" w:styleId="18">
    <w:name w:val="样式x"/>
    <w:basedOn w:val="1"/>
    <w:qFormat/>
    <w:uiPriority w:val="0"/>
    <w:pPr>
      <w:tabs>
        <w:tab w:val="left" w:pos="709"/>
      </w:tabs>
      <w:snapToGrid w:val="0"/>
      <w:spacing w:beforeLines="50"/>
      <w:ind w:left="707" w:leftChars="203" w:hanging="281" w:hangingChars="134"/>
      <w:jc w:val="both"/>
    </w:pPr>
  </w:style>
  <w:style w:type="paragraph" w:customStyle="1" w:styleId="19">
    <w:name w:val="样式x2"/>
    <w:basedOn w:val="1"/>
    <w:qFormat/>
    <w:uiPriority w:val="0"/>
    <w:pPr>
      <w:snapToGrid w:val="0"/>
      <w:spacing w:beforeLines="50"/>
      <w:ind w:left="1558" w:leftChars="539" w:hanging="426" w:hangingChars="203"/>
      <w:jc w:val="both"/>
    </w:pPr>
  </w:style>
  <w:style w:type="paragraph" w:customStyle="1" w:styleId="20">
    <w:name w:val="样式m22"/>
    <w:basedOn w:val="17"/>
    <w:uiPriority w:val="0"/>
    <w:pPr>
      <w:ind w:left="0" w:leftChars="0"/>
    </w:pPr>
  </w:style>
  <w:style w:type="paragraph" w:customStyle="1" w:styleId="21">
    <w:name w:val="样式A1.0z"/>
    <w:basedOn w:val="1"/>
    <w:qFormat/>
    <w:uiPriority w:val="0"/>
    <w:pPr>
      <w:snapToGrid w:val="0"/>
      <w:spacing w:beforeLines="50"/>
      <w:ind w:left="850" w:leftChars="405"/>
      <w:jc w:val="both"/>
    </w:pPr>
  </w:style>
  <w:style w:type="paragraph" w:customStyle="1" w:styleId="22">
    <w:name w:val="样式A1.0"/>
    <w:basedOn w:val="1"/>
    <w:autoRedefine/>
    <w:qFormat/>
    <w:uiPriority w:val="0"/>
    <w:pPr>
      <w:tabs>
        <w:tab w:val="left" w:pos="851"/>
      </w:tabs>
      <w:snapToGrid w:val="0"/>
      <w:spacing w:beforeLines="50"/>
      <w:ind w:left="911" w:leftChars="201" w:hanging="489" w:hangingChars="203"/>
      <w:jc w:val="both"/>
    </w:pPr>
    <w:rPr>
      <w:b/>
      <w:bCs/>
      <w:sz w:val="24"/>
      <w:szCs w:val="24"/>
      <w:lang w:eastAsia="zh-CN"/>
    </w:rPr>
  </w:style>
  <w:style w:type="paragraph" w:customStyle="1" w:styleId="23">
    <w:name w:val="样式A1.0x"/>
    <w:basedOn w:val="1"/>
    <w:qFormat/>
    <w:uiPriority w:val="0"/>
    <w:pPr>
      <w:tabs>
        <w:tab w:val="left" w:pos="1701"/>
      </w:tabs>
      <w:snapToGrid w:val="0"/>
      <w:spacing w:beforeLines="50"/>
      <w:ind w:left="1680" w:leftChars="600" w:hanging="420" w:hangingChars="200"/>
      <w:jc w:val="both"/>
    </w:pPr>
  </w:style>
  <w:style w:type="paragraph" w:customStyle="1" w:styleId="24">
    <w:name w:val="样式A1.0x2"/>
    <w:basedOn w:val="23"/>
    <w:qFormat/>
    <w:uiPriority w:val="0"/>
    <w:pPr>
      <w:tabs>
        <w:tab w:val="left" w:pos="1276"/>
        <w:tab w:val="clear" w:pos="1701"/>
      </w:tabs>
      <w:ind w:left="1272" w:leftChars="405" w:hanging="422" w:hangingChars="201"/>
    </w:pPr>
  </w:style>
  <w:style w:type="paragraph" w:customStyle="1" w:styleId="25">
    <w:name w:val="样式A1.0x3"/>
    <w:basedOn w:val="1"/>
    <w:uiPriority w:val="0"/>
    <w:pPr>
      <w:tabs>
        <w:tab w:val="left" w:pos="1701"/>
      </w:tabs>
      <w:snapToGrid w:val="0"/>
      <w:spacing w:beforeLines="50"/>
      <w:ind w:left="1701" w:leftChars="608" w:hanging="424" w:hangingChars="202"/>
      <w:jc w:val="both"/>
    </w:pPr>
  </w:style>
  <w:style w:type="paragraph" w:customStyle="1" w:styleId="26">
    <w:name w:val="样式m3"/>
    <w:basedOn w:val="1"/>
    <w:qFormat/>
    <w:uiPriority w:val="0"/>
    <w:pPr>
      <w:snapToGrid w:val="0"/>
      <w:spacing w:beforeLines="50" w:afterLines="50"/>
      <w:jc w:val="both"/>
    </w:pPr>
    <w:rPr>
      <w:b/>
      <w:bCs/>
      <w:sz w:val="24"/>
      <w:szCs w:val="24"/>
    </w:rPr>
  </w:style>
  <w:style w:type="paragraph" w:customStyle="1" w:styleId="27">
    <w:name w:val="Revision"/>
    <w:hidden/>
    <w:semiHidden/>
    <w:qFormat/>
    <w:uiPriority w:val="99"/>
    <w:pPr>
      <w:widowControl/>
    </w:pPr>
    <w:rPr>
      <w:rFonts w:ascii="Times New Roman" w:hAnsi="Times New Roman" w:eastAsia="宋体" w:cs="Times New Roman"/>
      <w:color w:val="000000"/>
      <w:sz w:val="21"/>
      <w:szCs w:val="21"/>
      <w:lang w:val="en-US" w:eastAsia="en-US" w:bidi="en-U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75</Pages>
  <Words>17600</Words>
  <Characters>19973</Characters>
  <Lines>376</Lines>
  <Paragraphs>105</Paragraphs>
  <TotalTime>320</TotalTime>
  <ScaleCrop>false</ScaleCrop>
  <LinksUpToDate>false</LinksUpToDate>
  <CharactersWithSpaces>20253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2022-03-17T10:54:00Z</dcterms:created>
  <dc:creator>CDRH</dc:creator>
  <cp:keywords>Guidance for Industry and FDA</cp:keywords>
  <cp:lastModifiedBy>太极箫客</cp:lastModifiedBy>
  <dcterms:modified xsi:type="dcterms:W3CDTF">2025-08-14T07:11:38Z</dcterms:modified>
  <dc:title>Factors to Consider When Making Benefit-Risk Determinations in Medical Device Premarket Approval and De Novo Classifications</dc:title>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1CFF2756CC344C77B1DE74ACF13E24E2_12</vt:lpwstr>
  </property>
</Properties>
</file>