
<file path=[Content_Types].xml><?xml version="1.0" encoding="utf-8"?>
<Types xmlns="http://schemas.openxmlformats.org/package/2006/content-types">
  <Default Extension="xml" ContentType="application/xml"/>
  <Default Extension="xls" ContentType="application/vnd.ms-exce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4AC05A3">
      <w:bookmarkStart w:id="12" w:name="_GoBack"/>
      <w:bookmarkEnd w:id="12"/>
    </w:p>
    <w:p w14:paraId="45305845">
      <w:pPr>
        <w:pStyle w:val="2"/>
        <w:spacing w:before="0" w:after="0" w:line="600" w:lineRule="exact"/>
        <w:jc w:val="center"/>
        <w:rPr>
          <w:rFonts w:ascii="方正小标宋简体" w:hAnsi="Calibri" w:eastAsia="方正小标宋简体"/>
          <w:b w:val="0"/>
          <w:bCs w:val="0"/>
          <w:kern w:val="2"/>
        </w:rPr>
      </w:pPr>
      <w:r>
        <w:rPr>
          <w:rFonts w:hint="eastAsia" w:ascii="方正小标宋简体" w:hAnsi="Calibri" w:eastAsia="方正小标宋简体"/>
          <w:b w:val="0"/>
          <w:bCs w:val="0"/>
          <w:kern w:val="2"/>
        </w:rPr>
        <w:t>硬性光学内窥镜（第二类）注册技术</w:t>
      </w:r>
    </w:p>
    <w:p w14:paraId="79416645">
      <w:pPr>
        <w:pStyle w:val="2"/>
        <w:spacing w:before="0" w:after="0" w:line="600" w:lineRule="exact"/>
        <w:jc w:val="center"/>
        <w:rPr>
          <w:rFonts w:ascii="方正小标宋简体" w:hAnsi="Calibri" w:eastAsia="方正小标宋简体"/>
          <w:b w:val="0"/>
          <w:bCs w:val="0"/>
          <w:kern w:val="2"/>
        </w:rPr>
      </w:pPr>
      <w:r>
        <w:rPr>
          <w:rFonts w:hint="eastAsia" w:ascii="方正小标宋简体" w:hAnsi="Calibri" w:eastAsia="方正小标宋简体"/>
          <w:b w:val="0"/>
          <w:bCs w:val="0"/>
          <w:kern w:val="2"/>
        </w:rPr>
        <w:t>审查指导原则</w:t>
      </w:r>
    </w:p>
    <w:p w14:paraId="020A5C48">
      <w:pPr>
        <w:spacing w:line="600" w:lineRule="exact"/>
        <w:jc w:val="center"/>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w:t>
      </w:r>
      <w:r>
        <w:rPr>
          <w:rFonts w:ascii="Times New Roman" w:hAnsi="Times New Roman" w:eastAsia="楷体_GB2312" w:cs="Times New Roman"/>
          <w:sz w:val="32"/>
          <w:szCs w:val="32"/>
        </w:rPr>
        <w:t>2017</w:t>
      </w:r>
      <w:r>
        <w:rPr>
          <w:rFonts w:hint="eastAsia" w:ascii="Times New Roman" w:hAnsi="Times New Roman" w:eastAsia="楷体_GB2312" w:cs="Times New Roman"/>
          <w:sz w:val="32"/>
          <w:szCs w:val="32"/>
        </w:rPr>
        <w:t>年修订版）</w:t>
      </w:r>
    </w:p>
    <w:p w14:paraId="1FA24605">
      <w:pPr>
        <w:spacing w:line="600" w:lineRule="exact"/>
        <w:ind w:firstLine="883"/>
        <w:jc w:val="center"/>
        <w:rPr>
          <w:rFonts w:ascii="宋体" w:hAnsi="宋体"/>
          <w:sz w:val="36"/>
          <w:szCs w:val="36"/>
        </w:rPr>
      </w:pPr>
    </w:p>
    <w:p w14:paraId="1AF80B13">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本指导原则旨在为技术审评部门审评注册申报资料提供参考，同时也指导注册申请人对第二类硬性光学内窥镜注册申报资料的准备及撰写。</w:t>
      </w:r>
    </w:p>
    <w:p w14:paraId="24E9D2D5">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指导原则是对第二类硬性光学内窥镜的一般要求，审评人员和申请人应依据产品的具体特性确定其中内容是否适用，若不适用，需申请人具体阐述理由及相应的科学依据，并依据产品的具体特性对注册申报资料的内容进行充实和细化。第二类硬性电子内窥镜和硬性纤维内窥镜可参考本指导原则中适用的内容。</w:t>
      </w:r>
    </w:p>
    <w:p w14:paraId="6D67CCE8">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指导原则是供审评人员和申请人使用的指导文件，不涉及注册审批等行政事项，亦不作为法规强制执行，如有能够满足法规要求的其他方法，也可以采用，但应提供详细的研究资料和验证资料，应在遵循相关法规的前提下使用本指导原则。</w:t>
      </w:r>
    </w:p>
    <w:p w14:paraId="0693517F">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本指导原则是在现行法规、标准体系及当前认知水平下制定的，随着法规、标准体系的不断完善和科学技术的不断发展，本指导原则相关内容也将适时进行调整。</w:t>
      </w:r>
    </w:p>
    <w:p w14:paraId="3BD96E5C">
      <w:pPr>
        <w:spacing w:line="540" w:lineRule="exact"/>
        <w:ind w:firstLine="640" w:firstLineChars="200"/>
        <w:rPr>
          <w:rFonts w:ascii="黑体" w:hAnsi="黑体" w:eastAsia="黑体"/>
          <w:sz w:val="28"/>
          <w:szCs w:val="28"/>
        </w:rPr>
      </w:pPr>
      <w:r>
        <w:rPr>
          <w:rFonts w:hint="eastAsia" w:ascii="黑体" w:hAnsi="黑体" w:eastAsia="黑体"/>
          <w:sz w:val="32"/>
          <w:szCs w:val="32"/>
        </w:rPr>
        <w:t>一、适用范围</w:t>
      </w:r>
    </w:p>
    <w:p w14:paraId="4BD2702F">
      <w:pPr>
        <w:spacing w:line="540" w:lineRule="exact"/>
        <w:ind w:firstLine="640"/>
        <w:rPr>
          <w:rFonts w:ascii="仿宋_GB2312" w:hAnsi="仿宋" w:eastAsia="仿宋_GB2312"/>
          <w:sz w:val="32"/>
          <w:szCs w:val="32"/>
        </w:rPr>
      </w:pPr>
      <w:r>
        <w:rPr>
          <w:rFonts w:hint="eastAsia" w:ascii="仿宋_GB2312" w:hAnsi="仿宋" w:eastAsia="仿宋_GB2312"/>
          <w:sz w:val="32"/>
          <w:szCs w:val="32"/>
        </w:rPr>
        <w:t>本指导原则适用于第二类观察用硬性光学内窥镜产品，即喉镜、鼻窦镜、尿道膀胱镜、宫腔镜、直肠镜。其他第二类硬性光学内窥镜可参考本指导原则适用的内容。</w:t>
      </w:r>
    </w:p>
    <w:p w14:paraId="0156AC3B">
      <w:pPr>
        <w:spacing w:line="50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二、技术审查要点</w:t>
      </w:r>
    </w:p>
    <w:p w14:paraId="0D431A35">
      <w:pPr>
        <w:spacing w:line="500" w:lineRule="exact"/>
        <w:ind w:firstLine="640" w:firstLineChars="20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（一）产品名称要求</w:t>
      </w:r>
      <w:r>
        <w:rPr>
          <w:rFonts w:ascii="Times New Roman" w:hAnsi="Times New Roman" w:eastAsia="楷体_GB2312" w:cs="Times New Roman"/>
          <w:sz w:val="32"/>
          <w:szCs w:val="32"/>
        </w:rPr>
        <w:t xml:space="preserve"> </w:t>
      </w:r>
    </w:p>
    <w:p w14:paraId="6181AD71">
      <w:pPr>
        <w:spacing w:line="50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喉镜或喉内窥镜；</w:t>
      </w:r>
    </w:p>
    <w:p w14:paraId="5CBFDBA5">
      <w:pPr>
        <w:spacing w:line="50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鼻窦镜或鼻窦内窥镜；</w:t>
      </w:r>
    </w:p>
    <w:p w14:paraId="0D49261B">
      <w:pPr>
        <w:spacing w:line="50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尿道膀胱镜、膀胱镜、尿道膀胱内窥镜、膀胱内窥镜；</w:t>
      </w:r>
    </w:p>
    <w:p w14:paraId="105A2EF5">
      <w:pPr>
        <w:spacing w:line="50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.宫腔镜或宫腔内窥镜；</w:t>
      </w:r>
    </w:p>
    <w:p w14:paraId="7AC833FF">
      <w:pPr>
        <w:spacing w:line="50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.直肠镜或直肠内窥镜。</w:t>
      </w:r>
    </w:p>
    <w:p w14:paraId="72D05751">
      <w:pPr>
        <w:spacing w:line="500" w:lineRule="exact"/>
        <w:ind w:firstLine="640" w:firstLineChars="20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（二）产品的结构和组成</w:t>
      </w:r>
    </w:p>
    <w:p w14:paraId="5DF2E420">
      <w:pPr>
        <w:spacing w:line="5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典型产品结构示意图如下：</w:t>
      </w:r>
    </w:p>
    <w:p w14:paraId="4C44F823">
      <w:pPr>
        <w:spacing w:line="500" w:lineRule="exact"/>
        <w:ind w:firstLine="736" w:firstLineChars="230"/>
        <w:rPr>
          <w:rFonts w:ascii="Times New Roman" w:hAnsi="Times New Roman" w:eastAsia="仿宋" w:cs="Times New Roman"/>
          <w:sz w:val="28"/>
          <w:szCs w:val="28"/>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喉镜</w:t>
      </w:r>
    </w:p>
    <w:p w14:paraId="436070A6">
      <w:pPr>
        <w:spacing w:line="520" w:lineRule="exact"/>
        <w:ind w:left="420" w:leftChars="200" w:firstLine="200"/>
        <w:jc w:val="left"/>
        <w:rPr>
          <w:rFonts w:ascii="仿宋_GB2312" w:eastAsia="仿宋_GB2312"/>
          <w:sz w:val="32"/>
          <w:szCs w:val="32"/>
        </w:rPr>
      </w:pPr>
      <w:r>
        <w:rPr>
          <w:rFonts w:ascii="仿宋_GB2312" w:eastAsia="仿宋_GB2312"/>
          <w:sz w:val="32"/>
          <w:szCs w:val="32"/>
        </w:rPr>
        <w:drawing>
          <wp:anchor distT="0" distB="0" distL="114300" distR="114300" simplePos="0" relativeHeight="251661312" behindDoc="0" locked="0" layoutInCell="1" allowOverlap="1">
            <wp:simplePos x="0" y="0"/>
            <wp:positionH relativeFrom="column">
              <wp:posOffset>792480</wp:posOffset>
            </wp:positionH>
            <wp:positionV relativeFrom="paragraph">
              <wp:posOffset>116840</wp:posOffset>
            </wp:positionV>
            <wp:extent cx="3774440" cy="1564005"/>
            <wp:effectExtent l="0" t="0" r="0" b="0"/>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6" cstate="print"/>
                    <a:srcRect/>
                    <a:stretch>
                      <a:fillRect/>
                    </a:stretch>
                  </pic:blipFill>
                  <pic:spPr>
                    <a:xfrm>
                      <a:off x="0" y="0"/>
                      <a:ext cx="3782435" cy="1567352"/>
                    </a:xfrm>
                    <a:prstGeom prst="rect">
                      <a:avLst/>
                    </a:prstGeom>
                    <a:noFill/>
                    <a:ln w="9525">
                      <a:noFill/>
                      <a:miter lim="800000"/>
                      <a:headEnd/>
                      <a:tailEnd/>
                    </a:ln>
                  </pic:spPr>
                </pic:pic>
              </a:graphicData>
            </a:graphic>
          </wp:anchor>
        </w:drawing>
      </w:r>
    </w:p>
    <w:p w14:paraId="64AD99A1">
      <w:pPr>
        <w:spacing w:line="520" w:lineRule="exact"/>
        <w:ind w:firstLine="640"/>
        <w:rPr>
          <w:rFonts w:ascii="仿宋_GB2312" w:eastAsia="仿宋_GB2312"/>
          <w:sz w:val="32"/>
          <w:szCs w:val="32"/>
        </w:rPr>
      </w:pPr>
    </w:p>
    <w:p w14:paraId="0AD99A51">
      <w:pPr>
        <w:spacing w:line="520" w:lineRule="exact"/>
        <w:ind w:firstLine="640"/>
        <w:rPr>
          <w:rFonts w:ascii="仿宋_GB2312" w:eastAsia="仿宋_GB2312"/>
          <w:sz w:val="32"/>
          <w:szCs w:val="32"/>
        </w:rPr>
      </w:pPr>
    </w:p>
    <w:p w14:paraId="0C79307B">
      <w:pPr>
        <w:spacing w:line="440" w:lineRule="exact"/>
        <w:ind w:firstLine="640"/>
        <w:rPr>
          <w:rFonts w:ascii="仿宋_GB2312" w:eastAsia="仿宋_GB2312"/>
          <w:sz w:val="32"/>
          <w:szCs w:val="32"/>
        </w:rPr>
      </w:pPr>
    </w:p>
    <w:p w14:paraId="2AA5D146">
      <w:pPr>
        <w:spacing w:line="440" w:lineRule="exact"/>
        <w:ind w:firstLine="640"/>
        <w:rPr>
          <w:rFonts w:ascii="仿宋_GB2312" w:eastAsia="仿宋_GB2312"/>
          <w:sz w:val="32"/>
          <w:szCs w:val="32"/>
        </w:rPr>
      </w:pPr>
    </w:p>
    <w:p w14:paraId="47B6C35E">
      <w:pPr>
        <w:spacing w:line="440" w:lineRule="exact"/>
        <w:rPr>
          <w:rFonts w:ascii="仿宋_GB2312" w:eastAsia="仿宋_GB2312"/>
          <w:sz w:val="32"/>
          <w:szCs w:val="32"/>
        </w:rPr>
      </w:pPr>
    </w:p>
    <w:p w14:paraId="70AB114B">
      <w:pPr>
        <w:spacing w:line="52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图1</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 xml:space="preserve">喉镜(可调焦)  </w:t>
      </w:r>
    </w:p>
    <w:p w14:paraId="234F1516">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1.镜体 2.目端接管(可调焦)</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3.目镜罩</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4.手柄5.导光束接口</w:t>
      </w:r>
    </w:p>
    <w:p w14:paraId="1BE56DF6">
      <w:pPr>
        <w:spacing w:line="520" w:lineRule="exact"/>
        <w:ind w:firstLine="2720" w:firstLineChars="850"/>
        <w:rPr>
          <w:rFonts w:ascii="仿宋_GB2312" w:hAnsi="仿宋" w:eastAsia="仿宋_GB2312"/>
          <w:sz w:val="32"/>
          <w:szCs w:val="32"/>
        </w:rPr>
      </w:pPr>
      <w:r>
        <w:rPr>
          <w:rFonts w:ascii="仿宋_GB2312" w:eastAsia="仿宋_GB2312"/>
          <w:sz w:val="32"/>
          <w:szCs w:val="32"/>
        </w:rPr>
        <w:drawing>
          <wp:anchor distT="0" distB="0" distL="114300" distR="114300" simplePos="0" relativeHeight="251662336" behindDoc="0" locked="0" layoutInCell="1" allowOverlap="1">
            <wp:simplePos x="0" y="0"/>
            <wp:positionH relativeFrom="column">
              <wp:posOffset>919480</wp:posOffset>
            </wp:positionH>
            <wp:positionV relativeFrom="paragraph">
              <wp:posOffset>104140</wp:posOffset>
            </wp:positionV>
            <wp:extent cx="3519170" cy="1558290"/>
            <wp:effectExtent l="0" t="0" r="0" b="0"/>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noChangeArrowheads="1"/>
                    </pic:cNvPicPr>
                  </pic:nvPicPr>
                  <pic:blipFill>
                    <a:blip r:embed="rId7" cstate="print"/>
                    <a:srcRect/>
                    <a:stretch>
                      <a:fillRect/>
                    </a:stretch>
                  </pic:blipFill>
                  <pic:spPr>
                    <a:xfrm>
                      <a:off x="0" y="0"/>
                      <a:ext cx="3519377" cy="1558184"/>
                    </a:xfrm>
                    <a:prstGeom prst="rect">
                      <a:avLst/>
                    </a:prstGeom>
                    <a:noFill/>
                    <a:ln w="9525">
                      <a:noFill/>
                      <a:miter lim="800000"/>
                      <a:headEnd/>
                      <a:tailEnd/>
                    </a:ln>
                  </pic:spPr>
                </pic:pic>
              </a:graphicData>
            </a:graphic>
          </wp:anchor>
        </w:drawing>
      </w:r>
    </w:p>
    <w:p w14:paraId="4CB630B6">
      <w:pPr>
        <w:spacing w:line="520" w:lineRule="exact"/>
        <w:ind w:firstLine="2720" w:firstLineChars="850"/>
        <w:rPr>
          <w:rFonts w:ascii="仿宋_GB2312" w:hAnsi="仿宋" w:eastAsia="仿宋_GB2312"/>
          <w:sz w:val="32"/>
          <w:szCs w:val="32"/>
        </w:rPr>
      </w:pPr>
    </w:p>
    <w:p w14:paraId="4BEA1BDF">
      <w:pPr>
        <w:spacing w:line="520" w:lineRule="exact"/>
        <w:ind w:firstLine="2720" w:firstLineChars="850"/>
        <w:rPr>
          <w:rFonts w:ascii="仿宋_GB2312" w:hAnsi="仿宋" w:eastAsia="仿宋_GB2312"/>
          <w:sz w:val="32"/>
          <w:szCs w:val="32"/>
        </w:rPr>
      </w:pPr>
    </w:p>
    <w:p w14:paraId="11513753">
      <w:pPr>
        <w:spacing w:line="520" w:lineRule="exact"/>
        <w:ind w:firstLine="2720" w:firstLineChars="850"/>
        <w:rPr>
          <w:rFonts w:ascii="仿宋_GB2312" w:hAnsi="仿宋" w:eastAsia="仿宋_GB2312"/>
          <w:sz w:val="32"/>
          <w:szCs w:val="32"/>
        </w:rPr>
      </w:pPr>
    </w:p>
    <w:p w14:paraId="6AADCF09">
      <w:pPr>
        <w:spacing w:line="520" w:lineRule="exact"/>
        <w:ind w:firstLine="2720" w:firstLineChars="850"/>
        <w:rPr>
          <w:rFonts w:ascii="仿宋_GB2312" w:hAnsi="仿宋" w:eastAsia="仿宋_GB2312"/>
          <w:sz w:val="32"/>
          <w:szCs w:val="32"/>
        </w:rPr>
      </w:pPr>
    </w:p>
    <w:p w14:paraId="74EE2E7A">
      <w:pPr>
        <w:spacing w:line="380" w:lineRule="exact"/>
        <w:ind w:firstLine="2720" w:firstLineChars="85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图</w:t>
      </w:r>
      <w:r>
        <w:rPr>
          <w:rFonts w:ascii="Times New Roman" w:hAnsi="Times New Roman" w:eastAsia="仿宋_GB2312" w:cs="Times New Roman"/>
          <w:sz w:val="32"/>
          <w:szCs w:val="32"/>
        </w:rPr>
        <w:t xml:space="preserve">2 </w:t>
      </w:r>
      <w:r>
        <w:rPr>
          <w:rFonts w:hint="eastAsia" w:ascii="Times New Roman" w:hAnsi="Times New Roman" w:eastAsia="仿宋_GB2312" w:cs="Times New Roman"/>
          <w:sz w:val="32"/>
          <w:szCs w:val="32"/>
        </w:rPr>
        <w:t>喉镜（不可调焦）</w:t>
      </w:r>
    </w:p>
    <w:p w14:paraId="1BFCA25B">
      <w:pPr>
        <w:numPr>
          <w:ilvl w:val="0"/>
          <w:numId w:val="2"/>
        </w:numPr>
        <w:spacing w:line="380" w:lineRule="exact"/>
        <w:ind w:firstLine="1920" w:firstLineChars="600"/>
        <w:rPr>
          <w:rFonts w:ascii="Times New Roman" w:hAnsi="Times New Roman" w:eastAsia="仿宋_GB2312" w:cs="Times New Roman"/>
          <w:sz w:val="32"/>
          <w:szCs w:val="32"/>
        </w:rPr>
      </w:pPr>
      <w:r>
        <w:rPr>
          <w:rFonts w:ascii="Times New Roman" w:hAnsi="Times New Roman" w:eastAsia="仿宋_GB2312" w:cs="Times New Roman"/>
          <w:sz w:val="32"/>
          <w:szCs w:val="32"/>
        </w:rPr>
        <w:t>镜体  2.</w:t>
      </w:r>
      <w:r>
        <w:rPr>
          <w:rFonts w:hint="eastAsia" w:ascii="Times New Roman" w:hAnsi="Times New Roman" w:eastAsia="仿宋_GB2312" w:cs="Times New Roman"/>
          <w:sz w:val="32"/>
          <w:szCs w:val="32"/>
        </w:rPr>
        <w:t>导光束接口</w:t>
      </w:r>
      <w:r>
        <w:rPr>
          <w:rFonts w:ascii="Times New Roman" w:hAnsi="Times New Roman" w:eastAsia="仿宋_GB2312" w:cs="Times New Roman"/>
          <w:sz w:val="32"/>
          <w:szCs w:val="32"/>
        </w:rPr>
        <w:t xml:space="preserve">  3.</w:t>
      </w:r>
      <w:r>
        <w:rPr>
          <w:rFonts w:hint="eastAsia" w:ascii="Times New Roman" w:hAnsi="Times New Roman" w:eastAsia="仿宋_GB2312" w:cs="Times New Roman"/>
          <w:sz w:val="32"/>
          <w:szCs w:val="32"/>
        </w:rPr>
        <w:t>目镜罩</w:t>
      </w:r>
    </w:p>
    <w:p w14:paraId="659B0C17">
      <w:pPr>
        <w:spacing w:line="520" w:lineRule="exact"/>
        <w:ind w:firstLine="640" w:firstLineChars="200"/>
        <w:jc w:val="left"/>
        <w:rPr>
          <w:rFonts w:ascii="Times New Roman" w:hAnsi="Times New Roman" w:eastAsia="仿宋" w:cs="Times New Roman"/>
          <w:sz w:val="28"/>
          <w:szCs w:val="28"/>
        </w:rPr>
      </w:pPr>
      <w:r>
        <w:rPr>
          <w:rFonts w:ascii="Times New Roman" w:hAnsi="Times New Roman" w:eastAsia="仿宋_GB2312" w:cs="Times New Roman"/>
          <w:sz w:val="32"/>
          <w:szCs w:val="32"/>
        </w:rPr>
        <w:t>2.鼻窦镜</w:t>
      </w:r>
    </w:p>
    <w:p w14:paraId="443B3B9B">
      <w:pPr>
        <w:spacing w:line="440" w:lineRule="exact"/>
        <w:rPr>
          <w:rFonts w:ascii="仿宋_GB2312" w:eastAsia="仿宋_GB2312"/>
          <w:sz w:val="32"/>
          <w:szCs w:val="32"/>
        </w:rPr>
      </w:pPr>
    </w:p>
    <w:p w14:paraId="72213B4B">
      <w:pPr>
        <w:spacing w:line="440" w:lineRule="exact"/>
        <w:ind w:firstLine="3360" w:firstLineChars="1050"/>
        <w:rPr>
          <w:rFonts w:ascii="仿宋_GB2312" w:hAnsi="宋体" w:eastAsia="仿宋_GB2312"/>
          <w:color w:val="FF0000"/>
          <w:sz w:val="32"/>
          <w:szCs w:val="32"/>
        </w:rPr>
      </w:pPr>
      <w:r>
        <w:rPr>
          <w:rFonts w:ascii="仿宋_GB2312" w:eastAsia="仿宋_GB2312"/>
          <w:sz w:val="32"/>
          <w:szCs w:val="32"/>
        </w:rPr>
        <w:drawing>
          <wp:anchor distT="0" distB="0" distL="114300" distR="114300" simplePos="0" relativeHeight="251664384" behindDoc="1" locked="0" layoutInCell="1" allowOverlap="1">
            <wp:simplePos x="0" y="0"/>
            <wp:positionH relativeFrom="column">
              <wp:posOffset>518795</wp:posOffset>
            </wp:positionH>
            <wp:positionV relativeFrom="paragraph">
              <wp:posOffset>-116205</wp:posOffset>
            </wp:positionV>
            <wp:extent cx="4324350" cy="1773555"/>
            <wp:effectExtent l="0" t="0" r="0" b="0"/>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noChangeArrowheads="1"/>
                    </pic:cNvPicPr>
                  </pic:nvPicPr>
                  <pic:blipFill>
                    <a:blip r:embed="rId8" cstate="print"/>
                    <a:srcRect/>
                    <a:stretch>
                      <a:fillRect/>
                    </a:stretch>
                  </pic:blipFill>
                  <pic:spPr>
                    <a:xfrm>
                      <a:off x="0" y="0"/>
                      <a:ext cx="4324350" cy="1773555"/>
                    </a:xfrm>
                    <a:prstGeom prst="rect">
                      <a:avLst/>
                    </a:prstGeom>
                    <a:noFill/>
                    <a:ln w="9525">
                      <a:noFill/>
                      <a:miter lim="800000"/>
                      <a:headEnd/>
                      <a:tailEnd/>
                    </a:ln>
                  </pic:spPr>
                </pic:pic>
              </a:graphicData>
            </a:graphic>
          </wp:anchor>
        </w:drawing>
      </w:r>
    </w:p>
    <w:p w14:paraId="71BCB896">
      <w:pPr>
        <w:spacing w:line="276" w:lineRule="auto"/>
        <w:ind w:firstLine="1440" w:firstLineChars="450"/>
        <w:rPr>
          <w:rFonts w:ascii="仿宋_GB2312" w:hAnsi="宋体" w:eastAsia="仿宋_GB2312"/>
          <w:color w:val="FF0000"/>
          <w:sz w:val="32"/>
          <w:szCs w:val="32"/>
        </w:rPr>
      </w:pPr>
    </w:p>
    <w:p w14:paraId="613A9E32">
      <w:pPr>
        <w:spacing w:line="276" w:lineRule="auto"/>
        <w:rPr>
          <w:rFonts w:ascii="仿宋_GB2312" w:hAnsi="宋体" w:eastAsia="仿宋_GB2312"/>
          <w:color w:val="FF0000"/>
          <w:sz w:val="32"/>
          <w:szCs w:val="32"/>
        </w:rPr>
      </w:pPr>
    </w:p>
    <w:p w14:paraId="3A2B3004">
      <w:pPr>
        <w:spacing w:line="276" w:lineRule="auto"/>
        <w:rPr>
          <w:rFonts w:ascii="仿宋_GB2312" w:hAnsi="宋体" w:eastAsia="仿宋_GB2312"/>
          <w:color w:val="FF0000"/>
          <w:sz w:val="32"/>
          <w:szCs w:val="32"/>
        </w:rPr>
      </w:pPr>
    </w:p>
    <w:p w14:paraId="75281D5B">
      <w:pPr>
        <w:spacing w:line="520" w:lineRule="exact"/>
        <w:rPr>
          <w:rFonts w:ascii="仿宋_GB2312" w:hAnsi="仿宋" w:eastAsia="仿宋_GB2312"/>
          <w:sz w:val="32"/>
          <w:szCs w:val="32"/>
        </w:rPr>
      </w:pPr>
    </w:p>
    <w:p w14:paraId="46A54673">
      <w:pPr>
        <w:spacing w:line="52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图3鼻窦镜</w:t>
      </w:r>
    </w:p>
    <w:p w14:paraId="144AA972">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1.镜体  2.导光束接口  3.目端接管  4.目镜罩</w:t>
      </w:r>
    </w:p>
    <w:p w14:paraId="35B0173F">
      <w:pPr>
        <w:spacing w:line="520" w:lineRule="exact"/>
        <w:ind w:firstLine="552"/>
        <w:jc w:val="left"/>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63360" behindDoc="1" locked="0" layoutInCell="1" allowOverlap="1">
            <wp:simplePos x="0" y="0"/>
            <wp:positionH relativeFrom="column">
              <wp:posOffset>1190625</wp:posOffset>
            </wp:positionH>
            <wp:positionV relativeFrom="paragraph">
              <wp:posOffset>6586855</wp:posOffset>
            </wp:positionV>
            <wp:extent cx="5267325" cy="2162175"/>
            <wp:effectExtent l="19050" t="0" r="9525" b="0"/>
            <wp:wrapNone/>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noChangeArrowheads="1"/>
                    </pic:cNvPicPr>
                  </pic:nvPicPr>
                  <pic:blipFill>
                    <a:blip r:embed="rId8" cstate="print"/>
                    <a:srcRect/>
                    <a:stretch>
                      <a:fillRect/>
                    </a:stretch>
                  </pic:blipFill>
                  <pic:spPr>
                    <a:xfrm>
                      <a:off x="0" y="0"/>
                      <a:ext cx="5267325" cy="2162175"/>
                    </a:xfrm>
                    <a:prstGeom prst="rect">
                      <a:avLst/>
                    </a:prstGeom>
                    <a:noFill/>
                    <a:ln w="9525">
                      <a:noFill/>
                      <a:miter lim="800000"/>
                      <a:headEnd/>
                      <a:tailEnd/>
                    </a:ln>
                  </pic:spPr>
                </pic:pic>
              </a:graphicData>
            </a:graphic>
          </wp:anchor>
        </w:drawing>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尿道膀胱镜</w:t>
      </w:r>
    </w:p>
    <w:p w14:paraId="3A2A34FB">
      <w:pPr>
        <w:spacing w:line="440" w:lineRule="exact"/>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60288" behindDoc="0" locked="0" layoutInCell="1" allowOverlap="1">
            <wp:simplePos x="0" y="0"/>
            <wp:positionH relativeFrom="column">
              <wp:posOffset>408940</wp:posOffset>
            </wp:positionH>
            <wp:positionV relativeFrom="paragraph">
              <wp:posOffset>101600</wp:posOffset>
            </wp:positionV>
            <wp:extent cx="4229100" cy="1664335"/>
            <wp:effectExtent l="0" t="0" r="0" b="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a:blip r:embed="rId9" cstate="print"/>
                    <a:srcRect r="2504" b="41325"/>
                    <a:stretch>
                      <a:fillRect/>
                    </a:stretch>
                  </pic:blipFill>
                  <pic:spPr>
                    <a:xfrm>
                      <a:off x="0" y="0"/>
                      <a:ext cx="4227436" cy="1663555"/>
                    </a:xfrm>
                    <a:prstGeom prst="rect">
                      <a:avLst/>
                    </a:prstGeom>
                    <a:noFill/>
                    <a:ln w="9525">
                      <a:noFill/>
                      <a:miter lim="800000"/>
                      <a:headEnd/>
                      <a:tailEnd/>
                    </a:ln>
                  </pic:spPr>
                </pic:pic>
              </a:graphicData>
            </a:graphic>
          </wp:anchor>
        </w:drawing>
      </w:r>
    </w:p>
    <w:p w14:paraId="318FA499">
      <w:pPr>
        <w:ind w:firstLine="2240" w:firstLineChars="700"/>
        <w:rPr>
          <w:rFonts w:ascii="仿宋_GB2312" w:hAnsi="宋体" w:eastAsia="仿宋_GB2312"/>
          <w:color w:val="FF0000"/>
          <w:sz w:val="32"/>
          <w:szCs w:val="32"/>
        </w:rPr>
      </w:pPr>
    </w:p>
    <w:p w14:paraId="707F586A">
      <w:pPr>
        <w:ind w:firstLine="2240" w:firstLineChars="700"/>
        <w:rPr>
          <w:rFonts w:ascii="仿宋_GB2312" w:hAnsi="宋体" w:eastAsia="仿宋_GB2312"/>
          <w:color w:val="FF0000"/>
          <w:sz w:val="32"/>
          <w:szCs w:val="32"/>
        </w:rPr>
      </w:pPr>
    </w:p>
    <w:p w14:paraId="726597D5">
      <w:pPr>
        <w:ind w:firstLine="2240" w:firstLineChars="700"/>
        <w:rPr>
          <w:rFonts w:ascii="仿宋_GB2312" w:hAnsi="宋体" w:eastAsia="仿宋_GB2312"/>
          <w:color w:val="FF0000"/>
          <w:sz w:val="32"/>
          <w:szCs w:val="32"/>
        </w:rPr>
      </w:pPr>
    </w:p>
    <w:p w14:paraId="7A1BCE95">
      <w:pPr>
        <w:rPr>
          <w:rFonts w:ascii="仿宋_GB2312" w:hAnsi="宋体" w:eastAsia="仿宋_GB2312"/>
          <w:color w:val="FF0000"/>
          <w:sz w:val="32"/>
          <w:szCs w:val="32"/>
        </w:rPr>
      </w:pPr>
    </w:p>
    <w:p w14:paraId="7DCA439D">
      <w:pPr>
        <w:spacing w:line="52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图4尿道膀胱镜</w:t>
      </w:r>
    </w:p>
    <w:p w14:paraId="44197ED9">
      <w:pPr>
        <w:spacing w:line="520" w:lineRule="exact"/>
        <w:ind w:firstLine="64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1．镜体 2.鞘套 3.导光束接口4.目镜罩</w:t>
      </w:r>
    </w:p>
    <w:p w14:paraId="203D056C">
      <w:pPr>
        <w:spacing w:line="520" w:lineRule="exact"/>
        <w:ind w:firstLine="552"/>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宫腔镜</w:t>
      </w:r>
    </w:p>
    <w:p w14:paraId="69CCE817">
      <w:pPr>
        <w:spacing w:line="1440" w:lineRule="auto"/>
        <w:jc w:val="center"/>
        <w:rPr>
          <w:rFonts w:ascii="仿宋" w:hAnsi="仿宋" w:eastAsia="仿宋"/>
          <w:sz w:val="28"/>
          <w:szCs w:val="28"/>
        </w:rPr>
      </w:pPr>
      <w:r>
        <w:rPr>
          <w:rFonts w:ascii="仿宋_GB2312" w:eastAsia="仿宋_GB2312"/>
          <w:sz w:val="32"/>
          <w:szCs w:val="32"/>
        </w:rPr>
        <w:drawing>
          <wp:inline distT="0" distB="0" distL="0" distR="0">
            <wp:extent cx="4076700" cy="1553845"/>
            <wp:effectExtent l="0" t="0" r="0" b="0"/>
            <wp:docPr id="2"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6"/>
                    <pic:cNvPicPr>
                      <a:picLocks noChangeAspect="1" noChangeArrowheads="1"/>
                    </pic:cNvPicPr>
                  </pic:nvPicPr>
                  <pic:blipFill>
                    <a:blip r:embed="rId10" cstate="print"/>
                    <a:srcRect/>
                    <a:stretch>
                      <a:fillRect/>
                    </a:stretch>
                  </pic:blipFill>
                  <pic:spPr>
                    <a:xfrm>
                      <a:off x="0" y="0"/>
                      <a:ext cx="4084866" cy="1557255"/>
                    </a:xfrm>
                    <a:prstGeom prst="rect">
                      <a:avLst/>
                    </a:prstGeom>
                    <a:noFill/>
                    <a:ln w="9525">
                      <a:noFill/>
                      <a:miter lim="800000"/>
                      <a:headEnd/>
                      <a:tailEnd/>
                    </a:ln>
                  </pic:spPr>
                </pic:pic>
              </a:graphicData>
            </a:graphic>
          </wp:inline>
        </w:drawing>
      </w:r>
    </w:p>
    <w:p w14:paraId="2E1C4CF3">
      <w:pPr>
        <w:spacing w:line="520" w:lineRule="exact"/>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图</w:t>
      </w:r>
      <w:r>
        <w:rPr>
          <w:rFonts w:ascii="Times New Roman" w:hAnsi="Times New Roman" w:eastAsia="仿宋_GB2312" w:cs="Times New Roman"/>
          <w:sz w:val="32"/>
          <w:szCs w:val="32"/>
        </w:rPr>
        <w:t>5  0</w:t>
      </w:r>
      <w:r>
        <w:rPr>
          <w:rFonts w:hint="eastAsia" w:ascii="Times New Roman" w:hAnsi="Times New Roman" w:eastAsia="仿宋_GB2312" w:cs="Times New Roman"/>
          <w:sz w:val="32"/>
          <w:szCs w:val="32"/>
          <w:vertAlign w:val="superscript"/>
        </w:rPr>
        <w:t>°</w:t>
      </w:r>
      <w:r>
        <w:rPr>
          <w:rFonts w:hint="eastAsia" w:ascii="Times New Roman" w:hAnsi="Times New Roman" w:eastAsia="仿宋_GB2312" w:cs="Times New Roman"/>
          <w:sz w:val="32"/>
          <w:szCs w:val="32"/>
        </w:rPr>
        <w:t>一体式宫腔镜</w:t>
      </w:r>
    </w:p>
    <w:p w14:paraId="5A4AEA13">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1.宫颈塞 2.镜体 3.器械孔道 4.目端接管 5.限位器</w:t>
      </w:r>
    </w:p>
    <w:p w14:paraId="0BC63507">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6.</w:t>
      </w:r>
      <w:r>
        <w:rPr>
          <w:rFonts w:hint="eastAsia" w:ascii="Times New Roman" w:hAnsi="Times New Roman" w:eastAsia="仿宋_GB2312" w:cs="Times New Roman"/>
          <w:sz w:val="28"/>
          <w:szCs w:val="28"/>
        </w:rPr>
        <w:t>导光束接口</w:t>
      </w:r>
      <w:r>
        <w:rPr>
          <w:rFonts w:ascii="Times New Roman" w:hAnsi="Times New Roman" w:eastAsia="仿宋_GB2312" w:cs="Times New Roman"/>
          <w:sz w:val="28"/>
          <w:szCs w:val="28"/>
        </w:rPr>
        <w:t xml:space="preserve"> 7.注液孔道 8.</w:t>
      </w:r>
      <w:r>
        <w:rPr>
          <w:rFonts w:hint="eastAsia" w:ascii="Times New Roman" w:hAnsi="Times New Roman" w:eastAsia="仿宋_GB2312" w:cs="Times New Roman"/>
          <w:sz w:val="28"/>
          <w:szCs w:val="28"/>
        </w:rPr>
        <w:t>目镜罩</w:t>
      </w:r>
    </w:p>
    <w:p w14:paraId="04F3BD19">
      <w:pPr>
        <w:spacing w:line="440" w:lineRule="exact"/>
        <w:ind w:firstLine="640"/>
        <w:rPr>
          <w:rFonts w:ascii="仿宋_GB2312" w:eastAsia="仿宋_GB2312"/>
          <w:sz w:val="32"/>
          <w:szCs w:val="32"/>
        </w:rPr>
      </w:pPr>
    </w:p>
    <w:p w14:paraId="0FED5340">
      <w:pPr>
        <w:spacing w:line="1440" w:lineRule="auto"/>
        <w:jc w:val="center"/>
        <w:rPr>
          <w:rFonts w:ascii="仿宋_GB2312" w:eastAsia="仿宋_GB2312"/>
          <w:sz w:val="32"/>
          <w:szCs w:val="32"/>
        </w:rPr>
      </w:pPr>
      <w:r>
        <w:rPr>
          <w:rFonts w:ascii="仿宋_GB2312" w:eastAsia="仿宋_GB2312"/>
          <w:sz w:val="32"/>
          <w:szCs w:val="32"/>
        </w:rPr>
        <w:drawing>
          <wp:inline distT="0" distB="0" distL="0" distR="0">
            <wp:extent cx="5006340" cy="1952625"/>
            <wp:effectExtent l="0" t="0" r="0" b="0"/>
            <wp:docPr id="3"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7"/>
                    <pic:cNvPicPr>
                      <a:picLocks noChangeAspect="1" noChangeArrowheads="1"/>
                    </pic:cNvPicPr>
                  </pic:nvPicPr>
                  <pic:blipFill>
                    <a:blip r:embed="rId11" cstate="print"/>
                    <a:srcRect/>
                    <a:stretch>
                      <a:fillRect/>
                    </a:stretch>
                  </pic:blipFill>
                  <pic:spPr>
                    <a:xfrm>
                      <a:off x="0" y="0"/>
                      <a:ext cx="5008149" cy="1953340"/>
                    </a:xfrm>
                    <a:prstGeom prst="rect">
                      <a:avLst/>
                    </a:prstGeom>
                    <a:noFill/>
                    <a:ln w="9525">
                      <a:noFill/>
                      <a:miter lim="800000"/>
                      <a:headEnd/>
                      <a:tailEnd/>
                    </a:ln>
                  </pic:spPr>
                </pic:pic>
              </a:graphicData>
            </a:graphic>
          </wp:inline>
        </w:drawing>
      </w:r>
    </w:p>
    <w:p w14:paraId="6EBC0AD0">
      <w:pPr>
        <w:spacing w:line="520" w:lineRule="exact"/>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图</w:t>
      </w:r>
      <w:r>
        <w:rPr>
          <w:rFonts w:ascii="Times New Roman" w:hAnsi="Times New Roman" w:eastAsia="仿宋_GB2312" w:cs="Times New Roman"/>
          <w:sz w:val="32"/>
          <w:szCs w:val="32"/>
        </w:rPr>
        <w:t>6  22</w:t>
      </w:r>
      <w:r>
        <w:rPr>
          <w:rFonts w:hint="eastAsia" w:ascii="Times New Roman" w:hAnsi="Times New Roman" w:eastAsia="仿宋_GB2312" w:cs="Times New Roman"/>
          <w:sz w:val="32"/>
          <w:szCs w:val="32"/>
          <w:vertAlign w:val="superscript"/>
        </w:rPr>
        <w:t>°</w:t>
      </w:r>
      <w:r>
        <w:rPr>
          <w:rFonts w:hint="eastAsia" w:ascii="Times New Roman" w:hAnsi="Times New Roman" w:eastAsia="仿宋_GB2312" w:cs="Times New Roman"/>
          <w:sz w:val="32"/>
          <w:szCs w:val="32"/>
        </w:rPr>
        <w:t>一体式宫腔镜</w:t>
      </w:r>
    </w:p>
    <w:p w14:paraId="6F72E745">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1.22</w:t>
      </w:r>
      <w:r>
        <w:rPr>
          <w:rFonts w:ascii="Times New Roman" w:hAnsi="Times New Roman" w:eastAsia="仿宋_GB2312" w:cs="Times New Roman"/>
          <w:sz w:val="28"/>
          <w:szCs w:val="28"/>
          <w:vertAlign w:val="superscript"/>
        </w:rPr>
        <w:t>°</w:t>
      </w:r>
      <w:r>
        <w:rPr>
          <w:rFonts w:hint="eastAsia" w:ascii="Times New Roman" w:hAnsi="Times New Roman" w:eastAsia="仿宋_GB2312" w:cs="Times New Roman"/>
          <w:sz w:val="28"/>
          <w:szCs w:val="28"/>
        </w:rPr>
        <w:t>弯角</w:t>
      </w:r>
      <w:r>
        <w:rPr>
          <w:rFonts w:ascii="Times New Roman" w:hAnsi="Times New Roman" w:eastAsia="仿宋_GB2312" w:cs="Times New Roman"/>
          <w:sz w:val="28"/>
          <w:szCs w:val="28"/>
        </w:rPr>
        <w:t xml:space="preserve"> 2.</w:t>
      </w:r>
      <w:r>
        <w:rPr>
          <w:rFonts w:hint="eastAsia" w:ascii="Times New Roman" w:hAnsi="Times New Roman" w:eastAsia="仿宋_GB2312" w:cs="Times New Roman"/>
          <w:sz w:val="28"/>
          <w:szCs w:val="28"/>
        </w:rPr>
        <w:t>宫颈塞</w:t>
      </w:r>
      <w:r>
        <w:rPr>
          <w:rFonts w:ascii="Times New Roman" w:hAnsi="Times New Roman" w:eastAsia="仿宋_GB2312" w:cs="Times New Roman"/>
          <w:sz w:val="28"/>
          <w:szCs w:val="28"/>
        </w:rPr>
        <w:t xml:space="preserve"> 3.</w:t>
      </w:r>
      <w:r>
        <w:rPr>
          <w:rFonts w:hint="eastAsia" w:ascii="Times New Roman" w:hAnsi="Times New Roman" w:eastAsia="仿宋_GB2312" w:cs="Times New Roman"/>
          <w:sz w:val="28"/>
          <w:szCs w:val="28"/>
        </w:rPr>
        <w:t>镜体</w:t>
      </w:r>
      <w:r>
        <w:rPr>
          <w:rFonts w:ascii="Times New Roman" w:hAnsi="Times New Roman" w:eastAsia="仿宋_GB2312" w:cs="Times New Roman"/>
          <w:sz w:val="28"/>
          <w:szCs w:val="28"/>
        </w:rPr>
        <w:t xml:space="preserve"> 4.</w:t>
      </w:r>
      <w:r>
        <w:rPr>
          <w:rFonts w:hint="eastAsia" w:ascii="Times New Roman" w:hAnsi="Times New Roman" w:eastAsia="仿宋_GB2312" w:cs="Times New Roman"/>
          <w:sz w:val="28"/>
          <w:szCs w:val="28"/>
        </w:rPr>
        <w:t>器械孔道</w:t>
      </w:r>
      <w:r>
        <w:rPr>
          <w:rFonts w:ascii="Times New Roman" w:hAnsi="Times New Roman" w:eastAsia="仿宋_GB2312" w:cs="Times New Roman"/>
          <w:sz w:val="28"/>
          <w:szCs w:val="28"/>
        </w:rPr>
        <w:t xml:space="preserve"> 5.</w:t>
      </w:r>
      <w:r>
        <w:rPr>
          <w:rFonts w:hint="eastAsia" w:ascii="Times New Roman" w:hAnsi="Times New Roman" w:eastAsia="仿宋_GB2312" w:cs="Times New Roman"/>
          <w:sz w:val="28"/>
          <w:szCs w:val="28"/>
        </w:rPr>
        <w:t>目端接管</w:t>
      </w:r>
    </w:p>
    <w:p w14:paraId="3FF9F114">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6.</w:t>
      </w:r>
      <w:r>
        <w:rPr>
          <w:rFonts w:hint="eastAsia" w:ascii="Times New Roman" w:hAnsi="Times New Roman" w:eastAsia="仿宋_GB2312" w:cs="Times New Roman"/>
          <w:sz w:val="28"/>
          <w:szCs w:val="28"/>
        </w:rPr>
        <w:t xml:space="preserve">限位器 </w:t>
      </w:r>
      <w:r>
        <w:rPr>
          <w:rFonts w:ascii="Times New Roman" w:hAnsi="Times New Roman" w:eastAsia="仿宋_GB2312" w:cs="Times New Roman"/>
          <w:sz w:val="28"/>
          <w:szCs w:val="28"/>
        </w:rPr>
        <w:t>7.</w:t>
      </w:r>
      <w:r>
        <w:rPr>
          <w:rFonts w:hint="eastAsia" w:ascii="Times New Roman" w:hAnsi="Times New Roman" w:eastAsia="仿宋_GB2312" w:cs="Times New Roman"/>
          <w:sz w:val="28"/>
          <w:szCs w:val="28"/>
        </w:rPr>
        <w:t>导光束接口</w:t>
      </w:r>
      <w:r>
        <w:rPr>
          <w:rFonts w:ascii="Times New Roman" w:hAnsi="Times New Roman" w:eastAsia="仿宋_GB2312" w:cs="Times New Roman"/>
          <w:sz w:val="28"/>
          <w:szCs w:val="28"/>
        </w:rPr>
        <w:t xml:space="preserve"> 8.</w:t>
      </w:r>
      <w:r>
        <w:rPr>
          <w:rFonts w:hint="eastAsia" w:ascii="Times New Roman" w:hAnsi="Times New Roman" w:eastAsia="仿宋_GB2312" w:cs="Times New Roman"/>
          <w:sz w:val="28"/>
          <w:szCs w:val="28"/>
        </w:rPr>
        <w:t>注液孔道</w:t>
      </w:r>
      <w:r>
        <w:rPr>
          <w:rFonts w:ascii="Times New Roman" w:hAnsi="Times New Roman" w:eastAsia="仿宋_GB2312" w:cs="Times New Roman"/>
          <w:sz w:val="28"/>
          <w:szCs w:val="28"/>
        </w:rPr>
        <w:t xml:space="preserve"> 9.</w:t>
      </w:r>
      <w:r>
        <w:rPr>
          <w:rFonts w:hint="eastAsia" w:ascii="Times New Roman" w:hAnsi="Times New Roman" w:eastAsia="仿宋_GB2312" w:cs="Times New Roman"/>
          <w:sz w:val="28"/>
          <w:szCs w:val="28"/>
        </w:rPr>
        <w:t>目镜罩</w:t>
      </w:r>
    </w:p>
    <w:p w14:paraId="35A69EDE">
      <w:pPr>
        <w:spacing w:line="44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分体式宫腔镜一般由30°宫腔镜（图7所示）、操作器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图8所示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、鞘套</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图9所示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等几部分组成。</w:t>
      </w:r>
    </w:p>
    <w:p w14:paraId="592BD280">
      <w:pPr>
        <w:spacing w:line="1440" w:lineRule="auto"/>
        <w:jc w:val="center"/>
        <w:rPr>
          <w:rFonts w:ascii="仿宋_GB2312" w:eastAsia="仿宋_GB2312"/>
          <w:sz w:val="32"/>
          <w:szCs w:val="32"/>
        </w:rPr>
      </w:pPr>
      <w:r>
        <w:rPr>
          <w:rFonts w:ascii="仿宋_GB2312" w:eastAsia="仿宋_GB2312"/>
          <w:sz w:val="32"/>
          <w:szCs w:val="32"/>
        </w:rPr>
        <w:drawing>
          <wp:inline distT="0" distB="0" distL="0" distR="0">
            <wp:extent cx="4579620" cy="1445260"/>
            <wp:effectExtent l="0" t="0" r="0" b="0"/>
            <wp:docPr id="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8"/>
                    <pic:cNvPicPr>
                      <a:picLocks noChangeAspect="1" noChangeArrowheads="1"/>
                    </pic:cNvPicPr>
                  </pic:nvPicPr>
                  <pic:blipFill>
                    <a:blip r:embed="rId12" cstate="print"/>
                    <a:srcRect l="-378" t="-3496" r="-755" b="-2797"/>
                    <a:stretch>
                      <a:fillRect/>
                    </a:stretch>
                  </pic:blipFill>
                  <pic:spPr>
                    <a:xfrm>
                      <a:off x="0" y="0"/>
                      <a:ext cx="4585904" cy="1447800"/>
                    </a:xfrm>
                    <a:prstGeom prst="rect">
                      <a:avLst/>
                    </a:prstGeom>
                    <a:noFill/>
                    <a:ln w="9525">
                      <a:noFill/>
                      <a:miter lim="800000"/>
                      <a:headEnd/>
                      <a:tailEnd/>
                    </a:ln>
                  </pic:spPr>
                </pic:pic>
              </a:graphicData>
            </a:graphic>
          </wp:inline>
        </w:drawing>
      </w:r>
    </w:p>
    <w:p w14:paraId="0F248731">
      <w:pPr>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图</w:t>
      </w:r>
      <w:r>
        <w:rPr>
          <w:rFonts w:ascii="Times New Roman" w:hAnsi="Times New Roman" w:eastAsia="仿宋_GB2312" w:cs="Times New Roman"/>
          <w:sz w:val="32"/>
          <w:szCs w:val="32"/>
        </w:rPr>
        <w:t>7  30</w:t>
      </w:r>
      <w:r>
        <w:rPr>
          <w:rFonts w:hint="eastAsia" w:ascii="Times New Roman" w:hAnsi="Times New Roman" w:eastAsia="仿宋_GB2312" w:cs="Times New Roman"/>
          <w:sz w:val="32"/>
          <w:szCs w:val="32"/>
          <w:vertAlign w:val="superscript"/>
        </w:rPr>
        <w:t>°</w:t>
      </w:r>
      <w:r>
        <w:rPr>
          <w:rFonts w:hint="eastAsia" w:ascii="Times New Roman" w:hAnsi="Times New Roman" w:eastAsia="仿宋_GB2312" w:cs="Times New Roman"/>
          <w:sz w:val="32"/>
          <w:szCs w:val="32"/>
        </w:rPr>
        <w:t>宫腔镜</w:t>
      </w:r>
    </w:p>
    <w:p w14:paraId="1E73F7A8">
      <w:pPr>
        <w:spacing w:line="1440" w:lineRule="auto"/>
        <w:jc w:val="center"/>
        <w:rPr>
          <w:rFonts w:ascii="仿宋_GB2312" w:eastAsia="仿宋_GB2312"/>
          <w:sz w:val="32"/>
          <w:szCs w:val="32"/>
        </w:rPr>
      </w:pPr>
      <w:r>
        <w:rPr>
          <w:rFonts w:ascii="仿宋_GB2312" w:eastAsia="仿宋_GB2312"/>
          <w:sz w:val="32"/>
          <w:szCs w:val="32"/>
        </w:rPr>
        <w:drawing>
          <wp:inline distT="0" distB="0" distL="0" distR="0">
            <wp:extent cx="4419600" cy="1171575"/>
            <wp:effectExtent l="0" t="0" r="0" b="0"/>
            <wp:docPr id="5"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9"/>
                    <pic:cNvPicPr>
                      <a:picLocks noChangeAspect="1" noChangeArrowheads="1"/>
                    </pic:cNvPicPr>
                  </pic:nvPicPr>
                  <pic:blipFill>
                    <a:blip r:embed="rId13" cstate="print"/>
                    <a:srcRect l="-2438" t="-67188" r="-10732" b="-95313"/>
                    <a:stretch>
                      <a:fillRect/>
                    </a:stretch>
                  </pic:blipFill>
                  <pic:spPr>
                    <a:xfrm>
                      <a:off x="0" y="0"/>
                      <a:ext cx="4419600" cy="1171575"/>
                    </a:xfrm>
                    <a:prstGeom prst="rect">
                      <a:avLst/>
                    </a:prstGeom>
                    <a:noFill/>
                    <a:ln w="9525">
                      <a:noFill/>
                      <a:miter lim="800000"/>
                      <a:headEnd/>
                      <a:tailEnd/>
                    </a:ln>
                  </pic:spPr>
                </pic:pic>
              </a:graphicData>
            </a:graphic>
          </wp:inline>
        </w:drawing>
      </w:r>
    </w:p>
    <w:p w14:paraId="4CEF54AF">
      <w:pPr>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图</w:t>
      </w:r>
      <w:r>
        <w:rPr>
          <w:rFonts w:ascii="Times New Roman" w:hAnsi="Times New Roman" w:eastAsia="仿宋_GB2312" w:cs="Times New Roman"/>
          <w:sz w:val="32"/>
          <w:szCs w:val="32"/>
        </w:rPr>
        <w:t xml:space="preserve">8  </w:t>
      </w:r>
      <w:r>
        <w:rPr>
          <w:rFonts w:hint="eastAsia" w:ascii="Times New Roman" w:hAnsi="Times New Roman" w:eastAsia="仿宋_GB2312" w:cs="Times New Roman"/>
          <w:sz w:val="32"/>
          <w:szCs w:val="32"/>
        </w:rPr>
        <w:t>操作器</w:t>
      </w:r>
    </w:p>
    <w:p w14:paraId="56F5786A">
      <w:pPr>
        <w:spacing w:line="1440" w:lineRule="auto"/>
        <w:ind w:left="-1575" w:leftChars="-750" w:firstLine="1575"/>
        <w:jc w:val="center"/>
        <w:rPr>
          <w:rFonts w:ascii="宋体" w:hAnsi="宋体" w:cs="宋体"/>
          <w:color w:val="FF0000"/>
          <w:sz w:val="32"/>
          <w:szCs w:val="32"/>
        </w:rPr>
      </w:pPr>
      <w:r>
        <w:rPr>
          <w:rFonts w:ascii="宋体" w:hAnsi="宋体" w:cs="宋体"/>
          <w:color w:val="FF0000"/>
          <w:sz w:val="32"/>
          <w:szCs w:val="32"/>
        </w:rPr>
        <w:drawing>
          <wp:inline distT="0" distB="0" distL="0" distR="0">
            <wp:extent cx="4216400" cy="897255"/>
            <wp:effectExtent l="0" t="0" r="0" b="0"/>
            <wp:docPr id="6"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0"/>
                    <pic:cNvPicPr>
                      <a:picLocks noChangeAspect="1" noChangeArrowheads="1"/>
                    </pic:cNvPicPr>
                  </pic:nvPicPr>
                  <pic:blipFill>
                    <a:blip r:embed="rId14" cstate="print"/>
                    <a:srcRect l="-17264" t="-6580" r="-27036" b="-17105"/>
                    <a:stretch>
                      <a:fillRect/>
                    </a:stretch>
                  </pic:blipFill>
                  <pic:spPr>
                    <a:xfrm>
                      <a:off x="0" y="0"/>
                      <a:ext cx="4216400" cy="897255"/>
                    </a:xfrm>
                    <a:prstGeom prst="rect">
                      <a:avLst/>
                    </a:prstGeom>
                    <a:noFill/>
                    <a:ln w="9525">
                      <a:noFill/>
                      <a:miter lim="800000"/>
                      <a:headEnd/>
                      <a:tailEnd/>
                    </a:ln>
                  </pic:spPr>
                </pic:pic>
              </a:graphicData>
            </a:graphic>
          </wp:inline>
        </w:drawing>
      </w:r>
    </w:p>
    <w:p w14:paraId="423594D3">
      <w:pPr>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图</w:t>
      </w:r>
      <w:r>
        <w:rPr>
          <w:rFonts w:ascii="Times New Roman" w:hAnsi="Times New Roman" w:eastAsia="仿宋_GB2312" w:cs="Times New Roman"/>
          <w:sz w:val="32"/>
          <w:szCs w:val="32"/>
        </w:rPr>
        <w:t xml:space="preserve">9 </w:t>
      </w:r>
      <w:r>
        <w:rPr>
          <w:rFonts w:hint="eastAsia" w:ascii="Times New Roman" w:hAnsi="Times New Roman" w:eastAsia="仿宋_GB2312" w:cs="Times New Roman"/>
          <w:sz w:val="32"/>
          <w:szCs w:val="32"/>
        </w:rPr>
        <w:t>鞘套</w:t>
      </w:r>
    </w:p>
    <w:p w14:paraId="7E16A781">
      <w:pPr>
        <w:spacing w:line="240" w:lineRule="atLeast"/>
        <w:ind w:left="707" w:hanging="707" w:hangingChars="221"/>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直肠镜</w:t>
      </w:r>
    </w:p>
    <w:p w14:paraId="17C216AC">
      <w:pPr>
        <w:spacing w:line="240" w:lineRule="atLeast"/>
        <w:ind w:left="707" w:hanging="707" w:hangingChars="221"/>
        <w:jc w:val="left"/>
        <w:rPr>
          <w:rFonts w:ascii="仿宋_GB2312" w:hAnsi="仿宋" w:eastAsia="仿宋_GB2312"/>
          <w:sz w:val="32"/>
          <w:szCs w:val="32"/>
        </w:rPr>
      </w:pPr>
      <w:r>
        <w:rPr>
          <w:rFonts w:ascii="仿宋_GB2312" w:eastAsia="仿宋_GB2312"/>
          <w:sz w:val="32"/>
          <w:szCs w:val="32"/>
        </w:rPr>
        <w:drawing>
          <wp:anchor distT="0" distB="0" distL="114300" distR="114300" simplePos="0" relativeHeight="251666432" behindDoc="0" locked="0" layoutInCell="1" allowOverlap="1">
            <wp:simplePos x="0" y="0"/>
            <wp:positionH relativeFrom="column">
              <wp:posOffset>269875</wp:posOffset>
            </wp:positionH>
            <wp:positionV relativeFrom="paragraph">
              <wp:posOffset>86360</wp:posOffset>
            </wp:positionV>
            <wp:extent cx="4533900" cy="1830070"/>
            <wp:effectExtent l="0" t="0" r="0" b="0"/>
            <wp:wrapNone/>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36960" cy="1831093"/>
                    </a:xfrm>
                    <a:prstGeom prst="rect">
                      <a:avLst/>
                    </a:prstGeom>
                    <a:noFill/>
                    <a:ln w="9525">
                      <a:noFill/>
                      <a:miter lim="800000"/>
                      <a:headEnd/>
                      <a:tailEnd/>
                    </a:ln>
                  </pic:spPr>
                </pic:pic>
              </a:graphicData>
            </a:graphic>
          </wp:anchor>
        </w:drawing>
      </w:r>
    </w:p>
    <w:p w14:paraId="6FBDF797">
      <w:pPr>
        <w:spacing w:line="440" w:lineRule="exact"/>
        <w:rPr>
          <w:rFonts w:ascii="仿宋_GB2312" w:eastAsia="仿宋_GB2312"/>
          <w:sz w:val="32"/>
          <w:szCs w:val="32"/>
        </w:rPr>
      </w:pPr>
    </w:p>
    <w:p w14:paraId="3313B6D8">
      <w:pPr>
        <w:spacing w:line="440" w:lineRule="exact"/>
        <w:rPr>
          <w:rFonts w:ascii="仿宋_GB2312" w:eastAsia="仿宋_GB2312"/>
          <w:sz w:val="32"/>
          <w:szCs w:val="32"/>
        </w:rPr>
      </w:pPr>
    </w:p>
    <w:p w14:paraId="7B731EB5">
      <w:pPr>
        <w:spacing w:line="440" w:lineRule="exact"/>
        <w:rPr>
          <w:rFonts w:ascii="仿宋_GB2312" w:eastAsia="仿宋_GB2312"/>
          <w:sz w:val="32"/>
          <w:szCs w:val="32"/>
        </w:rPr>
      </w:pPr>
    </w:p>
    <w:p w14:paraId="18CBB3DB">
      <w:pPr>
        <w:spacing w:line="520" w:lineRule="exact"/>
        <w:ind w:firstLine="3080" w:firstLineChars="1100"/>
        <w:rPr>
          <w:rFonts w:ascii="仿宋" w:hAnsi="仿宋" w:eastAsia="仿宋"/>
          <w:sz w:val="28"/>
          <w:szCs w:val="28"/>
        </w:rPr>
      </w:pPr>
    </w:p>
    <w:p w14:paraId="05865724">
      <w:pPr>
        <w:spacing w:line="520" w:lineRule="exact"/>
        <w:jc w:val="center"/>
        <w:rPr>
          <w:rFonts w:ascii="仿宋_GB2312" w:hAnsi="仿宋" w:eastAsia="仿宋_GB2312"/>
          <w:sz w:val="32"/>
          <w:szCs w:val="32"/>
        </w:rPr>
      </w:pPr>
    </w:p>
    <w:p w14:paraId="3D8B0684">
      <w:pPr>
        <w:spacing w:line="52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图10 直肠镜</w:t>
      </w:r>
    </w:p>
    <w:p w14:paraId="7E33A5C2">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闭孔器</w:t>
      </w:r>
      <w:r>
        <w:rPr>
          <w:rFonts w:ascii="Times New Roman" w:hAnsi="Times New Roman" w:eastAsia="仿宋_GB2312" w:cs="Times New Roman"/>
          <w:sz w:val="28"/>
          <w:szCs w:val="28"/>
        </w:rPr>
        <w:t xml:space="preserve"> 2.</w:t>
      </w:r>
      <w:r>
        <w:rPr>
          <w:rFonts w:hint="eastAsia" w:ascii="Times New Roman" w:hAnsi="Times New Roman" w:eastAsia="仿宋_GB2312" w:cs="Times New Roman"/>
          <w:sz w:val="28"/>
          <w:szCs w:val="28"/>
        </w:rPr>
        <w:t>窥视管</w:t>
      </w:r>
      <w:r>
        <w:rPr>
          <w:rFonts w:ascii="Times New Roman" w:hAnsi="Times New Roman" w:eastAsia="仿宋_GB2312" w:cs="Times New Roman"/>
          <w:sz w:val="28"/>
          <w:szCs w:val="28"/>
        </w:rPr>
        <w:t xml:space="preserve"> 3.</w:t>
      </w:r>
      <w:r>
        <w:rPr>
          <w:rFonts w:hint="eastAsia" w:ascii="Times New Roman" w:hAnsi="Times New Roman" w:eastAsia="仿宋_GB2312" w:cs="Times New Roman"/>
          <w:sz w:val="28"/>
          <w:szCs w:val="28"/>
        </w:rPr>
        <w:t>注气孔</w:t>
      </w:r>
      <w:r>
        <w:rPr>
          <w:rFonts w:ascii="Times New Roman" w:hAnsi="Times New Roman" w:eastAsia="仿宋_GB2312" w:cs="Times New Roman"/>
          <w:sz w:val="28"/>
          <w:szCs w:val="28"/>
        </w:rPr>
        <w:t xml:space="preserve"> 4.</w:t>
      </w:r>
      <w:r>
        <w:rPr>
          <w:rFonts w:hint="eastAsia" w:ascii="Times New Roman" w:hAnsi="Times New Roman" w:eastAsia="仿宋_GB2312" w:cs="Times New Roman"/>
          <w:sz w:val="28"/>
          <w:szCs w:val="28"/>
        </w:rPr>
        <w:t>手柄</w:t>
      </w:r>
      <w:r>
        <w:rPr>
          <w:rFonts w:ascii="Times New Roman" w:hAnsi="Times New Roman" w:eastAsia="仿宋_GB2312" w:cs="Times New Roman"/>
          <w:sz w:val="28"/>
          <w:szCs w:val="28"/>
        </w:rPr>
        <w:t xml:space="preserve"> 5.</w:t>
      </w:r>
      <w:r>
        <w:rPr>
          <w:rFonts w:hint="eastAsia" w:ascii="Times New Roman" w:hAnsi="Times New Roman" w:eastAsia="仿宋_GB2312" w:cs="Times New Roman"/>
          <w:sz w:val="28"/>
          <w:szCs w:val="28"/>
        </w:rPr>
        <w:t>导光束接口</w:t>
      </w:r>
    </w:p>
    <w:p w14:paraId="5C0E96D7">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6.</w:t>
      </w:r>
      <w:r>
        <w:rPr>
          <w:rFonts w:hint="eastAsia" w:ascii="Times New Roman" w:hAnsi="Times New Roman" w:eastAsia="仿宋_GB2312" w:cs="Times New Roman"/>
          <w:sz w:val="28"/>
          <w:szCs w:val="28"/>
        </w:rPr>
        <w:t xml:space="preserve">器械孔道 </w:t>
      </w:r>
      <w:r>
        <w:rPr>
          <w:rFonts w:ascii="Times New Roman" w:hAnsi="Times New Roman" w:eastAsia="仿宋_GB2312" w:cs="Times New Roman"/>
          <w:sz w:val="28"/>
          <w:szCs w:val="28"/>
        </w:rPr>
        <w:t>7.</w:t>
      </w:r>
      <w:r>
        <w:rPr>
          <w:rFonts w:hint="eastAsia" w:ascii="Times New Roman" w:hAnsi="Times New Roman" w:eastAsia="仿宋_GB2312" w:cs="Times New Roman"/>
          <w:sz w:val="28"/>
          <w:szCs w:val="28"/>
        </w:rPr>
        <w:t>目镜罩</w:t>
      </w:r>
    </w:p>
    <w:p w14:paraId="03F32DD6">
      <w:pPr>
        <w:spacing w:line="520" w:lineRule="exact"/>
        <w:ind w:firstLine="640" w:firstLineChars="200"/>
        <w:jc w:val="left"/>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（三）产品工作原理</w:t>
      </w:r>
    </w:p>
    <w:p w14:paraId="2CE3B84D">
      <w:pPr>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1.产品的基本原理和实际使用描述</w:t>
      </w:r>
    </w:p>
    <w:p w14:paraId="408A7D47">
      <w:pPr>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1.1硬性光学内窥镜主要由光学成像系统和照明系统组成。</w:t>
      </w:r>
    </w:p>
    <w:p w14:paraId="749FD061">
      <w:pPr>
        <w:spacing w:line="520" w:lineRule="exact"/>
        <w:ind w:firstLine="640" w:firstLineChars="200"/>
        <w:jc w:val="left"/>
        <w:rPr>
          <w:rFonts w:ascii="仿宋_GB2312" w:hAnsi="仿宋" w:eastAsia="仿宋_GB2312"/>
          <w:sz w:val="32"/>
          <w:szCs w:val="32"/>
        </w:rPr>
      </w:pPr>
      <w:r>
        <w:rPr>
          <w:rFonts w:ascii="仿宋_GB2312" w:hAnsi="宋体" w:eastAsia="仿宋_GB2312"/>
          <w:sz w:val="32"/>
          <w:szCs w:val="32"/>
        </w:rPr>
        <w:drawing>
          <wp:anchor distT="0" distB="0" distL="114300" distR="114300" simplePos="0" relativeHeight="251659264" behindDoc="0" locked="0" layoutInCell="1" allowOverlap="1">
            <wp:simplePos x="0" y="0"/>
            <wp:positionH relativeFrom="column">
              <wp:posOffset>256540</wp:posOffset>
            </wp:positionH>
            <wp:positionV relativeFrom="paragraph">
              <wp:posOffset>-3810</wp:posOffset>
            </wp:positionV>
            <wp:extent cx="5178425" cy="2076450"/>
            <wp:effectExtent l="0" t="0" r="0" b="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16" cstate="print"/>
                    <a:srcRect b="13153"/>
                    <a:stretch>
                      <a:fillRect/>
                    </a:stretch>
                  </pic:blipFill>
                  <pic:spPr>
                    <a:xfrm>
                      <a:off x="0" y="0"/>
                      <a:ext cx="5179785" cy="2077112"/>
                    </a:xfrm>
                    <a:prstGeom prst="rect">
                      <a:avLst/>
                    </a:prstGeom>
                    <a:noFill/>
                    <a:ln w="9525">
                      <a:noFill/>
                      <a:miter lim="800000"/>
                      <a:headEnd/>
                      <a:tailEnd/>
                    </a:ln>
                  </pic:spPr>
                </pic:pic>
              </a:graphicData>
            </a:graphic>
          </wp:anchor>
        </w:drawing>
      </w:r>
    </w:p>
    <w:p w14:paraId="428D5440">
      <w:pPr>
        <w:autoSpaceDE w:val="0"/>
        <w:autoSpaceDN w:val="0"/>
        <w:adjustRightInd w:val="0"/>
        <w:spacing w:line="440" w:lineRule="exact"/>
        <w:ind w:firstLine="640" w:firstLineChars="200"/>
        <w:jc w:val="left"/>
        <w:rPr>
          <w:rFonts w:ascii="仿宋_GB2312" w:hAnsi="宋体" w:eastAsia="仿宋_GB2312"/>
          <w:sz w:val="32"/>
          <w:szCs w:val="32"/>
        </w:rPr>
      </w:pPr>
    </w:p>
    <w:p w14:paraId="6BCAF1A8">
      <w:pPr>
        <w:autoSpaceDE w:val="0"/>
        <w:autoSpaceDN w:val="0"/>
        <w:adjustRightInd w:val="0"/>
        <w:spacing w:line="440" w:lineRule="exact"/>
        <w:ind w:firstLine="640" w:firstLineChars="200"/>
        <w:jc w:val="left"/>
        <w:rPr>
          <w:rFonts w:ascii="仿宋_GB2312" w:hAnsi="宋体" w:eastAsia="仿宋_GB2312"/>
          <w:sz w:val="32"/>
          <w:szCs w:val="32"/>
        </w:rPr>
      </w:pPr>
    </w:p>
    <w:p w14:paraId="69BF9FCA">
      <w:pPr>
        <w:autoSpaceDE w:val="0"/>
        <w:autoSpaceDN w:val="0"/>
        <w:adjustRightInd w:val="0"/>
        <w:spacing w:line="440" w:lineRule="exact"/>
        <w:ind w:firstLine="640" w:firstLineChars="200"/>
        <w:jc w:val="left"/>
        <w:rPr>
          <w:rFonts w:ascii="仿宋_GB2312" w:hAnsi="宋体" w:eastAsia="仿宋_GB2312"/>
          <w:sz w:val="32"/>
          <w:szCs w:val="32"/>
        </w:rPr>
      </w:pPr>
    </w:p>
    <w:p w14:paraId="564C42BC">
      <w:pPr>
        <w:autoSpaceDE w:val="0"/>
        <w:autoSpaceDN w:val="0"/>
        <w:adjustRightInd w:val="0"/>
        <w:spacing w:line="440" w:lineRule="exact"/>
        <w:ind w:firstLine="640" w:firstLineChars="200"/>
        <w:jc w:val="left"/>
        <w:rPr>
          <w:rFonts w:ascii="仿宋_GB2312" w:hAnsi="宋体" w:eastAsia="仿宋_GB2312"/>
          <w:sz w:val="32"/>
          <w:szCs w:val="32"/>
        </w:rPr>
      </w:pPr>
    </w:p>
    <w:p w14:paraId="3DF1533E">
      <w:pPr>
        <w:autoSpaceDE w:val="0"/>
        <w:autoSpaceDN w:val="0"/>
        <w:adjustRightInd w:val="0"/>
        <w:spacing w:line="440" w:lineRule="exact"/>
        <w:ind w:firstLine="640" w:firstLineChars="200"/>
        <w:jc w:val="left"/>
        <w:rPr>
          <w:rFonts w:ascii="仿宋_GB2312" w:hAnsi="宋体" w:eastAsia="仿宋_GB2312"/>
          <w:sz w:val="32"/>
          <w:szCs w:val="32"/>
        </w:rPr>
      </w:pPr>
    </w:p>
    <w:p w14:paraId="1C28046F">
      <w:pPr>
        <w:autoSpaceDE w:val="0"/>
        <w:autoSpaceDN w:val="0"/>
        <w:adjustRightInd w:val="0"/>
        <w:spacing w:line="440" w:lineRule="exact"/>
        <w:ind w:firstLine="640" w:firstLineChars="200"/>
        <w:jc w:val="left"/>
        <w:rPr>
          <w:rFonts w:ascii="仿宋_GB2312" w:hAnsi="宋体" w:eastAsia="仿宋_GB2312"/>
          <w:sz w:val="32"/>
          <w:szCs w:val="32"/>
        </w:rPr>
      </w:pPr>
    </w:p>
    <w:p w14:paraId="0BCBB797">
      <w:pPr>
        <w:spacing w:line="620" w:lineRule="exact"/>
        <w:ind w:firstLine="640" w:firstLineChars="200"/>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图</w:t>
      </w:r>
      <w:r>
        <w:rPr>
          <w:rFonts w:ascii="Times New Roman" w:hAnsi="Times New Roman" w:eastAsia="仿宋_GB2312" w:cs="Times New Roman"/>
          <w:sz w:val="32"/>
          <w:szCs w:val="32"/>
        </w:rPr>
        <w:t>11</w:t>
      </w:r>
      <w:r>
        <w:rPr>
          <w:rFonts w:hint="eastAsia" w:ascii="Times New Roman" w:hAnsi="Times New Roman" w:eastAsia="仿宋_GB2312" w:cs="Times New Roman"/>
          <w:sz w:val="32"/>
          <w:szCs w:val="32"/>
        </w:rPr>
        <w:t>内窥镜产品内部结构示意图（</w:t>
      </w:r>
      <w:r>
        <w:rPr>
          <w:rFonts w:ascii="Times New Roman" w:hAnsi="Times New Roman" w:eastAsia="仿宋_GB2312" w:cs="Times New Roman"/>
          <w:sz w:val="32"/>
          <w:szCs w:val="32"/>
        </w:rPr>
        <w:t>1）</w:t>
      </w:r>
    </w:p>
    <w:p w14:paraId="40D38430">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目镜罩</w:t>
      </w:r>
      <w:r>
        <w:rPr>
          <w:rFonts w:ascii="Times New Roman" w:hAnsi="Times New Roman" w:eastAsia="仿宋_GB2312" w:cs="Times New Roman"/>
          <w:sz w:val="28"/>
          <w:szCs w:val="28"/>
        </w:rPr>
        <w:t xml:space="preserve"> 2.目镜 3.</w:t>
      </w:r>
      <w:r>
        <w:rPr>
          <w:rFonts w:hint="eastAsia" w:ascii="Times New Roman" w:hAnsi="Times New Roman" w:eastAsia="仿宋_GB2312" w:cs="Times New Roman"/>
          <w:sz w:val="28"/>
          <w:szCs w:val="28"/>
        </w:rPr>
        <w:t>入光口</w:t>
      </w:r>
      <w:r>
        <w:rPr>
          <w:rFonts w:ascii="Times New Roman" w:hAnsi="Times New Roman" w:eastAsia="仿宋_GB2312" w:cs="Times New Roman"/>
          <w:sz w:val="28"/>
          <w:szCs w:val="28"/>
        </w:rPr>
        <w:t xml:space="preserve"> 4.照</w:t>
      </w:r>
      <w:r>
        <w:rPr>
          <w:rFonts w:hint="eastAsia" w:ascii="Times New Roman" w:hAnsi="Times New Roman" w:eastAsia="仿宋_GB2312" w:cs="Times New Roman"/>
          <w:sz w:val="28"/>
          <w:szCs w:val="28"/>
        </w:rPr>
        <w:t>明光纤</w:t>
      </w:r>
      <w:r>
        <w:rPr>
          <w:rFonts w:ascii="Times New Roman" w:hAnsi="Times New Roman" w:eastAsia="仿宋_GB2312" w:cs="Times New Roman"/>
          <w:sz w:val="28"/>
          <w:szCs w:val="28"/>
        </w:rPr>
        <w:t xml:space="preserve"> 5.</w:t>
      </w:r>
      <w:r>
        <w:rPr>
          <w:rFonts w:hint="eastAsia" w:ascii="Times New Roman" w:hAnsi="Times New Roman" w:eastAsia="仿宋_GB2312" w:cs="Times New Roman"/>
          <w:sz w:val="28"/>
          <w:szCs w:val="28"/>
        </w:rPr>
        <w:t>传像系统</w:t>
      </w:r>
    </w:p>
    <w:p w14:paraId="7D0B61EB">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6.</w:t>
      </w:r>
      <w:r>
        <w:rPr>
          <w:rFonts w:hint="eastAsia" w:ascii="Times New Roman" w:hAnsi="Times New Roman" w:eastAsia="仿宋_GB2312" w:cs="Times New Roman"/>
          <w:sz w:val="28"/>
          <w:szCs w:val="28"/>
        </w:rPr>
        <w:t>转向棱镜</w:t>
      </w:r>
      <w:r>
        <w:rPr>
          <w:rFonts w:ascii="Times New Roman" w:hAnsi="Times New Roman" w:eastAsia="仿宋_GB2312" w:cs="Times New Roman"/>
          <w:sz w:val="28"/>
          <w:szCs w:val="28"/>
        </w:rPr>
        <w:t xml:space="preserve"> 7.目镜</w:t>
      </w:r>
      <w:r>
        <w:rPr>
          <w:rFonts w:hint="eastAsia" w:ascii="Times New Roman" w:hAnsi="Times New Roman" w:eastAsia="仿宋_GB2312" w:cs="Times New Roman"/>
          <w:sz w:val="28"/>
          <w:szCs w:val="28"/>
        </w:rPr>
        <w:t>保护片</w:t>
      </w:r>
      <w:r>
        <w:rPr>
          <w:rFonts w:ascii="Times New Roman" w:hAnsi="Times New Roman" w:eastAsia="仿宋_GB2312" w:cs="Times New Roman"/>
          <w:sz w:val="28"/>
          <w:szCs w:val="28"/>
        </w:rPr>
        <w:t xml:space="preserve"> 8.视场光阑 9.外镜管 10.内镜管  </w:t>
      </w:r>
    </w:p>
    <w:p w14:paraId="2921E8E9">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11. </w:t>
      </w:r>
      <w:r>
        <w:rPr>
          <w:rFonts w:hint="eastAsia" w:ascii="Times New Roman" w:hAnsi="Times New Roman" w:eastAsia="仿宋_GB2312" w:cs="Times New Roman"/>
          <w:sz w:val="28"/>
          <w:szCs w:val="28"/>
        </w:rPr>
        <w:t>物镜组</w:t>
      </w:r>
      <w:r>
        <w:rPr>
          <w:rFonts w:ascii="Times New Roman" w:hAnsi="Times New Roman" w:eastAsia="仿宋_GB2312" w:cs="Times New Roman"/>
          <w:sz w:val="28"/>
          <w:szCs w:val="28"/>
        </w:rPr>
        <w:t xml:space="preserve"> 12.物镜</w:t>
      </w:r>
      <w:r>
        <w:rPr>
          <w:rFonts w:hint="eastAsia" w:ascii="Times New Roman" w:hAnsi="Times New Roman" w:eastAsia="仿宋_GB2312" w:cs="Times New Roman"/>
          <w:sz w:val="28"/>
          <w:szCs w:val="28"/>
        </w:rPr>
        <w:t>组</w:t>
      </w:r>
      <w:r>
        <w:rPr>
          <w:rFonts w:ascii="Times New Roman" w:hAnsi="Times New Roman" w:eastAsia="仿宋_GB2312" w:cs="Times New Roman"/>
          <w:sz w:val="28"/>
          <w:szCs w:val="28"/>
        </w:rPr>
        <w:t xml:space="preserve"> 13.保护片</w:t>
      </w:r>
    </w:p>
    <w:p w14:paraId="28A6EB67">
      <w:pPr>
        <w:autoSpaceDE w:val="0"/>
        <w:autoSpaceDN w:val="0"/>
        <w:adjustRightInd w:val="0"/>
        <w:spacing w:line="440" w:lineRule="exact"/>
        <w:ind w:firstLine="640"/>
        <w:jc w:val="center"/>
        <w:rPr>
          <w:rFonts w:ascii="仿宋_GB2312" w:hAnsi="宋体" w:eastAsia="仿宋_GB2312"/>
          <w:sz w:val="32"/>
          <w:szCs w:val="32"/>
        </w:rPr>
      </w:pPr>
    </w:p>
    <w:p w14:paraId="35EB8107">
      <w:pPr>
        <w:autoSpaceDE w:val="0"/>
        <w:autoSpaceDN w:val="0"/>
        <w:adjustRightInd w:val="0"/>
        <w:spacing w:line="440" w:lineRule="exact"/>
        <w:ind w:firstLine="640" w:firstLineChars="200"/>
        <w:jc w:val="left"/>
        <w:rPr>
          <w:rFonts w:ascii="仿宋_GB2312" w:hAnsi="宋体" w:eastAsia="仿宋_GB2312"/>
          <w:sz w:val="32"/>
          <w:szCs w:val="32"/>
        </w:rPr>
      </w:pPr>
    </w:p>
    <w:p w14:paraId="3FF16425">
      <w:pPr>
        <w:autoSpaceDE w:val="0"/>
        <w:autoSpaceDN w:val="0"/>
        <w:adjustRightInd w:val="0"/>
        <w:spacing w:line="440" w:lineRule="exact"/>
        <w:ind w:firstLine="640"/>
        <w:jc w:val="left"/>
        <w:rPr>
          <w:rFonts w:ascii="仿宋_GB2312" w:hAnsi="宋体" w:eastAsia="仿宋_GB2312"/>
          <w:sz w:val="32"/>
          <w:szCs w:val="32"/>
        </w:rPr>
      </w:pPr>
      <w:r>
        <w:rPr>
          <w:rFonts w:ascii="仿宋_GB2312" w:eastAsia="仿宋_GB2312"/>
          <w:sz w:val="32"/>
          <w:szCs w:val="32"/>
        </w:rPr>
        <w:drawing>
          <wp:anchor distT="0" distB="0" distL="114300" distR="114300" simplePos="0" relativeHeight="251665408" behindDoc="0" locked="0" layoutInCell="1" allowOverlap="1">
            <wp:simplePos x="0" y="0"/>
            <wp:positionH relativeFrom="column">
              <wp:posOffset>7620</wp:posOffset>
            </wp:positionH>
            <wp:positionV relativeFrom="paragraph">
              <wp:posOffset>-153035</wp:posOffset>
            </wp:positionV>
            <wp:extent cx="5943600" cy="1875790"/>
            <wp:effectExtent l="0" t="0" r="0" b="0"/>
            <wp:wrapNone/>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noChangeArrowheads="1"/>
                    </pic:cNvPicPr>
                  </pic:nvPicPr>
                  <pic:blipFill>
                    <a:blip r:embed="rId17" cstate="print"/>
                    <a:srcRect b="15115"/>
                    <a:stretch>
                      <a:fillRect/>
                    </a:stretch>
                  </pic:blipFill>
                  <pic:spPr>
                    <a:xfrm>
                      <a:off x="0" y="0"/>
                      <a:ext cx="5943600" cy="1875790"/>
                    </a:xfrm>
                    <a:prstGeom prst="rect">
                      <a:avLst/>
                    </a:prstGeom>
                    <a:noFill/>
                    <a:ln w="9525">
                      <a:noFill/>
                      <a:miter lim="800000"/>
                      <a:headEnd/>
                      <a:tailEnd/>
                    </a:ln>
                  </pic:spPr>
                </pic:pic>
              </a:graphicData>
            </a:graphic>
          </wp:anchor>
        </w:drawing>
      </w:r>
    </w:p>
    <w:p w14:paraId="53715C98">
      <w:pPr>
        <w:autoSpaceDE w:val="0"/>
        <w:autoSpaceDN w:val="0"/>
        <w:adjustRightInd w:val="0"/>
        <w:spacing w:line="440" w:lineRule="exact"/>
        <w:ind w:firstLine="640"/>
        <w:jc w:val="left"/>
        <w:rPr>
          <w:rFonts w:ascii="仿宋_GB2312" w:hAnsi="宋体" w:eastAsia="仿宋_GB2312"/>
          <w:sz w:val="32"/>
          <w:szCs w:val="32"/>
        </w:rPr>
      </w:pPr>
    </w:p>
    <w:p w14:paraId="5126685C">
      <w:pPr>
        <w:pStyle w:val="5"/>
        <w:ind w:firstLine="640"/>
        <w:rPr>
          <w:rFonts w:ascii="仿宋_GB2312" w:eastAsia="仿宋_GB2312"/>
          <w:color w:val="0000FF"/>
          <w:sz w:val="32"/>
          <w:szCs w:val="32"/>
        </w:rPr>
      </w:pPr>
    </w:p>
    <w:p w14:paraId="759FF345">
      <w:pPr>
        <w:pStyle w:val="5"/>
        <w:ind w:firstLine="640"/>
        <w:rPr>
          <w:rFonts w:ascii="仿宋_GB2312" w:eastAsia="仿宋_GB2312"/>
          <w:color w:val="0000FF"/>
          <w:sz w:val="32"/>
          <w:szCs w:val="32"/>
        </w:rPr>
      </w:pPr>
    </w:p>
    <w:p w14:paraId="432F04F9">
      <w:pPr>
        <w:pStyle w:val="5"/>
        <w:ind w:firstLine="640"/>
        <w:rPr>
          <w:rFonts w:ascii="仿宋_GB2312" w:eastAsia="仿宋_GB2312"/>
          <w:color w:val="0000FF"/>
          <w:sz w:val="32"/>
          <w:szCs w:val="32"/>
        </w:rPr>
      </w:pPr>
    </w:p>
    <w:p w14:paraId="51FB8EBD">
      <w:pPr>
        <w:pStyle w:val="5"/>
        <w:ind w:firstLine="640"/>
        <w:rPr>
          <w:rFonts w:ascii="仿宋_GB2312" w:eastAsia="仿宋_GB2312"/>
          <w:color w:val="0000FF"/>
          <w:sz w:val="32"/>
          <w:szCs w:val="32"/>
        </w:rPr>
      </w:pPr>
    </w:p>
    <w:p w14:paraId="33677A06">
      <w:pPr>
        <w:autoSpaceDE w:val="0"/>
        <w:autoSpaceDN w:val="0"/>
        <w:adjustRightInd w:val="0"/>
        <w:spacing w:line="440" w:lineRule="exact"/>
        <w:ind w:firstLine="64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图12</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内窥镜产品内部结构示意图（2）</w:t>
      </w:r>
    </w:p>
    <w:p w14:paraId="619CDAB5">
      <w:pPr>
        <w:autoSpaceDE w:val="0"/>
        <w:autoSpaceDN w:val="0"/>
        <w:adjustRightInd w:val="0"/>
        <w:spacing w:line="44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目镜</w:t>
      </w:r>
      <w:r>
        <w:rPr>
          <w:rFonts w:ascii="Times New Roman" w:hAnsi="Times New Roman" w:eastAsia="仿宋_GB2312" w:cs="Times New Roman"/>
          <w:sz w:val="28"/>
          <w:szCs w:val="28"/>
        </w:rPr>
        <w:t xml:space="preserve"> 2.</w:t>
      </w:r>
      <w:r>
        <w:rPr>
          <w:rFonts w:hint="eastAsia" w:ascii="Times New Roman" w:hAnsi="Times New Roman" w:eastAsia="仿宋_GB2312" w:cs="Times New Roman"/>
          <w:sz w:val="28"/>
          <w:szCs w:val="28"/>
        </w:rPr>
        <w:t>间隔管</w:t>
      </w:r>
      <w:r>
        <w:rPr>
          <w:rFonts w:ascii="Times New Roman" w:hAnsi="Times New Roman" w:eastAsia="仿宋_GB2312" w:cs="Times New Roman"/>
          <w:sz w:val="28"/>
          <w:szCs w:val="28"/>
        </w:rPr>
        <w:t xml:space="preserve"> 3.</w:t>
      </w:r>
      <w:r>
        <w:rPr>
          <w:rFonts w:hint="eastAsia" w:ascii="Times New Roman" w:hAnsi="Times New Roman" w:eastAsia="仿宋_GB2312" w:cs="Times New Roman"/>
          <w:sz w:val="28"/>
          <w:szCs w:val="28"/>
        </w:rPr>
        <w:t>棒状镜</w:t>
      </w:r>
      <w:r>
        <w:rPr>
          <w:rFonts w:ascii="Times New Roman" w:hAnsi="Times New Roman" w:eastAsia="仿宋_GB2312" w:cs="Times New Roman"/>
          <w:sz w:val="28"/>
          <w:szCs w:val="28"/>
        </w:rPr>
        <w:t xml:space="preserve"> 4.</w:t>
      </w:r>
      <w:r>
        <w:rPr>
          <w:rFonts w:hint="eastAsia" w:ascii="Times New Roman" w:hAnsi="Times New Roman" w:eastAsia="仿宋_GB2312" w:cs="Times New Roman"/>
          <w:sz w:val="28"/>
          <w:szCs w:val="28"/>
        </w:rPr>
        <w:t>物镜</w:t>
      </w:r>
      <w:r>
        <w:rPr>
          <w:rFonts w:ascii="Times New Roman" w:hAnsi="Times New Roman" w:eastAsia="仿宋_GB2312" w:cs="Times New Roman"/>
          <w:sz w:val="28"/>
          <w:szCs w:val="28"/>
        </w:rPr>
        <w:t xml:space="preserve"> 5.</w:t>
      </w:r>
      <w:r>
        <w:rPr>
          <w:rFonts w:hint="eastAsia" w:ascii="Times New Roman" w:hAnsi="Times New Roman" w:eastAsia="仿宋_GB2312" w:cs="Times New Roman"/>
          <w:sz w:val="28"/>
          <w:szCs w:val="28"/>
        </w:rPr>
        <w:t>照明光纤</w:t>
      </w:r>
    </w:p>
    <w:p w14:paraId="094A0003">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p>
    <w:p w14:paraId="44505779">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完整的光学成像系统由物镜系统、传像系统和/或目镜系统三大系统组成。工作原理：被观察物经物镜所成的倒像，通过传像系统将倒像以正像形式传输到目镜，再由目镜放大后，为人眼所观察。为构成不同的视向角，需加入不同的棱镜。不同用途的内窥镜根据使用要求制作成不同的外形、外径、长度，以达到使用所需的要求。</w:t>
      </w:r>
    </w:p>
    <w:p w14:paraId="2AE1928A">
      <w:pPr>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照明传输系统由光导纤维组成。工作原理：将冷光源的光经过光导纤维传输到内窥镜前端，照亮被观察物。</w:t>
      </w:r>
    </w:p>
    <w:p w14:paraId="48B9682B">
      <w:pPr>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1.2第二类硬性光学内窥镜产品是利用人体自然腔道进入人体观察和诊察，不需切口或打孔穿刺进入人体。尿道膀胱镜、宫腔镜和直肠镜可以利用镜体本身的器械通道（如一体式）或配合使用的附件通道（如分体式）进入活检钳、剪刀、锯齿钳进行活检取样、切割等临床手术；单纯的内窥镜可做检查诊断用（如喉镜、鼻窦镜等）。硬性光学内窥镜的目镜罩除便于人眼直接观察外，通过目镜罩标准尺寸的规定，可与摄像系统连接，通过监视屏显示图像。也存在着无目镜罩的内窥镜，此类内窥镜不能直接目视，必须与摄像系统连接，通过监视屏显示图像。</w:t>
      </w:r>
    </w:p>
    <w:p w14:paraId="5F255A27">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在操作尿道膀胱镜时，先将鞘套与闭孔器插入尿道及膀胱，退出闭孔器。将内窥镜与镜桥（观察用插管时用插管器）联接插入鞘套后锁紧，进水和出水管联接鞘套水阀上，导光束联接内窥镜上，打开光源及水阀即可进行手术，将异物钳、剪刀、锯齿钳等插入器械通道可进行活检、取样等。</w:t>
      </w:r>
    </w:p>
    <w:p w14:paraId="5B17376D">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在操作宫腔镜时，先膨胀宫腔，然后将操作鞘套与闭孔器顺宫腔方向插入到宫颈内口稍下方，退出闭孔器，将操作器及内窥镜插入鞘套后锁紧，将输液管联接鞘套水阀上，在80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180mmHg范围的压力下注入5%葡萄糖或0.9%的生理盐水或甘露醇液体以膨宫。待排水孔流出的液体清亮后，在直视下将镜体进一步推进，待宫腔镜充分扩张后即可进行观察子宫异常或病变，若必要时可做相应的内膜活检、输卵管插管注药、分离粘连等手术。</w:t>
      </w:r>
    </w:p>
    <w:p w14:paraId="390C89EA">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直肠镜可在内窥镜直视下活检取样、切割。</w:t>
      </w:r>
    </w:p>
    <w:p w14:paraId="03B41C9B">
      <w:pPr>
        <w:spacing w:line="520" w:lineRule="exact"/>
        <w:ind w:firstLine="640" w:firstLineChars="200"/>
        <w:jc w:val="left"/>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（四）注册单元划分的原则和实例</w:t>
      </w:r>
    </w:p>
    <w:p w14:paraId="549985C2">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按照《医疗器械注册管理办法》（国家食品药品监督管理总局令第4号）第七十四条要求，“医疗器械产品的注册单元原则上以产品的技术结构、性能指标和预期用途为划分依据”。</w:t>
      </w:r>
    </w:p>
    <w:p w14:paraId="5FB202F4">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pacing w:val="-6"/>
          <w:sz w:val="32"/>
          <w:szCs w:val="32"/>
        </w:rPr>
      </w:pPr>
      <w:r>
        <w:rPr>
          <w:rFonts w:hint="eastAsia" w:ascii="Times New Roman" w:hAnsi="Times New Roman" w:eastAsia="仿宋_GB2312" w:cs="Times New Roman"/>
          <w:sz w:val="32"/>
          <w:szCs w:val="32"/>
        </w:rPr>
        <w:t>一般</w:t>
      </w:r>
      <w:r>
        <w:rPr>
          <w:rFonts w:hint="eastAsia" w:ascii="Times New Roman" w:hAnsi="Times New Roman" w:eastAsia="仿宋_GB2312" w:cs="Times New Roman"/>
          <w:spacing w:val="-6"/>
          <w:sz w:val="32"/>
          <w:szCs w:val="32"/>
        </w:rPr>
        <w:t>情况下，仅仅是长度、直径、视向角、视场角、工作通道其中的一个或几个参数有差异，可以作为同一个注册单元，若内窥镜之间的差异超出上述范畴，应考虑应划分为不同的注册单元。</w:t>
      </w:r>
    </w:p>
    <w:p w14:paraId="3C2BB05B">
      <w:pPr>
        <w:tabs>
          <w:tab w:val="left" w:pos="720"/>
        </w:tabs>
        <w:autoSpaceDE w:val="0"/>
        <w:autoSpaceDN w:val="0"/>
        <w:adjustRightInd w:val="0"/>
        <w:spacing w:line="54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内窥镜有源或无源手术器械应与内窥镜划分为不同的注册单元。</w:t>
      </w:r>
    </w:p>
    <w:p w14:paraId="4907B03D">
      <w:pPr>
        <w:tabs>
          <w:tab w:val="left" w:pos="720"/>
        </w:tabs>
        <w:autoSpaceDE w:val="0"/>
        <w:autoSpaceDN w:val="0"/>
        <w:adjustRightInd w:val="0"/>
        <w:spacing w:line="54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2.不同适用范围的内窥镜应划分为不同的注册单元，如喉镜、鼻窦镜、尿道膀胱镜，原理、结构基本无大变化，每种产品作为一个注册单元。</w:t>
      </w:r>
    </w:p>
    <w:p w14:paraId="228C9647">
      <w:pPr>
        <w:tabs>
          <w:tab w:val="left" w:pos="720"/>
        </w:tabs>
        <w:autoSpaceDE w:val="0"/>
        <w:autoSpaceDN w:val="0"/>
        <w:adjustRightInd w:val="0"/>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内窥镜与配合使用的设备（例如冷光源、摄像系统等）应划分为不同的注册单元。</w:t>
      </w:r>
    </w:p>
    <w:p w14:paraId="79BF3337">
      <w:pPr>
        <w:tabs>
          <w:tab w:val="left" w:pos="720"/>
        </w:tabs>
        <w:autoSpaceDE w:val="0"/>
        <w:autoSpaceDN w:val="0"/>
        <w:adjustRightInd w:val="0"/>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4.荧光镜、带有PDD</w:t>
      </w:r>
      <w:r>
        <w:rPr>
          <w:rFonts w:hint="eastAsia" w:ascii="Times New Roman" w:hAnsi="Times New Roman" w:eastAsia="仿宋_GB2312" w:cs="Times New Roman"/>
          <w:sz w:val="32"/>
          <w:szCs w:val="32"/>
        </w:rPr>
        <w:t>的内窥镜以及与上述典型内窥镜光学设计不同的内窥镜（如可变焦内窥镜、短景深内窥镜和可变工作距内窥镜）等特殊内窥镜与普通内窥镜应划分为不同的注册单元。</w:t>
      </w:r>
    </w:p>
    <w:p w14:paraId="60104214">
      <w:pPr>
        <w:tabs>
          <w:tab w:val="left" w:pos="720"/>
        </w:tabs>
        <w:autoSpaceDE w:val="0"/>
        <w:autoSpaceDN w:val="0"/>
        <w:adjustRightInd w:val="0"/>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5.成像方式不同的内窥镜应划分为不同的注册单元。例如硬性光学镜与</w:t>
      </w:r>
      <w:r>
        <w:rPr>
          <w:rFonts w:hint="eastAsia" w:ascii="Times New Roman" w:hAnsi="Times New Roman" w:eastAsia="仿宋_GB2312" w:cs="Times New Roman"/>
          <w:sz w:val="32"/>
          <w:szCs w:val="32"/>
        </w:rPr>
        <w:t>硬性纤维镜、硬性光学镜与硬性电子镜应划分为不同的注册单元。</w:t>
      </w:r>
    </w:p>
    <w:p w14:paraId="0EB9C796">
      <w:pPr>
        <w:tabs>
          <w:tab w:val="left" w:pos="720"/>
        </w:tabs>
        <w:autoSpaceDE w:val="0"/>
        <w:autoSpaceDN w:val="0"/>
        <w:adjustRightInd w:val="0"/>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对直肠镜，是否有光学系统可作为注册单元划分的依据。一种产品只是含有导光束、窥视管等，可提供光学照明，没有光学系统，不存在视场角、分辨率等的性能指标；另外一种产品既含有光导束，提供光学照明，又含有光学系统，提供观察和成像途径（详见典型产品结构示意图），这两种产品应作为两个注册单元。</w:t>
      </w:r>
    </w:p>
    <w:p w14:paraId="40437634">
      <w:pPr>
        <w:tabs>
          <w:tab w:val="left" w:pos="720"/>
        </w:tabs>
        <w:autoSpaceDE w:val="0"/>
        <w:autoSpaceDN w:val="0"/>
        <w:adjustRightInd w:val="0"/>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.宫腔镜分为一体式结构和分体式结构两种（详见典型产品结构示意图），但他们的原（机）理、结构、主要性能、预期目的基本相同，可作为同一注册单元的不同型号产品。</w:t>
      </w:r>
    </w:p>
    <w:p w14:paraId="4EA4FD4A">
      <w:pPr>
        <w:spacing w:line="540" w:lineRule="exact"/>
        <w:ind w:firstLine="640" w:firstLineChars="200"/>
        <w:jc w:val="left"/>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（五）产品适用的相关标准</w:t>
      </w:r>
    </w:p>
    <w:p w14:paraId="314F8FCF">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1.适用的国家标准、行业标准</w:t>
      </w:r>
    </w:p>
    <w:tbl>
      <w:tblPr>
        <w:tblStyle w:val="10"/>
        <w:tblW w:w="884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16"/>
        <w:gridCol w:w="6030"/>
      </w:tblGrid>
      <w:tr w14:paraId="46C6F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2816" w:type="dxa"/>
            <w:tcBorders>
              <w:right w:val="single" w:color="auto" w:sz="4" w:space="0"/>
            </w:tcBorders>
            <w:vAlign w:val="center"/>
          </w:tcPr>
          <w:p w14:paraId="4D0F47CE">
            <w:pPr>
              <w:spacing w:line="300" w:lineRule="exact"/>
              <w:rPr>
                <w:rFonts w:asciiTheme="minorEastAsia" w:hAnsiTheme="minorEastAsia" w:eastAsiaTheme="minorEastAsia"/>
                <w:b/>
                <w:sz w:val="28"/>
                <w:szCs w:val="32"/>
              </w:rPr>
            </w:pPr>
            <w:r>
              <w:rPr>
                <w:rFonts w:hint="eastAsia" w:asciiTheme="minorEastAsia" w:hAnsiTheme="minorEastAsia" w:eastAsiaTheme="minorEastAsia"/>
                <w:b/>
                <w:sz w:val="28"/>
                <w:szCs w:val="32"/>
              </w:rPr>
              <w:t>标准号</w:t>
            </w:r>
          </w:p>
        </w:tc>
        <w:tc>
          <w:tcPr>
            <w:tcW w:w="6030" w:type="dxa"/>
            <w:tcBorders>
              <w:left w:val="single" w:color="auto" w:sz="4" w:space="0"/>
            </w:tcBorders>
            <w:vAlign w:val="center"/>
          </w:tcPr>
          <w:p w14:paraId="4572D42E">
            <w:pPr>
              <w:spacing w:line="300" w:lineRule="exact"/>
              <w:rPr>
                <w:rFonts w:asciiTheme="minorEastAsia" w:hAnsiTheme="minorEastAsia" w:eastAsiaTheme="minorEastAsia"/>
                <w:b/>
                <w:sz w:val="28"/>
                <w:szCs w:val="32"/>
              </w:rPr>
            </w:pPr>
            <w:r>
              <w:rPr>
                <w:rFonts w:hint="eastAsia" w:asciiTheme="minorEastAsia" w:hAnsiTheme="minorEastAsia" w:eastAsiaTheme="minorEastAsia"/>
                <w:b/>
                <w:sz w:val="28"/>
                <w:szCs w:val="32"/>
              </w:rPr>
              <w:t>标准名称</w:t>
            </w:r>
          </w:p>
        </w:tc>
      </w:tr>
      <w:tr w14:paraId="291DF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2816" w:type="dxa"/>
            <w:tcBorders>
              <w:right w:val="single" w:color="auto" w:sz="4" w:space="0"/>
            </w:tcBorders>
            <w:vAlign w:val="center"/>
          </w:tcPr>
          <w:p w14:paraId="2FDCA49B">
            <w:pPr>
              <w:spacing w:line="300" w:lineRule="exact"/>
              <w:rPr>
                <w:rFonts w:ascii="Times New Roman" w:hAnsi="Times New Roman" w:cs="Times New Roman" w:eastAsiaTheme="minorEastAsia"/>
                <w:sz w:val="28"/>
                <w:szCs w:val="32"/>
              </w:rPr>
            </w:pPr>
            <w:r>
              <w:rPr>
                <w:rFonts w:ascii="Times New Roman" w:hAnsi="Times New Roman" w:cs="Times New Roman" w:eastAsiaTheme="minorEastAsia"/>
                <w:sz w:val="28"/>
                <w:szCs w:val="32"/>
              </w:rPr>
              <w:t>GB9706.1-2007</w:t>
            </w:r>
          </w:p>
        </w:tc>
        <w:tc>
          <w:tcPr>
            <w:tcW w:w="6030" w:type="dxa"/>
            <w:tcBorders>
              <w:left w:val="single" w:color="auto" w:sz="4" w:space="0"/>
            </w:tcBorders>
            <w:vAlign w:val="center"/>
          </w:tcPr>
          <w:p w14:paraId="5B548FAA">
            <w:pPr>
              <w:spacing w:line="300" w:lineRule="exact"/>
              <w:rPr>
                <w:rFonts w:asciiTheme="minorEastAsia" w:hAnsiTheme="minorEastAsia" w:eastAsiaTheme="minorEastAsia"/>
                <w:sz w:val="28"/>
                <w:szCs w:val="32"/>
              </w:rPr>
            </w:pPr>
            <w:r>
              <w:rPr>
                <w:rFonts w:hint="eastAsia" w:asciiTheme="minorEastAsia" w:hAnsiTheme="minorEastAsia" w:eastAsiaTheme="minorEastAsia"/>
                <w:sz w:val="28"/>
                <w:szCs w:val="32"/>
              </w:rPr>
              <w:t>医用电气设备</w:t>
            </w:r>
            <w:r>
              <w:rPr>
                <w:rFonts w:asciiTheme="minorEastAsia" w:hAnsiTheme="minorEastAsia" w:eastAsiaTheme="minorEastAsia"/>
                <w:sz w:val="28"/>
                <w:szCs w:val="32"/>
              </w:rPr>
              <w:t xml:space="preserve"> </w:t>
            </w:r>
            <w:r>
              <w:rPr>
                <w:rFonts w:hint="eastAsia" w:asciiTheme="minorEastAsia" w:hAnsiTheme="minorEastAsia" w:eastAsiaTheme="minorEastAsia"/>
                <w:sz w:val="28"/>
                <w:szCs w:val="32"/>
              </w:rPr>
              <w:t>第一部分：安全通用要求</w:t>
            </w:r>
          </w:p>
        </w:tc>
      </w:tr>
      <w:tr w14:paraId="1A1C6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816" w:type="dxa"/>
            <w:tcBorders>
              <w:right w:val="single" w:color="auto" w:sz="4" w:space="0"/>
            </w:tcBorders>
            <w:vAlign w:val="center"/>
          </w:tcPr>
          <w:p w14:paraId="1D8D6484">
            <w:pPr>
              <w:spacing w:line="300" w:lineRule="exact"/>
              <w:rPr>
                <w:rFonts w:ascii="Times New Roman" w:hAnsi="Times New Roman" w:cs="Times New Roman" w:eastAsiaTheme="minorEastAsia"/>
                <w:sz w:val="28"/>
                <w:szCs w:val="32"/>
              </w:rPr>
            </w:pPr>
            <w:r>
              <w:rPr>
                <w:rFonts w:ascii="Times New Roman" w:hAnsi="Times New Roman" w:cs="Times New Roman" w:eastAsiaTheme="minorEastAsia"/>
                <w:sz w:val="28"/>
                <w:szCs w:val="32"/>
              </w:rPr>
              <w:t>GB 9706.19-2000</w:t>
            </w:r>
          </w:p>
        </w:tc>
        <w:tc>
          <w:tcPr>
            <w:tcW w:w="6030" w:type="dxa"/>
            <w:tcBorders>
              <w:left w:val="single" w:color="auto" w:sz="4" w:space="0"/>
            </w:tcBorders>
            <w:vAlign w:val="center"/>
          </w:tcPr>
          <w:p w14:paraId="3E2A774B">
            <w:pPr>
              <w:spacing w:line="300" w:lineRule="exact"/>
              <w:rPr>
                <w:rFonts w:asciiTheme="minorEastAsia" w:hAnsiTheme="minorEastAsia" w:eastAsiaTheme="minorEastAsia"/>
                <w:sz w:val="28"/>
                <w:szCs w:val="32"/>
              </w:rPr>
            </w:pPr>
            <w:r>
              <w:rPr>
                <w:rFonts w:hint="eastAsia" w:asciiTheme="minorEastAsia" w:hAnsiTheme="minorEastAsia" w:eastAsiaTheme="minorEastAsia"/>
                <w:sz w:val="28"/>
                <w:szCs w:val="32"/>
              </w:rPr>
              <w:t>医用电气设备</w:t>
            </w:r>
            <w:r>
              <w:rPr>
                <w:rFonts w:asciiTheme="minorEastAsia" w:hAnsiTheme="minorEastAsia" w:eastAsiaTheme="minorEastAsia"/>
                <w:sz w:val="28"/>
                <w:szCs w:val="32"/>
              </w:rPr>
              <w:t xml:space="preserve"> </w:t>
            </w:r>
            <w:r>
              <w:rPr>
                <w:rFonts w:hint="eastAsia" w:asciiTheme="minorEastAsia" w:hAnsiTheme="minorEastAsia" w:eastAsiaTheme="minorEastAsia"/>
                <w:sz w:val="28"/>
                <w:szCs w:val="32"/>
              </w:rPr>
              <w:t>第</w:t>
            </w:r>
            <w:r>
              <w:rPr>
                <w:rFonts w:asciiTheme="minorEastAsia" w:hAnsiTheme="minorEastAsia" w:eastAsiaTheme="minorEastAsia"/>
                <w:sz w:val="28"/>
                <w:szCs w:val="32"/>
              </w:rPr>
              <w:t>2部分：内窥镜设备安全专用要求</w:t>
            </w:r>
          </w:p>
        </w:tc>
      </w:tr>
      <w:tr w14:paraId="7490F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trPr>
        <w:tc>
          <w:tcPr>
            <w:tcW w:w="2816" w:type="dxa"/>
            <w:tcBorders>
              <w:right w:val="single" w:color="auto" w:sz="4" w:space="0"/>
            </w:tcBorders>
            <w:vAlign w:val="center"/>
          </w:tcPr>
          <w:p w14:paraId="6913FFAA">
            <w:pPr>
              <w:spacing w:line="300" w:lineRule="exact"/>
              <w:rPr>
                <w:rFonts w:ascii="Times New Roman" w:hAnsi="Times New Roman" w:cs="Times New Roman" w:eastAsiaTheme="minorEastAsia"/>
                <w:sz w:val="28"/>
                <w:szCs w:val="32"/>
              </w:rPr>
            </w:pPr>
            <w:r>
              <w:rPr>
                <w:rFonts w:ascii="Times New Roman" w:hAnsi="Times New Roman" w:cs="Times New Roman" w:eastAsiaTheme="minorEastAsia"/>
                <w:sz w:val="28"/>
                <w:szCs w:val="32"/>
              </w:rPr>
              <w:t>GB 11244-2005</w:t>
            </w:r>
          </w:p>
        </w:tc>
        <w:tc>
          <w:tcPr>
            <w:tcW w:w="6030" w:type="dxa"/>
            <w:tcBorders>
              <w:left w:val="single" w:color="auto" w:sz="4" w:space="0"/>
            </w:tcBorders>
            <w:vAlign w:val="center"/>
          </w:tcPr>
          <w:p w14:paraId="586F6B71">
            <w:pPr>
              <w:spacing w:line="300" w:lineRule="exact"/>
              <w:rPr>
                <w:rFonts w:asciiTheme="minorEastAsia" w:hAnsiTheme="minorEastAsia" w:eastAsiaTheme="minorEastAsia"/>
                <w:sz w:val="28"/>
                <w:szCs w:val="32"/>
              </w:rPr>
            </w:pPr>
            <w:r>
              <w:rPr>
                <w:rFonts w:hint="eastAsia" w:asciiTheme="minorEastAsia" w:hAnsiTheme="minorEastAsia" w:eastAsiaTheme="minorEastAsia"/>
                <w:sz w:val="28"/>
                <w:szCs w:val="32"/>
              </w:rPr>
              <w:t>医用内窥镜及附件通用要求</w:t>
            </w:r>
          </w:p>
        </w:tc>
      </w:tr>
      <w:tr w14:paraId="1D857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816" w:type="dxa"/>
            <w:tcBorders>
              <w:right w:val="single" w:color="auto" w:sz="4" w:space="0"/>
            </w:tcBorders>
            <w:vAlign w:val="center"/>
          </w:tcPr>
          <w:p w14:paraId="5D7C4862">
            <w:pPr>
              <w:spacing w:line="300" w:lineRule="exact"/>
              <w:rPr>
                <w:rFonts w:ascii="Times New Roman" w:hAnsi="Times New Roman" w:cs="Times New Roman" w:eastAsiaTheme="minorEastAsia"/>
                <w:sz w:val="28"/>
                <w:szCs w:val="32"/>
              </w:rPr>
            </w:pPr>
            <w:r>
              <w:rPr>
                <w:rFonts w:ascii="Times New Roman" w:hAnsi="Times New Roman" w:cs="Times New Roman" w:eastAsiaTheme="minorEastAsia"/>
                <w:sz w:val="28"/>
                <w:szCs w:val="32"/>
              </w:rPr>
              <w:t>YY 0068.1-2008</w:t>
            </w:r>
          </w:p>
        </w:tc>
        <w:tc>
          <w:tcPr>
            <w:tcW w:w="6030" w:type="dxa"/>
            <w:tcBorders>
              <w:left w:val="single" w:color="auto" w:sz="4" w:space="0"/>
            </w:tcBorders>
            <w:vAlign w:val="center"/>
          </w:tcPr>
          <w:p w14:paraId="4EE98759">
            <w:pPr>
              <w:spacing w:line="300" w:lineRule="exact"/>
              <w:rPr>
                <w:rFonts w:asciiTheme="minorEastAsia" w:hAnsiTheme="minorEastAsia" w:eastAsiaTheme="minorEastAsia"/>
                <w:sz w:val="28"/>
                <w:szCs w:val="32"/>
              </w:rPr>
            </w:pPr>
            <w:r>
              <w:rPr>
                <w:rFonts w:hint="eastAsia" w:asciiTheme="minorEastAsia" w:hAnsiTheme="minorEastAsia" w:eastAsiaTheme="minorEastAsia"/>
                <w:sz w:val="28"/>
                <w:szCs w:val="32"/>
              </w:rPr>
              <w:t>医用内窥镜</w:t>
            </w:r>
            <w:r>
              <w:rPr>
                <w:rFonts w:asciiTheme="minorEastAsia" w:hAnsiTheme="minorEastAsia" w:eastAsiaTheme="minorEastAsia"/>
                <w:sz w:val="28"/>
                <w:szCs w:val="32"/>
              </w:rPr>
              <w:t xml:space="preserve"> </w:t>
            </w:r>
            <w:r>
              <w:rPr>
                <w:rFonts w:hint="eastAsia" w:asciiTheme="minorEastAsia" w:hAnsiTheme="minorEastAsia" w:eastAsiaTheme="minorEastAsia"/>
                <w:sz w:val="28"/>
                <w:szCs w:val="32"/>
              </w:rPr>
              <w:t>硬性内窥镜第</w:t>
            </w:r>
            <w:r>
              <w:rPr>
                <w:rFonts w:asciiTheme="minorEastAsia" w:hAnsiTheme="minorEastAsia" w:eastAsiaTheme="minorEastAsia"/>
                <w:sz w:val="28"/>
                <w:szCs w:val="32"/>
              </w:rPr>
              <w:t>1部分：光学性能及测试方法</w:t>
            </w:r>
          </w:p>
        </w:tc>
      </w:tr>
      <w:tr w14:paraId="2FE0F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816" w:type="dxa"/>
            <w:tcBorders>
              <w:right w:val="single" w:color="auto" w:sz="4" w:space="0"/>
            </w:tcBorders>
            <w:vAlign w:val="center"/>
          </w:tcPr>
          <w:p w14:paraId="7FEC98B6">
            <w:pPr>
              <w:spacing w:line="300" w:lineRule="exact"/>
              <w:rPr>
                <w:rFonts w:ascii="Times New Roman" w:hAnsi="Times New Roman" w:cs="Times New Roman" w:eastAsiaTheme="minorEastAsia"/>
                <w:sz w:val="28"/>
                <w:szCs w:val="32"/>
              </w:rPr>
            </w:pPr>
            <w:r>
              <w:rPr>
                <w:rFonts w:ascii="Times New Roman" w:hAnsi="Times New Roman" w:cs="Times New Roman" w:eastAsiaTheme="minorEastAsia"/>
                <w:sz w:val="28"/>
                <w:szCs w:val="32"/>
              </w:rPr>
              <w:t>YY 0068.2-2008</w:t>
            </w:r>
          </w:p>
        </w:tc>
        <w:tc>
          <w:tcPr>
            <w:tcW w:w="6030" w:type="dxa"/>
            <w:tcBorders>
              <w:left w:val="single" w:color="auto" w:sz="4" w:space="0"/>
            </w:tcBorders>
            <w:vAlign w:val="center"/>
          </w:tcPr>
          <w:p w14:paraId="686F9D15">
            <w:pPr>
              <w:spacing w:line="300" w:lineRule="exact"/>
              <w:rPr>
                <w:rFonts w:asciiTheme="minorEastAsia" w:hAnsiTheme="minorEastAsia" w:eastAsiaTheme="minorEastAsia"/>
                <w:sz w:val="28"/>
                <w:szCs w:val="32"/>
              </w:rPr>
            </w:pPr>
            <w:r>
              <w:rPr>
                <w:rFonts w:hint="eastAsia" w:asciiTheme="minorEastAsia" w:hAnsiTheme="minorEastAsia" w:eastAsiaTheme="minorEastAsia"/>
                <w:sz w:val="28"/>
                <w:szCs w:val="32"/>
              </w:rPr>
              <w:t>医用内窥镜</w:t>
            </w:r>
            <w:r>
              <w:rPr>
                <w:rFonts w:asciiTheme="minorEastAsia" w:hAnsiTheme="minorEastAsia" w:eastAsiaTheme="minorEastAsia"/>
                <w:sz w:val="28"/>
                <w:szCs w:val="32"/>
              </w:rPr>
              <w:t xml:space="preserve"> </w:t>
            </w:r>
            <w:r>
              <w:rPr>
                <w:rFonts w:hint="eastAsia" w:asciiTheme="minorEastAsia" w:hAnsiTheme="minorEastAsia" w:eastAsiaTheme="minorEastAsia"/>
                <w:sz w:val="28"/>
                <w:szCs w:val="32"/>
              </w:rPr>
              <w:t>硬性内窥镜第</w:t>
            </w:r>
            <w:r>
              <w:rPr>
                <w:rFonts w:asciiTheme="minorEastAsia" w:hAnsiTheme="minorEastAsia" w:eastAsiaTheme="minorEastAsia"/>
                <w:sz w:val="28"/>
                <w:szCs w:val="32"/>
              </w:rPr>
              <w:t>2部分：机械性能及测试方法</w:t>
            </w:r>
          </w:p>
        </w:tc>
      </w:tr>
      <w:tr w14:paraId="46A4C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816" w:type="dxa"/>
            <w:tcBorders>
              <w:right w:val="single" w:color="auto" w:sz="4" w:space="0"/>
            </w:tcBorders>
            <w:vAlign w:val="center"/>
          </w:tcPr>
          <w:p w14:paraId="52012D24">
            <w:pPr>
              <w:spacing w:line="300" w:lineRule="exact"/>
              <w:rPr>
                <w:rFonts w:ascii="Times New Roman" w:hAnsi="Times New Roman" w:cs="Times New Roman" w:eastAsiaTheme="minorEastAsia"/>
                <w:sz w:val="28"/>
                <w:szCs w:val="32"/>
              </w:rPr>
            </w:pPr>
            <w:r>
              <w:rPr>
                <w:rFonts w:ascii="Times New Roman" w:hAnsi="Times New Roman" w:cs="Times New Roman" w:eastAsiaTheme="minorEastAsia"/>
                <w:sz w:val="28"/>
                <w:szCs w:val="32"/>
              </w:rPr>
              <w:t>YY 0068.3-2008</w:t>
            </w:r>
          </w:p>
        </w:tc>
        <w:tc>
          <w:tcPr>
            <w:tcW w:w="6030" w:type="dxa"/>
            <w:tcBorders>
              <w:left w:val="single" w:color="auto" w:sz="4" w:space="0"/>
            </w:tcBorders>
            <w:vAlign w:val="center"/>
          </w:tcPr>
          <w:p w14:paraId="2CF1BDBD">
            <w:pPr>
              <w:spacing w:line="300" w:lineRule="exact"/>
              <w:rPr>
                <w:rFonts w:asciiTheme="minorEastAsia" w:hAnsiTheme="minorEastAsia" w:eastAsiaTheme="minorEastAsia"/>
                <w:sz w:val="28"/>
                <w:szCs w:val="32"/>
              </w:rPr>
            </w:pPr>
            <w:r>
              <w:rPr>
                <w:rFonts w:hint="eastAsia" w:asciiTheme="minorEastAsia" w:hAnsiTheme="minorEastAsia" w:eastAsiaTheme="minorEastAsia"/>
                <w:sz w:val="28"/>
                <w:szCs w:val="32"/>
              </w:rPr>
              <w:t>医用内窥镜</w:t>
            </w:r>
            <w:r>
              <w:rPr>
                <w:rFonts w:asciiTheme="minorEastAsia" w:hAnsiTheme="minorEastAsia" w:eastAsiaTheme="minorEastAsia"/>
                <w:sz w:val="28"/>
                <w:szCs w:val="32"/>
              </w:rPr>
              <w:t xml:space="preserve"> </w:t>
            </w:r>
            <w:r>
              <w:rPr>
                <w:rFonts w:hint="eastAsia" w:asciiTheme="minorEastAsia" w:hAnsiTheme="minorEastAsia" w:eastAsiaTheme="minorEastAsia"/>
                <w:sz w:val="28"/>
                <w:szCs w:val="32"/>
              </w:rPr>
              <w:t>硬性内窥镜第</w:t>
            </w:r>
            <w:r>
              <w:rPr>
                <w:rFonts w:asciiTheme="minorEastAsia" w:hAnsiTheme="minorEastAsia" w:eastAsiaTheme="minorEastAsia"/>
                <w:sz w:val="28"/>
                <w:szCs w:val="32"/>
              </w:rPr>
              <w:t>3部分：标签和随附资料</w:t>
            </w:r>
          </w:p>
        </w:tc>
      </w:tr>
      <w:tr w14:paraId="615D0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atLeast"/>
        </w:trPr>
        <w:tc>
          <w:tcPr>
            <w:tcW w:w="2816" w:type="dxa"/>
            <w:tcBorders>
              <w:right w:val="single" w:color="auto" w:sz="4" w:space="0"/>
            </w:tcBorders>
            <w:vAlign w:val="center"/>
          </w:tcPr>
          <w:p w14:paraId="69CA9806">
            <w:pPr>
              <w:spacing w:line="300" w:lineRule="exact"/>
              <w:rPr>
                <w:rFonts w:ascii="Times New Roman" w:hAnsi="Times New Roman" w:cs="Times New Roman" w:eastAsiaTheme="minorEastAsia"/>
                <w:sz w:val="28"/>
                <w:szCs w:val="32"/>
              </w:rPr>
            </w:pPr>
            <w:r>
              <w:rPr>
                <w:rFonts w:ascii="Times New Roman" w:hAnsi="Times New Roman" w:cs="Times New Roman" w:eastAsiaTheme="minorEastAsia"/>
                <w:sz w:val="28"/>
                <w:szCs w:val="32"/>
              </w:rPr>
              <w:t>YY 0068.4-2009</w:t>
            </w:r>
          </w:p>
        </w:tc>
        <w:tc>
          <w:tcPr>
            <w:tcW w:w="6030" w:type="dxa"/>
            <w:tcBorders>
              <w:left w:val="single" w:color="auto" w:sz="4" w:space="0"/>
            </w:tcBorders>
            <w:vAlign w:val="center"/>
          </w:tcPr>
          <w:p w14:paraId="1C9EF79F">
            <w:pPr>
              <w:spacing w:line="300" w:lineRule="exact"/>
              <w:rPr>
                <w:rFonts w:asciiTheme="minorEastAsia" w:hAnsiTheme="minorEastAsia" w:eastAsiaTheme="minorEastAsia"/>
                <w:sz w:val="28"/>
                <w:szCs w:val="32"/>
              </w:rPr>
            </w:pPr>
            <w:r>
              <w:rPr>
                <w:rFonts w:hint="eastAsia" w:asciiTheme="minorEastAsia" w:hAnsiTheme="minorEastAsia" w:eastAsiaTheme="minorEastAsia"/>
                <w:sz w:val="28"/>
                <w:szCs w:val="32"/>
              </w:rPr>
              <w:t>医用内窥镜</w:t>
            </w:r>
            <w:r>
              <w:rPr>
                <w:rFonts w:asciiTheme="minorEastAsia" w:hAnsiTheme="minorEastAsia" w:eastAsiaTheme="minorEastAsia"/>
                <w:sz w:val="28"/>
                <w:szCs w:val="32"/>
              </w:rPr>
              <w:t xml:space="preserve"> </w:t>
            </w:r>
            <w:r>
              <w:rPr>
                <w:rFonts w:hint="eastAsia" w:asciiTheme="minorEastAsia" w:hAnsiTheme="minorEastAsia" w:eastAsiaTheme="minorEastAsia"/>
                <w:sz w:val="28"/>
                <w:szCs w:val="32"/>
              </w:rPr>
              <w:t>硬性内窥镜第</w:t>
            </w:r>
            <w:r>
              <w:rPr>
                <w:rFonts w:asciiTheme="minorEastAsia" w:hAnsiTheme="minorEastAsia" w:eastAsiaTheme="minorEastAsia"/>
                <w:sz w:val="28"/>
                <w:szCs w:val="32"/>
              </w:rPr>
              <w:t>4部分：基本要求</w:t>
            </w:r>
          </w:p>
        </w:tc>
      </w:tr>
      <w:tr w14:paraId="4A739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816" w:type="dxa"/>
            <w:tcBorders>
              <w:right w:val="single" w:color="auto" w:sz="4" w:space="0"/>
            </w:tcBorders>
            <w:vAlign w:val="center"/>
          </w:tcPr>
          <w:p w14:paraId="7DE2E18E">
            <w:pPr>
              <w:spacing w:line="300" w:lineRule="exact"/>
              <w:rPr>
                <w:rFonts w:ascii="Times New Roman" w:hAnsi="Times New Roman" w:cs="Times New Roman" w:eastAsiaTheme="minorEastAsia"/>
                <w:sz w:val="28"/>
                <w:szCs w:val="32"/>
              </w:rPr>
            </w:pPr>
            <w:r>
              <w:rPr>
                <w:rFonts w:ascii="Times New Roman" w:hAnsi="Times New Roman" w:cs="Times New Roman" w:eastAsiaTheme="minorEastAsia"/>
                <w:sz w:val="28"/>
                <w:szCs w:val="32"/>
              </w:rPr>
              <w:t>YY 1075-2007</w:t>
            </w:r>
          </w:p>
        </w:tc>
        <w:tc>
          <w:tcPr>
            <w:tcW w:w="6030" w:type="dxa"/>
            <w:tcBorders>
              <w:left w:val="single" w:color="auto" w:sz="4" w:space="0"/>
            </w:tcBorders>
            <w:vAlign w:val="center"/>
          </w:tcPr>
          <w:p w14:paraId="6FB33382">
            <w:pPr>
              <w:spacing w:line="300" w:lineRule="exact"/>
              <w:rPr>
                <w:rFonts w:asciiTheme="minorEastAsia" w:hAnsiTheme="minorEastAsia" w:eastAsiaTheme="minorEastAsia"/>
                <w:sz w:val="28"/>
                <w:szCs w:val="32"/>
              </w:rPr>
            </w:pPr>
            <w:r>
              <w:rPr>
                <w:rFonts w:hint="eastAsia" w:asciiTheme="minorEastAsia" w:hAnsiTheme="minorEastAsia" w:eastAsiaTheme="minorEastAsia"/>
                <w:sz w:val="28"/>
                <w:szCs w:val="32"/>
              </w:rPr>
              <w:t>硬性宫腔内窥镜</w:t>
            </w:r>
          </w:p>
        </w:tc>
      </w:tr>
      <w:tr w14:paraId="65225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atLeast"/>
        </w:trPr>
        <w:tc>
          <w:tcPr>
            <w:tcW w:w="2816" w:type="dxa"/>
            <w:tcBorders>
              <w:right w:val="single" w:color="auto" w:sz="4" w:space="0"/>
            </w:tcBorders>
            <w:vAlign w:val="center"/>
          </w:tcPr>
          <w:p w14:paraId="065C251C">
            <w:pPr>
              <w:spacing w:line="300" w:lineRule="exact"/>
              <w:rPr>
                <w:rFonts w:ascii="Times New Roman" w:hAnsi="Times New Roman" w:cs="Times New Roman" w:eastAsiaTheme="minorEastAsia"/>
                <w:sz w:val="28"/>
                <w:szCs w:val="32"/>
              </w:rPr>
            </w:pPr>
            <w:r>
              <w:rPr>
                <w:rFonts w:ascii="Times New Roman" w:hAnsi="Times New Roman" w:cs="Times New Roman" w:eastAsiaTheme="minorEastAsia"/>
                <w:sz w:val="28"/>
                <w:szCs w:val="32"/>
              </w:rPr>
              <w:t>YY 91083-1999</w:t>
            </w:r>
          </w:p>
        </w:tc>
        <w:tc>
          <w:tcPr>
            <w:tcW w:w="6030" w:type="dxa"/>
            <w:tcBorders>
              <w:left w:val="single" w:color="auto" w:sz="4" w:space="0"/>
            </w:tcBorders>
            <w:vAlign w:val="center"/>
          </w:tcPr>
          <w:p w14:paraId="47A5B0F6">
            <w:pPr>
              <w:spacing w:line="300" w:lineRule="exact"/>
              <w:rPr>
                <w:rFonts w:asciiTheme="minorEastAsia" w:hAnsiTheme="minorEastAsia" w:eastAsiaTheme="minorEastAsia"/>
                <w:sz w:val="28"/>
                <w:szCs w:val="32"/>
              </w:rPr>
            </w:pPr>
            <w:r>
              <w:rPr>
                <w:rFonts w:hint="eastAsia" w:asciiTheme="minorEastAsia" w:hAnsiTheme="minorEastAsia" w:eastAsiaTheme="minorEastAsia"/>
                <w:sz w:val="28"/>
                <w:szCs w:val="32"/>
              </w:rPr>
              <w:t>纤维导光膀胱镜</w:t>
            </w:r>
          </w:p>
        </w:tc>
      </w:tr>
    </w:tbl>
    <w:p w14:paraId="2BF6CEA9">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2.可引用或参照的国际标准：</w:t>
      </w:r>
    </w:p>
    <w:tbl>
      <w:tblPr>
        <w:tblStyle w:val="10"/>
        <w:tblW w:w="9065"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81"/>
        <w:gridCol w:w="6084"/>
      </w:tblGrid>
      <w:tr w14:paraId="68B0C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9" w:hRule="atLeast"/>
        </w:trPr>
        <w:tc>
          <w:tcPr>
            <w:tcW w:w="2981" w:type="dxa"/>
            <w:tcBorders>
              <w:right w:val="single" w:color="auto" w:sz="4" w:space="0"/>
            </w:tcBorders>
            <w:vAlign w:val="center"/>
          </w:tcPr>
          <w:p w14:paraId="615C219B">
            <w:pPr>
              <w:spacing w:line="320" w:lineRule="exact"/>
              <w:rPr>
                <w:rFonts w:ascii="Times New Roman" w:hAnsi="Times New Roman" w:cs="Times New Roman" w:eastAsiaTheme="minorEastAsia"/>
                <w:b/>
                <w:sz w:val="28"/>
                <w:szCs w:val="32"/>
              </w:rPr>
            </w:pPr>
            <w:r>
              <w:rPr>
                <w:rFonts w:hint="eastAsia" w:ascii="Times New Roman" w:hAnsi="Times New Roman" w:cs="Times New Roman" w:eastAsiaTheme="minorEastAsia"/>
                <w:b/>
                <w:sz w:val="28"/>
                <w:szCs w:val="32"/>
              </w:rPr>
              <w:t>标准号</w:t>
            </w:r>
          </w:p>
        </w:tc>
        <w:tc>
          <w:tcPr>
            <w:tcW w:w="6084" w:type="dxa"/>
            <w:tcBorders>
              <w:left w:val="single" w:color="auto" w:sz="4" w:space="0"/>
            </w:tcBorders>
            <w:vAlign w:val="center"/>
          </w:tcPr>
          <w:p w14:paraId="44FA09BF">
            <w:pPr>
              <w:spacing w:line="320" w:lineRule="exact"/>
              <w:rPr>
                <w:rFonts w:asciiTheme="minorEastAsia" w:hAnsiTheme="minorEastAsia" w:eastAsiaTheme="minorEastAsia"/>
                <w:b/>
                <w:sz w:val="28"/>
                <w:szCs w:val="32"/>
              </w:rPr>
            </w:pPr>
            <w:r>
              <w:rPr>
                <w:rFonts w:hint="eastAsia" w:asciiTheme="minorEastAsia" w:hAnsiTheme="minorEastAsia" w:eastAsiaTheme="minorEastAsia"/>
                <w:b/>
                <w:sz w:val="28"/>
                <w:szCs w:val="32"/>
              </w:rPr>
              <w:t>标准名称</w:t>
            </w:r>
          </w:p>
        </w:tc>
      </w:tr>
      <w:tr w14:paraId="1E631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9" w:hRule="atLeast"/>
        </w:trPr>
        <w:tc>
          <w:tcPr>
            <w:tcW w:w="2981" w:type="dxa"/>
            <w:tcBorders>
              <w:right w:val="single" w:color="auto" w:sz="4" w:space="0"/>
            </w:tcBorders>
            <w:vAlign w:val="center"/>
          </w:tcPr>
          <w:p w14:paraId="7A4CD58D">
            <w:pPr>
              <w:spacing w:line="320" w:lineRule="exact"/>
              <w:rPr>
                <w:rFonts w:ascii="Times New Roman" w:hAnsi="Times New Roman" w:cs="Times New Roman" w:eastAsiaTheme="minorEastAsia"/>
                <w:sz w:val="28"/>
                <w:szCs w:val="32"/>
              </w:rPr>
            </w:pPr>
            <w:r>
              <w:rPr>
                <w:rFonts w:ascii="Times New Roman" w:hAnsi="Times New Roman" w:cs="Times New Roman" w:eastAsiaTheme="minorEastAsia"/>
                <w:sz w:val="28"/>
                <w:szCs w:val="32"/>
              </w:rPr>
              <w:t>ISO8600-1-2013</w:t>
            </w:r>
          </w:p>
        </w:tc>
        <w:tc>
          <w:tcPr>
            <w:tcW w:w="6084" w:type="dxa"/>
            <w:tcBorders>
              <w:left w:val="single" w:color="auto" w:sz="4" w:space="0"/>
            </w:tcBorders>
            <w:vAlign w:val="center"/>
          </w:tcPr>
          <w:p w14:paraId="61753711">
            <w:pPr>
              <w:spacing w:line="320" w:lineRule="exact"/>
              <w:rPr>
                <w:rFonts w:asciiTheme="minorEastAsia" w:hAnsiTheme="minorEastAsia" w:eastAsiaTheme="minorEastAsia"/>
                <w:sz w:val="28"/>
                <w:szCs w:val="32"/>
              </w:rPr>
            </w:pPr>
            <w:r>
              <w:rPr>
                <w:rFonts w:hint="eastAsia" w:asciiTheme="minorEastAsia" w:hAnsiTheme="minorEastAsia" w:eastAsiaTheme="minorEastAsia"/>
                <w:sz w:val="28"/>
                <w:szCs w:val="32"/>
              </w:rPr>
              <w:t>内窥镜—医用内窥镜和内窥镜附件</w:t>
            </w:r>
            <w:r>
              <w:rPr>
                <w:rFonts w:asciiTheme="minorEastAsia" w:hAnsiTheme="minorEastAsia" w:eastAsiaTheme="minorEastAsia"/>
                <w:sz w:val="28"/>
                <w:szCs w:val="32"/>
              </w:rPr>
              <w:t xml:space="preserve"> </w:t>
            </w:r>
            <w:r>
              <w:rPr>
                <w:rFonts w:hint="eastAsia" w:asciiTheme="minorEastAsia" w:hAnsiTheme="minorEastAsia" w:eastAsiaTheme="minorEastAsia"/>
                <w:sz w:val="28"/>
                <w:szCs w:val="32"/>
              </w:rPr>
              <w:t>第</w:t>
            </w:r>
            <w:r>
              <w:rPr>
                <w:rFonts w:asciiTheme="minorEastAsia" w:hAnsiTheme="minorEastAsia" w:eastAsiaTheme="minorEastAsia"/>
                <w:sz w:val="28"/>
                <w:szCs w:val="32"/>
              </w:rPr>
              <w:t>1部分：一般要求</w:t>
            </w:r>
          </w:p>
        </w:tc>
      </w:tr>
      <w:tr w14:paraId="50FB3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6" w:hRule="atLeast"/>
        </w:trPr>
        <w:tc>
          <w:tcPr>
            <w:tcW w:w="2981" w:type="dxa"/>
            <w:tcBorders>
              <w:right w:val="single" w:color="auto" w:sz="4" w:space="0"/>
            </w:tcBorders>
            <w:vAlign w:val="center"/>
          </w:tcPr>
          <w:p w14:paraId="035B4A3E">
            <w:pPr>
              <w:spacing w:line="320" w:lineRule="exact"/>
              <w:ind w:left="2880" w:hanging="2880"/>
              <w:rPr>
                <w:rFonts w:ascii="Times New Roman" w:hAnsi="Times New Roman" w:cs="Times New Roman" w:eastAsiaTheme="minorEastAsia"/>
                <w:sz w:val="28"/>
                <w:szCs w:val="32"/>
              </w:rPr>
            </w:pPr>
            <w:r>
              <w:rPr>
                <w:rFonts w:ascii="Times New Roman" w:hAnsi="Times New Roman" w:cs="Times New Roman" w:eastAsiaTheme="minorEastAsia"/>
                <w:sz w:val="28"/>
                <w:szCs w:val="32"/>
              </w:rPr>
              <w:t>ISO8600-3-1997</w:t>
            </w:r>
          </w:p>
        </w:tc>
        <w:tc>
          <w:tcPr>
            <w:tcW w:w="6084" w:type="dxa"/>
            <w:tcBorders>
              <w:left w:val="single" w:color="auto" w:sz="4" w:space="0"/>
            </w:tcBorders>
          </w:tcPr>
          <w:p w14:paraId="54C4FAD3">
            <w:pPr>
              <w:spacing w:line="320" w:lineRule="exact"/>
              <w:rPr>
                <w:rFonts w:asciiTheme="minorEastAsia" w:hAnsiTheme="minorEastAsia" w:eastAsiaTheme="minorEastAsia"/>
                <w:sz w:val="28"/>
                <w:szCs w:val="32"/>
              </w:rPr>
            </w:pPr>
            <w:r>
              <w:rPr>
                <w:rFonts w:hint="eastAsia" w:asciiTheme="minorEastAsia" w:hAnsiTheme="minorEastAsia" w:eastAsiaTheme="minorEastAsia"/>
                <w:sz w:val="28"/>
                <w:szCs w:val="32"/>
              </w:rPr>
              <w:t>光学和光学仪器—医用内窥镜及内窥镜附件</w:t>
            </w:r>
            <w:r>
              <w:rPr>
                <w:rFonts w:asciiTheme="minorEastAsia" w:hAnsiTheme="minorEastAsia" w:eastAsiaTheme="minorEastAsia"/>
                <w:sz w:val="28"/>
                <w:szCs w:val="32"/>
              </w:rPr>
              <w:t xml:space="preserve">  </w:t>
            </w:r>
            <w:r>
              <w:rPr>
                <w:rFonts w:hint="eastAsia" w:asciiTheme="minorEastAsia" w:hAnsiTheme="minorEastAsia" w:eastAsiaTheme="minorEastAsia"/>
                <w:sz w:val="28"/>
                <w:szCs w:val="32"/>
              </w:rPr>
              <w:t>第</w:t>
            </w:r>
            <w:r>
              <w:rPr>
                <w:rFonts w:asciiTheme="minorEastAsia" w:hAnsiTheme="minorEastAsia" w:eastAsiaTheme="minorEastAsia"/>
                <w:sz w:val="28"/>
                <w:szCs w:val="32"/>
              </w:rPr>
              <w:t>3部分：视场</w:t>
            </w:r>
            <w:r>
              <w:rPr>
                <w:rFonts w:hint="eastAsia" w:asciiTheme="minorEastAsia" w:hAnsiTheme="minorEastAsia" w:eastAsiaTheme="minorEastAsia"/>
                <w:sz w:val="28"/>
                <w:szCs w:val="32"/>
              </w:rPr>
              <w:t>角和视向角的测定</w:t>
            </w:r>
          </w:p>
        </w:tc>
      </w:tr>
      <w:tr w14:paraId="713C7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trPr>
        <w:tc>
          <w:tcPr>
            <w:tcW w:w="2981" w:type="dxa"/>
            <w:tcBorders>
              <w:right w:val="single" w:color="auto" w:sz="4" w:space="0"/>
            </w:tcBorders>
            <w:vAlign w:val="center"/>
          </w:tcPr>
          <w:p w14:paraId="00FD0C60">
            <w:pPr>
              <w:spacing w:line="320" w:lineRule="exact"/>
              <w:ind w:left="3040" w:hanging="3040"/>
              <w:rPr>
                <w:rFonts w:ascii="Times New Roman" w:hAnsi="Times New Roman" w:cs="Times New Roman" w:eastAsiaTheme="minorEastAsia"/>
                <w:sz w:val="28"/>
                <w:szCs w:val="32"/>
              </w:rPr>
            </w:pPr>
            <w:r>
              <w:rPr>
                <w:rFonts w:ascii="Times New Roman" w:hAnsi="Times New Roman" w:cs="Times New Roman" w:eastAsiaTheme="minorEastAsia"/>
                <w:sz w:val="28"/>
                <w:szCs w:val="32"/>
              </w:rPr>
              <w:t>ISO8600-4 -2014</w:t>
            </w:r>
          </w:p>
          <w:p w14:paraId="0469F4E8">
            <w:pPr>
              <w:spacing w:line="320" w:lineRule="exact"/>
              <w:ind w:firstLine="560" w:firstLineChars="200"/>
              <w:rPr>
                <w:rFonts w:ascii="Times New Roman" w:hAnsi="Times New Roman" w:cs="Times New Roman" w:eastAsiaTheme="minorEastAsia"/>
                <w:sz w:val="28"/>
                <w:szCs w:val="32"/>
              </w:rPr>
            </w:pPr>
          </w:p>
        </w:tc>
        <w:tc>
          <w:tcPr>
            <w:tcW w:w="6084" w:type="dxa"/>
            <w:tcBorders>
              <w:left w:val="single" w:color="auto" w:sz="4" w:space="0"/>
            </w:tcBorders>
            <w:vAlign w:val="center"/>
          </w:tcPr>
          <w:p w14:paraId="294DBB13">
            <w:pPr>
              <w:spacing w:line="320" w:lineRule="exact"/>
              <w:rPr>
                <w:rFonts w:asciiTheme="minorEastAsia" w:hAnsiTheme="minorEastAsia" w:eastAsiaTheme="minorEastAsia"/>
                <w:sz w:val="28"/>
                <w:szCs w:val="32"/>
              </w:rPr>
            </w:pPr>
            <w:r>
              <w:rPr>
                <w:rFonts w:hint="eastAsia" w:asciiTheme="minorEastAsia" w:hAnsiTheme="minorEastAsia" w:eastAsiaTheme="minorEastAsia"/>
                <w:sz w:val="28"/>
                <w:szCs w:val="32"/>
              </w:rPr>
              <w:t>内窥镜</w:t>
            </w:r>
            <w:r>
              <w:rPr>
                <w:rFonts w:asciiTheme="minorEastAsia" w:hAnsiTheme="minorEastAsia" w:eastAsiaTheme="minorEastAsia"/>
                <w:sz w:val="28"/>
                <w:szCs w:val="32"/>
              </w:rPr>
              <w:t xml:space="preserve">--医用内窥镜及内镜治疗装置--第4部分: </w:t>
            </w:r>
            <w:r>
              <w:rPr>
                <w:rFonts w:hint="eastAsia" w:asciiTheme="minorEastAsia" w:hAnsiTheme="minorEastAsia" w:eastAsiaTheme="minorEastAsia"/>
                <w:sz w:val="28"/>
                <w:szCs w:val="32"/>
              </w:rPr>
              <w:t>插入部分最大宽度的测定</w:t>
            </w:r>
          </w:p>
        </w:tc>
      </w:tr>
    </w:tbl>
    <w:p w14:paraId="1CCF0712">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3.可引用或参照的其他相关标准：</w:t>
      </w:r>
    </w:p>
    <w:tbl>
      <w:tblPr>
        <w:tblStyle w:val="10"/>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4"/>
        <w:gridCol w:w="6455"/>
      </w:tblGrid>
      <w:tr w14:paraId="34BF0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blHeader/>
        </w:trPr>
        <w:tc>
          <w:tcPr>
            <w:tcW w:w="2584" w:type="dxa"/>
            <w:tcBorders>
              <w:right w:val="single" w:color="auto" w:sz="4" w:space="0"/>
            </w:tcBorders>
            <w:vAlign w:val="center"/>
          </w:tcPr>
          <w:p w14:paraId="5242CE30">
            <w:pPr>
              <w:spacing w:line="32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标准号</w:t>
            </w:r>
          </w:p>
        </w:tc>
        <w:tc>
          <w:tcPr>
            <w:tcW w:w="6455" w:type="dxa"/>
            <w:tcBorders>
              <w:left w:val="single" w:color="auto" w:sz="4" w:space="0"/>
            </w:tcBorders>
            <w:vAlign w:val="center"/>
          </w:tcPr>
          <w:p w14:paraId="2772F1BC">
            <w:pPr>
              <w:spacing w:line="32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标准名称</w:t>
            </w:r>
          </w:p>
        </w:tc>
      </w:tr>
      <w:tr w14:paraId="65E04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2584" w:type="dxa"/>
            <w:tcBorders>
              <w:right w:val="single" w:color="auto" w:sz="4" w:space="0"/>
            </w:tcBorders>
            <w:vAlign w:val="center"/>
          </w:tcPr>
          <w:p w14:paraId="363922CD">
            <w:pPr>
              <w:spacing w:line="32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GB/T 191-2008</w:t>
            </w:r>
          </w:p>
        </w:tc>
        <w:tc>
          <w:tcPr>
            <w:tcW w:w="6455" w:type="dxa"/>
            <w:tcBorders>
              <w:left w:val="single" w:color="auto" w:sz="4" w:space="0"/>
            </w:tcBorders>
            <w:vAlign w:val="center"/>
          </w:tcPr>
          <w:p w14:paraId="3A5DAE1B">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包装储运图示标志</w:t>
            </w:r>
          </w:p>
        </w:tc>
      </w:tr>
      <w:tr w14:paraId="11A2F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584" w:type="dxa"/>
            <w:tcBorders>
              <w:right w:val="single" w:color="auto" w:sz="4" w:space="0"/>
            </w:tcBorders>
            <w:vAlign w:val="center"/>
          </w:tcPr>
          <w:p w14:paraId="53386254">
            <w:pPr>
              <w:spacing w:line="32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GB/T 14710-2009</w:t>
            </w:r>
          </w:p>
        </w:tc>
        <w:tc>
          <w:tcPr>
            <w:tcW w:w="6455" w:type="dxa"/>
            <w:tcBorders>
              <w:left w:val="single" w:color="auto" w:sz="4" w:space="0"/>
            </w:tcBorders>
            <w:vAlign w:val="center"/>
          </w:tcPr>
          <w:p w14:paraId="5F2EAEE0">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医用电气设备环境要求及试验方法</w:t>
            </w:r>
          </w:p>
        </w:tc>
      </w:tr>
      <w:tr w14:paraId="6DE06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9" w:hRule="atLeast"/>
        </w:trPr>
        <w:tc>
          <w:tcPr>
            <w:tcW w:w="2584" w:type="dxa"/>
            <w:tcBorders>
              <w:right w:val="single" w:color="auto" w:sz="4" w:space="0"/>
            </w:tcBorders>
            <w:vAlign w:val="center"/>
          </w:tcPr>
          <w:p w14:paraId="070690F2">
            <w:pPr>
              <w:spacing w:line="32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GB/T 16886.1 -2011</w:t>
            </w:r>
          </w:p>
        </w:tc>
        <w:tc>
          <w:tcPr>
            <w:tcW w:w="6455" w:type="dxa"/>
            <w:tcBorders>
              <w:left w:val="single" w:color="auto" w:sz="4" w:space="0"/>
            </w:tcBorders>
            <w:vAlign w:val="center"/>
          </w:tcPr>
          <w:p w14:paraId="60D72BF5">
            <w:pPr>
              <w:spacing w:line="320" w:lineRule="exact"/>
              <w:rPr>
                <w:rFonts w:asciiTheme="minorEastAsia" w:hAnsiTheme="minorEastAsia" w:eastAsiaTheme="minorEastAsia"/>
                <w:sz w:val="28"/>
                <w:szCs w:val="28"/>
              </w:rPr>
            </w:pPr>
            <w:r>
              <w:fldChar w:fldCharType="begin"/>
            </w:r>
            <w:r>
              <w:instrText xml:space="preserve"> HYPERLINK "http://www.spsp.gov.cn/DataCenter/Standard/PDFView.aspx?ca=pb4LUUdoidk=" \t "_blank" </w:instrText>
            </w:r>
            <w:r>
              <w:fldChar w:fldCharType="separate"/>
            </w:r>
            <w:r>
              <w:rPr>
                <w:rFonts w:hint="eastAsia" w:asciiTheme="minorEastAsia" w:hAnsiTheme="minorEastAsia" w:eastAsiaTheme="minorEastAsia"/>
                <w:sz w:val="28"/>
                <w:szCs w:val="28"/>
              </w:rPr>
              <w:t>医疗器械生物学评价</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第</w:t>
            </w:r>
            <w:r>
              <w:rPr>
                <w:rFonts w:asciiTheme="minorEastAsia" w:hAnsiTheme="minorEastAsia" w:eastAsiaTheme="minorEastAsia"/>
                <w:sz w:val="28"/>
                <w:szCs w:val="28"/>
              </w:rPr>
              <w:t>1部分:风险管理过程中的评价与试验</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w:t>
            </w:r>
          </w:p>
        </w:tc>
      </w:tr>
      <w:tr w14:paraId="45B63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2584" w:type="dxa"/>
            <w:tcBorders>
              <w:right w:val="single" w:color="auto" w:sz="4" w:space="0"/>
            </w:tcBorders>
            <w:vAlign w:val="center"/>
          </w:tcPr>
          <w:p w14:paraId="66AB1F3E">
            <w:pPr>
              <w:spacing w:line="32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GB/T 16886.5-2003</w:t>
            </w:r>
          </w:p>
        </w:tc>
        <w:tc>
          <w:tcPr>
            <w:tcW w:w="6455" w:type="dxa"/>
            <w:tcBorders>
              <w:left w:val="single" w:color="auto" w:sz="4" w:space="0"/>
            </w:tcBorders>
            <w:vAlign w:val="center"/>
          </w:tcPr>
          <w:p w14:paraId="62A3F42A">
            <w:pPr>
              <w:spacing w:line="320" w:lineRule="exact"/>
              <w:rPr>
                <w:rFonts w:asciiTheme="minorEastAsia" w:hAnsiTheme="minorEastAsia" w:eastAsiaTheme="minorEastAsia"/>
                <w:sz w:val="28"/>
                <w:szCs w:val="28"/>
              </w:rPr>
            </w:pPr>
            <w:r>
              <w:fldChar w:fldCharType="begin"/>
            </w:r>
            <w:r>
              <w:instrText xml:space="preserve"> HYPERLINK "http://www.spsp.gov.cn/DataCenter/Standard/PDFView.aspx?ca=5bJSP0YSvlw=" \t "_blank" </w:instrText>
            </w:r>
            <w:r>
              <w:fldChar w:fldCharType="separate"/>
            </w:r>
            <w:r>
              <w:rPr>
                <w:rFonts w:hint="eastAsia" w:asciiTheme="minorEastAsia" w:hAnsiTheme="minorEastAsia" w:eastAsiaTheme="minorEastAsia"/>
                <w:sz w:val="28"/>
                <w:szCs w:val="28"/>
              </w:rPr>
              <w:t>医疗器械生物学评价</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第</w:t>
            </w:r>
            <w:r>
              <w:rPr>
                <w:rFonts w:asciiTheme="minorEastAsia" w:hAnsiTheme="minorEastAsia" w:eastAsiaTheme="minorEastAsia"/>
                <w:sz w:val="28"/>
                <w:szCs w:val="28"/>
              </w:rPr>
              <w:t>5部分:体外细胞毒性试验</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w:t>
            </w:r>
          </w:p>
        </w:tc>
      </w:tr>
      <w:tr w14:paraId="351C1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atLeast"/>
        </w:trPr>
        <w:tc>
          <w:tcPr>
            <w:tcW w:w="2584" w:type="dxa"/>
            <w:tcBorders>
              <w:right w:val="single" w:color="auto" w:sz="4" w:space="0"/>
            </w:tcBorders>
            <w:vAlign w:val="center"/>
          </w:tcPr>
          <w:p w14:paraId="6B58A8DE">
            <w:pPr>
              <w:spacing w:line="32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GB/T 16886.10-2005</w:t>
            </w:r>
          </w:p>
        </w:tc>
        <w:tc>
          <w:tcPr>
            <w:tcW w:w="6455" w:type="dxa"/>
            <w:tcBorders>
              <w:left w:val="single" w:color="auto" w:sz="4" w:space="0"/>
            </w:tcBorders>
            <w:vAlign w:val="center"/>
          </w:tcPr>
          <w:p w14:paraId="06EB3272">
            <w:pPr>
              <w:spacing w:line="320" w:lineRule="exact"/>
              <w:rPr>
                <w:rFonts w:asciiTheme="minorEastAsia" w:hAnsiTheme="minorEastAsia" w:eastAsiaTheme="minorEastAsia"/>
                <w:sz w:val="28"/>
                <w:szCs w:val="28"/>
              </w:rPr>
            </w:pPr>
            <w:r>
              <w:fldChar w:fldCharType="begin"/>
            </w:r>
            <w:r>
              <w:instrText xml:space="preserve"> HYPERLINK "http://www.spsp.gov.cn/DataCenter/Standard/PDFView.aspx?ca=WIrv%2BfwUeMo=" \t "_blank" </w:instrText>
            </w:r>
            <w:r>
              <w:fldChar w:fldCharType="separate"/>
            </w:r>
            <w:r>
              <w:rPr>
                <w:rFonts w:hint="eastAsia" w:asciiTheme="minorEastAsia" w:hAnsiTheme="minorEastAsia" w:eastAsiaTheme="minorEastAsia"/>
                <w:sz w:val="28"/>
                <w:szCs w:val="28"/>
              </w:rPr>
              <w:t>医疗器械生物学评价</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第</w:t>
            </w:r>
            <w:r>
              <w:rPr>
                <w:rFonts w:asciiTheme="minorEastAsia" w:hAnsiTheme="minorEastAsia" w:eastAsiaTheme="minorEastAsia"/>
                <w:sz w:val="28"/>
                <w:szCs w:val="28"/>
              </w:rPr>
              <w:t>10部分:刺激与迟发型超敏反应试验</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w:t>
            </w:r>
          </w:p>
        </w:tc>
      </w:tr>
      <w:tr w14:paraId="14711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2584" w:type="dxa"/>
            <w:tcBorders>
              <w:right w:val="single" w:color="auto" w:sz="4" w:space="0"/>
            </w:tcBorders>
            <w:vAlign w:val="center"/>
          </w:tcPr>
          <w:p w14:paraId="168661BA">
            <w:pPr>
              <w:spacing w:line="32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YY 0076-1992</w:t>
            </w:r>
          </w:p>
        </w:tc>
        <w:tc>
          <w:tcPr>
            <w:tcW w:w="6455" w:type="dxa"/>
            <w:tcBorders>
              <w:left w:val="single" w:color="auto" w:sz="4" w:space="0"/>
            </w:tcBorders>
            <w:vAlign w:val="center"/>
          </w:tcPr>
          <w:p w14:paraId="2DCE1C59">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金属制件的镀层分类、技术要求</w:t>
            </w:r>
          </w:p>
        </w:tc>
      </w:tr>
      <w:tr w14:paraId="4746E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2584" w:type="dxa"/>
            <w:tcBorders>
              <w:right w:val="single" w:color="auto" w:sz="4" w:space="0"/>
            </w:tcBorders>
            <w:vAlign w:val="center"/>
          </w:tcPr>
          <w:p w14:paraId="4898A6F2">
            <w:pPr>
              <w:spacing w:line="32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YY/T 0149-2006</w:t>
            </w:r>
          </w:p>
        </w:tc>
        <w:tc>
          <w:tcPr>
            <w:tcW w:w="6455" w:type="dxa"/>
            <w:tcBorders>
              <w:left w:val="single" w:color="auto" w:sz="4" w:space="0"/>
            </w:tcBorders>
            <w:vAlign w:val="center"/>
          </w:tcPr>
          <w:p w14:paraId="3139EEED">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不锈钢医用器械</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耐腐蚀性能试验方法</w:t>
            </w:r>
          </w:p>
        </w:tc>
      </w:tr>
      <w:tr w14:paraId="3BF30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trPr>
        <w:tc>
          <w:tcPr>
            <w:tcW w:w="2584" w:type="dxa"/>
            <w:tcBorders>
              <w:right w:val="single" w:color="auto" w:sz="4" w:space="0"/>
            </w:tcBorders>
            <w:vAlign w:val="center"/>
          </w:tcPr>
          <w:p w14:paraId="44F832A7">
            <w:pPr>
              <w:spacing w:line="32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YY/T 0294.1-2005   </w:t>
            </w:r>
          </w:p>
        </w:tc>
        <w:tc>
          <w:tcPr>
            <w:tcW w:w="6455" w:type="dxa"/>
            <w:tcBorders>
              <w:left w:val="single" w:color="auto" w:sz="4" w:space="0"/>
            </w:tcBorders>
            <w:vAlign w:val="center"/>
          </w:tcPr>
          <w:p w14:paraId="46059423">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外科器械</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金属材料第</w:t>
            </w:r>
            <w:r>
              <w:rPr>
                <w:rFonts w:asciiTheme="minorEastAsia" w:hAnsiTheme="minorEastAsia" w:eastAsiaTheme="minorEastAsia"/>
                <w:sz w:val="28"/>
                <w:szCs w:val="28"/>
              </w:rPr>
              <w:t>1部分：不锈钢</w:t>
            </w:r>
          </w:p>
        </w:tc>
      </w:tr>
      <w:tr w14:paraId="0F909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2584" w:type="dxa"/>
            <w:tcBorders>
              <w:right w:val="single" w:color="auto" w:sz="4" w:space="0"/>
            </w:tcBorders>
            <w:vAlign w:val="center"/>
          </w:tcPr>
          <w:p w14:paraId="43870ABA">
            <w:pPr>
              <w:spacing w:line="32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YY 0466-2009</w:t>
            </w:r>
          </w:p>
        </w:tc>
        <w:tc>
          <w:tcPr>
            <w:tcW w:w="6455" w:type="dxa"/>
            <w:tcBorders>
              <w:left w:val="single" w:color="auto" w:sz="4" w:space="0"/>
            </w:tcBorders>
            <w:vAlign w:val="center"/>
          </w:tcPr>
          <w:p w14:paraId="2F99EEE4">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医疗器械</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用于医疗器械标签、标记和提供信息的符号</w:t>
            </w:r>
          </w:p>
        </w:tc>
      </w:tr>
      <w:tr w14:paraId="62FD3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2584" w:type="dxa"/>
            <w:tcBorders>
              <w:right w:val="single" w:color="auto" w:sz="4" w:space="0"/>
            </w:tcBorders>
            <w:vAlign w:val="center"/>
          </w:tcPr>
          <w:p w14:paraId="47CD14BD">
            <w:pPr>
              <w:spacing w:line="320" w:lineRule="exact"/>
              <w:ind w:left="3200" w:hanging="3200"/>
              <w:rPr>
                <w:rFonts w:ascii="Times New Roman" w:hAnsi="Times New Roman" w:cs="Times New Roman" w:eastAsiaTheme="minorEastAsia"/>
                <w:sz w:val="28"/>
                <w:szCs w:val="28"/>
              </w:rPr>
            </w:pPr>
            <w:r>
              <w:rPr>
                <w:rFonts w:ascii="Times New Roman" w:hAnsi="Times New Roman" w:cs="Times New Roman" w:eastAsiaTheme="minorEastAsia"/>
                <w:sz w:val="28"/>
                <w:szCs w:val="28"/>
              </w:rPr>
              <w:t>YY/T 0466.1-2009</w:t>
            </w:r>
          </w:p>
        </w:tc>
        <w:tc>
          <w:tcPr>
            <w:tcW w:w="6455" w:type="dxa"/>
            <w:tcBorders>
              <w:left w:val="single" w:color="auto" w:sz="4" w:space="0"/>
            </w:tcBorders>
            <w:vAlign w:val="center"/>
          </w:tcPr>
          <w:p w14:paraId="6CD09A48">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医疗器械</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用于医疗器械标签、标记和提供信息的符号</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第</w:t>
            </w:r>
            <w:r>
              <w:rPr>
                <w:rFonts w:asciiTheme="minorEastAsia" w:hAnsiTheme="minorEastAsia" w:eastAsiaTheme="minorEastAsia"/>
                <w:sz w:val="28"/>
                <w:szCs w:val="28"/>
              </w:rPr>
              <w:t>1部分：通用要求</w:t>
            </w:r>
          </w:p>
        </w:tc>
      </w:tr>
    </w:tbl>
    <w:p w14:paraId="4BDB9EC0">
      <w:pPr>
        <w:spacing w:line="520" w:lineRule="exact"/>
        <w:ind w:firstLine="640" w:firstLineChars="200"/>
        <w:jc w:val="left"/>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（六）产品的适用范围、禁忌症</w:t>
      </w:r>
    </w:p>
    <w:tbl>
      <w:tblPr>
        <w:tblStyle w:val="10"/>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3007"/>
        <w:gridCol w:w="3786"/>
      </w:tblGrid>
      <w:tr w14:paraId="5911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blHeader/>
        </w:trPr>
        <w:tc>
          <w:tcPr>
            <w:tcW w:w="1962" w:type="dxa"/>
            <w:vAlign w:val="center"/>
          </w:tcPr>
          <w:p w14:paraId="7370001E">
            <w:pPr>
              <w:spacing w:line="320" w:lineRule="exact"/>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产品名称</w:t>
            </w:r>
          </w:p>
        </w:tc>
        <w:tc>
          <w:tcPr>
            <w:tcW w:w="3007" w:type="dxa"/>
          </w:tcPr>
          <w:p w14:paraId="31E50D65">
            <w:pPr>
              <w:spacing w:line="32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适用范围</w:t>
            </w:r>
          </w:p>
        </w:tc>
        <w:tc>
          <w:tcPr>
            <w:tcW w:w="3786" w:type="dxa"/>
          </w:tcPr>
          <w:p w14:paraId="7710C6C9">
            <w:pPr>
              <w:spacing w:line="32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禁忌症</w:t>
            </w:r>
          </w:p>
        </w:tc>
      </w:tr>
      <w:tr w14:paraId="55B0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962" w:type="dxa"/>
            <w:vAlign w:val="center"/>
          </w:tcPr>
          <w:p w14:paraId="7E7EF9C3">
            <w:pPr>
              <w:spacing w:line="320" w:lineRule="exact"/>
              <w:rPr>
                <w:rFonts w:asciiTheme="minorEastAsia" w:hAnsiTheme="minorEastAsia" w:eastAsiaTheme="minorEastAsia"/>
                <w:sz w:val="28"/>
                <w:szCs w:val="28"/>
              </w:rPr>
            </w:pPr>
            <w:bookmarkStart w:id="0" w:name="_Hlk120695249"/>
            <w:r>
              <w:rPr>
                <w:rFonts w:hint="eastAsia" w:asciiTheme="minorEastAsia" w:hAnsiTheme="minorEastAsia" w:eastAsiaTheme="minorEastAsia"/>
                <w:sz w:val="28"/>
                <w:szCs w:val="28"/>
              </w:rPr>
              <w:t>喉镜</w:t>
            </w:r>
          </w:p>
        </w:tc>
        <w:tc>
          <w:tcPr>
            <w:tcW w:w="3007" w:type="dxa"/>
          </w:tcPr>
          <w:p w14:paraId="34855C5A">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供咽喉部病变的诊断和治疗检查时用。</w:t>
            </w:r>
          </w:p>
        </w:tc>
        <w:tc>
          <w:tcPr>
            <w:tcW w:w="3786" w:type="dxa"/>
          </w:tcPr>
          <w:p w14:paraId="37802BB5">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儿童检查要慎重，以免引起窒息；</w:t>
            </w:r>
          </w:p>
          <w:p w14:paraId="478BD486">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气管异物病人一般应慎用。</w:t>
            </w:r>
          </w:p>
        </w:tc>
      </w:tr>
      <w:bookmarkEnd w:id="0"/>
      <w:tr w14:paraId="6EF2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962" w:type="dxa"/>
            <w:vAlign w:val="center"/>
          </w:tcPr>
          <w:p w14:paraId="7C50C777">
            <w:pPr>
              <w:spacing w:line="32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鼻窦镜</w:t>
            </w:r>
          </w:p>
        </w:tc>
        <w:tc>
          <w:tcPr>
            <w:tcW w:w="3007" w:type="dxa"/>
            <w:vAlign w:val="center"/>
          </w:tcPr>
          <w:p w14:paraId="2D667918">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供鼻窦、鼻腔、鼻咽部检查和手术时观察用。</w:t>
            </w:r>
          </w:p>
        </w:tc>
        <w:tc>
          <w:tcPr>
            <w:tcW w:w="3786" w:type="dxa"/>
          </w:tcPr>
          <w:p w14:paraId="70B90B81">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1．鼻腔囊肿过大、腔道直径</w:t>
            </w:r>
            <w:r>
              <w:rPr>
                <w:rFonts w:hint="eastAsia" w:asciiTheme="minorEastAsia" w:hAnsiTheme="minorEastAsia" w:eastAsiaTheme="minorEastAsia"/>
                <w:sz w:val="28"/>
                <w:szCs w:val="28"/>
              </w:rPr>
              <w:t>小于</w:t>
            </w:r>
            <w:r>
              <w:rPr>
                <w:rFonts w:asciiTheme="minorEastAsia" w:hAnsiTheme="minorEastAsia" w:eastAsiaTheme="minorEastAsia"/>
                <w:sz w:val="28"/>
                <w:szCs w:val="28"/>
              </w:rPr>
              <w:t>4mm者；</w:t>
            </w:r>
          </w:p>
          <w:p w14:paraId="7AE9AEDE">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2．鼻腔严重出血者；</w:t>
            </w:r>
          </w:p>
          <w:p w14:paraId="2B1B1CBD">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3．高血压、严重心肺功能不全者；</w:t>
            </w:r>
          </w:p>
          <w:p w14:paraId="6F89F466">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4．严重全身性疾病、出血性疾病患者；</w:t>
            </w:r>
          </w:p>
          <w:p w14:paraId="3F1CFDE4">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5．婴幼儿及孕妇慎用；</w:t>
            </w:r>
          </w:p>
          <w:p w14:paraId="3A4CA9F4">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6．急性炎症。</w:t>
            </w:r>
          </w:p>
        </w:tc>
      </w:tr>
      <w:tr w14:paraId="57A5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962" w:type="dxa"/>
            <w:vAlign w:val="center"/>
          </w:tcPr>
          <w:p w14:paraId="44623E6A">
            <w:pPr>
              <w:spacing w:line="32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尿道膀胱镜</w:t>
            </w:r>
          </w:p>
        </w:tc>
        <w:tc>
          <w:tcPr>
            <w:tcW w:w="3007" w:type="dxa"/>
            <w:vAlign w:val="center"/>
          </w:tcPr>
          <w:p w14:paraId="7D94B137">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供检查尿道或膀胱内疾病和手术时用。</w:t>
            </w:r>
          </w:p>
        </w:tc>
        <w:tc>
          <w:tcPr>
            <w:tcW w:w="3786" w:type="dxa"/>
          </w:tcPr>
          <w:p w14:paraId="3376A2DC">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1．急性全身严重感染患者；</w:t>
            </w:r>
          </w:p>
          <w:p w14:paraId="0C8B43CA">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2．急性尿路感染患者；</w:t>
            </w:r>
          </w:p>
          <w:p w14:paraId="032E1D20">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3．膀胱容量小于50ml者；</w:t>
            </w:r>
          </w:p>
          <w:p w14:paraId="6F75C813">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4．严重尿道狭窄者、经期盆腔充血者及孕妇；</w:t>
            </w:r>
          </w:p>
          <w:p w14:paraId="0FA3352B">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5．孤立肾、肾毒症和巨大肾盂积水患者；</w:t>
            </w:r>
          </w:p>
          <w:p w14:paraId="1BC0A2FA">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6．月经期及孕期妇女；</w:t>
            </w:r>
          </w:p>
          <w:p w14:paraId="509D615C">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7．短时间内不宜重复检查，一般情况下一周内不做第二次检查；</w:t>
            </w:r>
          </w:p>
          <w:p w14:paraId="4F957E33">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8．全身出血性疾病或有重要脏器严重功能损害者；</w:t>
            </w:r>
          </w:p>
          <w:p w14:paraId="37F95E5C">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9．大量血尿或急性尿潴留。</w:t>
            </w:r>
          </w:p>
        </w:tc>
      </w:tr>
      <w:tr w14:paraId="7B30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962" w:type="dxa"/>
            <w:vAlign w:val="center"/>
          </w:tcPr>
          <w:p w14:paraId="2CD9F805">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宫腔镜</w:t>
            </w:r>
          </w:p>
        </w:tc>
        <w:tc>
          <w:tcPr>
            <w:tcW w:w="3007" w:type="dxa"/>
            <w:vAlign w:val="center"/>
          </w:tcPr>
          <w:p w14:paraId="152E393A">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供临床检查子宫腔内疾病和治疗时用。</w:t>
            </w:r>
          </w:p>
        </w:tc>
        <w:tc>
          <w:tcPr>
            <w:tcW w:w="3786" w:type="dxa"/>
          </w:tcPr>
          <w:p w14:paraId="613FB065">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1．月经期及活动性子宫出血</w:t>
            </w:r>
            <w:r>
              <w:rPr>
                <w:rFonts w:hint="eastAsia" w:asciiTheme="minorEastAsia" w:hAnsiTheme="minorEastAsia" w:eastAsiaTheme="minorEastAsia"/>
                <w:sz w:val="28"/>
                <w:szCs w:val="28"/>
              </w:rPr>
              <w:t>者；</w:t>
            </w:r>
          </w:p>
          <w:p w14:paraId="5AD3BC5E">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2．急性、恶急性生殖道炎症患者；</w:t>
            </w:r>
          </w:p>
          <w:p w14:paraId="6BACE335">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3．近期子宫穿孔或修补史患者；</w:t>
            </w:r>
          </w:p>
          <w:p w14:paraId="5463C3B5">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4．欲继续子宫内妊娠者；</w:t>
            </w:r>
          </w:p>
          <w:p w14:paraId="6AF89869">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5．宫颈难以扩张者；</w:t>
            </w:r>
          </w:p>
          <w:p w14:paraId="66EB9406">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6．宫颈恶性肿瘤患者；</w:t>
            </w:r>
          </w:p>
          <w:p w14:paraId="0E1AF65C">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7．严重心血管、肺或血液病等内科疾病者。</w:t>
            </w:r>
          </w:p>
        </w:tc>
      </w:tr>
      <w:tr w14:paraId="6389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962" w:type="dxa"/>
            <w:vAlign w:val="center"/>
          </w:tcPr>
          <w:p w14:paraId="188F1778">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直肠镜</w:t>
            </w:r>
          </w:p>
        </w:tc>
        <w:tc>
          <w:tcPr>
            <w:tcW w:w="3007" w:type="dxa"/>
            <w:vAlign w:val="center"/>
          </w:tcPr>
          <w:p w14:paraId="0332463D">
            <w:pPr>
              <w:spacing w:line="3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供肛门、直肠病变的诊断和活检取样用。</w:t>
            </w:r>
          </w:p>
        </w:tc>
        <w:tc>
          <w:tcPr>
            <w:tcW w:w="3786" w:type="dxa"/>
          </w:tcPr>
          <w:p w14:paraId="42F0EC84">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1．直肠和结肠内有梗阻；</w:t>
            </w:r>
          </w:p>
          <w:p w14:paraId="61FBB512">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2．肠内异物尚未取出；</w:t>
            </w:r>
          </w:p>
          <w:p w14:paraId="5977DB6A">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3．病变部位严重发炎，粘连后过度扭曲或缩窄；</w:t>
            </w:r>
          </w:p>
          <w:p w14:paraId="61C788DC">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4．精神病人或不合作病人；</w:t>
            </w:r>
          </w:p>
          <w:p w14:paraId="2B3A9F0F">
            <w:pPr>
              <w:spacing w:line="320" w:lineRule="exact"/>
              <w:rPr>
                <w:rFonts w:asciiTheme="minorEastAsia" w:hAnsiTheme="minorEastAsia" w:eastAsiaTheme="minorEastAsia"/>
                <w:sz w:val="28"/>
                <w:szCs w:val="28"/>
              </w:rPr>
            </w:pPr>
            <w:r>
              <w:rPr>
                <w:rFonts w:asciiTheme="minorEastAsia" w:hAnsiTheme="minorEastAsia" w:eastAsiaTheme="minorEastAsia"/>
                <w:sz w:val="28"/>
                <w:szCs w:val="28"/>
              </w:rPr>
              <w:t>5．疑有肠穿孔者。</w:t>
            </w:r>
          </w:p>
        </w:tc>
      </w:tr>
    </w:tbl>
    <w:p w14:paraId="6BE43C12">
      <w:pPr>
        <w:spacing w:line="520" w:lineRule="exact"/>
        <w:jc w:val="left"/>
        <w:rPr>
          <w:rFonts w:ascii="仿宋_GB2312" w:hAnsi="宋体" w:eastAsia="仿宋_GB2312"/>
          <w:szCs w:val="21"/>
        </w:rPr>
      </w:pPr>
    </w:p>
    <w:p w14:paraId="45FFBF03">
      <w:pPr>
        <w:spacing w:line="520" w:lineRule="exact"/>
        <w:ind w:firstLine="640" w:firstLineChars="20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（七）产品的主要风险</w:t>
      </w:r>
    </w:p>
    <w:p w14:paraId="55887D37">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．能量危害</w:t>
      </w:r>
    </w:p>
    <w:p w14:paraId="3E663F3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1.1</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电能</w:t>
      </w:r>
    </w:p>
    <w:p w14:paraId="1E1AACA9">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1.1.1可能的危害：</w:t>
      </w:r>
    </w:p>
    <w:p w14:paraId="32DE2BBC">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与冷光源、摄像显示系统等有源医疗器械互连使用时可能对使用者、患者产生电击危害。</w:t>
      </w:r>
    </w:p>
    <w:p w14:paraId="08BDA1EF">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1.1.2可采取的风险控制措施：</w:t>
      </w:r>
    </w:p>
    <w:p w14:paraId="2BBFEEED">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—导光束两端之间采用绝缘隔离；和</w:t>
      </w:r>
      <w:r>
        <w:rPr>
          <w:rFonts w:ascii="Times New Roman" w:hAnsi="Times New Roman" w:eastAsia="仿宋_GB2312" w:cs="Times New Roman"/>
          <w:sz w:val="32"/>
          <w:szCs w:val="32"/>
        </w:rPr>
        <w:t>/或：在配合使用的冷光源光输</w:t>
      </w:r>
      <w:r>
        <w:rPr>
          <w:rFonts w:hint="eastAsia" w:ascii="Times New Roman" w:hAnsi="Times New Roman" w:eastAsia="仿宋_GB2312" w:cs="Times New Roman"/>
          <w:sz w:val="32"/>
          <w:szCs w:val="32"/>
        </w:rPr>
        <w:t>出口与导光束之间采用绝缘隔离，确保互连后硬性光学内窥镜成为冷光源的</w:t>
      </w:r>
      <w:r>
        <w:rPr>
          <w:rFonts w:ascii="Times New Roman" w:hAnsi="Times New Roman" w:eastAsia="仿宋_GB2312" w:cs="Times New Roman"/>
          <w:sz w:val="32"/>
          <w:szCs w:val="32"/>
        </w:rPr>
        <w:t>BF型应用部分；</w:t>
      </w:r>
    </w:p>
    <w:p w14:paraId="7191C28F">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CCD摄像头相配接的</w:t>
      </w:r>
      <w:r>
        <w:rPr>
          <w:rFonts w:hint="eastAsia" w:ascii="Times New Roman" w:hAnsi="Times New Roman" w:eastAsia="仿宋_GB2312" w:cs="Times New Roman"/>
          <w:sz w:val="32"/>
          <w:szCs w:val="32"/>
        </w:rPr>
        <w:t>目镜罩采用合适的绝缘材料制造；和</w:t>
      </w:r>
      <w:r>
        <w:rPr>
          <w:rFonts w:ascii="Times New Roman" w:hAnsi="Times New Roman" w:eastAsia="仿宋_GB2312" w:cs="Times New Roman"/>
          <w:sz w:val="32"/>
          <w:szCs w:val="32"/>
        </w:rPr>
        <w:t>/或：CCD摄像头物镜适配器采用合适的绝缘材料制造；和/或：采用接口用合适绝缘材料制造的CCD摄像头，使配合后</w:t>
      </w:r>
      <w:r>
        <w:rPr>
          <w:rFonts w:hint="eastAsia" w:ascii="Times New Roman" w:hAnsi="Times New Roman" w:eastAsia="仿宋_GB2312" w:cs="Times New Roman"/>
          <w:sz w:val="32"/>
          <w:szCs w:val="32"/>
        </w:rPr>
        <w:t>硬性光学内窥镜成为摄像显示系统的</w:t>
      </w:r>
      <w:r>
        <w:rPr>
          <w:rFonts w:ascii="Times New Roman" w:hAnsi="Times New Roman" w:eastAsia="仿宋_GB2312" w:cs="Times New Roman"/>
          <w:sz w:val="32"/>
          <w:szCs w:val="32"/>
        </w:rPr>
        <w:t>BF型应用部分；</w:t>
      </w:r>
    </w:p>
    <w:p w14:paraId="51AB86A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—使用说明书对与有源器械互连条件关于防止电击危害作详细说明。</w:t>
      </w:r>
    </w:p>
    <w:p w14:paraId="690DBE1B">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1.1.3审查要点：</w:t>
      </w:r>
    </w:p>
    <w:p w14:paraId="2A322EC4">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—关注硬性光学内窥镜相关电气隔离部位的绝缘结构，如与</w:t>
      </w:r>
      <w:r>
        <w:rPr>
          <w:rFonts w:ascii="Times New Roman" w:hAnsi="Times New Roman" w:eastAsia="仿宋_GB2312" w:cs="Times New Roman"/>
          <w:sz w:val="32"/>
          <w:szCs w:val="32"/>
        </w:rPr>
        <w:t>CCD摄像头相配接的</w:t>
      </w:r>
      <w:r>
        <w:rPr>
          <w:rFonts w:hint="eastAsia" w:ascii="Times New Roman" w:hAnsi="Times New Roman" w:eastAsia="仿宋_GB2312" w:cs="Times New Roman"/>
          <w:sz w:val="32"/>
          <w:szCs w:val="32"/>
        </w:rPr>
        <w:t>目镜罩、冷光源接口、导光束等相关附件的绝缘结构和材料等；</w:t>
      </w:r>
    </w:p>
    <w:p w14:paraId="021096EA">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—审查产品技术要求中对相关安全条款的描述，如上述绝缘部位的电介质强度试验要求等；</w:t>
      </w:r>
    </w:p>
    <w:p w14:paraId="45B3105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—审查注册检验报告中对相关安全要求的检验结果；</w:t>
      </w:r>
    </w:p>
    <w:p w14:paraId="07C54C30">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—审查随附文件</w:t>
      </w:r>
      <w:r>
        <w:rPr>
          <w:rFonts w:ascii="Times New Roman" w:hAnsi="Times New Roman" w:eastAsia="仿宋_GB2312" w:cs="Times New Roman"/>
          <w:sz w:val="32"/>
          <w:szCs w:val="32"/>
        </w:rPr>
        <w:t>(使用说明书等)，随附文件中应有与有源器械互连条件关于防止电击危害的详细说明，至少应说明互连使用时，</w:t>
      </w:r>
      <w:r>
        <w:rPr>
          <w:rFonts w:hint="eastAsia" w:ascii="Times New Roman" w:hAnsi="Times New Roman" w:eastAsia="仿宋_GB2312" w:cs="Times New Roman"/>
          <w:sz w:val="32"/>
          <w:szCs w:val="32"/>
        </w:rPr>
        <w:t>硬性光学内窥镜</w:t>
      </w:r>
      <w:r>
        <w:rPr>
          <w:rFonts w:ascii="Times New Roman" w:hAnsi="Times New Roman" w:eastAsia="仿宋_GB2312" w:cs="Times New Roman"/>
          <w:sz w:val="32"/>
          <w:szCs w:val="32"/>
        </w:rPr>
        <w:t>(及其附件)应成为该有源器械与</w:t>
      </w:r>
      <w:r>
        <w:rPr>
          <w:rFonts w:hint="eastAsia" w:ascii="Times New Roman" w:hAnsi="Times New Roman" w:eastAsia="仿宋_GB2312" w:cs="Times New Roman"/>
          <w:sz w:val="32"/>
          <w:szCs w:val="32"/>
        </w:rPr>
        <w:t>硬性光学内窥镜组成的医用电气设备</w:t>
      </w:r>
      <w:r>
        <w:rPr>
          <w:rFonts w:ascii="Times New Roman" w:hAnsi="Times New Roman" w:eastAsia="仿宋_GB2312" w:cs="Times New Roman"/>
          <w:sz w:val="32"/>
          <w:szCs w:val="32"/>
        </w:rPr>
        <w:t>(系统)的BF/CF型应用部分；</w:t>
      </w:r>
    </w:p>
    <w:p w14:paraId="7100C67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1.2</w:t>
      </w:r>
      <w:r>
        <w:rPr>
          <w:rFonts w:ascii="Times New Roman" w:hAnsi="Times New Roman" w:eastAsia="仿宋_GB2312" w:cs="Times New Roman"/>
          <w:sz w:val="32"/>
          <w:szCs w:val="32"/>
        </w:rPr>
        <w:t>热能</w:t>
      </w:r>
    </w:p>
    <w:p w14:paraId="1C881E77">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1.2.1可能的危害：</w:t>
      </w:r>
    </w:p>
    <w:p w14:paraId="36F558EA">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与冷光源等有源医疗器械互连使用时可能超温，对患者产生灼伤危害。</w:t>
      </w:r>
    </w:p>
    <w:p w14:paraId="5BB9EC9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1.2.2可采取的风险控制措施：</w:t>
      </w:r>
    </w:p>
    <w:p w14:paraId="08702CE8">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—在冷光源灯座反光镜上镀红外增透膜、在光输出口设置红外滤光片，最大限度地限制红外光的输出；</w:t>
      </w:r>
    </w:p>
    <w:p w14:paraId="72DCE140">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—在相关部位采用绝热结构和材料；</w:t>
      </w:r>
    </w:p>
    <w:p w14:paraId="10527B26">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—增加照明光路光纤密度，并提高界面抛光质量，减少光纤断丝；</w:t>
      </w:r>
    </w:p>
    <w:p w14:paraId="3FBD546C">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—提高观察系统的镀膜质量，尽可能降低物面照度；</w:t>
      </w:r>
    </w:p>
    <w:p w14:paraId="20101856">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—使用说明书对与有源器械互联条件关于防止超温危害作详细说明。</w:t>
      </w:r>
    </w:p>
    <w:p w14:paraId="00CB528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1.2.3审查要点：</w:t>
      </w:r>
    </w:p>
    <w:p w14:paraId="257DECAF">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—关注硬性光学内窥镜相关绝热部位，如手握部分、目镜和插入部分的绝热结构和材料等；</w:t>
      </w:r>
    </w:p>
    <w:p w14:paraId="5E18530B">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—审查随附文件</w:t>
      </w:r>
      <w:r>
        <w:rPr>
          <w:rFonts w:ascii="Times New Roman" w:hAnsi="Times New Roman" w:eastAsia="仿宋_GB2312" w:cs="Times New Roman"/>
          <w:sz w:val="32"/>
          <w:szCs w:val="32"/>
        </w:rPr>
        <w:t>(使用说明书等)，随附文件中必须有与有源器械(如冷光源)互连条件关于防止超温危害的详细说明，如对冷光源的光谱</w:t>
      </w:r>
      <w:r>
        <w:rPr>
          <w:rFonts w:hint="eastAsia" w:ascii="Times New Roman" w:hAnsi="Times New Roman" w:eastAsia="仿宋_GB2312" w:cs="Times New Roman"/>
          <w:sz w:val="32"/>
          <w:szCs w:val="32"/>
        </w:rPr>
        <w:t>性能做出规定等。</w:t>
      </w:r>
    </w:p>
    <w:p w14:paraId="49B113FB">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．生物学危害</w:t>
      </w:r>
    </w:p>
    <w:p w14:paraId="077FCF5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2.1</w:t>
      </w:r>
      <w:r>
        <w:rPr>
          <w:rFonts w:ascii="Times New Roman" w:hAnsi="Times New Roman" w:eastAsia="仿宋_GB2312" w:cs="Times New Roman"/>
          <w:sz w:val="32"/>
          <w:szCs w:val="32"/>
        </w:rPr>
        <w:t>生物不相容性</w:t>
      </w:r>
    </w:p>
    <w:p w14:paraId="12F0554B">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2.1.1可能的危害：</w:t>
      </w:r>
    </w:p>
    <w:p w14:paraId="0E4CEC5F">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如果制造硬性光学内窥镜插入部分的材料不符合生物相容性要求，就可能对患者产生细胞毒性、致敏、刺激等危害。</w:t>
      </w:r>
    </w:p>
    <w:p w14:paraId="1F471988">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2.1.2可采取的风险控制措施：</w:t>
      </w:r>
    </w:p>
    <w:p w14:paraId="1F994D99">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与患者人体接触的部件，采用无毒、无致敏、无刺激的材料制造，且所购物资均有质保书，并严格按检验规程进行进货检验；</w:t>
      </w:r>
    </w:p>
    <w:p w14:paraId="30A8067A">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2.1.3审查要点</w:t>
      </w:r>
    </w:p>
    <w:p w14:paraId="6CAF2A50">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全面审查硬性光学内窥镜成品中与患者和使用者接触部分所用材料生物相容性评价材料的符合性。</w:t>
      </w:r>
    </w:p>
    <w:p w14:paraId="1F14471D">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2.2</w:t>
      </w:r>
      <w:r>
        <w:rPr>
          <w:rFonts w:ascii="Times New Roman" w:hAnsi="Times New Roman" w:eastAsia="仿宋_GB2312" w:cs="Times New Roman"/>
          <w:sz w:val="32"/>
          <w:szCs w:val="32"/>
        </w:rPr>
        <w:t>交叉感染</w:t>
      </w:r>
    </w:p>
    <w:p w14:paraId="1C7BE0D6">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2.2.1可能的危害：</w:t>
      </w:r>
    </w:p>
    <w:p w14:paraId="3A32451C">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如果硬性光学内窥镜在使用前后，不按规范严格地清洗、消毒和灭菌，就可能对患者产生交叉感染的危害。</w:t>
      </w:r>
    </w:p>
    <w:p w14:paraId="53C3BB40">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2.2.2可采取的风险控制措施：</w:t>
      </w:r>
    </w:p>
    <w:p w14:paraId="1E25E01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在使用前后，应进行严格的清洗、消毒和灭菌，执行《内镜清洗消毒技术操作规范》。例如：</w:t>
      </w:r>
    </w:p>
    <w:p w14:paraId="52E6817C">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—浸入</w:t>
      </w:r>
      <w:r>
        <w:rPr>
          <w:rFonts w:ascii="Times New Roman" w:hAnsi="Times New Roman" w:eastAsia="仿宋_GB2312" w:cs="Times New Roman"/>
          <w:sz w:val="32"/>
          <w:szCs w:val="32"/>
        </w:rPr>
        <w:t>2%戊二醛溶液中100min，然后再用35℃左右清水冲洗并擦干；</w:t>
      </w:r>
    </w:p>
    <w:p w14:paraId="23D911C8">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—推荐用</w:t>
      </w:r>
      <w:r>
        <w:rPr>
          <w:rFonts w:ascii="Times New Roman" w:hAnsi="Times New Roman" w:eastAsia="仿宋_GB2312" w:cs="Times New Roman"/>
          <w:sz w:val="32"/>
          <w:szCs w:val="32"/>
        </w:rPr>
        <w:t>134℃，0.2MPa高压蒸汽灭菌</w:t>
      </w:r>
      <w:r>
        <w:rPr>
          <w:rFonts w:hint="eastAsia" w:ascii="Times New Roman" w:hAnsi="Times New Roman" w:eastAsia="仿宋_GB2312" w:cs="Times New Roman"/>
          <w:sz w:val="32"/>
          <w:szCs w:val="32"/>
        </w:rPr>
        <w:t>。</w:t>
      </w:r>
    </w:p>
    <w:p w14:paraId="6A124109">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2.2.3审查要点：</w:t>
      </w:r>
    </w:p>
    <w:p w14:paraId="5EF90D00">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—审查使用说明书，其中必须有使用前后清洗、消毒和灭菌方法的内容。如：执行《内镜清洗消毒技术操作规范》等。</w:t>
      </w:r>
    </w:p>
    <w:p w14:paraId="5FB9D652">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—审查使用说明书，应有使用前后不按规定进行清洗、消毒和灭菌，会导致交叉感染危险的警示性说明。</w:t>
      </w:r>
    </w:p>
    <w:p w14:paraId="56E43661">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．环境危害</w:t>
      </w:r>
    </w:p>
    <w:p w14:paraId="6CDFDDB1">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储存或运行偏离预定的环境条件，意外的机械破坏。</w:t>
      </w:r>
    </w:p>
    <w:p w14:paraId="05CDB829">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3.1可能的危害：</w:t>
      </w:r>
    </w:p>
    <w:p w14:paraId="372828D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如果硬性光学内窥镜在没有按要求包装运输，或贮存环境不满足要求，或使用时发生摔打、跌落和碰撞，就会造成镜片损坏发霉发雾、光轴偏移、管身瘪陷、密封性能变差而引起图像不清等现象，可能对患者产生误诊等危害。</w:t>
      </w:r>
    </w:p>
    <w:p w14:paraId="46F94B59">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3.2可采取的风险控制措施：</w:t>
      </w:r>
    </w:p>
    <w:p w14:paraId="7AAF5CC5">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—硬性光学内窥镜应进行合理包装，如：先装入中性塑料袋，再装入内衬软性塑料的硬质手提箱，并使各件分隔固定，硬质手提箱外套塑料袋，再装入瓦楞纸箱内；</w:t>
      </w:r>
    </w:p>
    <w:p w14:paraId="28436D22">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—硬性光学内窥镜应贮存在相对湿度不超过</w:t>
      </w:r>
      <w:r>
        <w:rPr>
          <w:rFonts w:ascii="Times New Roman" w:hAnsi="Times New Roman" w:eastAsia="仿宋_GB2312" w:cs="Times New Roman"/>
          <w:sz w:val="32"/>
          <w:szCs w:val="32"/>
        </w:rPr>
        <w:t>80%、干燥、通风、无腐蚀性气体</w:t>
      </w:r>
      <w:r>
        <w:rPr>
          <w:rFonts w:hint="eastAsia" w:ascii="Times New Roman" w:hAnsi="Times New Roman" w:eastAsia="仿宋_GB2312" w:cs="Times New Roman"/>
          <w:sz w:val="32"/>
          <w:szCs w:val="32"/>
        </w:rPr>
        <w:t>、无阳光直射</w:t>
      </w:r>
      <w:r>
        <w:rPr>
          <w:rFonts w:ascii="Times New Roman" w:hAnsi="Times New Roman" w:eastAsia="仿宋_GB2312" w:cs="Times New Roman"/>
          <w:sz w:val="32"/>
          <w:szCs w:val="32"/>
        </w:rPr>
        <w:t>的清洁室内；</w:t>
      </w:r>
    </w:p>
    <w:p w14:paraId="7A480320">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—硬性光学内窥镜应放在专用箱内，不可交叉重叠放置；</w:t>
      </w:r>
    </w:p>
    <w:p w14:paraId="4E49605F">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—硬性光学内窥镜在储运和使用过程中，应避免摔打、跌落和碰撞等。</w:t>
      </w:r>
    </w:p>
    <w:p w14:paraId="41B77E1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以上各项，可在外部标记和随附文件加以说明和警示。</w:t>
      </w:r>
    </w:p>
    <w:p w14:paraId="01144D2B">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3.3审查要点：</w:t>
      </w:r>
    </w:p>
    <w:p w14:paraId="2070ECBD">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—审查产品技术要求中关于环境试验的规定；</w:t>
      </w:r>
    </w:p>
    <w:p w14:paraId="69FC53F9">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—审查注册检验报告中环境试验的检验结果；</w:t>
      </w:r>
    </w:p>
    <w:p w14:paraId="6E129CD4">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—审查产品内外包装上的有关产品储运防护的标志；</w:t>
      </w:r>
    </w:p>
    <w:p w14:paraId="3C50963C">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—审查说明书中有关储运、贮存方法的规定和硬性光学内窥镜损坏不得使用的警示性说明。</w:t>
      </w:r>
    </w:p>
    <w:p w14:paraId="3E14F0F2">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.与硬性光学内窥镜使用有关的危害</w:t>
      </w:r>
    </w:p>
    <w:p w14:paraId="17F03A06">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4.1</w:t>
      </w:r>
      <w:r>
        <w:rPr>
          <w:rFonts w:ascii="Times New Roman" w:hAnsi="Times New Roman" w:eastAsia="仿宋_GB2312" w:cs="Times New Roman"/>
          <w:sz w:val="32"/>
          <w:szCs w:val="32"/>
        </w:rPr>
        <w:t>不适当的标记</w:t>
      </w:r>
    </w:p>
    <w:p w14:paraId="4DCAEB12">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4.1.1可能的危害：</w:t>
      </w:r>
    </w:p>
    <w:p w14:paraId="51475A0A">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硬性光学内窥镜的对镜桥、镜鞘、操作器的配合性要求较高，如配合件上没有适当的配套用标识，或实际值与标识值不符，导致配合不当，可能对患者产生损伤组织等危害。</w:t>
      </w:r>
    </w:p>
    <w:p w14:paraId="6482356F">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4.1.2可采取的风险控制措施：</w:t>
      </w:r>
    </w:p>
    <w:p w14:paraId="610CD50C">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—必要时硬性光学内窥镜上应有适当的配套用的标识；</w:t>
      </w:r>
    </w:p>
    <w:p w14:paraId="08518FCF">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—出厂时严格检查实际规格与标识值是否相符；</w:t>
      </w:r>
    </w:p>
    <w:p w14:paraId="0D9E74D8">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—使用前检查配套标识的一致性。</w:t>
      </w:r>
    </w:p>
    <w:p w14:paraId="42805CA4">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4.1.3审查要点：</w:t>
      </w:r>
    </w:p>
    <w:p w14:paraId="171205A2">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—审查注册申报资料中关于产品标识的规定；</w:t>
      </w:r>
    </w:p>
    <w:p w14:paraId="6A77A84D">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—审查注册检验报告中对产品标识要求的检验结果；</w:t>
      </w:r>
    </w:p>
    <w:p w14:paraId="1EC657F1">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—审查随附文件</w:t>
      </w:r>
      <w:r>
        <w:rPr>
          <w:rFonts w:ascii="Times New Roman" w:hAnsi="Times New Roman" w:eastAsia="仿宋_GB2312" w:cs="Times New Roman"/>
          <w:sz w:val="32"/>
          <w:szCs w:val="32"/>
        </w:rPr>
        <w:t>(使用说明书等)中有关产品标识的说明。</w:t>
      </w:r>
    </w:p>
    <w:p w14:paraId="39DF5AFC">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4.2</w:t>
      </w:r>
      <w:r>
        <w:rPr>
          <w:rFonts w:ascii="Times New Roman" w:hAnsi="Times New Roman" w:eastAsia="仿宋_GB2312" w:cs="Times New Roman"/>
          <w:sz w:val="32"/>
          <w:szCs w:val="32"/>
        </w:rPr>
        <w:t>不适当的操作说明</w:t>
      </w:r>
    </w:p>
    <w:p w14:paraId="33FFBEBA">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4.2.1可能的危害：</w:t>
      </w:r>
    </w:p>
    <w:p w14:paraId="5A549538">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—使用前检查规范不适当，如未说明必须检查硬性光学内窥镜成像清晰度等性能、电气安全性是否良好，与导光束的配接及导光束与冷光源的配接是否良好等事项；</w:t>
      </w:r>
    </w:p>
    <w:p w14:paraId="553DA4F0">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—硬性光学内窥镜和</w:t>
      </w:r>
      <w:r>
        <w:rPr>
          <w:rFonts w:ascii="Times New Roman" w:hAnsi="Times New Roman" w:eastAsia="仿宋_GB2312" w:cs="Times New Roman"/>
          <w:sz w:val="32"/>
          <w:szCs w:val="32"/>
        </w:rPr>
        <w:t>/或与之配合的器械使用操作说明不适当，就会由于设备共用不当而对患者产生危害；</w:t>
      </w:r>
    </w:p>
    <w:p w14:paraId="66102C07">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—硬性光学内窥镜的维护规范不适当，如消毒灭菌方法不合适，导致硬性光学内窥镜性能变差、消毒灭菌不彻底，对患者产生误诊或交叉感染等危害。</w:t>
      </w:r>
    </w:p>
    <w:p w14:paraId="6D16B197">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4.2.2可采取的风险控制措施：</w:t>
      </w:r>
    </w:p>
    <w:p w14:paraId="3102BAD1">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—仔细编写操作说明，对硬性光学内窥镜配合器械的规范、使用前检查规范、使用后维护规范进行充分、必要、简洁的叙述。</w:t>
      </w:r>
    </w:p>
    <w:p w14:paraId="6149EFAF">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—编写的操作说明，应由设计人员、临床医生等相关专家审定。</w:t>
      </w:r>
    </w:p>
    <w:p w14:paraId="54B9D964">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使用前的检查可包括：硬性光学内窥镜成像清晰度等性能、电气安全性是否良好，是否有锐边、锐角。硬性光学内窥镜与导光束的配接、导光束与冷光源的配接是否好。冷光源的工作是否可靠，连接后要确认插入部位温度是否超过</w:t>
      </w:r>
      <w:r>
        <w:rPr>
          <w:rFonts w:ascii="Times New Roman" w:hAnsi="Times New Roman" w:eastAsia="仿宋_GB2312" w:cs="Times New Roman"/>
          <w:sz w:val="32"/>
          <w:szCs w:val="32"/>
        </w:rPr>
        <w:t>41℃，电气安全性是否良好</w:t>
      </w:r>
      <w:r>
        <w:rPr>
          <w:rFonts w:hint="eastAsia" w:ascii="Times New Roman" w:hAnsi="Times New Roman" w:eastAsia="仿宋_GB2312" w:cs="Times New Roman"/>
          <w:sz w:val="32"/>
          <w:szCs w:val="32"/>
        </w:rPr>
        <w:t>。</w:t>
      </w:r>
    </w:p>
    <w:p w14:paraId="682C61E6">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4.2.3审查要点</w:t>
      </w:r>
    </w:p>
    <w:p w14:paraId="38B8EE3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审查随附文件</w:t>
      </w:r>
      <w:r>
        <w:rPr>
          <w:rFonts w:ascii="Times New Roman" w:hAnsi="Times New Roman" w:eastAsia="仿宋_GB2312" w:cs="Times New Roman"/>
          <w:sz w:val="32"/>
          <w:szCs w:val="32"/>
        </w:rPr>
        <w:t>(使用说明书等)，是否具有必要的操作说明，如使用前检查的内容、使用中的注意事项、使用后的处理等。</w:t>
      </w:r>
    </w:p>
    <w:p w14:paraId="21CC4B35">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4.3</w:t>
      </w:r>
      <w:r>
        <w:rPr>
          <w:rFonts w:ascii="Times New Roman" w:hAnsi="Times New Roman" w:eastAsia="仿宋_GB2312" w:cs="Times New Roman"/>
          <w:sz w:val="32"/>
          <w:szCs w:val="32"/>
        </w:rPr>
        <w:t>由不熟练/未经培训的人员使用</w:t>
      </w:r>
    </w:p>
    <w:p w14:paraId="46020469">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4.3.1可能的危害：</w:t>
      </w:r>
    </w:p>
    <w:p w14:paraId="49EE330A">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硬性光学内窥镜必须由经必要培训而且操作熟练的医生使用，不然可能对患者产生严重危害。</w:t>
      </w:r>
    </w:p>
    <w:p w14:paraId="5A3E78ED">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4.3.2可采取的风险控制措施：</w:t>
      </w:r>
    </w:p>
    <w:p w14:paraId="2186F800">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—编写培训资料，包括视频光盘；</w:t>
      </w:r>
    </w:p>
    <w:p w14:paraId="335F6BF2">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—开办培训班；</w:t>
      </w:r>
    </w:p>
    <w:p w14:paraId="55B1D71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—随附文件中给出必须由经过培训操作熟练的医生使用的警示。</w:t>
      </w:r>
    </w:p>
    <w:p w14:paraId="60662F0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4.3.3审查要点</w:t>
      </w:r>
    </w:p>
    <w:p w14:paraId="5FE297E2">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审查随附文件</w:t>
      </w:r>
      <w:r>
        <w:rPr>
          <w:rFonts w:ascii="Times New Roman" w:hAnsi="Times New Roman" w:eastAsia="仿宋_GB2312" w:cs="Times New Roman"/>
          <w:sz w:val="32"/>
          <w:szCs w:val="32"/>
        </w:rPr>
        <w:t>(使用说明书等)，是否具有“必须由经必要培训而且操作熟练的医生使用”的内容和相关警示性说明。</w:t>
      </w:r>
    </w:p>
    <w:p w14:paraId="5D94FA2B">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4.4</w:t>
      </w:r>
      <w:r>
        <w:rPr>
          <w:rFonts w:ascii="Times New Roman" w:hAnsi="Times New Roman" w:eastAsia="仿宋_GB2312" w:cs="Times New Roman"/>
          <w:sz w:val="32"/>
          <w:szCs w:val="32"/>
        </w:rPr>
        <w:t>对适应症和副作用的说明不充分</w:t>
      </w:r>
    </w:p>
    <w:p w14:paraId="733A61EB">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4.4.1可能的危害：</w:t>
      </w:r>
    </w:p>
    <w:p w14:paraId="7EB2382B">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硬性光学内窥镜与其他医疗器械一样，都有适应症、禁忌症和副作用，如果说明不充分，可能对患者产生严重危害。</w:t>
      </w:r>
    </w:p>
    <w:p w14:paraId="44B38542">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4.4.2可采取的风险控制措施：</w:t>
      </w:r>
    </w:p>
    <w:p w14:paraId="718ABAFE">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—请有资历的临床医生充分说明适应症、禁忌症和副作用；</w:t>
      </w:r>
    </w:p>
    <w:p w14:paraId="07EA6B5B">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—编写的使用说明书关于适应症、禁忌症和副作用部分请有资历的临床医生审定。</w:t>
      </w:r>
    </w:p>
    <w:p w14:paraId="1FB9AC8B">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4.4.3审查要点：</w:t>
      </w:r>
    </w:p>
    <w:p w14:paraId="3ACACAE3">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—审查随附文件</w:t>
      </w:r>
      <w:r>
        <w:rPr>
          <w:rFonts w:ascii="Times New Roman" w:hAnsi="Times New Roman" w:eastAsia="仿宋_GB2312" w:cs="Times New Roman"/>
          <w:sz w:val="32"/>
          <w:szCs w:val="32"/>
        </w:rPr>
        <w:t>(使用说明书等)，是否具有明确的适应症、禁忌症、副作用的充分说明和相关警示性说明。</w:t>
      </w:r>
    </w:p>
    <w:p w14:paraId="70A39E00">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—审查临床验证报告，并与使用说明书的适应症、禁忌症和副作用内容相比较。</w:t>
      </w:r>
    </w:p>
    <w:p w14:paraId="353F9DBA">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4.5</w:t>
      </w:r>
      <w:r>
        <w:rPr>
          <w:rFonts w:ascii="Times New Roman" w:hAnsi="Times New Roman" w:eastAsia="仿宋_GB2312" w:cs="Times New Roman"/>
          <w:sz w:val="32"/>
          <w:szCs w:val="32"/>
        </w:rPr>
        <w:t>与消耗品、附件、其他医疗器械不兼容</w:t>
      </w:r>
    </w:p>
    <w:p w14:paraId="152DE396">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4.5.1可能的危害</w:t>
      </w:r>
    </w:p>
    <w:p w14:paraId="6474BD40">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硬性光学内窥镜使用时往往需要与消耗品、附件、其他医疗器械一起使用，它们之间是否相容，对安全影响很大。如硬性光学内窥镜与手术器械不兼容，造成手术器械无法顺畅插入，或无法出现在硬性光学内窥镜的视场中，导致危害发生。</w:t>
      </w:r>
    </w:p>
    <w:p w14:paraId="024D72FF">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4.5.2可采取的风险控制措施：</w:t>
      </w:r>
    </w:p>
    <w:p w14:paraId="57A5D99A">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—若有可能，通过实际试验，找出一批可与硬性光学内窥镜配合使用的消耗品、附件、其他医疗器械的清单供使用者选用；</w:t>
      </w:r>
    </w:p>
    <w:p w14:paraId="488553D9">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—在使用说明书中将上述清单列出；</w:t>
      </w:r>
    </w:p>
    <w:p w14:paraId="70F61510">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—在使用说明书中给出与不兼容的消耗品、附件、其他医疗器械共用会产生危害的警示性说明。</w:t>
      </w:r>
    </w:p>
    <w:p w14:paraId="3279E043">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4.5.3审查要点</w:t>
      </w:r>
    </w:p>
    <w:p w14:paraId="13C7D4CA">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—审查随附文件</w:t>
      </w:r>
      <w:r>
        <w:rPr>
          <w:rFonts w:ascii="Times New Roman" w:hAnsi="Times New Roman" w:eastAsia="仿宋_GB2312" w:cs="Times New Roman"/>
          <w:sz w:val="32"/>
          <w:szCs w:val="32"/>
        </w:rPr>
        <w:t>(使用说明书等)，是否有与不兼容的消耗品、附件、其他医疗器械共用会产生危害的警示性说明；</w:t>
      </w:r>
    </w:p>
    <w:p w14:paraId="2F1A92A0">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—审查风险管理文件。</w:t>
      </w:r>
    </w:p>
    <w:p w14:paraId="3287C9E9">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4.6</w:t>
      </w:r>
      <w:r>
        <w:rPr>
          <w:rFonts w:ascii="Times New Roman" w:hAnsi="Times New Roman" w:eastAsia="仿宋_GB2312" w:cs="Times New Roman"/>
          <w:sz w:val="32"/>
          <w:szCs w:val="32"/>
        </w:rPr>
        <w:t>锐边与锐尖</w:t>
      </w:r>
    </w:p>
    <w:p w14:paraId="75BF10BB">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4.6.1可能的危害</w:t>
      </w:r>
    </w:p>
    <w:p w14:paraId="1C69CFB5">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如果硬性光学内窥镜或配合器械插入部分表面存在非期望的尖锐边缘或突出物等疵病，有可能损伤皮肤、粘膜、血管，甚至造成大出血。</w:t>
      </w:r>
    </w:p>
    <w:p w14:paraId="3D78108A">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4.6.2可采取的风险控制措施</w:t>
      </w:r>
    </w:p>
    <w:p w14:paraId="3CEA3144">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—通过设计、精密制造、良好的维护保养和使用前检查，确保硬性光学内窥镜的表面无非期望的尖锐边缘或突出物，手术器械的外表面光滑、杆部平直，无锋棱、毛刺及明显的碰伤和划痕。</w:t>
      </w:r>
    </w:p>
    <w:p w14:paraId="5780E604">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—通过使用前仔细检查的提示，告知如发现有此类疵病，应及时处理、修复，不能使用。</w:t>
      </w:r>
    </w:p>
    <w:p w14:paraId="6FC1734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4.6.3审查要点</w:t>
      </w:r>
    </w:p>
    <w:p w14:paraId="0FFBA9DD">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—审查产品技术要求中关于硬性光学内窥镜外表面质量要求的规定；</w:t>
      </w:r>
    </w:p>
    <w:p w14:paraId="22810A49">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—审查注册检验报告中对硬性光学内窥镜外表面质量要求的检验结果；</w:t>
      </w:r>
    </w:p>
    <w:p w14:paraId="6DCC187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—审查随附文件</w:t>
      </w:r>
      <w:r>
        <w:rPr>
          <w:rFonts w:ascii="Times New Roman" w:hAnsi="Times New Roman" w:eastAsia="仿宋_GB2312" w:cs="Times New Roman"/>
          <w:sz w:val="32"/>
          <w:szCs w:val="32"/>
        </w:rPr>
        <w:t>(使用说明书等)，其中应有使用前检查</w:t>
      </w:r>
      <w:r>
        <w:rPr>
          <w:rFonts w:hint="eastAsia" w:ascii="Times New Roman" w:hAnsi="Times New Roman" w:eastAsia="仿宋_GB2312" w:cs="Times New Roman"/>
          <w:sz w:val="32"/>
          <w:szCs w:val="32"/>
        </w:rPr>
        <w:t>硬性光学内窥镜外表面是否存在锐边与锐尖的注意事项。</w:t>
      </w:r>
    </w:p>
    <w:p w14:paraId="5C6BA97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4.7</w:t>
      </w:r>
      <w:r>
        <w:rPr>
          <w:rFonts w:ascii="Times New Roman" w:hAnsi="Times New Roman" w:eastAsia="仿宋_GB2312" w:cs="Times New Roman"/>
          <w:sz w:val="32"/>
          <w:szCs w:val="32"/>
        </w:rPr>
        <w:t>角分辨力、颜色分辨能力和色还原性、边缘均匀性、综合光效、有效光度率、单位相对畸变性能不良</w:t>
      </w:r>
    </w:p>
    <w:p w14:paraId="202E51C9">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4.7.1可能的危害</w:t>
      </w:r>
    </w:p>
    <w:p w14:paraId="315CAD40">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硬性光学内窥镜的角分辨力、颜色分辨能力和色还原性差，边缘均匀性、综合光效、有效光度率性能不好，单位相对畸变增大，可能影响医生的观察和操作，造成误诊或手术失败。</w:t>
      </w:r>
    </w:p>
    <w:p w14:paraId="7465FC1F">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4.7.2可采取的风险控制措施</w:t>
      </w:r>
    </w:p>
    <w:p w14:paraId="7FB385D2">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通过设计、工艺和精密制造，改善硬性光学内窥镜的颜色分辨能力、色还原性能，边缘均匀性、综合光效、有效光度率，单位相对畸变性能。</w:t>
      </w:r>
    </w:p>
    <w:p w14:paraId="1FF0981F">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4.7.3审查要点</w:t>
      </w:r>
    </w:p>
    <w:p w14:paraId="3E21492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审查风险管理文件的相关内容，应有防止角分辨力、颜色分辨能力和色还原性差，边缘均匀性、综合光效、有效光度率性能不好，单位相对畸变大危害的描述。</w:t>
      </w:r>
    </w:p>
    <w:p w14:paraId="778D9E8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4.8</w:t>
      </w:r>
      <w:r>
        <w:rPr>
          <w:rFonts w:ascii="Times New Roman" w:hAnsi="Times New Roman" w:eastAsia="仿宋_GB2312" w:cs="Times New Roman"/>
          <w:sz w:val="32"/>
          <w:szCs w:val="32"/>
        </w:rPr>
        <w:t>接口混淆</w:t>
      </w:r>
    </w:p>
    <w:p w14:paraId="25BC2102">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4.8.1可能的危害</w:t>
      </w:r>
    </w:p>
    <w:p w14:paraId="4363A117">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硬性光学内窥镜有冲洗接口、送气接口和手术器械通道口，如若操作使用中接口混淆，显然会对患者造成伤害。</w:t>
      </w:r>
    </w:p>
    <w:p w14:paraId="47B6F385">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4.8.2可采取的风险控制措施</w:t>
      </w:r>
    </w:p>
    <w:p w14:paraId="3E5CBC6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—将手术器械通道口、冲洗接口和送气接口等设计成不能互换的不同的型式；</w:t>
      </w:r>
    </w:p>
    <w:p w14:paraId="4F1309E8">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—在随附文件中给出提示，要求与其他器械连接时，应绝对避免连错接口。</w:t>
      </w:r>
    </w:p>
    <w:p w14:paraId="14E15C61">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4.8.1审查要点</w:t>
      </w:r>
    </w:p>
    <w:p w14:paraId="128FDEEB">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—审查不同功能接口的型式是否不同；</w:t>
      </w:r>
    </w:p>
    <w:p w14:paraId="1CEEA546">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—审查随附文件对避免接口混淆的警示。</w:t>
      </w:r>
    </w:p>
    <w:p w14:paraId="72D9947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.功能性失效、维护和老化引起的危害</w:t>
      </w:r>
    </w:p>
    <w:p w14:paraId="0D34B28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5.1</w:t>
      </w:r>
      <w:r>
        <w:rPr>
          <w:rFonts w:ascii="Times New Roman" w:hAnsi="Times New Roman" w:eastAsia="仿宋_GB2312" w:cs="Times New Roman"/>
          <w:sz w:val="32"/>
          <w:szCs w:val="32"/>
        </w:rPr>
        <w:t>缺少维护规范和/或维护不适当</w:t>
      </w:r>
    </w:p>
    <w:p w14:paraId="27416B4B">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5.1.1可能的危害：</w:t>
      </w:r>
    </w:p>
    <w:p w14:paraId="687EBBFA">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—硬性光学内窥镜的维护保养应有适当的规范。如清洗规范、消毒灭菌规范、搬运储存规范等，不然会造成维护不当，破坏硬性光学内窥镜的性能；</w:t>
      </w:r>
    </w:p>
    <w:p w14:paraId="2F0FA3D4">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使用者未按规范进行适当的维护保养，破坏了硬性光学内窥镜的性能，如镜片发霉损坏、光轴偏离、密封性降低、导光纤维折断、视场变小、内部出现雾层、配套手术器械破坏等，可能对患者产生影响正确诊断等危害。</w:t>
      </w:r>
    </w:p>
    <w:p w14:paraId="6B14620C">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5.1.2可采取的风险控制措施：</w:t>
      </w:r>
    </w:p>
    <w:p w14:paraId="31D7178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—编制合适的维护保养规范，请设计、使用的专家审定；</w:t>
      </w:r>
    </w:p>
    <w:p w14:paraId="155E06A7">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—在随附文件中给出上述维护规范和不按照规范维护会有严重后果的警示；</w:t>
      </w:r>
    </w:p>
    <w:p w14:paraId="56FCC14F">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—对使用者进行适当的维护保养方面的培训。</w:t>
      </w:r>
    </w:p>
    <w:p w14:paraId="5FFBFA9C">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5.1.3审查要点：</w:t>
      </w:r>
    </w:p>
    <w:p w14:paraId="58315244">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—审查随附文件</w:t>
      </w:r>
      <w:r>
        <w:rPr>
          <w:rFonts w:ascii="Times New Roman" w:hAnsi="Times New Roman" w:eastAsia="仿宋_GB2312" w:cs="Times New Roman"/>
          <w:sz w:val="32"/>
          <w:szCs w:val="32"/>
        </w:rPr>
        <w:t>(使用说明书等)，其中应有正确维护保养的内容。</w:t>
      </w:r>
    </w:p>
    <w:p w14:paraId="0BF0C77D">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5.2</w:t>
      </w:r>
      <w:r>
        <w:rPr>
          <w:rFonts w:ascii="Times New Roman" w:hAnsi="Times New Roman" w:eastAsia="仿宋_GB2312" w:cs="Times New Roman"/>
          <w:sz w:val="32"/>
          <w:szCs w:val="32"/>
        </w:rPr>
        <w:t>对</w:t>
      </w:r>
      <w:r>
        <w:rPr>
          <w:rFonts w:hint="eastAsia" w:ascii="Times New Roman" w:hAnsi="Times New Roman" w:eastAsia="仿宋_GB2312" w:cs="Times New Roman"/>
          <w:sz w:val="32"/>
          <w:szCs w:val="32"/>
        </w:rPr>
        <w:t>硬性光学内窥镜寿命期缺少适当的规定</w:t>
      </w:r>
    </w:p>
    <w:p w14:paraId="363F5A11">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5.2.1可能的危害：</w:t>
      </w:r>
    </w:p>
    <w:p w14:paraId="7C720228">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硬性光学内窥镜有一定的寿命期，在适当的寿命期外使用硬性光学内窥镜，会使风险增加。</w:t>
      </w:r>
    </w:p>
    <w:p w14:paraId="35547C28">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5.2.2可采取的风险控制措施：</w:t>
      </w:r>
    </w:p>
    <w:p w14:paraId="41F70BC9">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—经过理论估计和实际试验，确定硬性光学内窥镜的适当的寿命期；</w:t>
      </w:r>
    </w:p>
    <w:p w14:paraId="2B8D18C1">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—在随附文件中告知该寿命期，并给出在适当的寿命期外使用硬性光学内窥镜具有危险的警告。</w:t>
      </w:r>
    </w:p>
    <w:p w14:paraId="0481ED9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5.2.3审查要点：</w:t>
      </w:r>
    </w:p>
    <w:p w14:paraId="3F13AE01">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—审查风险管理文件，其中应有建议寿命期的内容和警示。</w:t>
      </w:r>
    </w:p>
    <w:p w14:paraId="7EBB713F">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对以上每一可能的危害，审查风险管理文件的相关内容：</w:t>
      </w:r>
    </w:p>
    <w:p w14:paraId="4C9C39DB">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应有关于防电击措施、防超温措施、生物学评价、防止交叉感染、防止储存或运行偏离预定的环境条件和意外的机械破坏、防止不适当标记危害、防止不适当操作说明危害、防止由不熟练或未经培训的人员使用危害、防止适应症禁忌症和副作用说明不充分危害、防止与不兼容的消耗品、附件、其他医疗器械共用危害、防止锐尖锐边危害、避免接口混淆、防止维护规范和</w:t>
      </w:r>
      <w:r>
        <w:rPr>
          <w:rFonts w:ascii="Times New Roman" w:hAnsi="Times New Roman" w:eastAsia="仿宋_GB2312" w:cs="Times New Roman"/>
          <w:sz w:val="32"/>
          <w:szCs w:val="32"/>
        </w:rPr>
        <w:t>/或维护不适当危害、防止缺少寿命期规定危害等的描述（包括该危害的风险分析、降低该风险的措施、可接受水平或剩余风险等内容）</w:t>
      </w:r>
    </w:p>
    <w:p w14:paraId="2164C0D5">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（八）产品技术要求范例</w:t>
      </w:r>
    </w:p>
    <w:p w14:paraId="2DE02C1D">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产品型号</w:t>
      </w:r>
      <w:r>
        <w:rPr>
          <w:rFonts w:ascii="Times New Roman" w:hAnsi="Times New Roman" w:eastAsia="仿宋_GB2312" w:cs="Times New Roman"/>
          <w:sz w:val="32"/>
          <w:szCs w:val="32"/>
        </w:rPr>
        <w:t>/规格及其划分说明</w:t>
      </w:r>
    </w:p>
    <w:p w14:paraId="6AE70996">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1.1</w:t>
      </w:r>
      <w:r>
        <w:rPr>
          <w:rFonts w:hint="eastAsia" w:ascii="Times New Roman" w:hAnsi="Times New Roman" w:eastAsia="仿宋_GB2312" w:cs="Times New Roman"/>
          <w:sz w:val="32"/>
          <w:szCs w:val="32"/>
        </w:rPr>
        <w:t>产品型号</w:t>
      </w:r>
      <w:r>
        <w:rPr>
          <w:rFonts w:ascii="Times New Roman" w:hAnsi="Times New Roman" w:eastAsia="仿宋_GB2312" w:cs="Times New Roman"/>
          <w:sz w:val="32"/>
          <w:szCs w:val="32"/>
        </w:rPr>
        <w:t>/规格及基本参数</w:t>
      </w:r>
    </w:p>
    <w:p w14:paraId="4798754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存在多种型号的，应明确不同型号之间的异同，必要时可辅以图示，文本较大时可以附录形式提供，基本参数见表</w:t>
      </w:r>
      <w:r>
        <w:rPr>
          <w:rFonts w:ascii="Times New Roman" w:hAnsi="Times New Roman" w:eastAsia="仿宋_GB2312" w:cs="Times New Roman"/>
          <w:sz w:val="32"/>
          <w:szCs w:val="32"/>
        </w:rPr>
        <w:t>1。</w:t>
      </w:r>
    </w:p>
    <w:p w14:paraId="4590D69C">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表1.内窥镜型号表和基本参数</w:t>
      </w:r>
    </w:p>
    <w:tbl>
      <w:tblPr>
        <w:tblStyle w:val="10"/>
        <w:tblW w:w="81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5"/>
        <w:gridCol w:w="1118"/>
        <w:gridCol w:w="784"/>
        <w:gridCol w:w="896"/>
        <w:gridCol w:w="1570"/>
        <w:gridCol w:w="1009"/>
        <w:gridCol w:w="896"/>
        <w:gridCol w:w="1118"/>
      </w:tblGrid>
      <w:tr w14:paraId="7B6B4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8" w:hRule="atLeast"/>
          <w:jc w:val="center"/>
        </w:trPr>
        <w:tc>
          <w:tcPr>
            <w:tcW w:w="785" w:type="dxa"/>
            <w:vAlign w:val="center"/>
          </w:tcPr>
          <w:p w14:paraId="1AEB3A4E">
            <w:pPr>
              <w:autoSpaceDE w:val="0"/>
              <w:autoSpaceDN w:val="0"/>
              <w:adjustRightInd w:val="0"/>
              <w:spacing w:line="320" w:lineRule="exact"/>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型号</w:t>
            </w:r>
          </w:p>
        </w:tc>
        <w:tc>
          <w:tcPr>
            <w:tcW w:w="1118" w:type="dxa"/>
            <w:vAlign w:val="center"/>
          </w:tcPr>
          <w:p w14:paraId="13F2EF7F">
            <w:pPr>
              <w:autoSpaceDE w:val="0"/>
              <w:autoSpaceDN w:val="0"/>
              <w:adjustRightInd w:val="0"/>
              <w:spacing w:line="32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设计工作距（mm)</w:t>
            </w:r>
          </w:p>
        </w:tc>
        <w:tc>
          <w:tcPr>
            <w:tcW w:w="784" w:type="dxa"/>
            <w:vAlign w:val="center"/>
          </w:tcPr>
          <w:p w14:paraId="2B0F86C0">
            <w:pPr>
              <w:autoSpaceDE w:val="0"/>
              <w:autoSpaceDN w:val="0"/>
              <w:adjustRightInd w:val="0"/>
              <w:spacing w:line="32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 xml:space="preserve">视向角(°) </w:t>
            </w:r>
          </w:p>
        </w:tc>
        <w:tc>
          <w:tcPr>
            <w:tcW w:w="896" w:type="dxa"/>
            <w:vAlign w:val="center"/>
          </w:tcPr>
          <w:p w14:paraId="279341EC">
            <w:pPr>
              <w:autoSpaceDE w:val="0"/>
              <w:autoSpaceDN w:val="0"/>
              <w:adjustRightInd w:val="0"/>
              <w:spacing w:line="32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视场角（°）</w:t>
            </w:r>
          </w:p>
        </w:tc>
        <w:tc>
          <w:tcPr>
            <w:tcW w:w="1570" w:type="dxa"/>
            <w:vAlign w:val="center"/>
          </w:tcPr>
          <w:p w14:paraId="51E3EDBA">
            <w:pPr>
              <w:autoSpaceDE w:val="0"/>
              <w:autoSpaceDN w:val="0"/>
              <w:adjustRightInd w:val="0"/>
              <w:spacing w:line="32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插入部分最大宽度（mm）</w:t>
            </w:r>
          </w:p>
        </w:tc>
        <w:tc>
          <w:tcPr>
            <w:tcW w:w="1009" w:type="dxa"/>
            <w:vAlign w:val="center"/>
          </w:tcPr>
          <w:p w14:paraId="51272EFA">
            <w:pPr>
              <w:autoSpaceDE w:val="0"/>
              <w:autoSpaceDN w:val="0"/>
              <w:adjustRightInd w:val="0"/>
              <w:spacing w:line="32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工作长度（mm）</w:t>
            </w:r>
          </w:p>
        </w:tc>
        <w:tc>
          <w:tcPr>
            <w:tcW w:w="896" w:type="dxa"/>
            <w:vAlign w:val="center"/>
          </w:tcPr>
          <w:p w14:paraId="3DB1CB00">
            <w:pPr>
              <w:tabs>
                <w:tab w:val="left" w:pos="2057"/>
              </w:tabs>
              <w:autoSpaceDE w:val="0"/>
              <w:autoSpaceDN w:val="0"/>
              <w:adjustRightInd w:val="0"/>
              <w:spacing w:line="32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器械通道最小宽度</w:t>
            </w:r>
          </w:p>
        </w:tc>
        <w:tc>
          <w:tcPr>
            <w:tcW w:w="1118" w:type="dxa"/>
          </w:tcPr>
          <w:p w14:paraId="402096BA">
            <w:pPr>
              <w:tabs>
                <w:tab w:val="left" w:pos="2057"/>
              </w:tabs>
              <w:autoSpaceDE w:val="0"/>
              <w:autoSpaceDN w:val="0"/>
              <w:adjustRightInd w:val="0"/>
              <w:spacing w:line="32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视场形状参数</w:t>
            </w:r>
          </w:p>
        </w:tc>
      </w:tr>
      <w:tr w14:paraId="03E31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785" w:type="dxa"/>
          </w:tcPr>
          <w:p w14:paraId="7E132B5D">
            <w:pPr>
              <w:autoSpaceDE w:val="0"/>
              <w:autoSpaceDN w:val="0"/>
              <w:adjustRightInd w:val="0"/>
              <w:spacing w:line="32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w:t>
            </w:r>
          </w:p>
        </w:tc>
        <w:tc>
          <w:tcPr>
            <w:tcW w:w="1118" w:type="dxa"/>
          </w:tcPr>
          <w:p w14:paraId="629314ED">
            <w:pPr>
              <w:autoSpaceDE w:val="0"/>
              <w:autoSpaceDN w:val="0"/>
              <w:adjustRightInd w:val="0"/>
              <w:spacing w:line="32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w:t>
            </w:r>
          </w:p>
        </w:tc>
        <w:tc>
          <w:tcPr>
            <w:tcW w:w="784" w:type="dxa"/>
          </w:tcPr>
          <w:p w14:paraId="271DD0C7">
            <w:pPr>
              <w:autoSpaceDE w:val="0"/>
              <w:autoSpaceDN w:val="0"/>
              <w:adjustRightInd w:val="0"/>
              <w:spacing w:line="32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w:t>
            </w:r>
          </w:p>
        </w:tc>
        <w:tc>
          <w:tcPr>
            <w:tcW w:w="896" w:type="dxa"/>
          </w:tcPr>
          <w:p w14:paraId="0600BA53">
            <w:pPr>
              <w:autoSpaceDE w:val="0"/>
              <w:autoSpaceDN w:val="0"/>
              <w:adjustRightInd w:val="0"/>
              <w:spacing w:line="32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w:t>
            </w:r>
          </w:p>
        </w:tc>
        <w:tc>
          <w:tcPr>
            <w:tcW w:w="1570" w:type="dxa"/>
          </w:tcPr>
          <w:p w14:paraId="6BBBAFE1">
            <w:pPr>
              <w:autoSpaceDE w:val="0"/>
              <w:autoSpaceDN w:val="0"/>
              <w:adjustRightInd w:val="0"/>
              <w:spacing w:line="32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w:t>
            </w:r>
          </w:p>
        </w:tc>
        <w:tc>
          <w:tcPr>
            <w:tcW w:w="1009" w:type="dxa"/>
          </w:tcPr>
          <w:p w14:paraId="6F5BA247">
            <w:pPr>
              <w:autoSpaceDE w:val="0"/>
              <w:autoSpaceDN w:val="0"/>
              <w:adjustRightInd w:val="0"/>
              <w:spacing w:line="32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w:t>
            </w:r>
          </w:p>
        </w:tc>
        <w:tc>
          <w:tcPr>
            <w:tcW w:w="896" w:type="dxa"/>
          </w:tcPr>
          <w:p w14:paraId="042F4F53">
            <w:pPr>
              <w:autoSpaceDE w:val="0"/>
              <w:autoSpaceDN w:val="0"/>
              <w:adjustRightInd w:val="0"/>
              <w:spacing w:line="32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w:t>
            </w:r>
          </w:p>
        </w:tc>
        <w:tc>
          <w:tcPr>
            <w:tcW w:w="1118" w:type="dxa"/>
          </w:tcPr>
          <w:p w14:paraId="1FAE1024">
            <w:pPr>
              <w:autoSpaceDE w:val="0"/>
              <w:autoSpaceDN w:val="0"/>
              <w:adjustRightInd w:val="0"/>
              <w:spacing w:line="32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w:t>
            </w:r>
          </w:p>
        </w:tc>
      </w:tr>
    </w:tbl>
    <w:p w14:paraId="4818DF6E">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1.2划分说明</w:t>
      </w:r>
    </w:p>
    <w:p w14:paraId="653BF09D">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如有，应提供，包括型号命名规则等。</w:t>
      </w:r>
    </w:p>
    <w:p w14:paraId="3DCE61B3">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性能指标</w:t>
      </w:r>
    </w:p>
    <w:p w14:paraId="7FE1BED5">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2.1光学性能</w:t>
      </w:r>
    </w:p>
    <w:p w14:paraId="1DC131A9">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2.1.1视场</w:t>
      </w:r>
      <w:r>
        <w:rPr>
          <w:rFonts w:hint="eastAsia" w:ascii="Times New Roman" w:hAnsi="Times New Roman" w:eastAsia="仿宋_GB2312" w:cs="Times New Roman"/>
          <w:sz w:val="32"/>
          <w:szCs w:val="32"/>
        </w:rPr>
        <w:t>角和视向角</w:t>
      </w:r>
    </w:p>
    <w:p w14:paraId="30B6B492">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2.1.1.1视场角</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rPr>
        <w:object>
          <v:shape id="_x0000_i1025" o:spt="75" type="#_x0000_t75" style="height:11.25pt;width:18.7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p>
    <w:p w14:paraId="1C909187">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内窥镜视场角的设计值见表</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与厂家提供名义值的偏差最低要求为不大于</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且应符合专用标准</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如有</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的要求。</w:t>
      </w:r>
    </w:p>
    <w:p w14:paraId="58FABDDC">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2.1.1.2视向角</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θ</w:t>
      </w:r>
    </w:p>
    <w:p w14:paraId="60A04D5F">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在光学镜上应标注视向角的名义值见表</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允差：θ≤30°时，允差：±3°；30＜θ≤100时，允差：±10%；θ＞100°时，允差：±10°</w:t>
      </w:r>
      <w:r>
        <w:rPr>
          <w:rFonts w:ascii="Times New Roman" w:hAnsi="Times New Roman" w:eastAsia="仿宋_GB2312" w:cs="Times New Roman"/>
          <w:sz w:val="32"/>
          <w:szCs w:val="32"/>
        </w:rPr>
        <w:t>,且</w:t>
      </w:r>
      <w:r>
        <w:rPr>
          <w:rFonts w:hint="eastAsia" w:ascii="Times New Roman" w:hAnsi="Times New Roman" w:eastAsia="仿宋_GB2312" w:cs="Times New Roman"/>
          <w:sz w:val="32"/>
          <w:szCs w:val="32"/>
        </w:rPr>
        <w:t>应符合专用标准</w:t>
      </w:r>
      <w:r>
        <w:rPr>
          <w:rFonts w:ascii="Times New Roman" w:hAnsi="Times New Roman" w:eastAsia="仿宋_GB2312" w:cs="Times New Roman"/>
          <w:sz w:val="32"/>
          <w:szCs w:val="32"/>
        </w:rPr>
        <w:t>(如有)</w:t>
      </w:r>
      <w:r>
        <w:rPr>
          <w:rFonts w:hint="eastAsia" w:ascii="Times New Roman" w:hAnsi="Times New Roman" w:eastAsia="仿宋_GB2312" w:cs="Times New Roman"/>
          <w:sz w:val="32"/>
          <w:szCs w:val="32"/>
        </w:rPr>
        <w:t>的要求。</w:t>
      </w:r>
    </w:p>
    <w:p w14:paraId="089B580D">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2.1.2像质</w:t>
      </w:r>
    </w:p>
    <w:p w14:paraId="22803982">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角分辨力，</w:t>
      </w:r>
      <w:r>
        <w:rPr>
          <w:rFonts w:hint="eastAsia" w:ascii="Times New Roman" w:hAnsi="Times New Roman" w:eastAsia="仿宋_GB2312" w:cs="Times New Roman"/>
          <w:sz w:val="32"/>
          <w:szCs w:val="32"/>
        </w:rPr>
        <w:object>
          <v:shape id="_x0000_i1026" o:spt="75" type="#_x0000_t75" style="height:14.25pt;width:24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p>
    <w:p w14:paraId="0C7C40BD">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内窥镜视场中心角分辨力的标称值为××</w:t>
      </w:r>
      <w:r>
        <w:rPr>
          <w:rFonts w:ascii="Times New Roman" w:hAnsi="Times New Roman" w:eastAsia="仿宋_GB2312" w:cs="Times New Roman"/>
          <w:sz w:val="32"/>
          <w:szCs w:val="32"/>
        </w:rPr>
        <w:t>C/(°)，允差-10%（上限不计），对应的设计工作距d0为××mm。应可在随附资料中查获。以相同光学工作距处的垂直视轴的平面作视场，在最大视场高度的70%位置上任选四个正交方位测量，平均角分辨力不低于实测的视场中心角分辨力的90%。</w:t>
      </w:r>
    </w:p>
    <w:p w14:paraId="5094A2BE">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2.1.3有效景深范围</w:t>
      </w:r>
    </w:p>
    <w:p w14:paraId="3092E6D1">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w:t>
      </w:r>
      <w:r>
        <w:rPr>
          <w:rFonts w:hint="eastAsia" w:ascii="Times New Roman" w:hAnsi="Times New Roman" w:eastAsia="仿宋_GB2312" w:cs="Times New Roman"/>
          <w:spacing w:val="-6"/>
          <w:sz w:val="32"/>
          <w:szCs w:val="32"/>
        </w:rPr>
        <w:t>窥镜有效景深范围为</w:t>
      </w:r>
      <w:r>
        <w:rPr>
          <w:rFonts w:ascii="Times New Roman" w:hAnsi="Times New Roman" w:eastAsia="仿宋_GB2312" w:cs="Times New Roman"/>
          <w:spacing w:val="-6"/>
          <w:sz w:val="32"/>
          <w:szCs w:val="32"/>
        </w:rPr>
        <w:t>XX</w:t>
      </w:r>
      <w:r>
        <w:rPr>
          <w:rFonts w:hint="eastAsia" w:ascii="Times New Roman" w:hAnsi="Times New Roman" w:eastAsia="仿宋_GB2312" w:cs="Times New Roman"/>
          <w:spacing w:val="-6"/>
          <w:sz w:val="32"/>
          <w:szCs w:val="32"/>
        </w:rPr>
        <w:t>—</w:t>
      </w:r>
      <w:r>
        <w:rPr>
          <w:rFonts w:ascii="Times New Roman" w:hAnsi="Times New Roman" w:eastAsia="仿宋_GB2312" w:cs="Times New Roman"/>
          <w:spacing w:val="-6"/>
          <w:sz w:val="32"/>
          <w:szCs w:val="32"/>
        </w:rPr>
        <w:t>XXmm</w:t>
      </w:r>
      <w:r>
        <w:rPr>
          <w:rFonts w:hint="eastAsia" w:ascii="Times New Roman" w:hAnsi="Times New Roman" w:eastAsia="仿宋_GB2312" w:cs="Times New Roman"/>
          <w:spacing w:val="-6"/>
          <w:sz w:val="32"/>
          <w:szCs w:val="32"/>
        </w:rPr>
        <w:t>。应可在随附资料中查获。</w:t>
      </w:r>
      <w:r>
        <w:rPr>
          <w:rFonts w:ascii="Times New Roman" w:hAnsi="Times New Roman" w:eastAsia="仿宋_GB2312" w:cs="Times New Roman"/>
          <w:sz w:val="32"/>
          <w:szCs w:val="32"/>
        </w:rPr>
        <w:t>在该景深范围内，视场中心的角分辨力应不低于设计光学工作距处角分辨力测量值的80％。试验应至少包括有效景深范围的最远端。</w:t>
      </w:r>
    </w:p>
    <w:p w14:paraId="0946E5A2">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2.1.4视场质量</w:t>
      </w:r>
    </w:p>
    <w:p w14:paraId="7D36A5AA">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视场应无重影或鬼影、闪烁等效应，无可见杂质、气泡等缺陷。</w:t>
      </w:r>
    </w:p>
    <w:p w14:paraId="769A7B15">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2.1.5颜色分辨能力和色还原性 </w:t>
      </w:r>
    </w:p>
    <w:p w14:paraId="6AA7176C">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内窥镜有良好的颜色分辨能力和色还原性。当采用</w:t>
      </w:r>
      <w:r>
        <w:rPr>
          <w:rFonts w:ascii="Times New Roman" w:hAnsi="Times New Roman" w:eastAsia="仿宋_GB2312" w:cs="Times New Roman"/>
          <w:sz w:val="32"/>
          <w:szCs w:val="32"/>
        </w:rPr>
        <w:t xml:space="preserve">ISO 10526:1999CIE S005 </w:t>
      </w:r>
      <w:r>
        <w:rPr>
          <w:rFonts w:hint="eastAsia" w:ascii="Times New Roman" w:hAnsi="Times New Roman" w:eastAsia="仿宋_GB2312" w:cs="Times New Roman"/>
          <w:sz w:val="32"/>
          <w:szCs w:val="32"/>
        </w:rPr>
        <w:t>规定的</w:t>
      </w:r>
      <w:r>
        <w:rPr>
          <w:rFonts w:ascii="Times New Roman" w:hAnsi="Times New Roman" w:eastAsia="仿宋_GB2312" w:cs="Times New Roman"/>
          <w:sz w:val="32"/>
          <w:szCs w:val="32"/>
        </w:rPr>
        <w:t>A和D65标准照明体的光谱</w:t>
      </w:r>
      <w:r>
        <w:rPr>
          <w:rFonts w:hint="eastAsia" w:ascii="Times New Roman" w:hAnsi="Times New Roman" w:eastAsia="仿宋_GB2312" w:cs="Times New Roman"/>
          <w:sz w:val="32"/>
          <w:szCs w:val="32"/>
        </w:rPr>
        <w:t>，经照明光路和成像系统传输后输出，其输出光谱仍能保持良好的显色性。在</w:t>
      </w:r>
      <w:r>
        <w:rPr>
          <w:rFonts w:ascii="Times New Roman" w:hAnsi="Times New Roman" w:eastAsia="仿宋_GB2312" w:cs="Times New Roman"/>
          <w:sz w:val="32"/>
          <w:szCs w:val="32"/>
        </w:rPr>
        <w:t>A标准照明体下的显色指数Ra的名义值为××，在D65标准照明体下的显色指数Ra的名义值为××</w:t>
      </w:r>
      <w:r>
        <w:rPr>
          <w:rFonts w:hint="eastAsia" w:ascii="Times New Roman" w:hAnsi="Times New Roman" w:eastAsia="仿宋_GB2312" w:cs="Times New Roman"/>
          <w:sz w:val="32"/>
          <w:szCs w:val="32"/>
        </w:rPr>
        <w:t>，实测值不小于名义值。</w:t>
      </w:r>
    </w:p>
    <w:p w14:paraId="4EA7384D">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2.1.6照明变化率</w:t>
      </w:r>
    </w:p>
    <w:p w14:paraId="0586F9EA">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内窥镜经灭菌消毒试验后，其照明光路的光能积分透过率应保持稳定，用输出光通量衡量，光通量变化率应不大于</w:t>
      </w:r>
      <w:r>
        <w:rPr>
          <w:rFonts w:ascii="Times New Roman" w:hAnsi="Times New Roman" w:eastAsia="仿宋_GB2312" w:cs="Times New Roman"/>
          <w:sz w:val="32"/>
          <w:szCs w:val="32"/>
        </w:rPr>
        <w:t>20%。</w:t>
      </w:r>
    </w:p>
    <w:p w14:paraId="1AFA423C">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2.1.7照明有效性</w:t>
      </w:r>
    </w:p>
    <w:p w14:paraId="07A57562">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2.1.7.1边缘均匀性</w:t>
      </w:r>
    </w:p>
    <w:p w14:paraId="21C8CFA0">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在有效景深范围内检查</w:t>
      </w:r>
      <w:r>
        <w:rPr>
          <w:rFonts w:hint="eastAsia" w:ascii="Times New Roman" w:hAnsi="Times New Roman" w:eastAsia="仿宋_GB2312" w:cs="Times New Roman"/>
          <w:sz w:val="32"/>
          <w:szCs w:val="32"/>
        </w:rPr>
        <w:t>，照明光斑应充满视场的有效尺度，且在最大视场角的</w:t>
      </w:r>
      <w:r>
        <w:rPr>
          <w:rFonts w:ascii="Times New Roman" w:hAnsi="Times New Roman" w:eastAsia="仿宋_GB2312" w:cs="Times New Roman"/>
          <w:sz w:val="32"/>
          <w:szCs w:val="32"/>
        </w:rPr>
        <w:t>90%</w:t>
      </w:r>
      <w:r>
        <w:rPr>
          <w:rFonts w:hint="eastAsia" w:ascii="Times New Roman" w:hAnsi="Times New Roman" w:eastAsia="仿宋_GB2312" w:cs="Times New Roman"/>
          <w:sz w:val="32"/>
          <w:szCs w:val="32"/>
        </w:rPr>
        <w:t>视场处的照度应均匀，在该视场带上选择四个正交方位测试，其均匀度</w:t>
      </w:r>
      <w:r>
        <w:rPr>
          <w:rFonts w:ascii="Times New Roman" w:hAnsi="Times New Roman" w:eastAsia="仿宋_GB2312" w:cs="Times New Roman"/>
          <w:sz w:val="32"/>
          <w:szCs w:val="32"/>
        </w:rPr>
        <w:t>UL应符合表2的要求</w:t>
      </w:r>
    </w:p>
    <w:p w14:paraId="5EC49A2C">
      <w:pPr>
        <w:pStyle w:val="21"/>
        <w:tabs>
          <w:tab w:val="left" w:pos="360"/>
          <w:tab w:val="left" w:pos="425"/>
          <w:tab w:val="left" w:pos="1260"/>
        </w:tabs>
        <w:spacing w:line="520" w:lineRule="exact"/>
        <w:ind w:left="0" w:firstLine="0"/>
        <w:jc w:val="center"/>
        <w:rPr>
          <w:rFonts w:ascii="Times New Roman" w:eastAsia="仿宋_GB2312"/>
          <w:kern w:val="2"/>
          <w:sz w:val="32"/>
          <w:szCs w:val="32"/>
        </w:rPr>
      </w:pPr>
      <w:r>
        <w:rPr>
          <w:rFonts w:hint="eastAsia" w:ascii="Times New Roman" w:eastAsia="仿宋_GB2312"/>
          <w:kern w:val="2"/>
          <w:sz w:val="32"/>
          <w:szCs w:val="32"/>
        </w:rPr>
        <w:t>表</w:t>
      </w:r>
      <w:r>
        <w:rPr>
          <w:rFonts w:ascii="Times New Roman" w:eastAsia="仿宋_GB2312"/>
          <w:kern w:val="2"/>
          <w:sz w:val="32"/>
          <w:szCs w:val="32"/>
        </w:rPr>
        <w:t>2边缘均匀度要求</w:t>
      </w:r>
    </w:p>
    <w:tbl>
      <w:tblPr>
        <w:tblStyle w:val="10"/>
        <w:tblW w:w="83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3848"/>
      </w:tblGrid>
      <w:tr w14:paraId="7CD5D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Pr>
          <w:p w14:paraId="3CDE9B44">
            <w:pPr>
              <w:pStyle w:val="21"/>
              <w:tabs>
                <w:tab w:val="left" w:pos="360"/>
                <w:tab w:val="left" w:pos="425"/>
                <w:tab w:val="left" w:pos="1260"/>
              </w:tabs>
              <w:spacing w:line="360" w:lineRule="exact"/>
              <w:ind w:left="0" w:firstLine="562" w:firstLineChars="200"/>
              <w:jc w:val="left"/>
              <w:rPr>
                <w:rFonts w:cs="黑体" w:asciiTheme="minorEastAsia" w:hAnsiTheme="minorEastAsia" w:eastAsiaTheme="minorEastAsia"/>
                <w:b/>
                <w:kern w:val="2"/>
                <w:sz w:val="28"/>
                <w:szCs w:val="28"/>
              </w:rPr>
            </w:pPr>
            <w:r>
              <w:rPr>
                <w:rFonts w:hint="eastAsia" w:cs="黑体" w:asciiTheme="minorEastAsia" w:hAnsiTheme="minorEastAsia" w:eastAsiaTheme="minorEastAsia"/>
                <w:b/>
                <w:kern w:val="2"/>
                <w:sz w:val="28"/>
                <w:szCs w:val="28"/>
              </w:rPr>
              <w:t>标称视向角范围</w:t>
            </w:r>
          </w:p>
        </w:tc>
        <w:tc>
          <w:tcPr>
            <w:tcW w:w="3848" w:type="dxa"/>
          </w:tcPr>
          <w:p w14:paraId="489D9998">
            <w:pPr>
              <w:pStyle w:val="21"/>
              <w:tabs>
                <w:tab w:val="left" w:pos="360"/>
                <w:tab w:val="left" w:pos="425"/>
                <w:tab w:val="left" w:pos="1260"/>
              </w:tabs>
              <w:spacing w:line="360" w:lineRule="exact"/>
              <w:ind w:left="0" w:firstLine="0"/>
              <w:jc w:val="center"/>
              <w:rPr>
                <w:rFonts w:cs="黑体" w:asciiTheme="minorEastAsia" w:hAnsiTheme="minorEastAsia" w:eastAsiaTheme="minorEastAsia"/>
                <w:b/>
                <w:kern w:val="2"/>
                <w:sz w:val="28"/>
                <w:szCs w:val="28"/>
              </w:rPr>
            </w:pPr>
            <w:r>
              <w:rPr>
                <w:rFonts w:cs="黑体" w:asciiTheme="minorEastAsia" w:hAnsiTheme="minorEastAsia" w:eastAsiaTheme="minorEastAsia"/>
                <w:b/>
                <w:kern w:val="2"/>
                <w:sz w:val="28"/>
                <w:szCs w:val="28"/>
              </w:rPr>
              <w:t>均匀度，</w:t>
            </w:r>
            <w:r>
              <w:rPr>
                <w:rFonts w:hint="eastAsia" w:cs="黑体" w:asciiTheme="minorEastAsia" w:hAnsiTheme="minorEastAsia" w:eastAsiaTheme="minorEastAsia"/>
                <w:b/>
                <w:kern w:val="2"/>
                <w:sz w:val="28"/>
                <w:szCs w:val="28"/>
              </w:rPr>
              <w:object>
                <v:shape id="_x0000_i1027" o:spt="75" type="#_x0000_t75" style="height:15pt;width:1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p>
        </w:tc>
      </w:tr>
      <w:tr w14:paraId="0D798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Pr>
          <w:p w14:paraId="1A50BE94">
            <w:pPr>
              <w:pStyle w:val="21"/>
              <w:tabs>
                <w:tab w:val="left" w:pos="360"/>
                <w:tab w:val="left" w:pos="425"/>
                <w:tab w:val="left" w:pos="1260"/>
              </w:tabs>
              <w:spacing w:line="360" w:lineRule="exact"/>
              <w:ind w:left="0" w:firstLine="0"/>
              <w:jc w:val="center"/>
              <w:outlineLvl w:val="9"/>
              <w:rPr>
                <w:rFonts w:cs="黑体" w:asciiTheme="minorEastAsia" w:hAnsiTheme="minorEastAsia" w:eastAsiaTheme="minorEastAsia"/>
                <w:kern w:val="2"/>
                <w:sz w:val="28"/>
                <w:szCs w:val="28"/>
              </w:rPr>
            </w:pPr>
            <w:r>
              <w:rPr>
                <w:rFonts w:hint="eastAsia" w:cs="黑体" w:asciiTheme="minorEastAsia" w:hAnsiTheme="minorEastAsia" w:eastAsiaTheme="minorEastAsia"/>
                <w:kern w:val="2"/>
                <w:sz w:val="28"/>
                <w:szCs w:val="28"/>
              </w:rPr>
              <w:t>θ≤</w:t>
            </w:r>
            <w:r>
              <w:rPr>
                <w:rFonts w:cs="黑体" w:asciiTheme="minorEastAsia" w:hAnsiTheme="minorEastAsia" w:eastAsiaTheme="minorEastAsia"/>
                <w:kern w:val="2"/>
                <w:sz w:val="28"/>
                <w:szCs w:val="28"/>
              </w:rPr>
              <w:t>30°</w:t>
            </w:r>
          </w:p>
        </w:tc>
        <w:tc>
          <w:tcPr>
            <w:tcW w:w="3848" w:type="dxa"/>
          </w:tcPr>
          <w:p w14:paraId="2079C554">
            <w:pPr>
              <w:pStyle w:val="21"/>
              <w:tabs>
                <w:tab w:val="left" w:pos="360"/>
                <w:tab w:val="left" w:pos="425"/>
                <w:tab w:val="left" w:pos="1260"/>
              </w:tabs>
              <w:spacing w:line="360" w:lineRule="exact"/>
              <w:ind w:left="0" w:firstLine="0"/>
              <w:jc w:val="center"/>
              <w:outlineLvl w:val="9"/>
              <w:rPr>
                <w:rFonts w:cs="黑体" w:asciiTheme="minorEastAsia" w:hAnsiTheme="minorEastAsia" w:eastAsiaTheme="minorEastAsia"/>
                <w:kern w:val="2"/>
                <w:sz w:val="28"/>
                <w:szCs w:val="28"/>
              </w:rPr>
            </w:pPr>
            <w:r>
              <w:rPr>
                <w:rFonts w:hint="eastAsia" w:cs="黑体" w:asciiTheme="minorEastAsia" w:hAnsiTheme="minorEastAsia" w:eastAsiaTheme="minorEastAsia"/>
                <w:kern w:val="2"/>
                <w:sz w:val="28"/>
                <w:szCs w:val="28"/>
              </w:rPr>
              <w:t>≤</w:t>
            </w:r>
            <w:r>
              <w:rPr>
                <w:rFonts w:cs="黑体" w:asciiTheme="minorEastAsia" w:hAnsiTheme="minorEastAsia" w:eastAsiaTheme="minorEastAsia"/>
                <w:kern w:val="2"/>
                <w:sz w:val="28"/>
                <w:szCs w:val="28"/>
              </w:rPr>
              <w:t>25%</w:t>
            </w:r>
          </w:p>
        </w:tc>
      </w:tr>
      <w:tr w14:paraId="617B5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Pr>
          <w:p w14:paraId="5E867A6E">
            <w:pPr>
              <w:pStyle w:val="21"/>
              <w:tabs>
                <w:tab w:val="left" w:pos="360"/>
                <w:tab w:val="left" w:pos="425"/>
                <w:tab w:val="left" w:pos="1260"/>
              </w:tabs>
              <w:spacing w:line="360" w:lineRule="exact"/>
              <w:ind w:left="0" w:firstLine="0"/>
              <w:jc w:val="center"/>
              <w:outlineLvl w:val="9"/>
              <w:rPr>
                <w:rFonts w:cs="黑体" w:asciiTheme="minorEastAsia" w:hAnsiTheme="minorEastAsia" w:eastAsiaTheme="minorEastAsia"/>
                <w:kern w:val="2"/>
                <w:sz w:val="28"/>
                <w:szCs w:val="28"/>
              </w:rPr>
            </w:pPr>
            <w:r>
              <w:rPr>
                <w:rFonts w:cs="黑体" w:asciiTheme="minorEastAsia" w:hAnsiTheme="minorEastAsia" w:eastAsiaTheme="minorEastAsia"/>
                <w:kern w:val="2"/>
                <w:sz w:val="28"/>
                <w:szCs w:val="28"/>
              </w:rPr>
              <w:t>30°＜θ≤50°</w:t>
            </w:r>
          </w:p>
        </w:tc>
        <w:tc>
          <w:tcPr>
            <w:tcW w:w="3848" w:type="dxa"/>
          </w:tcPr>
          <w:p w14:paraId="17168281">
            <w:pPr>
              <w:pStyle w:val="21"/>
              <w:tabs>
                <w:tab w:val="left" w:pos="360"/>
                <w:tab w:val="left" w:pos="425"/>
                <w:tab w:val="left" w:pos="1260"/>
              </w:tabs>
              <w:spacing w:line="360" w:lineRule="exact"/>
              <w:ind w:left="0" w:firstLine="0"/>
              <w:jc w:val="center"/>
              <w:outlineLvl w:val="9"/>
              <w:rPr>
                <w:rFonts w:cs="黑体" w:asciiTheme="minorEastAsia" w:hAnsiTheme="minorEastAsia" w:eastAsiaTheme="minorEastAsia"/>
                <w:kern w:val="2"/>
                <w:sz w:val="28"/>
                <w:szCs w:val="28"/>
              </w:rPr>
            </w:pPr>
            <w:r>
              <w:rPr>
                <w:rFonts w:hint="eastAsia" w:cs="黑体" w:asciiTheme="minorEastAsia" w:hAnsiTheme="minorEastAsia" w:eastAsiaTheme="minorEastAsia"/>
                <w:kern w:val="2"/>
                <w:sz w:val="28"/>
                <w:szCs w:val="28"/>
              </w:rPr>
              <w:t>≤</w:t>
            </w:r>
            <w:r>
              <w:rPr>
                <w:rFonts w:cs="黑体" w:asciiTheme="minorEastAsia" w:hAnsiTheme="minorEastAsia" w:eastAsiaTheme="minorEastAsia"/>
                <w:kern w:val="2"/>
                <w:sz w:val="28"/>
                <w:szCs w:val="28"/>
              </w:rPr>
              <w:t>35%</w:t>
            </w:r>
          </w:p>
        </w:tc>
      </w:tr>
      <w:tr w14:paraId="4E283D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Pr>
          <w:p w14:paraId="4881B132">
            <w:pPr>
              <w:pStyle w:val="21"/>
              <w:tabs>
                <w:tab w:val="left" w:pos="360"/>
                <w:tab w:val="left" w:pos="425"/>
                <w:tab w:val="left" w:pos="1260"/>
              </w:tabs>
              <w:spacing w:line="360" w:lineRule="exact"/>
              <w:ind w:left="0" w:firstLine="0"/>
              <w:jc w:val="center"/>
              <w:outlineLvl w:val="9"/>
              <w:rPr>
                <w:rFonts w:cs="黑体" w:asciiTheme="minorEastAsia" w:hAnsiTheme="minorEastAsia" w:eastAsiaTheme="minorEastAsia"/>
                <w:kern w:val="2"/>
                <w:sz w:val="28"/>
                <w:szCs w:val="28"/>
              </w:rPr>
            </w:pPr>
            <w:r>
              <w:rPr>
                <w:rFonts w:cs="黑体" w:asciiTheme="minorEastAsia" w:hAnsiTheme="minorEastAsia" w:eastAsiaTheme="minorEastAsia"/>
                <w:kern w:val="2"/>
                <w:sz w:val="28"/>
                <w:szCs w:val="28"/>
              </w:rPr>
              <w:t>50°＜θ</w:t>
            </w:r>
          </w:p>
        </w:tc>
        <w:tc>
          <w:tcPr>
            <w:tcW w:w="3848" w:type="dxa"/>
          </w:tcPr>
          <w:p w14:paraId="7C60E7AB">
            <w:pPr>
              <w:pStyle w:val="21"/>
              <w:tabs>
                <w:tab w:val="left" w:pos="360"/>
                <w:tab w:val="left" w:pos="425"/>
                <w:tab w:val="left" w:pos="1260"/>
              </w:tabs>
              <w:spacing w:line="360" w:lineRule="exact"/>
              <w:ind w:left="0" w:firstLine="0"/>
              <w:jc w:val="center"/>
              <w:outlineLvl w:val="9"/>
              <w:rPr>
                <w:rFonts w:cs="黑体" w:asciiTheme="minorEastAsia" w:hAnsiTheme="minorEastAsia" w:eastAsiaTheme="minorEastAsia"/>
                <w:kern w:val="2"/>
                <w:sz w:val="28"/>
                <w:szCs w:val="28"/>
              </w:rPr>
            </w:pPr>
            <w:r>
              <w:rPr>
                <w:rFonts w:hint="eastAsia" w:cs="黑体" w:asciiTheme="minorEastAsia" w:hAnsiTheme="minorEastAsia" w:eastAsiaTheme="minorEastAsia"/>
                <w:kern w:val="2"/>
                <w:sz w:val="28"/>
                <w:szCs w:val="28"/>
              </w:rPr>
              <w:t>≤</w:t>
            </w:r>
            <w:r>
              <w:rPr>
                <w:rFonts w:cs="黑体" w:asciiTheme="minorEastAsia" w:hAnsiTheme="minorEastAsia" w:eastAsiaTheme="minorEastAsia"/>
                <w:kern w:val="2"/>
                <w:sz w:val="28"/>
                <w:szCs w:val="28"/>
              </w:rPr>
              <w:t>45%</w:t>
            </w:r>
          </w:p>
        </w:tc>
      </w:tr>
    </w:tbl>
    <w:p w14:paraId="442D26C8">
      <w:pPr>
        <w:tabs>
          <w:tab w:val="left" w:pos="720"/>
        </w:tabs>
        <w:autoSpaceDE w:val="0"/>
        <w:autoSpaceDN w:val="0"/>
        <w:adjustRightInd w:val="0"/>
        <w:spacing w:line="560" w:lineRule="exact"/>
        <w:ind w:firstLine="640" w:firstLineChars="200"/>
        <w:jc w:val="left"/>
        <w:rPr>
          <w:rFonts w:ascii="Times New Roman" w:hAnsi="Times New Roman" w:eastAsia="仿宋_GB2312" w:cs="Times New Roman"/>
          <w:sz w:val="32"/>
          <w:szCs w:val="32"/>
        </w:rPr>
      </w:pPr>
    </w:p>
    <w:p w14:paraId="4852E07E">
      <w:pPr>
        <w:tabs>
          <w:tab w:val="left" w:pos="720"/>
        </w:tabs>
        <w:autoSpaceDE w:val="0"/>
        <w:autoSpaceDN w:val="0"/>
        <w:adjustRightIn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2.1.7.2照明镜体光效</w:t>
      </w:r>
    </w:p>
    <w:p w14:paraId="4243FECE">
      <w:pPr>
        <w:tabs>
          <w:tab w:val="left" w:pos="720"/>
        </w:tabs>
        <w:autoSpaceDE w:val="0"/>
        <w:autoSpaceDN w:val="0"/>
        <w:adjustRightInd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内窥镜在</w:t>
      </w:r>
      <w:r>
        <w:rPr>
          <w:rFonts w:hint="eastAsia" w:ascii="Times New Roman" w:hAnsi="Times New Roman" w:eastAsia="仿宋_GB2312" w:cs="Times New Roman"/>
          <w:sz w:val="32"/>
          <w:szCs w:val="32"/>
        </w:rPr>
        <w:object>
          <v:shape id="_x0000_i1028" o:spt="75" type="#_x0000_t75" style="height:18.75pt;width:15.7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90%视场处的照明镜体光效</w:t>
      </w:r>
      <w:r>
        <w:rPr>
          <w:rFonts w:hint="eastAsia" w:ascii="Times New Roman" w:hAnsi="Times New Roman" w:eastAsia="仿宋_GB2312" w:cs="Times New Roman"/>
          <w:sz w:val="32"/>
          <w:szCs w:val="32"/>
        </w:rPr>
        <w:object>
          <v:shape id="_x0000_i1029" o:spt="75" type="#_x0000_t75" style="height:15pt;width:18.7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Times New Roman" w:hAnsi="Times New Roman" w:eastAsia="仿宋_GB2312" w:cs="Times New Roman"/>
          <w:sz w:val="32"/>
          <w:szCs w:val="32"/>
        </w:rPr>
        <w:t>的名义值为××，照明镜体光效</w:t>
      </w:r>
      <w:r>
        <w:rPr>
          <w:rFonts w:hint="eastAsia" w:ascii="Times New Roman" w:hAnsi="Times New Roman" w:eastAsia="仿宋_GB2312" w:cs="Times New Roman"/>
          <w:sz w:val="32"/>
          <w:szCs w:val="32"/>
        </w:rPr>
        <w:object>
          <v:shape id="_x0000_i1030" o:spt="75" type="#_x0000_t75" style="height:15pt;width:18.7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8">
            <o:LockedField>false</o:LockedField>
          </o:OLEObject>
        </w:object>
      </w:r>
      <w:r>
        <w:rPr>
          <w:rFonts w:hint="eastAsia" w:ascii="Times New Roman" w:hAnsi="Times New Roman" w:eastAsia="仿宋_GB2312" w:cs="Times New Roman"/>
          <w:sz w:val="32"/>
          <w:szCs w:val="32"/>
        </w:rPr>
        <w:t>的测定值应不小于名义值。</w:t>
      </w:r>
    </w:p>
    <w:p w14:paraId="14313FDC">
      <w:pPr>
        <w:tabs>
          <w:tab w:val="left" w:pos="720"/>
        </w:tabs>
        <w:autoSpaceDE w:val="0"/>
        <w:autoSpaceDN w:val="0"/>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2.1.8综合光效</w:t>
      </w:r>
    </w:p>
    <w:p w14:paraId="257163B3">
      <w:pPr>
        <w:tabs>
          <w:tab w:val="left" w:pos="720"/>
        </w:tabs>
        <w:autoSpaceDE w:val="0"/>
        <w:autoSpaceDN w:val="0"/>
        <w:adjustRightInd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内窥镜在</w:t>
      </w:r>
      <w:r>
        <w:rPr>
          <w:rFonts w:hint="eastAsia" w:ascii="Times New Roman" w:hAnsi="Times New Roman" w:eastAsia="仿宋_GB2312" w:cs="Times New Roman"/>
          <w:sz w:val="32"/>
          <w:szCs w:val="32"/>
        </w:rPr>
        <w:object>
          <v:shape id="_x0000_i1031" o:spt="75" type="#_x0000_t75" style="height:18.75pt;width:15.75pt;" o:ole="t" filled="f" o:preferrelative="t" stroked="f" coordsize="21600,21600">
            <v:path/>
            <v:fill on="f" focussize="0,0"/>
            <v:stroke on="f" joinstyle="miter"/>
            <v:imagedata r:id="rId25" o:title=""/>
            <o:lock v:ext="edit" aspectratio="t"/>
            <w10:wrap type="none"/>
            <w10:anchorlock/>
          </v:shape>
          <o:OLEObject Type="Embed" ProgID="Equation.3" ShapeID="_x0000_i1031" DrawAspect="Content" ObjectID="_1468075731" r:id="rId29">
            <o:LockedField>false</o:LockedField>
          </o:OLEObject>
        </w:objec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90%视场处的综合镜体光效SLeR的名义值为××</w:t>
      </w:r>
      <w:r>
        <w:rPr>
          <w:rFonts w:hint="eastAsia" w:ascii="Times New Roman" w:hAnsi="Times New Roman" w:eastAsia="仿宋_GB2312" w:cs="Times New Roman"/>
          <w:sz w:val="32"/>
          <w:szCs w:val="32"/>
        </w:rPr>
        <w:t>，测定值应不小于名义值。</w:t>
      </w:r>
    </w:p>
    <w:p w14:paraId="5069D48F">
      <w:pPr>
        <w:tabs>
          <w:tab w:val="left" w:pos="720"/>
        </w:tabs>
        <w:autoSpaceDE w:val="0"/>
        <w:autoSpaceDN w:val="0"/>
        <w:adjustRightInd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综合边缘光效（</w:t>
      </w:r>
      <w:r>
        <w:rPr>
          <w:rFonts w:ascii="Times New Roman" w:hAnsi="Times New Roman" w:eastAsia="仿宋_GB2312" w:cs="Times New Roman"/>
          <w:sz w:val="32"/>
          <w:szCs w:val="32"/>
        </w:rPr>
        <w:t>SLe-Z）的名义值为××,</w:t>
      </w:r>
      <w:r>
        <w:rPr>
          <w:rFonts w:hint="eastAsia" w:ascii="Times New Roman" w:hAnsi="Times New Roman" w:eastAsia="仿宋_GB2312" w:cs="Times New Roman"/>
          <w:sz w:val="32"/>
          <w:szCs w:val="32"/>
        </w:rPr>
        <w:t>测定值不小于名义值。</w:t>
      </w:r>
    </w:p>
    <w:p w14:paraId="714930D3">
      <w:pPr>
        <w:tabs>
          <w:tab w:val="left" w:pos="720"/>
        </w:tabs>
        <w:autoSpaceDE w:val="0"/>
        <w:autoSpaceDN w:val="0"/>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2.1.9光能传递效率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有效光度率</w:t>
      </w:r>
    </w:p>
    <w:p w14:paraId="6E6758D5">
      <w:pPr>
        <w:tabs>
          <w:tab w:val="left" w:pos="720"/>
        </w:tabs>
        <w:autoSpaceDE w:val="0"/>
        <w:autoSpaceDN w:val="0"/>
        <w:adjustRightInd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内窥镜有效光度率的名义值为××，实测值应不大于名义值。</w:t>
      </w:r>
    </w:p>
    <w:p w14:paraId="4A294A6D">
      <w:pPr>
        <w:tabs>
          <w:tab w:val="left" w:pos="720"/>
        </w:tabs>
        <w:autoSpaceDE w:val="0"/>
        <w:autoSpaceDN w:val="0"/>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2.1.10单位相对畸变，</w:t>
      </w:r>
      <w:r>
        <w:rPr>
          <w:rFonts w:hint="eastAsia" w:ascii="Times New Roman" w:hAnsi="Times New Roman" w:eastAsia="仿宋_GB2312" w:cs="Times New Roman"/>
          <w:sz w:val="32"/>
          <w:szCs w:val="32"/>
        </w:rPr>
        <w:object>
          <v:shape id="_x0000_i1032" o:spt="75" type="#_x0000_t75" style="height:15pt;width:24pt;" o:ole="t" filled="f" o:preferrelative="t" stroked="f" coordsize="21600,21600">
            <v:path/>
            <v:fill on="f" focussize="0,0"/>
            <v:stroke on="f" joinstyle="miter"/>
            <v:imagedata r:id="rId31" o:title=""/>
            <o:lock v:ext="edit" aspectratio="t"/>
            <w10:wrap type="none"/>
            <w10:anchorlock/>
          </v:shape>
          <o:OLEObject Type="Embed" ProgID="Equation.3" ShapeID="_x0000_i1032" DrawAspect="Content" ObjectID="_1468075732" r:id="rId30">
            <o:LockedField>false</o:LockedField>
          </o:OLEObject>
        </w:object>
      </w:r>
    </w:p>
    <w:p w14:paraId="5E2A25A3">
      <w:pPr>
        <w:tabs>
          <w:tab w:val="left" w:pos="720"/>
        </w:tabs>
        <w:autoSpaceDE w:val="0"/>
        <w:autoSpaceDN w:val="0"/>
        <w:adjustRightInd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内窥镜在设计工作视场形状下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评价视场面形状下单位相对畸变的控制量为××，畸变一致性符合表</w:t>
      </w:r>
      <w:r>
        <w:rPr>
          <w:rFonts w:ascii="Times New Roman" w:hAnsi="Times New Roman" w:eastAsia="仿宋_GB2312" w:cs="Times New Roman"/>
          <w:sz w:val="32"/>
          <w:szCs w:val="32"/>
        </w:rPr>
        <w:t>3的要求。</w:t>
      </w:r>
    </w:p>
    <w:p w14:paraId="1ED69660">
      <w:pPr>
        <w:pStyle w:val="21"/>
        <w:tabs>
          <w:tab w:val="left" w:pos="360"/>
          <w:tab w:val="left" w:pos="425"/>
          <w:tab w:val="left" w:pos="6504"/>
          <w:tab w:val="clear" w:pos="1680"/>
        </w:tabs>
        <w:spacing w:line="520" w:lineRule="exact"/>
        <w:ind w:left="0" w:firstLine="640" w:firstLineChars="200"/>
        <w:jc w:val="left"/>
        <w:rPr>
          <w:rFonts w:ascii="仿宋_GB2312" w:hAnsi="仿宋" w:eastAsia="仿宋_GB2312" w:cs="黑体"/>
          <w:kern w:val="2"/>
          <w:sz w:val="32"/>
          <w:szCs w:val="32"/>
        </w:rPr>
      </w:pPr>
      <w:r>
        <w:rPr>
          <w:rFonts w:ascii="仿宋_GB2312" w:hAnsi="仿宋" w:eastAsia="仿宋_GB2312" w:cs="黑体"/>
          <w:kern w:val="2"/>
          <w:sz w:val="32"/>
          <w:szCs w:val="32"/>
        </w:rPr>
        <w:tab/>
      </w:r>
    </w:p>
    <w:p w14:paraId="392E74E2">
      <w:pPr>
        <w:pStyle w:val="24"/>
        <w:spacing w:line="520" w:lineRule="exact"/>
        <w:rPr>
          <w:rFonts w:ascii="Times New Roman" w:eastAsia="仿宋_GB2312"/>
          <w:sz w:val="32"/>
          <w:szCs w:val="28"/>
        </w:rPr>
      </w:pPr>
      <w:r>
        <w:rPr>
          <w:rFonts w:ascii="Times New Roman" w:eastAsia="仿宋_GB2312"/>
          <w:sz w:val="32"/>
          <w:szCs w:val="28"/>
        </w:rPr>
        <w:t>表3  畸变一致性要求</w:t>
      </w:r>
    </w:p>
    <w:tbl>
      <w:tblPr>
        <w:tblStyle w:val="10"/>
        <w:tblW w:w="84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42"/>
        <w:gridCol w:w="4960"/>
      </w:tblGrid>
      <w:tr w14:paraId="33E25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442" w:type="dxa"/>
          </w:tcPr>
          <w:p w14:paraId="423D79C1">
            <w:pPr>
              <w:pStyle w:val="23"/>
              <w:spacing w:line="360" w:lineRule="exact"/>
              <w:ind w:left="0" w:leftChars="0" w:firstLine="0" w:firstLineChars="0"/>
              <w:jc w:val="center"/>
              <w:rPr>
                <w:rFonts w:asciiTheme="minorEastAsia" w:hAnsiTheme="minorEastAsia" w:eastAsiaTheme="minorEastAsia"/>
                <w:b/>
                <w:sz w:val="28"/>
                <w:szCs w:val="21"/>
              </w:rPr>
            </w:pPr>
            <w:r>
              <w:rPr>
                <w:rFonts w:hint="eastAsia" w:asciiTheme="minorEastAsia" w:hAnsiTheme="minorEastAsia" w:eastAsiaTheme="minorEastAsia"/>
                <w:b/>
                <w:sz w:val="28"/>
                <w:szCs w:val="21"/>
              </w:rPr>
              <w:t>单位相对畸变范围</w:t>
            </w:r>
          </w:p>
        </w:tc>
        <w:tc>
          <w:tcPr>
            <w:tcW w:w="4959" w:type="dxa"/>
          </w:tcPr>
          <w:p w14:paraId="548FA308">
            <w:pPr>
              <w:pStyle w:val="23"/>
              <w:spacing w:line="360" w:lineRule="exact"/>
              <w:ind w:left="0" w:leftChars="0" w:firstLine="0" w:firstLineChars="0"/>
              <w:jc w:val="center"/>
              <w:rPr>
                <w:rFonts w:asciiTheme="minorEastAsia" w:hAnsiTheme="minorEastAsia" w:eastAsiaTheme="minorEastAsia"/>
                <w:b/>
                <w:sz w:val="28"/>
                <w:szCs w:val="21"/>
              </w:rPr>
            </w:pPr>
            <w:r>
              <w:rPr>
                <w:rFonts w:hint="eastAsia" w:asciiTheme="minorEastAsia" w:hAnsiTheme="minorEastAsia" w:eastAsiaTheme="minorEastAsia"/>
                <w:b/>
                <w:sz w:val="28"/>
                <w:szCs w:val="21"/>
              </w:rPr>
              <w:t>一致性差，</w:t>
            </w:r>
            <w:r>
              <w:rPr>
                <w:rFonts w:hint="eastAsia" w:asciiTheme="minorEastAsia" w:hAnsiTheme="minorEastAsia" w:eastAsiaTheme="minorEastAsia"/>
                <w:b/>
                <w:position w:val="-10"/>
                <w:sz w:val="28"/>
                <w:szCs w:val="21"/>
              </w:rPr>
              <w:object>
                <v:shape id="_x0000_i1033" o:spt="75" type="#_x0000_t75" style="height:15pt;width:15.75pt;" o:ole="t" filled="f" o:preferrelative="t" stroked="f" coordsize="21600,21600">
                  <v:path/>
                  <v:fill on="f" focussize="0,0"/>
                  <v:stroke on="f" joinstyle="miter"/>
                  <v:imagedata r:id="rId33" o:title=""/>
                  <o:lock v:ext="edit" aspectratio="t"/>
                  <w10:wrap type="none"/>
                  <w10:anchorlock/>
                </v:shape>
                <o:OLEObject Type="Embed" ProgID="Equation.3" ShapeID="_x0000_i1033" DrawAspect="Content" ObjectID="_1468075733" r:id="rId32">
                  <o:LockedField>false</o:LockedField>
                </o:OLEObject>
              </w:object>
            </w:r>
          </w:p>
        </w:tc>
      </w:tr>
      <w:tr w14:paraId="35750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442" w:type="dxa"/>
            <w:vAlign w:val="center"/>
          </w:tcPr>
          <w:p w14:paraId="107B73E9">
            <w:pPr>
              <w:pStyle w:val="23"/>
              <w:spacing w:line="360" w:lineRule="exact"/>
              <w:ind w:left="0" w:leftChars="0" w:firstLine="0" w:firstLineChars="0"/>
              <w:jc w:val="center"/>
              <w:rPr>
                <w:rFonts w:asciiTheme="minorEastAsia" w:hAnsiTheme="minorEastAsia" w:eastAsiaTheme="minorEastAsia"/>
                <w:sz w:val="28"/>
                <w:szCs w:val="21"/>
              </w:rPr>
            </w:pPr>
            <w:r>
              <w:rPr>
                <w:rFonts w:hint="eastAsia" w:asciiTheme="minorEastAsia" w:hAnsiTheme="minorEastAsia" w:eastAsiaTheme="minorEastAsia"/>
                <w:position w:val="-12"/>
                <w:sz w:val="28"/>
                <w:szCs w:val="21"/>
              </w:rPr>
              <w:object>
                <v:shape id="_x0000_i1034" o:spt="75" type="#_x0000_t75" style="height:18.75pt;width:24.75pt;" o:ole="t" filled="f" o:preferrelative="t" stroked="f" coordsize="21600,21600">
                  <v:path/>
                  <v:fill on="f" focussize="0,0"/>
                  <v:stroke on="f" joinstyle="miter"/>
                  <v:imagedata r:id="rId35" o:title=""/>
                  <o:lock v:ext="edit" aspectratio="t"/>
                  <w10:wrap type="none"/>
                  <w10:anchorlock/>
                </v:shape>
                <o:OLEObject Type="Embed" ProgID="Equation.3" ShapeID="_x0000_i1034" DrawAspect="Content" ObjectID="_1468075734" r:id="rId34">
                  <o:LockedField>false</o:LockedField>
                </o:OLEObject>
              </w:object>
            </w:r>
            <w:r>
              <w:rPr>
                <w:rFonts w:hint="eastAsia" w:asciiTheme="minorEastAsia" w:hAnsiTheme="minorEastAsia" w:eastAsiaTheme="minorEastAsia"/>
                <w:sz w:val="28"/>
                <w:szCs w:val="21"/>
              </w:rPr>
              <w:t>≤25%</w:t>
            </w:r>
          </w:p>
        </w:tc>
        <w:tc>
          <w:tcPr>
            <w:tcW w:w="4959" w:type="dxa"/>
            <w:vAlign w:val="center"/>
          </w:tcPr>
          <w:p w14:paraId="01731CC9">
            <w:pPr>
              <w:pStyle w:val="23"/>
              <w:spacing w:line="360" w:lineRule="exact"/>
              <w:ind w:left="0" w:leftChars="0" w:firstLine="0" w:firstLineChars="0"/>
              <w:jc w:val="center"/>
              <w:rPr>
                <w:rFonts w:asciiTheme="minorEastAsia" w:hAnsiTheme="minorEastAsia" w:eastAsiaTheme="minorEastAsia"/>
                <w:sz w:val="28"/>
                <w:szCs w:val="21"/>
              </w:rPr>
            </w:pPr>
            <w:r>
              <w:rPr>
                <w:rFonts w:hint="eastAsia" w:asciiTheme="minorEastAsia" w:hAnsiTheme="minorEastAsia" w:eastAsiaTheme="minorEastAsia"/>
                <w:sz w:val="28"/>
                <w:szCs w:val="21"/>
              </w:rPr>
              <w:t>≤4%（绝对差）</w:t>
            </w:r>
          </w:p>
        </w:tc>
      </w:tr>
      <w:tr w14:paraId="26CD7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3442" w:type="dxa"/>
            <w:vAlign w:val="center"/>
          </w:tcPr>
          <w:p w14:paraId="50BE697F">
            <w:pPr>
              <w:pStyle w:val="23"/>
              <w:spacing w:line="360" w:lineRule="exact"/>
              <w:ind w:left="0" w:leftChars="0" w:firstLine="0" w:firstLineChars="0"/>
              <w:jc w:val="center"/>
              <w:rPr>
                <w:rFonts w:asciiTheme="minorEastAsia" w:hAnsiTheme="minorEastAsia" w:eastAsiaTheme="minorEastAsia"/>
                <w:sz w:val="28"/>
                <w:szCs w:val="21"/>
              </w:rPr>
            </w:pPr>
            <w:r>
              <w:rPr>
                <w:rFonts w:hint="eastAsia" w:asciiTheme="minorEastAsia" w:hAnsiTheme="minorEastAsia" w:eastAsiaTheme="minorEastAsia"/>
                <w:sz w:val="28"/>
                <w:szCs w:val="21"/>
              </w:rPr>
              <w:t>25%＜</w:t>
            </w:r>
            <w:r>
              <w:rPr>
                <w:rFonts w:hint="eastAsia" w:asciiTheme="minorEastAsia" w:hAnsiTheme="minorEastAsia" w:eastAsiaTheme="minorEastAsia"/>
                <w:position w:val="-12"/>
                <w:sz w:val="28"/>
                <w:szCs w:val="21"/>
              </w:rPr>
              <w:object>
                <v:shape id="_x0000_i1035" o:spt="75" type="#_x0000_t75" style="height:18.75pt;width:24.75pt;" o:ole="t" filled="f" o:preferrelative="t" stroked="f" coordsize="21600,21600">
                  <v:path/>
                  <v:fill on="f" focussize="0,0"/>
                  <v:stroke on="f" joinstyle="miter"/>
                  <v:imagedata r:id="rId37" o:title=""/>
                  <o:lock v:ext="edit" aspectratio="t"/>
                  <w10:wrap type="none"/>
                  <w10:anchorlock/>
                </v:shape>
                <o:OLEObject Type="Embed" ProgID="Equation.3" ShapeID="_x0000_i1035" DrawAspect="Content" ObjectID="_1468075735" r:id="rId36">
                  <o:LockedField>false</o:LockedField>
                </o:OLEObject>
              </w:object>
            </w:r>
          </w:p>
        </w:tc>
        <w:tc>
          <w:tcPr>
            <w:tcW w:w="4959" w:type="dxa"/>
            <w:vAlign w:val="center"/>
          </w:tcPr>
          <w:p w14:paraId="2D446729">
            <w:pPr>
              <w:pStyle w:val="23"/>
              <w:spacing w:line="360" w:lineRule="exact"/>
              <w:ind w:left="0" w:leftChars="0" w:firstLine="0" w:firstLineChars="0"/>
              <w:jc w:val="center"/>
              <w:rPr>
                <w:rFonts w:asciiTheme="minorEastAsia" w:hAnsiTheme="minorEastAsia" w:eastAsiaTheme="minorEastAsia"/>
                <w:sz w:val="28"/>
                <w:szCs w:val="21"/>
              </w:rPr>
            </w:pPr>
            <w:r>
              <w:rPr>
                <w:rFonts w:hint="eastAsia" w:asciiTheme="minorEastAsia" w:hAnsiTheme="minorEastAsia" w:eastAsiaTheme="minorEastAsia"/>
                <w:sz w:val="28"/>
                <w:szCs w:val="21"/>
              </w:rPr>
              <w:t>≤16%（相对差）</w:t>
            </w:r>
          </w:p>
        </w:tc>
      </w:tr>
      <w:tr w14:paraId="6286D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8402" w:type="dxa"/>
            <w:gridSpan w:val="2"/>
          </w:tcPr>
          <w:p w14:paraId="4BDED9AD">
            <w:pPr>
              <w:pStyle w:val="16"/>
              <w:tabs>
                <w:tab w:val="left" w:pos="658"/>
                <w:tab w:val="clear" w:pos="930"/>
              </w:tabs>
              <w:spacing w:line="360" w:lineRule="exact"/>
              <w:rPr>
                <w:rFonts w:asciiTheme="minorEastAsia" w:hAnsiTheme="minorEastAsia" w:eastAsiaTheme="minorEastAsia"/>
                <w:sz w:val="28"/>
                <w:szCs w:val="21"/>
              </w:rPr>
            </w:pPr>
            <w:r>
              <w:rPr>
                <w:rFonts w:hint="eastAsia" w:asciiTheme="minorEastAsia" w:hAnsiTheme="minorEastAsia" w:eastAsiaTheme="minorEastAsia"/>
                <w:sz w:val="28"/>
                <w:szCs w:val="21"/>
              </w:rPr>
              <w:t>绝对差表示单位相对畸变最大值与最小值相减的结果；相对差表示单位相对畸变的绝对差与单位相对畸变均值之比的结果。</w:t>
            </w:r>
          </w:p>
        </w:tc>
      </w:tr>
    </w:tbl>
    <w:p w14:paraId="09A2B4F7">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2.1.11照明光源和观察视场的重合性</w:t>
      </w:r>
    </w:p>
    <w:p w14:paraId="7DED9EFD">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在工作距离处照明光斑应充满视场，无明显的亮暗分界线。</w:t>
      </w:r>
    </w:p>
    <w:p w14:paraId="06146592">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2.2机械性能</w:t>
      </w:r>
    </w:p>
    <w:p w14:paraId="1202307E">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2.2.1工作长度，L </w:t>
      </w:r>
    </w:p>
    <w:p w14:paraId="645F06B6">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内窥镜工作长度的标称值见表</w:t>
      </w:r>
      <w:r>
        <w:rPr>
          <w:rFonts w:ascii="Times New Roman" w:hAnsi="Times New Roman" w:eastAsia="仿宋_GB2312" w:cs="Times New Roman"/>
          <w:sz w:val="32"/>
          <w:szCs w:val="32"/>
        </w:rPr>
        <w:t>1，允差：±3%。</w:t>
      </w:r>
    </w:p>
    <w:p w14:paraId="76D48DA3">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2.2.2插入部分最大宽度</w:t>
      </w:r>
    </w:p>
    <w:p w14:paraId="41DCE1C9">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内窥镜插入部分最大宽度的标称值见表</w:t>
      </w:r>
      <w:r>
        <w:rPr>
          <w:rFonts w:ascii="Times New Roman" w:hAnsi="Times New Roman" w:eastAsia="仿宋_GB2312" w:cs="Times New Roman"/>
          <w:sz w:val="32"/>
          <w:szCs w:val="32"/>
        </w:rPr>
        <w:t>1，实测值不大于标称值。</w:t>
      </w:r>
    </w:p>
    <w:p w14:paraId="7CB45572">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2.2.3器械通道最小宽度</w:t>
      </w:r>
    </w:p>
    <w:p w14:paraId="08321E5C">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对于含器械通道的内窥镜，该通道的最小宽度应不小于标称值，标称值见表</w:t>
      </w:r>
      <w:r>
        <w:rPr>
          <w:rFonts w:ascii="Times New Roman" w:hAnsi="Times New Roman" w:eastAsia="仿宋_GB2312" w:cs="Times New Roman"/>
          <w:sz w:val="32"/>
          <w:szCs w:val="32"/>
        </w:rPr>
        <w:t>1</w:t>
      </w:r>
    </w:p>
    <w:p w14:paraId="32CFEF3F">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2.2.4目镜罩尺寸</w:t>
      </w:r>
    </w:p>
    <w:p w14:paraId="3D68C62C">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目镜罩的形状如图</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所示，并且图</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中的尺寸和允差应符合表</w:t>
      </w:r>
      <w:r>
        <w:rPr>
          <w:rFonts w:ascii="Times New Roman" w:hAnsi="Times New Roman" w:eastAsia="仿宋_GB2312" w:cs="Times New Roman"/>
          <w:sz w:val="32"/>
          <w:szCs w:val="32"/>
        </w:rPr>
        <w:t>4的规定。</w:t>
      </w:r>
    </w:p>
    <w:p w14:paraId="049455F3">
      <w:pPr>
        <w:pStyle w:val="17"/>
        <w:ind w:left="1155" w:leftChars="550" w:firstLine="0" w:firstLineChars="0"/>
        <w:rPr>
          <w:rFonts w:ascii="仿宋_GB2312" w:eastAsia="仿宋_GB2312"/>
          <w:sz w:val="28"/>
          <w:szCs w:val="28"/>
        </w:rPr>
      </w:pPr>
      <w:r>
        <w:rPr>
          <w:rFonts w:hint="eastAsia" w:ascii="仿宋_GB2312" w:eastAsia="仿宋_GB2312"/>
          <w:sz w:val="28"/>
          <w:szCs w:val="28"/>
        </w:rPr>
        <w:object>
          <v:shape id="_x0000_i1036" o:spt="75" type="#_x0000_t75" style="height:102.75pt;width:342.75pt;" o:ole="t" filled="f" o:preferrelative="t" stroked="f" coordsize="21600,21600">
            <v:path/>
            <v:fill on="f" focussize="0,0"/>
            <v:stroke on="f" joinstyle="miter"/>
            <v:imagedata r:id="rId39" o:title=""/>
            <o:lock v:ext="edit" aspectratio="t"/>
            <w10:wrap type="none"/>
            <w10:anchorlock/>
          </v:shape>
          <o:OLEObject Type="Embed" ProgID="Excel.Sheet.8" ShapeID="_x0000_i1036" DrawAspect="Content" ObjectID="_1468075736" r:id="rId38">
            <o:LockedField>false</o:LockedField>
          </o:OLEObject>
        </w:object>
      </w:r>
    </w:p>
    <w:p w14:paraId="09BB4AF2">
      <w:pPr>
        <w:pStyle w:val="25"/>
        <w:widowControl w:val="0"/>
        <w:adjustRightInd w:val="0"/>
        <w:spacing w:line="360" w:lineRule="atLeast"/>
        <w:ind w:left="0" w:firstLine="3080" w:firstLineChars="1100"/>
        <w:jc w:val="both"/>
        <w:textAlignment w:val="baseline"/>
        <w:rPr>
          <w:rFonts w:ascii="Times New Roman" w:eastAsia="仿宋_GB2312"/>
          <w:sz w:val="28"/>
          <w:szCs w:val="28"/>
        </w:rPr>
      </w:pPr>
      <w:r>
        <w:rPr>
          <w:rFonts w:ascii="Times New Roman" w:eastAsia="仿宋_GB2312"/>
          <w:sz w:val="28"/>
          <w:szCs w:val="28"/>
        </w:rPr>
        <w:t>图12  目镜罩形状简图</w:t>
      </w:r>
    </w:p>
    <w:p w14:paraId="4F641029">
      <w:pPr>
        <w:pStyle w:val="24"/>
        <w:widowControl w:val="0"/>
        <w:adjustRightInd w:val="0"/>
        <w:spacing w:line="360" w:lineRule="atLeast"/>
        <w:ind w:firstLine="4200" w:firstLineChars="1500"/>
        <w:jc w:val="both"/>
        <w:textAlignment w:val="baseline"/>
        <w:rPr>
          <w:rFonts w:ascii="仿宋_GB2312" w:eastAsia="仿宋_GB2312"/>
          <w:sz w:val="28"/>
          <w:szCs w:val="28"/>
        </w:rPr>
      </w:pPr>
    </w:p>
    <w:p w14:paraId="6F7F5528">
      <w:pPr>
        <w:pStyle w:val="24"/>
        <w:widowControl w:val="0"/>
        <w:adjustRightInd w:val="0"/>
        <w:spacing w:line="520" w:lineRule="exact"/>
        <w:textAlignment w:val="baseline"/>
        <w:rPr>
          <w:rFonts w:ascii="Times New Roman" w:eastAsia="仿宋_GB2312"/>
          <w:sz w:val="32"/>
          <w:szCs w:val="28"/>
        </w:rPr>
      </w:pPr>
      <w:r>
        <w:rPr>
          <w:rFonts w:ascii="Times New Roman" w:eastAsia="仿宋_GB2312"/>
          <w:sz w:val="32"/>
          <w:szCs w:val="28"/>
        </w:rPr>
        <w:t>表4尺寸和允差</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5"/>
        <w:gridCol w:w="4107"/>
      </w:tblGrid>
      <w:tr w14:paraId="693C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495" w:type="dxa"/>
          </w:tcPr>
          <w:p w14:paraId="3DB7AEC0">
            <w:pPr>
              <w:pStyle w:val="23"/>
              <w:spacing w:line="360" w:lineRule="exact"/>
              <w:ind w:left="0" w:leftChars="0" w:firstLine="0" w:firstLineChars="0"/>
              <w:jc w:val="center"/>
              <w:rPr>
                <w:rFonts w:asciiTheme="minorEastAsia" w:hAnsiTheme="minorEastAsia" w:eastAsiaTheme="minorEastAsia"/>
                <w:b/>
                <w:sz w:val="28"/>
                <w:szCs w:val="21"/>
              </w:rPr>
            </w:pPr>
            <w:r>
              <w:rPr>
                <w:rFonts w:hint="eastAsia" w:asciiTheme="minorEastAsia" w:hAnsiTheme="minorEastAsia" w:eastAsiaTheme="minorEastAsia"/>
                <w:b/>
                <w:sz w:val="28"/>
                <w:szCs w:val="21"/>
              </w:rPr>
              <w:t>尺寸名义值</w:t>
            </w:r>
          </w:p>
        </w:tc>
        <w:tc>
          <w:tcPr>
            <w:tcW w:w="4107" w:type="dxa"/>
          </w:tcPr>
          <w:p w14:paraId="1A01F1C0">
            <w:pPr>
              <w:pStyle w:val="23"/>
              <w:spacing w:line="360" w:lineRule="exact"/>
              <w:ind w:left="0" w:leftChars="0" w:firstLine="0" w:firstLineChars="0"/>
              <w:jc w:val="center"/>
              <w:rPr>
                <w:rFonts w:asciiTheme="minorEastAsia" w:hAnsiTheme="minorEastAsia" w:eastAsiaTheme="minorEastAsia"/>
                <w:b/>
                <w:sz w:val="28"/>
                <w:szCs w:val="21"/>
              </w:rPr>
            </w:pPr>
            <w:r>
              <w:rPr>
                <w:rFonts w:hint="eastAsia" w:asciiTheme="minorEastAsia" w:hAnsiTheme="minorEastAsia" w:eastAsiaTheme="minorEastAsia"/>
                <w:b/>
                <w:sz w:val="28"/>
                <w:szCs w:val="21"/>
              </w:rPr>
              <w:t>允差</w:t>
            </w:r>
          </w:p>
        </w:tc>
      </w:tr>
      <w:tr w14:paraId="33914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95" w:type="dxa"/>
          </w:tcPr>
          <w:p w14:paraId="422400FE">
            <w:pPr>
              <w:pStyle w:val="23"/>
              <w:spacing w:line="360" w:lineRule="exact"/>
              <w:ind w:left="0" w:leftChars="0" w:firstLine="0" w:firstLineChars="0"/>
              <w:jc w:val="center"/>
              <w:rPr>
                <w:rFonts w:asciiTheme="minorEastAsia" w:hAnsiTheme="minorEastAsia" w:eastAsiaTheme="minorEastAsia"/>
                <w:sz w:val="28"/>
                <w:szCs w:val="21"/>
              </w:rPr>
            </w:pPr>
            <w:r>
              <w:rPr>
                <w:rFonts w:hint="eastAsia" w:asciiTheme="minorEastAsia" w:hAnsiTheme="minorEastAsia" w:eastAsiaTheme="minorEastAsia"/>
                <w:sz w:val="28"/>
                <w:szCs w:val="21"/>
              </w:rPr>
              <w:t>b=31.75mm</w:t>
            </w:r>
          </w:p>
        </w:tc>
        <w:tc>
          <w:tcPr>
            <w:tcW w:w="4107" w:type="dxa"/>
          </w:tcPr>
          <w:p w14:paraId="03F01B8F">
            <w:pPr>
              <w:pStyle w:val="23"/>
              <w:spacing w:line="360" w:lineRule="exact"/>
              <w:ind w:left="0" w:leftChars="0" w:firstLine="0" w:firstLineChars="0"/>
              <w:jc w:val="center"/>
              <w:rPr>
                <w:rFonts w:asciiTheme="minorEastAsia" w:hAnsiTheme="minorEastAsia" w:eastAsiaTheme="minorEastAsia"/>
                <w:sz w:val="28"/>
                <w:szCs w:val="21"/>
              </w:rPr>
            </w:pPr>
            <w:r>
              <w:rPr>
                <w:rFonts w:hint="eastAsia" w:asciiTheme="minorEastAsia" w:hAnsiTheme="minorEastAsia" w:eastAsiaTheme="minorEastAsia"/>
                <w:sz w:val="28"/>
                <w:szCs w:val="21"/>
              </w:rPr>
              <w:t>下限-0.10mm，上限0</w:t>
            </w:r>
          </w:p>
        </w:tc>
      </w:tr>
      <w:tr w14:paraId="4739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495" w:type="dxa"/>
          </w:tcPr>
          <w:p w14:paraId="0FEBC081">
            <w:pPr>
              <w:pStyle w:val="23"/>
              <w:spacing w:line="360" w:lineRule="exact"/>
              <w:ind w:left="0" w:leftChars="0" w:firstLine="0" w:firstLineChars="0"/>
              <w:jc w:val="center"/>
              <w:rPr>
                <w:rFonts w:asciiTheme="minorEastAsia" w:hAnsiTheme="minorEastAsia" w:eastAsiaTheme="minorEastAsia"/>
                <w:sz w:val="28"/>
                <w:szCs w:val="21"/>
              </w:rPr>
            </w:pPr>
            <w:r>
              <w:rPr>
                <w:rFonts w:hint="eastAsia" w:asciiTheme="minorEastAsia" w:hAnsiTheme="minorEastAsia" w:eastAsiaTheme="minorEastAsia"/>
                <w:sz w:val="28"/>
                <w:szCs w:val="21"/>
              </w:rPr>
              <w:t>a=4.7mm</w:t>
            </w:r>
          </w:p>
        </w:tc>
        <w:tc>
          <w:tcPr>
            <w:tcW w:w="4107" w:type="dxa"/>
          </w:tcPr>
          <w:p w14:paraId="52928CBB">
            <w:pPr>
              <w:pStyle w:val="23"/>
              <w:spacing w:line="360" w:lineRule="exact"/>
              <w:ind w:left="0" w:leftChars="0" w:firstLine="0" w:firstLineChars="0"/>
              <w:jc w:val="center"/>
              <w:rPr>
                <w:rFonts w:asciiTheme="minorEastAsia" w:hAnsiTheme="minorEastAsia" w:eastAsiaTheme="minorEastAsia"/>
                <w:sz w:val="28"/>
                <w:szCs w:val="21"/>
              </w:rPr>
            </w:pPr>
            <w:bookmarkStart w:id="1" w:name="OLE_LINK4"/>
            <w:bookmarkStart w:id="2" w:name="OLE_LINK3"/>
            <w:bookmarkStart w:id="3" w:name="OLE_LINK1"/>
            <w:r>
              <w:rPr>
                <w:rFonts w:hint="eastAsia" w:asciiTheme="minorEastAsia" w:hAnsiTheme="minorEastAsia" w:eastAsiaTheme="minorEastAsia"/>
                <w:sz w:val="28"/>
                <w:szCs w:val="21"/>
              </w:rPr>
              <w:t>下限0，上限+0.1mm</w:t>
            </w:r>
            <w:bookmarkEnd w:id="1"/>
            <w:bookmarkEnd w:id="2"/>
            <w:bookmarkEnd w:id="3"/>
          </w:p>
        </w:tc>
      </w:tr>
      <w:tr w14:paraId="3FE6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495" w:type="dxa"/>
          </w:tcPr>
          <w:p w14:paraId="5C7FA6C4">
            <w:pPr>
              <w:pStyle w:val="23"/>
              <w:spacing w:line="360" w:lineRule="exact"/>
              <w:ind w:left="0" w:leftChars="0" w:firstLine="0" w:firstLineChars="0"/>
              <w:jc w:val="center"/>
              <w:rPr>
                <w:rFonts w:asciiTheme="minorEastAsia" w:hAnsiTheme="minorEastAsia" w:eastAsiaTheme="minorEastAsia"/>
                <w:sz w:val="28"/>
                <w:szCs w:val="21"/>
              </w:rPr>
            </w:pPr>
            <w:r>
              <w:rPr>
                <w:rFonts w:hint="eastAsia" w:asciiTheme="minorEastAsia" w:hAnsiTheme="minorEastAsia" w:eastAsiaTheme="minorEastAsia"/>
                <w:sz w:val="28"/>
                <w:szCs w:val="21"/>
              </w:rPr>
              <w:t>θ=50°</w:t>
            </w:r>
          </w:p>
        </w:tc>
        <w:tc>
          <w:tcPr>
            <w:tcW w:w="4107" w:type="dxa"/>
          </w:tcPr>
          <w:p w14:paraId="0563418C">
            <w:pPr>
              <w:pStyle w:val="23"/>
              <w:spacing w:line="360" w:lineRule="exact"/>
              <w:ind w:left="0" w:leftChars="0" w:firstLine="0" w:firstLineChars="0"/>
              <w:jc w:val="center"/>
              <w:rPr>
                <w:rFonts w:asciiTheme="minorEastAsia" w:hAnsiTheme="minorEastAsia" w:eastAsiaTheme="minorEastAsia"/>
                <w:sz w:val="28"/>
                <w:szCs w:val="21"/>
              </w:rPr>
            </w:pPr>
            <w:r>
              <w:rPr>
                <w:rFonts w:hint="eastAsia" w:asciiTheme="minorEastAsia" w:hAnsiTheme="minorEastAsia" w:eastAsiaTheme="minorEastAsia"/>
                <w:sz w:val="28"/>
                <w:szCs w:val="21"/>
              </w:rPr>
              <w:t>±10°</w:t>
            </w:r>
          </w:p>
        </w:tc>
      </w:tr>
    </w:tbl>
    <w:p w14:paraId="74F011B0">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2.2.5配合</w:t>
      </w:r>
    </w:p>
    <w:p w14:paraId="22F2759B">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2.2.5.1锁止和插拆</w:t>
      </w:r>
    </w:p>
    <w:p w14:paraId="6E01E9CC">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与镜鞘或镜桥、镜鞘配合，锁止与插拆应符合下述要求：</w:t>
      </w:r>
    </w:p>
    <w:p w14:paraId="0AA288BD">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配合后应能锁止，锁止应可靠。</w:t>
      </w:r>
    </w:p>
    <w:p w14:paraId="63BE9EAE">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插入轻松自如、拆卸方便。</w:t>
      </w:r>
    </w:p>
    <w:p w14:paraId="4E105080">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2.2.5.2定位和密封</w:t>
      </w:r>
    </w:p>
    <w:p w14:paraId="146CF43A">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与镜鞘或镜桥、镜鞘配合后应满足下述要求：</w:t>
      </w:r>
    </w:p>
    <w:p w14:paraId="1774C689">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锁止后应定位可靠，无松动现象；</w:t>
      </w:r>
    </w:p>
    <w:p w14:paraId="611678BF">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锁止后应密封良好，做渗水性试验时</w:t>
      </w:r>
      <w:r>
        <w:rPr>
          <w:rFonts w:ascii="Times New Roman" w:hAnsi="Times New Roman" w:eastAsia="仿宋_GB2312" w:cs="Times New Roman"/>
          <w:sz w:val="32"/>
          <w:szCs w:val="32"/>
        </w:rPr>
        <w:t>1分钟内渗水不得超过5滴。</w:t>
      </w:r>
    </w:p>
    <w:p w14:paraId="1CEE2B03">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2.2.6封装</w:t>
      </w:r>
    </w:p>
    <w:p w14:paraId="40AB4493">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2.2.6.1雾层</w:t>
      </w:r>
    </w:p>
    <w:p w14:paraId="44CEBDFF">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含光学元件的内窥镜，封闭的内部应清洁干燥，经低温至高温突变试验后，内部无视场模糊现象。</w:t>
      </w:r>
    </w:p>
    <w:p w14:paraId="23197AFB">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2.2.6.2封装可靠性</w:t>
      </w:r>
    </w:p>
    <w:p w14:paraId="315442B8">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含光学元件的内窥镜应能承受如下密封性的试验不失效：</w:t>
      </w:r>
    </w:p>
    <w:p w14:paraId="785AFF28">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水下</w:t>
      </w:r>
      <w:r>
        <w:rPr>
          <w:rFonts w:ascii="Times New Roman" w:hAnsi="Times New Roman" w:eastAsia="仿宋_GB2312" w:cs="Times New Roman"/>
          <w:sz w:val="32"/>
          <w:szCs w:val="32"/>
        </w:rPr>
        <w:t>1m历时12h水压试验；</w:t>
      </w:r>
    </w:p>
    <w:p w14:paraId="41EE45BB">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按制造商规定的灭菌或消毒方法循环</w:t>
      </w:r>
      <w:r>
        <w:rPr>
          <w:rFonts w:ascii="Times New Roman" w:hAnsi="Times New Roman" w:eastAsia="仿宋_GB2312" w:cs="Times New Roman"/>
          <w:sz w:val="32"/>
          <w:szCs w:val="32"/>
        </w:rPr>
        <w:t>20次试验。</w:t>
      </w:r>
    </w:p>
    <w:p w14:paraId="320FBDA9">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2.2.7连接</w:t>
      </w:r>
    </w:p>
    <w:p w14:paraId="71815AEF">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各组件之间的连接牢固可靠，各连接部分，若采用紧配合方式连接，其配合处应无明显可见缝隙；若采用焊接方式连接，其焊缝处应无凹凸不均匀、脱焊、堆焊或明显的麻点现象；若采用胶合方式连接，其胶合处应无溢流或明显胶堆现象，其他部分无胶流纹痕。</w:t>
      </w:r>
    </w:p>
    <w:p w14:paraId="0CF3E457">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2.2.8插入部分外表面质量</w:t>
      </w:r>
    </w:p>
    <w:p w14:paraId="4DE0A23A">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插入部分除特殊目的外，不应有任何可能引起的安全伤害存在。</w:t>
      </w:r>
    </w:p>
    <w:p w14:paraId="41A321CC">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对于特殊目的的需要而存在可能引起安全伤害的插入部分，应采用所有可能方式，以使不希望的危害减至最小。所采取的方式中至少应包括在随附资料中的下述说明：</w:t>
      </w:r>
    </w:p>
    <w:p w14:paraId="35ABEC30">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警告可能出现的危害提示，危害的预防手段，以及危害发现后的处理说明；</w:t>
      </w:r>
    </w:p>
    <w:p w14:paraId="22A5832C">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安全的操作规程；</w:t>
      </w:r>
    </w:p>
    <w:p w14:paraId="04EFBB3A">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操作者需通过专门培训才能使用的声明。</w:t>
      </w:r>
    </w:p>
    <w:p w14:paraId="524A1F64">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2.2.9表面和边缘</w:t>
      </w:r>
    </w:p>
    <w:p w14:paraId="7CE895E4">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—内窥镜应当设计成对人体不会造成任何意外伤害。</w:t>
      </w:r>
    </w:p>
    <w:p w14:paraId="124F620E">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—内窥镜的所有表面不得有细孔、裂纹和毛刺。</w:t>
      </w:r>
    </w:p>
    <w:p w14:paraId="25F80D0A">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2.2.10</w:t>
      </w:r>
      <w:r>
        <w:rPr>
          <w:rFonts w:hint="eastAsia" w:ascii="Times New Roman" w:hAnsi="Times New Roman" w:eastAsia="仿宋_GB2312" w:cs="Times New Roman"/>
          <w:sz w:val="32"/>
          <w:szCs w:val="32"/>
        </w:rPr>
        <w:t>可重复消毒或灭菌产品的耐受性</w:t>
      </w:r>
    </w:p>
    <w:p w14:paraId="43BC4134">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对于可重复消毒或灭菌的硬性内窥镜，消毒或灭菌方法应既不能损坏产品的功能，也不能产生腐蚀。</w:t>
      </w:r>
    </w:p>
    <w:p w14:paraId="4FE6DD8B">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2.2.11</w:t>
      </w:r>
      <w:r>
        <w:rPr>
          <w:rFonts w:hint="eastAsia" w:ascii="Times New Roman" w:hAnsi="Times New Roman" w:eastAsia="仿宋_GB2312" w:cs="Times New Roman"/>
          <w:sz w:val="32"/>
          <w:szCs w:val="32"/>
        </w:rPr>
        <w:t>电气安全性能要求</w:t>
      </w:r>
    </w:p>
    <w:p w14:paraId="0032A20D">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内窥镜与医用电气设备互连使用的安全要求应符合</w:t>
      </w:r>
      <w:r>
        <w:rPr>
          <w:rFonts w:ascii="Times New Roman" w:hAnsi="Times New Roman" w:eastAsia="仿宋_GB2312" w:cs="Times New Roman"/>
          <w:sz w:val="32"/>
          <w:szCs w:val="32"/>
        </w:rPr>
        <w:t>YY0068.4-2009中6的要求及GB 9706.1-2007、GB 9706.19-2000规定的要求</w:t>
      </w:r>
      <w:r>
        <w:rPr>
          <w:rFonts w:hint="eastAsia" w:ascii="Times New Roman" w:hAnsi="Times New Roman" w:eastAsia="仿宋_GB2312" w:cs="Times New Roman"/>
          <w:sz w:val="32"/>
          <w:szCs w:val="32"/>
        </w:rPr>
        <w:t>。</w:t>
      </w:r>
    </w:p>
    <w:p w14:paraId="5B8C6BE5">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2.2.12</w:t>
      </w:r>
      <w:r>
        <w:rPr>
          <w:rFonts w:hint="eastAsia" w:ascii="Times New Roman" w:hAnsi="Times New Roman" w:eastAsia="仿宋_GB2312" w:cs="Times New Roman"/>
          <w:sz w:val="32"/>
          <w:szCs w:val="32"/>
        </w:rPr>
        <w:t>环境试验</w:t>
      </w:r>
    </w:p>
    <w:p w14:paraId="1D3AD911">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内窥镜的环境试验要求应符合GB/T14710-2009</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GB 11244-2005</w:t>
      </w:r>
      <w:r>
        <w:rPr>
          <w:rFonts w:hint="eastAsia" w:ascii="Times New Roman" w:hAnsi="Times New Roman" w:eastAsia="仿宋_GB2312" w:cs="Times New Roman"/>
          <w:sz w:val="32"/>
          <w:szCs w:val="32"/>
        </w:rPr>
        <w:t>中气候环境试验</w:t>
      </w:r>
      <w:r>
        <w:rPr>
          <w:rFonts w:ascii="Times New Roman" w:hAnsi="Times New Roman" w:eastAsia="仿宋_GB2312" w:cs="Times New Roman"/>
          <w:sz w:val="32"/>
          <w:szCs w:val="32"/>
        </w:rPr>
        <w:t>I组、机械环境试验I组的规定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并按附录A</w:t>
      </w:r>
      <w:r>
        <w:rPr>
          <w:rFonts w:hint="eastAsia" w:ascii="Times New Roman" w:hAnsi="Times New Roman" w:eastAsia="仿宋_GB2312" w:cs="Times New Roman"/>
          <w:sz w:val="32"/>
          <w:szCs w:val="32"/>
        </w:rPr>
        <w:t>的规定进行试验。部分内窥镜有现行行业标准的，则环境试验要求应符合内窥镜行业标准中的具体要求。</w:t>
      </w:r>
    </w:p>
    <w:p w14:paraId="55AC28A3">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.试验方法</w:t>
      </w:r>
    </w:p>
    <w:p w14:paraId="6C41561B">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3.1</w:t>
      </w:r>
      <w:r>
        <w:rPr>
          <w:rFonts w:hint="eastAsia" w:ascii="Times New Roman" w:hAnsi="Times New Roman" w:eastAsia="仿宋_GB2312" w:cs="Times New Roman"/>
          <w:sz w:val="32"/>
          <w:szCs w:val="32"/>
        </w:rPr>
        <w:t>光学性能试验方法</w:t>
      </w:r>
    </w:p>
    <w:p w14:paraId="28736EB7">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3.1.1视场和视向的测定</w:t>
      </w:r>
    </w:p>
    <w:p w14:paraId="290E7C54">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0068.1-2008中5.1规定的方法进行检测，应符合2.1.1.1和2.1.1.2的要求。</w:t>
      </w:r>
    </w:p>
    <w:p w14:paraId="2B114BC9">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3.1.2像质角分辨力,</w:t>
      </w:r>
      <w:r>
        <w:rPr>
          <w:rFonts w:hint="eastAsia" w:ascii="Times New Roman" w:hAnsi="Times New Roman" w:eastAsia="仿宋_GB2312" w:cs="Times New Roman"/>
          <w:sz w:val="32"/>
          <w:szCs w:val="32"/>
        </w:rPr>
        <w:object>
          <v:shape id="_x0000_i1037" o:spt="75" type="#_x0000_t75" style="height:14.25pt;width:24pt;" o:ole="t" filled="f" o:preferrelative="t" stroked="f" coordsize="21600,21600">
            <v:path/>
            <v:fill on="f" focussize="0,0"/>
            <v:stroke on="f" joinstyle="miter"/>
            <v:imagedata r:id="rId21" o:title=""/>
            <o:lock v:ext="edit" aspectratio="t"/>
            <w10:wrap type="none"/>
            <w10:anchorlock/>
          </v:shape>
          <o:OLEObject Type="Embed" ProgID="Equation.3" ShapeID="_x0000_i1037" DrawAspect="Content" ObjectID="_1468075737" r:id="rId40">
            <o:LockedField>false</o:LockedField>
          </o:OLEObject>
        </w:object>
      </w:r>
      <w:r>
        <w:rPr>
          <w:rFonts w:ascii="Times New Roman" w:hAnsi="Times New Roman" w:eastAsia="仿宋_GB2312" w:cs="Times New Roman"/>
          <w:sz w:val="32"/>
          <w:szCs w:val="32"/>
        </w:rPr>
        <w:t>的测定</w:t>
      </w:r>
    </w:p>
    <w:p w14:paraId="53838065">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0068.1-2008中5.2.1规定的方法进行检测，应符合2.1.2的要求。</w:t>
      </w:r>
    </w:p>
    <w:p w14:paraId="337EC54C">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3.1.3有效景深范围的测定</w:t>
      </w:r>
    </w:p>
    <w:p w14:paraId="47A2E691">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0068.1-2008中5.2.2规定的方法进行检测，应符合2.1.3的</w:t>
      </w:r>
      <w:r>
        <w:rPr>
          <w:rFonts w:hint="eastAsia" w:ascii="Times New Roman" w:hAnsi="Times New Roman" w:eastAsia="仿宋_GB2312" w:cs="Times New Roman"/>
          <w:sz w:val="32"/>
          <w:szCs w:val="32"/>
        </w:rPr>
        <w:t>要求。</w:t>
      </w:r>
    </w:p>
    <w:p w14:paraId="4D24316A">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3.1.4视场质量的测定</w:t>
      </w:r>
    </w:p>
    <w:p w14:paraId="3C17D2A9">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0068.1-2008中5.2.3规定的方法进行检测，应符合2.1.4的要求。</w:t>
      </w:r>
    </w:p>
    <w:p w14:paraId="2DFDB95A">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3.1.5颜色分辨能力和色还原性的测定</w:t>
      </w:r>
    </w:p>
    <w:p w14:paraId="39BD3C60">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0068.1-2008中5.3规定的方法进行检测，应符合2.1.5的要求。</w:t>
      </w:r>
    </w:p>
    <w:p w14:paraId="6E4F1AB6">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3.1.6照明变化率的测定</w:t>
      </w:r>
    </w:p>
    <w:p w14:paraId="6900278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0068.1-2008中5.4.3规定的方法进行检测，应符合2.1.6的要求。</w:t>
      </w:r>
    </w:p>
    <w:p w14:paraId="090079C8">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3.1.7照明有效性的测定</w:t>
      </w:r>
    </w:p>
    <w:p w14:paraId="5AB02AAC">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3.1.7.1边缘均匀性UL</w:t>
      </w:r>
      <w:r>
        <w:rPr>
          <w:rFonts w:hint="eastAsia" w:ascii="Times New Roman" w:hAnsi="Times New Roman" w:eastAsia="仿宋_GB2312" w:cs="Times New Roman"/>
          <w:sz w:val="32"/>
          <w:szCs w:val="32"/>
        </w:rPr>
        <w:t>的测定</w:t>
      </w:r>
    </w:p>
    <w:p w14:paraId="74975FAC">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0068.1-2008中5.4.4.1规定的方法进行检测，应符合2.1.7.1的要求。</w:t>
      </w:r>
    </w:p>
    <w:p w14:paraId="170DAB0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3.1.7.2照明镜体光效的测定</w:t>
      </w:r>
    </w:p>
    <w:p w14:paraId="3F659106">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0068.1-2008中5.4.4.2规定的方法进行检测，应符合2.1.7.2的要求。</w:t>
      </w:r>
    </w:p>
    <w:p w14:paraId="54B2D93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3.1.8综合光效的测定</w:t>
      </w:r>
    </w:p>
    <w:p w14:paraId="44AC8E85">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0068.1-2008中5.5规定的方法进行检测，应符合2.1.8的要求。</w:t>
      </w:r>
    </w:p>
    <w:p w14:paraId="536E6D9D">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3.1.9光能传递效率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有效光度率的测定</w:t>
      </w:r>
    </w:p>
    <w:p w14:paraId="2AB028C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0068.1-2008中5.6规定的方法进行检测，应符合2.1.9的要求。</w:t>
      </w:r>
    </w:p>
    <w:p w14:paraId="1E9C74A7">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3.1.10单位相对畸变，</w:t>
      </w:r>
      <w:r>
        <w:rPr>
          <w:rFonts w:hint="eastAsia" w:ascii="Times New Roman" w:hAnsi="Times New Roman" w:eastAsia="仿宋_GB2312" w:cs="Times New Roman"/>
          <w:sz w:val="32"/>
          <w:szCs w:val="32"/>
        </w:rPr>
        <w:object>
          <v:shape id="_x0000_i1038" o:spt="75" type="#_x0000_t75" style="height:15pt;width:24pt;" o:ole="t" filled="f" o:preferrelative="t" stroked="f" coordsize="21600,21600">
            <v:path/>
            <v:fill on="f" focussize="0,0"/>
            <v:stroke on="f" joinstyle="miter"/>
            <v:imagedata r:id="rId31" o:title=""/>
            <o:lock v:ext="edit" aspectratio="t"/>
            <w10:wrap type="none"/>
            <w10:anchorlock/>
          </v:shape>
          <o:OLEObject Type="Embed" ProgID="Equation.3" ShapeID="_x0000_i1038" DrawAspect="Content" ObjectID="_1468075738" r:id="rId41">
            <o:LockedField>false</o:LockedField>
          </o:OLEObject>
        </w:object>
      </w:r>
      <w:r>
        <w:rPr>
          <w:rFonts w:hint="eastAsia" w:ascii="Times New Roman" w:hAnsi="Times New Roman" w:eastAsia="仿宋_GB2312" w:cs="Times New Roman"/>
          <w:sz w:val="32"/>
          <w:szCs w:val="32"/>
        </w:rPr>
        <w:t>的测定</w:t>
      </w:r>
    </w:p>
    <w:p w14:paraId="2B7558AD">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0068.1-2008中5.7规定的方法进行检测，应符合2.1.10的要求。</w:t>
      </w:r>
    </w:p>
    <w:p w14:paraId="0F5968A4">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3.1.11照明光源和观察视场的重合性的测定</w:t>
      </w:r>
    </w:p>
    <w:p w14:paraId="0619E0C2">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GB 11244-2005中5.6规定的方法进行检测，应符合2.1.11的要</w:t>
      </w:r>
      <w:r>
        <w:rPr>
          <w:rFonts w:hint="eastAsia" w:ascii="Times New Roman" w:hAnsi="Times New Roman" w:eastAsia="仿宋_GB2312" w:cs="Times New Roman"/>
          <w:sz w:val="32"/>
          <w:szCs w:val="32"/>
        </w:rPr>
        <w:t>求。</w:t>
      </w:r>
    </w:p>
    <w:p w14:paraId="1DA461D5">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3.2机械性能试验方法</w:t>
      </w:r>
    </w:p>
    <w:p w14:paraId="61DAB054">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3.2.1工作长度、插入部分最大宽度、器械通道最小宽度、目镜罩尺寸的测定</w:t>
      </w:r>
    </w:p>
    <w:p w14:paraId="0BF1870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0068.2-2008中5.1规定的方法进行检测，应符合2.2.1、2.2.2、2.2.3、2.2.4的要求。</w:t>
      </w:r>
    </w:p>
    <w:p w14:paraId="17B42B3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3.2.2配合性能的测定</w:t>
      </w:r>
    </w:p>
    <w:p w14:paraId="3B69DC6D">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3.2.2.1锁止和插拆的测定</w:t>
      </w:r>
    </w:p>
    <w:p w14:paraId="335E84F2">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0068.2-2008中5.2.1规定的方法进行检测，应符2.2.5.1的要求。</w:t>
      </w:r>
    </w:p>
    <w:p w14:paraId="5C4105D8">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3.2.2.2定位和密封的测定</w:t>
      </w:r>
    </w:p>
    <w:p w14:paraId="788B064B">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0068.2-2008中5.2.2规定的方法进行检测，应符合2.2.5.2的要求。</w:t>
      </w:r>
    </w:p>
    <w:p w14:paraId="6B3689A0">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3.2.3封装的测定</w:t>
      </w:r>
    </w:p>
    <w:p w14:paraId="47CED436">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3.2.3.1雾层的测定</w:t>
      </w:r>
    </w:p>
    <w:p w14:paraId="3859CA44">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0068.2-2008中5.3.1规定的方法进行检测，应符合2.2.6.1的要求。</w:t>
      </w:r>
    </w:p>
    <w:p w14:paraId="2FF2F0C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3.2.3.2封装可靠性的测定</w:t>
      </w:r>
    </w:p>
    <w:p w14:paraId="749F9AC6">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0068.2-2008中5.3.2规定的方法进行检测，应符合2.2.6.2的要求。</w:t>
      </w:r>
    </w:p>
    <w:p w14:paraId="2EFC4E43">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3.2.4连接性能的测定</w:t>
      </w:r>
    </w:p>
    <w:p w14:paraId="47C0730E">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0068.2-2008中5.5规定的方法进行检测，应符合2.2.7的要求。</w:t>
      </w:r>
    </w:p>
    <w:p w14:paraId="740EEBF0">
      <w:pPr>
        <w:tabs>
          <w:tab w:val="left" w:pos="720"/>
        </w:tabs>
        <w:autoSpaceDE w:val="0"/>
        <w:autoSpaceDN w:val="0"/>
        <w:adjustRightInd w:val="0"/>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3.2.5插入部分外表面质量的测定</w:t>
      </w:r>
    </w:p>
    <w:p w14:paraId="06B07B9A">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YY 0068.2-2008中5.6规定的方法进行检测，应符合2.2.8的要求。</w:t>
      </w:r>
    </w:p>
    <w:p w14:paraId="704AD738">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3.2.6表面和边缘检查</w:t>
      </w:r>
    </w:p>
    <w:p w14:paraId="25627757">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GB 11244-2005中5.1规定的方法进行检测。应符合2.2.9的要求。</w:t>
      </w:r>
    </w:p>
    <w:p w14:paraId="01F33D1B">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3.2.</w:t>
      </w:r>
      <w:r>
        <w:rPr>
          <w:rFonts w:hint="eastAsia" w:ascii="Times New Roman" w:hAnsi="Times New Roman" w:eastAsia="仿宋_GB2312" w:cs="Times New Roman"/>
          <w:sz w:val="32"/>
          <w:szCs w:val="32"/>
        </w:rPr>
        <w:t>7</w:t>
      </w:r>
      <w:r>
        <w:rPr>
          <w:rFonts w:ascii="Times New Roman" w:hAnsi="Times New Roman" w:eastAsia="仿宋_GB2312" w:cs="Times New Roman"/>
          <w:sz w:val="32"/>
          <w:szCs w:val="32"/>
        </w:rPr>
        <w:t>可重复消毒或灭菌产品的耐受性</w:t>
      </w:r>
    </w:p>
    <w:p w14:paraId="202E690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按照使用说明书规定的消毒或灭菌方法重复</w:t>
      </w:r>
      <w:r>
        <w:rPr>
          <w:rFonts w:ascii="Times New Roman" w:hAnsi="Times New Roman" w:eastAsia="仿宋_GB2312" w:cs="Times New Roman"/>
          <w:sz w:val="32"/>
          <w:szCs w:val="32"/>
        </w:rPr>
        <w:t>20次试验，对于浸泡消毒的方法，可按20倍使用说明书规定的浸泡时间来试验检验，结果应符合2.2.10</w:t>
      </w:r>
      <w:r>
        <w:rPr>
          <w:rFonts w:hint="eastAsia" w:ascii="Times New Roman" w:hAnsi="Times New Roman" w:eastAsia="仿宋_GB2312" w:cs="Times New Roman"/>
          <w:sz w:val="32"/>
          <w:szCs w:val="32"/>
        </w:rPr>
        <w:t>的要求。</w:t>
      </w:r>
    </w:p>
    <w:p w14:paraId="374BFCF6">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3.2.</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电气安全性能</w:t>
      </w:r>
    </w:p>
    <w:p w14:paraId="1BD04AA7">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w:t>
      </w:r>
      <w:r>
        <w:rPr>
          <w:rFonts w:ascii="Times New Roman" w:hAnsi="Times New Roman" w:eastAsia="仿宋_GB2312" w:cs="Times New Roman"/>
          <w:sz w:val="32"/>
          <w:szCs w:val="32"/>
        </w:rPr>
        <w:t>YY0068.4-2009、GB 9706.1-2007、GB 9706.19-2000规定的方法进行检测，结果应符合2.2.11</w:t>
      </w:r>
      <w:r>
        <w:rPr>
          <w:rFonts w:hint="eastAsia" w:ascii="Times New Roman" w:hAnsi="Times New Roman" w:eastAsia="仿宋_GB2312" w:cs="Times New Roman"/>
          <w:sz w:val="32"/>
          <w:szCs w:val="32"/>
        </w:rPr>
        <w:t>的要求。</w:t>
      </w:r>
    </w:p>
    <w:p w14:paraId="1F120033">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3.2.</w:t>
      </w: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环境试验</w:t>
      </w:r>
    </w:p>
    <w:p w14:paraId="555E83BE">
      <w:pPr>
        <w:tabs>
          <w:tab w:val="left" w:pos="720"/>
        </w:tabs>
        <w:autoSpaceDE w:val="0"/>
        <w:autoSpaceDN w:val="0"/>
        <w:adjustRightInd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按附录</w:t>
      </w:r>
      <w:r>
        <w:rPr>
          <w:rFonts w:ascii="Times New Roman" w:hAnsi="Times New Roman" w:eastAsia="仿宋_GB2312" w:cs="Times New Roman"/>
          <w:sz w:val="32"/>
          <w:szCs w:val="32"/>
        </w:rPr>
        <w:t>A</w:t>
      </w:r>
      <w:r>
        <w:rPr>
          <w:rFonts w:hint="eastAsia" w:ascii="Times New Roman" w:hAnsi="Times New Roman" w:eastAsia="仿宋_GB2312" w:cs="Times New Roman"/>
          <w:sz w:val="32"/>
          <w:szCs w:val="32"/>
        </w:rPr>
        <w:t>的要求试验，结果应符合</w:t>
      </w:r>
      <w:r>
        <w:rPr>
          <w:rFonts w:ascii="Times New Roman" w:hAnsi="Times New Roman" w:eastAsia="仿宋_GB2312" w:cs="Times New Roman"/>
          <w:sz w:val="32"/>
          <w:szCs w:val="32"/>
        </w:rPr>
        <w:t>2.2.12</w:t>
      </w:r>
      <w:r>
        <w:rPr>
          <w:rFonts w:hint="eastAsia" w:ascii="Times New Roman" w:hAnsi="Times New Roman" w:eastAsia="仿宋_GB2312" w:cs="Times New Roman"/>
          <w:sz w:val="32"/>
          <w:szCs w:val="32"/>
        </w:rPr>
        <w:t>的要求，如部分内窥镜有现行行业标准，则环境试验应按内窥镜行业标准中的方法进行试验。</w:t>
      </w:r>
    </w:p>
    <w:p w14:paraId="00CB4C3F">
      <w:pPr>
        <w:autoSpaceDE w:val="0"/>
        <w:autoSpaceDN w:val="0"/>
        <w:adjustRightInd w:val="0"/>
        <w:spacing w:line="520" w:lineRule="exact"/>
        <w:ind w:left="420" w:leftChars="200" w:firstLine="560" w:firstLineChars="200"/>
        <w:jc w:val="left"/>
        <w:rPr>
          <w:rFonts w:ascii="仿宋_GB2312" w:eastAsia="仿宋_GB2312"/>
          <w:sz w:val="28"/>
          <w:szCs w:val="28"/>
        </w:rPr>
      </w:pPr>
    </w:p>
    <w:p w14:paraId="2B5F97D6">
      <w:pPr>
        <w:autoSpaceDE w:val="0"/>
        <w:autoSpaceDN w:val="0"/>
        <w:adjustRightInd w:val="0"/>
        <w:spacing w:line="520" w:lineRule="exact"/>
        <w:ind w:left="420" w:leftChars="200" w:firstLine="560" w:firstLineChars="200"/>
        <w:jc w:val="center"/>
        <w:rPr>
          <w:rFonts w:ascii="仿宋" w:hAnsi="仿宋" w:eastAsia="仿宋"/>
          <w:sz w:val="28"/>
          <w:szCs w:val="28"/>
        </w:rPr>
      </w:pPr>
      <w:r>
        <w:rPr>
          <w:rFonts w:ascii="仿宋_GB2312" w:eastAsia="仿宋_GB2312"/>
          <w:sz w:val="28"/>
          <w:szCs w:val="28"/>
        </w:rPr>
        <w:br w:type="page"/>
      </w:r>
    </w:p>
    <w:p w14:paraId="1FEEE33D">
      <w:pPr>
        <w:spacing w:line="520" w:lineRule="exact"/>
        <w:rPr>
          <w:rFonts w:ascii="黑体" w:hAnsi="黑体" w:eastAsia="黑体"/>
          <w:sz w:val="32"/>
          <w:szCs w:val="32"/>
        </w:rPr>
      </w:pPr>
      <w:r>
        <w:rPr>
          <w:rFonts w:hint="eastAsia" w:ascii="黑体" w:hAnsi="黑体" w:eastAsia="黑体"/>
          <w:sz w:val="32"/>
          <w:szCs w:val="32"/>
        </w:rPr>
        <w:t>附录</w:t>
      </w:r>
      <w:bookmarkStart w:id="4" w:name="_Toc7512790"/>
      <w:bookmarkStart w:id="5" w:name="_Toc9916085"/>
      <w:bookmarkStart w:id="6" w:name="_Toc9919736"/>
      <w:bookmarkStart w:id="7" w:name="_Toc9915930"/>
      <w:bookmarkStart w:id="8" w:name="_Toc9916229"/>
      <w:bookmarkStart w:id="9" w:name="_Toc9666361"/>
      <w:bookmarkStart w:id="10" w:name="_Toc7491027"/>
      <w:r>
        <w:rPr>
          <w:rFonts w:ascii="黑体" w:hAnsi="黑体" w:eastAsia="黑体"/>
          <w:sz w:val="32"/>
          <w:szCs w:val="32"/>
        </w:rPr>
        <w:t>A</w:t>
      </w:r>
    </w:p>
    <w:p w14:paraId="6CF95C94">
      <w:pPr>
        <w:spacing w:line="520" w:lineRule="exact"/>
        <w:jc w:val="center"/>
        <w:rPr>
          <w:rFonts w:ascii="方正小标宋简体" w:hAnsi="仿宋" w:eastAsia="方正小标宋简体"/>
          <w:sz w:val="44"/>
          <w:szCs w:val="32"/>
        </w:rPr>
      </w:pPr>
      <w:r>
        <w:rPr>
          <w:rFonts w:hint="eastAsia" w:ascii="方正小标宋简体" w:hAnsi="仿宋" w:eastAsia="方正小标宋简体"/>
          <w:sz w:val="44"/>
          <w:szCs w:val="32"/>
        </w:rPr>
        <w:t>环境试验实施项目</w:t>
      </w:r>
      <w:bookmarkEnd w:id="4"/>
      <w:bookmarkEnd w:id="5"/>
      <w:bookmarkEnd w:id="6"/>
      <w:bookmarkEnd w:id="7"/>
      <w:bookmarkEnd w:id="8"/>
      <w:bookmarkEnd w:id="9"/>
      <w:bookmarkEnd w:id="10"/>
      <w:bookmarkStart w:id="11" w:name="DWFLB"/>
      <w:bookmarkEnd w:id="11"/>
    </w:p>
    <w:p w14:paraId="622F72A3">
      <w:pPr>
        <w:spacing w:line="520" w:lineRule="exact"/>
        <w:ind w:left="981" w:leftChars="467"/>
        <w:jc w:val="center"/>
        <w:rPr>
          <w:rFonts w:ascii="仿宋" w:hAnsi="仿宋" w:eastAsia="仿宋"/>
          <w:sz w:val="24"/>
          <w:szCs w:val="24"/>
        </w:rPr>
      </w:pPr>
    </w:p>
    <w:p w14:paraId="00B18E69">
      <w:pPr>
        <w:spacing w:line="520" w:lineRule="exact"/>
        <w:jc w:val="center"/>
        <w:rPr>
          <w:rFonts w:ascii="仿宋" w:hAnsi="仿宋" w:eastAsia="仿宋" w:cs="Arial"/>
          <w:sz w:val="28"/>
          <w:szCs w:val="28"/>
        </w:rPr>
      </w:pPr>
      <w:r>
        <w:rPr>
          <w:rFonts w:hint="eastAsia" w:ascii="仿宋" w:hAnsi="仿宋" w:eastAsia="仿宋" w:cs="Arial"/>
          <w:sz w:val="28"/>
          <w:szCs w:val="28"/>
        </w:rPr>
        <w:t>表A.1  环境试验实施项目表</w:t>
      </w:r>
    </w:p>
    <w:tbl>
      <w:tblPr>
        <w:tblStyle w:val="10"/>
        <w:tblW w:w="10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885"/>
        <w:gridCol w:w="787"/>
        <w:gridCol w:w="709"/>
        <w:gridCol w:w="1788"/>
        <w:gridCol w:w="868"/>
        <w:gridCol w:w="1105"/>
        <w:gridCol w:w="1064"/>
        <w:gridCol w:w="994"/>
        <w:gridCol w:w="996"/>
      </w:tblGrid>
      <w:tr w14:paraId="2AA1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282" w:type="dxa"/>
            <w:gridSpan w:val="10"/>
            <w:vAlign w:val="center"/>
          </w:tcPr>
          <w:p w14:paraId="2791F3B2">
            <w:pPr>
              <w:tabs>
                <w:tab w:val="left" w:pos="1423"/>
              </w:tabs>
              <w:adjustRightInd w:val="0"/>
              <w:spacing w:line="360" w:lineRule="exact"/>
              <w:jc w:val="center"/>
              <w:textAlignment w:val="baseline"/>
              <w:rPr>
                <w:rFonts w:asciiTheme="minorEastAsia" w:hAnsiTheme="minorEastAsia" w:eastAsiaTheme="minorEastAsia"/>
                <w:b/>
                <w:sz w:val="24"/>
                <w:szCs w:val="24"/>
                <w:highlight w:val="green"/>
              </w:rPr>
            </w:pPr>
            <w:r>
              <w:rPr>
                <w:rFonts w:hint="eastAsia" w:asciiTheme="minorEastAsia" w:hAnsiTheme="minorEastAsia" w:eastAsiaTheme="minorEastAsia"/>
                <w:b/>
                <w:sz w:val="24"/>
                <w:szCs w:val="24"/>
              </w:rPr>
              <w:t>GB/T 14710-2009环境试验要求及检验项目</w:t>
            </w:r>
          </w:p>
        </w:tc>
      </w:tr>
      <w:tr w14:paraId="3AFD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blHeader/>
          <w:jc w:val="center"/>
        </w:trPr>
        <w:tc>
          <w:tcPr>
            <w:tcW w:w="10282" w:type="dxa"/>
            <w:gridSpan w:val="10"/>
            <w:vAlign w:val="center"/>
          </w:tcPr>
          <w:p w14:paraId="417C504C">
            <w:pPr>
              <w:tabs>
                <w:tab w:val="left" w:pos="1423"/>
              </w:tabs>
              <w:adjustRightInd w:val="0"/>
              <w:spacing w:line="360" w:lineRule="exact"/>
              <w:textAlignment w:val="baseline"/>
              <w:rPr>
                <w:rFonts w:asciiTheme="minorEastAsia" w:hAnsiTheme="minorEastAsia" w:eastAsiaTheme="minorEastAsia"/>
                <w:b/>
                <w:sz w:val="24"/>
                <w:szCs w:val="24"/>
                <w:highlight w:val="green"/>
              </w:rPr>
            </w:pPr>
            <w:r>
              <w:rPr>
                <w:rFonts w:hint="eastAsia" w:asciiTheme="minorEastAsia" w:hAnsiTheme="minorEastAsia" w:eastAsiaTheme="minorEastAsia"/>
                <w:b/>
                <w:sz w:val="24"/>
                <w:szCs w:val="24"/>
              </w:rPr>
              <w:t>环境试验条件分组：气候环境条件  I  组，机械环境条件  I  组。</w:t>
            </w:r>
          </w:p>
        </w:tc>
      </w:tr>
      <w:tr w14:paraId="1766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blHeader/>
          <w:jc w:val="center"/>
        </w:trPr>
        <w:tc>
          <w:tcPr>
            <w:tcW w:w="1086" w:type="dxa"/>
            <w:vMerge w:val="restart"/>
            <w:vAlign w:val="center"/>
          </w:tcPr>
          <w:p w14:paraId="3105AF59">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试验</w:t>
            </w:r>
          </w:p>
          <w:p w14:paraId="162FB3C2">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项目</w:t>
            </w:r>
          </w:p>
        </w:tc>
        <w:tc>
          <w:tcPr>
            <w:tcW w:w="4169" w:type="dxa"/>
            <w:gridSpan w:val="4"/>
            <w:vAlign w:val="center"/>
          </w:tcPr>
          <w:p w14:paraId="488902D9">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试验要求</w:t>
            </w:r>
          </w:p>
        </w:tc>
        <w:tc>
          <w:tcPr>
            <w:tcW w:w="5027" w:type="dxa"/>
            <w:gridSpan w:val="5"/>
            <w:vAlign w:val="center"/>
          </w:tcPr>
          <w:p w14:paraId="5B1DE4BE">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检验项目</w:t>
            </w:r>
          </w:p>
        </w:tc>
      </w:tr>
      <w:tr w14:paraId="1F42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86" w:type="dxa"/>
            <w:vMerge w:val="continue"/>
            <w:vAlign w:val="center"/>
          </w:tcPr>
          <w:p w14:paraId="56BFCCF9">
            <w:pPr>
              <w:tabs>
                <w:tab w:val="left" w:pos="1423"/>
              </w:tabs>
              <w:adjustRightInd w:val="0"/>
              <w:spacing w:line="360" w:lineRule="exact"/>
              <w:jc w:val="center"/>
              <w:textAlignment w:val="baseline"/>
              <w:rPr>
                <w:rFonts w:asciiTheme="minorEastAsia" w:hAnsiTheme="minorEastAsia" w:eastAsiaTheme="minorEastAsia"/>
                <w:b/>
                <w:sz w:val="24"/>
                <w:szCs w:val="24"/>
              </w:rPr>
            </w:pPr>
          </w:p>
        </w:tc>
        <w:tc>
          <w:tcPr>
            <w:tcW w:w="885" w:type="dxa"/>
            <w:vMerge w:val="restart"/>
            <w:vAlign w:val="center"/>
          </w:tcPr>
          <w:p w14:paraId="19C2DB05">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持续</w:t>
            </w:r>
          </w:p>
          <w:p w14:paraId="7A715DD6">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时间</w:t>
            </w:r>
          </w:p>
          <w:p w14:paraId="4322A6EB">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h</w:t>
            </w:r>
          </w:p>
        </w:tc>
        <w:tc>
          <w:tcPr>
            <w:tcW w:w="787" w:type="dxa"/>
            <w:vMerge w:val="restart"/>
            <w:vAlign w:val="center"/>
          </w:tcPr>
          <w:p w14:paraId="28BE2CB7">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恢复</w:t>
            </w:r>
          </w:p>
          <w:p w14:paraId="6795774E">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时间</w:t>
            </w:r>
          </w:p>
          <w:p w14:paraId="0EA7E921">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h</w:t>
            </w:r>
          </w:p>
        </w:tc>
        <w:tc>
          <w:tcPr>
            <w:tcW w:w="709" w:type="dxa"/>
            <w:vMerge w:val="restart"/>
            <w:vAlign w:val="center"/>
          </w:tcPr>
          <w:p w14:paraId="3FE356DB">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通电</w:t>
            </w:r>
          </w:p>
          <w:p w14:paraId="2D08A375">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状态</w:t>
            </w:r>
          </w:p>
        </w:tc>
        <w:tc>
          <w:tcPr>
            <w:tcW w:w="1788" w:type="dxa"/>
            <w:vMerge w:val="restart"/>
            <w:vAlign w:val="center"/>
          </w:tcPr>
          <w:p w14:paraId="18D89A03">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试验</w:t>
            </w:r>
          </w:p>
          <w:p w14:paraId="110DBCFB">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条件</w:t>
            </w:r>
          </w:p>
        </w:tc>
        <w:tc>
          <w:tcPr>
            <w:tcW w:w="868" w:type="dxa"/>
            <w:vMerge w:val="restart"/>
            <w:vAlign w:val="center"/>
          </w:tcPr>
          <w:p w14:paraId="130AE7A3">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初始</w:t>
            </w:r>
          </w:p>
          <w:p w14:paraId="1EEDCDA7">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检测</w:t>
            </w:r>
          </w:p>
        </w:tc>
        <w:tc>
          <w:tcPr>
            <w:tcW w:w="1105" w:type="dxa"/>
            <w:vMerge w:val="restart"/>
            <w:vAlign w:val="center"/>
          </w:tcPr>
          <w:p w14:paraId="617530D4">
            <w:pPr>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中间</w:t>
            </w:r>
          </w:p>
          <w:p w14:paraId="17D7549E">
            <w:pPr>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检测</w:t>
            </w:r>
          </w:p>
        </w:tc>
        <w:tc>
          <w:tcPr>
            <w:tcW w:w="1064" w:type="dxa"/>
            <w:vMerge w:val="restart"/>
            <w:vAlign w:val="center"/>
          </w:tcPr>
          <w:p w14:paraId="376BB82D">
            <w:pPr>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最后</w:t>
            </w:r>
          </w:p>
          <w:p w14:paraId="2F924D5D">
            <w:pPr>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检测</w:t>
            </w:r>
          </w:p>
        </w:tc>
        <w:tc>
          <w:tcPr>
            <w:tcW w:w="1990" w:type="dxa"/>
            <w:gridSpan w:val="2"/>
            <w:vAlign w:val="center"/>
          </w:tcPr>
          <w:p w14:paraId="4416DA19">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电源电压  V</w:t>
            </w:r>
          </w:p>
        </w:tc>
      </w:tr>
      <w:tr w14:paraId="617D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86" w:type="dxa"/>
            <w:vMerge w:val="continue"/>
            <w:vAlign w:val="center"/>
          </w:tcPr>
          <w:p w14:paraId="39F09908">
            <w:pPr>
              <w:tabs>
                <w:tab w:val="left" w:pos="1423"/>
              </w:tabs>
              <w:adjustRightInd w:val="0"/>
              <w:spacing w:line="360" w:lineRule="exact"/>
              <w:jc w:val="center"/>
              <w:textAlignment w:val="baseline"/>
              <w:rPr>
                <w:rFonts w:asciiTheme="minorEastAsia" w:hAnsiTheme="minorEastAsia" w:eastAsiaTheme="minorEastAsia"/>
                <w:b/>
                <w:sz w:val="24"/>
                <w:szCs w:val="24"/>
              </w:rPr>
            </w:pPr>
          </w:p>
        </w:tc>
        <w:tc>
          <w:tcPr>
            <w:tcW w:w="885" w:type="dxa"/>
            <w:vMerge w:val="continue"/>
            <w:vAlign w:val="center"/>
          </w:tcPr>
          <w:p w14:paraId="2B76A96D">
            <w:pPr>
              <w:tabs>
                <w:tab w:val="left" w:pos="1423"/>
              </w:tabs>
              <w:adjustRightInd w:val="0"/>
              <w:spacing w:line="360" w:lineRule="exact"/>
              <w:jc w:val="center"/>
              <w:textAlignment w:val="baseline"/>
              <w:rPr>
                <w:rFonts w:asciiTheme="minorEastAsia" w:hAnsiTheme="minorEastAsia" w:eastAsiaTheme="minorEastAsia"/>
                <w:b/>
                <w:sz w:val="24"/>
                <w:szCs w:val="24"/>
              </w:rPr>
            </w:pPr>
          </w:p>
        </w:tc>
        <w:tc>
          <w:tcPr>
            <w:tcW w:w="787" w:type="dxa"/>
            <w:vMerge w:val="continue"/>
            <w:vAlign w:val="center"/>
          </w:tcPr>
          <w:p w14:paraId="030EA7C3">
            <w:pPr>
              <w:tabs>
                <w:tab w:val="left" w:pos="1423"/>
              </w:tabs>
              <w:adjustRightInd w:val="0"/>
              <w:spacing w:line="360" w:lineRule="exact"/>
              <w:jc w:val="center"/>
              <w:textAlignment w:val="baseline"/>
              <w:rPr>
                <w:rFonts w:asciiTheme="minorEastAsia" w:hAnsiTheme="minorEastAsia" w:eastAsiaTheme="minorEastAsia"/>
                <w:b/>
                <w:sz w:val="24"/>
                <w:szCs w:val="24"/>
              </w:rPr>
            </w:pPr>
          </w:p>
        </w:tc>
        <w:tc>
          <w:tcPr>
            <w:tcW w:w="709" w:type="dxa"/>
            <w:vMerge w:val="continue"/>
            <w:vAlign w:val="center"/>
          </w:tcPr>
          <w:p w14:paraId="6037B350">
            <w:pPr>
              <w:tabs>
                <w:tab w:val="left" w:pos="1423"/>
              </w:tabs>
              <w:adjustRightInd w:val="0"/>
              <w:spacing w:line="360" w:lineRule="exact"/>
              <w:jc w:val="center"/>
              <w:textAlignment w:val="baseline"/>
              <w:rPr>
                <w:rFonts w:asciiTheme="minorEastAsia" w:hAnsiTheme="minorEastAsia" w:eastAsiaTheme="minorEastAsia"/>
                <w:b/>
                <w:sz w:val="24"/>
                <w:szCs w:val="24"/>
              </w:rPr>
            </w:pPr>
          </w:p>
        </w:tc>
        <w:tc>
          <w:tcPr>
            <w:tcW w:w="1788" w:type="dxa"/>
            <w:vMerge w:val="continue"/>
            <w:vAlign w:val="center"/>
          </w:tcPr>
          <w:p w14:paraId="73A90DE0">
            <w:pPr>
              <w:tabs>
                <w:tab w:val="left" w:pos="1423"/>
              </w:tabs>
              <w:adjustRightInd w:val="0"/>
              <w:spacing w:line="360" w:lineRule="exact"/>
              <w:jc w:val="center"/>
              <w:textAlignment w:val="baseline"/>
              <w:rPr>
                <w:rFonts w:asciiTheme="minorEastAsia" w:hAnsiTheme="minorEastAsia" w:eastAsiaTheme="minorEastAsia"/>
                <w:b/>
                <w:sz w:val="24"/>
                <w:szCs w:val="24"/>
              </w:rPr>
            </w:pPr>
          </w:p>
        </w:tc>
        <w:tc>
          <w:tcPr>
            <w:tcW w:w="868" w:type="dxa"/>
            <w:vMerge w:val="continue"/>
            <w:vAlign w:val="center"/>
          </w:tcPr>
          <w:p w14:paraId="22F85421">
            <w:pPr>
              <w:tabs>
                <w:tab w:val="left" w:pos="1423"/>
              </w:tabs>
              <w:adjustRightInd w:val="0"/>
              <w:spacing w:line="360" w:lineRule="exact"/>
              <w:jc w:val="center"/>
              <w:textAlignment w:val="baseline"/>
              <w:rPr>
                <w:rFonts w:asciiTheme="minorEastAsia" w:hAnsiTheme="minorEastAsia" w:eastAsiaTheme="minorEastAsia"/>
                <w:b/>
                <w:sz w:val="24"/>
                <w:szCs w:val="24"/>
              </w:rPr>
            </w:pPr>
          </w:p>
        </w:tc>
        <w:tc>
          <w:tcPr>
            <w:tcW w:w="1105" w:type="dxa"/>
            <w:vMerge w:val="continue"/>
            <w:vAlign w:val="center"/>
          </w:tcPr>
          <w:p w14:paraId="66929155">
            <w:pPr>
              <w:adjustRightInd w:val="0"/>
              <w:spacing w:line="360" w:lineRule="exact"/>
              <w:jc w:val="center"/>
              <w:textAlignment w:val="baseline"/>
              <w:rPr>
                <w:rFonts w:asciiTheme="minorEastAsia" w:hAnsiTheme="minorEastAsia" w:eastAsiaTheme="minorEastAsia"/>
                <w:b/>
                <w:sz w:val="24"/>
                <w:szCs w:val="24"/>
              </w:rPr>
            </w:pPr>
          </w:p>
        </w:tc>
        <w:tc>
          <w:tcPr>
            <w:tcW w:w="1064" w:type="dxa"/>
            <w:vMerge w:val="continue"/>
            <w:vAlign w:val="center"/>
          </w:tcPr>
          <w:p w14:paraId="44ACBDDE">
            <w:pPr>
              <w:adjustRightInd w:val="0"/>
              <w:spacing w:line="360" w:lineRule="exact"/>
              <w:jc w:val="center"/>
              <w:textAlignment w:val="baseline"/>
              <w:rPr>
                <w:rFonts w:asciiTheme="minorEastAsia" w:hAnsiTheme="minorEastAsia" w:eastAsiaTheme="minorEastAsia"/>
                <w:b/>
                <w:sz w:val="24"/>
                <w:szCs w:val="24"/>
              </w:rPr>
            </w:pPr>
          </w:p>
        </w:tc>
        <w:tc>
          <w:tcPr>
            <w:tcW w:w="994" w:type="dxa"/>
            <w:vAlign w:val="center"/>
          </w:tcPr>
          <w:p w14:paraId="2804EFF1">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额定值</w:t>
            </w:r>
          </w:p>
          <w:p w14:paraId="15E03010">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-10%</w:t>
            </w:r>
          </w:p>
        </w:tc>
        <w:tc>
          <w:tcPr>
            <w:tcW w:w="996" w:type="dxa"/>
            <w:vAlign w:val="center"/>
          </w:tcPr>
          <w:p w14:paraId="79FA9109">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额定值</w:t>
            </w:r>
          </w:p>
          <w:p w14:paraId="4160D5A2">
            <w:pPr>
              <w:tabs>
                <w:tab w:val="left" w:pos="1423"/>
              </w:tabs>
              <w:adjustRightInd w:val="0"/>
              <w:spacing w:line="360" w:lineRule="exact"/>
              <w:jc w:val="center"/>
              <w:textAlignment w:val="baseline"/>
              <w:rPr>
                <w:rFonts w:asciiTheme="minorEastAsia" w:hAnsiTheme="minorEastAsia" w:eastAsiaTheme="minorEastAsia"/>
                <w:b/>
                <w:sz w:val="24"/>
                <w:szCs w:val="24"/>
              </w:rPr>
            </w:pPr>
            <w:r>
              <w:rPr>
                <w:rFonts w:hint="eastAsia" w:asciiTheme="minorEastAsia" w:hAnsiTheme="minorEastAsia" w:eastAsiaTheme="minorEastAsia"/>
                <w:b/>
                <w:sz w:val="24"/>
                <w:szCs w:val="24"/>
              </w:rPr>
              <w:t>+10%</w:t>
            </w:r>
          </w:p>
        </w:tc>
      </w:tr>
      <w:tr w14:paraId="0100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14:paraId="7F4A879C">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额定工作低温试验</w:t>
            </w:r>
          </w:p>
        </w:tc>
        <w:tc>
          <w:tcPr>
            <w:tcW w:w="885" w:type="dxa"/>
            <w:vAlign w:val="center"/>
          </w:tcPr>
          <w:p w14:paraId="1C616F48">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787" w:type="dxa"/>
            <w:vAlign w:val="center"/>
          </w:tcPr>
          <w:p w14:paraId="55857955">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709" w:type="dxa"/>
            <w:vAlign w:val="center"/>
          </w:tcPr>
          <w:p w14:paraId="0266ED43">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788" w:type="dxa"/>
            <w:vAlign w:val="center"/>
          </w:tcPr>
          <w:p w14:paraId="187F1D0E">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10℃</w:t>
            </w:r>
          </w:p>
        </w:tc>
        <w:tc>
          <w:tcPr>
            <w:tcW w:w="868" w:type="dxa"/>
            <w:vAlign w:val="center"/>
          </w:tcPr>
          <w:p w14:paraId="21DA0317">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全项目</w:t>
            </w:r>
          </w:p>
        </w:tc>
        <w:tc>
          <w:tcPr>
            <w:tcW w:w="1105" w:type="dxa"/>
            <w:vAlign w:val="center"/>
          </w:tcPr>
          <w:p w14:paraId="15C3BF5B">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2.1.11、2.2.9</w:t>
            </w:r>
          </w:p>
        </w:tc>
        <w:tc>
          <w:tcPr>
            <w:tcW w:w="1064" w:type="dxa"/>
            <w:vAlign w:val="center"/>
          </w:tcPr>
          <w:p w14:paraId="2B64ABBD">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990" w:type="dxa"/>
            <w:gridSpan w:val="2"/>
            <w:vAlign w:val="center"/>
          </w:tcPr>
          <w:p w14:paraId="1F333CD2">
            <w:pPr>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14:paraId="3711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14:paraId="5494214C">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低温贮存试验</w:t>
            </w:r>
          </w:p>
        </w:tc>
        <w:tc>
          <w:tcPr>
            <w:tcW w:w="885" w:type="dxa"/>
            <w:vAlign w:val="center"/>
          </w:tcPr>
          <w:p w14:paraId="3BE5B14A">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4</w:t>
            </w:r>
          </w:p>
        </w:tc>
        <w:tc>
          <w:tcPr>
            <w:tcW w:w="787" w:type="dxa"/>
            <w:vAlign w:val="center"/>
          </w:tcPr>
          <w:p w14:paraId="41F2AC25">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5</w:t>
            </w:r>
          </w:p>
        </w:tc>
        <w:tc>
          <w:tcPr>
            <w:tcW w:w="709" w:type="dxa"/>
            <w:vAlign w:val="center"/>
          </w:tcPr>
          <w:p w14:paraId="6EAE2798">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788" w:type="dxa"/>
            <w:vAlign w:val="center"/>
          </w:tcPr>
          <w:p w14:paraId="485686DD">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-40℃</w:t>
            </w:r>
          </w:p>
        </w:tc>
        <w:tc>
          <w:tcPr>
            <w:tcW w:w="868" w:type="dxa"/>
            <w:vAlign w:val="center"/>
          </w:tcPr>
          <w:p w14:paraId="46DE2EAA">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105" w:type="dxa"/>
            <w:vAlign w:val="center"/>
          </w:tcPr>
          <w:p w14:paraId="671675BD">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064" w:type="dxa"/>
            <w:vAlign w:val="center"/>
          </w:tcPr>
          <w:p w14:paraId="13599F94">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2.1.11、2.2.9</w:t>
            </w:r>
          </w:p>
        </w:tc>
        <w:tc>
          <w:tcPr>
            <w:tcW w:w="1990" w:type="dxa"/>
            <w:gridSpan w:val="2"/>
            <w:vAlign w:val="center"/>
          </w:tcPr>
          <w:p w14:paraId="76D8DF85">
            <w:pPr>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14:paraId="229F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14:paraId="31976D03">
            <w:pPr>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额定工作高温试验</w:t>
            </w:r>
          </w:p>
        </w:tc>
        <w:tc>
          <w:tcPr>
            <w:tcW w:w="885" w:type="dxa"/>
            <w:vAlign w:val="center"/>
          </w:tcPr>
          <w:p w14:paraId="6CDA5A1F">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787" w:type="dxa"/>
            <w:vAlign w:val="center"/>
          </w:tcPr>
          <w:p w14:paraId="2EE6C6EF">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709" w:type="dxa"/>
            <w:vAlign w:val="center"/>
          </w:tcPr>
          <w:p w14:paraId="56B9DF27">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788" w:type="dxa"/>
            <w:vAlign w:val="center"/>
          </w:tcPr>
          <w:p w14:paraId="0213E09E">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30℃</w:t>
            </w:r>
          </w:p>
        </w:tc>
        <w:tc>
          <w:tcPr>
            <w:tcW w:w="868" w:type="dxa"/>
            <w:vAlign w:val="center"/>
          </w:tcPr>
          <w:p w14:paraId="48FAC56C">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105" w:type="dxa"/>
            <w:vAlign w:val="center"/>
          </w:tcPr>
          <w:p w14:paraId="164ADC7C">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2.1.11、2.2.9</w:t>
            </w:r>
          </w:p>
        </w:tc>
        <w:tc>
          <w:tcPr>
            <w:tcW w:w="1064" w:type="dxa"/>
            <w:vAlign w:val="center"/>
          </w:tcPr>
          <w:p w14:paraId="0D6457B2">
            <w:pPr>
              <w:spacing w:line="32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990" w:type="dxa"/>
            <w:gridSpan w:val="2"/>
            <w:vAlign w:val="center"/>
          </w:tcPr>
          <w:p w14:paraId="11FFDF36">
            <w:pPr>
              <w:spacing w:line="32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14:paraId="3E62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14:paraId="36434656">
            <w:pPr>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高温贮存试验</w:t>
            </w:r>
          </w:p>
        </w:tc>
        <w:tc>
          <w:tcPr>
            <w:tcW w:w="885" w:type="dxa"/>
            <w:vAlign w:val="center"/>
          </w:tcPr>
          <w:p w14:paraId="7706B17F">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4</w:t>
            </w:r>
          </w:p>
        </w:tc>
        <w:tc>
          <w:tcPr>
            <w:tcW w:w="787" w:type="dxa"/>
            <w:vAlign w:val="center"/>
          </w:tcPr>
          <w:p w14:paraId="40C5C63E">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5</w:t>
            </w:r>
          </w:p>
        </w:tc>
        <w:tc>
          <w:tcPr>
            <w:tcW w:w="709" w:type="dxa"/>
            <w:vAlign w:val="center"/>
          </w:tcPr>
          <w:p w14:paraId="2250764D">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788" w:type="dxa"/>
            <w:vAlign w:val="center"/>
          </w:tcPr>
          <w:p w14:paraId="1277297C">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55℃</w:t>
            </w:r>
          </w:p>
        </w:tc>
        <w:tc>
          <w:tcPr>
            <w:tcW w:w="868" w:type="dxa"/>
            <w:vAlign w:val="center"/>
          </w:tcPr>
          <w:p w14:paraId="1AC7DDB4">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105" w:type="dxa"/>
            <w:vAlign w:val="center"/>
          </w:tcPr>
          <w:p w14:paraId="39788074">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064" w:type="dxa"/>
            <w:vAlign w:val="center"/>
          </w:tcPr>
          <w:p w14:paraId="2818F045">
            <w:pPr>
              <w:spacing w:line="32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2.1.11、2.2.9</w:t>
            </w:r>
          </w:p>
        </w:tc>
        <w:tc>
          <w:tcPr>
            <w:tcW w:w="1990" w:type="dxa"/>
            <w:gridSpan w:val="2"/>
            <w:vAlign w:val="center"/>
          </w:tcPr>
          <w:p w14:paraId="3F5F5B00">
            <w:pPr>
              <w:spacing w:line="32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14:paraId="3EBAA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14:paraId="2F5760EC">
            <w:pPr>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额定工作湿热试验</w:t>
            </w:r>
          </w:p>
        </w:tc>
        <w:tc>
          <w:tcPr>
            <w:tcW w:w="885" w:type="dxa"/>
            <w:vAlign w:val="center"/>
          </w:tcPr>
          <w:p w14:paraId="30EA740C">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4</w:t>
            </w:r>
          </w:p>
        </w:tc>
        <w:tc>
          <w:tcPr>
            <w:tcW w:w="787" w:type="dxa"/>
            <w:vAlign w:val="center"/>
          </w:tcPr>
          <w:p w14:paraId="54658011">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709" w:type="dxa"/>
            <w:vAlign w:val="center"/>
          </w:tcPr>
          <w:p w14:paraId="5E34D1A9">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788" w:type="dxa"/>
            <w:vAlign w:val="center"/>
          </w:tcPr>
          <w:p w14:paraId="031CF473">
            <w:pPr>
              <w:tabs>
                <w:tab w:val="left" w:pos="1423"/>
              </w:tabs>
              <w:adjustRightInd w:val="0"/>
              <w:spacing w:line="320" w:lineRule="exact"/>
              <w:textAlignment w:val="baseline"/>
              <w:rPr>
                <w:rFonts w:asciiTheme="minorEastAsia" w:hAnsiTheme="minorEastAsia" w:eastAsiaTheme="minorEastAsia"/>
                <w:spacing w:val="-6"/>
                <w:sz w:val="24"/>
                <w:szCs w:val="24"/>
              </w:rPr>
            </w:pPr>
            <w:r>
              <w:rPr>
                <w:rFonts w:hint="eastAsia" w:asciiTheme="minorEastAsia" w:hAnsiTheme="minorEastAsia" w:eastAsiaTheme="minorEastAsia"/>
                <w:spacing w:val="-6"/>
                <w:sz w:val="24"/>
                <w:szCs w:val="24"/>
              </w:rPr>
              <w:t>温度：30℃</w:t>
            </w:r>
          </w:p>
          <w:p w14:paraId="6F183574">
            <w:pPr>
              <w:tabs>
                <w:tab w:val="left" w:pos="1423"/>
              </w:tabs>
              <w:adjustRightInd w:val="0"/>
              <w:spacing w:line="320" w:lineRule="exact"/>
              <w:textAlignment w:val="baseline"/>
              <w:rPr>
                <w:rFonts w:asciiTheme="minorEastAsia" w:hAnsiTheme="minorEastAsia" w:eastAsiaTheme="minorEastAsia"/>
                <w:spacing w:val="-6"/>
                <w:sz w:val="24"/>
                <w:szCs w:val="24"/>
              </w:rPr>
            </w:pPr>
            <w:r>
              <w:rPr>
                <w:rFonts w:hint="eastAsia" w:asciiTheme="minorEastAsia" w:hAnsiTheme="minorEastAsia" w:eastAsiaTheme="minorEastAsia"/>
                <w:spacing w:val="-6"/>
                <w:sz w:val="24"/>
                <w:szCs w:val="24"/>
              </w:rPr>
              <w:t>湿度：70%±3﹪</w:t>
            </w:r>
          </w:p>
        </w:tc>
        <w:tc>
          <w:tcPr>
            <w:tcW w:w="868" w:type="dxa"/>
            <w:vAlign w:val="center"/>
          </w:tcPr>
          <w:p w14:paraId="43EC927A">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105" w:type="dxa"/>
            <w:vAlign w:val="center"/>
          </w:tcPr>
          <w:p w14:paraId="6E093013">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2.1.11、2.2.9</w:t>
            </w:r>
          </w:p>
        </w:tc>
        <w:tc>
          <w:tcPr>
            <w:tcW w:w="1064" w:type="dxa"/>
            <w:vAlign w:val="center"/>
          </w:tcPr>
          <w:p w14:paraId="012252CF">
            <w:pPr>
              <w:spacing w:line="32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990" w:type="dxa"/>
            <w:gridSpan w:val="2"/>
            <w:vAlign w:val="center"/>
          </w:tcPr>
          <w:p w14:paraId="61C23C20">
            <w:pPr>
              <w:spacing w:line="32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14:paraId="1D56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14:paraId="6CBCF499">
            <w:pPr>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湿热贮存试验</w:t>
            </w:r>
          </w:p>
        </w:tc>
        <w:tc>
          <w:tcPr>
            <w:tcW w:w="885" w:type="dxa"/>
            <w:vAlign w:val="center"/>
          </w:tcPr>
          <w:p w14:paraId="71920603">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48</w:t>
            </w:r>
          </w:p>
        </w:tc>
        <w:tc>
          <w:tcPr>
            <w:tcW w:w="787" w:type="dxa"/>
            <w:vAlign w:val="center"/>
          </w:tcPr>
          <w:p w14:paraId="07DB4EF8">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48</w:t>
            </w:r>
          </w:p>
        </w:tc>
        <w:tc>
          <w:tcPr>
            <w:tcW w:w="709" w:type="dxa"/>
            <w:vAlign w:val="center"/>
          </w:tcPr>
          <w:p w14:paraId="66D2E15B">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788" w:type="dxa"/>
            <w:vAlign w:val="center"/>
          </w:tcPr>
          <w:p w14:paraId="435D5A04">
            <w:pPr>
              <w:tabs>
                <w:tab w:val="left" w:pos="1423"/>
              </w:tabs>
              <w:adjustRightInd w:val="0"/>
              <w:spacing w:line="320" w:lineRule="exact"/>
              <w:textAlignment w:val="baseline"/>
              <w:rPr>
                <w:rFonts w:asciiTheme="minorEastAsia" w:hAnsiTheme="minorEastAsia" w:eastAsiaTheme="minorEastAsia"/>
                <w:spacing w:val="-6"/>
                <w:sz w:val="24"/>
                <w:szCs w:val="24"/>
              </w:rPr>
            </w:pPr>
            <w:r>
              <w:rPr>
                <w:rFonts w:hint="eastAsia" w:asciiTheme="minorEastAsia" w:hAnsiTheme="minorEastAsia" w:eastAsiaTheme="minorEastAsia"/>
                <w:spacing w:val="-6"/>
                <w:sz w:val="24"/>
                <w:szCs w:val="24"/>
              </w:rPr>
              <w:t>温度：40℃</w:t>
            </w:r>
          </w:p>
          <w:p w14:paraId="7153F689">
            <w:pPr>
              <w:tabs>
                <w:tab w:val="left" w:pos="1423"/>
              </w:tabs>
              <w:adjustRightInd w:val="0"/>
              <w:spacing w:line="320" w:lineRule="exact"/>
              <w:textAlignment w:val="baseline"/>
              <w:rPr>
                <w:rFonts w:asciiTheme="minorEastAsia" w:hAnsiTheme="minorEastAsia" w:eastAsiaTheme="minorEastAsia"/>
                <w:spacing w:val="-6"/>
                <w:sz w:val="24"/>
                <w:szCs w:val="24"/>
              </w:rPr>
            </w:pPr>
            <w:r>
              <w:rPr>
                <w:rFonts w:hint="eastAsia" w:asciiTheme="minorEastAsia" w:hAnsiTheme="minorEastAsia" w:eastAsiaTheme="minorEastAsia"/>
                <w:spacing w:val="-6"/>
                <w:sz w:val="24"/>
                <w:szCs w:val="24"/>
              </w:rPr>
              <w:t>湿度：93%±3﹪</w:t>
            </w:r>
          </w:p>
        </w:tc>
        <w:tc>
          <w:tcPr>
            <w:tcW w:w="868" w:type="dxa"/>
            <w:vAlign w:val="center"/>
          </w:tcPr>
          <w:p w14:paraId="746AA1D2">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105" w:type="dxa"/>
            <w:vAlign w:val="center"/>
          </w:tcPr>
          <w:p w14:paraId="69C2D24A">
            <w:pPr>
              <w:tabs>
                <w:tab w:val="left" w:pos="1423"/>
              </w:tabs>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064" w:type="dxa"/>
            <w:vAlign w:val="center"/>
          </w:tcPr>
          <w:p w14:paraId="2C89836C">
            <w:pPr>
              <w:spacing w:line="32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2.1.11、2.2.9</w:t>
            </w:r>
          </w:p>
        </w:tc>
        <w:tc>
          <w:tcPr>
            <w:tcW w:w="1990" w:type="dxa"/>
            <w:gridSpan w:val="2"/>
            <w:vAlign w:val="center"/>
          </w:tcPr>
          <w:p w14:paraId="1E0715DA">
            <w:pPr>
              <w:spacing w:line="32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14:paraId="27A4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14:paraId="236BDB97">
            <w:pPr>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振动试验</w:t>
            </w:r>
          </w:p>
        </w:tc>
        <w:tc>
          <w:tcPr>
            <w:tcW w:w="1672" w:type="dxa"/>
            <w:gridSpan w:val="2"/>
            <w:vAlign w:val="center"/>
          </w:tcPr>
          <w:p w14:paraId="3DE4F117">
            <w:pPr>
              <w:tabs>
                <w:tab w:val="left" w:pos="1423"/>
              </w:tabs>
              <w:adjustRightInd w:val="0"/>
              <w:spacing w:line="28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振动试验：频率循环范围：5Hz—20Hz—5Hz，振幅值：0.15mm，循环次数：10次，扫频速率：≤1倍频程/分,工作状态：非工作状态</w:t>
            </w:r>
          </w:p>
        </w:tc>
        <w:tc>
          <w:tcPr>
            <w:tcW w:w="709" w:type="dxa"/>
            <w:vAlign w:val="center"/>
          </w:tcPr>
          <w:p w14:paraId="4091724C">
            <w:pPr>
              <w:adjustRightInd w:val="0"/>
              <w:spacing w:line="28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788" w:type="dxa"/>
            <w:vAlign w:val="center"/>
          </w:tcPr>
          <w:p w14:paraId="46264442">
            <w:pPr>
              <w:tabs>
                <w:tab w:val="left" w:pos="1423"/>
              </w:tabs>
              <w:adjustRightInd w:val="0"/>
              <w:spacing w:line="28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基准试验条件</w:t>
            </w:r>
          </w:p>
        </w:tc>
        <w:tc>
          <w:tcPr>
            <w:tcW w:w="868" w:type="dxa"/>
            <w:vAlign w:val="center"/>
          </w:tcPr>
          <w:p w14:paraId="5BE38702">
            <w:pPr>
              <w:tabs>
                <w:tab w:val="left" w:pos="1423"/>
              </w:tabs>
              <w:adjustRightInd w:val="0"/>
              <w:spacing w:line="28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105" w:type="dxa"/>
            <w:vAlign w:val="center"/>
          </w:tcPr>
          <w:p w14:paraId="41C4C7EB">
            <w:pPr>
              <w:tabs>
                <w:tab w:val="left" w:pos="1423"/>
              </w:tabs>
              <w:adjustRightInd w:val="0"/>
              <w:spacing w:line="28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064" w:type="dxa"/>
            <w:vAlign w:val="center"/>
          </w:tcPr>
          <w:p w14:paraId="1322636F">
            <w:pPr>
              <w:tabs>
                <w:tab w:val="left" w:pos="1423"/>
              </w:tabs>
              <w:adjustRightInd w:val="0"/>
              <w:spacing w:line="280" w:lineRule="exact"/>
              <w:textAlignment w:val="baseline"/>
              <w:rPr>
                <w:rFonts w:asciiTheme="minorEastAsia" w:hAnsiTheme="minorEastAsia" w:eastAsiaTheme="minorEastAsia"/>
                <w:sz w:val="24"/>
                <w:szCs w:val="24"/>
              </w:rPr>
            </w:pPr>
            <w:r>
              <w:rPr>
                <w:rFonts w:asciiTheme="minorEastAsia" w:hAnsiTheme="minorEastAsia" w:eastAsiaTheme="minorEastAsia"/>
                <w:spacing w:val="-16"/>
                <w:sz w:val="24"/>
                <w:szCs w:val="24"/>
              </w:rPr>
              <w:t>2.1.1.1、2.1.1.2、</w:t>
            </w:r>
            <w:r>
              <w:rPr>
                <w:rFonts w:hint="eastAsia" w:asciiTheme="minorEastAsia" w:hAnsiTheme="minorEastAsia" w:eastAsiaTheme="minorEastAsia"/>
                <w:sz w:val="24"/>
                <w:szCs w:val="24"/>
              </w:rPr>
              <w:t xml:space="preserve">  2.1.11、</w:t>
            </w:r>
          </w:p>
          <w:p w14:paraId="2D838FC8">
            <w:pPr>
              <w:tabs>
                <w:tab w:val="left" w:pos="1423"/>
              </w:tabs>
              <w:adjustRightInd w:val="0"/>
              <w:spacing w:line="28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2.2.2</w:t>
            </w:r>
          </w:p>
          <w:p w14:paraId="0B502695">
            <w:pPr>
              <w:tabs>
                <w:tab w:val="left" w:pos="1423"/>
              </w:tabs>
              <w:adjustRightInd w:val="0"/>
              <w:spacing w:line="28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2.2.3</w:t>
            </w:r>
          </w:p>
          <w:p w14:paraId="0E3C38FF">
            <w:pPr>
              <w:tabs>
                <w:tab w:val="left" w:pos="1423"/>
              </w:tabs>
              <w:adjustRightInd w:val="0"/>
              <w:spacing w:line="28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2.2.4、2.2.9</w:t>
            </w:r>
          </w:p>
        </w:tc>
        <w:tc>
          <w:tcPr>
            <w:tcW w:w="1990" w:type="dxa"/>
            <w:gridSpan w:val="2"/>
            <w:vAlign w:val="center"/>
          </w:tcPr>
          <w:p w14:paraId="21E1FE72">
            <w:pPr>
              <w:spacing w:line="32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14:paraId="004B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2" w:type="dxa"/>
            <w:gridSpan w:val="10"/>
            <w:vAlign w:val="center"/>
          </w:tcPr>
          <w:p w14:paraId="25B7D9ED">
            <w:pPr>
              <w:adjustRightInd w:val="0"/>
              <w:spacing w:line="32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备注：基准试验条件，环境温度23℃±2℃，湿度45%—75%</w:t>
            </w:r>
          </w:p>
        </w:tc>
      </w:tr>
    </w:tbl>
    <w:p w14:paraId="73CB59AB">
      <w:pPr>
        <w:spacing w:line="540" w:lineRule="exact"/>
        <w:ind w:firstLine="640" w:firstLineChars="20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（九）</w:t>
      </w:r>
      <w:r>
        <w:rPr>
          <w:rFonts w:ascii="Times New Roman" w:hAnsi="Times New Roman" w:eastAsia="楷体_GB2312" w:cs="Times New Roman"/>
          <w:sz w:val="32"/>
          <w:szCs w:val="32"/>
        </w:rPr>
        <w:t>同一注册单元内注册检验代表产品确定原则</w:t>
      </w:r>
    </w:p>
    <w:p w14:paraId="3B5F9600">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注册检验代表产品的确定原则</w:t>
      </w:r>
    </w:p>
    <w:p w14:paraId="478098CA">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1.1注册检验代表产品应是同一注册单元内能够代表本单元内其他产品安全性和有效性的产品；</w:t>
      </w:r>
    </w:p>
    <w:p w14:paraId="5D916D0D">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1.2应考虑功能最齐全、结构最复杂、风险最高的产品；</w:t>
      </w:r>
    </w:p>
    <w:p w14:paraId="0E5B0563">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1.3如其他产品的主要性能与被检产品不一致，则该产品也应作为注册检验代表产品进行注册检验。</w:t>
      </w:r>
    </w:p>
    <w:p w14:paraId="615C3C24">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1.4一般情况下，同一注册单元内视向角不同选择最大值，视场角不同选择最大值和最小值，对不同内、外径和工作长度的产品，选择直径最小的和细长比（长度/直径）最大的进行检测，如含有工作通道的，直径应为插入部外径减去工作通道内径。角分辨力等光学性能指标选择要求最高的产品作为注册检验典型产品。</w:t>
      </w:r>
    </w:p>
    <w:p w14:paraId="4A38CE72">
      <w:pPr>
        <w:spacing w:line="540" w:lineRule="exact"/>
        <w:ind w:firstLine="640" w:firstLineChars="20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（十）产品生产制造相关要求</w:t>
      </w:r>
    </w:p>
    <w:p w14:paraId="6CF68D3A">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硬性光学内窥镜产品特殊工艺一般为：表面处理、激光焊接，关键工艺一般为：部件装配、内窥镜总装，过程控制点为：上光纤胶固化过程、封物镜端胶固化过程。</w:t>
      </w:r>
    </w:p>
    <w:p w14:paraId="29CB7804">
      <w:pPr>
        <w:spacing w:line="540" w:lineRule="exact"/>
        <w:ind w:firstLine="640" w:firstLineChars="20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（十一）产品的临床评价细化要求</w:t>
      </w:r>
    </w:p>
    <w:p w14:paraId="42E4D979">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尿道膀胱镜、宫腔镜、直肠镜、喉镜、鼻窦镜已经列入《免于进行临床试验的第二类医疗器械目录》中，应按该文件要求在临床评价资料中提供申报产品与《目录》中产品以及已上市产品的对比表和相应的支持性材料。提交的上述资料应能证明申报产品与《目录》所述的产品及已上市同品种产品具有等同性。若无法证明等同性，则应按照本指导原则其他要求开展相应工作。</w:t>
      </w:r>
    </w:p>
    <w:p w14:paraId="16597CA0">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（十二）产品的不良事件历史记录和产品召回</w:t>
      </w:r>
    </w:p>
    <w:p w14:paraId="6BBB77F3">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未见严重不良事件报道。根据国家食品药品监督管理局药品不良反应监测中心收集的硬性光学内窥镜医疗器械不良事件，常见硬性光学内窥镜在临床中出现的共同问题主要有以下几点：1. 操作失误：造成穿孔、出血等严重事件；2.电源故障：断电等突发事件；3.消毒不合格，传染其</w:t>
      </w:r>
      <w:r>
        <w:rPr>
          <w:rFonts w:hint="eastAsia" w:ascii="Times New Roman" w:hAnsi="Times New Roman" w:eastAsia="仿宋_GB2312" w:cs="Times New Roman"/>
          <w:sz w:val="32"/>
          <w:szCs w:val="32"/>
        </w:rPr>
        <w:t>他</w:t>
      </w:r>
      <w:r>
        <w:rPr>
          <w:rFonts w:ascii="Times New Roman" w:hAnsi="Times New Roman" w:eastAsia="仿宋_GB2312" w:cs="Times New Roman"/>
          <w:sz w:val="32"/>
          <w:szCs w:val="32"/>
        </w:rPr>
        <w:t>疾病。</w:t>
      </w:r>
    </w:p>
    <w:p w14:paraId="037D1288">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如产品发生不良事件，在延续注册中，应当提交医疗器械不良事件汇总分析评价报告，报告应对本产品上市后发生的可疑不良事件列表、说明在每一种情况下注册申请人采取的处理和解决方案。对上述不良事件进行分析评价，阐明不良事件发生的原因并对其安全性、有效性的影响予以说明。如产品上市后发生了召回，应当说明召回原因、过程和处理结果。</w:t>
      </w:r>
    </w:p>
    <w:p w14:paraId="512BB793">
      <w:pPr>
        <w:spacing w:line="520" w:lineRule="exact"/>
        <w:ind w:firstLine="640" w:firstLineChars="20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（十三）产品说明书和标签要求</w:t>
      </w:r>
    </w:p>
    <w:p w14:paraId="51D8CD76">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具体产品说明书、标签的编写要求应符合《医疗器械说明书和标签管理规定》（总局令第</w:t>
      </w:r>
      <w:r>
        <w:rPr>
          <w:rFonts w:ascii="Times New Roman" w:hAnsi="Times New Roman" w:eastAsia="仿宋_GB2312" w:cs="Times New Roman"/>
          <w:sz w:val="32"/>
          <w:szCs w:val="32"/>
        </w:rPr>
        <w:t>6号）</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GB9706.1-2007《医用电气设备第1</w:t>
      </w:r>
      <w:r>
        <w:rPr>
          <w:rFonts w:hint="eastAsia" w:ascii="Times New Roman" w:hAnsi="Times New Roman" w:eastAsia="仿宋_GB2312" w:cs="Times New Roman"/>
          <w:sz w:val="32"/>
          <w:szCs w:val="32"/>
        </w:rPr>
        <w:t>部分：安全通用要求》、</w:t>
      </w:r>
      <w:r>
        <w:rPr>
          <w:rFonts w:ascii="Times New Roman" w:hAnsi="Times New Roman" w:eastAsia="仿宋_GB2312" w:cs="Times New Roman"/>
          <w:sz w:val="32"/>
          <w:szCs w:val="32"/>
        </w:rPr>
        <w:t>GB9706.19-2000</w:t>
      </w:r>
      <w:r>
        <w:rPr>
          <w:rFonts w:hint="eastAsia" w:ascii="Times New Roman" w:hAnsi="Times New Roman" w:eastAsia="仿宋_GB2312" w:cs="Times New Roman"/>
          <w:sz w:val="32"/>
          <w:szCs w:val="32"/>
        </w:rPr>
        <w:t>《医用电气设备第</w:t>
      </w:r>
      <w:r>
        <w:rPr>
          <w:rFonts w:ascii="Times New Roman" w:hAnsi="Times New Roman" w:eastAsia="仿宋_GB2312" w:cs="Times New Roman"/>
          <w:sz w:val="32"/>
          <w:szCs w:val="32"/>
        </w:rPr>
        <w:t>2部分：</w:t>
      </w:r>
      <w:r>
        <w:rPr>
          <w:rFonts w:hint="eastAsia" w:ascii="Times New Roman" w:hAnsi="Times New Roman" w:eastAsia="仿宋_GB2312" w:cs="Times New Roman"/>
          <w:sz w:val="32"/>
          <w:szCs w:val="32"/>
        </w:rPr>
        <w:t>内窥镜设备安全专用要求》、</w:t>
      </w:r>
      <w:r>
        <w:rPr>
          <w:rFonts w:ascii="Times New Roman" w:hAnsi="Times New Roman" w:eastAsia="仿宋_GB2312" w:cs="Times New Roman"/>
          <w:sz w:val="32"/>
          <w:szCs w:val="32"/>
        </w:rPr>
        <w:t xml:space="preserve">YY 0068.3-2008《医用内窥镜 </w:t>
      </w:r>
      <w:r>
        <w:rPr>
          <w:rFonts w:hint="eastAsia" w:ascii="Times New Roman" w:hAnsi="Times New Roman" w:eastAsia="仿宋_GB2312" w:cs="Times New Roman"/>
          <w:sz w:val="32"/>
          <w:szCs w:val="32"/>
        </w:rPr>
        <w:t>硬性内窥镜</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第</w:t>
      </w:r>
      <w:r>
        <w:rPr>
          <w:rFonts w:ascii="Times New Roman" w:hAnsi="Times New Roman" w:eastAsia="仿宋_GB2312" w:cs="Times New Roman"/>
          <w:sz w:val="32"/>
          <w:szCs w:val="32"/>
        </w:rPr>
        <w:t xml:space="preserve">3部分：标签和随附资料》和《医疗器械 </w:t>
      </w:r>
      <w:r>
        <w:rPr>
          <w:rFonts w:hint="eastAsia" w:ascii="Times New Roman" w:hAnsi="Times New Roman" w:eastAsia="仿宋_GB2312" w:cs="Times New Roman"/>
          <w:sz w:val="32"/>
          <w:szCs w:val="32"/>
        </w:rPr>
        <w:t>用于医疗器械标签、标记和提供信息的符号</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第</w:t>
      </w:r>
      <w:r>
        <w:rPr>
          <w:rFonts w:ascii="Times New Roman" w:hAnsi="Times New Roman" w:eastAsia="仿宋_GB2312" w:cs="Times New Roman"/>
          <w:sz w:val="32"/>
          <w:szCs w:val="32"/>
        </w:rPr>
        <w:t>1部分：通用要求》（YY/T0466.1-2009）的要求。</w:t>
      </w:r>
    </w:p>
    <w:p w14:paraId="3602D6AC">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【产品名称】</w:t>
      </w:r>
    </w:p>
    <w:p w14:paraId="75A9146A">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喉镜、鼻窦镜、尿道膀胱镜、宫腔镜、直肠镜（应与注册证核准的产品名称一致，不得在产品名称任意增加修饰性词语）</w:t>
      </w:r>
    </w:p>
    <w:p w14:paraId="241CA45F">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【注册证号】</w:t>
      </w:r>
    </w:p>
    <w:p w14:paraId="4F222CDC">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核准的注册证号。</w:t>
      </w:r>
    </w:p>
    <w:p w14:paraId="434B24E5">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注册人的名称、住所、联系方式及售后服务单位，进口医疗器械还包括代理人名称、住所和联系方式；生产企业的名称、住所、生产地址、联系方式及生产许可证编号，委托生产的还应当标注受托企业的名称、住所、生产地址、生产许可证编号或者生产备案凭证编号】</w:t>
      </w:r>
    </w:p>
    <w:p w14:paraId="0E084D63">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按医疗器械生产许可证、营业执照上核准的相应内容和实际情况填写。</w:t>
      </w:r>
    </w:p>
    <w:p w14:paraId="2D394E03">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【型号、规格】</w:t>
      </w:r>
    </w:p>
    <w:p w14:paraId="42DBD045">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按照注册证核准的型号、规格填写，不得擅自改变产品型号规格的文字表述。</w:t>
      </w:r>
    </w:p>
    <w:p w14:paraId="5E494CF7">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【主要结构、产品性能】</w:t>
      </w:r>
    </w:p>
    <w:p w14:paraId="0D3D217C">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附产品结构示意图，注明产品构成部件。将产品技术要求中所列重要信息予以注明，尤其是安全性、有效性性能指标，如光学性能参数、机械性能参数（如表</w:t>
      </w:r>
      <w:r>
        <w:rPr>
          <w:rFonts w:ascii="Times New Roman" w:hAnsi="Times New Roman" w:eastAsia="仿宋_GB2312" w:cs="Times New Roman"/>
          <w:sz w:val="32"/>
          <w:szCs w:val="32"/>
        </w:rPr>
        <w:t>5）、电气安全互连要求</w:t>
      </w:r>
      <w:r>
        <w:rPr>
          <w:rFonts w:hint="eastAsia" w:ascii="Times New Roman" w:hAnsi="Times New Roman" w:eastAsia="仿宋_GB2312" w:cs="Times New Roman"/>
          <w:sz w:val="32"/>
          <w:szCs w:val="32"/>
        </w:rPr>
        <w:t>。</w:t>
      </w:r>
    </w:p>
    <w:p w14:paraId="2FB1666B">
      <w:pPr>
        <w:spacing w:line="600" w:lineRule="exact"/>
        <w:jc w:val="center"/>
        <w:rPr>
          <w:rFonts w:ascii="仿宋" w:hAnsi="仿宋" w:eastAsia="仿宋"/>
          <w:spacing w:val="18"/>
          <w:sz w:val="28"/>
          <w:szCs w:val="28"/>
        </w:rPr>
      </w:pPr>
      <w:r>
        <w:rPr>
          <w:rFonts w:hint="eastAsia" w:ascii="仿宋_GB2312" w:hAnsi="仿宋" w:eastAsia="仿宋_GB2312"/>
          <w:sz w:val="32"/>
          <w:szCs w:val="32"/>
        </w:rPr>
        <w:t>表</w:t>
      </w:r>
      <w:r>
        <w:rPr>
          <w:rFonts w:ascii="仿宋_GB2312" w:hAnsi="仿宋" w:eastAsia="仿宋_GB2312"/>
          <w:sz w:val="32"/>
          <w:szCs w:val="32"/>
        </w:rPr>
        <w:t>5内窥镜的识别和参数</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8050"/>
      </w:tblGrid>
      <w:tr w14:paraId="03E2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86" w:type="dxa"/>
          </w:tcPr>
          <w:p w14:paraId="3C30AB32">
            <w:pPr>
              <w:spacing w:line="400" w:lineRule="exact"/>
              <w:rPr>
                <w:rFonts w:ascii="Times New Roman" w:hAnsi="Times New Roman" w:cs="Times New Roman" w:eastAsiaTheme="minorEastAsia"/>
                <w:b/>
                <w:sz w:val="28"/>
                <w:szCs w:val="28"/>
              </w:rPr>
            </w:pPr>
            <w:r>
              <w:rPr>
                <w:rFonts w:ascii="Times New Roman" w:hAnsi="Times New Roman" w:cs="Times New Roman" w:eastAsiaTheme="minorEastAsia"/>
                <w:b/>
                <w:sz w:val="28"/>
                <w:szCs w:val="28"/>
              </w:rPr>
              <w:t>序号</w:t>
            </w:r>
          </w:p>
        </w:tc>
        <w:tc>
          <w:tcPr>
            <w:tcW w:w="8050" w:type="dxa"/>
          </w:tcPr>
          <w:p w14:paraId="747B9658">
            <w:pPr>
              <w:spacing w:line="400" w:lineRule="exact"/>
              <w:rPr>
                <w:rFonts w:ascii="Times New Roman" w:hAnsi="Times New Roman" w:cs="Times New Roman" w:eastAsiaTheme="minorEastAsia"/>
                <w:b/>
                <w:sz w:val="28"/>
                <w:szCs w:val="28"/>
              </w:rPr>
            </w:pPr>
            <w:r>
              <w:rPr>
                <w:rFonts w:ascii="Times New Roman" w:hAnsi="Times New Roman" w:cs="Times New Roman" w:eastAsiaTheme="minorEastAsia"/>
                <w:b/>
                <w:sz w:val="28"/>
                <w:szCs w:val="28"/>
              </w:rPr>
              <w:t>内容</w:t>
            </w:r>
          </w:p>
        </w:tc>
      </w:tr>
      <w:tr w14:paraId="357E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tcPr>
          <w:p w14:paraId="078A6B20">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1</w:t>
            </w:r>
          </w:p>
        </w:tc>
        <w:tc>
          <w:tcPr>
            <w:tcW w:w="8050" w:type="dxa"/>
          </w:tcPr>
          <w:p w14:paraId="59FDF39F">
            <w:pPr>
              <w:tabs>
                <w:tab w:val="right" w:pos="5846"/>
                <w:tab w:val="left" w:pos="7358"/>
              </w:tabs>
              <w:spacing w:line="400" w:lineRule="exact"/>
              <w:ind w:left="10"/>
              <w:rPr>
                <w:rFonts w:ascii="Times New Roman" w:hAnsi="Times New Roman" w:cs="Times New Roman" w:eastAsiaTheme="minorEastAsia"/>
                <w:sz w:val="28"/>
                <w:szCs w:val="28"/>
              </w:rPr>
            </w:pPr>
            <w:r>
              <w:rPr>
                <w:rFonts w:ascii="Times New Roman" w:hAnsi="Times New Roman" w:cs="Times New Roman" w:eastAsiaTheme="minorEastAsia"/>
                <w:sz w:val="28"/>
                <w:szCs w:val="28"/>
              </w:rPr>
              <w:t>制造商名称：××××××××</w:t>
            </w:r>
          </w:p>
          <w:p w14:paraId="0726AD50">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制造商地址： ××××××××××</w:t>
            </w:r>
          </w:p>
        </w:tc>
      </w:tr>
      <w:tr w14:paraId="2D6A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tcPr>
          <w:p w14:paraId="50A96684">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2</w:t>
            </w:r>
          </w:p>
        </w:tc>
        <w:tc>
          <w:tcPr>
            <w:tcW w:w="8050" w:type="dxa"/>
          </w:tcPr>
          <w:p w14:paraId="78F41DD3">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名称：××××</w:t>
            </w:r>
          </w:p>
          <w:p w14:paraId="541E3ACF">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标识号: ××××</w:t>
            </w:r>
          </w:p>
        </w:tc>
      </w:tr>
      <w:tr w14:paraId="5F12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tcPr>
          <w:p w14:paraId="16B840A3">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3</w:t>
            </w:r>
          </w:p>
        </w:tc>
        <w:tc>
          <w:tcPr>
            <w:tcW w:w="8050" w:type="dxa"/>
          </w:tcPr>
          <w:p w14:paraId="1ADFA164">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插入部分最大宽度：××mm</w:t>
            </w:r>
          </w:p>
          <w:p w14:paraId="3158D639">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工作长度：××mm</w:t>
            </w:r>
          </w:p>
        </w:tc>
      </w:tr>
      <w:tr w14:paraId="4524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tcPr>
          <w:p w14:paraId="28BAC670">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4</w:t>
            </w:r>
          </w:p>
        </w:tc>
        <w:tc>
          <w:tcPr>
            <w:tcW w:w="8050" w:type="dxa"/>
          </w:tcPr>
          <w:p w14:paraId="45394A4D">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器械孔道最小宽度:××mm</w:t>
            </w:r>
          </w:p>
        </w:tc>
      </w:tr>
      <w:tr w14:paraId="4B9E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tcPr>
          <w:p w14:paraId="5196A64F">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5</w:t>
            </w:r>
          </w:p>
        </w:tc>
        <w:tc>
          <w:tcPr>
            <w:tcW w:w="8050" w:type="dxa"/>
          </w:tcPr>
          <w:p w14:paraId="00602A4F">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视向角θ: ××°</w:t>
            </w:r>
          </w:p>
        </w:tc>
      </w:tr>
      <w:tr w14:paraId="7A035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tcPr>
          <w:p w14:paraId="48DC3C32">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6</w:t>
            </w:r>
          </w:p>
        </w:tc>
        <w:tc>
          <w:tcPr>
            <w:tcW w:w="8050" w:type="dxa"/>
          </w:tcPr>
          <w:p w14:paraId="5D0CAF37">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视场角</w:t>
            </w:r>
            <w:r>
              <w:rPr>
                <w:rFonts w:ascii="Times New Roman" w:hAnsi="Times New Roman" w:cs="Times New Roman" w:eastAsiaTheme="minorEastAsia"/>
                <w:sz w:val="28"/>
                <w:szCs w:val="28"/>
              </w:rPr>
              <w:drawing>
                <wp:inline distT="0" distB="0" distL="0" distR="0">
                  <wp:extent cx="228600" cy="152400"/>
                  <wp:effectExtent l="19050" t="0" r="0" b="0"/>
                  <wp:docPr id="21"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5"/>
                          <pic:cNvPicPr>
                            <a:picLocks noChangeAspect="1" noChangeArrowheads="1"/>
                          </pic:cNvPicPr>
                        </pic:nvPicPr>
                        <pic:blipFill>
                          <a:blip r:embed="rId19" cstate="print"/>
                          <a:srcRect/>
                          <a:stretch>
                            <a:fillRect/>
                          </a:stretch>
                        </pic:blipFill>
                        <pic:spPr>
                          <a:xfrm>
                            <a:off x="0" y="0"/>
                            <a:ext cx="228600" cy="152400"/>
                          </a:xfrm>
                          <a:prstGeom prst="rect">
                            <a:avLst/>
                          </a:prstGeom>
                          <a:noFill/>
                          <a:ln w="9525">
                            <a:noFill/>
                            <a:miter lim="800000"/>
                            <a:headEnd/>
                            <a:tailEnd/>
                          </a:ln>
                        </pic:spPr>
                      </pic:pic>
                    </a:graphicData>
                  </a:graphic>
                </wp:inline>
              </w:drawing>
            </w:r>
            <w:r>
              <w:rPr>
                <w:rFonts w:ascii="Times New Roman" w:hAnsi="Times New Roman" w:cs="Times New Roman" w:eastAsiaTheme="minorEastAsia"/>
                <w:sz w:val="28"/>
                <w:szCs w:val="28"/>
              </w:rPr>
              <w:t>:××°</w:t>
            </w:r>
          </w:p>
        </w:tc>
      </w:tr>
      <w:tr w14:paraId="6C2C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tcPr>
          <w:p w14:paraId="4274FFC5">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7</w:t>
            </w:r>
          </w:p>
        </w:tc>
        <w:tc>
          <w:tcPr>
            <w:tcW w:w="8050" w:type="dxa"/>
          </w:tcPr>
          <w:p w14:paraId="664CB933">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设计光学工作距</w:t>
            </w:r>
            <w:r>
              <w:rPr>
                <w:rFonts w:ascii="Times New Roman" w:hAnsi="Times New Roman" w:cs="Times New Roman" w:eastAsiaTheme="minorEastAsia"/>
                <w:sz w:val="28"/>
                <w:szCs w:val="28"/>
              </w:rPr>
              <w:drawing>
                <wp:inline distT="0" distB="0" distL="0" distR="0">
                  <wp:extent cx="160655" cy="186055"/>
                  <wp:effectExtent l="0" t="0" r="0" b="0"/>
                  <wp:docPr id="22"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6"/>
                          <pic:cNvPicPr>
                            <a:picLocks noChangeAspect="1" noChangeArrowheads="1"/>
                          </pic:cNvPicPr>
                        </pic:nvPicPr>
                        <pic:blipFill>
                          <a:blip r:embed="rId42" cstate="print"/>
                          <a:srcRect/>
                          <a:stretch>
                            <a:fillRect/>
                          </a:stretch>
                        </pic:blipFill>
                        <pic:spPr>
                          <a:xfrm>
                            <a:off x="0" y="0"/>
                            <a:ext cx="160655" cy="186055"/>
                          </a:xfrm>
                          <a:prstGeom prst="rect">
                            <a:avLst/>
                          </a:prstGeom>
                          <a:noFill/>
                          <a:ln w="9525">
                            <a:noFill/>
                            <a:miter lim="800000"/>
                            <a:headEnd/>
                            <a:tailEnd/>
                          </a:ln>
                        </pic:spPr>
                      </pic:pic>
                    </a:graphicData>
                  </a:graphic>
                </wp:inline>
              </w:drawing>
            </w:r>
            <w:r>
              <w:rPr>
                <w:rFonts w:ascii="Times New Roman" w:hAnsi="Times New Roman" w:cs="Times New Roman" w:eastAsiaTheme="minorEastAsia"/>
                <w:sz w:val="28"/>
                <w:szCs w:val="28"/>
              </w:rPr>
              <w:t>:××mm</w:t>
            </w:r>
          </w:p>
        </w:tc>
      </w:tr>
      <w:tr w14:paraId="5420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tcPr>
          <w:p w14:paraId="5E881B17">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8</w:t>
            </w:r>
          </w:p>
        </w:tc>
        <w:tc>
          <w:tcPr>
            <w:tcW w:w="8050" w:type="dxa"/>
          </w:tcPr>
          <w:p w14:paraId="488378C6">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视场中心角分辨力，°</w:t>
            </w:r>
            <w:r>
              <w:rPr>
                <w:rFonts w:ascii="Times New Roman" w:hAnsi="Times New Roman" w:cs="Times New Roman" w:eastAsiaTheme="minorEastAsia"/>
                <w:sz w:val="28"/>
                <w:szCs w:val="28"/>
              </w:rPr>
              <w:object>
                <v:shape id="_x0000_i1039" o:spt="75" type="#_x0000_t75" style="height:14.25pt;width:24pt;" o:ole="t" filled="f" o:preferrelative="t" stroked="f" coordsize="21600,21600">
                  <v:path/>
                  <v:fill on="f" focussize="0,0"/>
                  <v:stroke on="f" joinstyle="miter"/>
                  <v:imagedata r:id="rId21" o:title=""/>
                  <o:lock v:ext="edit" aspectratio="t"/>
                  <w10:wrap type="none"/>
                  <w10:anchorlock/>
                </v:shape>
                <o:OLEObject Type="Embed" ProgID="Equation.3" ShapeID="_x0000_i1039" DrawAspect="Content" ObjectID="_1468075739" r:id="rId43">
                  <o:LockedField>false</o:LockedField>
                </o:OLEObject>
              </w:object>
            </w:r>
            <w:r>
              <w:rPr>
                <w:rFonts w:ascii="Times New Roman" w:hAnsi="Times New Roman" w:cs="Times New Roman" w:eastAsiaTheme="minorEastAsia"/>
                <w:sz w:val="28"/>
                <w:szCs w:val="28"/>
              </w:rPr>
              <w:t>:××C/(°)</w:t>
            </w:r>
          </w:p>
        </w:tc>
      </w:tr>
      <w:tr w14:paraId="5657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tcPr>
          <w:p w14:paraId="437D1DDC">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9</w:t>
            </w:r>
          </w:p>
        </w:tc>
        <w:tc>
          <w:tcPr>
            <w:tcW w:w="8050" w:type="dxa"/>
          </w:tcPr>
          <w:p w14:paraId="2B2C3995">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光学镜的有效景深范围:  ××</w:t>
            </w:r>
            <w:r>
              <w:rPr>
                <w:rFonts w:hint="eastAsia" w:ascii="Times New Roman" w:hAnsi="Times New Roman" w:cs="Times New Roman" w:eastAsiaTheme="minorEastAsia"/>
                <w:sz w:val="28"/>
                <w:szCs w:val="28"/>
              </w:rPr>
              <w:t>—</w:t>
            </w:r>
            <w:r>
              <w:rPr>
                <w:rFonts w:ascii="Times New Roman" w:hAnsi="Times New Roman" w:cs="Times New Roman" w:eastAsiaTheme="minorEastAsia"/>
                <w:sz w:val="28"/>
                <w:szCs w:val="28"/>
              </w:rPr>
              <w:t>××mm</w:t>
            </w:r>
          </w:p>
        </w:tc>
      </w:tr>
      <w:tr w14:paraId="1ECA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tcPr>
          <w:p w14:paraId="329CDFB6">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10</w:t>
            </w:r>
          </w:p>
        </w:tc>
        <w:tc>
          <w:tcPr>
            <w:tcW w:w="8050" w:type="dxa"/>
          </w:tcPr>
          <w:p w14:paraId="08AEC455">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采用ISO 10526:1999 CIE S 005 规定的A标准照明体的光谱，经照明光路和成像系统传输后的输出光谱的显色指数Ra: ××</w:t>
            </w:r>
          </w:p>
          <w:p w14:paraId="0731D26A">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采用ISO 10526:1999 CIE S 005 规定的D65标准照明体的光谱，经照明光路和成像系统传输后的输出光谱的显色指数Ra:  ××</w:t>
            </w:r>
          </w:p>
          <w:p w14:paraId="7FED4D4C">
            <w:pPr>
              <w:autoSpaceDE w:val="0"/>
              <w:autoSpaceDN w:val="0"/>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显色指数Ra的意义：表征内窥镜对物体的色差分辨能力和色还原性的好坏。Ra的数值越大，表示对物体的色差分辨能力和色还原性越好。</w:t>
            </w:r>
          </w:p>
          <w:p w14:paraId="3BE54AD2">
            <w:pPr>
              <w:autoSpaceDE w:val="0"/>
              <w:autoSpaceDN w:val="0"/>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光能传递效率</w:t>
            </w:r>
            <w:r>
              <w:rPr>
                <w:rFonts w:hint="eastAsia" w:ascii="Times New Roman" w:hAnsi="Times New Roman" w:cs="Times New Roman" w:eastAsiaTheme="minorEastAsia"/>
                <w:sz w:val="28"/>
                <w:szCs w:val="28"/>
              </w:rPr>
              <w:t>——</w:t>
            </w:r>
            <w:r>
              <w:rPr>
                <w:rFonts w:ascii="Times New Roman" w:hAnsi="Times New Roman" w:cs="Times New Roman" w:eastAsiaTheme="minorEastAsia"/>
                <w:sz w:val="28"/>
                <w:szCs w:val="28"/>
              </w:rPr>
              <w:t>有效光度率</w:t>
            </w:r>
            <w:r>
              <w:rPr>
                <w:rFonts w:ascii="Times New Roman" w:hAnsi="Times New Roman" w:cs="Times New Roman" w:eastAsiaTheme="minorEastAsia"/>
                <w:sz w:val="28"/>
                <w:szCs w:val="28"/>
              </w:rPr>
              <w:drawing>
                <wp:inline distT="0" distB="0" distL="0" distR="0">
                  <wp:extent cx="228600" cy="186055"/>
                  <wp:effectExtent l="19050" t="0" r="0" b="0"/>
                  <wp:docPr id="2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28"/>
                          <pic:cNvPicPr>
                            <a:picLocks noChangeAspect="1" noChangeArrowheads="1"/>
                          </pic:cNvPicPr>
                        </pic:nvPicPr>
                        <pic:blipFill>
                          <a:blip r:embed="rId44" cstate="print"/>
                          <a:srcRect/>
                          <a:stretch>
                            <a:fillRect/>
                          </a:stretch>
                        </pic:blipFill>
                        <pic:spPr>
                          <a:xfrm>
                            <a:off x="0" y="0"/>
                            <a:ext cx="228600" cy="186055"/>
                          </a:xfrm>
                          <a:prstGeom prst="rect">
                            <a:avLst/>
                          </a:prstGeom>
                          <a:noFill/>
                          <a:ln w="9525">
                            <a:noFill/>
                            <a:miter lim="800000"/>
                            <a:headEnd/>
                            <a:tailEnd/>
                          </a:ln>
                        </pic:spPr>
                      </pic:pic>
                    </a:graphicData>
                  </a:graphic>
                </wp:inline>
              </w:drawing>
            </w:r>
            <w:r>
              <w:rPr>
                <w:rFonts w:ascii="Times New Roman" w:hAnsi="Times New Roman" w:cs="Times New Roman" w:eastAsiaTheme="minorEastAsia"/>
                <w:sz w:val="28"/>
                <w:szCs w:val="28"/>
              </w:rPr>
              <w:t>：××</w:t>
            </w:r>
          </w:p>
        </w:tc>
      </w:tr>
      <w:tr w14:paraId="2EF1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tcPr>
          <w:p w14:paraId="78A3A968">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11</w:t>
            </w:r>
          </w:p>
        </w:tc>
        <w:tc>
          <w:tcPr>
            <w:tcW w:w="8050" w:type="dxa"/>
          </w:tcPr>
          <w:p w14:paraId="33192393">
            <w:pPr>
              <w:autoSpaceDE w:val="0"/>
              <w:autoSpaceDN w:val="0"/>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在设计光学工作距</w:t>
            </w:r>
            <w:r>
              <w:rPr>
                <w:rFonts w:ascii="Times New Roman" w:hAnsi="Times New Roman" w:cs="Times New Roman" w:eastAsiaTheme="minorEastAsia"/>
                <w:sz w:val="28"/>
                <w:szCs w:val="28"/>
              </w:rPr>
              <w:drawing>
                <wp:inline distT="0" distB="0" distL="0" distR="0">
                  <wp:extent cx="160655" cy="186055"/>
                  <wp:effectExtent l="0" t="0" r="0" b="0"/>
                  <wp:docPr id="25"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9"/>
                          <pic:cNvPicPr>
                            <a:picLocks noChangeAspect="1" noChangeArrowheads="1"/>
                          </pic:cNvPicPr>
                        </pic:nvPicPr>
                        <pic:blipFill>
                          <a:blip r:embed="rId42" cstate="print"/>
                          <a:srcRect/>
                          <a:stretch>
                            <a:fillRect/>
                          </a:stretch>
                        </pic:blipFill>
                        <pic:spPr>
                          <a:xfrm>
                            <a:off x="0" y="0"/>
                            <a:ext cx="160655" cy="186055"/>
                          </a:xfrm>
                          <a:prstGeom prst="rect">
                            <a:avLst/>
                          </a:prstGeom>
                          <a:noFill/>
                          <a:ln w="9525">
                            <a:noFill/>
                            <a:miter lim="800000"/>
                            <a:headEnd/>
                            <a:tailEnd/>
                          </a:ln>
                        </pic:spPr>
                      </pic:pic>
                    </a:graphicData>
                  </a:graphic>
                </wp:inline>
              </w:drawing>
            </w:r>
            <w:r>
              <w:rPr>
                <w:rFonts w:ascii="Times New Roman" w:hAnsi="Times New Roman" w:cs="Times New Roman" w:eastAsiaTheme="minorEastAsia"/>
                <w:sz w:val="28"/>
                <w:szCs w:val="28"/>
              </w:rPr>
              <w:t>处的内窥镜工作视场形状以评价视场面形状表征。</w:t>
            </w:r>
          </w:p>
          <w:p w14:paraId="1E2FE2FB">
            <w:pPr>
              <w:autoSpaceDE w:val="0"/>
              <w:autoSpaceDN w:val="0"/>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在该视场形状下</w:t>
            </w:r>
            <w:r>
              <w:rPr>
                <w:rFonts w:ascii="Times New Roman" w:hAnsi="Times New Roman" w:cs="Times New Roman" w:eastAsiaTheme="minorEastAsia"/>
                <w:sz w:val="28"/>
                <w:szCs w:val="28"/>
              </w:rPr>
              <w:drawing>
                <wp:inline distT="0" distB="0" distL="0" distR="0">
                  <wp:extent cx="203200" cy="220345"/>
                  <wp:effectExtent l="19050" t="0" r="0" b="0"/>
                  <wp:docPr id="26"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30"/>
                          <pic:cNvPicPr>
                            <a:picLocks noChangeAspect="1" noChangeArrowheads="1"/>
                          </pic:cNvPicPr>
                        </pic:nvPicPr>
                        <pic:blipFill>
                          <a:blip r:embed="rId45" cstate="print"/>
                          <a:srcRect/>
                          <a:stretch>
                            <a:fillRect/>
                          </a:stretch>
                        </pic:blipFill>
                        <pic:spPr>
                          <a:xfrm>
                            <a:off x="0" y="0"/>
                            <a:ext cx="203200" cy="220345"/>
                          </a:xfrm>
                          <a:prstGeom prst="rect">
                            <a:avLst/>
                          </a:prstGeom>
                          <a:noFill/>
                          <a:ln w="9525">
                            <a:noFill/>
                            <a:miter lim="800000"/>
                            <a:headEnd/>
                            <a:tailEnd/>
                          </a:ln>
                        </pic:spPr>
                      </pic:pic>
                    </a:graphicData>
                  </a:graphic>
                </wp:inline>
              </w:drawing>
            </w:r>
            <w:r>
              <w:rPr>
                <w:rFonts w:ascii="Times New Roman" w:hAnsi="Times New Roman" w:cs="Times New Roman" w:eastAsiaTheme="minorEastAsia"/>
                <w:sz w:val="28"/>
                <w:szCs w:val="28"/>
              </w:rPr>
              <w:t>的90%视场处的照明镜体光效</w:t>
            </w:r>
            <w:r>
              <w:rPr>
                <w:rFonts w:ascii="Times New Roman" w:hAnsi="Times New Roman" w:cs="Times New Roman" w:eastAsiaTheme="minorEastAsia"/>
                <w:sz w:val="28"/>
                <w:szCs w:val="28"/>
              </w:rPr>
              <w:drawing>
                <wp:inline distT="0" distB="0" distL="0" distR="0">
                  <wp:extent cx="236855" cy="186055"/>
                  <wp:effectExtent l="19050" t="0" r="0" b="0"/>
                  <wp:docPr id="27"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1"/>
                          <pic:cNvPicPr>
                            <a:picLocks noChangeAspect="1" noChangeArrowheads="1"/>
                          </pic:cNvPicPr>
                        </pic:nvPicPr>
                        <pic:blipFill>
                          <a:blip r:embed="rId27" cstate="print"/>
                          <a:srcRect/>
                          <a:stretch>
                            <a:fillRect/>
                          </a:stretch>
                        </pic:blipFill>
                        <pic:spPr>
                          <a:xfrm>
                            <a:off x="0" y="0"/>
                            <a:ext cx="236855" cy="186055"/>
                          </a:xfrm>
                          <a:prstGeom prst="rect">
                            <a:avLst/>
                          </a:prstGeom>
                          <a:noFill/>
                          <a:ln w="9525">
                            <a:noFill/>
                            <a:miter lim="800000"/>
                            <a:headEnd/>
                            <a:tailEnd/>
                          </a:ln>
                        </pic:spPr>
                      </pic:pic>
                    </a:graphicData>
                  </a:graphic>
                </wp:inline>
              </w:drawing>
            </w:r>
            <w:r>
              <w:rPr>
                <w:rFonts w:ascii="Times New Roman" w:hAnsi="Times New Roman" w:cs="Times New Roman" w:eastAsiaTheme="minorEastAsia"/>
                <w:sz w:val="28"/>
                <w:szCs w:val="28"/>
              </w:rPr>
              <w:t>：××</w:t>
            </w:r>
          </w:p>
          <w:p w14:paraId="0FB716CB">
            <w:pPr>
              <w:autoSpaceDE w:val="0"/>
              <w:autoSpaceDN w:val="0"/>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在该视场形状下</w:t>
            </w:r>
            <w:r>
              <w:rPr>
                <w:rFonts w:ascii="Times New Roman" w:hAnsi="Times New Roman" w:cs="Times New Roman" w:eastAsiaTheme="minorEastAsia"/>
                <w:sz w:val="28"/>
                <w:szCs w:val="28"/>
              </w:rPr>
              <w:drawing>
                <wp:inline distT="0" distB="0" distL="0" distR="0">
                  <wp:extent cx="203200" cy="220345"/>
                  <wp:effectExtent l="19050" t="0" r="0" b="0"/>
                  <wp:docPr id="2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32"/>
                          <pic:cNvPicPr>
                            <a:picLocks noChangeAspect="1" noChangeArrowheads="1"/>
                          </pic:cNvPicPr>
                        </pic:nvPicPr>
                        <pic:blipFill>
                          <a:blip r:embed="rId45" cstate="print"/>
                          <a:srcRect/>
                          <a:stretch>
                            <a:fillRect/>
                          </a:stretch>
                        </pic:blipFill>
                        <pic:spPr>
                          <a:xfrm>
                            <a:off x="0" y="0"/>
                            <a:ext cx="203200" cy="220345"/>
                          </a:xfrm>
                          <a:prstGeom prst="rect">
                            <a:avLst/>
                          </a:prstGeom>
                          <a:noFill/>
                          <a:ln w="9525">
                            <a:noFill/>
                            <a:miter lim="800000"/>
                            <a:headEnd/>
                            <a:tailEnd/>
                          </a:ln>
                        </pic:spPr>
                      </pic:pic>
                    </a:graphicData>
                  </a:graphic>
                </wp:inline>
              </w:drawing>
            </w:r>
            <w:r>
              <w:rPr>
                <w:rFonts w:ascii="Times New Roman" w:hAnsi="Times New Roman" w:cs="Times New Roman" w:eastAsiaTheme="minorEastAsia"/>
                <w:sz w:val="28"/>
                <w:szCs w:val="28"/>
              </w:rPr>
              <w:t>的90%视场处的综合镜体光效SLeR：××</w:t>
            </w:r>
          </w:p>
          <w:p w14:paraId="2958502F">
            <w:pPr>
              <w:autoSpaceDE w:val="0"/>
              <w:autoSpaceDN w:val="0"/>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在该视场形状下</w:t>
            </w:r>
            <w:r>
              <w:rPr>
                <w:rFonts w:ascii="Times New Roman" w:hAnsi="Times New Roman" w:cs="Times New Roman" w:eastAsiaTheme="minorEastAsia"/>
                <w:sz w:val="28"/>
                <w:szCs w:val="28"/>
              </w:rPr>
              <w:drawing>
                <wp:inline distT="0" distB="0" distL="0" distR="0">
                  <wp:extent cx="203200" cy="220345"/>
                  <wp:effectExtent l="19050" t="0" r="0" b="0"/>
                  <wp:docPr id="29"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33"/>
                          <pic:cNvPicPr>
                            <a:picLocks noChangeAspect="1" noChangeArrowheads="1"/>
                          </pic:cNvPicPr>
                        </pic:nvPicPr>
                        <pic:blipFill>
                          <a:blip r:embed="rId45" cstate="print"/>
                          <a:srcRect/>
                          <a:stretch>
                            <a:fillRect/>
                          </a:stretch>
                        </pic:blipFill>
                        <pic:spPr>
                          <a:xfrm>
                            <a:off x="0" y="0"/>
                            <a:ext cx="203200" cy="220345"/>
                          </a:xfrm>
                          <a:prstGeom prst="rect">
                            <a:avLst/>
                          </a:prstGeom>
                          <a:noFill/>
                          <a:ln w="9525">
                            <a:noFill/>
                            <a:miter lim="800000"/>
                            <a:headEnd/>
                            <a:tailEnd/>
                          </a:ln>
                        </pic:spPr>
                      </pic:pic>
                    </a:graphicData>
                  </a:graphic>
                </wp:inline>
              </w:drawing>
            </w:r>
            <w:r>
              <w:rPr>
                <w:rFonts w:ascii="Times New Roman" w:hAnsi="Times New Roman" w:cs="Times New Roman" w:eastAsiaTheme="minorEastAsia"/>
                <w:sz w:val="28"/>
                <w:szCs w:val="28"/>
              </w:rPr>
              <w:t>的90%视场处的综合边缘光效</w:t>
            </w:r>
            <w:r>
              <w:rPr>
                <w:rFonts w:ascii="Times New Roman" w:hAnsi="Times New Roman" w:cs="Times New Roman" w:eastAsiaTheme="minorEastAsia"/>
                <w:sz w:val="28"/>
                <w:szCs w:val="28"/>
              </w:rPr>
              <w:drawing>
                <wp:inline distT="0" distB="0" distL="0" distR="0">
                  <wp:extent cx="330200" cy="186055"/>
                  <wp:effectExtent l="0" t="0" r="0" b="0"/>
                  <wp:docPr id="30"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34"/>
                          <pic:cNvPicPr>
                            <a:picLocks noChangeAspect="1" noChangeArrowheads="1"/>
                          </pic:cNvPicPr>
                        </pic:nvPicPr>
                        <pic:blipFill>
                          <a:blip r:embed="rId46" cstate="print"/>
                          <a:srcRect/>
                          <a:stretch>
                            <a:fillRect/>
                          </a:stretch>
                        </pic:blipFill>
                        <pic:spPr>
                          <a:xfrm>
                            <a:off x="0" y="0"/>
                            <a:ext cx="330200" cy="186055"/>
                          </a:xfrm>
                          <a:prstGeom prst="rect">
                            <a:avLst/>
                          </a:prstGeom>
                          <a:noFill/>
                          <a:ln w="9525">
                            <a:noFill/>
                            <a:miter lim="800000"/>
                            <a:headEnd/>
                            <a:tailEnd/>
                          </a:ln>
                        </pic:spPr>
                      </pic:pic>
                    </a:graphicData>
                  </a:graphic>
                </wp:inline>
              </w:drawing>
            </w:r>
            <w:r>
              <w:rPr>
                <w:rFonts w:ascii="Times New Roman" w:hAnsi="Times New Roman" w:cs="Times New Roman" w:eastAsiaTheme="minorEastAsia"/>
                <w:sz w:val="28"/>
                <w:szCs w:val="28"/>
              </w:rPr>
              <w:t>：××</w:t>
            </w:r>
          </w:p>
          <w:p w14:paraId="0E742F39">
            <w:pPr>
              <w:autoSpaceDE w:val="0"/>
              <w:autoSpaceDN w:val="0"/>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在该视场形状下单位相对畸变的控制量</w:t>
            </w:r>
            <w:r>
              <w:rPr>
                <w:rFonts w:ascii="Times New Roman" w:hAnsi="Times New Roman" w:cs="Times New Roman" w:eastAsiaTheme="minorEastAsia"/>
                <w:sz w:val="28"/>
                <w:szCs w:val="28"/>
              </w:rPr>
              <w:drawing>
                <wp:inline distT="0" distB="0" distL="0" distR="0">
                  <wp:extent cx="296545" cy="186055"/>
                  <wp:effectExtent l="19050" t="0" r="8255" b="0"/>
                  <wp:docPr id="31"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35"/>
                          <pic:cNvPicPr>
                            <a:picLocks noChangeAspect="1" noChangeArrowheads="1"/>
                          </pic:cNvPicPr>
                        </pic:nvPicPr>
                        <pic:blipFill>
                          <a:blip r:embed="rId47" cstate="print"/>
                          <a:srcRect/>
                          <a:stretch>
                            <a:fillRect/>
                          </a:stretch>
                        </pic:blipFill>
                        <pic:spPr>
                          <a:xfrm>
                            <a:off x="0" y="0"/>
                            <a:ext cx="296545" cy="186055"/>
                          </a:xfrm>
                          <a:prstGeom prst="rect">
                            <a:avLst/>
                          </a:prstGeom>
                          <a:noFill/>
                          <a:ln w="9525">
                            <a:noFill/>
                            <a:miter lim="800000"/>
                            <a:headEnd/>
                            <a:tailEnd/>
                          </a:ln>
                        </pic:spPr>
                      </pic:pic>
                    </a:graphicData>
                  </a:graphic>
                </wp:inline>
              </w:drawing>
            </w:r>
            <w:r>
              <w:rPr>
                <w:rFonts w:ascii="Times New Roman" w:hAnsi="Times New Roman" w:cs="Times New Roman" w:eastAsiaTheme="minorEastAsia"/>
                <w:sz w:val="28"/>
                <w:szCs w:val="28"/>
              </w:rPr>
              <w:t>：××%</w:t>
            </w:r>
          </w:p>
          <w:p w14:paraId="276784CA">
            <w:pPr>
              <w:autoSpaceDE w:val="0"/>
              <w:autoSpaceDN w:val="0"/>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说明综合镜体光效的意义：</w:t>
            </w:r>
          </w:p>
        </w:tc>
      </w:tr>
      <w:tr w14:paraId="0371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tcPr>
          <w:p w14:paraId="5137F3AF">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12</w:t>
            </w:r>
          </w:p>
        </w:tc>
        <w:tc>
          <w:tcPr>
            <w:tcW w:w="8050" w:type="dxa"/>
          </w:tcPr>
          <w:p w14:paraId="5D8637F1">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无任何用户可更换的部分</w:t>
            </w:r>
          </w:p>
        </w:tc>
      </w:tr>
      <w:tr w14:paraId="6E72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tcPr>
          <w:p w14:paraId="0C518A72">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13</w:t>
            </w:r>
          </w:p>
        </w:tc>
        <w:tc>
          <w:tcPr>
            <w:tcW w:w="8050" w:type="dxa"/>
          </w:tcPr>
          <w:p w14:paraId="2E4FD7C4">
            <w:pPr>
              <w:overflowPunct w:val="0"/>
              <w:autoSpaceDE w:val="0"/>
              <w:autoSpaceDN w:val="0"/>
              <w:adjustRightInd w:val="0"/>
              <w:spacing w:line="400" w:lineRule="exact"/>
              <w:jc w:val="left"/>
              <w:rPr>
                <w:rFonts w:ascii="Times New Roman" w:hAnsi="Times New Roman" w:cs="Times New Roman" w:eastAsiaTheme="minorEastAsia"/>
                <w:sz w:val="28"/>
                <w:szCs w:val="28"/>
              </w:rPr>
            </w:pPr>
            <w:r>
              <w:rPr>
                <w:rFonts w:ascii="Times New Roman" w:hAnsi="Times New Roman" w:cs="Times New Roman" w:eastAsiaTheme="minorEastAsia"/>
                <w:sz w:val="28"/>
                <w:szCs w:val="28"/>
              </w:rPr>
              <w:t>专业售后服务机构</w:t>
            </w:r>
          </w:p>
        </w:tc>
      </w:tr>
      <w:tr w14:paraId="43E2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86" w:type="dxa"/>
          </w:tcPr>
          <w:p w14:paraId="374160F9">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14</w:t>
            </w:r>
          </w:p>
        </w:tc>
        <w:tc>
          <w:tcPr>
            <w:tcW w:w="8050" w:type="dxa"/>
          </w:tcPr>
          <w:p w14:paraId="3E04852C">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本内窥镜不具有明显的易损和易折部位。</w:t>
            </w:r>
          </w:p>
        </w:tc>
      </w:tr>
      <w:tr w14:paraId="0E9E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86" w:type="dxa"/>
          </w:tcPr>
          <w:p w14:paraId="1806E2E8">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15</w:t>
            </w:r>
          </w:p>
        </w:tc>
        <w:tc>
          <w:tcPr>
            <w:tcW w:w="8050" w:type="dxa"/>
          </w:tcPr>
          <w:p w14:paraId="5BA231D7">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本内窥镜插入部分不允许弯曲</w:t>
            </w:r>
          </w:p>
        </w:tc>
      </w:tr>
      <w:tr w14:paraId="3B9A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86" w:type="dxa"/>
          </w:tcPr>
          <w:p w14:paraId="22A8D7EE">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16</w:t>
            </w:r>
          </w:p>
        </w:tc>
        <w:tc>
          <w:tcPr>
            <w:tcW w:w="8050" w:type="dxa"/>
          </w:tcPr>
          <w:p w14:paraId="65BCE3F4">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本内窥镜不具有为了特殊目的而存在可能引起安全伤害的插入部分。</w:t>
            </w:r>
          </w:p>
        </w:tc>
      </w:tr>
      <w:tr w14:paraId="0A52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86" w:type="dxa"/>
          </w:tcPr>
          <w:p w14:paraId="49110A7D">
            <w:pPr>
              <w:spacing w:line="400" w:lineRule="exac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17</w:t>
            </w:r>
          </w:p>
        </w:tc>
        <w:tc>
          <w:tcPr>
            <w:tcW w:w="8050" w:type="dxa"/>
          </w:tcPr>
          <w:p w14:paraId="57F06B3B">
            <w:pPr>
              <w:spacing w:line="400" w:lineRule="exact"/>
              <w:rPr>
                <w:rFonts w:ascii="Times New Roman" w:hAnsi="Times New Roman" w:cs="Times New Roman" w:eastAsiaTheme="minorEastAsia"/>
                <w:sz w:val="28"/>
                <w:szCs w:val="28"/>
              </w:rPr>
            </w:pPr>
            <w:r>
              <w:rPr>
                <w:rFonts w:ascii="Times New Roman" w:hAnsi="Times New Roman" w:cs="Times New Roman" w:eastAsiaTheme="minorEastAsia"/>
                <w:sz w:val="28"/>
                <w:szCs w:val="28"/>
              </w:rPr>
              <w:t>本内窥镜防进液分类为IPX7</w:t>
            </w:r>
          </w:p>
        </w:tc>
      </w:tr>
    </w:tbl>
    <w:p w14:paraId="42FFE435">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【适用范围】见第</w:t>
      </w:r>
      <w:r>
        <w:rPr>
          <w:rFonts w:ascii="Times New Roman" w:hAnsi="Times New Roman" w:eastAsia="仿宋_GB2312" w:cs="Times New Roman"/>
          <w:sz w:val="32"/>
          <w:szCs w:val="32"/>
        </w:rPr>
        <w:t>(六)章“产品的预期用途”。</w:t>
      </w:r>
    </w:p>
    <w:p w14:paraId="1173DC03">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【注意事项、警示】</w:t>
      </w:r>
    </w:p>
    <w:p w14:paraId="7A85063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81000" cy="304800"/>
            <wp:effectExtent l="19050" t="0" r="0" b="0"/>
            <wp:docPr id="32"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6"/>
                    <pic:cNvPicPr>
                      <a:picLocks noChangeAspect="1" noChangeArrowheads="1"/>
                    </pic:cNvPicPr>
                  </pic:nvPicPr>
                  <pic:blipFill>
                    <a:blip r:embed="rId48" cstate="print"/>
                    <a:srcRect/>
                    <a:stretch>
                      <a:fillRect/>
                    </a:stretch>
                  </pic:blipFill>
                  <pic:spPr>
                    <a:xfrm>
                      <a:off x="0" y="0"/>
                      <a:ext cx="381000" cy="304800"/>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注意：在使用内窥镜前，请详细阅读本使用说明书和选用附件的使用说明书。</w:t>
      </w:r>
    </w:p>
    <w:p w14:paraId="2FA0D576">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55600" cy="279400"/>
            <wp:effectExtent l="19050" t="0" r="6350" b="0"/>
            <wp:docPr id="3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37"/>
                    <pic:cNvPicPr>
                      <a:picLocks noChangeAspect="1" noChangeArrowheads="1"/>
                    </pic:cNvPicPr>
                  </pic:nvPicPr>
                  <pic:blipFill>
                    <a:blip r:embed="rId49" cstate="print"/>
                    <a:srcRect/>
                    <a:stretch>
                      <a:fillRect/>
                    </a:stretch>
                  </pic:blipFill>
                  <pic:spPr>
                    <a:xfrm>
                      <a:off x="0" y="0"/>
                      <a:ext cx="355600" cy="279400"/>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警告：要求操作者具有一定的资格，经过业务培训，具有熟练的操作技能。在进行操作之前，应查阅有关技术，并发症和危害等的医学文献。</w:t>
      </w:r>
    </w:p>
    <w:p w14:paraId="3721BF4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04800" cy="236855"/>
            <wp:effectExtent l="19050" t="0" r="0" b="0"/>
            <wp:docPr id="3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38"/>
                    <pic:cNvPicPr>
                      <a:picLocks noChangeAspect="1" noChangeArrowheads="1"/>
                    </pic:cNvPicPr>
                  </pic:nvPicPr>
                  <pic:blipFill>
                    <a:blip r:embed="rId50" cstate="print"/>
                    <a:srcRect/>
                    <a:stretch>
                      <a:fillRect/>
                    </a:stretch>
                  </pic:blipFill>
                  <pic:spPr>
                    <a:xfrm>
                      <a:off x="0" y="0"/>
                      <a:ext cx="304800" cy="236855"/>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警告：消毒不彻底，消毒液过期或未按要求消毒，都有造成交叉感染的可能。特别注意对传染病人和癌症患者术后器械要及时消毒。</w:t>
      </w:r>
    </w:p>
    <w:p w14:paraId="05FDFEAC">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30200" cy="262255"/>
            <wp:effectExtent l="19050" t="0" r="0" b="0"/>
            <wp:docPr id="35"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39"/>
                    <pic:cNvPicPr>
                      <a:picLocks noChangeAspect="1" noChangeArrowheads="1"/>
                    </pic:cNvPicPr>
                  </pic:nvPicPr>
                  <pic:blipFill>
                    <a:blip r:embed="rId51" cstate="print"/>
                    <a:srcRect/>
                    <a:stretch>
                      <a:fillRect/>
                    </a:stretch>
                  </pic:blipFill>
                  <pic:spPr>
                    <a:xfrm>
                      <a:off x="0" y="0"/>
                      <a:ext cx="330200" cy="262255"/>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注意：每次使用前必须检查内窥镜插入人体部分是否有引起安全伤害的粗糙表面、尖锐边缘或突出物。</w:t>
      </w:r>
    </w:p>
    <w:p w14:paraId="7EFDBF6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98145" cy="313055"/>
            <wp:effectExtent l="19050" t="0" r="1905" b="0"/>
            <wp:docPr id="36"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40"/>
                    <pic:cNvPicPr>
                      <a:picLocks noChangeAspect="1" noChangeArrowheads="1"/>
                    </pic:cNvPicPr>
                  </pic:nvPicPr>
                  <pic:blipFill>
                    <a:blip r:embed="rId52" cstate="print"/>
                    <a:srcRect/>
                    <a:stretch>
                      <a:fillRect/>
                    </a:stretch>
                  </pic:blipFill>
                  <pic:spPr>
                    <a:xfrm>
                      <a:off x="0" y="0"/>
                      <a:ext cx="398145" cy="313055"/>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注意：内窥镜是观察、诊断的重要保证。使用时一定要小心谨慎。总做轻柔，循序渐近，不得强行推进、磕碰和弯曲。</w:t>
      </w:r>
    </w:p>
    <w:p w14:paraId="2C1F2BC2">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89255" cy="304800"/>
            <wp:effectExtent l="19050" t="0" r="0" b="0"/>
            <wp:docPr id="37"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41"/>
                    <pic:cNvPicPr>
                      <a:picLocks noChangeAspect="1" noChangeArrowheads="1"/>
                    </pic:cNvPicPr>
                  </pic:nvPicPr>
                  <pic:blipFill>
                    <a:blip r:embed="rId53" cstate="print"/>
                    <a:srcRect/>
                    <a:stretch>
                      <a:fillRect/>
                    </a:stretch>
                  </pic:blipFill>
                  <pic:spPr>
                    <a:xfrm>
                      <a:off x="0" y="0"/>
                      <a:ext cx="389255" cy="304800"/>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警告：不管何时发现内窥镜工作异常，都应立即停止使用，并慢慢地将其取出。使用有故障的内窥镜会对患者造成伤害。</w:t>
      </w:r>
    </w:p>
    <w:p w14:paraId="441BB8BA">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98145" cy="313055"/>
            <wp:effectExtent l="19050" t="0" r="1905" b="0"/>
            <wp:docPr id="38"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42"/>
                    <pic:cNvPicPr>
                      <a:picLocks noChangeAspect="1" noChangeArrowheads="1"/>
                    </pic:cNvPicPr>
                  </pic:nvPicPr>
                  <pic:blipFill>
                    <a:blip r:embed="rId52" cstate="print"/>
                    <a:srcRect/>
                    <a:stretch>
                      <a:fillRect/>
                    </a:stretch>
                  </pic:blipFill>
                  <pic:spPr>
                    <a:xfrm>
                      <a:off x="0" y="0"/>
                      <a:ext cx="398145" cy="313055"/>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警告：任何时候都不要直接用眼睛去看冷光源、光缆或内窥镜发出的光，这会损害眼睛。</w:t>
      </w:r>
    </w:p>
    <w:p w14:paraId="471E3352">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81000" cy="304800"/>
            <wp:effectExtent l="19050" t="0" r="0" b="0"/>
            <wp:docPr id="39"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43"/>
                    <pic:cNvPicPr>
                      <a:picLocks noChangeAspect="1" noChangeArrowheads="1"/>
                    </pic:cNvPicPr>
                  </pic:nvPicPr>
                  <pic:blipFill>
                    <a:blip r:embed="rId48" cstate="print"/>
                    <a:srcRect/>
                    <a:stretch>
                      <a:fillRect/>
                    </a:stretch>
                  </pic:blipFill>
                  <pic:spPr>
                    <a:xfrm>
                      <a:off x="0" y="0"/>
                      <a:ext cx="381000" cy="304800"/>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注意：内窥镜重复使用的医疗器械，长期使用或不适当的维护保养，会引起功能老化等诸方面的损害，使用前，请务必检查内窥镜各部分的安全性和可靠性。</w:t>
      </w:r>
    </w:p>
    <w:p w14:paraId="0A746157">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440055" cy="347345"/>
            <wp:effectExtent l="19050" t="0" r="0" b="0"/>
            <wp:docPr id="40"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44"/>
                    <pic:cNvPicPr>
                      <a:picLocks noChangeAspect="1" noChangeArrowheads="1"/>
                    </pic:cNvPicPr>
                  </pic:nvPicPr>
                  <pic:blipFill>
                    <a:blip r:embed="rId54" cstate="print"/>
                    <a:srcRect/>
                    <a:stretch>
                      <a:fillRect/>
                    </a:stretch>
                  </pic:blipFill>
                  <pic:spPr>
                    <a:xfrm>
                      <a:off x="0" y="0"/>
                      <a:ext cx="440055" cy="347345"/>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注意：内窥镜使用前应检查外表面是否粗糙、是否有尖锐突起物等，一经发现，应立刻停止使用内窥镜，否则会损伤患者。</w:t>
      </w:r>
    </w:p>
    <w:p w14:paraId="7C20D356">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无论对直视还是与视频联用，总是调整光源到获得最佳的内窥镜视野照明效果时所需的最小必需光亮强度，光源的光强度越高，内窥镜末端的热能产生量就越大。</w:t>
      </w:r>
    </w:p>
    <w:p w14:paraId="2B41D1B4">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414655" cy="330200"/>
            <wp:effectExtent l="19050" t="0" r="4445" b="0"/>
            <wp:docPr id="41"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45"/>
                    <pic:cNvPicPr>
                      <a:picLocks noChangeAspect="1" noChangeArrowheads="1"/>
                    </pic:cNvPicPr>
                  </pic:nvPicPr>
                  <pic:blipFill>
                    <a:blip r:embed="rId55" cstate="print"/>
                    <a:srcRect/>
                    <a:stretch>
                      <a:fillRect/>
                    </a:stretch>
                  </pic:blipFill>
                  <pic:spPr>
                    <a:xfrm>
                      <a:off x="0" y="0"/>
                      <a:ext cx="414655" cy="330200"/>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警告：插入人体内部的窥镜部件的表面最高温度不得超过</w:t>
      </w:r>
      <w:r>
        <w:rPr>
          <w:rFonts w:ascii="Times New Roman" w:hAnsi="Times New Roman" w:eastAsia="仿宋_GB2312" w:cs="Times New Roman"/>
          <w:sz w:val="32"/>
          <w:szCs w:val="32"/>
        </w:rPr>
        <w:t>41℃。</w:t>
      </w:r>
    </w:p>
    <w:p w14:paraId="3C19C8E7">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98145" cy="313055"/>
            <wp:effectExtent l="19050" t="0" r="1905" b="0"/>
            <wp:docPr id="42"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46"/>
                    <pic:cNvPicPr>
                      <a:picLocks noChangeAspect="1" noChangeArrowheads="1"/>
                    </pic:cNvPicPr>
                  </pic:nvPicPr>
                  <pic:blipFill>
                    <a:blip r:embed="rId52" cstate="print"/>
                    <a:srcRect/>
                    <a:stretch>
                      <a:fillRect/>
                    </a:stretch>
                  </pic:blipFill>
                  <pic:spPr>
                    <a:xfrm>
                      <a:off x="0" y="0"/>
                      <a:ext cx="398145" cy="313055"/>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警告：内窥镜不得弯折、落地或碰撞，以免损坏。</w:t>
      </w:r>
    </w:p>
    <w:p w14:paraId="319E536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内窥镜上标有“AUTOCLAVE”标志的可用耐高温高压蒸汽灭菌。</w:t>
      </w:r>
    </w:p>
    <w:p w14:paraId="05CFB5D7">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72745" cy="287655"/>
            <wp:effectExtent l="19050" t="0" r="8255" b="0"/>
            <wp:docPr id="43"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47"/>
                    <pic:cNvPicPr>
                      <a:picLocks noChangeAspect="1" noChangeArrowheads="1"/>
                    </pic:cNvPicPr>
                  </pic:nvPicPr>
                  <pic:blipFill>
                    <a:blip r:embed="rId56" cstate="print"/>
                    <a:srcRect/>
                    <a:stretch>
                      <a:fillRect/>
                    </a:stretch>
                  </pic:blipFill>
                  <pic:spPr>
                    <a:xfrm>
                      <a:off x="0" y="0"/>
                      <a:ext cx="372745" cy="287655"/>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注意：如果清洗后导光束表面仍有残留物，会严重影响导光性，必须将残留物清除干净。</w:t>
      </w:r>
    </w:p>
    <w:p w14:paraId="30BF881A">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47345" cy="271145"/>
            <wp:effectExtent l="19050" t="0" r="0" b="0"/>
            <wp:docPr id="44"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48"/>
                    <pic:cNvPicPr>
                      <a:picLocks noChangeAspect="1" noChangeArrowheads="1"/>
                    </pic:cNvPicPr>
                  </pic:nvPicPr>
                  <pic:blipFill>
                    <a:blip r:embed="rId57" cstate="print"/>
                    <a:srcRect/>
                    <a:stretch>
                      <a:fillRect/>
                    </a:stretch>
                  </pic:blipFill>
                  <pic:spPr>
                    <a:xfrm>
                      <a:off x="0" y="0"/>
                      <a:ext cx="347345" cy="271145"/>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警告：高能光会从内窥镜远中末端的导光束中溢出。在距内窥镜远中末端</w:t>
      </w:r>
      <w:r>
        <w:rPr>
          <w:rFonts w:ascii="Times New Roman" w:hAnsi="Times New Roman" w:eastAsia="仿宋_GB2312" w:cs="Times New Roman"/>
          <w:sz w:val="32"/>
          <w:szCs w:val="32"/>
        </w:rPr>
        <w:t>8mm的范围内温度可达到41℃。因此请您避免身体组织或者可燃物质与内窥镜末端的直接接触。如果您在近处工作，请调小光的强度。</w:t>
      </w:r>
    </w:p>
    <w:p w14:paraId="23FBF8D0">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【禁忌症】</w:t>
      </w:r>
    </w:p>
    <w:p w14:paraId="65D7CD11">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详见本指导原则第（六）章内容。</w:t>
      </w:r>
      <w:r>
        <w:rPr>
          <w:rFonts w:ascii="Times New Roman" w:hAnsi="Times New Roman" w:eastAsia="仿宋_GB2312" w:cs="Times New Roman"/>
          <w:sz w:val="32"/>
          <w:szCs w:val="32"/>
        </w:rPr>
        <w:t xml:space="preserve">       </w:t>
      </w:r>
    </w:p>
    <w:p w14:paraId="1ECA5B1D">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【使用方法】</w:t>
      </w:r>
    </w:p>
    <w:p w14:paraId="709C010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将已消毒的内窥镜前端部分置于40℃左右的蒸馏水中待用；</w:t>
      </w:r>
    </w:p>
    <w:p w14:paraId="2B852A64">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将导光束插入光源孔，将光源亮度调至最小处，再将导光束另一端与镜体相联接，最后打开光源，根据需要调整光源亮度，然后对内窥镜进行调焦直至最清晰为止；</w:t>
      </w:r>
    </w:p>
    <w:p w14:paraId="5B01EFC2">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根据临床适应症选取相应规格的窥镜进行操作。</w:t>
      </w:r>
    </w:p>
    <w:p w14:paraId="4AE6DE50">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【运输、储存、消毒、维护和保养方法】</w:t>
      </w:r>
    </w:p>
    <w:p w14:paraId="70F50AD0">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3.1</w:t>
      </w:r>
      <w:r>
        <w:rPr>
          <w:rFonts w:ascii="Times New Roman" w:hAnsi="Times New Roman" w:eastAsia="仿宋_GB2312" w:cs="Times New Roman"/>
          <w:sz w:val="32"/>
          <w:szCs w:val="32"/>
        </w:rPr>
        <w:t>内窥镜应放在专用的包装内，内衬柔软的海绵式聚氨脂泡沫，内窥镜和配套手术器械应码放整齐，不得交叉重叠放置，避免搬运时相互撞击。包装箱内应备有干燥剂保持箱内干燥。包装后的窥镜应储存在相对湿度不超过80%、无腐蚀性气体和通风良好的室内。</w:t>
      </w:r>
    </w:p>
    <w:p w14:paraId="3C32C00A">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清洗、消毒和灭菌</w:t>
      </w:r>
    </w:p>
    <w:p w14:paraId="3BE90E5C">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 xml:space="preserve">2.1 </w:t>
      </w:r>
      <w:r>
        <w:rPr>
          <w:rFonts w:hint="eastAsia" w:ascii="Times New Roman" w:hAnsi="Times New Roman" w:eastAsia="仿宋_GB2312" w:cs="Times New Roman"/>
          <w:sz w:val="32"/>
          <w:szCs w:val="32"/>
        </w:rPr>
        <w:t>清洗</w:t>
      </w:r>
    </w:p>
    <w:p w14:paraId="6233DF59">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3.2.1.1使用后产品立即用流动水彻底清洗，除去血液、黏液等残留物质，并擦干。</w:t>
      </w:r>
    </w:p>
    <w:p w14:paraId="005DC74A">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3.2.1.2将擦干后的内窥镜置于多酶洗液中浸泡。</w:t>
      </w:r>
    </w:p>
    <w:p w14:paraId="04E512A8">
      <w:pPr>
        <w:spacing w:line="520" w:lineRule="exact"/>
        <w:ind w:firstLine="640" w:firstLineChars="200"/>
        <w:rPr>
          <w:rFonts w:ascii="Times New Roman" w:hAnsi="Times New Roman" w:eastAsia="仿宋_GB2312" w:cs="Times New Roman"/>
          <w:spacing w:val="-4"/>
          <w:sz w:val="32"/>
          <w:szCs w:val="32"/>
        </w:rPr>
      </w:pPr>
      <w:r>
        <w:rPr>
          <w:rFonts w:hint="eastAsia" w:ascii="Times New Roman" w:hAnsi="Times New Roman" w:eastAsia="仿宋_GB2312" w:cs="Times New Roman"/>
          <w:sz w:val="32"/>
          <w:szCs w:val="32"/>
        </w:rPr>
        <w:t>3.2.1.3彻底</w:t>
      </w:r>
      <w:r>
        <w:rPr>
          <w:rFonts w:hint="eastAsia" w:ascii="Times New Roman" w:hAnsi="Times New Roman" w:eastAsia="仿宋_GB2312" w:cs="Times New Roman"/>
          <w:spacing w:val="-4"/>
          <w:sz w:val="32"/>
          <w:szCs w:val="32"/>
        </w:rPr>
        <w:t>清洗内窥镜各部件，管腔应当用高压水枪彻底冲洗，可拆卸部分必须拆开清洗，并用超声清洗器清洗</w:t>
      </w:r>
      <w:r>
        <w:rPr>
          <w:rFonts w:ascii="Times New Roman" w:hAnsi="Times New Roman" w:eastAsia="仿宋_GB2312" w:cs="Times New Roman"/>
          <w:spacing w:val="-4"/>
          <w:sz w:val="32"/>
          <w:szCs w:val="32"/>
        </w:rPr>
        <w:t>5min</w:t>
      </w:r>
      <w:r>
        <w:rPr>
          <w:rFonts w:hint="eastAsia" w:ascii="Times New Roman" w:hAnsi="Times New Roman" w:eastAsia="仿宋_GB2312" w:cs="Times New Roman"/>
          <w:spacing w:val="-4"/>
          <w:sz w:val="32"/>
          <w:szCs w:val="32"/>
        </w:rPr>
        <w:t>—</w:t>
      </w:r>
      <w:r>
        <w:rPr>
          <w:rFonts w:ascii="Times New Roman" w:hAnsi="Times New Roman" w:eastAsia="仿宋_GB2312" w:cs="Times New Roman"/>
          <w:spacing w:val="-4"/>
          <w:sz w:val="32"/>
          <w:szCs w:val="32"/>
        </w:rPr>
        <w:t>10min</w:t>
      </w:r>
      <w:r>
        <w:rPr>
          <w:rFonts w:hint="eastAsia" w:ascii="Times New Roman" w:hAnsi="Times New Roman" w:eastAsia="仿宋_GB2312" w:cs="Times New Roman"/>
          <w:spacing w:val="-4"/>
          <w:sz w:val="32"/>
          <w:szCs w:val="32"/>
        </w:rPr>
        <w:t>。</w:t>
      </w:r>
    </w:p>
    <w:p w14:paraId="741E4488">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3.2.1.4管腔内用软毛刷彻底刷洗，刷洗时注意避免划伤镜面。</w:t>
      </w:r>
    </w:p>
    <w:p w14:paraId="409AB6B7">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3.2.1.5专用清洁工具或设备说明</w:t>
      </w:r>
    </w:p>
    <w:p w14:paraId="5B9AC97C">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仅可使用清洗机生产厂家为清洗内窥镜器具而生产的超声波清洗机清洗内窥镜，清洗过程参加超声波清洗机使用说明书。</w:t>
      </w:r>
    </w:p>
    <w:p w14:paraId="66025762">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431800" cy="338455"/>
            <wp:effectExtent l="19050" t="0" r="6350" b="0"/>
            <wp:docPr id="45"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49"/>
                    <pic:cNvPicPr>
                      <a:picLocks noChangeAspect="1" noChangeArrowheads="1"/>
                    </pic:cNvPicPr>
                  </pic:nvPicPr>
                  <pic:blipFill>
                    <a:blip r:embed="rId54" cstate="print"/>
                    <a:srcRect/>
                    <a:stretch>
                      <a:fillRect/>
                    </a:stretch>
                  </pic:blipFill>
                  <pic:spPr>
                    <a:xfrm>
                      <a:off x="0" y="0"/>
                      <a:ext cx="431800" cy="338455"/>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注意：为防止手术期间内窥镜起雾，必须保证在内窥镜眼罩处及光学成像系统接口等部件完全干燥无潮湿。</w:t>
      </w:r>
    </w:p>
    <w:p w14:paraId="1EBA416E">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为保证各零部件（手柄及内窥镜）牢固安全的连接在一起，内窥镜和手柄连接的密封处不可弄脏或受损。</w:t>
      </w:r>
    </w:p>
    <w:p w14:paraId="79EEC4D6">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 xml:space="preserve">2.2 </w:t>
      </w:r>
      <w:r>
        <w:rPr>
          <w:rFonts w:hint="eastAsia" w:ascii="Times New Roman" w:hAnsi="Times New Roman" w:eastAsia="仿宋_GB2312" w:cs="Times New Roman"/>
          <w:sz w:val="32"/>
          <w:szCs w:val="32"/>
        </w:rPr>
        <w:t>内窥镜消毒</w:t>
      </w:r>
    </w:p>
    <w:p w14:paraId="699A0FFE">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2.2</w:t>
      </w:r>
      <w:r>
        <w:rPr>
          <w:rFonts w:hint="eastAsia" w:ascii="Times New Roman" w:hAnsi="Times New Roman" w:eastAsia="仿宋_GB2312" w:cs="Times New Roman"/>
          <w:sz w:val="32"/>
          <w:szCs w:val="32"/>
        </w:rPr>
        <w:t>.1消毒说明</w:t>
      </w:r>
    </w:p>
    <w:p w14:paraId="603A7FBE">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内窥镜可采用专门用于内窥镜的含有2%戊二醛的高级消毒溶液进行化学消毒。</w:t>
      </w:r>
    </w:p>
    <w:p w14:paraId="436C202B">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98145" cy="313055"/>
            <wp:effectExtent l="19050" t="0" r="1905" b="0"/>
            <wp:docPr id="46"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50"/>
                    <pic:cNvPicPr>
                      <a:picLocks noChangeAspect="1" noChangeArrowheads="1"/>
                    </pic:cNvPicPr>
                  </pic:nvPicPr>
                  <pic:blipFill>
                    <a:blip r:embed="rId52" cstate="print"/>
                    <a:srcRect/>
                    <a:stretch>
                      <a:fillRect/>
                    </a:stretch>
                  </pic:blipFill>
                  <pic:spPr>
                    <a:xfrm>
                      <a:off x="0" y="0"/>
                      <a:ext cx="398145" cy="313055"/>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警告：应当避免使用戊二醛浓度超过</w:t>
      </w:r>
      <w:r>
        <w:rPr>
          <w:rFonts w:ascii="Times New Roman" w:hAnsi="Times New Roman" w:eastAsia="仿宋_GB2312" w:cs="Times New Roman"/>
          <w:sz w:val="32"/>
          <w:szCs w:val="32"/>
        </w:rPr>
        <w:t>2%的溶液，因为高浓度的戊二醛可能造成内窥镜的损坏。</w:t>
      </w:r>
    </w:p>
    <w:p w14:paraId="004BCF7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将内窥镜置于单独的塑料容器内，应当使用塑料制容器以避免内窥镜擦伤及消除不同金属浸没于相同溶液之中发生的电解腐蚀。不要将内窥镜与其他的器械浸泡在一起以避免对内窥镜造成损坏。</w:t>
      </w:r>
    </w:p>
    <w:p w14:paraId="55FBF794">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向戊二醛中加入活化剂溶液活化成戊二醛溶液、摇匀，检查戊二醛的PH值处于8.2和8.9之间，保证活化的戊二醛溶液具有最佳的抗菌活性。在容器上标明活化以及失去的日期。</w:t>
      </w:r>
    </w:p>
    <w:p w14:paraId="59646D8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98145" cy="313055"/>
            <wp:effectExtent l="19050" t="0" r="1905" b="0"/>
            <wp:docPr id="47"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51"/>
                    <pic:cNvPicPr>
                      <a:picLocks noChangeAspect="1" noChangeArrowheads="1"/>
                    </pic:cNvPicPr>
                  </pic:nvPicPr>
                  <pic:blipFill>
                    <a:blip r:embed="rId52" cstate="print"/>
                    <a:srcRect/>
                    <a:stretch>
                      <a:fillRect/>
                    </a:stretch>
                  </pic:blipFill>
                  <pic:spPr>
                    <a:xfrm>
                      <a:off x="0" y="0"/>
                      <a:ext cx="398145" cy="313055"/>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注意：要查找与戊二醛消毒溶液使用相关详细信息及使用说明书请参见戊二醛制造厂商的使用说明书</w:t>
      </w:r>
    </w:p>
    <w:p w14:paraId="3B69F17C">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采用无棉绒无菌布擦干内窥镜。</w:t>
      </w:r>
    </w:p>
    <w:p w14:paraId="78618244">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3.2.3内窥镜灭菌说明</w:t>
      </w:r>
    </w:p>
    <w:p w14:paraId="6499337E">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3.2.3.1</w:t>
      </w:r>
      <w:r>
        <w:rPr>
          <w:rFonts w:ascii="Times New Roman" w:hAnsi="Times New Roman" w:eastAsia="仿宋_GB2312" w:cs="Times New Roman"/>
          <w:sz w:val="32"/>
          <w:szCs w:val="32"/>
        </w:rPr>
        <w:t>蒸汽灭菌</w:t>
      </w:r>
    </w:p>
    <w:p w14:paraId="1FA74615">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内窥镜上标有“</w:t>
      </w:r>
      <w:r>
        <w:rPr>
          <w:rFonts w:ascii="Times New Roman" w:hAnsi="Times New Roman" w:eastAsia="仿宋_GB2312" w:cs="Times New Roman"/>
          <w:sz w:val="32"/>
          <w:szCs w:val="32"/>
        </w:rPr>
        <w:t>AUTOCLAVE”标志的可用耐高温高压蒸汽灭菌。</w:t>
      </w:r>
    </w:p>
    <w:p w14:paraId="41576C1C">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55600" cy="279400"/>
            <wp:effectExtent l="19050" t="0" r="6350" b="0"/>
            <wp:docPr id="4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52"/>
                    <pic:cNvPicPr>
                      <a:picLocks noChangeAspect="1" noChangeArrowheads="1"/>
                    </pic:cNvPicPr>
                  </pic:nvPicPr>
                  <pic:blipFill>
                    <a:blip r:embed="rId49" cstate="print"/>
                    <a:srcRect/>
                    <a:stretch>
                      <a:fillRect/>
                    </a:stretch>
                  </pic:blipFill>
                  <pic:spPr>
                    <a:xfrm>
                      <a:off x="0" y="0"/>
                      <a:ext cx="355600" cy="279400"/>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注意：温度的突然变化可能引起内窥镜玻璃部件的破裂，从高压灭菌器中取出内窥镜后不要立即暴露于空气中。</w:t>
      </w:r>
    </w:p>
    <w:p w14:paraId="5D93AD36">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98145" cy="313055"/>
            <wp:effectExtent l="19050" t="0" r="1905" b="0"/>
            <wp:docPr id="49"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53"/>
                    <pic:cNvPicPr>
                      <a:picLocks noChangeAspect="1" noChangeArrowheads="1"/>
                    </pic:cNvPicPr>
                  </pic:nvPicPr>
                  <pic:blipFill>
                    <a:blip r:embed="rId52" cstate="print"/>
                    <a:srcRect/>
                    <a:stretch>
                      <a:fillRect/>
                    </a:stretch>
                  </pic:blipFill>
                  <pic:spPr>
                    <a:xfrm>
                      <a:off x="0" y="0"/>
                      <a:ext cx="398145" cy="313055"/>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注意：不能采用向内窥镜上倾倒冷的、无菌液体的方式冷却内窥镜。强制冷却可能造成内窥镜的严重损坏。</w:t>
      </w:r>
    </w:p>
    <w:p w14:paraId="0A0AEC9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381000" cy="296545"/>
            <wp:effectExtent l="19050" t="0" r="0" b="0"/>
            <wp:docPr id="50"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54"/>
                    <pic:cNvPicPr>
                      <a:picLocks noChangeAspect="1" noChangeArrowheads="1"/>
                    </pic:cNvPicPr>
                  </pic:nvPicPr>
                  <pic:blipFill>
                    <a:blip r:embed="rId58" cstate="print"/>
                    <a:srcRect/>
                    <a:stretch>
                      <a:fillRect/>
                    </a:stretch>
                  </pic:blipFill>
                  <pic:spPr>
                    <a:xfrm>
                      <a:off x="0" y="0"/>
                      <a:ext cx="381000" cy="296545"/>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注意：在使用高压蒸汽灭菌之前，所有的内窥镜必须经过彻底的清洗，必须完全去除所有的有机物质、血迹以及清洗溶液。</w:t>
      </w:r>
    </w:p>
    <w:p w14:paraId="79AE9542">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将内窥镜置于一灭菌托盘上。</w:t>
      </w:r>
    </w:p>
    <w:p w14:paraId="095C7ABF">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预抽真空或高真空灭菌包括了四个基本阶段：准备阶段、处理阶段、排气阶段、干燥阶段。条件阶段通过抽真空去除室内的空气，向室内注入蒸汽预温器械，当温度达到</w:t>
      </w:r>
      <w:r>
        <w:rPr>
          <w:rFonts w:ascii="Times New Roman" w:hAnsi="Times New Roman" w:eastAsia="仿宋_GB2312" w:cs="Times New Roman"/>
          <w:sz w:val="32"/>
          <w:szCs w:val="32"/>
        </w:rPr>
        <w:t>134℃，压力值为200Kpa后进入第二个阶段即处理阶段。在预抽真空型的灭菌器中处里阶段的时间为4min。排气阶段即排除室中所有的蒸汽。最后再一次抽真空，让器械在真空中干燥大约20min。</w:t>
      </w:r>
    </w:p>
    <w:p w14:paraId="29FEA418">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安置托盘于灭菌器中时必须保证蒸汽的足够循环与流通，空气移动与冷凝水的排除。宽松放置的灭菌器保证了灭菌剂最好的穿透效果。</w:t>
      </w:r>
    </w:p>
    <w:p w14:paraId="3D076002">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在蒸汽灭菌循环完成后，内窥镜在足够冷却之前，不能碰触。</w:t>
      </w:r>
    </w:p>
    <w:p w14:paraId="3CA47D2F">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3.2.3.2</w:t>
      </w:r>
      <w:r>
        <w:rPr>
          <w:rFonts w:ascii="Times New Roman" w:hAnsi="Times New Roman" w:eastAsia="仿宋_GB2312" w:cs="Times New Roman"/>
          <w:sz w:val="32"/>
          <w:szCs w:val="32"/>
        </w:rPr>
        <w:t>还可采用过氧化氢低温等离子体灭菌。</w:t>
      </w:r>
    </w:p>
    <w:p w14:paraId="36FB8576">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3.2.3.3</w:t>
      </w:r>
      <w:r>
        <w:rPr>
          <w:rFonts w:ascii="Times New Roman" w:hAnsi="Times New Roman" w:eastAsia="仿宋_GB2312" w:cs="Times New Roman"/>
          <w:sz w:val="32"/>
          <w:szCs w:val="32"/>
        </w:rPr>
        <w:t>经卫生部门批准的其他内窥镜灭菌方法</w:t>
      </w:r>
    </w:p>
    <w:p w14:paraId="21822378">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406400" cy="321945"/>
            <wp:effectExtent l="19050" t="0" r="0" b="0"/>
            <wp:docPr id="5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55"/>
                    <pic:cNvPicPr>
                      <a:picLocks noChangeAspect="1" noChangeArrowheads="1"/>
                    </pic:cNvPicPr>
                  </pic:nvPicPr>
                  <pic:blipFill>
                    <a:blip r:embed="rId59" cstate="print"/>
                    <a:srcRect/>
                    <a:stretch>
                      <a:fillRect/>
                    </a:stretch>
                  </pic:blipFill>
                  <pic:spPr>
                    <a:xfrm>
                      <a:off x="0" y="0"/>
                      <a:ext cx="406400" cy="321945"/>
                    </a:xfrm>
                    <a:prstGeom prst="rect">
                      <a:avLst/>
                    </a:prstGeom>
                    <a:noFill/>
                    <a:ln w="9525">
                      <a:noFill/>
                      <a:miter lim="800000"/>
                      <a:headEnd/>
                      <a:tailEnd/>
                    </a:ln>
                  </pic:spPr>
                </pic:pic>
              </a:graphicData>
            </a:graphic>
          </wp:inline>
        </w:drawing>
      </w:r>
      <w:r>
        <w:rPr>
          <w:rFonts w:hint="eastAsia" w:ascii="Times New Roman" w:hAnsi="Times New Roman" w:eastAsia="仿宋_GB2312" w:cs="Times New Roman"/>
          <w:sz w:val="32"/>
          <w:szCs w:val="32"/>
        </w:rPr>
        <w:t>注意：</w:t>
      </w:r>
    </w:p>
    <w:p w14:paraId="7925D1F4">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开放性结核、肝炎、艾滋病病人或病原携带者应使用专用内窥镜，病人及每天使用前后均应对内窥镜进行严格灭菌，其灭菌用容器也应与普通病人用的灭菌容器严格分开。若使用专用内窥镜有困难，则应对这类病人使用过的内窥镜进行灭菌处理或至少达到高水平消毒。</w:t>
      </w:r>
    </w:p>
    <w:p w14:paraId="09F8B726">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采用化学消毒剂灭菌的内窥镜，用前应用无菌水彻底冲洗，以去除残留的消毒剂。</w:t>
      </w:r>
    </w:p>
    <w:p w14:paraId="480A2917">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3手术后保养</w:t>
      </w:r>
    </w:p>
    <w:p w14:paraId="5550E31A">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 xml:space="preserve">3.1 </w:t>
      </w:r>
      <w:r>
        <w:rPr>
          <w:rFonts w:hint="eastAsia" w:ascii="Times New Roman" w:hAnsi="Times New Roman" w:eastAsia="仿宋_GB2312" w:cs="Times New Roman"/>
          <w:sz w:val="32"/>
          <w:szCs w:val="32"/>
        </w:rPr>
        <w:t>硬性光学内窥镜在手术后，先将可拆卸的导光束接口拧下，连同内窥镜用清水冲掉血和黏液，再用脱脂棉沾医用酒精将窥镜整体擦拭干净，导光束接口用棉签沾医用酒精擦拭干净后装回原处。</w:t>
      </w:r>
    </w:p>
    <w:p w14:paraId="25FD3713">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 xml:space="preserve">3.2 </w:t>
      </w:r>
      <w:r>
        <w:rPr>
          <w:rFonts w:hint="eastAsia" w:ascii="Times New Roman" w:hAnsi="Times New Roman" w:eastAsia="仿宋_GB2312" w:cs="Times New Roman"/>
          <w:sz w:val="32"/>
          <w:szCs w:val="32"/>
        </w:rPr>
        <w:t>在擦拭内窥镜两端镜面时，可用乙醚、丙酮擦拭，擦掉污物后再用酒精擦干净，不可用酸碱性大的溶剂擦拭，以免腐蚀镜片或溶化封装胶，造成图像分辨率下降或镜体内进水，清洗污物时一般用棉签裹脱脂棉擦拭，也可用软毛刷（毛笔）刷洗，不可用硬毛刷清理，更不能用锋利锐器剔除。</w:t>
      </w:r>
    </w:p>
    <w:p w14:paraId="1E99DBC5">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 xml:space="preserve">3.3 </w:t>
      </w:r>
      <w:r>
        <w:rPr>
          <w:rFonts w:hint="eastAsia" w:ascii="Times New Roman" w:hAnsi="Times New Roman" w:eastAsia="仿宋_GB2312" w:cs="Times New Roman"/>
          <w:sz w:val="32"/>
          <w:szCs w:val="32"/>
        </w:rPr>
        <w:t>清洗后的内窥镜在托盘中晾干后，在放入包装箱内保存。</w:t>
      </w:r>
    </w:p>
    <w:p w14:paraId="06E1D085">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4维修</w:t>
      </w:r>
    </w:p>
    <w:p w14:paraId="1FFFC07E">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内窥镜出现问题时，应找专业的技术人员维修或由生产商指定售后服务单位或维修形式。</w:t>
      </w:r>
      <w:r>
        <w:rPr>
          <w:rFonts w:ascii="Times New Roman" w:hAnsi="Times New Roman" w:eastAsia="仿宋_GB2312" w:cs="Times New Roman"/>
          <w:sz w:val="32"/>
          <w:szCs w:val="32"/>
        </w:rPr>
        <w:t xml:space="preserve"> </w:t>
      </w:r>
    </w:p>
    <w:p w14:paraId="50C87E45">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【医疗器械标签所用的图形、符号、缩写】</w:t>
      </w:r>
    </w:p>
    <w:p w14:paraId="31F9F298">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对于所用的图形、符号、缩写内容作出相应解释。</w:t>
      </w:r>
    </w:p>
    <w:p w14:paraId="591A0AA6">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【说明书的编制或修订日期】</w:t>
      </w:r>
    </w:p>
    <w:p w14:paraId="59638F03">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编制或修订的实际日期。</w:t>
      </w:r>
    </w:p>
    <w:p w14:paraId="360F6D71">
      <w:pPr>
        <w:spacing w:line="520" w:lineRule="exact"/>
        <w:ind w:firstLine="640" w:firstLineChars="200"/>
        <w:rPr>
          <w:rFonts w:ascii="楷体_GB2312" w:hAnsi="Times New Roman" w:eastAsia="楷体_GB2312" w:cs="Times New Roman"/>
          <w:sz w:val="32"/>
          <w:szCs w:val="32"/>
        </w:rPr>
      </w:pPr>
      <w:r>
        <w:rPr>
          <w:rFonts w:hint="eastAsia" w:ascii="楷体_GB2312" w:hAnsi="Times New Roman" w:eastAsia="楷体_GB2312" w:cs="Times New Roman"/>
          <w:sz w:val="32"/>
          <w:szCs w:val="32"/>
        </w:rPr>
        <w:t>（十四）产品的研究要求</w:t>
      </w:r>
    </w:p>
    <w:p w14:paraId="5DC454D7">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根据所申报的产品，提供适用的研究资料。</w:t>
      </w:r>
    </w:p>
    <w:p w14:paraId="3299119B">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1．产品性能研究</w:t>
      </w:r>
    </w:p>
    <w:p w14:paraId="44C6DCFA">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应当提供产品性能研究资料以及产品技术要求的研究和编制说明，包括功能性、安全性指标以及与质量控制相关的其他指标的确定依据，所采用的标准或方法、采用的原因及理论基础。</w:t>
      </w:r>
    </w:p>
    <w:p w14:paraId="3688937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2．生物相容性评价研究</w:t>
      </w:r>
    </w:p>
    <w:p w14:paraId="298C4D24">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应对成品中与患者和使用者直接或间接接触的材料的生物相容性进行评价。</w:t>
      </w:r>
    </w:p>
    <w:p w14:paraId="000BBBD2">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生物相容性评价研究资料应当包括：</w:t>
      </w:r>
    </w:p>
    <w:p w14:paraId="65EDE734">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1）生物相容性评价的依据和方法。</w:t>
      </w:r>
    </w:p>
    <w:p w14:paraId="1782C08B">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2）产品所用材料的描述及与人体接触的性质。</w:t>
      </w:r>
    </w:p>
    <w:p w14:paraId="24C40EF9">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3）实施或豁免生物学试验的理由和论证。</w:t>
      </w:r>
    </w:p>
    <w:p w14:paraId="7A80CC1F">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4）对于现有数据或试验结果的评价。</w:t>
      </w:r>
    </w:p>
    <w:p w14:paraId="31A9FA85">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一般内窥镜与患者接触部分为外镜管和镜头部分，包括可能的加工助剂。</w:t>
      </w:r>
    </w:p>
    <w:p w14:paraId="7A26EFD7">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外镜管材料应选用符合</w:t>
      </w:r>
      <w:r>
        <w:rPr>
          <w:rFonts w:ascii="Times New Roman" w:hAnsi="Times New Roman" w:eastAsia="仿宋_GB2312" w:cs="Times New Roman"/>
          <w:sz w:val="32"/>
          <w:szCs w:val="32"/>
        </w:rPr>
        <w:t xml:space="preserve">YY/T0294.1-2005《外科器械 </w:t>
      </w:r>
      <w:r>
        <w:rPr>
          <w:rFonts w:hint="eastAsia" w:ascii="Times New Roman" w:hAnsi="Times New Roman" w:eastAsia="仿宋_GB2312" w:cs="Times New Roman"/>
          <w:sz w:val="32"/>
          <w:szCs w:val="32"/>
        </w:rPr>
        <w:t>金属材料</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第</w:t>
      </w:r>
      <w:r>
        <w:rPr>
          <w:rFonts w:ascii="Times New Roman" w:hAnsi="Times New Roman" w:eastAsia="仿宋_GB2312" w:cs="Times New Roman"/>
          <w:sz w:val="32"/>
          <w:szCs w:val="32"/>
        </w:rPr>
        <w:t xml:space="preserve">1部分 </w:t>
      </w:r>
      <w:r>
        <w:rPr>
          <w:rFonts w:hint="eastAsia" w:ascii="Times New Roman" w:hAnsi="Times New Roman" w:eastAsia="仿宋_GB2312" w:cs="Times New Roman"/>
          <w:sz w:val="32"/>
          <w:szCs w:val="32"/>
        </w:rPr>
        <w:t>不锈钢》标准要求的不锈钢材料制造的。</w:t>
      </w:r>
    </w:p>
    <w:p w14:paraId="317F2DDB">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内窥镜应符合以下生物学评价要求</w:t>
      </w:r>
      <w:r>
        <w:rPr>
          <w:rFonts w:ascii="Times New Roman" w:hAnsi="Times New Roman" w:eastAsia="仿宋_GB2312" w:cs="Times New Roman"/>
          <w:sz w:val="32"/>
          <w:szCs w:val="32"/>
        </w:rPr>
        <w:t>:</w:t>
      </w:r>
    </w:p>
    <w:p w14:paraId="247F2C9E">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细胞毒性应不大于1级;</w:t>
      </w:r>
    </w:p>
    <w:p w14:paraId="14C48595">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应无迟发性超敏反应;</w:t>
      </w:r>
    </w:p>
    <w:p w14:paraId="622D9ECE">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应无皮内刺激反应。</w:t>
      </w:r>
    </w:p>
    <w:p w14:paraId="3D53D160">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具体生物学评价要求可参照《</w:t>
      </w:r>
      <w:r>
        <w:rPr>
          <w:rFonts w:ascii="Times New Roman" w:hAnsi="Times New Roman" w:eastAsia="仿宋_GB2312" w:cs="Times New Roman"/>
          <w:sz w:val="32"/>
          <w:szCs w:val="32"/>
        </w:rPr>
        <w:t>关于印发医疗器械生物学评价和审查指南的通知</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国食药监械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345号</w:t>
      </w:r>
      <w:r>
        <w:rPr>
          <w:rFonts w:hint="eastAsia" w:ascii="Times New Roman" w:hAnsi="Times New Roman" w:eastAsia="仿宋_GB2312" w:cs="Times New Roman"/>
          <w:sz w:val="32"/>
          <w:szCs w:val="32"/>
        </w:rPr>
        <w:t>）。</w:t>
      </w:r>
    </w:p>
    <w:p w14:paraId="18495747">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生物安全性研究</w:t>
      </w:r>
    </w:p>
    <w:p w14:paraId="74B71536">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内窥镜产品不含有同种异体材料、动物源性材料或生物活性物质，本条不适用。</w:t>
      </w:r>
    </w:p>
    <w:p w14:paraId="1F55F358">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灭菌/消毒工艺研究</w:t>
      </w:r>
    </w:p>
    <w:p w14:paraId="73930B28">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4.1生产企业灭菌/消毒</w:t>
      </w:r>
      <w:r>
        <w:rPr>
          <w:rFonts w:hint="eastAsia" w:ascii="Times New Roman" w:hAnsi="Times New Roman" w:eastAsia="仿宋_GB2312" w:cs="Times New Roman"/>
          <w:sz w:val="32"/>
          <w:szCs w:val="32"/>
        </w:rPr>
        <w:t>：内窥镜产品为重复使用产品，本条不适用。</w:t>
      </w:r>
    </w:p>
    <w:p w14:paraId="6883DC10">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4.2</w:t>
      </w:r>
      <w:r>
        <w:rPr>
          <w:rFonts w:hint="eastAsia" w:ascii="Times New Roman" w:hAnsi="Times New Roman" w:eastAsia="仿宋_GB2312" w:cs="Times New Roman"/>
          <w:sz w:val="32"/>
          <w:szCs w:val="32"/>
        </w:rPr>
        <w:t>终端用户消毒、灭菌：企业应当明确所推荐的消毒或灭菌工艺确定的依据。</w:t>
      </w:r>
    </w:p>
    <w:p w14:paraId="68E5F39A">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4.3残留毒性：</w:t>
      </w:r>
      <w:r>
        <w:rPr>
          <w:rFonts w:hint="eastAsia" w:ascii="Times New Roman" w:hAnsi="Times New Roman" w:eastAsia="仿宋_GB2312" w:cs="Times New Roman"/>
          <w:sz w:val="32"/>
          <w:szCs w:val="32"/>
        </w:rPr>
        <w:t>如灭菌使用的方法容易出现残留，应当明确残留物信息及采取的处理方法，并提供研究资料。</w:t>
      </w:r>
    </w:p>
    <w:p w14:paraId="3DE89F29">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产品有效期和包装研究</w:t>
      </w:r>
    </w:p>
    <w:p w14:paraId="36D08B08">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企业应提供有效期或使用次数的研究资料。对于产品的包装及包装完整性的要求应符合</w:t>
      </w:r>
      <w:r>
        <w:rPr>
          <w:rFonts w:ascii="Times New Roman" w:hAnsi="Times New Roman" w:eastAsia="仿宋_GB2312" w:cs="Times New Roman"/>
          <w:sz w:val="32"/>
          <w:szCs w:val="32"/>
        </w:rPr>
        <w:t xml:space="preserve">GB/T 14710-2009 </w:t>
      </w:r>
      <w:r>
        <w:rPr>
          <w:rFonts w:hint="eastAsia" w:ascii="Times New Roman" w:hAnsi="Times New Roman" w:eastAsia="仿宋_GB2312" w:cs="Times New Roman"/>
          <w:sz w:val="32"/>
          <w:szCs w:val="32"/>
        </w:rPr>
        <w:t>《医用电气设备环境要求及试验方法》标准要求。</w:t>
      </w:r>
    </w:p>
    <w:p w14:paraId="5930E7AA">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.床前动物试验</w:t>
      </w:r>
    </w:p>
    <w:p w14:paraId="18EB0824">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不适用。</w:t>
      </w:r>
    </w:p>
    <w:p w14:paraId="7D267D0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.软件研究</w:t>
      </w:r>
    </w:p>
    <w:p w14:paraId="6C9EAC88">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本内窥镜为不含有软件的产品，本条不适用</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w:t>
      </w:r>
    </w:p>
    <w:p w14:paraId="3D23C2F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.其他资料</w:t>
      </w:r>
    </w:p>
    <w:p w14:paraId="79BAA94F">
      <w:pPr>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证明产品安全性、有效性的其他研究资料。</w:t>
      </w:r>
    </w:p>
    <w:p w14:paraId="6420CA2F">
      <w:r>
        <w:br w:type="page"/>
      </w:r>
    </w:p>
    <w:p w14:paraId="2291EFF4">
      <w:pPr>
        <w:spacing w:line="520" w:lineRule="exact"/>
        <w:ind w:firstLine="640" w:firstLineChars="200"/>
        <w:rPr>
          <w:rFonts w:ascii="Times New Roman" w:hAnsi="Times New Roman" w:eastAsia="仿宋_GB2312" w:cs="Times New Roman"/>
          <w:sz w:val="32"/>
          <w:szCs w:val="32"/>
        </w:rPr>
      </w:pPr>
    </w:p>
    <w:p w14:paraId="3D3594E5">
      <w:pPr>
        <w:spacing w:line="600" w:lineRule="exact"/>
        <w:jc w:val="center"/>
        <w:rPr>
          <w:rFonts w:ascii="方正小标宋简体" w:hAnsi="Times New Roman" w:eastAsia="方正小标宋简体" w:cs="Times New Roman"/>
          <w:sz w:val="44"/>
          <w:szCs w:val="32"/>
        </w:rPr>
      </w:pPr>
      <w:r>
        <w:rPr>
          <w:rFonts w:hint="eastAsia" w:ascii="方正小标宋简体" w:hAnsi="Times New Roman" w:eastAsia="方正小标宋简体" w:cs="Times New Roman"/>
          <w:sz w:val="44"/>
          <w:szCs w:val="32"/>
        </w:rPr>
        <w:t>硬性光学内窥镜（第二类）注册技术审查</w:t>
      </w:r>
    </w:p>
    <w:p w14:paraId="647955CA">
      <w:pPr>
        <w:spacing w:line="600" w:lineRule="exact"/>
        <w:jc w:val="center"/>
        <w:rPr>
          <w:rFonts w:ascii="方正小标宋简体" w:hAnsi="Times New Roman" w:eastAsia="方正小标宋简体" w:cs="Times New Roman"/>
          <w:sz w:val="44"/>
          <w:szCs w:val="32"/>
        </w:rPr>
      </w:pPr>
      <w:r>
        <w:rPr>
          <w:rFonts w:hint="eastAsia" w:ascii="方正小标宋简体" w:hAnsi="Times New Roman" w:eastAsia="方正小标宋简体" w:cs="Times New Roman"/>
          <w:sz w:val="44"/>
          <w:szCs w:val="32"/>
        </w:rPr>
        <w:t>指导原则修订说明</w:t>
      </w:r>
    </w:p>
    <w:p w14:paraId="7835370B">
      <w:pPr>
        <w:spacing w:line="520" w:lineRule="exact"/>
        <w:ind w:firstLine="640" w:firstLineChars="200"/>
        <w:rPr>
          <w:rFonts w:ascii="Times New Roman" w:hAnsi="Times New Roman" w:eastAsia="仿宋_GB2312" w:cs="Times New Roman"/>
          <w:sz w:val="32"/>
          <w:szCs w:val="32"/>
        </w:rPr>
      </w:pPr>
    </w:p>
    <w:p w14:paraId="53AD0009">
      <w:pPr>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一、指导原则修订的背景和目的</w:t>
      </w:r>
    </w:p>
    <w:p w14:paraId="4534C174">
      <w:pPr>
        <w:spacing w:line="520" w:lineRule="exact"/>
        <w:ind w:firstLine="640" w:firstLineChars="200"/>
        <w:rPr>
          <w:rFonts w:ascii="楷体_GB2312" w:hAnsi="楷体" w:eastAsia="楷体_GB2312" w:cs="Times New Roman"/>
          <w:sz w:val="32"/>
          <w:szCs w:val="32"/>
        </w:rPr>
      </w:pPr>
      <w:r>
        <w:rPr>
          <w:rFonts w:ascii="楷体_GB2312" w:hAnsi="楷体" w:eastAsia="楷体_GB2312" w:cs="Times New Roman"/>
          <w:sz w:val="32"/>
          <w:szCs w:val="32"/>
        </w:rPr>
        <w:t>（一）修订背景</w:t>
      </w:r>
    </w:p>
    <w:p w14:paraId="4CFA740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随着新的《医疗器械监督管理条例》及配套法规的发布和实施，以及与此类产品相关的国家标准、行业标准的修订改版和相关新标准的发布，同时按照国家总局要求，需要对本指导原则进行修订。</w:t>
      </w:r>
    </w:p>
    <w:p w14:paraId="68B730CA">
      <w:pPr>
        <w:spacing w:line="520" w:lineRule="exact"/>
        <w:ind w:firstLine="640" w:firstLineChars="200"/>
        <w:rPr>
          <w:rFonts w:ascii="楷体_GB2312" w:hAnsi="楷体" w:eastAsia="楷体_GB2312" w:cs="Times New Roman"/>
          <w:sz w:val="32"/>
          <w:szCs w:val="32"/>
        </w:rPr>
      </w:pPr>
      <w:r>
        <w:rPr>
          <w:rFonts w:ascii="楷体_GB2312" w:hAnsi="楷体" w:eastAsia="楷体_GB2312" w:cs="Times New Roman"/>
          <w:sz w:val="32"/>
          <w:szCs w:val="32"/>
        </w:rPr>
        <w:t>（二）修订目的</w:t>
      </w:r>
    </w:p>
    <w:p w14:paraId="69EDD508">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1.本指导原则修订的目的是为了能够满足新法规、新标准的要求，并用于指导和规范第二类硬管内窥镜产品注册申报过程中审查人员对注册材料的技术审评。</w:t>
      </w:r>
    </w:p>
    <w:p w14:paraId="1DCAA34C">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本指导原则旨在让初次接触该类产品的注册审查人员对产品机理、结构、主要性能、预期用途等各个方面有个基本了解，同时让技术审查人员在产品注册技术审评时把握基本的要求尺度，以确保产品的安全、有效。</w:t>
      </w:r>
    </w:p>
    <w:p w14:paraId="4C7459F7">
      <w:pPr>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二、指导原则修订的依据</w:t>
      </w:r>
    </w:p>
    <w:p w14:paraId="27CB2F6A">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（一）《医疗器械监督管理条例》（国务院令第650号）</w:t>
      </w:r>
    </w:p>
    <w:p w14:paraId="0D1F2BF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（二）《医疗器械注册管理办法》（国家食品药品监督管理总局令第4号）</w:t>
      </w:r>
    </w:p>
    <w:p w14:paraId="21797578">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（三）《医疗器械临床试验规定》（国家食品药品监督管理总局令第5号）</w:t>
      </w:r>
    </w:p>
    <w:p w14:paraId="7FB46B64">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（四）《医疗器械临床评价技术指导原则》（国家食品药品监督管理总局通告2015年第14号）</w:t>
      </w:r>
    </w:p>
    <w:p w14:paraId="6A68596A">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（五）《医疗器械说明书和标签管理规定》（国家食品药品监督管理总局令第6号）</w:t>
      </w:r>
    </w:p>
    <w:p w14:paraId="0E665F3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（六）《关于发布医疗器械产品技术要求编写指导原则的通告》（国家食品药品监督管理总局通告2014年第9号）</w:t>
      </w:r>
    </w:p>
    <w:p w14:paraId="41C2D8C6">
      <w:pPr>
        <w:spacing w:line="520" w:lineRule="exact"/>
        <w:ind w:firstLine="640" w:firstLineChars="200"/>
        <w:rPr>
          <w:rFonts w:ascii="Times New Roman" w:hAnsi="Times New Roman" w:eastAsia="仿宋_GB2312" w:cs="Times New Roman"/>
          <w:spacing w:val="-6"/>
          <w:sz w:val="32"/>
          <w:szCs w:val="32"/>
        </w:rPr>
      </w:pPr>
      <w:r>
        <w:rPr>
          <w:rFonts w:ascii="Times New Roman" w:hAnsi="Times New Roman" w:eastAsia="仿宋_GB2312" w:cs="Times New Roman"/>
          <w:sz w:val="32"/>
          <w:szCs w:val="32"/>
        </w:rPr>
        <w:t>（七）《</w:t>
      </w:r>
      <w:r>
        <w:rPr>
          <w:rFonts w:ascii="Times New Roman" w:hAnsi="Times New Roman" w:eastAsia="仿宋_GB2312" w:cs="Times New Roman"/>
          <w:spacing w:val="-6"/>
          <w:sz w:val="32"/>
          <w:szCs w:val="32"/>
        </w:rPr>
        <w:t>关于公布医疗器械注册申报资料要求和批准证明文件格式的公告》（国家食品药品监督管理总局公告2014年第43号）</w:t>
      </w:r>
    </w:p>
    <w:p w14:paraId="07106DA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（八）食品药品监管总局关于印发《境内第二类医疗器械注册审批操作规范的通知》（食药监械管〔2014〕209号）</w:t>
      </w:r>
    </w:p>
    <w:p w14:paraId="1B270688">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（九）国家食品药品监督管理部门发布的其他规范性文件</w:t>
      </w:r>
    </w:p>
    <w:p w14:paraId="00637D38">
      <w:pPr>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三、指导原则主要修改内容</w:t>
      </w:r>
    </w:p>
    <w:p w14:paraId="4EA6923C">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（一）产品名称要求</w:t>
      </w:r>
    </w:p>
    <w:p w14:paraId="7CFC91F2">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将“喉镜”改为“喉内窥镜”、“鼻窦镜”改为“鼻内窥镜”、“膀胱镜”改为“尿道膀胱镜”、“子宫镜”改为“子宫腔内窥镜”、“直肠镜”改为“直肠、乙状结肠镜”。</w:t>
      </w:r>
    </w:p>
    <w:p w14:paraId="7DB98C33">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（二）产品的结构和组成</w:t>
      </w:r>
    </w:p>
    <w:p w14:paraId="10F9D462">
      <w:pPr>
        <w:spacing w:line="520" w:lineRule="exact"/>
        <w:ind w:firstLine="640" w:firstLineChars="200"/>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在原“典型产品结构示意图”基础上，增加了不可调焦喉内窥镜、0°直视子宫腔内窥镜结构示意图，便于审查人员更多更全面的了解此类产品。</w:t>
      </w:r>
    </w:p>
    <w:p w14:paraId="23087252">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（三）产品适用的相关标准</w:t>
      </w:r>
    </w:p>
    <w:p w14:paraId="1BBA486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对引用标准进行了更新和新增。更新的标准包括：</w:t>
      </w:r>
    </w:p>
    <w:p w14:paraId="3F1F0EE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原指导原则中“YY 0068 医用硬管内窥镜通用技术条件”更新为“YY 0068.1-2008《医用内窥镜 硬性内窥镜第1部分：光学性能及测试方法》、YY 0068.2-2008《医用内窥镜 硬性内窥镜第2部分：机械性能及测试方法》、YY 0068.3-2008《医用内窥镜 硬性内窥镜第3部分：标签和随附资料》、YY 0068.4-2009《医用内窥镜 硬性内窥镜第4部分：基本要求》”；</w:t>
      </w:r>
    </w:p>
    <w:p w14:paraId="39E4B6E9">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“YY 0071-1992《直肠,乙状结肠窥镜》”更新为“YY 0071-2008《直肠</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乙状结肠窥镜》”；</w:t>
      </w:r>
    </w:p>
    <w:p w14:paraId="4167F32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“YY 91075-1999《子宫腔内窥镜》”更新为“YY 1075-2007《硬性宫腔内窥镜》”；</w:t>
      </w:r>
    </w:p>
    <w:p w14:paraId="3226F6C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“GB 9706.1-1995《医用电气设备 第一部分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安全通用要求 》”更新为“GB 9706.1-2007《医用电气设备 第一部分：安全通用要求》”；</w:t>
      </w:r>
    </w:p>
    <w:p w14:paraId="303E3FB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“ISO 8600-1-2005 光学和光学仪器—医用内窥镜及内治疗设备 第1部分：基本要求”更新为“ISO 8600-1-2013《内窥镜</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医用内窥镜和内窥镜附件 第1部分：一般要求》”；</w:t>
      </w:r>
    </w:p>
    <w:p w14:paraId="093CA4DC">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“ISO 8600-2-2002《光学和光学仪器—医用内窥镜及内治疗设备 第2部分：硬性支气管镜的专用要求》”更新为“ISO 8600-2-2015《光学和光学仪器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医用内窥镜及内治疗设备 第2部分：硬性支气管镜的专用要求》”；</w:t>
      </w:r>
    </w:p>
    <w:p w14:paraId="0C7AC60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“ISO 8600-4-1997《光学和光学仪器 医用内窥镜和内窥镜附件 第4部分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插入部分的最大宽度的测定》”更新为“ISO 8600-4-2014《内窥镜--医用内窥镜及内镜治疗装置--第4部分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插入部分最大宽度的测定》”；</w:t>
      </w:r>
    </w:p>
    <w:p w14:paraId="1CA1671E">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“GB/T 14710-1993《医用电气设备环境要求及试验方法》”更新为“ GB/T 14710-2009《医用电气设备环境要求及试验方法》；</w:t>
      </w:r>
    </w:p>
    <w:p w14:paraId="478F072A">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9</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“GB/T 16886.1-2001医疗器械生物学评价 第1部分:评价与试验”更新为“GB/T16886.1-2011《</w:t>
      </w:r>
      <w:r>
        <w:rPr>
          <w:rFonts w:hint="eastAsia" w:ascii="Times New Roman" w:hAnsi="Times New Roman" w:eastAsia="仿宋_GB2312" w:cs="Times New Roman"/>
          <w:sz w:val="32"/>
          <w:szCs w:val="32"/>
        </w:rPr>
        <w:t>医疗器械生物学评价 第1部分:风险管理过程中的评价与试验</w:t>
      </w:r>
      <w:r>
        <w:rPr>
          <w:rFonts w:ascii="Times New Roman" w:hAnsi="Times New Roman" w:eastAsia="仿宋_GB2312" w:cs="Times New Roman"/>
          <w:sz w:val="32"/>
          <w:szCs w:val="32"/>
        </w:rPr>
        <w:t>》”；</w:t>
      </w:r>
    </w:p>
    <w:p w14:paraId="2CFD05E4">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“YY 0466-2003《医疗器械 用于医疗器械标签、标记和提供信息的符号》”部分内容更新为“YY/T 0466.1-2009《医疗器械 用于医疗器械标签、标记和提供信息的符号 第1部分:通用要求》”。</w:t>
      </w:r>
    </w:p>
    <w:p w14:paraId="3217196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注：第二类硬管内窥镜与导光纤维连接后成为BF型或CF型应用部分，因此YY</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0505-2012《</w:t>
      </w:r>
      <w:r>
        <w:rPr>
          <w:rFonts w:hint="eastAsia" w:ascii="Times New Roman" w:hAnsi="Times New Roman" w:eastAsia="仿宋_GB2312" w:cs="Times New Roman"/>
          <w:sz w:val="32"/>
          <w:szCs w:val="32"/>
        </w:rPr>
        <w:t>医用电气设备 第1-2部分:安全通用要求并列标准:电磁兼容要</w:t>
      </w:r>
      <w:r>
        <w:rPr>
          <w:rFonts w:ascii="Times New Roman" w:hAnsi="Times New Roman" w:eastAsia="仿宋_GB2312" w:cs="Times New Roman"/>
          <w:sz w:val="32"/>
          <w:szCs w:val="32"/>
        </w:rPr>
        <w:t>求和试验》标准不适用。</w:t>
      </w:r>
    </w:p>
    <w:p w14:paraId="268B1023">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（四）产品技术要求</w:t>
      </w:r>
    </w:p>
    <w:p w14:paraId="4334C82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删除原“产品的主要性能参数”、“产品的主要技术性能指标”内容。按照新法规，编制“医疗器械产品技术要求”，内容包括“产品型号/规格及其划分说明”、“性能指标”、“试验方法”、“附录”。</w:t>
      </w:r>
    </w:p>
    <w:p w14:paraId="0E49E119">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（五）同一注册单元内注册检验代表产品确定原则</w:t>
      </w:r>
    </w:p>
    <w:p w14:paraId="093CCBD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将“同一注册单元内不同视场角、视向角、分辨率的产品，可选其最大视场角和视向角、最高分辨率的产品作为典型产品。”内容修改为“一般情况下，仅仅是视场角、视向角、直径、长度、器械通道、直径不同的内窥镜可选择一个典型产品。同一注册单元内视向角不同选择最大值，视场角不同选择最大值，器械通道选择最大值，直径选择最小值，分辨率、照度等光学性能指标选择要求最高的产品作为注册检验代表产品。”</w:t>
      </w:r>
    </w:p>
    <w:p w14:paraId="0D9C9261">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（六）产品生产制造相关要求</w:t>
      </w:r>
    </w:p>
    <w:p w14:paraId="1B3FB59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按照新法规要求，明确了产品的关键工艺，特殊工艺、过程控制点，便于注册审查人员审评时把握。</w:t>
      </w:r>
    </w:p>
    <w:p w14:paraId="0DE6EC40">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（七）产品的临床评价细化要求</w:t>
      </w:r>
      <w:r>
        <w:rPr>
          <w:rFonts w:ascii="Times New Roman" w:hAnsi="Times New Roman" w:eastAsia="楷体_GB2312" w:cs="Times New Roman"/>
          <w:sz w:val="32"/>
          <w:szCs w:val="32"/>
        </w:rPr>
        <w:tab/>
      </w:r>
    </w:p>
    <w:p w14:paraId="1D4C63B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依据新法规、《医疗器械临床评价技术指导原则》及《医疗器械临床试验质量管理规范》，删除了原对临床试验的具体要求，修改为：</w:t>
      </w:r>
    </w:p>
    <w:p w14:paraId="7A90AB6E">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尿道膀胱镜、子宫腔内窥镜、直肠、乙状结肠镜、羊水镜产品已经列入国家食品药品监督管理总局2014年8月21日发布的《关于发布免于进行临床试验的第二类医疗器械目录的通告》（2014年第12号通告）中，应按该文件要求在临床评价资料中提供申报产品与《目录》产品的对比表。</w:t>
      </w:r>
    </w:p>
    <w:p w14:paraId="3FEDFE37">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对于未列入《目录》的内窥镜产品，需按《医疗器械临床评价技术指导原则》要求，通过提供临床文献资料、临床经验数据或进行临床试验，提供相关能证明该医疗器械安全、有效的资料。</w:t>
      </w:r>
    </w:p>
    <w:p w14:paraId="6EEDCA9A">
      <w:pPr>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（八）产品的不良事件历史记录</w:t>
      </w:r>
    </w:p>
    <w:p w14:paraId="415FCEA2">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新法规增加以下要求：如产品发生不良事件，在延续注册中，应当提交医疗器械不良事件汇总分析评价报告，报告应对本产品上市后发生的可疑不良事件列表、说明在每一种情况下注册申请人采取的处理和解决方案。对上述不良事件进行分析评价，阐明不良事件发生的原因并对其安全性、有效性的影响予以说明。如产品上市后发生了召回，应当说明召回原因、过程和处理结果。</w:t>
      </w:r>
    </w:p>
    <w:p w14:paraId="4E3B4156">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（九）产品说明书和标签要求</w:t>
      </w:r>
    </w:p>
    <w:p w14:paraId="5EC8546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依据新《医疗器械说明书和标签管理规定》（国家食品药品监督管理总局令第6号）要求，删除说明书中对“商品名称”、“执行标准”要求的内容。</w:t>
      </w:r>
    </w:p>
    <w:p w14:paraId="15AB0B94">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按新规定要求在说明书中新增以下内容：注册人的名称、住所、联系方式及售后服务单位，委托生产的还应当标注受托企业的名称、住所、生产地址、生产许可证编号或者生产备案凭证编号、说明书的编制或修订日期。</w:t>
      </w:r>
    </w:p>
    <w:p w14:paraId="2EDFF8A4">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细化了“主要结构、产品性能”、“注意事项、警示”、“清洗、消毒和灭菌”等内容。</w:t>
      </w:r>
    </w:p>
    <w:p w14:paraId="6172E802">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（十）产品的研究要求</w:t>
      </w:r>
    </w:p>
    <w:p w14:paraId="42B4B422">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增加了新法规对产品的研究资料的要求，包括“产品性能研究”、“生物相容性评价研究”、“生物安全性研究”、“灭菌/消毒工艺研究”、“产品有效期和包装研究”、“临床前动物试验”、“软件研究”及其他研究资料。</w:t>
      </w:r>
    </w:p>
    <w:p w14:paraId="37C40470">
      <w:pPr>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w:t>
      </w:r>
      <w:r>
        <w:rPr>
          <w:rFonts w:hint="eastAsia" w:ascii="Times New Roman" w:hAnsi="Times New Roman" w:eastAsia="黑体" w:cs="Times New Roman"/>
          <w:sz w:val="32"/>
          <w:szCs w:val="32"/>
        </w:rPr>
        <w:t>指导原则制修订单位</w:t>
      </w:r>
    </w:p>
    <w:p w14:paraId="2CC90F05">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浙江省医疗</w:t>
      </w:r>
      <w:r>
        <w:rPr>
          <w:rFonts w:hint="eastAsia" w:ascii="Times New Roman" w:hAnsi="Times New Roman" w:eastAsia="仿宋_GB2312" w:cs="Times New Roman"/>
          <w:sz w:val="32"/>
          <w:szCs w:val="32"/>
        </w:rPr>
        <w:t>器械审评中心。</w:t>
      </w:r>
    </w:p>
    <w:p w14:paraId="5F204C1C">
      <w:pPr>
        <w:spacing w:line="520" w:lineRule="exact"/>
        <w:ind w:firstLine="420" w:firstLineChars="200"/>
        <w:jc w:val="left"/>
        <w:rPr>
          <w:rFonts w:ascii="仿宋" w:hAnsi="仿宋" w:eastAsia="仿宋"/>
        </w:rPr>
      </w:pPr>
    </w:p>
    <w:p w14:paraId="0FFA53DB">
      <w:pPr>
        <w:spacing w:line="520" w:lineRule="exact"/>
        <w:jc w:val="left"/>
        <w:rPr>
          <w:rFonts w:ascii="仿宋_GB2312" w:hAnsi="仿宋" w:eastAsia="仿宋_GB2312"/>
          <w:sz w:val="32"/>
          <w:szCs w:val="32"/>
        </w:rPr>
      </w:pPr>
    </w:p>
    <w:p w14:paraId="26E1B723">
      <w:pPr>
        <w:widowControl/>
        <w:spacing w:line="520" w:lineRule="exact"/>
        <w:ind w:firstLine="420" w:firstLineChars="200"/>
        <w:jc w:val="left"/>
      </w:pPr>
    </w:p>
    <w:p w14:paraId="045EFEDB">
      <w:pPr>
        <w:rPr>
          <w:rFonts w:hint="eastAsia" w:eastAsia="宋体"/>
          <w:lang w:eastAsia="zh-CN"/>
        </w:rPr>
      </w:pPr>
    </w:p>
    <w:p w14:paraId="164B7172">
      <w:pPr>
        <w:jc w:val="center"/>
        <w:rPr>
          <w:rFonts w:hint="eastAsia" w:eastAsia="宋体"/>
          <w:lang w:eastAsia="zh-CN"/>
        </w:rPr>
      </w:pPr>
    </w:p>
    <w:p w14:paraId="302E90F9">
      <w:pPr>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1" name="图片 1" descr="2"/>
            <wp:cNvGraphicFramePr/>
            <a:graphic xmlns:a="http://schemas.openxmlformats.org/drawingml/2006/main">
              <a:graphicData uri="http://schemas.openxmlformats.org/drawingml/2006/picture">
                <pic:pic xmlns:pic="http://schemas.openxmlformats.org/drawingml/2006/picture">
                  <pic:nvPicPr>
                    <pic:cNvPr id="1" name="图片 1" descr="2"/>
                    <pic:cNvPicPr/>
                  </pic:nvPicPr>
                  <pic:blipFill>
                    <a:blip r:embed="rId60"/>
                    <a:stretch>
                      <a:fillRect/>
                    </a:stretch>
                  </pic:blipFill>
                  <pic:spPr>
                    <a:xfrm>
                      <a:off x="0" y="0"/>
                      <a:ext cx="5210175" cy="7343775"/>
                    </a:xfrm>
                    <a:prstGeom prst="rect">
                      <a:avLst/>
                    </a:prstGeom>
                  </pic:spPr>
                </pic:pic>
              </a:graphicData>
            </a:graphic>
          </wp:inline>
        </w:drawing>
      </w:r>
    </w:p>
    <w:sectPr>
      <w:footerReference r:id="rId3" w:type="default"/>
      <w:footerReference r:id="rId4" w:type="even"/>
      <w:pgSz w:w="11906" w:h="16838"/>
      <w:pgMar w:top="1928" w:right="1531" w:bottom="1814" w:left="1531" w:header="851" w:footer="1020" w:gutter="0"/>
      <w:pgNumType w:start="83"/>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方正小标宋简体">
    <w:altName w:val="方正舒体"/>
    <w:panose1 w:val="03000509000000000000"/>
    <w:charset w:val="86"/>
    <w:family w:val="script"/>
    <w:pitch w:val="default"/>
    <w:sig w:usb0="00000000" w:usb1="00000000" w:usb2="00000010" w:usb3="00000000" w:csb0="00040000" w:csb1="00000000"/>
  </w:font>
  <w:font w:name="Arial Unicode MS">
    <w:altName w:val="Arial"/>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3194174"/>
      <w:docPartObj>
        <w:docPartGallery w:val="AutoText"/>
      </w:docPartObj>
    </w:sdtPr>
    <w:sdtEndPr>
      <w:rPr>
        <w:rFonts w:ascii="Times New Roman" w:hAnsi="Times New Roman" w:cs="Times New Roman"/>
        <w:sz w:val="28"/>
        <w:szCs w:val="28"/>
      </w:rPr>
    </w:sdtEndPr>
    <w:sdtContent>
      <w:p w14:paraId="3E0F83E4">
        <w:pPr>
          <w:pStyle w:val="7"/>
          <w:jc w:val="right"/>
          <w:rPr>
            <w:rFonts w:ascii="Times New Roman" w:hAnsi="Times New Roman" w:cs="Times New Roman"/>
            <w:sz w:val="28"/>
            <w:szCs w:val="28"/>
          </w:rPr>
        </w:pPr>
        <w:r>
          <w:rPr>
            <w:rFonts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83</w:t>
        </w:r>
        <w:r>
          <w:rPr>
            <w:rFonts w:ascii="Times New Roman" w:hAnsi="Times New Roman" w:cs="Times New Roman"/>
            <w:sz w:val="28"/>
            <w:szCs w:val="28"/>
          </w:rPr>
          <w:fldChar w:fldCharType="end"/>
        </w:r>
        <w:r>
          <w:rPr>
            <w:rFonts w:hint="eastAsia" w:ascii="Times New Roman" w:hAnsi="Times New Roman" w:cs="Times New Roman"/>
            <w:sz w:val="28"/>
            <w:szCs w:val="28"/>
          </w:rPr>
          <w:t xml:space="preserve"> —</w:t>
        </w:r>
        <w:r>
          <w:rPr>
            <w:rFonts w:hint="eastAsia" w:ascii="Times New Roman" w:hAnsi="Times New Roman" w:cs="Times New Roman"/>
            <w:color w:val="FFFFFF" w:themeColor="background1"/>
            <w:sz w:val="28"/>
            <w:szCs w:val="28"/>
          </w:rPr>
          <w:t>—</w:t>
        </w:r>
      </w:p>
    </w:sdtContent>
  </w:sdt>
  <w:p w14:paraId="67BF66D8">
    <w:pPr>
      <w:pStyle w:val="7"/>
      <w:ind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8657337"/>
      <w:docPartObj>
        <w:docPartGallery w:val="AutoText"/>
      </w:docPartObj>
    </w:sdtPr>
    <w:sdtEndPr>
      <w:rPr>
        <w:rFonts w:ascii="Times New Roman" w:hAnsi="Times New Roman" w:cs="Times New Roman"/>
        <w:sz w:val="28"/>
        <w:szCs w:val="28"/>
      </w:rPr>
    </w:sdtEndPr>
    <w:sdtContent>
      <w:p w14:paraId="3AA43458">
        <w:pPr>
          <w:pStyle w:val="7"/>
          <w:rPr>
            <w:rFonts w:ascii="Times New Roman" w:hAnsi="Times New Roman" w:cs="Times New Roman"/>
            <w:sz w:val="28"/>
            <w:szCs w:val="28"/>
          </w:rPr>
        </w:pPr>
        <w:r>
          <w:rPr>
            <w:rFonts w:hint="eastAsia"/>
            <w:color w:val="FFFFFF" w:themeColor="background1"/>
            <w:sz w:val="28"/>
            <w:szCs w:val="28"/>
          </w:rPr>
          <w:t>—</w:t>
        </w:r>
        <w:r>
          <w:rPr>
            <w:rFonts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84</w:t>
        </w:r>
        <w:r>
          <w:rPr>
            <w:rFonts w:ascii="Times New Roman" w:hAnsi="Times New Roman" w:cs="Times New Roman"/>
            <w:sz w:val="28"/>
            <w:szCs w:val="28"/>
          </w:rPr>
          <w:fldChar w:fldCharType="end"/>
        </w:r>
        <w:r>
          <w:rPr>
            <w:rFonts w:hint="eastAsia" w:ascii="Times New Roman" w:hAnsi="Times New Roman" w:cs="Times New Roman"/>
            <w:sz w:val="28"/>
            <w:szCs w:val="28"/>
          </w:rPr>
          <w:t xml:space="preserve"> —</w:t>
        </w:r>
      </w:p>
    </w:sdtContent>
  </w:sdt>
  <w:p w14:paraId="1AC5ACF7">
    <w:pPr>
      <w:pStyle w:val="7"/>
      <w:ind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6BCFDF"/>
    <w:multiLevelType w:val="singleLevel"/>
    <w:tmpl w:val="556BCFDF"/>
    <w:lvl w:ilvl="0" w:tentative="0">
      <w:start w:val="1"/>
      <w:numFmt w:val="decimal"/>
      <w:suff w:val="nothing"/>
      <w:lvlText w:val="%1."/>
      <w:lvlJc w:val="left"/>
    </w:lvl>
  </w:abstractNum>
  <w:abstractNum w:abstractNumId="1">
    <w:nsid w:val="7DEF16F5"/>
    <w:multiLevelType w:val="multilevel"/>
    <w:tmpl w:val="7DEF16F5"/>
    <w:lvl w:ilvl="0" w:tentative="0">
      <w:start w:val="1"/>
      <w:numFmt w:val="none"/>
      <w:pStyle w:val="22"/>
      <w:suff w:val="nothing"/>
      <w:lvlText w:val="附　录　B"/>
      <w:lvlJc w:val="left"/>
      <w:pPr>
        <w:ind w:left="0" w:firstLine="0"/>
      </w:pPr>
      <w:rPr>
        <w:rFonts w:hint="eastAsia" w:ascii="黑体" w:eastAsia="黑体"/>
        <w:b w:val="0"/>
        <w:i w:val="0"/>
        <w:sz w:val="21"/>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eastAsia="黑体"/>
        <w:b w:val="0"/>
        <w:i w:val="0"/>
        <w:sz w:val="21"/>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12960"/>
        </w:tabs>
        <w:ind w:left="12960" w:hanging="1440"/>
      </w:pPr>
    </w:lvl>
    <w:lvl w:ilvl="8" w:tentative="0">
      <w:start w:val="1"/>
      <w:numFmt w:val="decimal"/>
      <w:lvlText w:val="%1.%2.%3.%4.%5.%6.%7.%8.%9"/>
      <w:lvlJc w:val="left"/>
      <w:pPr>
        <w:tabs>
          <w:tab w:val="left" w:pos="13104"/>
        </w:tabs>
        <w:ind w:left="1310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78BE"/>
    <w:rsid w:val="00015B7E"/>
    <w:rsid w:val="00017C99"/>
    <w:rsid w:val="00017CF9"/>
    <w:rsid w:val="00045A1E"/>
    <w:rsid w:val="00061345"/>
    <w:rsid w:val="000620ED"/>
    <w:rsid w:val="00066551"/>
    <w:rsid w:val="00066E94"/>
    <w:rsid w:val="000674F5"/>
    <w:rsid w:val="000907EB"/>
    <w:rsid w:val="00090FB2"/>
    <w:rsid w:val="00092789"/>
    <w:rsid w:val="00092A1E"/>
    <w:rsid w:val="00096D4C"/>
    <w:rsid w:val="00096F8F"/>
    <w:rsid w:val="000C2998"/>
    <w:rsid w:val="000C2BA9"/>
    <w:rsid w:val="000C498F"/>
    <w:rsid w:val="000C6755"/>
    <w:rsid w:val="000C7933"/>
    <w:rsid w:val="000D1465"/>
    <w:rsid w:val="000D2304"/>
    <w:rsid w:val="000E14D7"/>
    <w:rsid w:val="000E198F"/>
    <w:rsid w:val="000E273B"/>
    <w:rsid w:val="000F049E"/>
    <w:rsid w:val="000F3A55"/>
    <w:rsid w:val="000F5277"/>
    <w:rsid w:val="000F6C0A"/>
    <w:rsid w:val="000F6EF3"/>
    <w:rsid w:val="0010013A"/>
    <w:rsid w:val="0012087B"/>
    <w:rsid w:val="0012479A"/>
    <w:rsid w:val="00132300"/>
    <w:rsid w:val="001416FD"/>
    <w:rsid w:val="00144851"/>
    <w:rsid w:val="00151A9E"/>
    <w:rsid w:val="00153245"/>
    <w:rsid w:val="00157A7D"/>
    <w:rsid w:val="001647EC"/>
    <w:rsid w:val="00165583"/>
    <w:rsid w:val="00172A27"/>
    <w:rsid w:val="00173D3A"/>
    <w:rsid w:val="00175152"/>
    <w:rsid w:val="0018006B"/>
    <w:rsid w:val="001823B6"/>
    <w:rsid w:val="00184BBE"/>
    <w:rsid w:val="001926D8"/>
    <w:rsid w:val="001B4B15"/>
    <w:rsid w:val="001C54AC"/>
    <w:rsid w:val="001C573E"/>
    <w:rsid w:val="001D7C87"/>
    <w:rsid w:val="001E0630"/>
    <w:rsid w:val="001F69DA"/>
    <w:rsid w:val="00202EAF"/>
    <w:rsid w:val="002110F0"/>
    <w:rsid w:val="00216808"/>
    <w:rsid w:val="0024109C"/>
    <w:rsid w:val="00244911"/>
    <w:rsid w:val="002550A7"/>
    <w:rsid w:val="00261D93"/>
    <w:rsid w:val="0026580E"/>
    <w:rsid w:val="00267EC1"/>
    <w:rsid w:val="00272D81"/>
    <w:rsid w:val="00283EA2"/>
    <w:rsid w:val="002842B1"/>
    <w:rsid w:val="00285838"/>
    <w:rsid w:val="00285D86"/>
    <w:rsid w:val="002B1D69"/>
    <w:rsid w:val="002B6630"/>
    <w:rsid w:val="002C1E63"/>
    <w:rsid w:val="002D0F26"/>
    <w:rsid w:val="002D4765"/>
    <w:rsid w:val="002D629A"/>
    <w:rsid w:val="002E25C4"/>
    <w:rsid w:val="002E58EB"/>
    <w:rsid w:val="00301963"/>
    <w:rsid w:val="00305E8A"/>
    <w:rsid w:val="00307FC7"/>
    <w:rsid w:val="00310303"/>
    <w:rsid w:val="00312544"/>
    <w:rsid w:val="003135FA"/>
    <w:rsid w:val="00330F09"/>
    <w:rsid w:val="003339FF"/>
    <w:rsid w:val="00347D0D"/>
    <w:rsid w:val="003626F6"/>
    <w:rsid w:val="00363E47"/>
    <w:rsid w:val="00370941"/>
    <w:rsid w:val="003714D0"/>
    <w:rsid w:val="00371FA2"/>
    <w:rsid w:val="003721AA"/>
    <w:rsid w:val="00373812"/>
    <w:rsid w:val="00373E3B"/>
    <w:rsid w:val="0037456D"/>
    <w:rsid w:val="00374E45"/>
    <w:rsid w:val="0037686A"/>
    <w:rsid w:val="003843D0"/>
    <w:rsid w:val="00385B1E"/>
    <w:rsid w:val="003A1EFB"/>
    <w:rsid w:val="003A25D5"/>
    <w:rsid w:val="003B7BDC"/>
    <w:rsid w:val="003C4E1E"/>
    <w:rsid w:val="003D505A"/>
    <w:rsid w:val="003D591F"/>
    <w:rsid w:val="003D60D8"/>
    <w:rsid w:val="003D6C30"/>
    <w:rsid w:val="003E352E"/>
    <w:rsid w:val="003E4C9C"/>
    <w:rsid w:val="003F3FC0"/>
    <w:rsid w:val="003F63E4"/>
    <w:rsid w:val="004015D1"/>
    <w:rsid w:val="00401801"/>
    <w:rsid w:val="00411081"/>
    <w:rsid w:val="00417D37"/>
    <w:rsid w:val="00424439"/>
    <w:rsid w:val="00424DE0"/>
    <w:rsid w:val="00430B02"/>
    <w:rsid w:val="00441182"/>
    <w:rsid w:val="0045249F"/>
    <w:rsid w:val="004550E0"/>
    <w:rsid w:val="0045763E"/>
    <w:rsid w:val="00457821"/>
    <w:rsid w:val="00464B2C"/>
    <w:rsid w:val="004657A0"/>
    <w:rsid w:val="004677C3"/>
    <w:rsid w:val="00482976"/>
    <w:rsid w:val="004B4484"/>
    <w:rsid w:val="004B4D30"/>
    <w:rsid w:val="004C0444"/>
    <w:rsid w:val="004C3ED5"/>
    <w:rsid w:val="004C553D"/>
    <w:rsid w:val="004D14EC"/>
    <w:rsid w:val="004D23C8"/>
    <w:rsid w:val="004D511F"/>
    <w:rsid w:val="004E0958"/>
    <w:rsid w:val="004E1409"/>
    <w:rsid w:val="004E326F"/>
    <w:rsid w:val="004E50BE"/>
    <w:rsid w:val="004F3F65"/>
    <w:rsid w:val="004F4396"/>
    <w:rsid w:val="004F4F60"/>
    <w:rsid w:val="004F6823"/>
    <w:rsid w:val="00503BA6"/>
    <w:rsid w:val="00505833"/>
    <w:rsid w:val="00507E66"/>
    <w:rsid w:val="00515303"/>
    <w:rsid w:val="005333A5"/>
    <w:rsid w:val="00537635"/>
    <w:rsid w:val="0054226B"/>
    <w:rsid w:val="005474D6"/>
    <w:rsid w:val="00547BF9"/>
    <w:rsid w:val="005544A4"/>
    <w:rsid w:val="00557838"/>
    <w:rsid w:val="00557CAC"/>
    <w:rsid w:val="0056111D"/>
    <w:rsid w:val="00563066"/>
    <w:rsid w:val="00572E22"/>
    <w:rsid w:val="00577E41"/>
    <w:rsid w:val="005807C4"/>
    <w:rsid w:val="00582683"/>
    <w:rsid w:val="00595F79"/>
    <w:rsid w:val="00596C7B"/>
    <w:rsid w:val="005A1121"/>
    <w:rsid w:val="005A2907"/>
    <w:rsid w:val="005B1B91"/>
    <w:rsid w:val="005B28D3"/>
    <w:rsid w:val="005C4B36"/>
    <w:rsid w:val="005C55C3"/>
    <w:rsid w:val="005E1E3C"/>
    <w:rsid w:val="005E2364"/>
    <w:rsid w:val="005F480F"/>
    <w:rsid w:val="00601A90"/>
    <w:rsid w:val="0060285C"/>
    <w:rsid w:val="00616E5B"/>
    <w:rsid w:val="0062722D"/>
    <w:rsid w:val="006277F4"/>
    <w:rsid w:val="006307D2"/>
    <w:rsid w:val="006325BD"/>
    <w:rsid w:val="006458D2"/>
    <w:rsid w:val="00653836"/>
    <w:rsid w:val="0065508B"/>
    <w:rsid w:val="00656410"/>
    <w:rsid w:val="00657BC1"/>
    <w:rsid w:val="00661183"/>
    <w:rsid w:val="00663179"/>
    <w:rsid w:val="006639E1"/>
    <w:rsid w:val="0067172E"/>
    <w:rsid w:val="00675D25"/>
    <w:rsid w:val="0067625B"/>
    <w:rsid w:val="00677E26"/>
    <w:rsid w:val="00682161"/>
    <w:rsid w:val="006855E4"/>
    <w:rsid w:val="00693620"/>
    <w:rsid w:val="006A7A2A"/>
    <w:rsid w:val="006B4348"/>
    <w:rsid w:val="006B79EC"/>
    <w:rsid w:val="006C0446"/>
    <w:rsid w:val="006C6C26"/>
    <w:rsid w:val="006D4ECE"/>
    <w:rsid w:val="006E2781"/>
    <w:rsid w:val="006F4718"/>
    <w:rsid w:val="00703E64"/>
    <w:rsid w:val="00715982"/>
    <w:rsid w:val="00716ABF"/>
    <w:rsid w:val="00716DD3"/>
    <w:rsid w:val="007173D0"/>
    <w:rsid w:val="0072234F"/>
    <w:rsid w:val="00723DB2"/>
    <w:rsid w:val="00733C89"/>
    <w:rsid w:val="00734A8F"/>
    <w:rsid w:val="00736557"/>
    <w:rsid w:val="0073715A"/>
    <w:rsid w:val="007458D8"/>
    <w:rsid w:val="007468EC"/>
    <w:rsid w:val="007475D0"/>
    <w:rsid w:val="007514D7"/>
    <w:rsid w:val="0078012D"/>
    <w:rsid w:val="00781135"/>
    <w:rsid w:val="00782AC8"/>
    <w:rsid w:val="00791CFF"/>
    <w:rsid w:val="007A35DB"/>
    <w:rsid w:val="007A6638"/>
    <w:rsid w:val="007B5F8F"/>
    <w:rsid w:val="007B5FD6"/>
    <w:rsid w:val="007C24CF"/>
    <w:rsid w:val="007C2BE4"/>
    <w:rsid w:val="007C41CD"/>
    <w:rsid w:val="007C5306"/>
    <w:rsid w:val="007C6569"/>
    <w:rsid w:val="007D3C4C"/>
    <w:rsid w:val="007E0D94"/>
    <w:rsid w:val="007E3499"/>
    <w:rsid w:val="007E64D7"/>
    <w:rsid w:val="00802358"/>
    <w:rsid w:val="0080264A"/>
    <w:rsid w:val="00802C39"/>
    <w:rsid w:val="00815809"/>
    <w:rsid w:val="0082007E"/>
    <w:rsid w:val="00824448"/>
    <w:rsid w:val="00842984"/>
    <w:rsid w:val="00843DA0"/>
    <w:rsid w:val="0084737B"/>
    <w:rsid w:val="00847E1D"/>
    <w:rsid w:val="00866294"/>
    <w:rsid w:val="00867954"/>
    <w:rsid w:val="00867BB9"/>
    <w:rsid w:val="00876D56"/>
    <w:rsid w:val="00887451"/>
    <w:rsid w:val="0089586A"/>
    <w:rsid w:val="008A6D70"/>
    <w:rsid w:val="008A7EA6"/>
    <w:rsid w:val="008C2318"/>
    <w:rsid w:val="008C7B5B"/>
    <w:rsid w:val="008E0620"/>
    <w:rsid w:val="008E51E3"/>
    <w:rsid w:val="0090586A"/>
    <w:rsid w:val="00907A6A"/>
    <w:rsid w:val="00912E09"/>
    <w:rsid w:val="00916870"/>
    <w:rsid w:val="009171F0"/>
    <w:rsid w:val="00922FB2"/>
    <w:rsid w:val="00923D70"/>
    <w:rsid w:val="0092623A"/>
    <w:rsid w:val="00930FF6"/>
    <w:rsid w:val="00933B10"/>
    <w:rsid w:val="00941758"/>
    <w:rsid w:val="009446AD"/>
    <w:rsid w:val="0094717A"/>
    <w:rsid w:val="00965035"/>
    <w:rsid w:val="00974033"/>
    <w:rsid w:val="0098010E"/>
    <w:rsid w:val="00991498"/>
    <w:rsid w:val="00991C85"/>
    <w:rsid w:val="00992311"/>
    <w:rsid w:val="00997087"/>
    <w:rsid w:val="009977DE"/>
    <w:rsid w:val="009A1FDD"/>
    <w:rsid w:val="009A6507"/>
    <w:rsid w:val="009B0B38"/>
    <w:rsid w:val="009B27A0"/>
    <w:rsid w:val="009B4C0D"/>
    <w:rsid w:val="009B507C"/>
    <w:rsid w:val="009B66D6"/>
    <w:rsid w:val="009C2C01"/>
    <w:rsid w:val="009D5C20"/>
    <w:rsid w:val="009F22E9"/>
    <w:rsid w:val="009F5943"/>
    <w:rsid w:val="00A02B8A"/>
    <w:rsid w:val="00A11474"/>
    <w:rsid w:val="00A131AF"/>
    <w:rsid w:val="00A15936"/>
    <w:rsid w:val="00A20C90"/>
    <w:rsid w:val="00A21657"/>
    <w:rsid w:val="00A26FB0"/>
    <w:rsid w:val="00A36093"/>
    <w:rsid w:val="00A378B5"/>
    <w:rsid w:val="00A417F1"/>
    <w:rsid w:val="00A51966"/>
    <w:rsid w:val="00A53481"/>
    <w:rsid w:val="00A63025"/>
    <w:rsid w:val="00A7410D"/>
    <w:rsid w:val="00AA146F"/>
    <w:rsid w:val="00AA4FD4"/>
    <w:rsid w:val="00AA71F9"/>
    <w:rsid w:val="00AB19E8"/>
    <w:rsid w:val="00AB225F"/>
    <w:rsid w:val="00AB3CBF"/>
    <w:rsid w:val="00AC107D"/>
    <w:rsid w:val="00AC2959"/>
    <w:rsid w:val="00AD19F2"/>
    <w:rsid w:val="00AE1CFA"/>
    <w:rsid w:val="00AE218F"/>
    <w:rsid w:val="00AE4398"/>
    <w:rsid w:val="00AE577E"/>
    <w:rsid w:val="00AF21BD"/>
    <w:rsid w:val="00AF4A56"/>
    <w:rsid w:val="00B0402D"/>
    <w:rsid w:val="00B34414"/>
    <w:rsid w:val="00B45096"/>
    <w:rsid w:val="00B51A4B"/>
    <w:rsid w:val="00B5277D"/>
    <w:rsid w:val="00B67781"/>
    <w:rsid w:val="00B725D4"/>
    <w:rsid w:val="00B76D4A"/>
    <w:rsid w:val="00B81D40"/>
    <w:rsid w:val="00B82912"/>
    <w:rsid w:val="00B84769"/>
    <w:rsid w:val="00B85D1D"/>
    <w:rsid w:val="00B876EB"/>
    <w:rsid w:val="00B931BD"/>
    <w:rsid w:val="00B94FBE"/>
    <w:rsid w:val="00B957FE"/>
    <w:rsid w:val="00BA41E4"/>
    <w:rsid w:val="00BB4975"/>
    <w:rsid w:val="00BC2F56"/>
    <w:rsid w:val="00BC45E5"/>
    <w:rsid w:val="00BC5E11"/>
    <w:rsid w:val="00BE2B88"/>
    <w:rsid w:val="00BF50B9"/>
    <w:rsid w:val="00C15C38"/>
    <w:rsid w:val="00C15E71"/>
    <w:rsid w:val="00C17530"/>
    <w:rsid w:val="00C229CB"/>
    <w:rsid w:val="00C27167"/>
    <w:rsid w:val="00C33305"/>
    <w:rsid w:val="00C36139"/>
    <w:rsid w:val="00C37040"/>
    <w:rsid w:val="00C3735A"/>
    <w:rsid w:val="00C426DF"/>
    <w:rsid w:val="00C444A4"/>
    <w:rsid w:val="00C51E26"/>
    <w:rsid w:val="00C56A15"/>
    <w:rsid w:val="00C67BAD"/>
    <w:rsid w:val="00C70760"/>
    <w:rsid w:val="00C7670D"/>
    <w:rsid w:val="00C77ED7"/>
    <w:rsid w:val="00C83390"/>
    <w:rsid w:val="00C86311"/>
    <w:rsid w:val="00CA2556"/>
    <w:rsid w:val="00CB0A8C"/>
    <w:rsid w:val="00CC0C88"/>
    <w:rsid w:val="00CC15DC"/>
    <w:rsid w:val="00CC45BB"/>
    <w:rsid w:val="00CC7C66"/>
    <w:rsid w:val="00CD1FA9"/>
    <w:rsid w:val="00CD6F5E"/>
    <w:rsid w:val="00CF249E"/>
    <w:rsid w:val="00CF391A"/>
    <w:rsid w:val="00CF5A52"/>
    <w:rsid w:val="00CF5D34"/>
    <w:rsid w:val="00CF71CE"/>
    <w:rsid w:val="00D06683"/>
    <w:rsid w:val="00D21998"/>
    <w:rsid w:val="00D2341D"/>
    <w:rsid w:val="00D36575"/>
    <w:rsid w:val="00D36C53"/>
    <w:rsid w:val="00D420FF"/>
    <w:rsid w:val="00D6131D"/>
    <w:rsid w:val="00D6273C"/>
    <w:rsid w:val="00D66997"/>
    <w:rsid w:val="00D71227"/>
    <w:rsid w:val="00D7174F"/>
    <w:rsid w:val="00D71C8D"/>
    <w:rsid w:val="00DB4ACA"/>
    <w:rsid w:val="00DB4F8A"/>
    <w:rsid w:val="00DC4B63"/>
    <w:rsid w:val="00DC4E6B"/>
    <w:rsid w:val="00DD091E"/>
    <w:rsid w:val="00DD77FA"/>
    <w:rsid w:val="00DE10BE"/>
    <w:rsid w:val="00DE19E1"/>
    <w:rsid w:val="00DF592B"/>
    <w:rsid w:val="00DF6D4E"/>
    <w:rsid w:val="00E054BB"/>
    <w:rsid w:val="00E0629E"/>
    <w:rsid w:val="00E07E3A"/>
    <w:rsid w:val="00E11322"/>
    <w:rsid w:val="00E11E90"/>
    <w:rsid w:val="00E23E8A"/>
    <w:rsid w:val="00E276EB"/>
    <w:rsid w:val="00E33EB3"/>
    <w:rsid w:val="00E35C71"/>
    <w:rsid w:val="00E360E1"/>
    <w:rsid w:val="00E4039B"/>
    <w:rsid w:val="00E41F7E"/>
    <w:rsid w:val="00E44764"/>
    <w:rsid w:val="00E45B85"/>
    <w:rsid w:val="00E57256"/>
    <w:rsid w:val="00E616A5"/>
    <w:rsid w:val="00E71E08"/>
    <w:rsid w:val="00E72F93"/>
    <w:rsid w:val="00E814DF"/>
    <w:rsid w:val="00E87C7B"/>
    <w:rsid w:val="00E97EDA"/>
    <w:rsid w:val="00EA348F"/>
    <w:rsid w:val="00EB565D"/>
    <w:rsid w:val="00EC207B"/>
    <w:rsid w:val="00EC209B"/>
    <w:rsid w:val="00EC5BF7"/>
    <w:rsid w:val="00EC7B6F"/>
    <w:rsid w:val="00ED70D8"/>
    <w:rsid w:val="00ED7B2C"/>
    <w:rsid w:val="00EE2736"/>
    <w:rsid w:val="00EE38BE"/>
    <w:rsid w:val="00EE65A9"/>
    <w:rsid w:val="00EE6F6B"/>
    <w:rsid w:val="00EF328F"/>
    <w:rsid w:val="00EF5F73"/>
    <w:rsid w:val="00EF69BD"/>
    <w:rsid w:val="00F044E6"/>
    <w:rsid w:val="00F0478F"/>
    <w:rsid w:val="00F158D1"/>
    <w:rsid w:val="00F16550"/>
    <w:rsid w:val="00F16F35"/>
    <w:rsid w:val="00F175D2"/>
    <w:rsid w:val="00F253AD"/>
    <w:rsid w:val="00F30A1E"/>
    <w:rsid w:val="00F466D1"/>
    <w:rsid w:val="00F54572"/>
    <w:rsid w:val="00F65C3D"/>
    <w:rsid w:val="00F77783"/>
    <w:rsid w:val="00F907E9"/>
    <w:rsid w:val="00F91B96"/>
    <w:rsid w:val="00FB06E7"/>
    <w:rsid w:val="00FB7C71"/>
    <w:rsid w:val="00FC3A2F"/>
    <w:rsid w:val="00FD063D"/>
    <w:rsid w:val="00FD1B9F"/>
    <w:rsid w:val="00FF13EF"/>
    <w:rsid w:val="00FF7372"/>
    <w:rsid w:val="03A528BE"/>
    <w:rsid w:val="05097AD0"/>
    <w:rsid w:val="063668F6"/>
    <w:rsid w:val="06EE6695"/>
    <w:rsid w:val="0D734644"/>
    <w:rsid w:val="1030329B"/>
    <w:rsid w:val="16F7073B"/>
    <w:rsid w:val="17EB7FAA"/>
    <w:rsid w:val="17F00AA3"/>
    <w:rsid w:val="182868AE"/>
    <w:rsid w:val="26BC0139"/>
    <w:rsid w:val="2A0F7976"/>
    <w:rsid w:val="2E527012"/>
    <w:rsid w:val="2ECC1AD7"/>
    <w:rsid w:val="2F4E2FA9"/>
    <w:rsid w:val="30316E1F"/>
    <w:rsid w:val="308974AE"/>
    <w:rsid w:val="327C3161"/>
    <w:rsid w:val="36770772"/>
    <w:rsid w:val="36E5781D"/>
    <w:rsid w:val="374765BD"/>
    <w:rsid w:val="399245FC"/>
    <w:rsid w:val="3DA3692C"/>
    <w:rsid w:val="3E0028BE"/>
    <w:rsid w:val="40022F93"/>
    <w:rsid w:val="413D3C14"/>
    <w:rsid w:val="426D1D88"/>
    <w:rsid w:val="46D66444"/>
    <w:rsid w:val="4907178C"/>
    <w:rsid w:val="4BB61845"/>
    <w:rsid w:val="522A0C67"/>
    <w:rsid w:val="5863030F"/>
    <w:rsid w:val="59487688"/>
    <w:rsid w:val="6540549D"/>
    <w:rsid w:val="65F56152"/>
    <w:rsid w:val="698450AA"/>
    <w:rsid w:val="6AB763D1"/>
    <w:rsid w:val="6B8D0D02"/>
    <w:rsid w:val="6D5E7272"/>
    <w:rsid w:val="6DE333D5"/>
    <w:rsid w:val="70593DDE"/>
    <w:rsid w:val="72616DCA"/>
    <w:rsid w:val="72D92B78"/>
    <w:rsid w:val="784F7772"/>
    <w:rsid w:val="7B7D7929"/>
    <w:rsid w:val="7D1F26B5"/>
    <w:rsid w:val="7DE06658"/>
    <w:rsid w:val="7EC23E83"/>
    <w:rsid w:val="7F1C4477"/>
    <w:rsid w:val="7FDE6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6"/>
    <w:qFormat/>
    <w:uiPriority w:val="0"/>
    <w:pPr>
      <w:keepNext/>
      <w:keepLines/>
      <w:spacing w:before="340" w:after="330" w:line="578" w:lineRule="auto"/>
      <w:outlineLvl w:val="0"/>
    </w:pPr>
    <w:rPr>
      <w:rFonts w:ascii="Times New Roman" w:hAnsi="Times New Roman" w:cs="Times New Roman"/>
      <w:b/>
      <w:bCs/>
      <w:kern w:val="44"/>
      <w:sz w:val="44"/>
      <w:szCs w:val="44"/>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qFormat/>
    <w:uiPriority w:val="35"/>
    <w:pPr>
      <w:jc w:val="center"/>
    </w:pPr>
    <w:rPr>
      <w:rFonts w:ascii="宋体" w:hAnsi="Arial" w:cs="Times New Roman"/>
      <w:szCs w:val="20"/>
    </w:rPr>
  </w:style>
  <w:style w:type="paragraph" w:styleId="4">
    <w:name w:val="annotation text"/>
    <w:basedOn w:val="1"/>
    <w:link w:val="27"/>
    <w:unhideWhenUsed/>
    <w:uiPriority w:val="99"/>
    <w:pPr>
      <w:jc w:val="left"/>
    </w:pPr>
    <w:rPr>
      <w:rFonts w:cs="Times New Roman"/>
    </w:rPr>
  </w:style>
  <w:style w:type="paragraph" w:styleId="5">
    <w:name w:val="Body Text Indent"/>
    <w:basedOn w:val="1"/>
    <w:unhideWhenUsed/>
    <w:uiPriority w:val="99"/>
    <w:pPr>
      <w:autoSpaceDE w:val="0"/>
      <w:autoSpaceDN w:val="0"/>
      <w:adjustRightInd w:val="0"/>
      <w:spacing w:line="440" w:lineRule="exact"/>
      <w:ind w:firstLine="480" w:firstLineChars="200"/>
      <w:jc w:val="left"/>
    </w:pPr>
    <w:rPr>
      <w:rFonts w:ascii="宋体" w:hAnsi="宋体" w:cs="Times New Roman"/>
      <w:sz w:val="24"/>
      <w:szCs w:val="21"/>
    </w:rPr>
  </w:style>
  <w:style w:type="paragraph" w:styleId="6">
    <w:name w:val="Balloon Text"/>
    <w:basedOn w:val="1"/>
    <w:link w:val="29"/>
    <w:semiHidden/>
    <w:unhideWhenUsed/>
    <w:qFormat/>
    <w:uiPriority w:val="99"/>
    <w:rPr>
      <w:rFonts w:cs="Times New Roman"/>
      <w:sz w:val="18"/>
      <w:szCs w:val="18"/>
    </w:rPr>
  </w:style>
  <w:style w:type="paragraph" w:styleId="7">
    <w:name w:val="footer"/>
    <w:basedOn w:val="1"/>
    <w:link w:val="33"/>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9">
    <w:name w:val="annotation subject"/>
    <w:basedOn w:val="4"/>
    <w:next w:val="4"/>
    <w:link w:val="28"/>
    <w:semiHidden/>
    <w:unhideWhenUsed/>
    <w:qFormat/>
    <w:uiPriority w:val="99"/>
    <w:rPr>
      <w:b/>
      <w:bCs/>
    </w:rPr>
  </w:style>
  <w:style w:type="character" w:styleId="12">
    <w:name w:val="page number"/>
    <w:basedOn w:val="11"/>
    <w:unhideWhenUsed/>
    <w:uiPriority w:val="99"/>
  </w:style>
  <w:style w:type="character" w:styleId="13">
    <w:name w:val="Hyperlink"/>
    <w:unhideWhenUsed/>
    <w:uiPriority w:val="99"/>
    <w:rPr>
      <w:color w:val="0000FF"/>
      <w:u w:val="single"/>
    </w:rPr>
  </w:style>
  <w:style w:type="character" w:styleId="14">
    <w:name w:val="annotation reference"/>
    <w:semiHidden/>
    <w:unhideWhenUsed/>
    <w:uiPriority w:val="99"/>
    <w:rPr>
      <w:sz w:val="21"/>
      <w:szCs w:val="21"/>
    </w:rPr>
  </w:style>
  <w:style w:type="character" w:customStyle="1" w:styleId="15">
    <w:name w:val="apple-converted-space"/>
    <w:basedOn w:val="11"/>
    <w:uiPriority w:val="0"/>
  </w:style>
  <w:style w:type="paragraph" w:customStyle="1" w:styleId="16">
    <w:name w:val="注："/>
    <w:next w:val="17"/>
    <w:qFormat/>
    <w:uiPriority w:val="0"/>
    <w:pPr>
      <w:widowControl w:val="0"/>
      <w:tabs>
        <w:tab w:val="left" w:pos="930"/>
      </w:tabs>
      <w:autoSpaceDE w:val="0"/>
      <w:autoSpaceDN w:val="0"/>
      <w:ind w:left="630" w:hanging="420"/>
      <w:jc w:val="both"/>
    </w:pPr>
    <w:rPr>
      <w:rFonts w:ascii="宋体" w:hAnsi="Times New Roman" w:eastAsia="宋体" w:cs="Times New Roman"/>
      <w:sz w:val="18"/>
      <w:lang w:val="en-US" w:eastAsia="zh-CN" w:bidi="ar-SA"/>
    </w:rPr>
  </w:style>
  <w:style w:type="paragraph" w:customStyle="1" w:styleId="17">
    <w:name w:val="段"/>
    <w:link w:val="31"/>
    <w:uiPriority w:val="0"/>
    <w:pPr>
      <w:autoSpaceDE w:val="0"/>
      <w:autoSpaceDN w:val="0"/>
      <w:ind w:firstLine="200" w:firstLineChars="200"/>
      <w:jc w:val="both"/>
    </w:pPr>
    <w:rPr>
      <w:rFonts w:ascii="宋体" w:hAnsi="Times New Roman" w:eastAsia="宋体" w:cs="Times New Roman"/>
      <w:lang w:val="en-US" w:eastAsia="zh-CN" w:bidi="ar-SA"/>
    </w:rPr>
  </w:style>
  <w:style w:type="paragraph" w:customStyle="1" w:styleId="18">
    <w:name w:val="一级条标题"/>
    <w:basedOn w:val="19"/>
    <w:next w:val="1"/>
    <w:qFormat/>
    <w:uiPriority w:val="0"/>
    <w:pPr>
      <w:tabs>
        <w:tab w:val="left" w:pos="425"/>
        <w:tab w:val="left" w:pos="1200"/>
        <w:tab w:val="left" w:pos="1260"/>
      </w:tabs>
      <w:spacing w:beforeLines="0" w:afterLines="0"/>
      <w:ind w:left="1200" w:hanging="360"/>
      <w:outlineLvl w:val="2"/>
    </w:pPr>
  </w:style>
  <w:style w:type="paragraph" w:customStyle="1" w:styleId="19">
    <w:name w:val="章标题"/>
    <w:next w:val="1"/>
    <w:uiPriority w:val="0"/>
    <w:pPr>
      <w:tabs>
        <w:tab w:val="left" w:pos="360"/>
      </w:tabs>
      <w:spacing w:beforeLines="50" w:afterLines="50"/>
      <w:jc w:val="both"/>
      <w:outlineLvl w:val="1"/>
    </w:pPr>
    <w:rPr>
      <w:rFonts w:ascii="黑体" w:hAnsi="Times New Roman" w:eastAsia="黑体" w:cs="Times New Roman"/>
      <w:sz w:val="21"/>
      <w:lang w:val="en-US" w:eastAsia="zh-CN" w:bidi="ar-SA"/>
    </w:rPr>
  </w:style>
  <w:style w:type="paragraph" w:customStyle="1" w:styleId="20">
    <w:name w:val="一级条标题 Char Char"/>
    <w:basedOn w:val="19"/>
    <w:next w:val="17"/>
    <w:qFormat/>
    <w:uiPriority w:val="0"/>
    <w:pPr>
      <w:widowControl w:val="0"/>
      <w:adjustRightInd w:val="0"/>
      <w:spacing w:beforeLines="0" w:afterLines="0" w:line="360" w:lineRule="atLeast"/>
      <w:textAlignment w:val="baseline"/>
      <w:outlineLvl w:val="2"/>
    </w:pPr>
    <w:rPr>
      <w:sz w:val="20"/>
      <w:szCs w:val="24"/>
    </w:rPr>
  </w:style>
  <w:style w:type="paragraph" w:customStyle="1" w:styleId="21">
    <w:name w:val="二级条标题"/>
    <w:basedOn w:val="18"/>
    <w:next w:val="1"/>
    <w:qFormat/>
    <w:uiPriority w:val="0"/>
    <w:pPr>
      <w:tabs>
        <w:tab w:val="left" w:pos="1680"/>
        <w:tab w:val="clear" w:pos="425"/>
        <w:tab w:val="clear" w:pos="1200"/>
        <w:tab w:val="clear" w:pos="1260"/>
      </w:tabs>
      <w:ind w:left="1200" w:hanging="360"/>
      <w:outlineLvl w:val="3"/>
    </w:pPr>
  </w:style>
  <w:style w:type="paragraph" w:customStyle="1" w:styleId="22">
    <w:name w:val="附录标题"/>
    <w:basedOn w:val="1"/>
    <w:next w:val="17"/>
    <w:qFormat/>
    <w:uiPriority w:val="0"/>
    <w:pPr>
      <w:widowControl/>
      <w:numPr>
        <w:ilvl w:val="0"/>
        <w:numId w:val="1"/>
      </w:numPr>
      <w:spacing w:before="560" w:after="160"/>
      <w:jc w:val="center"/>
      <w:outlineLvl w:val="0"/>
    </w:pPr>
    <w:rPr>
      <w:rFonts w:ascii="黑体" w:hAnsi="Times New Roman" w:eastAsia="黑体" w:cs="Times New Roman"/>
      <w:kern w:val="0"/>
      <w:szCs w:val="20"/>
    </w:rPr>
  </w:style>
  <w:style w:type="paragraph" w:customStyle="1" w:styleId="23">
    <w:name w:val="字母编号列项（一级）"/>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24">
    <w:name w:val="正文表标题"/>
    <w:next w:val="17"/>
    <w:qFormat/>
    <w:uiPriority w:val="0"/>
    <w:pPr>
      <w:jc w:val="center"/>
    </w:pPr>
    <w:rPr>
      <w:rFonts w:ascii="黑体" w:hAnsi="Times New Roman" w:eastAsia="黑体" w:cs="Times New Roman"/>
      <w:sz w:val="21"/>
      <w:lang w:val="en-US" w:eastAsia="zh-CN" w:bidi="ar-SA"/>
    </w:rPr>
  </w:style>
  <w:style w:type="paragraph" w:customStyle="1" w:styleId="25">
    <w:name w:val="正文图标题"/>
    <w:next w:val="17"/>
    <w:qFormat/>
    <w:uiPriority w:val="0"/>
    <w:pPr>
      <w:ind w:left="3990"/>
      <w:jc w:val="center"/>
    </w:pPr>
    <w:rPr>
      <w:rFonts w:ascii="黑体" w:hAnsi="Times New Roman" w:eastAsia="黑体" w:cs="Times New Roman"/>
      <w:sz w:val="21"/>
      <w:lang w:val="en-US" w:eastAsia="zh-CN" w:bidi="ar-SA"/>
    </w:rPr>
  </w:style>
  <w:style w:type="character" w:customStyle="1" w:styleId="26">
    <w:name w:val="标题 1 Char"/>
    <w:link w:val="2"/>
    <w:qFormat/>
    <w:uiPriority w:val="0"/>
    <w:rPr>
      <w:b/>
      <w:bCs/>
      <w:kern w:val="44"/>
      <w:sz w:val="44"/>
      <w:szCs w:val="44"/>
    </w:rPr>
  </w:style>
  <w:style w:type="character" w:customStyle="1" w:styleId="27">
    <w:name w:val="批注文字 Char"/>
    <w:link w:val="4"/>
    <w:uiPriority w:val="99"/>
    <w:rPr>
      <w:rFonts w:ascii="Calibri" w:hAnsi="Calibri" w:cs="黑体"/>
      <w:kern w:val="2"/>
      <w:sz w:val="21"/>
      <w:szCs w:val="22"/>
    </w:rPr>
  </w:style>
  <w:style w:type="character" w:customStyle="1" w:styleId="28">
    <w:name w:val="批注主题 Char"/>
    <w:link w:val="9"/>
    <w:semiHidden/>
    <w:qFormat/>
    <w:uiPriority w:val="99"/>
    <w:rPr>
      <w:rFonts w:ascii="Calibri" w:hAnsi="Calibri" w:cs="黑体"/>
      <w:b/>
      <w:bCs/>
      <w:kern w:val="2"/>
      <w:sz w:val="21"/>
      <w:szCs w:val="22"/>
    </w:rPr>
  </w:style>
  <w:style w:type="character" w:customStyle="1" w:styleId="29">
    <w:name w:val="批注框文本 Char"/>
    <w:link w:val="6"/>
    <w:semiHidden/>
    <w:qFormat/>
    <w:uiPriority w:val="99"/>
    <w:rPr>
      <w:rFonts w:ascii="Calibri" w:hAnsi="Calibri" w:cs="黑体"/>
      <w:kern w:val="2"/>
      <w:sz w:val="18"/>
      <w:szCs w:val="18"/>
    </w:rPr>
  </w:style>
  <w:style w:type="paragraph" w:customStyle="1" w:styleId="30">
    <w:name w:val="Revision"/>
    <w:hidden/>
    <w:semiHidden/>
    <w:qFormat/>
    <w:uiPriority w:val="99"/>
    <w:rPr>
      <w:rFonts w:ascii="Calibri" w:hAnsi="Calibri" w:eastAsia="宋体" w:cs="黑体"/>
      <w:kern w:val="2"/>
      <w:sz w:val="21"/>
      <w:szCs w:val="22"/>
      <w:lang w:val="en-US" w:eastAsia="zh-CN" w:bidi="ar-SA"/>
    </w:rPr>
  </w:style>
  <w:style w:type="character" w:customStyle="1" w:styleId="31">
    <w:name w:val="段 Char"/>
    <w:basedOn w:val="11"/>
    <w:link w:val="17"/>
    <w:uiPriority w:val="0"/>
    <w:rPr>
      <w:rFonts w:ascii="宋体"/>
    </w:rPr>
  </w:style>
  <w:style w:type="paragraph" w:styleId="32">
    <w:name w:val="List Paragraph"/>
    <w:basedOn w:val="1"/>
    <w:qFormat/>
    <w:uiPriority w:val="34"/>
    <w:pPr>
      <w:ind w:firstLine="420" w:firstLineChars="200"/>
    </w:pPr>
  </w:style>
  <w:style w:type="character" w:customStyle="1" w:styleId="33">
    <w:name w:val="页脚 Char"/>
    <w:basedOn w:val="11"/>
    <w:link w:val="7"/>
    <w:qFormat/>
    <w:uiPriority w:val="99"/>
    <w:rPr>
      <w:rFonts w:ascii="Calibri" w:hAnsi="Calibri" w:cs="黑体"/>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3" Type="http://schemas.openxmlformats.org/officeDocument/2006/relationships/fontTable" Target="fontTable.xml"/><Relationship Id="rId62" Type="http://schemas.openxmlformats.org/officeDocument/2006/relationships/customXml" Target="../customXml/item1.xml"/><Relationship Id="rId61" Type="http://schemas.openxmlformats.org/officeDocument/2006/relationships/numbering" Target="numbering.xml"/><Relationship Id="rId60" Type="http://schemas.openxmlformats.org/officeDocument/2006/relationships/image" Target="media/image40.png"/><Relationship Id="rId6" Type="http://schemas.openxmlformats.org/officeDocument/2006/relationships/image" Target="media/image1.png"/><Relationship Id="rId59" Type="http://schemas.openxmlformats.org/officeDocument/2006/relationships/image" Target="media/image39.jpeg"/><Relationship Id="rId58" Type="http://schemas.openxmlformats.org/officeDocument/2006/relationships/image" Target="media/image38.jpeg"/><Relationship Id="rId57" Type="http://schemas.openxmlformats.org/officeDocument/2006/relationships/image" Target="media/image37.jpeg"/><Relationship Id="rId56" Type="http://schemas.openxmlformats.org/officeDocument/2006/relationships/image" Target="media/image36.jpeg"/><Relationship Id="rId55" Type="http://schemas.openxmlformats.org/officeDocument/2006/relationships/image" Target="media/image35.jpeg"/><Relationship Id="rId54" Type="http://schemas.openxmlformats.org/officeDocument/2006/relationships/image" Target="media/image34.jpeg"/><Relationship Id="rId53" Type="http://schemas.openxmlformats.org/officeDocument/2006/relationships/image" Target="media/image33.jpeg"/><Relationship Id="rId52" Type="http://schemas.openxmlformats.org/officeDocument/2006/relationships/image" Target="media/image32.jpeg"/><Relationship Id="rId51" Type="http://schemas.openxmlformats.org/officeDocument/2006/relationships/image" Target="media/image31.jpeg"/><Relationship Id="rId50" Type="http://schemas.openxmlformats.org/officeDocument/2006/relationships/image" Target="media/image30.jpeg"/><Relationship Id="rId5" Type="http://schemas.openxmlformats.org/officeDocument/2006/relationships/theme" Target="theme/theme1.xml"/><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wmf"/><Relationship Id="rId46" Type="http://schemas.openxmlformats.org/officeDocument/2006/relationships/image" Target="media/image26.wmf"/><Relationship Id="rId45" Type="http://schemas.openxmlformats.org/officeDocument/2006/relationships/image" Target="media/image25.wmf"/><Relationship Id="rId44" Type="http://schemas.openxmlformats.org/officeDocument/2006/relationships/image" Target="media/image24.wmf"/><Relationship Id="rId43" Type="http://schemas.openxmlformats.org/officeDocument/2006/relationships/oleObject" Target="embeddings/oleObject14.bin"/><Relationship Id="rId42" Type="http://schemas.openxmlformats.org/officeDocument/2006/relationships/image" Target="media/image23.wmf"/><Relationship Id="rId41" Type="http://schemas.openxmlformats.org/officeDocument/2006/relationships/oleObject" Target="embeddings/oleObject13.bin"/><Relationship Id="rId40" Type="http://schemas.openxmlformats.org/officeDocument/2006/relationships/oleObject" Target="embeddings/oleObject12.bin"/><Relationship Id="rId4" Type="http://schemas.openxmlformats.org/officeDocument/2006/relationships/footer" Target="footer2.xml"/><Relationship Id="rId39" Type="http://schemas.openxmlformats.org/officeDocument/2006/relationships/image" Target="media/image22.emf"/><Relationship Id="rId38" Type="http://schemas.openxmlformats.org/officeDocument/2006/relationships/oleObject" Target="embeddings/Workbook1.xls"/><Relationship Id="rId37" Type="http://schemas.openxmlformats.org/officeDocument/2006/relationships/image" Target="media/image21.wmf"/><Relationship Id="rId36" Type="http://schemas.openxmlformats.org/officeDocument/2006/relationships/oleObject" Target="embeddings/oleObject11.bin"/><Relationship Id="rId35" Type="http://schemas.openxmlformats.org/officeDocument/2006/relationships/image" Target="media/image20.wmf"/><Relationship Id="rId34" Type="http://schemas.openxmlformats.org/officeDocument/2006/relationships/oleObject" Target="embeddings/oleObject10.bin"/><Relationship Id="rId33" Type="http://schemas.openxmlformats.org/officeDocument/2006/relationships/image" Target="media/image19.wmf"/><Relationship Id="rId32" Type="http://schemas.openxmlformats.org/officeDocument/2006/relationships/oleObject" Target="embeddings/oleObject9.bin"/><Relationship Id="rId31" Type="http://schemas.openxmlformats.org/officeDocument/2006/relationships/image" Target="media/image18.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FFA80-52CA-4185-A54F-1BF04655BCBE}">
  <ds:schemaRefs/>
</ds:datastoreItem>
</file>

<file path=docProps/app.xml><?xml version="1.0" encoding="utf-8"?>
<Properties xmlns="http://schemas.openxmlformats.org/officeDocument/2006/extended-properties" xmlns:vt="http://schemas.openxmlformats.org/officeDocument/2006/docPropsVTypes">
  <Template>Normal</Template>
  <Pages>48</Pages>
  <Words>19884</Words>
  <Characters>22266</Characters>
  <Lines>173</Lines>
  <Paragraphs>48</Paragraphs>
  <TotalTime>520</TotalTime>
  <ScaleCrop>false</ScaleCrop>
  <LinksUpToDate>false</LinksUpToDate>
  <CharactersWithSpaces>22526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2016-10-24T08:33:00Z</dcterms:created>
  <dc:creator>Administrator</dc:creator>
  <cp:lastModifiedBy>太极箫客</cp:lastModifiedBy>
  <cp:lastPrinted>2017-03-14T07:48:00Z</cp:lastPrinted>
  <dcterms:modified xsi:type="dcterms:W3CDTF">2025-08-14T07:11:23Z</dcterms:modified>
  <dc:title>第二类硬管内窥镜产品注册技术审查</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eyJoZGlkIjoiMDJiMzI3ODBiNTFmMWRjNDUyMjM1ZmZjODY5NDc2MWMiLCJ1c2VySWQiOiI0NTQ4Nzg1NzAifQ==</vt:lpwstr>
  </property>
  <property fmtid="{D5CDD505-2E9C-101B-9397-08002B2CF9AE}" pid="4" name="ICV">
    <vt:lpwstr>38B42D266B4B4BD1AA706A233276C6F8_12</vt:lpwstr>
  </property>
</Properties>
</file>