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DBAB">
      <w:pPr>
        <w:widowControl w:val="0"/>
        <w:pBdr>
          <w:top w:val="single" w:color="auto" w:sz="4" w:space="1"/>
        </w:pBdr>
        <w:topLinePunct/>
        <w:spacing w:after="244" w:afterLines="75" w:line="288" w:lineRule="auto"/>
        <w:jc w:val="center"/>
        <w:rPr>
          <w:rFonts w:ascii="Arial" w:hAnsi="Arial" w:eastAsia="宋体" w:cs="Arial"/>
          <w:b/>
          <w:snapToGrid w:val="0"/>
          <w:sz w:val="72"/>
          <w:szCs w:val="72"/>
        </w:rPr>
      </w:pPr>
      <w:bookmarkStart w:id="59" w:name="_GoBack"/>
      <w:bookmarkEnd w:id="59"/>
      <w:r>
        <w:rPr>
          <w:rFonts w:ascii="Arial" w:hAnsi="Arial" w:eastAsia="宋体" w:cs="Arial"/>
          <w:b/>
          <w:snapToGrid w:val="0"/>
          <w:sz w:val="72"/>
          <w:szCs w:val="72"/>
        </w:rPr>
        <w:t>知情同意信息表</w:t>
      </w:r>
    </w:p>
    <w:p w14:paraId="30DBD495">
      <w:pPr>
        <w:widowControl w:val="0"/>
        <w:topLinePunct/>
        <w:spacing w:after="244" w:afterLines="75" w:line="288" w:lineRule="auto"/>
        <w:jc w:val="center"/>
        <w:rPr>
          <w:rFonts w:ascii="Arial" w:hAnsi="Arial" w:eastAsia="宋体" w:cs="Arial"/>
          <w:b/>
          <w:snapToGrid w:val="0"/>
          <w:sz w:val="72"/>
          <w:szCs w:val="72"/>
        </w:rPr>
      </w:pPr>
      <w:r>
        <w:rPr>
          <w:rFonts w:ascii="Arial" w:hAnsi="Arial" w:eastAsia="宋体" w:cs="Arial"/>
          <w:b/>
          <w:snapToGrid w:val="0"/>
          <w:sz w:val="72"/>
          <w:szCs w:val="72"/>
        </w:rPr>
        <w:t>IRB，临床研究者和申办方指南</w:t>
      </w:r>
    </w:p>
    <w:p w14:paraId="6E7DE022">
      <w:pPr>
        <w:widowControl w:val="0"/>
        <w:topLinePunct/>
        <w:spacing w:after="244" w:afterLines="75" w:line="288" w:lineRule="auto"/>
        <w:jc w:val="center"/>
        <w:rPr>
          <w:rFonts w:ascii="Arial" w:hAnsi="Arial" w:eastAsia="宋体" w:cs="Arial"/>
          <w:b/>
          <w:i/>
          <w:snapToGrid w:val="0"/>
          <w:sz w:val="36"/>
          <w:szCs w:val="44"/>
        </w:rPr>
      </w:pPr>
    </w:p>
    <w:p w14:paraId="236EF0A5">
      <w:pPr>
        <w:widowControl w:val="0"/>
        <w:topLinePunct/>
        <w:spacing w:after="244" w:afterLines="75" w:line="288" w:lineRule="auto"/>
        <w:jc w:val="center"/>
        <w:rPr>
          <w:rFonts w:ascii="Arial" w:hAnsi="Arial" w:eastAsia="宋体" w:cs="Arial"/>
          <w:b/>
          <w:i/>
          <w:snapToGrid w:val="0"/>
          <w:sz w:val="36"/>
          <w:szCs w:val="44"/>
        </w:rPr>
      </w:pPr>
      <w:r>
        <w:rPr>
          <w:rFonts w:ascii="Arial" w:hAnsi="Arial" w:eastAsia="宋体" w:cs="Arial"/>
          <w:b/>
          <w:i/>
          <w:snapToGrid w:val="0"/>
          <w:sz w:val="36"/>
          <w:szCs w:val="44"/>
        </w:rPr>
        <w:t>指南草案</w:t>
      </w:r>
    </w:p>
    <w:p w14:paraId="7F0356CC">
      <w:pPr>
        <w:widowControl w:val="0"/>
        <w:topLinePunct/>
        <w:spacing w:after="244" w:afterLines="75" w:line="288" w:lineRule="auto"/>
        <w:jc w:val="center"/>
        <w:rPr>
          <w:rFonts w:ascii="Arial" w:hAnsi="Arial" w:eastAsia="宋体" w:cs="Arial"/>
          <w:b/>
          <w:snapToGrid w:val="0"/>
          <w:szCs w:val="24"/>
        </w:rPr>
      </w:pPr>
      <w:r>
        <w:rPr>
          <w:rFonts w:hint="eastAsia" w:ascii="Arial" w:hAnsi="Arial" w:eastAsia="宋体" w:cs="Arial"/>
          <w:b/>
          <w:snapToGrid w:val="0"/>
          <w:szCs w:val="24"/>
        </w:rPr>
        <w:t>本指导性文件公布的目的仅用于征询意见、建议用途</w:t>
      </w:r>
      <w:r>
        <w:rPr>
          <w:rFonts w:ascii="Arial" w:hAnsi="Arial" w:eastAsia="宋体" w:cs="Arial"/>
          <w:b/>
          <w:snapToGrid w:val="0"/>
          <w:szCs w:val="24"/>
        </w:rPr>
        <w:t>。</w:t>
      </w:r>
    </w:p>
    <w:p w14:paraId="30A8D570">
      <w:pPr>
        <w:widowControl w:val="0"/>
        <w:topLinePunct/>
        <w:spacing w:after="244" w:afterLines="75" w:line="288" w:lineRule="auto"/>
        <w:jc w:val="both"/>
        <w:rPr>
          <w:rFonts w:ascii="Arial" w:hAnsi="Arial" w:eastAsia="宋体" w:cs="Arial"/>
          <w:snapToGrid w:val="0"/>
          <w:szCs w:val="24"/>
        </w:rPr>
      </w:pPr>
    </w:p>
    <w:p w14:paraId="7AF4A7AE">
      <w:pPr>
        <w:widowControl w:val="0"/>
        <w:topLinePunct/>
        <w:spacing w:after="244" w:afterLines="75" w:line="288" w:lineRule="auto"/>
        <w:jc w:val="both"/>
        <w:rPr>
          <w:rFonts w:ascii="Arial" w:hAnsi="Arial" w:eastAsia="宋体" w:cs="Arial"/>
          <w:snapToGrid w:val="0"/>
        </w:rPr>
      </w:pPr>
      <w:r>
        <w:rPr>
          <w:rFonts w:hint="eastAsia" w:ascii="Arial" w:hAnsi="Arial" w:eastAsia="宋体" w:cs="Arial"/>
          <w:snapToGrid w:val="0"/>
          <w:szCs w:val="24"/>
        </w:rPr>
        <w:t>关于本草案文件的任何评论及建议，请于</w:t>
      </w:r>
      <w:r>
        <w:rPr>
          <w:rFonts w:hint="eastAsia" w:ascii="Arial" w:hAnsi="Arial" w:eastAsia="宋体" w:cs="Arial"/>
          <w:i/>
          <w:snapToGrid w:val="0"/>
          <w:szCs w:val="24"/>
        </w:rPr>
        <w:t>联邦公报</w:t>
      </w:r>
      <w:r>
        <w:rPr>
          <w:rFonts w:hint="eastAsia" w:ascii="Arial" w:hAnsi="Arial" w:eastAsia="宋体" w:cs="Arial"/>
          <w:snapToGrid w:val="0"/>
          <w:szCs w:val="24"/>
        </w:rPr>
        <w:t>刊载草案文件发布通知的60天内提交。</w:t>
      </w:r>
      <w:r>
        <w:rPr>
          <w:rFonts w:ascii="Arial" w:hAnsi="Arial" w:eastAsia="宋体" w:cs="Arial"/>
          <w:snapToGrid w:val="0"/>
          <w:szCs w:val="24"/>
        </w:rPr>
        <w:t>评论可提交至：美国食品药品监督管理局，</w:t>
      </w:r>
      <w:r>
        <w:rPr>
          <w:rFonts w:ascii="Arial" w:hAnsi="Arial" w:eastAsia="宋体" w:cs="Arial"/>
          <w:snapToGrid w:val="0"/>
        </w:rPr>
        <w:t>案卷管理科（5630 Fishers Lane，rm. 1061（HFA-305），Rockville，MD，20852）。所有评论应注明案卷编号，该编号在</w:t>
      </w:r>
      <w:r>
        <w:rPr>
          <w:rFonts w:ascii="Arial" w:hAnsi="Arial" w:eastAsia="宋体" w:cs="Arial"/>
          <w:i/>
          <w:snapToGrid w:val="0"/>
        </w:rPr>
        <w:t>联邦公报</w:t>
      </w:r>
      <w:r>
        <w:rPr>
          <w:rFonts w:ascii="Arial" w:hAnsi="Arial" w:eastAsia="宋体" w:cs="Arial"/>
          <w:snapToGrid w:val="0"/>
        </w:rPr>
        <w:t>上公布的可用性通知中列出。</w:t>
      </w:r>
    </w:p>
    <w:p w14:paraId="76FE7481">
      <w:pPr>
        <w:widowControl w:val="0"/>
        <w:topLinePunct/>
        <w:spacing w:after="244" w:afterLines="75" w:line="288" w:lineRule="auto"/>
        <w:jc w:val="both"/>
        <w:rPr>
          <w:rFonts w:ascii="Arial" w:hAnsi="Arial" w:eastAsia="宋体" w:cs="Arial"/>
          <w:snapToGrid w:val="0"/>
        </w:rPr>
      </w:pPr>
      <w:r>
        <w:rPr>
          <w:rFonts w:ascii="Arial" w:hAnsi="Arial" w:eastAsia="宋体" w:cs="Arial"/>
          <w:snapToGrid w:val="0"/>
        </w:rPr>
        <w:t>有关本指南草案的问题，请联系（OGCP）Marsha Melvin，电子邮件：</w:t>
      </w:r>
      <w:r>
        <w:fldChar w:fldCharType="begin"/>
      </w:r>
      <w:r>
        <w:instrText xml:space="preserve"> HYPERLINK "mailto:marsha.melvin@fda.hhs.gov" </w:instrText>
      </w:r>
      <w:r>
        <w:fldChar w:fldCharType="separate"/>
      </w:r>
      <w:r>
        <w:rPr>
          <w:rStyle w:val="24"/>
          <w:rFonts w:ascii="Arial" w:hAnsi="Arial" w:eastAsia="宋体" w:cs="Arial"/>
          <w:snapToGrid w:val="0"/>
          <w:color w:val="auto"/>
        </w:rPr>
        <w:t>marsha.melvin@fda.hhs.gov</w:t>
      </w:r>
      <w:r>
        <w:rPr>
          <w:rStyle w:val="24"/>
          <w:rFonts w:ascii="Arial" w:hAnsi="Arial" w:eastAsia="宋体" w:cs="Arial"/>
          <w:snapToGrid w:val="0"/>
          <w:color w:val="auto"/>
        </w:rPr>
        <w:fldChar w:fldCharType="end"/>
      </w:r>
      <w:r>
        <w:rPr>
          <w:rFonts w:ascii="Arial" w:hAnsi="Arial" w:eastAsia="宋体" w:cs="Arial"/>
          <w:snapToGrid w:val="0"/>
        </w:rPr>
        <w:t>，（CDER）Kristen Miller，电话：301-796-0762，（CBER）</w:t>
      </w:r>
      <w:r>
        <w:rPr>
          <w:rFonts w:ascii="Arial" w:hAnsi="Arial" w:eastAsia="宋体" w:cs="Arial"/>
          <w:iCs/>
          <w:snapToGrid w:val="0"/>
        </w:rPr>
        <w:t>交流、</w:t>
      </w:r>
      <w:r>
        <w:rPr>
          <w:rFonts w:hint="eastAsia" w:ascii="Arial" w:hAnsi="Arial" w:eastAsia="宋体" w:cs="Arial"/>
          <w:iCs/>
          <w:snapToGrid w:val="0"/>
        </w:rPr>
        <w:t>外联</w:t>
      </w:r>
      <w:r>
        <w:rPr>
          <w:rFonts w:ascii="Arial" w:hAnsi="Arial" w:eastAsia="宋体" w:cs="Arial"/>
          <w:iCs/>
          <w:snapToGrid w:val="0"/>
        </w:rPr>
        <w:t>和发展办公室</w:t>
      </w:r>
      <w:r>
        <w:rPr>
          <w:rFonts w:ascii="Arial" w:hAnsi="Arial" w:eastAsia="宋体" w:cs="Arial"/>
          <w:snapToGrid w:val="0"/>
        </w:rPr>
        <w:t>，电话：800-835- 4709或240-402-7800，或（CDRH）Sheila Brown，电话：301-796-6563（CDRH）。</w:t>
      </w:r>
    </w:p>
    <w:p w14:paraId="748CF778">
      <w:pPr>
        <w:pStyle w:val="47"/>
        <w:shd w:val="clear" w:color="auto" w:fill="auto"/>
        <w:topLinePunct/>
        <w:adjustRightInd w:val="0"/>
        <w:snapToGrid w:val="0"/>
        <w:spacing w:after="0" w:line="288" w:lineRule="auto"/>
        <w:jc w:val="center"/>
        <w:rPr>
          <w:rFonts w:ascii="Arial" w:hAnsi="Arial" w:eastAsia="宋体" w:cs="Arial"/>
          <w:snapToGrid w:val="0"/>
          <w:kern w:val="0"/>
          <w:sz w:val="24"/>
        </w:rPr>
      </w:pPr>
    </w:p>
    <w:p w14:paraId="639F35D3">
      <w:pPr>
        <w:pStyle w:val="47"/>
        <w:shd w:val="clear" w:color="auto" w:fill="auto"/>
        <w:topLinePunct/>
        <w:adjustRightInd w:val="0"/>
        <w:snapToGrid w:val="0"/>
        <w:spacing w:after="0" w:line="288" w:lineRule="auto"/>
        <w:jc w:val="center"/>
        <w:rPr>
          <w:rFonts w:ascii="Arial" w:hAnsi="Arial" w:eastAsia="宋体" w:cs="Arial"/>
          <w:snapToGrid w:val="0"/>
          <w:kern w:val="0"/>
          <w:sz w:val="24"/>
        </w:rPr>
      </w:pPr>
    </w:p>
    <w:p w14:paraId="2B06E640">
      <w:pPr>
        <w:pStyle w:val="47"/>
        <w:shd w:val="clear" w:color="auto" w:fill="auto"/>
        <w:topLinePunct/>
        <w:adjustRightInd w:val="0"/>
        <w:snapToGrid w:val="0"/>
        <w:spacing w:after="0" w:line="288" w:lineRule="auto"/>
        <w:jc w:val="center"/>
        <w:rPr>
          <w:rFonts w:ascii="Arial" w:hAnsi="Arial" w:eastAsia="宋体" w:cs="Arial"/>
          <w:snapToGrid w:val="0"/>
          <w:kern w:val="0"/>
          <w:sz w:val="24"/>
        </w:rPr>
      </w:pPr>
    </w:p>
    <w:p w14:paraId="158CB896">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r>
        <w:rPr>
          <w:rFonts w:ascii="Arial" w:hAnsi="Arial" w:eastAsia="宋体" w:cs="Arial"/>
          <w:snapToGrid w:val="0"/>
          <w:kern w:val="0"/>
          <w:sz w:val="24"/>
        </w:rPr>
        <w:t>美国卫生和人类服务署</w:t>
      </w:r>
    </w:p>
    <w:p w14:paraId="30756E9E">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r>
        <w:rPr>
          <w:rFonts w:ascii="Arial" w:hAnsi="Arial" w:eastAsia="宋体" w:cs="Arial"/>
          <w:bCs w:val="0"/>
          <w:snapToGrid w:val="0"/>
          <w:kern w:val="0"/>
          <w:sz w:val="24"/>
          <w:szCs w:val="21"/>
        </w:rPr>
        <w:t>食品药品监督管理局</w:t>
      </w:r>
    </w:p>
    <w:p w14:paraId="657579C1">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r>
        <w:rPr>
          <w:rFonts w:ascii="Arial" w:hAnsi="Arial" w:eastAsia="宋体" w:cs="Arial"/>
          <w:bCs w:val="0"/>
          <w:snapToGrid w:val="0"/>
          <w:kern w:val="0"/>
          <w:sz w:val="24"/>
          <w:szCs w:val="21"/>
        </w:rPr>
        <w:t>良好临床</w:t>
      </w:r>
      <w:r>
        <w:rPr>
          <w:rFonts w:hint="eastAsia" w:ascii="Arial" w:hAnsi="Arial" w:eastAsia="宋体" w:cs="Arial"/>
          <w:bCs w:val="0"/>
          <w:snapToGrid w:val="0"/>
          <w:kern w:val="0"/>
          <w:sz w:val="24"/>
          <w:szCs w:val="21"/>
        </w:rPr>
        <w:t>试验管理规范</w:t>
      </w:r>
      <w:r>
        <w:rPr>
          <w:rFonts w:ascii="Arial" w:hAnsi="Arial" w:eastAsia="宋体" w:cs="Arial"/>
          <w:bCs w:val="0"/>
          <w:snapToGrid w:val="0"/>
          <w:kern w:val="0"/>
          <w:sz w:val="24"/>
          <w:szCs w:val="21"/>
        </w:rPr>
        <w:t>办公室</w:t>
      </w:r>
    </w:p>
    <w:p w14:paraId="4794E2B5">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r>
        <w:rPr>
          <w:rFonts w:hint="eastAsia" w:ascii="Arial" w:hAnsi="Arial" w:eastAsia="宋体" w:cs="Arial"/>
          <w:bCs w:val="0"/>
          <w:snapToGrid w:val="0"/>
          <w:kern w:val="0"/>
          <w:sz w:val="24"/>
          <w:szCs w:val="21"/>
        </w:rPr>
        <w:t>药品评价</w:t>
      </w:r>
      <w:r>
        <w:rPr>
          <w:rFonts w:ascii="Arial" w:hAnsi="Arial" w:eastAsia="宋体" w:cs="Arial"/>
          <w:bCs w:val="0"/>
          <w:snapToGrid w:val="0"/>
          <w:kern w:val="0"/>
          <w:sz w:val="24"/>
          <w:szCs w:val="21"/>
        </w:rPr>
        <w:t>和研究中心</w:t>
      </w:r>
    </w:p>
    <w:p w14:paraId="21E89E48">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r>
        <w:rPr>
          <w:rFonts w:ascii="Arial" w:hAnsi="Arial" w:eastAsia="宋体" w:cs="Arial"/>
          <w:bCs w:val="0"/>
          <w:snapToGrid w:val="0"/>
          <w:kern w:val="0"/>
          <w:sz w:val="24"/>
          <w:szCs w:val="21"/>
        </w:rPr>
        <w:t>生物制剂评估和研究中心</w:t>
      </w:r>
    </w:p>
    <w:p w14:paraId="58A73D0E">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r>
        <w:rPr>
          <w:rFonts w:ascii="Arial" w:hAnsi="Arial" w:eastAsia="宋体" w:cs="Arial"/>
          <w:bCs w:val="0"/>
          <w:snapToGrid w:val="0"/>
          <w:kern w:val="0"/>
          <w:sz w:val="24"/>
          <w:szCs w:val="21"/>
        </w:rPr>
        <w:t>器械和放射卫生中心</w:t>
      </w:r>
    </w:p>
    <w:p w14:paraId="1F2C5330">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p>
    <w:p w14:paraId="5378F12F">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r>
        <w:rPr>
          <w:rFonts w:ascii="Arial" w:hAnsi="Arial" w:eastAsia="宋体" w:cs="Arial"/>
          <w:bCs w:val="0"/>
          <w:snapToGrid w:val="0"/>
          <w:kern w:val="0"/>
          <w:sz w:val="24"/>
          <w:szCs w:val="21"/>
        </w:rPr>
        <w:t>2014年7月</w:t>
      </w:r>
    </w:p>
    <w:p w14:paraId="7492DB78">
      <w:pPr>
        <w:pStyle w:val="47"/>
        <w:pBdr>
          <w:bottom w:val="single" w:color="auto" w:sz="4" w:space="1"/>
        </w:pBdr>
        <w:shd w:val="clear" w:color="auto" w:fill="auto"/>
        <w:topLinePunct/>
        <w:adjustRightInd w:val="0"/>
        <w:snapToGrid w:val="0"/>
        <w:spacing w:after="0" w:line="288" w:lineRule="auto"/>
        <w:jc w:val="center"/>
        <w:rPr>
          <w:rFonts w:ascii="Arial" w:hAnsi="Arial" w:eastAsia="宋体" w:cs="Arial"/>
          <w:bCs w:val="0"/>
          <w:snapToGrid w:val="0"/>
          <w:kern w:val="0"/>
          <w:sz w:val="24"/>
          <w:szCs w:val="21"/>
        </w:rPr>
      </w:pPr>
    </w:p>
    <w:p w14:paraId="652852AA">
      <w:pPr>
        <w:pStyle w:val="47"/>
        <w:shd w:val="clear" w:color="auto" w:fill="auto"/>
        <w:topLinePunct/>
        <w:adjustRightInd w:val="0"/>
        <w:snapToGrid w:val="0"/>
        <w:spacing w:after="0" w:line="288" w:lineRule="auto"/>
        <w:jc w:val="center"/>
        <w:rPr>
          <w:rFonts w:ascii="Arial" w:hAnsi="Arial" w:eastAsia="宋体" w:cs="Arial"/>
          <w:bCs w:val="0"/>
          <w:snapToGrid w:val="0"/>
          <w:kern w:val="0"/>
          <w:sz w:val="24"/>
          <w:szCs w:val="21"/>
        </w:rPr>
        <w:sectPr>
          <w:headerReference r:id="rId5" w:type="default"/>
          <w:pgSz w:w="11906" w:h="16838"/>
          <w:pgMar w:top="1134" w:right="1440" w:bottom="1134" w:left="1440" w:header="720" w:footer="720" w:gutter="0"/>
          <w:pgNumType w:start="1"/>
          <w:cols w:space="425" w:num="1"/>
          <w:docGrid w:type="lines" w:linePitch="326" w:charSpace="0"/>
        </w:sectPr>
      </w:pPr>
    </w:p>
    <w:p w14:paraId="586D8F41">
      <w:pPr>
        <w:widowControl w:val="0"/>
        <w:topLinePunct/>
        <w:spacing w:after="244" w:afterLines="75" w:line="288" w:lineRule="auto"/>
        <w:jc w:val="center"/>
        <w:rPr>
          <w:rFonts w:ascii="Arial" w:hAnsi="Arial" w:eastAsia="宋体" w:cs="Arial"/>
          <w:b/>
          <w:snapToGrid w:val="0"/>
          <w:sz w:val="72"/>
          <w:szCs w:val="72"/>
        </w:rPr>
      </w:pPr>
      <w:r>
        <w:rPr>
          <w:rFonts w:ascii="Arial" w:hAnsi="Arial" w:eastAsia="宋体" w:cs="Arial"/>
          <w:b/>
          <w:snapToGrid w:val="0"/>
          <w:sz w:val="72"/>
          <w:szCs w:val="72"/>
        </w:rPr>
        <w:t>知情同意信息表</w:t>
      </w:r>
    </w:p>
    <w:p w14:paraId="6F5C123E">
      <w:pPr>
        <w:widowControl w:val="0"/>
        <w:topLinePunct/>
        <w:spacing w:after="244" w:afterLines="75" w:line="288" w:lineRule="auto"/>
        <w:jc w:val="center"/>
        <w:rPr>
          <w:rFonts w:ascii="Arial" w:hAnsi="Arial" w:eastAsia="宋体" w:cs="Arial"/>
          <w:b/>
          <w:snapToGrid w:val="0"/>
          <w:sz w:val="72"/>
          <w:szCs w:val="72"/>
        </w:rPr>
      </w:pPr>
      <w:r>
        <w:rPr>
          <w:rFonts w:ascii="Arial" w:hAnsi="Arial" w:eastAsia="宋体" w:cs="Arial"/>
          <w:b/>
          <w:snapToGrid w:val="0"/>
          <w:sz w:val="72"/>
          <w:szCs w:val="72"/>
        </w:rPr>
        <w:t>IRB，临床研究者和申办方指南</w:t>
      </w:r>
    </w:p>
    <w:p w14:paraId="54C0D3C9">
      <w:pPr>
        <w:widowControl w:val="0"/>
        <w:topLinePunct/>
        <w:spacing w:after="244" w:afterLines="75" w:line="288" w:lineRule="auto"/>
        <w:jc w:val="center"/>
        <w:rPr>
          <w:rFonts w:ascii="Arial" w:hAnsi="Arial" w:eastAsia="宋体" w:cs="Arial"/>
          <w:i/>
          <w:snapToGrid w:val="0"/>
        </w:rPr>
      </w:pPr>
    </w:p>
    <w:p w14:paraId="12624C8D">
      <w:pPr>
        <w:widowControl w:val="0"/>
        <w:topLinePunct/>
        <w:spacing w:after="244" w:afterLines="75" w:line="288" w:lineRule="auto"/>
        <w:jc w:val="center"/>
        <w:rPr>
          <w:rFonts w:ascii="Arial" w:hAnsi="Arial" w:eastAsia="宋体" w:cs="Arial"/>
          <w:i/>
          <w:snapToGrid w:val="0"/>
        </w:rPr>
      </w:pPr>
    </w:p>
    <w:p w14:paraId="0C205185">
      <w:pPr>
        <w:widowControl w:val="0"/>
        <w:topLinePunct/>
        <w:spacing w:after="244" w:afterLines="75" w:line="288" w:lineRule="auto"/>
        <w:jc w:val="center"/>
        <w:rPr>
          <w:rFonts w:ascii="Arial" w:hAnsi="Arial" w:eastAsia="宋体" w:cs="Arial"/>
          <w:i/>
          <w:snapToGrid w:val="0"/>
        </w:rPr>
      </w:pPr>
    </w:p>
    <w:p w14:paraId="581B6DF3">
      <w:pPr>
        <w:widowControl w:val="0"/>
        <w:topLinePunct/>
        <w:spacing w:after="244" w:afterLines="75" w:line="288" w:lineRule="auto"/>
        <w:jc w:val="center"/>
        <w:rPr>
          <w:rFonts w:ascii="Arial" w:hAnsi="Arial" w:eastAsia="宋体" w:cs="Arial"/>
          <w:i/>
          <w:snapToGrid w:val="0"/>
        </w:rPr>
      </w:pPr>
      <w:r>
        <w:rPr>
          <w:rFonts w:ascii="Arial" w:hAnsi="Arial" w:eastAsia="宋体" w:cs="Arial"/>
          <w:i/>
          <w:snapToGrid w:val="0"/>
        </w:rPr>
        <w:t>其他副本可得自：</w:t>
      </w:r>
    </w:p>
    <w:p w14:paraId="6C54224A">
      <w:pPr>
        <w:widowControl w:val="0"/>
        <w:topLinePunct/>
        <w:spacing w:line="288" w:lineRule="auto"/>
        <w:jc w:val="center"/>
        <w:rPr>
          <w:rFonts w:ascii="Arial" w:hAnsi="Arial" w:eastAsia="宋体" w:cs="Arial"/>
          <w:snapToGrid w:val="0"/>
        </w:rPr>
      </w:pPr>
      <w:r>
        <w:rPr>
          <w:rFonts w:ascii="Arial" w:hAnsi="Arial" w:eastAsia="宋体" w:cs="Arial"/>
          <w:snapToGrid w:val="0"/>
        </w:rPr>
        <w:t>良好临床试验管理规范办公室</w:t>
      </w:r>
    </w:p>
    <w:p w14:paraId="21867559">
      <w:pPr>
        <w:widowControl w:val="0"/>
        <w:topLinePunct/>
        <w:spacing w:line="288" w:lineRule="auto"/>
        <w:jc w:val="center"/>
        <w:rPr>
          <w:rFonts w:ascii="Arial" w:hAnsi="Arial" w:eastAsia="宋体" w:cs="Arial"/>
          <w:snapToGrid w:val="0"/>
        </w:rPr>
      </w:pPr>
      <w:r>
        <w:rPr>
          <w:rFonts w:ascii="Arial" w:hAnsi="Arial" w:eastAsia="宋体" w:cs="Arial"/>
          <w:snapToGrid w:val="0"/>
        </w:rPr>
        <w:t>特殊医疗计划办公室，医疗产品和烟草办公室</w:t>
      </w:r>
    </w:p>
    <w:p w14:paraId="1DE31FE5">
      <w:pPr>
        <w:widowControl w:val="0"/>
        <w:topLinePunct/>
        <w:spacing w:line="288" w:lineRule="auto"/>
        <w:jc w:val="center"/>
        <w:rPr>
          <w:rFonts w:ascii="Arial" w:hAnsi="Arial" w:eastAsia="宋体" w:cs="Arial"/>
          <w:snapToGrid w:val="0"/>
        </w:rPr>
      </w:pPr>
      <w:r>
        <w:rPr>
          <w:rFonts w:ascii="Arial" w:hAnsi="Arial" w:eastAsia="宋体" w:cs="Arial"/>
          <w:snapToGrid w:val="0"/>
        </w:rPr>
        <w:t>食品药品监督管理局</w:t>
      </w:r>
    </w:p>
    <w:p w14:paraId="13D4E40E">
      <w:pPr>
        <w:pStyle w:val="45"/>
        <w:shd w:val="clear" w:color="auto" w:fill="auto"/>
        <w:topLinePunct/>
        <w:adjustRightInd w:val="0"/>
        <w:snapToGrid w:val="0"/>
        <w:spacing w:before="0" w:after="0" w:line="288" w:lineRule="auto"/>
        <w:ind w:firstLine="0"/>
        <w:jc w:val="center"/>
        <w:rPr>
          <w:rFonts w:ascii="Arial" w:hAnsi="Arial" w:eastAsia="宋体" w:cs="Arial"/>
          <w:snapToGrid w:val="0"/>
          <w:kern w:val="0"/>
        </w:rPr>
      </w:pPr>
      <w:r>
        <w:rPr>
          <w:rFonts w:ascii="Arial" w:hAnsi="Arial" w:eastAsia="宋体" w:cs="Arial"/>
          <w:snapToGrid w:val="0"/>
          <w:kern w:val="0"/>
        </w:rPr>
        <w:t>10903 New Hampshire Avenue</w:t>
      </w:r>
    </w:p>
    <w:p w14:paraId="7F2613FB">
      <w:pPr>
        <w:pStyle w:val="45"/>
        <w:shd w:val="clear" w:color="auto" w:fill="auto"/>
        <w:topLinePunct/>
        <w:adjustRightInd w:val="0"/>
        <w:snapToGrid w:val="0"/>
        <w:spacing w:before="0" w:after="0" w:line="288" w:lineRule="auto"/>
        <w:ind w:firstLine="0"/>
        <w:jc w:val="center"/>
        <w:rPr>
          <w:rFonts w:ascii="Arial" w:hAnsi="Arial" w:eastAsia="宋体" w:cs="Arial"/>
          <w:snapToGrid w:val="0"/>
          <w:kern w:val="0"/>
        </w:rPr>
      </w:pPr>
      <w:r>
        <w:rPr>
          <w:rFonts w:ascii="Arial" w:hAnsi="Arial" w:eastAsia="宋体" w:cs="Arial"/>
          <w:snapToGrid w:val="0"/>
          <w:kern w:val="0"/>
        </w:rPr>
        <w:t>WO32-5103</w:t>
      </w:r>
    </w:p>
    <w:p w14:paraId="0FF50A7D">
      <w:pPr>
        <w:pStyle w:val="45"/>
        <w:shd w:val="clear" w:color="auto" w:fill="auto"/>
        <w:topLinePunct/>
        <w:adjustRightInd w:val="0"/>
        <w:snapToGrid w:val="0"/>
        <w:spacing w:before="0" w:after="0" w:line="288" w:lineRule="auto"/>
        <w:ind w:firstLine="0"/>
        <w:jc w:val="center"/>
        <w:rPr>
          <w:rFonts w:ascii="Arial" w:hAnsi="Arial" w:eastAsia="宋体" w:cs="Arial"/>
          <w:snapToGrid w:val="0"/>
          <w:kern w:val="0"/>
        </w:rPr>
      </w:pPr>
      <w:r>
        <w:rPr>
          <w:rFonts w:ascii="Arial" w:hAnsi="Arial" w:eastAsia="宋体" w:cs="Arial"/>
          <w:snapToGrid w:val="0"/>
          <w:kern w:val="0"/>
        </w:rPr>
        <w:t>Silver Spring，MD 20993</w:t>
      </w:r>
    </w:p>
    <w:p w14:paraId="676840B9">
      <w:pPr>
        <w:pStyle w:val="45"/>
        <w:shd w:val="clear" w:color="auto" w:fill="auto"/>
        <w:topLinePunct/>
        <w:adjustRightInd w:val="0"/>
        <w:snapToGrid w:val="0"/>
        <w:spacing w:before="0" w:after="0" w:line="288" w:lineRule="auto"/>
        <w:ind w:firstLine="0"/>
        <w:jc w:val="center"/>
        <w:rPr>
          <w:rFonts w:ascii="Arial" w:hAnsi="Arial" w:eastAsia="宋体" w:cs="Arial"/>
          <w:snapToGrid w:val="0"/>
          <w:kern w:val="0"/>
        </w:rPr>
      </w:pPr>
      <w:r>
        <w:rPr>
          <w:rFonts w:ascii="Arial" w:hAnsi="Arial" w:eastAsia="宋体" w:cs="Arial"/>
          <w:snapToGrid w:val="0"/>
          <w:kern w:val="0"/>
        </w:rPr>
        <w:t>（电话）（301）796-8340</w:t>
      </w:r>
    </w:p>
    <w:p w14:paraId="0FC425E3">
      <w:pPr>
        <w:pStyle w:val="45"/>
        <w:shd w:val="clear" w:color="auto" w:fill="auto"/>
        <w:topLinePunct/>
        <w:adjustRightInd w:val="0"/>
        <w:snapToGrid w:val="0"/>
        <w:spacing w:before="0" w:after="0" w:line="288" w:lineRule="auto"/>
        <w:ind w:firstLine="0"/>
        <w:jc w:val="center"/>
        <w:rPr>
          <w:rFonts w:ascii="Arial" w:hAnsi="Arial" w:eastAsia="宋体" w:cs="Arial"/>
          <w:snapToGrid w:val="0"/>
          <w:color w:val="3333FF"/>
          <w:kern w:val="0"/>
        </w:rPr>
      </w:pPr>
      <w:r>
        <w:fldChar w:fldCharType="begin"/>
      </w:r>
      <w:r>
        <w:instrText xml:space="preserve"> HYPERLINK "http://www.fda.gov/ScienceResearch/SpecialTopics/RunningClinicalTrials/ProposedRegulations" </w:instrText>
      </w:r>
      <w:r>
        <w:fldChar w:fldCharType="separate"/>
      </w:r>
      <w:r>
        <w:rPr>
          <w:rStyle w:val="24"/>
          <w:rFonts w:ascii="Arial" w:hAnsi="Arial" w:eastAsia="宋体" w:cs="Arial"/>
          <w:snapToGrid w:val="0"/>
          <w:color w:val="3333FF"/>
          <w:kern w:val="0"/>
        </w:rPr>
        <w:t>http</w:t>
      </w:r>
      <w:r>
        <w:rPr>
          <w:rStyle w:val="24"/>
          <w:rFonts w:hint="eastAsia" w:ascii="Arial" w:hAnsi="Arial" w:eastAsia="宋体" w:cs="Arial"/>
          <w:snapToGrid w:val="0"/>
          <w:color w:val="3333FF"/>
          <w:kern w:val="0"/>
        </w:rPr>
        <w:t>：</w:t>
      </w:r>
      <w:r>
        <w:rPr>
          <w:rStyle w:val="24"/>
          <w:rFonts w:ascii="Arial" w:hAnsi="Arial" w:eastAsia="宋体" w:cs="Arial"/>
          <w:snapToGrid w:val="0"/>
          <w:color w:val="3333FF"/>
          <w:kern w:val="0"/>
        </w:rPr>
        <w:t>//www.fda.gov/ScienceResearch/SpecialTopics/RunningClinicalTrials/ProposedRegulations</w:t>
      </w:r>
      <w:r>
        <w:rPr>
          <w:rStyle w:val="24"/>
          <w:rFonts w:ascii="Arial" w:hAnsi="Arial" w:eastAsia="宋体" w:cs="Arial"/>
          <w:snapToGrid w:val="0"/>
          <w:color w:val="3333FF"/>
          <w:kern w:val="0"/>
        </w:rPr>
        <w:fldChar w:fldCharType="end"/>
      </w:r>
      <w:r>
        <w:rPr>
          <w:rFonts w:ascii="Arial" w:hAnsi="Arial" w:eastAsia="宋体" w:cs="Arial"/>
          <w:snapToGrid w:val="0"/>
          <w:color w:val="3333FF"/>
          <w:kern w:val="0"/>
        </w:rPr>
        <w:t xml:space="preserve"> </w:t>
      </w:r>
      <w:r>
        <w:fldChar w:fldCharType="begin"/>
      </w:r>
      <w:r>
        <w:instrText xml:space="preserve"> HYPERLINK "http://www.fda.gov/ScienceResearch/SpecialTopics/RunningClinicalTrials/ProposedRegulationsandDraftGuidances/default.htm" </w:instrText>
      </w:r>
      <w:r>
        <w:fldChar w:fldCharType="separate"/>
      </w:r>
      <w:r>
        <w:rPr>
          <w:rStyle w:val="24"/>
          <w:rFonts w:ascii="Arial" w:hAnsi="Arial" w:eastAsia="宋体" w:cs="Arial"/>
          <w:snapToGrid w:val="0"/>
          <w:color w:val="3333FF"/>
          <w:kern w:val="0"/>
        </w:rPr>
        <w:t>andDraftGuidancesZdefault.htm</w:t>
      </w:r>
      <w:r>
        <w:rPr>
          <w:rStyle w:val="24"/>
          <w:rFonts w:ascii="Arial" w:hAnsi="Arial" w:eastAsia="宋体" w:cs="Arial"/>
          <w:snapToGrid w:val="0"/>
          <w:color w:val="3333FF"/>
          <w:kern w:val="0"/>
        </w:rPr>
        <w:fldChar w:fldCharType="end"/>
      </w:r>
    </w:p>
    <w:p w14:paraId="0B48B548">
      <w:pPr>
        <w:widowControl w:val="0"/>
        <w:topLinePunct/>
        <w:spacing w:line="288" w:lineRule="auto"/>
        <w:jc w:val="center"/>
        <w:rPr>
          <w:rFonts w:ascii="Arial" w:hAnsi="Arial" w:eastAsia="宋体" w:cs="Arial"/>
          <w:b/>
          <w:snapToGrid w:val="0"/>
        </w:rPr>
      </w:pPr>
    </w:p>
    <w:p w14:paraId="72ABE2A2">
      <w:pPr>
        <w:widowControl w:val="0"/>
        <w:topLinePunct/>
        <w:spacing w:line="288" w:lineRule="auto"/>
        <w:jc w:val="center"/>
        <w:rPr>
          <w:rFonts w:ascii="Arial" w:hAnsi="Arial" w:eastAsia="宋体" w:cs="Arial"/>
          <w:b/>
          <w:snapToGrid w:val="0"/>
        </w:rPr>
      </w:pPr>
    </w:p>
    <w:p w14:paraId="4D4DE403">
      <w:pPr>
        <w:widowControl w:val="0"/>
        <w:topLinePunct/>
        <w:spacing w:line="288" w:lineRule="auto"/>
        <w:jc w:val="center"/>
        <w:rPr>
          <w:rFonts w:ascii="Arial" w:hAnsi="Arial" w:eastAsia="宋体" w:cs="Arial"/>
          <w:b/>
          <w:snapToGrid w:val="0"/>
        </w:rPr>
      </w:pPr>
    </w:p>
    <w:p w14:paraId="11E77F72">
      <w:pPr>
        <w:widowControl w:val="0"/>
        <w:topLinePunct/>
        <w:spacing w:line="288" w:lineRule="auto"/>
        <w:jc w:val="center"/>
        <w:rPr>
          <w:rFonts w:ascii="Arial" w:hAnsi="Arial" w:eastAsia="宋体" w:cs="Arial"/>
          <w:b/>
          <w:snapToGrid w:val="0"/>
        </w:rPr>
      </w:pPr>
    </w:p>
    <w:p w14:paraId="60E7E64F">
      <w:pPr>
        <w:widowControl w:val="0"/>
        <w:topLinePunct/>
        <w:spacing w:line="288" w:lineRule="auto"/>
        <w:jc w:val="center"/>
        <w:rPr>
          <w:rFonts w:ascii="Arial" w:hAnsi="Arial" w:eastAsia="宋体" w:cs="Arial"/>
          <w:b/>
          <w:snapToGrid w:val="0"/>
        </w:rPr>
      </w:pPr>
    </w:p>
    <w:p w14:paraId="7AF14E90">
      <w:pPr>
        <w:widowControl w:val="0"/>
        <w:topLinePunct/>
        <w:spacing w:line="288" w:lineRule="auto"/>
        <w:jc w:val="center"/>
        <w:rPr>
          <w:rFonts w:ascii="Arial" w:hAnsi="Arial" w:eastAsia="宋体" w:cs="Arial"/>
          <w:b/>
          <w:snapToGrid w:val="0"/>
        </w:rPr>
      </w:pPr>
    </w:p>
    <w:p w14:paraId="25E06A13">
      <w:pPr>
        <w:widowControl w:val="0"/>
        <w:topLinePunct/>
        <w:spacing w:line="288" w:lineRule="auto"/>
        <w:jc w:val="center"/>
        <w:rPr>
          <w:rFonts w:ascii="Arial" w:hAnsi="Arial" w:eastAsia="宋体" w:cs="Arial"/>
          <w:b/>
          <w:snapToGrid w:val="0"/>
        </w:rPr>
      </w:pPr>
    </w:p>
    <w:p w14:paraId="23080EF4">
      <w:pPr>
        <w:widowControl w:val="0"/>
        <w:topLinePunct/>
        <w:spacing w:line="288" w:lineRule="auto"/>
        <w:jc w:val="center"/>
        <w:rPr>
          <w:rFonts w:ascii="Arial" w:hAnsi="Arial" w:eastAsia="宋体" w:cs="Arial"/>
          <w:b/>
          <w:snapToGrid w:val="0"/>
        </w:rPr>
      </w:pPr>
    </w:p>
    <w:p w14:paraId="4EBE340D">
      <w:pPr>
        <w:widowControl w:val="0"/>
        <w:topLinePunct/>
        <w:spacing w:line="288" w:lineRule="auto"/>
        <w:jc w:val="center"/>
        <w:rPr>
          <w:rFonts w:ascii="Arial" w:hAnsi="Arial" w:eastAsia="宋体" w:cs="Arial"/>
          <w:b/>
          <w:snapToGrid w:val="0"/>
        </w:rPr>
      </w:pPr>
      <w:r>
        <w:rPr>
          <w:rFonts w:ascii="Arial" w:hAnsi="Arial" w:eastAsia="宋体" w:cs="Arial"/>
          <w:b/>
          <w:snapToGrid w:val="0"/>
        </w:rPr>
        <w:t>美国卫生和人类服务署</w:t>
      </w:r>
    </w:p>
    <w:p w14:paraId="3C82B258">
      <w:pPr>
        <w:widowControl w:val="0"/>
        <w:topLinePunct/>
        <w:spacing w:after="244" w:afterLines="75" w:line="288" w:lineRule="auto"/>
        <w:jc w:val="center"/>
        <w:rPr>
          <w:rFonts w:ascii="Arial" w:hAnsi="Arial" w:eastAsia="宋体" w:cs="Arial"/>
          <w:b/>
          <w:snapToGrid w:val="0"/>
        </w:rPr>
      </w:pPr>
      <w:r>
        <w:rPr>
          <w:rFonts w:ascii="Arial" w:hAnsi="Arial" w:eastAsia="宋体" w:cs="Arial"/>
          <w:b/>
          <w:snapToGrid w:val="0"/>
        </w:rPr>
        <w:t>食品药品监督管理局</w:t>
      </w:r>
    </w:p>
    <w:p w14:paraId="0A9DFD9C">
      <w:pPr>
        <w:pStyle w:val="47"/>
        <w:pBdr>
          <w:bottom w:val="single" w:color="auto" w:sz="4" w:space="1"/>
        </w:pBdr>
        <w:shd w:val="clear" w:color="auto" w:fill="auto"/>
        <w:topLinePunct/>
        <w:adjustRightInd w:val="0"/>
        <w:snapToGrid w:val="0"/>
        <w:spacing w:after="244" w:afterLines="75" w:line="288" w:lineRule="auto"/>
        <w:jc w:val="center"/>
        <w:rPr>
          <w:rFonts w:ascii="Arial" w:hAnsi="Arial" w:eastAsia="宋体" w:cs="Arial"/>
          <w:bCs w:val="0"/>
          <w:snapToGrid w:val="0"/>
          <w:kern w:val="0"/>
          <w:sz w:val="24"/>
          <w:szCs w:val="21"/>
        </w:rPr>
      </w:pPr>
      <w:r>
        <w:rPr>
          <w:rFonts w:ascii="Arial" w:hAnsi="Arial" w:eastAsia="宋体" w:cs="Arial"/>
          <w:bCs w:val="0"/>
          <w:snapToGrid w:val="0"/>
          <w:kern w:val="0"/>
          <w:sz w:val="24"/>
          <w:szCs w:val="21"/>
        </w:rPr>
        <w:t>2014年7月</w:t>
      </w:r>
    </w:p>
    <w:p w14:paraId="1850496D">
      <w:pPr>
        <w:widowControl w:val="0"/>
        <w:topLinePunct/>
        <w:spacing w:after="244" w:afterLines="75" w:line="288" w:lineRule="auto"/>
        <w:jc w:val="center"/>
        <w:rPr>
          <w:rFonts w:ascii="Arial" w:hAnsi="Arial" w:eastAsia="宋体" w:cs="Arial"/>
          <w:b/>
          <w:snapToGrid w:val="0"/>
          <w:sz w:val="28"/>
        </w:rPr>
      </w:pPr>
      <w:r>
        <w:rPr>
          <w:rFonts w:ascii="Arial" w:hAnsi="Arial" w:eastAsia="宋体" w:cs="Arial"/>
          <w:b/>
          <w:snapToGrid w:val="0"/>
          <w:sz w:val="28"/>
        </w:rPr>
        <w:t>目录</w:t>
      </w:r>
    </w:p>
    <w:p w14:paraId="2C0A0866">
      <w:pPr>
        <w:pStyle w:val="3"/>
        <w:ind w:right="480"/>
        <w:rPr>
          <w:rFonts w:asciiTheme="minorHAnsi" w:hAnsiTheme="minorHAnsi"/>
          <w:kern w:val="2"/>
          <w:sz w:val="21"/>
          <w:szCs w:val="22"/>
        </w:rPr>
      </w:pPr>
      <w:r>
        <w:rPr>
          <w:rFonts w:eastAsia="宋体" w:cs="Arial"/>
          <w:b/>
          <w:snapToGrid w:val="0"/>
          <w:szCs w:val="28"/>
        </w:rPr>
        <w:fldChar w:fldCharType="begin"/>
      </w:r>
      <w:r>
        <w:rPr>
          <w:rFonts w:eastAsia="宋体" w:cs="Arial"/>
          <w:b/>
          <w:snapToGrid w:val="0"/>
          <w:szCs w:val="28"/>
        </w:rPr>
        <w:instrText xml:space="preserve"> TOC \o "1-4" \h \z \u </w:instrText>
      </w:r>
      <w:r>
        <w:rPr>
          <w:rFonts w:eastAsia="宋体" w:cs="Arial"/>
          <w:b/>
          <w:snapToGrid w:val="0"/>
          <w:szCs w:val="28"/>
        </w:rPr>
        <w:fldChar w:fldCharType="separate"/>
      </w:r>
      <w:r>
        <w:fldChar w:fldCharType="begin"/>
      </w:r>
      <w:r>
        <w:instrText xml:space="preserve"> HYPERLINK \l "_Toc499801674" </w:instrText>
      </w:r>
      <w:r>
        <w:fldChar w:fldCharType="separate"/>
      </w:r>
      <w:r>
        <w:rPr>
          <w:rStyle w:val="24"/>
          <w:rFonts w:eastAsia="宋体" w:cs="Arial"/>
          <w:snapToGrid w:val="0"/>
        </w:rPr>
        <w:t>I.</w:t>
      </w:r>
      <w:r>
        <w:rPr>
          <w:rFonts w:asciiTheme="minorHAnsi" w:hAnsiTheme="minorHAnsi"/>
          <w:kern w:val="2"/>
          <w:sz w:val="21"/>
          <w:szCs w:val="22"/>
        </w:rPr>
        <w:tab/>
      </w:r>
      <w:r>
        <w:rPr>
          <w:rStyle w:val="24"/>
          <w:rFonts w:hint="eastAsia" w:eastAsia="宋体" w:cs="Arial"/>
          <w:snapToGrid w:val="0"/>
        </w:rPr>
        <w:t>引言</w:t>
      </w:r>
      <w:r>
        <w:tab/>
      </w:r>
      <w:r>
        <w:fldChar w:fldCharType="begin"/>
      </w:r>
      <w:r>
        <w:instrText xml:space="preserve"> PAGEREF _Toc499801674 \h </w:instrText>
      </w:r>
      <w:r>
        <w:fldChar w:fldCharType="separate"/>
      </w:r>
      <w:r>
        <w:t>1</w:t>
      </w:r>
      <w:r>
        <w:fldChar w:fldCharType="end"/>
      </w:r>
      <w:r>
        <w:fldChar w:fldCharType="end"/>
      </w:r>
    </w:p>
    <w:p w14:paraId="6551F031">
      <w:pPr>
        <w:pStyle w:val="3"/>
        <w:ind w:right="480"/>
        <w:rPr>
          <w:rFonts w:asciiTheme="minorHAnsi" w:hAnsiTheme="minorHAnsi"/>
          <w:kern w:val="2"/>
          <w:sz w:val="21"/>
          <w:szCs w:val="22"/>
        </w:rPr>
      </w:pPr>
      <w:r>
        <w:fldChar w:fldCharType="begin"/>
      </w:r>
      <w:r>
        <w:instrText xml:space="preserve"> HYPERLINK \l "_Toc499801675" </w:instrText>
      </w:r>
      <w:r>
        <w:fldChar w:fldCharType="separate"/>
      </w:r>
      <w:r>
        <w:rPr>
          <w:rStyle w:val="24"/>
          <w:rFonts w:eastAsia="宋体" w:cs="Arial"/>
          <w:snapToGrid w:val="0"/>
        </w:rPr>
        <w:t>II.</w:t>
      </w:r>
      <w:r>
        <w:rPr>
          <w:rFonts w:asciiTheme="minorHAnsi" w:hAnsiTheme="minorHAnsi"/>
          <w:kern w:val="2"/>
          <w:sz w:val="21"/>
          <w:szCs w:val="22"/>
        </w:rPr>
        <w:tab/>
      </w:r>
      <w:r>
        <w:rPr>
          <w:rStyle w:val="24"/>
          <w:rFonts w:hint="eastAsia" w:eastAsia="宋体" w:cs="Arial"/>
          <w:snapToGrid w:val="0"/>
        </w:rPr>
        <w:t>同意过程概述</w:t>
      </w:r>
      <w:r>
        <w:tab/>
      </w:r>
      <w:r>
        <w:fldChar w:fldCharType="begin"/>
      </w:r>
      <w:r>
        <w:instrText xml:space="preserve"> PAGEREF _Toc499801675 \h </w:instrText>
      </w:r>
      <w:r>
        <w:fldChar w:fldCharType="separate"/>
      </w:r>
      <w:r>
        <w:t>2</w:t>
      </w:r>
      <w:r>
        <w:fldChar w:fldCharType="end"/>
      </w:r>
      <w:r>
        <w:fldChar w:fldCharType="end"/>
      </w:r>
    </w:p>
    <w:p w14:paraId="1CF4107F">
      <w:pPr>
        <w:pStyle w:val="3"/>
        <w:ind w:right="480"/>
        <w:rPr>
          <w:rFonts w:asciiTheme="minorHAnsi" w:hAnsiTheme="minorHAnsi"/>
          <w:kern w:val="2"/>
          <w:sz w:val="21"/>
          <w:szCs w:val="22"/>
        </w:rPr>
      </w:pPr>
      <w:r>
        <w:fldChar w:fldCharType="begin"/>
      </w:r>
      <w:r>
        <w:instrText xml:space="preserve"> HYPERLINK \l "_Toc499801676" </w:instrText>
      </w:r>
      <w:r>
        <w:fldChar w:fldCharType="separate"/>
      </w:r>
      <w:r>
        <w:rPr>
          <w:rStyle w:val="24"/>
          <w:rFonts w:eastAsia="宋体" w:cs="Arial"/>
          <w:snapToGrid w:val="0"/>
        </w:rPr>
        <w:t>III.</w:t>
      </w:r>
      <w:r>
        <w:rPr>
          <w:rFonts w:asciiTheme="minorHAnsi" w:hAnsiTheme="minorHAnsi"/>
          <w:kern w:val="2"/>
          <w:sz w:val="21"/>
          <w:szCs w:val="22"/>
        </w:rPr>
        <w:tab/>
      </w:r>
      <w:r>
        <w:rPr>
          <w:rStyle w:val="24"/>
          <w:rFonts w:eastAsia="宋体" w:cs="Arial"/>
          <w:snapToGrid w:val="0"/>
        </w:rPr>
        <w:t>FDA</w:t>
      </w:r>
      <w:r>
        <w:rPr>
          <w:rStyle w:val="24"/>
          <w:rFonts w:hint="eastAsia" w:eastAsia="宋体" w:cs="Arial"/>
          <w:snapToGrid w:val="0"/>
        </w:rPr>
        <w:t>知情同意的要求和讨论</w:t>
      </w:r>
      <w:r>
        <w:tab/>
      </w:r>
      <w:r>
        <w:fldChar w:fldCharType="begin"/>
      </w:r>
      <w:r>
        <w:instrText xml:space="preserve"> PAGEREF _Toc499801676 \h </w:instrText>
      </w:r>
      <w:r>
        <w:fldChar w:fldCharType="separate"/>
      </w:r>
      <w:r>
        <w:t>3</w:t>
      </w:r>
      <w:r>
        <w:fldChar w:fldCharType="end"/>
      </w:r>
      <w:r>
        <w:fldChar w:fldCharType="end"/>
      </w:r>
    </w:p>
    <w:p w14:paraId="5D6F7182">
      <w:pPr>
        <w:pStyle w:val="20"/>
        <w:rPr>
          <w:rFonts w:asciiTheme="minorHAnsi" w:hAnsiTheme="minorHAnsi" w:eastAsiaTheme="minorEastAsia" w:cstheme="minorBidi"/>
          <w:snapToGrid/>
          <w:kern w:val="2"/>
          <w:sz w:val="21"/>
          <w:szCs w:val="22"/>
        </w:rPr>
      </w:pPr>
      <w:r>
        <w:fldChar w:fldCharType="begin"/>
      </w:r>
      <w:r>
        <w:instrText xml:space="preserve"> HYPERLINK \l "_Toc499801677" </w:instrText>
      </w:r>
      <w:r>
        <w:fldChar w:fldCharType="separate"/>
      </w:r>
      <w:r>
        <w:rPr>
          <w:rStyle w:val="24"/>
          <w:b/>
        </w:rPr>
        <w:t>A.</w:t>
      </w:r>
      <w:r>
        <w:rPr>
          <w:rFonts w:asciiTheme="minorHAnsi" w:hAnsiTheme="minorHAnsi" w:eastAsiaTheme="minorEastAsia" w:cstheme="minorBidi"/>
          <w:snapToGrid/>
          <w:kern w:val="2"/>
          <w:sz w:val="21"/>
          <w:szCs w:val="22"/>
        </w:rPr>
        <w:tab/>
      </w:r>
      <w:r>
        <w:rPr>
          <w:rStyle w:val="24"/>
          <w:rFonts w:hint="eastAsia"/>
          <w:b/>
        </w:rPr>
        <w:t>知情同意的一般要求</w:t>
      </w:r>
      <w:r>
        <w:tab/>
      </w:r>
      <w:r>
        <w:fldChar w:fldCharType="begin"/>
      </w:r>
      <w:r>
        <w:instrText xml:space="preserve"> PAGEREF _Toc499801677 \h </w:instrText>
      </w:r>
      <w:r>
        <w:fldChar w:fldCharType="separate"/>
      </w:r>
      <w:r>
        <w:t>3</w:t>
      </w:r>
      <w:r>
        <w:fldChar w:fldCharType="end"/>
      </w:r>
      <w:r>
        <w:fldChar w:fldCharType="end"/>
      </w:r>
    </w:p>
    <w:p w14:paraId="1AB7F05A">
      <w:pPr>
        <w:pStyle w:val="13"/>
        <w:ind w:left="1034" w:right="480"/>
        <w:rPr>
          <w:rFonts w:asciiTheme="minorHAnsi" w:hAnsiTheme="minorHAnsi"/>
          <w:kern w:val="2"/>
          <w:sz w:val="21"/>
          <w:szCs w:val="22"/>
        </w:rPr>
      </w:pPr>
      <w:r>
        <w:fldChar w:fldCharType="begin"/>
      </w:r>
      <w:r>
        <w:instrText xml:space="preserve"> HYPERLINK \l "_Toc499801678"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知情同意的免责条款</w:t>
      </w:r>
      <w:r>
        <w:tab/>
      </w:r>
      <w:r>
        <w:fldChar w:fldCharType="begin"/>
      </w:r>
      <w:r>
        <w:instrText xml:space="preserve"> PAGEREF _Toc499801678 \h </w:instrText>
      </w:r>
      <w:r>
        <w:fldChar w:fldCharType="separate"/>
      </w:r>
      <w:r>
        <w:t>4</w:t>
      </w:r>
      <w:r>
        <w:fldChar w:fldCharType="end"/>
      </w:r>
      <w:r>
        <w:fldChar w:fldCharType="end"/>
      </w:r>
    </w:p>
    <w:p w14:paraId="32DAD7B0">
      <w:pPr>
        <w:pStyle w:val="13"/>
        <w:ind w:left="1034" w:right="480"/>
        <w:rPr>
          <w:rFonts w:asciiTheme="minorHAnsi" w:hAnsiTheme="minorHAnsi"/>
          <w:kern w:val="2"/>
          <w:sz w:val="21"/>
          <w:szCs w:val="22"/>
        </w:rPr>
      </w:pPr>
      <w:r>
        <w:fldChar w:fldCharType="begin"/>
      </w:r>
      <w:r>
        <w:instrText xml:space="preserve"> HYPERLINK \l "_Toc499801679" </w:instrText>
      </w:r>
      <w:r>
        <w:fldChar w:fldCharType="separate"/>
      </w:r>
      <w:r>
        <w:rPr>
          <w:rStyle w:val="24"/>
          <w:rFonts w:eastAsia="宋体" w:cs="Arial"/>
          <w:snapToGrid w:val="0"/>
        </w:rPr>
        <w:t>2.</w:t>
      </w:r>
      <w:r>
        <w:rPr>
          <w:rFonts w:asciiTheme="minorHAnsi" w:hAnsiTheme="minorHAnsi"/>
          <w:kern w:val="2"/>
          <w:sz w:val="21"/>
          <w:szCs w:val="22"/>
        </w:rPr>
        <w:tab/>
      </w:r>
      <w:r>
        <w:rPr>
          <w:rStyle w:val="24"/>
          <w:rFonts w:hint="eastAsia" w:eastAsia="宋体" w:cs="Arial"/>
          <w:snapToGrid w:val="0"/>
        </w:rPr>
        <w:t>胁迫和不当影响</w:t>
      </w:r>
      <w:r>
        <w:tab/>
      </w:r>
      <w:r>
        <w:fldChar w:fldCharType="begin"/>
      </w:r>
      <w:r>
        <w:instrText xml:space="preserve"> PAGEREF _Toc499801679 \h </w:instrText>
      </w:r>
      <w:r>
        <w:fldChar w:fldCharType="separate"/>
      </w:r>
      <w:r>
        <w:t>4</w:t>
      </w:r>
      <w:r>
        <w:fldChar w:fldCharType="end"/>
      </w:r>
      <w:r>
        <w:fldChar w:fldCharType="end"/>
      </w:r>
    </w:p>
    <w:p w14:paraId="16BB3D6F">
      <w:pPr>
        <w:pStyle w:val="13"/>
        <w:ind w:left="1034" w:right="480"/>
        <w:rPr>
          <w:rFonts w:asciiTheme="minorHAnsi" w:hAnsiTheme="minorHAnsi"/>
          <w:kern w:val="2"/>
          <w:sz w:val="21"/>
          <w:szCs w:val="22"/>
        </w:rPr>
      </w:pPr>
      <w:r>
        <w:fldChar w:fldCharType="begin"/>
      </w:r>
      <w:r>
        <w:instrText xml:space="preserve"> HYPERLINK \l "_Toc499801680" </w:instrText>
      </w:r>
      <w:r>
        <w:fldChar w:fldCharType="separate"/>
      </w:r>
      <w:r>
        <w:rPr>
          <w:rStyle w:val="24"/>
          <w:rFonts w:eastAsia="宋体" w:cs="Arial"/>
          <w:snapToGrid w:val="0"/>
        </w:rPr>
        <w:t>3.</w:t>
      </w:r>
      <w:r>
        <w:rPr>
          <w:rFonts w:asciiTheme="minorHAnsi" w:hAnsiTheme="minorHAnsi"/>
          <w:kern w:val="2"/>
          <w:sz w:val="21"/>
          <w:szCs w:val="22"/>
        </w:rPr>
        <w:tab/>
      </w:r>
      <w:r>
        <w:rPr>
          <w:rStyle w:val="24"/>
          <w:rFonts w:hint="eastAsia" w:eastAsia="宋体" w:cs="Arial"/>
          <w:snapToGrid w:val="0"/>
        </w:rPr>
        <w:t>受试者或其法定授权代表可以理解的语言</w:t>
      </w:r>
      <w:r>
        <w:tab/>
      </w:r>
      <w:r>
        <w:fldChar w:fldCharType="begin"/>
      </w:r>
      <w:r>
        <w:instrText xml:space="preserve"> PAGEREF _Toc499801680 \h </w:instrText>
      </w:r>
      <w:r>
        <w:fldChar w:fldCharType="separate"/>
      </w:r>
      <w:r>
        <w:t>5</w:t>
      </w:r>
      <w:r>
        <w:fldChar w:fldCharType="end"/>
      </w:r>
      <w:r>
        <w:fldChar w:fldCharType="end"/>
      </w:r>
    </w:p>
    <w:p w14:paraId="691421B9">
      <w:pPr>
        <w:pStyle w:val="13"/>
        <w:ind w:left="1034" w:right="480"/>
        <w:rPr>
          <w:rFonts w:asciiTheme="minorHAnsi" w:hAnsiTheme="minorHAnsi"/>
          <w:kern w:val="2"/>
          <w:sz w:val="21"/>
          <w:szCs w:val="22"/>
        </w:rPr>
      </w:pPr>
      <w:r>
        <w:fldChar w:fldCharType="begin"/>
      </w:r>
      <w:r>
        <w:instrText xml:space="preserve"> HYPERLINK \l "_Toc499801681" </w:instrText>
      </w:r>
      <w:r>
        <w:fldChar w:fldCharType="separate"/>
      </w:r>
      <w:r>
        <w:rPr>
          <w:rStyle w:val="24"/>
          <w:rFonts w:eastAsia="宋体" w:cs="Arial"/>
          <w:snapToGrid w:val="0"/>
        </w:rPr>
        <w:t>4.</w:t>
      </w:r>
      <w:r>
        <w:rPr>
          <w:rFonts w:asciiTheme="minorHAnsi" w:hAnsiTheme="minorHAnsi"/>
          <w:kern w:val="2"/>
          <w:sz w:val="21"/>
          <w:szCs w:val="22"/>
        </w:rPr>
        <w:tab/>
      </w:r>
      <w:r>
        <w:rPr>
          <w:rStyle w:val="24"/>
          <w:rFonts w:hint="eastAsia" w:eastAsia="宋体" w:cs="Arial"/>
          <w:snapToGrid w:val="0"/>
        </w:rPr>
        <w:t>开脱性语言</w:t>
      </w:r>
      <w:r>
        <w:tab/>
      </w:r>
      <w:r>
        <w:fldChar w:fldCharType="begin"/>
      </w:r>
      <w:r>
        <w:instrText xml:space="preserve"> PAGEREF _Toc499801681 \h </w:instrText>
      </w:r>
      <w:r>
        <w:fldChar w:fldCharType="separate"/>
      </w:r>
      <w:r>
        <w:t>5</w:t>
      </w:r>
      <w:r>
        <w:fldChar w:fldCharType="end"/>
      </w:r>
      <w:r>
        <w:fldChar w:fldCharType="end"/>
      </w:r>
    </w:p>
    <w:p w14:paraId="0546E2C4">
      <w:pPr>
        <w:pStyle w:val="20"/>
        <w:rPr>
          <w:rFonts w:asciiTheme="minorHAnsi" w:hAnsiTheme="minorHAnsi" w:eastAsiaTheme="minorEastAsia" w:cstheme="minorBidi"/>
          <w:snapToGrid/>
          <w:kern w:val="2"/>
          <w:sz w:val="21"/>
          <w:szCs w:val="22"/>
        </w:rPr>
      </w:pPr>
      <w:r>
        <w:fldChar w:fldCharType="begin"/>
      </w:r>
      <w:r>
        <w:instrText xml:space="preserve"> HYPERLINK \l "_Toc499801682" </w:instrText>
      </w:r>
      <w:r>
        <w:fldChar w:fldCharType="separate"/>
      </w:r>
      <w:r>
        <w:rPr>
          <w:rStyle w:val="24"/>
          <w:b/>
        </w:rPr>
        <w:t>B.</w:t>
      </w:r>
      <w:r>
        <w:rPr>
          <w:rFonts w:asciiTheme="minorHAnsi" w:hAnsiTheme="minorHAnsi" w:eastAsiaTheme="minorEastAsia" w:cstheme="minorBidi"/>
          <w:snapToGrid/>
          <w:kern w:val="2"/>
          <w:sz w:val="21"/>
          <w:szCs w:val="22"/>
        </w:rPr>
        <w:tab/>
      </w:r>
      <w:r>
        <w:rPr>
          <w:rStyle w:val="24"/>
          <w:rFonts w:hint="eastAsia"/>
          <w:b/>
        </w:rPr>
        <w:t>知情同意的基本要素</w:t>
      </w:r>
      <w:r>
        <w:tab/>
      </w:r>
      <w:r>
        <w:fldChar w:fldCharType="begin"/>
      </w:r>
      <w:r>
        <w:instrText xml:space="preserve"> PAGEREF _Toc499801682 \h </w:instrText>
      </w:r>
      <w:r>
        <w:fldChar w:fldCharType="separate"/>
      </w:r>
      <w:r>
        <w:t>6</w:t>
      </w:r>
      <w:r>
        <w:fldChar w:fldCharType="end"/>
      </w:r>
      <w:r>
        <w:fldChar w:fldCharType="end"/>
      </w:r>
    </w:p>
    <w:p w14:paraId="2DD8F382">
      <w:pPr>
        <w:pStyle w:val="13"/>
        <w:ind w:left="1034" w:right="480"/>
        <w:rPr>
          <w:rFonts w:asciiTheme="minorHAnsi" w:hAnsiTheme="minorHAnsi"/>
          <w:kern w:val="2"/>
          <w:sz w:val="21"/>
          <w:szCs w:val="22"/>
        </w:rPr>
      </w:pPr>
      <w:r>
        <w:fldChar w:fldCharType="begin"/>
      </w:r>
      <w:r>
        <w:instrText xml:space="preserve"> HYPERLINK \l "_Toc499801683"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临床研究的描述</w:t>
      </w:r>
      <w:r>
        <w:tab/>
      </w:r>
      <w:r>
        <w:fldChar w:fldCharType="begin"/>
      </w:r>
      <w:r>
        <w:instrText xml:space="preserve"> PAGEREF _Toc499801683 \h </w:instrText>
      </w:r>
      <w:r>
        <w:fldChar w:fldCharType="separate"/>
      </w:r>
      <w:r>
        <w:t>6</w:t>
      </w:r>
      <w:r>
        <w:fldChar w:fldCharType="end"/>
      </w:r>
      <w:r>
        <w:fldChar w:fldCharType="end"/>
      </w:r>
    </w:p>
    <w:p w14:paraId="0F1704D2">
      <w:pPr>
        <w:pStyle w:val="13"/>
        <w:ind w:left="1034" w:right="480"/>
        <w:rPr>
          <w:rFonts w:asciiTheme="minorHAnsi" w:hAnsiTheme="minorHAnsi"/>
          <w:kern w:val="2"/>
          <w:sz w:val="21"/>
          <w:szCs w:val="22"/>
        </w:rPr>
      </w:pPr>
      <w:r>
        <w:fldChar w:fldCharType="begin"/>
      </w:r>
      <w:r>
        <w:instrText xml:space="preserve"> HYPERLINK \l "_Toc499801684" </w:instrText>
      </w:r>
      <w:r>
        <w:fldChar w:fldCharType="separate"/>
      </w:r>
      <w:r>
        <w:rPr>
          <w:rStyle w:val="24"/>
          <w:rFonts w:eastAsia="宋体" w:cs="Arial"/>
          <w:snapToGrid w:val="0"/>
        </w:rPr>
        <w:t>2.</w:t>
      </w:r>
      <w:r>
        <w:rPr>
          <w:rFonts w:asciiTheme="minorHAnsi" w:hAnsiTheme="minorHAnsi"/>
          <w:kern w:val="2"/>
          <w:sz w:val="21"/>
          <w:szCs w:val="22"/>
        </w:rPr>
        <w:tab/>
      </w:r>
      <w:r>
        <w:rPr>
          <w:rStyle w:val="24"/>
          <w:rFonts w:hint="eastAsia" w:eastAsia="宋体" w:cs="Arial"/>
          <w:snapToGrid w:val="0"/>
        </w:rPr>
        <w:t>风险和不适</w:t>
      </w:r>
      <w:r>
        <w:tab/>
      </w:r>
      <w:r>
        <w:fldChar w:fldCharType="begin"/>
      </w:r>
      <w:r>
        <w:instrText xml:space="preserve"> PAGEREF _Toc499801684 \h </w:instrText>
      </w:r>
      <w:r>
        <w:fldChar w:fldCharType="separate"/>
      </w:r>
      <w:r>
        <w:t>8</w:t>
      </w:r>
      <w:r>
        <w:fldChar w:fldCharType="end"/>
      </w:r>
      <w:r>
        <w:fldChar w:fldCharType="end"/>
      </w:r>
    </w:p>
    <w:p w14:paraId="4323890D">
      <w:pPr>
        <w:pStyle w:val="13"/>
        <w:ind w:left="1034" w:right="480"/>
        <w:rPr>
          <w:rFonts w:asciiTheme="minorHAnsi" w:hAnsiTheme="minorHAnsi"/>
          <w:kern w:val="2"/>
          <w:sz w:val="21"/>
          <w:szCs w:val="22"/>
        </w:rPr>
      </w:pPr>
      <w:r>
        <w:fldChar w:fldCharType="begin"/>
      </w:r>
      <w:r>
        <w:instrText xml:space="preserve"> HYPERLINK \l "_Toc499801685" </w:instrText>
      </w:r>
      <w:r>
        <w:fldChar w:fldCharType="separate"/>
      </w:r>
      <w:r>
        <w:rPr>
          <w:rStyle w:val="24"/>
          <w:rFonts w:eastAsia="宋体" w:cs="Arial"/>
          <w:snapToGrid w:val="0"/>
        </w:rPr>
        <w:t>3.</w:t>
      </w:r>
      <w:r>
        <w:rPr>
          <w:rFonts w:asciiTheme="minorHAnsi" w:hAnsiTheme="minorHAnsi"/>
          <w:kern w:val="2"/>
          <w:sz w:val="21"/>
          <w:szCs w:val="22"/>
        </w:rPr>
        <w:tab/>
      </w:r>
      <w:r>
        <w:rPr>
          <w:rStyle w:val="24"/>
          <w:rFonts w:hint="eastAsia" w:eastAsia="宋体" w:cs="Arial"/>
          <w:snapToGrid w:val="0"/>
        </w:rPr>
        <w:t>收益</w:t>
      </w:r>
      <w:r>
        <w:tab/>
      </w:r>
      <w:r>
        <w:fldChar w:fldCharType="begin"/>
      </w:r>
      <w:r>
        <w:instrText xml:space="preserve"> PAGEREF _Toc499801685 \h </w:instrText>
      </w:r>
      <w:r>
        <w:fldChar w:fldCharType="separate"/>
      </w:r>
      <w:r>
        <w:t>9</w:t>
      </w:r>
      <w:r>
        <w:fldChar w:fldCharType="end"/>
      </w:r>
      <w:r>
        <w:fldChar w:fldCharType="end"/>
      </w:r>
    </w:p>
    <w:p w14:paraId="42DF8545">
      <w:pPr>
        <w:pStyle w:val="13"/>
        <w:ind w:left="1034" w:right="480"/>
        <w:rPr>
          <w:rFonts w:asciiTheme="minorHAnsi" w:hAnsiTheme="minorHAnsi"/>
          <w:kern w:val="2"/>
          <w:sz w:val="21"/>
          <w:szCs w:val="22"/>
        </w:rPr>
      </w:pPr>
      <w:r>
        <w:fldChar w:fldCharType="begin"/>
      </w:r>
      <w:r>
        <w:instrText xml:space="preserve"> HYPERLINK \l "_Toc499801686" </w:instrText>
      </w:r>
      <w:r>
        <w:fldChar w:fldCharType="separate"/>
      </w:r>
      <w:r>
        <w:rPr>
          <w:rStyle w:val="24"/>
          <w:rFonts w:eastAsia="宋体" w:cs="Arial"/>
          <w:snapToGrid w:val="0"/>
        </w:rPr>
        <w:t>4.</w:t>
      </w:r>
      <w:r>
        <w:rPr>
          <w:rFonts w:asciiTheme="minorHAnsi" w:hAnsiTheme="minorHAnsi"/>
          <w:kern w:val="2"/>
          <w:sz w:val="21"/>
          <w:szCs w:val="22"/>
        </w:rPr>
        <w:tab/>
      </w:r>
      <w:r>
        <w:rPr>
          <w:rStyle w:val="24"/>
          <w:rFonts w:hint="eastAsia" w:eastAsia="宋体" w:cs="Arial"/>
          <w:snapToGrid w:val="0"/>
        </w:rPr>
        <w:t>替代程序或治疗</w:t>
      </w:r>
      <w:r>
        <w:tab/>
      </w:r>
      <w:r>
        <w:fldChar w:fldCharType="begin"/>
      </w:r>
      <w:r>
        <w:instrText xml:space="preserve"> PAGEREF _Toc499801686 \h </w:instrText>
      </w:r>
      <w:r>
        <w:fldChar w:fldCharType="separate"/>
      </w:r>
      <w:r>
        <w:t>9</w:t>
      </w:r>
      <w:r>
        <w:fldChar w:fldCharType="end"/>
      </w:r>
      <w:r>
        <w:fldChar w:fldCharType="end"/>
      </w:r>
    </w:p>
    <w:p w14:paraId="7E6F019A">
      <w:pPr>
        <w:pStyle w:val="13"/>
        <w:ind w:left="1034" w:right="480"/>
        <w:rPr>
          <w:rFonts w:asciiTheme="minorHAnsi" w:hAnsiTheme="minorHAnsi"/>
          <w:kern w:val="2"/>
          <w:sz w:val="21"/>
          <w:szCs w:val="22"/>
        </w:rPr>
      </w:pPr>
      <w:r>
        <w:fldChar w:fldCharType="begin"/>
      </w:r>
      <w:r>
        <w:instrText xml:space="preserve"> HYPERLINK \l "_Toc499801687" </w:instrText>
      </w:r>
      <w:r>
        <w:fldChar w:fldCharType="separate"/>
      </w:r>
      <w:r>
        <w:rPr>
          <w:rStyle w:val="24"/>
          <w:rFonts w:eastAsia="宋体" w:cs="Arial"/>
          <w:snapToGrid w:val="0"/>
        </w:rPr>
        <w:t>5.</w:t>
      </w:r>
      <w:r>
        <w:rPr>
          <w:rFonts w:asciiTheme="minorHAnsi" w:hAnsiTheme="minorHAnsi"/>
          <w:kern w:val="2"/>
          <w:sz w:val="21"/>
          <w:szCs w:val="22"/>
        </w:rPr>
        <w:tab/>
      </w:r>
      <w:r>
        <w:rPr>
          <w:rStyle w:val="24"/>
          <w:rFonts w:hint="eastAsia" w:eastAsia="宋体" w:cs="Arial"/>
          <w:snapToGrid w:val="0"/>
        </w:rPr>
        <w:t>保密性</w:t>
      </w:r>
      <w:r>
        <w:tab/>
      </w:r>
      <w:r>
        <w:fldChar w:fldCharType="begin"/>
      </w:r>
      <w:r>
        <w:instrText xml:space="preserve"> PAGEREF _Toc499801687 \h </w:instrText>
      </w:r>
      <w:r>
        <w:fldChar w:fldCharType="separate"/>
      </w:r>
      <w:r>
        <w:t>10</w:t>
      </w:r>
      <w:r>
        <w:fldChar w:fldCharType="end"/>
      </w:r>
      <w:r>
        <w:fldChar w:fldCharType="end"/>
      </w:r>
    </w:p>
    <w:p w14:paraId="5C47D036">
      <w:pPr>
        <w:pStyle w:val="13"/>
        <w:ind w:left="1034" w:right="480"/>
        <w:rPr>
          <w:rFonts w:asciiTheme="minorHAnsi" w:hAnsiTheme="minorHAnsi"/>
          <w:kern w:val="2"/>
          <w:sz w:val="21"/>
          <w:szCs w:val="22"/>
        </w:rPr>
      </w:pPr>
      <w:r>
        <w:fldChar w:fldCharType="begin"/>
      </w:r>
      <w:r>
        <w:instrText xml:space="preserve"> HYPERLINK \l "_Toc499801688" </w:instrText>
      </w:r>
      <w:r>
        <w:fldChar w:fldCharType="separate"/>
      </w:r>
      <w:r>
        <w:rPr>
          <w:rStyle w:val="24"/>
          <w:rFonts w:eastAsia="宋体" w:cs="Arial"/>
          <w:snapToGrid w:val="0"/>
        </w:rPr>
        <w:t>6.</w:t>
      </w:r>
      <w:r>
        <w:rPr>
          <w:rFonts w:asciiTheme="minorHAnsi" w:hAnsiTheme="minorHAnsi"/>
          <w:kern w:val="2"/>
          <w:sz w:val="21"/>
          <w:szCs w:val="22"/>
        </w:rPr>
        <w:tab/>
      </w:r>
      <w:r>
        <w:rPr>
          <w:rStyle w:val="24"/>
          <w:rFonts w:hint="eastAsia" w:eastAsia="宋体" w:cs="Arial"/>
          <w:snapToGrid w:val="0"/>
        </w:rPr>
        <w:t>伤害事件的赔偿和医疗治疗</w:t>
      </w:r>
      <w:r>
        <w:tab/>
      </w:r>
      <w:r>
        <w:fldChar w:fldCharType="begin"/>
      </w:r>
      <w:r>
        <w:instrText xml:space="preserve"> PAGEREF _Toc499801688 \h </w:instrText>
      </w:r>
      <w:r>
        <w:fldChar w:fldCharType="separate"/>
      </w:r>
      <w:r>
        <w:t>11</w:t>
      </w:r>
      <w:r>
        <w:fldChar w:fldCharType="end"/>
      </w:r>
      <w:r>
        <w:fldChar w:fldCharType="end"/>
      </w:r>
    </w:p>
    <w:p w14:paraId="35EC7145">
      <w:pPr>
        <w:pStyle w:val="13"/>
        <w:ind w:left="1034" w:right="480"/>
        <w:rPr>
          <w:rFonts w:asciiTheme="minorHAnsi" w:hAnsiTheme="minorHAnsi"/>
          <w:kern w:val="2"/>
          <w:sz w:val="21"/>
          <w:szCs w:val="22"/>
        </w:rPr>
      </w:pPr>
      <w:r>
        <w:fldChar w:fldCharType="begin"/>
      </w:r>
      <w:r>
        <w:instrText xml:space="preserve"> HYPERLINK \l "_Toc499801689" </w:instrText>
      </w:r>
      <w:r>
        <w:fldChar w:fldCharType="separate"/>
      </w:r>
      <w:r>
        <w:rPr>
          <w:rStyle w:val="24"/>
          <w:rFonts w:eastAsia="宋体" w:cs="Arial"/>
          <w:snapToGrid w:val="0"/>
        </w:rPr>
        <w:t>7.</w:t>
      </w:r>
      <w:r>
        <w:rPr>
          <w:rFonts w:asciiTheme="minorHAnsi" w:hAnsiTheme="minorHAnsi"/>
          <w:kern w:val="2"/>
          <w:sz w:val="21"/>
          <w:szCs w:val="22"/>
        </w:rPr>
        <w:tab/>
      </w:r>
      <w:r>
        <w:rPr>
          <w:rStyle w:val="24"/>
          <w:rFonts w:hint="eastAsia" w:eastAsia="宋体" w:cs="Arial"/>
          <w:snapToGrid w:val="0"/>
        </w:rPr>
        <w:t>联系方式</w:t>
      </w:r>
      <w:r>
        <w:tab/>
      </w:r>
      <w:r>
        <w:fldChar w:fldCharType="begin"/>
      </w:r>
      <w:r>
        <w:instrText xml:space="preserve"> PAGEREF _Toc499801689 \h </w:instrText>
      </w:r>
      <w:r>
        <w:fldChar w:fldCharType="separate"/>
      </w:r>
      <w:r>
        <w:t>12</w:t>
      </w:r>
      <w:r>
        <w:fldChar w:fldCharType="end"/>
      </w:r>
      <w:r>
        <w:fldChar w:fldCharType="end"/>
      </w:r>
    </w:p>
    <w:p w14:paraId="11B61F18">
      <w:pPr>
        <w:pStyle w:val="13"/>
        <w:ind w:left="1034" w:right="480"/>
        <w:rPr>
          <w:rFonts w:asciiTheme="minorHAnsi" w:hAnsiTheme="minorHAnsi"/>
          <w:kern w:val="2"/>
          <w:sz w:val="21"/>
          <w:szCs w:val="22"/>
        </w:rPr>
      </w:pPr>
      <w:r>
        <w:fldChar w:fldCharType="begin"/>
      </w:r>
      <w:r>
        <w:instrText xml:space="preserve"> HYPERLINK \l "_Toc499801690" </w:instrText>
      </w:r>
      <w:r>
        <w:fldChar w:fldCharType="separate"/>
      </w:r>
      <w:r>
        <w:rPr>
          <w:rStyle w:val="24"/>
          <w:rFonts w:eastAsia="宋体" w:cs="Arial"/>
          <w:snapToGrid w:val="0"/>
        </w:rPr>
        <w:t>8.</w:t>
      </w:r>
      <w:r>
        <w:rPr>
          <w:rFonts w:asciiTheme="minorHAnsi" w:hAnsiTheme="minorHAnsi"/>
          <w:kern w:val="2"/>
          <w:sz w:val="21"/>
          <w:szCs w:val="22"/>
        </w:rPr>
        <w:tab/>
      </w:r>
      <w:r>
        <w:rPr>
          <w:rStyle w:val="24"/>
          <w:rFonts w:hint="eastAsia" w:eastAsia="宋体" w:cs="Arial"/>
          <w:snapToGrid w:val="0"/>
        </w:rPr>
        <w:t>自愿参加</w:t>
      </w:r>
      <w:r>
        <w:tab/>
      </w:r>
      <w:r>
        <w:fldChar w:fldCharType="begin"/>
      </w:r>
      <w:r>
        <w:instrText xml:space="preserve"> PAGEREF _Toc499801690 \h </w:instrText>
      </w:r>
      <w:r>
        <w:fldChar w:fldCharType="separate"/>
      </w:r>
      <w:r>
        <w:t>12</w:t>
      </w:r>
      <w:r>
        <w:fldChar w:fldCharType="end"/>
      </w:r>
      <w:r>
        <w:fldChar w:fldCharType="end"/>
      </w:r>
    </w:p>
    <w:p w14:paraId="11E67D86">
      <w:pPr>
        <w:pStyle w:val="20"/>
        <w:rPr>
          <w:rFonts w:asciiTheme="minorHAnsi" w:hAnsiTheme="minorHAnsi" w:eastAsiaTheme="minorEastAsia" w:cstheme="minorBidi"/>
          <w:snapToGrid/>
          <w:kern w:val="2"/>
          <w:sz w:val="21"/>
          <w:szCs w:val="22"/>
        </w:rPr>
      </w:pPr>
      <w:r>
        <w:fldChar w:fldCharType="begin"/>
      </w:r>
      <w:r>
        <w:instrText xml:space="preserve"> HYPERLINK \l "_Toc499801691" </w:instrText>
      </w:r>
      <w:r>
        <w:fldChar w:fldCharType="separate"/>
      </w:r>
      <w:r>
        <w:rPr>
          <w:rStyle w:val="24"/>
        </w:rPr>
        <w:t>C.</w:t>
      </w:r>
      <w:r>
        <w:rPr>
          <w:rFonts w:asciiTheme="minorHAnsi" w:hAnsiTheme="minorHAnsi" w:eastAsiaTheme="minorEastAsia" w:cstheme="minorBidi"/>
          <w:snapToGrid/>
          <w:kern w:val="2"/>
          <w:sz w:val="21"/>
          <w:szCs w:val="22"/>
        </w:rPr>
        <w:tab/>
      </w:r>
      <w:r>
        <w:rPr>
          <w:rStyle w:val="24"/>
          <w:rFonts w:hint="eastAsia"/>
        </w:rPr>
        <w:t>知情同意的其他要素</w:t>
      </w:r>
      <w:r>
        <w:tab/>
      </w:r>
      <w:r>
        <w:fldChar w:fldCharType="begin"/>
      </w:r>
      <w:r>
        <w:instrText xml:space="preserve"> PAGEREF _Toc499801691 \h </w:instrText>
      </w:r>
      <w:r>
        <w:fldChar w:fldCharType="separate"/>
      </w:r>
      <w:r>
        <w:t>12</w:t>
      </w:r>
      <w:r>
        <w:fldChar w:fldCharType="end"/>
      </w:r>
      <w:r>
        <w:fldChar w:fldCharType="end"/>
      </w:r>
    </w:p>
    <w:p w14:paraId="6AEA383F">
      <w:pPr>
        <w:pStyle w:val="13"/>
        <w:ind w:left="1034" w:right="480"/>
        <w:rPr>
          <w:rFonts w:asciiTheme="minorHAnsi" w:hAnsiTheme="minorHAnsi"/>
          <w:kern w:val="2"/>
          <w:sz w:val="21"/>
          <w:szCs w:val="22"/>
        </w:rPr>
      </w:pPr>
      <w:r>
        <w:fldChar w:fldCharType="begin"/>
      </w:r>
      <w:r>
        <w:instrText xml:space="preserve"> HYPERLINK \l "_Toc499801692"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不可预见的风险</w:t>
      </w:r>
      <w:r>
        <w:tab/>
      </w:r>
      <w:r>
        <w:fldChar w:fldCharType="begin"/>
      </w:r>
      <w:r>
        <w:instrText xml:space="preserve"> PAGEREF _Toc499801692 \h </w:instrText>
      </w:r>
      <w:r>
        <w:fldChar w:fldCharType="separate"/>
      </w:r>
      <w:r>
        <w:t>13</w:t>
      </w:r>
      <w:r>
        <w:fldChar w:fldCharType="end"/>
      </w:r>
      <w:r>
        <w:fldChar w:fldCharType="end"/>
      </w:r>
    </w:p>
    <w:p w14:paraId="20C3FE00">
      <w:pPr>
        <w:pStyle w:val="13"/>
        <w:ind w:left="1034" w:right="480"/>
        <w:rPr>
          <w:rFonts w:asciiTheme="minorHAnsi" w:hAnsiTheme="minorHAnsi"/>
          <w:kern w:val="2"/>
          <w:sz w:val="21"/>
          <w:szCs w:val="22"/>
        </w:rPr>
      </w:pPr>
      <w:r>
        <w:fldChar w:fldCharType="begin"/>
      </w:r>
      <w:r>
        <w:instrText xml:space="preserve"> HYPERLINK \l "_Toc499801693" </w:instrText>
      </w:r>
      <w:r>
        <w:fldChar w:fldCharType="separate"/>
      </w:r>
      <w:r>
        <w:rPr>
          <w:rStyle w:val="24"/>
          <w:rFonts w:eastAsia="宋体" w:cs="Arial"/>
          <w:snapToGrid w:val="0"/>
        </w:rPr>
        <w:t>2.</w:t>
      </w:r>
      <w:r>
        <w:rPr>
          <w:rFonts w:asciiTheme="minorHAnsi" w:hAnsiTheme="minorHAnsi"/>
          <w:kern w:val="2"/>
          <w:sz w:val="21"/>
          <w:szCs w:val="22"/>
        </w:rPr>
        <w:tab/>
      </w:r>
      <w:r>
        <w:rPr>
          <w:rStyle w:val="24"/>
          <w:rFonts w:hint="eastAsia" w:eastAsia="宋体" w:cs="Arial"/>
          <w:snapToGrid w:val="0"/>
        </w:rPr>
        <w:t>受试者参加研究的非自愿终止</w:t>
      </w:r>
      <w:r>
        <w:tab/>
      </w:r>
      <w:r>
        <w:fldChar w:fldCharType="begin"/>
      </w:r>
      <w:r>
        <w:instrText xml:space="preserve"> PAGEREF _Toc499801693 \h </w:instrText>
      </w:r>
      <w:r>
        <w:fldChar w:fldCharType="separate"/>
      </w:r>
      <w:r>
        <w:t>13</w:t>
      </w:r>
      <w:r>
        <w:fldChar w:fldCharType="end"/>
      </w:r>
      <w:r>
        <w:fldChar w:fldCharType="end"/>
      </w:r>
    </w:p>
    <w:p w14:paraId="016EFAFB">
      <w:pPr>
        <w:pStyle w:val="13"/>
        <w:ind w:left="1034" w:right="480"/>
        <w:rPr>
          <w:rFonts w:asciiTheme="minorHAnsi" w:hAnsiTheme="minorHAnsi"/>
          <w:kern w:val="2"/>
          <w:sz w:val="21"/>
          <w:szCs w:val="22"/>
        </w:rPr>
      </w:pPr>
      <w:r>
        <w:fldChar w:fldCharType="begin"/>
      </w:r>
      <w:r>
        <w:instrText xml:space="preserve"> HYPERLINK \l "_Toc499801694" </w:instrText>
      </w:r>
      <w:r>
        <w:fldChar w:fldCharType="separate"/>
      </w:r>
      <w:r>
        <w:rPr>
          <w:rStyle w:val="24"/>
          <w:rFonts w:eastAsia="宋体" w:cs="Arial"/>
          <w:snapToGrid w:val="0"/>
        </w:rPr>
        <w:t>3.</w:t>
      </w:r>
      <w:r>
        <w:rPr>
          <w:rFonts w:asciiTheme="minorHAnsi" w:hAnsiTheme="minorHAnsi"/>
          <w:kern w:val="2"/>
          <w:sz w:val="21"/>
          <w:szCs w:val="22"/>
        </w:rPr>
        <w:tab/>
      </w:r>
      <w:r>
        <w:rPr>
          <w:rStyle w:val="24"/>
          <w:rFonts w:hint="eastAsia" w:eastAsia="宋体" w:cs="Arial"/>
          <w:snapToGrid w:val="0"/>
        </w:rPr>
        <w:t>给受试者的额外费用</w:t>
      </w:r>
      <w:r>
        <w:tab/>
      </w:r>
      <w:r>
        <w:fldChar w:fldCharType="begin"/>
      </w:r>
      <w:r>
        <w:instrText xml:space="preserve"> PAGEREF _Toc499801694 \h </w:instrText>
      </w:r>
      <w:r>
        <w:fldChar w:fldCharType="separate"/>
      </w:r>
      <w:r>
        <w:t>14</w:t>
      </w:r>
      <w:r>
        <w:fldChar w:fldCharType="end"/>
      </w:r>
      <w:r>
        <w:fldChar w:fldCharType="end"/>
      </w:r>
    </w:p>
    <w:p w14:paraId="237837AB">
      <w:pPr>
        <w:pStyle w:val="13"/>
        <w:ind w:left="1034" w:right="480"/>
        <w:rPr>
          <w:rFonts w:asciiTheme="minorHAnsi" w:hAnsiTheme="minorHAnsi"/>
          <w:kern w:val="2"/>
          <w:sz w:val="21"/>
          <w:szCs w:val="22"/>
        </w:rPr>
      </w:pPr>
      <w:r>
        <w:fldChar w:fldCharType="begin"/>
      </w:r>
      <w:r>
        <w:instrText xml:space="preserve"> HYPERLINK \l "_Toc499801695" </w:instrText>
      </w:r>
      <w:r>
        <w:fldChar w:fldCharType="separate"/>
      </w:r>
      <w:r>
        <w:rPr>
          <w:rStyle w:val="24"/>
          <w:rFonts w:eastAsia="宋体" w:cs="Arial"/>
          <w:snapToGrid w:val="0"/>
        </w:rPr>
        <w:t>4.</w:t>
      </w:r>
      <w:r>
        <w:rPr>
          <w:rFonts w:asciiTheme="minorHAnsi" w:hAnsiTheme="minorHAnsi"/>
          <w:kern w:val="2"/>
          <w:sz w:val="21"/>
          <w:szCs w:val="22"/>
        </w:rPr>
        <w:tab/>
      </w:r>
      <w:r>
        <w:rPr>
          <w:rStyle w:val="24"/>
          <w:rFonts w:hint="eastAsia" w:eastAsia="宋体" w:cs="Arial"/>
          <w:snapToGrid w:val="0"/>
        </w:rPr>
        <w:t>受试者决定退出的后果</w:t>
      </w:r>
      <w:r>
        <w:tab/>
      </w:r>
      <w:r>
        <w:fldChar w:fldCharType="begin"/>
      </w:r>
      <w:r>
        <w:instrText xml:space="preserve"> PAGEREF _Toc499801695 \h </w:instrText>
      </w:r>
      <w:r>
        <w:fldChar w:fldCharType="separate"/>
      </w:r>
      <w:r>
        <w:t>15</w:t>
      </w:r>
      <w:r>
        <w:fldChar w:fldCharType="end"/>
      </w:r>
      <w:r>
        <w:fldChar w:fldCharType="end"/>
      </w:r>
    </w:p>
    <w:p w14:paraId="643A9E03">
      <w:pPr>
        <w:pStyle w:val="13"/>
        <w:ind w:left="1034" w:right="480"/>
        <w:rPr>
          <w:rFonts w:asciiTheme="minorHAnsi" w:hAnsiTheme="minorHAnsi"/>
          <w:kern w:val="2"/>
          <w:sz w:val="21"/>
          <w:szCs w:val="22"/>
        </w:rPr>
      </w:pPr>
      <w:r>
        <w:fldChar w:fldCharType="begin"/>
      </w:r>
      <w:r>
        <w:instrText xml:space="preserve"> HYPERLINK \l "_Toc499801696" </w:instrText>
      </w:r>
      <w:r>
        <w:fldChar w:fldCharType="separate"/>
      </w:r>
      <w:r>
        <w:rPr>
          <w:rStyle w:val="24"/>
          <w:rFonts w:eastAsia="宋体" w:cs="Arial"/>
          <w:snapToGrid w:val="0"/>
        </w:rPr>
        <w:t>5.</w:t>
      </w:r>
      <w:r>
        <w:rPr>
          <w:rFonts w:asciiTheme="minorHAnsi" w:hAnsiTheme="minorHAnsi"/>
          <w:kern w:val="2"/>
          <w:sz w:val="21"/>
          <w:szCs w:val="22"/>
        </w:rPr>
        <w:tab/>
      </w:r>
      <w:r>
        <w:rPr>
          <w:rStyle w:val="24"/>
          <w:rFonts w:hint="eastAsia" w:eastAsia="宋体" w:cs="Arial"/>
          <w:snapToGrid w:val="0"/>
        </w:rPr>
        <w:t>提供给受试者的重大新发现</w:t>
      </w:r>
      <w:r>
        <w:tab/>
      </w:r>
      <w:r>
        <w:fldChar w:fldCharType="begin"/>
      </w:r>
      <w:r>
        <w:instrText xml:space="preserve"> PAGEREF _Toc499801696 \h </w:instrText>
      </w:r>
      <w:r>
        <w:fldChar w:fldCharType="separate"/>
      </w:r>
      <w:r>
        <w:t>15</w:t>
      </w:r>
      <w:r>
        <w:fldChar w:fldCharType="end"/>
      </w:r>
      <w:r>
        <w:fldChar w:fldCharType="end"/>
      </w:r>
    </w:p>
    <w:p w14:paraId="40F26C9A">
      <w:pPr>
        <w:pStyle w:val="13"/>
        <w:ind w:left="1034" w:right="480"/>
        <w:rPr>
          <w:rFonts w:asciiTheme="minorHAnsi" w:hAnsiTheme="minorHAnsi"/>
          <w:kern w:val="2"/>
          <w:sz w:val="21"/>
          <w:szCs w:val="22"/>
        </w:rPr>
      </w:pPr>
      <w:r>
        <w:fldChar w:fldCharType="begin"/>
      </w:r>
      <w:r>
        <w:instrText xml:space="preserve"> HYPERLINK \l "_Toc499801697" </w:instrText>
      </w:r>
      <w:r>
        <w:fldChar w:fldCharType="separate"/>
      </w:r>
      <w:r>
        <w:rPr>
          <w:rStyle w:val="24"/>
          <w:rFonts w:eastAsia="宋体" w:cs="Arial"/>
          <w:snapToGrid w:val="0"/>
        </w:rPr>
        <w:t>6.</w:t>
      </w:r>
      <w:r>
        <w:rPr>
          <w:rFonts w:asciiTheme="minorHAnsi" w:hAnsiTheme="minorHAnsi"/>
          <w:kern w:val="2"/>
          <w:sz w:val="21"/>
          <w:szCs w:val="22"/>
        </w:rPr>
        <w:tab/>
      </w:r>
      <w:r>
        <w:rPr>
          <w:rStyle w:val="24"/>
          <w:rFonts w:hint="eastAsia" w:eastAsia="宋体" w:cs="Arial"/>
          <w:snapToGrid w:val="0"/>
        </w:rPr>
        <w:t>受试者数量</w:t>
      </w:r>
      <w:r>
        <w:tab/>
      </w:r>
      <w:r>
        <w:fldChar w:fldCharType="begin"/>
      </w:r>
      <w:r>
        <w:instrText xml:space="preserve"> PAGEREF _Toc499801697 \h </w:instrText>
      </w:r>
      <w:r>
        <w:fldChar w:fldCharType="separate"/>
      </w:r>
      <w:r>
        <w:t>16</w:t>
      </w:r>
      <w:r>
        <w:fldChar w:fldCharType="end"/>
      </w:r>
      <w:r>
        <w:fldChar w:fldCharType="end"/>
      </w:r>
    </w:p>
    <w:p w14:paraId="0CF25E1F">
      <w:pPr>
        <w:pStyle w:val="20"/>
        <w:rPr>
          <w:rFonts w:asciiTheme="minorHAnsi" w:hAnsiTheme="minorHAnsi" w:eastAsiaTheme="minorEastAsia" w:cstheme="minorBidi"/>
          <w:snapToGrid/>
          <w:kern w:val="2"/>
          <w:sz w:val="21"/>
          <w:szCs w:val="22"/>
        </w:rPr>
      </w:pPr>
      <w:r>
        <w:fldChar w:fldCharType="begin"/>
      </w:r>
      <w:r>
        <w:instrText xml:space="preserve"> HYPERLINK \l "_Toc499801698" </w:instrText>
      </w:r>
      <w:r>
        <w:fldChar w:fldCharType="separate"/>
      </w:r>
      <w:r>
        <w:rPr>
          <w:rStyle w:val="24"/>
        </w:rPr>
        <w:t>D.</w:t>
      </w:r>
      <w:r>
        <w:rPr>
          <w:rFonts w:asciiTheme="minorHAnsi" w:hAnsiTheme="minorHAnsi" w:eastAsiaTheme="minorEastAsia" w:cstheme="minorBidi"/>
          <w:snapToGrid/>
          <w:kern w:val="2"/>
          <w:sz w:val="21"/>
          <w:szCs w:val="22"/>
        </w:rPr>
        <w:tab/>
      </w:r>
      <w:r>
        <w:rPr>
          <w:rStyle w:val="24"/>
          <w:rFonts w:ascii="宋体" w:hAnsi="宋体"/>
        </w:rPr>
        <w:t>“</w:t>
      </w:r>
      <w:r>
        <w:rPr>
          <w:rStyle w:val="24"/>
          <w:rFonts w:hint="eastAsia"/>
        </w:rPr>
        <w:t>适用的临床试验</w:t>
      </w:r>
      <w:r>
        <w:rPr>
          <w:rStyle w:val="24"/>
          <w:rFonts w:ascii="宋体" w:hAnsi="宋体"/>
        </w:rPr>
        <w:t>”</w:t>
      </w:r>
      <w:r>
        <w:rPr>
          <w:rStyle w:val="24"/>
          <w:rFonts w:hint="eastAsia"/>
        </w:rPr>
        <w:t>的知情同意要素</w:t>
      </w:r>
      <w:r>
        <w:tab/>
      </w:r>
      <w:r>
        <w:fldChar w:fldCharType="begin"/>
      </w:r>
      <w:r>
        <w:instrText xml:space="preserve"> PAGEREF _Toc499801698 \h </w:instrText>
      </w:r>
      <w:r>
        <w:fldChar w:fldCharType="separate"/>
      </w:r>
      <w:r>
        <w:t>16</w:t>
      </w:r>
      <w:r>
        <w:fldChar w:fldCharType="end"/>
      </w:r>
      <w:r>
        <w:fldChar w:fldCharType="end"/>
      </w:r>
    </w:p>
    <w:p w14:paraId="62B5D379">
      <w:pPr>
        <w:pStyle w:val="20"/>
        <w:rPr>
          <w:rFonts w:asciiTheme="minorHAnsi" w:hAnsiTheme="minorHAnsi" w:eastAsiaTheme="minorEastAsia" w:cstheme="minorBidi"/>
          <w:snapToGrid/>
          <w:kern w:val="2"/>
          <w:sz w:val="21"/>
          <w:szCs w:val="22"/>
        </w:rPr>
      </w:pPr>
      <w:r>
        <w:fldChar w:fldCharType="begin"/>
      </w:r>
      <w:r>
        <w:instrText xml:space="preserve"> HYPERLINK \l "_Toc499801699" </w:instrText>
      </w:r>
      <w:r>
        <w:fldChar w:fldCharType="separate"/>
      </w:r>
      <w:r>
        <w:rPr>
          <w:rStyle w:val="24"/>
        </w:rPr>
        <w:t>E.</w:t>
      </w:r>
      <w:r>
        <w:rPr>
          <w:rFonts w:asciiTheme="minorHAnsi" w:hAnsiTheme="minorHAnsi" w:eastAsiaTheme="minorEastAsia" w:cstheme="minorBidi"/>
          <w:snapToGrid/>
          <w:kern w:val="2"/>
          <w:sz w:val="21"/>
          <w:szCs w:val="22"/>
        </w:rPr>
        <w:tab/>
      </w:r>
      <w:r>
        <w:rPr>
          <w:rStyle w:val="24"/>
          <w:rFonts w:hint="eastAsia"/>
        </w:rPr>
        <w:t>知情同意文件</w:t>
      </w:r>
      <w:r>
        <w:tab/>
      </w:r>
      <w:r>
        <w:fldChar w:fldCharType="begin"/>
      </w:r>
      <w:r>
        <w:instrText xml:space="preserve"> PAGEREF _Toc499801699 \h </w:instrText>
      </w:r>
      <w:r>
        <w:fldChar w:fldCharType="separate"/>
      </w:r>
      <w:r>
        <w:t>16</w:t>
      </w:r>
      <w:r>
        <w:fldChar w:fldCharType="end"/>
      </w:r>
      <w:r>
        <w:fldChar w:fldCharType="end"/>
      </w:r>
    </w:p>
    <w:p w14:paraId="1F590341">
      <w:pPr>
        <w:pStyle w:val="13"/>
        <w:ind w:left="1034" w:right="480"/>
        <w:rPr>
          <w:rFonts w:asciiTheme="minorHAnsi" w:hAnsiTheme="minorHAnsi"/>
          <w:kern w:val="2"/>
          <w:sz w:val="21"/>
          <w:szCs w:val="22"/>
        </w:rPr>
      </w:pPr>
      <w:r>
        <w:fldChar w:fldCharType="begin"/>
      </w:r>
      <w:r>
        <w:instrText xml:space="preserve"> HYPERLINK \l "_Toc499801700"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书面知情同意文件的要求</w:t>
      </w:r>
      <w:r>
        <w:tab/>
      </w:r>
      <w:r>
        <w:fldChar w:fldCharType="begin"/>
      </w:r>
      <w:r>
        <w:instrText xml:space="preserve"> PAGEREF _Toc499801700 \h </w:instrText>
      </w:r>
      <w:r>
        <w:fldChar w:fldCharType="separate"/>
      </w:r>
      <w:r>
        <w:t>16</w:t>
      </w:r>
      <w:r>
        <w:fldChar w:fldCharType="end"/>
      </w:r>
      <w:r>
        <w:fldChar w:fldCharType="end"/>
      </w:r>
    </w:p>
    <w:p w14:paraId="112435CC">
      <w:pPr>
        <w:pStyle w:val="13"/>
        <w:ind w:left="1034" w:right="480"/>
        <w:rPr>
          <w:rFonts w:asciiTheme="minorHAnsi" w:hAnsiTheme="minorHAnsi"/>
          <w:kern w:val="2"/>
          <w:sz w:val="21"/>
          <w:szCs w:val="22"/>
        </w:rPr>
      </w:pPr>
      <w:r>
        <w:fldChar w:fldCharType="begin"/>
      </w:r>
      <w:r>
        <w:instrText xml:space="preserve"> HYPERLINK \l "_Toc499801701" </w:instrText>
      </w:r>
      <w:r>
        <w:fldChar w:fldCharType="separate"/>
      </w:r>
      <w:r>
        <w:rPr>
          <w:rStyle w:val="24"/>
          <w:rFonts w:eastAsia="宋体" w:cs="Arial"/>
          <w:snapToGrid w:val="0"/>
        </w:rPr>
        <w:t>2.</w:t>
      </w:r>
      <w:r>
        <w:rPr>
          <w:rFonts w:asciiTheme="minorHAnsi" w:hAnsiTheme="minorHAnsi"/>
          <w:kern w:val="2"/>
          <w:sz w:val="21"/>
          <w:szCs w:val="22"/>
        </w:rPr>
        <w:tab/>
      </w:r>
      <w:r>
        <w:rPr>
          <w:rStyle w:val="24"/>
          <w:rFonts w:hint="eastAsia" w:eastAsia="宋体" w:cs="Arial"/>
          <w:snapToGrid w:val="0"/>
        </w:rPr>
        <w:t>获得知情同意的替代方法</w:t>
      </w:r>
      <w:r>
        <w:tab/>
      </w:r>
      <w:r>
        <w:fldChar w:fldCharType="begin"/>
      </w:r>
      <w:r>
        <w:instrText xml:space="preserve"> PAGEREF _Toc499801701 \h </w:instrText>
      </w:r>
      <w:r>
        <w:fldChar w:fldCharType="separate"/>
      </w:r>
      <w:r>
        <w:t>17</w:t>
      </w:r>
      <w:r>
        <w:fldChar w:fldCharType="end"/>
      </w:r>
      <w:r>
        <w:fldChar w:fldCharType="end"/>
      </w:r>
    </w:p>
    <w:p w14:paraId="1B0ECBCB">
      <w:pPr>
        <w:pStyle w:val="13"/>
        <w:ind w:left="1034" w:right="480"/>
        <w:rPr>
          <w:rFonts w:asciiTheme="minorHAnsi" w:hAnsiTheme="minorHAnsi"/>
          <w:kern w:val="2"/>
          <w:sz w:val="21"/>
          <w:szCs w:val="22"/>
        </w:rPr>
      </w:pPr>
      <w:r>
        <w:fldChar w:fldCharType="begin"/>
      </w:r>
      <w:r>
        <w:instrText xml:space="preserve"> HYPERLINK \l "_Toc499801702" </w:instrText>
      </w:r>
      <w:r>
        <w:fldChar w:fldCharType="separate"/>
      </w:r>
      <w:r>
        <w:rPr>
          <w:rStyle w:val="24"/>
          <w:rFonts w:eastAsia="宋体" w:cs="Arial"/>
          <w:snapToGrid w:val="0"/>
        </w:rPr>
        <w:t>3.</w:t>
      </w:r>
      <w:r>
        <w:rPr>
          <w:rFonts w:asciiTheme="minorHAnsi" w:hAnsiTheme="minorHAnsi"/>
          <w:kern w:val="2"/>
          <w:sz w:val="21"/>
          <w:szCs w:val="22"/>
        </w:rPr>
        <w:tab/>
      </w:r>
      <w:r>
        <w:rPr>
          <w:rStyle w:val="24"/>
          <w:rFonts w:hint="eastAsia" w:eastAsia="宋体" w:cs="Arial"/>
          <w:snapToGrid w:val="0"/>
        </w:rPr>
        <w:t>签署同意书日期的要求</w:t>
      </w:r>
      <w:r>
        <w:tab/>
      </w:r>
      <w:r>
        <w:fldChar w:fldCharType="begin"/>
      </w:r>
      <w:r>
        <w:instrText xml:space="preserve"> PAGEREF _Toc499801702 \h </w:instrText>
      </w:r>
      <w:r>
        <w:fldChar w:fldCharType="separate"/>
      </w:r>
      <w:r>
        <w:t>18</w:t>
      </w:r>
      <w:r>
        <w:fldChar w:fldCharType="end"/>
      </w:r>
      <w:r>
        <w:fldChar w:fldCharType="end"/>
      </w:r>
    </w:p>
    <w:p w14:paraId="49ADDF84">
      <w:pPr>
        <w:pStyle w:val="13"/>
        <w:ind w:left="1034" w:right="480"/>
        <w:rPr>
          <w:rFonts w:asciiTheme="minorHAnsi" w:hAnsiTheme="minorHAnsi"/>
          <w:kern w:val="2"/>
          <w:sz w:val="21"/>
          <w:szCs w:val="22"/>
        </w:rPr>
      </w:pPr>
      <w:r>
        <w:fldChar w:fldCharType="begin"/>
      </w:r>
      <w:r>
        <w:instrText xml:space="preserve"> HYPERLINK \l "_Toc499801703" </w:instrText>
      </w:r>
      <w:r>
        <w:fldChar w:fldCharType="separate"/>
      </w:r>
      <w:r>
        <w:rPr>
          <w:rStyle w:val="24"/>
          <w:rFonts w:eastAsia="宋体" w:cs="Arial"/>
          <w:snapToGrid w:val="0"/>
        </w:rPr>
        <w:t>4.</w:t>
      </w:r>
      <w:r>
        <w:rPr>
          <w:rFonts w:asciiTheme="minorHAnsi" w:hAnsiTheme="minorHAnsi"/>
          <w:kern w:val="2"/>
          <w:sz w:val="21"/>
          <w:szCs w:val="22"/>
        </w:rPr>
        <w:tab/>
      </w:r>
      <w:r>
        <w:rPr>
          <w:rStyle w:val="24"/>
          <w:rFonts w:hint="eastAsia" w:eastAsia="宋体" w:cs="Arial"/>
          <w:snapToGrid w:val="0"/>
        </w:rPr>
        <w:t>知情同意的文件表</w:t>
      </w:r>
      <w:r>
        <w:tab/>
      </w:r>
      <w:r>
        <w:fldChar w:fldCharType="begin"/>
      </w:r>
      <w:r>
        <w:instrText xml:space="preserve"> PAGEREF _Toc499801703 \h </w:instrText>
      </w:r>
      <w:r>
        <w:fldChar w:fldCharType="separate"/>
      </w:r>
      <w:r>
        <w:t>19</w:t>
      </w:r>
      <w:r>
        <w:fldChar w:fldCharType="end"/>
      </w:r>
      <w:r>
        <w:fldChar w:fldCharType="end"/>
      </w:r>
    </w:p>
    <w:p w14:paraId="4C9FE2A9">
      <w:pPr>
        <w:pStyle w:val="18"/>
        <w:tabs>
          <w:tab w:val="left" w:pos="1680"/>
          <w:tab w:val="right" w:leader="dot" w:pos="9016"/>
        </w:tabs>
        <w:ind w:left="1440" w:right="480"/>
        <w:rPr>
          <w:rFonts w:asciiTheme="minorHAnsi" w:hAnsiTheme="minorHAnsi"/>
          <w:kern w:val="2"/>
          <w:sz w:val="21"/>
          <w:szCs w:val="22"/>
        </w:rPr>
      </w:pPr>
      <w:r>
        <w:fldChar w:fldCharType="begin"/>
      </w:r>
      <w:r>
        <w:instrText xml:space="preserve"> HYPERLINK \l "_Toc499801704" </w:instrText>
      </w:r>
      <w:r>
        <w:fldChar w:fldCharType="separate"/>
      </w:r>
      <w:r>
        <w:rPr>
          <w:rStyle w:val="24"/>
          <w:rFonts w:eastAsia="宋体" w:cs="Arial"/>
          <w:snapToGrid w:val="0"/>
        </w:rPr>
        <w:t>a.</w:t>
      </w:r>
      <w:r>
        <w:rPr>
          <w:rFonts w:asciiTheme="minorHAnsi" w:hAnsiTheme="minorHAnsi"/>
          <w:kern w:val="2"/>
          <w:sz w:val="21"/>
          <w:szCs w:val="22"/>
        </w:rPr>
        <w:tab/>
      </w:r>
      <w:r>
        <w:rPr>
          <w:rStyle w:val="24"/>
          <w:rFonts w:hint="eastAsia" w:eastAsia="宋体" w:cs="Arial"/>
          <w:snapToGrid w:val="0"/>
        </w:rPr>
        <w:t>长表</w:t>
      </w:r>
      <w:r>
        <w:tab/>
      </w:r>
      <w:r>
        <w:fldChar w:fldCharType="begin"/>
      </w:r>
      <w:r>
        <w:instrText xml:space="preserve"> PAGEREF _Toc499801704 \h </w:instrText>
      </w:r>
      <w:r>
        <w:fldChar w:fldCharType="separate"/>
      </w:r>
      <w:r>
        <w:t>19</w:t>
      </w:r>
      <w:r>
        <w:fldChar w:fldCharType="end"/>
      </w:r>
      <w:r>
        <w:fldChar w:fldCharType="end"/>
      </w:r>
    </w:p>
    <w:p w14:paraId="627D230D">
      <w:pPr>
        <w:pStyle w:val="18"/>
        <w:tabs>
          <w:tab w:val="left" w:pos="1680"/>
          <w:tab w:val="right" w:leader="dot" w:pos="9016"/>
        </w:tabs>
        <w:ind w:left="1440" w:right="480"/>
        <w:rPr>
          <w:rFonts w:asciiTheme="minorHAnsi" w:hAnsiTheme="minorHAnsi"/>
          <w:kern w:val="2"/>
          <w:sz w:val="21"/>
          <w:szCs w:val="22"/>
        </w:rPr>
      </w:pPr>
      <w:r>
        <w:fldChar w:fldCharType="begin"/>
      </w:r>
      <w:r>
        <w:instrText xml:space="preserve"> HYPERLINK \l "_Toc499801705" </w:instrText>
      </w:r>
      <w:r>
        <w:fldChar w:fldCharType="separate"/>
      </w:r>
      <w:r>
        <w:rPr>
          <w:rStyle w:val="24"/>
          <w:rFonts w:eastAsia="宋体" w:cs="Arial"/>
          <w:snapToGrid w:val="0"/>
        </w:rPr>
        <w:t>b.</w:t>
      </w:r>
      <w:r>
        <w:rPr>
          <w:rFonts w:asciiTheme="minorHAnsi" w:hAnsiTheme="minorHAnsi"/>
          <w:kern w:val="2"/>
          <w:sz w:val="21"/>
          <w:szCs w:val="22"/>
        </w:rPr>
        <w:tab/>
      </w:r>
      <w:r>
        <w:rPr>
          <w:rStyle w:val="24"/>
          <w:rFonts w:hint="eastAsia" w:eastAsia="宋体" w:cs="Arial"/>
          <w:snapToGrid w:val="0"/>
        </w:rPr>
        <w:t>短表</w:t>
      </w:r>
      <w:r>
        <w:tab/>
      </w:r>
      <w:r>
        <w:fldChar w:fldCharType="begin"/>
      </w:r>
      <w:r>
        <w:instrText xml:space="preserve"> PAGEREF _Toc499801705 \h </w:instrText>
      </w:r>
      <w:r>
        <w:fldChar w:fldCharType="separate"/>
      </w:r>
      <w:r>
        <w:t>19</w:t>
      </w:r>
      <w:r>
        <w:fldChar w:fldCharType="end"/>
      </w:r>
      <w:r>
        <w:fldChar w:fldCharType="end"/>
      </w:r>
    </w:p>
    <w:p w14:paraId="45AE63CD">
      <w:pPr>
        <w:pStyle w:val="3"/>
        <w:ind w:right="480"/>
        <w:rPr>
          <w:rFonts w:asciiTheme="minorHAnsi" w:hAnsiTheme="minorHAnsi"/>
          <w:kern w:val="2"/>
          <w:sz w:val="21"/>
          <w:szCs w:val="22"/>
        </w:rPr>
      </w:pPr>
      <w:r>
        <w:fldChar w:fldCharType="begin"/>
      </w:r>
      <w:r>
        <w:instrText xml:space="preserve"> HYPERLINK \l "_Toc499801706" </w:instrText>
      </w:r>
      <w:r>
        <w:fldChar w:fldCharType="separate"/>
      </w:r>
      <w:r>
        <w:rPr>
          <w:rStyle w:val="24"/>
          <w:rFonts w:eastAsia="宋体" w:cs="Arial"/>
          <w:snapToGrid w:val="0"/>
        </w:rPr>
        <w:t>IV.</w:t>
      </w:r>
      <w:r>
        <w:rPr>
          <w:rFonts w:asciiTheme="minorHAnsi" w:hAnsiTheme="minorHAnsi"/>
          <w:kern w:val="2"/>
          <w:sz w:val="21"/>
          <w:szCs w:val="22"/>
        </w:rPr>
        <w:tab/>
      </w:r>
      <w:r>
        <w:rPr>
          <w:rStyle w:val="24"/>
          <w:rFonts w:hint="eastAsia" w:eastAsia="宋体" w:cs="Arial"/>
          <w:snapToGrid w:val="0"/>
        </w:rPr>
        <w:t>知情同意的责任</w:t>
      </w:r>
      <w:r>
        <w:tab/>
      </w:r>
      <w:r>
        <w:fldChar w:fldCharType="begin"/>
      </w:r>
      <w:r>
        <w:instrText xml:space="preserve"> PAGEREF _Toc499801706 \h </w:instrText>
      </w:r>
      <w:r>
        <w:fldChar w:fldCharType="separate"/>
      </w:r>
      <w:r>
        <w:t>20</w:t>
      </w:r>
      <w:r>
        <w:fldChar w:fldCharType="end"/>
      </w:r>
      <w:r>
        <w:fldChar w:fldCharType="end"/>
      </w:r>
    </w:p>
    <w:p w14:paraId="54BB54EF">
      <w:pPr>
        <w:pStyle w:val="20"/>
        <w:rPr>
          <w:rFonts w:asciiTheme="minorHAnsi" w:hAnsiTheme="minorHAnsi" w:eastAsiaTheme="minorEastAsia" w:cstheme="minorBidi"/>
          <w:snapToGrid/>
          <w:kern w:val="2"/>
          <w:sz w:val="21"/>
          <w:szCs w:val="22"/>
        </w:rPr>
      </w:pPr>
      <w:r>
        <w:fldChar w:fldCharType="begin"/>
      </w:r>
      <w:r>
        <w:instrText xml:space="preserve"> HYPERLINK \l "_Toc499801707" </w:instrText>
      </w:r>
      <w:r>
        <w:fldChar w:fldCharType="separate"/>
      </w:r>
      <w:r>
        <w:rPr>
          <w:rStyle w:val="24"/>
        </w:rPr>
        <w:t>A.</w:t>
      </w:r>
      <w:r>
        <w:rPr>
          <w:rFonts w:asciiTheme="minorHAnsi" w:hAnsiTheme="minorHAnsi" w:eastAsiaTheme="minorEastAsia" w:cstheme="minorBidi"/>
          <w:snapToGrid/>
          <w:kern w:val="2"/>
          <w:sz w:val="21"/>
          <w:szCs w:val="22"/>
        </w:rPr>
        <w:tab/>
      </w:r>
      <w:r>
        <w:rPr>
          <w:rStyle w:val="24"/>
        </w:rPr>
        <w:t>IRB</w:t>
      </w:r>
      <w:r>
        <w:tab/>
      </w:r>
      <w:r>
        <w:fldChar w:fldCharType="begin"/>
      </w:r>
      <w:r>
        <w:instrText xml:space="preserve"> PAGEREF _Toc499801707 \h </w:instrText>
      </w:r>
      <w:r>
        <w:fldChar w:fldCharType="separate"/>
      </w:r>
      <w:r>
        <w:t>20</w:t>
      </w:r>
      <w:r>
        <w:fldChar w:fldCharType="end"/>
      </w:r>
      <w:r>
        <w:fldChar w:fldCharType="end"/>
      </w:r>
    </w:p>
    <w:p w14:paraId="071EAB66">
      <w:pPr>
        <w:pStyle w:val="13"/>
        <w:ind w:left="1034" w:right="480"/>
        <w:rPr>
          <w:rFonts w:asciiTheme="minorHAnsi" w:hAnsiTheme="minorHAnsi"/>
          <w:kern w:val="2"/>
          <w:sz w:val="21"/>
          <w:szCs w:val="22"/>
        </w:rPr>
      </w:pPr>
      <w:r>
        <w:fldChar w:fldCharType="begin"/>
      </w:r>
      <w:r>
        <w:instrText xml:space="preserve"> HYPERLINK \l "_Toc499801708"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审查所有知情同意的材料</w:t>
      </w:r>
      <w:r>
        <w:tab/>
      </w:r>
      <w:r>
        <w:fldChar w:fldCharType="begin"/>
      </w:r>
      <w:r>
        <w:instrText xml:space="preserve"> PAGEREF _Toc499801708 \h </w:instrText>
      </w:r>
      <w:r>
        <w:fldChar w:fldCharType="separate"/>
      </w:r>
      <w:r>
        <w:t>20</w:t>
      </w:r>
      <w:r>
        <w:fldChar w:fldCharType="end"/>
      </w:r>
      <w:r>
        <w:fldChar w:fldCharType="end"/>
      </w:r>
    </w:p>
    <w:p w14:paraId="4AF0071A">
      <w:pPr>
        <w:pStyle w:val="18"/>
        <w:tabs>
          <w:tab w:val="left" w:pos="1680"/>
          <w:tab w:val="right" w:leader="dot" w:pos="9016"/>
        </w:tabs>
        <w:ind w:left="1440" w:right="480"/>
        <w:rPr>
          <w:rFonts w:asciiTheme="minorHAnsi" w:hAnsiTheme="minorHAnsi"/>
          <w:kern w:val="2"/>
          <w:sz w:val="21"/>
          <w:szCs w:val="22"/>
        </w:rPr>
      </w:pPr>
      <w:r>
        <w:fldChar w:fldCharType="begin"/>
      </w:r>
      <w:r>
        <w:instrText xml:space="preserve"> HYPERLINK \l "_Toc499801709" </w:instrText>
      </w:r>
      <w:r>
        <w:fldChar w:fldCharType="separate"/>
      </w:r>
      <w:r>
        <w:rPr>
          <w:rStyle w:val="24"/>
          <w:rFonts w:eastAsia="宋体" w:cs="Arial"/>
          <w:snapToGrid w:val="0"/>
        </w:rPr>
        <w:t>a.</w:t>
      </w:r>
      <w:r>
        <w:rPr>
          <w:rFonts w:asciiTheme="minorHAnsi" w:hAnsiTheme="minorHAnsi"/>
          <w:kern w:val="2"/>
          <w:sz w:val="21"/>
          <w:szCs w:val="22"/>
        </w:rPr>
        <w:tab/>
      </w:r>
      <w:r>
        <w:rPr>
          <w:rStyle w:val="24"/>
          <w:rFonts w:hint="eastAsia" w:eastAsia="宋体" w:cs="Arial"/>
          <w:snapToGrid w:val="0"/>
        </w:rPr>
        <w:t>措辞的充分性与适当性</w:t>
      </w:r>
      <w:r>
        <w:tab/>
      </w:r>
      <w:r>
        <w:fldChar w:fldCharType="begin"/>
      </w:r>
      <w:r>
        <w:instrText xml:space="preserve"> PAGEREF _Toc499801709 \h </w:instrText>
      </w:r>
      <w:r>
        <w:fldChar w:fldCharType="separate"/>
      </w:r>
      <w:r>
        <w:t>21</w:t>
      </w:r>
      <w:r>
        <w:fldChar w:fldCharType="end"/>
      </w:r>
      <w:r>
        <w:fldChar w:fldCharType="end"/>
      </w:r>
    </w:p>
    <w:p w14:paraId="1BEF4748">
      <w:pPr>
        <w:pStyle w:val="18"/>
        <w:tabs>
          <w:tab w:val="left" w:pos="1680"/>
          <w:tab w:val="right" w:leader="dot" w:pos="9016"/>
        </w:tabs>
        <w:ind w:left="1440" w:right="480"/>
        <w:rPr>
          <w:rFonts w:asciiTheme="minorHAnsi" w:hAnsiTheme="minorHAnsi"/>
          <w:kern w:val="2"/>
          <w:sz w:val="21"/>
          <w:szCs w:val="22"/>
        </w:rPr>
      </w:pPr>
      <w:r>
        <w:fldChar w:fldCharType="begin"/>
      </w:r>
      <w:r>
        <w:instrText xml:space="preserve"> HYPERLINK \l "_Toc499801710" </w:instrText>
      </w:r>
      <w:r>
        <w:fldChar w:fldCharType="separate"/>
      </w:r>
      <w:r>
        <w:rPr>
          <w:rStyle w:val="24"/>
          <w:rFonts w:eastAsia="宋体" w:cs="Arial"/>
          <w:snapToGrid w:val="0"/>
        </w:rPr>
        <w:t>b.</w:t>
      </w:r>
      <w:r>
        <w:rPr>
          <w:rFonts w:asciiTheme="minorHAnsi" w:hAnsiTheme="minorHAnsi"/>
          <w:kern w:val="2"/>
          <w:sz w:val="21"/>
          <w:szCs w:val="22"/>
        </w:rPr>
        <w:tab/>
      </w:r>
      <w:r>
        <w:rPr>
          <w:rStyle w:val="24"/>
          <w:rFonts w:hint="eastAsia" w:eastAsia="宋体" w:cs="Arial"/>
          <w:snapToGrid w:val="0"/>
        </w:rPr>
        <w:t>标准化语言的使用</w:t>
      </w:r>
      <w:r>
        <w:tab/>
      </w:r>
      <w:r>
        <w:fldChar w:fldCharType="begin"/>
      </w:r>
      <w:r>
        <w:instrText xml:space="preserve"> PAGEREF _Toc499801710 \h </w:instrText>
      </w:r>
      <w:r>
        <w:fldChar w:fldCharType="separate"/>
      </w:r>
      <w:r>
        <w:t>22</w:t>
      </w:r>
      <w:r>
        <w:fldChar w:fldCharType="end"/>
      </w:r>
      <w:r>
        <w:fldChar w:fldCharType="end"/>
      </w:r>
    </w:p>
    <w:p w14:paraId="2870CBF3">
      <w:pPr>
        <w:pStyle w:val="13"/>
        <w:ind w:left="1034" w:right="480"/>
        <w:rPr>
          <w:rFonts w:asciiTheme="minorHAnsi" w:hAnsiTheme="minorHAnsi"/>
          <w:kern w:val="2"/>
          <w:sz w:val="21"/>
          <w:szCs w:val="22"/>
        </w:rPr>
      </w:pPr>
      <w:r>
        <w:fldChar w:fldCharType="begin"/>
      </w:r>
      <w:r>
        <w:instrText xml:space="preserve"> HYPERLINK \l "_Toc499801711" </w:instrText>
      </w:r>
      <w:r>
        <w:fldChar w:fldCharType="separate"/>
      </w:r>
      <w:r>
        <w:rPr>
          <w:rStyle w:val="24"/>
          <w:rFonts w:eastAsia="宋体" w:cs="Arial"/>
          <w:snapToGrid w:val="0"/>
        </w:rPr>
        <w:t>2.</w:t>
      </w:r>
      <w:r>
        <w:rPr>
          <w:rFonts w:asciiTheme="minorHAnsi" w:hAnsiTheme="minorHAnsi"/>
          <w:kern w:val="2"/>
          <w:sz w:val="21"/>
          <w:szCs w:val="22"/>
        </w:rPr>
        <w:tab/>
      </w:r>
      <w:r>
        <w:rPr>
          <w:rStyle w:val="24"/>
          <w:rFonts w:hint="eastAsia" w:eastAsia="宋体" w:cs="Arial"/>
          <w:snapToGrid w:val="0"/>
        </w:rPr>
        <w:t>同意过程的审查</w:t>
      </w:r>
      <w:r>
        <w:tab/>
      </w:r>
      <w:r>
        <w:fldChar w:fldCharType="begin"/>
      </w:r>
      <w:r>
        <w:instrText xml:space="preserve"> PAGEREF _Toc499801711 \h </w:instrText>
      </w:r>
      <w:r>
        <w:fldChar w:fldCharType="separate"/>
      </w:r>
      <w:r>
        <w:t>23</w:t>
      </w:r>
      <w:r>
        <w:fldChar w:fldCharType="end"/>
      </w:r>
      <w:r>
        <w:fldChar w:fldCharType="end"/>
      </w:r>
    </w:p>
    <w:p w14:paraId="71E5CC36">
      <w:pPr>
        <w:pStyle w:val="13"/>
        <w:ind w:left="1034" w:right="480"/>
        <w:rPr>
          <w:rFonts w:asciiTheme="minorHAnsi" w:hAnsiTheme="minorHAnsi"/>
          <w:kern w:val="2"/>
          <w:sz w:val="21"/>
          <w:szCs w:val="22"/>
        </w:rPr>
      </w:pPr>
      <w:r>
        <w:fldChar w:fldCharType="begin"/>
      </w:r>
      <w:r>
        <w:instrText xml:space="preserve"> HYPERLINK \l "_Toc499801712" </w:instrText>
      </w:r>
      <w:r>
        <w:fldChar w:fldCharType="separate"/>
      </w:r>
      <w:r>
        <w:rPr>
          <w:rStyle w:val="24"/>
          <w:rFonts w:eastAsia="宋体" w:cs="Arial"/>
          <w:snapToGrid w:val="0"/>
        </w:rPr>
        <w:t>3.</w:t>
      </w:r>
      <w:r>
        <w:rPr>
          <w:rFonts w:asciiTheme="minorHAnsi" w:hAnsiTheme="minorHAnsi"/>
          <w:kern w:val="2"/>
          <w:sz w:val="21"/>
          <w:szCs w:val="22"/>
        </w:rPr>
        <w:tab/>
      </w:r>
      <w:r>
        <w:rPr>
          <w:rStyle w:val="24"/>
          <w:rFonts w:eastAsia="宋体" w:cs="Arial"/>
          <w:snapToGrid w:val="0"/>
        </w:rPr>
        <w:t>IRB</w:t>
      </w:r>
      <w:r>
        <w:rPr>
          <w:rStyle w:val="24"/>
          <w:rFonts w:hint="eastAsia" w:eastAsia="宋体" w:cs="Arial"/>
          <w:snapToGrid w:val="0"/>
        </w:rPr>
        <w:t>审查程序</w:t>
      </w:r>
      <w:r>
        <w:tab/>
      </w:r>
      <w:r>
        <w:fldChar w:fldCharType="begin"/>
      </w:r>
      <w:r>
        <w:instrText xml:space="preserve"> PAGEREF _Toc499801712 \h </w:instrText>
      </w:r>
      <w:r>
        <w:fldChar w:fldCharType="separate"/>
      </w:r>
      <w:r>
        <w:t>24</w:t>
      </w:r>
      <w:r>
        <w:fldChar w:fldCharType="end"/>
      </w:r>
      <w:r>
        <w:fldChar w:fldCharType="end"/>
      </w:r>
    </w:p>
    <w:p w14:paraId="4F96E3C6">
      <w:pPr>
        <w:pStyle w:val="13"/>
        <w:ind w:left="1034" w:right="480"/>
        <w:rPr>
          <w:rFonts w:asciiTheme="minorHAnsi" w:hAnsiTheme="minorHAnsi"/>
          <w:kern w:val="2"/>
          <w:sz w:val="21"/>
          <w:szCs w:val="22"/>
        </w:rPr>
      </w:pPr>
      <w:r>
        <w:fldChar w:fldCharType="begin"/>
      </w:r>
      <w:r>
        <w:instrText xml:space="preserve"> HYPERLINK \l "_Toc499801713" </w:instrText>
      </w:r>
      <w:r>
        <w:fldChar w:fldCharType="separate"/>
      </w:r>
      <w:r>
        <w:rPr>
          <w:rStyle w:val="24"/>
          <w:rFonts w:eastAsia="宋体" w:cs="Arial"/>
          <w:snapToGrid w:val="0"/>
        </w:rPr>
        <w:t>4.</w:t>
      </w:r>
      <w:r>
        <w:rPr>
          <w:rFonts w:asciiTheme="minorHAnsi" w:hAnsiTheme="minorHAnsi"/>
          <w:kern w:val="2"/>
          <w:sz w:val="21"/>
          <w:szCs w:val="22"/>
        </w:rPr>
        <w:tab/>
      </w:r>
      <w:r>
        <w:rPr>
          <w:rStyle w:val="24"/>
          <w:rFonts w:hint="eastAsia" w:eastAsia="宋体" w:cs="Arial"/>
          <w:snapToGrid w:val="0"/>
        </w:rPr>
        <w:t>修订同意书的标识</w:t>
      </w:r>
      <w:r>
        <w:tab/>
      </w:r>
      <w:r>
        <w:fldChar w:fldCharType="begin"/>
      </w:r>
      <w:r>
        <w:instrText xml:space="preserve"> PAGEREF _Toc499801713 \h </w:instrText>
      </w:r>
      <w:r>
        <w:fldChar w:fldCharType="separate"/>
      </w:r>
      <w:r>
        <w:t>24</w:t>
      </w:r>
      <w:r>
        <w:fldChar w:fldCharType="end"/>
      </w:r>
      <w:r>
        <w:fldChar w:fldCharType="end"/>
      </w:r>
    </w:p>
    <w:p w14:paraId="113F23DB">
      <w:pPr>
        <w:pStyle w:val="20"/>
        <w:rPr>
          <w:rFonts w:asciiTheme="minorHAnsi" w:hAnsiTheme="minorHAnsi" w:eastAsiaTheme="minorEastAsia" w:cstheme="minorBidi"/>
          <w:snapToGrid/>
          <w:kern w:val="2"/>
          <w:sz w:val="21"/>
          <w:szCs w:val="22"/>
        </w:rPr>
      </w:pPr>
      <w:r>
        <w:fldChar w:fldCharType="begin"/>
      </w:r>
      <w:r>
        <w:instrText xml:space="preserve"> HYPERLINK \l "_Toc499801714" </w:instrText>
      </w:r>
      <w:r>
        <w:fldChar w:fldCharType="separate"/>
      </w:r>
      <w:r>
        <w:rPr>
          <w:rStyle w:val="24"/>
        </w:rPr>
        <w:t>B.</w:t>
      </w:r>
      <w:r>
        <w:rPr>
          <w:rFonts w:asciiTheme="minorHAnsi" w:hAnsiTheme="minorHAnsi" w:eastAsiaTheme="minorEastAsia" w:cstheme="minorBidi"/>
          <w:snapToGrid/>
          <w:kern w:val="2"/>
          <w:sz w:val="21"/>
          <w:szCs w:val="22"/>
        </w:rPr>
        <w:tab/>
      </w:r>
      <w:r>
        <w:rPr>
          <w:rStyle w:val="24"/>
          <w:rFonts w:hint="eastAsia"/>
        </w:rPr>
        <w:t>临床研究者</w:t>
      </w:r>
      <w:r>
        <w:tab/>
      </w:r>
      <w:r>
        <w:fldChar w:fldCharType="begin"/>
      </w:r>
      <w:r>
        <w:instrText xml:space="preserve"> PAGEREF _Toc499801714 \h </w:instrText>
      </w:r>
      <w:r>
        <w:fldChar w:fldCharType="separate"/>
      </w:r>
      <w:r>
        <w:t>24</w:t>
      </w:r>
      <w:r>
        <w:fldChar w:fldCharType="end"/>
      </w:r>
      <w:r>
        <w:fldChar w:fldCharType="end"/>
      </w:r>
    </w:p>
    <w:p w14:paraId="397AA38C">
      <w:pPr>
        <w:pStyle w:val="13"/>
        <w:ind w:left="1034" w:right="480"/>
        <w:rPr>
          <w:rFonts w:asciiTheme="minorHAnsi" w:hAnsiTheme="minorHAnsi"/>
          <w:kern w:val="2"/>
          <w:sz w:val="21"/>
          <w:szCs w:val="22"/>
        </w:rPr>
      </w:pPr>
      <w:r>
        <w:fldChar w:fldCharType="begin"/>
      </w:r>
      <w:r>
        <w:instrText xml:space="preserve"> HYPERLINK \l "_Toc499801715"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同意访谈的授权</w:t>
      </w:r>
      <w:r>
        <w:tab/>
      </w:r>
      <w:r>
        <w:fldChar w:fldCharType="begin"/>
      </w:r>
      <w:r>
        <w:instrText xml:space="preserve"> PAGEREF _Toc499801715 \h </w:instrText>
      </w:r>
      <w:r>
        <w:fldChar w:fldCharType="separate"/>
      </w:r>
      <w:r>
        <w:t>25</w:t>
      </w:r>
      <w:r>
        <w:fldChar w:fldCharType="end"/>
      </w:r>
      <w:r>
        <w:fldChar w:fldCharType="end"/>
      </w:r>
    </w:p>
    <w:p w14:paraId="76DCBC35">
      <w:pPr>
        <w:pStyle w:val="13"/>
        <w:ind w:left="1034" w:right="480"/>
        <w:rPr>
          <w:rFonts w:asciiTheme="minorHAnsi" w:hAnsiTheme="minorHAnsi"/>
          <w:kern w:val="2"/>
          <w:sz w:val="21"/>
          <w:szCs w:val="22"/>
        </w:rPr>
      </w:pPr>
      <w:r>
        <w:fldChar w:fldCharType="begin"/>
      </w:r>
      <w:r>
        <w:instrText xml:space="preserve"> HYPERLINK \l "_Toc499801716" </w:instrText>
      </w:r>
      <w:r>
        <w:fldChar w:fldCharType="separate"/>
      </w:r>
      <w:r>
        <w:rPr>
          <w:rStyle w:val="24"/>
          <w:rFonts w:eastAsia="宋体" w:cs="Arial"/>
          <w:snapToGrid w:val="0"/>
        </w:rPr>
        <w:t>2.</w:t>
      </w:r>
      <w:r>
        <w:rPr>
          <w:rFonts w:asciiTheme="minorHAnsi" w:hAnsiTheme="minorHAnsi"/>
          <w:kern w:val="2"/>
          <w:sz w:val="21"/>
          <w:szCs w:val="22"/>
        </w:rPr>
        <w:tab/>
      </w:r>
      <w:r>
        <w:rPr>
          <w:rStyle w:val="24"/>
          <w:rFonts w:hint="eastAsia" w:eastAsia="宋体" w:cs="Arial"/>
          <w:snapToGrid w:val="0"/>
        </w:rPr>
        <w:t>财务关系和利益</w:t>
      </w:r>
      <w:r>
        <w:tab/>
      </w:r>
      <w:r>
        <w:fldChar w:fldCharType="begin"/>
      </w:r>
      <w:r>
        <w:instrText xml:space="preserve"> PAGEREF _Toc499801716 \h </w:instrText>
      </w:r>
      <w:r>
        <w:fldChar w:fldCharType="separate"/>
      </w:r>
      <w:r>
        <w:t>26</w:t>
      </w:r>
      <w:r>
        <w:fldChar w:fldCharType="end"/>
      </w:r>
      <w:r>
        <w:fldChar w:fldCharType="end"/>
      </w:r>
    </w:p>
    <w:p w14:paraId="03A4345D">
      <w:pPr>
        <w:pStyle w:val="20"/>
        <w:rPr>
          <w:rFonts w:asciiTheme="minorHAnsi" w:hAnsiTheme="minorHAnsi" w:eastAsiaTheme="minorEastAsia" w:cstheme="minorBidi"/>
          <w:snapToGrid/>
          <w:kern w:val="2"/>
          <w:sz w:val="21"/>
          <w:szCs w:val="22"/>
        </w:rPr>
      </w:pPr>
      <w:r>
        <w:fldChar w:fldCharType="begin"/>
      </w:r>
      <w:r>
        <w:instrText xml:space="preserve"> HYPERLINK \l "_Toc499801717" </w:instrText>
      </w:r>
      <w:r>
        <w:fldChar w:fldCharType="separate"/>
      </w:r>
      <w:r>
        <w:rPr>
          <w:rStyle w:val="24"/>
        </w:rPr>
        <w:t>C.</w:t>
      </w:r>
      <w:r>
        <w:rPr>
          <w:rFonts w:asciiTheme="minorHAnsi" w:hAnsiTheme="minorHAnsi" w:eastAsiaTheme="minorEastAsia" w:cstheme="minorBidi"/>
          <w:snapToGrid/>
          <w:kern w:val="2"/>
          <w:sz w:val="21"/>
          <w:szCs w:val="22"/>
        </w:rPr>
        <w:tab/>
      </w:r>
      <w:r>
        <w:rPr>
          <w:rStyle w:val="24"/>
          <w:rFonts w:hint="eastAsia"/>
        </w:rPr>
        <w:t>申办方</w:t>
      </w:r>
      <w:r>
        <w:tab/>
      </w:r>
      <w:r>
        <w:fldChar w:fldCharType="begin"/>
      </w:r>
      <w:r>
        <w:instrText xml:space="preserve"> PAGEREF _Toc499801717 \h </w:instrText>
      </w:r>
      <w:r>
        <w:fldChar w:fldCharType="separate"/>
      </w:r>
      <w:r>
        <w:t>26</w:t>
      </w:r>
      <w:r>
        <w:fldChar w:fldCharType="end"/>
      </w:r>
      <w:r>
        <w:fldChar w:fldCharType="end"/>
      </w:r>
    </w:p>
    <w:p w14:paraId="2EF77930">
      <w:pPr>
        <w:pStyle w:val="13"/>
        <w:ind w:left="1034" w:right="480"/>
        <w:rPr>
          <w:rFonts w:asciiTheme="minorHAnsi" w:hAnsiTheme="minorHAnsi"/>
          <w:kern w:val="2"/>
          <w:sz w:val="21"/>
          <w:szCs w:val="22"/>
        </w:rPr>
      </w:pPr>
      <w:r>
        <w:fldChar w:fldCharType="begin"/>
      </w:r>
      <w:r>
        <w:instrText xml:space="preserve"> HYPERLINK \l "_Toc499801718"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多中心临床研究的考虑</w:t>
      </w:r>
      <w:r>
        <w:tab/>
      </w:r>
      <w:r>
        <w:fldChar w:fldCharType="begin"/>
      </w:r>
      <w:r>
        <w:instrText xml:space="preserve"> PAGEREF _Toc499801718 \h </w:instrText>
      </w:r>
      <w:r>
        <w:fldChar w:fldCharType="separate"/>
      </w:r>
      <w:r>
        <w:t>27</w:t>
      </w:r>
      <w:r>
        <w:fldChar w:fldCharType="end"/>
      </w:r>
      <w:r>
        <w:fldChar w:fldCharType="end"/>
      </w:r>
    </w:p>
    <w:p w14:paraId="2B95A2D0">
      <w:pPr>
        <w:pStyle w:val="20"/>
        <w:rPr>
          <w:rFonts w:asciiTheme="minorHAnsi" w:hAnsiTheme="minorHAnsi" w:eastAsiaTheme="minorEastAsia" w:cstheme="minorBidi"/>
          <w:snapToGrid/>
          <w:kern w:val="2"/>
          <w:sz w:val="21"/>
          <w:szCs w:val="22"/>
        </w:rPr>
      </w:pPr>
      <w:r>
        <w:fldChar w:fldCharType="begin"/>
      </w:r>
      <w:r>
        <w:instrText xml:space="preserve"> HYPERLINK \l "_Toc499801719" </w:instrText>
      </w:r>
      <w:r>
        <w:fldChar w:fldCharType="separate"/>
      </w:r>
      <w:r>
        <w:rPr>
          <w:rStyle w:val="24"/>
        </w:rPr>
        <w:t>D.</w:t>
      </w:r>
      <w:r>
        <w:rPr>
          <w:rFonts w:asciiTheme="minorHAnsi" w:hAnsiTheme="minorHAnsi" w:eastAsiaTheme="minorEastAsia" w:cstheme="minorBidi"/>
          <w:snapToGrid/>
          <w:kern w:val="2"/>
          <w:sz w:val="21"/>
          <w:szCs w:val="22"/>
        </w:rPr>
        <w:tab/>
      </w:r>
      <w:r>
        <w:rPr>
          <w:rStyle w:val="24"/>
        </w:rPr>
        <w:t>FDA</w:t>
      </w:r>
      <w:r>
        <w:tab/>
      </w:r>
      <w:r>
        <w:fldChar w:fldCharType="begin"/>
      </w:r>
      <w:r>
        <w:instrText xml:space="preserve"> PAGEREF _Toc499801719 \h </w:instrText>
      </w:r>
      <w:r>
        <w:fldChar w:fldCharType="separate"/>
      </w:r>
      <w:r>
        <w:t>27</w:t>
      </w:r>
      <w:r>
        <w:fldChar w:fldCharType="end"/>
      </w:r>
      <w:r>
        <w:fldChar w:fldCharType="end"/>
      </w:r>
    </w:p>
    <w:p w14:paraId="3B358D7C">
      <w:pPr>
        <w:pStyle w:val="13"/>
        <w:ind w:left="1034" w:right="480"/>
        <w:rPr>
          <w:rFonts w:asciiTheme="minorHAnsi" w:hAnsiTheme="minorHAnsi"/>
          <w:kern w:val="2"/>
          <w:sz w:val="21"/>
          <w:szCs w:val="22"/>
        </w:rPr>
      </w:pPr>
      <w:r>
        <w:fldChar w:fldCharType="begin"/>
      </w:r>
      <w:r>
        <w:instrText xml:space="preserve"> HYPERLINK \l "_Toc499801720" </w:instrText>
      </w:r>
      <w:r>
        <w:fldChar w:fldCharType="separate"/>
      </w:r>
      <w:r>
        <w:rPr>
          <w:rStyle w:val="24"/>
          <w:rFonts w:eastAsia="宋体" w:cs="Arial"/>
          <w:snapToGrid w:val="0"/>
        </w:rPr>
        <w:t>1.</w:t>
      </w:r>
      <w:r>
        <w:rPr>
          <w:rFonts w:asciiTheme="minorHAnsi" w:hAnsiTheme="minorHAnsi"/>
          <w:kern w:val="2"/>
          <w:sz w:val="21"/>
          <w:szCs w:val="22"/>
        </w:rPr>
        <w:tab/>
      </w:r>
      <w:r>
        <w:rPr>
          <w:rStyle w:val="24"/>
          <w:rFonts w:hint="eastAsia" w:eastAsia="宋体" w:cs="Arial"/>
          <w:snapToGrid w:val="0"/>
        </w:rPr>
        <w:t>研究用新药和生物制剂</w:t>
      </w:r>
      <w:r>
        <w:tab/>
      </w:r>
      <w:r>
        <w:fldChar w:fldCharType="begin"/>
      </w:r>
      <w:r>
        <w:instrText xml:space="preserve"> PAGEREF _Toc499801720 \h </w:instrText>
      </w:r>
      <w:r>
        <w:fldChar w:fldCharType="separate"/>
      </w:r>
      <w:r>
        <w:t>27</w:t>
      </w:r>
      <w:r>
        <w:fldChar w:fldCharType="end"/>
      </w:r>
      <w:r>
        <w:fldChar w:fldCharType="end"/>
      </w:r>
    </w:p>
    <w:p w14:paraId="00005CC8">
      <w:pPr>
        <w:pStyle w:val="13"/>
        <w:ind w:left="1034" w:right="480"/>
        <w:rPr>
          <w:rFonts w:asciiTheme="minorHAnsi" w:hAnsiTheme="minorHAnsi"/>
          <w:kern w:val="2"/>
          <w:sz w:val="21"/>
          <w:szCs w:val="22"/>
        </w:rPr>
      </w:pPr>
      <w:r>
        <w:fldChar w:fldCharType="begin"/>
      </w:r>
      <w:r>
        <w:instrText xml:space="preserve"> HYPERLINK \l "_Toc499801721" </w:instrText>
      </w:r>
      <w:r>
        <w:fldChar w:fldCharType="separate"/>
      </w:r>
      <w:r>
        <w:rPr>
          <w:rStyle w:val="24"/>
          <w:rFonts w:eastAsia="宋体" w:cs="Arial"/>
          <w:snapToGrid w:val="0"/>
        </w:rPr>
        <w:t>2.</w:t>
      </w:r>
      <w:r>
        <w:rPr>
          <w:rFonts w:asciiTheme="minorHAnsi" w:hAnsiTheme="minorHAnsi"/>
          <w:kern w:val="2"/>
          <w:sz w:val="21"/>
          <w:szCs w:val="22"/>
        </w:rPr>
        <w:tab/>
      </w:r>
      <w:r>
        <w:rPr>
          <w:rStyle w:val="24"/>
          <w:rFonts w:hint="eastAsia" w:eastAsia="宋体" w:cs="Arial"/>
          <w:snapToGrid w:val="0"/>
        </w:rPr>
        <w:t>研究用医疗器械</w:t>
      </w:r>
      <w:r>
        <w:tab/>
      </w:r>
      <w:r>
        <w:fldChar w:fldCharType="begin"/>
      </w:r>
      <w:r>
        <w:instrText xml:space="preserve"> PAGEREF _Toc499801721 \h </w:instrText>
      </w:r>
      <w:r>
        <w:fldChar w:fldCharType="separate"/>
      </w:r>
      <w:r>
        <w:t>28</w:t>
      </w:r>
      <w:r>
        <w:fldChar w:fldCharType="end"/>
      </w:r>
      <w:r>
        <w:fldChar w:fldCharType="end"/>
      </w:r>
    </w:p>
    <w:p w14:paraId="64651BFA">
      <w:pPr>
        <w:pStyle w:val="3"/>
        <w:ind w:right="480"/>
        <w:rPr>
          <w:rFonts w:asciiTheme="minorHAnsi" w:hAnsiTheme="minorHAnsi"/>
          <w:kern w:val="2"/>
          <w:sz w:val="21"/>
          <w:szCs w:val="22"/>
        </w:rPr>
      </w:pPr>
      <w:r>
        <w:fldChar w:fldCharType="begin"/>
      </w:r>
      <w:r>
        <w:instrText xml:space="preserve"> HYPERLINK \l "_Toc499801722" </w:instrText>
      </w:r>
      <w:r>
        <w:fldChar w:fldCharType="separate"/>
      </w:r>
      <w:r>
        <w:rPr>
          <w:rStyle w:val="24"/>
          <w:rFonts w:eastAsia="宋体" w:cs="Arial"/>
          <w:snapToGrid w:val="0"/>
        </w:rPr>
        <w:t>V.</w:t>
      </w:r>
      <w:r>
        <w:rPr>
          <w:rFonts w:asciiTheme="minorHAnsi" w:hAnsiTheme="minorHAnsi"/>
          <w:kern w:val="2"/>
          <w:sz w:val="21"/>
          <w:szCs w:val="22"/>
        </w:rPr>
        <w:tab/>
      </w:r>
      <w:r>
        <w:rPr>
          <w:rStyle w:val="24"/>
          <w:rFonts w:hint="eastAsia" w:eastAsia="宋体" w:cs="Arial"/>
          <w:snapToGrid w:val="0"/>
        </w:rPr>
        <w:t>其他考虑</w:t>
      </w:r>
      <w:r>
        <w:tab/>
      </w:r>
      <w:r>
        <w:fldChar w:fldCharType="begin"/>
      </w:r>
      <w:r>
        <w:instrText xml:space="preserve"> PAGEREF _Toc499801722 \h </w:instrText>
      </w:r>
      <w:r>
        <w:fldChar w:fldCharType="separate"/>
      </w:r>
      <w:r>
        <w:t>29</w:t>
      </w:r>
      <w:r>
        <w:fldChar w:fldCharType="end"/>
      </w:r>
      <w:r>
        <w:fldChar w:fldCharType="end"/>
      </w:r>
    </w:p>
    <w:p w14:paraId="60A05D8A">
      <w:pPr>
        <w:pStyle w:val="20"/>
        <w:rPr>
          <w:rFonts w:asciiTheme="minorHAnsi" w:hAnsiTheme="minorHAnsi" w:eastAsiaTheme="minorEastAsia" w:cstheme="minorBidi"/>
          <w:snapToGrid/>
          <w:kern w:val="2"/>
          <w:sz w:val="21"/>
          <w:szCs w:val="22"/>
        </w:rPr>
      </w:pPr>
      <w:r>
        <w:fldChar w:fldCharType="begin"/>
      </w:r>
      <w:r>
        <w:instrText xml:space="preserve"> HYPERLINK \l "_Toc499801723" </w:instrText>
      </w:r>
      <w:r>
        <w:fldChar w:fldCharType="separate"/>
      </w:r>
      <w:r>
        <w:rPr>
          <w:rStyle w:val="24"/>
        </w:rPr>
        <w:t>A.</w:t>
      </w:r>
      <w:r>
        <w:rPr>
          <w:rFonts w:asciiTheme="minorHAnsi" w:hAnsiTheme="minorHAnsi" w:eastAsiaTheme="minorEastAsia" w:cstheme="minorBidi"/>
          <w:snapToGrid/>
          <w:kern w:val="2"/>
          <w:sz w:val="21"/>
          <w:szCs w:val="22"/>
        </w:rPr>
        <w:tab/>
      </w:r>
      <w:r>
        <w:rPr>
          <w:rStyle w:val="24"/>
          <w:rFonts w:hint="eastAsia"/>
        </w:rPr>
        <w:t>患者记录的审查</w:t>
      </w:r>
      <w:r>
        <w:tab/>
      </w:r>
      <w:r>
        <w:fldChar w:fldCharType="begin"/>
      </w:r>
      <w:r>
        <w:instrText xml:space="preserve"> PAGEREF _Toc499801723 \h </w:instrText>
      </w:r>
      <w:r>
        <w:fldChar w:fldCharType="separate"/>
      </w:r>
      <w:r>
        <w:t>29</w:t>
      </w:r>
      <w:r>
        <w:fldChar w:fldCharType="end"/>
      </w:r>
      <w:r>
        <w:fldChar w:fldCharType="end"/>
      </w:r>
    </w:p>
    <w:p w14:paraId="6BA06E73">
      <w:pPr>
        <w:pStyle w:val="20"/>
        <w:rPr>
          <w:rFonts w:asciiTheme="minorHAnsi" w:hAnsiTheme="minorHAnsi" w:eastAsiaTheme="minorEastAsia" w:cstheme="minorBidi"/>
          <w:snapToGrid/>
          <w:kern w:val="2"/>
          <w:sz w:val="21"/>
          <w:szCs w:val="22"/>
        </w:rPr>
      </w:pPr>
      <w:r>
        <w:fldChar w:fldCharType="begin"/>
      </w:r>
      <w:r>
        <w:instrText xml:space="preserve"> HYPERLINK \l "_Toc499801724" </w:instrText>
      </w:r>
      <w:r>
        <w:fldChar w:fldCharType="separate"/>
      </w:r>
      <w:r>
        <w:rPr>
          <w:rStyle w:val="24"/>
        </w:rPr>
        <w:t>B.</w:t>
      </w:r>
      <w:r>
        <w:rPr>
          <w:rFonts w:asciiTheme="minorHAnsi" w:hAnsiTheme="minorHAnsi" w:eastAsiaTheme="minorEastAsia" w:cstheme="minorBidi"/>
          <w:snapToGrid/>
          <w:kern w:val="2"/>
          <w:sz w:val="21"/>
          <w:szCs w:val="22"/>
        </w:rPr>
        <w:tab/>
      </w:r>
      <w:r>
        <w:rPr>
          <w:rStyle w:val="24"/>
          <w:rFonts w:hint="eastAsia"/>
        </w:rPr>
        <w:t>非说英语的受试者</w:t>
      </w:r>
      <w:r>
        <w:tab/>
      </w:r>
      <w:r>
        <w:fldChar w:fldCharType="begin"/>
      </w:r>
      <w:r>
        <w:instrText xml:space="preserve"> PAGEREF _Toc499801724 \h </w:instrText>
      </w:r>
      <w:r>
        <w:fldChar w:fldCharType="separate"/>
      </w:r>
      <w:r>
        <w:t>30</w:t>
      </w:r>
      <w:r>
        <w:fldChar w:fldCharType="end"/>
      </w:r>
      <w:r>
        <w:fldChar w:fldCharType="end"/>
      </w:r>
    </w:p>
    <w:p w14:paraId="7B8E3767">
      <w:pPr>
        <w:pStyle w:val="20"/>
        <w:rPr>
          <w:rFonts w:asciiTheme="minorHAnsi" w:hAnsiTheme="minorHAnsi" w:eastAsiaTheme="minorEastAsia" w:cstheme="minorBidi"/>
          <w:snapToGrid/>
          <w:kern w:val="2"/>
          <w:sz w:val="21"/>
          <w:szCs w:val="22"/>
        </w:rPr>
      </w:pPr>
      <w:r>
        <w:fldChar w:fldCharType="begin"/>
      </w:r>
      <w:r>
        <w:instrText xml:space="preserve"> HYPERLINK \l "_Toc499801725" </w:instrText>
      </w:r>
      <w:r>
        <w:fldChar w:fldCharType="separate"/>
      </w:r>
      <w:r>
        <w:rPr>
          <w:rStyle w:val="24"/>
        </w:rPr>
        <w:t>C.</w:t>
      </w:r>
      <w:r>
        <w:rPr>
          <w:rFonts w:asciiTheme="minorHAnsi" w:hAnsiTheme="minorHAnsi" w:eastAsiaTheme="minorEastAsia" w:cstheme="minorBidi"/>
          <w:snapToGrid/>
          <w:kern w:val="2"/>
          <w:sz w:val="21"/>
          <w:szCs w:val="22"/>
        </w:rPr>
        <w:tab/>
      </w:r>
      <w:r>
        <w:rPr>
          <w:rStyle w:val="24"/>
          <w:rFonts w:hint="eastAsia"/>
        </w:rPr>
        <w:t>读写能力和算数能力较差的受试者</w:t>
      </w:r>
      <w:r>
        <w:tab/>
      </w:r>
      <w:r>
        <w:fldChar w:fldCharType="begin"/>
      </w:r>
      <w:r>
        <w:instrText xml:space="preserve"> PAGEREF _Toc499801725 \h </w:instrText>
      </w:r>
      <w:r>
        <w:fldChar w:fldCharType="separate"/>
      </w:r>
      <w:r>
        <w:t>34</w:t>
      </w:r>
      <w:r>
        <w:fldChar w:fldCharType="end"/>
      </w:r>
      <w:r>
        <w:fldChar w:fldCharType="end"/>
      </w:r>
    </w:p>
    <w:p w14:paraId="1C569978">
      <w:pPr>
        <w:pStyle w:val="20"/>
        <w:rPr>
          <w:rFonts w:asciiTheme="minorHAnsi" w:hAnsiTheme="minorHAnsi" w:eastAsiaTheme="minorEastAsia" w:cstheme="minorBidi"/>
          <w:snapToGrid/>
          <w:kern w:val="2"/>
          <w:sz w:val="21"/>
          <w:szCs w:val="22"/>
        </w:rPr>
      </w:pPr>
      <w:r>
        <w:fldChar w:fldCharType="begin"/>
      </w:r>
      <w:r>
        <w:instrText xml:space="preserve"> HYPERLINK \l "_Toc499801726" </w:instrText>
      </w:r>
      <w:r>
        <w:fldChar w:fldCharType="separate"/>
      </w:r>
      <w:r>
        <w:rPr>
          <w:rStyle w:val="24"/>
        </w:rPr>
        <w:t>D.</w:t>
      </w:r>
      <w:r>
        <w:rPr>
          <w:rFonts w:asciiTheme="minorHAnsi" w:hAnsiTheme="minorHAnsi" w:eastAsiaTheme="minorEastAsia" w:cstheme="minorBidi"/>
          <w:snapToGrid/>
          <w:kern w:val="2"/>
          <w:sz w:val="21"/>
          <w:szCs w:val="22"/>
        </w:rPr>
        <w:tab/>
      </w:r>
      <w:r>
        <w:rPr>
          <w:rStyle w:val="24"/>
          <w:rFonts w:hint="eastAsia"/>
        </w:rPr>
        <w:t>身体残障的受试者</w:t>
      </w:r>
      <w:r>
        <w:tab/>
      </w:r>
      <w:r>
        <w:fldChar w:fldCharType="begin"/>
      </w:r>
      <w:r>
        <w:instrText xml:space="preserve"> PAGEREF _Toc499801726 \h </w:instrText>
      </w:r>
      <w:r>
        <w:fldChar w:fldCharType="separate"/>
      </w:r>
      <w:r>
        <w:t>34</w:t>
      </w:r>
      <w:r>
        <w:fldChar w:fldCharType="end"/>
      </w:r>
      <w:r>
        <w:fldChar w:fldCharType="end"/>
      </w:r>
    </w:p>
    <w:p w14:paraId="055DDA5C">
      <w:pPr>
        <w:pStyle w:val="20"/>
        <w:rPr>
          <w:rFonts w:asciiTheme="minorHAnsi" w:hAnsiTheme="minorHAnsi" w:eastAsiaTheme="minorEastAsia" w:cstheme="minorBidi"/>
          <w:snapToGrid/>
          <w:kern w:val="2"/>
          <w:sz w:val="21"/>
          <w:szCs w:val="22"/>
        </w:rPr>
      </w:pPr>
      <w:r>
        <w:fldChar w:fldCharType="begin"/>
      </w:r>
      <w:r>
        <w:instrText xml:space="preserve"> HYPERLINK \l "_Toc499801727" </w:instrText>
      </w:r>
      <w:r>
        <w:fldChar w:fldCharType="separate"/>
      </w:r>
      <w:r>
        <w:rPr>
          <w:rStyle w:val="24"/>
        </w:rPr>
        <w:t>E.</w:t>
      </w:r>
      <w:r>
        <w:rPr>
          <w:rFonts w:asciiTheme="minorHAnsi" w:hAnsiTheme="minorHAnsi" w:eastAsiaTheme="minorEastAsia" w:cstheme="minorBidi"/>
          <w:snapToGrid/>
          <w:kern w:val="2"/>
          <w:sz w:val="21"/>
          <w:szCs w:val="22"/>
        </w:rPr>
        <w:tab/>
      </w:r>
      <w:r>
        <w:rPr>
          <w:rStyle w:val="24"/>
          <w:rFonts w:hint="eastAsia"/>
        </w:rPr>
        <w:t>同意能力受损</w:t>
      </w:r>
      <w:r>
        <w:tab/>
      </w:r>
      <w:r>
        <w:fldChar w:fldCharType="begin"/>
      </w:r>
      <w:r>
        <w:instrText xml:space="preserve"> PAGEREF _Toc499801727 \h </w:instrText>
      </w:r>
      <w:r>
        <w:fldChar w:fldCharType="separate"/>
      </w:r>
      <w:r>
        <w:t>35</w:t>
      </w:r>
      <w:r>
        <w:fldChar w:fldCharType="end"/>
      </w:r>
      <w:r>
        <w:fldChar w:fldCharType="end"/>
      </w:r>
    </w:p>
    <w:p w14:paraId="15B5108B">
      <w:pPr>
        <w:pStyle w:val="20"/>
        <w:rPr>
          <w:rFonts w:asciiTheme="minorHAnsi" w:hAnsiTheme="minorHAnsi" w:eastAsiaTheme="minorEastAsia" w:cstheme="minorBidi"/>
          <w:snapToGrid/>
          <w:kern w:val="2"/>
          <w:sz w:val="21"/>
          <w:szCs w:val="22"/>
        </w:rPr>
      </w:pPr>
      <w:r>
        <w:fldChar w:fldCharType="begin"/>
      </w:r>
      <w:r>
        <w:instrText xml:space="preserve"> HYPERLINK \l "_Toc499801728" </w:instrText>
      </w:r>
      <w:r>
        <w:fldChar w:fldCharType="separate"/>
      </w:r>
      <w:r>
        <w:rPr>
          <w:rStyle w:val="24"/>
        </w:rPr>
        <w:t>F.</w:t>
      </w:r>
      <w:r>
        <w:rPr>
          <w:rFonts w:asciiTheme="minorHAnsi" w:hAnsiTheme="minorHAnsi" w:eastAsiaTheme="minorEastAsia" w:cstheme="minorBidi"/>
          <w:snapToGrid/>
          <w:kern w:val="2"/>
          <w:sz w:val="21"/>
          <w:szCs w:val="22"/>
        </w:rPr>
        <w:tab/>
      </w:r>
      <w:r>
        <w:rPr>
          <w:rStyle w:val="24"/>
          <w:rFonts w:hint="eastAsia"/>
        </w:rPr>
        <w:t>儿童受试者</w:t>
      </w:r>
      <w:r>
        <w:tab/>
      </w:r>
      <w:r>
        <w:fldChar w:fldCharType="begin"/>
      </w:r>
      <w:r>
        <w:instrText xml:space="preserve"> PAGEREF _Toc499801728 \h </w:instrText>
      </w:r>
      <w:r>
        <w:fldChar w:fldCharType="separate"/>
      </w:r>
      <w:r>
        <w:t>36</w:t>
      </w:r>
      <w:r>
        <w:fldChar w:fldCharType="end"/>
      </w:r>
      <w:r>
        <w:fldChar w:fldCharType="end"/>
      </w:r>
    </w:p>
    <w:p w14:paraId="439D6B28">
      <w:pPr>
        <w:pStyle w:val="20"/>
        <w:rPr>
          <w:rFonts w:asciiTheme="minorHAnsi" w:hAnsiTheme="minorHAnsi" w:eastAsiaTheme="minorEastAsia" w:cstheme="minorBidi"/>
          <w:snapToGrid/>
          <w:kern w:val="2"/>
          <w:sz w:val="21"/>
          <w:szCs w:val="22"/>
        </w:rPr>
      </w:pPr>
      <w:r>
        <w:fldChar w:fldCharType="begin"/>
      </w:r>
      <w:r>
        <w:instrText xml:space="preserve"> HYPERLINK \l "_Toc499801729" </w:instrText>
      </w:r>
      <w:r>
        <w:fldChar w:fldCharType="separate"/>
      </w:r>
      <w:r>
        <w:rPr>
          <w:rStyle w:val="24"/>
        </w:rPr>
        <w:t>G.</w:t>
      </w:r>
      <w:r>
        <w:rPr>
          <w:rFonts w:asciiTheme="minorHAnsi" w:hAnsiTheme="minorHAnsi" w:eastAsiaTheme="minorEastAsia" w:cstheme="minorBidi"/>
          <w:snapToGrid/>
          <w:kern w:val="2"/>
          <w:sz w:val="21"/>
          <w:szCs w:val="22"/>
        </w:rPr>
        <w:tab/>
      </w:r>
      <w:r>
        <w:rPr>
          <w:rStyle w:val="24"/>
          <w:rFonts w:hint="eastAsia"/>
        </w:rPr>
        <w:t>受试者参加多项临床研究</w:t>
      </w:r>
      <w:r>
        <w:tab/>
      </w:r>
      <w:r>
        <w:fldChar w:fldCharType="begin"/>
      </w:r>
      <w:r>
        <w:instrText xml:space="preserve"> PAGEREF _Toc499801729 \h </w:instrText>
      </w:r>
      <w:r>
        <w:fldChar w:fldCharType="separate"/>
      </w:r>
      <w:r>
        <w:t>39</w:t>
      </w:r>
      <w:r>
        <w:fldChar w:fldCharType="end"/>
      </w:r>
      <w:r>
        <w:fldChar w:fldCharType="end"/>
      </w:r>
    </w:p>
    <w:p w14:paraId="2116891D">
      <w:pPr>
        <w:pStyle w:val="20"/>
        <w:rPr>
          <w:rFonts w:asciiTheme="minorHAnsi" w:hAnsiTheme="minorHAnsi" w:eastAsiaTheme="minorEastAsia" w:cstheme="minorBidi"/>
          <w:snapToGrid/>
          <w:kern w:val="2"/>
          <w:sz w:val="21"/>
          <w:szCs w:val="22"/>
        </w:rPr>
      </w:pPr>
      <w:r>
        <w:fldChar w:fldCharType="begin"/>
      </w:r>
      <w:r>
        <w:instrText xml:space="preserve"> HYPERLINK \l "_Toc499801730" </w:instrText>
      </w:r>
      <w:r>
        <w:fldChar w:fldCharType="separate"/>
      </w:r>
      <w:r>
        <w:rPr>
          <w:rStyle w:val="24"/>
        </w:rPr>
        <w:t>H.</w:t>
      </w:r>
      <w:r>
        <w:rPr>
          <w:rFonts w:asciiTheme="minorHAnsi" w:hAnsiTheme="minorHAnsi" w:eastAsiaTheme="minorEastAsia" w:cstheme="minorBidi"/>
          <w:snapToGrid/>
          <w:kern w:val="2"/>
          <w:sz w:val="21"/>
          <w:szCs w:val="22"/>
        </w:rPr>
        <w:tab/>
      </w:r>
      <w:r>
        <w:rPr>
          <w:rStyle w:val="24"/>
          <w:rFonts w:hint="eastAsia"/>
        </w:rPr>
        <w:t>研究的暂停／终止</w:t>
      </w:r>
      <w:r>
        <w:tab/>
      </w:r>
      <w:r>
        <w:fldChar w:fldCharType="begin"/>
      </w:r>
      <w:r>
        <w:instrText xml:space="preserve"> PAGEREF _Toc499801730 \h </w:instrText>
      </w:r>
      <w:r>
        <w:fldChar w:fldCharType="separate"/>
      </w:r>
      <w:r>
        <w:t>40</w:t>
      </w:r>
      <w:r>
        <w:fldChar w:fldCharType="end"/>
      </w:r>
      <w:r>
        <w:fldChar w:fldCharType="end"/>
      </w:r>
    </w:p>
    <w:p w14:paraId="5A4C932A">
      <w:pPr>
        <w:pStyle w:val="20"/>
        <w:rPr>
          <w:rFonts w:asciiTheme="minorHAnsi" w:hAnsiTheme="minorHAnsi" w:eastAsiaTheme="minorEastAsia" w:cstheme="minorBidi"/>
          <w:snapToGrid/>
          <w:kern w:val="2"/>
          <w:sz w:val="21"/>
          <w:szCs w:val="22"/>
        </w:rPr>
      </w:pPr>
      <w:r>
        <w:fldChar w:fldCharType="begin"/>
      </w:r>
      <w:r>
        <w:instrText xml:space="preserve"> HYPERLINK \l "_Toc499801731" </w:instrText>
      </w:r>
      <w:r>
        <w:fldChar w:fldCharType="separate"/>
      </w:r>
      <w:r>
        <w:rPr>
          <w:rStyle w:val="24"/>
        </w:rPr>
        <w:t>I.</w:t>
      </w:r>
      <w:r>
        <w:rPr>
          <w:rFonts w:asciiTheme="minorHAnsi" w:hAnsiTheme="minorHAnsi" w:eastAsiaTheme="minorEastAsia" w:cstheme="minorBidi"/>
          <w:snapToGrid/>
          <w:kern w:val="2"/>
          <w:sz w:val="21"/>
          <w:szCs w:val="22"/>
        </w:rPr>
        <w:tab/>
      </w:r>
      <w:r>
        <w:rPr>
          <w:rStyle w:val="24"/>
          <w:rFonts w:hint="eastAsia"/>
        </w:rPr>
        <w:t>受试者退出时的数据保留</w:t>
      </w:r>
      <w:r>
        <w:tab/>
      </w:r>
      <w:r>
        <w:fldChar w:fldCharType="begin"/>
      </w:r>
      <w:r>
        <w:instrText xml:space="preserve"> PAGEREF _Toc499801731 \h </w:instrText>
      </w:r>
      <w:r>
        <w:fldChar w:fldCharType="separate"/>
      </w:r>
      <w:r>
        <w:t>41</w:t>
      </w:r>
      <w:r>
        <w:fldChar w:fldCharType="end"/>
      </w:r>
      <w:r>
        <w:fldChar w:fldCharType="end"/>
      </w:r>
    </w:p>
    <w:p w14:paraId="779828A5">
      <w:pPr>
        <w:pStyle w:val="20"/>
        <w:rPr>
          <w:rFonts w:asciiTheme="minorHAnsi" w:hAnsiTheme="minorHAnsi" w:eastAsiaTheme="minorEastAsia" w:cstheme="minorBidi"/>
          <w:snapToGrid/>
          <w:kern w:val="2"/>
          <w:sz w:val="21"/>
          <w:szCs w:val="22"/>
        </w:rPr>
      </w:pPr>
      <w:r>
        <w:fldChar w:fldCharType="begin"/>
      </w:r>
      <w:r>
        <w:instrText xml:space="preserve"> HYPERLINK \l "_Toc499801732" </w:instrText>
      </w:r>
      <w:r>
        <w:fldChar w:fldCharType="separate"/>
      </w:r>
      <w:r>
        <w:rPr>
          <w:rStyle w:val="24"/>
        </w:rPr>
        <w:t>K.</w:t>
      </w:r>
      <w:r>
        <w:rPr>
          <w:rFonts w:asciiTheme="minorHAnsi" w:hAnsiTheme="minorHAnsi" w:eastAsiaTheme="minorEastAsia" w:cstheme="minorBidi"/>
          <w:snapToGrid/>
          <w:kern w:val="2"/>
          <w:sz w:val="21"/>
          <w:szCs w:val="22"/>
        </w:rPr>
        <w:tab/>
      </w:r>
      <w:r>
        <w:rPr>
          <w:rStyle w:val="24"/>
          <w:rFonts w:hint="eastAsia"/>
        </w:rPr>
        <w:t>报告临床研究的综合结果</w:t>
      </w:r>
      <w:r>
        <w:tab/>
      </w:r>
      <w:r>
        <w:fldChar w:fldCharType="begin"/>
      </w:r>
      <w:r>
        <w:instrText xml:space="preserve"> PAGEREF _Toc499801732 \h </w:instrText>
      </w:r>
      <w:r>
        <w:fldChar w:fldCharType="separate"/>
      </w:r>
      <w:r>
        <w:t>41</w:t>
      </w:r>
      <w:r>
        <w:fldChar w:fldCharType="end"/>
      </w:r>
      <w:r>
        <w:fldChar w:fldCharType="end"/>
      </w:r>
    </w:p>
    <w:p w14:paraId="58C0A578">
      <w:pPr>
        <w:widowControl w:val="0"/>
        <w:topLinePunct/>
        <w:spacing w:after="244" w:afterLines="75" w:line="288" w:lineRule="auto"/>
        <w:jc w:val="both"/>
        <w:rPr>
          <w:rFonts w:ascii="Arial" w:hAnsi="Arial" w:eastAsia="宋体" w:cs="Arial"/>
          <w:b/>
          <w:snapToGrid w:val="0"/>
          <w:szCs w:val="28"/>
        </w:rPr>
      </w:pPr>
      <w:r>
        <w:rPr>
          <w:rFonts w:ascii="Arial" w:hAnsi="Arial" w:eastAsia="宋体" w:cs="Arial"/>
          <w:b/>
          <w:snapToGrid w:val="0"/>
          <w:szCs w:val="28"/>
        </w:rPr>
        <w:fldChar w:fldCharType="end"/>
      </w:r>
    </w:p>
    <w:p w14:paraId="595DD328">
      <w:pPr>
        <w:widowControl w:val="0"/>
        <w:topLinePunct/>
        <w:spacing w:after="244" w:afterLines="75" w:line="288" w:lineRule="auto"/>
        <w:jc w:val="both"/>
        <w:rPr>
          <w:rFonts w:ascii="Arial" w:hAnsi="Arial" w:eastAsia="宋体" w:cs="Arial"/>
          <w:b/>
          <w:snapToGrid w:val="0"/>
          <w:szCs w:val="28"/>
        </w:rPr>
      </w:pPr>
    </w:p>
    <w:p w14:paraId="5DAD4189">
      <w:pPr>
        <w:widowControl w:val="0"/>
        <w:topLinePunct/>
        <w:spacing w:after="244" w:afterLines="75" w:line="288" w:lineRule="auto"/>
        <w:jc w:val="both"/>
        <w:rPr>
          <w:rFonts w:ascii="Arial" w:hAnsi="Arial" w:eastAsia="宋体" w:cs="Arial"/>
          <w:b/>
          <w:snapToGrid w:val="0"/>
          <w:szCs w:val="28"/>
        </w:rPr>
        <w:sectPr>
          <w:headerReference r:id="rId6" w:type="default"/>
          <w:footerReference r:id="rId7" w:type="default"/>
          <w:pgSz w:w="11906" w:h="16838"/>
          <w:pgMar w:top="1134" w:right="1440" w:bottom="1134" w:left="1440" w:header="720" w:footer="720" w:gutter="0"/>
          <w:pgNumType w:start="1"/>
          <w:cols w:space="425" w:num="1"/>
          <w:docGrid w:type="lines" w:linePitch="326" w:charSpace="0"/>
        </w:sectPr>
      </w:pPr>
    </w:p>
    <w:p w14:paraId="6C598826">
      <w:pPr>
        <w:widowControl w:val="0"/>
        <w:topLinePunct/>
        <w:spacing w:line="288" w:lineRule="auto"/>
        <w:jc w:val="center"/>
        <w:rPr>
          <w:rFonts w:ascii="Arial" w:hAnsi="Arial" w:eastAsia="宋体" w:cs="Arial"/>
          <w:b/>
          <w:snapToGrid w:val="0"/>
          <w:sz w:val="36"/>
          <w:szCs w:val="32"/>
        </w:rPr>
      </w:pPr>
      <w:r>
        <w:rPr>
          <w:rFonts w:ascii="Arial" w:hAnsi="Arial" w:eastAsia="宋体" w:cs="Arial"/>
          <w:b/>
          <w:snapToGrid w:val="0"/>
          <w:sz w:val="36"/>
          <w:szCs w:val="32"/>
        </w:rPr>
        <w:t>知情同意信息表</w:t>
      </w:r>
    </w:p>
    <w:p w14:paraId="1D78E8F6">
      <w:pPr>
        <w:widowControl w:val="0"/>
        <w:topLinePunct/>
        <w:spacing w:after="244" w:afterLines="75" w:line="288" w:lineRule="auto"/>
        <w:jc w:val="center"/>
        <w:rPr>
          <w:rFonts w:ascii="Arial" w:hAnsi="Arial" w:eastAsia="宋体" w:cs="Arial"/>
          <w:b/>
          <w:snapToGrid w:val="0"/>
          <w:sz w:val="36"/>
          <w:szCs w:val="32"/>
        </w:rPr>
      </w:pPr>
      <w:r>
        <w:rPr>
          <w:rFonts w:ascii="Arial" w:hAnsi="Arial" w:eastAsia="宋体" w:cs="Arial"/>
          <w:b/>
          <w:snapToGrid w:val="0"/>
          <w:sz w:val="36"/>
          <w:szCs w:val="32"/>
        </w:rPr>
        <w:t>IRB，临床研究者和申办方指南</w:t>
      </w:r>
      <w:r>
        <w:rPr>
          <w:rStyle w:val="25"/>
          <w:rFonts w:ascii="Arial" w:hAnsi="Arial" w:eastAsia="宋体" w:cs="Arial"/>
          <w:b/>
          <w:snapToGrid w:val="0"/>
          <w:sz w:val="36"/>
          <w:szCs w:val="32"/>
        </w:rPr>
        <w:footnoteReference w:id="0"/>
      </w:r>
    </w:p>
    <w:p w14:paraId="70AD2A15">
      <w:pPr>
        <w:widowControl w:val="0"/>
        <w:topLinePunct/>
        <w:spacing w:after="244" w:afterLines="75" w:line="288" w:lineRule="auto"/>
        <w:jc w:val="both"/>
        <w:rPr>
          <w:rFonts w:ascii="Arial" w:hAnsi="Arial" w:eastAsia="宋体" w:cs="Arial"/>
          <w:b/>
          <w:snapToGrid w:val="0"/>
          <w:szCs w:val="28"/>
        </w:rPr>
      </w:pPr>
    </w:p>
    <w:tbl>
      <w:tblPr>
        <w:tblStyle w:val="22"/>
        <w:tblW w:w="0" w:type="auto"/>
        <w:tblInd w:w="0" w:type="dxa"/>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23F89F78">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rPr>
          <w:trHeight w:val="1769" w:hRule="atLeast"/>
        </w:trPr>
        <w:tc>
          <w:tcPr>
            <w:tcW w:w="9331" w:type="dxa"/>
          </w:tcPr>
          <w:p w14:paraId="6BE560A8">
            <w:pPr>
              <w:pStyle w:val="47"/>
              <w:shd w:val="clear" w:color="auto" w:fill="auto"/>
              <w:topLinePunct/>
              <w:adjustRightInd w:val="0"/>
              <w:snapToGrid w:val="0"/>
              <w:spacing w:before="163" w:beforeLines="50" w:after="163" w:afterLines="50" w:line="276" w:lineRule="auto"/>
              <w:jc w:val="both"/>
              <w:rPr>
                <w:rFonts w:ascii="Arial" w:hAnsi="Arial" w:eastAsia="宋体" w:cs="Arial"/>
                <w:b w:val="0"/>
                <w:snapToGrid w:val="0"/>
                <w:kern w:val="0"/>
                <w:sz w:val="24"/>
                <w:szCs w:val="24"/>
              </w:rPr>
            </w:pPr>
            <w:r>
              <w:rPr>
                <w:rFonts w:ascii="Arial" w:hAnsi="Arial" w:eastAsia="宋体" w:cs="Arial"/>
                <w:b w:val="0"/>
                <w:snapToGrid w:val="0"/>
                <w:kern w:val="0"/>
                <w:sz w:val="24"/>
                <w:szCs w:val="24"/>
              </w:rPr>
              <w:t>本指南草案代表食品药品监督管理局（FDA或本机构）目前</w:t>
            </w:r>
            <w:r>
              <w:rPr>
                <w:rFonts w:hint="eastAsia" w:ascii="Arial" w:hAnsi="Arial" w:eastAsia="宋体" w:cs="Arial"/>
                <w:b w:val="0"/>
                <w:snapToGrid w:val="0"/>
                <w:kern w:val="0"/>
                <w:sz w:val="24"/>
                <w:szCs w:val="24"/>
              </w:rPr>
              <w:t>关于</w:t>
            </w:r>
            <w:r>
              <w:rPr>
                <w:rFonts w:ascii="Arial" w:hAnsi="Arial" w:eastAsia="宋体" w:cs="Arial"/>
                <w:b w:val="0"/>
                <w:snapToGrid w:val="0"/>
                <w:kern w:val="0"/>
                <w:sz w:val="24"/>
                <w:szCs w:val="24"/>
              </w:rPr>
              <w:t>该主题的</w:t>
            </w:r>
            <w:r>
              <w:rPr>
                <w:rFonts w:hint="eastAsia" w:ascii="Arial" w:hAnsi="Arial" w:eastAsia="宋体" w:cs="Arial"/>
                <w:b w:val="0"/>
                <w:snapToGrid w:val="0"/>
                <w:kern w:val="0"/>
                <w:sz w:val="24"/>
                <w:szCs w:val="24"/>
              </w:rPr>
              <w:t>思考</w:t>
            </w:r>
            <w:r>
              <w:rPr>
                <w:rFonts w:ascii="Arial" w:hAnsi="Arial" w:eastAsia="宋体" w:cs="Arial"/>
                <w:b w:val="0"/>
                <w:snapToGrid w:val="0"/>
                <w:kern w:val="0"/>
                <w:sz w:val="24"/>
                <w:szCs w:val="24"/>
              </w:rPr>
              <w:t>。</w:t>
            </w:r>
            <w:r>
              <w:rPr>
                <w:rFonts w:hint="eastAsia" w:ascii="Arial" w:hAnsi="Arial" w:eastAsia="宋体" w:cs="Arial"/>
                <w:b w:val="0"/>
                <w:snapToGrid w:val="0"/>
                <w:kern w:val="0"/>
                <w:sz w:val="24"/>
                <w:szCs w:val="24"/>
              </w:rPr>
              <w:t>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51D32281">
      <w:pPr>
        <w:pStyle w:val="47"/>
        <w:shd w:val="clear" w:color="auto" w:fill="auto"/>
        <w:topLinePunct/>
        <w:adjustRightInd w:val="0"/>
        <w:snapToGrid w:val="0"/>
        <w:spacing w:after="244" w:afterLines="75" w:line="288" w:lineRule="auto"/>
        <w:jc w:val="both"/>
        <w:rPr>
          <w:rFonts w:ascii="Arial" w:hAnsi="Arial" w:eastAsia="宋体" w:cs="Arial"/>
          <w:snapToGrid w:val="0"/>
          <w:kern w:val="0"/>
          <w:sz w:val="24"/>
          <w:szCs w:val="30"/>
        </w:rPr>
      </w:pPr>
    </w:p>
    <w:p w14:paraId="016B5FA8">
      <w:pPr>
        <w:pStyle w:val="47"/>
        <w:numPr>
          <w:ilvl w:val="0"/>
          <w:numId w:val="2"/>
        </w:numPr>
        <w:shd w:val="clear" w:color="auto" w:fill="auto"/>
        <w:topLinePunct/>
        <w:adjustRightInd w:val="0"/>
        <w:snapToGrid w:val="0"/>
        <w:spacing w:after="244" w:afterLines="75" w:line="288" w:lineRule="auto"/>
        <w:jc w:val="both"/>
        <w:outlineLvl w:val="0"/>
        <w:rPr>
          <w:rFonts w:ascii="Arial" w:hAnsi="Arial" w:eastAsia="宋体" w:cs="Arial"/>
          <w:snapToGrid w:val="0"/>
          <w:kern w:val="0"/>
          <w:sz w:val="28"/>
          <w:szCs w:val="30"/>
        </w:rPr>
      </w:pPr>
      <w:bookmarkStart w:id="0" w:name="_Toc499801674"/>
      <w:r>
        <w:rPr>
          <w:rFonts w:hint="eastAsia" w:ascii="Arial" w:hAnsi="Arial" w:eastAsia="宋体" w:cs="Arial"/>
          <w:snapToGrid w:val="0"/>
          <w:kern w:val="0"/>
          <w:sz w:val="28"/>
          <w:szCs w:val="30"/>
        </w:rPr>
        <w:t>引言</w:t>
      </w:r>
      <w:bookmarkEnd w:id="0"/>
    </w:p>
    <w:p w14:paraId="69818EFD">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本指南旨在向机构审查委员会（IRB）、临床研究者和研究申办方提供有关FDA知情同意法规的信息。本指南在最终确定后，将取代FDA卫生事务办公室于1998年9月发布的</w:t>
      </w:r>
      <w:r>
        <w:rPr>
          <w:rFonts w:ascii="宋体" w:hAnsi="宋体" w:eastAsia="宋体" w:cs="Arial"/>
          <w:snapToGrid w:val="0"/>
          <w:kern w:val="0"/>
        </w:rPr>
        <w:t>“</w:t>
      </w:r>
      <w:r>
        <w:rPr>
          <w:rFonts w:ascii="Arial" w:hAnsi="Arial" w:eastAsia="宋体" w:cs="Arial"/>
          <w:snapToGrid w:val="0"/>
          <w:kern w:val="0"/>
        </w:rPr>
        <w:t>知情同意指南</w:t>
      </w:r>
      <w:r>
        <w:rPr>
          <w:rFonts w:ascii="宋体" w:hAnsi="宋体" w:eastAsia="宋体" w:cs="Arial"/>
          <w:snapToGrid w:val="0"/>
          <w:kern w:val="0"/>
        </w:rPr>
        <w:t>”</w:t>
      </w:r>
      <w:r>
        <w:rPr>
          <w:rFonts w:ascii="Arial" w:hAnsi="Arial" w:eastAsia="宋体" w:cs="Arial"/>
          <w:snapToGrid w:val="0"/>
          <w:kern w:val="0"/>
        </w:rPr>
        <w:t>。为加强受试者保护</w:t>
      </w:r>
      <w:r>
        <w:rPr>
          <w:rFonts w:hint="eastAsia" w:ascii="Arial" w:hAnsi="Arial" w:eastAsia="宋体" w:cs="Arial"/>
          <w:snapToGrid w:val="0"/>
          <w:kern w:val="0"/>
        </w:rPr>
        <w:t>并</w:t>
      </w:r>
      <w:r>
        <w:rPr>
          <w:rFonts w:ascii="Arial" w:hAnsi="Arial" w:eastAsia="宋体" w:cs="Arial"/>
          <w:snapToGrid w:val="0"/>
          <w:kern w:val="0"/>
        </w:rPr>
        <w:t>减轻监管负担，卫生和人类服务署、</w:t>
      </w:r>
      <w:r>
        <w:rPr>
          <w:rFonts w:hint="eastAsia" w:ascii="Arial" w:hAnsi="Arial" w:eastAsia="宋体" w:cs="Arial"/>
          <w:snapToGrid w:val="0"/>
          <w:kern w:val="0"/>
        </w:rPr>
        <w:t>人类</w:t>
      </w:r>
      <w:r>
        <w:rPr>
          <w:rFonts w:ascii="Arial" w:hAnsi="Arial" w:eastAsia="宋体" w:cs="Arial"/>
          <w:snapToGrid w:val="0"/>
          <w:kern w:val="0"/>
        </w:rPr>
        <w:t>研究保护办公室和FDA一直在积极努力协调各机构对受试者的监管要求和指导意见。该指导性文件的制定是这些努力的一部分。</w:t>
      </w:r>
    </w:p>
    <w:p w14:paraId="14AEE2C2">
      <w:pPr>
        <w:pStyle w:val="45"/>
        <w:shd w:val="clear" w:color="auto" w:fill="auto"/>
        <w:topLinePunct/>
        <w:adjustRightInd w:val="0"/>
        <w:snapToGrid w:val="0"/>
        <w:spacing w:before="0" w:after="244" w:afterLines="75" w:line="288" w:lineRule="auto"/>
        <w:ind w:firstLine="0"/>
        <w:jc w:val="left"/>
        <w:rPr>
          <w:rFonts w:ascii="Arial" w:hAnsi="Arial" w:eastAsia="宋体" w:cs="Arial"/>
          <w:snapToGrid w:val="0"/>
          <w:kern w:val="0"/>
        </w:rPr>
      </w:pPr>
      <w:r>
        <w:rPr>
          <w:rFonts w:ascii="Arial" w:hAnsi="Arial" w:eastAsia="宋体" w:cs="Arial"/>
          <w:snapToGrid w:val="0"/>
          <w:kern w:val="0"/>
        </w:rPr>
        <w:t>美国卫生和人类服务署在2011年宣布，联邦政府正在考虑各种方法来加强受试者研究的法规监督。在制定法规（1991年以来实施，通常称为</w:t>
      </w:r>
      <w:r>
        <w:rPr>
          <w:rFonts w:ascii="宋体" w:hAnsi="宋体" w:eastAsia="宋体" w:cs="Arial"/>
          <w:snapToGrid w:val="0"/>
          <w:kern w:val="0"/>
        </w:rPr>
        <w:t>“</w:t>
      </w:r>
      <w:r>
        <w:rPr>
          <w:rFonts w:ascii="Arial" w:hAnsi="Arial" w:eastAsia="宋体" w:cs="Arial"/>
          <w:snapToGrid w:val="0"/>
          <w:kern w:val="0"/>
        </w:rPr>
        <w:t>共同规则</w:t>
      </w:r>
      <w:r>
        <w:rPr>
          <w:rFonts w:ascii="宋体" w:hAnsi="宋体" w:eastAsia="宋体" w:cs="Arial"/>
          <w:snapToGrid w:val="0"/>
          <w:kern w:val="0"/>
        </w:rPr>
        <w:t>”</w:t>
      </w:r>
      <w:r>
        <w:rPr>
          <w:rFonts w:ascii="Arial" w:hAnsi="Arial" w:eastAsia="宋体" w:cs="Arial"/>
          <w:snapToGrid w:val="0"/>
          <w:kern w:val="0"/>
        </w:rPr>
        <w:t>）的</w:t>
      </w:r>
      <w:r>
        <w:rPr>
          <w:rFonts w:hint="eastAsia" w:ascii="Arial" w:hAnsi="Arial" w:eastAsia="宋体" w:cs="Arial"/>
          <w:snapToGrid w:val="0"/>
          <w:kern w:val="0"/>
        </w:rPr>
        <w:t>拟定变更</w:t>
      </w:r>
      <w:r>
        <w:rPr>
          <w:rFonts w:ascii="Arial" w:hAnsi="Arial" w:eastAsia="宋体" w:cs="Arial"/>
          <w:snapToGrid w:val="0"/>
          <w:kern w:val="0"/>
        </w:rPr>
        <w:t>之前，政府发布了拟议法规的制定预告（ANPRM），征求公众对有关人体研究伦理、安全性和监督一系列问题的意见。正在考虑的</w:t>
      </w:r>
      <w:r>
        <w:rPr>
          <w:rFonts w:hint="eastAsia" w:ascii="Arial" w:hAnsi="Arial" w:eastAsia="宋体" w:cs="Arial"/>
          <w:snapToGrid w:val="0"/>
          <w:kern w:val="0"/>
        </w:rPr>
        <w:t>变更</w:t>
      </w:r>
      <w:r>
        <w:rPr>
          <w:rFonts w:ascii="Arial" w:hAnsi="Arial" w:eastAsia="宋体" w:cs="Arial"/>
          <w:snapToGrid w:val="0"/>
          <w:kern w:val="0"/>
        </w:rPr>
        <w:t>见2011年7月26日的</w:t>
      </w:r>
      <w:r>
        <w:rPr>
          <w:rFonts w:ascii="Arial" w:hAnsi="Arial" w:eastAsia="宋体" w:cs="Arial"/>
          <w:i/>
          <w:snapToGrid w:val="0"/>
          <w:kern w:val="0"/>
        </w:rPr>
        <w:t>联邦公报</w:t>
      </w:r>
      <w:r>
        <w:rPr>
          <w:rFonts w:ascii="Arial" w:hAnsi="Arial" w:eastAsia="宋体" w:cs="Arial"/>
          <w:snapToGrid w:val="0"/>
          <w:kern w:val="0"/>
        </w:rPr>
        <w:t>中题为</w:t>
      </w:r>
      <w:r>
        <w:rPr>
          <w:rFonts w:ascii="宋体" w:hAnsi="宋体" w:eastAsia="宋体" w:cs="Arial"/>
          <w:snapToGrid w:val="0"/>
          <w:kern w:val="0"/>
        </w:rPr>
        <w:t>“</w:t>
      </w:r>
      <w:r>
        <w:rPr>
          <w:rFonts w:ascii="Arial" w:hAnsi="Arial" w:eastAsia="宋体" w:cs="Arial"/>
          <w:snapToGrid w:val="0"/>
          <w:kern w:val="0"/>
        </w:rPr>
        <w:t>受试者的研究保护：加强对研究受试者的保护并降低研究者的负担、延迟和歧义</w:t>
      </w:r>
      <w:r>
        <w:rPr>
          <w:rFonts w:ascii="宋体" w:hAnsi="宋体" w:eastAsia="宋体" w:cs="Arial"/>
          <w:snapToGrid w:val="0"/>
          <w:kern w:val="0"/>
        </w:rPr>
        <w:t>”</w:t>
      </w:r>
      <w:r>
        <w:rPr>
          <w:rFonts w:ascii="Arial" w:hAnsi="Arial" w:eastAsia="宋体" w:cs="Arial"/>
          <w:snapToGrid w:val="0"/>
          <w:kern w:val="0"/>
        </w:rPr>
        <w:t>的ANPRM（</w:t>
      </w:r>
      <w:r>
        <w:fldChar w:fldCharType="begin"/>
      </w:r>
      <w:r>
        <w:instrText xml:space="preserve"> HYPERLINK "http://www.hhs.gov/ohrp/humansubjects/anprm2011page.html" </w:instrText>
      </w:r>
      <w:r>
        <w:fldChar w:fldCharType="separate"/>
      </w:r>
      <w:r>
        <w:rPr>
          <w:rStyle w:val="24"/>
          <w:rFonts w:ascii="Arial" w:hAnsi="Arial" w:eastAsia="宋体" w:cs="Arial"/>
          <w:snapToGrid w:val="0"/>
          <w:color w:val="3333FF"/>
          <w:kern w:val="0"/>
        </w:rPr>
        <w:t>www.hhs.gov/ohrp/humansubjects/anprm2011page.html</w:t>
      </w:r>
      <w:r>
        <w:rPr>
          <w:rStyle w:val="24"/>
          <w:rFonts w:ascii="Arial" w:hAnsi="Arial" w:eastAsia="宋体" w:cs="Arial"/>
          <w:snapToGrid w:val="0"/>
          <w:color w:val="3333FF"/>
          <w:kern w:val="0"/>
        </w:rPr>
        <w:fldChar w:fldCharType="end"/>
      </w:r>
      <w:r>
        <w:rPr>
          <w:rFonts w:ascii="Arial" w:hAnsi="Arial" w:eastAsia="宋体" w:cs="Arial"/>
          <w:snapToGrid w:val="0"/>
          <w:color w:val="3333FF"/>
          <w:kern w:val="0"/>
        </w:rPr>
        <w:t xml:space="preserve"> </w:t>
      </w:r>
      <w:r>
        <w:rPr>
          <w:rFonts w:ascii="Arial" w:hAnsi="Arial" w:eastAsia="宋体" w:cs="Arial"/>
          <w:snapToGrid w:val="0"/>
          <w:kern w:val="0"/>
        </w:rPr>
        <w:t>）。FDA发布</w:t>
      </w:r>
      <w:r>
        <w:rPr>
          <w:rFonts w:hint="eastAsia" w:ascii="Arial" w:hAnsi="Arial" w:eastAsia="宋体" w:cs="Arial"/>
          <w:snapToGrid w:val="0"/>
          <w:kern w:val="0"/>
        </w:rPr>
        <w:t>该</w:t>
      </w:r>
      <w:r>
        <w:rPr>
          <w:rFonts w:ascii="Arial" w:hAnsi="Arial" w:eastAsia="宋体" w:cs="Arial"/>
          <w:snapToGrid w:val="0"/>
          <w:kern w:val="0"/>
        </w:rPr>
        <w:t>指南草案，而机构则将继续探索共同法规的可能</w:t>
      </w:r>
      <w:r>
        <w:rPr>
          <w:rFonts w:hint="eastAsia" w:ascii="Arial" w:hAnsi="Arial" w:eastAsia="宋体" w:cs="Arial"/>
          <w:snapToGrid w:val="0"/>
          <w:kern w:val="0"/>
        </w:rPr>
        <w:t>变更</w:t>
      </w:r>
      <w:r>
        <w:rPr>
          <w:rFonts w:ascii="Arial" w:hAnsi="Arial" w:eastAsia="宋体" w:cs="Arial"/>
          <w:snapToGrid w:val="0"/>
          <w:kern w:val="0"/>
        </w:rPr>
        <w:t>。如果本指南草案中提出的问题与</w:t>
      </w:r>
      <w:r>
        <w:rPr>
          <w:rFonts w:ascii="宋体" w:hAnsi="宋体" w:eastAsia="宋体" w:cs="Arial"/>
          <w:snapToGrid w:val="0"/>
          <w:kern w:val="0"/>
        </w:rPr>
        <w:t>“</w:t>
      </w:r>
      <w:r>
        <w:rPr>
          <w:rFonts w:ascii="Arial" w:hAnsi="Arial" w:eastAsia="宋体" w:cs="Arial"/>
          <w:snapToGrid w:val="0"/>
          <w:kern w:val="0"/>
        </w:rPr>
        <w:t>共同法规</w:t>
      </w:r>
      <w:r>
        <w:rPr>
          <w:rFonts w:ascii="宋体" w:hAnsi="宋体" w:eastAsia="宋体" w:cs="Arial"/>
          <w:snapToGrid w:val="0"/>
          <w:kern w:val="0"/>
        </w:rPr>
        <w:t>”</w:t>
      </w:r>
      <w:r>
        <w:rPr>
          <w:rFonts w:ascii="Arial" w:hAnsi="Arial" w:eastAsia="宋体" w:cs="Arial"/>
          <w:snapToGrid w:val="0"/>
          <w:kern w:val="0"/>
        </w:rPr>
        <w:t>有相互交叉的范围，FDA计划与其他相关的联邦机构进行协调，以促进各项政策的一致性。</w:t>
      </w:r>
    </w:p>
    <w:p w14:paraId="6E4BAFE3">
      <w:pPr>
        <w:widowControl w:val="0"/>
        <w:topLinePunct/>
        <w:spacing w:after="244" w:afterLines="75" w:line="288" w:lineRule="auto"/>
        <w:jc w:val="both"/>
        <w:rPr>
          <w:rFonts w:ascii="Arial" w:hAnsi="Arial" w:eastAsia="宋体" w:cs="Arial"/>
          <w:snapToGrid w:val="0"/>
          <w:szCs w:val="20"/>
        </w:rPr>
      </w:pPr>
      <w:r>
        <w:rPr>
          <w:rFonts w:ascii="Arial" w:hAnsi="Arial" w:eastAsia="宋体" w:cs="Arial"/>
          <w:snapToGrid w:val="0"/>
          <w:szCs w:val="20"/>
        </w:rPr>
        <w:br w:type="page"/>
      </w:r>
    </w:p>
    <w:p w14:paraId="6AD2255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FDA在对于受试者保护的法规（</w:t>
      </w:r>
      <w:r>
        <w:rPr>
          <w:rFonts w:ascii="Arial" w:hAnsi="Arial" w:eastAsia="宋体" w:cs="Arial"/>
          <w:snapToGrid w:val="0"/>
          <w:color w:val="3333FF"/>
          <w:kern w:val="0"/>
        </w:rPr>
        <w:t>21 CFR</w:t>
      </w:r>
      <w:r>
        <w:rPr>
          <w:rFonts w:hint="eastAsia" w:ascii="Arial" w:hAnsi="Arial" w:eastAsia="宋体" w:cs="Arial"/>
          <w:snapToGrid w:val="0"/>
          <w:color w:val="3333FF"/>
          <w:kern w:val="0"/>
        </w:rPr>
        <w:t>第</w:t>
      </w:r>
      <w:r>
        <w:rPr>
          <w:rFonts w:ascii="Arial" w:hAnsi="Arial" w:eastAsia="宋体" w:cs="Arial"/>
          <w:snapToGrid w:val="0"/>
          <w:color w:val="3333FF"/>
          <w:kern w:val="0"/>
        </w:rPr>
        <w:t>50</w:t>
      </w:r>
      <w:r>
        <w:rPr>
          <w:rFonts w:hint="eastAsia" w:ascii="Arial" w:hAnsi="Arial" w:eastAsia="宋体" w:cs="Arial"/>
          <w:snapToGrid w:val="0"/>
          <w:color w:val="3333FF"/>
          <w:kern w:val="0"/>
        </w:rPr>
        <w:t>部分</w:t>
      </w:r>
      <w:r>
        <w:rPr>
          <w:rFonts w:ascii="Arial" w:hAnsi="Arial" w:eastAsia="宋体" w:cs="Arial"/>
          <w:snapToGrid w:val="0"/>
          <w:kern w:val="0"/>
        </w:rPr>
        <w:t>）中提出了FDA对知情同意的要求，这些法规适用于FDA监管的临床研究</w:t>
      </w:r>
      <w:r>
        <w:rPr>
          <w:rStyle w:val="25"/>
          <w:rFonts w:ascii="Arial" w:hAnsi="Arial" w:eastAsia="宋体" w:cs="Arial"/>
          <w:snapToGrid w:val="0"/>
          <w:kern w:val="0"/>
        </w:rPr>
        <w:footnoteReference w:id="1"/>
      </w:r>
      <w:r>
        <w:rPr>
          <w:rFonts w:ascii="Arial" w:hAnsi="Arial" w:eastAsia="宋体" w:cs="Arial"/>
          <w:snapToGrid w:val="0"/>
          <w:kern w:val="0"/>
        </w:rPr>
        <w:t>。21 CFR第50部分中的知情同意要求不是为了取代任何适用的联邦、州或地方法律，其对于知情同意要求披露的附加信息具有法律效力。（21 CFR 50.25（c））如果临床研究是由卫生和人类服务署（HHS）执行或支持的，且涉及FDA监管产品，则该研究同时适用45 CFR第46部分和21 CFR第50部分，</w:t>
      </w:r>
      <w:r>
        <w:rPr>
          <w:rFonts w:hint="eastAsia" w:ascii="Arial" w:hAnsi="Arial" w:eastAsia="宋体" w:cs="Arial"/>
          <w:snapToGrid w:val="0"/>
          <w:kern w:val="0"/>
        </w:rPr>
        <w:t>表明</w:t>
      </w:r>
      <w:r>
        <w:rPr>
          <w:rFonts w:ascii="Arial" w:hAnsi="Arial" w:eastAsia="宋体" w:cs="Arial"/>
          <w:snapToGrid w:val="0"/>
          <w:kern w:val="0"/>
        </w:rPr>
        <w:t>必须遵守这两组法规。若法规</w:t>
      </w:r>
      <w:r>
        <w:rPr>
          <w:rFonts w:hint="eastAsia" w:ascii="Arial" w:hAnsi="Arial" w:eastAsia="宋体" w:cs="Arial"/>
          <w:snapToGrid w:val="0"/>
          <w:kern w:val="0"/>
        </w:rPr>
        <w:t>存在差异</w:t>
      </w:r>
      <w:r>
        <w:rPr>
          <w:rFonts w:ascii="Arial" w:hAnsi="Arial" w:eastAsia="宋体" w:cs="Arial"/>
          <w:snapToGrid w:val="0"/>
          <w:kern w:val="0"/>
        </w:rPr>
        <w:t>，应遵守</w:t>
      </w:r>
      <w:r>
        <w:rPr>
          <w:rFonts w:hint="eastAsia" w:ascii="Arial" w:hAnsi="Arial" w:eastAsia="宋体" w:cs="Arial"/>
          <w:snapToGrid w:val="0"/>
          <w:kern w:val="0"/>
        </w:rPr>
        <w:t>对</w:t>
      </w:r>
      <w:r>
        <w:rPr>
          <w:rFonts w:ascii="Arial" w:hAnsi="Arial" w:eastAsia="宋体" w:cs="Arial"/>
          <w:snapToGrid w:val="0"/>
          <w:kern w:val="0"/>
        </w:rPr>
        <w:t>受试者保护</w:t>
      </w:r>
      <w:r>
        <w:rPr>
          <w:rFonts w:hint="eastAsia" w:ascii="Arial" w:hAnsi="Arial" w:eastAsia="宋体" w:cs="Arial"/>
          <w:snapToGrid w:val="0"/>
          <w:kern w:val="0"/>
        </w:rPr>
        <w:t>效力更强</w:t>
      </w:r>
      <w:r>
        <w:rPr>
          <w:rFonts w:ascii="Arial" w:hAnsi="Arial" w:eastAsia="宋体" w:cs="Arial"/>
          <w:snapToGrid w:val="0"/>
          <w:kern w:val="0"/>
        </w:rPr>
        <w:t>的法规。</w:t>
      </w:r>
    </w:p>
    <w:p w14:paraId="75258B1B">
      <w:pPr>
        <w:widowControl w:val="0"/>
        <w:topLinePunct/>
        <w:spacing w:after="244" w:afterLines="75" w:line="288" w:lineRule="auto"/>
        <w:jc w:val="both"/>
        <w:rPr>
          <w:rFonts w:ascii="Arial" w:hAnsi="Arial" w:eastAsia="宋体" w:cs="Arial"/>
          <w:snapToGrid w:val="0"/>
          <w:szCs w:val="24"/>
        </w:rPr>
      </w:pPr>
      <w:r>
        <w:rPr>
          <w:rFonts w:ascii="Arial" w:hAnsi="Arial" w:eastAsia="宋体" w:cs="Arial"/>
          <w:snapToGrid w:val="0"/>
          <w:szCs w:val="24"/>
        </w:rPr>
        <w:t>FDA指导性文件，包括本指南</w:t>
      </w:r>
      <w:r>
        <w:rPr>
          <w:rFonts w:hint="eastAsia" w:ascii="Arial" w:hAnsi="Arial" w:eastAsia="宋体" w:cs="Arial"/>
          <w:snapToGrid w:val="0"/>
          <w:szCs w:val="24"/>
        </w:rPr>
        <w:t>在内</w:t>
      </w:r>
      <w:r>
        <w:rPr>
          <w:rFonts w:ascii="Arial" w:hAnsi="Arial" w:eastAsia="宋体" w:cs="Arial"/>
          <w:snapToGrid w:val="0"/>
          <w:szCs w:val="24"/>
        </w:rPr>
        <w:t>，不构成法律上的强制责任。相反，指南描述了本机构目前对某一主题的思考，只应被视为建议，除非引用了具体的法规或法规的要求。在本机构的指南中使用</w:t>
      </w:r>
      <w:r>
        <w:rPr>
          <w:rFonts w:ascii="宋体" w:hAnsi="宋体" w:eastAsia="宋体" w:cs="Arial"/>
          <w:snapToGrid w:val="0"/>
          <w:szCs w:val="24"/>
        </w:rPr>
        <w:t>“</w:t>
      </w:r>
      <w:r>
        <w:rPr>
          <w:rFonts w:ascii="Arial" w:hAnsi="Arial" w:eastAsia="宋体" w:cs="Arial"/>
          <w:i/>
          <w:snapToGrid w:val="0"/>
          <w:szCs w:val="24"/>
        </w:rPr>
        <w:t>应</w:t>
      </w:r>
      <w:r>
        <w:rPr>
          <w:rFonts w:ascii="宋体" w:hAnsi="宋体" w:eastAsia="宋体" w:cs="Arial"/>
          <w:snapToGrid w:val="0"/>
          <w:szCs w:val="24"/>
        </w:rPr>
        <w:t>”</w:t>
      </w:r>
      <w:r>
        <w:rPr>
          <w:rFonts w:ascii="Arial" w:hAnsi="Arial" w:eastAsia="宋体" w:cs="Arial"/>
          <w:snapToGrid w:val="0"/>
          <w:szCs w:val="24"/>
        </w:rPr>
        <w:t>这个字，意味着建议或推荐某事，但并不是必需的。</w:t>
      </w:r>
    </w:p>
    <w:p w14:paraId="204B73A7">
      <w:pPr>
        <w:pStyle w:val="47"/>
        <w:numPr>
          <w:ilvl w:val="0"/>
          <w:numId w:val="2"/>
        </w:numPr>
        <w:shd w:val="clear" w:color="auto" w:fill="auto"/>
        <w:topLinePunct/>
        <w:adjustRightInd w:val="0"/>
        <w:snapToGrid w:val="0"/>
        <w:spacing w:after="244" w:afterLines="75" w:line="288" w:lineRule="auto"/>
        <w:jc w:val="both"/>
        <w:outlineLvl w:val="0"/>
        <w:rPr>
          <w:rFonts w:ascii="Arial" w:hAnsi="Arial" w:eastAsia="宋体" w:cs="Arial"/>
          <w:snapToGrid w:val="0"/>
          <w:kern w:val="0"/>
          <w:sz w:val="28"/>
          <w:szCs w:val="30"/>
        </w:rPr>
      </w:pPr>
      <w:bookmarkStart w:id="1" w:name="_Toc499801675"/>
      <w:r>
        <w:rPr>
          <w:rFonts w:ascii="Arial" w:hAnsi="Arial" w:eastAsia="宋体" w:cs="Arial"/>
          <w:snapToGrid w:val="0"/>
          <w:kern w:val="0"/>
          <w:sz w:val="28"/>
          <w:szCs w:val="30"/>
        </w:rPr>
        <w:t>同意过程概述</w:t>
      </w:r>
      <w:bookmarkEnd w:id="1"/>
    </w:p>
    <w:p w14:paraId="382E778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对许多人来说，知情同意这个词会被误认为是在同意书上获得一例受试者签名的同义词。 FDA认为，获得受试者的口头或书面的知情同意只是同意过程的一部分。知情同意包括向潜在受试者提供足够的信息，以便其对参加临床研究做出知情决策，促进潜在受试者对信息的理解，为潜在受试者提供足够的机会以提出问题并考虑是否参加，获得潜在受试者的自愿同意参加，并</w:t>
      </w:r>
      <w:r>
        <w:rPr>
          <w:rFonts w:hint="eastAsia" w:ascii="Arial" w:hAnsi="Arial" w:eastAsia="宋体" w:cs="Arial"/>
          <w:snapToGrid w:val="0"/>
          <w:kern w:val="0"/>
        </w:rPr>
        <w:t>根据</w:t>
      </w:r>
      <w:r>
        <w:rPr>
          <w:rFonts w:ascii="Arial" w:hAnsi="Arial" w:eastAsia="宋体" w:cs="Arial"/>
          <w:snapToGrid w:val="0"/>
          <w:kern w:val="0"/>
        </w:rPr>
        <w:t>临床研究进展</w:t>
      </w:r>
      <w:r>
        <w:rPr>
          <w:rFonts w:hint="eastAsia" w:ascii="Arial" w:hAnsi="Arial" w:eastAsia="宋体" w:cs="Arial"/>
          <w:snapToGrid w:val="0"/>
          <w:kern w:val="0"/>
        </w:rPr>
        <w:t>、</w:t>
      </w:r>
      <w:r>
        <w:rPr>
          <w:rFonts w:ascii="Arial" w:hAnsi="Arial" w:eastAsia="宋体" w:cs="Arial"/>
          <w:snapToGrid w:val="0"/>
          <w:kern w:val="0"/>
        </w:rPr>
        <w:t>受试者或情况需要继续提供信息。为</w:t>
      </w:r>
      <w:r>
        <w:rPr>
          <w:rFonts w:hint="eastAsia" w:ascii="Arial" w:hAnsi="Arial" w:eastAsia="宋体" w:cs="Arial"/>
          <w:snapToGrid w:val="0"/>
          <w:kern w:val="0"/>
        </w:rPr>
        <w:t>保证</w:t>
      </w:r>
      <w:r>
        <w:rPr>
          <w:rFonts w:ascii="Arial" w:hAnsi="Arial" w:eastAsia="宋体" w:cs="Arial"/>
          <w:snapToGrid w:val="0"/>
          <w:kern w:val="0"/>
        </w:rPr>
        <w:t>有效，</w:t>
      </w:r>
      <w:r>
        <w:rPr>
          <w:rFonts w:hint="eastAsia" w:ascii="Arial" w:hAnsi="Arial" w:eastAsia="宋体" w:cs="Arial"/>
          <w:snapToGrid w:val="0"/>
          <w:kern w:val="0"/>
        </w:rPr>
        <w:t>该</w:t>
      </w:r>
      <w:r>
        <w:rPr>
          <w:rFonts w:ascii="Arial" w:hAnsi="Arial" w:eastAsia="宋体" w:cs="Arial"/>
          <w:snapToGrid w:val="0"/>
          <w:kern w:val="0"/>
        </w:rPr>
        <w:t>过程必须为受试者提供足够的机会来考虑是否参加。（21 CFR 50.20）FDA认为，这包括允许有足够的时间让受试者考虑信息并提供时间和机会让受试者提出问题并回答这些问题。研究者（或正在进行知情同意访谈的其他研究人员）和受试者应交换信息并讨论知情同意书的内容</w:t>
      </w:r>
      <w:r>
        <w:rPr>
          <w:rFonts w:hint="eastAsia" w:ascii="Arial" w:hAnsi="Arial" w:eastAsia="宋体" w:cs="Arial"/>
          <w:snapToGrid w:val="0"/>
          <w:kern w:val="0"/>
        </w:rPr>
        <w:t>。该</w:t>
      </w:r>
      <w:r>
        <w:rPr>
          <w:rFonts w:ascii="Arial" w:hAnsi="Arial" w:eastAsia="宋体" w:cs="Arial"/>
          <w:snapToGrid w:val="0"/>
          <w:kern w:val="0"/>
        </w:rPr>
        <w:t>过程</w:t>
      </w:r>
      <w:r>
        <w:rPr>
          <w:rFonts w:hint="eastAsia" w:ascii="Arial" w:hAnsi="Arial" w:eastAsia="宋体" w:cs="Arial"/>
          <w:snapToGrid w:val="0"/>
          <w:kern w:val="0"/>
        </w:rPr>
        <w:t>的发生条件必须保证将胁迫或不当影响的可能性降至最低。</w:t>
      </w:r>
      <w:r>
        <w:rPr>
          <w:rFonts w:ascii="Arial" w:hAnsi="Arial" w:eastAsia="宋体" w:cs="Arial"/>
          <w:snapToGrid w:val="0"/>
          <w:kern w:val="0"/>
        </w:rPr>
        <w:t>（21 CFR 50.20）</w:t>
      </w:r>
    </w:p>
    <w:p w14:paraId="6E714EDD">
      <w:pPr>
        <w:widowControl w:val="0"/>
        <w:topLinePunct/>
        <w:spacing w:after="244" w:afterLines="75" w:line="288" w:lineRule="auto"/>
        <w:jc w:val="both"/>
        <w:rPr>
          <w:rFonts w:ascii="Arial" w:hAnsi="Arial" w:eastAsia="宋体" w:cs="Arial"/>
          <w:snapToGrid w:val="0"/>
          <w:szCs w:val="20"/>
        </w:rPr>
      </w:pPr>
      <w:r>
        <w:rPr>
          <w:rFonts w:ascii="Arial" w:hAnsi="Arial" w:eastAsia="宋体" w:cs="Arial"/>
          <w:snapToGrid w:val="0"/>
          <w:szCs w:val="20"/>
        </w:rPr>
        <w:br w:type="page"/>
      </w:r>
    </w:p>
    <w:p w14:paraId="43C63AA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同意程序从受试者招募开始，包括用于招募受试者</w:t>
      </w:r>
      <w:r>
        <w:rPr>
          <w:rFonts w:hint="eastAsia" w:ascii="Arial" w:hAnsi="Arial" w:eastAsia="宋体" w:cs="Arial"/>
          <w:snapToGrid w:val="0"/>
          <w:kern w:val="0"/>
        </w:rPr>
        <w:t>入组</w:t>
      </w:r>
      <w:r>
        <w:rPr>
          <w:rFonts w:ascii="Arial" w:hAnsi="Arial" w:eastAsia="宋体" w:cs="Arial"/>
          <w:snapToGrid w:val="0"/>
          <w:kern w:val="0"/>
        </w:rPr>
        <w:t>临床试验的广告</w:t>
      </w:r>
      <w:r>
        <w:rPr>
          <w:rStyle w:val="25"/>
          <w:rFonts w:ascii="Arial" w:hAnsi="Arial" w:eastAsia="宋体" w:cs="Arial"/>
          <w:snapToGrid w:val="0"/>
          <w:kern w:val="0"/>
        </w:rPr>
        <w:footnoteReference w:id="2"/>
      </w:r>
      <w:r>
        <w:rPr>
          <w:rFonts w:ascii="Arial" w:hAnsi="Arial" w:eastAsia="宋体" w:cs="Arial"/>
          <w:snapToGrid w:val="0"/>
          <w:kern w:val="0"/>
        </w:rPr>
        <w:t>。一旦确定了潜在受试者，熟悉临床研究并能够回答潜在受试者提出问题的人员应进行同意访谈。</w:t>
      </w:r>
    </w:p>
    <w:p w14:paraId="49D6627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同意书必须包含能使受试者对参加临床研究做出知情决策的信息（见</w:t>
      </w:r>
      <w:r>
        <w:rPr>
          <w:rFonts w:hint="eastAsia" w:ascii="Arial" w:hAnsi="Arial" w:eastAsia="宋体" w:cs="Arial"/>
          <w:snapToGrid w:val="0"/>
          <w:color w:val="3333FF"/>
          <w:kern w:val="0"/>
        </w:rPr>
        <w:t>第</w:t>
      </w:r>
      <w:r>
        <w:rPr>
          <w:rFonts w:ascii="Arial" w:hAnsi="Arial" w:eastAsia="宋体" w:cs="Arial"/>
          <w:snapToGrid w:val="0"/>
          <w:color w:val="3333FF"/>
          <w:kern w:val="0"/>
        </w:rPr>
        <w:t>III</w:t>
      </w:r>
      <w:r>
        <w:rPr>
          <w:rFonts w:hint="eastAsia" w:ascii="Arial" w:hAnsi="Arial" w:eastAsia="宋体" w:cs="Arial"/>
          <w:snapToGrid w:val="0"/>
          <w:color w:val="3333FF"/>
          <w:kern w:val="0"/>
        </w:rPr>
        <w:t>节</w:t>
      </w:r>
      <w:r>
        <w:rPr>
          <w:rFonts w:ascii="Arial" w:hAnsi="Arial" w:eastAsia="宋体" w:cs="Arial"/>
          <w:snapToGrid w:val="0"/>
          <w:kern w:val="0"/>
        </w:rPr>
        <w:t>，FDA知情同意的要求和讨论）</w:t>
      </w:r>
      <w:r>
        <w:rPr>
          <w:rStyle w:val="25"/>
          <w:rFonts w:ascii="Arial" w:hAnsi="Arial" w:eastAsia="宋体" w:cs="Arial"/>
          <w:snapToGrid w:val="0"/>
          <w:kern w:val="0"/>
        </w:rPr>
        <w:footnoteReference w:id="3"/>
      </w:r>
      <w:r>
        <w:rPr>
          <w:rFonts w:ascii="Arial" w:hAnsi="Arial" w:eastAsia="宋体" w:cs="Arial"/>
          <w:snapToGrid w:val="0"/>
          <w:kern w:val="0"/>
        </w:rPr>
        <w:t>。（21 CFR 50.20和21 CFR 50.25）同意书有多种用途，包括帮助确保受试者收到所需信息，提供</w:t>
      </w:r>
      <w:r>
        <w:rPr>
          <w:rFonts w:ascii="宋体" w:hAnsi="宋体" w:eastAsia="宋体" w:cs="Arial"/>
          <w:snapToGrid w:val="0"/>
          <w:kern w:val="0"/>
        </w:rPr>
        <w:t>“</w:t>
      </w:r>
      <w:r>
        <w:rPr>
          <w:rFonts w:ascii="Arial" w:hAnsi="Arial" w:eastAsia="宋体" w:cs="Arial"/>
          <w:snapToGrid w:val="0"/>
          <w:kern w:val="0"/>
        </w:rPr>
        <w:t>带回家</w:t>
      </w:r>
      <w:r>
        <w:rPr>
          <w:rFonts w:ascii="宋体" w:hAnsi="宋体" w:eastAsia="宋体" w:cs="Arial"/>
          <w:snapToGrid w:val="0"/>
          <w:kern w:val="0"/>
        </w:rPr>
        <w:t>”</w:t>
      </w:r>
      <w:r>
        <w:rPr>
          <w:rFonts w:ascii="Arial" w:hAnsi="Arial" w:eastAsia="宋体" w:cs="Arial"/>
          <w:snapToGrid w:val="0"/>
          <w:kern w:val="0"/>
        </w:rPr>
        <w:t>的临床研究内容提示，提供在产生其他问题或疑惑时的联系方式，并记录该受试者自愿参加同意。</w:t>
      </w:r>
    </w:p>
    <w:p w14:paraId="64E4E14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知情同意程序通常在签署同意书后继续进行。根据临床研究，可能需要向受试者提供</w:t>
      </w:r>
      <w:r>
        <w:rPr>
          <w:rFonts w:hint="eastAsia" w:ascii="Arial" w:hAnsi="Arial" w:eastAsia="宋体" w:cs="Arial"/>
          <w:snapToGrid w:val="0"/>
          <w:kern w:val="0"/>
        </w:rPr>
        <w:t>其他</w:t>
      </w:r>
      <w:r>
        <w:rPr>
          <w:rFonts w:ascii="Arial" w:hAnsi="Arial" w:eastAsia="宋体" w:cs="Arial"/>
          <w:snapToGrid w:val="0"/>
          <w:kern w:val="0"/>
        </w:rPr>
        <w:t>信息，受试者可能需要更多的机会在整个临床研究过程中提出问题并获得解答。（见</w:t>
      </w:r>
      <w:r>
        <w:rPr>
          <w:rFonts w:hint="eastAsia" w:ascii="Arial" w:hAnsi="Arial" w:eastAsia="宋体" w:cs="Arial"/>
          <w:snapToGrid w:val="0"/>
          <w:color w:val="3333FF"/>
          <w:kern w:val="0"/>
        </w:rPr>
        <w:t>第</w:t>
      </w:r>
      <w:r>
        <w:rPr>
          <w:rFonts w:ascii="Arial" w:hAnsi="Arial" w:eastAsia="宋体" w:cs="Arial"/>
          <w:snapToGrid w:val="0"/>
          <w:color w:val="3333FF"/>
          <w:kern w:val="0"/>
        </w:rPr>
        <w:t>III.C.5</w:t>
      </w:r>
      <w:r>
        <w:rPr>
          <w:rFonts w:hint="eastAsia" w:ascii="Arial" w:hAnsi="Arial" w:eastAsia="宋体" w:cs="Arial"/>
          <w:snapToGrid w:val="0"/>
          <w:color w:val="3333FF"/>
          <w:kern w:val="0"/>
        </w:rPr>
        <w:t>节</w:t>
      </w:r>
      <w:r>
        <w:rPr>
          <w:rFonts w:ascii="Arial" w:hAnsi="Arial" w:eastAsia="宋体" w:cs="Arial"/>
          <w:snapToGrid w:val="0"/>
          <w:kern w:val="0"/>
        </w:rPr>
        <w:t>，向受试者提供重要的新发现，讨论在临床研究过程中发现的结果必须在何时传达给受试者）。</w:t>
      </w:r>
    </w:p>
    <w:p w14:paraId="359F63CE">
      <w:pPr>
        <w:pStyle w:val="47"/>
        <w:numPr>
          <w:ilvl w:val="0"/>
          <w:numId w:val="2"/>
        </w:numPr>
        <w:shd w:val="clear" w:color="auto" w:fill="auto"/>
        <w:topLinePunct/>
        <w:adjustRightInd w:val="0"/>
        <w:snapToGrid w:val="0"/>
        <w:spacing w:after="244" w:afterLines="75" w:line="288" w:lineRule="auto"/>
        <w:jc w:val="both"/>
        <w:outlineLvl w:val="0"/>
        <w:rPr>
          <w:rFonts w:ascii="Arial" w:hAnsi="Arial" w:eastAsia="宋体" w:cs="Arial"/>
          <w:snapToGrid w:val="0"/>
          <w:kern w:val="0"/>
          <w:sz w:val="28"/>
          <w:szCs w:val="30"/>
        </w:rPr>
      </w:pPr>
      <w:bookmarkStart w:id="2" w:name="_Toc499801676"/>
      <w:r>
        <w:rPr>
          <w:rFonts w:ascii="Arial" w:hAnsi="Arial" w:eastAsia="宋体" w:cs="Arial"/>
          <w:snapToGrid w:val="0"/>
          <w:kern w:val="0"/>
          <w:sz w:val="28"/>
          <w:szCs w:val="30"/>
        </w:rPr>
        <w:t>FDA知情同意的要求和讨论</w:t>
      </w:r>
      <w:bookmarkEnd w:id="2"/>
    </w:p>
    <w:p w14:paraId="4AC6630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对于所有FDA监管的临床研究（21 CFR 50.23和50.24中规定的除外</w:t>
      </w:r>
      <w:r>
        <w:rPr>
          <w:rStyle w:val="25"/>
          <w:rFonts w:ascii="Arial" w:hAnsi="Arial" w:eastAsia="宋体" w:cs="Arial"/>
          <w:snapToGrid w:val="0"/>
          <w:kern w:val="0"/>
        </w:rPr>
        <w:footnoteReference w:id="4"/>
      </w:r>
      <w:r>
        <w:rPr>
          <w:rFonts w:ascii="Arial" w:hAnsi="Arial" w:eastAsia="宋体" w:cs="Arial"/>
          <w:snapToGrid w:val="0"/>
          <w:kern w:val="0"/>
        </w:rPr>
        <w:t>），必须从受试者或受试者的合法授权代表</w:t>
      </w:r>
      <w:r>
        <w:rPr>
          <w:rFonts w:hint="eastAsia" w:ascii="Arial" w:hAnsi="Arial" w:eastAsia="宋体" w:cs="Arial"/>
          <w:snapToGrid w:val="0"/>
          <w:kern w:val="0"/>
        </w:rPr>
        <w:t>处</w:t>
      </w:r>
      <w:r>
        <w:rPr>
          <w:rFonts w:ascii="Arial" w:hAnsi="Arial" w:eastAsia="宋体" w:cs="Arial"/>
          <w:snapToGrid w:val="0"/>
          <w:kern w:val="0"/>
        </w:rPr>
        <w:t>获得法律上有效的知情同意书。知情同意必须符合21 CFR 50.20的要求，并且必须包含21 CFR 50.25（a）要求的基本信息。如果适用于临床研究，还必须解决21 CFR 50.25（b）中的一个或多个附加信息要素。对于2012年3月7日或之后启动的</w:t>
      </w:r>
      <w:r>
        <w:rPr>
          <w:rFonts w:ascii="宋体" w:hAnsi="宋体" w:eastAsia="宋体" w:cs="Arial"/>
          <w:snapToGrid w:val="0"/>
          <w:kern w:val="0"/>
        </w:rPr>
        <w:t>“</w:t>
      </w:r>
      <w:r>
        <w:rPr>
          <w:rFonts w:ascii="Arial" w:hAnsi="Arial" w:eastAsia="宋体" w:cs="Arial"/>
          <w:snapToGrid w:val="0"/>
          <w:kern w:val="0"/>
        </w:rPr>
        <w:t>适用的临床试验</w:t>
      </w:r>
      <w:r>
        <w:rPr>
          <w:rFonts w:ascii="宋体" w:hAnsi="宋体" w:eastAsia="宋体" w:cs="Arial"/>
          <w:snapToGrid w:val="0"/>
          <w:kern w:val="0"/>
        </w:rPr>
        <w:t>”</w:t>
      </w:r>
      <w:r>
        <w:rPr>
          <w:rFonts w:ascii="Arial" w:hAnsi="Arial" w:eastAsia="宋体" w:cs="Arial"/>
          <w:snapToGrid w:val="0"/>
          <w:kern w:val="0"/>
        </w:rPr>
        <w:t>，21 CFR 50.25（c）要求增加知情同意的要素</w:t>
      </w:r>
      <w:r>
        <w:rPr>
          <w:rStyle w:val="25"/>
          <w:rFonts w:ascii="Arial" w:hAnsi="Arial" w:eastAsia="宋体" w:cs="Arial"/>
          <w:snapToGrid w:val="0"/>
          <w:kern w:val="0"/>
        </w:rPr>
        <w:footnoteReference w:id="5"/>
      </w:r>
      <w:r>
        <w:rPr>
          <w:rFonts w:ascii="Arial" w:hAnsi="Arial" w:eastAsia="宋体" w:cs="Arial"/>
          <w:snapToGrid w:val="0"/>
          <w:kern w:val="0"/>
        </w:rPr>
        <w:t>。</w:t>
      </w:r>
    </w:p>
    <w:p w14:paraId="6F06411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以下将21 CFR 50.20和21 CFR 50.25中的节段用斜体表示，然后就每项规定进行讨论。</w:t>
      </w:r>
    </w:p>
    <w:p w14:paraId="2520074B">
      <w:pPr>
        <w:pStyle w:val="45"/>
        <w:numPr>
          <w:ilvl w:val="0"/>
          <w:numId w:val="3"/>
        </w:numPr>
        <w:shd w:val="clear" w:color="auto" w:fill="auto"/>
        <w:topLinePunct/>
        <w:adjustRightInd w:val="0"/>
        <w:snapToGrid w:val="0"/>
        <w:spacing w:before="0" w:after="244" w:afterLines="75" w:line="288" w:lineRule="auto"/>
        <w:ind w:left="357" w:hanging="357"/>
        <w:outlineLvl w:val="1"/>
        <w:rPr>
          <w:rFonts w:ascii="Arial" w:hAnsi="Arial" w:eastAsia="宋体" w:cs="Arial"/>
          <w:b/>
          <w:snapToGrid w:val="0"/>
          <w:kern w:val="0"/>
        </w:rPr>
      </w:pPr>
      <w:bookmarkStart w:id="3" w:name="_Toc499801677"/>
      <w:r>
        <w:rPr>
          <w:rFonts w:ascii="Arial" w:hAnsi="Arial" w:eastAsia="宋体" w:cs="Arial"/>
          <w:b/>
          <w:snapToGrid w:val="0"/>
          <w:kern w:val="0"/>
        </w:rPr>
        <w:t>知情同意的一般要求</w:t>
      </w:r>
      <w:bookmarkEnd w:id="3"/>
    </w:p>
    <w:p w14:paraId="4B306AB6">
      <w:pPr>
        <w:pStyle w:val="53"/>
        <w:shd w:val="clear" w:color="auto" w:fill="auto"/>
        <w:topLinePunct/>
        <w:adjustRightInd w:val="0"/>
        <w:snapToGrid w:val="0"/>
        <w:spacing w:before="0" w:after="244" w:afterLines="75" w:line="288" w:lineRule="auto"/>
        <w:ind w:left="358" w:leftChars="149" w:firstLine="0"/>
        <w:jc w:val="both"/>
        <w:rPr>
          <w:rFonts w:ascii="Arial" w:hAnsi="Arial" w:eastAsia="宋体" w:cs="Arial"/>
          <w:snapToGrid w:val="0"/>
          <w:kern w:val="0"/>
          <w:sz w:val="24"/>
          <w:szCs w:val="24"/>
        </w:rPr>
      </w:pPr>
      <w:r>
        <w:rPr>
          <w:rFonts w:ascii="Arial" w:hAnsi="Arial" w:eastAsia="宋体" w:cs="Arial"/>
          <w:snapToGrid w:val="0"/>
          <w:kern w:val="0"/>
          <w:sz w:val="24"/>
          <w:szCs w:val="24"/>
        </w:rPr>
        <w:t>除第50.23和50.24</w:t>
      </w:r>
      <w:r>
        <w:rPr>
          <w:rFonts w:hint="eastAsia" w:ascii="Arial" w:hAnsi="Arial" w:eastAsia="宋体" w:cs="Arial"/>
          <w:snapToGrid w:val="0"/>
          <w:kern w:val="0"/>
          <w:sz w:val="24"/>
          <w:szCs w:val="24"/>
        </w:rPr>
        <w:t>部分</w:t>
      </w:r>
      <w:r>
        <w:rPr>
          <w:rFonts w:ascii="Arial" w:hAnsi="Arial" w:eastAsia="宋体" w:cs="Arial"/>
          <w:snapToGrid w:val="0"/>
          <w:kern w:val="0"/>
          <w:sz w:val="24"/>
          <w:szCs w:val="24"/>
        </w:rPr>
        <w:t>的情况外，研究者不得将个人作为本法规所涵盖研究的受试者，除非研究者已经获得了该受试者或该受试者合法授权代表在法律上有效的知情同意。研究者应向预期受试者或其代表提供充机会以考虑是否参加，并且要</w:t>
      </w:r>
      <w:r>
        <w:rPr>
          <w:rFonts w:hint="eastAsia" w:ascii="Arial" w:hAnsi="Arial" w:eastAsia="宋体" w:cs="Arial"/>
          <w:snapToGrid w:val="0"/>
          <w:kern w:val="0"/>
          <w:sz w:val="24"/>
          <w:szCs w:val="24"/>
        </w:rPr>
        <w:t>将胁迫</w:t>
      </w:r>
      <w:r>
        <w:rPr>
          <w:rFonts w:ascii="Arial" w:hAnsi="Arial" w:eastAsia="宋体" w:cs="Arial"/>
          <w:snapToGrid w:val="0"/>
          <w:kern w:val="0"/>
          <w:sz w:val="24"/>
          <w:szCs w:val="24"/>
        </w:rPr>
        <w:t>或不当影响的可能性</w:t>
      </w:r>
      <w:r>
        <w:rPr>
          <w:rFonts w:hint="eastAsia" w:ascii="Arial" w:hAnsi="Arial" w:eastAsia="宋体" w:cs="Arial"/>
          <w:snapToGrid w:val="0"/>
          <w:kern w:val="0"/>
          <w:sz w:val="24"/>
          <w:szCs w:val="24"/>
        </w:rPr>
        <w:t>降至最低</w:t>
      </w:r>
      <w:r>
        <w:rPr>
          <w:rFonts w:ascii="Arial" w:hAnsi="Arial" w:eastAsia="宋体" w:cs="Arial"/>
          <w:snapToGrid w:val="0"/>
          <w:kern w:val="0"/>
          <w:sz w:val="24"/>
          <w:szCs w:val="24"/>
        </w:rPr>
        <w:t>，在这种情况下，才能征求知情同意。提供给受试者或其代表的信息应以受试者或其代表可以理解的语言表达，任何口头或书面的知情同意均不得包含任何使受试者或其代表放弃或似乎放弃任何受试者合法权利的开脱性语言，或</w:t>
      </w:r>
      <w:r>
        <w:rPr>
          <w:rFonts w:hint="eastAsia" w:ascii="Arial" w:hAnsi="Arial" w:eastAsia="宋体" w:cs="Arial"/>
          <w:snapToGrid w:val="0"/>
          <w:kern w:val="0"/>
          <w:sz w:val="24"/>
          <w:szCs w:val="24"/>
        </w:rPr>
        <w:t>免除</w:t>
      </w:r>
      <w:r>
        <w:rPr>
          <w:rFonts w:ascii="Arial" w:hAnsi="Arial" w:eastAsia="宋体" w:cs="Arial"/>
          <w:snapToGrid w:val="0"/>
          <w:kern w:val="0"/>
          <w:sz w:val="24"/>
          <w:szCs w:val="24"/>
        </w:rPr>
        <w:t>或似乎</w:t>
      </w:r>
      <w:r>
        <w:rPr>
          <w:rFonts w:hint="eastAsia" w:ascii="Arial" w:hAnsi="Arial" w:eastAsia="宋体" w:cs="Arial"/>
          <w:snapToGrid w:val="0"/>
          <w:kern w:val="0"/>
          <w:sz w:val="24"/>
          <w:szCs w:val="24"/>
        </w:rPr>
        <w:t>免除</w:t>
      </w:r>
      <w:r>
        <w:rPr>
          <w:rFonts w:ascii="Arial" w:hAnsi="Arial" w:eastAsia="宋体" w:cs="Arial"/>
          <w:snapToGrid w:val="0"/>
          <w:kern w:val="0"/>
          <w:sz w:val="24"/>
          <w:szCs w:val="24"/>
        </w:rPr>
        <w:t>研究者、申办方、机构或其代理人的过失责任。（21 CFR50.20）</w:t>
      </w:r>
    </w:p>
    <w:p w14:paraId="1AB7D8C7">
      <w:pPr>
        <w:pStyle w:val="47"/>
        <w:numPr>
          <w:ilvl w:val="0"/>
          <w:numId w:val="4"/>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4" w:name="_Toc499801678"/>
      <w:r>
        <w:rPr>
          <w:rFonts w:ascii="Arial" w:hAnsi="Arial" w:eastAsia="宋体" w:cs="Arial"/>
          <w:bCs w:val="0"/>
          <w:snapToGrid w:val="0"/>
          <w:kern w:val="0"/>
          <w:sz w:val="24"/>
          <w:szCs w:val="24"/>
        </w:rPr>
        <w:t>知情同意的免责条款</w:t>
      </w:r>
      <w:bookmarkEnd w:id="4"/>
    </w:p>
    <w:p w14:paraId="5CB8367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除</w:t>
      </w:r>
      <w:r>
        <w:rPr>
          <w:rFonts w:ascii="Arial" w:hAnsi="Arial" w:eastAsia="宋体" w:cs="Arial"/>
          <w:snapToGrid w:val="0"/>
          <w:color w:val="3333FF"/>
          <w:kern w:val="0"/>
          <w:u w:val="single"/>
        </w:rPr>
        <w:t>21 CFR 50.23</w:t>
      </w:r>
      <w:r>
        <w:rPr>
          <w:rFonts w:ascii="Arial" w:hAnsi="Arial" w:eastAsia="宋体" w:cs="Arial"/>
          <w:snapToGrid w:val="0"/>
          <w:kern w:val="0"/>
        </w:rPr>
        <w:t>（涉及某些危及生命的情况、军事行动或公共卫生</w:t>
      </w:r>
      <w:r>
        <w:rPr>
          <w:rFonts w:hint="eastAsia" w:ascii="Arial" w:hAnsi="Arial" w:eastAsia="宋体" w:cs="Arial"/>
          <w:snapToGrid w:val="0"/>
          <w:kern w:val="0"/>
        </w:rPr>
        <w:t>紧急</w:t>
      </w:r>
      <w:r>
        <w:rPr>
          <w:rFonts w:ascii="Arial" w:hAnsi="Arial" w:eastAsia="宋体" w:cs="Arial"/>
          <w:snapToGrid w:val="0"/>
          <w:kern w:val="0"/>
        </w:rPr>
        <w:t>事件</w:t>
      </w:r>
      <w:r>
        <w:rPr>
          <w:rStyle w:val="25"/>
          <w:rFonts w:ascii="Arial" w:hAnsi="Arial" w:eastAsia="宋体" w:cs="Arial"/>
          <w:snapToGrid w:val="0"/>
          <w:kern w:val="0"/>
        </w:rPr>
        <w:footnoteReference w:id="6"/>
      </w:r>
      <w:r>
        <w:rPr>
          <w:rFonts w:ascii="Arial" w:hAnsi="Arial" w:eastAsia="宋体" w:cs="Arial"/>
          <w:snapToGrid w:val="0"/>
          <w:kern w:val="0"/>
        </w:rPr>
        <w:t>）和</w:t>
      </w:r>
      <w:r>
        <w:rPr>
          <w:rFonts w:ascii="Arial" w:hAnsi="Arial" w:eastAsia="宋体" w:cs="Arial"/>
          <w:snapToGrid w:val="0"/>
          <w:color w:val="3333FF"/>
          <w:kern w:val="0"/>
          <w:u w:val="single"/>
        </w:rPr>
        <w:t>21 CFR 50.24</w:t>
      </w:r>
      <w:r>
        <w:rPr>
          <w:rFonts w:ascii="Arial" w:hAnsi="Arial" w:eastAsia="宋体" w:cs="Arial"/>
          <w:snapToGrid w:val="0"/>
          <w:kern w:val="0"/>
        </w:rPr>
        <w:t>（涉及紧急研究）所述的有限情况外，参加FDA监管的临床研究均需要知情同意，见21 CFR 50.20。FDA的知情同意法规中没有任何内容旨在限制医生根据适用的联邦、州或当地法律提供紧急医疗服务（21 CFR 50.25（d））。</w:t>
      </w:r>
    </w:p>
    <w:p w14:paraId="69A6D1A1">
      <w:pPr>
        <w:pStyle w:val="47"/>
        <w:numPr>
          <w:ilvl w:val="0"/>
          <w:numId w:val="4"/>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5" w:name="_Toc499801679"/>
      <w:r>
        <w:rPr>
          <w:rFonts w:ascii="Arial" w:hAnsi="Arial" w:eastAsia="宋体" w:cs="Arial"/>
          <w:bCs w:val="0"/>
          <w:snapToGrid w:val="0"/>
          <w:kern w:val="0"/>
          <w:sz w:val="24"/>
          <w:szCs w:val="24"/>
        </w:rPr>
        <w:t>胁迫和不当影响</w:t>
      </w:r>
      <w:bookmarkEnd w:id="5"/>
    </w:p>
    <w:p w14:paraId="33C9ABA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必须仔细考虑征求知情同意的情况以及受试者与获得同意人之间的关系，以尽量减少胁迫或不当影响的可能性（21 CFR 50.20）。根据Belmont报</w:t>
      </w:r>
      <w:r>
        <w:rPr>
          <w:rFonts w:ascii="宋体" w:hAnsi="宋体" w:eastAsia="宋体" w:cs="Arial"/>
          <w:snapToGrid w:val="0"/>
          <w:kern w:val="0"/>
        </w:rPr>
        <w:t>“</w:t>
      </w:r>
      <w:r>
        <w:rPr>
          <w:rFonts w:hint="eastAsia" w:ascii="宋体" w:hAnsi="宋体" w:eastAsia="宋体" w:cs="Arial"/>
          <w:snapToGrid w:val="0"/>
          <w:kern w:val="0"/>
        </w:rPr>
        <w:t>胁迫是指</w:t>
      </w:r>
      <w:r>
        <w:rPr>
          <w:rFonts w:ascii="Arial" w:hAnsi="Arial" w:eastAsia="宋体" w:cs="Arial"/>
          <w:snapToGrid w:val="0"/>
          <w:kern w:val="0"/>
        </w:rPr>
        <w:t>，一个人对另一个人故意施加有明显伤害的威胁</w:t>
      </w:r>
      <w:r>
        <w:rPr>
          <w:rFonts w:hint="eastAsia" w:ascii="Arial" w:hAnsi="Arial" w:eastAsia="宋体" w:cs="Arial"/>
          <w:snapToGrid w:val="0"/>
          <w:kern w:val="0"/>
        </w:rPr>
        <w:t>以取得服从</w:t>
      </w:r>
      <w:r>
        <w:rPr>
          <w:rFonts w:ascii="Arial" w:hAnsi="Arial" w:eastAsia="宋体" w:cs="Arial"/>
          <w:snapToGrid w:val="0"/>
          <w:kern w:val="0"/>
        </w:rPr>
        <w:t>。相反，不当影响是通过给予过度的、毫无根据的、不相称的或不适当的奖励或其他的提议</w:t>
      </w:r>
      <w:r>
        <w:rPr>
          <w:rFonts w:hint="eastAsia" w:ascii="Arial" w:hAnsi="Arial" w:eastAsia="宋体" w:cs="Arial"/>
          <w:snapToGrid w:val="0"/>
          <w:kern w:val="0"/>
        </w:rPr>
        <w:t>以取得服从</w:t>
      </w:r>
      <w:r>
        <w:rPr>
          <w:rFonts w:ascii="Arial" w:hAnsi="Arial" w:eastAsia="宋体" w:cs="Arial"/>
          <w:snapToGrid w:val="0"/>
          <w:kern w:val="0"/>
        </w:rPr>
        <w:t>。</w:t>
      </w:r>
      <w:r>
        <w:rPr>
          <w:rFonts w:ascii="宋体" w:hAnsi="宋体" w:eastAsia="宋体" w:cs="Arial"/>
          <w:snapToGrid w:val="0"/>
          <w:kern w:val="0"/>
        </w:rPr>
        <w:t>”</w:t>
      </w:r>
    </w:p>
    <w:p w14:paraId="28A4A87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例如，当雇主征求雇员参加由</w:t>
      </w:r>
      <w:r>
        <w:rPr>
          <w:rFonts w:hint="eastAsia" w:ascii="Arial" w:hAnsi="Arial" w:eastAsia="宋体" w:cs="Arial"/>
          <w:snapToGrid w:val="0"/>
          <w:kern w:val="0"/>
        </w:rPr>
        <w:t>其</w:t>
      </w:r>
      <w:r>
        <w:rPr>
          <w:rFonts w:ascii="Arial" w:hAnsi="Arial" w:eastAsia="宋体" w:cs="Arial"/>
          <w:snapToGrid w:val="0"/>
          <w:kern w:val="0"/>
        </w:rPr>
        <w:t>申办或进行的临床研究时，方案应包括保障措施，以确保自愿参加，不存在由主管、同事或其他人造成的不当影响。同样，由于潜在的利益冲突和医患关系的性质，当研究者也是预期受试者的医生时，医生应确保该了解临床研究的预期受试者自愿入组，决定放弃入组并不会对</w:t>
      </w:r>
      <w:r>
        <w:rPr>
          <w:rFonts w:hint="eastAsia" w:ascii="Arial" w:hAnsi="Arial" w:eastAsia="宋体" w:cs="Arial"/>
          <w:snapToGrid w:val="0"/>
          <w:kern w:val="0"/>
        </w:rPr>
        <w:t>其</w:t>
      </w:r>
      <w:r>
        <w:rPr>
          <w:rFonts w:ascii="Arial" w:hAnsi="Arial" w:eastAsia="宋体" w:cs="Arial"/>
          <w:snapToGrid w:val="0"/>
          <w:kern w:val="0"/>
        </w:rPr>
        <w:t>医疗造成不利影响。同意书应强调个人自愿参加。</w:t>
      </w:r>
    </w:p>
    <w:p w14:paraId="3E902F3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请注意，胁迫和不当影响可能是由环境造成的。例如，在</w:t>
      </w:r>
      <w:r>
        <w:rPr>
          <w:rFonts w:hint="eastAsia" w:ascii="Arial" w:hAnsi="Arial" w:eastAsia="宋体" w:cs="Arial"/>
          <w:snapToGrid w:val="0"/>
          <w:kern w:val="0"/>
        </w:rPr>
        <w:t>置入</w:t>
      </w:r>
      <w:r>
        <w:rPr>
          <w:rFonts w:ascii="Arial" w:hAnsi="Arial" w:eastAsia="宋体" w:cs="Arial"/>
          <w:snapToGrid w:val="0"/>
          <w:kern w:val="0"/>
        </w:rPr>
        <w:t>研究用医疗器械手术的临床研究中，等待获得潜在受试者的知情同意，直到其进入术前区域，可能无法将不当影响的可能性降至最低。</w:t>
      </w:r>
    </w:p>
    <w:p w14:paraId="4C026711">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5D075A8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此外，</w:t>
      </w:r>
      <w:r>
        <w:rPr>
          <w:rFonts w:ascii="Arial" w:hAnsi="Arial" w:eastAsia="宋体" w:cs="Arial"/>
          <w:snapToGrid w:val="0"/>
          <w:color w:val="000000"/>
          <w:kern w:val="0"/>
        </w:rPr>
        <w:t>禁止对</w:t>
      </w:r>
      <w:r>
        <w:rPr>
          <w:rFonts w:ascii="Arial" w:hAnsi="Arial" w:eastAsia="宋体" w:cs="Arial"/>
          <w:snapToGrid w:val="0"/>
          <w:kern w:val="0"/>
        </w:rPr>
        <w:t>研究用供试品声明</w:t>
      </w:r>
      <w:r>
        <w:rPr>
          <w:rFonts w:ascii="Arial" w:hAnsi="Arial" w:eastAsia="宋体" w:cs="Arial"/>
          <w:snapToGrid w:val="0"/>
          <w:color w:val="000000"/>
          <w:kern w:val="0"/>
        </w:rPr>
        <w:t>其</w:t>
      </w:r>
      <w:r>
        <w:rPr>
          <w:rFonts w:ascii="Arial" w:hAnsi="Arial" w:eastAsia="宋体" w:cs="Arial"/>
          <w:snapToGrid w:val="0"/>
          <w:kern w:val="0"/>
        </w:rPr>
        <w:t>研究</w:t>
      </w:r>
      <w:r>
        <w:rPr>
          <w:rFonts w:ascii="Arial" w:hAnsi="Arial" w:eastAsia="宋体" w:cs="Arial"/>
          <w:snapToGrid w:val="0"/>
          <w:color w:val="000000"/>
          <w:kern w:val="0"/>
        </w:rPr>
        <w:t>目的安全或有效</w:t>
      </w:r>
      <w:r>
        <w:rPr>
          <w:rFonts w:ascii="Arial" w:hAnsi="Arial" w:eastAsia="宋体" w:cs="Arial"/>
          <w:snapToGrid w:val="0"/>
          <w:kern w:val="0"/>
        </w:rPr>
        <w:t>（21 CFR 312.7（a）和21 CFR 812.7（d））。同样，应避免不恰当地夸大潜在收益的说明，因为这些说明可能会对潜在受试者产生不当影响。谨慎的措辞是为了避免夸大潜在收益，其可能造成受试者</w:t>
      </w:r>
      <w:r>
        <w:rPr>
          <w:rFonts w:hint="eastAsia" w:ascii="Arial" w:hAnsi="Arial" w:eastAsia="宋体" w:cs="Arial"/>
          <w:snapToGrid w:val="0"/>
          <w:kern w:val="0"/>
        </w:rPr>
        <w:t>的</w:t>
      </w:r>
      <w:r>
        <w:rPr>
          <w:rFonts w:ascii="Arial" w:hAnsi="Arial" w:eastAsia="宋体" w:cs="Arial"/>
          <w:snapToGrid w:val="0"/>
          <w:kern w:val="0"/>
        </w:rPr>
        <w:t>治疗误解</w:t>
      </w:r>
      <w:r>
        <w:rPr>
          <w:rStyle w:val="25"/>
          <w:rFonts w:ascii="Arial" w:hAnsi="Arial" w:eastAsia="宋体" w:cs="Arial"/>
          <w:snapToGrid w:val="0"/>
          <w:kern w:val="0"/>
        </w:rPr>
        <w:footnoteReference w:id="7"/>
      </w:r>
      <w:r>
        <w:rPr>
          <w:rFonts w:ascii="Arial" w:hAnsi="Arial" w:eastAsia="宋体" w:cs="Arial"/>
          <w:snapToGrid w:val="0"/>
          <w:kern w:val="0"/>
        </w:rPr>
        <w:t>。</w:t>
      </w:r>
    </w:p>
    <w:p w14:paraId="1C72B26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而且，应避免诸如</w:t>
      </w:r>
      <w:r>
        <w:rPr>
          <w:rFonts w:ascii="宋体" w:hAnsi="宋体" w:eastAsia="宋体" w:cs="Arial"/>
          <w:snapToGrid w:val="0"/>
          <w:kern w:val="0"/>
        </w:rPr>
        <w:t>“</w:t>
      </w:r>
      <w:r>
        <w:rPr>
          <w:rFonts w:ascii="Arial" w:hAnsi="Arial" w:eastAsia="宋体" w:cs="Arial"/>
          <w:snapToGrid w:val="0"/>
          <w:kern w:val="0"/>
        </w:rPr>
        <w:t>FDA已准许进行临床研究</w:t>
      </w:r>
      <w:r>
        <w:rPr>
          <w:rFonts w:ascii="宋体" w:hAnsi="宋体" w:eastAsia="宋体" w:cs="Arial"/>
          <w:snapToGrid w:val="0"/>
          <w:kern w:val="0"/>
        </w:rPr>
        <w:t>”</w:t>
      </w:r>
      <w:r>
        <w:rPr>
          <w:rFonts w:ascii="Arial" w:hAnsi="Arial" w:eastAsia="宋体" w:cs="Arial"/>
          <w:snapToGrid w:val="0"/>
          <w:kern w:val="0"/>
        </w:rPr>
        <w:t>或</w:t>
      </w:r>
      <w:r>
        <w:rPr>
          <w:rFonts w:ascii="宋体" w:hAnsi="宋体" w:eastAsia="宋体" w:cs="Arial"/>
          <w:snapToGrid w:val="0"/>
          <w:kern w:val="0"/>
        </w:rPr>
        <w:t>“</w:t>
      </w:r>
      <w:r>
        <w:rPr>
          <w:rFonts w:ascii="Arial" w:hAnsi="Arial" w:eastAsia="宋体" w:cs="Arial"/>
          <w:snapToGrid w:val="0"/>
          <w:kern w:val="0"/>
        </w:rPr>
        <w:t>FDA已批准临床研究</w:t>
      </w:r>
      <w:r>
        <w:rPr>
          <w:rFonts w:ascii="宋体" w:hAnsi="宋体" w:eastAsia="宋体" w:cs="Arial"/>
          <w:snapToGrid w:val="0"/>
          <w:kern w:val="0"/>
        </w:rPr>
        <w:t>”</w:t>
      </w:r>
      <w:r>
        <w:rPr>
          <w:rFonts w:ascii="Arial" w:hAnsi="Arial" w:eastAsia="宋体" w:cs="Arial"/>
          <w:snapToGrid w:val="0"/>
          <w:kern w:val="0"/>
        </w:rPr>
        <w:t>等陈述，因为这样的陈述可能会造成该研究得到了FDA支持的错误印象。</w:t>
      </w:r>
    </w:p>
    <w:p w14:paraId="6D2D9D91">
      <w:pPr>
        <w:pStyle w:val="47"/>
        <w:numPr>
          <w:ilvl w:val="0"/>
          <w:numId w:val="4"/>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6" w:name="_Toc499801680"/>
      <w:r>
        <w:rPr>
          <w:rFonts w:ascii="Arial" w:hAnsi="Arial" w:eastAsia="宋体" w:cs="Arial"/>
          <w:bCs w:val="0"/>
          <w:snapToGrid w:val="0"/>
          <w:kern w:val="0"/>
          <w:sz w:val="24"/>
          <w:szCs w:val="24"/>
        </w:rPr>
        <w:t>受试者或其法定授权代表可以理解的语言</w:t>
      </w:r>
      <w:r>
        <w:rPr>
          <w:rStyle w:val="25"/>
          <w:rFonts w:ascii="Arial" w:hAnsi="Arial" w:eastAsia="宋体" w:cs="Arial"/>
          <w:bCs w:val="0"/>
          <w:snapToGrid w:val="0"/>
          <w:kern w:val="0"/>
          <w:sz w:val="24"/>
          <w:szCs w:val="24"/>
        </w:rPr>
        <w:footnoteReference w:id="8"/>
      </w:r>
      <w:bookmarkEnd w:id="6"/>
    </w:p>
    <w:p w14:paraId="6B78038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提供给受试者的信息，可能包括在同意访谈时口头提供的信息或同意书中的书面信息，其语言必须是潜在受试者或其合法授权代表（21 CFR 50.20）所能理解的。</w:t>
      </w:r>
      <w:r>
        <w:rPr>
          <w:rFonts w:ascii="宋体" w:hAnsi="宋体" w:eastAsia="宋体" w:cs="Arial"/>
          <w:snapToGrid w:val="0"/>
          <w:kern w:val="0"/>
        </w:rPr>
        <w:t>“</w:t>
      </w:r>
      <w:r>
        <w:rPr>
          <w:rFonts w:ascii="Arial" w:hAnsi="Arial" w:eastAsia="宋体" w:cs="Arial"/>
          <w:snapToGrid w:val="0"/>
          <w:kern w:val="0"/>
        </w:rPr>
        <w:t>能理解</w:t>
      </w:r>
      <w:r>
        <w:rPr>
          <w:rFonts w:ascii="宋体" w:hAnsi="宋体" w:eastAsia="宋体" w:cs="Arial"/>
          <w:snapToGrid w:val="0"/>
          <w:kern w:val="0"/>
        </w:rPr>
        <w:t>”</w:t>
      </w:r>
      <w:r>
        <w:rPr>
          <w:rFonts w:ascii="Arial" w:hAnsi="Arial" w:eastAsia="宋体" w:cs="Arial"/>
          <w:snapToGrid w:val="0"/>
          <w:kern w:val="0"/>
        </w:rPr>
        <w:t>是指给予潜在受试者的信息是以该受试者能够理解的语言和水平呈现的（包括对科学和医学术语的解释）。为了确保信息是可以理解的，应该注意的是，超过三分之一的美国成年人（7700万人），具有基础的或低于基础的健康认知力</w:t>
      </w:r>
      <w:r>
        <w:rPr>
          <w:rStyle w:val="25"/>
          <w:rFonts w:ascii="Arial" w:hAnsi="Arial" w:eastAsia="宋体" w:cs="Arial"/>
          <w:snapToGrid w:val="0"/>
          <w:kern w:val="0"/>
        </w:rPr>
        <w:footnoteReference w:id="9"/>
      </w:r>
      <w:r>
        <w:rPr>
          <w:rFonts w:ascii="Arial" w:hAnsi="Arial" w:eastAsia="宋体" w:cs="Arial"/>
          <w:snapToGrid w:val="0"/>
          <w:kern w:val="0"/>
        </w:rPr>
        <w:t>，有限的健康认知影响了所有种族和族裔群体的成年人</w:t>
      </w:r>
      <w:r>
        <w:rPr>
          <w:rStyle w:val="25"/>
          <w:rFonts w:ascii="Arial" w:hAnsi="Arial" w:eastAsia="宋体" w:cs="Arial"/>
          <w:snapToGrid w:val="0"/>
          <w:kern w:val="0"/>
        </w:rPr>
        <w:footnoteReference w:id="10"/>
      </w:r>
      <w:r>
        <w:rPr>
          <w:rFonts w:ascii="Arial" w:hAnsi="Arial" w:eastAsia="宋体" w:cs="Arial"/>
          <w:snapToGrid w:val="0"/>
          <w:kern w:val="0"/>
        </w:rPr>
        <w:t>。此外，超过一半的美国成年人具有基础的或低于基础的读写能力</w:t>
      </w:r>
      <w:r>
        <w:rPr>
          <w:rStyle w:val="25"/>
          <w:rFonts w:ascii="Arial" w:hAnsi="Arial" w:eastAsia="宋体" w:cs="Arial"/>
          <w:snapToGrid w:val="0"/>
          <w:kern w:val="0"/>
        </w:rPr>
        <w:footnoteReference w:id="11"/>
      </w:r>
      <w:r>
        <w:rPr>
          <w:rFonts w:ascii="Arial" w:hAnsi="Arial" w:eastAsia="宋体" w:cs="Arial"/>
          <w:snapToGrid w:val="0"/>
          <w:kern w:val="0"/>
        </w:rPr>
        <w:t>，健康、风险和收益数据的数字对其是个挑战。</w:t>
      </w:r>
    </w:p>
    <w:p w14:paraId="0A51DC2F">
      <w:pPr>
        <w:pStyle w:val="47"/>
        <w:numPr>
          <w:ilvl w:val="0"/>
          <w:numId w:val="4"/>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7" w:name="_Toc499801681"/>
      <w:r>
        <w:rPr>
          <w:rFonts w:ascii="Arial" w:hAnsi="Arial" w:eastAsia="宋体" w:cs="Arial"/>
          <w:bCs w:val="0"/>
          <w:snapToGrid w:val="0"/>
          <w:kern w:val="0"/>
          <w:sz w:val="24"/>
          <w:szCs w:val="24"/>
        </w:rPr>
        <w:t>开脱性语言</w:t>
      </w:r>
      <w:bookmarkEnd w:id="7"/>
    </w:p>
    <w:p w14:paraId="42E6EA8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同意程序不得包含使受试者放弃或似乎放弃任何合法权利的开脱性语言，或豁免或似乎豁免研究者、申办方、机构或其代理人的过失责任。（21 CFR 50.20）。FDA认为，</w:t>
      </w:r>
      <w:r>
        <w:rPr>
          <w:rFonts w:ascii="Arial" w:hAnsi="Arial" w:eastAsia="宋体" w:cs="Arial"/>
          <w:i/>
          <w:snapToGrid w:val="0"/>
          <w:kern w:val="0"/>
        </w:rPr>
        <w:t>开脱性语言</w:t>
      </w:r>
      <w:r>
        <w:rPr>
          <w:rFonts w:ascii="Arial" w:hAnsi="Arial" w:eastAsia="宋体" w:cs="Arial"/>
          <w:snapToGrid w:val="0"/>
          <w:kern w:val="0"/>
        </w:rPr>
        <w:t>具有免除或似乎免除个人或实体的渎职、过失、责任、过错或罪责</w:t>
      </w:r>
      <w:r>
        <w:rPr>
          <w:rFonts w:hint="eastAsia" w:ascii="Arial" w:hAnsi="Arial" w:eastAsia="宋体" w:cs="Arial"/>
          <w:snapToGrid w:val="0"/>
          <w:kern w:val="0"/>
        </w:rPr>
        <w:t>等</w:t>
      </w:r>
      <w:r>
        <w:rPr>
          <w:rFonts w:ascii="Arial" w:hAnsi="Arial" w:eastAsia="宋体" w:cs="Arial"/>
          <w:snapToGrid w:val="0"/>
          <w:kern w:val="0"/>
        </w:rPr>
        <w:t>一般效果</w:t>
      </w:r>
      <w:r>
        <w:rPr>
          <w:rFonts w:hint="eastAsia" w:ascii="Arial" w:hAnsi="Arial" w:eastAsia="宋体" w:cs="Arial"/>
          <w:snapToGrid w:val="0"/>
          <w:kern w:val="0"/>
        </w:rPr>
        <w:t>的语言</w:t>
      </w:r>
      <w:r>
        <w:rPr>
          <w:rFonts w:ascii="Arial" w:hAnsi="Arial" w:eastAsia="宋体" w:cs="Arial"/>
          <w:snapToGrid w:val="0"/>
          <w:kern w:val="0"/>
        </w:rPr>
        <w:t>。</w:t>
      </w:r>
    </w:p>
    <w:p w14:paraId="408B82E5">
      <w:pPr>
        <w:adjustRightInd/>
        <w:snapToGrid/>
        <w:spacing w:line="240" w:lineRule="auto"/>
        <w:rPr>
          <w:rFonts w:ascii="Arial" w:hAnsi="Arial" w:eastAsia="宋体" w:cs="Arial"/>
          <w:snapToGrid w:val="0"/>
          <w:szCs w:val="20"/>
          <w:vertAlign w:val="superscript"/>
        </w:rPr>
      </w:pPr>
      <w:r>
        <w:rPr>
          <w:rFonts w:ascii="Arial" w:hAnsi="Arial" w:eastAsia="宋体" w:cs="Arial"/>
          <w:snapToGrid w:val="0"/>
          <w:szCs w:val="20"/>
          <w:vertAlign w:val="superscript"/>
        </w:rPr>
        <w:br w:type="page"/>
      </w:r>
    </w:p>
    <w:p w14:paraId="13BA337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以下是违反21 CFR 50.20的开脱性语言的</w:t>
      </w:r>
      <w:r>
        <w:rPr>
          <w:rFonts w:hint="eastAsia" w:ascii="Arial" w:hAnsi="Arial" w:eastAsia="宋体" w:cs="Arial"/>
          <w:snapToGrid w:val="0"/>
          <w:kern w:val="0"/>
        </w:rPr>
        <w:t>示例</w:t>
      </w:r>
      <w:r>
        <w:rPr>
          <w:rFonts w:ascii="Arial" w:hAnsi="Arial" w:eastAsia="宋体" w:cs="Arial"/>
          <w:snapToGrid w:val="0"/>
          <w:kern w:val="0"/>
        </w:rPr>
        <w:t>，因此不能出现在同意书中</w:t>
      </w:r>
      <w:r>
        <w:rPr>
          <w:rStyle w:val="25"/>
          <w:rFonts w:ascii="Arial" w:hAnsi="Arial" w:eastAsia="宋体" w:cs="Arial"/>
          <w:snapToGrid w:val="0"/>
          <w:kern w:val="0"/>
        </w:rPr>
        <w:footnoteReference w:id="12"/>
      </w:r>
      <w:r>
        <w:rPr>
          <w:rFonts w:ascii="Arial" w:hAnsi="Arial" w:eastAsia="宋体" w:cs="Arial"/>
          <w:snapToGrid w:val="0"/>
          <w:kern w:val="0"/>
        </w:rPr>
        <w:t>：</w:t>
      </w:r>
    </w:p>
    <w:p w14:paraId="2EF700EF">
      <w:pPr>
        <w:pStyle w:val="45"/>
        <w:numPr>
          <w:ilvl w:val="0"/>
          <w:numId w:val="5"/>
        </w:numPr>
        <w:shd w:val="clear" w:color="auto" w:fill="auto"/>
        <w:topLinePunct/>
        <w:adjustRightInd w:val="0"/>
        <w:snapToGrid w:val="0"/>
        <w:spacing w:before="0" w:after="244" w:afterLines="75" w:line="288" w:lineRule="auto"/>
        <w:ind w:left="1416" w:leftChars="349" w:hanging="578"/>
        <w:rPr>
          <w:rFonts w:ascii="Arial" w:hAnsi="Arial" w:eastAsia="宋体" w:cs="Arial"/>
          <w:snapToGrid w:val="0"/>
          <w:kern w:val="0"/>
        </w:rPr>
      </w:pPr>
      <w:r>
        <w:rPr>
          <w:rFonts w:ascii="Arial" w:hAnsi="Arial" w:eastAsia="宋体" w:cs="Arial"/>
          <w:snapToGrid w:val="0"/>
          <w:kern w:val="0"/>
        </w:rPr>
        <w:t>对于因参加本研究可能受到的伤害，我放弃任何赔偿的可能性，包括起诉权。</w:t>
      </w:r>
    </w:p>
    <w:p w14:paraId="728FC5B1">
      <w:pPr>
        <w:pStyle w:val="45"/>
        <w:numPr>
          <w:ilvl w:val="0"/>
          <w:numId w:val="5"/>
        </w:numPr>
        <w:shd w:val="clear" w:color="auto" w:fill="auto"/>
        <w:topLinePunct/>
        <w:adjustRightInd w:val="0"/>
        <w:snapToGrid w:val="0"/>
        <w:spacing w:before="0" w:after="244" w:afterLines="75" w:line="288" w:lineRule="auto"/>
        <w:ind w:left="1416" w:leftChars="349" w:hanging="578"/>
        <w:rPr>
          <w:rFonts w:ascii="Arial" w:hAnsi="Arial" w:eastAsia="宋体" w:cs="Arial"/>
          <w:snapToGrid w:val="0"/>
          <w:kern w:val="0"/>
        </w:rPr>
      </w:pPr>
      <w:r>
        <w:rPr>
          <w:rFonts w:ascii="Arial" w:hAnsi="Arial" w:eastAsia="宋体" w:cs="Arial"/>
          <w:snapToGrid w:val="0"/>
          <w:kern w:val="0"/>
        </w:rPr>
        <w:t>如果您遭受与研究相关的伤害，本机构和研究者均不承担因此类伤害所发生治疗费用的财务责任或赔偿责任。</w:t>
      </w:r>
    </w:p>
    <w:p w14:paraId="268137E6">
      <w:pPr>
        <w:pStyle w:val="45"/>
        <w:numPr>
          <w:ilvl w:val="0"/>
          <w:numId w:val="5"/>
        </w:numPr>
        <w:shd w:val="clear" w:color="auto" w:fill="auto"/>
        <w:topLinePunct/>
        <w:adjustRightInd w:val="0"/>
        <w:snapToGrid w:val="0"/>
        <w:spacing w:before="0" w:after="244" w:afterLines="75" w:line="288" w:lineRule="auto"/>
        <w:ind w:left="1416" w:leftChars="349" w:hanging="578"/>
        <w:rPr>
          <w:rFonts w:ascii="Arial" w:hAnsi="Arial" w:eastAsia="宋体" w:cs="Arial"/>
          <w:snapToGrid w:val="0"/>
          <w:kern w:val="0"/>
        </w:rPr>
      </w:pPr>
      <w:r>
        <w:rPr>
          <w:rFonts w:ascii="Arial" w:hAnsi="Arial" w:eastAsia="宋体" w:cs="Arial"/>
          <w:snapToGrid w:val="0"/>
          <w:kern w:val="0"/>
        </w:rPr>
        <w:t>如果您遭受与研究相关的伤害，您的医疗费用将由您</w:t>
      </w:r>
      <w:r>
        <w:rPr>
          <w:rFonts w:hint="eastAsia" w:ascii="Arial" w:hAnsi="Arial" w:eastAsia="宋体" w:cs="Arial"/>
          <w:snapToGrid w:val="0"/>
          <w:kern w:val="0"/>
        </w:rPr>
        <w:t>个人</w:t>
      </w:r>
      <w:r>
        <w:rPr>
          <w:rFonts w:ascii="Arial" w:hAnsi="Arial" w:eastAsia="宋体" w:cs="Arial"/>
          <w:snapToGrid w:val="0"/>
          <w:kern w:val="0"/>
        </w:rPr>
        <w:t>承担，或由您的第三方付款人承担。</w:t>
      </w:r>
    </w:p>
    <w:p w14:paraId="222D5065">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以下举例说明一例受试者在某些情况下，试图收集</w:t>
      </w:r>
      <w:r>
        <w:rPr>
          <w:rFonts w:hint="eastAsia" w:ascii="Arial" w:hAnsi="Arial" w:eastAsia="宋体" w:cs="Arial"/>
          <w:snapToGrid w:val="0"/>
          <w:kern w:val="0"/>
        </w:rPr>
        <w:t>未放弃</w:t>
      </w:r>
      <w:r>
        <w:rPr>
          <w:rFonts w:ascii="Arial" w:hAnsi="Arial" w:eastAsia="宋体" w:cs="Arial"/>
          <w:snapToGrid w:val="0"/>
          <w:kern w:val="0"/>
        </w:rPr>
        <w:t>与研究相关的伤害赔偿的合法权利。其他同样表达这一概念的语言也是可以接受的（更多实例请参见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III.B.6</w:t>
      </w:r>
      <w:r>
        <w:rPr>
          <w:rFonts w:hint="eastAsia" w:ascii="Arial" w:hAnsi="Arial" w:eastAsia="宋体" w:cs="Arial"/>
          <w:snapToGrid w:val="0"/>
          <w:color w:val="3333FF"/>
          <w:kern w:val="0"/>
          <w:u w:val="single"/>
        </w:rPr>
        <w:t>节</w:t>
      </w:r>
      <w:r>
        <w:rPr>
          <w:rFonts w:ascii="宋体" w:hAnsi="宋体" w:eastAsia="宋体" w:cs="Arial"/>
          <w:snapToGrid w:val="0"/>
          <w:kern w:val="0"/>
        </w:rPr>
        <w:t>“</w:t>
      </w:r>
      <w:r>
        <w:rPr>
          <w:rFonts w:ascii="Arial" w:hAnsi="Arial" w:eastAsia="宋体" w:cs="Arial"/>
          <w:snapToGrid w:val="0"/>
          <w:kern w:val="0"/>
        </w:rPr>
        <w:t>伤害事件的赔偿和医疗治疗</w:t>
      </w:r>
      <w:r>
        <w:rPr>
          <w:rFonts w:ascii="宋体" w:hAnsi="宋体" w:eastAsia="宋体" w:cs="Arial"/>
          <w:snapToGrid w:val="0"/>
          <w:kern w:val="0"/>
        </w:rPr>
        <w:t>”</w:t>
      </w:r>
      <w:r>
        <w:rPr>
          <w:rFonts w:ascii="Arial" w:hAnsi="Arial" w:eastAsia="宋体" w:cs="Arial"/>
          <w:snapToGrid w:val="0"/>
          <w:kern w:val="0"/>
        </w:rPr>
        <w:t>）。</w:t>
      </w:r>
    </w:p>
    <w:p w14:paraId="2DC0C70E">
      <w:pPr>
        <w:pStyle w:val="45"/>
        <w:numPr>
          <w:ilvl w:val="0"/>
          <w:numId w:val="5"/>
        </w:numPr>
        <w:shd w:val="clear" w:color="auto" w:fill="auto"/>
        <w:topLinePunct/>
        <w:adjustRightInd w:val="0"/>
        <w:snapToGrid w:val="0"/>
        <w:spacing w:before="0" w:after="244" w:afterLines="75" w:line="288" w:lineRule="auto"/>
        <w:ind w:left="1416" w:leftChars="349" w:hanging="578"/>
        <w:rPr>
          <w:rFonts w:ascii="Arial" w:hAnsi="Arial" w:eastAsia="宋体" w:cs="Arial"/>
          <w:snapToGrid w:val="0"/>
          <w:kern w:val="0"/>
        </w:rPr>
      </w:pPr>
      <w:r>
        <w:rPr>
          <w:rFonts w:ascii="Arial" w:hAnsi="Arial" w:eastAsia="宋体" w:cs="Arial"/>
          <w:snapToGrid w:val="0"/>
          <w:kern w:val="0"/>
        </w:rPr>
        <w:t>如果您遭受与研究相关的伤害，您的医疗费用将由您或您的第三方付款人承担，但是，不排除您试图收集研究所涉及的那些与渎职、错误或过失有关的损害赔偿的部分。</w:t>
      </w:r>
    </w:p>
    <w:p w14:paraId="0CB4CF12">
      <w:pPr>
        <w:pStyle w:val="45"/>
        <w:numPr>
          <w:ilvl w:val="0"/>
          <w:numId w:val="3"/>
        </w:numPr>
        <w:shd w:val="clear" w:color="auto" w:fill="auto"/>
        <w:topLinePunct/>
        <w:adjustRightInd w:val="0"/>
        <w:snapToGrid w:val="0"/>
        <w:spacing w:before="0" w:after="244" w:afterLines="75" w:line="288" w:lineRule="auto"/>
        <w:ind w:left="357" w:hanging="357"/>
        <w:outlineLvl w:val="1"/>
        <w:rPr>
          <w:rFonts w:ascii="Arial" w:hAnsi="Arial" w:eastAsia="宋体" w:cs="Arial"/>
          <w:b/>
          <w:snapToGrid w:val="0"/>
          <w:kern w:val="0"/>
        </w:rPr>
      </w:pPr>
      <w:bookmarkStart w:id="8" w:name="_Toc499801682"/>
      <w:r>
        <w:rPr>
          <w:rFonts w:ascii="Arial" w:hAnsi="Arial" w:eastAsia="宋体" w:cs="Arial"/>
          <w:b/>
          <w:snapToGrid w:val="0"/>
          <w:kern w:val="0"/>
        </w:rPr>
        <w:t>知情同意的基本要素</w:t>
      </w:r>
      <w:bookmarkEnd w:id="8"/>
    </w:p>
    <w:p w14:paraId="00BCFC91">
      <w:pPr>
        <w:pStyle w:val="53"/>
        <w:numPr>
          <w:ilvl w:val="0"/>
          <w:numId w:val="6"/>
        </w:numPr>
        <w:shd w:val="clear" w:color="auto" w:fill="auto"/>
        <w:topLinePunct/>
        <w:adjustRightInd w:val="0"/>
        <w:snapToGrid w:val="0"/>
        <w:spacing w:before="0" w:after="244" w:afterLines="75" w:line="288" w:lineRule="auto"/>
        <w:ind w:left="1276" w:hanging="856"/>
        <w:jc w:val="both"/>
        <w:rPr>
          <w:rFonts w:ascii="Arial" w:hAnsi="Arial" w:eastAsia="宋体" w:cs="Arial"/>
          <w:snapToGrid w:val="0"/>
          <w:kern w:val="0"/>
          <w:sz w:val="24"/>
          <w:szCs w:val="24"/>
        </w:rPr>
      </w:pPr>
      <w:r>
        <w:rPr>
          <w:rFonts w:ascii="Arial" w:hAnsi="Arial" w:eastAsia="宋体" w:cs="Arial"/>
          <w:snapToGrid w:val="0"/>
          <w:kern w:val="0"/>
          <w:sz w:val="24"/>
          <w:szCs w:val="24"/>
        </w:rPr>
        <w:t>知情同意的基本要素。在征求知情同意时，应向每例受试者提供以下信息：（21 CFR 50.25（a））</w:t>
      </w:r>
    </w:p>
    <w:p w14:paraId="393896B4">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9" w:name="_Toc499801683"/>
      <w:r>
        <w:rPr>
          <w:rFonts w:ascii="Arial" w:hAnsi="Arial" w:eastAsia="宋体" w:cs="Arial"/>
          <w:bCs w:val="0"/>
          <w:snapToGrid w:val="0"/>
          <w:kern w:val="0"/>
          <w:sz w:val="24"/>
          <w:szCs w:val="24"/>
        </w:rPr>
        <w:t>临床研究的描述</w:t>
      </w:r>
      <w:bookmarkEnd w:id="9"/>
    </w:p>
    <w:p w14:paraId="5AD93D75">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该研究所涉及的研究声明，对研究目的的解释和受试者参加研究的预计持续时间，对应遵循程序的描述以及对任何实验性程序的识别。（21 CFR 50.25（a）（1））。</w:t>
      </w:r>
    </w:p>
    <w:p w14:paraId="44B2311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临床研究所涉及研究</w:t>
      </w:r>
      <w:r>
        <w:rPr>
          <w:rFonts w:hint="eastAsia" w:ascii="Arial" w:hAnsi="Arial" w:eastAsia="宋体" w:cs="Arial"/>
          <w:snapToGrid w:val="0"/>
          <w:kern w:val="0"/>
        </w:rPr>
        <w:t>的</w:t>
      </w:r>
      <w:r>
        <w:rPr>
          <w:rFonts w:ascii="Arial" w:hAnsi="Arial" w:eastAsia="宋体" w:cs="Arial"/>
          <w:snapToGrid w:val="0"/>
          <w:kern w:val="0"/>
        </w:rPr>
        <w:t>清晰声明是非常重要的，以便使潜在受试者意识到尽管可能有初步的数据（台架</w:t>
      </w:r>
      <w:r>
        <w:rPr>
          <w:rFonts w:hint="eastAsia" w:ascii="Arial" w:hAnsi="Arial" w:eastAsia="宋体" w:cs="Arial"/>
          <w:snapToGrid w:val="0"/>
          <w:kern w:val="0"/>
        </w:rPr>
        <w:t>测试</w:t>
      </w:r>
      <w:r>
        <w:rPr>
          <w:rFonts w:ascii="Arial" w:hAnsi="Arial" w:eastAsia="宋体" w:cs="Arial"/>
          <w:snapToGrid w:val="0"/>
          <w:kern w:val="0"/>
        </w:rPr>
        <w:t>、动物试验、</w:t>
      </w:r>
      <w:r>
        <w:rPr>
          <w:rFonts w:hint="eastAsia" w:ascii="Arial" w:hAnsi="Arial" w:eastAsia="宋体" w:cs="Arial"/>
          <w:snapToGrid w:val="0"/>
          <w:kern w:val="0"/>
        </w:rPr>
        <w:t>初步</w:t>
      </w:r>
      <w:r>
        <w:rPr>
          <w:rFonts w:ascii="Arial" w:hAnsi="Arial" w:eastAsia="宋体" w:cs="Arial"/>
          <w:snapToGrid w:val="0"/>
          <w:kern w:val="0"/>
        </w:rPr>
        <w:t>研究、文献资料），但他们参加的目的主要是为了研究（例如，评估供试品的安全性和有效性，评估已批准药物的不同剂量或给药途径等），而不是</w:t>
      </w:r>
      <w:r>
        <w:rPr>
          <w:rFonts w:hint="eastAsia" w:ascii="Arial" w:hAnsi="Arial" w:eastAsia="宋体" w:cs="Arial"/>
          <w:snapToGrid w:val="0"/>
          <w:kern w:val="0"/>
        </w:rPr>
        <w:t>出于个人</w:t>
      </w:r>
      <w:r>
        <w:rPr>
          <w:rFonts w:ascii="Arial" w:hAnsi="Arial" w:eastAsia="宋体" w:cs="Arial"/>
          <w:snapToGrid w:val="0"/>
          <w:kern w:val="0"/>
        </w:rPr>
        <w:t>医学治疗。</w:t>
      </w:r>
    </w:p>
    <w:p w14:paraId="5AB65B18">
      <w:pPr>
        <w:widowControl w:val="0"/>
        <w:topLinePunct/>
        <w:spacing w:after="244" w:afterLines="75" w:line="288" w:lineRule="auto"/>
        <w:jc w:val="both"/>
        <w:rPr>
          <w:rFonts w:ascii="Arial" w:hAnsi="Arial" w:eastAsia="宋体" w:cs="Arial"/>
          <w:snapToGrid w:val="0"/>
          <w:szCs w:val="20"/>
        </w:rPr>
      </w:pPr>
      <w:r>
        <w:rPr>
          <w:rFonts w:ascii="Arial" w:hAnsi="Arial" w:eastAsia="宋体" w:cs="Arial"/>
          <w:b/>
          <w:bCs/>
          <w:snapToGrid w:val="0"/>
          <w:szCs w:val="20"/>
        </w:rPr>
        <w:br w:type="page"/>
      </w:r>
    </w:p>
    <w:p w14:paraId="0B13880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FDA建议，首先应告知潜在受试者患者可能会接受的治疗（如果不是研究的一部分），然后再提供有关研究的信息，这个顺序允许潜在受试者了解研究与他们可能</w:t>
      </w:r>
      <w:r>
        <w:rPr>
          <w:rFonts w:hint="eastAsia" w:ascii="Arial" w:hAnsi="Arial" w:eastAsia="宋体" w:cs="Arial"/>
          <w:snapToGrid w:val="0"/>
          <w:kern w:val="0"/>
        </w:rPr>
        <w:t>获得</w:t>
      </w:r>
      <w:r>
        <w:rPr>
          <w:rFonts w:ascii="Arial" w:hAnsi="Arial" w:eastAsia="宋体" w:cs="Arial"/>
          <w:snapToGrid w:val="0"/>
          <w:kern w:val="0"/>
        </w:rPr>
        <w:t>治疗的不同之处。该说明应明确指出，将不会执行作为常规治疗一部分的检测或程序，并指出那些在方案中所要求的、在研究之外的不属于他们治疗的部分，例如，用于药代动力学研究的血液样品采集。所提供的信息还应告知潜在受试者关于这些治疗差异的可能后果。请注意，所有的实验程序都必须如此明确。（21 CFR 50.25（a）（1））。必须对仅与研究有关的程序（例如，方案的规定剂量与个体化剂量的对比，随机分配治疗，受试者和研究者的盲法，以及若为安慰剂对照研究</w:t>
      </w:r>
      <w:r>
        <w:rPr>
          <w:rFonts w:hint="eastAsia" w:ascii="Arial" w:hAnsi="Arial" w:eastAsia="宋体" w:cs="Arial"/>
          <w:snapToGrid w:val="0"/>
          <w:kern w:val="0"/>
        </w:rPr>
        <w:t>则应</w:t>
      </w:r>
      <w:r>
        <w:rPr>
          <w:rFonts w:ascii="Arial" w:hAnsi="Arial" w:eastAsia="宋体" w:cs="Arial"/>
          <w:snapToGrid w:val="0"/>
          <w:kern w:val="0"/>
        </w:rPr>
        <w:t>接受安慰剂）进行解释。</w:t>
      </w:r>
    </w:p>
    <w:p w14:paraId="405F753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临床研究的描述必须说明供试品和对照品，该描述应包括关于供试品和对照品的已知信息。例如，该描述应指出供试品是否批准／许可上市并说明其用途。可以澄清的是，已上市产品可由医疗保健从业者开具处方，用于标签所示适应症，以及用于</w:t>
      </w:r>
      <w:r>
        <w:rPr>
          <w:rFonts w:hint="eastAsia" w:ascii="Arial" w:hAnsi="Arial" w:eastAsia="宋体" w:cs="Arial"/>
          <w:snapToGrid w:val="0"/>
          <w:kern w:val="0"/>
        </w:rPr>
        <w:t>其</w:t>
      </w:r>
      <w:r>
        <w:rPr>
          <w:rFonts w:ascii="Arial" w:hAnsi="Arial" w:eastAsia="宋体" w:cs="Arial"/>
          <w:snapToGrid w:val="0"/>
          <w:kern w:val="0"/>
        </w:rPr>
        <w:t>确定为合理的其他情况／疾病。该描述还应指出有关研究中使用的任何对照品相关信息。例如，对照品是医学上公认的治疗标准</w:t>
      </w:r>
      <w:r>
        <w:rPr>
          <w:rStyle w:val="25"/>
          <w:rFonts w:ascii="Arial" w:hAnsi="Arial" w:eastAsia="宋体" w:cs="Arial"/>
          <w:snapToGrid w:val="0"/>
          <w:kern w:val="0"/>
        </w:rPr>
        <w:footnoteReference w:id="13"/>
      </w:r>
      <w:r>
        <w:rPr>
          <w:rFonts w:ascii="Arial" w:hAnsi="Arial" w:eastAsia="宋体" w:cs="Arial"/>
          <w:snapToGrid w:val="0"/>
          <w:kern w:val="0"/>
        </w:rPr>
        <w:t>还是安慰剂（包括安慰剂的</w:t>
      </w:r>
      <w:r>
        <w:rPr>
          <w:rFonts w:hint="eastAsia" w:ascii="Arial" w:hAnsi="Arial" w:eastAsia="宋体" w:cs="Arial"/>
          <w:snapToGrid w:val="0"/>
          <w:kern w:val="0"/>
        </w:rPr>
        <w:t>定义说明</w:t>
      </w:r>
      <w:r>
        <w:rPr>
          <w:rFonts w:ascii="Arial" w:hAnsi="Arial" w:eastAsia="宋体" w:cs="Arial"/>
          <w:snapToGrid w:val="0"/>
          <w:kern w:val="0"/>
        </w:rPr>
        <w:t>）。所提供的关于供试品和对照品的信息应包括关于二者各自收益和风险的适当而可靠的信息，只要这些信息是可用的。</w:t>
      </w:r>
    </w:p>
    <w:p w14:paraId="77469C9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同意过程应概述受试者</w:t>
      </w:r>
      <w:r>
        <w:rPr>
          <w:rFonts w:hint="eastAsia" w:ascii="Arial" w:hAnsi="Arial" w:eastAsia="宋体" w:cs="Arial"/>
          <w:snapToGrid w:val="0"/>
          <w:kern w:val="0"/>
        </w:rPr>
        <w:t>具体的</w:t>
      </w:r>
      <w:r>
        <w:rPr>
          <w:rFonts w:ascii="Arial" w:hAnsi="Arial" w:eastAsia="宋体" w:cs="Arial"/>
          <w:snapToGrid w:val="0"/>
          <w:kern w:val="0"/>
        </w:rPr>
        <w:t>参加</w:t>
      </w:r>
      <w:r>
        <w:rPr>
          <w:rFonts w:hint="eastAsia" w:ascii="Arial" w:hAnsi="Arial" w:eastAsia="宋体" w:cs="Arial"/>
          <w:snapToGrid w:val="0"/>
          <w:kern w:val="0"/>
        </w:rPr>
        <w:t>程序</w:t>
      </w:r>
      <w:r>
        <w:rPr>
          <w:rFonts w:ascii="Arial" w:hAnsi="Arial" w:eastAsia="宋体" w:cs="Arial"/>
          <w:snapToGrid w:val="0"/>
          <w:kern w:val="0"/>
        </w:rPr>
        <w:t>，以便其遵守方案，例如，门诊随访次数、日志维护，以及医疗或饮食限制（包括需要避免特定的药物或活动，如参加其他临床研究（参见</w:t>
      </w:r>
      <w:r>
        <w:rPr>
          <w:rFonts w:ascii="Arial" w:hAnsi="Arial" w:eastAsia="宋体" w:cs="Arial"/>
          <w:snapToGrid w:val="0"/>
          <w:color w:val="3333FF"/>
          <w:kern w:val="0"/>
          <w:u w:val="single"/>
        </w:rPr>
        <w:t>VG</w:t>
      </w:r>
      <w:r>
        <w:rPr>
          <w:rFonts w:hint="eastAsia" w:ascii="Arial" w:hAnsi="Arial" w:eastAsia="宋体" w:cs="Arial"/>
          <w:snapToGrid w:val="0"/>
          <w:color w:val="3333FF"/>
          <w:kern w:val="0"/>
          <w:u w:val="single"/>
        </w:rPr>
        <w:t>节</w:t>
      </w:r>
      <w:r>
        <w:rPr>
          <w:rFonts w:ascii="Arial" w:hAnsi="Arial" w:eastAsia="宋体" w:cs="Arial"/>
          <w:snapToGrid w:val="0"/>
          <w:kern w:val="0"/>
        </w:rPr>
        <w:t>，受试者参加多项临床研究））。如果描述每个程序会使同意书过于冗长或详细，FDA建议在同意书中提供一般程序，并附上所有研究程序的附录说明。可提供一张图表以概括每次随访时会发生的情况，以简化同意书，并帮助受试者对将要参加的临床研究有所了解。FDA认为，从知情同意书中删除程序细节可减少其长度，增强其可读性，并</w:t>
      </w:r>
      <w:r>
        <w:rPr>
          <w:rFonts w:hint="eastAsia" w:ascii="Arial" w:hAnsi="Arial" w:eastAsia="宋体" w:cs="Arial"/>
          <w:snapToGrid w:val="0"/>
          <w:kern w:val="0"/>
        </w:rPr>
        <w:t>突出</w:t>
      </w:r>
      <w:r>
        <w:rPr>
          <w:rFonts w:ascii="Arial" w:hAnsi="Arial" w:eastAsia="宋体" w:cs="Arial"/>
          <w:snapToGrid w:val="0"/>
          <w:kern w:val="0"/>
        </w:rPr>
        <w:t>更重要的内容，如风险和预期收益（如有）。</w:t>
      </w:r>
    </w:p>
    <w:p w14:paraId="2542EEB4">
      <w:pPr>
        <w:widowControl w:val="0"/>
        <w:topLinePunct/>
        <w:spacing w:after="244" w:afterLines="75" w:line="288" w:lineRule="auto"/>
        <w:jc w:val="both"/>
        <w:rPr>
          <w:rFonts w:ascii="Arial" w:hAnsi="Arial" w:eastAsia="宋体" w:cs="Arial"/>
          <w:snapToGrid w:val="0"/>
          <w:szCs w:val="24"/>
        </w:rPr>
      </w:pPr>
      <w:r>
        <w:rPr>
          <w:rFonts w:ascii="Arial" w:hAnsi="Arial" w:eastAsia="宋体" w:cs="Arial"/>
          <w:b/>
          <w:bCs/>
          <w:snapToGrid w:val="0"/>
          <w:szCs w:val="24"/>
        </w:rPr>
        <w:br w:type="page"/>
      </w:r>
    </w:p>
    <w:p w14:paraId="50D2059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知情同意程序必须清楚描述受试者参加临床研究的预计持续时间（见21 CFR 50.25 （a）（1）），其中包括有效参加及长期随访时间（如适用）。必须告诉受试者在</w:t>
      </w:r>
      <w:r>
        <w:rPr>
          <w:rFonts w:hint="eastAsia" w:ascii="Arial" w:hAnsi="Arial" w:eastAsia="宋体" w:cs="Arial"/>
          <w:snapToGrid w:val="0"/>
          <w:kern w:val="0"/>
        </w:rPr>
        <w:t>此类</w:t>
      </w:r>
      <w:r>
        <w:rPr>
          <w:rFonts w:ascii="Arial" w:hAnsi="Arial" w:eastAsia="宋体" w:cs="Arial"/>
          <w:snapToGrid w:val="0"/>
          <w:kern w:val="0"/>
        </w:rPr>
        <w:t>随访过程中将会发生的程序，如上所述可以图表提供。（21 CFR 50.25（a）（1））。</w:t>
      </w:r>
    </w:p>
    <w:p w14:paraId="36DDA11D">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0" w:name="_Toc499801684"/>
      <w:r>
        <w:rPr>
          <w:rFonts w:ascii="Arial" w:hAnsi="Arial" w:eastAsia="宋体" w:cs="Arial"/>
          <w:bCs w:val="0"/>
          <w:snapToGrid w:val="0"/>
          <w:kern w:val="0"/>
          <w:sz w:val="24"/>
          <w:szCs w:val="24"/>
        </w:rPr>
        <w:t>风险和不适</w:t>
      </w:r>
      <w:bookmarkEnd w:id="10"/>
    </w:p>
    <w:p w14:paraId="534989FB">
      <w:pPr>
        <w:pStyle w:val="45"/>
        <w:shd w:val="clear" w:color="auto" w:fill="auto"/>
        <w:topLinePunct/>
        <w:adjustRightInd w:val="0"/>
        <w:snapToGrid w:val="0"/>
        <w:spacing w:before="0" w:after="244" w:afterLines="75" w:line="288" w:lineRule="auto"/>
        <w:ind w:left="1680" w:leftChars="700" w:firstLine="0"/>
        <w:rPr>
          <w:rFonts w:ascii="Arial" w:hAnsi="Arial" w:eastAsia="宋体" w:cs="Arial"/>
          <w:i/>
          <w:snapToGrid w:val="0"/>
          <w:kern w:val="0"/>
        </w:rPr>
      </w:pPr>
      <w:r>
        <w:rPr>
          <w:rFonts w:ascii="Arial" w:hAnsi="Arial" w:eastAsia="宋体" w:cs="Arial"/>
          <w:i/>
          <w:snapToGrid w:val="0"/>
          <w:kern w:val="0"/>
        </w:rPr>
        <w:t>向受试者描述任何合理的、可预见的风险或不适。（21 CFR 50.25（a）（2）。）</w:t>
      </w:r>
    </w:p>
    <w:p w14:paraId="6AF702A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知情同意过程必须对受试者描述合理的、可预见的风险或不适，包括方案中所要求的检测、干预措施和程序带来的风险或不适（包括标准医疗程序、检查和检测），特别是会带来发病或死亡的重大风险或不适，也可以考虑由于受试者的医学治疗</w:t>
      </w:r>
      <w:r>
        <w:rPr>
          <w:rFonts w:hint="eastAsia" w:ascii="Arial" w:hAnsi="Arial" w:eastAsia="宋体" w:cs="Arial"/>
          <w:snapToGrid w:val="0"/>
          <w:kern w:val="0"/>
        </w:rPr>
        <w:t>变更</w:t>
      </w:r>
      <w:r>
        <w:rPr>
          <w:rFonts w:ascii="Arial" w:hAnsi="Arial" w:eastAsia="宋体" w:cs="Arial"/>
          <w:snapToGrid w:val="0"/>
          <w:kern w:val="0"/>
        </w:rPr>
        <w:t>（例如，改变受试者的稳定用药方案或随机给予安慰剂）而可能带来的风险或不适。对于供试品和对照品（如有）潜在风险的解释，并根据方案、研究者手册、包装标签和此前的研究报告中所提供的信息，对这些风险发生的可能性进行评估。</w:t>
      </w:r>
    </w:p>
    <w:p w14:paraId="6F32F22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还必须说明合理的、可预见的不适感。（21 CFR 50.25（a）（2））。例如，同意书应披露外科手术过程中疼痛的严重程度和持续时间，或MRI长时间的固定而造成不适的情况。</w:t>
      </w:r>
    </w:p>
    <w:p w14:paraId="406DBD8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所有可能的风险并不需要在知情同意书中详细描述，特别是如果它可能会让受试者有阅读压力，而应包括更有可能发生的风险和那些严重风险的信息。讨论中可以涵盖风险是否可逆的信息以及风险发生的可能性（基于现有数据），应纳入的信息包括要考虑采取什么措施来缓解最有可能发生的、严重的风险和不适。</w:t>
      </w:r>
    </w:p>
    <w:p w14:paraId="3076A96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该说明不应低估合理的、可预见的风险和不适的发生概率和程度。如果适用的话，同意书应不仅包括对受试者、还应包括对</w:t>
      </w:r>
      <w:r>
        <w:rPr>
          <w:rFonts w:ascii="宋体" w:hAnsi="宋体" w:eastAsia="宋体" w:cs="Arial"/>
          <w:snapToGrid w:val="0"/>
          <w:kern w:val="0"/>
        </w:rPr>
        <w:t>“</w:t>
      </w:r>
      <w:r>
        <w:rPr>
          <w:rFonts w:ascii="Arial" w:hAnsi="Arial" w:eastAsia="宋体" w:cs="Arial"/>
          <w:snapToGrid w:val="0"/>
          <w:kern w:val="0"/>
        </w:rPr>
        <w:t>其他人</w:t>
      </w:r>
      <w:r>
        <w:rPr>
          <w:rFonts w:ascii="宋体" w:hAnsi="宋体" w:eastAsia="宋体" w:cs="Arial"/>
          <w:snapToGrid w:val="0"/>
          <w:kern w:val="0"/>
        </w:rPr>
        <w:t>”</w:t>
      </w:r>
      <w:r>
        <w:rPr>
          <w:rFonts w:ascii="Arial" w:hAnsi="Arial" w:eastAsia="宋体" w:cs="Arial"/>
          <w:snapToGrid w:val="0"/>
          <w:kern w:val="0"/>
        </w:rPr>
        <w:t>的合理可预见风险的描述（例如，术后对受试者进行的贴近放疗可能对其他人有一定的风险）。在适当的情况下，必须包括一项声明，说明临床研究可能涉及对受试者（或对受试者的胚胎或胎儿，如果受试者怀孕或可能怀孕）存在目前不可预见的风险。（21 CFR 50.25（b）（1）。）（见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III.C.1</w:t>
      </w:r>
      <w:r>
        <w:rPr>
          <w:rFonts w:hint="eastAsia" w:ascii="Arial" w:hAnsi="Arial" w:eastAsia="宋体" w:cs="Arial"/>
          <w:snapToGrid w:val="0"/>
          <w:color w:val="3333FF"/>
          <w:kern w:val="0"/>
          <w:u w:val="single"/>
        </w:rPr>
        <w:t>节</w:t>
      </w:r>
      <w:r>
        <w:rPr>
          <w:rFonts w:ascii="宋体" w:hAnsi="宋体" w:eastAsia="宋体" w:cs="Arial"/>
          <w:snapToGrid w:val="0"/>
          <w:kern w:val="0"/>
        </w:rPr>
        <w:t>“</w:t>
      </w:r>
      <w:r>
        <w:rPr>
          <w:rFonts w:ascii="Arial" w:hAnsi="Arial" w:eastAsia="宋体" w:cs="Arial"/>
          <w:snapToGrid w:val="0"/>
          <w:kern w:val="0"/>
        </w:rPr>
        <w:t>不可预见的风险</w:t>
      </w:r>
      <w:r>
        <w:rPr>
          <w:rFonts w:ascii="宋体" w:hAnsi="宋体" w:eastAsia="宋体" w:cs="Arial"/>
          <w:snapToGrid w:val="0"/>
          <w:kern w:val="0"/>
        </w:rPr>
        <w:t>”</w:t>
      </w:r>
      <w:r>
        <w:rPr>
          <w:rFonts w:ascii="Arial" w:hAnsi="Arial" w:eastAsia="宋体" w:cs="Arial"/>
          <w:snapToGrid w:val="0"/>
          <w:kern w:val="0"/>
        </w:rPr>
        <w:t>。）</w:t>
      </w:r>
    </w:p>
    <w:p w14:paraId="2C2729EA">
      <w:pPr>
        <w:widowControl w:val="0"/>
        <w:topLinePunct/>
        <w:spacing w:after="244" w:afterLines="75" w:line="288" w:lineRule="auto"/>
        <w:jc w:val="both"/>
        <w:rPr>
          <w:rFonts w:ascii="Arial" w:hAnsi="Arial" w:eastAsia="宋体" w:cs="Arial"/>
          <w:snapToGrid w:val="0"/>
          <w:szCs w:val="24"/>
        </w:rPr>
      </w:pPr>
      <w:r>
        <w:rPr>
          <w:rFonts w:ascii="Arial" w:hAnsi="Arial" w:eastAsia="宋体" w:cs="Arial"/>
          <w:snapToGrid w:val="0"/>
        </w:rPr>
        <w:br w:type="page"/>
      </w:r>
    </w:p>
    <w:p w14:paraId="283A3D32">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1" w:name="_Toc499801685"/>
      <w:r>
        <w:rPr>
          <w:rFonts w:ascii="Arial" w:hAnsi="Arial" w:eastAsia="宋体" w:cs="Arial"/>
          <w:bCs w:val="0"/>
          <w:snapToGrid w:val="0"/>
          <w:kern w:val="0"/>
          <w:sz w:val="24"/>
          <w:szCs w:val="24"/>
        </w:rPr>
        <w:t>收益</w:t>
      </w:r>
      <w:bookmarkEnd w:id="11"/>
    </w:p>
    <w:p w14:paraId="74C6494E">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对受试者或其他人可能从研究中得到的合理预期收益进行描述。（21 CFR 50.25（a）（3）。）</w:t>
      </w:r>
    </w:p>
    <w:p w14:paraId="0589EE4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应基于可用资料范围内的可靠信息，对潜在收益进行清晰平衡的描述。这个要素不仅要描述对该受试者的潜在收益（例如，</w:t>
      </w:r>
      <w:r>
        <w:rPr>
          <w:rFonts w:ascii="宋体" w:hAnsi="宋体" w:eastAsia="宋体" w:cs="Arial"/>
          <w:snapToGrid w:val="0"/>
          <w:kern w:val="0"/>
        </w:rPr>
        <w:t>“</w:t>
      </w:r>
      <w:r>
        <w:rPr>
          <w:rFonts w:ascii="Arial" w:hAnsi="Arial" w:eastAsia="宋体" w:cs="Arial"/>
          <w:snapToGrid w:val="0"/>
          <w:kern w:val="0"/>
        </w:rPr>
        <w:t>本产品是为了减少XXX；但是，我们并不能保证您会收益）</w:t>
      </w:r>
      <w:r>
        <w:rPr>
          <w:rFonts w:ascii="宋体" w:hAnsi="宋体" w:eastAsia="宋体" w:cs="Arial"/>
          <w:snapToGrid w:val="0"/>
          <w:kern w:val="0"/>
        </w:rPr>
        <w:t>”</w:t>
      </w:r>
      <w:r>
        <w:rPr>
          <w:rFonts w:ascii="Arial" w:hAnsi="Arial" w:eastAsia="宋体" w:cs="Arial"/>
          <w:snapToGrid w:val="0"/>
          <w:kern w:val="0"/>
        </w:rPr>
        <w:t>，而对于</w:t>
      </w:r>
      <w:r>
        <w:rPr>
          <w:rFonts w:ascii="宋体" w:hAnsi="宋体" w:eastAsia="宋体" w:cs="Arial"/>
          <w:snapToGrid w:val="0"/>
          <w:kern w:val="0"/>
        </w:rPr>
        <w:t>“</w:t>
      </w:r>
      <w:r>
        <w:rPr>
          <w:rFonts w:ascii="Arial" w:hAnsi="Arial" w:eastAsia="宋体" w:cs="Arial"/>
          <w:snapToGrid w:val="0"/>
          <w:kern w:val="0"/>
        </w:rPr>
        <w:t>其他人</w:t>
      </w:r>
      <w:r>
        <w:rPr>
          <w:rFonts w:ascii="宋体" w:hAnsi="宋体" w:eastAsia="宋体" w:cs="Arial"/>
          <w:snapToGrid w:val="0"/>
          <w:kern w:val="0"/>
        </w:rPr>
        <w:t>”</w:t>
      </w:r>
      <w:r>
        <w:rPr>
          <w:rFonts w:ascii="Arial" w:hAnsi="Arial" w:eastAsia="宋体" w:cs="Arial"/>
          <w:snapToGrid w:val="0"/>
          <w:kern w:val="0"/>
        </w:rPr>
        <w:t>（例如，</w:t>
      </w:r>
      <w:r>
        <w:rPr>
          <w:rFonts w:ascii="宋体" w:hAnsi="宋体" w:eastAsia="宋体" w:cs="Arial"/>
          <w:snapToGrid w:val="0"/>
          <w:kern w:val="0"/>
        </w:rPr>
        <w:t>“</w:t>
      </w:r>
      <w:r>
        <w:rPr>
          <w:rFonts w:ascii="Arial" w:hAnsi="Arial" w:eastAsia="宋体" w:cs="Arial"/>
          <w:snapToGrid w:val="0"/>
          <w:kern w:val="0"/>
        </w:rPr>
        <w:t>您参加这项研究可能对您没有收益，但可能会因您的疾病或病症而使未来的患者收益</w:t>
      </w:r>
      <w:r>
        <w:rPr>
          <w:rFonts w:ascii="宋体" w:hAnsi="宋体" w:eastAsia="宋体" w:cs="Arial"/>
          <w:snapToGrid w:val="0"/>
          <w:kern w:val="0"/>
        </w:rPr>
        <w:t>”</w:t>
      </w:r>
      <w:r>
        <w:rPr>
          <w:rFonts w:ascii="Arial" w:hAnsi="Arial" w:eastAsia="宋体" w:cs="Arial"/>
          <w:snapToGrid w:val="0"/>
          <w:kern w:val="0"/>
        </w:rPr>
        <w:t>）。对临床研究过于乐观的陈述可能会产生误导，并可能违反FDA禁止推广研究用药物和器械的法规（见21 CFR 312.7和21 CFR 812.7）。因为研究的目的是确定供试品和对照品相比的安全性和／或有效性，所以目前还不知道供试品是否可以提供益处。</w:t>
      </w:r>
    </w:p>
    <w:p w14:paraId="5030DAE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FDA认为，</w:t>
      </w:r>
      <w:r>
        <w:rPr>
          <w:rFonts w:hint="eastAsia" w:ascii="Arial" w:hAnsi="Arial" w:eastAsia="宋体" w:cs="Arial"/>
          <w:snapToGrid w:val="0"/>
          <w:kern w:val="0"/>
        </w:rPr>
        <w:t>支付</w:t>
      </w:r>
      <w:r>
        <w:rPr>
          <w:rFonts w:ascii="Arial" w:hAnsi="Arial" w:eastAsia="宋体" w:cs="Arial"/>
          <w:snapToGrid w:val="0"/>
          <w:kern w:val="0"/>
        </w:rPr>
        <w:t>参加临床研究的受试者是对其付出和</w:t>
      </w:r>
      <w:r>
        <w:rPr>
          <w:rFonts w:hint="eastAsia" w:ascii="Arial" w:hAnsi="Arial" w:eastAsia="宋体" w:cs="Arial"/>
          <w:snapToGrid w:val="0"/>
          <w:kern w:val="0"/>
        </w:rPr>
        <w:t>干扰</w:t>
      </w:r>
      <w:r>
        <w:rPr>
          <w:rFonts w:ascii="Arial" w:hAnsi="Arial" w:eastAsia="宋体" w:cs="Arial"/>
          <w:snapToGrid w:val="0"/>
          <w:kern w:val="0"/>
        </w:rPr>
        <w:t>所做的补偿，而不是参加研究的收益。如果提供了付款，同意程序不应将其识别为收益</w:t>
      </w:r>
      <w:r>
        <w:rPr>
          <w:rStyle w:val="25"/>
          <w:rFonts w:ascii="Arial" w:hAnsi="Arial" w:eastAsia="宋体" w:cs="Arial"/>
          <w:snapToGrid w:val="0"/>
          <w:kern w:val="0"/>
        </w:rPr>
        <w:footnoteReference w:id="14"/>
      </w:r>
      <w:r>
        <w:rPr>
          <w:rFonts w:ascii="Arial" w:hAnsi="Arial" w:eastAsia="宋体" w:cs="Arial"/>
          <w:snapToGrid w:val="0"/>
          <w:kern w:val="0"/>
        </w:rPr>
        <w:t>。</w:t>
      </w:r>
    </w:p>
    <w:p w14:paraId="0F995DA5">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2" w:name="_Toc499801686"/>
      <w:r>
        <w:rPr>
          <w:rFonts w:ascii="Arial" w:hAnsi="Arial" w:eastAsia="宋体" w:cs="Arial"/>
          <w:bCs w:val="0"/>
          <w:snapToGrid w:val="0"/>
          <w:kern w:val="0"/>
          <w:sz w:val="24"/>
          <w:szCs w:val="24"/>
        </w:rPr>
        <w:t>替代程序或治疗</w:t>
      </w:r>
      <w:bookmarkEnd w:id="12"/>
    </w:p>
    <w:p w14:paraId="3F20D553">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披露适当的替代程序或治疗方法（如有），可能对受试者有利。（21 CFR 50.25（a）（4））。</w:t>
      </w:r>
    </w:p>
    <w:p w14:paraId="42E006E5">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为了能够提供参加临床研究的知情决定，同意书必须披露</w:t>
      </w:r>
      <w:r>
        <w:rPr>
          <w:rFonts w:hint="eastAsia" w:ascii="Arial" w:hAnsi="Arial" w:eastAsia="宋体" w:cs="Arial"/>
          <w:snapToGrid w:val="0"/>
          <w:kern w:val="0"/>
        </w:rPr>
        <w:t>入组</w:t>
      </w:r>
      <w:r>
        <w:rPr>
          <w:rFonts w:ascii="Arial" w:hAnsi="Arial" w:eastAsia="宋体" w:cs="Arial"/>
          <w:snapToGrid w:val="0"/>
          <w:kern w:val="0"/>
        </w:rPr>
        <w:t>临床研究适当的替代选择（如有），其可能对受试者有利。（21 CFR 50.25（a）（4））。如果潜在受试者选择不参加研究，则必须告知其可能会得到的治疗，包括替代选择，如针对患者病情的公认疗法，其他形式的治疗（例如手术）以及在疾病没有指导性疗法时可适当给予的支持性治疗</w:t>
      </w:r>
      <w:r>
        <w:rPr>
          <w:rStyle w:val="25"/>
          <w:rFonts w:ascii="Arial" w:hAnsi="Arial" w:eastAsia="宋体" w:cs="Arial"/>
          <w:snapToGrid w:val="0"/>
          <w:kern w:val="0"/>
        </w:rPr>
        <w:footnoteReference w:id="15"/>
      </w:r>
      <w:r>
        <w:rPr>
          <w:rFonts w:ascii="Arial" w:hAnsi="Arial" w:eastAsia="宋体" w:cs="Arial"/>
          <w:snapToGrid w:val="0"/>
          <w:kern w:val="0"/>
        </w:rPr>
        <w:t>。该披露必须包括当前医学公认标准治疗的描述</w:t>
      </w:r>
      <w:r>
        <w:rPr>
          <w:rStyle w:val="25"/>
          <w:rFonts w:ascii="Arial" w:hAnsi="Arial" w:eastAsia="宋体" w:cs="Arial"/>
          <w:snapToGrid w:val="0"/>
          <w:kern w:val="0"/>
        </w:rPr>
        <w:footnoteReference w:id="16"/>
      </w:r>
      <w:r>
        <w:rPr>
          <w:rFonts w:ascii="Arial" w:hAnsi="Arial" w:eastAsia="宋体" w:cs="Arial"/>
          <w:snapToGrid w:val="0"/>
          <w:kern w:val="0"/>
        </w:rPr>
        <w:t>，特别是对于严重疾病的研究。标准治疗可能包括未包含在产品获批标签中的用途或治疗方案（或者在510（k）程序下获得的医疗器械许可情况，在产品的预期用途中说明）</w:t>
      </w:r>
      <w:r>
        <w:rPr>
          <w:rStyle w:val="25"/>
          <w:rFonts w:ascii="Arial" w:hAnsi="Arial" w:eastAsia="宋体" w:cs="Arial"/>
          <w:snapToGrid w:val="0"/>
          <w:kern w:val="0"/>
        </w:rPr>
        <w:footnoteReference w:id="17"/>
      </w:r>
      <w:r>
        <w:rPr>
          <w:rFonts w:ascii="Arial" w:hAnsi="Arial" w:eastAsia="宋体" w:cs="Arial"/>
          <w:snapToGrid w:val="0"/>
          <w:kern w:val="0"/>
        </w:rPr>
        <w:t>。FDA认为，缺乏治疗价值证据的治疗方案不需要讨论。</w:t>
      </w:r>
    </w:p>
    <w:p w14:paraId="22C212C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p>
    <w:p w14:paraId="6032330B">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当披露适当的替代程序或治疗过程时，FDA相信必须披露任何可合理预见的风险或不适以及与这些替代方案相关的潜在收益的描述。如果这些说明或披露可以包含量化的风险-收益对比评估（例如来自临床文献），则应该这样做。本机构认为，对每个案例施以如此严格的要求是不现实的或不适当的</w:t>
      </w:r>
      <w:r>
        <w:rPr>
          <w:rStyle w:val="25"/>
          <w:rFonts w:ascii="Arial" w:hAnsi="Arial" w:eastAsia="宋体" w:cs="Arial"/>
          <w:snapToGrid w:val="0"/>
          <w:kern w:val="0"/>
        </w:rPr>
        <w:footnoteReference w:id="18"/>
      </w:r>
      <w:r>
        <w:rPr>
          <w:rFonts w:ascii="Arial" w:hAnsi="Arial" w:eastAsia="宋体" w:cs="Arial"/>
          <w:snapToGrid w:val="0"/>
          <w:kern w:val="0"/>
        </w:rPr>
        <w:t>。如果</w:t>
      </w:r>
      <w:r>
        <w:rPr>
          <w:rFonts w:hint="eastAsia" w:ascii="Arial" w:hAnsi="Arial" w:eastAsia="宋体" w:cs="Arial"/>
          <w:snapToGrid w:val="0"/>
          <w:kern w:val="0"/>
        </w:rPr>
        <w:t>无法</w:t>
      </w:r>
      <w:r>
        <w:rPr>
          <w:rFonts w:ascii="Arial" w:hAnsi="Arial" w:eastAsia="宋体" w:cs="Arial"/>
          <w:snapToGrid w:val="0"/>
          <w:kern w:val="0"/>
        </w:rPr>
        <w:t>进行</w:t>
      </w:r>
      <w:r>
        <w:rPr>
          <w:rFonts w:hint="eastAsia" w:ascii="Arial" w:hAnsi="Arial" w:eastAsia="宋体" w:cs="Arial"/>
          <w:snapToGrid w:val="0"/>
          <w:kern w:val="0"/>
        </w:rPr>
        <w:t>此类</w:t>
      </w:r>
      <w:r>
        <w:rPr>
          <w:rFonts w:ascii="Arial" w:hAnsi="Arial" w:eastAsia="宋体" w:cs="Arial"/>
          <w:snapToGrid w:val="0"/>
          <w:kern w:val="0"/>
        </w:rPr>
        <w:t>明确评估，本机构认为，</w:t>
      </w:r>
      <w:r>
        <w:rPr>
          <w:rFonts w:hint="eastAsia" w:ascii="Arial" w:hAnsi="Arial" w:eastAsia="宋体" w:cs="Arial"/>
          <w:snapToGrid w:val="0"/>
          <w:kern w:val="0"/>
        </w:rPr>
        <w:t>仅描述</w:t>
      </w:r>
      <w:r>
        <w:rPr>
          <w:rFonts w:ascii="Arial" w:hAnsi="Arial" w:eastAsia="宋体" w:cs="Arial"/>
          <w:snapToGrid w:val="0"/>
          <w:kern w:val="0"/>
        </w:rPr>
        <w:t>风险和收益就足够了。</w:t>
      </w:r>
    </w:p>
    <w:p w14:paraId="5117C63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就这个问题引荐一名可以更全面地讨论替代方案的医疗保健专业人员进行咨询可能是适当的，例如，当替代方案包括各种治疗组合，如某些癌症的放疗、手术治疗和化疗。这个引荐应先于受试者在同意书上签名和注明日期之前完成。</w:t>
      </w:r>
    </w:p>
    <w:p w14:paraId="138E72C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认为，虽然一例受试者可能会符合一项以上的临床研究入选资格，但是关于哪一项试验最适合某一特定受试者的决定和决策将需要通过具体情况具体分析。FDA认为，对于该受试者可能符合资格的其他试验的讨论，最好留给知情同意的讨论过程，而不是知情同意文件，并可能需要包括该受试者的初级治疗者。</w:t>
      </w:r>
    </w:p>
    <w:p w14:paraId="750E7EF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适用情况下，知情同意程序应建议，参加一项临床研究的个体没有资格参加</w:t>
      </w:r>
      <w:r>
        <w:rPr>
          <w:rFonts w:hint="eastAsia" w:ascii="Arial" w:hAnsi="Arial" w:eastAsia="宋体" w:cs="Arial"/>
          <w:snapToGrid w:val="0"/>
          <w:kern w:val="0"/>
        </w:rPr>
        <w:t>具有</w:t>
      </w:r>
      <w:r>
        <w:rPr>
          <w:rFonts w:ascii="Arial" w:hAnsi="Arial" w:eastAsia="宋体" w:cs="Arial"/>
          <w:snapToGrid w:val="0"/>
          <w:kern w:val="0"/>
        </w:rPr>
        <w:t>相同的或其他的适应症</w:t>
      </w:r>
      <w:r>
        <w:rPr>
          <w:rFonts w:hint="eastAsia" w:ascii="Arial" w:hAnsi="Arial" w:eastAsia="宋体" w:cs="Arial"/>
          <w:snapToGrid w:val="0"/>
          <w:kern w:val="0"/>
        </w:rPr>
        <w:t>的</w:t>
      </w:r>
      <w:r>
        <w:rPr>
          <w:rFonts w:ascii="Arial" w:hAnsi="Arial" w:eastAsia="宋体" w:cs="Arial"/>
          <w:snapToGrid w:val="0"/>
          <w:kern w:val="0"/>
        </w:rPr>
        <w:t>临床研究。当有多个临床研究用于评估特定疾病的治疗时，受试者参加方案的顺序可能是重要的，应与受试者和受试者的主要治疗者进行讨论（如适用）。</w:t>
      </w:r>
    </w:p>
    <w:p w14:paraId="17879948">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3" w:name="_Toc499801687"/>
      <w:r>
        <w:rPr>
          <w:rFonts w:ascii="Arial" w:hAnsi="Arial" w:eastAsia="宋体" w:cs="Arial"/>
          <w:bCs w:val="0"/>
          <w:snapToGrid w:val="0"/>
          <w:kern w:val="0"/>
          <w:sz w:val="24"/>
          <w:szCs w:val="24"/>
        </w:rPr>
        <w:t>保密性</w:t>
      </w:r>
      <w:bookmarkEnd w:id="13"/>
    </w:p>
    <w:p w14:paraId="33FD3B65">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一份声明，说明对识别受试者记录保存的机密程度（如有），并说明食品药品监督管理局可能会检查记录的可能性。（21 CFR 5Q.25（a）（5</w:t>
      </w:r>
      <w:r>
        <w:rPr>
          <w:rFonts w:hint="eastAsia" w:ascii="Arial" w:hAnsi="Arial" w:eastAsia="宋体" w:cs="Arial"/>
          <w:snapToGrid w:val="0"/>
          <w:kern w:val="0"/>
          <w:sz w:val="24"/>
          <w:szCs w:val="24"/>
        </w:rPr>
        <w:t>）</w:t>
      </w:r>
      <w:r>
        <w:rPr>
          <w:rFonts w:ascii="Arial" w:hAnsi="Arial" w:eastAsia="宋体" w:cs="Arial"/>
          <w:snapToGrid w:val="0"/>
          <w:kern w:val="0"/>
          <w:sz w:val="24"/>
          <w:szCs w:val="24"/>
        </w:rPr>
        <w:t xml:space="preserve">） </w:t>
      </w:r>
    </w:p>
    <w:p w14:paraId="0045E3DB">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同意程序必须说明可识别受试者的记录保存的机密程度（21 CFR 50.25（a）（5）），并且应明确所有的实体，例如研究申办方，他们可以访问与临床研究相关的记录。同意程序还必须指出FDA可以检查记录的可能性（21 CFR 50.25（a）（5）），并且不应声明或暗示FDA需要获得记录访问权限。请注意，根据</w:t>
      </w:r>
      <w:r>
        <w:rPr>
          <w:rFonts w:ascii="宋体" w:hAnsi="宋体" w:eastAsia="宋体" w:cs="Arial"/>
          <w:snapToGrid w:val="0"/>
          <w:kern w:val="0"/>
        </w:rPr>
        <w:t>“</w:t>
      </w:r>
      <w:r>
        <w:rPr>
          <w:rFonts w:ascii="Arial" w:hAnsi="Arial" w:eastAsia="宋体" w:cs="Arial"/>
          <w:snapToGrid w:val="0"/>
          <w:kern w:val="0"/>
        </w:rPr>
        <w:t>健康保险携带与责任法案（HIPAA）隐私法规</w:t>
      </w:r>
      <w:r>
        <w:rPr>
          <w:rFonts w:ascii="宋体" w:hAnsi="宋体" w:eastAsia="宋体" w:cs="Arial"/>
          <w:snapToGrid w:val="0"/>
          <w:kern w:val="0"/>
        </w:rPr>
        <w:t>”</w:t>
      </w:r>
      <w:r>
        <w:rPr>
          <w:rFonts w:ascii="Arial" w:hAnsi="Arial" w:eastAsia="宋体" w:cs="Arial"/>
          <w:snapToGrid w:val="0"/>
          <w:kern w:val="0"/>
        </w:rPr>
        <w:t>，FDA检查含有健康信息的记录，无需得到许可（45 CFR 164.512）。 FDA可以检查研究记录，例如，评估研究者对研究方案的依从性以及申办方报告数据的有效性。</w:t>
      </w:r>
    </w:p>
    <w:p w14:paraId="3EFC342A">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33676475">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根据</w:t>
      </w:r>
      <w:r>
        <w:rPr>
          <w:rFonts w:ascii="宋体" w:hAnsi="宋体" w:eastAsia="宋体" w:cs="Arial"/>
          <w:snapToGrid w:val="0"/>
          <w:kern w:val="0"/>
        </w:rPr>
        <w:t>“</w:t>
      </w:r>
      <w:r>
        <w:rPr>
          <w:rFonts w:ascii="Arial" w:hAnsi="Arial" w:eastAsia="宋体" w:cs="Arial"/>
          <w:snapToGrid w:val="0"/>
          <w:kern w:val="0"/>
        </w:rPr>
        <w:t>联邦食品、药品和化妆品法案</w:t>
      </w:r>
      <w:r>
        <w:rPr>
          <w:rFonts w:ascii="宋体" w:hAnsi="宋体" w:eastAsia="宋体" w:cs="Arial"/>
          <w:snapToGrid w:val="0"/>
          <w:kern w:val="0"/>
        </w:rPr>
        <w:t>”</w:t>
      </w:r>
      <w:r>
        <w:rPr>
          <w:rFonts w:ascii="Arial" w:hAnsi="Arial" w:eastAsia="宋体" w:cs="Arial"/>
          <w:snapToGrid w:val="0"/>
          <w:kern w:val="0"/>
        </w:rPr>
        <w:t>（FD＆C法），FDA可以检查和复制与临床研究有关的所有记录。21 U.S.C. § 374 （a）（1），另见21 CFR 312.58（a），312.68和812.145（b）。除非有理由相信这些记录不代表所研究的真实病例或取得的结果，否则FDA一般不会复制包含该受试者姓名的记录。当FDA要求受试者姓名时，FDA通常会将这些信息视为保密信息，但在极少数情况下，FDA可能会被要求将此信息披露给第三方，例如法院。见21 CFR 20.63（a）和20.83（a）-（b）。因此，同意过程不应承诺或暗示对FDA的绝对保密。</w:t>
      </w:r>
    </w:p>
    <w:p w14:paraId="7FCA639B">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4" w:name="_Toc499801688"/>
      <w:r>
        <w:rPr>
          <w:rFonts w:ascii="Arial" w:hAnsi="Arial" w:eastAsia="宋体" w:cs="Arial"/>
          <w:bCs w:val="0"/>
          <w:snapToGrid w:val="0"/>
          <w:kern w:val="0"/>
          <w:sz w:val="24"/>
          <w:szCs w:val="24"/>
        </w:rPr>
        <w:t>伤害事件的赔偿和医疗</w:t>
      </w:r>
      <w:r>
        <w:rPr>
          <w:rFonts w:hint="eastAsia" w:ascii="Arial" w:hAnsi="Arial" w:eastAsia="宋体" w:cs="Arial"/>
          <w:bCs w:val="0"/>
          <w:snapToGrid w:val="0"/>
          <w:kern w:val="0"/>
          <w:sz w:val="24"/>
          <w:szCs w:val="24"/>
        </w:rPr>
        <w:t>治疗</w:t>
      </w:r>
      <w:bookmarkEnd w:id="14"/>
    </w:p>
    <w:p w14:paraId="23B5B339">
      <w:pPr>
        <w:pStyle w:val="45"/>
        <w:shd w:val="clear" w:color="auto" w:fill="auto"/>
        <w:topLinePunct/>
        <w:adjustRightInd w:val="0"/>
        <w:snapToGrid w:val="0"/>
        <w:spacing w:before="0" w:after="244" w:afterLines="75" w:line="288" w:lineRule="auto"/>
        <w:ind w:left="1680" w:leftChars="700" w:firstLine="0"/>
        <w:rPr>
          <w:rFonts w:ascii="Arial" w:hAnsi="Arial" w:eastAsia="宋体" w:cs="Arial"/>
          <w:i/>
          <w:snapToGrid w:val="0"/>
          <w:kern w:val="0"/>
        </w:rPr>
      </w:pPr>
      <w:r>
        <w:rPr>
          <w:rFonts w:ascii="Arial" w:hAnsi="Arial" w:eastAsia="宋体" w:cs="Arial"/>
          <w:i/>
          <w:snapToGrid w:val="0"/>
          <w:kern w:val="0"/>
        </w:rPr>
        <w:t>对于涉及超过最低风险的研究，应解释是否有任何赔偿，如果发生伤害，应解释是否可以</w:t>
      </w:r>
      <w:r>
        <w:rPr>
          <w:rFonts w:hint="eastAsia" w:ascii="Arial" w:hAnsi="Arial" w:eastAsia="宋体" w:cs="Arial"/>
          <w:i/>
          <w:snapToGrid w:val="0"/>
          <w:kern w:val="0"/>
        </w:rPr>
        <w:t>获得</w:t>
      </w:r>
      <w:r>
        <w:rPr>
          <w:rFonts w:ascii="Arial" w:hAnsi="Arial" w:eastAsia="宋体" w:cs="Arial"/>
          <w:i/>
          <w:snapToGrid w:val="0"/>
          <w:kern w:val="0"/>
        </w:rPr>
        <w:t>任何医疗</w:t>
      </w:r>
      <w:r>
        <w:rPr>
          <w:rFonts w:hint="eastAsia" w:ascii="Arial" w:hAnsi="Arial" w:eastAsia="宋体" w:cs="Arial"/>
          <w:i/>
          <w:snapToGrid w:val="0"/>
          <w:kern w:val="0"/>
        </w:rPr>
        <w:t>治疗</w:t>
      </w:r>
      <w:r>
        <w:rPr>
          <w:rFonts w:ascii="Arial" w:hAnsi="Arial" w:eastAsia="宋体" w:cs="Arial"/>
          <w:i/>
          <w:snapToGrid w:val="0"/>
          <w:kern w:val="0"/>
        </w:rPr>
        <w:t>，如果有的话，</w:t>
      </w:r>
      <w:r>
        <w:rPr>
          <w:rFonts w:hint="eastAsia" w:ascii="Arial" w:hAnsi="Arial" w:eastAsia="宋体" w:cs="Arial"/>
          <w:i/>
          <w:snapToGrid w:val="0"/>
          <w:kern w:val="0"/>
        </w:rPr>
        <w:t>具体治疗是什么</w:t>
      </w:r>
      <w:r>
        <w:rPr>
          <w:rFonts w:ascii="Arial" w:hAnsi="Arial" w:eastAsia="宋体" w:cs="Arial"/>
          <w:i/>
          <w:snapToGrid w:val="0"/>
          <w:kern w:val="0"/>
        </w:rPr>
        <w:t>，或者从何处可以获得更多的信息。（21 CFR 50.25（a）（6））。</w:t>
      </w:r>
    </w:p>
    <w:p w14:paraId="22501D0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对于涉及超过最低风险的临床研究，知情同意过程必须说明，在发生伤害的情况下受试者可以得到的任何赔偿和医学治疗</w:t>
      </w:r>
      <w:r>
        <w:rPr>
          <w:rStyle w:val="25"/>
          <w:rFonts w:ascii="Arial" w:hAnsi="Arial" w:eastAsia="宋体" w:cs="Arial"/>
          <w:snapToGrid w:val="0"/>
          <w:kern w:val="0"/>
        </w:rPr>
        <w:footnoteReference w:id="19"/>
      </w:r>
      <w:r>
        <w:rPr>
          <w:rFonts w:ascii="Arial" w:hAnsi="Arial" w:eastAsia="宋体" w:cs="Arial"/>
          <w:snapToGrid w:val="0"/>
          <w:kern w:val="0"/>
        </w:rPr>
        <w:t>。（21 CFR 50.25（a）（6））。由于可得的赔偿和医学治疗可能会因受试者的医疗情况或机构的政策而有所不同，因此同意过程应包括</w:t>
      </w:r>
      <w:r>
        <w:rPr>
          <w:rFonts w:hint="eastAsia" w:ascii="Arial" w:hAnsi="Arial" w:eastAsia="宋体" w:cs="Arial"/>
          <w:snapToGrid w:val="0"/>
          <w:kern w:val="0"/>
        </w:rPr>
        <w:t>其</w:t>
      </w:r>
      <w:r>
        <w:rPr>
          <w:rFonts w:ascii="Arial" w:hAnsi="Arial" w:eastAsia="宋体" w:cs="Arial"/>
          <w:snapToGrid w:val="0"/>
          <w:kern w:val="0"/>
        </w:rPr>
        <w:t>可从何处获得更多信息。一个恰当的说明实例是，</w:t>
      </w:r>
      <w:r>
        <w:rPr>
          <w:rFonts w:ascii="宋体" w:hAnsi="宋体" w:eastAsia="宋体" w:cs="Arial"/>
          <w:snapToGrid w:val="0"/>
          <w:kern w:val="0"/>
        </w:rPr>
        <w:t>“</w:t>
      </w:r>
      <w:r>
        <w:rPr>
          <w:rFonts w:ascii="Arial" w:hAnsi="Arial" w:eastAsia="宋体" w:cs="Arial"/>
          <w:snapToGrid w:val="0"/>
          <w:kern w:val="0"/>
        </w:rPr>
        <w:t>申办方已计划支付与研究相关伤害的医疗费用</w:t>
      </w:r>
      <w:r>
        <w:rPr>
          <w:rFonts w:ascii="宋体" w:hAnsi="宋体" w:eastAsia="宋体" w:cs="Arial"/>
          <w:snapToGrid w:val="0"/>
          <w:kern w:val="0"/>
        </w:rPr>
        <w:t>”</w:t>
      </w:r>
      <w:r>
        <w:rPr>
          <w:rFonts w:ascii="Arial" w:hAnsi="Arial" w:eastAsia="宋体" w:cs="Arial"/>
          <w:snapToGrid w:val="0"/>
          <w:kern w:val="0"/>
        </w:rPr>
        <w:t>，然后解释如何获得更多的信息。若无赔偿，同意程序应包括以下陈述</w:t>
      </w:r>
      <w:r>
        <w:rPr>
          <w:rStyle w:val="25"/>
          <w:rFonts w:ascii="Arial" w:hAnsi="Arial" w:eastAsia="宋体" w:cs="Arial"/>
          <w:snapToGrid w:val="0"/>
          <w:kern w:val="0"/>
        </w:rPr>
        <w:footnoteReference w:id="20"/>
      </w:r>
      <w:r>
        <w:rPr>
          <w:rFonts w:ascii="Arial" w:hAnsi="Arial" w:eastAsia="宋体" w:cs="Arial"/>
          <w:snapToGrid w:val="0"/>
          <w:kern w:val="0"/>
        </w:rPr>
        <w:t>：</w:t>
      </w:r>
    </w:p>
    <w:p w14:paraId="09723D34">
      <w:pPr>
        <w:pStyle w:val="45"/>
        <w:numPr>
          <w:ilvl w:val="0"/>
          <w:numId w:val="8"/>
        </w:numPr>
        <w:shd w:val="clear" w:color="auto" w:fill="auto"/>
        <w:tabs>
          <w:tab w:val="left" w:pos="1207"/>
        </w:tabs>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由于医院的政策，如果您因参加本研究而受伤，医院将无法提供经济赔偿。但是，不排除您试图收集研究（包括医院）所涉及那些与渎职、错误或过失有关的损害赔偿的部分。</w:t>
      </w:r>
    </w:p>
    <w:p w14:paraId="66F125FB">
      <w:pPr>
        <w:widowControl w:val="0"/>
        <w:topLinePunct/>
        <w:spacing w:after="244" w:afterLines="75" w:line="288" w:lineRule="auto"/>
        <w:jc w:val="both"/>
        <w:rPr>
          <w:rFonts w:ascii="Arial" w:hAnsi="Arial" w:eastAsia="宋体" w:cs="Arial"/>
          <w:snapToGrid w:val="0"/>
          <w:szCs w:val="20"/>
        </w:rPr>
      </w:pPr>
      <w:r>
        <w:rPr>
          <w:rFonts w:ascii="Arial" w:hAnsi="Arial" w:eastAsia="宋体" w:cs="Arial"/>
          <w:b/>
          <w:bCs/>
          <w:snapToGrid w:val="0"/>
          <w:szCs w:val="20"/>
        </w:rPr>
        <w:br w:type="page"/>
      </w:r>
    </w:p>
    <w:p w14:paraId="3A1A5989">
      <w:pPr>
        <w:pStyle w:val="45"/>
        <w:numPr>
          <w:ilvl w:val="0"/>
          <w:numId w:val="8"/>
        </w:numPr>
        <w:shd w:val="clear" w:color="auto" w:fill="auto"/>
        <w:tabs>
          <w:tab w:val="left" w:pos="1207"/>
        </w:tabs>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由于医院的政策，医院不承诺免费提供医疗服务或</w:t>
      </w:r>
      <w:r>
        <w:rPr>
          <w:rFonts w:hint="eastAsia" w:ascii="Arial" w:hAnsi="Arial" w:eastAsia="宋体" w:cs="Arial"/>
          <w:snapToGrid w:val="0"/>
          <w:kern w:val="0"/>
        </w:rPr>
        <w:t>赔偿</w:t>
      </w:r>
      <w:r>
        <w:rPr>
          <w:rFonts w:ascii="Arial" w:hAnsi="Arial" w:eastAsia="宋体" w:cs="Arial"/>
          <w:snapToGrid w:val="0"/>
          <w:kern w:val="0"/>
        </w:rPr>
        <w:t>因参加本研究而导致的任何不利后果，医疗服务将正常收费。但是，不排除您试图收集研究（包括医院）所涉及的那些与渎职、错误或过失有关的损害赔偿的部分。</w:t>
      </w:r>
    </w:p>
    <w:p w14:paraId="4A32AE51">
      <w:pPr>
        <w:pStyle w:val="47"/>
        <w:shd w:val="clear" w:color="auto" w:fill="auto"/>
        <w:topLinePunct/>
        <w:adjustRightInd w:val="0"/>
        <w:snapToGrid w:val="0"/>
        <w:spacing w:after="244" w:afterLines="75" w:line="288" w:lineRule="auto"/>
        <w:jc w:val="both"/>
        <w:rPr>
          <w:rFonts w:ascii="Arial" w:hAnsi="Arial" w:eastAsia="宋体" w:cs="Arial"/>
          <w:b w:val="0"/>
          <w:bCs w:val="0"/>
          <w:snapToGrid w:val="0"/>
          <w:kern w:val="0"/>
          <w:sz w:val="24"/>
          <w:szCs w:val="24"/>
        </w:rPr>
      </w:pPr>
      <w:r>
        <w:rPr>
          <w:rFonts w:ascii="Arial" w:hAnsi="Arial" w:eastAsia="宋体" w:cs="Arial"/>
          <w:b w:val="0"/>
          <w:bCs w:val="0"/>
          <w:snapToGrid w:val="0"/>
          <w:kern w:val="0"/>
          <w:sz w:val="24"/>
          <w:szCs w:val="24"/>
        </w:rPr>
        <w:t>另请参见</w:t>
      </w:r>
      <w:r>
        <w:rPr>
          <w:rFonts w:hint="eastAsia" w:ascii="Arial" w:hAnsi="Arial" w:eastAsia="宋体" w:cs="Arial"/>
          <w:b w:val="0"/>
          <w:bCs w:val="0"/>
          <w:snapToGrid w:val="0"/>
          <w:color w:val="3333FF"/>
          <w:kern w:val="0"/>
          <w:sz w:val="24"/>
          <w:szCs w:val="24"/>
          <w:u w:val="single"/>
        </w:rPr>
        <w:t>第</w:t>
      </w:r>
      <w:r>
        <w:rPr>
          <w:rFonts w:ascii="Arial" w:hAnsi="Arial" w:eastAsia="宋体" w:cs="Arial"/>
          <w:b w:val="0"/>
          <w:bCs w:val="0"/>
          <w:snapToGrid w:val="0"/>
          <w:color w:val="3333FF"/>
          <w:kern w:val="0"/>
          <w:sz w:val="24"/>
          <w:szCs w:val="24"/>
          <w:u w:val="single"/>
        </w:rPr>
        <w:t>III.A.4</w:t>
      </w:r>
      <w:r>
        <w:rPr>
          <w:rFonts w:hint="eastAsia" w:ascii="Arial" w:hAnsi="Arial" w:eastAsia="宋体" w:cs="Arial"/>
          <w:b w:val="0"/>
          <w:bCs w:val="0"/>
          <w:snapToGrid w:val="0"/>
          <w:color w:val="3333FF"/>
          <w:kern w:val="0"/>
          <w:sz w:val="24"/>
          <w:szCs w:val="24"/>
          <w:u w:val="single"/>
        </w:rPr>
        <w:t>节</w:t>
      </w:r>
      <w:r>
        <w:rPr>
          <w:rFonts w:ascii="宋体" w:hAnsi="宋体" w:eastAsia="宋体" w:cs="Arial"/>
          <w:b w:val="0"/>
          <w:bCs w:val="0"/>
          <w:snapToGrid w:val="0"/>
          <w:kern w:val="0"/>
          <w:sz w:val="24"/>
          <w:szCs w:val="24"/>
        </w:rPr>
        <w:t>“</w:t>
      </w:r>
      <w:r>
        <w:rPr>
          <w:rFonts w:ascii="Arial" w:hAnsi="Arial" w:eastAsia="宋体" w:cs="Arial"/>
          <w:b w:val="0"/>
          <w:bCs w:val="0"/>
          <w:snapToGrid w:val="0"/>
          <w:kern w:val="0"/>
          <w:sz w:val="24"/>
          <w:szCs w:val="24"/>
        </w:rPr>
        <w:t>开脱性语言</w:t>
      </w:r>
      <w:r>
        <w:rPr>
          <w:rFonts w:ascii="宋体" w:hAnsi="宋体" w:eastAsia="宋体" w:cs="Arial"/>
          <w:b w:val="0"/>
          <w:bCs w:val="0"/>
          <w:snapToGrid w:val="0"/>
          <w:kern w:val="0"/>
          <w:sz w:val="24"/>
          <w:szCs w:val="24"/>
        </w:rPr>
        <w:t>”</w:t>
      </w:r>
      <w:r>
        <w:rPr>
          <w:rFonts w:ascii="Arial" w:hAnsi="Arial" w:eastAsia="宋体" w:cs="Arial"/>
          <w:b w:val="0"/>
          <w:bCs w:val="0"/>
          <w:snapToGrid w:val="0"/>
          <w:kern w:val="0"/>
          <w:sz w:val="24"/>
          <w:szCs w:val="24"/>
        </w:rPr>
        <w:t>。</w:t>
      </w:r>
    </w:p>
    <w:p w14:paraId="6EC88CE9">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5" w:name="_Toc499801689"/>
      <w:r>
        <w:rPr>
          <w:rFonts w:ascii="Arial" w:hAnsi="Arial" w:eastAsia="宋体" w:cs="Arial"/>
          <w:bCs w:val="0"/>
          <w:snapToGrid w:val="0"/>
          <w:kern w:val="0"/>
          <w:sz w:val="24"/>
          <w:szCs w:val="24"/>
        </w:rPr>
        <w:t>联系方式</w:t>
      </w:r>
      <w:bookmarkEnd w:id="15"/>
    </w:p>
    <w:p w14:paraId="43CB317E">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说明可以回答有关研究和研究受试者权利相关问题的联系人，以及受试者发生研究相关伤害事件的联系人。（21 CFR 50.25（a）（7））。</w:t>
      </w:r>
    </w:p>
    <w:p w14:paraId="6CF1DFC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同意程序必须提供信息，以告知如何与适当</w:t>
      </w:r>
      <w:r>
        <w:rPr>
          <w:rFonts w:hint="eastAsia" w:ascii="Arial" w:hAnsi="Arial" w:eastAsia="宋体" w:cs="Arial"/>
          <w:snapToGrid w:val="0"/>
          <w:kern w:val="0"/>
        </w:rPr>
        <w:t>人员</w:t>
      </w:r>
      <w:r>
        <w:rPr>
          <w:rFonts w:ascii="Arial" w:hAnsi="Arial" w:eastAsia="宋体" w:cs="Arial"/>
          <w:snapToGrid w:val="0"/>
          <w:kern w:val="0"/>
        </w:rPr>
        <w:t>联系，获得有关临床研究和受试者权利相关问题的解答，以及在受试者发生与研究相关伤害事件时可以联系</w:t>
      </w:r>
      <w:r>
        <w:rPr>
          <w:rFonts w:hint="eastAsia" w:ascii="Arial" w:hAnsi="Arial" w:eastAsia="宋体" w:cs="Arial"/>
          <w:snapToGrid w:val="0"/>
          <w:kern w:val="0"/>
        </w:rPr>
        <w:t>的人员</w:t>
      </w:r>
      <w:r>
        <w:rPr>
          <w:rFonts w:ascii="Arial" w:hAnsi="Arial" w:eastAsia="宋体" w:cs="Arial"/>
          <w:snapToGrid w:val="0"/>
          <w:kern w:val="0"/>
        </w:rPr>
        <w:t>。（21 CFR 50.25（a）（7））。此信息应包括联系人的姓名（或办公室）及电话号码。FDA建议，有关受试者权利问题的个人或办公室不应属于研究小组的一部分，受试者可能不愿意向作为研究小组一部分的人员报告具体的关注点或指出可能的问题。此外，同意程序应包括关于联系人的信息以及在紧急情况下如何处理，包括24小时的联系人信息（如适用）。</w:t>
      </w:r>
      <w:r>
        <w:rPr>
          <w:rStyle w:val="25"/>
          <w:rFonts w:ascii="Arial" w:hAnsi="Arial" w:eastAsia="宋体" w:cs="Arial"/>
          <w:snapToGrid w:val="0"/>
          <w:kern w:val="0"/>
        </w:rPr>
        <w:footnoteReference w:id="21"/>
      </w:r>
    </w:p>
    <w:p w14:paraId="2875210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如果在临床研究过程中联系信息发生变化，则必须向受试者提供新的联系信息。（21 CFR 50.25（a）（7））。这可以通过多种方式进行，例如提供用于临床研究的相关联系人信息的卡片。</w:t>
      </w:r>
    </w:p>
    <w:p w14:paraId="563FAE07">
      <w:pPr>
        <w:pStyle w:val="47"/>
        <w:numPr>
          <w:ilvl w:val="0"/>
          <w:numId w:val="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6" w:name="_Toc499801690"/>
      <w:r>
        <w:rPr>
          <w:rFonts w:ascii="Arial" w:hAnsi="Arial" w:eastAsia="宋体" w:cs="Arial"/>
          <w:bCs w:val="0"/>
          <w:snapToGrid w:val="0"/>
          <w:kern w:val="0"/>
          <w:sz w:val="24"/>
          <w:szCs w:val="24"/>
        </w:rPr>
        <w:t>自愿参加</w:t>
      </w:r>
      <w:bookmarkEnd w:id="16"/>
    </w:p>
    <w:p w14:paraId="73724963">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关于自愿参加的声明，拒绝参加不会涉及受试者的处罚或失去其在其他方面的收益，而且受试者可以在任何时间停止参加，而不会受到处罚或失去其在其他方面的收益。（21 CFR 50.25（a）（8））。</w:t>
      </w:r>
    </w:p>
    <w:p w14:paraId="62778768">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这个要素要求告知受试者可以拒绝参加临床研究，或者可以随时停止参加，而不会受到任何处罚或损失收益。（21 CFR 50.25（a）（8））不得使用限制受试者拒绝参加或退出临床研究权利的语言。如果受试者必须遵循特殊程序才能退出临床研究，则同意过程必须对此程序进行概述和解释（21 CFR 50.25（b）（4）），见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III.C.4</w:t>
      </w:r>
      <w:r>
        <w:rPr>
          <w:rFonts w:hint="eastAsia" w:ascii="Arial" w:hAnsi="Arial" w:eastAsia="宋体" w:cs="Arial"/>
          <w:snapToGrid w:val="0"/>
          <w:color w:val="3333FF"/>
          <w:kern w:val="0"/>
          <w:u w:val="single"/>
        </w:rPr>
        <w:t>节</w:t>
      </w:r>
      <w:r>
        <w:rPr>
          <w:rFonts w:ascii="宋体" w:hAnsi="宋体" w:eastAsia="宋体" w:cs="Arial"/>
          <w:snapToGrid w:val="0"/>
          <w:kern w:val="0"/>
        </w:rPr>
        <w:t>“</w:t>
      </w:r>
      <w:r>
        <w:rPr>
          <w:rFonts w:ascii="Arial" w:hAnsi="Arial" w:eastAsia="宋体" w:cs="Arial"/>
          <w:snapToGrid w:val="0"/>
          <w:kern w:val="0"/>
        </w:rPr>
        <w:t>受试者决定退出的后果</w:t>
      </w:r>
      <w:r>
        <w:rPr>
          <w:rFonts w:ascii="宋体" w:hAnsi="宋体" w:eastAsia="宋体" w:cs="Arial"/>
          <w:snapToGrid w:val="0"/>
          <w:kern w:val="0"/>
        </w:rPr>
        <w:t>”</w:t>
      </w:r>
      <w:r>
        <w:rPr>
          <w:rFonts w:ascii="Arial" w:hAnsi="Arial" w:eastAsia="宋体" w:cs="Arial"/>
          <w:snapToGrid w:val="0"/>
          <w:kern w:val="0"/>
        </w:rPr>
        <w:t>）。还应注意，受试者</w:t>
      </w:r>
      <w:r>
        <w:rPr>
          <w:rFonts w:hint="eastAsia" w:ascii="Arial" w:hAnsi="Arial" w:eastAsia="宋体" w:cs="Arial"/>
          <w:snapToGrid w:val="0"/>
          <w:kern w:val="0"/>
        </w:rPr>
        <w:t>不得</w:t>
      </w:r>
      <w:r>
        <w:rPr>
          <w:rFonts w:ascii="Arial" w:hAnsi="Arial" w:eastAsia="宋体" w:cs="Arial"/>
          <w:snapToGrid w:val="0"/>
          <w:kern w:val="0"/>
        </w:rPr>
        <w:t>撤回在其退出前所收集的有关他们的数据，如</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V.I</w:t>
      </w:r>
      <w:r>
        <w:rPr>
          <w:rFonts w:hint="eastAsia" w:ascii="Arial" w:hAnsi="Arial" w:eastAsia="宋体" w:cs="Arial"/>
          <w:snapToGrid w:val="0"/>
          <w:color w:val="3333FF"/>
          <w:kern w:val="0"/>
          <w:u w:val="single"/>
        </w:rPr>
        <w:t>节</w:t>
      </w:r>
      <w:r>
        <w:rPr>
          <w:rFonts w:ascii="宋体" w:hAnsi="宋体" w:eastAsia="宋体" w:cs="Arial"/>
          <w:snapToGrid w:val="0"/>
          <w:color w:val="3333FF"/>
          <w:kern w:val="0"/>
          <w:u w:val="single"/>
        </w:rPr>
        <w:t>“</w:t>
      </w:r>
      <w:r>
        <w:rPr>
          <w:rFonts w:hint="eastAsia" w:ascii="Arial" w:hAnsi="Arial" w:eastAsia="宋体" w:cs="Arial"/>
          <w:snapToGrid w:val="0"/>
          <w:color w:val="3333FF"/>
          <w:kern w:val="0"/>
          <w:u w:val="single"/>
        </w:rPr>
        <w:t>受试者退出的数据保留</w:t>
      </w:r>
      <w:r>
        <w:rPr>
          <w:rFonts w:ascii="宋体" w:hAnsi="宋体" w:eastAsia="宋体" w:cs="Arial"/>
          <w:snapToGrid w:val="0"/>
          <w:color w:val="3333FF"/>
          <w:kern w:val="0"/>
          <w:u w:val="single"/>
        </w:rPr>
        <w:t>”</w:t>
      </w:r>
      <w:r>
        <w:rPr>
          <w:rFonts w:ascii="Arial" w:hAnsi="Arial" w:eastAsia="宋体" w:cs="Arial"/>
          <w:snapToGrid w:val="0"/>
          <w:kern w:val="0"/>
        </w:rPr>
        <w:t>中所讨论的。</w:t>
      </w:r>
    </w:p>
    <w:p w14:paraId="01F02E35">
      <w:pPr>
        <w:pStyle w:val="47"/>
        <w:numPr>
          <w:ilvl w:val="0"/>
          <w:numId w:val="3"/>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17" w:name="_Toc499801691"/>
      <w:r>
        <w:rPr>
          <w:rFonts w:ascii="Arial" w:hAnsi="Arial" w:eastAsia="宋体" w:cs="Arial"/>
          <w:bCs w:val="0"/>
          <w:snapToGrid w:val="0"/>
          <w:kern w:val="0"/>
          <w:sz w:val="24"/>
          <w:szCs w:val="24"/>
        </w:rPr>
        <w:t>知情同意的其他要素</w:t>
      </w:r>
      <w:bookmarkEnd w:id="17"/>
    </w:p>
    <w:p w14:paraId="09E063A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hint="eastAsia" w:ascii="Arial" w:hAnsi="Arial" w:eastAsia="宋体" w:cs="Arial"/>
          <w:snapToGrid w:val="0"/>
          <w:kern w:val="0"/>
        </w:rPr>
        <w:t>法规</w:t>
      </w:r>
      <w:r>
        <w:rPr>
          <w:rFonts w:ascii="Arial" w:hAnsi="Arial" w:eastAsia="宋体" w:cs="Arial"/>
          <w:snapToGrid w:val="0"/>
          <w:kern w:val="0"/>
        </w:rPr>
        <w:t>确定了知情同意应纳入的其他要素，如适用。（21 CFR 50.25（b））。</w:t>
      </w:r>
    </w:p>
    <w:p w14:paraId="1AD6664D">
      <w:pPr>
        <w:pStyle w:val="53"/>
        <w:numPr>
          <w:ilvl w:val="0"/>
          <w:numId w:val="6"/>
        </w:numPr>
        <w:shd w:val="clear" w:color="auto" w:fill="auto"/>
        <w:topLinePunct/>
        <w:adjustRightInd w:val="0"/>
        <w:snapToGrid w:val="0"/>
        <w:spacing w:before="0" w:after="244" w:afterLines="75" w:line="288" w:lineRule="auto"/>
        <w:ind w:left="1276" w:hanging="856"/>
        <w:jc w:val="both"/>
        <w:rPr>
          <w:rFonts w:ascii="Arial" w:hAnsi="Arial" w:eastAsia="宋体" w:cs="Arial"/>
          <w:snapToGrid w:val="0"/>
          <w:kern w:val="0"/>
          <w:sz w:val="24"/>
          <w:szCs w:val="24"/>
        </w:rPr>
      </w:pPr>
      <w:r>
        <w:rPr>
          <w:rFonts w:ascii="Arial" w:hAnsi="Arial" w:eastAsia="宋体" w:cs="Arial"/>
          <w:snapToGrid w:val="0"/>
          <w:kern w:val="0"/>
          <w:sz w:val="24"/>
          <w:szCs w:val="24"/>
        </w:rPr>
        <w:t>知情同意的其他要素。如适用，还应为每例受试者提供一个或多个以下信息要素：</w:t>
      </w:r>
    </w:p>
    <w:p w14:paraId="44AB4A7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当IRB确定了对于预期受试者做出参加决定的重要信息时，应向预期受试者提供下列适用要素：</w:t>
      </w:r>
    </w:p>
    <w:p w14:paraId="33C47B55">
      <w:pPr>
        <w:pStyle w:val="47"/>
        <w:numPr>
          <w:ilvl w:val="0"/>
          <w:numId w:val="9"/>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8" w:name="_Toc499801692"/>
      <w:r>
        <w:rPr>
          <w:rFonts w:ascii="Arial" w:hAnsi="Arial" w:eastAsia="宋体" w:cs="Arial"/>
          <w:bCs w:val="0"/>
          <w:snapToGrid w:val="0"/>
          <w:kern w:val="0"/>
          <w:sz w:val="24"/>
          <w:szCs w:val="24"/>
        </w:rPr>
        <w:t>不可预见的风险</w:t>
      </w:r>
      <w:bookmarkEnd w:id="18"/>
    </w:p>
    <w:p w14:paraId="71C6288C">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声明特定的治疗或程序可能会对受试者（或对胚胎或胎儿，如果受试者怀孕或可能怀孕）存在目前不可预见的风险。（21 CFR 50.25（b）（1）。）</w:t>
      </w:r>
    </w:p>
    <w:p w14:paraId="0C3DA41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如适用，同意程序必须包含一个声明，说明特定的供试品或程序可能会对受试者（或胚胎或胎儿，如果受试者怀孕或可能怀孕）存在目前不可预见的风险。（21 CFR 50.25（b）（1））。如果没有完成长期安全性研究（如台架测试和动物试验），则知情同意过程应说明，研究者尚未完成研究，而该研究可能会识别潜在的风险，如致癌性或致畸性。</w:t>
      </w:r>
    </w:p>
    <w:p w14:paraId="2146AF4D">
      <w:pPr>
        <w:pStyle w:val="47"/>
        <w:numPr>
          <w:ilvl w:val="0"/>
          <w:numId w:val="9"/>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19" w:name="_Toc499801693"/>
      <w:r>
        <w:rPr>
          <w:rFonts w:ascii="Arial" w:hAnsi="Arial" w:eastAsia="宋体" w:cs="Arial"/>
          <w:bCs w:val="0"/>
          <w:snapToGrid w:val="0"/>
          <w:kern w:val="0"/>
          <w:sz w:val="24"/>
          <w:szCs w:val="24"/>
        </w:rPr>
        <w:t>受试者参加研究的非自愿终止</w:t>
      </w:r>
      <w:bookmarkEnd w:id="19"/>
    </w:p>
    <w:p w14:paraId="3178F74B">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预期情况下，研究者可以终止受试者参加研究，而不必考虑受试者的同意。（21 CFR 50.25（b）（2））</w:t>
      </w:r>
    </w:p>
    <w:p w14:paraId="1D28C45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如适用，同意过程必须告知受试者预期情况，研究者可以不经受试者同意而终止受试者参加研究。（21 CFR 50.25（b）（2））。例如，如果受试者不能遵守临床研究所要求的程序、受试者不再符合继续参加研究的资格标准、或者该中心退出研究。对于研究者或申办方可以在任何时候使受试者退出研究，一个简单的说明是不够的，其并未告知受试者可能引起他／她退出临床研究的预期情况。例如，同意过程可以告知受试者，如果受试者不遵循研究者给予他／她的指示，例如屡次未能按照方案要求返回门诊随访或屡次不遵循给药剂量或器械说明，研究者可以让受试者退出临床研究。如果受试者退出研究，临床研究者应向受试者解释退出的原因，讨论其他可用的治疗或研究选择，并在适当情况下讨论其在退出后的副作用追踪计划。</w:t>
      </w:r>
    </w:p>
    <w:p w14:paraId="0437B449">
      <w:pPr>
        <w:adjustRightInd/>
        <w:snapToGrid/>
        <w:spacing w:line="240" w:lineRule="auto"/>
        <w:rPr>
          <w:rFonts w:ascii="Arial" w:hAnsi="Arial" w:eastAsia="宋体" w:cs="Arial"/>
          <w:b/>
          <w:snapToGrid w:val="0"/>
          <w:szCs w:val="24"/>
        </w:rPr>
      </w:pPr>
      <w:r>
        <w:rPr>
          <w:rFonts w:ascii="Arial" w:hAnsi="Arial" w:eastAsia="宋体" w:cs="Arial"/>
          <w:bCs/>
          <w:snapToGrid w:val="0"/>
          <w:szCs w:val="24"/>
        </w:rPr>
        <w:br w:type="page"/>
      </w:r>
    </w:p>
    <w:p w14:paraId="4667FD3B">
      <w:pPr>
        <w:pStyle w:val="47"/>
        <w:numPr>
          <w:ilvl w:val="0"/>
          <w:numId w:val="9"/>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20" w:name="_Toc499801694"/>
      <w:r>
        <w:rPr>
          <w:rFonts w:ascii="Arial" w:hAnsi="Arial" w:eastAsia="宋体" w:cs="Arial"/>
          <w:bCs w:val="0"/>
          <w:snapToGrid w:val="0"/>
          <w:kern w:val="0"/>
          <w:sz w:val="24"/>
          <w:szCs w:val="24"/>
        </w:rPr>
        <w:t>给受试者的额外费用</w:t>
      </w:r>
      <w:bookmarkEnd w:id="20"/>
    </w:p>
    <w:p w14:paraId="0B1E8BB1">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因受试者参加研究可能引起的任何额外费用。（21 CFR 50.25（b）（3）。）</w:t>
      </w:r>
    </w:p>
    <w:p w14:paraId="425F2725">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如果受试者因为参加临床研究可能引发额外费用，则同意过程中必须对额外的费用进行解释。（21 CFR 50.25（b）（3）。）FDA建议将可能由受试者、受试者保险或其他报销机制承担的任何检测、程序和／或产品的费用作为知情同意过程的一部分进行解释。应该让受试者知道，保险或其他报销机制可能不会为他们所接受的医疗提供资金，因为他们正在参加临床研究，即使该治疗是标准治疗，若他们不参加临床研究也会以其他方式接受</w:t>
      </w:r>
      <w:r>
        <w:rPr>
          <w:rStyle w:val="25"/>
          <w:rFonts w:ascii="Arial" w:hAnsi="Arial" w:eastAsia="宋体" w:cs="Arial"/>
          <w:snapToGrid w:val="0"/>
          <w:kern w:val="0"/>
        </w:rPr>
        <w:footnoteReference w:id="22"/>
      </w:r>
      <w:r>
        <w:rPr>
          <w:rFonts w:ascii="Arial" w:hAnsi="Arial" w:eastAsia="宋体" w:cs="Arial"/>
          <w:snapToGrid w:val="0"/>
          <w:kern w:val="0"/>
        </w:rPr>
        <w:t>。</w:t>
      </w:r>
    </w:p>
    <w:p w14:paraId="76E4644B">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此外，保险或其他形式的报销可能不会支付因参加临床研究而引起的并发症或伤害相关的治疗。（另见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III.B.6</w:t>
      </w:r>
      <w:r>
        <w:rPr>
          <w:rFonts w:hint="eastAsia" w:ascii="Arial" w:hAnsi="Arial" w:eastAsia="宋体" w:cs="Arial"/>
          <w:snapToGrid w:val="0"/>
          <w:color w:val="3333FF"/>
          <w:kern w:val="0"/>
          <w:u w:val="single"/>
        </w:rPr>
        <w:t>节</w:t>
      </w:r>
      <w:r>
        <w:rPr>
          <w:rFonts w:ascii="宋体" w:hAnsi="宋体" w:eastAsia="宋体" w:cs="Arial"/>
          <w:snapToGrid w:val="0"/>
          <w:kern w:val="0"/>
        </w:rPr>
        <w:t>“</w:t>
      </w:r>
      <w:r>
        <w:rPr>
          <w:rFonts w:ascii="Arial" w:hAnsi="Arial" w:eastAsia="宋体" w:cs="Arial"/>
          <w:bCs/>
          <w:snapToGrid w:val="0"/>
          <w:kern w:val="0"/>
        </w:rPr>
        <w:t>伤害事件的赔偿和医疗治疗</w:t>
      </w:r>
      <w:r>
        <w:rPr>
          <w:rFonts w:ascii="宋体" w:hAnsi="宋体" w:eastAsia="宋体" w:cs="Arial"/>
          <w:snapToGrid w:val="0"/>
          <w:kern w:val="0"/>
        </w:rPr>
        <w:t>”</w:t>
      </w:r>
      <w:r>
        <w:rPr>
          <w:rFonts w:ascii="Arial" w:hAnsi="Arial" w:eastAsia="宋体" w:cs="Arial"/>
          <w:snapToGrid w:val="0"/>
          <w:kern w:val="0"/>
        </w:rPr>
        <w:t>）。如果受试者的保险承担了费用，并且有免赔额或共付额，应告知受试者，他／她是否应对这些费用负责。如果基金可用于支付并非由保险或其他形式的报销所支付的费用，同意书应说明如何将这些基金提供给受试者或直接告知受试者如何获得进一步的信息。由于这些问题可能较为复杂，因此在签署同意书之前，受试者可以就费用、保险和报销的问题向</w:t>
      </w:r>
      <w:r>
        <w:rPr>
          <w:rFonts w:hint="eastAsia" w:ascii="Arial" w:hAnsi="Arial" w:eastAsia="宋体" w:cs="Arial"/>
          <w:snapToGrid w:val="0"/>
          <w:kern w:val="0"/>
        </w:rPr>
        <w:t>专业</w:t>
      </w:r>
      <w:r>
        <w:rPr>
          <w:rFonts w:ascii="Arial" w:hAnsi="Arial" w:eastAsia="宋体" w:cs="Arial"/>
          <w:snapToGrid w:val="0"/>
          <w:kern w:val="0"/>
        </w:rPr>
        <w:t>财务顾问或偿付专家进行咨询以得到说明。</w:t>
      </w:r>
    </w:p>
    <w:p w14:paraId="140CD99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除了与参加研究直接相关的费用之外，应确定受试者可能产生的额外费用，例如当受试者请假参加临床研究造成的收入损失以及交通费用的支出。</w:t>
      </w:r>
    </w:p>
    <w:p w14:paraId="6BE0A180">
      <w:pPr>
        <w:widowControl w:val="0"/>
        <w:topLinePunct/>
        <w:spacing w:after="244" w:afterLines="75" w:line="288" w:lineRule="auto"/>
        <w:jc w:val="both"/>
        <w:rPr>
          <w:rFonts w:ascii="Arial" w:hAnsi="Arial" w:eastAsia="宋体" w:cs="Arial"/>
          <w:snapToGrid w:val="0"/>
          <w:szCs w:val="24"/>
        </w:rPr>
      </w:pPr>
      <w:r>
        <w:rPr>
          <w:rFonts w:ascii="Arial" w:hAnsi="Arial" w:eastAsia="宋体" w:cs="Arial"/>
          <w:b/>
          <w:bCs/>
          <w:snapToGrid w:val="0"/>
          <w:szCs w:val="24"/>
        </w:rPr>
        <w:br w:type="page"/>
      </w:r>
    </w:p>
    <w:p w14:paraId="3947C55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在某些情况下，可能会向受试者收取研究用产品的费用。在涉及研究用器械的临床研究中，申办方被允许收回研究用器械的研究、开发、制造和处理费用（见21 CFR 812.7（b））。FDA可能会批准申办方在某些药物的临床研究中收回研究用药物所需的直接费用，如：制造、运输和处理（如：储存）的成本（如21 CFR 312.8）</w:t>
      </w:r>
      <w:r>
        <w:rPr>
          <w:rStyle w:val="25"/>
          <w:rFonts w:ascii="Arial" w:hAnsi="Arial" w:eastAsia="宋体" w:cs="Arial"/>
          <w:snapToGrid w:val="0"/>
          <w:kern w:val="0"/>
        </w:rPr>
        <w:footnoteReference w:id="23"/>
      </w:r>
      <w:r>
        <w:rPr>
          <w:rFonts w:ascii="Arial" w:hAnsi="Arial" w:eastAsia="宋体" w:cs="Arial"/>
          <w:snapToGrid w:val="0"/>
          <w:kern w:val="0"/>
        </w:rPr>
        <w:t>。当这些费用被转嫁给受试者时，同意过程中必须明确这些费用。</w:t>
      </w:r>
    </w:p>
    <w:p w14:paraId="11867FBB">
      <w:pPr>
        <w:pStyle w:val="47"/>
        <w:numPr>
          <w:ilvl w:val="0"/>
          <w:numId w:val="9"/>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21" w:name="_Toc499801695"/>
      <w:r>
        <w:rPr>
          <w:rFonts w:ascii="Arial" w:hAnsi="Arial" w:eastAsia="宋体" w:cs="Arial"/>
          <w:bCs w:val="0"/>
          <w:snapToGrid w:val="0"/>
          <w:kern w:val="0"/>
          <w:sz w:val="24"/>
          <w:szCs w:val="24"/>
        </w:rPr>
        <w:t>受试者决定退出的后果</w:t>
      </w:r>
      <w:bookmarkEnd w:id="21"/>
    </w:p>
    <w:p w14:paraId="1C0CE4F4">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受试者决定退出临床研究的后果以及有序终止受试者参加的程序。（21 CFR 50.25（b）（4））。</w:t>
      </w:r>
    </w:p>
    <w:p w14:paraId="4F74BA65">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如适用，同意程序必须描述受试者决定退出临床研究的后果以及有序终止受试者参加的程序。（21 CFR 50.25（b）（4））。例如，如果退出临床研究可能会对受试者产生不良影响，则知情同意程序必须说明为确保受试者安全而建议的退出程序，并特别说明这些程序为什么对该受试者的福利很重要。对于一些临床研究，应逐渐取消干预措施，或者在由于受试者退出而提前终止研究干预时，研究者可能会建议采取后续措施以确保受试者的安全。在这些情况下，同意过程必须明确告知受试者过早终止试验干预的潜在不良反应。如果适用，同意过程必须说明提前退出的受试者</w:t>
      </w:r>
      <w:r>
        <w:rPr>
          <w:rFonts w:hint="eastAsia" w:ascii="Arial" w:hAnsi="Arial" w:eastAsia="宋体" w:cs="Arial"/>
          <w:snapToGrid w:val="0"/>
          <w:kern w:val="0"/>
        </w:rPr>
        <w:t>将来</w:t>
      </w:r>
      <w:r>
        <w:rPr>
          <w:rFonts w:ascii="Arial" w:hAnsi="Arial" w:eastAsia="宋体" w:cs="Arial"/>
          <w:snapToGrid w:val="0"/>
          <w:kern w:val="0"/>
        </w:rPr>
        <w:t>是否会</w:t>
      </w:r>
      <w:r>
        <w:rPr>
          <w:rFonts w:hint="eastAsia" w:ascii="Arial" w:hAnsi="Arial" w:eastAsia="宋体" w:cs="Arial"/>
          <w:snapToGrid w:val="0"/>
          <w:kern w:val="0"/>
        </w:rPr>
        <w:t>获得赔偿</w:t>
      </w:r>
      <w:r>
        <w:rPr>
          <w:rFonts w:ascii="Arial" w:hAnsi="Arial" w:eastAsia="宋体" w:cs="Arial"/>
          <w:snapToGrid w:val="0"/>
          <w:kern w:val="0"/>
        </w:rPr>
        <w:t>。</w:t>
      </w:r>
    </w:p>
    <w:p w14:paraId="662EA6F3">
      <w:pPr>
        <w:pStyle w:val="47"/>
        <w:numPr>
          <w:ilvl w:val="0"/>
          <w:numId w:val="9"/>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22" w:name="_Toc499801696"/>
      <w:r>
        <w:rPr>
          <w:rFonts w:ascii="Arial" w:hAnsi="Arial" w:eastAsia="宋体" w:cs="Arial"/>
          <w:bCs w:val="0"/>
          <w:snapToGrid w:val="0"/>
          <w:kern w:val="0"/>
          <w:sz w:val="24"/>
          <w:szCs w:val="24"/>
        </w:rPr>
        <w:t>提供给受试者的重大新发现</w:t>
      </w:r>
      <w:bookmarkEnd w:id="22"/>
    </w:p>
    <w:p w14:paraId="40E12D05">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声明在研究过程中形成的可能与受试者愿意继续参加研究相关的重大新发现将提供给受试者。（21 CFR 50.25（b）（5））。</w:t>
      </w:r>
    </w:p>
    <w:p w14:paraId="7DFFE237">
      <w:pPr>
        <w:pStyle w:val="47"/>
        <w:shd w:val="clear" w:color="auto" w:fill="auto"/>
        <w:topLinePunct/>
        <w:adjustRightInd w:val="0"/>
        <w:snapToGrid w:val="0"/>
        <w:spacing w:after="244" w:afterLines="75" w:line="288" w:lineRule="auto"/>
        <w:jc w:val="both"/>
        <w:rPr>
          <w:rFonts w:ascii="Arial" w:hAnsi="Arial" w:eastAsia="宋体" w:cs="Arial"/>
          <w:b w:val="0"/>
          <w:bCs w:val="0"/>
          <w:snapToGrid w:val="0"/>
          <w:kern w:val="0"/>
          <w:sz w:val="24"/>
          <w:szCs w:val="24"/>
        </w:rPr>
      </w:pPr>
      <w:r>
        <w:rPr>
          <w:rFonts w:ascii="Arial" w:hAnsi="Arial" w:eastAsia="宋体" w:cs="Arial"/>
          <w:b w:val="0"/>
          <w:bCs w:val="0"/>
          <w:snapToGrid w:val="0"/>
          <w:kern w:val="0"/>
          <w:sz w:val="24"/>
          <w:szCs w:val="24"/>
        </w:rPr>
        <w:t>如适用，同意过程必须包括一个声明，说明将提供给受试者可能与受试者愿意继续参加研究相关的重大新发现，如新的风险信息。（21 CFR 50.25（b）（5））。重大新发现可能包括发生了非预期的不良事件或比之前知情同意过程中所述的频率更多或程度更严重</w:t>
      </w:r>
      <w:r>
        <w:rPr>
          <w:rFonts w:hint="eastAsia" w:ascii="Arial" w:hAnsi="Arial" w:eastAsia="宋体" w:cs="Arial"/>
          <w:b w:val="0"/>
          <w:bCs w:val="0"/>
          <w:snapToGrid w:val="0"/>
          <w:kern w:val="0"/>
          <w:sz w:val="24"/>
          <w:szCs w:val="24"/>
        </w:rPr>
        <w:t>的</w:t>
      </w:r>
      <w:r>
        <w:rPr>
          <w:rFonts w:ascii="Arial" w:hAnsi="Arial" w:eastAsia="宋体" w:cs="Arial"/>
          <w:b w:val="0"/>
          <w:bCs w:val="0"/>
          <w:snapToGrid w:val="0"/>
          <w:kern w:val="0"/>
          <w:sz w:val="24"/>
          <w:szCs w:val="24"/>
        </w:rPr>
        <w:t>不良事件。FDA鼓励将此声明纳入对风险认知有限的临床研究的知情同意书中，例如对于首次人体使用、新疗法和新分子实体的临床研究、或涉及重大风险的复杂临床研究。</w:t>
      </w:r>
    </w:p>
    <w:p w14:paraId="3E7D59AF">
      <w:pPr>
        <w:adjustRightInd/>
        <w:snapToGrid/>
        <w:spacing w:line="240" w:lineRule="auto"/>
        <w:rPr>
          <w:rFonts w:ascii="Arial" w:hAnsi="Arial" w:eastAsia="宋体" w:cs="Arial"/>
          <w:b/>
          <w:snapToGrid w:val="0"/>
          <w:szCs w:val="24"/>
        </w:rPr>
      </w:pPr>
      <w:r>
        <w:rPr>
          <w:rFonts w:ascii="Arial" w:hAnsi="Arial" w:eastAsia="宋体" w:cs="Arial"/>
          <w:bCs/>
          <w:snapToGrid w:val="0"/>
          <w:szCs w:val="24"/>
        </w:rPr>
        <w:br w:type="page"/>
      </w:r>
    </w:p>
    <w:p w14:paraId="205F6CDA">
      <w:pPr>
        <w:pStyle w:val="47"/>
        <w:numPr>
          <w:ilvl w:val="0"/>
          <w:numId w:val="9"/>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23" w:name="_Toc499801697"/>
      <w:r>
        <w:rPr>
          <w:rFonts w:ascii="Arial" w:hAnsi="Arial" w:eastAsia="宋体" w:cs="Arial"/>
          <w:bCs w:val="0"/>
          <w:snapToGrid w:val="0"/>
          <w:kern w:val="0"/>
          <w:sz w:val="24"/>
          <w:szCs w:val="24"/>
        </w:rPr>
        <w:t>受试者数量</w:t>
      </w:r>
      <w:bookmarkEnd w:id="23"/>
    </w:p>
    <w:p w14:paraId="7B4CED82">
      <w:pPr>
        <w:pStyle w:val="53"/>
        <w:shd w:val="clear" w:color="auto" w:fill="auto"/>
        <w:topLinePunct/>
        <w:adjustRightInd w:val="0"/>
        <w:snapToGrid w:val="0"/>
        <w:spacing w:before="0" w:after="244" w:afterLines="75" w:line="288" w:lineRule="auto"/>
        <w:ind w:left="1680" w:leftChars="700" w:firstLine="0"/>
        <w:jc w:val="both"/>
        <w:rPr>
          <w:rFonts w:ascii="Arial" w:hAnsi="Arial" w:eastAsia="宋体" w:cs="Arial"/>
          <w:snapToGrid w:val="0"/>
          <w:kern w:val="0"/>
          <w:sz w:val="24"/>
          <w:szCs w:val="24"/>
        </w:rPr>
      </w:pPr>
      <w:r>
        <w:rPr>
          <w:rFonts w:ascii="Arial" w:hAnsi="Arial" w:eastAsia="宋体" w:cs="Arial"/>
          <w:snapToGrid w:val="0"/>
          <w:kern w:val="0"/>
          <w:sz w:val="24"/>
          <w:szCs w:val="24"/>
        </w:rPr>
        <w:t>纳入研究受试者的大概数量。（21 CFR 50.25（b）（6））。</w:t>
      </w:r>
    </w:p>
    <w:p w14:paraId="424C05A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知情同意程序必须说明将会纳入临床研究的大概人数，如适用。（21 CFR 50.25（b）（6））。例如，受试者的决定可能受到以下认识的影响：临床研究是产品的小型初始试验（例如1期或2期药物临床研究或器械的可行性研究，只有少数受试者参加的临床研究）。</w:t>
      </w:r>
    </w:p>
    <w:p w14:paraId="49349FB1">
      <w:pPr>
        <w:pStyle w:val="47"/>
        <w:numPr>
          <w:ilvl w:val="0"/>
          <w:numId w:val="3"/>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24" w:name="_Toc499801698"/>
      <w:r>
        <w:rPr>
          <w:rFonts w:ascii="宋体" w:hAnsi="宋体" w:eastAsia="宋体" w:cs="Arial"/>
          <w:bCs w:val="0"/>
          <w:snapToGrid w:val="0"/>
          <w:kern w:val="0"/>
          <w:sz w:val="24"/>
          <w:szCs w:val="24"/>
        </w:rPr>
        <w:t>“</w:t>
      </w:r>
      <w:r>
        <w:rPr>
          <w:rFonts w:ascii="Arial" w:hAnsi="Arial" w:eastAsia="宋体" w:cs="Arial"/>
          <w:bCs w:val="0"/>
          <w:snapToGrid w:val="0"/>
          <w:kern w:val="0"/>
          <w:sz w:val="24"/>
          <w:szCs w:val="24"/>
        </w:rPr>
        <w:t>适用的临床试验</w:t>
      </w:r>
      <w:r>
        <w:rPr>
          <w:rFonts w:ascii="宋体" w:hAnsi="宋体" w:eastAsia="宋体" w:cs="Arial"/>
          <w:bCs w:val="0"/>
          <w:snapToGrid w:val="0"/>
          <w:kern w:val="0"/>
          <w:sz w:val="24"/>
          <w:szCs w:val="24"/>
        </w:rPr>
        <w:t>”</w:t>
      </w:r>
      <w:r>
        <w:rPr>
          <w:rFonts w:ascii="Arial" w:hAnsi="Arial" w:eastAsia="宋体" w:cs="Arial"/>
          <w:bCs w:val="0"/>
          <w:snapToGrid w:val="0"/>
          <w:kern w:val="0"/>
          <w:sz w:val="24"/>
          <w:szCs w:val="24"/>
        </w:rPr>
        <w:t>的知情同意要素</w:t>
      </w:r>
      <w:r>
        <w:rPr>
          <w:rStyle w:val="25"/>
          <w:rFonts w:ascii="Arial" w:hAnsi="Arial" w:eastAsia="宋体" w:cs="Arial"/>
          <w:bCs w:val="0"/>
          <w:snapToGrid w:val="0"/>
          <w:kern w:val="0"/>
          <w:sz w:val="24"/>
          <w:szCs w:val="24"/>
        </w:rPr>
        <w:footnoteReference w:id="24"/>
      </w:r>
      <w:bookmarkEnd w:id="24"/>
    </w:p>
    <w:p w14:paraId="25304994">
      <w:pPr>
        <w:pStyle w:val="45"/>
        <w:shd w:val="clear" w:color="auto" w:fill="auto"/>
        <w:topLinePunct/>
        <w:adjustRightInd w:val="0"/>
        <w:snapToGrid w:val="0"/>
        <w:spacing w:before="0" w:after="244" w:afterLines="75" w:line="288" w:lineRule="auto"/>
        <w:ind w:left="1680" w:leftChars="700" w:firstLine="0"/>
        <w:rPr>
          <w:rFonts w:ascii="Arial" w:hAnsi="Arial" w:eastAsia="宋体" w:cs="Arial"/>
          <w:i/>
          <w:snapToGrid w:val="0"/>
          <w:kern w:val="0"/>
        </w:rPr>
      </w:pPr>
      <w:r>
        <w:rPr>
          <w:rFonts w:ascii="Arial" w:hAnsi="Arial" w:eastAsia="宋体" w:cs="Arial"/>
          <w:i/>
          <w:snapToGrid w:val="0"/>
          <w:kern w:val="0"/>
        </w:rPr>
        <w:t>为适用的临床试验（根据42 U.S.C. 282（j）（1）（A）的定义）征求知情同意时，应在每</w:t>
      </w:r>
      <w:r>
        <w:rPr>
          <w:rFonts w:hint="eastAsia" w:ascii="Arial" w:hAnsi="Arial" w:eastAsia="宋体" w:cs="Arial"/>
          <w:i/>
          <w:snapToGrid w:val="0"/>
          <w:kern w:val="0"/>
        </w:rPr>
        <w:t>例</w:t>
      </w:r>
      <w:r>
        <w:rPr>
          <w:rFonts w:ascii="Arial" w:hAnsi="Arial" w:eastAsia="宋体" w:cs="Arial"/>
          <w:i/>
          <w:snapToGrid w:val="0"/>
          <w:kern w:val="0"/>
        </w:rPr>
        <w:t>临床试验受试者的知情同意文件和程序中提供以下声明。这将告知临床试验受试者，根据</w:t>
      </w:r>
      <w:r>
        <w:rPr>
          <w:rFonts w:ascii="宋体" w:hAnsi="宋体" w:eastAsia="宋体" w:cs="Arial"/>
          <w:i/>
          <w:snapToGrid w:val="0"/>
          <w:kern w:val="0"/>
        </w:rPr>
        <w:t>“</w:t>
      </w:r>
      <w:r>
        <w:rPr>
          <w:rFonts w:ascii="Arial" w:hAnsi="Arial" w:eastAsia="宋体" w:cs="Arial"/>
          <w:i/>
          <w:snapToGrid w:val="0"/>
          <w:kern w:val="0"/>
        </w:rPr>
        <w:t>公共卫生服务法案</w:t>
      </w:r>
      <w:r>
        <w:rPr>
          <w:rFonts w:ascii="宋体" w:hAnsi="宋体" w:eastAsia="宋体" w:cs="Arial"/>
          <w:i/>
          <w:snapToGrid w:val="0"/>
          <w:kern w:val="0"/>
        </w:rPr>
        <w:t>”</w:t>
      </w:r>
      <w:r>
        <w:rPr>
          <w:rFonts w:ascii="Arial" w:hAnsi="Arial" w:eastAsia="宋体" w:cs="Arial"/>
          <w:i/>
          <w:snapToGrid w:val="0"/>
          <w:kern w:val="0"/>
        </w:rPr>
        <w:t>第402部分（j）段，临床试验信息已经或将要提交并纳入临床试验登记数据库。该声明为：</w:t>
      </w:r>
      <w:r>
        <w:rPr>
          <w:rFonts w:ascii="宋体" w:hAnsi="宋体" w:eastAsia="宋体" w:cs="Arial"/>
          <w:i/>
          <w:snapToGrid w:val="0"/>
          <w:kern w:val="0"/>
        </w:rPr>
        <w:t>“</w:t>
      </w:r>
      <w:r>
        <w:rPr>
          <w:rFonts w:ascii="Arial" w:hAnsi="Arial" w:eastAsia="宋体" w:cs="Arial"/>
          <w:i/>
          <w:snapToGrid w:val="0"/>
          <w:kern w:val="0"/>
        </w:rPr>
        <w:t>根据美国法律的要求，可以在</w:t>
      </w:r>
      <w:r>
        <w:rPr>
          <w:rFonts w:ascii="Arial" w:hAnsi="Arial" w:eastAsia="宋体" w:cs="Arial"/>
          <w:i/>
          <w:snapToGrid w:val="0"/>
          <w:color w:val="3333FF"/>
          <w:kern w:val="0"/>
          <w:u w:val="single"/>
        </w:rPr>
        <w:t>http： //www.ClinicalTrials.gov</w:t>
      </w:r>
      <w:r>
        <w:rPr>
          <w:rFonts w:ascii="Arial" w:hAnsi="Arial" w:eastAsia="宋体" w:cs="Arial"/>
          <w:i/>
          <w:snapToGrid w:val="0"/>
          <w:kern w:val="0"/>
        </w:rPr>
        <w:t>网站上查到这个临床试验的描述。该网址不会包含可识别您的信息，网站最多只会包含结果综述，您可以随时搜索该网址。</w:t>
      </w:r>
      <w:r>
        <w:rPr>
          <w:rFonts w:ascii="宋体" w:hAnsi="宋体" w:eastAsia="宋体" w:cs="Arial"/>
          <w:i/>
          <w:snapToGrid w:val="0"/>
          <w:kern w:val="0"/>
        </w:rPr>
        <w:t>”</w:t>
      </w:r>
    </w:p>
    <w:p w14:paraId="6A29EAB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2012年3月7日或之后启动的所有</w:t>
      </w:r>
      <w:r>
        <w:rPr>
          <w:rFonts w:ascii="宋体" w:hAnsi="宋体" w:eastAsia="宋体" w:cs="Arial"/>
          <w:snapToGrid w:val="0"/>
          <w:kern w:val="0"/>
        </w:rPr>
        <w:t>“</w:t>
      </w:r>
      <w:r>
        <w:rPr>
          <w:rFonts w:ascii="Arial" w:hAnsi="Arial" w:eastAsia="宋体" w:cs="Arial"/>
          <w:snapToGrid w:val="0"/>
          <w:kern w:val="0"/>
        </w:rPr>
        <w:t>适用的临床试验</w:t>
      </w:r>
      <w:r>
        <w:rPr>
          <w:rFonts w:ascii="宋体" w:hAnsi="宋体" w:eastAsia="宋体" w:cs="Arial"/>
          <w:snapToGrid w:val="0"/>
          <w:kern w:val="0"/>
        </w:rPr>
        <w:t>”</w:t>
      </w:r>
      <w:r>
        <w:rPr>
          <w:rStyle w:val="25"/>
          <w:rFonts w:ascii="宋体" w:hAnsi="宋体" w:eastAsia="宋体" w:cs="Arial"/>
          <w:snapToGrid w:val="0"/>
          <w:kern w:val="0"/>
        </w:rPr>
        <w:footnoteReference w:id="25"/>
      </w:r>
      <w:r>
        <w:rPr>
          <w:rFonts w:ascii="Arial" w:hAnsi="Arial" w:eastAsia="宋体" w:cs="Arial"/>
          <w:snapToGrid w:val="0"/>
          <w:kern w:val="0"/>
        </w:rPr>
        <w:t>的知情同意书和知情同意过程必须包含上述引用的声明</w:t>
      </w:r>
      <w:r>
        <w:rPr>
          <w:rStyle w:val="25"/>
          <w:rFonts w:ascii="Arial" w:hAnsi="Arial" w:eastAsia="宋体" w:cs="Arial"/>
          <w:snapToGrid w:val="0"/>
          <w:kern w:val="0"/>
        </w:rPr>
        <w:footnoteReference w:id="26"/>
      </w:r>
      <w:r>
        <w:rPr>
          <w:rFonts w:ascii="Arial" w:hAnsi="Arial" w:eastAsia="宋体" w:cs="Arial"/>
          <w:snapToGrid w:val="0"/>
          <w:kern w:val="0"/>
        </w:rPr>
        <w:t>。虽然可以给予附加的解释，但不得修改声明。</w:t>
      </w:r>
    </w:p>
    <w:p w14:paraId="4DC7AEC8">
      <w:pPr>
        <w:pStyle w:val="47"/>
        <w:numPr>
          <w:ilvl w:val="0"/>
          <w:numId w:val="3"/>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25" w:name="_Toc499801699"/>
      <w:r>
        <w:rPr>
          <w:rFonts w:ascii="Arial" w:hAnsi="Arial" w:eastAsia="宋体" w:cs="Arial"/>
          <w:bCs w:val="0"/>
          <w:snapToGrid w:val="0"/>
          <w:kern w:val="0"/>
          <w:sz w:val="24"/>
          <w:szCs w:val="24"/>
        </w:rPr>
        <w:t>知情同意文件</w:t>
      </w:r>
      <w:bookmarkEnd w:id="25"/>
    </w:p>
    <w:p w14:paraId="5E0B4FA6">
      <w:pPr>
        <w:pStyle w:val="47"/>
        <w:shd w:val="clear" w:color="auto" w:fill="auto"/>
        <w:topLinePunct/>
        <w:adjustRightInd w:val="0"/>
        <w:snapToGrid w:val="0"/>
        <w:spacing w:after="244" w:afterLines="75" w:line="288" w:lineRule="auto"/>
        <w:jc w:val="both"/>
        <w:outlineLvl w:val="2"/>
        <w:rPr>
          <w:rFonts w:ascii="Arial" w:hAnsi="Arial" w:eastAsia="宋体" w:cs="Arial"/>
          <w:bCs w:val="0"/>
          <w:snapToGrid w:val="0"/>
          <w:kern w:val="0"/>
          <w:sz w:val="24"/>
          <w:szCs w:val="24"/>
        </w:rPr>
      </w:pPr>
      <w:bookmarkStart w:id="26" w:name="_Toc499801700"/>
      <w:r>
        <w:rPr>
          <w:rFonts w:ascii="Arial" w:hAnsi="Arial" w:eastAsia="宋体" w:cs="Arial"/>
          <w:bCs w:val="0"/>
          <w:snapToGrid w:val="0"/>
          <w:kern w:val="0"/>
          <w:sz w:val="24"/>
          <w:szCs w:val="24"/>
        </w:rPr>
        <w:t>1.</w:t>
      </w:r>
      <w:r>
        <w:rPr>
          <w:rFonts w:hint="eastAsia" w:ascii="Arial" w:hAnsi="Arial" w:eastAsia="宋体" w:cs="Arial"/>
          <w:bCs w:val="0"/>
          <w:snapToGrid w:val="0"/>
          <w:kern w:val="0"/>
          <w:sz w:val="24"/>
          <w:szCs w:val="24"/>
        </w:rPr>
        <w:tab/>
      </w:r>
      <w:r>
        <w:rPr>
          <w:rFonts w:ascii="Arial" w:hAnsi="Arial" w:eastAsia="宋体" w:cs="Arial"/>
          <w:bCs w:val="0"/>
          <w:snapToGrid w:val="0"/>
          <w:kern w:val="0"/>
          <w:sz w:val="24"/>
          <w:szCs w:val="24"/>
        </w:rPr>
        <w:t>书面知情同意文件的要求</w:t>
      </w:r>
      <w:bookmarkEnd w:id="26"/>
    </w:p>
    <w:p w14:paraId="770D3F1A">
      <w:pPr>
        <w:pStyle w:val="53"/>
        <w:numPr>
          <w:ilvl w:val="0"/>
          <w:numId w:val="10"/>
        </w:numPr>
        <w:shd w:val="clear" w:color="auto" w:fill="auto"/>
        <w:topLinePunct/>
        <w:adjustRightInd w:val="0"/>
        <w:snapToGrid w:val="0"/>
        <w:spacing w:before="0" w:after="244" w:afterLines="75" w:line="288" w:lineRule="auto"/>
        <w:ind w:left="1276" w:hanging="856"/>
        <w:jc w:val="both"/>
        <w:rPr>
          <w:rFonts w:ascii="Arial" w:hAnsi="Arial" w:eastAsia="宋体" w:cs="Arial"/>
          <w:snapToGrid w:val="0"/>
          <w:kern w:val="0"/>
          <w:sz w:val="24"/>
          <w:szCs w:val="24"/>
        </w:rPr>
      </w:pPr>
      <w:r>
        <w:rPr>
          <w:rFonts w:ascii="Arial" w:hAnsi="Arial" w:eastAsia="宋体" w:cs="Arial"/>
          <w:snapToGrid w:val="0"/>
          <w:kern w:val="0"/>
          <w:sz w:val="24"/>
          <w:szCs w:val="24"/>
        </w:rPr>
        <w:t>除第56.109（c）条规定的情况外，知情同意文件应使用经IRB批准的书面同意书，并在同意时由受试者或受试者的合法授权代表签署并注明日期，副本应给予签署同意书的人。（21 CFR 50.27（a））。</w:t>
      </w:r>
    </w:p>
    <w:p w14:paraId="303E2A3A">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376A304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在获得知情同意的情况下，知情同意必须以有签字和日期的书面同意书形式作为记录，两种特殊情况除外（如FDA</w:t>
      </w:r>
      <w:r>
        <w:rPr>
          <w:rFonts w:hint="eastAsia" w:ascii="Arial" w:hAnsi="Arial" w:eastAsia="宋体" w:cs="Arial"/>
          <w:snapToGrid w:val="0"/>
          <w:kern w:val="0"/>
        </w:rPr>
        <w:t>法规</w:t>
      </w:r>
      <w:r>
        <w:rPr>
          <w:rFonts w:ascii="Arial" w:hAnsi="Arial" w:eastAsia="宋体" w:cs="Arial"/>
          <w:snapToGrid w:val="0"/>
          <w:kern w:val="0"/>
        </w:rPr>
        <w:t>21 CFR 56.109（c）中所述）</w:t>
      </w:r>
      <w:r>
        <w:rPr>
          <w:rStyle w:val="25"/>
          <w:rFonts w:ascii="Arial" w:hAnsi="Arial" w:eastAsia="宋体" w:cs="Arial"/>
          <w:snapToGrid w:val="0"/>
          <w:kern w:val="0"/>
        </w:rPr>
        <w:footnoteReference w:id="27"/>
      </w:r>
      <w:r>
        <w:rPr>
          <w:rFonts w:ascii="Arial" w:hAnsi="Arial" w:eastAsia="宋体" w:cs="Arial"/>
          <w:snapToGrid w:val="0"/>
          <w:kern w:val="0"/>
        </w:rPr>
        <w:t>。（21 CFR 50.27）。在需要书面知情同意时，根据FDA</w:t>
      </w:r>
      <w:r>
        <w:rPr>
          <w:rFonts w:hint="eastAsia" w:ascii="Arial" w:hAnsi="Arial" w:eastAsia="宋体" w:cs="Arial"/>
          <w:snapToGrid w:val="0"/>
          <w:kern w:val="0"/>
        </w:rPr>
        <w:t>法规</w:t>
      </w:r>
      <w:r>
        <w:rPr>
          <w:rFonts w:ascii="Arial" w:hAnsi="Arial" w:eastAsia="宋体" w:cs="Arial"/>
          <w:snapToGrid w:val="0"/>
          <w:kern w:val="0"/>
        </w:rPr>
        <w:t>，允许使用包括数字签名在内的电子签名，但须符合适用的法规</w:t>
      </w:r>
      <w:r>
        <w:rPr>
          <w:rStyle w:val="25"/>
          <w:rFonts w:ascii="Arial" w:hAnsi="Arial" w:eastAsia="宋体" w:cs="Arial"/>
          <w:snapToGrid w:val="0"/>
          <w:kern w:val="0"/>
        </w:rPr>
        <w:footnoteReference w:id="28"/>
      </w:r>
      <w:r>
        <w:rPr>
          <w:rFonts w:ascii="Arial" w:hAnsi="Arial" w:eastAsia="宋体" w:cs="Arial"/>
          <w:snapToGrid w:val="0"/>
          <w:kern w:val="0"/>
        </w:rPr>
        <w:t>。</w:t>
      </w:r>
    </w:p>
    <w:p w14:paraId="4EB3BFC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如果IRB豁免了知情同意书面文件（根据21 CFR 56.109 （c）（1））的要求，FDA建议就知情同意的要素对受试者或受试者的合法授权代表进行口头审查。此外，IRB可能要求研究者向受试者提供关于临床研究的书面声明。（21 CFR 56.109（d）。）当IRB根据21 CFR 56.109 （c）（1）允许的最小伤害风险豁免了知情同意的文件要求时，FDA建议，同意过程和讨论应在有关临床研究的记录中进行描述和记录。</w:t>
      </w:r>
      <w:r>
        <w:rPr>
          <w:rStyle w:val="25"/>
          <w:rFonts w:ascii="Arial" w:hAnsi="Arial" w:eastAsia="宋体" w:cs="Arial"/>
          <w:snapToGrid w:val="0"/>
          <w:kern w:val="0"/>
        </w:rPr>
        <w:footnoteReference w:id="29"/>
      </w:r>
    </w:p>
    <w:p w14:paraId="713E76CE">
      <w:pPr>
        <w:pStyle w:val="47"/>
        <w:shd w:val="clear" w:color="auto" w:fill="auto"/>
        <w:topLinePunct/>
        <w:adjustRightInd w:val="0"/>
        <w:snapToGrid w:val="0"/>
        <w:spacing w:after="244" w:afterLines="75" w:line="288" w:lineRule="auto"/>
        <w:jc w:val="both"/>
        <w:outlineLvl w:val="2"/>
        <w:rPr>
          <w:rFonts w:ascii="Arial" w:hAnsi="Arial" w:eastAsia="宋体" w:cs="Arial"/>
          <w:bCs w:val="0"/>
          <w:snapToGrid w:val="0"/>
          <w:kern w:val="0"/>
          <w:sz w:val="24"/>
          <w:szCs w:val="24"/>
        </w:rPr>
      </w:pPr>
      <w:bookmarkStart w:id="27" w:name="_Toc499801701"/>
      <w:r>
        <w:rPr>
          <w:rFonts w:ascii="Arial" w:hAnsi="Arial" w:eastAsia="宋体" w:cs="Arial"/>
          <w:bCs w:val="0"/>
          <w:snapToGrid w:val="0"/>
          <w:kern w:val="0"/>
          <w:sz w:val="24"/>
          <w:szCs w:val="24"/>
        </w:rPr>
        <w:t>2.</w:t>
      </w:r>
      <w:r>
        <w:rPr>
          <w:rFonts w:hint="eastAsia" w:ascii="Arial" w:hAnsi="Arial" w:eastAsia="宋体" w:cs="Arial"/>
          <w:bCs w:val="0"/>
          <w:snapToGrid w:val="0"/>
          <w:kern w:val="0"/>
          <w:sz w:val="24"/>
          <w:szCs w:val="24"/>
        </w:rPr>
        <w:tab/>
      </w:r>
      <w:r>
        <w:rPr>
          <w:rFonts w:ascii="Arial" w:hAnsi="Arial" w:eastAsia="宋体" w:cs="Arial"/>
          <w:bCs w:val="0"/>
          <w:snapToGrid w:val="0"/>
          <w:kern w:val="0"/>
          <w:sz w:val="24"/>
          <w:szCs w:val="24"/>
        </w:rPr>
        <w:t>获得知情同意的替代方法</w:t>
      </w:r>
      <w:bookmarkEnd w:id="27"/>
    </w:p>
    <w:p w14:paraId="5B2CC87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hint="eastAsia" w:ascii="Arial" w:hAnsi="Arial" w:eastAsia="宋体" w:cs="Arial"/>
          <w:snapToGrid w:val="0"/>
          <w:kern w:val="0"/>
        </w:rPr>
        <w:t>一般</w:t>
      </w:r>
      <w:r>
        <w:rPr>
          <w:rFonts w:ascii="Arial" w:hAnsi="Arial" w:eastAsia="宋体" w:cs="Arial"/>
          <w:snapToGrid w:val="0"/>
          <w:kern w:val="0"/>
        </w:rPr>
        <w:t>使用书面同意书进行面对面访谈以获得知情同意。在知情同意过程中，新技术可以作为纸质同意书的替代形式。鼓励有兴趣寻求获得知情同意的替代方法的各方与FDA联系。</w:t>
      </w:r>
      <w:r>
        <w:rPr>
          <w:rStyle w:val="25"/>
          <w:rFonts w:ascii="Arial" w:hAnsi="Arial" w:eastAsia="宋体" w:cs="Arial"/>
          <w:snapToGrid w:val="0"/>
          <w:kern w:val="0"/>
        </w:rPr>
        <w:footnoteReference w:id="30"/>
      </w:r>
      <w:r>
        <w:rPr>
          <w:rFonts w:ascii="Arial" w:hAnsi="Arial" w:eastAsia="宋体" w:cs="Arial"/>
          <w:snapToGrid w:val="0"/>
          <w:kern w:val="0"/>
        </w:rPr>
        <w:t>目前，FDA正在考虑使用这些新技术的替代方法，并希望对这些替代方法提出意见。</w:t>
      </w:r>
    </w:p>
    <w:p w14:paraId="2668D41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即使在书面同意书的情况下，使用替代方法以取代面对面的同意访谈在有些情况下可能是适当的。例如，当受试者或受试者的合法授权代表不能亲临研究中心签署同意书时，或者如果临床研究的筛选程序需要事先行动时（例如禁食），这种需要同意但不需要亲临研究中心的情况，使用替代方法可能是适当的。当需要书面知情同意时，不能仅通过电话获得知情同意。对于风险不高于最低风险限度、并且在研究范围之外通常不需要书面同意的程序，根据21 CFR 56.109（c），允许受试者或受试者的合法授权代表进行口头同意。当使用口头同意时，FDA建议在研究记录中包含该过程的记录（提供的信息，获得同意的个人的名字，同意获得的日期）（见21 CFR 312.62（b）和21 CFR 812.140 （a）（3）））。</w:t>
      </w:r>
    </w:p>
    <w:p w14:paraId="314ECBE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其他并非面对面同意访谈之外的方法，如其可以充分地交换信息和文件，并确保同意书的签署者是计划作为受试者入组临床研究的人或其合法授权代表，则可以接受这些方法。例如，可以通过传真或电子邮件将同意书发送给受试者或受试者的合法授权代表，并且在受试者或受试者的合法授权代表能够阅读并讨论该同意书的时候，可以通过电话进行同意访谈。在同意讨论后，受试者或受试者的合法授权代表可以签署同意书并注明日期，可通过传真将该文件</w:t>
      </w:r>
      <w:r>
        <w:rPr>
          <w:rFonts w:hint="eastAsia" w:ascii="Arial" w:hAnsi="Arial" w:eastAsia="宋体" w:cs="Arial"/>
          <w:snapToGrid w:val="0"/>
          <w:kern w:val="0"/>
        </w:rPr>
        <w:t>返回</w:t>
      </w:r>
      <w:r>
        <w:rPr>
          <w:rFonts w:ascii="Arial" w:hAnsi="Arial" w:eastAsia="宋体" w:cs="Arial"/>
          <w:snapToGrid w:val="0"/>
          <w:kern w:val="0"/>
        </w:rPr>
        <w:t>临床研究者，可扫描同意书并通过安全的电子邮件账户返回，或者通过张贴到一个安全网址。或者，受试者可以将已签署姓名和日期的同意书在他／她下一次亲临临床中心时带给或邮寄给临床研究者。签署的文件应与受试者的病历一起备案。见21 CFR 312.62（b）和812.140 （a）（3）。此外，签署同意书的人必须收到同意书的副本（21 CFR 50.27（a））。虽然FDA法规并未要求受试者获得的签名副本，但FDA建议提供有签名的同意书副本。</w:t>
      </w:r>
    </w:p>
    <w:p w14:paraId="285E1FA7">
      <w:pPr>
        <w:pStyle w:val="47"/>
        <w:shd w:val="clear" w:color="auto" w:fill="auto"/>
        <w:topLinePunct/>
        <w:adjustRightInd w:val="0"/>
        <w:snapToGrid w:val="0"/>
        <w:spacing w:after="244" w:afterLines="75" w:line="288" w:lineRule="auto"/>
        <w:jc w:val="both"/>
        <w:outlineLvl w:val="2"/>
        <w:rPr>
          <w:rFonts w:ascii="Arial" w:hAnsi="Arial" w:eastAsia="宋体" w:cs="Arial"/>
          <w:bCs w:val="0"/>
          <w:snapToGrid w:val="0"/>
          <w:kern w:val="0"/>
          <w:sz w:val="24"/>
          <w:szCs w:val="24"/>
        </w:rPr>
      </w:pPr>
      <w:bookmarkStart w:id="28" w:name="_Toc499801702"/>
      <w:r>
        <w:rPr>
          <w:rFonts w:ascii="Arial" w:hAnsi="Arial" w:eastAsia="宋体" w:cs="Arial"/>
          <w:bCs w:val="0"/>
          <w:snapToGrid w:val="0"/>
          <w:kern w:val="0"/>
          <w:sz w:val="24"/>
          <w:szCs w:val="24"/>
        </w:rPr>
        <w:t>3.</w:t>
      </w:r>
      <w:r>
        <w:rPr>
          <w:rFonts w:hint="eastAsia" w:ascii="Arial" w:hAnsi="Arial" w:eastAsia="宋体" w:cs="Arial"/>
          <w:bCs w:val="0"/>
          <w:snapToGrid w:val="0"/>
          <w:kern w:val="0"/>
          <w:sz w:val="24"/>
          <w:szCs w:val="24"/>
        </w:rPr>
        <w:tab/>
      </w:r>
      <w:r>
        <w:rPr>
          <w:rFonts w:ascii="Arial" w:hAnsi="Arial" w:eastAsia="宋体" w:cs="Arial"/>
          <w:bCs w:val="0"/>
          <w:snapToGrid w:val="0"/>
          <w:kern w:val="0"/>
          <w:sz w:val="24"/>
          <w:szCs w:val="24"/>
        </w:rPr>
        <w:t>签</w:t>
      </w:r>
      <w:r>
        <w:rPr>
          <w:rFonts w:hint="eastAsia" w:ascii="Arial" w:hAnsi="Arial" w:eastAsia="宋体" w:cs="Arial"/>
          <w:bCs w:val="0"/>
          <w:snapToGrid w:val="0"/>
          <w:kern w:val="0"/>
          <w:sz w:val="24"/>
          <w:szCs w:val="24"/>
        </w:rPr>
        <w:t>署同意书日期的要求</w:t>
      </w:r>
      <w:bookmarkEnd w:id="28"/>
    </w:p>
    <w:p w14:paraId="5084A78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除签署同意书外，受试者或受试者的合法授权代表必须在同意书上填写签名的日期（21 CFR 50.27（a）），以便确认根据21 CFR 50.20的要求，受试者或受试者的合法授权代表在参加临床研究之前已给予同意。在有些情况下，受试者给予同意与他／她开始参加临床研究是同一天</w:t>
      </w:r>
      <w:r>
        <w:rPr>
          <w:rStyle w:val="25"/>
          <w:rFonts w:ascii="Arial" w:hAnsi="Arial" w:eastAsia="宋体" w:cs="Arial"/>
          <w:snapToGrid w:val="0"/>
          <w:kern w:val="0"/>
        </w:rPr>
        <w:footnoteReference w:id="31"/>
      </w:r>
      <w:r>
        <w:rPr>
          <w:rFonts w:ascii="Arial" w:hAnsi="Arial" w:eastAsia="宋体" w:cs="Arial"/>
          <w:snapToGrid w:val="0"/>
          <w:kern w:val="0"/>
        </w:rPr>
        <w:t>，那么该受试者的病史必须能证明该受试者在参加研究之前给予了同意（见21 CFR 312.62（b）和21 CFR 812.140 （a）（3））。签署同意书的人必须收到同意书的副本（21 CFR 50.27（a）），并且受试者的病历应该包含签署了姓名和日期的同意书。虽然FDA法规未要求受试者获得签名副本，但FDA建议提供有签名的同意书副本。</w:t>
      </w:r>
    </w:p>
    <w:p w14:paraId="04EDD612">
      <w:pPr>
        <w:adjustRightInd/>
        <w:snapToGrid/>
        <w:spacing w:line="240" w:lineRule="auto"/>
        <w:rPr>
          <w:rFonts w:ascii="Arial" w:hAnsi="Arial" w:eastAsia="宋体" w:cs="Arial"/>
          <w:snapToGrid w:val="0"/>
          <w:szCs w:val="24"/>
        </w:rPr>
      </w:pPr>
      <w:r>
        <w:rPr>
          <w:rFonts w:ascii="Arial" w:hAnsi="Arial" w:eastAsia="宋体" w:cs="Arial"/>
          <w:b/>
          <w:bCs/>
          <w:snapToGrid w:val="0"/>
          <w:szCs w:val="24"/>
        </w:rPr>
        <w:br w:type="page"/>
      </w:r>
    </w:p>
    <w:p w14:paraId="74256D4F">
      <w:pPr>
        <w:pStyle w:val="47"/>
        <w:shd w:val="clear" w:color="auto" w:fill="auto"/>
        <w:topLinePunct/>
        <w:adjustRightInd w:val="0"/>
        <w:snapToGrid w:val="0"/>
        <w:spacing w:after="244" w:afterLines="75" w:line="288" w:lineRule="auto"/>
        <w:jc w:val="both"/>
        <w:outlineLvl w:val="2"/>
        <w:rPr>
          <w:rFonts w:ascii="Arial" w:hAnsi="Arial" w:eastAsia="宋体" w:cs="Arial"/>
          <w:bCs w:val="0"/>
          <w:snapToGrid w:val="0"/>
          <w:kern w:val="0"/>
          <w:sz w:val="24"/>
          <w:szCs w:val="24"/>
        </w:rPr>
      </w:pPr>
      <w:bookmarkStart w:id="29" w:name="_Toc499801703"/>
      <w:r>
        <w:rPr>
          <w:rFonts w:ascii="Arial" w:hAnsi="Arial" w:eastAsia="宋体" w:cs="Arial"/>
          <w:bCs w:val="0"/>
          <w:snapToGrid w:val="0"/>
          <w:kern w:val="0"/>
          <w:sz w:val="24"/>
          <w:szCs w:val="24"/>
        </w:rPr>
        <w:t>4.</w:t>
      </w:r>
      <w:r>
        <w:rPr>
          <w:rFonts w:hint="eastAsia" w:ascii="Arial" w:hAnsi="Arial" w:eastAsia="宋体" w:cs="Arial"/>
          <w:bCs w:val="0"/>
          <w:snapToGrid w:val="0"/>
          <w:kern w:val="0"/>
          <w:sz w:val="24"/>
          <w:szCs w:val="24"/>
        </w:rPr>
        <w:tab/>
      </w:r>
      <w:r>
        <w:rPr>
          <w:rFonts w:ascii="Arial" w:hAnsi="Arial" w:eastAsia="宋体" w:cs="Arial"/>
          <w:bCs w:val="0"/>
          <w:snapToGrid w:val="0"/>
          <w:kern w:val="0"/>
          <w:sz w:val="24"/>
          <w:szCs w:val="24"/>
        </w:rPr>
        <w:t>知情同意的文件表</w:t>
      </w:r>
      <w:bookmarkEnd w:id="29"/>
    </w:p>
    <w:p w14:paraId="219D3F8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根据21 CFR 50.27：</w:t>
      </w:r>
    </w:p>
    <w:p w14:paraId="375DF291">
      <w:pPr>
        <w:pStyle w:val="53"/>
        <w:numPr>
          <w:ilvl w:val="0"/>
          <w:numId w:val="11"/>
        </w:numPr>
        <w:shd w:val="clear" w:color="auto" w:fill="auto"/>
        <w:tabs>
          <w:tab w:val="left" w:pos="1150"/>
        </w:tabs>
        <w:topLinePunct/>
        <w:adjustRightInd w:val="0"/>
        <w:snapToGrid w:val="0"/>
        <w:spacing w:before="0" w:after="244" w:afterLines="75" w:line="288" w:lineRule="auto"/>
        <w:ind w:left="1134" w:hanging="714"/>
        <w:jc w:val="both"/>
        <w:rPr>
          <w:rFonts w:ascii="Arial" w:hAnsi="Arial" w:eastAsia="宋体" w:cs="Arial"/>
          <w:snapToGrid w:val="0"/>
          <w:kern w:val="0"/>
          <w:sz w:val="24"/>
          <w:szCs w:val="24"/>
        </w:rPr>
      </w:pPr>
      <w:r>
        <w:rPr>
          <w:rFonts w:ascii="Arial" w:hAnsi="Arial" w:eastAsia="宋体" w:cs="Arial"/>
          <w:snapToGrid w:val="0"/>
          <w:kern w:val="0"/>
          <w:sz w:val="24"/>
          <w:szCs w:val="24"/>
        </w:rPr>
        <w:t>除第56.109（c）条中的规定外，同意书可以是以下任何一种：</w:t>
      </w:r>
    </w:p>
    <w:p w14:paraId="6B199D14">
      <w:pPr>
        <w:pStyle w:val="53"/>
        <w:numPr>
          <w:ilvl w:val="0"/>
          <w:numId w:val="12"/>
        </w:numPr>
        <w:shd w:val="clear" w:color="auto" w:fill="auto"/>
        <w:tabs>
          <w:tab w:val="left" w:pos="1150"/>
          <w:tab w:val="left" w:pos="1904"/>
        </w:tabs>
        <w:topLinePunct/>
        <w:adjustRightInd w:val="0"/>
        <w:snapToGrid w:val="0"/>
        <w:spacing w:before="0" w:after="244" w:afterLines="75" w:line="288" w:lineRule="auto"/>
        <w:ind w:left="1918" w:leftChars="472" w:hanging="785"/>
        <w:jc w:val="both"/>
        <w:rPr>
          <w:rFonts w:ascii="Arial" w:hAnsi="Arial" w:eastAsia="宋体" w:cs="Arial"/>
          <w:snapToGrid w:val="0"/>
          <w:kern w:val="0"/>
          <w:sz w:val="24"/>
          <w:szCs w:val="24"/>
        </w:rPr>
      </w:pPr>
      <w:r>
        <w:rPr>
          <w:rFonts w:ascii="Arial" w:hAnsi="Arial" w:eastAsia="宋体" w:cs="Arial"/>
          <w:snapToGrid w:val="0"/>
          <w:kern w:val="0"/>
          <w:sz w:val="24"/>
          <w:szCs w:val="24"/>
        </w:rPr>
        <w:t>体现第50.25条所要求的知情同意要素的书面同意文件。这种形式可以向受试者或受试者的合法授权代表宣读，但是在任何情况下，研究者应给受试者或其代表有充足的机会在签字之前阅读。</w:t>
      </w:r>
    </w:p>
    <w:p w14:paraId="2CA5846E">
      <w:pPr>
        <w:pStyle w:val="53"/>
        <w:numPr>
          <w:ilvl w:val="0"/>
          <w:numId w:val="12"/>
        </w:numPr>
        <w:shd w:val="clear" w:color="auto" w:fill="auto"/>
        <w:tabs>
          <w:tab w:val="left" w:pos="1150"/>
          <w:tab w:val="left" w:pos="1904"/>
        </w:tabs>
        <w:topLinePunct/>
        <w:adjustRightInd w:val="0"/>
        <w:snapToGrid w:val="0"/>
        <w:spacing w:before="0" w:after="244" w:afterLines="75" w:line="288" w:lineRule="auto"/>
        <w:ind w:left="1918" w:leftChars="472" w:hanging="785"/>
        <w:jc w:val="both"/>
        <w:rPr>
          <w:rFonts w:ascii="Arial" w:hAnsi="Arial" w:eastAsia="宋体" w:cs="Arial"/>
          <w:snapToGrid w:val="0"/>
          <w:kern w:val="0"/>
          <w:sz w:val="24"/>
          <w:szCs w:val="24"/>
        </w:rPr>
      </w:pPr>
      <w:r>
        <w:rPr>
          <w:rFonts w:ascii="Arial" w:hAnsi="Arial" w:eastAsia="宋体" w:cs="Arial"/>
          <w:snapToGrid w:val="0"/>
          <w:kern w:val="0"/>
          <w:sz w:val="24"/>
          <w:szCs w:val="24"/>
        </w:rPr>
        <w:t>短表形式的书面同意书，说明第50.25条要求的知情同意要素已经通过口头陈述传达给受试者或受试者的合法授权代表。使用这种方法时，应该有口头陈述的见证人。此外，IRB应批准对受试者或其代表进行口头陈述的书面概要。受试者或其代表只需对短表本身签字。但是，见证人应在短表和概要副本上签字，实际取得同意的人员应在概要副本上签字。除了短表副本外，概要的副本也应给予受试者或其代表。</w:t>
      </w:r>
    </w:p>
    <w:p w14:paraId="4172D11D">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法规规定可通过两种不同的方法获得书面知情同意：一种是体现知情同意所有要素的长表（见21 CFR 50.25），或是一种短表，表明知情同意的要素已经口头陈述给受试者或该受试者的合法授权代表。</w:t>
      </w:r>
    </w:p>
    <w:p w14:paraId="1B1CEA88">
      <w:pPr>
        <w:pStyle w:val="47"/>
        <w:numPr>
          <w:ilvl w:val="0"/>
          <w:numId w:val="13"/>
        </w:numPr>
        <w:shd w:val="clear" w:color="auto" w:fill="auto"/>
        <w:topLinePunct/>
        <w:adjustRightInd w:val="0"/>
        <w:snapToGrid w:val="0"/>
        <w:spacing w:after="244" w:afterLines="75" w:line="288" w:lineRule="auto"/>
        <w:ind w:left="357" w:hanging="357"/>
        <w:jc w:val="both"/>
        <w:outlineLvl w:val="3"/>
        <w:rPr>
          <w:rFonts w:ascii="Arial" w:hAnsi="Arial" w:eastAsia="宋体" w:cs="Arial"/>
          <w:bCs w:val="0"/>
          <w:snapToGrid w:val="0"/>
          <w:kern w:val="0"/>
          <w:sz w:val="24"/>
          <w:szCs w:val="24"/>
        </w:rPr>
      </w:pPr>
      <w:bookmarkStart w:id="30" w:name="_Toc499801704"/>
      <w:r>
        <w:rPr>
          <w:rFonts w:ascii="Arial" w:hAnsi="Arial" w:eastAsia="宋体" w:cs="Arial"/>
          <w:bCs w:val="0"/>
          <w:snapToGrid w:val="0"/>
          <w:kern w:val="0"/>
          <w:sz w:val="24"/>
          <w:szCs w:val="24"/>
        </w:rPr>
        <w:t>长表</w:t>
      </w:r>
      <w:bookmarkEnd w:id="30"/>
    </w:p>
    <w:p w14:paraId="348DDDF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长表体现了21 CFR 50.25要求的所有知情同意要素。使用长表时，必须向签署表格的人（即受试者或受试者的合法授权代表）提供一份副本。（21 CFR 50.27（a））。</w:t>
      </w:r>
    </w:p>
    <w:p w14:paraId="74A61D1B">
      <w:pPr>
        <w:pStyle w:val="47"/>
        <w:numPr>
          <w:ilvl w:val="0"/>
          <w:numId w:val="13"/>
        </w:numPr>
        <w:shd w:val="clear" w:color="auto" w:fill="auto"/>
        <w:topLinePunct/>
        <w:adjustRightInd w:val="0"/>
        <w:snapToGrid w:val="0"/>
        <w:spacing w:after="244" w:afterLines="75" w:line="288" w:lineRule="auto"/>
        <w:ind w:left="357" w:hanging="357"/>
        <w:jc w:val="both"/>
        <w:outlineLvl w:val="3"/>
        <w:rPr>
          <w:rFonts w:ascii="Arial" w:hAnsi="Arial" w:eastAsia="宋体" w:cs="Arial"/>
          <w:bCs w:val="0"/>
          <w:snapToGrid w:val="0"/>
          <w:kern w:val="0"/>
          <w:sz w:val="24"/>
          <w:szCs w:val="24"/>
        </w:rPr>
      </w:pPr>
      <w:bookmarkStart w:id="31" w:name="_Toc499801705"/>
      <w:r>
        <w:rPr>
          <w:rFonts w:ascii="Arial" w:hAnsi="Arial" w:eastAsia="宋体" w:cs="Arial"/>
          <w:bCs w:val="0"/>
          <w:snapToGrid w:val="0"/>
          <w:kern w:val="0"/>
          <w:sz w:val="24"/>
          <w:szCs w:val="24"/>
        </w:rPr>
        <w:t>短表</w:t>
      </w:r>
      <w:bookmarkEnd w:id="31"/>
    </w:p>
    <w:p w14:paraId="35CACD0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IRB可以批准一个短表，在将21 CFR 50.25要求的知情同意要素以口头陈述传达给受试者或受试者的合法授权代表的适当情况下使用。（21 CFR 50.27（b）（2））。例如，IRB可以考虑批准在受试者或受试者的合法授权代表无法阅读的情况下（文盲或失明所致）使用短表（见</w:t>
      </w:r>
      <w:r>
        <w:rPr>
          <w:rFonts w:ascii="Arial" w:hAnsi="Arial" w:eastAsia="宋体" w:cs="Arial"/>
          <w:snapToGrid w:val="0"/>
          <w:color w:val="3333FF"/>
          <w:kern w:val="0"/>
          <w:u w:val="single"/>
        </w:rPr>
        <w:t>V.C</w:t>
      </w:r>
      <w:r>
        <w:rPr>
          <w:rFonts w:hint="eastAsia" w:ascii="Arial" w:hAnsi="Arial" w:eastAsia="宋体" w:cs="Arial"/>
          <w:snapToGrid w:val="0"/>
          <w:color w:val="3333FF"/>
          <w:kern w:val="0"/>
          <w:u w:val="single"/>
        </w:rPr>
        <w:t>节</w:t>
      </w:r>
      <w:r>
        <w:rPr>
          <w:rFonts w:ascii="Arial" w:hAnsi="Arial" w:eastAsia="宋体" w:cs="Arial"/>
          <w:snapToGrid w:val="0"/>
          <w:kern w:val="0"/>
        </w:rPr>
        <w:t>，读写和算数能力较差的受试者，以及</w:t>
      </w:r>
      <w:r>
        <w:rPr>
          <w:rFonts w:ascii="Arial" w:hAnsi="Arial" w:eastAsia="宋体" w:cs="Arial"/>
          <w:snapToGrid w:val="0"/>
          <w:color w:val="3333FF"/>
          <w:kern w:val="0"/>
          <w:u w:val="single"/>
        </w:rPr>
        <w:t>V.D</w:t>
      </w:r>
      <w:r>
        <w:rPr>
          <w:rFonts w:hint="eastAsia" w:ascii="Arial" w:hAnsi="Arial" w:eastAsia="宋体" w:cs="Arial"/>
          <w:snapToGrid w:val="0"/>
          <w:color w:val="3333FF"/>
          <w:kern w:val="0"/>
          <w:u w:val="single"/>
        </w:rPr>
        <w:t>节</w:t>
      </w:r>
      <w:r>
        <w:rPr>
          <w:rFonts w:ascii="Arial" w:hAnsi="Arial" w:eastAsia="宋体" w:cs="Arial"/>
          <w:snapToGrid w:val="0"/>
          <w:kern w:val="0"/>
        </w:rPr>
        <w:t>，身体残障的受试者）。</w:t>
      </w:r>
    </w:p>
    <w:p w14:paraId="3629BBEC">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43F2BBA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在使用短表时，IRB需要批准口头陈述信息的书面概要。（21 CFR 50.27（b）（2））。口头陈述的信息应与使用长表时的信息质量和数量相同</w:t>
      </w:r>
      <w:r>
        <w:rPr>
          <w:rStyle w:val="25"/>
          <w:rFonts w:ascii="Arial" w:hAnsi="Arial" w:eastAsia="宋体" w:cs="Arial"/>
          <w:snapToGrid w:val="0"/>
          <w:kern w:val="0"/>
        </w:rPr>
        <w:footnoteReference w:id="32"/>
      </w:r>
      <w:r>
        <w:rPr>
          <w:rFonts w:ascii="Arial" w:hAnsi="Arial" w:eastAsia="宋体" w:cs="Arial"/>
          <w:snapToGrid w:val="0"/>
          <w:kern w:val="0"/>
        </w:rPr>
        <w:t>，必须将短表和书面概要的副本提供给签署表格的人员（即受试者或受试者的合法授权代表）。（21 CFR 50.27（b）（2）。）</w:t>
      </w:r>
    </w:p>
    <w:p w14:paraId="056D72B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使用短表，要求在对受试者或受试者的合法授权代表口头陈述信息时，有见证人在场。（21 CFR 50.27（b）（2）。）FDA建议，应由公正的第三方，而非由与临床研究有关联的人员（例如，不参加研究的临床工作人员或患者的律师）担任见证人。FDA建议，见证人应出席整个同意过程（亲临现场或通过其他方式，例如通过电话或视频会议），而不仅仅是签署同意书的时候。见证人的目的通常是证明受试者同意的自愿性和同意过程的充分性，确保信息得到了准确传达，受试者的问题得到了回答。</w:t>
      </w:r>
    </w:p>
    <w:p w14:paraId="7974F17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受试者或受试者的合法授权代表只在短表上签名并注明日期。（21 CFR 50.27（a）和（b）（2））。见证人必须在短表和概要上签字，得到同意的人必须在概要上签字。（21 CFR 50.27（b）（2）。）</w:t>
      </w:r>
    </w:p>
    <w:p w14:paraId="59CACBA1">
      <w:pPr>
        <w:pStyle w:val="47"/>
        <w:numPr>
          <w:ilvl w:val="0"/>
          <w:numId w:val="2"/>
        </w:numPr>
        <w:shd w:val="clear" w:color="auto" w:fill="auto"/>
        <w:topLinePunct/>
        <w:adjustRightInd w:val="0"/>
        <w:snapToGrid w:val="0"/>
        <w:spacing w:after="244" w:afterLines="75" w:line="288" w:lineRule="auto"/>
        <w:jc w:val="both"/>
        <w:outlineLvl w:val="0"/>
        <w:rPr>
          <w:rFonts w:ascii="Arial" w:hAnsi="Arial" w:eastAsia="宋体" w:cs="Arial"/>
          <w:snapToGrid w:val="0"/>
          <w:kern w:val="0"/>
          <w:sz w:val="28"/>
          <w:szCs w:val="30"/>
        </w:rPr>
      </w:pPr>
      <w:bookmarkStart w:id="32" w:name="_Toc499801706"/>
      <w:r>
        <w:rPr>
          <w:rFonts w:ascii="Arial" w:hAnsi="Arial" w:eastAsia="宋体" w:cs="Arial"/>
          <w:snapToGrid w:val="0"/>
          <w:kern w:val="0"/>
          <w:sz w:val="28"/>
          <w:szCs w:val="30"/>
        </w:rPr>
        <w:t>知情同意的责任</w:t>
      </w:r>
      <w:bookmarkEnd w:id="32"/>
    </w:p>
    <w:p w14:paraId="52D17CDD">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IRB、临床研究者和申办方有责任确保知情同意过程是充分的，并符合FDA的监管要求，监管要求代表了需向知情同意的潜在受试者提供的信息的最低要求。IRB、申办方和研究者应考虑酌情提供附加信息。</w:t>
      </w:r>
    </w:p>
    <w:p w14:paraId="6FC93D60">
      <w:pPr>
        <w:pStyle w:val="47"/>
        <w:numPr>
          <w:ilvl w:val="0"/>
          <w:numId w:val="14"/>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33" w:name="_Toc499801707"/>
      <w:r>
        <w:rPr>
          <w:rFonts w:ascii="Arial" w:hAnsi="Arial" w:eastAsia="宋体" w:cs="Arial"/>
          <w:bCs w:val="0"/>
          <w:snapToGrid w:val="0"/>
          <w:kern w:val="0"/>
          <w:sz w:val="24"/>
          <w:szCs w:val="24"/>
        </w:rPr>
        <w:t>IRB</w:t>
      </w:r>
      <w:bookmarkEnd w:id="33"/>
    </w:p>
    <w:p w14:paraId="2509035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FDA要求IRB对IRB法规（21 CFR 56.109（a））所涵盖的所有研究活动进行审查和批准、要求修改（以确保批准）或不批准。这一责任的一个关键部分是IRB确保有适当的知情同意过程来保护参加临床研究的受试者的权利和福利（21 CFR 56.109（b）和56.111 （a）（4））。</w:t>
      </w:r>
    </w:p>
    <w:p w14:paraId="23C8755A">
      <w:pPr>
        <w:pStyle w:val="47"/>
        <w:numPr>
          <w:ilvl w:val="0"/>
          <w:numId w:val="15"/>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34" w:name="_Toc499801708"/>
      <w:r>
        <w:rPr>
          <w:rFonts w:ascii="Arial" w:hAnsi="Arial" w:eastAsia="宋体" w:cs="Arial"/>
          <w:bCs w:val="0"/>
          <w:snapToGrid w:val="0"/>
          <w:kern w:val="0"/>
          <w:sz w:val="24"/>
          <w:szCs w:val="24"/>
        </w:rPr>
        <w:t>审查所有知情同意的材料</w:t>
      </w:r>
      <w:bookmarkEnd w:id="34"/>
    </w:p>
    <w:p w14:paraId="61711C3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IRB必须审查知情同意过程中使用的所有材料</w:t>
      </w:r>
      <w:r>
        <w:rPr>
          <w:rStyle w:val="25"/>
          <w:rFonts w:ascii="Arial" w:hAnsi="Arial" w:eastAsia="宋体" w:cs="Arial"/>
          <w:snapToGrid w:val="0"/>
          <w:kern w:val="0"/>
        </w:rPr>
        <w:footnoteReference w:id="33"/>
      </w:r>
      <w:r>
        <w:rPr>
          <w:rFonts w:ascii="Arial" w:hAnsi="Arial" w:eastAsia="宋体" w:cs="Arial"/>
          <w:snapToGrid w:val="0"/>
          <w:kern w:val="0"/>
        </w:rPr>
        <w:t>，除了知情同意书之外还包括提供的招募材料</w:t>
      </w:r>
      <w:r>
        <w:rPr>
          <w:rStyle w:val="25"/>
          <w:rFonts w:ascii="Arial" w:hAnsi="Arial" w:eastAsia="宋体" w:cs="Arial"/>
          <w:snapToGrid w:val="0"/>
          <w:kern w:val="0"/>
        </w:rPr>
        <w:footnoteReference w:id="34"/>
      </w:r>
      <w:r>
        <w:rPr>
          <w:rFonts w:ascii="Arial" w:hAnsi="Arial" w:eastAsia="宋体" w:cs="Arial"/>
          <w:snapToGrid w:val="0"/>
          <w:kern w:val="0"/>
        </w:rPr>
        <w:t>和信息（例如，说明每次研究访问时的预期事宜的图表或解释受试者费用的文</w:t>
      </w:r>
    </w:p>
    <w:p w14:paraId="21F7221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件）。IRB审查是为了确保作为同意过程的一部分所给予受试者的信息包含了21 CFR 50.25中确定的要素，并符合21 CFR 50.20的要求（见21 CFR 56.109（a），56.109（b）和56.111 （a）（4））。</w:t>
      </w:r>
    </w:p>
    <w:p w14:paraId="6C96ABA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在审查临床研究时，IRB必须确保同意过程将胁迫和不当影响的可能性降至最低（21 CFR 50.20和56.111 （a）（4））。当临床研究牵涉到可能会受到胁迫或不当影响的受试者时，IRB必须确定在临床研究中包括了额外的保护措施，以保护他们的权利和福利。</w:t>
      </w:r>
      <w:r>
        <w:rPr>
          <w:rFonts w:ascii="Arial" w:hAnsi="Arial" w:eastAsia="宋体" w:cs="Arial"/>
          <w:snapToGrid w:val="0"/>
          <w:kern w:val="0"/>
          <w:vertAlign w:val="superscript"/>
        </w:rPr>
        <w:t xml:space="preserve">35 </w:t>
      </w:r>
      <w:r>
        <w:rPr>
          <w:rStyle w:val="25"/>
          <w:rFonts w:ascii="Arial" w:hAnsi="Arial" w:eastAsia="宋体" w:cs="Arial"/>
          <w:snapToGrid w:val="0"/>
          <w:kern w:val="0"/>
        </w:rPr>
        <w:footnoteReference w:id="35"/>
      </w:r>
      <w:r>
        <w:rPr>
          <w:rFonts w:ascii="Arial" w:hAnsi="Arial" w:eastAsia="宋体" w:cs="Arial"/>
          <w:snapToGrid w:val="0"/>
          <w:kern w:val="0"/>
        </w:rPr>
        <w:t>（21 CFR 56.111（b）。）如果IRB会定期审查涉及弱势人群的临床研究，则对于此类临床研究，IRB的成员中应包括了解和／或具有与这些受试者相处经验的人员，以提供专业知识和鉴定技术来确保知情同意。</w:t>
      </w:r>
    </w:p>
    <w:p w14:paraId="4261D83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除了对受试者给予21 CFR 50.25中特别提到的信息外，基于IRB的判断，IRB有权要求增加对受试者的权利和福利有意义的保护信息（21 CFR 56.109（b））。例如，当地情况可能需要在知情同意过程中纳入与该特定社区的潜在受试者相关的其他信息。</w:t>
      </w:r>
    </w:p>
    <w:p w14:paraId="2EF40D3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HHS建议，IRB可考虑是否应告知受试者与临床研究有关的任何财务关系或利益，例如服务费用、股权或知识产权</w:t>
      </w:r>
      <w:r>
        <w:rPr>
          <w:rStyle w:val="25"/>
          <w:rFonts w:ascii="Arial" w:hAnsi="Arial" w:eastAsia="宋体" w:cs="Arial"/>
          <w:snapToGrid w:val="0"/>
          <w:kern w:val="0"/>
        </w:rPr>
        <w:footnoteReference w:id="36"/>
      </w:r>
      <w:r>
        <w:rPr>
          <w:rFonts w:ascii="Arial" w:hAnsi="Arial" w:eastAsia="宋体" w:cs="Arial"/>
          <w:snapToGrid w:val="0"/>
          <w:kern w:val="0"/>
        </w:rPr>
        <w:t>。正如脚注中提到的HHS指南所述，临床研究中的一些经济利益可能会影响受试者的权利和福利，IRB应考虑确保受试者得到充分保护的方法，包括向受试者提供有关财务关系和利益的信息。IRB应确定是否应向受试者提供有关资金来源、资金安排、参加临床研究的各方的财务利益以及所使用的任何财务利益管理技术方面的信息。IRB应考虑提供给受试者的信息种类、数量和详细程度。</w:t>
      </w:r>
    </w:p>
    <w:p w14:paraId="5567A788">
      <w:pPr>
        <w:pStyle w:val="47"/>
        <w:numPr>
          <w:ilvl w:val="0"/>
          <w:numId w:val="16"/>
        </w:numPr>
        <w:shd w:val="clear" w:color="auto" w:fill="auto"/>
        <w:topLinePunct/>
        <w:adjustRightInd w:val="0"/>
        <w:snapToGrid w:val="0"/>
        <w:spacing w:after="244" w:afterLines="75" w:line="288" w:lineRule="auto"/>
        <w:ind w:left="357" w:hanging="357"/>
        <w:jc w:val="both"/>
        <w:outlineLvl w:val="3"/>
        <w:rPr>
          <w:rFonts w:ascii="Arial" w:hAnsi="Arial" w:eastAsia="宋体" w:cs="Arial"/>
          <w:bCs w:val="0"/>
          <w:snapToGrid w:val="0"/>
          <w:kern w:val="0"/>
          <w:sz w:val="24"/>
          <w:szCs w:val="24"/>
        </w:rPr>
      </w:pPr>
      <w:bookmarkStart w:id="35" w:name="_Toc499801709"/>
      <w:r>
        <w:rPr>
          <w:rFonts w:ascii="Arial" w:hAnsi="Arial" w:eastAsia="宋体" w:cs="Arial"/>
          <w:bCs w:val="0"/>
          <w:snapToGrid w:val="0"/>
          <w:kern w:val="0"/>
          <w:sz w:val="24"/>
          <w:szCs w:val="24"/>
        </w:rPr>
        <w:t>措辞的充分性与适当性</w:t>
      </w:r>
      <w:bookmarkEnd w:id="35"/>
    </w:p>
    <w:p w14:paraId="1F9F413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IRB有权力和责任要求作为知情同意一部分而给予受试者的信息应符合21 CFR 50.25。</w:t>
      </w:r>
      <w:r>
        <w:rPr>
          <w:rStyle w:val="25"/>
          <w:rFonts w:ascii="Arial" w:hAnsi="Arial" w:eastAsia="宋体" w:cs="Arial"/>
          <w:snapToGrid w:val="0"/>
          <w:kern w:val="0"/>
        </w:rPr>
        <w:footnoteReference w:id="37"/>
      </w:r>
      <w:r>
        <w:rPr>
          <w:rFonts w:ascii="Arial" w:hAnsi="Arial" w:eastAsia="宋体" w:cs="Arial"/>
          <w:snapToGrid w:val="0"/>
          <w:kern w:val="0"/>
        </w:rPr>
        <w:t>在审查临床研究时，如果根据知情同意法规的要求无法获得知情同意，IRB可以不批准该临床研究。（21 CFR 56.111（a）（4））。</w:t>
      </w:r>
    </w:p>
    <w:p w14:paraId="236ECBC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除了21 CFR 56.109（c）的规定外，根据21 CFR 50.27，研究者在记录知情同意时，必须使用IRB批准的书面同意书。因此，IRB应审查同意材料中所有措词的充分性和适当性，以及信息的总体长度和表达方式。冗长、复杂、墨守法律的、具有较高阅读水平的同意书</w:t>
      </w:r>
      <w:r>
        <w:rPr>
          <w:rStyle w:val="25"/>
          <w:rFonts w:ascii="Arial" w:hAnsi="Arial" w:eastAsia="宋体" w:cs="Arial"/>
          <w:snapToGrid w:val="0"/>
          <w:kern w:val="0"/>
        </w:rPr>
        <w:footnoteReference w:id="38"/>
      </w:r>
      <w:r>
        <w:rPr>
          <w:rFonts w:ascii="Arial" w:hAnsi="Arial" w:eastAsia="宋体" w:cs="Arial"/>
          <w:snapToGrid w:val="0"/>
          <w:kern w:val="0"/>
        </w:rPr>
        <w:t>，可能会打击潜在受试者，并可能会妨碍其阅读全文和理解相关信息。</w:t>
      </w:r>
    </w:p>
    <w:p w14:paraId="605C000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IRB应确保技术和科学的概念及术语得到解释，或者使用常用措辞替代，以便预期的受试者人群能够理解所有提供的信息（21 CFR 50.20）</w:t>
      </w:r>
      <w:r>
        <w:rPr>
          <w:rStyle w:val="25"/>
          <w:rFonts w:ascii="Arial" w:hAnsi="Arial" w:eastAsia="宋体" w:cs="Arial"/>
          <w:snapToGrid w:val="0"/>
          <w:kern w:val="0"/>
        </w:rPr>
        <w:footnoteReference w:id="39"/>
      </w:r>
      <w:r>
        <w:rPr>
          <w:rFonts w:ascii="Arial" w:hAnsi="Arial" w:eastAsia="宋体" w:cs="Arial"/>
          <w:snapToGrid w:val="0"/>
          <w:kern w:val="0"/>
        </w:rPr>
        <w:t>，可以使用图片或图表来提高对医学术语或研究产品功能的理解。IRB可能希望通过受试者访谈来评估同意材料如何传达关键信息的情况。</w:t>
      </w:r>
    </w:p>
    <w:p w14:paraId="38F1567A">
      <w:pPr>
        <w:pStyle w:val="47"/>
        <w:numPr>
          <w:ilvl w:val="0"/>
          <w:numId w:val="16"/>
        </w:numPr>
        <w:shd w:val="clear" w:color="auto" w:fill="auto"/>
        <w:topLinePunct/>
        <w:adjustRightInd w:val="0"/>
        <w:snapToGrid w:val="0"/>
        <w:spacing w:after="244" w:afterLines="75" w:line="288" w:lineRule="auto"/>
        <w:ind w:left="357" w:hanging="357"/>
        <w:jc w:val="both"/>
        <w:outlineLvl w:val="3"/>
        <w:rPr>
          <w:rFonts w:ascii="Arial" w:hAnsi="Arial" w:eastAsia="宋体" w:cs="Arial"/>
          <w:bCs w:val="0"/>
          <w:snapToGrid w:val="0"/>
          <w:kern w:val="0"/>
          <w:sz w:val="24"/>
          <w:szCs w:val="24"/>
        </w:rPr>
      </w:pPr>
      <w:bookmarkStart w:id="36" w:name="_Toc499801710"/>
      <w:r>
        <w:rPr>
          <w:rFonts w:ascii="Arial" w:hAnsi="Arial" w:eastAsia="宋体" w:cs="Arial"/>
          <w:bCs w:val="0"/>
          <w:snapToGrid w:val="0"/>
          <w:kern w:val="0"/>
          <w:sz w:val="24"/>
          <w:szCs w:val="24"/>
        </w:rPr>
        <w:t>标准化语言的使用</w:t>
      </w:r>
      <w:bookmarkEnd w:id="36"/>
    </w:p>
    <w:p w14:paraId="198C378B">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IRB也应解决机构的要求和适用的联邦、州和当地的法律法规问题。（21 CFR 56.103（c）和56.112）。机构可以制定标准语言或标准格式，在所有同意书的部分内容中使用（例如，涉及保密性、赔偿、问题解答和参加的自愿性等要素）以满足这些要求。</w:t>
      </w:r>
    </w:p>
    <w:p w14:paraId="52EE9EB5">
      <w:pPr>
        <w:widowControl w:val="0"/>
        <w:topLinePunct/>
        <w:spacing w:after="244" w:afterLines="75" w:line="288" w:lineRule="auto"/>
        <w:jc w:val="both"/>
        <w:rPr>
          <w:rFonts w:ascii="Arial" w:hAnsi="Arial" w:eastAsia="宋体" w:cs="Arial"/>
          <w:snapToGrid w:val="0"/>
          <w:szCs w:val="20"/>
        </w:rPr>
      </w:pPr>
      <w:r>
        <w:rPr>
          <w:rFonts w:ascii="Arial" w:hAnsi="Arial" w:eastAsia="宋体" w:cs="Arial"/>
          <w:snapToGrid w:val="0"/>
          <w:szCs w:val="20"/>
        </w:rPr>
        <w:br w:type="page"/>
      </w:r>
    </w:p>
    <w:p w14:paraId="371229AC">
      <w:pPr>
        <w:pStyle w:val="47"/>
        <w:numPr>
          <w:ilvl w:val="0"/>
          <w:numId w:val="15"/>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37" w:name="_Toc499801711"/>
      <w:r>
        <w:rPr>
          <w:rFonts w:ascii="Arial" w:hAnsi="Arial" w:eastAsia="宋体" w:cs="Arial"/>
          <w:bCs w:val="0"/>
          <w:snapToGrid w:val="0"/>
          <w:kern w:val="0"/>
          <w:sz w:val="24"/>
          <w:szCs w:val="24"/>
        </w:rPr>
        <w:t>同意过程的审查</w:t>
      </w:r>
      <w:bookmarkEnd w:id="37"/>
    </w:p>
    <w:p w14:paraId="2EBE1C0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研究者应将建议使用的同意过程告知IRB，用于受试者招募的材料和程序（通常包括广告）必须经IRB审查，以确保这些材料是适当的</w:t>
      </w:r>
      <w:r>
        <w:rPr>
          <w:rStyle w:val="25"/>
          <w:rFonts w:ascii="Arial" w:hAnsi="Arial" w:eastAsia="宋体" w:cs="Arial"/>
          <w:snapToGrid w:val="0"/>
          <w:kern w:val="0"/>
        </w:rPr>
        <w:footnoteReference w:id="40"/>
      </w:r>
      <w:r>
        <w:rPr>
          <w:rFonts w:ascii="Arial" w:hAnsi="Arial" w:eastAsia="宋体" w:cs="Arial"/>
          <w:snapToGrid w:val="0"/>
          <w:kern w:val="0"/>
        </w:rPr>
        <w:t>。IRB必须确保研究者是在将胁迫和不当影响（21 CFR 50.20和56.111 （a）（4））的可能性最小化的情况下征求受试者的同意。FDA认为，这包括确保研究者允许受试者有充分的时间考虑这些信息，提供时间和机会让受试者提出问题并解答，以及容许受试者有时间和机会充分考虑是否参加。IRB必须审查给予受试者招募奖励的所有信息，例如为潜在受试者进行费用报销并为其参加研究造成的不便支付费用（21 CFR 56.109（b））。此外，IRB必须审查拟议的付款金额和付款时间表，以确保付款与时间承诺和研究程序相适合，且受试者不会受到这些奖励措施的不当影响</w:t>
      </w:r>
      <w:r>
        <w:rPr>
          <w:rStyle w:val="25"/>
          <w:rFonts w:ascii="Arial" w:hAnsi="Arial" w:eastAsia="宋体" w:cs="Arial"/>
          <w:snapToGrid w:val="0"/>
          <w:kern w:val="0"/>
        </w:rPr>
        <w:footnoteReference w:id="41"/>
      </w:r>
      <w:r>
        <w:rPr>
          <w:rFonts w:ascii="Arial" w:hAnsi="Arial" w:eastAsia="宋体" w:cs="Arial"/>
          <w:snapToGrid w:val="0"/>
          <w:kern w:val="0"/>
        </w:rPr>
        <w:t>。</w:t>
      </w:r>
    </w:p>
    <w:p w14:paraId="1F14EDD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为了批准临床研究，IRB必须得到的结果是，将从每名预期的受试者或受试者的合法授权代表处征求知情同意，并且知情同意将被适当记录。（21 CFR 56.111（a）（4）和（5））。FDA建议IRB对谁将进行同意访谈以及将遵循哪些程序进行问询。如果提出不同于面对面的同意访谈程序，比如通过电话等方式，IRB应考虑该程序是否能提供有效的沟通并完成知情同意过程的目标。当临床研究涉及复杂的程序或风险可能难以了解时，替代程序可能会受到特别关注。</w:t>
      </w:r>
    </w:p>
    <w:p w14:paraId="7C5F380B">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FDA法规授权IRB对同意的过程以及研究进行观察或让第三方进行观察（21 CFR 56.109（f））。IRB认为适当的时候</w:t>
      </w:r>
      <w:r>
        <w:rPr>
          <w:rStyle w:val="25"/>
          <w:rFonts w:ascii="Arial" w:hAnsi="Arial" w:eastAsia="宋体" w:cs="Arial"/>
          <w:snapToGrid w:val="0"/>
          <w:kern w:val="0"/>
        </w:rPr>
        <w:footnoteReference w:id="42"/>
      </w:r>
      <w:r>
        <w:rPr>
          <w:rFonts w:ascii="Arial" w:hAnsi="Arial" w:eastAsia="宋体" w:cs="Arial"/>
          <w:snapToGrid w:val="0"/>
          <w:kern w:val="0"/>
        </w:rPr>
        <w:t>应考虑使用这种权力，并会加强对受试者的保护（例如，当研究者也是潜在受试者的治疗医师时、进行面谈的人相对缺乏经验时、或临床研究涉及弱势群体时）。除了观察同意访谈样稿之外，IRB还可以采访受试者，来评估同意过程，并评估受试者对于临床研究的理解。</w:t>
      </w:r>
    </w:p>
    <w:p w14:paraId="3D4F6908">
      <w:pPr>
        <w:widowControl w:val="0"/>
        <w:topLinePunct/>
        <w:spacing w:after="244" w:afterLines="75" w:line="288" w:lineRule="auto"/>
        <w:jc w:val="both"/>
        <w:rPr>
          <w:rFonts w:ascii="Arial" w:hAnsi="Arial" w:eastAsia="宋体" w:cs="Arial"/>
          <w:snapToGrid w:val="0"/>
          <w:szCs w:val="20"/>
        </w:rPr>
      </w:pPr>
      <w:r>
        <w:rPr>
          <w:rFonts w:ascii="Arial" w:hAnsi="Arial" w:eastAsia="宋体" w:cs="Arial"/>
          <w:snapToGrid w:val="0"/>
          <w:szCs w:val="20"/>
        </w:rPr>
        <w:br w:type="page"/>
      </w:r>
    </w:p>
    <w:p w14:paraId="6D0216C5">
      <w:pPr>
        <w:pStyle w:val="47"/>
        <w:numPr>
          <w:ilvl w:val="0"/>
          <w:numId w:val="15"/>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38" w:name="_Toc499801712"/>
      <w:r>
        <w:rPr>
          <w:rFonts w:ascii="Arial" w:hAnsi="Arial" w:eastAsia="宋体" w:cs="Arial"/>
          <w:bCs w:val="0"/>
          <w:snapToGrid w:val="0"/>
          <w:kern w:val="0"/>
          <w:sz w:val="24"/>
          <w:szCs w:val="24"/>
        </w:rPr>
        <w:t>IRB审查程序</w:t>
      </w:r>
      <w:bookmarkEnd w:id="38"/>
    </w:p>
    <w:p w14:paraId="18EE3FA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所有作为同意过程一部分的信息都将由IRB审查和批准</w:t>
      </w:r>
      <w:r>
        <w:rPr>
          <w:rStyle w:val="25"/>
          <w:rFonts w:ascii="Arial" w:hAnsi="Arial" w:eastAsia="宋体" w:cs="Arial"/>
          <w:snapToGrid w:val="0"/>
          <w:kern w:val="0"/>
        </w:rPr>
        <w:footnoteReference w:id="43"/>
      </w:r>
      <w:r>
        <w:rPr>
          <w:rFonts w:ascii="Arial" w:hAnsi="Arial" w:eastAsia="宋体" w:cs="Arial"/>
          <w:snapToGrid w:val="0"/>
          <w:kern w:val="0"/>
        </w:rPr>
        <w:t>。（21 CFR 56.109（a）和（b））。在临床研究期间，可能会出现影响受试者权利或福利的关于研究或临床研究变化的新信息。 FDA建议IRB有适当的程序，可以及时地、有效地对这些新的信息或变化进行有效审查，这将包括临床研究者和／或申办方向IRB通报临床研究过程中出现的任何重大新发现的程序，以及向受试者提供这些发现的程序（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III.C.5</w:t>
      </w:r>
      <w:r>
        <w:rPr>
          <w:rFonts w:hint="eastAsia" w:ascii="Arial" w:hAnsi="Arial" w:eastAsia="宋体" w:cs="Arial"/>
          <w:snapToGrid w:val="0"/>
          <w:color w:val="3333FF"/>
          <w:kern w:val="0"/>
          <w:u w:val="single"/>
        </w:rPr>
        <w:t>节</w:t>
      </w:r>
      <w:r>
        <w:rPr>
          <w:rFonts w:ascii="Arial" w:hAnsi="Arial" w:eastAsia="宋体" w:cs="Arial"/>
          <w:snapToGrid w:val="0"/>
          <w:kern w:val="0"/>
        </w:rPr>
        <w:t>，向受试者提供重大的新发现），这些发现与受试者决定继续参加研究有关。当新的信息或临床研究的变化需要修改同意书（以及随附的方案变更）时，在修订开始前必须由IRB审查并批准此类修订，除非是有必要立即消除对受试者的明显危害。（21 CFR 56.108（a））。</w:t>
      </w:r>
    </w:p>
    <w:p w14:paraId="342C02B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按照21 CFR 56.110的规定，一些变更可以通过加速方法进行审查和批准。例如，IRB可以决定的适用于快速审查的变更：同意书中所反映的方案或招募计划的细微变化，例如在临床研究启动后用于受试者招募的新广告，该广告对批准的同意书进行了措辞合并，且与批准的同意书可以很容易地进行对比。当使用快速审查时，如果IRB审查人员不确定该变更是否符合21 CFR 56.110（b）中的快速审查要求，FDA建议审查人员（非IRB主席）向IRB主席咨询。如果仍对变更是否符合快速审查存疑，则应在IRB召开的会议上对变更进行审查。</w:t>
      </w:r>
    </w:p>
    <w:p w14:paraId="006513A8">
      <w:pPr>
        <w:pStyle w:val="47"/>
        <w:numPr>
          <w:ilvl w:val="0"/>
          <w:numId w:val="15"/>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39" w:name="_Toc499801713"/>
      <w:r>
        <w:rPr>
          <w:rFonts w:ascii="Arial" w:hAnsi="Arial" w:eastAsia="宋体" w:cs="Arial"/>
          <w:bCs w:val="0"/>
          <w:snapToGrid w:val="0"/>
          <w:kern w:val="0"/>
          <w:sz w:val="24"/>
          <w:szCs w:val="24"/>
        </w:rPr>
        <w:t>修订同意书</w:t>
      </w:r>
      <w:r>
        <w:rPr>
          <w:rFonts w:hint="eastAsia" w:ascii="Arial" w:hAnsi="Arial" w:eastAsia="宋体" w:cs="Arial"/>
          <w:bCs w:val="0"/>
          <w:snapToGrid w:val="0"/>
          <w:kern w:val="0"/>
          <w:sz w:val="24"/>
          <w:szCs w:val="24"/>
        </w:rPr>
        <w:t>的标识</w:t>
      </w:r>
      <w:bookmarkEnd w:id="39"/>
    </w:p>
    <w:p w14:paraId="76E1902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IRB应确保有一种方法来</w:t>
      </w:r>
      <w:r>
        <w:rPr>
          <w:rFonts w:hint="eastAsia" w:ascii="Arial" w:hAnsi="Arial" w:eastAsia="宋体" w:cs="Arial"/>
          <w:snapToGrid w:val="0"/>
          <w:kern w:val="0"/>
        </w:rPr>
        <w:t>标识</w:t>
      </w:r>
      <w:r>
        <w:rPr>
          <w:rFonts w:ascii="Arial" w:hAnsi="Arial" w:eastAsia="宋体" w:cs="Arial"/>
          <w:snapToGrid w:val="0"/>
          <w:kern w:val="0"/>
        </w:rPr>
        <w:t>修订同意书，以便不会继续使用以前批准的版本。尽管FDA法规中没有要求，但使用日期戳是确保使用最新批准的同意书版本的一种可能机制，研究者则可以复印加盖日期的同意书以供临床试验使用。</w:t>
      </w:r>
    </w:p>
    <w:p w14:paraId="2782FACB">
      <w:pPr>
        <w:pStyle w:val="47"/>
        <w:numPr>
          <w:ilvl w:val="0"/>
          <w:numId w:val="14"/>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40" w:name="_Toc499801714"/>
      <w:r>
        <w:rPr>
          <w:rFonts w:ascii="Arial" w:hAnsi="Arial" w:eastAsia="宋体" w:cs="Arial"/>
          <w:bCs w:val="0"/>
          <w:snapToGrid w:val="0"/>
          <w:kern w:val="0"/>
          <w:sz w:val="24"/>
          <w:szCs w:val="24"/>
        </w:rPr>
        <w:t>临床研究者</w:t>
      </w:r>
      <w:bookmarkEnd w:id="40"/>
    </w:p>
    <w:p w14:paraId="078FD08D">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临床研究者负责在临床研究期间保护受试者的权利、安全和福利，并确保在受试者参加临床研究之前从每例受试者获得合法有效的知情同意（见21 CFR 50.20，312.60，和812.100）。临床研究者应向IRB提供有关同意过程的建议，包括谁将进行同意访谈。任何提供给受试者作为知情同意的一部分以进行审查和讨论的信息，均必须提交给IRB审查和批准。（21 CFR 56.109（a）和（b））。在IRB审查并批准临床研究、知情同意书、以及作为同意过程的一部分给予受试者的信息之前，研究者不得与受试者开始知情同意过程。（21 CFR 50.20，56.103（a）和56.109）。</w:t>
      </w:r>
    </w:p>
    <w:p w14:paraId="6351391C">
      <w:pPr>
        <w:widowControl w:val="0"/>
        <w:topLinePunct/>
        <w:spacing w:after="244" w:afterLines="75" w:line="288" w:lineRule="auto"/>
        <w:jc w:val="both"/>
        <w:rPr>
          <w:rFonts w:ascii="Arial" w:hAnsi="Arial" w:eastAsia="宋体" w:cs="Arial"/>
          <w:snapToGrid w:val="0"/>
          <w:szCs w:val="20"/>
        </w:rPr>
      </w:pPr>
      <w:r>
        <w:rPr>
          <w:rFonts w:ascii="Arial" w:hAnsi="Arial" w:eastAsia="宋体" w:cs="Arial"/>
          <w:snapToGrid w:val="0"/>
          <w:szCs w:val="20"/>
        </w:rPr>
        <w:br w:type="page"/>
      </w:r>
    </w:p>
    <w:p w14:paraId="11F96CC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临床研究者的机构可以制定同意书的标准语言或标准格式（例如那些涉及保密性、赔偿、问题解答和参加的自愿性等要素）。 FDA认为，研究者还需要确定并符合机构的这些要求，并将其整合入同意书，交由IRB对临床研究进行启动审查。</w:t>
      </w:r>
    </w:p>
    <w:p w14:paraId="6235536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同意书中组织信息时，FDA建议临床研究者应考虑信息出现的顺序，以便向受试者首先出示的是决定参加研究最重要的要素，还鼓励临床研究者纳入任何可能影响受试者权利和福利的附加权益信息。例如，可能对受试者很重要的有关财务关系和利益的信息（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IV.B.2</w:t>
      </w:r>
      <w:r>
        <w:rPr>
          <w:rFonts w:hint="eastAsia" w:ascii="Arial" w:hAnsi="Arial" w:eastAsia="宋体" w:cs="Arial"/>
          <w:snapToGrid w:val="0"/>
          <w:color w:val="3333FF"/>
          <w:kern w:val="0"/>
          <w:u w:val="single"/>
        </w:rPr>
        <w:t>节</w:t>
      </w:r>
      <w:r>
        <w:rPr>
          <w:rFonts w:ascii="宋体" w:hAnsi="宋体" w:eastAsia="宋体" w:cs="Arial"/>
          <w:snapToGrid w:val="0"/>
          <w:kern w:val="0"/>
        </w:rPr>
        <w:t>“</w:t>
      </w:r>
      <w:r>
        <w:rPr>
          <w:rFonts w:ascii="Arial" w:hAnsi="Arial" w:eastAsia="宋体" w:cs="Arial"/>
          <w:snapToGrid w:val="0"/>
          <w:kern w:val="0"/>
        </w:rPr>
        <w:t>财务关系和利益</w:t>
      </w:r>
      <w:r>
        <w:rPr>
          <w:rFonts w:ascii="宋体" w:hAnsi="宋体" w:eastAsia="宋体" w:cs="Arial"/>
          <w:snapToGrid w:val="0"/>
          <w:kern w:val="0"/>
        </w:rPr>
        <w:t>”</w:t>
      </w:r>
      <w:r>
        <w:rPr>
          <w:rFonts w:ascii="Arial" w:hAnsi="Arial" w:eastAsia="宋体" w:cs="Arial"/>
          <w:snapToGrid w:val="0"/>
          <w:kern w:val="0"/>
        </w:rPr>
        <w:t>）。</w:t>
      </w:r>
    </w:p>
    <w:p w14:paraId="25937A38">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在临床研究期间，研究者可能需要针对方案的变化或新的信息来修改同意书，如重要的新发现。研究者需要获得IRB对修订版同意书的审核和批准。（21 CFR 56.109）。此外，由于同意书正在修改以反映方案或新信息的变化，二者中的任何一项都可能影响已经入组并有效参与的受试者继续进行临床研究的意愿，IRB应确定需要这些已入组受试者的重新同意。为了减少对于变更的混淆，研究者可以使用准备好的变更概要，有助于向已入组的受试者进行告知陈述。但是，该概要并不是修订版知情同意文件的组成部分。</w:t>
      </w:r>
    </w:p>
    <w:p w14:paraId="601D054C">
      <w:pPr>
        <w:pStyle w:val="47"/>
        <w:numPr>
          <w:ilvl w:val="0"/>
          <w:numId w:val="1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41" w:name="_Toc499801715"/>
      <w:r>
        <w:rPr>
          <w:rFonts w:ascii="Arial" w:hAnsi="Arial" w:eastAsia="宋体" w:cs="Arial"/>
          <w:bCs w:val="0"/>
          <w:snapToGrid w:val="0"/>
          <w:kern w:val="0"/>
          <w:sz w:val="24"/>
          <w:szCs w:val="24"/>
        </w:rPr>
        <w:t>同意访谈的授权</w:t>
      </w:r>
      <w:bookmarkEnd w:id="41"/>
    </w:p>
    <w:p w14:paraId="588225B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FDA法规要求研究者获得或确保获得受试者合法有效的知情同意</w:t>
      </w:r>
      <w:r>
        <w:rPr>
          <w:rStyle w:val="25"/>
          <w:rFonts w:ascii="Arial" w:hAnsi="Arial" w:eastAsia="宋体" w:cs="Arial"/>
          <w:snapToGrid w:val="0"/>
          <w:kern w:val="0"/>
        </w:rPr>
        <w:footnoteReference w:id="44"/>
      </w:r>
      <w:r>
        <w:rPr>
          <w:rFonts w:ascii="Arial" w:hAnsi="Arial" w:eastAsia="宋体" w:cs="Arial"/>
          <w:snapToGrid w:val="0"/>
          <w:kern w:val="0"/>
        </w:rPr>
        <w:t>。如果研究者将这一责任进行授权，FDA建议被授权的个人应具备相应的教育、培训和经验资格以履行此项活动。获得知情同意的个人应对临床研究有足够的了解，并有适当的培训和证书；研究者应有详细的临床研究管理和监督计划，包括知情同意过程</w:t>
      </w:r>
      <w:r>
        <w:rPr>
          <w:rStyle w:val="25"/>
          <w:rFonts w:ascii="Arial" w:hAnsi="Arial" w:eastAsia="宋体" w:cs="Arial"/>
          <w:snapToGrid w:val="0"/>
          <w:kern w:val="0"/>
        </w:rPr>
        <w:footnoteReference w:id="45"/>
      </w:r>
      <w:r>
        <w:rPr>
          <w:rFonts w:ascii="Arial" w:hAnsi="Arial" w:eastAsia="宋体" w:cs="Arial"/>
          <w:snapToGrid w:val="0"/>
          <w:kern w:val="0"/>
        </w:rPr>
        <w:t>。即使将任务委托给另一个人，研究者仍有责任确保根据适用的FDA法规进行临床研究，并在临床研究期间保护受试者的权利、安全和福利（21 CFR 312.60和21 CFR 812.100）。</w:t>
      </w:r>
    </w:p>
    <w:p w14:paraId="140808F4">
      <w:pPr>
        <w:adjustRightInd/>
        <w:snapToGrid/>
        <w:spacing w:line="240" w:lineRule="auto"/>
        <w:rPr>
          <w:rFonts w:ascii="Arial" w:hAnsi="Arial" w:eastAsia="宋体" w:cs="Arial"/>
          <w:b/>
          <w:snapToGrid w:val="0"/>
          <w:szCs w:val="24"/>
        </w:rPr>
      </w:pPr>
      <w:r>
        <w:rPr>
          <w:rFonts w:ascii="Arial" w:hAnsi="Arial" w:eastAsia="宋体" w:cs="Arial"/>
          <w:bCs/>
          <w:snapToGrid w:val="0"/>
          <w:szCs w:val="24"/>
        </w:rPr>
        <w:br w:type="page"/>
      </w:r>
    </w:p>
    <w:p w14:paraId="187A3347">
      <w:pPr>
        <w:pStyle w:val="47"/>
        <w:numPr>
          <w:ilvl w:val="0"/>
          <w:numId w:val="17"/>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42" w:name="_Toc499801716"/>
      <w:r>
        <w:rPr>
          <w:rFonts w:ascii="Arial" w:hAnsi="Arial" w:eastAsia="宋体" w:cs="Arial"/>
          <w:bCs w:val="0"/>
          <w:snapToGrid w:val="0"/>
          <w:kern w:val="0"/>
          <w:sz w:val="24"/>
          <w:szCs w:val="24"/>
        </w:rPr>
        <w:t>财务关系和利益</w:t>
      </w:r>
      <w:bookmarkEnd w:id="42"/>
    </w:p>
    <w:p w14:paraId="358C023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临床研究者应考虑是否应向受试者提供与财务关系或利益相关的信息</w:t>
      </w:r>
      <w:r>
        <w:rPr>
          <w:rStyle w:val="25"/>
          <w:rFonts w:ascii="Arial" w:hAnsi="Arial" w:eastAsia="宋体" w:cs="Arial"/>
          <w:snapToGrid w:val="0"/>
          <w:kern w:val="0"/>
        </w:rPr>
        <w:footnoteReference w:id="46"/>
      </w:r>
      <w:r>
        <w:rPr>
          <w:rFonts w:ascii="Arial" w:hAnsi="Arial" w:eastAsia="宋体" w:cs="Arial"/>
          <w:snapToGrid w:val="0"/>
          <w:kern w:val="0"/>
        </w:rPr>
        <w:t>，临床研究者应考虑财务关系可能对临床研究或与受试者相互作用的潜在影响。当存在财务关系或利益时，临床研究者应考虑以下行动：</w:t>
      </w:r>
    </w:p>
    <w:p w14:paraId="21504A61">
      <w:pPr>
        <w:pStyle w:val="45"/>
        <w:numPr>
          <w:ilvl w:val="0"/>
          <w:numId w:val="5"/>
        </w:numPr>
        <w:shd w:val="clear" w:color="auto" w:fill="auto"/>
        <w:tabs>
          <w:tab w:val="left" w:pos="993"/>
        </w:tabs>
        <w:topLinePunct/>
        <w:adjustRightInd w:val="0"/>
        <w:snapToGrid w:val="0"/>
        <w:spacing w:before="0" w:after="244" w:afterLines="75" w:line="288" w:lineRule="auto"/>
        <w:ind w:left="993" w:leftChars="175" w:hanging="573"/>
        <w:rPr>
          <w:rFonts w:ascii="Arial" w:hAnsi="Arial" w:eastAsia="宋体" w:cs="Arial"/>
          <w:snapToGrid w:val="0"/>
          <w:kern w:val="0"/>
        </w:rPr>
      </w:pPr>
      <w:r>
        <w:rPr>
          <w:rFonts w:ascii="Arial" w:hAnsi="Arial" w:eastAsia="宋体" w:cs="Arial"/>
          <w:snapToGrid w:val="0"/>
          <w:kern w:val="0"/>
        </w:rPr>
        <w:t>在知情同意书中包含信息，例如：</w:t>
      </w:r>
    </w:p>
    <w:p w14:paraId="4F43DFBD">
      <w:pPr>
        <w:pStyle w:val="45"/>
        <w:numPr>
          <w:ilvl w:val="0"/>
          <w:numId w:val="18"/>
        </w:numPr>
        <w:shd w:val="clear" w:color="auto" w:fill="auto"/>
        <w:topLinePunct/>
        <w:adjustRightInd w:val="0"/>
        <w:snapToGrid w:val="0"/>
        <w:spacing w:before="0" w:after="244" w:afterLines="75" w:line="288" w:lineRule="auto"/>
        <w:ind w:left="1597" w:leftChars="414" w:hanging="603"/>
        <w:rPr>
          <w:rFonts w:ascii="Arial" w:hAnsi="Arial" w:eastAsia="宋体" w:cs="Arial"/>
          <w:snapToGrid w:val="0"/>
          <w:kern w:val="0"/>
        </w:rPr>
      </w:pPr>
      <w:r>
        <w:rPr>
          <w:rFonts w:hint="eastAsia" w:ascii="Arial" w:hAnsi="Arial" w:eastAsia="宋体" w:cs="Arial"/>
          <w:snapToGrid w:val="0"/>
          <w:kern w:val="0"/>
        </w:rPr>
        <w:t>执行</w:t>
      </w:r>
      <w:r>
        <w:rPr>
          <w:rFonts w:ascii="Arial" w:hAnsi="Arial" w:eastAsia="宋体" w:cs="Arial"/>
          <w:snapToGrid w:val="0"/>
          <w:kern w:val="0"/>
        </w:rPr>
        <w:t>和审查临床研究的资金来源和资金安排，或</w:t>
      </w:r>
    </w:p>
    <w:p w14:paraId="769913B3">
      <w:pPr>
        <w:pStyle w:val="45"/>
        <w:numPr>
          <w:ilvl w:val="0"/>
          <w:numId w:val="18"/>
        </w:numPr>
        <w:shd w:val="clear" w:color="auto" w:fill="auto"/>
        <w:topLinePunct/>
        <w:adjustRightInd w:val="0"/>
        <w:snapToGrid w:val="0"/>
        <w:spacing w:before="0" w:after="244" w:afterLines="75" w:line="288" w:lineRule="auto"/>
        <w:ind w:left="1597" w:leftChars="414" w:hanging="603"/>
        <w:rPr>
          <w:rFonts w:ascii="Arial" w:hAnsi="Arial" w:eastAsia="宋体" w:cs="Arial"/>
          <w:snapToGrid w:val="0"/>
          <w:kern w:val="0"/>
        </w:rPr>
      </w:pPr>
      <w:r>
        <w:rPr>
          <w:rFonts w:ascii="Arial" w:hAnsi="Arial" w:eastAsia="宋体" w:cs="Arial"/>
          <w:snapToGrid w:val="0"/>
          <w:kern w:val="0"/>
        </w:rPr>
        <w:t>关于一个机构或一名研究者的财务安排或利益的信息（例如研究申办方的股票、研究用产品的专利）以及如何管理。</w:t>
      </w:r>
    </w:p>
    <w:p w14:paraId="0F7B24F5">
      <w:pPr>
        <w:pStyle w:val="45"/>
        <w:numPr>
          <w:ilvl w:val="0"/>
          <w:numId w:val="5"/>
        </w:numPr>
        <w:shd w:val="clear" w:color="auto" w:fill="auto"/>
        <w:tabs>
          <w:tab w:val="left" w:pos="993"/>
        </w:tabs>
        <w:topLinePunct/>
        <w:adjustRightInd w:val="0"/>
        <w:snapToGrid w:val="0"/>
        <w:spacing w:before="0" w:after="244" w:afterLines="75" w:line="288" w:lineRule="auto"/>
        <w:ind w:left="993" w:leftChars="175" w:hanging="573"/>
        <w:rPr>
          <w:rFonts w:ascii="Arial" w:hAnsi="Arial" w:eastAsia="宋体" w:cs="Arial"/>
          <w:snapToGrid w:val="0"/>
          <w:kern w:val="0"/>
        </w:rPr>
      </w:pPr>
      <w:r>
        <w:rPr>
          <w:rFonts w:ascii="Arial" w:hAnsi="Arial" w:eastAsia="宋体" w:cs="Arial"/>
          <w:snapToGrid w:val="0"/>
          <w:kern w:val="0"/>
        </w:rPr>
        <w:t>当存在潜在的或实际的利益冲突时，应采取特别措施以修改知情同意的过程，例如：</w:t>
      </w:r>
    </w:p>
    <w:p w14:paraId="6F958718">
      <w:pPr>
        <w:pStyle w:val="45"/>
        <w:numPr>
          <w:ilvl w:val="0"/>
          <w:numId w:val="18"/>
        </w:numPr>
        <w:shd w:val="clear" w:color="auto" w:fill="auto"/>
        <w:topLinePunct/>
        <w:adjustRightInd w:val="0"/>
        <w:snapToGrid w:val="0"/>
        <w:spacing w:before="0" w:after="244" w:afterLines="75" w:line="288" w:lineRule="auto"/>
        <w:ind w:left="1597" w:leftChars="414" w:hanging="603"/>
        <w:rPr>
          <w:rFonts w:ascii="Arial" w:hAnsi="Arial" w:eastAsia="宋体" w:cs="Arial"/>
          <w:snapToGrid w:val="0"/>
          <w:kern w:val="0"/>
        </w:rPr>
      </w:pPr>
      <w:r>
        <w:rPr>
          <w:rFonts w:ascii="Arial" w:hAnsi="Arial" w:eastAsia="宋体" w:cs="Arial"/>
          <w:snapToGrid w:val="0"/>
          <w:kern w:val="0"/>
        </w:rPr>
        <w:t>让另一个没有潜在或实际利益冲突的人参与同意过程，尤其是当潜在或实际的利益冲突可能会在同意过程中影响信息陈述的语气、表述或类型时。</w:t>
      </w:r>
    </w:p>
    <w:p w14:paraId="042B2ED6">
      <w:pPr>
        <w:pStyle w:val="45"/>
        <w:numPr>
          <w:ilvl w:val="0"/>
          <w:numId w:val="18"/>
        </w:numPr>
        <w:shd w:val="clear" w:color="auto" w:fill="auto"/>
        <w:topLinePunct/>
        <w:adjustRightInd w:val="0"/>
        <w:snapToGrid w:val="0"/>
        <w:spacing w:before="0" w:after="244" w:afterLines="75" w:line="288" w:lineRule="auto"/>
        <w:ind w:left="1597" w:leftChars="414" w:hanging="603"/>
        <w:rPr>
          <w:rFonts w:ascii="Arial" w:hAnsi="Arial" w:eastAsia="宋体" w:cs="Arial"/>
          <w:snapToGrid w:val="0"/>
          <w:kern w:val="0"/>
        </w:rPr>
      </w:pPr>
      <w:r>
        <w:rPr>
          <w:rFonts w:ascii="Arial" w:hAnsi="Arial" w:eastAsia="宋体" w:cs="Arial"/>
          <w:snapToGrid w:val="0"/>
          <w:kern w:val="0"/>
        </w:rPr>
        <w:t>使用独立的同意过程监控。</w:t>
      </w:r>
    </w:p>
    <w:p w14:paraId="41976AE3">
      <w:pPr>
        <w:pStyle w:val="47"/>
        <w:numPr>
          <w:ilvl w:val="0"/>
          <w:numId w:val="14"/>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43" w:name="_Toc499801717"/>
      <w:r>
        <w:rPr>
          <w:rFonts w:ascii="Arial" w:hAnsi="Arial" w:eastAsia="宋体" w:cs="Arial"/>
          <w:bCs w:val="0"/>
          <w:snapToGrid w:val="0"/>
          <w:kern w:val="0"/>
          <w:sz w:val="24"/>
          <w:szCs w:val="24"/>
        </w:rPr>
        <w:t>申办方</w:t>
      </w:r>
      <w:bookmarkEnd w:id="43"/>
    </w:p>
    <w:p w14:paraId="638C45E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申办方经常为临床研究者提供一份同意书模板，其可以由临床研究者进行调整以满足本地需求。当该同意书提交给FDA进行审查时，FDA的意见通常是针对申办方的，见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IV.D.1</w:t>
      </w:r>
      <w:r>
        <w:rPr>
          <w:rFonts w:hint="eastAsia" w:ascii="Arial" w:hAnsi="Arial" w:eastAsia="宋体" w:cs="Arial"/>
          <w:snapToGrid w:val="0"/>
          <w:color w:val="3333FF"/>
          <w:kern w:val="0"/>
          <w:u w:val="single"/>
        </w:rPr>
        <w:t>节</w:t>
      </w:r>
      <w:r>
        <w:rPr>
          <w:rFonts w:ascii="Arial" w:hAnsi="Arial" w:eastAsia="宋体" w:cs="Arial"/>
          <w:snapToGrid w:val="0"/>
          <w:kern w:val="0"/>
        </w:rPr>
        <w:t>，研究用新药和生物制剂，以及</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IV.D.2</w:t>
      </w:r>
      <w:r>
        <w:rPr>
          <w:rFonts w:hint="eastAsia" w:ascii="Arial" w:hAnsi="Arial" w:eastAsia="宋体" w:cs="Arial"/>
          <w:snapToGrid w:val="0"/>
          <w:color w:val="3333FF"/>
          <w:kern w:val="0"/>
          <w:u w:val="single"/>
        </w:rPr>
        <w:t>节</w:t>
      </w:r>
      <w:r>
        <w:rPr>
          <w:rFonts w:ascii="Arial" w:hAnsi="Arial" w:eastAsia="宋体" w:cs="Arial"/>
          <w:snapToGrid w:val="0"/>
          <w:kern w:val="0"/>
        </w:rPr>
        <w:t>，研究用医疗器械。申办方应及时向临床研究者提供FDA的意见，以便对同意书进行修改。由于临床研究者在开始临床研究之前必须获得IRB批准（见21 CFR 312.66和21 CFR 812.110（a）），申办方应与临床研究者密切合作，以确定修改后的同意书是经IRB审查和批准的。 FDA建议临床研究者向申办方提供IRB批准的同意书副本。</w:t>
      </w:r>
    </w:p>
    <w:p w14:paraId="25F4F6E1">
      <w:pPr>
        <w:adjustRightInd/>
        <w:snapToGrid/>
        <w:spacing w:line="240" w:lineRule="auto"/>
        <w:rPr>
          <w:rFonts w:ascii="Arial" w:hAnsi="Arial" w:eastAsia="宋体" w:cs="Arial"/>
          <w:b/>
          <w:snapToGrid w:val="0"/>
          <w:szCs w:val="24"/>
        </w:rPr>
      </w:pPr>
      <w:r>
        <w:rPr>
          <w:rFonts w:ascii="Arial" w:hAnsi="Arial" w:eastAsia="宋体" w:cs="Arial"/>
          <w:bCs/>
          <w:snapToGrid w:val="0"/>
          <w:szCs w:val="24"/>
        </w:rPr>
        <w:br w:type="page"/>
      </w:r>
    </w:p>
    <w:p w14:paraId="119742CE">
      <w:pPr>
        <w:pStyle w:val="47"/>
        <w:numPr>
          <w:ilvl w:val="0"/>
          <w:numId w:val="19"/>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44" w:name="_Toc499801718"/>
      <w:r>
        <w:rPr>
          <w:rFonts w:ascii="Arial" w:hAnsi="Arial" w:eastAsia="宋体" w:cs="Arial"/>
          <w:bCs w:val="0"/>
          <w:snapToGrid w:val="0"/>
          <w:kern w:val="0"/>
          <w:sz w:val="24"/>
          <w:szCs w:val="24"/>
        </w:rPr>
        <w:t>多中心临床研究的考虑</w:t>
      </w:r>
      <w:bookmarkEnd w:id="44"/>
    </w:p>
    <w:p w14:paraId="777F347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多中心临床研究，可能需要对同意书进行细微的修改，以满足当地和机构的要求。当IRB审查的结果对同意书有实质性修改时，即，有影响受试者的权利、安全或福利的修改，FDA建议申办方与研究者及IRB分享修订内容。如果临床研究有一个中心化IRB与当地IRB合作，那么这些修订应提交给中心化IRB</w:t>
      </w:r>
      <w:r>
        <w:rPr>
          <w:rStyle w:val="25"/>
          <w:rFonts w:ascii="Arial" w:hAnsi="Arial" w:eastAsia="宋体" w:cs="Arial"/>
          <w:snapToGrid w:val="0"/>
          <w:kern w:val="0"/>
        </w:rPr>
        <w:footnoteReference w:id="47"/>
      </w:r>
      <w:r>
        <w:rPr>
          <w:rFonts w:ascii="Arial" w:hAnsi="Arial" w:eastAsia="宋体" w:cs="Arial"/>
          <w:snapToGrid w:val="0"/>
          <w:kern w:val="0"/>
        </w:rPr>
        <w:t>。或者，中心化IRB可以根据当地IRB和中心化IRB之间的审查协议来解决当地的问题。</w:t>
      </w:r>
    </w:p>
    <w:p w14:paraId="41CDB34F">
      <w:pPr>
        <w:pStyle w:val="47"/>
        <w:numPr>
          <w:ilvl w:val="0"/>
          <w:numId w:val="14"/>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45" w:name="_Toc499801719"/>
      <w:r>
        <w:rPr>
          <w:rFonts w:ascii="Arial" w:hAnsi="Arial" w:eastAsia="宋体" w:cs="Arial"/>
          <w:bCs w:val="0"/>
          <w:snapToGrid w:val="0"/>
          <w:kern w:val="0"/>
          <w:sz w:val="24"/>
          <w:szCs w:val="24"/>
        </w:rPr>
        <w:t>FDA</w:t>
      </w:r>
      <w:bookmarkEnd w:id="45"/>
    </w:p>
    <w:p w14:paraId="01C238D8">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申办方无需为所有临床研究向FDA提交知情同意材料（例如，见21 CFR 312.2（b）和21 CFR 812.2（b）和（c））。 FDA针对药物（包括生物制剂）和医疗器械研究的法规对于申请中知情同意材料的提交有不同的要求（见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IV.D.1</w:t>
      </w:r>
      <w:r>
        <w:rPr>
          <w:rFonts w:hint="eastAsia" w:ascii="Arial" w:hAnsi="Arial" w:eastAsia="宋体" w:cs="Arial"/>
          <w:snapToGrid w:val="0"/>
          <w:color w:val="3333FF"/>
          <w:kern w:val="0"/>
          <w:u w:val="single"/>
        </w:rPr>
        <w:t>节</w:t>
      </w:r>
      <w:r>
        <w:rPr>
          <w:rFonts w:ascii="Arial" w:hAnsi="Arial" w:eastAsia="宋体" w:cs="Arial"/>
          <w:snapToGrid w:val="0"/>
          <w:kern w:val="0"/>
        </w:rPr>
        <w:t>，研究用新药和生物制剂，以及</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IV.D.2</w:t>
      </w:r>
      <w:r>
        <w:rPr>
          <w:rFonts w:hint="eastAsia" w:ascii="Arial" w:hAnsi="Arial" w:eastAsia="宋体" w:cs="Arial"/>
          <w:snapToGrid w:val="0"/>
          <w:color w:val="3333FF"/>
          <w:kern w:val="0"/>
          <w:u w:val="single"/>
        </w:rPr>
        <w:t>节</w:t>
      </w:r>
      <w:r>
        <w:rPr>
          <w:rFonts w:ascii="Arial" w:hAnsi="Arial" w:eastAsia="宋体" w:cs="Arial"/>
          <w:snapToGrid w:val="0"/>
          <w:kern w:val="0"/>
        </w:rPr>
        <w:t>，研究用医疗器械，见下文）。</w:t>
      </w:r>
    </w:p>
    <w:p w14:paraId="6A43344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一般而言，在提交知情同意材料时，FDA审查员会考虑材料对合理可预见的安全性问题的沟通和21 CFR 50.25中要求的其他要素，以评估同意书的充分性。在某些情况下，FDA可能会发现同意书中有某种程度上的误导、不准确或不完整，从而使知情同意不充分和不符合21 CFR第50部分的要求。在这些情况下，FDA会要求在临床研究开始之前，做出特定的修改来解决这些问题。（21 CFR 312.42和812.30）</w:t>
      </w:r>
    </w:p>
    <w:p w14:paraId="214EF78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FDA对同意书的审查并不能代替IRB的责任或权力，IRB对同意书及同意过程的审查和批准是作为临床研究开始的条件。（21 CFR 56.103（a））。IRB负责确保同意书中信息的充分性，并可能酌情要求修改。（21 CFR 56.109）</w:t>
      </w:r>
    </w:p>
    <w:p w14:paraId="15A1965E">
      <w:pPr>
        <w:pStyle w:val="47"/>
        <w:numPr>
          <w:ilvl w:val="0"/>
          <w:numId w:val="20"/>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46" w:name="_Toc499801720"/>
      <w:r>
        <w:rPr>
          <w:rFonts w:ascii="Arial" w:hAnsi="Arial" w:eastAsia="宋体" w:cs="Arial"/>
          <w:bCs w:val="0"/>
          <w:snapToGrid w:val="0"/>
          <w:kern w:val="0"/>
          <w:sz w:val="24"/>
          <w:szCs w:val="24"/>
        </w:rPr>
        <w:t>研究用新药和生物制剂</w:t>
      </w:r>
      <w:r>
        <w:rPr>
          <w:rStyle w:val="25"/>
          <w:rFonts w:ascii="Arial" w:hAnsi="Arial" w:eastAsia="宋体" w:cs="Arial"/>
          <w:bCs w:val="0"/>
          <w:snapToGrid w:val="0"/>
          <w:kern w:val="0"/>
          <w:sz w:val="24"/>
          <w:szCs w:val="24"/>
        </w:rPr>
        <w:footnoteReference w:id="48"/>
      </w:r>
      <w:bookmarkEnd w:id="46"/>
    </w:p>
    <w:p w14:paraId="3362F69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研究用新药（IND）法规（21 CFR第312部分）没有特别要求在IND申请提交给FDA时，提交同意书。但是，如果FDA确定，有必要对同意书进行审查方可确定临床研究是否可以安全地进行，FDA将要求申办方根据21 CFR 312.23 （a）（11）提交同意书以供审查。</w:t>
      </w:r>
    </w:p>
    <w:p w14:paraId="0E7A0135">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4E76AA2D">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一般情况下，根据21 CFR 50.25，对于治疗性IND和治疗方案（21 CFR第312部分，第I子部分）以及按紧急研究豁免知情同意要求的IND（21 CFR 50.24），将对知情同意书进行审查（见21 CFR 50.24 （a）（6）））。</w:t>
      </w:r>
    </w:p>
    <w:p w14:paraId="7897DC59">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对于其他临床研究，FDA在决定是否要求提交并审查同意书时，经常会考虑以下因素：</w:t>
      </w:r>
    </w:p>
    <w:p w14:paraId="2105AAF9">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用来支持首次用于人体的药物，所提交的非临床研究中识别了一种不同寻常的毒性；</w:t>
      </w:r>
    </w:p>
    <w:p w14:paraId="629F7209">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不同寻常的已知毒性与研究用药物、药物所属的药物种类或与研究药物有类似特征的不同药物有关；</w:t>
      </w:r>
    </w:p>
    <w:p w14:paraId="42BC4600">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弱势研究人群；</w:t>
      </w:r>
    </w:p>
    <w:p w14:paraId="22C0A68C">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研究设计对于治疗类别是不同寻常的；</w:t>
      </w:r>
    </w:p>
    <w:p w14:paraId="2398B89F">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临床研究是上市后的安全性临床试验，根据FD＆C法案第505（o）要求评估严重风险；</w:t>
      </w:r>
    </w:p>
    <w:p w14:paraId="6A360AC1">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临床研究对受试者存在重大可能性的严重风险；</w:t>
      </w:r>
    </w:p>
    <w:p w14:paraId="1DE5E3DC">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临床研究涉及要求受试者放弃或延迟已知可以降低长期死亡率或不可逆转的发病率的有效治疗；</w:t>
      </w:r>
    </w:p>
    <w:p w14:paraId="6FC8821B">
      <w:pPr>
        <w:pStyle w:val="45"/>
        <w:numPr>
          <w:ilvl w:val="0"/>
          <w:numId w:val="5"/>
        </w:numPr>
        <w:shd w:val="clear" w:color="auto" w:fill="auto"/>
        <w:tabs>
          <w:tab w:val="left" w:pos="350"/>
        </w:tabs>
        <w:topLinePunct/>
        <w:adjustRightInd w:val="0"/>
        <w:snapToGrid w:val="0"/>
        <w:spacing w:before="0" w:after="244" w:afterLines="75" w:line="288" w:lineRule="auto"/>
        <w:ind w:left="350" w:hanging="350"/>
        <w:rPr>
          <w:rFonts w:ascii="Arial" w:hAnsi="Arial" w:eastAsia="宋体" w:cs="Arial"/>
          <w:snapToGrid w:val="0"/>
          <w:kern w:val="0"/>
        </w:rPr>
      </w:pPr>
      <w:r>
        <w:rPr>
          <w:rFonts w:ascii="Arial" w:hAnsi="Arial" w:eastAsia="宋体" w:cs="Arial"/>
          <w:snapToGrid w:val="0"/>
          <w:kern w:val="0"/>
        </w:rPr>
        <w:t>FDA有其他的保密信息或专有资料（IRB所不知道的），这些信息影响了对知情同意书是否已充分解决风险的评估。</w:t>
      </w:r>
    </w:p>
    <w:p w14:paraId="40B5930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在审查同意材料后，如果FDA审查部门对同意材料的充分性或符合21 CFR第50部分的合规性有具体的关注点，通常会以书面形式向申办方传达关于这些关注的细节。在极少数情况下，FDA可能会发现同意书有某种程度上的误导、不准确或不完整，从而使知情同意不充分和不符合21 CFR第50部分，如此便会使受试者暴露于不合理的疾病或伤害的重大风险。在这些情况下，FDA可能会要求在进行临床研究之前做出特定的修改以解决问题（21 CFR 312.42）。</w:t>
      </w:r>
    </w:p>
    <w:p w14:paraId="66B9D2C4">
      <w:pPr>
        <w:pStyle w:val="47"/>
        <w:numPr>
          <w:ilvl w:val="0"/>
          <w:numId w:val="20"/>
        </w:numPr>
        <w:shd w:val="clear" w:color="auto" w:fill="auto"/>
        <w:topLinePunct/>
        <w:adjustRightInd w:val="0"/>
        <w:snapToGrid w:val="0"/>
        <w:spacing w:after="244" w:afterLines="75" w:line="288" w:lineRule="auto"/>
        <w:ind w:left="357" w:hanging="357"/>
        <w:jc w:val="both"/>
        <w:outlineLvl w:val="2"/>
        <w:rPr>
          <w:rFonts w:ascii="Arial" w:hAnsi="Arial" w:eastAsia="宋体" w:cs="Arial"/>
          <w:bCs w:val="0"/>
          <w:snapToGrid w:val="0"/>
          <w:kern w:val="0"/>
          <w:sz w:val="24"/>
          <w:szCs w:val="24"/>
        </w:rPr>
      </w:pPr>
      <w:bookmarkStart w:id="47" w:name="_Toc499801721"/>
      <w:r>
        <w:rPr>
          <w:rFonts w:ascii="Arial" w:hAnsi="Arial" w:eastAsia="宋体" w:cs="Arial"/>
          <w:bCs w:val="0"/>
          <w:snapToGrid w:val="0"/>
          <w:kern w:val="0"/>
          <w:sz w:val="24"/>
          <w:szCs w:val="24"/>
        </w:rPr>
        <w:t>研究用医疗器械</w:t>
      </w:r>
      <w:bookmarkEnd w:id="47"/>
    </w:p>
    <w:p w14:paraId="58BE79E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对于需要向FDA提交研究用器械豁免（IDE）申请的医疗器械的临床研究，申办方必须在申请中包含将提供给受试者以获得知情同意的所有表格和信息材料的副本。（21 CFR 812.20（b）（11）。）FDA会审查同意书，以确保其符合21 CFR第50部分的要求。审查后，FDA可以向申办方发出信函，指出有关同意书的缺陷。（21 CFR 812.30（a）和（b）（4））。只有在申办方修正了这些缺陷之后，临床研究才能开始。（21 CFR 812.30（a）和812.42）。如果IRB在FDA批准IDE后对知情同意书做出了实质性修改，即影响到受试者的权利、安全或福利的变更，则申办方必须在实施文件变更前，将修订后的知情同意文件提交给FDA进行审查和批准。（21 CFR 812.35（a））。</w:t>
      </w:r>
    </w:p>
    <w:p w14:paraId="6965BB2D">
      <w:pPr>
        <w:pStyle w:val="47"/>
        <w:numPr>
          <w:ilvl w:val="0"/>
          <w:numId w:val="2"/>
        </w:numPr>
        <w:shd w:val="clear" w:color="auto" w:fill="auto"/>
        <w:topLinePunct/>
        <w:adjustRightInd w:val="0"/>
        <w:snapToGrid w:val="0"/>
        <w:spacing w:after="244" w:afterLines="75" w:line="288" w:lineRule="auto"/>
        <w:jc w:val="both"/>
        <w:outlineLvl w:val="0"/>
        <w:rPr>
          <w:rFonts w:ascii="Arial" w:hAnsi="Arial" w:eastAsia="宋体" w:cs="Arial"/>
          <w:snapToGrid w:val="0"/>
          <w:kern w:val="0"/>
          <w:sz w:val="28"/>
          <w:szCs w:val="30"/>
        </w:rPr>
      </w:pPr>
      <w:bookmarkStart w:id="48" w:name="_Toc499801722"/>
      <w:r>
        <w:rPr>
          <w:rFonts w:ascii="Arial" w:hAnsi="Arial" w:eastAsia="宋体" w:cs="Arial"/>
          <w:snapToGrid w:val="0"/>
          <w:kern w:val="0"/>
          <w:sz w:val="28"/>
          <w:szCs w:val="30"/>
        </w:rPr>
        <w:t>其他考虑</w:t>
      </w:r>
      <w:bookmarkEnd w:id="48"/>
    </w:p>
    <w:p w14:paraId="445ACC24">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49" w:name="_Toc499801723"/>
      <w:r>
        <w:rPr>
          <w:rFonts w:ascii="Arial" w:hAnsi="Arial" w:eastAsia="宋体" w:cs="Arial"/>
          <w:bCs w:val="0"/>
          <w:snapToGrid w:val="0"/>
          <w:kern w:val="0"/>
          <w:sz w:val="24"/>
          <w:szCs w:val="24"/>
        </w:rPr>
        <w:t>患者记录的审查</w:t>
      </w:r>
      <w:bookmarkEnd w:id="49"/>
    </w:p>
    <w:p w14:paraId="5EA735B9">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申办方和研究者可能会因为与临床研究有关的各种原因来设法审查患者的医疗记录。根据FDA的法规21 CFR 50.3（c）和21 CFR 56.102（c）的规定，记录审查是否被视为临床研究的一部分，是根据具体情况决定的。如果记录审查是临床研究的一部分，根据21 CFR第50部分的要求，则需要获得受试者的知情同意方可进行记录审查。</w:t>
      </w:r>
    </w:p>
    <w:p w14:paraId="3E0D0D8B">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可以对某个中心的患者记录进行调查，以确定该中心是否具有足够数量满足条件的患者，使临床研究是可行的。这样的调查是为临床研究做准备，不在临床研究的定义范围内，因此不需要FDA法规要求</w:t>
      </w:r>
      <w:r>
        <w:rPr>
          <w:rStyle w:val="25"/>
          <w:rFonts w:ascii="Arial" w:hAnsi="Arial" w:eastAsia="宋体" w:cs="Arial"/>
          <w:snapToGrid w:val="0"/>
          <w:kern w:val="0"/>
        </w:rPr>
        <w:footnoteReference w:id="49"/>
      </w:r>
      <w:r>
        <w:rPr>
          <w:rFonts w:ascii="Arial" w:hAnsi="Arial" w:eastAsia="宋体" w:cs="Arial"/>
          <w:snapToGrid w:val="0"/>
          <w:kern w:val="0"/>
        </w:rPr>
        <w:t>的知情同意。在这种情况下，申办方和研究者需要遵守所有适用的HIPAA隐私保护措施。</w:t>
      </w:r>
    </w:p>
    <w:p w14:paraId="1A05D47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患者的记录可能会被审查以确定患者是否有资格进行临床研究。为便于这一过程，可能会记录关于该潜在受试者的有限资料。但是，应该注意的是，只能记录确定患者的研究资格和联系方式的信息。对患者记录的初审和有限资料的记录被视为是为了临床研究做准备，不属于临床研究的定义范围，不需要知情同意</w:t>
      </w:r>
      <w:r>
        <w:rPr>
          <w:rStyle w:val="25"/>
          <w:rFonts w:ascii="Arial" w:hAnsi="Arial" w:eastAsia="宋体" w:cs="Arial"/>
          <w:snapToGrid w:val="0"/>
          <w:kern w:val="0"/>
        </w:rPr>
        <w:footnoteReference w:id="50"/>
      </w:r>
      <w:r>
        <w:rPr>
          <w:rFonts w:ascii="Arial" w:hAnsi="Arial" w:eastAsia="宋体" w:cs="Arial"/>
          <w:snapToGrid w:val="0"/>
          <w:kern w:val="0"/>
        </w:rPr>
        <w:t>。即使FDA在这些情况下未要求知情同意，也需要妥善维护这些记录，包括保护患者资料的隐私和机密性。许多机构都有隐私委员会来帮助履行这一职能，或者他们可能会将此责任交付给IRB。在进行这些记录的审查活动之前，可能会要求机构对这些实体进行审查。</w:t>
      </w:r>
    </w:p>
    <w:p w14:paraId="63DE6EA9">
      <w:pPr>
        <w:adjustRightInd/>
        <w:snapToGrid/>
        <w:spacing w:line="240" w:lineRule="auto"/>
        <w:rPr>
          <w:rFonts w:ascii="Arial" w:hAnsi="Arial" w:eastAsia="宋体" w:cs="Arial"/>
          <w:snapToGrid w:val="0"/>
        </w:rPr>
      </w:pPr>
      <w:r>
        <w:rPr>
          <w:rFonts w:ascii="Arial" w:hAnsi="Arial" w:eastAsia="宋体" w:cs="Arial"/>
          <w:snapToGrid w:val="0"/>
        </w:rPr>
        <w:t>如果患者的记录不包括确定他或她是否有资格进行临床研究所需的基本信息，则可能需要从潜在受试者收集其他信息，在获得其他信息之前可能需要获得知情同意。请参见</w:t>
      </w:r>
    </w:p>
    <w:p w14:paraId="127F1524">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0CFBBC0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FDA信息表</w:t>
      </w:r>
      <w:r>
        <w:rPr>
          <w:rFonts w:ascii="宋体" w:hAnsi="宋体" w:eastAsia="宋体" w:cs="Arial"/>
          <w:snapToGrid w:val="0"/>
          <w:kern w:val="0"/>
        </w:rPr>
        <w:t>“</w:t>
      </w:r>
      <w:r>
        <w:rPr>
          <w:rFonts w:ascii="Arial" w:hAnsi="Arial" w:eastAsia="宋体" w:cs="Arial"/>
          <w:snapToGrid w:val="0"/>
          <w:kern w:val="0"/>
        </w:rPr>
        <w:t>研究入组前的筛选检查</w:t>
      </w:r>
      <w:r>
        <w:rPr>
          <w:rFonts w:ascii="宋体" w:hAnsi="宋体" w:eastAsia="宋体" w:cs="Arial"/>
          <w:snapToGrid w:val="0"/>
          <w:kern w:val="0"/>
        </w:rPr>
        <w:t>”</w:t>
      </w:r>
      <w:r>
        <w:rPr>
          <w:rStyle w:val="25"/>
          <w:rFonts w:ascii="宋体" w:hAnsi="宋体" w:eastAsia="宋体" w:cs="Arial"/>
          <w:snapToGrid w:val="0"/>
          <w:kern w:val="0"/>
        </w:rPr>
        <w:footnoteReference w:id="51"/>
      </w:r>
      <w:r>
        <w:rPr>
          <w:rFonts w:ascii="Arial" w:hAnsi="Arial" w:eastAsia="宋体" w:cs="Arial"/>
          <w:snapToGrid w:val="0"/>
          <w:kern w:val="0"/>
        </w:rPr>
        <w:t>，了解根据法规何时需要知情同意的讨论。</w:t>
      </w:r>
    </w:p>
    <w:p w14:paraId="02629F4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某些限定的情况下，可以对之前参加过临床研究的受试者的记录进行回顾性审查，以收集额外的信息，而无需受试者的重新同意，符合原同意程序即可。如果这个回顾性审查是为了搜集本应收集而缺失的信息（即，方案要求收集的信息，但是在病例报告表中没有报告，并且审查的目的仅仅是在记录中填空），那么这一审查被认为涵盖在为临床研究而取得事先的知情同意范围内，而无需受试者的进一步同意。如果附加的信息超出了原始方案中确定的内容和原同意书中公开的信息，则需要取得关于附加信息的知情同意书。（21 CFR 50.20和50.25）。FDA建议临床研究者在可能的情况下，预计需要获得进一步的信息，并获得同意，这是初始同意过程的一部分。</w:t>
      </w:r>
    </w:p>
    <w:p w14:paraId="0EA2083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上述所有情况下，需要解决患者的隐私和保密问题。临床研究者、申办方和机构应考虑是否存在机构的政策或其他法定的或监管的要求可以解决这个问题（如根据健康保险携带和责任法案（HIPAA），HIPAA隐私规则（45 CFR第160和164部分）或45 CFR第46部分HHS受试者保护法规）</w:t>
      </w:r>
      <w:r>
        <w:rPr>
          <w:rStyle w:val="25"/>
          <w:rFonts w:ascii="Arial" w:hAnsi="Arial" w:eastAsia="宋体" w:cs="Arial"/>
          <w:snapToGrid w:val="0"/>
          <w:kern w:val="0"/>
        </w:rPr>
        <w:footnoteReference w:id="52"/>
      </w:r>
      <w:r>
        <w:rPr>
          <w:rFonts w:ascii="Arial" w:hAnsi="Arial" w:eastAsia="宋体" w:cs="Arial"/>
          <w:snapToGrid w:val="0"/>
          <w:kern w:val="0"/>
        </w:rPr>
        <w:t>。</w:t>
      </w:r>
    </w:p>
    <w:p w14:paraId="11B93CCF">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50" w:name="_Toc499801724"/>
      <w:r>
        <w:rPr>
          <w:rFonts w:ascii="Arial" w:hAnsi="Arial" w:eastAsia="宋体" w:cs="Arial"/>
          <w:bCs w:val="0"/>
          <w:snapToGrid w:val="0"/>
          <w:kern w:val="0"/>
          <w:sz w:val="24"/>
          <w:szCs w:val="24"/>
        </w:rPr>
        <w:t>非说英语的受试者</w:t>
      </w:r>
      <w:r>
        <w:rPr>
          <w:rStyle w:val="25"/>
          <w:rFonts w:ascii="Arial" w:hAnsi="Arial" w:eastAsia="宋体" w:cs="Arial"/>
          <w:bCs w:val="0"/>
          <w:snapToGrid w:val="0"/>
          <w:kern w:val="0"/>
          <w:sz w:val="24"/>
          <w:szCs w:val="24"/>
        </w:rPr>
        <w:footnoteReference w:id="53"/>
      </w:r>
      <w:bookmarkEnd w:id="50"/>
    </w:p>
    <w:p w14:paraId="4117C7D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不懂英语的人可能会要求或被要求在以英语为主要语言的地区参加临床试验。研究者和审查这些研究的IRB应当仔细考虑，当研究者与某些或全部的潜在受试者之间可能存在语言障碍时，对潜在受试者进行入组或排除的伦理影响。根据对受试者公平选择的符合性要求（21 CFR 56.111（a）（3）），不能仅因为某个人不懂英语而将其例行排除从而使其无法参加研究。</w:t>
      </w:r>
    </w:p>
    <w:p w14:paraId="3F136B7D">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当不懂英语的人被纳入临床研究时，IRB和研究者必须确保提供给这些潜在受试者或其合法授权代表的信息对于该受试者或其代表来说是可理解的（21 CFR 50.20），</w:t>
      </w:r>
      <w:r>
        <w:rPr>
          <w:rFonts w:ascii="Arial" w:hAnsi="Arial" w:eastAsia="宋体" w:cs="Arial"/>
          <w:i/>
          <w:snapToGrid w:val="0"/>
          <w:kern w:val="0"/>
        </w:rPr>
        <w:t>可理解的</w:t>
      </w:r>
      <w:r>
        <w:rPr>
          <w:rFonts w:ascii="Arial" w:hAnsi="Arial" w:eastAsia="宋体" w:cs="Arial"/>
          <w:snapToGrid w:val="0"/>
          <w:kern w:val="0"/>
        </w:rPr>
        <w:t>意思是，提供给潜在受试者的信息是用一种他们能够理解的语言和水平呈现的，包括对科学和医学术语的解释。</w:t>
      </w:r>
    </w:p>
    <w:p w14:paraId="05D769D1">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51F579F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IRB必须审查和批准研究者用于记录受试者知情同意的任何同意文件（长表或有书面摘要的短表）的所有英文和非英文版本（21 CFR 50.27（a）和21 CFR 56.111（a）（4）和（5））。在审查建议的知情同意程序时，涉及到提供给受试者的书面和口头信息翻译的，FDA建议IRB审查并在适当情况下批准程序，以确保翻译件是由合格的个人或机构进行翻译的。</w:t>
      </w:r>
    </w:p>
    <w:p w14:paraId="4B05363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研究者提议，在方案的修正案中加入翻译的知情同意文件，用于已经获得IRB批准的研究（英语同意文件），可以被视为只是对研究的微小变更，可以符合FDA法规21 CFR 56.110（b）项下的快速审查程序。</w:t>
      </w:r>
    </w:p>
    <w:p w14:paraId="600BADF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FDA指出，在整个研究过程中，知情同意应被视为一个持续的过程。因此，FDA建议，每当有不懂英语的受试者参加研究时，在整个研究过程中应提供适当的口译服务。</w:t>
      </w:r>
    </w:p>
    <w:p w14:paraId="3876733D">
      <w:pPr>
        <w:pStyle w:val="47"/>
        <w:numPr>
          <w:ilvl w:val="0"/>
          <w:numId w:val="22"/>
        </w:numPr>
        <w:shd w:val="clear" w:color="auto" w:fill="auto"/>
        <w:topLinePunct/>
        <w:adjustRightInd w:val="0"/>
        <w:snapToGrid w:val="0"/>
        <w:spacing w:after="244" w:afterLines="75" w:line="288" w:lineRule="auto"/>
        <w:ind w:left="420" w:leftChars="175"/>
        <w:jc w:val="both"/>
        <w:rPr>
          <w:rFonts w:ascii="Arial" w:hAnsi="Arial" w:eastAsia="宋体" w:cs="Arial"/>
          <w:bCs w:val="0"/>
          <w:snapToGrid w:val="0"/>
          <w:kern w:val="0"/>
          <w:sz w:val="24"/>
          <w:szCs w:val="24"/>
        </w:rPr>
      </w:pPr>
      <w:r>
        <w:rPr>
          <w:rFonts w:ascii="Arial" w:hAnsi="Arial" w:eastAsia="宋体" w:cs="Arial"/>
          <w:bCs w:val="0"/>
          <w:snapToGrid w:val="0"/>
          <w:kern w:val="0"/>
          <w:sz w:val="24"/>
          <w:szCs w:val="24"/>
        </w:rPr>
        <w:t>预计有不懂英语的受试者入组时的知情同意程序</w:t>
      </w:r>
    </w:p>
    <w:p w14:paraId="425DD8E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当研究者合理预计所提议研究的受试者人群将会包括不懂英语的人，并能预知他们可以理解的特定语言时，研究者应在初次审查之前向IRB提交适当的翻译版同意书（即，长表或有书面摘要的短表）。研究者还应向IRB提供在研究过程中，口译员如何对受试者进行口头交流的描述。例如，如果研究者合理地预期所提议的研究方案的受试者人群，将包括仅理解西班牙语的人和仅理解俄语的人，那么研究者应在初次审查之前向IRB提交翻译成西班牙语和俄语的同意文件（即，长表或有书面摘要的短表），同时说明口译者如何在研究过程中进行西班牙语和俄语的口头交流。</w:t>
      </w:r>
    </w:p>
    <w:p w14:paraId="36B47D90">
      <w:pPr>
        <w:pStyle w:val="47"/>
        <w:numPr>
          <w:ilvl w:val="0"/>
          <w:numId w:val="22"/>
        </w:numPr>
        <w:shd w:val="clear" w:color="auto" w:fill="auto"/>
        <w:topLinePunct/>
        <w:adjustRightInd w:val="0"/>
        <w:snapToGrid w:val="0"/>
        <w:spacing w:after="244" w:afterLines="75" w:line="288" w:lineRule="auto"/>
        <w:ind w:left="420" w:leftChars="175"/>
        <w:jc w:val="both"/>
        <w:rPr>
          <w:rFonts w:ascii="Arial" w:hAnsi="Arial" w:eastAsia="宋体" w:cs="Arial"/>
          <w:bCs w:val="0"/>
          <w:snapToGrid w:val="0"/>
          <w:kern w:val="0"/>
          <w:sz w:val="24"/>
          <w:szCs w:val="24"/>
        </w:rPr>
      </w:pPr>
      <w:r>
        <w:rPr>
          <w:rFonts w:ascii="Arial" w:hAnsi="Arial" w:eastAsia="宋体" w:cs="Arial"/>
          <w:bCs w:val="0"/>
          <w:snapToGrid w:val="0"/>
          <w:kern w:val="0"/>
          <w:sz w:val="24"/>
          <w:szCs w:val="24"/>
        </w:rPr>
        <w:t>无法预计有不懂英语的受试者入组时的知情同意程序</w:t>
      </w:r>
    </w:p>
    <w:p w14:paraId="146B759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认为，研究者有时会面临以下情况：（1）不懂英语的人有资格入组经IRB批准的研究方案；（2）研究者有IRB批准的英语长表，但是没有经过IRB适当批准的翻译版长表、短表或书面摘要。这可能是因为研究者和IRB都没有合理地预计到入组的受试者需要翻译。</w:t>
      </w:r>
    </w:p>
    <w:p w14:paraId="2139BFB6">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516BB1E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对于一些研究来说，受试者招募的时间范围可以为准备一个适当翻译的长表或适当翻译的短表及书面摘要以及IRB的审查提供足够的时间。在这种情况下，翻译版同意书应在入组前经IRB审查和批准。</w:t>
      </w:r>
    </w:p>
    <w:p w14:paraId="4581449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对于其他研究，不懂英语的受试者的入组时间范围可能不足以准备适当的翻译版同意书和进行IRB审查。作为这种情况的一个可能，许多IRB已经准备了一种通用的多语言翻译版短表，以满足FDA法规21 CFR 50.27 （b）（2）的要求，并且已经预先批准了这种短表用于不懂英语的受试者入组，任何研究方案均可按需使用。在这种情况下，FDA认为包括以下顺序步骤的程序是获得和记录受试者知情同意的一种可接受的方式：</w:t>
      </w:r>
    </w:p>
    <w:p w14:paraId="2B5000C2">
      <w:pPr>
        <w:pStyle w:val="47"/>
        <w:shd w:val="clear" w:color="auto" w:fill="auto"/>
        <w:topLinePunct/>
        <w:adjustRightInd w:val="0"/>
        <w:snapToGrid w:val="0"/>
        <w:spacing w:after="244" w:afterLines="75" w:line="288" w:lineRule="auto"/>
        <w:jc w:val="both"/>
        <w:rPr>
          <w:rFonts w:ascii="Arial" w:hAnsi="Arial" w:eastAsia="宋体" w:cs="Arial"/>
          <w:bCs w:val="0"/>
          <w:snapToGrid w:val="0"/>
          <w:kern w:val="0"/>
          <w:sz w:val="24"/>
          <w:szCs w:val="24"/>
        </w:rPr>
      </w:pPr>
      <w:r>
        <w:rPr>
          <w:rFonts w:ascii="Arial" w:hAnsi="Arial" w:eastAsia="宋体" w:cs="Arial"/>
          <w:bCs w:val="0"/>
          <w:snapToGrid w:val="0"/>
          <w:kern w:val="0"/>
          <w:sz w:val="24"/>
          <w:szCs w:val="24"/>
        </w:rPr>
        <w:t>步骤1 -确定有足够的理由在</w:t>
      </w:r>
      <w:r>
        <w:rPr>
          <w:rFonts w:hint="eastAsia" w:ascii="Arial" w:hAnsi="Arial" w:eastAsia="宋体" w:cs="Arial"/>
          <w:bCs w:val="0"/>
          <w:snapToGrid w:val="0"/>
          <w:kern w:val="0"/>
          <w:sz w:val="24"/>
          <w:szCs w:val="24"/>
        </w:rPr>
        <w:t>招募</w:t>
      </w:r>
      <w:r>
        <w:rPr>
          <w:rFonts w:ascii="Arial" w:hAnsi="Arial" w:eastAsia="宋体" w:cs="Arial"/>
          <w:bCs w:val="0"/>
          <w:snapToGrid w:val="0"/>
          <w:kern w:val="0"/>
          <w:sz w:val="24"/>
          <w:szCs w:val="24"/>
        </w:rPr>
        <w:t>受试者时不使用翻译版长表来记录受试者的知情同意</w:t>
      </w:r>
    </w:p>
    <w:p w14:paraId="3B6541B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研究者在可行的情况下与IRB主席（或主席指定的另一名IRB成员，以下称为指定人员）协商，确定有足够的理由（例如，由于限定的治疗窗）取得受试者的同意，而不必等待翻译版长表在受试者入组前获得IRB的审查和批准。在决定允许不懂英语的受试者入组研究方案而不等待书面的翻译版长表时，研究者（以及IRB主席或指定人员，如可行）应考虑在这种情况下同意程序是否会给受试者提供足够的机会来理解向其表述的信息。如果征求同意且研究者认为该预期的受试者没有理解向其提供的信息，那么此人不应参加研究。</w:t>
      </w:r>
    </w:p>
    <w:p w14:paraId="01954552">
      <w:pPr>
        <w:pStyle w:val="47"/>
        <w:shd w:val="clear" w:color="auto" w:fill="auto"/>
        <w:topLinePunct/>
        <w:adjustRightInd w:val="0"/>
        <w:snapToGrid w:val="0"/>
        <w:spacing w:after="244" w:afterLines="75" w:line="288" w:lineRule="auto"/>
        <w:jc w:val="both"/>
        <w:rPr>
          <w:rFonts w:ascii="Arial" w:hAnsi="Arial" w:eastAsia="宋体" w:cs="Arial"/>
          <w:bCs w:val="0"/>
          <w:snapToGrid w:val="0"/>
          <w:kern w:val="0"/>
          <w:sz w:val="24"/>
          <w:szCs w:val="24"/>
        </w:rPr>
      </w:pPr>
      <w:r>
        <w:rPr>
          <w:rFonts w:ascii="Arial" w:hAnsi="Arial" w:eastAsia="宋体" w:cs="Arial"/>
          <w:bCs w:val="0"/>
          <w:snapToGrid w:val="0"/>
          <w:kern w:val="0"/>
          <w:sz w:val="24"/>
          <w:szCs w:val="24"/>
        </w:rPr>
        <w:t>步骤2 -根据FDA法规21 CFR 50.25和21 CFR 50.27，使用翻译版短表和英语版长表作为书面摘要，取得并记录受试者的知情同意</w:t>
      </w:r>
    </w:p>
    <w:p w14:paraId="126E6B4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根据21 CFR 50.27 （b）（2）的要求，知情同意使用一个短表进行记录，该表已经翻译成预期受试者可以理解的语言，并经由IRB批准。作为使用该程序的一个先决条件，研究者必须提供一个短表，用预期受试者可以理解的语言进行编写，并事先经过IRB批准（21 CFR 50.27（a））。为了满足这个先决条件，IRB或研究者必须已经准备将通用的短表翻译成预期受试者可以理解的语言，并且IRB必须已经批准该短表可预期用于不懂英语的受试者入组（按需）。此外，IRB必须批准拟向受试者或其合法授权代表进行口述的书面摘要。（21 CFR 50.27（b）（2））。IRB批准的长表可以用作该书面摘要。</w:t>
      </w:r>
    </w:p>
    <w:p w14:paraId="2EF403A4">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5E53150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使用翻译版短表和英语版长表以获得并记录受试者知情同意的程序，包括以下内容：</w:t>
      </w:r>
    </w:p>
    <w:p w14:paraId="3928242C">
      <w:pPr>
        <w:pStyle w:val="45"/>
        <w:numPr>
          <w:ilvl w:val="0"/>
          <w:numId w:val="23"/>
        </w:numPr>
        <w:shd w:val="clear" w:color="auto" w:fill="auto"/>
        <w:tabs>
          <w:tab w:val="left" w:pos="1164"/>
        </w:tabs>
        <w:topLinePunct/>
        <w:adjustRightInd w:val="0"/>
        <w:snapToGrid w:val="0"/>
        <w:spacing w:before="0" w:after="244" w:afterLines="75" w:line="288" w:lineRule="auto"/>
        <w:ind w:left="1164" w:hanging="744"/>
        <w:rPr>
          <w:rFonts w:ascii="Arial" w:hAnsi="Arial" w:eastAsia="宋体" w:cs="Arial"/>
          <w:snapToGrid w:val="0"/>
          <w:kern w:val="0"/>
        </w:rPr>
      </w:pPr>
      <w:r>
        <w:rPr>
          <w:rFonts w:ascii="Arial" w:hAnsi="Arial" w:eastAsia="宋体" w:cs="Arial"/>
          <w:snapToGrid w:val="0"/>
          <w:kern w:val="0"/>
        </w:rPr>
        <w:t>如果需要，研究者可在口译者的协助下获得知情同意，口译者可向受试者口述知情同意的要素（按FDA法规21 CFR 50.25的要求）以及在IRB批准的英文版长表中的任何其他相关信息，该陈述可能是对IRB批准的英文版长表的口头翻译，口述介绍必须用受试者可以理解的语言（21 CFR 50.20）。研究者在必要时可以在口译者的协助下，回答预期的受试者提出的所有问题，必须有口头陈述的见证人，其不得是获得知情同意的人（21 CFR 50.27（b）（2））。此外，见证人应通晓用于口头陈述的这种语言。</w:t>
      </w:r>
    </w:p>
    <w:p w14:paraId="0A1799FC">
      <w:pPr>
        <w:pStyle w:val="45"/>
        <w:numPr>
          <w:ilvl w:val="0"/>
          <w:numId w:val="23"/>
        </w:numPr>
        <w:shd w:val="clear" w:color="auto" w:fill="auto"/>
        <w:tabs>
          <w:tab w:val="left" w:pos="1164"/>
        </w:tabs>
        <w:topLinePunct/>
        <w:adjustRightInd w:val="0"/>
        <w:snapToGrid w:val="0"/>
        <w:spacing w:before="0" w:after="244" w:afterLines="75" w:line="288" w:lineRule="auto"/>
        <w:ind w:left="1164" w:hanging="744"/>
        <w:rPr>
          <w:rFonts w:ascii="Arial" w:hAnsi="Arial" w:eastAsia="宋体" w:cs="Arial"/>
          <w:snapToGrid w:val="0"/>
          <w:kern w:val="0"/>
        </w:rPr>
      </w:pPr>
      <w:r>
        <w:rPr>
          <w:rFonts w:ascii="Arial" w:hAnsi="Arial" w:eastAsia="宋体" w:cs="Arial"/>
          <w:snapToGrid w:val="0"/>
          <w:kern w:val="0"/>
        </w:rPr>
        <w:t>在征求知情同意的时候，将IRB批准的翻译版短表和IRB批准的英语版长表副本作为书面摘要提供给受试者。</w:t>
      </w:r>
    </w:p>
    <w:p w14:paraId="7E23E764">
      <w:pPr>
        <w:pStyle w:val="45"/>
        <w:numPr>
          <w:ilvl w:val="0"/>
          <w:numId w:val="23"/>
        </w:numPr>
        <w:shd w:val="clear" w:color="auto" w:fill="auto"/>
        <w:tabs>
          <w:tab w:val="left" w:pos="1164"/>
        </w:tabs>
        <w:topLinePunct/>
        <w:adjustRightInd w:val="0"/>
        <w:snapToGrid w:val="0"/>
        <w:spacing w:before="0" w:after="244" w:afterLines="75" w:line="288" w:lineRule="auto"/>
        <w:ind w:left="1164" w:hanging="744"/>
        <w:rPr>
          <w:rFonts w:ascii="Arial" w:hAnsi="Arial" w:eastAsia="宋体" w:cs="Arial"/>
          <w:snapToGrid w:val="0"/>
          <w:kern w:val="0"/>
        </w:rPr>
      </w:pPr>
      <w:r>
        <w:rPr>
          <w:rFonts w:ascii="Arial" w:hAnsi="Arial" w:eastAsia="宋体" w:cs="Arial"/>
          <w:snapToGrid w:val="0"/>
          <w:kern w:val="0"/>
        </w:rPr>
        <w:t>短表由受试者签字并注明日期。</w:t>
      </w:r>
    </w:p>
    <w:p w14:paraId="1098D69A">
      <w:pPr>
        <w:pStyle w:val="45"/>
        <w:numPr>
          <w:ilvl w:val="0"/>
          <w:numId w:val="23"/>
        </w:numPr>
        <w:shd w:val="clear" w:color="auto" w:fill="auto"/>
        <w:tabs>
          <w:tab w:val="left" w:pos="1164"/>
        </w:tabs>
        <w:topLinePunct/>
        <w:adjustRightInd w:val="0"/>
        <w:snapToGrid w:val="0"/>
        <w:spacing w:before="0" w:after="244" w:afterLines="75" w:line="288" w:lineRule="auto"/>
        <w:ind w:left="1164" w:hanging="744"/>
        <w:rPr>
          <w:rFonts w:ascii="Arial" w:hAnsi="Arial" w:eastAsia="宋体" w:cs="Arial"/>
          <w:snapToGrid w:val="0"/>
          <w:kern w:val="0"/>
        </w:rPr>
      </w:pPr>
      <w:r>
        <w:rPr>
          <w:rFonts w:ascii="Arial" w:hAnsi="Arial" w:eastAsia="宋体" w:cs="Arial"/>
          <w:snapToGrid w:val="0"/>
          <w:kern w:val="0"/>
        </w:rPr>
        <w:t>见证人在短表和IRB批准的英文版长表副本上签字。（请注意，当口译者协助获得同意的人时，口译者可以作为见证人，但不需要这样做。）</w:t>
      </w:r>
    </w:p>
    <w:p w14:paraId="79B3EDF8">
      <w:pPr>
        <w:pStyle w:val="45"/>
        <w:numPr>
          <w:ilvl w:val="0"/>
          <w:numId w:val="23"/>
        </w:numPr>
        <w:shd w:val="clear" w:color="auto" w:fill="auto"/>
        <w:tabs>
          <w:tab w:val="left" w:pos="1164"/>
        </w:tabs>
        <w:topLinePunct/>
        <w:adjustRightInd w:val="0"/>
        <w:snapToGrid w:val="0"/>
        <w:spacing w:before="0" w:after="244" w:afterLines="75" w:line="288" w:lineRule="auto"/>
        <w:ind w:left="1164" w:hanging="744"/>
        <w:rPr>
          <w:rFonts w:ascii="Arial" w:hAnsi="Arial" w:eastAsia="宋体" w:cs="Arial"/>
          <w:snapToGrid w:val="0"/>
          <w:kern w:val="0"/>
        </w:rPr>
      </w:pPr>
      <w:r>
        <w:rPr>
          <w:rFonts w:ascii="Arial" w:hAnsi="Arial" w:eastAsia="宋体" w:cs="Arial"/>
          <w:snapToGrid w:val="0"/>
          <w:kern w:val="0"/>
        </w:rPr>
        <w:t>实际获得同意的人在IRB批准的英文版长表副本上签字。</w:t>
      </w:r>
    </w:p>
    <w:p w14:paraId="380BBCC6">
      <w:pPr>
        <w:pStyle w:val="55"/>
        <w:shd w:val="clear" w:color="auto" w:fill="auto"/>
        <w:topLinePunct/>
        <w:adjustRightInd w:val="0"/>
        <w:snapToGrid w:val="0"/>
        <w:spacing w:before="0" w:after="244" w:afterLines="75" w:line="288" w:lineRule="auto"/>
        <w:jc w:val="both"/>
        <w:outlineLvl w:val="9"/>
        <w:rPr>
          <w:rFonts w:ascii="Arial" w:hAnsi="Arial" w:eastAsia="宋体" w:cs="Arial"/>
          <w:bCs w:val="0"/>
          <w:snapToGrid w:val="0"/>
          <w:kern w:val="0"/>
          <w:sz w:val="24"/>
          <w:szCs w:val="24"/>
        </w:rPr>
      </w:pPr>
      <w:r>
        <w:rPr>
          <w:rFonts w:ascii="Arial" w:hAnsi="Arial" w:eastAsia="宋体" w:cs="Arial"/>
          <w:bCs w:val="0"/>
          <w:snapToGrid w:val="0"/>
          <w:kern w:val="0"/>
          <w:sz w:val="24"/>
          <w:szCs w:val="24"/>
        </w:rPr>
        <w:t>步骤3 -在受试者入组后采取的其他</w:t>
      </w:r>
      <w:r>
        <w:rPr>
          <w:rFonts w:hint="eastAsia" w:ascii="Arial" w:hAnsi="Arial" w:eastAsia="宋体" w:cs="Arial"/>
          <w:bCs w:val="0"/>
          <w:snapToGrid w:val="0"/>
          <w:kern w:val="0"/>
          <w:sz w:val="24"/>
          <w:szCs w:val="24"/>
        </w:rPr>
        <w:t>措施</w:t>
      </w:r>
    </w:p>
    <w:p w14:paraId="7034DEC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在受试者入组研究之后，研究者应采取以下其他</w:t>
      </w:r>
      <w:r>
        <w:rPr>
          <w:rFonts w:hint="eastAsia" w:ascii="Arial" w:hAnsi="Arial" w:eastAsia="宋体" w:cs="Arial"/>
          <w:snapToGrid w:val="0"/>
          <w:kern w:val="0"/>
        </w:rPr>
        <w:t>措施</w:t>
      </w:r>
      <w:r>
        <w:rPr>
          <w:rFonts w:ascii="Arial" w:hAnsi="Arial" w:eastAsia="宋体" w:cs="Arial"/>
          <w:snapToGrid w:val="0"/>
          <w:kern w:val="0"/>
        </w:rPr>
        <w:t>：</w:t>
      </w:r>
    </w:p>
    <w:p w14:paraId="1C8D9872">
      <w:pPr>
        <w:pStyle w:val="45"/>
        <w:numPr>
          <w:ilvl w:val="0"/>
          <w:numId w:val="24"/>
        </w:numPr>
        <w:shd w:val="clear" w:color="auto" w:fill="auto"/>
        <w:topLinePunct/>
        <w:adjustRightInd w:val="0"/>
        <w:snapToGrid w:val="0"/>
        <w:spacing w:before="0" w:after="244" w:afterLines="75" w:line="288" w:lineRule="auto"/>
        <w:ind w:left="1260" w:leftChars="175" w:hanging="840"/>
        <w:rPr>
          <w:rFonts w:ascii="Arial" w:hAnsi="Arial" w:eastAsia="宋体" w:cs="Arial"/>
          <w:snapToGrid w:val="0"/>
          <w:kern w:val="0"/>
        </w:rPr>
      </w:pPr>
      <w:r>
        <w:rPr>
          <w:rFonts w:ascii="Arial" w:hAnsi="Arial" w:eastAsia="宋体" w:cs="Arial"/>
          <w:snapToGrid w:val="0"/>
          <w:kern w:val="0"/>
        </w:rPr>
        <w:t>如果一例受试者未等待IRB审查和批准翻译版长表（作为书面摘要）就已入组，且如果研究者在入组该名不懂英语的受试者之前，没有事先与IRB主席（或指定人员）协商，则研究者在该受试者入组后应立即通知IRB主席（或指定人员）。</w:t>
      </w:r>
    </w:p>
    <w:p w14:paraId="03C942EE">
      <w:pPr>
        <w:widowControl w:val="0"/>
        <w:topLinePunct/>
        <w:spacing w:after="244" w:afterLines="75" w:line="288" w:lineRule="auto"/>
        <w:jc w:val="both"/>
        <w:rPr>
          <w:rFonts w:ascii="Arial" w:hAnsi="Arial" w:eastAsia="宋体" w:cs="Arial"/>
          <w:snapToGrid w:val="0"/>
          <w:szCs w:val="24"/>
        </w:rPr>
      </w:pPr>
      <w:r>
        <w:rPr>
          <w:rFonts w:ascii="Arial" w:hAnsi="Arial" w:eastAsia="宋体" w:cs="Arial"/>
          <w:snapToGrid w:val="0"/>
        </w:rPr>
        <w:br w:type="page"/>
      </w:r>
    </w:p>
    <w:p w14:paraId="4ACE3EBD">
      <w:pPr>
        <w:pStyle w:val="45"/>
        <w:numPr>
          <w:ilvl w:val="0"/>
          <w:numId w:val="24"/>
        </w:numPr>
        <w:shd w:val="clear" w:color="auto" w:fill="auto"/>
        <w:topLinePunct/>
        <w:adjustRightInd w:val="0"/>
        <w:snapToGrid w:val="0"/>
        <w:spacing w:before="0" w:after="244" w:afterLines="75" w:line="288" w:lineRule="auto"/>
        <w:ind w:left="1260" w:leftChars="175" w:hanging="840"/>
        <w:rPr>
          <w:rFonts w:ascii="Arial" w:hAnsi="Arial" w:eastAsia="宋体" w:cs="Arial"/>
          <w:snapToGrid w:val="0"/>
          <w:kern w:val="0"/>
        </w:rPr>
      </w:pPr>
      <w:r>
        <w:rPr>
          <w:rFonts w:ascii="Arial" w:hAnsi="Arial" w:eastAsia="宋体" w:cs="Arial"/>
          <w:snapToGrid w:val="0"/>
          <w:kern w:val="0"/>
        </w:rPr>
        <w:t>对于FDA监管的研究，研究者必须及时获得IRB批准的英语版长表的翻译版本，作为书面摘要。研究者应立即将其提交给IRB审查和批准。一旦翻译版长表／书面摘要被IRB批准，研究者应尽快提供给受试者。FDA认为这一步骤对通过使用书面同意书记录知情同意的要求至关重要，并要提供一份副本给受试者（21 CFR 50.27）。 FDA监管的许多临床研究会涉及持续的干预措施，可能涉及长期随访。FDA认为，长表的翻译件作为向受试者提供他们可理解的持续信息的来源，这种方法至关重要。</w:t>
      </w:r>
    </w:p>
    <w:p w14:paraId="42B0D5BD">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51" w:name="_Toc499801725"/>
      <w:r>
        <w:rPr>
          <w:rFonts w:ascii="Arial" w:hAnsi="Arial" w:eastAsia="宋体" w:cs="Arial"/>
          <w:bCs w:val="0"/>
          <w:snapToGrid w:val="0"/>
          <w:kern w:val="0"/>
          <w:sz w:val="24"/>
          <w:szCs w:val="24"/>
        </w:rPr>
        <w:t>读写能力和算数能力较差的受试者</w:t>
      </w:r>
      <w:bookmarkEnd w:id="51"/>
    </w:p>
    <w:p w14:paraId="2F3E601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虽然一名无法正确读写的合格人员可以给予知情同意并参加临床研究，但申办方、临床研究者和IRB应考虑是否需要对知情同意过程进行修改以确保知情同意过程是可以理解的。</w:t>
      </w:r>
    </w:p>
    <w:p w14:paraId="29596015">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对于读写能力较差的受试者，口头陈述同意书中的内容尤为重要。当知情同意的内容以口头形式传达给受试者或受试者的合法授权代表时，IRB可能要考虑批准使用短表和书面摘要（21 CFR 50.27（b）（2）），其中包括口头陈述知情同意要素的见证人签署同意书（见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III.D.4.b</w:t>
      </w:r>
      <w:r>
        <w:rPr>
          <w:rFonts w:hint="eastAsia" w:ascii="Arial" w:hAnsi="Arial" w:eastAsia="宋体" w:cs="Arial"/>
          <w:snapToGrid w:val="0"/>
          <w:color w:val="3333FF"/>
          <w:kern w:val="0"/>
          <w:u w:val="single"/>
        </w:rPr>
        <w:t>节</w:t>
      </w:r>
      <w:r>
        <w:rPr>
          <w:rFonts w:ascii="Arial" w:hAnsi="Arial" w:eastAsia="宋体" w:cs="Arial"/>
          <w:snapToGrid w:val="0"/>
          <w:kern w:val="0"/>
        </w:rPr>
        <w:t>，短表）。应该注意的是，即使内容是通过口头陈述的，受试者或受试者的合法授权代表也必须在同意书上签字（不论是长表还是短表），除非IRB根据21 CFR 56.109（c）豁免了知情同意文件。</w:t>
      </w:r>
    </w:p>
    <w:p w14:paraId="6E52E7D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不会写字的受试者可以在符合适用的国家法律的情况下，通过在同意书上</w:t>
      </w:r>
      <w:r>
        <w:rPr>
          <w:rFonts w:ascii="宋体" w:hAnsi="宋体" w:eastAsia="宋体" w:cs="Arial"/>
          <w:snapToGrid w:val="0"/>
          <w:kern w:val="0"/>
        </w:rPr>
        <w:t>“</w:t>
      </w:r>
      <w:r>
        <w:rPr>
          <w:rFonts w:ascii="Arial" w:hAnsi="Arial" w:eastAsia="宋体" w:cs="Arial"/>
          <w:snapToGrid w:val="0"/>
          <w:kern w:val="0"/>
        </w:rPr>
        <w:t>做出他们的标记</w:t>
      </w:r>
      <w:r>
        <w:rPr>
          <w:rFonts w:ascii="宋体" w:hAnsi="宋体" w:eastAsia="宋体" w:cs="Arial"/>
          <w:snapToGrid w:val="0"/>
          <w:kern w:val="0"/>
        </w:rPr>
        <w:t>”</w:t>
      </w:r>
      <w:r>
        <w:rPr>
          <w:rFonts w:ascii="Arial" w:hAnsi="Arial" w:eastAsia="宋体" w:cs="Arial"/>
          <w:snapToGrid w:val="0"/>
          <w:kern w:val="0"/>
        </w:rPr>
        <w:t>以示同意。在这种情况下，受试者病历的进度记录中应说明没有签名的原因。</w:t>
      </w:r>
    </w:p>
    <w:p w14:paraId="5C60902A">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52" w:name="_Toc499801726"/>
      <w:r>
        <w:rPr>
          <w:rFonts w:ascii="Arial" w:hAnsi="Arial" w:eastAsia="宋体" w:cs="Arial"/>
          <w:bCs w:val="0"/>
          <w:snapToGrid w:val="0"/>
          <w:kern w:val="0"/>
          <w:sz w:val="24"/>
          <w:szCs w:val="24"/>
        </w:rPr>
        <w:t>身体残障的受试者</w:t>
      </w:r>
      <w:bookmarkEnd w:id="52"/>
    </w:p>
    <w:p w14:paraId="689CE9AA">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身体残障（例如，生理上不能说或写，或失去听力或视力）的人，如果能够符合适用的国家法律，并能够表示同意，则可以参加临床研究。有关临床研究的记录必须包括知情同意过程的文件（21 CFR 50.27），在21 CFR 56.109（c）项下规定的除外。FDA建议，受试者的病历记录应包括描述潜在受试者参加临床研究的具体方式，以及如何回答问题。 FDA建议研究者应适应研究人群的具体需求。例如，研究者可以使用同意书内容的录音带或放大字体的表格（取决于视力受损者的损伤程度）。</w:t>
      </w:r>
    </w:p>
    <w:p w14:paraId="1C907058">
      <w:pPr>
        <w:widowControl w:val="0"/>
        <w:topLinePunct/>
        <w:spacing w:after="244" w:afterLines="75" w:line="288" w:lineRule="auto"/>
        <w:jc w:val="both"/>
        <w:rPr>
          <w:rFonts w:ascii="Arial" w:hAnsi="Arial" w:eastAsia="宋体" w:cs="Arial"/>
          <w:snapToGrid w:val="0"/>
          <w:szCs w:val="24"/>
        </w:rPr>
      </w:pPr>
      <w:r>
        <w:rPr>
          <w:rFonts w:ascii="Arial" w:hAnsi="Arial" w:eastAsia="宋体" w:cs="Arial"/>
          <w:snapToGrid w:val="0"/>
        </w:rPr>
        <w:br w:type="page"/>
      </w:r>
    </w:p>
    <w:p w14:paraId="16C1D8CC">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vertAlign w:val="superscript"/>
        </w:rPr>
      </w:pPr>
      <w:bookmarkStart w:id="53" w:name="_Toc499801727"/>
      <w:r>
        <w:rPr>
          <w:rFonts w:ascii="Arial" w:hAnsi="Arial" w:eastAsia="宋体" w:cs="Arial"/>
          <w:bCs w:val="0"/>
          <w:snapToGrid w:val="0"/>
          <w:kern w:val="0"/>
          <w:sz w:val="24"/>
          <w:szCs w:val="24"/>
        </w:rPr>
        <w:t>同意能力受损</w:t>
      </w:r>
      <w:r>
        <w:rPr>
          <w:rStyle w:val="25"/>
          <w:rFonts w:ascii="Arial" w:hAnsi="Arial" w:eastAsia="宋体" w:cs="Arial"/>
          <w:bCs w:val="0"/>
          <w:snapToGrid w:val="0"/>
          <w:kern w:val="0"/>
          <w:sz w:val="24"/>
          <w:szCs w:val="24"/>
        </w:rPr>
        <w:footnoteReference w:id="54"/>
      </w:r>
      <w:bookmarkEnd w:id="53"/>
    </w:p>
    <w:p w14:paraId="0FC167F8">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能力是一个人理解与决定参加研究相关信息的能力，即衡量参加的风险和收益，赞同可用的替代方案（包括不参加），达成有关参加的知情决定和自愿决定并传达该决定。同意能力也部分取决于个人面临的决策的复杂性，这可能会考虑研究设计、风险和预期收益等因素。</w:t>
      </w:r>
    </w:p>
    <w:p w14:paraId="4A8930C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同意能力受损可能涉及部分受损，随时间而波动的受损或完全受损。例如，同意能力可能受到范围广泛的失常和病情的影响，如痴呆、中风、创伤性脑损伤、发育障碍、严重的精神疾病、中毒和精神错乱。</w:t>
      </w:r>
    </w:p>
    <w:p w14:paraId="21568D3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入组部分受损的受试者可能需要修改同意的形式和过程，以使这些受试者能够根据自己的意愿进行同意。当受试者的同意能力充分受损，以致受试者无法给予法律上有效的知情同意时，除非受试者的合法授权代表代表其做出了同意，否则该受试者不得入组。（21 CFR 50.3（1）和50.20）。</w:t>
      </w:r>
    </w:p>
    <w:p w14:paraId="2146760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FDA法规明确将</w:t>
      </w:r>
      <w:r>
        <w:rPr>
          <w:rFonts w:ascii="宋体" w:hAnsi="宋体" w:eastAsia="宋体" w:cs="Arial"/>
          <w:snapToGrid w:val="0"/>
          <w:kern w:val="0"/>
        </w:rPr>
        <w:t>“</w:t>
      </w:r>
      <w:r>
        <w:rPr>
          <w:rFonts w:ascii="Arial" w:hAnsi="Arial" w:eastAsia="宋体" w:cs="Arial"/>
          <w:snapToGrid w:val="0"/>
          <w:kern w:val="0"/>
        </w:rPr>
        <w:t>智障者</w:t>
      </w:r>
      <w:r>
        <w:rPr>
          <w:rFonts w:ascii="宋体" w:hAnsi="宋体" w:eastAsia="宋体" w:cs="Arial"/>
          <w:snapToGrid w:val="0"/>
          <w:kern w:val="0"/>
        </w:rPr>
        <w:t>”</w:t>
      </w:r>
      <w:r>
        <w:rPr>
          <w:rFonts w:ascii="Arial" w:hAnsi="Arial" w:eastAsia="宋体" w:cs="Arial"/>
          <w:snapToGrid w:val="0"/>
          <w:kern w:val="0"/>
        </w:rPr>
        <w:t>确定为临床研究中易受伤害的受试者，IRB可能需要承担更多责任。（21 CFR 56.107（a）和56.111（b））。例如，在审查涉及可能受到胁迫或不当影响的</w:t>
      </w:r>
      <w:r>
        <w:rPr>
          <w:rFonts w:ascii="宋体" w:hAnsi="宋体" w:eastAsia="宋体" w:cs="Arial"/>
          <w:snapToGrid w:val="0"/>
          <w:kern w:val="0"/>
        </w:rPr>
        <w:t>“</w:t>
      </w:r>
      <w:r>
        <w:rPr>
          <w:rFonts w:ascii="Arial" w:hAnsi="Arial" w:eastAsia="宋体" w:cs="Arial"/>
          <w:snapToGrid w:val="0"/>
          <w:kern w:val="0"/>
        </w:rPr>
        <w:t>智障者</w:t>
      </w:r>
      <w:r>
        <w:rPr>
          <w:rFonts w:ascii="宋体" w:hAnsi="宋体" w:eastAsia="宋体" w:cs="Arial"/>
          <w:snapToGrid w:val="0"/>
          <w:kern w:val="0"/>
        </w:rPr>
        <w:t>”</w:t>
      </w:r>
      <w:r>
        <w:rPr>
          <w:rFonts w:ascii="Arial" w:hAnsi="Arial" w:eastAsia="宋体" w:cs="Arial"/>
          <w:snapToGrid w:val="0"/>
          <w:kern w:val="0"/>
        </w:rPr>
        <w:t>的研究时，IRB必须确保研究中纳入了额外的保障措施，其中可能包括修改知情同意过程、保护受试者的权利和福利。（21 CFR 56.111（b））。</w:t>
      </w:r>
    </w:p>
    <w:p w14:paraId="7A62B47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和研究者应仔细考虑，在研究中纳入缺乏同意能力的人在伦理上是否合适，在科学上是否必要。无论何时，当同意能力受损（部分、波动或完全）的患者被纳入或可能被纳入临床研究时，就会出现道德和程序方面的挑战。可能有助于应对这些挑战并提供额外保障措施的考虑因素包括：</w:t>
      </w:r>
    </w:p>
    <w:p w14:paraId="397B2EF6">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评估潜在受试者的同意能力，例如，通过使用独立的、合格的专业人员</w:t>
      </w:r>
      <w:r>
        <w:rPr>
          <w:rStyle w:val="25"/>
          <w:rFonts w:ascii="Arial" w:hAnsi="Arial" w:eastAsia="宋体" w:cs="Arial"/>
          <w:snapToGrid w:val="0"/>
          <w:kern w:val="0"/>
        </w:rPr>
        <w:footnoteReference w:id="55"/>
      </w:r>
      <w:r>
        <w:rPr>
          <w:rFonts w:ascii="Arial" w:hAnsi="Arial" w:eastAsia="宋体" w:cs="Arial"/>
          <w:snapToGrid w:val="0"/>
          <w:kern w:val="0"/>
        </w:rPr>
        <w:t>和过程，包括：（i）记录能力的要素（如理解信息、表明选择的证据、表明理性的推理、理解情况的性质以及对选择结果的合理理解）；（ii）在同意时、在定期时段以及在受试者的家属对受试者参加的研究表示关注时，进行评估。</w:t>
      </w:r>
    </w:p>
    <w:p w14:paraId="76E1ABD8">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04787B8B">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在决策过程中设置一个等待期，以便有更多时间进行决策。</w:t>
      </w:r>
    </w:p>
    <w:p w14:paraId="79A3E240">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通过（i）简化和／或重复信息，（ii）在分享有关临床研究的信息时，有受试者的律师或可信赖的家庭成员／朋友参加以提供帮助，以及（iii）在可能的情况下避免在损害加重期间进行讨论。</w:t>
      </w:r>
    </w:p>
    <w:p w14:paraId="616177E9">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告知受试者有关临床研究的信息后，应对受试者的理解进行评价，例如通过使用问卷调查表。</w:t>
      </w:r>
    </w:p>
    <w:p w14:paraId="2FA83CE0">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对于患有进行性疾病的受试者，其认知功能可能会下降，在开始临床研究后，应对其同意的能力进行重新评价。</w:t>
      </w:r>
    </w:p>
    <w:p w14:paraId="5EF5A01B">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如果受试者的同意能力减弱，在其入组临床研究开始时或其后，受试者的合法授权代表应加入。</w:t>
      </w:r>
    </w:p>
    <w:p w14:paraId="0871FA67">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评价不能以自己的名义提供合法有效同意的个人，是否可以在研究开始时就给予某种形式的口头同意（如同意），并酌情在整个研究过程中（例如，对于患有进行性疾病的受试者）进行评价，以及如何记录这种口头同意。在这种情况下，合法授权的代表需要提供书面同意并记录。</w:t>
      </w:r>
    </w:p>
    <w:p w14:paraId="70CE5443">
      <w:pPr>
        <w:pStyle w:val="45"/>
        <w:numPr>
          <w:ilvl w:val="0"/>
          <w:numId w:val="25"/>
        </w:numPr>
        <w:shd w:val="clear" w:color="auto" w:fill="auto"/>
        <w:topLinePunct/>
        <w:adjustRightInd w:val="0"/>
        <w:snapToGrid w:val="0"/>
        <w:spacing w:before="0" w:after="244" w:afterLines="75" w:line="288" w:lineRule="auto"/>
        <w:ind w:left="860" w:leftChars="175"/>
        <w:rPr>
          <w:rFonts w:ascii="Arial" w:hAnsi="Arial" w:eastAsia="宋体" w:cs="Arial"/>
          <w:snapToGrid w:val="0"/>
          <w:kern w:val="0"/>
        </w:rPr>
      </w:pPr>
      <w:r>
        <w:rPr>
          <w:rFonts w:ascii="Arial" w:hAnsi="Arial" w:eastAsia="宋体" w:cs="Arial"/>
          <w:snapToGrid w:val="0"/>
          <w:kern w:val="0"/>
        </w:rPr>
        <w:t>确定IRB或第三方是否应遵守同意过程（更多信息请参见</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IV.A.2</w:t>
      </w:r>
      <w:r>
        <w:rPr>
          <w:rFonts w:hint="eastAsia" w:ascii="Arial" w:hAnsi="Arial" w:eastAsia="宋体" w:cs="Arial"/>
          <w:snapToGrid w:val="0"/>
          <w:color w:val="3333FF"/>
          <w:kern w:val="0"/>
          <w:u w:val="single"/>
        </w:rPr>
        <w:t>节</w:t>
      </w:r>
      <w:r>
        <w:rPr>
          <w:rFonts w:ascii="宋体" w:hAnsi="宋体" w:eastAsia="宋体" w:cs="Arial"/>
          <w:snapToGrid w:val="0"/>
          <w:kern w:val="0"/>
        </w:rPr>
        <w:t>“</w:t>
      </w:r>
      <w:r>
        <w:rPr>
          <w:rFonts w:ascii="Arial" w:hAnsi="Arial" w:eastAsia="宋体" w:cs="Arial"/>
          <w:snapToGrid w:val="0"/>
          <w:kern w:val="0"/>
        </w:rPr>
        <w:t>同意过程的审查</w:t>
      </w:r>
      <w:r>
        <w:rPr>
          <w:rFonts w:ascii="宋体" w:hAnsi="宋体" w:eastAsia="宋体" w:cs="Arial"/>
          <w:snapToGrid w:val="0"/>
          <w:kern w:val="0"/>
        </w:rPr>
        <w:t>”</w:t>
      </w:r>
      <w:r>
        <w:rPr>
          <w:rFonts w:ascii="Arial" w:hAnsi="Arial" w:eastAsia="宋体" w:cs="Arial"/>
          <w:snapToGrid w:val="0"/>
          <w:kern w:val="0"/>
        </w:rPr>
        <w:t>）。</w:t>
      </w:r>
    </w:p>
    <w:p w14:paraId="50F8BC60">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54" w:name="_Toc499801728"/>
      <w:r>
        <w:rPr>
          <w:rFonts w:ascii="Arial" w:hAnsi="Arial" w:eastAsia="宋体" w:cs="Arial"/>
          <w:bCs w:val="0"/>
          <w:snapToGrid w:val="0"/>
          <w:kern w:val="0"/>
          <w:sz w:val="24"/>
          <w:szCs w:val="24"/>
        </w:rPr>
        <w:t>儿童受试者</w:t>
      </w:r>
      <w:r>
        <w:rPr>
          <w:rStyle w:val="25"/>
          <w:rFonts w:ascii="Arial" w:hAnsi="Arial" w:eastAsia="宋体" w:cs="Arial"/>
          <w:bCs w:val="0"/>
          <w:snapToGrid w:val="0"/>
          <w:kern w:val="0"/>
          <w:sz w:val="24"/>
          <w:szCs w:val="24"/>
        </w:rPr>
        <w:footnoteReference w:id="56"/>
      </w:r>
      <w:bookmarkEnd w:id="54"/>
    </w:p>
    <w:p w14:paraId="5623754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如果临床研究中有儿童入组，其父母或监护人必须提供许可，并在适当的情况下征得儿童的同意。（21 CFR 50.55）。根据知情同意的要求（21 CFR 50.55（e））</w:t>
      </w:r>
      <w:r>
        <w:rPr>
          <w:rStyle w:val="25"/>
          <w:rFonts w:ascii="Arial" w:hAnsi="Arial" w:eastAsia="宋体" w:cs="Arial"/>
          <w:snapToGrid w:val="0"/>
          <w:kern w:val="0"/>
        </w:rPr>
        <w:footnoteReference w:id="57"/>
      </w:r>
      <w:r>
        <w:rPr>
          <w:rFonts w:ascii="Arial" w:hAnsi="Arial" w:eastAsia="宋体" w:cs="Arial"/>
          <w:snapToGrid w:val="0"/>
          <w:kern w:val="0"/>
        </w:rPr>
        <w:t>，必须取得父母或监护人的许可，并根据21 CFR 50.27进行记录。（21 CFR 50.55（f））。）FDA法规为临床研究中入组的儿童提供的这些保护措施，如21 CFR第50部分的子部分D所述</w:t>
      </w:r>
      <w:r>
        <w:rPr>
          <w:rStyle w:val="25"/>
          <w:rFonts w:ascii="Arial" w:hAnsi="Arial" w:eastAsia="宋体" w:cs="Arial"/>
          <w:snapToGrid w:val="0"/>
          <w:kern w:val="0"/>
        </w:rPr>
        <w:footnoteReference w:id="58"/>
      </w:r>
      <w:r>
        <w:rPr>
          <w:rFonts w:ascii="Arial" w:hAnsi="Arial" w:eastAsia="宋体" w:cs="Arial"/>
          <w:snapToGrid w:val="0"/>
          <w:kern w:val="0"/>
        </w:rPr>
        <w:t>。就知情同意而言，21 CFR 50.23或21 CFR 50.24中的免责条款也适用于对父母许可的要求。</w:t>
      </w:r>
      <w:r>
        <w:rPr>
          <w:rStyle w:val="25"/>
          <w:rFonts w:ascii="Arial" w:hAnsi="Arial" w:eastAsia="宋体" w:cs="Arial"/>
          <w:snapToGrid w:val="0"/>
          <w:kern w:val="0"/>
        </w:rPr>
        <w:footnoteReference w:id="59"/>
      </w:r>
      <w:r>
        <w:rPr>
          <w:rFonts w:ascii="Arial" w:hAnsi="Arial" w:eastAsia="宋体" w:cs="Arial"/>
          <w:snapToGrid w:val="0"/>
          <w:kern w:val="0"/>
        </w:rPr>
        <w:t>（21 CFR 50.55（e））。</w:t>
      </w:r>
    </w:p>
    <w:p w14:paraId="428A906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FDA法规还要求IRB确定同意儿童参加是否是适当的，如下所述。（21 CFR 50.55（a））</w:t>
      </w:r>
    </w:p>
    <w:p w14:paraId="7D1EBD9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IRB可以确定，对于儿童的风险不高于最低限度的临床研究，（21 CFR 50.51），或者对于儿童的风险大于最低限度、但对个体受试者有直接收益前景的临床研究（21 CFR 50.52），一位家长的许可是足够的。（21 CFR 50.55（e）（1））。</w:t>
      </w:r>
    </w:p>
    <w:p w14:paraId="051EC310">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对于由IRB根据21 CFR 50.53或21 CFR 50.54批准的临床研究</w:t>
      </w:r>
      <w:r>
        <w:rPr>
          <w:rStyle w:val="25"/>
          <w:rFonts w:ascii="Arial" w:hAnsi="Arial" w:eastAsia="宋体" w:cs="Arial"/>
          <w:snapToGrid w:val="0"/>
          <w:kern w:val="0"/>
        </w:rPr>
        <w:footnoteReference w:id="60"/>
      </w:r>
      <w:r>
        <w:rPr>
          <w:rFonts w:ascii="Arial" w:hAnsi="Arial" w:eastAsia="宋体" w:cs="Arial"/>
          <w:snapToGrid w:val="0"/>
          <w:kern w:val="0"/>
        </w:rPr>
        <w:t>，需要获得父母的许可，那么父母双方的许可是必需的，除非父母一方死亡、未知、不称职或无法合理可得，或者仅当父母一方对儿童的照顾和监护负有法律责任。（21 CFR 50.55（e）（2））。</w:t>
      </w:r>
    </w:p>
    <w:p w14:paraId="1F5A8BC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在21 CFR 50.20，21 CFR 50.25和21 CFR 50.27中，对知情同意的一般要求适用于父母的许可。（21 CFR 50.55（e））。在获得父母的许可时，如果孩子的父母不懂英语，则必须使用该父母可以理解的语言获得许可并记录。（21 CFR 50.20）。FDA建议，不要让孩子作为翻译者，即使孩子能说流利的英语并可能同意这样做。同样，如果需要孩子的同意，提供给孩子的信息应该是其可以理解的语言。</w:t>
      </w:r>
    </w:p>
    <w:p w14:paraId="7EB51439">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宋体" w:hAnsi="宋体" w:eastAsia="宋体" w:cs="Arial"/>
          <w:snapToGrid w:val="0"/>
          <w:kern w:val="0"/>
        </w:rPr>
        <w:t>“</w:t>
      </w:r>
      <w:r>
        <w:rPr>
          <w:rFonts w:ascii="Arial" w:hAnsi="Arial" w:eastAsia="宋体" w:cs="Arial"/>
          <w:snapToGrid w:val="0"/>
          <w:kern w:val="0"/>
        </w:rPr>
        <w:t>同意</w:t>
      </w:r>
      <w:r>
        <w:rPr>
          <w:rFonts w:ascii="宋体" w:hAnsi="宋体" w:eastAsia="宋体" w:cs="Arial"/>
          <w:snapToGrid w:val="0"/>
          <w:kern w:val="0"/>
        </w:rPr>
        <w:t>”</w:t>
      </w:r>
      <w:r>
        <w:rPr>
          <w:rFonts w:ascii="Arial" w:hAnsi="Arial" w:eastAsia="宋体" w:cs="Arial"/>
          <w:snapToGrid w:val="0"/>
          <w:kern w:val="0"/>
        </w:rPr>
        <w:t>是指孩子参加临床研究的肯定性同意，而不仅仅是不反对。（21 CFR 50.3（n））。合适的情况下，将孩子的同意和父母（或监护人）的许可合在一起符合伦理的要求，以获得知情同意。在不存在豁免同意要求（21 CFR 50.55（d））的情况下，IRB必须确定，在儿童有能力给予同意的情况下（根据IRB的判断），应有适当的规定来征求儿童的同意。（21 CFR 50.55（a））。在决定儿童是否有能力给予同意时，IRB必须考虑参加临床研究的儿童的年龄、成熟度和心理状态。</w:t>
      </w:r>
      <w:r>
        <w:rPr>
          <w:rStyle w:val="25"/>
          <w:rFonts w:ascii="Arial" w:hAnsi="Arial" w:eastAsia="宋体" w:cs="Arial"/>
          <w:snapToGrid w:val="0"/>
          <w:kern w:val="0"/>
        </w:rPr>
        <w:footnoteReference w:id="61"/>
      </w:r>
      <w:r>
        <w:rPr>
          <w:rFonts w:ascii="Arial" w:hAnsi="Arial" w:eastAsia="宋体" w:cs="Arial"/>
          <w:snapToGrid w:val="0"/>
          <w:kern w:val="0"/>
        </w:rPr>
        <w:t>（21 CFR 50.55（b））。如果孩子能够理解干预措施和相关程序，而不需要其为了给予同意而完全理解临床研究。对于一项复杂的临床试验，如果孩子对试验中的干预措施和／或程序（例如抽取血液样本进行检测）表示赞同和同意，则他／她可能能够理解并给予同意，即使他／她可能无法理解随机化的临床试验。</w:t>
      </w:r>
    </w:p>
    <w:p w14:paraId="2ED8F41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IRB可以决定在某些情况下不需要或豁免同意的要求。（21 CFR 50.55（c）和（d））。例如，如果IRB确定参加临床研究的干预措施或程序能够对儿童的健康或福利带来直接收益的前景，且只有在该临床研究的情况下才能获得，那么儿童的同意不是进行临床研究的必要条件。（21 CFR 50.55（c）（2））。另外，如果IRB发现并记录临床研究对受试者的风险不大于最低限度，IRB可以对有能力同意的儿童豁免同意的要求；豁免不会对受试者的权利和福利造成不利影响；没有豁免则临床研究不能切实执行；而且，适当情况下，应在受试者参加之后向其提供更多的相关信息。（21 CFR 50.55（d））。在这种情况下，仍保留对父母的许可要求。</w:t>
      </w:r>
    </w:p>
    <w:p w14:paraId="4E771954">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当IRB确定需要同意时，还必须确定同意是否必须记录以及如何记录。（21 CFR 50.55（g））。在确定同意的形式是以书面形式还是口头形式时，应考虑上文中提到的与确定儿童是否有能力给予同意的一些相同的考虑因素。如果IRB确定口服同意是适当的，则应在与临床研究有关的受试者记录中描述并记录同意过程。对于IRB确定涉及儿童的临床研究需要书面同意的，应按照21 CFR 50.20和50.25的规定，为家长准备一份许可表以便其给予许可，FDA建议为儿童提供一份同意表，用于对临床研究进行概述。</w:t>
      </w:r>
    </w:p>
    <w:p w14:paraId="552379F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FDA不要求使用书面同意表（见21 CFR 50.55（g））；然而，当书面同意程序是适当的或IRB有要求时，FDA强烈鼓励使用单独的</w:t>
      </w:r>
      <w:r>
        <w:rPr>
          <w:rFonts w:ascii="宋体" w:hAnsi="宋体" w:eastAsia="宋体" w:cs="Arial"/>
          <w:snapToGrid w:val="0"/>
          <w:kern w:val="0"/>
        </w:rPr>
        <w:t>“</w:t>
      </w:r>
      <w:r>
        <w:rPr>
          <w:rFonts w:ascii="Arial" w:hAnsi="Arial" w:eastAsia="宋体" w:cs="Arial"/>
          <w:snapToGrid w:val="0"/>
          <w:kern w:val="0"/>
        </w:rPr>
        <w:t>面向儿童的</w:t>
      </w:r>
      <w:r>
        <w:rPr>
          <w:rFonts w:ascii="宋体" w:hAnsi="宋体" w:eastAsia="宋体" w:cs="Arial"/>
          <w:snapToGrid w:val="0"/>
          <w:kern w:val="0"/>
        </w:rPr>
        <w:t>”</w:t>
      </w:r>
      <w:r>
        <w:rPr>
          <w:rFonts w:ascii="Arial" w:hAnsi="Arial" w:eastAsia="宋体" w:cs="Arial"/>
          <w:snapToGrid w:val="0"/>
          <w:kern w:val="0"/>
        </w:rPr>
        <w:t>和经过适当制定的同意表。单独的同意表不需要包括同意书的所有内容，而应该集中在可能会影响孩子参加临床研究意愿的那些方面。</w:t>
      </w:r>
    </w:p>
    <w:p w14:paraId="1BB729E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在国立或任何其他当局、机构或实体的病房中的儿童，只要满足两个条件，即可纳入根据21 CFR 50.53和50.54批准的临床研究。首先，临床研究是：（1）与他们的病房状况有关；或（2）在学校、营地、医院、机构或类似环境中进行的（而不是在病房），其中大多数儿童均作为受试者。（21 CFR 50.56（a）（1）和（2））。换句话说，住院儿童只能参加的临床研究是，其风险大于最低限度，且没有直接收益前景，但可能生成关于受试者疾病或病情的概括性认识。（21 CFR 50.53）。或者，没有其他可批准的临床研究，其提供了一个机会去理解、预防或减轻影响儿童健康或福利的严重问题（21 CFR 50.54），如果可满足这两种情况之一。</w:t>
      </w:r>
    </w:p>
    <w:p w14:paraId="14AD01B8">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52D30077">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其次，如果IRB在确定符合21 CFR 50.56（a）之后，根据21 CFR 50.53或50.54批准了研究，那么IRB必须要求为每名在住院儿童指定一名律师。（21 CFR 50.56（b））。IRB必须确保这样的律师已经到位，但IRB本身并不需要指定律师。该律师可以担任多个孩子的律师，除了代表孩子担任其监护人或代替父母（即，有法定权力和责任代替父母）的任何其他个人。（21 CFR 50.56（b）（1）和（2））。律师必须是有背景和经验的个人，在儿童参加临床研究期间，为儿童的最大收益而行动，以及同意为此而行动。律师具有的适当专业知识可能包括但不限于以下方面的教育和／或经验：儿科医学、法律、儿童辩护、寄养、行为科学或儿童心理学。律师应充分了解拟议的临床研究的潜在风险和收益，以及干预措施可能对每个孩子产生的影响。律师不得与临床研究、研究者或监护人组织有任何关联（除了作为律师或IRB成员的角色）。</w:t>
      </w:r>
    </w:p>
    <w:p w14:paraId="384224A3">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FDA的法规并没有针对根据21 CFR 50.51（即不超过最低风险的研究）或21 CFR 50.52（即研究涉及的风险大于最小风险但表现出直接收益的前景）批准的临床研究中，对于儿童参与者的律师的指定。但是，IRB应该考虑在临床研究中指定一位律师，以确保在参加临床研究的过程中，会有人为住院患儿的最佳收益而行动。在入组任何一名住院患儿进入临床研究前，IRB应确保每个儿童都有一名监护人和／或律师，其具有背景、经验并承诺为保证儿童的最大收益而行动。</w:t>
      </w:r>
    </w:p>
    <w:p w14:paraId="5A30D716">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在整个临床研究期间，父母许可和儿童同意应被视为一个持续的过程。如果一名儿童经过父母的许可被纳入临床研究，当其达到法定的同意年龄时，那么就21 CFR第50部分的子部分D而言，该受试者不再被视为儿童，参见21 CFR 50.3（o），并且，根据21 CFR第50部分的子部分B，在进行涉及该受试者的任何进一步的研究干预和／或程序之前，研究者必须获得该受试者的知情同意。（21 CFR 50.20）</w:t>
      </w:r>
    </w:p>
    <w:p w14:paraId="4A9F13D0">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55" w:name="_Toc499801729"/>
      <w:r>
        <w:rPr>
          <w:rFonts w:ascii="Arial" w:hAnsi="Arial" w:eastAsia="宋体" w:cs="Arial"/>
          <w:bCs w:val="0"/>
          <w:snapToGrid w:val="0"/>
          <w:kern w:val="0"/>
          <w:sz w:val="24"/>
          <w:szCs w:val="24"/>
        </w:rPr>
        <w:t>受试者参加多项临床研究</w:t>
      </w:r>
      <w:bookmarkEnd w:id="55"/>
    </w:p>
    <w:p w14:paraId="44456A1D">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有些受试者可能希望同时参加一个以上的临床试验或多次参加一个临床试验。FDA强烈反对这些做法，因为入组一个以上的临床研究可能会增加受试者的风险，特别是因为他们可能暴露于一种以上的研究用产品，因为这些产品的安全性特征可能不是十分清楚。此外，受试者可能难以理解所有的风险和提出的收益，更不用说满足多个方案的要求。</w:t>
      </w:r>
    </w:p>
    <w:p w14:paraId="1450AA79">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而且，可能存在潜在的药物或器械的相互作用，以及同时使用多个研究用产品可能会混淆临床研究的结果。</w:t>
      </w:r>
    </w:p>
    <w:p w14:paraId="74907F03">
      <w:pPr>
        <w:adjustRightInd/>
        <w:snapToGrid/>
        <w:spacing w:line="240" w:lineRule="auto"/>
        <w:rPr>
          <w:rFonts w:ascii="Arial" w:hAnsi="Arial" w:eastAsia="宋体" w:cs="Arial"/>
          <w:snapToGrid w:val="0"/>
          <w:szCs w:val="24"/>
        </w:rPr>
      </w:pPr>
      <w:r>
        <w:rPr>
          <w:rFonts w:ascii="Arial" w:hAnsi="Arial" w:eastAsia="宋体" w:cs="Arial"/>
          <w:snapToGrid w:val="0"/>
        </w:rPr>
        <w:br w:type="page"/>
      </w:r>
    </w:p>
    <w:p w14:paraId="53086E8E">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申办方通常在方案中包括了与共用药物有关的使用禁止，或限制（通过排除标准）在一定时间段内参加过另一个临床研究的受试者被纳入研究（例如，受试者要经过一个清洗期才可以入组一个新的临床研究）。在禁止共用药物方面暗示的想法是，受试者一次不应参加一个以上的临床研究。研究者应询问多次入组的情况，并在知情同意时和任何知情同意的讨论期间劝阻这种做法。</w:t>
      </w:r>
    </w:p>
    <w:p w14:paraId="56AEBC58">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vertAlign w:val="superscript"/>
        </w:rPr>
      </w:pPr>
      <w:bookmarkStart w:id="56" w:name="_Toc499801730"/>
      <w:r>
        <w:rPr>
          <w:rFonts w:ascii="Arial" w:hAnsi="Arial" w:eastAsia="宋体" w:cs="Arial"/>
          <w:bCs w:val="0"/>
          <w:snapToGrid w:val="0"/>
          <w:kern w:val="0"/>
          <w:sz w:val="24"/>
          <w:szCs w:val="24"/>
        </w:rPr>
        <w:t>研究的暂停／终止</w:t>
      </w:r>
      <w:r>
        <w:rPr>
          <w:rStyle w:val="25"/>
          <w:rFonts w:ascii="Arial" w:hAnsi="Arial" w:eastAsia="宋体" w:cs="Arial"/>
          <w:bCs w:val="0"/>
          <w:snapToGrid w:val="0"/>
          <w:kern w:val="0"/>
          <w:sz w:val="24"/>
          <w:szCs w:val="24"/>
        </w:rPr>
        <w:footnoteReference w:id="62"/>
      </w:r>
      <w:bookmarkEnd w:id="56"/>
    </w:p>
    <w:p w14:paraId="6E3FDBF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临床试验可能由于各种原因而暂停并可能终止，这些原因可能包括识别了一个重大的安全性问题，缺乏有效性或对研究者不当行为的担忧。通常，在首次确定这些问题之一时，研究可能会暂停，同时对问题进行研究。根据所关注的类型和严重程度，可能需要对研究方案或知情同意（由于在上文</w:t>
      </w:r>
      <w:r>
        <w:rPr>
          <w:rFonts w:ascii="Arial" w:hAnsi="Arial" w:eastAsia="宋体" w:cs="Arial"/>
          <w:snapToGrid w:val="0"/>
          <w:color w:val="3333FF"/>
          <w:kern w:val="0"/>
          <w:u w:val="single"/>
        </w:rPr>
        <w:t>III.C.5</w:t>
      </w:r>
      <w:r>
        <w:rPr>
          <w:rFonts w:hint="eastAsia" w:ascii="Arial" w:hAnsi="Arial" w:eastAsia="宋体" w:cs="Arial"/>
          <w:snapToGrid w:val="0"/>
          <w:color w:val="3333FF"/>
          <w:kern w:val="0"/>
          <w:u w:val="single"/>
        </w:rPr>
        <w:t>节</w:t>
      </w:r>
      <w:r>
        <w:rPr>
          <w:rFonts w:ascii="Arial" w:hAnsi="Arial" w:eastAsia="宋体" w:cs="Arial"/>
          <w:snapToGrid w:val="0"/>
          <w:kern w:val="0"/>
        </w:rPr>
        <w:t>中讨论的重大新发现）进行变更，或者可能需要做出决定以终止研究。在其他情况下，申办方可以因为商业原因终止研究或完全放弃产品开发。</w:t>
      </w:r>
    </w:p>
    <w:p w14:paraId="1828A965">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当研究暂停时，IRB、申办方和研究者应考虑是否通知受试者，如果是，何时通知，特别是假如在研究暂停期间可能无法获得完整的信息时。各方都应考虑将与受试者分享哪些信息，以确保他们的权利和福利得到保护，不会处于风险之中，并且在被告知的情况下得到了适当的照顾。有关各方，包括受试者的治疗医师（如果不同于研究者），可能需要酌情确定以下情况是否可以给目前入组的受试者带来最佳收益：（a）继续在当前的研究中心接受对受试者施用的干预措施，（b）转移到另一个研究中心，以使受试者可以继续参加研究，或（c）在研究内容之外转换药物治疗。例如，当供试品对研究受试者有直接收益的前景或当暂停供试品会对研究受试者造成风险增加时，受试者继续使用供试品可能是适当的。一般而言，应该将与有关这些考虑的信息与受试者分享，以便他们了解影响他们参加研究的变化，并可以让他们对继续参加做出明智的决定。</w:t>
      </w:r>
    </w:p>
    <w:p w14:paraId="20EA424F">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如果一项研究被终止，应该向研究受试者提供尽可能多的有关终止原因的信息。这种讨论不仅认可了他们参加研究的价值，而且有助于解释由于他们愿意参加临床研究而获得的信息的科学价值。此外，这样的讨论提供了一个机会，可以解决受试者可能关于对其施用的研究用产品的问题（例如，即刻的安全性问题，是否能够参加另一项临床试验及适当的等待期），以及长期随访可能到什么程度或必要性。如果研究终止的原因涉及可能影响研究受试者未来治疗的安全性问题，则需要与受试者以及若可能的话与受试者的初级治疗者讨论适当的随访程序。</w:t>
      </w:r>
    </w:p>
    <w:p w14:paraId="1D7818A9">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__________________</w:t>
      </w:r>
    </w:p>
    <w:p w14:paraId="1AB29FD7">
      <w:pPr>
        <w:pStyle w:val="47"/>
        <w:numPr>
          <w:ilvl w:val="0"/>
          <w:numId w:val="21"/>
        </w:numPr>
        <w:shd w:val="clear" w:color="auto" w:fill="auto"/>
        <w:topLinePunct/>
        <w:adjustRightInd w:val="0"/>
        <w:snapToGrid w:val="0"/>
        <w:spacing w:after="244" w:afterLines="75" w:line="288" w:lineRule="auto"/>
        <w:ind w:left="357" w:hanging="357"/>
        <w:jc w:val="both"/>
        <w:outlineLvl w:val="1"/>
        <w:rPr>
          <w:rFonts w:ascii="Arial" w:hAnsi="Arial" w:eastAsia="宋体" w:cs="Arial"/>
          <w:bCs w:val="0"/>
          <w:snapToGrid w:val="0"/>
          <w:kern w:val="0"/>
          <w:sz w:val="24"/>
          <w:szCs w:val="24"/>
        </w:rPr>
      </w:pPr>
      <w:bookmarkStart w:id="57" w:name="_Toc499801731"/>
      <w:r>
        <w:rPr>
          <w:rFonts w:ascii="Arial" w:hAnsi="Arial" w:eastAsia="宋体" w:cs="Arial"/>
          <w:bCs w:val="0"/>
          <w:snapToGrid w:val="0"/>
          <w:kern w:val="0"/>
          <w:sz w:val="24"/>
          <w:szCs w:val="24"/>
        </w:rPr>
        <w:t>受试者退出时的数据保留</w:t>
      </w:r>
      <w:bookmarkEnd w:id="57"/>
    </w:p>
    <w:p w14:paraId="0C44593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根据FDA法规，直到受试者退出临床研究时所收集的数据必须保留在研究数据库中</w:t>
      </w:r>
      <w:r>
        <w:rPr>
          <w:rStyle w:val="25"/>
          <w:rFonts w:ascii="Arial" w:hAnsi="Arial" w:eastAsia="宋体" w:cs="Arial"/>
          <w:snapToGrid w:val="0"/>
          <w:kern w:val="0"/>
        </w:rPr>
        <w:footnoteReference w:id="63"/>
      </w:r>
      <w:r>
        <w:rPr>
          <w:rFonts w:ascii="Arial" w:hAnsi="Arial" w:eastAsia="宋体" w:cs="Arial"/>
          <w:snapToGrid w:val="0"/>
          <w:kern w:val="0"/>
        </w:rPr>
        <w:t>，见21 CFR 312.62（b）和812.140 （a）（3）。如果一例受试者退出研究，就删除其已经收集的数据，可能会破坏研究的科学性，从而破坏了研究的伦理和完整性。这种数据的删除也可能使入组的受试者、未来的受试者和上市产品的最终用户处于不合理的风险中，并可能损害 FDA通过保证其监管的产品的安全性和有效性来履行其使命以保护公共健康和安全的能力。</w:t>
      </w:r>
    </w:p>
    <w:p w14:paraId="627426F9">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在同意文件中应当告知受试者，数据的收集会一直到他们退出研究时，并保留在研究数据库成为数据库的一部分，不能被删除。研究者应询问一名正要退出的受试者，是否希望仅从研究干预中退出，而愿意继续就相关的临床结局信息进行临床研究的随访。如果受试者从临床研究的干预部分退出，但同意进行继续随访（未在原始同意书中涉及），则研究者必须为该项限定的参与而使用IRB批准的同意书，获得受试者的知情同意。（21 CFR 50.25（a）（1））。如果受试者退出临床研究的干预部分，并且不同意继续随访相关的临床结局信息，则研究者不得访问受试者的病历或其他保密记录，这将需要该受试者的额外同意。（21 CFR 50.20和50.25 （a）（1））。但是，这些记录可以在符合原知情同意过程的情况下获取，而无需额外的同意，以获得受试者在退出研究之前收集的信息。</w:t>
      </w:r>
    </w:p>
    <w:p w14:paraId="75696912">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研究者可以查阅公开可用的信息来源，以确定受试者在退出临床研究后的生存状态（以及死因，如果死亡）。这项行动不需要征得受试者的同意，因为这些信息是公开的。</w:t>
      </w:r>
    </w:p>
    <w:p w14:paraId="746898B6">
      <w:pPr>
        <w:pStyle w:val="47"/>
        <w:shd w:val="clear" w:color="auto" w:fill="auto"/>
        <w:topLinePunct/>
        <w:adjustRightInd w:val="0"/>
        <w:snapToGrid w:val="0"/>
        <w:spacing w:after="244" w:afterLines="75" w:line="288" w:lineRule="auto"/>
        <w:jc w:val="both"/>
        <w:outlineLvl w:val="1"/>
        <w:rPr>
          <w:rFonts w:ascii="Arial" w:hAnsi="Arial" w:eastAsia="宋体" w:cs="Arial"/>
          <w:bCs w:val="0"/>
          <w:snapToGrid w:val="0"/>
          <w:kern w:val="0"/>
          <w:sz w:val="24"/>
          <w:szCs w:val="24"/>
        </w:rPr>
      </w:pPr>
      <w:bookmarkStart w:id="58" w:name="_Toc499801732"/>
      <w:r>
        <w:rPr>
          <w:rFonts w:ascii="Arial" w:hAnsi="Arial" w:eastAsia="宋体" w:cs="Arial"/>
          <w:bCs w:val="0"/>
          <w:snapToGrid w:val="0"/>
          <w:kern w:val="0"/>
          <w:sz w:val="24"/>
          <w:szCs w:val="24"/>
        </w:rPr>
        <w:t>K.</w:t>
      </w:r>
      <w:r>
        <w:rPr>
          <w:rFonts w:hint="eastAsia" w:ascii="Arial" w:hAnsi="Arial" w:eastAsia="宋体" w:cs="Arial"/>
          <w:bCs w:val="0"/>
          <w:snapToGrid w:val="0"/>
          <w:kern w:val="0"/>
          <w:sz w:val="24"/>
          <w:szCs w:val="24"/>
        </w:rPr>
        <w:tab/>
      </w:r>
      <w:r>
        <w:rPr>
          <w:rFonts w:ascii="Arial" w:hAnsi="Arial" w:eastAsia="宋体" w:cs="Arial"/>
          <w:bCs w:val="0"/>
          <w:snapToGrid w:val="0"/>
          <w:kern w:val="0"/>
          <w:sz w:val="24"/>
          <w:szCs w:val="24"/>
        </w:rPr>
        <w:t>报告临床研究的综合结果</w:t>
      </w:r>
      <w:bookmarkEnd w:id="58"/>
    </w:p>
    <w:p w14:paraId="1AF6742C">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FDA认为，受试者经常对他们所参加的临床研究的综合结果感兴趣，综合研究结果应以清晰易懂的方式反馈给受试者。 FDAAA第八章中，要求药品、器械和生物制剂的某些临床试验（在FDAAA中称为</w:t>
      </w:r>
      <w:r>
        <w:rPr>
          <w:rFonts w:ascii="宋体" w:hAnsi="宋体" w:eastAsia="宋体" w:cs="Arial"/>
          <w:snapToGrid w:val="0"/>
          <w:kern w:val="0"/>
        </w:rPr>
        <w:t>“</w:t>
      </w:r>
      <w:r>
        <w:rPr>
          <w:rFonts w:ascii="Arial" w:hAnsi="Arial" w:eastAsia="宋体" w:cs="Arial"/>
          <w:snapToGrid w:val="0"/>
          <w:kern w:val="0"/>
        </w:rPr>
        <w:t>适用的临床试验</w:t>
      </w:r>
      <w:r>
        <w:rPr>
          <w:rFonts w:ascii="宋体" w:hAnsi="宋体" w:eastAsia="宋体" w:cs="Arial"/>
          <w:snapToGrid w:val="0"/>
          <w:kern w:val="0"/>
        </w:rPr>
        <w:t>”</w:t>
      </w:r>
      <w:r>
        <w:rPr>
          <w:rFonts w:ascii="Arial" w:hAnsi="Arial" w:eastAsia="宋体" w:cs="Arial"/>
          <w:snapToGrid w:val="0"/>
          <w:kern w:val="0"/>
        </w:rPr>
        <w:t>）的</w:t>
      </w:r>
      <w:r>
        <w:rPr>
          <w:rFonts w:ascii="宋体" w:hAnsi="宋体" w:eastAsia="宋体" w:cs="Arial"/>
          <w:snapToGrid w:val="0"/>
          <w:kern w:val="0"/>
        </w:rPr>
        <w:t>“</w:t>
      </w:r>
      <w:r>
        <w:rPr>
          <w:rFonts w:ascii="Arial" w:hAnsi="Arial" w:eastAsia="宋体" w:cs="Arial"/>
          <w:snapToGrid w:val="0"/>
          <w:kern w:val="0"/>
        </w:rPr>
        <w:t>责任方</w:t>
      </w:r>
      <w:r>
        <w:rPr>
          <w:rFonts w:ascii="宋体" w:hAnsi="宋体" w:eastAsia="宋体" w:cs="Arial"/>
          <w:snapToGrid w:val="0"/>
          <w:kern w:val="0"/>
        </w:rPr>
        <w:t>”</w:t>
      </w:r>
      <w:r>
        <w:rPr>
          <w:rFonts w:ascii="Arial" w:hAnsi="Arial" w:eastAsia="宋体" w:cs="Arial"/>
          <w:snapToGrid w:val="0"/>
          <w:kern w:val="0"/>
        </w:rPr>
        <w:t>（通常是申办方或主要研究者）要在一定时间内，登录政府运作的临床试验数据库</w:t>
      </w:r>
      <w:r>
        <w:fldChar w:fldCharType="begin"/>
      </w:r>
      <w:r>
        <w:instrText xml:space="preserve"> HYPERLINK "http://www.ClinicalTrials.gov" </w:instrText>
      </w:r>
      <w:r>
        <w:fldChar w:fldCharType="separate"/>
      </w:r>
      <w:r>
        <w:rPr>
          <w:rStyle w:val="24"/>
          <w:rFonts w:ascii="Arial" w:hAnsi="Arial" w:eastAsia="宋体" w:cs="Arial"/>
          <w:snapToGrid w:val="0"/>
          <w:color w:val="auto"/>
          <w:kern w:val="0"/>
          <w:u w:val="none"/>
        </w:rPr>
        <w:t>www.ClinicalTrials.gov</w:t>
      </w:r>
      <w:r>
        <w:rPr>
          <w:rStyle w:val="24"/>
          <w:rFonts w:ascii="Arial" w:hAnsi="Arial" w:eastAsia="宋体" w:cs="Arial"/>
          <w:snapToGrid w:val="0"/>
          <w:color w:val="auto"/>
          <w:kern w:val="0"/>
          <w:u w:val="none"/>
        </w:rPr>
        <w:fldChar w:fldCharType="end"/>
      </w:r>
      <w:r>
        <w:rPr>
          <w:rFonts w:hint="eastAsia" w:ascii="Arial" w:hAnsi="Arial" w:eastAsia="宋体" w:cs="Arial"/>
          <w:snapToGrid w:val="0"/>
          <w:kern w:val="0"/>
        </w:rPr>
        <w:t>，</w:t>
      </w:r>
      <w:r>
        <w:rPr>
          <w:rFonts w:ascii="Arial" w:hAnsi="Arial" w:eastAsia="宋体" w:cs="Arial"/>
          <w:snapToGrid w:val="0"/>
          <w:kern w:val="0"/>
        </w:rPr>
        <w:t>注册试验并提交总结结果</w:t>
      </w:r>
      <w:r>
        <w:rPr>
          <w:rStyle w:val="25"/>
          <w:rFonts w:ascii="Arial" w:hAnsi="Arial" w:eastAsia="宋体" w:cs="Arial"/>
          <w:snapToGrid w:val="0"/>
          <w:kern w:val="0"/>
        </w:rPr>
        <w:footnoteReference w:id="64"/>
      </w:r>
      <w:r>
        <w:rPr>
          <w:rFonts w:ascii="Arial" w:hAnsi="Arial" w:eastAsia="宋体" w:cs="Arial"/>
          <w:snapToGrid w:val="0"/>
          <w:kern w:val="0"/>
        </w:rPr>
        <w:t>，这些临床试验的总结结果将在数据库中公布</w:t>
      </w:r>
      <w:r>
        <w:rPr>
          <w:rStyle w:val="25"/>
          <w:rFonts w:ascii="Arial" w:hAnsi="Arial" w:eastAsia="宋体" w:cs="Arial"/>
          <w:snapToGrid w:val="0"/>
          <w:kern w:val="0"/>
        </w:rPr>
        <w:footnoteReference w:id="65"/>
      </w:r>
      <w:r>
        <w:rPr>
          <w:rFonts w:ascii="Arial" w:hAnsi="Arial" w:eastAsia="宋体" w:cs="Arial"/>
          <w:snapToGrid w:val="0"/>
          <w:kern w:val="0"/>
        </w:rPr>
        <w:t>。正如本指南的</w:t>
      </w:r>
      <w:r>
        <w:rPr>
          <w:rFonts w:hint="eastAsia" w:ascii="Arial" w:hAnsi="Arial" w:eastAsia="宋体" w:cs="Arial"/>
          <w:snapToGrid w:val="0"/>
          <w:color w:val="3333FF"/>
          <w:kern w:val="0"/>
          <w:u w:val="single"/>
        </w:rPr>
        <w:t>第</w:t>
      </w:r>
      <w:r>
        <w:rPr>
          <w:rFonts w:ascii="Arial" w:hAnsi="Arial" w:eastAsia="宋体" w:cs="Arial"/>
          <w:snapToGrid w:val="0"/>
          <w:color w:val="3333FF"/>
          <w:kern w:val="0"/>
          <w:u w:val="single"/>
        </w:rPr>
        <w:t>III D</w:t>
      </w:r>
      <w:r>
        <w:rPr>
          <w:rFonts w:hint="eastAsia" w:ascii="Arial" w:hAnsi="Arial" w:eastAsia="宋体" w:cs="Arial"/>
          <w:snapToGrid w:val="0"/>
          <w:color w:val="3333FF"/>
          <w:kern w:val="0"/>
          <w:u w:val="single"/>
        </w:rPr>
        <w:t>部分</w:t>
      </w:r>
      <w:r>
        <w:rPr>
          <w:rFonts w:ascii="Arial" w:hAnsi="Arial" w:eastAsia="宋体" w:cs="Arial"/>
          <w:snapToGrid w:val="0"/>
          <w:kern w:val="0"/>
        </w:rPr>
        <w:t>（</w:t>
      </w:r>
      <w:r>
        <w:rPr>
          <w:rFonts w:ascii="宋体" w:hAnsi="宋体" w:eastAsia="宋体" w:cs="Arial"/>
          <w:snapToGrid w:val="0"/>
          <w:kern w:val="0"/>
        </w:rPr>
        <w:t>“</w:t>
      </w:r>
      <w:r>
        <w:rPr>
          <w:rFonts w:ascii="Arial" w:hAnsi="Arial" w:eastAsia="宋体" w:cs="Arial"/>
          <w:snapToGrid w:val="0"/>
          <w:kern w:val="0"/>
        </w:rPr>
        <w:t>适用的临床试验</w:t>
      </w:r>
      <w:r>
        <w:rPr>
          <w:rFonts w:ascii="宋体" w:hAnsi="宋体" w:eastAsia="宋体" w:cs="Arial"/>
          <w:snapToGrid w:val="0"/>
          <w:kern w:val="0"/>
        </w:rPr>
        <w:t>”</w:t>
      </w:r>
      <w:r>
        <w:rPr>
          <w:rFonts w:ascii="Arial" w:hAnsi="Arial" w:eastAsia="宋体" w:cs="Arial"/>
          <w:snapToGrid w:val="0"/>
          <w:kern w:val="0"/>
        </w:rPr>
        <w:t>的知情同意要素）中所说明的，FDA已经颁布了最终法规</w:t>
      </w:r>
      <w:r>
        <w:rPr>
          <w:rStyle w:val="25"/>
          <w:rFonts w:ascii="Arial" w:hAnsi="Arial" w:eastAsia="宋体" w:cs="Arial"/>
          <w:snapToGrid w:val="0"/>
          <w:kern w:val="0"/>
        </w:rPr>
        <w:footnoteReference w:id="66"/>
      </w:r>
      <w:r>
        <w:rPr>
          <w:rFonts w:ascii="Arial" w:hAnsi="Arial" w:eastAsia="宋体" w:cs="Arial"/>
          <w:snapToGrid w:val="0"/>
          <w:kern w:val="0"/>
        </w:rPr>
        <w:t>，修订了知情同意法规（21 CFR 50.25），要求在适用的药品、生物制剂和器械的临床试验知情同意文件中包括该法规中提供的特定声明，声明这种临床研究的临床试验信息将可见</w:t>
      </w:r>
      <w:r>
        <w:rPr>
          <w:rFonts w:hint="eastAsia" w:ascii="Arial" w:hAnsi="Arial" w:eastAsia="宋体" w:cs="Arial"/>
          <w:snapToGrid w:val="0"/>
          <w:kern w:val="0"/>
        </w:rPr>
        <w:t>于</w:t>
      </w:r>
      <w:r>
        <w:fldChar w:fldCharType="begin"/>
      </w:r>
      <w:r>
        <w:instrText xml:space="preserve"> HYPERLINK "http://www.ClinicalTrials.gov" </w:instrText>
      </w:r>
      <w:r>
        <w:fldChar w:fldCharType="separate"/>
      </w:r>
      <w:r>
        <w:rPr>
          <w:rStyle w:val="24"/>
          <w:rFonts w:ascii="Arial" w:hAnsi="Arial" w:eastAsia="宋体" w:cs="Arial"/>
          <w:snapToGrid w:val="0"/>
          <w:color w:val="auto"/>
          <w:kern w:val="0"/>
          <w:u w:val="none"/>
        </w:rPr>
        <w:t>www.ClinicalTrials.gov</w:t>
      </w:r>
      <w:r>
        <w:rPr>
          <w:rStyle w:val="24"/>
          <w:rFonts w:ascii="Arial" w:hAnsi="Arial" w:eastAsia="宋体" w:cs="Arial"/>
          <w:snapToGrid w:val="0"/>
          <w:color w:val="auto"/>
          <w:kern w:val="0"/>
          <w:u w:val="none"/>
        </w:rPr>
        <w:fldChar w:fldCharType="end"/>
      </w:r>
      <w:r>
        <w:rPr>
          <w:rFonts w:ascii="Arial" w:hAnsi="Arial" w:eastAsia="宋体" w:cs="Arial"/>
          <w:snapToGrid w:val="0"/>
          <w:kern w:val="0"/>
        </w:rPr>
        <w:t>，该网站将不会包含可识别个体参加者的信息。</w:t>
      </w:r>
    </w:p>
    <w:p w14:paraId="69639C51">
      <w:pPr>
        <w:pStyle w:val="45"/>
        <w:shd w:val="clear" w:color="auto" w:fill="auto"/>
        <w:topLinePunct/>
        <w:adjustRightInd w:val="0"/>
        <w:snapToGrid w:val="0"/>
        <w:spacing w:before="0" w:after="244" w:afterLines="75" w:line="288" w:lineRule="auto"/>
        <w:ind w:firstLine="0"/>
        <w:rPr>
          <w:rFonts w:ascii="Arial" w:hAnsi="Arial" w:eastAsia="宋体" w:cs="Arial"/>
          <w:snapToGrid w:val="0"/>
          <w:kern w:val="0"/>
        </w:rPr>
      </w:pPr>
      <w:r>
        <w:rPr>
          <w:rFonts w:ascii="Arial" w:hAnsi="Arial" w:eastAsia="宋体" w:cs="Arial"/>
          <w:snapToGrid w:val="0"/>
          <w:kern w:val="0"/>
        </w:rPr>
        <w:t>对于不属于</w:t>
      </w:r>
      <w:r>
        <w:rPr>
          <w:rFonts w:ascii="宋体" w:hAnsi="宋体" w:eastAsia="宋体" w:cs="Arial"/>
          <w:snapToGrid w:val="0"/>
          <w:kern w:val="0"/>
        </w:rPr>
        <w:t>“</w:t>
      </w:r>
      <w:r>
        <w:rPr>
          <w:rFonts w:ascii="Arial" w:hAnsi="Arial" w:eastAsia="宋体" w:cs="Arial"/>
          <w:snapToGrid w:val="0"/>
          <w:kern w:val="0"/>
        </w:rPr>
        <w:t>适用的临床试验</w:t>
      </w:r>
      <w:r>
        <w:rPr>
          <w:rFonts w:ascii="宋体" w:hAnsi="宋体" w:eastAsia="宋体" w:cs="Arial"/>
          <w:snapToGrid w:val="0"/>
          <w:kern w:val="0"/>
        </w:rPr>
        <w:t>”</w:t>
      </w:r>
      <w:r>
        <w:rPr>
          <w:rFonts w:ascii="Arial" w:hAnsi="Arial" w:eastAsia="宋体" w:cs="Arial"/>
          <w:snapToGrid w:val="0"/>
          <w:kern w:val="0"/>
        </w:rPr>
        <w:t>的临床试验，根据FDAAA的第八章，申办方或主要研究者可自愿在数据库登记并报告结果。如果申办方或主要研究者计划自愿提交试验结果，则没有任何事情可以阻止研究者、申办方或IRB通知潜在受试者计划以适当的方式提交这些信息。知情同意书可以指导受试者登录www.ClinicalTrials.gov，在此，受试者可以获得某些综合研究结果。研究者和申办方可以在同意文件中对其他计划进行说明，以便通知受试者临床研究的结局。</w:t>
      </w:r>
    </w:p>
    <w:p w14:paraId="4071CB5B">
      <w:pPr>
        <w:widowControl w:val="0"/>
        <w:topLinePunct/>
        <w:spacing w:after="244" w:afterLines="75" w:line="288" w:lineRule="auto"/>
        <w:jc w:val="both"/>
        <w:rPr>
          <w:rFonts w:ascii="Arial" w:hAnsi="Arial" w:eastAsia="宋体" w:cs="Arial"/>
          <w:b/>
          <w:bCs/>
          <w:snapToGrid w:val="0"/>
          <w:szCs w:val="24"/>
        </w:rPr>
      </w:pPr>
    </w:p>
    <w:p w14:paraId="53E68448">
      <w:pPr>
        <w:widowControl w:val="0"/>
        <w:pBdr>
          <w:top w:val="single" w:color="auto" w:sz="4" w:space="1"/>
        </w:pBdr>
        <w:topLinePunct/>
        <w:spacing w:after="244" w:afterLines="75" w:line="288" w:lineRule="auto"/>
        <w:jc w:val="center"/>
        <w:rPr>
          <w:rFonts w:hint="eastAsia" w:eastAsia="宋体"/>
          <w:lang w:eastAsia="zh-CN"/>
        </w:rPr>
      </w:pPr>
    </w:p>
    <w:p w14:paraId="15CFA494">
      <w:pPr>
        <w:widowControl w:val="0"/>
        <w:pBdr>
          <w:top w:val="single" w:color="auto" w:sz="4" w:space="1"/>
        </w:pBdr>
        <w:topLinePunct/>
        <w:spacing w:after="244" w:afterLines="75" w:line="288" w:lineRule="auto"/>
        <w:jc w:val="center"/>
        <w:rPr>
          <w:rFonts w:hint="eastAsia" w:eastAsia="宋体"/>
          <w:lang w:eastAsia="zh-CN"/>
        </w:rPr>
      </w:pPr>
    </w:p>
    <w:p w14:paraId="4FED9310">
      <w:pPr>
        <w:widowControl w:val="0"/>
        <w:pBdr>
          <w:top w:val="single" w:color="auto" w:sz="4" w:space="1"/>
        </w:pBdr>
        <w:topLinePunct/>
        <w:spacing w:after="24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8" w:type="default"/>
      <w:footerReference r:id="rId9" w:type="default"/>
      <w:pgSz w:w="11906" w:h="16838"/>
      <w:pgMar w:top="1134" w:right="1440" w:bottom="1134" w:left="1440" w:header="720" w:footer="72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6BD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E9FB">
    <w:pPr>
      <w:pStyle w:val="16"/>
      <w:jc w:val="center"/>
      <w:rPr>
        <w:rFonts w:ascii="Arial" w:hAnsi="Arial" w:cs="Arial"/>
        <w:sz w:val="21"/>
      </w:rPr>
    </w:pPr>
  </w:p>
  <w:p w14:paraId="3C970C0C">
    <w:pPr>
      <w:pStyle w:val="16"/>
      <w:jc w:val="center"/>
      <w:rPr>
        <w:rFonts w:ascii="Arial" w:hAnsi="Arial" w:cs="Arial"/>
        <w:sz w:val="21"/>
      </w:rPr>
    </w:pPr>
    <w:r>
      <w:rPr>
        <w:rFonts w:ascii="Arial" w:hAnsi="Arial" w:cs="Arial"/>
        <w:sz w:val="21"/>
      </w:rPr>
      <w:fldChar w:fldCharType="begin"/>
    </w:r>
    <w:r>
      <w:rPr>
        <w:rFonts w:ascii="Arial" w:hAnsi="Arial" w:cs="Arial"/>
        <w:sz w:val="21"/>
      </w:rPr>
      <w:instrText xml:space="preserve">PAGE   \* MERGEFORMAT</w:instrText>
    </w:r>
    <w:r>
      <w:rPr>
        <w:rFonts w:ascii="Arial" w:hAnsi="Arial" w:cs="Arial"/>
        <w:sz w:val="21"/>
      </w:rPr>
      <w:fldChar w:fldCharType="separate"/>
    </w:r>
    <w:r>
      <w:rPr>
        <w:rFonts w:ascii="Arial" w:hAnsi="Arial" w:cs="Arial"/>
        <w:sz w:val="21"/>
        <w:lang w:val="zh-CN"/>
      </w:rPr>
      <w:t>42</w:t>
    </w:r>
    <w:r>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34">
    <w:p>
      <w:pPr>
        <w:spacing w:line="360" w:lineRule="auto"/>
      </w:pPr>
      <w:r>
        <w:separator/>
      </w:r>
    </w:p>
  </w:footnote>
  <w:footnote w:type="continuationSeparator" w:id="135">
    <w:p>
      <w:pPr>
        <w:spacing w:line="360" w:lineRule="auto"/>
      </w:pPr>
      <w:r>
        <w:continuationSeparator/>
      </w:r>
    </w:p>
  </w:footnote>
  <w:footnote w:id="0">
    <w:p w14:paraId="7733BA18">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本指导性文件由医疗产品和烟草局（OMPT）、良好实验管理规范办公室（OGCP）、生物制剂评估和研究中心（CBER）、器械和放射卫生中心（CDRH)以及药品评估与研究中心（CDER）制定。</w:t>
      </w:r>
    </w:p>
  </w:footnote>
  <w:footnote w:id="1">
    <w:p w14:paraId="376A939A">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21 CFR第50部分</w:t>
      </w:r>
      <w:r>
        <w:rPr>
          <w:rFonts w:ascii="宋体" w:hAnsi="宋体" w:eastAsia="宋体" w:cs="Arial"/>
          <w:snapToGrid w:val="0"/>
          <w:sz w:val="21"/>
          <w:szCs w:val="21"/>
        </w:rPr>
        <w:t>“</w:t>
      </w:r>
      <w:r>
        <w:rPr>
          <w:rFonts w:ascii="Arial" w:hAnsi="Arial" w:eastAsia="宋体" w:cs="Arial"/>
          <w:snapToGrid w:val="0"/>
          <w:sz w:val="21"/>
          <w:szCs w:val="21"/>
        </w:rPr>
        <w:t>适用于美国食品药品监督管理局根据联邦食品、药品和化妆品法案第505（i）和520（g）节进行监管的所有临床研究，以及用于支持美国食品药品监督管理局监管产品的研究申请或上市申请所进行的临床研究，包括食品</w:t>
      </w:r>
      <w:r>
        <w:rPr>
          <w:rFonts w:hint="eastAsia" w:ascii="Arial" w:hAnsi="Arial" w:eastAsia="宋体" w:cs="Arial"/>
          <w:snapToGrid w:val="0"/>
          <w:sz w:val="21"/>
          <w:szCs w:val="21"/>
        </w:rPr>
        <w:t>、</w:t>
      </w:r>
      <w:r>
        <w:rPr>
          <w:rFonts w:ascii="Arial" w:hAnsi="Arial" w:eastAsia="宋体" w:cs="Arial"/>
          <w:snapToGrid w:val="0"/>
          <w:sz w:val="21"/>
          <w:szCs w:val="21"/>
        </w:rPr>
        <w:t>膳食补充剂，对营养素含量有要求或有健康要求的食品，婴儿配方食品和食品添加剂，食品和色素添加剂，人用药品，人用医疗器械，人用生物制剂和电子产品</w:t>
      </w:r>
      <w:r>
        <w:rPr>
          <w:rFonts w:ascii="宋体" w:hAnsi="宋体" w:eastAsia="宋体" w:cs="Arial"/>
          <w:snapToGrid w:val="0"/>
          <w:sz w:val="21"/>
          <w:szCs w:val="21"/>
        </w:rPr>
        <w:t>”</w:t>
      </w:r>
      <w:r>
        <w:rPr>
          <w:rFonts w:ascii="Arial" w:hAnsi="Arial" w:eastAsia="宋体" w:cs="Arial"/>
          <w:snapToGrid w:val="0"/>
          <w:sz w:val="21"/>
          <w:szCs w:val="21"/>
        </w:rPr>
        <w:t>（21 CFR 50.1）。</w:t>
      </w:r>
    </w:p>
  </w:footnote>
  <w:footnote w:id="2">
    <w:p w14:paraId="41E0D71F">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更多信息请参见FDA信息表</w:t>
      </w:r>
      <w:r>
        <w:rPr>
          <w:rFonts w:ascii="宋体" w:hAnsi="宋体" w:eastAsia="宋体" w:cs="Arial"/>
          <w:snapToGrid w:val="0"/>
          <w:sz w:val="21"/>
          <w:szCs w:val="21"/>
        </w:rPr>
        <w:t>“</w:t>
      </w:r>
      <w:r>
        <w:rPr>
          <w:rFonts w:ascii="Arial" w:hAnsi="Arial" w:eastAsia="宋体" w:cs="Arial"/>
          <w:snapToGrid w:val="0"/>
          <w:sz w:val="21"/>
          <w:szCs w:val="21"/>
        </w:rPr>
        <w:t>研究受试者的招募</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"http://www.fda.gov/RegulatoryInformation/Guidances/ucm126428.htm"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//www.fda.gov/RegulatoryInformation/Guidances/ucm126428.htm</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3">
    <w:p w14:paraId="3E112757">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当知情同意要素以口头形式向受试者陈述时，法规允许使用</w:t>
      </w:r>
      <w:r>
        <w:rPr>
          <w:rFonts w:ascii="宋体" w:hAnsi="宋体" w:eastAsia="宋体" w:cs="Arial"/>
          <w:snapToGrid w:val="0"/>
          <w:sz w:val="21"/>
          <w:szCs w:val="21"/>
        </w:rPr>
        <w:t>“</w:t>
      </w:r>
      <w:r>
        <w:rPr>
          <w:rFonts w:ascii="Arial" w:hAnsi="Arial" w:eastAsia="宋体" w:cs="Arial"/>
          <w:snapToGrid w:val="0"/>
          <w:sz w:val="21"/>
          <w:szCs w:val="21"/>
        </w:rPr>
        <w:t>短表</w:t>
      </w:r>
      <w:r>
        <w:rPr>
          <w:rFonts w:ascii="宋体" w:hAnsi="宋体" w:eastAsia="宋体" w:cs="Arial"/>
          <w:snapToGrid w:val="0"/>
          <w:sz w:val="21"/>
          <w:szCs w:val="21"/>
        </w:rPr>
        <w:t>”</w:t>
      </w:r>
      <w:r>
        <w:rPr>
          <w:rFonts w:ascii="Arial" w:hAnsi="Arial" w:eastAsia="宋体" w:cs="Arial"/>
          <w:snapToGrid w:val="0"/>
          <w:sz w:val="21"/>
          <w:szCs w:val="21"/>
        </w:rPr>
        <w:t>同意书。有关短表书面同意书的讨论，请参见第III.E.4.b节，短表。</w:t>
      </w:r>
    </w:p>
  </w:footnote>
  <w:footnote w:id="4">
    <w:p w14:paraId="50D716F8">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更多信息请参见第III.A.1节</w:t>
      </w:r>
      <w:r>
        <w:rPr>
          <w:rFonts w:ascii="宋体" w:hAnsi="宋体" w:eastAsia="宋体" w:cs="Arial"/>
          <w:snapToGrid w:val="0"/>
          <w:sz w:val="21"/>
          <w:szCs w:val="21"/>
        </w:rPr>
        <w:t>“</w:t>
      </w:r>
      <w:r>
        <w:rPr>
          <w:rFonts w:ascii="Arial" w:hAnsi="Arial" w:eastAsia="宋体" w:cs="Arial"/>
          <w:snapToGrid w:val="0"/>
          <w:sz w:val="21"/>
          <w:szCs w:val="21"/>
        </w:rPr>
        <w:t>知情同意的免责条款</w:t>
      </w:r>
      <w:r>
        <w:rPr>
          <w:rFonts w:ascii="宋体" w:hAnsi="宋体" w:eastAsia="宋体" w:cs="Arial"/>
          <w:snapToGrid w:val="0"/>
          <w:sz w:val="21"/>
          <w:szCs w:val="21"/>
        </w:rPr>
        <w:t>”</w:t>
      </w:r>
      <w:r>
        <w:rPr>
          <w:rFonts w:ascii="Arial" w:hAnsi="Arial" w:eastAsia="宋体" w:cs="Arial"/>
          <w:snapToGrid w:val="0"/>
          <w:sz w:val="21"/>
          <w:szCs w:val="21"/>
        </w:rPr>
        <w:t>。</w:t>
      </w:r>
    </w:p>
  </w:footnote>
  <w:footnote w:id="5">
    <w:p w14:paraId="5A1A8FDB">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更多信息请参见第III.D节</w:t>
      </w:r>
      <w:r>
        <w:rPr>
          <w:rFonts w:ascii="宋体" w:hAnsi="宋体" w:eastAsia="宋体" w:cs="Arial"/>
          <w:snapToGrid w:val="0"/>
          <w:sz w:val="21"/>
          <w:szCs w:val="21"/>
        </w:rPr>
        <w:t>“</w:t>
      </w:r>
      <w:r>
        <w:rPr>
          <w:rFonts w:ascii="Arial" w:hAnsi="Arial" w:eastAsia="宋体" w:cs="Arial"/>
          <w:snapToGrid w:val="0"/>
          <w:sz w:val="21"/>
          <w:szCs w:val="21"/>
        </w:rPr>
        <w:t>适用的临床试验</w:t>
      </w:r>
      <w:r>
        <w:rPr>
          <w:rFonts w:ascii="宋体" w:hAnsi="宋体" w:eastAsia="宋体" w:cs="Arial"/>
          <w:snapToGrid w:val="0"/>
          <w:sz w:val="21"/>
          <w:szCs w:val="21"/>
        </w:rPr>
        <w:t>”</w:t>
      </w:r>
      <w:r>
        <w:rPr>
          <w:rFonts w:ascii="Arial" w:hAnsi="Arial" w:eastAsia="宋体" w:cs="Arial"/>
          <w:snapToGrid w:val="0"/>
          <w:sz w:val="21"/>
          <w:szCs w:val="21"/>
        </w:rPr>
        <w:t>知情同意要素。</w:t>
      </w:r>
    </w:p>
  </w:footnote>
  <w:footnote w:id="6">
    <w:p w14:paraId="0DD31D25">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参见</w:t>
      </w:r>
      <w:r>
        <w:rPr>
          <w:rFonts w:ascii="宋体" w:hAnsi="宋体" w:eastAsia="宋体" w:cs="Arial"/>
          <w:snapToGrid w:val="0"/>
          <w:sz w:val="21"/>
          <w:szCs w:val="21"/>
        </w:rPr>
        <w:t>“</w:t>
      </w:r>
      <w:r>
        <w:rPr>
          <w:rFonts w:ascii="Arial" w:hAnsi="Arial" w:eastAsia="宋体" w:cs="Arial"/>
          <w:snapToGrid w:val="0"/>
          <w:sz w:val="21"/>
          <w:szCs w:val="21"/>
        </w:rPr>
        <w:t>机构审查委员会、临床研究者和申办方指南；紧急研究的知情同意要求豁免</w:t>
      </w:r>
      <w:r>
        <w:rPr>
          <w:rFonts w:ascii="宋体" w:hAnsi="宋体" w:eastAsia="宋体" w:cs="Arial"/>
          <w:snapToGrid w:val="0"/>
          <w:sz w:val="21"/>
          <w:szCs w:val="21"/>
        </w:rPr>
        <w:t>”</w:t>
      </w:r>
      <w:r>
        <w:rPr>
          <w:rFonts w:ascii="Arial" w:hAnsi="Arial" w:eastAsia="宋体" w:cs="Arial"/>
          <w:snapToGrid w:val="0"/>
          <w:sz w:val="21"/>
          <w:szCs w:val="21"/>
        </w:rPr>
        <w:t>，见</w:t>
      </w:r>
      <w:r>
        <w:fldChar w:fldCharType="begin"/>
      </w:r>
      <w:r>
        <w:instrText xml:space="preserve"> HYPERLINK "http://www.fda.gov/downloads/RegulatoryInformation/Guidances/UCM249673.pdf" </w:instrText>
      </w:r>
      <w:r>
        <w:fldChar w:fldCharType="separate"/>
      </w:r>
      <w:r>
        <w:rPr>
          <w:rStyle w:val="24"/>
          <w:rFonts w:ascii="Arial" w:hAnsi="Arial" w:eastAsia="宋体" w:cs="Arial"/>
          <w:snapToGrid w:val="0"/>
          <w:color w:val="3333FF"/>
          <w:sz w:val="21"/>
          <w:szCs w:val="21"/>
        </w:rPr>
        <w:t>http：//www.fda.gov/downloads/RegulatoryInformation/Guidances/UCM249673.pdf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7">
    <w:p w14:paraId="2406171B">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术语</w:t>
      </w:r>
      <w:r>
        <w:rPr>
          <w:rFonts w:ascii="宋体" w:hAnsi="宋体" w:eastAsia="宋体" w:cs="Arial"/>
          <w:snapToGrid w:val="0"/>
          <w:sz w:val="21"/>
          <w:szCs w:val="21"/>
        </w:rPr>
        <w:t>“</w:t>
      </w:r>
      <w:r>
        <w:rPr>
          <w:rFonts w:ascii="Arial" w:hAnsi="Arial" w:eastAsia="宋体" w:cs="Arial"/>
          <w:snapToGrid w:val="0"/>
          <w:sz w:val="21"/>
          <w:szCs w:val="21"/>
        </w:rPr>
        <w:t>治疗误解</w:t>
      </w:r>
      <w:r>
        <w:rPr>
          <w:rFonts w:ascii="宋体" w:hAnsi="宋体" w:eastAsia="宋体" w:cs="Arial"/>
          <w:snapToGrid w:val="0"/>
          <w:sz w:val="21"/>
          <w:szCs w:val="21"/>
        </w:rPr>
        <w:t>”</w:t>
      </w:r>
      <w:r>
        <w:rPr>
          <w:rFonts w:ascii="Arial" w:hAnsi="Arial" w:eastAsia="宋体" w:cs="Arial"/>
          <w:snapToGrid w:val="0"/>
          <w:sz w:val="21"/>
          <w:szCs w:val="21"/>
        </w:rPr>
        <w:t>用于描述研究受试者的假设，即</w:t>
      </w:r>
      <w:r>
        <w:rPr>
          <w:rFonts w:hint="eastAsia" w:ascii="Arial" w:hAnsi="Arial" w:eastAsia="宋体" w:cs="Arial"/>
          <w:snapToGrid w:val="0"/>
          <w:sz w:val="21"/>
          <w:szCs w:val="21"/>
        </w:rPr>
        <w:t>仅根据收益做出</w:t>
      </w:r>
      <w:r>
        <w:rPr>
          <w:rFonts w:ascii="Arial" w:hAnsi="Arial" w:eastAsia="宋体" w:cs="Arial"/>
          <w:snapToGrid w:val="0"/>
          <w:sz w:val="21"/>
          <w:szCs w:val="21"/>
        </w:rPr>
        <w:t>治疗决定。参见Appelbaum，PS，Roth，LH和Lidz，C，</w:t>
      </w:r>
      <w:r>
        <w:rPr>
          <w:rFonts w:ascii="宋体" w:hAnsi="宋体" w:eastAsia="宋体" w:cs="Arial"/>
          <w:snapToGrid w:val="0"/>
          <w:sz w:val="21"/>
          <w:szCs w:val="21"/>
        </w:rPr>
        <w:t>“</w:t>
      </w:r>
      <w:r>
        <w:rPr>
          <w:rFonts w:ascii="Arial" w:hAnsi="Arial" w:eastAsia="宋体" w:cs="Arial"/>
          <w:snapToGrid w:val="0"/>
          <w:sz w:val="21"/>
          <w:szCs w:val="21"/>
        </w:rPr>
        <w:t>治疗误解：精神病学研究中的知情同意</w:t>
      </w:r>
      <w:r>
        <w:rPr>
          <w:rFonts w:ascii="宋体" w:hAnsi="宋体" w:eastAsia="宋体" w:cs="Arial"/>
          <w:snapToGrid w:val="0"/>
          <w:sz w:val="21"/>
          <w:szCs w:val="21"/>
        </w:rPr>
        <w:t>”</w:t>
      </w:r>
      <w:r>
        <w:rPr>
          <w:rFonts w:ascii="Arial" w:hAnsi="Arial" w:eastAsia="宋体" w:cs="Arial"/>
          <w:snapToGrid w:val="0"/>
          <w:sz w:val="21"/>
          <w:szCs w:val="21"/>
        </w:rPr>
        <w:t>，国际法律与精神病学杂志（1982），第5卷：319-329。</w:t>
      </w:r>
    </w:p>
  </w:footnote>
  <w:footnote w:id="8">
    <w:p w14:paraId="0ABDB965">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亦可见</w:t>
      </w:r>
      <w:r>
        <w:rPr>
          <w:rFonts w:hint="eastAsia" w:ascii="Arial" w:hAnsi="Arial" w:eastAsia="宋体" w:cs="Arial"/>
          <w:snapToGrid w:val="0"/>
          <w:color w:val="3333FF"/>
          <w:sz w:val="21"/>
          <w:szCs w:val="21"/>
          <w:u w:val="single"/>
        </w:rPr>
        <w:t>第</w:t>
      </w:r>
      <w:r>
        <w:rPr>
          <w:rFonts w:ascii="Arial" w:hAnsi="Arial" w:eastAsia="宋体" w:cs="Arial"/>
          <w:snapToGrid w:val="0"/>
          <w:color w:val="3333FF"/>
          <w:sz w:val="21"/>
          <w:szCs w:val="21"/>
          <w:u w:val="single"/>
        </w:rPr>
        <w:t>VI</w:t>
      </w:r>
      <w:r>
        <w:rPr>
          <w:rFonts w:hint="eastAsia" w:ascii="Arial" w:hAnsi="Arial" w:eastAsia="宋体" w:cs="Arial"/>
          <w:snapToGrid w:val="0"/>
          <w:color w:val="3333FF"/>
          <w:sz w:val="21"/>
          <w:szCs w:val="21"/>
          <w:u w:val="single"/>
        </w:rPr>
        <w:t>节</w:t>
      </w:r>
      <w:r>
        <w:rPr>
          <w:rFonts w:ascii="Arial" w:hAnsi="Arial" w:eastAsia="宋体" w:cs="Arial"/>
          <w:snapToGrid w:val="0"/>
          <w:color w:val="3333FF"/>
          <w:sz w:val="21"/>
          <w:szCs w:val="21"/>
          <w:u w:val="single"/>
        </w:rPr>
        <w:t>A.1.a</w:t>
      </w:r>
      <w:r>
        <w:rPr>
          <w:rFonts w:ascii="宋体" w:hAnsi="宋体" w:eastAsia="宋体" w:cs="Arial"/>
          <w:snapToGrid w:val="0"/>
          <w:sz w:val="21"/>
          <w:szCs w:val="21"/>
        </w:rPr>
        <w:t>“</w:t>
      </w:r>
      <w:r>
        <w:rPr>
          <w:rFonts w:ascii="Arial" w:hAnsi="Arial" w:eastAsia="宋体" w:cs="Arial"/>
          <w:snapToGrid w:val="0"/>
          <w:sz w:val="21"/>
          <w:szCs w:val="21"/>
        </w:rPr>
        <w:t>措辞的充分性和适当性</w:t>
      </w:r>
      <w:r>
        <w:rPr>
          <w:rFonts w:ascii="宋体" w:hAnsi="宋体" w:eastAsia="宋体" w:cs="Arial"/>
          <w:snapToGrid w:val="0"/>
          <w:sz w:val="21"/>
          <w:szCs w:val="21"/>
        </w:rPr>
        <w:t>”</w:t>
      </w:r>
      <w:r>
        <w:rPr>
          <w:rFonts w:ascii="Arial" w:hAnsi="Arial" w:eastAsia="宋体" w:cs="Arial"/>
          <w:snapToGrid w:val="0"/>
          <w:sz w:val="21"/>
          <w:szCs w:val="21"/>
        </w:rPr>
        <w:t>，</w:t>
      </w:r>
      <w:r>
        <w:rPr>
          <w:rFonts w:hint="eastAsia" w:ascii="Arial" w:hAnsi="Arial" w:eastAsia="宋体" w:cs="Arial"/>
          <w:snapToGrid w:val="0"/>
          <w:color w:val="3333FF"/>
          <w:sz w:val="21"/>
          <w:szCs w:val="21"/>
          <w:u w:val="single"/>
        </w:rPr>
        <w:t>第</w:t>
      </w:r>
      <w:r>
        <w:rPr>
          <w:rFonts w:ascii="Arial" w:hAnsi="Arial" w:eastAsia="宋体" w:cs="Arial"/>
          <w:snapToGrid w:val="0"/>
          <w:color w:val="3333FF"/>
          <w:sz w:val="21"/>
          <w:szCs w:val="21"/>
          <w:u w:val="single"/>
        </w:rPr>
        <w:t>V</w:t>
      </w:r>
      <w:r>
        <w:rPr>
          <w:rFonts w:hint="eastAsia" w:ascii="Arial" w:hAnsi="Arial" w:eastAsia="宋体" w:cs="Arial"/>
          <w:snapToGrid w:val="0"/>
          <w:color w:val="3333FF"/>
          <w:sz w:val="21"/>
          <w:szCs w:val="21"/>
          <w:u w:val="single"/>
        </w:rPr>
        <w:t>节</w:t>
      </w:r>
      <w:r>
        <w:rPr>
          <w:rFonts w:ascii="Arial" w:hAnsi="Arial" w:eastAsia="宋体" w:cs="Arial"/>
          <w:snapToGrid w:val="0"/>
          <w:color w:val="3333FF"/>
          <w:sz w:val="21"/>
          <w:szCs w:val="21"/>
          <w:u w:val="single"/>
        </w:rPr>
        <w:t>B</w:t>
      </w:r>
      <w:r>
        <w:rPr>
          <w:rFonts w:ascii="Arial" w:hAnsi="Arial" w:eastAsia="宋体" w:cs="Arial"/>
          <w:snapToGrid w:val="0"/>
          <w:sz w:val="21"/>
          <w:szCs w:val="21"/>
        </w:rPr>
        <w:t>，</w:t>
      </w:r>
      <w:r>
        <w:rPr>
          <w:rFonts w:ascii="宋体" w:hAnsi="宋体" w:eastAsia="宋体" w:cs="Arial"/>
          <w:snapToGrid w:val="0"/>
          <w:sz w:val="21"/>
          <w:szCs w:val="21"/>
        </w:rPr>
        <w:t>“</w:t>
      </w:r>
      <w:r>
        <w:rPr>
          <w:rFonts w:ascii="Arial" w:hAnsi="Arial" w:eastAsia="宋体" w:cs="Arial"/>
          <w:snapToGrid w:val="0"/>
          <w:sz w:val="21"/>
          <w:szCs w:val="21"/>
        </w:rPr>
        <w:t>非英语口语的受试者</w:t>
      </w:r>
      <w:r>
        <w:rPr>
          <w:rFonts w:ascii="宋体" w:hAnsi="宋体" w:eastAsia="宋体" w:cs="Arial"/>
          <w:snapToGrid w:val="0"/>
          <w:sz w:val="21"/>
          <w:szCs w:val="21"/>
        </w:rPr>
        <w:t>”</w:t>
      </w:r>
      <w:r>
        <w:rPr>
          <w:rFonts w:ascii="Arial" w:hAnsi="Arial" w:eastAsia="宋体" w:cs="Arial"/>
          <w:snapToGrid w:val="0"/>
          <w:sz w:val="21"/>
          <w:szCs w:val="21"/>
        </w:rPr>
        <w:t>和</w:t>
      </w:r>
      <w:r>
        <w:rPr>
          <w:rFonts w:hint="eastAsia" w:ascii="Arial" w:hAnsi="Arial" w:eastAsia="宋体" w:cs="Arial"/>
          <w:snapToGrid w:val="0"/>
          <w:color w:val="3333FF"/>
          <w:sz w:val="21"/>
          <w:szCs w:val="21"/>
          <w:u w:val="single"/>
        </w:rPr>
        <w:t>第</w:t>
      </w:r>
      <w:r>
        <w:rPr>
          <w:rFonts w:ascii="Arial" w:hAnsi="Arial" w:eastAsia="宋体" w:cs="Arial"/>
          <w:snapToGrid w:val="0"/>
          <w:color w:val="3333FF"/>
          <w:sz w:val="21"/>
          <w:szCs w:val="21"/>
          <w:u w:val="single"/>
        </w:rPr>
        <w:t>V</w:t>
      </w:r>
      <w:r>
        <w:rPr>
          <w:rFonts w:hint="eastAsia" w:ascii="Arial" w:hAnsi="Arial" w:eastAsia="宋体" w:cs="Arial"/>
          <w:snapToGrid w:val="0"/>
          <w:color w:val="3333FF"/>
          <w:sz w:val="21"/>
          <w:szCs w:val="21"/>
          <w:u w:val="single"/>
        </w:rPr>
        <w:t>节</w:t>
      </w:r>
      <w:r>
        <w:rPr>
          <w:rFonts w:ascii="Arial" w:hAnsi="Arial" w:eastAsia="宋体" w:cs="Arial"/>
          <w:snapToGrid w:val="0"/>
          <w:color w:val="3333FF"/>
          <w:sz w:val="21"/>
          <w:szCs w:val="21"/>
          <w:u w:val="single"/>
        </w:rPr>
        <w:t>C</w:t>
      </w:r>
      <w:r>
        <w:rPr>
          <w:rFonts w:ascii="宋体" w:hAnsi="宋体" w:eastAsia="宋体" w:cs="Arial"/>
          <w:snapToGrid w:val="0"/>
          <w:sz w:val="21"/>
          <w:szCs w:val="21"/>
        </w:rPr>
        <w:t>“</w:t>
      </w:r>
      <w:r>
        <w:rPr>
          <w:rFonts w:ascii="Arial" w:hAnsi="Arial" w:eastAsia="宋体" w:cs="Arial"/>
          <w:snapToGrid w:val="0"/>
          <w:sz w:val="21"/>
          <w:szCs w:val="21"/>
        </w:rPr>
        <w:t>读写能力和算数能力较差的受试者</w:t>
      </w:r>
      <w:r>
        <w:rPr>
          <w:rFonts w:ascii="宋体" w:hAnsi="宋体" w:eastAsia="宋体" w:cs="Arial"/>
          <w:snapToGrid w:val="0"/>
          <w:sz w:val="21"/>
          <w:szCs w:val="21"/>
        </w:rPr>
        <w:t>”</w:t>
      </w:r>
      <w:r>
        <w:rPr>
          <w:rFonts w:ascii="Arial" w:hAnsi="Arial" w:eastAsia="宋体" w:cs="Arial"/>
          <w:snapToGrid w:val="0"/>
          <w:sz w:val="21"/>
          <w:szCs w:val="21"/>
        </w:rPr>
        <w:t>。</w:t>
      </w:r>
    </w:p>
  </w:footnote>
  <w:footnote w:id="9">
    <w:p w14:paraId="720FEDAE">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Kutner，M，Greenberg，E，Jin，Y和Paulsen，C，（2006）</w:t>
      </w:r>
      <w:r>
        <w:rPr>
          <w:rFonts w:ascii="宋体" w:hAnsi="宋体" w:eastAsia="宋体" w:cs="Arial"/>
          <w:snapToGrid w:val="0"/>
          <w:sz w:val="21"/>
          <w:szCs w:val="21"/>
        </w:rPr>
        <w:t>“</w:t>
      </w:r>
      <w:r>
        <w:rPr>
          <w:rFonts w:ascii="Arial" w:hAnsi="Arial" w:eastAsia="宋体" w:cs="Arial"/>
          <w:snapToGrid w:val="0"/>
          <w:sz w:val="21"/>
          <w:szCs w:val="21"/>
        </w:rPr>
        <w:t>美国成年人的健康认知力：2003年全国成年人读写能力的评估结果</w:t>
      </w:r>
      <w:r>
        <w:rPr>
          <w:rFonts w:ascii="宋体" w:hAnsi="宋体" w:eastAsia="宋体" w:cs="Arial"/>
          <w:snapToGrid w:val="0"/>
          <w:sz w:val="21"/>
          <w:szCs w:val="21"/>
        </w:rPr>
        <w:t>”</w:t>
      </w:r>
      <w:r>
        <w:rPr>
          <w:rFonts w:ascii="Arial" w:hAnsi="Arial" w:eastAsia="宋体" w:cs="Arial"/>
          <w:snapToGrid w:val="0"/>
          <w:sz w:val="21"/>
          <w:szCs w:val="21"/>
        </w:rPr>
        <w:t>（NCES 2006-483）。美国教育部，华盛顿特区，国家教育统计中心。</w:t>
      </w:r>
      <w:r>
        <w:fldChar w:fldCharType="begin"/>
      </w:r>
      <w:r>
        <w:instrText xml:space="preserve"> HYPERLINK "http://nces.ed.gov/pubs2006/2006483.pdf"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//nces.ed.gov/pubs2006/2006483.pdf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10">
    <w:p w14:paraId="30A3CA6D">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同上。</w:t>
      </w:r>
    </w:p>
  </w:footnote>
  <w:footnote w:id="11">
    <w:p w14:paraId="5BFAF7D1">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同上。</w:t>
      </w:r>
    </w:p>
  </w:footnote>
  <w:footnote w:id="12">
    <w:p w14:paraId="01477C13">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有关开脱性语言的进一步讨论，请参见人类研究保护办公室（OHRP）和FDA的</w:t>
      </w:r>
      <w:r>
        <w:rPr>
          <w:rFonts w:ascii="宋体" w:hAnsi="宋体" w:eastAsia="宋体" w:cs="Arial"/>
          <w:snapToGrid w:val="0"/>
          <w:sz w:val="21"/>
          <w:szCs w:val="21"/>
        </w:rPr>
        <w:t>“</w:t>
      </w:r>
      <w:r>
        <w:rPr>
          <w:rFonts w:ascii="Arial" w:hAnsi="Arial" w:eastAsia="宋体" w:cs="Arial"/>
          <w:snapToGrid w:val="0"/>
          <w:sz w:val="21"/>
          <w:szCs w:val="21"/>
        </w:rPr>
        <w:t>知情同意中的开脱性语言指南</w:t>
      </w:r>
      <w:r>
        <w:rPr>
          <w:rFonts w:ascii="宋体" w:hAnsi="宋体" w:eastAsia="宋体" w:cs="Arial"/>
          <w:snapToGrid w:val="0"/>
          <w:sz w:val="21"/>
          <w:szCs w:val="21"/>
        </w:rPr>
        <w:t>”</w:t>
      </w:r>
      <w:r>
        <w:rPr>
          <w:rFonts w:ascii="Arial" w:hAnsi="Arial" w:eastAsia="宋体" w:cs="Arial"/>
          <w:snapToGrid w:val="0"/>
          <w:sz w:val="21"/>
          <w:szCs w:val="21"/>
        </w:rPr>
        <w:t>的联合指南草案，可见于</w:t>
      </w:r>
      <w:r>
        <w:fldChar w:fldCharType="begin"/>
      </w:r>
      <w:r>
        <w:instrText xml:space="preserve"> HYPERLINK "http://www.fda.gov/downloads/RegulatoryInformation/Guidances/UCM271036.pdf"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//www.fda.gov/downloads/RegulatoryInformation/Guidances/UCM271036.pdf</w:t>
      </w:r>
      <w:r>
        <w:rPr>
          <w:rStyle w:val="24"/>
          <w:rFonts w:ascii="Arial" w:hAnsi="Arial" w:eastAsia="宋体" w:cs="Arial"/>
          <w:snapToGrid w:val="0"/>
          <w:color w:val="3333FF"/>
          <w:sz w:val="21"/>
          <w:szCs w:val="21"/>
        </w:rPr>
        <w:fldChar w:fldCharType="end"/>
      </w:r>
      <w:r>
        <w:rPr>
          <w:rFonts w:ascii="Arial" w:hAnsi="Arial" w:eastAsia="宋体" w:cs="Arial"/>
          <w:snapToGrid w:val="0"/>
          <w:sz w:val="21"/>
          <w:szCs w:val="21"/>
        </w:rPr>
        <w:t>。当该指南完成时，这些例子可能会被修改。</w:t>
      </w:r>
    </w:p>
  </w:footnote>
  <w:footnote w:id="13">
    <w:p w14:paraId="0BDBB32D">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仅出于本指南的目的，医学公认的治疗标准可以通过在同行评审的期刊上发表或由专业医学学会承认来证明。</w:t>
      </w:r>
    </w:p>
  </w:footnote>
  <w:footnote w:id="14">
    <w:p w14:paraId="320FBAA0">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更多信息请参见FDA信息表</w:t>
      </w:r>
      <w:r>
        <w:rPr>
          <w:rFonts w:ascii="宋体" w:hAnsi="宋体" w:eastAsia="宋体" w:cs="Arial"/>
          <w:snapToGrid w:val="0"/>
          <w:sz w:val="21"/>
          <w:szCs w:val="21"/>
        </w:rPr>
        <w:t>“</w:t>
      </w:r>
      <w:r>
        <w:rPr>
          <w:rFonts w:hint="eastAsia" w:ascii="Arial" w:hAnsi="Arial" w:eastAsia="宋体" w:cs="Arial"/>
          <w:snapToGrid w:val="0"/>
          <w:sz w:val="21"/>
          <w:szCs w:val="21"/>
        </w:rPr>
        <w:t>支付</w:t>
      </w:r>
      <w:r>
        <w:rPr>
          <w:rFonts w:ascii="Arial" w:hAnsi="Arial" w:eastAsia="宋体" w:cs="Arial"/>
          <w:snapToGrid w:val="0"/>
          <w:sz w:val="21"/>
          <w:szCs w:val="21"/>
        </w:rPr>
        <w:t>研究受试者</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"http://www.fda.gov/RegulatoryInformation/Guidances/ucm126429.htm"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//www.fda.gov/RegulatoryInformation/Guidances/ucm126429.htm</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15">
    <w:p w14:paraId="05C23D81">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FDA注意到，OHRP可能对监管函中提到的</w:t>
      </w:r>
      <w:r>
        <w:rPr>
          <w:rFonts w:ascii="宋体" w:hAnsi="宋体" w:eastAsia="宋体" w:cs="Arial"/>
          <w:snapToGrid w:val="0"/>
          <w:sz w:val="21"/>
          <w:szCs w:val="21"/>
        </w:rPr>
        <w:t>“</w:t>
      </w:r>
      <w:r>
        <w:rPr>
          <w:rFonts w:ascii="Arial" w:hAnsi="Arial" w:eastAsia="宋体" w:cs="Arial"/>
          <w:snapToGrid w:val="0"/>
          <w:sz w:val="21"/>
          <w:szCs w:val="21"/>
        </w:rPr>
        <w:t>适当的替代程序或疗程或治疗</w:t>
      </w:r>
      <w:r>
        <w:rPr>
          <w:rFonts w:ascii="宋体" w:hAnsi="宋体" w:eastAsia="宋体" w:cs="Arial"/>
          <w:snapToGrid w:val="0"/>
          <w:sz w:val="21"/>
          <w:szCs w:val="21"/>
        </w:rPr>
        <w:t>”</w:t>
      </w:r>
      <w:r>
        <w:rPr>
          <w:rFonts w:ascii="Arial" w:hAnsi="Arial" w:eastAsia="宋体" w:cs="Arial"/>
          <w:snapToGrid w:val="0"/>
          <w:sz w:val="21"/>
          <w:szCs w:val="21"/>
        </w:rPr>
        <w:t>持有不同的解释。</w:t>
      </w:r>
    </w:p>
  </w:footnote>
  <w:footnote w:id="16">
    <w:p w14:paraId="00C70AB1">
      <w:pPr>
        <w:pStyle w:val="19"/>
        <w:spacing w:line="300" w:lineRule="auto"/>
        <w:rPr>
          <w:rFonts w:ascii="Arial" w:hAnsi="Arial" w:eastAsia="宋体" w:cs="Arial"/>
          <w:snapToGrid w:val="0"/>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仅出于本指南的目的，医学上公认的治疗标准可通过在同行评审的杂志发表或由专业医学学会承认来证明。</w:t>
      </w:r>
    </w:p>
  </w:footnote>
  <w:footnote w:id="17">
    <w:p w14:paraId="6DEC3991">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FDA已经认识到以前的指南</w:t>
      </w:r>
      <w:r>
        <w:rPr>
          <w:rFonts w:ascii="宋体" w:hAnsi="宋体" w:eastAsia="宋体" w:cs="Arial"/>
          <w:snapToGrid w:val="0"/>
          <w:sz w:val="21"/>
          <w:szCs w:val="21"/>
        </w:rPr>
        <w:t>“</w:t>
      </w:r>
      <w:r>
        <w:rPr>
          <w:rFonts w:ascii="Arial" w:hAnsi="Arial" w:eastAsia="宋体" w:cs="Arial"/>
          <w:snapToGrid w:val="0"/>
          <w:sz w:val="21"/>
          <w:szCs w:val="21"/>
        </w:rPr>
        <w:t>标签【外</w:t>
      </w:r>
      <w:r>
        <w:rPr>
          <w:rFonts w:hint="eastAsia" w:ascii="Arial" w:hAnsi="Arial" w:eastAsia="宋体" w:cs="Arial"/>
          <w:snapToGrid w:val="0"/>
          <w:sz w:val="21"/>
          <w:szCs w:val="21"/>
        </w:rPr>
        <w:t>】</w:t>
      </w:r>
      <w:r>
        <w:rPr>
          <w:rFonts w:ascii="Arial" w:hAnsi="Arial" w:eastAsia="宋体" w:cs="Arial"/>
          <w:snapToGrid w:val="0"/>
          <w:sz w:val="21"/>
          <w:szCs w:val="21"/>
        </w:rPr>
        <w:t>用途或治疗方案的</w:t>
      </w:r>
      <w:r>
        <w:rPr>
          <w:rFonts w:hint="eastAsia" w:ascii="Arial" w:hAnsi="Arial" w:eastAsia="宋体" w:cs="Arial"/>
          <w:snapToGrid w:val="0"/>
          <w:sz w:val="21"/>
          <w:szCs w:val="21"/>
        </w:rPr>
        <w:t>潜在重要性</w:t>
      </w:r>
      <w:r>
        <w:rPr>
          <w:rFonts w:ascii="Arial" w:hAnsi="Arial" w:eastAsia="宋体" w:cs="Arial"/>
          <w:snapToGrid w:val="0"/>
          <w:sz w:val="21"/>
          <w:szCs w:val="21"/>
        </w:rPr>
        <w:t>，甚至可能构成医学公认的治疗标准。</w:t>
      </w:r>
      <w:r>
        <w:rPr>
          <w:rFonts w:ascii="宋体" w:hAnsi="宋体" w:eastAsia="宋体" w:cs="Arial"/>
          <w:snapToGrid w:val="0"/>
          <w:sz w:val="21"/>
          <w:szCs w:val="21"/>
        </w:rPr>
        <w:t>”</w:t>
      </w:r>
      <w:r>
        <w:rPr>
          <w:rFonts w:ascii="Arial" w:hAnsi="Arial" w:eastAsia="宋体" w:cs="Arial"/>
          <w:snapToGrid w:val="0"/>
          <w:sz w:val="21"/>
          <w:szCs w:val="21"/>
        </w:rPr>
        <w:t>FDA指南，</w:t>
      </w:r>
      <w:r>
        <w:rPr>
          <w:rFonts w:ascii="宋体" w:hAnsi="宋体" w:eastAsia="宋体" w:cs="Arial"/>
          <w:snapToGrid w:val="0"/>
          <w:sz w:val="21"/>
          <w:szCs w:val="21"/>
        </w:rPr>
        <w:t>“</w:t>
      </w:r>
      <w:r>
        <w:rPr>
          <w:rFonts w:ascii="Arial" w:hAnsi="Arial" w:eastAsia="宋体" w:cs="Arial"/>
          <w:snapToGrid w:val="0"/>
          <w:sz w:val="21"/>
          <w:szCs w:val="21"/>
        </w:rPr>
        <w:t>已获批药品和已获许可的医疗器械的未批准新用途在医学杂志文章和医学或科学参考文献上传播的良好重印实践</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"http://www.fda.gov/regulatoryinformation/guidances/ucm125126.htm"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//www.fda.gov/regulatoryinformation/guidances/ucm125126.htm</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18">
    <w:p w14:paraId="352449F9">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联邦公报</w:t>
      </w:r>
      <w:r>
        <w:rPr>
          <w:rFonts w:ascii="宋体" w:hAnsi="宋体" w:eastAsia="宋体" w:cs="Arial"/>
          <w:snapToGrid w:val="0"/>
          <w:sz w:val="21"/>
          <w:szCs w:val="21"/>
        </w:rPr>
        <w:t>“</w:t>
      </w:r>
      <w:r>
        <w:rPr>
          <w:rFonts w:ascii="Arial" w:hAnsi="Arial" w:eastAsia="宋体" w:cs="Arial"/>
          <w:snapToGrid w:val="0"/>
          <w:sz w:val="21"/>
          <w:szCs w:val="21"/>
        </w:rPr>
        <w:t>受试者保护；知情同意书</w:t>
      </w:r>
      <w:r>
        <w:rPr>
          <w:rFonts w:ascii="宋体" w:hAnsi="宋体" w:eastAsia="宋体" w:cs="Arial"/>
          <w:snapToGrid w:val="0"/>
          <w:sz w:val="21"/>
          <w:szCs w:val="21"/>
        </w:rPr>
        <w:t>”</w:t>
      </w:r>
      <w:r>
        <w:rPr>
          <w:rFonts w:ascii="Arial" w:hAnsi="Arial" w:eastAsia="宋体" w:cs="Arial"/>
          <w:snapToGrid w:val="0"/>
          <w:sz w:val="21"/>
          <w:szCs w:val="21"/>
        </w:rPr>
        <w:t>（1981年1月27日，46 FR 8942），可见于</w:t>
      </w:r>
      <w:r>
        <w:fldChar w:fldCharType="begin"/>
      </w:r>
      <w:r>
        <w:instrText xml:space="preserve"> HYPERLINK "http://www.fda.gov/ScienceResearch/SpecialTopics/RunningClinicalTrials/ucm113818.htm"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//www.fda.gov/ScienceResearch/SpecialTopics/RunningClinicalTrials/ucm113818.htm</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。参见对评论23的回复。</w:t>
      </w:r>
    </w:p>
  </w:footnote>
  <w:footnote w:id="19">
    <w:p w14:paraId="2033D4A5">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bCs/>
          <w:snapToGrid w:val="0"/>
          <w:sz w:val="21"/>
          <w:szCs w:val="21"/>
        </w:rPr>
        <w:t>FDA期望研究者确保受试者在参加临床研究期间能够获得合理的医学治疗。请参见FDA</w:t>
      </w:r>
      <w:r>
        <w:rPr>
          <w:rFonts w:ascii="宋体" w:hAnsi="宋体" w:eastAsia="宋体" w:cs="Arial"/>
          <w:bCs/>
          <w:snapToGrid w:val="0"/>
          <w:sz w:val="21"/>
          <w:szCs w:val="21"/>
        </w:rPr>
        <w:t>“</w:t>
      </w:r>
      <w:r>
        <w:rPr>
          <w:rFonts w:ascii="Arial" w:hAnsi="Arial" w:eastAsia="宋体" w:cs="Arial"/>
          <w:bCs/>
          <w:snapToGrid w:val="0"/>
          <w:sz w:val="21"/>
          <w:szCs w:val="21"/>
        </w:rPr>
        <w:t>行业研究者的责任-保护研究受试者的权利、安全和福利指南</w:t>
      </w:r>
      <w:r>
        <w:rPr>
          <w:rFonts w:ascii="宋体" w:hAnsi="宋体" w:eastAsia="宋体" w:cs="Arial"/>
          <w:bCs/>
          <w:snapToGrid w:val="0"/>
          <w:sz w:val="21"/>
          <w:szCs w:val="21"/>
        </w:rPr>
        <w:t>”</w:t>
      </w:r>
      <w:r>
        <w:rPr>
          <w:rFonts w:ascii="Arial" w:hAnsi="Arial" w:eastAsia="宋体" w:cs="Arial"/>
          <w:bCs/>
          <w:snapToGrid w:val="0"/>
          <w:sz w:val="21"/>
          <w:szCs w:val="21"/>
        </w:rPr>
        <w:t>第7-8页，可见于</w:t>
      </w:r>
      <w:r>
        <w:fldChar w:fldCharType="begin"/>
      </w:r>
      <w:r>
        <w:instrText xml:space="preserve"> HYPERLINK "http://www.fda.gov/downloads/Drugs/GuidanceComplianceRegulatoryInformation/Guidances/UCM187772.pdf" </w:instrText>
      </w:r>
      <w:r>
        <w:fldChar w:fldCharType="separate"/>
      </w:r>
      <w:r>
        <w:rPr>
          <w:rStyle w:val="24"/>
          <w:rFonts w:ascii="Arial" w:hAnsi="Arial" w:eastAsia="宋体" w:cs="Arial"/>
          <w:bCs/>
          <w:snapToGrid w:val="0"/>
          <w:color w:val="3333FF"/>
          <w:sz w:val="21"/>
          <w:szCs w:val="21"/>
        </w:rPr>
        <w:t>http</w:t>
      </w:r>
      <w:r>
        <w:rPr>
          <w:rStyle w:val="24"/>
          <w:rFonts w:hint="eastAsia" w:ascii="Arial" w:hAnsi="Arial" w:eastAsia="宋体" w:cs="Arial"/>
          <w:bCs/>
          <w:snapToGrid w:val="0"/>
          <w:color w:val="3333FF"/>
          <w:sz w:val="21"/>
          <w:szCs w:val="21"/>
        </w:rPr>
        <w:t>：</w:t>
      </w:r>
      <w:r>
        <w:rPr>
          <w:rStyle w:val="24"/>
          <w:rFonts w:ascii="Arial" w:hAnsi="Arial" w:eastAsia="宋体" w:cs="Arial"/>
          <w:bCs/>
          <w:snapToGrid w:val="0"/>
          <w:color w:val="3333FF"/>
          <w:sz w:val="21"/>
          <w:szCs w:val="21"/>
        </w:rPr>
        <w:t>//www.fda.gov/downloads/Drugs/GuidanceComplianceRegulatoryInformation/Guidances/UCM187772.pdf</w:t>
      </w:r>
      <w:r>
        <w:rPr>
          <w:rStyle w:val="24"/>
          <w:rFonts w:ascii="Arial" w:hAnsi="Arial" w:eastAsia="宋体" w:cs="Arial"/>
          <w:bCs/>
          <w:snapToGrid w:val="0"/>
          <w:color w:val="3333FF"/>
          <w:sz w:val="21"/>
          <w:szCs w:val="21"/>
        </w:rPr>
        <w:fldChar w:fldCharType="end"/>
      </w:r>
      <w:r>
        <w:rPr>
          <w:rFonts w:hint="eastAsia" w:ascii="Arial" w:hAnsi="Arial" w:eastAsia="宋体" w:cs="Arial"/>
          <w:bCs/>
          <w:snapToGrid w:val="0"/>
          <w:sz w:val="21"/>
          <w:szCs w:val="21"/>
        </w:rPr>
        <w:t xml:space="preserve"> </w:t>
      </w:r>
      <w:r>
        <w:rPr>
          <w:rFonts w:ascii="Arial" w:hAnsi="Arial" w:eastAsia="宋体" w:cs="Arial"/>
          <w:bCs/>
          <w:snapToGrid w:val="0"/>
          <w:sz w:val="21"/>
          <w:szCs w:val="21"/>
        </w:rPr>
        <w:t>。</w:t>
      </w:r>
    </w:p>
  </w:footnote>
  <w:footnote w:id="20">
    <w:p w14:paraId="2D4D89D2">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bCs/>
          <w:snapToGrid w:val="0"/>
          <w:sz w:val="21"/>
          <w:szCs w:val="21"/>
        </w:rPr>
        <w:t>有关开脱性语言的进一步讨论，请参见</w:t>
      </w:r>
      <w:r>
        <w:rPr>
          <w:rFonts w:hint="eastAsia" w:ascii="Arial" w:hAnsi="Arial" w:eastAsia="宋体" w:cs="Arial"/>
          <w:bCs/>
          <w:snapToGrid w:val="0"/>
          <w:sz w:val="21"/>
          <w:szCs w:val="21"/>
        </w:rPr>
        <w:t>人类</w:t>
      </w:r>
      <w:r>
        <w:rPr>
          <w:rFonts w:ascii="Arial" w:hAnsi="Arial" w:eastAsia="宋体" w:cs="Arial"/>
          <w:bCs/>
          <w:snapToGrid w:val="0"/>
          <w:sz w:val="21"/>
          <w:szCs w:val="21"/>
        </w:rPr>
        <w:t>研究保护办公室（OHRP）和FDA</w:t>
      </w:r>
      <w:r>
        <w:rPr>
          <w:rFonts w:ascii="宋体" w:hAnsi="宋体" w:eastAsia="宋体" w:cs="Arial"/>
          <w:bCs/>
          <w:snapToGrid w:val="0"/>
          <w:sz w:val="21"/>
          <w:szCs w:val="21"/>
        </w:rPr>
        <w:t>“</w:t>
      </w:r>
      <w:r>
        <w:rPr>
          <w:rFonts w:ascii="Arial" w:hAnsi="Arial" w:eastAsia="宋体" w:cs="Arial"/>
          <w:bCs/>
          <w:snapToGrid w:val="0"/>
          <w:sz w:val="21"/>
          <w:szCs w:val="21"/>
        </w:rPr>
        <w:t>知情同意中的开脱性语言指南</w:t>
      </w:r>
      <w:r>
        <w:rPr>
          <w:rFonts w:ascii="宋体" w:hAnsi="宋体" w:eastAsia="宋体" w:cs="Arial"/>
          <w:bCs/>
          <w:snapToGrid w:val="0"/>
          <w:sz w:val="21"/>
          <w:szCs w:val="21"/>
        </w:rPr>
        <w:t>”</w:t>
      </w:r>
      <w:r>
        <w:rPr>
          <w:rFonts w:ascii="Arial" w:hAnsi="Arial" w:eastAsia="宋体" w:cs="Arial"/>
          <w:bCs/>
          <w:snapToGrid w:val="0"/>
          <w:sz w:val="21"/>
          <w:szCs w:val="21"/>
        </w:rPr>
        <w:t>的联合指南草案，可见于</w:t>
      </w:r>
      <w:r>
        <w:fldChar w:fldCharType="begin"/>
      </w:r>
      <w:r>
        <w:instrText xml:space="preserve"> HYPERLINK "http://www.fda.gov/downloads/RegulatoryInformation/Guidances/UCM271036.pdf"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//www.fda.gov/downloads/RegulatoryInformation/Guidances/UCM271036.pdf</w:t>
      </w:r>
      <w:r>
        <w:rPr>
          <w:rStyle w:val="24"/>
          <w:rFonts w:ascii="Arial" w:hAnsi="Arial" w:eastAsia="宋体" w:cs="Arial"/>
          <w:snapToGrid w:val="0"/>
          <w:color w:val="3333FF"/>
          <w:sz w:val="21"/>
          <w:szCs w:val="21"/>
        </w:rPr>
        <w:fldChar w:fldCharType="end"/>
      </w:r>
      <w:r>
        <w:rPr>
          <w:rFonts w:ascii="Arial" w:hAnsi="Arial" w:eastAsia="宋体" w:cs="Arial"/>
          <w:snapToGrid w:val="0"/>
          <w:sz w:val="21"/>
          <w:szCs w:val="21"/>
        </w:rPr>
        <w:t>。</w:t>
      </w:r>
      <w:r>
        <w:rPr>
          <w:rFonts w:ascii="Arial" w:hAnsi="Arial" w:eastAsia="宋体" w:cs="Arial"/>
          <w:bCs/>
          <w:snapToGrid w:val="0"/>
          <w:sz w:val="21"/>
          <w:szCs w:val="21"/>
        </w:rPr>
        <w:t>当该指南完成时，可能会修改</w:t>
      </w:r>
      <w:r>
        <w:rPr>
          <w:rFonts w:hint="eastAsia" w:ascii="Arial" w:hAnsi="Arial" w:eastAsia="宋体" w:cs="Arial"/>
          <w:bCs/>
          <w:snapToGrid w:val="0"/>
          <w:sz w:val="21"/>
          <w:szCs w:val="21"/>
        </w:rPr>
        <w:t>此类示例</w:t>
      </w:r>
      <w:r>
        <w:rPr>
          <w:rFonts w:ascii="Arial" w:hAnsi="Arial" w:eastAsia="宋体" w:cs="Arial"/>
          <w:bCs/>
          <w:snapToGrid w:val="0"/>
          <w:sz w:val="21"/>
          <w:szCs w:val="21"/>
        </w:rPr>
        <w:t>。</w:t>
      </w:r>
    </w:p>
  </w:footnote>
  <w:footnote w:id="21">
    <w:p w14:paraId="7FC1FBF1">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参见</w:t>
      </w:r>
      <w:r>
        <w:rPr>
          <w:rFonts w:ascii="Arial" w:hAnsi="Arial" w:eastAsia="宋体" w:cs="Arial"/>
          <w:bCs/>
          <w:snapToGrid w:val="0"/>
          <w:sz w:val="21"/>
          <w:szCs w:val="21"/>
        </w:rPr>
        <w:t>FDA</w:t>
      </w:r>
      <w:r>
        <w:rPr>
          <w:rFonts w:ascii="宋体" w:hAnsi="宋体" w:eastAsia="宋体" w:cs="Arial"/>
          <w:bCs/>
          <w:snapToGrid w:val="0"/>
          <w:sz w:val="21"/>
          <w:szCs w:val="21"/>
        </w:rPr>
        <w:t>“</w:t>
      </w:r>
      <w:r>
        <w:rPr>
          <w:rFonts w:ascii="Arial" w:hAnsi="Arial" w:eastAsia="宋体" w:cs="Arial"/>
          <w:bCs/>
          <w:snapToGrid w:val="0"/>
          <w:sz w:val="21"/>
          <w:szCs w:val="21"/>
        </w:rPr>
        <w:t>行业研究者的责任-保护研究受试者的权利、安全和福利指南</w:t>
      </w:r>
      <w:r>
        <w:rPr>
          <w:rFonts w:ascii="宋体" w:hAnsi="宋体" w:eastAsia="宋体" w:cs="Arial"/>
          <w:bCs/>
          <w:snapToGrid w:val="0"/>
          <w:sz w:val="21"/>
          <w:szCs w:val="21"/>
        </w:rPr>
        <w:t>”</w:t>
      </w:r>
      <w:r>
        <w:rPr>
          <w:rFonts w:ascii="Arial" w:hAnsi="Arial" w:eastAsia="宋体" w:cs="Arial"/>
          <w:snapToGrid w:val="0"/>
          <w:sz w:val="21"/>
          <w:szCs w:val="21"/>
        </w:rPr>
        <w:t>第7-8页，可见于</w:t>
      </w:r>
      <w:r>
        <w:fldChar w:fldCharType="begin"/>
      </w:r>
      <w:r>
        <w:instrText xml:space="preserve"> HYPERLINK "http://www.fda.gov/downloads/Drugs/GuidanceComplianceRegulatoryInformation/Guidances/UCM187772.PDF"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//www.fda.gov/downloads/Drugs/GuidanceComplianceRegulatoryInformation/Guidances/UCM187772.PDF</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p>
  </w:footnote>
  <w:footnote w:id="22">
    <w:p w14:paraId="18A2737F">
      <w:pPr>
        <w:pStyle w:val="19"/>
        <w:spacing w:line="300" w:lineRule="auto"/>
        <w:rPr>
          <w:sz w:val="21"/>
          <w:szCs w:val="21"/>
        </w:rPr>
      </w:pPr>
      <w:r>
        <w:rPr>
          <w:rStyle w:val="25"/>
          <w:sz w:val="21"/>
          <w:szCs w:val="21"/>
        </w:rPr>
        <w:footnoteRef/>
      </w:r>
      <w:r>
        <w:rPr>
          <w:sz w:val="21"/>
          <w:szCs w:val="21"/>
        </w:rPr>
        <w:t xml:space="preserve"> </w:t>
      </w:r>
      <w:r>
        <w:rPr>
          <w:rFonts w:ascii="宋体" w:hAnsi="宋体" w:eastAsia="宋体" w:cs="Arial"/>
          <w:bCs/>
          <w:snapToGrid w:val="0"/>
          <w:sz w:val="21"/>
          <w:szCs w:val="21"/>
        </w:rPr>
        <w:t>“</w:t>
      </w:r>
      <w:r>
        <w:rPr>
          <w:rFonts w:ascii="Arial" w:hAnsi="Arial" w:eastAsia="宋体" w:cs="Arial"/>
          <w:bCs/>
          <w:snapToGrid w:val="0"/>
          <w:sz w:val="21"/>
          <w:szCs w:val="21"/>
        </w:rPr>
        <w:t>患者保护和平价医疗法案</w:t>
      </w:r>
      <w:r>
        <w:rPr>
          <w:rFonts w:ascii="宋体" w:hAnsi="宋体" w:eastAsia="宋体" w:cs="Arial"/>
          <w:bCs/>
          <w:snapToGrid w:val="0"/>
          <w:sz w:val="21"/>
          <w:szCs w:val="21"/>
        </w:rPr>
        <w:t>”</w:t>
      </w:r>
      <w:r>
        <w:rPr>
          <w:rFonts w:ascii="Arial" w:hAnsi="Arial" w:eastAsia="宋体" w:cs="Arial"/>
          <w:bCs/>
          <w:snapToGrid w:val="0"/>
          <w:sz w:val="21"/>
          <w:szCs w:val="21"/>
        </w:rPr>
        <w:t>在</w:t>
      </w:r>
      <w:r>
        <w:rPr>
          <w:rFonts w:ascii="宋体" w:hAnsi="宋体" w:eastAsia="宋体" w:cs="Arial"/>
          <w:bCs/>
          <w:snapToGrid w:val="0"/>
          <w:sz w:val="21"/>
          <w:szCs w:val="21"/>
        </w:rPr>
        <w:t>“</w:t>
      </w:r>
      <w:r>
        <w:rPr>
          <w:rFonts w:ascii="Arial" w:hAnsi="Arial" w:eastAsia="宋体" w:cs="Arial"/>
          <w:bCs/>
          <w:snapToGrid w:val="0"/>
          <w:sz w:val="21"/>
          <w:szCs w:val="21"/>
        </w:rPr>
        <w:t>公共卫生服务法案</w:t>
      </w:r>
      <w:r>
        <w:rPr>
          <w:rFonts w:ascii="宋体" w:hAnsi="宋体" w:eastAsia="宋体" w:cs="Arial"/>
          <w:bCs/>
          <w:snapToGrid w:val="0"/>
          <w:sz w:val="21"/>
          <w:szCs w:val="21"/>
        </w:rPr>
        <w:t>”</w:t>
      </w:r>
      <w:r>
        <w:rPr>
          <w:rFonts w:ascii="Arial" w:hAnsi="Arial" w:eastAsia="宋体" w:cs="Arial"/>
          <w:bCs/>
          <w:snapToGrid w:val="0"/>
          <w:sz w:val="21"/>
          <w:szCs w:val="21"/>
        </w:rPr>
        <w:t>中增加了第2709部分。通常，本部分</w:t>
      </w:r>
      <w:r>
        <w:rPr>
          <w:rFonts w:ascii="宋体" w:hAnsi="宋体" w:eastAsia="宋体" w:cs="Arial"/>
          <w:bCs/>
          <w:snapToGrid w:val="0"/>
          <w:sz w:val="21"/>
          <w:szCs w:val="21"/>
        </w:rPr>
        <w:t>“</w:t>
      </w:r>
      <w:r>
        <w:rPr>
          <w:rFonts w:ascii="Arial" w:hAnsi="Arial" w:eastAsia="宋体" w:cs="Arial"/>
          <w:bCs/>
          <w:snapToGrid w:val="0"/>
          <w:sz w:val="21"/>
          <w:szCs w:val="21"/>
        </w:rPr>
        <w:t>参加批准的临床试验的个人的覆盖范围</w:t>
      </w:r>
      <w:r>
        <w:rPr>
          <w:rFonts w:ascii="宋体" w:hAnsi="宋体" w:eastAsia="宋体" w:cs="Arial"/>
          <w:bCs/>
          <w:snapToGrid w:val="0"/>
          <w:sz w:val="21"/>
          <w:szCs w:val="21"/>
        </w:rPr>
        <w:t>”</w:t>
      </w:r>
      <w:r>
        <w:rPr>
          <w:rFonts w:ascii="Arial" w:hAnsi="Arial" w:eastAsia="宋体" w:cs="Arial"/>
          <w:bCs/>
          <w:snapToGrid w:val="0"/>
          <w:sz w:val="21"/>
          <w:szCs w:val="21"/>
        </w:rPr>
        <w:t>将禁止医疗保险发放者因个人（需要治疗癌症或其他危及生命的疾病）选择参加临床试验而拒绝承保范围，医疗保险的发放者也不得拒绝因个人参加临床试验而应由他们提供的常规治疗的覆盖范围。</w:t>
      </w:r>
    </w:p>
  </w:footnote>
  <w:footnote w:id="23">
    <w:p w14:paraId="486EB855">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bCs/>
          <w:snapToGrid w:val="0"/>
          <w:sz w:val="21"/>
          <w:szCs w:val="21"/>
        </w:rPr>
        <w:t>扩大应用研究的新药申请（IND）和治疗方案的申办方可能会收回这些直接成本以外的其他成本。见21 CFR 312.8 (d)（2）。</w:t>
      </w:r>
    </w:p>
  </w:footnote>
  <w:footnote w:id="24">
    <w:p w14:paraId="5512FA19">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更多信息请参见FDA</w:t>
      </w:r>
      <w:r>
        <w:rPr>
          <w:rFonts w:hint="eastAsia" w:ascii="Arial" w:hAnsi="Arial" w:eastAsia="宋体" w:cs="Arial"/>
          <w:snapToGrid w:val="0"/>
          <w:sz w:val="21"/>
          <w:szCs w:val="21"/>
        </w:rPr>
        <w:t>指</w:t>
      </w:r>
      <w:r>
        <w:rPr>
          <w:rFonts w:ascii="Arial" w:hAnsi="Arial" w:eastAsia="宋体" w:cs="Arial"/>
          <w:snapToGrid w:val="0"/>
          <w:sz w:val="21"/>
          <w:szCs w:val="21"/>
        </w:rPr>
        <w:t>南，</w:t>
      </w:r>
      <w:r>
        <w:rPr>
          <w:rFonts w:ascii="宋体" w:hAnsi="宋体" w:eastAsia="宋体" w:cs="Arial"/>
          <w:snapToGrid w:val="0"/>
          <w:sz w:val="21"/>
          <w:szCs w:val="21"/>
        </w:rPr>
        <w:t>“</w:t>
      </w:r>
      <w:r>
        <w:rPr>
          <w:rFonts w:ascii="Arial" w:hAnsi="Arial" w:eastAsia="宋体" w:cs="Arial"/>
          <w:snapToGrid w:val="0"/>
          <w:sz w:val="21"/>
          <w:szCs w:val="21"/>
        </w:rPr>
        <w:t>知情同意要素的问答，21 CFR§50.25（c）</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"http://www.fda.gov/downloads/RegulatoryInformation/Guidances/UCM291085.pdf"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//www.fda.gov/downloads/RegulatoryInformation/Guidances/UCM291085.pdf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25">
    <w:p w14:paraId="4040CD48">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申办方和研究者有责任确定其临床试验是否符合</w:t>
      </w:r>
      <w:r>
        <w:rPr>
          <w:rFonts w:ascii="宋体" w:hAnsi="宋体" w:eastAsia="宋体" w:cs="Arial"/>
          <w:snapToGrid w:val="0"/>
          <w:sz w:val="21"/>
          <w:szCs w:val="21"/>
        </w:rPr>
        <w:t>“</w:t>
      </w:r>
      <w:r>
        <w:rPr>
          <w:rFonts w:ascii="Arial" w:hAnsi="Arial" w:eastAsia="宋体" w:cs="Arial"/>
          <w:snapToGrid w:val="0"/>
          <w:sz w:val="21"/>
          <w:szCs w:val="21"/>
        </w:rPr>
        <w:t>适用的临床试验</w:t>
      </w:r>
      <w:r>
        <w:rPr>
          <w:rFonts w:ascii="宋体" w:hAnsi="宋体" w:eastAsia="宋体" w:cs="Arial"/>
          <w:snapToGrid w:val="0"/>
          <w:sz w:val="21"/>
          <w:szCs w:val="21"/>
        </w:rPr>
        <w:t>”</w:t>
      </w:r>
      <w:r>
        <w:rPr>
          <w:rFonts w:ascii="Arial" w:hAnsi="Arial" w:eastAsia="宋体" w:cs="Arial"/>
          <w:snapToGrid w:val="0"/>
          <w:sz w:val="21"/>
          <w:szCs w:val="21"/>
        </w:rPr>
        <w:t>的定义，并确保符合最新的适用法定要求和监管要求。有关</w:t>
      </w:r>
      <w:r>
        <w:rPr>
          <w:rFonts w:ascii="宋体" w:hAnsi="宋体" w:eastAsia="宋体" w:cs="Arial"/>
          <w:snapToGrid w:val="0"/>
          <w:sz w:val="21"/>
          <w:szCs w:val="21"/>
        </w:rPr>
        <w:t>“</w:t>
      </w:r>
      <w:r>
        <w:rPr>
          <w:rFonts w:ascii="Arial" w:hAnsi="Arial" w:eastAsia="宋体" w:cs="Arial"/>
          <w:snapToGrid w:val="0"/>
          <w:sz w:val="21"/>
          <w:szCs w:val="21"/>
        </w:rPr>
        <w:t>适用的临床试验</w:t>
      </w:r>
      <w:r>
        <w:rPr>
          <w:rFonts w:ascii="宋体" w:hAnsi="宋体" w:eastAsia="宋体" w:cs="Arial"/>
          <w:snapToGrid w:val="0"/>
          <w:sz w:val="21"/>
          <w:szCs w:val="21"/>
        </w:rPr>
        <w:t>”</w:t>
      </w:r>
      <w:r>
        <w:rPr>
          <w:rFonts w:ascii="Arial" w:hAnsi="Arial" w:eastAsia="宋体" w:cs="Arial"/>
          <w:snapToGrid w:val="0"/>
          <w:sz w:val="21"/>
          <w:szCs w:val="21"/>
        </w:rPr>
        <w:t>的信息，请参见</w:t>
      </w:r>
      <w:r>
        <w:fldChar w:fldCharType="begin"/>
      </w:r>
      <w:r>
        <w:instrText xml:space="preserve"> HYPERLINK "http://clinicaltrials.gov/ct2/manage-recs/fdaaa"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//clinicaltrials.gov/ct2/manage-recs/fdaaa</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以及</w:t>
      </w:r>
      <w:r>
        <w:rPr>
          <w:rFonts w:ascii="宋体" w:hAnsi="宋体" w:eastAsia="宋体" w:cs="Arial"/>
          <w:snapToGrid w:val="0"/>
          <w:sz w:val="21"/>
          <w:szCs w:val="21"/>
        </w:rPr>
        <w:t>“</w:t>
      </w:r>
      <w:r>
        <w:rPr>
          <w:rFonts w:ascii="Arial" w:hAnsi="Arial" w:eastAsia="宋体" w:cs="Arial"/>
          <w:snapToGrid w:val="0"/>
          <w:sz w:val="21"/>
          <w:szCs w:val="21"/>
        </w:rPr>
        <w:t>责任方和适用的临床试验的定义及详细说明</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"http://prsinfo.clinicaltrials.gov/ElaborationsOnDefinitions.pdf"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//prsinfo.clinicaltrials.gov/ElaborationsOnDefinitions.pdf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（见第4-10页）。</w:t>
      </w:r>
    </w:p>
  </w:footnote>
  <w:footnote w:id="26">
    <w:p w14:paraId="1598A2DC">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请注意，儿童同意不需要此声明。</w:t>
      </w:r>
    </w:p>
  </w:footnote>
  <w:footnote w:id="27">
    <w:p w14:paraId="3500864B">
      <w:pPr>
        <w:widowControl w:val="0"/>
        <w:topLinePunct/>
        <w:spacing w:line="300" w:lineRule="auto"/>
        <w:jc w:val="both"/>
        <w:rPr>
          <w:rFonts w:ascii="Arial" w:hAnsi="Arial" w:eastAsia="宋体" w:cs="Arial"/>
          <w:i/>
          <w:snapToGrid w:val="0"/>
          <w:sz w:val="21"/>
        </w:rPr>
      </w:pPr>
      <w:r>
        <w:rPr>
          <w:rStyle w:val="25"/>
          <w:sz w:val="21"/>
        </w:rPr>
        <w:footnoteRef/>
      </w:r>
      <w:r>
        <w:rPr>
          <w:sz w:val="21"/>
        </w:rPr>
        <w:t xml:space="preserve"> </w:t>
      </w:r>
      <w:r>
        <w:rPr>
          <w:rFonts w:ascii="Arial" w:hAnsi="Arial" w:eastAsia="宋体" w:cs="Arial"/>
          <w:snapToGrid w:val="0"/>
          <w:sz w:val="21"/>
        </w:rPr>
        <w:t>21 CFR 56.109（c）规定：</w:t>
      </w:r>
      <w:r>
        <w:rPr>
          <w:rFonts w:ascii="宋体" w:hAnsi="宋体" w:eastAsia="宋体" w:cs="Arial"/>
          <w:i/>
          <w:snapToGrid w:val="0"/>
          <w:sz w:val="21"/>
        </w:rPr>
        <w:t>“</w:t>
      </w:r>
      <w:r>
        <w:rPr>
          <w:rFonts w:ascii="Arial" w:hAnsi="Arial" w:eastAsia="宋体" w:cs="Arial"/>
          <w:i/>
          <w:snapToGrid w:val="0"/>
          <w:sz w:val="21"/>
        </w:rPr>
        <w:t>IRB应按照本章第50.27节要求知情同意文件，但下列情况除外：</w:t>
      </w:r>
    </w:p>
    <w:p w14:paraId="23933233">
      <w:pPr>
        <w:widowControl w:val="0"/>
        <w:topLinePunct/>
        <w:spacing w:line="300" w:lineRule="auto"/>
        <w:ind w:left="756" w:hanging="756" w:hangingChars="360"/>
        <w:jc w:val="both"/>
        <w:rPr>
          <w:rFonts w:ascii="Arial" w:hAnsi="Arial" w:eastAsia="宋体" w:cs="Arial"/>
          <w:i/>
          <w:snapToGrid w:val="0"/>
          <w:sz w:val="21"/>
        </w:rPr>
      </w:pPr>
      <w:r>
        <w:rPr>
          <w:rFonts w:ascii="宋体" w:hAnsi="宋体" w:eastAsia="宋体" w:cs="Arial"/>
          <w:i/>
          <w:snapToGrid w:val="0"/>
          <w:sz w:val="21"/>
        </w:rPr>
        <w:t>“</w:t>
      </w:r>
      <w:r>
        <w:rPr>
          <w:rFonts w:ascii="Arial" w:hAnsi="Arial" w:eastAsia="宋体" w:cs="Arial"/>
          <w:i/>
          <w:snapToGrid w:val="0"/>
          <w:sz w:val="21"/>
        </w:rPr>
        <w:t>（1）对于部分或全体受试者，如果发现研究对受试者的风险不高于最小伤害的风险，且不涉及在研究范围之外通常需要书面同意的程序，IRB可以豁免受试者或受试者的合法授权代表签署书面同意书的要求；或</w:t>
      </w:r>
    </w:p>
    <w:p w14:paraId="50DCDAB7">
      <w:pPr>
        <w:pStyle w:val="19"/>
        <w:spacing w:line="300" w:lineRule="auto"/>
        <w:ind w:left="756" w:hanging="756" w:hangingChars="360"/>
        <w:jc w:val="both"/>
        <w:rPr>
          <w:sz w:val="21"/>
          <w:szCs w:val="21"/>
        </w:rPr>
      </w:pPr>
      <w:r>
        <w:rPr>
          <w:rFonts w:ascii="宋体" w:hAnsi="宋体" w:eastAsia="宋体" w:cs="Arial"/>
          <w:i/>
          <w:snapToGrid w:val="0"/>
          <w:sz w:val="21"/>
          <w:szCs w:val="21"/>
        </w:rPr>
        <w:t>“</w:t>
      </w:r>
      <w:r>
        <w:rPr>
          <w:rFonts w:ascii="Arial" w:hAnsi="Arial" w:eastAsia="宋体" w:cs="Arial"/>
          <w:i/>
          <w:snapToGrid w:val="0"/>
          <w:sz w:val="21"/>
          <w:szCs w:val="21"/>
        </w:rPr>
        <w:t>（2）对于部分或全体受试者，IRB可能会发现本章第50.24节的要求符合紧急研究知情同意的例外情况。</w:t>
      </w:r>
      <w:r>
        <w:rPr>
          <w:rFonts w:ascii="宋体" w:hAnsi="宋体" w:eastAsia="宋体" w:cs="Arial"/>
          <w:i/>
          <w:snapToGrid w:val="0"/>
          <w:sz w:val="21"/>
          <w:szCs w:val="21"/>
        </w:rPr>
        <w:t>”</w:t>
      </w:r>
    </w:p>
  </w:footnote>
  <w:footnote w:id="28">
    <w:p w14:paraId="4ED3559C">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见</w:t>
      </w:r>
      <w:r>
        <w:rPr>
          <w:rFonts w:ascii="Arial" w:hAnsi="Arial" w:eastAsia="宋体" w:cs="Arial"/>
          <w:snapToGrid w:val="0"/>
          <w:color w:val="3333FF"/>
          <w:sz w:val="21"/>
          <w:szCs w:val="21"/>
          <w:u w:val="single"/>
        </w:rPr>
        <w:t>21 CFR</w:t>
      </w:r>
      <w:r>
        <w:rPr>
          <w:rFonts w:hint="eastAsia" w:ascii="Arial" w:hAnsi="Arial" w:eastAsia="宋体" w:cs="Arial"/>
          <w:snapToGrid w:val="0"/>
          <w:color w:val="3333FF"/>
          <w:sz w:val="21"/>
          <w:szCs w:val="21"/>
          <w:u w:val="single"/>
        </w:rPr>
        <w:t>第</w:t>
      </w:r>
      <w:r>
        <w:rPr>
          <w:rFonts w:ascii="Arial" w:hAnsi="Arial" w:eastAsia="宋体" w:cs="Arial"/>
          <w:snapToGrid w:val="0"/>
          <w:color w:val="3333FF"/>
          <w:sz w:val="21"/>
          <w:szCs w:val="21"/>
          <w:u w:val="single"/>
        </w:rPr>
        <w:t>11</w:t>
      </w:r>
      <w:r>
        <w:rPr>
          <w:rFonts w:hint="eastAsia" w:ascii="Arial" w:hAnsi="Arial" w:eastAsia="宋体" w:cs="Arial"/>
          <w:snapToGrid w:val="0"/>
          <w:color w:val="3333FF"/>
          <w:sz w:val="21"/>
          <w:szCs w:val="21"/>
          <w:u w:val="single"/>
        </w:rPr>
        <w:t>部分</w:t>
      </w:r>
      <w:r>
        <w:rPr>
          <w:rFonts w:ascii="宋体" w:hAnsi="宋体" w:eastAsia="宋体" w:cs="Arial"/>
          <w:snapToGrid w:val="0"/>
          <w:sz w:val="21"/>
          <w:szCs w:val="21"/>
        </w:rPr>
        <w:t>“</w:t>
      </w:r>
      <w:r>
        <w:rPr>
          <w:rFonts w:ascii="Arial" w:hAnsi="Arial" w:eastAsia="宋体" w:cs="Arial"/>
          <w:snapToGrid w:val="0"/>
          <w:sz w:val="21"/>
          <w:szCs w:val="21"/>
        </w:rPr>
        <w:t>电子记录</w:t>
      </w:r>
      <w:r>
        <w:rPr>
          <w:rFonts w:ascii="宋体" w:hAnsi="宋体" w:eastAsia="宋体" w:cs="Arial"/>
          <w:snapToGrid w:val="0"/>
          <w:sz w:val="21"/>
          <w:szCs w:val="21"/>
        </w:rPr>
        <w:t>”</w:t>
      </w:r>
      <w:r>
        <w:rPr>
          <w:rFonts w:ascii="Arial" w:hAnsi="Arial" w:eastAsia="宋体" w:cs="Arial"/>
          <w:snapToGrid w:val="0"/>
          <w:sz w:val="21"/>
          <w:szCs w:val="21"/>
        </w:rPr>
        <w:t>；电子签名。指南也可见于</w:t>
      </w:r>
      <w:r>
        <w:fldChar w:fldCharType="begin"/>
      </w:r>
      <w:r>
        <w:instrText xml:space="preserve"> HYPERLINK "http://www.fda.gov/downloads/RegulatoryInformation/Guidances/UCM126953.pdf"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//www.fda.gov/downloads/RegulatoryInformation/Guidances/UCM126953.pdf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，题为</w:t>
      </w:r>
      <w:r>
        <w:rPr>
          <w:rFonts w:ascii="宋体" w:hAnsi="宋体" w:eastAsia="宋体" w:cs="Arial"/>
          <w:snapToGrid w:val="0"/>
          <w:sz w:val="21"/>
          <w:szCs w:val="21"/>
        </w:rPr>
        <w:t>“</w:t>
      </w:r>
      <w:r>
        <w:rPr>
          <w:rFonts w:ascii="Arial" w:hAnsi="Arial" w:eastAsia="宋体" w:cs="Arial"/>
          <w:snapToGrid w:val="0"/>
          <w:sz w:val="21"/>
          <w:szCs w:val="21"/>
        </w:rPr>
        <w:t>行业指南第11部分，电子记录；电子签名-范围和应用</w:t>
      </w:r>
      <w:r>
        <w:rPr>
          <w:rFonts w:ascii="宋体" w:hAnsi="宋体" w:eastAsia="宋体" w:cs="Arial"/>
          <w:snapToGrid w:val="0"/>
          <w:sz w:val="21"/>
          <w:szCs w:val="21"/>
        </w:rPr>
        <w:t>”</w:t>
      </w:r>
      <w:r>
        <w:rPr>
          <w:rFonts w:ascii="Arial" w:hAnsi="Arial" w:eastAsia="宋体" w:cs="Arial"/>
          <w:snapToGrid w:val="0"/>
          <w:sz w:val="21"/>
          <w:szCs w:val="21"/>
        </w:rPr>
        <w:t>。</w:t>
      </w:r>
    </w:p>
  </w:footnote>
  <w:footnote w:id="29">
    <w:p w14:paraId="2DFBDE53">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与紧急研究（如21 CFR 56.109 (c)（2）中所述）相关的文件要求，可见于21 CFR 50.24，这些研究在单独的指南中进行讨论，</w:t>
      </w:r>
      <w:r>
        <w:rPr>
          <w:rFonts w:ascii="宋体" w:hAnsi="宋体" w:eastAsia="宋体" w:cs="Arial"/>
          <w:snapToGrid w:val="0"/>
          <w:sz w:val="21"/>
          <w:szCs w:val="21"/>
        </w:rPr>
        <w:t>“</w:t>
      </w:r>
      <w:r>
        <w:rPr>
          <w:rFonts w:ascii="Arial" w:hAnsi="Arial" w:eastAsia="宋体" w:cs="Arial"/>
          <w:snapToGrid w:val="0"/>
          <w:sz w:val="21"/>
          <w:szCs w:val="21"/>
        </w:rPr>
        <w:t>机构审查委员会、临床研究者和申办方指南；用于紧急研究的知情同意要求豁免</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"http://www.fda.gov/downloads/RegulatoryInformation/Guidances/UCM249673.pdf"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//www.fda.gov/downloads/RegulatoryInformation/Guidances/UCM249673.pdf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30">
    <w:p w14:paraId="074D1C42">
      <w:pPr>
        <w:pStyle w:val="19"/>
        <w:spacing w:line="300" w:lineRule="auto"/>
        <w:jc w:val="both"/>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可以联系研究用产品领域的FDA审查部门，讨论获得知情同意的替代方法。</w:t>
      </w:r>
    </w:p>
  </w:footnote>
  <w:footnote w:id="31">
    <w:p w14:paraId="02B6FF79">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潜在受试者应有足够的机会和时间来考虑入组研究，从而将胁迫和不当影响降至最低。见</w:t>
      </w:r>
      <w:r>
        <w:rPr>
          <w:rFonts w:hint="eastAsia" w:ascii="Arial" w:hAnsi="Arial" w:eastAsia="宋体" w:cs="Arial"/>
          <w:snapToGrid w:val="0"/>
          <w:color w:val="3333FF"/>
          <w:sz w:val="21"/>
          <w:szCs w:val="21"/>
          <w:u w:val="single"/>
        </w:rPr>
        <w:t>第</w:t>
      </w:r>
      <w:r>
        <w:rPr>
          <w:rFonts w:ascii="Arial" w:hAnsi="Arial" w:eastAsia="宋体" w:cs="Arial"/>
          <w:snapToGrid w:val="0"/>
          <w:color w:val="3333FF"/>
          <w:sz w:val="21"/>
          <w:szCs w:val="21"/>
          <w:u w:val="single"/>
        </w:rPr>
        <w:t>III.A.2</w:t>
      </w:r>
      <w:r>
        <w:rPr>
          <w:rFonts w:hint="eastAsia" w:ascii="Arial" w:hAnsi="Arial" w:eastAsia="宋体" w:cs="Arial"/>
          <w:snapToGrid w:val="0"/>
          <w:color w:val="3333FF"/>
          <w:sz w:val="21"/>
          <w:szCs w:val="21"/>
          <w:u w:val="single"/>
        </w:rPr>
        <w:t>节</w:t>
      </w:r>
      <w:r>
        <w:rPr>
          <w:rFonts w:ascii="宋体" w:hAnsi="宋体" w:eastAsia="宋体" w:cs="Arial"/>
          <w:snapToGrid w:val="0"/>
          <w:sz w:val="21"/>
          <w:szCs w:val="21"/>
        </w:rPr>
        <w:t>“</w:t>
      </w:r>
      <w:r>
        <w:rPr>
          <w:rFonts w:ascii="Arial" w:hAnsi="Arial" w:eastAsia="宋体" w:cs="Arial"/>
          <w:snapToGrid w:val="0"/>
          <w:sz w:val="21"/>
          <w:szCs w:val="21"/>
        </w:rPr>
        <w:t>胁迫和不当影响</w:t>
      </w:r>
      <w:r>
        <w:rPr>
          <w:rFonts w:ascii="宋体" w:hAnsi="宋体" w:eastAsia="宋体" w:cs="Arial"/>
          <w:snapToGrid w:val="0"/>
          <w:sz w:val="21"/>
          <w:szCs w:val="21"/>
        </w:rPr>
        <w:t>”</w:t>
      </w:r>
      <w:r>
        <w:rPr>
          <w:rFonts w:ascii="Arial" w:hAnsi="Arial" w:eastAsia="宋体" w:cs="Arial"/>
          <w:snapToGrid w:val="0"/>
          <w:sz w:val="21"/>
          <w:szCs w:val="21"/>
        </w:rPr>
        <w:t>。</w:t>
      </w:r>
    </w:p>
  </w:footnote>
  <w:footnote w:id="32">
    <w:p w14:paraId="4ED40C3E">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参见1981年1月27日</w:t>
      </w:r>
      <w:r>
        <w:rPr>
          <w:rFonts w:ascii="Arial" w:hAnsi="Arial" w:eastAsia="宋体" w:cs="Arial"/>
          <w:i/>
          <w:snapToGrid w:val="0"/>
          <w:sz w:val="21"/>
          <w:szCs w:val="21"/>
        </w:rPr>
        <w:t>联邦公报（</w:t>
      </w:r>
      <w:r>
        <w:rPr>
          <w:rFonts w:ascii="Arial" w:hAnsi="Arial" w:eastAsia="宋体" w:cs="Arial"/>
          <w:snapToGrid w:val="0"/>
          <w:sz w:val="21"/>
          <w:szCs w:val="21"/>
        </w:rPr>
        <w:t>46 FR 8949）的最终法规序言。</w:t>
      </w:r>
    </w:p>
  </w:footnote>
  <w:footnote w:id="33">
    <w:p w14:paraId="47A08A7F">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根据21 CFR第56部分，IRB不需要审查独立的健康保险携带和责任法案（HIPAA）授权，只要可以采用21 CFR 56.108（a）规定的IRB书面程序，就不需要此类审查和批准。请参见FDA</w:t>
      </w:r>
      <w:r>
        <w:rPr>
          <w:rFonts w:ascii="宋体" w:hAnsi="宋体" w:eastAsia="宋体" w:cs="Arial"/>
          <w:snapToGrid w:val="0"/>
          <w:sz w:val="21"/>
          <w:szCs w:val="21"/>
        </w:rPr>
        <w:t>“</w:t>
      </w:r>
      <w:r>
        <w:rPr>
          <w:rFonts w:ascii="Arial" w:hAnsi="Arial" w:eastAsia="宋体" w:cs="Arial"/>
          <w:snapToGrid w:val="0"/>
          <w:sz w:val="21"/>
          <w:szCs w:val="21"/>
        </w:rPr>
        <w:t>行业指南：FDA法规下独立HIPAA授权的IRB审查</w:t>
      </w:r>
      <w:r>
        <w:rPr>
          <w:rFonts w:ascii="宋体" w:hAnsi="宋体" w:eastAsia="宋体" w:cs="Arial"/>
          <w:snapToGrid w:val="0"/>
          <w:sz w:val="21"/>
          <w:szCs w:val="21"/>
        </w:rPr>
        <w:t>”</w:t>
      </w:r>
      <w:r>
        <w:rPr>
          <w:rFonts w:ascii="Arial" w:hAnsi="Arial" w:eastAsia="宋体" w:cs="Arial"/>
          <w:snapToGrid w:val="0"/>
          <w:sz w:val="21"/>
          <w:szCs w:val="21"/>
        </w:rPr>
        <w:t>第8页（可见于</w:t>
      </w:r>
      <w:r>
        <w:fldChar w:fldCharType="begin"/>
      </w:r>
      <w:r>
        <w:instrText xml:space="preserve"> HYPERLINK "http://www.fda.gov/downloads/RegulatoryInformation/Guidances/UCM126952.pdf"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//www.fda.gov/downloads/RegulatoryInformation/Guidances/UCM126952.pdf</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34">
    <w:p w14:paraId="6784E0CA">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如FDA信息表</w:t>
      </w:r>
      <w:r>
        <w:rPr>
          <w:rFonts w:ascii="宋体" w:hAnsi="宋体" w:eastAsia="宋体" w:cs="Arial"/>
          <w:snapToGrid w:val="0"/>
          <w:sz w:val="21"/>
          <w:szCs w:val="21"/>
        </w:rPr>
        <w:t>“</w:t>
      </w:r>
      <w:r>
        <w:rPr>
          <w:rFonts w:ascii="Arial" w:hAnsi="Arial" w:eastAsia="宋体" w:cs="Arial"/>
          <w:snapToGrid w:val="0"/>
          <w:sz w:val="21"/>
          <w:szCs w:val="21"/>
        </w:rPr>
        <w:t>招募研究受试者</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"http://www.fda.gov/RegulatoryInformation/Guidances/ucm126428.htm"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//www.fda.gov/RegulatoryInformation/Guidances/ucm126428.htm</w:t>
      </w:r>
      <w:r>
        <w:rPr>
          <w:rStyle w:val="24"/>
          <w:rFonts w:ascii="Arial" w:hAnsi="Arial" w:eastAsia="宋体" w:cs="Arial"/>
          <w:snapToGrid w:val="0"/>
          <w:color w:val="3333FF"/>
          <w:sz w:val="21"/>
          <w:szCs w:val="21"/>
        </w:rPr>
        <w:fldChar w:fldCharType="end"/>
      </w:r>
      <w:r>
        <w:rPr>
          <w:rFonts w:ascii="Arial" w:hAnsi="Arial" w:eastAsia="宋体" w:cs="Arial"/>
          <w:snapToGrid w:val="0"/>
          <w:sz w:val="21"/>
          <w:szCs w:val="21"/>
        </w:rPr>
        <w:t>）中所述，FDA考虑了广告宣传，包括但不限于报纸、广播、电视、公告栏、海报、传单和网络帖子，均为同意过程的一部分。但是，FDA并不考虑将临床研究的基本信息列入招募广告。有关临床研究的基本信息为：临床研究的名称、临床研究的目的、方案摘要、基本的</w:t>
      </w:r>
      <w:r>
        <w:rPr>
          <w:rFonts w:hint="eastAsia" w:ascii="Arial" w:hAnsi="Arial" w:eastAsia="宋体" w:cs="Arial"/>
          <w:snapToGrid w:val="0"/>
          <w:sz w:val="21"/>
          <w:szCs w:val="21"/>
        </w:rPr>
        <w:t>入组</w:t>
      </w:r>
      <w:r>
        <w:rPr>
          <w:rFonts w:ascii="Arial" w:hAnsi="Arial" w:eastAsia="宋体" w:cs="Arial"/>
          <w:snapToGrid w:val="0"/>
          <w:sz w:val="21"/>
          <w:szCs w:val="21"/>
        </w:rPr>
        <w:t>标准、研究中心的位置，以及如何联系中心以获取更多信息。基本信息表的一个例子是美国国立卫生研究院临床试验登记处（</w:t>
      </w:r>
      <w:r>
        <w:fldChar w:fldCharType="begin"/>
      </w:r>
      <w:r>
        <w:instrText xml:space="preserve"> HYPERLINK "http://clinicaltrials.gov/"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//clinicaltrials.gov/</w:t>
      </w:r>
      <w:r>
        <w:rPr>
          <w:rStyle w:val="24"/>
          <w:rFonts w:ascii="Arial" w:hAnsi="Arial" w:eastAsia="宋体" w:cs="Arial"/>
          <w:snapToGrid w:val="0"/>
          <w:color w:val="3333FF"/>
          <w:sz w:val="21"/>
          <w:szCs w:val="21"/>
        </w:rPr>
        <w:fldChar w:fldCharType="end"/>
      </w:r>
      <w:r>
        <w:rPr>
          <w:rFonts w:ascii="Arial" w:hAnsi="Arial" w:eastAsia="宋体" w:cs="Arial"/>
          <w:snapToGrid w:val="0"/>
          <w:sz w:val="21"/>
          <w:szCs w:val="21"/>
        </w:rPr>
        <w:t>），许多FDA监管的临床研究需要在此登记。任何因格式所限而只能提供基本信息的临床研究贴子都不需要由IRB进行审查，而任何可以提供多于基本信息的帖子均需由IRB进行审查。</w:t>
      </w:r>
    </w:p>
  </w:footnote>
  <w:footnote w:id="35">
    <w:p w14:paraId="690FEB69">
      <w:pPr>
        <w:pStyle w:val="19"/>
        <w:spacing w:line="300" w:lineRule="auto"/>
        <w:jc w:val="both"/>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FDA规定的弱势人群包括儿童、囚犯、孕妇、残疾人或智障人士、或经济或教育上处于劣势的人（21 CFR 56.111（a）（3）和（b））；然而，IRB可以认为更多的人易受不当影响，并应决定为这些人群提供额外的保护。</w:t>
      </w:r>
    </w:p>
  </w:footnote>
  <w:footnote w:id="36">
    <w:p w14:paraId="152D2C77">
      <w:pPr>
        <w:pStyle w:val="19"/>
        <w:spacing w:line="300" w:lineRule="auto"/>
        <w:rPr>
          <w:sz w:val="21"/>
          <w:szCs w:val="21"/>
        </w:rPr>
      </w:pPr>
      <w:r>
        <w:rPr>
          <w:rStyle w:val="25"/>
          <w:sz w:val="21"/>
          <w:szCs w:val="21"/>
        </w:rPr>
        <w:footnoteRef/>
      </w:r>
      <w:r>
        <w:rPr>
          <w:sz w:val="21"/>
          <w:szCs w:val="21"/>
        </w:rPr>
        <w:t xml:space="preserve"> </w:t>
      </w:r>
      <w:r>
        <w:rPr>
          <w:rFonts w:hint="eastAsia" w:ascii="Arial" w:hAnsi="Arial" w:eastAsia="宋体" w:cs="Arial"/>
          <w:snapToGrid w:val="0"/>
          <w:sz w:val="21"/>
          <w:szCs w:val="21"/>
        </w:rPr>
        <w:t>卫生和人类服务署的指南文件</w:t>
      </w:r>
      <w:r>
        <w:rPr>
          <w:rFonts w:ascii="宋体" w:hAnsi="宋体" w:eastAsia="宋体" w:cs="Arial"/>
          <w:snapToGrid w:val="0"/>
          <w:sz w:val="21"/>
          <w:szCs w:val="21"/>
        </w:rPr>
        <w:t>“</w:t>
      </w:r>
      <w:r>
        <w:rPr>
          <w:rFonts w:hint="eastAsia" w:ascii="Arial" w:hAnsi="Arial" w:eastAsia="宋体" w:cs="Arial"/>
          <w:snapToGrid w:val="0"/>
          <w:sz w:val="21"/>
          <w:szCs w:val="21"/>
        </w:rPr>
        <w:t>涉及受试者的研究中的财务关系和利益：受试者的保护指南</w:t>
      </w:r>
      <w:r>
        <w:rPr>
          <w:rFonts w:ascii="宋体" w:hAnsi="宋体" w:eastAsia="宋体" w:cs="Arial"/>
          <w:snapToGrid w:val="0"/>
          <w:sz w:val="21"/>
          <w:szCs w:val="21"/>
        </w:rPr>
        <w:t>”</w:t>
      </w:r>
      <w:r>
        <w:rPr>
          <w:rFonts w:hint="eastAsia" w:ascii="Arial" w:hAnsi="Arial" w:eastAsia="宋体" w:cs="Arial"/>
          <w:snapToGrid w:val="0"/>
          <w:sz w:val="21"/>
          <w:szCs w:val="21"/>
        </w:rPr>
        <w:t>中讨论了这个问题。该指南适用于</w:t>
      </w:r>
      <w:r>
        <w:rPr>
          <w:rFonts w:ascii="Arial" w:hAnsi="Arial" w:eastAsia="宋体" w:cs="Arial"/>
          <w:snapToGrid w:val="0"/>
          <w:sz w:val="21"/>
          <w:szCs w:val="21"/>
        </w:rPr>
        <w:t>FDA</w:t>
      </w:r>
      <w:r>
        <w:rPr>
          <w:rFonts w:hint="eastAsia" w:ascii="Arial" w:hAnsi="Arial" w:eastAsia="宋体" w:cs="Arial"/>
          <w:snapToGrid w:val="0"/>
          <w:sz w:val="21"/>
          <w:szCs w:val="21"/>
        </w:rPr>
        <w:t>监管的临床研究，可见于</w:t>
      </w:r>
      <w:r>
        <w:fldChar w:fldCharType="begin"/>
      </w:r>
      <w:r>
        <w:instrText xml:space="preserve"> HYPERLINK "http://www.hhs.gov/ohrp/policy/fguid.pdf"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//www.hhs.gov/ohrp/policy/fguid.pdf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hint="eastAsia" w:ascii="Arial" w:hAnsi="Arial" w:eastAsia="宋体" w:cs="Arial"/>
          <w:snapToGrid w:val="0"/>
          <w:sz w:val="21"/>
          <w:szCs w:val="21"/>
        </w:rPr>
        <w:t>。</w:t>
      </w:r>
    </w:p>
  </w:footnote>
  <w:footnote w:id="37">
    <w:p w14:paraId="7AB3C0BB">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见21 CFR 56.109（b）。</w:t>
      </w:r>
    </w:p>
  </w:footnote>
  <w:footnote w:id="38">
    <w:p w14:paraId="45495EA1">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建议以阅读水平为八年级或更低的水平来书写同意书，由国家癌症研究所（NCI）组建的工作组以及研究风险防护办公室（现为人类研究保护办公室，OHRP）和FDA在1998年制定，</w:t>
      </w:r>
      <w:r>
        <w:rPr>
          <w:rFonts w:ascii="宋体" w:hAnsi="宋体" w:eastAsia="宋体" w:cs="Arial"/>
          <w:snapToGrid w:val="0"/>
          <w:sz w:val="21"/>
          <w:szCs w:val="21"/>
        </w:rPr>
        <w:t>“</w:t>
      </w:r>
      <w:r>
        <w:rPr>
          <w:rFonts w:ascii="Arial" w:hAnsi="Arial" w:eastAsia="宋体" w:cs="Arial"/>
          <w:snapToGrid w:val="0"/>
          <w:sz w:val="21"/>
          <w:szCs w:val="21"/>
        </w:rPr>
        <w:t>为癌症临床试验制定知情同意文件的建议</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"http://www.cancer.gov/clinicaltrials/conducting/simplification-of-informed-consent-docs/page2"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//www.cancer.gov/clinicaltrials/conducting/simplification-of-informed-consent-docs/page2</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39">
    <w:p w14:paraId="6D089749">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有多种策略可以改善与患者的沟通，例如，请见：Doak，CC，Doak，LG，Friedell，GH，Meade，CD，</w:t>
      </w:r>
      <w:r>
        <w:rPr>
          <w:rFonts w:ascii="宋体" w:hAnsi="宋体" w:eastAsia="宋体" w:cs="Arial"/>
          <w:snapToGrid w:val="0"/>
          <w:sz w:val="21"/>
          <w:szCs w:val="21"/>
        </w:rPr>
        <w:t>“</w:t>
      </w:r>
      <w:r>
        <w:rPr>
          <w:rFonts w:ascii="Arial" w:hAnsi="Arial" w:eastAsia="宋体" w:cs="Arial"/>
          <w:snapToGrid w:val="0"/>
          <w:sz w:val="21"/>
          <w:szCs w:val="21"/>
        </w:rPr>
        <w:t>改善低识字能力的癌症患者的理解力：临床医生的策略</w:t>
      </w:r>
      <w:r>
        <w:rPr>
          <w:rFonts w:ascii="宋体" w:hAnsi="宋体" w:eastAsia="宋体" w:cs="Arial"/>
          <w:snapToGrid w:val="0"/>
          <w:sz w:val="21"/>
          <w:szCs w:val="21"/>
        </w:rPr>
        <w:t>”</w:t>
      </w:r>
      <w:r>
        <w:rPr>
          <w:rFonts w:ascii="Arial" w:hAnsi="Arial" w:eastAsia="宋体" w:cs="Arial"/>
          <w:snapToGrid w:val="0"/>
          <w:sz w:val="21"/>
          <w:szCs w:val="21"/>
        </w:rPr>
        <w:t>，Cancer： A Journal for Clinicians第48卷，第3期（1998年5/6月）： 151-162，</w:t>
      </w:r>
      <w:r>
        <w:fldChar w:fldCharType="begin"/>
      </w:r>
      <w:r>
        <w:instrText xml:space="preserve"> HYPERLINK "http://onlinelibrary.wiley.com/doi/10.3322/canjclin.48.3.151/full"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//onlinelibrary.wiley.com/doi/10.3322/canjclin.48.3.151/ful</w:t>
      </w:r>
      <w:r>
        <w:rPr>
          <w:rStyle w:val="24"/>
          <w:rFonts w:ascii="Arial" w:hAnsi="Arial" w:eastAsia="宋体" w:cs="Arial"/>
          <w:snapToGrid w:val="0"/>
          <w:sz w:val="21"/>
          <w:szCs w:val="21"/>
        </w:rPr>
        <w:t>l</w:t>
      </w:r>
      <w:r>
        <w:rPr>
          <w:rStyle w:val="24"/>
          <w:rFonts w:ascii="Arial" w:hAnsi="Arial" w:eastAsia="宋体" w:cs="Arial"/>
          <w:snapToGrid w:val="0"/>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40">
    <w:p w14:paraId="14BC479F">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更多信息请参见FDA信息表</w:t>
      </w:r>
      <w:r>
        <w:rPr>
          <w:rFonts w:ascii="宋体" w:hAnsi="宋体" w:eastAsia="宋体" w:cs="Arial"/>
          <w:snapToGrid w:val="0"/>
          <w:sz w:val="21"/>
          <w:szCs w:val="21"/>
        </w:rPr>
        <w:t>“</w:t>
      </w:r>
      <w:r>
        <w:rPr>
          <w:rFonts w:ascii="Arial" w:hAnsi="Arial" w:eastAsia="宋体" w:cs="Arial"/>
          <w:snapToGrid w:val="0"/>
          <w:sz w:val="21"/>
          <w:szCs w:val="21"/>
        </w:rPr>
        <w:t>招募研究受试者</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"http://www.fda.gov/RegulatoryInformation/Guidances/ucm126428.htm"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//www.fda.gov/RegulatoryInformation/Guidances/ucm126428.htm</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41">
    <w:p w14:paraId="7C9FD210">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更多信息请参见FDA信息表</w:t>
      </w:r>
      <w:r>
        <w:rPr>
          <w:rFonts w:ascii="宋体" w:hAnsi="宋体" w:eastAsia="宋体" w:cs="Arial"/>
          <w:snapToGrid w:val="0"/>
          <w:sz w:val="21"/>
          <w:szCs w:val="21"/>
        </w:rPr>
        <w:t>“</w:t>
      </w:r>
      <w:r>
        <w:rPr>
          <w:rFonts w:ascii="Arial" w:hAnsi="Arial" w:eastAsia="宋体" w:cs="Arial"/>
          <w:snapToGrid w:val="0"/>
          <w:sz w:val="21"/>
          <w:szCs w:val="21"/>
        </w:rPr>
        <w:t>向研究受试者支付</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"http://www.fda.gov/RegulatoryInformation/Guidances/ucm126429.htm"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//www.fda.gov/RegulatoryInformation/Guidances/ucm126429.htm</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42">
    <w:p w14:paraId="5A036DAD">
      <w:pPr>
        <w:widowControl w:val="0"/>
        <w:topLinePunct/>
        <w:spacing w:after="244" w:afterLines="75" w:line="300" w:lineRule="auto"/>
        <w:jc w:val="both"/>
        <w:rPr>
          <w:rFonts w:ascii="Arial" w:hAnsi="Arial" w:eastAsia="宋体" w:cs="Arial"/>
          <w:snapToGrid w:val="0"/>
          <w:sz w:val="21"/>
        </w:rPr>
      </w:pPr>
      <w:r>
        <w:rPr>
          <w:rStyle w:val="25"/>
          <w:sz w:val="21"/>
        </w:rPr>
        <w:footnoteRef/>
      </w:r>
      <w:r>
        <w:rPr>
          <w:sz w:val="21"/>
        </w:rPr>
        <w:t xml:space="preserve"> </w:t>
      </w:r>
      <w:r>
        <w:rPr>
          <w:rFonts w:ascii="Arial" w:hAnsi="Arial" w:eastAsia="宋体" w:cs="Arial"/>
          <w:snapToGrid w:val="0"/>
          <w:sz w:val="21"/>
        </w:rPr>
        <w:t>在1978年11月30日</w:t>
      </w:r>
      <w:r>
        <w:rPr>
          <w:rFonts w:ascii="Arial" w:hAnsi="Arial" w:eastAsia="宋体" w:cs="Arial"/>
          <w:i/>
          <w:snapToGrid w:val="0"/>
          <w:sz w:val="21"/>
        </w:rPr>
        <w:t>联邦公报（</w:t>
      </w:r>
      <w:r>
        <w:rPr>
          <w:rFonts w:ascii="Arial" w:hAnsi="Arial" w:eastAsia="宋体" w:cs="Arial"/>
          <w:snapToGrid w:val="0"/>
          <w:sz w:val="21"/>
        </w:rPr>
        <w:t>43 FR 56174）上发表的</w:t>
      </w:r>
      <w:r>
        <w:rPr>
          <w:rFonts w:ascii="宋体" w:hAnsi="宋体" w:eastAsia="宋体" w:cs="Arial"/>
          <w:snapToGrid w:val="0"/>
          <w:sz w:val="21"/>
        </w:rPr>
        <w:t>“</w:t>
      </w:r>
      <w:r>
        <w:rPr>
          <w:rFonts w:ascii="Arial" w:hAnsi="Arial" w:eastAsia="宋体" w:cs="Arial"/>
          <w:snapToGrid w:val="0"/>
          <w:sz w:val="21"/>
        </w:rPr>
        <w:t>机构审查委员会；生物医学和行为研究的受试者保护国家委员会的报告和建议</w:t>
      </w:r>
      <w:r>
        <w:rPr>
          <w:rFonts w:ascii="宋体" w:hAnsi="宋体" w:eastAsia="宋体" w:cs="Arial"/>
          <w:snapToGrid w:val="0"/>
          <w:sz w:val="21"/>
        </w:rPr>
        <w:t>”</w:t>
      </w:r>
      <w:r>
        <w:rPr>
          <w:rFonts w:ascii="Arial" w:hAnsi="Arial" w:eastAsia="宋体" w:cs="Arial"/>
          <w:snapToGrid w:val="0"/>
          <w:sz w:val="21"/>
        </w:rPr>
        <w:t>中，委员会指出：</w:t>
      </w:r>
    </w:p>
    <w:p w14:paraId="6782E70A">
      <w:pPr>
        <w:pStyle w:val="19"/>
        <w:spacing w:line="300" w:lineRule="auto"/>
        <w:ind w:left="840" w:leftChars="350"/>
        <w:jc w:val="both"/>
        <w:rPr>
          <w:sz w:val="21"/>
          <w:szCs w:val="21"/>
        </w:rPr>
      </w:pPr>
      <w:r>
        <w:rPr>
          <w:rFonts w:ascii="Arial" w:hAnsi="Arial" w:eastAsia="宋体" w:cs="Arial"/>
          <w:snapToGrid w:val="0"/>
          <w:sz w:val="21"/>
          <w:szCs w:val="21"/>
        </w:rPr>
        <w:t>观察同意过程或研究的进行是一项困难又微妙的任务。指定IRB的工作人员或成员观察研究活动，会对IRB的有限资源造成实质性的压力。此外，这种观察可能会侵犯受试者的保密关系或个人隐私。在确定继续审查方案的适当方法时，IRB应考虑到这些因素，并考虑替代方法，比如对研究者的报告要求。然而，某些研究需要进行观察，以确保受试者的保护，在这种情况下，IRB有义务采取适当的措施。Id.在56179。</w:t>
      </w:r>
    </w:p>
  </w:footnote>
  <w:footnote w:id="43">
    <w:p w14:paraId="6E73EF3A">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这将包括同意书的所有附件以及同意过程中使用的其他材料。</w:t>
      </w:r>
    </w:p>
  </w:footnote>
  <w:footnote w:id="44">
    <w:p w14:paraId="623B871A">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bCs/>
          <w:snapToGrid w:val="0"/>
          <w:sz w:val="21"/>
          <w:szCs w:val="21"/>
        </w:rPr>
        <w:t>参见21 CFR 312.60和812.100。</w:t>
      </w:r>
    </w:p>
  </w:footnote>
  <w:footnote w:id="45">
    <w:p w14:paraId="46744D2D">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bCs/>
          <w:snapToGrid w:val="0"/>
          <w:sz w:val="21"/>
          <w:szCs w:val="21"/>
        </w:rPr>
        <w:t>参见FDA</w:t>
      </w:r>
      <w:r>
        <w:rPr>
          <w:rFonts w:ascii="宋体" w:hAnsi="宋体" w:eastAsia="宋体" w:cs="Arial"/>
          <w:bCs/>
          <w:snapToGrid w:val="0"/>
          <w:sz w:val="21"/>
          <w:szCs w:val="21"/>
        </w:rPr>
        <w:t>“</w:t>
      </w:r>
      <w:r>
        <w:rPr>
          <w:rFonts w:ascii="Arial" w:hAnsi="Arial" w:eastAsia="宋体" w:cs="Arial"/>
          <w:bCs/>
          <w:snapToGrid w:val="0"/>
          <w:sz w:val="21"/>
          <w:szCs w:val="21"/>
        </w:rPr>
        <w:t>行业指南：研究者责任-保护受试者的权利、安全和福利</w:t>
      </w:r>
      <w:r>
        <w:rPr>
          <w:rFonts w:ascii="宋体" w:hAnsi="宋体" w:eastAsia="宋体" w:cs="Arial"/>
          <w:bCs/>
          <w:snapToGrid w:val="0"/>
          <w:sz w:val="21"/>
          <w:szCs w:val="21"/>
        </w:rPr>
        <w:t>”</w:t>
      </w:r>
      <w:r>
        <w:rPr>
          <w:rFonts w:ascii="Arial" w:hAnsi="Arial" w:eastAsia="宋体" w:cs="Arial"/>
          <w:bCs/>
          <w:snapToGrid w:val="0"/>
          <w:sz w:val="21"/>
          <w:szCs w:val="21"/>
        </w:rPr>
        <w:t>，2009年10月，可见于：</w:t>
      </w:r>
      <w:r>
        <w:fldChar w:fldCharType="begin"/>
      </w:r>
      <w:r>
        <w:instrText xml:space="preserve"> HYPERLINK "http://www.fda.gov/downloads/Drugs/GuidanceComplianceRegulatoryInformation/Guidances/UCM187772.pdf" </w:instrText>
      </w:r>
      <w:r>
        <w:fldChar w:fldCharType="separate"/>
      </w:r>
      <w:r>
        <w:rPr>
          <w:rStyle w:val="24"/>
          <w:rFonts w:ascii="Arial" w:hAnsi="Arial" w:eastAsia="宋体" w:cs="Arial"/>
          <w:bCs/>
          <w:snapToGrid w:val="0"/>
          <w:color w:val="3333FF"/>
          <w:sz w:val="21"/>
          <w:szCs w:val="21"/>
        </w:rPr>
        <w:t>http</w:t>
      </w:r>
      <w:r>
        <w:rPr>
          <w:rStyle w:val="24"/>
          <w:rFonts w:hint="eastAsia" w:ascii="Arial" w:hAnsi="Arial" w:eastAsia="宋体" w:cs="Arial"/>
          <w:bCs/>
          <w:snapToGrid w:val="0"/>
          <w:color w:val="3333FF"/>
          <w:sz w:val="21"/>
          <w:szCs w:val="21"/>
        </w:rPr>
        <w:t>：</w:t>
      </w:r>
      <w:r>
        <w:rPr>
          <w:rStyle w:val="24"/>
          <w:rFonts w:ascii="Arial" w:hAnsi="Arial" w:eastAsia="宋体" w:cs="Arial"/>
          <w:bCs/>
          <w:snapToGrid w:val="0"/>
          <w:color w:val="3333FF"/>
          <w:sz w:val="21"/>
          <w:szCs w:val="21"/>
        </w:rPr>
        <w:t>//www.fda.gov/downloads/Drugs/GuidanceComplianceRegulatoryInformation/Guidances/UCM187772.pdf</w:t>
      </w:r>
      <w:r>
        <w:rPr>
          <w:rStyle w:val="24"/>
          <w:rFonts w:ascii="Arial" w:hAnsi="Arial" w:eastAsia="宋体" w:cs="Arial"/>
          <w:bCs/>
          <w:snapToGrid w:val="0"/>
          <w:color w:val="3333FF"/>
          <w:sz w:val="21"/>
          <w:szCs w:val="21"/>
        </w:rPr>
        <w:fldChar w:fldCharType="end"/>
      </w:r>
      <w:r>
        <w:rPr>
          <w:rFonts w:hint="eastAsia" w:ascii="Arial" w:hAnsi="Arial" w:eastAsia="宋体" w:cs="Arial"/>
          <w:bCs/>
          <w:snapToGrid w:val="0"/>
          <w:sz w:val="21"/>
          <w:szCs w:val="21"/>
        </w:rPr>
        <w:t xml:space="preserve"> </w:t>
      </w:r>
      <w:r>
        <w:rPr>
          <w:rFonts w:ascii="Arial" w:hAnsi="Arial" w:eastAsia="宋体" w:cs="Arial"/>
          <w:bCs/>
          <w:snapToGrid w:val="0"/>
          <w:sz w:val="21"/>
          <w:szCs w:val="21"/>
        </w:rPr>
        <w:t>。</w:t>
      </w:r>
    </w:p>
  </w:footnote>
  <w:footnote w:id="46">
    <w:p w14:paraId="67277CC4">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该主题在卫生和人类服务署的指导性文件</w:t>
      </w:r>
      <w:r>
        <w:rPr>
          <w:rFonts w:ascii="宋体" w:hAnsi="宋体" w:eastAsia="宋体" w:cs="Arial"/>
          <w:snapToGrid w:val="0"/>
          <w:sz w:val="21"/>
          <w:szCs w:val="21"/>
        </w:rPr>
        <w:t>“</w:t>
      </w:r>
      <w:r>
        <w:rPr>
          <w:rFonts w:ascii="Arial" w:hAnsi="Arial" w:eastAsia="宋体" w:cs="Arial"/>
          <w:snapToGrid w:val="0"/>
          <w:sz w:val="21"/>
          <w:szCs w:val="21"/>
        </w:rPr>
        <w:t>在涉及受试者的研究中的财务关系和利益：受试者的保护指南</w:t>
      </w:r>
      <w:r>
        <w:rPr>
          <w:rFonts w:ascii="宋体" w:hAnsi="宋体" w:eastAsia="宋体" w:cs="Arial"/>
          <w:snapToGrid w:val="0"/>
          <w:sz w:val="21"/>
          <w:szCs w:val="21"/>
        </w:rPr>
        <w:t>”</w:t>
      </w:r>
      <w:r>
        <w:rPr>
          <w:rFonts w:ascii="Arial" w:hAnsi="Arial" w:eastAsia="宋体" w:cs="Arial"/>
          <w:snapToGrid w:val="0"/>
          <w:sz w:val="21"/>
          <w:szCs w:val="21"/>
        </w:rPr>
        <w:t>中进行了阐述。该指南适用于FDA监管的研究，可见于</w:t>
      </w:r>
      <w:r>
        <w:fldChar w:fldCharType="begin"/>
      </w:r>
      <w:r>
        <w:instrText xml:space="preserve"> HYPERLINK "http://www.hhs.gov/ohrp/policy/fguid.pdf"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//www.hhs.gov/ohrp/policy/fguid.pdf</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47">
    <w:p w14:paraId="4D4D59F3">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参见：</w:t>
      </w:r>
      <w:r>
        <w:rPr>
          <w:rFonts w:ascii="宋体" w:hAnsi="宋体" w:eastAsia="宋体" w:cs="Arial"/>
          <w:snapToGrid w:val="0"/>
          <w:sz w:val="21"/>
          <w:szCs w:val="21"/>
        </w:rPr>
        <w:t>“</w:t>
      </w:r>
      <w:r>
        <w:rPr>
          <w:rFonts w:ascii="Arial" w:hAnsi="Arial" w:eastAsia="宋体" w:cs="Arial"/>
          <w:snapToGrid w:val="0"/>
          <w:sz w:val="21"/>
          <w:szCs w:val="21"/>
        </w:rPr>
        <w:t>行业指南：在多中心临床试验中使用中心化IRB审查程序</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"http://www.fda.gov/RegulatoryInformation/Guidances/ucm127004.htm"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//www.fda.gov/RegulatoryInformation/Guidances/ucm127004.htm</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48">
    <w:p w14:paraId="276C56A0">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就本文件而言，除非另有说明，所有提及</w:t>
      </w:r>
      <w:r>
        <w:rPr>
          <w:rFonts w:ascii="宋体" w:hAnsi="宋体" w:eastAsia="宋体" w:cs="Arial"/>
          <w:snapToGrid w:val="0"/>
          <w:sz w:val="21"/>
          <w:szCs w:val="21"/>
        </w:rPr>
        <w:t>“</w:t>
      </w:r>
      <w:r>
        <w:rPr>
          <w:rFonts w:ascii="Arial" w:hAnsi="Arial" w:eastAsia="宋体" w:cs="Arial"/>
          <w:snapToGrid w:val="0"/>
          <w:sz w:val="21"/>
          <w:szCs w:val="21"/>
        </w:rPr>
        <w:t>药品</w:t>
      </w:r>
      <w:r>
        <w:rPr>
          <w:rFonts w:ascii="宋体" w:hAnsi="宋体" w:eastAsia="宋体" w:cs="Arial"/>
          <w:snapToGrid w:val="0"/>
          <w:sz w:val="21"/>
          <w:szCs w:val="21"/>
        </w:rPr>
        <w:t>”</w:t>
      </w:r>
      <w:r>
        <w:rPr>
          <w:rFonts w:ascii="Arial" w:hAnsi="Arial" w:eastAsia="宋体" w:cs="Arial"/>
          <w:snapToGrid w:val="0"/>
          <w:sz w:val="21"/>
          <w:szCs w:val="21"/>
        </w:rPr>
        <w:t>或</w:t>
      </w:r>
      <w:r>
        <w:rPr>
          <w:rFonts w:ascii="宋体" w:hAnsi="宋体" w:eastAsia="宋体" w:cs="Arial"/>
          <w:snapToGrid w:val="0"/>
          <w:sz w:val="21"/>
          <w:szCs w:val="21"/>
        </w:rPr>
        <w:t>“</w:t>
      </w:r>
      <w:r>
        <w:rPr>
          <w:rFonts w:ascii="Arial" w:hAnsi="Arial" w:eastAsia="宋体" w:cs="Arial"/>
          <w:snapToGrid w:val="0"/>
          <w:sz w:val="21"/>
          <w:szCs w:val="21"/>
        </w:rPr>
        <w:t>药物产品</w:t>
      </w:r>
      <w:r>
        <w:rPr>
          <w:rFonts w:ascii="宋体" w:hAnsi="宋体" w:eastAsia="宋体" w:cs="Arial"/>
          <w:snapToGrid w:val="0"/>
          <w:sz w:val="21"/>
          <w:szCs w:val="21"/>
        </w:rPr>
        <w:t>”</w:t>
      </w:r>
      <w:r>
        <w:rPr>
          <w:rFonts w:ascii="Arial" w:hAnsi="Arial" w:eastAsia="宋体" w:cs="Arial"/>
          <w:snapToGrid w:val="0"/>
          <w:sz w:val="21"/>
          <w:szCs w:val="21"/>
        </w:rPr>
        <w:t>的内容都包括人用药物产品和生物制剂（也是药品）。</w:t>
      </w:r>
    </w:p>
  </w:footnote>
  <w:footnote w:id="49">
    <w:p w14:paraId="6BDB5EAF">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对于由HHS进行或支持的临床研究，此处描述的活动一般应被视为涉及受试者的研究，但可根据45 CFR 46.101 (b)（4）予以豁免。如果这项研究为非豁免，那么为了进行这些活动，需要满足HHS的规定，要求获得和记录受试者的知情同意（或豁免知情同意要求的要求）。</w:t>
      </w:r>
    </w:p>
  </w:footnote>
  <w:footnote w:id="50">
    <w:p w14:paraId="10091F46">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同上。</w:t>
      </w:r>
    </w:p>
  </w:footnote>
  <w:footnote w:id="51">
    <w:p w14:paraId="16CE3A49">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此信息表可见于</w:t>
      </w:r>
      <w:r>
        <w:fldChar w:fldCharType="begin"/>
      </w:r>
      <w:r>
        <w:instrText xml:space="preserve"> HYPERLINK "http://www.fda.gov/RegulatoryInformation/Guidances/ucm126430.htm"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//www.fda.gov/RegulatoryInformation/Guidances/ucm126430.htm</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52">
    <w:p w14:paraId="480E701E">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更多有关HIPAA和隐私权的规定，请联系民权办公室（</w:t>
      </w:r>
      <w:r>
        <w:fldChar w:fldCharType="begin"/>
      </w:r>
      <w:r>
        <w:instrText xml:space="preserve"> HYPERLINK "http://www.hhs.gov/ocr/hipaa/"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//www.hhs.gov/ocr/hipaa/</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），或人体研究保护办公（</w:t>
      </w:r>
      <w:r>
        <w:fldChar w:fldCharType="begin"/>
      </w:r>
      <w:r>
        <w:instrText xml:space="preserve"> HYPERLINK "http://www.hhs.gov/ohrp/"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//www.hhs.gov/ohrp/</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），以获取有关45 CFR第46部分的更多信息。</w:t>
      </w:r>
    </w:p>
  </w:footnote>
  <w:footnote w:id="53">
    <w:p w14:paraId="4EA094DC">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对于HHS资助或进行的研究，请参见OHRP的指南，</w:t>
      </w:r>
      <w:r>
        <w:rPr>
          <w:rFonts w:ascii="宋体" w:hAnsi="宋体" w:eastAsia="宋体" w:cs="Arial"/>
          <w:snapToGrid w:val="0"/>
          <w:sz w:val="21"/>
          <w:szCs w:val="21"/>
        </w:rPr>
        <w:t>“</w:t>
      </w:r>
      <w:r>
        <w:rPr>
          <w:rFonts w:ascii="Arial" w:hAnsi="Arial" w:eastAsia="宋体" w:cs="Arial"/>
          <w:snapToGrid w:val="0"/>
          <w:sz w:val="21"/>
          <w:szCs w:val="21"/>
        </w:rPr>
        <w:t>获得并记录不说英语的受试者的知情同意</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"http://www.hhs.gov/ohrp/policy/ic-non-e.html"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//www.hhs.gov/ohrp/policy/ic-non-e.html</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。FDA指出，OHRP关于这一主题的指导性文件没有变更。</w:t>
      </w:r>
    </w:p>
  </w:footnote>
  <w:footnote w:id="54">
    <w:p w14:paraId="52793687">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更多关于同意能力的信息，请参见</w:t>
      </w:r>
      <w:r>
        <w:rPr>
          <w:rFonts w:ascii="宋体" w:hAnsi="宋体" w:eastAsia="宋体" w:cs="Arial"/>
          <w:snapToGrid w:val="0"/>
          <w:sz w:val="21"/>
          <w:szCs w:val="21"/>
        </w:rPr>
        <w:t>“</w:t>
      </w:r>
      <w:r>
        <w:rPr>
          <w:rFonts w:ascii="Arial" w:hAnsi="Arial" w:eastAsia="宋体" w:cs="Arial"/>
          <w:snapToGrid w:val="0"/>
          <w:sz w:val="21"/>
          <w:szCs w:val="21"/>
        </w:rPr>
        <w:t>涉及同意能力有疑问的个体研究：需要考虑的问题</w:t>
      </w:r>
      <w:r>
        <w:rPr>
          <w:rFonts w:ascii="宋体" w:hAnsi="宋体" w:eastAsia="宋体" w:cs="Arial"/>
          <w:snapToGrid w:val="0"/>
          <w:sz w:val="21"/>
          <w:szCs w:val="21"/>
        </w:rPr>
        <w:t>”</w:t>
      </w:r>
      <w:r>
        <w:rPr>
          <w:rFonts w:ascii="Arial" w:hAnsi="Arial" w:eastAsia="宋体" w:cs="Arial"/>
          <w:snapToGrid w:val="0"/>
          <w:sz w:val="21"/>
          <w:szCs w:val="21"/>
        </w:rPr>
        <w:t>，国立卫生研究院（NIH），校外研究办公室，可见于：</w:t>
      </w:r>
      <w:r>
        <w:fldChar w:fldCharType="begin"/>
      </w:r>
      <w:r>
        <w:instrText xml:space="preserve"> HYPERLINK "http://grants.nih.gov/grants/policy/questionablecapacity.htm"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//grants.nih.gov/grants/policy/questionablecapacity.htm</w:t>
      </w:r>
      <w:r>
        <w:rPr>
          <w:rStyle w:val="24"/>
          <w:rFonts w:ascii="Arial" w:hAnsi="Arial" w:eastAsia="宋体" w:cs="Arial"/>
          <w:snapToGrid w:val="0"/>
          <w:color w:val="3333FF"/>
          <w:sz w:val="21"/>
          <w:szCs w:val="21"/>
        </w:rPr>
        <w:fldChar w:fldCharType="end"/>
      </w:r>
      <w:r>
        <w:rPr>
          <w:rFonts w:hint="eastAsia" w:ascii="Arial" w:hAnsi="Arial" w:eastAsia="宋体" w:cs="Arial"/>
          <w:snapToGrid w:val="0"/>
          <w:sz w:val="21"/>
          <w:szCs w:val="21"/>
        </w:rPr>
        <w:t xml:space="preserve"> </w:t>
      </w:r>
      <w:r>
        <w:rPr>
          <w:rFonts w:ascii="Arial" w:hAnsi="Arial" w:eastAsia="宋体" w:cs="Arial"/>
          <w:snapToGrid w:val="0"/>
          <w:sz w:val="21"/>
          <w:szCs w:val="21"/>
        </w:rPr>
        <w:t>。</w:t>
      </w:r>
    </w:p>
  </w:footnote>
  <w:footnote w:id="55">
    <w:p w14:paraId="0A862407">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具有与同意能力受损的个人合作的适当背景、培训和经验的专业人员。更多信息请参见脚注55中的参考。</w:t>
      </w:r>
    </w:p>
  </w:footnote>
  <w:footnote w:id="56">
    <w:p w14:paraId="79F6E3E9">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就21 CFR第50部分而言，儿童是指</w:t>
      </w:r>
      <w:r>
        <w:rPr>
          <w:rFonts w:ascii="宋体" w:hAnsi="宋体" w:eastAsia="宋体" w:cs="Arial"/>
          <w:snapToGrid w:val="0"/>
          <w:sz w:val="21"/>
          <w:szCs w:val="21"/>
        </w:rPr>
        <w:t>“</w:t>
      </w:r>
      <w:r>
        <w:rPr>
          <w:rFonts w:ascii="Arial" w:hAnsi="Arial" w:eastAsia="宋体" w:cs="Arial"/>
          <w:snapToGrid w:val="0"/>
          <w:sz w:val="21"/>
          <w:szCs w:val="21"/>
        </w:rPr>
        <w:t>根据进行临床研究的司法管辖区的适用法律，尚未达到同意临床研究所涉及的治疗或程序的法定年龄的人</w:t>
      </w:r>
      <w:r>
        <w:rPr>
          <w:rFonts w:ascii="宋体" w:hAnsi="宋体" w:eastAsia="宋体" w:cs="Arial"/>
          <w:snapToGrid w:val="0"/>
          <w:sz w:val="21"/>
          <w:szCs w:val="21"/>
        </w:rPr>
        <w:t>”</w:t>
      </w:r>
      <w:r>
        <w:rPr>
          <w:rFonts w:ascii="Arial" w:hAnsi="Arial" w:eastAsia="宋体" w:cs="Arial"/>
          <w:snapToGrid w:val="0"/>
          <w:sz w:val="21"/>
          <w:szCs w:val="21"/>
        </w:rPr>
        <w:t>，见21 CFR 50.3（o）。</w:t>
      </w:r>
    </w:p>
  </w:footnote>
  <w:footnote w:id="57">
    <w:p w14:paraId="670DE075">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请注意，根据FDA</w:t>
      </w:r>
      <w:r>
        <w:rPr>
          <w:rFonts w:hint="eastAsia" w:ascii="Arial" w:hAnsi="Arial" w:eastAsia="宋体" w:cs="Arial"/>
          <w:snapToGrid w:val="0"/>
          <w:sz w:val="21"/>
          <w:szCs w:val="21"/>
        </w:rPr>
        <w:t>法规</w:t>
      </w:r>
      <w:r>
        <w:rPr>
          <w:rFonts w:ascii="Arial" w:hAnsi="Arial" w:eastAsia="宋体" w:cs="Arial"/>
          <w:snapToGrid w:val="0"/>
          <w:sz w:val="21"/>
          <w:szCs w:val="21"/>
        </w:rPr>
        <w:t>，45 CFR 46.408（c）中的免予父母许可的规定不可用。</w:t>
      </w:r>
    </w:p>
  </w:footnote>
  <w:footnote w:id="58">
    <w:p w14:paraId="03D62A9D">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FDA于2001年4月采用了21 CFR第50部分的子部分D</w:t>
      </w:r>
      <w:r>
        <w:rPr>
          <w:rFonts w:ascii="宋体" w:hAnsi="宋体" w:eastAsia="宋体" w:cs="Arial"/>
          <w:snapToGrid w:val="0"/>
          <w:sz w:val="21"/>
          <w:szCs w:val="21"/>
        </w:rPr>
        <w:t>“</w:t>
      </w:r>
      <w:r>
        <w:rPr>
          <w:rFonts w:ascii="Arial" w:hAnsi="Arial" w:eastAsia="宋体" w:cs="Arial"/>
          <w:snapToGrid w:val="0"/>
          <w:sz w:val="21"/>
          <w:szCs w:val="21"/>
        </w:rPr>
        <w:t>临床研究中对儿童的额外保障</w:t>
      </w:r>
      <w:r>
        <w:rPr>
          <w:rFonts w:ascii="宋体" w:hAnsi="宋体" w:eastAsia="宋体" w:cs="Arial"/>
          <w:snapToGrid w:val="0"/>
          <w:sz w:val="21"/>
          <w:szCs w:val="21"/>
        </w:rPr>
        <w:t>”</w:t>
      </w:r>
      <w:r>
        <w:rPr>
          <w:rFonts w:ascii="Arial" w:hAnsi="Arial" w:eastAsia="宋体" w:cs="Arial"/>
          <w:snapToGrid w:val="0"/>
          <w:sz w:val="21"/>
          <w:szCs w:val="21"/>
        </w:rPr>
        <w:t>，作为临时的最终法规21 CFR第50部分的D子部分（子部分D）（见66 FR 20598，2001年4月24日），并于2013年2月发布了最终法规（见78 FR 12937，2013年2月26日）。</w:t>
      </w:r>
    </w:p>
  </w:footnote>
  <w:footnote w:id="59">
    <w:p w14:paraId="6435586C">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21 CFR 50.23下的免责条款涉及某些危及生命的情况，如果没有合适的替代疗法且没有足够的时间取得知情同意，军事行动和突发性公共卫生事件。免责条款在21 CFR 50.24下涉及紧急研究。</w:t>
      </w:r>
    </w:p>
  </w:footnote>
  <w:footnote w:id="60">
    <w:p w14:paraId="478594A5">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21 CFR 50.53适用的临床试验，其风险大于最低限度，且对个体受试者没有直接获益前景，但可能生成关于受试者疾病或病情的概括性认识。21 CFR 50.54适用于不属于21 CFR 50.51，50.52或50.53范围的临床研究，但是提供了一个合理的机会去理解、预防或减轻影响儿童健康或福利的严重问题。</w:t>
      </w:r>
    </w:p>
  </w:footnote>
  <w:footnote w:id="61">
    <w:p w14:paraId="2EF45C95">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FDA认为，IRB可以采取程序以规定一个年龄，低于该年龄的儿童被推定为无法提供同意。</w:t>
      </w:r>
    </w:p>
  </w:footnote>
  <w:footnote w:id="62">
    <w:p w14:paraId="29E2E3D2">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有关进一步讨论，请参见</w:t>
      </w:r>
      <w:r>
        <w:rPr>
          <w:rFonts w:ascii="宋体" w:hAnsi="宋体" w:eastAsia="宋体" w:cs="Arial"/>
          <w:snapToGrid w:val="0"/>
          <w:sz w:val="21"/>
          <w:szCs w:val="21"/>
        </w:rPr>
        <w:t>“</w:t>
      </w:r>
      <w:r>
        <w:rPr>
          <w:rFonts w:ascii="Arial" w:hAnsi="Arial" w:eastAsia="宋体" w:cs="Arial"/>
          <w:snapToGrid w:val="0"/>
          <w:sz w:val="21"/>
          <w:szCs w:val="21"/>
        </w:rPr>
        <w:t>IRB、临床研究者和申办方指南：临床研究批准后的IRB持续评估</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"http://www.fda.gov/downloads/RegulatoryInformation/Guidances/UCM294558.pdf"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//www.fda.gov/downloads/RegulatoryInformation/Guidances/UCM294558.pdf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。见第III.H.2节</w:t>
      </w:r>
      <w:r>
        <w:rPr>
          <w:rFonts w:ascii="宋体" w:hAnsi="宋体" w:eastAsia="宋体" w:cs="Arial"/>
          <w:snapToGrid w:val="0"/>
          <w:sz w:val="21"/>
          <w:szCs w:val="21"/>
        </w:rPr>
        <w:t>“</w:t>
      </w:r>
      <w:r>
        <w:rPr>
          <w:rFonts w:ascii="Arial" w:hAnsi="Arial" w:eastAsia="宋体" w:cs="Arial"/>
          <w:snapToGrid w:val="0"/>
          <w:sz w:val="21"/>
          <w:szCs w:val="21"/>
        </w:rPr>
        <w:t>IRB批准的暂停或终止</w:t>
      </w:r>
      <w:r>
        <w:rPr>
          <w:rFonts w:ascii="宋体" w:hAnsi="宋体" w:eastAsia="宋体" w:cs="Arial"/>
          <w:snapToGrid w:val="0"/>
          <w:sz w:val="21"/>
          <w:szCs w:val="21"/>
        </w:rPr>
        <w:t>”</w:t>
      </w:r>
      <w:r>
        <w:rPr>
          <w:rFonts w:ascii="Arial" w:hAnsi="Arial" w:eastAsia="宋体" w:cs="Arial"/>
          <w:snapToGrid w:val="0"/>
          <w:sz w:val="21"/>
          <w:szCs w:val="21"/>
        </w:rPr>
        <w:t>。</w:t>
      </w:r>
    </w:p>
  </w:footnote>
  <w:footnote w:id="63">
    <w:p w14:paraId="1A59762E">
      <w:pPr>
        <w:pStyle w:val="19"/>
        <w:spacing w:line="300" w:lineRule="auto"/>
        <w:rPr>
          <w:sz w:val="21"/>
          <w:szCs w:val="21"/>
        </w:rPr>
      </w:pPr>
    </w:p>
    <w:p w14:paraId="57C99079">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有关进一步的讨论，请参见</w:t>
      </w:r>
      <w:r>
        <w:rPr>
          <w:rFonts w:ascii="宋体" w:hAnsi="宋体" w:eastAsia="宋体" w:cs="Arial"/>
          <w:snapToGrid w:val="0"/>
          <w:sz w:val="21"/>
          <w:szCs w:val="21"/>
        </w:rPr>
        <w:t>“</w:t>
      </w:r>
      <w:r>
        <w:rPr>
          <w:rFonts w:ascii="Arial" w:hAnsi="Arial" w:eastAsia="宋体" w:cs="Arial"/>
          <w:snapToGrid w:val="0"/>
          <w:sz w:val="21"/>
          <w:szCs w:val="21"/>
        </w:rPr>
        <w:t>申办方、临床研究者和IRB指南：当受试者退出FDA监管的临床试验时的数据保留</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"http://www.fda.gov/downloads/RegulatoryInformation/Guidances/UCM126489.pdf。FDA"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//www.fda.gov/downloads/RegulatoryInformation/Guidances/UCM126489.pdf</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auto"/>
          <w:sz w:val="21"/>
          <w:szCs w:val="21"/>
          <w:u w:val="none"/>
        </w:rPr>
        <w:t>FDA</w:t>
      </w:r>
      <w:r>
        <w:rPr>
          <w:rStyle w:val="24"/>
          <w:rFonts w:ascii="Arial" w:hAnsi="Arial" w:eastAsia="宋体" w:cs="Arial"/>
          <w:snapToGrid w:val="0"/>
          <w:color w:val="auto"/>
          <w:sz w:val="21"/>
          <w:szCs w:val="21"/>
          <w:u w:val="none"/>
        </w:rPr>
        <w:fldChar w:fldCharType="end"/>
      </w:r>
      <w:r>
        <w:rPr>
          <w:rFonts w:ascii="Arial" w:hAnsi="Arial" w:eastAsia="宋体" w:cs="Arial"/>
          <w:snapToGrid w:val="0"/>
          <w:sz w:val="21"/>
          <w:szCs w:val="21"/>
        </w:rPr>
        <w:t>法规（参见，例如21 CFR 312.62和812.140 (a)（3））要求，研究者应撰写并保留适当的病史，以记录研究中的每名个体与药物治疗或器械暴露有关的所有观察结果和其他数据。同时请参见OHRP关于该主题的指南：</w:t>
      </w:r>
      <w:r>
        <w:rPr>
          <w:rFonts w:ascii="宋体" w:hAnsi="宋体" w:eastAsia="宋体" w:cs="Arial"/>
          <w:snapToGrid w:val="0"/>
          <w:sz w:val="21"/>
          <w:szCs w:val="21"/>
        </w:rPr>
        <w:t>“</w:t>
      </w:r>
      <w:r>
        <w:rPr>
          <w:rFonts w:ascii="Arial" w:hAnsi="Arial" w:eastAsia="宋体" w:cs="Arial"/>
          <w:snapToGrid w:val="0"/>
          <w:sz w:val="21"/>
          <w:szCs w:val="21"/>
        </w:rPr>
        <w:t>从研究中退出的受试者指南：数据保留和其他相关问题</w:t>
      </w:r>
      <w:r>
        <w:rPr>
          <w:rFonts w:ascii="宋体" w:hAnsi="宋体" w:eastAsia="宋体" w:cs="Arial"/>
          <w:snapToGrid w:val="0"/>
          <w:sz w:val="21"/>
          <w:szCs w:val="21"/>
        </w:rPr>
        <w:t>”</w:t>
      </w:r>
      <w:r>
        <w:rPr>
          <w:rFonts w:ascii="Arial" w:hAnsi="Arial" w:eastAsia="宋体" w:cs="Arial"/>
          <w:snapToGrid w:val="0"/>
          <w:sz w:val="21"/>
          <w:szCs w:val="21"/>
        </w:rPr>
        <w:t>，可见于</w:t>
      </w:r>
      <w:r>
        <w:fldChar w:fldCharType="begin"/>
      </w:r>
      <w:r>
        <w:instrText xml:space="preserve"> HYPERLINK "http://www.hhs.gov/ohrp/policy/subjectwithdrawal.pdf"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//www.hhs.gov/ohrp/policy/subjectwithdrawal.pdf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r>
        <w:rPr>
          <w:rFonts w:ascii="Arial" w:hAnsi="Arial" w:eastAsia="宋体" w:cs="Arial"/>
          <w:snapToGrid w:val="0"/>
          <w:sz w:val="21"/>
          <w:szCs w:val="21"/>
        </w:rPr>
        <w:t>。</w:t>
      </w:r>
    </w:p>
  </w:footnote>
  <w:footnote w:id="64">
    <w:p w14:paraId="6BB9A246">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参见2007年美国食品和药物管理局修正法案第801（a）条，Pub. L. 110-85，增加42 U.S.C.§282（j）。</w:t>
      </w:r>
    </w:p>
  </w:footnote>
  <w:footnote w:id="65">
    <w:p w14:paraId="2438ED3E">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42 U.S.C.§282 (J) (2) (A) (</w:t>
      </w:r>
      <w:r>
        <w:rPr>
          <w:rFonts w:hint="eastAsia" w:ascii="Arial" w:hAnsi="Arial" w:eastAsia="宋体" w:cs="Arial"/>
          <w:snapToGrid w:val="0"/>
          <w:sz w:val="21"/>
          <w:szCs w:val="21"/>
        </w:rPr>
        <w:t>ii</w:t>
      </w:r>
      <w:r>
        <w:rPr>
          <w:rFonts w:ascii="Arial" w:hAnsi="Arial" w:eastAsia="宋体" w:cs="Arial"/>
          <w:snapToGrid w:val="0"/>
          <w:sz w:val="21"/>
          <w:szCs w:val="21"/>
        </w:rPr>
        <w:t>)（LL）。</w:t>
      </w:r>
    </w:p>
  </w:footnote>
  <w:footnote w:id="66">
    <w:p w14:paraId="56E84DDD">
      <w:pPr>
        <w:pStyle w:val="19"/>
        <w:spacing w:line="300" w:lineRule="auto"/>
        <w:rPr>
          <w:sz w:val="21"/>
          <w:szCs w:val="21"/>
        </w:rPr>
      </w:pPr>
      <w:r>
        <w:rPr>
          <w:rStyle w:val="25"/>
          <w:sz w:val="21"/>
          <w:szCs w:val="21"/>
        </w:rPr>
        <w:footnoteRef/>
      </w:r>
      <w:r>
        <w:rPr>
          <w:sz w:val="21"/>
          <w:szCs w:val="21"/>
        </w:rPr>
        <w:t xml:space="preserve"> </w:t>
      </w:r>
      <w:r>
        <w:rPr>
          <w:rFonts w:ascii="Arial" w:hAnsi="Arial" w:eastAsia="宋体" w:cs="Arial"/>
          <w:snapToGrid w:val="0"/>
          <w:sz w:val="21"/>
          <w:szCs w:val="21"/>
        </w:rPr>
        <w:t>最终法规（联邦公报，第76卷，第256-270页）可见于</w:t>
      </w:r>
      <w:r>
        <w:fldChar w:fldCharType="begin"/>
      </w:r>
      <w:r>
        <w:instrText xml:space="preserve"> HYPERLINK "http://edocket.access.gpo.gov/2011/pdf/2010-33193.pdf" </w:instrText>
      </w:r>
      <w:r>
        <w:fldChar w:fldCharType="separate"/>
      </w:r>
      <w:r>
        <w:rPr>
          <w:rStyle w:val="24"/>
          <w:rFonts w:ascii="Arial" w:hAnsi="Arial" w:eastAsia="宋体" w:cs="Arial"/>
          <w:snapToGrid w:val="0"/>
          <w:color w:val="3333FF"/>
          <w:sz w:val="21"/>
          <w:szCs w:val="21"/>
        </w:rPr>
        <w:t>http</w:t>
      </w:r>
      <w:r>
        <w:rPr>
          <w:rStyle w:val="24"/>
          <w:rFonts w:hint="eastAsia" w:ascii="Arial" w:hAnsi="Arial" w:eastAsia="宋体" w:cs="Arial"/>
          <w:snapToGrid w:val="0"/>
          <w:color w:val="3333FF"/>
          <w:sz w:val="21"/>
          <w:szCs w:val="21"/>
        </w:rPr>
        <w:t>：</w:t>
      </w:r>
      <w:r>
        <w:rPr>
          <w:rStyle w:val="24"/>
          <w:rFonts w:ascii="Arial" w:hAnsi="Arial" w:eastAsia="宋体" w:cs="Arial"/>
          <w:snapToGrid w:val="0"/>
          <w:color w:val="3333FF"/>
          <w:sz w:val="21"/>
          <w:szCs w:val="21"/>
        </w:rPr>
        <w:t>//edocket.access.gpo.gov/2011/pdf/2010-33193.pdf</w:t>
      </w:r>
      <w:r>
        <w:rPr>
          <w:rStyle w:val="24"/>
          <w:rFonts w:ascii="Arial" w:hAnsi="Arial" w:eastAsia="宋体" w:cs="Arial"/>
          <w:snapToGrid w:val="0"/>
          <w:color w:val="3333FF"/>
          <w:sz w:val="21"/>
          <w:szCs w:val="21"/>
        </w:rPr>
        <w:fldChar w:fldCharType="end"/>
      </w:r>
      <w:r>
        <w:rPr>
          <w:rFonts w:ascii="Arial" w:hAnsi="Arial" w:eastAsia="宋体" w:cs="Arial"/>
          <w:snapToGrid w:val="0"/>
          <w:color w:val="3333FF"/>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9D6C">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9154">
    <w:pPr>
      <w:pStyle w:val="17"/>
      <w:pBdr>
        <w:bottom w:val="none" w:color="auto" w:sz="0" w:space="0"/>
      </w:pBdr>
      <w:spacing w:line="300" w:lineRule="auto"/>
      <w:rPr>
        <w:rFonts w:ascii="Arial" w:hAnsi="Arial" w:eastAsia="宋体" w:cs="Arial"/>
        <w:b/>
        <w:i/>
        <w:sz w:val="21"/>
      </w:rPr>
    </w:pPr>
    <w:r>
      <w:rPr>
        <w:rFonts w:hint="eastAsia" w:ascii="Arial" w:hAnsi="Arial" w:eastAsia="宋体" w:cs="Arial"/>
        <w:b/>
        <w:i/>
        <w:sz w:val="21"/>
      </w:rPr>
      <w:t>所含建议不具约束力</w:t>
    </w:r>
  </w:p>
  <w:p w14:paraId="428FF8D8">
    <w:pPr>
      <w:pStyle w:val="17"/>
      <w:pBdr>
        <w:bottom w:val="none" w:color="auto" w:sz="0" w:space="0"/>
      </w:pBdr>
      <w:spacing w:line="300" w:lineRule="auto"/>
      <w:rPr>
        <w:rFonts w:ascii="Arial" w:hAnsi="Arial" w:eastAsia="宋体" w:cs="Arial"/>
        <w:i/>
        <w:sz w:val="21"/>
      </w:rPr>
    </w:pPr>
    <w:r>
      <w:rPr>
        <w:rFonts w:hint="eastAsia" w:ascii="Arial" w:hAnsi="Arial" w:eastAsia="宋体" w:cs="Arial"/>
        <w:i/>
        <w:sz w:val="21"/>
      </w:rPr>
      <w:t>草案</w:t>
    </w:r>
    <w:r>
      <w:rPr>
        <w:rFonts w:ascii="Arial" w:hAnsi="Arial" w:eastAsia="宋体" w:cs="Arial"/>
        <w:i/>
        <w:sz w:val="21"/>
      </w:rPr>
      <w:t>-</w:t>
    </w:r>
    <w:r>
      <w:rPr>
        <w:rFonts w:hint="eastAsia" w:ascii="Arial" w:hAnsi="Arial" w:eastAsia="宋体" w:cs="Arial"/>
        <w:i/>
        <w:sz w:val="21"/>
      </w:rPr>
      <w:t>不用于实施</w:t>
    </w:r>
  </w:p>
  <w:p w14:paraId="50668AC7">
    <w:pPr>
      <w:pStyle w:val="17"/>
      <w:pBdr>
        <w:bottom w:val="none" w:color="auto" w:sz="0" w:space="0"/>
      </w:pBdr>
      <w:spacing w:line="300" w:lineRule="auto"/>
      <w:rPr>
        <w:rFonts w:ascii="Arial" w:hAnsi="Arial" w:eastAsia="宋体" w:cs="Arial"/>
        <w:i/>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4D2A">
    <w:pPr>
      <w:pStyle w:val="17"/>
      <w:pBdr>
        <w:bottom w:val="none" w:color="auto" w:sz="0" w:space="0"/>
      </w:pBdr>
      <w:spacing w:line="300" w:lineRule="auto"/>
      <w:rPr>
        <w:rFonts w:ascii="Arial" w:hAnsi="Arial" w:eastAsia="宋体" w:cs="Arial"/>
        <w:b/>
        <w:i/>
        <w:sz w:val="21"/>
      </w:rPr>
    </w:pPr>
    <w:r>
      <w:rPr>
        <w:rFonts w:hint="eastAsia" w:ascii="Arial" w:hAnsi="Arial" w:eastAsia="宋体" w:cs="Arial"/>
        <w:b/>
        <w:i/>
        <w:sz w:val="21"/>
      </w:rPr>
      <w:t>所含建议不具约束力</w:t>
    </w:r>
  </w:p>
  <w:p w14:paraId="2CC120F2">
    <w:pPr>
      <w:pStyle w:val="17"/>
      <w:pBdr>
        <w:bottom w:val="none" w:color="auto" w:sz="0" w:space="0"/>
      </w:pBdr>
      <w:spacing w:line="300" w:lineRule="auto"/>
      <w:rPr>
        <w:rFonts w:ascii="Arial" w:hAnsi="Arial" w:eastAsia="宋体" w:cs="Arial"/>
        <w:i/>
        <w:sz w:val="21"/>
      </w:rPr>
    </w:pPr>
    <w:r>
      <w:rPr>
        <w:rFonts w:hint="eastAsia" w:ascii="Arial" w:hAnsi="Arial" w:eastAsia="宋体" w:cs="Arial"/>
        <w:i/>
        <w:sz w:val="21"/>
      </w:rPr>
      <w:t>草案-不用于实施</w:t>
    </w:r>
  </w:p>
  <w:p w14:paraId="53D93FEB">
    <w:pPr>
      <w:pStyle w:val="17"/>
      <w:pBdr>
        <w:bottom w:val="none" w:color="auto" w:sz="0" w:space="0"/>
      </w:pBdr>
      <w:spacing w:line="300" w:lineRule="auto"/>
      <w:rPr>
        <w:rFonts w:ascii="Arial" w:hAnsi="Arial" w:eastAsia="宋体" w:cs="Arial"/>
        <w:i/>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03D063E1"/>
    <w:multiLevelType w:val="multilevel"/>
    <w:tmpl w:val="03D063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8149A0"/>
    <w:multiLevelType w:val="multilevel"/>
    <w:tmpl w:val="098149A0"/>
    <w:lvl w:ilvl="0" w:tentative="0">
      <w:start w:val="1"/>
      <w:numFmt w:val="bullet"/>
      <w:lvlText w:val="●"/>
      <w:lvlJc w:val="left"/>
      <w:rPr>
        <w:rFonts w:hint="default" w:ascii="Arial" w:hAnsi="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B700ADD"/>
    <w:multiLevelType w:val="multilevel"/>
    <w:tmpl w:val="0B700AD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0C225B4"/>
    <w:multiLevelType w:val="multilevel"/>
    <w:tmpl w:val="10C225B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36D638C"/>
    <w:multiLevelType w:val="multilevel"/>
    <w:tmpl w:val="136D638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EF55E25"/>
    <w:multiLevelType w:val="multilevel"/>
    <w:tmpl w:val="1EF55E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5F34F0"/>
    <w:multiLevelType w:val="multilevel"/>
    <w:tmpl w:val="235F34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6B410A2"/>
    <w:multiLevelType w:val="multilevel"/>
    <w:tmpl w:val="26B410A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712151E"/>
    <w:multiLevelType w:val="multilevel"/>
    <w:tmpl w:val="271215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E621BB7"/>
    <w:multiLevelType w:val="multilevel"/>
    <w:tmpl w:val="2E621B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20F3333"/>
    <w:multiLevelType w:val="multilevel"/>
    <w:tmpl w:val="320F33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DA515CC"/>
    <w:multiLevelType w:val="multilevel"/>
    <w:tmpl w:val="3DA515CC"/>
    <w:lvl w:ilvl="0" w:tentative="0">
      <w:start w:val="1"/>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E091739"/>
    <w:multiLevelType w:val="multilevel"/>
    <w:tmpl w:val="3E0917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12C74FE"/>
    <w:multiLevelType w:val="multilevel"/>
    <w:tmpl w:val="412C74F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4053266"/>
    <w:multiLevelType w:val="multilevel"/>
    <w:tmpl w:val="4405326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A1C595C"/>
    <w:multiLevelType w:val="multilevel"/>
    <w:tmpl w:val="4A1C595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BA12F21"/>
    <w:multiLevelType w:val="multilevel"/>
    <w:tmpl w:val="4BA12F21"/>
    <w:lvl w:ilvl="0" w:tentative="0">
      <w:start w:val="2"/>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3C0366"/>
    <w:multiLevelType w:val="multilevel"/>
    <w:tmpl w:val="563C036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0AF2685"/>
    <w:multiLevelType w:val="multilevel"/>
    <w:tmpl w:val="70AF2685"/>
    <w:lvl w:ilvl="0" w:tentative="0">
      <w:start w:val="1"/>
      <w:numFmt w:val="upperRoman"/>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521495A"/>
    <w:multiLevelType w:val="multilevel"/>
    <w:tmpl w:val="7521495A"/>
    <w:lvl w:ilvl="0" w:tentative="0">
      <w:start w:val="1"/>
      <w:numFmt w:val="upperLetter"/>
      <w:lvlText w:val="%1."/>
      <w:lvlJc w:val="left"/>
      <w:pPr>
        <w:ind w:left="360" w:hanging="360"/>
      </w:pPr>
      <w:rPr>
        <w:rFonts w:hint="default"/>
      </w:r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9992A5B"/>
    <w:multiLevelType w:val="multilevel"/>
    <w:tmpl w:val="79992A5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AA61813"/>
    <w:multiLevelType w:val="multilevel"/>
    <w:tmpl w:val="7AA61813"/>
    <w:lvl w:ilvl="0" w:tentative="0">
      <w:start w:val="1"/>
      <w:numFmt w:val="upperLetter"/>
      <w:lvlText w:val="%1."/>
      <w:lvlJc w:val="left"/>
      <w:pPr>
        <w:ind w:left="360" w:hanging="360"/>
      </w:pPr>
      <w:rPr>
        <w:rFonts w:hint="default"/>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D9C10D2"/>
    <w:multiLevelType w:val="multilevel"/>
    <w:tmpl w:val="7D9C10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EA84A23"/>
    <w:multiLevelType w:val="multilevel"/>
    <w:tmpl w:val="7EA84A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9"/>
  </w:num>
  <w:num w:numId="3">
    <w:abstractNumId w:val="20"/>
  </w:num>
  <w:num w:numId="4">
    <w:abstractNumId w:val="1"/>
  </w:num>
  <w:num w:numId="5">
    <w:abstractNumId w:val="2"/>
  </w:num>
  <w:num w:numId="6">
    <w:abstractNumId w:val="3"/>
  </w:num>
  <w:num w:numId="7">
    <w:abstractNumId w:val="13"/>
  </w:num>
  <w:num w:numId="8">
    <w:abstractNumId w:val="16"/>
  </w:num>
  <w:num w:numId="9">
    <w:abstractNumId w:val="6"/>
  </w:num>
  <w:num w:numId="10">
    <w:abstractNumId w:val="12"/>
  </w:num>
  <w:num w:numId="11">
    <w:abstractNumId w:val="17"/>
  </w:num>
  <w:num w:numId="12">
    <w:abstractNumId w:val="9"/>
  </w:num>
  <w:num w:numId="13">
    <w:abstractNumId w:val="18"/>
  </w:num>
  <w:num w:numId="14">
    <w:abstractNumId w:val="21"/>
  </w:num>
  <w:num w:numId="15">
    <w:abstractNumId w:val="23"/>
  </w:num>
  <w:num w:numId="16">
    <w:abstractNumId w:val="14"/>
  </w:num>
  <w:num w:numId="17">
    <w:abstractNumId w:val="7"/>
  </w:num>
  <w:num w:numId="18">
    <w:abstractNumId w:val="4"/>
  </w:num>
  <w:num w:numId="19">
    <w:abstractNumId w:val="10"/>
  </w:num>
  <w:num w:numId="20">
    <w:abstractNumId w:val="11"/>
  </w:num>
  <w:num w:numId="21">
    <w:abstractNumId w:val="22"/>
  </w:num>
  <w:num w:numId="22">
    <w:abstractNumId w:val="24"/>
  </w:num>
  <w:num w:numId="23">
    <w:abstractNumId w:val="5"/>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footnotePr>
    <w:footnote w:id="134"/>
    <w:footnote w:id="13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00"/>
    <w:rsid w:val="00001E15"/>
    <w:rsid w:val="00005366"/>
    <w:rsid w:val="00007984"/>
    <w:rsid w:val="00013D48"/>
    <w:rsid w:val="00020335"/>
    <w:rsid w:val="00020E44"/>
    <w:rsid w:val="00021320"/>
    <w:rsid w:val="00024724"/>
    <w:rsid w:val="000269E7"/>
    <w:rsid w:val="000331EF"/>
    <w:rsid w:val="0003383D"/>
    <w:rsid w:val="00035B64"/>
    <w:rsid w:val="000369DE"/>
    <w:rsid w:val="000444A7"/>
    <w:rsid w:val="0004493F"/>
    <w:rsid w:val="00047391"/>
    <w:rsid w:val="000475A0"/>
    <w:rsid w:val="000514DB"/>
    <w:rsid w:val="00051F76"/>
    <w:rsid w:val="000551A4"/>
    <w:rsid w:val="00056B4A"/>
    <w:rsid w:val="00057935"/>
    <w:rsid w:val="00064C86"/>
    <w:rsid w:val="00067A5A"/>
    <w:rsid w:val="00077E52"/>
    <w:rsid w:val="000811E7"/>
    <w:rsid w:val="00082320"/>
    <w:rsid w:val="00082AB7"/>
    <w:rsid w:val="000866F5"/>
    <w:rsid w:val="00092BC3"/>
    <w:rsid w:val="000962BF"/>
    <w:rsid w:val="000B0964"/>
    <w:rsid w:val="000B50C6"/>
    <w:rsid w:val="000B665D"/>
    <w:rsid w:val="000D0A54"/>
    <w:rsid w:val="000D0EFF"/>
    <w:rsid w:val="000D521F"/>
    <w:rsid w:val="000E10F2"/>
    <w:rsid w:val="000E32FD"/>
    <w:rsid w:val="000F3973"/>
    <w:rsid w:val="00100BDF"/>
    <w:rsid w:val="0010462C"/>
    <w:rsid w:val="00110917"/>
    <w:rsid w:val="00114B44"/>
    <w:rsid w:val="00123A8B"/>
    <w:rsid w:val="00131884"/>
    <w:rsid w:val="00135073"/>
    <w:rsid w:val="00135D72"/>
    <w:rsid w:val="001461EA"/>
    <w:rsid w:val="00155AB8"/>
    <w:rsid w:val="00164DD0"/>
    <w:rsid w:val="00167A1F"/>
    <w:rsid w:val="0017021D"/>
    <w:rsid w:val="00173693"/>
    <w:rsid w:val="0017682B"/>
    <w:rsid w:val="001822EC"/>
    <w:rsid w:val="0018488E"/>
    <w:rsid w:val="00186A11"/>
    <w:rsid w:val="001878F5"/>
    <w:rsid w:val="00187DDF"/>
    <w:rsid w:val="00190115"/>
    <w:rsid w:val="00192667"/>
    <w:rsid w:val="001962E5"/>
    <w:rsid w:val="00197AAD"/>
    <w:rsid w:val="001B0673"/>
    <w:rsid w:val="001B3F6D"/>
    <w:rsid w:val="001B7653"/>
    <w:rsid w:val="001C2CE6"/>
    <w:rsid w:val="001D084D"/>
    <w:rsid w:val="001D362C"/>
    <w:rsid w:val="001E5FF0"/>
    <w:rsid w:val="001E7AFF"/>
    <w:rsid w:val="00202AE3"/>
    <w:rsid w:val="00203C2A"/>
    <w:rsid w:val="002105B8"/>
    <w:rsid w:val="0021157B"/>
    <w:rsid w:val="00230EDE"/>
    <w:rsid w:val="00231614"/>
    <w:rsid w:val="00243A06"/>
    <w:rsid w:val="00246346"/>
    <w:rsid w:val="00256F02"/>
    <w:rsid w:val="0025733C"/>
    <w:rsid w:val="00261673"/>
    <w:rsid w:val="00263767"/>
    <w:rsid w:val="00267C95"/>
    <w:rsid w:val="00277DDA"/>
    <w:rsid w:val="00282B04"/>
    <w:rsid w:val="00290E00"/>
    <w:rsid w:val="002A4DDC"/>
    <w:rsid w:val="002A5670"/>
    <w:rsid w:val="002A619C"/>
    <w:rsid w:val="002A7015"/>
    <w:rsid w:val="002B1020"/>
    <w:rsid w:val="002B26B1"/>
    <w:rsid w:val="002B4AB8"/>
    <w:rsid w:val="002B5FB4"/>
    <w:rsid w:val="002C1E54"/>
    <w:rsid w:val="002C292B"/>
    <w:rsid w:val="002C6FE3"/>
    <w:rsid w:val="002D1C7F"/>
    <w:rsid w:val="002D5204"/>
    <w:rsid w:val="002D56BD"/>
    <w:rsid w:val="002E14B3"/>
    <w:rsid w:val="002F3410"/>
    <w:rsid w:val="002F5D7D"/>
    <w:rsid w:val="003038D0"/>
    <w:rsid w:val="0030415A"/>
    <w:rsid w:val="00304823"/>
    <w:rsid w:val="003061FA"/>
    <w:rsid w:val="00310CA1"/>
    <w:rsid w:val="00312103"/>
    <w:rsid w:val="003335C4"/>
    <w:rsid w:val="00365BF9"/>
    <w:rsid w:val="00375C02"/>
    <w:rsid w:val="00383EEE"/>
    <w:rsid w:val="00386DA6"/>
    <w:rsid w:val="003A6AB8"/>
    <w:rsid w:val="003C4250"/>
    <w:rsid w:val="003D6876"/>
    <w:rsid w:val="003E4EA4"/>
    <w:rsid w:val="003E6175"/>
    <w:rsid w:val="003E671A"/>
    <w:rsid w:val="003F0910"/>
    <w:rsid w:val="003F1254"/>
    <w:rsid w:val="00404348"/>
    <w:rsid w:val="004063DF"/>
    <w:rsid w:val="00407D95"/>
    <w:rsid w:val="00411819"/>
    <w:rsid w:val="00412AAA"/>
    <w:rsid w:val="0042255A"/>
    <w:rsid w:val="0042450A"/>
    <w:rsid w:val="0043045F"/>
    <w:rsid w:val="004335D3"/>
    <w:rsid w:val="00435506"/>
    <w:rsid w:val="0043741E"/>
    <w:rsid w:val="00441098"/>
    <w:rsid w:val="00444AB1"/>
    <w:rsid w:val="00445136"/>
    <w:rsid w:val="00447DC0"/>
    <w:rsid w:val="00455D91"/>
    <w:rsid w:val="00462D98"/>
    <w:rsid w:val="00464173"/>
    <w:rsid w:val="00471FE6"/>
    <w:rsid w:val="00472115"/>
    <w:rsid w:val="00474137"/>
    <w:rsid w:val="00477862"/>
    <w:rsid w:val="00480F0E"/>
    <w:rsid w:val="00485C66"/>
    <w:rsid w:val="00487459"/>
    <w:rsid w:val="00490006"/>
    <w:rsid w:val="004938B6"/>
    <w:rsid w:val="0049482A"/>
    <w:rsid w:val="004A42B2"/>
    <w:rsid w:val="004B1536"/>
    <w:rsid w:val="004B2318"/>
    <w:rsid w:val="004B2FCC"/>
    <w:rsid w:val="004B3450"/>
    <w:rsid w:val="004B3EA4"/>
    <w:rsid w:val="004C2C93"/>
    <w:rsid w:val="004C5959"/>
    <w:rsid w:val="004C5B09"/>
    <w:rsid w:val="004D0513"/>
    <w:rsid w:val="004D3E0D"/>
    <w:rsid w:val="004D3E38"/>
    <w:rsid w:val="004D6D7D"/>
    <w:rsid w:val="004F2FB1"/>
    <w:rsid w:val="005034AC"/>
    <w:rsid w:val="00517CD0"/>
    <w:rsid w:val="00521537"/>
    <w:rsid w:val="00530462"/>
    <w:rsid w:val="00532F41"/>
    <w:rsid w:val="0054345D"/>
    <w:rsid w:val="0054691B"/>
    <w:rsid w:val="005527D4"/>
    <w:rsid w:val="0056427E"/>
    <w:rsid w:val="00565AF9"/>
    <w:rsid w:val="00565C6E"/>
    <w:rsid w:val="005663E9"/>
    <w:rsid w:val="00567DDC"/>
    <w:rsid w:val="00570094"/>
    <w:rsid w:val="005756E6"/>
    <w:rsid w:val="00575CFA"/>
    <w:rsid w:val="0058512A"/>
    <w:rsid w:val="0058579C"/>
    <w:rsid w:val="00586AD2"/>
    <w:rsid w:val="00595342"/>
    <w:rsid w:val="005A388D"/>
    <w:rsid w:val="005A5D75"/>
    <w:rsid w:val="005A7A9F"/>
    <w:rsid w:val="005B1F63"/>
    <w:rsid w:val="005B2C51"/>
    <w:rsid w:val="005B5E55"/>
    <w:rsid w:val="005C7674"/>
    <w:rsid w:val="005D0220"/>
    <w:rsid w:val="006010D5"/>
    <w:rsid w:val="00602D6E"/>
    <w:rsid w:val="00612287"/>
    <w:rsid w:val="00616F76"/>
    <w:rsid w:val="00617965"/>
    <w:rsid w:val="00624D3E"/>
    <w:rsid w:val="00625B46"/>
    <w:rsid w:val="00625DA4"/>
    <w:rsid w:val="00627F75"/>
    <w:rsid w:val="006367F8"/>
    <w:rsid w:val="00645582"/>
    <w:rsid w:val="00657484"/>
    <w:rsid w:val="00661670"/>
    <w:rsid w:val="00661BE7"/>
    <w:rsid w:val="0066329C"/>
    <w:rsid w:val="00665D7A"/>
    <w:rsid w:val="00670F09"/>
    <w:rsid w:val="00671271"/>
    <w:rsid w:val="00671D69"/>
    <w:rsid w:val="0067450F"/>
    <w:rsid w:val="00687842"/>
    <w:rsid w:val="00691921"/>
    <w:rsid w:val="006A2D22"/>
    <w:rsid w:val="006A58E2"/>
    <w:rsid w:val="006B0581"/>
    <w:rsid w:val="006B5400"/>
    <w:rsid w:val="006E1D1B"/>
    <w:rsid w:val="006E4543"/>
    <w:rsid w:val="006E52EE"/>
    <w:rsid w:val="006F22CE"/>
    <w:rsid w:val="006F4742"/>
    <w:rsid w:val="006F5F10"/>
    <w:rsid w:val="006F5F92"/>
    <w:rsid w:val="0071110C"/>
    <w:rsid w:val="00713713"/>
    <w:rsid w:val="00716C64"/>
    <w:rsid w:val="00736216"/>
    <w:rsid w:val="00737F44"/>
    <w:rsid w:val="0075190A"/>
    <w:rsid w:val="00754651"/>
    <w:rsid w:val="00754B67"/>
    <w:rsid w:val="007679D7"/>
    <w:rsid w:val="00772D36"/>
    <w:rsid w:val="00780459"/>
    <w:rsid w:val="007842C2"/>
    <w:rsid w:val="007873B6"/>
    <w:rsid w:val="00791F64"/>
    <w:rsid w:val="007965AA"/>
    <w:rsid w:val="007A035A"/>
    <w:rsid w:val="007A6012"/>
    <w:rsid w:val="007B2A1D"/>
    <w:rsid w:val="007B73B0"/>
    <w:rsid w:val="007C0EFC"/>
    <w:rsid w:val="007E0353"/>
    <w:rsid w:val="007E0484"/>
    <w:rsid w:val="007E245D"/>
    <w:rsid w:val="007E7F41"/>
    <w:rsid w:val="007F202B"/>
    <w:rsid w:val="007F413E"/>
    <w:rsid w:val="007F44C4"/>
    <w:rsid w:val="00802D06"/>
    <w:rsid w:val="008030EF"/>
    <w:rsid w:val="008069DA"/>
    <w:rsid w:val="0081387D"/>
    <w:rsid w:val="008174FF"/>
    <w:rsid w:val="00817F37"/>
    <w:rsid w:val="00820F26"/>
    <w:rsid w:val="00822A27"/>
    <w:rsid w:val="0082300A"/>
    <w:rsid w:val="008333D2"/>
    <w:rsid w:val="00842029"/>
    <w:rsid w:val="00842D1F"/>
    <w:rsid w:val="00851113"/>
    <w:rsid w:val="00855C71"/>
    <w:rsid w:val="00861F72"/>
    <w:rsid w:val="008661E6"/>
    <w:rsid w:val="008667A3"/>
    <w:rsid w:val="0087124E"/>
    <w:rsid w:val="00876FDA"/>
    <w:rsid w:val="00880EE5"/>
    <w:rsid w:val="00882021"/>
    <w:rsid w:val="008844CA"/>
    <w:rsid w:val="00885AD9"/>
    <w:rsid w:val="00894D62"/>
    <w:rsid w:val="008A7FAD"/>
    <w:rsid w:val="008C2E0F"/>
    <w:rsid w:val="008E75F0"/>
    <w:rsid w:val="008F035F"/>
    <w:rsid w:val="008F063E"/>
    <w:rsid w:val="008F4EFD"/>
    <w:rsid w:val="008F6EB4"/>
    <w:rsid w:val="0091342C"/>
    <w:rsid w:val="00917D1F"/>
    <w:rsid w:val="00921A56"/>
    <w:rsid w:val="00923639"/>
    <w:rsid w:val="009268C2"/>
    <w:rsid w:val="009310BD"/>
    <w:rsid w:val="00931FC1"/>
    <w:rsid w:val="00932EC5"/>
    <w:rsid w:val="009362FB"/>
    <w:rsid w:val="009533DC"/>
    <w:rsid w:val="00960DF4"/>
    <w:rsid w:val="00961DF0"/>
    <w:rsid w:val="00967364"/>
    <w:rsid w:val="00967A00"/>
    <w:rsid w:val="00976D64"/>
    <w:rsid w:val="00992232"/>
    <w:rsid w:val="00992B81"/>
    <w:rsid w:val="009B0C74"/>
    <w:rsid w:val="009C13B7"/>
    <w:rsid w:val="009C2ABC"/>
    <w:rsid w:val="009C6719"/>
    <w:rsid w:val="009D3F3D"/>
    <w:rsid w:val="009D5B11"/>
    <w:rsid w:val="009D74F9"/>
    <w:rsid w:val="009E20E3"/>
    <w:rsid w:val="009E3AE7"/>
    <w:rsid w:val="009E50CC"/>
    <w:rsid w:val="009E5AC3"/>
    <w:rsid w:val="009E6846"/>
    <w:rsid w:val="009E7891"/>
    <w:rsid w:val="00A069EF"/>
    <w:rsid w:val="00A10529"/>
    <w:rsid w:val="00A10BCE"/>
    <w:rsid w:val="00A10CFC"/>
    <w:rsid w:val="00A13D0B"/>
    <w:rsid w:val="00A1659B"/>
    <w:rsid w:val="00A265BD"/>
    <w:rsid w:val="00A26740"/>
    <w:rsid w:val="00A32D62"/>
    <w:rsid w:val="00A33FE4"/>
    <w:rsid w:val="00A34FF3"/>
    <w:rsid w:val="00A42F20"/>
    <w:rsid w:val="00A50D52"/>
    <w:rsid w:val="00A55C62"/>
    <w:rsid w:val="00A6020F"/>
    <w:rsid w:val="00A70E68"/>
    <w:rsid w:val="00A77367"/>
    <w:rsid w:val="00A83766"/>
    <w:rsid w:val="00A914BC"/>
    <w:rsid w:val="00A91C13"/>
    <w:rsid w:val="00A920B3"/>
    <w:rsid w:val="00A94FB0"/>
    <w:rsid w:val="00AA5E85"/>
    <w:rsid w:val="00AA7278"/>
    <w:rsid w:val="00AB0A31"/>
    <w:rsid w:val="00AB4526"/>
    <w:rsid w:val="00AC43AE"/>
    <w:rsid w:val="00AD4288"/>
    <w:rsid w:val="00AE436E"/>
    <w:rsid w:val="00AE45B0"/>
    <w:rsid w:val="00AF1B9C"/>
    <w:rsid w:val="00AF22F4"/>
    <w:rsid w:val="00AF2435"/>
    <w:rsid w:val="00AF3915"/>
    <w:rsid w:val="00AF3A02"/>
    <w:rsid w:val="00AF6144"/>
    <w:rsid w:val="00B02D19"/>
    <w:rsid w:val="00B0400D"/>
    <w:rsid w:val="00B145B7"/>
    <w:rsid w:val="00B150B7"/>
    <w:rsid w:val="00B17C01"/>
    <w:rsid w:val="00B2129A"/>
    <w:rsid w:val="00B22DD8"/>
    <w:rsid w:val="00B33742"/>
    <w:rsid w:val="00B35CE5"/>
    <w:rsid w:val="00B377BB"/>
    <w:rsid w:val="00B44587"/>
    <w:rsid w:val="00B47A28"/>
    <w:rsid w:val="00B51999"/>
    <w:rsid w:val="00B51DA4"/>
    <w:rsid w:val="00B54E5D"/>
    <w:rsid w:val="00B55D1E"/>
    <w:rsid w:val="00B56797"/>
    <w:rsid w:val="00B6372A"/>
    <w:rsid w:val="00B6495A"/>
    <w:rsid w:val="00B708C1"/>
    <w:rsid w:val="00B76CDC"/>
    <w:rsid w:val="00B77CAB"/>
    <w:rsid w:val="00B82D04"/>
    <w:rsid w:val="00B8473A"/>
    <w:rsid w:val="00B852CC"/>
    <w:rsid w:val="00B93805"/>
    <w:rsid w:val="00B9387B"/>
    <w:rsid w:val="00B959F9"/>
    <w:rsid w:val="00B95D8D"/>
    <w:rsid w:val="00BA1F2B"/>
    <w:rsid w:val="00BA45BE"/>
    <w:rsid w:val="00BA52A5"/>
    <w:rsid w:val="00BB2097"/>
    <w:rsid w:val="00BB3CEC"/>
    <w:rsid w:val="00BC06C9"/>
    <w:rsid w:val="00BC7397"/>
    <w:rsid w:val="00BE460A"/>
    <w:rsid w:val="00BE7484"/>
    <w:rsid w:val="00BF18F6"/>
    <w:rsid w:val="00BF283F"/>
    <w:rsid w:val="00BF3B9F"/>
    <w:rsid w:val="00BF4805"/>
    <w:rsid w:val="00C01C16"/>
    <w:rsid w:val="00C06240"/>
    <w:rsid w:val="00C12402"/>
    <w:rsid w:val="00C16805"/>
    <w:rsid w:val="00C20686"/>
    <w:rsid w:val="00C25FCF"/>
    <w:rsid w:val="00C27FF6"/>
    <w:rsid w:val="00C319FE"/>
    <w:rsid w:val="00C34C51"/>
    <w:rsid w:val="00C36865"/>
    <w:rsid w:val="00C42995"/>
    <w:rsid w:val="00C45E5A"/>
    <w:rsid w:val="00C6262B"/>
    <w:rsid w:val="00C66326"/>
    <w:rsid w:val="00C71F3A"/>
    <w:rsid w:val="00C72007"/>
    <w:rsid w:val="00C8412D"/>
    <w:rsid w:val="00C8556B"/>
    <w:rsid w:val="00C905AF"/>
    <w:rsid w:val="00C93F59"/>
    <w:rsid w:val="00C949BF"/>
    <w:rsid w:val="00C96461"/>
    <w:rsid w:val="00C97FEC"/>
    <w:rsid w:val="00CA22A9"/>
    <w:rsid w:val="00CA2D03"/>
    <w:rsid w:val="00CC2913"/>
    <w:rsid w:val="00CC2999"/>
    <w:rsid w:val="00CC52E2"/>
    <w:rsid w:val="00CD0A5F"/>
    <w:rsid w:val="00CD4C0D"/>
    <w:rsid w:val="00CE463B"/>
    <w:rsid w:val="00CE66F5"/>
    <w:rsid w:val="00D02A7E"/>
    <w:rsid w:val="00D02A91"/>
    <w:rsid w:val="00D12B16"/>
    <w:rsid w:val="00D150F1"/>
    <w:rsid w:val="00D24162"/>
    <w:rsid w:val="00D25657"/>
    <w:rsid w:val="00D2566B"/>
    <w:rsid w:val="00D25942"/>
    <w:rsid w:val="00D26135"/>
    <w:rsid w:val="00D2698E"/>
    <w:rsid w:val="00D46E73"/>
    <w:rsid w:val="00D57BCE"/>
    <w:rsid w:val="00D61234"/>
    <w:rsid w:val="00D63738"/>
    <w:rsid w:val="00D77599"/>
    <w:rsid w:val="00DA547B"/>
    <w:rsid w:val="00DB324B"/>
    <w:rsid w:val="00DB62CA"/>
    <w:rsid w:val="00DB7DBF"/>
    <w:rsid w:val="00DD68BD"/>
    <w:rsid w:val="00DE29F4"/>
    <w:rsid w:val="00DE2AD4"/>
    <w:rsid w:val="00DF077F"/>
    <w:rsid w:val="00DF1639"/>
    <w:rsid w:val="00DF5190"/>
    <w:rsid w:val="00DF584C"/>
    <w:rsid w:val="00DF7114"/>
    <w:rsid w:val="00DF73CB"/>
    <w:rsid w:val="00E06C6A"/>
    <w:rsid w:val="00E24C79"/>
    <w:rsid w:val="00E31E2B"/>
    <w:rsid w:val="00E453AA"/>
    <w:rsid w:val="00E45428"/>
    <w:rsid w:val="00E503EF"/>
    <w:rsid w:val="00E52B50"/>
    <w:rsid w:val="00E53FA6"/>
    <w:rsid w:val="00E5476E"/>
    <w:rsid w:val="00E70103"/>
    <w:rsid w:val="00E73020"/>
    <w:rsid w:val="00E76227"/>
    <w:rsid w:val="00E81983"/>
    <w:rsid w:val="00E9623A"/>
    <w:rsid w:val="00EA0C2A"/>
    <w:rsid w:val="00EA1004"/>
    <w:rsid w:val="00EA1680"/>
    <w:rsid w:val="00EA23FB"/>
    <w:rsid w:val="00EA3372"/>
    <w:rsid w:val="00EA709E"/>
    <w:rsid w:val="00EA7F52"/>
    <w:rsid w:val="00EB1740"/>
    <w:rsid w:val="00EB3B0A"/>
    <w:rsid w:val="00EB43E0"/>
    <w:rsid w:val="00EB70FF"/>
    <w:rsid w:val="00EB7B2C"/>
    <w:rsid w:val="00EB7EC9"/>
    <w:rsid w:val="00EC001B"/>
    <w:rsid w:val="00EC00AA"/>
    <w:rsid w:val="00EC07B4"/>
    <w:rsid w:val="00EC0E53"/>
    <w:rsid w:val="00EC1257"/>
    <w:rsid w:val="00EC18DB"/>
    <w:rsid w:val="00EC344B"/>
    <w:rsid w:val="00ED657A"/>
    <w:rsid w:val="00EE1A93"/>
    <w:rsid w:val="00EE50E9"/>
    <w:rsid w:val="00EE5911"/>
    <w:rsid w:val="00EE6F44"/>
    <w:rsid w:val="00EF13AC"/>
    <w:rsid w:val="00F04DC7"/>
    <w:rsid w:val="00F11982"/>
    <w:rsid w:val="00F11FE9"/>
    <w:rsid w:val="00F14A70"/>
    <w:rsid w:val="00F14AF7"/>
    <w:rsid w:val="00F152E7"/>
    <w:rsid w:val="00F153E6"/>
    <w:rsid w:val="00F155CE"/>
    <w:rsid w:val="00F4010F"/>
    <w:rsid w:val="00F4406A"/>
    <w:rsid w:val="00F4410D"/>
    <w:rsid w:val="00F56146"/>
    <w:rsid w:val="00F57634"/>
    <w:rsid w:val="00F61FFD"/>
    <w:rsid w:val="00F65BB5"/>
    <w:rsid w:val="00F744D4"/>
    <w:rsid w:val="00F82421"/>
    <w:rsid w:val="00F83E35"/>
    <w:rsid w:val="00F8515E"/>
    <w:rsid w:val="00F85D8C"/>
    <w:rsid w:val="00F86A10"/>
    <w:rsid w:val="00FA5F00"/>
    <w:rsid w:val="00FB363E"/>
    <w:rsid w:val="00FB3E5A"/>
    <w:rsid w:val="00FB5508"/>
    <w:rsid w:val="00FB6AEA"/>
    <w:rsid w:val="00FC288F"/>
    <w:rsid w:val="00FD0244"/>
    <w:rsid w:val="00FD7E9F"/>
    <w:rsid w:val="00FE474B"/>
    <w:rsid w:val="00FE5AF5"/>
    <w:rsid w:val="01CE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adjustRightInd w:val="0"/>
      <w:snapToGrid w:val="0"/>
      <w:spacing w:line="360"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6"/>
    <w:qFormat/>
    <w:uiPriority w:val="9"/>
    <w:pPr>
      <w:keepLines/>
      <w:pageBreakBefore/>
      <w:numPr>
        <w:ilvl w:val="0"/>
        <w:numId w:val="1"/>
      </w:numPr>
      <w:tabs>
        <w:tab w:val="left" w:pos="426"/>
        <w:tab w:val="left" w:pos="864"/>
        <w:tab w:val="left" w:pos="1152"/>
        <w:tab w:val="right" w:leader="dot" w:pos="8640"/>
        <w:tab w:val="right" w:leader="dot" w:pos="9016"/>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7"/>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8"/>
    <w:qFormat/>
    <w:uiPriority w:val="9"/>
    <w:pPr>
      <w:keepNext/>
      <w:numPr>
        <w:ilvl w:val="2"/>
      </w:numPr>
      <w:tabs>
        <w:tab w:val="left" w:pos="720"/>
        <w:tab w:val="clear" w:pos="851"/>
      </w:tabs>
      <w:outlineLvl w:val="2"/>
    </w:pPr>
    <w:rPr>
      <w:szCs w:val="24"/>
    </w:rPr>
  </w:style>
  <w:style w:type="paragraph" w:styleId="6">
    <w:name w:val="heading 4"/>
    <w:basedOn w:val="5"/>
    <w:next w:val="1"/>
    <w:link w:val="29"/>
    <w:qFormat/>
    <w:uiPriority w:val="9"/>
    <w:pPr>
      <w:numPr>
        <w:ilvl w:val="3"/>
      </w:numPr>
      <w:tabs>
        <w:tab w:val="left" w:pos="851"/>
      </w:tabs>
      <w:outlineLvl w:val="3"/>
    </w:pPr>
  </w:style>
  <w:style w:type="paragraph" w:styleId="7">
    <w:name w:val="heading 5"/>
    <w:basedOn w:val="6"/>
    <w:next w:val="1"/>
    <w:link w:val="30"/>
    <w:qFormat/>
    <w:uiPriority w:val="9"/>
    <w:pPr>
      <w:numPr>
        <w:ilvl w:val="4"/>
      </w:numPr>
      <w:outlineLvl w:val="4"/>
    </w:pPr>
    <w:rPr>
      <w:i/>
    </w:rPr>
  </w:style>
  <w:style w:type="paragraph" w:styleId="8">
    <w:name w:val="heading 6"/>
    <w:basedOn w:val="7"/>
    <w:next w:val="1"/>
    <w:link w:val="31"/>
    <w:qFormat/>
    <w:uiPriority w:val="9"/>
    <w:pPr>
      <w:numPr>
        <w:ilvl w:val="5"/>
      </w:numPr>
      <w:outlineLvl w:val="5"/>
    </w:pPr>
  </w:style>
  <w:style w:type="paragraph" w:styleId="9">
    <w:name w:val="heading 7"/>
    <w:basedOn w:val="8"/>
    <w:next w:val="1"/>
    <w:link w:val="32"/>
    <w:qFormat/>
    <w:uiPriority w:val="9"/>
    <w:pPr>
      <w:numPr>
        <w:ilvl w:val="6"/>
      </w:numPr>
      <w:outlineLvl w:val="6"/>
    </w:pPr>
  </w:style>
  <w:style w:type="paragraph" w:styleId="10">
    <w:name w:val="heading 8"/>
    <w:basedOn w:val="9"/>
    <w:next w:val="1"/>
    <w:link w:val="33"/>
    <w:qFormat/>
    <w:uiPriority w:val="9"/>
    <w:pPr>
      <w:numPr>
        <w:ilvl w:val="7"/>
      </w:numPr>
      <w:outlineLvl w:val="7"/>
    </w:pPr>
  </w:style>
  <w:style w:type="paragraph" w:styleId="11">
    <w:name w:val="heading 9"/>
    <w:basedOn w:val="10"/>
    <w:next w:val="1"/>
    <w:link w:val="34"/>
    <w:qFormat/>
    <w:uiPriority w:val="9"/>
    <w:pPr>
      <w:numPr>
        <w:ilvl w:val="8"/>
      </w:numPr>
      <w:outlineLvl w:val="8"/>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unhideWhenUsed/>
    <w:uiPriority w:val="39"/>
    <w:pPr>
      <w:tabs>
        <w:tab w:val="left" w:pos="426"/>
        <w:tab w:val="right" w:leader="dot" w:pos="9016"/>
      </w:tabs>
      <w:spacing w:line="300" w:lineRule="auto"/>
      <w:ind w:right="200" w:rightChars="200"/>
    </w:pPr>
    <w:rPr>
      <w:rFonts w:ascii="Arial" w:hAnsi="Arial"/>
    </w:rPr>
  </w:style>
  <w:style w:type="paragraph" w:styleId="12">
    <w:name w:val="caption"/>
    <w:basedOn w:val="1"/>
    <w:next w:val="1"/>
    <w:link w:val="35"/>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toc 3"/>
    <w:basedOn w:val="1"/>
    <w:next w:val="1"/>
    <w:autoRedefine/>
    <w:unhideWhenUsed/>
    <w:qFormat/>
    <w:uiPriority w:val="39"/>
    <w:pPr>
      <w:tabs>
        <w:tab w:val="left" w:pos="1428"/>
        <w:tab w:val="right" w:leader="dot" w:pos="9016"/>
      </w:tabs>
      <w:spacing w:line="300" w:lineRule="auto"/>
      <w:ind w:left="431" w:leftChars="431" w:right="200" w:rightChars="200"/>
    </w:pPr>
    <w:rPr>
      <w:rFonts w:ascii="Arial" w:hAnsi="Arial"/>
    </w:rPr>
  </w:style>
  <w:style w:type="paragraph" w:styleId="14">
    <w:name w:val="Date"/>
    <w:basedOn w:val="1"/>
    <w:next w:val="1"/>
    <w:link w:val="48"/>
    <w:semiHidden/>
    <w:unhideWhenUsed/>
    <w:qFormat/>
    <w:uiPriority w:val="99"/>
    <w:pPr>
      <w:ind w:left="100" w:leftChars="2500"/>
    </w:pPr>
  </w:style>
  <w:style w:type="paragraph" w:styleId="15">
    <w:name w:val="Balloon Text"/>
    <w:basedOn w:val="1"/>
    <w:link w:val="51"/>
    <w:semiHidden/>
    <w:unhideWhenUsed/>
    <w:qFormat/>
    <w:uiPriority w:val="99"/>
    <w:pPr>
      <w:spacing w:line="240" w:lineRule="auto"/>
    </w:pPr>
    <w:rPr>
      <w:sz w:val="18"/>
      <w:szCs w:val="18"/>
    </w:rPr>
  </w:style>
  <w:style w:type="paragraph" w:styleId="16">
    <w:name w:val="footer"/>
    <w:basedOn w:val="1"/>
    <w:link w:val="50"/>
    <w:unhideWhenUsed/>
    <w:qFormat/>
    <w:uiPriority w:val="99"/>
    <w:pPr>
      <w:tabs>
        <w:tab w:val="center" w:pos="4153"/>
        <w:tab w:val="right" w:pos="8306"/>
      </w:tabs>
      <w:spacing w:line="240" w:lineRule="auto"/>
    </w:pPr>
    <w:rPr>
      <w:sz w:val="18"/>
      <w:szCs w:val="18"/>
    </w:rPr>
  </w:style>
  <w:style w:type="paragraph" w:styleId="17">
    <w:name w:val="header"/>
    <w:basedOn w:val="1"/>
    <w:link w:val="49"/>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8">
    <w:name w:val="toc 4"/>
    <w:basedOn w:val="1"/>
    <w:next w:val="1"/>
    <w:autoRedefine/>
    <w:unhideWhenUsed/>
    <w:qFormat/>
    <w:uiPriority w:val="39"/>
    <w:pPr>
      <w:spacing w:line="300" w:lineRule="auto"/>
      <w:ind w:left="600" w:leftChars="600" w:right="200" w:rightChars="200"/>
    </w:pPr>
    <w:rPr>
      <w:rFonts w:ascii="Arial" w:hAnsi="Arial"/>
    </w:rPr>
  </w:style>
  <w:style w:type="paragraph" w:styleId="19">
    <w:name w:val="footnote text"/>
    <w:basedOn w:val="1"/>
    <w:link w:val="60"/>
    <w:semiHidden/>
    <w:unhideWhenUsed/>
    <w:qFormat/>
    <w:uiPriority w:val="99"/>
    <w:rPr>
      <w:sz w:val="18"/>
      <w:szCs w:val="18"/>
    </w:rPr>
  </w:style>
  <w:style w:type="paragraph" w:styleId="20">
    <w:name w:val="toc 2"/>
    <w:basedOn w:val="1"/>
    <w:next w:val="1"/>
    <w:autoRedefine/>
    <w:unhideWhenUsed/>
    <w:qFormat/>
    <w:uiPriority w:val="39"/>
    <w:pPr>
      <w:tabs>
        <w:tab w:val="left" w:pos="1050"/>
        <w:tab w:val="right" w:leader="dot" w:pos="9016"/>
      </w:tabs>
      <w:spacing w:line="300" w:lineRule="auto"/>
      <w:ind w:left="480" w:leftChars="200" w:right="480" w:rightChars="200"/>
    </w:pPr>
    <w:rPr>
      <w:rFonts w:ascii="Arial" w:hAnsi="Arial" w:eastAsia="宋体" w:cs="Arial"/>
      <w:snapToGrid w:val="0"/>
    </w:rPr>
  </w:style>
  <w:style w:type="table" w:styleId="22">
    <w:name w:val="Table Grid"/>
    <w:basedOn w:val="21"/>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99"/>
    <w:rPr>
      <w:color w:val="0066CC"/>
      <w:u w:val="single"/>
    </w:rPr>
  </w:style>
  <w:style w:type="character" w:styleId="25">
    <w:name w:val="footnote reference"/>
    <w:basedOn w:val="23"/>
    <w:semiHidden/>
    <w:unhideWhenUsed/>
    <w:qFormat/>
    <w:uiPriority w:val="99"/>
    <w:rPr>
      <w:vertAlign w:val="superscript"/>
    </w:rPr>
  </w:style>
  <w:style w:type="character" w:customStyle="1" w:styleId="26">
    <w:name w:val="标题 1 Char"/>
    <w:basedOn w:val="23"/>
    <w:link w:val="2"/>
    <w:qFormat/>
    <w:uiPriority w:val="9"/>
    <w:rPr>
      <w:rFonts w:ascii="Times New Roman" w:hAnsi="Times New Roman" w:eastAsia="Times New Roman" w:cs="Times New Roman"/>
      <w:b/>
      <w:caps/>
      <w:kern w:val="28"/>
      <w:sz w:val="24"/>
      <w:szCs w:val="20"/>
      <w:lang w:eastAsia="en-US"/>
    </w:rPr>
  </w:style>
  <w:style w:type="character" w:customStyle="1" w:styleId="27">
    <w:name w:val="标题 2 Char"/>
    <w:basedOn w:val="23"/>
    <w:link w:val="4"/>
    <w:qFormat/>
    <w:uiPriority w:val="9"/>
    <w:rPr>
      <w:rFonts w:ascii="Times New Roman" w:hAnsi="Times New Roman" w:eastAsia="宋体" w:cs="Times New Roman"/>
      <w:b/>
      <w:kern w:val="28"/>
      <w:sz w:val="24"/>
      <w:szCs w:val="20"/>
    </w:rPr>
  </w:style>
  <w:style w:type="character" w:customStyle="1" w:styleId="28">
    <w:name w:val="标题 3 Char"/>
    <w:basedOn w:val="23"/>
    <w:link w:val="5"/>
    <w:qFormat/>
    <w:uiPriority w:val="9"/>
    <w:rPr>
      <w:rFonts w:ascii="Times New Roman" w:hAnsi="Times New Roman" w:eastAsia="宋体" w:cs="Times New Roman"/>
      <w:b/>
      <w:kern w:val="28"/>
      <w:sz w:val="24"/>
      <w:szCs w:val="24"/>
    </w:rPr>
  </w:style>
  <w:style w:type="character" w:customStyle="1" w:styleId="29">
    <w:name w:val="标题 4 Char"/>
    <w:basedOn w:val="23"/>
    <w:link w:val="6"/>
    <w:qFormat/>
    <w:uiPriority w:val="9"/>
    <w:rPr>
      <w:rFonts w:ascii="Times New Roman" w:hAnsi="Times New Roman" w:eastAsia="宋体" w:cs="Times New Roman"/>
      <w:b/>
      <w:kern w:val="28"/>
      <w:sz w:val="24"/>
      <w:szCs w:val="24"/>
    </w:rPr>
  </w:style>
  <w:style w:type="character" w:customStyle="1" w:styleId="30">
    <w:name w:val="标题 5 Char"/>
    <w:basedOn w:val="23"/>
    <w:link w:val="7"/>
    <w:qFormat/>
    <w:uiPriority w:val="9"/>
    <w:rPr>
      <w:rFonts w:ascii="Times New Roman" w:hAnsi="Times New Roman" w:eastAsia="宋体" w:cs="Times New Roman"/>
      <w:b/>
      <w:i/>
      <w:kern w:val="28"/>
      <w:sz w:val="24"/>
      <w:szCs w:val="24"/>
    </w:rPr>
  </w:style>
  <w:style w:type="character" w:customStyle="1" w:styleId="31">
    <w:name w:val="标题 6 Char"/>
    <w:basedOn w:val="23"/>
    <w:link w:val="8"/>
    <w:qFormat/>
    <w:uiPriority w:val="9"/>
    <w:rPr>
      <w:rFonts w:ascii="Times New Roman" w:hAnsi="Times New Roman" w:eastAsia="宋体" w:cs="Times New Roman"/>
      <w:b/>
      <w:i/>
      <w:kern w:val="28"/>
      <w:sz w:val="24"/>
      <w:szCs w:val="24"/>
    </w:rPr>
  </w:style>
  <w:style w:type="character" w:customStyle="1" w:styleId="32">
    <w:name w:val="标题 7 Char"/>
    <w:basedOn w:val="23"/>
    <w:link w:val="9"/>
    <w:qFormat/>
    <w:uiPriority w:val="9"/>
    <w:rPr>
      <w:rFonts w:ascii="Times New Roman" w:hAnsi="Times New Roman" w:eastAsia="宋体" w:cs="Times New Roman"/>
      <w:b/>
      <w:i/>
      <w:kern w:val="28"/>
      <w:sz w:val="24"/>
      <w:szCs w:val="24"/>
    </w:rPr>
  </w:style>
  <w:style w:type="character" w:customStyle="1" w:styleId="33">
    <w:name w:val="标题 8 Char"/>
    <w:basedOn w:val="23"/>
    <w:link w:val="10"/>
    <w:uiPriority w:val="9"/>
    <w:rPr>
      <w:rFonts w:ascii="Times New Roman" w:hAnsi="Times New Roman" w:eastAsia="宋体" w:cs="Times New Roman"/>
      <w:b/>
      <w:i/>
      <w:kern w:val="28"/>
      <w:sz w:val="24"/>
      <w:szCs w:val="24"/>
    </w:rPr>
  </w:style>
  <w:style w:type="character" w:customStyle="1" w:styleId="34">
    <w:name w:val="标题 9 Char"/>
    <w:basedOn w:val="23"/>
    <w:link w:val="11"/>
    <w:qFormat/>
    <w:uiPriority w:val="9"/>
    <w:rPr>
      <w:rFonts w:ascii="Times New Roman" w:hAnsi="Times New Roman" w:eastAsia="宋体" w:cs="Times New Roman"/>
      <w:b/>
      <w:i/>
      <w:kern w:val="28"/>
      <w:sz w:val="24"/>
      <w:szCs w:val="24"/>
    </w:rPr>
  </w:style>
  <w:style w:type="character" w:customStyle="1" w:styleId="35">
    <w:name w:val="题注 Char"/>
    <w:link w:val="12"/>
    <w:uiPriority w:val="0"/>
    <w:rPr>
      <w:i/>
      <w:iCs/>
      <w:color w:val="1F497D" w:themeColor="text2"/>
      <w:kern w:val="0"/>
      <w:sz w:val="18"/>
      <w:szCs w:val="18"/>
      <w14:textFill>
        <w14:solidFill>
          <w14:schemeClr w14:val="tx2"/>
        </w14:solidFill>
      </w14:textFill>
    </w:rPr>
  </w:style>
  <w:style w:type="paragraph" w:styleId="36">
    <w:name w:val="List Paragraph"/>
    <w:basedOn w:val="1"/>
    <w:unhideWhenUsed/>
    <w:qFormat/>
    <w:uiPriority w:val="34"/>
    <w:pPr>
      <w:ind w:firstLine="420" w:firstLineChars="200"/>
    </w:pPr>
  </w:style>
  <w:style w:type="paragraph" w:customStyle="1" w:styleId="37">
    <w:name w:val="Para"/>
    <w:basedOn w:val="1"/>
    <w:link w:val="38"/>
    <w:qFormat/>
    <w:uiPriority w:val="99"/>
    <w:pPr>
      <w:spacing w:after="240" w:line="312" w:lineRule="atLeast"/>
    </w:pPr>
    <w:rPr>
      <w:rFonts w:ascii="Times" w:hAnsi="Times" w:eastAsia="Times New Roman" w:cs="Times New Roman"/>
      <w:szCs w:val="20"/>
      <w:lang w:eastAsia="en-US"/>
    </w:rPr>
  </w:style>
  <w:style w:type="character" w:customStyle="1" w:styleId="38">
    <w:name w:val="Para Char"/>
    <w:link w:val="37"/>
    <w:locked/>
    <w:uiPriority w:val="99"/>
    <w:rPr>
      <w:rFonts w:ascii="Times" w:hAnsi="Times" w:eastAsia="Times New Roman" w:cs="Times New Roman"/>
      <w:kern w:val="0"/>
      <w:sz w:val="24"/>
      <w:szCs w:val="20"/>
      <w:lang w:eastAsia="en-US"/>
    </w:rPr>
  </w:style>
  <w:style w:type="paragraph" w:customStyle="1" w:styleId="39">
    <w:name w:val="List Paragraph1"/>
    <w:basedOn w:val="1"/>
    <w:qFormat/>
    <w:uiPriority w:val="34"/>
    <w:pPr>
      <w:ind w:left="720"/>
      <w:contextualSpacing/>
    </w:pPr>
  </w:style>
  <w:style w:type="paragraph" w:customStyle="1" w:styleId="40">
    <w:name w:val="申报正文"/>
    <w:basedOn w:val="1"/>
    <w:link w:val="41"/>
    <w:qFormat/>
    <w:uiPriority w:val="0"/>
    <w:pPr>
      <w:widowControl w:val="0"/>
      <w:spacing w:beforeLines="50" w:afterLines="50"/>
      <w:ind w:firstLine="200" w:firstLineChars="200"/>
      <w:jc w:val="both"/>
    </w:pPr>
    <w:rPr>
      <w:rFonts w:ascii="Times New Roman" w:hAnsi="宋体" w:eastAsia="宋体" w:cs="Times New Roman"/>
      <w:kern w:val="2"/>
      <w:szCs w:val="24"/>
    </w:rPr>
  </w:style>
  <w:style w:type="character" w:customStyle="1" w:styleId="41">
    <w:name w:val="申报正文 Char"/>
    <w:link w:val="40"/>
    <w:qFormat/>
    <w:uiPriority w:val="0"/>
    <w:rPr>
      <w:rFonts w:ascii="Times New Roman" w:hAnsi="宋体" w:eastAsia="宋体" w:cs="Times New Roman"/>
      <w:sz w:val="24"/>
      <w:szCs w:val="24"/>
    </w:rPr>
  </w:style>
  <w:style w:type="paragraph" w:customStyle="1" w:styleId="42">
    <w:name w:val="标注"/>
    <w:basedOn w:val="1"/>
    <w:link w:val="43"/>
    <w:qFormat/>
    <w:uiPriority w:val="0"/>
    <w:pPr>
      <w:widowControl w:val="0"/>
      <w:spacing w:line="240" w:lineRule="auto"/>
      <w:jc w:val="both"/>
    </w:pPr>
    <w:rPr>
      <w:rFonts w:ascii="Times New Roman" w:hAnsi="宋体" w:eastAsia="宋体" w:cs="Times New Roman"/>
      <w:kern w:val="2"/>
      <w:sz w:val="21"/>
    </w:rPr>
  </w:style>
  <w:style w:type="character" w:customStyle="1" w:styleId="43">
    <w:name w:val="标注 Char"/>
    <w:link w:val="42"/>
    <w:qFormat/>
    <w:uiPriority w:val="0"/>
    <w:rPr>
      <w:rFonts w:ascii="Times New Roman" w:hAnsi="宋体" w:eastAsia="宋体" w:cs="Times New Roman"/>
      <w:szCs w:val="21"/>
    </w:rPr>
  </w:style>
  <w:style w:type="character" w:customStyle="1" w:styleId="44">
    <w:name w:val="正文文本 (2)_"/>
    <w:basedOn w:val="23"/>
    <w:link w:val="45"/>
    <w:qFormat/>
    <w:uiPriority w:val="0"/>
    <w:rPr>
      <w:rFonts w:ascii="Times New Roman" w:hAnsi="Times New Roman" w:eastAsia="Times New Roman" w:cs="Times New Roman"/>
      <w:sz w:val="24"/>
      <w:szCs w:val="24"/>
      <w:shd w:val="clear" w:color="auto" w:fill="FFFFFF"/>
    </w:rPr>
  </w:style>
  <w:style w:type="paragraph" w:customStyle="1" w:styleId="45">
    <w:name w:val="正文文本 (2)"/>
    <w:basedOn w:val="1"/>
    <w:link w:val="44"/>
    <w:qFormat/>
    <w:uiPriority w:val="0"/>
    <w:pPr>
      <w:widowControl w:val="0"/>
      <w:shd w:val="clear" w:color="auto" w:fill="FFFFFF"/>
      <w:adjustRightInd/>
      <w:snapToGrid/>
      <w:spacing w:before="360" w:after="4080" w:line="283" w:lineRule="exact"/>
      <w:ind w:hanging="440"/>
      <w:jc w:val="both"/>
    </w:pPr>
    <w:rPr>
      <w:rFonts w:ascii="Times New Roman" w:hAnsi="Times New Roman" w:eastAsia="Times New Roman" w:cs="Times New Roman"/>
      <w:kern w:val="2"/>
      <w:szCs w:val="24"/>
    </w:rPr>
  </w:style>
  <w:style w:type="character" w:customStyle="1" w:styleId="46">
    <w:name w:val="正文文本 (3)_"/>
    <w:basedOn w:val="23"/>
    <w:link w:val="47"/>
    <w:qFormat/>
    <w:uiPriority w:val="0"/>
    <w:rPr>
      <w:rFonts w:ascii="Times New Roman" w:hAnsi="Times New Roman" w:eastAsia="Times New Roman" w:cs="Times New Roman"/>
      <w:b/>
      <w:bCs/>
      <w:sz w:val="60"/>
      <w:szCs w:val="60"/>
      <w:shd w:val="clear" w:color="auto" w:fill="FFFFFF"/>
    </w:rPr>
  </w:style>
  <w:style w:type="paragraph" w:customStyle="1" w:styleId="47">
    <w:name w:val="正文文本 (3)"/>
    <w:basedOn w:val="1"/>
    <w:link w:val="46"/>
    <w:qFormat/>
    <w:uiPriority w:val="0"/>
    <w:pPr>
      <w:widowControl w:val="0"/>
      <w:shd w:val="clear" w:color="auto" w:fill="FFFFFF"/>
      <w:adjustRightInd/>
      <w:snapToGrid/>
      <w:spacing w:after="240" w:line="0" w:lineRule="atLeast"/>
    </w:pPr>
    <w:rPr>
      <w:rFonts w:ascii="Times New Roman" w:hAnsi="Times New Roman" w:eastAsia="Times New Roman" w:cs="Times New Roman"/>
      <w:b/>
      <w:bCs/>
      <w:kern w:val="2"/>
      <w:sz w:val="60"/>
      <w:szCs w:val="60"/>
    </w:rPr>
  </w:style>
  <w:style w:type="character" w:customStyle="1" w:styleId="48">
    <w:name w:val="日期 Char"/>
    <w:basedOn w:val="23"/>
    <w:link w:val="14"/>
    <w:semiHidden/>
    <w:qFormat/>
    <w:uiPriority w:val="99"/>
    <w:rPr>
      <w:kern w:val="0"/>
      <w:sz w:val="24"/>
    </w:rPr>
  </w:style>
  <w:style w:type="character" w:customStyle="1" w:styleId="49">
    <w:name w:val="页眉 Char"/>
    <w:basedOn w:val="23"/>
    <w:link w:val="17"/>
    <w:qFormat/>
    <w:uiPriority w:val="99"/>
    <w:rPr>
      <w:kern w:val="0"/>
      <w:sz w:val="18"/>
      <w:szCs w:val="18"/>
    </w:rPr>
  </w:style>
  <w:style w:type="character" w:customStyle="1" w:styleId="50">
    <w:name w:val="页脚 Char"/>
    <w:basedOn w:val="23"/>
    <w:link w:val="16"/>
    <w:qFormat/>
    <w:uiPriority w:val="99"/>
    <w:rPr>
      <w:kern w:val="0"/>
      <w:sz w:val="18"/>
      <w:szCs w:val="18"/>
    </w:rPr>
  </w:style>
  <w:style w:type="character" w:customStyle="1" w:styleId="51">
    <w:name w:val="批注框文本 Char"/>
    <w:basedOn w:val="23"/>
    <w:link w:val="15"/>
    <w:semiHidden/>
    <w:qFormat/>
    <w:uiPriority w:val="99"/>
    <w:rPr>
      <w:kern w:val="0"/>
      <w:sz w:val="18"/>
      <w:szCs w:val="18"/>
    </w:rPr>
  </w:style>
  <w:style w:type="character" w:customStyle="1" w:styleId="52">
    <w:name w:val="正文文本 (5)_"/>
    <w:basedOn w:val="23"/>
    <w:link w:val="53"/>
    <w:qFormat/>
    <w:uiPriority w:val="0"/>
    <w:rPr>
      <w:rFonts w:ascii="Times New Roman" w:hAnsi="Times New Roman" w:eastAsia="Times New Roman" w:cs="Times New Roman"/>
      <w:i/>
      <w:iCs/>
      <w:shd w:val="clear" w:color="auto" w:fill="FFFFFF"/>
    </w:rPr>
  </w:style>
  <w:style w:type="paragraph" w:customStyle="1" w:styleId="53">
    <w:name w:val="正文文本 (5)"/>
    <w:basedOn w:val="1"/>
    <w:link w:val="52"/>
    <w:qFormat/>
    <w:uiPriority w:val="0"/>
    <w:pPr>
      <w:widowControl w:val="0"/>
      <w:shd w:val="clear" w:color="auto" w:fill="FFFFFF"/>
      <w:adjustRightInd/>
      <w:snapToGrid/>
      <w:spacing w:before="1440" w:after="360" w:line="0" w:lineRule="atLeast"/>
      <w:ind w:hanging="340"/>
      <w:jc w:val="center"/>
    </w:pPr>
    <w:rPr>
      <w:rFonts w:ascii="Times New Roman" w:hAnsi="Times New Roman" w:eastAsia="Times New Roman" w:cs="Times New Roman"/>
      <w:i/>
      <w:iCs/>
      <w:kern w:val="2"/>
      <w:sz w:val="21"/>
    </w:rPr>
  </w:style>
  <w:style w:type="character" w:customStyle="1" w:styleId="54">
    <w:name w:val="标题 #3_"/>
    <w:basedOn w:val="23"/>
    <w:link w:val="55"/>
    <w:qFormat/>
    <w:uiPriority w:val="0"/>
    <w:rPr>
      <w:rFonts w:ascii="Times New Roman" w:hAnsi="Times New Roman" w:eastAsia="Times New Roman" w:cs="Times New Roman"/>
      <w:b/>
      <w:bCs/>
      <w:shd w:val="clear" w:color="auto" w:fill="FFFFFF"/>
    </w:rPr>
  </w:style>
  <w:style w:type="paragraph" w:customStyle="1" w:styleId="55">
    <w:name w:val="标题 #3"/>
    <w:basedOn w:val="1"/>
    <w:link w:val="54"/>
    <w:qFormat/>
    <w:uiPriority w:val="0"/>
    <w:pPr>
      <w:widowControl w:val="0"/>
      <w:shd w:val="clear" w:color="auto" w:fill="FFFFFF"/>
      <w:adjustRightInd/>
      <w:snapToGrid/>
      <w:spacing w:before="360" w:after="600" w:line="0" w:lineRule="atLeast"/>
      <w:outlineLvl w:val="2"/>
    </w:pPr>
    <w:rPr>
      <w:rFonts w:ascii="Times New Roman" w:hAnsi="Times New Roman" w:eastAsia="Times New Roman" w:cs="Times New Roman"/>
      <w:b/>
      <w:bCs/>
      <w:kern w:val="2"/>
      <w:sz w:val="21"/>
    </w:rPr>
  </w:style>
  <w:style w:type="character" w:customStyle="1" w:styleId="56">
    <w:name w:val="apple-converted-space"/>
    <w:basedOn w:val="23"/>
    <w:qFormat/>
    <w:uiPriority w:val="0"/>
  </w:style>
  <w:style w:type="character" w:customStyle="1" w:styleId="57">
    <w:name w:val="op_dict_text2"/>
    <w:basedOn w:val="23"/>
    <w:qFormat/>
    <w:uiPriority w:val="0"/>
  </w:style>
  <w:style w:type="character" w:customStyle="1" w:styleId="58">
    <w:name w:val="正文文本 (4)_"/>
    <w:basedOn w:val="23"/>
    <w:link w:val="59"/>
    <w:qFormat/>
    <w:uiPriority w:val="0"/>
    <w:rPr>
      <w:rFonts w:ascii="Times New Roman" w:hAnsi="Times New Roman" w:eastAsia="Times New Roman" w:cs="Times New Roman"/>
      <w:b/>
      <w:bCs/>
      <w:shd w:val="clear" w:color="auto" w:fill="FFFFFF"/>
    </w:rPr>
  </w:style>
  <w:style w:type="paragraph" w:customStyle="1" w:styleId="59">
    <w:name w:val="正文文本 (4)"/>
    <w:basedOn w:val="1"/>
    <w:link w:val="58"/>
    <w:qFormat/>
    <w:uiPriority w:val="0"/>
    <w:pPr>
      <w:widowControl w:val="0"/>
      <w:shd w:val="clear" w:color="auto" w:fill="FFFFFF"/>
      <w:adjustRightInd/>
      <w:snapToGrid/>
      <w:spacing w:before="780" w:line="274" w:lineRule="exact"/>
      <w:jc w:val="center"/>
    </w:pPr>
    <w:rPr>
      <w:rFonts w:ascii="Times New Roman" w:hAnsi="Times New Roman" w:eastAsia="Times New Roman" w:cs="Times New Roman"/>
      <w:b/>
      <w:bCs/>
      <w:kern w:val="2"/>
      <w:sz w:val="21"/>
    </w:rPr>
  </w:style>
  <w:style w:type="character" w:customStyle="1" w:styleId="60">
    <w:name w:val="脚注文本 Char"/>
    <w:basedOn w:val="23"/>
    <w:link w:val="19"/>
    <w:semiHidden/>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836A5-72FA-4B74-A763-F7DD1BB7FC5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47</Pages>
  <Words>20820</Words>
  <Characters>23242</Characters>
  <Lines>271</Lines>
  <Paragraphs>76</Paragraphs>
  <TotalTime>0</TotalTime>
  <ScaleCrop>false</ScaleCrop>
  <LinksUpToDate>false</LinksUpToDate>
  <CharactersWithSpaces>23701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2017-12-18T15:16:00Z</dcterms:created>
  <dc:creator>y li</dc:creator>
  <cp:lastModifiedBy>太极箫客</cp:lastModifiedBy>
  <dcterms:modified xsi:type="dcterms:W3CDTF">2025-08-14T07:10:54Z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7FCAFC62ACFC4C4787055B7E78EE2131_12</vt:lpwstr>
  </property>
</Properties>
</file>