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9973">
      <w:pPr>
        <w:overflowPunct w:val="0"/>
        <w:snapToGrid w:val="0"/>
        <w:spacing w:line="300" w:lineRule="auto"/>
        <w:jc w:val="center"/>
        <w:rPr>
          <w:rFonts w:ascii="Times New Roman" w:hAnsi="Times New Roman" w:eastAsia="宋体" w:cs="Times New Roman"/>
          <w:sz w:val="72"/>
          <w:szCs w:val="72"/>
        </w:rPr>
      </w:pPr>
      <w:bookmarkStart w:id="3" w:name="_GoBack"/>
      <w:bookmarkEnd w:id="3"/>
      <w:r>
        <w:rPr>
          <w:rFonts w:hint="eastAsia" w:ascii="Times New Roman" w:eastAsia="宋体"/>
          <w:sz w:val="72"/>
        </w:rPr>
        <w:t>知情同意书中的免责语言指南</w:t>
      </w:r>
    </w:p>
    <w:p w14:paraId="776C5697">
      <w:pPr>
        <w:overflowPunct w:val="0"/>
        <w:snapToGrid w:val="0"/>
        <w:spacing w:line="300" w:lineRule="auto"/>
        <w:jc w:val="center"/>
        <w:rPr>
          <w:rFonts w:ascii="Times New Roman" w:hAnsi="Times New Roman" w:eastAsia="宋体" w:cs="Times New Roman"/>
          <w:sz w:val="72"/>
          <w:szCs w:val="72"/>
        </w:rPr>
      </w:pPr>
    </w:p>
    <w:p w14:paraId="677638BB">
      <w:pPr>
        <w:overflowPunct w:val="0"/>
        <w:snapToGrid w:val="0"/>
        <w:spacing w:after="120" w:afterLines="50" w:line="300" w:lineRule="auto"/>
        <w:jc w:val="center"/>
        <w:rPr>
          <w:rFonts w:ascii="Arial" w:hAnsi="Arial" w:eastAsia="宋体" w:cs="Arial"/>
          <w:sz w:val="36"/>
          <w:szCs w:val="36"/>
        </w:rPr>
      </w:pPr>
      <w:r>
        <w:rPr>
          <w:rFonts w:ascii="Arial" w:hAnsi="Arial" w:eastAsia="宋体" w:cs="Arial"/>
          <w:b/>
          <w:i/>
          <w:sz w:val="36"/>
        </w:rPr>
        <w:t>指南草案</w:t>
      </w:r>
    </w:p>
    <w:p w14:paraId="09F57D3A">
      <w:pPr>
        <w:pStyle w:val="2"/>
        <w:overflowPunct w:val="0"/>
        <w:snapToGrid w:val="0"/>
        <w:spacing w:after="120" w:afterLines="50" w:line="300" w:lineRule="auto"/>
        <w:ind w:left="0"/>
        <w:jc w:val="center"/>
        <w:rPr>
          <w:rFonts w:ascii="Arial" w:hAnsi="Arial" w:cs="Arial"/>
          <w:b w:val="0"/>
          <w:bCs w:val="0"/>
        </w:rPr>
      </w:pPr>
      <w:r>
        <w:rPr>
          <w:rFonts w:ascii="Arial" w:hAnsi="Arial" w:cs="Arial"/>
        </w:rPr>
        <w:t>本指导性文件公布的目的仅用于征询意见、建议用途。</w:t>
      </w:r>
    </w:p>
    <w:p w14:paraId="44AAB478">
      <w:pPr>
        <w:overflowPunct w:val="0"/>
        <w:snapToGrid w:val="0"/>
        <w:spacing w:after="120" w:afterLines="50" w:line="300" w:lineRule="auto"/>
        <w:rPr>
          <w:rFonts w:ascii="Arial" w:hAnsi="Arial" w:eastAsia="宋体" w:cs="Arial"/>
          <w:b/>
          <w:bCs/>
          <w:sz w:val="23"/>
          <w:szCs w:val="23"/>
        </w:rPr>
      </w:pPr>
    </w:p>
    <w:p w14:paraId="21CA23E3">
      <w:pPr>
        <w:pStyle w:val="3"/>
        <w:overflowPunct w:val="0"/>
        <w:snapToGrid w:val="0"/>
        <w:spacing w:after="120" w:afterLines="50" w:line="300" w:lineRule="auto"/>
        <w:ind w:left="0"/>
        <w:jc w:val="both"/>
        <w:rPr>
          <w:rFonts w:ascii="Arial" w:hAnsi="Arial" w:cs="Arial"/>
        </w:rPr>
      </w:pPr>
      <w:r>
        <w:rPr>
          <w:rFonts w:hint="eastAsia" w:ascii="Arial" w:hAnsi="Arial" w:cs="Arial"/>
        </w:rPr>
        <w:t>关于本草案文件的任何评论及建议，请于联邦公报刊载草案文件发布通知的60天内提交。</w:t>
      </w:r>
      <w:r>
        <w:rPr>
          <w:rFonts w:ascii="Arial" w:hAnsi="Arial" w:cs="Arial"/>
        </w:rPr>
        <w:t>所有评论应当注明案卷编号，该编号列于宣布提供指南的联邦公告中。</w:t>
      </w:r>
    </w:p>
    <w:p w14:paraId="10ECE5C5">
      <w:pPr>
        <w:pStyle w:val="3"/>
        <w:overflowPunct w:val="0"/>
        <w:snapToGrid w:val="0"/>
        <w:spacing w:after="120" w:afterLines="50" w:line="300" w:lineRule="auto"/>
        <w:ind w:left="0"/>
        <w:rPr>
          <w:rFonts w:ascii="Arial" w:hAnsi="Arial" w:cs="Arial"/>
        </w:rPr>
      </w:pPr>
      <w:r>
        <w:rPr>
          <w:rFonts w:ascii="Arial" w:hAnsi="Arial" w:cs="Arial"/>
        </w:rPr>
        <w:t>电子评论请提交至</w:t>
      </w:r>
      <w:r>
        <w:rPr>
          <w:rFonts w:ascii="Arial" w:hAnsi="Arial" w:cs="Arial"/>
        </w:rPr>
        <w:fldChar w:fldCharType="begin"/>
      </w:r>
      <w:r>
        <w:rPr>
          <w:rFonts w:ascii="Arial" w:hAnsi="Arial" w:cs="Arial"/>
        </w:rPr>
        <w:instrText xml:space="preserve"> HYPERLINK "http://www.regulations.gov/" \h </w:instrText>
      </w:r>
      <w:r>
        <w:rPr>
          <w:rFonts w:ascii="Arial" w:hAnsi="Arial" w:cs="Arial"/>
        </w:rPr>
        <w:fldChar w:fldCharType="separate"/>
      </w:r>
      <w:r>
        <w:rPr>
          <w:rFonts w:ascii="Arial" w:hAnsi="Arial" w:cs="Arial"/>
          <w:color w:val="0000FF"/>
          <w:u w:val="single" w:color="0000FF"/>
        </w:rPr>
        <w:t>http://www.regulations.gov</w:t>
      </w:r>
      <w:r>
        <w:rPr>
          <w:rFonts w:ascii="Arial" w:hAnsi="Arial" w:cs="Arial"/>
          <w:color w:val="0000FF"/>
          <w:u w:val="single" w:color="0000FF"/>
        </w:rPr>
        <w:fldChar w:fldCharType="end"/>
      </w:r>
      <w:r>
        <w:rPr>
          <w:rFonts w:ascii="Arial" w:hAnsi="Arial" w:cs="Arial"/>
        </w:rPr>
        <w:t>。</w:t>
      </w:r>
    </w:p>
    <w:p w14:paraId="0DAF2BBA">
      <w:pPr>
        <w:pStyle w:val="3"/>
        <w:overflowPunct w:val="0"/>
        <w:snapToGrid w:val="0"/>
        <w:spacing w:after="120" w:afterLines="50" w:line="300" w:lineRule="auto"/>
        <w:ind w:left="0"/>
        <w:rPr>
          <w:rFonts w:ascii="Arial" w:hAnsi="Arial" w:cs="Arial"/>
        </w:rPr>
      </w:pPr>
      <w:r>
        <w:rPr>
          <w:rFonts w:ascii="Arial" w:hAnsi="Arial" w:cs="Arial"/>
        </w:rPr>
        <w:t>通过邮件/亲自/快递将纸质、磁盘或CD-ROM上的评论提交至：</w:t>
      </w:r>
    </w:p>
    <w:p w14:paraId="0443E003">
      <w:pPr>
        <w:overflowPunct w:val="0"/>
        <w:snapToGrid w:val="0"/>
        <w:spacing w:after="120" w:afterLines="50" w:line="300" w:lineRule="auto"/>
        <w:rPr>
          <w:rFonts w:ascii="Arial" w:hAnsi="Arial" w:eastAsia="宋体" w:cs="Arial"/>
          <w:sz w:val="24"/>
          <w:szCs w:val="24"/>
        </w:rPr>
      </w:pPr>
    </w:p>
    <w:tbl>
      <w:tblPr>
        <w:tblStyle w:val="11"/>
        <w:tblW w:w="5000" w:type="pct"/>
        <w:tblInd w:w="0" w:type="dxa"/>
        <w:tblLayout w:type="autofit"/>
        <w:tblCellMar>
          <w:top w:w="0" w:type="dxa"/>
          <w:left w:w="0" w:type="dxa"/>
          <w:bottom w:w="0" w:type="dxa"/>
          <w:right w:w="0" w:type="dxa"/>
        </w:tblCellMar>
      </w:tblPr>
      <w:tblGrid>
        <w:gridCol w:w="4695"/>
        <w:gridCol w:w="5277"/>
      </w:tblGrid>
      <w:tr w14:paraId="4A9215BE">
        <w:tblPrEx>
          <w:tblCellMar>
            <w:top w:w="0" w:type="dxa"/>
            <w:left w:w="0" w:type="dxa"/>
            <w:bottom w:w="0" w:type="dxa"/>
            <w:right w:w="0" w:type="dxa"/>
          </w:tblCellMar>
        </w:tblPrEx>
        <w:tc>
          <w:tcPr>
            <w:tcW w:w="2354" w:type="pct"/>
            <w:tcBorders>
              <w:top w:val="nil"/>
              <w:left w:val="nil"/>
              <w:bottom w:val="nil"/>
              <w:right w:val="nil"/>
            </w:tcBorders>
          </w:tcPr>
          <w:p w14:paraId="5CB8ADD1">
            <w:pPr>
              <w:pStyle w:val="13"/>
              <w:overflowPunct w:val="0"/>
              <w:snapToGrid w:val="0"/>
              <w:spacing w:line="300" w:lineRule="auto"/>
              <w:rPr>
                <w:rFonts w:ascii="Arial" w:hAnsi="Arial" w:eastAsia="宋体" w:cs="Arial"/>
                <w:sz w:val="24"/>
                <w:szCs w:val="24"/>
              </w:rPr>
            </w:pPr>
            <w:r>
              <w:rPr>
                <w:rFonts w:ascii="Arial" w:hAnsi="Arial" w:eastAsia="宋体" w:cs="Arial"/>
                <w:sz w:val="24"/>
                <w:szCs w:val="24"/>
              </w:rPr>
              <w:t>人类研究保护办公室</w:t>
            </w:r>
          </w:p>
          <w:p w14:paraId="43A29280">
            <w:pPr>
              <w:pStyle w:val="13"/>
              <w:overflowPunct w:val="0"/>
              <w:snapToGrid w:val="0"/>
              <w:spacing w:line="300" w:lineRule="auto"/>
              <w:rPr>
                <w:rFonts w:ascii="Arial" w:hAnsi="Arial" w:eastAsia="宋体" w:cs="Arial"/>
                <w:sz w:val="24"/>
                <w:szCs w:val="24"/>
              </w:rPr>
            </w:pPr>
            <w:r>
              <w:rPr>
                <w:rFonts w:ascii="Arial" w:hAnsi="Arial" w:eastAsia="宋体" w:cs="Arial"/>
                <w:sz w:val="24"/>
                <w:szCs w:val="24"/>
              </w:rPr>
              <w:t>政策和保证处</w:t>
            </w:r>
            <w:r>
              <w:rPr>
                <w:rFonts w:ascii="Arial" w:hAnsi="Arial" w:eastAsia="宋体" w:cs="Arial"/>
                <w:sz w:val="24"/>
                <w:szCs w:val="24"/>
              </w:rPr>
              <w:br w:type="textWrapping"/>
            </w:r>
            <w:r>
              <w:rPr>
                <w:rFonts w:ascii="Arial" w:hAnsi="Arial" w:eastAsia="宋体" w:cs="Arial"/>
                <w:sz w:val="24"/>
                <w:szCs w:val="24"/>
              </w:rPr>
              <w:t>1101 Wootton Parkway，Suite 200</w:t>
            </w:r>
          </w:p>
          <w:p w14:paraId="2FC09363">
            <w:pPr>
              <w:pStyle w:val="13"/>
              <w:overflowPunct w:val="0"/>
              <w:snapToGrid w:val="0"/>
              <w:spacing w:line="300" w:lineRule="auto"/>
              <w:rPr>
                <w:rFonts w:ascii="Arial" w:hAnsi="Arial" w:eastAsia="宋体" w:cs="Arial"/>
                <w:sz w:val="24"/>
                <w:szCs w:val="24"/>
              </w:rPr>
            </w:pPr>
            <w:r>
              <w:rPr>
                <w:rFonts w:ascii="Arial" w:hAnsi="Arial" w:eastAsia="宋体" w:cs="Arial"/>
                <w:sz w:val="24"/>
                <w:szCs w:val="24"/>
              </w:rPr>
              <w:t>Rockville，MD 20852</w:t>
            </w:r>
          </w:p>
        </w:tc>
        <w:tc>
          <w:tcPr>
            <w:tcW w:w="2646" w:type="pct"/>
            <w:tcBorders>
              <w:top w:val="nil"/>
              <w:left w:val="nil"/>
              <w:bottom w:val="nil"/>
              <w:right w:val="nil"/>
            </w:tcBorders>
          </w:tcPr>
          <w:p w14:paraId="59DA813B">
            <w:pPr>
              <w:pStyle w:val="13"/>
              <w:overflowPunct w:val="0"/>
              <w:snapToGrid w:val="0"/>
              <w:spacing w:line="300" w:lineRule="auto"/>
              <w:rPr>
                <w:rFonts w:ascii="Arial" w:hAnsi="Arial" w:eastAsia="宋体" w:cs="Arial"/>
                <w:sz w:val="24"/>
                <w:szCs w:val="24"/>
              </w:rPr>
            </w:pPr>
            <w:r>
              <w:rPr>
                <w:rFonts w:ascii="Arial" w:hAnsi="Arial" w:eastAsia="宋体" w:cs="Arial"/>
                <w:sz w:val="24"/>
                <w:szCs w:val="24"/>
              </w:rPr>
              <w:t>食品药品监督管理局</w:t>
            </w:r>
          </w:p>
          <w:p w14:paraId="0EF375F1">
            <w:pPr>
              <w:pStyle w:val="13"/>
              <w:overflowPunct w:val="0"/>
              <w:snapToGrid w:val="0"/>
              <w:spacing w:line="300" w:lineRule="auto"/>
              <w:rPr>
                <w:rFonts w:ascii="Arial" w:hAnsi="Arial" w:eastAsia="宋体" w:cs="Arial"/>
                <w:sz w:val="24"/>
                <w:szCs w:val="24"/>
              </w:rPr>
            </w:pPr>
            <w:r>
              <w:rPr>
                <w:rFonts w:ascii="Arial" w:hAnsi="Arial" w:eastAsia="宋体" w:cs="Arial"/>
                <w:sz w:val="24"/>
                <w:szCs w:val="24"/>
              </w:rPr>
              <w:t>案卷管理</w:t>
            </w:r>
            <w:r>
              <w:rPr>
                <w:rFonts w:hint="eastAsia" w:ascii="Arial" w:hAnsi="Arial" w:eastAsia="宋体" w:cs="Arial"/>
                <w:sz w:val="24"/>
                <w:szCs w:val="24"/>
              </w:rPr>
              <w:t>科</w:t>
            </w:r>
            <w:r>
              <w:rPr>
                <w:rFonts w:ascii="Arial" w:hAnsi="Arial" w:eastAsia="宋体" w:cs="Arial"/>
                <w:sz w:val="24"/>
                <w:szCs w:val="24"/>
              </w:rPr>
              <w:br w:type="textWrapping"/>
            </w:r>
            <w:r>
              <w:rPr>
                <w:rFonts w:ascii="Arial" w:hAnsi="Arial" w:eastAsia="宋体" w:cs="Arial"/>
                <w:sz w:val="24"/>
                <w:szCs w:val="24"/>
              </w:rPr>
              <w:t>（HFA-305）5630 Fishers Lane，Room 1061</w:t>
            </w:r>
          </w:p>
          <w:p w14:paraId="558981E8">
            <w:pPr>
              <w:pStyle w:val="13"/>
              <w:overflowPunct w:val="0"/>
              <w:snapToGrid w:val="0"/>
              <w:spacing w:line="300" w:lineRule="auto"/>
              <w:rPr>
                <w:rFonts w:ascii="Arial" w:hAnsi="Arial" w:eastAsia="宋体" w:cs="Arial"/>
                <w:sz w:val="24"/>
                <w:szCs w:val="24"/>
              </w:rPr>
            </w:pPr>
            <w:r>
              <w:rPr>
                <w:rFonts w:ascii="Arial" w:hAnsi="Arial" w:eastAsia="宋体" w:cs="Arial"/>
                <w:sz w:val="24"/>
                <w:szCs w:val="24"/>
              </w:rPr>
              <w:t>Rockville，MD 20852</w:t>
            </w:r>
          </w:p>
        </w:tc>
      </w:tr>
    </w:tbl>
    <w:p w14:paraId="7F628264">
      <w:pPr>
        <w:overflowPunct w:val="0"/>
        <w:snapToGrid w:val="0"/>
        <w:spacing w:after="120" w:afterLines="50" w:line="300" w:lineRule="auto"/>
        <w:rPr>
          <w:rFonts w:ascii="Arial" w:hAnsi="Arial" w:eastAsia="宋体" w:cs="Arial"/>
          <w:sz w:val="20"/>
          <w:szCs w:val="20"/>
        </w:rPr>
      </w:pPr>
    </w:p>
    <w:p w14:paraId="4AF63202">
      <w:pPr>
        <w:overflowPunct w:val="0"/>
        <w:snapToGrid w:val="0"/>
        <w:spacing w:after="120" w:afterLines="50" w:line="300" w:lineRule="auto"/>
        <w:rPr>
          <w:rFonts w:ascii="Arial" w:hAnsi="Arial" w:eastAsia="宋体" w:cs="Arial"/>
          <w:sz w:val="20"/>
          <w:szCs w:val="20"/>
        </w:rPr>
      </w:pPr>
    </w:p>
    <w:p w14:paraId="2BFEA6C1">
      <w:pPr>
        <w:overflowPunct w:val="0"/>
        <w:snapToGrid w:val="0"/>
        <w:spacing w:after="120" w:afterLines="50" w:line="300" w:lineRule="auto"/>
        <w:rPr>
          <w:rFonts w:ascii="Arial" w:hAnsi="Arial" w:eastAsia="宋体" w:cs="Arial"/>
          <w:sz w:val="20"/>
          <w:szCs w:val="20"/>
        </w:rPr>
      </w:pPr>
    </w:p>
    <w:p w14:paraId="4D5413EF">
      <w:pPr>
        <w:overflowPunct w:val="0"/>
        <w:snapToGrid w:val="0"/>
        <w:spacing w:after="120" w:afterLines="50" w:line="300" w:lineRule="auto"/>
        <w:rPr>
          <w:rFonts w:ascii="Arial" w:hAnsi="Arial" w:eastAsia="宋体" w:cs="Arial"/>
          <w:sz w:val="20"/>
          <w:szCs w:val="20"/>
        </w:rPr>
      </w:pPr>
    </w:p>
    <w:p w14:paraId="3628097E">
      <w:pPr>
        <w:pStyle w:val="2"/>
        <w:overflowPunct w:val="0"/>
        <w:snapToGrid w:val="0"/>
        <w:spacing w:after="120" w:afterLines="50" w:line="300" w:lineRule="auto"/>
        <w:ind w:left="0"/>
        <w:jc w:val="center"/>
        <w:rPr>
          <w:rFonts w:ascii="Arial" w:hAnsi="Arial" w:cs="Arial"/>
          <w:b w:val="0"/>
          <w:bCs w:val="0"/>
          <w:sz w:val="28"/>
          <w:szCs w:val="28"/>
        </w:rPr>
      </w:pPr>
      <w:r>
        <w:rPr>
          <w:rFonts w:ascii="Arial" w:hAnsi="Arial" w:cs="Arial"/>
          <w:sz w:val="28"/>
          <w:szCs w:val="28"/>
        </w:rPr>
        <w:t>美国卫生和人类服务署</w:t>
      </w:r>
    </w:p>
    <w:p w14:paraId="0104C5B3">
      <w:pPr>
        <w:tabs>
          <w:tab w:val="left" w:pos="5903"/>
        </w:tabs>
        <w:overflowPunct w:val="0"/>
        <w:snapToGrid w:val="0"/>
        <w:spacing w:after="120" w:afterLines="50" w:line="300" w:lineRule="auto"/>
        <w:ind w:left="3300" w:hanging="3300"/>
        <w:jc w:val="center"/>
        <w:rPr>
          <w:rFonts w:ascii="Arial" w:hAnsi="Arial" w:eastAsia="宋体" w:cs="Arial"/>
          <w:b/>
          <w:sz w:val="28"/>
          <w:szCs w:val="28"/>
        </w:rPr>
      </w:pPr>
      <w:r>
        <w:rPr>
          <w:rFonts w:ascii="Arial" w:hAnsi="Arial" w:eastAsia="宋体" w:cs="Arial"/>
          <w:b/>
          <w:sz w:val="28"/>
          <w:szCs w:val="28"/>
        </w:rPr>
        <w:t>人类研究保护办公室</w:t>
      </w:r>
      <w:r>
        <w:rPr>
          <w:rFonts w:ascii="Arial" w:hAnsi="Arial" w:eastAsia="宋体" w:cs="Arial"/>
          <w:b/>
          <w:sz w:val="28"/>
          <w:szCs w:val="28"/>
        </w:rPr>
        <w:tab/>
      </w:r>
      <w:r>
        <w:rPr>
          <w:rFonts w:ascii="Arial" w:hAnsi="Arial" w:eastAsia="宋体" w:cs="Arial"/>
          <w:b/>
          <w:sz w:val="28"/>
          <w:szCs w:val="28"/>
        </w:rPr>
        <w:t>食品药品监督管理局</w:t>
      </w:r>
    </w:p>
    <w:p w14:paraId="34F96502">
      <w:pPr>
        <w:tabs>
          <w:tab w:val="left" w:pos="5903"/>
        </w:tabs>
        <w:overflowPunct w:val="0"/>
        <w:snapToGrid w:val="0"/>
        <w:spacing w:after="120" w:afterLines="50" w:line="300" w:lineRule="auto"/>
        <w:ind w:left="3300" w:hanging="3300"/>
        <w:jc w:val="center"/>
        <w:rPr>
          <w:rFonts w:ascii="Arial" w:hAnsi="Arial" w:eastAsia="宋体" w:cs="Arial"/>
          <w:b/>
          <w:sz w:val="28"/>
          <w:szCs w:val="28"/>
        </w:rPr>
      </w:pPr>
    </w:p>
    <w:p w14:paraId="00CCE236">
      <w:pPr>
        <w:tabs>
          <w:tab w:val="left" w:pos="5903"/>
        </w:tabs>
        <w:overflowPunct w:val="0"/>
        <w:snapToGrid w:val="0"/>
        <w:spacing w:after="120" w:afterLines="50" w:line="300" w:lineRule="auto"/>
        <w:ind w:left="3300" w:hanging="3300"/>
        <w:jc w:val="center"/>
        <w:rPr>
          <w:rFonts w:ascii="Arial" w:hAnsi="Arial" w:eastAsia="宋体" w:cs="Arial"/>
          <w:sz w:val="28"/>
          <w:szCs w:val="28"/>
        </w:rPr>
      </w:pPr>
      <w:r>
        <w:rPr>
          <w:rFonts w:ascii="Arial" w:hAnsi="Arial" w:eastAsia="宋体" w:cs="Arial"/>
          <w:b/>
          <w:sz w:val="28"/>
          <w:szCs w:val="28"/>
        </w:rPr>
        <w:t>2011年8月19日</w:t>
      </w:r>
    </w:p>
    <w:p w14:paraId="09199651">
      <w:pPr>
        <w:overflowPunct w:val="0"/>
        <w:snapToGrid w:val="0"/>
        <w:spacing w:after="120" w:afterLines="50" w:line="300" w:lineRule="auto"/>
        <w:rPr>
          <w:rFonts w:ascii="Arial" w:hAnsi="Arial" w:eastAsia="宋体" w:cs="Arial"/>
          <w:b/>
          <w:bCs/>
          <w:sz w:val="20"/>
          <w:szCs w:val="20"/>
        </w:rPr>
      </w:pPr>
    </w:p>
    <w:p w14:paraId="48A2F249">
      <w:pPr>
        <w:overflowPunct w:val="0"/>
        <w:snapToGrid w:val="0"/>
        <w:spacing w:after="120" w:afterLines="50" w:line="300" w:lineRule="auto"/>
        <w:rPr>
          <w:rFonts w:ascii="Arial" w:hAnsi="Arial" w:eastAsia="宋体" w:cs="Arial"/>
          <w:b/>
          <w:bCs/>
          <w:sz w:val="24"/>
          <w:szCs w:val="24"/>
        </w:rPr>
      </w:pPr>
    </w:p>
    <w:p w14:paraId="64A51256">
      <w:pPr>
        <w:overflowPunct w:val="0"/>
        <w:snapToGrid w:val="0"/>
        <w:spacing w:after="120" w:afterLines="50" w:line="300" w:lineRule="auto"/>
        <w:rPr>
          <w:rFonts w:ascii="Arial" w:hAnsi="Arial" w:eastAsia="宋体" w:cs="Arial"/>
          <w:b/>
          <w:bCs/>
          <w:sz w:val="24"/>
          <w:szCs w:val="24"/>
        </w:rPr>
      </w:pPr>
    </w:p>
    <w:p w14:paraId="538CB8B7">
      <w:pPr>
        <w:overflowPunct w:val="0"/>
        <w:snapToGrid w:val="0"/>
        <w:spacing w:after="120" w:afterLines="50" w:line="300" w:lineRule="auto"/>
        <w:rPr>
          <w:rFonts w:ascii="Arial" w:hAnsi="Arial" w:eastAsia="宋体" w:cs="Arial"/>
          <w:sz w:val="4"/>
          <w:szCs w:val="4"/>
        </w:rPr>
      </w:pPr>
      <w:r>
        <w:rPr>
          <w:rFonts w:ascii="Arial" w:hAnsi="Arial" w:eastAsia="宋体" w:cs="Arial"/>
          <w:sz w:val="4"/>
          <w:szCs w:val="4"/>
        </w:rPr>
        <mc:AlternateContent>
          <mc:Choice Requires="wpg">
            <w:drawing>
              <wp:inline distT="0" distB="0" distL="0" distR="0">
                <wp:extent cx="6250940" cy="54610"/>
                <wp:effectExtent l="0" t="0" r="6985" b="0"/>
                <wp:docPr id="1" name="17595"/>
                <wp:cNvGraphicFramePr/>
                <a:graphic xmlns:a="http://schemas.openxmlformats.org/drawingml/2006/main">
                  <a:graphicData uri="http://schemas.microsoft.com/office/word/2010/wordprocessingGroup">
                    <wpg:wgp>
                      <wpg:cNvGrpSpPr/>
                      <wpg:grpSpPr>
                        <a:xfrm flipV="1">
                          <a:off x="0" y="0"/>
                          <a:ext cx="6250940" cy="54610"/>
                          <a:chOff x="0" y="0"/>
                          <a:chExt cx="9405" cy="45"/>
                        </a:xfrm>
                      </wpg:grpSpPr>
                      <wpg:grpSp>
                        <wpg:cNvPr id="2" name="17753"/>
                        <wpg:cNvGrpSpPr/>
                        <wpg:grpSpPr>
                          <a:xfrm>
                            <a:off x="23" y="23"/>
                            <a:ext cx="9360" cy="2"/>
                            <a:chOff x="23" y="23"/>
                            <a:chExt cx="9360" cy="2"/>
                          </a:xfrm>
                        </wpg:grpSpPr>
                        <wps:wsp>
                          <wps:cNvPr id="3" name="17862"/>
                          <wps:cNvSpPr/>
                          <wps:spPr bwMode="auto">
                            <a:xfrm>
                              <a:off x="23" y="23"/>
                              <a:ext cx="9360" cy="2"/>
                            </a:xfrm>
                            <a:custGeom>
                              <a:avLst/>
                              <a:gdLst>
                                <a:gd name="T0" fmla="+- 0 23 23"/>
                                <a:gd name="T1" fmla="*/ T0 w 9360"/>
                                <a:gd name="T2" fmla="+- 0 9383 23"/>
                                <a:gd name="T3" fmla="*/ T2 w 9360"/>
                              </a:gdLst>
                              <a:ahLst/>
                              <a:cxnLst>
                                <a:cxn ang="0">
                                  <a:pos x="T1" y="0"/>
                                </a:cxn>
                                <a:cxn ang="0">
                                  <a:pos x="T3" y="0"/>
                                </a:cxn>
                              </a:cxnLst>
                              <a:rect l="0" t="0" r="r" b="b"/>
                              <a:pathLst>
                                <a:path w="9360">
                                  <a:moveTo>
                                    <a:pt x="0" y="-1"/>
                                  </a:moveTo>
                                  <a:lnTo>
                                    <a:pt x="9360" y="-1"/>
                                  </a:lnTo>
                                </a:path>
                              </a:pathLst>
                            </a:custGeom>
                            <a:noFill/>
                            <a:ln w="28575">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17595" o:spid="_x0000_s1026" o:spt="203" style="flip:y;height:4.3pt;width:492.2pt;" coordsize="9405,45" o:gfxdata="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JxRewvTAAAAAwEAAA8AAAAAAAAAAQAgAAAAIgAAAGRy&#10;cy9kb3ducmV2LnhtbFBLAQIUABQAAAAIAIdO4kBsetV+JwMAAAYIAAAOAAAAAAAAAAEAIAAAACIB&#10;AABkcnMvZTJvRG9jLnhtbFBLBQYAAAAABgAGAFkBAAC7BgAAAAA=&#10;">
                <o:lock v:ext="edit" aspectratio="f"/>
                <v:group id="17753" o:spid="_x0000_s1026" o:spt="203" style="position:absolute;left:23;top:23;height:2;width:9360;" coordorigin="23,23" coordsize="9360,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17862" o:spid="_x0000_s1026" o:spt="100" style="position:absolute;left:23;top:23;height:2;width:9360;" filled="f" stroked="t" coordsize="9360,1" o:gfxdata="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NE/wugAAANoA&#10;AAAPAAAAAAAAAAEAIAAAACIAAABkcnMvZG93bnJldi54bWxQSwECFAAUAAAACACHTuJAMy8FnjsA&#10;AAA5AAAAEAAAAAAAAAABACAAAAAJAQAAZHJzL3NoYXBleG1sLnhtbFBLBQYAAAAABgAGAFsBAACz&#10;AwAAAAA=&#10;" path="m0,-1l9360,-1e">
                    <v:path o:connectlocs="0,0;9360,0" o:connectangles="0,0"/>
                    <v:fill on="f" focussize="0,0"/>
                    <v:stroke weight="2.25pt" color="#000000" joinstyle="round"/>
                    <v:imagedata o:title=""/>
                    <o:lock v:ext="edit" aspectratio="f"/>
                  </v:shape>
                </v:group>
                <w10:wrap type="none"/>
                <w10:anchorlock/>
              </v:group>
            </w:pict>
          </mc:Fallback>
        </mc:AlternateContent>
      </w:r>
    </w:p>
    <w:p w14:paraId="0C86C800">
      <w:pPr>
        <w:overflowPunct w:val="0"/>
        <w:snapToGrid w:val="0"/>
        <w:spacing w:after="120" w:afterLines="50" w:line="300" w:lineRule="auto"/>
        <w:rPr>
          <w:rFonts w:ascii="Arial" w:hAnsi="Arial" w:eastAsia="宋体" w:cs="Arial"/>
          <w:b/>
          <w:bCs/>
          <w:sz w:val="20"/>
          <w:szCs w:val="20"/>
        </w:rPr>
      </w:pPr>
    </w:p>
    <w:p w14:paraId="14D6611B">
      <w:pPr>
        <w:overflowPunct w:val="0"/>
        <w:snapToGrid w:val="0"/>
        <w:spacing w:line="300" w:lineRule="auto"/>
        <w:jc w:val="center"/>
        <w:rPr>
          <w:rFonts w:ascii="Times New Roman" w:hAnsi="Times New Roman" w:eastAsia="宋体" w:cs="Times New Roman"/>
          <w:sz w:val="72"/>
          <w:szCs w:val="72"/>
        </w:rPr>
      </w:pPr>
      <w:r>
        <w:rPr>
          <w:rFonts w:hint="eastAsia" w:ascii="Times New Roman" w:eastAsia="宋体"/>
          <w:sz w:val="72"/>
        </w:rPr>
        <w:t>知情同意书中的免责语言指南</w:t>
      </w:r>
    </w:p>
    <w:p w14:paraId="7D5B2687">
      <w:pPr>
        <w:overflowPunct w:val="0"/>
        <w:snapToGrid w:val="0"/>
        <w:spacing w:after="120" w:afterLines="50" w:line="300" w:lineRule="auto"/>
        <w:rPr>
          <w:rFonts w:ascii="Arial" w:hAnsi="Arial" w:eastAsia="宋体" w:cs="Arial"/>
          <w:b/>
          <w:bCs/>
          <w:sz w:val="20"/>
          <w:szCs w:val="20"/>
        </w:rPr>
      </w:pPr>
    </w:p>
    <w:p w14:paraId="445188D1">
      <w:pPr>
        <w:overflowPunct w:val="0"/>
        <w:snapToGrid w:val="0"/>
        <w:spacing w:after="120" w:afterLines="50" w:line="300" w:lineRule="auto"/>
        <w:rPr>
          <w:rFonts w:ascii="Arial" w:hAnsi="Arial" w:eastAsia="宋体" w:cs="Arial"/>
          <w:b/>
          <w:bCs/>
          <w:sz w:val="20"/>
          <w:szCs w:val="20"/>
        </w:rPr>
      </w:pPr>
    </w:p>
    <w:p w14:paraId="153EF9B6">
      <w:pPr>
        <w:overflowPunct w:val="0"/>
        <w:snapToGrid w:val="0"/>
        <w:spacing w:after="120" w:afterLines="50" w:line="300" w:lineRule="auto"/>
        <w:rPr>
          <w:rFonts w:ascii="Arial" w:hAnsi="Arial" w:eastAsia="宋体" w:cs="Arial"/>
          <w:b/>
          <w:bCs/>
          <w:sz w:val="26"/>
          <w:szCs w:val="26"/>
        </w:rPr>
      </w:pPr>
    </w:p>
    <w:p w14:paraId="376011B1">
      <w:pPr>
        <w:overflowPunct w:val="0"/>
        <w:snapToGrid w:val="0"/>
        <w:spacing w:after="120" w:afterLines="50" w:line="300" w:lineRule="auto"/>
        <w:jc w:val="center"/>
        <w:rPr>
          <w:rFonts w:ascii="Arial" w:hAnsi="Arial" w:eastAsia="宋体" w:cs="Arial"/>
          <w:sz w:val="21"/>
          <w:szCs w:val="21"/>
        </w:rPr>
      </w:pPr>
      <w:r>
        <w:rPr>
          <w:rFonts w:ascii="Arial" w:hAnsi="Arial" w:eastAsia="宋体" w:cs="Arial"/>
          <w:i/>
          <w:sz w:val="21"/>
          <w:szCs w:val="21"/>
        </w:rPr>
        <w:t>其他副本可从以下地址获得：</w:t>
      </w:r>
    </w:p>
    <w:p w14:paraId="4A10EA5D">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政策和保证处</w:t>
      </w:r>
      <w:r>
        <w:rPr>
          <w:rFonts w:ascii="Arial" w:hAnsi="Arial" w:eastAsia="宋体" w:cs="Arial"/>
          <w:i/>
          <w:sz w:val="21"/>
          <w:szCs w:val="21"/>
        </w:rPr>
        <w:br w:type="textWrapping"/>
      </w:r>
      <w:r>
        <w:rPr>
          <w:rFonts w:ascii="Arial" w:hAnsi="Arial" w:eastAsia="宋体" w:cs="Arial"/>
          <w:i/>
          <w:sz w:val="21"/>
          <w:szCs w:val="21"/>
        </w:rPr>
        <w:t>人类研究保护办公室</w:t>
      </w:r>
      <w:r>
        <w:rPr>
          <w:rFonts w:ascii="Arial" w:hAnsi="Arial" w:eastAsia="宋体" w:cs="Arial"/>
          <w:i/>
          <w:sz w:val="21"/>
          <w:szCs w:val="21"/>
        </w:rPr>
        <w:br w:type="textWrapping"/>
      </w:r>
      <w:r>
        <w:rPr>
          <w:rFonts w:ascii="Arial" w:hAnsi="Arial" w:eastAsia="宋体" w:cs="Arial"/>
          <w:i/>
          <w:sz w:val="21"/>
          <w:szCs w:val="21"/>
        </w:rPr>
        <w:t>1101 Wootton Parkway，Suite 200</w:t>
      </w:r>
    </w:p>
    <w:p w14:paraId="50E3264A">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Rockville，MD 20852</w:t>
      </w:r>
    </w:p>
    <w:p w14:paraId="264E65BA">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(电话) 240-453-6900 或 866-447-4777</w:t>
      </w:r>
    </w:p>
    <w:p w14:paraId="1C8AA846">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（传真）301-402-2071</w:t>
      </w:r>
    </w:p>
    <w:p w14:paraId="68E6204F">
      <w:pPr>
        <w:overflowPunct w:val="0"/>
        <w:snapToGrid w:val="0"/>
        <w:spacing w:after="120" w:afterLines="50" w:line="300" w:lineRule="auto"/>
        <w:jc w:val="center"/>
        <w:rPr>
          <w:rFonts w:ascii="Arial" w:hAnsi="Arial" w:eastAsia="宋体" w:cs="Arial"/>
          <w:sz w:val="21"/>
          <w:szCs w:val="21"/>
        </w:rPr>
      </w:pPr>
      <w:r>
        <w:fldChar w:fldCharType="begin"/>
      </w:r>
      <w:r>
        <w:instrText xml:space="preserve"> HYPERLINK "http://www.hhs.gov/ohrp/newsroom/rfc/index.html" \h </w:instrText>
      </w:r>
      <w:r>
        <w:fldChar w:fldCharType="separate"/>
      </w:r>
      <w:r>
        <w:rPr>
          <w:rFonts w:ascii="Arial" w:hAnsi="Arial" w:eastAsia="宋体" w:cs="Arial"/>
          <w:i/>
          <w:color w:val="0000FF"/>
          <w:sz w:val="21"/>
          <w:szCs w:val="21"/>
          <w:u w:val="single" w:color="0000FF"/>
        </w:rPr>
        <w:t>http://www.hhs.gov/ohrp/newsroom/rfc/index.html</w:t>
      </w:r>
      <w:r>
        <w:rPr>
          <w:rFonts w:ascii="Arial" w:hAnsi="Arial" w:eastAsia="宋体" w:cs="Arial"/>
          <w:i/>
          <w:color w:val="0000FF"/>
          <w:sz w:val="21"/>
          <w:szCs w:val="21"/>
          <w:u w:val="single" w:color="0000FF"/>
        </w:rPr>
        <w:fldChar w:fldCharType="end"/>
      </w:r>
    </w:p>
    <w:p w14:paraId="12BCF1B2">
      <w:pPr>
        <w:overflowPunct w:val="0"/>
        <w:snapToGrid w:val="0"/>
        <w:spacing w:after="120" w:afterLines="50" w:line="300" w:lineRule="auto"/>
        <w:jc w:val="center"/>
        <w:rPr>
          <w:rFonts w:ascii="Arial" w:hAnsi="Arial" w:eastAsia="宋体" w:cs="Arial"/>
          <w:sz w:val="21"/>
          <w:szCs w:val="21"/>
        </w:rPr>
      </w:pPr>
      <w:r>
        <w:rPr>
          <w:rFonts w:ascii="Arial" w:hAnsi="Arial" w:eastAsia="宋体" w:cs="Arial"/>
          <w:i/>
          <w:sz w:val="21"/>
          <w:szCs w:val="21"/>
        </w:rPr>
        <w:t>或</w:t>
      </w:r>
    </w:p>
    <w:p w14:paraId="079006D9">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良好临床试验规范办公室</w:t>
      </w:r>
    </w:p>
    <w:p w14:paraId="349CDD99">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特殊医疗项目办公室，专员办公室</w:t>
      </w:r>
      <w:r>
        <w:rPr>
          <w:rFonts w:ascii="Arial" w:hAnsi="Arial" w:eastAsia="宋体" w:cs="Arial"/>
          <w:i/>
          <w:sz w:val="21"/>
          <w:szCs w:val="21"/>
        </w:rPr>
        <w:br w:type="textWrapping"/>
      </w:r>
      <w:r>
        <w:rPr>
          <w:rFonts w:ascii="Arial" w:hAnsi="Arial" w:eastAsia="宋体" w:cs="Arial"/>
          <w:i/>
          <w:sz w:val="21"/>
          <w:szCs w:val="21"/>
        </w:rPr>
        <w:t>食品药品监督管理局</w:t>
      </w:r>
    </w:p>
    <w:p w14:paraId="7B50428B">
      <w:pPr>
        <w:overflowPunct w:val="0"/>
        <w:snapToGrid w:val="0"/>
        <w:spacing w:line="300" w:lineRule="auto"/>
        <w:jc w:val="center"/>
        <w:rPr>
          <w:rFonts w:ascii="Arial" w:hAnsi="Arial" w:eastAsia="宋体" w:cs="Arial"/>
          <w:i/>
          <w:sz w:val="21"/>
          <w:szCs w:val="21"/>
        </w:rPr>
      </w:pPr>
      <w:r>
        <w:rPr>
          <w:rFonts w:ascii="Arial" w:hAnsi="Arial" w:eastAsia="宋体" w:cs="Arial"/>
          <w:i/>
          <w:sz w:val="21"/>
          <w:szCs w:val="21"/>
        </w:rPr>
        <w:t xml:space="preserve">10903 New Hampshire Avenue </w:t>
      </w:r>
    </w:p>
    <w:p w14:paraId="25F13080">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WO32-5103</w:t>
      </w:r>
    </w:p>
    <w:p w14:paraId="53468598">
      <w:pPr>
        <w:overflowPunct w:val="0"/>
        <w:snapToGrid w:val="0"/>
        <w:spacing w:line="300" w:lineRule="auto"/>
        <w:jc w:val="center"/>
        <w:rPr>
          <w:rFonts w:ascii="Arial" w:hAnsi="Arial" w:eastAsia="宋体" w:cs="Arial"/>
          <w:i/>
          <w:sz w:val="21"/>
          <w:szCs w:val="21"/>
        </w:rPr>
      </w:pPr>
      <w:r>
        <w:rPr>
          <w:rFonts w:ascii="Arial" w:hAnsi="Arial" w:eastAsia="宋体" w:cs="Arial"/>
          <w:i/>
          <w:sz w:val="21"/>
          <w:szCs w:val="21"/>
        </w:rPr>
        <w:t>Silver Spring，MD 20993</w:t>
      </w:r>
    </w:p>
    <w:p w14:paraId="5689712F">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（电话）301-796-8340</w:t>
      </w:r>
    </w:p>
    <w:p w14:paraId="6B5F5B19">
      <w:pPr>
        <w:overflowPunct w:val="0"/>
        <w:snapToGrid w:val="0"/>
        <w:spacing w:line="300" w:lineRule="auto"/>
        <w:jc w:val="center"/>
        <w:rPr>
          <w:rFonts w:ascii="Arial" w:hAnsi="Arial" w:eastAsia="宋体" w:cs="Arial"/>
          <w:sz w:val="21"/>
          <w:szCs w:val="21"/>
        </w:rPr>
      </w:pPr>
      <w:r>
        <w:rPr>
          <w:rFonts w:ascii="Arial" w:hAnsi="Arial" w:eastAsia="宋体" w:cs="Arial"/>
          <w:i/>
          <w:sz w:val="21"/>
          <w:szCs w:val="21"/>
        </w:rPr>
        <w:t>（传真）301-847-8640</w:t>
      </w:r>
    </w:p>
    <w:p w14:paraId="2927474D">
      <w:pPr>
        <w:overflowPunct w:val="0"/>
        <w:snapToGrid w:val="0"/>
        <w:spacing w:line="300" w:lineRule="auto"/>
        <w:jc w:val="center"/>
        <w:rPr>
          <w:rFonts w:ascii="Arial" w:hAnsi="Arial" w:eastAsia="宋体" w:cs="Arial"/>
          <w:sz w:val="21"/>
          <w:szCs w:val="21"/>
        </w:rPr>
      </w:pPr>
      <w:r>
        <w:fldChar w:fldCharType="begin"/>
      </w:r>
      <w:r>
        <w:instrText xml:space="preserve"> HYPERLINK "http://www.fda.gov/ScienceResearch/SpecialTopics/RunningClinicalTrials/ProposedRegulationsandDraftGuidances/default.htm" \h </w:instrText>
      </w:r>
      <w:r>
        <w:fldChar w:fldCharType="separate"/>
      </w:r>
      <w:r>
        <w:rPr>
          <w:rFonts w:ascii="Arial" w:hAnsi="Arial" w:eastAsia="宋体" w:cs="Arial"/>
          <w:i/>
          <w:color w:val="0000FF"/>
          <w:sz w:val="21"/>
          <w:szCs w:val="21"/>
          <w:u w:val="single" w:color="0000FF"/>
        </w:rPr>
        <w:t>http://www.fda.gov/ScienceResearch/SpecialTopics/RunningClinicalTrials/ProposedRegulationsandDraftGuidances</w:t>
      </w:r>
      <w:r>
        <w:rPr>
          <w:rFonts w:ascii="Arial" w:hAnsi="Arial" w:eastAsia="宋体" w:cs="Arial"/>
          <w:i/>
          <w:color w:val="0000FF"/>
          <w:sz w:val="21"/>
          <w:szCs w:val="21"/>
          <w:u w:val="single" w:color="0000FF"/>
        </w:rPr>
        <w:fldChar w:fldCharType="end"/>
      </w:r>
      <w:r>
        <w:fldChar w:fldCharType="begin"/>
      </w:r>
      <w:r>
        <w:instrText xml:space="preserve"> HYPERLINK "http://www.fda.gov/ScienceResearch/SpecialTopics/RunningClinicalTrials/ProposedRegulationsandDraftGuidances/default.htm" \h </w:instrText>
      </w:r>
      <w:r>
        <w:fldChar w:fldCharType="separate"/>
      </w:r>
      <w:r>
        <w:rPr>
          <w:rFonts w:ascii="Arial" w:hAnsi="Arial" w:eastAsia="宋体" w:cs="Arial"/>
          <w:i/>
          <w:color w:val="0000FF"/>
          <w:sz w:val="21"/>
          <w:szCs w:val="21"/>
          <w:u w:val="single" w:color="0000FF"/>
        </w:rPr>
        <w:t>/default.htm</w:t>
      </w:r>
      <w:r>
        <w:rPr>
          <w:rFonts w:ascii="Arial" w:hAnsi="Arial" w:eastAsia="宋体" w:cs="Arial"/>
          <w:i/>
          <w:color w:val="0000FF"/>
          <w:sz w:val="21"/>
          <w:szCs w:val="21"/>
          <w:u w:val="single" w:color="0000FF"/>
        </w:rPr>
        <w:fldChar w:fldCharType="end"/>
      </w:r>
    </w:p>
    <w:p w14:paraId="20FE51AB">
      <w:pPr>
        <w:overflowPunct w:val="0"/>
        <w:snapToGrid w:val="0"/>
        <w:spacing w:after="120" w:afterLines="50" w:line="300" w:lineRule="auto"/>
        <w:rPr>
          <w:rFonts w:ascii="Arial" w:hAnsi="Arial" w:eastAsia="宋体" w:cs="Arial"/>
          <w:i/>
          <w:sz w:val="20"/>
          <w:szCs w:val="20"/>
        </w:rPr>
      </w:pPr>
    </w:p>
    <w:p w14:paraId="472578CA">
      <w:pPr>
        <w:overflowPunct w:val="0"/>
        <w:snapToGrid w:val="0"/>
        <w:spacing w:after="120" w:afterLines="50" w:line="300" w:lineRule="auto"/>
        <w:rPr>
          <w:rFonts w:ascii="Arial" w:hAnsi="Arial" w:eastAsia="宋体" w:cs="Arial"/>
          <w:i/>
          <w:sz w:val="20"/>
          <w:szCs w:val="20"/>
        </w:rPr>
      </w:pPr>
    </w:p>
    <w:p w14:paraId="6B90D5D6">
      <w:pPr>
        <w:overflowPunct w:val="0"/>
        <w:snapToGrid w:val="0"/>
        <w:spacing w:after="120" w:afterLines="50" w:line="300" w:lineRule="auto"/>
        <w:rPr>
          <w:rFonts w:ascii="Arial" w:hAnsi="Arial" w:eastAsia="宋体" w:cs="Arial"/>
          <w:i/>
          <w:sz w:val="19"/>
          <w:szCs w:val="19"/>
        </w:rPr>
      </w:pPr>
    </w:p>
    <w:p w14:paraId="59AE0F6F">
      <w:pPr>
        <w:pStyle w:val="2"/>
        <w:overflowPunct w:val="0"/>
        <w:snapToGrid w:val="0"/>
        <w:spacing w:after="120" w:afterLines="50" w:line="300" w:lineRule="auto"/>
        <w:ind w:left="0"/>
        <w:jc w:val="center"/>
        <w:rPr>
          <w:rFonts w:ascii="Arial" w:hAnsi="Arial" w:cs="Arial"/>
          <w:sz w:val="28"/>
          <w:szCs w:val="28"/>
        </w:rPr>
      </w:pPr>
    </w:p>
    <w:p w14:paraId="2D0E493A">
      <w:pPr>
        <w:pStyle w:val="2"/>
        <w:overflowPunct w:val="0"/>
        <w:snapToGrid w:val="0"/>
        <w:spacing w:after="120" w:afterLines="50" w:line="300" w:lineRule="auto"/>
        <w:ind w:left="0"/>
        <w:jc w:val="center"/>
        <w:rPr>
          <w:rFonts w:ascii="Arial" w:hAnsi="Arial" w:cs="Arial"/>
          <w:sz w:val="28"/>
          <w:szCs w:val="28"/>
        </w:rPr>
      </w:pPr>
    </w:p>
    <w:p w14:paraId="1D82EB6E">
      <w:pPr>
        <w:pStyle w:val="2"/>
        <w:overflowPunct w:val="0"/>
        <w:snapToGrid w:val="0"/>
        <w:spacing w:after="120" w:afterLines="50" w:line="300" w:lineRule="auto"/>
        <w:ind w:left="0"/>
        <w:jc w:val="center"/>
        <w:rPr>
          <w:rFonts w:ascii="Arial" w:hAnsi="Arial" w:cs="Arial"/>
          <w:b w:val="0"/>
          <w:bCs w:val="0"/>
          <w:sz w:val="28"/>
          <w:szCs w:val="28"/>
        </w:rPr>
      </w:pPr>
      <w:r>
        <w:rPr>
          <w:rFonts w:ascii="Arial" w:hAnsi="Arial" w:cs="Arial"/>
          <w:sz w:val="28"/>
          <w:szCs w:val="28"/>
        </w:rPr>
        <w:t>美国卫生和人类服务署</w:t>
      </w:r>
    </w:p>
    <w:p w14:paraId="2C490668">
      <w:pPr>
        <w:tabs>
          <w:tab w:val="left" w:pos="5903"/>
        </w:tabs>
        <w:overflowPunct w:val="0"/>
        <w:snapToGrid w:val="0"/>
        <w:spacing w:after="120" w:afterLines="50" w:line="300" w:lineRule="auto"/>
        <w:ind w:left="3300" w:hanging="3300"/>
        <w:jc w:val="center"/>
        <w:rPr>
          <w:rFonts w:ascii="Arial" w:hAnsi="Arial" w:eastAsia="宋体" w:cs="Arial"/>
          <w:b/>
          <w:sz w:val="28"/>
          <w:szCs w:val="28"/>
        </w:rPr>
      </w:pPr>
      <w:r>
        <w:rPr>
          <w:rFonts w:ascii="Arial" w:hAnsi="Arial" w:eastAsia="宋体" w:cs="Arial"/>
          <w:b/>
          <w:sz w:val="28"/>
          <w:szCs w:val="28"/>
        </w:rPr>
        <w:t>人类研究保护办公室</w:t>
      </w:r>
      <w:r>
        <w:rPr>
          <w:rFonts w:ascii="Arial" w:hAnsi="Arial" w:eastAsia="宋体" w:cs="Arial"/>
          <w:b/>
          <w:sz w:val="28"/>
          <w:szCs w:val="28"/>
        </w:rPr>
        <w:tab/>
      </w:r>
      <w:r>
        <w:rPr>
          <w:rFonts w:ascii="Arial" w:hAnsi="Arial" w:eastAsia="宋体" w:cs="Arial"/>
          <w:b/>
          <w:sz w:val="28"/>
          <w:szCs w:val="28"/>
        </w:rPr>
        <w:t>食品药品监督管理局</w:t>
      </w:r>
    </w:p>
    <w:p w14:paraId="0482B41C">
      <w:pPr>
        <w:tabs>
          <w:tab w:val="left" w:pos="5903"/>
        </w:tabs>
        <w:overflowPunct w:val="0"/>
        <w:snapToGrid w:val="0"/>
        <w:spacing w:after="120" w:afterLines="50" w:line="300" w:lineRule="auto"/>
        <w:ind w:left="3300" w:hanging="3300"/>
        <w:jc w:val="center"/>
        <w:rPr>
          <w:rFonts w:ascii="Arial" w:hAnsi="Arial" w:eastAsia="宋体" w:cs="Arial"/>
          <w:b/>
          <w:sz w:val="28"/>
          <w:szCs w:val="28"/>
        </w:rPr>
      </w:pPr>
    </w:p>
    <w:p w14:paraId="68793CB6">
      <w:pPr>
        <w:tabs>
          <w:tab w:val="left" w:pos="5903"/>
        </w:tabs>
        <w:overflowPunct w:val="0"/>
        <w:snapToGrid w:val="0"/>
        <w:spacing w:after="120" w:afterLines="50" w:line="300" w:lineRule="auto"/>
        <w:ind w:left="3300" w:hanging="3300"/>
        <w:jc w:val="center"/>
        <w:rPr>
          <w:rFonts w:ascii="Arial" w:hAnsi="Arial" w:eastAsia="宋体" w:cs="Arial"/>
          <w:sz w:val="28"/>
          <w:szCs w:val="28"/>
        </w:rPr>
      </w:pPr>
      <w:r>
        <w:rPr>
          <w:rFonts w:ascii="Arial" w:hAnsi="Arial" w:eastAsia="宋体" w:cs="Arial"/>
          <w:b/>
          <w:sz w:val="28"/>
          <w:szCs w:val="28"/>
        </w:rPr>
        <w:t>2011年8月19日</w:t>
      </w:r>
    </w:p>
    <w:p w14:paraId="41AE877C">
      <w:pPr>
        <w:overflowPunct w:val="0"/>
        <w:snapToGrid w:val="0"/>
        <w:spacing w:after="120" w:afterLines="50" w:line="300" w:lineRule="auto"/>
        <w:rPr>
          <w:rFonts w:ascii="Arial" w:hAnsi="Arial" w:eastAsia="宋体" w:cs="Arial"/>
          <w:sz w:val="24"/>
          <w:szCs w:val="24"/>
        </w:rPr>
        <w:sectPr>
          <w:headerReference r:id="rId4" w:type="default"/>
          <w:pgSz w:w="12240" w:h="15840"/>
          <w:pgMar w:top="1134" w:right="1134" w:bottom="1134" w:left="1134" w:header="567" w:footer="0" w:gutter="0"/>
          <w:cols w:space="720" w:num="1"/>
          <w:docGrid w:linePitch="299" w:charSpace="0"/>
        </w:sectPr>
      </w:pPr>
    </w:p>
    <w:p w14:paraId="01973E9A">
      <w:pPr>
        <w:overflowPunct w:val="0"/>
        <w:snapToGrid w:val="0"/>
        <w:spacing w:after="120" w:afterLines="50" w:line="300" w:lineRule="auto"/>
        <w:jc w:val="center"/>
        <w:rPr>
          <w:rFonts w:ascii="Arial" w:hAnsi="Arial" w:eastAsia="宋体" w:cs="Arial"/>
          <w:sz w:val="32"/>
          <w:szCs w:val="32"/>
        </w:rPr>
      </w:pPr>
      <w:r>
        <w:rPr>
          <w:rFonts w:ascii="Arial" w:hAnsi="Arial" w:eastAsia="宋体" w:cs="Arial"/>
          <w:b/>
          <w:sz w:val="32"/>
        </w:rPr>
        <w:t>知情同意书中的免责语言指南</w:t>
      </w:r>
    </w:p>
    <w:p w14:paraId="4AE2E917">
      <w:pPr>
        <w:overflowPunct w:val="0"/>
        <w:snapToGrid w:val="0"/>
        <w:spacing w:after="120" w:afterLines="50" w:line="300" w:lineRule="auto"/>
        <w:rPr>
          <w:rFonts w:ascii="Arial" w:hAnsi="Arial" w:eastAsia="宋体" w:cs="Arial"/>
          <w:b/>
          <w:bCs/>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14:paraId="2D7E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Borders>
              <w:top w:val="single" w:color="auto" w:sz="24" w:space="0"/>
              <w:left w:val="single" w:color="auto" w:sz="24" w:space="0"/>
              <w:bottom w:val="single" w:color="auto" w:sz="24" w:space="0"/>
              <w:right w:val="single" w:color="auto" w:sz="24" w:space="0"/>
            </w:tcBorders>
          </w:tcPr>
          <w:p w14:paraId="6EA258D2">
            <w:pPr>
              <w:overflowPunct w:val="0"/>
              <w:snapToGrid w:val="0"/>
              <w:spacing w:before="120" w:beforeLines="50" w:after="120" w:afterLines="50" w:line="300" w:lineRule="auto"/>
              <w:ind w:left="119" w:right="198"/>
              <w:jc w:val="both"/>
              <w:rPr>
                <w:rFonts w:ascii="Arial" w:hAnsi="Arial" w:eastAsia="宋体" w:cs="Arial"/>
                <w:sz w:val="21"/>
                <w:szCs w:val="21"/>
              </w:rPr>
            </w:pPr>
            <w:r>
              <w:rPr>
                <w:rFonts w:ascii="Arial" w:hAnsi="Arial" w:eastAsia="宋体" w:cs="Arial"/>
                <w:sz w:val="21"/>
                <w:szCs w:val="21"/>
              </w:rPr>
              <w:t>本指南草案代表人类研究保护办公室（OHRP）和食品药品监督管理局（FDA）目前关于该主题的思考。其不会为任何人创造或赋予任何权利，也不会对OHRP、FDA或公众产生约束。</w:t>
            </w:r>
          </w:p>
          <w:p w14:paraId="43CC3F27">
            <w:pPr>
              <w:overflowPunct w:val="0"/>
              <w:snapToGrid w:val="0"/>
              <w:spacing w:before="120" w:beforeLines="50" w:after="120" w:afterLines="50" w:line="300" w:lineRule="auto"/>
              <w:ind w:left="119" w:right="251"/>
              <w:jc w:val="both"/>
              <w:rPr>
                <w:rFonts w:ascii="Times New Roman" w:hAnsi="Times New Roman" w:eastAsia="宋体" w:cs="Times New Roman"/>
                <w:sz w:val="24"/>
                <w:szCs w:val="24"/>
              </w:rPr>
            </w:pPr>
            <w:r>
              <w:rPr>
                <w:rFonts w:ascii="Arial" w:hAnsi="Arial" w:eastAsia="宋体" w:cs="Arial"/>
                <w:sz w:val="21"/>
                <w:szCs w:val="21"/>
              </w:rPr>
              <w:t>除非引用了具体监管要求，OHRP和FDA指南应仅视为建议。在OHRP和FDA指南中使用词语“必须”是指根据45 CFR第46部分的卫生和公众服务部（HHS）法规或21 CFR第50和56部分的食品药品监督管理局法规，强制要求进行某一事项。在OHRP和FDA指南中使用词语“应”是指建议或推荐进行某一事项，并非强制要求。如果替代方法满足适用法律、法规的要求，可以使用替代方法。如果贵公司希望讨论一种替代方法，请联系负责实施本指南的OHRP 或FDA工作人员。</w:t>
            </w:r>
            <w:r>
              <w:rPr>
                <w:rStyle w:val="10"/>
                <w:rFonts w:ascii="Arial" w:hAnsi="Arial" w:eastAsia="宋体" w:cs="Arial"/>
                <w:sz w:val="21"/>
                <w:szCs w:val="21"/>
              </w:rPr>
              <w:footnoteReference w:id="0"/>
            </w:r>
          </w:p>
        </w:tc>
      </w:tr>
    </w:tbl>
    <w:p w14:paraId="2D9C7DA5">
      <w:pPr>
        <w:overflowPunct w:val="0"/>
        <w:snapToGrid w:val="0"/>
        <w:spacing w:after="120" w:afterLines="50" w:line="300" w:lineRule="auto"/>
        <w:rPr>
          <w:rFonts w:ascii="Arial" w:hAnsi="Arial" w:eastAsia="宋体" w:cs="Arial"/>
          <w:sz w:val="24"/>
          <w:szCs w:val="24"/>
        </w:rPr>
      </w:pPr>
    </w:p>
    <w:p w14:paraId="451DDA22">
      <w:pPr>
        <w:pStyle w:val="2"/>
        <w:numPr>
          <w:ilvl w:val="0"/>
          <w:numId w:val="1"/>
        </w:numPr>
        <w:tabs>
          <w:tab w:val="left" w:pos="980"/>
        </w:tabs>
        <w:overflowPunct w:val="0"/>
        <w:snapToGrid w:val="0"/>
        <w:spacing w:after="240" w:afterLines="100" w:line="300" w:lineRule="auto"/>
        <w:ind w:left="644" w:hanging="644"/>
        <w:rPr>
          <w:rFonts w:ascii="Arial" w:hAnsi="Arial" w:cs="Arial"/>
          <w:b w:val="0"/>
          <w:bCs w:val="0"/>
          <w:sz w:val="32"/>
          <w:szCs w:val="32"/>
        </w:rPr>
      </w:pPr>
      <w:bookmarkStart w:id="0" w:name="I._INTRODUCTION_"/>
      <w:bookmarkEnd w:id="0"/>
      <w:r>
        <w:rPr>
          <w:rFonts w:ascii="Arial" w:hAnsi="Arial" w:cs="Arial"/>
          <w:sz w:val="32"/>
          <w:szCs w:val="32"/>
        </w:rPr>
        <w:t>引言</w:t>
      </w:r>
    </w:p>
    <w:p w14:paraId="10FA1A7F">
      <w:pPr>
        <w:pStyle w:val="3"/>
        <w:overflowPunct w:val="0"/>
        <w:snapToGrid w:val="0"/>
        <w:spacing w:after="240" w:afterLines="100" w:line="300" w:lineRule="auto"/>
        <w:ind w:left="0" w:hanging="1"/>
        <w:jc w:val="both"/>
        <w:rPr>
          <w:rFonts w:ascii="Arial" w:hAnsi="Arial" w:cs="Arial"/>
        </w:rPr>
      </w:pPr>
      <w:r>
        <w:rPr>
          <w:rFonts w:ascii="Arial" w:hAnsi="Arial" w:cs="Arial"/>
        </w:rPr>
        <w:t>本指南草案由人类研究保护办公室（OHRP）和食品药品监督管理局（FDA）联合编制。本文档适用于卫生和人类服务署（HHS）进行或支持的非豁免受试者研究，面向可能负责审查或监督由HHS进行或支持的受试者研究的临床研究者、机构审查委员会和资助机构。本文档也适用于由FDA监管的受试者研究</w:t>
      </w:r>
      <w:r>
        <w:rPr>
          <w:rFonts w:hint="eastAsia" w:ascii="Arial" w:hAnsi="Arial" w:cs="Arial"/>
        </w:rPr>
        <w:t>和</w:t>
      </w:r>
      <w:r>
        <w:rPr>
          <w:rFonts w:ascii="Arial" w:hAnsi="Arial" w:cs="Arial"/>
        </w:rPr>
        <w:t>进行或审查此类研究的临床研究者、申办方和机构审查委员会。</w:t>
      </w:r>
    </w:p>
    <w:p w14:paraId="0C55068B">
      <w:pPr>
        <w:pStyle w:val="3"/>
        <w:overflowPunct w:val="0"/>
        <w:snapToGrid w:val="0"/>
        <w:spacing w:after="240" w:afterLines="100" w:line="300" w:lineRule="auto"/>
        <w:ind w:left="0"/>
        <w:jc w:val="both"/>
        <w:rPr>
          <w:rFonts w:ascii="Arial" w:hAnsi="Arial" w:cs="Arial"/>
        </w:rPr>
      </w:pPr>
      <w:r>
        <w:rPr>
          <w:rFonts w:ascii="Arial" w:hAnsi="Arial" w:cs="Arial"/>
        </w:rPr>
        <w:t>本文档提供了关于禁止在知情同意中纳入免责语言的监管禁令指南。本文档提供了OHRP和FDA认为可接受的语言示例以及机构将视为免责语言的语言示例。定稿后，本文档将取代OHRP的1996年11月15日指南“知情同意书中的免责语言”，以及FDA的1998年1月指南“机构审查委员会常见问题 - 机构审查委员会和临床研究者信息表</w:t>
      </w:r>
      <w:r>
        <w:rPr>
          <w:rFonts w:hint="eastAsia" w:ascii="Arial" w:hAnsi="Arial" w:cs="Arial"/>
        </w:rPr>
        <w:t>指南</w:t>
      </w:r>
      <w:r>
        <w:rPr>
          <w:rFonts w:ascii="Arial" w:hAnsi="Arial" w:cs="Arial"/>
        </w:rPr>
        <w:t>”中的第52号问题。</w:t>
      </w:r>
    </w:p>
    <w:p w14:paraId="4C2AC9DE">
      <w:pPr>
        <w:pStyle w:val="3"/>
        <w:overflowPunct w:val="0"/>
        <w:snapToGrid w:val="0"/>
        <w:spacing w:after="240" w:afterLines="100" w:line="300" w:lineRule="auto"/>
        <w:ind w:left="0"/>
        <w:jc w:val="both"/>
        <w:rPr>
          <w:rFonts w:ascii="Arial" w:hAnsi="Arial" w:cs="Arial"/>
        </w:rPr>
      </w:pPr>
      <w:r>
        <w:rPr>
          <w:rFonts w:ascii="Arial" w:hAnsi="Arial" w:cs="Arial"/>
        </w:rPr>
        <w:t>OHRP和FDA指导性文件，包括本指南</w:t>
      </w:r>
      <w:r>
        <w:rPr>
          <w:rFonts w:hint="eastAsia" w:ascii="Arial" w:hAnsi="Arial" w:cs="Arial"/>
        </w:rPr>
        <w:t>在内</w:t>
      </w:r>
      <w:r>
        <w:rPr>
          <w:rFonts w:ascii="Arial" w:hAnsi="Arial" w:cs="Arial"/>
        </w:rPr>
        <w:t>，不构成具有法律强制力的责任。相反，指南描述了OHRP和FDA</w:t>
      </w:r>
      <w:r>
        <w:rPr>
          <w:rFonts w:hint="eastAsia" w:ascii="Arial" w:hAnsi="Arial" w:cs="Arial"/>
        </w:rPr>
        <w:t>目前关于</w:t>
      </w:r>
      <w:r>
        <w:rPr>
          <w:rFonts w:ascii="Arial" w:hAnsi="Arial" w:cs="Arial"/>
        </w:rPr>
        <w:t>某一主题的</w:t>
      </w:r>
      <w:r>
        <w:rPr>
          <w:rFonts w:hint="eastAsia" w:ascii="Arial" w:hAnsi="Arial" w:cs="Arial"/>
        </w:rPr>
        <w:t>思考</w:t>
      </w:r>
      <w:r>
        <w:rPr>
          <w:rFonts w:ascii="Arial" w:hAnsi="Arial" w:cs="Arial"/>
        </w:rPr>
        <w:t>，除非引用具体的法规或法律要求，否则只应视为建议。</w:t>
      </w:r>
    </w:p>
    <w:p w14:paraId="354E1B3F">
      <w:pPr>
        <w:rPr>
          <w:rFonts w:ascii="Arial" w:hAnsi="Arial" w:eastAsia="宋体" w:cs="Arial"/>
          <w:b/>
          <w:bCs/>
          <w:sz w:val="32"/>
          <w:szCs w:val="32"/>
        </w:rPr>
      </w:pPr>
      <w:r>
        <w:rPr>
          <w:rFonts w:ascii="Arial" w:hAnsi="Arial" w:cs="Arial"/>
          <w:sz w:val="32"/>
          <w:szCs w:val="32"/>
        </w:rPr>
        <w:br w:type="page"/>
      </w:r>
    </w:p>
    <w:p w14:paraId="74FA88F5">
      <w:pPr>
        <w:pStyle w:val="2"/>
        <w:numPr>
          <w:ilvl w:val="0"/>
          <w:numId w:val="1"/>
        </w:numPr>
        <w:tabs>
          <w:tab w:val="left" w:pos="980"/>
        </w:tabs>
        <w:overflowPunct w:val="0"/>
        <w:snapToGrid w:val="0"/>
        <w:spacing w:after="240" w:afterLines="100" w:line="300" w:lineRule="auto"/>
        <w:ind w:left="644" w:hanging="644"/>
        <w:rPr>
          <w:rFonts w:ascii="Arial" w:hAnsi="Arial" w:cs="Arial"/>
          <w:sz w:val="32"/>
          <w:szCs w:val="32"/>
        </w:rPr>
      </w:pPr>
      <w:r>
        <w:rPr>
          <w:rFonts w:ascii="Arial" w:hAnsi="Arial" w:cs="Arial"/>
          <w:sz w:val="32"/>
          <w:szCs w:val="32"/>
        </w:rPr>
        <w:t>讨论</w:t>
      </w:r>
    </w:p>
    <w:p w14:paraId="46133C91">
      <w:pPr>
        <w:pStyle w:val="3"/>
        <w:overflowPunct w:val="0"/>
        <w:snapToGrid w:val="0"/>
        <w:spacing w:after="240" w:afterLines="100" w:line="300" w:lineRule="auto"/>
        <w:ind w:left="0"/>
        <w:jc w:val="both"/>
        <w:rPr>
          <w:rFonts w:ascii="Arial" w:hAnsi="Arial" w:cs="Arial"/>
        </w:rPr>
      </w:pPr>
      <w:r>
        <w:rPr>
          <w:rFonts w:ascii="Arial" w:hAnsi="Arial" w:cs="Arial"/>
        </w:rPr>
        <w:t>45 CFR第46.116条和21 CFR第50.20条规定：“所有知情同意书，无论是口头还是书面，均不得包括任何免责语言，</w:t>
      </w:r>
      <w:r>
        <w:rPr>
          <w:rFonts w:hint="eastAsia" w:ascii="Arial" w:hAnsi="Arial" w:cs="Arial"/>
        </w:rPr>
        <w:t>避免</w:t>
      </w:r>
      <w:r>
        <w:rPr>
          <w:rFonts w:ascii="Arial" w:hAnsi="Arial" w:cs="Arial"/>
        </w:rPr>
        <w:t>受试者或代表</w:t>
      </w:r>
      <w:r>
        <w:rPr>
          <w:rFonts w:hint="eastAsia" w:ascii="Arial" w:hAnsi="Arial" w:cs="Arial"/>
        </w:rPr>
        <w:t>借此</w:t>
      </w:r>
      <w:r>
        <w:rPr>
          <w:rFonts w:ascii="Arial" w:hAnsi="Arial" w:cs="Arial"/>
        </w:rPr>
        <w:t>放弃或可能放弃其任何合法权利，研究者、申办方、机构或其代理人</w:t>
      </w:r>
      <w:r>
        <w:rPr>
          <w:rFonts w:hint="eastAsia" w:ascii="Arial" w:hAnsi="Arial" w:cs="Arial"/>
        </w:rPr>
        <w:t>可能会借此</w:t>
      </w:r>
      <w:r>
        <w:rPr>
          <w:rFonts w:ascii="Arial" w:hAnsi="Arial" w:cs="Arial"/>
        </w:rPr>
        <w:t>免于承担疏忽责任。”因此，如果同意书中的特定语言违反了本条款的规定，则其必定涉及弃权、豁免或可能弃权或豁免，且其必定具有“免责性质”。OHRP和FDA认为，免责语言是一般可使或可能使个人或实体免于承担渎职，疏忽，过失，过错或犯罪责任的语言。因此，只要弃权一般无法使或不可能使个人或实体免于承担渎职，疏忽，过失，过错或犯罪责任，则允许受试者在知情同意书中放弃任何法律权利（即弃权不具免责性质）。</w:t>
      </w:r>
    </w:p>
    <w:p w14:paraId="395EE2F0">
      <w:pPr>
        <w:pStyle w:val="3"/>
        <w:overflowPunct w:val="0"/>
        <w:snapToGrid w:val="0"/>
        <w:spacing w:after="240" w:afterLines="100" w:line="300" w:lineRule="auto"/>
        <w:ind w:left="0"/>
        <w:jc w:val="both"/>
        <w:rPr>
          <w:rFonts w:ascii="Arial" w:hAnsi="Arial" w:cs="Arial"/>
        </w:rPr>
      </w:pPr>
      <w:r>
        <w:rPr>
          <w:rFonts w:ascii="Arial" w:hAnsi="Arial" w:cs="Arial"/>
        </w:rPr>
        <w:t>例如，如果知情同意书包含受试者借此放弃其因参与研究而受伤后要求补偿权利的语言，则该语言将符合免责语言定义，因为其一般可使或可能使个人或实体免于承担渎职，疏忽，过失，过错或犯罪责任。因此，此类语言将违反45 CFR 46.116和21 CFR 50.20的规定。</w:t>
      </w:r>
    </w:p>
    <w:p w14:paraId="35FEB9F1">
      <w:pPr>
        <w:pStyle w:val="3"/>
        <w:overflowPunct w:val="0"/>
        <w:snapToGrid w:val="0"/>
        <w:spacing w:after="240" w:afterLines="100" w:line="300" w:lineRule="auto"/>
        <w:ind w:left="0"/>
        <w:jc w:val="both"/>
        <w:rPr>
          <w:rFonts w:ascii="Arial" w:hAnsi="Arial" w:cs="Arial"/>
        </w:rPr>
      </w:pPr>
      <w:r>
        <w:rPr>
          <w:rFonts w:ascii="Arial" w:hAnsi="Arial" w:cs="Arial"/>
        </w:rPr>
        <w:t>另一方面，受试者放弃其对研究者为进行研究而获取的生物样本可能拥有的任何权利将不具免责性质，因为此类弃权无法使研究者、申办方、机构或参与研究的其他人免于承担渎职，疏忽，过失，过错或犯罪责任。因此，根据45 CFR 46.116和21 CFR 50.20，允许在知情同意书中纳入此类弃权语言。OHRP和FDA了解，研究者和申办方通常不会补偿同意为研究提供生物样本的研究对象，即使后来将此类生物样本用于商业目的。此外，据OHRP和FDA了解，目前尚无任何联邦或州法律或政策规定，即使研究对象自愿签署知情同意书，明确声明其不会收取费用或以其他方式因提供生物样本要求补偿，其仍具有获得此类补偿的法律权利。</w:t>
      </w:r>
    </w:p>
    <w:p w14:paraId="59250CEB">
      <w:pPr>
        <w:pStyle w:val="3"/>
        <w:overflowPunct w:val="0"/>
        <w:snapToGrid w:val="0"/>
        <w:spacing w:after="240" w:afterLines="100" w:line="300" w:lineRule="auto"/>
        <w:ind w:left="0"/>
        <w:jc w:val="both"/>
        <w:rPr>
          <w:rFonts w:ascii="Arial" w:hAnsi="Arial" w:cs="Arial"/>
        </w:rPr>
      </w:pPr>
      <w:r>
        <w:rPr>
          <w:rFonts w:ascii="Arial" w:hAnsi="Arial" w:cs="Arial"/>
        </w:rPr>
        <w:t>鉴于此类情况，OHRP和FDA认为，如果知情同意书中的语言已适当告知受试者，即同意将其生物样本用于研究后，其无权因使用生物样本要求补偿，则其不具免责性质。</w:t>
      </w:r>
      <w:r>
        <w:rPr>
          <w:rStyle w:val="10"/>
          <w:rFonts w:ascii="Arial" w:hAnsi="Arial" w:cs="Arial"/>
        </w:rPr>
        <w:footnoteReference w:id="1"/>
      </w:r>
      <w:r>
        <w:rPr>
          <w:rFonts w:ascii="Arial" w:hAnsi="Arial" w:cs="Arial"/>
        </w:rPr>
        <w:t>也就是说，如果弃权不会使研究者、申办方、机构或参与研究的其他人免于承担渎职，疏忽，过失，过错或犯罪责任，则允许作出豁免或放弃生物样本相关权利。此类语言可用于准确告知受试者，即无论是现在还是将来，其不会因使用此类生物样本而获得任何经济补偿。</w:t>
      </w:r>
    </w:p>
    <w:p w14:paraId="30AD8A23">
      <w:pPr>
        <w:overflowPunct w:val="0"/>
        <w:snapToGrid w:val="0"/>
        <w:spacing w:after="240" w:afterLines="100"/>
        <w:jc w:val="both"/>
        <w:rPr>
          <w:rFonts w:ascii="Arial" w:hAnsi="Arial" w:eastAsia="宋体" w:cs="Arial"/>
          <w:sz w:val="24"/>
          <w:szCs w:val="24"/>
        </w:rPr>
      </w:pPr>
      <w:bookmarkStart w:id="1" w:name="_bookmark1"/>
      <w:bookmarkEnd w:id="1"/>
      <w:r>
        <w:rPr>
          <w:rFonts w:ascii="Arial" w:hAnsi="Arial" w:cs="Arial"/>
          <w:sz w:val="24"/>
          <w:szCs w:val="24"/>
        </w:rPr>
        <w:br w:type="page"/>
      </w:r>
    </w:p>
    <w:p w14:paraId="4BC450F9">
      <w:pPr>
        <w:pStyle w:val="3"/>
        <w:overflowPunct w:val="0"/>
        <w:snapToGrid w:val="0"/>
        <w:spacing w:after="240" w:afterLines="100" w:line="300" w:lineRule="auto"/>
        <w:ind w:left="0"/>
        <w:jc w:val="both"/>
        <w:rPr>
          <w:rFonts w:ascii="Arial" w:hAnsi="Arial" w:cs="Arial"/>
        </w:rPr>
      </w:pPr>
      <w:r>
        <w:rPr>
          <w:rFonts w:ascii="Arial" w:hAnsi="Arial" w:cs="Arial"/>
        </w:rPr>
        <w:t>因此，可在知情同意书中纳入此类语言，而不会违反45 CFR 46.116或21 CFR 50.20。</w:t>
      </w:r>
      <w:r>
        <w:rPr>
          <w:rStyle w:val="10"/>
          <w:rFonts w:ascii="Arial" w:hAnsi="Arial" w:cs="Arial"/>
        </w:rPr>
        <w:footnoteReference w:id="2"/>
      </w:r>
    </w:p>
    <w:p w14:paraId="444183EC">
      <w:pPr>
        <w:pStyle w:val="3"/>
        <w:overflowPunct w:val="0"/>
        <w:snapToGrid w:val="0"/>
        <w:spacing w:after="240" w:afterLines="100" w:line="300" w:lineRule="auto"/>
        <w:ind w:left="0"/>
        <w:jc w:val="both"/>
        <w:rPr>
          <w:rFonts w:ascii="Arial" w:hAnsi="Arial" w:cs="Arial"/>
        </w:rPr>
      </w:pPr>
      <w:r>
        <w:rPr>
          <w:rFonts w:ascii="Arial" w:hAnsi="Arial" w:cs="Arial"/>
        </w:rPr>
        <w:t>为帮助研究</w:t>
      </w:r>
      <w:r>
        <w:rPr>
          <w:rFonts w:hint="eastAsia" w:ascii="Arial" w:hAnsi="Arial" w:cs="Arial"/>
        </w:rPr>
        <w:t>组</w:t>
      </w:r>
      <w:r>
        <w:rPr>
          <w:rFonts w:ascii="Arial" w:hAnsi="Arial" w:cs="Arial"/>
        </w:rPr>
        <w:t>了解可能构成或不会构成违反45 CFR 46.116和21 CFR 50.20的免责语言，本机构提供以下示例：</w:t>
      </w:r>
    </w:p>
    <w:p w14:paraId="74928E50">
      <w:pPr>
        <w:pStyle w:val="2"/>
        <w:overflowPunct w:val="0"/>
        <w:snapToGrid w:val="0"/>
        <w:spacing w:after="240" w:afterLines="100" w:line="300" w:lineRule="auto"/>
        <w:ind w:left="0"/>
        <w:jc w:val="both"/>
        <w:rPr>
          <w:rFonts w:ascii="Arial" w:hAnsi="Arial" w:cs="Arial"/>
          <w:b w:val="0"/>
          <w:bCs w:val="0"/>
          <w:sz w:val="28"/>
          <w:szCs w:val="28"/>
          <w:u w:val="single"/>
        </w:rPr>
      </w:pPr>
      <w:r>
        <w:rPr>
          <w:rFonts w:ascii="Arial" w:hAnsi="Arial" w:cs="Arial"/>
          <w:sz w:val="28"/>
          <w:szCs w:val="28"/>
          <w:u w:val="single"/>
        </w:rPr>
        <w:t>可接受语言的示例</w:t>
      </w:r>
    </w:p>
    <w:p w14:paraId="67A927B5">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虽然未来使用您的样品进行研究后，可能可以开发新的产品，但您将不会因此类新产品收到任何付款。</w:t>
      </w:r>
    </w:p>
    <w:p w14:paraId="20A09A9A">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同意此用途后，您将放弃就研究人员因将此类标本用于商业或其他用途而获得的任何款项提出索赔的权利。</w:t>
      </w:r>
    </w:p>
    <w:p w14:paraId="14BC8796">
      <w:pPr>
        <w:pStyle w:val="12"/>
        <w:numPr>
          <w:ilvl w:val="0"/>
          <w:numId w:val="2"/>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我自愿将血液、尿液和组织样品捐赠给【研究机构名称</w:t>
      </w:r>
      <w:r>
        <w:rPr>
          <w:rFonts w:hint="eastAsia" w:ascii="Arial" w:hAnsi="Arial" w:eastAsia="宋体" w:cs="Arial"/>
          <w:sz w:val="24"/>
          <w:szCs w:val="24"/>
        </w:rPr>
        <w:t>】</w:t>
      </w:r>
      <w:r>
        <w:rPr>
          <w:rFonts w:ascii="Arial" w:hAnsi="Arial" w:eastAsia="宋体" w:cs="Arial"/>
          <w:sz w:val="24"/>
          <w:szCs w:val="24"/>
        </w:rPr>
        <w:t>，并在此放弃我可能对此类样品拥有的所有财产权、所有权和利益。</w:t>
      </w:r>
    </w:p>
    <w:p w14:paraId="1C2F672E">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同意参与此研究后，放弃我可能对本研究中收集的体液或组织样品拥有的任何财产权。</w:t>
      </w:r>
    </w:p>
    <w:p w14:paraId="33C9D91F">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虽然研究结果（包括您的捐赠材料）可能具有专利性或具有商业价值，但您对研究结果产生的任何商业发展将无法律或经济利益。</w:t>
      </w:r>
    </w:p>
    <w:p w14:paraId="5B3770AB">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在此研究中从您获得的组织可用于建立可获得专利和许可的细胞系。如果发生这种情况，将不会向您提供经济补偿。</w:t>
      </w:r>
    </w:p>
    <w:p w14:paraId="7EC4A49A">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同意参与后，您同意使用您的体液和组织样品进行上述研究。</w:t>
      </w:r>
    </w:p>
    <w:p w14:paraId="68FC34D9">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由于医院政策，如果您因参与此研究而受伤，医院无法提供经济补偿。但是，如果受伤由参与研究的当事方（包括医院）的渎职、过错或过失引起，您仍可索要赔偿。</w:t>
      </w:r>
    </w:p>
    <w:p w14:paraId="29120C6A">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由于医院政策，医院不承诺提供免费的医疗服务或支付因参与此研究引起的任何不利结果。医疗服务将按常规费用提供。但是，如果受伤由参与研究的当事方（包括医院）的渎职、过错或过失引起，您仍可索要赔偿。</w:t>
      </w:r>
      <w:r>
        <w:rPr>
          <w:rStyle w:val="10"/>
          <w:rFonts w:ascii="Arial" w:hAnsi="Arial" w:eastAsia="宋体" w:cs="Arial"/>
          <w:sz w:val="24"/>
          <w:szCs w:val="24"/>
        </w:rPr>
        <w:footnoteReference w:id="3"/>
      </w:r>
    </w:p>
    <w:p w14:paraId="56AC8F0E">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bookmarkStart w:id="2" w:name="_bookmark2"/>
      <w:bookmarkEnd w:id="2"/>
      <w:r>
        <w:rPr>
          <w:rFonts w:ascii="Arial" w:hAnsi="Arial" w:eastAsia="宋体" w:cs="Arial"/>
          <w:sz w:val="24"/>
          <w:szCs w:val="24"/>
        </w:rPr>
        <w:t>如果您在参与研究期间受伤，您的医疗费用将由您自行承担或您的第三方付款人承担，但如果受伤由参与研究的当事方的渎职、过错或过失引起，您仍可索要赔偿。</w:t>
      </w:r>
      <w:r>
        <w:rPr>
          <w:rStyle w:val="10"/>
          <w:rFonts w:ascii="Arial" w:hAnsi="Arial" w:eastAsia="宋体" w:cs="Arial"/>
          <w:sz w:val="24"/>
          <w:szCs w:val="24"/>
        </w:rPr>
        <w:footnoteReference w:id="4"/>
      </w:r>
    </w:p>
    <w:p w14:paraId="5C78CCCE">
      <w:pPr>
        <w:pStyle w:val="3"/>
        <w:overflowPunct w:val="0"/>
        <w:snapToGrid w:val="0"/>
        <w:spacing w:after="240" w:afterLines="100" w:line="300" w:lineRule="auto"/>
        <w:ind w:left="0"/>
        <w:jc w:val="both"/>
        <w:rPr>
          <w:rFonts w:ascii="Arial" w:hAnsi="Arial" w:cs="Arial"/>
        </w:rPr>
      </w:pPr>
      <w:r>
        <w:rPr>
          <w:rFonts w:ascii="Arial" w:hAnsi="Arial" w:cs="Arial"/>
        </w:rPr>
        <w:t>根据45 CFR 46.116和21 CFR 50.20，上述示例可以接受，因为在每个示例中，弃权或豁免一般无法使或不可能使个人或实体免于承担渎职，疏忽，过失，过错或犯罪责任。</w:t>
      </w:r>
    </w:p>
    <w:p w14:paraId="1CCBA3D4">
      <w:pPr>
        <w:pStyle w:val="2"/>
        <w:overflowPunct w:val="0"/>
        <w:snapToGrid w:val="0"/>
        <w:spacing w:after="240" w:afterLines="100" w:line="300" w:lineRule="auto"/>
        <w:ind w:left="0"/>
        <w:jc w:val="both"/>
        <w:rPr>
          <w:rFonts w:ascii="Arial" w:hAnsi="Arial" w:cs="Arial"/>
          <w:b w:val="0"/>
          <w:bCs w:val="0"/>
          <w:sz w:val="28"/>
          <w:szCs w:val="28"/>
          <w:u w:val="single"/>
        </w:rPr>
      </w:pPr>
      <w:r>
        <w:rPr>
          <w:rFonts w:ascii="Arial" w:hAnsi="Arial" w:cs="Arial"/>
          <w:sz w:val="28"/>
          <w:szCs w:val="28"/>
          <w:u w:val="single"/>
        </w:rPr>
        <w:t>免责语言的示例</w:t>
      </w:r>
    </w:p>
    <w:p w14:paraId="0851642D">
      <w:pPr>
        <w:pStyle w:val="3"/>
        <w:overflowPunct w:val="0"/>
        <w:snapToGrid w:val="0"/>
        <w:spacing w:after="240" w:afterLines="100" w:line="300" w:lineRule="auto"/>
        <w:ind w:left="0"/>
        <w:jc w:val="both"/>
        <w:rPr>
          <w:rFonts w:ascii="Arial" w:hAnsi="Arial" w:cs="Arial"/>
        </w:rPr>
      </w:pPr>
      <w:r>
        <w:rPr>
          <w:rFonts w:ascii="Arial" w:hAnsi="Arial" w:cs="Arial"/>
        </w:rPr>
        <w:t>以下示例将违反45 CFR 46.116和21 CFR 50.20，因为在每个示例中，弃权或豁免一般可使或可能使个人或实体免于承担渎职，疏忽，过失，过错或犯罪责任。</w:t>
      </w:r>
    </w:p>
    <w:p w14:paraId="4458389C">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我放弃在因参与本研究而受伤的情况下索要赔偿的权利，包括任何诉讼权利。</w:t>
      </w:r>
    </w:p>
    <w:p w14:paraId="54CCE7BC">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如果您在参与研究期间受伤，机构和研究者均不会对此类伤害的治疗费用承担经济责任或义务。</w:t>
      </w:r>
    </w:p>
    <w:p w14:paraId="4DC21D08">
      <w:pPr>
        <w:pStyle w:val="12"/>
        <w:numPr>
          <w:ilvl w:val="1"/>
          <w:numId w:val="1"/>
        </w:numPr>
        <w:tabs>
          <w:tab w:val="left" w:pos="840"/>
        </w:tabs>
        <w:overflowPunct w:val="0"/>
        <w:snapToGrid w:val="0"/>
        <w:spacing w:after="240" w:afterLines="100" w:line="300" w:lineRule="auto"/>
        <w:ind w:left="577" w:leftChars="100" w:hanging="357"/>
        <w:jc w:val="both"/>
        <w:rPr>
          <w:rFonts w:ascii="Arial" w:hAnsi="Arial" w:eastAsia="宋体" w:cs="Arial"/>
          <w:sz w:val="24"/>
          <w:szCs w:val="24"/>
        </w:rPr>
      </w:pPr>
      <w:r>
        <w:rPr>
          <w:rFonts w:ascii="Arial" w:hAnsi="Arial" w:eastAsia="宋体" w:cs="Arial"/>
          <w:sz w:val="24"/>
          <w:szCs w:val="24"/>
        </w:rPr>
        <w:t>如果您在参与研究期间受伤，您的医疗费用将由您自行承担或您的第三方付款人承担。</w:t>
      </w:r>
    </w:p>
    <w:p w14:paraId="6DB56C70">
      <w:pPr>
        <w:pStyle w:val="2"/>
        <w:numPr>
          <w:ilvl w:val="0"/>
          <w:numId w:val="1"/>
        </w:numPr>
        <w:tabs>
          <w:tab w:val="left" w:pos="980"/>
        </w:tabs>
        <w:overflowPunct w:val="0"/>
        <w:snapToGrid w:val="0"/>
        <w:spacing w:after="240" w:afterLines="100" w:line="300" w:lineRule="auto"/>
        <w:ind w:left="644" w:hanging="644"/>
        <w:rPr>
          <w:rFonts w:ascii="Arial" w:hAnsi="Arial" w:cs="Arial"/>
          <w:sz w:val="32"/>
          <w:szCs w:val="32"/>
        </w:rPr>
      </w:pPr>
      <w:r>
        <w:rPr>
          <w:rFonts w:ascii="Arial" w:hAnsi="Arial" w:cs="Arial"/>
          <w:sz w:val="32"/>
          <w:szCs w:val="32"/>
        </w:rPr>
        <w:t>问题</w:t>
      </w:r>
      <w:r>
        <w:rPr>
          <w:rFonts w:hint="eastAsia" w:ascii="Arial" w:hAnsi="Arial" w:cs="Arial"/>
          <w:sz w:val="32"/>
          <w:szCs w:val="32"/>
        </w:rPr>
        <w:t>咨询</w:t>
      </w:r>
      <w:r>
        <w:rPr>
          <w:rFonts w:ascii="Arial" w:hAnsi="Arial" w:cs="Arial"/>
          <w:sz w:val="32"/>
          <w:szCs w:val="32"/>
        </w:rPr>
        <w:t>联系人</w:t>
      </w:r>
    </w:p>
    <w:p w14:paraId="55AD0C4A">
      <w:pPr>
        <w:pStyle w:val="3"/>
        <w:overflowPunct w:val="0"/>
        <w:snapToGrid w:val="0"/>
        <w:spacing w:after="240" w:afterLines="100" w:line="300" w:lineRule="auto"/>
        <w:ind w:left="0"/>
        <w:jc w:val="both"/>
        <w:rPr>
          <w:rFonts w:ascii="Arial" w:hAnsi="Arial" w:cs="Arial"/>
        </w:rPr>
      </w:pPr>
      <w:r>
        <w:rPr>
          <w:rFonts w:ascii="Arial" w:hAnsi="Arial" w:cs="Arial"/>
        </w:rPr>
        <w:t>针对本文档草案的问题，请联系：</w:t>
      </w:r>
    </w:p>
    <w:tbl>
      <w:tblPr>
        <w:tblStyle w:val="11"/>
        <w:tblW w:w="5000" w:type="pct"/>
        <w:tblInd w:w="0" w:type="dxa"/>
        <w:tblLayout w:type="autofit"/>
        <w:tblCellMar>
          <w:top w:w="0" w:type="dxa"/>
          <w:left w:w="0" w:type="dxa"/>
          <w:bottom w:w="0" w:type="dxa"/>
          <w:right w:w="0" w:type="dxa"/>
        </w:tblCellMar>
      </w:tblPr>
      <w:tblGrid>
        <w:gridCol w:w="5925"/>
        <w:gridCol w:w="4047"/>
      </w:tblGrid>
      <w:tr w14:paraId="31BB6C04">
        <w:tblPrEx>
          <w:tblCellMar>
            <w:top w:w="0" w:type="dxa"/>
            <w:left w:w="0" w:type="dxa"/>
            <w:bottom w:w="0" w:type="dxa"/>
            <w:right w:w="0" w:type="dxa"/>
          </w:tblCellMar>
        </w:tblPrEx>
        <w:tc>
          <w:tcPr>
            <w:tcW w:w="2971" w:type="pct"/>
            <w:tcBorders>
              <w:top w:val="nil"/>
              <w:left w:val="nil"/>
              <w:bottom w:val="nil"/>
              <w:right w:val="nil"/>
            </w:tcBorders>
          </w:tcPr>
          <w:p w14:paraId="277C478F">
            <w:pPr>
              <w:pStyle w:val="13"/>
              <w:overflowPunct w:val="0"/>
              <w:snapToGrid w:val="0"/>
              <w:spacing w:line="300" w:lineRule="auto"/>
              <w:jc w:val="both"/>
              <w:rPr>
                <w:rFonts w:ascii="Arial" w:hAnsi="Arial" w:eastAsia="宋体" w:cs="Arial"/>
                <w:sz w:val="24"/>
                <w:szCs w:val="24"/>
              </w:rPr>
            </w:pPr>
            <w:r>
              <w:rPr>
                <w:rFonts w:ascii="Arial" w:hAnsi="Arial" w:eastAsia="宋体" w:cs="Arial"/>
                <w:b/>
                <w:sz w:val="24"/>
                <w:szCs w:val="24"/>
              </w:rPr>
              <w:t>OHRP</w:t>
            </w:r>
          </w:p>
          <w:p w14:paraId="7FA957A7">
            <w:pPr>
              <w:pStyle w:val="13"/>
              <w:overflowPunct w:val="0"/>
              <w:snapToGrid w:val="0"/>
              <w:spacing w:line="300" w:lineRule="auto"/>
              <w:jc w:val="both"/>
              <w:rPr>
                <w:rFonts w:ascii="Arial" w:hAnsi="Arial" w:eastAsia="宋体" w:cs="Arial"/>
                <w:sz w:val="24"/>
                <w:szCs w:val="24"/>
              </w:rPr>
            </w:pPr>
            <w:r>
              <w:rPr>
                <w:rFonts w:ascii="Arial" w:hAnsi="Arial" w:eastAsia="宋体" w:cs="Arial"/>
                <w:sz w:val="24"/>
                <w:szCs w:val="24"/>
              </w:rPr>
              <w:t>电话：</w:t>
            </w:r>
          </w:p>
          <w:p w14:paraId="14AFE8C2">
            <w:pPr>
              <w:pStyle w:val="13"/>
              <w:overflowPunct w:val="0"/>
              <w:snapToGrid w:val="0"/>
              <w:spacing w:line="300" w:lineRule="auto"/>
              <w:jc w:val="both"/>
              <w:rPr>
                <w:rFonts w:ascii="Arial" w:hAnsi="Arial" w:eastAsia="宋体" w:cs="Arial"/>
                <w:sz w:val="24"/>
                <w:szCs w:val="24"/>
              </w:rPr>
            </w:pPr>
            <w:r>
              <w:rPr>
                <w:rFonts w:ascii="Arial" w:hAnsi="Arial" w:eastAsia="宋体" w:cs="Arial"/>
                <w:sz w:val="24"/>
                <w:szCs w:val="24"/>
              </w:rPr>
              <w:t>（866）447 - 4777（美国境内免费）或</w:t>
            </w:r>
          </w:p>
          <w:p w14:paraId="663B9C6B">
            <w:pPr>
              <w:pStyle w:val="13"/>
              <w:overflowPunct w:val="0"/>
              <w:snapToGrid w:val="0"/>
              <w:spacing w:line="300" w:lineRule="auto"/>
              <w:jc w:val="both"/>
              <w:rPr>
                <w:rFonts w:ascii="Arial" w:hAnsi="Arial" w:eastAsia="宋体" w:cs="Arial"/>
                <w:sz w:val="24"/>
                <w:szCs w:val="24"/>
              </w:rPr>
            </w:pPr>
            <w:r>
              <w:rPr>
                <w:rFonts w:ascii="Arial" w:hAnsi="Arial" w:eastAsia="宋体" w:cs="Arial"/>
                <w:sz w:val="24"/>
                <w:szCs w:val="24"/>
              </w:rPr>
              <w:t>（240）453-6900，或</w:t>
            </w:r>
          </w:p>
          <w:p w14:paraId="03B8E893">
            <w:pPr>
              <w:pStyle w:val="13"/>
              <w:overflowPunct w:val="0"/>
              <w:snapToGrid w:val="0"/>
              <w:spacing w:line="300" w:lineRule="auto"/>
              <w:jc w:val="both"/>
              <w:rPr>
                <w:rFonts w:ascii="Arial" w:hAnsi="Arial" w:eastAsia="宋体" w:cs="Arial"/>
                <w:sz w:val="24"/>
                <w:szCs w:val="24"/>
              </w:rPr>
            </w:pPr>
            <w:r>
              <w:rPr>
                <w:rFonts w:ascii="Arial" w:hAnsi="Arial" w:eastAsia="宋体" w:cs="Arial"/>
                <w:sz w:val="24"/>
                <w:szCs w:val="24"/>
              </w:rPr>
              <w:t>电子邮箱</w:t>
            </w:r>
            <w:r>
              <w:fldChar w:fldCharType="begin"/>
            </w:r>
            <w:r>
              <w:instrText xml:space="preserve"> HYPERLINK "mailto:ohrp@hhs.gov" \h </w:instrText>
            </w:r>
            <w:r>
              <w:fldChar w:fldCharType="separate"/>
            </w:r>
            <w:r>
              <w:rPr>
                <w:rFonts w:ascii="Arial" w:hAnsi="Arial" w:eastAsia="宋体" w:cs="Arial"/>
                <w:color w:val="0000FF"/>
                <w:sz w:val="24"/>
                <w:szCs w:val="24"/>
                <w:u w:val="single" w:color="0000FF"/>
              </w:rPr>
              <w:t>ohrp@hhs.gov</w:t>
            </w:r>
            <w:r>
              <w:rPr>
                <w:rFonts w:ascii="Arial" w:hAnsi="Arial" w:eastAsia="宋体" w:cs="Arial"/>
                <w:color w:val="0000FF"/>
                <w:sz w:val="24"/>
                <w:szCs w:val="24"/>
                <w:u w:val="single" w:color="0000FF"/>
              </w:rPr>
              <w:fldChar w:fldCharType="end"/>
            </w:r>
          </w:p>
        </w:tc>
        <w:tc>
          <w:tcPr>
            <w:tcW w:w="2029" w:type="pct"/>
            <w:tcBorders>
              <w:top w:val="nil"/>
              <w:left w:val="nil"/>
              <w:bottom w:val="nil"/>
              <w:right w:val="nil"/>
            </w:tcBorders>
          </w:tcPr>
          <w:p w14:paraId="097DBEC1">
            <w:pPr>
              <w:pStyle w:val="13"/>
              <w:overflowPunct w:val="0"/>
              <w:snapToGrid w:val="0"/>
              <w:spacing w:line="300" w:lineRule="auto"/>
              <w:jc w:val="both"/>
              <w:rPr>
                <w:rFonts w:ascii="Arial" w:hAnsi="Arial" w:eastAsia="宋体" w:cs="Arial"/>
                <w:sz w:val="24"/>
                <w:szCs w:val="24"/>
              </w:rPr>
            </w:pPr>
            <w:r>
              <w:rPr>
                <w:rFonts w:ascii="Arial" w:hAnsi="Arial" w:eastAsia="宋体" w:cs="Arial"/>
                <w:b/>
                <w:sz w:val="24"/>
                <w:szCs w:val="24"/>
              </w:rPr>
              <w:t>FDA</w:t>
            </w:r>
          </w:p>
          <w:p w14:paraId="3E57989C">
            <w:pPr>
              <w:pStyle w:val="13"/>
              <w:overflowPunct w:val="0"/>
              <w:snapToGrid w:val="0"/>
              <w:spacing w:line="300" w:lineRule="auto"/>
              <w:rPr>
                <w:rFonts w:ascii="Arial" w:hAnsi="Arial" w:eastAsia="宋体" w:cs="Arial"/>
                <w:sz w:val="24"/>
                <w:szCs w:val="24"/>
              </w:rPr>
            </w:pPr>
            <w:r>
              <w:rPr>
                <w:rFonts w:ascii="Arial" w:hAnsi="Arial" w:eastAsia="宋体" w:cs="Arial"/>
                <w:sz w:val="24"/>
                <w:szCs w:val="24"/>
              </w:rPr>
              <w:t>Sara F. Goldkind，M.D.，M.A.</w:t>
            </w:r>
          </w:p>
          <w:p w14:paraId="48080B75">
            <w:pPr>
              <w:pStyle w:val="13"/>
              <w:overflowPunct w:val="0"/>
              <w:snapToGrid w:val="0"/>
              <w:spacing w:line="300" w:lineRule="auto"/>
              <w:rPr>
                <w:rFonts w:ascii="Arial" w:hAnsi="Arial" w:eastAsia="宋体" w:cs="Arial"/>
                <w:color w:val="0000FF"/>
                <w:sz w:val="24"/>
                <w:szCs w:val="24"/>
              </w:rPr>
            </w:pPr>
            <w:r>
              <w:fldChar w:fldCharType="begin"/>
            </w:r>
            <w:r>
              <w:instrText xml:space="preserve"> HYPERLINK "mailto:Sara.Goldkind@fda.hhs.gov" \h </w:instrText>
            </w:r>
            <w:r>
              <w:fldChar w:fldCharType="separate"/>
            </w:r>
            <w:r>
              <w:rPr>
                <w:rFonts w:ascii="Arial" w:hAnsi="Arial" w:eastAsia="宋体" w:cs="Arial"/>
                <w:color w:val="0000FF"/>
                <w:sz w:val="24"/>
                <w:szCs w:val="24"/>
                <w:u w:val="single" w:color="0000FF"/>
              </w:rPr>
              <w:t>Sara.Goldkind@fda.hhs.gov</w:t>
            </w:r>
            <w:r>
              <w:rPr>
                <w:rFonts w:ascii="Arial" w:hAnsi="Arial" w:eastAsia="宋体" w:cs="Arial"/>
                <w:color w:val="0000FF"/>
                <w:sz w:val="24"/>
                <w:szCs w:val="24"/>
                <w:u w:val="single" w:color="0000FF"/>
              </w:rPr>
              <w:fldChar w:fldCharType="end"/>
            </w:r>
          </w:p>
          <w:p w14:paraId="67E0ACF5">
            <w:pPr>
              <w:pStyle w:val="13"/>
              <w:overflowPunct w:val="0"/>
              <w:snapToGrid w:val="0"/>
              <w:spacing w:line="300" w:lineRule="auto"/>
              <w:rPr>
                <w:rFonts w:ascii="Arial" w:hAnsi="Arial" w:eastAsia="宋体" w:cs="Arial"/>
                <w:sz w:val="24"/>
                <w:szCs w:val="24"/>
              </w:rPr>
            </w:pPr>
            <w:r>
              <w:rPr>
                <w:rFonts w:ascii="Arial" w:hAnsi="Arial" w:eastAsia="宋体" w:cs="Arial"/>
                <w:sz w:val="24"/>
                <w:szCs w:val="24"/>
              </w:rPr>
              <w:t>（301）796-8342</w:t>
            </w:r>
          </w:p>
        </w:tc>
      </w:tr>
    </w:tbl>
    <w:p w14:paraId="4021BAD2">
      <w:pPr>
        <w:overflowPunct w:val="0"/>
        <w:snapToGrid w:val="0"/>
        <w:spacing w:after="240" w:afterLines="100" w:line="300" w:lineRule="auto"/>
        <w:jc w:val="both"/>
        <w:rPr>
          <w:rFonts w:ascii="Arial" w:hAnsi="Arial" w:eastAsia="宋体" w:cs="Arial"/>
          <w:sz w:val="24"/>
          <w:szCs w:val="24"/>
        </w:rPr>
      </w:pPr>
    </w:p>
    <w:p w14:paraId="33586CEC">
      <w:pPr>
        <w:overflowPunct w:val="0"/>
        <w:snapToGrid w:val="0"/>
        <w:spacing w:line="300" w:lineRule="auto"/>
        <w:jc w:val="center"/>
        <w:rPr>
          <w:rFonts w:hint="eastAsia" w:eastAsia="宋体"/>
          <w:lang w:eastAsia="zh-CN"/>
        </w:rPr>
      </w:pPr>
    </w:p>
    <w:p w14:paraId="08AC69F4">
      <w:pPr>
        <w:overflowPunct w:val="0"/>
        <w:snapToGrid w:val="0"/>
        <w:spacing w:line="300" w:lineRule="auto"/>
        <w:jc w:val="center"/>
        <w:rPr>
          <w:rFonts w:hint="eastAsia" w:eastAsia="宋体"/>
          <w:lang w:eastAsia="zh-CN"/>
        </w:rPr>
      </w:pPr>
    </w:p>
    <w:p w14:paraId="7AE7B85A">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2240" w:h="15840"/>
      <w:pgMar w:top="1134" w:right="1134" w:bottom="1134" w:left="1134" w:header="750" w:footer="68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200290414"/>
      <w:docPartObj>
        <w:docPartGallery w:val="AutoText"/>
      </w:docPartObj>
    </w:sdtPr>
    <w:sdtEndPr>
      <w:rPr>
        <w:rFonts w:ascii="Arial" w:hAnsi="Arial" w:cs="Arial"/>
      </w:rPr>
    </w:sdtEndPr>
    <w:sdtContent>
      <w:p w14:paraId="22DB8A4B">
        <w:pPr>
          <w:pStyle w:val="4"/>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4</w:t>
        </w:r>
        <w:r>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FE25C1D">
      <w:pPr>
        <w:pStyle w:val="6"/>
        <w:spacing w:line="300" w:lineRule="auto"/>
        <w:rPr>
          <w:rFonts w:ascii="Arial" w:hAnsi="Arial" w:cs="Arial"/>
          <w:sz w:val="21"/>
          <w:szCs w:val="21"/>
        </w:rPr>
      </w:pPr>
      <w:r>
        <w:rPr>
          <w:rStyle w:val="1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OHRP和FDA的联系信息见本指南第III节。</w:t>
      </w:r>
    </w:p>
  </w:footnote>
  <w:footnote w:id="1">
    <w:p w14:paraId="544D3410">
      <w:pPr>
        <w:pStyle w:val="6"/>
        <w:spacing w:line="300" w:lineRule="auto"/>
        <w:rPr>
          <w:rFonts w:ascii="Arial" w:hAnsi="Arial" w:cs="Arial"/>
          <w:sz w:val="21"/>
          <w:szCs w:val="21"/>
        </w:rPr>
      </w:pPr>
      <w:r>
        <w:rPr>
          <w:rStyle w:val="1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虽然本指南主要侧重于在医疗保健环境中进行的生物医学研究，但其应用并不仅限于此类情况。</w:t>
      </w:r>
    </w:p>
  </w:footnote>
  <w:footnote w:id="2">
    <w:p w14:paraId="429E2AD6">
      <w:pPr>
        <w:pStyle w:val="6"/>
        <w:spacing w:line="300" w:lineRule="auto"/>
        <w:rPr>
          <w:rFonts w:ascii="Arial" w:hAnsi="Arial" w:cs="Arial"/>
          <w:sz w:val="21"/>
          <w:szCs w:val="21"/>
        </w:rPr>
      </w:pPr>
      <w:r>
        <w:rPr>
          <w:rStyle w:val="1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本指导性文件并非旨在解决与受试者退出研究相关的问题。</w:t>
      </w:r>
    </w:p>
  </w:footnote>
  <w:footnote w:id="3">
    <w:p w14:paraId="31896F2B">
      <w:pPr>
        <w:pStyle w:val="6"/>
        <w:spacing w:line="300" w:lineRule="auto"/>
        <w:rPr>
          <w:rFonts w:ascii="Arial" w:hAnsi="Arial" w:cs="Arial"/>
          <w:sz w:val="21"/>
          <w:szCs w:val="21"/>
          <w:lang w:val="de-DE"/>
        </w:rPr>
      </w:pPr>
      <w:r>
        <w:rPr>
          <w:rStyle w:val="1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如指南“行业指南：研究者责任 - 保护研究对象的权利、安全和</w:t>
      </w:r>
      <w:r>
        <w:rPr>
          <w:rFonts w:hint="eastAsia" w:ascii="Arial" w:hAnsi="Arial" w:eastAsia="宋体" w:cs="Arial"/>
          <w:sz w:val="21"/>
          <w:szCs w:val="21"/>
        </w:rPr>
        <w:t>福利</w:t>
      </w:r>
      <w:r>
        <w:rPr>
          <w:rFonts w:ascii="Arial" w:hAnsi="Arial" w:eastAsia="宋体" w:cs="Arial"/>
          <w:sz w:val="21"/>
          <w:szCs w:val="21"/>
        </w:rPr>
        <w:t>”所述，FDA希望医院努力确保研究者对任何不良事件提供合理的医疗护理， 包括与参与试验有关的临床显著性试验室价值。如果研究者未用于提供受试者所需医疗护理类型的专业知识，研究者应确保该受试者能够从合格的从业人员处获得所需护理。本指南可从以下网址获得</w:t>
      </w:r>
      <w:r>
        <w:rPr>
          <w:rFonts w:ascii="Arial" w:hAnsi="Arial" w:eastAsia="宋体" w:cs="Arial"/>
          <w:sz w:val="21"/>
          <w:szCs w:val="21"/>
          <w:lang w:val="de-DE"/>
        </w:rPr>
        <w:t>：</w:t>
      </w:r>
      <w:r>
        <w:fldChar w:fldCharType="begin"/>
      </w:r>
      <w:r>
        <w:instrText xml:space="preserve"> HYPERLINK "http://www.fda.gov/downloads/Drugs/GuidanceComplianceRegulatoryInformation/Guidances/UCM187772.pdf" \h </w:instrText>
      </w:r>
      <w:r>
        <w:fldChar w:fldCharType="separate"/>
      </w:r>
      <w:r>
        <w:rPr>
          <w:rFonts w:ascii="Arial" w:hAnsi="Arial" w:eastAsia="宋体" w:cs="Arial"/>
          <w:color w:val="0000FF"/>
          <w:sz w:val="21"/>
          <w:szCs w:val="21"/>
          <w:u w:val="single" w:color="0000FF"/>
          <w:lang w:val="de-DE"/>
        </w:rPr>
        <w:t>http://www.fda.gov/downloads/Drugs/GuidanceComplianceRegulatoryInformation/Guidances/U</w:t>
      </w:r>
      <w:r>
        <w:rPr>
          <w:rFonts w:ascii="Arial" w:hAnsi="Arial" w:eastAsia="宋体" w:cs="Arial"/>
          <w:color w:val="0000FF"/>
          <w:sz w:val="21"/>
          <w:szCs w:val="21"/>
          <w:u w:val="single" w:color="0000FF"/>
          <w:lang w:val="de-DE"/>
        </w:rPr>
        <w:fldChar w:fldCharType="end"/>
      </w:r>
      <w:r>
        <w:rPr>
          <w:rFonts w:ascii="Arial" w:hAnsi="Arial" w:eastAsia="宋体" w:cs="Arial"/>
          <w:color w:val="0000FF"/>
          <w:sz w:val="21"/>
          <w:szCs w:val="21"/>
          <w:lang w:val="de-DE"/>
        </w:rPr>
        <w:t xml:space="preserve"> </w:t>
      </w:r>
      <w:r>
        <w:fldChar w:fldCharType="begin"/>
      </w:r>
      <w:r>
        <w:instrText xml:space="preserve"> HYPERLINK "http://www.fda.gov/downloads/Drugs/GuidanceComplianceRegulatoryInformation/Guidances/UCM187772.pdf" \h </w:instrText>
      </w:r>
      <w:r>
        <w:fldChar w:fldCharType="separate"/>
      </w:r>
      <w:r>
        <w:rPr>
          <w:rFonts w:ascii="Arial" w:hAnsi="Arial" w:eastAsia="宋体" w:cs="Arial"/>
          <w:color w:val="0000FF"/>
          <w:sz w:val="21"/>
          <w:szCs w:val="21"/>
          <w:u w:val="single" w:color="0000FF"/>
          <w:lang w:val="de-DE"/>
        </w:rPr>
        <w:t>CM187772.pdf</w:t>
      </w:r>
      <w:r>
        <w:rPr>
          <w:rFonts w:ascii="Arial" w:hAnsi="Arial" w:eastAsia="宋体" w:cs="Arial"/>
          <w:color w:val="0000FF"/>
          <w:sz w:val="21"/>
          <w:szCs w:val="21"/>
          <w:u w:val="single" w:color="0000FF"/>
          <w:lang w:val="de-DE"/>
        </w:rPr>
        <w:fldChar w:fldCharType="end"/>
      </w:r>
    </w:p>
  </w:footnote>
  <w:footnote w:id="4">
    <w:p w14:paraId="71DAB24D">
      <w:pPr>
        <w:pStyle w:val="6"/>
        <w:spacing w:line="300" w:lineRule="auto"/>
        <w:rPr>
          <w:rFonts w:ascii="Arial" w:hAnsi="Arial" w:cs="Arial"/>
          <w:sz w:val="21"/>
          <w:szCs w:val="21"/>
        </w:rPr>
      </w:pPr>
      <w:r>
        <w:rPr>
          <w:rStyle w:val="1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此示例以及前两个示例中使用的句子仅为在知情同意书中解释受试者在某些情况下不得放弃就研究相关伤害所求补偿的合法权利的一种可能方法。以类似方式传达此理念的其他语言也可接受。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07EB6">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0F2B">
    <w:pPr>
      <w:spacing w:line="265" w:lineRule="exact"/>
      <w:jc w:val="center"/>
      <w:rPr>
        <w:rFonts w:ascii="Times New Roman" w:hAnsi="Times New Roman" w:eastAsia="宋体" w:cs="Times New Roman"/>
        <w:sz w:val="24"/>
        <w:szCs w:val="24"/>
      </w:rPr>
    </w:pPr>
    <w:r>
      <w:rPr>
        <w:rFonts w:hint="eastAsia" w:ascii="Times New Roman" w:eastAsia="宋体"/>
        <w:b/>
        <w:i/>
        <w:sz w:val="24"/>
      </w:rPr>
      <w:t>所含建议不具约束力</w:t>
    </w:r>
  </w:p>
  <w:p w14:paraId="5A3BAC04">
    <w:pPr>
      <w:spacing w:before="117"/>
      <w:ind w:right="1"/>
      <w:jc w:val="center"/>
      <w:rPr>
        <w:rFonts w:ascii="Times New Roman" w:hAnsi="Times New Roman" w:eastAsia="宋体"/>
        <w:i/>
        <w:sz w:val="20"/>
        <w:szCs w:val="20"/>
      </w:rPr>
    </w:pPr>
    <w:r>
      <w:rPr>
        <w:rFonts w:hint="eastAsia" w:ascii="Times New Roman" w:hAnsi="Times New Roman" w:eastAsia="宋体"/>
        <w:i/>
        <w:sz w:val="20"/>
        <w:szCs w:val="20"/>
      </w:rPr>
      <w:t>草案 - 不用于实施</w:t>
    </w:r>
  </w:p>
  <w:p w14:paraId="731C0393">
    <w:pPr>
      <w:spacing w:before="117"/>
      <w:ind w:right="1"/>
      <w:jc w:val="center"/>
      <w:rPr>
        <w:rFonts w:ascii="Times New Roman" w:hAnsi="Times New Roman" w:eastAsia="宋体" w:cs="Times New Roman"/>
        <w:sz w:val="20"/>
        <w:szCs w:val="20"/>
      </w:rPr>
    </w:pPr>
  </w:p>
  <w:p w14:paraId="1D9EC68D">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33FAE"/>
    <w:multiLevelType w:val="multilevel"/>
    <w:tmpl w:val="31333FAE"/>
    <w:lvl w:ilvl="0" w:tentative="0">
      <w:start w:val="1"/>
      <w:numFmt w:val="bullet"/>
      <w:lvlText w:val="•"/>
      <w:lvlJc w:val="left"/>
      <w:pPr>
        <w:ind w:left="840" w:hanging="360"/>
      </w:pPr>
      <w:rPr>
        <w:rFonts w:hint="default" w:ascii="Times New Roman" w:hAnsi="Times New Roman" w:eastAsia="Times New Roman"/>
        <w:w w:val="99"/>
        <w:sz w:val="28"/>
        <w:szCs w:val="28"/>
      </w:rPr>
    </w:lvl>
    <w:lvl w:ilvl="1" w:tentative="0">
      <w:start w:val="1"/>
      <w:numFmt w:val="bullet"/>
      <w:lvlText w:val="•"/>
      <w:lvlJc w:val="left"/>
      <w:pPr>
        <w:ind w:left="1712" w:hanging="360"/>
      </w:pPr>
      <w:rPr>
        <w:rFonts w:hint="default"/>
      </w:rPr>
    </w:lvl>
    <w:lvl w:ilvl="2" w:tentative="0">
      <w:start w:val="1"/>
      <w:numFmt w:val="bullet"/>
      <w:lvlText w:val="•"/>
      <w:lvlJc w:val="left"/>
      <w:pPr>
        <w:ind w:left="2584" w:hanging="360"/>
      </w:pPr>
      <w:rPr>
        <w:rFonts w:hint="default"/>
      </w:rPr>
    </w:lvl>
    <w:lvl w:ilvl="3" w:tentative="0">
      <w:start w:val="1"/>
      <w:numFmt w:val="bullet"/>
      <w:lvlText w:val="•"/>
      <w:lvlJc w:val="left"/>
      <w:pPr>
        <w:ind w:left="3456" w:hanging="360"/>
      </w:pPr>
      <w:rPr>
        <w:rFonts w:hint="default"/>
      </w:rPr>
    </w:lvl>
    <w:lvl w:ilvl="4" w:tentative="0">
      <w:start w:val="1"/>
      <w:numFmt w:val="bullet"/>
      <w:lvlText w:val="•"/>
      <w:lvlJc w:val="left"/>
      <w:pPr>
        <w:ind w:left="4328"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72" w:hanging="360"/>
      </w:pPr>
      <w:rPr>
        <w:rFonts w:hint="default"/>
      </w:rPr>
    </w:lvl>
    <w:lvl w:ilvl="7" w:tentative="0">
      <w:start w:val="1"/>
      <w:numFmt w:val="bullet"/>
      <w:lvlText w:val="•"/>
      <w:lvlJc w:val="left"/>
      <w:pPr>
        <w:ind w:left="6944" w:hanging="360"/>
      </w:pPr>
      <w:rPr>
        <w:rFonts w:hint="default"/>
      </w:rPr>
    </w:lvl>
    <w:lvl w:ilvl="8" w:tentative="0">
      <w:start w:val="1"/>
      <w:numFmt w:val="bullet"/>
      <w:lvlText w:val="•"/>
      <w:lvlJc w:val="left"/>
      <w:pPr>
        <w:ind w:left="7816" w:hanging="360"/>
      </w:pPr>
      <w:rPr>
        <w:rFonts w:hint="default"/>
      </w:rPr>
    </w:lvl>
  </w:abstractNum>
  <w:abstractNum w:abstractNumId="1">
    <w:nsid w:val="572857B4"/>
    <w:multiLevelType w:val="multilevel"/>
    <w:tmpl w:val="572857B4"/>
    <w:lvl w:ilvl="0" w:tentative="0">
      <w:start w:val="1"/>
      <w:numFmt w:val="upperRoman"/>
      <w:lvlText w:val="%1."/>
      <w:lvlJc w:val="left"/>
      <w:pPr>
        <w:ind w:left="979" w:hanging="720"/>
        <w:jc w:val="left"/>
      </w:pPr>
      <w:rPr>
        <w:rFonts w:hint="default" w:ascii="Arial" w:hAnsi="Arial" w:eastAsia="Times New Roman" w:cs="Arial"/>
        <w:b/>
        <w:bCs/>
        <w:sz w:val="32"/>
        <w:szCs w:val="32"/>
      </w:rPr>
    </w:lvl>
    <w:lvl w:ilvl="1" w:tentative="0">
      <w:start w:val="1"/>
      <w:numFmt w:val="bullet"/>
      <w:lvlText w:val=""/>
      <w:lvlJc w:val="left"/>
      <w:pPr>
        <w:ind w:left="840" w:hanging="360"/>
      </w:pPr>
      <w:rPr>
        <w:rFonts w:hint="default" w:ascii="Symbol" w:hAnsi="Symbol" w:eastAsia="Symbol"/>
        <w:w w:val="100"/>
        <w:sz w:val="20"/>
        <w:szCs w:val="20"/>
      </w:rPr>
    </w:lvl>
    <w:lvl w:ilvl="2" w:tentative="0">
      <w:start w:val="1"/>
      <w:numFmt w:val="bullet"/>
      <w:lvlText w:val=""/>
      <w:lvlJc w:val="left"/>
      <w:pPr>
        <w:ind w:left="1020" w:hanging="360"/>
      </w:pPr>
      <w:rPr>
        <w:rFonts w:hint="default" w:ascii="Symbol" w:hAnsi="Symbol" w:eastAsia="Symbol"/>
        <w:w w:val="100"/>
        <w:sz w:val="20"/>
        <w:szCs w:val="20"/>
      </w:rPr>
    </w:lvl>
    <w:lvl w:ilvl="3" w:tentative="0">
      <w:start w:val="1"/>
      <w:numFmt w:val="bullet"/>
      <w:lvlText w:val="•"/>
      <w:lvlJc w:val="left"/>
      <w:pPr>
        <w:ind w:left="2087" w:hanging="360"/>
      </w:pPr>
      <w:rPr>
        <w:rFonts w:hint="default"/>
      </w:rPr>
    </w:lvl>
    <w:lvl w:ilvl="4" w:tentative="0">
      <w:start w:val="1"/>
      <w:numFmt w:val="bullet"/>
      <w:lvlText w:val="•"/>
      <w:lvlJc w:val="left"/>
      <w:pPr>
        <w:ind w:left="3155" w:hanging="360"/>
      </w:pPr>
      <w:rPr>
        <w:rFonts w:hint="default"/>
      </w:rPr>
    </w:lvl>
    <w:lvl w:ilvl="5" w:tentative="0">
      <w:start w:val="1"/>
      <w:numFmt w:val="bullet"/>
      <w:lvlText w:val="•"/>
      <w:lvlJc w:val="left"/>
      <w:pPr>
        <w:ind w:left="4222" w:hanging="360"/>
      </w:pPr>
      <w:rPr>
        <w:rFonts w:hint="default"/>
      </w:rPr>
    </w:lvl>
    <w:lvl w:ilvl="6" w:tentative="0">
      <w:start w:val="1"/>
      <w:numFmt w:val="bullet"/>
      <w:lvlText w:val="•"/>
      <w:lvlJc w:val="left"/>
      <w:pPr>
        <w:ind w:left="5290" w:hanging="360"/>
      </w:pPr>
      <w:rPr>
        <w:rFonts w:hint="default"/>
      </w:rPr>
    </w:lvl>
    <w:lvl w:ilvl="7" w:tentative="0">
      <w:start w:val="1"/>
      <w:numFmt w:val="bullet"/>
      <w:lvlText w:val="•"/>
      <w:lvlJc w:val="left"/>
      <w:pPr>
        <w:ind w:left="6357" w:hanging="360"/>
      </w:pPr>
      <w:rPr>
        <w:rFonts w:hint="default"/>
      </w:rPr>
    </w:lvl>
    <w:lvl w:ilvl="8" w:tentative="0">
      <w:start w:val="1"/>
      <w:numFmt w:val="bullet"/>
      <w:lvlText w:val="•"/>
      <w:lvlJc w:val="left"/>
      <w:pPr>
        <w:ind w:left="742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10"/>
    <w:footnote w:id="11"/>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B1"/>
    <w:rsid w:val="00011AE7"/>
    <w:rsid w:val="000D625D"/>
    <w:rsid w:val="00101792"/>
    <w:rsid w:val="001305FE"/>
    <w:rsid w:val="00163154"/>
    <w:rsid w:val="001669AF"/>
    <w:rsid w:val="00267CB4"/>
    <w:rsid w:val="002D01B7"/>
    <w:rsid w:val="002F47F5"/>
    <w:rsid w:val="00315FA0"/>
    <w:rsid w:val="00331FE4"/>
    <w:rsid w:val="0035212B"/>
    <w:rsid w:val="00352849"/>
    <w:rsid w:val="003A40CA"/>
    <w:rsid w:val="003B2F0A"/>
    <w:rsid w:val="00454741"/>
    <w:rsid w:val="004B19F3"/>
    <w:rsid w:val="005417D1"/>
    <w:rsid w:val="005830F2"/>
    <w:rsid w:val="005903F3"/>
    <w:rsid w:val="005D483E"/>
    <w:rsid w:val="00626A2C"/>
    <w:rsid w:val="006505A8"/>
    <w:rsid w:val="006838C4"/>
    <w:rsid w:val="006B12F1"/>
    <w:rsid w:val="007615E1"/>
    <w:rsid w:val="007618DC"/>
    <w:rsid w:val="00775A12"/>
    <w:rsid w:val="0080352A"/>
    <w:rsid w:val="00873BA1"/>
    <w:rsid w:val="008A0D5D"/>
    <w:rsid w:val="008A5D54"/>
    <w:rsid w:val="008D6F83"/>
    <w:rsid w:val="00912EAF"/>
    <w:rsid w:val="009268D7"/>
    <w:rsid w:val="0094795F"/>
    <w:rsid w:val="009A15A3"/>
    <w:rsid w:val="009E5E99"/>
    <w:rsid w:val="00A326C0"/>
    <w:rsid w:val="00AC500C"/>
    <w:rsid w:val="00B06640"/>
    <w:rsid w:val="00B2548B"/>
    <w:rsid w:val="00BD09D8"/>
    <w:rsid w:val="00BE00EA"/>
    <w:rsid w:val="00BF0554"/>
    <w:rsid w:val="00BF4C75"/>
    <w:rsid w:val="00C869E6"/>
    <w:rsid w:val="00D37CC6"/>
    <w:rsid w:val="00DC4858"/>
    <w:rsid w:val="00DC78B1"/>
    <w:rsid w:val="00DD7CC0"/>
    <w:rsid w:val="00E72CAB"/>
    <w:rsid w:val="00E84754"/>
    <w:rsid w:val="00EA776F"/>
    <w:rsid w:val="00F35941"/>
    <w:rsid w:val="00F52BE2"/>
    <w:rsid w:val="00F904F1"/>
    <w:rsid w:val="00F94BCC"/>
    <w:rsid w:val="00FB324A"/>
    <w:rsid w:val="32EB5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979"/>
      <w:outlineLvl w:val="0"/>
    </w:pPr>
    <w:rPr>
      <w:rFonts w:ascii="Times New Roman" w:hAnsi="Times New Roman" w:eastAsia="宋体"/>
      <w:b/>
      <w:bCs/>
      <w:sz w:val="24"/>
      <w:szCs w:val="2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840"/>
    </w:pPr>
    <w:rPr>
      <w:rFonts w:ascii="Times New Roman" w:hAnsi="Times New Roman" w:eastAsia="宋体"/>
      <w:sz w:val="24"/>
      <w:szCs w:val="24"/>
    </w:rPr>
  </w:style>
  <w:style w:type="paragraph" w:styleId="4">
    <w:name w:val="footer"/>
    <w:basedOn w:val="1"/>
    <w:link w:val="15"/>
    <w:unhideWhenUsed/>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unhideWhenUsed/>
    <w:qFormat/>
    <w:uiPriority w:val="99"/>
    <w:pPr>
      <w:snapToGrid w:val="0"/>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semiHidden/>
    <w:unhideWhenUsed/>
    <w:qFormat/>
    <w:uiPriority w:val="99"/>
    <w:rPr>
      <w:vertAlign w:val="superscript"/>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5"/>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脚注文本 Char"/>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0531AF-E22D-478E-AB76-52C578CDB244}">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6</Pages>
  <Words>2870</Words>
  <Characters>3585</Characters>
  <Lines>29</Lines>
  <Paragraphs>8</Paragraphs>
  <TotalTime>0</TotalTime>
  <ScaleCrop>false</ScaleCrop>
  <LinksUpToDate>false</LinksUpToDate>
  <CharactersWithSpaces>3643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2017-11-17T08:52:00Z</dcterms:created>
  <dc:creator>Food and Drug Administration and HHS Office for Human Research Protections</dc:creator>
  <cp:keywords>guidance, draft, research, informed, consent</cp:keywords>
  <cp:lastModifiedBy>太极箫客</cp:lastModifiedBy>
  <dcterms:modified xsi:type="dcterms:W3CDTF">2025-08-14T07:10:51Z</dcterms:modified>
  <dc:subject>Draft Guidance:  Exculpatory Language in Informed Consent</dc:subject>
  <dc:title>Exculpatory Language in Informed Consent: Draft Guidance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2011-09-07T00:00:00Z</vt:filetime>
  </property>
  <property fmtid="{D5CDD505-2E9C-101B-9397-08002B2CF9AE}" pid="3" name="Creator">
    <vt:lpwstr>Acrobat PDFMaker 9.1 for Word</vt:lpwstr>
  </property>
  <property fmtid="{D5CDD505-2E9C-101B-9397-08002B2CF9AE}" pid="4" name="LastSaved">
    <vt:filetime>2017-10-15T00:00:00Z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23D2027890AD456F96C441E47CD8C717_12</vt:lpwstr>
  </property>
</Properties>
</file>