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DC6B4">
      <w:pPr>
        <w:widowControl w:val="0"/>
        <w:autoSpaceDE w:val="0"/>
        <w:autoSpaceDN w:val="0"/>
        <w:snapToGrid/>
        <w:spacing w:after="120" w:afterLines="50" w:line="360" w:lineRule="auto"/>
        <w:jc w:val="both"/>
        <w:rPr>
          <w:rFonts w:ascii="Times New Roman" w:hAnsi="Times New Roman" w:eastAsia="宋体" w:cs="Times New Roman"/>
          <w:b/>
          <w:bCs/>
          <w:sz w:val="21"/>
          <w:szCs w:val="21"/>
        </w:rPr>
      </w:pPr>
      <w:bookmarkStart w:id="0" w:name="_GoBack"/>
      <w:bookmarkEnd w:id="0"/>
      <w:r>
        <w:rPr>
          <w:rFonts w:hint="eastAsia" w:ascii="Times New Roman" w:hAnsi="宋体" w:eastAsia="宋体" w:cs="Times New Roman"/>
          <w:b/>
          <w:bCs/>
          <w:sz w:val="21"/>
          <w:szCs w:val="21"/>
        </w:rPr>
        <w:t>着色剂申请</w:t>
      </w:r>
    </w:p>
    <w:p w14:paraId="314DA7C3">
      <w:pPr>
        <w:widowControl w:val="0"/>
        <w:autoSpaceDE w:val="0"/>
        <w:autoSpaceDN w:val="0"/>
        <w:snapToGrid/>
        <w:spacing w:after="120" w:afterLines="50" w:line="360" w:lineRule="auto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宋体" w:eastAsia="宋体" w:cs="Times New Roman"/>
          <w:sz w:val="21"/>
          <w:szCs w:val="21"/>
        </w:rPr>
        <w:t>法律规定，只有已被证明是安全的、且列于</w:t>
      </w:r>
      <w:r>
        <w:rPr>
          <w:rFonts w:ascii="Times New Roman" w:hAnsi="Times New Roman" w:eastAsia="宋体" w:cs="Times New Roman"/>
          <w:sz w:val="21"/>
          <w:szCs w:val="21"/>
        </w:rPr>
        <w:t>CFR</w:t>
      </w:r>
      <w:r>
        <w:rPr>
          <w:rFonts w:hint="eastAsia" w:ascii="Times New Roman" w:hAnsi="宋体" w:eastAsia="宋体" w:cs="Times New Roman"/>
          <w:sz w:val="21"/>
          <w:szCs w:val="21"/>
        </w:rPr>
        <w:t>中的着色剂才可以用来对食品、药品、化妆品或者某些特定的医疗器械进行着色。当事人可按照</w:t>
      </w:r>
      <w:r>
        <w:rPr>
          <w:rFonts w:ascii="Times New Roman" w:hAnsi="Times New Roman" w:eastAsia="宋体" w:cs="Times New Roman"/>
          <w:sz w:val="21"/>
          <w:szCs w:val="21"/>
        </w:rPr>
        <w:t>21 CFR 71</w:t>
      </w:r>
      <w:r>
        <w:rPr>
          <w:rFonts w:hint="eastAsia" w:ascii="Times New Roman" w:hAnsi="Times New Roman" w:eastAsia="宋体" w:cs="Times New Roman"/>
          <w:sz w:val="21"/>
          <w:szCs w:val="21"/>
        </w:rPr>
        <w:t>部分</w:t>
      </w:r>
      <w:r>
        <w:rPr>
          <w:rFonts w:hint="eastAsia" w:ascii="Times New Roman" w:hAnsi="宋体" w:eastAsia="宋体" w:cs="Times New Roman"/>
          <w:sz w:val="21"/>
          <w:szCs w:val="21"/>
        </w:rPr>
        <w:t>所述向食品药品监督管理局（</w:t>
      </w:r>
      <w:r>
        <w:rPr>
          <w:rFonts w:ascii="Times New Roman" w:hAnsi="Times New Roman" w:eastAsia="宋体" w:cs="Times New Roman"/>
          <w:sz w:val="21"/>
          <w:szCs w:val="21"/>
        </w:rPr>
        <w:t>FDA</w:t>
      </w:r>
      <w:r>
        <w:rPr>
          <w:rFonts w:hint="eastAsia" w:ascii="Times New Roman" w:hAnsi="宋体" w:eastAsia="宋体" w:cs="Times New Roman"/>
          <w:sz w:val="21"/>
          <w:szCs w:val="21"/>
        </w:rPr>
        <w:t>）提出关于使用某种着色剂的申请，并递交数据证明其安全性和适用性。收到书面申请后，</w:t>
      </w:r>
      <w:r>
        <w:rPr>
          <w:rFonts w:ascii="Times New Roman" w:hAnsi="Times New Roman" w:eastAsia="宋体" w:cs="Times New Roman"/>
          <w:sz w:val="21"/>
          <w:szCs w:val="21"/>
        </w:rPr>
        <w:t>FDA</w:t>
      </w:r>
      <w:r>
        <w:rPr>
          <w:rFonts w:hint="eastAsia" w:ascii="Times New Roman" w:hAnsi="宋体" w:eastAsia="宋体" w:cs="Times New Roman"/>
          <w:sz w:val="21"/>
          <w:szCs w:val="21"/>
        </w:rPr>
        <w:t>将针对打算用来获得这些数据的实验是否充分提出建议（</w:t>
      </w:r>
      <w:r>
        <w:rPr>
          <w:rFonts w:ascii="Times New Roman" w:hAnsi="Times New Roman" w:eastAsia="宋体" w:cs="Times New Roman"/>
          <w:sz w:val="21"/>
          <w:szCs w:val="21"/>
        </w:rPr>
        <w:t>21 CFR 70.42(c)</w:t>
      </w:r>
      <w:r>
        <w:rPr>
          <w:rFonts w:hint="eastAsia" w:ascii="Times New Roman" w:hAnsi="宋体" w:eastAsia="宋体" w:cs="Times New Roman"/>
          <w:sz w:val="21"/>
          <w:szCs w:val="21"/>
        </w:rPr>
        <w:t>）。管理局针对申请中的数据、其他数据和公众意见进行评估后，如果认为提出的着色剂是安全的，且适用于预期用途，则可以发布一项规章或者修改现有规章，将该着色剂列为可用于此类用途。如果该着色剂可免于批认证，则被列于</w:t>
      </w:r>
      <w:r>
        <w:rPr>
          <w:rFonts w:ascii="Times New Roman" w:hAnsi="Times New Roman" w:eastAsia="宋体" w:cs="Times New Roman"/>
          <w:sz w:val="21"/>
          <w:szCs w:val="21"/>
        </w:rPr>
        <w:t>21 CFR 73</w:t>
      </w:r>
      <w:r>
        <w:rPr>
          <w:rFonts w:hint="eastAsia" w:ascii="Times New Roman" w:hAnsi="Times New Roman" w:eastAsia="宋体" w:cs="Times New Roman"/>
          <w:sz w:val="21"/>
          <w:szCs w:val="21"/>
        </w:rPr>
        <w:t>部分</w:t>
      </w:r>
      <w:r>
        <w:rPr>
          <w:rFonts w:hint="eastAsia" w:ascii="Times New Roman" w:hAnsi="宋体" w:eastAsia="宋体" w:cs="Times New Roman"/>
          <w:sz w:val="21"/>
          <w:szCs w:val="21"/>
        </w:rPr>
        <w:t>，如果需进行批认证，则被列于</w:t>
      </w:r>
      <w:r>
        <w:rPr>
          <w:rFonts w:ascii="Times New Roman" w:hAnsi="Times New Roman" w:eastAsia="宋体" w:cs="Times New Roman"/>
          <w:sz w:val="21"/>
          <w:szCs w:val="21"/>
        </w:rPr>
        <w:t>21 CFR 74</w:t>
      </w:r>
      <w:r>
        <w:rPr>
          <w:rFonts w:hint="eastAsia" w:ascii="Times New Roman" w:hAnsi="Times New Roman" w:eastAsia="宋体" w:cs="Times New Roman"/>
          <w:sz w:val="21"/>
          <w:szCs w:val="21"/>
        </w:rPr>
        <w:t>部分</w:t>
      </w:r>
      <w:r>
        <w:rPr>
          <w:rFonts w:hint="eastAsia" w:ascii="Times New Roman" w:hAnsi="宋体" w:eastAsia="宋体" w:cs="Times New Roman"/>
          <w:sz w:val="21"/>
          <w:szCs w:val="21"/>
        </w:rPr>
        <w:t>。</w:t>
      </w:r>
    </w:p>
    <w:p w14:paraId="5F55396E">
      <w:pPr>
        <w:widowControl w:val="0"/>
        <w:autoSpaceDE w:val="0"/>
        <w:autoSpaceDN w:val="0"/>
        <w:snapToGrid/>
        <w:spacing w:after="120" w:afterLines="50" w:line="360" w:lineRule="auto"/>
        <w:jc w:val="both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宋体" w:eastAsia="宋体" w:cs="Times New Roman"/>
          <w:b/>
          <w:bCs/>
          <w:sz w:val="21"/>
          <w:szCs w:val="21"/>
        </w:rPr>
        <w:t>申请列表</w:t>
      </w:r>
    </w:p>
    <w:p w14:paraId="0D874319">
      <w:pPr>
        <w:pStyle w:val="8"/>
        <w:widowControl w:val="0"/>
        <w:numPr>
          <w:ilvl w:val="0"/>
          <w:numId w:val="1"/>
        </w:numPr>
        <w:autoSpaceDE w:val="0"/>
        <w:autoSpaceDN w:val="0"/>
        <w:snapToGrid/>
        <w:spacing w:after="0" w:line="360" w:lineRule="auto"/>
        <w:ind w:firstLineChars="0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食品和着色剂：历年的最终规定</w:t>
      </w:r>
    </w:p>
    <w:p w14:paraId="4A68D209">
      <w:pPr>
        <w:pStyle w:val="8"/>
        <w:widowControl w:val="0"/>
        <w:autoSpaceDE w:val="0"/>
        <w:autoSpaceDN w:val="0"/>
        <w:snapToGrid/>
        <w:spacing w:after="120" w:afterLines="50" w:line="360" w:lineRule="auto"/>
        <w:ind w:left="420" w:firstLine="0" w:firstLineChars="0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（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>/Food/GuidanceRegulation/GuidanceDocumentsRegulatoryInformation/IngredientsAdditivesGRASPackaging/ucm047880.htm</w:t>
      </w: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）</w:t>
      </w:r>
    </w:p>
    <w:p w14:paraId="5B60E723">
      <w:pPr>
        <w:pStyle w:val="8"/>
        <w:widowControl w:val="0"/>
        <w:numPr>
          <w:ilvl w:val="0"/>
          <w:numId w:val="2"/>
        </w:numPr>
        <w:autoSpaceDE w:val="0"/>
        <w:autoSpaceDN w:val="0"/>
        <w:snapToGrid/>
        <w:spacing w:after="120" w:afterLines="50" w:line="360" w:lineRule="auto"/>
        <w:ind w:firstLineChars="0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着色剂列表（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>/Food/IngredientsPackagingLabeling/ucm2008017.htm</w:t>
      </w: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）</w:t>
      </w:r>
    </w:p>
    <w:p w14:paraId="46C54023">
      <w:pPr>
        <w:widowControl w:val="0"/>
        <w:autoSpaceDE w:val="0"/>
        <w:autoSpaceDN w:val="0"/>
        <w:snapToGrid/>
        <w:spacing w:after="120" w:afterLines="50" w:line="360" w:lineRule="auto"/>
        <w:jc w:val="both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宋体" w:eastAsia="宋体" w:cs="Times New Roman"/>
          <w:b/>
          <w:bCs/>
          <w:sz w:val="21"/>
          <w:szCs w:val="21"/>
        </w:rPr>
        <w:t>申请指南</w:t>
      </w:r>
    </w:p>
    <w:p w14:paraId="5D082E4D">
      <w:pPr>
        <w:pStyle w:val="8"/>
        <w:widowControl w:val="0"/>
        <w:numPr>
          <w:ilvl w:val="0"/>
          <w:numId w:val="2"/>
        </w:numPr>
        <w:autoSpaceDE w:val="0"/>
        <w:autoSpaceDN w:val="0"/>
        <w:snapToGrid/>
        <w:spacing w:after="0" w:line="360" w:lineRule="auto"/>
        <w:ind w:firstLineChars="0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成分、添加剂、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 xml:space="preserve">GRAS &amp; </w:t>
      </w:r>
      <w:r>
        <w:rPr>
          <w:rFonts w:hint="eastAsia" w:ascii="Times New Roman" w:hAnsi="宋体" w:eastAsia="宋体" w:cs="Times New Roman"/>
          <w:sz w:val="21"/>
          <w:szCs w:val="21"/>
          <w:u w:val="single"/>
        </w:rPr>
        <w:t>包装指南文件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 xml:space="preserve"> &amp; </w:t>
      </w:r>
      <w:r>
        <w:rPr>
          <w:rFonts w:hint="eastAsia" w:ascii="Times New Roman" w:hAnsi="宋体" w:eastAsia="宋体" w:cs="Times New Roman"/>
          <w:sz w:val="21"/>
          <w:szCs w:val="21"/>
          <w:u w:val="single"/>
        </w:rPr>
        <w:t>监管信息</w:t>
      </w:r>
    </w:p>
    <w:p w14:paraId="01C103FF">
      <w:pPr>
        <w:pStyle w:val="8"/>
        <w:widowControl w:val="0"/>
        <w:autoSpaceDE w:val="0"/>
        <w:autoSpaceDN w:val="0"/>
        <w:snapToGrid/>
        <w:spacing w:after="120" w:afterLines="50" w:line="360" w:lineRule="auto"/>
        <w:ind w:left="420" w:firstLine="0" w:firstLineChars="0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（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>/Food/GuidanceRegulation/GuidanceDocumentsRegulatoryInformation/IngredientsAdditivesGRASPackaging/default.htm</w:t>
      </w: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）</w:t>
      </w:r>
    </w:p>
    <w:p w14:paraId="4AD2A9F3">
      <w:pPr>
        <w:pStyle w:val="8"/>
        <w:widowControl w:val="0"/>
        <w:numPr>
          <w:ilvl w:val="0"/>
          <w:numId w:val="2"/>
        </w:numPr>
        <w:autoSpaceDE w:val="0"/>
        <w:autoSpaceDN w:val="0"/>
        <w:snapToGrid/>
        <w:spacing w:after="0" w:line="360" w:lineRule="auto"/>
        <w:ind w:firstLineChars="0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行业指南：如何撰写着色剂申请递交给食品安全和应用营养学中心：隐形眼镜中使用的着色剂</w:t>
      </w:r>
    </w:p>
    <w:p w14:paraId="0CD32710">
      <w:pPr>
        <w:pStyle w:val="8"/>
        <w:widowControl w:val="0"/>
        <w:autoSpaceDE w:val="0"/>
        <w:autoSpaceDN w:val="0"/>
        <w:snapToGrid/>
        <w:spacing w:after="120" w:afterLines="50" w:line="360" w:lineRule="auto"/>
        <w:ind w:left="420" w:firstLine="0" w:firstLineChars="0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（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>/ForIndustry/ColorAdditives/GuidanceComplianceRegulatoryInformation/ucm054076.htm</w:t>
      </w: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）</w:t>
      </w:r>
    </w:p>
    <w:p w14:paraId="47FC6A6B">
      <w:pPr>
        <w:pStyle w:val="8"/>
        <w:widowControl w:val="0"/>
        <w:numPr>
          <w:ilvl w:val="0"/>
          <w:numId w:val="2"/>
        </w:numPr>
        <w:autoSpaceDE w:val="0"/>
        <w:autoSpaceDN w:val="0"/>
        <w:snapToGrid/>
        <w:spacing w:after="0" w:line="360" w:lineRule="auto"/>
        <w:ind w:firstLineChars="0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行业指南：着色剂申请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 xml:space="preserve"> – FDA</w:t>
      </w:r>
      <w:r>
        <w:rPr>
          <w:rFonts w:hint="eastAsia" w:ascii="Times New Roman" w:hAnsi="宋体" w:eastAsia="宋体" w:cs="Times New Roman"/>
          <w:sz w:val="21"/>
          <w:szCs w:val="21"/>
          <w:u w:val="single"/>
        </w:rPr>
        <w:t>关于如何递交食品、药品、化妆品或医疗器械中所用着色剂的化学和技术数据的推荐意见</w:t>
      </w:r>
    </w:p>
    <w:p w14:paraId="426E0105">
      <w:pPr>
        <w:pStyle w:val="8"/>
        <w:widowControl w:val="0"/>
        <w:autoSpaceDE w:val="0"/>
        <w:autoSpaceDN w:val="0"/>
        <w:snapToGrid/>
        <w:spacing w:after="120" w:afterLines="50" w:line="360" w:lineRule="auto"/>
        <w:ind w:left="420" w:firstLine="0" w:firstLineChars="0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（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>/ForIndustry/ColorAdditives/GuidanceComplianceRegulatoryInformation/ucm171631.htm</w:t>
      </w: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）</w:t>
      </w:r>
    </w:p>
    <w:p w14:paraId="7178E746">
      <w:pPr>
        <w:widowControl w:val="0"/>
        <w:pBdr>
          <w:top w:val="single" w:color="000080" w:sz="4" w:space="1"/>
          <w:left w:val="single" w:color="000080" w:sz="4" w:space="4"/>
          <w:bottom w:val="single" w:color="000080" w:sz="4" w:space="1"/>
          <w:right w:val="single" w:color="000080" w:sz="4" w:space="4"/>
        </w:pBdr>
        <w:autoSpaceDE w:val="0"/>
        <w:autoSpaceDN w:val="0"/>
        <w:snapToGrid/>
        <w:spacing w:after="0" w:line="360" w:lineRule="auto"/>
        <w:jc w:val="both"/>
        <w:rPr>
          <w:rFonts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宋体" w:eastAsia="宋体" w:cs="Times New Roman"/>
          <w:b/>
          <w:bCs/>
          <w:sz w:val="21"/>
          <w:szCs w:val="21"/>
        </w:rPr>
        <w:t>更多关于着色剂申请的信息</w:t>
      </w:r>
    </w:p>
    <w:p w14:paraId="0F680A83">
      <w:pPr>
        <w:widowControl w:val="0"/>
        <w:pBdr>
          <w:top w:val="single" w:color="000080" w:sz="4" w:space="1"/>
          <w:left w:val="single" w:color="000080" w:sz="4" w:space="4"/>
          <w:bottom w:val="single" w:color="000080" w:sz="4" w:space="1"/>
          <w:right w:val="single" w:color="000080" w:sz="4" w:space="4"/>
        </w:pBdr>
        <w:autoSpaceDE w:val="0"/>
        <w:autoSpaceDN w:val="0"/>
        <w:snapToGrid/>
        <w:spacing w:after="120" w:afterLines="50" w:line="360" w:lineRule="auto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（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>/ForIndustry/ColorAdditives/ColorAdditivePetitions/default.htm</w:t>
      </w: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）</w:t>
      </w:r>
    </w:p>
    <w:p w14:paraId="36537C95">
      <w:pPr>
        <w:widowControl w:val="0"/>
        <w:autoSpaceDE w:val="0"/>
        <w:autoSpaceDN w:val="0"/>
        <w:snapToGrid/>
        <w:spacing w:after="120" w:afterLines="50" w:line="360" w:lineRule="auto"/>
        <w:jc w:val="both"/>
        <w:rPr>
          <w:rFonts w:ascii="Times New Roman" w:hAnsi="Times New Roman" w:eastAsia="宋体" w:cs="Times New Roman"/>
          <w:sz w:val="21"/>
          <w:szCs w:val="21"/>
          <w:u w:val="single"/>
        </w:rPr>
      </w:pPr>
      <w:r>
        <w:rPr>
          <w:rFonts w:hint="eastAsia" w:ascii="Times New Roman" w:hAnsi="宋体" w:eastAsia="宋体" w:cs="Times New Roman"/>
          <w:sz w:val="21"/>
          <w:szCs w:val="21"/>
          <w:u w:val="single"/>
        </w:rPr>
        <w:t>指南（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>/ForIndustry/ColorAdditives/ColorAdditivePetitions/ucm107295.htm</w:t>
      </w:r>
      <w:r>
        <w:rPr>
          <w:rFonts w:hint="eastAsia" w:ascii="Times New Roman" w:hAnsi="宋体" w:eastAsia="宋体" w:cs="Times New Roman"/>
          <w:sz w:val="21"/>
          <w:szCs w:val="21"/>
          <w:u w:val="single"/>
        </w:rPr>
        <w:t>）</w:t>
      </w:r>
    </w:p>
    <w:p w14:paraId="4A0EA3E8">
      <w:pPr>
        <w:widowControl w:val="0"/>
        <w:autoSpaceDE w:val="0"/>
        <w:autoSpaceDN w:val="0"/>
        <w:snapToGrid/>
        <w:spacing w:after="120" w:afterLines="50" w:line="360" w:lineRule="auto"/>
        <w:jc w:val="both"/>
        <w:rPr>
          <w:rFonts w:hint="eastAsia" w:eastAsia="微软雅黑"/>
          <w:lang w:eastAsia="zh-CN"/>
        </w:rPr>
      </w:pPr>
    </w:p>
    <w:p w14:paraId="673745C9">
      <w:pPr>
        <w:widowControl w:val="0"/>
        <w:autoSpaceDE w:val="0"/>
        <w:autoSpaceDN w:val="0"/>
        <w:snapToGrid/>
        <w:spacing w:after="120" w:afterLines="50" w:line="360" w:lineRule="auto"/>
        <w:jc w:val="center"/>
        <w:rPr>
          <w:rFonts w:hint="eastAsia" w:eastAsia="微软雅黑"/>
          <w:lang w:eastAsia="zh-CN"/>
        </w:rPr>
      </w:pPr>
    </w:p>
    <w:p w14:paraId="0B950E6B">
      <w:pPr>
        <w:widowControl w:val="0"/>
        <w:autoSpaceDE w:val="0"/>
        <w:autoSpaceDN w:val="0"/>
        <w:snapToGrid/>
        <w:spacing w:after="120" w:afterLines="50" w:line="360" w:lineRule="auto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pict>
          <v:shape id="_x0000_i1025" o:spt="75" alt="2" type="#_x0000_t75" style="height:578.25pt;width:410.25pt;" filled="f" o:preferrelative="t" stroked="f" coordsize="21600,21600">
            <v:path/>
            <v:fill on="f" focussize="0,0"/>
            <v:stroke on="f"/>
            <v:imagedata r:id="rId7" o:title="2"/>
            <o:lock v:ext="edit" aspectratio="t"/>
            <w10:wrap type="none"/>
            <w10:anchorlock/>
          </v:shape>
        </w:pict>
      </w:r>
    </w:p>
    <w:sectPr>
      <w:headerReference r:id="rId4" w:type="default"/>
      <w:footerReference r:id="rId5" w:type="default"/>
      <w:pgSz w:w="11907" w:h="16840"/>
      <w:pgMar w:top="1440" w:right="1797" w:bottom="1440" w:left="1797" w:header="720" w:footer="720" w:gutter="0"/>
      <w:cols w:space="72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C2FF9">
    <w:pPr>
      <w:widowControl w:val="0"/>
      <w:tabs>
        <w:tab w:val="left" w:pos="7920"/>
      </w:tabs>
      <w:autoSpaceDE w:val="0"/>
      <w:autoSpaceDN w:val="0"/>
      <w:snapToGrid/>
      <w:spacing w:after="120" w:afterLines="50"/>
      <w:jc w:val="both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HYPERLINK "http://www.fda.gov/forindustry/coloradditives/coloradditivepetitions/default.htm" </w:instrText>
    </w:r>
    <w:r>
      <w:fldChar w:fldCharType="separate"/>
    </w:r>
    <w:r>
      <w:rPr>
        <w:rStyle w:val="7"/>
        <w:rFonts w:ascii="Times New Roman" w:hAnsi="Times New Roman" w:cs="Tahoma"/>
        <w:color w:val="auto"/>
        <w:sz w:val="18"/>
        <w:szCs w:val="18"/>
      </w:rPr>
      <w:t>http://www.fda.gov/forindustry/coloradditives/coloradditivepetitions/default.htm</w:t>
    </w:r>
    <w:r>
      <w:rPr>
        <w:rStyle w:val="7"/>
        <w:rFonts w:ascii="Times New Roman" w:hAnsi="Times New Roman" w:cs="Tahoma"/>
        <w:color w:val="auto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EBAAD">
    <w:pPr>
      <w:widowControl w:val="0"/>
      <w:tabs>
        <w:tab w:val="center" w:pos="4156"/>
      </w:tabs>
      <w:autoSpaceDE w:val="0"/>
      <w:autoSpaceDN w:val="0"/>
      <w:snapToGrid/>
      <w:spacing w:after="120" w:afterLines="50"/>
      <w:jc w:val="both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w:t>2017/1/24</w:t>
    </w:r>
    <w:r>
      <w:rPr>
        <w:rFonts w:ascii="Times New Roman" w:hAnsi="Times New Roman" w:eastAsia="宋体" w:cs="Times New Roman"/>
        <w:sz w:val="18"/>
        <w:szCs w:val="18"/>
      </w:rPr>
      <w:tab/>
    </w:r>
    <w:r>
      <w:rPr>
        <w:rFonts w:hint="eastAsia" w:ascii="Times New Roman" w:hAnsi="宋体" w:eastAsia="宋体" w:cs="Times New Roman"/>
        <w:bCs/>
        <w:sz w:val="18"/>
        <w:szCs w:val="18"/>
      </w:rPr>
      <w:t>着色剂申请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540C0"/>
    <w:multiLevelType w:val="multilevel"/>
    <w:tmpl w:val="2B9540C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9B85A12"/>
    <w:multiLevelType w:val="multilevel"/>
    <w:tmpl w:val="49B85A1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D2F"/>
    <w:rsid w:val="00034FCB"/>
    <w:rsid w:val="000920E9"/>
    <w:rsid w:val="000E2E32"/>
    <w:rsid w:val="000E759B"/>
    <w:rsid w:val="000F7536"/>
    <w:rsid w:val="001A4A93"/>
    <w:rsid w:val="001B17F4"/>
    <w:rsid w:val="002E7D33"/>
    <w:rsid w:val="00306864"/>
    <w:rsid w:val="00323B43"/>
    <w:rsid w:val="00393D2F"/>
    <w:rsid w:val="003D37D8"/>
    <w:rsid w:val="0040533B"/>
    <w:rsid w:val="004342DC"/>
    <w:rsid w:val="004358AB"/>
    <w:rsid w:val="00462DE9"/>
    <w:rsid w:val="004C6A1C"/>
    <w:rsid w:val="00513753"/>
    <w:rsid w:val="005146BF"/>
    <w:rsid w:val="006F7D31"/>
    <w:rsid w:val="00706AE4"/>
    <w:rsid w:val="00720577"/>
    <w:rsid w:val="008919B8"/>
    <w:rsid w:val="008B7726"/>
    <w:rsid w:val="008D0A9E"/>
    <w:rsid w:val="009D4444"/>
    <w:rsid w:val="009E55D8"/>
    <w:rsid w:val="00B33327"/>
    <w:rsid w:val="00B84871"/>
    <w:rsid w:val="00BE7066"/>
    <w:rsid w:val="00C4252A"/>
    <w:rsid w:val="00C67C2B"/>
    <w:rsid w:val="00D641F9"/>
    <w:rsid w:val="00D64E9E"/>
    <w:rsid w:val="00ED18EA"/>
    <w:rsid w:val="00EF035A"/>
    <w:rsid w:val="00F64742"/>
    <w:rsid w:val="00F70D89"/>
    <w:rsid w:val="00FC0396"/>
    <w:rsid w:val="00FC37A1"/>
    <w:rsid w:val="72F6372C"/>
    <w:rsid w:val="750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uiPriority w:val="99"/>
    <w:rPr>
      <w:rFonts w:cs="Times New Roman"/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页眉 Char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页脚 Char"/>
    <w:link w:val="3"/>
    <w:semiHidden/>
    <w:locked/>
    <w:uiPriority w:val="99"/>
    <w:rPr>
      <w:rFonts w:ascii="Tahoma" w:hAnsi="Tahoma" w:cs="Tahoma"/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xlmedtrans</Company>
  <Pages>1</Pages>
  <Words>457</Words>
  <Characters>1045</Characters>
  <Lines>7</Lines>
  <Paragraphs>2</Paragraphs>
  <TotalTime>0</TotalTime>
  <ScaleCrop>false</ScaleCrop>
  <LinksUpToDate>false</LinksUpToDate>
  <CharactersWithSpaces>1059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2017-01-26T02:53:00Z</dcterms:created>
  <dc:creator>xlmedtrans</dc:creator>
  <cp:lastModifiedBy>太极箫客</cp:lastModifiedBy>
  <dcterms:modified xsi:type="dcterms:W3CDTF">2025-08-14T07:10:45Z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4D9B5DE605BA4D91A1B4F6CD76E6C29C_12</vt:lpwstr>
  </property>
</Properties>
</file>