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55CFB">
      <w:pPr>
        <w:pBdr>
          <w:bottom w:val="single" w:color="auto" w:sz="4" w:space="1"/>
        </w:pBdr>
        <w:adjustRightInd w:val="0"/>
        <w:snapToGrid w:val="0"/>
        <w:spacing w:before="120" w:beforeLines="50" w:line="300" w:lineRule="auto"/>
        <w:jc w:val="center"/>
        <w:rPr>
          <w:rFonts w:ascii="Times New Roman" w:hAnsi="Times New Roman" w:eastAsia="宋体" w:cs="Times New Roman"/>
          <w:snapToGrid w:val="0"/>
          <w:sz w:val="44"/>
          <w:szCs w:val="44"/>
          <w:lang w:eastAsia="zh-CN"/>
        </w:rPr>
      </w:pPr>
      <w:bookmarkStart w:id="57" w:name="_GoBack"/>
      <w:bookmarkEnd w:id="57"/>
      <w:r>
        <w:rPr>
          <w:rFonts w:ascii="Times New Roman" w:hAnsi="Times New Roman" w:eastAsia="宋体" w:cs="宋体"/>
          <w:b/>
          <w:sz w:val="44"/>
          <w:szCs w:val="44"/>
          <w:lang w:eastAsia="zh-CN"/>
        </w:rPr>
        <w:t>盐水、硅凝胶及其他乳房植入体</w:t>
      </w:r>
    </w:p>
    <w:p w14:paraId="463CBE4F">
      <w:pPr>
        <w:adjustRightInd w:val="0"/>
        <w:snapToGrid w:val="0"/>
        <w:spacing w:before="120" w:beforeLines="50" w:line="300" w:lineRule="auto"/>
        <w:jc w:val="center"/>
        <w:rPr>
          <w:rFonts w:ascii="Times New Roman" w:hAnsi="Times New Roman" w:eastAsia="宋体" w:cs="Times New Roman"/>
          <w:snapToGrid w:val="0"/>
          <w:sz w:val="44"/>
          <w:szCs w:val="44"/>
          <w:lang w:eastAsia="zh-CN"/>
        </w:rPr>
      </w:pPr>
      <w:r>
        <w:rPr>
          <w:rFonts w:ascii="Times New Roman" w:hAnsi="Times New Roman" w:eastAsia="宋体" w:cs="宋体"/>
          <w:b/>
          <w:sz w:val="44"/>
          <w:szCs w:val="44"/>
          <w:lang w:eastAsia="zh-CN"/>
        </w:rPr>
        <w:t>行业和美国食品药品监督管理局工作人员指南</w:t>
      </w:r>
    </w:p>
    <w:p w14:paraId="235DAE39">
      <w:pPr>
        <w:adjustRightInd w:val="0"/>
        <w:snapToGrid w:val="0"/>
        <w:spacing w:before="120" w:beforeLines="50" w:line="300" w:lineRule="auto"/>
        <w:jc w:val="center"/>
        <w:rPr>
          <w:rFonts w:ascii="Times New Roman" w:hAnsi="Times New Roman" w:eastAsia="宋体" w:cs="Times New Roman"/>
          <w:b/>
          <w:bCs/>
          <w:snapToGrid w:val="0"/>
          <w:sz w:val="24"/>
          <w:szCs w:val="24"/>
          <w:lang w:eastAsia="zh-CN"/>
        </w:rPr>
      </w:pPr>
      <w:r>
        <w:rPr>
          <w:rFonts w:ascii="Times New Roman" w:hAnsi="Times New Roman" w:eastAsia="宋体" w:cs="宋体"/>
          <w:b/>
          <w:sz w:val="24"/>
          <w:lang w:eastAsia="zh-CN"/>
        </w:rPr>
        <w:t>文件发布日期：2020年9月29日</w:t>
      </w:r>
    </w:p>
    <w:p w14:paraId="5BF18C29">
      <w:pPr>
        <w:adjustRightInd w:val="0"/>
        <w:snapToGrid w:val="0"/>
        <w:spacing w:before="120" w:beforeLines="50" w:line="300" w:lineRule="auto"/>
        <w:jc w:val="center"/>
        <w:rPr>
          <w:rFonts w:ascii="Times New Roman" w:hAnsi="Times New Roman" w:eastAsia="宋体" w:cs="Times New Roman"/>
          <w:snapToGrid w:val="0"/>
          <w:sz w:val="24"/>
          <w:szCs w:val="24"/>
          <w:lang w:eastAsia="zh-CN"/>
        </w:rPr>
      </w:pPr>
      <w:r>
        <w:rPr>
          <w:rFonts w:ascii="Times New Roman" w:hAnsi="Times New Roman" w:eastAsia="宋体" w:cs="宋体"/>
          <w:b/>
          <w:sz w:val="24"/>
          <w:lang w:eastAsia="zh-CN"/>
        </w:rPr>
        <w:t>文件初始发布日期：2006年11月17日</w:t>
      </w:r>
    </w:p>
    <w:p w14:paraId="5C9AD75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3B44D5C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ACA796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24A0482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33FCAA9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7F28C24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9B15DA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如对本文件有任何疑问，请联系OHT4：外科和感染控制器械办公室/DHT4B：感染控制和整形外科器械部，电话：301-796-6970。</w:t>
      </w:r>
    </w:p>
    <w:p w14:paraId="0462BD4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B048FC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90BD11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3560D0A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E32193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42FF59A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5025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591F5EB7">
            <w:pPr>
              <w:pStyle w:val="4"/>
              <w:adjustRightInd w:val="0"/>
              <w:snapToGrid w:val="0"/>
              <w:spacing w:before="120" w:beforeLines="50" w:line="276" w:lineRule="auto"/>
              <w:ind w:left="0"/>
              <w:jc w:val="both"/>
              <w:rPr>
                <w:rFonts w:cs="Times New Roman" w:eastAsiaTheme="minorEastAsia"/>
                <w:snapToGrid w:val="0"/>
                <w:sz w:val="21"/>
                <w:szCs w:val="21"/>
                <w:lang w:eastAsia="zh-CN"/>
              </w:rPr>
            </w:pPr>
            <w:r>
              <w:rPr>
                <w:rFonts w:ascii="宋体" w:hAnsi="宋体" w:eastAsia="宋体" w:cs="宋体"/>
                <w:sz w:val="21"/>
                <w:szCs w:val="21"/>
                <w:lang w:eastAsia="zh-CN"/>
              </w:rPr>
              <w:drawing>
                <wp:inline distT="0" distB="0" distL="0" distR="0">
                  <wp:extent cx="2124075" cy="6000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123811" cy="600035"/>
                          </a:xfrm>
                          <a:prstGeom prst="rect">
                            <a:avLst/>
                          </a:prstGeom>
                        </pic:spPr>
                      </pic:pic>
                    </a:graphicData>
                  </a:graphic>
                </wp:inline>
              </w:drawing>
            </w:r>
          </w:p>
        </w:tc>
        <w:tc>
          <w:tcPr>
            <w:tcW w:w="4644" w:type="dxa"/>
          </w:tcPr>
          <w:p w14:paraId="238186C5">
            <w:pPr>
              <w:pStyle w:val="4"/>
              <w:adjustRightInd w:val="0"/>
              <w:snapToGrid w:val="0"/>
              <w:spacing w:before="15" w:line="276" w:lineRule="auto"/>
              <w:ind w:left="0"/>
              <w:jc w:val="right"/>
              <w:rPr>
                <w:rFonts w:eastAsia="宋体" w:cs="Times New Roman"/>
                <w:b w:val="0"/>
                <w:bCs w:val="0"/>
                <w:snapToGrid w:val="0"/>
                <w:sz w:val="21"/>
                <w:szCs w:val="21"/>
                <w:lang w:eastAsia="zh-CN"/>
              </w:rPr>
            </w:pPr>
            <w:r>
              <w:rPr>
                <w:rFonts w:eastAsia="宋体" w:cs="宋体"/>
                <w:sz w:val="21"/>
                <w:szCs w:val="21"/>
                <w:lang w:eastAsia="zh-CN"/>
              </w:rPr>
              <w:t>美国卫生与公共服务部</w:t>
            </w:r>
          </w:p>
          <w:p w14:paraId="3B1C09CF">
            <w:pPr>
              <w:pStyle w:val="4"/>
              <w:adjustRightInd w:val="0"/>
              <w:snapToGrid w:val="0"/>
              <w:spacing w:before="15" w:line="276" w:lineRule="auto"/>
              <w:ind w:left="0"/>
              <w:jc w:val="right"/>
              <w:rPr>
                <w:rFonts w:eastAsia="宋体" w:cs="Times New Roman"/>
                <w:snapToGrid w:val="0"/>
                <w:sz w:val="21"/>
                <w:szCs w:val="21"/>
                <w:lang w:eastAsia="zh-CN"/>
              </w:rPr>
            </w:pPr>
            <w:r>
              <w:rPr>
                <w:rFonts w:eastAsia="宋体" w:cs="宋体"/>
                <w:sz w:val="21"/>
                <w:szCs w:val="21"/>
                <w:lang w:eastAsia="zh-CN"/>
              </w:rPr>
              <w:t>美国食品药品监督管理局</w:t>
            </w:r>
          </w:p>
          <w:p w14:paraId="3DB126A9">
            <w:pPr>
              <w:pStyle w:val="4"/>
              <w:adjustRightInd w:val="0"/>
              <w:snapToGrid w:val="0"/>
              <w:spacing w:before="15" w:line="276" w:lineRule="auto"/>
              <w:ind w:left="0"/>
              <w:jc w:val="right"/>
              <w:rPr>
                <w:rFonts w:cs="Times New Roman" w:eastAsiaTheme="minorEastAsia"/>
                <w:snapToGrid w:val="0"/>
                <w:sz w:val="21"/>
                <w:szCs w:val="21"/>
                <w:lang w:eastAsia="zh-CN"/>
              </w:rPr>
            </w:pPr>
            <w:r>
              <w:rPr>
                <w:rFonts w:eastAsia="宋体" w:cs="宋体"/>
                <w:sz w:val="21"/>
                <w:szCs w:val="21"/>
                <w:lang w:eastAsia="zh-CN"/>
              </w:rPr>
              <w:t>医疗器械和辐射健康中心</w:t>
            </w:r>
          </w:p>
        </w:tc>
      </w:tr>
    </w:tbl>
    <w:p w14:paraId="369BB4E6">
      <w:pPr>
        <w:pStyle w:val="4"/>
        <w:adjustRightInd w:val="0"/>
        <w:snapToGrid w:val="0"/>
        <w:spacing w:before="120" w:beforeLines="50" w:line="300" w:lineRule="auto"/>
        <w:ind w:left="0"/>
        <w:jc w:val="both"/>
        <w:rPr>
          <w:rFonts w:eastAsia="宋体" w:cs="Times New Roman"/>
          <w:snapToGrid w:val="0"/>
          <w:lang w:eastAsia="zh-CN"/>
        </w:rPr>
      </w:pPr>
    </w:p>
    <w:p w14:paraId="0E77B6E5">
      <w:pPr>
        <w:rPr>
          <w:rFonts w:ascii="Times New Roman" w:hAnsi="Times New Roman" w:eastAsia="宋体" w:cs="Times New Roman"/>
          <w:b/>
          <w:bCs/>
          <w:snapToGrid w:val="0"/>
          <w:sz w:val="24"/>
          <w:szCs w:val="24"/>
          <w:lang w:eastAsia="zh-CN"/>
        </w:rPr>
      </w:pPr>
      <w:r>
        <w:rPr>
          <w:rFonts w:ascii="Times New Roman" w:hAnsi="Times New Roman" w:eastAsia="宋体" w:cs="宋体"/>
          <w:sz w:val="24"/>
          <w:lang w:eastAsia="zh-CN"/>
        </w:rPr>
        <w:br w:type="page"/>
      </w:r>
    </w:p>
    <w:p w14:paraId="21B032C7">
      <w:pPr>
        <w:adjustRightInd w:val="0"/>
        <w:snapToGrid w:val="0"/>
        <w:spacing w:before="120" w:beforeLines="50" w:line="300" w:lineRule="auto"/>
        <w:jc w:val="center"/>
        <w:rPr>
          <w:rFonts w:ascii="Times New Roman" w:hAnsi="Times New Roman" w:eastAsia="宋体" w:cs="Times New Roman"/>
          <w:snapToGrid w:val="0"/>
          <w:sz w:val="32"/>
          <w:szCs w:val="32"/>
        </w:rPr>
      </w:pPr>
      <w:r>
        <w:rPr>
          <w:rFonts w:ascii="Times New Roman" w:hAnsi="Times New Roman" w:eastAsia="宋体" w:cs="宋体"/>
          <w:b/>
          <w:sz w:val="32"/>
          <w:szCs w:val="32"/>
        </w:rPr>
        <w:t>前言</w:t>
      </w:r>
    </w:p>
    <w:p w14:paraId="7F98CFFC">
      <w:pPr>
        <w:adjustRightInd w:val="0"/>
        <w:snapToGrid w:val="0"/>
        <w:spacing w:before="120" w:beforeLines="50" w:line="300" w:lineRule="auto"/>
        <w:jc w:val="both"/>
        <w:rPr>
          <w:rFonts w:ascii="Times New Roman" w:hAnsi="Times New Roman" w:eastAsia="宋体" w:cs="Times New Roman"/>
          <w:snapToGrid w:val="0"/>
          <w:sz w:val="32"/>
          <w:szCs w:val="32"/>
        </w:rPr>
      </w:pPr>
      <w:r>
        <w:rPr>
          <w:rFonts w:ascii="Times New Roman" w:hAnsi="Times New Roman" w:eastAsia="宋体" w:cs="宋体"/>
          <w:b/>
          <w:sz w:val="32"/>
          <w:szCs w:val="32"/>
        </w:rPr>
        <w:t>公众意见</w:t>
      </w:r>
    </w:p>
    <w:p w14:paraId="246FF2A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rPr>
        <w:t>电子版意见和建议可随时提交至</w:t>
      </w:r>
      <w:r>
        <w:rPr>
          <w:rFonts w:hint="eastAsia" w:ascii="Times New Roman" w:hAnsi="Times New Roman" w:eastAsia="宋体" w:cs="宋体"/>
          <w:snapToGrid w:val="0"/>
          <w:color w:val="0000FF"/>
          <w:sz w:val="24"/>
          <w:szCs w:val="24"/>
          <w:u w:val="single" w:color="0000FF"/>
          <w:lang w:eastAsia="zh-CN"/>
        </w:rPr>
        <w:t>http://www.regulations.gov</w:t>
      </w:r>
      <w:r>
        <w:rPr>
          <w:rFonts w:hint="eastAsia" w:ascii="Times New Roman" w:hAnsi="Times New Roman" w:eastAsia="宋体" w:cs="宋体"/>
          <w:sz w:val="24"/>
        </w:rPr>
        <w:t>，供FDA审议。可将书面意见提交至：美国食品药品监督管理局备案文件管理部，地址为5630 Fishers Lane, Room 1061, (HFA-305), Rockville, MD 20852。所有意见或建议均应注明备案文件编号FDA-</w:t>
      </w:r>
      <w:r>
        <w:rPr>
          <w:rFonts w:hint="eastAsia" w:ascii="Times New Roman" w:hAnsi="Times New Roman" w:eastAsia="宋体" w:cs="宋体"/>
          <w:sz w:val="24"/>
          <w:lang w:eastAsia="zh-CN"/>
        </w:rPr>
        <w:t>2004</w:t>
      </w:r>
      <w:r>
        <w:rPr>
          <w:rFonts w:hint="eastAsia" w:ascii="Times New Roman" w:hAnsi="Times New Roman" w:eastAsia="宋体" w:cs="宋体"/>
          <w:sz w:val="24"/>
        </w:rPr>
        <w:t>-D-</w:t>
      </w:r>
      <w:r>
        <w:rPr>
          <w:rFonts w:hint="eastAsia" w:ascii="Times New Roman" w:hAnsi="Times New Roman" w:eastAsia="宋体" w:cs="宋体"/>
          <w:sz w:val="24"/>
          <w:lang w:eastAsia="zh-CN"/>
        </w:rPr>
        <w:t>0124</w:t>
      </w:r>
      <w:r>
        <w:rPr>
          <w:rFonts w:hint="eastAsia" w:ascii="Times New Roman" w:hAnsi="Times New Roman" w:eastAsia="宋体" w:cs="宋体"/>
          <w:sz w:val="24"/>
        </w:rPr>
        <w:t>。</w:t>
      </w:r>
      <w:r>
        <w:rPr>
          <w:rFonts w:hint="eastAsia" w:ascii="Times New Roman" w:hAnsi="Times New Roman" w:eastAsia="宋体" w:cs="宋体"/>
          <w:sz w:val="24"/>
          <w:lang w:eastAsia="zh-CN"/>
        </w:rPr>
        <w:t>下次修订或更新本文件时，FDA将考虑实施该意见</w:t>
      </w:r>
      <w:r>
        <w:rPr>
          <w:rFonts w:ascii="Times New Roman" w:hAnsi="Times New Roman" w:eastAsia="宋体" w:cs="宋体"/>
          <w:color w:val="000000"/>
          <w:sz w:val="24"/>
          <w:lang w:eastAsia="zh-CN"/>
        </w:rPr>
        <w:t>。</w:t>
      </w:r>
    </w:p>
    <w:p w14:paraId="75BBDC88">
      <w:pPr>
        <w:adjustRightInd w:val="0"/>
        <w:snapToGrid w:val="0"/>
        <w:spacing w:before="120" w:beforeLines="50" w:line="300" w:lineRule="auto"/>
        <w:jc w:val="both"/>
        <w:rPr>
          <w:rFonts w:ascii="Times New Roman" w:hAnsi="Times New Roman" w:eastAsia="宋体" w:cs="Times New Roman"/>
          <w:snapToGrid w:val="0"/>
          <w:sz w:val="32"/>
          <w:szCs w:val="32"/>
          <w:lang w:eastAsia="zh-CN"/>
        </w:rPr>
      </w:pPr>
      <w:r>
        <w:rPr>
          <w:rFonts w:ascii="Times New Roman" w:hAnsi="Times New Roman" w:eastAsia="宋体" w:cs="宋体"/>
          <w:b/>
          <w:sz w:val="32"/>
          <w:szCs w:val="32"/>
          <w:lang w:eastAsia="zh-CN"/>
        </w:rPr>
        <w:t>更多副本</w:t>
      </w:r>
    </w:p>
    <w:p w14:paraId="430849A3">
      <w:pPr>
        <w:adjustRightInd w:val="0"/>
        <w:snapToGrid w:val="0"/>
        <w:spacing w:before="120" w:beforeLines="50" w:line="300" w:lineRule="auto"/>
        <w:jc w:val="both"/>
        <w:rPr>
          <w:rFonts w:ascii="Times New Roman" w:hAnsi="Times New Roman" w:eastAsia="宋体" w:cs="Times New Roman"/>
          <w:snapToGrid w:val="0"/>
          <w:color w:val="000000"/>
          <w:sz w:val="24"/>
          <w:szCs w:val="24"/>
          <w:lang w:eastAsia="zh-CN"/>
        </w:rPr>
      </w:pPr>
      <w:r>
        <w:rPr>
          <w:rFonts w:ascii="Times New Roman" w:hAnsi="Times New Roman" w:eastAsia="宋体" w:cs="宋体"/>
          <w:sz w:val="24"/>
          <w:lang w:eastAsia="zh-CN"/>
        </w:rPr>
        <w:t>更多副本可通过互联网</w:t>
      </w:r>
      <w:r>
        <w:rPr>
          <w:rFonts w:hint="eastAsia" w:ascii="Times New Roman" w:hAnsi="Times New Roman" w:eastAsia="宋体" w:cs="宋体"/>
          <w:sz w:val="24"/>
          <w:lang w:eastAsia="zh-CN"/>
        </w:rPr>
        <w:t>获取</w:t>
      </w:r>
      <w:r>
        <w:rPr>
          <w:rFonts w:ascii="Times New Roman" w:hAnsi="Times New Roman" w:eastAsia="宋体" w:cs="宋体"/>
          <w:sz w:val="24"/>
          <w:lang w:eastAsia="zh-CN"/>
        </w:rPr>
        <w:t>。也可通过电子邮件发送请求至</w:t>
      </w:r>
      <w:r>
        <w:fldChar w:fldCharType="begin"/>
      </w:r>
      <w:r>
        <w:instrText xml:space="preserve"> HYPERLINK "mailto:CDRH-Guidance@fda.hhs.gov" \h </w:instrText>
      </w:r>
      <w:r>
        <w:fldChar w:fldCharType="separate"/>
      </w:r>
      <w:r>
        <w:rPr>
          <w:rFonts w:ascii="Times New Roman" w:hAnsi="Times New Roman" w:eastAsia="宋体" w:cs="宋体"/>
          <w:snapToGrid w:val="0"/>
          <w:color w:val="0000FF"/>
          <w:sz w:val="24"/>
          <w:szCs w:val="24"/>
          <w:u w:val="single" w:color="0000FF"/>
          <w:lang w:eastAsia="zh-CN"/>
        </w:rPr>
        <w:t>CDRH-Guidance@fda.hhs.gov</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color w:val="000000"/>
          <w:sz w:val="24"/>
          <w:lang w:eastAsia="zh-CN"/>
        </w:rPr>
        <w:t>获取本指南的副本。请在申请中注明文件编号1239和指南的完整标题。</w:t>
      </w:r>
    </w:p>
    <w:p w14:paraId="2FFDD259">
      <w:pPr>
        <w:rPr>
          <w:rFonts w:ascii="Times New Roman" w:hAnsi="Times New Roman" w:eastAsia="宋体" w:cs="Times New Roman"/>
          <w:snapToGrid w:val="0"/>
          <w:color w:val="000000"/>
          <w:sz w:val="24"/>
          <w:szCs w:val="24"/>
          <w:lang w:eastAsia="zh-CN"/>
        </w:rPr>
      </w:pPr>
      <w:r>
        <w:rPr>
          <w:rFonts w:ascii="Times New Roman" w:hAnsi="Times New Roman" w:eastAsia="宋体" w:cs="宋体"/>
          <w:color w:val="000000"/>
          <w:sz w:val="24"/>
          <w:lang w:eastAsia="zh-CN"/>
        </w:rPr>
        <w:br w:type="page"/>
      </w:r>
    </w:p>
    <w:p w14:paraId="377B7BE5">
      <w:pPr>
        <w:adjustRightInd w:val="0"/>
        <w:snapToGrid w:val="0"/>
        <w:spacing w:before="120" w:beforeLines="50" w:line="300" w:lineRule="auto"/>
        <w:jc w:val="center"/>
        <w:rPr>
          <w:rFonts w:ascii="Times New Roman" w:hAnsi="Times New Roman" w:eastAsia="宋体" w:cs="Times New Roman"/>
          <w:snapToGrid w:val="0"/>
          <w:sz w:val="32"/>
          <w:szCs w:val="32"/>
          <w:lang w:eastAsia="zh-CN"/>
        </w:rPr>
      </w:pPr>
      <w:r>
        <w:rPr>
          <w:rFonts w:ascii="Times New Roman" w:hAnsi="Times New Roman" w:eastAsia="宋体" w:cs="宋体"/>
          <w:b/>
          <w:sz w:val="32"/>
          <w:szCs w:val="32"/>
          <w:lang w:eastAsia="zh-CN"/>
        </w:rPr>
        <w:t>目录</w:t>
      </w:r>
    </w:p>
    <w:p w14:paraId="0D4D7C94">
      <w:pPr>
        <w:pStyle w:val="9"/>
        <w:tabs>
          <w:tab w:val="right" w:leader="dot" w:pos="9061"/>
        </w:tabs>
        <w:rPr>
          <w:rFonts w:asciiTheme="minorHAnsi" w:hAnsiTheme="minorHAnsi" w:eastAsiaTheme="minorEastAsia"/>
          <w:kern w:val="2"/>
          <w:sz w:val="21"/>
          <w:szCs w:val="22"/>
          <w:lang w:eastAsia="zh-CN"/>
        </w:rPr>
      </w:pPr>
      <w:r>
        <w:rPr>
          <w:rFonts w:eastAsia="宋体" w:cs="Times New Roman"/>
          <w:snapToGrid w:val="0"/>
          <w:lang w:eastAsia="zh-CN"/>
        </w:rPr>
        <w:fldChar w:fldCharType="begin"/>
      </w:r>
      <w:r>
        <w:rPr>
          <w:rFonts w:eastAsia="宋体" w:cs="Times New Roman"/>
          <w:snapToGrid w:val="0"/>
          <w:lang w:eastAsia="zh-CN"/>
        </w:rPr>
        <w:instrText xml:space="preserve"> TOC \o "1-2" \h \z \u </w:instrText>
      </w:r>
      <w:r>
        <w:rPr>
          <w:rFonts w:eastAsia="宋体" w:cs="Times New Roman"/>
          <w:snapToGrid w:val="0"/>
          <w:lang w:eastAsia="zh-CN"/>
        </w:rPr>
        <w:fldChar w:fldCharType="separate"/>
      </w:r>
      <w:r>
        <w:fldChar w:fldCharType="begin"/>
      </w:r>
      <w:r>
        <w:instrText xml:space="preserve"> HYPERLINK \l "_Toc95489746" </w:instrText>
      </w:r>
      <w:r>
        <w:fldChar w:fldCharType="separate"/>
      </w:r>
      <w:r>
        <w:rPr>
          <w:rStyle w:val="14"/>
        </w:rPr>
        <w:t>I.</w:t>
      </w:r>
      <w:r>
        <w:rPr>
          <w:rFonts w:asciiTheme="minorHAnsi" w:hAnsiTheme="minorHAnsi" w:eastAsiaTheme="minorEastAsia"/>
          <w:kern w:val="2"/>
          <w:sz w:val="21"/>
          <w:szCs w:val="22"/>
          <w:lang w:eastAsia="zh-CN"/>
        </w:rPr>
        <w:tab/>
      </w:r>
      <w:r>
        <w:rPr>
          <w:rStyle w:val="14"/>
          <w:rFonts w:hint="eastAsia" w:ascii="宋体" w:hAnsi="宋体" w:eastAsia="宋体" w:cs="宋体"/>
        </w:rPr>
        <w:t>引言</w:t>
      </w:r>
      <w:r>
        <w:tab/>
      </w:r>
      <w:r>
        <w:fldChar w:fldCharType="begin"/>
      </w:r>
      <w:r>
        <w:instrText xml:space="preserve"> PAGEREF _Toc95489746 \h </w:instrText>
      </w:r>
      <w:r>
        <w:fldChar w:fldCharType="separate"/>
      </w:r>
      <w:r>
        <w:t>1</w:t>
      </w:r>
      <w:r>
        <w:fldChar w:fldCharType="end"/>
      </w:r>
      <w:r>
        <w:fldChar w:fldCharType="end"/>
      </w:r>
    </w:p>
    <w:p w14:paraId="70B0E8F8">
      <w:pPr>
        <w:pStyle w:val="9"/>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"_Toc95489747" </w:instrText>
      </w:r>
      <w:r>
        <w:fldChar w:fldCharType="separate"/>
      </w:r>
      <w:r>
        <w:rPr>
          <w:rStyle w:val="14"/>
        </w:rPr>
        <w:t>II.</w:t>
      </w:r>
      <w:r>
        <w:rPr>
          <w:rFonts w:asciiTheme="minorHAnsi" w:hAnsiTheme="minorHAnsi" w:eastAsiaTheme="minorEastAsia"/>
          <w:kern w:val="2"/>
          <w:sz w:val="21"/>
          <w:szCs w:val="22"/>
          <w:lang w:eastAsia="zh-CN"/>
        </w:rPr>
        <w:tab/>
      </w:r>
      <w:r>
        <w:rPr>
          <w:rStyle w:val="14"/>
          <w:rFonts w:hint="eastAsia" w:ascii="宋体" w:hAnsi="宋体" w:eastAsia="宋体" w:cs="宋体"/>
        </w:rPr>
        <w:t>背景</w:t>
      </w:r>
      <w:r>
        <w:tab/>
      </w:r>
      <w:r>
        <w:fldChar w:fldCharType="begin"/>
      </w:r>
      <w:r>
        <w:instrText xml:space="preserve"> PAGEREF _Toc95489747 \h </w:instrText>
      </w:r>
      <w:r>
        <w:fldChar w:fldCharType="separate"/>
      </w:r>
      <w:r>
        <w:t>2</w:t>
      </w:r>
      <w:r>
        <w:fldChar w:fldCharType="end"/>
      </w:r>
      <w:r>
        <w:fldChar w:fldCharType="end"/>
      </w:r>
    </w:p>
    <w:p w14:paraId="4DE65C91">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"_Toc95489748" </w:instrText>
      </w:r>
      <w:r>
        <w:fldChar w:fldCharType="separate"/>
      </w:r>
      <w:r>
        <w:rPr>
          <w:rStyle w:val="14"/>
        </w:rPr>
        <w:t>A.</w:t>
      </w:r>
      <w:r>
        <w:rPr>
          <w:rFonts w:asciiTheme="minorHAnsi" w:hAnsiTheme="minorHAnsi" w:eastAsiaTheme="minorEastAsia"/>
          <w:kern w:val="2"/>
          <w:sz w:val="21"/>
          <w:szCs w:val="22"/>
          <w:lang w:eastAsia="zh-CN"/>
        </w:rPr>
        <w:tab/>
      </w:r>
      <w:r>
        <w:rPr>
          <w:rStyle w:val="14"/>
          <w:rFonts w:hint="eastAsia" w:ascii="宋体" w:hAnsi="宋体" w:eastAsia="宋体" w:cs="宋体"/>
        </w:rPr>
        <w:t>盐水填充型乳房植入体</w:t>
      </w:r>
      <w:r>
        <w:tab/>
      </w:r>
      <w:r>
        <w:fldChar w:fldCharType="begin"/>
      </w:r>
      <w:r>
        <w:instrText xml:space="preserve"> PAGEREF _Toc95489748 \h </w:instrText>
      </w:r>
      <w:r>
        <w:fldChar w:fldCharType="separate"/>
      </w:r>
      <w:r>
        <w:t>2</w:t>
      </w:r>
      <w:r>
        <w:fldChar w:fldCharType="end"/>
      </w:r>
      <w:r>
        <w:fldChar w:fldCharType="end"/>
      </w:r>
    </w:p>
    <w:p w14:paraId="197A04DD">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"_Toc95489749" </w:instrText>
      </w:r>
      <w:r>
        <w:fldChar w:fldCharType="separate"/>
      </w:r>
      <w:r>
        <w:rPr>
          <w:rStyle w:val="14"/>
        </w:rPr>
        <w:t>B.</w:t>
      </w:r>
      <w:r>
        <w:rPr>
          <w:rFonts w:asciiTheme="minorHAnsi" w:hAnsiTheme="minorHAnsi" w:eastAsiaTheme="minorEastAsia"/>
          <w:kern w:val="2"/>
          <w:sz w:val="21"/>
          <w:szCs w:val="22"/>
          <w:lang w:eastAsia="zh-CN"/>
        </w:rPr>
        <w:tab/>
      </w:r>
      <w:r>
        <w:rPr>
          <w:rStyle w:val="14"/>
          <w:rFonts w:hint="eastAsia" w:ascii="宋体" w:hAnsi="宋体" w:eastAsia="宋体" w:cs="宋体"/>
        </w:rPr>
        <w:t>硅凝胶填充型乳房植入体</w:t>
      </w:r>
      <w:r>
        <w:tab/>
      </w:r>
      <w:r>
        <w:fldChar w:fldCharType="begin"/>
      </w:r>
      <w:r>
        <w:instrText xml:space="preserve"> PAGEREF _Toc95489749 \h </w:instrText>
      </w:r>
      <w:r>
        <w:fldChar w:fldCharType="separate"/>
      </w:r>
      <w:r>
        <w:t>3</w:t>
      </w:r>
      <w:r>
        <w:fldChar w:fldCharType="end"/>
      </w:r>
      <w:r>
        <w:fldChar w:fldCharType="end"/>
      </w:r>
    </w:p>
    <w:p w14:paraId="7919521F">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"_Toc95489750" </w:instrText>
      </w:r>
      <w:r>
        <w:fldChar w:fldCharType="separate"/>
      </w:r>
      <w:r>
        <w:rPr>
          <w:rStyle w:val="14"/>
        </w:rPr>
        <w:t>C.</w:t>
      </w:r>
      <w:r>
        <w:rPr>
          <w:rFonts w:asciiTheme="minorHAnsi" w:hAnsiTheme="minorHAnsi" w:eastAsiaTheme="minorEastAsia"/>
          <w:kern w:val="2"/>
          <w:sz w:val="21"/>
          <w:szCs w:val="22"/>
          <w:lang w:eastAsia="zh-CN"/>
        </w:rPr>
        <w:tab/>
      </w:r>
      <w:r>
        <w:rPr>
          <w:rStyle w:val="14"/>
          <w:rFonts w:hint="eastAsia" w:ascii="宋体" w:hAnsi="宋体" w:eastAsia="宋体" w:cs="宋体"/>
        </w:rPr>
        <w:t>其他乳房植入体</w:t>
      </w:r>
      <w:r>
        <w:tab/>
      </w:r>
      <w:r>
        <w:fldChar w:fldCharType="begin"/>
      </w:r>
      <w:r>
        <w:instrText xml:space="preserve"> PAGEREF _Toc95489750 \h </w:instrText>
      </w:r>
      <w:r>
        <w:fldChar w:fldCharType="separate"/>
      </w:r>
      <w:r>
        <w:t>3</w:t>
      </w:r>
      <w:r>
        <w:fldChar w:fldCharType="end"/>
      </w:r>
      <w:r>
        <w:fldChar w:fldCharType="end"/>
      </w:r>
    </w:p>
    <w:p w14:paraId="5B70662C">
      <w:pPr>
        <w:pStyle w:val="9"/>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"_Toc95489751" </w:instrText>
      </w:r>
      <w:r>
        <w:fldChar w:fldCharType="separate"/>
      </w:r>
      <w:r>
        <w:rPr>
          <w:rStyle w:val="14"/>
        </w:rPr>
        <w:t>III.</w:t>
      </w:r>
      <w:r>
        <w:rPr>
          <w:rFonts w:asciiTheme="minorHAnsi" w:hAnsiTheme="minorHAnsi" w:eastAsiaTheme="minorEastAsia"/>
          <w:kern w:val="2"/>
          <w:sz w:val="21"/>
          <w:szCs w:val="22"/>
          <w:lang w:eastAsia="zh-CN"/>
        </w:rPr>
        <w:tab/>
      </w:r>
      <w:r>
        <w:rPr>
          <w:rStyle w:val="14"/>
          <w:rFonts w:hint="eastAsia" w:ascii="宋体" w:hAnsi="宋体" w:eastAsia="宋体" w:cs="宋体"/>
        </w:rPr>
        <w:t>器械描述</w:t>
      </w:r>
      <w:r>
        <w:tab/>
      </w:r>
      <w:r>
        <w:fldChar w:fldCharType="begin"/>
      </w:r>
      <w:r>
        <w:instrText xml:space="preserve"> PAGEREF _Toc95489751 \h </w:instrText>
      </w:r>
      <w:r>
        <w:fldChar w:fldCharType="separate"/>
      </w:r>
      <w:r>
        <w:t>4</w:t>
      </w:r>
      <w:r>
        <w:fldChar w:fldCharType="end"/>
      </w:r>
      <w:r>
        <w:fldChar w:fldCharType="end"/>
      </w:r>
    </w:p>
    <w:p w14:paraId="020C8A05">
      <w:pPr>
        <w:pStyle w:val="9"/>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"_Toc95489752" </w:instrText>
      </w:r>
      <w:r>
        <w:fldChar w:fldCharType="separate"/>
      </w:r>
      <w:r>
        <w:rPr>
          <w:rStyle w:val="14"/>
        </w:rPr>
        <w:t>IV.</w:t>
      </w:r>
      <w:r>
        <w:rPr>
          <w:rFonts w:asciiTheme="minorHAnsi" w:hAnsiTheme="minorHAnsi" w:eastAsiaTheme="minorEastAsia"/>
          <w:kern w:val="2"/>
          <w:sz w:val="21"/>
          <w:szCs w:val="22"/>
          <w:lang w:eastAsia="zh-CN"/>
        </w:rPr>
        <w:tab/>
      </w:r>
      <w:r>
        <w:rPr>
          <w:rStyle w:val="14"/>
          <w:rFonts w:hint="eastAsia" w:ascii="宋体" w:hAnsi="宋体" w:eastAsia="宋体" w:cs="宋体"/>
        </w:rPr>
        <w:t>化学数据</w:t>
      </w:r>
      <w:r>
        <w:tab/>
      </w:r>
      <w:r>
        <w:fldChar w:fldCharType="begin"/>
      </w:r>
      <w:r>
        <w:instrText xml:space="preserve"> PAGEREF _Toc95489752 \h </w:instrText>
      </w:r>
      <w:r>
        <w:fldChar w:fldCharType="separate"/>
      </w:r>
      <w:r>
        <w:t>5</w:t>
      </w:r>
      <w:r>
        <w:fldChar w:fldCharType="end"/>
      </w:r>
      <w:r>
        <w:fldChar w:fldCharType="end"/>
      </w:r>
    </w:p>
    <w:p w14:paraId="361781BD">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"_Toc95489753" </w:instrText>
      </w:r>
      <w:r>
        <w:fldChar w:fldCharType="separate"/>
      </w:r>
      <w:r>
        <w:rPr>
          <w:rStyle w:val="14"/>
        </w:rPr>
        <w:t>A.</w:t>
      </w:r>
      <w:r>
        <w:rPr>
          <w:rFonts w:asciiTheme="minorHAnsi" w:hAnsiTheme="minorHAnsi" w:eastAsiaTheme="minorEastAsia"/>
          <w:kern w:val="2"/>
          <w:sz w:val="21"/>
          <w:szCs w:val="22"/>
          <w:lang w:eastAsia="zh-CN"/>
        </w:rPr>
        <w:tab/>
      </w:r>
      <w:r>
        <w:rPr>
          <w:rStyle w:val="14"/>
          <w:rFonts w:hint="eastAsia" w:ascii="宋体" w:hAnsi="宋体" w:eastAsia="宋体" w:cs="宋体"/>
        </w:rPr>
        <w:t>一般信息</w:t>
      </w:r>
      <w:r>
        <w:tab/>
      </w:r>
      <w:r>
        <w:fldChar w:fldCharType="begin"/>
      </w:r>
      <w:r>
        <w:instrText xml:space="preserve"> PAGEREF _Toc95489753 \h </w:instrText>
      </w:r>
      <w:r>
        <w:fldChar w:fldCharType="separate"/>
      </w:r>
      <w:r>
        <w:t>5</w:t>
      </w:r>
      <w:r>
        <w:fldChar w:fldCharType="end"/>
      </w:r>
      <w:r>
        <w:fldChar w:fldCharType="end"/>
      </w:r>
    </w:p>
    <w:p w14:paraId="3ED8F1AD">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"_Toc95489754" </w:instrText>
      </w:r>
      <w:r>
        <w:fldChar w:fldCharType="separate"/>
      </w:r>
      <w:r>
        <w:rPr>
          <w:rStyle w:val="14"/>
        </w:rPr>
        <w:t>B.</w:t>
      </w:r>
      <w:r>
        <w:rPr>
          <w:rFonts w:asciiTheme="minorHAnsi" w:hAnsiTheme="minorHAnsi" w:eastAsiaTheme="minorEastAsia"/>
          <w:kern w:val="2"/>
          <w:sz w:val="21"/>
          <w:szCs w:val="22"/>
          <w:lang w:eastAsia="zh-CN"/>
        </w:rPr>
        <w:tab/>
      </w:r>
      <w:r>
        <w:rPr>
          <w:rStyle w:val="14"/>
          <w:rFonts w:hint="eastAsia" w:ascii="宋体" w:hAnsi="宋体" w:eastAsia="宋体" w:cs="宋体"/>
        </w:rPr>
        <w:t>交联程度</w:t>
      </w:r>
      <w:r>
        <w:tab/>
      </w:r>
      <w:r>
        <w:fldChar w:fldCharType="begin"/>
      </w:r>
      <w:r>
        <w:instrText xml:space="preserve"> PAGEREF _Toc95489754 \h </w:instrText>
      </w:r>
      <w:r>
        <w:fldChar w:fldCharType="separate"/>
      </w:r>
      <w:r>
        <w:t>5</w:t>
      </w:r>
      <w:r>
        <w:fldChar w:fldCharType="end"/>
      </w:r>
      <w:r>
        <w:fldChar w:fldCharType="end"/>
      </w:r>
    </w:p>
    <w:p w14:paraId="23BC454D">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"_Toc95489755" </w:instrText>
      </w:r>
      <w:r>
        <w:fldChar w:fldCharType="separate"/>
      </w:r>
      <w:r>
        <w:rPr>
          <w:rStyle w:val="14"/>
        </w:rPr>
        <w:t>C.</w:t>
      </w:r>
      <w:r>
        <w:rPr>
          <w:rFonts w:asciiTheme="minorHAnsi" w:hAnsiTheme="minorHAnsi" w:eastAsiaTheme="minorEastAsia"/>
          <w:kern w:val="2"/>
          <w:sz w:val="21"/>
          <w:szCs w:val="22"/>
          <w:lang w:eastAsia="zh-CN"/>
        </w:rPr>
        <w:tab/>
      </w:r>
      <w:r>
        <w:rPr>
          <w:rStyle w:val="14"/>
          <w:rFonts w:hint="eastAsia" w:ascii="宋体" w:hAnsi="宋体" w:eastAsia="宋体" w:cs="宋体"/>
        </w:rPr>
        <w:t>可浸提物</w:t>
      </w:r>
      <w:r>
        <w:tab/>
      </w:r>
      <w:r>
        <w:fldChar w:fldCharType="begin"/>
      </w:r>
      <w:r>
        <w:instrText xml:space="preserve"> PAGEREF _Toc95489755 \h </w:instrText>
      </w:r>
      <w:r>
        <w:fldChar w:fldCharType="separate"/>
      </w:r>
      <w:r>
        <w:t>6</w:t>
      </w:r>
      <w:r>
        <w:fldChar w:fldCharType="end"/>
      </w:r>
      <w:r>
        <w:fldChar w:fldCharType="end"/>
      </w:r>
    </w:p>
    <w:p w14:paraId="08BB7172">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"_Toc95489756" </w:instrText>
      </w:r>
      <w:r>
        <w:fldChar w:fldCharType="separate"/>
      </w:r>
      <w:r>
        <w:rPr>
          <w:rStyle w:val="14"/>
        </w:rPr>
        <w:t>D.</w:t>
      </w:r>
      <w:r>
        <w:rPr>
          <w:rFonts w:asciiTheme="minorHAnsi" w:hAnsiTheme="minorHAnsi" w:eastAsiaTheme="minorEastAsia"/>
          <w:kern w:val="2"/>
          <w:sz w:val="21"/>
          <w:szCs w:val="22"/>
          <w:lang w:eastAsia="zh-CN"/>
        </w:rPr>
        <w:tab/>
      </w:r>
      <w:r>
        <w:rPr>
          <w:rStyle w:val="14"/>
          <w:rFonts w:hint="eastAsia" w:ascii="宋体" w:hAnsi="宋体" w:eastAsia="宋体" w:cs="宋体"/>
        </w:rPr>
        <w:t>挥发物</w:t>
      </w:r>
      <w:r>
        <w:tab/>
      </w:r>
      <w:r>
        <w:fldChar w:fldCharType="begin"/>
      </w:r>
      <w:r>
        <w:instrText xml:space="preserve"> PAGEREF _Toc95489756 \h </w:instrText>
      </w:r>
      <w:r>
        <w:fldChar w:fldCharType="separate"/>
      </w:r>
      <w:r>
        <w:t>7</w:t>
      </w:r>
      <w:r>
        <w:fldChar w:fldCharType="end"/>
      </w:r>
      <w:r>
        <w:fldChar w:fldCharType="end"/>
      </w:r>
    </w:p>
    <w:p w14:paraId="19FBC70F">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"_Toc95489757" </w:instrText>
      </w:r>
      <w:r>
        <w:fldChar w:fldCharType="separate"/>
      </w:r>
      <w:r>
        <w:rPr>
          <w:rStyle w:val="14"/>
        </w:rPr>
        <w:t>E.</w:t>
      </w:r>
      <w:r>
        <w:rPr>
          <w:rFonts w:asciiTheme="minorHAnsi" w:hAnsiTheme="minorHAnsi" w:eastAsiaTheme="minorEastAsia"/>
          <w:kern w:val="2"/>
          <w:sz w:val="21"/>
          <w:szCs w:val="22"/>
          <w:lang w:eastAsia="zh-CN"/>
        </w:rPr>
        <w:tab/>
      </w:r>
      <w:r>
        <w:rPr>
          <w:rStyle w:val="14"/>
          <w:rFonts w:hint="eastAsia" w:ascii="宋体" w:hAnsi="宋体" w:eastAsia="宋体" w:cs="宋体"/>
        </w:rPr>
        <w:t>重金属</w:t>
      </w:r>
      <w:r>
        <w:tab/>
      </w:r>
      <w:r>
        <w:fldChar w:fldCharType="begin"/>
      </w:r>
      <w:r>
        <w:instrText xml:space="preserve"> PAGEREF _Toc95489757 \h </w:instrText>
      </w:r>
      <w:r>
        <w:fldChar w:fldCharType="separate"/>
      </w:r>
      <w:r>
        <w:t>7</w:t>
      </w:r>
      <w:r>
        <w:fldChar w:fldCharType="end"/>
      </w:r>
      <w:r>
        <w:fldChar w:fldCharType="end"/>
      </w:r>
    </w:p>
    <w:p w14:paraId="6B10371B">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"_Toc95489758" </w:instrText>
      </w:r>
      <w:r>
        <w:fldChar w:fldCharType="separate"/>
      </w:r>
      <w:r>
        <w:rPr>
          <w:rStyle w:val="14"/>
        </w:rPr>
        <w:t>F.</w:t>
      </w:r>
      <w:r>
        <w:rPr>
          <w:rFonts w:asciiTheme="minorHAnsi" w:hAnsiTheme="minorHAnsi" w:eastAsiaTheme="minorEastAsia"/>
          <w:kern w:val="2"/>
          <w:sz w:val="21"/>
          <w:szCs w:val="22"/>
          <w:lang w:eastAsia="zh-CN"/>
        </w:rPr>
        <w:tab/>
      </w:r>
      <w:r>
        <w:rPr>
          <w:rStyle w:val="14"/>
          <w:rFonts w:hint="eastAsia" w:ascii="宋体" w:hAnsi="宋体" w:eastAsia="宋体" w:cs="宋体"/>
        </w:rPr>
        <w:t>盐水填充物</w:t>
      </w:r>
      <w:r>
        <w:tab/>
      </w:r>
      <w:r>
        <w:fldChar w:fldCharType="begin"/>
      </w:r>
      <w:r>
        <w:instrText xml:space="preserve"> PAGEREF _Toc95489758 \h </w:instrText>
      </w:r>
      <w:r>
        <w:fldChar w:fldCharType="separate"/>
      </w:r>
      <w:r>
        <w:t>7</w:t>
      </w:r>
      <w:r>
        <w:fldChar w:fldCharType="end"/>
      </w:r>
      <w:r>
        <w:fldChar w:fldCharType="end"/>
      </w:r>
    </w:p>
    <w:p w14:paraId="681EEA89">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"_Toc95489759" </w:instrText>
      </w:r>
      <w:r>
        <w:fldChar w:fldCharType="separate"/>
      </w:r>
      <w:r>
        <w:rPr>
          <w:rStyle w:val="14"/>
        </w:rPr>
        <w:t>G.</w:t>
      </w:r>
      <w:r>
        <w:rPr>
          <w:rFonts w:asciiTheme="minorHAnsi" w:hAnsiTheme="minorHAnsi" w:eastAsiaTheme="minorEastAsia"/>
          <w:kern w:val="2"/>
          <w:sz w:val="21"/>
          <w:szCs w:val="22"/>
          <w:lang w:eastAsia="zh-CN"/>
        </w:rPr>
        <w:tab/>
      </w:r>
      <w:r>
        <w:rPr>
          <w:rStyle w:val="14"/>
          <w:rFonts w:hint="eastAsia" w:ascii="宋体" w:hAnsi="宋体" w:eastAsia="宋体" w:cs="宋体"/>
        </w:rPr>
        <w:t>硅凝胶填充物</w:t>
      </w:r>
      <w:r>
        <w:tab/>
      </w:r>
      <w:r>
        <w:fldChar w:fldCharType="begin"/>
      </w:r>
      <w:r>
        <w:instrText xml:space="preserve"> PAGEREF _Toc95489759 \h </w:instrText>
      </w:r>
      <w:r>
        <w:fldChar w:fldCharType="separate"/>
      </w:r>
      <w:r>
        <w:t>8</w:t>
      </w:r>
      <w:r>
        <w:fldChar w:fldCharType="end"/>
      </w:r>
      <w:r>
        <w:fldChar w:fldCharType="end"/>
      </w:r>
    </w:p>
    <w:p w14:paraId="051880FC">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"_Toc95489760" </w:instrText>
      </w:r>
      <w:r>
        <w:fldChar w:fldCharType="separate"/>
      </w:r>
      <w:r>
        <w:rPr>
          <w:rStyle w:val="14"/>
        </w:rPr>
        <w:t>H.</w:t>
      </w:r>
      <w:r>
        <w:rPr>
          <w:rFonts w:asciiTheme="minorHAnsi" w:hAnsiTheme="minorHAnsi" w:eastAsiaTheme="minorEastAsia"/>
          <w:kern w:val="2"/>
          <w:sz w:val="21"/>
          <w:szCs w:val="22"/>
          <w:lang w:eastAsia="zh-CN"/>
        </w:rPr>
        <w:tab/>
      </w:r>
      <w:r>
        <w:rPr>
          <w:rStyle w:val="14"/>
          <w:rFonts w:hint="eastAsia" w:ascii="宋体" w:hAnsi="宋体" w:eastAsia="宋体" w:cs="宋体"/>
        </w:rPr>
        <w:t>其他填充物</w:t>
      </w:r>
      <w:r>
        <w:rPr>
          <w:rStyle w:val="14"/>
        </w:rPr>
        <w:t xml:space="preserve"> - </w:t>
      </w:r>
      <w:r>
        <w:rPr>
          <w:rStyle w:val="14"/>
          <w:rFonts w:hint="eastAsia" w:ascii="宋体" w:hAnsi="宋体" w:eastAsia="宋体" w:cs="宋体"/>
        </w:rPr>
        <w:t>聚合物</w:t>
      </w:r>
      <w:r>
        <w:tab/>
      </w:r>
      <w:r>
        <w:fldChar w:fldCharType="begin"/>
      </w:r>
      <w:r>
        <w:instrText xml:space="preserve"> PAGEREF _Toc95489760 \h </w:instrText>
      </w:r>
      <w:r>
        <w:fldChar w:fldCharType="separate"/>
      </w:r>
      <w:r>
        <w:t>8</w:t>
      </w:r>
      <w:r>
        <w:fldChar w:fldCharType="end"/>
      </w:r>
      <w:r>
        <w:fldChar w:fldCharType="end"/>
      </w:r>
    </w:p>
    <w:p w14:paraId="1818F6A7">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"_Toc95489761" </w:instrText>
      </w:r>
      <w:r>
        <w:fldChar w:fldCharType="separate"/>
      </w:r>
      <w:r>
        <w:rPr>
          <w:rStyle w:val="14"/>
        </w:rPr>
        <w:t>I.</w:t>
      </w:r>
      <w:r>
        <w:rPr>
          <w:rFonts w:asciiTheme="minorHAnsi" w:hAnsiTheme="minorHAnsi" w:eastAsiaTheme="minorEastAsia"/>
          <w:kern w:val="2"/>
          <w:sz w:val="21"/>
          <w:szCs w:val="22"/>
          <w:lang w:eastAsia="zh-CN"/>
        </w:rPr>
        <w:tab/>
      </w:r>
      <w:r>
        <w:rPr>
          <w:rStyle w:val="14"/>
          <w:rFonts w:hint="eastAsia" w:ascii="宋体" w:hAnsi="宋体" w:eastAsia="宋体" w:cs="宋体"/>
        </w:rPr>
        <w:t>其他填充物</w:t>
      </w:r>
      <w:r>
        <w:rPr>
          <w:rStyle w:val="14"/>
        </w:rPr>
        <w:t xml:space="preserve"> -  </w:t>
      </w:r>
      <w:r>
        <w:rPr>
          <w:rStyle w:val="14"/>
          <w:rFonts w:hint="eastAsia" w:ascii="宋体" w:hAnsi="宋体" w:eastAsia="宋体" w:cs="宋体"/>
        </w:rPr>
        <w:t>非聚合物</w:t>
      </w:r>
      <w:r>
        <w:tab/>
      </w:r>
      <w:r>
        <w:fldChar w:fldCharType="begin"/>
      </w:r>
      <w:r>
        <w:instrText xml:space="preserve"> PAGEREF _Toc95489761 \h </w:instrText>
      </w:r>
      <w:r>
        <w:fldChar w:fldCharType="separate"/>
      </w:r>
      <w:r>
        <w:t>8</w:t>
      </w:r>
      <w:r>
        <w:fldChar w:fldCharType="end"/>
      </w:r>
      <w:r>
        <w:fldChar w:fldCharType="end"/>
      </w:r>
    </w:p>
    <w:p w14:paraId="10BB1380">
      <w:pPr>
        <w:pStyle w:val="9"/>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"_Toc95489762" </w:instrText>
      </w:r>
      <w:r>
        <w:fldChar w:fldCharType="separate"/>
      </w:r>
      <w:r>
        <w:rPr>
          <w:rStyle w:val="14"/>
        </w:rPr>
        <w:t>V.</w:t>
      </w:r>
      <w:r>
        <w:rPr>
          <w:rFonts w:asciiTheme="minorHAnsi" w:hAnsiTheme="minorHAnsi" w:eastAsiaTheme="minorEastAsia"/>
          <w:kern w:val="2"/>
          <w:sz w:val="21"/>
          <w:szCs w:val="22"/>
          <w:lang w:eastAsia="zh-CN"/>
        </w:rPr>
        <w:tab/>
      </w:r>
      <w:r>
        <w:rPr>
          <w:rStyle w:val="14"/>
          <w:rFonts w:hint="eastAsia" w:ascii="宋体" w:hAnsi="宋体" w:eastAsia="宋体" w:cs="宋体"/>
        </w:rPr>
        <w:t>毒理学数据</w:t>
      </w:r>
      <w:r>
        <w:tab/>
      </w:r>
      <w:r>
        <w:fldChar w:fldCharType="begin"/>
      </w:r>
      <w:r>
        <w:instrText xml:space="preserve"> PAGEREF _Toc95489762 \h </w:instrText>
      </w:r>
      <w:r>
        <w:fldChar w:fldCharType="separate"/>
      </w:r>
      <w:r>
        <w:t>9</w:t>
      </w:r>
      <w:r>
        <w:fldChar w:fldCharType="end"/>
      </w:r>
      <w:r>
        <w:fldChar w:fldCharType="end"/>
      </w:r>
    </w:p>
    <w:p w14:paraId="73E7DD21">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"_Toc95489763" </w:instrText>
      </w:r>
      <w:r>
        <w:fldChar w:fldCharType="separate"/>
      </w:r>
      <w:r>
        <w:rPr>
          <w:rStyle w:val="14"/>
        </w:rPr>
        <w:t>A.</w:t>
      </w:r>
      <w:r>
        <w:rPr>
          <w:rFonts w:asciiTheme="minorHAnsi" w:hAnsiTheme="minorHAnsi" w:eastAsiaTheme="minorEastAsia"/>
          <w:kern w:val="2"/>
          <w:sz w:val="21"/>
          <w:szCs w:val="22"/>
          <w:lang w:eastAsia="zh-CN"/>
        </w:rPr>
        <w:tab/>
      </w:r>
      <w:r>
        <w:rPr>
          <w:rStyle w:val="14"/>
          <w:rFonts w:hint="eastAsia" w:ascii="宋体" w:hAnsi="宋体" w:eastAsia="宋体" w:cs="宋体"/>
        </w:rPr>
        <w:t>一般信息</w:t>
      </w:r>
      <w:r>
        <w:tab/>
      </w:r>
      <w:r>
        <w:fldChar w:fldCharType="begin"/>
      </w:r>
      <w:r>
        <w:instrText xml:space="preserve"> PAGEREF _Toc95489763 \h </w:instrText>
      </w:r>
      <w:r>
        <w:fldChar w:fldCharType="separate"/>
      </w:r>
      <w:r>
        <w:t>9</w:t>
      </w:r>
      <w:r>
        <w:fldChar w:fldCharType="end"/>
      </w:r>
      <w:r>
        <w:fldChar w:fldCharType="end"/>
      </w:r>
    </w:p>
    <w:p w14:paraId="211B2DB5">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"_Toc95489764" </w:instrText>
      </w:r>
      <w:r>
        <w:fldChar w:fldCharType="separate"/>
      </w:r>
      <w:r>
        <w:rPr>
          <w:rStyle w:val="14"/>
        </w:rPr>
        <w:t>B.</w:t>
      </w:r>
      <w:r>
        <w:rPr>
          <w:rFonts w:asciiTheme="minorHAnsi" w:hAnsiTheme="minorHAnsi" w:eastAsiaTheme="minorEastAsia"/>
          <w:kern w:val="2"/>
          <w:sz w:val="21"/>
          <w:szCs w:val="22"/>
          <w:lang w:eastAsia="zh-CN"/>
        </w:rPr>
        <w:tab/>
      </w:r>
      <w:r>
        <w:rPr>
          <w:rStyle w:val="14"/>
          <w:rFonts w:hint="eastAsia" w:ascii="宋体" w:hAnsi="宋体" w:eastAsia="宋体" w:cs="宋体"/>
        </w:rPr>
        <w:t>药代动力学研究</w:t>
      </w:r>
      <w:r>
        <w:tab/>
      </w:r>
      <w:r>
        <w:fldChar w:fldCharType="begin"/>
      </w:r>
      <w:r>
        <w:instrText xml:space="preserve"> PAGEREF _Toc95489764 \h </w:instrText>
      </w:r>
      <w:r>
        <w:fldChar w:fldCharType="separate"/>
      </w:r>
      <w:r>
        <w:t>9</w:t>
      </w:r>
      <w:r>
        <w:fldChar w:fldCharType="end"/>
      </w:r>
      <w:r>
        <w:fldChar w:fldCharType="end"/>
      </w:r>
    </w:p>
    <w:p w14:paraId="2AB52FD4">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"_Toc95489765" </w:instrText>
      </w:r>
      <w:r>
        <w:fldChar w:fldCharType="separate"/>
      </w:r>
      <w:r>
        <w:rPr>
          <w:rStyle w:val="14"/>
        </w:rPr>
        <w:t>C.</w:t>
      </w:r>
      <w:r>
        <w:rPr>
          <w:rFonts w:asciiTheme="minorHAnsi" w:hAnsiTheme="minorHAnsi" w:eastAsiaTheme="minorEastAsia"/>
          <w:kern w:val="2"/>
          <w:sz w:val="21"/>
          <w:szCs w:val="22"/>
          <w:lang w:eastAsia="zh-CN"/>
        </w:rPr>
        <w:tab/>
      </w:r>
      <w:r>
        <w:rPr>
          <w:rStyle w:val="14"/>
          <w:rFonts w:hint="eastAsia" w:ascii="宋体" w:hAnsi="宋体" w:eastAsia="宋体" w:cs="宋体"/>
        </w:rPr>
        <w:t>毒理学试验</w:t>
      </w:r>
      <w:r>
        <w:tab/>
      </w:r>
      <w:r>
        <w:fldChar w:fldCharType="begin"/>
      </w:r>
      <w:r>
        <w:instrText xml:space="preserve"> PAGEREF _Toc95489765 \h </w:instrText>
      </w:r>
      <w:r>
        <w:fldChar w:fldCharType="separate"/>
      </w:r>
      <w:r>
        <w:t>10</w:t>
      </w:r>
      <w:r>
        <w:fldChar w:fldCharType="end"/>
      </w:r>
      <w:r>
        <w:fldChar w:fldCharType="end"/>
      </w:r>
    </w:p>
    <w:p w14:paraId="03F89EE7">
      <w:pPr>
        <w:pStyle w:val="9"/>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"_Toc95489766" </w:instrText>
      </w:r>
      <w:r>
        <w:fldChar w:fldCharType="separate"/>
      </w:r>
      <w:r>
        <w:rPr>
          <w:rStyle w:val="14"/>
        </w:rPr>
        <w:t>VI.</w:t>
      </w:r>
      <w:r>
        <w:rPr>
          <w:rFonts w:asciiTheme="minorHAnsi" w:hAnsiTheme="minorHAnsi" w:eastAsiaTheme="minorEastAsia"/>
          <w:kern w:val="2"/>
          <w:sz w:val="21"/>
          <w:szCs w:val="22"/>
          <w:lang w:eastAsia="zh-CN"/>
        </w:rPr>
        <w:tab/>
      </w:r>
      <w:r>
        <w:rPr>
          <w:rStyle w:val="14"/>
          <w:rFonts w:hint="eastAsia" w:ascii="宋体" w:hAnsi="宋体" w:eastAsia="宋体" w:cs="宋体"/>
        </w:rPr>
        <w:t>机械数据</w:t>
      </w:r>
      <w:r>
        <w:tab/>
      </w:r>
      <w:r>
        <w:fldChar w:fldCharType="begin"/>
      </w:r>
      <w:r>
        <w:instrText xml:space="preserve"> PAGEREF _Toc95489766 \h </w:instrText>
      </w:r>
      <w:r>
        <w:fldChar w:fldCharType="separate"/>
      </w:r>
      <w:r>
        <w:t>11</w:t>
      </w:r>
      <w:r>
        <w:fldChar w:fldCharType="end"/>
      </w:r>
      <w:r>
        <w:fldChar w:fldCharType="end"/>
      </w:r>
    </w:p>
    <w:p w14:paraId="73F4B0F2">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"_Toc95489767" </w:instrText>
      </w:r>
      <w:r>
        <w:fldChar w:fldCharType="separate"/>
      </w:r>
      <w:r>
        <w:rPr>
          <w:rStyle w:val="14"/>
        </w:rPr>
        <w:t>A.</w:t>
      </w:r>
      <w:r>
        <w:rPr>
          <w:rFonts w:asciiTheme="minorHAnsi" w:hAnsiTheme="minorHAnsi" w:eastAsiaTheme="minorEastAsia"/>
          <w:kern w:val="2"/>
          <w:sz w:val="21"/>
          <w:szCs w:val="22"/>
          <w:lang w:eastAsia="zh-CN"/>
        </w:rPr>
        <w:tab/>
      </w:r>
      <w:r>
        <w:rPr>
          <w:rStyle w:val="14"/>
          <w:rFonts w:hint="eastAsia" w:ascii="宋体" w:hAnsi="宋体" w:eastAsia="宋体" w:cs="宋体"/>
        </w:rPr>
        <w:t>一般信息</w:t>
      </w:r>
      <w:r>
        <w:tab/>
      </w:r>
      <w:r>
        <w:fldChar w:fldCharType="begin"/>
      </w:r>
      <w:r>
        <w:instrText xml:space="preserve"> PAGEREF _Toc95489767 \h </w:instrText>
      </w:r>
      <w:r>
        <w:fldChar w:fldCharType="separate"/>
      </w:r>
      <w:r>
        <w:t>11</w:t>
      </w:r>
      <w:r>
        <w:fldChar w:fldCharType="end"/>
      </w:r>
      <w:r>
        <w:fldChar w:fldCharType="end"/>
      </w:r>
    </w:p>
    <w:p w14:paraId="0D353A7D">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"_Toc95489768" </w:instrText>
      </w:r>
      <w:r>
        <w:fldChar w:fldCharType="separate"/>
      </w:r>
      <w:r>
        <w:rPr>
          <w:rStyle w:val="14"/>
        </w:rPr>
        <w:t>B.</w:t>
      </w:r>
      <w:r>
        <w:rPr>
          <w:rFonts w:asciiTheme="minorHAnsi" w:hAnsiTheme="minorHAnsi" w:eastAsiaTheme="minorEastAsia"/>
          <w:kern w:val="2"/>
          <w:sz w:val="21"/>
          <w:szCs w:val="22"/>
          <w:lang w:eastAsia="zh-CN"/>
        </w:rPr>
        <w:tab/>
      </w:r>
      <w:r>
        <w:rPr>
          <w:rStyle w:val="14"/>
          <w:rFonts w:hint="eastAsia" w:ascii="宋体" w:hAnsi="宋体" w:eastAsia="宋体" w:cs="宋体"/>
        </w:rPr>
        <w:t>整体器械的疲劳断裂试验</w:t>
      </w:r>
      <w:r>
        <w:tab/>
      </w:r>
      <w:r>
        <w:fldChar w:fldCharType="begin"/>
      </w:r>
      <w:r>
        <w:instrText xml:space="preserve"> PAGEREF _Toc95489768 \h </w:instrText>
      </w:r>
      <w:r>
        <w:fldChar w:fldCharType="separate"/>
      </w:r>
      <w:r>
        <w:t>12</w:t>
      </w:r>
      <w:r>
        <w:fldChar w:fldCharType="end"/>
      </w:r>
      <w:r>
        <w:fldChar w:fldCharType="end"/>
      </w:r>
    </w:p>
    <w:p w14:paraId="4E118994">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"_Toc95489769" </w:instrText>
      </w:r>
      <w:r>
        <w:fldChar w:fldCharType="separate"/>
      </w:r>
      <w:r>
        <w:rPr>
          <w:rStyle w:val="14"/>
        </w:rPr>
        <w:t>C.</w:t>
      </w:r>
      <w:r>
        <w:rPr>
          <w:rFonts w:asciiTheme="minorHAnsi" w:hAnsiTheme="minorHAnsi" w:eastAsiaTheme="minorEastAsia"/>
          <w:kern w:val="2"/>
          <w:sz w:val="21"/>
          <w:szCs w:val="22"/>
          <w:lang w:eastAsia="zh-CN"/>
        </w:rPr>
        <w:tab/>
      </w:r>
      <w:r>
        <w:rPr>
          <w:rStyle w:val="14"/>
          <w:rFonts w:hint="eastAsia" w:ascii="宋体" w:hAnsi="宋体" w:eastAsia="宋体" w:cs="宋体"/>
        </w:rPr>
        <w:t>瓣膜能力试验</w:t>
      </w:r>
      <w:r>
        <w:tab/>
      </w:r>
      <w:r>
        <w:fldChar w:fldCharType="begin"/>
      </w:r>
      <w:r>
        <w:instrText xml:space="preserve"> PAGEREF _Toc95489769 \h </w:instrText>
      </w:r>
      <w:r>
        <w:fldChar w:fldCharType="separate"/>
      </w:r>
      <w:r>
        <w:t>13</w:t>
      </w:r>
      <w:r>
        <w:fldChar w:fldCharType="end"/>
      </w:r>
      <w:r>
        <w:fldChar w:fldCharType="end"/>
      </w:r>
    </w:p>
    <w:p w14:paraId="11D7C723">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"_Toc95489770" </w:instrText>
      </w:r>
      <w:r>
        <w:fldChar w:fldCharType="separate"/>
      </w:r>
      <w:r>
        <w:rPr>
          <w:rStyle w:val="14"/>
        </w:rPr>
        <w:t>D.</w:t>
      </w:r>
      <w:r>
        <w:rPr>
          <w:rFonts w:asciiTheme="minorHAnsi" w:hAnsiTheme="minorHAnsi" w:eastAsiaTheme="minorEastAsia"/>
          <w:kern w:val="2"/>
          <w:sz w:val="21"/>
          <w:szCs w:val="22"/>
          <w:lang w:eastAsia="zh-CN"/>
        </w:rPr>
        <w:tab/>
      </w:r>
      <w:r>
        <w:rPr>
          <w:rFonts w:hint="eastAsia" w:asciiTheme="minorHAnsi" w:hAnsiTheme="minorHAnsi" w:eastAsiaTheme="minorEastAsia"/>
          <w:kern w:val="2"/>
          <w:sz w:val="21"/>
          <w:szCs w:val="22"/>
          <w:lang w:eastAsia="zh-CN"/>
        </w:rPr>
        <w:t>粘聚性试验</w:t>
      </w:r>
      <w:r>
        <w:tab/>
      </w:r>
      <w:r>
        <w:fldChar w:fldCharType="begin"/>
      </w:r>
      <w:r>
        <w:instrText xml:space="preserve"> PAGEREF _Toc95489770 \h </w:instrText>
      </w:r>
      <w:r>
        <w:fldChar w:fldCharType="separate"/>
      </w:r>
      <w:r>
        <w:t>13</w:t>
      </w:r>
      <w:r>
        <w:fldChar w:fldCharType="end"/>
      </w:r>
      <w:r>
        <w:fldChar w:fldCharType="end"/>
      </w:r>
    </w:p>
    <w:p w14:paraId="1DFF516C">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"_Toc95489771" </w:instrText>
      </w:r>
      <w:r>
        <w:fldChar w:fldCharType="separate"/>
      </w:r>
      <w:r>
        <w:rPr>
          <w:rStyle w:val="14"/>
        </w:rPr>
        <w:t>E.</w:t>
      </w:r>
      <w:r>
        <w:rPr>
          <w:rFonts w:asciiTheme="minorHAnsi" w:hAnsiTheme="minorHAnsi" w:eastAsiaTheme="minorEastAsia"/>
          <w:kern w:val="2"/>
          <w:sz w:val="21"/>
          <w:szCs w:val="22"/>
          <w:lang w:eastAsia="zh-CN"/>
        </w:rPr>
        <w:tab/>
      </w:r>
      <w:r>
        <w:rPr>
          <w:rStyle w:val="14"/>
          <w:rFonts w:hint="eastAsia" w:ascii="宋体" w:hAnsi="宋体" w:eastAsia="宋体" w:cs="宋体"/>
        </w:rPr>
        <w:t>渗出试验</w:t>
      </w:r>
      <w:r>
        <w:tab/>
      </w:r>
      <w:r>
        <w:fldChar w:fldCharType="begin"/>
      </w:r>
      <w:r>
        <w:instrText xml:space="preserve"> PAGEREF _Toc95489771 \h </w:instrText>
      </w:r>
      <w:r>
        <w:fldChar w:fldCharType="separate"/>
      </w:r>
      <w:r>
        <w:t>14</w:t>
      </w:r>
      <w:r>
        <w:fldChar w:fldCharType="end"/>
      </w:r>
      <w:r>
        <w:fldChar w:fldCharType="end"/>
      </w:r>
    </w:p>
    <w:p w14:paraId="66E36F8D">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"_Toc95489772" </w:instrText>
      </w:r>
      <w:r>
        <w:fldChar w:fldCharType="separate"/>
      </w:r>
      <w:r>
        <w:rPr>
          <w:rStyle w:val="14"/>
        </w:rPr>
        <w:t>F.</w:t>
      </w:r>
      <w:r>
        <w:rPr>
          <w:rFonts w:asciiTheme="minorHAnsi" w:hAnsiTheme="minorHAnsi" w:eastAsiaTheme="minorEastAsia"/>
          <w:kern w:val="2"/>
          <w:sz w:val="21"/>
          <w:szCs w:val="22"/>
          <w:lang w:eastAsia="zh-CN"/>
        </w:rPr>
        <w:tab/>
      </w:r>
      <w:r>
        <w:rPr>
          <w:rStyle w:val="14"/>
          <w:rFonts w:hint="eastAsia" w:ascii="宋体" w:hAnsi="宋体" w:eastAsia="宋体" w:cs="宋体"/>
        </w:rPr>
        <w:t>其他乳房植入体的稳定性试验</w:t>
      </w:r>
      <w:r>
        <w:tab/>
      </w:r>
      <w:r>
        <w:fldChar w:fldCharType="begin"/>
      </w:r>
      <w:r>
        <w:instrText xml:space="preserve"> PAGEREF _Toc95489772 \h </w:instrText>
      </w:r>
      <w:r>
        <w:fldChar w:fldCharType="separate"/>
      </w:r>
      <w:r>
        <w:t>15</w:t>
      </w:r>
      <w:r>
        <w:fldChar w:fldCharType="end"/>
      </w:r>
      <w:r>
        <w:fldChar w:fldCharType="end"/>
      </w:r>
    </w:p>
    <w:p w14:paraId="3E3B73D3">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"_Toc95489773" </w:instrText>
      </w:r>
      <w:r>
        <w:fldChar w:fldCharType="separate"/>
      </w:r>
      <w:r>
        <w:rPr>
          <w:rStyle w:val="14"/>
        </w:rPr>
        <w:t>G.</w:t>
      </w:r>
      <w:r>
        <w:rPr>
          <w:rFonts w:asciiTheme="minorHAnsi" w:hAnsiTheme="minorHAnsi" w:eastAsiaTheme="minorEastAsia"/>
          <w:kern w:val="2"/>
          <w:sz w:val="21"/>
          <w:szCs w:val="22"/>
          <w:lang w:eastAsia="zh-CN"/>
        </w:rPr>
        <w:tab/>
      </w:r>
      <w:r>
        <w:rPr>
          <w:rStyle w:val="14"/>
          <w:rFonts w:hint="eastAsia" w:ascii="宋体" w:hAnsi="宋体" w:eastAsia="宋体" w:cs="宋体"/>
        </w:rPr>
        <w:t>货架有效期试验</w:t>
      </w:r>
      <w:r>
        <w:tab/>
      </w:r>
      <w:r>
        <w:fldChar w:fldCharType="begin"/>
      </w:r>
      <w:r>
        <w:instrText xml:space="preserve"> PAGEREF _Toc95489773 \h </w:instrText>
      </w:r>
      <w:r>
        <w:fldChar w:fldCharType="separate"/>
      </w:r>
      <w:r>
        <w:t>15</w:t>
      </w:r>
      <w:r>
        <w:fldChar w:fldCharType="end"/>
      </w:r>
      <w:r>
        <w:fldChar w:fldCharType="end"/>
      </w:r>
    </w:p>
    <w:p w14:paraId="09D74C4F">
      <w:pPr>
        <w:pStyle w:val="9"/>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"_Toc95489774" </w:instrText>
      </w:r>
      <w:r>
        <w:fldChar w:fldCharType="separate"/>
      </w:r>
      <w:r>
        <w:rPr>
          <w:rStyle w:val="14"/>
        </w:rPr>
        <w:t>VII.</w:t>
      </w:r>
      <w:r>
        <w:rPr>
          <w:rFonts w:asciiTheme="minorHAnsi" w:hAnsiTheme="minorHAnsi" w:eastAsiaTheme="minorEastAsia"/>
          <w:kern w:val="2"/>
          <w:sz w:val="21"/>
          <w:szCs w:val="22"/>
          <w:lang w:eastAsia="zh-CN"/>
        </w:rPr>
        <w:tab/>
      </w:r>
      <w:r>
        <w:rPr>
          <w:rStyle w:val="14"/>
          <w:rFonts w:hint="eastAsia" w:ascii="宋体" w:hAnsi="宋体" w:eastAsia="宋体" w:cs="宋体"/>
        </w:rPr>
        <w:t>器械外植体分析</w:t>
      </w:r>
      <w:r>
        <w:tab/>
      </w:r>
      <w:r>
        <w:fldChar w:fldCharType="begin"/>
      </w:r>
      <w:r>
        <w:instrText xml:space="preserve"> PAGEREF _Toc95489774 \h </w:instrText>
      </w:r>
      <w:r>
        <w:fldChar w:fldCharType="separate"/>
      </w:r>
      <w:r>
        <w:t>17</w:t>
      </w:r>
      <w:r>
        <w:fldChar w:fldCharType="end"/>
      </w:r>
      <w:r>
        <w:fldChar w:fldCharType="end"/>
      </w:r>
    </w:p>
    <w:p w14:paraId="23972055">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"_Toc95489775" </w:instrText>
      </w:r>
      <w:r>
        <w:fldChar w:fldCharType="separate"/>
      </w:r>
      <w:r>
        <w:rPr>
          <w:rStyle w:val="14"/>
        </w:rPr>
        <w:t>A.</w:t>
      </w:r>
      <w:r>
        <w:rPr>
          <w:rFonts w:asciiTheme="minorHAnsi" w:hAnsiTheme="minorHAnsi" w:eastAsiaTheme="minorEastAsia"/>
          <w:kern w:val="2"/>
          <w:sz w:val="21"/>
          <w:szCs w:val="22"/>
          <w:lang w:eastAsia="zh-CN"/>
        </w:rPr>
        <w:tab/>
      </w:r>
      <w:r>
        <w:rPr>
          <w:rStyle w:val="14"/>
          <w:rFonts w:hint="eastAsia" w:ascii="宋体" w:hAnsi="宋体" w:eastAsia="宋体" w:cs="宋体"/>
        </w:rPr>
        <w:t>检索研究</w:t>
      </w:r>
      <w:r>
        <w:tab/>
      </w:r>
      <w:r>
        <w:fldChar w:fldCharType="begin"/>
      </w:r>
      <w:r>
        <w:instrText xml:space="preserve"> PAGEREF _Toc95489775 \h </w:instrText>
      </w:r>
      <w:r>
        <w:fldChar w:fldCharType="separate"/>
      </w:r>
      <w:r>
        <w:t>17</w:t>
      </w:r>
      <w:r>
        <w:fldChar w:fldCharType="end"/>
      </w:r>
      <w:r>
        <w:fldChar w:fldCharType="end"/>
      </w:r>
    </w:p>
    <w:p w14:paraId="77C0281B">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"_Toc95489776" </w:instrText>
      </w:r>
      <w:r>
        <w:fldChar w:fldCharType="separate"/>
      </w:r>
      <w:r>
        <w:rPr>
          <w:rStyle w:val="14"/>
        </w:rPr>
        <w:t>B.</w:t>
      </w:r>
      <w:r>
        <w:rPr>
          <w:rFonts w:asciiTheme="minorHAnsi" w:hAnsiTheme="minorHAnsi" w:eastAsiaTheme="minorEastAsia"/>
          <w:kern w:val="2"/>
          <w:sz w:val="21"/>
          <w:szCs w:val="22"/>
          <w:lang w:eastAsia="zh-CN"/>
        </w:rPr>
        <w:tab/>
      </w:r>
      <w:r>
        <w:rPr>
          <w:rStyle w:val="14"/>
          <w:rFonts w:hint="eastAsia" w:ascii="宋体" w:hAnsi="宋体" w:eastAsia="宋体" w:cs="宋体"/>
        </w:rPr>
        <w:t>表征器械失效的补充信息</w:t>
      </w:r>
      <w:r>
        <w:tab/>
      </w:r>
      <w:r>
        <w:fldChar w:fldCharType="begin"/>
      </w:r>
      <w:r>
        <w:instrText xml:space="preserve"> PAGEREF _Toc95489776 \h </w:instrText>
      </w:r>
      <w:r>
        <w:fldChar w:fldCharType="separate"/>
      </w:r>
      <w:r>
        <w:t>18</w:t>
      </w:r>
      <w:r>
        <w:fldChar w:fldCharType="end"/>
      </w:r>
      <w:r>
        <w:fldChar w:fldCharType="end"/>
      </w:r>
    </w:p>
    <w:p w14:paraId="21CF7BBC">
      <w:pPr>
        <w:pStyle w:val="9"/>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"_Toc95489777" </w:instrText>
      </w:r>
      <w:r>
        <w:fldChar w:fldCharType="separate"/>
      </w:r>
      <w:r>
        <w:rPr>
          <w:rStyle w:val="14"/>
        </w:rPr>
        <w:t>VIII.</w:t>
      </w:r>
      <w:r>
        <w:rPr>
          <w:rFonts w:asciiTheme="minorHAnsi" w:hAnsiTheme="minorHAnsi" w:eastAsiaTheme="minorEastAsia"/>
          <w:kern w:val="2"/>
          <w:sz w:val="21"/>
          <w:szCs w:val="22"/>
          <w:lang w:eastAsia="zh-CN"/>
        </w:rPr>
        <w:tab/>
      </w:r>
      <w:r>
        <w:rPr>
          <w:rStyle w:val="14"/>
          <w:rFonts w:hint="eastAsia" w:ascii="宋体" w:hAnsi="宋体" w:eastAsia="宋体" w:cs="宋体"/>
        </w:rPr>
        <w:t>核心研究临床数据</w:t>
      </w:r>
      <w:r>
        <w:tab/>
      </w:r>
      <w:r>
        <w:fldChar w:fldCharType="begin"/>
      </w:r>
      <w:r>
        <w:instrText xml:space="preserve"> PAGEREF _Toc95489777 \h </w:instrText>
      </w:r>
      <w:r>
        <w:fldChar w:fldCharType="separate"/>
      </w:r>
      <w:r>
        <w:t>19</w:t>
      </w:r>
      <w:r>
        <w:fldChar w:fldCharType="end"/>
      </w:r>
      <w:r>
        <w:fldChar w:fldCharType="end"/>
      </w:r>
    </w:p>
    <w:p w14:paraId="2FCAB2BD">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"_Toc95489778" </w:instrText>
      </w:r>
      <w:r>
        <w:fldChar w:fldCharType="separate"/>
      </w:r>
      <w:r>
        <w:rPr>
          <w:rStyle w:val="14"/>
        </w:rPr>
        <w:t>A.</w:t>
      </w:r>
      <w:r>
        <w:rPr>
          <w:rFonts w:asciiTheme="minorHAnsi" w:hAnsiTheme="minorHAnsi" w:eastAsiaTheme="minorEastAsia"/>
          <w:kern w:val="2"/>
          <w:sz w:val="21"/>
          <w:szCs w:val="22"/>
          <w:lang w:eastAsia="zh-CN"/>
        </w:rPr>
        <w:tab/>
      </w:r>
      <w:r>
        <w:rPr>
          <w:rStyle w:val="14"/>
          <w:rFonts w:hint="eastAsia" w:ascii="宋体" w:hAnsi="宋体" w:eastAsia="宋体" w:cs="宋体"/>
        </w:rPr>
        <w:t>一般信息</w:t>
      </w:r>
      <w:r>
        <w:tab/>
      </w:r>
      <w:r>
        <w:fldChar w:fldCharType="begin"/>
      </w:r>
      <w:r>
        <w:instrText xml:space="preserve"> PAGEREF _Toc95489778 \h </w:instrText>
      </w:r>
      <w:r>
        <w:fldChar w:fldCharType="separate"/>
      </w:r>
      <w:r>
        <w:t>19</w:t>
      </w:r>
      <w:r>
        <w:fldChar w:fldCharType="end"/>
      </w:r>
      <w:r>
        <w:fldChar w:fldCharType="end"/>
      </w:r>
    </w:p>
    <w:p w14:paraId="0E37D587">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"_Toc95489779" </w:instrText>
      </w:r>
      <w:r>
        <w:fldChar w:fldCharType="separate"/>
      </w:r>
      <w:r>
        <w:rPr>
          <w:rStyle w:val="14"/>
        </w:rPr>
        <w:t>B.</w:t>
      </w:r>
      <w:r>
        <w:rPr>
          <w:rFonts w:asciiTheme="minorHAnsi" w:hAnsiTheme="minorHAnsi" w:eastAsiaTheme="minorEastAsia"/>
          <w:kern w:val="2"/>
          <w:sz w:val="21"/>
          <w:szCs w:val="22"/>
          <w:lang w:eastAsia="zh-CN"/>
        </w:rPr>
        <w:tab/>
      </w:r>
      <w:r>
        <w:rPr>
          <w:rStyle w:val="14"/>
          <w:rFonts w:hint="eastAsia" w:ascii="宋体" w:hAnsi="宋体" w:eastAsia="宋体" w:cs="宋体"/>
        </w:rPr>
        <w:t>患者统计</w:t>
      </w:r>
      <w:r>
        <w:tab/>
      </w:r>
      <w:r>
        <w:fldChar w:fldCharType="begin"/>
      </w:r>
      <w:r>
        <w:instrText xml:space="preserve"> PAGEREF _Toc95489779 \h </w:instrText>
      </w:r>
      <w:r>
        <w:fldChar w:fldCharType="separate"/>
      </w:r>
      <w:r>
        <w:t>22</w:t>
      </w:r>
      <w:r>
        <w:fldChar w:fldCharType="end"/>
      </w:r>
      <w:r>
        <w:fldChar w:fldCharType="end"/>
      </w:r>
    </w:p>
    <w:p w14:paraId="0F075FDB">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"_Toc95489780" </w:instrText>
      </w:r>
      <w:r>
        <w:fldChar w:fldCharType="separate"/>
      </w:r>
      <w:r>
        <w:rPr>
          <w:rStyle w:val="14"/>
        </w:rPr>
        <w:t>C.</w:t>
      </w:r>
      <w:r>
        <w:rPr>
          <w:rFonts w:asciiTheme="minorHAnsi" w:hAnsiTheme="minorHAnsi" w:eastAsiaTheme="minorEastAsia"/>
          <w:kern w:val="2"/>
          <w:sz w:val="21"/>
          <w:szCs w:val="22"/>
          <w:lang w:eastAsia="zh-CN"/>
        </w:rPr>
        <w:tab/>
      </w:r>
      <w:r>
        <w:rPr>
          <w:rStyle w:val="14"/>
          <w:rFonts w:hint="eastAsia" w:ascii="宋体" w:hAnsi="宋体" w:eastAsia="宋体" w:cs="宋体"/>
        </w:rPr>
        <w:t>人口统计学和基线特征</w:t>
      </w:r>
      <w:r>
        <w:tab/>
      </w:r>
      <w:r>
        <w:fldChar w:fldCharType="begin"/>
      </w:r>
      <w:r>
        <w:instrText xml:space="preserve"> PAGEREF _Toc95489780 \h </w:instrText>
      </w:r>
      <w:r>
        <w:fldChar w:fldCharType="separate"/>
      </w:r>
      <w:r>
        <w:t>23</w:t>
      </w:r>
      <w:r>
        <w:fldChar w:fldCharType="end"/>
      </w:r>
      <w:r>
        <w:fldChar w:fldCharType="end"/>
      </w:r>
    </w:p>
    <w:p w14:paraId="28F516CC">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"_Toc95489781" </w:instrText>
      </w:r>
      <w:r>
        <w:fldChar w:fldCharType="separate"/>
      </w:r>
      <w:r>
        <w:rPr>
          <w:rStyle w:val="14"/>
        </w:rPr>
        <w:t>D.</w:t>
      </w:r>
      <w:r>
        <w:rPr>
          <w:rFonts w:asciiTheme="minorHAnsi" w:hAnsiTheme="minorHAnsi" w:eastAsiaTheme="minorEastAsia"/>
          <w:kern w:val="2"/>
          <w:sz w:val="21"/>
          <w:szCs w:val="22"/>
          <w:lang w:eastAsia="zh-CN"/>
        </w:rPr>
        <w:tab/>
      </w:r>
      <w:r>
        <w:rPr>
          <w:rStyle w:val="14"/>
          <w:rFonts w:hint="eastAsia" w:ascii="宋体" w:hAnsi="宋体" w:eastAsia="宋体" w:cs="宋体"/>
        </w:rPr>
        <w:t>安全性评估</w:t>
      </w:r>
      <w:r>
        <w:rPr>
          <w:rStyle w:val="14"/>
        </w:rPr>
        <w:t xml:space="preserve"> - </w:t>
      </w:r>
      <w:r>
        <w:rPr>
          <w:rStyle w:val="14"/>
          <w:rFonts w:hint="eastAsia" w:ascii="宋体" w:hAnsi="宋体" w:eastAsia="宋体" w:cs="宋体"/>
        </w:rPr>
        <w:t>并发症</w:t>
      </w:r>
      <w:r>
        <w:tab/>
      </w:r>
      <w:r>
        <w:fldChar w:fldCharType="begin"/>
      </w:r>
      <w:r>
        <w:instrText xml:space="preserve"> PAGEREF _Toc95489781 \h </w:instrText>
      </w:r>
      <w:r>
        <w:fldChar w:fldCharType="separate"/>
      </w:r>
      <w:r>
        <w:t>24</w:t>
      </w:r>
      <w:r>
        <w:fldChar w:fldCharType="end"/>
      </w:r>
      <w:r>
        <w:fldChar w:fldCharType="end"/>
      </w:r>
    </w:p>
    <w:p w14:paraId="5D785976">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"_Toc95489782" </w:instrText>
      </w:r>
      <w:r>
        <w:fldChar w:fldCharType="separate"/>
      </w:r>
      <w:r>
        <w:rPr>
          <w:rStyle w:val="14"/>
        </w:rPr>
        <w:t>E.</w:t>
      </w:r>
      <w:r>
        <w:rPr>
          <w:rFonts w:asciiTheme="minorHAnsi" w:hAnsiTheme="minorHAnsi" w:eastAsiaTheme="minorEastAsia"/>
          <w:kern w:val="2"/>
          <w:sz w:val="21"/>
          <w:szCs w:val="22"/>
          <w:lang w:eastAsia="zh-CN"/>
        </w:rPr>
        <w:tab/>
      </w:r>
      <w:r>
        <w:rPr>
          <w:rStyle w:val="14"/>
          <w:rFonts w:hint="eastAsia" w:ascii="宋体" w:hAnsi="宋体" w:eastAsia="宋体" w:cs="宋体"/>
        </w:rPr>
        <w:t>安全性评估</w:t>
      </w:r>
      <w:r>
        <w:rPr>
          <w:rStyle w:val="14"/>
        </w:rPr>
        <w:t xml:space="preserve"> - </w:t>
      </w:r>
      <w:r>
        <w:rPr>
          <w:rStyle w:val="14"/>
          <w:rFonts w:hint="eastAsia" w:ascii="宋体" w:hAnsi="宋体" w:eastAsia="宋体" w:cs="宋体"/>
        </w:rPr>
        <w:t>破裂</w:t>
      </w:r>
      <w:r>
        <w:tab/>
      </w:r>
      <w:r>
        <w:fldChar w:fldCharType="begin"/>
      </w:r>
      <w:r>
        <w:instrText xml:space="preserve"> PAGEREF _Toc95489782 \h </w:instrText>
      </w:r>
      <w:r>
        <w:fldChar w:fldCharType="separate"/>
      </w:r>
      <w:r>
        <w:t>27</w:t>
      </w:r>
      <w:r>
        <w:fldChar w:fldCharType="end"/>
      </w:r>
      <w:r>
        <w:fldChar w:fldCharType="end"/>
      </w:r>
    </w:p>
    <w:p w14:paraId="6D0CFD66">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"_Toc95489783" </w:instrText>
      </w:r>
      <w:r>
        <w:fldChar w:fldCharType="separate"/>
      </w:r>
      <w:r>
        <w:rPr>
          <w:rStyle w:val="14"/>
        </w:rPr>
        <w:t>F.</w:t>
      </w:r>
      <w:r>
        <w:rPr>
          <w:rFonts w:asciiTheme="minorHAnsi" w:hAnsiTheme="minorHAnsi" w:eastAsiaTheme="minorEastAsia"/>
          <w:kern w:val="2"/>
          <w:sz w:val="21"/>
          <w:szCs w:val="22"/>
          <w:lang w:eastAsia="zh-CN"/>
        </w:rPr>
        <w:tab/>
      </w:r>
      <w:r>
        <w:rPr>
          <w:rStyle w:val="14"/>
          <w:rFonts w:hint="eastAsia" w:ascii="宋体" w:hAnsi="宋体" w:eastAsia="宋体" w:cs="宋体"/>
        </w:rPr>
        <w:t>安全性评估</w:t>
      </w:r>
      <w:r>
        <w:rPr>
          <w:rStyle w:val="14"/>
        </w:rPr>
        <w:t xml:space="preserve"> - </w:t>
      </w:r>
      <w:r>
        <w:rPr>
          <w:rStyle w:val="14"/>
          <w:rFonts w:hint="eastAsia" w:ascii="宋体" w:hAnsi="宋体" w:eastAsia="宋体" w:cs="宋体"/>
        </w:rPr>
        <w:t>结缔组织疾病（</w:t>
      </w:r>
      <w:r>
        <w:rPr>
          <w:rStyle w:val="14"/>
        </w:rPr>
        <w:t>CTDs</w:t>
      </w:r>
      <w:r>
        <w:rPr>
          <w:rStyle w:val="14"/>
          <w:rFonts w:hint="eastAsia" w:ascii="宋体" w:hAnsi="宋体" w:eastAsia="宋体" w:cs="宋体"/>
        </w:rPr>
        <w:t>）</w:t>
      </w:r>
      <w:r>
        <w:tab/>
      </w:r>
      <w:r>
        <w:fldChar w:fldCharType="begin"/>
      </w:r>
      <w:r>
        <w:instrText xml:space="preserve"> PAGEREF _Toc95489783 \h </w:instrText>
      </w:r>
      <w:r>
        <w:fldChar w:fldCharType="separate"/>
      </w:r>
      <w:r>
        <w:t>29</w:t>
      </w:r>
      <w:r>
        <w:fldChar w:fldCharType="end"/>
      </w:r>
      <w:r>
        <w:fldChar w:fldCharType="end"/>
      </w:r>
    </w:p>
    <w:p w14:paraId="266223B9">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"_Toc95489784" </w:instrText>
      </w:r>
      <w:r>
        <w:fldChar w:fldCharType="separate"/>
      </w:r>
      <w:r>
        <w:rPr>
          <w:rStyle w:val="14"/>
        </w:rPr>
        <w:t>G.</w:t>
      </w:r>
      <w:r>
        <w:rPr>
          <w:rFonts w:asciiTheme="minorHAnsi" w:hAnsiTheme="minorHAnsi" w:eastAsiaTheme="minorEastAsia"/>
          <w:kern w:val="2"/>
          <w:sz w:val="21"/>
          <w:szCs w:val="22"/>
          <w:lang w:eastAsia="zh-CN"/>
        </w:rPr>
        <w:tab/>
      </w:r>
      <w:r>
        <w:rPr>
          <w:rStyle w:val="14"/>
          <w:rFonts w:hint="eastAsia" w:ascii="宋体" w:hAnsi="宋体" w:eastAsia="宋体" w:cs="宋体"/>
        </w:rPr>
        <w:t>安全性评估</w:t>
      </w:r>
      <w:r>
        <w:rPr>
          <w:rStyle w:val="14"/>
        </w:rPr>
        <w:t xml:space="preserve"> - </w:t>
      </w:r>
      <w:r>
        <w:rPr>
          <w:rStyle w:val="14"/>
          <w:rFonts w:hint="eastAsia" w:ascii="宋体" w:hAnsi="宋体" w:eastAsia="宋体" w:cs="宋体"/>
        </w:rPr>
        <w:t>乳腺</w:t>
      </w:r>
      <w:r>
        <w:rPr>
          <w:rStyle w:val="14"/>
        </w:rPr>
        <w:t>X</w:t>
      </w:r>
      <w:r>
        <w:rPr>
          <w:rStyle w:val="14"/>
          <w:rFonts w:hint="eastAsia" w:ascii="宋体" w:hAnsi="宋体" w:eastAsia="宋体" w:cs="宋体"/>
        </w:rPr>
        <w:t>射线摄影数据</w:t>
      </w:r>
      <w:r>
        <w:tab/>
      </w:r>
      <w:r>
        <w:fldChar w:fldCharType="begin"/>
      </w:r>
      <w:r>
        <w:instrText xml:space="preserve"> PAGEREF _Toc95489784 \h </w:instrText>
      </w:r>
      <w:r>
        <w:fldChar w:fldCharType="separate"/>
      </w:r>
      <w:r>
        <w:t>32</w:t>
      </w:r>
      <w:r>
        <w:fldChar w:fldCharType="end"/>
      </w:r>
      <w:r>
        <w:fldChar w:fldCharType="end"/>
      </w:r>
    </w:p>
    <w:p w14:paraId="1E0138D1">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"_Toc95489785" </w:instrText>
      </w:r>
      <w:r>
        <w:fldChar w:fldCharType="separate"/>
      </w:r>
      <w:r>
        <w:rPr>
          <w:rStyle w:val="14"/>
        </w:rPr>
        <w:t>H.</w:t>
      </w:r>
      <w:r>
        <w:rPr>
          <w:rFonts w:asciiTheme="minorHAnsi" w:hAnsiTheme="minorHAnsi" w:eastAsiaTheme="minorEastAsia"/>
          <w:kern w:val="2"/>
          <w:sz w:val="21"/>
          <w:szCs w:val="22"/>
          <w:lang w:eastAsia="zh-CN"/>
        </w:rPr>
        <w:tab/>
      </w:r>
      <w:r>
        <w:rPr>
          <w:rStyle w:val="14"/>
          <w:rFonts w:hint="eastAsia" w:ascii="宋体" w:hAnsi="宋体" w:eastAsia="宋体" w:cs="宋体"/>
        </w:rPr>
        <w:t>有效性评估</w:t>
      </w:r>
      <w:r>
        <w:tab/>
      </w:r>
      <w:r>
        <w:fldChar w:fldCharType="begin"/>
      </w:r>
      <w:r>
        <w:instrText xml:space="preserve"> PAGEREF _Toc95489785 \h </w:instrText>
      </w:r>
      <w:r>
        <w:fldChar w:fldCharType="separate"/>
      </w:r>
      <w:r>
        <w:t>32</w:t>
      </w:r>
      <w:r>
        <w:fldChar w:fldCharType="end"/>
      </w:r>
      <w:r>
        <w:fldChar w:fldCharType="end"/>
      </w:r>
    </w:p>
    <w:p w14:paraId="2FED5DC7">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"_Toc95489786" </w:instrText>
      </w:r>
      <w:r>
        <w:fldChar w:fldCharType="separate"/>
      </w:r>
      <w:r>
        <w:rPr>
          <w:rStyle w:val="14"/>
        </w:rPr>
        <w:t>I.</w:t>
      </w:r>
      <w:r>
        <w:rPr>
          <w:rFonts w:asciiTheme="minorHAnsi" w:hAnsiTheme="minorHAnsi" w:eastAsiaTheme="minorEastAsia"/>
          <w:kern w:val="2"/>
          <w:sz w:val="21"/>
          <w:szCs w:val="22"/>
          <w:lang w:eastAsia="zh-CN"/>
        </w:rPr>
        <w:tab/>
      </w:r>
      <w:r>
        <w:rPr>
          <w:rStyle w:val="14"/>
          <w:rFonts w:hint="eastAsia" w:ascii="宋体" w:hAnsi="宋体" w:eastAsia="宋体" w:cs="宋体"/>
        </w:rPr>
        <w:t>其他统计学分析</w:t>
      </w:r>
      <w:r>
        <w:tab/>
      </w:r>
      <w:r>
        <w:fldChar w:fldCharType="begin"/>
      </w:r>
      <w:r>
        <w:instrText xml:space="preserve"> PAGEREF _Toc95489786 \h </w:instrText>
      </w:r>
      <w:r>
        <w:fldChar w:fldCharType="separate"/>
      </w:r>
      <w:r>
        <w:t>34</w:t>
      </w:r>
      <w:r>
        <w:fldChar w:fldCharType="end"/>
      </w:r>
      <w:r>
        <w:fldChar w:fldCharType="end"/>
      </w:r>
    </w:p>
    <w:p w14:paraId="40336972">
      <w:pPr>
        <w:pStyle w:val="9"/>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"_Toc95489787" </w:instrText>
      </w:r>
      <w:r>
        <w:fldChar w:fldCharType="separate"/>
      </w:r>
      <w:r>
        <w:rPr>
          <w:rStyle w:val="14"/>
        </w:rPr>
        <w:t>IX.</w:t>
      </w:r>
      <w:r>
        <w:rPr>
          <w:rFonts w:asciiTheme="minorHAnsi" w:hAnsiTheme="minorHAnsi" w:eastAsiaTheme="minorEastAsia"/>
          <w:kern w:val="2"/>
          <w:sz w:val="21"/>
          <w:szCs w:val="22"/>
          <w:lang w:eastAsia="zh-CN"/>
        </w:rPr>
        <w:tab/>
      </w:r>
      <w:r>
        <w:rPr>
          <w:rStyle w:val="14"/>
          <w:rFonts w:hint="eastAsia" w:ascii="宋体" w:hAnsi="宋体" w:eastAsia="宋体" w:cs="宋体"/>
        </w:rPr>
        <w:t>其他临床数据</w:t>
      </w:r>
      <w:r>
        <w:tab/>
      </w:r>
      <w:r>
        <w:fldChar w:fldCharType="begin"/>
      </w:r>
      <w:r>
        <w:instrText xml:space="preserve"> PAGEREF _Toc95489787 \h </w:instrText>
      </w:r>
      <w:r>
        <w:fldChar w:fldCharType="separate"/>
      </w:r>
      <w:r>
        <w:t>35</w:t>
      </w:r>
      <w:r>
        <w:fldChar w:fldCharType="end"/>
      </w:r>
      <w:r>
        <w:fldChar w:fldCharType="end"/>
      </w:r>
    </w:p>
    <w:p w14:paraId="0F60FF34">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"_Toc95489788" </w:instrText>
      </w:r>
      <w:r>
        <w:fldChar w:fldCharType="separate"/>
      </w:r>
      <w:r>
        <w:rPr>
          <w:rStyle w:val="14"/>
        </w:rPr>
        <w:t>A.</w:t>
      </w:r>
      <w:r>
        <w:rPr>
          <w:rFonts w:asciiTheme="minorHAnsi" w:hAnsiTheme="minorHAnsi" w:eastAsiaTheme="minorEastAsia"/>
          <w:kern w:val="2"/>
          <w:sz w:val="21"/>
          <w:szCs w:val="22"/>
          <w:lang w:eastAsia="zh-CN"/>
        </w:rPr>
        <w:tab/>
      </w:r>
      <w:r>
        <w:rPr>
          <w:rStyle w:val="14"/>
          <w:rFonts w:hint="eastAsia" w:ascii="宋体" w:hAnsi="宋体" w:eastAsia="宋体" w:cs="宋体"/>
        </w:rPr>
        <w:t>说明破裂的补充临床资料</w:t>
      </w:r>
      <w:r>
        <w:tab/>
      </w:r>
      <w:r>
        <w:fldChar w:fldCharType="begin"/>
      </w:r>
      <w:r>
        <w:instrText xml:space="preserve"> PAGEREF _Toc95489788 \h </w:instrText>
      </w:r>
      <w:r>
        <w:fldChar w:fldCharType="separate"/>
      </w:r>
      <w:r>
        <w:t>35</w:t>
      </w:r>
      <w:r>
        <w:fldChar w:fldCharType="end"/>
      </w:r>
      <w:r>
        <w:fldChar w:fldCharType="end"/>
      </w:r>
    </w:p>
    <w:p w14:paraId="172B17A1">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"_Toc95489789" </w:instrText>
      </w:r>
      <w:r>
        <w:fldChar w:fldCharType="separate"/>
      </w:r>
      <w:r>
        <w:rPr>
          <w:rStyle w:val="14"/>
        </w:rPr>
        <w:t>B.</w:t>
      </w:r>
      <w:r>
        <w:rPr>
          <w:rFonts w:asciiTheme="minorHAnsi" w:hAnsiTheme="minorHAnsi" w:eastAsiaTheme="minorEastAsia"/>
          <w:kern w:val="2"/>
          <w:sz w:val="21"/>
          <w:szCs w:val="22"/>
          <w:lang w:eastAsia="zh-CN"/>
        </w:rPr>
        <w:tab/>
      </w:r>
      <w:r>
        <w:rPr>
          <w:rStyle w:val="14"/>
          <w:rFonts w:hint="eastAsia" w:ascii="宋体" w:hAnsi="宋体" w:eastAsia="宋体" w:cs="宋体"/>
        </w:rPr>
        <w:t>补充文献资料</w:t>
      </w:r>
      <w:r>
        <w:tab/>
      </w:r>
      <w:r>
        <w:fldChar w:fldCharType="begin"/>
      </w:r>
      <w:r>
        <w:instrText xml:space="preserve"> PAGEREF _Toc95489789 \h </w:instrText>
      </w:r>
      <w:r>
        <w:fldChar w:fldCharType="separate"/>
      </w:r>
      <w:r>
        <w:t>36</w:t>
      </w:r>
      <w:r>
        <w:fldChar w:fldCharType="end"/>
      </w:r>
      <w:r>
        <w:fldChar w:fldCharType="end"/>
      </w:r>
    </w:p>
    <w:p w14:paraId="6B3635A1">
      <w:pPr>
        <w:pStyle w:val="9"/>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"_Toc95489790" </w:instrText>
      </w:r>
      <w:r>
        <w:fldChar w:fldCharType="separate"/>
      </w:r>
      <w:r>
        <w:rPr>
          <w:rStyle w:val="14"/>
        </w:rPr>
        <w:t>X.</w:t>
      </w:r>
      <w:r>
        <w:rPr>
          <w:rFonts w:asciiTheme="minorHAnsi" w:hAnsiTheme="minorHAnsi" w:eastAsiaTheme="minorEastAsia"/>
          <w:kern w:val="2"/>
          <w:sz w:val="21"/>
          <w:szCs w:val="22"/>
          <w:lang w:eastAsia="zh-CN"/>
        </w:rPr>
        <w:tab/>
      </w:r>
      <w:r>
        <w:rPr>
          <w:rStyle w:val="14"/>
          <w:rFonts w:hint="eastAsia" w:ascii="宋体" w:hAnsi="宋体" w:eastAsia="宋体" w:cs="宋体"/>
        </w:rPr>
        <w:t>标签</w:t>
      </w:r>
      <w:r>
        <w:tab/>
      </w:r>
      <w:r>
        <w:fldChar w:fldCharType="begin"/>
      </w:r>
      <w:r>
        <w:instrText xml:space="preserve"> PAGEREF _Toc95489790 \h </w:instrText>
      </w:r>
      <w:r>
        <w:fldChar w:fldCharType="separate"/>
      </w:r>
      <w:r>
        <w:t>37</w:t>
      </w:r>
      <w:r>
        <w:fldChar w:fldCharType="end"/>
      </w:r>
      <w:r>
        <w:fldChar w:fldCharType="end"/>
      </w:r>
    </w:p>
    <w:p w14:paraId="19B45FE5">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"_Toc95489791" </w:instrText>
      </w:r>
      <w:r>
        <w:fldChar w:fldCharType="separate"/>
      </w:r>
      <w:r>
        <w:rPr>
          <w:rStyle w:val="14"/>
        </w:rPr>
        <w:t>A.</w:t>
      </w:r>
      <w:r>
        <w:rPr>
          <w:rFonts w:asciiTheme="minorHAnsi" w:hAnsiTheme="minorHAnsi" w:eastAsiaTheme="minorEastAsia"/>
          <w:kern w:val="2"/>
          <w:sz w:val="21"/>
          <w:szCs w:val="22"/>
          <w:lang w:eastAsia="zh-CN"/>
        </w:rPr>
        <w:tab/>
      </w:r>
      <w:r>
        <w:rPr>
          <w:rStyle w:val="14"/>
          <w:rFonts w:hint="eastAsia" w:ascii="宋体" w:hAnsi="宋体" w:eastAsia="宋体" w:cs="宋体"/>
        </w:rPr>
        <w:t>一般信息</w:t>
      </w:r>
      <w:r>
        <w:tab/>
      </w:r>
      <w:r>
        <w:fldChar w:fldCharType="begin"/>
      </w:r>
      <w:r>
        <w:instrText xml:space="preserve"> PAGEREF _Toc95489791 \h </w:instrText>
      </w:r>
      <w:r>
        <w:fldChar w:fldCharType="separate"/>
      </w:r>
      <w:r>
        <w:t>37</w:t>
      </w:r>
      <w:r>
        <w:fldChar w:fldCharType="end"/>
      </w:r>
      <w:r>
        <w:fldChar w:fldCharType="end"/>
      </w:r>
    </w:p>
    <w:p w14:paraId="37CF9827">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"_Toc95489792" </w:instrText>
      </w:r>
      <w:r>
        <w:fldChar w:fldCharType="separate"/>
      </w:r>
      <w:r>
        <w:rPr>
          <w:rStyle w:val="14"/>
        </w:rPr>
        <w:t>B.</w:t>
      </w:r>
      <w:r>
        <w:rPr>
          <w:rFonts w:asciiTheme="minorHAnsi" w:hAnsiTheme="minorHAnsi" w:eastAsiaTheme="minorEastAsia"/>
          <w:kern w:val="2"/>
          <w:sz w:val="21"/>
          <w:szCs w:val="22"/>
          <w:lang w:eastAsia="zh-CN"/>
        </w:rPr>
        <w:tab/>
      </w:r>
      <w:r>
        <w:rPr>
          <w:rStyle w:val="14"/>
          <w:rFonts w:hint="eastAsia" w:ascii="宋体" w:hAnsi="宋体" w:eastAsia="宋体" w:cs="宋体"/>
        </w:rPr>
        <w:t>医师标签</w:t>
      </w:r>
      <w:r>
        <w:tab/>
      </w:r>
      <w:r>
        <w:fldChar w:fldCharType="begin"/>
      </w:r>
      <w:r>
        <w:instrText xml:space="preserve"> PAGEREF _Toc95489792 \h </w:instrText>
      </w:r>
      <w:r>
        <w:fldChar w:fldCharType="separate"/>
      </w:r>
      <w:r>
        <w:t>37</w:t>
      </w:r>
      <w:r>
        <w:fldChar w:fldCharType="end"/>
      </w:r>
      <w:r>
        <w:fldChar w:fldCharType="end"/>
      </w:r>
    </w:p>
    <w:p w14:paraId="320CE058">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"_Toc95489793" </w:instrText>
      </w:r>
      <w:r>
        <w:fldChar w:fldCharType="separate"/>
      </w:r>
      <w:r>
        <w:rPr>
          <w:rStyle w:val="14"/>
        </w:rPr>
        <w:t>C.</w:t>
      </w:r>
      <w:r>
        <w:rPr>
          <w:rFonts w:asciiTheme="minorHAnsi" w:hAnsiTheme="minorHAnsi" w:eastAsiaTheme="minorEastAsia"/>
          <w:kern w:val="2"/>
          <w:sz w:val="21"/>
          <w:szCs w:val="22"/>
          <w:lang w:eastAsia="zh-CN"/>
        </w:rPr>
        <w:tab/>
      </w:r>
      <w:r>
        <w:rPr>
          <w:rStyle w:val="14"/>
          <w:rFonts w:hint="eastAsia" w:ascii="宋体" w:hAnsi="宋体" w:eastAsia="宋体" w:cs="宋体"/>
        </w:rPr>
        <w:t>患者标签</w:t>
      </w:r>
      <w:r>
        <w:tab/>
      </w:r>
      <w:r>
        <w:fldChar w:fldCharType="begin"/>
      </w:r>
      <w:r>
        <w:instrText xml:space="preserve"> PAGEREF _Toc95489793 \h </w:instrText>
      </w:r>
      <w:r>
        <w:fldChar w:fldCharType="separate"/>
      </w:r>
      <w:r>
        <w:t>39</w:t>
      </w:r>
      <w:r>
        <w:fldChar w:fldCharType="end"/>
      </w:r>
      <w:r>
        <w:fldChar w:fldCharType="end"/>
      </w:r>
    </w:p>
    <w:p w14:paraId="33075115">
      <w:pPr>
        <w:pStyle w:val="9"/>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"_Toc95489794" </w:instrText>
      </w:r>
      <w:r>
        <w:fldChar w:fldCharType="separate"/>
      </w:r>
      <w:r>
        <w:rPr>
          <w:rStyle w:val="14"/>
        </w:rPr>
        <w:t>XI.</w:t>
      </w:r>
      <w:r>
        <w:rPr>
          <w:rFonts w:asciiTheme="minorHAnsi" w:hAnsiTheme="minorHAnsi" w:eastAsiaTheme="minorEastAsia"/>
          <w:kern w:val="2"/>
          <w:sz w:val="21"/>
          <w:szCs w:val="22"/>
          <w:lang w:eastAsia="zh-CN"/>
        </w:rPr>
        <w:tab/>
      </w:r>
      <w:r>
        <w:rPr>
          <w:rStyle w:val="14"/>
          <w:rFonts w:hint="eastAsia" w:ascii="宋体" w:hAnsi="宋体" w:eastAsia="宋体" w:cs="宋体"/>
        </w:rPr>
        <w:t>批准后要求</w:t>
      </w:r>
      <w:r>
        <w:tab/>
      </w:r>
      <w:r>
        <w:fldChar w:fldCharType="begin"/>
      </w:r>
      <w:r>
        <w:instrText xml:space="preserve"> PAGEREF _Toc95489794 \h </w:instrText>
      </w:r>
      <w:r>
        <w:fldChar w:fldCharType="separate"/>
      </w:r>
      <w:r>
        <w:t>40</w:t>
      </w:r>
      <w:r>
        <w:fldChar w:fldCharType="end"/>
      </w:r>
      <w:r>
        <w:fldChar w:fldCharType="end"/>
      </w:r>
    </w:p>
    <w:p w14:paraId="66F2BD62">
      <w:pPr>
        <w:pStyle w:val="9"/>
        <w:tabs>
          <w:tab w:val="left" w:pos="479"/>
          <w:tab w:val="right" w:leader="dot" w:pos="9350"/>
        </w:tabs>
        <w:adjustRightInd w:val="0"/>
        <w:snapToGrid w:val="0"/>
        <w:spacing w:before="60" w:beforeLines="25" w:line="300" w:lineRule="auto"/>
        <w:ind w:left="0" w:firstLine="0"/>
        <w:jc w:val="both"/>
        <w:rPr>
          <w:rFonts w:eastAsia="宋体" w:cs="Times New Roman"/>
          <w:snapToGrid w:val="0"/>
          <w:lang w:eastAsia="zh-CN"/>
        </w:rPr>
      </w:pPr>
      <w:r>
        <w:rPr>
          <w:rFonts w:eastAsia="宋体" w:cs="Times New Roman"/>
          <w:snapToGrid w:val="0"/>
          <w:lang w:eastAsia="zh-CN"/>
        </w:rPr>
        <w:fldChar w:fldCharType="end"/>
      </w:r>
    </w:p>
    <w:p w14:paraId="0958536A">
      <w:pPr>
        <w:rPr>
          <w:rFonts w:ascii="Times New Roman" w:hAnsi="Times New Roman" w:eastAsia="宋体" w:cs="Times New Roman"/>
          <w:snapToGrid w:val="0"/>
          <w:sz w:val="24"/>
          <w:szCs w:val="24"/>
        </w:rPr>
      </w:pPr>
    </w:p>
    <w:p w14:paraId="1C84B1D2">
      <w:pPr>
        <w:rPr>
          <w:rFonts w:ascii="Times New Roman" w:hAnsi="Times New Roman" w:eastAsia="宋体" w:cs="Times New Roman"/>
          <w:snapToGrid w:val="0"/>
          <w:sz w:val="24"/>
          <w:szCs w:val="24"/>
          <w:lang w:eastAsia="zh-CN"/>
        </w:rPr>
      </w:pPr>
    </w:p>
    <w:p w14:paraId="29A6947D">
      <w:pPr>
        <w:rPr>
          <w:rFonts w:ascii="Times New Roman" w:hAnsi="Times New Roman" w:eastAsia="宋体" w:cs="Times New Roman"/>
          <w:snapToGrid w:val="0"/>
          <w:sz w:val="24"/>
          <w:szCs w:val="24"/>
        </w:rPr>
        <w:sectPr>
          <w:headerReference r:id="rId3" w:type="default"/>
          <w:pgSz w:w="11907" w:h="16839"/>
          <w:pgMar w:top="1418" w:right="1418" w:bottom="1418" w:left="1418" w:header="720" w:footer="720" w:gutter="0"/>
          <w:cols w:space="720" w:num="1"/>
          <w:docGrid w:linePitch="299" w:charSpace="0"/>
        </w:sectPr>
      </w:pPr>
      <w:r>
        <w:rPr>
          <w:rFonts w:ascii="Times New Roman" w:hAnsi="Times New Roman" w:eastAsia="宋体" w:cs="宋体"/>
          <w:sz w:val="24"/>
        </w:rPr>
        <w:br w:type="page"/>
      </w:r>
    </w:p>
    <w:p w14:paraId="769B5905">
      <w:pPr>
        <w:pBdr>
          <w:bottom w:val="single" w:color="auto" w:sz="4" w:space="1"/>
        </w:pBdr>
        <w:adjustRightInd w:val="0"/>
        <w:snapToGrid w:val="0"/>
        <w:spacing w:before="120" w:beforeLines="50" w:line="300" w:lineRule="auto"/>
        <w:jc w:val="center"/>
        <w:rPr>
          <w:rFonts w:ascii="Times New Roman" w:hAnsi="Times New Roman" w:eastAsia="宋体" w:cs="Times New Roman"/>
          <w:snapToGrid w:val="0"/>
          <w:sz w:val="44"/>
          <w:szCs w:val="44"/>
          <w:lang w:eastAsia="zh-CN"/>
        </w:rPr>
      </w:pPr>
      <w:r>
        <w:rPr>
          <w:rFonts w:ascii="Times New Roman" w:hAnsi="Times New Roman" w:eastAsia="宋体" w:cs="宋体"/>
          <w:b/>
          <w:sz w:val="44"/>
          <w:szCs w:val="44"/>
          <w:lang w:eastAsia="zh-CN"/>
        </w:rPr>
        <w:t>盐水、硅凝胶及其他乳房植入体</w:t>
      </w:r>
    </w:p>
    <w:p w14:paraId="40B31E4F">
      <w:pPr>
        <w:adjustRightInd w:val="0"/>
        <w:snapToGrid w:val="0"/>
        <w:spacing w:before="120" w:beforeLines="50" w:line="300" w:lineRule="auto"/>
        <w:jc w:val="center"/>
        <w:rPr>
          <w:rFonts w:ascii="Times New Roman" w:hAnsi="Times New Roman" w:eastAsia="宋体" w:cs="Times New Roman"/>
          <w:snapToGrid w:val="0"/>
          <w:sz w:val="44"/>
          <w:szCs w:val="44"/>
          <w:lang w:eastAsia="zh-CN"/>
        </w:rPr>
      </w:pPr>
      <w:r>
        <w:rPr>
          <w:rFonts w:ascii="Times New Roman" w:hAnsi="Times New Roman" w:eastAsia="宋体" w:cs="宋体"/>
          <w:b/>
          <w:sz w:val="44"/>
          <w:szCs w:val="44"/>
          <w:lang w:eastAsia="zh-CN"/>
        </w:rPr>
        <w:t>行业和美国食品药品监督管理局工作人员指南</w:t>
      </w:r>
    </w:p>
    <w:p w14:paraId="329EA28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tbl>
      <w:tblPr>
        <w:tblStyle w:val="15"/>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287"/>
      </w:tblGrid>
      <w:tr w14:paraId="1874CFBC">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c>
          <w:tcPr>
            <w:tcW w:w="5000" w:type="pct"/>
          </w:tcPr>
          <w:p w14:paraId="0ACDE91E">
            <w:pPr>
              <w:pStyle w:val="17"/>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hint="eastAsia" w:ascii="Times New Roman" w:hAnsi="Times New Roman" w:eastAsia="宋体" w:cs="宋体"/>
                <w:b/>
                <w:i/>
                <w:sz w:val="21"/>
                <w:szCs w:val="21"/>
                <w:lang w:eastAsia="zh-CN"/>
              </w:rPr>
              <w:t>本指南的定稿将代表美国食品药品监督管理局（FDA或本机构）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tc>
      </w:tr>
    </w:tbl>
    <w:p w14:paraId="54521CB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6D255666">
      <w:pPr>
        <w:pStyle w:val="22"/>
      </w:pPr>
      <w:bookmarkStart w:id="0" w:name="_Toc95489746"/>
      <w:r>
        <w:t>I.</w:t>
      </w:r>
      <w:r>
        <w:tab/>
      </w:r>
      <w:r>
        <w:t>引言</w:t>
      </w:r>
      <w:bookmarkEnd w:id="0"/>
    </w:p>
    <w:p w14:paraId="4C707BC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本指南文件确定了</w:t>
      </w:r>
      <w:r>
        <w:rPr>
          <w:rFonts w:hint="eastAsia" w:ascii="Times New Roman" w:hAnsi="Times New Roman" w:eastAsia="宋体" w:cs="宋体"/>
          <w:sz w:val="24"/>
          <w:lang w:eastAsia="zh-CN"/>
        </w:rPr>
        <w:t>FDA</w:t>
      </w:r>
      <w:r>
        <w:rPr>
          <w:rFonts w:ascii="Times New Roman" w:hAnsi="Times New Roman" w:eastAsia="宋体" w:cs="宋体"/>
          <w:sz w:val="24"/>
          <w:lang w:eastAsia="zh-CN"/>
        </w:rPr>
        <w:t>建议在乳房植入体上市前批准申请（PMA）中提出的器械描述、非临床、临床和标签信息。本指南文件对准备</w:t>
      </w:r>
      <w:r>
        <w:rPr>
          <w:rFonts w:hint="eastAsia" w:ascii="Times New Roman" w:hAnsi="Times New Roman" w:eastAsia="宋体" w:cs="宋体"/>
          <w:sz w:val="24"/>
          <w:lang w:eastAsia="zh-CN"/>
        </w:rPr>
        <w:t>试验用</w:t>
      </w:r>
      <w:r>
        <w:rPr>
          <w:rFonts w:ascii="Times New Roman" w:hAnsi="Times New Roman" w:eastAsia="宋体" w:cs="宋体"/>
          <w:sz w:val="24"/>
          <w:lang w:eastAsia="zh-CN"/>
        </w:rPr>
        <w:t>器械豁免（IDE）申请也可能有用。本文件涉及用盐水、硅凝胶或其他填充物填充的隆乳或乳房再造用乳房植入体。本指南文件不涉及在上市前通知（510(k)）过程下接受审查的组织扩张器。</w:t>
      </w:r>
    </w:p>
    <w:p w14:paraId="1249F49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本指南文件是对FDA有关PMA和IDE申请的其他出版物的补充，不应理解为对这些文件的替代文件。有关申请的一般信息，请参见以下资源：</w:t>
      </w:r>
    </w:p>
    <w:p w14:paraId="3A38F02A">
      <w:pPr>
        <w:pStyle w:val="16"/>
        <w:numPr>
          <w:ilvl w:val="0"/>
          <w:numId w:val="1"/>
        </w:numPr>
        <w:tabs>
          <w:tab w:val="left" w:pos="1019"/>
        </w:tabs>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PMA（CFR第21篇第814部分），</w:t>
      </w:r>
      <w:r>
        <w:fldChar w:fldCharType="begin"/>
      </w:r>
      <w:r>
        <w:instrText xml:space="preserve"> HYPERLINK "https://www.fda.gov/medical-devices/premarket-submissions/premarket-approval-pma" \h </w:instrText>
      </w:r>
      <w:r>
        <w:fldChar w:fldCharType="separate"/>
      </w:r>
      <w:r>
        <w:rPr>
          <w:rFonts w:ascii="Times New Roman" w:hAnsi="Times New Roman" w:eastAsia="宋体" w:cs="宋体"/>
          <w:snapToGrid w:val="0"/>
          <w:color w:val="0000FF"/>
          <w:sz w:val="24"/>
          <w:szCs w:val="24"/>
          <w:u w:val="single" w:color="0000FF"/>
        </w:rPr>
        <w:t>https://www.fda.gov/medical-devices/premarket-</w:t>
      </w:r>
      <w:r>
        <w:rPr>
          <w:rFonts w:ascii="Times New Roman" w:hAnsi="Times New Roman" w:eastAsia="宋体" w:cs="宋体"/>
          <w:snapToGrid w:val="0"/>
          <w:color w:val="0000FF"/>
          <w:sz w:val="24"/>
          <w:szCs w:val="24"/>
          <w:u w:val="single" w:color="0000FF"/>
        </w:rPr>
        <w:fldChar w:fldCharType="end"/>
      </w:r>
      <w:r>
        <w:fldChar w:fldCharType="begin"/>
      </w:r>
      <w:r>
        <w:instrText xml:space="preserve"> HYPERLINK "https://www.fda.gov/medical-devices/premarket-submissions/premarket-approval-pma" \h </w:instrText>
      </w:r>
      <w:r>
        <w:fldChar w:fldCharType="separate"/>
      </w:r>
      <w:r>
        <w:rPr>
          <w:rFonts w:ascii="Times New Roman" w:hAnsi="Times New Roman" w:eastAsia="宋体" w:cs="宋体"/>
          <w:snapToGrid w:val="0"/>
          <w:color w:val="0000FF"/>
          <w:sz w:val="24"/>
          <w:szCs w:val="24"/>
          <w:u w:val="single" w:color="0000FF"/>
        </w:rPr>
        <w:t>submissions/premarket-approval-pma</w:t>
      </w:r>
      <w:r>
        <w:rPr>
          <w:rFonts w:ascii="Times New Roman" w:hAnsi="Times New Roman" w:eastAsia="宋体" w:cs="宋体"/>
          <w:snapToGrid w:val="0"/>
          <w:color w:val="0000FF"/>
          <w:sz w:val="24"/>
          <w:szCs w:val="24"/>
          <w:u w:val="single" w:color="0000FF"/>
        </w:rPr>
        <w:fldChar w:fldCharType="end"/>
      </w:r>
    </w:p>
    <w:p w14:paraId="356254A6">
      <w:pPr>
        <w:pStyle w:val="16"/>
        <w:numPr>
          <w:ilvl w:val="0"/>
          <w:numId w:val="1"/>
        </w:numPr>
        <w:tabs>
          <w:tab w:val="left" w:pos="1019"/>
        </w:tabs>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IDE（CFR第21篇第812部分），</w:t>
      </w:r>
      <w:r>
        <w:fldChar w:fldCharType="begin"/>
      </w:r>
      <w:r>
        <w:instrText xml:space="preserve"> HYPERLINK "https://www.fda.gov/medical-devices/how-study-and-market-your-device/investigational-device-exemption-ide" \h </w:instrText>
      </w:r>
      <w:r>
        <w:fldChar w:fldCharType="separate"/>
      </w:r>
      <w:r>
        <w:rPr>
          <w:rFonts w:ascii="Times New Roman" w:hAnsi="Times New Roman" w:eastAsia="宋体" w:cs="宋体"/>
          <w:snapToGrid w:val="0"/>
          <w:color w:val="0000FF"/>
          <w:sz w:val="24"/>
          <w:szCs w:val="24"/>
          <w:u w:val="single" w:color="0000FF"/>
        </w:rPr>
        <w:t>https://www.fda.gov/medical-devices/how-study-and-market-your-</w:t>
      </w:r>
      <w:r>
        <w:rPr>
          <w:rFonts w:ascii="Times New Roman" w:hAnsi="Times New Roman" w:eastAsia="宋体" w:cs="宋体"/>
          <w:snapToGrid w:val="0"/>
          <w:color w:val="0000FF"/>
          <w:sz w:val="24"/>
          <w:szCs w:val="24"/>
          <w:u w:val="single" w:color="0000FF"/>
        </w:rPr>
        <w:fldChar w:fldCharType="end"/>
      </w:r>
      <w:r>
        <w:fldChar w:fldCharType="begin"/>
      </w:r>
      <w:r>
        <w:instrText xml:space="preserve"> HYPERLINK "https://www.fda.gov/medical-devices/how-study-and-market-your-device/investigational-device-exemption-ide" \h </w:instrText>
      </w:r>
      <w:r>
        <w:fldChar w:fldCharType="separate"/>
      </w:r>
      <w:r>
        <w:rPr>
          <w:rFonts w:ascii="Times New Roman" w:hAnsi="Times New Roman" w:eastAsia="宋体" w:cs="宋体"/>
          <w:snapToGrid w:val="0"/>
          <w:color w:val="0000FF"/>
          <w:sz w:val="24"/>
          <w:szCs w:val="24"/>
          <w:u w:val="single" w:color="0000FF"/>
        </w:rPr>
        <w:t>device/investigational-device-exemption-ide</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color w:val="000000"/>
          <w:sz w:val="24"/>
        </w:rPr>
        <w:t>。</w:t>
      </w:r>
    </w:p>
    <w:p w14:paraId="1856328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lang w:eastAsia="zh-CN"/>
        </w:rPr>
        <w:t>申请人</w:t>
      </w:r>
      <w:r>
        <w:rPr>
          <w:rFonts w:ascii="Times New Roman" w:hAnsi="Times New Roman" w:eastAsia="宋体" w:cs="宋体"/>
          <w:sz w:val="24"/>
          <w:lang w:eastAsia="zh-CN"/>
        </w:rPr>
        <w:t>负责制定临床方案并为其器械的安全性和有效性提供合理保证。</w:t>
      </w:r>
    </w:p>
    <w:p w14:paraId="3DDD5729">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6F658BD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有关本文件中引用的现行版FDA认可标准，请参见</w:t>
      </w:r>
      <w:r>
        <w:fldChar w:fldCharType="begin"/>
      </w:r>
      <w:r>
        <w:instrText xml:space="preserve"> HYPERLINK "http://www.accessdata.fda.gov/scripts/cdrh/cfdocs/cfStandards/search.cfm" \h </w:instrText>
      </w:r>
      <w:r>
        <w:fldChar w:fldCharType="separate"/>
      </w:r>
      <w:r>
        <w:rPr>
          <w:rFonts w:ascii="Times New Roman" w:hAnsi="Times New Roman" w:eastAsia="宋体" w:cs="宋体"/>
          <w:snapToGrid w:val="0"/>
          <w:color w:val="0000FF"/>
          <w:sz w:val="24"/>
          <w:szCs w:val="24"/>
          <w:u w:val="single" w:color="0000FF"/>
          <w:lang w:eastAsia="zh-CN"/>
        </w:rPr>
        <w:t>FDA认可共识标准数据库</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1</w:t>
      </w:r>
      <w:r>
        <w:rPr>
          <w:rFonts w:ascii="Times New Roman" w:hAnsi="Times New Roman" w:eastAsia="宋体" w:cs="宋体"/>
          <w:color w:val="000000"/>
          <w:sz w:val="24"/>
          <w:lang w:eastAsia="zh-CN"/>
        </w:rPr>
        <w:t>有关在监管申请中使用共识标准的更多信息，请参见FDA指南</w:t>
      </w:r>
      <w:r>
        <w:rPr>
          <w:rFonts w:ascii="Times New Roman" w:hAnsi="Times New Roman" w:eastAsia="宋体" w:cs="宋体"/>
          <w:sz w:val="24"/>
          <w:lang w:eastAsia="zh-CN"/>
        </w:rPr>
        <w:t>《</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ascii="Times New Roman" w:hAnsi="Times New Roman" w:eastAsia="宋体" w:cs="宋体"/>
          <w:snapToGrid w:val="0"/>
          <w:color w:val="0000FF"/>
          <w:sz w:val="24"/>
          <w:szCs w:val="24"/>
          <w:u w:val="single" w:color="0000FF"/>
          <w:lang w:eastAsia="zh-CN"/>
        </w:rPr>
        <w:t>在医疗器械上市前申请中适当使用自愿共识标准</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2</w:t>
      </w:r>
    </w:p>
    <w:p w14:paraId="25B3CAE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lang w:eastAsia="zh-CN"/>
        </w:rPr>
        <w:t>FDA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r>
        <w:rPr>
          <w:rFonts w:ascii="Times New Roman" w:hAnsi="Times New Roman" w:eastAsia="宋体" w:cs="宋体"/>
          <w:sz w:val="24"/>
          <w:lang w:eastAsia="zh-CN"/>
        </w:rPr>
        <w:t>。</w:t>
      </w:r>
    </w:p>
    <w:p w14:paraId="7D7B87C8">
      <w:pPr>
        <w:pStyle w:val="22"/>
        <w:rPr>
          <w:szCs w:val="24"/>
        </w:rPr>
      </w:pPr>
      <w:bookmarkStart w:id="1" w:name="_Toc95489747"/>
      <w:r>
        <w:t>II.</w:t>
      </w:r>
      <w:r>
        <w:tab/>
      </w:r>
      <w:r>
        <w:t>背景</w:t>
      </w:r>
      <w:bookmarkEnd w:id="1"/>
    </w:p>
    <w:p w14:paraId="071506A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盐水填充型、硅凝胶填充型和其他乳房植入体可用于隆乳和/或乳房再造，其定义如下所示：</w:t>
      </w:r>
    </w:p>
    <w:p w14:paraId="4CAC3BCF">
      <w:pPr>
        <w:pStyle w:val="16"/>
        <w:numPr>
          <w:ilvl w:val="0"/>
          <w:numId w:val="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隆乳。隆乳包括增大乳房尺寸的初次隆乳手术，以及矫正或改善初始初次隆乳手术结果的修复手术（即修复性隆乳）。</w:t>
      </w:r>
    </w:p>
    <w:p w14:paraId="067F4E91">
      <w:pPr>
        <w:pStyle w:val="16"/>
        <w:numPr>
          <w:ilvl w:val="0"/>
          <w:numId w:val="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乳房再造。乳房再造包括替代由于癌症或创伤而被移除的乳房组织，或由于严重的乳房异常而未能正常发育的乳房组织的初次再造。乳房再造也包括矫正或改善初始初次乳房再造手术结果的修复手术（即修复性再造）。</w:t>
      </w:r>
    </w:p>
    <w:p w14:paraId="5CF5C66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然而，正如本文以下所讨论的内容，本机构建议为初次隆乳、修复性隆乳、初次再造和修复性再造等各适应症亚组收集临床数据。</w:t>
      </w:r>
    </w:p>
    <w:p w14:paraId="5BC919F5">
      <w:pPr>
        <w:pStyle w:val="23"/>
      </w:pPr>
      <w:bookmarkStart w:id="2" w:name="_Toc95489748"/>
      <w:r>
        <w:t>A.</w:t>
      </w:r>
      <w:r>
        <w:tab/>
      </w:r>
      <w:r>
        <w:t>盐水填充型乳房植入体</w:t>
      </w:r>
      <w:bookmarkEnd w:id="2"/>
    </w:p>
    <w:p w14:paraId="4CF5C337">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盐水填充型乳房植入体是由聚硅氧烷（如：聚二甲基硅氧烷与聚苯基硅氧烷）制作的硅橡胶外壳。它可在植入之前或之后用无菌等渗盐水将其充涨至预期大小。盐水填充型乳房植入体在外壳表面、形状、特征、体积和外壳厚度方面可能有所不同。用作填充材料的无菌盐水应遵循《美国药典》（USP）有关正常生理盐水（注射级）的标准，其浓度为0.15</w:t>
      </w:r>
      <w:r>
        <w:rPr>
          <w:rFonts w:hint="eastAsia" w:ascii="Times New Roman" w:hAnsi="Times New Roman" w:eastAsia="宋体" w:cs="宋体"/>
          <w:sz w:val="24"/>
          <w:lang w:eastAsia="zh-CN"/>
        </w:rPr>
        <w:t xml:space="preserve"> </w:t>
      </w:r>
      <w:r>
        <w:rPr>
          <w:rFonts w:ascii="Times New Roman" w:hAnsi="Times New Roman" w:eastAsia="宋体" w:cs="宋体"/>
          <w:sz w:val="24"/>
          <w:lang w:eastAsia="zh-CN"/>
        </w:rPr>
        <w:t>M，pH值为7.2-7.4。</w:t>
      </w:r>
    </w:p>
    <w:p w14:paraId="0B4EEE73">
      <w:pPr>
        <w:adjustRightInd w:val="0"/>
        <w:snapToGrid w:val="0"/>
        <w:spacing w:before="120" w:beforeLines="50" w:line="300" w:lineRule="auto"/>
        <w:jc w:val="both"/>
        <w:rPr>
          <w:rFonts w:ascii="Times New Roman" w:hAnsi="Times New Roman" w:eastAsia="宋体" w:cs="宋体"/>
          <w:sz w:val="24"/>
          <w:lang w:eastAsia="zh-CN"/>
        </w:rPr>
      </w:pPr>
    </w:p>
    <w:p w14:paraId="6E1E609B">
      <w:pPr>
        <w:adjustRightInd w:val="0"/>
        <w:snapToGrid w:val="0"/>
        <w:spacing w:before="120" w:beforeLines="50" w:line="300" w:lineRule="auto"/>
        <w:jc w:val="both"/>
        <w:rPr>
          <w:rFonts w:ascii="Times New Roman" w:hAnsi="Times New Roman" w:eastAsia="宋体" w:cs="宋体"/>
          <w:sz w:val="24"/>
          <w:lang w:eastAsia="zh-CN"/>
        </w:rPr>
      </w:pPr>
    </w:p>
    <w:p w14:paraId="6FF7914C">
      <w:pPr>
        <w:adjustRightInd w:val="0"/>
        <w:snapToGrid w:val="0"/>
        <w:spacing w:before="120" w:beforeLines="50" w:line="300" w:lineRule="auto"/>
        <w:jc w:val="both"/>
        <w:rPr>
          <w:rFonts w:ascii="Times New Roman" w:hAnsi="Times New Roman" w:eastAsia="宋体" w:cs="宋体"/>
          <w:sz w:val="24"/>
          <w:lang w:eastAsia="zh-CN"/>
        </w:rPr>
      </w:pPr>
    </w:p>
    <w:p w14:paraId="7D29BD2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078DF6E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w:t>
      </w:r>
    </w:p>
    <w:p w14:paraId="6C453A0E">
      <w:pPr>
        <w:pStyle w:val="26"/>
        <w:rPr>
          <w:rFonts w:eastAsia="宋体"/>
        </w:rPr>
      </w:pPr>
      <w:r>
        <w:rPr>
          <w:rFonts w:eastAsia="宋体" w:cs="宋体"/>
          <w:vertAlign w:val="superscript"/>
        </w:rPr>
        <w:t xml:space="preserve">1     </w:t>
      </w:r>
      <w:r>
        <w:rPr>
          <w:rFonts w:eastAsia="宋体" w:cs="宋体"/>
        </w:rPr>
        <w:t>可登录以下网址获取：</w:t>
      </w:r>
      <w:r>
        <w:fldChar w:fldCharType="begin"/>
      </w:r>
      <w:r>
        <w:instrText xml:space="preserve"> HYPERLINK "https://www.accessdata.fda.gov/scripts/cdrh/cfdocs/cfStandards/search.cfm" \h </w:instrText>
      </w:r>
      <w:r>
        <w:fldChar w:fldCharType="separate"/>
      </w:r>
      <w:r>
        <w:rPr>
          <w:rFonts w:eastAsia="宋体" w:cs="宋体"/>
          <w:color w:val="0000FF"/>
          <w:u w:val="single" w:color="0000FF"/>
        </w:rPr>
        <w:t>https://www.accessdata.fda.gov/scripts/cdrh/cfdocs/cfStandards/search.cfm</w:t>
      </w:r>
      <w:r>
        <w:rPr>
          <w:rFonts w:eastAsia="宋体" w:cs="宋体"/>
          <w:color w:val="0000FF"/>
          <w:u w:val="single" w:color="0000FF"/>
        </w:rPr>
        <w:fldChar w:fldCharType="end"/>
      </w:r>
      <w:r>
        <w:rPr>
          <w:rFonts w:eastAsia="宋体" w:cs="宋体"/>
        </w:rPr>
        <w:t>。</w:t>
      </w:r>
    </w:p>
    <w:p w14:paraId="36D111E3">
      <w:pPr>
        <w:tabs>
          <w:tab w:val="left" w:pos="235"/>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sz w:val="21"/>
          <w:szCs w:val="21"/>
          <w:vertAlign w:val="superscript"/>
        </w:rPr>
        <w:t>2</w:t>
      </w:r>
      <w:r>
        <w:rPr>
          <w:rFonts w:ascii="Times New Roman" w:hAnsi="Times New Roman" w:eastAsia="宋体" w:cs="宋体"/>
          <w:sz w:val="21"/>
          <w:szCs w:val="21"/>
        </w:rPr>
        <w:t>可登录以下网址获取：</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https://www.fda.gov/regulatory-information/search-fda-guidance-documents/appropriate-use-</w:t>
      </w:r>
      <w:r>
        <w:rPr>
          <w:rFonts w:ascii="Times New Roman" w:hAnsi="Times New Roman" w:eastAsia="宋体" w:cs="宋体"/>
          <w:snapToGrid w:val="0"/>
          <w:color w:val="0000FF"/>
          <w:sz w:val="21"/>
          <w:szCs w:val="21"/>
          <w:u w:val="single" w:color="0000FF"/>
        </w:rPr>
        <w:fldChar w:fldCharType="end"/>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ascii="Times New Roman" w:hAnsi="Times New Roman" w:eastAsia="宋体" w:cs="宋体"/>
          <w:snapToGrid w:val="0"/>
          <w:color w:val="0000FF"/>
          <w:sz w:val="21"/>
          <w:szCs w:val="21"/>
          <w:u w:val="single" w:color="0000FF"/>
        </w:rPr>
        <w:t>voluntary-consensus-standards-premarket-submissions-medical-devices</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szCs w:val="21"/>
        </w:rPr>
        <w:t>。</w:t>
      </w:r>
    </w:p>
    <w:p w14:paraId="0DA81366">
      <w:pPr>
        <w:rPr>
          <w:rFonts w:ascii="Times New Roman" w:hAnsi="Times New Roman" w:eastAsia="宋体" w:cs="Times New Roman"/>
          <w:snapToGrid w:val="0"/>
          <w:sz w:val="24"/>
          <w:szCs w:val="24"/>
        </w:rPr>
      </w:pPr>
      <w:r>
        <w:rPr>
          <w:rFonts w:ascii="Times New Roman" w:hAnsi="Times New Roman" w:eastAsia="宋体" w:cs="宋体"/>
          <w:sz w:val="24"/>
        </w:rPr>
        <w:br w:type="page"/>
      </w:r>
    </w:p>
    <w:p w14:paraId="03FCF30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目前，已获批准的盐水填充型乳房植入体设计包括：</w:t>
      </w:r>
    </w:p>
    <w:p w14:paraId="1A04AF4F">
      <w:pPr>
        <w:pStyle w:val="16"/>
        <w:numPr>
          <w:ilvl w:val="0"/>
          <w:numId w:val="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具有</w:t>
      </w:r>
      <w:r>
        <w:rPr>
          <w:rFonts w:hint="eastAsia" w:ascii="Times New Roman" w:hAnsi="Times New Roman" w:eastAsia="宋体" w:cs="宋体"/>
          <w:sz w:val="24"/>
          <w:lang w:eastAsia="zh-CN"/>
        </w:rPr>
        <w:t>单腔的固定容量植入体</w:t>
      </w:r>
      <w:r>
        <w:rPr>
          <w:rFonts w:ascii="Times New Roman" w:hAnsi="Times New Roman" w:eastAsia="宋体" w:cs="宋体"/>
          <w:sz w:val="24"/>
          <w:lang w:eastAsia="zh-CN"/>
        </w:rPr>
        <w:t>，术中通过瓣膜向单腔内注入全部盐水。</w:t>
      </w:r>
    </w:p>
    <w:p w14:paraId="40C63A06">
      <w:pPr>
        <w:pStyle w:val="16"/>
        <w:numPr>
          <w:ilvl w:val="0"/>
          <w:numId w:val="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具有</w:t>
      </w:r>
      <w:r>
        <w:rPr>
          <w:rFonts w:hint="eastAsia" w:ascii="Times New Roman" w:hAnsi="Times New Roman" w:eastAsia="宋体" w:cs="宋体"/>
          <w:sz w:val="24"/>
          <w:lang w:eastAsia="zh-CN"/>
        </w:rPr>
        <w:t>多腔</w:t>
      </w:r>
      <w:r>
        <w:rPr>
          <w:rFonts w:ascii="Times New Roman" w:hAnsi="Times New Roman" w:eastAsia="宋体" w:cs="宋体"/>
          <w:sz w:val="24"/>
          <w:lang w:eastAsia="zh-CN"/>
        </w:rPr>
        <w:t>的可调节容量植入体，术中通过瓣膜向多腔内注入全部盐水。</w:t>
      </w:r>
    </w:p>
    <w:p w14:paraId="0FACC73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在1988年6月24日发布的《联邦公报》（53 FR 23856）中，FDA发布了一项最终规则，将硅胶可膨胀型（盐水填充型）乳房植入体归入III类（21 CFR § 878.3530）。1989年1月6日（54 FR 550），FDA公布了一份意向通知，要求提交这些器械的PMA。1993年1月8日（58 FR 3436），FDA发布了一项拟议规则，要求提交PMA或完成产品开发方案（PDP）。1999年8月19日（64 FR 45155），FDA发布一项最终规则，要求在90天内将这些器械的PMA提交给FDA或者完成PDP。因此，现在要求已获批准的PMA或PDP，以上市盐水填充型乳房植入体。</w:t>
      </w:r>
    </w:p>
    <w:p w14:paraId="7263EE1C">
      <w:pPr>
        <w:pStyle w:val="23"/>
        <w:rPr>
          <w:szCs w:val="24"/>
        </w:rPr>
      </w:pPr>
      <w:bookmarkStart w:id="3" w:name="_Toc95489749"/>
      <w:r>
        <w:t>B.</w:t>
      </w:r>
      <w:r>
        <w:tab/>
      </w:r>
      <w:r>
        <w:t>硅凝胶填充型乳房植入体</w:t>
      </w:r>
      <w:bookmarkEnd w:id="3"/>
    </w:p>
    <w:p w14:paraId="7EB2938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硅凝胶填充型乳房植入体</w:t>
      </w:r>
      <w:r>
        <w:rPr>
          <w:rFonts w:hint="eastAsia" w:ascii="Times New Roman" w:hAnsi="Times New Roman" w:eastAsia="宋体" w:cs="宋体"/>
          <w:sz w:val="24"/>
          <w:lang w:eastAsia="zh-CN"/>
        </w:rPr>
        <w:t>外壳</w:t>
      </w:r>
      <w:r>
        <w:rPr>
          <w:rFonts w:ascii="Times New Roman" w:hAnsi="Times New Roman" w:eastAsia="宋体" w:cs="宋体"/>
          <w:sz w:val="24"/>
          <w:lang w:eastAsia="zh-CN"/>
        </w:rPr>
        <w:t>由聚硅氧烷（如聚二甲基硅氧烷和聚二苯基硅氧烷）制成的硅橡胶，里面填充了固定</w:t>
      </w:r>
      <w:r>
        <w:rPr>
          <w:rFonts w:hint="eastAsia" w:ascii="Times New Roman" w:hAnsi="Times New Roman" w:eastAsia="宋体" w:cs="宋体"/>
          <w:sz w:val="24"/>
          <w:lang w:eastAsia="zh-CN"/>
        </w:rPr>
        <w:t>容量</w:t>
      </w:r>
      <w:r>
        <w:rPr>
          <w:rFonts w:ascii="Times New Roman" w:hAnsi="Times New Roman" w:eastAsia="宋体" w:cs="宋体"/>
          <w:sz w:val="24"/>
          <w:lang w:eastAsia="zh-CN"/>
        </w:rPr>
        <w:t>的硅凝胶。硅凝胶填充型乳房植入体在外壳表面、形状、特征、体积和外壳厚度方面可能有所不同。</w:t>
      </w:r>
    </w:p>
    <w:p w14:paraId="23D3209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目前，已获批准的硅凝胶填充型乳房植入体采用一个固定容量的植入体设计，其单腔内含有固定</w:t>
      </w:r>
      <w:r>
        <w:rPr>
          <w:rFonts w:hint="eastAsia" w:ascii="Times New Roman" w:hAnsi="Times New Roman" w:eastAsia="宋体" w:cs="宋体"/>
          <w:sz w:val="24"/>
          <w:lang w:eastAsia="zh-CN"/>
        </w:rPr>
        <w:t>容量</w:t>
      </w:r>
      <w:r>
        <w:rPr>
          <w:rFonts w:ascii="Times New Roman" w:hAnsi="Times New Roman" w:eastAsia="宋体" w:cs="宋体"/>
          <w:sz w:val="24"/>
          <w:lang w:eastAsia="zh-CN"/>
        </w:rPr>
        <w:t>的硅凝胶，成可塑形或圆形，</w:t>
      </w:r>
      <w:r>
        <w:rPr>
          <w:rFonts w:hint="eastAsia" w:ascii="Times New Roman" w:hAnsi="Times New Roman" w:eastAsia="宋体" w:cs="宋体"/>
          <w:sz w:val="24"/>
          <w:lang w:eastAsia="zh-CN"/>
        </w:rPr>
        <w:t>可有皮肤纹理</w:t>
      </w:r>
      <w:r>
        <w:rPr>
          <w:rFonts w:ascii="Times New Roman" w:hAnsi="Times New Roman" w:eastAsia="宋体" w:cs="宋体"/>
          <w:sz w:val="24"/>
          <w:lang w:eastAsia="zh-CN"/>
        </w:rPr>
        <w:t>或光滑，并填充有粘度或高或低的硅凝胶。</w:t>
      </w:r>
    </w:p>
    <w:p w14:paraId="7595829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在1988年6月24日发布的《联邦公报》（53 FR 23856）中，FDA发布了一项最终规则，将硅凝胶填充型乳房植入体归入III类（21 CFR § 878.3540）。1989年1月6日（54 FR 550），FDA公布了一份意向通知，要求提交这些器械的PMA。1990年5月17日（55 FR 20568），FDA发布了一项拟议规则，要求提交PMA或完成PDP。1991年4月10日（56 FR 14620），FDA发布了一项最终规则，要求在90天内将这些器械的PMA提交给FDA或者完成PDP。因此，现在要求硅凝胶填充型乳房植入体需要已获批PMA或PDP才能上市</w:t>
      </w:r>
      <w:r>
        <w:rPr>
          <w:rFonts w:hint="eastAsia" w:ascii="Times New Roman" w:hAnsi="Times New Roman" w:eastAsia="宋体" w:cs="宋体"/>
          <w:sz w:val="24"/>
          <w:lang w:eastAsia="zh-CN"/>
        </w:rPr>
        <w:t>。</w:t>
      </w:r>
    </w:p>
    <w:p w14:paraId="03BFB6DF">
      <w:pPr>
        <w:pStyle w:val="23"/>
        <w:rPr>
          <w:szCs w:val="24"/>
        </w:rPr>
      </w:pPr>
      <w:bookmarkStart w:id="4" w:name="_Toc95489750"/>
      <w:r>
        <w:t>C.</w:t>
      </w:r>
      <w:r>
        <w:tab/>
      </w:r>
      <w:r>
        <w:t>其他乳房植入体</w:t>
      </w:r>
      <w:bookmarkEnd w:id="4"/>
    </w:p>
    <w:p w14:paraId="6CD73E95">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其他乳房植入体并非上述定义的盐水填充型乳房植入体或硅凝胶填充型乳房植入体。相反，其他乳房植入体通常有一个硅橡胶外壳，里面有除盐水或硅凝胶以外的填充物。填充材料可以是凝胶，也可以不是凝胶。然而，其他乳房植入体也可以有一个由硅橡胶以外的材料制成的其他外壳。本机构可建议对其他乳房植入体进行不同评价或其他评价，这取决于其设计、材料和性能特征。</w:t>
      </w:r>
    </w:p>
    <w:p w14:paraId="1888D57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5471E91B">
      <w:pPr>
        <w:adjustRightInd w:val="0"/>
        <w:snapToGrid w:val="0"/>
        <w:spacing w:before="120" w:beforeLines="50" w:line="300" w:lineRule="auto"/>
        <w:jc w:val="both"/>
        <w:rPr>
          <w:rFonts w:ascii="Times New Roman" w:hAnsi="Times New Roman" w:eastAsia="宋体" w:cs="Times New Roman"/>
          <w:snapToGrid w:val="0"/>
          <w:sz w:val="24"/>
          <w:szCs w:val="24"/>
        </w:rPr>
      </w:pPr>
      <w:r>
        <w:rPr>
          <w:rFonts w:ascii="Times New Roman" w:hAnsi="Times New Roman" w:eastAsia="宋体" w:cs="宋体"/>
          <w:sz w:val="24"/>
        </w:rPr>
        <w:t>所有其他乳房植入体均属修正后III类器械，需要已获批PMA或PDP才能上市（《联邦食品、药品和化妆品法案》（FDCA）</w:t>
      </w:r>
      <w:r>
        <w:rPr>
          <w:rFonts w:hint="eastAsia" w:ascii="Times New Roman" w:hAnsi="Times New Roman" w:eastAsia="宋体" w:cs="宋体"/>
          <w:sz w:val="24"/>
        </w:rPr>
        <w:t>§§</w:t>
      </w:r>
      <w:r>
        <w:rPr>
          <w:rFonts w:hint="eastAsia" w:ascii="Times New Roman" w:hAnsi="Times New Roman" w:eastAsia="宋体" w:cs="宋体"/>
          <w:sz w:val="24"/>
          <w:lang w:eastAsia="zh-CN"/>
        </w:rPr>
        <w:t>5</w:t>
      </w:r>
      <w:r>
        <w:rPr>
          <w:rFonts w:ascii="Times New Roman" w:hAnsi="Times New Roman" w:eastAsia="宋体" w:cs="宋体"/>
          <w:sz w:val="24"/>
          <w:lang w:eastAsia="zh-CN"/>
        </w:rPr>
        <w:t>13(f)</w:t>
      </w:r>
      <w:r>
        <w:rPr>
          <w:rFonts w:hint="eastAsia" w:ascii="Times New Roman" w:hAnsi="Times New Roman" w:eastAsia="宋体" w:cs="宋体"/>
          <w:sz w:val="24"/>
          <w:lang w:eastAsia="zh-CN"/>
        </w:rPr>
        <w:t>和5</w:t>
      </w:r>
      <w:r>
        <w:rPr>
          <w:rFonts w:ascii="Times New Roman" w:hAnsi="Times New Roman" w:eastAsia="宋体" w:cs="宋体"/>
          <w:sz w:val="24"/>
          <w:lang w:eastAsia="zh-CN"/>
        </w:rPr>
        <w:t>15(a)</w:t>
      </w:r>
      <w:r>
        <w:t xml:space="preserve"> </w:t>
      </w:r>
      <w:r>
        <w:rPr>
          <w:rFonts w:ascii="Times New Roman" w:hAnsi="Times New Roman" w:eastAsia="宋体" w:cs="宋体"/>
          <w:sz w:val="24"/>
          <w:lang w:eastAsia="zh-CN"/>
        </w:rPr>
        <w:t>(21 U.S.C. §§ 360c(f)</w:t>
      </w:r>
      <w:r>
        <w:rPr>
          <w:rFonts w:hint="eastAsia" w:ascii="Times New Roman" w:hAnsi="Times New Roman" w:eastAsia="宋体" w:cs="宋体"/>
          <w:sz w:val="24"/>
          <w:lang w:eastAsia="zh-CN"/>
        </w:rPr>
        <w:t>和</w:t>
      </w:r>
      <w:r>
        <w:rPr>
          <w:rFonts w:ascii="Times New Roman" w:hAnsi="Times New Roman" w:eastAsia="宋体" w:cs="宋体"/>
          <w:sz w:val="24"/>
          <w:lang w:eastAsia="zh-CN"/>
        </w:rPr>
        <w:t>360e(a)))</w:t>
      </w:r>
      <w:r>
        <w:rPr>
          <w:rFonts w:ascii="Times New Roman" w:hAnsi="Times New Roman" w:eastAsia="宋体" w:cs="宋体"/>
          <w:sz w:val="24"/>
        </w:rPr>
        <w:t>（。</w:t>
      </w:r>
    </w:p>
    <w:p w14:paraId="31089776">
      <w:pPr>
        <w:pStyle w:val="22"/>
        <w:rPr>
          <w:szCs w:val="24"/>
        </w:rPr>
      </w:pPr>
      <w:bookmarkStart w:id="5" w:name="_Toc95489751"/>
      <w:r>
        <w:t>III.</w:t>
      </w:r>
      <w:r>
        <w:tab/>
      </w:r>
      <w:r>
        <w:t>器械描述</w:t>
      </w:r>
      <w:bookmarkEnd w:id="5"/>
    </w:p>
    <w:p w14:paraId="31A75DD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以上</w:t>
      </w:r>
      <w:r>
        <w:rPr>
          <w:rFonts w:ascii="Times New Roman" w:hAnsi="Times New Roman" w:eastAsia="宋体" w:cs="宋体"/>
          <w:b/>
          <w:sz w:val="24"/>
          <w:lang w:eastAsia="zh-CN"/>
        </w:rPr>
        <w:t>背景</w:t>
      </w:r>
      <w:r>
        <w:rPr>
          <w:rFonts w:ascii="Times New Roman" w:hAnsi="Times New Roman" w:eastAsia="宋体" w:cs="宋体"/>
          <w:sz w:val="24"/>
          <w:lang w:eastAsia="zh-CN"/>
        </w:rPr>
        <w:t>部分（第II节）为三种类型的乳房植入体分别提供了非常基础的器械描述。本节推荐了在申请中应包括的器械描述信息类型。然而，根据器械的特殊设计，可能适用其他信息。</w:t>
      </w:r>
    </w:p>
    <w:p w14:paraId="7CC8B28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本机构建议提供以下器械描述信息（如适用）：</w:t>
      </w:r>
    </w:p>
    <w:p w14:paraId="3A753384">
      <w:pPr>
        <w:pStyle w:val="16"/>
        <w:numPr>
          <w:ilvl w:val="0"/>
          <w:numId w:val="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植入体的类型，如</w:t>
      </w:r>
      <w:r>
        <w:rPr>
          <w:rFonts w:ascii="Times New Roman" w:hAnsi="Times New Roman" w:eastAsia="宋体" w:cs="宋体"/>
          <w:b/>
          <w:sz w:val="24"/>
          <w:lang w:eastAsia="zh-CN"/>
        </w:rPr>
        <w:t>背景</w:t>
      </w:r>
      <w:r>
        <w:rPr>
          <w:rFonts w:ascii="Times New Roman" w:hAnsi="Times New Roman" w:eastAsia="宋体" w:cs="宋体"/>
          <w:sz w:val="24"/>
          <w:lang w:eastAsia="zh-CN"/>
        </w:rPr>
        <w:t>部分所述（例如，固定容量、单腔硅凝胶填充型乳房植入体）</w:t>
      </w:r>
    </w:p>
    <w:p w14:paraId="3D462665">
      <w:pPr>
        <w:pStyle w:val="16"/>
        <w:numPr>
          <w:ilvl w:val="0"/>
          <w:numId w:val="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对构成该器械的各组件的书面描述（例如，外壳、凝胶、</w:t>
      </w:r>
      <w:r>
        <w:rPr>
          <w:rFonts w:hint="eastAsia" w:ascii="Times New Roman" w:hAnsi="Times New Roman" w:eastAsia="宋体" w:cs="宋体"/>
          <w:sz w:val="24"/>
          <w:lang w:eastAsia="zh-CN"/>
        </w:rPr>
        <w:t>补片</w:t>
      </w:r>
      <w:r>
        <w:rPr>
          <w:rFonts w:ascii="Times New Roman" w:hAnsi="Times New Roman" w:eastAsia="宋体" w:cs="宋体"/>
          <w:sz w:val="24"/>
          <w:lang w:eastAsia="zh-CN"/>
        </w:rPr>
        <w:t>、皮肤</w:t>
      </w:r>
      <w:r>
        <w:rPr>
          <w:rFonts w:hint="eastAsia" w:ascii="Times New Roman" w:hAnsi="Times New Roman" w:eastAsia="宋体" w:cs="宋体"/>
          <w:sz w:val="24"/>
          <w:lang w:eastAsia="zh-CN"/>
        </w:rPr>
        <w:t>纹理</w:t>
      </w:r>
      <w:r>
        <w:rPr>
          <w:rFonts w:ascii="Times New Roman" w:hAnsi="Times New Roman" w:eastAsia="宋体" w:cs="宋体"/>
          <w:sz w:val="24"/>
          <w:lang w:eastAsia="zh-CN"/>
        </w:rPr>
        <w:t>、瓣膜）</w:t>
      </w:r>
    </w:p>
    <w:p w14:paraId="473BC98E">
      <w:pPr>
        <w:pStyle w:val="16"/>
        <w:numPr>
          <w:ilvl w:val="0"/>
          <w:numId w:val="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用于制造各组件的具体材料（包括供应商）</w:t>
      </w:r>
    </w:p>
    <w:p w14:paraId="5BB036C2">
      <w:pPr>
        <w:pStyle w:val="16"/>
        <w:numPr>
          <w:ilvl w:val="0"/>
          <w:numId w:val="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对任何连接系统、填充管和注射壶的描述，包括材料和描述其位置/使用的放大草图</w:t>
      </w:r>
    </w:p>
    <w:p w14:paraId="12319914">
      <w:pPr>
        <w:pStyle w:val="16"/>
        <w:numPr>
          <w:ilvl w:val="0"/>
          <w:numId w:val="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如果并非预充式器械，则说明外科医生何时填充器械（即术中和/或术后）</w:t>
      </w:r>
    </w:p>
    <w:p w14:paraId="13CA5DA0">
      <w:pPr>
        <w:pStyle w:val="16"/>
        <w:numPr>
          <w:ilvl w:val="0"/>
          <w:numId w:val="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对填充材料的任何过度膨胀/过度填充描述，即使是临时性（例如，特定尺寸植入体允许的盐水填充范围）</w:t>
      </w:r>
    </w:p>
    <w:p w14:paraId="55766FEE">
      <w:pPr>
        <w:pStyle w:val="16"/>
        <w:numPr>
          <w:ilvl w:val="0"/>
          <w:numId w:val="4"/>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对器械灭菌方法的描述</w:t>
      </w:r>
    </w:p>
    <w:p w14:paraId="3BB0EF21">
      <w:pPr>
        <w:pStyle w:val="16"/>
        <w:numPr>
          <w:ilvl w:val="0"/>
          <w:numId w:val="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申请中受审查的所有器械样式汇总表，每种样式所确定的信息如下所示：</w:t>
      </w:r>
    </w:p>
    <w:p w14:paraId="0DD28D86">
      <w:pPr>
        <w:pStyle w:val="16"/>
        <w:numPr>
          <w:ilvl w:val="0"/>
          <w:numId w:val="5"/>
        </w:numPr>
        <w:adjustRightInd w:val="0"/>
        <w:snapToGrid w:val="0"/>
        <w:spacing w:before="120" w:beforeLines="50" w:line="300" w:lineRule="auto"/>
        <w:ind w:left="1560"/>
        <w:jc w:val="both"/>
        <w:rPr>
          <w:rFonts w:ascii="Times New Roman" w:hAnsi="Times New Roman" w:eastAsia="宋体" w:cs="Times New Roman"/>
          <w:snapToGrid w:val="0"/>
          <w:sz w:val="24"/>
          <w:szCs w:val="24"/>
        </w:rPr>
      </w:pPr>
      <w:r>
        <w:rPr>
          <w:rFonts w:ascii="Times New Roman" w:hAnsi="Times New Roman" w:eastAsia="宋体" w:cs="宋体"/>
          <w:sz w:val="24"/>
        </w:rPr>
        <w:t>外壳表面</w:t>
      </w:r>
    </w:p>
    <w:p w14:paraId="618BFA8F">
      <w:pPr>
        <w:pStyle w:val="16"/>
        <w:numPr>
          <w:ilvl w:val="0"/>
          <w:numId w:val="5"/>
        </w:numPr>
        <w:adjustRightInd w:val="0"/>
        <w:snapToGrid w:val="0"/>
        <w:spacing w:before="120" w:beforeLines="50" w:line="300" w:lineRule="auto"/>
        <w:ind w:left="1560"/>
        <w:jc w:val="both"/>
        <w:rPr>
          <w:rFonts w:ascii="Times New Roman" w:hAnsi="Times New Roman" w:eastAsia="宋体" w:cs="Times New Roman"/>
          <w:snapToGrid w:val="0"/>
          <w:sz w:val="24"/>
          <w:szCs w:val="24"/>
        </w:rPr>
      </w:pPr>
      <w:r>
        <w:rPr>
          <w:rFonts w:ascii="Times New Roman" w:hAnsi="Times New Roman" w:eastAsia="宋体" w:cs="宋体"/>
          <w:sz w:val="24"/>
        </w:rPr>
        <w:t>形状</w:t>
      </w:r>
    </w:p>
    <w:p w14:paraId="52183895">
      <w:pPr>
        <w:pStyle w:val="16"/>
        <w:numPr>
          <w:ilvl w:val="0"/>
          <w:numId w:val="5"/>
        </w:numPr>
        <w:adjustRightInd w:val="0"/>
        <w:snapToGrid w:val="0"/>
        <w:spacing w:before="120" w:beforeLines="50" w:line="300" w:lineRule="auto"/>
        <w:ind w:left="1560"/>
        <w:jc w:val="both"/>
        <w:rPr>
          <w:rFonts w:ascii="Times New Roman" w:hAnsi="Times New Roman" w:eastAsia="宋体" w:cs="Times New Roman"/>
          <w:snapToGrid w:val="0"/>
          <w:sz w:val="24"/>
          <w:szCs w:val="24"/>
        </w:rPr>
      </w:pPr>
      <w:r>
        <w:rPr>
          <w:rFonts w:ascii="Times New Roman" w:hAnsi="Times New Roman" w:eastAsia="宋体" w:cs="宋体"/>
          <w:sz w:val="24"/>
        </w:rPr>
        <w:t>特征</w:t>
      </w:r>
    </w:p>
    <w:p w14:paraId="063F96E8">
      <w:pPr>
        <w:pStyle w:val="16"/>
        <w:numPr>
          <w:ilvl w:val="0"/>
          <w:numId w:val="5"/>
        </w:numPr>
        <w:adjustRightInd w:val="0"/>
        <w:snapToGrid w:val="0"/>
        <w:spacing w:before="120" w:beforeLines="50" w:line="300" w:lineRule="auto"/>
        <w:ind w:left="1560"/>
        <w:jc w:val="both"/>
        <w:rPr>
          <w:rFonts w:ascii="Times New Roman" w:hAnsi="Times New Roman" w:eastAsia="宋体" w:cs="Times New Roman"/>
          <w:snapToGrid w:val="0"/>
          <w:sz w:val="24"/>
          <w:szCs w:val="24"/>
        </w:rPr>
      </w:pPr>
      <w:r>
        <w:rPr>
          <w:rFonts w:ascii="Times New Roman" w:hAnsi="Times New Roman" w:eastAsia="宋体" w:cs="宋体"/>
          <w:sz w:val="24"/>
        </w:rPr>
        <w:t>体积</w:t>
      </w:r>
    </w:p>
    <w:p w14:paraId="508CEF8A">
      <w:pPr>
        <w:pStyle w:val="16"/>
        <w:numPr>
          <w:ilvl w:val="0"/>
          <w:numId w:val="5"/>
        </w:numPr>
        <w:adjustRightInd w:val="0"/>
        <w:snapToGrid w:val="0"/>
        <w:spacing w:before="120" w:beforeLines="50" w:line="300" w:lineRule="auto"/>
        <w:ind w:left="1560"/>
        <w:jc w:val="both"/>
        <w:rPr>
          <w:rFonts w:ascii="Times New Roman" w:hAnsi="Times New Roman" w:eastAsia="宋体" w:cs="Times New Roman"/>
          <w:snapToGrid w:val="0"/>
          <w:sz w:val="24"/>
          <w:szCs w:val="24"/>
        </w:rPr>
      </w:pPr>
      <w:r>
        <w:rPr>
          <w:rFonts w:ascii="Times New Roman" w:hAnsi="Times New Roman" w:eastAsia="宋体" w:cs="宋体"/>
          <w:sz w:val="24"/>
        </w:rPr>
        <w:t>宽度</w:t>
      </w:r>
    </w:p>
    <w:p w14:paraId="49CE4FE2">
      <w:pPr>
        <w:pStyle w:val="16"/>
        <w:numPr>
          <w:ilvl w:val="0"/>
          <w:numId w:val="5"/>
        </w:numPr>
        <w:adjustRightInd w:val="0"/>
        <w:snapToGrid w:val="0"/>
        <w:spacing w:before="120" w:beforeLines="50" w:line="300" w:lineRule="auto"/>
        <w:ind w:left="1560"/>
        <w:jc w:val="both"/>
        <w:rPr>
          <w:rFonts w:ascii="Times New Roman" w:hAnsi="Times New Roman" w:eastAsia="宋体" w:cs="Times New Roman"/>
          <w:snapToGrid w:val="0"/>
          <w:sz w:val="24"/>
          <w:szCs w:val="24"/>
        </w:rPr>
      </w:pPr>
      <w:r>
        <w:rPr>
          <w:rFonts w:ascii="Times New Roman" w:hAnsi="Times New Roman" w:eastAsia="宋体" w:cs="宋体"/>
          <w:sz w:val="24"/>
        </w:rPr>
        <w:t>高度</w:t>
      </w:r>
    </w:p>
    <w:p w14:paraId="0ADB6746">
      <w:pPr>
        <w:pStyle w:val="16"/>
        <w:numPr>
          <w:ilvl w:val="0"/>
          <w:numId w:val="5"/>
        </w:numPr>
        <w:adjustRightInd w:val="0"/>
        <w:snapToGrid w:val="0"/>
        <w:spacing w:before="120" w:beforeLines="50" w:line="300" w:lineRule="auto"/>
        <w:ind w:left="1560"/>
        <w:jc w:val="both"/>
        <w:rPr>
          <w:rFonts w:ascii="Times New Roman" w:hAnsi="Times New Roman" w:eastAsia="宋体" w:cs="Times New Roman"/>
          <w:snapToGrid w:val="0"/>
          <w:sz w:val="24"/>
          <w:szCs w:val="24"/>
        </w:rPr>
      </w:pPr>
      <w:r>
        <w:rPr>
          <w:rFonts w:hint="eastAsia" w:ascii="Times New Roman" w:hAnsi="Times New Roman" w:eastAsia="宋体" w:cs="宋体"/>
          <w:sz w:val="24"/>
          <w:lang w:eastAsia="zh-CN"/>
        </w:rPr>
        <w:t>隆起度</w:t>
      </w:r>
    </w:p>
    <w:p w14:paraId="1E159790">
      <w:pPr>
        <w:pStyle w:val="16"/>
        <w:numPr>
          <w:ilvl w:val="0"/>
          <w:numId w:val="5"/>
        </w:numPr>
        <w:adjustRightInd w:val="0"/>
        <w:snapToGrid w:val="0"/>
        <w:spacing w:before="120" w:beforeLines="50" w:line="300" w:lineRule="auto"/>
        <w:ind w:left="1560"/>
        <w:jc w:val="both"/>
        <w:rPr>
          <w:rFonts w:ascii="Times New Roman" w:hAnsi="Times New Roman" w:eastAsia="宋体" w:cs="Times New Roman"/>
          <w:snapToGrid w:val="0"/>
          <w:sz w:val="24"/>
          <w:szCs w:val="24"/>
        </w:rPr>
      </w:pPr>
      <w:r>
        <w:rPr>
          <w:rFonts w:ascii="Times New Roman" w:hAnsi="Times New Roman" w:eastAsia="宋体" w:cs="宋体"/>
          <w:sz w:val="24"/>
        </w:rPr>
        <w:t>外壳厚度</w:t>
      </w:r>
    </w:p>
    <w:p w14:paraId="3D642C74">
      <w:pPr>
        <w:rPr>
          <w:rFonts w:ascii="Times New Roman" w:hAnsi="Times New Roman" w:eastAsia="宋体" w:cs="Times New Roman"/>
          <w:snapToGrid w:val="0"/>
          <w:sz w:val="24"/>
          <w:szCs w:val="24"/>
        </w:rPr>
      </w:pPr>
      <w:r>
        <w:rPr>
          <w:rFonts w:ascii="Times New Roman" w:hAnsi="Times New Roman" w:eastAsia="宋体" w:cs="宋体"/>
          <w:sz w:val="24"/>
        </w:rPr>
        <w:br w:type="page"/>
      </w:r>
    </w:p>
    <w:p w14:paraId="470A405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根据器械的具体设计特点，本机构可能建议在汇总表中包括其他信息和/或列。</w:t>
      </w:r>
    </w:p>
    <w:p w14:paraId="6F545B5E">
      <w:pPr>
        <w:pStyle w:val="22"/>
        <w:rPr>
          <w:szCs w:val="24"/>
        </w:rPr>
      </w:pPr>
      <w:bookmarkStart w:id="6" w:name="_Toc95489752"/>
      <w:r>
        <w:t>IV.</w:t>
      </w:r>
      <w:r>
        <w:tab/>
      </w:r>
      <w:r>
        <w:t>化学数据</w:t>
      </w:r>
      <w:bookmarkEnd w:id="6"/>
    </w:p>
    <w:p w14:paraId="124223B5">
      <w:pPr>
        <w:pStyle w:val="23"/>
        <w:rPr>
          <w:szCs w:val="24"/>
        </w:rPr>
      </w:pPr>
      <w:bookmarkStart w:id="7" w:name="_Toc95489753"/>
      <w:r>
        <w:t>A.</w:t>
      </w:r>
      <w:r>
        <w:tab/>
      </w:r>
      <w:r>
        <w:t>一般信息</w:t>
      </w:r>
      <w:bookmarkEnd w:id="7"/>
    </w:p>
    <w:p w14:paraId="0E60824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对于用于制造乳房植入体的化学品和材料，本机构建议提供以下内容：</w:t>
      </w:r>
    </w:p>
    <w:p w14:paraId="277318D1">
      <w:pPr>
        <w:pStyle w:val="16"/>
        <w:numPr>
          <w:ilvl w:val="0"/>
          <w:numId w:val="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每种化学品/材料的通用名和商品名（包括添加剂、增塑剂和抗氧化剂）</w:t>
      </w:r>
    </w:p>
    <w:p w14:paraId="058BCBCB">
      <w:pPr>
        <w:pStyle w:val="16"/>
        <w:numPr>
          <w:ilvl w:val="0"/>
          <w:numId w:val="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每种化学品和材料在制造过程和/或最终器械中的具体作用</w:t>
      </w:r>
    </w:p>
    <w:p w14:paraId="5F15D142">
      <w:pPr>
        <w:pStyle w:val="16"/>
        <w:numPr>
          <w:ilvl w:val="0"/>
          <w:numId w:val="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材料在器械中的位置（如外壳、填充物、瓣膜、粘合剂）</w:t>
      </w:r>
    </w:p>
    <w:p w14:paraId="6309B8C0">
      <w:pPr>
        <w:pStyle w:val="16"/>
        <w:numPr>
          <w:ilvl w:val="0"/>
          <w:numId w:val="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每种聚合物成分的化学名称、平均分子量和多分散性衡量标准</w:t>
      </w:r>
    </w:p>
    <w:p w14:paraId="07018D8C">
      <w:pPr>
        <w:pStyle w:val="16"/>
        <w:numPr>
          <w:ilvl w:val="0"/>
          <w:numId w:val="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每种化学品的材料安全数据表</w:t>
      </w:r>
    </w:p>
    <w:p w14:paraId="619FE7A2">
      <w:pPr>
        <w:pStyle w:val="16"/>
        <w:numPr>
          <w:ilvl w:val="0"/>
          <w:numId w:val="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每种材料的主文件（MAF）编号，包括具体卷号和页码参考，以及MAF所有者允许使用其数据的签名函（如适用）。</w:t>
      </w:r>
    </w:p>
    <w:p w14:paraId="4E861F6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本机构还建议说明弹性体外壳分散体中使用的二氧化硅属于无定形还是结晶型。</w:t>
      </w:r>
    </w:p>
    <w:p w14:paraId="0A6F54F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本文件第IV.B节至第IV.E节描述了对弹性体外壳（包括</w:t>
      </w:r>
      <w:r>
        <w:rPr>
          <w:rFonts w:hint="eastAsia" w:ascii="Times New Roman" w:hAnsi="Times New Roman" w:eastAsia="宋体" w:cs="宋体"/>
          <w:sz w:val="24"/>
          <w:lang w:eastAsia="zh-CN"/>
        </w:rPr>
        <w:t>补片</w:t>
      </w:r>
      <w:r>
        <w:rPr>
          <w:rFonts w:ascii="Times New Roman" w:hAnsi="Times New Roman" w:eastAsia="宋体" w:cs="宋体"/>
          <w:sz w:val="24"/>
          <w:lang w:eastAsia="zh-CN"/>
        </w:rPr>
        <w:t>和瓣膜）的化学分析，本机构建议在申请中包括这些分析。第IV.F至IV.I节描述了填充材料的化学分析。其他分析可能适用，这取决于器械的设计特点，如</w:t>
      </w:r>
      <w:r>
        <w:rPr>
          <w:rFonts w:hint="eastAsia" w:ascii="Times New Roman" w:hAnsi="Times New Roman" w:eastAsia="宋体" w:cs="宋体"/>
          <w:sz w:val="24"/>
          <w:lang w:eastAsia="zh-CN"/>
        </w:rPr>
        <w:t>皮肤纹理</w:t>
      </w:r>
      <w:r>
        <w:rPr>
          <w:rFonts w:ascii="Times New Roman" w:hAnsi="Times New Roman" w:eastAsia="宋体" w:cs="宋体"/>
          <w:sz w:val="24"/>
          <w:lang w:eastAsia="zh-CN"/>
        </w:rPr>
        <w:t>、器械组件的变化（如</w:t>
      </w:r>
      <w:r>
        <w:rPr>
          <w:rFonts w:hint="eastAsia" w:ascii="Times New Roman" w:hAnsi="Times New Roman" w:eastAsia="宋体" w:cs="宋体"/>
          <w:sz w:val="24"/>
          <w:lang w:eastAsia="zh-CN"/>
        </w:rPr>
        <w:t>补片</w:t>
      </w:r>
      <w:r>
        <w:rPr>
          <w:rFonts w:ascii="Times New Roman" w:hAnsi="Times New Roman" w:eastAsia="宋体" w:cs="宋体"/>
          <w:sz w:val="24"/>
          <w:lang w:eastAsia="zh-CN"/>
        </w:rPr>
        <w:t>或瓣膜），或所用的无菌方法。</w:t>
      </w:r>
    </w:p>
    <w:p w14:paraId="6C1B3117">
      <w:pPr>
        <w:pStyle w:val="23"/>
        <w:rPr>
          <w:szCs w:val="24"/>
        </w:rPr>
      </w:pPr>
      <w:bookmarkStart w:id="8" w:name="_Toc95489754"/>
      <w:r>
        <w:t>B.</w:t>
      </w:r>
      <w:r>
        <w:tab/>
      </w:r>
      <w:r>
        <w:t>交联程度</w:t>
      </w:r>
      <w:bookmarkEnd w:id="8"/>
    </w:p>
    <w:p w14:paraId="6A37236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外壳的制造涉及通过化学交联固化有机硅的聚合成分。本机构建议提供至少三个不同生产批次的交联程度，以确认各批次交联程度的统一性。确定交联程度的建议方法包括：</w:t>
      </w:r>
    </w:p>
    <w:p w14:paraId="60555352">
      <w:pPr>
        <w:pStyle w:val="16"/>
        <w:numPr>
          <w:ilvl w:val="0"/>
          <w:numId w:val="7"/>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测量低应变时的杨氏模量（大约与交联密度成正比）</w:t>
      </w:r>
    </w:p>
    <w:p w14:paraId="446A6022">
      <w:pPr>
        <w:pStyle w:val="16"/>
        <w:numPr>
          <w:ilvl w:val="0"/>
          <w:numId w:val="7"/>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用适当溶剂测量聚合成分的平衡膨胀，该溶剂与用于可浸提物分析的溶剂相似</w:t>
      </w:r>
    </w:p>
    <w:p w14:paraId="3FF6CF0B">
      <w:pPr>
        <w:pStyle w:val="16"/>
        <w:numPr>
          <w:ilvl w:val="0"/>
          <w:numId w:val="7"/>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7A71B8E7">
      <w:pPr>
        <w:pStyle w:val="16"/>
        <w:numPr>
          <w:ilvl w:val="0"/>
          <w:numId w:val="7"/>
        </w:numPr>
        <w:adjustRightInd w:val="0"/>
        <w:snapToGrid w:val="0"/>
        <w:spacing w:before="120" w:beforeLines="50" w:line="300" w:lineRule="auto"/>
        <w:ind w:left="851" w:hanging="425"/>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从总可浸提物中确定未反应的交联剂数量。</w:t>
      </w:r>
    </w:p>
    <w:p w14:paraId="77CF62F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本机构建议也对固化聚合物进行分析，以确认是否存在硅官能团。建议采用傅里叶变换红外光谱法（FTIR）。</w:t>
      </w:r>
    </w:p>
    <w:p w14:paraId="6A13761D">
      <w:pPr>
        <w:pStyle w:val="23"/>
        <w:rPr>
          <w:szCs w:val="24"/>
        </w:rPr>
      </w:pPr>
      <w:bookmarkStart w:id="9" w:name="_Toc95489755"/>
      <w:r>
        <w:t>C.</w:t>
      </w:r>
      <w:r>
        <w:tab/>
      </w:r>
      <w:r>
        <w:t>可浸提物</w:t>
      </w:r>
      <w:bookmarkEnd w:id="9"/>
    </w:p>
    <w:p w14:paraId="07A72A2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本机构建议对通过极限溶剂浸提得到的</w:t>
      </w:r>
      <w:r>
        <w:rPr>
          <w:rFonts w:hint="eastAsia" w:ascii="Times New Roman" w:hAnsi="Times New Roman" w:eastAsia="宋体" w:cs="宋体"/>
          <w:sz w:val="24"/>
          <w:lang w:eastAsia="zh-CN"/>
        </w:rPr>
        <w:t>可浸提物或可释放化学品</w:t>
      </w:r>
      <w:r>
        <w:rPr>
          <w:rFonts w:ascii="Times New Roman" w:hAnsi="Times New Roman" w:eastAsia="宋体" w:cs="宋体"/>
          <w:sz w:val="24"/>
          <w:lang w:eastAsia="zh-CN"/>
        </w:rPr>
        <w:t>进行分析，以确定潜在有毒化学品，并预估可能释放到患者体内的化学品上限。建议采用索氏浸提法。以下是对可浸提或可释放化学品的极限浸提方案的一般描述。</w:t>
      </w:r>
    </w:p>
    <w:p w14:paraId="3308D80F">
      <w:pPr>
        <w:adjustRightInd w:val="0"/>
        <w:snapToGrid w:val="0"/>
        <w:spacing w:before="120" w:beforeLines="50" w:line="300" w:lineRule="auto"/>
        <w:ind w:left="849" w:leftChars="38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使用至少一种极性溶剂（如乙醇或乙醇-水混合物）和两种非极性溶剂（如二氯甲烷和正己烷）在37℃下浸提外壳，以进行化学分析。为了确定极限浸提的持续时间，应进行一系列连续浸提，先将样品暴露在溶剂中一段时间，然后分析溶剂中的可浸提物，再用新鲜溶剂代替，将样品再暴露一段时间，然后进行分析，并重复这一过程。</w:t>
      </w:r>
    </w:p>
    <w:p w14:paraId="755592A2">
      <w:pPr>
        <w:adjustRightInd w:val="0"/>
        <w:snapToGrid w:val="0"/>
        <w:spacing w:before="120" w:beforeLines="50" w:line="300" w:lineRule="auto"/>
        <w:ind w:left="849" w:leftChars="38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当浸提的分析物水平是上一次浸提的十分之一（0.1）时，可认为完全浸提，以便对总可浸提物质进行10%的修正。在有些情况下，由于高分子量物质的迁移速度极慢，可能不会出现这种状况，应对浸提液中分子量≤</w:t>
      </w:r>
      <w:r>
        <w:rPr>
          <w:rFonts w:hint="eastAsia" w:ascii="Times New Roman" w:hAnsi="Times New Roman" w:eastAsia="宋体" w:cs="宋体"/>
          <w:sz w:val="24"/>
          <w:lang w:eastAsia="zh-CN"/>
        </w:rPr>
        <w:t xml:space="preserve"> </w:t>
      </w:r>
      <w:r>
        <w:rPr>
          <w:rFonts w:ascii="Times New Roman" w:hAnsi="Times New Roman" w:eastAsia="宋体" w:cs="宋体"/>
          <w:sz w:val="24"/>
          <w:lang w:eastAsia="zh-CN"/>
        </w:rPr>
        <w:t>1500道尔顿的内容物进行试验，因为这些是临床上最关注的化合物。应将所有单独分析物含量相加，以计算出累计值，并通过样品/溶剂比率计算出样品和器械水平。应使用从极性溶剂中浸提的总量和从非极性溶剂中浸提的总量进行定量和定性分析，以获得更多可浸提物。对于可能含有低聚物或高聚物的浸提物，应提供分子量分布，</w:t>
      </w:r>
      <w:r>
        <w:rPr>
          <w:rFonts w:hint="eastAsia" w:ascii="Times New Roman" w:hAnsi="Times New Roman" w:eastAsia="宋体" w:cs="宋体"/>
          <w:sz w:val="24"/>
          <w:lang w:eastAsia="zh-CN"/>
        </w:rPr>
        <w:t>以及平均分子量和多分散性的数量和重量</w:t>
      </w:r>
      <w:r>
        <w:rPr>
          <w:rFonts w:ascii="Times New Roman" w:hAnsi="Times New Roman" w:eastAsia="宋体" w:cs="宋体"/>
          <w:sz w:val="24"/>
          <w:lang w:eastAsia="zh-CN"/>
        </w:rPr>
        <w:t>。应对可浸提物的残留物进行FTIR分析。</w:t>
      </w:r>
    </w:p>
    <w:p w14:paraId="6EE7533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本机构建议提供对可浸提物分析的以下信息：</w:t>
      </w:r>
    </w:p>
    <w:p w14:paraId="3B70B402">
      <w:pPr>
        <w:pStyle w:val="16"/>
        <w:numPr>
          <w:ilvl w:val="0"/>
          <w:numId w:val="8"/>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对最终灭菌外壳进行极限浸提后，所有分子量的化合物的识别和定量情况≤</w:t>
      </w:r>
      <w:r>
        <w:rPr>
          <w:rFonts w:hint="eastAsia" w:ascii="Times New Roman" w:hAnsi="Times New Roman" w:eastAsia="宋体" w:cs="宋体"/>
          <w:sz w:val="24"/>
          <w:lang w:eastAsia="zh-CN"/>
        </w:rPr>
        <w:t xml:space="preserve"> </w:t>
      </w:r>
      <w:r>
        <w:rPr>
          <w:rFonts w:ascii="Times New Roman" w:hAnsi="Times New Roman" w:eastAsia="宋体" w:cs="宋体"/>
          <w:sz w:val="24"/>
          <w:lang w:eastAsia="zh-CN"/>
        </w:rPr>
        <w:t>1500道尔顿。这些应包括但不限于：</w:t>
      </w:r>
    </w:p>
    <w:p w14:paraId="6DB685C5">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0E36B6A1">
      <w:pPr>
        <w:pStyle w:val="16"/>
        <w:numPr>
          <w:ilvl w:val="0"/>
          <w:numId w:val="9"/>
        </w:numPr>
        <w:tabs>
          <w:tab w:val="left" w:pos="1560"/>
        </w:tabs>
        <w:adjustRightInd w:val="0"/>
        <w:snapToGrid w:val="0"/>
        <w:spacing w:before="120" w:beforeLines="50" w:line="300" w:lineRule="auto"/>
        <w:ind w:left="127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残留的单体、环状和线状低聚硅氧烷</w:t>
      </w:r>
    </w:p>
    <w:p w14:paraId="6408ECDE">
      <w:pPr>
        <w:pStyle w:val="16"/>
        <w:numPr>
          <w:ilvl w:val="0"/>
          <w:numId w:val="9"/>
        </w:numPr>
        <w:tabs>
          <w:tab w:val="left" w:pos="1560"/>
        </w:tabs>
        <w:adjustRightInd w:val="0"/>
        <w:snapToGrid w:val="0"/>
        <w:spacing w:before="120" w:beforeLines="50" w:line="300" w:lineRule="auto"/>
        <w:ind w:left="127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多氯联苯（PCB）等已知有毒残留物（如果涉及过氧化物固化过程）</w:t>
      </w:r>
    </w:p>
    <w:p w14:paraId="4573EB32">
      <w:pPr>
        <w:pStyle w:val="16"/>
        <w:numPr>
          <w:ilvl w:val="0"/>
          <w:numId w:val="9"/>
        </w:numPr>
        <w:tabs>
          <w:tab w:val="left" w:pos="1560"/>
        </w:tabs>
        <w:adjustRightInd w:val="0"/>
        <w:snapToGrid w:val="0"/>
        <w:spacing w:before="120" w:beforeLines="50" w:line="300" w:lineRule="auto"/>
        <w:ind w:left="127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芳香胺类（如果使用聚氨酯）</w:t>
      </w:r>
    </w:p>
    <w:p w14:paraId="0B12C23F">
      <w:pPr>
        <w:pStyle w:val="16"/>
        <w:numPr>
          <w:ilvl w:val="0"/>
          <w:numId w:val="10"/>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lang w:eastAsia="zh-CN"/>
        </w:rPr>
        <w:t>残留率</w:t>
      </w:r>
      <w:r>
        <w:rPr>
          <w:rFonts w:ascii="Times New Roman" w:hAnsi="Times New Roman" w:eastAsia="宋体" w:cs="宋体"/>
          <w:sz w:val="24"/>
          <w:lang w:eastAsia="zh-CN"/>
        </w:rPr>
        <w:t>，特别是聚二甲基硅氧烷的</w:t>
      </w:r>
      <w:r>
        <w:rPr>
          <w:rFonts w:hint="eastAsia" w:ascii="Times New Roman" w:hAnsi="Times New Roman" w:eastAsia="宋体" w:cs="宋体"/>
          <w:sz w:val="24"/>
          <w:lang w:eastAsia="zh-CN"/>
        </w:rPr>
        <w:t>残留率</w:t>
      </w:r>
      <w:r>
        <w:rPr>
          <w:rFonts w:ascii="Times New Roman" w:hAnsi="Times New Roman" w:eastAsia="宋体" w:cs="宋体"/>
          <w:sz w:val="24"/>
          <w:lang w:eastAsia="zh-CN"/>
        </w:rPr>
        <w:t>（最高为D20）</w:t>
      </w:r>
    </w:p>
    <w:p w14:paraId="69B29FA2">
      <w:pPr>
        <w:pStyle w:val="16"/>
        <w:numPr>
          <w:ilvl w:val="0"/>
          <w:numId w:val="10"/>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表明已用其中一种溶剂进行彻底浸提的证据</w:t>
      </w:r>
    </w:p>
    <w:p w14:paraId="04A30543">
      <w:pPr>
        <w:pStyle w:val="16"/>
        <w:numPr>
          <w:ilvl w:val="0"/>
          <w:numId w:val="10"/>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所有实验方法的确定</w:t>
      </w:r>
      <w:r>
        <w:rPr>
          <w:rFonts w:ascii="Times New Roman" w:hAnsi="Times New Roman" w:eastAsia="宋体" w:cs="宋体"/>
          <w:sz w:val="24"/>
          <w:vertAlign w:val="superscript"/>
        </w:rPr>
        <w:t>3</w:t>
      </w:r>
    </w:p>
    <w:p w14:paraId="7D0D9508">
      <w:pPr>
        <w:pStyle w:val="16"/>
        <w:numPr>
          <w:ilvl w:val="0"/>
          <w:numId w:val="10"/>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原始数据（包括仪器报告），包括所有色谱图、光谱图等。还应提供在未检测到相关分析物时的实际定量限。</w:t>
      </w:r>
      <w:r>
        <w:rPr>
          <w:rFonts w:ascii="Times New Roman" w:hAnsi="Times New Roman" w:eastAsia="宋体" w:cs="宋体"/>
          <w:sz w:val="24"/>
          <w:vertAlign w:val="superscript"/>
          <w:lang w:eastAsia="zh-CN"/>
        </w:rPr>
        <w:t>4</w:t>
      </w:r>
    </w:p>
    <w:p w14:paraId="0D1B4EDE">
      <w:pPr>
        <w:pStyle w:val="23"/>
        <w:rPr>
          <w:szCs w:val="24"/>
        </w:rPr>
      </w:pPr>
      <w:bookmarkStart w:id="10" w:name="_Toc95489756"/>
      <w:r>
        <w:t>D.</w:t>
      </w:r>
      <w:r>
        <w:tab/>
      </w:r>
      <w:r>
        <w:t>挥发物</w:t>
      </w:r>
      <w:bookmarkEnd w:id="10"/>
    </w:p>
    <w:p w14:paraId="6BAD50F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本机构建议使用顶空检测器分析弹性体外壳中的挥发成分。</w:t>
      </w:r>
    </w:p>
    <w:p w14:paraId="73082E61">
      <w:pPr>
        <w:pStyle w:val="23"/>
        <w:rPr>
          <w:szCs w:val="24"/>
        </w:rPr>
      </w:pPr>
      <w:bookmarkStart w:id="11" w:name="_Toc95489757"/>
      <w:r>
        <w:t>E.</w:t>
      </w:r>
      <w:r>
        <w:tab/>
      </w:r>
      <w:r>
        <w:t>重金属</w:t>
      </w:r>
      <w:bookmarkEnd w:id="11"/>
    </w:p>
    <w:p w14:paraId="1BE83BD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本机构建议对最终</w:t>
      </w:r>
      <w:r>
        <w:rPr>
          <w:rFonts w:hint="eastAsia" w:ascii="Times New Roman" w:hAnsi="Times New Roman" w:eastAsia="宋体" w:cs="宋体"/>
          <w:sz w:val="24"/>
          <w:lang w:eastAsia="zh-CN"/>
        </w:rPr>
        <w:t>成品外壳</w:t>
      </w:r>
      <w:r>
        <w:rPr>
          <w:rFonts w:ascii="Times New Roman" w:hAnsi="Times New Roman" w:eastAsia="宋体" w:cs="宋体"/>
          <w:sz w:val="24"/>
          <w:lang w:eastAsia="zh-CN"/>
        </w:rPr>
        <w:t>进行重金属定性和定量分析。重金属分析应包括但不限于以下金属的分析：锑、砷、钡、铍、镉、铬、钴、铜、铅、镁、汞、钼、镍、铂、硒、银、锡、钛、钒、锌。此外，对于在固化反应中用作催化剂的金属，本机构建议提供催化剂的价态和残留物数量。</w:t>
      </w:r>
    </w:p>
    <w:p w14:paraId="374CAA0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在不提供</w:t>
      </w:r>
      <w:r>
        <w:rPr>
          <w:rFonts w:hint="eastAsia" w:ascii="Times New Roman" w:hAnsi="Times New Roman" w:eastAsia="宋体" w:cs="宋体"/>
          <w:sz w:val="24"/>
          <w:lang w:eastAsia="zh-CN"/>
        </w:rPr>
        <w:t>成品壳</w:t>
      </w:r>
      <w:r>
        <w:rPr>
          <w:rFonts w:ascii="Times New Roman" w:hAnsi="Times New Roman" w:eastAsia="宋体" w:cs="宋体"/>
          <w:sz w:val="24"/>
          <w:lang w:eastAsia="zh-CN"/>
        </w:rPr>
        <w:t>的完整重金属分析的情况下，可以提供原壳材料中使用的催化剂纯度（含微量元素），同时提供成品壳分析以供所用催化剂金属分析。</w:t>
      </w:r>
    </w:p>
    <w:p w14:paraId="1322CEB8">
      <w:pPr>
        <w:pStyle w:val="23"/>
        <w:rPr>
          <w:szCs w:val="24"/>
        </w:rPr>
      </w:pPr>
      <w:bookmarkStart w:id="12" w:name="_Toc95489758"/>
      <w:r>
        <w:t>F.</w:t>
      </w:r>
      <w:r>
        <w:tab/>
      </w:r>
      <w:r>
        <w:t>盐水填充物</w:t>
      </w:r>
      <w:bookmarkEnd w:id="12"/>
    </w:p>
    <w:p w14:paraId="396120F7">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正常无菌生理盐水在乳房植入体中的使用历史悠久，并由USP制定标准。如上所述，与器械联合使用的无菌盐水应遵循USP有关正常生理盐水（注射级）的标准，其浓度为0.15</w:t>
      </w:r>
      <w:r>
        <w:rPr>
          <w:rFonts w:hint="eastAsia" w:ascii="Times New Roman" w:hAnsi="Times New Roman" w:eastAsia="宋体" w:cs="宋体"/>
          <w:sz w:val="24"/>
          <w:lang w:eastAsia="zh-CN"/>
        </w:rPr>
        <w:t xml:space="preserve"> </w:t>
      </w:r>
      <w:r>
        <w:rPr>
          <w:rFonts w:ascii="Times New Roman" w:hAnsi="Times New Roman" w:eastAsia="宋体" w:cs="宋体"/>
          <w:sz w:val="24"/>
          <w:lang w:eastAsia="zh-CN"/>
        </w:rPr>
        <w:t>M，pH值为7.2-7.4。如果乳房植入体需要使用任何其他盐水填充，本机构建议提供该盐水的完整化学分析。</w:t>
      </w:r>
    </w:p>
    <w:p w14:paraId="5E3A7F71">
      <w:pPr>
        <w:adjustRightInd w:val="0"/>
        <w:snapToGrid w:val="0"/>
        <w:spacing w:before="120" w:beforeLines="50" w:line="300" w:lineRule="auto"/>
        <w:jc w:val="both"/>
        <w:rPr>
          <w:rFonts w:ascii="Times New Roman" w:hAnsi="Times New Roman" w:eastAsia="宋体" w:cs="宋体"/>
          <w:sz w:val="24"/>
          <w:lang w:eastAsia="zh-CN"/>
        </w:rPr>
      </w:pPr>
    </w:p>
    <w:p w14:paraId="0537F87B">
      <w:pPr>
        <w:adjustRightInd w:val="0"/>
        <w:snapToGrid w:val="0"/>
        <w:spacing w:before="120" w:beforeLines="50" w:line="300" w:lineRule="auto"/>
        <w:jc w:val="both"/>
        <w:rPr>
          <w:rFonts w:ascii="Times New Roman" w:hAnsi="Times New Roman" w:eastAsia="宋体" w:cs="宋体"/>
          <w:sz w:val="24"/>
          <w:lang w:eastAsia="zh-CN"/>
        </w:rPr>
      </w:pPr>
    </w:p>
    <w:p w14:paraId="4F4445C6">
      <w:pPr>
        <w:adjustRightInd w:val="0"/>
        <w:snapToGrid w:val="0"/>
        <w:spacing w:before="120" w:beforeLines="50" w:line="300" w:lineRule="auto"/>
        <w:jc w:val="both"/>
        <w:rPr>
          <w:rFonts w:ascii="Times New Roman" w:hAnsi="Times New Roman" w:eastAsia="宋体" w:cs="宋体"/>
          <w:sz w:val="24"/>
          <w:lang w:eastAsia="zh-CN"/>
        </w:rPr>
      </w:pPr>
    </w:p>
    <w:p w14:paraId="0935948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678F991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_____________________</w:t>
      </w:r>
    </w:p>
    <w:p w14:paraId="0AF1F5D5">
      <w:pPr>
        <w:pStyle w:val="26"/>
        <w:rPr>
          <w:rFonts w:eastAsia="宋体"/>
          <w:lang w:eastAsia="zh-CN"/>
        </w:rPr>
      </w:pPr>
      <w:r>
        <w:rPr>
          <w:rFonts w:eastAsia="宋体" w:cs="宋体"/>
          <w:vertAlign w:val="superscript"/>
          <w:lang w:eastAsia="zh-CN"/>
        </w:rPr>
        <w:t>3</w:t>
      </w:r>
      <w:r>
        <w:rPr>
          <w:rFonts w:eastAsia="宋体" w:cs="宋体"/>
          <w:lang w:eastAsia="zh-CN"/>
        </w:rPr>
        <w:t xml:space="preserve"> 例如：凝胶渗透色谱法（GPC）、气相色谱法（GLC）、质谱法（MS）、原子发射检测器（AED）和FTIR。</w:t>
      </w:r>
    </w:p>
    <w:p w14:paraId="7F70AF5C">
      <w:pPr>
        <w:pStyle w:val="26"/>
        <w:rPr>
          <w:rFonts w:eastAsia="宋体" w:cs="宋体"/>
          <w:lang w:eastAsia="zh-CN"/>
        </w:rPr>
      </w:pPr>
      <w:r>
        <w:rPr>
          <w:rFonts w:eastAsia="宋体" w:cs="宋体"/>
          <w:vertAlign w:val="superscript"/>
        </w:rPr>
        <w:t>4</w:t>
      </w:r>
      <w:r>
        <w:rPr>
          <w:rFonts w:eastAsia="宋体" w:cs="宋体"/>
        </w:rPr>
        <w:t xml:space="preserve"> Keith, L. Compilation of EPA's Sampling and Analysis Methods.Lewis Publishers, 1992.</w:t>
      </w:r>
    </w:p>
    <w:p w14:paraId="21046B76">
      <w:pPr>
        <w:pStyle w:val="26"/>
        <w:rPr>
          <w:rFonts w:eastAsia="宋体"/>
          <w:lang w:eastAsia="zh-CN"/>
        </w:rPr>
      </w:pPr>
      <w:r>
        <w:rPr>
          <w:rFonts w:eastAsia="宋体" w:cs="宋体"/>
        </w:rPr>
        <w:br w:type="page"/>
      </w:r>
    </w:p>
    <w:p w14:paraId="419B5E44">
      <w:pPr>
        <w:pStyle w:val="23"/>
        <w:rPr>
          <w:szCs w:val="24"/>
        </w:rPr>
      </w:pPr>
      <w:bookmarkStart w:id="13" w:name="_Toc95489759"/>
      <w:r>
        <w:t>G.</w:t>
      </w:r>
      <w:r>
        <w:tab/>
      </w:r>
      <w:r>
        <w:t>硅凝胶填充物</w:t>
      </w:r>
      <w:bookmarkEnd w:id="13"/>
    </w:p>
    <w:p w14:paraId="007C2CB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硅凝胶分析应与弹性体外壳分析非常相似。对于最终灭菌凝胶，本机构建议提供以下内容：</w:t>
      </w:r>
    </w:p>
    <w:p w14:paraId="36CC7CC4">
      <w:pPr>
        <w:pStyle w:val="16"/>
        <w:numPr>
          <w:ilvl w:val="0"/>
          <w:numId w:val="1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可浸提物（如环状聚硅氧烷）的定性和定量分析，包括：</w:t>
      </w:r>
    </w:p>
    <w:p w14:paraId="5DDB3096">
      <w:pPr>
        <w:pStyle w:val="16"/>
        <w:numPr>
          <w:ilvl w:val="0"/>
          <w:numId w:val="12"/>
        </w:numPr>
        <w:tabs>
          <w:tab w:val="left" w:pos="1560"/>
        </w:tabs>
        <w:adjustRightInd w:val="0"/>
        <w:snapToGrid w:val="0"/>
        <w:spacing w:before="120" w:beforeLines="50" w:line="300" w:lineRule="auto"/>
        <w:ind w:left="1276"/>
        <w:jc w:val="both"/>
        <w:rPr>
          <w:rFonts w:ascii="Times New Roman" w:hAnsi="Times New Roman" w:eastAsia="宋体" w:cs="Times New Roman"/>
          <w:snapToGrid w:val="0"/>
          <w:sz w:val="24"/>
          <w:szCs w:val="24"/>
        </w:rPr>
      </w:pPr>
      <w:r>
        <w:rPr>
          <w:rFonts w:ascii="Times New Roman" w:hAnsi="Times New Roman" w:eastAsia="宋体" w:cs="宋体"/>
          <w:sz w:val="24"/>
        </w:rPr>
        <w:t>聚合物表征</w:t>
      </w:r>
    </w:p>
    <w:p w14:paraId="3CE3D770">
      <w:pPr>
        <w:pStyle w:val="16"/>
        <w:numPr>
          <w:ilvl w:val="0"/>
          <w:numId w:val="12"/>
        </w:numPr>
        <w:tabs>
          <w:tab w:val="left" w:pos="1560"/>
        </w:tabs>
        <w:adjustRightInd w:val="0"/>
        <w:snapToGrid w:val="0"/>
        <w:spacing w:before="120" w:beforeLines="50" w:line="300" w:lineRule="auto"/>
        <w:ind w:left="1276"/>
        <w:jc w:val="both"/>
        <w:rPr>
          <w:rFonts w:ascii="Times New Roman" w:hAnsi="Times New Roman" w:eastAsia="宋体" w:cs="Times New Roman"/>
          <w:snapToGrid w:val="0"/>
          <w:sz w:val="24"/>
          <w:szCs w:val="24"/>
        </w:rPr>
      </w:pPr>
      <w:r>
        <w:rPr>
          <w:rFonts w:ascii="Times New Roman" w:hAnsi="Times New Roman" w:eastAsia="宋体" w:cs="宋体"/>
          <w:sz w:val="24"/>
        </w:rPr>
        <w:t>聚合物的平均分子量和多分散性</w:t>
      </w:r>
    </w:p>
    <w:p w14:paraId="0BCCC193">
      <w:pPr>
        <w:pStyle w:val="16"/>
        <w:numPr>
          <w:ilvl w:val="0"/>
          <w:numId w:val="12"/>
        </w:numPr>
        <w:tabs>
          <w:tab w:val="left" w:pos="1560"/>
        </w:tabs>
        <w:adjustRightInd w:val="0"/>
        <w:snapToGrid w:val="0"/>
        <w:spacing w:before="120" w:beforeLines="50" w:line="300" w:lineRule="auto"/>
        <w:ind w:left="127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所有分子量≤</w:t>
      </w:r>
      <w:r>
        <w:rPr>
          <w:rFonts w:hint="eastAsia" w:ascii="Times New Roman" w:hAnsi="Times New Roman" w:eastAsia="宋体" w:cs="宋体"/>
          <w:sz w:val="24"/>
          <w:lang w:eastAsia="zh-CN"/>
        </w:rPr>
        <w:t xml:space="preserve"> </w:t>
      </w:r>
      <w:r>
        <w:rPr>
          <w:rFonts w:ascii="Times New Roman" w:hAnsi="Times New Roman" w:eastAsia="宋体" w:cs="宋体"/>
          <w:sz w:val="24"/>
          <w:lang w:eastAsia="zh-CN"/>
        </w:rPr>
        <w:t>1500道尔顿的化合物的识别和定量</w:t>
      </w:r>
    </w:p>
    <w:p w14:paraId="492AEEBB">
      <w:pPr>
        <w:pStyle w:val="16"/>
        <w:numPr>
          <w:ilvl w:val="1"/>
          <w:numId w:val="13"/>
        </w:num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挥发物的定性和定量分析</w:t>
      </w:r>
    </w:p>
    <w:p w14:paraId="0F155CF8">
      <w:pPr>
        <w:pStyle w:val="16"/>
        <w:numPr>
          <w:ilvl w:val="1"/>
          <w:numId w:val="13"/>
        </w:num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重金属含量的定性和定量分析</w:t>
      </w:r>
    </w:p>
    <w:p w14:paraId="419C5230">
      <w:pPr>
        <w:pStyle w:val="16"/>
        <w:numPr>
          <w:ilvl w:val="1"/>
          <w:numId w:val="13"/>
        </w:num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凝胶的物理特性，包括粘度、凝聚性和近似交联密度（如可能）</w:t>
      </w:r>
    </w:p>
    <w:p w14:paraId="2509C8D7">
      <w:pPr>
        <w:pStyle w:val="16"/>
        <w:numPr>
          <w:ilvl w:val="1"/>
          <w:numId w:val="13"/>
        </w:num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硅油百分比及其化学和物理特性（如分子量、粘度）。</w:t>
      </w:r>
    </w:p>
    <w:p w14:paraId="036AABF0">
      <w:pPr>
        <w:pStyle w:val="23"/>
        <w:rPr>
          <w:szCs w:val="24"/>
        </w:rPr>
      </w:pPr>
      <w:bookmarkStart w:id="14" w:name="_Toc95489760"/>
      <w:r>
        <w:t>H.</w:t>
      </w:r>
      <w:r>
        <w:tab/>
      </w:r>
      <w:r>
        <w:t>其他填充物 - 聚合物</w:t>
      </w:r>
      <w:bookmarkEnd w:id="14"/>
    </w:p>
    <w:p w14:paraId="2E52C2C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对于最终灭菌的其他聚合物填充物，本机构建议提供以下内容：</w:t>
      </w:r>
    </w:p>
    <w:p w14:paraId="3806DC54">
      <w:pPr>
        <w:pStyle w:val="16"/>
        <w:numPr>
          <w:ilvl w:val="0"/>
          <w:numId w:val="14"/>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使用其他特定填充材料的依据</w:t>
      </w:r>
    </w:p>
    <w:p w14:paraId="7A3F5768">
      <w:pPr>
        <w:pStyle w:val="16"/>
        <w:numPr>
          <w:ilvl w:val="0"/>
          <w:numId w:val="1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用于制备填充物的任何聚合物（如果是合成聚合物）的合成成分和合成方法清单，或聚合物（如果是天然聚合物）的来源和分离程序</w:t>
      </w:r>
    </w:p>
    <w:p w14:paraId="6B092943">
      <w:pPr>
        <w:pStyle w:val="16"/>
        <w:numPr>
          <w:ilvl w:val="0"/>
          <w:numId w:val="1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单体的定量分析（如果是合成聚合物）及其安全特征</w:t>
      </w:r>
    </w:p>
    <w:p w14:paraId="5980F28A">
      <w:pPr>
        <w:pStyle w:val="16"/>
        <w:numPr>
          <w:ilvl w:val="0"/>
          <w:numId w:val="14"/>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聚合物的提纯方法</w:t>
      </w:r>
    </w:p>
    <w:p w14:paraId="42E57412">
      <w:pPr>
        <w:pStyle w:val="16"/>
        <w:numPr>
          <w:ilvl w:val="0"/>
          <w:numId w:val="1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聚合物的完整物理和化学特性（例如，粘度、分子量）</w:t>
      </w:r>
    </w:p>
    <w:p w14:paraId="77A2AB81">
      <w:pPr>
        <w:pStyle w:val="16"/>
        <w:numPr>
          <w:ilvl w:val="0"/>
          <w:numId w:val="1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聚合物的配方（如果填充材料是一种以上成分的混合物，应说明聚合物比例）</w:t>
      </w:r>
    </w:p>
    <w:p w14:paraId="369A7351">
      <w:pPr>
        <w:pStyle w:val="16"/>
        <w:numPr>
          <w:ilvl w:val="0"/>
          <w:numId w:val="1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聚合物的结构分析，包括分子量分布</w:t>
      </w:r>
    </w:p>
    <w:p w14:paraId="5E46C337">
      <w:pPr>
        <w:pStyle w:val="16"/>
        <w:numPr>
          <w:ilvl w:val="0"/>
          <w:numId w:val="1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所有分子量≤</w:t>
      </w:r>
      <w:r>
        <w:rPr>
          <w:rFonts w:hint="eastAsia" w:ascii="Times New Roman" w:hAnsi="Times New Roman" w:eastAsia="宋体" w:cs="宋体"/>
          <w:sz w:val="24"/>
          <w:lang w:eastAsia="zh-CN"/>
        </w:rPr>
        <w:t xml:space="preserve"> </w:t>
      </w:r>
      <w:r>
        <w:rPr>
          <w:rFonts w:ascii="Times New Roman" w:hAnsi="Times New Roman" w:eastAsia="宋体" w:cs="宋体"/>
          <w:sz w:val="24"/>
          <w:lang w:eastAsia="zh-CN"/>
        </w:rPr>
        <w:t>1500道尔顿的化学品的定量和识别及其表征</w:t>
      </w:r>
    </w:p>
    <w:p w14:paraId="5BBBF82F">
      <w:pPr>
        <w:pStyle w:val="16"/>
        <w:numPr>
          <w:ilvl w:val="0"/>
          <w:numId w:val="1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微量金属/重金属分析及其价态（如果在聚合反应中使用了金属作为催化剂）</w:t>
      </w:r>
    </w:p>
    <w:p w14:paraId="552D0FCB">
      <w:pPr>
        <w:pStyle w:val="16"/>
        <w:numPr>
          <w:ilvl w:val="0"/>
          <w:numId w:val="1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交联密度（如果是合成和固化材料）。</w:t>
      </w:r>
    </w:p>
    <w:p w14:paraId="3CC3CE17">
      <w:pPr>
        <w:pStyle w:val="23"/>
        <w:rPr>
          <w:szCs w:val="24"/>
        </w:rPr>
      </w:pPr>
      <w:bookmarkStart w:id="15" w:name="_Toc95489761"/>
      <w:r>
        <w:t>I.</w:t>
      </w:r>
      <w:r>
        <w:tab/>
      </w:r>
      <w:r>
        <w:t>其他填充物 - 非聚合物</w:t>
      </w:r>
      <w:bookmarkEnd w:id="15"/>
    </w:p>
    <w:p w14:paraId="3EC61F0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对于最终灭菌的其他非聚合物填充物，本机构建议提供以下内容：</w:t>
      </w:r>
    </w:p>
    <w:p w14:paraId="51A1EF44">
      <w:pPr>
        <w:tabs>
          <w:tab w:val="left" w:pos="839"/>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4C64F0B9">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5773CE0F">
      <w:pPr>
        <w:pStyle w:val="16"/>
        <w:numPr>
          <w:ilvl w:val="0"/>
          <w:numId w:val="15"/>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使用其他特定填充材料的依据</w:t>
      </w:r>
    </w:p>
    <w:p w14:paraId="10B50206">
      <w:pPr>
        <w:pStyle w:val="16"/>
        <w:numPr>
          <w:ilvl w:val="0"/>
          <w:numId w:val="1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非聚合物的组成，包括较小分子量成分的表征</w:t>
      </w:r>
    </w:p>
    <w:p w14:paraId="0B1B5B3A">
      <w:pPr>
        <w:pStyle w:val="16"/>
        <w:numPr>
          <w:ilvl w:val="0"/>
          <w:numId w:val="15"/>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非聚合物的提纯方法</w:t>
      </w:r>
    </w:p>
    <w:p w14:paraId="338778A4">
      <w:pPr>
        <w:pStyle w:val="16"/>
        <w:numPr>
          <w:ilvl w:val="0"/>
          <w:numId w:val="1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非聚合物的完整物理和化学特性（例如，粘度、分子量）</w:t>
      </w:r>
    </w:p>
    <w:p w14:paraId="6F2C0ABC">
      <w:pPr>
        <w:pStyle w:val="16"/>
        <w:numPr>
          <w:ilvl w:val="0"/>
          <w:numId w:val="1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非聚合物的来源和分离程序</w:t>
      </w:r>
    </w:p>
    <w:p w14:paraId="07A4C25D">
      <w:pPr>
        <w:pStyle w:val="16"/>
        <w:numPr>
          <w:ilvl w:val="0"/>
          <w:numId w:val="1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非聚合物的结构分析，包括分子量分布。</w:t>
      </w:r>
    </w:p>
    <w:p w14:paraId="56C12B32">
      <w:pPr>
        <w:pStyle w:val="22"/>
        <w:rPr>
          <w:szCs w:val="24"/>
        </w:rPr>
      </w:pPr>
      <w:bookmarkStart w:id="16" w:name="_Toc95489762"/>
      <w:r>
        <w:t>V.</w:t>
      </w:r>
      <w:r>
        <w:tab/>
      </w:r>
      <w:r>
        <w:t>毒理学数据</w:t>
      </w:r>
      <w:bookmarkEnd w:id="16"/>
    </w:p>
    <w:p w14:paraId="4BA30CF5">
      <w:pPr>
        <w:pStyle w:val="23"/>
        <w:rPr>
          <w:szCs w:val="24"/>
        </w:rPr>
      </w:pPr>
      <w:bookmarkStart w:id="17" w:name="_Toc95489763"/>
      <w:r>
        <w:t>A.</w:t>
      </w:r>
      <w:r>
        <w:tab/>
      </w:r>
      <w:r>
        <w:t>一般信息</w:t>
      </w:r>
      <w:bookmarkEnd w:id="17"/>
    </w:p>
    <w:p w14:paraId="4934ED2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本机构建议提供毒理学评估，因为乳房植入体不仅含有主要聚合材料（如聚合态聚二甲基硅氧烷），还含有制造或灭菌过程中产生的低分子量成分（例如D</w:t>
      </w:r>
      <w:r>
        <w:rPr>
          <w:rFonts w:ascii="Times New Roman" w:hAnsi="Times New Roman" w:eastAsia="宋体" w:cs="宋体"/>
          <w:sz w:val="24"/>
          <w:vertAlign w:val="subscript"/>
          <w:lang w:eastAsia="zh-CN"/>
        </w:rPr>
        <w:t>4</w:t>
      </w:r>
      <w:r>
        <w:rPr>
          <w:rFonts w:ascii="Times New Roman" w:hAnsi="Times New Roman" w:eastAsia="宋体" w:cs="宋体"/>
          <w:sz w:val="24"/>
          <w:lang w:eastAsia="zh-CN"/>
        </w:rPr>
        <w:t>），这些成分可能会渗入患者体内。除了化学成分信息（上文第IV.A节），毒理学安全性评估应包括药代动力学研究和毒理学试验的信息，如下所述。</w:t>
      </w:r>
    </w:p>
    <w:p w14:paraId="0E7A6BA0">
      <w:pPr>
        <w:pStyle w:val="23"/>
        <w:rPr>
          <w:szCs w:val="24"/>
        </w:rPr>
      </w:pPr>
      <w:bookmarkStart w:id="18" w:name="_Toc95489764"/>
      <w:r>
        <w:t>B.</w:t>
      </w:r>
      <w:r>
        <w:tab/>
      </w:r>
      <w:r>
        <w:t>药代动力学研究</w:t>
      </w:r>
      <w:bookmarkEnd w:id="18"/>
    </w:p>
    <w:p w14:paraId="097FA20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潜在有毒化学品的药代动力学行为的了解是指对化学品在体内积累至导致人类健康风险的浓度的潜力进行科学评估。药代动力学研究设计应说明最坏情况假设（即器械中所有材料均被一次性吸收到体内）。如果该假设加上安全因素会导致有毒暴露水平，证明物质从器械中缓慢扩散至体内，或者物质被患者快速代谢或排泄，就可以否定最坏情况假设。有关毒物的药代动力学试验应确定其在血液中的吸收率和清除率、体内分布情况以及代谢和/或排泄率。如果使用放射性标签，本机构建议在器械上贴上标签，以反映所有相关成分的结局。有关药代动力学的其他信息，请参见ISO 10993-16。</w:t>
      </w:r>
      <w:r>
        <w:rPr>
          <w:rFonts w:ascii="Times New Roman" w:hAnsi="Times New Roman" w:eastAsia="宋体" w:cs="宋体"/>
          <w:sz w:val="24"/>
          <w:vertAlign w:val="superscript"/>
          <w:lang w:eastAsia="zh-CN"/>
        </w:rPr>
        <w:t>5</w:t>
      </w:r>
    </w:p>
    <w:p w14:paraId="0077DCA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157F08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75B2E49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6AF8B57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6256331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FF25D8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2FFC01E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71E0E0C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_____________________</w:t>
      </w:r>
    </w:p>
    <w:p w14:paraId="5B1C8D3B">
      <w:pPr>
        <w:pStyle w:val="26"/>
        <w:rPr>
          <w:rFonts w:eastAsia="宋体"/>
          <w:i/>
          <w:lang w:eastAsia="zh-CN"/>
        </w:rPr>
      </w:pPr>
      <w:r>
        <w:rPr>
          <w:rFonts w:eastAsia="宋体" w:cs="宋体"/>
          <w:vertAlign w:val="superscript"/>
          <w:lang w:eastAsia="zh-CN"/>
        </w:rPr>
        <w:t>5</w:t>
      </w:r>
      <w:r>
        <w:rPr>
          <w:rFonts w:eastAsia="宋体" w:cs="宋体"/>
          <w:lang w:eastAsia="zh-CN"/>
        </w:rPr>
        <w:t xml:space="preserve"> </w:t>
      </w:r>
      <w:r>
        <w:rPr>
          <w:rFonts w:eastAsia="宋体" w:cs="宋体"/>
          <w:lang w:eastAsia="zh-CN"/>
        </w:rPr>
        <w:tab/>
      </w:r>
      <w:r>
        <w:rPr>
          <w:rFonts w:eastAsia="宋体" w:cs="宋体"/>
          <w:lang w:eastAsia="zh-CN"/>
        </w:rPr>
        <w:t>ISO 10993-16：《医疗器械生物学评价 - 第16部分：降解产物与可沥滤物毒代动力学研究设计》。</w:t>
      </w:r>
    </w:p>
    <w:p w14:paraId="71630758">
      <w:pPr>
        <w:rPr>
          <w:rFonts w:ascii="Times New Roman" w:hAnsi="Times New Roman" w:eastAsia="宋体" w:cs="Times New Roman"/>
          <w:b/>
          <w:bCs/>
          <w:snapToGrid w:val="0"/>
          <w:sz w:val="24"/>
          <w:szCs w:val="24"/>
          <w:lang w:eastAsia="zh-CN"/>
        </w:rPr>
      </w:pPr>
      <w:r>
        <w:rPr>
          <w:rFonts w:ascii="Times New Roman" w:hAnsi="Times New Roman" w:eastAsia="宋体" w:cs="宋体"/>
          <w:sz w:val="24"/>
          <w:lang w:eastAsia="zh-CN"/>
        </w:rPr>
        <w:br w:type="page"/>
      </w:r>
    </w:p>
    <w:p w14:paraId="7F1D9EEB">
      <w:pPr>
        <w:pStyle w:val="23"/>
        <w:rPr>
          <w:szCs w:val="24"/>
        </w:rPr>
      </w:pPr>
      <w:bookmarkStart w:id="19" w:name="_Toc95489765"/>
      <w:r>
        <w:t>C.</w:t>
      </w:r>
      <w:r>
        <w:tab/>
      </w:r>
      <w:r>
        <w:t>毒理学试验</w:t>
      </w:r>
      <w:bookmarkEnd w:id="19"/>
    </w:p>
    <w:p w14:paraId="2E66A99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毒理学试验用于检测不明毒物和定量已知有毒化合物的暴露量。本机构建议对最终灭菌的外壳和填充物分别进行以下毒理学试验：</w:t>
      </w:r>
    </w:p>
    <w:p w14:paraId="3383CD75">
      <w:pPr>
        <w:pStyle w:val="16"/>
        <w:numPr>
          <w:ilvl w:val="0"/>
          <w:numId w:val="16"/>
        </w:numPr>
        <w:tabs>
          <w:tab w:val="left" w:pos="1531"/>
        </w:tabs>
        <w:adjustRightInd w:val="0"/>
        <w:snapToGrid w:val="0"/>
        <w:spacing w:before="120" w:beforeLines="50" w:line="300" w:lineRule="auto"/>
        <w:ind w:left="1418"/>
        <w:jc w:val="both"/>
        <w:rPr>
          <w:rFonts w:ascii="Times New Roman" w:hAnsi="Times New Roman" w:eastAsia="宋体" w:cs="Times New Roman"/>
          <w:snapToGrid w:val="0"/>
          <w:sz w:val="24"/>
          <w:szCs w:val="24"/>
        </w:rPr>
      </w:pPr>
      <w:r>
        <w:rPr>
          <w:rFonts w:ascii="Times New Roman" w:hAnsi="Times New Roman" w:eastAsia="宋体" w:cs="宋体"/>
          <w:sz w:val="24"/>
        </w:rPr>
        <w:t>细胞毒性</w:t>
      </w:r>
    </w:p>
    <w:p w14:paraId="626DDAAB">
      <w:pPr>
        <w:pStyle w:val="16"/>
        <w:numPr>
          <w:ilvl w:val="0"/>
          <w:numId w:val="16"/>
        </w:numPr>
        <w:tabs>
          <w:tab w:val="left" w:pos="1531"/>
        </w:tabs>
        <w:adjustRightInd w:val="0"/>
        <w:snapToGrid w:val="0"/>
        <w:spacing w:before="60" w:beforeLines="25" w:line="300" w:lineRule="auto"/>
        <w:ind w:left="1418"/>
        <w:jc w:val="both"/>
        <w:rPr>
          <w:rFonts w:ascii="Times New Roman" w:hAnsi="Times New Roman" w:eastAsia="宋体" w:cs="Times New Roman"/>
          <w:snapToGrid w:val="0"/>
          <w:sz w:val="24"/>
          <w:szCs w:val="24"/>
        </w:rPr>
      </w:pPr>
      <w:r>
        <w:rPr>
          <w:rFonts w:ascii="Times New Roman" w:hAnsi="Times New Roman" w:eastAsia="宋体" w:cs="宋体"/>
          <w:sz w:val="24"/>
        </w:rPr>
        <w:t>急性全身毒性</w:t>
      </w:r>
    </w:p>
    <w:p w14:paraId="2B6AB1CE">
      <w:pPr>
        <w:pStyle w:val="16"/>
        <w:numPr>
          <w:ilvl w:val="0"/>
          <w:numId w:val="16"/>
        </w:numPr>
        <w:tabs>
          <w:tab w:val="left" w:pos="1531"/>
        </w:tabs>
        <w:adjustRightInd w:val="0"/>
        <w:snapToGrid w:val="0"/>
        <w:spacing w:before="60" w:beforeLines="25" w:line="300" w:lineRule="auto"/>
        <w:ind w:left="1418"/>
        <w:jc w:val="both"/>
        <w:rPr>
          <w:rFonts w:ascii="Times New Roman" w:hAnsi="Times New Roman" w:eastAsia="宋体" w:cs="Times New Roman"/>
          <w:snapToGrid w:val="0"/>
          <w:sz w:val="24"/>
          <w:szCs w:val="24"/>
        </w:rPr>
      </w:pPr>
      <w:r>
        <w:rPr>
          <w:rFonts w:ascii="Times New Roman" w:hAnsi="Times New Roman" w:eastAsia="宋体" w:cs="宋体"/>
          <w:sz w:val="24"/>
        </w:rPr>
        <w:t>血液相容性</w:t>
      </w:r>
    </w:p>
    <w:p w14:paraId="373403F4">
      <w:pPr>
        <w:pStyle w:val="16"/>
        <w:numPr>
          <w:ilvl w:val="0"/>
          <w:numId w:val="16"/>
        </w:numPr>
        <w:tabs>
          <w:tab w:val="left" w:pos="1531"/>
        </w:tabs>
        <w:adjustRightInd w:val="0"/>
        <w:snapToGrid w:val="0"/>
        <w:spacing w:before="60" w:beforeLines="25" w:line="300" w:lineRule="auto"/>
        <w:ind w:left="1418"/>
        <w:jc w:val="both"/>
        <w:rPr>
          <w:rFonts w:ascii="Times New Roman" w:hAnsi="Times New Roman" w:eastAsia="宋体" w:cs="Times New Roman"/>
          <w:snapToGrid w:val="0"/>
          <w:sz w:val="24"/>
          <w:szCs w:val="24"/>
        </w:rPr>
      </w:pPr>
      <w:r>
        <w:rPr>
          <w:rFonts w:ascii="Times New Roman" w:hAnsi="Times New Roman" w:eastAsia="宋体" w:cs="宋体"/>
          <w:sz w:val="24"/>
        </w:rPr>
        <w:t>免疫毒性</w:t>
      </w:r>
    </w:p>
    <w:p w14:paraId="6188727E">
      <w:pPr>
        <w:pStyle w:val="16"/>
        <w:numPr>
          <w:ilvl w:val="0"/>
          <w:numId w:val="16"/>
        </w:numPr>
        <w:tabs>
          <w:tab w:val="left" w:pos="1531"/>
        </w:tabs>
        <w:adjustRightInd w:val="0"/>
        <w:snapToGrid w:val="0"/>
        <w:spacing w:before="60" w:beforeLines="25" w:line="300" w:lineRule="auto"/>
        <w:ind w:left="1418"/>
        <w:jc w:val="both"/>
        <w:rPr>
          <w:rFonts w:ascii="Times New Roman" w:hAnsi="Times New Roman" w:eastAsia="宋体" w:cs="Times New Roman"/>
          <w:snapToGrid w:val="0"/>
          <w:sz w:val="24"/>
          <w:szCs w:val="24"/>
        </w:rPr>
      </w:pPr>
      <w:r>
        <w:rPr>
          <w:rFonts w:ascii="Times New Roman" w:hAnsi="Times New Roman" w:eastAsia="宋体" w:cs="宋体"/>
          <w:sz w:val="24"/>
        </w:rPr>
        <w:t>生殖毒性</w:t>
      </w:r>
    </w:p>
    <w:p w14:paraId="4A9D3738">
      <w:pPr>
        <w:pStyle w:val="16"/>
        <w:numPr>
          <w:ilvl w:val="0"/>
          <w:numId w:val="16"/>
        </w:numPr>
        <w:tabs>
          <w:tab w:val="left" w:pos="1531"/>
        </w:tabs>
        <w:adjustRightInd w:val="0"/>
        <w:snapToGrid w:val="0"/>
        <w:spacing w:before="60" w:beforeLines="25" w:line="300" w:lineRule="auto"/>
        <w:ind w:left="1418"/>
        <w:jc w:val="both"/>
        <w:rPr>
          <w:rFonts w:ascii="Times New Roman" w:hAnsi="Times New Roman" w:eastAsia="宋体" w:cs="Times New Roman"/>
          <w:snapToGrid w:val="0"/>
          <w:sz w:val="24"/>
          <w:szCs w:val="24"/>
        </w:rPr>
      </w:pPr>
      <w:r>
        <w:rPr>
          <w:rFonts w:ascii="Times New Roman" w:hAnsi="Times New Roman" w:eastAsia="宋体" w:cs="宋体"/>
          <w:sz w:val="24"/>
        </w:rPr>
        <w:t>致畸性</w:t>
      </w:r>
    </w:p>
    <w:p w14:paraId="0C5C4B52">
      <w:pPr>
        <w:pStyle w:val="16"/>
        <w:numPr>
          <w:ilvl w:val="0"/>
          <w:numId w:val="16"/>
        </w:numPr>
        <w:tabs>
          <w:tab w:val="left" w:pos="1531"/>
        </w:tabs>
        <w:adjustRightInd w:val="0"/>
        <w:snapToGrid w:val="0"/>
        <w:spacing w:before="60" w:beforeLines="25" w:line="300" w:lineRule="auto"/>
        <w:ind w:left="1418"/>
        <w:jc w:val="both"/>
        <w:rPr>
          <w:rFonts w:ascii="Times New Roman" w:hAnsi="Times New Roman" w:eastAsia="宋体" w:cs="Times New Roman"/>
          <w:snapToGrid w:val="0"/>
          <w:sz w:val="24"/>
          <w:szCs w:val="24"/>
        </w:rPr>
      </w:pPr>
      <w:r>
        <w:rPr>
          <w:rFonts w:ascii="Times New Roman" w:hAnsi="Times New Roman" w:eastAsia="宋体" w:cs="宋体"/>
          <w:sz w:val="24"/>
        </w:rPr>
        <w:t>遗传毒性</w:t>
      </w:r>
    </w:p>
    <w:p w14:paraId="4BC23273">
      <w:pPr>
        <w:pStyle w:val="16"/>
        <w:numPr>
          <w:ilvl w:val="0"/>
          <w:numId w:val="16"/>
        </w:numPr>
        <w:tabs>
          <w:tab w:val="left" w:pos="1531"/>
        </w:tabs>
        <w:adjustRightInd w:val="0"/>
        <w:snapToGrid w:val="0"/>
        <w:spacing w:before="60" w:beforeLines="25" w:line="300" w:lineRule="auto"/>
        <w:ind w:left="1418"/>
        <w:jc w:val="both"/>
        <w:rPr>
          <w:rFonts w:ascii="Times New Roman" w:hAnsi="Times New Roman" w:eastAsia="宋体" w:cs="Times New Roman"/>
          <w:snapToGrid w:val="0"/>
          <w:sz w:val="24"/>
          <w:szCs w:val="24"/>
        </w:rPr>
      </w:pPr>
      <w:r>
        <w:rPr>
          <w:rFonts w:ascii="Times New Roman" w:hAnsi="Times New Roman" w:eastAsia="宋体" w:cs="宋体"/>
          <w:sz w:val="24"/>
        </w:rPr>
        <w:t>致癌性</w:t>
      </w:r>
    </w:p>
    <w:p w14:paraId="74163F50">
      <w:pPr>
        <w:pStyle w:val="16"/>
        <w:numPr>
          <w:ilvl w:val="0"/>
          <w:numId w:val="16"/>
        </w:numPr>
        <w:tabs>
          <w:tab w:val="left" w:pos="1531"/>
        </w:tabs>
        <w:adjustRightInd w:val="0"/>
        <w:snapToGrid w:val="0"/>
        <w:spacing w:before="60" w:beforeLines="25" w:line="300" w:lineRule="auto"/>
        <w:ind w:left="1418"/>
        <w:jc w:val="both"/>
        <w:rPr>
          <w:rFonts w:ascii="Times New Roman" w:hAnsi="Times New Roman" w:eastAsia="宋体" w:cs="Times New Roman"/>
          <w:snapToGrid w:val="0"/>
          <w:sz w:val="24"/>
          <w:szCs w:val="24"/>
        </w:rPr>
      </w:pPr>
      <w:r>
        <w:rPr>
          <w:rFonts w:ascii="Times New Roman" w:hAnsi="Times New Roman" w:eastAsia="宋体" w:cs="宋体"/>
          <w:sz w:val="24"/>
        </w:rPr>
        <w:t>植入试验。</w:t>
      </w:r>
    </w:p>
    <w:p w14:paraId="1487E29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color w:val="000000"/>
          <w:sz w:val="24"/>
          <w:lang w:eastAsia="zh-CN"/>
        </w:rPr>
        <w:t>有关上述毒理学试验的更多细节</w:t>
      </w:r>
      <w:r>
        <w:rPr>
          <w:rFonts w:ascii="Times New Roman" w:hAnsi="Times New Roman" w:eastAsia="宋体" w:cs="宋体"/>
          <w:sz w:val="24"/>
          <w:lang w:eastAsia="zh-CN"/>
        </w:rPr>
        <w:t>，请参见ISO 10993-1</w:t>
      </w:r>
      <w:r>
        <w:rPr>
          <w:rFonts w:ascii="Times New Roman" w:hAnsi="Times New Roman" w:eastAsia="宋体" w:cs="宋体"/>
          <w:sz w:val="24"/>
          <w:vertAlign w:val="superscript"/>
          <w:lang w:eastAsia="zh-CN"/>
        </w:rPr>
        <w:t>6</w:t>
      </w:r>
      <w:r>
        <w:rPr>
          <w:rFonts w:ascii="Times New Roman" w:hAnsi="Times New Roman" w:eastAsia="宋体" w:cs="宋体"/>
          <w:sz w:val="24"/>
          <w:lang w:eastAsia="zh-CN"/>
        </w:rPr>
        <w:t>和CDRH指南文件《</w:t>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rFonts w:ascii="Times New Roman" w:hAnsi="Times New Roman" w:eastAsia="宋体" w:cs="宋体"/>
          <w:snapToGrid w:val="0"/>
          <w:color w:val="0000FF"/>
          <w:sz w:val="24"/>
          <w:szCs w:val="24"/>
          <w:u w:val="single" w:color="0000FF"/>
          <w:lang w:eastAsia="zh-CN"/>
        </w:rPr>
        <w:t>使用国际标准ISO 10993-1，医疗器械生物学评价 - 第1部分：风险管理过程中的评价与试验</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7</w:t>
      </w:r>
      <w:r>
        <w:rPr>
          <w:rFonts w:ascii="Times New Roman" w:hAnsi="Times New Roman" w:eastAsia="宋体" w:cs="宋体"/>
          <w:sz w:val="24"/>
          <w:lang w:eastAsia="zh-CN"/>
        </w:rPr>
        <w:t>。</w:t>
      </w:r>
      <w:r>
        <w:rPr>
          <w:rFonts w:ascii="Times New Roman" w:hAnsi="Times New Roman" w:eastAsia="宋体" w:cs="宋体"/>
          <w:color w:val="000000"/>
          <w:sz w:val="24"/>
          <w:lang w:eastAsia="zh-CN"/>
        </w:rPr>
        <w:t>本机构在下文中介绍了其中一些试验的其他特定考虑因素。</w:t>
      </w:r>
    </w:p>
    <w:p w14:paraId="3C0C7E84">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急性全身毒性</w:t>
      </w:r>
    </w:p>
    <w:p w14:paraId="465E689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对于急性全身毒性试验的热原性要素，本机构建议同时进行兔热原和鲎变形细胞溶解物（LAL）试验。LAL试验应足以应对常规批次监测。</w:t>
      </w:r>
    </w:p>
    <w:p w14:paraId="2EE046FF">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免疫毒性试验</w:t>
      </w:r>
    </w:p>
    <w:p w14:paraId="6D10770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对于免疫毒性试验，本机构建议评估外壳的免疫毒性水平以及外壳和凝胶的任何</w:t>
      </w:r>
      <w:r>
        <w:rPr>
          <w:rFonts w:hint="eastAsia" w:ascii="Times New Roman" w:hAnsi="Times New Roman" w:eastAsia="宋体" w:cs="宋体"/>
          <w:sz w:val="24"/>
          <w:lang w:eastAsia="zh-CN"/>
        </w:rPr>
        <w:t>可沥滤</w:t>
      </w:r>
      <w:r>
        <w:rPr>
          <w:rFonts w:ascii="Times New Roman" w:hAnsi="Times New Roman" w:eastAsia="宋体" w:cs="宋体"/>
          <w:sz w:val="24"/>
          <w:lang w:eastAsia="zh-CN"/>
        </w:rPr>
        <w:t>化合物（如适用）。有关更多信息，请参见CDRH《</w:t>
      </w:r>
      <w:r>
        <w:fldChar w:fldCharType="begin"/>
      </w:r>
      <w:r>
        <w:instrText xml:space="preserve"> HYPERLINK "https://www.fda.gov/regulatory-information/search-fda-guidance-documents/immunotoxicity-testing-guidance" \h </w:instrText>
      </w:r>
      <w:r>
        <w:fldChar w:fldCharType="separate"/>
      </w:r>
      <w:r>
        <w:rPr>
          <w:rFonts w:ascii="Times New Roman" w:hAnsi="Times New Roman" w:eastAsia="宋体" w:cs="宋体"/>
          <w:snapToGrid w:val="0"/>
          <w:color w:val="0000FF"/>
          <w:sz w:val="24"/>
          <w:szCs w:val="24"/>
          <w:u w:val="single" w:color="0000FF"/>
          <w:lang w:eastAsia="zh-CN"/>
        </w:rPr>
        <w:t>免疫毒性试验指南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color w:val="000000"/>
          <w:sz w:val="24"/>
          <w:lang w:eastAsia="zh-CN"/>
        </w:rPr>
        <w:t>。</w:t>
      </w:r>
      <w:r>
        <w:rPr>
          <w:rFonts w:ascii="Times New Roman" w:hAnsi="Times New Roman" w:eastAsia="宋体" w:cs="宋体"/>
          <w:sz w:val="24"/>
          <w:vertAlign w:val="superscript"/>
          <w:lang w:eastAsia="zh-CN"/>
        </w:rPr>
        <w:t>8</w:t>
      </w:r>
    </w:p>
    <w:p w14:paraId="2BB44CCC">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生殖毒性和致畸性试验</w:t>
      </w:r>
    </w:p>
    <w:p w14:paraId="3EF2F99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生殖毒性和致畸性试验，应测量受孕率、成熟度和循环异常，以及胎儿死亡数和畸形数。明显畸形比较罕见；因此，本机构建议进行广泛检查以充分评估畸形率。研究应包括至少两代人。应在不产生非生殖系统毒性的最高可能暴露量下试验单个化合物。</w:t>
      </w:r>
    </w:p>
    <w:p w14:paraId="0A5CDFC9">
      <w:pPr>
        <w:tabs>
          <w:tab w:val="left" w:pos="235"/>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_____________________</w:t>
      </w:r>
    </w:p>
    <w:p w14:paraId="2801C6A9">
      <w:pPr>
        <w:pStyle w:val="26"/>
        <w:rPr>
          <w:rFonts w:eastAsia="宋体"/>
          <w:i/>
          <w:lang w:eastAsia="zh-CN"/>
        </w:rPr>
      </w:pPr>
      <w:r>
        <w:rPr>
          <w:rFonts w:eastAsia="宋体" w:cs="宋体"/>
          <w:vertAlign w:val="superscript"/>
          <w:lang w:eastAsia="zh-CN"/>
        </w:rPr>
        <w:t>6</w:t>
      </w:r>
      <w:r>
        <w:rPr>
          <w:rFonts w:eastAsia="宋体" w:cs="宋体"/>
          <w:lang w:eastAsia="zh-CN"/>
        </w:rPr>
        <w:t xml:space="preserve"> ISO 10993-1：《医疗器械生物学评价 - 第1部分：风险管理过程中的评价与试验》。</w:t>
      </w:r>
    </w:p>
    <w:p w14:paraId="672F146A">
      <w:pPr>
        <w:pStyle w:val="26"/>
        <w:rPr>
          <w:rFonts w:eastAsia="宋体"/>
        </w:rPr>
      </w:pPr>
      <w:r>
        <w:rPr>
          <w:rFonts w:eastAsia="宋体"/>
          <w:vertAlign w:val="superscript"/>
        </w:rPr>
        <w:t>7</w:t>
      </w:r>
      <w:r>
        <w:rPr>
          <w:rFonts w:eastAsia="宋体"/>
        </w:rPr>
        <w:t xml:space="preserve"> </w:t>
      </w:r>
      <w:r>
        <w:fldChar w:fldCharType="begin"/>
      </w:r>
      <w:r>
        <w:instrText xml:space="preserve"> HYPERLINK "https://www.fda.gov/regulatory-information/search-fda-guidance-documents/use-international-standard-iso-10993-1-biological-evaluation-medical-devices-part-1-evaluation-and" \h </w:instrText>
      </w:r>
      <w:r>
        <w:fldChar w:fldCharType="separate"/>
      </w:r>
      <w:bookmarkStart w:id="20" w:name="_bookmark26"/>
      <w:bookmarkEnd w:id="20"/>
      <w:r>
        <w:rPr>
          <w:rFonts w:eastAsia="宋体"/>
          <w:color w:val="0000FF"/>
          <w:u w:val="single" w:color="0000FF"/>
        </w:rPr>
        <w:t>https://www.fda.gov/regulatory-information/search-fda-guidance-documents/use-international-standard-iso-</w:t>
      </w:r>
      <w:r>
        <w:rPr>
          <w:rFonts w:eastAsia="宋体"/>
          <w:color w:val="0000FF"/>
          <w:u w:val="single" w:color="0000FF"/>
        </w:rPr>
        <w:fldChar w:fldCharType="end"/>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rFonts w:eastAsia="宋体"/>
          <w:color w:val="0000FF"/>
          <w:u w:val="single" w:color="0000FF"/>
        </w:rPr>
        <w:t>10993-1-biological-evaluation-medical-devices-part-1-evaluation-and</w:t>
      </w:r>
      <w:r>
        <w:rPr>
          <w:rFonts w:eastAsia="宋体"/>
          <w:color w:val="000000"/>
        </w:rPr>
        <w:t>.</w:t>
      </w:r>
      <w:r>
        <w:rPr>
          <w:rFonts w:eastAsia="宋体"/>
          <w:color w:val="000000"/>
        </w:rPr>
        <w:fldChar w:fldCharType="end"/>
      </w:r>
    </w:p>
    <w:p w14:paraId="142F0A3E">
      <w:pPr>
        <w:pStyle w:val="26"/>
        <w:rPr>
          <w:rFonts w:eastAsia="宋体"/>
          <w:sz w:val="24"/>
          <w:szCs w:val="24"/>
        </w:rPr>
      </w:pPr>
      <w:r>
        <w:rPr>
          <w:rFonts w:eastAsia="宋体"/>
          <w:vertAlign w:val="superscript"/>
        </w:rPr>
        <w:t>8</w:t>
      </w:r>
      <w:r>
        <w:rPr>
          <w:rFonts w:eastAsia="宋体"/>
        </w:rPr>
        <w:t xml:space="preserve"> </w:t>
      </w:r>
      <w:r>
        <w:fldChar w:fldCharType="begin"/>
      </w:r>
      <w:r>
        <w:instrText xml:space="preserve"> HYPERLINK "https://www.fda.gov/regulatory-information/search-fda-guidance-documents/immunotoxicity-testing-guidance" \h </w:instrText>
      </w:r>
      <w:r>
        <w:fldChar w:fldCharType="separate"/>
      </w:r>
      <w:bookmarkStart w:id="21" w:name="_bookmark27"/>
      <w:bookmarkEnd w:id="21"/>
      <w:r>
        <w:rPr>
          <w:rFonts w:eastAsia="宋体"/>
          <w:color w:val="0000FF"/>
          <w:u w:val="single" w:color="0000FF"/>
        </w:rPr>
        <w:t>https://www.fda.gov/regulatory-information/search-fda-guidance-documents/immunotoxicity-testing-</w:t>
      </w:r>
      <w:r>
        <w:rPr>
          <w:rFonts w:eastAsia="宋体"/>
          <w:color w:val="0000FF"/>
          <w:u w:val="single" w:color="0000FF"/>
        </w:rPr>
        <w:fldChar w:fldCharType="end"/>
      </w:r>
      <w:r>
        <w:fldChar w:fldCharType="begin"/>
      </w:r>
      <w:r>
        <w:instrText xml:space="preserve"> HYPERLINK "https://www.fda.gov/regulatory-information/search-fda-guidance-documents/immunotoxicity-testing-guidance" \h </w:instrText>
      </w:r>
      <w:r>
        <w:fldChar w:fldCharType="separate"/>
      </w:r>
      <w:r>
        <w:rPr>
          <w:rFonts w:eastAsia="宋体"/>
          <w:color w:val="0000FF"/>
          <w:u w:val="single" w:color="0000FF"/>
        </w:rPr>
        <w:t>guidance</w:t>
      </w:r>
      <w:r>
        <w:rPr>
          <w:rFonts w:eastAsia="宋体"/>
          <w:color w:val="000000"/>
        </w:rPr>
        <w:t>.</w:t>
      </w:r>
      <w:r>
        <w:rPr>
          <w:rFonts w:eastAsia="宋体"/>
          <w:color w:val="000000"/>
        </w:rPr>
        <w:fldChar w:fldCharType="end"/>
      </w:r>
      <w:r>
        <w:rPr>
          <w:rFonts w:eastAsia="宋体" w:cs="宋体"/>
          <w:sz w:val="24"/>
        </w:rPr>
        <w:br w:type="page"/>
      </w:r>
    </w:p>
    <w:p w14:paraId="6BA896EE">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遗传毒性试验</w:t>
      </w:r>
    </w:p>
    <w:p w14:paraId="3DB3215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对于遗传毒性试验，应说明器械的</w:t>
      </w:r>
      <w:r>
        <w:rPr>
          <w:rFonts w:hint="eastAsia" w:ascii="Times New Roman" w:hAnsi="Times New Roman" w:eastAsia="宋体" w:cs="宋体"/>
          <w:sz w:val="24"/>
          <w:lang w:eastAsia="zh-CN"/>
        </w:rPr>
        <w:t>可沥滤</w:t>
      </w:r>
      <w:r>
        <w:rPr>
          <w:rFonts w:ascii="Times New Roman" w:hAnsi="Times New Roman" w:eastAsia="宋体" w:cs="宋体"/>
          <w:sz w:val="24"/>
          <w:lang w:eastAsia="zh-CN"/>
        </w:rPr>
        <w:t>化合物和/或降解产物导致癌症的可能性。短期遗传毒性试验应包括：</w:t>
      </w:r>
    </w:p>
    <w:p w14:paraId="1C12202E">
      <w:pPr>
        <w:pStyle w:val="16"/>
        <w:numPr>
          <w:ilvl w:val="0"/>
          <w:numId w:val="17"/>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细菌致突变性试验（包括点突变和移码突变）</w:t>
      </w:r>
    </w:p>
    <w:p w14:paraId="7E6952EF">
      <w:pPr>
        <w:pStyle w:val="16"/>
        <w:numPr>
          <w:ilvl w:val="0"/>
          <w:numId w:val="17"/>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哺乳动物正向突变试验（例如小鼠淋巴瘤试验）</w:t>
      </w:r>
    </w:p>
    <w:p w14:paraId="299F8CF1">
      <w:pPr>
        <w:pStyle w:val="16"/>
        <w:numPr>
          <w:ilvl w:val="0"/>
          <w:numId w:val="17"/>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体内啮齿动物微核试验。</w:t>
      </w:r>
    </w:p>
    <w:p w14:paraId="68EEC59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如果所有短期基因毒性试验均呈阴性，则遗传毒性试验可能足以取代2年致癌性试验。然而，如果器械由聚二甲基硅氧烷乳房植入体中常见材料之外的材料组成，或材料化合物（如D</w:t>
      </w:r>
      <w:r>
        <w:rPr>
          <w:rFonts w:ascii="Times New Roman" w:hAnsi="Times New Roman" w:eastAsia="宋体" w:cs="宋体"/>
          <w:sz w:val="24"/>
          <w:vertAlign w:val="subscript"/>
          <w:lang w:eastAsia="zh-CN"/>
        </w:rPr>
        <w:t>4</w:t>
      </w:r>
      <w:r>
        <w:rPr>
          <w:rFonts w:ascii="Times New Roman" w:hAnsi="Times New Roman" w:eastAsia="宋体" w:cs="宋体"/>
          <w:sz w:val="24"/>
          <w:lang w:eastAsia="zh-CN"/>
        </w:rPr>
        <w:t>）的含量高于预期水平，即使短期遗传毒性试验呈阴性，FDA仍可能建议进行2年致癌性试验。</w:t>
      </w:r>
    </w:p>
    <w:p w14:paraId="2B1F8CCC">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植入试验</w:t>
      </w:r>
    </w:p>
    <w:p w14:paraId="74693E8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提供急性、亚慢性和慢性植入试验，因为一些植入体成分可能立即引起组织反应，而其他成分可能缓慢地从器械中扩散出来并且/或者在植入后很长时间内发生化学变化，从而影响周围组织。应将外壳和凝胶样品以及标准对照品（如聚乙烯）植入皮下或肌肉下。本机构不建议使用浸提物。应报告对植入效果的大体和组织学观察结果。本机构建议将慢性植入试验延长至2年，大约相当于大鼠的寿命。</w:t>
      </w:r>
    </w:p>
    <w:p w14:paraId="048FD74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如果短期遗传毒理学试验呈阴性并且材料的临床致癌经验继续支持其安全性，在进行临床研究的同时完成致癌性试验和/或慢性植入试验可能适用。</w:t>
      </w:r>
    </w:p>
    <w:p w14:paraId="1D415372">
      <w:pPr>
        <w:pStyle w:val="22"/>
        <w:rPr>
          <w:szCs w:val="24"/>
        </w:rPr>
      </w:pPr>
      <w:bookmarkStart w:id="22" w:name="_Toc95489766"/>
      <w:r>
        <w:t>VI.</w:t>
      </w:r>
      <w:r>
        <w:tab/>
      </w:r>
      <w:r>
        <w:t>机械数据</w:t>
      </w:r>
      <w:bookmarkEnd w:id="22"/>
    </w:p>
    <w:p w14:paraId="6E2B01CC">
      <w:pPr>
        <w:pStyle w:val="23"/>
        <w:rPr>
          <w:szCs w:val="24"/>
        </w:rPr>
      </w:pPr>
      <w:bookmarkStart w:id="23" w:name="_Toc95489767"/>
      <w:r>
        <w:t>A.</w:t>
      </w:r>
      <w:r>
        <w:tab/>
      </w:r>
      <w:r>
        <w:t>一般信息</w:t>
      </w:r>
      <w:bookmarkEnd w:id="23"/>
    </w:p>
    <w:p w14:paraId="02F0D09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对最终成品或其单个组件（如外壳、瓣膜）进行机械试验。这些试验将在下文第VI.B至VI.G节中予以描述。在可能（及适用）的情况下，试验应模仿体内条件。如果器械采用不同方法（如环氧乙烷、伽马射线）进行灭菌，应对采用不同方法灭菌的样品进行试验，或者提供充分理由说明灭菌方法变更不会对机械特征产生负面影响。还应提供所有试验的完整报告，包括受试器械的标识和试验装置及方法的描述，包括草图或照片。</w:t>
      </w:r>
      <w:r>
        <w:rPr>
          <w:rFonts w:ascii="Times New Roman" w:hAnsi="Times New Roman" w:eastAsia="宋体" w:cs="宋体"/>
          <w:sz w:val="24"/>
          <w:lang w:eastAsia="zh-CN"/>
        </w:rPr>
        <w:br w:type="page"/>
      </w:r>
    </w:p>
    <w:p w14:paraId="6B7F16D5">
      <w:pPr>
        <w:pStyle w:val="23"/>
        <w:rPr>
          <w:szCs w:val="24"/>
        </w:rPr>
      </w:pPr>
      <w:bookmarkStart w:id="24" w:name="_Toc95489768"/>
      <w:r>
        <w:t>B.</w:t>
      </w:r>
      <w:r>
        <w:tab/>
      </w:r>
      <w:r>
        <w:t>整体器械的疲劳断裂试验</w:t>
      </w:r>
      <w:bookmarkEnd w:id="24"/>
    </w:p>
    <w:p w14:paraId="059BCB6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大多数材料在体内反复受力时，其疲劳寿命是有限的。器械的反复受力最终可能削弱外壳并导致器械失效。虽然FDA建议采用模拟体内条件的试验方法，但FDA认识到，在对循环疲劳造成的体内破裂进行分析和定性之前，试验方法不能得到充分确认。目前，有关植入约10年的回收器械的现有数据表明，这些器械可能因褶皱缺陷、局部外壳应力和仪器损坏等原因而失效，而不是由于单纯周期性载荷导致外壳破裂。然而，FDA认为循环试验提供了有关器械疲劳特征的有用信息。</w:t>
      </w:r>
    </w:p>
    <w:p w14:paraId="44D675F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因此，本机构建议提供一份最坏情况下的完整疲劳试验报告，即最终灭菌的器械具有设计放行标准所允许的最薄外壳，所使用的试验装置侧重于器械上的加载方向、接触器械的加载装置形状以及试验培养基等，以最好地模拟预期体内加载。常用试验方法（即平板压迫器械）可能会也可能不会预测器械的临床失效情况。</w:t>
      </w:r>
    </w:p>
    <w:p w14:paraId="72799A1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在恒定载荷或恒定位移模式下进行疲劳试验。然而，仅在试验过程中连续测量或在常见测量点测量实际施加的载荷，并且实际施加的载荷变化很小的情况下，才应进行恒定位移试验。应使用恒定位移试验中施加的最小载荷来建立耐久性载荷水平。</w:t>
      </w:r>
    </w:p>
    <w:p w14:paraId="3E19581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在不同载荷或位移下对样品进行循环加载，以生成每个受试器械样式的施加力与失效循环数（AF/N）曲线。应在给定载荷或位移下，从一个典型生产运行中试验至少3个样品，因为弹性体试验中呈现一般差异。本机构建议耐久性载荷（或样品在循环加载下不失效的载荷）建立在至少650万次循环运行下。可通过最佳拟合方法或通过对每个载荷下试验的样品数取平均值来生成AF/N曲线。对于疲劳强度的最佳预估，在耐久性载荷水平周围和在耐久性载荷水平上应该有一个严格的点范围（如10%）。</w:t>
      </w:r>
    </w:p>
    <w:p w14:paraId="6D56692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本机构建议为每一种受试器械提供以下结果：</w:t>
      </w:r>
    </w:p>
    <w:p w14:paraId="270D4A2C">
      <w:pPr>
        <w:pStyle w:val="16"/>
        <w:numPr>
          <w:ilvl w:val="0"/>
          <w:numId w:val="18"/>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产生的耐久性载荷水平</w:t>
      </w:r>
    </w:p>
    <w:p w14:paraId="43E352A0">
      <w:pPr>
        <w:pStyle w:val="16"/>
        <w:numPr>
          <w:ilvl w:val="0"/>
          <w:numId w:val="18"/>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产生的耐久性载荷水平的临床相关性</w:t>
      </w:r>
    </w:p>
    <w:p w14:paraId="02E59966">
      <w:pPr>
        <w:pStyle w:val="16"/>
        <w:numPr>
          <w:ilvl w:val="0"/>
          <w:numId w:val="18"/>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AF/N曲线</w:t>
      </w:r>
    </w:p>
    <w:p w14:paraId="3D3A864B">
      <w:pPr>
        <w:rPr>
          <w:rFonts w:ascii="Times New Roman" w:hAnsi="Times New Roman" w:eastAsia="宋体" w:cs="Times New Roman"/>
          <w:snapToGrid w:val="0"/>
          <w:sz w:val="24"/>
          <w:szCs w:val="24"/>
        </w:rPr>
      </w:pPr>
      <w:r>
        <w:rPr>
          <w:rFonts w:ascii="Times New Roman" w:hAnsi="Times New Roman" w:eastAsia="宋体" w:cs="宋体"/>
          <w:sz w:val="24"/>
        </w:rPr>
        <w:br w:type="page"/>
      </w:r>
    </w:p>
    <w:p w14:paraId="093EB37C">
      <w:pPr>
        <w:pStyle w:val="16"/>
        <w:numPr>
          <w:ilvl w:val="0"/>
          <w:numId w:val="18"/>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原始数据（例如，施加的载荷、位移控制试验的施加位移、失效循环数、样品厚度）。</w:t>
      </w:r>
    </w:p>
    <w:p w14:paraId="4578440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除了上述疲劳试验外，本机构建议对循环原始数据进行分析，以预估器械的纯循环疲劳寿命。然而，FDA认为，</w:t>
      </w:r>
      <w:r>
        <w:rPr>
          <w:rFonts w:hint="eastAsia" w:ascii="Times New Roman" w:hAnsi="Times New Roman" w:eastAsia="宋体" w:cs="宋体"/>
          <w:sz w:val="24"/>
          <w:lang w:eastAsia="zh-CN"/>
        </w:rPr>
        <w:t>除非</w:t>
      </w:r>
      <w:r>
        <w:rPr>
          <w:rFonts w:ascii="Times New Roman" w:hAnsi="Times New Roman" w:eastAsia="宋体" w:cs="宋体"/>
          <w:sz w:val="24"/>
          <w:lang w:eastAsia="zh-CN"/>
        </w:rPr>
        <w:t>在分析</w:t>
      </w:r>
      <w:r>
        <w:rPr>
          <w:rFonts w:hint="eastAsia" w:ascii="Times New Roman" w:hAnsi="Times New Roman" w:eastAsia="宋体" w:cs="宋体"/>
          <w:sz w:val="24"/>
          <w:lang w:eastAsia="zh-CN"/>
        </w:rPr>
        <w:t>并</w:t>
      </w:r>
      <w:r>
        <w:rPr>
          <w:rFonts w:ascii="Times New Roman" w:hAnsi="Times New Roman" w:eastAsia="宋体" w:cs="宋体"/>
          <w:sz w:val="24"/>
          <w:lang w:eastAsia="zh-CN"/>
        </w:rPr>
        <w:t>复制</w:t>
      </w:r>
      <w:r>
        <w:rPr>
          <w:rFonts w:hint="eastAsia" w:ascii="Times New Roman" w:hAnsi="Times New Roman" w:eastAsia="宋体" w:cs="宋体"/>
          <w:sz w:val="24"/>
          <w:lang w:eastAsia="zh-CN"/>
        </w:rPr>
        <w:t>了</w:t>
      </w:r>
      <w:r>
        <w:rPr>
          <w:rFonts w:ascii="Times New Roman" w:hAnsi="Times New Roman" w:eastAsia="宋体" w:cs="宋体"/>
          <w:sz w:val="24"/>
          <w:lang w:eastAsia="zh-CN"/>
        </w:rPr>
        <w:t>台架试验中纯</w:t>
      </w:r>
      <w:r>
        <w:rPr>
          <w:rFonts w:hint="eastAsia" w:ascii="Times New Roman" w:hAnsi="Times New Roman" w:eastAsia="宋体" w:cs="宋体"/>
          <w:sz w:val="24"/>
          <w:lang w:eastAsia="zh-CN"/>
        </w:rPr>
        <w:t>循环</w:t>
      </w:r>
      <w:r>
        <w:rPr>
          <w:rFonts w:ascii="Times New Roman" w:hAnsi="Times New Roman" w:eastAsia="宋体" w:cs="宋体"/>
          <w:sz w:val="24"/>
          <w:lang w:eastAsia="zh-CN"/>
        </w:rPr>
        <w:t>疲劳的临床失效，</w:t>
      </w:r>
      <w:r>
        <w:rPr>
          <w:rFonts w:hint="eastAsia" w:ascii="Times New Roman" w:hAnsi="Times New Roman" w:eastAsia="宋体" w:cs="宋体"/>
          <w:sz w:val="24"/>
          <w:lang w:eastAsia="zh-CN"/>
        </w:rPr>
        <w:t>否则这一结果将无法验证</w:t>
      </w:r>
      <w:r>
        <w:rPr>
          <w:rFonts w:ascii="Times New Roman" w:hAnsi="Times New Roman" w:eastAsia="宋体" w:cs="宋体"/>
          <w:sz w:val="24"/>
          <w:lang w:eastAsia="zh-CN"/>
        </w:rPr>
        <w:t>。</w:t>
      </w:r>
    </w:p>
    <w:p w14:paraId="31D7CD24">
      <w:pPr>
        <w:pStyle w:val="23"/>
        <w:rPr>
          <w:szCs w:val="24"/>
        </w:rPr>
      </w:pPr>
      <w:bookmarkStart w:id="25" w:name="_Toc95489769"/>
      <w:r>
        <w:t>C.</w:t>
      </w:r>
      <w:r>
        <w:tab/>
      </w:r>
      <w:r>
        <w:t>瓣膜能力试验</w:t>
      </w:r>
      <w:bookmarkEnd w:id="25"/>
    </w:p>
    <w:p w14:paraId="3EE5A1D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这项试验仅涉及带瓣膜的乳房植入体。瓣膜能力试验旨在证明瓣膜在体内载荷下得以保持完整性。植入体可能会受到静水压力的影响，迫使液体流出植入体，从而导致萎缩以及尺寸和形状改变。最有可能导致器械内部压力增加的来源是患者躺下时身体各部位（如头部、手臂、躯干）对器械的压迫。</w:t>
      </w:r>
    </w:p>
    <w:p w14:paraId="0A7D8A3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ASTM标准F2051</w:t>
      </w:r>
      <w:r>
        <w:rPr>
          <w:rFonts w:ascii="Times New Roman" w:hAnsi="Times New Roman" w:eastAsia="宋体" w:cs="宋体"/>
          <w:sz w:val="24"/>
          <w:vertAlign w:val="superscript"/>
          <w:lang w:eastAsia="zh-CN"/>
        </w:rPr>
        <w:t>9</w:t>
      </w:r>
      <w:r>
        <w:rPr>
          <w:rFonts w:ascii="Times New Roman" w:hAnsi="Times New Roman" w:eastAsia="宋体" w:cs="宋体"/>
          <w:sz w:val="24"/>
          <w:lang w:eastAsia="zh-CN"/>
        </w:rPr>
        <w:t>规定，正常关闭的瓣膜经受相当于30 cm水的逆压5分钟后，再经受相当于3 cm水的逆压5分钟后，不应出现泄漏。FDA认为ASTM F2051方法在载荷水平方面</w:t>
      </w:r>
      <w:r>
        <w:rPr>
          <w:rFonts w:hint="eastAsia" w:ascii="Times New Roman" w:hAnsi="Times New Roman" w:eastAsia="宋体" w:cs="宋体"/>
          <w:sz w:val="24"/>
          <w:lang w:eastAsia="zh-CN"/>
        </w:rPr>
        <w:t>不具有</w:t>
      </w:r>
      <w:r>
        <w:rPr>
          <w:rFonts w:ascii="Times New Roman" w:hAnsi="Times New Roman" w:eastAsia="宋体" w:cs="宋体"/>
          <w:sz w:val="24"/>
          <w:lang w:eastAsia="zh-CN"/>
        </w:rPr>
        <w:t>临床显著性。然而，这种方法可以提供有关瓣膜对压力变化的反应的有用信息。因此，本机构建议提供一份完整瓣膜能力试验报告（如ASTM F2051或等同方法中所述），并提供泄漏的通过/未通过结果。</w:t>
      </w:r>
    </w:p>
    <w:p w14:paraId="0D2B6DA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除了上述试验外，应提供一份完整破坏试验报告，以说明体内加载条件。应逐步加载样品直至瓣膜失效，以确定器械的最大压力。本机构建议提供以下内容：</w:t>
      </w:r>
    </w:p>
    <w:p w14:paraId="5619FF5F">
      <w:pPr>
        <w:pStyle w:val="16"/>
        <w:numPr>
          <w:ilvl w:val="0"/>
          <w:numId w:val="19"/>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爆破压</w:t>
      </w:r>
    </w:p>
    <w:p w14:paraId="3E66D4B3">
      <w:pPr>
        <w:pStyle w:val="16"/>
        <w:numPr>
          <w:ilvl w:val="0"/>
          <w:numId w:val="19"/>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失效模式（包括失效受试瓣膜是否在消除过量失效诱导压后重新密封）</w:t>
      </w:r>
    </w:p>
    <w:p w14:paraId="09FAB42B">
      <w:pPr>
        <w:pStyle w:val="16"/>
        <w:numPr>
          <w:ilvl w:val="0"/>
          <w:numId w:val="19"/>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所产生的爆破压与临床相关的依据。</w:t>
      </w:r>
    </w:p>
    <w:p w14:paraId="71DE80A1">
      <w:pPr>
        <w:pStyle w:val="23"/>
        <w:rPr>
          <w:szCs w:val="24"/>
        </w:rPr>
      </w:pPr>
      <w:bookmarkStart w:id="26" w:name="_Toc95489770"/>
      <w:r>
        <w:t>D.</w:t>
      </w:r>
      <w:r>
        <w:tab/>
      </w:r>
      <w:r>
        <w:t>粘聚性试验</w:t>
      </w:r>
      <w:bookmarkEnd w:id="26"/>
    </w:p>
    <w:p w14:paraId="7FF9845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该试验仅适用于硅凝胶填充的乳房植入体，也可能适用于其他乳房植入体。</w:t>
      </w:r>
    </w:p>
    <w:p w14:paraId="2257E8E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218FEA2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2915842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397C6ED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75B411C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81BE96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01D6A92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_____________________</w:t>
      </w:r>
    </w:p>
    <w:p w14:paraId="2323291D">
      <w:pPr>
        <w:pStyle w:val="26"/>
        <w:rPr>
          <w:rFonts w:eastAsia="宋体"/>
          <w:i/>
          <w:lang w:eastAsia="zh-CN"/>
        </w:rPr>
      </w:pPr>
      <w:r>
        <w:rPr>
          <w:rFonts w:eastAsia="宋体" w:cs="宋体"/>
          <w:vertAlign w:val="superscript"/>
          <w:lang w:eastAsia="zh-CN"/>
        </w:rPr>
        <w:t>9</w:t>
      </w:r>
      <w:r>
        <w:rPr>
          <w:rFonts w:eastAsia="宋体" w:cs="宋体"/>
          <w:lang w:eastAsia="zh-CN"/>
        </w:rPr>
        <w:t xml:space="preserve"> </w:t>
      </w:r>
      <w:bookmarkStart w:id="27" w:name="_Hlk97899092"/>
      <w:r>
        <w:rPr>
          <w:rFonts w:eastAsia="宋体" w:cs="宋体"/>
          <w:lang w:eastAsia="zh-CN"/>
        </w:rPr>
        <w:t>ASTM F2051</w:t>
      </w:r>
      <w:bookmarkEnd w:id="27"/>
      <w:r>
        <w:rPr>
          <w:rFonts w:eastAsia="宋体" w:cs="宋体"/>
          <w:lang w:eastAsia="zh-CN"/>
        </w:rPr>
        <w:t>：《可植入盐水填充型乳房植入体的标准规范》。</w:t>
      </w:r>
    </w:p>
    <w:p w14:paraId="16ECF403">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1B59E398">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硅凝胶填充的乳房植入体的凝聚性</w:t>
      </w:r>
    </w:p>
    <w:p w14:paraId="627D032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本机构建议对硅凝胶的凝聚性进行定量。尽管ASTM F703</w:t>
      </w:r>
      <w:r>
        <w:rPr>
          <w:rFonts w:ascii="Times New Roman" w:hAnsi="Times New Roman" w:eastAsia="宋体" w:cs="宋体"/>
          <w:sz w:val="24"/>
          <w:vertAlign w:val="superscript"/>
          <w:lang w:eastAsia="zh-CN"/>
        </w:rPr>
        <w:t>10</w:t>
      </w:r>
      <w:r>
        <w:rPr>
          <w:rFonts w:ascii="Times New Roman" w:hAnsi="Times New Roman" w:eastAsia="宋体" w:cs="宋体"/>
          <w:sz w:val="24"/>
          <w:lang w:eastAsia="zh-CN"/>
        </w:rPr>
        <w:t>中所述两种方法并非为解决高内聚力的凝胶而开发，但本机构认为其结果提供了有用器械表征信息。本机构建议提供以下试验的完整报告，以说明凝胶凝聚性问题：</w:t>
      </w:r>
    </w:p>
    <w:p w14:paraId="70EECD33">
      <w:pPr>
        <w:pStyle w:val="16"/>
        <w:numPr>
          <w:ilvl w:val="0"/>
          <w:numId w:val="20"/>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按照ASTM F703中的锥体/挂件方法对最终凝胶进行凝胶凝聚试验，并提供通过/未通过结果</w:t>
      </w:r>
    </w:p>
    <w:p w14:paraId="14431C29">
      <w:pPr>
        <w:pStyle w:val="16"/>
        <w:numPr>
          <w:ilvl w:val="0"/>
          <w:numId w:val="20"/>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对过程中凝胶进行渗透试验（凝胶凝聚性间接测量），并提供渗透试验方法、验收标准和结果的完整描述。</w:t>
      </w:r>
    </w:p>
    <w:p w14:paraId="6D9C0378">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其他乳房植入体的凝聚性</w:t>
      </w:r>
    </w:p>
    <w:p w14:paraId="153E03B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根据其他乳房植入体中使用的填充物，FDA可能会建议采用与上述硅凝胶填充型乳房植入体不同的方法评估凝聚性。</w:t>
      </w:r>
    </w:p>
    <w:p w14:paraId="072227EE">
      <w:pPr>
        <w:pStyle w:val="23"/>
        <w:rPr>
          <w:szCs w:val="24"/>
        </w:rPr>
      </w:pPr>
      <w:bookmarkStart w:id="28" w:name="_Toc95489771"/>
      <w:r>
        <w:t>E.</w:t>
      </w:r>
      <w:r>
        <w:tab/>
      </w:r>
      <w:r>
        <w:t>渗出试验</w:t>
      </w:r>
      <w:bookmarkEnd w:id="28"/>
    </w:p>
    <w:p w14:paraId="446286C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该试验仅适用于硅凝胶填充型乳房植入体和其他乳房植入体。</w:t>
      </w:r>
    </w:p>
    <w:p w14:paraId="12D8D49D">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硅凝胶填充型乳房植入体的渗出情况</w:t>
      </w:r>
    </w:p>
    <w:p w14:paraId="2361427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硅凝胶渗出是指凝胶成分通过完整外壳进行扩散。必须评估硅凝胶填充型乳房植入体的凝胶渗出量，以便准确地描述产品的凝胶渗出量并将其列入标签中。</w:t>
      </w:r>
    </w:p>
    <w:p w14:paraId="6540526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ASTM F703试验是评价凝胶渗出程度的一种方法。然而，这种试验结果与临床的相关性有限，因为ASTM F703试验方法是为了在器械模型之间进行比较，而不是对体内凝胶渗出进行定量。此外，ASTM F703试验方法并非为了识别和定量凝胶渗出成分而建立。因此，FDA认为这种试验方法未提供充足数据说明PMA的凝胶渗出问题。</w:t>
      </w:r>
    </w:p>
    <w:p w14:paraId="6FA644EF">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因此，本机构建议根据模拟体内条件的方案，提供一份完整凝胶渗出台架试验报告。即应将乳房植入体置于模拟人类间质液已知成分的培养基中进行培养（浸泡）。</w:t>
      </w:r>
      <w:r>
        <w:rPr>
          <w:rFonts w:ascii="Times New Roman" w:hAnsi="Times New Roman" w:eastAsia="宋体" w:cs="宋体"/>
          <w:sz w:val="24"/>
          <w:vertAlign w:val="superscript"/>
          <w:lang w:eastAsia="zh-CN"/>
        </w:rPr>
        <w:t>11</w:t>
      </w:r>
      <w:r>
        <w:rPr>
          <w:rFonts w:ascii="Times New Roman" w:hAnsi="Times New Roman" w:eastAsia="宋体" w:cs="宋体"/>
          <w:sz w:val="24"/>
          <w:lang w:eastAsia="zh-CN"/>
        </w:rPr>
        <w:t>接近这种成分的动物血清或任何与间质液成分相似的人工培养基均可接受。因为体内环境呈动态，应允许转移新培养基以防止饱和。试验应继续进行，直至可检出凝胶成分的凝胶渗出率变化趋于平稳。本机构建议确定凝胶渗出成分（包括有机硅和铂类（或其他催化剂））、凝胶成分渗出率以及该比率随时间的变化。</w:t>
      </w:r>
    </w:p>
    <w:p w14:paraId="58AF66E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C0BA347">
      <w:pPr>
        <w:tabs>
          <w:tab w:val="left" w:pos="300"/>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w:t>
      </w:r>
    </w:p>
    <w:p w14:paraId="4583C232">
      <w:pPr>
        <w:pStyle w:val="26"/>
        <w:rPr>
          <w:rFonts w:eastAsia="宋体"/>
        </w:rPr>
      </w:pPr>
      <w:r>
        <w:rPr>
          <w:rFonts w:eastAsia="宋体" w:cs="宋体"/>
          <w:vertAlign w:val="superscript"/>
        </w:rPr>
        <w:t>10</w:t>
      </w:r>
      <w:r>
        <w:rPr>
          <w:rFonts w:eastAsia="宋体" w:cs="宋体"/>
        </w:rPr>
        <w:t xml:space="preserve"> ASTM F703：《植入式乳房植入体的标准规范》。</w:t>
      </w:r>
    </w:p>
    <w:p w14:paraId="6ABDC51D">
      <w:pPr>
        <w:pStyle w:val="26"/>
        <w:rPr>
          <w:rFonts w:eastAsia="宋体"/>
        </w:rPr>
      </w:pPr>
      <w:r>
        <w:rPr>
          <w:rFonts w:eastAsia="宋体" w:cs="宋体"/>
          <w:vertAlign w:val="superscript"/>
        </w:rPr>
        <w:t>11</w:t>
      </w:r>
      <w:r>
        <w:rPr>
          <w:rFonts w:hint="eastAsia" w:eastAsia="宋体" w:cs="宋体"/>
          <w:vertAlign w:val="superscript"/>
          <w:lang w:eastAsia="zh-CN"/>
        </w:rPr>
        <w:t xml:space="preserve"> </w:t>
      </w:r>
      <w:r>
        <w:rPr>
          <w:rFonts w:eastAsia="宋体" w:cs="宋体"/>
        </w:rPr>
        <w:t>Fogh-Andersen, N, BM Altura, BT Altura, and OS Siggaard-Andersen: Composition of Interstitial Fluid, Clin Chem (41/10), 1522-1525 (1995).</w:t>
      </w:r>
    </w:p>
    <w:p w14:paraId="0D3FD848">
      <w:pPr>
        <w:rPr>
          <w:rFonts w:ascii="Times New Roman" w:hAnsi="Times New Roman" w:eastAsia="宋体" w:cs="Times New Roman"/>
          <w:snapToGrid w:val="0"/>
          <w:sz w:val="24"/>
          <w:szCs w:val="24"/>
        </w:rPr>
      </w:pPr>
      <w:r>
        <w:rPr>
          <w:rFonts w:ascii="Times New Roman" w:hAnsi="Times New Roman" w:eastAsia="宋体" w:cs="宋体"/>
          <w:sz w:val="24"/>
        </w:rPr>
        <w:br w:type="page"/>
      </w:r>
    </w:p>
    <w:p w14:paraId="6559077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FDA了解这种凝胶渗出台架试验在模仿体内环境方面的局限性以及这些数据与临床使用的相关性的局限性。然而，本机构认为该试验比现有ASTM F703试验方法更能准确地描述凝胶渗出的特征。如果申请人认为有识别和定量凝胶渗出成分的其他方法（如动物研究）或临床数据，本机构建议联系FDA。</w:t>
      </w:r>
    </w:p>
    <w:p w14:paraId="23803ABF">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其他乳房植入体的渗出</w:t>
      </w:r>
    </w:p>
    <w:p w14:paraId="095A750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使用其他填充物的器械，FDA担心长期慢性渗出会导致其他填充物成分发生潜在变化。因此，除了对硅凝胶填充型乳房植入体进行上述试验外，当在模拟体内条件的试验中进行评价时，本机构建议随着时间推移提供器械中剩余材料的化学分析结果。</w:t>
      </w:r>
    </w:p>
    <w:p w14:paraId="6E492805">
      <w:pPr>
        <w:pStyle w:val="23"/>
        <w:rPr>
          <w:szCs w:val="24"/>
        </w:rPr>
      </w:pPr>
      <w:bookmarkStart w:id="29" w:name="_Toc95489772"/>
      <w:r>
        <w:t>F.</w:t>
      </w:r>
      <w:r>
        <w:tab/>
      </w:r>
      <w:r>
        <w:t>其他乳房植入体的稳定性试验</w:t>
      </w:r>
      <w:bookmarkEnd w:id="29"/>
    </w:p>
    <w:p w14:paraId="07913FC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尽管硅酮聚合物（如硅凝胶）视为高度稳定物质，但其他聚合物或非聚合物填充物的稳定性特征可能未知。因此，对于使用其他聚合物或非聚合物填充物的乳房植入体，本机构建议提供一份完整稳定性/老化试验报告，以证明时间和温度（生理温度（37℃）和高温（≈</w:t>
      </w:r>
      <w:r>
        <w:rPr>
          <w:rFonts w:hint="eastAsia" w:ascii="Times New Roman" w:hAnsi="Times New Roman" w:eastAsia="宋体" w:cs="宋体"/>
          <w:sz w:val="24"/>
          <w:lang w:eastAsia="zh-CN"/>
        </w:rPr>
        <w:t xml:space="preserve"> </w:t>
      </w:r>
      <w:r>
        <w:rPr>
          <w:rFonts w:ascii="Times New Roman" w:hAnsi="Times New Roman" w:eastAsia="宋体" w:cs="宋体"/>
          <w:sz w:val="24"/>
          <w:lang w:eastAsia="zh-CN"/>
        </w:rPr>
        <w:t>60℃））对器械整体和填充物的物理特性和化学成分的影响。应在每个时间点测量填充物的关键物理参数（如粘度和凝聚性）。如果发生机械变化，应进行完整化学分析，以解释物理变化。</w:t>
      </w:r>
    </w:p>
    <w:p w14:paraId="6A4887C9">
      <w:pPr>
        <w:pStyle w:val="23"/>
        <w:rPr>
          <w:szCs w:val="24"/>
        </w:rPr>
      </w:pPr>
      <w:bookmarkStart w:id="30" w:name="_Toc95489773"/>
      <w:r>
        <w:t>G.</w:t>
      </w:r>
      <w:r>
        <w:tab/>
      </w:r>
      <w:r>
        <w:t>货架有效期试验</w:t>
      </w:r>
      <w:bookmarkEnd w:id="30"/>
    </w:p>
    <w:p w14:paraId="7B8E29B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本机构建议同时提供实时机械试验和包装试验，以确定该器械的货架有效期（即失效日期）。如果通过实时数据进行确认，加速货架有效期试验可能适用。</w:t>
      </w:r>
    </w:p>
    <w:p w14:paraId="17E27F49">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机械试验</w:t>
      </w:r>
    </w:p>
    <w:p w14:paraId="6739E37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本机构建议在零点和整个有效期内的不同时间段对代表性老化样品进行机械试验。机械试验应包括但不限于：</w:t>
      </w:r>
    </w:p>
    <w:p w14:paraId="32D8452A">
      <w:pPr>
        <w:pStyle w:val="16"/>
        <w:numPr>
          <w:ilvl w:val="0"/>
          <w:numId w:val="21"/>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极限延伸率</w:t>
      </w:r>
    </w:p>
    <w:p w14:paraId="2DE23C8B">
      <w:pPr>
        <w:rPr>
          <w:rFonts w:ascii="Times New Roman" w:hAnsi="Times New Roman" w:eastAsia="宋体" w:cs="Times New Roman"/>
          <w:snapToGrid w:val="0"/>
          <w:sz w:val="24"/>
          <w:szCs w:val="24"/>
        </w:rPr>
      </w:pPr>
      <w:r>
        <w:rPr>
          <w:rFonts w:ascii="Times New Roman" w:hAnsi="Times New Roman" w:eastAsia="宋体" w:cs="宋体"/>
          <w:sz w:val="24"/>
        </w:rPr>
        <w:br w:type="page"/>
      </w:r>
    </w:p>
    <w:p w14:paraId="5B3963A1">
      <w:pPr>
        <w:pStyle w:val="16"/>
        <w:numPr>
          <w:ilvl w:val="0"/>
          <w:numId w:val="21"/>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hint="eastAsia" w:ascii="Times New Roman" w:hAnsi="Times New Roman" w:eastAsia="宋体" w:cs="宋体"/>
          <w:sz w:val="24"/>
          <w:lang w:eastAsia="zh-CN"/>
        </w:rPr>
        <w:t>关节</w:t>
      </w:r>
    </w:p>
    <w:p w14:paraId="43B00E1A">
      <w:pPr>
        <w:pStyle w:val="16"/>
        <w:numPr>
          <w:ilvl w:val="0"/>
          <w:numId w:val="21"/>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拉伸形变</w:t>
      </w:r>
    </w:p>
    <w:p w14:paraId="5419C387">
      <w:pPr>
        <w:pStyle w:val="16"/>
        <w:numPr>
          <w:ilvl w:val="0"/>
          <w:numId w:val="21"/>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断裂力</w:t>
      </w:r>
    </w:p>
    <w:p w14:paraId="7B6EE1D7">
      <w:pPr>
        <w:pStyle w:val="16"/>
        <w:numPr>
          <w:ilvl w:val="0"/>
          <w:numId w:val="21"/>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瓣膜能力（如适用）</w:t>
      </w:r>
    </w:p>
    <w:p w14:paraId="67DAE01A">
      <w:pPr>
        <w:pStyle w:val="16"/>
        <w:numPr>
          <w:ilvl w:val="0"/>
          <w:numId w:val="2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凝胶凝聚性（如适用）。</w:t>
      </w:r>
    </w:p>
    <w:p w14:paraId="52D42DF8">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包装试验</w:t>
      </w:r>
    </w:p>
    <w:p w14:paraId="30F46BD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有关包装试验，本机构建议在选择适当材料和限定包装配置后，试验最终成品包装的初始完整性和完整性保持。应使用经过确认或标准化的试验方法。以下是本机构建议提供的更详细描述，以解决初始包装完整性和包装完整性保持。</w:t>
      </w:r>
    </w:p>
    <w:p w14:paraId="2BDA14C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u w:val="single"/>
          <w:lang w:eastAsia="zh-CN"/>
        </w:rPr>
        <w:t>初始包装完整性</w:t>
      </w:r>
    </w:p>
    <w:p w14:paraId="685B47C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本机构建议在零点试验密封和全包装的完整性。包括密封和全包装试验。应</w:t>
      </w:r>
      <w:r>
        <w:rPr>
          <w:rFonts w:hint="eastAsia" w:ascii="Times New Roman" w:hAnsi="Times New Roman" w:eastAsia="宋体" w:cs="宋体"/>
          <w:sz w:val="24"/>
          <w:lang w:eastAsia="zh-CN"/>
        </w:rPr>
        <w:t>测试</w:t>
      </w:r>
      <w:r>
        <w:rPr>
          <w:rFonts w:ascii="Times New Roman" w:hAnsi="Times New Roman" w:eastAsia="宋体" w:cs="宋体"/>
          <w:sz w:val="24"/>
          <w:lang w:eastAsia="zh-CN"/>
        </w:rPr>
        <w:t>包装密封的密封完整性和密封强度。可通过证明密封的不渗透性和连续性来确定密封完整性。有多种标准化方法可用于确定密封完整性。例如，ASTM F1929</w:t>
      </w:r>
      <w:r>
        <w:rPr>
          <w:rFonts w:ascii="Times New Roman" w:hAnsi="Times New Roman" w:eastAsia="宋体" w:cs="宋体"/>
          <w:sz w:val="24"/>
          <w:vertAlign w:val="superscript"/>
          <w:lang w:eastAsia="zh-CN"/>
        </w:rPr>
        <w:t>12</w:t>
      </w:r>
      <w:r>
        <w:rPr>
          <w:rFonts w:ascii="Times New Roman" w:hAnsi="Times New Roman" w:eastAsia="宋体" w:cs="宋体"/>
          <w:sz w:val="24"/>
          <w:lang w:eastAsia="zh-CN"/>
        </w:rPr>
        <w:t>是一种用于检测密封泄漏的染料渗透法。密封强度应证明包装的纤维脱落、分裂和撕裂均符合规范。</w:t>
      </w:r>
    </w:p>
    <w:p w14:paraId="10DD1C9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对于全包装试验，可以使用物理或微生物试验法。全包装完整性试验示例包括内部压力试验、染料渗透、气体感应试验或真空泄漏试验。目前，仅有少数标准化物理全包装试验方法。例如，ASTM D3078</w:t>
      </w:r>
      <w:r>
        <w:rPr>
          <w:rFonts w:ascii="Times New Roman" w:hAnsi="Times New Roman" w:eastAsia="宋体" w:cs="宋体"/>
          <w:sz w:val="24"/>
          <w:vertAlign w:val="superscript"/>
          <w:lang w:eastAsia="zh-CN"/>
        </w:rPr>
        <w:t>13</w:t>
      </w:r>
      <w:r>
        <w:rPr>
          <w:rFonts w:ascii="Times New Roman" w:hAnsi="Times New Roman" w:eastAsia="宋体" w:cs="宋体"/>
          <w:sz w:val="24"/>
          <w:lang w:eastAsia="zh-CN"/>
        </w:rPr>
        <w:t>是一种通过气泡发射进行试验的试验方法。另外，微生物激发试验也可能适用。</w:t>
      </w:r>
    </w:p>
    <w:p w14:paraId="0D9FC14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u w:val="single"/>
          <w:lang w:eastAsia="zh-CN"/>
        </w:rPr>
        <w:t>包装完整性保持</w:t>
      </w:r>
    </w:p>
    <w:p w14:paraId="44C584A6">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本机构建议通过用于完整性试验的相同功能试验来评价包装在一段时间内保持其完整性的能力。应将包装和其中的器械暴露在制造、灭菌过程、分销、搬运、振动和储存环境所带来的环境应力下。应在应力过后以及在包装的整个有效期内不同时间段进行密封完整性和全包装试验。在这段时间内获得的数据应保持在性能规范的确认限度内。</w:t>
      </w:r>
    </w:p>
    <w:p w14:paraId="687EAA52">
      <w:pPr>
        <w:adjustRightInd w:val="0"/>
        <w:snapToGrid w:val="0"/>
        <w:spacing w:before="120" w:beforeLines="50" w:line="300" w:lineRule="auto"/>
        <w:jc w:val="both"/>
        <w:rPr>
          <w:rFonts w:ascii="Times New Roman" w:hAnsi="Times New Roman" w:eastAsia="宋体" w:cs="宋体"/>
          <w:sz w:val="24"/>
          <w:lang w:eastAsia="zh-CN"/>
        </w:rPr>
      </w:pPr>
    </w:p>
    <w:p w14:paraId="5E58F9B5">
      <w:pPr>
        <w:adjustRightInd w:val="0"/>
        <w:snapToGrid w:val="0"/>
        <w:spacing w:before="120" w:beforeLines="50" w:line="300" w:lineRule="auto"/>
        <w:jc w:val="both"/>
        <w:rPr>
          <w:rFonts w:ascii="Times New Roman" w:hAnsi="Times New Roman" w:eastAsia="宋体" w:cs="宋体"/>
          <w:sz w:val="24"/>
          <w:lang w:eastAsia="zh-CN"/>
        </w:rPr>
      </w:pPr>
    </w:p>
    <w:p w14:paraId="1670808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74FE8FFB">
      <w:pPr>
        <w:tabs>
          <w:tab w:val="left" w:pos="300"/>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_____________________</w:t>
      </w:r>
    </w:p>
    <w:p w14:paraId="64E67616">
      <w:pPr>
        <w:pStyle w:val="26"/>
        <w:rPr>
          <w:rFonts w:eastAsia="宋体"/>
          <w:i/>
          <w:lang w:eastAsia="zh-CN"/>
        </w:rPr>
      </w:pPr>
      <w:r>
        <w:rPr>
          <w:rFonts w:eastAsia="宋体" w:cs="宋体"/>
          <w:vertAlign w:val="superscript"/>
          <w:lang w:eastAsia="zh-CN"/>
        </w:rPr>
        <w:t>12</w:t>
      </w:r>
      <w:r>
        <w:rPr>
          <w:rFonts w:eastAsia="宋体" w:cs="宋体"/>
          <w:lang w:eastAsia="zh-CN"/>
        </w:rPr>
        <w:t xml:space="preserve"> ASTM F1929：《采用染料渗透检测多孔医疗包装密封泄漏的标准试验方法》。</w:t>
      </w:r>
    </w:p>
    <w:p w14:paraId="784D0507">
      <w:pPr>
        <w:pStyle w:val="26"/>
        <w:rPr>
          <w:rFonts w:eastAsia="宋体" w:cs="宋体"/>
          <w:lang w:eastAsia="zh-CN"/>
        </w:rPr>
      </w:pPr>
      <w:r>
        <w:rPr>
          <w:rFonts w:eastAsia="宋体" w:cs="宋体"/>
          <w:vertAlign w:val="superscript"/>
          <w:lang w:eastAsia="zh-CN"/>
        </w:rPr>
        <w:t>13</w:t>
      </w:r>
      <w:r>
        <w:rPr>
          <w:rFonts w:eastAsia="宋体" w:cs="宋体"/>
          <w:lang w:eastAsia="zh-CN"/>
        </w:rPr>
        <w:t xml:space="preserve"> ASTM D3078：《气泡检漏法测定软包装泄漏的标准试验方法》。</w:t>
      </w:r>
    </w:p>
    <w:p w14:paraId="3DC6D1FB">
      <w:pPr>
        <w:pStyle w:val="26"/>
        <w:rPr>
          <w:rFonts w:eastAsia="宋体"/>
          <w:lang w:eastAsia="zh-CN"/>
        </w:rPr>
      </w:pPr>
      <w:r>
        <w:rPr>
          <w:rFonts w:eastAsia="宋体" w:cs="宋体"/>
          <w:lang w:eastAsia="zh-CN"/>
        </w:rPr>
        <w:br w:type="page"/>
      </w:r>
    </w:p>
    <w:p w14:paraId="0F726E84">
      <w:pPr>
        <w:pStyle w:val="22"/>
        <w:rPr>
          <w:szCs w:val="24"/>
        </w:rPr>
      </w:pPr>
      <w:bookmarkStart w:id="31" w:name="_Toc95489774"/>
      <w:r>
        <w:t>VII.</w:t>
      </w:r>
      <w:r>
        <w:tab/>
      </w:r>
      <w:bookmarkEnd w:id="31"/>
      <w:r>
        <w:t>器械外植体分析</w:t>
      </w:r>
    </w:p>
    <w:p w14:paraId="340679B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应提供器械外植体分析，以确定器械失效的模式和原因，并可能将确定的失效降至最低。为了提供尽可能多的样品，本机构建议分析包括任何可用</w:t>
      </w:r>
      <w:r>
        <w:rPr>
          <w:rFonts w:hint="eastAsia" w:ascii="Times New Roman" w:hAnsi="Times New Roman" w:eastAsia="宋体" w:cs="宋体"/>
          <w:sz w:val="24"/>
          <w:lang w:eastAsia="zh-CN"/>
        </w:rPr>
        <w:t>移植</w:t>
      </w:r>
      <w:r>
        <w:rPr>
          <w:rFonts w:ascii="Times New Roman" w:hAnsi="Times New Roman" w:eastAsia="宋体" w:cs="宋体"/>
          <w:sz w:val="24"/>
          <w:lang w:eastAsia="zh-CN"/>
        </w:rPr>
        <w:t>器械（如来自欧洲市场的器械），只要它们与申请人正在寻求PMA批准的器械相同。</w:t>
      </w:r>
    </w:p>
    <w:p w14:paraId="77796C46">
      <w:pPr>
        <w:pStyle w:val="23"/>
        <w:rPr>
          <w:szCs w:val="24"/>
        </w:rPr>
      </w:pPr>
      <w:bookmarkStart w:id="32" w:name="_Toc95489775"/>
      <w:r>
        <w:t>A.</w:t>
      </w:r>
      <w:r>
        <w:tab/>
      </w:r>
      <w:r>
        <w:t>检索研究</w:t>
      </w:r>
      <w:bookmarkEnd w:id="32"/>
    </w:p>
    <w:p w14:paraId="083BBC1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本机构建议进行检索研究，作为评价所有可用</w:t>
      </w:r>
      <w:r>
        <w:rPr>
          <w:rFonts w:hint="eastAsia" w:ascii="Times New Roman" w:hAnsi="Times New Roman" w:eastAsia="宋体" w:cs="宋体"/>
          <w:sz w:val="24"/>
          <w:lang w:eastAsia="zh-CN"/>
        </w:rPr>
        <w:t>外植体</w:t>
      </w:r>
      <w:r>
        <w:rPr>
          <w:rFonts w:ascii="Times New Roman" w:hAnsi="Times New Roman" w:eastAsia="宋体" w:cs="宋体"/>
          <w:sz w:val="24"/>
          <w:lang w:eastAsia="zh-CN"/>
        </w:rPr>
        <w:t>器械的主要手段。标准检索研究应包括：</w:t>
      </w:r>
    </w:p>
    <w:p w14:paraId="76AC2941">
      <w:pPr>
        <w:pStyle w:val="16"/>
        <w:numPr>
          <w:ilvl w:val="0"/>
          <w:numId w:val="2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由外科医生或适当医疗服务提供者在</w:t>
      </w:r>
      <w:r>
        <w:rPr>
          <w:rFonts w:hint="eastAsia" w:ascii="Times New Roman" w:hAnsi="Times New Roman" w:eastAsia="宋体" w:cs="宋体"/>
          <w:sz w:val="24"/>
          <w:lang w:eastAsia="zh-CN"/>
        </w:rPr>
        <w:t>移植</w:t>
      </w:r>
      <w:r>
        <w:rPr>
          <w:rFonts w:ascii="Times New Roman" w:hAnsi="Times New Roman" w:eastAsia="宋体" w:cs="宋体"/>
          <w:sz w:val="24"/>
          <w:lang w:eastAsia="zh-CN"/>
        </w:rPr>
        <w:t>时收集数据</w:t>
      </w:r>
    </w:p>
    <w:p w14:paraId="45B78D76">
      <w:pPr>
        <w:pStyle w:val="16"/>
        <w:numPr>
          <w:ilvl w:val="0"/>
          <w:numId w:val="2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由申请人或第三方对</w:t>
      </w:r>
      <w:r>
        <w:rPr>
          <w:rFonts w:hint="eastAsia" w:ascii="Times New Roman" w:hAnsi="Times New Roman" w:eastAsia="宋体" w:cs="宋体"/>
          <w:sz w:val="24"/>
          <w:lang w:eastAsia="zh-CN"/>
        </w:rPr>
        <w:t>外植体</w:t>
      </w:r>
      <w:r>
        <w:rPr>
          <w:rFonts w:ascii="Times New Roman" w:hAnsi="Times New Roman" w:eastAsia="宋体" w:cs="宋体"/>
          <w:sz w:val="24"/>
          <w:lang w:eastAsia="zh-CN"/>
        </w:rPr>
        <w:t>器械进行实验室分析/试验。</w:t>
      </w:r>
    </w:p>
    <w:p w14:paraId="2DBAC29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如果检索研究涉及核心研究（即用于支持PMA批准的主要IDE研究）中的</w:t>
      </w:r>
      <w:r>
        <w:rPr>
          <w:rFonts w:hint="eastAsia" w:ascii="Times New Roman" w:hAnsi="Times New Roman" w:eastAsia="宋体" w:cs="宋体"/>
          <w:sz w:val="24"/>
          <w:lang w:eastAsia="zh-CN"/>
        </w:rPr>
        <w:t>外植体</w:t>
      </w:r>
      <w:r>
        <w:rPr>
          <w:rFonts w:ascii="Times New Roman" w:hAnsi="Times New Roman" w:eastAsia="宋体" w:cs="宋体"/>
          <w:sz w:val="24"/>
          <w:lang w:eastAsia="zh-CN"/>
        </w:rPr>
        <w:t>，FDA还可能要求申请人提供一些核心研究的临床数据，比如并发症和MRI数据，这些数据与</w:t>
      </w:r>
      <w:r>
        <w:rPr>
          <w:rFonts w:hint="eastAsia" w:ascii="Times New Roman" w:hAnsi="Times New Roman" w:eastAsia="宋体" w:cs="宋体"/>
          <w:sz w:val="24"/>
          <w:lang w:eastAsia="zh-CN"/>
        </w:rPr>
        <w:t>外植体</w:t>
      </w:r>
      <w:r>
        <w:rPr>
          <w:rFonts w:ascii="Times New Roman" w:hAnsi="Times New Roman" w:eastAsia="宋体" w:cs="宋体"/>
          <w:sz w:val="24"/>
          <w:lang w:eastAsia="zh-CN"/>
        </w:rPr>
        <w:t>患者相对应，以便更好地理解实验室分析结果。</w:t>
      </w:r>
    </w:p>
    <w:p w14:paraId="70C88CDF">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hint="eastAsia" w:eastAsia="宋体" w:cs="宋体"/>
          <w:lang w:eastAsia="zh-CN"/>
        </w:rPr>
        <w:t>移植</w:t>
      </w:r>
      <w:r>
        <w:rPr>
          <w:rFonts w:eastAsia="宋体" w:cs="宋体"/>
          <w:lang w:eastAsia="zh-CN"/>
        </w:rPr>
        <w:t>时的数据</w:t>
      </w:r>
    </w:p>
    <w:p w14:paraId="58D13BA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w:t>
      </w:r>
      <w:r>
        <w:rPr>
          <w:rFonts w:hint="eastAsia" w:ascii="Times New Roman" w:hAnsi="Times New Roman" w:eastAsia="宋体" w:cs="宋体"/>
          <w:sz w:val="24"/>
          <w:lang w:eastAsia="zh-CN"/>
        </w:rPr>
        <w:t>进行移植</w:t>
      </w:r>
      <w:r>
        <w:rPr>
          <w:rFonts w:ascii="Times New Roman" w:hAnsi="Times New Roman" w:eastAsia="宋体" w:cs="宋体"/>
          <w:sz w:val="24"/>
          <w:lang w:eastAsia="zh-CN"/>
        </w:rPr>
        <w:t>手术的外科医生或适当医疗服务提供者在</w:t>
      </w:r>
      <w:r>
        <w:rPr>
          <w:rFonts w:hint="eastAsia" w:ascii="Times New Roman" w:hAnsi="Times New Roman" w:eastAsia="宋体" w:cs="宋体"/>
          <w:sz w:val="24"/>
          <w:lang w:eastAsia="zh-CN"/>
        </w:rPr>
        <w:t>移植</w:t>
      </w:r>
      <w:r>
        <w:rPr>
          <w:rFonts w:ascii="Times New Roman" w:hAnsi="Times New Roman" w:eastAsia="宋体" w:cs="宋体"/>
          <w:sz w:val="24"/>
          <w:lang w:eastAsia="zh-CN"/>
        </w:rPr>
        <w:t>部位的现场报告表上记录以下观察结果：</w:t>
      </w:r>
    </w:p>
    <w:p w14:paraId="6DEB2EA4">
      <w:pPr>
        <w:pStyle w:val="16"/>
        <w:numPr>
          <w:ilvl w:val="0"/>
          <w:numId w:val="23"/>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器械</w:t>
      </w:r>
      <w:r>
        <w:rPr>
          <w:rFonts w:hint="eastAsia" w:ascii="Times New Roman" w:hAnsi="Times New Roman" w:eastAsia="宋体" w:cs="宋体"/>
          <w:sz w:val="24"/>
          <w:lang w:eastAsia="zh-CN"/>
        </w:rPr>
        <w:t>移植</w:t>
      </w:r>
      <w:r>
        <w:rPr>
          <w:rFonts w:ascii="Times New Roman" w:hAnsi="Times New Roman" w:eastAsia="宋体" w:cs="宋体"/>
          <w:sz w:val="24"/>
        </w:rPr>
        <w:t>的原因</w:t>
      </w:r>
    </w:p>
    <w:p w14:paraId="72693EC3">
      <w:pPr>
        <w:pStyle w:val="16"/>
        <w:numPr>
          <w:ilvl w:val="0"/>
          <w:numId w:val="2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lang w:eastAsia="zh-CN"/>
        </w:rPr>
        <w:t>移植</w:t>
      </w:r>
      <w:r>
        <w:rPr>
          <w:rFonts w:ascii="Times New Roman" w:hAnsi="Times New Roman" w:eastAsia="宋体" w:cs="宋体"/>
          <w:sz w:val="24"/>
          <w:lang w:eastAsia="zh-CN"/>
        </w:rPr>
        <w:t>时的相关器械观察，例如：</w:t>
      </w:r>
    </w:p>
    <w:p w14:paraId="4A99C257">
      <w:pPr>
        <w:pStyle w:val="16"/>
        <w:numPr>
          <w:ilvl w:val="0"/>
          <w:numId w:val="24"/>
        </w:numPr>
        <w:adjustRightInd w:val="0"/>
        <w:snapToGrid w:val="0"/>
        <w:spacing w:before="120" w:beforeLines="50" w:line="300" w:lineRule="auto"/>
        <w:ind w:left="156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是否存在任何外壳缺陷，比如孔或撕裂</w:t>
      </w:r>
    </w:p>
    <w:p w14:paraId="07C1550E">
      <w:pPr>
        <w:pStyle w:val="16"/>
        <w:numPr>
          <w:ilvl w:val="0"/>
          <w:numId w:val="24"/>
        </w:numPr>
        <w:adjustRightInd w:val="0"/>
        <w:snapToGrid w:val="0"/>
        <w:spacing w:before="120" w:beforeLines="50" w:line="300" w:lineRule="auto"/>
        <w:ind w:left="156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植入体是否破裂以及破裂程度（囊内凝胶、囊外凝胶或迁移凝胶）</w:t>
      </w:r>
    </w:p>
    <w:p w14:paraId="1EE8BE93">
      <w:pPr>
        <w:pStyle w:val="16"/>
        <w:numPr>
          <w:ilvl w:val="0"/>
          <w:numId w:val="24"/>
        </w:numPr>
        <w:adjustRightInd w:val="0"/>
        <w:snapToGrid w:val="0"/>
        <w:spacing w:before="120" w:beforeLines="50" w:line="300" w:lineRule="auto"/>
        <w:ind w:left="1560"/>
        <w:jc w:val="both"/>
        <w:rPr>
          <w:rFonts w:ascii="Times New Roman" w:hAnsi="Times New Roman" w:eastAsia="宋体" w:cs="Times New Roman"/>
          <w:snapToGrid w:val="0"/>
          <w:sz w:val="24"/>
          <w:szCs w:val="24"/>
        </w:rPr>
      </w:pPr>
      <w:r>
        <w:rPr>
          <w:rFonts w:ascii="Times New Roman" w:hAnsi="Times New Roman" w:eastAsia="宋体" w:cs="宋体"/>
          <w:sz w:val="24"/>
        </w:rPr>
        <w:t>瓣膜和/或</w:t>
      </w:r>
      <w:r>
        <w:rPr>
          <w:rFonts w:hint="eastAsia" w:ascii="Times New Roman" w:hAnsi="Times New Roman" w:eastAsia="宋体" w:cs="宋体"/>
          <w:sz w:val="24"/>
        </w:rPr>
        <w:t>补片</w:t>
      </w:r>
      <w:r>
        <w:rPr>
          <w:rFonts w:ascii="Times New Roman" w:hAnsi="Times New Roman" w:eastAsia="宋体" w:cs="宋体"/>
          <w:sz w:val="24"/>
        </w:rPr>
        <w:t>状况</w:t>
      </w:r>
    </w:p>
    <w:p w14:paraId="61E3C1A0">
      <w:pPr>
        <w:pStyle w:val="16"/>
        <w:numPr>
          <w:ilvl w:val="0"/>
          <w:numId w:val="24"/>
        </w:numPr>
        <w:adjustRightInd w:val="0"/>
        <w:snapToGrid w:val="0"/>
        <w:spacing w:before="120" w:beforeLines="50" w:line="300" w:lineRule="auto"/>
        <w:ind w:left="1560"/>
        <w:jc w:val="both"/>
        <w:rPr>
          <w:rFonts w:ascii="Times New Roman" w:hAnsi="Times New Roman" w:eastAsia="宋体" w:cs="Times New Roman"/>
          <w:snapToGrid w:val="0"/>
          <w:sz w:val="24"/>
          <w:szCs w:val="24"/>
        </w:rPr>
      </w:pPr>
      <w:r>
        <w:rPr>
          <w:rFonts w:ascii="Times New Roman" w:hAnsi="Times New Roman" w:eastAsia="宋体" w:cs="宋体"/>
          <w:sz w:val="24"/>
        </w:rPr>
        <w:t>填充物的任何变色情况</w:t>
      </w:r>
    </w:p>
    <w:p w14:paraId="7988081D">
      <w:pPr>
        <w:pStyle w:val="16"/>
        <w:numPr>
          <w:ilvl w:val="0"/>
          <w:numId w:val="24"/>
        </w:numPr>
        <w:adjustRightInd w:val="0"/>
        <w:snapToGrid w:val="0"/>
        <w:spacing w:before="120" w:beforeLines="50" w:line="300" w:lineRule="auto"/>
        <w:ind w:left="156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外壳或填充物内部真菌或细菌污染情况</w:t>
      </w:r>
    </w:p>
    <w:p w14:paraId="72AC3D70">
      <w:pPr>
        <w:pStyle w:val="16"/>
        <w:numPr>
          <w:ilvl w:val="0"/>
          <w:numId w:val="2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如适用，是否认为植入体破裂在</w:t>
      </w:r>
      <w:r>
        <w:rPr>
          <w:rFonts w:hint="eastAsia" w:ascii="Times New Roman" w:hAnsi="Times New Roman" w:eastAsia="宋体" w:cs="宋体"/>
          <w:sz w:val="24"/>
          <w:lang w:eastAsia="zh-CN"/>
        </w:rPr>
        <w:t>移植</w:t>
      </w:r>
      <w:r>
        <w:rPr>
          <w:rFonts w:ascii="Times New Roman" w:hAnsi="Times New Roman" w:eastAsia="宋体" w:cs="宋体"/>
          <w:sz w:val="24"/>
          <w:lang w:eastAsia="zh-CN"/>
        </w:rPr>
        <w:t>之前或期间发生。</w:t>
      </w:r>
    </w:p>
    <w:p w14:paraId="54BDEA1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应对</w:t>
      </w:r>
      <w:r>
        <w:rPr>
          <w:rFonts w:hint="eastAsia" w:ascii="Times New Roman" w:hAnsi="Times New Roman" w:eastAsia="宋体" w:cs="宋体"/>
          <w:sz w:val="24"/>
          <w:lang w:eastAsia="zh-CN"/>
        </w:rPr>
        <w:t>移植</w:t>
      </w:r>
      <w:r>
        <w:rPr>
          <w:rFonts w:ascii="Times New Roman" w:hAnsi="Times New Roman" w:eastAsia="宋体" w:cs="宋体"/>
          <w:sz w:val="24"/>
          <w:lang w:eastAsia="zh-CN"/>
        </w:rPr>
        <w:t>器械实施标准化灭菌方法，以减少可能影响器械机械性能的因素。</w:t>
      </w:r>
    </w:p>
    <w:p w14:paraId="14CA9707">
      <w:pPr>
        <w:pStyle w:val="5"/>
        <w:adjustRightInd w:val="0"/>
        <w:snapToGrid w:val="0"/>
        <w:spacing w:before="120" w:beforeLines="50" w:line="300" w:lineRule="auto"/>
        <w:ind w:left="0"/>
        <w:jc w:val="both"/>
        <w:rPr>
          <w:rFonts w:eastAsia="宋体" w:cs="Times New Roman"/>
          <w:snapToGrid w:val="0"/>
          <w:lang w:eastAsia="zh-CN"/>
        </w:rPr>
      </w:pPr>
      <w:r>
        <w:rPr>
          <w:rFonts w:eastAsia="宋体" w:cs="宋体"/>
          <w:lang w:eastAsia="zh-CN"/>
        </w:rPr>
        <w:t>实验室分析/试验</w:t>
      </w:r>
    </w:p>
    <w:p w14:paraId="3B10A822">
      <w:pPr>
        <w:rPr>
          <w:rFonts w:ascii="Times New Roman" w:hAnsi="Times New Roman" w:eastAsia="宋体" w:cs="Times New Roman"/>
          <w:b/>
          <w:bCs/>
          <w:i/>
          <w:snapToGrid w:val="0"/>
          <w:sz w:val="24"/>
          <w:szCs w:val="24"/>
          <w:lang w:eastAsia="zh-CN"/>
        </w:rPr>
      </w:pPr>
      <w:r>
        <w:rPr>
          <w:rFonts w:ascii="Times New Roman" w:hAnsi="Times New Roman" w:eastAsia="宋体" w:cs="宋体"/>
          <w:sz w:val="24"/>
          <w:lang w:eastAsia="zh-CN"/>
        </w:rPr>
        <w:br w:type="page"/>
      </w:r>
    </w:p>
    <w:p w14:paraId="090EE9D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本机构建议对所有可用</w:t>
      </w:r>
      <w:r>
        <w:rPr>
          <w:rFonts w:hint="eastAsia" w:ascii="Times New Roman" w:hAnsi="Times New Roman" w:eastAsia="宋体" w:cs="宋体"/>
          <w:sz w:val="24"/>
          <w:lang w:eastAsia="zh-CN"/>
        </w:rPr>
        <w:t>移植</w:t>
      </w:r>
      <w:r>
        <w:rPr>
          <w:rFonts w:ascii="Times New Roman" w:hAnsi="Times New Roman" w:eastAsia="宋体" w:cs="宋体"/>
          <w:sz w:val="24"/>
          <w:lang w:eastAsia="zh-CN"/>
        </w:rPr>
        <w:t>器械进行实验室分析/试验（无论</w:t>
      </w:r>
      <w:r>
        <w:rPr>
          <w:rFonts w:hint="eastAsia" w:ascii="Times New Roman" w:hAnsi="Times New Roman" w:eastAsia="宋体" w:cs="宋体"/>
          <w:sz w:val="24"/>
          <w:lang w:eastAsia="zh-CN"/>
        </w:rPr>
        <w:t>移植</w:t>
      </w:r>
      <w:r>
        <w:rPr>
          <w:rFonts w:ascii="Times New Roman" w:hAnsi="Times New Roman" w:eastAsia="宋体" w:cs="宋体"/>
          <w:sz w:val="24"/>
          <w:lang w:eastAsia="zh-CN"/>
        </w:rPr>
        <w:t>方是否将</w:t>
      </w:r>
      <w:r>
        <w:rPr>
          <w:rFonts w:hint="eastAsia" w:ascii="Times New Roman" w:hAnsi="Times New Roman" w:eastAsia="宋体" w:cs="宋体"/>
          <w:sz w:val="24"/>
          <w:lang w:eastAsia="zh-CN"/>
        </w:rPr>
        <w:t>移植</w:t>
      </w:r>
      <w:r>
        <w:rPr>
          <w:rFonts w:ascii="Times New Roman" w:hAnsi="Times New Roman" w:eastAsia="宋体" w:cs="宋体"/>
          <w:sz w:val="24"/>
          <w:lang w:eastAsia="zh-CN"/>
        </w:rPr>
        <w:t>器械确定为破裂），以确定可用</w:t>
      </w:r>
      <w:r>
        <w:rPr>
          <w:rFonts w:hint="eastAsia" w:ascii="Times New Roman" w:hAnsi="Times New Roman" w:eastAsia="宋体" w:cs="宋体"/>
          <w:sz w:val="24"/>
          <w:lang w:eastAsia="zh-CN"/>
        </w:rPr>
        <w:t>移植</w:t>
      </w:r>
      <w:r>
        <w:rPr>
          <w:rFonts w:ascii="Times New Roman" w:hAnsi="Times New Roman" w:eastAsia="宋体" w:cs="宋体"/>
          <w:sz w:val="24"/>
          <w:lang w:eastAsia="zh-CN"/>
        </w:rPr>
        <w:t>器械的失效模式和原因。虽然破裂（或外壳打开）属于一种失效，但器械的任何不良变化也应定性为失效（例如，粘性更强的硅凝胶填充型乳房植入体的凝胶断裂）。</w:t>
      </w:r>
    </w:p>
    <w:p w14:paraId="1C2E57A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作为实验室分析/试验的一部分，FDA建议提供所有可用</w:t>
      </w:r>
      <w:r>
        <w:rPr>
          <w:rFonts w:hint="eastAsia" w:ascii="Times New Roman" w:hAnsi="Times New Roman" w:eastAsia="宋体" w:cs="宋体"/>
          <w:sz w:val="24"/>
          <w:lang w:eastAsia="zh-CN"/>
        </w:rPr>
        <w:t>移植</w:t>
      </w:r>
      <w:r>
        <w:rPr>
          <w:rFonts w:ascii="Times New Roman" w:hAnsi="Times New Roman" w:eastAsia="宋体" w:cs="宋体"/>
          <w:sz w:val="24"/>
          <w:lang w:eastAsia="zh-CN"/>
        </w:rPr>
        <w:t>器械的彻底视觉和显微镜检查结果和物理性能试验，以评估趋势，从而说明检索研究结果等。</w:t>
      </w:r>
    </w:p>
    <w:p w14:paraId="38E5FE2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FDA建议考虑Brandon, et al</w:t>
      </w:r>
      <w:r>
        <w:rPr>
          <w:rFonts w:ascii="Times New Roman" w:hAnsi="Times New Roman" w:eastAsia="宋体" w:cs="宋体"/>
          <w:sz w:val="24"/>
          <w:vertAlign w:val="superscript"/>
          <w:lang w:eastAsia="zh-CN"/>
        </w:rPr>
        <w:t>14</w:t>
      </w:r>
      <w:r>
        <w:rPr>
          <w:rFonts w:ascii="Times New Roman" w:hAnsi="Times New Roman" w:eastAsia="宋体" w:cs="宋体"/>
          <w:sz w:val="24"/>
          <w:lang w:eastAsia="zh-CN"/>
        </w:rPr>
        <w:t>的文章中可能适合检索研究的分析/试验类型的描述（例如，未植入器械的对照组、材料化学分析详情、机械试验详情、扫描电子显微镜以及局部组织/胶囊分析）。</w:t>
      </w:r>
    </w:p>
    <w:p w14:paraId="6A551A5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在描述器械失效模式和原因时，还应考虑以下因素的影响：</w:t>
      </w:r>
    </w:p>
    <w:p w14:paraId="5DE0E142">
      <w:pPr>
        <w:pStyle w:val="16"/>
        <w:numPr>
          <w:ilvl w:val="0"/>
          <w:numId w:val="2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器械类型/型号、批号、尺寸、外壳厚度、表面类型（光滑或有</w:t>
      </w:r>
      <w:r>
        <w:rPr>
          <w:rFonts w:hint="eastAsia" w:ascii="Times New Roman" w:hAnsi="Times New Roman" w:eastAsia="宋体" w:cs="宋体"/>
          <w:sz w:val="24"/>
          <w:lang w:eastAsia="zh-CN"/>
        </w:rPr>
        <w:t>纹理</w:t>
      </w:r>
      <w:r>
        <w:rPr>
          <w:rFonts w:ascii="Times New Roman" w:hAnsi="Times New Roman" w:eastAsia="宋体" w:cs="宋体"/>
          <w:sz w:val="24"/>
          <w:lang w:eastAsia="zh-CN"/>
        </w:rPr>
        <w:t>）</w:t>
      </w:r>
    </w:p>
    <w:p w14:paraId="172E96C4">
      <w:pPr>
        <w:pStyle w:val="16"/>
        <w:numPr>
          <w:ilvl w:val="0"/>
          <w:numId w:val="26"/>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植入持续时间</w:t>
      </w:r>
    </w:p>
    <w:p w14:paraId="715AA55B">
      <w:pPr>
        <w:pStyle w:val="16"/>
        <w:numPr>
          <w:ilvl w:val="0"/>
          <w:numId w:val="26"/>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植入前的器械处理</w:t>
      </w:r>
    </w:p>
    <w:p w14:paraId="3D869130">
      <w:pPr>
        <w:pStyle w:val="16"/>
        <w:numPr>
          <w:ilvl w:val="0"/>
          <w:numId w:val="26"/>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器械位置（腺体下或肌肉下）</w:t>
      </w:r>
    </w:p>
    <w:p w14:paraId="6E7CC576">
      <w:pPr>
        <w:pStyle w:val="16"/>
        <w:numPr>
          <w:ilvl w:val="0"/>
          <w:numId w:val="26"/>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切口尺寸</w:t>
      </w:r>
    </w:p>
    <w:p w14:paraId="43B036B4">
      <w:pPr>
        <w:pStyle w:val="16"/>
        <w:numPr>
          <w:ilvl w:val="0"/>
          <w:numId w:val="2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lang w:eastAsia="zh-CN"/>
        </w:rPr>
        <w:t>移植</w:t>
      </w:r>
      <w:r>
        <w:rPr>
          <w:rFonts w:ascii="Times New Roman" w:hAnsi="Times New Roman" w:eastAsia="宋体" w:cs="宋体"/>
          <w:sz w:val="24"/>
          <w:lang w:eastAsia="zh-CN"/>
        </w:rPr>
        <w:t>时所记录的观察结果（以上部分）</w:t>
      </w:r>
    </w:p>
    <w:p w14:paraId="5A2F7486">
      <w:pPr>
        <w:pStyle w:val="16"/>
        <w:numPr>
          <w:ilvl w:val="0"/>
          <w:numId w:val="2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植入过程中的外科损伤（手术刀划伤、缝合线刺伤、外科医生的手指印、</w:t>
      </w:r>
      <w:r>
        <w:rPr>
          <w:rFonts w:hint="eastAsia" w:ascii="Times New Roman" w:hAnsi="Times New Roman" w:eastAsia="宋体" w:cs="宋体"/>
          <w:sz w:val="24"/>
          <w:lang w:eastAsia="zh-CN"/>
        </w:rPr>
        <w:t>夹具夹痕</w:t>
      </w:r>
      <w:r>
        <w:rPr>
          <w:rFonts w:ascii="Times New Roman" w:hAnsi="Times New Roman" w:eastAsia="宋体" w:cs="宋体"/>
          <w:sz w:val="24"/>
          <w:lang w:eastAsia="zh-CN"/>
        </w:rPr>
        <w:t>）</w:t>
      </w:r>
    </w:p>
    <w:p w14:paraId="6996306A">
      <w:pPr>
        <w:pStyle w:val="16"/>
        <w:numPr>
          <w:ilvl w:val="0"/>
          <w:numId w:val="2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体内创伤（事故、乳腺X射线摄影）</w:t>
      </w:r>
    </w:p>
    <w:p w14:paraId="41CC3663">
      <w:pPr>
        <w:pStyle w:val="16"/>
        <w:numPr>
          <w:ilvl w:val="0"/>
          <w:numId w:val="2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lang w:eastAsia="zh-CN"/>
        </w:rPr>
        <w:t>器械在原位时进行的手术（活检、囊肿抽吸）</w:t>
      </w:r>
    </w:p>
    <w:p w14:paraId="524F52AC">
      <w:pPr>
        <w:pStyle w:val="16"/>
        <w:numPr>
          <w:ilvl w:val="0"/>
          <w:numId w:val="26"/>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hint="eastAsia" w:ascii="Times New Roman" w:hAnsi="Times New Roman" w:eastAsia="宋体" w:cs="宋体"/>
          <w:sz w:val="24"/>
          <w:lang w:eastAsia="zh-CN"/>
        </w:rPr>
        <w:t>移植</w:t>
      </w:r>
      <w:r>
        <w:rPr>
          <w:rFonts w:ascii="Times New Roman" w:hAnsi="Times New Roman" w:eastAsia="宋体" w:cs="宋体"/>
          <w:sz w:val="24"/>
        </w:rPr>
        <w:t>技术</w:t>
      </w:r>
    </w:p>
    <w:p w14:paraId="4823811A">
      <w:pPr>
        <w:pStyle w:val="16"/>
        <w:numPr>
          <w:ilvl w:val="0"/>
          <w:numId w:val="2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体内材料特性和化学变化或降解。</w:t>
      </w:r>
    </w:p>
    <w:p w14:paraId="151C9C83">
      <w:pPr>
        <w:pStyle w:val="23"/>
        <w:rPr>
          <w:szCs w:val="24"/>
        </w:rPr>
      </w:pPr>
      <w:bookmarkStart w:id="33" w:name="_Toc95489776"/>
      <w:r>
        <w:t>B.</w:t>
      </w:r>
      <w:r>
        <w:tab/>
      </w:r>
      <w:r>
        <w:t>表征器械失效的补充信息</w:t>
      </w:r>
      <w:bookmarkEnd w:id="33"/>
    </w:p>
    <w:p w14:paraId="05AD0DC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为了进一步确定器械失效模式和原因，本机构建议提供以下内容：</w:t>
      </w:r>
    </w:p>
    <w:p w14:paraId="5AF764DC">
      <w:pPr>
        <w:pStyle w:val="16"/>
        <w:numPr>
          <w:ilvl w:val="0"/>
          <w:numId w:val="27"/>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lang w:eastAsia="zh-CN"/>
        </w:rPr>
        <w:t>放行</w:t>
      </w:r>
      <w:r>
        <w:rPr>
          <w:rFonts w:ascii="Times New Roman" w:hAnsi="Times New Roman" w:eastAsia="宋体" w:cs="宋体"/>
          <w:sz w:val="24"/>
          <w:lang w:eastAsia="zh-CN"/>
        </w:rPr>
        <w:t>外壳</w:t>
      </w:r>
      <w:r>
        <w:rPr>
          <w:rFonts w:hint="eastAsia" w:ascii="Times New Roman" w:hAnsi="Times New Roman" w:eastAsia="宋体" w:cs="宋体"/>
          <w:sz w:val="24"/>
          <w:lang w:eastAsia="zh-CN"/>
        </w:rPr>
        <w:t>规范</w:t>
      </w:r>
      <w:r>
        <w:rPr>
          <w:rFonts w:ascii="Times New Roman" w:hAnsi="Times New Roman" w:eastAsia="宋体" w:cs="宋体"/>
          <w:sz w:val="24"/>
          <w:lang w:eastAsia="zh-CN"/>
        </w:rPr>
        <w:t>相关制造工艺的评估，以确定是否有任何可能与器械失效有关的不完善之处（如气泡和污染物）</w:t>
      </w:r>
    </w:p>
    <w:p w14:paraId="5FE541A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w:t>
      </w:r>
    </w:p>
    <w:p w14:paraId="7913CB66">
      <w:pPr>
        <w:pStyle w:val="26"/>
        <w:rPr>
          <w:rFonts w:eastAsia="宋体"/>
          <w:lang w:eastAsia="zh-CN"/>
        </w:rPr>
      </w:pPr>
      <w:r>
        <w:rPr>
          <w:rFonts w:eastAsia="宋体" w:cs="宋体"/>
          <w:vertAlign w:val="superscript"/>
        </w:rPr>
        <w:t>14</w:t>
      </w:r>
      <w:r>
        <w:rPr>
          <w:rFonts w:eastAsia="宋体" w:cs="宋体"/>
        </w:rPr>
        <w:t xml:space="preserve"> Brandon, et. al, “Protocol for Retrieval and Analysis of Breast Implants,” Journal of Long-Term Effects of Medical Implants, 13(1): 49-61.2003.</w:t>
      </w:r>
    </w:p>
    <w:p w14:paraId="076F094F">
      <w:pPr>
        <w:rPr>
          <w:rFonts w:ascii="Times New Roman" w:hAnsi="Times New Roman" w:eastAsia="宋体" w:cs="Times New Roman"/>
          <w:snapToGrid w:val="0"/>
          <w:sz w:val="24"/>
          <w:szCs w:val="24"/>
          <w:lang w:eastAsia="zh-CN"/>
        </w:rPr>
      </w:pPr>
      <w:r>
        <w:rPr>
          <w:rFonts w:ascii="Times New Roman" w:hAnsi="Times New Roman" w:eastAsia="宋体" w:cs="宋体"/>
          <w:sz w:val="24"/>
        </w:rPr>
        <w:br w:type="page"/>
      </w:r>
    </w:p>
    <w:p w14:paraId="49C4DBEA">
      <w:pPr>
        <w:pStyle w:val="16"/>
        <w:numPr>
          <w:ilvl w:val="0"/>
          <w:numId w:val="28"/>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可能增加破裂风险的外科技术的评估</w:t>
      </w:r>
    </w:p>
    <w:p w14:paraId="20356D09">
      <w:pPr>
        <w:pStyle w:val="16"/>
        <w:numPr>
          <w:ilvl w:val="0"/>
          <w:numId w:val="28"/>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基于</w:t>
      </w:r>
      <w:r>
        <w:rPr>
          <w:rFonts w:hint="eastAsia" w:ascii="Times New Roman" w:hAnsi="Times New Roman" w:eastAsia="宋体" w:cs="宋体"/>
          <w:sz w:val="24"/>
          <w:lang w:eastAsia="zh-CN"/>
        </w:rPr>
        <w:t>移植</w:t>
      </w:r>
      <w:r>
        <w:rPr>
          <w:rFonts w:ascii="Times New Roman" w:hAnsi="Times New Roman" w:eastAsia="宋体" w:cs="宋体"/>
          <w:sz w:val="24"/>
          <w:lang w:eastAsia="zh-CN"/>
        </w:rPr>
        <w:t>器械的耐久性研究的全面文献回顾</w:t>
      </w:r>
    </w:p>
    <w:p w14:paraId="3CA4C19E">
      <w:pPr>
        <w:pStyle w:val="16"/>
        <w:numPr>
          <w:ilvl w:val="0"/>
          <w:numId w:val="28"/>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评估器械失效模式和原因任何其他适当研究。</w:t>
      </w:r>
    </w:p>
    <w:p w14:paraId="17A4B1F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FDA认为这些信息可用于设计对长期破裂率更有预测性的非临床试验。本机构建议也使用这些结果来设计改良器械和建立新的制造验收标准。</w:t>
      </w:r>
    </w:p>
    <w:p w14:paraId="244B922B">
      <w:pPr>
        <w:pStyle w:val="22"/>
        <w:rPr>
          <w:szCs w:val="24"/>
        </w:rPr>
      </w:pPr>
      <w:bookmarkStart w:id="34" w:name="_Toc95489777"/>
      <w:r>
        <w:t>VIII.</w:t>
      </w:r>
      <w:r>
        <w:tab/>
      </w:r>
      <w:r>
        <w:t>核心研究临床数据</w:t>
      </w:r>
      <w:bookmarkEnd w:id="34"/>
    </w:p>
    <w:p w14:paraId="02333BC4">
      <w:pPr>
        <w:pStyle w:val="23"/>
        <w:rPr>
          <w:szCs w:val="24"/>
        </w:rPr>
      </w:pPr>
      <w:bookmarkStart w:id="35" w:name="_Toc95489778"/>
      <w:r>
        <w:t>A.</w:t>
      </w:r>
      <w:r>
        <w:tab/>
      </w:r>
      <w:r>
        <w:t>一般信息</w:t>
      </w:r>
      <w:bookmarkEnd w:id="35"/>
    </w:p>
    <w:p w14:paraId="02886DE7">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适应症</w:t>
      </w:r>
    </w:p>
    <w:p w14:paraId="46ECE40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本机构建议核心研究（即用于支持PMA批准的主要IDE研究）包括单独患者分组：</w:t>
      </w:r>
    </w:p>
    <w:p w14:paraId="08F4B85C">
      <w:pPr>
        <w:pStyle w:val="16"/>
        <w:numPr>
          <w:ilvl w:val="0"/>
          <w:numId w:val="29"/>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初次隆乳</w:t>
      </w:r>
    </w:p>
    <w:p w14:paraId="2F5148C3">
      <w:pPr>
        <w:pStyle w:val="16"/>
        <w:numPr>
          <w:ilvl w:val="0"/>
          <w:numId w:val="29"/>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初次再造</w:t>
      </w:r>
    </w:p>
    <w:p w14:paraId="5C61222D">
      <w:pPr>
        <w:pStyle w:val="16"/>
        <w:numPr>
          <w:ilvl w:val="0"/>
          <w:numId w:val="29"/>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修复型隆乳</w:t>
      </w:r>
    </w:p>
    <w:p w14:paraId="1569012D">
      <w:pPr>
        <w:pStyle w:val="16"/>
        <w:numPr>
          <w:ilvl w:val="0"/>
          <w:numId w:val="29"/>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修复型再造。</w:t>
      </w:r>
    </w:p>
    <w:p w14:paraId="785ED33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因为这些研究很复杂，一名患者可能出于两个不同原因而接受两个器械（例如，一名女性可能接受一个再造用器械和另一个隆乳用器械），本机构建议记录和分析每名患者和每个器械的数据。</w:t>
      </w:r>
    </w:p>
    <w:p w14:paraId="68DADEB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本机构建议在</w:t>
      </w:r>
      <w:r>
        <w:rPr>
          <w:rFonts w:ascii="Times New Roman" w:hAnsi="Times New Roman" w:eastAsia="宋体" w:cs="宋体"/>
          <w:i/>
          <w:sz w:val="24"/>
          <w:lang w:eastAsia="zh-CN"/>
        </w:rPr>
        <w:t>入组</w:t>
      </w:r>
      <w:r>
        <w:rPr>
          <w:rFonts w:ascii="Times New Roman" w:hAnsi="Times New Roman" w:eastAsia="宋体" w:cs="宋体"/>
          <w:sz w:val="24"/>
          <w:lang w:eastAsia="zh-CN"/>
        </w:rPr>
        <w:t>研究时按初始适应症对患者和器械进行分类，具体如下：</w:t>
      </w:r>
    </w:p>
    <w:p w14:paraId="2F9E1F2B">
      <w:pPr>
        <w:pStyle w:val="16"/>
        <w:numPr>
          <w:ilvl w:val="0"/>
          <w:numId w:val="30"/>
        </w:numPr>
        <w:adjustRightInd w:val="0"/>
        <w:snapToGrid w:val="0"/>
        <w:spacing w:before="120" w:beforeLines="50" w:line="300" w:lineRule="auto"/>
        <w:ind w:left="127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如果再造患者接受对侧隆乳，应将该</w:t>
      </w:r>
      <w:r>
        <w:rPr>
          <w:rFonts w:ascii="Times New Roman" w:hAnsi="Times New Roman" w:eastAsia="宋体" w:cs="宋体"/>
          <w:i/>
          <w:sz w:val="24"/>
          <w:lang w:eastAsia="zh-CN"/>
        </w:rPr>
        <w:t>患者</w:t>
      </w:r>
      <w:r>
        <w:rPr>
          <w:rFonts w:ascii="Times New Roman" w:hAnsi="Times New Roman" w:eastAsia="宋体" w:cs="宋体"/>
          <w:sz w:val="24"/>
          <w:lang w:eastAsia="zh-CN"/>
        </w:rPr>
        <w:t>归为再造。该</w:t>
      </w:r>
      <w:r>
        <w:rPr>
          <w:rFonts w:ascii="Times New Roman" w:hAnsi="Times New Roman" w:eastAsia="宋体" w:cs="宋体"/>
          <w:i/>
          <w:sz w:val="24"/>
          <w:lang w:eastAsia="zh-CN"/>
        </w:rPr>
        <w:t>器械</w:t>
      </w:r>
      <w:r>
        <w:rPr>
          <w:rFonts w:ascii="Times New Roman" w:hAnsi="Times New Roman" w:eastAsia="宋体" w:cs="宋体"/>
          <w:sz w:val="24"/>
          <w:lang w:eastAsia="zh-CN"/>
        </w:rPr>
        <w:t>应归为一个再造和一个隆乳。</w:t>
      </w:r>
    </w:p>
    <w:p w14:paraId="601E798E">
      <w:pPr>
        <w:pStyle w:val="16"/>
        <w:numPr>
          <w:ilvl w:val="0"/>
          <w:numId w:val="30"/>
        </w:numPr>
        <w:adjustRightInd w:val="0"/>
        <w:snapToGrid w:val="0"/>
        <w:spacing w:before="120" w:beforeLines="50" w:line="300" w:lineRule="auto"/>
        <w:ind w:left="127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如果修复型隆乳患者（即患者因更换现有器械而入组研究，无论现有器械类型或制造商如何）接受对侧隆乳，应将该</w:t>
      </w:r>
      <w:r>
        <w:rPr>
          <w:rFonts w:ascii="Times New Roman" w:hAnsi="Times New Roman" w:eastAsia="宋体" w:cs="宋体"/>
          <w:i/>
          <w:sz w:val="24"/>
          <w:lang w:eastAsia="zh-CN"/>
        </w:rPr>
        <w:t>患者</w:t>
      </w:r>
      <w:r>
        <w:rPr>
          <w:rFonts w:ascii="Times New Roman" w:hAnsi="Times New Roman" w:eastAsia="宋体" w:cs="宋体"/>
          <w:sz w:val="24"/>
          <w:lang w:eastAsia="zh-CN"/>
        </w:rPr>
        <w:t>归为修复型隆乳患者。该</w:t>
      </w:r>
      <w:r>
        <w:rPr>
          <w:rFonts w:ascii="Times New Roman" w:hAnsi="Times New Roman" w:eastAsia="宋体" w:cs="宋体"/>
          <w:i/>
          <w:sz w:val="24"/>
          <w:lang w:eastAsia="zh-CN"/>
        </w:rPr>
        <w:t>器械</w:t>
      </w:r>
      <w:r>
        <w:rPr>
          <w:rFonts w:ascii="Times New Roman" w:hAnsi="Times New Roman" w:eastAsia="宋体" w:cs="宋体"/>
          <w:sz w:val="24"/>
          <w:lang w:eastAsia="zh-CN"/>
        </w:rPr>
        <w:t>应归为一个修复型隆乳和一个隆乳。</w:t>
      </w:r>
    </w:p>
    <w:p w14:paraId="0C2A1AA0">
      <w:pPr>
        <w:pStyle w:val="16"/>
        <w:numPr>
          <w:ilvl w:val="0"/>
          <w:numId w:val="30"/>
        </w:numPr>
        <w:adjustRightInd w:val="0"/>
        <w:snapToGrid w:val="0"/>
        <w:spacing w:before="120" w:beforeLines="50" w:line="300" w:lineRule="auto"/>
        <w:ind w:left="127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即使在研究期间（即初始植入后）拆除和更换器械，也应在初始适应症（即初次隆乳、初次再造，或修复型隆乳或修复型再造）项下对</w:t>
      </w:r>
      <w:r>
        <w:rPr>
          <w:rFonts w:ascii="Times New Roman" w:hAnsi="Times New Roman" w:eastAsia="宋体" w:cs="宋体"/>
          <w:i/>
          <w:sz w:val="24"/>
          <w:lang w:eastAsia="zh-CN"/>
        </w:rPr>
        <w:t>患者</w:t>
      </w:r>
      <w:r>
        <w:rPr>
          <w:rFonts w:ascii="Times New Roman" w:hAnsi="Times New Roman" w:eastAsia="宋体" w:cs="宋体"/>
          <w:sz w:val="24"/>
          <w:lang w:eastAsia="zh-CN"/>
        </w:rPr>
        <w:t>和</w:t>
      </w:r>
      <w:r>
        <w:rPr>
          <w:rFonts w:ascii="Times New Roman" w:hAnsi="Times New Roman" w:eastAsia="宋体" w:cs="宋体"/>
          <w:i/>
          <w:sz w:val="24"/>
          <w:lang w:eastAsia="zh-CN"/>
        </w:rPr>
        <w:t>器械</w:t>
      </w:r>
      <w:r>
        <w:rPr>
          <w:rFonts w:ascii="Times New Roman" w:hAnsi="Times New Roman" w:eastAsia="宋体" w:cs="宋体"/>
          <w:sz w:val="24"/>
          <w:lang w:eastAsia="zh-CN"/>
        </w:rPr>
        <w:t>进行分类。</w:t>
      </w:r>
    </w:p>
    <w:p w14:paraId="464C1E07">
      <w:pPr>
        <w:rPr>
          <w:rFonts w:ascii="Times New Roman" w:hAnsi="Times New Roman" w:eastAsia="宋体" w:cs="Times New Roman"/>
          <w:b/>
          <w:bCs/>
          <w:i/>
          <w:snapToGrid w:val="0"/>
          <w:sz w:val="24"/>
          <w:szCs w:val="24"/>
          <w:lang w:eastAsia="zh-CN"/>
        </w:rPr>
      </w:pPr>
      <w:r>
        <w:rPr>
          <w:rFonts w:ascii="Times New Roman" w:hAnsi="Times New Roman" w:eastAsia="宋体" w:cs="宋体"/>
          <w:sz w:val="24"/>
          <w:lang w:eastAsia="zh-CN"/>
        </w:rPr>
        <w:br w:type="page"/>
      </w:r>
    </w:p>
    <w:p w14:paraId="7128CB55">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核心研究持续时间</w:t>
      </w:r>
    </w:p>
    <w:p w14:paraId="450D5F1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建议核心研究涉及10年或以上前瞻性患者随访，包括一些上市前和一些上市后随访。核心研究的上市前时间将取决于器械设计和所有可用安全性和有效性数据，包括但不限于核心研究数据。上市前数据（临床和非临床）作为一个整体应足以描述随时间推移的并发症发生率、这些并发症的潜在健康后果以及器械的任何其他具体安全性问题，无论这些器械是盐水填充型、硅凝胶填充型还是其他乳房植入体。</w:t>
      </w:r>
    </w:p>
    <w:p w14:paraId="2D05955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本文件第IX节介绍了如何通过核心研究以外的临床数据说明硅凝胶填充型乳房植入体相关问题的其他信息。此外，第IX节还介绍了文献如何提供补充信息以解决特定乳房植入体问题。</w:t>
      </w:r>
    </w:p>
    <w:p w14:paraId="4A3F66A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目前已提交至少三年的上市前核心研究数据以支持标准硅凝胶乳房植入体的批准，并且已提交至少两年的上市前核心研究数据以支持标准盐水填充型乳房植入体的批准。然而，在仔细考虑所有可用临床和非临床数据后，将针对每种植入体逐一确定上市前核心研究数据收集的适当持续时间。</w:t>
      </w:r>
    </w:p>
    <w:p w14:paraId="7D52D189">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评价时间点</w:t>
      </w:r>
    </w:p>
    <w:p w14:paraId="6D3D7B0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FDA建议定期对并发症进行评价，随访时间间隔为6-10周、1年以及1-10年。本机构建议每年进行一次评价，以尽量减少失访患者数量。</w:t>
      </w:r>
    </w:p>
    <w:p w14:paraId="6AA61BA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对于MRI筛查无症状（无声）破裂（参见第VIII.E节）、结缔组织疾病评价（参见第VIII.F节）和患者报告结局评价（第VIII.H节），本机构建议每两年进行一次随访评价。</w:t>
      </w:r>
    </w:p>
    <w:p w14:paraId="017FBA9A">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器械取出后随访</w:t>
      </w:r>
    </w:p>
    <w:p w14:paraId="1C264CC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对于使用器械取出或替换器械或者取出但不替换器械的患者，应如方案中所述，应继续收集这些患者的安全性数据。</w:t>
      </w:r>
    </w:p>
    <w:p w14:paraId="045B8BC4">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对照组</w:t>
      </w:r>
    </w:p>
    <w:p w14:paraId="470DA2A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如果选择加入同期对照组，本机构建议选择已获批准的乳房植入体。如果选择不加入同期对照组，本机构建议使用历史对照组并提供不使用同期对照组的依据。</w:t>
      </w:r>
    </w:p>
    <w:p w14:paraId="7125A496">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4C2814C3">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样本量</w:t>
      </w:r>
    </w:p>
    <w:p w14:paraId="38B169D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本机构建议根据安全性和有效性</w:t>
      </w:r>
      <w:r>
        <w:rPr>
          <w:rFonts w:hint="eastAsia" w:ascii="Times New Roman" w:hAnsi="Times New Roman" w:eastAsia="宋体" w:cs="宋体"/>
          <w:sz w:val="24"/>
          <w:lang w:eastAsia="zh-CN"/>
        </w:rPr>
        <w:t>结局</w:t>
      </w:r>
      <w:r>
        <w:rPr>
          <w:rFonts w:ascii="Times New Roman" w:hAnsi="Times New Roman" w:eastAsia="宋体" w:cs="宋体"/>
          <w:sz w:val="24"/>
          <w:lang w:eastAsia="zh-CN"/>
        </w:rPr>
        <w:t>的精确</w:t>
      </w:r>
      <w:r>
        <w:rPr>
          <w:rFonts w:hint="eastAsia" w:ascii="Times New Roman" w:hAnsi="Times New Roman" w:eastAsia="宋体" w:cs="宋体"/>
          <w:sz w:val="24"/>
          <w:lang w:eastAsia="zh-CN"/>
        </w:rPr>
        <w:t>度</w:t>
      </w:r>
      <w:r>
        <w:rPr>
          <w:rFonts w:ascii="Times New Roman" w:hAnsi="Times New Roman" w:eastAsia="宋体" w:cs="宋体"/>
          <w:sz w:val="24"/>
          <w:lang w:eastAsia="zh-CN"/>
        </w:rPr>
        <w:t>，</w:t>
      </w:r>
      <w:r>
        <w:rPr>
          <w:rFonts w:hint="eastAsia" w:ascii="Times New Roman" w:hAnsi="Times New Roman" w:eastAsia="宋体" w:cs="宋体"/>
          <w:sz w:val="24"/>
          <w:lang w:eastAsia="zh-CN"/>
        </w:rPr>
        <w:t>或检测到与基线检查或对照组有临床显著性的差异来预估样本量，同时考虑10年随访预估的失访率</w:t>
      </w:r>
      <w:r>
        <w:rPr>
          <w:rFonts w:ascii="Times New Roman" w:hAnsi="Times New Roman" w:eastAsia="宋体" w:cs="宋体"/>
          <w:sz w:val="24"/>
          <w:lang w:eastAsia="zh-CN"/>
        </w:rPr>
        <w:t>临床显著性。</w:t>
      </w:r>
      <w:r>
        <w:rPr>
          <w:rFonts w:hint="eastAsia" w:ascii="Times New Roman" w:hAnsi="Times New Roman" w:eastAsia="宋体" w:cs="宋体"/>
          <w:sz w:val="24"/>
          <w:lang w:eastAsia="zh-CN"/>
        </w:rPr>
        <w:t>如果样本量预估是基于预估并发症发生率的精准度</w:t>
      </w:r>
      <w:r>
        <w:rPr>
          <w:rFonts w:ascii="Times New Roman" w:hAnsi="Times New Roman" w:eastAsia="宋体" w:cs="宋体"/>
          <w:sz w:val="24"/>
          <w:lang w:eastAsia="zh-CN"/>
        </w:rPr>
        <w:t>，</w:t>
      </w:r>
      <w:r>
        <w:rPr>
          <w:rFonts w:hint="eastAsia" w:ascii="Times New Roman" w:hAnsi="Times New Roman" w:eastAsia="宋体" w:cs="宋体"/>
          <w:sz w:val="24"/>
          <w:lang w:eastAsia="zh-CN"/>
        </w:rPr>
        <w:t>那么样本量应该足够大，以确保该精度在基于95%置信区间的预先指定的百分比范围内</w:t>
      </w:r>
      <w:r>
        <w:rPr>
          <w:rFonts w:ascii="Times New Roman" w:hAnsi="Times New Roman" w:eastAsia="宋体" w:cs="宋体"/>
          <w:sz w:val="24"/>
          <w:lang w:eastAsia="zh-CN"/>
        </w:rPr>
        <w:t>。</w:t>
      </w:r>
    </w:p>
    <w:p w14:paraId="093701C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例如，为了有足够数量的初次隆乳或初次再造患者（即假设75%为初次隆乳，25%为初次再造）来</w:t>
      </w:r>
      <w:r>
        <w:rPr>
          <w:rFonts w:hint="eastAsia" w:ascii="Times New Roman" w:hAnsi="Times New Roman" w:eastAsia="宋体" w:cs="宋体"/>
          <w:sz w:val="24"/>
          <w:lang w:eastAsia="zh-CN"/>
        </w:rPr>
        <w:t>以确定破裂率，精确度如下</w:t>
      </w:r>
      <w:r>
        <w:rPr>
          <w:rFonts w:ascii="Times New Roman" w:hAnsi="Times New Roman" w:eastAsia="宋体" w:cs="宋体"/>
          <w:sz w:val="24"/>
          <w:lang w:eastAsia="zh-CN"/>
        </w:rPr>
        <w:t>，</w:t>
      </w:r>
      <w:r>
        <w:rPr>
          <w:rFonts w:hint="eastAsia" w:ascii="Times New Roman" w:hAnsi="Times New Roman" w:eastAsia="宋体" w:cs="宋体"/>
          <w:sz w:val="24"/>
          <w:lang w:eastAsia="zh-CN"/>
        </w:rPr>
        <w:t>那么则</w:t>
      </w:r>
      <w:r>
        <w:rPr>
          <w:rFonts w:ascii="Times New Roman" w:hAnsi="Times New Roman" w:eastAsia="宋体" w:cs="宋体"/>
          <w:sz w:val="24"/>
          <w:lang w:eastAsia="zh-CN"/>
        </w:rPr>
        <w:t>需要有500名患者的植入后10年数据。如果</w:t>
      </w:r>
      <w:r>
        <w:rPr>
          <w:rFonts w:hint="eastAsia" w:ascii="Times New Roman" w:hAnsi="Times New Roman" w:eastAsia="宋体" w:cs="宋体"/>
          <w:sz w:val="24"/>
          <w:lang w:eastAsia="zh-CN"/>
        </w:rPr>
        <w:t>预估</w:t>
      </w:r>
      <w:r>
        <w:rPr>
          <w:rFonts w:ascii="Times New Roman" w:hAnsi="Times New Roman" w:eastAsia="宋体" w:cs="宋体"/>
          <w:sz w:val="24"/>
          <w:lang w:eastAsia="zh-CN"/>
        </w:rPr>
        <w:t>10年后</w:t>
      </w:r>
      <w:r>
        <w:rPr>
          <w:rFonts w:hint="eastAsia" w:ascii="Times New Roman" w:hAnsi="Times New Roman" w:eastAsia="宋体" w:cs="宋体"/>
          <w:sz w:val="24"/>
          <w:lang w:eastAsia="zh-CN"/>
        </w:rPr>
        <w:t>的假设脱落率</w:t>
      </w:r>
      <w:r>
        <w:rPr>
          <w:rFonts w:ascii="Times New Roman" w:hAnsi="Times New Roman" w:eastAsia="宋体" w:cs="宋体"/>
          <w:sz w:val="24"/>
          <w:lang w:eastAsia="zh-CN"/>
        </w:rPr>
        <w:t>有40%，应</w:t>
      </w:r>
      <w:r>
        <w:rPr>
          <w:rFonts w:hint="eastAsia" w:ascii="Times New Roman" w:hAnsi="Times New Roman" w:eastAsia="宋体" w:cs="宋体"/>
          <w:sz w:val="24"/>
          <w:lang w:eastAsia="zh-CN"/>
        </w:rPr>
        <w:t>招募</w:t>
      </w:r>
      <w:r>
        <w:rPr>
          <w:rFonts w:ascii="Times New Roman" w:hAnsi="Times New Roman" w:eastAsia="宋体" w:cs="宋体"/>
          <w:sz w:val="24"/>
          <w:lang w:eastAsia="zh-CN"/>
        </w:rPr>
        <w:t>至少850名患者，以获得500名患者的10年数据。考虑到50%破裂率，该样本量将提供+/- 4%的最坏情况精确</w:t>
      </w:r>
      <w:r>
        <w:rPr>
          <w:rFonts w:hint="eastAsia" w:ascii="Times New Roman" w:hAnsi="Times New Roman" w:eastAsia="宋体" w:cs="宋体"/>
          <w:sz w:val="24"/>
          <w:lang w:eastAsia="zh-CN"/>
        </w:rPr>
        <w:t>度</w:t>
      </w:r>
      <w:r>
        <w:rPr>
          <w:rFonts w:ascii="Times New Roman" w:hAnsi="Times New Roman" w:eastAsia="宋体" w:cs="宋体"/>
          <w:sz w:val="24"/>
          <w:lang w:eastAsia="zh-CN"/>
        </w:rPr>
        <w:t>。精确</w:t>
      </w:r>
      <w:r>
        <w:rPr>
          <w:rFonts w:hint="eastAsia" w:ascii="Times New Roman" w:hAnsi="Times New Roman" w:eastAsia="宋体" w:cs="宋体"/>
          <w:sz w:val="24"/>
          <w:lang w:eastAsia="zh-CN"/>
        </w:rPr>
        <w:t>度</w:t>
      </w:r>
      <w:r>
        <w:rPr>
          <w:rFonts w:ascii="Times New Roman" w:hAnsi="Times New Roman" w:eastAsia="宋体" w:cs="宋体"/>
          <w:sz w:val="24"/>
          <w:lang w:eastAsia="zh-CN"/>
        </w:rPr>
        <w:t>将随着比率</w:t>
      </w:r>
      <w:r>
        <w:rPr>
          <w:rFonts w:hint="eastAsia" w:ascii="Times New Roman" w:hAnsi="Times New Roman" w:eastAsia="宋体" w:cs="宋体"/>
          <w:sz w:val="24"/>
          <w:lang w:eastAsia="zh-CN"/>
        </w:rPr>
        <w:t>逐渐高于或低于</w:t>
      </w:r>
      <w:r>
        <w:rPr>
          <w:rFonts w:ascii="Times New Roman" w:hAnsi="Times New Roman" w:eastAsia="宋体" w:cs="宋体"/>
          <w:sz w:val="24"/>
          <w:lang w:eastAsia="zh-CN"/>
        </w:rPr>
        <w:t>50%而提高，当破裂率为5%或95%时，精确</w:t>
      </w:r>
      <w:r>
        <w:rPr>
          <w:rFonts w:hint="eastAsia" w:ascii="Times New Roman" w:hAnsi="Times New Roman" w:eastAsia="宋体" w:cs="宋体"/>
          <w:sz w:val="24"/>
          <w:lang w:eastAsia="zh-CN"/>
        </w:rPr>
        <w:t>度</w:t>
      </w:r>
      <w:r>
        <w:rPr>
          <w:rFonts w:ascii="Times New Roman" w:hAnsi="Times New Roman" w:eastAsia="宋体" w:cs="宋体"/>
          <w:sz w:val="24"/>
          <w:lang w:eastAsia="zh-CN"/>
        </w:rPr>
        <w:t>为+/-1.9%。初次隆乳和初次再造</w:t>
      </w:r>
      <w:r>
        <w:rPr>
          <w:rFonts w:hint="eastAsia" w:ascii="Times New Roman" w:hAnsi="Times New Roman" w:eastAsia="宋体" w:cs="宋体"/>
          <w:sz w:val="24"/>
          <w:lang w:eastAsia="zh-CN"/>
        </w:rPr>
        <w:t>分组数据</w:t>
      </w:r>
      <w:r>
        <w:rPr>
          <w:rFonts w:ascii="Times New Roman" w:hAnsi="Times New Roman" w:eastAsia="宋体" w:cs="宋体"/>
          <w:sz w:val="24"/>
          <w:lang w:eastAsia="zh-CN"/>
        </w:rPr>
        <w:t>合并代表了整体最佳情况（即最低）精确</w:t>
      </w:r>
      <w:r>
        <w:rPr>
          <w:rFonts w:hint="eastAsia" w:ascii="Times New Roman" w:hAnsi="Times New Roman" w:eastAsia="宋体" w:cs="宋体"/>
          <w:sz w:val="24"/>
          <w:lang w:eastAsia="zh-CN"/>
        </w:rPr>
        <w:t>度</w:t>
      </w:r>
      <w:r>
        <w:rPr>
          <w:rFonts w:ascii="Times New Roman" w:hAnsi="Times New Roman" w:eastAsia="宋体" w:cs="宋体"/>
          <w:sz w:val="24"/>
          <w:lang w:eastAsia="zh-CN"/>
        </w:rPr>
        <w:t>。然而，FDA建议为每个患者</w:t>
      </w:r>
      <w:r>
        <w:rPr>
          <w:rFonts w:hint="eastAsia" w:ascii="Times New Roman" w:hAnsi="Times New Roman" w:eastAsia="宋体" w:cs="宋体"/>
          <w:sz w:val="24"/>
          <w:lang w:eastAsia="zh-CN"/>
        </w:rPr>
        <w:t>分组</w:t>
      </w:r>
      <w:r>
        <w:rPr>
          <w:rFonts w:ascii="Times New Roman" w:hAnsi="Times New Roman" w:eastAsia="宋体" w:cs="宋体"/>
          <w:sz w:val="24"/>
          <w:lang w:eastAsia="zh-CN"/>
        </w:rPr>
        <w:t>分别提供精确</w:t>
      </w:r>
      <w:r>
        <w:rPr>
          <w:rFonts w:hint="eastAsia" w:ascii="Times New Roman" w:hAnsi="Times New Roman" w:eastAsia="宋体" w:cs="宋体"/>
          <w:sz w:val="24"/>
          <w:lang w:eastAsia="zh-CN"/>
        </w:rPr>
        <w:t>度</w:t>
      </w:r>
      <w:r>
        <w:rPr>
          <w:rFonts w:ascii="Times New Roman" w:hAnsi="Times New Roman" w:eastAsia="宋体" w:cs="宋体"/>
          <w:sz w:val="24"/>
          <w:lang w:eastAsia="zh-CN"/>
        </w:rPr>
        <w:t>（即置信区间）。</w:t>
      </w:r>
    </w:p>
    <w:p w14:paraId="1E4BF58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因为来自修复患者的安全性和有效性数据均可能与初次植入患者的数据有明显不同，应纳入一定比例的修复患者。例如，如果</w:t>
      </w:r>
      <w:r>
        <w:rPr>
          <w:rFonts w:hint="eastAsia" w:ascii="Times New Roman" w:hAnsi="Times New Roman" w:eastAsia="宋体" w:cs="宋体"/>
          <w:sz w:val="24"/>
          <w:lang w:eastAsia="zh-CN"/>
        </w:rPr>
        <w:t>预估</w:t>
      </w:r>
      <w:r>
        <w:rPr>
          <w:rFonts w:ascii="Times New Roman" w:hAnsi="Times New Roman" w:eastAsia="宋体" w:cs="宋体"/>
          <w:sz w:val="24"/>
          <w:lang w:eastAsia="zh-CN"/>
        </w:rPr>
        <w:t>大约20%患者因修复而植入乳房植入体，应增加20%样本量。因此，如果需要850名初次植入患者，应</w:t>
      </w:r>
      <w:r>
        <w:rPr>
          <w:rFonts w:hint="eastAsia" w:ascii="Times New Roman" w:hAnsi="Times New Roman" w:eastAsia="宋体" w:cs="宋体"/>
          <w:sz w:val="24"/>
          <w:lang w:eastAsia="zh-CN"/>
        </w:rPr>
        <w:t>招募</w:t>
      </w:r>
      <w:r>
        <w:rPr>
          <w:rFonts w:ascii="Times New Roman" w:hAnsi="Times New Roman" w:eastAsia="宋体" w:cs="宋体"/>
          <w:sz w:val="24"/>
          <w:lang w:eastAsia="zh-CN"/>
        </w:rPr>
        <w:t>大约170名修复患者，其中大部分是修复型隆乳患者。这</w:t>
      </w:r>
      <w:r>
        <w:rPr>
          <w:rFonts w:hint="eastAsia" w:ascii="Times New Roman" w:hAnsi="Times New Roman" w:eastAsia="宋体" w:cs="宋体"/>
          <w:sz w:val="24"/>
          <w:lang w:eastAsia="zh-CN"/>
        </w:rPr>
        <w:t>样</w:t>
      </w:r>
      <w:r>
        <w:rPr>
          <w:rFonts w:ascii="Times New Roman" w:hAnsi="Times New Roman" w:eastAsia="宋体" w:cs="宋体"/>
          <w:sz w:val="24"/>
          <w:lang w:eastAsia="zh-CN"/>
        </w:rPr>
        <w:t>总体样本量约为1020名患者。</w:t>
      </w:r>
    </w:p>
    <w:p w14:paraId="631610E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应支持所有有关与现有植入体或疗法相等或更优的上市主张，并提供统计学上合理的患者数量、临床相关终点，以及与适当对照组进行直接比较。</w:t>
      </w:r>
    </w:p>
    <w:p w14:paraId="6093733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虽然以上样本量示例基于最坏情况假设，即10年后有40%失访者，但FDA认为应在每个患者</w:t>
      </w:r>
      <w:r>
        <w:rPr>
          <w:rFonts w:hint="eastAsia" w:ascii="Times New Roman" w:hAnsi="Times New Roman" w:eastAsia="宋体" w:cs="宋体"/>
          <w:sz w:val="24"/>
          <w:lang w:eastAsia="zh-CN"/>
        </w:rPr>
        <w:t>分组</w:t>
      </w:r>
      <w:r>
        <w:rPr>
          <w:rFonts w:ascii="Times New Roman" w:hAnsi="Times New Roman" w:eastAsia="宋体" w:cs="宋体"/>
          <w:sz w:val="24"/>
          <w:lang w:eastAsia="zh-CN"/>
        </w:rPr>
        <w:t>的每个时间点提供至少80%随访，以获得有意义的数据来评价器械的安全性和有效性。</w:t>
      </w:r>
    </w:p>
    <w:p w14:paraId="13B7E424">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失访分析</w:t>
      </w:r>
    </w:p>
    <w:p w14:paraId="10B806C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高失访率可能影响FDA评价PMA的能力。因此，本机构建议在有完整数据的受试者和没有数据的受试者之间进行基线特征比较，以确定是否存在任何非应答者偏离。本机构建议在研究结束时联系那些失访患者，以确定这些患者的结局是否与那些符合随访要求的患者结局相同。否则可能推迟PMA备案或批准，因为可能需要其他临床数据。</w:t>
      </w:r>
    </w:p>
    <w:p w14:paraId="7EE8E7FD">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4818E419">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数据介绍</w:t>
      </w:r>
    </w:p>
    <w:p w14:paraId="7DF3716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以下部分描述了本机构建议在乳房植入体PMA中提供的有关核心研究的安全性和有效性数据类型。本机构鼓励提供数据介绍，以及以下所描述的数据介绍。虽然这些介绍大多适用于所有类型的乳房植入体，但有些数据介绍（如无声断裂（即无症状断裂）信息）不适用于盐水填充型乳房植入体。</w:t>
      </w:r>
    </w:p>
    <w:p w14:paraId="7F52E3A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以下描述的大部分数据应针对</w:t>
      </w:r>
      <w:r>
        <w:rPr>
          <w:rFonts w:ascii="Times New Roman" w:hAnsi="Times New Roman" w:eastAsia="宋体" w:cs="宋体"/>
          <w:b/>
          <w:sz w:val="24"/>
          <w:lang w:eastAsia="zh-CN"/>
        </w:rPr>
        <w:t>初次隆乳、初次再造、修复型隆乳和修复型再造的单独患者</w:t>
      </w:r>
      <w:r>
        <w:rPr>
          <w:rFonts w:hint="eastAsia" w:ascii="Times New Roman" w:hAnsi="Times New Roman" w:eastAsia="宋体" w:cs="宋体"/>
          <w:b/>
          <w:sz w:val="24"/>
          <w:lang w:eastAsia="zh-CN"/>
        </w:rPr>
        <w:t>分组</w:t>
      </w:r>
      <w:r>
        <w:rPr>
          <w:rFonts w:ascii="Times New Roman" w:hAnsi="Times New Roman" w:eastAsia="宋体" w:cs="宋体"/>
          <w:sz w:val="24"/>
          <w:lang w:eastAsia="zh-CN"/>
        </w:rPr>
        <w:t>（即</w:t>
      </w:r>
      <w:r>
        <w:rPr>
          <w:rFonts w:ascii="Times New Roman" w:hAnsi="Times New Roman" w:eastAsia="宋体" w:cs="宋体"/>
          <w:i/>
          <w:sz w:val="24"/>
          <w:lang w:eastAsia="zh-CN"/>
        </w:rPr>
        <w:t>入组</w:t>
      </w:r>
      <w:r>
        <w:rPr>
          <w:rFonts w:ascii="Times New Roman" w:hAnsi="Times New Roman" w:eastAsia="宋体" w:cs="宋体"/>
          <w:sz w:val="24"/>
          <w:lang w:eastAsia="zh-CN"/>
        </w:rPr>
        <w:t>研究时的患者状态/适应症）进行报告。此外，应该为以下大多数项目提供基于每名患者和每个器械的数据。</w:t>
      </w:r>
    </w:p>
    <w:p w14:paraId="29F41FC3">
      <w:pPr>
        <w:pStyle w:val="23"/>
        <w:rPr>
          <w:szCs w:val="24"/>
        </w:rPr>
      </w:pPr>
      <w:bookmarkStart w:id="36" w:name="_Toc95489779"/>
      <w:r>
        <w:t>B.</w:t>
      </w:r>
      <w:r>
        <w:tab/>
      </w:r>
      <w:r>
        <w:t>患者统计</w:t>
      </w:r>
      <w:bookmarkEnd w:id="36"/>
    </w:p>
    <w:p w14:paraId="1573483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本机构建议为每个</w:t>
      </w:r>
      <w:r>
        <w:rPr>
          <w:rFonts w:hint="eastAsia" w:ascii="Times New Roman" w:hAnsi="Times New Roman" w:eastAsia="宋体" w:cs="宋体"/>
          <w:sz w:val="24"/>
          <w:lang w:eastAsia="zh-CN"/>
        </w:rPr>
        <w:t>分组</w:t>
      </w:r>
      <w:r>
        <w:rPr>
          <w:rFonts w:ascii="Times New Roman" w:hAnsi="Times New Roman" w:eastAsia="宋体" w:cs="宋体"/>
          <w:sz w:val="24"/>
          <w:lang w:eastAsia="zh-CN"/>
        </w:rPr>
        <w:t>的每名患者提供完整患者统计。应纳入理论值、因死亡或器械取出而中止、预期随访以及在每个评价时间点上实际评价的患者数量。以下表1是一个累计患者统计示例。</w:t>
      </w:r>
    </w:p>
    <w:p w14:paraId="02A55D2A">
      <w:pPr>
        <w:pStyle w:val="4"/>
        <w:adjustRightInd w:val="0"/>
        <w:snapToGrid w:val="0"/>
        <w:spacing w:before="120" w:beforeLines="50" w:line="300" w:lineRule="auto"/>
        <w:ind w:left="0"/>
        <w:jc w:val="both"/>
        <w:rPr>
          <w:rFonts w:eastAsia="宋体" w:cs="Times New Roman"/>
          <w:b w:val="0"/>
          <w:bCs w:val="0"/>
          <w:snapToGrid w:val="0"/>
          <w:lang w:eastAsia="zh-CN"/>
        </w:rPr>
      </w:pPr>
      <w:r>
        <w:rPr>
          <w:rFonts w:eastAsia="宋体" w:cs="宋体"/>
          <w:lang w:eastAsia="zh-CN"/>
        </w:rPr>
        <w:t>表1 - 累计患者统计</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9"/>
        <w:gridCol w:w="1532"/>
        <w:gridCol w:w="1352"/>
        <w:gridCol w:w="992"/>
        <w:gridCol w:w="812"/>
      </w:tblGrid>
      <w:tr w14:paraId="1655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pct"/>
            <w:shd w:val="clear" w:color="auto" w:fill="E1E1E1"/>
          </w:tcPr>
          <w:p w14:paraId="1CF3D42D">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825" w:type="pct"/>
            <w:shd w:val="clear" w:color="auto" w:fill="E1E1E1"/>
          </w:tcPr>
          <w:p w14:paraId="511F7381">
            <w:pPr>
              <w:pStyle w:val="17"/>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b/>
                <w:sz w:val="21"/>
                <w:szCs w:val="21"/>
              </w:rPr>
              <w:t>围手术期</w:t>
            </w:r>
          </w:p>
        </w:tc>
        <w:tc>
          <w:tcPr>
            <w:tcW w:w="728" w:type="pct"/>
            <w:shd w:val="clear" w:color="auto" w:fill="E1E1E1"/>
          </w:tcPr>
          <w:p w14:paraId="3E9EEC56">
            <w:pPr>
              <w:pStyle w:val="17"/>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b/>
                <w:sz w:val="21"/>
                <w:szCs w:val="21"/>
              </w:rPr>
              <w:t>1年</w:t>
            </w:r>
          </w:p>
        </w:tc>
        <w:tc>
          <w:tcPr>
            <w:tcW w:w="534" w:type="pct"/>
            <w:shd w:val="clear" w:color="auto" w:fill="E1E1E1"/>
          </w:tcPr>
          <w:p w14:paraId="71DD7C3A">
            <w:pPr>
              <w:pStyle w:val="17"/>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b/>
                <w:sz w:val="21"/>
                <w:szCs w:val="21"/>
              </w:rPr>
              <w:t>2年</w:t>
            </w:r>
          </w:p>
        </w:tc>
        <w:tc>
          <w:tcPr>
            <w:tcW w:w="437" w:type="pct"/>
            <w:shd w:val="clear" w:color="auto" w:fill="E1E1E1"/>
          </w:tcPr>
          <w:p w14:paraId="58F3A6DE">
            <w:pPr>
              <w:pStyle w:val="17"/>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b/>
                <w:sz w:val="21"/>
                <w:szCs w:val="21"/>
              </w:rPr>
              <w:t>n年</w:t>
            </w:r>
          </w:p>
        </w:tc>
      </w:tr>
      <w:tr w14:paraId="0B0B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pct"/>
          </w:tcPr>
          <w:p w14:paraId="68ED2986">
            <w:pPr>
              <w:pStyle w:val="17"/>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szCs w:val="21"/>
              </w:rPr>
              <w:t>理论值</w:t>
            </w:r>
            <w:r>
              <w:rPr>
                <w:rFonts w:ascii="Times New Roman" w:hAnsi="Times New Roman" w:eastAsia="宋体" w:cs="宋体"/>
                <w:sz w:val="21"/>
                <w:szCs w:val="21"/>
                <w:vertAlign w:val="superscript"/>
              </w:rPr>
              <w:t>A</w:t>
            </w:r>
          </w:p>
        </w:tc>
        <w:tc>
          <w:tcPr>
            <w:tcW w:w="825" w:type="pct"/>
          </w:tcPr>
          <w:p w14:paraId="6D5EF156">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100</w:t>
            </w:r>
          </w:p>
        </w:tc>
        <w:tc>
          <w:tcPr>
            <w:tcW w:w="728" w:type="pct"/>
          </w:tcPr>
          <w:p w14:paraId="6E5D7384">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85</w:t>
            </w:r>
          </w:p>
        </w:tc>
        <w:tc>
          <w:tcPr>
            <w:tcW w:w="534" w:type="pct"/>
          </w:tcPr>
          <w:p w14:paraId="122571C9">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50</w:t>
            </w:r>
          </w:p>
        </w:tc>
        <w:tc>
          <w:tcPr>
            <w:tcW w:w="437" w:type="pct"/>
          </w:tcPr>
          <w:p w14:paraId="418AF5F9">
            <w:pPr>
              <w:adjustRightInd w:val="0"/>
              <w:snapToGrid w:val="0"/>
              <w:spacing w:before="36" w:beforeLines="15" w:line="276" w:lineRule="auto"/>
              <w:jc w:val="both"/>
              <w:rPr>
                <w:rFonts w:ascii="Times New Roman" w:hAnsi="Times New Roman" w:cs="Times New Roman"/>
                <w:snapToGrid w:val="0"/>
                <w:vanish/>
                <w:sz w:val="21"/>
                <w:szCs w:val="21"/>
              </w:rPr>
            </w:pPr>
          </w:p>
        </w:tc>
      </w:tr>
      <w:tr w14:paraId="222B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pct"/>
          </w:tcPr>
          <w:p w14:paraId="4823E1CA">
            <w:pPr>
              <w:pStyle w:val="17"/>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szCs w:val="21"/>
              </w:rPr>
              <w:t>死亡</w:t>
            </w:r>
          </w:p>
        </w:tc>
        <w:tc>
          <w:tcPr>
            <w:tcW w:w="825" w:type="pct"/>
          </w:tcPr>
          <w:p w14:paraId="2399CDEA">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0</w:t>
            </w:r>
          </w:p>
        </w:tc>
        <w:tc>
          <w:tcPr>
            <w:tcW w:w="728" w:type="pct"/>
          </w:tcPr>
          <w:p w14:paraId="5E7D4114">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1</w:t>
            </w:r>
          </w:p>
        </w:tc>
        <w:tc>
          <w:tcPr>
            <w:tcW w:w="534" w:type="pct"/>
          </w:tcPr>
          <w:p w14:paraId="06368984">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1</w:t>
            </w:r>
          </w:p>
        </w:tc>
        <w:tc>
          <w:tcPr>
            <w:tcW w:w="437" w:type="pct"/>
          </w:tcPr>
          <w:p w14:paraId="754639FB">
            <w:pPr>
              <w:adjustRightInd w:val="0"/>
              <w:snapToGrid w:val="0"/>
              <w:spacing w:before="36" w:beforeLines="15" w:line="276" w:lineRule="auto"/>
              <w:jc w:val="both"/>
              <w:rPr>
                <w:rFonts w:ascii="Times New Roman" w:hAnsi="Times New Roman" w:cs="Times New Roman"/>
                <w:snapToGrid w:val="0"/>
                <w:vanish/>
                <w:sz w:val="21"/>
                <w:szCs w:val="21"/>
              </w:rPr>
            </w:pPr>
          </w:p>
        </w:tc>
      </w:tr>
      <w:tr w14:paraId="4AEF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pct"/>
          </w:tcPr>
          <w:p w14:paraId="73F8C6A4">
            <w:pPr>
              <w:pStyle w:val="17"/>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1"/>
                <w:szCs w:val="21"/>
                <w:lang w:eastAsia="zh-CN"/>
              </w:rPr>
              <w:t>取出所有器械但未更换的患者</w:t>
            </w:r>
          </w:p>
        </w:tc>
        <w:tc>
          <w:tcPr>
            <w:tcW w:w="825" w:type="pct"/>
          </w:tcPr>
          <w:p w14:paraId="29E97C50">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0</w:t>
            </w:r>
          </w:p>
        </w:tc>
        <w:tc>
          <w:tcPr>
            <w:tcW w:w="728" w:type="pct"/>
          </w:tcPr>
          <w:p w14:paraId="7D52D0EA">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2</w:t>
            </w:r>
          </w:p>
        </w:tc>
        <w:tc>
          <w:tcPr>
            <w:tcW w:w="534" w:type="pct"/>
          </w:tcPr>
          <w:p w14:paraId="6D25A8A0">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2</w:t>
            </w:r>
          </w:p>
        </w:tc>
        <w:tc>
          <w:tcPr>
            <w:tcW w:w="437" w:type="pct"/>
          </w:tcPr>
          <w:p w14:paraId="58C2F9A2">
            <w:pPr>
              <w:adjustRightInd w:val="0"/>
              <w:snapToGrid w:val="0"/>
              <w:spacing w:before="36" w:beforeLines="15" w:line="276" w:lineRule="auto"/>
              <w:jc w:val="both"/>
              <w:rPr>
                <w:rFonts w:ascii="Times New Roman" w:hAnsi="Times New Roman" w:cs="Times New Roman"/>
                <w:snapToGrid w:val="0"/>
                <w:vanish/>
                <w:sz w:val="21"/>
                <w:szCs w:val="21"/>
              </w:rPr>
            </w:pPr>
          </w:p>
        </w:tc>
      </w:tr>
      <w:tr w14:paraId="65A1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pct"/>
          </w:tcPr>
          <w:p w14:paraId="68704961">
            <w:pPr>
              <w:pStyle w:val="17"/>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1"/>
                <w:szCs w:val="21"/>
                <w:lang w:eastAsia="zh-CN"/>
              </w:rPr>
              <w:t>取出所有器械并更换为其他制造商器械的患者</w:t>
            </w:r>
          </w:p>
        </w:tc>
        <w:tc>
          <w:tcPr>
            <w:tcW w:w="825" w:type="pct"/>
          </w:tcPr>
          <w:p w14:paraId="36BBF99D">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0</w:t>
            </w:r>
          </w:p>
        </w:tc>
        <w:tc>
          <w:tcPr>
            <w:tcW w:w="728" w:type="pct"/>
          </w:tcPr>
          <w:p w14:paraId="6463BAAC">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1</w:t>
            </w:r>
          </w:p>
        </w:tc>
        <w:tc>
          <w:tcPr>
            <w:tcW w:w="534" w:type="pct"/>
          </w:tcPr>
          <w:p w14:paraId="60FD52FE">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3</w:t>
            </w:r>
          </w:p>
        </w:tc>
        <w:tc>
          <w:tcPr>
            <w:tcW w:w="437" w:type="pct"/>
          </w:tcPr>
          <w:p w14:paraId="7165B36F">
            <w:pPr>
              <w:adjustRightInd w:val="0"/>
              <w:snapToGrid w:val="0"/>
              <w:spacing w:before="36" w:beforeLines="15" w:line="276" w:lineRule="auto"/>
              <w:jc w:val="both"/>
              <w:rPr>
                <w:rFonts w:ascii="Times New Roman" w:hAnsi="Times New Roman" w:cs="Times New Roman"/>
                <w:snapToGrid w:val="0"/>
                <w:vanish/>
                <w:sz w:val="21"/>
                <w:szCs w:val="21"/>
              </w:rPr>
            </w:pPr>
          </w:p>
        </w:tc>
      </w:tr>
      <w:tr w14:paraId="6236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pct"/>
          </w:tcPr>
          <w:p w14:paraId="06D1A7B5">
            <w:pPr>
              <w:pStyle w:val="17"/>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1"/>
                <w:szCs w:val="21"/>
                <w:lang w:eastAsia="zh-CN"/>
              </w:rPr>
              <w:t>取出所有器械并更换为该器械的患者</w:t>
            </w:r>
          </w:p>
        </w:tc>
        <w:tc>
          <w:tcPr>
            <w:tcW w:w="825" w:type="pct"/>
          </w:tcPr>
          <w:p w14:paraId="341B7637">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0</w:t>
            </w:r>
          </w:p>
        </w:tc>
        <w:tc>
          <w:tcPr>
            <w:tcW w:w="728" w:type="pct"/>
          </w:tcPr>
          <w:p w14:paraId="1C92DCF2">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4</w:t>
            </w:r>
          </w:p>
        </w:tc>
        <w:tc>
          <w:tcPr>
            <w:tcW w:w="534" w:type="pct"/>
          </w:tcPr>
          <w:p w14:paraId="4932F5E6">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6</w:t>
            </w:r>
          </w:p>
        </w:tc>
        <w:tc>
          <w:tcPr>
            <w:tcW w:w="437" w:type="pct"/>
          </w:tcPr>
          <w:p w14:paraId="4310450E">
            <w:pPr>
              <w:adjustRightInd w:val="0"/>
              <w:snapToGrid w:val="0"/>
              <w:spacing w:before="36" w:beforeLines="15" w:line="276" w:lineRule="auto"/>
              <w:jc w:val="both"/>
              <w:rPr>
                <w:rFonts w:ascii="Times New Roman" w:hAnsi="Times New Roman" w:cs="Times New Roman"/>
                <w:snapToGrid w:val="0"/>
                <w:vanish/>
                <w:sz w:val="21"/>
                <w:szCs w:val="21"/>
              </w:rPr>
            </w:pPr>
          </w:p>
        </w:tc>
      </w:tr>
      <w:tr w14:paraId="124D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pct"/>
          </w:tcPr>
          <w:p w14:paraId="4FDF2EA3">
            <w:pPr>
              <w:pStyle w:val="17"/>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szCs w:val="21"/>
              </w:rPr>
              <w:t>预期</w:t>
            </w:r>
            <w:r>
              <w:rPr>
                <w:rFonts w:ascii="Times New Roman" w:hAnsi="Times New Roman" w:eastAsia="宋体" w:cs="宋体"/>
                <w:sz w:val="21"/>
                <w:szCs w:val="21"/>
                <w:vertAlign w:val="superscript"/>
              </w:rPr>
              <w:t>B</w:t>
            </w:r>
          </w:p>
        </w:tc>
        <w:tc>
          <w:tcPr>
            <w:tcW w:w="825" w:type="pct"/>
          </w:tcPr>
          <w:p w14:paraId="400CFB7B">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100</w:t>
            </w:r>
          </w:p>
        </w:tc>
        <w:tc>
          <w:tcPr>
            <w:tcW w:w="728" w:type="pct"/>
          </w:tcPr>
          <w:p w14:paraId="4D187679">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81</w:t>
            </w:r>
          </w:p>
        </w:tc>
        <w:tc>
          <w:tcPr>
            <w:tcW w:w="534" w:type="pct"/>
          </w:tcPr>
          <w:p w14:paraId="3E85E32A">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44</w:t>
            </w:r>
          </w:p>
        </w:tc>
        <w:tc>
          <w:tcPr>
            <w:tcW w:w="437" w:type="pct"/>
          </w:tcPr>
          <w:p w14:paraId="3168889E">
            <w:pPr>
              <w:adjustRightInd w:val="0"/>
              <w:snapToGrid w:val="0"/>
              <w:spacing w:before="36" w:beforeLines="15" w:line="276" w:lineRule="auto"/>
              <w:jc w:val="both"/>
              <w:rPr>
                <w:rFonts w:ascii="Times New Roman" w:hAnsi="Times New Roman" w:cs="Times New Roman"/>
                <w:snapToGrid w:val="0"/>
                <w:vanish/>
                <w:sz w:val="21"/>
                <w:szCs w:val="21"/>
              </w:rPr>
            </w:pPr>
          </w:p>
        </w:tc>
      </w:tr>
      <w:tr w14:paraId="04B7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pct"/>
          </w:tcPr>
          <w:p w14:paraId="505905EE">
            <w:pPr>
              <w:pStyle w:val="17"/>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1"/>
                <w:szCs w:val="21"/>
                <w:lang w:eastAsia="zh-CN"/>
              </w:rPr>
              <w:t>实际（有完整随访的患者）</w:t>
            </w:r>
          </w:p>
        </w:tc>
        <w:tc>
          <w:tcPr>
            <w:tcW w:w="825" w:type="pct"/>
          </w:tcPr>
          <w:p w14:paraId="02455B60">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100</w:t>
            </w:r>
          </w:p>
        </w:tc>
        <w:tc>
          <w:tcPr>
            <w:tcW w:w="728" w:type="pct"/>
          </w:tcPr>
          <w:p w14:paraId="39CF122B">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68</w:t>
            </w:r>
          </w:p>
        </w:tc>
        <w:tc>
          <w:tcPr>
            <w:tcW w:w="534" w:type="pct"/>
          </w:tcPr>
          <w:p w14:paraId="57F8E07A">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39</w:t>
            </w:r>
          </w:p>
        </w:tc>
        <w:tc>
          <w:tcPr>
            <w:tcW w:w="437" w:type="pct"/>
          </w:tcPr>
          <w:p w14:paraId="01C88589">
            <w:pPr>
              <w:adjustRightInd w:val="0"/>
              <w:snapToGrid w:val="0"/>
              <w:spacing w:before="36" w:beforeLines="15" w:line="276" w:lineRule="auto"/>
              <w:jc w:val="both"/>
              <w:rPr>
                <w:rFonts w:ascii="Times New Roman" w:hAnsi="Times New Roman" w:cs="Times New Roman"/>
                <w:snapToGrid w:val="0"/>
                <w:vanish/>
                <w:sz w:val="21"/>
                <w:szCs w:val="21"/>
              </w:rPr>
            </w:pPr>
          </w:p>
        </w:tc>
      </w:tr>
      <w:tr w14:paraId="6223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pct"/>
          </w:tcPr>
          <w:p w14:paraId="1052A127">
            <w:pPr>
              <w:pStyle w:val="17"/>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szCs w:val="21"/>
              </w:rPr>
              <w:t>失访</w:t>
            </w:r>
          </w:p>
        </w:tc>
        <w:tc>
          <w:tcPr>
            <w:tcW w:w="825" w:type="pct"/>
          </w:tcPr>
          <w:p w14:paraId="4CFCFE85">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0</w:t>
            </w:r>
          </w:p>
        </w:tc>
        <w:tc>
          <w:tcPr>
            <w:tcW w:w="728" w:type="pct"/>
          </w:tcPr>
          <w:p w14:paraId="20BD091A">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13</w:t>
            </w:r>
          </w:p>
        </w:tc>
        <w:tc>
          <w:tcPr>
            <w:tcW w:w="534" w:type="pct"/>
          </w:tcPr>
          <w:p w14:paraId="0F12DEE6">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5</w:t>
            </w:r>
          </w:p>
        </w:tc>
        <w:tc>
          <w:tcPr>
            <w:tcW w:w="437" w:type="pct"/>
          </w:tcPr>
          <w:p w14:paraId="61FDD6B9">
            <w:pPr>
              <w:adjustRightInd w:val="0"/>
              <w:snapToGrid w:val="0"/>
              <w:spacing w:before="36" w:beforeLines="15" w:line="276" w:lineRule="auto"/>
              <w:jc w:val="both"/>
              <w:rPr>
                <w:rFonts w:ascii="Times New Roman" w:hAnsi="Times New Roman" w:cs="Times New Roman"/>
                <w:snapToGrid w:val="0"/>
                <w:vanish/>
                <w:sz w:val="21"/>
                <w:szCs w:val="21"/>
              </w:rPr>
            </w:pPr>
          </w:p>
        </w:tc>
      </w:tr>
      <w:tr w14:paraId="0A5C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pct"/>
          </w:tcPr>
          <w:p w14:paraId="035003D9">
            <w:pPr>
              <w:pStyle w:val="17"/>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1"/>
                <w:szCs w:val="21"/>
                <w:lang w:eastAsia="zh-CN"/>
              </w:rPr>
              <w:t>随访百分比（实际/预期）</w:t>
            </w:r>
          </w:p>
        </w:tc>
        <w:tc>
          <w:tcPr>
            <w:tcW w:w="825" w:type="pct"/>
          </w:tcPr>
          <w:p w14:paraId="2FB0602B">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100/100 (100%)</w:t>
            </w:r>
          </w:p>
        </w:tc>
        <w:tc>
          <w:tcPr>
            <w:tcW w:w="728" w:type="pct"/>
          </w:tcPr>
          <w:p w14:paraId="1C661E47">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68/81 (84%)</w:t>
            </w:r>
          </w:p>
        </w:tc>
        <w:tc>
          <w:tcPr>
            <w:tcW w:w="534" w:type="pct"/>
          </w:tcPr>
          <w:p w14:paraId="14A44D4E">
            <w:pPr>
              <w:pStyle w:val="17"/>
              <w:adjustRightInd w:val="0"/>
              <w:snapToGrid w:val="0"/>
              <w:spacing w:before="36" w:beforeLines="15" w:line="276" w:lineRule="auto"/>
              <w:jc w:val="both"/>
              <w:rPr>
                <w:rFonts w:ascii="Times New Roman" w:hAnsi="Times New Roman" w:eastAsia="Times New Roman" w:cs="Times New Roman"/>
                <w:snapToGrid w:val="0"/>
                <w:vanish/>
                <w:sz w:val="21"/>
                <w:szCs w:val="21"/>
              </w:rPr>
            </w:pPr>
            <w:r>
              <w:rPr>
                <w:rFonts w:ascii="Times New Roman" w:hAnsi="Times New Roman" w:eastAsia="宋体" w:cs="Times New Roman"/>
                <w:snapToGrid w:val="0"/>
                <w:sz w:val="21"/>
                <w:szCs w:val="21"/>
              </w:rPr>
              <w:t>39/44 (89%)</w:t>
            </w:r>
          </w:p>
        </w:tc>
        <w:tc>
          <w:tcPr>
            <w:tcW w:w="437" w:type="pct"/>
          </w:tcPr>
          <w:p w14:paraId="7E36760F">
            <w:pPr>
              <w:adjustRightInd w:val="0"/>
              <w:snapToGrid w:val="0"/>
              <w:spacing w:before="36" w:beforeLines="15" w:line="276" w:lineRule="auto"/>
              <w:jc w:val="both"/>
              <w:rPr>
                <w:rFonts w:ascii="Times New Roman" w:hAnsi="Times New Roman" w:cs="Times New Roman"/>
                <w:snapToGrid w:val="0"/>
                <w:vanish/>
                <w:sz w:val="21"/>
                <w:szCs w:val="21"/>
              </w:rPr>
            </w:pPr>
          </w:p>
        </w:tc>
      </w:tr>
    </w:tbl>
    <w:p w14:paraId="0AEA616B">
      <w:pPr>
        <w:adjustRightInd w:val="0"/>
        <w:snapToGrid w:val="0"/>
        <w:spacing w:before="120" w:beforeLines="50" w:line="300"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szCs w:val="21"/>
          <w:vertAlign w:val="superscript"/>
          <w:lang w:eastAsia="zh-CN"/>
        </w:rPr>
        <w:t xml:space="preserve">A </w:t>
      </w:r>
      <w:r>
        <w:rPr>
          <w:rFonts w:ascii="Times New Roman" w:hAnsi="Times New Roman" w:eastAsia="宋体" w:cs="宋体"/>
          <w:sz w:val="21"/>
          <w:szCs w:val="21"/>
          <w:lang w:eastAsia="zh-CN"/>
        </w:rPr>
        <w:t>根据植入日期和随访计划本应接受检查的患者。</w:t>
      </w:r>
    </w:p>
    <w:p w14:paraId="5CA7FFDD">
      <w:pPr>
        <w:adjustRightInd w:val="0"/>
        <w:snapToGrid w:val="0"/>
        <w:spacing w:before="120" w:beforeLines="50" w:line="300"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szCs w:val="21"/>
          <w:vertAlign w:val="superscript"/>
          <w:lang w:eastAsia="zh-CN"/>
        </w:rPr>
        <w:t>B</w:t>
      </w:r>
      <w:r>
        <w:rPr>
          <w:rFonts w:ascii="Times New Roman" w:hAnsi="Times New Roman" w:eastAsia="宋体" w:cs="宋体"/>
          <w:sz w:val="21"/>
          <w:szCs w:val="21"/>
          <w:lang w:eastAsia="zh-CN"/>
        </w:rPr>
        <w:t xml:space="preserve"> 理论患者数减去死亡人数、取出未更换人数、取出并更换不同制造商器械人数。</w:t>
      </w:r>
    </w:p>
    <w:p w14:paraId="340FB1C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923053D">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2F8CE3F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本机构还建议包括以下原因：</w:t>
      </w:r>
    </w:p>
    <w:p w14:paraId="4B12E076">
      <w:pPr>
        <w:pStyle w:val="16"/>
        <w:numPr>
          <w:ilvl w:val="0"/>
          <w:numId w:val="3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失访患者，以及为尽量减少将来此类事件的发生而采取的任何措施</w:t>
      </w:r>
    </w:p>
    <w:p w14:paraId="2E39E543">
      <w:pPr>
        <w:pStyle w:val="16"/>
        <w:numPr>
          <w:ilvl w:val="0"/>
          <w:numId w:val="3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患者和医生发起的停用器械</w:t>
      </w:r>
    </w:p>
    <w:p w14:paraId="7E1CFF5F">
      <w:pPr>
        <w:pStyle w:val="16"/>
        <w:numPr>
          <w:ilvl w:val="0"/>
          <w:numId w:val="3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任何死亡，包括尸检报告。</w:t>
      </w:r>
    </w:p>
    <w:p w14:paraId="397DDD0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为了限制安全性和有效性数据中的潜在偏差，本机构建议在每个时间点提供至少80%随访。</w:t>
      </w:r>
    </w:p>
    <w:p w14:paraId="2C94C5E2">
      <w:pPr>
        <w:pStyle w:val="23"/>
        <w:rPr>
          <w:szCs w:val="24"/>
        </w:rPr>
      </w:pPr>
      <w:bookmarkStart w:id="37" w:name="_Toc95489780"/>
      <w:r>
        <w:t>C.</w:t>
      </w:r>
      <w:r>
        <w:tab/>
      </w:r>
      <w:r>
        <w:t>人口统计学和基线特征</w:t>
      </w:r>
      <w:bookmarkEnd w:id="37"/>
    </w:p>
    <w:p w14:paraId="62784A5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本机构建议提供以下有关每个分组的人口统计学和基线特征的信息。</w:t>
      </w:r>
    </w:p>
    <w:p w14:paraId="3BC9B4C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b/>
          <w:i/>
          <w:sz w:val="24"/>
          <w:lang w:eastAsia="zh-CN"/>
        </w:rPr>
        <w:t>患者人口统计学</w:t>
      </w:r>
      <w:r>
        <w:rPr>
          <w:rFonts w:ascii="Times New Roman" w:hAnsi="Times New Roman" w:eastAsia="宋体" w:cs="宋体"/>
          <w:sz w:val="24"/>
          <w:lang w:eastAsia="zh-CN"/>
        </w:rPr>
        <w:t>（按患者划分）</w:t>
      </w:r>
    </w:p>
    <w:p w14:paraId="44289B05">
      <w:pPr>
        <w:pStyle w:val="16"/>
        <w:numPr>
          <w:ilvl w:val="0"/>
          <w:numId w:val="3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患者年龄、身高、体重和种族</w:t>
      </w:r>
    </w:p>
    <w:p w14:paraId="64CFE428">
      <w:pPr>
        <w:pStyle w:val="16"/>
        <w:numPr>
          <w:ilvl w:val="0"/>
          <w:numId w:val="3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月经状况（即末次经期（LMP））</w:t>
      </w:r>
    </w:p>
    <w:p w14:paraId="1670CE7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b/>
          <w:i/>
          <w:sz w:val="24"/>
          <w:lang w:eastAsia="zh-CN"/>
        </w:rPr>
        <w:t>患者基线特征</w:t>
      </w:r>
      <w:r>
        <w:rPr>
          <w:rFonts w:ascii="Times New Roman" w:hAnsi="Times New Roman" w:eastAsia="宋体" w:cs="宋体"/>
          <w:sz w:val="24"/>
          <w:lang w:eastAsia="zh-CN"/>
        </w:rPr>
        <w:t>（按患者划分）</w:t>
      </w:r>
    </w:p>
    <w:p w14:paraId="00AD6F58">
      <w:pPr>
        <w:pStyle w:val="16"/>
        <w:numPr>
          <w:ilvl w:val="0"/>
          <w:numId w:val="3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适用范围（即隆乳、再造、修复型隆乳或修复型再造）</w:t>
      </w:r>
    </w:p>
    <w:p w14:paraId="18953AB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b/>
          <w:i/>
          <w:sz w:val="24"/>
          <w:lang w:eastAsia="zh-CN"/>
        </w:rPr>
        <w:t>器械基线特征</w:t>
      </w:r>
      <w:r>
        <w:rPr>
          <w:rFonts w:ascii="Times New Roman" w:hAnsi="Times New Roman" w:eastAsia="宋体" w:cs="宋体"/>
          <w:sz w:val="24"/>
          <w:lang w:eastAsia="zh-CN"/>
        </w:rPr>
        <w:t>（按器械划分）</w:t>
      </w:r>
    </w:p>
    <w:p w14:paraId="2FFA5DB8">
      <w:pPr>
        <w:pStyle w:val="16"/>
        <w:numPr>
          <w:ilvl w:val="0"/>
          <w:numId w:val="3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器械表面类型（例如，光滑、</w:t>
      </w:r>
      <w:r>
        <w:rPr>
          <w:rFonts w:hint="eastAsia" w:ascii="Times New Roman" w:hAnsi="Times New Roman" w:eastAsia="宋体" w:cs="宋体"/>
          <w:sz w:val="24"/>
          <w:lang w:eastAsia="zh-CN"/>
        </w:rPr>
        <w:t>有纹理</w:t>
      </w:r>
      <w:r>
        <w:rPr>
          <w:rFonts w:ascii="Times New Roman" w:hAnsi="Times New Roman" w:eastAsia="宋体" w:cs="宋体"/>
          <w:sz w:val="24"/>
          <w:lang w:eastAsia="zh-CN"/>
        </w:rPr>
        <w:t>）</w:t>
      </w:r>
    </w:p>
    <w:p w14:paraId="32EA15A7">
      <w:pPr>
        <w:pStyle w:val="16"/>
        <w:numPr>
          <w:ilvl w:val="0"/>
          <w:numId w:val="3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器械类型（即单腔或多腔）</w:t>
      </w:r>
    </w:p>
    <w:p w14:paraId="594D7388">
      <w:pPr>
        <w:pStyle w:val="16"/>
        <w:numPr>
          <w:ilvl w:val="0"/>
          <w:numId w:val="34"/>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器械样式和尺寸</w:t>
      </w:r>
    </w:p>
    <w:p w14:paraId="0B561205">
      <w:pPr>
        <w:pStyle w:val="16"/>
        <w:numPr>
          <w:ilvl w:val="0"/>
          <w:numId w:val="3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瓣膜类型（例如，瓣叶、隔膜），如适用</w:t>
      </w:r>
    </w:p>
    <w:p w14:paraId="7FFE114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b/>
          <w:i/>
          <w:sz w:val="24"/>
          <w:lang w:eastAsia="zh-CN"/>
        </w:rPr>
        <w:t>手术基线特征</w:t>
      </w:r>
      <w:r>
        <w:rPr>
          <w:rFonts w:ascii="Times New Roman" w:hAnsi="Times New Roman" w:eastAsia="宋体" w:cs="宋体"/>
          <w:sz w:val="24"/>
          <w:lang w:eastAsia="zh-CN"/>
        </w:rPr>
        <w:t>（按器械划分）</w:t>
      </w:r>
    </w:p>
    <w:p w14:paraId="50EA7563">
      <w:pPr>
        <w:pStyle w:val="16"/>
        <w:numPr>
          <w:ilvl w:val="0"/>
          <w:numId w:val="3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手术切口部位（如乳晕周围、乳房下皱褶、腋下）</w:t>
      </w:r>
    </w:p>
    <w:p w14:paraId="4DA63CA4">
      <w:pPr>
        <w:pStyle w:val="16"/>
        <w:numPr>
          <w:ilvl w:val="0"/>
          <w:numId w:val="35"/>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切口尺寸</w:t>
      </w:r>
    </w:p>
    <w:p w14:paraId="7D714C12">
      <w:pPr>
        <w:pStyle w:val="16"/>
        <w:numPr>
          <w:ilvl w:val="0"/>
          <w:numId w:val="3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器械的位置（例如，肌肉内、腺体下）</w:t>
      </w:r>
    </w:p>
    <w:p w14:paraId="7E804F56">
      <w:pPr>
        <w:pStyle w:val="16"/>
        <w:numPr>
          <w:ilvl w:val="0"/>
          <w:numId w:val="3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再造时间（即立即或延迟）</w:t>
      </w:r>
    </w:p>
    <w:p w14:paraId="1B709FBD">
      <w:pPr>
        <w:pStyle w:val="16"/>
        <w:numPr>
          <w:ilvl w:val="0"/>
          <w:numId w:val="3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lang w:eastAsia="zh-CN"/>
        </w:rPr>
        <w:t>外科冲洗器</w:t>
      </w:r>
      <w:r>
        <w:rPr>
          <w:rFonts w:ascii="Times New Roman" w:hAnsi="Times New Roman" w:eastAsia="宋体" w:cs="宋体"/>
          <w:sz w:val="24"/>
          <w:lang w:eastAsia="zh-CN"/>
        </w:rPr>
        <w:t>的使用和类型</w:t>
      </w:r>
    </w:p>
    <w:p w14:paraId="4AACD520">
      <w:pPr>
        <w:pStyle w:val="16"/>
        <w:numPr>
          <w:ilvl w:val="0"/>
          <w:numId w:val="3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lang w:eastAsia="zh-CN"/>
        </w:rPr>
        <w:t>腔内药剂</w:t>
      </w:r>
      <w:r>
        <w:rPr>
          <w:rFonts w:ascii="Times New Roman" w:hAnsi="Times New Roman" w:eastAsia="宋体" w:cs="宋体"/>
          <w:sz w:val="24"/>
          <w:lang w:eastAsia="zh-CN"/>
        </w:rPr>
        <w:t>的使用和类型，如适用。</w:t>
      </w:r>
    </w:p>
    <w:p w14:paraId="637900B1">
      <w:pPr>
        <w:rPr>
          <w:rFonts w:ascii="Times New Roman" w:hAnsi="Times New Roman" w:eastAsia="宋体" w:cs="Times New Roman"/>
          <w:b/>
          <w:bCs/>
          <w:snapToGrid w:val="0"/>
          <w:sz w:val="24"/>
          <w:szCs w:val="24"/>
          <w:lang w:eastAsia="zh-CN"/>
        </w:rPr>
      </w:pPr>
      <w:r>
        <w:rPr>
          <w:rFonts w:ascii="Times New Roman" w:hAnsi="Times New Roman" w:eastAsia="宋体" w:cs="宋体"/>
          <w:sz w:val="24"/>
          <w:lang w:eastAsia="zh-CN"/>
        </w:rPr>
        <w:br w:type="page"/>
      </w:r>
    </w:p>
    <w:p w14:paraId="341C7EDD">
      <w:pPr>
        <w:pStyle w:val="23"/>
        <w:rPr>
          <w:szCs w:val="24"/>
        </w:rPr>
      </w:pPr>
      <w:bookmarkStart w:id="38" w:name="_Toc95489781"/>
      <w:r>
        <w:t>D.</w:t>
      </w:r>
      <w:r>
        <w:tab/>
      </w:r>
      <w:r>
        <w:t>安全性评估 - 并发症</w:t>
      </w:r>
      <w:bookmarkEnd w:id="38"/>
    </w:p>
    <w:p w14:paraId="443BA1BA">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并发症</w:t>
      </w:r>
    </w:p>
    <w:p w14:paraId="3EB8345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以下所述信息对于确定乳房植入体的安全性至关重要。</w:t>
      </w:r>
      <w:r>
        <w:rPr>
          <w:rFonts w:ascii="Times New Roman" w:hAnsi="Times New Roman" w:eastAsia="宋体" w:cs="宋体"/>
          <w:sz w:val="24"/>
          <w:vertAlign w:val="superscript"/>
          <w:lang w:eastAsia="zh-CN"/>
        </w:rPr>
        <w:t>15</w:t>
      </w:r>
      <w:r>
        <w:rPr>
          <w:rFonts w:ascii="Times New Roman" w:hAnsi="Times New Roman" w:eastAsia="宋体" w:cs="宋体"/>
          <w:sz w:val="24"/>
          <w:lang w:eastAsia="zh-CN"/>
        </w:rPr>
        <w:t>无论并发症是否与器械有关，本机构均建议提供以下内容：</w:t>
      </w:r>
    </w:p>
    <w:p w14:paraId="3BBBAF70">
      <w:pPr>
        <w:pStyle w:val="16"/>
        <w:numPr>
          <w:ilvl w:val="0"/>
          <w:numId w:val="3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所有并发症的发生率、时间和解决情况，比如破裂、</w:t>
      </w:r>
      <w:r>
        <w:rPr>
          <w:rFonts w:hint="eastAsia" w:ascii="Times New Roman" w:hAnsi="Times New Roman" w:eastAsia="宋体" w:cs="宋体"/>
          <w:sz w:val="24"/>
          <w:lang w:eastAsia="zh-CN"/>
        </w:rPr>
        <w:t>乳腺包膜挛缩（包括</w:t>
      </w:r>
      <w:r>
        <w:rPr>
          <w:rFonts w:ascii="Times New Roman" w:hAnsi="Times New Roman" w:eastAsia="宋体" w:cs="宋体"/>
          <w:sz w:val="24"/>
          <w:lang w:eastAsia="zh-CN"/>
        </w:rPr>
        <w:t>Baker</w:t>
      </w:r>
      <w:r>
        <w:rPr>
          <w:rFonts w:hint="eastAsia" w:ascii="Times New Roman" w:hAnsi="Times New Roman" w:eastAsia="宋体" w:cs="宋体"/>
          <w:sz w:val="24"/>
          <w:lang w:eastAsia="zh-CN"/>
        </w:rPr>
        <w:t>分级）、</w:t>
      </w:r>
      <w:r>
        <w:rPr>
          <w:rFonts w:ascii="Times New Roman" w:hAnsi="Times New Roman" w:eastAsia="宋体" w:cs="宋体"/>
          <w:sz w:val="24"/>
          <w:lang w:eastAsia="zh-CN"/>
        </w:rPr>
        <w:t>感染、钙化、位置不当、挤压、皮肤侵蚀、坏死、淋巴腺病、伤口延迟愈合、乳房/胸部/腋下肿块形成、血肿、血清肿、疼痛、起皱、不对称、疤痕形成、器械的可触性/可视性、人为损伤等。</w:t>
      </w:r>
    </w:p>
    <w:p w14:paraId="2A463561">
      <w:pPr>
        <w:pStyle w:val="16"/>
        <w:numPr>
          <w:ilvl w:val="0"/>
          <w:numId w:val="3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乳头或乳房感觉改变的发生率、时间和严重度</w:t>
      </w:r>
    </w:p>
    <w:p w14:paraId="627A8DF9">
      <w:pPr>
        <w:pStyle w:val="16"/>
        <w:numPr>
          <w:ilvl w:val="0"/>
          <w:numId w:val="3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泌乳干扰和/或困难的发生率、时间和严重度，以及尝试泌乳但不成功的频率</w:t>
      </w:r>
    </w:p>
    <w:p w14:paraId="12A56B17">
      <w:pPr>
        <w:pStyle w:val="16"/>
        <w:numPr>
          <w:ilvl w:val="0"/>
          <w:numId w:val="3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怀孕困难的发生率、时间和性质</w:t>
      </w:r>
    </w:p>
    <w:p w14:paraId="6F0A1ED4">
      <w:pPr>
        <w:pStyle w:val="16"/>
        <w:numPr>
          <w:ilvl w:val="0"/>
          <w:numId w:val="3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患者死亡的发生率、时间和原因（死亡原因应从尸检中获取）</w:t>
      </w:r>
    </w:p>
    <w:p w14:paraId="724DA42C">
      <w:pPr>
        <w:pStyle w:val="16"/>
        <w:numPr>
          <w:ilvl w:val="0"/>
          <w:numId w:val="3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植入后新乳腺癌诊断的发生率、时间和类型，包括任何乳腺X射线摄影困难/器械引起的干扰</w:t>
      </w:r>
    </w:p>
    <w:p w14:paraId="27A02140">
      <w:pPr>
        <w:pStyle w:val="16"/>
        <w:numPr>
          <w:ilvl w:val="0"/>
          <w:numId w:val="3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新结缔组织疾病（CTD）诊断、体征和症状的发生率、时间和程度。</w:t>
      </w:r>
    </w:p>
    <w:p w14:paraId="45285211">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并发症的累计发生率</w:t>
      </w:r>
    </w:p>
    <w:p w14:paraId="36E12A6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本机构建议在每个时间点提供每个</w:t>
      </w:r>
      <w:r>
        <w:rPr>
          <w:rFonts w:hint="eastAsia" w:ascii="Times New Roman" w:hAnsi="Times New Roman" w:eastAsia="宋体" w:cs="宋体"/>
          <w:sz w:val="24"/>
          <w:lang w:eastAsia="zh-CN"/>
        </w:rPr>
        <w:t>分组</w:t>
      </w:r>
      <w:r>
        <w:rPr>
          <w:rFonts w:ascii="Times New Roman" w:hAnsi="Times New Roman" w:eastAsia="宋体" w:cs="宋体"/>
          <w:sz w:val="24"/>
          <w:lang w:eastAsia="zh-CN"/>
        </w:rPr>
        <w:t>中每名患者和每个器械的每个并发症的累计发生率。该数据集应包括再次手术和取出并更换或取出但不更换的情况。</w:t>
      </w:r>
    </w:p>
    <w:p w14:paraId="772444D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应提供所</w:t>
      </w:r>
      <w:r>
        <w:rPr>
          <w:rFonts w:hint="eastAsia" w:ascii="Times New Roman" w:hAnsi="Times New Roman" w:eastAsia="宋体" w:cs="宋体"/>
          <w:sz w:val="24"/>
          <w:lang w:eastAsia="zh-CN"/>
        </w:rPr>
        <w:t>使用的</w:t>
      </w:r>
      <w:r>
        <w:rPr>
          <w:rFonts w:ascii="Times New Roman" w:hAnsi="Times New Roman" w:eastAsia="宋体" w:cs="宋体"/>
          <w:sz w:val="24"/>
          <w:lang w:eastAsia="zh-CN"/>
        </w:rPr>
        <w:t>分子和分母，并描述这些数值如何获得。分母应该是该时间点的患者或器械数量。</w:t>
      </w:r>
    </w:p>
    <w:p w14:paraId="45712E37">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如果同一患者或乳房的同一并发症报告一次以上，如果同一并发症在整个随访期间未痊愈，则应在分子中计算一次。如果某位患者或乳房出现并发症并痊愈，然后在后续时间点在同一患者或乳房中再次出现该并发症，则应在分子中计算两次。</w:t>
      </w:r>
    </w:p>
    <w:p w14:paraId="2206CC9F">
      <w:pPr>
        <w:adjustRightInd w:val="0"/>
        <w:snapToGrid w:val="0"/>
        <w:spacing w:before="120" w:beforeLines="50" w:line="300" w:lineRule="auto"/>
        <w:jc w:val="both"/>
        <w:rPr>
          <w:rFonts w:ascii="Times New Roman" w:hAnsi="Times New Roman" w:eastAsia="宋体" w:cs="宋体"/>
          <w:sz w:val="24"/>
          <w:lang w:eastAsia="zh-CN"/>
        </w:rPr>
      </w:pPr>
    </w:p>
    <w:p w14:paraId="79E4C507">
      <w:pPr>
        <w:adjustRightInd w:val="0"/>
        <w:snapToGrid w:val="0"/>
        <w:spacing w:before="120" w:beforeLines="50" w:line="300" w:lineRule="auto"/>
        <w:jc w:val="both"/>
        <w:rPr>
          <w:rFonts w:ascii="Times New Roman" w:hAnsi="Times New Roman" w:eastAsia="宋体" w:cs="宋体"/>
          <w:sz w:val="24"/>
          <w:lang w:eastAsia="zh-CN"/>
        </w:rPr>
      </w:pPr>
    </w:p>
    <w:p w14:paraId="5867928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86C4D8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w:t>
      </w:r>
    </w:p>
    <w:p w14:paraId="0DE73F1D">
      <w:pPr>
        <w:pStyle w:val="26"/>
        <w:rPr>
          <w:rFonts w:eastAsia="宋体"/>
          <w:lang w:eastAsia="zh-CN"/>
        </w:rPr>
      </w:pPr>
      <w:r>
        <w:rPr>
          <w:rFonts w:eastAsia="宋体" w:cs="宋体"/>
          <w:vertAlign w:val="superscript"/>
        </w:rPr>
        <w:t>15</w:t>
      </w:r>
      <w:r>
        <w:rPr>
          <w:rFonts w:eastAsia="宋体" w:cs="宋体"/>
        </w:rPr>
        <w:t xml:space="preserve"> Safety of Silicone Breast Implants.Institute of Medicine National Academy Press, Washington, D.C.2000. [IOM Report] Safety of Silicone Breast Implants.</w:t>
      </w:r>
    </w:p>
    <w:p w14:paraId="7B6CF3CE">
      <w:pPr>
        <w:rPr>
          <w:rFonts w:ascii="Times New Roman" w:hAnsi="Times New Roman" w:eastAsia="宋体" w:cs="Times New Roman"/>
          <w:snapToGrid w:val="0"/>
          <w:sz w:val="24"/>
          <w:szCs w:val="24"/>
          <w:lang w:eastAsia="zh-CN"/>
        </w:rPr>
      </w:pPr>
      <w:r>
        <w:rPr>
          <w:rFonts w:ascii="Times New Roman" w:hAnsi="Times New Roman" w:eastAsia="宋体" w:cs="宋体"/>
          <w:sz w:val="24"/>
        </w:rPr>
        <w:br w:type="page"/>
      </w:r>
    </w:p>
    <w:p w14:paraId="1DD20F7D">
      <w:pPr>
        <w:adjustRightInd w:val="0"/>
        <w:snapToGrid w:val="0"/>
        <w:spacing w:before="120" w:beforeLines="50" w:line="300" w:lineRule="auto"/>
        <w:jc w:val="both"/>
        <w:rPr>
          <w:rFonts w:ascii="Times New Roman" w:hAnsi="Times New Roman" w:eastAsia="宋体" w:cs="Times New Roman"/>
          <w:snapToGrid w:val="0"/>
          <w:sz w:val="24"/>
          <w:szCs w:val="24"/>
        </w:rPr>
      </w:pPr>
      <w:r>
        <w:rPr>
          <w:rFonts w:ascii="Times New Roman" w:hAnsi="Times New Roman" w:eastAsia="宋体" w:cs="宋体"/>
          <w:sz w:val="24"/>
        </w:rPr>
        <w:t>如果同一患者或乳房累计发生一种以上的不同并发症或新并发症，则每次均应计入分子，并在总体（整体）数据报告中每名患者和每个器械的分母中计算一次。</w:t>
      </w:r>
    </w:p>
    <w:p w14:paraId="1EA8E66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每个</w:t>
      </w:r>
      <w:r>
        <w:rPr>
          <w:rFonts w:hint="eastAsia" w:ascii="Times New Roman" w:hAnsi="Times New Roman" w:eastAsia="宋体" w:cs="宋体"/>
          <w:sz w:val="24"/>
          <w:lang w:eastAsia="zh-CN"/>
        </w:rPr>
        <w:t>乳腺包膜挛缩</w:t>
      </w:r>
      <w:r>
        <w:rPr>
          <w:rFonts w:ascii="Times New Roman" w:hAnsi="Times New Roman" w:eastAsia="宋体" w:cs="宋体"/>
          <w:sz w:val="24"/>
          <w:lang w:eastAsia="zh-CN"/>
        </w:rPr>
        <w:t>等级应被视为一种新并发症或不同并发症，新（植入后）乳腺癌诊断应被视为一种新并发症。</w:t>
      </w:r>
    </w:p>
    <w:p w14:paraId="509B0B60">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并发症的Kaplan-Meier分析</w:t>
      </w:r>
    </w:p>
    <w:p w14:paraId="6710508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本机构建议提供每名患者和每个器械的每个并发症的Kaplan-Meier分析（即1减去无并发症生存率），无论并发症是否与器械有关。Kaplan-Meier分析应包括再次手术和取出并更换或取出但不更换的情况。对于乳腺</w:t>
      </w:r>
      <w:r>
        <w:rPr>
          <w:rFonts w:hint="eastAsia" w:ascii="Times New Roman" w:hAnsi="Times New Roman" w:eastAsia="宋体" w:cs="宋体"/>
          <w:sz w:val="24"/>
          <w:lang w:eastAsia="zh-CN"/>
        </w:rPr>
        <w:t>包膜挛缩</w:t>
      </w:r>
      <w:r>
        <w:rPr>
          <w:rFonts w:ascii="Times New Roman" w:hAnsi="Times New Roman" w:eastAsia="宋体" w:cs="宋体"/>
          <w:sz w:val="24"/>
          <w:lang w:eastAsia="zh-CN"/>
        </w:rPr>
        <w:t>，应分别介绍乳腺</w:t>
      </w:r>
      <w:r>
        <w:rPr>
          <w:rFonts w:hint="eastAsia" w:ascii="Times New Roman" w:hAnsi="Times New Roman" w:eastAsia="宋体" w:cs="宋体"/>
          <w:sz w:val="24"/>
          <w:lang w:eastAsia="zh-CN"/>
        </w:rPr>
        <w:t>包膜挛缩</w:t>
      </w:r>
      <w:r>
        <w:rPr>
          <w:rFonts w:ascii="Times New Roman" w:hAnsi="Times New Roman" w:eastAsia="宋体" w:cs="宋体"/>
          <w:sz w:val="24"/>
          <w:lang w:eastAsia="zh-CN"/>
        </w:rPr>
        <w:t>II、III和IV级，以及同时介绍乳腺</w:t>
      </w:r>
      <w:r>
        <w:rPr>
          <w:rFonts w:hint="eastAsia" w:ascii="Times New Roman" w:hAnsi="Times New Roman" w:eastAsia="宋体" w:cs="宋体"/>
          <w:sz w:val="24"/>
          <w:lang w:eastAsia="zh-CN"/>
        </w:rPr>
        <w:t>包膜挛缩</w:t>
      </w:r>
      <w:r>
        <w:rPr>
          <w:rFonts w:ascii="Times New Roman" w:hAnsi="Times New Roman" w:eastAsia="宋体" w:cs="宋体"/>
          <w:sz w:val="24"/>
          <w:lang w:eastAsia="zh-CN"/>
        </w:rPr>
        <w:t>III和IV级。对于硅凝胶填充型乳房植入体的破裂，详见下文第VIII.E节。</w:t>
      </w:r>
    </w:p>
    <w:p w14:paraId="77EEC93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为了避免竞争性风险问题，仍应将出现一种并发症的患者视为可能会出现任何其他潜在并发症。</w:t>
      </w:r>
    </w:p>
    <w:p w14:paraId="1EA9882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b/>
          <w:i/>
          <w:sz w:val="24"/>
          <w:lang w:eastAsia="zh-CN"/>
        </w:rPr>
        <w:t xml:space="preserve">再次手术、其他手术程序、患者和植入体总结表 </w:t>
      </w:r>
      <w:r>
        <w:rPr>
          <w:rFonts w:ascii="Times New Roman" w:hAnsi="Times New Roman" w:eastAsia="宋体" w:cs="宋体"/>
          <w:sz w:val="24"/>
          <w:lang w:eastAsia="zh-CN"/>
        </w:rPr>
        <w:t>本机构建议提供一份表格，总结核心研究中每种适应症的再次手术数量和相应的其他手术程序、患者和植入体数量。参见以下表格样本。</w:t>
      </w:r>
    </w:p>
    <w:tbl>
      <w:tblPr>
        <w:tblStyle w:val="15"/>
        <w:tblW w:w="5000" w:type="pct"/>
        <w:tblInd w:w="0" w:type="dxa"/>
        <w:tblLayout w:type="autofit"/>
        <w:tblCellMar>
          <w:top w:w="0" w:type="dxa"/>
          <w:left w:w="108" w:type="dxa"/>
          <w:bottom w:w="0" w:type="dxa"/>
          <w:right w:w="108" w:type="dxa"/>
        </w:tblCellMar>
      </w:tblPr>
      <w:tblGrid>
        <w:gridCol w:w="2788"/>
        <w:gridCol w:w="1692"/>
        <w:gridCol w:w="2366"/>
        <w:gridCol w:w="1176"/>
        <w:gridCol w:w="1265"/>
      </w:tblGrid>
      <w:tr w14:paraId="4DF2B34E">
        <w:tblPrEx>
          <w:tblCellMar>
            <w:top w:w="0" w:type="dxa"/>
            <w:left w:w="108" w:type="dxa"/>
            <w:bottom w:w="0" w:type="dxa"/>
            <w:right w:w="108" w:type="dxa"/>
          </w:tblCellMar>
        </w:tblPrEx>
        <w:tc>
          <w:tcPr>
            <w:tcW w:w="1501" w:type="pct"/>
            <w:vMerge w:val="restart"/>
            <w:tcBorders>
              <w:top w:val="single" w:color="000000" w:sz="8" w:space="0"/>
              <w:left w:val="single" w:color="000000" w:sz="8" w:space="0"/>
              <w:right w:val="single" w:color="000000" w:sz="8" w:space="0"/>
            </w:tcBorders>
            <w:shd w:val="clear" w:color="auto" w:fill="CDCDCD"/>
          </w:tcPr>
          <w:p w14:paraId="68D9769E">
            <w:pPr>
              <w:pStyle w:val="17"/>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b/>
                <w:sz w:val="21"/>
                <w:szCs w:val="21"/>
              </w:rPr>
              <w:t>适应症</w:t>
            </w:r>
          </w:p>
        </w:tc>
        <w:tc>
          <w:tcPr>
            <w:tcW w:w="3499" w:type="pct"/>
            <w:gridSpan w:val="4"/>
            <w:tcBorders>
              <w:top w:val="single" w:color="000000" w:sz="8" w:space="0"/>
              <w:left w:val="single" w:color="000000" w:sz="8" w:space="0"/>
              <w:bottom w:val="single" w:color="000000" w:sz="8" w:space="0"/>
              <w:right w:val="single" w:color="000000" w:sz="8" w:space="0"/>
            </w:tcBorders>
            <w:shd w:val="clear" w:color="auto" w:fill="CDCDCD"/>
          </w:tcPr>
          <w:p w14:paraId="79A8708C">
            <w:pPr>
              <w:pStyle w:val="17"/>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hint="eastAsia" w:ascii="Times New Roman" w:hAnsi="Times New Roman" w:eastAsia="宋体" w:cs="宋体"/>
                <w:b/>
                <w:sz w:val="21"/>
                <w:szCs w:val="21"/>
                <w:lang w:eastAsia="zh-CN"/>
              </w:rPr>
              <w:t>手术数量</w:t>
            </w:r>
          </w:p>
        </w:tc>
      </w:tr>
      <w:tr w14:paraId="3E2390B5">
        <w:tblPrEx>
          <w:tblCellMar>
            <w:top w:w="0" w:type="dxa"/>
            <w:left w:w="108" w:type="dxa"/>
            <w:bottom w:w="0" w:type="dxa"/>
            <w:right w:w="108" w:type="dxa"/>
          </w:tblCellMar>
        </w:tblPrEx>
        <w:tc>
          <w:tcPr>
            <w:tcW w:w="1501" w:type="pct"/>
            <w:vMerge w:val="continue"/>
            <w:tcBorders>
              <w:left w:val="single" w:color="000000" w:sz="8" w:space="0"/>
              <w:bottom w:val="single" w:color="000000" w:sz="8" w:space="0"/>
              <w:right w:val="single" w:color="000000" w:sz="8" w:space="0"/>
            </w:tcBorders>
            <w:shd w:val="clear" w:color="auto" w:fill="CDCDCD"/>
          </w:tcPr>
          <w:p w14:paraId="72D58855">
            <w:pPr>
              <w:adjustRightInd w:val="0"/>
              <w:snapToGrid w:val="0"/>
              <w:spacing w:before="36" w:beforeLines="15" w:line="276" w:lineRule="auto"/>
              <w:jc w:val="both"/>
              <w:rPr>
                <w:rFonts w:ascii="Times New Roman" w:hAnsi="Times New Roman" w:cs="Times New Roman"/>
                <w:snapToGrid w:val="0"/>
                <w:sz w:val="21"/>
                <w:szCs w:val="21"/>
              </w:rPr>
            </w:pPr>
          </w:p>
        </w:tc>
        <w:tc>
          <w:tcPr>
            <w:tcW w:w="911" w:type="pct"/>
            <w:tcBorders>
              <w:top w:val="single" w:color="000000" w:sz="8" w:space="0"/>
              <w:left w:val="single" w:color="000000" w:sz="8" w:space="0"/>
              <w:bottom w:val="single" w:color="000000" w:sz="8" w:space="0"/>
              <w:right w:val="single" w:color="000000" w:sz="8" w:space="0"/>
            </w:tcBorders>
            <w:shd w:val="clear" w:color="auto" w:fill="CDCDCD"/>
          </w:tcPr>
          <w:p w14:paraId="04DC0C49">
            <w:pPr>
              <w:pStyle w:val="17"/>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b/>
                <w:sz w:val="21"/>
                <w:szCs w:val="21"/>
              </w:rPr>
              <w:t>再次手术</w:t>
            </w:r>
          </w:p>
        </w:tc>
        <w:tc>
          <w:tcPr>
            <w:tcW w:w="1274" w:type="pct"/>
            <w:tcBorders>
              <w:top w:val="single" w:color="000000" w:sz="8" w:space="0"/>
              <w:left w:val="single" w:color="000000" w:sz="8" w:space="0"/>
              <w:bottom w:val="single" w:color="000000" w:sz="8" w:space="0"/>
              <w:right w:val="single" w:color="000000" w:sz="8" w:space="0"/>
            </w:tcBorders>
            <w:shd w:val="clear" w:color="auto" w:fill="CDCDCD"/>
          </w:tcPr>
          <w:p w14:paraId="08CFF31C">
            <w:pPr>
              <w:pStyle w:val="17"/>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b/>
                <w:sz w:val="21"/>
                <w:szCs w:val="21"/>
              </w:rPr>
              <w:t>其他手术程序</w:t>
            </w:r>
          </w:p>
        </w:tc>
        <w:tc>
          <w:tcPr>
            <w:tcW w:w="633" w:type="pct"/>
            <w:tcBorders>
              <w:top w:val="single" w:color="000000" w:sz="8" w:space="0"/>
              <w:left w:val="single" w:color="000000" w:sz="8" w:space="0"/>
              <w:bottom w:val="single" w:color="000000" w:sz="8" w:space="0"/>
              <w:right w:val="single" w:color="000000" w:sz="8" w:space="0"/>
            </w:tcBorders>
            <w:shd w:val="clear" w:color="auto" w:fill="CDCDCD"/>
          </w:tcPr>
          <w:p w14:paraId="2CAE418E">
            <w:pPr>
              <w:pStyle w:val="17"/>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b/>
                <w:sz w:val="21"/>
                <w:szCs w:val="21"/>
              </w:rPr>
              <w:t>患者</w:t>
            </w:r>
          </w:p>
        </w:tc>
        <w:tc>
          <w:tcPr>
            <w:tcW w:w="680" w:type="pct"/>
            <w:tcBorders>
              <w:top w:val="single" w:color="000000" w:sz="8" w:space="0"/>
              <w:left w:val="single" w:color="000000" w:sz="8" w:space="0"/>
              <w:bottom w:val="single" w:color="000000" w:sz="8" w:space="0"/>
              <w:right w:val="single" w:color="000000" w:sz="8" w:space="0"/>
            </w:tcBorders>
            <w:shd w:val="clear" w:color="auto" w:fill="CDCDCD"/>
          </w:tcPr>
          <w:p w14:paraId="3415A9E5">
            <w:pPr>
              <w:pStyle w:val="17"/>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b/>
                <w:sz w:val="21"/>
                <w:szCs w:val="21"/>
              </w:rPr>
              <w:t>植入物</w:t>
            </w:r>
          </w:p>
        </w:tc>
      </w:tr>
      <w:tr w14:paraId="30CDFAD3">
        <w:tblPrEx>
          <w:tblCellMar>
            <w:top w:w="0" w:type="dxa"/>
            <w:left w:w="108" w:type="dxa"/>
            <w:bottom w:w="0" w:type="dxa"/>
            <w:right w:w="108" w:type="dxa"/>
          </w:tblCellMar>
        </w:tblPrEx>
        <w:tc>
          <w:tcPr>
            <w:tcW w:w="1501" w:type="pct"/>
            <w:tcBorders>
              <w:top w:val="single" w:color="000000" w:sz="8" w:space="0"/>
              <w:left w:val="single" w:color="000000" w:sz="8" w:space="0"/>
              <w:bottom w:val="single" w:color="000000" w:sz="8" w:space="0"/>
              <w:right w:val="single" w:color="000000" w:sz="8" w:space="0"/>
            </w:tcBorders>
          </w:tcPr>
          <w:p w14:paraId="75733369">
            <w:pPr>
              <w:pStyle w:val="17"/>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szCs w:val="21"/>
              </w:rPr>
              <w:t>隆乳</w:t>
            </w:r>
          </w:p>
        </w:tc>
        <w:tc>
          <w:tcPr>
            <w:tcW w:w="911" w:type="pct"/>
            <w:tcBorders>
              <w:top w:val="single" w:color="000000" w:sz="8" w:space="0"/>
              <w:left w:val="single" w:color="000000" w:sz="8" w:space="0"/>
              <w:bottom w:val="single" w:color="000000" w:sz="8" w:space="0"/>
              <w:right w:val="single" w:color="000000" w:sz="8" w:space="0"/>
            </w:tcBorders>
          </w:tcPr>
          <w:p w14:paraId="5F88442B">
            <w:pPr>
              <w:adjustRightInd w:val="0"/>
              <w:snapToGrid w:val="0"/>
              <w:spacing w:before="36" w:beforeLines="15" w:line="276" w:lineRule="auto"/>
              <w:jc w:val="both"/>
              <w:rPr>
                <w:rFonts w:ascii="Times New Roman" w:hAnsi="Times New Roman" w:cs="Times New Roman"/>
                <w:snapToGrid w:val="0"/>
                <w:sz w:val="21"/>
                <w:szCs w:val="21"/>
              </w:rPr>
            </w:pPr>
          </w:p>
        </w:tc>
        <w:tc>
          <w:tcPr>
            <w:tcW w:w="1274" w:type="pct"/>
            <w:tcBorders>
              <w:top w:val="single" w:color="000000" w:sz="8" w:space="0"/>
              <w:left w:val="single" w:color="000000" w:sz="8" w:space="0"/>
              <w:bottom w:val="single" w:color="000000" w:sz="8" w:space="0"/>
              <w:right w:val="single" w:color="000000" w:sz="8" w:space="0"/>
            </w:tcBorders>
          </w:tcPr>
          <w:p w14:paraId="09AC1DBC">
            <w:pPr>
              <w:adjustRightInd w:val="0"/>
              <w:snapToGrid w:val="0"/>
              <w:spacing w:before="36" w:beforeLines="15" w:line="276" w:lineRule="auto"/>
              <w:jc w:val="both"/>
              <w:rPr>
                <w:rFonts w:ascii="Times New Roman" w:hAnsi="Times New Roman" w:cs="Times New Roman"/>
                <w:snapToGrid w:val="0"/>
                <w:sz w:val="21"/>
                <w:szCs w:val="21"/>
              </w:rPr>
            </w:pPr>
          </w:p>
        </w:tc>
        <w:tc>
          <w:tcPr>
            <w:tcW w:w="633" w:type="pct"/>
            <w:tcBorders>
              <w:top w:val="single" w:color="000000" w:sz="8" w:space="0"/>
              <w:left w:val="single" w:color="000000" w:sz="8" w:space="0"/>
              <w:bottom w:val="single" w:color="000000" w:sz="8" w:space="0"/>
              <w:right w:val="single" w:color="000000" w:sz="8" w:space="0"/>
            </w:tcBorders>
          </w:tcPr>
          <w:p w14:paraId="2AFD6F4B">
            <w:pPr>
              <w:adjustRightInd w:val="0"/>
              <w:snapToGrid w:val="0"/>
              <w:spacing w:before="36" w:beforeLines="15" w:line="276" w:lineRule="auto"/>
              <w:jc w:val="both"/>
              <w:rPr>
                <w:rFonts w:ascii="Times New Roman" w:hAnsi="Times New Roman" w:cs="Times New Roman"/>
                <w:snapToGrid w:val="0"/>
                <w:sz w:val="21"/>
                <w:szCs w:val="21"/>
              </w:rPr>
            </w:pPr>
          </w:p>
        </w:tc>
        <w:tc>
          <w:tcPr>
            <w:tcW w:w="680" w:type="pct"/>
            <w:tcBorders>
              <w:top w:val="single" w:color="000000" w:sz="8" w:space="0"/>
              <w:left w:val="single" w:color="000000" w:sz="8" w:space="0"/>
              <w:bottom w:val="single" w:color="000000" w:sz="8" w:space="0"/>
              <w:right w:val="single" w:color="000000" w:sz="8" w:space="0"/>
            </w:tcBorders>
          </w:tcPr>
          <w:p w14:paraId="57A35A59">
            <w:pPr>
              <w:adjustRightInd w:val="0"/>
              <w:snapToGrid w:val="0"/>
              <w:spacing w:before="36" w:beforeLines="15" w:line="276" w:lineRule="auto"/>
              <w:jc w:val="both"/>
              <w:rPr>
                <w:rFonts w:ascii="Times New Roman" w:hAnsi="Times New Roman" w:cs="Times New Roman"/>
                <w:snapToGrid w:val="0"/>
                <w:sz w:val="21"/>
                <w:szCs w:val="21"/>
              </w:rPr>
            </w:pPr>
          </w:p>
        </w:tc>
      </w:tr>
      <w:tr w14:paraId="647F3B3F">
        <w:tblPrEx>
          <w:tblCellMar>
            <w:top w:w="0" w:type="dxa"/>
            <w:left w:w="108" w:type="dxa"/>
            <w:bottom w:w="0" w:type="dxa"/>
            <w:right w:w="108" w:type="dxa"/>
          </w:tblCellMar>
        </w:tblPrEx>
        <w:tc>
          <w:tcPr>
            <w:tcW w:w="1501" w:type="pct"/>
            <w:tcBorders>
              <w:top w:val="single" w:color="000000" w:sz="8" w:space="0"/>
              <w:left w:val="single" w:color="000000" w:sz="8" w:space="0"/>
              <w:bottom w:val="single" w:color="000000" w:sz="8" w:space="0"/>
              <w:right w:val="single" w:color="000000" w:sz="8" w:space="0"/>
            </w:tcBorders>
          </w:tcPr>
          <w:p w14:paraId="691C391B">
            <w:pPr>
              <w:pStyle w:val="17"/>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szCs w:val="21"/>
              </w:rPr>
              <w:t>重建</w:t>
            </w:r>
          </w:p>
        </w:tc>
        <w:tc>
          <w:tcPr>
            <w:tcW w:w="911" w:type="pct"/>
            <w:tcBorders>
              <w:top w:val="single" w:color="000000" w:sz="8" w:space="0"/>
              <w:left w:val="single" w:color="000000" w:sz="8" w:space="0"/>
              <w:bottom w:val="single" w:color="000000" w:sz="8" w:space="0"/>
              <w:right w:val="single" w:color="000000" w:sz="8" w:space="0"/>
            </w:tcBorders>
          </w:tcPr>
          <w:p w14:paraId="7AC7B372">
            <w:pPr>
              <w:adjustRightInd w:val="0"/>
              <w:snapToGrid w:val="0"/>
              <w:spacing w:before="36" w:beforeLines="15" w:line="276" w:lineRule="auto"/>
              <w:jc w:val="both"/>
              <w:rPr>
                <w:rFonts w:ascii="Times New Roman" w:hAnsi="Times New Roman" w:cs="Times New Roman"/>
                <w:snapToGrid w:val="0"/>
                <w:sz w:val="21"/>
                <w:szCs w:val="21"/>
              </w:rPr>
            </w:pPr>
          </w:p>
        </w:tc>
        <w:tc>
          <w:tcPr>
            <w:tcW w:w="1274" w:type="pct"/>
            <w:tcBorders>
              <w:top w:val="single" w:color="000000" w:sz="8" w:space="0"/>
              <w:left w:val="single" w:color="000000" w:sz="8" w:space="0"/>
              <w:bottom w:val="single" w:color="000000" w:sz="8" w:space="0"/>
              <w:right w:val="single" w:color="000000" w:sz="8" w:space="0"/>
            </w:tcBorders>
          </w:tcPr>
          <w:p w14:paraId="5A3C192B">
            <w:pPr>
              <w:adjustRightInd w:val="0"/>
              <w:snapToGrid w:val="0"/>
              <w:spacing w:before="36" w:beforeLines="15" w:line="276" w:lineRule="auto"/>
              <w:jc w:val="both"/>
              <w:rPr>
                <w:rFonts w:ascii="Times New Roman" w:hAnsi="Times New Roman" w:cs="Times New Roman"/>
                <w:snapToGrid w:val="0"/>
                <w:sz w:val="21"/>
                <w:szCs w:val="21"/>
              </w:rPr>
            </w:pPr>
          </w:p>
        </w:tc>
        <w:tc>
          <w:tcPr>
            <w:tcW w:w="633" w:type="pct"/>
            <w:tcBorders>
              <w:top w:val="single" w:color="000000" w:sz="8" w:space="0"/>
              <w:left w:val="single" w:color="000000" w:sz="8" w:space="0"/>
              <w:bottom w:val="single" w:color="000000" w:sz="8" w:space="0"/>
              <w:right w:val="single" w:color="000000" w:sz="8" w:space="0"/>
            </w:tcBorders>
          </w:tcPr>
          <w:p w14:paraId="4E9E7118">
            <w:pPr>
              <w:adjustRightInd w:val="0"/>
              <w:snapToGrid w:val="0"/>
              <w:spacing w:before="36" w:beforeLines="15" w:line="276" w:lineRule="auto"/>
              <w:jc w:val="both"/>
              <w:rPr>
                <w:rFonts w:ascii="Times New Roman" w:hAnsi="Times New Roman" w:cs="Times New Roman"/>
                <w:snapToGrid w:val="0"/>
                <w:sz w:val="21"/>
                <w:szCs w:val="21"/>
              </w:rPr>
            </w:pPr>
          </w:p>
        </w:tc>
        <w:tc>
          <w:tcPr>
            <w:tcW w:w="680" w:type="pct"/>
            <w:tcBorders>
              <w:top w:val="single" w:color="000000" w:sz="8" w:space="0"/>
              <w:left w:val="single" w:color="000000" w:sz="8" w:space="0"/>
              <w:bottom w:val="single" w:color="000000" w:sz="8" w:space="0"/>
              <w:right w:val="single" w:color="000000" w:sz="8" w:space="0"/>
            </w:tcBorders>
          </w:tcPr>
          <w:p w14:paraId="2F6583D4">
            <w:pPr>
              <w:adjustRightInd w:val="0"/>
              <w:snapToGrid w:val="0"/>
              <w:spacing w:before="36" w:beforeLines="15" w:line="276" w:lineRule="auto"/>
              <w:jc w:val="both"/>
              <w:rPr>
                <w:rFonts w:ascii="Times New Roman" w:hAnsi="Times New Roman" w:cs="Times New Roman"/>
                <w:snapToGrid w:val="0"/>
                <w:sz w:val="21"/>
                <w:szCs w:val="21"/>
              </w:rPr>
            </w:pPr>
          </w:p>
        </w:tc>
      </w:tr>
      <w:tr w14:paraId="5AAD8DDA">
        <w:tblPrEx>
          <w:tblCellMar>
            <w:top w:w="0" w:type="dxa"/>
            <w:left w:w="108" w:type="dxa"/>
            <w:bottom w:w="0" w:type="dxa"/>
            <w:right w:w="108" w:type="dxa"/>
          </w:tblCellMar>
        </w:tblPrEx>
        <w:tc>
          <w:tcPr>
            <w:tcW w:w="1501" w:type="pct"/>
            <w:tcBorders>
              <w:top w:val="single" w:color="000000" w:sz="8" w:space="0"/>
              <w:left w:val="single" w:color="000000" w:sz="8" w:space="0"/>
              <w:bottom w:val="single" w:color="000000" w:sz="8" w:space="0"/>
              <w:right w:val="single" w:color="000000" w:sz="8" w:space="0"/>
            </w:tcBorders>
          </w:tcPr>
          <w:p w14:paraId="0010DAEC">
            <w:pPr>
              <w:pStyle w:val="17"/>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szCs w:val="21"/>
              </w:rPr>
              <w:t>修复型隆乳</w:t>
            </w:r>
          </w:p>
        </w:tc>
        <w:tc>
          <w:tcPr>
            <w:tcW w:w="911" w:type="pct"/>
            <w:tcBorders>
              <w:top w:val="single" w:color="000000" w:sz="8" w:space="0"/>
              <w:left w:val="single" w:color="000000" w:sz="8" w:space="0"/>
              <w:bottom w:val="single" w:color="000000" w:sz="8" w:space="0"/>
              <w:right w:val="single" w:color="000000" w:sz="8" w:space="0"/>
            </w:tcBorders>
          </w:tcPr>
          <w:p w14:paraId="21AB4CF4">
            <w:pPr>
              <w:adjustRightInd w:val="0"/>
              <w:snapToGrid w:val="0"/>
              <w:spacing w:before="36" w:beforeLines="15" w:line="276" w:lineRule="auto"/>
              <w:jc w:val="both"/>
              <w:rPr>
                <w:rFonts w:ascii="Times New Roman" w:hAnsi="Times New Roman" w:cs="Times New Roman"/>
                <w:snapToGrid w:val="0"/>
                <w:sz w:val="21"/>
                <w:szCs w:val="21"/>
              </w:rPr>
            </w:pPr>
          </w:p>
        </w:tc>
        <w:tc>
          <w:tcPr>
            <w:tcW w:w="1274" w:type="pct"/>
            <w:tcBorders>
              <w:top w:val="single" w:color="000000" w:sz="8" w:space="0"/>
              <w:left w:val="single" w:color="000000" w:sz="8" w:space="0"/>
              <w:bottom w:val="single" w:color="000000" w:sz="8" w:space="0"/>
              <w:right w:val="single" w:color="000000" w:sz="8" w:space="0"/>
            </w:tcBorders>
          </w:tcPr>
          <w:p w14:paraId="43B3EF7A">
            <w:pPr>
              <w:adjustRightInd w:val="0"/>
              <w:snapToGrid w:val="0"/>
              <w:spacing w:before="36" w:beforeLines="15" w:line="276" w:lineRule="auto"/>
              <w:jc w:val="both"/>
              <w:rPr>
                <w:rFonts w:ascii="Times New Roman" w:hAnsi="Times New Roman" w:cs="Times New Roman"/>
                <w:snapToGrid w:val="0"/>
                <w:sz w:val="21"/>
                <w:szCs w:val="21"/>
              </w:rPr>
            </w:pPr>
          </w:p>
        </w:tc>
        <w:tc>
          <w:tcPr>
            <w:tcW w:w="633" w:type="pct"/>
            <w:tcBorders>
              <w:top w:val="single" w:color="000000" w:sz="8" w:space="0"/>
              <w:left w:val="single" w:color="000000" w:sz="8" w:space="0"/>
              <w:bottom w:val="single" w:color="000000" w:sz="8" w:space="0"/>
              <w:right w:val="single" w:color="000000" w:sz="8" w:space="0"/>
            </w:tcBorders>
          </w:tcPr>
          <w:p w14:paraId="68F703B1">
            <w:pPr>
              <w:adjustRightInd w:val="0"/>
              <w:snapToGrid w:val="0"/>
              <w:spacing w:before="36" w:beforeLines="15" w:line="276" w:lineRule="auto"/>
              <w:jc w:val="both"/>
              <w:rPr>
                <w:rFonts w:ascii="Times New Roman" w:hAnsi="Times New Roman" w:cs="Times New Roman"/>
                <w:snapToGrid w:val="0"/>
                <w:sz w:val="21"/>
                <w:szCs w:val="21"/>
              </w:rPr>
            </w:pPr>
          </w:p>
        </w:tc>
        <w:tc>
          <w:tcPr>
            <w:tcW w:w="680" w:type="pct"/>
            <w:tcBorders>
              <w:top w:val="single" w:color="000000" w:sz="8" w:space="0"/>
              <w:left w:val="single" w:color="000000" w:sz="8" w:space="0"/>
              <w:bottom w:val="single" w:color="000000" w:sz="8" w:space="0"/>
              <w:right w:val="single" w:color="000000" w:sz="8" w:space="0"/>
            </w:tcBorders>
          </w:tcPr>
          <w:p w14:paraId="67559E7A">
            <w:pPr>
              <w:adjustRightInd w:val="0"/>
              <w:snapToGrid w:val="0"/>
              <w:spacing w:before="36" w:beforeLines="15" w:line="276" w:lineRule="auto"/>
              <w:jc w:val="both"/>
              <w:rPr>
                <w:rFonts w:ascii="Times New Roman" w:hAnsi="Times New Roman" w:cs="Times New Roman"/>
                <w:snapToGrid w:val="0"/>
                <w:sz w:val="21"/>
                <w:szCs w:val="21"/>
              </w:rPr>
            </w:pPr>
          </w:p>
        </w:tc>
      </w:tr>
      <w:tr w14:paraId="78DCAFFC">
        <w:tblPrEx>
          <w:tblCellMar>
            <w:top w:w="0" w:type="dxa"/>
            <w:left w:w="108" w:type="dxa"/>
            <w:bottom w:w="0" w:type="dxa"/>
            <w:right w:w="108" w:type="dxa"/>
          </w:tblCellMar>
        </w:tblPrEx>
        <w:tc>
          <w:tcPr>
            <w:tcW w:w="1501" w:type="pct"/>
            <w:tcBorders>
              <w:top w:val="single" w:color="000000" w:sz="8" w:space="0"/>
              <w:left w:val="single" w:color="000000" w:sz="8" w:space="0"/>
              <w:bottom w:val="single" w:color="000000" w:sz="8" w:space="0"/>
              <w:right w:val="single" w:color="000000" w:sz="8" w:space="0"/>
            </w:tcBorders>
          </w:tcPr>
          <w:p w14:paraId="4F27D4BD">
            <w:pPr>
              <w:pStyle w:val="17"/>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szCs w:val="21"/>
              </w:rPr>
              <w:t>修复型再造</w:t>
            </w:r>
          </w:p>
        </w:tc>
        <w:tc>
          <w:tcPr>
            <w:tcW w:w="911" w:type="pct"/>
            <w:tcBorders>
              <w:top w:val="single" w:color="000000" w:sz="8" w:space="0"/>
              <w:left w:val="single" w:color="000000" w:sz="8" w:space="0"/>
              <w:bottom w:val="single" w:color="000000" w:sz="8" w:space="0"/>
              <w:right w:val="single" w:color="000000" w:sz="8" w:space="0"/>
            </w:tcBorders>
          </w:tcPr>
          <w:p w14:paraId="461929C1">
            <w:pPr>
              <w:adjustRightInd w:val="0"/>
              <w:snapToGrid w:val="0"/>
              <w:spacing w:before="36" w:beforeLines="15" w:line="276" w:lineRule="auto"/>
              <w:jc w:val="both"/>
              <w:rPr>
                <w:rFonts w:ascii="Times New Roman" w:hAnsi="Times New Roman" w:cs="Times New Roman"/>
                <w:snapToGrid w:val="0"/>
                <w:sz w:val="21"/>
                <w:szCs w:val="21"/>
              </w:rPr>
            </w:pPr>
          </w:p>
        </w:tc>
        <w:tc>
          <w:tcPr>
            <w:tcW w:w="1274" w:type="pct"/>
            <w:tcBorders>
              <w:top w:val="single" w:color="000000" w:sz="8" w:space="0"/>
              <w:left w:val="single" w:color="000000" w:sz="8" w:space="0"/>
              <w:bottom w:val="single" w:color="000000" w:sz="8" w:space="0"/>
              <w:right w:val="single" w:color="000000" w:sz="8" w:space="0"/>
            </w:tcBorders>
          </w:tcPr>
          <w:p w14:paraId="4E63BBD0">
            <w:pPr>
              <w:adjustRightInd w:val="0"/>
              <w:snapToGrid w:val="0"/>
              <w:spacing w:before="36" w:beforeLines="15" w:line="276" w:lineRule="auto"/>
              <w:jc w:val="both"/>
              <w:rPr>
                <w:rFonts w:ascii="Times New Roman" w:hAnsi="Times New Roman" w:cs="Times New Roman"/>
                <w:snapToGrid w:val="0"/>
                <w:sz w:val="21"/>
                <w:szCs w:val="21"/>
              </w:rPr>
            </w:pPr>
          </w:p>
        </w:tc>
        <w:tc>
          <w:tcPr>
            <w:tcW w:w="633" w:type="pct"/>
            <w:tcBorders>
              <w:top w:val="single" w:color="000000" w:sz="8" w:space="0"/>
              <w:left w:val="single" w:color="000000" w:sz="8" w:space="0"/>
              <w:bottom w:val="single" w:color="000000" w:sz="8" w:space="0"/>
              <w:right w:val="single" w:color="000000" w:sz="8" w:space="0"/>
            </w:tcBorders>
          </w:tcPr>
          <w:p w14:paraId="6328E736">
            <w:pPr>
              <w:adjustRightInd w:val="0"/>
              <w:snapToGrid w:val="0"/>
              <w:spacing w:before="36" w:beforeLines="15" w:line="276" w:lineRule="auto"/>
              <w:jc w:val="both"/>
              <w:rPr>
                <w:rFonts w:ascii="Times New Roman" w:hAnsi="Times New Roman" w:cs="Times New Roman"/>
                <w:snapToGrid w:val="0"/>
                <w:sz w:val="21"/>
                <w:szCs w:val="21"/>
              </w:rPr>
            </w:pPr>
          </w:p>
        </w:tc>
        <w:tc>
          <w:tcPr>
            <w:tcW w:w="680" w:type="pct"/>
            <w:tcBorders>
              <w:top w:val="single" w:color="000000" w:sz="8" w:space="0"/>
              <w:left w:val="single" w:color="000000" w:sz="8" w:space="0"/>
              <w:bottom w:val="single" w:color="000000" w:sz="8" w:space="0"/>
              <w:right w:val="single" w:color="000000" w:sz="8" w:space="0"/>
            </w:tcBorders>
          </w:tcPr>
          <w:p w14:paraId="333AFBDA">
            <w:pPr>
              <w:adjustRightInd w:val="0"/>
              <w:snapToGrid w:val="0"/>
              <w:spacing w:before="36" w:beforeLines="15" w:line="276" w:lineRule="auto"/>
              <w:jc w:val="both"/>
              <w:rPr>
                <w:rFonts w:ascii="Times New Roman" w:hAnsi="Times New Roman" w:cs="Times New Roman"/>
                <w:snapToGrid w:val="0"/>
                <w:sz w:val="21"/>
                <w:szCs w:val="21"/>
              </w:rPr>
            </w:pPr>
          </w:p>
        </w:tc>
      </w:tr>
    </w:tbl>
    <w:p w14:paraId="455855ED">
      <w:pPr>
        <w:adjustRightInd w:val="0"/>
        <w:snapToGrid w:val="0"/>
        <w:spacing w:before="120" w:beforeLines="50" w:line="300" w:lineRule="auto"/>
        <w:jc w:val="both"/>
        <w:rPr>
          <w:rFonts w:ascii="Times New Roman" w:hAnsi="Times New Roman" w:eastAsia="宋体" w:cs="Times New Roman"/>
          <w:snapToGrid w:val="0"/>
          <w:sz w:val="24"/>
          <w:szCs w:val="24"/>
        </w:rPr>
      </w:pPr>
    </w:p>
    <w:p w14:paraId="68E536D8">
      <w:pPr>
        <w:pStyle w:val="5"/>
        <w:adjustRightInd w:val="0"/>
        <w:snapToGrid w:val="0"/>
        <w:spacing w:before="120" w:beforeLines="50" w:line="300" w:lineRule="auto"/>
        <w:ind w:left="0"/>
        <w:jc w:val="both"/>
        <w:rPr>
          <w:rFonts w:eastAsia="宋体" w:cs="Times New Roman"/>
          <w:b w:val="0"/>
          <w:bCs w:val="0"/>
          <w:i w:val="0"/>
          <w:snapToGrid w:val="0"/>
        </w:rPr>
      </w:pPr>
      <w:r>
        <w:rPr>
          <w:rFonts w:eastAsia="宋体" w:cs="宋体"/>
        </w:rPr>
        <w:t>再次手术的主要原因</w:t>
      </w:r>
    </w:p>
    <w:p w14:paraId="3C75DCD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再次手术被定义为在某一时间点对患者进行的一次手术，无论其是否涉及一个或两个植入体。如果患者在之后的时间点上接受了另一次手术，则应算作一次单独的再次手术。外科医生可以报告一次再次手术的一个或多个原因。</w:t>
      </w:r>
    </w:p>
    <w:p w14:paraId="10A57B1F">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3771206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如果报告了一个以上的再次手术原因，FDA建议使用以下层次结构来确定主要原因：</w:t>
      </w:r>
    </w:p>
    <w:p w14:paraId="09F464CA">
      <w:pPr>
        <w:pStyle w:val="16"/>
        <w:numPr>
          <w:ilvl w:val="0"/>
          <w:numId w:val="37"/>
        </w:numPr>
        <w:tabs>
          <w:tab w:val="left" w:pos="992"/>
        </w:tabs>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破裂/缩小</w:t>
      </w:r>
    </w:p>
    <w:p w14:paraId="7FCB3F4B">
      <w:pPr>
        <w:pStyle w:val="16"/>
        <w:numPr>
          <w:ilvl w:val="0"/>
          <w:numId w:val="37"/>
        </w:numPr>
        <w:tabs>
          <w:tab w:val="left" w:pos="992"/>
        </w:tabs>
        <w:adjustRightInd w:val="0"/>
        <w:snapToGrid w:val="0"/>
        <w:spacing w:before="36" w:beforeLines="15"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感染</w:t>
      </w:r>
    </w:p>
    <w:p w14:paraId="33481D01">
      <w:pPr>
        <w:pStyle w:val="16"/>
        <w:numPr>
          <w:ilvl w:val="0"/>
          <w:numId w:val="37"/>
        </w:numPr>
        <w:tabs>
          <w:tab w:val="left" w:pos="992"/>
        </w:tabs>
        <w:adjustRightInd w:val="0"/>
        <w:snapToGrid w:val="0"/>
        <w:spacing w:before="36" w:beforeLines="15" w:line="300" w:lineRule="auto"/>
        <w:ind w:left="851"/>
        <w:jc w:val="both"/>
        <w:rPr>
          <w:rFonts w:ascii="Times New Roman" w:hAnsi="Times New Roman" w:eastAsia="宋体" w:cs="Times New Roman"/>
          <w:snapToGrid w:val="0"/>
          <w:sz w:val="24"/>
          <w:szCs w:val="24"/>
        </w:rPr>
      </w:pPr>
      <w:r>
        <w:rPr>
          <w:rFonts w:hint="eastAsia" w:ascii="Times New Roman" w:hAnsi="Times New Roman" w:eastAsia="宋体" w:cs="宋体"/>
          <w:sz w:val="24"/>
        </w:rPr>
        <w:t>乳腺包</w:t>
      </w:r>
      <w:r>
        <w:rPr>
          <w:rFonts w:hint="eastAsia" w:ascii="Times New Roman" w:hAnsi="Times New Roman" w:eastAsia="宋体" w:cs="宋体"/>
          <w:sz w:val="24"/>
          <w:lang w:eastAsia="zh-CN"/>
        </w:rPr>
        <w:t>膜</w:t>
      </w:r>
      <w:r>
        <w:rPr>
          <w:rFonts w:hint="eastAsia" w:ascii="Times New Roman" w:hAnsi="Times New Roman" w:eastAsia="宋体" w:cs="宋体"/>
          <w:sz w:val="24"/>
        </w:rPr>
        <w:t>挛缩</w:t>
      </w:r>
    </w:p>
    <w:p w14:paraId="708D7378">
      <w:pPr>
        <w:pStyle w:val="16"/>
        <w:numPr>
          <w:ilvl w:val="0"/>
          <w:numId w:val="37"/>
        </w:numPr>
        <w:tabs>
          <w:tab w:val="left" w:pos="992"/>
        </w:tabs>
        <w:adjustRightInd w:val="0"/>
        <w:snapToGrid w:val="0"/>
        <w:spacing w:before="36" w:beforeLines="15"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坏死/渗出</w:t>
      </w:r>
    </w:p>
    <w:p w14:paraId="7D93C710">
      <w:pPr>
        <w:pStyle w:val="16"/>
        <w:numPr>
          <w:ilvl w:val="0"/>
          <w:numId w:val="37"/>
        </w:numPr>
        <w:tabs>
          <w:tab w:val="left" w:pos="992"/>
        </w:tabs>
        <w:adjustRightInd w:val="0"/>
        <w:snapToGrid w:val="0"/>
        <w:spacing w:before="36" w:beforeLines="15"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血肿/血清肿</w:t>
      </w:r>
    </w:p>
    <w:p w14:paraId="2948B669">
      <w:pPr>
        <w:pStyle w:val="16"/>
        <w:numPr>
          <w:ilvl w:val="0"/>
          <w:numId w:val="37"/>
        </w:numPr>
        <w:tabs>
          <w:tab w:val="left" w:pos="992"/>
        </w:tabs>
        <w:adjustRightInd w:val="0"/>
        <w:snapToGrid w:val="0"/>
        <w:spacing w:before="36" w:beforeLines="15"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伤口愈合延迟</w:t>
      </w:r>
    </w:p>
    <w:p w14:paraId="658AAEE3">
      <w:pPr>
        <w:pStyle w:val="16"/>
        <w:numPr>
          <w:ilvl w:val="0"/>
          <w:numId w:val="37"/>
        </w:numPr>
        <w:tabs>
          <w:tab w:val="left" w:pos="992"/>
        </w:tabs>
        <w:adjustRightInd w:val="0"/>
        <w:snapToGrid w:val="0"/>
        <w:spacing w:before="36" w:beforeLines="15"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乳房疼痛</w:t>
      </w:r>
    </w:p>
    <w:p w14:paraId="14642504">
      <w:pPr>
        <w:pStyle w:val="16"/>
        <w:numPr>
          <w:ilvl w:val="0"/>
          <w:numId w:val="37"/>
        </w:numPr>
        <w:tabs>
          <w:tab w:val="left" w:pos="992"/>
        </w:tabs>
        <w:adjustRightInd w:val="0"/>
        <w:snapToGrid w:val="0"/>
        <w:spacing w:before="36" w:beforeLines="15"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植入物错误定位</w:t>
      </w:r>
    </w:p>
    <w:p w14:paraId="60ECC92B">
      <w:pPr>
        <w:pStyle w:val="16"/>
        <w:numPr>
          <w:ilvl w:val="0"/>
          <w:numId w:val="37"/>
        </w:numPr>
        <w:tabs>
          <w:tab w:val="left" w:pos="992"/>
        </w:tabs>
        <w:adjustRightInd w:val="0"/>
        <w:snapToGrid w:val="0"/>
        <w:spacing w:before="36" w:beforeLines="15" w:line="300" w:lineRule="auto"/>
        <w:ind w:left="851"/>
        <w:jc w:val="both"/>
        <w:rPr>
          <w:rFonts w:ascii="Times New Roman" w:hAnsi="Times New Roman" w:eastAsia="宋体" w:cs="Times New Roman"/>
          <w:snapToGrid w:val="0"/>
          <w:sz w:val="24"/>
          <w:szCs w:val="24"/>
        </w:rPr>
      </w:pPr>
      <w:r>
        <w:rPr>
          <w:rFonts w:hint="eastAsia" w:ascii="Times New Roman" w:hAnsi="Times New Roman" w:eastAsia="宋体" w:cs="宋体"/>
          <w:sz w:val="24"/>
        </w:rPr>
        <w:t>起皱纹</w:t>
      </w:r>
    </w:p>
    <w:p w14:paraId="76EE51BB">
      <w:pPr>
        <w:pStyle w:val="16"/>
        <w:numPr>
          <w:ilvl w:val="0"/>
          <w:numId w:val="37"/>
        </w:numPr>
        <w:tabs>
          <w:tab w:val="left" w:pos="992"/>
        </w:tabs>
        <w:adjustRightInd w:val="0"/>
        <w:snapToGrid w:val="0"/>
        <w:spacing w:before="36" w:beforeLines="15"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可触知性/可视性</w:t>
      </w:r>
    </w:p>
    <w:p w14:paraId="2FC26E58">
      <w:pPr>
        <w:pStyle w:val="16"/>
        <w:numPr>
          <w:ilvl w:val="0"/>
          <w:numId w:val="37"/>
        </w:numPr>
        <w:tabs>
          <w:tab w:val="left" w:pos="992"/>
        </w:tabs>
        <w:adjustRightInd w:val="0"/>
        <w:snapToGrid w:val="0"/>
        <w:spacing w:before="36" w:beforeLines="15"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不对称性</w:t>
      </w:r>
    </w:p>
    <w:p w14:paraId="510FDFBD">
      <w:pPr>
        <w:pStyle w:val="16"/>
        <w:numPr>
          <w:ilvl w:val="0"/>
          <w:numId w:val="37"/>
        </w:numPr>
        <w:tabs>
          <w:tab w:val="left" w:pos="992"/>
        </w:tabs>
        <w:adjustRightInd w:val="0"/>
        <w:snapToGrid w:val="0"/>
        <w:spacing w:before="36" w:beforeLines="15"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下垂</w:t>
      </w:r>
    </w:p>
    <w:p w14:paraId="69073138">
      <w:pPr>
        <w:pStyle w:val="16"/>
        <w:numPr>
          <w:ilvl w:val="0"/>
          <w:numId w:val="37"/>
        </w:numPr>
        <w:tabs>
          <w:tab w:val="left" w:pos="992"/>
        </w:tabs>
        <w:adjustRightInd w:val="0"/>
        <w:snapToGrid w:val="0"/>
        <w:spacing w:before="36" w:beforeLines="15" w:line="300" w:lineRule="auto"/>
        <w:ind w:left="851"/>
        <w:jc w:val="both"/>
        <w:rPr>
          <w:rFonts w:ascii="Times New Roman" w:hAnsi="Times New Roman" w:eastAsia="宋体" w:cs="Times New Roman"/>
          <w:snapToGrid w:val="0"/>
          <w:sz w:val="24"/>
          <w:szCs w:val="24"/>
        </w:rPr>
      </w:pPr>
      <w:r>
        <w:rPr>
          <w:rFonts w:hint="eastAsia" w:ascii="Times New Roman" w:hAnsi="Times New Roman" w:eastAsia="宋体" w:cs="宋体"/>
          <w:sz w:val="24"/>
        </w:rPr>
        <w:t>瘢痕形成</w:t>
      </w:r>
    </w:p>
    <w:p w14:paraId="53F83032">
      <w:pPr>
        <w:pStyle w:val="16"/>
        <w:numPr>
          <w:ilvl w:val="0"/>
          <w:numId w:val="37"/>
        </w:numPr>
        <w:tabs>
          <w:tab w:val="left" w:pos="992"/>
        </w:tabs>
        <w:adjustRightInd w:val="0"/>
        <w:snapToGrid w:val="0"/>
        <w:spacing w:before="36" w:beforeLines="15"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乳头并发症</w:t>
      </w:r>
    </w:p>
    <w:p w14:paraId="735DDBDB">
      <w:pPr>
        <w:pStyle w:val="16"/>
        <w:numPr>
          <w:ilvl w:val="0"/>
          <w:numId w:val="37"/>
        </w:numPr>
        <w:tabs>
          <w:tab w:val="left" w:pos="992"/>
        </w:tabs>
        <w:adjustRightInd w:val="0"/>
        <w:snapToGrid w:val="0"/>
        <w:spacing w:before="36" w:beforeLines="15"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器械损伤/医源性</w:t>
      </w:r>
    </w:p>
    <w:p w14:paraId="72C85DC3">
      <w:pPr>
        <w:pStyle w:val="16"/>
        <w:numPr>
          <w:ilvl w:val="0"/>
          <w:numId w:val="37"/>
        </w:numPr>
        <w:tabs>
          <w:tab w:val="left" w:pos="992"/>
        </w:tabs>
        <w:adjustRightInd w:val="0"/>
        <w:snapToGrid w:val="0"/>
        <w:spacing w:before="36" w:beforeLines="15"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乳腺癌包块</w:t>
      </w:r>
    </w:p>
    <w:p w14:paraId="0BC1EFC3">
      <w:pPr>
        <w:pStyle w:val="16"/>
        <w:numPr>
          <w:ilvl w:val="0"/>
          <w:numId w:val="37"/>
        </w:numPr>
        <w:tabs>
          <w:tab w:val="left" w:pos="992"/>
        </w:tabs>
        <w:adjustRightInd w:val="0"/>
        <w:snapToGrid w:val="0"/>
        <w:spacing w:before="36" w:beforeLines="15"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活检</w:t>
      </w:r>
    </w:p>
    <w:p w14:paraId="2A17D14D">
      <w:pPr>
        <w:pStyle w:val="16"/>
        <w:numPr>
          <w:ilvl w:val="0"/>
          <w:numId w:val="37"/>
        </w:numPr>
        <w:tabs>
          <w:tab w:val="left" w:pos="992"/>
        </w:tabs>
        <w:adjustRightInd w:val="0"/>
        <w:snapToGrid w:val="0"/>
        <w:spacing w:before="36" w:beforeLines="15"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患者要求变更样式/尺寸。</w:t>
      </w:r>
    </w:p>
    <w:p w14:paraId="6EC5390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本机构建议在每个时间点为每个分组提供再次手术的累计主要原因。分母应该是自初次植入后到该时间点的再次手术总数。因为提供的是主要原因，分子之和应等于分母。</w:t>
      </w:r>
    </w:p>
    <w:p w14:paraId="1F2AD63C">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取出器械的主要原因</w:t>
      </w:r>
    </w:p>
    <w:p w14:paraId="496970E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在每个时间点为每个分组提供取出器械的累计原因。分母应该是自初次植入后到该时间点的器械取出总数。如果外科医生报告了一个以上的取出原因，FDA建议使用上述用于确定再次手术主要原因的同一层次结构来确定主要原因。因为提供的是主要原因，分子之和应等于分母。</w:t>
      </w:r>
    </w:p>
    <w:p w14:paraId="6D1DDF41">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其他外科手术的类型</w:t>
      </w:r>
    </w:p>
    <w:p w14:paraId="2E0AB26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在一次给定再次手术中可以进行多种外科手术。其他手术类型示例包括：乳腺</w:t>
      </w:r>
      <w:r>
        <w:rPr>
          <w:rFonts w:hint="eastAsia" w:ascii="Times New Roman" w:hAnsi="Times New Roman" w:eastAsia="宋体" w:cs="宋体"/>
          <w:sz w:val="24"/>
          <w:lang w:eastAsia="zh-CN"/>
        </w:rPr>
        <w:t>包膜切开术</w:t>
      </w:r>
      <w:r>
        <w:rPr>
          <w:rFonts w:ascii="Times New Roman" w:hAnsi="Times New Roman" w:eastAsia="宋体" w:cs="宋体"/>
          <w:sz w:val="24"/>
          <w:lang w:eastAsia="zh-CN"/>
        </w:rPr>
        <w:t>、乳腺</w:t>
      </w:r>
      <w:r>
        <w:rPr>
          <w:rFonts w:hint="eastAsia" w:ascii="Times New Roman" w:hAnsi="Times New Roman" w:eastAsia="宋体" w:cs="宋体"/>
          <w:sz w:val="24"/>
          <w:lang w:eastAsia="zh-CN"/>
        </w:rPr>
        <w:t>包膜切除术</w:t>
      </w:r>
      <w:r>
        <w:rPr>
          <w:rFonts w:ascii="Times New Roman" w:hAnsi="Times New Roman" w:eastAsia="宋体" w:cs="宋体"/>
          <w:sz w:val="24"/>
          <w:lang w:eastAsia="zh-CN"/>
        </w:rPr>
        <w:t>、器械取出后更换、器械取出后不更换、盐水容量调整、器械重新定位、</w:t>
      </w:r>
      <w:r>
        <w:rPr>
          <w:rFonts w:hint="eastAsia" w:ascii="Times New Roman" w:hAnsi="Times New Roman" w:eastAsia="宋体" w:cs="宋体"/>
          <w:sz w:val="24"/>
          <w:lang w:eastAsia="zh-CN"/>
        </w:rPr>
        <w:t>脓肿</w:t>
      </w:r>
      <w:r>
        <w:rPr>
          <w:rFonts w:ascii="Times New Roman" w:hAnsi="Times New Roman" w:eastAsia="宋体" w:cs="宋体"/>
          <w:sz w:val="24"/>
          <w:lang w:eastAsia="zh-CN"/>
        </w:rPr>
        <w:t>/</w:t>
      </w:r>
      <w:r>
        <w:rPr>
          <w:rFonts w:hint="eastAsia" w:ascii="Times New Roman" w:hAnsi="Times New Roman" w:eastAsia="宋体" w:cs="宋体"/>
          <w:sz w:val="24"/>
          <w:lang w:eastAsia="zh-CN"/>
        </w:rPr>
        <w:t>血肿</w:t>
      </w:r>
      <w:r>
        <w:rPr>
          <w:rFonts w:ascii="Times New Roman" w:hAnsi="Times New Roman" w:eastAsia="宋体" w:cs="宋体"/>
          <w:sz w:val="24"/>
          <w:lang w:eastAsia="zh-CN"/>
        </w:rPr>
        <w:t>/</w:t>
      </w:r>
      <w:r>
        <w:rPr>
          <w:rFonts w:hint="eastAsia" w:ascii="Times New Roman" w:hAnsi="Times New Roman" w:eastAsia="宋体" w:cs="宋体"/>
          <w:sz w:val="24"/>
          <w:lang w:eastAsia="zh-CN"/>
        </w:rPr>
        <w:t>血肿引流</w:t>
      </w:r>
      <w:r>
        <w:rPr>
          <w:rFonts w:ascii="Times New Roman" w:hAnsi="Times New Roman" w:eastAsia="宋体" w:cs="宋体"/>
          <w:sz w:val="24"/>
          <w:lang w:eastAsia="zh-CN"/>
        </w:rPr>
        <w:t>、植入乳房的同侧腋下或手臂上肿块/淋巴结切除，以及活检/囊肿切除。</w:t>
      </w:r>
      <w:r>
        <w:rPr>
          <w:rFonts w:ascii="Times New Roman" w:hAnsi="Times New Roman" w:eastAsia="宋体" w:cs="宋体"/>
          <w:sz w:val="24"/>
          <w:lang w:eastAsia="zh-CN"/>
        </w:rPr>
        <w:br w:type="page"/>
      </w:r>
    </w:p>
    <w:p w14:paraId="6B6BFC8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本机构建议在每个时间点为每个</w:t>
      </w:r>
      <w:r>
        <w:rPr>
          <w:rFonts w:hint="eastAsia" w:ascii="Times New Roman" w:hAnsi="Times New Roman" w:eastAsia="宋体" w:cs="宋体"/>
          <w:sz w:val="24"/>
          <w:lang w:eastAsia="zh-CN"/>
        </w:rPr>
        <w:t>分组</w:t>
      </w:r>
      <w:r>
        <w:rPr>
          <w:rFonts w:ascii="Times New Roman" w:hAnsi="Times New Roman" w:eastAsia="宋体" w:cs="宋体"/>
          <w:sz w:val="24"/>
          <w:lang w:eastAsia="zh-CN"/>
        </w:rPr>
        <w:t>提供其他外科手术的累计类型。分母应该是自初次植入到该时间点的其他手术总数。如果再次手术报告了一种以上的手术类型，应报告所有手术。</w:t>
      </w:r>
    </w:p>
    <w:p w14:paraId="57818B9F">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b/>
          <w:i/>
          <w:sz w:val="24"/>
          <w:lang w:eastAsia="zh-CN"/>
        </w:rPr>
        <w:t>取出研究器械并更换后的累计并发症发生率</w:t>
      </w:r>
      <w:r>
        <w:rPr>
          <w:rFonts w:ascii="Times New Roman" w:hAnsi="Times New Roman" w:eastAsia="宋体" w:cs="宋体"/>
          <w:sz w:val="24"/>
          <w:lang w:eastAsia="zh-CN"/>
        </w:rPr>
        <w:t xml:space="preserve"> </w:t>
      </w:r>
    </w:p>
    <w:p w14:paraId="28C2B2D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如上所述，本机构建议继续跟踪那些已取出器械并更换研究器械的患者。本机构建议在每个时间点提供每个</w:t>
      </w:r>
      <w:r>
        <w:rPr>
          <w:rFonts w:hint="eastAsia" w:ascii="Times New Roman" w:hAnsi="Times New Roman" w:eastAsia="宋体" w:cs="宋体"/>
          <w:sz w:val="24"/>
          <w:lang w:eastAsia="zh-CN"/>
        </w:rPr>
        <w:t>分组</w:t>
      </w:r>
      <w:r>
        <w:rPr>
          <w:rFonts w:ascii="Times New Roman" w:hAnsi="Times New Roman" w:eastAsia="宋体" w:cs="宋体"/>
          <w:sz w:val="24"/>
          <w:lang w:eastAsia="zh-CN"/>
        </w:rPr>
        <w:t>中每名患者和每个器械的单个并发症的累计发生率。应提供所用分子和分母，并描述这些数值如何获得。分母应该是该时间点的患者或器械数量。更多详情，请参见上述</w:t>
      </w:r>
      <w:r>
        <w:rPr>
          <w:rFonts w:ascii="Times New Roman" w:hAnsi="Times New Roman" w:eastAsia="宋体" w:cs="宋体"/>
          <w:b/>
          <w:i/>
          <w:sz w:val="24"/>
          <w:lang w:eastAsia="zh-CN"/>
        </w:rPr>
        <w:t>并发症累计发生率</w:t>
      </w:r>
      <w:r>
        <w:rPr>
          <w:rFonts w:ascii="Times New Roman" w:hAnsi="Times New Roman" w:eastAsia="宋体" w:cs="宋体"/>
          <w:sz w:val="24"/>
          <w:lang w:eastAsia="zh-CN"/>
        </w:rPr>
        <w:t>部分。</w:t>
      </w:r>
    </w:p>
    <w:p w14:paraId="50538ACA">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取出研究器械而不更换后的累计并发症发生率</w:t>
      </w:r>
    </w:p>
    <w:p w14:paraId="3000596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如上所述，本机构建议继续跟踪那些已取出器械但未更换的患者，以评估取出后可能发生的并发症，特别是那些因破裂而取出器械的患者。本机构建议在每个时间点提供每个</w:t>
      </w:r>
      <w:r>
        <w:rPr>
          <w:rFonts w:hint="eastAsia" w:ascii="Times New Roman" w:hAnsi="Times New Roman" w:eastAsia="宋体" w:cs="宋体"/>
          <w:sz w:val="24"/>
          <w:lang w:eastAsia="zh-CN"/>
        </w:rPr>
        <w:t>分组</w:t>
      </w:r>
      <w:r>
        <w:rPr>
          <w:rFonts w:ascii="Times New Roman" w:hAnsi="Times New Roman" w:eastAsia="宋体" w:cs="宋体"/>
          <w:sz w:val="24"/>
          <w:lang w:eastAsia="zh-CN"/>
        </w:rPr>
        <w:t>中每名患者和每个器械的单个并发症的累计发生率。应提供所用分子和分母，并描述这些数值如何获得。分母应该是该时间点的患者或器械数量。更多详情，请参见上述</w:t>
      </w:r>
      <w:r>
        <w:rPr>
          <w:rFonts w:ascii="Times New Roman" w:hAnsi="Times New Roman" w:eastAsia="宋体" w:cs="宋体"/>
          <w:b/>
          <w:i/>
          <w:sz w:val="24"/>
          <w:lang w:eastAsia="zh-CN"/>
        </w:rPr>
        <w:t>并发症累计发生率</w:t>
      </w:r>
      <w:r>
        <w:rPr>
          <w:rFonts w:ascii="Times New Roman" w:hAnsi="Times New Roman" w:eastAsia="宋体" w:cs="宋体"/>
          <w:sz w:val="24"/>
          <w:lang w:eastAsia="zh-CN"/>
        </w:rPr>
        <w:t>部分。</w:t>
      </w:r>
    </w:p>
    <w:p w14:paraId="18736F9C">
      <w:pPr>
        <w:pStyle w:val="23"/>
        <w:rPr>
          <w:szCs w:val="24"/>
        </w:rPr>
      </w:pPr>
      <w:bookmarkStart w:id="39" w:name="_Toc95489782"/>
      <w:r>
        <w:t>E.</w:t>
      </w:r>
      <w:r>
        <w:tab/>
      </w:r>
      <w:r>
        <w:t>安全性评估 - 破裂</w:t>
      </w:r>
      <w:bookmarkEnd w:id="39"/>
    </w:p>
    <w:p w14:paraId="1F8D7250">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硅凝胶填充型乳房植入体破裂</w:t>
      </w:r>
    </w:p>
    <w:p w14:paraId="10673B3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FDA认为器械破裂是凝胶填充型乳房植入体的主要安全问题之一。当硅凝胶填充型乳房植入体破裂时，患者和医生往往未注意到这一问题（即无声破裂或无症状破裂）。破裂可能发生在</w:t>
      </w:r>
      <w:r>
        <w:rPr>
          <w:rFonts w:hint="eastAsia" w:ascii="Times New Roman" w:hAnsi="Times New Roman" w:eastAsia="宋体" w:cs="宋体"/>
          <w:sz w:val="24"/>
          <w:lang w:eastAsia="zh-CN"/>
        </w:rPr>
        <w:t>乳腺包膜</w:t>
      </w:r>
      <w:r>
        <w:rPr>
          <w:rFonts w:ascii="Times New Roman" w:hAnsi="Times New Roman" w:eastAsia="宋体" w:cs="宋体"/>
          <w:sz w:val="24"/>
          <w:lang w:eastAsia="zh-CN"/>
        </w:rPr>
        <w:t>内（当凝胶保持在植入体周围瘢痕组织</w:t>
      </w:r>
      <w:r>
        <w:rPr>
          <w:rFonts w:hint="eastAsia" w:ascii="Times New Roman" w:hAnsi="Times New Roman" w:eastAsia="宋体" w:cs="宋体"/>
          <w:sz w:val="24"/>
          <w:lang w:eastAsia="zh-CN"/>
        </w:rPr>
        <w:t>乳腺包膜</w:t>
      </w:r>
      <w:r>
        <w:rPr>
          <w:rFonts w:ascii="Times New Roman" w:hAnsi="Times New Roman" w:eastAsia="宋体" w:cs="宋体"/>
          <w:sz w:val="24"/>
          <w:lang w:eastAsia="zh-CN"/>
        </w:rPr>
        <w:t>内）、</w:t>
      </w:r>
      <w:r>
        <w:rPr>
          <w:rFonts w:hint="eastAsia" w:ascii="Times New Roman" w:hAnsi="Times New Roman" w:eastAsia="宋体" w:cs="宋体"/>
          <w:sz w:val="24"/>
          <w:lang w:eastAsia="zh-CN"/>
        </w:rPr>
        <w:t>乳腺包膜</w:t>
      </w:r>
      <w:r>
        <w:rPr>
          <w:rFonts w:ascii="Times New Roman" w:hAnsi="Times New Roman" w:eastAsia="宋体" w:cs="宋体"/>
          <w:sz w:val="24"/>
          <w:lang w:eastAsia="zh-CN"/>
        </w:rPr>
        <w:t>外（当凝胶移动至</w:t>
      </w:r>
      <w:r>
        <w:rPr>
          <w:rFonts w:hint="eastAsia" w:ascii="Times New Roman" w:hAnsi="Times New Roman" w:eastAsia="宋体" w:cs="宋体"/>
          <w:sz w:val="24"/>
          <w:lang w:eastAsia="zh-CN"/>
        </w:rPr>
        <w:t>乳腺包膜</w:t>
      </w:r>
      <w:r>
        <w:rPr>
          <w:rFonts w:ascii="Times New Roman" w:hAnsi="Times New Roman" w:eastAsia="宋体" w:cs="宋体"/>
          <w:sz w:val="24"/>
          <w:lang w:eastAsia="zh-CN"/>
        </w:rPr>
        <w:t>外但保持在乳房组织内）或涉及凝胶迁移（当凝胶移动至乳房外）。</w:t>
      </w:r>
    </w:p>
    <w:p w14:paraId="6357396B">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请注意，以下建议是对接受10年核心研究的患者进行硅凝胶填充型乳房植入体破裂的安全性评估。有关已获批硅凝胶乳房植入体患者的破裂筛查的最新建议，请参见FDA指南《</w:t>
      </w:r>
      <w:r>
        <w:fldChar w:fldCharType="begin"/>
      </w:r>
      <w:r>
        <w:instrText xml:space="preserve"> HYPERLINK "https://www.fda.gov/regulatory-information/search-fda-guidance-documents/breast-implants-certain-labeling-recommendations-improve-patient-communication" \h </w:instrText>
      </w:r>
      <w:r>
        <w:fldChar w:fldCharType="separate"/>
      </w:r>
      <w:r>
        <w:rPr>
          <w:rFonts w:ascii="Times New Roman" w:hAnsi="Times New Roman" w:eastAsia="宋体" w:cs="宋体"/>
          <w:snapToGrid w:val="0"/>
          <w:color w:val="0000FF"/>
          <w:sz w:val="24"/>
          <w:szCs w:val="24"/>
          <w:u w:val="single" w:color="0000FF"/>
          <w:lang w:eastAsia="zh-CN"/>
        </w:rPr>
        <w:t>乳房植入体 - 改善患者沟通的某些标签建议</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16</w:t>
      </w:r>
      <w:r>
        <w:rPr>
          <w:rFonts w:ascii="Times New Roman" w:hAnsi="Times New Roman" w:eastAsia="宋体" w:cs="宋体"/>
          <w:sz w:val="24"/>
          <w:lang w:eastAsia="zh-CN"/>
        </w:rPr>
        <w:t>（《乳房植入体标签指南》）中的“最新破裂筛查建议”部分。</w:t>
      </w:r>
    </w:p>
    <w:p w14:paraId="24429D8E">
      <w:pPr>
        <w:adjustRightInd w:val="0"/>
        <w:snapToGrid w:val="0"/>
        <w:spacing w:before="120" w:beforeLines="50" w:line="300" w:lineRule="auto"/>
        <w:jc w:val="both"/>
        <w:rPr>
          <w:rFonts w:ascii="Times New Roman" w:hAnsi="Times New Roman" w:eastAsia="宋体" w:cs="宋体"/>
          <w:sz w:val="24"/>
          <w:lang w:eastAsia="zh-CN"/>
        </w:rPr>
      </w:pPr>
    </w:p>
    <w:p w14:paraId="2AA328B4">
      <w:pPr>
        <w:adjustRightInd w:val="0"/>
        <w:snapToGrid w:val="0"/>
        <w:spacing w:before="120" w:beforeLines="50" w:line="300" w:lineRule="auto"/>
        <w:jc w:val="both"/>
        <w:rPr>
          <w:rFonts w:ascii="Times New Roman" w:hAnsi="Times New Roman" w:eastAsia="宋体" w:cs="宋体"/>
          <w:sz w:val="24"/>
          <w:lang w:eastAsia="zh-CN"/>
        </w:rPr>
      </w:pPr>
    </w:p>
    <w:p w14:paraId="505D4C3E">
      <w:pPr>
        <w:adjustRightInd w:val="0"/>
        <w:snapToGrid w:val="0"/>
        <w:spacing w:before="120" w:beforeLines="50" w:line="300" w:lineRule="auto"/>
        <w:jc w:val="both"/>
        <w:rPr>
          <w:rFonts w:ascii="Times New Roman" w:hAnsi="Times New Roman" w:eastAsia="宋体" w:cs="宋体"/>
          <w:sz w:val="24"/>
          <w:lang w:eastAsia="zh-CN"/>
        </w:rPr>
      </w:pPr>
    </w:p>
    <w:p w14:paraId="6C7E0310">
      <w:pPr>
        <w:adjustRightInd w:val="0"/>
        <w:snapToGrid w:val="0"/>
        <w:spacing w:before="120" w:beforeLines="50" w:line="300" w:lineRule="auto"/>
        <w:jc w:val="both"/>
        <w:rPr>
          <w:rFonts w:ascii="Times New Roman" w:hAnsi="Times New Roman" w:eastAsia="宋体" w:cs="Times New Roman"/>
          <w:snapToGrid w:val="0"/>
          <w:color w:val="000000"/>
          <w:sz w:val="24"/>
          <w:szCs w:val="24"/>
          <w:lang w:eastAsia="zh-CN"/>
        </w:rPr>
      </w:pPr>
    </w:p>
    <w:p w14:paraId="3948733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w:t>
      </w:r>
    </w:p>
    <w:p w14:paraId="2B784511">
      <w:pPr>
        <w:pStyle w:val="26"/>
        <w:rPr>
          <w:rFonts w:eastAsia="宋体"/>
        </w:rPr>
      </w:pPr>
      <w:r>
        <w:rPr>
          <w:rFonts w:eastAsia="宋体"/>
          <w:vertAlign w:val="superscript"/>
        </w:rPr>
        <w:t>16</w:t>
      </w:r>
      <w:r>
        <w:rPr>
          <w:rFonts w:eastAsia="宋体"/>
        </w:rPr>
        <w:t xml:space="preserve"> </w:t>
      </w:r>
      <w:r>
        <w:fldChar w:fldCharType="begin"/>
      </w:r>
      <w:r>
        <w:instrText xml:space="preserve"> HYPERLINK "https://www.fda.gov/regulatory-information/search-fda-guidance-documents/breast-implants-certain-labeling-recommendations-improve-patient-communication" \h </w:instrText>
      </w:r>
      <w:r>
        <w:fldChar w:fldCharType="separate"/>
      </w:r>
      <w:bookmarkStart w:id="40" w:name="_bookmark52"/>
      <w:bookmarkEnd w:id="40"/>
      <w:r>
        <w:rPr>
          <w:rFonts w:eastAsia="宋体"/>
          <w:color w:val="0000FF"/>
          <w:u w:val="single" w:color="0000FF"/>
        </w:rPr>
        <w:t>https://www.fda.gov/regulatory-information/search-fda-guidance-documents/breast-implants-certain-labeling-</w:t>
      </w:r>
      <w:r>
        <w:rPr>
          <w:rFonts w:eastAsia="宋体"/>
          <w:color w:val="0000FF"/>
          <w:u w:val="single" w:color="0000FF"/>
        </w:rPr>
        <w:fldChar w:fldCharType="end"/>
      </w:r>
      <w:r>
        <w:fldChar w:fldCharType="begin"/>
      </w:r>
      <w:r>
        <w:instrText xml:space="preserve"> HYPERLINK "https://www.fda.gov/regulatory-information/search-fda-guidance-documents/breast-implants-certain-labeling-recommendations-improve-patient-communication" \h </w:instrText>
      </w:r>
      <w:r>
        <w:fldChar w:fldCharType="separate"/>
      </w:r>
      <w:r>
        <w:rPr>
          <w:rFonts w:eastAsia="宋体"/>
          <w:color w:val="0000FF"/>
          <w:u w:val="single" w:color="0000FF"/>
        </w:rPr>
        <w:t>recommendations-improve-patient-communication</w:t>
      </w:r>
      <w:r>
        <w:rPr>
          <w:rFonts w:eastAsia="宋体"/>
          <w:color w:val="000000"/>
        </w:rPr>
        <w:t>.</w:t>
      </w:r>
      <w:r>
        <w:rPr>
          <w:rFonts w:eastAsia="宋体"/>
          <w:color w:val="000000"/>
        </w:rPr>
        <w:fldChar w:fldCharType="end"/>
      </w:r>
    </w:p>
    <w:p w14:paraId="3FFE7957">
      <w:pPr>
        <w:rPr>
          <w:rFonts w:ascii="Times New Roman" w:hAnsi="Times New Roman" w:eastAsia="宋体" w:cs="Times New Roman"/>
          <w:snapToGrid w:val="0"/>
          <w:sz w:val="24"/>
          <w:szCs w:val="24"/>
          <w:lang w:eastAsia="zh-CN"/>
        </w:rPr>
      </w:pPr>
      <w:r>
        <w:rPr>
          <w:rFonts w:ascii="Times New Roman" w:hAnsi="Times New Roman" w:eastAsia="宋体" w:cs="宋体"/>
          <w:sz w:val="24"/>
        </w:rPr>
        <w:br w:type="page"/>
      </w:r>
    </w:p>
    <w:p w14:paraId="2081C21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FDA推荐磁共振成像（MRI）作为目前检测硅凝胶填充型乳房植入体无声破裂的首选方法。事实上，体检检测硅胶乳房植入体破裂的灵敏度为30%</w:t>
      </w:r>
      <w:r>
        <w:rPr>
          <w:rFonts w:ascii="Times New Roman" w:hAnsi="Times New Roman" w:eastAsia="宋体" w:cs="宋体"/>
          <w:sz w:val="24"/>
          <w:vertAlign w:val="superscript"/>
          <w:lang w:eastAsia="zh-CN"/>
        </w:rPr>
        <w:t>17</w:t>
      </w:r>
      <w:r>
        <w:rPr>
          <w:rFonts w:ascii="Times New Roman" w:hAnsi="Times New Roman" w:eastAsia="宋体" w:cs="宋体"/>
          <w:sz w:val="24"/>
          <w:lang w:eastAsia="zh-CN"/>
        </w:rPr>
        <w:t>，而磁共振成像的灵敏度为89%。</w:t>
      </w:r>
      <w:r>
        <w:rPr>
          <w:rFonts w:ascii="Times New Roman" w:hAnsi="Times New Roman" w:eastAsia="宋体" w:cs="宋体"/>
          <w:sz w:val="24"/>
          <w:vertAlign w:val="superscript"/>
          <w:lang w:eastAsia="zh-CN"/>
        </w:rPr>
        <w:t>18</w:t>
      </w:r>
      <w:r>
        <w:rPr>
          <w:rFonts w:ascii="Times New Roman" w:hAnsi="Times New Roman" w:eastAsia="宋体" w:cs="宋体"/>
          <w:sz w:val="24"/>
          <w:lang w:eastAsia="zh-CN"/>
        </w:rPr>
        <w:t>乳房MRI应使用专用乳房线圈，磁力至少为1.5</w:t>
      </w:r>
      <w:r>
        <w:rPr>
          <w:rFonts w:hint="eastAsia" w:ascii="Times New Roman" w:hAnsi="Times New Roman" w:eastAsia="宋体" w:cs="宋体"/>
          <w:sz w:val="24"/>
          <w:lang w:eastAsia="zh-CN"/>
        </w:rPr>
        <w:t>特斯拉</w:t>
      </w:r>
      <w:r>
        <w:rPr>
          <w:rFonts w:ascii="Times New Roman" w:hAnsi="Times New Roman" w:eastAsia="宋体" w:cs="宋体"/>
          <w:sz w:val="24"/>
          <w:lang w:eastAsia="zh-CN"/>
        </w:rPr>
        <w:t>，最好在具有执行和解释这类检查经验的中心进行。MRI</w:t>
      </w:r>
      <w:r>
        <w:rPr>
          <w:rFonts w:hint="eastAsia" w:ascii="Times New Roman" w:hAnsi="Times New Roman" w:eastAsia="宋体" w:cs="宋体"/>
          <w:sz w:val="24"/>
          <w:lang w:eastAsia="zh-CN"/>
        </w:rPr>
        <w:t>图像</w:t>
      </w:r>
      <w:r>
        <w:rPr>
          <w:rFonts w:ascii="Times New Roman" w:hAnsi="Times New Roman" w:eastAsia="宋体" w:cs="宋体"/>
          <w:sz w:val="24"/>
          <w:lang w:eastAsia="zh-CN"/>
        </w:rPr>
        <w:t>应由检查中心的本地放射科医生和具有乳房植入体MRI阅片经验的放射科医生（即合格MRI评估者）共同阅片。放射科医生应对研究者对可能破裂的判断进行设盲（如适用），应对每个MRI进行独立评估，并将破裂是否存在评为确定、可疑/不确定、或无/完整。</w:t>
      </w:r>
    </w:p>
    <w:p w14:paraId="2D00C5A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对于植出的器械，应在植出时进行最终破裂判断。如果不对通过MRI报告为确定或不确定破裂的器械进行植出，则应根据合格MRI评估者或本地放射科医师的最坏情况阅片来确定是否破裂。</w:t>
      </w:r>
    </w:p>
    <w:p w14:paraId="11AA64F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建议所有在核心研究中接受硅凝胶填充型乳房植入体的患者在1、2、4、6、8和10年时接受MRI评价，以确保患者得到充分的监测，防止无声破裂，这与已获批硅凝胶填充型乳房植入体标签中的建议方法和频率一致。此外，这一措施可以为每个</w:t>
      </w:r>
      <w:r>
        <w:rPr>
          <w:rFonts w:hint="eastAsia" w:ascii="Times New Roman" w:hAnsi="Times New Roman" w:eastAsia="宋体" w:cs="宋体"/>
          <w:sz w:val="24"/>
          <w:lang w:eastAsia="zh-CN"/>
        </w:rPr>
        <w:t>分组</w:t>
      </w:r>
      <w:r>
        <w:rPr>
          <w:rFonts w:ascii="Times New Roman" w:hAnsi="Times New Roman" w:eastAsia="宋体" w:cs="宋体"/>
          <w:sz w:val="24"/>
          <w:lang w:eastAsia="zh-CN"/>
        </w:rPr>
        <w:t>确定一个单一破裂率，用于患者标签。</w:t>
      </w:r>
      <w:r>
        <w:rPr>
          <w:rFonts w:ascii="Times New Roman" w:hAnsi="Times New Roman" w:eastAsia="宋体" w:cs="宋体"/>
          <w:sz w:val="24"/>
          <w:vertAlign w:val="superscript"/>
          <w:lang w:eastAsia="zh-CN"/>
        </w:rPr>
        <w:t>19</w:t>
      </w:r>
    </w:p>
    <w:p w14:paraId="50F0296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如果由于器械的机械或化学特性，不能用MRI来观察破裂，本机构建议开发一种敏感性和特异性与MRI相当的备选确认方法。</w:t>
      </w:r>
    </w:p>
    <w:p w14:paraId="28712DC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为了描述破裂特征，本机构建议提供以下内容：</w:t>
      </w:r>
    </w:p>
    <w:p w14:paraId="18F72C6D">
      <w:pPr>
        <w:pStyle w:val="16"/>
        <w:numPr>
          <w:ilvl w:val="0"/>
          <w:numId w:val="38"/>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在核心研究期间，通过使用具有相当敏感性和特异性的放射诊断技术或其他技术对研究人群进行前瞻性连续筛查（有些核心研究数据可能是上市前</w:t>
      </w:r>
      <w:r>
        <w:rPr>
          <w:rFonts w:hint="eastAsia" w:ascii="Times New Roman" w:hAnsi="Times New Roman" w:eastAsia="宋体" w:cs="宋体"/>
          <w:sz w:val="24"/>
          <w:lang w:eastAsia="zh-CN"/>
        </w:rPr>
        <w:t>数据</w:t>
      </w:r>
      <w:r>
        <w:rPr>
          <w:rFonts w:ascii="Times New Roman" w:hAnsi="Times New Roman" w:eastAsia="宋体" w:cs="宋体"/>
          <w:sz w:val="24"/>
          <w:lang w:eastAsia="zh-CN"/>
        </w:rPr>
        <w:t>，有些可能是批准后</w:t>
      </w:r>
      <w:r>
        <w:rPr>
          <w:rFonts w:hint="eastAsia" w:ascii="Times New Roman" w:hAnsi="Times New Roman" w:eastAsia="宋体" w:cs="宋体"/>
          <w:sz w:val="24"/>
          <w:lang w:eastAsia="zh-CN"/>
        </w:rPr>
        <w:t>数据</w:t>
      </w:r>
      <w:r>
        <w:rPr>
          <w:rFonts w:ascii="Times New Roman" w:hAnsi="Times New Roman" w:eastAsia="宋体" w:cs="宋体"/>
          <w:sz w:val="24"/>
          <w:lang w:eastAsia="zh-CN"/>
        </w:rPr>
        <w:t>）而获得的破裂率</w:t>
      </w:r>
    </w:p>
    <w:p w14:paraId="5D701D59">
      <w:pPr>
        <w:pStyle w:val="16"/>
        <w:numPr>
          <w:ilvl w:val="0"/>
          <w:numId w:val="38"/>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观察到的</w:t>
      </w:r>
      <w:r>
        <w:rPr>
          <w:rFonts w:hint="eastAsia" w:ascii="Times New Roman" w:hAnsi="Times New Roman" w:eastAsia="宋体" w:cs="宋体"/>
          <w:sz w:val="24"/>
          <w:lang w:eastAsia="zh-CN"/>
        </w:rPr>
        <w:t>乳腺包膜</w:t>
      </w:r>
      <w:r>
        <w:rPr>
          <w:rFonts w:ascii="Times New Roman" w:hAnsi="Times New Roman" w:eastAsia="宋体" w:cs="宋体"/>
          <w:sz w:val="24"/>
          <w:lang w:eastAsia="zh-CN"/>
        </w:rPr>
        <w:t>内凝胶、</w:t>
      </w:r>
      <w:r>
        <w:rPr>
          <w:rFonts w:hint="eastAsia" w:ascii="Times New Roman" w:hAnsi="Times New Roman" w:eastAsia="宋体" w:cs="宋体"/>
          <w:sz w:val="24"/>
          <w:lang w:eastAsia="zh-CN"/>
        </w:rPr>
        <w:t>乳腺包膜</w:t>
      </w:r>
      <w:r>
        <w:rPr>
          <w:rFonts w:ascii="Times New Roman" w:hAnsi="Times New Roman" w:eastAsia="宋体" w:cs="宋体"/>
          <w:sz w:val="24"/>
          <w:lang w:eastAsia="zh-CN"/>
        </w:rPr>
        <w:t>外凝胶和迁移凝胶频率，以及所有症状性或无声破裂器械患者的迁移凝胶去向</w:t>
      </w:r>
    </w:p>
    <w:p w14:paraId="3122D1AD">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1FD2945E">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6C92AEAA">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5243ABC3">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0921495C">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5D080904">
      <w:pPr>
        <w:tabs>
          <w:tab w:val="left" w:pos="300"/>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w:t>
      </w:r>
    </w:p>
    <w:p w14:paraId="184EB9F1">
      <w:pPr>
        <w:pStyle w:val="26"/>
        <w:rPr>
          <w:rFonts w:eastAsia="宋体"/>
        </w:rPr>
      </w:pPr>
      <w:r>
        <w:rPr>
          <w:rFonts w:eastAsia="宋体" w:cs="宋体"/>
          <w:vertAlign w:val="superscript"/>
        </w:rPr>
        <w:t>17</w:t>
      </w:r>
      <w:r>
        <w:rPr>
          <w:rFonts w:eastAsia="宋体" w:cs="宋体"/>
        </w:rPr>
        <w:t xml:space="preserve"> Hölmich, L.R., et al.2005a.The diagnosis of silicone breast implant rupture.Clinical findings compared to findings at MRI.Ann Plast Surg 54 (6): 583-9.</w:t>
      </w:r>
    </w:p>
    <w:p w14:paraId="1F402413">
      <w:pPr>
        <w:pStyle w:val="26"/>
        <w:rPr>
          <w:rFonts w:eastAsia="宋体"/>
          <w:lang w:eastAsia="zh-CN"/>
        </w:rPr>
      </w:pPr>
      <w:r>
        <w:rPr>
          <w:rFonts w:eastAsia="宋体" w:cs="宋体"/>
          <w:vertAlign w:val="superscript"/>
        </w:rPr>
        <w:t>18</w:t>
      </w:r>
      <w:r>
        <w:rPr>
          <w:rFonts w:eastAsia="宋体" w:cs="宋体"/>
        </w:rPr>
        <w:t xml:space="preserve"> Hölmich, L.R., et al.2005b.The diagnosis of breast implant rupture: MRI findings compared to findings at explantation. </w:t>
      </w:r>
      <w:r>
        <w:rPr>
          <w:rFonts w:eastAsia="宋体" w:cs="宋体"/>
          <w:lang w:eastAsia="zh-CN"/>
        </w:rPr>
        <w:t>2005.Eur J. Radiol.53: 213-25.</w:t>
      </w:r>
    </w:p>
    <w:p w14:paraId="7AB4B85A">
      <w:pPr>
        <w:pStyle w:val="26"/>
        <w:rPr>
          <w:rFonts w:eastAsia="宋体"/>
          <w:lang w:eastAsia="zh-CN"/>
        </w:rPr>
      </w:pPr>
      <w:r>
        <w:rPr>
          <w:rFonts w:eastAsia="宋体" w:cs="宋体"/>
          <w:vertAlign w:val="superscript"/>
          <w:lang w:eastAsia="zh-CN"/>
        </w:rPr>
        <w:t>19</w:t>
      </w:r>
      <w:r>
        <w:rPr>
          <w:rFonts w:eastAsia="宋体" w:cs="宋体"/>
          <w:lang w:eastAsia="zh-CN"/>
        </w:rPr>
        <w:t xml:space="preserve"> 这并非涉及MRI和非MRI分组的既往核心研究设计，因为FDA认为不应合并统计这些分组。</w:t>
      </w:r>
    </w:p>
    <w:p w14:paraId="02115188">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6D717332">
      <w:pPr>
        <w:pStyle w:val="16"/>
        <w:numPr>
          <w:ilvl w:val="0"/>
          <w:numId w:val="39"/>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所有症状性或无声器械破裂患者的局部和全身健康后果的详细描述，包括这些健康后果的严重度和这些患者的临床病程。全身健康后果可以包括结缔组织病（CTD）筛查结果。</w:t>
      </w:r>
    </w:p>
    <w:p w14:paraId="345D2620">
      <w:pPr>
        <w:adjustRightInd w:val="0"/>
        <w:snapToGrid w:val="0"/>
        <w:spacing w:before="120" w:beforeLines="50" w:line="300" w:lineRule="auto"/>
        <w:jc w:val="both"/>
        <w:rPr>
          <w:rFonts w:ascii="Times New Roman" w:hAnsi="Times New Roman" w:eastAsia="宋体" w:cs="Times New Roman"/>
          <w:snapToGrid w:val="0"/>
          <w:sz w:val="24"/>
          <w:szCs w:val="24"/>
        </w:rPr>
      </w:pPr>
      <w:r>
        <w:rPr>
          <w:rFonts w:ascii="Times New Roman" w:hAnsi="Times New Roman" w:eastAsia="宋体" w:cs="宋体"/>
          <w:sz w:val="24"/>
        </w:rPr>
        <w:t>此外，本机构建议提供以下每个破裂事件的发生率、</w:t>
      </w:r>
      <w:r>
        <w:rPr>
          <w:rFonts w:hint="eastAsia" w:ascii="Times New Roman" w:hAnsi="Times New Roman" w:eastAsia="宋体" w:cs="宋体"/>
          <w:sz w:val="24"/>
          <w:lang w:eastAsia="zh-CN"/>
        </w:rPr>
        <w:t>患病率</w:t>
      </w:r>
      <w:r>
        <w:rPr>
          <w:rFonts w:ascii="Times New Roman" w:hAnsi="Times New Roman" w:eastAsia="宋体" w:cs="宋体"/>
          <w:sz w:val="24"/>
        </w:rPr>
        <w:t>和Kaplan-Meier比率：</w:t>
      </w:r>
    </w:p>
    <w:p w14:paraId="748C65D3">
      <w:pPr>
        <w:pStyle w:val="16"/>
        <w:numPr>
          <w:ilvl w:val="0"/>
          <w:numId w:val="40"/>
        </w:numPr>
        <w:tabs>
          <w:tab w:val="left" w:pos="1005"/>
        </w:tabs>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确定或不确定破裂的MRI诊断，无论是否确认取出。如果合格MRI评估者和本地放射科医生的MRI阅片存在分歧，则计算无声破裂率时应采用其中一方的最坏情况阅片</w:t>
      </w:r>
    </w:p>
    <w:p w14:paraId="492B4570">
      <w:pPr>
        <w:pStyle w:val="16"/>
        <w:numPr>
          <w:ilvl w:val="0"/>
          <w:numId w:val="40"/>
        </w:numPr>
        <w:tabs>
          <w:tab w:val="left" w:pos="1010"/>
        </w:tabs>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取出时发现的破裂，无论MRI诊断如何</w:t>
      </w:r>
    </w:p>
    <w:p w14:paraId="1C13C836">
      <w:pPr>
        <w:pStyle w:val="16"/>
        <w:numPr>
          <w:ilvl w:val="0"/>
          <w:numId w:val="40"/>
        </w:numPr>
        <w:tabs>
          <w:tab w:val="left" w:pos="1010"/>
        </w:tabs>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在检索研究中发现的破裂（如果进行并适用检索研究）</w:t>
      </w:r>
    </w:p>
    <w:p w14:paraId="3DF47005">
      <w:pPr>
        <w:pStyle w:val="16"/>
        <w:numPr>
          <w:ilvl w:val="0"/>
          <w:numId w:val="40"/>
        </w:numPr>
        <w:tabs>
          <w:tab w:val="left" w:pos="1010"/>
        </w:tabs>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基于上述3个要点中任何一个来源的破裂数据的总体破裂率。</w:t>
      </w:r>
    </w:p>
    <w:p w14:paraId="657A56B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每个疑似破裂或报告为破裂的器械，本机构建议提供所有与破裂有关的诊断程序的日期和结果总结。本机构还建议提供这些诊断程序的实际报告（例如MRI报告、乳房X光检查报告），并为取出并更换或取出但不更换的器械提供手术植出报告。此外，本机构建议提供每个疑似破裂或确认破裂的器械的最终状况。</w:t>
      </w:r>
    </w:p>
    <w:p w14:paraId="215CAD34">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其他乳房植入体破裂</w:t>
      </w:r>
    </w:p>
    <w:p w14:paraId="7B6D62C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根据其他乳房植入体的填充物，FDA可能建议提供与上述硅凝胶填充型乳房植入体类似的破裂信息。</w:t>
      </w:r>
    </w:p>
    <w:p w14:paraId="2E726F2A">
      <w:pPr>
        <w:pStyle w:val="23"/>
        <w:rPr>
          <w:szCs w:val="24"/>
        </w:rPr>
      </w:pPr>
      <w:bookmarkStart w:id="41" w:name="_Toc95489783"/>
      <w:r>
        <w:t>F.</w:t>
      </w:r>
      <w:r>
        <w:tab/>
      </w:r>
      <w:r>
        <w:t>安全性评估 - 结缔组织疾病（CTD）</w:t>
      </w:r>
      <w:bookmarkEnd w:id="41"/>
    </w:p>
    <w:p w14:paraId="771F6B3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FDA意识到人们在过去几十年里已了解有关CTD的诸多知识，包括1999年医学研究所（IOM）硅酮乳房植入体安全性报告中的数据和分析。</w:t>
      </w:r>
      <w:r>
        <w:rPr>
          <w:rFonts w:ascii="Times New Roman" w:hAnsi="Times New Roman" w:eastAsia="宋体" w:cs="宋体"/>
          <w:sz w:val="24"/>
          <w:vertAlign w:val="superscript"/>
          <w:lang w:eastAsia="zh-CN"/>
        </w:rPr>
        <w:t>20</w:t>
      </w:r>
      <w:r>
        <w:rPr>
          <w:rFonts w:ascii="Times New Roman" w:hAnsi="Times New Roman" w:eastAsia="宋体" w:cs="宋体"/>
          <w:sz w:val="24"/>
          <w:lang w:eastAsia="zh-CN"/>
        </w:rPr>
        <w:t>此外，本机构意识到“核心研究”并非旨在研究乳房植入体与CTD发生之间的潜在联系。然而，本机构确实建议收集CTD信息作为对器械进行整体安全性评估的一部分，并向可能考虑接受乳房植入体的患者提供完整信息。</w:t>
      </w:r>
    </w:p>
    <w:p w14:paraId="0B60BF0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98C287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30F8F8F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A738A6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D922CA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0BC7A6D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w:t>
      </w:r>
    </w:p>
    <w:p w14:paraId="05591580">
      <w:pPr>
        <w:pStyle w:val="26"/>
        <w:rPr>
          <w:rFonts w:eastAsia="宋体"/>
          <w:lang w:eastAsia="zh-CN"/>
        </w:rPr>
      </w:pPr>
      <w:r>
        <w:rPr>
          <w:rFonts w:eastAsia="宋体" w:cs="宋体"/>
          <w:vertAlign w:val="superscript"/>
        </w:rPr>
        <w:t>20</w:t>
      </w:r>
      <w:r>
        <w:rPr>
          <w:rFonts w:hint="eastAsia" w:eastAsia="宋体" w:cs="宋体"/>
          <w:vertAlign w:val="superscript"/>
          <w:lang w:eastAsia="zh-CN"/>
        </w:rPr>
        <w:t xml:space="preserve"> </w:t>
      </w:r>
      <w:r>
        <w:rPr>
          <w:rFonts w:eastAsia="宋体" w:cs="宋体"/>
        </w:rPr>
        <w:t>Safety of Silicone Breast Implants.Institute of Medicine National Academy Press, Washington, D.C.2000.[IOM Report].</w:t>
      </w:r>
    </w:p>
    <w:p w14:paraId="459A7F3B">
      <w:pPr>
        <w:rPr>
          <w:rFonts w:ascii="Times New Roman" w:hAnsi="Times New Roman" w:eastAsia="宋体" w:cs="Times New Roman"/>
          <w:snapToGrid w:val="0"/>
          <w:sz w:val="24"/>
          <w:szCs w:val="24"/>
          <w:lang w:eastAsia="zh-CN"/>
        </w:rPr>
      </w:pPr>
      <w:r>
        <w:rPr>
          <w:rFonts w:ascii="Times New Roman" w:hAnsi="Times New Roman" w:eastAsia="宋体" w:cs="宋体"/>
          <w:sz w:val="24"/>
        </w:rPr>
        <w:br w:type="page"/>
      </w:r>
    </w:p>
    <w:p w14:paraId="530FC8F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建议在术前时间点和术后1、2、4、6、8和10年时间点对所有患者进行CTD评价。如有必要，患者应由风湿病医生或其他适当专家进行随访评价，并收集血清学信息（如抗核抗体（ANA）、类风湿因子（RF）、红细胞沉降率（ESR）、免疫球蛋白水平、c反应蛋白（CRP）、抗心磷脂抗体（IgG和IgM）、单克隆蛋白评价、补体水平）。</w:t>
      </w:r>
    </w:p>
    <w:p w14:paraId="1F9D46A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因为应将报告基线时未出现体征和症状的患者转诊给适当专家进行评价，请提供转诊给风湿病专家或其他专家的标准（即应答数量和类型）。还应报告根据这些评价结果转诊至专家处的患者比例。</w:t>
      </w:r>
    </w:p>
    <w:p w14:paraId="6FAB7058">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CTD诊断</w:t>
      </w:r>
    </w:p>
    <w:p w14:paraId="1F01C25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CTD诊断包括：</w:t>
      </w:r>
    </w:p>
    <w:p w14:paraId="2189BD34">
      <w:pPr>
        <w:pStyle w:val="16"/>
        <w:numPr>
          <w:ilvl w:val="0"/>
          <w:numId w:val="4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u w:val="single"/>
          <w:lang w:eastAsia="zh-CN"/>
        </w:rPr>
        <w:t>风湿性疾病</w:t>
      </w:r>
      <w:r>
        <w:rPr>
          <w:rFonts w:ascii="Times New Roman" w:hAnsi="Times New Roman" w:eastAsia="宋体" w:cs="宋体"/>
          <w:sz w:val="24"/>
          <w:lang w:eastAsia="zh-CN"/>
        </w:rPr>
        <w:t xml:space="preserve"> - </w:t>
      </w:r>
      <w:r>
        <w:rPr>
          <w:rFonts w:hint="eastAsia" w:ascii="Times New Roman" w:hAnsi="Times New Roman" w:eastAsia="宋体" w:cs="宋体"/>
          <w:sz w:val="24"/>
          <w:lang w:eastAsia="zh-CN"/>
        </w:rPr>
        <w:t>如类风湿性关节炎、系统性红斑狼疮、盘状狼疮、硬皮病、血管炎、多发性肌炎和皮肌炎</w:t>
      </w:r>
    </w:p>
    <w:p w14:paraId="3C2C4ACF">
      <w:pPr>
        <w:pStyle w:val="16"/>
        <w:numPr>
          <w:ilvl w:val="0"/>
          <w:numId w:val="4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u w:val="single"/>
          <w:lang w:eastAsia="zh-CN"/>
        </w:rPr>
        <w:t>风湿综合征</w:t>
      </w:r>
      <w:r>
        <w:rPr>
          <w:rFonts w:ascii="Times New Roman" w:hAnsi="Times New Roman" w:eastAsia="宋体" w:cs="宋体"/>
          <w:sz w:val="24"/>
          <w:lang w:eastAsia="zh-CN"/>
        </w:rPr>
        <w:t xml:space="preserve"> - </w:t>
      </w:r>
      <w:r>
        <w:rPr>
          <w:rFonts w:hint="eastAsia" w:ascii="Times New Roman" w:hAnsi="Times New Roman" w:eastAsia="宋体" w:cs="宋体"/>
          <w:sz w:val="24"/>
          <w:lang w:eastAsia="zh-CN"/>
        </w:rPr>
        <w:t>如雷诺现象、干燥综合征、</w:t>
      </w:r>
      <w:r>
        <w:rPr>
          <w:rFonts w:ascii="Times New Roman" w:hAnsi="Times New Roman" w:eastAsia="宋体" w:cs="宋体"/>
          <w:sz w:val="24"/>
          <w:lang w:eastAsia="zh-CN"/>
        </w:rPr>
        <w:t>CREST</w:t>
      </w:r>
      <w:r>
        <w:rPr>
          <w:rFonts w:hint="eastAsia" w:ascii="Times New Roman" w:hAnsi="Times New Roman" w:eastAsia="宋体" w:cs="宋体"/>
          <w:sz w:val="24"/>
          <w:lang w:eastAsia="zh-CN"/>
        </w:rPr>
        <w:t>综合征、硬斑病、腕管综合征、多发性硬化症样综合征、多发性骨髓瘤样综合征、慢性疲劳综合征和纤维肌痛。</w:t>
      </w:r>
    </w:p>
    <w:p w14:paraId="0A3EB5A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本机构建议为每个分组的每名患者提供以下内容：</w:t>
      </w:r>
    </w:p>
    <w:p w14:paraId="22CB81F7">
      <w:pPr>
        <w:pStyle w:val="16"/>
        <w:numPr>
          <w:ilvl w:val="0"/>
          <w:numId w:val="4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每个CTD诊断的Kaplan-Meier分析（例如，1</w:t>
      </w:r>
      <w:r>
        <w:rPr>
          <w:rFonts w:hint="eastAsia" w:ascii="Times New Roman" w:hAnsi="Times New Roman" w:eastAsia="宋体" w:cs="宋体"/>
          <w:sz w:val="24"/>
          <w:lang w:eastAsia="zh-CN"/>
        </w:rPr>
        <w:t>-系统性红斑狼疮随时间的病存活率</w:t>
      </w:r>
      <w:r>
        <w:rPr>
          <w:rFonts w:ascii="Times New Roman" w:hAnsi="Times New Roman" w:eastAsia="宋体" w:cs="宋体"/>
          <w:sz w:val="24"/>
          <w:lang w:eastAsia="zh-CN"/>
        </w:rPr>
        <w:t>），以及拥有一个或多个CTD诊断的分析</w:t>
      </w:r>
    </w:p>
    <w:p w14:paraId="7445A057">
      <w:pPr>
        <w:pStyle w:val="16"/>
        <w:numPr>
          <w:ilvl w:val="0"/>
          <w:numId w:val="4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分别针对每个CTD诊断在每个时间点的CTD诊断累计发生率，以及拥有一个或多个CTD诊断的分析。应提供所用分子和分母，并描述这些数值如何获得。分母应该是该时间点的患者数量。</w:t>
      </w:r>
    </w:p>
    <w:p w14:paraId="2E2531FA">
      <w:pPr>
        <w:pStyle w:val="5"/>
        <w:adjustRightInd w:val="0"/>
        <w:snapToGrid w:val="0"/>
        <w:spacing w:before="120" w:beforeLines="50" w:line="300" w:lineRule="auto"/>
        <w:ind w:left="0"/>
        <w:jc w:val="both"/>
        <w:rPr>
          <w:rFonts w:eastAsia="宋体" w:cs="Times New Roman"/>
          <w:b w:val="0"/>
          <w:bCs w:val="0"/>
          <w:i w:val="0"/>
          <w:snapToGrid w:val="0"/>
        </w:rPr>
      </w:pPr>
      <w:r>
        <w:rPr>
          <w:rFonts w:eastAsia="宋体" w:cs="宋体"/>
        </w:rPr>
        <w:t>CTD体征/症状类别</w:t>
      </w:r>
    </w:p>
    <w:p w14:paraId="63FB0DC6">
      <w:pPr>
        <w:adjustRightInd w:val="0"/>
        <w:snapToGrid w:val="0"/>
        <w:spacing w:before="120" w:beforeLines="50" w:line="300" w:lineRule="auto"/>
        <w:jc w:val="both"/>
        <w:rPr>
          <w:rFonts w:ascii="Times New Roman" w:hAnsi="Times New Roman" w:eastAsia="宋体" w:cs="Times New Roman"/>
          <w:snapToGrid w:val="0"/>
          <w:sz w:val="24"/>
          <w:szCs w:val="24"/>
        </w:rPr>
      </w:pPr>
      <w:r>
        <w:rPr>
          <w:rFonts w:ascii="Times New Roman" w:hAnsi="Times New Roman" w:eastAsia="宋体" w:cs="宋体"/>
          <w:sz w:val="24"/>
          <w:lang w:eastAsia="zh-CN"/>
        </w:rPr>
        <w:t>体征/症状类别是指解剖学或身体功能区（如皮肤、肌肉、关节、胃肠道、呼吸道、神经系统、一般）。</w:t>
      </w:r>
      <w:r>
        <w:rPr>
          <w:rFonts w:ascii="Times New Roman" w:hAnsi="Times New Roman" w:eastAsia="宋体" w:cs="宋体"/>
          <w:sz w:val="24"/>
        </w:rPr>
        <w:t>例如：</w:t>
      </w:r>
    </w:p>
    <w:p w14:paraId="314C497C">
      <w:pPr>
        <w:pStyle w:val="16"/>
        <w:numPr>
          <w:ilvl w:val="0"/>
          <w:numId w:val="4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皮肤类别包括脱发、面部皮疹、瘙痒和瘀斑</w:t>
      </w:r>
    </w:p>
    <w:p w14:paraId="56ABEABE">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1C596CEB">
      <w:pPr>
        <w:pStyle w:val="16"/>
        <w:numPr>
          <w:ilvl w:val="0"/>
          <w:numId w:val="4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肌肉类别包括肌痛、肌无力和CRP升高</w:t>
      </w:r>
    </w:p>
    <w:p w14:paraId="2DB42A72">
      <w:pPr>
        <w:pStyle w:val="16"/>
        <w:numPr>
          <w:ilvl w:val="0"/>
          <w:numId w:val="4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关节类别包括关节痛、关节炎和晨僵</w:t>
      </w:r>
    </w:p>
    <w:p w14:paraId="73CD1E4B">
      <w:pPr>
        <w:pStyle w:val="16"/>
        <w:numPr>
          <w:ilvl w:val="0"/>
          <w:numId w:val="4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神经系统类别包括认知功能障碍、记忆问题、周围神经病变和多发性硬化症样症状</w:t>
      </w:r>
    </w:p>
    <w:p w14:paraId="1F101D02">
      <w:pPr>
        <w:pStyle w:val="16"/>
        <w:numPr>
          <w:ilvl w:val="0"/>
          <w:numId w:val="4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一般类别包括疲劳、全身疼痛、发热和抑郁。</w:t>
      </w:r>
    </w:p>
    <w:p w14:paraId="48358FA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本机构建议为每个分组的每名患者提供以下数据：</w:t>
      </w:r>
    </w:p>
    <w:p w14:paraId="49D49671">
      <w:pPr>
        <w:pStyle w:val="16"/>
        <w:numPr>
          <w:ilvl w:val="0"/>
          <w:numId w:val="44"/>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每个症状类别的Kaplan-Meier分析</w:t>
      </w:r>
    </w:p>
    <w:p w14:paraId="7B9C3D4C">
      <w:pPr>
        <w:pStyle w:val="16"/>
        <w:numPr>
          <w:ilvl w:val="0"/>
          <w:numId w:val="44"/>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描述无一个或多个阳性症状的患者的Kaplan-Meier分析</w:t>
      </w:r>
    </w:p>
    <w:p w14:paraId="33E87B0E">
      <w:pPr>
        <w:pStyle w:val="16"/>
        <w:numPr>
          <w:ilvl w:val="0"/>
          <w:numId w:val="4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每个时间点上至少一个CTD体征/症状类别的累计发生率。应提供所用分子和分母，并描述这些数值如何获得。分母应该是该时间点的患者数量。</w:t>
      </w:r>
    </w:p>
    <w:p w14:paraId="78C59808">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单独CTD体征和症状</w:t>
      </w:r>
    </w:p>
    <w:p w14:paraId="4F6663D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单独CTD体征和症状示例包括脱发、面部皮疹、光敏感、干眼症、口干、关节痛、肌痛、神经痛、吞咽困难、持续30分钟以上的晨僵、眼部炎症/视网膜炎/视神经炎、肌肉无力、关节肿胀超过6周、胸膜炎、呼吸困难、皮疹、淋巴腺病、认知功能障碍、疲劳、麻痹、头晕、异常瘀伤或出血、紫癜、不明原因发热、荨麻疹、毛细血管扩张和瘀斑。</w:t>
      </w:r>
    </w:p>
    <w:p w14:paraId="26110F8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本机构建议为每个分组的每名患者提供以下数据：</w:t>
      </w:r>
    </w:p>
    <w:p w14:paraId="778DF234">
      <w:pPr>
        <w:pStyle w:val="16"/>
        <w:numPr>
          <w:ilvl w:val="0"/>
          <w:numId w:val="4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在每个时间点上每个单独CTD体征和症状的累计发生率。应提供所用分子和分母，并描述这些数值如何获得。分母应该是该时间点的患者数量。</w:t>
      </w:r>
    </w:p>
    <w:p w14:paraId="1B91A343">
      <w:pPr>
        <w:pStyle w:val="16"/>
        <w:numPr>
          <w:ilvl w:val="0"/>
          <w:numId w:val="4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报告CTD体征和症状（在乳房植入前未出现过）的患者的器械破裂情况、报告的并发症和患者满意度。</w:t>
      </w:r>
    </w:p>
    <w:p w14:paraId="3D310A3F">
      <w:pPr>
        <w:pStyle w:val="16"/>
        <w:numPr>
          <w:ilvl w:val="0"/>
          <w:numId w:val="4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将报告的新CTD体征和症状发生率和类型与已发表文献或其他可比来源的信息进行比较（例如，使用其他类型器械的患者数据，寻求其他类型美容手术的患者数据）。</w:t>
      </w:r>
    </w:p>
    <w:p w14:paraId="1D62E29D">
      <w:pPr>
        <w:pStyle w:val="3"/>
        <w:tabs>
          <w:tab w:val="left" w:pos="1559"/>
        </w:tabs>
        <w:adjustRightInd w:val="0"/>
        <w:snapToGrid w:val="0"/>
        <w:spacing w:before="120" w:beforeLines="50" w:line="300" w:lineRule="auto"/>
        <w:ind w:left="0" w:firstLine="0"/>
        <w:jc w:val="both"/>
        <w:rPr>
          <w:rFonts w:eastAsia="宋体" w:cs="Times New Roman"/>
          <w:snapToGrid w:val="0"/>
          <w:sz w:val="24"/>
          <w:szCs w:val="24"/>
          <w:lang w:eastAsia="zh-CN"/>
        </w:rPr>
      </w:pPr>
      <w:bookmarkStart w:id="42" w:name="G._Safety_Assessment_–_Mammography_Data"/>
      <w:bookmarkEnd w:id="42"/>
    </w:p>
    <w:p w14:paraId="759C5EB3">
      <w:pPr>
        <w:rPr>
          <w:rFonts w:ascii="Times New Roman" w:hAnsi="Times New Roman" w:eastAsia="宋体" w:cs="Times New Roman"/>
          <w:b/>
          <w:bCs/>
          <w:snapToGrid w:val="0"/>
          <w:sz w:val="24"/>
          <w:szCs w:val="24"/>
          <w:lang w:eastAsia="zh-CN"/>
        </w:rPr>
      </w:pPr>
      <w:r>
        <w:rPr>
          <w:rFonts w:ascii="Times New Roman" w:hAnsi="Times New Roman" w:eastAsia="宋体" w:cs="宋体"/>
          <w:sz w:val="24"/>
          <w:lang w:eastAsia="zh-CN"/>
        </w:rPr>
        <w:br w:type="page"/>
      </w:r>
    </w:p>
    <w:p w14:paraId="0AE9E5AD">
      <w:pPr>
        <w:pStyle w:val="23"/>
        <w:rPr>
          <w:szCs w:val="24"/>
        </w:rPr>
      </w:pPr>
      <w:bookmarkStart w:id="43" w:name="_Toc95489784"/>
      <w:r>
        <w:t>G.</w:t>
      </w:r>
      <w:r>
        <w:tab/>
      </w:r>
      <w:r>
        <w:t>安全性评估 - 乳腺X射线摄影数据</w:t>
      </w:r>
      <w:bookmarkEnd w:id="43"/>
    </w:p>
    <w:p w14:paraId="4A1CE00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对于在研究期间接受乳腺X射线摄影的患者，本机构建议对经乳腺X射线摄影发现可疑肿瘤的情况进行单独分析：</w:t>
      </w:r>
    </w:p>
    <w:p w14:paraId="50CA957A">
      <w:pPr>
        <w:pStyle w:val="16"/>
        <w:numPr>
          <w:ilvl w:val="0"/>
          <w:numId w:val="46"/>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无论活检结果如何</w:t>
      </w:r>
    </w:p>
    <w:p w14:paraId="06D5409E">
      <w:pPr>
        <w:pStyle w:val="16"/>
        <w:numPr>
          <w:ilvl w:val="0"/>
          <w:numId w:val="4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恶性肿瘤活检结果呈阳性</w:t>
      </w:r>
    </w:p>
    <w:p w14:paraId="3E1C91F7">
      <w:pPr>
        <w:pStyle w:val="16"/>
        <w:numPr>
          <w:ilvl w:val="0"/>
          <w:numId w:val="4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恶性肿瘤活检结果呈阴性。</w:t>
      </w:r>
    </w:p>
    <w:p w14:paraId="69187CC8">
      <w:pPr>
        <w:tabs>
          <w:tab w:val="left" w:pos="839"/>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对每个事件的分析应包括：</w:t>
      </w:r>
    </w:p>
    <w:p w14:paraId="6B77EC81">
      <w:pPr>
        <w:pStyle w:val="16"/>
        <w:numPr>
          <w:ilvl w:val="0"/>
          <w:numId w:val="47"/>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在每个时间点上每个分组的每名患者和每个器械的非累计点</w:t>
      </w:r>
      <w:r>
        <w:rPr>
          <w:rFonts w:hint="eastAsia" w:ascii="Times New Roman" w:hAnsi="Times New Roman" w:eastAsia="宋体" w:cs="宋体"/>
          <w:sz w:val="24"/>
          <w:lang w:eastAsia="zh-CN"/>
        </w:rPr>
        <w:t>患病率</w:t>
      </w:r>
      <w:r>
        <w:rPr>
          <w:rFonts w:ascii="Times New Roman" w:hAnsi="Times New Roman" w:eastAsia="宋体" w:cs="宋体"/>
          <w:sz w:val="24"/>
          <w:lang w:eastAsia="zh-CN"/>
        </w:rPr>
        <w:t>。应提供所用分子和分母，并描述这些数值如何获得。分母应该是该时间点的患者或器械数量</w:t>
      </w:r>
    </w:p>
    <w:p w14:paraId="72B9079F">
      <w:pPr>
        <w:pStyle w:val="16"/>
        <w:numPr>
          <w:ilvl w:val="0"/>
          <w:numId w:val="47"/>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每个分组在每个时间点、每个患者和每个器械上的累计发病率。应提供所用分子和分母，并描述这些数值如何获得。分母应该是该时间点的患者或器械数量</w:t>
      </w:r>
    </w:p>
    <w:p w14:paraId="3F665B38">
      <w:pPr>
        <w:pStyle w:val="16"/>
        <w:numPr>
          <w:ilvl w:val="0"/>
          <w:numId w:val="47"/>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与文献中报道的年龄匹配分组的数据进行比较。</w:t>
      </w:r>
    </w:p>
    <w:p w14:paraId="54C641F1">
      <w:pPr>
        <w:pStyle w:val="23"/>
        <w:rPr>
          <w:szCs w:val="24"/>
        </w:rPr>
      </w:pPr>
      <w:bookmarkStart w:id="44" w:name="_Toc95489785"/>
      <w:r>
        <w:t>H.</w:t>
      </w:r>
      <w:r>
        <w:tab/>
      </w:r>
      <w:r>
        <w:t>有效性评估</w:t>
      </w:r>
      <w:bookmarkEnd w:id="44"/>
    </w:p>
    <w:p w14:paraId="54DCA925">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患者报告结局（PRO）</w:t>
      </w:r>
    </w:p>
    <w:p w14:paraId="3051CE2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本机构建议提供PRO评估结果，以评估该器械的有益影响。这些就是FDA之前所述作为健康相关生活质量评价的相同评估。这些评估应包括但不限于：</w:t>
      </w:r>
    </w:p>
    <w:p w14:paraId="4D5F771A">
      <w:pPr>
        <w:pStyle w:val="16"/>
        <w:numPr>
          <w:ilvl w:val="0"/>
          <w:numId w:val="48"/>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自尊测量（例如罗森伯格自尊量表</w:t>
      </w:r>
      <w:r>
        <w:rPr>
          <w:rFonts w:ascii="Times New Roman" w:hAnsi="Times New Roman" w:eastAsia="宋体" w:cs="宋体"/>
          <w:sz w:val="24"/>
          <w:vertAlign w:val="superscript"/>
          <w:lang w:eastAsia="zh-CN"/>
        </w:rPr>
        <w:t>21</w:t>
      </w:r>
      <w:r>
        <w:rPr>
          <w:rFonts w:ascii="Times New Roman" w:hAnsi="Times New Roman" w:eastAsia="宋体" w:cs="宋体"/>
          <w:sz w:val="24"/>
          <w:lang w:eastAsia="zh-CN"/>
        </w:rPr>
        <w:t>或田纳西自我概念量表</w:t>
      </w:r>
      <w:r>
        <w:rPr>
          <w:rFonts w:ascii="Times New Roman" w:hAnsi="Times New Roman" w:eastAsia="宋体" w:cs="宋体"/>
          <w:sz w:val="24"/>
          <w:vertAlign w:val="superscript"/>
          <w:lang w:eastAsia="zh-CN"/>
        </w:rPr>
        <w:t>22</w:t>
      </w:r>
      <w:r>
        <w:rPr>
          <w:rFonts w:ascii="Times New Roman" w:hAnsi="Times New Roman" w:eastAsia="宋体" w:cs="宋体"/>
          <w:sz w:val="24"/>
          <w:lang w:eastAsia="zh-CN"/>
        </w:rPr>
        <w:t>）</w:t>
      </w:r>
    </w:p>
    <w:p w14:paraId="626909B8">
      <w:pPr>
        <w:pStyle w:val="16"/>
        <w:numPr>
          <w:ilvl w:val="0"/>
          <w:numId w:val="48"/>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身体形象测量（例如身体自尊量表</w:t>
      </w:r>
      <w:r>
        <w:rPr>
          <w:rFonts w:ascii="Times New Roman" w:hAnsi="Times New Roman" w:eastAsia="宋体" w:cs="宋体"/>
          <w:sz w:val="24"/>
          <w:vertAlign w:val="superscript"/>
          <w:lang w:eastAsia="zh-CN"/>
        </w:rPr>
        <w:t>23</w:t>
      </w:r>
      <w:r>
        <w:rPr>
          <w:rFonts w:ascii="Times New Roman" w:hAnsi="Times New Roman" w:eastAsia="宋体" w:cs="宋体"/>
          <w:sz w:val="24"/>
          <w:lang w:eastAsia="zh-CN"/>
        </w:rPr>
        <w:t>）</w:t>
      </w:r>
    </w:p>
    <w:p w14:paraId="72A6B98C">
      <w:pPr>
        <w:tabs>
          <w:tab w:val="left" w:pos="839"/>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01292AAC">
      <w:pPr>
        <w:tabs>
          <w:tab w:val="left" w:pos="839"/>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2356B0DF">
      <w:pPr>
        <w:tabs>
          <w:tab w:val="left" w:pos="839"/>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4FCC312E">
      <w:pPr>
        <w:tabs>
          <w:tab w:val="left" w:pos="839"/>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678792B4">
      <w:pPr>
        <w:tabs>
          <w:tab w:val="left" w:pos="839"/>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w:t>
      </w:r>
    </w:p>
    <w:p w14:paraId="5713F595">
      <w:pPr>
        <w:pStyle w:val="26"/>
        <w:rPr>
          <w:rFonts w:eastAsia="宋体"/>
        </w:rPr>
      </w:pPr>
      <w:r>
        <w:rPr>
          <w:rFonts w:eastAsia="宋体" w:cs="宋体"/>
          <w:vertAlign w:val="superscript"/>
        </w:rPr>
        <w:t>21</w:t>
      </w:r>
      <w:r>
        <w:rPr>
          <w:rFonts w:eastAsia="宋体" w:cs="宋体"/>
        </w:rPr>
        <w:t xml:space="preserve"> Rosenberg, M.1989.</w:t>
      </w:r>
      <w:r>
        <w:rPr>
          <w:rFonts w:eastAsia="宋体" w:cs="宋体"/>
          <w:i/>
        </w:rPr>
        <w:t>Society and the Adolescent Self-Image</w:t>
      </w:r>
      <w:r>
        <w:rPr>
          <w:rFonts w:eastAsia="宋体" w:cs="宋体"/>
        </w:rPr>
        <w:t>.Revised edition.Middletown, CT: Wesleyan University Press.</w:t>
      </w:r>
    </w:p>
    <w:p w14:paraId="33C12813">
      <w:pPr>
        <w:pStyle w:val="26"/>
        <w:rPr>
          <w:rFonts w:eastAsia="宋体"/>
        </w:rPr>
      </w:pPr>
      <w:r>
        <w:rPr>
          <w:rFonts w:eastAsia="宋体" w:cs="宋体"/>
          <w:vertAlign w:val="superscript"/>
        </w:rPr>
        <w:t>22</w:t>
      </w:r>
      <w:r>
        <w:rPr>
          <w:rFonts w:eastAsia="宋体" w:cs="宋体"/>
        </w:rPr>
        <w:t xml:space="preserve"> Fitts, W.Tennessee Self-Concept Scale: Manual.Western Psychological Services, Los Angeles, CA, July 1989.</w:t>
      </w:r>
    </w:p>
    <w:p w14:paraId="142B3DAB">
      <w:pPr>
        <w:pStyle w:val="26"/>
        <w:rPr>
          <w:rFonts w:eastAsia="宋体"/>
        </w:rPr>
      </w:pPr>
      <w:r>
        <w:rPr>
          <w:rFonts w:eastAsia="宋体" w:cs="宋体"/>
          <w:vertAlign w:val="superscript"/>
        </w:rPr>
        <w:t>23</w:t>
      </w:r>
      <w:r>
        <w:rPr>
          <w:rFonts w:eastAsia="宋体" w:cs="宋体"/>
        </w:rPr>
        <w:t xml:space="preserve"> Franzoi, S and Shields, S.(1984).The Body-Esteem Scale: Multidimensional structure and sex differences in a college population.Journal of Personality Assessment, 48, 173-178.</w:t>
      </w:r>
    </w:p>
    <w:p w14:paraId="59E977A6">
      <w:pPr>
        <w:rPr>
          <w:rFonts w:ascii="Times New Roman" w:hAnsi="Times New Roman" w:eastAsia="宋体" w:cs="Times New Roman"/>
          <w:snapToGrid w:val="0"/>
          <w:sz w:val="24"/>
          <w:szCs w:val="24"/>
          <w:lang w:eastAsia="zh-CN"/>
        </w:rPr>
      </w:pPr>
      <w:r>
        <w:rPr>
          <w:rFonts w:ascii="Times New Roman" w:hAnsi="Times New Roman" w:eastAsia="宋体" w:cs="宋体"/>
          <w:sz w:val="24"/>
        </w:rPr>
        <w:br w:type="page"/>
      </w:r>
    </w:p>
    <w:p w14:paraId="6CA013C9">
      <w:pPr>
        <w:pStyle w:val="16"/>
        <w:numPr>
          <w:ilvl w:val="0"/>
          <w:numId w:val="49"/>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一般健康结局测量（如SF-36状态调查，</w:t>
      </w:r>
      <w:r>
        <w:rPr>
          <w:rFonts w:ascii="Times New Roman" w:hAnsi="Times New Roman" w:eastAsia="宋体" w:cs="宋体"/>
          <w:sz w:val="24"/>
          <w:vertAlign w:val="superscript"/>
          <w:lang w:eastAsia="zh-CN"/>
        </w:rPr>
        <w:t>24</w:t>
      </w:r>
      <w:r>
        <w:rPr>
          <w:rFonts w:ascii="Times New Roman" w:hAnsi="Times New Roman" w:eastAsia="宋体" w:cs="宋体"/>
          <w:sz w:val="24"/>
          <w:lang w:eastAsia="zh-CN"/>
        </w:rPr>
        <w:t>医疗结果研究（MOS）20项健康调查</w:t>
      </w:r>
      <w:r>
        <w:rPr>
          <w:rFonts w:ascii="Times New Roman" w:hAnsi="Times New Roman" w:eastAsia="宋体" w:cs="宋体"/>
          <w:sz w:val="24"/>
          <w:vertAlign w:val="superscript"/>
          <w:lang w:eastAsia="zh-CN"/>
        </w:rPr>
        <w:t>25</w:t>
      </w:r>
      <w:r>
        <w:rPr>
          <w:rFonts w:ascii="Times New Roman" w:hAnsi="Times New Roman" w:eastAsia="宋体" w:cs="宋体"/>
          <w:sz w:val="24"/>
          <w:lang w:eastAsia="zh-CN"/>
        </w:rPr>
        <w:t>）。</w:t>
      </w:r>
    </w:p>
    <w:p w14:paraId="5424093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FDA建议在术前时间点和术后1、2、4、6、8和10年时间点对所有患者进行PRO评估。对于再造患者，应说明这些仪器的管理时间（延迟或再造后立即进行）。</w:t>
      </w:r>
    </w:p>
    <w:p w14:paraId="0582854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提供每个有效PRO测量的平均（±标准偏差）变化（术前到每次访视）。应为每个分组的每名患者报告这些结果。分母应该是在每个访视间隔中接受评价的患者数量。FDA还建议将结果与那些存在数据的PRO的已发表规范数据（例如SF-36）进行比较。</w:t>
      </w:r>
    </w:p>
    <w:p w14:paraId="7B3FF01F">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满意度</w:t>
      </w:r>
    </w:p>
    <w:p w14:paraId="5EEBD4B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本机构还建议提供有关患者满意度的数据。患者报告满意度指标应包括基于以下方面的满意度：</w:t>
      </w:r>
    </w:p>
    <w:p w14:paraId="184C4946">
      <w:pPr>
        <w:pStyle w:val="16"/>
        <w:numPr>
          <w:ilvl w:val="0"/>
          <w:numId w:val="50"/>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术前预期</w:t>
      </w:r>
    </w:p>
    <w:p w14:paraId="41A3BF46">
      <w:pPr>
        <w:pStyle w:val="16"/>
        <w:numPr>
          <w:ilvl w:val="0"/>
          <w:numId w:val="50"/>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初次外科手术</w:t>
      </w:r>
    </w:p>
    <w:p w14:paraId="41EDA6CA">
      <w:pPr>
        <w:pStyle w:val="16"/>
        <w:numPr>
          <w:ilvl w:val="0"/>
          <w:numId w:val="50"/>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任何辅助性外科和医疗程序</w:t>
      </w:r>
    </w:p>
    <w:p w14:paraId="55245C5D">
      <w:pPr>
        <w:pStyle w:val="16"/>
        <w:numPr>
          <w:ilvl w:val="0"/>
          <w:numId w:val="50"/>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任何并发症</w:t>
      </w:r>
    </w:p>
    <w:p w14:paraId="6EF8327A">
      <w:pPr>
        <w:pStyle w:val="16"/>
        <w:numPr>
          <w:ilvl w:val="0"/>
          <w:numId w:val="50"/>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器械</w:t>
      </w:r>
      <w:r>
        <w:rPr>
          <w:rFonts w:ascii="Times New Roman" w:hAnsi="Times New Roman" w:eastAsia="宋体" w:cs="宋体"/>
          <w:i/>
          <w:sz w:val="24"/>
          <w:lang w:eastAsia="zh-CN"/>
        </w:rPr>
        <w:t>取出</w:t>
      </w:r>
      <w:r>
        <w:rPr>
          <w:rFonts w:ascii="Times New Roman" w:hAnsi="Times New Roman" w:eastAsia="宋体" w:cs="宋体"/>
          <w:sz w:val="24"/>
          <w:lang w:eastAsia="zh-CN"/>
        </w:rPr>
        <w:t>，无论器械是否被更换</w:t>
      </w:r>
    </w:p>
    <w:p w14:paraId="42B5523B">
      <w:pPr>
        <w:pStyle w:val="16"/>
        <w:numPr>
          <w:ilvl w:val="0"/>
          <w:numId w:val="50"/>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是否已达到器械的预期获益</w:t>
      </w:r>
    </w:p>
    <w:p w14:paraId="41206817">
      <w:pPr>
        <w:pStyle w:val="16"/>
        <w:numPr>
          <w:ilvl w:val="0"/>
          <w:numId w:val="50"/>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患者是否愿意再次接受手术。</w:t>
      </w:r>
    </w:p>
    <w:p w14:paraId="13461F3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对于那些报告乳房植入术后不满意的患者，本机构建议提供以下信息：</w:t>
      </w:r>
    </w:p>
    <w:p w14:paraId="042820D4">
      <w:pPr>
        <w:pStyle w:val="16"/>
        <w:numPr>
          <w:ilvl w:val="0"/>
          <w:numId w:val="51"/>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不满意的原因</w:t>
      </w:r>
    </w:p>
    <w:p w14:paraId="12802010">
      <w:pPr>
        <w:pStyle w:val="16"/>
        <w:numPr>
          <w:ilvl w:val="0"/>
          <w:numId w:val="5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任何并发症是否存在、严重度、状态（即痊愈或未痊愈）以及解决方法</w:t>
      </w:r>
    </w:p>
    <w:p w14:paraId="585ABE62">
      <w:pPr>
        <w:pStyle w:val="16"/>
        <w:numPr>
          <w:ilvl w:val="0"/>
          <w:numId w:val="5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CTD诊断、体征和症状报告。</w:t>
      </w:r>
    </w:p>
    <w:p w14:paraId="2C4694C3">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解剖效果</w:t>
      </w:r>
    </w:p>
    <w:p w14:paraId="2AC5CA8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本机构建议提供器械对隆乳和隆乳修复分组的解剖效果数据。这可以通过比较前后胸罩和罩杯尺寸、胸围、对称性或其他标准化测量的匹配分析来实现。例如，本机构建议为每名患者提供以下资料：</w:t>
      </w:r>
    </w:p>
    <w:p w14:paraId="00F7F7D6">
      <w:pPr>
        <w:tabs>
          <w:tab w:val="left" w:pos="298"/>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_____________________</w:t>
      </w:r>
    </w:p>
    <w:p w14:paraId="43EB8F34">
      <w:pPr>
        <w:pStyle w:val="26"/>
        <w:rPr>
          <w:rFonts w:eastAsia="宋体"/>
        </w:rPr>
      </w:pPr>
      <w:r>
        <w:rPr>
          <w:rFonts w:eastAsia="宋体" w:cs="宋体"/>
          <w:vertAlign w:val="superscript"/>
        </w:rPr>
        <w:t>24</w:t>
      </w:r>
      <w:r>
        <w:rPr>
          <w:rFonts w:eastAsia="宋体" w:cs="宋体"/>
        </w:rPr>
        <w:t xml:space="preserve"> Ware J, et al.SF-36 Health Survey Manual and Interpretation Guide.The Health Institute, New England Medical Center, Boston, MA 1993.</w:t>
      </w:r>
    </w:p>
    <w:p w14:paraId="3EE19C27">
      <w:pPr>
        <w:pStyle w:val="26"/>
        <w:rPr>
          <w:rFonts w:eastAsia="宋体"/>
          <w:sz w:val="24"/>
          <w:szCs w:val="24"/>
        </w:rPr>
      </w:pPr>
      <w:r>
        <w:rPr>
          <w:rFonts w:eastAsia="宋体" w:cs="宋体"/>
          <w:vertAlign w:val="superscript"/>
        </w:rPr>
        <w:t>25</w:t>
      </w:r>
      <w:r>
        <w:rPr>
          <w:rFonts w:eastAsia="宋体" w:cs="宋体"/>
        </w:rPr>
        <w:t xml:space="preserve"> Stewart A., et al.The MOS Short-Form General Health Survey: Reliability and validity in a patient population.Medical Care 1988; 26: 724-735.</w:t>
      </w:r>
      <w:r>
        <w:rPr>
          <w:rFonts w:eastAsia="宋体" w:cs="宋体"/>
          <w:sz w:val="24"/>
        </w:rPr>
        <w:br w:type="page"/>
      </w:r>
    </w:p>
    <w:p w14:paraId="70305670">
      <w:pPr>
        <w:pStyle w:val="16"/>
        <w:numPr>
          <w:ilvl w:val="0"/>
          <w:numId w:val="5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基线、研究结束时胸罩尺寸的频率分布以及相较基线的变化</w:t>
      </w:r>
    </w:p>
    <w:p w14:paraId="0970F177">
      <w:pPr>
        <w:pStyle w:val="16"/>
        <w:numPr>
          <w:ilvl w:val="0"/>
          <w:numId w:val="5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基线、研究结束时的平均（±标准偏差）胸围以及相较基线的变化。</w:t>
      </w:r>
    </w:p>
    <w:p w14:paraId="4CEC0F90">
      <w:pPr>
        <w:pStyle w:val="23"/>
        <w:rPr>
          <w:szCs w:val="24"/>
        </w:rPr>
      </w:pPr>
      <w:bookmarkStart w:id="45" w:name="_Toc95489786"/>
      <w:r>
        <w:t>I.</w:t>
      </w:r>
      <w:r>
        <w:tab/>
      </w:r>
      <w:r>
        <w:t>其他统计学分析</w:t>
      </w:r>
      <w:bookmarkEnd w:id="45"/>
    </w:p>
    <w:p w14:paraId="171DDD09">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样本量确定依据</w:t>
      </w:r>
    </w:p>
    <w:p w14:paraId="6FB54DF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本机构建议提供统计学理由，说明为什么样本量足以评价器械。应该包括：</w:t>
      </w:r>
    </w:p>
    <w:p w14:paraId="197C5F83">
      <w:pPr>
        <w:pStyle w:val="16"/>
        <w:numPr>
          <w:ilvl w:val="0"/>
          <w:numId w:val="5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确定效果标准（即受检测的应答变量的临床显著差异）</w:t>
      </w:r>
    </w:p>
    <w:p w14:paraId="5368DE5C">
      <w:pPr>
        <w:pStyle w:val="16"/>
        <w:numPr>
          <w:ilvl w:val="0"/>
          <w:numId w:val="5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α</w:t>
      </w:r>
      <w:r>
        <w:rPr>
          <w:rFonts w:ascii="Times New Roman" w:hAnsi="Times New Roman" w:eastAsia="宋体" w:cs="宋体"/>
          <w:sz w:val="24"/>
          <w:lang w:eastAsia="zh-CN"/>
        </w:rPr>
        <w:t>和</w:t>
      </w:r>
      <w:r>
        <w:rPr>
          <w:rFonts w:ascii="Times New Roman" w:hAnsi="Times New Roman" w:eastAsia="宋体" w:cs="宋体"/>
          <w:sz w:val="24"/>
        </w:rPr>
        <w:t>β</w:t>
      </w:r>
      <w:r>
        <w:rPr>
          <w:rFonts w:ascii="Times New Roman" w:hAnsi="Times New Roman" w:eastAsia="宋体" w:cs="宋体"/>
          <w:sz w:val="24"/>
          <w:lang w:eastAsia="zh-CN"/>
        </w:rPr>
        <w:t>的统计误差</w:t>
      </w:r>
      <w:r>
        <w:rPr>
          <w:rFonts w:hint="eastAsia" w:ascii="Times New Roman" w:hAnsi="Times New Roman" w:eastAsia="宋体" w:cs="宋体"/>
          <w:sz w:val="24"/>
          <w:lang w:eastAsia="zh-CN"/>
        </w:rPr>
        <w:t>公差</w:t>
      </w:r>
      <w:r>
        <w:rPr>
          <w:rFonts w:ascii="Times New Roman" w:hAnsi="Times New Roman" w:eastAsia="宋体" w:cs="宋体"/>
          <w:sz w:val="24"/>
          <w:lang w:eastAsia="zh-CN"/>
        </w:rPr>
        <w:t>（如适用）</w:t>
      </w:r>
    </w:p>
    <w:p w14:paraId="79274AFB">
      <w:pPr>
        <w:pStyle w:val="16"/>
        <w:numPr>
          <w:ilvl w:val="0"/>
          <w:numId w:val="5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速率</w:t>
      </w:r>
      <w:r>
        <w:rPr>
          <w:rFonts w:hint="eastAsia" w:ascii="Times New Roman" w:hAnsi="Times New Roman" w:eastAsia="宋体" w:cs="宋体"/>
          <w:sz w:val="24"/>
          <w:lang w:eastAsia="zh-CN"/>
        </w:rPr>
        <w:t>预估</w:t>
      </w:r>
      <w:r>
        <w:rPr>
          <w:rFonts w:ascii="Times New Roman" w:hAnsi="Times New Roman" w:eastAsia="宋体" w:cs="宋体"/>
          <w:sz w:val="24"/>
          <w:lang w:eastAsia="zh-CN"/>
        </w:rPr>
        <w:t>的预期精确</w:t>
      </w:r>
      <w:r>
        <w:rPr>
          <w:rFonts w:hint="eastAsia" w:ascii="Times New Roman" w:hAnsi="Times New Roman" w:eastAsia="宋体" w:cs="宋体"/>
          <w:sz w:val="24"/>
          <w:lang w:eastAsia="zh-CN"/>
        </w:rPr>
        <w:t>度</w:t>
      </w:r>
      <w:r>
        <w:rPr>
          <w:rFonts w:ascii="Times New Roman" w:hAnsi="Times New Roman" w:eastAsia="宋体" w:cs="宋体"/>
          <w:sz w:val="24"/>
          <w:lang w:eastAsia="zh-CN"/>
        </w:rPr>
        <w:t>（例如，定义为置信区间的½宽度）</w:t>
      </w:r>
    </w:p>
    <w:p w14:paraId="73747E09">
      <w:pPr>
        <w:pStyle w:val="16"/>
        <w:numPr>
          <w:ilvl w:val="0"/>
          <w:numId w:val="5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应答变量的预期变异性（如已知）</w:t>
      </w:r>
    </w:p>
    <w:p w14:paraId="57140D0A">
      <w:pPr>
        <w:pStyle w:val="16"/>
        <w:numPr>
          <w:ilvl w:val="0"/>
          <w:numId w:val="5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任何假设或统计公式以及所用参考文献清单</w:t>
      </w:r>
    </w:p>
    <w:p w14:paraId="37451685">
      <w:pPr>
        <w:pStyle w:val="16"/>
        <w:numPr>
          <w:ilvl w:val="0"/>
          <w:numId w:val="53"/>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失访率的合理预估</w:t>
      </w:r>
    </w:p>
    <w:p w14:paraId="707DB6A5">
      <w:pPr>
        <w:pStyle w:val="16"/>
        <w:numPr>
          <w:ilvl w:val="0"/>
          <w:numId w:val="53"/>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所用的所有计算方法。</w:t>
      </w:r>
    </w:p>
    <w:p w14:paraId="21D4B8FA">
      <w:pPr>
        <w:pStyle w:val="5"/>
        <w:adjustRightInd w:val="0"/>
        <w:snapToGrid w:val="0"/>
        <w:spacing w:before="120" w:beforeLines="50" w:line="300" w:lineRule="auto"/>
        <w:ind w:left="0"/>
        <w:jc w:val="both"/>
        <w:rPr>
          <w:rFonts w:eastAsia="宋体" w:cs="Times New Roman"/>
          <w:b w:val="0"/>
          <w:bCs w:val="0"/>
          <w:i w:val="0"/>
          <w:snapToGrid w:val="0"/>
        </w:rPr>
      </w:pPr>
      <w:r>
        <w:rPr>
          <w:rFonts w:eastAsia="宋体" w:cs="宋体"/>
        </w:rPr>
        <w:t>汇总分析</w:t>
      </w:r>
    </w:p>
    <w:p w14:paraId="78C90AF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本机构建议提供汇总分析的统计依据：</w:t>
      </w:r>
    </w:p>
    <w:p w14:paraId="53B76047">
      <w:pPr>
        <w:pStyle w:val="16"/>
        <w:numPr>
          <w:ilvl w:val="0"/>
          <w:numId w:val="54"/>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研究中心</w:t>
      </w:r>
    </w:p>
    <w:p w14:paraId="3CF57203">
      <w:pPr>
        <w:pStyle w:val="16"/>
        <w:numPr>
          <w:ilvl w:val="0"/>
          <w:numId w:val="5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人口统计学和基线特征。</w:t>
      </w:r>
    </w:p>
    <w:p w14:paraId="2F23BE59">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每个安全性和有效性结局的逻辑回归分析</w:t>
      </w:r>
    </w:p>
    <w:p w14:paraId="094A2D5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为了确定哪些变量与每个安全性和有效性结果相关，本机构建议在适当情况下，为每个分组的每个器械提供逻辑回归分析，使用但不一定限于以下静态协变量：</w:t>
      </w:r>
    </w:p>
    <w:p w14:paraId="7DB9D6EA">
      <w:pPr>
        <w:pStyle w:val="16"/>
        <w:numPr>
          <w:ilvl w:val="0"/>
          <w:numId w:val="55"/>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患者年龄</w:t>
      </w:r>
    </w:p>
    <w:p w14:paraId="5D76C252">
      <w:pPr>
        <w:pStyle w:val="16"/>
        <w:numPr>
          <w:ilvl w:val="0"/>
          <w:numId w:val="5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适用范围（即隆乳、再造、修复型隆乳或修复型再造）</w:t>
      </w:r>
    </w:p>
    <w:p w14:paraId="3009B29C">
      <w:pPr>
        <w:pStyle w:val="16"/>
        <w:numPr>
          <w:ilvl w:val="0"/>
          <w:numId w:val="5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器械表面类型（即光滑或</w:t>
      </w:r>
      <w:r>
        <w:rPr>
          <w:rFonts w:hint="eastAsia" w:ascii="Times New Roman" w:hAnsi="Times New Roman" w:eastAsia="宋体" w:cs="宋体"/>
          <w:sz w:val="24"/>
          <w:lang w:eastAsia="zh-CN"/>
        </w:rPr>
        <w:t>有纹理</w:t>
      </w:r>
      <w:r>
        <w:rPr>
          <w:rFonts w:ascii="Times New Roman" w:hAnsi="Times New Roman" w:eastAsia="宋体" w:cs="宋体"/>
          <w:sz w:val="24"/>
          <w:lang w:eastAsia="zh-CN"/>
        </w:rPr>
        <w:t>）</w:t>
      </w:r>
    </w:p>
    <w:p w14:paraId="7F15D6F2">
      <w:pPr>
        <w:pStyle w:val="16"/>
        <w:numPr>
          <w:ilvl w:val="0"/>
          <w:numId w:val="5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器械类型（即单腔或多腔）</w:t>
      </w:r>
    </w:p>
    <w:p w14:paraId="03E3FEAC">
      <w:pPr>
        <w:pStyle w:val="16"/>
        <w:numPr>
          <w:ilvl w:val="0"/>
          <w:numId w:val="55"/>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器械尺寸</w:t>
      </w:r>
    </w:p>
    <w:p w14:paraId="5CADD098">
      <w:pPr>
        <w:pStyle w:val="16"/>
        <w:numPr>
          <w:ilvl w:val="0"/>
          <w:numId w:val="5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瓣膜类型（例如瓣叶、隔膜）</w:t>
      </w:r>
    </w:p>
    <w:p w14:paraId="13283555">
      <w:pPr>
        <w:pStyle w:val="16"/>
        <w:numPr>
          <w:ilvl w:val="0"/>
          <w:numId w:val="5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手术切口部位（如乳晕周围、乳房下皱褶、腋下）</w:t>
      </w:r>
      <w:r>
        <w:rPr>
          <w:rFonts w:ascii="Times New Roman" w:hAnsi="Times New Roman" w:eastAsia="宋体" w:cs="宋体"/>
          <w:sz w:val="24"/>
          <w:lang w:eastAsia="zh-CN"/>
        </w:rPr>
        <w:br w:type="page"/>
      </w:r>
    </w:p>
    <w:p w14:paraId="0892B6C1">
      <w:pPr>
        <w:pStyle w:val="16"/>
        <w:numPr>
          <w:ilvl w:val="0"/>
          <w:numId w:val="55"/>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切口尺寸</w:t>
      </w:r>
    </w:p>
    <w:p w14:paraId="7F79B86A">
      <w:pPr>
        <w:pStyle w:val="16"/>
        <w:numPr>
          <w:ilvl w:val="0"/>
          <w:numId w:val="5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器械的位置（例如，肌肉内、腺体下）</w:t>
      </w:r>
    </w:p>
    <w:p w14:paraId="7BA4C473">
      <w:pPr>
        <w:pStyle w:val="16"/>
        <w:numPr>
          <w:ilvl w:val="0"/>
          <w:numId w:val="5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再造时间（即立即或延迟）</w:t>
      </w:r>
    </w:p>
    <w:p w14:paraId="7B11590C">
      <w:pPr>
        <w:pStyle w:val="16"/>
        <w:numPr>
          <w:ilvl w:val="0"/>
          <w:numId w:val="5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lang w:eastAsia="zh-CN"/>
        </w:rPr>
        <w:t>外壳冲洗器</w:t>
      </w:r>
      <w:r>
        <w:rPr>
          <w:rFonts w:ascii="Times New Roman" w:hAnsi="Times New Roman" w:eastAsia="宋体" w:cs="宋体"/>
          <w:sz w:val="24"/>
          <w:lang w:eastAsia="zh-CN"/>
        </w:rPr>
        <w:t>的使用和类型</w:t>
      </w:r>
    </w:p>
    <w:p w14:paraId="63922981">
      <w:pPr>
        <w:pStyle w:val="16"/>
        <w:numPr>
          <w:ilvl w:val="0"/>
          <w:numId w:val="5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腔内药剂的使用和类型。</w:t>
      </w:r>
    </w:p>
    <w:p w14:paraId="794F1559">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破裂/萎缩Cox比例危害回归分析</w:t>
      </w:r>
    </w:p>
    <w:p w14:paraId="69F2EF3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为了确定哪些变量与破裂/萎缩有关，本机构建议使用上述静态协变量以及时间相关协变量（如感染、</w:t>
      </w:r>
      <w:r>
        <w:rPr>
          <w:rFonts w:hint="eastAsia" w:ascii="Times New Roman" w:hAnsi="Times New Roman" w:eastAsia="宋体" w:cs="宋体"/>
          <w:sz w:val="24"/>
          <w:lang w:eastAsia="zh-CN"/>
        </w:rPr>
        <w:t>乳腺包膜</w:t>
      </w:r>
      <w:r>
        <w:rPr>
          <w:rFonts w:ascii="Times New Roman" w:hAnsi="Times New Roman" w:eastAsia="宋体" w:cs="宋体"/>
          <w:sz w:val="24"/>
          <w:lang w:eastAsia="zh-CN"/>
        </w:rPr>
        <w:t>挛缩），对每个分组的每名患者进行破裂/萎缩Cox回归分析。系数预估应基于过渡至并发症的破裂/萎缩的相对风险（危险比）。这种方法的优点在于明确定义了破裂/萎缩，而且可以将多种并发症作为每种事件类型的单独时间相关协变量进行简易处理。这也解决了竞争性风险的问题。</w:t>
      </w:r>
    </w:p>
    <w:p w14:paraId="27D002CC">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CTD的广义预估方程（GEE）分析</w:t>
      </w:r>
    </w:p>
    <w:p w14:paraId="7208229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为了分析CTD症状和体征增加是否由植入体或患者年龄增大造成，本机构建议使用年龄作为协变量，为每个分组的每名患者提供GEE分析。</w:t>
      </w:r>
    </w:p>
    <w:p w14:paraId="3D2352C5">
      <w:pPr>
        <w:pStyle w:val="22"/>
        <w:rPr>
          <w:szCs w:val="24"/>
        </w:rPr>
      </w:pPr>
      <w:bookmarkStart w:id="46" w:name="_Toc95489787"/>
      <w:r>
        <w:t>IX.</w:t>
      </w:r>
      <w:r>
        <w:tab/>
      </w:r>
      <w:r>
        <w:t>其他临床数据</w:t>
      </w:r>
      <w:bookmarkEnd w:id="46"/>
    </w:p>
    <w:p w14:paraId="0F2B22AA">
      <w:pPr>
        <w:pStyle w:val="23"/>
        <w:rPr>
          <w:szCs w:val="24"/>
        </w:rPr>
      </w:pPr>
      <w:bookmarkStart w:id="47" w:name="_Toc95489788"/>
      <w:r>
        <w:t>A.</w:t>
      </w:r>
      <w:r>
        <w:tab/>
      </w:r>
      <w:r>
        <w:t>说明破裂的补充临床资料</w:t>
      </w:r>
      <w:bookmarkEnd w:id="47"/>
    </w:p>
    <w:p w14:paraId="04DD981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本节仅涉及硅凝胶填充型和其他乳房植入体。</w:t>
      </w:r>
    </w:p>
    <w:p w14:paraId="44209D5F">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硅凝胶填充型乳房植入体</w:t>
      </w:r>
    </w:p>
    <w:p w14:paraId="3242186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由于样本量有限，本机构认为核心研究可能无法完全说明器械破裂的问题。利用其他信息来源（比如其他美国或欧洲回顾性或前瞻性研究或文献），本机构建议提供以下有关器械的补充临床信息：</w:t>
      </w:r>
    </w:p>
    <w:p w14:paraId="2CAE3D65">
      <w:pPr>
        <w:pStyle w:val="16"/>
        <w:numPr>
          <w:ilvl w:val="0"/>
          <w:numId w:val="5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任何可用长期破裂率数据，最好是通过对研究群体进行前瞻性连续筛查，使用具有可比敏感性和特异性的放射诊断技术或其他技术来收集</w:t>
      </w:r>
    </w:p>
    <w:p w14:paraId="337624B5">
      <w:pPr>
        <w:pStyle w:val="16"/>
        <w:numPr>
          <w:ilvl w:val="0"/>
          <w:numId w:val="5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观察到的</w:t>
      </w:r>
      <w:r>
        <w:rPr>
          <w:rFonts w:hint="eastAsia" w:ascii="Times New Roman" w:hAnsi="Times New Roman" w:eastAsia="宋体" w:cs="宋体"/>
          <w:sz w:val="24"/>
          <w:lang w:eastAsia="zh-CN"/>
        </w:rPr>
        <w:t>乳腺包膜</w:t>
      </w:r>
      <w:r>
        <w:rPr>
          <w:rFonts w:ascii="Times New Roman" w:hAnsi="Times New Roman" w:eastAsia="宋体" w:cs="宋体"/>
          <w:sz w:val="24"/>
          <w:lang w:eastAsia="zh-CN"/>
        </w:rPr>
        <w:t>内凝胶、</w:t>
      </w:r>
      <w:r>
        <w:rPr>
          <w:rFonts w:hint="eastAsia" w:ascii="Times New Roman" w:hAnsi="Times New Roman" w:eastAsia="宋体" w:cs="宋体"/>
          <w:sz w:val="24"/>
          <w:lang w:eastAsia="zh-CN"/>
        </w:rPr>
        <w:t>乳腺包膜</w:t>
      </w:r>
      <w:r>
        <w:rPr>
          <w:rFonts w:ascii="Times New Roman" w:hAnsi="Times New Roman" w:eastAsia="宋体" w:cs="宋体"/>
          <w:sz w:val="24"/>
          <w:lang w:eastAsia="zh-CN"/>
        </w:rPr>
        <w:t>外凝胶和迁移凝胶频率，以及迁移凝胶去向</w:t>
      </w:r>
    </w:p>
    <w:p w14:paraId="566B0580">
      <w:pPr>
        <w:pStyle w:val="16"/>
        <w:numPr>
          <w:ilvl w:val="0"/>
          <w:numId w:val="5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详细描述所有器械破裂患者（包括症状性和无声破裂患者）的局部和全身健康后果，包括局部健康后果的严重度和这些患者的临床病程</w:t>
      </w:r>
    </w:p>
    <w:p w14:paraId="62BEDFDB">
      <w:pPr>
        <w:pStyle w:val="16"/>
        <w:numPr>
          <w:ilvl w:val="0"/>
          <w:numId w:val="5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无声破裂进展为症状性破裂的发生率、</w:t>
      </w:r>
      <w:r>
        <w:rPr>
          <w:rFonts w:hint="eastAsia" w:ascii="Times New Roman" w:hAnsi="Times New Roman" w:eastAsia="宋体" w:cs="宋体"/>
          <w:sz w:val="24"/>
          <w:lang w:eastAsia="zh-CN"/>
        </w:rPr>
        <w:t>患病率</w:t>
      </w:r>
      <w:r>
        <w:rPr>
          <w:rFonts w:ascii="Times New Roman" w:hAnsi="Times New Roman" w:eastAsia="宋体" w:cs="宋体"/>
          <w:sz w:val="24"/>
          <w:lang w:eastAsia="zh-CN"/>
        </w:rPr>
        <w:t>和时间。</w:t>
      </w:r>
    </w:p>
    <w:p w14:paraId="4F9EC506">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18F969AC">
      <w:pPr>
        <w:pStyle w:val="16"/>
        <w:numPr>
          <w:ilvl w:val="0"/>
          <w:numId w:val="5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lang w:eastAsia="zh-CN"/>
        </w:rPr>
        <w:t>乳腺包膜</w:t>
      </w:r>
      <w:r>
        <w:rPr>
          <w:rFonts w:ascii="Times New Roman" w:hAnsi="Times New Roman" w:eastAsia="宋体" w:cs="宋体"/>
          <w:sz w:val="24"/>
          <w:lang w:eastAsia="zh-CN"/>
        </w:rPr>
        <w:t>内破裂进展为</w:t>
      </w:r>
      <w:r>
        <w:rPr>
          <w:rFonts w:hint="eastAsia" w:ascii="Times New Roman" w:hAnsi="Times New Roman" w:eastAsia="宋体" w:cs="宋体"/>
          <w:sz w:val="24"/>
          <w:lang w:eastAsia="zh-CN"/>
        </w:rPr>
        <w:t>乳腺包膜</w:t>
      </w:r>
      <w:r>
        <w:rPr>
          <w:rFonts w:ascii="Times New Roman" w:hAnsi="Times New Roman" w:eastAsia="宋体" w:cs="宋体"/>
          <w:sz w:val="24"/>
          <w:lang w:eastAsia="zh-CN"/>
        </w:rPr>
        <w:t>外破裂的发生率、</w:t>
      </w:r>
      <w:r>
        <w:rPr>
          <w:rFonts w:hint="eastAsia" w:ascii="Times New Roman" w:hAnsi="Times New Roman" w:eastAsia="宋体" w:cs="宋体"/>
          <w:sz w:val="24"/>
          <w:lang w:eastAsia="zh-CN"/>
        </w:rPr>
        <w:t>患病率</w:t>
      </w:r>
      <w:r>
        <w:rPr>
          <w:rFonts w:ascii="Times New Roman" w:hAnsi="Times New Roman" w:eastAsia="宋体" w:cs="宋体"/>
          <w:sz w:val="24"/>
          <w:lang w:eastAsia="zh-CN"/>
        </w:rPr>
        <w:t>和时间。</w:t>
      </w:r>
    </w:p>
    <w:p w14:paraId="3357B3F1">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其他乳房植入体</w:t>
      </w:r>
    </w:p>
    <w:p w14:paraId="469EF0D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根据其他乳房植入体的设计或材料，FDA可能建议提供类似于上述硅凝胶填充型乳房植入体的补充临床资料。</w:t>
      </w:r>
    </w:p>
    <w:p w14:paraId="5A89CB68">
      <w:pPr>
        <w:pStyle w:val="23"/>
        <w:rPr>
          <w:szCs w:val="24"/>
        </w:rPr>
      </w:pPr>
      <w:bookmarkStart w:id="48" w:name="_Toc95489789"/>
      <w:r>
        <w:t>B.</w:t>
      </w:r>
      <w:r>
        <w:tab/>
      </w:r>
      <w:r>
        <w:t>补充文献资料</w:t>
      </w:r>
      <w:bookmarkEnd w:id="48"/>
    </w:p>
    <w:p w14:paraId="734D3F2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由于核心研究的样本量有限，本机构建议就以下主题提供一份有关乳房植入体的最新文献回顾。这些主题包括：</w:t>
      </w:r>
    </w:p>
    <w:p w14:paraId="757D9EDA">
      <w:pPr>
        <w:pStyle w:val="16"/>
        <w:numPr>
          <w:ilvl w:val="0"/>
          <w:numId w:val="57"/>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癌症（包括乳腺癌和非乳腺癌）</w:t>
      </w:r>
    </w:p>
    <w:p w14:paraId="6F43F49F">
      <w:pPr>
        <w:pStyle w:val="16"/>
        <w:numPr>
          <w:ilvl w:val="0"/>
          <w:numId w:val="57"/>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良性乳腺疾病</w:t>
      </w:r>
    </w:p>
    <w:p w14:paraId="1D0C7977">
      <w:pPr>
        <w:pStyle w:val="16"/>
        <w:numPr>
          <w:ilvl w:val="0"/>
          <w:numId w:val="57"/>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CTD诊断、体征和症状，包括纤维肌痛</w:t>
      </w:r>
    </w:p>
    <w:p w14:paraId="029C8DE5">
      <w:pPr>
        <w:pStyle w:val="16"/>
        <w:numPr>
          <w:ilvl w:val="0"/>
          <w:numId w:val="57"/>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肿瘤或破裂的乳腺X射线检查对器械的干扰</w:t>
      </w:r>
    </w:p>
    <w:p w14:paraId="4AFC3E7E">
      <w:pPr>
        <w:pStyle w:val="16"/>
        <w:numPr>
          <w:ilvl w:val="0"/>
          <w:numId w:val="57"/>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神经系统疾病</w:t>
      </w:r>
    </w:p>
    <w:p w14:paraId="49F6395F">
      <w:pPr>
        <w:pStyle w:val="16"/>
        <w:numPr>
          <w:ilvl w:val="0"/>
          <w:numId w:val="57"/>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泌乳能力</w:t>
      </w:r>
    </w:p>
    <w:p w14:paraId="0603DAF1">
      <w:pPr>
        <w:pStyle w:val="16"/>
        <w:numPr>
          <w:ilvl w:val="0"/>
          <w:numId w:val="57"/>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子女问题（母乳喂养的安全性和子女影响）</w:t>
      </w:r>
    </w:p>
    <w:p w14:paraId="5CF2F277">
      <w:pPr>
        <w:pStyle w:val="16"/>
        <w:numPr>
          <w:ilvl w:val="0"/>
          <w:numId w:val="57"/>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lang w:eastAsia="zh-CN"/>
        </w:rPr>
        <w:t>乳腺包膜</w:t>
      </w:r>
      <w:r>
        <w:rPr>
          <w:rFonts w:ascii="Times New Roman" w:hAnsi="Times New Roman" w:eastAsia="宋体" w:cs="宋体"/>
          <w:sz w:val="24"/>
          <w:lang w:eastAsia="zh-CN"/>
        </w:rPr>
        <w:t>外和迁移凝胶破裂的潜在系统性健康后果</w:t>
      </w:r>
    </w:p>
    <w:p w14:paraId="6F4CB1CB">
      <w:pPr>
        <w:pStyle w:val="16"/>
        <w:numPr>
          <w:ilvl w:val="0"/>
          <w:numId w:val="57"/>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凝胶渗出的潜在健康后果</w:t>
      </w:r>
    </w:p>
    <w:p w14:paraId="6C4DAE88">
      <w:pPr>
        <w:pStyle w:val="16"/>
        <w:numPr>
          <w:ilvl w:val="0"/>
          <w:numId w:val="57"/>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抑郁、焦虑和自杀。</w:t>
      </w:r>
    </w:p>
    <w:p w14:paraId="7B2D85E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对目前有关乳房植入体的医学文献进行彻底检索，以说明上述每个主题的临床经验范围，因为它们与特定器械类型（即硅凝胶填充型、盐水填充型或其他）有关，以及文献的选择标准和方法。本机构建议提供参考文献副本并制定资料汇总表。</w:t>
      </w:r>
    </w:p>
    <w:p w14:paraId="1C77ABF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本机构建议提供针对目标乳房植入体类型的文献资料。然而，如果没有特定器械类型资料，应提供文献中的汇集数据（例如，硅凝胶和盐水数据）。</w:t>
      </w:r>
    </w:p>
    <w:p w14:paraId="360C041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对于其他乳房植入体，如果其他材料用于另一种医疗器械类型，本机构建议提供涉及该材料临床经验的文献摘要。</w:t>
      </w:r>
    </w:p>
    <w:p w14:paraId="06066B8F">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3F590811">
      <w:pPr>
        <w:pStyle w:val="22"/>
        <w:rPr>
          <w:szCs w:val="24"/>
        </w:rPr>
      </w:pPr>
      <w:bookmarkStart w:id="49" w:name="_Toc95489790"/>
      <w:r>
        <w:t>X.</w:t>
      </w:r>
      <w:r>
        <w:tab/>
      </w:r>
      <w:r>
        <w:t>标</w:t>
      </w:r>
      <w:r>
        <w:rPr>
          <w:rFonts w:hint="eastAsia"/>
        </w:rPr>
        <w:t>签</w:t>
      </w:r>
      <w:bookmarkEnd w:id="49"/>
    </w:p>
    <w:p w14:paraId="55975A14">
      <w:pPr>
        <w:pStyle w:val="23"/>
        <w:rPr>
          <w:szCs w:val="24"/>
        </w:rPr>
      </w:pPr>
      <w:bookmarkStart w:id="50" w:name="_Toc95489791"/>
      <w:r>
        <w:t>A.</w:t>
      </w:r>
      <w:r>
        <w:tab/>
      </w:r>
      <w:r>
        <w:t>一般信息</w:t>
      </w:r>
      <w:bookmarkEnd w:id="50"/>
    </w:p>
    <w:p w14:paraId="2A678C4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医疗器械的一般标签要求参见</w:t>
      </w:r>
      <w:r>
        <w:rPr>
          <w:rFonts w:hint="eastAsia" w:ascii="Times New Roman" w:hAnsi="Times New Roman" w:eastAsia="宋体" w:cs="宋体"/>
          <w:sz w:val="24"/>
          <w:lang w:eastAsia="zh-CN"/>
        </w:rPr>
        <w:t>CFR第21篇</w:t>
      </w:r>
      <w:r>
        <w:rPr>
          <w:rFonts w:ascii="Times New Roman" w:hAnsi="Times New Roman" w:eastAsia="宋体" w:cs="宋体"/>
          <w:sz w:val="24"/>
          <w:lang w:eastAsia="zh-CN"/>
        </w:rPr>
        <w:t>第801部分。IDE申请的其他标签要求参见21 CFR §§ 812.5和812.20(b)(10)。PMA申请的其他标签要求参见21 CFR § 814.20(b)(10)。IDE和PMA法规要求提供器械的所有标签副本。</w:t>
      </w:r>
    </w:p>
    <w:p w14:paraId="617E5A6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以下是对医师标签、患者标签和患者器械卡的描述，本机构建议在提交乳房植入体的IDE或PMA时，为器械提供这些标签。以下提供的标签建议基于对盐水填充型和硅凝胶填充型乳房植入体的标签建议。虽然FDA认为这些标签建议也普遍适用于其他乳房植入体，但FDA认为某些建议可能不适用，或者FDA可能根据其他乳房植入体的设计、材料和性能特征，为其建议不同或其他标签。本机构鼓励其他乳房植入体的制造商通过预提交过程与CDRH联系，以获得有关其特定器械的更详细反馈。有关预提交的更多信息，请参见FDA指南</w:t>
      </w:r>
      <w:r>
        <w:rPr>
          <w:rFonts w:ascii="Times New Roman" w:hAnsi="Times New Roman" w:eastAsia="宋体" w:cs="宋体"/>
          <w:snapToGrid w:val="0"/>
          <w:color w:val="0000FF"/>
          <w:sz w:val="24"/>
          <w:szCs w:val="24"/>
          <w:u w:val="single" w:color="0000FF"/>
          <w:lang w:eastAsia="zh-CN"/>
        </w:rPr>
        <w:t>医疗器械提交的反馈和会议申请：Q-提交计划</w:t>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26</w:t>
      </w:r>
    </w:p>
    <w:p w14:paraId="475F525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有关盐水填充型和硅凝胶填充型乳房植入体的某些标签信息内容和格式的更多建议，请参见FDA指南《</w:t>
      </w:r>
      <w:r>
        <w:fldChar w:fldCharType="begin"/>
      </w:r>
      <w:r>
        <w:instrText xml:space="preserve"> HYPERLINK "https://www.fda.gov/regulatory-information/search-fda-guidance-documents/breast-implants-certain-labeling-recommendations-improve-patient-communication" \h </w:instrText>
      </w:r>
      <w:r>
        <w:fldChar w:fldCharType="separate"/>
      </w:r>
      <w:r>
        <w:rPr>
          <w:rFonts w:ascii="Times New Roman" w:hAnsi="Times New Roman" w:eastAsia="宋体" w:cs="宋体"/>
          <w:snapToGrid w:val="0"/>
          <w:color w:val="0000FF"/>
          <w:sz w:val="24"/>
          <w:szCs w:val="24"/>
          <w:u w:val="single" w:color="0000FF"/>
          <w:lang w:eastAsia="zh-CN"/>
        </w:rPr>
        <w:t>乳房植入体 - 改善患者沟通的某些标签建议</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27</w:t>
      </w:r>
      <w:r>
        <w:rPr>
          <w:rFonts w:ascii="Times New Roman" w:hAnsi="Times New Roman" w:eastAsia="宋体" w:cs="宋体"/>
          <w:sz w:val="24"/>
          <w:lang w:eastAsia="zh-CN"/>
        </w:rPr>
        <w:t>（《乳房植入体标签指南》），包括在这些器械的标签中加入黑框警告和患者检查表、更新硅凝胶填充型乳房植入体破裂筛查建议、加入易于查找的材料描述以及提供患者器械卡。这些标签建议旨在加强而不是取代医师和患者对仅适用于个别患者的乳房植入体获益和风险的讨论。</w:t>
      </w:r>
    </w:p>
    <w:p w14:paraId="2EE60E60">
      <w:pPr>
        <w:pStyle w:val="23"/>
        <w:rPr>
          <w:szCs w:val="24"/>
        </w:rPr>
      </w:pPr>
      <w:bookmarkStart w:id="51" w:name="_Toc95489792"/>
      <w:r>
        <w:t>B.</w:t>
      </w:r>
      <w:r>
        <w:tab/>
      </w:r>
      <w:r>
        <w:t>医师标签</w:t>
      </w:r>
      <w:bookmarkEnd w:id="51"/>
    </w:p>
    <w:p w14:paraId="4AC232A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本机构建议为乳房植入体PMA提供医师标签（即说明书），该标签包括以下类型的信息：</w:t>
      </w:r>
    </w:p>
    <w:p w14:paraId="171DBF82">
      <w:pPr>
        <w:pStyle w:val="16"/>
        <w:numPr>
          <w:ilvl w:val="0"/>
          <w:numId w:val="58"/>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器械名称、样式和简要器械描述</w:t>
      </w:r>
    </w:p>
    <w:p w14:paraId="6B48905A">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59D6BA64">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1DB9652C">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6C6B1077">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62638A02">
      <w:pPr>
        <w:tabs>
          <w:tab w:val="left" w:pos="300"/>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w:t>
      </w:r>
    </w:p>
    <w:p w14:paraId="1FB25468">
      <w:pPr>
        <w:pStyle w:val="26"/>
        <w:rPr>
          <w:rFonts w:eastAsia="宋体"/>
        </w:rPr>
      </w:pPr>
      <w:r>
        <w:rPr>
          <w:rFonts w:eastAsia="宋体"/>
          <w:vertAlign w:val="superscript"/>
        </w:rPr>
        <w:t>26</w:t>
      </w:r>
      <w:r>
        <w:rPr>
          <w:rFonts w:eastAsia="宋体"/>
        </w:rPr>
        <w:t xml:space="preserve"> </w:t>
      </w:r>
      <w:r>
        <w:fldChar w:fldCharType="begin"/>
      </w:r>
      <w:r>
        <w:instrText xml:space="preserve"> HYPERLINK "https://www.fda.gov/regulatory-information/search-fda-guidance-documents/requests-feedback-and-meetings-medical-device-submissions-q-submission-program" \h </w:instrText>
      </w:r>
      <w:r>
        <w:fldChar w:fldCharType="separate"/>
      </w:r>
      <w:bookmarkStart w:id="52" w:name="_bookmark72"/>
      <w:bookmarkEnd w:id="52"/>
      <w:r>
        <w:rPr>
          <w:rFonts w:eastAsia="宋体"/>
          <w:color w:val="0000FF"/>
          <w:u w:val="single" w:color="0000FF"/>
        </w:rPr>
        <w:t>https://www.fda.gov/regulatory-information/search-fda-guidance-documents/requests-feedback-and-</w:t>
      </w:r>
      <w:r>
        <w:rPr>
          <w:rFonts w:eastAsia="宋体"/>
          <w:color w:val="0000FF"/>
          <w:u w:val="single" w:color="0000FF"/>
        </w:rPr>
        <w:fldChar w:fldCharType="end"/>
      </w:r>
      <w:r>
        <w:fldChar w:fldCharType="begin"/>
      </w:r>
      <w:r>
        <w:instrText xml:space="preserve"> HYPERLINK "https://www.fda.gov/regulatory-information/search-fda-guidance-documents/requests-feedback-and-meetings-medical-device-submissions-q-submission-program" \h </w:instrText>
      </w:r>
      <w:r>
        <w:fldChar w:fldCharType="separate"/>
      </w:r>
      <w:r>
        <w:rPr>
          <w:rFonts w:eastAsia="宋体"/>
          <w:color w:val="0000FF"/>
          <w:u w:val="single" w:color="0000FF"/>
        </w:rPr>
        <w:t>meetings-medical-device-submissions-q-submission-program</w:t>
      </w:r>
      <w:r>
        <w:rPr>
          <w:rFonts w:eastAsia="宋体"/>
          <w:color w:val="000000"/>
        </w:rPr>
        <w:t>.</w:t>
      </w:r>
      <w:r>
        <w:rPr>
          <w:rFonts w:eastAsia="宋体"/>
          <w:color w:val="000000"/>
        </w:rPr>
        <w:fldChar w:fldCharType="end"/>
      </w:r>
    </w:p>
    <w:p w14:paraId="175CDFEB">
      <w:pPr>
        <w:pStyle w:val="26"/>
        <w:rPr>
          <w:rFonts w:eastAsia="宋体"/>
          <w:color w:val="000000"/>
        </w:rPr>
      </w:pPr>
      <w:r>
        <w:rPr>
          <w:rFonts w:eastAsia="宋体"/>
          <w:vertAlign w:val="superscript"/>
        </w:rPr>
        <w:t>27</w:t>
      </w:r>
      <w:r>
        <w:rPr>
          <w:rFonts w:eastAsia="宋体"/>
        </w:rPr>
        <w:t xml:space="preserve"> </w:t>
      </w:r>
      <w:r>
        <w:fldChar w:fldCharType="begin"/>
      </w:r>
      <w:r>
        <w:instrText xml:space="preserve"> HYPERLINK "https://www.fda.gov/regulatory-information/search-fda-guidance-documents/breast-implants-certain-labeling-recommendations-improve-patient-communication" \h </w:instrText>
      </w:r>
      <w:r>
        <w:fldChar w:fldCharType="separate"/>
      </w:r>
      <w:bookmarkStart w:id="53" w:name="_bookmark73"/>
      <w:bookmarkEnd w:id="53"/>
      <w:r>
        <w:rPr>
          <w:rFonts w:eastAsia="宋体"/>
          <w:color w:val="0000FF"/>
          <w:u w:val="single" w:color="0000FF"/>
        </w:rPr>
        <w:t>https://www.fda.gov/regulatory-information/search-fda-guidance-documents/breast-implants-certain-labeling-</w:t>
      </w:r>
      <w:r>
        <w:rPr>
          <w:rFonts w:eastAsia="宋体"/>
          <w:color w:val="0000FF"/>
          <w:u w:val="single" w:color="0000FF"/>
        </w:rPr>
        <w:fldChar w:fldCharType="end"/>
      </w:r>
      <w:r>
        <w:rPr>
          <w:rFonts w:eastAsia="宋体"/>
          <w:color w:val="0000FF"/>
        </w:rPr>
        <w:t xml:space="preserve"> </w:t>
      </w:r>
      <w:r>
        <w:fldChar w:fldCharType="begin"/>
      </w:r>
      <w:r>
        <w:instrText xml:space="preserve"> HYPERLINK "https://www.fda.gov/regulatory-information/search-fda-guidance-documents/breast-implants-certain-labeling-recommendations-improve-patient-communication" \h </w:instrText>
      </w:r>
      <w:r>
        <w:fldChar w:fldCharType="separate"/>
      </w:r>
      <w:r>
        <w:rPr>
          <w:rFonts w:eastAsia="宋体"/>
          <w:color w:val="0000FF"/>
          <w:u w:val="single" w:color="0000FF"/>
        </w:rPr>
        <w:t>recommendations-improve-patient-communication</w:t>
      </w:r>
      <w:r>
        <w:rPr>
          <w:rFonts w:eastAsia="宋体"/>
          <w:color w:val="000000"/>
        </w:rPr>
        <w:t>.</w:t>
      </w:r>
      <w:r>
        <w:rPr>
          <w:rFonts w:eastAsia="宋体"/>
          <w:color w:val="000000"/>
        </w:rPr>
        <w:fldChar w:fldCharType="end"/>
      </w:r>
    </w:p>
    <w:p w14:paraId="6106EE72">
      <w:pPr>
        <w:rPr>
          <w:rFonts w:ascii="Times New Roman" w:hAnsi="Times New Roman" w:eastAsia="宋体" w:cs="Times New Roman"/>
          <w:snapToGrid w:val="0"/>
          <w:color w:val="000000"/>
          <w:sz w:val="24"/>
          <w:szCs w:val="24"/>
        </w:rPr>
      </w:pPr>
      <w:r>
        <w:rPr>
          <w:rFonts w:ascii="Times New Roman" w:hAnsi="Times New Roman" w:eastAsia="宋体" w:cs="宋体"/>
          <w:color w:val="000000"/>
          <w:sz w:val="24"/>
        </w:rPr>
        <w:br w:type="page"/>
      </w:r>
    </w:p>
    <w:p w14:paraId="61F66E78">
      <w:pPr>
        <w:pStyle w:val="16"/>
        <w:numPr>
          <w:ilvl w:val="0"/>
          <w:numId w:val="59"/>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制造商、包装商或分销商的名称和地址</w:t>
      </w:r>
    </w:p>
    <w:p w14:paraId="45F8D061">
      <w:pPr>
        <w:pStyle w:val="16"/>
        <w:numPr>
          <w:ilvl w:val="0"/>
          <w:numId w:val="59"/>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“无菌”、“请勿重复灭菌”和“仅限一次性使用”说明（或类似措辞）</w:t>
      </w:r>
    </w:p>
    <w:p w14:paraId="755EEA75">
      <w:pPr>
        <w:pStyle w:val="16"/>
        <w:numPr>
          <w:ilvl w:val="0"/>
          <w:numId w:val="59"/>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适用范围</w:t>
      </w:r>
    </w:p>
    <w:p w14:paraId="555586CF">
      <w:pPr>
        <w:pStyle w:val="16"/>
        <w:numPr>
          <w:ilvl w:val="0"/>
          <w:numId w:val="59"/>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任何相关禁忌症（包括因干扰器械完整性或性能而禁止采用的外科手术）</w:t>
      </w:r>
    </w:p>
    <w:p w14:paraId="4D219A3A">
      <w:pPr>
        <w:pStyle w:val="16"/>
        <w:numPr>
          <w:ilvl w:val="0"/>
          <w:numId w:val="59"/>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黑框警告，如《</w:t>
      </w:r>
      <w:r>
        <w:fldChar w:fldCharType="begin"/>
      </w:r>
      <w:r>
        <w:instrText xml:space="preserve"> HYPERLINK "https://www.fda.gov/regulatory-information/search-fda-guidance-documents/breast-implants-certain-labeling-recommendations-improve-patient-communication" \h </w:instrText>
      </w:r>
      <w:r>
        <w:fldChar w:fldCharType="separate"/>
      </w:r>
      <w:r>
        <w:rPr>
          <w:rFonts w:ascii="Times New Roman" w:hAnsi="Times New Roman" w:eastAsia="宋体" w:cs="宋体"/>
          <w:snapToGrid w:val="0"/>
          <w:color w:val="0000FF"/>
          <w:sz w:val="24"/>
          <w:szCs w:val="24"/>
          <w:u w:val="single" w:color="0000FF"/>
          <w:lang w:eastAsia="zh-CN"/>
        </w:rPr>
        <w:t>乳房植入体标签指南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》中“黑框警告”部分所述</w:t>
      </w:r>
    </w:p>
    <w:p w14:paraId="1D26738C">
      <w:pPr>
        <w:pStyle w:val="16"/>
        <w:numPr>
          <w:ilvl w:val="0"/>
          <w:numId w:val="59"/>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任何其他相关警告，包括但不限于：</w:t>
      </w:r>
    </w:p>
    <w:p w14:paraId="672B787B">
      <w:pPr>
        <w:pStyle w:val="16"/>
        <w:numPr>
          <w:ilvl w:val="0"/>
          <w:numId w:val="60"/>
        </w:numPr>
        <w:adjustRightInd w:val="0"/>
        <w:snapToGrid w:val="0"/>
        <w:spacing w:before="120" w:beforeLines="50" w:line="300" w:lineRule="auto"/>
        <w:ind w:left="156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不得进行闭合式</w:t>
      </w:r>
      <w:r>
        <w:rPr>
          <w:rFonts w:hint="eastAsia" w:ascii="Times New Roman" w:hAnsi="Times New Roman" w:eastAsia="宋体" w:cs="宋体"/>
          <w:sz w:val="24"/>
          <w:lang w:eastAsia="zh-CN"/>
        </w:rPr>
        <w:t>乳腺包膜</w:t>
      </w:r>
      <w:r>
        <w:rPr>
          <w:rFonts w:ascii="Times New Roman" w:hAnsi="Times New Roman" w:eastAsia="宋体" w:cs="宋体"/>
          <w:sz w:val="24"/>
          <w:lang w:eastAsia="zh-CN"/>
        </w:rPr>
        <w:t>切开术的警告，因为该手术已获证明可能导致器械破裂</w:t>
      </w:r>
    </w:p>
    <w:p w14:paraId="09B9F07C">
      <w:pPr>
        <w:pStyle w:val="16"/>
        <w:numPr>
          <w:ilvl w:val="0"/>
          <w:numId w:val="60"/>
        </w:numPr>
        <w:adjustRightInd w:val="0"/>
        <w:snapToGrid w:val="0"/>
        <w:spacing w:before="120" w:beforeLines="50" w:line="300" w:lineRule="auto"/>
        <w:ind w:left="156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不得在填充物中添加非推荐物质（如碘伏、类固醇和抗生素）的警告，因为该物质可能加剧和/或加速外壳分离</w:t>
      </w:r>
    </w:p>
    <w:p w14:paraId="3D4B8ACE">
      <w:pPr>
        <w:pStyle w:val="16"/>
        <w:numPr>
          <w:ilvl w:val="0"/>
          <w:numId w:val="61"/>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任何相关预防措施</w:t>
      </w:r>
    </w:p>
    <w:p w14:paraId="1618DECD">
      <w:pPr>
        <w:pStyle w:val="16"/>
        <w:numPr>
          <w:ilvl w:val="0"/>
          <w:numId w:val="61"/>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潜在并发症清单</w:t>
      </w:r>
    </w:p>
    <w:p w14:paraId="53280968">
      <w:pPr>
        <w:pStyle w:val="16"/>
        <w:numPr>
          <w:ilvl w:val="0"/>
          <w:numId w:val="6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术前患者程序（如预防性抗生素）、手术室程序（如应准备哪些用品）和故障排除程序</w:t>
      </w:r>
    </w:p>
    <w:p w14:paraId="41FDB7B1">
      <w:pPr>
        <w:pStyle w:val="16"/>
        <w:numPr>
          <w:ilvl w:val="0"/>
          <w:numId w:val="6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植入说明，包括手术方法和具体器械信息（取决于乳房植入体的类型）</w:t>
      </w:r>
    </w:p>
    <w:p w14:paraId="3D7CE422">
      <w:pPr>
        <w:pStyle w:val="16"/>
        <w:numPr>
          <w:ilvl w:val="0"/>
          <w:numId w:val="6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确保器械完整性和正确放置的术中试验程序（如有必要）</w:t>
      </w:r>
    </w:p>
    <w:p w14:paraId="7B48B63A">
      <w:pPr>
        <w:pStyle w:val="16"/>
        <w:numPr>
          <w:ilvl w:val="0"/>
          <w:numId w:val="6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有关术后患者护理的说明，包括如何监测器械完整性和放置</w:t>
      </w:r>
    </w:p>
    <w:p w14:paraId="2F83D305">
      <w:pPr>
        <w:pStyle w:val="16"/>
        <w:numPr>
          <w:ilvl w:val="0"/>
          <w:numId w:val="6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根据破裂模式/原因研究，指导如何尽量减少与手术过程有关的失效</w:t>
      </w:r>
    </w:p>
    <w:p w14:paraId="6F433BB5">
      <w:pPr>
        <w:pStyle w:val="16"/>
        <w:numPr>
          <w:ilvl w:val="0"/>
          <w:numId w:val="6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适当的临床研究安全性和有效性结果</w:t>
      </w:r>
    </w:p>
    <w:p w14:paraId="0156873E">
      <w:pPr>
        <w:pStyle w:val="16"/>
        <w:numPr>
          <w:ilvl w:val="0"/>
          <w:numId w:val="6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适当的非临床研究结果，包括破裂模式/原因和凝胶渗出结果</w:t>
      </w:r>
    </w:p>
    <w:p w14:paraId="6F8F0BFE">
      <w:pPr>
        <w:pStyle w:val="16"/>
        <w:numPr>
          <w:ilvl w:val="0"/>
          <w:numId w:val="6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上述第IX.B节所述的文献资料</w:t>
      </w:r>
    </w:p>
    <w:p w14:paraId="5DCC1180">
      <w:pPr>
        <w:pStyle w:val="16"/>
        <w:numPr>
          <w:ilvl w:val="0"/>
          <w:numId w:val="6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对于硅凝胶填充型乳房植入体，建议采用《</w:t>
      </w:r>
      <w:r>
        <w:fldChar w:fldCharType="begin"/>
      </w:r>
      <w:r>
        <w:instrText xml:space="preserve"> HYPERLINK "https://www.fda.gov/regulatory-information/search-fda-guidance-documents/breast-implants-certain-labeling-recommendations-improve-patient-communication" \h </w:instrText>
      </w:r>
      <w:r>
        <w:fldChar w:fldCharType="separate"/>
      </w:r>
      <w:r>
        <w:rPr>
          <w:rFonts w:ascii="Times New Roman" w:hAnsi="Times New Roman" w:eastAsia="宋体" w:cs="宋体"/>
          <w:snapToGrid w:val="0"/>
          <w:color w:val="0000FF"/>
          <w:sz w:val="24"/>
          <w:szCs w:val="24"/>
          <w:u w:val="single" w:color="0000FF"/>
          <w:lang w:eastAsia="zh-CN"/>
        </w:rPr>
        <w:t>乳房植入体标签指南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》中“最新破裂筛查建议”部分所述的破裂筛查方法和频率</w:t>
      </w:r>
    </w:p>
    <w:p w14:paraId="78C83509">
      <w:pPr>
        <w:pStyle w:val="16"/>
        <w:numPr>
          <w:ilvl w:val="0"/>
          <w:numId w:val="6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可疑和确认破裂的临床管理</w:t>
      </w:r>
    </w:p>
    <w:p w14:paraId="33A79CCC">
      <w:pPr>
        <w:pStyle w:val="16"/>
        <w:numPr>
          <w:ilvl w:val="0"/>
          <w:numId w:val="6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如果发现破裂，建议取出植入体。</w:t>
      </w:r>
    </w:p>
    <w:p w14:paraId="403701C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除涉及具体临床结果的内容外，IDE医师标签应包括上述项目中确定的所有内容。此外，标签必须包括以下声明：“注意 - 研究性器械。联邦（或美国）法律规定仅限研究性使用”。（21 CFR § 812.5）。</w:t>
      </w:r>
    </w:p>
    <w:p w14:paraId="194BBD3B">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09A7520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应在手术</w:t>
      </w:r>
      <w:r>
        <w:rPr>
          <w:rFonts w:ascii="Times New Roman" w:hAnsi="Times New Roman" w:eastAsia="宋体" w:cs="宋体"/>
          <w:sz w:val="24"/>
          <w:u w:val="single"/>
          <w:lang w:eastAsia="zh-CN"/>
        </w:rPr>
        <w:t>前</w:t>
      </w:r>
      <w:r>
        <w:rPr>
          <w:rFonts w:ascii="Times New Roman" w:hAnsi="Times New Roman" w:eastAsia="宋体" w:cs="宋体"/>
          <w:sz w:val="24"/>
          <w:lang w:eastAsia="zh-CN"/>
        </w:rPr>
        <w:t>应要求向患者提供医师标签，无论该要求是直接来自患者还是通过医师或外科医生。</w:t>
      </w:r>
    </w:p>
    <w:p w14:paraId="7302CF53">
      <w:pPr>
        <w:pStyle w:val="23"/>
        <w:rPr>
          <w:szCs w:val="24"/>
        </w:rPr>
      </w:pPr>
      <w:bookmarkStart w:id="54" w:name="_Toc95489793"/>
      <w:r>
        <w:t>C.</w:t>
      </w:r>
      <w:r>
        <w:tab/>
      </w:r>
      <w:r>
        <w:t>患者标签</w:t>
      </w:r>
      <w:bookmarkEnd w:id="54"/>
    </w:p>
    <w:p w14:paraId="4DD89BD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患者标签旨在为患者提供足够信息（例如，对获益和风险的现实预期），以便患者可以对乳房植入体的获益和风险做出知情决定。</w:t>
      </w:r>
    </w:p>
    <w:p w14:paraId="09E038B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患者手册/小册子和患者器械卡均属于乳房植入体患者标签的一部分。FDA建议患者手册/小册子包括黑框警告、患者决定检查表、破裂筛查建议和材料/器械说明（如《</w:t>
      </w:r>
      <w:r>
        <w:fldChar w:fldCharType="begin"/>
      </w:r>
      <w:r>
        <w:instrText xml:space="preserve"> HYPERLINK "https://www.fda.gov/regulatory-information/search-fda-guidance-documents/breast-implants-certain-labeling-recommendations-improve-patient-communication" \h </w:instrText>
      </w:r>
      <w:r>
        <w:fldChar w:fldCharType="separate"/>
      </w:r>
      <w:r>
        <w:rPr>
          <w:rFonts w:ascii="Times New Roman" w:hAnsi="Times New Roman" w:eastAsia="宋体" w:cs="宋体"/>
          <w:snapToGrid w:val="0"/>
          <w:color w:val="0000FF"/>
          <w:sz w:val="24"/>
          <w:szCs w:val="24"/>
          <w:u w:val="single" w:color="0000FF"/>
          <w:lang w:eastAsia="zh-CN"/>
        </w:rPr>
        <w:t>乳房植入体标签指南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》中所述）以及其他患者资料（如本指南中所述）。</w:t>
      </w:r>
      <w:r>
        <w:rPr>
          <w:rFonts w:ascii="Times New Roman" w:hAnsi="Times New Roman" w:eastAsia="宋体" w:cs="宋体"/>
          <w:color w:val="000000"/>
          <w:sz w:val="24"/>
          <w:lang w:eastAsia="zh-CN"/>
        </w:rPr>
        <w:t>对于那些决定采用乳房植入体的患者，术后也应向患者提供患者器械卡。</w:t>
      </w:r>
    </w:p>
    <w:p w14:paraId="79ED812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患者标签和IDE知情同意文件不应以超过美国大多数读者易于理解和使用的阅读理解水平编写。有关更多信息，本机构建议参考FDA的《</w:t>
      </w:r>
      <w:r>
        <w:fldChar w:fldCharType="begin"/>
      </w:r>
      <w:r>
        <w:instrText xml:space="preserve"> HYPERLINK "https://www.fda.gov/regulatory-information/search-fda-guidance-documents/guidance-medical-device-patient-labeling" \h </w:instrText>
      </w:r>
      <w:r>
        <w:fldChar w:fldCharType="separate"/>
      </w:r>
      <w:r>
        <w:rPr>
          <w:rFonts w:ascii="Times New Roman" w:hAnsi="Times New Roman" w:eastAsia="宋体" w:cs="宋体"/>
          <w:snapToGrid w:val="0"/>
          <w:color w:val="0000FF"/>
          <w:sz w:val="24"/>
          <w:szCs w:val="24"/>
          <w:u w:val="single" w:color="0000FF"/>
          <w:lang w:eastAsia="zh-CN"/>
        </w:rPr>
        <w:t>医疗器械患者标签指南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28</w:t>
      </w:r>
      <w:r>
        <w:rPr>
          <w:rFonts w:ascii="Times New Roman" w:hAnsi="Times New Roman" w:eastAsia="宋体" w:cs="宋体"/>
          <w:color w:val="000000"/>
          <w:sz w:val="24"/>
          <w:lang w:eastAsia="zh-CN"/>
        </w:rPr>
        <w:t>和有关通俗易懂语言的信息，登录以下网址获取</w:t>
      </w:r>
      <w:r>
        <w:fldChar w:fldCharType="begin"/>
      </w:r>
      <w:r>
        <w:instrText xml:space="preserve"> HYPERLINK "http://www.plainlanguage.gov/" \h </w:instrText>
      </w:r>
      <w:r>
        <w:fldChar w:fldCharType="separate"/>
      </w:r>
      <w:r>
        <w:rPr>
          <w:rFonts w:ascii="Times New Roman" w:hAnsi="Times New Roman" w:eastAsia="宋体" w:cs="宋体"/>
          <w:snapToGrid w:val="0"/>
          <w:color w:val="0000FF"/>
          <w:sz w:val="24"/>
          <w:szCs w:val="24"/>
          <w:u w:val="single" w:color="0000FF"/>
          <w:lang w:eastAsia="zh-CN"/>
        </w:rPr>
        <w:t>http://www.plainlanguage.gov</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p>
    <w:p w14:paraId="277F99FE">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患者信息手册/小册子</w:t>
      </w:r>
    </w:p>
    <w:p w14:paraId="6543785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本机构建议患者信息手册/小册子包括以下类型的信息：</w:t>
      </w:r>
    </w:p>
    <w:p w14:paraId="686D98D8">
      <w:pPr>
        <w:pStyle w:val="16"/>
        <w:numPr>
          <w:ilvl w:val="0"/>
          <w:numId w:val="6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器械名称、样式和简要器械描述</w:t>
      </w:r>
    </w:p>
    <w:p w14:paraId="4F8D897C">
      <w:pPr>
        <w:pStyle w:val="16"/>
        <w:numPr>
          <w:ilvl w:val="0"/>
          <w:numId w:val="62"/>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适用范围</w:t>
      </w:r>
    </w:p>
    <w:p w14:paraId="03E02CEC">
      <w:pPr>
        <w:pStyle w:val="16"/>
        <w:numPr>
          <w:ilvl w:val="0"/>
          <w:numId w:val="6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黑框警告，如《</w:t>
      </w:r>
      <w:r>
        <w:fldChar w:fldCharType="begin"/>
      </w:r>
      <w:r>
        <w:instrText xml:space="preserve"> HYPERLINK "https://www.fda.gov/regulatory-information/search-fda-guidance-documents/guidance-medical-device-patient-labeling" \h </w:instrText>
      </w:r>
      <w:r>
        <w:fldChar w:fldCharType="separate"/>
      </w:r>
      <w:r>
        <w:rPr>
          <w:rFonts w:ascii="Times New Roman" w:hAnsi="Times New Roman" w:eastAsia="宋体" w:cs="宋体"/>
          <w:snapToGrid w:val="0"/>
          <w:color w:val="0000FF"/>
          <w:sz w:val="24"/>
          <w:szCs w:val="24"/>
          <w:u w:val="single" w:color="0000FF"/>
          <w:lang w:eastAsia="zh-CN"/>
        </w:rPr>
        <w:t>乳房植入体标签指南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》中所述</w:t>
      </w:r>
    </w:p>
    <w:p w14:paraId="4A28092A">
      <w:pPr>
        <w:pStyle w:val="16"/>
        <w:numPr>
          <w:ilvl w:val="0"/>
          <w:numId w:val="6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相关禁忌症、警告和预防措施</w:t>
      </w:r>
    </w:p>
    <w:p w14:paraId="7CF46945">
      <w:pPr>
        <w:pStyle w:val="16"/>
        <w:numPr>
          <w:ilvl w:val="0"/>
          <w:numId w:val="6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潜在并发症，包括解决这些问题的可能方法</w:t>
      </w:r>
    </w:p>
    <w:p w14:paraId="4777742D">
      <w:pPr>
        <w:pStyle w:val="16"/>
        <w:numPr>
          <w:ilvl w:val="0"/>
          <w:numId w:val="6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术后护理说明（例如，术后注意事项、应立即告知医生的症状、恢复时间、体力限制、乳房监测方法）</w:t>
      </w:r>
    </w:p>
    <w:p w14:paraId="4CB0C2C8">
      <w:pPr>
        <w:pStyle w:val="16"/>
        <w:numPr>
          <w:ilvl w:val="0"/>
          <w:numId w:val="6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决定是否采用乳房植入体的因素（例如，可能不是终身器械或一次性手术、植入后乳房发生诸多不可逆变化、乳房植入体可能影响哺乳能力、常规乳腺x射线摄影检查可能更困难、可能面临医疗保险问题）</w:t>
      </w:r>
    </w:p>
    <w:p w14:paraId="342D43BB">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478C24F1">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6671FA61">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3D9F4A5B">
      <w:pPr>
        <w:tabs>
          <w:tab w:val="left" w:pos="300"/>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w:t>
      </w:r>
    </w:p>
    <w:p w14:paraId="22F46D36">
      <w:pPr>
        <w:pStyle w:val="26"/>
        <w:rPr>
          <w:rFonts w:eastAsia="宋体"/>
        </w:rPr>
      </w:pPr>
      <w:r>
        <w:rPr>
          <w:rFonts w:eastAsia="宋体"/>
          <w:vertAlign w:val="superscript"/>
        </w:rPr>
        <w:t>28</w:t>
      </w:r>
      <w:r>
        <w:rPr>
          <w:rFonts w:eastAsia="宋体"/>
        </w:rPr>
        <w:t xml:space="preserve"> </w:t>
      </w:r>
      <w:r>
        <w:fldChar w:fldCharType="begin"/>
      </w:r>
      <w:r>
        <w:instrText xml:space="preserve"> HYPERLINK "https://www.fda.gov/regulatory-information/search-fda-guidance-documents/guidance-medical-device-patient-labeling" \h </w:instrText>
      </w:r>
      <w:r>
        <w:fldChar w:fldCharType="separate"/>
      </w:r>
      <w:bookmarkStart w:id="55" w:name="_bookmark75"/>
      <w:bookmarkEnd w:id="55"/>
      <w:r>
        <w:rPr>
          <w:rFonts w:eastAsia="宋体"/>
          <w:color w:val="0000FF"/>
          <w:u w:val="single" w:color="0000FF"/>
        </w:rPr>
        <w:t>https://www.fda.gov/regulatory-information/search-fda-guidance-documents/guidance-medical-device-</w:t>
      </w:r>
      <w:r>
        <w:rPr>
          <w:rFonts w:eastAsia="宋体"/>
          <w:color w:val="0000FF"/>
          <w:u w:val="single" w:color="0000FF"/>
        </w:rPr>
        <w:fldChar w:fldCharType="end"/>
      </w:r>
      <w:r>
        <w:rPr>
          <w:rFonts w:eastAsia="宋体"/>
          <w:color w:val="0000FF"/>
        </w:rPr>
        <w:t xml:space="preserve"> </w:t>
      </w:r>
      <w:r>
        <w:fldChar w:fldCharType="begin"/>
      </w:r>
      <w:r>
        <w:instrText xml:space="preserve"> HYPERLINK "https://www.fda.gov/regulatory-information/search-fda-guidance-documents/guidance-medical-device-patient-labeling" \h </w:instrText>
      </w:r>
      <w:r>
        <w:fldChar w:fldCharType="separate"/>
      </w:r>
      <w:r>
        <w:rPr>
          <w:rFonts w:eastAsia="宋体"/>
          <w:color w:val="0000FF"/>
          <w:u w:val="single" w:color="0000FF"/>
        </w:rPr>
        <w:t>patient-labeling</w:t>
      </w:r>
      <w:r>
        <w:rPr>
          <w:rFonts w:eastAsia="宋体"/>
          <w:color w:val="000000"/>
        </w:rPr>
        <w:t>.</w:t>
      </w:r>
      <w:r>
        <w:rPr>
          <w:rFonts w:eastAsia="宋体"/>
          <w:color w:val="000000"/>
        </w:rPr>
        <w:fldChar w:fldCharType="end"/>
      </w:r>
    </w:p>
    <w:p w14:paraId="160E7687">
      <w:pPr>
        <w:rPr>
          <w:rFonts w:ascii="Times New Roman" w:hAnsi="Times New Roman" w:eastAsia="宋体" w:cs="Times New Roman"/>
          <w:snapToGrid w:val="0"/>
          <w:sz w:val="24"/>
          <w:szCs w:val="24"/>
          <w:lang w:eastAsia="zh-CN"/>
        </w:rPr>
      </w:pPr>
      <w:r>
        <w:rPr>
          <w:rFonts w:ascii="Times New Roman" w:hAnsi="Times New Roman" w:eastAsia="宋体" w:cs="宋体"/>
          <w:sz w:val="24"/>
        </w:rPr>
        <w:br w:type="page"/>
      </w:r>
    </w:p>
    <w:p w14:paraId="43E5DE94">
      <w:pPr>
        <w:pStyle w:val="16"/>
        <w:numPr>
          <w:ilvl w:val="0"/>
          <w:numId w:val="6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其他需要考虑的因素（例如，选择外科医生、器械尺寸和形状、表面类型、可触性、器械位置、切口部位）</w:t>
      </w:r>
    </w:p>
    <w:p w14:paraId="64989CD2">
      <w:pPr>
        <w:pStyle w:val="16"/>
        <w:numPr>
          <w:ilvl w:val="0"/>
          <w:numId w:val="6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有关乳房植入体外壳和填充物结构材料的详细器械描述，如《</w:t>
      </w:r>
      <w:r>
        <w:fldChar w:fldCharType="begin"/>
      </w:r>
      <w:r>
        <w:instrText xml:space="preserve"> HYPERLINK "https://www.fda.gov/regulatory-information/search-fda-guidance-documents/breast-implants-certain-labeling-recommendations-improve-patient-communication" \h </w:instrText>
      </w:r>
      <w:r>
        <w:fldChar w:fldCharType="separate"/>
      </w:r>
      <w:r>
        <w:rPr>
          <w:rFonts w:ascii="Times New Roman" w:hAnsi="Times New Roman" w:eastAsia="宋体" w:cs="宋体"/>
          <w:snapToGrid w:val="0"/>
          <w:color w:val="0000FF"/>
          <w:sz w:val="24"/>
          <w:szCs w:val="24"/>
          <w:u w:val="single" w:color="0000FF"/>
          <w:lang w:eastAsia="zh-CN"/>
        </w:rPr>
        <w:t>乳房植入体标签指南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》中“材料/器械描述”部分所述</w:t>
      </w:r>
    </w:p>
    <w:p w14:paraId="4DC501F3">
      <w:pPr>
        <w:pStyle w:val="16"/>
        <w:numPr>
          <w:ilvl w:val="0"/>
          <w:numId w:val="63"/>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保修信息</w:t>
      </w:r>
    </w:p>
    <w:p w14:paraId="19E8A311">
      <w:pPr>
        <w:pStyle w:val="16"/>
        <w:numPr>
          <w:ilvl w:val="0"/>
          <w:numId w:val="6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有关问题/信息的免费电话</w:t>
      </w:r>
    </w:p>
    <w:p w14:paraId="0CC48A36">
      <w:pPr>
        <w:pStyle w:val="16"/>
        <w:numPr>
          <w:ilvl w:val="0"/>
          <w:numId w:val="6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适当的临床研究安全性和有效性结果</w:t>
      </w:r>
    </w:p>
    <w:p w14:paraId="6AF6F495">
      <w:pPr>
        <w:pStyle w:val="16"/>
        <w:numPr>
          <w:ilvl w:val="0"/>
          <w:numId w:val="6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适当的非临床研究结果，包括凝胶渗出结果</w:t>
      </w:r>
    </w:p>
    <w:p w14:paraId="1F11F676">
      <w:pPr>
        <w:pStyle w:val="16"/>
        <w:numPr>
          <w:ilvl w:val="0"/>
          <w:numId w:val="6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上述第IX.B节所述的文献资料</w:t>
      </w:r>
    </w:p>
    <w:p w14:paraId="0F28C9F0">
      <w:pPr>
        <w:pStyle w:val="16"/>
        <w:numPr>
          <w:ilvl w:val="0"/>
          <w:numId w:val="6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对于硅凝胶填充型乳房植入体，建议采用《</w:t>
      </w:r>
      <w:r>
        <w:fldChar w:fldCharType="begin"/>
      </w:r>
      <w:r>
        <w:instrText xml:space="preserve"> HYPERLINK "https://www.fda.gov/regulatory-information/search-fda-guidance-documents/breast-implants-certain-labeling-recommendations-improve-patient-communication" \h </w:instrText>
      </w:r>
      <w:r>
        <w:fldChar w:fldCharType="separate"/>
      </w:r>
      <w:r>
        <w:rPr>
          <w:rFonts w:ascii="Times New Roman" w:hAnsi="Times New Roman" w:eastAsia="宋体" w:cs="宋体"/>
          <w:snapToGrid w:val="0"/>
          <w:color w:val="0000FF"/>
          <w:sz w:val="24"/>
          <w:szCs w:val="24"/>
          <w:u w:val="single" w:color="0000FF"/>
          <w:lang w:eastAsia="zh-CN"/>
        </w:rPr>
        <w:t>乳房植入体标签指南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》中“最新破裂筛查建议”部分所述的破裂筛查方法和频率</w:t>
      </w:r>
    </w:p>
    <w:p w14:paraId="2AD7B117">
      <w:pPr>
        <w:pStyle w:val="16"/>
        <w:numPr>
          <w:ilvl w:val="0"/>
          <w:numId w:val="6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可疑和确认破裂的临床管理</w:t>
      </w:r>
    </w:p>
    <w:p w14:paraId="2FB17BF9">
      <w:pPr>
        <w:pStyle w:val="16"/>
        <w:numPr>
          <w:ilvl w:val="0"/>
          <w:numId w:val="6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如果检测到破裂，建议取出植入体</w:t>
      </w:r>
    </w:p>
    <w:p w14:paraId="46EDD746">
      <w:pPr>
        <w:pStyle w:val="16"/>
        <w:numPr>
          <w:ilvl w:val="0"/>
          <w:numId w:val="63"/>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患者决定检查表，如《</w:t>
      </w:r>
      <w:r>
        <w:fldChar w:fldCharType="begin"/>
      </w:r>
      <w:r>
        <w:instrText xml:space="preserve"> HYPERLINK "https://www.fda.gov/regulatory-information/search-fda-guidance-documents/breast-implants-certain-labeling-recommendations-improve-patient-communication" \h </w:instrText>
      </w:r>
      <w:r>
        <w:fldChar w:fldCharType="separate"/>
      </w:r>
      <w:r>
        <w:rPr>
          <w:rFonts w:ascii="Times New Roman" w:hAnsi="Times New Roman" w:eastAsia="宋体" w:cs="宋体"/>
          <w:snapToGrid w:val="0"/>
          <w:color w:val="0000FF"/>
          <w:sz w:val="24"/>
          <w:szCs w:val="24"/>
          <w:u w:val="single" w:color="0000FF"/>
          <w:lang w:eastAsia="zh-CN"/>
        </w:rPr>
        <w:t>乳房植入体标签指南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》中的“患者决定检查表”部分所述。</w:t>
      </w:r>
    </w:p>
    <w:p w14:paraId="2D686DC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对于IDE研究，必须记录知情同意（21 CFR § 50.27）。知情同意的基本内容参见21 CFR § 50.25，并且包括上述项目中的一些信息。</w:t>
      </w:r>
    </w:p>
    <w:p w14:paraId="1A481A8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请注意，患者参加IDE研究所需的知情同意书不应与医院要求任何手术患者签署的标准手术同意书相混淆。</w:t>
      </w:r>
    </w:p>
    <w:p w14:paraId="5B2D649C">
      <w:pPr>
        <w:pStyle w:val="5"/>
        <w:adjustRightInd w:val="0"/>
        <w:snapToGrid w:val="0"/>
        <w:spacing w:before="120" w:beforeLines="50" w:line="300" w:lineRule="auto"/>
        <w:ind w:left="0"/>
        <w:jc w:val="both"/>
        <w:rPr>
          <w:rFonts w:eastAsia="宋体" w:cs="Times New Roman"/>
          <w:b w:val="0"/>
          <w:bCs w:val="0"/>
          <w:i w:val="0"/>
          <w:snapToGrid w:val="0"/>
          <w:lang w:eastAsia="zh-CN"/>
        </w:rPr>
      </w:pPr>
      <w:r>
        <w:rPr>
          <w:rFonts w:eastAsia="宋体" w:cs="宋体"/>
          <w:lang w:eastAsia="zh-CN"/>
        </w:rPr>
        <w:t>患者器械卡</w:t>
      </w:r>
    </w:p>
    <w:p w14:paraId="777992C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提供患者器械卡，作为IDE研究的知情同意过程的一部分，并作为PMA批准器械患者标签的一部分。制造商对该标签有不同称呼，如制造商器械卡、患者识别卡或患者信息卡。无论使用何种名称，其目的是为患者提供有关其器械的具体信息。</w:t>
      </w:r>
    </w:p>
    <w:p w14:paraId="0E00E1E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请参见《</w:t>
      </w:r>
      <w:r>
        <w:fldChar w:fldCharType="begin"/>
      </w:r>
      <w:r>
        <w:instrText xml:space="preserve"> HYPERLINK "https://www.fda.gov/regulatory-information/search-fda-guidance-documents/breast-implants-certain-labeling-recommendations-improve-patient-communication" \h </w:instrText>
      </w:r>
      <w:r>
        <w:fldChar w:fldCharType="separate"/>
      </w:r>
      <w:r>
        <w:rPr>
          <w:rFonts w:ascii="Times New Roman" w:hAnsi="Times New Roman" w:eastAsia="宋体" w:cs="宋体"/>
          <w:snapToGrid w:val="0"/>
          <w:color w:val="0000FF"/>
          <w:sz w:val="24"/>
          <w:szCs w:val="24"/>
          <w:u w:val="single" w:color="0000FF"/>
          <w:lang w:eastAsia="zh-CN"/>
        </w:rPr>
        <w:t>乳房植入体标签指南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》中的“患者器械卡”部分，</w:t>
      </w:r>
      <w:r>
        <w:rPr>
          <w:rFonts w:ascii="Times New Roman" w:hAnsi="Times New Roman" w:eastAsia="宋体" w:cs="宋体"/>
          <w:color w:val="000000"/>
          <w:sz w:val="24"/>
          <w:lang w:eastAsia="zh-CN"/>
        </w:rPr>
        <w:t>了解患者器械卡中应包含的信息。</w:t>
      </w:r>
    </w:p>
    <w:p w14:paraId="52E6BC92">
      <w:pPr>
        <w:pStyle w:val="22"/>
        <w:rPr>
          <w:szCs w:val="24"/>
        </w:rPr>
      </w:pPr>
      <w:bookmarkStart w:id="56" w:name="_Toc95489794"/>
      <w:r>
        <w:t>XI.</w:t>
      </w:r>
      <w:r>
        <w:tab/>
      </w:r>
      <w:r>
        <w:t>批准后要求</w:t>
      </w:r>
      <w:bookmarkEnd w:id="56"/>
    </w:p>
    <w:p w14:paraId="78DD1795">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54DEBA9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作为批准PMA的条件或与批准有关，FDA可能要求进行批准后研究，以跟踪器械或遵守销售相关限制。（FDCA §§ 515(d)(1)(B)(ii)、519(e)、520(e)和522（21 USC §§ 360e(d)(1)(B)(ii)、360i(e)、360j(e)和360l）以及CFR第21篇第814部分，E子部分）。PMA的具体批准后承诺将在PMA批准时确定；然而，这些要求可能包括：</w:t>
      </w:r>
    </w:p>
    <w:p w14:paraId="7FA84E39">
      <w:pPr>
        <w:pStyle w:val="16"/>
        <w:numPr>
          <w:ilvl w:val="0"/>
          <w:numId w:val="6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对核心研究患者进行持续随访。决定是否要求每年一次邮寄问卷或每年一次医师随访时，FDA将考虑具体器械和可用上市前数据</w:t>
      </w:r>
    </w:p>
    <w:p w14:paraId="76CDE314">
      <w:pPr>
        <w:pStyle w:val="16"/>
        <w:numPr>
          <w:ilvl w:val="0"/>
          <w:numId w:val="6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收集其他批准后数据的患者登记册或其他批准后研究（除上述批准后核心研究外）。</w:t>
      </w:r>
    </w:p>
    <w:p w14:paraId="538D7891">
      <w:pPr>
        <w:pStyle w:val="16"/>
        <w:numPr>
          <w:ilvl w:val="0"/>
          <w:numId w:val="6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说明失效模式和原因的其他研究</w:t>
      </w:r>
    </w:p>
    <w:p w14:paraId="755727B7">
      <w:pPr>
        <w:pStyle w:val="16"/>
        <w:numPr>
          <w:ilvl w:val="0"/>
          <w:numId w:val="6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对医师和外科医生进行培训的教育和认证项目，使其了解正确的手术技术、患者选择、患者监测和并发症管理，以使用器械</w:t>
      </w:r>
    </w:p>
    <w:p w14:paraId="2B9B9DE7">
      <w:pPr>
        <w:pStyle w:val="16"/>
        <w:numPr>
          <w:ilvl w:val="0"/>
          <w:numId w:val="6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改善患者标签的重点小组研究</w:t>
      </w:r>
    </w:p>
    <w:p w14:paraId="0C057BAA">
      <w:pPr>
        <w:pStyle w:val="16"/>
        <w:numPr>
          <w:ilvl w:val="0"/>
          <w:numId w:val="6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确保患者在手术前有足够时间阅读患者标签并且记录患者对器械相关风险和后续建议的正式知情决定程序</w:t>
      </w:r>
    </w:p>
    <w:p w14:paraId="4965ECF1">
      <w:pPr>
        <w:pStyle w:val="16"/>
        <w:numPr>
          <w:ilvl w:val="0"/>
          <w:numId w:val="6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定期更新标签，以反映批准后研究的任何适当结果。</w:t>
      </w:r>
    </w:p>
    <w:p w14:paraId="64151A25">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FDA还预期在批准硅凝胶填充型乳房植入体PMA时要求进行强制性跟踪。根据PMA法规，强制性跟踪并为规定为PMA批准的条件。相反，FDA根据FDCA</w:t>
      </w:r>
      <w:r>
        <w:rPr>
          <w:rFonts w:hint="eastAsia" w:ascii="Times New Roman" w:hAnsi="Times New Roman" w:eastAsia="宋体" w:cs="宋体"/>
          <w:sz w:val="24"/>
          <w:lang w:eastAsia="zh-CN"/>
        </w:rPr>
        <w:t>§</w:t>
      </w:r>
      <w:r>
        <w:rPr>
          <w:rFonts w:ascii="Times New Roman" w:hAnsi="Times New Roman" w:eastAsia="宋体" w:cs="宋体"/>
          <w:sz w:val="24"/>
          <w:lang w:eastAsia="zh-CN"/>
        </w:rPr>
        <w:t xml:space="preserve"> 519(e) (21 U.S.C. § 360i)</w:t>
      </w:r>
      <w:r>
        <w:rPr>
          <w:rFonts w:hint="eastAsia" w:ascii="Times New Roman" w:hAnsi="Times New Roman" w:eastAsia="宋体" w:cs="宋体"/>
          <w:sz w:val="24"/>
          <w:lang w:eastAsia="zh-CN"/>
        </w:rPr>
        <w:t>和</w:t>
      </w:r>
      <w:r>
        <w:rPr>
          <w:rFonts w:ascii="Times New Roman" w:hAnsi="Times New Roman" w:eastAsia="宋体" w:cs="宋体"/>
          <w:sz w:val="24"/>
          <w:lang w:eastAsia="zh-CN"/>
        </w:rPr>
        <w:t>21 CFR</w:t>
      </w:r>
      <w:r>
        <w:rPr>
          <w:rFonts w:hint="eastAsia" w:ascii="Times New Roman" w:hAnsi="Times New Roman" w:eastAsia="宋体" w:cs="宋体"/>
          <w:sz w:val="24"/>
          <w:lang w:eastAsia="zh-CN"/>
        </w:rPr>
        <w:t>第</w:t>
      </w:r>
      <w:r>
        <w:rPr>
          <w:rFonts w:ascii="Times New Roman" w:hAnsi="Times New Roman" w:eastAsia="宋体" w:cs="宋体"/>
          <w:sz w:val="24"/>
          <w:lang w:eastAsia="zh-CN"/>
        </w:rPr>
        <w:t>821</w:t>
      </w:r>
      <w:r>
        <w:rPr>
          <w:rFonts w:hint="eastAsia" w:ascii="Times New Roman" w:hAnsi="Times New Roman" w:eastAsia="宋体" w:cs="宋体"/>
          <w:sz w:val="24"/>
          <w:lang w:eastAsia="zh-CN"/>
        </w:rPr>
        <w:t>节发出跟踪命令。</w:t>
      </w:r>
    </w:p>
    <w:p w14:paraId="663FBEA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760E8A72">
      <w:pPr>
        <w:pBdr>
          <w:bottom w:val="single" w:color="auto" w:sz="4" w:space="1"/>
        </w:pBdr>
        <w:adjustRightInd w:val="0"/>
        <w:snapToGrid w:val="0"/>
        <w:spacing w:before="120" w:beforeLines="50" w:line="300" w:lineRule="auto"/>
        <w:jc w:val="center"/>
        <w:rPr>
          <w:rFonts w:hint="eastAsia" w:eastAsia="宋体"/>
          <w:lang w:eastAsia="zh-CN"/>
        </w:rPr>
      </w:pPr>
    </w:p>
    <w:p w14:paraId="33DC8807">
      <w:pPr>
        <w:pBdr>
          <w:bottom w:val="single" w:color="auto" w:sz="4" w:space="1"/>
        </w:pBdr>
        <w:adjustRightInd w:val="0"/>
        <w:snapToGrid w:val="0"/>
        <w:spacing w:before="120" w:beforeLines="50" w:line="300" w:lineRule="auto"/>
        <w:jc w:val="center"/>
        <w:rPr>
          <w:rFonts w:hint="eastAsia" w:eastAsia="宋体"/>
          <w:lang w:eastAsia="zh-CN"/>
        </w:rPr>
      </w:pPr>
    </w:p>
    <w:p w14:paraId="5BAEDC98">
      <w:pPr>
        <w:pBdr>
          <w:bottom w:val="single" w:color="auto" w:sz="4"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pgSz w:w="11907" w:h="16839"/>
      <w:pgMar w:top="1418" w:right="1418" w:bottom="1418" w:left="1418" w:header="720" w:footer="720"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998CC">
    <w:pPr>
      <w:pStyle w:val="7"/>
      <w:jc w:val="right"/>
      <w:rPr>
        <w:rFonts w:ascii="Times New Roman" w:hAnsi="Times New Roman" w:eastAsia="宋体" w:cs="Times New Roman"/>
        <w:sz w:val="21"/>
        <w:szCs w:val="21"/>
      </w:rPr>
    </w:pPr>
    <w:r>
      <w:rPr>
        <w:rFonts w:ascii="Times New Roman" w:hAnsi="Times New Roman" w:cs="Times New Roman"/>
        <w:vanish/>
        <w:sz w:val="21"/>
        <w:szCs w:val="21"/>
      </w:rPr>
      <w:fldChar w:fldCharType="begin"/>
    </w:r>
    <w:r>
      <w:rPr>
        <w:rFonts w:ascii="Times New Roman" w:hAnsi="Times New Roman" w:cs="Times New Roman"/>
        <w:vanish/>
        <w:sz w:val="21"/>
        <w:szCs w:val="21"/>
      </w:rPr>
      <w:instrText xml:space="preserve">PAGE   \* MERGEFORMAT</w:instrText>
    </w:r>
    <w:r>
      <w:rPr>
        <w:rFonts w:ascii="Times New Roman" w:hAnsi="Times New Roman" w:cs="Times New Roman"/>
        <w:vanish/>
        <w:sz w:val="21"/>
        <w:szCs w:val="21"/>
      </w:rPr>
      <w:fldChar w:fldCharType="separate"/>
    </w:r>
    <w:r>
      <w:rPr>
        <w:rFonts w:ascii="Times New Roman" w:hAnsi="Times New Roman" w:eastAsia="宋体" w:cs="Times New Roman"/>
        <w:sz w:val="21"/>
        <w:szCs w:val="21"/>
        <w:lang w:val="zh-CN" w:eastAsia="zh-CN"/>
      </w:rPr>
      <w:t>41</w:t>
    </w:r>
    <w:r>
      <w:rPr>
        <w:rFonts w:ascii="Times New Roman" w:hAnsi="Times New Roman" w:cs="Times New Roman"/>
        <w:vanish/>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DB2E1">
    <w:pPr>
      <w:pStyle w:val="8"/>
      <w:pBdr>
        <w:bottom w:val="none" w:color="auto" w:sz="0" w:space="0"/>
      </w:pBdr>
      <w:tabs>
        <w:tab w:val="clear" w:pos="4153"/>
        <w:tab w:val="clear" w:pos="8306"/>
      </w:tabs>
      <w:rPr>
        <w:rFonts w:ascii="Times New Roman" w:hAnsi="Times New Roman" w:eastAsia="宋体" w:cs="Times New Roman"/>
        <w:sz w:val="21"/>
        <w:szCs w:val="21"/>
        <w:lang w:eastAsia="zh-CN"/>
      </w:rPr>
    </w:pPr>
    <w:r>
      <w:rPr>
        <w:rFonts w:hint="eastAsia" w:ascii="Times New Roman" w:hAnsi="Times New Roman" w:eastAsia="宋体" w:cs="宋体"/>
        <w:b/>
        <w:i/>
        <w:sz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43F25"/>
    <w:multiLevelType w:val="multilevel"/>
    <w:tmpl w:val="02843F2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37D7839"/>
    <w:multiLevelType w:val="multilevel"/>
    <w:tmpl w:val="037D78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67A36E1"/>
    <w:multiLevelType w:val="multilevel"/>
    <w:tmpl w:val="067A36E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A21438F"/>
    <w:multiLevelType w:val="multilevel"/>
    <w:tmpl w:val="0A21438F"/>
    <w:lvl w:ilvl="0" w:tentative="0">
      <w:start w:val="1"/>
      <w:numFmt w:val="bullet"/>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4">
    <w:nsid w:val="0B9C144D"/>
    <w:multiLevelType w:val="multilevel"/>
    <w:tmpl w:val="0B9C144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C0F592C"/>
    <w:multiLevelType w:val="multilevel"/>
    <w:tmpl w:val="0C0F592C"/>
    <w:lvl w:ilvl="0" w:tentative="0">
      <w:start w:val="1"/>
      <w:numFmt w:val="bullet"/>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6">
    <w:nsid w:val="0D0236BC"/>
    <w:multiLevelType w:val="multilevel"/>
    <w:tmpl w:val="0D0236B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04C7829"/>
    <w:multiLevelType w:val="multilevel"/>
    <w:tmpl w:val="104C7829"/>
    <w:lvl w:ilvl="0" w:tentative="0">
      <w:start w:val="1"/>
      <w:numFmt w:val="bullet"/>
      <w:lvlText w:val="○"/>
      <w:lvlJc w:val="left"/>
      <w:pPr>
        <w:ind w:left="420" w:hanging="420"/>
      </w:pPr>
      <w:rPr>
        <w:rFonts w:hint="default" w:ascii="Times New Roman" w:hAnsi="Times New Roman" w:cs="Times New Roman"/>
        <w:w w:val="100"/>
        <w:sz w:val="18"/>
        <w:szCs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0AA6F0D"/>
    <w:multiLevelType w:val="multilevel"/>
    <w:tmpl w:val="10AA6F0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1483A2E"/>
    <w:multiLevelType w:val="multilevel"/>
    <w:tmpl w:val="11483A2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128E12B9"/>
    <w:multiLevelType w:val="multilevel"/>
    <w:tmpl w:val="128E12B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9173E1F"/>
    <w:multiLevelType w:val="multilevel"/>
    <w:tmpl w:val="19173E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FBC3311"/>
    <w:multiLevelType w:val="multilevel"/>
    <w:tmpl w:val="1FBC331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22637A3A"/>
    <w:multiLevelType w:val="multilevel"/>
    <w:tmpl w:val="22637A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2FB3A1E"/>
    <w:multiLevelType w:val="multilevel"/>
    <w:tmpl w:val="22FB3A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2333184B"/>
    <w:multiLevelType w:val="multilevel"/>
    <w:tmpl w:val="2333184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23AA6BB5"/>
    <w:multiLevelType w:val="multilevel"/>
    <w:tmpl w:val="23AA6BB5"/>
    <w:lvl w:ilvl="0" w:tentative="0">
      <w:start w:val="1"/>
      <w:numFmt w:val="bullet"/>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17">
    <w:nsid w:val="25D17B52"/>
    <w:multiLevelType w:val="multilevel"/>
    <w:tmpl w:val="25D17B52"/>
    <w:lvl w:ilvl="0" w:tentative="0">
      <w:start w:val="1"/>
      <w:numFmt w:val="bullet"/>
      <w:lvlText w:val="○"/>
      <w:lvlJc w:val="left"/>
      <w:pPr>
        <w:ind w:left="420" w:hanging="420"/>
      </w:pPr>
      <w:rPr>
        <w:rFonts w:hint="default" w:ascii="Times New Roman" w:hAnsi="Times New Roman" w:cs="Times New Roman"/>
        <w:w w:val="100"/>
        <w:sz w:val="18"/>
        <w:szCs w:val="18"/>
      </w:rPr>
    </w:lvl>
    <w:lvl w:ilvl="1" w:tentative="0">
      <w:start w:val="0"/>
      <w:numFmt w:val="bullet"/>
      <w:lvlText w:val="•"/>
      <w:lvlJc w:val="left"/>
      <w:pPr>
        <w:ind w:left="780" w:hanging="360"/>
      </w:pPr>
      <w:rPr>
        <w:rFonts w:hint="default" w:ascii="Times New Roman" w:hAnsi="Times New Roman" w:eastAsia="Arial"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28FD2BC4"/>
    <w:multiLevelType w:val="multilevel"/>
    <w:tmpl w:val="28FD2BC4"/>
    <w:lvl w:ilvl="0" w:tentative="0">
      <w:start w:val="1"/>
      <w:numFmt w:val="bullet"/>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19">
    <w:nsid w:val="2A220F39"/>
    <w:multiLevelType w:val="multilevel"/>
    <w:tmpl w:val="2A220F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AB768C3"/>
    <w:multiLevelType w:val="multilevel"/>
    <w:tmpl w:val="2AB768C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AD4515D"/>
    <w:multiLevelType w:val="multilevel"/>
    <w:tmpl w:val="2AD4515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EC56918"/>
    <w:multiLevelType w:val="multilevel"/>
    <w:tmpl w:val="2EC5691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316E0F35"/>
    <w:multiLevelType w:val="multilevel"/>
    <w:tmpl w:val="316E0F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319F6E8F"/>
    <w:multiLevelType w:val="multilevel"/>
    <w:tmpl w:val="319F6E8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331C6F68"/>
    <w:multiLevelType w:val="multilevel"/>
    <w:tmpl w:val="331C6F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37DB0EE7"/>
    <w:multiLevelType w:val="multilevel"/>
    <w:tmpl w:val="37DB0EE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38B12DCB"/>
    <w:multiLevelType w:val="multilevel"/>
    <w:tmpl w:val="38B12DCB"/>
    <w:lvl w:ilvl="0" w:tentative="0">
      <w:start w:val="1"/>
      <w:numFmt w:val="decimal"/>
      <w:lvlText w:val="%1."/>
      <w:lvlJc w:val="left"/>
      <w:pPr>
        <w:ind w:left="420" w:hanging="420"/>
      </w:p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B5E47DC"/>
    <w:multiLevelType w:val="multilevel"/>
    <w:tmpl w:val="3B5E47DC"/>
    <w:lvl w:ilvl="0" w:tentative="0">
      <w:start w:val="1"/>
      <w:numFmt w:val="bullet"/>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29">
    <w:nsid w:val="3B8111BE"/>
    <w:multiLevelType w:val="multilevel"/>
    <w:tmpl w:val="3B8111B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3BB965AE"/>
    <w:multiLevelType w:val="multilevel"/>
    <w:tmpl w:val="3BB965A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3BF565CE"/>
    <w:multiLevelType w:val="multilevel"/>
    <w:tmpl w:val="3BF565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41645C7E"/>
    <w:multiLevelType w:val="multilevel"/>
    <w:tmpl w:val="41645C7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41AC2AD4"/>
    <w:multiLevelType w:val="multilevel"/>
    <w:tmpl w:val="41AC2A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426316B8"/>
    <w:multiLevelType w:val="multilevel"/>
    <w:tmpl w:val="426316B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427C5ABB"/>
    <w:multiLevelType w:val="multilevel"/>
    <w:tmpl w:val="427C5AB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472E6237"/>
    <w:multiLevelType w:val="multilevel"/>
    <w:tmpl w:val="472E623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47827A75"/>
    <w:multiLevelType w:val="multilevel"/>
    <w:tmpl w:val="47827A7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4BAB13C4"/>
    <w:multiLevelType w:val="multilevel"/>
    <w:tmpl w:val="4BAB13C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50437244"/>
    <w:multiLevelType w:val="multilevel"/>
    <w:tmpl w:val="5043724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53B228CD"/>
    <w:multiLevelType w:val="multilevel"/>
    <w:tmpl w:val="53B228CD"/>
    <w:lvl w:ilvl="0" w:tentative="0">
      <w:start w:val="1"/>
      <w:numFmt w:val="bullet"/>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41">
    <w:nsid w:val="55CB194D"/>
    <w:multiLevelType w:val="multilevel"/>
    <w:tmpl w:val="55CB194D"/>
    <w:lvl w:ilvl="0" w:tentative="0">
      <w:start w:val="1"/>
      <w:numFmt w:val="bullet"/>
      <w:lvlText w:val="○"/>
      <w:lvlJc w:val="left"/>
      <w:pPr>
        <w:ind w:left="420" w:hanging="420"/>
      </w:pPr>
      <w:rPr>
        <w:rFonts w:hint="default" w:ascii="Times New Roman" w:hAnsi="Times New Roman" w:cs="Times New Roman"/>
        <w:w w:val="100"/>
        <w:sz w:val="18"/>
        <w:szCs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563F03AD"/>
    <w:multiLevelType w:val="multilevel"/>
    <w:tmpl w:val="563F03A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56C512F7"/>
    <w:multiLevelType w:val="multilevel"/>
    <w:tmpl w:val="56C512F7"/>
    <w:lvl w:ilvl="0" w:tentative="0">
      <w:start w:val="1"/>
      <w:numFmt w:val="bullet"/>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44">
    <w:nsid w:val="56DC05FA"/>
    <w:multiLevelType w:val="multilevel"/>
    <w:tmpl w:val="56DC05F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58BB53FD"/>
    <w:multiLevelType w:val="multilevel"/>
    <w:tmpl w:val="58BB53F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591C6330"/>
    <w:multiLevelType w:val="multilevel"/>
    <w:tmpl w:val="591C633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59B713A8"/>
    <w:multiLevelType w:val="multilevel"/>
    <w:tmpl w:val="59B713A8"/>
    <w:lvl w:ilvl="0" w:tentative="0">
      <w:start w:val="1"/>
      <w:numFmt w:val="bullet"/>
      <w:lvlText w:val="○"/>
      <w:lvlJc w:val="left"/>
      <w:pPr>
        <w:ind w:left="420" w:hanging="420"/>
      </w:pPr>
      <w:rPr>
        <w:rFonts w:hint="default" w:ascii="Times New Roman" w:hAnsi="Times New Roman" w:cs="Times New Roman"/>
        <w:w w:val="100"/>
        <w:sz w:val="18"/>
        <w:szCs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5A3F7B60"/>
    <w:multiLevelType w:val="multilevel"/>
    <w:tmpl w:val="5A3F7B60"/>
    <w:lvl w:ilvl="0" w:tentative="0">
      <w:start w:val="1"/>
      <w:numFmt w:val="bullet"/>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49">
    <w:nsid w:val="5CC41979"/>
    <w:multiLevelType w:val="multilevel"/>
    <w:tmpl w:val="5CC4197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5F730382"/>
    <w:multiLevelType w:val="multilevel"/>
    <w:tmpl w:val="5F7303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60B842BF"/>
    <w:multiLevelType w:val="multilevel"/>
    <w:tmpl w:val="60B842B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628A198B"/>
    <w:multiLevelType w:val="multilevel"/>
    <w:tmpl w:val="628A198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62D95EE3"/>
    <w:multiLevelType w:val="multilevel"/>
    <w:tmpl w:val="62D95EE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63C24811"/>
    <w:multiLevelType w:val="multilevel"/>
    <w:tmpl w:val="63C2481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644E4F58"/>
    <w:multiLevelType w:val="multilevel"/>
    <w:tmpl w:val="644E4F5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67B431BE"/>
    <w:multiLevelType w:val="multilevel"/>
    <w:tmpl w:val="67B431B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7">
    <w:nsid w:val="6C1A6ACB"/>
    <w:multiLevelType w:val="multilevel"/>
    <w:tmpl w:val="6C1A6AC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6F4A340C"/>
    <w:multiLevelType w:val="multilevel"/>
    <w:tmpl w:val="6F4A34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71410AA2"/>
    <w:multiLevelType w:val="multilevel"/>
    <w:tmpl w:val="71410AA2"/>
    <w:lvl w:ilvl="0" w:tentative="0">
      <w:start w:val="1"/>
      <w:numFmt w:val="bullet"/>
      <w:lvlText w:val="○"/>
      <w:lvlJc w:val="left"/>
      <w:pPr>
        <w:ind w:left="420" w:hanging="420"/>
      </w:pPr>
      <w:rPr>
        <w:rFonts w:hint="default" w:ascii="Times New Roman" w:hAnsi="Times New Roman" w:cs="Times New Roman"/>
        <w:w w:val="100"/>
        <w:sz w:val="18"/>
        <w:szCs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75047587"/>
    <w:multiLevelType w:val="multilevel"/>
    <w:tmpl w:val="7504758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1">
    <w:nsid w:val="775E1009"/>
    <w:multiLevelType w:val="multilevel"/>
    <w:tmpl w:val="775E10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7A415F44"/>
    <w:multiLevelType w:val="multilevel"/>
    <w:tmpl w:val="7A415F4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3">
    <w:nsid w:val="7F6D42CF"/>
    <w:multiLevelType w:val="multilevel"/>
    <w:tmpl w:val="7F6D42C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9"/>
  </w:num>
  <w:num w:numId="2">
    <w:abstractNumId w:val="54"/>
  </w:num>
  <w:num w:numId="3">
    <w:abstractNumId w:val="8"/>
  </w:num>
  <w:num w:numId="4">
    <w:abstractNumId w:val="57"/>
  </w:num>
  <w:num w:numId="5">
    <w:abstractNumId w:val="41"/>
  </w:num>
  <w:num w:numId="6">
    <w:abstractNumId w:val="34"/>
  </w:num>
  <w:num w:numId="7">
    <w:abstractNumId w:val="32"/>
  </w:num>
  <w:num w:numId="8">
    <w:abstractNumId w:val="28"/>
  </w:num>
  <w:num w:numId="9">
    <w:abstractNumId w:val="7"/>
  </w:num>
  <w:num w:numId="10">
    <w:abstractNumId w:val="58"/>
  </w:num>
  <w:num w:numId="11">
    <w:abstractNumId w:val="48"/>
  </w:num>
  <w:num w:numId="12">
    <w:abstractNumId w:val="17"/>
  </w:num>
  <w:num w:numId="13">
    <w:abstractNumId w:val="27"/>
  </w:num>
  <w:num w:numId="14">
    <w:abstractNumId w:val="50"/>
  </w:num>
  <w:num w:numId="15">
    <w:abstractNumId w:val="29"/>
  </w:num>
  <w:num w:numId="16">
    <w:abstractNumId w:val="53"/>
  </w:num>
  <w:num w:numId="17">
    <w:abstractNumId w:val="25"/>
  </w:num>
  <w:num w:numId="18">
    <w:abstractNumId w:val="31"/>
  </w:num>
  <w:num w:numId="19">
    <w:abstractNumId w:val="63"/>
  </w:num>
  <w:num w:numId="20">
    <w:abstractNumId w:val="20"/>
  </w:num>
  <w:num w:numId="21">
    <w:abstractNumId w:val="36"/>
  </w:num>
  <w:num w:numId="22">
    <w:abstractNumId w:val="21"/>
  </w:num>
  <w:num w:numId="23">
    <w:abstractNumId w:val="55"/>
  </w:num>
  <w:num w:numId="24">
    <w:abstractNumId w:val="59"/>
  </w:num>
  <w:num w:numId="25">
    <w:abstractNumId w:val="40"/>
  </w:num>
  <w:num w:numId="26">
    <w:abstractNumId w:val="37"/>
  </w:num>
  <w:num w:numId="27">
    <w:abstractNumId w:val="18"/>
  </w:num>
  <w:num w:numId="28">
    <w:abstractNumId w:val="62"/>
  </w:num>
  <w:num w:numId="29">
    <w:abstractNumId w:val="45"/>
  </w:num>
  <w:num w:numId="30">
    <w:abstractNumId w:val="12"/>
  </w:num>
  <w:num w:numId="31">
    <w:abstractNumId w:val="56"/>
  </w:num>
  <w:num w:numId="32">
    <w:abstractNumId w:val="49"/>
  </w:num>
  <w:num w:numId="33">
    <w:abstractNumId w:val="3"/>
  </w:num>
  <w:num w:numId="34">
    <w:abstractNumId w:val="52"/>
  </w:num>
  <w:num w:numId="35">
    <w:abstractNumId w:val="46"/>
  </w:num>
  <w:num w:numId="36">
    <w:abstractNumId w:val="42"/>
  </w:num>
  <w:num w:numId="37">
    <w:abstractNumId w:val="30"/>
  </w:num>
  <w:num w:numId="38">
    <w:abstractNumId w:val="39"/>
  </w:num>
  <w:num w:numId="39">
    <w:abstractNumId w:val="5"/>
  </w:num>
  <w:num w:numId="40">
    <w:abstractNumId w:val="0"/>
  </w:num>
  <w:num w:numId="41">
    <w:abstractNumId w:val="33"/>
  </w:num>
  <w:num w:numId="42">
    <w:abstractNumId w:val="1"/>
  </w:num>
  <w:num w:numId="43">
    <w:abstractNumId w:val="15"/>
  </w:num>
  <w:num w:numId="44">
    <w:abstractNumId w:val="11"/>
  </w:num>
  <w:num w:numId="45">
    <w:abstractNumId w:val="9"/>
  </w:num>
  <w:num w:numId="46">
    <w:abstractNumId w:val="51"/>
  </w:num>
  <w:num w:numId="47">
    <w:abstractNumId w:val="14"/>
  </w:num>
  <w:num w:numId="48">
    <w:abstractNumId w:val="2"/>
  </w:num>
  <w:num w:numId="49">
    <w:abstractNumId w:val="16"/>
  </w:num>
  <w:num w:numId="50">
    <w:abstractNumId w:val="10"/>
  </w:num>
  <w:num w:numId="51">
    <w:abstractNumId w:val="35"/>
  </w:num>
  <w:num w:numId="52">
    <w:abstractNumId w:val="44"/>
  </w:num>
  <w:num w:numId="53">
    <w:abstractNumId w:val="38"/>
  </w:num>
  <w:num w:numId="54">
    <w:abstractNumId w:val="4"/>
  </w:num>
  <w:num w:numId="55">
    <w:abstractNumId w:val="22"/>
  </w:num>
  <w:num w:numId="56">
    <w:abstractNumId w:val="23"/>
  </w:num>
  <w:num w:numId="57">
    <w:abstractNumId w:val="61"/>
  </w:num>
  <w:num w:numId="58">
    <w:abstractNumId w:val="43"/>
  </w:num>
  <w:num w:numId="59">
    <w:abstractNumId w:val="13"/>
  </w:num>
  <w:num w:numId="60">
    <w:abstractNumId w:val="47"/>
  </w:num>
  <w:num w:numId="61">
    <w:abstractNumId w:val="26"/>
  </w:num>
  <w:num w:numId="62">
    <w:abstractNumId w:val="24"/>
  </w:num>
  <w:num w:numId="63">
    <w:abstractNumId w:val="6"/>
  </w:num>
  <w:num w:numId="64">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AC35C6"/>
    <w:rsid w:val="000058C8"/>
    <w:rsid w:val="000145CF"/>
    <w:rsid w:val="00015DB3"/>
    <w:rsid w:val="000229F7"/>
    <w:rsid w:val="00033239"/>
    <w:rsid w:val="00042660"/>
    <w:rsid w:val="0005163B"/>
    <w:rsid w:val="00074BE5"/>
    <w:rsid w:val="000B0C13"/>
    <w:rsid w:val="000D2C80"/>
    <w:rsid w:val="000D3229"/>
    <w:rsid w:val="00101FC8"/>
    <w:rsid w:val="001076FE"/>
    <w:rsid w:val="00130FB1"/>
    <w:rsid w:val="00134A2E"/>
    <w:rsid w:val="00135854"/>
    <w:rsid w:val="001458A5"/>
    <w:rsid w:val="00182F4A"/>
    <w:rsid w:val="001C4B61"/>
    <w:rsid w:val="001F6C19"/>
    <w:rsid w:val="001F7AB8"/>
    <w:rsid w:val="00201CA6"/>
    <w:rsid w:val="0021448D"/>
    <w:rsid w:val="00223CD7"/>
    <w:rsid w:val="002B2BE0"/>
    <w:rsid w:val="002F797A"/>
    <w:rsid w:val="0031300C"/>
    <w:rsid w:val="003373E7"/>
    <w:rsid w:val="00393786"/>
    <w:rsid w:val="00397062"/>
    <w:rsid w:val="003A334B"/>
    <w:rsid w:val="003B11B2"/>
    <w:rsid w:val="003B6332"/>
    <w:rsid w:val="003D1F42"/>
    <w:rsid w:val="00405F0F"/>
    <w:rsid w:val="004219C2"/>
    <w:rsid w:val="004356AD"/>
    <w:rsid w:val="0044128F"/>
    <w:rsid w:val="00496C59"/>
    <w:rsid w:val="004E57A4"/>
    <w:rsid w:val="004F50D3"/>
    <w:rsid w:val="005021A7"/>
    <w:rsid w:val="00504980"/>
    <w:rsid w:val="00506A2C"/>
    <w:rsid w:val="00511105"/>
    <w:rsid w:val="0053069A"/>
    <w:rsid w:val="00532E75"/>
    <w:rsid w:val="0054380C"/>
    <w:rsid w:val="00557227"/>
    <w:rsid w:val="005632C9"/>
    <w:rsid w:val="005946E2"/>
    <w:rsid w:val="005967D2"/>
    <w:rsid w:val="00596817"/>
    <w:rsid w:val="00621E78"/>
    <w:rsid w:val="00655FE7"/>
    <w:rsid w:val="0068199B"/>
    <w:rsid w:val="006A7C30"/>
    <w:rsid w:val="007268A4"/>
    <w:rsid w:val="00735DD3"/>
    <w:rsid w:val="00742E62"/>
    <w:rsid w:val="00772D5A"/>
    <w:rsid w:val="007A3F67"/>
    <w:rsid w:val="007C7DED"/>
    <w:rsid w:val="007D2692"/>
    <w:rsid w:val="007E5689"/>
    <w:rsid w:val="007E731F"/>
    <w:rsid w:val="00803E0F"/>
    <w:rsid w:val="00811416"/>
    <w:rsid w:val="00832177"/>
    <w:rsid w:val="008342BA"/>
    <w:rsid w:val="00860CC0"/>
    <w:rsid w:val="009017FF"/>
    <w:rsid w:val="00905B2F"/>
    <w:rsid w:val="0091157F"/>
    <w:rsid w:val="00911AB6"/>
    <w:rsid w:val="009728F0"/>
    <w:rsid w:val="00974BF2"/>
    <w:rsid w:val="00977104"/>
    <w:rsid w:val="00984A2B"/>
    <w:rsid w:val="00984C4F"/>
    <w:rsid w:val="00990948"/>
    <w:rsid w:val="00994F77"/>
    <w:rsid w:val="009A6922"/>
    <w:rsid w:val="009B105D"/>
    <w:rsid w:val="009B3628"/>
    <w:rsid w:val="009C1134"/>
    <w:rsid w:val="009C24B2"/>
    <w:rsid w:val="009D3C0B"/>
    <w:rsid w:val="009D635D"/>
    <w:rsid w:val="009E37AA"/>
    <w:rsid w:val="009F4B53"/>
    <w:rsid w:val="009F7C6C"/>
    <w:rsid w:val="00A24438"/>
    <w:rsid w:val="00A266A5"/>
    <w:rsid w:val="00A579AF"/>
    <w:rsid w:val="00A70EAC"/>
    <w:rsid w:val="00A71656"/>
    <w:rsid w:val="00A717EB"/>
    <w:rsid w:val="00A72E7E"/>
    <w:rsid w:val="00A759A9"/>
    <w:rsid w:val="00A86D1C"/>
    <w:rsid w:val="00AA0D37"/>
    <w:rsid w:val="00AA76CF"/>
    <w:rsid w:val="00AC35C6"/>
    <w:rsid w:val="00AF5BCE"/>
    <w:rsid w:val="00B21E5C"/>
    <w:rsid w:val="00B30732"/>
    <w:rsid w:val="00B316E4"/>
    <w:rsid w:val="00B43CFA"/>
    <w:rsid w:val="00B457DD"/>
    <w:rsid w:val="00B63130"/>
    <w:rsid w:val="00B840D3"/>
    <w:rsid w:val="00B942D1"/>
    <w:rsid w:val="00B948EA"/>
    <w:rsid w:val="00BA2285"/>
    <w:rsid w:val="00BC1A82"/>
    <w:rsid w:val="00BC4733"/>
    <w:rsid w:val="00BE1416"/>
    <w:rsid w:val="00BE383E"/>
    <w:rsid w:val="00BE3AE2"/>
    <w:rsid w:val="00C122D1"/>
    <w:rsid w:val="00C13000"/>
    <w:rsid w:val="00C30B9F"/>
    <w:rsid w:val="00C34ACA"/>
    <w:rsid w:val="00C45F43"/>
    <w:rsid w:val="00C61C91"/>
    <w:rsid w:val="00C64FC6"/>
    <w:rsid w:val="00C730D2"/>
    <w:rsid w:val="00C76906"/>
    <w:rsid w:val="00C82471"/>
    <w:rsid w:val="00C9333A"/>
    <w:rsid w:val="00CC16B9"/>
    <w:rsid w:val="00CD0188"/>
    <w:rsid w:val="00CE57DE"/>
    <w:rsid w:val="00D17BBF"/>
    <w:rsid w:val="00D350EB"/>
    <w:rsid w:val="00D5003D"/>
    <w:rsid w:val="00D53A29"/>
    <w:rsid w:val="00D72238"/>
    <w:rsid w:val="00D7335E"/>
    <w:rsid w:val="00D74FDC"/>
    <w:rsid w:val="00DA247B"/>
    <w:rsid w:val="00DC2B65"/>
    <w:rsid w:val="00DC2BA7"/>
    <w:rsid w:val="00DC6A1E"/>
    <w:rsid w:val="00DF4F68"/>
    <w:rsid w:val="00E159F8"/>
    <w:rsid w:val="00E177F0"/>
    <w:rsid w:val="00E33B87"/>
    <w:rsid w:val="00E5347B"/>
    <w:rsid w:val="00E577EA"/>
    <w:rsid w:val="00E61BA3"/>
    <w:rsid w:val="00E6554C"/>
    <w:rsid w:val="00EA1037"/>
    <w:rsid w:val="00EB419B"/>
    <w:rsid w:val="00ED64B1"/>
    <w:rsid w:val="00EE3F39"/>
    <w:rsid w:val="00EE536C"/>
    <w:rsid w:val="00EE6A54"/>
    <w:rsid w:val="00EF7E9B"/>
    <w:rsid w:val="00F24612"/>
    <w:rsid w:val="00F2540F"/>
    <w:rsid w:val="00F44372"/>
    <w:rsid w:val="00F80CD1"/>
    <w:rsid w:val="00FD61AF"/>
    <w:rsid w:val="00FE3004"/>
    <w:rsid w:val="2E3B3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link w:val="24"/>
    <w:qFormat/>
    <w:uiPriority w:val="1"/>
    <w:pPr>
      <w:ind w:left="840" w:hanging="720"/>
      <w:outlineLvl w:val="0"/>
    </w:pPr>
    <w:rPr>
      <w:rFonts w:ascii="Times New Roman" w:hAnsi="Times New Roman" w:eastAsia="Times New Roman"/>
      <w:b/>
      <w:bCs/>
      <w:sz w:val="36"/>
      <w:szCs w:val="36"/>
    </w:rPr>
  </w:style>
  <w:style w:type="paragraph" w:styleId="3">
    <w:name w:val="heading 2"/>
    <w:basedOn w:val="1"/>
    <w:link w:val="27"/>
    <w:qFormat/>
    <w:uiPriority w:val="1"/>
    <w:pPr>
      <w:ind w:left="1559" w:hanging="720"/>
      <w:outlineLvl w:val="1"/>
    </w:pPr>
    <w:rPr>
      <w:rFonts w:ascii="Times New Roman" w:hAnsi="Times New Roman" w:eastAsia="Times New Roman"/>
      <w:b/>
      <w:bCs/>
      <w:sz w:val="32"/>
      <w:szCs w:val="32"/>
    </w:rPr>
  </w:style>
  <w:style w:type="paragraph" w:styleId="4">
    <w:name w:val="heading 3"/>
    <w:basedOn w:val="1"/>
    <w:qFormat/>
    <w:uiPriority w:val="1"/>
    <w:pPr>
      <w:ind w:left="120"/>
      <w:outlineLvl w:val="2"/>
    </w:pPr>
    <w:rPr>
      <w:rFonts w:ascii="Times New Roman" w:hAnsi="Times New Roman" w:eastAsia="Times New Roman"/>
      <w:b/>
      <w:bCs/>
      <w:sz w:val="24"/>
      <w:szCs w:val="24"/>
    </w:rPr>
  </w:style>
  <w:style w:type="paragraph" w:styleId="5">
    <w:name w:val="heading 4"/>
    <w:basedOn w:val="1"/>
    <w:qFormat/>
    <w:uiPriority w:val="1"/>
    <w:pPr>
      <w:ind w:left="120"/>
      <w:outlineLvl w:val="3"/>
    </w:pPr>
    <w:rPr>
      <w:rFonts w:ascii="Times New Roman" w:hAnsi="Times New Roman" w:eastAsia="Times New Roman"/>
      <w:b/>
      <w:bCs/>
      <w:i/>
      <w:sz w:val="24"/>
      <w:szCs w:val="24"/>
    </w:rPr>
  </w:style>
  <w:style w:type="character" w:default="1" w:styleId="13">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Balloon Text"/>
    <w:basedOn w:val="1"/>
    <w:link w:val="18"/>
    <w:semiHidden/>
    <w:unhideWhenUsed/>
    <w:uiPriority w:val="99"/>
    <w:rPr>
      <w:sz w:val="18"/>
      <w:szCs w:val="18"/>
    </w:rPr>
  </w:style>
  <w:style w:type="paragraph" w:styleId="7">
    <w:name w:val="footer"/>
    <w:basedOn w:val="1"/>
    <w:link w:val="20"/>
    <w:unhideWhenUsed/>
    <w:uiPriority w:val="99"/>
    <w:pPr>
      <w:tabs>
        <w:tab w:val="center" w:pos="4153"/>
        <w:tab w:val="right" w:pos="8306"/>
      </w:tabs>
      <w:snapToGrid w:val="0"/>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qFormat/>
    <w:uiPriority w:val="39"/>
    <w:pPr>
      <w:spacing w:before="99"/>
      <w:ind w:left="760" w:hanging="660"/>
    </w:pPr>
    <w:rPr>
      <w:rFonts w:ascii="Times New Roman" w:hAnsi="Times New Roman" w:eastAsia="Times New Roman"/>
      <w:sz w:val="24"/>
      <w:szCs w:val="24"/>
    </w:rPr>
  </w:style>
  <w:style w:type="paragraph" w:styleId="10">
    <w:name w:val="toc 2"/>
    <w:basedOn w:val="1"/>
    <w:qFormat/>
    <w:uiPriority w:val="39"/>
    <w:pPr>
      <w:spacing w:before="99"/>
      <w:ind w:left="979" w:hanging="640"/>
    </w:pPr>
    <w:rPr>
      <w:rFonts w:ascii="Times New Roman" w:hAnsi="Times New Roman" w:eastAsia="Times New Roman"/>
      <w:sz w:val="24"/>
      <w:szCs w:val="24"/>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rPr>
  </w:style>
  <w:style w:type="table" w:customStyle="1" w:styleId="15">
    <w:name w:val="Table Normal1"/>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批注框文本 Char"/>
    <w:basedOn w:val="13"/>
    <w:link w:val="6"/>
    <w:semiHidden/>
    <w:qFormat/>
    <w:uiPriority w:val="99"/>
    <w:rPr>
      <w:sz w:val="18"/>
      <w:szCs w:val="18"/>
    </w:rPr>
  </w:style>
  <w:style w:type="character" w:customStyle="1" w:styleId="19">
    <w:name w:val="页眉 Char"/>
    <w:basedOn w:val="13"/>
    <w:link w:val="8"/>
    <w:qFormat/>
    <w:uiPriority w:val="99"/>
    <w:rPr>
      <w:sz w:val="18"/>
      <w:szCs w:val="18"/>
    </w:rPr>
  </w:style>
  <w:style w:type="character" w:customStyle="1" w:styleId="20">
    <w:name w:val="页脚 Char"/>
    <w:basedOn w:val="13"/>
    <w:link w:val="7"/>
    <w:qFormat/>
    <w:uiPriority w:val="99"/>
    <w:rPr>
      <w:sz w:val="18"/>
      <w:szCs w:val="18"/>
    </w:rPr>
  </w:style>
  <w:style w:type="paragraph" w:customStyle="1" w:styleId="2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paragraph" w:customStyle="1" w:styleId="22">
    <w:name w:val="样式1"/>
    <w:basedOn w:val="2"/>
    <w:link w:val="25"/>
    <w:qFormat/>
    <w:uiPriority w:val="1"/>
    <w:pPr>
      <w:tabs>
        <w:tab w:val="left" w:pos="851"/>
      </w:tabs>
      <w:adjustRightInd w:val="0"/>
      <w:snapToGrid w:val="0"/>
      <w:spacing w:before="120" w:beforeLines="50" w:line="300" w:lineRule="auto"/>
      <w:ind w:left="0" w:firstLine="0"/>
      <w:jc w:val="both"/>
    </w:pPr>
    <w:rPr>
      <w:rFonts w:eastAsia="宋体" w:cs="宋体"/>
      <w:snapToGrid w:val="0"/>
      <w:sz w:val="32"/>
      <w:szCs w:val="32"/>
      <w:lang w:eastAsia="zh-CN"/>
    </w:rPr>
  </w:style>
  <w:style w:type="paragraph" w:customStyle="1" w:styleId="23">
    <w:name w:val="样式2"/>
    <w:basedOn w:val="3"/>
    <w:link w:val="28"/>
    <w:qFormat/>
    <w:uiPriority w:val="1"/>
    <w:pPr>
      <w:tabs>
        <w:tab w:val="left" w:pos="1418"/>
      </w:tabs>
      <w:adjustRightInd w:val="0"/>
      <w:snapToGrid w:val="0"/>
      <w:spacing w:before="120" w:beforeLines="50" w:line="300" w:lineRule="auto"/>
      <w:ind w:left="849" w:leftChars="386" w:firstLine="0"/>
      <w:jc w:val="both"/>
    </w:pPr>
    <w:rPr>
      <w:rFonts w:eastAsia="宋体" w:cs="宋体"/>
      <w:snapToGrid w:val="0"/>
      <w:sz w:val="28"/>
      <w:szCs w:val="28"/>
      <w:lang w:eastAsia="zh-CN"/>
    </w:rPr>
  </w:style>
  <w:style w:type="character" w:customStyle="1" w:styleId="24">
    <w:name w:val="标题 1 Char"/>
    <w:basedOn w:val="13"/>
    <w:link w:val="2"/>
    <w:qFormat/>
    <w:uiPriority w:val="1"/>
    <w:rPr>
      <w:rFonts w:ascii="Times New Roman" w:hAnsi="Times New Roman" w:eastAsia="Times New Roman"/>
      <w:b/>
      <w:bCs/>
      <w:sz w:val="36"/>
      <w:szCs w:val="36"/>
    </w:rPr>
  </w:style>
  <w:style w:type="character" w:customStyle="1" w:styleId="25">
    <w:name w:val="样式1 Char"/>
    <w:basedOn w:val="24"/>
    <w:link w:val="22"/>
    <w:qFormat/>
    <w:uiPriority w:val="1"/>
    <w:rPr>
      <w:rFonts w:ascii="Times New Roman" w:hAnsi="Times New Roman" w:eastAsia="宋体" w:cs="宋体"/>
      <w:snapToGrid w:val="0"/>
      <w:sz w:val="32"/>
      <w:szCs w:val="32"/>
      <w:lang w:eastAsia="zh-CN"/>
    </w:rPr>
  </w:style>
  <w:style w:type="paragraph" w:customStyle="1" w:styleId="26">
    <w:name w:val="脚注"/>
    <w:basedOn w:val="1"/>
    <w:link w:val="29"/>
    <w:qFormat/>
    <w:uiPriority w:val="1"/>
    <w:pPr>
      <w:tabs>
        <w:tab w:val="left" w:pos="235"/>
      </w:tabs>
      <w:adjustRightInd w:val="0"/>
      <w:snapToGrid w:val="0"/>
      <w:spacing w:before="36" w:beforeLines="15" w:line="276" w:lineRule="auto"/>
      <w:jc w:val="both"/>
    </w:pPr>
    <w:rPr>
      <w:rFonts w:ascii="Times New Roman" w:hAnsi="Times New Roman" w:eastAsia="Times New Roman" w:cs="Times New Roman"/>
      <w:snapToGrid w:val="0"/>
      <w:sz w:val="21"/>
      <w:szCs w:val="21"/>
    </w:rPr>
  </w:style>
  <w:style w:type="character" w:customStyle="1" w:styleId="27">
    <w:name w:val="标题 2 Char"/>
    <w:basedOn w:val="13"/>
    <w:link w:val="3"/>
    <w:qFormat/>
    <w:uiPriority w:val="1"/>
    <w:rPr>
      <w:rFonts w:ascii="Times New Roman" w:hAnsi="Times New Roman" w:eastAsia="Times New Roman"/>
      <w:b/>
      <w:bCs/>
      <w:sz w:val="32"/>
      <w:szCs w:val="32"/>
    </w:rPr>
  </w:style>
  <w:style w:type="character" w:customStyle="1" w:styleId="28">
    <w:name w:val="样式2 Char"/>
    <w:basedOn w:val="27"/>
    <w:link w:val="23"/>
    <w:qFormat/>
    <w:uiPriority w:val="1"/>
    <w:rPr>
      <w:rFonts w:ascii="Times New Roman" w:hAnsi="Times New Roman" w:eastAsia="宋体" w:cs="宋体"/>
      <w:snapToGrid w:val="0"/>
      <w:sz w:val="28"/>
      <w:szCs w:val="28"/>
      <w:lang w:eastAsia="zh-CN"/>
    </w:rPr>
  </w:style>
  <w:style w:type="character" w:customStyle="1" w:styleId="29">
    <w:name w:val="脚注 Char"/>
    <w:basedOn w:val="13"/>
    <w:link w:val="26"/>
    <w:uiPriority w:val="1"/>
    <w:rPr>
      <w:rFonts w:ascii="Times New Roman" w:hAnsi="Times New Roman" w:eastAsia="Times New Roman" w:cs="Times New Roman"/>
      <w:snapToGrid w:val="0"/>
      <w:sz w:val="21"/>
      <w:szCs w:val="21"/>
    </w:rPr>
  </w:style>
  <w:style w:type="paragraph" w:customStyle="1" w:styleId="30">
    <w:name w:val="Revision"/>
    <w:hidden/>
    <w:semiHidden/>
    <w:uiPriority w:val="99"/>
    <w:pPr>
      <w:widowControl/>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D12CF-56F2-4ACF-AE26-F2337A5D969F}">
  <ds:schemaRefs/>
</ds:datastoreItem>
</file>

<file path=docProps/app.xml><?xml version="1.0" encoding="utf-8"?>
<Properties xmlns="http://schemas.openxmlformats.org/officeDocument/2006/extended-properties" xmlns:vt="http://schemas.openxmlformats.org/officeDocument/2006/docPropsVTypes">
  <Template>Normal</Template>
  <Pages>46</Pages>
  <Words>14948</Words>
  <Characters>17324</Characters>
  <Lines>273</Lines>
  <Paragraphs>76</Paragraphs>
  <TotalTime>1763</TotalTime>
  <ScaleCrop>false</ScaleCrop>
  <LinksUpToDate>false</LinksUpToDate>
  <CharactersWithSpaces>17638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2021-11-10T09:36:00Z</dcterms:created>
  <dc:creator>Admin2</dc:creator>
  <cp:lastModifiedBy>太极箫客</cp:lastModifiedBy>
  <dcterms:modified xsi:type="dcterms:W3CDTF">2025-08-14T07:09:14Z</dcterms:modified>
  <dc:title>Saline, Silicone Gel, and Alternative Breast Implants - Guidance for Industry and Food and Drug Administration Staff</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LastSaved">
    <vt:filetime>2021-11-10T00:00:00Z</vt:filetime>
  </property>
  <property fmtid="{D5CDD505-2E9C-101B-9397-08002B2CF9AE}" pid="4" name="MSIP_Label_ff6dbec8-95a8-4638-9f5f-bd076536645c_Enabled">
    <vt:lpwstr>true</vt:lpwstr>
  </property>
  <property fmtid="{D5CDD505-2E9C-101B-9397-08002B2CF9AE}" pid="5" name="MSIP_Label_ff6dbec8-95a8-4638-9f5f-bd076536645c_SetDate">
    <vt:lpwstr>2022-03-02T01:14:28Z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34cc93a3-1eb9-461a-b734-0c728029aef7</vt:lpwstr>
  </property>
  <property fmtid="{D5CDD505-2E9C-101B-9397-08002B2CF9AE}" pid="10" name="MSIP_Label_ff6dbec8-95a8-4638-9f5f-bd076536645c_ContentBits">
    <vt:lpwstr>0</vt:lpwstr>
  </property>
  <property fmtid="{D5CDD505-2E9C-101B-9397-08002B2CF9AE}" pid="11" name="KSOTemplateDocerSaveRecord">
    <vt:lpwstr>eyJoZGlkIjoiMDJiMzI3ODBiNTFmMWRjNDUyMjM1ZmZjODY5NDc2MWMiLCJ1c2VySWQiOiI0NTQ4Nzg1NzAifQ==</vt:lpwstr>
  </property>
  <property fmtid="{D5CDD505-2E9C-101B-9397-08002B2CF9AE}" pid="12" name="KSOProductBuildVer">
    <vt:lpwstr>2052-12.1.0.21915</vt:lpwstr>
  </property>
  <property fmtid="{D5CDD505-2E9C-101B-9397-08002B2CF9AE}" pid="13" name="ICV">
    <vt:lpwstr>2D58CB8144E448DEB7F77E5725440703_12</vt:lpwstr>
  </property>
</Properties>
</file>