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174AA">
      <w:pPr>
        <w:pStyle w:val="25"/>
        <w:pBdr>
          <w:bottom w:val="single" w:color="auto" w:sz="4" w:space="1"/>
        </w:pBdr>
        <w:jc w:val="center"/>
        <w:rPr>
          <w:rFonts w:eastAsia="宋体"/>
          <w:b/>
          <w:bCs/>
          <w:color w:val="000000"/>
          <w:sz w:val="56"/>
          <w:szCs w:val="56"/>
        </w:rPr>
      </w:pPr>
      <w:bookmarkStart w:id="70" w:name="_GoBack"/>
      <w:bookmarkEnd w:id="70"/>
      <w:r>
        <w:rPr>
          <w:rFonts w:eastAsia="宋体"/>
          <w:b/>
          <w:bCs/>
          <w:color w:val="000000"/>
          <w:sz w:val="56"/>
          <w:szCs w:val="56"/>
        </w:rPr>
        <w:t>瘫痪或截肢患者用植入式脑机接口（BCI）器械 - 非临床试验和临床考虑</w:t>
      </w:r>
    </w:p>
    <w:p w14:paraId="5CA54F36">
      <w:pPr>
        <w:pStyle w:val="25"/>
        <w:jc w:val="center"/>
        <w:rPr>
          <w:rFonts w:eastAsia="宋体"/>
          <w:color w:val="000000"/>
          <w:sz w:val="56"/>
          <w:szCs w:val="56"/>
        </w:rPr>
      </w:pPr>
      <w:r>
        <w:rPr>
          <w:rFonts w:eastAsia="宋体"/>
          <w:b/>
          <w:bCs/>
          <w:color w:val="000000"/>
          <w:sz w:val="56"/>
          <w:szCs w:val="56"/>
        </w:rPr>
        <w:t>行业和美国食品药品监督管理局工作人员指南</w:t>
      </w:r>
    </w:p>
    <w:p w14:paraId="4CDC9FF6">
      <w:pPr>
        <w:pStyle w:val="25"/>
        <w:jc w:val="center"/>
        <w:rPr>
          <w:rFonts w:eastAsia="宋体"/>
          <w:b/>
          <w:bCs/>
          <w:color w:val="000000"/>
          <w:sz w:val="28"/>
          <w:szCs w:val="28"/>
        </w:rPr>
      </w:pPr>
    </w:p>
    <w:p w14:paraId="46F175EF">
      <w:pPr>
        <w:pStyle w:val="25"/>
        <w:jc w:val="center"/>
        <w:rPr>
          <w:rFonts w:eastAsia="宋体"/>
          <w:b/>
          <w:bCs/>
          <w:color w:val="000000"/>
          <w:sz w:val="28"/>
          <w:szCs w:val="28"/>
        </w:rPr>
      </w:pPr>
      <w:r>
        <w:rPr>
          <w:rFonts w:eastAsia="宋体"/>
          <w:b/>
          <w:bCs/>
          <w:color w:val="000000"/>
          <w:sz w:val="28"/>
          <w:szCs w:val="28"/>
        </w:rPr>
        <w:t>文件发布日期：2021年5月20日。</w:t>
      </w:r>
    </w:p>
    <w:p w14:paraId="38463C4C">
      <w:pPr>
        <w:pStyle w:val="24"/>
        <w:rPr>
          <w:rFonts w:eastAsia="宋体"/>
        </w:rPr>
      </w:pPr>
    </w:p>
    <w:p w14:paraId="79840DB7">
      <w:pPr>
        <w:shd w:val="clear" w:color="auto" w:fill="FFFFFF"/>
        <w:snapToGrid w:val="0"/>
        <w:jc w:val="center"/>
        <w:rPr>
          <w:rFonts w:eastAsia="宋体"/>
          <w:b/>
          <w:bCs/>
          <w:color w:val="000000"/>
          <w:sz w:val="28"/>
          <w:szCs w:val="28"/>
        </w:rPr>
      </w:pPr>
      <w:bookmarkStart w:id="0" w:name="_Hlk99439453"/>
      <w:r>
        <w:rPr>
          <w:rFonts w:eastAsia="宋体"/>
          <w:b/>
          <w:bCs/>
          <w:color w:val="000000"/>
          <w:sz w:val="28"/>
          <w:szCs w:val="28"/>
        </w:rPr>
        <w:t>文件草案</w:t>
      </w:r>
      <w:r>
        <w:rPr>
          <w:rFonts w:hint="eastAsia" w:eastAsia="宋体"/>
          <w:b/>
          <w:bCs/>
          <w:color w:val="000000"/>
          <w:sz w:val="28"/>
          <w:szCs w:val="28"/>
        </w:rPr>
        <w:t>发布日期：</w:t>
      </w:r>
      <w:bookmarkEnd w:id="0"/>
      <w:r>
        <w:rPr>
          <w:rFonts w:eastAsia="宋体"/>
          <w:b/>
          <w:bCs/>
          <w:color w:val="000000"/>
          <w:sz w:val="28"/>
          <w:szCs w:val="28"/>
        </w:rPr>
        <w:t>2019年2月22日。</w:t>
      </w:r>
    </w:p>
    <w:p w14:paraId="5A0F2B14">
      <w:pPr>
        <w:shd w:val="clear" w:color="auto" w:fill="FFFFFF"/>
        <w:snapToGrid w:val="0"/>
        <w:jc w:val="center"/>
        <w:rPr>
          <w:rFonts w:eastAsia="宋体"/>
          <w:b/>
          <w:bCs/>
          <w:color w:val="000000"/>
          <w:sz w:val="28"/>
          <w:szCs w:val="28"/>
        </w:rPr>
      </w:pPr>
    </w:p>
    <w:p w14:paraId="12F47303">
      <w:pPr>
        <w:shd w:val="clear" w:color="auto" w:fill="FFFFFF"/>
        <w:snapToGrid w:val="0"/>
        <w:jc w:val="center"/>
        <w:rPr>
          <w:rFonts w:eastAsia="宋体"/>
          <w:b/>
          <w:bCs/>
          <w:color w:val="000000"/>
          <w:sz w:val="28"/>
          <w:szCs w:val="28"/>
        </w:rPr>
      </w:pPr>
    </w:p>
    <w:p w14:paraId="46ECFE46">
      <w:pPr>
        <w:shd w:val="clear" w:color="auto" w:fill="FFFFFF"/>
        <w:snapToGrid w:val="0"/>
        <w:jc w:val="both"/>
        <w:rPr>
          <w:rFonts w:eastAsia="宋体"/>
          <w:color w:val="000000"/>
          <w:sz w:val="24"/>
          <w:szCs w:val="24"/>
        </w:rPr>
      </w:pPr>
      <w:bookmarkStart w:id="1" w:name="_Hlk99376629"/>
      <w:r>
        <w:rPr>
          <w:rFonts w:eastAsia="宋体"/>
          <w:color w:val="000000"/>
          <w:sz w:val="24"/>
          <w:szCs w:val="24"/>
        </w:rPr>
        <w:t>如对本文件有任何疑问，</w:t>
      </w:r>
      <w:bookmarkEnd w:id="1"/>
      <w:r>
        <w:rPr>
          <w:rFonts w:eastAsia="宋体"/>
          <w:color w:val="000000"/>
          <w:sz w:val="24"/>
          <w:szCs w:val="24"/>
        </w:rPr>
        <w:t>请</w:t>
      </w:r>
      <w:r>
        <w:rPr>
          <w:rFonts w:hint="eastAsia" w:eastAsia="宋体"/>
          <w:color w:val="000000"/>
          <w:sz w:val="24"/>
          <w:szCs w:val="24"/>
        </w:rPr>
        <w:t>致电</w:t>
      </w:r>
      <w:r>
        <w:rPr>
          <w:rFonts w:eastAsia="宋体"/>
          <w:color w:val="000000"/>
          <w:sz w:val="24"/>
          <w:szCs w:val="24"/>
        </w:rPr>
        <w:t>（301）796-6610联系OHT5：神经和物理学医疗器械办公室/DHT5B：神经调节和物理学医疗器械部门/急性损伤器械团队。</w:t>
      </w:r>
    </w:p>
    <w:p w14:paraId="0CE3A883">
      <w:pPr>
        <w:shd w:val="clear" w:color="auto" w:fill="FFFFFF"/>
        <w:snapToGrid w:val="0"/>
        <w:jc w:val="both"/>
        <w:rPr>
          <w:rFonts w:eastAsia="宋体"/>
          <w:color w:val="000000"/>
          <w:sz w:val="24"/>
          <w:szCs w:val="24"/>
        </w:rPr>
      </w:pPr>
    </w:p>
    <w:p w14:paraId="14C45E58">
      <w:pPr>
        <w:shd w:val="clear" w:color="auto" w:fill="FFFFFF"/>
        <w:snapToGrid w:val="0"/>
        <w:jc w:val="both"/>
        <w:rPr>
          <w:rFonts w:eastAsia="宋体"/>
          <w:color w:val="000000"/>
          <w:sz w:val="24"/>
          <w:szCs w:val="24"/>
        </w:rPr>
      </w:pPr>
    </w:p>
    <w:p w14:paraId="4C6404A6">
      <w:pPr>
        <w:shd w:val="clear" w:color="auto" w:fill="FFFFFF"/>
        <w:snapToGrid w:val="0"/>
        <w:jc w:val="both"/>
        <w:rPr>
          <w:rFonts w:eastAsia="宋体"/>
          <w:color w:val="000000"/>
          <w:sz w:val="24"/>
          <w:szCs w:val="24"/>
        </w:rPr>
      </w:pPr>
    </w:p>
    <w:p w14:paraId="3413345D">
      <w:pPr>
        <w:shd w:val="clear" w:color="auto" w:fill="FFFFFF"/>
        <w:snapToGrid w:val="0"/>
        <w:jc w:val="both"/>
        <w:rPr>
          <w:rFonts w:eastAsia="宋体"/>
          <w:color w:val="000000"/>
          <w:sz w:val="24"/>
          <w:szCs w:val="24"/>
        </w:rPr>
      </w:pPr>
    </w:p>
    <w:p w14:paraId="5FCCA861">
      <w:pPr>
        <w:shd w:val="clear" w:color="auto" w:fill="FFFFFF"/>
        <w:snapToGrid w:val="0"/>
        <w:jc w:val="both"/>
        <w:rPr>
          <w:rFonts w:eastAsia="宋体"/>
          <w:color w:val="000000"/>
          <w:sz w:val="24"/>
          <w:szCs w:val="24"/>
        </w:rPr>
      </w:pPr>
    </w:p>
    <w:p w14:paraId="49646DD9">
      <w:pPr>
        <w:shd w:val="clear" w:color="auto" w:fill="FFFFFF"/>
        <w:snapToGrid w:val="0"/>
        <w:jc w:val="both"/>
        <w:rPr>
          <w:rFonts w:eastAsia="宋体"/>
          <w:color w:val="000000"/>
          <w:sz w:val="24"/>
          <w:szCs w:val="24"/>
        </w:rPr>
      </w:pPr>
    </w:p>
    <w:p w14:paraId="2CD70B27">
      <w:pPr>
        <w:shd w:val="clear" w:color="auto" w:fill="FFFFFF"/>
        <w:snapToGrid w:val="0"/>
        <w:jc w:val="both"/>
        <w:rPr>
          <w:rFonts w:eastAsia="宋体"/>
          <w:color w:val="000000"/>
          <w:sz w:val="24"/>
          <w:szCs w:val="24"/>
        </w:rPr>
      </w:pPr>
    </w:p>
    <w:p w14:paraId="50D3B188">
      <w:pPr>
        <w:shd w:val="clear" w:color="auto" w:fill="FFFFFF"/>
        <w:snapToGrid w:val="0"/>
        <w:jc w:val="both"/>
        <w:rPr>
          <w:rFonts w:eastAsia="宋体"/>
          <w:color w:val="000000"/>
          <w:sz w:val="24"/>
          <w:szCs w:val="24"/>
        </w:rPr>
      </w:pPr>
    </w:p>
    <w:p w14:paraId="644E8A7E">
      <w:pPr>
        <w:shd w:val="clear" w:color="auto" w:fill="FFFFFF"/>
        <w:snapToGrid w:val="0"/>
        <w:jc w:val="both"/>
        <w:rPr>
          <w:rFonts w:eastAsia="宋体"/>
          <w:color w:val="000000"/>
          <w:sz w:val="24"/>
          <w:szCs w:val="24"/>
        </w:rPr>
      </w:pPr>
    </w:p>
    <w:p w14:paraId="3423E6AE">
      <w:pPr>
        <w:shd w:val="clear" w:color="auto" w:fill="FFFFFF"/>
        <w:snapToGrid w:val="0"/>
        <w:jc w:val="both"/>
        <w:rPr>
          <w:rFonts w:eastAsia="宋体"/>
          <w:color w:val="000000"/>
          <w:sz w:val="24"/>
          <w:szCs w:val="24"/>
        </w:rPr>
      </w:pPr>
    </w:p>
    <w:p w14:paraId="6055720F">
      <w:pPr>
        <w:shd w:val="clear" w:color="auto" w:fill="FFFFFF"/>
        <w:snapToGrid w:val="0"/>
        <w:jc w:val="both"/>
        <w:rPr>
          <w:rFonts w:eastAsia="宋体"/>
          <w:color w:val="000000"/>
          <w:sz w:val="24"/>
          <w:szCs w:val="24"/>
        </w:rPr>
      </w:pPr>
    </w:p>
    <w:p w14:paraId="490582EA">
      <w:pPr>
        <w:shd w:val="clear" w:color="auto" w:fill="FFFFFF"/>
        <w:snapToGrid w:val="0"/>
        <w:jc w:val="both"/>
        <w:rPr>
          <w:rFonts w:eastAsia="宋体"/>
          <w:color w:val="000000"/>
          <w:sz w:val="24"/>
          <w:szCs w:val="24"/>
        </w:rPr>
      </w:pPr>
    </w:p>
    <w:p w14:paraId="737C2033">
      <w:pPr>
        <w:shd w:val="clear" w:color="auto" w:fill="FFFFFF"/>
        <w:snapToGrid w:val="0"/>
        <w:jc w:val="both"/>
        <w:rPr>
          <w:rFonts w:eastAsia="宋体"/>
          <w:color w:val="000000"/>
          <w:sz w:val="24"/>
          <w:szCs w:val="24"/>
        </w:rPr>
      </w:pPr>
    </w:p>
    <w:p w14:paraId="7BEC3285">
      <w:pPr>
        <w:shd w:val="clear" w:color="auto" w:fill="FFFFFF"/>
        <w:snapToGrid w:val="0"/>
        <w:jc w:val="both"/>
        <w:rPr>
          <w:rFonts w:eastAsia="宋体"/>
          <w:color w:val="000000"/>
          <w:sz w:val="24"/>
          <w:szCs w:val="24"/>
        </w:rPr>
      </w:pPr>
    </w:p>
    <w:p w14:paraId="2F5B0B08">
      <w:pPr>
        <w:shd w:val="clear" w:color="auto" w:fill="FFFFFF"/>
        <w:snapToGrid w:val="0"/>
        <w:jc w:val="both"/>
        <w:rPr>
          <w:rFonts w:eastAsia="宋体"/>
          <w:color w:val="000000"/>
          <w:sz w:val="24"/>
          <w:szCs w:val="24"/>
        </w:rPr>
      </w:pPr>
    </w:p>
    <w:p w14:paraId="52C30F57">
      <w:pPr>
        <w:shd w:val="clear" w:color="auto" w:fill="FFFFFF"/>
        <w:snapToGrid w:val="0"/>
        <w:jc w:val="both"/>
        <w:rPr>
          <w:rFonts w:eastAsia="宋体"/>
          <w:color w:val="000000"/>
          <w:sz w:val="24"/>
          <w:szCs w:val="24"/>
        </w:rPr>
      </w:pPr>
    </w:p>
    <w:p w14:paraId="203069DA">
      <w:pPr>
        <w:shd w:val="clear" w:color="auto" w:fill="FFFFFF"/>
        <w:snapToGrid w:val="0"/>
        <w:jc w:val="both"/>
        <w:rPr>
          <w:rFonts w:eastAsia="宋体"/>
          <w:color w:val="000000"/>
          <w:sz w:val="24"/>
          <w:szCs w:val="24"/>
        </w:rPr>
      </w:pPr>
    </w:p>
    <w:p w14:paraId="7C59A396">
      <w:pPr>
        <w:shd w:val="clear" w:color="auto" w:fill="FFFFFF"/>
        <w:snapToGrid w:val="0"/>
        <w:jc w:val="both"/>
        <w:rPr>
          <w:rFonts w:eastAsia="宋体"/>
          <w:sz w:val="24"/>
          <w:szCs w:val="24"/>
        </w:rPr>
      </w:pPr>
    </w:p>
    <w:p w14:paraId="15E5B811">
      <w:pPr>
        <w:snapToGrid w:val="0"/>
        <w:jc w:val="both"/>
        <w:rPr>
          <w:rFonts w:eastAsia="宋体"/>
          <w:sz w:val="24"/>
          <w:szCs w:val="24"/>
        </w:rPr>
      </w:pPr>
    </w:p>
    <w:p w14:paraId="28D32058">
      <w:pPr>
        <w:snapToGrid w:val="0"/>
        <w:jc w:val="both"/>
        <w:rPr>
          <w:rFonts w:eastAsia="宋体"/>
          <w:sz w:val="24"/>
          <w:szCs w:val="24"/>
        </w:rPr>
      </w:pPr>
    </w:p>
    <w:p w14:paraId="468CA457">
      <w:pPr>
        <w:snapToGrid w:val="0"/>
        <w:jc w:val="both"/>
        <w:rPr>
          <w:rFonts w:eastAsia="宋体"/>
          <w:sz w:val="24"/>
          <w:szCs w:val="24"/>
        </w:rPr>
      </w:pPr>
    </w:p>
    <w:tbl>
      <w:tblPr>
        <w:tblStyle w:val="16"/>
        <w:tblW w:w="5000" w:type="pct"/>
        <w:tblInd w:w="0" w:type="dxa"/>
        <w:tblLayout w:type="fixed"/>
        <w:tblCellMar>
          <w:top w:w="0" w:type="dxa"/>
          <w:left w:w="40" w:type="dxa"/>
          <w:bottom w:w="0" w:type="dxa"/>
          <w:right w:w="40" w:type="dxa"/>
        </w:tblCellMar>
      </w:tblPr>
      <w:tblGrid>
        <w:gridCol w:w="3637"/>
        <w:gridCol w:w="5549"/>
      </w:tblGrid>
      <w:tr w14:paraId="4ED21978">
        <w:tblPrEx>
          <w:tblCellMar>
            <w:top w:w="0" w:type="dxa"/>
            <w:left w:w="40" w:type="dxa"/>
            <w:bottom w:w="0" w:type="dxa"/>
            <w:right w:w="40" w:type="dxa"/>
          </w:tblCellMar>
        </w:tblPrEx>
        <w:tc>
          <w:tcPr>
            <w:tcW w:w="3672" w:type="dxa"/>
            <w:tcBorders>
              <w:top w:val="nil"/>
              <w:left w:val="nil"/>
              <w:bottom w:val="nil"/>
              <w:right w:val="nil"/>
            </w:tcBorders>
            <w:shd w:val="clear" w:color="auto" w:fill="FFFFFF"/>
            <w:tcMar>
              <w:left w:w="57" w:type="dxa"/>
              <w:right w:w="57" w:type="dxa"/>
            </w:tcMar>
          </w:tcPr>
          <w:p w14:paraId="1C896550">
            <w:pPr>
              <w:shd w:val="clear" w:color="auto" w:fill="FFFFFF"/>
              <w:tabs>
                <w:tab w:val="left" w:leader="underscore" w:pos="3211"/>
              </w:tabs>
              <w:snapToGrid w:val="0"/>
              <w:rPr>
                <w:rFonts w:eastAsia="宋体"/>
                <w:sz w:val="24"/>
                <w:szCs w:val="24"/>
              </w:rPr>
            </w:pPr>
            <w:r>
              <w:rPr>
                <w:rFonts w:eastAsia="宋体"/>
              </w:rPr>
              <w:drawing>
                <wp:inline distT="0" distB="0" distL="0" distR="0">
                  <wp:extent cx="1828800" cy="5334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1828958" cy="533446"/>
                          </a:xfrm>
                          <a:prstGeom prst="rect">
                            <a:avLst/>
                          </a:prstGeom>
                        </pic:spPr>
                      </pic:pic>
                    </a:graphicData>
                  </a:graphic>
                </wp:inline>
              </w:drawing>
            </w:r>
          </w:p>
        </w:tc>
        <w:tc>
          <w:tcPr>
            <w:tcW w:w="5602" w:type="dxa"/>
            <w:tcBorders>
              <w:top w:val="nil"/>
              <w:left w:val="nil"/>
              <w:bottom w:val="nil"/>
              <w:right w:val="nil"/>
            </w:tcBorders>
            <w:shd w:val="clear" w:color="auto" w:fill="FFFFFF"/>
            <w:tcMar>
              <w:left w:w="57" w:type="dxa"/>
              <w:right w:w="57" w:type="dxa"/>
            </w:tcMar>
          </w:tcPr>
          <w:p w14:paraId="5E008162">
            <w:pPr>
              <w:shd w:val="clear" w:color="auto" w:fill="FFFFFF"/>
              <w:snapToGrid w:val="0"/>
              <w:jc w:val="right"/>
              <w:rPr>
                <w:rFonts w:eastAsia="宋体"/>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547065D7">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76FFCFC1">
            <w:pPr>
              <w:shd w:val="clear" w:color="auto" w:fill="FFFFFF"/>
              <w:snapToGrid w:val="0"/>
              <w:jc w:val="right"/>
              <w:rPr>
                <w:rFonts w:eastAsia="宋体"/>
                <w:sz w:val="24"/>
                <w:szCs w:val="24"/>
              </w:rPr>
            </w:pPr>
            <w:r>
              <w:rPr>
                <w:rFonts w:eastAsia="宋体"/>
                <w:b/>
                <w:bCs/>
                <w:color w:val="000000"/>
                <w:sz w:val="24"/>
                <w:szCs w:val="24"/>
              </w:rPr>
              <w:t>医疗器械与放射健康中心</w:t>
            </w:r>
          </w:p>
        </w:tc>
      </w:tr>
    </w:tbl>
    <w:p w14:paraId="6D280242">
      <w:pPr>
        <w:snapToGrid w:val="0"/>
        <w:jc w:val="both"/>
        <w:rPr>
          <w:rFonts w:eastAsia="宋体"/>
          <w:sz w:val="21"/>
          <w:szCs w:val="21"/>
        </w:rPr>
      </w:pPr>
    </w:p>
    <w:p w14:paraId="32EB8CDF">
      <w:pPr>
        <w:snapToGrid w:val="0"/>
        <w:jc w:val="both"/>
        <w:rPr>
          <w:rFonts w:eastAsia="宋体"/>
          <w:sz w:val="21"/>
          <w:szCs w:val="21"/>
        </w:rPr>
      </w:pPr>
    </w:p>
    <w:p w14:paraId="11881A43">
      <w:pPr>
        <w:snapToGrid w:val="0"/>
        <w:jc w:val="both"/>
        <w:rPr>
          <w:rFonts w:eastAsia="宋体"/>
          <w:sz w:val="21"/>
          <w:szCs w:val="21"/>
        </w:rPr>
        <w:sectPr>
          <w:headerReference r:id="rId6" w:type="default"/>
          <w:type w:val="continuous"/>
          <w:pgSz w:w="11906" w:h="16838"/>
          <w:pgMar w:top="1134" w:right="1417" w:bottom="1134" w:left="1417" w:header="850" w:footer="720" w:gutter="0"/>
          <w:cols w:space="60" w:num="1"/>
          <w:docGrid w:linePitch="272" w:charSpace="0"/>
        </w:sectPr>
      </w:pPr>
    </w:p>
    <w:p w14:paraId="2D642840">
      <w:pPr>
        <w:pStyle w:val="26"/>
        <w:jc w:val="center"/>
        <w:rPr>
          <w:rFonts w:eastAsia="宋体"/>
          <w:b/>
          <w:bCs/>
          <w:color w:val="000000"/>
          <w:sz w:val="48"/>
          <w:szCs w:val="48"/>
        </w:rPr>
      </w:pPr>
      <w:r>
        <w:rPr>
          <w:rFonts w:eastAsia="宋体"/>
          <w:b/>
          <w:bCs/>
          <w:color w:val="000000"/>
          <w:sz w:val="48"/>
          <w:szCs w:val="48"/>
        </w:rPr>
        <w:t>前言</w:t>
      </w:r>
    </w:p>
    <w:p w14:paraId="7668E3A8">
      <w:pPr>
        <w:pStyle w:val="24"/>
        <w:rPr>
          <w:rFonts w:eastAsia="宋体"/>
        </w:rPr>
      </w:pPr>
    </w:p>
    <w:p w14:paraId="30F29E04">
      <w:pPr>
        <w:shd w:val="clear" w:color="auto" w:fill="FFFFFF"/>
        <w:snapToGrid w:val="0"/>
        <w:jc w:val="both"/>
        <w:rPr>
          <w:rFonts w:eastAsia="宋体"/>
          <w:b/>
          <w:bCs/>
          <w:color w:val="000000"/>
          <w:sz w:val="36"/>
          <w:szCs w:val="36"/>
        </w:rPr>
      </w:pPr>
      <w:r>
        <w:rPr>
          <w:rFonts w:eastAsia="宋体"/>
          <w:b/>
          <w:bCs/>
          <w:color w:val="000000"/>
          <w:sz w:val="36"/>
          <w:szCs w:val="36"/>
        </w:rPr>
        <w:t>公众意见</w:t>
      </w:r>
    </w:p>
    <w:p w14:paraId="66A4CE33">
      <w:pPr>
        <w:shd w:val="clear" w:color="auto" w:fill="FFFFFF"/>
        <w:snapToGrid w:val="0"/>
        <w:jc w:val="both"/>
        <w:rPr>
          <w:rFonts w:eastAsia="宋体"/>
          <w:b/>
          <w:bCs/>
          <w:color w:val="000000"/>
          <w:sz w:val="24"/>
          <w:szCs w:val="24"/>
        </w:rPr>
      </w:pPr>
    </w:p>
    <w:p w14:paraId="5B87770F">
      <w:pPr>
        <w:shd w:val="clear" w:color="auto" w:fill="FFFFFF"/>
        <w:snapToGrid w:val="0"/>
        <w:jc w:val="both"/>
        <w:rPr>
          <w:rFonts w:ascii="宋体" w:hAnsi="宋体" w:eastAsia="宋体"/>
          <w:color w:val="000000"/>
          <w:sz w:val="24"/>
          <w:szCs w:val="24"/>
        </w:rPr>
      </w:pPr>
      <w:bookmarkStart w:id="2" w:name="_Hlk99439541"/>
      <w:r>
        <w:rPr>
          <w:rFonts w:hint="eastAsia" w:ascii="宋体" w:hAnsi="宋体" w:eastAsia="宋体"/>
          <w:sz w:val="24"/>
          <w:szCs w:val="24"/>
        </w:rPr>
        <w:t>电子版意见和建议可随时提交至</w:t>
      </w:r>
      <w:r>
        <w:fldChar w:fldCharType="begin"/>
      </w:r>
      <w:r>
        <w:instrText xml:space="preserve"> HYPERLINK "http://www.regulations.gov/" </w:instrText>
      </w:r>
      <w:r>
        <w:fldChar w:fldCharType="separate"/>
      </w:r>
      <w:r>
        <w:rPr>
          <w:rStyle w:val="18"/>
          <w:rFonts w:ascii="宋体" w:hAnsi="宋体" w:eastAsia="宋体"/>
          <w:sz w:val="24"/>
          <w:szCs w:val="24"/>
        </w:rPr>
        <w:t>http://www.regulations.gov</w:t>
      </w:r>
      <w:r>
        <w:rPr>
          <w:rStyle w:val="18"/>
          <w:rFonts w:ascii="宋体" w:hAnsi="宋体" w:eastAsia="宋体"/>
          <w:sz w:val="24"/>
          <w:szCs w:val="24"/>
        </w:rPr>
        <w:fldChar w:fldCharType="end"/>
      </w:r>
      <w:r>
        <w:rPr>
          <w:rFonts w:hint="eastAsia" w:ascii="宋体" w:hAnsi="宋体" w:eastAsia="宋体"/>
          <w:sz w:val="24"/>
          <w:szCs w:val="24"/>
        </w:rPr>
        <w:t>，供FDA审议。可将书面意见提交至：美国食品药品监督管理局备案文件管理部（5630</w:t>
      </w:r>
      <w:r>
        <w:rPr>
          <w:rFonts w:ascii="宋体" w:hAnsi="宋体" w:eastAsia="宋体"/>
          <w:sz w:val="24"/>
          <w:szCs w:val="24"/>
        </w:rPr>
        <w:t xml:space="preserve"> Fishers Lane</w:t>
      </w:r>
      <w:r>
        <w:rPr>
          <w:rFonts w:hint="eastAsia" w:ascii="宋体" w:hAnsi="宋体" w:eastAsia="宋体"/>
          <w:sz w:val="24"/>
          <w:szCs w:val="24"/>
        </w:rPr>
        <w:t>，</w:t>
      </w:r>
      <w:r>
        <w:rPr>
          <w:rFonts w:ascii="宋体" w:hAnsi="宋体" w:eastAsia="宋体"/>
          <w:sz w:val="24"/>
          <w:szCs w:val="24"/>
        </w:rPr>
        <w:t>Room 1061</w:t>
      </w:r>
      <w:r>
        <w:rPr>
          <w:rFonts w:hint="eastAsia" w:ascii="宋体" w:hAnsi="宋体" w:eastAsia="宋体"/>
          <w:sz w:val="24"/>
          <w:szCs w:val="24"/>
        </w:rPr>
        <w:t>，（</w:t>
      </w:r>
      <w:r>
        <w:rPr>
          <w:rFonts w:ascii="宋体" w:hAnsi="宋体" w:eastAsia="宋体"/>
          <w:sz w:val="24"/>
          <w:szCs w:val="24"/>
        </w:rPr>
        <w:t>HFA-305</w:t>
      </w:r>
      <w:r>
        <w:rPr>
          <w:rFonts w:hint="eastAsia" w:ascii="宋体" w:hAnsi="宋体" w:eastAsia="宋体"/>
          <w:sz w:val="24"/>
          <w:szCs w:val="24"/>
        </w:rPr>
        <w:t>），Rockville，MD</w:t>
      </w:r>
      <w:r>
        <w:rPr>
          <w:rFonts w:ascii="宋体" w:hAnsi="宋体" w:eastAsia="宋体"/>
          <w:sz w:val="24"/>
          <w:szCs w:val="24"/>
        </w:rPr>
        <w:t xml:space="preserve"> </w:t>
      </w:r>
      <w:r>
        <w:rPr>
          <w:rFonts w:hint="eastAsia" w:ascii="宋体" w:hAnsi="宋体" w:eastAsia="宋体"/>
          <w:sz w:val="24"/>
          <w:szCs w:val="24"/>
        </w:rPr>
        <w:t>20852）。所有意见均应注明备案文件编号</w:t>
      </w:r>
      <w:r>
        <w:rPr>
          <w:rFonts w:ascii="宋体" w:hAnsi="宋体" w:eastAsia="宋体"/>
          <w:color w:val="000000"/>
          <w:sz w:val="24"/>
          <w:szCs w:val="24"/>
        </w:rPr>
        <w:t>FDA-2014-N-1130</w:t>
      </w:r>
      <w:r>
        <w:rPr>
          <w:rFonts w:hint="eastAsia" w:ascii="宋体" w:hAnsi="宋体" w:eastAsia="宋体"/>
          <w:sz w:val="24"/>
          <w:szCs w:val="24"/>
        </w:rPr>
        <w:t>。下次修订或更新本文件前，FDA可能不会对意见采取行动。</w:t>
      </w:r>
      <w:bookmarkEnd w:id="2"/>
    </w:p>
    <w:p w14:paraId="76EF4FF0">
      <w:pPr>
        <w:shd w:val="clear" w:color="auto" w:fill="FFFFFF"/>
        <w:snapToGrid w:val="0"/>
        <w:jc w:val="both"/>
        <w:rPr>
          <w:rFonts w:ascii="宋体" w:hAnsi="宋体" w:eastAsia="宋体"/>
          <w:b/>
          <w:bCs/>
          <w:color w:val="000000"/>
          <w:sz w:val="24"/>
          <w:szCs w:val="24"/>
        </w:rPr>
      </w:pPr>
    </w:p>
    <w:p w14:paraId="55DAB40E">
      <w:pPr>
        <w:shd w:val="clear" w:color="auto" w:fill="FFFFFF"/>
        <w:snapToGrid w:val="0"/>
        <w:jc w:val="both"/>
        <w:rPr>
          <w:rFonts w:ascii="宋体" w:hAnsi="宋体" w:eastAsia="宋体"/>
          <w:b/>
          <w:bCs/>
          <w:color w:val="000000"/>
          <w:sz w:val="36"/>
          <w:szCs w:val="36"/>
        </w:rPr>
      </w:pPr>
      <w:r>
        <w:rPr>
          <w:rFonts w:hint="eastAsia" w:ascii="宋体" w:hAnsi="宋体" w:eastAsia="宋体"/>
          <w:b/>
          <w:bCs/>
          <w:color w:val="000000"/>
          <w:sz w:val="36"/>
          <w:szCs w:val="36"/>
        </w:rPr>
        <w:t>更多副本</w:t>
      </w:r>
    </w:p>
    <w:p w14:paraId="54678549">
      <w:pPr>
        <w:shd w:val="clear" w:color="auto" w:fill="FFFFFF"/>
        <w:snapToGrid w:val="0"/>
        <w:jc w:val="both"/>
        <w:rPr>
          <w:rFonts w:ascii="宋体" w:hAnsi="宋体" w:eastAsia="宋体"/>
          <w:color w:val="000000" w:themeColor="text1"/>
          <w:sz w:val="24"/>
          <w:szCs w:val="24"/>
        </w:rPr>
      </w:pPr>
    </w:p>
    <w:p w14:paraId="227119B6">
      <w:pPr>
        <w:shd w:val="clear" w:color="auto" w:fill="FFFFFF"/>
        <w:snapToGrid w:val="0"/>
        <w:jc w:val="both"/>
        <w:rPr>
          <w:rFonts w:ascii="宋体" w:hAnsi="宋体" w:eastAsia="宋体"/>
          <w:sz w:val="24"/>
          <w:szCs w:val="24"/>
        </w:rPr>
      </w:pPr>
      <w:bookmarkStart w:id="3" w:name="_Hlk99439567"/>
      <w:r>
        <w:rPr>
          <w:rFonts w:hint="eastAsia" w:ascii="宋体" w:hAnsi="宋体" w:eastAsia="宋体"/>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8"/>
          <w:rFonts w:ascii="宋体" w:hAnsi="宋体" w:eastAsia="宋体"/>
          <w:sz w:val="24"/>
          <w:szCs w:val="24"/>
        </w:rPr>
        <w:t>CDRH-Guidance@fda.hhs.gov</w:t>
      </w:r>
      <w:r>
        <w:rPr>
          <w:rStyle w:val="18"/>
          <w:rFonts w:ascii="宋体" w:hAnsi="宋体" w:eastAsia="宋体"/>
          <w:sz w:val="24"/>
          <w:szCs w:val="24"/>
        </w:rPr>
        <w:fldChar w:fldCharType="end"/>
      </w:r>
      <w:r>
        <w:rPr>
          <w:rFonts w:hint="eastAsia" w:ascii="宋体" w:hAnsi="宋体" w:eastAsia="宋体"/>
          <w:sz w:val="24"/>
          <w:szCs w:val="24"/>
        </w:rPr>
        <w:t>获取本指南的副本。请在申请中提供文件编号</w:t>
      </w:r>
      <w:r>
        <w:rPr>
          <w:rFonts w:ascii="宋体" w:hAnsi="宋体" w:eastAsia="宋体"/>
          <w:color w:val="000000" w:themeColor="text1"/>
          <w:sz w:val="24"/>
          <w:szCs w:val="24"/>
        </w:rPr>
        <w:t>1500045</w:t>
      </w:r>
      <w:r>
        <w:rPr>
          <w:rFonts w:hint="eastAsia" w:ascii="宋体" w:hAnsi="宋体" w:eastAsia="宋体"/>
          <w:sz w:val="24"/>
          <w:szCs w:val="24"/>
        </w:rPr>
        <w:t>和完整的指南标题。</w:t>
      </w:r>
      <w:bookmarkEnd w:id="3"/>
    </w:p>
    <w:p w14:paraId="67F42CF0">
      <w:pPr>
        <w:shd w:val="clear" w:color="auto" w:fill="FFFFFF"/>
        <w:snapToGrid w:val="0"/>
        <w:jc w:val="both"/>
        <w:rPr>
          <w:rFonts w:eastAsia="宋体"/>
          <w:sz w:val="21"/>
          <w:szCs w:val="21"/>
        </w:rPr>
      </w:pPr>
    </w:p>
    <w:p w14:paraId="1D6CDA84">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407BFEF">
      <w:pPr>
        <w:snapToGrid w:val="0"/>
        <w:jc w:val="center"/>
        <w:rPr>
          <w:rFonts w:eastAsia="宋体"/>
          <w:b/>
          <w:bCs/>
          <w:sz w:val="36"/>
          <w:szCs w:val="36"/>
        </w:rPr>
      </w:pPr>
      <w:bookmarkStart w:id="4" w:name="_Hlk87870661"/>
      <w:r>
        <w:rPr>
          <w:rFonts w:eastAsia="宋体"/>
          <w:b/>
          <w:bCs/>
          <w:sz w:val="36"/>
          <w:szCs w:val="36"/>
        </w:rPr>
        <w:t>目录</w:t>
      </w:r>
    </w:p>
    <w:p w14:paraId="685B26B0">
      <w:pPr>
        <w:snapToGrid w:val="0"/>
        <w:jc w:val="both"/>
        <w:rPr>
          <w:rFonts w:eastAsia="宋体"/>
          <w:sz w:val="21"/>
          <w:szCs w:val="21"/>
        </w:rPr>
      </w:pPr>
    </w:p>
    <w:bookmarkEnd w:id="4"/>
    <w:p w14:paraId="0BE81950">
      <w:pPr>
        <w:pStyle w:val="12"/>
        <w:ind w:left="569" w:hanging="569"/>
        <w:rPr>
          <w:kern w:val="2"/>
          <w:szCs w:val="24"/>
        </w:rPr>
      </w:pPr>
      <w:r>
        <w:rPr>
          <w:b/>
          <w:bCs/>
          <w:szCs w:val="24"/>
        </w:rPr>
        <w:fldChar w:fldCharType="begin"/>
      </w:r>
      <w:r>
        <w:rPr>
          <w:b/>
          <w:szCs w:val="24"/>
        </w:rPr>
        <w:instrText xml:space="preserve"> TOC \o "1-3" \h \z \u </w:instrText>
      </w:r>
      <w:r>
        <w:rPr>
          <w:b/>
          <w:szCs w:val="24"/>
        </w:rPr>
        <w:fldChar w:fldCharType="separate"/>
      </w:r>
      <w:r>
        <w:fldChar w:fldCharType="begin"/>
      </w:r>
      <w:r>
        <w:instrText xml:space="preserve"> HYPERLINK \l "_Toc97494934" </w:instrText>
      </w:r>
      <w:r>
        <w:fldChar w:fldCharType="separate"/>
      </w:r>
      <w:r>
        <w:rPr>
          <w:rStyle w:val="18"/>
          <w:szCs w:val="24"/>
        </w:rPr>
        <w:t>I.</w:t>
      </w:r>
      <w:r>
        <w:rPr>
          <w:kern w:val="2"/>
          <w:szCs w:val="24"/>
        </w:rPr>
        <w:tab/>
      </w:r>
      <w:r>
        <w:rPr>
          <w:rStyle w:val="18"/>
          <w:szCs w:val="24"/>
        </w:rPr>
        <w:t>引言</w:t>
      </w:r>
      <w:r>
        <w:rPr>
          <w:szCs w:val="24"/>
        </w:rPr>
        <w:tab/>
      </w:r>
      <w:r>
        <w:rPr>
          <w:szCs w:val="24"/>
        </w:rPr>
        <w:fldChar w:fldCharType="begin"/>
      </w:r>
      <w:r>
        <w:rPr>
          <w:szCs w:val="24"/>
        </w:rPr>
        <w:instrText xml:space="preserve"> PAGEREF _Toc97494934 \h </w:instrText>
      </w:r>
      <w:r>
        <w:rPr>
          <w:szCs w:val="24"/>
        </w:rPr>
        <w:fldChar w:fldCharType="separate"/>
      </w:r>
      <w:r>
        <w:rPr>
          <w:szCs w:val="24"/>
        </w:rPr>
        <w:t>1</w:t>
      </w:r>
      <w:r>
        <w:rPr>
          <w:szCs w:val="24"/>
        </w:rPr>
        <w:fldChar w:fldCharType="end"/>
      </w:r>
      <w:r>
        <w:rPr>
          <w:szCs w:val="24"/>
        </w:rPr>
        <w:fldChar w:fldCharType="end"/>
      </w:r>
    </w:p>
    <w:p w14:paraId="621FD0B3">
      <w:pPr>
        <w:pStyle w:val="12"/>
        <w:rPr>
          <w:kern w:val="2"/>
          <w:szCs w:val="24"/>
        </w:rPr>
      </w:pPr>
      <w:r>
        <w:fldChar w:fldCharType="begin"/>
      </w:r>
      <w:r>
        <w:instrText xml:space="preserve"> HYPERLINK \l "_Toc97494935" </w:instrText>
      </w:r>
      <w:r>
        <w:fldChar w:fldCharType="separate"/>
      </w:r>
      <w:r>
        <w:rPr>
          <w:rStyle w:val="18"/>
          <w:szCs w:val="24"/>
        </w:rPr>
        <w:t>II.</w:t>
      </w:r>
      <w:r>
        <w:rPr>
          <w:kern w:val="2"/>
          <w:szCs w:val="24"/>
        </w:rPr>
        <w:tab/>
      </w:r>
      <w:r>
        <w:rPr>
          <w:rStyle w:val="18"/>
          <w:szCs w:val="24"/>
        </w:rPr>
        <w:t>适用范围</w:t>
      </w:r>
      <w:r>
        <w:rPr>
          <w:szCs w:val="24"/>
        </w:rPr>
        <w:tab/>
      </w:r>
      <w:r>
        <w:rPr>
          <w:szCs w:val="24"/>
        </w:rPr>
        <w:fldChar w:fldCharType="begin"/>
      </w:r>
      <w:r>
        <w:rPr>
          <w:szCs w:val="24"/>
        </w:rPr>
        <w:instrText xml:space="preserve"> PAGEREF _Toc97494935 \h </w:instrText>
      </w:r>
      <w:r>
        <w:rPr>
          <w:szCs w:val="24"/>
        </w:rPr>
        <w:fldChar w:fldCharType="separate"/>
      </w:r>
      <w:r>
        <w:rPr>
          <w:szCs w:val="24"/>
        </w:rPr>
        <w:t>2</w:t>
      </w:r>
      <w:r>
        <w:rPr>
          <w:szCs w:val="24"/>
        </w:rPr>
        <w:fldChar w:fldCharType="end"/>
      </w:r>
      <w:r>
        <w:rPr>
          <w:szCs w:val="24"/>
        </w:rPr>
        <w:fldChar w:fldCharType="end"/>
      </w:r>
    </w:p>
    <w:p w14:paraId="79965D88">
      <w:pPr>
        <w:pStyle w:val="12"/>
        <w:rPr>
          <w:kern w:val="2"/>
          <w:szCs w:val="24"/>
        </w:rPr>
      </w:pPr>
      <w:r>
        <w:fldChar w:fldCharType="begin"/>
      </w:r>
      <w:r>
        <w:instrText xml:space="preserve"> HYPERLINK \l "_Toc97494936" </w:instrText>
      </w:r>
      <w:r>
        <w:fldChar w:fldCharType="separate"/>
      </w:r>
      <w:r>
        <w:rPr>
          <w:rStyle w:val="18"/>
          <w:szCs w:val="24"/>
        </w:rPr>
        <w:t>III.</w:t>
      </w:r>
      <w:r>
        <w:rPr>
          <w:kern w:val="2"/>
          <w:szCs w:val="24"/>
        </w:rPr>
        <w:tab/>
      </w:r>
      <w:r>
        <w:rPr>
          <w:rStyle w:val="18"/>
          <w:rFonts w:hint="eastAsia"/>
          <w:szCs w:val="24"/>
        </w:rPr>
        <w:t>预申报</w:t>
      </w:r>
      <w:r>
        <w:rPr>
          <w:rStyle w:val="18"/>
          <w:szCs w:val="24"/>
        </w:rPr>
        <w:t>和IDE建议</w:t>
      </w:r>
      <w:r>
        <w:rPr>
          <w:szCs w:val="24"/>
        </w:rPr>
        <w:tab/>
      </w:r>
      <w:r>
        <w:rPr>
          <w:szCs w:val="24"/>
        </w:rPr>
        <w:fldChar w:fldCharType="begin"/>
      </w:r>
      <w:r>
        <w:rPr>
          <w:szCs w:val="24"/>
        </w:rPr>
        <w:instrText xml:space="preserve"> PAGEREF _Toc97494936 \h </w:instrText>
      </w:r>
      <w:r>
        <w:rPr>
          <w:szCs w:val="24"/>
        </w:rPr>
        <w:fldChar w:fldCharType="separate"/>
      </w:r>
      <w:r>
        <w:rPr>
          <w:szCs w:val="24"/>
        </w:rPr>
        <w:t>3</w:t>
      </w:r>
      <w:r>
        <w:rPr>
          <w:szCs w:val="24"/>
        </w:rPr>
        <w:fldChar w:fldCharType="end"/>
      </w:r>
      <w:r>
        <w:rPr>
          <w:szCs w:val="24"/>
        </w:rPr>
        <w:fldChar w:fldCharType="end"/>
      </w:r>
    </w:p>
    <w:p w14:paraId="188F29F0">
      <w:pPr>
        <w:pStyle w:val="14"/>
        <w:rPr>
          <w:kern w:val="2"/>
          <w:sz w:val="24"/>
          <w:szCs w:val="24"/>
        </w:rPr>
      </w:pPr>
      <w:r>
        <w:fldChar w:fldCharType="begin"/>
      </w:r>
      <w:r>
        <w:instrText xml:space="preserve"> HYPERLINK \l "_Toc97494937" </w:instrText>
      </w:r>
      <w:r>
        <w:fldChar w:fldCharType="separate"/>
      </w:r>
      <w:r>
        <w:rPr>
          <w:rStyle w:val="18"/>
          <w:sz w:val="24"/>
          <w:szCs w:val="24"/>
        </w:rPr>
        <w:t>A.</w:t>
      </w:r>
      <w:r>
        <w:rPr>
          <w:kern w:val="2"/>
          <w:sz w:val="24"/>
          <w:szCs w:val="24"/>
        </w:rPr>
        <w:tab/>
      </w:r>
      <w:r>
        <w:rPr>
          <w:rStyle w:val="18"/>
          <w:sz w:val="24"/>
          <w:szCs w:val="24"/>
        </w:rPr>
        <w:t>器械描述</w:t>
      </w:r>
      <w:r>
        <w:rPr>
          <w:sz w:val="24"/>
          <w:szCs w:val="24"/>
        </w:rPr>
        <w:tab/>
      </w:r>
      <w:r>
        <w:rPr>
          <w:sz w:val="24"/>
          <w:szCs w:val="24"/>
        </w:rPr>
        <w:fldChar w:fldCharType="begin"/>
      </w:r>
      <w:r>
        <w:rPr>
          <w:sz w:val="24"/>
          <w:szCs w:val="24"/>
        </w:rPr>
        <w:instrText xml:space="preserve"> PAGEREF _Toc97494937 \h </w:instrText>
      </w:r>
      <w:r>
        <w:rPr>
          <w:sz w:val="24"/>
          <w:szCs w:val="24"/>
        </w:rPr>
        <w:fldChar w:fldCharType="separate"/>
      </w:r>
      <w:r>
        <w:rPr>
          <w:sz w:val="24"/>
          <w:szCs w:val="24"/>
        </w:rPr>
        <w:t>3</w:t>
      </w:r>
      <w:r>
        <w:rPr>
          <w:sz w:val="24"/>
          <w:szCs w:val="24"/>
        </w:rPr>
        <w:fldChar w:fldCharType="end"/>
      </w:r>
      <w:r>
        <w:rPr>
          <w:sz w:val="24"/>
          <w:szCs w:val="24"/>
        </w:rPr>
        <w:fldChar w:fldCharType="end"/>
      </w:r>
    </w:p>
    <w:p w14:paraId="474895A8">
      <w:pPr>
        <w:pStyle w:val="14"/>
        <w:rPr>
          <w:kern w:val="2"/>
          <w:sz w:val="24"/>
          <w:szCs w:val="24"/>
        </w:rPr>
      </w:pPr>
      <w:r>
        <w:fldChar w:fldCharType="begin"/>
      </w:r>
      <w:r>
        <w:instrText xml:space="preserve"> HYPERLINK \l "_Toc97494938" </w:instrText>
      </w:r>
      <w:r>
        <w:fldChar w:fldCharType="separate"/>
      </w:r>
      <w:r>
        <w:rPr>
          <w:rStyle w:val="18"/>
          <w:sz w:val="24"/>
          <w:szCs w:val="24"/>
        </w:rPr>
        <w:t>B.</w:t>
      </w:r>
      <w:r>
        <w:rPr>
          <w:kern w:val="2"/>
          <w:sz w:val="24"/>
          <w:szCs w:val="24"/>
        </w:rPr>
        <w:tab/>
      </w:r>
      <w:r>
        <w:rPr>
          <w:rStyle w:val="18"/>
          <w:sz w:val="24"/>
          <w:szCs w:val="24"/>
        </w:rPr>
        <w:t>风险管理</w:t>
      </w:r>
      <w:r>
        <w:rPr>
          <w:sz w:val="24"/>
          <w:szCs w:val="24"/>
        </w:rPr>
        <w:tab/>
      </w:r>
      <w:r>
        <w:rPr>
          <w:sz w:val="24"/>
          <w:szCs w:val="24"/>
        </w:rPr>
        <w:fldChar w:fldCharType="begin"/>
      </w:r>
      <w:r>
        <w:rPr>
          <w:sz w:val="24"/>
          <w:szCs w:val="24"/>
        </w:rPr>
        <w:instrText xml:space="preserve"> PAGEREF _Toc97494938 \h </w:instrText>
      </w:r>
      <w:r>
        <w:rPr>
          <w:sz w:val="24"/>
          <w:szCs w:val="24"/>
        </w:rPr>
        <w:fldChar w:fldCharType="separate"/>
      </w:r>
      <w:r>
        <w:rPr>
          <w:sz w:val="24"/>
          <w:szCs w:val="24"/>
        </w:rPr>
        <w:t>7</w:t>
      </w:r>
      <w:r>
        <w:rPr>
          <w:sz w:val="24"/>
          <w:szCs w:val="24"/>
        </w:rPr>
        <w:fldChar w:fldCharType="end"/>
      </w:r>
      <w:r>
        <w:rPr>
          <w:sz w:val="24"/>
          <w:szCs w:val="24"/>
        </w:rPr>
        <w:fldChar w:fldCharType="end"/>
      </w:r>
    </w:p>
    <w:p w14:paraId="46A23415">
      <w:pPr>
        <w:pStyle w:val="14"/>
        <w:rPr>
          <w:kern w:val="2"/>
          <w:sz w:val="24"/>
          <w:szCs w:val="24"/>
        </w:rPr>
      </w:pPr>
      <w:r>
        <w:fldChar w:fldCharType="begin"/>
      </w:r>
      <w:r>
        <w:instrText xml:space="preserve"> HYPERLINK \l "_Toc97494939" </w:instrText>
      </w:r>
      <w:r>
        <w:fldChar w:fldCharType="separate"/>
      </w:r>
      <w:r>
        <w:rPr>
          <w:rStyle w:val="18"/>
          <w:sz w:val="24"/>
          <w:szCs w:val="24"/>
        </w:rPr>
        <w:t>C.</w:t>
      </w:r>
      <w:r>
        <w:rPr>
          <w:kern w:val="2"/>
          <w:sz w:val="24"/>
          <w:szCs w:val="24"/>
        </w:rPr>
        <w:tab/>
      </w:r>
      <w:r>
        <w:rPr>
          <w:rStyle w:val="18"/>
          <w:sz w:val="24"/>
          <w:szCs w:val="24"/>
        </w:rPr>
        <w:t>软件</w:t>
      </w:r>
      <w:r>
        <w:rPr>
          <w:sz w:val="24"/>
          <w:szCs w:val="24"/>
        </w:rPr>
        <w:tab/>
      </w:r>
      <w:r>
        <w:rPr>
          <w:sz w:val="24"/>
          <w:szCs w:val="24"/>
        </w:rPr>
        <w:fldChar w:fldCharType="begin"/>
      </w:r>
      <w:r>
        <w:rPr>
          <w:sz w:val="24"/>
          <w:szCs w:val="24"/>
        </w:rPr>
        <w:instrText xml:space="preserve"> PAGEREF _Toc97494939 \h </w:instrText>
      </w:r>
      <w:r>
        <w:rPr>
          <w:sz w:val="24"/>
          <w:szCs w:val="24"/>
        </w:rPr>
        <w:fldChar w:fldCharType="separate"/>
      </w:r>
      <w:r>
        <w:rPr>
          <w:sz w:val="24"/>
          <w:szCs w:val="24"/>
        </w:rPr>
        <w:t>7</w:t>
      </w:r>
      <w:r>
        <w:rPr>
          <w:sz w:val="24"/>
          <w:szCs w:val="24"/>
        </w:rPr>
        <w:fldChar w:fldCharType="end"/>
      </w:r>
      <w:r>
        <w:rPr>
          <w:sz w:val="24"/>
          <w:szCs w:val="24"/>
        </w:rPr>
        <w:fldChar w:fldCharType="end"/>
      </w:r>
    </w:p>
    <w:p w14:paraId="57B4F29A">
      <w:pPr>
        <w:pStyle w:val="14"/>
        <w:rPr>
          <w:kern w:val="2"/>
          <w:sz w:val="24"/>
          <w:szCs w:val="24"/>
        </w:rPr>
      </w:pPr>
      <w:r>
        <w:fldChar w:fldCharType="begin"/>
      </w:r>
      <w:r>
        <w:instrText xml:space="preserve"> HYPERLINK \l "_Toc97494940" </w:instrText>
      </w:r>
      <w:r>
        <w:fldChar w:fldCharType="separate"/>
      </w:r>
      <w:r>
        <w:rPr>
          <w:rStyle w:val="18"/>
          <w:sz w:val="24"/>
          <w:szCs w:val="24"/>
        </w:rPr>
        <w:t>D.</w:t>
      </w:r>
      <w:r>
        <w:rPr>
          <w:kern w:val="2"/>
          <w:sz w:val="24"/>
          <w:szCs w:val="24"/>
        </w:rPr>
        <w:tab/>
      </w:r>
      <w:r>
        <w:rPr>
          <w:rStyle w:val="18"/>
          <w:sz w:val="24"/>
          <w:szCs w:val="24"/>
        </w:rPr>
        <w:t>人为因素</w:t>
      </w:r>
      <w:r>
        <w:rPr>
          <w:sz w:val="24"/>
          <w:szCs w:val="24"/>
        </w:rPr>
        <w:tab/>
      </w:r>
      <w:r>
        <w:rPr>
          <w:sz w:val="24"/>
          <w:szCs w:val="24"/>
        </w:rPr>
        <w:fldChar w:fldCharType="begin"/>
      </w:r>
      <w:r>
        <w:rPr>
          <w:sz w:val="24"/>
          <w:szCs w:val="24"/>
        </w:rPr>
        <w:instrText xml:space="preserve"> PAGEREF _Toc97494940 \h </w:instrText>
      </w:r>
      <w:r>
        <w:rPr>
          <w:sz w:val="24"/>
          <w:szCs w:val="24"/>
        </w:rPr>
        <w:fldChar w:fldCharType="separate"/>
      </w:r>
      <w:r>
        <w:rPr>
          <w:sz w:val="24"/>
          <w:szCs w:val="24"/>
        </w:rPr>
        <w:t>9</w:t>
      </w:r>
      <w:r>
        <w:rPr>
          <w:sz w:val="24"/>
          <w:szCs w:val="24"/>
        </w:rPr>
        <w:fldChar w:fldCharType="end"/>
      </w:r>
      <w:r>
        <w:rPr>
          <w:sz w:val="24"/>
          <w:szCs w:val="24"/>
        </w:rPr>
        <w:fldChar w:fldCharType="end"/>
      </w:r>
    </w:p>
    <w:p w14:paraId="53CBEA24">
      <w:pPr>
        <w:pStyle w:val="14"/>
        <w:rPr>
          <w:kern w:val="2"/>
          <w:sz w:val="24"/>
          <w:szCs w:val="24"/>
        </w:rPr>
      </w:pPr>
      <w:r>
        <w:fldChar w:fldCharType="begin"/>
      </w:r>
      <w:r>
        <w:instrText xml:space="preserve"> HYPERLINK \l "_Toc97494941" </w:instrText>
      </w:r>
      <w:r>
        <w:fldChar w:fldCharType="separate"/>
      </w:r>
      <w:r>
        <w:rPr>
          <w:rStyle w:val="18"/>
          <w:sz w:val="24"/>
          <w:szCs w:val="24"/>
        </w:rPr>
        <w:t>E.</w:t>
      </w:r>
      <w:r>
        <w:rPr>
          <w:kern w:val="2"/>
          <w:sz w:val="24"/>
          <w:szCs w:val="24"/>
        </w:rPr>
        <w:tab/>
      </w:r>
      <w:r>
        <w:rPr>
          <w:rStyle w:val="18"/>
          <w:sz w:val="24"/>
          <w:szCs w:val="24"/>
        </w:rPr>
        <w:t>生物相容性</w:t>
      </w:r>
      <w:r>
        <w:rPr>
          <w:sz w:val="24"/>
          <w:szCs w:val="24"/>
        </w:rPr>
        <w:tab/>
      </w:r>
      <w:r>
        <w:rPr>
          <w:sz w:val="24"/>
          <w:szCs w:val="24"/>
        </w:rPr>
        <w:fldChar w:fldCharType="begin"/>
      </w:r>
      <w:r>
        <w:rPr>
          <w:sz w:val="24"/>
          <w:szCs w:val="24"/>
        </w:rPr>
        <w:instrText xml:space="preserve"> PAGEREF _Toc97494941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0E24C01">
      <w:pPr>
        <w:pStyle w:val="14"/>
        <w:rPr>
          <w:kern w:val="2"/>
          <w:sz w:val="24"/>
          <w:szCs w:val="24"/>
        </w:rPr>
      </w:pPr>
      <w:r>
        <w:fldChar w:fldCharType="begin"/>
      </w:r>
      <w:r>
        <w:instrText xml:space="preserve"> HYPERLINK \l "_Toc97494942" </w:instrText>
      </w:r>
      <w:r>
        <w:fldChar w:fldCharType="separate"/>
      </w:r>
      <w:r>
        <w:rPr>
          <w:rStyle w:val="18"/>
          <w:sz w:val="24"/>
          <w:szCs w:val="24"/>
        </w:rPr>
        <w:t>F.</w:t>
      </w:r>
      <w:r>
        <w:rPr>
          <w:kern w:val="2"/>
          <w:sz w:val="24"/>
          <w:szCs w:val="24"/>
        </w:rPr>
        <w:tab/>
      </w:r>
      <w:r>
        <w:rPr>
          <w:rStyle w:val="18"/>
          <w:sz w:val="24"/>
          <w:szCs w:val="24"/>
        </w:rPr>
        <w:t>无菌性</w:t>
      </w:r>
      <w:r>
        <w:rPr>
          <w:sz w:val="24"/>
          <w:szCs w:val="24"/>
        </w:rPr>
        <w:tab/>
      </w:r>
      <w:r>
        <w:rPr>
          <w:sz w:val="24"/>
          <w:szCs w:val="24"/>
        </w:rPr>
        <w:fldChar w:fldCharType="begin"/>
      </w:r>
      <w:r>
        <w:rPr>
          <w:sz w:val="24"/>
          <w:szCs w:val="24"/>
        </w:rPr>
        <w:instrText xml:space="preserve"> PAGEREF _Toc97494942 \h </w:instrText>
      </w:r>
      <w:r>
        <w:rPr>
          <w:sz w:val="24"/>
          <w:szCs w:val="24"/>
        </w:rPr>
        <w:fldChar w:fldCharType="separate"/>
      </w:r>
      <w:r>
        <w:rPr>
          <w:sz w:val="24"/>
          <w:szCs w:val="24"/>
        </w:rPr>
        <w:t>12</w:t>
      </w:r>
      <w:r>
        <w:rPr>
          <w:sz w:val="24"/>
          <w:szCs w:val="24"/>
        </w:rPr>
        <w:fldChar w:fldCharType="end"/>
      </w:r>
      <w:r>
        <w:rPr>
          <w:sz w:val="24"/>
          <w:szCs w:val="24"/>
        </w:rPr>
        <w:fldChar w:fldCharType="end"/>
      </w:r>
    </w:p>
    <w:p w14:paraId="148AB5E8">
      <w:pPr>
        <w:pStyle w:val="14"/>
        <w:rPr>
          <w:kern w:val="2"/>
          <w:sz w:val="24"/>
          <w:szCs w:val="24"/>
        </w:rPr>
      </w:pPr>
      <w:r>
        <w:fldChar w:fldCharType="begin"/>
      </w:r>
      <w:r>
        <w:instrText xml:space="preserve"> HYPERLINK \l "_Toc97494943" </w:instrText>
      </w:r>
      <w:r>
        <w:fldChar w:fldCharType="separate"/>
      </w:r>
      <w:r>
        <w:rPr>
          <w:rStyle w:val="18"/>
          <w:sz w:val="24"/>
          <w:szCs w:val="24"/>
        </w:rPr>
        <w:t>G.</w:t>
      </w:r>
      <w:r>
        <w:rPr>
          <w:kern w:val="2"/>
          <w:sz w:val="24"/>
          <w:szCs w:val="24"/>
        </w:rPr>
        <w:tab/>
      </w:r>
      <w:r>
        <w:rPr>
          <w:rStyle w:val="18"/>
          <w:sz w:val="24"/>
          <w:szCs w:val="24"/>
        </w:rPr>
        <w:t>热原性</w:t>
      </w:r>
      <w:r>
        <w:rPr>
          <w:sz w:val="24"/>
          <w:szCs w:val="24"/>
        </w:rPr>
        <w:tab/>
      </w:r>
      <w:r>
        <w:rPr>
          <w:sz w:val="24"/>
          <w:szCs w:val="24"/>
        </w:rPr>
        <w:fldChar w:fldCharType="begin"/>
      </w:r>
      <w:r>
        <w:rPr>
          <w:sz w:val="24"/>
          <w:szCs w:val="24"/>
        </w:rPr>
        <w:instrText xml:space="preserve"> PAGEREF _Toc97494943 \h </w:instrText>
      </w:r>
      <w:r>
        <w:rPr>
          <w:sz w:val="24"/>
          <w:szCs w:val="24"/>
        </w:rPr>
        <w:fldChar w:fldCharType="separate"/>
      </w:r>
      <w:r>
        <w:rPr>
          <w:sz w:val="24"/>
          <w:szCs w:val="24"/>
        </w:rPr>
        <w:t>13</w:t>
      </w:r>
      <w:r>
        <w:rPr>
          <w:sz w:val="24"/>
          <w:szCs w:val="24"/>
        </w:rPr>
        <w:fldChar w:fldCharType="end"/>
      </w:r>
      <w:r>
        <w:rPr>
          <w:sz w:val="24"/>
          <w:szCs w:val="24"/>
        </w:rPr>
        <w:fldChar w:fldCharType="end"/>
      </w:r>
    </w:p>
    <w:p w14:paraId="28713C35">
      <w:pPr>
        <w:pStyle w:val="14"/>
        <w:rPr>
          <w:kern w:val="2"/>
          <w:sz w:val="24"/>
          <w:szCs w:val="24"/>
        </w:rPr>
      </w:pPr>
      <w:r>
        <w:fldChar w:fldCharType="begin"/>
      </w:r>
      <w:r>
        <w:instrText xml:space="preserve"> HYPERLINK \l "_Toc97494944" </w:instrText>
      </w:r>
      <w:r>
        <w:fldChar w:fldCharType="separate"/>
      </w:r>
      <w:r>
        <w:rPr>
          <w:rStyle w:val="18"/>
          <w:sz w:val="24"/>
          <w:szCs w:val="24"/>
        </w:rPr>
        <w:t>H.</w:t>
      </w:r>
      <w:r>
        <w:rPr>
          <w:kern w:val="2"/>
          <w:sz w:val="24"/>
          <w:szCs w:val="24"/>
        </w:rPr>
        <w:tab/>
      </w:r>
      <w:r>
        <w:rPr>
          <w:rStyle w:val="18"/>
          <w:sz w:val="24"/>
          <w:szCs w:val="24"/>
        </w:rPr>
        <w:t>储存寿命和包装</w:t>
      </w:r>
      <w:r>
        <w:rPr>
          <w:sz w:val="24"/>
          <w:szCs w:val="24"/>
        </w:rPr>
        <w:tab/>
      </w:r>
      <w:r>
        <w:rPr>
          <w:sz w:val="24"/>
          <w:szCs w:val="24"/>
        </w:rPr>
        <w:fldChar w:fldCharType="begin"/>
      </w:r>
      <w:r>
        <w:rPr>
          <w:sz w:val="24"/>
          <w:szCs w:val="24"/>
        </w:rPr>
        <w:instrText xml:space="preserve"> PAGEREF _Toc97494944 \h </w:instrText>
      </w:r>
      <w:r>
        <w:rPr>
          <w:sz w:val="24"/>
          <w:szCs w:val="24"/>
        </w:rPr>
        <w:fldChar w:fldCharType="separate"/>
      </w:r>
      <w:r>
        <w:rPr>
          <w:sz w:val="24"/>
          <w:szCs w:val="24"/>
        </w:rPr>
        <w:t>13</w:t>
      </w:r>
      <w:r>
        <w:rPr>
          <w:sz w:val="24"/>
          <w:szCs w:val="24"/>
        </w:rPr>
        <w:fldChar w:fldCharType="end"/>
      </w:r>
      <w:r>
        <w:rPr>
          <w:sz w:val="24"/>
          <w:szCs w:val="24"/>
        </w:rPr>
        <w:fldChar w:fldCharType="end"/>
      </w:r>
    </w:p>
    <w:p w14:paraId="1B1F7634">
      <w:pPr>
        <w:pStyle w:val="14"/>
        <w:rPr>
          <w:kern w:val="2"/>
          <w:sz w:val="24"/>
          <w:szCs w:val="24"/>
        </w:rPr>
      </w:pPr>
      <w:r>
        <w:fldChar w:fldCharType="begin"/>
      </w:r>
      <w:r>
        <w:instrText xml:space="preserve"> HYPERLINK \l "_Toc97494945" </w:instrText>
      </w:r>
      <w:r>
        <w:fldChar w:fldCharType="separate"/>
      </w:r>
      <w:r>
        <w:rPr>
          <w:rStyle w:val="18"/>
          <w:sz w:val="24"/>
          <w:szCs w:val="24"/>
        </w:rPr>
        <w:t>I.</w:t>
      </w:r>
      <w:r>
        <w:rPr>
          <w:kern w:val="2"/>
          <w:sz w:val="24"/>
          <w:szCs w:val="24"/>
        </w:rPr>
        <w:tab/>
      </w:r>
      <w:r>
        <w:rPr>
          <w:rStyle w:val="18"/>
          <w:sz w:val="24"/>
          <w:szCs w:val="24"/>
        </w:rPr>
        <w:t>电气安全和电磁兼容性（EMC）</w:t>
      </w:r>
      <w:r>
        <w:rPr>
          <w:sz w:val="24"/>
          <w:szCs w:val="24"/>
        </w:rPr>
        <w:tab/>
      </w:r>
      <w:r>
        <w:rPr>
          <w:sz w:val="24"/>
          <w:szCs w:val="24"/>
        </w:rPr>
        <w:fldChar w:fldCharType="begin"/>
      </w:r>
      <w:r>
        <w:rPr>
          <w:sz w:val="24"/>
          <w:szCs w:val="24"/>
        </w:rPr>
        <w:instrText xml:space="preserve"> PAGEREF _Toc97494945 \h </w:instrText>
      </w:r>
      <w:r>
        <w:rPr>
          <w:sz w:val="24"/>
          <w:szCs w:val="24"/>
        </w:rPr>
        <w:fldChar w:fldCharType="separate"/>
      </w:r>
      <w:r>
        <w:rPr>
          <w:sz w:val="24"/>
          <w:szCs w:val="24"/>
        </w:rPr>
        <w:t>14</w:t>
      </w:r>
      <w:r>
        <w:rPr>
          <w:sz w:val="24"/>
          <w:szCs w:val="24"/>
        </w:rPr>
        <w:fldChar w:fldCharType="end"/>
      </w:r>
      <w:r>
        <w:rPr>
          <w:sz w:val="24"/>
          <w:szCs w:val="24"/>
        </w:rPr>
        <w:fldChar w:fldCharType="end"/>
      </w:r>
    </w:p>
    <w:p w14:paraId="21065E2B">
      <w:pPr>
        <w:pStyle w:val="14"/>
        <w:rPr>
          <w:kern w:val="2"/>
          <w:sz w:val="24"/>
          <w:szCs w:val="24"/>
        </w:rPr>
      </w:pPr>
      <w:r>
        <w:fldChar w:fldCharType="begin"/>
      </w:r>
      <w:r>
        <w:instrText xml:space="preserve"> HYPERLINK \l "_Toc97494946" </w:instrText>
      </w:r>
      <w:r>
        <w:fldChar w:fldCharType="separate"/>
      </w:r>
      <w:r>
        <w:rPr>
          <w:rStyle w:val="18"/>
          <w:sz w:val="24"/>
          <w:szCs w:val="24"/>
        </w:rPr>
        <w:t>J.</w:t>
      </w:r>
      <w:r>
        <w:rPr>
          <w:kern w:val="2"/>
          <w:sz w:val="24"/>
          <w:szCs w:val="24"/>
        </w:rPr>
        <w:tab/>
      </w:r>
      <w:r>
        <w:rPr>
          <w:rStyle w:val="18"/>
          <w:sz w:val="24"/>
          <w:szCs w:val="24"/>
        </w:rPr>
        <w:t>无线技术</w:t>
      </w:r>
      <w:r>
        <w:rPr>
          <w:sz w:val="24"/>
          <w:szCs w:val="24"/>
        </w:rPr>
        <w:tab/>
      </w:r>
      <w:r>
        <w:rPr>
          <w:sz w:val="24"/>
          <w:szCs w:val="24"/>
        </w:rPr>
        <w:fldChar w:fldCharType="begin"/>
      </w:r>
      <w:r>
        <w:rPr>
          <w:sz w:val="24"/>
          <w:szCs w:val="24"/>
        </w:rPr>
        <w:instrText xml:space="preserve"> PAGEREF _Toc97494946 \h </w:instrText>
      </w:r>
      <w:r>
        <w:rPr>
          <w:sz w:val="24"/>
          <w:szCs w:val="24"/>
        </w:rPr>
        <w:fldChar w:fldCharType="separate"/>
      </w:r>
      <w:r>
        <w:rPr>
          <w:sz w:val="24"/>
          <w:szCs w:val="24"/>
        </w:rPr>
        <w:t>15</w:t>
      </w:r>
      <w:r>
        <w:rPr>
          <w:sz w:val="24"/>
          <w:szCs w:val="24"/>
        </w:rPr>
        <w:fldChar w:fldCharType="end"/>
      </w:r>
      <w:r>
        <w:rPr>
          <w:sz w:val="24"/>
          <w:szCs w:val="24"/>
        </w:rPr>
        <w:fldChar w:fldCharType="end"/>
      </w:r>
    </w:p>
    <w:p w14:paraId="0C5750B8">
      <w:pPr>
        <w:pStyle w:val="14"/>
        <w:rPr>
          <w:kern w:val="2"/>
          <w:sz w:val="24"/>
          <w:szCs w:val="24"/>
        </w:rPr>
      </w:pPr>
      <w:r>
        <w:fldChar w:fldCharType="begin"/>
      </w:r>
      <w:r>
        <w:instrText xml:space="preserve"> HYPERLINK \l "_Toc97494947" </w:instrText>
      </w:r>
      <w:r>
        <w:fldChar w:fldCharType="separate"/>
      </w:r>
      <w:r>
        <w:rPr>
          <w:rStyle w:val="18"/>
          <w:sz w:val="24"/>
          <w:szCs w:val="24"/>
        </w:rPr>
        <w:t>K.</w:t>
      </w:r>
      <w:r>
        <w:rPr>
          <w:kern w:val="2"/>
          <w:sz w:val="24"/>
          <w:szCs w:val="24"/>
        </w:rPr>
        <w:tab/>
      </w:r>
      <w:r>
        <w:rPr>
          <w:rStyle w:val="18"/>
          <w:sz w:val="24"/>
          <w:szCs w:val="24"/>
        </w:rPr>
        <w:t>磁共振（MR）兼容性</w:t>
      </w:r>
      <w:r>
        <w:rPr>
          <w:sz w:val="24"/>
          <w:szCs w:val="24"/>
        </w:rPr>
        <w:tab/>
      </w:r>
      <w:r>
        <w:rPr>
          <w:sz w:val="24"/>
          <w:szCs w:val="24"/>
        </w:rPr>
        <w:fldChar w:fldCharType="begin"/>
      </w:r>
      <w:r>
        <w:rPr>
          <w:sz w:val="24"/>
          <w:szCs w:val="24"/>
        </w:rPr>
        <w:instrText xml:space="preserve"> PAGEREF _Toc97494947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CC0660F">
      <w:pPr>
        <w:pStyle w:val="14"/>
        <w:rPr>
          <w:kern w:val="2"/>
          <w:sz w:val="24"/>
          <w:szCs w:val="24"/>
        </w:rPr>
      </w:pPr>
      <w:r>
        <w:fldChar w:fldCharType="begin"/>
      </w:r>
      <w:r>
        <w:instrText xml:space="preserve"> HYPERLINK \l "_Toc97494948" </w:instrText>
      </w:r>
      <w:r>
        <w:fldChar w:fldCharType="separate"/>
      </w:r>
      <w:r>
        <w:rPr>
          <w:rStyle w:val="18"/>
          <w:sz w:val="24"/>
          <w:szCs w:val="24"/>
        </w:rPr>
        <w:t>L.</w:t>
      </w:r>
      <w:r>
        <w:rPr>
          <w:kern w:val="2"/>
          <w:sz w:val="24"/>
          <w:szCs w:val="24"/>
        </w:rPr>
        <w:tab/>
      </w:r>
      <w:r>
        <w:rPr>
          <w:rStyle w:val="18"/>
          <w:sz w:val="24"/>
          <w:szCs w:val="24"/>
        </w:rPr>
        <w:t>非临床实验室试验</w:t>
      </w:r>
      <w:r>
        <w:rPr>
          <w:sz w:val="24"/>
          <w:szCs w:val="24"/>
        </w:rPr>
        <w:tab/>
      </w:r>
      <w:r>
        <w:rPr>
          <w:sz w:val="24"/>
          <w:szCs w:val="24"/>
        </w:rPr>
        <w:fldChar w:fldCharType="begin"/>
      </w:r>
      <w:r>
        <w:rPr>
          <w:sz w:val="24"/>
          <w:szCs w:val="24"/>
        </w:rPr>
        <w:instrText xml:space="preserve"> PAGEREF _Toc97494948 \h </w:instrText>
      </w:r>
      <w:r>
        <w:rPr>
          <w:sz w:val="24"/>
          <w:szCs w:val="24"/>
        </w:rPr>
        <w:fldChar w:fldCharType="separate"/>
      </w:r>
      <w:r>
        <w:rPr>
          <w:sz w:val="24"/>
          <w:szCs w:val="24"/>
        </w:rPr>
        <w:t>16</w:t>
      </w:r>
      <w:r>
        <w:rPr>
          <w:sz w:val="24"/>
          <w:szCs w:val="24"/>
        </w:rPr>
        <w:fldChar w:fldCharType="end"/>
      </w:r>
      <w:r>
        <w:rPr>
          <w:sz w:val="24"/>
          <w:szCs w:val="24"/>
        </w:rPr>
        <w:fldChar w:fldCharType="end"/>
      </w:r>
    </w:p>
    <w:p w14:paraId="4C17FE4D">
      <w:pPr>
        <w:pStyle w:val="8"/>
        <w:rPr>
          <w:rFonts w:eastAsia="宋体"/>
          <w:kern w:val="2"/>
          <w:sz w:val="24"/>
          <w:szCs w:val="24"/>
        </w:rPr>
      </w:pPr>
      <w:r>
        <w:fldChar w:fldCharType="begin"/>
      </w:r>
      <w:r>
        <w:instrText xml:space="preserve"> HYPERLINK \l "_Toc97494949" </w:instrText>
      </w:r>
      <w:r>
        <w:fldChar w:fldCharType="separate"/>
      </w:r>
      <w:r>
        <w:rPr>
          <w:rStyle w:val="18"/>
          <w:rFonts w:eastAsia="宋体"/>
          <w:sz w:val="24"/>
          <w:szCs w:val="24"/>
        </w:rPr>
        <w:t>(1)</w:t>
      </w:r>
      <w:r>
        <w:rPr>
          <w:rFonts w:eastAsia="宋体"/>
          <w:kern w:val="2"/>
          <w:sz w:val="24"/>
          <w:szCs w:val="24"/>
        </w:rPr>
        <w:tab/>
      </w:r>
      <w:r>
        <w:rPr>
          <w:rStyle w:val="18"/>
          <w:rFonts w:eastAsia="宋体"/>
          <w:sz w:val="24"/>
          <w:szCs w:val="24"/>
        </w:rPr>
        <w:t>电极</w:t>
      </w:r>
      <w:r>
        <w:rPr>
          <w:rFonts w:eastAsia="宋体"/>
          <w:sz w:val="24"/>
          <w:szCs w:val="24"/>
        </w:rPr>
        <w:tab/>
      </w:r>
      <w:r>
        <w:rPr>
          <w:rFonts w:eastAsia="宋体"/>
          <w:sz w:val="24"/>
          <w:szCs w:val="24"/>
        </w:rPr>
        <w:fldChar w:fldCharType="begin"/>
      </w:r>
      <w:r>
        <w:rPr>
          <w:rFonts w:eastAsia="宋体"/>
          <w:sz w:val="24"/>
          <w:szCs w:val="24"/>
        </w:rPr>
        <w:instrText xml:space="preserve"> PAGEREF _Toc97494949 \h </w:instrText>
      </w:r>
      <w:r>
        <w:rPr>
          <w:rFonts w:eastAsia="宋体"/>
          <w:sz w:val="24"/>
          <w:szCs w:val="24"/>
        </w:rPr>
        <w:fldChar w:fldCharType="separate"/>
      </w:r>
      <w:r>
        <w:rPr>
          <w:rFonts w:eastAsia="宋体"/>
          <w:sz w:val="24"/>
          <w:szCs w:val="24"/>
        </w:rPr>
        <w:t>17</w:t>
      </w:r>
      <w:r>
        <w:rPr>
          <w:rFonts w:eastAsia="宋体"/>
          <w:sz w:val="24"/>
          <w:szCs w:val="24"/>
        </w:rPr>
        <w:fldChar w:fldCharType="end"/>
      </w:r>
      <w:r>
        <w:rPr>
          <w:rFonts w:eastAsia="宋体"/>
          <w:sz w:val="24"/>
          <w:szCs w:val="24"/>
        </w:rPr>
        <w:fldChar w:fldCharType="end"/>
      </w:r>
    </w:p>
    <w:p w14:paraId="4F83BA4C">
      <w:pPr>
        <w:pStyle w:val="8"/>
        <w:rPr>
          <w:rFonts w:eastAsia="宋体"/>
          <w:kern w:val="2"/>
          <w:sz w:val="24"/>
          <w:szCs w:val="24"/>
        </w:rPr>
      </w:pPr>
      <w:r>
        <w:fldChar w:fldCharType="begin"/>
      </w:r>
      <w:r>
        <w:instrText xml:space="preserve"> HYPERLINK \l "_Toc97494950" </w:instrText>
      </w:r>
      <w:r>
        <w:fldChar w:fldCharType="separate"/>
      </w:r>
      <w:r>
        <w:rPr>
          <w:rStyle w:val="18"/>
          <w:rFonts w:eastAsia="宋体"/>
          <w:sz w:val="24"/>
          <w:szCs w:val="24"/>
        </w:rPr>
        <w:t>(2)</w:t>
      </w:r>
      <w:r>
        <w:rPr>
          <w:rFonts w:eastAsia="宋体"/>
          <w:kern w:val="2"/>
          <w:sz w:val="24"/>
          <w:szCs w:val="24"/>
        </w:rPr>
        <w:tab/>
      </w:r>
      <w:r>
        <w:rPr>
          <w:rStyle w:val="18"/>
          <w:rFonts w:eastAsia="宋体"/>
          <w:sz w:val="24"/>
          <w:szCs w:val="24"/>
        </w:rPr>
        <w:t>电极导线和连接器</w:t>
      </w:r>
      <w:r>
        <w:rPr>
          <w:rFonts w:eastAsia="宋体"/>
          <w:sz w:val="24"/>
          <w:szCs w:val="24"/>
        </w:rPr>
        <w:tab/>
      </w:r>
      <w:r>
        <w:rPr>
          <w:rFonts w:eastAsia="宋体"/>
          <w:sz w:val="24"/>
          <w:szCs w:val="24"/>
        </w:rPr>
        <w:fldChar w:fldCharType="begin"/>
      </w:r>
      <w:r>
        <w:rPr>
          <w:rFonts w:eastAsia="宋体"/>
          <w:sz w:val="24"/>
          <w:szCs w:val="24"/>
        </w:rPr>
        <w:instrText xml:space="preserve"> PAGEREF _Toc97494950 \h </w:instrText>
      </w:r>
      <w:r>
        <w:rPr>
          <w:rFonts w:eastAsia="宋体"/>
          <w:sz w:val="24"/>
          <w:szCs w:val="24"/>
        </w:rPr>
        <w:fldChar w:fldCharType="separate"/>
      </w:r>
      <w:r>
        <w:rPr>
          <w:rFonts w:eastAsia="宋体"/>
          <w:sz w:val="24"/>
          <w:szCs w:val="24"/>
        </w:rPr>
        <w:t>18</w:t>
      </w:r>
      <w:r>
        <w:rPr>
          <w:rFonts w:eastAsia="宋体"/>
          <w:sz w:val="24"/>
          <w:szCs w:val="24"/>
        </w:rPr>
        <w:fldChar w:fldCharType="end"/>
      </w:r>
      <w:r>
        <w:rPr>
          <w:rFonts w:eastAsia="宋体"/>
          <w:sz w:val="24"/>
          <w:szCs w:val="24"/>
        </w:rPr>
        <w:fldChar w:fldCharType="end"/>
      </w:r>
    </w:p>
    <w:p w14:paraId="0B8EC5C9">
      <w:pPr>
        <w:pStyle w:val="8"/>
        <w:rPr>
          <w:rFonts w:eastAsia="宋体"/>
          <w:kern w:val="2"/>
          <w:sz w:val="24"/>
          <w:szCs w:val="24"/>
        </w:rPr>
      </w:pPr>
      <w:r>
        <w:fldChar w:fldCharType="begin"/>
      </w:r>
      <w:r>
        <w:instrText xml:space="preserve"> HYPERLINK \l "_Toc97494951" </w:instrText>
      </w:r>
      <w:r>
        <w:fldChar w:fldCharType="separate"/>
      </w:r>
      <w:r>
        <w:rPr>
          <w:rStyle w:val="18"/>
          <w:rFonts w:eastAsia="宋体"/>
          <w:sz w:val="24"/>
          <w:szCs w:val="24"/>
        </w:rPr>
        <w:t>(3)</w:t>
      </w:r>
      <w:r>
        <w:rPr>
          <w:rFonts w:eastAsia="宋体"/>
          <w:kern w:val="2"/>
          <w:sz w:val="24"/>
          <w:szCs w:val="24"/>
        </w:rPr>
        <w:tab/>
      </w:r>
      <w:r>
        <w:rPr>
          <w:rStyle w:val="18"/>
          <w:rFonts w:eastAsia="宋体"/>
          <w:sz w:val="24"/>
          <w:szCs w:val="24"/>
        </w:rPr>
        <w:t>植入外壳和电子器械</w:t>
      </w:r>
      <w:r>
        <w:rPr>
          <w:rFonts w:eastAsia="宋体"/>
          <w:sz w:val="24"/>
          <w:szCs w:val="24"/>
        </w:rPr>
        <w:tab/>
      </w:r>
      <w:r>
        <w:rPr>
          <w:rFonts w:eastAsia="宋体"/>
          <w:sz w:val="24"/>
          <w:szCs w:val="24"/>
        </w:rPr>
        <w:fldChar w:fldCharType="begin"/>
      </w:r>
      <w:r>
        <w:rPr>
          <w:rFonts w:eastAsia="宋体"/>
          <w:sz w:val="24"/>
          <w:szCs w:val="24"/>
        </w:rPr>
        <w:instrText xml:space="preserve"> PAGEREF _Toc97494951 \h </w:instrText>
      </w:r>
      <w:r>
        <w:rPr>
          <w:rFonts w:eastAsia="宋体"/>
          <w:sz w:val="24"/>
          <w:szCs w:val="24"/>
        </w:rPr>
        <w:fldChar w:fldCharType="separate"/>
      </w:r>
      <w:r>
        <w:rPr>
          <w:rFonts w:eastAsia="宋体"/>
          <w:sz w:val="24"/>
          <w:szCs w:val="24"/>
        </w:rPr>
        <w:t>20</w:t>
      </w:r>
      <w:r>
        <w:rPr>
          <w:rFonts w:eastAsia="宋体"/>
          <w:sz w:val="24"/>
          <w:szCs w:val="24"/>
        </w:rPr>
        <w:fldChar w:fldCharType="end"/>
      </w:r>
      <w:r>
        <w:rPr>
          <w:rFonts w:eastAsia="宋体"/>
          <w:sz w:val="24"/>
          <w:szCs w:val="24"/>
        </w:rPr>
        <w:fldChar w:fldCharType="end"/>
      </w:r>
    </w:p>
    <w:p w14:paraId="7F467121">
      <w:pPr>
        <w:pStyle w:val="8"/>
        <w:rPr>
          <w:rFonts w:eastAsia="宋体"/>
          <w:kern w:val="2"/>
          <w:sz w:val="24"/>
          <w:szCs w:val="24"/>
        </w:rPr>
      </w:pPr>
      <w:r>
        <w:fldChar w:fldCharType="begin"/>
      </w:r>
      <w:r>
        <w:instrText xml:space="preserve"> HYPERLINK \l "_Toc97494952" </w:instrText>
      </w:r>
      <w:r>
        <w:fldChar w:fldCharType="separate"/>
      </w:r>
      <w:r>
        <w:rPr>
          <w:rStyle w:val="18"/>
          <w:rFonts w:eastAsia="宋体"/>
          <w:sz w:val="24"/>
          <w:szCs w:val="24"/>
        </w:rPr>
        <w:t>(4)</w:t>
      </w:r>
      <w:r>
        <w:rPr>
          <w:rFonts w:eastAsia="宋体"/>
          <w:kern w:val="2"/>
          <w:sz w:val="24"/>
          <w:szCs w:val="24"/>
        </w:rPr>
        <w:tab/>
      </w:r>
      <w:r>
        <w:rPr>
          <w:rStyle w:val="18"/>
          <w:rFonts w:eastAsia="宋体"/>
          <w:sz w:val="24"/>
          <w:szCs w:val="24"/>
        </w:rPr>
        <w:t>刺激输出测量结果</w:t>
      </w:r>
      <w:r>
        <w:rPr>
          <w:rFonts w:eastAsia="宋体"/>
          <w:sz w:val="24"/>
          <w:szCs w:val="24"/>
        </w:rPr>
        <w:tab/>
      </w:r>
      <w:r>
        <w:rPr>
          <w:rFonts w:eastAsia="宋体"/>
          <w:sz w:val="24"/>
          <w:szCs w:val="24"/>
        </w:rPr>
        <w:fldChar w:fldCharType="begin"/>
      </w:r>
      <w:r>
        <w:rPr>
          <w:rFonts w:eastAsia="宋体"/>
          <w:sz w:val="24"/>
          <w:szCs w:val="24"/>
        </w:rPr>
        <w:instrText xml:space="preserve"> PAGEREF _Toc97494952 \h </w:instrText>
      </w:r>
      <w:r>
        <w:rPr>
          <w:rFonts w:eastAsia="宋体"/>
          <w:sz w:val="24"/>
          <w:szCs w:val="24"/>
        </w:rPr>
        <w:fldChar w:fldCharType="separate"/>
      </w:r>
      <w:r>
        <w:rPr>
          <w:rFonts w:eastAsia="宋体"/>
          <w:sz w:val="24"/>
          <w:szCs w:val="24"/>
        </w:rPr>
        <w:t>21</w:t>
      </w:r>
      <w:r>
        <w:rPr>
          <w:rFonts w:eastAsia="宋体"/>
          <w:sz w:val="24"/>
          <w:szCs w:val="24"/>
        </w:rPr>
        <w:fldChar w:fldCharType="end"/>
      </w:r>
      <w:r>
        <w:rPr>
          <w:rFonts w:eastAsia="宋体"/>
          <w:sz w:val="24"/>
          <w:szCs w:val="24"/>
        </w:rPr>
        <w:fldChar w:fldCharType="end"/>
      </w:r>
    </w:p>
    <w:p w14:paraId="4C6EF945">
      <w:pPr>
        <w:pStyle w:val="8"/>
        <w:rPr>
          <w:rFonts w:eastAsia="宋体"/>
          <w:kern w:val="2"/>
          <w:sz w:val="24"/>
          <w:szCs w:val="24"/>
        </w:rPr>
      </w:pPr>
      <w:r>
        <w:fldChar w:fldCharType="begin"/>
      </w:r>
      <w:r>
        <w:instrText xml:space="preserve"> HYPERLINK \l "_Toc97494953" </w:instrText>
      </w:r>
      <w:r>
        <w:fldChar w:fldCharType="separate"/>
      </w:r>
      <w:r>
        <w:rPr>
          <w:rStyle w:val="18"/>
          <w:rFonts w:eastAsia="宋体"/>
          <w:sz w:val="24"/>
          <w:szCs w:val="24"/>
        </w:rPr>
        <w:t>(5)</w:t>
      </w:r>
      <w:r>
        <w:rPr>
          <w:rFonts w:eastAsia="宋体"/>
          <w:kern w:val="2"/>
          <w:sz w:val="24"/>
          <w:szCs w:val="24"/>
        </w:rPr>
        <w:tab/>
      </w:r>
      <w:r>
        <w:rPr>
          <w:rStyle w:val="18"/>
          <w:rFonts w:eastAsia="宋体"/>
          <w:sz w:val="24"/>
          <w:szCs w:val="24"/>
        </w:rPr>
        <w:t>刺激输出安全性</w:t>
      </w:r>
      <w:r>
        <w:rPr>
          <w:rFonts w:eastAsia="宋体"/>
          <w:sz w:val="24"/>
          <w:szCs w:val="24"/>
        </w:rPr>
        <w:tab/>
      </w:r>
      <w:r>
        <w:rPr>
          <w:rFonts w:eastAsia="宋体"/>
          <w:sz w:val="24"/>
          <w:szCs w:val="24"/>
        </w:rPr>
        <w:fldChar w:fldCharType="begin"/>
      </w:r>
      <w:r>
        <w:rPr>
          <w:rFonts w:eastAsia="宋体"/>
          <w:sz w:val="24"/>
          <w:szCs w:val="24"/>
        </w:rPr>
        <w:instrText xml:space="preserve"> PAGEREF _Toc97494953 \h </w:instrText>
      </w:r>
      <w:r>
        <w:rPr>
          <w:rFonts w:eastAsia="宋体"/>
          <w:sz w:val="24"/>
          <w:szCs w:val="24"/>
        </w:rPr>
        <w:fldChar w:fldCharType="separate"/>
      </w:r>
      <w:r>
        <w:rPr>
          <w:rFonts w:eastAsia="宋体"/>
          <w:sz w:val="24"/>
          <w:szCs w:val="24"/>
        </w:rPr>
        <w:t>22</w:t>
      </w:r>
      <w:r>
        <w:rPr>
          <w:rFonts w:eastAsia="宋体"/>
          <w:sz w:val="24"/>
          <w:szCs w:val="24"/>
        </w:rPr>
        <w:fldChar w:fldCharType="end"/>
      </w:r>
      <w:r>
        <w:rPr>
          <w:rFonts w:eastAsia="宋体"/>
          <w:sz w:val="24"/>
          <w:szCs w:val="24"/>
        </w:rPr>
        <w:fldChar w:fldCharType="end"/>
      </w:r>
    </w:p>
    <w:p w14:paraId="585DB6B0">
      <w:pPr>
        <w:pStyle w:val="8"/>
        <w:rPr>
          <w:rFonts w:eastAsia="宋体"/>
          <w:kern w:val="2"/>
          <w:sz w:val="24"/>
          <w:szCs w:val="24"/>
        </w:rPr>
      </w:pPr>
      <w:r>
        <w:fldChar w:fldCharType="begin"/>
      </w:r>
      <w:r>
        <w:instrText xml:space="preserve"> HYPERLINK \l "_Toc97494954" </w:instrText>
      </w:r>
      <w:r>
        <w:fldChar w:fldCharType="separate"/>
      </w:r>
      <w:r>
        <w:rPr>
          <w:rStyle w:val="18"/>
          <w:rFonts w:eastAsia="宋体"/>
          <w:sz w:val="24"/>
          <w:szCs w:val="24"/>
        </w:rPr>
        <w:t>(6)</w:t>
      </w:r>
      <w:r>
        <w:rPr>
          <w:rFonts w:eastAsia="宋体"/>
          <w:kern w:val="2"/>
          <w:sz w:val="24"/>
          <w:szCs w:val="24"/>
        </w:rPr>
        <w:tab/>
      </w:r>
      <w:r>
        <w:rPr>
          <w:rStyle w:val="18"/>
          <w:rFonts w:eastAsia="宋体"/>
          <w:sz w:val="24"/>
          <w:szCs w:val="24"/>
        </w:rPr>
        <w:t>程控仪/控制单元</w:t>
      </w:r>
      <w:r>
        <w:rPr>
          <w:rFonts w:eastAsia="宋体"/>
          <w:sz w:val="24"/>
          <w:szCs w:val="24"/>
        </w:rPr>
        <w:tab/>
      </w:r>
      <w:r>
        <w:rPr>
          <w:rFonts w:eastAsia="宋体"/>
          <w:sz w:val="24"/>
          <w:szCs w:val="24"/>
        </w:rPr>
        <w:fldChar w:fldCharType="begin"/>
      </w:r>
      <w:r>
        <w:rPr>
          <w:rFonts w:eastAsia="宋体"/>
          <w:sz w:val="24"/>
          <w:szCs w:val="24"/>
        </w:rPr>
        <w:instrText xml:space="preserve"> PAGEREF _Toc97494954 \h </w:instrText>
      </w:r>
      <w:r>
        <w:rPr>
          <w:rFonts w:eastAsia="宋体"/>
          <w:sz w:val="24"/>
          <w:szCs w:val="24"/>
        </w:rPr>
        <w:fldChar w:fldCharType="separate"/>
      </w:r>
      <w:r>
        <w:rPr>
          <w:rFonts w:eastAsia="宋体"/>
          <w:sz w:val="24"/>
          <w:szCs w:val="24"/>
        </w:rPr>
        <w:t>22</w:t>
      </w:r>
      <w:r>
        <w:rPr>
          <w:rFonts w:eastAsia="宋体"/>
          <w:sz w:val="24"/>
          <w:szCs w:val="24"/>
        </w:rPr>
        <w:fldChar w:fldCharType="end"/>
      </w:r>
      <w:r>
        <w:rPr>
          <w:rFonts w:eastAsia="宋体"/>
          <w:sz w:val="24"/>
          <w:szCs w:val="24"/>
        </w:rPr>
        <w:fldChar w:fldCharType="end"/>
      </w:r>
    </w:p>
    <w:p w14:paraId="1E3669FD">
      <w:pPr>
        <w:pStyle w:val="8"/>
        <w:rPr>
          <w:rFonts w:eastAsia="宋体"/>
          <w:kern w:val="2"/>
          <w:sz w:val="24"/>
          <w:szCs w:val="24"/>
        </w:rPr>
      </w:pPr>
      <w:r>
        <w:fldChar w:fldCharType="begin"/>
      </w:r>
      <w:r>
        <w:instrText xml:space="preserve"> HYPERLINK \l "_Toc97494955" </w:instrText>
      </w:r>
      <w:r>
        <w:fldChar w:fldCharType="separate"/>
      </w:r>
      <w:r>
        <w:rPr>
          <w:rStyle w:val="18"/>
          <w:rFonts w:eastAsia="宋体"/>
          <w:sz w:val="24"/>
          <w:szCs w:val="24"/>
        </w:rPr>
        <w:t>(7)</w:t>
      </w:r>
      <w:r>
        <w:rPr>
          <w:rFonts w:eastAsia="宋体"/>
          <w:kern w:val="2"/>
          <w:sz w:val="24"/>
          <w:szCs w:val="24"/>
        </w:rPr>
        <w:tab/>
      </w:r>
      <w:r>
        <w:rPr>
          <w:rStyle w:val="18"/>
          <w:rFonts w:eastAsia="宋体"/>
          <w:sz w:val="24"/>
          <w:szCs w:val="24"/>
        </w:rPr>
        <w:t>射频（RF）发射器和接收器</w:t>
      </w:r>
      <w:r>
        <w:rPr>
          <w:rFonts w:eastAsia="宋体"/>
          <w:sz w:val="24"/>
          <w:szCs w:val="24"/>
        </w:rPr>
        <w:tab/>
      </w:r>
      <w:r>
        <w:rPr>
          <w:rFonts w:eastAsia="宋体"/>
          <w:sz w:val="24"/>
          <w:szCs w:val="24"/>
        </w:rPr>
        <w:fldChar w:fldCharType="begin"/>
      </w:r>
      <w:r>
        <w:rPr>
          <w:rFonts w:eastAsia="宋体"/>
          <w:sz w:val="24"/>
          <w:szCs w:val="24"/>
        </w:rPr>
        <w:instrText xml:space="preserve"> PAGEREF _Toc97494955 \h </w:instrText>
      </w:r>
      <w:r>
        <w:rPr>
          <w:rFonts w:eastAsia="宋体"/>
          <w:sz w:val="24"/>
          <w:szCs w:val="24"/>
        </w:rPr>
        <w:fldChar w:fldCharType="separate"/>
      </w:r>
      <w:r>
        <w:rPr>
          <w:rFonts w:eastAsia="宋体"/>
          <w:sz w:val="24"/>
          <w:szCs w:val="24"/>
        </w:rPr>
        <w:t>22</w:t>
      </w:r>
      <w:r>
        <w:rPr>
          <w:rFonts w:eastAsia="宋体"/>
          <w:sz w:val="24"/>
          <w:szCs w:val="24"/>
        </w:rPr>
        <w:fldChar w:fldCharType="end"/>
      </w:r>
      <w:r>
        <w:rPr>
          <w:rFonts w:eastAsia="宋体"/>
          <w:sz w:val="24"/>
          <w:szCs w:val="24"/>
        </w:rPr>
        <w:fldChar w:fldCharType="end"/>
      </w:r>
    </w:p>
    <w:p w14:paraId="288CBF8A">
      <w:pPr>
        <w:pStyle w:val="8"/>
        <w:rPr>
          <w:rFonts w:eastAsia="宋体"/>
          <w:kern w:val="2"/>
          <w:sz w:val="24"/>
          <w:szCs w:val="24"/>
        </w:rPr>
      </w:pPr>
      <w:r>
        <w:fldChar w:fldCharType="begin"/>
      </w:r>
      <w:r>
        <w:instrText xml:space="preserve"> HYPERLINK \l "_Toc97494956" </w:instrText>
      </w:r>
      <w:r>
        <w:fldChar w:fldCharType="separate"/>
      </w:r>
      <w:r>
        <w:rPr>
          <w:rStyle w:val="18"/>
          <w:rFonts w:eastAsia="宋体"/>
          <w:sz w:val="24"/>
          <w:szCs w:val="24"/>
        </w:rPr>
        <w:t>(8)</w:t>
      </w:r>
      <w:r>
        <w:rPr>
          <w:rFonts w:eastAsia="宋体"/>
          <w:kern w:val="2"/>
          <w:sz w:val="24"/>
          <w:szCs w:val="24"/>
        </w:rPr>
        <w:tab/>
      </w:r>
      <w:r>
        <w:rPr>
          <w:rStyle w:val="18"/>
          <w:rFonts w:eastAsia="宋体"/>
          <w:sz w:val="24"/>
          <w:szCs w:val="24"/>
        </w:rPr>
        <w:t>系统级试验</w:t>
      </w:r>
      <w:r>
        <w:rPr>
          <w:rFonts w:eastAsia="宋体"/>
          <w:sz w:val="24"/>
          <w:szCs w:val="24"/>
        </w:rPr>
        <w:tab/>
      </w:r>
      <w:r>
        <w:rPr>
          <w:rFonts w:eastAsia="宋体"/>
          <w:sz w:val="24"/>
          <w:szCs w:val="24"/>
        </w:rPr>
        <w:fldChar w:fldCharType="begin"/>
      </w:r>
      <w:r>
        <w:rPr>
          <w:rFonts w:eastAsia="宋体"/>
          <w:sz w:val="24"/>
          <w:szCs w:val="24"/>
        </w:rPr>
        <w:instrText xml:space="preserve"> PAGEREF _Toc97494956 \h </w:instrText>
      </w:r>
      <w:r>
        <w:rPr>
          <w:rFonts w:eastAsia="宋体"/>
          <w:sz w:val="24"/>
          <w:szCs w:val="24"/>
        </w:rPr>
        <w:fldChar w:fldCharType="separate"/>
      </w:r>
      <w:r>
        <w:rPr>
          <w:rFonts w:eastAsia="宋体"/>
          <w:sz w:val="24"/>
          <w:szCs w:val="24"/>
        </w:rPr>
        <w:t>23</w:t>
      </w:r>
      <w:r>
        <w:rPr>
          <w:rFonts w:eastAsia="宋体"/>
          <w:sz w:val="24"/>
          <w:szCs w:val="24"/>
        </w:rPr>
        <w:fldChar w:fldCharType="end"/>
      </w:r>
      <w:r>
        <w:rPr>
          <w:rFonts w:eastAsia="宋体"/>
          <w:sz w:val="24"/>
          <w:szCs w:val="24"/>
        </w:rPr>
        <w:fldChar w:fldCharType="end"/>
      </w:r>
    </w:p>
    <w:p w14:paraId="3A9CE68D">
      <w:pPr>
        <w:pStyle w:val="14"/>
        <w:rPr>
          <w:kern w:val="2"/>
          <w:sz w:val="24"/>
          <w:szCs w:val="24"/>
        </w:rPr>
      </w:pPr>
      <w:r>
        <w:fldChar w:fldCharType="begin"/>
      </w:r>
      <w:r>
        <w:instrText xml:space="preserve"> HYPERLINK \l "_Toc97494957" </w:instrText>
      </w:r>
      <w:r>
        <w:fldChar w:fldCharType="separate"/>
      </w:r>
      <w:r>
        <w:rPr>
          <w:rStyle w:val="18"/>
          <w:sz w:val="24"/>
          <w:szCs w:val="24"/>
        </w:rPr>
        <w:t>M.</w:t>
      </w:r>
      <w:r>
        <w:rPr>
          <w:kern w:val="2"/>
          <w:sz w:val="24"/>
          <w:szCs w:val="24"/>
        </w:rPr>
        <w:tab/>
      </w:r>
      <w:r>
        <w:rPr>
          <w:rStyle w:val="18"/>
          <w:sz w:val="24"/>
          <w:szCs w:val="24"/>
        </w:rPr>
        <w:t>参考主文件（MAF）和其他FDA上市前申请的文件</w:t>
      </w:r>
      <w:r>
        <w:rPr>
          <w:sz w:val="24"/>
          <w:szCs w:val="24"/>
        </w:rPr>
        <w:tab/>
      </w:r>
      <w:r>
        <w:rPr>
          <w:sz w:val="24"/>
          <w:szCs w:val="24"/>
        </w:rPr>
        <w:fldChar w:fldCharType="begin"/>
      </w:r>
      <w:r>
        <w:rPr>
          <w:sz w:val="24"/>
          <w:szCs w:val="24"/>
        </w:rPr>
        <w:instrText xml:space="preserve"> PAGEREF _Toc97494957 \h </w:instrText>
      </w:r>
      <w:r>
        <w:rPr>
          <w:sz w:val="24"/>
          <w:szCs w:val="24"/>
        </w:rPr>
        <w:fldChar w:fldCharType="separate"/>
      </w:r>
      <w:r>
        <w:rPr>
          <w:sz w:val="24"/>
          <w:szCs w:val="24"/>
        </w:rPr>
        <w:t>24</w:t>
      </w:r>
      <w:r>
        <w:rPr>
          <w:sz w:val="24"/>
          <w:szCs w:val="24"/>
        </w:rPr>
        <w:fldChar w:fldCharType="end"/>
      </w:r>
      <w:r>
        <w:rPr>
          <w:sz w:val="24"/>
          <w:szCs w:val="24"/>
        </w:rPr>
        <w:fldChar w:fldCharType="end"/>
      </w:r>
    </w:p>
    <w:p w14:paraId="30458BC3">
      <w:pPr>
        <w:pStyle w:val="14"/>
        <w:rPr>
          <w:kern w:val="2"/>
          <w:sz w:val="24"/>
          <w:szCs w:val="24"/>
        </w:rPr>
      </w:pPr>
      <w:r>
        <w:fldChar w:fldCharType="begin"/>
      </w:r>
      <w:r>
        <w:instrText xml:space="preserve"> HYPERLINK \l "_Toc97494958" </w:instrText>
      </w:r>
      <w:r>
        <w:fldChar w:fldCharType="separate"/>
      </w:r>
      <w:r>
        <w:rPr>
          <w:rStyle w:val="18"/>
          <w:sz w:val="24"/>
          <w:szCs w:val="24"/>
        </w:rPr>
        <w:t>N.</w:t>
      </w:r>
      <w:r>
        <w:rPr>
          <w:kern w:val="2"/>
          <w:sz w:val="24"/>
          <w:szCs w:val="24"/>
        </w:rPr>
        <w:tab/>
      </w:r>
      <w:r>
        <w:rPr>
          <w:rStyle w:val="18"/>
          <w:sz w:val="24"/>
          <w:szCs w:val="24"/>
        </w:rPr>
        <w:t>非临床动物试验</w:t>
      </w:r>
      <w:r>
        <w:rPr>
          <w:sz w:val="24"/>
          <w:szCs w:val="24"/>
        </w:rPr>
        <w:tab/>
      </w:r>
      <w:r>
        <w:rPr>
          <w:sz w:val="24"/>
          <w:szCs w:val="24"/>
        </w:rPr>
        <w:fldChar w:fldCharType="begin"/>
      </w:r>
      <w:r>
        <w:rPr>
          <w:sz w:val="24"/>
          <w:szCs w:val="24"/>
        </w:rPr>
        <w:instrText xml:space="preserve"> PAGEREF _Toc97494958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770F77D3">
      <w:pPr>
        <w:pStyle w:val="8"/>
        <w:rPr>
          <w:rFonts w:eastAsia="宋体"/>
          <w:kern w:val="2"/>
          <w:sz w:val="24"/>
          <w:szCs w:val="24"/>
        </w:rPr>
      </w:pPr>
      <w:r>
        <w:fldChar w:fldCharType="begin"/>
      </w:r>
      <w:r>
        <w:instrText xml:space="preserve"> HYPERLINK \l "_Toc97494959" </w:instrText>
      </w:r>
      <w:r>
        <w:fldChar w:fldCharType="separate"/>
      </w:r>
      <w:r>
        <w:rPr>
          <w:rStyle w:val="18"/>
          <w:rFonts w:eastAsia="宋体"/>
          <w:sz w:val="24"/>
          <w:szCs w:val="24"/>
        </w:rPr>
        <w:t>(1)</w:t>
      </w:r>
      <w:r>
        <w:rPr>
          <w:rFonts w:eastAsia="宋体"/>
          <w:kern w:val="2"/>
          <w:sz w:val="24"/>
          <w:szCs w:val="24"/>
        </w:rPr>
        <w:tab/>
      </w:r>
      <w:r>
        <w:rPr>
          <w:rStyle w:val="18"/>
          <w:rFonts w:eastAsia="宋体"/>
          <w:sz w:val="24"/>
          <w:szCs w:val="24"/>
        </w:rPr>
        <w:t>动物研究的一般考虑</w:t>
      </w:r>
      <w:r>
        <w:rPr>
          <w:rFonts w:eastAsia="宋体"/>
          <w:sz w:val="24"/>
          <w:szCs w:val="24"/>
        </w:rPr>
        <w:tab/>
      </w:r>
      <w:r>
        <w:rPr>
          <w:rFonts w:eastAsia="宋体"/>
          <w:sz w:val="24"/>
          <w:szCs w:val="24"/>
        </w:rPr>
        <w:fldChar w:fldCharType="begin"/>
      </w:r>
      <w:r>
        <w:rPr>
          <w:rFonts w:eastAsia="宋体"/>
          <w:sz w:val="24"/>
          <w:szCs w:val="24"/>
        </w:rPr>
        <w:instrText xml:space="preserve"> PAGEREF _Toc97494959 \h </w:instrText>
      </w:r>
      <w:r>
        <w:rPr>
          <w:rFonts w:eastAsia="宋体"/>
          <w:sz w:val="24"/>
          <w:szCs w:val="24"/>
        </w:rPr>
        <w:fldChar w:fldCharType="separate"/>
      </w:r>
      <w:r>
        <w:rPr>
          <w:rFonts w:eastAsia="宋体"/>
          <w:sz w:val="24"/>
          <w:szCs w:val="24"/>
        </w:rPr>
        <w:t>25</w:t>
      </w:r>
      <w:r>
        <w:rPr>
          <w:rFonts w:eastAsia="宋体"/>
          <w:sz w:val="24"/>
          <w:szCs w:val="24"/>
        </w:rPr>
        <w:fldChar w:fldCharType="end"/>
      </w:r>
      <w:r>
        <w:rPr>
          <w:rFonts w:eastAsia="宋体"/>
          <w:sz w:val="24"/>
          <w:szCs w:val="24"/>
        </w:rPr>
        <w:fldChar w:fldCharType="end"/>
      </w:r>
    </w:p>
    <w:p w14:paraId="2774DE81">
      <w:pPr>
        <w:pStyle w:val="8"/>
        <w:rPr>
          <w:rFonts w:eastAsia="宋体"/>
          <w:kern w:val="2"/>
          <w:sz w:val="24"/>
          <w:szCs w:val="24"/>
        </w:rPr>
      </w:pPr>
      <w:r>
        <w:fldChar w:fldCharType="begin"/>
      </w:r>
      <w:r>
        <w:instrText xml:space="preserve"> HYPERLINK \l "_Toc97494960" </w:instrText>
      </w:r>
      <w:r>
        <w:fldChar w:fldCharType="separate"/>
      </w:r>
      <w:r>
        <w:rPr>
          <w:rStyle w:val="18"/>
          <w:rFonts w:eastAsia="宋体"/>
          <w:sz w:val="24"/>
          <w:szCs w:val="24"/>
        </w:rPr>
        <w:t>(2)</w:t>
      </w:r>
      <w:r>
        <w:rPr>
          <w:rFonts w:eastAsia="宋体"/>
          <w:kern w:val="2"/>
          <w:sz w:val="24"/>
          <w:szCs w:val="24"/>
        </w:rPr>
        <w:tab/>
      </w:r>
      <w:r>
        <w:rPr>
          <w:rStyle w:val="18"/>
          <w:rFonts w:eastAsia="宋体"/>
          <w:sz w:val="24"/>
          <w:szCs w:val="24"/>
        </w:rPr>
        <w:t>临床研究方案</w:t>
      </w:r>
      <w:r>
        <w:rPr>
          <w:rFonts w:eastAsia="宋体"/>
          <w:sz w:val="24"/>
          <w:szCs w:val="24"/>
        </w:rPr>
        <w:tab/>
      </w:r>
      <w:r>
        <w:rPr>
          <w:rFonts w:eastAsia="宋体"/>
          <w:sz w:val="24"/>
          <w:szCs w:val="24"/>
        </w:rPr>
        <w:fldChar w:fldCharType="begin"/>
      </w:r>
      <w:r>
        <w:rPr>
          <w:rFonts w:eastAsia="宋体"/>
          <w:sz w:val="24"/>
          <w:szCs w:val="24"/>
        </w:rPr>
        <w:instrText xml:space="preserve"> PAGEREF _Toc97494960 \h </w:instrText>
      </w:r>
      <w:r>
        <w:rPr>
          <w:rFonts w:eastAsia="宋体"/>
          <w:sz w:val="24"/>
          <w:szCs w:val="24"/>
        </w:rPr>
        <w:fldChar w:fldCharType="separate"/>
      </w:r>
      <w:r>
        <w:rPr>
          <w:rFonts w:eastAsia="宋体"/>
          <w:sz w:val="24"/>
          <w:szCs w:val="24"/>
        </w:rPr>
        <w:t>26</w:t>
      </w:r>
      <w:r>
        <w:rPr>
          <w:rFonts w:eastAsia="宋体"/>
          <w:sz w:val="24"/>
          <w:szCs w:val="24"/>
        </w:rPr>
        <w:fldChar w:fldCharType="end"/>
      </w:r>
      <w:r>
        <w:rPr>
          <w:rFonts w:eastAsia="宋体"/>
          <w:sz w:val="24"/>
          <w:szCs w:val="24"/>
        </w:rPr>
        <w:fldChar w:fldCharType="end"/>
      </w:r>
    </w:p>
    <w:p w14:paraId="4988B049">
      <w:pPr>
        <w:pStyle w:val="14"/>
        <w:rPr>
          <w:kern w:val="2"/>
          <w:sz w:val="24"/>
          <w:szCs w:val="24"/>
        </w:rPr>
      </w:pPr>
      <w:r>
        <w:fldChar w:fldCharType="begin"/>
      </w:r>
      <w:r>
        <w:instrText xml:space="preserve"> HYPERLINK \l "_Toc97494961" </w:instrText>
      </w:r>
      <w:r>
        <w:fldChar w:fldCharType="separate"/>
      </w:r>
      <w:r>
        <w:rPr>
          <w:rStyle w:val="18"/>
          <w:sz w:val="24"/>
          <w:szCs w:val="24"/>
        </w:rPr>
        <w:t>O.</w:t>
      </w:r>
      <w:r>
        <w:rPr>
          <w:kern w:val="2"/>
          <w:sz w:val="24"/>
          <w:szCs w:val="24"/>
        </w:rPr>
        <w:tab/>
      </w:r>
      <w:r>
        <w:rPr>
          <w:rStyle w:val="18"/>
          <w:sz w:val="24"/>
          <w:szCs w:val="24"/>
        </w:rPr>
        <w:t>临床性能试验</w:t>
      </w:r>
      <w:r>
        <w:rPr>
          <w:sz w:val="24"/>
          <w:szCs w:val="24"/>
        </w:rPr>
        <w:tab/>
      </w:r>
      <w:r>
        <w:rPr>
          <w:sz w:val="24"/>
          <w:szCs w:val="24"/>
        </w:rPr>
        <w:fldChar w:fldCharType="begin"/>
      </w:r>
      <w:r>
        <w:rPr>
          <w:sz w:val="24"/>
          <w:szCs w:val="24"/>
        </w:rPr>
        <w:instrText xml:space="preserve"> PAGEREF _Toc97494961 \h </w:instrText>
      </w:r>
      <w:r>
        <w:rPr>
          <w:sz w:val="24"/>
          <w:szCs w:val="24"/>
        </w:rPr>
        <w:fldChar w:fldCharType="separate"/>
      </w:r>
      <w:r>
        <w:rPr>
          <w:sz w:val="24"/>
          <w:szCs w:val="24"/>
        </w:rPr>
        <w:t>28</w:t>
      </w:r>
      <w:r>
        <w:rPr>
          <w:sz w:val="24"/>
          <w:szCs w:val="24"/>
        </w:rPr>
        <w:fldChar w:fldCharType="end"/>
      </w:r>
      <w:r>
        <w:rPr>
          <w:sz w:val="24"/>
          <w:szCs w:val="24"/>
        </w:rPr>
        <w:fldChar w:fldCharType="end"/>
      </w:r>
    </w:p>
    <w:p w14:paraId="1BDFCDEB">
      <w:pPr>
        <w:pStyle w:val="8"/>
        <w:rPr>
          <w:rFonts w:eastAsia="宋体"/>
          <w:kern w:val="2"/>
          <w:sz w:val="24"/>
          <w:szCs w:val="24"/>
        </w:rPr>
      </w:pPr>
      <w:r>
        <w:fldChar w:fldCharType="begin"/>
      </w:r>
      <w:r>
        <w:instrText xml:space="preserve"> HYPERLINK \l "_Toc97494962" </w:instrText>
      </w:r>
      <w:r>
        <w:fldChar w:fldCharType="separate"/>
      </w:r>
      <w:r>
        <w:rPr>
          <w:rStyle w:val="18"/>
          <w:rFonts w:eastAsia="宋体"/>
          <w:sz w:val="24"/>
          <w:szCs w:val="24"/>
        </w:rPr>
        <w:t>(1)</w:t>
      </w:r>
      <w:r>
        <w:rPr>
          <w:rFonts w:eastAsia="宋体"/>
          <w:kern w:val="2"/>
          <w:sz w:val="24"/>
          <w:szCs w:val="24"/>
        </w:rPr>
        <w:tab/>
      </w:r>
      <w:r>
        <w:rPr>
          <w:rStyle w:val="18"/>
          <w:rFonts w:eastAsia="宋体"/>
          <w:sz w:val="24"/>
          <w:szCs w:val="24"/>
        </w:rPr>
        <w:t>既往研究报告</w:t>
      </w:r>
      <w:r>
        <w:rPr>
          <w:rFonts w:eastAsia="宋体"/>
          <w:sz w:val="24"/>
          <w:szCs w:val="24"/>
        </w:rPr>
        <w:tab/>
      </w:r>
      <w:r>
        <w:rPr>
          <w:rFonts w:eastAsia="宋体"/>
          <w:sz w:val="24"/>
          <w:szCs w:val="24"/>
        </w:rPr>
        <w:fldChar w:fldCharType="begin"/>
      </w:r>
      <w:r>
        <w:rPr>
          <w:rFonts w:eastAsia="宋体"/>
          <w:sz w:val="24"/>
          <w:szCs w:val="24"/>
        </w:rPr>
        <w:instrText xml:space="preserve"> PAGEREF _Toc97494962 \h </w:instrText>
      </w:r>
      <w:r>
        <w:rPr>
          <w:rFonts w:eastAsia="宋体"/>
          <w:sz w:val="24"/>
          <w:szCs w:val="24"/>
        </w:rPr>
        <w:fldChar w:fldCharType="separate"/>
      </w:r>
      <w:r>
        <w:rPr>
          <w:rFonts w:eastAsia="宋体"/>
          <w:sz w:val="24"/>
          <w:szCs w:val="24"/>
        </w:rPr>
        <w:t>28</w:t>
      </w:r>
      <w:r>
        <w:rPr>
          <w:rFonts w:eastAsia="宋体"/>
          <w:sz w:val="24"/>
          <w:szCs w:val="24"/>
        </w:rPr>
        <w:fldChar w:fldCharType="end"/>
      </w:r>
      <w:r>
        <w:rPr>
          <w:rFonts w:eastAsia="宋体"/>
          <w:sz w:val="24"/>
          <w:szCs w:val="24"/>
        </w:rPr>
        <w:fldChar w:fldCharType="end"/>
      </w:r>
    </w:p>
    <w:p w14:paraId="73EB6B56">
      <w:pPr>
        <w:pStyle w:val="8"/>
        <w:tabs>
          <w:tab w:val="left" w:pos="1050"/>
        </w:tabs>
        <w:rPr>
          <w:rFonts w:eastAsia="宋体"/>
          <w:kern w:val="2"/>
          <w:sz w:val="24"/>
          <w:szCs w:val="24"/>
        </w:rPr>
      </w:pPr>
      <w:r>
        <w:fldChar w:fldCharType="begin"/>
      </w:r>
      <w:r>
        <w:instrText xml:space="preserve"> HYPERLINK \l "_Toc97494963" </w:instrText>
      </w:r>
      <w:r>
        <w:fldChar w:fldCharType="separate"/>
      </w:r>
      <w:r>
        <w:rPr>
          <w:rStyle w:val="18"/>
          <w:rFonts w:hint="eastAsia" w:eastAsia="宋体"/>
          <w:sz w:val="24"/>
          <w:szCs w:val="24"/>
        </w:rPr>
        <w:t>(</w:t>
      </w:r>
      <w:r>
        <w:rPr>
          <w:rStyle w:val="18"/>
          <w:rFonts w:eastAsia="宋体"/>
          <w:sz w:val="24"/>
          <w:szCs w:val="24"/>
        </w:rPr>
        <w:t>2</w:t>
      </w:r>
      <w:r>
        <w:rPr>
          <w:rStyle w:val="18"/>
          <w:rFonts w:hint="eastAsia" w:eastAsia="宋体"/>
          <w:sz w:val="24"/>
          <w:szCs w:val="24"/>
        </w:rPr>
        <w:t>)</w:t>
      </w:r>
      <w:r>
        <w:rPr>
          <w:rFonts w:eastAsia="宋体"/>
          <w:kern w:val="2"/>
          <w:sz w:val="24"/>
          <w:szCs w:val="24"/>
        </w:rPr>
        <w:tab/>
      </w:r>
      <w:r>
        <w:rPr>
          <w:rStyle w:val="18"/>
          <w:rFonts w:eastAsia="宋体"/>
          <w:sz w:val="24"/>
          <w:szCs w:val="24"/>
        </w:rPr>
        <w:t>临床研究考虑因素</w:t>
      </w:r>
      <w:r>
        <w:rPr>
          <w:rFonts w:eastAsia="宋体"/>
          <w:sz w:val="24"/>
          <w:szCs w:val="24"/>
        </w:rPr>
        <w:tab/>
      </w:r>
      <w:r>
        <w:rPr>
          <w:rFonts w:eastAsia="宋体"/>
          <w:sz w:val="24"/>
          <w:szCs w:val="24"/>
        </w:rPr>
        <w:fldChar w:fldCharType="begin"/>
      </w:r>
      <w:r>
        <w:rPr>
          <w:rFonts w:eastAsia="宋体"/>
          <w:sz w:val="24"/>
          <w:szCs w:val="24"/>
        </w:rPr>
        <w:instrText xml:space="preserve"> PAGEREF _Toc97494963 \h </w:instrText>
      </w:r>
      <w:r>
        <w:rPr>
          <w:rFonts w:eastAsia="宋体"/>
          <w:sz w:val="24"/>
          <w:szCs w:val="24"/>
        </w:rPr>
        <w:fldChar w:fldCharType="separate"/>
      </w:r>
      <w:r>
        <w:rPr>
          <w:rFonts w:eastAsia="宋体"/>
          <w:sz w:val="24"/>
          <w:szCs w:val="24"/>
        </w:rPr>
        <w:t>29</w:t>
      </w:r>
      <w:r>
        <w:rPr>
          <w:rFonts w:eastAsia="宋体"/>
          <w:sz w:val="24"/>
          <w:szCs w:val="24"/>
        </w:rPr>
        <w:fldChar w:fldCharType="end"/>
      </w:r>
      <w:r>
        <w:rPr>
          <w:rFonts w:eastAsia="宋体"/>
          <w:sz w:val="24"/>
          <w:szCs w:val="24"/>
        </w:rPr>
        <w:fldChar w:fldCharType="end"/>
      </w:r>
    </w:p>
    <w:p w14:paraId="2981C093">
      <w:pPr>
        <w:pStyle w:val="12"/>
        <w:rPr>
          <w:kern w:val="2"/>
          <w:szCs w:val="24"/>
        </w:rPr>
      </w:pPr>
      <w:r>
        <w:fldChar w:fldCharType="begin"/>
      </w:r>
      <w:r>
        <w:instrText xml:space="preserve"> HYPERLINK \l "_Toc97494964" </w:instrText>
      </w:r>
      <w:r>
        <w:fldChar w:fldCharType="separate"/>
      </w:r>
      <w:r>
        <w:rPr>
          <w:rStyle w:val="18"/>
          <w:szCs w:val="24"/>
        </w:rPr>
        <w:t>附录A 刺激输出规范</w:t>
      </w:r>
      <w:r>
        <w:rPr>
          <w:szCs w:val="24"/>
        </w:rPr>
        <w:tab/>
      </w:r>
      <w:r>
        <w:rPr>
          <w:szCs w:val="24"/>
        </w:rPr>
        <w:fldChar w:fldCharType="begin"/>
      </w:r>
      <w:r>
        <w:rPr>
          <w:szCs w:val="24"/>
        </w:rPr>
        <w:instrText xml:space="preserve"> PAGEREF _Toc97494964 \h </w:instrText>
      </w:r>
      <w:r>
        <w:rPr>
          <w:szCs w:val="24"/>
        </w:rPr>
        <w:fldChar w:fldCharType="separate"/>
      </w:r>
      <w:r>
        <w:rPr>
          <w:szCs w:val="24"/>
        </w:rPr>
        <w:t>38</w:t>
      </w:r>
      <w:r>
        <w:rPr>
          <w:szCs w:val="24"/>
        </w:rPr>
        <w:fldChar w:fldCharType="end"/>
      </w:r>
      <w:r>
        <w:rPr>
          <w:szCs w:val="24"/>
        </w:rPr>
        <w:fldChar w:fldCharType="end"/>
      </w:r>
    </w:p>
    <w:p w14:paraId="71C58477">
      <w:pPr>
        <w:shd w:val="clear" w:color="auto" w:fill="FFFFFF"/>
        <w:snapToGrid w:val="0"/>
        <w:jc w:val="both"/>
        <w:rPr>
          <w:rFonts w:eastAsia="宋体"/>
          <w:b/>
          <w:sz w:val="21"/>
          <w:szCs w:val="21"/>
        </w:rPr>
      </w:pPr>
      <w:r>
        <w:rPr>
          <w:rFonts w:eastAsia="宋体"/>
          <w:b/>
          <w:sz w:val="24"/>
          <w:szCs w:val="24"/>
        </w:rPr>
        <w:fldChar w:fldCharType="end"/>
      </w:r>
    </w:p>
    <w:p w14:paraId="4177CADB">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BAE16B1">
      <w:pPr>
        <w:pStyle w:val="27"/>
        <w:pBdr>
          <w:bottom w:val="single" w:color="auto" w:sz="4" w:space="1"/>
        </w:pBdr>
        <w:jc w:val="center"/>
        <w:rPr>
          <w:rFonts w:eastAsia="宋体"/>
          <w:color w:val="000000"/>
          <w:sz w:val="48"/>
          <w:szCs w:val="48"/>
        </w:rPr>
      </w:pPr>
      <w:bookmarkStart w:id="5" w:name="bookmark0"/>
      <w:r>
        <w:rPr>
          <w:rFonts w:eastAsia="宋体"/>
          <w:b/>
          <w:bCs/>
          <w:color w:val="000000"/>
          <w:sz w:val="48"/>
          <w:szCs w:val="48"/>
        </w:rPr>
        <w:t>瘫痪或截肢患者用植入式脑机接口（BCI）器械 - 非临床试验和临床考虑</w:t>
      </w:r>
    </w:p>
    <w:p w14:paraId="50A943B0">
      <w:pPr>
        <w:shd w:val="clear" w:color="auto" w:fill="FFFFFF"/>
        <w:snapToGrid w:val="0"/>
        <w:jc w:val="center"/>
        <w:rPr>
          <w:rFonts w:eastAsia="宋体"/>
          <w:b/>
          <w:bCs/>
          <w:color w:val="000000"/>
          <w:sz w:val="48"/>
          <w:szCs w:val="48"/>
        </w:rPr>
      </w:pPr>
      <w:r>
        <w:rPr>
          <w:rFonts w:eastAsia="宋体"/>
          <w:b/>
          <w:bCs/>
          <w:color w:val="000000"/>
          <w:sz w:val="48"/>
          <w:szCs w:val="48"/>
        </w:rPr>
        <w:t>行业和美国食品药品监督管理局工作人员指南</w:t>
      </w:r>
    </w:p>
    <w:p w14:paraId="0896AA68">
      <w:pPr>
        <w:shd w:val="clear" w:color="auto" w:fill="FFFFFF"/>
        <w:snapToGrid w:val="0"/>
        <w:jc w:val="both"/>
        <w:rPr>
          <w:rFonts w:eastAsia="宋体"/>
          <w:b/>
          <w:bCs/>
          <w:i/>
          <w:iCs/>
          <w:color w:val="000000"/>
          <w:sz w:val="21"/>
          <w:szCs w:val="21"/>
        </w:rPr>
      </w:pPr>
    </w:p>
    <w:bookmarkEnd w:id="5"/>
    <w:p w14:paraId="171407BD">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4"/>
          <w:szCs w:val="24"/>
        </w:rPr>
      </w:pPr>
      <w:bookmarkStart w:id="6" w:name="OLE_LINK1"/>
      <w:r>
        <w:rPr>
          <w:b/>
          <w:i/>
          <w:sz w:val="24"/>
        </w:rPr>
        <w:t>本指南代表美国食品药品监督管理局（FDA）对该主题的当前看法。本文件不赋予任何人任何权利，对FDA或公众不具有约束力。如果替代方法满足</w:t>
      </w:r>
      <w:commentRangeStart w:id="0"/>
      <w:r>
        <w:rPr>
          <w:b/>
          <w:i/>
          <w:sz w:val="24"/>
        </w:rPr>
        <w:t>适用</w:t>
      </w:r>
      <w:r>
        <w:rPr>
          <w:rFonts w:hint="eastAsia"/>
          <w:b/>
          <w:i/>
          <w:sz w:val="24"/>
        </w:rPr>
        <w:t>的情形和</w:t>
      </w:r>
      <w:r>
        <w:rPr>
          <w:b/>
          <w:i/>
          <w:sz w:val="24"/>
        </w:rPr>
        <w:t>法规</w:t>
      </w:r>
      <w:commentRangeEnd w:id="0"/>
      <w:r>
        <w:rPr>
          <w:rStyle w:val="19"/>
        </w:rPr>
        <w:commentReference w:id="0"/>
      </w:r>
      <w:r>
        <w:rPr>
          <w:b/>
          <w:i/>
          <w:sz w:val="24"/>
        </w:rPr>
        <w:t>的要求，则贵司可使用替代方法。如需讨论替代方法，请联系标题页所列负责本指南的FDA工作人员或办公室</w:t>
      </w:r>
      <w:r>
        <w:rPr>
          <w:b/>
          <w:i/>
          <w:sz w:val="24"/>
          <w:szCs w:val="24"/>
        </w:rPr>
        <w:t>。</w:t>
      </w:r>
      <w:bookmarkEnd w:id="6"/>
    </w:p>
    <w:p w14:paraId="76799AB9">
      <w:pPr>
        <w:shd w:val="clear" w:color="auto" w:fill="FFFFFF"/>
        <w:snapToGrid w:val="0"/>
        <w:jc w:val="both"/>
        <w:rPr>
          <w:rFonts w:eastAsia="宋体"/>
          <w:sz w:val="21"/>
          <w:szCs w:val="21"/>
        </w:rPr>
      </w:pPr>
    </w:p>
    <w:p w14:paraId="3231ACD6">
      <w:pPr>
        <w:pStyle w:val="2"/>
        <w:spacing w:before="240" w:after="240"/>
      </w:pPr>
      <w:bookmarkStart w:id="7" w:name="_Toc87888778"/>
      <w:r>
        <w:t>I.</w:t>
      </w:r>
      <w:r>
        <w:tab/>
      </w:r>
      <w:bookmarkEnd w:id="7"/>
      <w:r>
        <w:rPr>
          <w:rFonts w:eastAsia="宋体"/>
        </w:rPr>
        <w:t>引言</w:t>
      </w:r>
    </w:p>
    <w:p w14:paraId="36C04A83">
      <w:pPr>
        <w:shd w:val="clear" w:color="auto" w:fill="FFFFFF"/>
        <w:snapToGrid w:val="0"/>
        <w:jc w:val="both"/>
        <w:rPr>
          <w:rFonts w:eastAsia="宋体"/>
          <w:color w:val="000000"/>
          <w:sz w:val="24"/>
          <w:szCs w:val="24"/>
        </w:rPr>
      </w:pPr>
      <w:r>
        <w:rPr>
          <w:rFonts w:eastAsia="宋体"/>
          <w:color w:val="000000"/>
          <w:sz w:val="24"/>
          <w:szCs w:val="24"/>
        </w:rPr>
        <w:t>本指南文件为瘫痪或截肢患者植入脑机接口（BCI）器械的Q申请和临床试验用器械豁免（IDE）提供了建议。植入式BCI器械正从基础神经科学发现领域快速发展到转化应用领域和市场准入领域。植入式BCI器械有可能通过提高与其环境相互作用的能力为重度残疾患者带来获益，从而在日常生活中提供新的独立性。在本指南文件中，植入BCI器械是与中枢或周围神经系统连接的神经假体，用于恢复瘫痪或截肢患者失去的运动和/或感觉能力。</w:t>
      </w:r>
    </w:p>
    <w:p w14:paraId="09F742FC">
      <w:pPr>
        <w:shd w:val="clear" w:color="auto" w:fill="FFFFFF"/>
        <w:snapToGrid w:val="0"/>
        <w:jc w:val="both"/>
        <w:rPr>
          <w:rFonts w:eastAsia="宋体"/>
          <w:sz w:val="24"/>
          <w:szCs w:val="24"/>
        </w:rPr>
      </w:pPr>
    </w:p>
    <w:p w14:paraId="6DD16448">
      <w:pPr>
        <w:shd w:val="clear" w:color="auto" w:fill="FFFFFF"/>
        <w:snapToGrid w:val="0"/>
        <w:jc w:val="both"/>
        <w:rPr>
          <w:rFonts w:eastAsia="宋体"/>
          <w:color w:val="000000"/>
          <w:sz w:val="24"/>
          <w:szCs w:val="24"/>
        </w:rPr>
      </w:pPr>
      <w:r>
        <w:rPr>
          <w:rFonts w:eastAsia="宋体"/>
          <w:color w:val="000000"/>
          <w:sz w:val="24"/>
          <w:szCs w:val="24"/>
        </w:rPr>
        <w:t>美国食品药品监督管理局（FDA）医疗器械与放射健康中心（CDRH）认为，帮助利益相关者（如制造商、医疗保健专业人员、患者、患者权益倡导者、学术界和其他政府机构）引领医疗器械的监管环境非常重要。为实现该目标，2014年11月21日，CDRH在其马里兰州园区White Oak举办了公开研讨会，旨在促进对BCI器械开发相关科学和临床考虑展开公开讨论。</w:t>
      </w:r>
      <w:r>
        <w:rPr>
          <w:rStyle w:val="20"/>
          <w:rFonts w:eastAsia="宋体"/>
          <w:color w:val="000000"/>
          <w:sz w:val="24"/>
          <w:szCs w:val="24"/>
        </w:rPr>
        <w:footnoteReference w:id="0"/>
      </w:r>
      <w:r>
        <w:rPr>
          <w:rFonts w:eastAsia="宋体"/>
          <w:color w:val="000000"/>
          <w:sz w:val="24"/>
          <w:szCs w:val="24"/>
        </w:rPr>
        <w:t xml:space="preserve"> FDA考虑了本研讨会期间提供的信息，以制定本指南文件中关于植入BCI器械的建议。</w:t>
      </w:r>
    </w:p>
    <w:p w14:paraId="15011AD7">
      <w:pPr>
        <w:shd w:val="clear" w:color="auto" w:fill="FFFFFF"/>
        <w:snapToGrid w:val="0"/>
        <w:jc w:val="both"/>
        <w:rPr>
          <w:rFonts w:eastAsia="宋体"/>
          <w:sz w:val="24"/>
          <w:szCs w:val="24"/>
        </w:rPr>
      </w:pPr>
    </w:p>
    <w:p w14:paraId="666F672C">
      <w:pPr>
        <w:shd w:val="clear" w:color="auto" w:fill="FFFFFF"/>
        <w:snapToGrid w:val="0"/>
        <w:jc w:val="both"/>
        <w:rPr>
          <w:rFonts w:eastAsia="宋体"/>
          <w:sz w:val="24"/>
          <w:szCs w:val="24"/>
        </w:rPr>
      </w:pPr>
      <w:r>
        <w:rPr>
          <w:rFonts w:eastAsia="宋体"/>
          <w:color w:val="000000"/>
          <w:sz w:val="24"/>
          <w:szCs w:val="24"/>
        </w:rPr>
        <w:t>本指南文件提供了与植入BCI器械相关的非临床试验和临床研究设计建议。可使用非临床器械试验证明，在开始临床研究前已缓解潜在风险。正确设计临床试验对合理保证支持注册申报和将BCI器械从概念转化为辅助器械用户所需的安全性和有效性至关重要。</w:t>
      </w:r>
    </w:p>
    <w:p w14:paraId="5AD5DE3F">
      <w:pPr>
        <w:shd w:val="clear" w:color="auto" w:fill="FFFFFF"/>
        <w:snapToGrid w:val="0"/>
        <w:jc w:val="both"/>
        <w:rPr>
          <w:rFonts w:eastAsia="宋体"/>
          <w:sz w:val="21"/>
          <w:szCs w:val="21"/>
        </w:rPr>
      </w:pPr>
    </w:p>
    <w:p w14:paraId="59BBF9DE">
      <w:pPr>
        <w:shd w:val="clear" w:color="auto" w:fill="FFFFFF"/>
        <w:snapToGrid w:val="0"/>
        <w:jc w:val="both"/>
        <w:rPr>
          <w:rFonts w:eastAsia="宋体"/>
          <w:sz w:val="21"/>
          <w:szCs w:val="21"/>
        </w:rPr>
      </w:pPr>
    </w:p>
    <w:p w14:paraId="1B6D9178">
      <w:pPr>
        <w:shd w:val="clear" w:color="auto" w:fill="FFFFFF"/>
        <w:snapToGrid w:val="0"/>
        <w:jc w:val="both"/>
        <w:rPr>
          <w:rFonts w:eastAsia="宋体"/>
          <w:sz w:val="21"/>
          <w:szCs w:val="21"/>
        </w:rPr>
      </w:pPr>
    </w:p>
    <w:p w14:paraId="55725793">
      <w:pPr>
        <w:shd w:val="clear" w:color="auto" w:fill="FFFFFF"/>
        <w:snapToGrid w:val="0"/>
        <w:jc w:val="both"/>
        <w:rPr>
          <w:rFonts w:eastAsia="宋体"/>
          <w:sz w:val="21"/>
          <w:szCs w:val="21"/>
        </w:rPr>
      </w:pPr>
    </w:p>
    <w:p w14:paraId="1E9677F9">
      <w:pPr>
        <w:shd w:val="clear" w:color="auto" w:fill="FFFFFF"/>
        <w:snapToGrid w:val="0"/>
        <w:jc w:val="both"/>
        <w:rPr>
          <w:rFonts w:eastAsia="宋体"/>
          <w:sz w:val="21"/>
          <w:szCs w:val="21"/>
        </w:rPr>
      </w:pPr>
    </w:p>
    <w:p w14:paraId="0D854F92">
      <w:pPr>
        <w:shd w:val="clear" w:color="auto" w:fill="FFFFFF"/>
        <w:snapToGrid w:val="0"/>
        <w:jc w:val="both"/>
        <w:rPr>
          <w:rFonts w:eastAsia="宋体"/>
          <w:sz w:val="21"/>
          <w:szCs w:val="21"/>
        </w:rPr>
        <w:sectPr>
          <w:footerReference r:id="rId7" w:type="default"/>
          <w:pgSz w:w="11906" w:h="16838"/>
          <w:pgMar w:top="1134" w:right="1417" w:bottom="1134" w:left="1417" w:header="850" w:footer="720" w:gutter="0"/>
          <w:pgNumType w:start="1"/>
          <w:cols w:space="60" w:num="1"/>
          <w:docGrid w:linePitch="272" w:charSpace="0"/>
        </w:sectPr>
      </w:pPr>
    </w:p>
    <w:p w14:paraId="4E4A4BC9">
      <w:pPr>
        <w:shd w:val="clear" w:color="auto" w:fill="FFFFFF"/>
        <w:snapToGrid w:val="0"/>
        <w:jc w:val="both"/>
        <w:rPr>
          <w:rFonts w:eastAsia="宋体"/>
          <w:color w:val="000000"/>
          <w:sz w:val="24"/>
          <w:szCs w:val="24"/>
        </w:rPr>
      </w:pPr>
      <w:r>
        <w:rPr>
          <w:rFonts w:eastAsia="宋体"/>
          <w:color w:val="000000"/>
          <w:sz w:val="24"/>
          <w:szCs w:val="24"/>
        </w:rPr>
        <w:t>本指南是跨越式指南，也是FDA在产品开发</w:t>
      </w:r>
      <w:r>
        <w:rPr>
          <w:rFonts w:hint="eastAsia" w:eastAsia="宋体"/>
          <w:color w:val="000000"/>
          <w:sz w:val="24"/>
          <w:szCs w:val="24"/>
        </w:rPr>
        <w:t>利用</w:t>
      </w:r>
      <w:r>
        <w:rPr>
          <w:rFonts w:eastAsia="宋体"/>
          <w:color w:val="000000"/>
          <w:sz w:val="24"/>
          <w:szCs w:val="24"/>
        </w:rPr>
        <w:t>早期可能具有公共卫生重要性的新兴技术分享初步想法的一种机制。本跨越式指南代表FDA的初步想法，随着更多信息的获得，FDA的建议可能发生变化。</w:t>
      </w:r>
    </w:p>
    <w:p w14:paraId="134A3D42">
      <w:pPr>
        <w:shd w:val="clear" w:color="auto" w:fill="FFFFFF"/>
        <w:snapToGrid w:val="0"/>
        <w:jc w:val="both"/>
        <w:rPr>
          <w:rFonts w:eastAsia="宋体"/>
          <w:sz w:val="24"/>
          <w:szCs w:val="24"/>
        </w:rPr>
      </w:pPr>
    </w:p>
    <w:p w14:paraId="221CBB49">
      <w:pPr>
        <w:shd w:val="clear" w:color="auto" w:fill="FFFFFF"/>
        <w:snapToGrid w:val="0"/>
        <w:jc w:val="both"/>
        <w:rPr>
          <w:rFonts w:eastAsia="宋体"/>
          <w:sz w:val="24"/>
          <w:szCs w:val="24"/>
        </w:rPr>
      </w:pPr>
      <w:r>
        <w:rPr>
          <w:rFonts w:eastAsia="宋体"/>
          <w:color w:val="000000"/>
          <w:sz w:val="24"/>
          <w:szCs w:val="24"/>
        </w:rPr>
        <w:t>FDA强烈鼓励制造商通过Q申请流程与CDRH接洽，以获得BCI器械更详细的反馈。有关预申请的更多信息，请参见</w:t>
      </w:r>
      <w:r>
        <w:rPr>
          <w:rFonts w:ascii="宋体" w:hAnsi="宋体" w:eastAsia="宋体"/>
          <w:color w:val="000000"/>
          <w:sz w:val="24"/>
          <w:szCs w:val="24"/>
        </w:rPr>
        <w:t>“</w:t>
      </w:r>
      <w:r>
        <w:rPr>
          <w:rFonts w:eastAsia="宋体"/>
          <w:color w:val="0000FF"/>
          <w:sz w:val="24"/>
          <w:szCs w:val="24"/>
          <w:u w:val="single"/>
        </w:rPr>
        <w:t>医疗器械提交反馈请求</w:t>
      </w:r>
      <w:r>
        <w:rPr>
          <w:rFonts w:eastAsia="宋体"/>
          <w:color w:val="0000FF"/>
          <w:sz w:val="24"/>
          <w:szCs w:val="24"/>
        </w:rPr>
        <w:t>：</w:t>
      </w:r>
      <w:r>
        <w:rPr>
          <w:rFonts w:eastAsia="宋体"/>
          <w:color w:val="0000FF"/>
          <w:sz w:val="24"/>
          <w:szCs w:val="24"/>
          <w:u w:val="single"/>
        </w:rPr>
        <w:t>Q申请项目。</w:t>
      </w:r>
      <w:r>
        <w:rPr>
          <w:rFonts w:ascii="宋体" w:hAnsi="宋体" w:eastAsia="宋体"/>
          <w:color w:val="000000"/>
          <w:sz w:val="24"/>
          <w:szCs w:val="24"/>
        </w:rPr>
        <w:t>”</w:t>
      </w:r>
      <w:r>
        <w:rPr>
          <w:rFonts w:eastAsia="宋体"/>
          <w:color w:val="000000"/>
          <w:sz w:val="24"/>
          <w:szCs w:val="24"/>
          <w:vertAlign w:val="superscript"/>
        </w:rPr>
        <w:footnoteReference w:id="1"/>
      </w:r>
    </w:p>
    <w:p w14:paraId="43499CBC">
      <w:pPr>
        <w:shd w:val="clear" w:color="auto" w:fill="FFFFFF"/>
        <w:snapToGrid w:val="0"/>
        <w:jc w:val="both"/>
        <w:rPr>
          <w:rFonts w:eastAsia="宋体"/>
          <w:sz w:val="24"/>
          <w:szCs w:val="24"/>
        </w:rPr>
      </w:pPr>
    </w:p>
    <w:p w14:paraId="7A0EC17E">
      <w:pPr>
        <w:shd w:val="clear" w:color="auto" w:fill="FFFFFF"/>
        <w:snapToGrid w:val="0"/>
        <w:jc w:val="both"/>
        <w:rPr>
          <w:rFonts w:eastAsia="宋体"/>
          <w:sz w:val="24"/>
          <w:szCs w:val="24"/>
        </w:rPr>
      </w:pPr>
      <w:r>
        <w:rPr>
          <w:rFonts w:eastAsia="宋体"/>
          <w:color w:val="000000"/>
          <w:sz w:val="24"/>
          <w:szCs w:val="24"/>
        </w:rPr>
        <w:t>关于本文件引用的当前版本FDA公认共识标准，请见</w:t>
      </w:r>
      <w:r>
        <w:rPr>
          <w:rFonts w:eastAsia="宋体"/>
          <w:color w:val="0000FF"/>
          <w:sz w:val="24"/>
          <w:szCs w:val="24"/>
          <w:u w:val="single"/>
        </w:rPr>
        <w:t>FDA公认共识标准数据库</w:t>
      </w:r>
      <w:r>
        <w:rPr>
          <w:rFonts w:eastAsia="宋体"/>
          <w:sz w:val="24"/>
          <w:szCs w:val="24"/>
        </w:rPr>
        <w:t>。</w:t>
      </w:r>
      <w:r>
        <w:rPr>
          <w:rFonts w:eastAsia="宋体"/>
          <w:color w:val="000000"/>
          <w:sz w:val="24"/>
          <w:szCs w:val="24"/>
          <w:vertAlign w:val="superscript"/>
        </w:rPr>
        <w:footnoteReference w:id="2"/>
      </w:r>
      <w:r>
        <w:rPr>
          <w:rFonts w:eastAsia="宋体"/>
          <w:color w:val="000000"/>
          <w:sz w:val="24"/>
          <w:szCs w:val="24"/>
        </w:rPr>
        <w:t>有关在监管提交文件中使用共识标准的更多信息，请参阅FDA指南，标题为</w:t>
      </w:r>
      <w:r>
        <w:rPr>
          <w:rFonts w:ascii="宋体" w:hAnsi="宋体" w:eastAsia="宋体"/>
          <w:color w:val="000000"/>
          <w:sz w:val="24"/>
          <w:szCs w:val="24"/>
        </w:rPr>
        <w:t>“</w:t>
      </w:r>
      <w:r>
        <w:rPr>
          <w:rFonts w:eastAsia="宋体"/>
          <w:color w:val="0000FF"/>
          <w:sz w:val="24"/>
          <w:szCs w:val="24"/>
          <w:u w:val="single"/>
        </w:rPr>
        <w:t>医疗器械上市前申请文件中自愿共识标准的适当使用-行业和美国食品药品管理局工作人员指南</w:t>
      </w:r>
      <w:r>
        <w:rPr>
          <w:rFonts w:eastAsia="宋体"/>
          <w:color w:val="0000FF"/>
          <w:sz w:val="24"/>
          <w:szCs w:val="24"/>
        </w:rPr>
        <w:t>。</w:t>
      </w:r>
      <w:r>
        <w:rPr>
          <w:rFonts w:ascii="宋体" w:hAnsi="宋体" w:eastAsia="宋体"/>
          <w:color w:val="000000"/>
          <w:sz w:val="24"/>
          <w:szCs w:val="24"/>
        </w:rPr>
        <w:t>”</w:t>
      </w:r>
      <w:r>
        <w:rPr>
          <w:rFonts w:eastAsia="宋体"/>
          <w:color w:val="000000"/>
          <w:sz w:val="24"/>
          <w:szCs w:val="24"/>
          <w:vertAlign w:val="superscript"/>
        </w:rPr>
        <w:footnoteReference w:id="3"/>
      </w:r>
    </w:p>
    <w:p w14:paraId="2321FFE1">
      <w:pPr>
        <w:shd w:val="clear" w:color="auto" w:fill="FFFFFF"/>
        <w:snapToGrid w:val="0"/>
        <w:jc w:val="both"/>
        <w:rPr>
          <w:rFonts w:eastAsia="宋体"/>
          <w:sz w:val="24"/>
          <w:szCs w:val="24"/>
        </w:rPr>
      </w:pPr>
    </w:p>
    <w:p w14:paraId="6A620D03">
      <w:pPr>
        <w:shd w:val="clear" w:color="auto" w:fill="FFFFFF"/>
        <w:snapToGrid w:val="0"/>
        <w:jc w:val="both"/>
        <w:rPr>
          <w:rFonts w:eastAsia="宋体"/>
          <w:sz w:val="24"/>
          <w:szCs w:val="24"/>
        </w:rPr>
      </w:pPr>
      <w:bookmarkStart w:id="8" w:name="bookmark2"/>
      <w:bookmarkEnd w:id="8"/>
      <w:r>
        <w:rPr>
          <w:rFonts w:eastAsia="宋体"/>
          <w:color w:val="000000"/>
          <w:sz w:val="24"/>
          <w:szCs w:val="24"/>
        </w:rPr>
        <w:t>本文件的内容不具有法律效力，除非明确纳入合同，否则不以任何方式约束公众。本文件仅用于向公众说明法律规定的现有要求。除非引用了具体的法规或法令要求，否则FDA指南文件（包括本指南）仅应该视为建议。</w:t>
      </w:r>
      <w:r>
        <w:rPr>
          <w:rFonts w:hint="eastAsia" w:ascii="宋体" w:hAnsi="宋体" w:eastAsia="宋体"/>
          <w:sz w:val="24"/>
        </w:rPr>
        <w:t>FDA指南中使用的“应该（should）”一词指建议或推荐进行某一事项，并非强制要求</w:t>
      </w:r>
      <w:r>
        <w:rPr>
          <w:rFonts w:hint="eastAsia" w:ascii="宋体" w:hAnsi="宋体" w:eastAsia="宋体"/>
          <w:color w:val="000000"/>
          <w:sz w:val="24"/>
          <w:szCs w:val="24"/>
        </w:rPr>
        <w:t>。</w:t>
      </w:r>
    </w:p>
    <w:p w14:paraId="4E9A27B9">
      <w:pPr>
        <w:pStyle w:val="2"/>
        <w:spacing w:before="240" w:after="240"/>
        <w:ind w:left="618" w:hanging="618"/>
        <w:rPr>
          <w:rFonts w:eastAsia="宋体"/>
        </w:rPr>
      </w:pPr>
      <w:bookmarkStart w:id="9" w:name="_Toc97494935"/>
      <w:r>
        <w:rPr>
          <w:rFonts w:eastAsia="宋体"/>
        </w:rPr>
        <w:t>II.</w:t>
      </w:r>
      <w:r>
        <w:rPr>
          <w:rFonts w:eastAsia="宋体"/>
        </w:rPr>
        <w:tab/>
      </w:r>
      <w:r>
        <w:rPr>
          <w:rFonts w:eastAsia="宋体"/>
        </w:rPr>
        <w:t>适用范围</w:t>
      </w:r>
      <w:bookmarkEnd w:id="9"/>
    </w:p>
    <w:p w14:paraId="0AF2B2CF">
      <w:pPr>
        <w:shd w:val="clear" w:color="auto" w:fill="FFFFFF"/>
        <w:snapToGrid w:val="0"/>
        <w:jc w:val="both"/>
        <w:rPr>
          <w:rFonts w:eastAsia="宋体"/>
          <w:color w:val="000000"/>
          <w:sz w:val="24"/>
          <w:szCs w:val="24"/>
        </w:rPr>
      </w:pPr>
      <w:r>
        <w:rPr>
          <w:rFonts w:eastAsia="宋体"/>
          <w:color w:val="000000"/>
          <w:sz w:val="24"/>
          <w:szCs w:val="24"/>
        </w:rPr>
        <w:t>本文件的适用范围仅限于与神经系统相连以恢复瘫痪或截肢患者的运动和/或感觉能力的植入式BCI器械。本指南为IDE可行性和关键临床研究的非临床试验和研究设计考虑提供了一般性建议。</w:t>
      </w:r>
    </w:p>
    <w:p w14:paraId="1BC2776F">
      <w:pPr>
        <w:shd w:val="clear" w:color="auto" w:fill="FFFFFF"/>
        <w:snapToGrid w:val="0"/>
        <w:jc w:val="both"/>
        <w:rPr>
          <w:rFonts w:eastAsia="宋体"/>
          <w:sz w:val="24"/>
          <w:szCs w:val="24"/>
        </w:rPr>
      </w:pPr>
    </w:p>
    <w:p w14:paraId="0E6C94B3">
      <w:pPr>
        <w:shd w:val="clear" w:color="auto" w:fill="FFFFFF"/>
        <w:snapToGrid w:val="0"/>
        <w:jc w:val="both"/>
        <w:rPr>
          <w:rFonts w:eastAsia="宋体"/>
          <w:sz w:val="24"/>
          <w:szCs w:val="24"/>
        </w:rPr>
      </w:pPr>
      <w:r>
        <w:rPr>
          <w:rFonts w:eastAsia="宋体"/>
          <w:color w:val="000000"/>
          <w:sz w:val="24"/>
          <w:szCs w:val="24"/>
        </w:rPr>
        <w:t>非临床试验方法可能不可用，或可能无法充分提供推进到正在开发的植入式BCI器械最终版本所需的信息。因此，如果贵司的器械仍在开发中，我们建议贵司考虑通过IDE进行早期可行性研究，以收集贵司的器械的早期临床评价，以提供原理和初始临床安全数据的证明。与所有临床研究一样，开始早期可行性研究必须通过适当的获益-风险分析和充分的人类受试者保护措施进行论证。有关贵司风险分析过程中执行的器械评价策略信息，请参考FDA指南文件</w:t>
      </w:r>
      <w:r>
        <w:rPr>
          <w:rFonts w:ascii="宋体" w:hAnsi="宋体" w:eastAsia="宋体"/>
          <w:color w:val="000000"/>
          <w:sz w:val="24"/>
          <w:szCs w:val="24"/>
        </w:rPr>
        <w:t>“</w:t>
      </w:r>
      <w:r>
        <w:rPr>
          <w:rFonts w:eastAsia="宋体"/>
          <w:color w:val="0000FF"/>
          <w:sz w:val="24"/>
          <w:szCs w:val="24"/>
          <w:u w:val="single"/>
        </w:rPr>
        <w:t>早期可行性医疗器械临床研究临床试验用器械豁免，包括某些首次用于人类（FIH）研究的器械</w:t>
      </w:r>
      <w:r>
        <w:rPr>
          <w:rFonts w:ascii="宋体" w:hAnsi="宋体"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4"/>
      </w:r>
      <w:r>
        <w:rPr>
          <w:rFonts w:eastAsia="宋体"/>
          <w:color w:val="000000"/>
          <w:sz w:val="24"/>
          <w:szCs w:val="24"/>
        </w:rPr>
        <w:t>。</w:t>
      </w:r>
    </w:p>
    <w:p w14:paraId="7691536B">
      <w:pPr>
        <w:shd w:val="clear" w:color="auto" w:fill="FFFFFF"/>
        <w:snapToGrid w:val="0"/>
        <w:jc w:val="both"/>
        <w:rPr>
          <w:rFonts w:eastAsia="宋体"/>
          <w:sz w:val="24"/>
          <w:szCs w:val="24"/>
        </w:rPr>
      </w:pPr>
    </w:p>
    <w:p w14:paraId="403A1925">
      <w:pPr>
        <w:shd w:val="clear" w:color="auto" w:fill="FFFFFF"/>
        <w:tabs>
          <w:tab w:val="left" w:pos="134"/>
        </w:tabs>
        <w:snapToGrid w:val="0"/>
        <w:jc w:val="both"/>
        <w:rPr>
          <w:rFonts w:eastAsia="宋体"/>
          <w:color w:val="000000"/>
          <w:sz w:val="21"/>
          <w:szCs w:val="21"/>
          <w:vertAlign w:val="superscript"/>
        </w:rPr>
      </w:pPr>
    </w:p>
    <w:p w14:paraId="0FE3823A">
      <w:pPr>
        <w:shd w:val="clear" w:color="auto" w:fill="FFFFFF"/>
        <w:tabs>
          <w:tab w:val="left" w:pos="134"/>
        </w:tabs>
        <w:snapToGrid w:val="0"/>
        <w:jc w:val="both"/>
        <w:rPr>
          <w:rFonts w:eastAsia="宋体"/>
          <w:sz w:val="21"/>
          <w:szCs w:val="21"/>
        </w:rPr>
      </w:pPr>
    </w:p>
    <w:p w14:paraId="2607A01F">
      <w:pPr>
        <w:shd w:val="clear" w:color="auto" w:fill="FFFFFF"/>
        <w:tabs>
          <w:tab w:val="left" w:pos="134"/>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D968FD2">
      <w:pPr>
        <w:shd w:val="clear" w:color="auto" w:fill="FFFFFF"/>
        <w:snapToGrid w:val="0"/>
        <w:jc w:val="both"/>
        <w:rPr>
          <w:rFonts w:eastAsia="宋体"/>
          <w:color w:val="000000"/>
          <w:sz w:val="24"/>
          <w:szCs w:val="24"/>
        </w:rPr>
      </w:pPr>
      <w:r>
        <w:rPr>
          <w:rFonts w:eastAsia="宋体"/>
          <w:color w:val="000000"/>
          <w:sz w:val="24"/>
          <w:szCs w:val="24"/>
        </w:rPr>
        <w:t>非植入BCI器械不在本指南范围内，因为非植入BCI器械的监管考虑可能与本指南文件中建议的有所不同，这取决于各个方面，例如但不限于技术特征和适应证/患者人群。对于非植入BCI器械的监管考虑，我们建议遵循Q申请流程。</w:t>
      </w:r>
    </w:p>
    <w:p w14:paraId="6418147F">
      <w:pPr>
        <w:shd w:val="clear" w:color="auto" w:fill="FFFFFF"/>
        <w:snapToGrid w:val="0"/>
        <w:jc w:val="both"/>
        <w:rPr>
          <w:rFonts w:eastAsia="宋体"/>
          <w:sz w:val="24"/>
          <w:szCs w:val="24"/>
        </w:rPr>
      </w:pPr>
    </w:p>
    <w:p w14:paraId="0AD74899">
      <w:pPr>
        <w:shd w:val="clear" w:color="auto" w:fill="FFFFFF"/>
        <w:snapToGrid w:val="0"/>
        <w:jc w:val="both"/>
        <w:rPr>
          <w:rFonts w:eastAsia="宋体"/>
          <w:sz w:val="24"/>
          <w:szCs w:val="24"/>
        </w:rPr>
      </w:pPr>
      <w:r>
        <w:rPr>
          <w:rFonts w:eastAsia="宋体"/>
          <w:color w:val="000000"/>
          <w:sz w:val="24"/>
          <w:szCs w:val="24"/>
        </w:rPr>
        <w:t>如果贵司的植入BCI器械包含本文件中未描述或引用的技术特征、组件或适应证/患者人群，我们还建议贵司提交预申请，以寻求FDA反馈。</w:t>
      </w:r>
    </w:p>
    <w:p w14:paraId="0008BDBF">
      <w:pPr>
        <w:pStyle w:val="2"/>
        <w:spacing w:before="240" w:after="240"/>
        <w:ind w:left="618" w:hanging="618"/>
        <w:rPr>
          <w:rFonts w:eastAsia="宋体"/>
        </w:rPr>
      </w:pPr>
      <w:bookmarkStart w:id="10" w:name="bookmark3"/>
      <w:bookmarkStart w:id="11" w:name="_Toc97494936"/>
      <w:r>
        <w:rPr>
          <w:rFonts w:eastAsia="宋体"/>
        </w:rPr>
        <w:t>I</w:t>
      </w:r>
      <w:bookmarkEnd w:id="10"/>
      <w:r>
        <w:rPr>
          <w:rFonts w:eastAsia="宋体"/>
        </w:rPr>
        <w:t>II.</w:t>
      </w:r>
      <w:r>
        <w:rPr>
          <w:rFonts w:eastAsia="宋体"/>
        </w:rPr>
        <w:tab/>
      </w:r>
      <w:r>
        <w:rPr>
          <w:rFonts w:hint="eastAsia" w:eastAsia="宋体"/>
        </w:rPr>
        <w:t>预申报和IDE</w:t>
      </w:r>
      <w:r>
        <w:rPr>
          <w:rFonts w:eastAsia="宋体"/>
        </w:rPr>
        <w:t>建议</w:t>
      </w:r>
      <w:bookmarkEnd w:id="11"/>
    </w:p>
    <w:p w14:paraId="6A6409A6">
      <w:pPr>
        <w:pStyle w:val="3"/>
        <w:spacing w:before="240" w:after="240"/>
      </w:pPr>
      <w:bookmarkStart w:id="12" w:name="_Toc97494937"/>
      <w:r>
        <w:t>A.</w:t>
      </w:r>
      <w:r>
        <w:tab/>
      </w:r>
      <w:r>
        <w:t>器械描述</w:t>
      </w:r>
      <w:bookmarkEnd w:id="12"/>
    </w:p>
    <w:p w14:paraId="1AD3072A">
      <w:pPr>
        <w:shd w:val="clear" w:color="auto" w:fill="FFFFFF"/>
        <w:snapToGrid w:val="0"/>
        <w:jc w:val="both"/>
        <w:rPr>
          <w:rFonts w:eastAsia="宋体"/>
          <w:color w:val="000000"/>
          <w:sz w:val="24"/>
          <w:szCs w:val="24"/>
        </w:rPr>
      </w:pPr>
      <w:r>
        <w:rPr>
          <w:rFonts w:eastAsia="宋体"/>
          <w:color w:val="000000"/>
          <w:sz w:val="24"/>
          <w:szCs w:val="24"/>
        </w:rPr>
        <w:t>我局建议贵司包括下列器械描述性信息。</w:t>
      </w:r>
    </w:p>
    <w:p w14:paraId="2CC69FEA">
      <w:pPr>
        <w:shd w:val="clear" w:color="auto" w:fill="FFFFFF"/>
        <w:snapToGrid w:val="0"/>
        <w:jc w:val="both"/>
        <w:rPr>
          <w:rFonts w:eastAsia="宋体"/>
          <w:sz w:val="24"/>
          <w:szCs w:val="24"/>
        </w:rPr>
      </w:pPr>
    </w:p>
    <w:p w14:paraId="5AF19CB0">
      <w:pPr>
        <w:shd w:val="clear" w:color="auto" w:fill="FFFFFF"/>
        <w:snapToGrid w:val="0"/>
        <w:ind w:left="660" w:leftChars="150" w:hanging="360" w:hangingChars="150"/>
        <w:jc w:val="both"/>
        <w:rPr>
          <w:rFonts w:eastAsia="宋体"/>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器械每个模块的完整描述。例如，BCI系统通常由各种模块组成，包括但不限于以下模块：</w:t>
      </w:r>
    </w:p>
    <w:p w14:paraId="0214ED20">
      <w:pPr>
        <w:shd w:val="clear" w:color="auto" w:fill="FFFFFF"/>
        <w:snapToGrid w:val="0"/>
        <w:ind w:left="929" w:leftChars="307" w:hanging="315"/>
        <w:jc w:val="both"/>
        <w:rPr>
          <w:rFonts w:eastAsia="宋体"/>
          <w:color w:val="000000"/>
          <w:sz w:val="24"/>
          <w:szCs w:val="24"/>
        </w:rPr>
      </w:pPr>
    </w:p>
    <w:p w14:paraId="77D9884A">
      <w:pPr>
        <w:shd w:val="clear" w:color="auto" w:fill="FFFFFF"/>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信号采集（例如电极导线和记录电极）；</w:t>
      </w:r>
    </w:p>
    <w:p w14:paraId="6F4E6A68">
      <w:pPr>
        <w:shd w:val="clear" w:color="auto" w:fill="FFFFFF"/>
        <w:snapToGrid w:val="0"/>
        <w:ind w:left="929" w:leftChars="307" w:hanging="315"/>
        <w:jc w:val="both"/>
        <w:rPr>
          <w:rFonts w:eastAsia="宋体"/>
          <w:color w:val="000000"/>
          <w:sz w:val="24"/>
          <w:szCs w:val="24"/>
        </w:rPr>
      </w:pPr>
    </w:p>
    <w:p w14:paraId="2E54FB5D">
      <w:pPr>
        <w:shd w:val="clear" w:color="auto" w:fill="FFFFFF"/>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信号处理，包括解码和编码信号以及提供刺激（在某些情况下）的软件和相关硬件；</w:t>
      </w:r>
    </w:p>
    <w:p w14:paraId="0D3BE1B3">
      <w:pPr>
        <w:shd w:val="clear" w:color="auto" w:fill="FFFFFF"/>
        <w:snapToGrid w:val="0"/>
        <w:ind w:left="929" w:leftChars="307" w:hanging="315"/>
        <w:jc w:val="both"/>
        <w:rPr>
          <w:rFonts w:eastAsia="宋体"/>
          <w:color w:val="000000"/>
          <w:sz w:val="24"/>
          <w:szCs w:val="24"/>
        </w:rPr>
      </w:pPr>
    </w:p>
    <w:p w14:paraId="4D4E4B5F">
      <w:pPr>
        <w:shd w:val="clear" w:color="auto" w:fill="FFFFFF"/>
        <w:snapToGrid w:val="0"/>
        <w:ind w:left="929" w:leftChars="307"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刺激输送（</w:t>
      </w:r>
      <w:r>
        <w:rPr>
          <w:rFonts w:hint="eastAsia" w:eastAsia="宋体"/>
          <w:color w:val="000000"/>
          <w:sz w:val="24"/>
          <w:szCs w:val="24"/>
        </w:rPr>
        <w:t>内部</w:t>
      </w:r>
      <w:r>
        <w:rPr>
          <w:rFonts w:eastAsia="宋体"/>
          <w:color w:val="000000"/>
          <w:sz w:val="24"/>
          <w:szCs w:val="24"/>
        </w:rPr>
        <w:t>/外部刺激器和刺激电极）；</w:t>
      </w:r>
    </w:p>
    <w:p w14:paraId="4FAE4FF5">
      <w:pPr>
        <w:shd w:val="clear" w:color="auto" w:fill="FFFFFF"/>
        <w:snapToGrid w:val="0"/>
        <w:ind w:left="929" w:leftChars="307" w:hanging="315"/>
        <w:jc w:val="both"/>
        <w:rPr>
          <w:rFonts w:eastAsia="宋体"/>
          <w:color w:val="000000"/>
          <w:sz w:val="24"/>
          <w:szCs w:val="24"/>
        </w:rPr>
      </w:pPr>
    </w:p>
    <w:p w14:paraId="6D3E38AD">
      <w:pPr>
        <w:shd w:val="clear" w:color="auto" w:fill="FFFFFF"/>
        <w:snapToGrid w:val="0"/>
        <w:ind w:left="929" w:leftChars="307" w:hanging="315"/>
        <w:jc w:val="both"/>
        <w:rPr>
          <w:rFonts w:eastAsia="宋体"/>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rPr>
        <w:t>辅助受动器组件（例如，假肢、轮椅、应用于完整肢体、外骨骼或机器人系统的功能性电刺激器，或通信器械和计算机）；</w:t>
      </w:r>
    </w:p>
    <w:p w14:paraId="07113A6A">
      <w:pPr>
        <w:shd w:val="clear" w:color="auto" w:fill="FFFFFF"/>
        <w:snapToGrid w:val="0"/>
        <w:jc w:val="both"/>
        <w:rPr>
          <w:rFonts w:eastAsia="宋体"/>
          <w:sz w:val="24"/>
          <w:szCs w:val="24"/>
        </w:rPr>
      </w:pPr>
    </w:p>
    <w:p w14:paraId="3AFAA7D6">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D05807A">
      <w:pPr>
        <w:shd w:val="clear" w:color="auto" w:fill="FFFFFF"/>
        <w:snapToGrid w:val="0"/>
        <w:ind w:left="929" w:leftChars="307" w:hanging="315"/>
        <w:jc w:val="both"/>
        <w:rPr>
          <w:rFonts w:eastAsia="宋体"/>
          <w:sz w:val="24"/>
          <w:szCs w:val="24"/>
        </w:rPr>
      </w:pPr>
      <w:r>
        <w:rPr>
          <w:rFonts w:eastAsia="宋体"/>
          <w:color w:val="000000"/>
          <w:sz w:val="24"/>
          <w:szCs w:val="24"/>
        </w:rPr>
        <w:t>e.</w:t>
      </w:r>
      <w:r>
        <w:rPr>
          <w:rFonts w:eastAsia="宋体"/>
          <w:color w:val="000000"/>
          <w:sz w:val="24"/>
          <w:szCs w:val="24"/>
        </w:rPr>
        <w:tab/>
      </w:r>
      <w:r>
        <w:rPr>
          <w:rFonts w:eastAsia="宋体"/>
          <w:color w:val="000000"/>
          <w:sz w:val="24"/>
          <w:szCs w:val="24"/>
        </w:rPr>
        <w:t>用于神经反馈的传感器组件（例如，用于恢复触摸或报告其他信息的传感器），如适用；以及</w:t>
      </w:r>
    </w:p>
    <w:p w14:paraId="171EA9F4">
      <w:pPr>
        <w:shd w:val="clear" w:color="auto" w:fill="FFFFFF"/>
        <w:snapToGrid w:val="0"/>
        <w:ind w:left="929" w:leftChars="307" w:hanging="315"/>
        <w:jc w:val="both"/>
        <w:rPr>
          <w:rFonts w:eastAsia="宋体"/>
          <w:color w:val="000000"/>
          <w:sz w:val="24"/>
          <w:szCs w:val="24"/>
        </w:rPr>
      </w:pPr>
    </w:p>
    <w:p w14:paraId="0E6AC31F">
      <w:pPr>
        <w:shd w:val="clear" w:color="auto" w:fill="FFFFFF"/>
        <w:snapToGrid w:val="0"/>
        <w:ind w:left="929" w:leftChars="307" w:hanging="315"/>
        <w:jc w:val="both"/>
        <w:rPr>
          <w:rFonts w:eastAsia="宋体"/>
          <w:sz w:val="24"/>
          <w:szCs w:val="24"/>
        </w:rPr>
      </w:pPr>
      <w:r>
        <w:rPr>
          <w:rFonts w:eastAsia="宋体"/>
          <w:color w:val="000000"/>
          <w:sz w:val="24"/>
          <w:szCs w:val="24"/>
        </w:rPr>
        <w:t>f.</w:t>
      </w:r>
      <w:r>
        <w:rPr>
          <w:rFonts w:eastAsia="宋体"/>
          <w:color w:val="000000"/>
          <w:sz w:val="24"/>
          <w:szCs w:val="24"/>
        </w:rPr>
        <w:tab/>
      </w:r>
      <w:r>
        <w:rPr>
          <w:rFonts w:eastAsia="宋体"/>
          <w:color w:val="000000"/>
          <w:sz w:val="24"/>
          <w:szCs w:val="24"/>
        </w:rPr>
        <w:t>由控制功能的操作方案组成的编程模块，如打开和关闭器械以及在各种输出和程序之间切换。</w:t>
      </w:r>
    </w:p>
    <w:p w14:paraId="30CC28B2">
      <w:pPr>
        <w:shd w:val="clear" w:color="auto" w:fill="FFFFFF"/>
        <w:snapToGrid w:val="0"/>
        <w:ind w:left="660" w:leftChars="150" w:hanging="360" w:hangingChars="150"/>
        <w:jc w:val="both"/>
        <w:rPr>
          <w:rFonts w:eastAsia="宋体"/>
          <w:color w:val="000000"/>
          <w:sz w:val="24"/>
          <w:szCs w:val="24"/>
        </w:rPr>
      </w:pPr>
    </w:p>
    <w:p w14:paraId="2342037E">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BCI器械作为整体系统，总体概述包括不同模块如何配置成整体系统的描述，以及（如适用）不同系统配置的描述（例如程控、校准或测试配置）。</w:t>
      </w:r>
    </w:p>
    <w:p w14:paraId="368CAF8C">
      <w:pPr>
        <w:shd w:val="clear" w:color="auto" w:fill="FFFFFF"/>
        <w:snapToGrid w:val="0"/>
        <w:ind w:left="660" w:leftChars="150" w:hanging="360" w:hangingChars="150"/>
        <w:jc w:val="both"/>
        <w:rPr>
          <w:rFonts w:eastAsia="宋体"/>
          <w:color w:val="000000"/>
          <w:sz w:val="24"/>
          <w:szCs w:val="24"/>
        </w:rPr>
      </w:pPr>
    </w:p>
    <w:p w14:paraId="4E375F3B">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器械关键组件的完整描述，包括其功能、相关型号、材料、位置（植入式或外部组件）和尺寸，或用户需要知道正确使用器械的尺寸。如果之前已获得批准或许可上市，则应提供上市前申请编号（即510（k），PMA编号）以及对已批准或许可上市器械的修改说明。建议提高特定关键组件的以下信息：</w:t>
      </w:r>
    </w:p>
    <w:p w14:paraId="3D4D3E50">
      <w:pPr>
        <w:shd w:val="clear" w:color="auto" w:fill="FFFFFF"/>
        <w:snapToGrid w:val="0"/>
        <w:ind w:left="929" w:leftChars="307" w:hanging="315"/>
        <w:jc w:val="both"/>
        <w:rPr>
          <w:rFonts w:eastAsia="宋体"/>
          <w:color w:val="000000"/>
          <w:sz w:val="24"/>
          <w:szCs w:val="24"/>
        </w:rPr>
      </w:pPr>
    </w:p>
    <w:p w14:paraId="575C61C5">
      <w:pPr>
        <w:shd w:val="clear" w:color="auto" w:fill="FFFFFF"/>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u w:val="single"/>
        </w:rPr>
        <w:t>电极导线和连接电缆</w:t>
      </w:r>
      <w:r>
        <w:rPr>
          <w:rFonts w:eastAsia="宋体"/>
          <w:color w:val="000000"/>
          <w:sz w:val="24"/>
          <w:szCs w:val="24"/>
        </w:rPr>
        <w:t>：电极导线和连接电缆应提供以下描述性信息：</w:t>
      </w:r>
    </w:p>
    <w:p w14:paraId="0E1FB330">
      <w:pPr>
        <w:shd w:val="clear" w:color="auto" w:fill="FFFFFF"/>
        <w:snapToGrid w:val="0"/>
        <w:ind w:left="1275" w:leftChars="480" w:hanging="315"/>
        <w:jc w:val="both"/>
        <w:rPr>
          <w:rFonts w:eastAsia="宋体"/>
          <w:color w:val="000000"/>
          <w:sz w:val="24"/>
          <w:szCs w:val="24"/>
        </w:rPr>
      </w:pPr>
    </w:p>
    <w:p w14:paraId="7129EC23">
      <w:pPr>
        <w:shd w:val="clear" w:color="auto" w:fill="FFFFFF"/>
        <w:snapToGrid w:val="0"/>
        <w:ind w:left="1644" w:leftChars="480" w:hanging="684" w:hangingChars="285"/>
        <w:jc w:val="both"/>
        <w:rPr>
          <w:rFonts w:eastAsia="宋体"/>
          <w:color w:val="000000" w:themeColor="text1"/>
          <w:sz w:val="24"/>
          <w:szCs w:val="24"/>
        </w:rPr>
      </w:pPr>
      <w:r>
        <w:rPr>
          <w:rFonts w:eastAsia="宋体"/>
          <w:color w:val="000000" w:themeColor="text1"/>
          <w:sz w:val="24"/>
          <w:szCs w:val="24"/>
        </w:rPr>
        <w:t>(i)</w:t>
      </w:r>
      <w:r>
        <w:rPr>
          <w:rFonts w:eastAsia="宋体"/>
          <w:color w:val="000000" w:themeColor="text1"/>
          <w:sz w:val="24"/>
          <w:szCs w:val="24"/>
        </w:rPr>
        <w:tab/>
      </w:r>
      <w:r>
        <w:rPr>
          <w:rFonts w:eastAsia="宋体"/>
          <w:color w:val="000000" w:themeColor="text1"/>
          <w:sz w:val="24"/>
          <w:szCs w:val="24"/>
        </w:rPr>
        <w:t>电极导线和电缆数量；</w:t>
      </w:r>
    </w:p>
    <w:p w14:paraId="7054E14A">
      <w:pPr>
        <w:shd w:val="clear" w:color="auto" w:fill="FFFFFF"/>
        <w:snapToGrid w:val="0"/>
        <w:ind w:left="1644" w:leftChars="480" w:hanging="684" w:hangingChars="285"/>
        <w:jc w:val="both"/>
        <w:rPr>
          <w:rFonts w:eastAsia="宋体"/>
          <w:color w:val="000000" w:themeColor="text1"/>
          <w:sz w:val="24"/>
          <w:szCs w:val="24"/>
        </w:rPr>
      </w:pPr>
      <w:r>
        <w:rPr>
          <w:rFonts w:eastAsia="宋体"/>
          <w:color w:val="000000" w:themeColor="text1"/>
          <w:sz w:val="24"/>
          <w:szCs w:val="24"/>
        </w:rPr>
        <w:t>(ii)</w:t>
      </w:r>
      <w:r>
        <w:rPr>
          <w:rFonts w:eastAsia="宋体"/>
          <w:color w:val="000000" w:themeColor="text1"/>
          <w:sz w:val="24"/>
          <w:szCs w:val="24"/>
        </w:rPr>
        <w:tab/>
      </w:r>
      <w:r>
        <w:rPr>
          <w:rFonts w:eastAsia="宋体"/>
          <w:color w:val="000000" w:themeColor="text1"/>
          <w:sz w:val="24"/>
          <w:szCs w:val="24"/>
        </w:rPr>
        <w:t>绝缘和导体材料；</w:t>
      </w:r>
    </w:p>
    <w:p w14:paraId="0353C75A">
      <w:pPr>
        <w:shd w:val="clear" w:color="auto" w:fill="FFFFFF"/>
        <w:snapToGrid w:val="0"/>
        <w:ind w:left="1644" w:leftChars="480" w:hanging="684" w:hangingChars="285"/>
        <w:jc w:val="both"/>
        <w:rPr>
          <w:rFonts w:eastAsia="宋体"/>
          <w:color w:val="000000" w:themeColor="text1"/>
          <w:sz w:val="24"/>
          <w:szCs w:val="24"/>
        </w:rPr>
      </w:pPr>
      <w:r>
        <w:rPr>
          <w:rFonts w:eastAsia="宋体"/>
          <w:color w:val="000000" w:themeColor="text1"/>
          <w:sz w:val="24"/>
          <w:szCs w:val="24"/>
        </w:rPr>
        <w:t>(iii)</w:t>
      </w:r>
      <w:r>
        <w:rPr>
          <w:rFonts w:eastAsia="宋体"/>
          <w:color w:val="000000" w:themeColor="text1"/>
          <w:sz w:val="24"/>
          <w:szCs w:val="24"/>
        </w:rPr>
        <w:tab/>
      </w:r>
      <w:r>
        <w:rPr>
          <w:rFonts w:eastAsia="宋体"/>
          <w:color w:val="000000" w:themeColor="text1"/>
          <w:sz w:val="24"/>
          <w:szCs w:val="24"/>
        </w:rPr>
        <w:t>长度；</w:t>
      </w:r>
    </w:p>
    <w:p w14:paraId="401377BA">
      <w:pPr>
        <w:shd w:val="clear" w:color="auto" w:fill="FFFFFF"/>
        <w:snapToGrid w:val="0"/>
        <w:ind w:left="1644" w:leftChars="480" w:hanging="684" w:hangingChars="285"/>
        <w:jc w:val="both"/>
        <w:rPr>
          <w:rFonts w:eastAsia="宋体"/>
          <w:color w:val="000000" w:themeColor="text1"/>
          <w:sz w:val="24"/>
          <w:szCs w:val="24"/>
        </w:rPr>
      </w:pPr>
      <w:r>
        <w:rPr>
          <w:rFonts w:eastAsia="宋体"/>
          <w:color w:val="000000" w:themeColor="text1"/>
          <w:sz w:val="24"/>
          <w:szCs w:val="24"/>
        </w:rPr>
        <w:t>(iv)</w:t>
      </w:r>
      <w:r>
        <w:rPr>
          <w:rFonts w:eastAsia="宋体"/>
          <w:color w:val="000000" w:themeColor="text1"/>
          <w:sz w:val="24"/>
          <w:szCs w:val="24"/>
        </w:rPr>
        <w:tab/>
      </w:r>
      <w:r>
        <w:rPr>
          <w:rFonts w:eastAsia="宋体"/>
          <w:color w:val="000000" w:themeColor="text1"/>
          <w:sz w:val="24"/>
          <w:szCs w:val="24"/>
        </w:rPr>
        <w:t>直径；</w:t>
      </w:r>
    </w:p>
    <w:p w14:paraId="45E4DE9C">
      <w:pPr>
        <w:shd w:val="clear" w:color="auto" w:fill="FFFFFF"/>
        <w:snapToGrid w:val="0"/>
        <w:ind w:left="1644" w:leftChars="480" w:hanging="684" w:hangingChars="285"/>
        <w:jc w:val="both"/>
        <w:rPr>
          <w:rFonts w:eastAsia="宋体"/>
          <w:color w:val="000000" w:themeColor="text1"/>
          <w:sz w:val="24"/>
          <w:szCs w:val="24"/>
        </w:rPr>
      </w:pPr>
      <w:r>
        <w:rPr>
          <w:rFonts w:eastAsia="宋体"/>
          <w:color w:val="000000" w:themeColor="text1"/>
          <w:sz w:val="24"/>
          <w:szCs w:val="24"/>
        </w:rPr>
        <w:t>(v)</w:t>
      </w:r>
      <w:r>
        <w:rPr>
          <w:rFonts w:eastAsia="宋体"/>
          <w:color w:val="000000" w:themeColor="text1"/>
          <w:sz w:val="24"/>
          <w:szCs w:val="24"/>
        </w:rPr>
        <w:tab/>
      </w:r>
      <w:r>
        <w:rPr>
          <w:rFonts w:eastAsia="宋体"/>
          <w:color w:val="000000" w:themeColor="text1"/>
          <w:sz w:val="24"/>
          <w:szCs w:val="24"/>
        </w:rPr>
        <w:t>阻抗；</w:t>
      </w:r>
    </w:p>
    <w:p w14:paraId="783CCE73">
      <w:pPr>
        <w:shd w:val="clear" w:color="auto" w:fill="FFFFFF"/>
        <w:snapToGrid w:val="0"/>
        <w:ind w:left="1644" w:leftChars="480" w:hanging="684" w:hangingChars="285"/>
        <w:jc w:val="both"/>
        <w:rPr>
          <w:rFonts w:eastAsia="宋体"/>
          <w:color w:val="000000" w:themeColor="text1"/>
          <w:sz w:val="24"/>
          <w:szCs w:val="24"/>
        </w:rPr>
      </w:pPr>
      <w:r>
        <w:rPr>
          <w:rFonts w:eastAsia="宋体"/>
          <w:color w:val="000000" w:themeColor="text1"/>
          <w:sz w:val="24"/>
          <w:szCs w:val="24"/>
        </w:rPr>
        <w:t>(vi)</w:t>
      </w:r>
      <w:r>
        <w:rPr>
          <w:rFonts w:eastAsia="宋体"/>
          <w:color w:val="000000" w:themeColor="text1"/>
          <w:sz w:val="24"/>
          <w:szCs w:val="24"/>
        </w:rPr>
        <w:tab/>
      </w:r>
      <w:r>
        <w:rPr>
          <w:rFonts w:eastAsia="宋体"/>
          <w:color w:val="000000" w:themeColor="text1"/>
          <w:sz w:val="24"/>
          <w:szCs w:val="24"/>
        </w:rPr>
        <w:t>连接器；</w:t>
      </w:r>
    </w:p>
    <w:p w14:paraId="4FC9126E">
      <w:pPr>
        <w:shd w:val="clear" w:color="auto" w:fill="FFFFFF"/>
        <w:snapToGrid w:val="0"/>
        <w:ind w:left="1644" w:leftChars="480" w:hanging="684" w:hangingChars="285"/>
        <w:jc w:val="both"/>
        <w:rPr>
          <w:rFonts w:eastAsia="宋体"/>
          <w:color w:val="000000"/>
          <w:sz w:val="24"/>
          <w:szCs w:val="24"/>
        </w:rPr>
      </w:pPr>
      <w:r>
        <w:rPr>
          <w:rFonts w:eastAsia="宋体"/>
          <w:color w:val="000000" w:themeColor="text1"/>
          <w:sz w:val="24"/>
          <w:szCs w:val="24"/>
        </w:rPr>
        <w:t>(vii)</w:t>
      </w:r>
      <w:r>
        <w:rPr>
          <w:rFonts w:eastAsia="宋体"/>
          <w:color w:val="000000" w:themeColor="text1"/>
          <w:sz w:val="24"/>
          <w:szCs w:val="24"/>
        </w:rPr>
        <w:tab/>
      </w:r>
      <w:r>
        <w:rPr>
          <w:rFonts w:eastAsia="宋体"/>
          <w:color w:val="000000" w:themeColor="text1"/>
          <w:sz w:val="24"/>
          <w:szCs w:val="24"/>
        </w:rPr>
        <w:t>电极导线/电缆中的导体数量和方向（例如与电极导线本体平行，盘绕在电极导线本体内）；</w:t>
      </w:r>
    </w:p>
    <w:p w14:paraId="6FD4DB27">
      <w:pPr>
        <w:shd w:val="clear" w:color="auto" w:fill="FFFFFF"/>
        <w:snapToGrid w:val="0"/>
        <w:ind w:left="1644" w:leftChars="480" w:hanging="684" w:hangingChars="285"/>
        <w:jc w:val="both"/>
        <w:rPr>
          <w:rFonts w:eastAsia="宋体"/>
          <w:sz w:val="24"/>
          <w:szCs w:val="24"/>
        </w:rPr>
      </w:pPr>
      <w:r>
        <w:rPr>
          <w:rFonts w:eastAsia="宋体"/>
          <w:color w:val="000000"/>
          <w:sz w:val="24"/>
          <w:szCs w:val="24"/>
        </w:rPr>
        <w:t>(viii)</w:t>
      </w:r>
      <w:r>
        <w:rPr>
          <w:rFonts w:eastAsia="宋体"/>
          <w:color w:val="000000"/>
          <w:sz w:val="24"/>
          <w:szCs w:val="24"/>
        </w:rPr>
        <w:tab/>
      </w:r>
      <w:r>
        <w:rPr>
          <w:rFonts w:eastAsia="宋体"/>
          <w:color w:val="000000"/>
          <w:sz w:val="24"/>
          <w:szCs w:val="24"/>
        </w:rPr>
        <w:t>固定方法和应力释放件。</w:t>
      </w:r>
    </w:p>
    <w:p w14:paraId="53E85529">
      <w:pPr>
        <w:shd w:val="clear" w:color="auto" w:fill="FFFFFF"/>
        <w:snapToGrid w:val="0"/>
        <w:ind w:left="929" w:leftChars="307" w:hanging="315"/>
        <w:jc w:val="both"/>
        <w:rPr>
          <w:rFonts w:eastAsia="宋体"/>
          <w:color w:val="000000"/>
          <w:sz w:val="24"/>
          <w:szCs w:val="24"/>
        </w:rPr>
      </w:pPr>
    </w:p>
    <w:p w14:paraId="1317F89D">
      <w:pPr>
        <w:shd w:val="clear" w:color="auto" w:fill="FFFFFF"/>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u w:val="single"/>
        </w:rPr>
        <w:t>电极</w:t>
      </w:r>
      <w:r>
        <w:rPr>
          <w:rFonts w:eastAsia="宋体"/>
          <w:color w:val="000000"/>
          <w:sz w:val="24"/>
          <w:szCs w:val="24"/>
        </w:rPr>
        <w:t>：电极应提供以下描述性信息：</w:t>
      </w:r>
    </w:p>
    <w:p w14:paraId="19A95609">
      <w:pPr>
        <w:shd w:val="clear" w:color="auto" w:fill="FFFFFF"/>
        <w:snapToGrid w:val="0"/>
        <w:ind w:left="1644" w:leftChars="480" w:hanging="684" w:hangingChars="285"/>
        <w:jc w:val="both"/>
        <w:rPr>
          <w:rFonts w:eastAsia="宋体"/>
          <w:color w:val="000000"/>
          <w:sz w:val="24"/>
          <w:szCs w:val="24"/>
        </w:rPr>
      </w:pPr>
    </w:p>
    <w:p w14:paraId="10565730">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w:t>
      </w:r>
      <w:r>
        <w:rPr>
          <w:rFonts w:eastAsia="宋体"/>
          <w:color w:val="000000"/>
          <w:sz w:val="24"/>
          <w:szCs w:val="24"/>
        </w:rPr>
        <w:tab/>
      </w:r>
      <w:r>
        <w:rPr>
          <w:rFonts w:eastAsia="宋体"/>
          <w:color w:val="000000"/>
          <w:sz w:val="24"/>
          <w:szCs w:val="24"/>
        </w:rPr>
        <w:t>材料（包括所有涂层或表面处理）；</w:t>
      </w:r>
    </w:p>
    <w:p w14:paraId="5B5B7D97">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w:t>
      </w:r>
      <w:r>
        <w:rPr>
          <w:rFonts w:eastAsia="宋体"/>
          <w:color w:val="000000"/>
          <w:sz w:val="24"/>
          <w:szCs w:val="24"/>
        </w:rPr>
        <w:tab/>
      </w:r>
      <w:r>
        <w:rPr>
          <w:rFonts w:eastAsia="宋体"/>
          <w:color w:val="000000"/>
          <w:sz w:val="24"/>
          <w:szCs w:val="24"/>
        </w:rPr>
        <w:t>长度；</w:t>
      </w:r>
    </w:p>
    <w:p w14:paraId="5FEDE9B0">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(iii)</w:t>
      </w:r>
      <w:r>
        <w:rPr>
          <w:rFonts w:eastAsia="宋体"/>
          <w:color w:val="000000"/>
          <w:sz w:val="24"/>
          <w:szCs w:val="24"/>
        </w:rPr>
        <w:tab/>
      </w:r>
      <w:r>
        <w:rPr>
          <w:rFonts w:eastAsia="宋体"/>
          <w:color w:val="000000"/>
          <w:sz w:val="24"/>
          <w:szCs w:val="24"/>
        </w:rPr>
        <w:t>直径；</w:t>
      </w:r>
    </w:p>
    <w:p w14:paraId="452AEAFD">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(iv)</w:t>
      </w:r>
      <w:r>
        <w:rPr>
          <w:rFonts w:eastAsia="宋体"/>
          <w:color w:val="000000"/>
          <w:sz w:val="24"/>
          <w:szCs w:val="24"/>
        </w:rPr>
        <w:tab/>
      </w:r>
      <w:r>
        <w:rPr>
          <w:rFonts w:eastAsia="宋体"/>
          <w:color w:val="000000"/>
          <w:sz w:val="24"/>
          <w:szCs w:val="24"/>
        </w:rPr>
        <w:t>电极几何结构（例如卷边、平面、深度）和电极接触表面积；</w:t>
      </w:r>
    </w:p>
    <w:p w14:paraId="1A85D4E3">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w:t>
      </w:r>
      <w:r>
        <w:rPr>
          <w:rFonts w:eastAsia="宋体"/>
          <w:color w:val="000000"/>
          <w:sz w:val="24"/>
          <w:szCs w:val="24"/>
        </w:rPr>
        <w:tab/>
      </w:r>
      <w:r>
        <w:rPr>
          <w:rFonts w:eastAsia="宋体"/>
          <w:color w:val="000000"/>
          <w:sz w:val="24"/>
          <w:szCs w:val="24"/>
        </w:rPr>
        <w:t>电极/电极触点数量；</w:t>
      </w:r>
    </w:p>
    <w:p w14:paraId="1B44CE4D">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(vi)</w:t>
      </w:r>
      <w:r>
        <w:rPr>
          <w:rFonts w:eastAsia="宋体"/>
          <w:color w:val="000000"/>
          <w:sz w:val="24"/>
          <w:szCs w:val="24"/>
        </w:rPr>
        <w:tab/>
      </w:r>
      <w:r>
        <w:rPr>
          <w:rFonts w:eastAsia="宋体"/>
          <w:color w:val="000000"/>
          <w:sz w:val="24"/>
          <w:szCs w:val="24"/>
        </w:rPr>
        <w:t>电极间距；</w:t>
      </w:r>
    </w:p>
    <w:p w14:paraId="39AB1E8A">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(vii)</w:t>
      </w:r>
      <w:r>
        <w:rPr>
          <w:rFonts w:eastAsia="宋体"/>
          <w:color w:val="000000"/>
          <w:sz w:val="24"/>
          <w:szCs w:val="24"/>
        </w:rPr>
        <w:tab/>
      </w:r>
      <w:r>
        <w:rPr>
          <w:rFonts w:eastAsia="宋体"/>
          <w:color w:val="000000"/>
          <w:sz w:val="24"/>
          <w:szCs w:val="24"/>
        </w:rPr>
        <w:t>电极跨距（从近端电极最近端边缘到远端电极远端边缘）；</w:t>
      </w:r>
    </w:p>
    <w:p w14:paraId="74BF614E">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(viii)</w:t>
      </w:r>
      <w:r>
        <w:rPr>
          <w:rFonts w:eastAsia="宋体"/>
          <w:color w:val="000000"/>
          <w:sz w:val="24"/>
          <w:szCs w:val="24"/>
        </w:rPr>
        <w:tab/>
      </w:r>
      <w:r>
        <w:rPr>
          <w:rFonts w:eastAsia="宋体"/>
          <w:color w:val="000000"/>
          <w:sz w:val="24"/>
          <w:szCs w:val="24"/>
        </w:rPr>
        <w:t>植入物位置（脑区、特定周围神经、肌群、脊髓、外部）；和</w:t>
      </w:r>
    </w:p>
    <w:p w14:paraId="6D04F0FC">
      <w:pPr>
        <w:shd w:val="clear" w:color="auto" w:fill="FFFFFF"/>
        <w:snapToGrid w:val="0"/>
        <w:ind w:left="1644" w:leftChars="480" w:hanging="684" w:hangingChars="285"/>
        <w:jc w:val="both"/>
        <w:rPr>
          <w:rFonts w:eastAsia="宋体"/>
          <w:sz w:val="24"/>
          <w:szCs w:val="24"/>
        </w:rPr>
      </w:pPr>
      <w:r>
        <w:rPr>
          <w:rFonts w:hint="eastAsia" w:eastAsia="宋体"/>
          <w:color w:val="000000"/>
          <w:sz w:val="24"/>
          <w:szCs w:val="24"/>
        </w:rPr>
        <w:t>(</w:t>
      </w:r>
      <w:r>
        <w:rPr>
          <w:rFonts w:eastAsia="宋体"/>
          <w:color w:val="000000"/>
          <w:sz w:val="24"/>
          <w:szCs w:val="24"/>
        </w:rPr>
        <w:t>ix</w:t>
      </w:r>
      <w:r>
        <w:rPr>
          <w:rFonts w:hint="eastAsia" w:eastAsia="宋体"/>
          <w:color w:val="000000"/>
          <w:sz w:val="24"/>
          <w:szCs w:val="24"/>
        </w:rPr>
        <w:t>)</w:t>
      </w:r>
      <w:r>
        <w:rPr>
          <w:rFonts w:eastAsia="宋体"/>
          <w:color w:val="000000"/>
          <w:sz w:val="24"/>
          <w:szCs w:val="24"/>
        </w:rPr>
        <w:tab/>
      </w:r>
      <w:r>
        <w:rPr>
          <w:rFonts w:eastAsia="宋体"/>
          <w:color w:val="000000"/>
          <w:sz w:val="24"/>
          <w:szCs w:val="24"/>
        </w:rPr>
        <w:t>传感器和/或刺激位置（皮质内、硬膜下、皮肤）。</w:t>
      </w:r>
    </w:p>
    <w:p w14:paraId="719DD2EE">
      <w:pPr>
        <w:shd w:val="clear" w:color="auto" w:fill="FFFFFF"/>
        <w:snapToGrid w:val="0"/>
        <w:jc w:val="both"/>
        <w:rPr>
          <w:rFonts w:eastAsia="宋体"/>
          <w:sz w:val="24"/>
          <w:szCs w:val="24"/>
        </w:rPr>
      </w:pPr>
    </w:p>
    <w:p w14:paraId="4EB1D724">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7976276">
      <w:pPr>
        <w:shd w:val="clear" w:color="auto" w:fill="FFFFFF"/>
        <w:snapToGrid w:val="0"/>
        <w:ind w:left="929" w:leftChars="307"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u w:val="single"/>
        </w:rPr>
        <w:t>连接器</w:t>
      </w:r>
      <w:r>
        <w:rPr>
          <w:rFonts w:eastAsia="宋体"/>
          <w:color w:val="000000"/>
          <w:sz w:val="24"/>
          <w:szCs w:val="24"/>
        </w:rPr>
        <w:t>：用于将导联连接到</w:t>
      </w:r>
      <w:r>
        <w:rPr>
          <w:rFonts w:eastAsia="宋体"/>
          <w:color w:val="0000FF"/>
          <w:sz w:val="24"/>
          <w:szCs w:val="24"/>
        </w:rPr>
        <w:t xml:space="preserve"> </w:t>
      </w:r>
      <w:r>
        <w:rPr>
          <w:rFonts w:eastAsia="宋体"/>
          <w:color w:val="000000"/>
          <w:sz w:val="24"/>
          <w:szCs w:val="24"/>
        </w:rPr>
        <w:t>其他组件（如辅助受动器组件、信号处理硬件或编程模块）的</w:t>
      </w:r>
      <w:r>
        <w:rPr>
          <w:rFonts w:eastAsia="宋体"/>
          <w:color w:val="0000FF"/>
          <w:sz w:val="24"/>
          <w:szCs w:val="24"/>
        </w:rPr>
        <w:t xml:space="preserve"> </w:t>
      </w:r>
      <w:r>
        <w:rPr>
          <w:rFonts w:eastAsia="宋体"/>
          <w:color w:val="000000"/>
          <w:sz w:val="24"/>
          <w:szCs w:val="24"/>
        </w:rPr>
        <w:t>连接器说明。描述应包括材料、直径、触点数量和类型以及如何固定连接（例如公-母连接、夹子）。</w:t>
      </w:r>
    </w:p>
    <w:p w14:paraId="25A90F4D">
      <w:pPr>
        <w:shd w:val="clear" w:color="auto" w:fill="FFFFFF"/>
        <w:snapToGrid w:val="0"/>
        <w:ind w:left="929" w:leftChars="307" w:hanging="315"/>
        <w:jc w:val="both"/>
        <w:rPr>
          <w:rFonts w:eastAsia="宋体"/>
          <w:color w:val="000000"/>
          <w:sz w:val="24"/>
          <w:szCs w:val="24"/>
        </w:rPr>
      </w:pPr>
    </w:p>
    <w:p w14:paraId="61BCCCEB">
      <w:pPr>
        <w:shd w:val="clear" w:color="auto" w:fill="FFFFFF"/>
        <w:snapToGrid w:val="0"/>
        <w:ind w:left="929" w:leftChars="307" w:hanging="315"/>
        <w:jc w:val="both"/>
        <w:rPr>
          <w:rFonts w:eastAsia="宋体"/>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u w:val="single"/>
        </w:rPr>
        <w:t>处理/刺激硬件</w:t>
      </w:r>
      <w:r>
        <w:rPr>
          <w:rFonts w:eastAsia="宋体"/>
          <w:color w:val="000000"/>
          <w:sz w:val="24"/>
          <w:szCs w:val="24"/>
        </w:rPr>
        <w:t>：处理/刺激硬件应提供以下描述性信息：</w:t>
      </w:r>
    </w:p>
    <w:p w14:paraId="230E4C4F">
      <w:pPr>
        <w:shd w:val="clear" w:color="auto" w:fill="FFFFFF"/>
        <w:snapToGrid w:val="0"/>
        <w:ind w:left="1644" w:leftChars="480" w:hanging="684" w:hangingChars="285"/>
        <w:jc w:val="both"/>
        <w:rPr>
          <w:rFonts w:eastAsia="宋体"/>
          <w:color w:val="000000"/>
          <w:sz w:val="24"/>
          <w:szCs w:val="24"/>
        </w:rPr>
      </w:pPr>
    </w:p>
    <w:p w14:paraId="76922C9E">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w:t>
      </w:r>
      <w:r>
        <w:rPr>
          <w:rFonts w:eastAsia="宋体"/>
          <w:color w:val="000000"/>
          <w:sz w:val="24"/>
          <w:szCs w:val="24"/>
        </w:rPr>
        <w:tab/>
      </w:r>
      <w:r>
        <w:rPr>
          <w:rFonts w:eastAsia="宋体"/>
          <w:color w:val="000000"/>
          <w:sz w:val="24"/>
          <w:szCs w:val="24"/>
        </w:rPr>
        <w:t>描述硬件为植入式或外部硬件；</w:t>
      </w:r>
    </w:p>
    <w:p w14:paraId="60C692E5">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w:t>
      </w:r>
      <w:r>
        <w:rPr>
          <w:rFonts w:eastAsia="宋体"/>
          <w:color w:val="000000"/>
          <w:sz w:val="24"/>
          <w:szCs w:val="24"/>
        </w:rPr>
        <w:tab/>
      </w:r>
      <w:r>
        <w:rPr>
          <w:rFonts w:eastAsia="宋体"/>
          <w:color w:val="000000"/>
          <w:sz w:val="24"/>
          <w:szCs w:val="24"/>
        </w:rPr>
        <w:t>电源/方法（如电池、感应耦合和射频）；</w:t>
      </w:r>
    </w:p>
    <w:p w14:paraId="3CFE51CE">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(iii)</w:t>
      </w:r>
      <w:r>
        <w:rPr>
          <w:rFonts w:eastAsia="宋体"/>
          <w:color w:val="000000"/>
          <w:sz w:val="24"/>
          <w:szCs w:val="24"/>
        </w:rPr>
        <w:tab/>
      </w:r>
      <w:r>
        <w:rPr>
          <w:rFonts w:eastAsia="宋体"/>
          <w:color w:val="000000"/>
          <w:sz w:val="24"/>
          <w:szCs w:val="24"/>
        </w:rPr>
        <w:t>描述信号滤器（处理硬件）；</w:t>
      </w:r>
    </w:p>
    <w:p w14:paraId="039513EC">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(iv)</w:t>
      </w:r>
      <w:r>
        <w:rPr>
          <w:rFonts w:eastAsia="宋体"/>
          <w:color w:val="000000"/>
          <w:sz w:val="24"/>
          <w:szCs w:val="24"/>
        </w:rPr>
        <w:tab/>
      </w:r>
      <w:r>
        <w:rPr>
          <w:rFonts w:eastAsia="宋体"/>
          <w:color w:val="000000"/>
          <w:sz w:val="24"/>
          <w:szCs w:val="24"/>
        </w:rPr>
        <w:t>输出和记录通道数量；和</w:t>
      </w:r>
    </w:p>
    <w:p w14:paraId="0929EE2C">
      <w:pPr>
        <w:shd w:val="clear" w:color="auto" w:fill="FFFFFF"/>
        <w:snapToGrid w:val="0"/>
        <w:ind w:left="1644" w:leftChars="480" w:hanging="684" w:hangingChars="285"/>
        <w:jc w:val="both"/>
        <w:rPr>
          <w:rFonts w:eastAsia="宋体"/>
          <w:sz w:val="24"/>
          <w:szCs w:val="24"/>
        </w:rPr>
      </w:pPr>
      <w:r>
        <w:rPr>
          <w:rFonts w:eastAsia="宋体"/>
          <w:color w:val="000000"/>
          <w:sz w:val="24"/>
          <w:szCs w:val="24"/>
        </w:rPr>
        <w:t>(v)</w:t>
      </w:r>
      <w:r>
        <w:rPr>
          <w:rFonts w:eastAsia="宋体"/>
          <w:color w:val="000000"/>
          <w:sz w:val="24"/>
          <w:szCs w:val="24"/>
        </w:rPr>
        <w:tab/>
      </w:r>
      <w:r>
        <w:rPr>
          <w:rFonts w:eastAsia="宋体"/>
          <w:color w:val="000000"/>
          <w:sz w:val="24"/>
          <w:szCs w:val="24"/>
        </w:rPr>
        <w:t>描述输出规范（见</w:t>
      </w:r>
      <w:r>
        <w:rPr>
          <w:rFonts w:eastAsia="宋体"/>
          <w:color w:val="0000FF"/>
          <w:sz w:val="24"/>
          <w:szCs w:val="24"/>
          <w:u w:val="single"/>
        </w:rPr>
        <w:t>附录A</w:t>
      </w:r>
      <w:r>
        <w:rPr>
          <w:rFonts w:eastAsia="宋体"/>
          <w:color w:val="000000"/>
          <w:sz w:val="24"/>
          <w:szCs w:val="24"/>
        </w:rPr>
        <w:t>关于输出模式的更多信息）。</w:t>
      </w:r>
    </w:p>
    <w:p w14:paraId="28A2D29F">
      <w:pPr>
        <w:shd w:val="clear" w:color="auto" w:fill="FFFFFF"/>
        <w:snapToGrid w:val="0"/>
        <w:ind w:left="929" w:leftChars="307" w:hanging="315"/>
        <w:jc w:val="both"/>
        <w:rPr>
          <w:rFonts w:eastAsia="宋体"/>
          <w:color w:val="000000"/>
          <w:sz w:val="24"/>
          <w:szCs w:val="24"/>
        </w:rPr>
      </w:pPr>
    </w:p>
    <w:p w14:paraId="0976DFED">
      <w:pPr>
        <w:shd w:val="clear" w:color="auto" w:fill="FFFFFF"/>
        <w:snapToGrid w:val="0"/>
        <w:ind w:left="929" w:leftChars="307" w:hanging="315"/>
        <w:jc w:val="both"/>
        <w:rPr>
          <w:rFonts w:eastAsia="宋体"/>
          <w:sz w:val="24"/>
          <w:szCs w:val="24"/>
        </w:rPr>
      </w:pPr>
      <w:r>
        <w:rPr>
          <w:rFonts w:eastAsia="宋体"/>
          <w:color w:val="000000"/>
          <w:sz w:val="24"/>
          <w:szCs w:val="24"/>
        </w:rPr>
        <w:t>e.</w:t>
      </w:r>
      <w:r>
        <w:rPr>
          <w:rFonts w:eastAsia="宋体"/>
          <w:color w:val="000000"/>
          <w:sz w:val="24"/>
          <w:szCs w:val="24"/>
        </w:rPr>
        <w:tab/>
      </w:r>
      <w:r>
        <w:rPr>
          <w:rFonts w:eastAsia="宋体"/>
          <w:color w:val="000000"/>
          <w:sz w:val="24"/>
          <w:szCs w:val="24"/>
          <w:u w:val="single"/>
        </w:rPr>
        <w:t>辅助受动器和/或传感器组件</w:t>
      </w:r>
      <w:r>
        <w:rPr>
          <w:rFonts w:eastAsia="宋体"/>
          <w:color w:val="000000"/>
          <w:sz w:val="24"/>
          <w:szCs w:val="24"/>
        </w:rPr>
        <w:t>：辅助受动器和/或传感器组件（例如，假肢、计算机、传感器）的说明，包括以下内容：</w:t>
      </w:r>
    </w:p>
    <w:p w14:paraId="3079497C">
      <w:pPr>
        <w:shd w:val="clear" w:color="auto" w:fill="FFFFFF"/>
        <w:snapToGrid w:val="0"/>
        <w:ind w:left="1644" w:leftChars="480" w:hanging="684" w:hangingChars="285"/>
        <w:jc w:val="both"/>
        <w:rPr>
          <w:rFonts w:eastAsia="宋体"/>
          <w:color w:val="000000"/>
          <w:sz w:val="24"/>
          <w:szCs w:val="24"/>
        </w:rPr>
      </w:pPr>
    </w:p>
    <w:p w14:paraId="3804F157">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w:t>
      </w:r>
      <w:r>
        <w:rPr>
          <w:rFonts w:eastAsia="宋体"/>
          <w:color w:val="000000"/>
          <w:sz w:val="24"/>
          <w:szCs w:val="24"/>
        </w:rPr>
        <w:tab/>
      </w:r>
      <w:r>
        <w:rPr>
          <w:rFonts w:eastAsia="宋体"/>
          <w:color w:val="000000"/>
          <w:sz w:val="24"/>
          <w:szCs w:val="24"/>
        </w:rPr>
        <w:t>型号；</w:t>
      </w:r>
    </w:p>
    <w:p w14:paraId="30AB6189">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w:t>
      </w:r>
      <w:r>
        <w:rPr>
          <w:rFonts w:eastAsia="宋体"/>
          <w:color w:val="000000"/>
          <w:sz w:val="24"/>
          <w:szCs w:val="24"/>
        </w:rPr>
        <w:tab/>
      </w:r>
      <w:r>
        <w:rPr>
          <w:rFonts w:eastAsia="宋体"/>
          <w:color w:val="000000"/>
          <w:sz w:val="24"/>
          <w:szCs w:val="24"/>
        </w:rPr>
        <w:t>对经批准或许可上市的器械进行修改的说明（例如，增加传感器）；</w:t>
      </w:r>
    </w:p>
    <w:p w14:paraId="39C990D3">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(iii)</w:t>
      </w:r>
      <w:r>
        <w:rPr>
          <w:rFonts w:eastAsia="宋体"/>
          <w:color w:val="000000"/>
          <w:sz w:val="24"/>
          <w:szCs w:val="24"/>
        </w:rPr>
        <w:tab/>
      </w:r>
      <w:r>
        <w:rPr>
          <w:rFonts w:eastAsia="宋体"/>
          <w:color w:val="000000"/>
          <w:sz w:val="24"/>
          <w:szCs w:val="24"/>
        </w:rPr>
        <w:t>自由度（即独立位移或运动方面的总次数）；和</w:t>
      </w:r>
    </w:p>
    <w:p w14:paraId="04C5B025">
      <w:pPr>
        <w:shd w:val="clear" w:color="auto" w:fill="FFFFFF"/>
        <w:snapToGrid w:val="0"/>
        <w:ind w:left="1644" w:leftChars="480" w:hanging="684" w:hangingChars="285"/>
        <w:jc w:val="both"/>
        <w:rPr>
          <w:rFonts w:eastAsia="宋体"/>
          <w:sz w:val="24"/>
          <w:szCs w:val="24"/>
        </w:rPr>
      </w:pPr>
      <w:r>
        <w:rPr>
          <w:rFonts w:eastAsia="宋体"/>
          <w:color w:val="000000"/>
          <w:sz w:val="24"/>
          <w:szCs w:val="24"/>
        </w:rPr>
        <w:t>（iv）</w:t>
      </w:r>
      <w:r>
        <w:rPr>
          <w:rFonts w:eastAsia="宋体"/>
          <w:color w:val="000000"/>
          <w:sz w:val="24"/>
          <w:szCs w:val="24"/>
        </w:rPr>
        <w:tab/>
      </w:r>
      <w:r>
        <w:rPr>
          <w:rFonts w:eastAsia="宋体"/>
          <w:color w:val="000000"/>
          <w:sz w:val="24"/>
          <w:szCs w:val="24"/>
        </w:rPr>
        <w:t>描述如何控制辅助受动器或传感器组件（例如，顺序或同时控制手臂关节）。</w:t>
      </w:r>
    </w:p>
    <w:p w14:paraId="2F03257A">
      <w:pPr>
        <w:shd w:val="clear" w:color="auto" w:fill="FFFFFF"/>
        <w:snapToGrid w:val="0"/>
        <w:ind w:left="929" w:leftChars="307" w:hanging="315"/>
        <w:jc w:val="both"/>
        <w:rPr>
          <w:rFonts w:eastAsia="宋体"/>
          <w:color w:val="000000"/>
          <w:sz w:val="24"/>
          <w:szCs w:val="24"/>
        </w:rPr>
      </w:pPr>
    </w:p>
    <w:p w14:paraId="26C18F57">
      <w:pPr>
        <w:shd w:val="clear" w:color="auto" w:fill="FFFFFF"/>
        <w:snapToGrid w:val="0"/>
        <w:ind w:left="929" w:leftChars="307" w:hanging="315"/>
        <w:jc w:val="both"/>
        <w:rPr>
          <w:rFonts w:eastAsia="宋体"/>
          <w:sz w:val="24"/>
          <w:szCs w:val="24"/>
        </w:rPr>
      </w:pPr>
      <w:r>
        <w:rPr>
          <w:rFonts w:eastAsia="宋体"/>
          <w:color w:val="000000"/>
          <w:sz w:val="24"/>
          <w:szCs w:val="24"/>
        </w:rPr>
        <w:t>f.</w:t>
      </w:r>
      <w:r>
        <w:rPr>
          <w:rFonts w:eastAsia="宋体"/>
          <w:color w:val="000000"/>
          <w:sz w:val="24"/>
          <w:szCs w:val="24"/>
        </w:rPr>
        <w:tab/>
      </w:r>
      <w:r>
        <w:rPr>
          <w:rFonts w:eastAsia="宋体"/>
          <w:color w:val="000000"/>
          <w:sz w:val="24"/>
          <w:szCs w:val="24"/>
          <w:u w:val="single"/>
        </w:rPr>
        <w:t>程控仪/控制单元</w:t>
      </w:r>
      <w:r>
        <w:rPr>
          <w:rFonts w:eastAsia="宋体"/>
          <w:color w:val="000000"/>
          <w:sz w:val="24"/>
          <w:szCs w:val="24"/>
        </w:rPr>
        <w:t>：应提供医生和患者系统（如可用）的以下信息进行程控和控制：</w:t>
      </w:r>
    </w:p>
    <w:p w14:paraId="6AA4C429">
      <w:pPr>
        <w:shd w:val="clear" w:color="auto" w:fill="FFFFFF"/>
        <w:snapToGrid w:val="0"/>
        <w:jc w:val="both"/>
        <w:rPr>
          <w:rFonts w:eastAsia="宋体"/>
          <w:color w:val="000000"/>
          <w:sz w:val="24"/>
          <w:szCs w:val="24"/>
        </w:rPr>
      </w:pPr>
    </w:p>
    <w:p w14:paraId="4E0644A4">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w:t>
      </w:r>
      <w:r>
        <w:rPr>
          <w:rFonts w:eastAsia="宋体"/>
          <w:color w:val="000000"/>
          <w:sz w:val="24"/>
          <w:szCs w:val="24"/>
        </w:rPr>
        <w:tab/>
      </w:r>
      <w:r>
        <w:rPr>
          <w:rFonts w:eastAsia="宋体"/>
          <w:color w:val="000000"/>
          <w:sz w:val="24"/>
          <w:szCs w:val="24"/>
        </w:rPr>
        <w:t>描述器械和用户界面，包括所有按钮和切换等；</w:t>
      </w:r>
    </w:p>
    <w:p w14:paraId="6184290F">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w:t>
      </w:r>
      <w:r>
        <w:rPr>
          <w:rFonts w:eastAsia="宋体"/>
          <w:color w:val="000000"/>
          <w:sz w:val="24"/>
          <w:szCs w:val="24"/>
        </w:rPr>
        <w:tab/>
      </w:r>
      <w:r>
        <w:rPr>
          <w:rFonts w:eastAsia="宋体"/>
          <w:color w:val="000000"/>
          <w:sz w:val="24"/>
          <w:szCs w:val="24"/>
        </w:rPr>
        <w:t>描述受控的所有输出；</w:t>
      </w:r>
    </w:p>
    <w:p w14:paraId="26280A5B">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（iii）</w:t>
      </w:r>
      <w:r>
        <w:rPr>
          <w:rFonts w:eastAsia="宋体"/>
          <w:color w:val="000000"/>
          <w:sz w:val="24"/>
          <w:szCs w:val="24"/>
        </w:rPr>
        <w:tab/>
      </w:r>
      <w:r>
        <w:rPr>
          <w:rFonts w:eastAsia="宋体"/>
          <w:color w:val="000000"/>
          <w:sz w:val="24"/>
          <w:szCs w:val="24"/>
        </w:rPr>
        <w:t>数据读出说明（如果相关，包括通道数量、数字化速率、位大小和记录持续时间等细节）和/或刺激器输出（例如频率、脉冲宽度、强度、电极、极性）；</w:t>
      </w:r>
    </w:p>
    <w:p w14:paraId="6921F9BB">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(iv)</w:t>
      </w:r>
      <w:r>
        <w:rPr>
          <w:rFonts w:eastAsia="宋体"/>
          <w:color w:val="000000"/>
          <w:sz w:val="24"/>
          <w:szCs w:val="24"/>
        </w:rPr>
        <w:tab/>
      </w:r>
      <w:r>
        <w:rPr>
          <w:rFonts w:eastAsia="宋体"/>
          <w:color w:val="000000"/>
          <w:sz w:val="24"/>
          <w:szCs w:val="24"/>
        </w:rPr>
        <w:t>描述所有特定程控功能；</w:t>
      </w:r>
    </w:p>
    <w:p w14:paraId="57766F5F">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w:t>
      </w:r>
      <w:r>
        <w:rPr>
          <w:rFonts w:eastAsia="宋体"/>
          <w:color w:val="000000"/>
          <w:sz w:val="24"/>
          <w:szCs w:val="24"/>
        </w:rPr>
        <w:tab/>
      </w:r>
      <w:r>
        <w:rPr>
          <w:rFonts w:eastAsia="宋体"/>
          <w:color w:val="000000"/>
          <w:sz w:val="24"/>
          <w:szCs w:val="24"/>
        </w:rPr>
        <w:t>描述硬件和软件平台；</w:t>
      </w:r>
    </w:p>
    <w:p w14:paraId="759B73B0">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(vi)</w:t>
      </w:r>
      <w:r>
        <w:rPr>
          <w:rFonts w:eastAsia="宋体"/>
          <w:color w:val="000000"/>
          <w:sz w:val="24"/>
          <w:szCs w:val="24"/>
        </w:rPr>
        <w:tab/>
      </w:r>
      <w:r>
        <w:rPr>
          <w:rFonts w:eastAsia="宋体"/>
          <w:color w:val="000000"/>
          <w:sz w:val="24"/>
          <w:szCs w:val="24"/>
        </w:rPr>
        <w:t>与其他组件的通信方法（例如有线、无线）；</w:t>
      </w:r>
    </w:p>
    <w:p w14:paraId="67B22185">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(vii)</w:t>
      </w:r>
      <w:r>
        <w:rPr>
          <w:rFonts w:eastAsia="宋体"/>
          <w:color w:val="000000"/>
          <w:sz w:val="24"/>
          <w:szCs w:val="24"/>
        </w:rPr>
        <w:tab/>
      </w:r>
      <w:r>
        <w:rPr>
          <w:rFonts w:eastAsia="宋体"/>
          <w:color w:val="000000"/>
          <w:sz w:val="24"/>
          <w:szCs w:val="24"/>
        </w:rPr>
        <w:t>电源；</w:t>
      </w:r>
    </w:p>
    <w:p w14:paraId="37BCCB73">
      <w:pPr>
        <w:shd w:val="clear" w:color="auto" w:fill="FFFFFF"/>
        <w:snapToGrid w:val="0"/>
        <w:ind w:left="1644" w:leftChars="480" w:hanging="684" w:hangingChars="285"/>
        <w:jc w:val="both"/>
        <w:rPr>
          <w:rFonts w:eastAsia="宋体"/>
          <w:color w:val="000000"/>
          <w:sz w:val="24"/>
          <w:szCs w:val="24"/>
        </w:rPr>
      </w:pPr>
      <w:r>
        <w:rPr>
          <w:rFonts w:eastAsia="宋体"/>
          <w:color w:val="000000"/>
          <w:sz w:val="24"/>
          <w:szCs w:val="24"/>
        </w:rPr>
        <w:t>(viii)</w:t>
      </w:r>
      <w:r>
        <w:rPr>
          <w:rFonts w:eastAsia="宋体"/>
          <w:color w:val="000000"/>
          <w:sz w:val="24"/>
          <w:szCs w:val="24"/>
        </w:rPr>
        <w:tab/>
      </w:r>
      <w:r>
        <w:rPr>
          <w:rFonts w:eastAsia="宋体"/>
          <w:color w:val="000000"/>
          <w:sz w:val="24"/>
          <w:szCs w:val="24"/>
        </w:rPr>
        <w:t>所有附加设置；和</w:t>
      </w:r>
    </w:p>
    <w:p w14:paraId="60D5D657">
      <w:pPr>
        <w:shd w:val="clear" w:color="auto" w:fill="FFFFFF"/>
        <w:snapToGrid w:val="0"/>
        <w:ind w:left="1644" w:leftChars="480" w:hanging="684" w:hangingChars="285"/>
        <w:jc w:val="both"/>
        <w:rPr>
          <w:rFonts w:eastAsia="宋体"/>
          <w:sz w:val="24"/>
          <w:szCs w:val="24"/>
        </w:rPr>
      </w:pPr>
      <w:r>
        <w:rPr>
          <w:rFonts w:eastAsia="宋体"/>
          <w:color w:val="000000"/>
          <w:sz w:val="24"/>
          <w:szCs w:val="24"/>
        </w:rPr>
        <w:t>(ix)</w:t>
      </w:r>
      <w:r>
        <w:rPr>
          <w:rFonts w:eastAsia="宋体"/>
          <w:color w:val="000000"/>
          <w:sz w:val="24"/>
          <w:szCs w:val="24"/>
        </w:rPr>
        <w:tab/>
      </w:r>
      <w:r>
        <w:rPr>
          <w:rFonts w:eastAsia="宋体"/>
          <w:color w:val="000000"/>
          <w:sz w:val="24"/>
          <w:szCs w:val="24"/>
        </w:rPr>
        <w:t>向用户传达的所有警报和情况。</w:t>
      </w:r>
    </w:p>
    <w:p w14:paraId="068CA01A">
      <w:pPr>
        <w:shd w:val="clear" w:color="auto" w:fill="FFFFFF"/>
        <w:snapToGrid w:val="0"/>
        <w:ind w:left="929" w:leftChars="307" w:hanging="315"/>
        <w:jc w:val="both"/>
        <w:rPr>
          <w:rFonts w:eastAsia="宋体"/>
          <w:color w:val="000000"/>
          <w:sz w:val="24"/>
          <w:szCs w:val="24"/>
        </w:rPr>
      </w:pPr>
    </w:p>
    <w:p w14:paraId="5BE6A66A">
      <w:pPr>
        <w:shd w:val="clear" w:color="auto" w:fill="FFFFFF"/>
        <w:snapToGrid w:val="0"/>
        <w:ind w:left="929" w:leftChars="307" w:hanging="315"/>
        <w:jc w:val="both"/>
        <w:rPr>
          <w:rFonts w:eastAsia="宋体"/>
          <w:sz w:val="24"/>
          <w:szCs w:val="24"/>
        </w:rPr>
      </w:pPr>
      <w:r>
        <w:rPr>
          <w:rFonts w:eastAsia="宋体"/>
          <w:color w:val="000000"/>
          <w:sz w:val="24"/>
          <w:szCs w:val="24"/>
        </w:rPr>
        <w:t>g.</w:t>
      </w:r>
      <w:r>
        <w:rPr>
          <w:rFonts w:eastAsia="宋体"/>
          <w:color w:val="000000"/>
          <w:sz w:val="24"/>
          <w:szCs w:val="24"/>
        </w:rPr>
        <w:tab/>
      </w:r>
      <w:r>
        <w:rPr>
          <w:rFonts w:eastAsia="宋体"/>
          <w:color w:val="000000"/>
          <w:sz w:val="24"/>
          <w:szCs w:val="24"/>
          <w:u w:val="single"/>
        </w:rPr>
        <w:t>算法</w:t>
      </w:r>
      <w:r>
        <w:rPr>
          <w:rFonts w:eastAsia="宋体"/>
          <w:color w:val="000000"/>
          <w:sz w:val="24"/>
          <w:szCs w:val="24"/>
        </w:rPr>
        <w:t>：我局建议贵司提供器械中使用的所有算法描述。我们建议使用流程图（和/或其他视觉或组织辅助工具）突出显示输入参数及其来源和输出参数及其实现（例如，用于离线数据分析的末端受动器控制）。</w:t>
      </w:r>
    </w:p>
    <w:p w14:paraId="3A8B075A">
      <w:pPr>
        <w:shd w:val="clear" w:color="auto" w:fill="FFFFFF"/>
        <w:tabs>
          <w:tab w:val="left" w:pos="360"/>
        </w:tabs>
        <w:snapToGrid w:val="0"/>
        <w:jc w:val="both"/>
        <w:rPr>
          <w:rFonts w:eastAsia="宋体"/>
          <w:sz w:val="24"/>
          <w:szCs w:val="24"/>
        </w:rPr>
      </w:pPr>
    </w:p>
    <w:p w14:paraId="02A5CF2E">
      <w:pPr>
        <w:shd w:val="clear" w:color="auto" w:fill="FFFFFF"/>
        <w:tabs>
          <w:tab w:val="left" w:pos="360"/>
        </w:tabs>
        <w:snapToGrid w:val="0"/>
        <w:jc w:val="both"/>
        <w:rPr>
          <w:rFonts w:eastAsia="宋体"/>
          <w:sz w:val="24"/>
          <w:szCs w:val="24"/>
        </w:rPr>
      </w:pPr>
    </w:p>
    <w:p w14:paraId="2E09D621">
      <w:pPr>
        <w:shd w:val="clear" w:color="auto" w:fill="FFFFFF"/>
        <w:tabs>
          <w:tab w:val="left" w:pos="36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A686F3B">
      <w:pPr>
        <w:shd w:val="clear" w:color="auto" w:fill="FFFFFF"/>
        <w:snapToGrid w:val="0"/>
        <w:ind w:left="929" w:leftChars="307" w:hanging="315"/>
        <w:jc w:val="both"/>
        <w:rPr>
          <w:rFonts w:eastAsia="宋体"/>
          <w:color w:val="000000" w:themeColor="text1"/>
          <w:sz w:val="24"/>
          <w:szCs w:val="24"/>
        </w:rPr>
      </w:pPr>
      <w:r>
        <w:rPr>
          <w:rFonts w:eastAsia="宋体"/>
          <w:color w:val="000000" w:themeColor="text1"/>
          <w:sz w:val="24"/>
          <w:szCs w:val="24"/>
        </w:rPr>
        <w:t>h.</w:t>
      </w:r>
      <w:r>
        <w:rPr>
          <w:rFonts w:eastAsia="宋体"/>
          <w:color w:val="000000" w:themeColor="text1"/>
          <w:sz w:val="24"/>
          <w:szCs w:val="24"/>
        </w:rPr>
        <w:tab/>
      </w:r>
      <w:r>
        <w:rPr>
          <w:rFonts w:eastAsia="宋体"/>
          <w:color w:val="000000" w:themeColor="text1"/>
          <w:sz w:val="24"/>
          <w:szCs w:val="24"/>
          <w:u w:val="single"/>
        </w:rPr>
        <w:t>无线功能</w:t>
      </w:r>
      <w:r>
        <w:rPr>
          <w:rFonts w:eastAsia="宋体"/>
          <w:color w:val="000000" w:themeColor="text1"/>
          <w:sz w:val="24"/>
          <w:szCs w:val="24"/>
        </w:rPr>
        <w:t>：我们建议贵司描述无线医疗器械（如适用）在</w:t>
      </w:r>
      <w:r>
        <w:rPr>
          <w:rFonts w:hint="eastAsia" w:eastAsia="宋体"/>
          <w:color w:val="000000" w:themeColor="text1"/>
          <w:sz w:val="24"/>
          <w:szCs w:val="24"/>
        </w:rPr>
        <w:t>可能存在</w:t>
      </w:r>
      <w:r>
        <w:rPr>
          <w:rFonts w:eastAsia="宋体"/>
          <w:color w:val="000000" w:themeColor="text1"/>
          <w:sz w:val="24"/>
          <w:szCs w:val="24"/>
        </w:rPr>
        <w:t>其他射频无线技术的预期使用环境中正常工作的能力。在无线医疗器械的设计、测试和使用中，医疗数据和信息的正确、及时和安全传输对于安全有效地使用有线和无线医疗器械及器械系统至关重要。</w:t>
      </w:r>
    </w:p>
    <w:p w14:paraId="2380009A">
      <w:pPr>
        <w:shd w:val="clear" w:color="auto" w:fill="FFFFFF"/>
        <w:snapToGrid w:val="0"/>
        <w:ind w:left="929" w:leftChars="307" w:hanging="315"/>
        <w:jc w:val="both"/>
        <w:rPr>
          <w:rFonts w:eastAsia="宋体"/>
          <w:color w:val="000000" w:themeColor="text1"/>
          <w:sz w:val="24"/>
          <w:szCs w:val="24"/>
        </w:rPr>
      </w:pPr>
    </w:p>
    <w:p w14:paraId="00A3E971">
      <w:pPr>
        <w:shd w:val="clear" w:color="auto" w:fill="FFFFFF"/>
        <w:snapToGrid w:val="0"/>
        <w:ind w:left="929" w:leftChars="307" w:hanging="315"/>
        <w:jc w:val="both"/>
        <w:rPr>
          <w:rFonts w:eastAsia="宋体"/>
          <w:color w:val="000000" w:themeColor="text1"/>
          <w:sz w:val="24"/>
          <w:szCs w:val="24"/>
        </w:rPr>
      </w:pPr>
      <w:r>
        <w:rPr>
          <w:rFonts w:eastAsia="宋体"/>
          <w:color w:val="000000" w:themeColor="text1"/>
          <w:sz w:val="24"/>
          <w:szCs w:val="24"/>
        </w:rPr>
        <w:t>i.</w:t>
      </w:r>
      <w:r>
        <w:rPr>
          <w:rFonts w:eastAsia="宋体"/>
          <w:color w:val="000000" w:themeColor="text1"/>
          <w:sz w:val="24"/>
          <w:szCs w:val="24"/>
        </w:rPr>
        <w:tab/>
      </w:r>
      <w:r>
        <w:rPr>
          <w:rFonts w:eastAsia="宋体"/>
          <w:color w:val="000000" w:themeColor="text1"/>
          <w:sz w:val="24"/>
          <w:szCs w:val="24"/>
          <w:u w:val="single"/>
        </w:rPr>
        <w:t>电池</w:t>
      </w:r>
      <w:r>
        <w:rPr>
          <w:rFonts w:eastAsia="宋体"/>
          <w:color w:val="000000" w:themeColor="text1"/>
          <w:sz w:val="24"/>
          <w:szCs w:val="24"/>
        </w:rPr>
        <w:t>：应提供系统各组件中所</w:t>
      </w:r>
      <w:r>
        <w:rPr>
          <w:rFonts w:hint="eastAsia" w:eastAsia="宋体"/>
          <w:color w:val="000000" w:themeColor="text1"/>
          <w:sz w:val="24"/>
          <w:szCs w:val="24"/>
        </w:rPr>
        <w:t>使用的</w:t>
      </w:r>
      <w:r>
        <w:rPr>
          <w:rFonts w:eastAsia="宋体"/>
          <w:color w:val="000000" w:themeColor="text1"/>
          <w:sz w:val="24"/>
          <w:szCs w:val="24"/>
        </w:rPr>
        <w:t>所有电池的完整描述，包括化学和性能特征（例如可用电池安培小时容量、货架有效期和最差使用情况下的寿命试验）。</w:t>
      </w:r>
    </w:p>
    <w:p w14:paraId="2B3F5132">
      <w:pPr>
        <w:shd w:val="clear" w:color="auto" w:fill="FFFFFF"/>
        <w:snapToGrid w:val="0"/>
        <w:ind w:left="660" w:leftChars="150" w:hanging="360" w:hangingChars="150"/>
        <w:jc w:val="both"/>
        <w:rPr>
          <w:rFonts w:eastAsia="宋体"/>
          <w:color w:val="000000" w:themeColor="text1"/>
          <w:sz w:val="24"/>
          <w:szCs w:val="24"/>
        </w:rPr>
      </w:pPr>
    </w:p>
    <w:p w14:paraId="371AA709">
      <w:pPr>
        <w:shd w:val="clear" w:color="auto" w:fill="FFFFFF"/>
        <w:snapToGrid w:val="0"/>
        <w:ind w:left="660" w:leftChars="150" w:hanging="360" w:hangingChars="150"/>
        <w:jc w:val="both"/>
        <w:rPr>
          <w:rFonts w:eastAsia="宋体"/>
          <w:color w:val="000000"/>
          <w:sz w:val="24"/>
          <w:szCs w:val="24"/>
        </w:rPr>
      </w:pPr>
      <w:r>
        <w:rPr>
          <w:rFonts w:eastAsia="宋体"/>
          <w:color w:val="000000" w:themeColor="text1"/>
          <w:sz w:val="24"/>
          <w:szCs w:val="24"/>
        </w:rPr>
        <w:t>4.</w:t>
      </w:r>
      <w:r>
        <w:rPr>
          <w:rFonts w:eastAsia="宋体"/>
          <w:color w:val="000000" w:themeColor="text1"/>
          <w:sz w:val="24"/>
          <w:szCs w:val="24"/>
        </w:rPr>
        <w:tab/>
      </w:r>
      <w:r>
        <w:rPr>
          <w:rFonts w:eastAsia="宋体"/>
          <w:color w:val="000000" w:themeColor="text1"/>
          <w:sz w:val="24"/>
          <w:szCs w:val="24"/>
        </w:rPr>
        <w:t>各种组件、用户和患者以及环境之间交互作用的完整描述</w:t>
      </w:r>
      <w:r>
        <w:rPr>
          <w:rFonts w:eastAsia="宋体"/>
          <w:color w:val="000000"/>
          <w:sz w:val="24"/>
          <w:szCs w:val="24"/>
        </w:rPr>
        <w:t>（如</w:t>
      </w:r>
      <w:r>
        <w:rPr>
          <w:rFonts w:hint="eastAsia" w:eastAsia="宋体"/>
          <w:color w:val="000000"/>
          <w:sz w:val="24"/>
          <w:szCs w:val="24"/>
        </w:rPr>
        <w:t>图示</w:t>
      </w:r>
      <w:r>
        <w:rPr>
          <w:rFonts w:eastAsia="宋体"/>
          <w:color w:val="000000"/>
          <w:sz w:val="24"/>
          <w:szCs w:val="24"/>
        </w:rPr>
        <w:t>、流程图）。</w:t>
      </w:r>
    </w:p>
    <w:p w14:paraId="1486C845">
      <w:pPr>
        <w:shd w:val="clear" w:color="auto" w:fill="FFFFFF"/>
        <w:snapToGrid w:val="0"/>
        <w:ind w:left="660" w:leftChars="150" w:hanging="360" w:hangingChars="150"/>
        <w:jc w:val="both"/>
        <w:rPr>
          <w:rFonts w:eastAsia="宋体"/>
          <w:color w:val="000000"/>
          <w:sz w:val="24"/>
          <w:szCs w:val="24"/>
        </w:rPr>
      </w:pPr>
    </w:p>
    <w:p w14:paraId="11BDBF82">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对于必须组装或使用前可进行调整的器械，描述单个组件相对彼此的</w:t>
      </w:r>
      <w:r>
        <w:rPr>
          <w:rFonts w:ascii="宋体" w:hAnsi="宋体" w:eastAsia="宋体"/>
          <w:color w:val="000000"/>
          <w:sz w:val="24"/>
          <w:szCs w:val="24"/>
        </w:rPr>
        <w:t>“</w:t>
      </w:r>
      <w:r>
        <w:rPr>
          <w:rFonts w:eastAsia="宋体"/>
          <w:color w:val="000000"/>
          <w:sz w:val="24"/>
          <w:szCs w:val="24"/>
        </w:rPr>
        <w:t>分解</w:t>
      </w:r>
      <w:r>
        <w:rPr>
          <w:rFonts w:ascii="宋体" w:hAnsi="宋体" w:eastAsia="宋体"/>
          <w:color w:val="000000"/>
          <w:sz w:val="24"/>
          <w:szCs w:val="24"/>
        </w:rPr>
        <w:t>”</w:t>
      </w:r>
      <w:r>
        <w:rPr>
          <w:rFonts w:eastAsia="宋体"/>
          <w:color w:val="000000"/>
          <w:sz w:val="24"/>
          <w:szCs w:val="24"/>
        </w:rPr>
        <w:t>视图。应明确标记各组件。</w:t>
      </w:r>
    </w:p>
    <w:p w14:paraId="376899CC">
      <w:pPr>
        <w:shd w:val="clear" w:color="auto" w:fill="FFFFFF"/>
        <w:snapToGrid w:val="0"/>
        <w:ind w:left="660" w:leftChars="150" w:hanging="360" w:hangingChars="150"/>
        <w:jc w:val="both"/>
        <w:rPr>
          <w:rFonts w:eastAsia="宋体"/>
          <w:color w:val="000000"/>
          <w:sz w:val="24"/>
          <w:szCs w:val="24"/>
        </w:rPr>
      </w:pPr>
    </w:p>
    <w:p w14:paraId="42E0EA18">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6.</w:t>
      </w:r>
      <w:r>
        <w:rPr>
          <w:rFonts w:eastAsia="宋体"/>
          <w:color w:val="000000"/>
          <w:sz w:val="24"/>
          <w:szCs w:val="24"/>
        </w:rPr>
        <w:tab/>
      </w:r>
      <w:r>
        <w:rPr>
          <w:rFonts w:eastAsia="宋体"/>
          <w:color w:val="000000"/>
          <w:sz w:val="24"/>
          <w:szCs w:val="24"/>
        </w:rPr>
        <w:t>对于包括软件的器械，简要描述软件，包括各功能、提示、用户输入等。</w:t>
      </w:r>
    </w:p>
    <w:p w14:paraId="49818365">
      <w:pPr>
        <w:shd w:val="clear" w:color="auto" w:fill="FFFFFF"/>
        <w:snapToGrid w:val="0"/>
        <w:ind w:left="660" w:leftChars="150" w:hanging="360" w:hangingChars="150"/>
        <w:jc w:val="both"/>
        <w:rPr>
          <w:rFonts w:eastAsia="宋体"/>
          <w:color w:val="000000"/>
          <w:sz w:val="24"/>
          <w:szCs w:val="24"/>
        </w:rPr>
      </w:pPr>
    </w:p>
    <w:p w14:paraId="089A8A05">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7.</w:t>
      </w:r>
      <w:r>
        <w:rPr>
          <w:rFonts w:eastAsia="宋体"/>
          <w:color w:val="000000"/>
          <w:sz w:val="24"/>
          <w:szCs w:val="24"/>
        </w:rPr>
        <w:tab/>
      </w:r>
      <w:r>
        <w:rPr>
          <w:rFonts w:eastAsia="宋体"/>
          <w:color w:val="000000"/>
          <w:sz w:val="24"/>
          <w:szCs w:val="24"/>
        </w:rPr>
        <w:t>对于包括射频（RF）无线技术的器械，完整描述所用的确切无线技术、其特征、性能、风险管理、功能，包括报警条件。参见FDA指南文件</w:t>
      </w:r>
      <w:r>
        <w:rPr>
          <w:rFonts w:ascii="宋体" w:hAnsi="宋体" w:eastAsia="宋体"/>
          <w:color w:val="000000"/>
          <w:sz w:val="24"/>
          <w:szCs w:val="24"/>
        </w:rPr>
        <w:t>“</w:t>
      </w:r>
      <w:r>
        <w:rPr>
          <w:rFonts w:eastAsia="宋体"/>
          <w:color w:val="0000FF"/>
          <w:sz w:val="24"/>
          <w:szCs w:val="24"/>
          <w:u w:val="single"/>
        </w:rPr>
        <w:t>医疗器械中的射频无线技术-行业和美国食品药品监督管理局工作人员指南</w:t>
      </w:r>
      <w:r>
        <w:rPr>
          <w:rFonts w:ascii="宋体" w:hAnsi="宋体" w:eastAsia="宋体"/>
          <w:color w:val="0000FF"/>
          <w:sz w:val="24"/>
          <w:szCs w:val="24"/>
        </w:rPr>
        <w:t>”</w:t>
      </w:r>
      <w:r>
        <w:rPr>
          <w:rFonts w:eastAsia="宋体"/>
          <w:color w:val="0000FF"/>
          <w:sz w:val="24"/>
          <w:szCs w:val="24"/>
          <w:u w:val="single"/>
          <w:vertAlign w:val="superscript"/>
        </w:rPr>
        <w:footnoteReference w:id="5"/>
      </w:r>
      <w:r>
        <w:rPr>
          <w:rFonts w:eastAsia="宋体"/>
          <w:sz w:val="24"/>
          <w:szCs w:val="24"/>
        </w:rPr>
        <w:t xml:space="preserve"> </w:t>
      </w:r>
      <w:r>
        <w:rPr>
          <w:rFonts w:eastAsia="宋体"/>
          <w:color w:val="000000"/>
          <w:sz w:val="24"/>
          <w:szCs w:val="24"/>
        </w:rPr>
        <w:t>，了解关于</w:t>
      </w:r>
      <w:r>
        <w:rPr>
          <w:rFonts w:hint="eastAsia" w:eastAsia="宋体"/>
          <w:color w:val="000000"/>
          <w:sz w:val="24"/>
          <w:szCs w:val="24"/>
        </w:rPr>
        <w:t>在上市前提交材料中评估和记录无线技术的其他建议</w:t>
      </w:r>
      <w:r>
        <w:rPr>
          <w:rFonts w:eastAsia="宋体"/>
          <w:color w:val="000000"/>
          <w:sz w:val="24"/>
          <w:szCs w:val="24"/>
        </w:rPr>
        <w:t>。</w:t>
      </w:r>
    </w:p>
    <w:p w14:paraId="2BAD8A81">
      <w:pPr>
        <w:shd w:val="clear" w:color="auto" w:fill="FFFFFF"/>
        <w:snapToGrid w:val="0"/>
        <w:ind w:left="660" w:leftChars="150" w:hanging="360" w:hangingChars="150"/>
        <w:jc w:val="both"/>
        <w:rPr>
          <w:rFonts w:eastAsia="宋体"/>
          <w:color w:val="000000"/>
          <w:sz w:val="24"/>
          <w:szCs w:val="24"/>
        </w:rPr>
      </w:pPr>
    </w:p>
    <w:p w14:paraId="3BA7428B">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8.</w:t>
      </w:r>
      <w:r>
        <w:rPr>
          <w:rFonts w:eastAsia="宋体"/>
          <w:color w:val="000000"/>
          <w:sz w:val="24"/>
          <w:szCs w:val="24"/>
        </w:rPr>
        <w:tab/>
      </w:r>
      <w:r>
        <w:rPr>
          <w:rFonts w:eastAsia="宋体"/>
          <w:color w:val="000000"/>
          <w:sz w:val="24"/>
          <w:szCs w:val="24"/>
        </w:rPr>
        <w:t>描述器械中内置的所有安全特征。</w:t>
      </w:r>
    </w:p>
    <w:p w14:paraId="1AB09382">
      <w:pPr>
        <w:shd w:val="clear" w:color="auto" w:fill="FFFFFF"/>
        <w:snapToGrid w:val="0"/>
        <w:ind w:left="660" w:leftChars="150" w:hanging="360" w:hangingChars="150"/>
        <w:jc w:val="both"/>
        <w:rPr>
          <w:rFonts w:eastAsia="宋体"/>
          <w:color w:val="000000"/>
          <w:sz w:val="24"/>
          <w:szCs w:val="24"/>
        </w:rPr>
      </w:pPr>
    </w:p>
    <w:p w14:paraId="0317A0DF">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9.</w:t>
      </w:r>
      <w:r>
        <w:rPr>
          <w:rFonts w:eastAsia="宋体"/>
          <w:color w:val="000000"/>
          <w:sz w:val="24"/>
          <w:szCs w:val="24"/>
        </w:rPr>
        <w:tab/>
      </w:r>
      <w:r>
        <w:rPr>
          <w:rFonts w:eastAsia="宋体"/>
          <w:color w:val="000000"/>
          <w:sz w:val="24"/>
          <w:szCs w:val="24"/>
        </w:rPr>
        <w:t>对于向肌肉或神经施加电流的器械，应提供</w:t>
      </w:r>
      <w:r>
        <w:rPr>
          <w:rFonts w:eastAsia="宋体"/>
          <w:color w:val="0000FF"/>
          <w:sz w:val="24"/>
          <w:szCs w:val="24"/>
          <w:u w:val="single"/>
        </w:rPr>
        <w:t>附录A</w:t>
      </w:r>
      <w:r>
        <w:rPr>
          <w:rFonts w:eastAsia="宋体"/>
          <w:color w:val="000000"/>
          <w:sz w:val="24"/>
          <w:szCs w:val="24"/>
        </w:rPr>
        <w:t>中提供的刺激输出特征。</w:t>
      </w:r>
    </w:p>
    <w:p w14:paraId="3C8338CB">
      <w:pPr>
        <w:shd w:val="clear" w:color="auto" w:fill="FFFFFF"/>
        <w:snapToGrid w:val="0"/>
        <w:ind w:left="660" w:leftChars="150" w:hanging="360" w:hangingChars="150"/>
        <w:jc w:val="both"/>
        <w:rPr>
          <w:rFonts w:eastAsia="宋体"/>
          <w:color w:val="000000"/>
          <w:sz w:val="24"/>
          <w:szCs w:val="24"/>
        </w:rPr>
      </w:pPr>
    </w:p>
    <w:p w14:paraId="11269CEB">
      <w:pPr>
        <w:shd w:val="clear" w:color="auto" w:fill="FFFFFF"/>
        <w:snapToGrid w:val="0"/>
        <w:ind w:left="660" w:leftChars="150" w:hanging="360" w:hangingChars="150"/>
        <w:jc w:val="both"/>
        <w:rPr>
          <w:rFonts w:eastAsia="宋体"/>
          <w:sz w:val="24"/>
          <w:szCs w:val="24"/>
        </w:rPr>
      </w:pPr>
      <w:r>
        <w:rPr>
          <w:rFonts w:eastAsia="宋体"/>
          <w:color w:val="000000"/>
          <w:sz w:val="24"/>
          <w:szCs w:val="24"/>
        </w:rPr>
        <w:t>10.</w:t>
      </w:r>
      <w:r>
        <w:rPr>
          <w:rFonts w:eastAsia="宋体"/>
          <w:color w:val="000000"/>
          <w:sz w:val="24"/>
          <w:szCs w:val="24"/>
        </w:rPr>
        <w:tab/>
      </w:r>
      <w:r>
        <w:rPr>
          <w:rFonts w:eastAsia="宋体"/>
          <w:color w:val="000000"/>
          <w:sz w:val="24"/>
          <w:szCs w:val="24"/>
        </w:rPr>
        <w:t>预期与植入式BCI器械联合使用的所有器械（例如植入工具、佩戴式组件的夹子或带子），应描述器械是否与植入式BCI器械联合包装或销售。我局建议贵司</w:t>
      </w:r>
      <w:r>
        <w:rPr>
          <w:rFonts w:hint="eastAsia" w:eastAsia="宋体"/>
          <w:color w:val="000000"/>
          <w:sz w:val="24"/>
          <w:szCs w:val="24"/>
        </w:rPr>
        <w:t>提供</w:t>
      </w:r>
      <w:r>
        <w:rPr>
          <w:rFonts w:eastAsia="宋体"/>
          <w:color w:val="000000"/>
          <w:sz w:val="24"/>
          <w:szCs w:val="24"/>
        </w:rPr>
        <w:t>与植入式BCI器械联合包装</w:t>
      </w:r>
      <w:r>
        <w:rPr>
          <w:rFonts w:hint="eastAsia" w:eastAsia="宋体"/>
          <w:color w:val="000000"/>
          <w:sz w:val="24"/>
          <w:szCs w:val="24"/>
        </w:rPr>
        <w:t>的</w:t>
      </w:r>
      <w:r>
        <w:rPr>
          <w:rFonts w:eastAsia="宋体"/>
          <w:color w:val="000000"/>
          <w:sz w:val="24"/>
          <w:szCs w:val="24"/>
        </w:rPr>
        <w:t>所有器械的详细描述，</w:t>
      </w:r>
    </w:p>
    <w:p w14:paraId="115E8D56">
      <w:pPr>
        <w:shd w:val="clear" w:color="auto" w:fill="FFFFFF"/>
        <w:snapToGrid w:val="0"/>
        <w:jc w:val="both"/>
        <w:rPr>
          <w:rFonts w:eastAsia="宋体"/>
          <w:color w:val="000000"/>
          <w:sz w:val="24"/>
          <w:szCs w:val="24"/>
          <w:vertAlign w:val="superscript"/>
        </w:rPr>
      </w:pPr>
    </w:p>
    <w:p w14:paraId="7360C4ED">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26FAA23">
      <w:pPr>
        <w:shd w:val="clear" w:color="auto" w:fill="FFFFFF"/>
        <w:snapToGrid w:val="0"/>
        <w:ind w:left="1206" w:leftChars="307" w:hanging="592" w:hangingChars="247"/>
        <w:jc w:val="both"/>
        <w:rPr>
          <w:rFonts w:eastAsia="宋体"/>
          <w:color w:val="000000"/>
          <w:sz w:val="24"/>
          <w:szCs w:val="24"/>
        </w:rPr>
      </w:pPr>
      <w:r>
        <w:rPr>
          <w:rFonts w:eastAsia="宋体"/>
          <w:color w:val="000000"/>
          <w:sz w:val="24"/>
          <w:szCs w:val="24"/>
        </w:rPr>
        <w:t>(i)</w:t>
      </w:r>
      <w:r>
        <w:rPr>
          <w:rFonts w:eastAsia="宋体"/>
          <w:color w:val="000000"/>
          <w:sz w:val="24"/>
          <w:szCs w:val="24"/>
        </w:rPr>
        <w:tab/>
      </w:r>
      <w:r>
        <w:rPr>
          <w:rFonts w:eastAsia="宋体"/>
          <w:color w:val="000000"/>
          <w:sz w:val="24"/>
          <w:szCs w:val="24"/>
        </w:rPr>
        <w:t>型号；</w:t>
      </w:r>
    </w:p>
    <w:p w14:paraId="70DEEC3C">
      <w:pPr>
        <w:shd w:val="clear" w:color="auto" w:fill="FFFFFF"/>
        <w:snapToGrid w:val="0"/>
        <w:ind w:left="1206" w:leftChars="307" w:hanging="592" w:hangingChars="247"/>
        <w:jc w:val="both"/>
        <w:rPr>
          <w:rFonts w:eastAsia="宋体"/>
          <w:color w:val="000000"/>
          <w:sz w:val="24"/>
          <w:szCs w:val="24"/>
        </w:rPr>
      </w:pPr>
      <w:r>
        <w:rPr>
          <w:rFonts w:eastAsia="宋体"/>
          <w:color w:val="000000"/>
          <w:sz w:val="24"/>
          <w:szCs w:val="24"/>
        </w:rPr>
        <w:t>(ii)</w:t>
      </w:r>
      <w:r>
        <w:rPr>
          <w:rFonts w:eastAsia="宋体"/>
          <w:color w:val="000000"/>
          <w:sz w:val="24"/>
          <w:szCs w:val="24"/>
        </w:rPr>
        <w:tab/>
      </w:r>
      <w:r>
        <w:rPr>
          <w:rFonts w:eastAsia="宋体"/>
          <w:color w:val="000000"/>
          <w:sz w:val="24"/>
          <w:szCs w:val="24"/>
        </w:rPr>
        <w:t>设计图纸；</w:t>
      </w:r>
    </w:p>
    <w:p w14:paraId="3319ACBD">
      <w:pPr>
        <w:shd w:val="clear" w:color="auto" w:fill="FFFFFF"/>
        <w:snapToGrid w:val="0"/>
        <w:ind w:left="1206" w:leftChars="307" w:hanging="592" w:hangingChars="247"/>
        <w:jc w:val="both"/>
        <w:rPr>
          <w:rFonts w:eastAsia="宋体"/>
          <w:color w:val="000000"/>
          <w:sz w:val="24"/>
          <w:szCs w:val="24"/>
        </w:rPr>
      </w:pPr>
      <w:r>
        <w:rPr>
          <w:rFonts w:eastAsia="宋体"/>
          <w:color w:val="000000"/>
          <w:sz w:val="24"/>
          <w:szCs w:val="24"/>
        </w:rPr>
        <w:t>(iii)</w:t>
      </w:r>
      <w:r>
        <w:rPr>
          <w:rFonts w:eastAsia="宋体"/>
          <w:color w:val="000000"/>
          <w:sz w:val="24"/>
          <w:szCs w:val="24"/>
        </w:rPr>
        <w:tab/>
      </w:r>
      <w:r>
        <w:rPr>
          <w:rFonts w:eastAsia="宋体"/>
          <w:color w:val="000000"/>
          <w:sz w:val="24"/>
          <w:szCs w:val="24"/>
        </w:rPr>
        <w:t>材料；和</w:t>
      </w:r>
    </w:p>
    <w:p w14:paraId="7B049AB6">
      <w:pPr>
        <w:shd w:val="clear" w:color="auto" w:fill="FFFFFF"/>
        <w:snapToGrid w:val="0"/>
        <w:ind w:left="1206" w:leftChars="307" w:hanging="592" w:hangingChars="247"/>
        <w:jc w:val="both"/>
        <w:rPr>
          <w:rFonts w:eastAsia="宋体"/>
          <w:sz w:val="24"/>
          <w:szCs w:val="24"/>
        </w:rPr>
      </w:pPr>
      <w:r>
        <w:rPr>
          <w:rFonts w:eastAsia="宋体"/>
          <w:color w:val="000000"/>
          <w:sz w:val="24"/>
          <w:szCs w:val="24"/>
        </w:rPr>
        <w:t>(iv)</w:t>
      </w:r>
      <w:r>
        <w:rPr>
          <w:rFonts w:eastAsia="宋体"/>
          <w:color w:val="000000"/>
          <w:sz w:val="24"/>
          <w:szCs w:val="24"/>
        </w:rPr>
        <w:tab/>
      </w:r>
      <w:r>
        <w:rPr>
          <w:rFonts w:eastAsia="宋体"/>
          <w:color w:val="000000"/>
          <w:sz w:val="24"/>
          <w:szCs w:val="24"/>
        </w:rPr>
        <w:t>与预期与植入式BCI器械（可能已获准/许可与其他电极导线或电极联合使用）联合使用的所有器械的相似性。</w:t>
      </w:r>
    </w:p>
    <w:p w14:paraId="7AB01FF7">
      <w:pPr>
        <w:pStyle w:val="3"/>
        <w:spacing w:before="240" w:after="240"/>
      </w:pPr>
      <w:bookmarkStart w:id="13" w:name="bookmark4"/>
      <w:bookmarkStart w:id="14" w:name="_Toc97494938"/>
      <w:r>
        <w:t>B</w:t>
      </w:r>
      <w:bookmarkEnd w:id="13"/>
      <w:r>
        <w:t>.</w:t>
      </w:r>
      <w:r>
        <w:tab/>
      </w:r>
      <w:r>
        <w:t>风险管理</w:t>
      </w:r>
      <w:bookmarkEnd w:id="14"/>
    </w:p>
    <w:p w14:paraId="51C73DA4">
      <w:pPr>
        <w:shd w:val="clear" w:color="auto" w:fill="FFFFFF"/>
        <w:snapToGrid w:val="0"/>
        <w:jc w:val="both"/>
        <w:rPr>
          <w:rFonts w:eastAsia="宋体"/>
          <w:color w:val="000000"/>
          <w:sz w:val="24"/>
          <w:szCs w:val="24"/>
        </w:rPr>
      </w:pPr>
      <w:r>
        <w:rPr>
          <w:rFonts w:eastAsia="宋体"/>
          <w:color w:val="000000"/>
          <w:sz w:val="24"/>
          <w:szCs w:val="24"/>
        </w:rPr>
        <w:t>我们建议贵司采用公认的风险管理原则，如目前公认的ISO 14971版本中</w:t>
      </w:r>
      <w:r>
        <w:rPr>
          <w:rFonts w:hint="eastAsia" w:eastAsia="宋体"/>
          <w:color w:val="000000"/>
          <w:sz w:val="24"/>
          <w:szCs w:val="24"/>
        </w:rPr>
        <w:t>所述</w:t>
      </w:r>
      <w:r>
        <w:rPr>
          <w:rFonts w:eastAsia="宋体"/>
          <w:color w:val="000000"/>
          <w:sz w:val="24"/>
          <w:szCs w:val="24"/>
        </w:rPr>
        <w:t>的原则。</w:t>
      </w:r>
      <w:r>
        <w:rPr>
          <w:rFonts w:eastAsia="宋体"/>
          <w:i/>
          <w:iCs/>
          <w:color w:val="000000"/>
          <w:sz w:val="24"/>
          <w:szCs w:val="24"/>
        </w:rPr>
        <w:t>医疗器械–对医疗器械申请风险管理</w:t>
      </w:r>
      <w:r>
        <w:rPr>
          <w:rFonts w:eastAsia="宋体"/>
          <w:color w:val="000000"/>
          <w:sz w:val="24"/>
          <w:szCs w:val="24"/>
        </w:rPr>
        <w:t>，同时在器械开发过程中，将风险分析作为21 CFR 820要求的设计控制的一部分。我们建议贵司提交风险管理信息，以识别危险情况，估计风险（例如，器械故障、不良组织反应、感染、使用错误、外渗的风险），并描述风险控制措施和器械特有的总体剩余风险。应提供因这些活动而进行的某些验证和确认测试（如下文D至L节所述）。</w:t>
      </w:r>
    </w:p>
    <w:p w14:paraId="6394A09B">
      <w:pPr>
        <w:shd w:val="clear" w:color="auto" w:fill="FFFFFF"/>
        <w:snapToGrid w:val="0"/>
        <w:jc w:val="both"/>
        <w:rPr>
          <w:rFonts w:eastAsia="宋体"/>
          <w:sz w:val="24"/>
          <w:szCs w:val="24"/>
        </w:rPr>
      </w:pPr>
    </w:p>
    <w:p w14:paraId="57E246F4">
      <w:pPr>
        <w:shd w:val="clear" w:color="auto" w:fill="FFFFFF"/>
        <w:snapToGrid w:val="0"/>
        <w:jc w:val="both"/>
        <w:rPr>
          <w:rFonts w:eastAsia="宋体"/>
          <w:color w:val="000000"/>
          <w:sz w:val="24"/>
          <w:szCs w:val="24"/>
        </w:rPr>
      </w:pPr>
      <w:r>
        <w:rPr>
          <w:rFonts w:eastAsia="宋体"/>
          <w:color w:val="000000"/>
          <w:sz w:val="24"/>
          <w:szCs w:val="24"/>
        </w:rPr>
        <w:t>我们建议风险分析从用户的角度对器械的潜在危险（如硬件、软件、非临床相关和临床相关危险）进行详细的定性检查。我们还建议识别由单一故障条件引起的危险，以确保植入BCI器械的任何单一部件的故障不会在使用过程中造成不可接受的风险。</w:t>
      </w:r>
    </w:p>
    <w:p w14:paraId="1EC8E705">
      <w:pPr>
        <w:shd w:val="clear" w:color="auto" w:fill="FFFFFF"/>
        <w:snapToGrid w:val="0"/>
        <w:jc w:val="both"/>
        <w:rPr>
          <w:rFonts w:eastAsia="宋体"/>
          <w:sz w:val="24"/>
          <w:szCs w:val="24"/>
        </w:rPr>
      </w:pPr>
    </w:p>
    <w:p w14:paraId="1C535F45">
      <w:pPr>
        <w:shd w:val="clear" w:color="auto" w:fill="FFFFFF"/>
        <w:snapToGrid w:val="0"/>
        <w:jc w:val="both"/>
        <w:rPr>
          <w:rFonts w:eastAsia="宋体"/>
          <w:color w:val="000000"/>
          <w:sz w:val="24"/>
          <w:szCs w:val="24"/>
        </w:rPr>
      </w:pPr>
      <w:bookmarkStart w:id="15" w:name="bookmark5"/>
      <w:bookmarkEnd w:id="15"/>
      <w:r>
        <w:rPr>
          <w:rFonts w:eastAsia="宋体"/>
          <w:color w:val="000000"/>
          <w:sz w:val="24"/>
          <w:szCs w:val="24"/>
        </w:rPr>
        <w:t>风险分析应以表格形式提供，并应分析已识别风险的所有潜在原因。此外，还应确定所有缓解策略或纠正措施，并详细分析纠正措施使临床风险降低到可接受水平的方法。贵司应提供风险等级可接受的基本原理。</w:t>
      </w:r>
    </w:p>
    <w:p w14:paraId="457A933D">
      <w:pPr>
        <w:pStyle w:val="3"/>
        <w:spacing w:before="240" w:after="240"/>
      </w:pPr>
      <w:bookmarkStart w:id="16" w:name="_Toc97494939"/>
      <w:r>
        <w:t>C.</w:t>
      </w:r>
      <w:r>
        <w:tab/>
      </w:r>
      <w:r>
        <w:t>软件</w:t>
      </w:r>
      <w:bookmarkEnd w:id="16"/>
    </w:p>
    <w:p w14:paraId="0A6F5558">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：植入BCI器械中的软件可确保植入BCI系统的各种组件（如信号处理模块、控制器、刺激硬件和辅助器械）按预期运行，并在适当时提供软件缓解措施。充分的软件性能测试可确保器械在安全参数范围内运行。</w:t>
      </w:r>
    </w:p>
    <w:p w14:paraId="6C29BDB3">
      <w:pPr>
        <w:shd w:val="clear" w:color="auto" w:fill="FFFFFF"/>
        <w:snapToGrid w:val="0"/>
        <w:jc w:val="both"/>
        <w:rPr>
          <w:rFonts w:eastAsia="宋体"/>
          <w:sz w:val="24"/>
          <w:szCs w:val="24"/>
        </w:rPr>
      </w:pPr>
    </w:p>
    <w:p w14:paraId="185F66BA">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：有关贵司申报资料中应提供的软件文件讨论，请参考FDA软件指南《</w:t>
      </w:r>
      <w:r>
        <w:rPr>
          <w:rFonts w:eastAsia="宋体"/>
          <w:color w:val="0000FF"/>
          <w:sz w:val="24"/>
          <w:szCs w:val="24"/>
          <w:u w:val="single"/>
        </w:rPr>
        <w:t>医疗器械中所含软件的上市前申报资料内容指南</w:t>
      </w:r>
      <w:r>
        <w:rPr>
          <w:rFonts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6"/>
      </w:r>
      <w:r>
        <w:rPr>
          <w:rFonts w:eastAsia="宋体"/>
          <w:color w:val="000000"/>
          <w:sz w:val="24"/>
          <w:szCs w:val="24"/>
        </w:rPr>
        <w:t>。该软件指南概述了拟定基于器械相关</w:t>
      </w:r>
      <w:r>
        <w:rPr>
          <w:rFonts w:ascii="宋体" w:hAnsi="宋体" w:eastAsia="宋体"/>
          <w:color w:val="000000"/>
          <w:sz w:val="24"/>
          <w:szCs w:val="24"/>
        </w:rPr>
        <w:t>“</w:t>
      </w:r>
      <w:r>
        <w:rPr>
          <w:rFonts w:eastAsia="宋体"/>
          <w:color w:val="000000"/>
          <w:sz w:val="24"/>
          <w:szCs w:val="24"/>
        </w:rPr>
        <w:t>关注等级</w:t>
      </w:r>
      <w:r>
        <w:rPr>
          <w:rFonts w:ascii="宋体" w:hAnsi="宋体" w:eastAsia="宋体"/>
          <w:color w:val="000000"/>
          <w:sz w:val="24"/>
          <w:szCs w:val="24"/>
        </w:rPr>
        <w:t>”</w:t>
      </w:r>
      <w:r>
        <w:rPr>
          <w:rFonts w:eastAsia="宋体"/>
          <w:color w:val="000000"/>
          <w:sz w:val="24"/>
          <w:szCs w:val="24"/>
        </w:rPr>
        <w:t>提供的文件类型。我局通常认为植入式BCI器械的软件呈现</w:t>
      </w:r>
      <w:r>
        <w:rPr>
          <w:rFonts w:ascii="宋体" w:hAnsi="宋体" w:eastAsia="宋体"/>
          <w:color w:val="000000"/>
          <w:sz w:val="24"/>
          <w:szCs w:val="24"/>
        </w:rPr>
        <w:t>“</w:t>
      </w:r>
      <w:r>
        <w:rPr>
          <w:rFonts w:eastAsia="宋体"/>
          <w:color w:val="000000"/>
          <w:sz w:val="24"/>
          <w:szCs w:val="24"/>
        </w:rPr>
        <w:t>严重</w:t>
      </w:r>
      <w:r>
        <w:rPr>
          <w:rFonts w:ascii="宋体" w:hAnsi="宋体" w:eastAsia="宋体"/>
          <w:color w:val="000000"/>
          <w:sz w:val="24"/>
          <w:szCs w:val="24"/>
        </w:rPr>
        <w:t>”</w:t>
      </w:r>
      <w:r>
        <w:rPr>
          <w:rFonts w:eastAsia="宋体"/>
          <w:color w:val="000000"/>
          <w:sz w:val="24"/>
          <w:szCs w:val="24"/>
        </w:rPr>
        <w:t>关注等级。如果贵司认为器械中的软件存在软件指南中定义的</w:t>
      </w:r>
      <w:r>
        <w:rPr>
          <w:rFonts w:ascii="宋体" w:hAnsi="宋体" w:eastAsia="宋体"/>
          <w:color w:val="000000"/>
          <w:sz w:val="24"/>
          <w:szCs w:val="24"/>
        </w:rPr>
        <w:t>“</w:t>
      </w:r>
      <w:r>
        <w:rPr>
          <w:rFonts w:eastAsia="宋体"/>
          <w:color w:val="000000"/>
          <w:sz w:val="24"/>
          <w:szCs w:val="24"/>
        </w:rPr>
        <w:t>轻微</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中度</w:t>
      </w:r>
      <w:r>
        <w:rPr>
          <w:rFonts w:ascii="宋体" w:hAnsi="宋体" w:eastAsia="宋体"/>
          <w:color w:val="000000"/>
          <w:sz w:val="24"/>
          <w:szCs w:val="24"/>
        </w:rPr>
        <w:t>”</w:t>
      </w:r>
      <w:r>
        <w:rPr>
          <w:rFonts w:eastAsia="宋体"/>
          <w:color w:val="000000"/>
          <w:sz w:val="24"/>
          <w:szCs w:val="24"/>
        </w:rPr>
        <w:t>问题，则应根据软件故障的可能后果，提供科学的理由，支持贵司对问题级别的理由。</w:t>
      </w:r>
      <w:r>
        <w:rPr>
          <w:rFonts w:eastAsia="宋体"/>
          <w:sz w:val="24"/>
          <w:szCs w:val="24"/>
        </w:rPr>
        <w:t xml:space="preserve"> </w:t>
      </w:r>
    </w:p>
    <w:p w14:paraId="1EF4BA39">
      <w:pPr>
        <w:shd w:val="clear" w:color="auto" w:fill="FFFFFF"/>
        <w:snapToGrid w:val="0"/>
        <w:jc w:val="both"/>
        <w:rPr>
          <w:rFonts w:eastAsia="宋体"/>
          <w:sz w:val="24"/>
          <w:szCs w:val="24"/>
        </w:rPr>
      </w:pPr>
    </w:p>
    <w:p w14:paraId="2D98EF94">
      <w:pPr>
        <w:shd w:val="clear" w:color="auto" w:fill="FFFFFF"/>
        <w:snapToGrid w:val="0"/>
        <w:jc w:val="both"/>
        <w:rPr>
          <w:rFonts w:eastAsia="宋体"/>
          <w:color w:val="000000"/>
          <w:sz w:val="24"/>
          <w:szCs w:val="24"/>
          <w:vertAlign w:val="superscript"/>
        </w:rPr>
      </w:pPr>
    </w:p>
    <w:p w14:paraId="5F2BD68F">
      <w:pPr>
        <w:shd w:val="clear" w:color="auto" w:fill="FFFFFF"/>
        <w:snapToGrid w:val="0"/>
        <w:jc w:val="both"/>
        <w:rPr>
          <w:rFonts w:eastAsia="宋体"/>
          <w:sz w:val="24"/>
          <w:szCs w:val="24"/>
        </w:rPr>
      </w:pPr>
    </w:p>
    <w:p w14:paraId="2FD304F7">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D72497A">
      <w:pPr>
        <w:shd w:val="clear" w:color="auto" w:fill="FFFFFF"/>
        <w:snapToGrid w:val="0"/>
        <w:jc w:val="both"/>
        <w:rPr>
          <w:rFonts w:eastAsia="宋体"/>
          <w:color w:val="000000"/>
          <w:sz w:val="24"/>
          <w:szCs w:val="24"/>
        </w:rPr>
      </w:pPr>
      <w:r>
        <w:rPr>
          <w:rFonts w:eastAsia="宋体"/>
          <w:color w:val="000000"/>
          <w:sz w:val="24"/>
          <w:szCs w:val="24"/>
        </w:rPr>
        <w:t>我们建议贵司提供软件/固件（包括编程语言、硬件平台、操作系统和现成软件的使用，如适用）的完整说明，以支持遵循软件指南的受试者器械的操作，并与适当的关注级别相称。本建议适用于原始器械/系统以及已上市器械的任何软件/固件变更。必须按照《美国联邦法规》第21篇第820.30（g）（i）条</w:t>
      </w:r>
      <w:r>
        <w:rPr>
          <w:rFonts w:ascii="宋体" w:hAnsi="宋体" w:eastAsia="宋体"/>
          <w:color w:val="000000"/>
          <w:sz w:val="24"/>
          <w:szCs w:val="24"/>
        </w:rPr>
        <w:t>“</w:t>
      </w:r>
      <w:r>
        <w:rPr>
          <w:rFonts w:eastAsia="宋体"/>
          <w:color w:val="000000"/>
          <w:sz w:val="24"/>
          <w:szCs w:val="24"/>
        </w:rPr>
        <w:t>设计控制</w:t>
      </w:r>
      <w:r>
        <w:rPr>
          <w:rFonts w:ascii="宋体" w:hAnsi="宋体" w:eastAsia="宋体"/>
          <w:color w:val="000000"/>
          <w:sz w:val="24"/>
          <w:szCs w:val="24"/>
        </w:rPr>
        <w:t>”</w:t>
      </w:r>
      <w:r>
        <w:rPr>
          <w:rFonts w:eastAsia="宋体"/>
          <w:color w:val="000000"/>
          <w:sz w:val="24"/>
          <w:szCs w:val="24"/>
        </w:rPr>
        <w:t>重新确认并重新验证软件变更，并记录在</w:t>
      </w:r>
      <w:r>
        <w:rPr>
          <w:rFonts w:ascii="宋体" w:hAnsi="宋体" w:eastAsia="宋体"/>
          <w:color w:val="000000"/>
          <w:sz w:val="24"/>
          <w:szCs w:val="24"/>
        </w:rPr>
        <w:t>“</w:t>
      </w:r>
      <w:r>
        <w:rPr>
          <w:rFonts w:eastAsia="宋体"/>
          <w:color w:val="000000"/>
          <w:sz w:val="24"/>
          <w:szCs w:val="24"/>
        </w:rPr>
        <w:t>设计历史文档</w:t>
      </w:r>
      <w:r>
        <w:rPr>
          <w:rFonts w:ascii="宋体" w:hAnsi="宋体" w:eastAsia="宋体"/>
          <w:color w:val="000000"/>
          <w:sz w:val="24"/>
          <w:szCs w:val="24"/>
        </w:rPr>
        <w:t>”</w:t>
      </w:r>
      <w:r>
        <w:rPr>
          <w:rFonts w:eastAsia="宋体"/>
          <w:color w:val="000000"/>
          <w:sz w:val="24"/>
          <w:szCs w:val="24"/>
        </w:rPr>
        <w:t>《美国联邦法规》第21篇第820.30（j）条中。</w:t>
      </w:r>
    </w:p>
    <w:p w14:paraId="3479ADAE">
      <w:pPr>
        <w:shd w:val="clear" w:color="auto" w:fill="FFFFFF"/>
        <w:snapToGrid w:val="0"/>
        <w:jc w:val="both"/>
        <w:rPr>
          <w:rFonts w:eastAsia="宋体"/>
          <w:sz w:val="24"/>
          <w:szCs w:val="24"/>
        </w:rPr>
      </w:pPr>
    </w:p>
    <w:p w14:paraId="3B08B651">
      <w:pPr>
        <w:shd w:val="clear" w:color="auto" w:fill="FFFFFF"/>
        <w:snapToGrid w:val="0"/>
        <w:jc w:val="both"/>
        <w:rPr>
          <w:rFonts w:eastAsia="宋体"/>
          <w:color w:val="000000"/>
          <w:sz w:val="24"/>
          <w:szCs w:val="24"/>
        </w:rPr>
      </w:pPr>
      <w:r>
        <w:rPr>
          <w:rFonts w:eastAsia="宋体"/>
          <w:color w:val="000000"/>
          <w:sz w:val="24"/>
          <w:szCs w:val="24"/>
        </w:rPr>
        <w:t>对于早期可行性研究，我们建议贵司提供足够的软件性能测试，以确保系统在安全参数范围内运行。总体而言，软件相关文档应提供充分的证据，以描述器械所含软件的作用、器械相关风险和性能测试，从而证明软件功能符合预期。对于控制各种辅助受动器组件（即电动轮椅、计算机软件、上肢假肢）的软件，我们建议贵司在风险分析计划中考虑任何与软件相关的危险以及由于算法更新而产生的相关变化。</w:t>
      </w:r>
    </w:p>
    <w:p w14:paraId="58470D8D">
      <w:pPr>
        <w:shd w:val="clear" w:color="auto" w:fill="FFFFFF"/>
        <w:snapToGrid w:val="0"/>
        <w:jc w:val="both"/>
        <w:rPr>
          <w:rFonts w:eastAsia="宋体"/>
          <w:sz w:val="24"/>
          <w:szCs w:val="24"/>
        </w:rPr>
      </w:pPr>
    </w:p>
    <w:p w14:paraId="38DFC90B">
      <w:pPr>
        <w:shd w:val="clear" w:color="auto" w:fill="FFFFFF"/>
        <w:snapToGrid w:val="0"/>
        <w:jc w:val="both"/>
        <w:rPr>
          <w:rFonts w:eastAsia="宋体"/>
          <w:sz w:val="24"/>
          <w:szCs w:val="24"/>
        </w:rPr>
      </w:pPr>
      <w:r>
        <w:rPr>
          <w:rFonts w:eastAsia="宋体"/>
          <w:color w:val="000000"/>
          <w:sz w:val="24"/>
          <w:szCs w:val="24"/>
        </w:rPr>
        <w:t>必要时，贵司还应提供贵司器械的网络安全相关信息。有关本主题的更多信息，请见FDA指南《</w:t>
      </w:r>
      <w:r>
        <w:rPr>
          <w:rFonts w:eastAsia="宋体"/>
          <w:color w:val="0000FF"/>
          <w:sz w:val="24"/>
          <w:szCs w:val="24"/>
        </w:rPr>
        <w:t>医疗器械网络安全管理的上市前申报资料内容</w:t>
      </w:r>
      <w:r>
        <w:rPr>
          <w:rFonts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7"/>
      </w:r>
    </w:p>
    <w:p w14:paraId="7C307745">
      <w:pPr>
        <w:shd w:val="clear" w:color="auto" w:fill="FFFFFF"/>
        <w:snapToGrid w:val="0"/>
        <w:jc w:val="both"/>
        <w:rPr>
          <w:rFonts w:eastAsia="宋体"/>
          <w:sz w:val="24"/>
          <w:szCs w:val="24"/>
        </w:rPr>
      </w:pPr>
    </w:p>
    <w:p w14:paraId="6A5C8ED2">
      <w:pPr>
        <w:shd w:val="clear" w:color="auto" w:fill="FFFFFF"/>
        <w:snapToGrid w:val="0"/>
        <w:jc w:val="both"/>
        <w:rPr>
          <w:rFonts w:eastAsia="宋体"/>
          <w:color w:val="000000"/>
          <w:sz w:val="24"/>
          <w:szCs w:val="24"/>
        </w:rPr>
      </w:pPr>
      <w:r>
        <w:rPr>
          <w:rFonts w:eastAsia="宋体"/>
          <w:color w:val="000000"/>
          <w:sz w:val="24"/>
          <w:szCs w:val="24"/>
        </w:rPr>
        <w:t>如果器械包括现成软件，贵司应提供关于使用现成软件的医疗器械的附加信息的FDA题为</w:t>
      </w:r>
      <w:r>
        <w:rPr>
          <w:rFonts w:ascii="宋体" w:hAnsi="宋体" w:eastAsia="宋体"/>
          <w:color w:val="000000"/>
          <w:sz w:val="24"/>
          <w:szCs w:val="24"/>
        </w:rPr>
        <w:t>“</w:t>
      </w:r>
      <w:r>
        <w:rPr>
          <w:rFonts w:eastAsia="宋体"/>
          <w:color w:val="0000FF"/>
          <w:sz w:val="24"/>
          <w:szCs w:val="24"/>
          <w:u w:val="single"/>
        </w:rPr>
        <w:t>现成软件在医疗器械中的使用</w:t>
      </w:r>
      <w:r>
        <w:rPr>
          <w:rFonts w:ascii="宋体" w:hAnsi="宋体" w:eastAsia="宋体"/>
          <w:color w:val="000000"/>
          <w:sz w:val="24"/>
          <w:szCs w:val="24"/>
        </w:rPr>
        <w:t>”</w:t>
      </w:r>
      <w:r>
        <w:rPr>
          <w:rFonts w:eastAsia="宋体"/>
          <w:color w:val="000000"/>
          <w:sz w:val="24"/>
          <w:szCs w:val="24"/>
          <w:vertAlign w:val="superscript"/>
        </w:rPr>
        <w:footnoteReference w:id="8"/>
      </w:r>
      <w:r>
        <w:rPr>
          <w:rFonts w:eastAsia="宋体"/>
          <w:color w:val="000000"/>
          <w:sz w:val="24"/>
          <w:szCs w:val="24"/>
        </w:rPr>
        <w:t>和</w:t>
      </w:r>
      <w:r>
        <w:rPr>
          <w:rFonts w:ascii="宋体" w:hAnsi="宋体" w:eastAsia="宋体"/>
          <w:color w:val="000000"/>
          <w:sz w:val="24"/>
          <w:szCs w:val="24"/>
          <w:u w:val="single"/>
        </w:rPr>
        <w:t>“</w:t>
      </w:r>
      <w:r>
        <w:rPr>
          <w:rFonts w:eastAsia="宋体"/>
          <w:color w:val="0000FF"/>
          <w:sz w:val="24"/>
          <w:szCs w:val="24"/>
          <w:u w:val="single"/>
        </w:rPr>
        <w:t>包含现货（OTS）软件的网络医疗器械的网络安全</w:t>
      </w:r>
      <w:r>
        <w:rPr>
          <w:rFonts w:ascii="宋体" w:hAnsi="宋体" w:eastAsia="宋体"/>
          <w:color w:val="000000"/>
          <w:sz w:val="24"/>
          <w:szCs w:val="24"/>
        </w:rPr>
        <w:t>”</w:t>
      </w:r>
      <w:r>
        <w:rPr>
          <w:rFonts w:eastAsia="宋体"/>
          <w:color w:val="000000"/>
          <w:sz w:val="24"/>
          <w:szCs w:val="24"/>
          <w:vertAlign w:val="superscript"/>
        </w:rPr>
        <w:footnoteReference w:id="9"/>
      </w:r>
      <w:r>
        <w:rPr>
          <w:rFonts w:eastAsia="宋体"/>
          <w:color w:val="000000"/>
          <w:sz w:val="24"/>
          <w:szCs w:val="24"/>
        </w:rPr>
        <w:t>的文件中的建议，提供有关使用现成软件的医疗器械的附加信息。</w:t>
      </w:r>
    </w:p>
    <w:p w14:paraId="7BDFF8C2">
      <w:pPr>
        <w:shd w:val="clear" w:color="auto" w:fill="FFFFFF"/>
        <w:snapToGrid w:val="0"/>
        <w:jc w:val="both"/>
        <w:rPr>
          <w:rFonts w:eastAsia="宋体"/>
          <w:sz w:val="24"/>
          <w:szCs w:val="24"/>
        </w:rPr>
      </w:pPr>
    </w:p>
    <w:p w14:paraId="5A572EF3">
      <w:pPr>
        <w:shd w:val="clear" w:color="auto" w:fill="FFFFFF"/>
        <w:snapToGrid w:val="0"/>
        <w:jc w:val="both"/>
        <w:rPr>
          <w:rFonts w:eastAsia="宋体"/>
          <w:sz w:val="24"/>
          <w:szCs w:val="24"/>
        </w:rPr>
      </w:pPr>
      <w:r>
        <w:rPr>
          <w:rFonts w:eastAsia="宋体"/>
          <w:color w:val="000000"/>
          <w:sz w:val="24"/>
          <w:szCs w:val="24"/>
        </w:rPr>
        <w:t>总体而言，医疗器械软件相关文件应提供充分的证据，以描述软件在器械中的作用并展开性能测试证明软件按设计运行。</w:t>
      </w:r>
    </w:p>
    <w:p w14:paraId="5DB0FF82">
      <w:pPr>
        <w:shd w:val="clear" w:color="auto" w:fill="FFFFFF"/>
        <w:tabs>
          <w:tab w:val="left" w:pos="226"/>
        </w:tabs>
        <w:snapToGrid w:val="0"/>
        <w:jc w:val="both"/>
        <w:rPr>
          <w:rFonts w:eastAsia="宋体"/>
          <w:color w:val="000000"/>
          <w:sz w:val="24"/>
          <w:szCs w:val="24"/>
          <w:vertAlign w:val="superscript"/>
        </w:rPr>
      </w:pPr>
    </w:p>
    <w:p w14:paraId="6A471942">
      <w:pPr>
        <w:shd w:val="clear" w:color="auto" w:fill="FFFFFF"/>
        <w:tabs>
          <w:tab w:val="left" w:pos="226"/>
        </w:tabs>
        <w:snapToGrid w:val="0"/>
        <w:jc w:val="both"/>
        <w:rPr>
          <w:rFonts w:eastAsia="宋体"/>
          <w:sz w:val="24"/>
          <w:szCs w:val="24"/>
        </w:rPr>
      </w:pPr>
    </w:p>
    <w:p w14:paraId="44A0DC8E">
      <w:pPr>
        <w:shd w:val="clear" w:color="auto" w:fill="FFFFFF"/>
        <w:tabs>
          <w:tab w:val="left" w:pos="226"/>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A3A1CC8">
      <w:pPr>
        <w:pStyle w:val="3"/>
        <w:spacing w:before="240" w:after="240"/>
      </w:pPr>
      <w:bookmarkStart w:id="17" w:name="_Toc97494940"/>
      <w:r>
        <w:t>D.</w:t>
      </w:r>
      <w:r>
        <w:tab/>
      </w:r>
      <w:r>
        <w:t>人为因素</w:t>
      </w:r>
      <w:bookmarkEnd w:id="17"/>
    </w:p>
    <w:p w14:paraId="526F25C2">
      <w:pPr>
        <w:shd w:val="clear" w:color="auto" w:fill="FFFFFF"/>
        <w:snapToGrid w:val="0"/>
        <w:jc w:val="both"/>
        <w:rPr>
          <w:rFonts w:eastAsia="宋体"/>
          <w:color w:val="000000"/>
          <w:sz w:val="24"/>
          <w:szCs w:val="24"/>
        </w:rPr>
      </w:pPr>
      <w:bookmarkStart w:id="18" w:name="bookmark6"/>
      <w:bookmarkEnd w:id="18"/>
      <w:r>
        <w:rPr>
          <w:rFonts w:eastAsia="宋体"/>
          <w:color w:val="000000"/>
          <w:sz w:val="24"/>
          <w:szCs w:val="24"/>
          <w:u w:val="single"/>
        </w:rPr>
        <w:t>重要性</w:t>
      </w:r>
      <w:r>
        <w:rPr>
          <w:rFonts w:eastAsia="宋体"/>
          <w:color w:val="000000"/>
          <w:sz w:val="24"/>
          <w:szCs w:val="24"/>
        </w:rPr>
        <w:t>：与使用相关的危害是由最终用户（如患者、外科医生、修复师、护理人员）使用植入BCI器械的故障模式导致的危害。它们是一种独特的危险形式，即使器械按照规范运行，也可能存在与使用相关的危险。它们通常不涉及与先前已知或合理预期的机械、电气和软件组件相关的特定故障模式。这些危险可能是由于用户界面设计的某些方面导致用户无法充分或正确地感知、阅读、解释、理解或处理来自器械的信息造成的。与使用相关的危害可能对用户造成不同程度的潜在危害，从导致用户烦恼的危害到导致死亡的危害。无论使用相关危险的潜在危害的严重程度如何，了解和识别这些危险对于确保贵司设计了一个安全和可用的器械是很重要的。</w:t>
      </w:r>
    </w:p>
    <w:p w14:paraId="0D085C0C">
      <w:pPr>
        <w:shd w:val="clear" w:color="auto" w:fill="FFFFFF"/>
        <w:snapToGrid w:val="0"/>
        <w:jc w:val="both"/>
        <w:rPr>
          <w:rFonts w:eastAsia="宋体"/>
          <w:sz w:val="24"/>
          <w:szCs w:val="24"/>
        </w:rPr>
      </w:pPr>
    </w:p>
    <w:p w14:paraId="14BFE04D">
      <w:pPr>
        <w:shd w:val="clear" w:color="auto" w:fill="FFFFFF"/>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为了理解和识别与使用植入BCI器械相关的使用相关危险，必须准确、完整地了解用户在使用器械时所需的特定行为、器械将使用的环境、器械的预期用户，以及环境条件和预期用户特征如何影响器械使用。有了这些信息，贵司应该能够将与使用相关的危险纳入风险管理流程的早期阶段，以确保将用户安全和满意度纳入器械设计和开发中。关于风险管理的其他建议，见本指南文件</w:t>
      </w:r>
      <w:r>
        <w:rPr>
          <w:rFonts w:eastAsia="宋体"/>
          <w:color w:val="0000FF"/>
          <w:sz w:val="24"/>
          <w:szCs w:val="24"/>
        </w:rPr>
        <w:t>第</w:t>
      </w:r>
      <w:r>
        <w:rPr>
          <w:rFonts w:eastAsia="宋体"/>
          <w:color w:val="0000FF"/>
          <w:sz w:val="24"/>
          <w:szCs w:val="24"/>
          <w:u w:val="single"/>
        </w:rPr>
        <w:t>III.B节</w:t>
      </w:r>
      <w:r>
        <w:rPr>
          <w:rFonts w:eastAsia="宋体"/>
          <w:color w:val="000000"/>
          <w:sz w:val="24"/>
          <w:szCs w:val="24"/>
        </w:rPr>
        <w:t>。</w:t>
      </w:r>
    </w:p>
    <w:p w14:paraId="200C9655">
      <w:pPr>
        <w:shd w:val="clear" w:color="auto" w:fill="FFFFFF"/>
        <w:snapToGrid w:val="0"/>
        <w:jc w:val="both"/>
        <w:rPr>
          <w:rFonts w:eastAsia="宋体"/>
          <w:sz w:val="24"/>
          <w:szCs w:val="24"/>
        </w:rPr>
      </w:pPr>
    </w:p>
    <w:p w14:paraId="1DF002BD">
      <w:pPr>
        <w:shd w:val="clear" w:color="auto" w:fill="FFFFFF"/>
        <w:snapToGrid w:val="0"/>
        <w:jc w:val="both"/>
        <w:rPr>
          <w:rFonts w:eastAsia="宋体"/>
          <w:color w:val="000000"/>
          <w:sz w:val="24"/>
          <w:szCs w:val="24"/>
        </w:rPr>
      </w:pPr>
      <w:r>
        <w:rPr>
          <w:rFonts w:eastAsia="宋体"/>
          <w:color w:val="000000"/>
          <w:sz w:val="24"/>
          <w:szCs w:val="24"/>
        </w:rPr>
        <w:t>许多植入BCI器械可能会进行早期可行性研究。通常不需要人为因素验证和评价来支持可行性研究批准；但是，可能需要人为因素数据来支持贵司将来向FDA提交的上市申请。如果贵司的器械仍在开发中，并且贵司打算通过IDE进行早期可行性研究，则可以进行早期可行性研究，以获得对人为因素的初步了解（例如，理解程序步骤的困难、培训不足）。</w:t>
      </w:r>
      <w:r>
        <w:rPr>
          <w:rFonts w:eastAsia="宋体"/>
          <w:color w:val="000000"/>
          <w:sz w:val="21"/>
          <w:szCs w:val="21"/>
          <w:vertAlign w:val="superscript"/>
        </w:rPr>
        <w:footnoteReference w:id="10"/>
      </w:r>
      <w:r>
        <w:rPr>
          <w:rFonts w:eastAsia="宋体"/>
          <w:color w:val="000000"/>
          <w:sz w:val="24"/>
          <w:szCs w:val="24"/>
        </w:rPr>
        <w:t xml:space="preserve"> 在实施植入BCI器械的早期可行性研究之前，我们建议遵循FDA指南第6节，</w:t>
      </w:r>
      <w:r>
        <w:rPr>
          <w:rFonts w:ascii="宋体" w:hAnsi="宋体" w:eastAsia="宋体"/>
          <w:color w:val="000000"/>
          <w:sz w:val="24"/>
          <w:szCs w:val="24"/>
        </w:rPr>
        <w:t>“</w:t>
      </w:r>
      <w:r>
        <w:rPr>
          <w:rFonts w:eastAsia="宋体"/>
          <w:color w:val="0000FF"/>
          <w:sz w:val="24"/>
          <w:szCs w:val="24"/>
          <w:u w:val="single"/>
        </w:rPr>
        <w:t>将人为因素和可及性工程应用于医疗器械</w:t>
      </w:r>
      <w:r>
        <w:rPr>
          <w:rFonts w:eastAsia="宋体"/>
          <w:color w:val="0000FF"/>
          <w:sz w:val="24"/>
          <w:szCs w:val="24"/>
        </w:rPr>
        <w:t>，</w:t>
      </w:r>
      <w:r>
        <w:rPr>
          <w:rFonts w:ascii="宋体" w:hAnsi="宋体" w:eastAsia="宋体"/>
          <w:color w:val="000000"/>
          <w:sz w:val="24"/>
          <w:szCs w:val="24"/>
        </w:rPr>
        <w:t>”</w:t>
      </w:r>
      <w:r>
        <w:rPr>
          <w:rFonts w:eastAsia="宋体"/>
          <w:color w:val="000000"/>
          <w:sz w:val="24"/>
          <w:szCs w:val="24"/>
          <w:vertAlign w:val="superscript"/>
        </w:rPr>
        <w:footnoteReference w:id="11"/>
      </w:r>
      <w:r>
        <w:rPr>
          <w:rFonts w:eastAsia="宋体"/>
          <w:color w:val="000000"/>
          <w:sz w:val="24"/>
          <w:szCs w:val="24"/>
        </w:rPr>
        <w:t>以考虑人为因素。</w:t>
      </w:r>
    </w:p>
    <w:p w14:paraId="1BA5C78E">
      <w:pPr>
        <w:shd w:val="clear" w:color="auto" w:fill="FFFFFF"/>
        <w:snapToGrid w:val="0"/>
        <w:jc w:val="both"/>
        <w:rPr>
          <w:rFonts w:eastAsia="宋体"/>
          <w:sz w:val="24"/>
          <w:szCs w:val="24"/>
        </w:rPr>
      </w:pPr>
    </w:p>
    <w:p w14:paraId="41E56395">
      <w:pPr>
        <w:shd w:val="clear" w:color="auto" w:fill="FFFFFF"/>
        <w:snapToGrid w:val="0"/>
        <w:jc w:val="both"/>
        <w:rPr>
          <w:rFonts w:eastAsia="宋体"/>
          <w:sz w:val="24"/>
          <w:szCs w:val="24"/>
        </w:rPr>
      </w:pPr>
      <w:r>
        <w:rPr>
          <w:rFonts w:eastAsia="宋体"/>
          <w:color w:val="000000"/>
          <w:sz w:val="24"/>
          <w:szCs w:val="24"/>
        </w:rPr>
        <w:t>我们建议在贵司的研究方案中确定一个计划，以便在早期可行性研究过程中获取可及性信息。此信息可用于根据需要修改程序或器械。为了解决和减轻最终器械设计中与使用相关的危害，我们建议在器械设计过程的早期以及器械开发和评价过程中反复进行可及性评价（例如，认知演练、模拟使用测试、满意度调查）。</w:t>
      </w:r>
    </w:p>
    <w:p w14:paraId="182A3288">
      <w:pPr>
        <w:shd w:val="clear" w:color="auto" w:fill="FFFFFF"/>
        <w:tabs>
          <w:tab w:val="left" w:pos="226"/>
        </w:tabs>
        <w:snapToGrid w:val="0"/>
        <w:jc w:val="both"/>
        <w:rPr>
          <w:rFonts w:eastAsia="宋体"/>
          <w:color w:val="000000"/>
          <w:sz w:val="24"/>
          <w:szCs w:val="24"/>
          <w:vertAlign w:val="superscript"/>
        </w:rPr>
      </w:pPr>
    </w:p>
    <w:p w14:paraId="25E1585C">
      <w:pPr>
        <w:shd w:val="clear" w:color="auto" w:fill="FFFFFF"/>
        <w:tabs>
          <w:tab w:val="left" w:pos="226"/>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510789CD">
      <w:pPr>
        <w:pStyle w:val="3"/>
        <w:spacing w:before="240" w:after="240"/>
      </w:pPr>
      <w:bookmarkStart w:id="19" w:name="bookmark7"/>
      <w:bookmarkStart w:id="20" w:name="_Toc97494941"/>
      <w:r>
        <w:t>E</w:t>
      </w:r>
      <w:bookmarkEnd w:id="19"/>
      <w:r>
        <w:t>.</w:t>
      </w:r>
      <w:r>
        <w:tab/>
      </w:r>
      <w:r>
        <w:t>生物相容性</w:t>
      </w:r>
      <w:bookmarkEnd w:id="20"/>
    </w:p>
    <w:p w14:paraId="293E6925">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：植入式BCI器械含有患者接触材料，当用于其预期目的（即接触类型和持续时间）时，可能引起有害的生物反应。</w:t>
      </w:r>
    </w:p>
    <w:p w14:paraId="5A548AF4">
      <w:pPr>
        <w:shd w:val="clear" w:color="auto" w:fill="FFFFFF"/>
        <w:snapToGrid w:val="0"/>
        <w:jc w:val="both"/>
        <w:rPr>
          <w:rFonts w:eastAsia="宋体"/>
          <w:sz w:val="24"/>
          <w:szCs w:val="24"/>
        </w:rPr>
      </w:pPr>
    </w:p>
    <w:p w14:paraId="78639CA9">
      <w:pPr>
        <w:shd w:val="clear" w:color="auto" w:fill="FFFFFF"/>
        <w:snapToGrid w:val="0"/>
        <w:jc w:val="both"/>
        <w:rPr>
          <w:rFonts w:eastAsia="宋体"/>
          <w:color w:val="0000FF"/>
          <w:sz w:val="24"/>
          <w:szCs w:val="24"/>
          <w:u w:val="single"/>
        </w:rPr>
      </w:pPr>
      <w:r>
        <w:rPr>
          <w:rFonts w:eastAsia="宋体"/>
          <w:color w:val="000000"/>
          <w:sz w:val="24"/>
          <w:szCs w:val="24"/>
          <w:u w:val="single"/>
        </w:rPr>
        <w:t>建议</w:t>
      </w:r>
      <w:r>
        <w:rPr>
          <w:rFonts w:eastAsia="宋体"/>
          <w:color w:val="000000"/>
          <w:sz w:val="24"/>
          <w:szCs w:val="24"/>
        </w:rPr>
        <w:t>：贵司应确定器械中存在所有患者接触材料的生物相容性。如果贵司BCI器械组件的组成和处理方法与在相同或相似解剖位置成功使用的组件完全相同，则贵司可参考既往试验经验或文献。对于某些器械材料，可适当引用公认的共识标准或器械主文件（MAF）授权书（LOA）。有关使用器械MAFs的更多信息，请参阅本指南文件的</w:t>
      </w:r>
      <w:r>
        <w:rPr>
          <w:rFonts w:eastAsia="宋体"/>
          <w:color w:val="0000FF"/>
          <w:sz w:val="24"/>
          <w:szCs w:val="24"/>
        </w:rPr>
        <w:t>M节</w:t>
      </w:r>
      <w:r>
        <w:rPr>
          <w:rFonts w:eastAsia="宋体"/>
          <w:color w:val="000000"/>
          <w:sz w:val="24"/>
          <w:szCs w:val="24"/>
        </w:rPr>
        <w:t>和以下FDA网页：</w:t>
      </w:r>
      <w:r>
        <w:rPr>
          <w:rFonts w:eastAsia="宋体"/>
          <w:color w:val="0000FF"/>
          <w:sz w:val="24"/>
          <w:szCs w:val="24"/>
          <w:u w:val="single"/>
        </w:rPr>
        <w:t xml:space="preserve"> https://www.fda.gov/medical-devices/premarket-approval-pma/master-files.</w:t>
      </w:r>
    </w:p>
    <w:p w14:paraId="207E006C">
      <w:pPr>
        <w:shd w:val="clear" w:color="auto" w:fill="FFFFFF"/>
        <w:snapToGrid w:val="0"/>
        <w:jc w:val="both"/>
        <w:rPr>
          <w:rFonts w:eastAsia="宋体"/>
          <w:sz w:val="24"/>
          <w:szCs w:val="24"/>
        </w:rPr>
      </w:pPr>
    </w:p>
    <w:p w14:paraId="1CE300FC">
      <w:pPr>
        <w:shd w:val="clear" w:color="auto" w:fill="FFFFFF"/>
        <w:snapToGrid w:val="0"/>
        <w:jc w:val="both"/>
        <w:rPr>
          <w:rFonts w:eastAsia="宋体"/>
          <w:color w:val="000000"/>
          <w:sz w:val="24"/>
          <w:szCs w:val="24"/>
        </w:rPr>
      </w:pPr>
      <w:r>
        <w:rPr>
          <w:rFonts w:eastAsia="宋体"/>
          <w:color w:val="000000"/>
          <w:sz w:val="24"/>
          <w:szCs w:val="24"/>
        </w:rPr>
        <w:t>如果贵司无法确定接触位置/持续时间和预期用途相似且使用与贵司器械相同材料的实质等同器械，我局建议贵司执行并提供生物相容性风险评估。评估应解释已识别生物相容性风险、可用于缓解已识别风险的信息和任何剩余知识缺口之间的关系。然后，贵司应确定为缓解任何剩余风险而进行的任何生物相容性试验或其他评价。</w:t>
      </w:r>
    </w:p>
    <w:p w14:paraId="4BA97D8A">
      <w:pPr>
        <w:shd w:val="clear" w:color="auto" w:fill="FFFFFF"/>
        <w:snapToGrid w:val="0"/>
        <w:jc w:val="both"/>
        <w:rPr>
          <w:rFonts w:eastAsia="宋体"/>
          <w:sz w:val="24"/>
          <w:szCs w:val="24"/>
        </w:rPr>
      </w:pPr>
    </w:p>
    <w:p w14:paraId="4042079A">
      <w:pPr>
        <w:shd w:val="clear" w:color="auto" w:fill="FFFFFF"/>
        <w:snapToGrid w:val="0"/>
        <w:jc w:val="both"/>
        <w:rPr>
          <w:rFonts w:eastAsia="宋体"/>
          <w:color w:val="000000"/>
          <w:sz w:val="24"/>
          <w:szCs w:val="24"/>
        </w:rPr>
      </w:pPr>
      <w:r>
        <w:rPr>
          <w:rFonts w:eastAsia="宋体"/>
          <w:color w:val="000000"/>
          <w:sz w:val="24"/>
          <w:szCs w:val="24"/>
        </w:rPr>
        <w:t>我们建议贵司遵循FDA指南</w:t>
      </w:r>
      <w:r>
        <w:rPr>
          <w:rFonts w:ascii="宋体" w:hAnsi="宋体" w:eastAsia="宋体"/>
          <w:color w:val="000000"/>
          <w:sz w:val="24"/>
          <w:szCs w:val="24"/>
        </w:rPr>
        <w:t>“</w:t>
      </w:r>
      <w:r>
        <w:rPr>
          <w:rFonts w:eastAsia="宋体"/>
          <w:color w:val="0000FF"/>
          <w:sz w:val="24"/>
          <w:szCs w:val="24"/>
          <w:u w:val="single"/>
        </w:rPr>
        <w:t>使用国际标准ISO-10993-1，'医疗器械的生物评价-第1部分</w:t>
      </w:r>
      <w:r>
        <w:rPr>
          <w:rFonts w:eastAsia="宋体"/>
          <w:color w:val="0000FF"/>
          <w:sz w:val="24"/>
          <w:szCs w:val="24"/>
        </w:rPr>
        <w:t>：</w:t>
      </w:r>
      <w:r>
        <w:rPr>
          <w:rFonts w:eastAsia="宋体"/>
          <w:color w:val="0000FF"/>
          <w:sz w:val="24"/>
          <w:szCs w:val="24"/>
          <w:u w:val="single"/>
        </w:rPr>
        <w:t>风险管理过程中的评价和测试</w:t>
      </w:r>
      <w:r>
        <w:rPr>
          <w:rFonts w:ascii="宋体" w:hAnsi="宋体"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12"/>
      </w:r>
      <w:r>
        <w:rPr>
          <w:rFonts w:eastAsia="宋体"/>
          <w:color w:val="000000"/>
          <w:sz w:val="24"/>
          <w:szCs w:val="24"/>
        </w:rPr>
        <w:t>，该过程确定了应考虑的生物相容性评价类型，以及关于如何进行相关测试的建议。</w:t>
      </w:r>
    </w:p>
    <w:p w14:paraId="402A6B13">
      <w:pPr>
        <w:shd w:val="clear" w:color="auto" w:fill="FFFFFF"/>
        <w:snapToGrid w:val="0"/>
        <w:jc w:val="both"/>
        <w:rPr>
          <w:rFonts w:eastAsia="宋体"/>
          <w:sz w:val="24"/>
          <w:szCs w:val="24"/>
        </w:rPr>
      </w:pPr>
    </w:p>
    <w:p w14:paraId="365A805C">
      <w:pPr>
        <w:shd w:val="clear" w:color="auto" w:fill="FFFFFF"/>
        <w:snapToGrid w:val="0"/>
        <w:jc w:val="both"/>
        <w:rPr>
          <w:rFonts w:eastAsia="宋体"/>
          <w:color w:val="000000"/>
          <w:sz w:val="24"/>
          <w:szCs w:val="24"/>
        </w:rPr>
      </w:pPr>
      <w:r>
        <w:rPr>
          <w:rFonts w:eastAsia="宋体"/>
          <w:color w:val="000000"/>
          <w:sz w:val="24"/>
          <w:szCs w:val="24"/>
        </w:rPr>
        <w:t>适用于贵司的器械的测试类型可能取决于电极是否与中枢或外周神经系统连接。此外，预期与植入式BCI器械联合使用的器械（例如组件、手术工具）可能以不同方式和持续时间接触患者。</w:t>
      </w:r>
      <w:r>
        <w:rPr>
          <w:rFonts w:hint="eastAsia" w:eastAsia="宋体"/>
          <w:color w:val="000000"/>
          <w:sz w:val="24"/>
          <w:szCs w:val="24"/>
        </w:rPr>
        <w:t>采用</w:t>
      </w:r>
      <w:r>
        <w:rPr>
          <w:rFonts w:eastAsia="宋体"/>
          <w:color w:val="000000"/>
          <w:sz w:val="24"/>
          <w:szCs w:val="24"/>
        </w:rPr>
        <w:t xml:space="preserve"> ISO 10993-1：</w:t>
      </w:r>
      <w:r>
        <w:rPr>
          <w:rFonts w:eastAsia="宋体"/>
          <w:i/>
          <w:iCs/>
          <w:color w:val="000000"/>
          <w:sz w:val="24"/>
          <w:szCs w:val="24"/>
        </w:rPr>
        <w:t>医疗器械生物学评价 - 第1部分：</w:t>
      </w:r>
      <w:r>
        <w:rPr>
          <w:rFonts w:eastAsia="宋体"/>
          <w:color w:val="000000"/>
          <w:sz w:val="24"/>
          <w:szCs w:val="24"/>
        </w:rPr>
        <w:t>在《风险管理流程中的评价和测试》和FDA关于 ISO-10993-1的指南附件 A中，以下生物相容性类别可能适用于植入的BCI器械系统：</w:t>
      </w:r>
    </w:p>
    <w:p w14:paraId="48FB15B3">
      <w:pPr>
        <w:shd w:val="clear" w:color="auto" w:fill="FFFFFF"/>
        <w:snapToGrid w:val="0"/>
        <w:jc w:val="both"/>
        <w:rPr>
          <w:rFonts w:eastAsia="宋体"/>
          <w:sz w:val="24"/>
          <w:szCs w:val="24"/>
        </w:rPr>
      </w:pPr>
    </w:p>
    <w:p w14:paraId="637C4A6B">
      <w:pPr>
        <w:shd w:val="clear" w:color="auto" w:fill="FFFFFF"/>
        <w:snapToGrid w:val="0"/>
        <w:jc w:val="both"/>
        <w:rPr>
          <w:rFonts w:eastAsia="宋体"/>
          <w:sz w:val="24"/>
          <w:szCs w:val="24"/>
        </w:rPr>
      </w:pPr>
      <w:r>
        <w:rPr>
          <w:rFonts w:eastAsia="宋体"/>
          <w:b/>
          <w:bCs/>
          <w:color w:val="000000"/>
          <w:sz w:val="24"/>
          <w:szCs w:val="24"/>
        </w:rPr>
        <w:t>第1类：植入物与神经组织/骨、脑脊液（CSF）和血液永久性接触（&gt; 30天）（通过CSF间接接触血液，因为CSF被重新吸收到静脉系统中）</w:t>
      </w:r>
    </w:p>
    <w:p w14:paraId="323FD545">
      <w:pPr>
        <w:shd w:val="clear" w:color="auto" w:fill="FFFFFF"/>
        <w:snapToGrid w:val="0"/>
        <w:jc w:val="both"/>
        <w:rPr>
          <w:rFonts w:eastAsia="宋体"/>
          <w:color w:val="000000"/>
          <w:sz w:val="21"/>
          <w:szCs w:val="21"/>
          <w:vertAlign w:val="superscript"/>
        </w:rPr>
      </w:pPr>
    </w:p>
    <w:p w14:paraId="55E58F35">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2B3C79B">
      <w:pPr>
        <w:shd w:val="clear" w:color="auto" w:fill="FFFFFF"/>
        <w:snapToGrid w:val="0"/>
        <w:jc w:val="both"/>
        <w:rPr>
          <w:rFonts w:eastAsia="宋体"/>
          <w:color w:val="000000"/>
          <w:sz w:val="24"/>
          <w:szCs w:val="24"/>
        </w:rPr>
      </w:pPr>
      <w:r>
        <w:rPr>
          <w:rFonts w:eastAsia="宋体"/>
          <w:color w:val="000000"/>
          <w:sz w:val="24"/>
          <w:szCs w:val="24"/>
        </w:rPr>
        <w:t>皮质内电极（即植入大脑皮层的电极）或其他硬膜下电极是此类植入式BCI器械组件的示例。贵司的生物相容性评价中应解决以下终点：</w:t>
      </w:r>
    </w:p>
    <w:p w14:paraId="25FD7FF8">
      <w:pPr>
        <w:shd w:val="clear" w:color="auto" w:fill="FFFFFF"/>
        <w:snapToGrid w:val="0"/>
        <w:jc w:val="both"/>
        <w:rPr>
          <w:rFonts w:eastAsia="宋体"/>
          <w:sz w:val="24"/>
          <w:szCs w:val="24"/>
        </w:rPr>
      </w:pPr>
    </w:p>
    <w:p w14:paraId="09230DD6">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细胞毒性</w:t>
      </w:r>
    </w:p>
    <w:p w14:paraId="20D67BD3">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致敏性</w:t>
      </w:r>
    </w:p>
    <w:p w14:paraId="5F590027">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刺激或皮内反应</w:t>
      </w:r>
    </w:p>
    <w:p w14:paraId="7467C257">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急性全身毒性</w:t>
      </w:r>
    </w:p>
    <w:p w14:paraId="4B976C34">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材料介导的致热原性</w:t>
      </w:r>
    </w:p>
    <w:p w14:paraId="0B1EF69D">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亚急性/亚慢性毒性</w:t>
      </w:r>
    </w:p>
    <w:p w14:paraId="3DE791D8">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遗传毒性</w:t>
      </w:r>
    </w:p>
    <w:p w14:paraId="77D2D6C5">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植入</w:t>
      </w:r>
    </w:p>
    <w:p w14:paraId="6E863275">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神经毒性</w:t>
      </w:r>
    </w:p>
    <w:p w14:paraId="2D4AAC1D">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血液相容性（浸提物溶血试验）</w:t>
      </w:r>
    </w:p>
    <w:p w14:paraId="24B9A6E2">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慢性毒性</w:t>
      </w:r>
    </w:p>
    <w:p w14:paraId="0143F77C">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致癌性试验</w:t>
      </w:r>
    </w:p>
    <w:p w14:paraId="2779F92F">
      <w:pPr>
        <w:shd w:val="clear" w:color="auto" w:fill="FFFFFF"/>
        <w:snapToGrid w:val="0"/>
        <w:jc w:val="both"/>
        <w:rPr>
          <w:rFonts w:eastAsia="宋体"/>
          <w:b/>
          <w:bCs/>
          <w:color w:val="000000"/>
          <w:sz w:val="24"/>
          <w:szCs w:val="24"/>
        </w:rPr>
      </w:pPr>
    </w:p>
    <w:p w14:paraId="0D594F34">
      <w:pPr>
        <w:shd w:val="clear" w:color="auto" w:fill="FFFFFF"/>
        <w:snapToGrid w:val="0"/>
        <w:jc w:val="both"/>
        <w:rPr>
          <w:rFonts w:eastAsia="宋体"/>
          <w:b/>
          <w:bCs/>
          <w:color w:val="000000"/>
          <w:sz w:val="24"/>
          <w:szCs w:val="24"/>
        </w:rPr>
      </w:pPr>
      <w:r>
        <w:rPr>
          <w:rFonts w:eastAsia="宋体"/>
          <w:b/>
          <w:bCs/>
          <w:color w:val="000000"/>
          <w:sz w:val="24"/>
          <w:szCs w:val="24"/>
        </w:rPr>
        <w:t>第2类：植入物与神经和非神经组织/骨（即肌肉，预期不直接或间接接触CSF或血液）长期接触（&gt; 30天）</w:t>
      </w:r>
    </w:p>
    <w:p w14:paraId="364035AD">
      <w:pPr>
        <w:shd w:val="clear" w:color="auto" w:fill="FFFFFF"/>
        <w:snapToGrid w:val="0"/>
        <w:jc w:val="both"/>
        <w:rPr>
          <w:rFonts w:eastAsia="宋体"/>
          <w:sz w:val="24"/>
          <w:szCs w:val="24"/>
        </w:rPr>
      </w:pPr>
    </w:p>
    <w:p w14:paraId="5857FD62">
      <w:pPr>
        <w:shd w:val="clear" w:color="auto" w:fill="FFFFFF"/>
        <w:snapToGrid w:val="0"/>
        <w:jc w:val="both"/>
        <w:rPr>
          <w:rFonts w:eastAsia="宋体"/>
          <w:color w:val="000000"/>
          <w:sz w:val="24"/>
          <w:szCs w:val="24"/>
        </w:rPr>
      </w:pPr>
      <w:r>
        <w:rPr>
          <w:rFonts w:eastAsia="宋体"/>
          <w:color w:val="000000"/>
          <w:sz w:val="24"/>
          <w:szCs w:val="24"/>
        </w:rPr>
        <w:t>植入周围神经或肌肉组织内植入的电极或颅骨上的经皮连接器（即基座）是此类植入式BCI器械组件的示例。贵司的生物相容性评价中应解决以下终点：</w:t>
      </w:r>
    </w:p>
    <w:p w14:paraId="42A07E5B">
      <w:pPr>
        <w:shd w:val="clear" w:color="auto" w:fill="FFFFFF"/>
        <w:snapToGrid w:val="0"/>
        <w:jc w:val="both"/>
        <w:rPr>
          <w:rFonts w:eastAsia="宋体"/>
          <w:sz w:val="24"/>
          <w:szCs w:val="24"/>
        </w:rPr>
      </w:pPr>
    </w:p>
    <w:p w14:paraId="221C3629">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细胞毒性</w:t>
      </w:r>
    </w:p>
    <w:p w14:paraId="2F569937">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致敏性</w:t>
      </w:r>
    </w:p>
    <w:p w14:paraId="2840900C">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刺激或皮内反应</w:t>
      </w:r>
    </w:p>
    <w:p w14:paraId="4FE2F79F">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急性全身毒性</w:t>
      </w:r>
    </w:p>
    <w:p w14:paraId="514271BE">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材料介导的致热原性</w:t>
      </w:r>
    </w:p>
    <w:p w14:paraId="7D125DD6">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亚急性/亚慢性毒性</w:t>
      </w:r>
    </w:p>
    <w:p w14:paraId="44A6D673">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遗传毒性</w:t>
      </w:r>
    </w:p>
    <w:p w14:paraId="4F7DCF6B">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植入</w:t>
      </w:r>
    </w:p>
    <w:p w14:paraId="288B2D50">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神经毒性</w:t>
      </w:r>
    </w:p>
    <w:p w14:paraId="7E56300C">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慢性毒性</w:t>
      </w:r>
    </w:p>
    <w:p w14:paraId="4B7E4255">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致癌性试验</w:t>
      </w:r>
    </w:p>
    <w:p w14:paraId="45C38807">
      <w:pPr>
        <w:shd w:val="clear" w:color="auto" w:fill="FFFFFF"/>
        <w:snapToGrid w:val="0"/>
        <w:jc w:val="both"/>
        <w:rPr>
          <w:rFonts w:eastAsia="宋体"/>
          <w:b/>
          <w:bCs/>
          <w:color w:val="000000"/>
          <w:sz w:val="24"/>
          <w:szCs w:val="24"/>
        </w:rPr>
      </w:pPr>
    </w:p>
    <w:p w14:paraId="79464384">
      <w:pPr>
        <w:shd w:val="clear" w:color="auto" w:fill="FFFFFF"/>
        <w:snapToGrid w:val="0"/>
        <w:jc w:val="both"/>
        <w:rPr>
          <w:rFonts w:eastAsia="宋体"/>
          <w:b/>
          <w:bCs/>
          <w:color w:val="000000"/>
          <w:sz w:val="24"/>
          <w:szCs w:val="24"/>
        </w:rPr>
      </w:pPr>
      <w:r>
        <w:rPr>
          <w:rFonts w:eastAsia="宋体"/>
          <w:b/>
          <w:bCs/>
          <w:color w:val="000000"/>
          <w:sz w:val="24"/>
          <w:szCs w:val="24"/>
        </w:rPr>
        <w:t>第3类：与组织/骨短期接触（≤ 24小时）的外部接入器械</w:t>
      </w:r>
    </w:p>
    <w:p w14:paraId="17990A07">
      <w:pPr>
        <w:shd w:val="clear" w:color="auto" w:fill="FFFFFF"/>
        <w:snapToGrid w:val="0"/>
        <w:jc w:val="both"/>
        <w:rPr>
          <w:rFonts w:eastAsia="宋体"/>
          <w:sz w:val="24"/>
          <w:szCs w:val="24"/>
        </w:rPr>
      </w:pPr>
    </w:p>
    <w:p w14:paraId="652277BF">
      <w:pPr>
        <w:shd w:val="clear" w:color="auto" w:fill="FFFFFF"/>
        <w:snapToGrid w:val="0"/>
        <w:jc w:val="both"/>
        <w:rPr>
          <w:rFonts w:eastAsia="宋体"/>
          <w:color w:val="000000"/>
          <w:sz w:val="24"/>
          <w:szCs w:val="24"/>
        </w:rPr>
      </w:pPr>
      <w:r>
        <w:rPr>
          <w:rFonts w:eastAsia="宋体"/>
          <w:color w:val="000000"/>
          <w:sz w:val="24"/>
          <w:szCs w:val="24"/>
        </w:rPr>
        <w:t>用于在体内创建电极导线通路的通道工具是此类植入式BCI器械工具的示例。贵司的生物相容性评价中应解决以下终点：</w:t>
      </w:r>
    </w:p>
    <w:p w14:paraId="7658C5FB">
      <w:pPr>
        <w:shd w:val="clear" w:color="auto" w:fill="FFFFFF"/>
        <w:snapToGrid w:val="0"/>
        <w:jc w:val="both"/>
        <w:rPr>
          <w:rFonts w:eastAsia="宋体"/>
          <w:sz w:val="24"/>
          <w:szCs w:val="24"/>
        </w:rPr>
      </w:pPr>
    </w:p>
    <w:p w14:paraId="46B02818">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细胞毒性</w:t>
      </w:r>
    </w:p>
    <w:p w14:paraId="6EFEE893">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致敏性</w:t>
      </w:r>
    </w:p>
    <w:p w14:paraId="442D30A9">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刺激或皮内反应</w:t>
      </w:r>
    </w:p>
    <w:p w14:paraId="14B0948B">
      <w:pPr>
        <w:shd w:val="clear" w:color="auto" w:fill="FFFFFF"/>
        <w:tabs>
          <w:tab w:val="left" w:pos="720"/>
        </w:tabs>
        <w:snapToGrid w:val="0"/>
        <w:jc w:val="both"/>
        <w:rPr>
          <w:rFonts w:eastAsia="宋体"/>
          <w:color w:val="000000"/>
          <w:sz w:val="24"/>
          <w:szCs w:val="24"/>
        </w:rPr>
      </w:pPr>
    </w:p>
    <w:p w14:paraId="553F6778">
      <w:pPr>
        <w:shd w:val="clear" w:color="auto" w:fill="FFFFFF"/>
        <w:tabs>
          <w:tab w:val="left" w:pos="720"/>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7C7151AA">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急性全身毒性</w:t>
      </w:r>
    </w:p>
    <w:p w14:paraId="2256D641">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材料介导的致热原性</w:t>
      </w:r>
    </w:p>
    <w:p w14:paraId="786639E0">
      <w:pPr>
        <w:shd w:val="clear" w:color="auto" w:fill="FFFFFF"/>
        <w:snapToGrid w:val="0"/>
        <w:jc w:val="both"/>
        <w:rPr>
          <w:rFonts w:eastAsia="宋体"/>
          <w:b/>
          <w:bCs/>
          <w:color w:val="000000"/>
          <w:sz w:val="24"/>
          <w:szCs w:val="24"/>
        </w:rPr>
      </w:pPr>
    </w:p>
    <w:p w14:paraId="04C74469">
      <w:pPr>
        <w:shd w:val="clear" w:color="auto" w:fill="FFFFFF"/>
        <w:snapToGrid w:val="0"/>
        <w:jc w:val="both"/>
        <w:rPr>
          <w:rFonts w:eastAsia="宋体"/>
          <w:b/>
          <w:bCs/>
          <w:color w:val="000000"/>
          <w:sz w:val="24"/>
          <w:szCs w:val="24"/>
        </w:rPr>
      </w:pPr>
      <w:r>
        <w:rPr>
          <w:rFonts w:eastAsia="宋体"/>
          <w:b/>
          <w:bCs/>
          <w:color w:val="000000"/>
          <w:sz w:val="24"/>
          <w:szCs w:val="24"/>
        </w:rPr>
        <w:t>第4类：与完好皮肤短期接触（≤ 24小时）/长期接触（&gt; 24小时 - 30天）/永久性接触（&gt; 30天）的表面器械</w:t>
      </w:r>
    </w:p>
    <w:p w14:paraId="6B981156">
      <w:pPr>
        <w:shd w:val="clear" w:color="auto" w:fill="FFFFFF"/>
        <w:snapToGrid w:val="0"/>
        <w:jc w:val="both"/>
        <w:rPr>
          <w:rFonts w:eastAsia="宋体"/>
          <w:sz w:val="24"/>
          <w:szCs w:val="24"/>
        </w:rPr>
      </w:pPr>
    </w:p>
    <w:p w14:paraId="43DDFBFD">
      <w:pPr>
        <w:shd w:val="clear" w:color="auto" w:fill="FFFFFF"/>
        <w:snapToGrid w:val="0"/>
        <w:jc w:val="both"/>
        <w:rPr>
          <w:rFonts w:eastAsia="宋体"/>
          <w:color w:val="000000"/>
          <w:sz w:val="24"/>
          <w:szCs w:val="24"/>
        </w:rPr>
      </w:pPr>
      <w:r>
        <w:rPr>
          <w:rFonts w:eastAsia="宋体"/>
          <w:color w:val="000000"/>
          <w:sz w:val="24"/>
          <w:szCs w:val="24"/>
        </w:rPr>
        <w:t>用作编程器/控制单元和辅助受动器组件（即假肢）的外部发射器是此类植入BCI器械系统组件的示例。贵司的生物相容性评价中应解决以下终点：</w:t>
      </w:r>
    </w:p>
    <w:p w14:paraId="3618FA8B">
      <w:pPr>
        <w:shd w:val="clear" w:color="auto" w:fill="FFFFFF"/>
        <w:snapToGrid w:val="0"/>
        <w:jc w:val="both"/>
        <w:rPr>
          <w:rFonts w:eastAsia="宋体"/>
          <w:sz w:val="24"/>
          <w:szCs w:val="24"/>
        </w:rPr>
      </w:pPr>
    </w:p>
    <w:p w14:paraId="775073F8">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细胞毒性</w:t>
      </w:r>
    </w:p>
    <w:p w14:paraId="647DEA40">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致敏性</w:t>
      </w:r>
    </w:p>
    <w:p w14:paraId="4D908E83">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刺激或皮内反应</w:t>
      </w:r>
    </w:p>
    <w:p w14:paraId="3DB81BB2">
      <w:pPr>
        <w:pStyle w:val="3"/>
        <w:spacing w:before="240" w:after="240"/>
      </w:pPr>
      <w:bookmarkStart w:id="21" w:name="_Toc97494942"/>
      <w:r>
        <w:t>F.</w:t>
      </w:r>
      <w:r>
        <w:tab/>
      </w:r>
      <w:r>
        <w:t>无菌性</w:t>
      </w:r>
      <w:bookmarkEnd w:id="21"/>
    </w:p>
    <w:p w14:paraId="5B0B48EA">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：应对植入式BCI器械进行充分灭菌，以最大程度减少感染和相关并发症。</w:t>
      </w:r>
    </w:p>
    <w:p w14:paraId="5AF91D43">
      <w:pPr>
        <w:shd w:val="clear" w:color="auto" w:fill="FFFFFF"/>
        <w:snapToGrid w:val="0"/>
        <w:jc w:val="both"/>
        <w:rPr>
          <w:rFonts w:eastAsia="宋体"/>
          <w:sz w:val="24"/>
          <w:szCs w:val="24"/>
        </w:rPr>
      </w:pPr>
    </w:p>
    <w:p w14:paraId="21E46E88">
      <w:pPr>
        <w:shd w:val="clear" w:color="auto" w:fill="FFFFFF"/>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：对于标记为无菌的植入式BCI组件和手术工具，我局建议贵司提供下述信息。</w:t>
      </w:r>
    </w:p>
    <w:p w14:paraId="53710D0E">
      <w:pPr>
        <w:shd w:val="clear" w:color="auto" w:fill="FFFFFF"/>
        <w:snapToGrid w:val="0"/>
        <w:jc w:val="both"/>
        <w:rPr>
          <w:rFonts w:eastAsia="宋体"/>
          <w:sz w:val="24"/>
          <w:szCs w:val="24"/>
        </w:rPr>
      </w:pPr>
    </w:p>
    <w:p w14:paraId="330EAE06">
      <w:pPr>
        <w:shd w:val="clear" w:color="auto" w:fill="FFFFFF"/>
        <w:snapToGrid w:val="0"/>
        <w:ind w:left="360" w:hanging="360" w:hangingChars="150"/>
        <w:jc w:val="both"/>
        <w:rPr>
          <w:rFonts w:eastAsia="宋体"/>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对于灭菌方法，申办者应提供以下信息：</w:t>
      </w:r>
    </w:p>
    <w:p w14:paraId="5536F126">
      <w:pPr>
        <w:shd w:val="clear" w:color="auto" w:fill="FFFFFF"/>
        <w:autoSpaceDE/>
        <w:autoSpaceDN/>
        <w:snapToGrid w:val="0"/>
        <w:ind w:left="629" w:leftChars="15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综合描述灭菌方法/过程；</w:t>
      </w:r>
    </w:p>
    <w:p w14:paraId="37CE17E5">
      <w:pPr>
        <w:shd w:val="clear" w:color="auto" w:fill="FFFFFF"/>
        <w:autoSpaceDE/>
        <w:autoSpaceDN/>
        <w:snapToGrid w:val="0"/>
        <w:ind w:left="629" w:leftChars="15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如果不是硬性或固定组件（如软袋），请描述灭菌柜室；</w:t>
      </w:r>
    </w:p>
    <w:p w14:paraId="787784E7">
      <w:pPr>
        <w:shd w:val="clear" w:color="auto" w:fill="FFFFFF"/>
        <w:autoSpaceDE/>
        <w:autoSpaceDN/>
        <w:snapToGrid w:val="0"/>
        <w:ind w:left="629" w:leftChars="157"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灭菌</w:t>
      </w:r>
      <w:r>
        <w:rPr>
          <w:rFonts w:hint="eastAsia" w:eastAsia="宋体"/>
          <w:color w:val="000000"/>
          <w:sz w:val="24"/>
          <w:szCs w:val="24"/>
        </w:rPr>
        <w:t>场所</w:t>
      </w:r>
      <w:r>
        <w:rPr>
          <w:rFonts w:eastAsia="宋体"/>
          <w:color w:val="000000"/>
          <w:sz w:val="24"/>
          <w:szCs w:val="24"/>
        </w:rPr>
        <w:t>；</w:t>
      </w:r>
    </w:p>
    <w:p w14:paraId="1C329485">
      <w:pPr>
        <w:shd w:val="clear" w:color="auto" w:fill="FFFFFF"/>
        <w:autoSpaceDE/>
        <w:autoSpaceDN/>
        <w:snapToGrid w:val="0"/>
        <w:ind w:left="629" w:leftChars="157" w:hanging="315"/>
        <w:jc w:val="both"/>
        <w:rPr>
          <w:rFonts w:eastAsia="宋体"/>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rPr>
        <w:t>如果是辐射灭菌，请描述辐射剂量；</w:t>
      </w:r>
    </w:p>
    <w:p w14:paraId="5B787CDE">
      <w:pPr>
        <w:shd w:val="clear" w:color="auto" w:fill="FFFFFF"/>
        <w:autoSpaceDE/>
        <w:autoSpaceDN/>
        <w:snapToGrid w:val="0"/>
        <w:ind w:left="629" w:leftChars="157" w:hanging="315"/>
        <w:jc w:val="both"/>
        <w:rPr>
          <w:rFonts w:eastAsia="宋体"/>
          <w:sz w:val="24"/>
          <w:szCs w:val="24"/>
        </w:rPr>
      </w:pPr>
      <w:r>
        <w:rPr>
          <w:rFonts w:eastAsia="宋体"/>
          <w:color w:val="000000"/>
          <w:sz w:val="24"/>
          <w:szCs w:val="24"/>
        </w:rPr>
        <w:t>e.</w:t>
      </w:r>
      <w:r>
        <w:rPr>
          <w:rFonts w:eastAsia="宋体"/>
          <w:color w:val="000000"/>
          <w:sz w:val="24"/>
          <w:szCs w:val="24"/>
        </w:rPr>
        <w:tab/>
      </w:r>
      <w:r>
        <w:rPr>
          <w:rFonts w:eastAsia="宋体"/>
          <w:color w:val="000000"/>
          <w:sz w:val="24"/>
          <w:szCs w:val="24"/>
        </w:rPr>
        <w:t>对于化学灭菌剂（例如环氧乙烷（EO）、H</w:t>
      </w:r>
      <w:r>
        <w:rPr>
          <w:rFonts w:eastAsia="宋体"/>
          <w:color w:val="000000"/>
          <w:sz w:val="24"/>
          <w:szCs w:val="24"/>
          <w:vertAlign w:val="subscript"/>
        </w:rPr>
        <w:t>2</w:t>
      </w:r>
      <w:r>
        <w:rPr>
          <w:rFonts w:eastAsia="宋体"/>
          <w:color w:val="000000"/>
          <w:sz w:val="24"/>
          <w:szCs w:val="24"/>
        </w:rPr>
        <w:t>O</w:t>
      </w:r>
      <w:r>
        <w:rPr>
          <w:rFonts w:eastAsia="宋体"/>
          <w:color w:val="000000"/>
          <w:sz w:val="24"/>
          <w:szCs w:val="24"/>
          <w:vertAlign w:val="subscript"/>
        </w:rPr>
        <w:t>2</w:t>
      </w:r>
      <w:r>
        <w:rPr>
          <w:rFonts w:eastAsia="宋体"/>
          <w:color w:val="000000"/>
          <w:sz w:val="24"/>
          <w:szCs w:val="24"/>
        </w:rPr>
        <w:t>），说明器械上残留的最大灭菌剂残留量，解释这些残留量对器械类型和预期患者接触持续时间可接受的原因。</w:t>
      </w:r>
    </w:p>
    <w:p w14:paraId="385B4696">
      <w:pPr>
        <w:shd w:val="clear" w:color="auto" w:fill="FFFFFF"/>
        <w:snapToGrid w:val="0"/>
        <w:ind w:left="628" w:leftChars="314"/>
        <w:jc w:val="both"/>
        <w:rPr>
          <w:rFonts w:eastAsia="宋体"/>
          <w:color w:val="000000"/>
          <w:sz w:val="24"/>
          <w:szCs w:val="24"/>
        </w:rPr>
      </w:pPr>
    </w:p>
    <w:p w14:paraId="20AFBE96">
      <w:pPr>
        <w:shd w:val="clear" w:color="auto" w:fill="FFFFFF"/>
        <w:snapToGrid w:val="0"/>
        <w:ind w:left="628" w:leftChars="314"/>
        <w:jc w:val="both"/>
        <w:rPr>
          <w:rFonts w:eastAsia="宋体"/>
          <w:sz w:val="24"/>
          <w:szCs w:val="24"/>
        </w:rPr>
      </w:pPr>
      <w:r>
        <w:rPr>
          <w:rFonts w:eastAsia="宋体"/>
          <w:color w:val="000000"/>
          <w:sz w:val="24"/>
          <w:szCs w:val="24"/>
        </w:rPr>
        <w:t>在EO灭菌的情况下，CDRH已根据当前公认标准版本ANSI/AAMI/ISO 10993-7接受EO残留信息：</w:t>
      </w:r>
      <w:r>
        <w:rPr>
          <w:rFonts w:eastAsia="宋体"/>
          <w:i/>
          <w:iCs/>
          <w:color w:val="000000"/>
          <w:sz w:val="24"/>
          <w:szCs w:val="24"/>
        </w:rPr>
        <w:t>医疗器械生物学评价 - 第7部分：</w:t>
      </w:r>
      <w:r>
        <w:rPr>
          <w:rFonts w:eastAsia="宋体"/>
          <w:color w:val="000000"/>
          <w:sz w:val="24"/>
          <w:szCs w:val="24"/>
        </w:rPr>
        <w:t>环氧乙烷灭菌残留物。</w:t>
      </w:r>
    </w:p>
    <w:p w14:paraId="112F4F05">
      <w:pPr>
        <w:shd w:val="clear" w:color="auto" w:fill="FFFFFF"/>
        <w:snapToGrid w:val="0"/>
        <w:ind w:left="360" w:hanging="360" w:hangingChars="150"/>
        <w:jc w:val="both"/>
        <w:rPr>
          <w:rFonts w:eastAsia="宋体"/>
          <w:color w:val="000000"/>
          <w:sz w:val="24"/>
          <w:szCs w:val="24"/>
        </w:rPr>
      </w:pPr>
    </w:p>
    <w:p w14:paraId="5EF73414">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对于灭菌方法，贵司应提供用于确认灭菌周期的方法描述（例如半周期方法）以及灭菌确认数据。同时，申报资料还应确定使用的所有相关共识标准并确定未满足标准的任何方面。如果无公认标准，则应提交并</w:t>
      </w:r>
      <w:r>
        <w:rPr>
          <w:rFonts w:hint="eastAsia" w:eastAsia="宋体"/>
          <w:color w:val="000000"/>
          <w:sz w:val="24"/>
          <w:szCs w:val="24"/>
        </w:rPr>
        <w:t>审评灭菌</w:t>
      </w:r>
      <w:r>
        <w:rPr>
          <w:rFonts w:eastAsia="宋体"/>
          <w:color w:val="000000"/>
          <w:sz w:val="24"/>
          <w:szCs w:val="24"/>
        </w:rPr>
        <w:t>过程</w:t>
      </w:r>
      <w:r>
        <w:rPr>
          <w:rFonts w:hint="eastAsia" w:eastAsia="宋体"/>
          <w:color w:val="000000"/>
          <w:sz w:val="24"/>
          <w:szCs w:val="24"/>
        </w:rPr>
        <w:t>的</w:t>
      </w:r>
      <w:r>
        <w:rPr>
          <w:rFonts w:eastAsia="宋体"/>
          <w:color w:val="000000"/>
          <w:sz w:val="24"/>
          <w:szCs w:val="24"/>
        </w:rPr>
        <w:t>全面描述和完整</w:t>
      </w:r>
      <w:r>
        <w:rPr>
          <w:rFonts w:hint="eastAsia" w:eastAsia="宋体"/>
          <w:color w:val="000000"/>
          <w:sz w:val="24"/>
          <w:szCs w:val="24"/>
        </w:rPr>
        <w:t>的</w:t>
      </w:r>
      <w:r>
        <w:rPr>
          <w:rFonts w:eastAsia="宋体"/>
          <w:color w:val="000000"/>
          <w:sz w:val="24"/>
          <w:szCs w:val="24"/>
        </w:rPr>
        <w:t>确认方案。</w:t>
      </w:r>
    </w:p>
    <w:p w14:paraId="4C95C51F">
      <w:pPr>
        <w:shd w:val="clear" w:color="auto" w:fill="FFFFFF"/>
        <w:snapToGrid w:val="0"/>
        <w:ind w:left="360" w:hanging="360" w:hangingChars="150"/>
        <w:jc w:val="both"/>
        <w:rPr>
          <w:rFonts w:eastAsia="宋体"/>
          <w:color w:val="000000"/>
          <w:sz w:val="24"/>
          <w:szCs w:val="24"/>
        </w:rPr>
      </w:pPr>
    </w:p>
    <w:p w14:paraId="28B818A5">
      <w:pPr>
        <w:shd w:val="clear" w:color="auto" w:fill="FFFFFF"/>
        <w:snapToGrid w:val="0"/>
        <w:ind w:left="36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对于标示为无菌的器械，除非器械预期仅与完好皮肤接触，否则贵司应声明无菌保证水平（SAL）为10</w:t>
      </w:r>
      <w:r>
        <w:rPr>
          <w:rFonts w:eastAsia="宋体"/>
          <w:color w:val="000000"/>
          <w:sz w:val="24"/>
          <w:szCs w:val="24"/>
          <w:vertAlign w:val="superscript"/>
        </w:rPr>
        <w:t>-6</w:t>
      </w:r>
      <w:r>
        <w:rPr>
          <w:rFonts w:eastAsia="宋体"/>
          <w:color w:val="000000"/>
          <w:sz w:val="24"/>
          <w:szCs w:val="24"/>
        </w:rPr>
        <w:t>。对于预期仅与完好皮肤接触的器械，FDA建议SAL为10</w:t>
      </w:r>
      <w:r>
        <w:rPr>
          <w:rFonts w:eastAsia="宋体"/>
          <w:color w:val="000000"/>
          <w:sz w:val="24"/>
          <w:szCs w:val="24"/>
          <w:vertAlign w:val="superscript"/>
        </w:rPr>
        <w:t>-3</w:t>
      </w:r>
      <w:r>
        <w:rPr>
          <w:rFonts w:eastAsia="宋体"/>
          <w:color w:val="000000"/>
          <w:sz w:val="24"/>
          <w:szCs w:val="24"/>
        </w:rPr>
        <w:t>。</w:t>
      </w:r>
    </w:p>
    <w:p w14:paraId="39963860">
      <w:pPr>
        <w:shd w:val="clear" w:color="auto" w:fill="FFFFFF"/>
        <w:tabs>
          <w:tab w:val="left" w:pos="360"/>
        </w:tabs>
        <w:snapToGrid w:val="0"/>
        <w:jc w:val="both"/>
        <w:rPr>
          <w:rFonts w:eastAsia="宋体"/>
          <w:color w:val="000000"/>
          <w:sz w:val="21"/>
          <w:szCs w:val="21"/>
        </w:rPr>
      </w:pPr>
    </w:p>
    <w:p w14:paraId="52FD8AD3">
      <w:pPr>
        <w:shd w:val="clear" w:color="auto" w:fill="FFFFFF"/>
        <w:tabs>
          <w:tab w:val="left" w:pos="360"/>
        </w:tabs>
        <w:snapToGrid w:val="0"/>
        <w:jc w:val="both"/>
        <w:rPr>
          <w:rFonts w:eastAsia="宋体"/>
          <w:color w:val="000000"/>
          <w:sz w:val="21"/>
          <w:szCs w:val="21"/>
        </w:rPr>
        <w:sectPr>
          <w:pgSz w:w="11906" w:h="16838"/>
          <w:pgMar w:top="1134" w:right="1417" w:bottom="1134" w:left="1417" w:header="850" w:footer="720" w:gutter="0"/>
          <w:cols w:space="60" w:num="1"/>
          <w:docGrid w:linePitch="272" w:charSpace="0"/>
        </w:sectPr>
      </w:pPr>
    </w:p>
    <w:p w14:paraId="63C39339">
      <w:pPr>
        <w:shd w:val="clear" w:color="auto" w:fill="FFFFFF"/>
        <w:snapToGrid w:val="0"/>
        <w:jc w:val="both"/>
        <w:rPr>
          <w:rFonts w:eastAsia="宋体"/>
          <w:sz w:val="24"/>
          <w:szCs w:val="24"/>
        </w:rPr>
      </w:pPr>
      <w:r>
        <w:rPr>
          <w:rFonts w:eastAsia="宋体"/>
          <w:color w:val="000000"/>
          <w:sz w:val="24"/>
          <w:szCs w:val="24"/>
        </w:rPr>
        <w:t>我们建议贵司描述针对每个无菌配置验证的灭菌过程。如果贵司仅计划对有限数量的器械使用环氧乙烷灭菌以达到IDE目的，则贵司可能需要考虑单批次灭菌过程。关于单批灭菌过程的规范，见附录E：ISO-11135中的单批放行：2014:《医疗保健产品灭菌 - 环氧乙烷：医疗器械灭菌过程的开发、确认和常规控制的要求》中的附录E</w:t>
      </w:r>
      <w:r>
        <w:rPr>
          <w:rFonts w:ascii="宋体" w:hAnsi="宋体" w:eastAsia="宋体"/>
          <w:color w:val="000000"/>
          <w:sz w:val="24"/>
          <w:szCs w:val="24"/>
        </w:rPr>
        <w:t>“</w:t>
      </w:r>
      <w:r>
        <w:rPr>
          <w:rFonts w:eastAsia="宋体"/>
          <w:color w:val="000000"/>
          <w:sz w:val="24"/>
          <w:szCs w:val="24"/>
        </w:rPr>
        <w:t>单批次放行</w:t>
      </w:r>
      <w:r>
        <w:rPr>
          <w:rFonts w:ascii="宋体" w:hAnsi="宋体" w:eastAsia="宋体"/>
          <w:color w:val="000000"/>
          <w:sz w:val="24"/>
          <w:szCs w:val="24"/>
        </w:rPr>
        <w:t>”</w:t>
      </w:r>
      <w:r>
        <w:rPr>
          <w:rFonts w:eastAsia="宋体"/>
          <w:color w:val="000000"/>
          <w:sz w:val="24"/>
          <w:szCs w:val="24"/>
        </w:rPr>
        <w:t>。</w:t>
      </w:r>
    </w:p>
    <w:p w14:paraId="60F3D1FD">
      <w:pPr>
        <w:pStyle w:val="3"/>
        <w:spacing w:before="240" w:after="240"/>
      </w:pPr>
      <w:bookmarkStart w:id="22" w:name="_Toc97494943"/>
      <w:r>
        <w:t>G.</w:t>
      </w:r>
      <w:r>
        <w:tab/>
      </w:r>
      <w:r>
        <w:t>热原性</w:t>
      </w:r>
      <w:bookmarkEnd w:id="22"/>
    </w:p>
    <w:p w14:paraId="04CBC06A">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：使用致热原性试验帮助患者免受由于革兰氏阴性细菌内毒素和/或可能从医疗器械中沥滤出的化学物质（例如材料介导的热原性）导致的发热反应风险。</w:t>
      </w:r>
    </w:p>
    <w:p w14:paraId="17A14C65">
      <w:pPr>
        <w:shd w:val="clear" w:color="auto" w:fill="FFFFFF"/>
        <w:snapToGrid w:val="0"/>
        <w:jc w:val="both"/>
        <w:rPr>
          <w:rFonts w:eastAsia="宋体"/>
          <w:sz w:val="24"/>
          <w:szCs w:val="24"/>
        </w:rPr>
      </w:pPr>
    </w:p>
    <w:p w14:paraId="21FC86C6">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：为解决存在细菌内毒素相关的风险，植入式BCI器械应符合热原限值质量标准。贵司还应遵循</w:t>
      </w:r>
      <w:r>
        <w:rPr>
          <w:rFonts w:ascii="宋体" w:hAnsi="宋体" w:eastAsia="宋体"/>
          <w:color w:val="000000"/>
          <w:sz w:val="24"/>
          <w:szCs w:val="24"/>
        </w:rPr>
        <w:t>“</w:t>
      </w:r>
      <w:r>
        <w:rPr>
          <w:rFonts w:eastAsia="宋体"/>
          <w:color w:val="0000FF"/>
          <w:sz w:val="24"/>
          <w:szCs w:val="24"/>
        </w:rPr>
        <w:t>热原和内毒素检测中的建议：</w:t>
      </w:r>
      <w:r>
        <w:rPr>
          <w:rFonts w:eastAsia="宋体"/>
          <w:color w:val="0000FF"/>
          <w:sz w:val="24"/>
          <w:szCs w:val="24"/>
          <w:u w:val="single"/>
        </w:rPr>
        <w:t>问答</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vertAlign w:val="superscript"/>
        </w:rPr>
        <w:footnoteReference w:id="13"/>
      </w:r>
      <w:r>
        <w:rPr>
          <w:rFonts w:eastAsia="宋体"/>
          <w:color w:val="000000"/>
          <w:sz w:val="24"/>
          <w:szCs w:val="24"/>
        </w:rPr>
        <w:t>为了解决与物质介导的内毒素相关的风险，请遵循FDA指南</w:t>
      </w:r>
      <w:r>
        <w:rPr>
          <w:rFonts w:ascii="宋体" w:hAnsi="宋体" w:eastAsia="宋体"/>
          <w:color w:val="000000"/>
          <w:sz w:val="24"/>
          <w:szCs w:val="24"/>
        </w:rPr>
        <w:t>“</w:t>
      </w:r>
      <w:r>
        <w:rPr>
          <w:rFonts w:eastAsia="宋体"/>
          <w:color w:val="0000FF"/>
          <w:sz w:val="24"/>
          <w:szCs w:val="24"/>
          <w:u w:val="single"/>
        </w:rPr>
        <w:t>使用国际标准ISO-10993-1，医疗器械的生物评价-第1部分</w:t>
      </w:r>
      <w:r>
        <w:rPr>
          <w:rFonts w:eastAsia="宋体"/>
          <w:color w:val="0000FF"/>
          <w:sz w:val="24"/>
          <w:szCs w:val="24"/>
        </w:rPr>
        <w:t>：风险管理过程内的评价和测试。</w:t>
      </w:r>
      <w:r>
        <w:rPr>
          <w:rFonts w:ascii="宋体" w:hAnsi="宋体"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14"/>
      </w:r>
    </w:p>
    <w:p w14:paraId="6FCB29BA">
      <w:pPr>
        <w:shd w:val="clear" w:color="auto" w:fill="FFFFFF"/>
        <w:snapToGrid w:val="0"/>
        <w:jc w:val="both"/>
        <w:rPr>
          <w:rFonts w:eastAsia="宋体"/>
          <w:sz w:val="24"/>
          <w:szCs w:val="24"/>
        </w:rPr>
      </w:pPr>
    </w:p>
    <w:p w14:paraId="600CAF91">
      <w:pPr>
        <w:shd w:val="clear" w:color="auto" w:fill="FFFFFF"/>
        <w:snapToGrid w:val="0"/>
        <w:jc w:val="both"/>
        <w:rPr>
          <w:rFonts w:eastAsia="宋体"/>
          <w:color w:val="000000"/>
          <w:sz w:val="24"/>
          <w:szCs w:val="24"/>
        </w:rPr>
      </w:pPr>
      <w:r>
        <w:rPr>
          <w:rFonts w:eastAsia="宋体"/>
          <w:color w:val="000000"/>
          <w:sz w:val="24"/>
          <w:szCs w:val="24"/>
        </w:rPr>
        <w:t>此外，我局建议贵司提供常规批次放行鲎试剂（LAL）监测程序。有关指南，请参考FDA行业指南</w:t>
      </w:r>
      <w:r>
        <w:rPr>
          <w:rFonts w:ascii="宋体" w:hAnsi="宋体" w:eastAsia="宋体"/>
          <w:color w:val="000000"/>
          <w:sz w:val="24"/>
          <w:szCs w:val="24"/>
        </w:rPr>
        <w:t>“</w:t>
      </w:r>
      <w:r>
        <w:rPr>
          <w:rFonts w:eastAsia="宋体"/>
          <w:color w:val="0000FF"/>
          <w:sz w:val="24"/>
          <w:szCs w:val="24"/>
        </w:rPr>
        <w:t>热原和内毒素检测：</w:t>
      </w:r>
      <w:r>
        <w:rPr>
          <w:rFonts w:eastAsia="宋体"/>
          <w:color w:val="0000FF"/>
          <w:sz w:val="24"/>
          <w:szCs w:val="24"/>
          <w:u w:val="single"/>
        </w:rPr>
        <w:t>问题和回答</w:t>
      </w:r>
      <w:r>
        <w:rPr>
          <w:rFonts w:hint="eastAsia" w:eastAsia="宋体"/>
          <w:color w:val="000000"/>
          <w:sz w:val="24"/>
          <w:szCs w:val="24"/>
        </w:rPr>
        <w:t>”</w:t>
      </w:r>
      <w:r>
        <w:rPr>
          <w:rFonts w:eastAsia="宋体"/>
          <w:color w:val="000000"/>
          <w:sz w:val="24"/>
          <w:szCs w:val="24"/>
        </w:rPr>
        <w:t>和《美国药典 - 内毒素参考标准》（USP第&lt;161&gt;章医疗器械 - 细菌内毒素和热原试验）。贵司也可以参考ANSI AAMI ST72：</w:t>
      </w:r>
      <w:r>
        <w:rPr>
          <w:rFonts w:eastAsia="宋体"/>
          <w:i/>
          <w:iCs/>
          <w:color w:val="000000"/>
          <w:sz w:val="24"/>
          <w:szCs w:val="24"/>
        </w:rPr>
        <w:t>细菌内毒素 - 测试方法、常规监测以及在器械上进行内毒素测试的批量测试的替代方案。</w:t>
      </w:r>
    </w:p>
    <w:p w14:paraId="61B83633">
      <w:pPr>
        <w:shd w:val="clear" w:color="auto" w:fill="FFFFFF"/>
        <w:snapToGrid w:val="0"/>
        <w:jc w:val="both"/>
        <w:rPr>
          <w:rFonts w:eastAsia="宋体"/>
          <w:sz w:val="24"/>
          <w:szCs w:val="24"/>
        </w:rPr>
      </w:pPr>
    </w:p>
    <w:p w14:paraId="73042B46">
      <w:pPr>
        <w:shd w:val="clear" w:color="auto" w:fill="FFFFFF"/>
        <w:snapToGrid w:val="0"/>
        <w:jc w:val="both"/>
        <w:rPr>
          <w:rFonts w:eastAsia="宋体"/>
          <w:sz w:val="24"/>
          <w:szCs w:val="24"/>
        </w:rPr>
      </w:pPr>
      <w:bookmarkStart w:id="23" w:name="bookmark10"/>
      <w:bookmarkEnd w:id="23"/>
      <w:r>
        <w:rPr>
          <w:rFonts w:eastAsia="宋体"/>
          <w:color w:val="000000"/>
          <w:sz w:val="24"/>
          <w:szCs w:val="24"/>
        </w:rPr>
        <w:t>对于拟贴标为</w:t>
      </w:r>
      <w:r>
        <w:rPr>
          <w:rFonts w:ascii="宋体" w:hAnsi="宋体" w:eastAsia="宋体"/>
          <w:color w:val="000000"/>
          <w:sz w:val="24"/>
          <w:szCs w:val="24"/>
        </w:rPr>
        <w:t>“</w:t>
      </w:r>
      <w:r>
        <w:rPr>
          <w:rFonts w:eastAsia="宋体"/>
          <w:color w:val="000000"/>
          <w:sz w:val="24"/>
          <w:szCs w:val="24"/>
        </w:rPr>
        <w:t>非热原</w:t>
      </w:r>
      <w:r>
        <w:rPr>
          <w:rFonts w:ascii="宋体" w:hAnsi="宋体" w:eastAsia="宋体"/>
          <w:color w:val="000000"/>
          <w:sz w:val="24"/>
          <w:szCs w:val="24"/>
        </w:rPr>
        <w:t>”</w:t>
      </w:r>
      <w:r>
        <w:rPr>
          <w:rFonts w:eastAsia="宋体"/>
          <w:color w:val="000000"/>
          <w:sz w:val="24"/>
          <w:szCs w:val="24"/>
        </w:rPr>
        <w:t>的器械，我们建议同时说明细菌内毒素和材料介导的热原。</w:t>
      </w:r>
    </w:p>
    <w:p w14:paraId="01FD1A17">
      <w:pPr>
        <w:pStyle w:val="3"/>
        <w:spacing w:before="240" w:after="240"/>
      </w:pPr>
      <w:bookmarkStart w:id="24" w:name="_Toc97494944"/>
      <w:r>
        <w:t>H.</w:t>
      </w:r>
      <w:r>
        <w:tab/>
      </w:r>
      <w:r>
        <w:t>储存寿命和包装</w:t>
      </w:r>
      <w:bookmarkEnd w:id="24"/>
    </w:p>
    <w:p w14:paraId="65DE88FE">
      <w:pPr>
        <w:shd w:val="clear" w:color="auto" w:fill="FFFFFF"/>
        <w:snapToGrid w:val="0"/>
        <w:jc w:val="both"/>
        <w:rPr>
          <w:rFonts w:eastAsia="宋体"/>
          <w:color w:val="000000"/>
          <w:sz w:val="24"/>
          <w:szCs w:val="24"/>
        </w:rPr>
      </w:pPr>
      <w:r>
        <w:rPr>
          <w:rFonts w:eastAsia="宋体"/>
          <w:color w:val="000000"/>
          <w:sz w:val="21"/>
          <w:szCs w:val="21"/>
          <w:u w:val="single"/>
        </w:rPr>
        <w:t>意义</w:t>
      </w:r>
      <w:r>
        <w:rPr>
          <w:rFonts w:eastAsia="宋体"/>
          <w:color w:val="000000"/>
          <w:sz w:val="21"/>
          <w:szCs w:val="21"/>
        </w:rPr>
        <w:t>：进行货架有效期试验</w:t>
      </w:r>
      <w:r>
        <w:rPr>
          <w:rFonts w:hint="eastAsia" w:eastAsia="宋体"/>
          <w:color w:val="000000"/>
          <w:sz w:val="21"/>
          <w:szCs w:val="21"/>
        </w:rPr>
        <w:t>来</w:t>
      </w:r>
      <w:r>
        <w:rPr>
          <w:rFonts w:eastAsia="宋体"/>
          <w:color w:val="000000"/>
          <w:sz w:val="21"/>
          <w:szCs w:val="21"/>
        </w:rPr>
        <w:t>支持拟定</w:t>
      </w:r>
      <w:r>
        <w:rPr>
          <w:rFonts w:hint="eastAsia" w:eastAsia="宋体"/>
          <w:color w:val="000000"/>
          <w:sz w:val="21"/>
          <w:szCs w:val="21"/>
        </w:rPr>
        <w:t>的</w:t>
      </w:r>
      <w:r>
        <w:rPr>
          <w:rFonts w:eastAsia="宋体"/>
          <w:color w:val="000000"/>
          <w:sz w:val="21"/>
          <w:szCs w:val="21"/>
        </w:rPr>
        <w:t>有效期，通过评价包装完整性以保持器械无菌性和/或评价器</w:t>
      </w:r>
      <w:r>
        <w:rPr>
          <w:rFonts w:eastAsia="宋体"/>
          <w:color w:val="000000"/>
          <w:sz w:val="24"/>
          <w:szCs w:val="24"/>
        </w:rPr>
        <w:t>械性能或功能的任何变更。</w:t>
      </w:r>
    </w:p>
    <w:p w14:paraId="253A71A9">
      <w:pPr>
        <w:shd w:val="clear" w:color="auto" w:fill="FFFFFF"/>
        <w:snapToGrid w:val="0"/>
        <w:jc w:val="both"/>
        <w:rPr>
          <w:rFonts w:eastAsia="宋体"/>
          <w:sz w:val="24"/>
          <w:szCs w:val="24"/>
        </w:rPr>
      </w:pPr>
    </w:p>
    <w:p w14:paraId="4E2734C3">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关于维持器械无菌性的包装完整性，贵司应该提供包装描述，包括如何维持器械无菌性、包装完整性试验使用的方案、试验结果以及根据贵司结果得出的结论。我们建议包装验证研究包括模拟分布和相关包装完整性测试，以及老化过程（加速和/或实时）和相关密封强度测试，以验证包装完整性和储存寿命声明。我们建议贵司遵循当前版本的FDA认可共识标准ANSI/AAMI/ISO 11607-1中描述的方法：</w:t>
      </w:r>
      <w:r>
        <w:rPr>
          <w:rFonts w:eastAsia="宋体"/>
          <w:i/>
          <w:iCs/>
          <w:color w:val="000000"/>
          <w:sz w:val="24"/>
          <w:szCs w:val="24"/>
        </w:rPr>
        <w:t>最终灭菌医疗器械包装 - 第1部分：</w:t>
      </w:r>
      <w:r>
        <w:rPr>
          <w:rFonts w:eastAsia="宋体"/>
          <w:color w:val="000000"/>
          <w:sz w:val="24"/>
          <w:szCs w:val="24"/>
        </w:rPr>
        <w:t>《材料、无菌屏障系统和包装系统的要求》以及ANSI/AAMI/ISO 11607-2：</w:t>
      </w:r>
      <w:r>
        <w:rPr>
          <w:rFonts w:eastAsia="宋体"/>
          <w:i/>
          <w:iCs/>
          <w:color w:val="000000"/>
          <w:sz w:val="24"/>
          <w:szCs w:val="24"/>
        </w:rPr>
        <w:t>最终灭菌医疗器械包装 - 第2部分：成型、密封和装配过程的验证要求。</w:t>
      </w:r>
    </w:p>
    <w:p w14:paraId="51200AE9">
      <w:pPr>
        <w:shd w:val="clear" w:color="auto" w:fill="FFFFFF"/>
        <w:snapToGrid w:val="0"/>
        <w:jc w:val="both"/>
        <w:rPr>
          <w:rFonts w:eastAsia="宋体"/>
          <w:sz w:val="24"/>
          <w:szCs w:val="24"/>
        </w:rPr>
      </w:pPr>
    </w:p>
    <w:p w14:paraId="554F5FF7">
      <w:pPr>
        <w:shd w:val="clear" w:color="auto" w:fill="FFFFFF"/>
        <w:tabs>
          <w:tab w:val="left" w:pos="226"/>
        </w:tabs>
        <w:snapToGrid w:val="0"/>
        <w:jc w:val="both"/>
        <w:rPr>
          <w:rFonts w:eastAsia="宋体"/>
          <w:color w:val="000000"/>
          <w:sz w:val="21"/>
          <w:szCs w:val="21"/>
          <w:vertAlign w:val="superscript"/>
        </w:rPr>
      </w:pPr>
    </w:p>
    <w:p w14:paraId="61215FF8">
      <w:pPr>
        <w:shd w:val="clear" w:color="auto" w:fill="FFFFFF"/>
        <w:tabs>
          <w:tab w:val="left" w:pos="226"/>
        </w:tabs>
        <w:snapToGrid w:val="0"/>
        <w:jc w:val="both"/>
        <w:rPr>
          <w:rFonts w:eastAsia="宋体"/>
          <w:sz w:val="21"/>
          <w:szCs w:val="21"/>
        </w:rPr>
      </w:pPr>
    </w:p>
    <w:p w14:paraId="586B93BF">
      <w:pPr>
        <w:shd w:val="clear" w:color="auto" w:fill="FFFFFF"/>
        <w:tabs>
          <w:tab w:val="left" w:pos="226"/>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20FDA62">
      <w:pPr>
        <w:shd w:val="clear" w:color="auto" w:fill="FFFFFF"/>
        <w:snapToGrid w:val="0"/>
        <w:jc w:val="both"/>
        <w:rPr>
          <w:rFonts w:eastAsia="宋体"/>
          <w:color w:val="000000"/>
          <w:sz w:val="24"/>
          <w:szCs w:val="24"/>
        </w:rPr>
      </w:pPr>
      <w:r>
        <w:rPr>
          <w:rFonts w:eastAsia="宋体"/>
          <w:color w:val="000000"/>
          <w:sz w:val="24"/>
          <w:szCs w:val="24"/>
        </w:rPr>
        <w:t>关于评价老化对器械性能或功能的影响，货架有效期研究应评价关键器械性能，以确保其在整个拟定货架有效期内充分一致地发挥功能。为了评价器械功能，我们建议贵司评价第</w:t>
      </w:r>
      <w:r>
        <w:rPr>
          <w:rFonts w:eastAsia="宋体"/>
          <w:color w:val="0000FF"/>
          <w:sz w:val="24"/>
          <w:szCs w:val="24"/>
        </w:rPr>
        <w:t>L（1）（a）</w:t>
      </w:r>
      <w:r>
        <w:rPr>
          <w:rFonts w:eastAsia="宋体"/>
          <w:color w:val="000000"/>
          <w:sz w:val="24"/>
          <w:szCs w:val="24"/>
        </w:rPr>
        <w:t>、</w:t>
      </w:r>
      <w:r>
        <w:rPr>
          <w:rFonts w:eastAsia="宋体"/>
          <w:color w:val="0000FF"/>
          <w:sz w:val="24"/>
          <w:szCs w:val="24"/>
        </w:rPr>
        <w:t>L（1）（b）</w:t>
      </w:r>
      <w:r>
        <w:rPr>
          <w:rFonts w:eastAsia="宋体"/>
          <w:color w:val="000000"/>
          <w:sz w:val="24"/>
          <w:szCs w:val="24"/>
        </w:rPr>
        <w:t>、</w:t>
      </w:r>
      <w:r>
        <w:rPr>
          <w:rFonts w:eastAsia="宋体"/>
          <w:color w:val="0000FF"/>
          <w:sz w:val="24"/>
          <w:szCs w:val="24"/>
        </w:rPr>
        <w:t>L（2）</w:t>
      </w:r>
      <w:r>
        <w:rPr>
          <w:rFonts w:eastAsia="宋体"/>
          <w:color w:val="000000"/>
          <w:sz w:val="24"/>
          <w:szCs w:val="24"/>
        </w:rPr>
        <w:t>（a-g）、</w:t>
      </w:r>
      <w:r>
        <w:rPr>
          <w:rFonts w:eastAsia="宋体"/>
          <w:color w:val="0000FF"/>
          <w:sz w:val="24"/>
          <w:szCs w:val="24"/>
        </w:rPr>
        <w:t>L（3）</w:t>
      </w:r>
      <w:r>
        <w:rPr>
          <w:rFonts w:eastAsia="宋体"/>
          <w:color w:val="000000"/>
          <w:sz w:val="24"/>
          <w:szCs w:val="24"/>
        </w:rPr>
        <w:t>（a-d）节中所述的每个实验室试验，</w:t>
      </w:r>
      <w:r>
        <w:rPr>
          <w:rFonts w:hint="eastAsia" w:eastAsia="宋体"/>
          <w:color w:val="000000"/>
          <w:sz w:val="24"/>
          <w:szCs w:val="24"/>
        </w:rPr>
        <w:t>并重复使用老化器械评价可能受老化影响的设计部件或特性的所有试验。</w:t>
      </w:r>
    </w:p>
    <w:p w14:paraId="2539ACD5">
      <w:pPr>
        <w:shd w:val="clear" w:color="auto" w:fill="FFFFFF"/>
        <w:snapToGrid w:val="0"/>
        <w:jc w:val="both"/>
        <w:rPr>
          <w:rFonts w:eastAsia="宋体"/>
          <w:sz w:val="24"/>
          <w:szCs w:val="24"/>
        </w:rPr>
      </w:pPr>
    </w:p>
    <w:p w14:paraId="30A828F1">
      <w:pPr>
        <w:shd w:val="clear" w:color="auto" w:fill="FFFFFF"/>
        <w:snapToGrid w:val="0"/>
        <w:jc w:val="both"/>
        <w:rPr>
          <w:rFonts w:eastAsia="宋体"/>
          <w:sz w:val="24"/>
          <w:szCs w:val="24"/>
        </w:rPr>
      </w:pPr>
      <w:bookmarkStart w:id="25" w:name="bookmark11"/>
      <w:bookmarkEnd w:id="25"/>
      <w:r>
        <w:rPr>
          <w:rFonts w:eastAsia="宋体"/>
          <w:color w:val="000000"/>
          <w:sz w:val="24"/>
          <w:szCs w:val="24"/>
        </w:rPr>
        <w:t>我们建议贵司提供用于</w:t>
      </w:r>
      <w:r>
        <w:rPr>
          <w:rFonts w:hint="eastAsia" w:eastAsia="宋体"/>
          <w:color w:val="000000"/>
          <w:sz w:val="24"/>
          <w:szCs w:val="24"/>
        </w:rPr>
        <w:t>货架有效期</w:t>
      </w:r>
      <w:r>
        <w:rPr>
          <w:rFonts w:eastAsia="宋体"/>
          <w:color w:val="000000"/>
          <w:sz w:val="24"/>
          <w:szCs w:val="24"/>
        </w:rPr>
        <w:t>测试的方案、测试结果以及从结果中得出的结论。如果贵司打算在IDE研究获得初始批准后延长植入式BCI器械的货架有效期，我局建议贵司在IDE补充资料中提供支持延长的方案和结果。我局建议对所有试验样品进行实时老化，以明确确定老化对维持无菌性和器械性能的影响。如果贵司使用经过加速老化的器械，则我局建议贵司</w:t>
      </w:r>
      <w:r>
        <w:rPr>
          <w:rFonts w:hint="eastAsia" w:eastAsia="宋体"/>
          <w:color w:val="000000"/>
          <w:sz w:val="24"/>
          <w:szCs w:val="24"/>
        </w:rPr>
        <w:t>指明</w:t>
      </w:r>
      <w:r>
        <w:rPr>
          <w:rFonts w:eastAsia="宋体"/>
          <w:color w:val="000000"/>
          <w:sz w:val="24"/>
          <w:szCs w:val="24"/>
        </w:rPr>
        <w:t>老化器械的方式并</w:t>
      </w:r>
      <w:r>
        <w:rPr>
          <w:rFonts w:hint="eastAsia" w:eastAsia="宋体"/>
          <w:color w:val="000000"/>
          <w:sz w:val="24"/>
          <w:szCs w:val="24"/>
        </w:rPr>
        <w:t>解释</w:t>
      </w:r>
      <w:r>
        <w:rPr>
          <w:rFonts w:eastAsia="宋体"/>
          <w:color w:val="000000"/>
          <w:sz w:val="24"/>
          <w:szCs w:val="24"/>
        </w:rPr>
        <w:t>基于加速老化的货架有效期试验结果</w:t>
      </w:r>
      <w:r>
        <w:rPr>
          <w:rFonts w:hint="eastAsia" w:eastAsia="宋体"/>
          <w:color w:val="000000"/>
          <w:sz w:val="24"/>
          <w:szCs w:val="24"/>
        </w:rPr>
        <w:t>如何</w:t>
      </w:r>
      <w:r>
        <w:rPr>
          <w:rFonts w:eastAsia="宋体"/>
          <w:color w:val="000000"/>
          <w:sz w:val="24"/>
          <w:szCs w:val="24"/>
        </w:rPr>
        <w:t>能够代表器械经过实时老化</w:t>
      </w:r>
      <w:r>
        <w:rPr>
          <w:rFonts w:hint="eastAsia" w:eastAsia="宋体"/>
          <w:color w:val="000000"/>
          <w:sz w:val="24"/>
          <w:szCs w:val="24"/>
        </w:rPr>
        <w:t>的</w:t>
      </w:r>
      <w:r>
        <w:rPr>
          <w:rFonts w:eastAsia="宋体"/>
          <w:color w:val="000000"/>
          <w:sz w:val="24"/>
          <w:szCs w:val="24"/>
        </w:rPr>
        <w:t>试验结果</w:t>
      </w:r>
      <w:r>
        <w:rPr>
          <w:rFonts w:hint="eastAsia" w:eastAsia="宋体"/>
          <w:color w:val="000000"/>
          <w:sz w:val="24"/>
          <w:szCs w:val="24"/>
        </w:rPr>
        <w:t>的原因</w:t>
      </w:r>
      <w:r>
        <w:rPr>
          <w:rFonts w:eastAsia="宋体"/>
          <w:color w:val="000000"/>
          <w:sz w:val="24"/>
          <w:szCs w:val="24"/>
        </w:rPr>
        <w:t>。我们建议贵司按照目前FDA认可的ASTM F1980版本：</w:t>
      </w:r>
      <w:r>
        <w:rPr>
          <w:rFonts w:eastAsia="宋体"/>
          <w:i/>
          <w:iCs/>
          <w:color w:val="000000"/>
          <w:sz w:val="24"/>
          <w:szCs w:val="24"/>
        </w:rPr>
        <w:t>医疗器械无菌屏障系统加速老化标准指南</w:t>
      </w:r>
      <w:r>
        <w:rPr>
          <w:rFonts w:eastAsia="宋体"/>
          <w:color w:val="000000"/>
          <w:sz w:val="24"/>
          <w:szCs w:val="24"/>
        </w:rPr>
        <w:t>对贵司的器械进行老化，并规定为达到失效日期而设立的环境参数。我局建议加速老化货架有效期试验方案包括同期实时老化研究方案，以确认从老化样本货架有效期研究获得的结果。</w:t>
      </w:r>
    </w:p>
    <w:p w14:paraId="3E377CEB">
      <w:pPr>
        <w:pStyle w:val="3"/>
        <w:spacing w:before="240" w:after="240"/>
      </w:pPr>
      <w:bookmarkStart w:id="26" w:name="_Toc97494945"/>
      <w:r>
        <w:t>I.</w:t>
      </w:r>
      <w:r>
        <w:tab/>
      </w:r>
      <w:r>
        <w:t>电气安全和电磁兼容性（EMC）</w:t>
      </w:r>
      <w:bookmarkEnd w:id="26"/>
    </w:p>
    <w:p w14:paraId="71C01544">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：植入式BCI设备是医用电气设备，因此可能使操作员和患者暴露于使用电能相关危害，或者可能在存在电磁干扰的情况下无法正常运行。</w:t>
      </w:r>
    </w:p>
    <w:p w14:paraId="70FCBFFF">
      <w:pPr>
        <w:shd w:val="clear" w:color="auto" w:fill="FFFFFF"/>
        <w:snapToGrid w:val="0"/>
        <w:jc w:val="both"/>
        <w:rPr>
          <w:rFonts w:eastAsia="宋体"/>
          <w:sz w:val="24"/>
          <w:szCs w:val="24"/>
        </w:rPr>
      </w:pPr>
    </w:p>
    <w:p w14:paraId="2B5E81DD">
      <w:pPr>
        <w:shd w:val="clear" w:color="auto" w:fill="FFFFFF"/>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：应对植入式BCI器械进行测试，以证明其按预期使用环境的预期运行。我局建议按照以下FDA公认的现行版医用电气设备安全性和电磁兼容性标准所述进行本次试验：</w:t>
      </w:r>
    </w:p>
    <w:p w14:paraId="63A8C83C">
      <w:pPr>
        <w:shd w:val="clear" w:color="auto" w:fill="FFFFFF"/>
        <w:snapToGrid w:val="0"/>
        <w:jc w:val="both"/>
        <w:rPr>
          <w:rFonts w:eastAsia="宋体"/>
          <w:sz w:val="24"/>
          <w:szCs w:val="24"/>
        </w:rPr>
      </w:pPr>
    </w:p>
    <w:p w14:paraId="5D16948A">
      <w:pPr>
        <w:shd w:val="clear" w:color="auto" w:fill="FFFFFF"/>
        <w:snapToGrid w:val="0"/>
        <w:ind w:left="660" w:leftChars="150" w:hanging="360" w:hangingChars="150"/>
        <w:jc w:val="both"/>
        <w:rPr>
          <w:rFonts w:eastAsia="宋体"/>
          <w:color w:val="000000" w:themeColor="text1"/>
          <w:sz w:val="24"/>
          <w:szCs w:val="24"/>
        </w:rPr>
      </w:pPr>
      <w:r>
        <w:rPr>
          <w:rFonts w:eastAsia="宋体"/>
          <w:color w:val="000000" w:themeColor="text1"/>
          <w:sz w:val="24"/>
          <w:szCs w:val="24"/>
        </w:rPr>
        <w:t>•</w:t>
      </w:r>
      <w:r>
        <w:rPr>
          <w:rFonts w:eastAsia="宋体"/>
          <w:color w:val="000000" w:themeColor="text1"/>
          <w:sz w:val="24"/>
          <w:szCs w:val="24"/>
        </w:rPr>
        <w:tab/>
      </w:r>
      <w:r>
        <w:rPr>
          <w:rFonts w:eastAsia="宋体"/>
          <w:color w:val="000000" w:themeColor="text1"/>
          <w:sz w:val="24"/>
          <w:szCs w:val="24"/>
        </w:rPr>
        <w:t>ANSI/AAMI ES60601-1:</w:t>
      </w:r>
      <w:r>
        <w:rPr>
          <w:rFonts w:eastAsia="宋体"/>
          <w:i/>
          <w:iCs/>
          <w:color w:val="000000" w:themeColor="text1"/>
          <w:sz w:val="24"/>
          <w:szCs w:val="24"/>
        </w:rPr>
        <w:t>医用电气设备 - 第1部分：基本安全和基本性能的通用要求。</w:t>
      </w:r>
    </w:p>
    <w:p w14:paraId="464D5DCE">
      <w:pPr>
        <w:shd w:val="clear" w:color="auto" w:fill="FFFFFF"/>
        <w:snapToGrid w:val="0"/>
        <w:jc w:val="both"/>
        <w:rPr>
          <w:rFonts w:eastAsia="宋体"/>
          <w:sz w:val="21"/>
          <w:szCs w:val="21"/>
        </w:rPr>
      </w:pPr>
    </w:p>
    <w:p w14:paraId="2114825A">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AD97A5B">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ANSI/AAMI/IEC 60601-1-2:</w:t>
      </w:r>
      <w:r>
        <w:rPr>
          <w:rFonts w:eastAsia="宋体"/>
          <w:i/>
          <w:iCs/>
          <w:color w:val="000000"/>
          <w:sz w:val="24"/>
          <w:szCs w:val="24"/>
        </w:rPr>
        <w:t>医用电气设备 - 第1-2部分：基本安全和基本性能的通用要求 - 并列标准：电磁干扰 - 要求和测试。</w:t>
      </w:r>
    </w:p>
    <w:p w14:paraId="7437CFB8">
      <w:pPr>
        <w:shd w:val="clear" w:color="auto" w:fill="FFFFFF"/>
        <w:snapToGrid w:val="0"/>
        <w:ind w:left="660" w:leftChars="150" w:hanging="360" w:hangingChars="150"/>
        <w:jc w:val="both"/>
        <w:rPr>
          <w:rFonts w:eastAsia="宋体"/>
          <w:color w:val="000000"/>
          <w:sz w:val="24"/>
          <w:szCs w:val="24"/>
        </w:rPr>
      </w:pPr>
    </w:p>
    <w:p w14:paraId="1C28BDCE">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ISO 14708-1：</w:t>
      </w:r>
      <w:r>
        <w:rPr>
          <w:rFonts w:eastAsia="宋体"/>
          <w:i/>
          <w:iCs/>
          <w:color w:val="000000"/>
          <w:sz w:val="24"/>
          <w:szCs w:val="24"/>
        </w:rPr>
        <w:t>手术植入物 - 有源植入式医疗器械 - 第1部分：制造商提供的安全性、标记和信息一般要求</w:t>
      </w:r>
    </w:p>
    <w:p w14:paraId="62065A55">
      <w:pPr>
        <w:shd w:val="clear" w:color="auto" w:fill="FFFFFF"/>
        <w:snapToGrid w:val="0"/>
        <w:ind w:left="1276" w:leftChars="638"/>
        <w:jc w:val="both"/>
        <w:rPr>
          <w:rFonts w:eastAsia="宋体"/>
          <w:color w:val="000000"/>
          <w:sz w:val="24"/>
          <w:szCs w:val="24"/>
        </w:rPr>
      </w:pPr>
    </w:p>
    <w:p w14:paraId="28C44832">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ISO 14708-3：</w:t>
      </w:r>
      <w:r>
        <w:rPr>
          <w:rFonts w:eastAsia="宋体"/>
          <w:i/>
          <w:color w:val="000000"/>
          <w:sz w:val="24"/>
          <w:szCs w:val="24"/>
        </w:rPr>
        <w:t>手术植入物 - 有源植入式医疗器械 - 第3部分：植入式神经刺激器。</w:t>
      </w:r>
    </w:p>
    <w:p w14:paraId="0D126D6D">
      <w:pPr>
        <w:shd w:val="clear" w:color="auto" w:fill="FFFFFF"/>
        <w:snapToGrid w:val="0"/>
        <w:jc w:val="both"/>
        <w:rPr>
          <w:rFonts w:eastAsia="宋体"/>
          <w:color w:val="000000"/>
          <w:sz w:val="24"/>
          <w:szCs w:val="24"/>
        </w:rPr>
      </w:pPr>
      <w:bookmarkStart w:id="27" w:name="bookmark12"/>
    </w:p>
    <w:bookmarkEnd w:id="27"/>
    <w:p w14:paraId="16FC981C">
      <w:pPr>
        <w:shd w:val="clear" w:color="auto" w:fill="FFFFFF"/>
        <w:snapToGrid w:val="0"/>
        <w:jc w:val="both"/>
        <w:rPr>
          <w:rFonts w:eastAsia="宋体"/>
          <w:sz w:val="24"/>
          <w:szCs w:val="24"/>
        </w:rPr>
      </w:pPr>
      <w:r>
        <w:rPr>
          <w:rFonts w:eastAsia="宋体"/>
          <w:color w:val="000000"/>
          <w:sz w:val="24"/>
          <w:szCs w:val="24"/>
        </w:rPr>
        <w:t>有关在上市前申请的材料中提供电磁兼容性信息的其他信息，请参见FDA指南，</w:t>
      </w:r>
      <w:r>
        <w:rPr>
          <w:rFonts w:ascii="宋体" w:hAnsi="宋体" w:eastAsia="宋体"/>
          <w:color w:val="000000"/>
          <w:sz w:val="24"/>
          <w:szCs w:val="24"/>
        </w:rPr>
        <w:t>“</w:t>
      </w:r>
      <w:r>
        <w:rPr>
          <w:rFonts w:eastAsia="宋体"/>
          <w:color w:val="0000FF"/>
          <w:sz w:val="24"/>
          <w:szCs w:val="24"/>
          <w:u w:val="single"/>
        </w:rPr>
        <w:t>支持电动医疗器械电磁兼容性（EMC）声明的信息。</w:t>
      </w:r>
      <w:r>
        <w:rPr>
          <w:rFonts w:ascii="宋体" w:hAnsi="宋体"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15"/>
      </w:r>
    </w:p>
    <w:p w14:paraId="736435C6">
      <w:pPr>
        <w:pStyle w:val="3"/>
        <w:spacing w:before="240" w:after="240"/>
      </w:pPr>
      <w:bookmarkStart w:id="28" w:name="_Toc97494946"/>
      <w:r>
        <w:t>J.</w:t>
      </w:r>
      <w:r>
        <w:tab/>
      </w:r>
      <w:r>
        <w:t>无线技术</w:t>
      </w:r>
      <w:bookmarkEnd w:id="28"/>
    </w:p>
    <w:p w14:paraId="666FD155">
      <w:pPr>
        <w:shd w:val="clear" w:color="auto" w:fill="FFFFFF"/>
        <w:snapToGrid w:val="0"/>
        <w:jc w:val="both"/>
        <w:rPr>
          <w:rFonts w:eastAsia="宋体"/>
          <w:color w:val="000000"/>
          <w:sz w:val="24"/>
          <w:szCs w:val="24"/>
        </w:rPr>
      </w:pPr>
      <w:r>
        <w:rPr>
          <w:rFonts w:eastAsia="宋体"/>
          <w:color w:val="000000"/>
          <w:sz w:val="21"/>
          <w:szCs w:val="21"/>
          <w:u w:val="single"/>
        </w:rPr>
        <w:t>意义</w:t>
      </w:r>
      <w:r>
        <w:rPr>
          <w:rFonts w:eastAsia="宋体"/>
          <w:color w:val="000000"/>
          <w:sz w:val="21"/>
          <w:szCs w:val="21"/>
        </w:rPr>
        <w:t>：在设计、测试和使用无线医疗器械时，正确、及时、安全传输医疗数据和信息对安全有效使</w:t>
      </w:r>
      <w:r>
        <w:rPr>
          <w:rFonts w:eastAsia="宋体"/>
          <w:color w:val="000000"/>
          <w:sz w:val="24"/>
          <w:szCs w:val="24"/>
        </w:rPr>
        <w:t>用医疗器械和系统至关重要。BCI系统可使用无线连接</w:t>
      </w:r>
      <w:r>
        <w:rPr>
          <w:rFonts w:hint="eastAsia" w:eastAsia="宋体"/>
          <w:color w:val="000000"/>
          <w:sz w:val="24"/>
          <w:szCs w:val="24"/>
        </w:rPr>
        <w:t>来</w:t>
      </w:r>
      <w:r>
        <w:rPr>
          <w:rFonts w:eastAsia="宋体"/>
          <w:color w:val="000000"/>
          <w:sz w:val="24"/>
          <w:szCs w:val="24"/>
        </w:rPr>
        <w:t>传输神经信号、控制辅助技术或驱动电刺激。</w:t>
      </w:r>
    </w:p>
    <w:p w14:paraId="6ABE9300">
      <w:pPr>
        <w:shd w:val="clear" w:color="auto" w:fill="FFFFFF"/>
        <w:snapToGrid w:val="0"/>
        <w:jc w:val="both"/>
        <w:rPr>
          <w:rFonts w:eastAsia="宋体"/>
          <w:sz w:val="24"/>
          <w:szCs w:val="24"/>
        </w:rPr>
      </w:pPr>
    </w:p>
    <w:p w14:paraId="2C1A6122">
      <w:pPr>
        <w:shd w:val="clear" w:color="auto" w:fill="FFFFFF"/>
        <w:snapToGrid w:val="0"/>
        <w:jc w:val="both"/>
        <w:rPr>
          <w:rFonts w:eastAsia="宋体"/>
          <w:i/>
          <w:iCs/>
          <w:color w:val="000000"/>
          <w:sz w:val="24"/>
          <w:szCs w:val="24"/>
        </w:rPr>
      </w:pPr>
      <w:r>
        <w:rPr>
          <w:rFonts w:eastAsia="宋体"/>
          <w:color w:val="000000"/>
          <w:sz w:val="24"/>
          <w:szCs w:val="24"/>
          <w:u w:val="single"/>
        </w:rPr>
        <w:t>建议</w:t>
      </w:r>
      <w:r>
        <w:rPr>
          <w:rFonts w:eastAsia="宋体"/>
          <w:color w:val="000000"/>
          <w:sz w:val="24"/>
          <w:szCs w:val="24"/>
        </w:rPr>
        <w:t>：如果贵司植入的BCI器械采用了射频无线技术，如蓝牙、IEEE 802.11（Wi-Fi™), RFID（射频识别）技术或执行器械临床功能所需的其他无线功能，我们建议按照FDA认可版本的AAMI TIR69评估风险：</w:t>
      </w:r>
      <w:r>
        <w:rPr>
          <w:rFonts w:eastAsia="宋体"/>
          <w:i/>
          <w:iCs/>
          <w:color w:val="000000"/>
          <w:sz w:val="24"/>
          <w:szCs w:val="24"/>
        </w:rPr>
        <w:t>技术信息报告医疗器械和系统射频无线共存的风险管理</w:t>
      </w:r>
      <w:r>
        <w:rPr>
          <w:rFonts w:eastAsia="宋体"/>
          <w:color w:val="000000"/>
          <w:sz w:val="24"/>
          <w:szCs w:val="24"/>
        </w:rPr>
        <w:t>。</w:t>
      </w:r>
    </w:p>
    <w:p w14:paraId="0B0D320B">
      <w:pPr>
        <w:shd w:val="clear" w:color="auto" w:fill="FFFFFF"/>
        <w:snapToGrid w:val="0"/>
        <w:jc w:val="both"/>
        <w:rPr>
          <w:rFonts w:eastAsia="宋体"/>
          <w:sz w:val="24"/>
          <w:szCs w:val="24"/>
        </w:rPr>
      </w:pPr>
    </w:p>
    <w:p w14:paraId="14457790">
      <w:pPr>
        <w:shd w:val="clear" w:color="auto" w:fill="FFFFFF"/>
        <w:snapToGrid w:val="0"/>
        <w:jc w:val="both"/>
        <w:rPr>
          <w:rFonts w:eastAsia="宋体"/>
          <w:i/>
          <w:iCs/>
          <w:color w:val="000000"/>
          <w:sz w:val="24"/>
          <w:szCs w:val="24"/>
        </w:rPr>
      </w:pPr>
      <w:r>
        <w:rPr>
          <w:rFonts w:eastAsia="宋体"/>
          <w:color w:val="000000"/>
          <w:sz w:val="24"/>
          <w:szCs w:val="24"/>
        </w:rPr>
        <w:t>射频无线工作频率和调制的选择应考虑到无线医疗器械系统附近可能存在的其他射频无线技术和用户。这些其他无线系统可能带来风险，可能导致医疗器械信号丢失或延迟，应在风险管理过程中予以考虑。如果发现无线功能的风险管理评价对器械的临床功能至关重要，FDA建议贵司按照当前FDA认可版本的ANSI/IEEE C63.27中所述，解决器械的环境规范和需求。</w:t>
      </w:r>
      <w:r>
        <w:rPr>
          <w:rFonts w:eastAsia="宋体"/>
          <w:i/>
          <w:iCs/>
          <w:color w:val="000000"/>
          <w:sz w:val="24"/>
          <w:szCs w:val="24"/>
        </w:rPr>
        <w:t>美国国家无线共存评价标准。</w:t>
      </w:r>
    </w:p>
    <w:p w14:paraId="48087F31">
      <w:pPr>
        <w:shd w:val="clear" w:color="auto" w:fill="FFFFFF"/>
        <w:snapToGrid w:val="0"/>
        <w:jc w:val="both"/>
        <w:rPr>
          <w:rFonts w:eastAsia="宋体"/>
          <w:sz w:val="24"/>
          <w:szCs w:val="24"/>
        </w:rPr>
      </w:pPr>
    </w:p>
    <w:p w14:paraId="09045744">
      <w:pPr>
        <w:shd w:val="clear" w:color="auto" w:fill="FFFFFF"/>
        <w:snapToGrid w:val="0"/>
        <w:jc w:val="both"/>
        <w:rPr>
          <w:rFonts w:eastAsia="宋体"/>
          <w:sz w:val="24"/>
          <w:szCs w:val="24"/>
        </w:rPr>
      </w:pPr>
      <w:r>
        <w:rPr>
          <w:rFonts w:eastAsia="宋体"/>
          <w:color w:val="000000"/>
          <w:sz w:val="24"/>
          <w:szCs w:val="24"/>
        </w:rPr>
        <w:t>有关使用无线技术的家用器械的其他建议，请参考FDA的指南《</w:t>
      </w:r>
      <w:r>
        <w:rPr>
          <w:rFonts w:eastAsia="宋体"/>
          <w:color w:val="0000FF"/>
          <w:sz w:val="24"/>
          <w:szCs w:val="24"/>
          <w:u w:val="single"/>
        </w:rPr>
        <w:t>家用器械的设计注意事项</w:t>
      </w:r>
      <w:r>
        <w:rPr>
          <w:rFonts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16"/>
      </w:r>
    </w:p>
    <w:p w14:paraId="069484BA">
      <w:pPr>
        <w:shd w:val="clear" w:color="auto" w:fill="FFFFFF"/>
        <w:tabs>
          <w:tab w:val="left" w:pos="211"/>
        </w:tabs>
        <w:snapToGrid w:val="0"/>
        <w:jc w:val="both"/>
        <w:rPr>
          <w:rFonts w:eastAsia="宋体"/>
          <w:color w:val="000000"/>
          <w:sz w:val="24"/>
          <w:szCs w:val="24"/>
          <w:vertAlign w:val="superscript"/>
        </w:rPr>
      </w:pPr>
    </w:p>
    <w:p w14:paraId="0AB48FD1">
      <w:pPr>
        <w:shd w:val="clear" w:color="auto" w:fill="FFFFFF"/>
        <w:tabs>
          <w:tab w:val="left" w:pos="211"/>
        </w:tabs>
        <w:snapToGrid w:val="0"/>
        <w:jc w:val="both"/>
        <w:rPr>
          <w:rFonts w:eastAsia="宋体"/>
          <w:sz w:val="21"/>
          <w:szCs w:val="21"/>
        </w:rPr>
      </w:pPr>
    </w:p>
    <w:p w14:paraId="4BFDF9E6">
      <w:pPr>
        <w:shd w:val="clear" w:color="auto" w:fill="FFFFFF"/>
        <w:tabs>
          <w:tab w:val="left" w:pos="211"/>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968D680">
      <w:pPr>
        <w:shd w:val="clear" w:color="auto" w:fill="FFFFFF"/>
        <w:snapToGrid w:val="0"/>
        <w:jc w:val="both"/>
        <w:rPr>
          <w:rFonts w:eastAsia="宋体"/>
          <w:sz w:val="24"/>
          <w:szCs w:val="24"/>
        </w:rPr>
      </w:pPr>
      <w:bookmarkStart w:id="29" w:name="bookmark13"/>
      <w:r>
        <w:rPr>
          <w:rFonts w:eastAsia="宋体"/>
          <w:color w:val="000000"/>
          <w:sz w:val="24"/>
          <w:szCs w:val="24"/>
        </w:rPr>
        <w:t>我们</w:t>
      </w:r>
      <w:bookmarkEnd w:id="29"/>
      <w:r>
        <w:rPr>
          <w:rFonts w:eastAsia="宋体"/>
          <w:color w:val="000000"/>
          <w:sz w:val="24"/>
          <w:szCs w:val="24"/>
        </w:rPr>
        <w:t>建议贵司参考FDA的指南</w:t>
      </w:r>
      <w:r>
        <w:rPr>
          <w:rFonts w:ascii="宋体" w:hAnsi="宋体" w:eastAsia="宋体"/>
          <w:color w:val="000000"/>
          <w:sz w:val="24"/>
          <w:szCs w:val="24"/>
        </w:rPr>
        <w:t>“</w:t>
      </w:r>
      <w:r>
        <w:rPr>
          <w:rFonts w:eastAsia="宋体"/>
          <w:color w:val="0000FF"/>
          <w:sz w:val="24"/>
          <w:szCs w:val="24"/>
          <w:u w:val="single"/>
        </w:rPr>
        <w:t>医疗器械中的射频无线技术</w:t>
      </w:r>
      <w:r>
        <w:rPr>
          <w:rFonts w:ascii="宋体" w:hAnsi="宋体" w:eastAsia="宋体"/>
          <w:color w:val="000000"/>
          <w:sz w:val="24"/>
          <w:szCs w:val="24"/>
        </w:rPr>
        <w:t>”</w:t>
      </w:r>
      <w:r>
        <w:rPr>
          <w:rFonts w:eastAsia="宋体"/>
          <w:color w:val="000000"/>
          <w:sz w:val="24"/>
          <w:szCs w:val="24"/>
          <w:vertAlign w:val="superscript"/>
        </w:rPr>
        <w:footnoteReference w:id="17"/>
      </w:r>
      <w:r>
        <w:rPr>
          <w:rFonts w:eastAsia="宋体"/>
          <w:color w:val="000000"/>
          <w:sz w:val="24"/>
          <w:szCs w:val="24"/>
        </w:rPr>
        <w:t>，以了解有关此主题的其他建议。</w:t>
      </w:r>
    </w:p>
    <w:p w14:paraId="75F9E68E">
      <w:pPr>
        <w:pStyle w:val="3"/>
        <w:spacing w:before="240" w:after="240"/>
      </w:pPr>
      <w:bookmarkStart w:id="30" w:name="_Toc97494947"/>
      <w:r>
        <w:t>K.</w:t>
      </w:r>
      <w:r>
        <w:tab/>
      </w:r>
      <w:r>
        <w:t>磁共振（MR）兼容性</w:t>
      </w:r>
      <w:bookmarkEnd w:id="30"/>
    </w:p>
    <w:p w14:paraId="0F0ED1AC">
      <w:pPr>
        <w:shd w:val="clear" w:color="auto" w:fill="FFFFFF"/>
        <w:snapToGrid w:val="0"/>
        <w:jc w:val="both"/>
        <w:rPr>
          <w:rFonts w:eastAsia="宋体"/>
          <w:sz w:val="24"/>
          <w:szCs w:val="24"/>
        </w:rPr>
      </w:pPr>
      <w:r>
        <w:rPr>
          <w:rFonts w:eastAsia="宋体"/>
          <w:color w:val="000000"/>
          <w:sz w:val="24"/>
          <w:szCs w:val="24"/>
          <w:u w:val="single"/>
        </w:rPr>
        <w:t>意义</w:t>
      </w:r>
      <w:r>
        <w:rPr>
          <w:rFonts w:eastAsia="宋体"/>
          <w:color w:val="000000"/>
          <w:sz w:val="24"/>
          <w:szCs w:val="24"/>
        </w:rPr>
        <w:t>：对植入BCI器械的患者进行磁共振成像可能导致以下潜在危害：</w:t>
      </w:r>
    </w:p>
    <w:p w14:paraId="468E5F2B">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梯度场和射频场</w:t>
      </w:r>
      <w:r>
        <w:rPr>
          <w:rFonts w:hint="eastAsia" w:eastAsia="宋体"/>
          <w:color w:val="000000"/>
          <w:sz w:val="24"/>
          <w:szCs w:val="24"/>
        </w:rPr>
        <w:t>导致的</w:t>
      </w:r>
      <w:r>
        <w:rPr>
          <w:rFonts w:eastAsia="宋体"/>
          <w:color w:val="000000"/>
          <w:sz w:val="24"/>
          <w:szCs w:val="24"/>
        </w:rPr>
        <w:t>植入器械附近组织</w:t>
      </w:r>
      <w:r>
        <w:rPr>
          <w:rFonts w:hint="eastAsia" w:eastAsia="宋体"/>
          <w:color w:val="000000"/>
          <w:sz w:val="24"/>
          <w:szCs w:val="24"/>
        </w:rPr>
        <w:t>发热</w:t>
      </w:r>
      <w:r>
        <w:rPr>
          <w:rFonts w:eastAsia="宋体"/>
          <w:color w:val="000000"/>
          <w:sz w:val="24"/>
          <w:szCs w:val="24"/>
        </w:rPr>
        <w:t>；</w:t>
      </w:r>
    </w:p>
    <w:p w14:paraId="5EE5CA7D">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梯度场产生的器械振动</w:t>
      </w:r>
      <w:r>
        <w:rPr>
          <w:rFonts w:hint="eastAsia" w:eastAsia="宋体"/>
          <w:color w:val="000000"/>
          <w:sz w:val="24"/>
          <w:szCs w:val="24"/>
        </w:rPr>
        <w:t>导致</w:t>
      </w:r>
      <w:r>
        <w:rPr>
          <w:rFonts w:eastAsia="宋体"/>
          <w:color w:val="000000"/>
          <w:sz w:val="24"/>
          <w:szCs w:val="24"/>
        </w:rPr>
        <w:t>组织损伤；</w:t>
      </w:r>
    </w:p>
    <w:p w14:paraId="3095FD65">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静磁场</w:t>
      </w:r>
      <w:r>
        <w:rPr>
          <w:rFonts w:hint="eastAsia" w:eastAsia="宋体"/>
          <w:color w:val="000000"/>
          <w:sz w:val="24"/>
          <w:szCs w:val="24"/>
        </w:rPr>
        <w:t>的位</w:t>
      </w:r>
      <w:r>
        <w:rPr>
          <w:rFonts w:eastAsia="宋体"/>
          <w:color w:val="000000"/>
          <w:sz w:val="24"/>
          <w:szCs w:val="24"/>
        </w:rPr>
        <w:t>移力导致器械移动</w:t>
      </w:r>
      <w:r>
        <w:rPr>
          <w:rFonts w:hint="eastAsia" w:eastAsia="宋体"/>
          <w:color w:val="000000"/>
          <w:sz w:val="24"/>
          <w:szCs w:val="24"/>
        </w:rPr>
        <w:t>造成</w:t>
      </w:r>
      <w:r>
        <w:rPr>
          <w:rFonts w:eastAsia="宋体"/>
          <w:color w:val="000000"/>
          <w:sz w:val="24"/>
          <w:szCs w:val="24"/>
        </w:rPr>
        <w:t>组织损伤；</w:t>
      </w:r>
    </w:p>
    <w:p w14:paraId="0526D952">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静磁场对器械产生的扭矩</w:t>
      </w:r>
      <w:r>
        <w:rPr>
          <w:rFonts w:hint="eastAsia" w:eastAsia="宋体"/>
          <w:color w:val="000000"/>
          <w:sz w:val="24"/>
          <w:szCs w:val="24"/>
        </w:rPr>
        <w:t>导致</w:t>
      </w:r>
      <w:r>
        <w:rPr>
          <w:rFonts w:eastAsia="宋体"/>
          <w:color w:val="000000"/>
          <w:sz w:val="24"/>
          <w:szCs w:val="24"/>
        </w:rPr>
        <w:t>组织损伤；</w:t>
      </w:r>
    </w:p>
    <w:p w14:paraId="3E6BD929">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由于梯度场</w:t>
      </w:r>
      <w:r>
        <w:rPr>
          <w:rFonts w:hint="eastAsia" w:eastAsia="宋体"/>
          <w:color w:val="000000"/>
          <w:sz w:val="24"/>
          <w:szCs w:val="24"/>
        </w:rPr>
        <w:t>致</w:t>
      </w:r>
      <w:r>
        <w:rPr>
          <w:rFonts w:eastAsia="宋体"/>
          <w:color w:val="000000"/>
          <w:sz w:val="24"/>
          <w:szCs w:val="24"/>
        </w:rPr>
        <w:t>电极导线电压</w:t>
      </w:r>
      <w:r>
        <w:rPr>
          <w:rFonts w:hint="eastAsia" w:eastAsia="宋体"/>
          <w:color w:val="000000"/>
          <w:sz w:val="24"/>
          <w:szCs w:val="24"/>
        </w:rPr>
        <w:t>而</w:t>
      </w:r>
      <w:r>
        <w:rPr>
          <w:rFonts w:eastAsia="宋体"/>
          <w:color w:val="000000"/>
          <w:sz w:val="24"/>
          <w:szCs w:val="24"/>
        </w:rPr>
        <w:t>产生的外部电势导致非预期刺激和组织损伤；</w:t>
      </w:r>
    </w:p>
    <w:p w14:paraId="4A76C07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由于射频场</w:t>
      </w:r>
      <w:r>
        <w:rPr>
          <w:rFonts w:hint="eastAsia" w:eastAsia="宋体"/>
          <w:color w:val="000000"/>
          <w:sz w:val="24"/>
          <w:szCs w:val="24"/>
        </w:rPr>
        <w:t>致</w:t>
      </w:r>
      <w:r>
        <w:rPr>
          <w:rFonts w:eastAsia="宋体"/>
          <w:color w:val="000000"/>
          <w:sz w:val="24"/>
          <w:szCs w:val="24"/>
        </w:rPr>
        <w:t>电极导线电压</w:t>
      </w:r>
      <w:r>
        <w:rPr>
          <w:rFonts w:hint="eastAsia" w:eastAsia="宋体"/>
          <w:color w:val="000000"/>
          <w:sz w:val="24"/>
          <w:szCs w:val="24"/>
        </w:rPr>
        <w:t>而</w:t>
      </w:r>
      <w:r>
        <w:rPr>
          <w:rFonts w:eastAsia="宋体"/>
          <w:color w:val="000000"/>
          <w:sz w:val="24"/>
          <w:szCs w:val="24"/>
        </w:rPr>
        <w:t>产生的整流导致组织损伤；和/或</w:t>
      </w:r>
    </w:p>
    <w:p w14:paraId="48C2E635">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B0、RF和梯度场引起的MR环境特定器械故障。</w:t>
      </w:r>
    </w:p>
    <w:p w14:paraId="78064994">
      <w:pPr>
        <w:shd w:val="clear" w:color="auto" w:fill="FFFFFF"/>
        <w:snapToGrid w:val="0"/>
        <w:jc w:val="both"/>
        <w:rPr>
          <w:rFonts w:eastAsia="宋体"/>
          <w:color w:val="000000"/>
          <w:sz w:val="24"/>
          <w:szCs w:val="24"/>
          <w:u w:val="single"/>
        </w:rPr>
      </w:pPr>
    </w:p>
    <w:p w14:paraId="2441BA2A">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：我们建议贵司按照FDA指南《</w:t>
      </w:r>
      <w:r>
        <w:rPr>
          <w:rFonts w:eastAsia="宋体"/>
          <w:color w:val="0000FF"/>
          <w:sz w:val="24"/>
          <w:szCs w:val="24"/>
          <w:u w:val="single"/>
        </w:rPr>
        <w:t>在磁共振（MR）</w:t>
      </w:r>
      <w:bookmarkStart w:id="31" w:name="bookmark14"/>
      <w:bookmarkEnd w:id="31"/>
      <w:r>
        <w:rPr>
          <w:rFonts w:eastAsia="宋体"/>
          <w:color w:val="0000FF"/>
          <w:sz w:val="24"/>
          <w:szCs w:val="24"/>
          <w:u w:val="single"/>
        </w:rPr>
        <w:t>环境中对医疗器械进行安全性测试和标记</w:t>
      </w:r>
      <w:r>
        <w:rPr>
          <w:rFonts w:eastAsia="宋体"/>
          <w:color w:val="000000"/>
          <w:sz w:val="24"/>
          <w:szCs w:val="24"/>
        </w:rPr>
        <w:t>》所述，解决影响贵司的植入BCI器械在MR环境中的安全性和兼容性的问题。</w:t>
      </w:r>
      <w:r>
        <w:rPr>
          <w:rFonts w:eastAsia="宋体"/>
          <w:color w:val="000000"/>
          <w:sz w:val="24"/>
          <w:szCs w:val="24"/>
          <w:vertAlign w:val="superscript"/>
        </w:rPr>
        <w:footnoteReference w:id="18"/>
      </w:r>
    </w:p>
    <w:p w14:paraId="088F996E">
      <w:pPr>
        <w:pStyle w:val="3"/>
        <w:spacing w:before="240" w:after="240"/>
      </w:pPr>
      <w:bookmarkStart w:id="32" w:name="_Toc97494948"/>
      <w:r>
        <w:t>L.</w:t>
      </w:r>
      <w:r>
        <w:tab/>
      </w:r>
      <w:r>
        <w:t>非临床实验室试验</w:t>
      </w:r>
      <w:bookmarkEnd w:id="32"/>
    </w:p>
    <w:p w14:paraId="07FDBEF8">
      <w:pPr>
        <w:shd w:val="clear" w:color="auto" w:fill="FFFFFF"/>
        <w:snapToGrid w:val="0"/>
        <w:jc w:val="both"/>
        <w:rPr>
          <w:rFonts w:eastAsia="宋体"/>
          <w:color w:val="000000"/>
          <w:sz w:val="24"/>
          <w:szCs w:val="24"/>
        </w:rPr>
      </w:pPr>
      <w:r>
        <w:rPr>
          <w:rFonts w:eastAsia="宋体"/>
          <w:color w:val="000000"/>
          <w:sz w:val="24"/>
          <w:szCs w:val="24"/>
        </w:rPr>
        <w:t>我局建议在IDE中说明下述非临床台架试验。一般而言，在确定表征组件耐久性（例如机械和电气）的适当测试方法时，应考虑典型的植入持续时间。试验应确保器械符合适当规范，代表器械植入期间临床相关的最差情况体内条件和器械的预期寿命。必要时，我局建议试验模拟任何体液对接触这些体液的器械组件的影响（例如在盐水中浸泡后和干燥前）。同时，我局建议贵司规定临床上合理的试验验收标准。</w:t>
      </w:r>
    </w:p>
    <w:p w14:paraId="2C93F7CD">
      <w:pPr>
        <w:shd w:val="clear" w:color="auto" w:fill="FFFFFF"/>
        <w:snapToGrid w:val="0"/>
        <w:jc w:val="both"/>
        <w:rPr>
          <w:rFonts w:eastAsia="宋体"/>
          <w:sz w:val="24"/>
          <w:szCs w:val="24"/>
        </w:rPr>
      </w:pPr>
    </w:p>
    <w:p w14:paraId="439646CB">
      <w:pPr>
        <w:shd w:val="clear" w:color="auto" w:fill="FFFFFF"/>
        <w:snapToGrid w:val="0"/>
        <w:jc w:val="both"/>
        <w:rPr>
          <w:rFonts w:eastAsia="宋体"/>
          <w:sz w:val="24"/>
          <w:szCs w:val="24"/>
        </w:rPr>
      </w:pPr>
      <w:r>
        <w:rPr>
          <w:rFonts w:eastAsia="宋体"/>
          <w:color w:val="000000"/>
          <w:sz w:val="24"/>
          <w:szCs w:val="24"/>
        </w:rPr>
        <w:t>我们建议贵司按照</w:t>
      </w:r>
      <w:bookmarkStart w:id="33" w:name="bookmark15"/>
      <w:bookmarkEnd w:id="33"/>
      <w:r>
        <w:rPr>
          <w:rFonts w:eastAsia="宋体"/>
          <w:color w:val="000000"/>
          <w:sz w:val="24"/>
          <w:szCs w:val="24"/>
        </w:rPr>
        <w:t>指南文件</w:t>
      </w:r>
      <w:r>
        <w:rPr>
          <w:rFonts w:eastAsia="宋体"/>
          <w:color w:val="0000FF"/>
          <w:sz w:val="24"/>
          <w:szCs w:val="24"/>
        </w:rPr>
        <w:t>《</w:t>
      </w:r>
      <w:r>
        <w:rPr>
          <w:rFonts w:eastAsia="宋体"/>
          <w:color w:val="0000FF"/>
          <w:sz w:val="24"/>
          <w:szCs w:val="24"/>
          <w:u w:val="single"/>
        </w:rPr>
        <w:t>上市前申请中非临床实验室性能测试信息的建议内容和格式</w:t>
      </w:r>
      <w:r>
        <w:rPr>
          <w:rFonts w:eastAsia="宋体"/>
          <w:color w:val="0000FF"/>
          <w:sz w:val="24"/>
          <w:szCs w:val="24"/>
        </w:rPr>
        <w:t>》所述以试验报告摘要、试验方案和完整试验报告形式提供非临床实验室测试的相关信息。</w:t>
      </w:r>
      <w:r>
        <w:rPr>
          <w:rFonts w:ascii="宋体" w:hAnsi="宋体"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19"/>
      </w:r>
    </w:p>
    <w:p w14:paraId="7726B2FC">
      <w:pPr>
        <w:shd w:val="clear" w:color="auto" w:fill="FFFFFF"/>
        <w:snapToGrid w:val="0"/>
        <w:jc w:val="both"/>
        <w:rPr>
          <w:rFonts w:eastAsia="宋体"/>
          <w:sz w:val="24"/>
          <w:szCs w:val="24"/>
        </w:rPr>
      </w:pPr>
    </w:p>
    <w:p w14:paraId="22AD5433">
      <w:pPr>
        <w:shd w:val="clear" w:color="auto" w:fill="FFFFFF"/>
        <w:tabs>
          <w:tab w:val="left" w:pos="211"/>
        </w:tabs>
        <w:snapToGrid w:val="0"/>
        <w:jc w:val="both"/>
        <w:rPr>
          <w:rFonts w:eastAsia="宋体"/>
          <w:color w:val="000000"/>
          <w:sz w:val="24"/>
          <w:szCs w:val="24"/>
          <w:vertAlign w:val="superscript"/>
        </w:rPr>
      </w:pPr>
    </w:p>
    <w:p w14:paraId="6E83FCAB">
      <w:pPr>
        <w:shd w:val="clear" w:color="auto" w:fill="FFFFFF"/>
        <w:tabs>
          <w:tab w:val="left" w:pos="211"/>
        </w:tabs>
        <w:snapToGrid w:val="0"/>
        <w:jc w:val="both"/>
        <w:rPr>
          <w:rFonts w:eastAsia="宋体"/>
          <w:sz w:val="24"/>
          <w:szCs w:val="24"/>
        </w:rPr>
      </w:pPr>
    </w:p>
    <w:p w14:paraId="58812BA6">
      <w:pPr>
        <w:shd w:val="clear" w:color="auto" w:fill="FFFFFF"/>
        <w:tabs>
          <w:tab w:val="left" w:pos="211"/>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E745F23">
      <w:pPr>
        <w:pStyle w:val="4"/>
        <w:spacing w:before="240"/>
      </w:pPr>
      <w:bookmarkStart w:id="34" w:name="_Toc97494949"/>
      <w:r>
        <w:t>(1)</w:t>
      </w:r>
      <w:r>
        <w:tab/>
      </w:r>
      <w:r>
        <w:t>电极</w:t>
      </w:r>
      <w:bookmarkEnd w:id="34"/>
    </w:p>
    <w:p w14:paraId="0172A7C5">
      <w:pPr>
        <w:shd w:val="clear" w:color="auto" w:fill="FFFFFF"/>
        <w:autoSpaceDE/>
        <w:autoSpaceDN/>
        <w:snapToGrid w:val="0"/>
        <w:ind w:left="314" w:leftChars="157"/>
        <w:jc w:val="both"/>
        <w:rPr>
          <w:rFonts w:eastAsia="宋体"/>
          <w:color w:val="000000"/>
          <w:sz w:val="24"/>
          <w:szCs w:val="24"/>
        </w:rPr>
      </w:pPr>
      <w:bookmarkStart w:id="35" w:name="bookmark16"/>
      <w:bookmarkEnd w:id="35"/>
      <w:r>
        <w:rPr>
          <w:rFonts w:eastAsia="宋体"/>
          <w:color w:val="000000"/>
          <w:sz w:val="24"/>
          <w:szCs w:val="24"/>
        </w:rPr>
        <w:t>电极可用于测量生理信号或刺激大脑、脊髓和/或周围神经或肌肉，以激发运动和/或感觉。如果植入式BCI器械包括电极，我局建议测试以下特征：</w:t>
      </w:r>
    </w:p>
    <w:p w14:paraId="269AF354">
      <w:pPr>
        <w:shd w:val="clear" w:color="auto" w:fill="FFFFFF"/>
        <w:autoSpaceDE/>
        <w:autoSpaceDN/>
        <w:snapToGrid w:val="0"/>
        <w:ind w:left="314" w:leftChars="157"/>
        <w:jc w:val="both"/>
        <w:rPr>
          <w:rFonts w:eastAsia="宋体"/>
          <w:sz w:val="24"/>
          <w:szCs w:val="24"/>
        </w:rPr>
      </w:pPr>
    </w:p>
    <w:p w14:paraId="2175B14A">
      <w:pPr>
        <w:pStyle w:val="5"/>
        <w:ind w:left="1783" w:hanging="361"/>
        <w:rPr>
          <w:rFonts w:eastAsia="宋体"/>
          <w:sz w:val="24"/>
          <w:szCs w:val="24"/>
        </w:rPr>
      </w:pPr>
      <w:r>
        <w:rPr>
          <w:rFonts w:eastAsia="宋体"/>
          <w:sz w:val="24"/>
          <w:szCs w:val="24"/>
        </w:rPr>
        <w:t>a.</w:t>
      </w:r>
      <w:r>
        <w:rPr>
          <w:rFonts w:eastAsia="宋体"/>
          <w:sz w:val="24"/>
          <w:szCs w:val="24"/>
        </w:rPr>
        <w:tab/>
      </w:r>
      <w:r>
        <w:rPr>
          <w:rFonts w:eastAsia="宋体"/>
          <w:sz w:val="24"/>
          <w:szCs w:val="24"/>
        </w:rPr>
        <w:t>尺寸验证和目视检查</w:t>
      </w:r>
    </w:p>
    <w:p w14:paraId="3B1F25B5">
      <w:pPr>
        <w:shd w:val="clear" w:color="auto" w:fill="FFFFFF"/>
        <w:snapToGrid w:val="0"/>
        <w:ind w:left="614" w:leftChars="307"/>
        <w:jc w:val="both"/>
        <w:rPr>
          <w:rFonts w:eastAsia="宋体"/>
          <w:sz w:val="24"/>
          <w:szCs w:val="24"/>
        </w:rPr>
      </w:pPr>
      <w:r>
        <w:rPr>
          <w:rFonts w:eastAsia="宋体"/>
          <w:color w:val="000000"/>
          <w:sz w:val="24"/>
          <w:szCs w:val="24"/>
          <w:u w:val="single"/>
        </w:rPr>
        <w:t>意义</w:t>
      </w:r>
      <w:r>
        <w:rPr>
          <w:rFonts w:eastAsia="宋体"/>
          <w:color w:val="000000"/>
          <w:sz w:val="24"/>
          <w:szCs w:val="24"/>
        </w:rPr>
        <w:t>：准确尺寸对确保电极符合与器械预期用途相关的规范并提供依据非常重要。此外，如果贵司的器械预期用于提供刺激，则电极尺寸可能影响电荷和电流密度，从而可能影响刺激参数的安全性和有效性。</w:t>
      </w:r>
    </w:p>
    <w:p w14:paraId="34F66D54">
      <w:pPr>
        <w:shd w:val="clear" w:color="auto" w:fill="FFFFFF"/>
        <w:snapToGrid w:val="0"/>
        <w:ind w:left="614" w:leftChars="307"/>
        <w:jc w:val="both"/>
        <w:rPr>
          <w:rFonts w:eastAsia="宋体"/>
          <w:color w:val="000000"/>
          <w:sz w:val="24"/>
          <w:szCs w:val="24"/>
          <w:u w:val="single"/>
        </w:rPr>
      </w:pPr>
      <w:bookmarkStart w:id="36" w:name="bookmark17"/>
    </w:p>
    <w:bookmarkEnd w:id="36"/>
    <w:p w14:paraId="6CCD0621">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：我局建议贵司提供电极制造时的尺寸规格和公差。我局建议规定的公差应基于贵司风险分析和电极的预期用途（即刺激或记录）。为提供准确和一致的测量结果，我局建议使用经校准的工具。</w:t>
      </w:r>
    </w:p>
    <w:p w14:paraId="10711F4B">
      <w:pPr>
        <w:shd w:val="clear" w:color="auto" w:fill="FFFFFF"/>
        <w:snapToGrid w:val="0"/>
        <w:ind w:left="614" w:leftChars="307"/>
        <w:jc w:val="both"/>
        <w:rPr>
          <w:rFonts w:eastAsia="宋体"/>
          <w:sz w:val="24"/>
          <w:szCs w:val="24"/>
        </w:rPr>
      </w:pPr>
    </w:p>
    <w:p w14:paraId="5ECA4B19">
      <w:pPr>
        <w:pStyle w:val="5"/>
        <w:ind w:left="1783" w:hanging="361"/>
        <w:rPr>
          <w:rFonts w:eastAsia="宋体"/>
          <w:sz w:val="24"/>
          <w:szCs w:val="24"/>
        </w:rPr>
      </w:pPr>
      <w:r>
        <w:rPr>
          <w:rFonts w:eastAsia="宋体"/>
          <w:sz w:val="24"/>
          <w:szCs w:val="24"/>
        </w:rPr>
        <w:t>b.</w:t>
      </w:r>
      <w:r>
        <w:rPr>
          <w:rFonts w:eastAsia="宋体"/>
          <w:sz w:val="24"/>
          <w:szCs w:val="24"/>
        </w:rPr>
        <w:tab/>
      </w:r>
      <w:r>
        <w:rPr>
          <w:rFonts w:eastAsia="宋体"/>
          <w:sz w:val="24"/>
          <w:szCs w:val="24"/>
        </w:rPr>
        <w:t>阻抗</w:t>
      </w:r>
    </w:p>
    <w:p w14:paraId="11AFE988">
      <w:pPr>
        <w:shd w:val="clear" w:color="auto" w:fill="FFFFFF"/>
        <w:snapToGrid w:val="0"/>
        <w:ind w:left="614" w:leftChars="307"/>
        <w:jc w:val="both"/>
        <w:rPr>
          <w:rFonts w:eastAsia="宋体"/>
          <w:sz w:val="24"/>
          <w:szCs w:val="24"/>
        </w:rPr>
      </w:pPr>
      <w:r>
        <w:rPr>
          <w:rFonts w:eastAsia="宋体"/>
          <w:color w:val="000000"/>
          <w:sz w:val="24"/>
          <w:szCs w:val="24"/>
          <w:u w:val="single"/>
        </w:rPr>
        <w:t>意义</w:t>
      </w:r>
      <w:r>
        <w:rPr>
          <w:rFonts w:eastAsia="宋体"/>
          <w:color w:val="000000"/>
          <w:sz w:val="24"/>
          <w:szCs w:val="24"/>
        </w:rPr>
        <w:t>：阻抗测量结果对确保电极具有适合器械预期用途的导电性非常重要。</w:t>
      </w:r>
    </w:p>
    <w:p w14:paraId="249ECC04">
      <w:pPr>
        <w:shd w:val="clear" w:color="auto" w:fill="FFFFFF"/>
        <w:snapToGrid w:val="0"/>
        <w:ind w:left="614" w:leftChars="307"/>
        <w:jc w:val="both"/>
        <w:rPr>
          <w:rFonts w:eastAsia="宋体"/>
          <w:color w:val="000000"/>
          <w:sz w:val="24"/>
          <w:szCs w:val="24"/>
          <w:u w:val="single"/>
        </w:rPr>
      </w:pPr>
    </w:p>
    <w:p w14:paraId="7B058579">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：我局建议贵司记录并提供生产电极的阻抗规范和公差。我们建议指定的公差应基于贵司的风险分析和电极的预期用途（例如，恢复感觉或运动功能或记录生理信号的刺激）。</w:t>
      </w:r>
    </w:p>
    <w:p w14:paraId="1DDE72DD">
      <w:pPr>
        <w:shd w:val="clear" w:color="auto" w:fill="FFFFFF"/>
        <w:snapToGrid w:val="0"/>
        <w:ind w:left="614" w:leftChars="307"/>
        <w:jc w:val="both"/>
        <w:rPr>
          <w:rFonts w:eastAsia="宋体"/>
          <w:sz w:val="24"/>
          <w:szCs w:val="24"/>
        </w:rPr>
      </w:pPr>
    </w:p>
    <w:p w14:paraId="79E93E28">
      <w:pPr>
        <w:pStyle w:val="5"/>
        <w:ind w:left="1783" w:hanging="361"/>
        <w:rPr>
          <w:rFonts w:eastAsia="宋体"/>
          <w:sz w:val="24"/>
          <w:szCs w:val="24"/>
        </w:rPr>
      </w:pPr>
      <w:r>
        <w:rPr>
          <w:rFonts w:eastAsia="宋体"/>
          <w:sz w:val="24"/>
          <w:szCs w:val="24"/>
        </w:rPr>
        <w:t>c.</w:t>
      </w:r>
      <w:r>
        <w:rPr>
          <w:rFonts w:eastAsia="宋体"/>
          <w:sz w:val="24"/>
          <w:szCs w:val="24"/>
        </w:rPr>
        <w:tab/>
      </w:r>
      <w:r>
        <w:rPr>
          <w:rFonts w:eastAsia="宋体"/>
          <w:sz w:val="24"/>
          <w:szCs w:val="24"/>
        </w:rPr>
        <w:t>加速寿命试验</w:t>
      </w:r>
    </w:p>
    <w:p w14:paraId="04027561">
      <w:pPr>
        <w:shd w:val="clear" w:color="auto" w:fill="FFFFFF"/>
        <w:snapToGrid w:val="0"/>
        <w:ind w:left="614" w:leftChars="307"/>
        <w:jc w:val="both"/>
        <w:rPr>
          <w:rFonts w:eastAsia="宋体"/>
          <w:sz w:val="24"/>
          <w:szCs w:val="24"/>
        </w:rPr>
      </w:pPr>
      <w:r>
        <w:rPr>
          <w:rFonts w:eastAsia="宋体"/>
          <w:color w:val="000000"/>
          <w:sz w:val="24"/>
          <w:szCs w:val="24"/>
          <w:u w:val="single"/>
        </w:rPr>
        <w:t>意义</w:t>
      </w:r>
      <w:r>
        <w:rPr>
          <w:rFonts w:eastAsia="宋体"/>
          <w:color w:val="000000"/>
          <w:sz w:val="24"/>
          <w:szCs w:val="24"/>
        </w:rPr>
        <w:t>：为确保器械的长期性能，电极材料应稳定，并在预期持续时间内抵抗预期植入位置物理和化学分解。</w:t>
      </w:r>
    </w:p>
    <w:p w14:paraId="6D5DACA1">
      <w:pPr>
        <w:shd w:val="clear" w:color="auto" w:fill="FFFFFF"/>
        <w:snapToGrid w:val="0"/>
        <w:ind w:left="614" w:leftChars="307"/>
        <w:jc w:val="both"/>
        <w:rPr>
          <w:rFonts w:eastAsia="宋体"/>
          <w:color w:val="000000"/>
          <w:sz w:val="24"/>
          <w:szCs w:val="24"/>
          <w:u w:val="single"/>
        </w:rPr>
      </w:pPr>
    </w:p>
    <w:p w14:paraId="3DB484A4">
      <w:pPr>
        <w:shd w:val="clear" w:color="auto" w:fill="FFFFFF"/>
        <w:snapToGrid w:val="0"/>
        <w:ind w:left="614" w:leftChars="307"/>
        <w:jc w:val="both"/>
        <w:rPr>
          <w:rFonts w:eastAsia="宋体"/>
          <w:sz w:val="24"/>
          <w:szCs w:val="24"/>
        </w:rPr>
      </w:pPr>
      <w:r>
        <w:rPr>
          <w:rFonts w:eastAsia="宋体"/>
          <w:color w:val="000000"/>
          <w:sz w:val="24"/>
          <w:szCs w:val="24"/>
          <w:u w:val="single"/>
        </w:rPr>
        <w:t>建议</w:t>
      </w:r>
      <w:r>
        <w:rPr>
          <w:rFonts w:eastAsia="宋体"/>
          <w:color w:val="000000"/>
          <w:sz w:val="24"/>
          <w:szCs w:val="24"/>
        </w:rPr>
        <w:t>：我局建议贵司在暴露于老化方案后，在模拟生理环境和一系列环境条件下，在记录和刺激的背景下评估器械功能（例如阻抗频谱、循环伏安、电压瞬变）或器械成像完整性（例如扫描电子显微镜）。</w:t>
      </w:r>
    </w:p>
    <w:p w14:paraId="51514DA3">
      <w:pPr>
        <w:shd w:val="clear" w:color="auto" w:fill="FFFFFF"/>
        <w:snapToGrid w:val="0"/>
        <w:ind w:left="614" w:leftChars="307"/>
        <w:jc w:val="both"/>
        <w:rPr>
          <w:rFonts w:eastAsia="宋体"/>
          <w:sz w:val="24"/>
          <w:szCs w:val="24"/>
        </w:rPr>
      </w:pPr>
    </w:p>
    <w:p w14:paraId="371C39B0">
      <w:pPr>
        <w:shd w:val="clear" w:color="auto" w:fill="FFFFFF"/>
        <w:snapToGrid w:val="0"/>
        <w:jc w:val="both"/>
        <w:rPr>
          <w:rFonts w:eastAsia="宋体"/>
          <w:color w:val="000000"/>
          <w:sz w:val="24"/>
          <w:szCs w:val="24"/>
          <w:vertAlign w:val="superscript"/>
        </w:rPr>
      </w:pPr>
    </w:p>
    <w:p w14:paraId="50DDD5C0">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95E0528">
      <w:pPr>
        <w:pStyle w:val="4"/>
        <w:spacing w:before="240"/>
      </w:pPr>
      <w:bookmarkStart w:id="37" w:name="_Toc97494950"/>
      <w:r>
        <w:t>(2)</w:t>
      </w:r>
      <w:r>
        <w:tab/>
      </w:r>
      <w:r>
        <w:t>电极导线和连接器</w:t>
      </w:r>
      <w:bookmarkEnd w:id="37"/>
    </w:p>
    <w:p w14:paraId="56F8CAA3">
      <w:pPr>
        <w:shd w:val="clear" w:color="auto" w:fill="FFFFFF"/>
        <w:autoSpaceDE/>
        <w:autoSpaceDN/>
        <w:snapToGrid w:val="0"/>
        <w:ind w:left="314" w:leftChars="157"/>
        <w:jc w:val="both"/>
        <w:rPr>
          <w:rFonts w:eastAsia="宋体"/>
          <w:color w:val="000000"/>
          <w:sz w:val="24"/>
          <w:szCs w:val="24"/>
        </w:rPr>
      </w:pPr>
      <w:bookmarkStart w:id="38" w:name="bookmark18"/>
      <w:bookmarkEnd w:id="38"/>
      <w:r>
        <w:rPr>
          <w:rFonts w:eastAsia="宋体"/>
          <w:color w:val="000000"/>
          <w:sz w:val="24"/>
          <w:szCs w:val="24"/>
        </w:rPr>
        <w:t>电极导线用于将电极连接到植入BCI系统中的多个组件，例如但不限于处理硬件和电源模块。重要的是，它们在植入的BCI器械系统中正常工作。我局建议进行测试，以表征以下属性：</w:t>
      </w:r>
    </w:p>
    <w:p w14:paraId="2182B9C4">
      <w:pPr>
        <w:shd w:val="clear" w:color="auto" w:fill="FFFFFF"/>
        <w:autoSpaceDE/>
        <w:autoSpaceDN/>
        <w:snapToGrid w:val="0"/>
        <w:ind w:left="314" w:leftChars="157"/>
        <w:jc w:val="both"/>
        <w:rPr>
          <w:rFonts w:eastAsia="宋体"/>
          <w:sz w:val="24"/>
          <w:szCs w:val="24"/>
        </w:rPr>
      </w:pPr>
    </w:p>
    <w:p w14:paraId="2F1D52EB">
      <w:pPr>
        <w:pStyle w:val="5"/>
        <w:ind w:left="1783" w:hanging="361"/>
        <w:rPr>
          <w:rFonts w:eastAsia="宋体"/>
          <w:sz w:val="24"/>
          <w:szCs w:val="24"/>
        </w:rPr>
      </w:pPr>
      <w:r>
        <w:rPr>
          <w:rFonts w:eastAsia="宋体"/>
          <w:sz w:val="24"/>
          <w:szCs w:val="24"/>
        </w:rPr>
        <w:t>a.</w:t>
      </w:r>
      <w:r>
        <w:rPr>
          <w:rFonts w:eastAsia="宋体"/>
          <w:sz w:val="24"/>
          <w:szCs w:val="24"/>
        </w:rPr>
        <w:tab/>
      </w:r>
      <w:r>
        <w:rPr>
          <w:rFonts w:eastAsia="宋体"/>
          <w:sz w:val="24"/>
          <w:szCs w:val="24"/>
        </w:rPr>
        <w:t>尺寸验证和目视检查</w:t>
      </w:r>
    </w:p>
    <w:p w14:paraId="1302DC7D">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：准确的器械尺寸对确保电极导线和连接器符合规范非常重要。</w:t>
      </w:r>
    </w:p>
    <w:p w14:paraId="6FD15617">
      <w:pPr>
        <w:shd w:val="clear" w:color="auto" w:fill="FFFFFF"/>
        <w:snapToGrid w:val="0"/>
        <w:ind w:left="614" w:leftChars="307"/>
        <w:jc w:val="both"/>
        <w:rPr>
          <w:rFonts w:eastAsia="宋体"/>
          <w:sz w:val="24"/>
          <w:szCs w:val="24"/>
        </w:rPr>
      </w:pPr>
    </w:p>
    <w:p w14:paraId="4CE0906A">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贵司提供电极导线和连接器制造时的尺寸规格和公差。非临床试验后应进行目视检验和电气评估。我局建议规定的公差应基于贵司风险分析和电极导线连接的预期用途（即刺激或记录）。为提供准确和一致的测量结果，我局建议使用经校准的工具。</w:t>
      </w:r>
    </w:p>
    <w:p w14:paraId="5E110740">
      <w:pPr>
        <w:shd w:val="clear" w:color="auto" w:fill="FFFFFF"/>
        <w:snapToGrid w:val="0"/>
        <w:ind w:left="614" w:leftChars="307"/>
        <w:jc w:val="both"/>
        <w:rPr>
          <w:rFonts w:eastAsia="宋体"/>
          <w:sz w:val="24"/>
          <w:szCs w:val="24"/>
        </w:rPr>
      </w:pPr>
    </w:p>
    <w:p w14:paraId="4E500CCC">
      <w:pPr>
        <w:pStyle w:val="5"/>
        <w:ind w:left="1783" w:hanging="361"/>
        <w:rPr>
          <w:rFonts w:eastAsia="宋体"/>
          <w:sz w:val="24"/>
          <w:szCs w:val="24"/>
        </w:rPr>
      </w:pPr>
      <w:r>
        <w:rPr>
          <w:rFonts w:eastAsia="宋体"/>
          <w:sz w:val="24"/>
          <w:szCs w:val="24"/>
        </w:rPr>
        <w:t>b.</w:t>
      </w:r>
      <w:r>
        <w:rPr>
          <w:rFonts w:eastAsia="宋体"/>
          <w:sz w:val="24"/>
          <w:szCs w:val="24"/>
        </w:rPr>
        <w:tab/>
      </w:r>
      <w:r>
        <w:rPr>
          <w:rFonts w:eastAsia="宋体"/>
          <w:sz w:val="24"/>
          <w:szCs w:val="24"/>
        </w:rPr>
        <w:t>泄漏电流</w:t>
      </w:r>
    </w:p>
    <w:p w14:paraId="7007D32F">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：使用植入式BCI器械系统期间，各种植入式BCI器械组件外壳的泄露电流可能导致意外电击和潜在组织损伤或记录的神经信号丢失。</w:t>
      </w:r>
    </w:p>
    <w:p w14:paraId="773DB38C">
      <w:pPr>
        <w:shd w:val="clear" w:color="auto" w:fill="FFFFFF"/>
        <w:snapToGrid w:val="0"/>
        <w:ind w:left="614" w:leftChars="307"/>
        <w:jc w:val="both"/>
        <w:rPr>
          <w:rFonts w:eastAsia="宋体"/>
          <w:sz w:val="24"/>
          <w:szCs w:val="24"/>
        </w:rPr>
      </w:pPr>
    </w:p>
    <w:p w14:paraId="151DFD45">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在浸泡后和干燥前测量泄露电流，以模拟任何体液对电极导线本体的影响。我们还建议贵司在全运行（即电压应用）期间以及器械通电和处于待机状态时测量泄漏电流。施加电压期间的泄漏电流应在可接受范围内（见ISO 14708-3:2017神经外科植入物 - 有源植入医疗器械 - 第3部分：植入式神经刺激器，第16条）。</w:t>
      </w:r>
    </w:p>
    <w:p w14:paraId="3A89F9D6">
      <w:pPr>
        <w:shd w:val="clear" w:color="auto" w:fill="FFFFFF"/>
        <w:snapToGrid w:val="0"/>
        <w:ind w:left="614" w:leftChars="307"/>
        <w:jc w:val="both"/>
        <w:rPr>
          <w:rFonts w:eastAsia="宋体"/>
          <w:sz w:val="24"/>
          <w:szCs w:val="24"/>
        </w:rPr>
      </w:pPr>
    </w:p>
    <w:p w14:paraId="5A42624E">
      <w:pPr>
        <w:pStyle w:val="5"/>
        <w:ind w:left="1783" w:hanging="361"/>
        <w:rPr>
          <w:rFonts w:eastAsia="宋体"/>
          <w:sz w:val="24"/>
          <w:szCs w:val="24"/>
        </w:rPr>
      </w:pPr>
      <w:r>
        <w:rPr>
          <w:rFonts w:eastAsia="宋体"/>
          <w:sz w:val="24"/>
          <w:szCs w:val="24"/>
        </w:rPr>
        <w:t>c.</w:t>
      </w:r>
      <w:r>
        <w:rPr>
          <w:rFonts w:eastAsia="宋体"/>
          <w:sz w:val="24"/>
          <w:szCs w:val="24"/>
        </w:rPr>
        <w:tab/>
      </w:r>
      <w:r>
        <w:rPr>
          <w:rFonts w:eastAsia="宋体"/>
          <w:sz w:val="24"/>
          <w:szCs w:val="24"/>
        </w:rPr>
        <w:t>电极导线主体和连接器弯曲疲劳试验</w:t>
      </w:r>
    </w:p>
    <w:p w14:paraId="3FC222D4">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：挠曲疲劳导致的电极导线故障可导致意外电击和潜在组织损伤或记录的神经信号丢失。</w:t>
      </w:r>
    </w:p>
    <w:p w14:paraId="15BEE65A">
      <w:pPr>
        <w:shd w:val="clear" w:color="auto" w:fill="FFFFFF"/>
        <w:snapToGrid w:val="0"/>
        <w:ind w:left="614" w:leftChars="307"/>
        <w:jc w:val="both"/>
        <w:rPr>
          <w:rFonts w:eastAsia="宋体"/>
          <w:sz w:val="24"/>
          <w:szCs w:val="24"/>
        </w:rPr>
      </w:pPr>
    </w:p>
    <w:p w14:paraId="5797BB2C">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：我局建议对电极导线本体和连接器进行挠曲疲劳试验。我们还建议，疲劳试验方案应包括在疲劳试验期间，使导联的不同区域承受不同的应力（例如，连接器接头和导联锚固点附近或处）。</w:t>
      </w:r>
    </w:p>
    <w:p w14:paraId="72F474D4">
      <w:pPr>
        <w:shd w:val="clear" w:color="auto" w:fill="FFFFFF"/>
        <w:snapToGrid w:val="0"/>
        <w:ind w:left="614" w:leftChars="307"/>
        <w:jc w:val="both"/>
        <w:rPr>
          <w:rFonts w:eastAsia="宋体"/>
          <w:sz w:val="24"/>
          <w:szCs w:val="24"/>
        </w:rPr>
      </w:pPr>
    </w:p>
    <w:p w14:paraId="2732CDCC">
      <w:pPr>
        <w:pStyle w:val="5"/>
        <w:ind w:left="1783" w:hanging="361"/>
        <w:rPr>
          <w:rFonts w:eastAsia="宋体"/>
          <w:sz w:val="24"/>
          <w:szCs w:val="24"/>
        </w:rPr>
      </w:pPr>
      <w:r>
        <w:rPr>
          <w:rFonts w:eastAsia="宋体"/>
          <w:sz w:val="24"/>
          <w:szCs w:val="24"/>
        </w:rPr>
        <w:t>d.</w:t>
      </w:r>
      <w:r>
        <w:rPr>
          <w:rFonts w:eastAsia="宋体"/>
          <w:sz w:val="24"/>
          <w:szCs w:val="24"/>
        </w:rPr>
        <w:tab/>
      </w:r>
      <w:r>
        <w:rPr>
          <w:rFonts w:eastAsia="宋体"/>
          <w:sz w:val="24"/>
          <w:szCs w:val="24"/>
        </w:rPr>
        <w:t>电极导线的抗拉强度</w:t>
      </w:r>
    </w:p>
    <w:p w14:paraId="630DCA6C">
      <w:pPr>
        <w:shd w:val="clear" w:color="auto" w:fill="FFFFFF"/>
        <w:snapToGrid w:val="0"/>
        <w:ind w:left="614" w:leftChars="307"/>
        <w:jc w:val="both"/>
        <w:rPr>
          <w:rFonts w:eastAsia="宋体"/>
          <w:sz w:val="24"/>
          <w:szCs w:val="24"/>
        </w:rPr>
      </w:pPr>
      <w:r>
        <w:rPr>
          <w:rFonts w:eastAsia="宋体"/>
          <w:color w:val="000000"/>
          <w:sz w:val="24"/>
          <w:szCs w:val="24"/>
          <w:u w:val="single"/>
        </w:rPr>
        <w:t>意义</w:t>
      </w:r>
      <w:r>
        <w:rPr>
          <w:rFonts w:eastAsia="宋体"/>
          <w:color w:val="000000"/>
          <w:sz w:val="24"/>
          <w:szCs w:val="24"/>
        </w:rPr>
        <w:t>：拉力导致的电极导线故障可导致意外电击和潜在组织损伤或记录的神经信号丢失。</w:t>
      </w:r>
    </w:p>
    <w:p w14:paraId="231B7DBC">
      <w:pPr>
        <w:shd w:val="clear" w:color="auto" w:fill="FFFFFF"/>
        <w:snapToGrid w:val="0"/>
        <w:jc w:val="both"/>
        <w:rPr>
          <w:rFonts w:eastAsia="宋体"/>
          <w:sz w:val="21"/>
          <w:szCs w:val="21"/>
        </w:rPr>
      </w:pPr>
    </w:p>
    <w:p w14:paraId="70B3495F">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912A492">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：我局建议贵司进行拉力测试，模拟植入术中以及植入后电极导线或延长线可能承受的最差情况</w:t>
      </w:r>
      <w:r>
        <w:rPr>
          <w:rFonts w:hint="eastAsia" w:eastAsia="宋体"/>
          <w:color w:val="000000"/>
          <w:sz w:val="24"/>
          <w:szCs w:val="24"/>
        </w:rPr>
        <w:t>的</w:t>
      </w:r>
      <w:r>
        <w:rPr>
          <w:rFonts w:eastAsia="宋体"/>
          <w:color w:val="000000"/>
          <w:sz w:val="24"/>
          <w:szCs w:val="24"/>
        </w:rPr>
        <w:t>力。</w:t>
      </w:r>
    </w:p>
    <w:p w14:paraId="4B402D9C">
      <w:pPr>
        <w:shd w:val="clear" w:color="auto" w:fill="FFFFFF"/>
        <w:snapToGrid w:val="0"/>
        <w:ind w:left="614" w:leftChars="307"/>
        <w:jc w:val="both"/>
        <w:rPr>
          <w:rFonts w:eastAsia="宋体"/>
          <w:sz w:val="24"/>
          <w:szCs w:val="24"/>
        </w:rPr>
      </w:pPr>
    </w:p>
    <w:p w14:paraId="782298D4">
      <w:pPr>
        <w:pStyle w:val="5"/>
        <w:ind w:left="1782" w:hanging="360"/>
        <w:rPr>
          <w:rFonts w:eastAsia="宋体"/>
          <w:sz w:val="24"/>
          <w:szCs w:val="24"/>
        </w:rPr>
      </w:pPr>
      <w:r>
        <w:rPr>
          <w:rFonts w:eastAsia="宋体"/>
          <w:b w:val="0"/>
          <w:bCs w:val="0"/>
          <w:sz w:val="24"/>
          <w:szCs w:val="24"/>
        </w:rPr>
        <w:t>e</w:t>
      </w:r>
      <w:r>
        <w:rPr>
          <w:rFonts w:eastAsia="宋体"/>
          <w:sz w:val="24"/>
          <w:szCs w:val="24"/>
        </w:rPr>
        <w:t>.</w:t>
      </w:r>
      <w:r>
        <w:rPr>
          <w:rFonts w:eastAsia="宋体"/>
          <w:sz w:val="24"/>
          <w:szCs w:val="24"/>
        </w:rPr>
        <w:tab/>
      </w:r>
      <w:r>
        <w:rPr>
          <w:rFonts w:eastAsia="宋体"/>
          <w:sz w:val="24"/>
          <w:szCs w:val="24"/>
        </w:rPr>
        <w:t>连接器插入和拔出力</w:t>
      </w:r>
    </w:p>
    <w:p w14:paraId="624DF114">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：电极导线连接器应与器械顶盖腔适当匹配，形成必要的电触点，并确保密封处于正确位置，并且按设计发挥功能。连接器应能够承受插入和</w:t>
      </w:r>
      <w:r>
        <w:rPr>
          <w:rFonts w:hint="eastAsia" w:eastAsia="宋体"/>
          <w:color w:val="000000"/>
          <w:sz w:val="24"/>
          <w:szCs w:val="24"/>
        </w:rPr>
        <w:t>拔出</w:t>
      </w:r>
      <w:r>
        <w:rPr>
          <w:rFonts w:eastAsia="宋体"/>
          <w:color w:val="000000"/>
          <w:sz w:val="24"/>
          <w:szCs w:val="24"/>
        </w:rPr>
        <w:t>相关的力。</w:t>
      </w:r>
    </w:p>
    <w:p w14:paraId="6326740A">
      <w:pPr>
        <w:shd w:val="clear" w:color="auto" w:fill="FFFFFF"/>
        <w:snapToGrid w:val="0"/>
        <w:ind w:left="614" w:leftChars="307"/>
        <w:jc w:val="both"/>
        <w:rPr>
          <w:rFonts w:eastAsia="宋体"/>
          <w:sz w:val="24"/>
          <w:szCs w:val="24"/>
        </w:rPr>
      </w:pPr>
    </w:p>
    <w:p w14:paraId="553E936D">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：我局建议贵司确保电极导线和延长线连接器符合代表器械所经历生理条件的适当规范，包括适当的最小和最大</w:t>
      </w:r>
      <w:r>
        <w:rPr>
          <w:rFonts w:hint="eastAsia" w:eastAsia="宋体"/>
          <w:color w:val="000000"/>
          <w:sz w:val="24"/>
          <w:szCs w:val="24"/>
        </w:rPr>
        <w:t>拔出</w:t>
      </w:r>
      <w:r>
        <w:rPr>
          <w:rFonts w:eastAsia="宋体"/>
          <w:color w:val="000000"/>
          <w:sz w:val="24"/>
          <w:szCs w:val="24"/>
        </w:rPr>
        <w:t>力。在测试过程中，贵司应评估电极导线或延长线是否完全插入，电气连接是否完成，并且在反复插入和</w:t>
      </w:r>
      <w:r>
        <w:rPr>
          <w:rFonts w:hint="eastAsia" w:eastAsia="宋体"/>
          <w:color w:val="000000"/>
          <w:sz w:val="24"/>
          <w:szCs w:val="24"/>
        </w:rPr>
        <w:t>拔出</w:t>
      </w:r>
      <w:r>
        <w:rPr>
          <w:rFonts w:eastAsia="宋体"/>
          <w:color w:val="000000"/>
          <w:sz w:val="24"/>
          <w:szCs w:val="24"/>
        </w:rPr>
        <w:t>后，发生器与电极导线/延长线之间的密封是否完好无损。如果预计会重复连接和断开，我们建议贵司评价</w:t>
      </w:r>
      <w:r>
        <w:rPr>
          <w:rFonts w:hint="eastAsia" w:eastAsia="宋体"/>
          <w:color w:val="000000"/>
          <w:sz w:val="24"/>
          <w:szCs w:val="24"/>
        </w:rPr>
        <w:t>发生器</w:t>
      </w:r>
      <w:r>
        <w:rPr>
          <w:rFonts w:eastAsia="宋体"/>
          <w:color w:val="000000"/>
          <w:sz w:val="24"/>
          <w:szCs w:val="24"/>
        </w:rPr>
        <w:t>和导线/延长线之间的密封件在重复插入和</w:t>
      </w:r>
      <w:r>
        <w:rPr>
          <w:rFonts w:hint="eastAsia" w:eastAsia="宋体"/>
          <w:color w:val="000000"/>
          <w:sz w:val="24"/>
          <w:szCs w:val="24"/>
        </w:rPr>
        <w:t>拔出</w:t>
      </w:r>
      <w:r>
        <w:rPr>
          <w:rFonts w:eastAsia="宋体"/>
          <w:color w:val="000000"/>
          <w:sz w:val="24"/>
          <w:szCs w:val="24"/>
        </w:rPr>
        <w:t>后是否完好。</w:t>
      </w:r>
    </w:p>
    <w:p w14:paraId="5CAA96BC">
      <w:pPr>
        <w:shd w:val="clear" w:color="auto" w:fill="FFFFFF"/>
        <w:snapToGrid w:val="0"/>
        <w:ind w:left="614" w:leftChars="307"/>
        <w:jc w:val="both"/>
        <w:rPr>
          <w:rFonts w:eastAsia="宋体"/>
          <w:sz w:val="24"/>
          <w:szCs w:val="24"/>
        </w:rPr>
      </w:pPr>
    </w:p>
    <w:p w14:paraId="176597D8">
      <w:pPr>
        <w:pStyle w:val="5"/>
        <w:ind w:left="1783" w:hanging="361"/>
        <w:rPr>
          <w:rFonts w:eastAsia="宋体"/>
          <w:sz w:val="24"/>
          <w:szCs w:val="24"/>
        </w:rPr>
      </w:pPr>
      <w:r>
        <w:rPr>
          <w:rFonts w:eastAsia="宋体"/>
          <w:sz w:val="24"/>
          <w:szCs w:val="24"/>
        </w:rPr>
        <w:t>f、</w:t>
      </w:r>
      <w:r>
        <w:rPr>
          <w:rFonts w:eastAsia="宋体"/>
          <w:sz w:val="24"/>
          <w:szCs w:val="24"/>
        </w:rPr>
        <w:tab/>
      </w:r>
      <w:r>
        <w:rPr>
          <w:rFonts w:eastAsia="宋体"/>
          <w:sz w:val="24"/>
          <w:szCs w:val="24"/>
        </w:rPr>
        <w:t>颗粒物危害</w:t>
      </w:r>
    </w:p>
    <w:p w14:paraId="2F7F0260">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：在正常使用过程中，预期与体液接触的植入系统的任何部件释放颗粒物质均很危险。</w:t>
      </w:r>
    </w:p>
    <w:p w14:paraId="368AEC99">
      <w:pPr>
        <w:shd w:val="clear" w:color="auto" w:fill="FFFFFF"/>
        <w:snapToGrid w:val="0"/>
        <w:ind w:left="614" w:leftChars="307"/>
        <w:jc w:val="both"/>
        <w:rPr>
          <w:rFonts w:eastAsia="宋体"/>
          <w:sz w:val="24"/>
          <w:szCs w:val="24"/>
        </w:rPr>
      </w:pPr>
    </w:p>
    <w:p w14:paraId="0AA38D9D">
      <w:pPr>
        <w:shd w:val="clear" w:color="auto" w:fill="FFFFFF"/>
        <w:snapToGrid w:val="0"/>
        <w:ind w:left="614" w:leftChars="307"/>
        <w:jc w:val="both"/>
        <w:rPr>
          <w:rFonts w:eastAsia="宋体"/>
          <w:i/>
          <w:iCs/>
          <w:color w:val="000000"/>
          <w:sz w:val="24"/>
          <w:szCs w:val="24"/>
        </w:rPr>
      </w:pPr>
      <w:r>
        <w:rPr>
          <w:rFonts w:eastAsia="宋体"/>
          <w:color w:val="000000"/>
          <w:sz w:val="24"/>
          <w:szCs w:val="24"/>
          <w:u w:val="single"/>
        </w:rPr>
        <w:t>建议</w:t>
      </w:r>
      <w:r>
        <w:rPr>
          <w:rFonts w:eastAsia="宋体"/>
          <w:color w:val="000000"/>
          <w:sz w:val="24"/>
          <w:szCs w:val="24"/>
        </w:rPr>
        <w:t>：我局建议贵司使用标准ISO 14708-3：</w:t>
      </w:r>
      <w:r>
        <w:rPr>
          <w:rFonts w:eastAsia="宋体"/>
          <w:i/>
          <w:iCs/>
          <w:color w:val="000000"/>
          <w:sz w:val="24"/>
          <w:szCs w:val="24"/>
        </w:rPr>
        <w:t>手术植入物 - 有源植入式医疗器械 - 第3部分：植入式神经刺激器。</w:t>
      </w:r>
    </w:p>
    <w:p w14:paraId="3F7C8651">
      <w:pPr>
        <w:shd w:val="clear" w:color="auto" w:fill="FFFFFF"/>
        <w:snapToGrid w:val="0"/>
        <w:ind w:left="614" w:leftChars="307"/>
        <w:jc w:val="both"/>
        <w:rPr>
          <w:rFonts w:eastAsia="宋体"/>
          <w:sz w:val="24"/>
          <w:szCs w:val="24"/>
        </w:rPr>
      </w:pPr>
    </w:p>
    <w:p w14:paraId="2739B9CD">
      <w:pPr>
        <w:pStyle w:val="5"/>
        <w:ind w:left="1783" w:hanging="361"/>
        <w:rPr>
          <w:rFonts w:eastAsia="宋体"/>
          <w:sz w:val="24"/>
          <w:szCs w:val="24"/>
        </w:rPr>
      </w:pPr>
      <w:r>
        <w:rPr>
          <w:rFonts w:eastAsia="宋体"/>
          <w:sz w:val="24"/>
          <w:szCs w:val="24"/>
        </w:rPr>
        <w:t>g、</w:t>
      </w:r>
      <w:r>
        <w:rPr>
          <w:rFonts w:eastAsia="宋体"/>
          <w:sz w:val="24"/>
          <w:szCs w:val="24"/>
        </w:rPr>
        <w:tab/>
      </w:r>
      <w:r>
        <w:rPr>
          <w:rFonts w:eastAsia="宋体"/>
          <w:sz w:val="24"/>
          <w:szCs w:val="24"/>
        </w:rPr>
        <w:t>耐腐蚀性</w:t>
      </w:r>
    </w:p>
    <w:p w14:paraId="6C99C849">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：电极导线材料应稳定，并且能抵抗物理和化学分解，以证明电极导线能承受人体的环境并保证长期性能。</w:t>
      </w:r>
    </w:p>
    <w:p w14:paraId="62A5780D">
      <w:pPr>
        <w:shd w:val="clear" w:color="auto" w:fill="FFFFFF"/>
        <w:snapToGrid w:val="0"/>
        <w:ind w:left="614" w:leftChars="307"/>
        <w:jc w:val="both"/>
        <w:rPr>
          <w:rFonts w:eastAsia="宋体"/>
          <w:sz w:val="24"/>
          <w:szCs w:val="24"/>
        </w:rPr>
      </w:pPr>
    </w:p>
    <w:p w14:paraId="00FB7B58">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对成品电极导线和连接器进行耐腐蚀性评价。暴露于模拟器械生理环境的腐蚀环境后，应选择适当的信号和刺激参数（例如信噪比、脉冲频率、振幅和脉度）来评价电极导线和器械系统的功能。应包括使用最小的电极表面积，在生理盐水中对电极导线进行测试。</w:t>
      </w:r>
    </w:p>
    <w:p w14:paraId="4AB792AB">
      <w:pPr>
        <w:shd w:val="clear" w:color="auto" w:fill="FFFFFF"/>
        <w:snapToGrid w:val="0"/>
        <w:ind w:left="614" w:leftChars="307"/>
        <w:jc w:val="both"/>
        <w:rPr>
          <w:rFonts w:eastAsia="宋体"/>
          <w:sz w:val="24"/>
          <w:szCs w:val="24"/>
        </w:rPr>
      </w:pPr>
    </w:p>
    <w:p w14:paraId="7F8290B2">
      <w:pPr>
        <w:pStyle w:val="5"/>
        <w:ind w:left="1783" w:hanging="361"/>
        <w:rPr>
          <w:rFonts w:eastAsia="宋体"/>
          <w:sz w:val="24"/>
          <w:szCs w:val="24"/>
        </w:rPr>
      </w:pPr>
      <w:r>
        <w:rPr>
          <w:rFonts w:eastAsia="宋体"/>
          <w:sz w:val="24"/>
          <w:szCs w:val="24"/>
        </w:rPr>
        <w:t xml:space="preserve">h、 </w:t>
      </w:r>
      <w:r>
        <w:rPr>
          <w:rFonts w:eastAsia="宋体"/>
          <w:sz w:val="24"/>
          <w:szCs w:val="24"/>
        </w:rPr>
        <w:tab/>
      </w:r>
      <w:r>
        <w:rPr>
          <w:rFonts w:eastAsia="宋体"/>
          <w:sz w:val="24"/>
          <w:szCs w:val="24"/>
        </w:rPr>
        <w:t>符合21 CFR 898.12</w:t>
      </w:r>
    </w:p>
    <w:p w14:paraId="4EF5FB84">
      <w:pPr>
        <w:shd w:val="clear" w:color="auto" w:fill="FFFFFF"/>
        <w:snapToGrid w:val="0"/>
        <w:ind w:left="614" w:leftChars="307"/>
        <w:jc w:val="both"/>
        <w:rPr>
          <w:rFonts w:eastAsia="宋体"/>
          <w:sz w:val="24"/>
          <w:szCs w:val="24"/>
        </w:rPr>
      </w:pPr>
      <w:r>
        <w:rPr>
          <w:rFonts w:eastAsia="宋体"/>
          <w:color w:val="000000"/>
          <w:sz w:val="24"/>
          <w:szCs w:val="24"/>
          <w:u w:val="single"/>
        </w:rPr>
        <w:t>意义</w:t>
      </w:r>
      <w:r>
        <w:rPr>
          <w:rFonts w:eastAsia="宋体"/>
          <w:color w:val="000000"/>
          <w:sz w:val="24"/>
          <w:szCs w:val="24"/>
        </w:rPr>
        <w:t>：来自与患者接触的经皮电极导线或其他电缆的可触及连接器可能错误连接至不正确组件或网电源，导致意外电击和患者伤害。</w:t>
      </w:r>
    </w:p>
    <w:p w14:paraId="4DBEE4B9">
      <w:pPr>
        <w:shd w:val="clear" w:color="auto" w:fill="FFFFFF"/>
        <w:snapToGrid w:val="0"/>
        <w:jc w:val="both"/>
        <w:rPr>
          <w:rFonts w:eastAsia="宋体"/>
          <w:sz w:val="21"/>
          <w:szCs w:val="21"/>
        </w:rPr>
      </w:pPr>
    </w:p>
    <w:p w14:paraId="2F596B05">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46B622E">
      <w:pPr>
        <w:shd w:val="clear" w:color="auto" w:fill="FFFFFF"/>
        <w:snapToGrid w:val="0"/>
        <w:ind w:left="614" w:leftChars="307"/>
        <w:jc w:val="both"/>
        <w:rPr>
          <w:rFonts w:eastAsia="宋体"/>
          <w:color w:val="000000" w:themeColor="text1"/>
          <w:sz w:val="24"/>
          <w:szCs w:val="24"/>
        </w:rPr>
      </w:pPr>
      <w:r>
        <w:rPr>
          <w:rFonts w:eastAsia="宋体"/>
          <w:color w:val="000000"/>
          <w:sz w:val="24"/>
          <w:szCs w:val="24"/>
          <w:u w:val="single"/>
        </w:rPr>
        <w:t>要求</w:t>
      </w:r>
      <w:r>
        <w:rPr>
          <w:rFonts w:eastAsia="宋体"/>
          <w:color w:val="000000"/>
          <w:sz w:val="24"/>
          <w:szCs w:val="24"/>
        </w:rPr>
        <w:t>：与患者导电连接的经皮电极导线或其他电缆必须符合《美国联邦法规》第21篇第898.12部分中的性能标准，其中规定，电缆或电极导线中与患者导电连接的任何连接器构造方式均应符合以下标准的分条款56.3（c）：国际电工委员会（IEC）601-1：</w:t>
      </w:r>
      <w:r>
        <w:rPr>
          <w:rFonts w:eastAsia="宋体"/>
          <w:i/>
          <w:iCs/>
          <w:color w:val="000000"/>
          <w:sz w:val="24"/>
          <w:szCs w:val="24"/>
        </w:rPr>
        <w:t>《医用电气设备 - 第1部分：安全通用要求》（1988年，修订号1，1991年，修订号2，1995年）</w:t>
      </w:r>
      <w:r>
        <w:rPr>
          <w:rFonts w:eastAsia="宋体"/>
          <w:color w:val="000000"/>
          <w:sz w:val="24"/>
          <w:szCs w:val="24"/>
        </w:rPr>
        <w:t>然而，FDA认为符合FDA公认的现行版IEC 60601-1：《医用电气设备 - 第1部分：基本安全和基本性能的通用要求》</w:t>
      </w:r>
      <w:r>
        <w:rPr>
          <w:rFonts w:eastAsia="宋体"/>
          <w:i/>
          <w:iCs/>
          <w:color w:val="000000"/>
          <w:sz w:val="24"/>
          <w:szCs w:val="24"/>
        </w:rPr>
        <w:t>（2005，修改件）</w:t>
      </w:r>
      <w:r>
        <w:rPr>
          <w:rFonts w:eastAsia="宋体"/>
          <w:color w:val="000000"/>
          <w:sz w:val="24"/>
          <w:szCs w:val="24"/>
        </w:rPr>
        <w:t>标准</w:t>
      </w:r>
      <w:r>
        <w:rPr>
          <w:rFonts w:eastAsia="宋体"/>
          <w:i/>
          <w:iCs/>
          <w:color w:val="000000"/>
          <w:sz w:val="24"/>
          <w:szCs w:val="24"/>
        </w:rPr>
        <w:t>的适用分条款，</w:t>
      </w:r>
      <w:r>
        <w:rPr>
          <w:rFonts w:eastAsia="宋体"/>
          <w:color w:val="000000"/>
          <w:sz w:val="24"/>
          <w:szCs w:val="24"/>
        </w:rPr>
        <w:t>可提供与《美国联邦法规》第21篇第898.12部分中FDA性能标准相同的或非预期电击水平或改善公共健康和安全保护，符合FDA公认的现行标准足以符合《美国联邦法规》第21篇</w:t>
      </w:r>
      <w:r>
        <w:rPr>
          <w:rFonts w:eastAsia="宋体"/>
          <w:color w:val="000000" w:themeColor="text1"/>
          <w:sz w:val="24"/>
          <w:szCs w:val="24"/>
        </w:rPr>
        <w:t xml:space="preserve">第898.12部分中的性能标准。因此，公司可提交符合FDA公认现行标准的符合性声明。 </w:t>
      </w:r>
      <w:r>
        <w:rPr>
          <w:rFonts w:eastAsia="宋体"/>
          <w:color w:val="000000" w:themeColor="text1"/>
          <w:sz w:val="24"/>
          <w:szCs w:val="24"/>
          <w:vertAlign w:val="superscript"/>
        </w:rPr>
        <w:footnoteReference w:id="20"/>
      </w:r>
    </w:p>
    <w:p w14:paraId="76A23D7F">
      <w:pPr>
        <w:pStyle w:val="4"/>
        <w:spacing w:before="240"/>
      </w:pPr>
      <w:bookmarkStart w:id="39" w:name="_Toc97494951"/>
      <w:r>
        <w:t>(3)</w:t>
      </w:r>
      <w:r>
        <w:tab/>
      </w:r>
      <w:r>
        <w:t>植入外壳和电子</w:t>
      </w:r>
      <w:bookmarkEnd w:id="39"/>
      <w:r>
        <w:rPr>
          <w:rFonts w:hint="eastAsia"/>
        </w:rPr>
        <w:t>器件</w:t>
      </w:r>
    </w:p>
    <w:p w14:paraId="491E3995">
      <w:pPr>
        <w:shd w:val="clear" w:color="auto" w:fill="FFFFFF"/>
        <w:autoSpaceDE/>
        <w:autoSpaceDN/>
        <w:snapToGrid w:val="0"/>
        <w:ind w:left="314" w:leftChars="157"/>
        <w:jc w:val="both"/>
        <w:rPr>
          <w:rFonts w:eastAsia="宋体"/>
          <w:color w:val="000000"/>
          <w:sz w:val="24"/>
          <w:szCs w:val="24"/>
        </w:rPr>
      </w:pPr>
      <w:bookmarkStart w:id="40" w:name="bookmark19"/>
      <w:bookmarkEnd w:id="40"/>
      <w:r>
        <w:rPr>
          <w:rFonts w:eastAsia="宋体"/>
          <w:color w:val="000000"/>
          <w:sz w:val="24"/>
          <w:szCs w:val="24"/>
        </w:rPr>
        <w:t>电子通常被植入，覆盖在塑料容器或类似外壳中，用于处理从导线接收到的信号和/或向导线提供电刺激信号。我局建议贵司提供以下试验：</w:t>
      </w:r>
    </w:p>
    <w:p w14:paraId="2793DA21">
      <w:pPr>
        <w:shd w:val="clear" w:color="auto" w:fill="FFFFFF"/>
        <w:snapToGrid w:val="0"/>
        <w:ind w:left="614" w:leftChars="307"/>
        <w:jc w:val="both"/>
        <w:rPr>
          <w:rFonts w:eastAsia="宋体"/>
          <w:sz w:val="24"/>
          <w:szCs w:val="24"/>
        </w:rPr>
      </w:pPr>
    </w:p>
    <w:p w14:paraId="6E23E506">
      <w:pPr>
        <w:pStyle w:val="5"/>
        <w:ind w:left="1783" w:hanging="361"/>
        <w:rPr>
          <w:rFonts w:eastAsia="宋体"/>
          <w:sz w:val="24"/>
          <w:szCs w:val="24"/>
        </w:rPr>
      </w:pPr>
      <w:r>
        <w:rPr>
          <w:rFonts w:eastAsia="宋体"/>
          <w:sz w:val="24"/>
          <w:szCs w:val="24"/>
        </w:rPr>
        <w:t>a.</w:t>
      </w:r>
      <w:r>
        <w:rPr>
          <w:rFonts w:eastAsia="宋体"/>
          <w:sz w:val="24"/>
          <w:szCs w:val="24"/>
        </w:rPr>
        <w:tab/>
      </w:r>
      <w:r>
        <w:rPr>
          <w:rFonts w:eastAsia="宋体"/>
          <w:sz w:val="24"/>
          <w:szCs w:val="24"/>
        </w:rPr>
        <w:t>气密性测试</w:t>
      </w:r>
    </w:p>
    <w:p w14:paraId="72160A7E">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：密封外壳内的高湿度可能导致器械故障。</w:t>
      </w:r>
    </w:p>
    <w:p w14:paraId="529D7297">
      <w:pPr>
        <w:shd w:val="clear" w:color="auto" w:fill="FFFFFF"/>
        <w:snapToGrid w:val="0"/>
        <w:ind w:left="614" w:leftChars="307"/>
        <w:jc w:val="both"/>
        <w:rPr>
          <w:rFonts w:eastAsia="宋体"/>
          <w:sz w:val="24"/>
          <w:szCs w:val="24"/>
        </w:rPr>
      </w:pPr>
    </w:p>
    <w:p w14:paraId="7D41FD91">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：我局建议对所有接头、粘合处等组件完整性进行密封性试验，以验证植入式外壳可防漏。</w:t>
      </w:r>
    </w:p>
    <w:p w14:paraId="67A9A766">
      <w:pPr>
        <w:shd w:val="clear" w:color="auto" w:fill="FFFFFF"/>
        <w:snapToGrid w:val="0"/>
        <w:ind w:left="614" w:leftChars="307"/>
        <w:jc w:val="both"/>
        <w:rPr>
          <w:rFonts w:eastAsia="宋体"/>
          <w:sz w:val="24"/>
          <w:szCs w:val="24"/>
        </w:rPr>
      </w:pPr>
    </w:p>
    <w:p w14:paraId="7287DA7B">
      <w:pPr>
        <w:pStyle w:val="5"/>
        <w:ind w:left="1783" w:hanging="361"/>
        <w:rPr>
          <w:rFonts w:eastAsia="宋体"/>
          <w:sz w:val="24"/>
          <w:szCs w:val="24"/>
        </w:rPr>
      </w:pPr>
      <w:r>
        <w:rPr>
          <w:rFonts w:eastAsia="宋体"/>
          <w:sz w:val="24"/>
          <w:szCs w:val="24"/>
        </w:rPr>
        <w:t>b.</w:t>
      </w:r>
      <w:r>
        <w:rPr>
          <w:rFonts w:eastAsia="宋体"/>
          <w:sz w:val="24"/>
          <w:szCs w:val="24"/>
        </w:rPr>
        <w:tab/>
      </w:r>
      <w:r>
        <w:rPr>
          <w:rFonts w:eastAsia="宋体"/>
          <w:sz w:val="24"/>
          <w:szCs w:val="24"/>
        </w:rPr>
        <w:t>环境测试</w:t>
      </w:r>
    </w:p>
    <w:p w14:paraId="60D58623">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：应对植入式外壳和电子器械执行一系列机械和环境测试，以确保器械在经受充分捕捉器械在最差情况处理、装运、储存、手术和临床使用条件下可能遇到的应力后符合其规范。</w:t>
      </w:r>
    </w:p>
    <w:p w14:paraId="7A87C474">
      <w:pPr>
        <w:shd w:val="clear" w:color="auto" w:fill="FFFFFF"/>
        <w:snapToGrid w:val="0"/>
        <w:ind w:left="614" w:leftChars="307"/>
        <w:jc w:val="both"/>
        <w:rPr>
          <w:rFonts w:eastAsia="宋体"/>
          <w:sz w:val="24"/>
          <w:szCs w:val="24"/>
        </w:rPr>
      </w:pPr>
    </w:p>
    <w:p w14:paraId="45888AE1">
      <w:pPr>
        <w:shd w:val="clear" w:color="auto" w:fill="FFFFFF"/>
        <w:snapToGrid w:val="0"/>
        <w:ind w:left="614" w:leftChars="307"/>
        <w:jc w:val="both"/>
        <w:rPr>
          <w:rFonts w:eastAsia="宋体"/>
          <w:sz w:val="24"/>
          <w:szCs w:val="24"/>
        </w:rPr>
      </w:pPr>
      <w:r>
        <w:rPr>
          <w:rFonts w:eastAsia="宋体"/>
          <w:color w:val="000000"/>
          <w:sz w:val="24"/>
          <w:szCs w:val="24"/>
          <w:u w:val="single"/>
        </w:rPr>
        <w:t>建议</w:t>
      </w:r>
      <w:r>
        <w:rPr>
          <w:rFonts w:eastAsia="宋体"/>
          <w:color w:val="000000"/>
          <w:sz w:val="24"/>
          <w:szCs w:val="24"/>
        </w:rPr>
        <w:t>：我局建议进行以下评价试验：</w:t>
      </w:r>
    </w:p>
    <w:p w14:paraId="2244B394">
      <w:pPr>
        <w:shd w:val="clear" w:color="auto" w:fill="FFFFFF"/>
        <w:snapToGrid w:val="0"/>
        <w:ind w:left="1275" w:leftChars="480" w:hanging="315"/>
        <w:jc w:val="both"/>
        <w:rPr>
          <w:rFonts w:eastAsia="宋体"/>
          <w:color w:val="000000"/>
          <w:sz w:val="24"/>
          <w:szCs w:val="24"/>
        </w:rPr>
      </w:pPr>
    </w:p>
    <w:p w14:paraId="40AA0670">
      <w:pPr>
        <w:shd w:val="clear" w:color="auto" w:fill="FFFFFF"/>
        <w:snapToGrid w:val="0"/>
        <w:ind w:left="1275" w:leftChars="480"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温度变化（包括温度循环）；</w:t>
      </w:r>
    </w:p>
    <w:p w14:paraId="55C5D013">
      <w:pPr>
        <w:shd w:val="clear" w:color="auto" w:fill="FFFFFF"/>
        <w:snapToGrid w:val="0"/>
        <w:ind w:left="1275" w:leftChars="480" w:hanging="315"/>
        <w:jc w:val="both"/>
        <w:rPr>
          <w:rFonts w:eastAsia="宋体"/>
          <w:color w:val="000000"/>
          <w:sz w:val="24"/>
          <w:szCs w:val="24"/>
        </w:rPr>
      </w:pPr>
    </w:p>
    <w:p w14:paraId="20CC5D7E">
      <w:pPr>
        <w:shd w:val="clear" w:color="auto" w:fill="FFFFFF"/>
        <w:snapToGrid w:val="0"/>
        <w:ind w:left="1275" w:leftChars="480"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大气压力变化；和</w:t>
      </w:r>
    </w:p>
    <w:p w14:paraId="5B2B7686">
      <w:pPr>
        <w:shd w:val="clear" w:color="auto" w:fill="FFFFFF"/>
        <w:snapToGrid w:val="0"/>
        <w:ind w:left="1275" w:leftChars="480" w:hanging="315"/>
        <w:jc w:val="both"/>
        <w:rPr>
          <w:rFonts w:eastAsia="宋体"/>
          <w:color w:val="000000"/>
          <w:sz w:val="24"/>
          <w:szCs w:val="24"/>
        </w:rPr>
      </w:pPr>
    </w:p>
    <w:p w14:paraId="2D6EE506">
      <w:pPr>
        <w:shd w:val="clear" w:color="auto" w:fill="FFFFFF"/>
        <w:snapToGrid w:val="0"/>
        <w:ind w:left="1275" w:leftChars="480"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机械力。</w:t>
      </w:r>
    </w:p>
    <w:p w14:paraId="1254D1B4">
      <w:pPr>
        <w:shd w:val="clear" w:color="auto" w:fill="FFFFFF"/>
        <w:snapToGrid w:val="0"/>
        <w:ind w:left="614" w:leftChars="307"/>
        <w:jc w:val="both"/>
        <w:rPr>
          <w:rFonts w:eastAsia="宋体"/>
          <w:color w:val="000000"/>
          <w:sz w:val="24"/>
          <w:szCs w:val="24"/>
        </w:rPr>
      </w:pPr>
    </w:p>
    <w:p w14:paraId="5AFD948C">
      <w:pPr>
        <w:shd w:val="clear" w:color="auto" w:fill="FFFFFF"/>
        <w:snapToGrid w:val="0"/>
        <w:ind w:left="614" w:leftChars="307"/>
        <w:jc w:val="both"/>
        <w:rPr>
          <w:rFonts w:eastAsia="宋体"/>
          <w:sz w:val="24"/>
          <w:szCs w:val="24"/>
        </w:rPr>
      </w:pPr>
      <w:r>
        <w:rPr>
          <w:rFonts w:eastAsia="宋体"/>
          <w:color w:val="000000"/>
          <w:sz w:val="24"/>
          <w:szCs w:val="24"/>
        </w:rPr>
        <w:t>我局建议贵司使用标准ISO 14708-3：《手术植入物 - 有源植入式医疗器械 - 第3部分：</w:t>
      </w:r>
      <w:r>
        <w:rPr>
          <w:rFonts w:eastAsia="宋体"/>
          <w:i/>
          <w:iCs/>
          <w:color w:val="000000"/>
          <w:sz w:val="24"/>
          <w:szCs w:val="24"/>
        </w:rPr>
        <w:t>植入式神经刺激器或同等方法</w:t>
      </w:r>
      <w:r>
        <w:rPr>
          <w:rFonts w:hint="eastAsia" w:eastAsia="宋体"/>
          <w:i/>
          <w:iCs/>
          <w:color w:val="000000"/>
          <w:sz w:val="24"/>
          <w:szCs w:val="24"/>
        </w:rPr>
        <w:t>》</w:t>
      </w:r>
      <w:r>
        <w:rPr>
          <w:rFonts w:eastAsia="宋体"/>
          <w:i/>
          <w:iCs/>
          <w:color w:val="000000"/>
          <w:sz w:val="24"/>
          <w:szCs w:val="24"/>
        </w:rPr>
        <w:t>。</w:t>
      </w:r>
    </w:p>
    <w:p w14:paraId="4D389480">
      <w:pPr>
        <w:shd w:val="clear" w:color="auto" w:fill="FFFFFF"/>
        <w:snapToGrid w:val="0"/>
        <w:jc w:val="both"/>
        <w:rPr>
          <w:rFonts w:eastAsia="宋体"/>
          <w:sz w:val="24"/>
          <w:szCs w:val="24"/>
        </w:rPr>
      </w:pPr>
    </w:p>
    <w:p w14:paraId="0EA5E3F2">
      <w:pPr>
        <w:shd w:val="clear" w:color="auto" w:fill="FFFFFF"/>
        <w:snapToGrid w:val="0"/>
        <w:jc w:val="both"/>
        <w:rPr>
          <w:rFonts w:eastAsia="宋体"/>
          <w:sz w:val="21"/>
          <w:szCs w:val="21"/>
        </w:rPr>
      </w:pPr>
    </w:p>
    <w:p w14:paraId="0D266E8B">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66B83BF">
      <w:pPr>
        <w:pStyle w:val="5"/>
        <w:ind w:left="1783" w:hanging="361"/>
        <w:rPr>
          <w:rFonts w:eastAsia="宋体"/>
          <w:sz w:val="24"/>
          <w:szCs w:val="24"/>
        </w:rPr>
      </w:pPr>
      <w:r>
        <w:rPr>
          <w:rFonts w:eastAsia="宋体"/>
          <w:sz w:val="24"/>
          <w:szCs w:val="24"/>
        </w:rPr>
        <w:t>c.</w:t>
      </w:r>
      <w:r>
        <w:rPr>
          <w:rFonts w:eastAsia="宋体"/>
          <w:sz w:val="24"/>
          <w:szCs w:val="24"/>
        </w:rPr>
        <w:tab/>
      </w:r>
      <w:r>
        <w:rPr>
          <w:rFonts w:eastAsia="宋体"/>
          <w:sz w:val="24"/>
          <w:szCs w:val="24"/>
        </w:rPr>
        <w:t>顶盖附着力测试</w:t>
      </w:r>
    </w:p>
    <w:p w14:paraId="35A9E12C">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：如果为将电极导线连接到外壳而将顶盖连接到外壳上，则应进行顶盖粘连试验，以确保顶盖未与外壳分离并确保刺激、记录或加电用电流路径的连续性。</w:t>
      </w:r>
    </w:p>
    <w:p w14:paraId="513023F5">
      <w:pPr>
        <w:shd w:val="clear" w:color="auto" w:fill="FFFFFF"/>
        <w:snapToGrid w:val="0"/>
        <w:ind w:left="614" w:leftChars="307"/>
        <w:jc w:val="both"/>
        <w:rPr>
          <w:rFonts w:eastAsia="宋体"/>
          <w:sz w:val="24"/>
          <w:szCs w:val="24"/>
        </w:rPr>
      </w:pPr>
    </w:p>
    <w:p w14:paraId="3EE05914">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：顶盖腔应与电极导线和延长线连接器适当配合，以形成必要的电触点，确保密封件处于正确位置并按照设计发挥功能。我局建议对电极导线端和顶盖</w:t>
      </w:r>
      <w:r>
        <w:rPr>
          <w:rFonts w:hint="eastAsia" w:eastAsia="宋体"/>
          <w:color w:val="000000"/>
          <w:sz w:val="24"/>
          <w:szCs w:val="24"/>
        </w:rPr>
        <w:t>的</w:t>
      </w:r>
      <w:r>
        <w:rPr>
          <w:rFonts w:eastAsia="宋体"/>
          <w:color w:val="000000"/>
          <w:sz w:val="24"/>
          <w:szCs w:val="24"/>
        </w:rPr>
        <w:t>连接进行测试，以确保电极导线能够承受适当的力，</w:t>
      </w:r>
      <w:r>
        <w:rPr>
          <w:rFonts w:hint="eastAsia" w:eastAsia="宋体"/>
          <w:color w:val="000000"/>
          <w:sz w:val="24"/>
          <w:szCs w:val="24"/>
        </w:rPr>
        <w:t>而</w:t>
      </w:r>
      <w:r>
        <w:rPr>
          <w:rFonts w:eastAsia="宋体"/>
          <w:color w:val="000000"/>
          <w:sz w:val="24"/>
          <w:szCs w:val="24"/>
        </w:rPr>
        <w:t>不会被拉出连接器插头块。</w:t>
      </w:r>
    </w:p>
    <w:p w14:paraId="3FC61D65">
      <w:pPr>
        <w:shd w:val="clear" w:color="auto" w:fill="FFFFFF"/>
        <w:snapToGrid w:val="0"/>
        <w:ind w:left="614" w:leftChars="307"/>
        <w:jc w:val="both"/>
        <w:rPr>
          <w:rFonts w:eastAsia="宋体"/>
          <w:sz w:val="24"/>
          <w:szCs w:val="24"/>
        </w:rPr>
      </w:pPr>
    </w:p>
    <w:p w14:paraId="2E629052">
      <w:pPr>
        <w:pStyle w:val="5"/>
        <w:ind w:left="1783" w:hanging="361"/>
        <w:rPr>
          <w:rFonts w:eastAsia="宋体"/>
          <w:sz w:val="24"/>
          <w:szCs w:val="24"/>
        </w:rPr>
      </w:pPr>
      <w:r>
        <w:rPr>
          <w:rFonts w:eastAsia="宋体"/>
          <w:sz w:val="24"/>
          <w:szCs w:val="24"/>
        </w:rPr>
        <w:t>d.</w:t>
      </w:r>
      <w:r>
        <w:rPr>
          <w:rFonts w:eastAsia="宋体"/>
          <w:sz w:val="24"/>
          <w:szCs w:val="24"/>
        </w:rPr>
        <w:tab/>
      </w:r>
      <w:r>
        <w:rPr>
          <w:rFonts w:eastAsia="宋体"/>
          <w:sz w:val="24"/>
          <w:szCs w:val="24"/>
        </w:rPr>
        <w:t>电池</w:t>
      </w:r>
    </w:p>
    <w:p w14:paraId="16477175">
      <w:pPr>
        <w:shd w:val="clear" w:color="auto" w:fill="FFFFFF"/>
        <w:snapToGrid w:val="0"/>
        <w:ind w:left="614" w:leftChars="30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如果电池是植入外壳和电子器械的一部分，应进行测试以评价植入器械中使用的电池的适用性和性能，以确保其按预期运行，并适当降低与电池故障（如短路）相关的风险（如过热），以尽量减少对患者的伤害。</w:t>
      </w:r>
    </w:p>
    <w:p w14:paraId="4DD85CE9">
      <w:pPr>
        <w:shd w:val="clear" w:color="auto" w:fill="FFFFFF"/>
        <w:snapToGrid w:val="0"/>
        <w:ind w:left="614" w:leftChars="307"/>
        <w:jc w:val="both"/>
        <w:rPr>
          <w:rFonts w:eastAsia="宋体"/>
          <w:sz w:val="24"/>
          <w:szCs w:val="24"/>
        </w:rPr>
      </w:pPr>
    </w:p>
    <w:p w14:paraId="00713475">
      <w:pPr>
        <w:shd w:val="clear" w:color="auto" w:fill="FFFFFF"/>
        <w:snapToGrid w:val="0"/>
        <w:ind w:left="614" w:leftChars="30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：测试应评估电池在正常使用和临床相关最坏情况下承受预期应力时的特性和一般可靠性。同时，测试还应证明如何防止电池过度放电和过度充电，并测量电池短路时电池和器械的表面温度。</w:t>
      </w:r>
    </w:p>
    <w:p w14:paraId="11F62FDE">
      <w:pPr>
        <w:shd w:val="clear" w:color="auto" w:fill="FFFFFF"/>
        <w:snapToGrid w:val="0"/>
        <w:ind w:left="614" w:leftChars="307"/>
        <w:jc w:val="both"/>
        <w:rPr>
          <w:rFonts w:eastAsia="宋体"/>
          <w:color w:val="000000"/>
          <w:sz w:val="24"/>
          <w:szCs w:val="24"/>
        </w:rPr>
      </w:pPr>
    </w:p>
    <w:p w14:paraId="2C971671">
      <w:pPr>
        <w:shd w:val="clear" w:color="auto" w:fill="FFFFFF"/>
        <w:snapToGrid w:val="0"/>
        <w:ind w:left="614" w:leftChars="307"/>
        <w:jc w:val="both"/>
        <w:rPr>
          <w:rFonts w:eastAsia="宋体"/>
          <w:sz w:val="24"/>
          <w:szCs w:val="24"/>
        </w:rPr>
      </w:pPr>
      <w:r>
        <w:rPr>
          <w:rFonts w:eastAsia="宋体"/>
          <w:color w:val="000000"/>
          <w:sz w:val="24"/>
          <w:szCs w:val="24"/>
        </w:rPr>
        <w:t>有关其他电池相关安全性信息，请见以下自愿共识标准：</w:t>
      </w:r>
    </w:p>
    <w:p w14:paraId="3B44B445">
      <w:pPr>
        <w:shd w:val="clear" w:color="auto" w:fill="FFFFFF"/>
        <w:snapToGrid w:val="0"/>
        <w:ind w:left="1275" w:leftChars="480" w:hanging="315"/>
        <w:jc w:val="both"/>
        <w:rPr>
          <w:rFonts w:eastAsia="宋体"/>
          <w:color w:val="000000"/>
          <w:sz w:val="24"/>
          <w:szCs w:val="24"/>
        </w:rPr>
      </w:pPr>
    </w:p>
    <w:p w14:paraId="55C49AA3">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UL 2054：《家用和商用电池》；</w:t>
      </w:r>
    </w:p>
    <w:p w14:paraId="726D4005">
      <w:pPr>
        <w:shd w:val="clear" w:color="auto" w:fill="FFFFFF"/>
        <w:snapToGrid w:val="0"/>
        <w:ind w:left="1275" w:leftChars="480" w:hanging="315"/>
        <w:jc w:val="both"/>
        <w:rPr>
          <w:rFonts w:eastAsia="宋体"/>
          <w:color w:val="000000"/>
          <w:sz w:val="24"/>
          <w:szCs w:val="24"/>
        </w:rPr>
      </w:pPr>
    </w:p>
    <w:p w14:paraId="643DF3BB">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UL 1642：《锂电池》；</w:t>
      </w:r>
    </w:p>
    <w:p w14:paraId="37BC26C6">
      <w:pPr>
        <w:shd w:val="clear" w:color="auto" w:fill="FFFFFF"/>
        <w:snapToGrid w:val="0"/>
        <w:ind w:left="1275" w:leftChars="480" w:hanging="315"/>
        <w:jc w:val="both"/>
        <w:rPr>
          <w:rFonts w:eastAsia="宋体"/>
          <w:color w:val="000000"/>
          <w:sz w:val="24"/>
          <w:szCs w:val="24"/>
        </w:rPr>
      </w:pPr>
    </w:p>
    <w:p w14:paraId="48284B9A">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IEC 60086-4：</w:t>
      </w:r>
      <w:r>
        <w:rPr>
          <w:rFonts w:eastAsia="宋体"/>
          <w:i/>
          <w:iCs/>
          <w:color w:val="000000"/>
          <w:sz w:val="24"/>
          <w:szCs w:val="24"/>
        </w:rPr>
        <w:t>原电池 - 第4部分：锂电池的安全性；和</w:t>
      </w:r>
    </w:p>
    <w:p w14:paraId="4CE92C56">
      <w:pPr>
        <w:shd w:val="clear" w:color="auto" w:fill="FFFFFF"/>
        <w:snapToGrid w:val="0"/>
        <w:ind w:left="1275" w:leftChars="480" w:hanging="315"/>
        <w:jc w:val="both"/>
        <w:rPr>
          <w:rFonts w:eastAsia="宋体"/>
          <w:color w:val="000000"/>
          <w:sz w:val="24"/>
          <w:szCs w:val="24"/>
        </w:rPr>
      </w:pPr>
    </w:p>
    <w:p w14:paraId="2856AD78">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IEC 60086-5：</w:t>
      </w:r>
      <w:r>
        <w:rPr>
          <w:rFonts w:eastAsia="宋体"/>
          <w:i/>
          <w:iCs/>
          <w:color w:val="000000"/>
          <w:sz w:val="24"/>
          <w:szCs w:val="24"/>
        </w:rPr>
        <w:t>原电池 - 第5部分：含水电解质电池的安全性。</w:t>
      </w:r>
    </w:p>
    <w:p w14:paraId="2049A059">
      <w:pPr>
        <w:pStyle w:val="4"/>
        <w:spacing w:before="240"/>
      </w:pPr>
      <w:bookmarkStart w:id="41" w:name="_Toc97494952"/>
      <w:r>
        <w:t>(4)</w:t>
      </w:r>
      <w:r>
        <w:tab/>
      </w:r>
      <w:r>
        <w:t>刺激输出测量结果</w:t>
      </w:r>
      <w:bookmarkEnd w:id="41"/>
    </w:p>
    <w:p w14:paraId="4399424F">
      <w:pPr>
        <w:shd w:val="clear" w:color="auto" w:fill="FFFFFF"/>
        <w:autoSpaceDE/>
        <w:autoSpaceDN/>
        <w:snapToGrid w:val="0"/>
        <w:ind w:left="314" w:leftChars="157"/>
        <w:jc w:val="both"/>
        <w:rPr>
          <w:rFonts w:eastAsia="宋体"/>
          <w:sz w:val="24"/>
          <w:szCs w:val="24"/>
        </w:rPr>
      </w:pPr>
      <w:bookmarkStart w:id="42" w:name="bookmark20"/>
      <w:bookmarkEnd w:id="42"/>
      <w:r>
        <w:rPr>
          <w:rFonts w:eastAsia="宋体"/>
          <w:color w:val="000000"/>
          <w:sz w:val="24"/>
          <w:szCs w:val="24"/>
          <w:u w:val="single"/>
        </w:rPr>
        <w:t>重要性</w:t>
      </w:r>
      <w:r>
        <w:rPr>
          <w:rFonts w:eastAsia="宋体"/>
          <w:color w:val="000000"/>
          <w:sz w:val="24"/>
          <w:szCs w:val="24"/>
        </w:rPr>
        <w:t>：对于输送电刺激的器械，适当表征器械提供的输出刺激和刺激输出限制非常重要。</w:t>
      </w:r>
    </w:p>
    <w:p w14:paraId="6991B194">
      <w:pPr>
        <w:shd w:val="clear" w:color="auto" w:fill="FFFFFF"/>
        <w:autoSpaceDE/>
        <w:autoSpaceDN/>
        <w:snapToGrid w:val="0"/>
        <w:ind w:left="314" w:leftChars="157"/>
        <w:jc w:val="both"/>
        <w:rPr>
          <w:rFonts w:eastAsia="宋体"/>
          <w:color w:val="000000"/>
          <w:sz w:val="24"/>
          <w:szCs w:val="24"/>
          <w:u w:val="single"/>
        </w:rPr>
      </w:pPr>
    </w:p>
    <w:p w14:paraId="155675A7">
      <w:pPr>
        <w:shd w:val="clear" w:color="auto" w:fill="FFFFFF"/>
        <w:autoSpaceDE/>
        <w:autoSpaceDN/>
        <w:snapToGrid w:val="0"/>
        <w:ind w:left="314" w:leftChars="157"/>
        <w:jc w:val="both"/>
        <w:rPr>
          <w:rFonts w:eastAsia="宋体"/>
          <w:sz w:val="24"/>
          <w:szCs w:val="24"/>
        </w:rPr>
      </w:pPr>
      <w:r>
        <w:rPr>
          <w:rFonts w:eastAsia="宋体"/>
          <w:color w:val="000000"/>
          <w:sz w:val="24"/>
          <w:szCs w:val="24"/>
          <w:u w:val="single"/>
        </w:rPr>
        <w:t>建议</w:t>
      </w:r>
      <w:r>
        <w:rPr>
          <w:rFonts w:eastAsia="宋体"/>
          <w:color w:val="000000"/>
          <w:sz w:val="24"/>
          <w:szCs w:val="24"/>
        </w:rPr>
        <w:t>：我局建议使用标准ISO 14708-3：《手术植入物 - 有源植入式医疗器械 - 第3部分：植入式神经刺激器》。对于每种输出模式，我局建议贵司提供示波器描迹，描述在生理负载下可能遇到的单个脉冲输出波形的电输出波形。此外，应提供一个描记，显示在500Ω</w:t>
      </w:r>
      <w:r>
        <w:rPr>
          <w:rFonts w:hint="eastAsia" w:eastAsia="宋体"/>
          <w:color w:val="000000"/>
          <w:sz w:val="24"/>
          <w:szCs w:val="24"/>
        </w:rPr>
        <w:t>负载</w:t>
      </w:r>
      <w:r>
        <w:rPr>
          <w:rFonts w:eastAsia="宋体"/>
          <w:color w:val="000000"/>
          <w:sz w:val="24"/>
          <w:szCs w:val="24"/>
        </w:rPr>
        <w:t>下的一系列脉冲。我局建议贵司为每个描迹提供以下信息：</w:t>
      </w:r>
    </w:p>
    <w:p w14:paraId="30EC36F3">
      <w:pPr>
        <w:shd w:val="clear" w:color="auto" w:fill="FFFFFF"/>
        <w:snapToGrid w:val="0"/>
        <w:ind w:left="614" w:leftChars="307"/>
        <w:jc w:val="both"/>
        <w:rPr>
          <w:rFonts w:eastAsia="宋体"/>
          <w:sz w:val="24"/>
          <w:szCs w:val="24"/>
        </w:rPr>
      </w:pPr>
    </w:p>
    <w:p w14:paraId="7104D35A">
      <w:pPr>
        <w:shd w:val="clear" w:color="auto" w:fill="FFFFFF"/>
        <w:snapToGrid w:val="0"/>
        <w:jc w:val="both"/>
        <w:rPr>
          <w:rFonts w:eastAsia="宋体"/>
          <w:sz w:val="21"/>
          <w:szCs w:val="21"/>
        </w:rPr>
      </w:pPr>
    </w:p>
    <w:p w14:paraId="612D240C">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BCCC00C">
      <w:pPr>
        <w:shd w:val="clear" w:color="auto" w:fill="FFFFFF"/>
        <w:snapToGrid w:val="0"/>
        <w:ind w:left="754" w:leftChars="19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输出模式名称；</w:t>
      </w:r>
    </w:p>
    <w:p w14:paraId="18F03E1D">
      <w:pPr>
        <w:shd w:val="clear" w:color="auto" w:fill="FFFFFF"/>
        <w:snapToGrid w:val="0"/>
        <w:ind w:left="754" w:leftChars="19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明确标记的振幅和时间轴；</w:t>
      </w:r>
    </w:p>
    <w:p w14:paraId="538BA963">
      <w:pPr>
        <w:shd w:val="clear" w:color="auto" w:fill="FFFFFF"/>
        <w:snapToGrid w:val="0"/>
        <w:ind w:left="754" w:leftChars="19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鉴定振幅基线；和</w:t>
      </w:r>
    </w:p>
    <w:p w14:paraId="2FEE266A">
      <w:pPr>
        <w:shd w:val="clear" w:color="auto" w:fill="FFFFFF"/>
        <w:snapToGrid w:val="0"/>
        <w:ind w:left="754" w:leftChars="19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列出所有输出参数设置（例如振幅、脉宽和频率）。</w:t>
      </w:r>
    </w:p>
    <w:p w14:paraId="5E44761D">
      <w:pPr>
        <w:shd w:val="clear" w:color="auto" w:fill="FFFFFF"/>
        <w:autoSpaceDE/>
        <w:autoSpaceDN/>
        <w:snapToGrid w:val="0"/>
        <w:ind w:left="314" w:leftChars="157"/>
        <w:jc w:val="both"/>
        <w:rPr>
          <w:rFonts w:eastAsia="宋体"/>
          <w:color w:val="000000"/>
          <w:sz w:val="24"/>
          <w:szCs w:val="24"/>
        </w:rPr>
      </w:pPr>
      <w:bookmarkStart w:id="43" w:name="bookmark21"/>
    </w:p>
    <w:bookmarkEnd w:id="43"/>
    <w:p w14:paraId="03742CED">
      <w:pPr>
        <w:shd w:val="clear" w:color="auto" w:fill="FFFFFF"/>
        <w:autoSpaceDE/>
        <w:autoSpaceDN/>
        <w:snapToGrid w:val="0"/>
        <w:ind w:left="314" w:leftChars="157"/>
        <w:jc w:val="both"/>
        <w:rPr>
          <w:rFonts w:eastAsia="宋体"/>
          <w:sz w:val="24"/>
          <w:szCs w:val="24"/>
        </w:rPr>
      </w:pPr>
      <w:r>
        <w:rPr>
          <w:rFonts w:eastAsia="宋体"/>
          <w:color w:val="000000"/>
          <w:sz w:val="24"/>
          <w:szCs w:val="24"/>
        </w:rPr>
        <w:t>迹线应证明能够在每条迹线中实现最大刺激设置，并保持在规定范围内。可采用</w:t>
      </w:r>
      <w:r>
        <w:rPr>
          <w:rFonts w:eastAsia="宋体"/>
          <w:color w:val="0000FF"/>
          <w:sz w:val="24"/>
          <w:szCs w:val="24"/>
          <w:u w:val="single"/>
        </w:rPr>
        <w:t>附录A</w:t>
      </w:r>
      <w:r>
        <w:rPr>
          <w:rFonts w:eastAsia="宋体"/>
          <w:color w:val="000000"/>
          <w:sz w:val="24"/>
          <w:szCs w:val="24"/>
        </w:rPr>
        <w:t>中推荐的格式记录结果。</w:t>
      </w:r>
    </w:p>
    <w:p w14:paraId="1AEC3347">
      <w:pPr>
        <w:pStyle w:val="4"/>
        <w:spacing w:before="240"/>
      </w:pPr>
      <w:bookmarkStart w:id="44" w:name="_Toc97494953"/>
      <w:r>
        <w:t>(5)</w:t>
      </w:r>
      <w:r>
        <w:tab/>
      </w:r>
      <w:r>
        <w:t>刺激输出安全性</w:t>
      </w:r>
      <w:bookmarkEnd w:id="44"/>
    </w:p>
    <w:p w14:paraId="7277E097">
      <w:pPr>
        <w:shd w:val="clear" w:color="auto" w:fill="FFFFFF"/>
        <w:autoSpaceDE/>
        <w:autoSpaceDN/>
        <w:snapToGrid w:val="0"/>
        <w:ind w:left="314" w:leftChars="15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：对于向神经系统和肌肉输送电刺激的器械，重要的是，输送到组织的输出刺激在预期用途和刺激持续时间内安全。过度刺激会产生组织损伤，可能导致严重损伤或死亡（取决于刺激位置）。</w:t>
      </w:r>
    </w:p>
    <w:p w14:paraId="7BEFEABA">
      <w:pPr>
        <w:shd w:val="clear" w:color="auto" w:fill="FFFFFF"/>
        <w:autoSpaceDE/>
        <w:autoSpaceDN/>
        <w:snapToGrid w:val="0"/>
        <w:ind w:left="314" w:leftChars="157"/>
        <w:jc w:val="both"/>
        <w:rPr>
          <w:rFonts w:eastAsia="宋体"/>
          <w:sz w:val="24"/>
          <w:szCs w:val="24"/>
        </w:rPr>
      </w:pPr>
    </w:p>
    <w:p w14:paraId="3E0CD4BC">
      <w:pPr>
        <w:shd w:val="clear" w:color="auto" w:fill="FFFFFF"/>
        <w:autoSpaceDE/>
        <w:autoSpaceDN/>
        <w:snapToGrid w:val="0"/>
        <w:ind w:left="314" w:leftChars="157"/>
        <w:jc w:val="both"/>
        <w:rPr>
          <w:rFonts w:eastAsia="宋体"/>
          <w:sz w:val="24"/>
          <w:szCs w:val="24"/>
        </w:rPr>
      </w:pPr>
      <w:bookmarkStart w:id="45" w:name="bookmark22"/>
      <w:bookmarkEnd w:id="45"/>
      <w:r>
        <w:rPr>
          <w:rFonts w:eastAsia="宋体"/>
          <w:color w:val="000000"/>
          <w:sz w:val="24"/>
          <w:szCs w:val="24"/>
          <w:u w:val="single"/>
        </w:rPr>
        <w:t>建议</w:t>
      </w:r>
      <w:r>
        <w:rPr>
          <w:rFonts w:eastAsia="宋体"/>
          <w:color w:val="000000"/>
          <w:sz w:val="24"/>
          <w:szCs w:val="24"/>
        </w:rPr>
        <w:t>：我们建议贵司提供科学依据（例如，根据</w:t>
      </w:r>
      <w:r>
        <w:rPr>
          <w:rFonts w:eastAsia="宋体"/>
          <w:color w:val="000000"/>
          <w:sz w:val="24"/>
          <w:szCs w:val="24"/>
          <w:u w:val="single"/>
        </w:rPr>
        <w:t>第</w:t>
      </w:r>
      <w:r>
        <w:rPr>
          <w:rFonts w:eastAsia="宋体"/>
          <w:color w:val="0000FF"/>
          <w:sz w:val="24"/>
          <w:szCs w:val="24"/>
          <w:u w:val="single"/>
        </w:rPr>
        <w:t>III（N）（1）节</w:t>
      </w:r>
      <w:r>
        <w:rPr>
          <w:rFonts w:eastAsia="宋体"/>
          <w:color w:val="000000"/>
          <w:sz w:val="24"/>
          <w:szCs w:val="24"/>
        </w:rPr>
        <w:t>和</w:t>
      </w:r>
      <w:r>
        <w:rPr>
          <w:rFonts w:eastAsia="宋体"/>
          <w:color w:val="000000"/>
          <w:sz w:val="24"/>
          <w:szCs w:val="24"/>
          <w:u w:val="single"/>
        </w:rPr>
        <w:t>第</w:t>
      </w:r>
      <w:r>
        <w:rPr>
          <w:rFonts w:eastAsia="宋体"/>
          <w:color w:val="0000FF"/>
          <w:sz w:val="24"/>
          <w:szCs w:val="24"/>
          <w:u w:val="single"/>
        </w:rPr>
        <w:t>III（N）（2）</w:t>
      </w:r>
      <w:r>
        <w:rPr>
          <w:rFonts w:eastAsia="宋体"/>
          <w:color w:val="000000"/>
          <w:sz w:val="24"/>
          <w:szCs w:val="24"/>
          <w:u w:val="single"/>
        </w:rPr>
        <w:t>节</w:t>
      </w:r>
      <w:r>
        <w:rPr>
          <w:rFonts w:eastAsia="宋体"/>
          <w:color w:val="000000"/>
          <w:sz w:val="24"/>
          <w:szCs w:val="24"/>
        </w:rPr>
        <w:t>中概述的文献和/或动物研究），以支持刺激输出参数的安全性（例如，最大电流、电荷密度、电流密度、每相电荷、频率和持续时间）。刺激输出参数的安全性分析可保证，器械使用期间最大程度降低组织损伤的风险。</w:t>
      </w:r>
    </w:p>
    <w:p w14:paraId="0D4A112F">
      <w:pPr>
        <w:pStyle w:val="4"/>
        <w:spacing w:before="240"/>
      </w:pPr>
      <w:bookmarkStart w:id="46" w:name="_Toc97494954"/>
      <w:r>
        <w:t>(6)</w:t>
      </w:r>
      <w:r>
        <w:tab/>
      </w:r>
      <w:r>
        <w:t>程控仪/控制单元</w:t>
      </w:r>
      <w:bookmarkEnd w:id="46"/>
    </w:p>
    <w:p w14:paraId="6D81E63A">
      <w:pPr>
        <w:shd w:val="clear" w:color="auto" w:fill="FFFFFF"/>
        <w:autoSpaceDE/>
        <w:autoSpaceDN/>
        <w:snapToGrid w:val="0"/>
        <w:ind w:left="314" w:leftChars="15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w:t>
      </w:r>
      <w:r>
        <w:rPr>
          <w:rFonts w:hint="eastAsia" w:eastAsia="宋体"/>
          <w:color w:val="000000"/>
          <w:sz w:val="24"/>
          <w:szCs w:val="24"/>
        </w:rPr>
        <w:t>为</w:t>
      </w:r>
      <w:r>
        <w:rPr>
          <w:rFonts w:eastAsia="宋体"/>
          <w:color w:val="000000"/>
          <w:sz w:val="24"/>
          <w:szCs w:val="24"/>
        </w:rPr>
        <w:t>程控刺激参数或选择不同器械模式</w:t>
      </w:r>
      <w:r>
        <w:rPr>
          <w:rFonts w:hint="eastAsia" w:eastAsia="宋体"/>
          <w:color w:val="000000"/>
          <w:sz w:val="24"/>
          <w:szCs w:val="24"/>
        </w:rPr>
        <w:t>所</w:t>
      </w:r>
      <w:r>
        <w:rPr>
          <w:rFonts w:eastAsia="宋体"/>
          <w:color w:val="000000"/>
          <w:sz w:val="24"/>
          <w:szCs w:val="24"/>
        </w:rPr>
        <w:t>使用的硬件通常称为程控仪/控制单元，如果其不按预期运行，则可能给患者带来风险。</w:t>
      </w:r>
    </w:p>
    <w:p w14:paraId="2B6A3B14">
      <w:pPr>
        <w:shd w:val="clear" w:color="auto" w:fill="FFFFFF"/>
        <w:autoSpaceDE/>
        <w:autoSpaceDN/>
        <w:snapToGrid w:val="0"/>
        <w:ind w:left="314" w:leftChars="157"/>
        <w:jc w:val="both"/>
        <w:rPr>
          <w:rFonts w:eastAsia="宋体"/>
          <w:sz w:val="24"/>
          <w:szCs w:val="24"/>
        </w:rPr>
      </w:pPr>
    </w:p>
    <w:p w14:paraId="2569396C">
      <w:pPr>
        <w:shd w:val="clear" w:color="auto" w:fill="FFFFFF"/>
        <w:autoSpaceDE/>
        <w:autoSpaceDN/>
        <w:snapToGrid w:val="0"/>
        <w:ind w:left="314" w:leftChars="157"/>
        <w:jc w:val="both"/>
        <w:rPr>
          <w:rFonts w:eastAsia="宋体"/>
          <w:sz w:val="24"/>
          <w:szCs w:val="24"/>
        </w:rPr>
      </w:pPr>
      <w:bookmarkStart w:id="47" w:name="bookmark23"/>
      <w:bookmarkEnd w:id="47"/>
      <w:r>
        <w:rPr>
          <w:rFonts w:eastAsia="宋体"/>
          <w:color w:val="000000"/>
          <w:sz w:val="24"/>
          <w:szCs w:val="24"/>
          <w:u w:val="single"/>
        </w:rPr>
        <w:t>建议：</w:t>
      </w:r>
      <w:r>
        <w:rPr>
          <w:rFonts w:eastAsia="宋体"/>
          <w:color w:val="000000"/>
          <w:sz w:val="24"/>
          <w:szCs w:val="24"/>
        </w:rPr>
        <w:t>我局建议对程控仪/控制单元进行验证试验，以便评估电气安全、功能、环境、EMC、软件和可靠性性能。该试验的设计应确保按照规范验证系统级操作。同时，试验还应验证，在规定预期环境条件下以及在储存、运输和处理过程中能够维持系统性能。对于与植入式电子器械通信的程控仪/控制单元，应提供试验证明程控仪/控制单元能够与植入式电子器械通信并进行程控。如适用，应对发射和接收天线、发射距离、磁簧开关和磁体进行测试，以确保其按预期发挥作用。</w:t>
      </w:r>
    </w:p>
    <w:p w14:paraId="50CC9ED4">
      <w:pPr>
        <w:pStyle w:val="4"/>
        <w:spacing w:before="240"/>
      </w:pPr>
      <w:bookmarkStart w:id="48" w:name="_Toc97494955"/>
      <w:r>
        <w:t>(7)</w:t>
      </w:r>
      <w:r>
        <w:tab/>
      </w:r>
      <w:r>
        <w:t>射频（RF）发射器和接收器</w:t>
      </w:r>
      <w:bookmarkEnd w:id="48"/>
    </w:p>
    <w:p w14:paraId="54F60681">
      <w:pPr>
        <w:shd w:val="clear" w:color="auto" w:fill="FFFFFF"/>
        <w:autoSpaceDE/>
        <w:autoSpaceDN/>
        <w:snapToGrid w:val="0"/>
        <w:ind w:left="314" w:leftChars="157"/>
        <w:jc w:val="both"/>
        <w:rPr>
          <w:rFonts w:eastAsia="宋体"/>
          <w:sz w:val="24"/>
          <w:szCs w:val="24"/>
        </w:rPr>
      </w:pPr>
      <w:r>
        <w:rPr>
          <w:rFonts w:eastAsia="宋体"/>
          <w:color w:val="000000"/>
          <w:sz w:val="24"/>
          <w:szCs w:val="24"/>
          <w:u w:val="single"/>
        </w:rPr>
        <w:t>意义</w:t>
      </w:r>
      <w:r>
        <w:rPr>
          <w:rFonts w:eastAsia="宋体"/>
          <w:color w:val="000000"/>
          <w:sz w:val="24"/>
          <w:szCs w:val="24"/>
        </w:rPr>
        <w:t>：通过发射器和接收器（例如，感应耦合）的射频（RF）通信有时用于编程/控制植入组件或为植入电池充电。如果射频发射器和接收器不按预期运行，则可能给患者带来风险。例如，感应耦合可能导致组织发热或组织损伤。</w:t>
      </w:r>
    </w:p>
    <w:p w14:paraId="7D645462">
      <w:pPr>
        <w:shd w:val="clear" w:color="auto" w:fill="FFFFFF"/>
        <w:snapToGrid w:val="0"/>
        <w:jc w:val="both"/>
        <w:rPr>
          <w:rFonts w:eastAsia="宋体"/>
          <w:sz w:val="21"/>
          <w:szCs w:val="21"/>
        </w:rPr>
      </w:pPr>
    </w:p>
    <w:p w14:paraId="0D06256C">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FD6506A">
      <w:pPr>
        <w:shd w:val="clear" w:color="auto" w:fill="FFFFFF"/>
        <w:autoSpaceDE/>
        <w:autoSpaceDN/>
        <w:snapToGrid w:val="0"/>
        <w:ind w:left="314" w:leftChars="157"/>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：射频发射机的测试应包括上文</w:t>
      </w:r>
      <w:r>
        <w:rPr>
          <w:rFonts w:eastAsia="宋体"/>
          <w:color w:val="0000FF"/>
          <w:sz w:val="24"/>
          <w:szCs w:val="24"/>
          <w:u w:val="single"/>
        </w:rPr>
        <w:t>第L（6）节</w:t>
      </w:r>
      <w:r>
        <w:rPr>
          <w:rFonts w:eastAsia="宋体"/>
          <w:color w:val="000000"/>
          <w:sz w:val="24"/>
          <w:szCs w:val="24"/>
        </w:rPr>
        <w:t>中所述的编程器/控制单元的信息。此外，我局建议贵司为射频发射器提供以下信息：</w:t>
      </w:r>
    </w:p>
    <w:p w14:paraId="1BD7C47B">
      <w:pPr>
        <w:shd w:val="clear" w:color="auto" w:fill="FFFFFF"/>
        <w:snapToGrid w:val="0"/>
        <w:ind w:left="614" w:leftChars="307"/>
        <w:jc w:val="both"/>
        <w:rPr>
          <w:rFonts w:eastAsia="宋体"/>
          <w:sz w:val="24"/>
          <w:szCs w:val="24"/>
        </w:rPr>
      </w:pPr>
    </w:p>
    <w:p w14:paraId="3F997195">
      <w:pPr>
        <w:shd w:val="clear" w:color="auto" w:fill="FFFFFF"/>
        <w:snapToGrid w:val="0"/>
        <w:ind w:left="929" w:leftChars="307"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机械试验；</w:t>
      </w:r>
    </w:p>
    <w:p w14:paraId="7CA7453B">
      <w:pPr>
        <w:shd w:val="clear" w:color="auto" w:fill="FFFFFF"/>
        <w:snapToGrid w:val="0"/>
        <w:ind w:left="929" w:leftChars="307" w:hanging="315"/>
        <w:jc w:val="both"/>
        <w:rPr>
          <w:rFonts w:eastAsia="宋体"/>
          <w:color w:val="000000"/>
          <w:sz w:val="24"/>
          <w:szCs w:val="24"/>
        </w:rPr>
      </w:pPr>
    </w:p>
    <w:p w14:paraId="3817DC0C">
      <w:pPr>
        <w:shd w:val="clear" w:color="auto" w:fill="FFFFFF"/>
        <w:snapToGrid w:val="0"/>
        <w:ind w:left="929" w:leftChars="307"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电气试验；和</w:t>
      </w:r>
    </w:p>
    <w:p w14:paraId="06619CB1">
      <w:pPr>
        <w:shd w:val="clear" w:color="auto" w:fill="FFFFFF"/>
        <w:snapToGrid w:val="0"/>
        <w:ind w:left="929" w:leftChars="307" w:hanging="315"/>
        <w:jc w:val="both"/>
        <w:rPr>
          <w:rFonts w:eastAsia="宋体"/>
          <w:color w:val="000000"/>
          <w:sz w:val="24"/>
          <w:szCs w:val="24"/>
        </w:rPr>
      </w:pPr>
    </w:p>
    <w:p w14:paraId="69C4EE17">
      <w:pPr>
        <w:shd w:val="clear" w:color="auto" w:fill="FFFFFF"/>
        <w:snapToGrid w:val="0"/>
        <w:ind w:left="929" w:leftChars="307" w:hanging="315"/>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外部发射天线和接收器内部天线之间的传输距离和方向。</w:t>
      </w:r>
    </w:p>
    <w:p w14:paraId="42EEE69C">
      <w:pPr>
        <w:shd w:val="clear" w:color="auto" w:fill="FFFFFF"/>
        <w:snapToGrid w:val="0"/>
        <w:ind w:left="1275" w:leftChars="480" w:hanging="315"/>
        <w:jc w:val="both"/>
        <w:rPr>
          <w:rFonts w:eastAsia="宋体"/>
          <w:color w:val="000000"/>
          <w:sz w:val="24"/>
          <w:szCs w:val="24"/>
        </w:rPr>
      </w:pPr>
    </w:p>
    <w:p w14:paraId="6211CAFB">
      <w:pPr>
        <w:shd w:val="clear" w:color="auto" w:fill="FFFFFF"/>
        <w:autoSpaceDE/>
        <w:autoSpaceDN/>
        <w:snapToGrid w:val="0"/>
        <w:ind w:left="314" w:leftChars="157"/>
        <w:jc w:val="both"/>
        <w:rPr>
          <w:rFonts w:eastAsia="宋体"/>
          <w:sz w:val="24"/>
          <w:szCs w:val="24"/>
        </w:rPr>
      </w:pPr>
      <w:bookmarkStart w:id="49" w:name="bookmark24"/>
      <w:bookmarkEnd w:id="49"/>
      <w:r>
        <w:rPr>
          <w:rFonts w:eastAsia="宋体"/>
          <w:color w:val="000000"/>
          <w:sz w:val="24"/>
          <w:szCs w:val="24"/>
        </w:rPr>
        <w:t>对于发射机和接收机而言，测试应该考虑在上面的</w:t>
      </w:r>
      <w:r>
        <w:rPr>
          <w:rFonts w:eastAsia="宋体"/>
          <w:color w:val="0000FF"/>
          <w:sz w:val="24"/>
          <w:szCs w:val="24"/>
          <w:u w:val="single"/>
        </w:rPr>
        <w:t>第J节</w:t>
      </w:r>
      <w:r>
        <w:rPr>
          <w:rFonts w:eastAsia="宋体"/>
          <w:color w:val="000000"/>
          <w:sz w:val="24"/>
          <w:szCs w:val="24"/>
        </w:rPr>
        <w:t>中概述的无线技术的测试建议。为了充分证明射频能量传输期间的加热和电离辐射防护，我们建议参考当前认可版本的ISO 14708-3：《手术植入物 - 有源植入式医疗器械 - 第3部分：植入式神经刺激器》。</w:t>
      </w:r>
    </w:p>
    <w:p w14:paraId="5FA4F6FE">
      <w:pPr>
        <w:pStyle w:val="4"/>
        <w:spacing w:before="240"/>
      </w:pPr>
      <w:bookmarkStart w:id="50" w:name="_Toc97494956"/>
      <w:r>
        <w:t>(8)</w:t>
      </w:r>
      <w:r>
        <w:tab/>
      </w:r>
      <w:r>
        <w:t>系统级试验</w:t>
      </w:r>
      <w:bookmarkEnd w:id="50"/>
    </w:p>
    <w:p w14:paraId="56A4591F">
      <w:pPr>
        <w:shd w:val="clear" w:color="auto" w:fill="FFFFFF"/>
        <w:autoSpaceDE/>
        <w:autoSpaceDN/>
        <w:snapToGrid w:val="0"/>
        <w:ind w:left="314" w:leftChars="157"/>
        <w:jc w:val="both"/>
        <w:rPr>
          <w:rFonts w:eastAsia="宋体"/>
          <w:color w:val="000000"/>
          <w:sz w:val="24"/>
          <w:szCs w:val="24"/>
        </w:rPr>
      </w:pPr>
      <w:r>
        <w:rPr>
          <w:rFonts w:eastAsia="宋体"/>
          <w:color w:val="000000"/>
          <w:sz w:val="24"/>
          <w:szCs w:val="24"/>
        </w:rPr>
        <w:t>许多BCI器械技术具有多个组件，可以互换，以实现不同和可配置的临床用途（即模块化方法）。例如，系统可能包括可采集神经信号的植入电极。这些信号随后被发送到另一个系统组件，在那里它们被处理（即，解码和编码）并用于控制辅助受动器组件。此外，可使用单独的程控仪控制功能，如打开和关闭器械以及在各种输出和程序之间切换。</w:t>
      </w:r>
    </w:p>
    <w:p w14:paraId="79FBD4D9">
      <w:pPr>
        <w:shd w:val="clear" w:color="auto" w:fill="FFFFFF"/>
        <w:autoSpaceDE/>
        <w:autoSpaceDN/>
        <w:snapToGrid w:val="0"/>
        <w:ind w:left="314" w:leftChars="157"/>
        <w:jc w:val="both"/>
        <w:rPr>
          <w:rFonts w:eastAsia="宋体"/>
          <w:sz w:val="24"/>
          <w:szCs w:val="24"/>
        </w:rPr>
      </w:pPr>
    </w:p>
    <w:p w14:paraId="4D2179D3">
      <w:pPr>
        <w:shd w:val="clear" w:color="auto" w:fill="FFFFFF"/>
        <w:autoSpaceDE/>
        <w:autoSpaceDN/>
        <w:snapToGrid w:val="0"/>
        <w:ind w:left="314" w:leftChars="157"/>
        <w:jc w:val="both"/>
        <w:rPr>
          <w:rFonts w:eastAsia="宋体"/>
          <w:color w:val="000000"/>
          <w:sz w:val="24"/>
          <w:szCs w:val="24"/>
        </w:rPr>
      </w:pPr>
      <w:r>
        <w:rPr>
          <w:rFonts w:eastAsia="宋体"/>
          <w:color w:val="000000"/>
          <w:sz w:val="24"/>
          <w:szCs w:val="24"/>
        </w:rPr>
        <w:t>鉴于个体患者需求的多样性，制造商可以选择使用不同制造商制造的单个组件开发BCI系统，从而允许多个制造商之间的</w:t>
      </w:r>
      <w:r>
        <w:rPr>
          <w:rFonts w:ascii="宋体" w:hAnsi="宋体" w:eastAsia="宋体"/>
          <w:color w:val="000000"/>
          <w:sz w:val="24"/>
          <w:szCs w:val="24"/>
        </w:rPr>
        <w:t>“</w:t>
      </w:r>
      <w:r>
        <w:rPr>
          <w:rFonts w:eastAsia="宋体"/>
          <w:color w:val="000000"/>
          <w:sz w:val="24"/>
          <w:szCs w:val="24"/>
        </w:rPr>
        <w:t>混合匹配</w:t>
      </w:r>
      <w:r>
        <w:rPr>
          <w:rFonts w:ascii="宋体" w:hAnsi="宋体" w:eastAsia="宋体"/>
          <w:color w:val="000000"/>
          <w:sz w:val="24"/>
          <w:szCs w:val="24"/>
        </w:rPr>
        <w:t>”</w:t>
      </w:r>
      <w:r>
        <w:rPr>
          <w:rFonts w:eastAsia="宋体"/>
          <w:color w:val="000000"/>
          <w:sz w:val="24"/>
          <w:szCs w:val="24"/>
        </w:rPr>
        <w:t>兼容性。这些单独组件可由不同制造商生产，随后组合形成完整的系统。例如，可由A公司开发制造皮层电极，用于记录待采集、处理的神经信号，并通过B公司开发的采集系统和软件进行传输。然后使用B公司采集系统传输的数据控制C公司开发的辅助技术。</w:t>
      </w:r>
    </w:p>
    <w:p w14:paraId="184B6A33">
      <w:pPr>
        <w:shd w:val="clear" w:color="auto" w:fill="FFFFFF"/>
        <w:autoSpaceDE/>
        <w:autoSpaceDN/>
        <w:snapToGrid w:val="0"/>
        <w:ind w:left="314" w:leftChars="157"/>
        <w:jc w:val="both"/>
        <w:rPr>
          <w:rFonts w:eastAsia="宋体"/>
          <w:sz w:val="24"/>
          <w:szCs w:val="24"/>
        </w:rPr>
      </w:pPr>
    </w:p>
    <w:p w14:paraId="2035D223">
      <w:pPr>
        <w:shd w:val="clear" w:color="auto" w:fill="FFFFFF"/>
        <w:autoSpaceDE/>
        <w:autoSpaceDN/>
        <w:snapToGrid w:val="0"/>
        <w:ind w:left="314" w:leftChars="157"/>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全面了解各种组件如何相互影响、如何与用户和患者以及如何与环境相互作用，对证明植入式BCI系统的安全性和有效性至关重要。虽然系统的每个组件都具有可能单独引入风险的特征，但当组件相互作用作为系统运行时，可能产生新的风险。</w:t>
      </w:r>
    </w:p>
    <w:p w14:paraId="4BCB579D">
      <w:pPr>
        <w:shd w:val="clear" w:color="auto" w:fill="FFFFFF"/>
        <w:autoSpaceDE/>
        <w:autoSpaceDN/>
        <w:snapToGrid w:val="0"/>
        <w:ind w:left="314" w:leftChars="157"/>
        <w:jc w:val="both"/>
        <w:rPr>
          <w:rFonts w:eastAsia="宋体"/>
          <w:sz w:val="24"/>
          <w:szCs w:val="24"/>
        </w:rPr>
      </w:pPr>
    </w:p>
    <w:p w14:paraId="52ED0623">
      <w:pPr>
        <w:shd w:val="clear" w:color="auto" w:fill="FFFFFF"/>
        <w:autoSpaceDE/>
        <w:autoSpaceDN/>
        <w:snapToGrid w:val="0"/>
        <w:ind w:left="314" w:leftChars="157"/>
        <w:jc w:val="both"/>
        <w:rPr>
          <w:rFonts w:eastAsia="宋体"/>
          <w:sz w:val="24"/>
          <w:szCs w:val="24"/>
        </w:rPr>
      </w:pPr>
      <w:r>
        <w:rPr>
          <w:rFonts w:eastAsia="宋体"/>
          <w:color w:val="000000"/>
          <w:sz w:val="24"/>
          <w:szCs w:val="24"/>
          <w:u w:val="single"/>
        </w:rPr>
        <w:t>建议</w:t>
      </w:r>
      <w:r>
        <w:rPr>
          <w:rFonts w:eastAsia="宋体"/>
          <w:color w:val="000000"/>
          <w:sz w:val="24"/>
          <w:szCs w:val="24"/>
        </w:rPr>
        <w:t>：为验证所有系统组件是否按照系统规范的规定一起运行，FDA计划对系统的整个系统和相关性能测试进行评价。电气安全、EMC和无线共存试验应在整个系统上进行，用于拟定预期用途。此外，贵司应确定证明组件与其他器械组件兼容性的具体标准，并且提供该标准的科学或临床依据。但是，如果</w:t>
      </w:r>
      <w:bookmarkStart w:id="51" w:name="bookmark25"/>
      <w:bookmarkEnd w:id="51"/>
      <w:r>
        <w:rPr>
          <w:rFonts w:eastAsia="宋体"/>
          <w:color w:val="000000"/>
          <w:sz w:val="24"/>
          <w:szCs w:val="24"/>
        </w:rPr>
        <w:t>系统级测试不可行，则应提供排除系统级测试的理由，并说明如何降低风险。在这种情况下，我局还建议贵司提供理由，说明如何将系统运行中的故障追溯到发生故障的模块化组件，以及如何解决和缓解故障。预期与植入式BCI器械联合使用的所有器械（例如植入工具、佩戴式组件的夹子或带子、来自另一上市医疗器械的组件）均应兼容。不兼容可能导致器械损坏或其他临床不良事件。因此，我局建议贵司确定并提供确保方案中系统所有模块化组件与提供给操作员/研究者的任何标签之间兼容性所需的规范。</w:t>
      </w:r>
    </w:p>
    <w:p w14:paraId="6A116054">
      <w:pPr>
        <w:shd w:val="clear" w:color="auto" w:fill="FFFFFF"/>
        <w:snapToGrid w:val="0"/>
        <w:ind w:left="614" w:leftChars="307"/>
        <w:jc w:val="both"/>
        <w:rPr>
          <w:rFonts w:eastAsia="宋体"/>
          <w:sz w:val="24"/>
          <w:szCs w:val="24"/>
        </w:rPr>
      </w:pPr>
    </w:p>
    <w:p w14:paraId="37A95AC5">
      <w:pPr>
        <w:shd w:val="clear" w:color="auto" w:fill="FFFFFF"/>
        <w:snapToGrid w:val="0"/>
        <w:jc w:val="both"/>
        <w:rPr>
          <w:rFonts w:eastAsia="宋体"/>
          <w:sz w:val="21"/>
          <w:szCs w:val="21"/>
        </w:rPr>
      </w:pPr>
    </w:p>
    <w:p w14:paraId="770C12C0">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5385221">
      <w:pPr>
        <w:pStyle w:val="3"/>
        <w:spacing w:before="240" w:after="240"/>
      </w:pPr>
      <w:bookmarkStart w:id="52" w:name="_Toc97494957"/>
      <w:r>
        <w:t>M.</w:t>
      </w:r>
      <w:r>
        <w:tab/>
      </w:r>
      <w:r>
        <w:t>参考主文件（MAF）和其他FDA上市前申请的文件</w:t>
      </w:r>
      <w:bookmarkEnd w:id="52"/>
    </w:p>
    <w:p w14:paraId="7CB3718F">
      <w:pPr>
        <w:shd w:val="clear" w:color="auto" w:fill="FFFFFF"/>
        <w:autoSpaceDE/>
        <w:autoSpaceDN/>
        <w:snapToGrid w:val="0"/>
        <w:jc w:val="both"/>
        <w:rPr>
          <w:rFonts w:eastAsia="宋体"/>
          <w:sz w:val="24"/>
          <w:szCs w:val="24"/>
        </w:rPr>
      </w:pPr>
      <w:bookmarkStart w:id="53" w:name="bookmark26"/>
      <w:bookmarkEnd w:id="53"/>
      <w:r>
        <w:rPr>
          <w:rFonts w:eastAsia="宋体"/>
          <w:color w:val="000000"/>
          <w:sz w:val="24"/>
          <w:szCs w:val="24"/>
        </w:rPr>
        <w:t>当提交IDE的申办者需要使用另一方的产品（例如，材料、组件或组件）来自另一上市医疗器械</w:t>
      </w:r>
      <w:r>
        <w:rPr>
          <w:rFonts w:eastAsia="宋体"/>
          <w:color w:val="0000FF"/>
          <w:sz w:val="24"/>
          <w:szCs w:val="24"/>
        </w:rPr>
        <w:t>（即模块化组件，见</w:t>
      </w:r>
      <w:r>
        <w:rPr>
          <w:rFonts w:eastAsia="宋体"/>
          <w:color w:val="0000FF"/>
          <w:sz w:val="24"/>
          <w:szCs w:val="24"/>
          <w:u w:val="single"/>
        </w:rPr>
        <w:t>第III（L）（8）节</w:t>
      </w:r>
      <w:r>
        <w:rPr>
          <w:rFonts w:eastAsia="宋体"/>
          <w:color w:val="000000"/>
          <w:sz w:val="24"/>
          <w:szCs w:val="24"/>
        </w:rPr>
        <w:t>或使用另一方的设施制造该器械时。在这种情况下，如果申办者选择在其申报资料中使用另一方的产品、生产设施或生产程序相关信息，则可在提交至FDA的授权证书（LOA）中引用器械主文件（MAF）。有关使用器械MAF的更多信息，请参阅以下FDA网页：</w:t>
      </w:r>
      <w:r>
        <w:rPr>
          <w:rFonts w:eastAsia="宋体"/>
          <w:color w:val="0000FF"/>
          <w:sz w:val="24"/>
          <w:szCs w:val="24"/>
          <w:u w:val="single"/>
        </w:rPr>
        <w:t>https://www.fda.gov/medical-devices/premarket-approval-pma/master-files。</w:t>
      </w:r>
    </w:p>
    <w:p w14:paraId="0B187649">
      <w:pPr>
        <w:pStyle w:val="3"/>
        <w:spacing w:before="240" w:after="240"/>
      </w:pPr>
      <w:bookmarkStart w:id="54" w:name="_Toc97494958"/>
      <w:r>
        <w:t>N.</w:t>
      </w:r>
      <w:r>
        <w:tab/>
      </w:r>
      <w:r>
        <w:t>非临床动物试验</w:t>
      </w:r>
      <w:bookmarkEnd w:id="54"/>
    </w:p>
    <w:p w14:paraId="447E8165">
      <w:pPr>
        <w:shd w:val="clear" w:color="auto" w:fill="FFFFFF"/>
        <w:autoSpaceDE/>
        <w:autoSpaceDN/>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：通常建议展开非临床动物试验，评价植入式BCI器械的体内安全性，尤其是对新设计、重大器械改良和新适应证。</w:t>
      </w:r>
    </w:p>
    <w:p w14:paraId="4436E658">
      <w:pPr>
        <w:shd w:val="clear" w:color="auto" w:fill="FFFFFF"/>
        <w:autoSpaceDE/>
        <w:autoSpaceDN/>
        <w:snapToGrid w:val="0"/>
        <w:jc w:val="both"/>
        <w:rPr>
          <w:rFonts w:eastAsia="宋体"/>
          <w:sz w:val="24"/>
          <w:szCs w:val="24"/>
        </w:rPr>
      </w:pPr>
    </w:p>
    <w:p w14:paraId="092F91F8">
      <w:pPr>
        <w:shd w:val="clear" w:color="auto" w:fill="FFFFFF"/>
        <w:autoSpaceDE/>
        <w:autoSpaceDN/>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：植入式BCI器械的动物试验应解决台架试验或临床研究中无法评价的因素。研究设计和终点应基于器械的作用机制和风险缓解。</w:t>
      </w:r>
    </w:p>
    <w:p w14:paraId="00FF7BF6">
      <w:pPr>
        <w:shd w:val="clear" w:color="auto" w:fill="FFFFFF"/>
        <w:autoSpaceDE/>
        <w:autoSpaceDN/>
        <w:snapToGrid w:val="0"/>
        <w:jc w:val="both"/>
        <w:rPr>
          <w:rFonts w:eastAsia="宋体"/>
          <w:sz w:val="24"/>
          <w:szCs w:val="24"/>
        </w:rPr>
      </w:pPr>
    </w:p>
    <w:p w14:paraId="64434DED">
      <w:pPr>
        <w:shd w:val="clear" w:color="auto" w:fill="FFFFFF"/>
        <w:autoSpaceDE/>
        <w:autoSpaceDN/>
        <w:snapToGrid w:val="0"/>
        <w:jc w:val="both"/>
        <w:rPr>
          <w:rFonts w:eastAsia="宋体"/>
          <w:sz w:val="24"/>
          <w:szCs w:val="24"/>
        </w:rPr>
      </w:pPr>
      <w:r>
        <w:rPr>
          <w:rFonts w:eastAsia="宋体"/>
          <w:color w:val="000000"/>
          <w:sz w:val="24"/>
          <w:szCs w:val="24"/>
        </w:rPr>
        <w:t>FDA支持</w:t>
      </w:r>
      <w:r>
        <w:rPr>
          <w:rFonts w:ascii="宋体" w:hAnsi="宋体" w:eastAsia="宋体"/>
          <w:color w:val="000000"/>
          <w:sz w:val="24"/>
          <w:szCs w:val="24"/>
        </w:rPr>
        <w:t>“</w:t>
      </w:r>
      <w:r>
        <w:rPr>
          <w:rFonts w:eastAsia="宋体"/>
          <w:color w:val="000000"/>
          <w:sz w:val="24"/>
          <w:szCs w:val="24"/>
        </w:rPr>
        <w:t>3R</w:t>
      </w:r>
      <w:r>
        <w:rPr>
          <w:rFonts w:ascii="宋体" w:hAnsi="宋体" w:eastAsia="宋体"/>
          <w:color w:val="000000"/>
          <w:sz w:val="24"/>
          <w:szCs w:val="24"/>
        </w:rPr>
        <w:t>”</w:t>
      </w:r>
      <w:r>
        <w:rPr>
          <w:rFonts w:eastAsia="宋体"/>
          <w:color w:val="000000"/>
          <w:sz w:val="24"/>
          <w:szCs w:val="24"/>
        </w:rPr>
        <w:t>原则，以在可行时减少、改善并替代使用动物进行试验。贵司应考虑开发、实施和展示这些动物研究的最佳实践，同时结合现代动物护理和使用策略。此外，如果贵司希望使用贵司认为合适、充分、经过验证且可行的非动物试验方法，我局鼓励贵司咨询FDA。我局将考虑是否可评估这种替代方法与动物试验方法的实质等效性。有关Q申请项目的详细信息，请参阅指南</w:t>
      </w:r>
      <w:r>
        <w:rPr>
          <w:rFonts w:ascii="宋体" w:hAnsi="宋体" w:eastAsia="宋体"/>
          <w:color w:val="000000"/>
          <w:sz w:val="24"/>
          <w:szCs w:val="24"/>
        </w:rPr>
        <w:t>“</w:t>
      </w:r>
      <w:r>
        <w:rPr>
          <w:rFonts w:eastAsia="宋体"/>
          <w:color w:val="0000FF"/>
          <w:sz w:val="24"/>
          <w:szCs w:val="24"/>
          <w:u w:val="single"/>
        </w:rPr>
        <w:t>医疗器械提交反馈请求：Q申请项目</w:t>
      </w:r>
      <w:r>
        <w:rPr>
          <w:rFonts w:eastAsia="宋体"/>
          <w:color w:val="0000FF"/>
          <w:sz w:val="24"/>
          <w:szCs w:val="24"/>
        </w:rPr>
        <w:t>。</w:t>
      </w:r>
      <w:r>
        <w:rPr>
          <w:rFonts w:ascii="宋体" w:hAnsi="宋体" w:eastAsia="宋体"/>
          <w:color w:val="000000"/>
          <w:sz w:val="24"/>
          <w:szCs w:val="24"/>
        </w:rPr>
        <w:t>”</w:t>
      </w:r>
      <w:r>
        <w:rPr>
          <w:rFonts w:eastAsia="宋体"/>
          <w:color w:val="000000"/>
          <w:sz w:val="24"/>
          <w:szCs w:val="24"/>
          <w:vertAlign w:val="superscript"/>
        </w:rPr>
        <w:footnoteReference w:id="21"/>
      </w:r>
    </w:p>
    <w:p w14:paraId="05117AD5">
      <w:pPr>
        <w:shd w:val="clear" w:color="auto" w:fill="FFFFFF"/>
        <w:autoSpaceDE/>
        <w:autoSpaceDN/>
        <w:snapToGrid w:val="0"/>
        <w:ind w:left="314" w:leftChars="157"/>
        <w:jc w:val="both"/>
        <w:rPr>
          <w:rFonts w:eastAsia="宋体"/>
          <w:sz w:val="24"/>
          <w:szCs w:val="24"/>
        </w:rPr>
      </w:pPr>
    </w:p>
    <w:p w14:paraId="0AA1F461">
      <w:pPr>
        <w:shd w:val="clear" w:color="auto" w:fill="FFFFFF"/>
        <w:snapToGrid w:val="0"/>
        <w:jc w:val="both"/>
        <w:rPr>
          <w:rFonts w:eastAsia="宋体"/>
          <w:sz w:val="21"/>
          <w:szCs w:val="21"/>
        </w:rPr>
      </w:pPr>
    </w:p>
    <w:p w14:paraId="0228ED28">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71EC8AE">
      <w:pPr>
        <w:shd w:val="clear" w:color="auto" w:fill="FFFFFF"/>
        <w:autoSpaceDE/>
        <w:autoSpaceDN/>
        <w:snapToGrid w:val="0"/>
        <w:jc w:val="both"/>
        <w:rPr>
          <w:rFonts w:eastAsia="宋体"/>
          <w:color w:val="000000"/>
          <w:sz w:val="24"/>
          <w:szCs w:val="24"/>
        </w:rPr>
      </w:pPr>
      <w:r>
        <w:rPr>
          <w:rFonts w:eastAsia="宋体"/>
          <w:color w:val="000000"/>
          <w:sz w:val="24"/>
          <w:szCs w:val="24"/>
        </w:rPr>
        <w:t>我局鼓励制造商利用Q-申报计划，确保动物研究方案解决了安全性问题，并且包含适当的要素（例如，应按照《美国联邦法规》第21篇第58部分规定的《非临床研究质量管理规范》（GLP）法规在具有适当许可证和认证的动物研究机构开展研究）。</w:t>
      </w:r>
    </w:p>
    <w:p w14:paraId="7305C168">
      <w:pPr>
        <w:shd w:val="clear" w:color="auto" w:fill="FFFFFF"/>
        <w:autoSpaceDE/>
        <w:autoSpaceDN/>
        <w:snapToGrid w:val="0"/>
        <w:jc w:val="both"/>
        <w:rPr>
          <w:rFonts w:eastAsia="宋体"/>
          <w:sz w:val="24"/>
          <w:szCs w:val="24"/>
        </w:rPr>
      </w:pPr>
    </w:p>
    <w:p w14:paraId="3ED9AFD6">
      <w:pPr>
        <w:shd w:val="clear" w:color="auto" w:fill="FFFFFF"/>
        <w:autoSpaceDE/>
        <w:autoSpaceDN/>
        <w:snapToGrid w:val="0"/>
        <w:jc w:val="both"/>
        <w:rPr>
          <w:rFonts w:eastAsia="宋体"/>
          <w:color w:val="000000"/>
          <w:sz w:val="24"/>
          <w:szCs w:val="24"/>
        </w:rPr>
      </w:pPr>
      <w:bookmarkStart w:id="55" w:name="bookmark27"/>
      <w:bookmarkEnd w:id="55"/>
      <w:r>
        <w:rPr>
          <w:rFonts w:eastAsia="宋体"/>
          <w:color w:val="000000"/>
          <w:sz w:val="24"/>
          <w:szCs w:val="24"/>
        </w:rPr>
        <w:t>在大多数情况下，我们建议贵司在最终成品器械上进行动物试验，以支持评价，即在人类临床试验中，受试者面临的风险不会超过受试者预期的获益以及获得的知识的重要性。对于早期可行性研究中评价的器械，如果提供了充分依据，可能不需要使用最终成品器械开展动物研究。有关器械</w:t>
      </w:r>
      <w:r>
        <w:rPr>
          <w:rFonts w:hint="eastAsia" w:eastAsia="宋体"/>
          <w:color w:val="000000"/>
          <w:sz w:val="24"/>
          <w:szCs w:val="24"/>
        </w:rPr>
        <w:t>评估</w:t>
      </w:r>
      <w:r>
        <w:rPr>
          <w:rFonts w:eastAsia="宋体"/>
          <w:color w:val="000000"/>
          <w:sz w:val="24"/>
          <w:szCs w:val="24"/>
        </w:rPr>
        <w:t>策略和所用信息如何支持贵司理由的更多信息，请见FDA指南《</w:t>
      </w:r>
      <w:r>
        <w:rPr>
          <w:rFonts w:eastAsia="宋体"/>
          <w:color w:val="0000FF"/>
          <w:sz w:val="24"/>
          <w:szCs w:val="24"/>
          <w:u w:val="single"/>
        </w:rPr>
        <w:t>早期可行性医疗器械临床研究临床试验用器械豁免（IDE），包括某些首次用于人类（FIH）研究的器械</w:t>
      </w:r>
      <w:r>
        <w:rPr>
          <w:rFonts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22"/>
      </w:r>
      <w:r>
        <w:rPr>
          <w:rFonts w:eastAsia="宋体"/>
          <w:color w:val="000000"/>
          <w:sz w:val="24"/>
          <w:szCs w:val="24"/>
        </w:rPr>
        <w:t>。</w:t>
      </w:r>
    </w:p>
    <w:p w14:paraId="403B84BA">
      <w:pPr>
        <w:shd w:val="clear" w:color="auto" w:fill="FFFFFF"/>
        <w:autoSpaceDE/>
        <w:autoSpaceDN/>
        <w:snapToGrid w:val="0"/>
        <w:jc w:val="both"/>
        <w:rPr>
          <w:rFonts w:eastAsia="宋体"/>
          <w:sz w:val="21"/>
          <w:szCs w:val="21"/>
        </w:rPr>
      </w:pPr>
    </w:p>
    <w:p w14:paraId="465FA132">
      <w:pPr>
        <w:pStyle w:val="4"/>
        <w:spacing w:before="240"/>
      </w:pPr>
      <w:bookmarkStart w:id="56" w:name="_Toc97494959"/>
      <w:r>
        <w:t>(1)</w:t>
      </w:r>
      <w:r>
        <w:tab/>
      </w:r>
      <w:r>
        <w:t>动物研究的一般考虑</w:t>
      </w:r>
      <w:bookmarkEnd w:id="56"/>
    </w:p>
    <w:p w14:paraId="5DB7DBE5">
      <w:pPr>
        <w:shd w:val="clear" w:color="auto" w:fill="FFFFFF"/>
        <w:autoSpaceDE/>
        <w:autoSpaceDN/>
        <w:snapToGrid w:val="0"/>
        <w:ind w:left="314" w:leftChars="157"/>
        <w:jc w:val="both"/>
        <w:rPr>
          <w:rFonts w:eastAsia="宋体"/>
          <w:sz w:val="24"/>
          <w:szCs w:val="24"/>
        </w:rPr>
      </w:pPr>
      <w:r>
        <w:rPr>
          <w:rFonts w:eastAsia="宋体"/>
          <w:color w:val="000000"/>
          <w:sz w:val="24"/>
          <w:szCs w:val="24"/>
        </w:rPr>
        <w:t>植入式BCI器械包括各种器械设计、神经靶点和作用机制。例如，它们可以包括记录或刺激动作、穿透电极或表面电极，或来自另一种上市医疗器械的组件（即模块化设计，见</w:t>
      </w:r>
      <w:r>
        <w:rPr>
          <w:rFonts w:eastAsia="宋体"/>
          <w:color w:val="0000FF"/>
          <w:sz w:val="24"/>
          <w:szCs w:val="24"/>
          <w:u w:val="single"/>
        </w:rPr>
        <w:t>第III（L）（8）节</w:t>
      </w:r>
      <w:r>
        <w:rPr>
          <w:rFonts w:eastAsia="宋体"/>
          <w:color w:val="000000"/>
          <w:sz w:val="24"/>
          <w:szCs w:val="24"/>
        </w:rPr>
        <w:t>），以及中枢或外周神经系统目标。同时，还为患者提供各种治疗和康复效益。其中每个变量都可能影响对患者造成的风险和获益类型，从而影响支持在人类受试者中使用所需的非临床信息。因此，贵司可能需要定制动物方案，以确定支持未来临床研究所需的数据。在开始动物研究前，我司强烈建议贵司提交上市前申报资料，以获得FDA对贵司动物模型和研究设计的反馈。下文提供了动物研究方案需要考虑的一般因素。</w:t>
      </w:r>
    </w:p>
    <w:p w14:paraId="717BCD22">
      <w:pPr>
        <w:shd w:val="clear" w:color="auto" w:fill="FFFFFF"/>
        <w:snapToGrid w:val="0"/>
        <w:ind w:left="929" w:leftChars="307" w:hanging="315"/>
        <w:jc w:val="both"/>
        <w:rPr>
          <w:rFonts w:eastAsia="宋体"/>
          <w:color w:val="000000"/>
          <w:sz w:val="24"/>
          <w:szCs w:val="24"/>
        </w:rPr>
      </w:pPr>
    </w:p>
    <w:p w14:paraId="3579959A">
      <w:pPr>
        <w:shd w:val="clear" w:color="auto" w:fill="FFFFFF"/>
        <w:snapToGrid w:val="0"/>
        <w:ind w:left="929" w:leftChars="307"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u w:val="single"/>
        </w:rPr>
        <w:t>动物研究目的</w:t>
      </w:r>
      <w:r>
        <w:rPr>
          <w:rFonts w:eastAsia="宋体"/>
          <w:color w:val="000000"/>
          <w:sz w:val="24"/>
          <w:szCs w:val="24"/>
        </w:rPr>
        <w:t xml:space="preserve"> - 进行动物研究的主要目的是提供器械安全性的证据。同时，动物研究也可提供无法从台架试验中充分获得的器械性能</w:t>
      </w:r>
      <w:r>
        <w:rPr>
          <w:rFonts w:hint="eastAsia" w:eastAsia="宋体"/>
          <w:color w:val="000000"/>
          <w:sz w:val="24"/>
          <w:szCs w:val="24"/>
        </w:rPr>
        <w:t>的</w:t>
      </w:r>
      <w:r>
        <w:rPr>
          <w:rFonts w:eastAsia="宋体"/>
          <w:color w:val="000000"/>
          <w:sz w:val="24"/>
          <w:szCs w:val="24"/>
        </w:rPr>
        <w:t>证据，包括随时间推移的</w:t>
      </w:r>
      <w:r>
        <w:rPr>
          <w:rFonts w:eastAsia="宋体"/>
          <w:i/>
          <w:iCs/>
          <w:color w:val="000000"/>
          <w:sz w:val="24"/>
          <w:szCs w:val="24"/>
        </w:rPr>
        <w:t>体内</w:t>
      </w:r>
      <w:r>
        <w:rPr>
          <w:rFonts w:eastAsia="宋体"/>
          <w:color w:val="000000"/>
          <w:sz w:val="24"/>
          <w:szCs w:val="24"/>
        </w:rPr>
        <w:t>可靠性。但是，在动物研究可能不适当情况下，可能需要替代方法，例如认知评估。</w:t>
      </w:r>
    </w:p>
    <w:p w14:paraId="146CFF5A">
      <w:pPr>
        <w:shd w:val="clear" w:color="auto" w:fill="FFFFFF"/>
        <w:snapToGrid w:val="0"/>
        <w:ind w:left="929" w:leftChars="307" w:hanging="315"/>
        <w:jc w:val="both"/>
        <w:rPr>
          <w:rFonts w:eastAsia="宋体"/>
          <w:color w:val="000000"/>
          <w:sz w:val="24"/>
          <w:szCs w:val="24"/>
        </w:rPr>
      </w:pPr>
    </w:p>
    <w:p w14:paraId="348CE155">
      <w:pPr>
        <w:shd w:val="clear" w:color="auto" w:fill="FFFFFF"/>
        <w:snapToGrid w:val="0"/>
        <w:ind w:left="929" w:leftChars="307" w:hanging="315"/>
        <w:jc w:val="both"/>
        <w:rPr>
          <w:rFonts w:eastAsia="宋体"/>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u w:val="single"/>
        </w:rPr>
        <w:t>研究方案和报告结果</w:t>
      </w:r>
      <w:r>
        <w:rPr>
          <w:rFonts w:eastAsia="宋体"/>
          <w:color w:val="000000"/>
          <w:sz w:val="24"/>
          <w:szCs w:val="24"/>
        </w:rPr>
        <w:t xml:space="preserve"> - 设计研究方案时，研究变量的具体确定（如研究动物的数量、研究持续时间、动物模型的类型、对照品的选择）取决于器械的风险和可用于降低预期风险的</w:t>
      </w:r>
      <w:r>
        <w:rPr>
          <w:rFonts w:hint="eastAsia" w:eastAsia="宋体"/>
          <w:color w:val="000000"/>
          <w:sz w:val="24"/>
          <w:szCs w:val="24"/>
        </w:rPr>
        <w:t>现有</w:t>
      </w:r>
      <w:r>
        <w:rPr>
          <w:rFonts w:eastAsia="宋体"/>
          <w:color w:val="000000"/>
          <w:sz w:val="24"/>
          <w:szCs w:val="24"/>
        </w:rPr>
        <w:t>科学信息。器械风险的理解包括器械属性和作用机制、解剖靶标和手术实施。示例包括器械与靶组织接触的方式（例如穿透与非穿透）、器械位置以及对器械造成的相应生物和机械应力、器械作用机制的稳健性（例如，与神经记录相比，神经刺激可能对组织反应更稳健）和预期器械寿命。可使用具有充分依据的现有科学信息降低进行动物研究相关的负担（例如，动物数量较少、动物研究持续时间较短）或证明可能不需要进行额外动物研究的理由。这类科学信息包括在临床研究中使用器械或器械组件、使用器械或器械原型在动物中开展的既往研究、器械性能台架试验和与器械属性具有直接相关性的已发表文献。</w:t>
      </w:r>
    </w:p>
    <w:p w14:paraId="1BAD5837">
      <w:pPr>
        <w:shd w:val="clear" w:color="auto" w:fill="FFFFFF"/>
        <w:snapToGrid w:val="0"/>
        <w:ind w:left="1275" w:leftChars="480" w:hanging="315"/>
        <w:jc w:val="both"/>
        <w:rPr>
          <w:rFonts w:eastAsia="宋体"/>
          <w:color w:val="000000"/>
          <w:sz w:val="24"/>
          <w:szCs w:val="24"/>
        </w:rPr>
      </w:pPr>
    </w:p>
    <w:p w14:paraId="641E03C1">
      <w:pPr>
        <w:shd w:val="clear" w:color="auto" w:fill="FFFFFF"/>
        <w:tabs>
          <w:tab w:val="left" w:pos="211"/>
        </w:tabs>
        <w:snapToGrid w:val="0"/>
        <w:jc w:val="both"/>
        <w:rPr>
          <w:rFonts w:eastAsia="宋体"/>
          <w:color w:val="000000"/>
          <w:sz w:val="24"/>
          <w:szCs w:val="24"/>
          <w:vertAlign w:val="superscript"/>
        </w:rPr>
      </w:pPr>
    </w:p>
    <w:p w14:paraId="6E82F1C8">
      <w:pPr>
        <w:shd w:val="clear" w:color="auto" w:fill="FFFFFF"/>
        <w:tabs>
          <w:tab w:val="left" w:pos="211"/>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0826A5C">
      <w:pPr>
        <w:shd w:val="clear" w:color="auto" w:fill="FFFFFF"/>
        <w:snapToGrid w:val="0"/>
        <w:ind w:left="960" w:leftChars="480"/>
        <w:jc w:val="both"/>
        <w:rPr>
          <w:rFonts w:eastAsia="宋体"/>
          <w:sz w:val="24"/>
          <w:szCs w:val="24"/>
        </w:rPr>
      </w:pPr>
      <w:r>
        <w:rPr>
          <w:rFonts w:eastAsia="宋体"/>
          <w:color w:val="000000"/>
          <w:sz w:val="24"/>
          <w:szCs w:val="24"/>
        </w:rPr>
        <w:t>许多BCI器械包括设计长期用于人类患者的植入式多组件系统。对于上述器械，与部分系统的急性研究或慢性研究相比，涉及最终器械系统慢性体内评价的动物研究可提供更大程度的器械安全性理解。充分评价器械风险和可用科学证据便于确定给定BCI系统的适当方案。</w:t>
      </w:r>
    </w:p>
    <w:p w14:paraId="16372A0F">
      <w:pPr>
        <w:shd w:val="clear" w:color="auto" w:fill="FFFFFF"/>
        <w:snapToGrid w:val="0"/>
        <w:ind w:left="960" w:leftChars="480"/>
        <w:jc w:val="both"/>
        <w:rPr>
          <w:rFonts w:eastAsia="宋体"/>
          <w:color w:val="000000"/>
          <w:sz w:val="24"/>
          <w:szCs w:val="24"/>
        </w:rPr>
      </w:pPr>
    </w:p>
    <w:p w14:paraId="5D5544BC">
      <w:pPr>
        <w:shd w:val="clear" w:color="auto" w:fill="FFFFFF"/>
        <w:snapToGrid w:val="0"/>
        <w:ind w:left="960" w:leftChars="480"/>
        <w:jc w:val="both"/>
        <w:rPr>
          <w:rFonts w:eastAsia="宋体"/>
          <w:color w:val="000000"/>
          <w:sz w:val="24"/>
          <w:szCs w:val="24"/>
        </w:rPr>
      </w:pPr>
      <w:r>
        <w:rPr>
          <w:rFonts w:eastAsia="宋体"/>
          <w:color w:val="000000"/>
          <w:sz w:val="24"/>
          <w:szCs w:val="24"/>
        </w:rPr>
        <w:t>在描述所进行的动物研究的结果时，我们建议贵司讨论研究结果如何支持贵方申报临床研究中器械的初步安全性。</w:t>
      </w:r>
    </w:p>
    <w:p w14:paraId="2B3ABE7C">
      <w:pPr>
        <w:shd w:val="clear" w:color="auto" w:fill="FFFFFF"/>
        <w:snapToGrid w:val="0"/>
        <w:ind w:left="960" w:leftChars="480"/>
        <w:jc w:val="both"/>
        <w:rPr>
          <w:rFonts w:eastAsia="宋体"/>
          <w:sz w:val="24"/>
          <w:szCs w:val="24"/>
        </w:rPr>
      </w:pPr>
    </w:p>
    <w:p w14:paraId="07AA5AE4">
      <w:pPr>
        <w:shd w:val="clear" w:color="auto" w:fill="FFFFFF"/>
        <w:snapToGrid w:val="0"/>
        <w:ind w:left="929" w:leftChars="307" w:hanging="315"/>
        <w:jc w:val="both"/>
        <w:rPr>
          <w:rFonts w:eastAsia="宋体"/>
          <w:color w:val="000000"/>
          <w:sz w:val="24"/>
          <w:szCs w:val="24"/>
        </w:rPr>
      </w:pPr>
      <w:bookmarkStart w:id="57" w:name="bookmark28"/>
      <w:r>
        <w:rPr>
          <w:rFonts w:eastAsia="宋体"/>
          <w:color w:val="000000" w:themeColor="text1"/>
          <w:sz w:val="24"/>
          <w:szCs w:val="24"/>
        </w:rPr>
        <w:t>3</w:t>
      </w:r>
      <w:bookmarkEnd w:id="57"/>
      <w:r>
        <w:rPr>
          <w:rFonts w:eastAsia="宋体"/>
          <w:color w:val="000000" w:themeColor="text1"/>
          <w:sz w:val="24"/>
          <w:szCs w:val="24"/>
        </w:rPr>
        <w:t>.</w:t>
      </w:r>
      <w:r>
        <w:rPr>
          <w:rFonts w:eastAsia="宋体"/>
          <w:color w:val="000000" w:themeColor="text1"/>
          <w:sz w:val="24"/>
          <w:szCs w:val="24"/>
        </w:rPr>
        <w:tab/>
      </w:r>
      <w:r>
        <w:rPr>
          <w:rFonts w:eastAsia="宋体"/>
          <w:color w:val="000000"/>
          <w:sz w:val="24"/>
          <w:szCs w:val="24"/>
        </w:rPr>
        <w:t>非临床研究质量管理规范 - 《美国联邦法规》第21篇第58部分规定的动物护理和研究行为的非临床研究质量管理规范（GLP）确保动物数据的质量和完整性，以支持IDE申请。仅当</w:t>
      </w:r>
      <w:r>
        <w:rPr>
          <w:rFonts w:hint="eastAsia" w:eastAsia="宋体"/>
          <w:color w:val="000000"/>
          <w:sz w:val="24"/>
          <w:szCs w:val="24"/>
        </w:rPr>
        <w:t>识别</w:t>
      </w:r>
      <w:r>
        <w:rPr>
          <w:rFonts w:eastAsia="宋体"/>
          <w:color w:val="000000"/>
          <w:sz w:val="24"/>
          <w:szCs w:val="24"/>
        </w:rPr>
        <w:t>并证明GLP偏离</w:t>
      </w:r>
      <w:r>
        <w:rPr>
          <w:rFonts w:eastAsia="宋体"/>
          <w:color w:val="000000"/>
          <w:sz w:val="24"/>
          <w:szCs w:val="24"/>
          <w:vertAlign w:val="superscript"/>
        </w:rPr>
        <w:footnoteReference w:id="23"/>
      </w:r>
      <w:r>
        <w:rPr>
          <w:rFonts w:eastAsia="宋体"/>
          <w:color w:val="000000"/>
          <w:sz w:val="24"/>
          <w:szCs w:val="24"/>
        </w:rPr>
        <w:t>且不影响研究结果的有效性时，方可使用GLP研究数据支持IDE应用。有关使用非GLP动物研究数据支持IDE研究的更多信息，请见FDA指南《</w:t>
      </w:r>
      <w:r>
        <w:rPr>
          <w:rFonts w:eastAsia="宋体"/>
          <w:color w:val="0000FF"/>
          <w:sz w:val="24"/>
          <w:szCs w:val="24"/>
          <w:u w:val="single"/>
        </w:rPr>
        <w:t>早期可行性医疗器械临床研究临床试验用器械豁免，包括某些首次用于人类（FIH）研究的器械</w:t>
      </w:r>
      <w:r>
        <w:rPr>
          <w:rFonts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24"/>
      </w:r>
      <w:r>
        <w:rPr>
          <w:rFonts w:eastAsia="宋体"/>
          <w:color w:val="000000"/>
          <w:sz w:val="24"/>
          <w:szCs w:val="24"/>
        </w:rPr>
        <w:t>。</w:t>
      </w:r>
    </w:p>
    <w:p w14:paraId="2D6D8704">
      <w:pPr>
        <w:shd w:val="clear" w:color="auto" w:fill="FFFFFF"/>
        <w:snapToGrid w:val="0"/>
        <w:ind w:left="1275" w:leftChars="480" w:hanging="315"/>
        <w:jc w:val="both"/>
        <w:rPr>
          <w:rFonts w:eastAsia="宋体"/>
          <w:sz w:val="24"/>
          <w:szCs w:val="24"/>
        </w:rPr>
      </w:pPr>
    </w:p>
    <w:p w14:paraId="5DE1620B">
      <w:pPr>
        <w:pStyle w:val="4"/>
        <w:spacing w:before="240"/>
      </w:pPr>
      <w:bookmarkStart w:id="58" w:name="_Toc97494960"/>
      <w:r>
        <w:t>(2)</w:t>
      </w:r>
      <w:r>
        <w:tab/>
      </w:r>
      <w:r>
        <w:rPr>
          <w:rFonts w:hint="eastAsia"/>
        </w:rPr>
        <w:t>动物</w:t>
      </w:r>
      <w:r>
        <w:t>研究方案</w:t>
      </w:r>
      <w:bookmarkEnd w:id="58"/>
    </w:p>
    <w:p w14:paraId="2A7B25AD">
      <w:pPr>
        <w:shd w:val="clear" w:color="auto" w:fill="FFFFFF"/>
        <w:snapToGrid w:val="0"/>
        <w:ind w:left="614" w:leftChars="307"/>
        <w:jc w:val="both"/>
        <w:rPr>
          <w:rFonts w:eastAsia="宋体"/>
          <w:color w:val="000000"/>
          <w:sz w:val="24"/>
          <w:szCs w:val="24"/>
        </w:rPr>
      </w:pPr>
      <w:r>
        <w:rPr>
          <w:rFonts w:eastAsia="宋体"/>
          <w:color w:val="000000"/>
          <w:sz w:val="24"/>
          <w:szCs w:val="24"/>
        </w:rPr>
        <w:t>我局建议动物研究评价包括对组织的</w:t>
      </w:r>
      <w:r>
        <w:rPr>
          <w:rFonts w:hint="eastAsia" w:eastAsia="宋体"/>
          <w:color w:val="000000"/>
          <w:sz w:val="24"/>
          <w:szCs w:val="24"/>
        </w:rPr>
        <w:t>宏观</w:t>
      </w:r>
      <w:r>
        <w:rPr>
          <w:rFonts w:eastAsia="宋体"/>
          <w:color w:val="000000"/>
          <w:sz w:val="24"/>
          <w:szCs w:val="24"/>
        </w:rPr>
        <w:t>和</w:t>
      </w:r>
      <w:r>
        <w:rPr>
          <w:rFonts w:hint="eastAsia" w:eastAsia="宋体"/>
          <w:color w:val="000000"/>
          <w:sz w:val="24"/>
          <w:szCs w:val="24"/>
        </w:rPr>
        <w:t>微观</w:t>
      </w:r>
      <w:r>
        <w:rPr>
          <w:rFonts w:eastAsia="宋体"/>
          <w:color w:val="000000"/>
          <w:sz w:val="24"/>
          <w:szCs w:val="24"/>
        </w:rPr>
        <w:t>影响以及取出器械组件评价。动物研究试验方案应包括，但不限于，以下项目：</w:t>
      </w:r>
    </w:p>
    <w:p w14:paraId="516123FB">
      <w:pPr>
        <w:shd w:val="clear" w:color="auto" w:fill="FFFFFF"/>
        <w:snapToGrid w:val="0"/>
        <w:ind w:left="614" w:leftChars="307"/>
        <w:jc w:val="both"/>
        <w:rPr>
          <w:rFonts w:eastAsia="宋体"/>
          <w:sz w:val="24"/>
          <w:szCs w:val="24"/>
        </w:rPr>
      </w:pPr>
    </w:p>
    <w:p w14:paraId="16AE2EA0">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研究目标；</w:t>
      </w:r>
    </w:p>
    <w:p w14:paraId="333F6CD1">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研究设计，包括物种、菌株（如果适用于拟定的动物模型）和使用的动物数量、研究持续时间以及设计的基本原理；</w:t>
      </w:r>
    </w:p>
    <w:p w14:paraId="233E6CB6">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待测试器械的详细信息，以及研究器械与拟用于临床的器械之间任何差异的基本原理；记录和/或刺激位置；刺激强度，包括刺激类型（电压或电流）、振幅、脉冲模式（单相、两相）、持续时间、频率、电荷密度、每相电荷、电极表面积和材料（如适用）；</w:t>
      </w:r>
    </w:p>
    <w:p w14:paraId="2CDD5357">
      <w:pPr>
        <w:shd w:val="clear" w:color="auto" w:fill="FFFFFF"/>
        <w:snapToGrid w:val="0"/>
        <w:ind w:left="1275" w:leftChars="480" w:hanging="315"/>
        <w:jc w:val="both"/>
        <w:rPr>
          <w:rFonts w:eastAsia="宋体"/>
          <w:color w:val="000000"/>
          <w:sz w:val="24"/>
          <w:szCs w:val="24"/>
        </w:rPr>
      </w:pPr>
    </w:p>
    <w:p w14:paraId="41D3068C">
      <w:pPr>
        <w:shd w:val="clear" w:color="auto" w:fill="FFFFFF"/>
        <w:tabs>
          <w:tab w:val="left" w:pos="226"/>
        </w:tabs>
        <w:snapToGrid w:val="0"/>
        <w:jc w:val="both"/>
        <w:rPr>
          <w:rFonts w:eastAsia="宋体"/>
          <w:color w:val="000000"/>
          <w:sz w:val="21"/>
          <w:szCs w:val="21"/>
          <w:vertAlign w:val="superscript"/>
        </w:rPr>
      </w:pPr>
    </w:p>
    <w:p w14:paraId="57AF0FCF">
      <w:pPr>
        <w:shd w:val="clear" w:color="auto" w:fill="FFFFFF"/>
        <w:tabs>
          <w:tab w:val="left" w:pos="226"/>
        </w:tabs>
        <w:snapToGrid w:val="0"/>
        <w:jc w:val="both"/>
        <w:rPr>
          <w:rFonts w:eastAsia="宋体"/>
          <w:sz w:val="21"/>
          <w:szCs w:val="21"/>
        </w:rPr>
      </w:pPr>
    </w:p>
    <w:p w14:paraId="71FE6810">
      <w:pPr>
        <w:shd w:val="clear" w:color="auto" w:fill="FFFFFF"/>
        <w:tabs>
          <w:tab w:val="left" w:pos="226"/>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7EB3548">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刺激诱发反应试验（如适用）；</w:t>
      </w:r>
    </w:p>
    <w:p w14:paraId="2567F495">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记录急性和慢性时间点的信号质量（如适用）；和</w:t>
      </w:r>
    </w:p>
    <w:p w14:paraId="201EC169">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周围组织的组织病理学。</w:t>
      </w:r>
    </w:p>
    <w:p w14:paraId="56EEA558">
      <w:pPr>
        <w:shd w:val="clear" w:color="auto" w:fill="FFFFFF"/>
        <w:snapToGrid w:val="0"/>
        <w:ind w:left="614" w:leftChars="307"/>
        <w:jc w:val="both"/>
        <w:rPr>
          <w:rFonts w:eastAsia="宋体"/>
          <w:color w:val="000000"/>
          <w:sz w:val="24"/>
          <w:szCs w:val="24"/>
        </w:rPr>
      </w:pPr>
    </w:p>
    <w:p w14:paraId="1C4A16C2">
      <w:pPr>
        <w:shd w:val="clear" w:color="auto" w:fill="FFFFFF"/>
        <w:snapToGrid w:val="0"/>
        <w:ind w:left="614" w:leftChars="307"/>
        <w:jc w:val="both"/>
        <w:rPr>
          <w:rFonts w:eastAsia="宋体"/>
          <w:color w:val="000000"/>
          <w:sz w:val="24"/>
          <w:szCs w:val="24"/>
        </w:rPr>
      </w:pPr>
      <w:r>
        <w:rPr>
          <w:rFonts w:eastAsia="宋体"/>
          <w:color w:val="000000"/>
          <w:sz w:val="24"/>
          <w:szCs w:val="24"/>
        </w:rPr>
        <w:t>评价BCI器械的动物研究设计的部分建议包括：</w:t>
      </w:r>
    </w:p>
    <w:p w14:paraId="6157D8A1">
      <w:pPr>
        <w:shd w:val="clear" w:color="auto" w:fill="FFFFFF"/>
        <w:snapToGrid w:val="0"/>
        <w:ind w:left="614" w:leftChars="307"/>
        <w:jc w:val="both"/>
        <w:rPr>
          <w:rFonts w:eastAsia="宋体"/>
          <w:sz w:val="24"/>
          <w:szCs w:val="24"/>
        </w:rPr>
      </w:pPr>
    </w:p>
    <w:p w14:paraId="021E959F">
      <w:pPr>
        <w:shd w:val="clear" w:color="auto" w:fill="FFFFFF"/>
        <w:snapToGrid w:val="0"/>
        <w:ind w:left="1275" w:leftChars="480"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u w:val="single"/>
        </w:rPr>
        <w:t>动物模型选择</w:t>
      </w:r>
      <w:r>
        <w:rPr>
          <w:rFonts w:eastAsia="宋体"/>
          <w:color w:val="000000"/>
          <w:sz w:val="24"/>
          <w:szCs w:val="24"/>
        </w:rPr>
        <w:t>：动物模型选择取决于BCI器械且可能因器械类型、适应证和植入部位而异。我局认为，动物及其相关环境和生理属性应提供</w:t>
      </w:r>
      <w:r>
        <w:rPr>
          <w:rFonts w:hint="eastAsia" w:eastAsia="宋体"/>
          <w:color w:val="000000"/>
          <w:sz w:val="24"/>
          <w:szCs w:val="24"/>
        </w:rPr>
        <w:t>尽可能</w:t>
      </w:r>
      <w:r>
        <w:rPr>
          <w:rFonts w:eastAsia="宋体"/>
          <w:color w:val="000000"/>
          <w:sz w:val="24"/>
          <w:szCs w:val="24"/>
        </w:rPr>
        <w:t>模拟临床环境的试验系统。尽管如果提供适当的科学依据，某些情况下可接受使用缩放器械，但仍可能首选可适应人体体格器械的动物模型。</w:t>
      </w:r>
    </w:p>
    <w:p w14:paraId="6A5EB546">
      <w:pPr>
        <w:shd w:val="clear" w:color="auto" w:fill="FFFFFF"/>
        <w:snapToGrid w:val="0"/>
        <w:ind w:left="1275" w:leftChars="480" w:hanging="315"/>
        <w:jc w:val="both"/>
        <w:rPr>
          <w:rFonts w:eastAsia="宋体"/>
          <w:color w:val="000000"/>
          <w:sz w:val="24"/>
          <w:szCs w:val="24"/>
        </w:rPr>
      </w:pPr>
    </w:p>
    <w:p w14:paraId="4E5D2755">
      <w:pPr>
        <w:shd w:val="clear" w:color="auto" w:fill="FFFFFF"/>
        <w:snapToGrid w:val="0"/>
        <w:ind w:left="1275" w:leftChars="480"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u w:val="single"/>
        </w:rPr>
        <w:t>动物数量</w:t>
      </w:r>
      <w:r>
        <w:rPr>
          <w:rFonts w:eastAsia="宋体"/>
          <w:color w:val="000000"/>
          <w:sz w:val="24"/>
          <w:szCs w:val="24"/>
        </w:rPr>
        <w:t>：我局建议纳入足够数量的动物，并提供依据。</w:t>
      </w:r>
    </w:p>
    <w:p w14:paraId="66BABDBF">
      <w:pPr>
        <w:shd w:val="clear" w:color="auto" w:fill="FFFFFF"/>
        <w:snapToGrid w:val="0"/>
        <w:ind w:left="1275" w:leftChars="480" w:hanging="315"/>
        <w:jc w:val="both"/>
        <w:rPr>
          <w:rFonts w:eastAsia="宋体"/>
          <w:color w:val="000000"/>
          <w:sz w:val="24"/>
          <w:szCs w:val="24"/>
        </w:rPr>
      </w:pPr>
    </w:p>
    <w:p w14:paraId="250E285F">
      <w:pPr>
        <w:shd w:val="clear" w:color="auto" w:fill="FFFFFF"/>
        <w:snapToGrid w:val="0"/>
        <w:ind w:left="1275" w:leftChars="480" w:hanging="315"/>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u w:val="single"/>
        </w:rPr>
        <w:t>对照</w:t>
      </w:r>
      <w:r>
        <w:rPr>
          <w:rFonts w:eastAsia="宋体"/>
          <w:color w:val="000000"/>
          <w:sz w:val="24"/>
          <w:szCs w:val="24"/>
        </w:rPr>
        <w:t>：研究方案中应确定适当的对照。在某些研究中，</w:t>
      </w:r>
      <w:r>
        <w:rPr>
          <w:rFonts w:hint="eastAsia" w:eastAsia="宋体"/>
          <w:color w:val="000000"/>
          <w:sz w:val="24"/>
          <w:szCs w:val="24"/>
        </w:rPr>
        <w:t>没有被</w:t>
      </w:r>
      <w:r>
        <w:rPr>
          <w:rFonts w:eastAsia="宋体"/>
          <w:color w:val="000000"/>
          <w:sz w:val="24"/>
          <w:szCs w:val="24"/>
        </w:rPr>
        <w:t>植入</w:t>
      </w:r>
      <w:r>
        <w:rPr>
          <w:rFonts w:hint="eastAsia" w:eastAsia="宋体"/>
          <w:color w:val="000000"/>
          <w:sz w:val="24"/>
          <w:szCs w:val="24"/>
        </w:rPr>
        <w:t>的</w:t>
      </w:r>
      <w:r>
        <w:rPr>
          <w:rFonts w:eastAsia="宋体"/>
          <w:color w:val="000000"/>
          <w:sz w:val="24"/>
          <w:szCs w:val="24"/>
        </w:rPr>
        <w:t>对侧组织是适当的对照。仅用于评价刺激安全性，可使用植入</w:t>
      </w:r>
      <w:r>
        <w:rPr>
          <w:rFonts w:hint="eastAsia" w:eastAsia="宋体"/>
          <w:color w:val="000000"/>
          <w:sz w:val="24"/>
          <w:szCs w:val="24"/>
        </w:rPr>
        <w:t>但没有被</w:t>
      </w:r>
      <w:r>
        <w:rPr>
          <w:rFonts w:eastAsia="宋体"/>
          <w:color w:val="000000"/>
          <w:sz w:val="24"/>
          <w:szCs w:val="24"/>
        </w:rPr>
        <w:t>刺激</w:t>
      </w:r>
      <w:r>
        <w:rPr>
          <w:rFonts w:hint="eastAsia" w:eastAsia="宋体"/>
          <w:color w:val="000000"/>
          <w:sz w:val="24"/>
          <w:szCs w:val="24"/>
        </w:rPr>
        <w:t>的</w:t>
      </w:r>
      <w:r>
        <w:rPr>
          <w:rFonts w:eastAsia="宋体"/>
          <w:color w:val="000000"/>
          <w:sz w:val="24"/>
          <w:szCs w:val="24"/>
        </w:rPr>
        <w:t>对侧组织。</w:t>
      </w:r>
    </w:p>
    <w:p w14:paraId="2B2F9224">
      <w:pPr>
        <w:shd w:val="clear" w:color="auto" w:fill="FFFFFF"/>
        <w:snapToGrid w:val="0"/>
        <w:ind w:left="1275" w:leftChars="480" w:hanging="315"/>
        <w:jc w:val="both"/>
        <w:rPr>
          <w:rFonts w:eastAsia="宋体"/>
          <w:color w:val="000000"/>
          <w:sz w:val="24"/>
          <w:szCs w:val="24"/>
        </w:rPr>
      </w:pPr>
    </w:p>
    <w:p w14:paraId="5B062972">
      <w:pPr>
        <w:shd w:val="clear" w:color="auto" w:fill="FFFFFF"/>
        <w:snapToGrid w:val="0"/>
        <w:ind w:left="1275" w:leftChars="480" w:hanging="315"/>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u w:val="single"/>
        </w:rPr>
        <w:t>研究持续时间</w:t>
      </w:r>
      <w:r>
        <w:rPr>
          <w:rFonts w:eastAsia="宋体"/>
          <w:color w:val="000000"/>
          <w:sz w:val="24"/>
          <w:szCs w:val="24"/>
        </w:rPr>
        <w:t>：研究持续时间取决于预期器械风险的情况。我局建议贵司提供动物研究时长的依据。</w:t>
      </w:r>
    </w:p>
    <w:p w14:paraId="1670E75D">
      <w:pPr>
        <w:shd w:val="clear" w:color="auto" w:fill="FFFFFF"/>
        <w:snapToGrid w:val="0"/>
        <w:ind w:left="1275" w:leftChars="480" w:hanging="315"/>
        <w:jc w:val="both"/>
        <w:rPr>
          <w:rFonts w:eastAsia="宋体"/>
          <w:color w:val="000000"/>
          <w:sz w:val="24"/>
          <w:szCs w:val="24"/>
        </w:rPr>
      </w:pPr>
    </w:p>
    <w:p w14:paraId="04689250">
      <w:pPr>
        <w:shd w:val="clear" w:color="auto" w:fill="FFFFFF"/>
        <w:snapToGrid w:val="0"/>
        <w:ind w:left="1275" w:leftChars="480" w:hanging="315"/>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u w:val="single"/>
        </w:rPr>
        <w:t>安全性测试</w:t>
      </w:r>
      <w:r>
        <w:rPr>
          <w:rFonts w:eastAsia="宋体"/>
          <w:color w:val="000000"/>
          <w:sz w:val="24"/>
          <w:szCs w:val="24"/>
        </w:rPr>
        <w:t>：我局建议对植入组织进行组织病理学或组织形态学评价，包括结构分析和神经组织相关损伤标志物评价。这些标记物可能包括中枢神经系统组织中的坏死神经元、神经突、星形胶质细胞和小胶质细胞/巨噬细胞，或外周神经系统中的轴突、雪旺细胞和髓鞘分析。我局建议贵司证明使用特定组织学标志物的合理性，并提供组织学方案足以捕获主要不良反应的证据。应由对研究组设盲的独立兽医病理学医师对组织病理学结果进行定量（例如坏死组织的体积）。为更好地预测临床不良反应，建议进行行为和功能测定。</w:t>
      </w:r>
    </w:p>
    <w:p w14:paraId="3AC1AB07">
      <w:pPr>
        <w:shd w:val="clear" w:color="auto" w:fill="FFFFFF"/>
        <w:snapToGrid w:val="0"/>
        <w:ind w:left="1276" w:leftChars="638"/>
        <w:jc w:val="both"/>
        <w:rPr>
          <w:rFonts w:eastAsia="宋体"/>
          <w:color w:val="000000"/>
          <w:sz w:val="24"/>
          <w:szCs w:val="24"/>
        </w:rPr>
      </w:pPr>
    </w:p>
    <w:p w14:paraId="32CB0C94">
      <w:pPr>
        <w:shd w:val="clear" w:color="auto" w:fill="FFFFFF"/>
        <w:snapToGrid w:val="0"/>
        <w:ind w:left="1276" w:leftChars="638"/>
        <w:jc w:val="both"/>
        <w:rPr>
          <w:rFonts w:eastAsia="宋体"/>
          <w:sz w:val="24"/>
          <w:szCs w:val="24"/>
        </w:rPr>
      </w:pPr>
      <w:r>
        <w:rPr>
          <w:rFonts w:eastAsia="宋体"/>
          <w:color w:val="000000"/>
          <w:sz w:val="24"/>
          <w:szCs w:val="24"/>
        </w:rPr>
        <w:t>对于涉及刺激组件的器械，我局也建议贵司提供实验确定刺激的安全性。确切的刺激方案因器械的应用而异。如果器械设计用于连续激活，建议进行短期和长期试验。如果器械为间歇性有源器械，则应进行长期试验。急性和长期刺激试验建议，见下文。</w:t>
      </w:r>
    </w:p>
    <w:p w14:paraId="32AE45DC">
      <w:pPr>
        <w:shd w:val="clear" w:color="auto" w:fill="FFFFFF"/>
        <w:snapToGrid w:val="0"/>
        <w:jc w:val="both"/>
        <w:rPr>
          <w:rFonts w:eastAsia="宋体"/>
          <w:sz w:val="24"/>
          <w:szCs w:val="24"/>
        </w:rPr>
      </w:pPr>
    </w:p>
    <w:p w14:paraId="62BAD652">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4BCF9FB">
      <w:pPr>
        <w:shd w:val="clear" w:color="auto" w:fill="FFFFFF"/>
        <w:snapToGrid w:val="0"/>
        <w:ind w:left="1275" w:leftChars="480" w:hanging="315"/>
        <w:jc w:val="both"/>
        <w:rPr>
          <w:rFonts w:eastAsia="宋体"/>
          <w:color w:val="000000"/>
          <w:sz w:val="24"/>
          <w:szCs w:val="24"/>
        </w:rPr>
      </w:pPr>
      <w:r>
        <w:rPr>
          <w:rFonts w:eastAsia="宋体"/>
          <w:color w:val="000000"/>
          <w:sz w:val="24"/>
          <w:szCs w:val="24"/>
        </w:rPr>
        <w:t>6.</w:t>
      </w:r>
      <w:r>
        <w:rPr>
          <w:rFonts w:eastAsia="宋体"/>
          <w:color w:val="000000"/>
          <w:sz w:val="24"/>
          <w:szCs w:val="24"/>
        </w:rPr>
        <w:tab/>
      </w:r>
      <w:r>
        <w:rPr>
          <w:rFonts w:eastAsia="宋体"/>
          <w:color w:val="000000"/>
          <w:sz w:val="24"/>
          <w:szCs w:val="24"/>
          <w:u w:val="single"/>
        </w:rPr>
        <w:t>可靠性测试</w:t>
      </w:r>
      <w:r>
        <w:rPr>
          <w:rFonts w:eastAsia="宋体"/>
          <w:color w:val="000000"/>
          <w:sz w:val="24"/>
          <w:szCs w:val="24"/>
        </w:rPr>
        <w:t>：对于设计用于长期植入的器械，应在生物环境中建立器械的长期性能，除非已经收集了器械体内性能的科学证据（例如使用相同或相似电极配置的既往动物研究和/或已发表文献）。对于涉及记录组件的器械，应在器械植入寿命期间进行定期记录，并使用定量指标进行评价，如信噪比和尖峰波振幅。可采集电极的</w:t>
      </w:r>
      <w:r>
        <w:rPr>
          <w:rFonts w:eastAsia="宋体"/>
          <w:i/>
          <w:iCs/>
          <w:color w:val="000000"/>
          <w:sz w:val="24"/>
          <w:szCs w:val="24"/>
        </w:rPr>
        <w:t>体内</w:t>
      </w:r>
      <w:r>
        <w:rPr>
          <w:rFonts w:eastAsia="宋体"/>
          <w:color w:val="000000"/>
          <w:sz w:val="24"/>
          <w:szCs w:val="24"/>
        </w:rPr>
        <w:t>阻抗，以证明器械的功能。对于涉及刺激组件的器械，应进行阻抗测量以表征器械的功能，但应注意确保测量方案不会影响对照动物数据的解释。应使用取出器械的</w:t>
      </w:r>
      <w:r>
        <w:rPr>
          <w:rFonts w:hint="eastAsia" w:eastAsia="宋体"/>
          <w:color w:val="000000"/>
          <w:sz w:val="24"/>
          <w:szCs w:val="24"/>
        </w:rPr>
        <w:t>微观</w:t>
      </w:r>
      <w:r>
        <w:rPr>
          <w:rFonts w:eastAsia="宋体"/>
          <w:color w:val="000000"/>
          <w:sz w:val="24"/>
          <w:szCs w:val="24"/>
        </w:rPr>
        <w:t>评价来识别器械组件的物理损坏或其他失效模式（即电极导线或绝缘体、电极导线和连接器）。</w:t>
      </w:r>
    </w:p>
    <w:p w14:paraId="50CEE521">
      <w:pPr>
        <w:shd w:val="clear" w:color="auto" w:fill="FFFFFF"/>
        <w:snapToGrid w:val="0"/>
        <w:ind w:left="1275" w:leftChars="480" w:hanging="315"/>
        <w:jc w:val="both"/>
        <w:rPr>
          <w:rFonts w:eastAsia="宋体"/>
          <w:color w:val="000000"/>
          <w:sz w:val="24"/>
          <w:szCs w:val="24"/>
        </w:rPr>
      </w:pPr>
    </w:p>
    <w:p w14:paraId="2C38FFC0">
      <w:pPr>
        <w:shd w:val="clear" w:color="auto" w:fill="FFFFFF"/>
        <w:snapToGrid w:val="0"/>
        <w:ind w:left="1275" w:leftChars="480" w:hanging="315"/>
        <w:jc w:val="both"/>
        <w:rPr>
          <w:rFonts w:eastAsia="宋体"/>
          <w:color w:val="000000"/>
          <w:sz w:val="24"/>
          <w:szCs w:val="24"/>
        </w:rPr>
      </w:pPr>
      <w:r>
        <w:rPr>
          <w:rFonts w:eastAsia="宋体"/>
          <w:color w:val="000000"/>
          <w:sz w:val="24"/>
          <w:szCs w:val="24"/>
        </w:rPr>
        <w:t>7.</w:t>
      </w:r>
      <w:r>
        <w:rPr>
          <w:rFonts w:eastAsia="宋体"/>
          <w:color w:val="000000"/>
          <w:sz w:val="24"/>
          <w:szCs w:val="24"/>
        </w:rPr>
        <w:tab/>
      </w:r>
      <w:r>
        <w:rPr>
          <w:rFonts w:eastAsia="宋体"/>
          <w:color w:val="000000"/>
          <w:sz w:val="24"/>
          <w:szCs w:val="24"/>
          <w:u w:val="single"/>
        </w:rPr>
        <w:t>急性刺激试验</w:t>
      </w:r>
      <w:r>
        <w:rPr>
          <w:rFonts w:eastAsia="宋体"/>
          <w:color w:val="000000"/>
          <w:sz w:val="24"/>
          <w:szCs w:val="24"/>
        </w:rPr>
        <w:t>：为测试刺激安全性，应在最大极限条件下应用电极刺激长达24小时。刺激方案过程中可对动物进行镇静。试验后，应对组织反应进行组织学评价。</w:t>
      </w:r>
    </w:p>
    <w:p w14:paraId="21B83DA5">
      <w:pPr>
        <w:shd w:val="clear" w:color="auto" w:fill="FFFFFF"/>
        <w:snapToGrid w:val="0"/>
        <w:ind w:left="1275" w:leftChars="480" w:hanging="315"/>
        <w:jc w:val="both"/>
        <w:rPr>
          <w:rFonts w:eastAsia="宋体"/>
          <w:color w:val="000000"/>
          <w:sz w:val="24"/>
          <w:szCs w:val="24"/>
        </w:rPr>
      </w:pPr>
    </w:p>
    <w:p w14:paraId="3421B510">
      <w:pPr>
        <w:shd w:val="clear" w:color="auto" w:fill="FFFFFF"/>
        <w:snapToGrid w:val="0"/>
        <w:ind w:left="1275" w:leftChars="480" w:hanging="315"/>
        <w:jc w:val="both"/>
        <w:rPr>
          <w:rFonts w:eastAsia="宋体"/>
          <w:color w:val="000000"/>
          <w:sz w:val="24"/>
          <w:szCs w:val="24"/>
        </w:rPr>
      </w:pPr>
      <w:r>
        <w:rPr>
          <w:rFonts w:eastAsia="宋体"/>
          <w:color w:val="000000"/>
          <w:sz w:val="24"/>
          <w:szCs w:val="24"/>
        </w:rPr>
        <w:t>8.</w:t>
      </w:r>
      <w:r>
        <w:rPr>
          <w:rFonts w:eastAsia="宋体"/>
          <w:color w:val="000000"/>
          <w:sz w:val="24"/>
          <w:szCs w:val="24"/>
        </w:rPr>
        <w:tab/>
      </w:r>
      <w:r>
        <w:rPr>
          <w:rFonts w:eastAsia="宋体"/>
          <w:color w:val="000000"/>
          <w:sz w:val="24"/>
          <w:szCs w:val="24"/>
          <w:u w:val="single"/>
        </w:rPr>
        <w:t>长期刺激试验</w:t>
      </w:r>
      <w:r>
        <w:rPr>
          <w:rFonts w:eastAsia="宋体"/>
          <w:color w:val="000000"/>
          <w:sz w:val="24"/>
          <w:szCs w:val="24"/>
        </w:rPr>
        <w:t>：应在反映临床方案的时间内应用最大限度的周期性刺激或动物福利可接受的最高刺激强度，并说明理由。取出后，应检查植入物周围的组织，以确定任何组织学或病理学反应。此外，我局还建议贵司在足以检测腐蚀或绝缘退化等任何失效机制的放大倍率下对取出的器械进行评价。应包括动物研究和临床IDE研究刺激参数的详细比较。如果动物研究中输送的刺激电荷低于人体研究的最大建议限值，我局建议提供科学依据来讨论为何能准确代表对患者造成的安全性风险。</w:t>
      </w:r>
    </w:p>
    <w:p w14:paraId="0C2C03A7">
      <w:pPr>
        <w:shd w:val="clear" w:color="auto" w:fill="FFFFFF"/>
        <w:snapToGrid w:val="0"/>
        <w:ind w:left="1275" w:leftChars="480" w:hanging="315"/>
        <w:jc w:val="both"/>
        <w:rPr>
          <w:rFonts w:eastAsia="宋体"/>
          <w:color w:val="000000"/>
          <w:sz w:val="24"/>
          <w:szCs w:val="24"/>
        </w:rPr>
      </w:pPr>
    </w:p>
    <w:p w14:paraId="0F94D32C">
      <w:pPr>
        <w:shd w:val="clear" w:color="auto" w:fill="FFFFFF"/>
        <w:snapToGrid w:val="0"/>
        <w:ind w:left="1275" w:leftChars="480" w:hanging="315"/>
        <w:jc w:val="both"/>
        <w:rPr>
          <w:rFonts w:eastAsia="宋体"/>
          <w:color w:val="000000"/>
          <w:sz w:val="24"/>
          <w:szCs w:val="24"/>
        </w:rPr>
      </w:pPr>
      <w:r>
        <w:rPr>
          <w:rFonts w:eastAsia="宋体"/>
          <w:color w:val="000000"/>
          <w:sz w:val="24"/>
          <w:szCs w:val="24"/>
        </w:rPr>
        <w:t>9.</w:t>
      </w:r>
      <w:r>
        <w:rPr>
          <w:rFonts w:eastAsia="宋体"/>
          <w:color w:val="000000"/>
          <w:sz w:val="24"/>
          <w:szCs w:val="24"/>
        </w:rPr>
        <w:tab/>
      </w:r>
      <w:r>
        <w:rPr>
          <w:rFonts w:eastAsia="宋体"/>
          <w:color w:val="000000"/>
          <w:sz w:val="24"/>
          <w:szCs w:val="24"/>
          <w:u w:val="single"/>
        </w:rPr>
        <w:t>手术方法</w:t>
      </w:r>
      <w:r>
        <w:rPr>
          <w:rFonts w:eastAsia="宋体"/>
          <w:color w:val="000000"/>
          <w:sz w:val="24"/>
          <w:szCs w:val="24"/>
        </w:rPr>
        <w:t xml:space="preserve"> - 应提供植入方法的详细描述及其对人体植入的可译性。本章节应包括解剖器械靶标的基本原理，以及与预期人体植入部位存在任何差异的合理性说明。如可能，设计用于人体植入的手术工具应用于动物手术。如果临床计划涉及器械取出，则在动物研究的手术方法中纳入外科器械取出策略。</w:t>
      </w:r>
    </w:p>
    <w:p w14:paraId="5B75E69F">
      <w:pPr>
        <w:pStyle w:val="3"/>
        <w:spacing w:before="240" w:after="240"/>
      </w:pPr>
      <w:bookmarkStart w:id="59" w:name="bookmark29"/>
      <w:bookmarkStart w:id="60" w:name="_Toc97494961"/>
      <w:r>
        <w:t>O</w:t>
      </w:r>
      <w:bookmarkEnd w:id="59"/>
      <w:r>
        <w:t>.</w:t>
      </w:r>
      <w:r>
        <w:tab/>
      </w:r>
      <w:r>
        <w:t>临床性能试验</w:t>
      </w:r>
      <w:bookmarkEnd w:id="60"/>
    </w:p>
    <w:p w14:paraId="551D3EF9">
      <w:pPr>
        <w:pStyle w:val="4"/>
        <w:spacing w:before="240"/>
      </w:pPr>
      <w:bookmarkStart w:id="61" w:name="_Toc97494962"/>
      <w:r>
        <w:t>(1)</w:t>
      </w:r>
      <w:r>
        <w:tab/>
      </w:r>
      <w:r>
        <w:t>既往研究报告</w:t>
      </w:r>
      <w:bookmarkEnd w:id="61"/>
    </w:p>
    <w:p w14:paraId="5E05AECC">
      <w:pPr>
        <w:shd w:val="clear" w:color="auto" w:fill="FFFFFF"/>
        <w:autoSpaceDE/>
        <w:autoSpaceDN/>
        <w:snapToGrid w:val="0"/>
        <w:ind w:left="314" w:leftChars="157"/>
        <w:jc w:val="both"/>
        <w:rPr>
          <w:rFonts w:eastAsia="宋体"/>
          <w:sz w:val="24"/>
          <w:szCs w:val="24"/>
        </w:rPr>
      </w:pPr>
      <w:bookmarkStart w:id="62" w:name="bookmark30"/>
      <w:bookmarkEnd w:id="62"/>
      <w:r>
        <w:rPr>
          <w:rFonts w:eastAsia="宋体"/>
          <w:color w:val="000000"/>
          <w:sz w:val="24"/>
          <w:szCs w:val="24"/>
        </w:rPr>
        <w:t>对于临床试验用器械豁免（IDE），</w:t>
      </w:r>
      <w:r>
        <w:rPr>
          <w:rFonts w:hint="eastAsia" w:eastAsia="宋体"/>
          <w:color w:val="000000"/>
          <w:sz w:val="24"/>
          <w:szCs w:val="24"/>
        </w:rPr>
        <w:t>必须</w:t>
      </w:r>
      <w:r>
        <w:rPr>
          <w:rFonts w:eastAsia="宋体"/>
          <w:color w:val="000000"/>
          <w:sz w:val="24"/>
          <w:szCs w:val="24"/>
        </w:rPr>
        <w:t>在</w:t>
      </w:r>
      <w:r>
        <w:rPr>
          <w:rFonts w:hint="eastAsia" w:eastAsia="宋体"/>
          <w:color w:val="000000"/>
          <w:sz w:val="24"/>
          <w:szCs w:val="24"/>
        </w:rPr>
        <w:t>先前调查报告中</w:t>
      </w:r>
      <w:r>
        <w:rPr>
          <w:rFonts w:eastAsia="宋体"/>
          <w:color w:val="0000FF"/>
          <w:sz w:val="24"/>
          <w:szCs w:val="24"/>
        </w:rPr>
        <w:t>提供用于拟定预期用途的器械的任何先前临床研究总结</w:t>
      </w:r>
      <w:r>
        <w:rPr>
          <w:rFonts w:eastAsia="宋体"/>
          <w:color w:val="000000" w:themeColor="text1"/>
          <w:sz w:val="24"/>
          <w:szCs w:val="24"/>
          <w:u w:val="single"/>
          <w:vertAlign w:val="superscript"/>
        </w:rPr>
        <w:footnoteReference w:id="25"/>
      </w:r>
      <w:r>
        <w:rPr>
          <w:rFonts w:eastAsia="宋体"/>
          <w:color w:val="000000" w:themeColor="text1"/>
          <w:sz w:val="24"/>
          <w:szCs w:val="24"/>
        </w:rPr>
        <w:t xml:space="preserve"> </w:t>
      </w:r>
      <w:r>
        <w:rPr>
          <w:rFonts w:eastAsia="宋体"/>
          <w:color w:val="000000"/>
          <w:sz w:val="24"/>
          <w:szCs w:val="24"/>
        </w:rPr>
        <w:t>对于早期可行性研究，尽管申报器械可能无法获得其拟定预期用途的临床数据，但也应提供任何相关的临床背景信息。相关信息包括以下项目的数据或出版物：</w:t>
      </w:r>
    </w:p>
    <w:p w14:paraId="1B0FA7DF">
      <w:pPr>
        <w:shd w:val="clear" w:color="auto" w:fill="FFFFFF"/>
        <w:snapToGrid w:val="0"/>
        <w:jc w:val="both"/>
        <w:rPr>
          <w:rFonts w:eastAsia="宋体"/>
          <w:sz w:val="24"/>
          <w:szCs w:val="24"/>
        </w:rPr>
      </w:pPr>
    </w:p>
    <w:p w14:paraId="42A7CEBC">
      <w:pPr>
        <w:shd w:val="clear" w:color="auto" w:fill="FFFFFF"/>
        <w:snapToGrid w:val="0"/>
        <w:jc w:val="both"/>
        <w:rPr>
          <w:rFonts w:eastAsia="宋体"/>
          <w:sz w:val="24"/>
          <w:szCs w:val="24"/>
        </w:rPr>
      </w:pPr>
    </w:p>
    <w:p w14:paraId="3AB2C908">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7D6FD5D">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拟定预期用途使用的同品种或相关器械；或</w:t>
      </w:r>
    </w:p>
    <w:p w14:paraId="0DC2C13D">
      <w:pPr>
        <w:shd w:val="clear" w:color="auto" w:fill="FFFFFF"/>
        <w:snapToGrid w:val="0"/>
        <w:ind w:left="929" w:leftChars="307" w:hanging="315"/>
        <w:jc w:val="both"/>
        <w:rPr>
          <w:rFonts w:eastAsia="宋体"/>
          <w:color w:val="000000"/>
          <w:sz w:val="24"/>
          <w:szCs w:val="24"/>
        </w:rPr>
      </w:pPr>
    </w:p>
    <w:p w14:paraId="037BFCBB">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用于不同用途的申报器械或同品种器械。</w:t>
      </w:r>
    </w:p>
    <w:p w14:paraId="469B54EB">
      <w:pPr>
        <w:shd w:val="clear" w:color="auto" w:fill="FFFFFF"/>
        <w:snapToGrid w:val="0"/>
        <w:jc w:val="both"/>
        <w:rPr>
          <w:rFonts w:eastAsia="宋体"/>
          <w:color w:val="000000"/>
          <w:sz w:val="24"/>
          <w:szCs w:val="24"/>
        </w:rPr>
      </w:pPr>
    </w:p>
    <w:p w14:paraId="5015A40C">
      <w:pPr>
        <w:shd w:val="clear" w:color="auto" w:fill="FFFFFF"/>
        <w:autoSpaceDE/>
        <w:autoSpaceDN/>
        <w:snapToGrid w:val="0"/>
        <w:ind w:left="314" w:leftChars="157"/>
        <w:jc w:val="both"/>
        <w:rPr>
          <w:rFonts w:eastAsia="宋体"/>
          <w:sz w:val="24"/>
          <w:szCs w:val="24"/>
        </w:rPr>
      </w:pPr>
      <w:r>
        <w:rPr>
          <w:rFonts w:eastAsia="宋体"/>
          <w:color w:val="000000"/>
          <w:sz w:val="24"/>
          <w:szCs w:val="24"/>
        </w:rPr>
        <w:t>该信息可能来自美国境外（OUS）的临床应用，可用于支持原理证明和/或解决IDE研究中可能观察到的潜在失效模式的可能性。如果具有此类信息，应使用适合信息类型的格式进行总结（例如临床研究报告、带有引文副本的出版物总结、在临床研究外使用器械或原型的个人经验）。</w:t>
      </w:r>
    </w:p>
    <w:p w14:paraId="694330AE">
      <w:pPr>
        <w:shd w:val="clear" w:color="auto" w:fill="FFFFFF"/>
        <w:autoSpaceDE/>
        <w:autoSpaceDN/>
        <w:snapToGrid w:val="0"/>
        <w:ind w:left="314" w:leftChars="157"/>
        <w:jc w:val="both"/>
        <w:rPr>
          <w:rFonts w:eastAsia="宋体"/>
          <w:color w:val="000000"/>
          <w:sz w:val="24"/>
          <w:szCs w:val="24"/>
        </w:rPr>
      </w:pPr>
    </w:p>
    <w:p w14:paraId="51AF789F">
      <w:pPr>
        <w:shd w:val="clear" w:color="auto" w:fill="FFFFFF"/>
        <w:autoSpaceDE/>
        <w:autoSpaceDN/>
        <w:snapToGrid w:val="0"/>
        <w:ind w:left="314" w:leftChars="157"/>
        <w:jc w:val="both"/>
        <w:rPr>
          <w:rFonts w:eastAsia="宋体"/>
          <w:sz w:val="24"/>
          <w:szCs w:val="24"/>
        </w:rPr>
      </w:pPr>
      <w:r>
        <w:rPr>
          <w:rFonts w:eastAsia="宋体"/>
          <w:color w:val="000000"/>
          <w:sz w:val="24"/>
          <w:szCs w:val="24"/>
        </w:rPr>
        <w:t>本章节应提供其他临床研究或研究的叙述性描述。叙述应简短，每项研究应包括以下信息：</w:t>
      </w:r>
    </w:p>
    <w:p w14:paraId="53B35DCD">
      <w:pPr>
        <w:shd w:val="clear" w:color="auto" w:fill="FFFFFF"/>
        <w:snapToGrid w:val="0"/>
        <w:ind w:left="929" w:leftChars="307" w:hanging="315"/>
        <w:jc w:val="both"/>
        <w:rPr>
          <w:rFonts w:eastAsia="宋体"/>
          <w:color w:val="000000"/>
          <w:sz w:val="24"/>
          <w:szCs w:val="24"/>
        </w:rPr>
      </w:pPr>
    </w:p>
    <w:p w14:paraId="23226CD9">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研究目的（例如概念证明、患者视角研究）</w:t>
      </w:r>
    </w:p>
    <w:p w14:paraId="7AB67F78">
      <w:pPr>
        <w:shd w:val="clear" w:color="auto" w:fill="FFFFFF"/>
        <w:snapToGrid w:val="0"/>
        <w:ind w:left="929" w:leftChars="307" w:hanging="315"/>
        <w:jc w:val="both"/>
        <w:rPr>
          <w:rFonts w:eastAsia="宋体"/>
          <w:color w:val="000000"/>
          <w:sz w:val="24"/>
          <w:szCs w:val="24"/>
        </w:rPr>
      </w:pPr>
    </w:p>
    <w:p w14:paraId="4645191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研究是否为关键、支持性或可行性研究</w:t>
      </w:r>
    </w:p>
    <w:p w14:paraId="63E0D3AF">
      <w:pPr>
        <w:shd w:val="clear" w:color="auto" w:fill="FFFFFF"/>
        <w:snapToGrid w:val="0"/>
        <w:ind w:left="929" w:leftChars="307" w:hanging="315"/>
        <w:jc w:val="both"/>
        <w:rPr>
          <w:rFonts w:eastAsia="宋体"/>
          <w:color w:val="000000"/>
          <w:sz w:val="24"/>
          <w:szCs w:val="24"/>
        </w:rPr>
      </w:pPr>
    </w:p>
    <w:p w14:paraId="4325C73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研究设计，包括任何随机化、盲法和使用的对照方法</w:t>
      </w:r>
    </w:p>
    <w:p w14:paraId="1B58D011">
      <w:pPr>
        <w:shd w:val="clear" w:color="auto" w:fill="FFFFFF"/>
        <w:snapToGrid w:val="0"/>
        <w:ind w:left="929" w:leftChars="307" w:hanging="315"/>
        <w:jc w:val="both"/>
        <w:rPr>
          <w:rFonts w:eastAsia="宋体"/>
          <w:color w:val="000000"/>
          <w:sz w:val="24"/>
          <w:szCs w:val="24"/>
        </w:rPr>
      </w:pPr>
    </w:p>
    <w:p w14:paraId="3932E768">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入组患者数量</w:t>
      </w:r>
    </w:p>
    <w:p w14:paraId="70E44257">
      <w:pPr>
        <w:shd w:val="clear" w:color="auto" w:fill="FFFFFF"/>
        <w:snapToGrid w:val="0"/>
        <w:ind w:left="929" w:leftChars="307" w:hanging="315"/>
        <w:jc w:val="both"/>
        <w:rPr>
          <w:rFonts w:eastAsia="宋体"/>
          <w:color w:val="000000"/>
          <w:sz w:val="24"/>
          <w:szCs w:val="24"/>
        </w:rPr>
      </w:pPr>
    </w:p>
    <w:p w14:paraId="7FD20155">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美国（US）和OUS的临床试验机构数量</w:t>
      </w:r>
    </w:p>
    <w:p w14:paraId="368A124A">
      <w:pPr>
        <w:shd w:val="clear" w:color="auto" w:fill="FFFFFF"/>
        <w:snapToGrid w:val="0"/>
        <w:ind w:left="929" w:leftChars="307" w:hanging="315"/>
        <w:jc w:val="both"/>
        <w:rPr>
          <w:rFonts w:eastAsia="宋体"/>
          <w:color w:val="000000"/>
          <w:sz w:val="24"/>
          <w:szCs w:val="24"/>
        </w:rPr>
      </w:pPr>
    </w:p>
    <w:p w14:paraId="69EC76D3">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主要研究终点</w:t>
      </w:r>
    </w:p>
    <w:p w14:paraId="2F97639B">
      <w:pPr>
        <w:shd w:val="clear" w:color="auto" w:fill="FFFFFF"/>
        <w:snapToGrid w:val="0"/>
        <w:ind w:left="929" w:leftChars="307" w:hanging="315"/>
        <w:jc w:val="both"/>
        <w:rPr>
          <w:rFonts w:eastAsia="宋体"/>
          <w:color w:val="000000"/>
          <w:sz w:val="24"/>
          <w:szCs w:val="24"/>
        </w:rPr>
      </w:pPr>
    </w:p>
    <w:p w14:paraId="5DD4FAD0">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可用随访数量</w:t>
      </w:r>
    </w:p>
    <w:p w14:paraId="4EA6DEAB">
      <w:pPr>
        <w:shd w:val="clear" w:color="auto" w:fill="FFFFFF"/>
        <w:snapToGrid w:val="0"/>
        <w:ind w:left="929" w:leftChars="307" w:hanging="315"/>
        <w:jc w:val="both"/>
        <w:rPr>
          <w:rFonts w:eastAsia="宋体"/>
          <w:color w:val="000000"/>
          <w:sz w:val="24"/>
          <w:szCs w:val="24"/>
        </w:rPr>
      </w:pPr>
    </w:p>
    <w:p w14:paraId="72B92F8B">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结果/结论总结</w:t>
      </w:r>
    </w:p>
    <w:p w14:paraId="4561D724">
      <w:pPr>
        <w:shd w:val="clear" w:color="auto" w:fill="FFFFFF"/>
        <w:snapToGrid w:val="0"/>
        <w:ind w:left="929" w:leftChars="307" w:hanging="315"/>
        <w:jc w:val="both"/>
        <w:rPr>
          <w:rFonts w:eastAsia="宋体"/>
          <w:color w:val="000000"/>
          <w:sz w:val="24"/>
          <w:szCs w:val="24"/>
        </w:rPr>
      </w:pPr>
    </w:p>
    <w:p w14:paraId="55874C6E">
      <w:pPr>
        <w:pStyle w:val="4"/>
        <w:spacing w:before="240"/>
      </w:pPr>
      <w:bookmarkStart w:id="63" w:name="_Toc97494963"/>
      <w:r>
        <w:t>（2）</w:t>
      </w:r>
      <w:r>
        <w:tab/>
      </w:r>
      <w:r>
        <w:t>临床研究考虑因素</w:t>
      </w:r>
      <w:bookmarkEnd w:id="63"/>
    </w:p>
    <w:p w14:paraId="428BF552">
      <w:pPr>
        <w:shd w:val="clear" w:color="auto" w:fill="FFFFFF"/>
        <w:autoSpaceDE/>
        <w:autoSpaceDN/>
        <w:snapToGrid w:val="0"/>
        <w:ind w:left="314" w:leftChars="157"/>
        <w:jc w:val="both"/>
        <w:rPr>
          <w:rFonts w:eastAsia="宋体"/>
          <w:color w:val="000000"/>
          <w:sz w:val="24"/>
          <w:szCs w:val="24"/>
        </w:rPr>
      </w:pPr>
      <w:bookmarkStart w:id="64" w:name="bookmark31"/>
      <w:bookmarkEnd w:id="64"/>
      <w:r>
        <w:rPr>
          <w:rFonts w:eastAsia="宋体"/>
          <w:color w:val="000000"/>
          <w:sz w:val="24"/>
          <w:szCs w:val="24"/>
        </w:rPr>
        <w:t>关于植入BCI器械临床研究的某些方面的建议可能会随着器械开发阶段和正在进行的IDE研究类型（例如早期可行性、传统可行性、关键性）的不同而有所不同。如果提交早期可行性研究，则在IDE中应明确说明研究类型。以下FDA指南文件描述了FDA对早期可行性研究和关键IDE研究的临床研究设计的当前想法：</w:t>
      </w:r>
    </w:p>
    <w:p w14:paraId="0E4F3112">
      <w:pPr>
        <w:shd w:val="clear" w:color="auto" w:fill="FFFFFF"/>
        <w:snapToGrid w:val="0"/>
        <w:ind w:left="929" w:leftChars="307" w:hanging="315"/>
        <w:jc w:val="both"/>
        <w:rPr>
          <w:rFonts w:eastAsia="宋体"/>
          <w:sz w:val="24"/>
          <w:szCs w:val="24"/>
        </w:rPr>
      </w:pPr>
    </w:p>
    <w:p w14:paraId="0F1A30B2">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FF"/>
          <w:sz w:val="24"/>
          <w:szCs w:val="24"/>
        </w:rPr>
        <w:tab/>
      </w:r>
      <w:r>
        <w:rPr>
          <w:rFonts w:eastAsia="宋体"/>
          <w:color w:val="0000FF"/>
          <w:sz w:val="24"/>
          <w:szCs w:val="24"/>
          <w:u w:val="single"/>
        </w:rPr>
        <w:t>用于早期可行性医疗器械临床研究的临床试验用器械豁免（IDE），包括某些首次人体（FIH）研究</w:t>
      </w:r>
      <w:r>
        <w:rPr>
          <w:rFonts w:eastAsia="宋体"/>
          <w:color w:val="000000" w:themeColor="text1"/>
          <w:sz w:val="24"/>
          <w:szCs w:val="24"/>
          <w:vertAlign w:val="superscript"/>
        </w:rPr>
        <w:footnoteReference w:id="26"/>
      </w:r>
    </w:p>
    <w:p w14:paraId="7ACAD621">
      <w:pPr>
        <w:shd w:val="clear" w:color="auto" w:fill="FFFFFF"/>
        <w:tabs>
          <w:tab w:val="left" w:pos="226"/>
        </w:tabs>
        <w:snapToGrid w:val="0"/>
        <w:jc w:val="both"/>
        <w:rPr>
          <w:rFonts w:eastAsia="宋体"/>
          <w:color w:val="000000"/>
          <w:sz w:val="24"/>
          <w:szCs w:val="24"/>
          <w:vertAlign w:val="superscript"/>
        </w:rPr>
      </w:pPr>
    </w:p>
    <w:p w14:paraId="5285BC67">
      <w:pPr>
        <w:shd w:val="clear" w:color="auto" w:fill="FFFFFF"/>
        <w:tabs>
          <w:tab w:val="left" w:pos="226"/>
        </w:tabs>
        <w:snapToGrid w:val="0"/>
        <w:jc w:val="both"/>
        <w:rPr>
          <w:rFonts w:eastAsia="宋体"/>
          <w:sz w:val="24"/>
          <w:szCs w:val="24"/>
        </w:rPr>
      </w:pPr>
    </w:p>
    <w:p w14:paraId="6F99A48A">
      <w:pPr>
        <w:shd w:val="clear" w:color="auto" w:fill="FFFFFF"/>
        <w:tabs>
          <w:tab w:val="left" w:pos="226"/>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44A3C43">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FF"/>
          <w:sz w:val="24"/>
          <w:szCs w:val="24"/>
        </w:rPr>
        <w:t>《</w:t>
      </w:r>
      <w:r>
        <w:rPr>
          <w:rFonts w:eastAsia="宋体"/>
          <w:color w:val="0000FF"/>
          <w:sz w:val="24"/>
          <w:szCs w:val="24"/>
          <w:u w:val="single"/>
        </w:rPr>
        <w:t>医疗器械关键临床研究设计考虑</w:t>
      </w:r>
      <w:r>
        <w:rPr>
          <w:rFonts w:eastAsia="宋体"/>
          <w:color w:val="0000FF"/>
          <w:sz w:val="24"/>
          <w:szCs w:val="24"/>
        </w:rPr>
        <w:t>》</w:t>
      </w:r>
      <w:r>
        <w:rPr>
          <w:rFonts w:eastAsia="宋体"/>
          <w:color w:val="000000" w:themeColor="text1"/>
          <w:sz w:val="24"/>
          <w:szCs w:val="24"/>
          <w:vertAlign w:val="superscript"/>
        </w:rPr>
        <w:footnoteReference w:id="27"/>
      </w:r>
    </w:p>
    <w:p w14:paraId="5EF6D98A">
      <w:pPr>
        <w:shd w:val="clear" w:color="auto" w:fill="FFFFFF"/>
        <w:snapToGrid w:val="0"/>
        <w:ind w:left="614" w:leftChars="307"/>
        <w:jc w:val="both"/>
        <w:rPr>
          <w:rFonts w:eastAsia="宋体"/>
          <w:color w:val="000000"/>
          <w:sz w:val="24"/>
          <w:szCs w:val="24"/>
        </w:rPr>
      </w:pPr>
    </w:p>
    <w:p w14:paraId="3F045F12">
      <w:pPr>
        <w:shd w:val="clear" w:color="auto" w:fill="FFFFFF"/>
        <w:autoSpaceDE/>
        <w:autoSpaceDN/>
        <w:snapToGrid w:val="0"/>
        <w:ind w:left="314" w:leftChars="157"/>
        <w:jc w:val="both"/>
        <w:rPr>
          <w:rFonts w:eastAsia="宋体"/>
          <w:color w:val="000000"/>
          <w:sz w:val="24"/>
          <w:szCs w:val="24"/>
        </w:rPr>
      </w:pPr>
      <w:r>
        <w:rPr>
          <w:rFonts w:eastAsia="宋体"/>
          <w:color w:val="000000"/>
          <w:sz w:val="24"/>
          <w:szCs w:val="24"/>
        </w:rPr>
        <w:t>通常，我局认为本指南文件所述的植入式BCI器械属于重大风险（SR）器械，符合IDE法规《美国联邦法规》第21篇第812部分的所有要求。对于未豁免IDE法规的研究，申办者负责确定初始风险（重大风险或非重大风险（NSR）），并将提交至机构审查委员会（IRB）。有关更多信息，请参见机构审查委员会（IRB）、临床研究者和申办者的信息表指南，</w:t>
      </w:r>
      <w:r>
        <w:rPr>
          <w:rFonts w:ascii="宋体" w:hAnsi="宋体" w:eastAsia="宋体"/>
          <w:color w:val="000000"/>
          <w:sz w:val="24"/>
          <w:szCs w:val="24"/>
        </w:rPr>
        <w:t>“</w:t>
      </w:r>
      <w:r>
        <w:rPr>
          <w:rFonts w:eastAsia="宋体"/>
          <w:color w:val="0000FF"/>
          <w:sz w:val="24"/>
          <w:szCs w:val="24"/>
          <w:u w:val="single"/>
        </w:rPr>
        <w:t>重大风险和非重大风险医疗器械研究</w:t>
      </w:r>
      <w:r>
        <w:rPr>
          <w:rFonts w:eastAsia="宋体"/>
          <w:color w:val="0000FF"/>
          <w:sz w:val="24"/>
          <w:szCs w:val="24"/>
        </w:rPr>
        <w:t>。</w:t>
      </w:r>
      <w:r>
        <w:rPr>
          <w:rFonts w:ascii="宋体" w:hAnsi="宋体" w:eastAsia="宋体"/>
          <w:color w:val="000000"/>
          <w:sz w:val="24"/>
          <w:szCs w:val="24"/>
        </w:rPr>
        <w:t>”</w:t>
      </w:r>
      <w:r>
        <w:rPr>
          <w:rFonts w:eastAsia="宋体"/>
          <w:color w:val="000000"/>
          <w:sz w:val="24"/>
          <w:szCs w:val="24"/>
          <w:vertAlign w:val="superscript"/>
        </w:rPr>
        <w:footnoteReference w:id="28"/>
      </w:r>
      <w:r>
        <w:rPr>
          <w:rFonts w:eastAsia="宋体"/>
          <w:color w:val="000000"/>
          <w:sz w:val="24"/>
          <w:szCs w:val="24"/>
        </w:rPr>
        <w:t>除《美国联邦法规》第21篇第812部分的要求外，此类试验的申办者必须遵守管理机构审查委员会（《美国联邦法规》第21篇第56部分）和知情同意书（《美国联邦法规》第21篇第50部分）的法规。在设计预期旨在评价BCI系统性能的临床研究时，临床研究设计的某些组成部分尤其重要。对于每个临床研究设计组成部分，科学支持和合理描述对提供澄清和促进理解至关重要。此外，适当实施适应性试验设计时，可降低资源要求和/或增加研究</w:t>
      </w:r>
      <w:r>
        <w:rPr>
          <w:rFonts w:eastAsia="宋体"/>
          <w:color w:val="000000"/>
          <w:sz w:val="24"/>
          <w:szCs w:val="24"/>
          <w:u w:val="single"/>
        </w:rPr>
        <w:t>成功</w:t>
      </w:r>
      <w:r>
        <w:rPr>
          <w:rFonts w:eastAsia="宋体"/>
          <w:color w:val="000000"/>
          <w:sz w:val="24"/>
          <w:szCs w:val="24"/>
        </w:rPr>
        <w:t>的机会。</w:t>
      </w:r>
      <w:r>
        <w:rPr>
          <w:rFonts w:eastAsia="宋体"/>
          <w:color w:val="000000" w:themeColor="text1"/>
          <w:sz w:val="24"/>
          <w:szCs w:val="24"/>
          <w:vertAlign w:val="superscript"/>
        </w:rPr>
        <w:footnoteReference w:id="29"/>
      </w:r>
      <w:r>
        <w:rPr>
          <w:rFonts w:eastAsia="宋体"/>
          <w:color w:val="000000" w:themeColor="text1"/>
          <w:sz w:val="24"/>
          <w:szCs w:val="24"/>
        </w:rPr>
        <w:t xml:space="preserve"> </w:t>
      </w:r>
      <w:r>
        <w:rPr>
          <w:rFonts w:eastAsia="宋体"/>
          <w:color w:val="000000"/>
          <w:sz w:val="24"/>
          <w:szCs w:val="24"/>
        </w:rPr>
        <w:t>在制定临床研究方案时，应考虑以下设计要素，并在IDE申报资料中提供依据：</w:t>
      </w:r>
    </w:p>
    <w:p w14:paraId="25C00A82">
      <w:pPr>
        <w:shd w:val="clear" w:color="auto" w:fill="FFFFFF"/>
        <w:snapToGrid w:val="0"/>
        <w:ind w:left="614" w:leftChars="307"/>
        <w:jc w:val="both"/>
        <w:rPr>
          <w:rFonts w:eastAsia="宋体"/>
          <w:sz w:val="24"/>
          <w:szCs w:val="24"/>
        </w:rPr>
      </w:pPr>
    </w:p>
    <w:p w14:paraId="535FF651">
      <w:pPr>
        <w:pStyle w:val="5"/>
        <w:ind w:left="1783" w:hanging="361"/>
        <w:rPr>
          <w:rFonts w:eastAsia="宋体"/>
          <w:sz w:val="24"/>
          <w:szCs w:val="24"/>
        </w:rPr>
      </w:pPr>
      <w:r>
        <w:rPr>
          <w:rFonts w:eastAsia="宋体"/>
          <w:sz w:val="24"/>
          <w:szCs w:val="24"/>
        </w:rPr>
        <w:t>a.</w:t>
      </w:r>
      <w:r>
        <w:rPr>
          <w:rFonts w:eastAsia="宋体"/>
          <w:sz w:val="24"/>
          <w:szCs w:val="24"/>
        </w:rPr>
        <w:tab/>
      </w:r>
      <w:r>
        <w:rPr>
          <w:rFonts w:eastAsia="宋体"/>
          <w:sz w:val="24"/>
          <w:szCs w:val="24"/>
        </w:rPr>
        <w:t>患者人群</w:t>
      </w:r>
    </w:p>
    <w:p w14:paraId="23795A25">
      <w:pPr>
        <w:shd w:val="clear" w:color="auto" w:fill="FFFFFF"/>
        <w:snapToGrid w:val="0"/>
        <w:ind w:left="614" w:leftChars="307"/>
        <w:jc w:val="both"/>
        <w:rPr>
          <w:rFonts w:eastAsia="宋体"/>
          <w:color w:val="000000"/>
          <w:sz w:val="24"/>
          <w:szCs w:val="24"/>
        </w:rPr>
      </w:pPr>
      <w:r>
        <w:rPr>
          <w:rFonts w:eastAsia="宋体"/>
          <w:color w:val="000000"/>
          <w:sz w:val="24"/>
          <w:szCs w:val="24"/>
        </w:rPr>
        <w:t>多种患者人群可能获益于BCI器械，其功能是增强其与环境相互作用并改善</w:t>
      </w:r>
      <w:r>
        <w:rPr>
          <w:rFonts w:hint="eastAsia" w:eastAsia="宋体"/>
          <w:color w:val="000000"/>
          <w:sz w:val="24"/>
          <w:szCs w:val="24"/>
        </w:rPr>
        <w:t>交流</w:t>
      </w:r>
      <w:r>
        <w:rPr>
          <w:rFonts w:eastAsia="宋体"/>
          <w:color w:val="000000"/>
          <w:sz w:val="24"/>
          <w:szCs w:val="24"/>
        </w:rPr>
        <w:t>的能力。这类人群包括截肢或脊髓损伤（SCI）、卒中、瘫痪和神经肌肉疾病等疾病和状况的患者。对于IDE批准，任何器械给患者带来的潜在获益均应超过潜在</w:t>
      </w:r>
      <w:r>
        <w:rPr>
          <w:rFonts w:eastAsia="宋体"/>
          <w:color w:val="0000FF"/>
          <w:sz w:val="24"/>
          <w:szCs w:val="24"/>
          <w:u w:val="single"/>
        </w:rPr>
        <w:t>风险</w:t>
      </w:r>
      <w:r>
        <w:rPr>
          <w:rFonts w:eastAsia="宋体"/>
          <w:color w:val="0000FF"/>
          <w:sz w:val="24"/>
          <w:szCs w:val="24"/>
        </w:rPr>
        <w:t>。</w:t>
      </w:r>
      <w:r>
        <w:rPr>
          <w:rFonts w:eastAsia="宋体"/>
          <w:color w:val="000000" w:themeColor="text1"/>
          <w:sz w:val="24"/>
          <w:szCs w:val="24"/>
          <w:vertAlign w:val="superscript"/>
        </w:rPr>
        <w:footnoteReference w:id="30"/>
      </w:r>
      <w:r>
        <w:rPr>
          <w:rFonts w:eastAsia="宋体"/>
          <w:color w:val="000000"/>
          <w:sz w:val="24"/>
          <w:szCs w:val="24"/>
        </w:rPr>
        <w:t>具有不同医疗状况的患者可能对BCI系统具有不同需求和不同风险耐受性；因此，申办者应考虑器械适当解决需求的受试者人群，以便适当考虑潜在获益和风险。</w:t>
      </w:r>
    </w:p>
    <w:p w14:paraId="0183F352">
      <w:pPr>
        <w:shd w:val="clear" w:color="auto" w:fill="FFFFFF"/>
        <w:snapToGrid w:val="0"/>
        <w:ind w:left="614" w:leftChars="307"/>
        <w:jc w:val="both"/>
        <w:rPr>
          <w:rFonts w:eastAsia="宋体"/>
          <w:sz w:val="24"/>
          <w:szCs w:val="24"/>
        </w:rPr>
      </w:pPr>
    </w:p>
    <w:p w14:paraId="3E1A34E8">
      <w:pPr>
        <w:pStyle w:val="5"/>
        <w:ind w:left="1783" w:hanging="361"/>
        <w:rPr>
          <w:rFonts w:eastAsia="宋体"/>
          <w:sz w:val="24"/>
          <w:szCs w:val="24"/>
        </w:rPr>
      </w:pPr>
      <w:r>
        <w:rPr>
          <w:rFonts w:eastAsia="宋体"/>
          <w:sz w:val="24"/>
          <w:szCs w:val="24"/>
        </w:rPr>
        <w:t>b.</w:t>
      </w:r>
      <w:r>
        <w:rPr>
          <w:rFonts w:eastAsia="宋体"/>
          <w:sz w:val="24"/>
          <w:szCs w:val="24"/>
        </w:rPr>
        <w:tab/>
      </w:r>
      <w:r>
        <w:rPr>
          <w:rFonts w:eastAsia="宋体"/>
          <w:sz w:val="24"/>
          <w:szCs w:val="24"/>
        </w:rPr>
        <w:t>家庭使用</w:t>
      </w:r>
    </w:p>
    <w:p w14:paraId="0E6C70E4">
      <w:pPr>
        <w:shd w:val="clear" w:color="auto" w:fill="FFFFFF"/>
        <w:snapToGrid w:val="0"/>
        <w:ind w:left="614" w:leftChars="307"/>
        <w:jc w:val="both"/>
        <w:rPr>
          <w:rFonts w:eastAsia="宋体"/>
          <w:sz w:val="24"/>
          <w:szCs w:val="24"/>
        </w:rPr>
      </w:pPr>
      <w:r>
        <w:rPr>
          <w:rFonts w:eastAsia="宋体"/>
          <w:color w:val="000000"/>
          <w:sz w:val="24"/>
          <w:szCs w:val="24"/>
        </w:rPr>
        <w:t>在实际家用环境中研究BCI器械非常重要，因为实验室条件可能无法充分反映患者在使用器械的环境下，在实际使用过程中可能经历的风险和/或获益。此外，家用器械可能需要一名看护人愿意、能够且可执行BCI系统相关基本任务，例如：</w:t>
      </w:r>
    </w:p>
    <w:p w14:paraId="71339A24">
      <w:pPr>
        <w:shd w:val="clear" w:color="auto" w:fill="FFFFFF"/>
        <w:snapToGrid w:val="0"/>
        <w:jc w:val="both"/>
        <w:rPr>
          <w:rFonts w:eastAsia="宋体"/>
          <w:sz w:val="24"/>
          <w:szCs w:val="24"/>
        </w:rPr>
      </w:pPr>
    </w:p>
    <w:p w14:paraId="63AD4393">
      <w:pPr>
        <w:shd w:val="clear" w:color="auto" w:fill="FFFFFF"/>
        <w:tabs>
          <w:tab w:val="left" w:pos="226"/>
        </w:tabs>
        <w:snapToGrid w:val="0"/>
        <w:jc w:val="both"/>
        <w:rPr>
          <w:rFonts w:eastAsia="宋体"/>
          <w:color w:val="000000"/>
          <w:sz w:val="24"/>
          <w:szCs w:val="24"/>
          <w:vertAlign w:val="superscript"/>
        </w:rPr>
      </w:pPr>
    </w:p>
    <w:p w14:paraId="090638D8">
      <w:pPr>
        <w:shd w:val="clear" w:color="auto" w:fill="FFFFFF"/>
        <w:tabs>
          <w:tab w:val="left" w:pos="226"/>
        </w:tabs>
        <w:snapToGrid w:val="0"/>
        <w:jc w:val="both"/>
        <w:rPr>
          <w:rFonts w:eastAsia="宋体"/>
          <w:sz w:val="24"/>
          <w:szCs w:val="24"/>
        </w:rPr>
      </w:pPr>
    </w:p>
    <w:p w14:paraId="4EBF7329">
      <w:pPr>
        <w:shd w:val="clear" w:color="auto" w:fill="FFFFFF"/>
        <w:tabs>
          <w:tab w:val="left" w:pos="226"/>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1B1CAAE">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管理BCI的启动和维护：连接电极，启动系统；</w:t>
      </w:r>
    </w:p>
    <w:p w14:paraId="3CB9466F">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监测患者进展（如适用）；以及</w:t>
      </w:r>
    </w:p>
    <w:p w14:paraId="2ACFE645">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必要时可联系医生。</w:t>
      </w:r>
    </w:p>
    <w:p w14:paraId="04C1A5A9">
      <w:pPr>
        <w:shd w:val="clear" w:color="auto" w:fill="FFFFFF"/>
        <w:snapToGrid w:val="0"/>
        <w:ind w:left="614" w:leftChars="307"/>
        <w:jc w:val="both"/>
        <w:rPr>
          <w:rFonts w:eastAsia="宋体"/>
          <w:color w:val="000000"/>
          <w:sz w:val="24"/>
          <w:szCs w:val="24"/>
        </w:rPr>
      </w:pPr>
    </w:p>
    <w:p w14:paraId="13FCE78A">
      <w:pPr>
        <w:shd w:val="clear" w:color="auto" w:fill="FFFFFF"/>
        <w:snapToGrid w:val="0"/>
        <w:ind w:left="614" w:leftChars="307"/>
        <w:jc w:val="both"/>
        <w:rPr>
          <w:rFonts w:eastAsia="宋体"/>
          <w:color w:val="000000"/>
          <w:sz w:val="24"/>
          <w:szCs w:val="24"/>
        </w:rPr>
      </w:pPr>
      <w:r>
        <w:rPr>
          <w:rFonts w:eastAsia="宋体"/>
          <w:color w:val="000000"/>
          <w:sz w:val="24"/>
          <w:szCs w:val="24"/>
        </w:rPr>
        <w:t>因此，重要的是在临床研究指标中纳入护理人员安全及其帮助用户</w:t>
      </w:r>
      <w:r>
        <w:rPr>
          <w:rFonts w:hint="eastAsia" w:eastAsia="宋体"/>
          <w:color w:val="000000"/>
          <w:sz w:val="24"/>
          <w:szCs w:val="24"/>
        </w:rPr>
        <w:t>的</w:t>
      </w:r>
      <w:r>
        <w:rPr>
          <w:rFonts w:eastAsia="宋体"/>
          <w:color w:val="000000"/>
          <w:sz w:val="24"/>
          <w:szCs w:val="24"/>
        </w:rPr>
        <w:t>能力（即时间、注意力和体能）评估。为确保在家中安全使用贵司的器械，我们建议贵司在临床方案中具体说明如何培训受试者和护理人员在家中使用器械。我们还建议贵司描述</w:t>
      </w:r>
      <w:r>
        <w:rPr>
          <w:rFonts w:hint="eastAsia" w:eastAsia="宋体"/>
          <w:color w:val="000000"/>
          <w:sz w:val="24"/>
          <w:szCs w:val="24"/>
        </w:rPr>
        <w:t>贵司</w:t>
      </w:r>
      <w:r>
        <w:rPr>
          <w:rFonts w:eastAsia="宋体"/>
          <w:color w:val="000000"/>
          <w:sz w:val="24"/>
          <w:szCs w:val="24"/>
        </w:rPr>
        <w:t>计划如何评价培训计划的有效性。</w:t>
      </w:r>
    </w:p>
    <w:p w14:paraId="684B53E0">
      <w:pPr>
        <w:shd w:val="clear" w:color="auto" w:fill="FFFFFF"/>
        <w:snapToGrid w:val="0"/>
        <w:ind w:left="614" w:leftChars="307"/>
        <w:jc w:val="both"/>
        <w:rPr>
          <w:rFonts w:eastAsia="宋体"/>
          <w:sz w:val="24"/>
          <w:szCs w:val="24"/>
        </w:rPr>
      </w:pPr>
    </w:p>
    <w:p w14:paraId="2CDDA1CD">
      <w:pPr>
        <w:shd w:val="clear" w:color="auto" w:fill="FFFFFF"/>
        <w:snapToGrid w:val="0"/>
        <w:ind w:left="614" w:leftChars="307"/>
        <w:jc w:val="both"/>
        <w:rPr>
          <w:rFonts w:eastAsia="宋体"/>
          <w:color w:val="000000"/>
          <w:sz w:val="24"/>
          <w:szCs w:val="24"/>
        </w:rPr>
      </w:pPr>
      <w:r>
        <w:rPr>
          <w:rFonts w:eastAsia="宋体"/>
          <w:color w:val="000000"/>
          <w:sz w:val="24"/>
          <w:szCs w:val="24"/>
        </w:rPr>
        <w:t>参考FDA指南，标题为</w:t>
      </w:r>
      <w:r>
        <w:rPr>
          <w:rFonts w:ascii="宋体" w:hAnsi="宋体" w:eastAsia="宋体"/>
          <w:color w:val="000000"/>
          <w:sz w:val="24"/>
          <w:szCs w:val="24"/>
        </w:rPr>
        <w:t>“</w:t>
      </w:r>
      <w:r>
        <w:rPr>
          <w:rFonts w:eastAsia="宋体"/>
          <w:color w:val="0000FF"/>
          <w:sz w:val="24"/>
          <w:szCs w:val="24"/>
          <w:u w:val="single"/>
        </w:rPr>
        <w:t>家用器械的设计注意事项</w:t>
      </w:r>
      <w:r>
        <w:rPr>
          <w:rFonts w:ascii="宋体" w:hAnsi="宋体" w:eastAsia="宋体"/>
          <w:color w:val="000000"/>
          <w:sz w:val="24"/>
          <w:szCs w:val="24"/>
        </w:rPr>
        <w:t>”</w:t>
      </w:r>
      <w:r>
        <w:rPr>
          <w:rFonts w:eastAsia="宋体"/>
          <w:color w:val="000000"/>
          <w:sz w:val="24"/>
          <w:szCs w:val="24"/>
          <w:vertAlign w:val="superscript"/>
        </w:rPr>
        <w:footnoteReference w:id="31"/>
      </w:r>
      <w:r>
        <w:rPr>
          <w:rFonts w:eastAsia="宋体"/>
          <w:color w:val="000000"/>
          <w:sz w:val="24"/>
          <w:szCs w:val="24"/>
        </w:rPr>
        <w:t>，了解有关最小化家用器械相关风险的建议。</w:t>
      </w:r>
    </w:p>
    <w:p w14:paraId="4D94FEC1">
      <w:pPr>
        <w:shd w:val="clear" w:color="auto" w:fill="FFFFFF"/>
        <w:snapToGrid w:val="0"/>
        <w:ind w:left="614" w:leftChars="307"/>
        <w:jc w:val="both"/>
        <w:rPr>
          <w:rFonts w:eastAsia="宋体"/>
          <w:sz w:val="24"/>
          <w:szCs w:val="24"/>
        </w:rPr>
      </w:pPr>
    </w:p>
    <w:p w14:paraId="67FDFE50">
      <w:pPr>
        <w:pStyle w:val="5"/>
        <w:ind w:left="1783" w:hanging="361"/>
        <w:rPr>
          <w:rFonts w:eastAsia="宋体"/>
          <w:sz w:val="24"/>
          <w:szCs w:val="24"/>
        </w:rPr>
      </w:pPr>
      <w:r>
        <w:rPr>
          <w:rFonts w:eastAsia="宋体"/>
          <w:sz w:val="24"/>
          <w:szCs w:val="24"/>
        </w:rPr>
        <w:t>c.</w:t>
      </w:r>
      <w:r>
        <w:rPr>
          <w:rFonts w:eastAsia="宋体"/>
          <w:sz w:val="24"/>
          <w:szCs w:val="24"/>
        </w:rPr>
        <w:tab/>
      </w:r>
      <w:r>
        <w:rPr>
          <w:rFonts w:eastAsia="宋体"/>
          <w:sz w:val="24"/>
          <w:szCs w:val="24"/>
        </w:rPr>
        <w:t>临床试验计划</w:t>
      </w:r>
    </w:p>
    <w:p w14:paraId="161238DA">
      <w:pPr>
        <w:shd w:val="clear" w:color="auto" w:fill="FFFFFF"/>
        <w:snapToGrid w:val="0"/>
        <w:ind w:left="614" w:leftChars="307"/>
        <w:jc w:val="both"/>
        <w:rPr>
          <w:rFonts w:eastAsia="宋体"/>
          <w:color w:val="000000" w:themeColor="text1"/>
          <w:sz w:val="24"/>
          <w:szCs w:val="24"/>
        </w:rPr>
      </w:pPr>
      <w:r>
        <w:rPr>
          <w:rFonts w:eastAsia="宋体"/>
          <w:color w:val="000000"/>
          <w:sz w:val="24"/>
          <w:szCs w:val="24"/>
        </w:rPr>
        <w:t>以下信息旨在阐明如何为植入式BCI器械的IDE研究制定研究计划。</w:t>
      </w:r>
      <w:r>
        <w:rPr>
          <w:rFonts w:eastAsia="宋体"/>
          <w:color w:val="000000" w:themeColor="text1"/>
          <w:sz w:val="24"/>
          <w:szCs w:val="24"/>
          <w:vertAlign w:val="superscript"/>
        </w:rPr>
        <w:footnoteReference w:id="32"/>
      </w:r>
    </w:p>
    <w:p w14:paraId="541BCB5A">
      <w:pPr>
        <w:shd w:val="clear" w:color="auto" w:fill="FFFFFF"/>
        <w:snapToGrid w:val="0"/>
        <w:ind w:left="614" w:leftChars="307"/>
        <w:jc w:val="both"/>
        <w:rPr>
          <w:rFonts w:eastAsia="宋体"/>
          <w:sz w:val="24"/>
          <w:szCs w:val="24"/>
        </w:rPr>
      </w:pPr>
    </w:p>
    <w:p w14:paraId="49551276">
      <w:pPr>
        <w:pStyle w:val="6"/>
        <w:ind w:left="2309" w:hanging="323"/>
        <w:rPr>
          <w:sz w:val="24"/>
          <w:szCs w:val="24"/>
        </w:rPr>
      </w:pPr>
      <w:r>
        <w:rPr>
          <w:sz w:val="24"/>
          <w:szCs w:val="24"/>
        </w:rPr>
        <w:t>i.</w:t>
      </w:r>
      <w:r>
        <w:rPr>
          <w:sz w:val="24"/>
          <w:szCs w:val="24"/>
        </w:rPr>
        <w:tab/>
      </w:r>
      <w:r>
        <w:rPr>
          <w:sz w:val="24"/>
          <w:szCs w:val="24"/>
        </w:rPr>
        <w:t>目的/目标</w:t>
      </w:r>
    </w:p>
    <w:p w14:paraId="5FB21FBE">
      <w:pPr>
        <w:shd w:val="clear" w:color="auto" w:fill="FFFFFF"/>
        <w:snapToGrid w:val="0"/>
        <w:ind w:left="1276" w:leftChars="638"/>
        <w:jc w:val="both"/>
        <w:rPr>
          <w:rFonts w:eastAsia="宋体"/>
          <w:color w:val="000000"/>
          <w:sz w:val="24"/>
          <w:szCs w:val="24"/>
        </w:rPr>
      </w:pPr>
      <w:r>
        <w:rPr>
          <w:rFonts w:eastAsia="宋体"/>
          <w:color w:val="000000"/>
          <w:sz w:val="24"/>
          <w:szCs w:val="24"/>
        </w:rPr>
        <w:t>临床方案应以明确规定的目标和假设开始。应具有执行研究目的/目标的总体声明（例如，与对照器械相比，评价BCI器械治疗特定疾病的安全性和有效性）。此外，目的应包括</w:t>
      </w:r>
      <w:r>
        <w:rPr>
          <w:rFonts w:hint="eastAsia" w:eastAsia="宋体"/>
          <w:color w:val="000000"/>
          <w:sz w:val="24"/>
          <w:szCs w:val="24"/>
        </w:rPr>
        <w:t>对</w:t>
      </w:r>
      <w:r>
        <w:rPr>
          <w:rFonts w:eastAsia="宋体"/>
          <w:color w:val="000000"/>
          <w:sz w:val="24"/>
          <w:szCs w:val="24"/>
        </w:rPr>
        <w:t>治疗疾病的精确</w:t>
      </w:r>
      <w:r>
        <w:rPr>
          <w:rFonts w:hint="eastAsia" w:eastAsia="宋体"/>
          <w:color w:val="000000"/>
          <w:sz w:val="24"/>
          <w:szCs w:val="24"/>
        </w:rPr>
        <w:t>的</w:t>
      </w:r>
      <w:r>
        <w:rPr>
          <w:rFonts w:eastAsia="宋体"/>
          <w:color w:val="000000"/>
          <w:sz w:val="24"/>
          <w:szCs w:val="24"/>
        </w:rPr>
        <w:t>、医学上可接受</w:t>
      </w:r>
      <w:r>
        <w:rPr>
          <w:rFonts w:hint="eastAsia" w:eastAsia="宋体"/>
          <w:color w:val="000000"/>
          <w:sz w:val="24"/>
          <w:szCs w:val="24"/>
        </w:rPr>
        <w:t>的</w:t>
      </w:r>
      <w:r>
        <w:rPr>
          <w:rFonts w:eastAsia="宋体"/>
          <w:color w:val="000000"/>
          <w:sz w:val="24"/>
          <w:szCs w:val="24"/>
        </w:rPr>
        <w:t>定义和拟定临床研究的科学合理依据。对于关键临床研究，建议研究的无效和备择假设应说明具体研究终点、</w:t>
      </w:r>
      <w:r>
        <w:rPr>
          <w:rFonts w:hint="eastAsia" w:eastAsia="宋体"/>
          <w:color w:val="000000"/>
          <w:sz w:val="24"/>
          <w:szCs w:val="24"/>
        </w:rPr>
        <w:t>结局</w:t>
      </w:r>
      <w:r>
        <w:rPr>
          <w:rFonts w:eastAsia="宋体"/>
          <w:color w:val="000000"/>
          <w:sz w:val="24"/>
          <w:szCs w:val="24"/>
        </w:rPr>
        <w:t>和用于测量系统成功/失败的参数。然后，应设计研究以检验这些假设。</w:t>
      </w:r>
    </w:p>
    <w:p w14:paraId="4F78A4EC">
      <w:pPr>
        <w:shd w:val="clear" w:color="auto" w:fill="FFFFFF"/>
        <w:snapToGrid w:val="0"/>
        <w:ind w:left="1276" w:leftChars="638"/>
        <w:jc w:val="both"/>
        <w:rPr>
          <w:rFonts w:eastAsia="宋体"/>
          <w:sz w:val="24"/>
          <w:szCs w:val="24"/>
        </w:rPr>
      </w:pPr>
    </w:p>
    <w:p w14:paraId="625BD6F6">
      <w:pPr>
        <w:pStyle w:val="6"/>
        <w:ind w:left="2309" w:hanging="323"/>
        <w:rPr>
          <w:sz w:val="24"/>
          <w:szCs w:val="24"/>
        </w:rPr>
      </w:pPr>
      <w:r>
        <w:rPr>
          <w:sz w:val="24"/>
          <w:szCs w:val="24"/>
        </w:rPr>
        <w:t>ii.</w:t>
      </w:r>
      <w:r>
        <w:rPr>
          <w:sz w:val="24"/>
          <w:szCs w:val="24"/>
        </w:rPr>
        <w:tab/>
      </w:r>
      <w:r>
        <w:rPr>
          <w:sz w:val="24"/>
          <w:szCs w:val="24"/>
        </w:rPr>
        <w:t>研究设计</w:t>
      </w:r>
    </w:p>
    <w:p w14:paraId="7852846A">
      <w:pPr>
        <w:shd w:val="clear" w:color="auto" w:fill="FFFFFF"/>
        <w:snapToGrid w:val="0"/>
        <w:ind w:left="1276" w:leftChars="638"/>
        <w:jc w:val="both"/>
        <w:rPr>
          <w:rFonts w:eastAsia="宋体"/>
          <w:color w:val="000000"/>
          <w:sz w:val="24"/>
          <w:szCs w:val="24"/>
        </w:rPr>
      </w:pPr>
      <w:r>
        <w:rPr>
          <w:rFonts w:eastAsia="宋体"/>
          <w:color w:val="000000"/>
          <w:sz w:val="24"/>
          <w:szCs w:val="24"/>
        </w:rPr>
        <w:t>贵司的研究设计说明应包括但不限于以下基本要素：</w:t>
      </w:r>
    </w:p>
    <w:p w14:paraId="10AEC9AD">
      <w:pPr>
        <w:shd w:val="clear" w:color="auto" w:fill="FFFFFF"/>
        <w:snapToGrid w:val="0"/>
        <w:ind w:left="1276" w:leftChars="638"/>
        <w:jc w:val="both"/>
        <w:rPr>
          <w:rFonts w:eastAsia="宋体"/>
          <w:sz w:val="24"/>
          <w:szCs w:val="24"/>
        </w:rPr>
      </w:pPr>
    </w:p>
    <w:p w14:paraId="1C7BAC5F">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随机分配或非随机分配；</w:t>
      </w:r>
    </w:p>
    <w:p w14:paraId="4F9066AB">
      <w:pPr>
        <w:shd w:val="clear" w:color="auto" w:fill="FFFFFF"/>
        <w:tabs>
          <w:tab w:val="left" w:pos="226"/>
        </w:tabs>
        <w:snapToGrid w:val="0"/>
        <w:jc w:val="both"/>
        <w:rPr>
          <w:rFonts w:eastAsia="宋体"/>
          <w:color w:val="000000"/>
          <w:sz w:val="21"/>
          <w:szCs w:val="21"/>
          <w:vertAlign w:val="superscript"/>
        </w:rPr>
      </w:pPr>
    </w:p>
    <w:p w14:paraId="71BF83C3">
      <w:pPr>
        <w:shd w:val="clear" w:color="auto" w:fill="FFFFFF"/>
        <w:tabs>
          <w:tab w:val="left" w:pos="226"/>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B2EC148">
      <w:pPr>
        <w:shd w:val="clear" w:color="auto" w:fill="FFFFFF"/>
        <w:snapToGrid w:val="0"/>
        <w:ind w:left="1591" w:leftChars="638"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对照或非对照，如果为对照研究，请说明对照类型；</w:t>
      </w:r>
    </w:p>
    <w:p w14:paraId="2BB9C14C">
      <w:pPr>
        <w:shd w:val="clear" w:color="auto" w:fill="FFFFFF"/>
        <w:snapToGrid w:val="0"/>
        <w:ind w:left="1591" w:leftChars="638" w:hanging="315"/>
        <w:jc w:val="both"/>
        <w:rPr>
          <w:rFonts w:eastAsia="宋体"/>
          <w:color w:val="000000"/>
          <w:sz w:val="24"/>
          <w:szCs w:val="24"/>
        </w:rPr>
      </w:pPr>
    </w:p>
    <w:p w14:paraId="103947CB">
      <w:pPr>
        <w:shd w:val="clear" w:color="auto" w:fill="FFFFFF"/>
        <w:snapToGrid w:val="0"/>
        <w:ind w:left="1591" w:leftChars="638"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是否将研究结果与性能目标</w:t>
      </w:r>
      <w:r>
        <w:rPr>
          <w:rFonts w:eastAsia="宋体"/>
          <w:color w:val="000000"/>
          <w:sz w:val="24"/>
          <w:szCs w:val="24"/>
        </w:rPr>
        <w:footnoteReference w:id="33"/>
      </w:r>
      <w:r>
        <w:rPr>
          <w:rFonts w:eastAsia="宋体"/>
          <w:color w:val="000000"/>
          <w:sz w:val="24"/>
          <w:szCs w:val="24"/>
        </w:rPr>
        <w:t>进行比较，如是，请说明如何推导性能目标；</w:t>
      </w:r>
    </w:p>
    <w:p w14:paraId="0083FFA8">
      <w:pPr>
        <w:shd w:val="clear" w:color="auto" w:fill="FFFFFF"/>
        <w:snapToGrid w:val="0"/>
        <w:ind w:left="1591" w:leftChars="638" w:hanging="315"/>
        <w:jc w:val="both"/>
        <w:rPr>
          <w:rFonts w:eastAsia="宋体"/>
          <w:color w:val="000000"/>
          <w:sz w:val="24"/>
          <w:szCs w:val="24"/>
        </w:rPr>
      </w:pPr>
    </w:p>
    <w:p w14:paraId="62F37964">
      <w:pPr>
        <w:shd w:val="clear" w:color="auto" w:fill="FFFFFF"/>
        <w:snapToGrid w:val="0"/>
        <w:ind w:left="1591" w:leftChars="638"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描述研究成功标准（例如，与对照组相比具有优效性或非劣效性）；如果正在使用应答者分析请描述患者水平成功/失败；</w:t>
      </w:r>
    </w:p>
    <w:p w14:paraId="3184D55C">
      <w:pPr>
        <w:shd w:val="clear" w:color="auto" w:fill="FFFFFF"/>
        <w:snapToGrid w:val="0"/>
        <w:ind w:left="1276" w:leftChars="638"/>
        <w:jc w:val="both"/>
        <w:rPr>
          <w:rFonts w:eastAsia="宋体"/>
          <w:color w:val="000000"/>
          <w:sz w:val="24"/>
          <w:szCs w:val="24"/>
        </w:rPr>
      </w:pPr>
    </w:p>
    <w:p w14:paraId="4FF9FC2B">
      <w:pPr>
        <w:shd w:val="clear" w:color="auto" w:fill="FFFFFF"/>
        <w:snapToGrid w:val="0"/>
        <w:ind w:left="1276" w:leftChars="638"/>
        <w:jc w:val="both"/>
        <w:rPr>
          <w:rFonts w:eastAsia="宋体"/>
          <w:color w:val="000000"/>
          <w:sz w:val="24"/>
          <w:szCs w:val="24"/>
        </w:rPr>
      </w:pPr>
      <w:r>
        <w:rPr>
          <w:rFonts w:eastAsia="宋体"/>
          <w:color w:val="000000"/>
          <w:sz w:val="24"/>
          <w:szCs w:val="24"/>
        </w:rPr>
        <w:t>研究可能包括一个以上治疗组，如SCI、卒中或其他疾病，并且具有适当理由说明为何可合并不同人群。有关如何有效纳入和分析单一研究中的多个项目人群的更多详细信息，请见FDA行业指南《</w:t>
      </w:r>
      <w:r>
        <w:rPr>
          <w:rFonts w:eastAsia="宋体"/>
          <w:color w:val="0000FF"/>
          <w:sz w:val="24"/>
          <w:szCs w:val="24"/>
          <w:u w:val="single"/>
        </w:rPr>
        <w:t>E9临床试验统计原理</w:t>
      </w:r>
      <w:r>
        <w:rPr>
          <w:rFonts w:eastAsia="宋体"/>
          <w:color w:val="000000"/>
          <w:sz w:val="24"/>
          <w:szCs w:val="24"/>
        </w:rPr>
        <w:t>》</w:t>
      </w:r>
      <w:r>
        <w:rPr>
          <w:rFonts w:eastAsia="宋体"/>
          <w:sz w:val="24"/>
          <w:szCs w:val="24"/>
        </w:rPr>
        <w:t xml:space="preserve"> </w:t>
      </w:r>
      <w:r>
        <w:rPr>
          <w:rFonts w:eastAsia="宋体"/>
          <w:color w:val="000000"/>
          <w:sz w:val="24"/>
          <w:szCs w:val="24"/>
          <w:vertAlign w:val="superscript"/>
        </w:rPr>
        <w:footnoteReference w:id="34"/>
      </w:r>
      <w:r>
        <w:rPr>
          <w:rFonts w:eastAsia="宋体"/>
          <w:color w:val="000000"/>
          <w:sz w:val="24"/>
          <w:szCs w:val="24"/>
        </w:rPr>
        <w:t>。</w:t>
      </w:r>
    </w:p>
    <w:p w14:paraId="444BDDFB">
      <w:pPr>
        <w:shd w:val="clear" w:color="auto" w:fill="FFFFFF"/>
        <w:snapToGrid w:val="0"/>
        <w:ind w:left="1276" w:leftChars="638"/>
        <w:jc w:val="both"/>
        <w:rPr>
          <w:rFonts w:eastAsia="宋体"/>
          <w:sz w:val="24"/>
          <w:szCs w:val="24"/>
        </w:rPr>
      </w:pPr>
    </w:p>
    <w:p w14:paraId="2D8FB04A">
      <w:pPr>
        <w:pStyle w:val="6"/>
        <w:ind w:left="2309" w:hanging="323"/>
        <w:rPr>
          <w:sz w:val="24"/>
          <w:szCs w:val="24"/>
        </w:rPr>
      </w:pPr>
      <w:r>
        <w:rPr>
          <w:sz w:val="24"/>
          <w:szCs w:val="24"/>
        </w:rPr>
        <w:t>iii.</w:t>
      </w:r>
      <w:r>
        <w:rPr>
          <w:sz w:val="24"/>
          <w:szCs w:val="24"/>
        </w:rPr>
        <w:tab/>
      </w:r>
      <w:r>
        <w:rPr>
          <w:sz w:val="24"/>
          <w:szCs w:val="24"/>
        </w:rPr>
        <w:t>研究持续时间和随访计划</w:t>
      </w:r>
    </w:p>
    <w:p w14:paraId="7C6AD302">
      <w:pPr>
        <w:shd w:val="clear" w:color="auto" w:fill="FFFFFF"/>
        <w:snapToGrid w:val="0"/>
        <w:ind w:left="1276" w:leftChars="638"/>
        <w:jc w:val="both"/>
        <w:rPr>
          <w:rFonts w:eastAsia="宋体"/>
          <w:color w:val="000000"/>
          <w:sz w:val="24"/>
          <w:szCs w:val="24"/>
        </w:rPr>
      </w:pPr>
      <w:r>
        <w:rPr>
          <w:rFonts w:eastAsia="宋体"/>
          <w:color w:val="000000"/>
          <w:sz w:val="24"/>
          <w:szCs w:val="24"/>
        </w:rPr>
        <w:t>为充分评估所有安全性和主要有效性结局，拟定研究应包括足够数量的安全性和适当水平的有效性数据。由于目前缺乏关于植入电极长期有效性和识别任何长期安全性信号的数据，建议进行至少1年长期随访。长期临床耐久性和可靠性是植入式BCI器械长期有效性的重要因素；例如，随着时间推移，植入电极可能失去检测物理或生物过程信号的能力。尽管可以从动物研究中获得有关电极耐久性和可靠性的一些信息（见</w:t>
      </w:r>
      <w:r>
        <w:rPr>
          <w:rFonts w:eastAsia="宋体"/>
          <w:color w:val="0000FF"/>
          <w:sz w:val="24"/>
          <w:szCs w:val="24"/>
        </w:rPr>
        <w:t>第</w:t>
      </w:r>
      <w:r>
        <w:rPr>
          <w:rFonts w:eastAsia="宋体"/>
          <w:color w:val="0000FF"/>
          <w:sz w:val="24"/>
          <w:szCs w:val="24"/>
          <w:u w:val="single"/>
        </w:rPr>
        <w:t>III（N）（2）节</w:t>
      </w:r>
      <w:r>
        <w:rPr>
          <w:rFonts w:eastAsia="宋体"/>
          <w:color w:val="000000"/>
          <w:sz w:val="24"/>
          <w:szCs w:val="24"/>
        </w:rPr>
        <w:t>中的动物研究方案），但动物研究可能无法准确预测在人类中的长期临床性能。</w:t>
      </w:r>
    </w:p>
    <w:p w14:paraId="292DE28C">
      <w:pPr>
        <w:shd w:val="clear" w:color="auto" w:fill="FFFFFF"/>
        <w:snapToGrid w:val="0"/>
        <w:ind w:left="1276" w:leftChars="638"/>
        <w:jc w:val="both"/>
        <w:rPr>
          <w:rFonts w:eastAsia="宋体"/>
          <w:sz w:val="24"/>
          <w:szCs w:val="24"/>
        </w:rPr>
      </w:pPr>
    </w:p>
    <w:p w14:paraId="6058E136">
      <w:pPr>
        <w:pStyle w:val="6"/>
        <w:ind w:left="2309" w:hanging="323"/>
        <w:rPr>
          <w:sz w:val="24"/>
          <w:szCs w:val="24"/>
        </w:rPr>
      </w:pPr>
      <w:r>
        <w:rPr>
          <w:sz w:val="24"/>
          <w:szCs w:val="24"/>
        </w:rPr>
        <w:t>iv.</w:t>
      </w:r>
      <w:r>
        <w:rPr>
          <w:sz w:val="24"/>
          <w:szCs w:val="24"/>
        </w:rPr>
        <w:tab/>
      </w:r>
      <w:r>
        <w:rPr>
          <w:sz w:val="24"/>
          <w:szCs w:val="24"/>
        </w:rPr>
        <w:t>入选/排除标准</w:t>
      </w:r>
    </w:p>
    <w:p w14:paraId="4CC4B1FA">
      <w:pPr>
        <w:shd w:val="clear" w:color="auto" w:fill="FFFFFF"/>
        <w:snapToGrid w:val="0"/>
        <w:ind w:left="1276" w:leftChars="638"/>
        <w:jc w:val="both"/>
        <w:rPr>
          <w:rFonts w:eastAsia="宋体"/>
          <w:color w:val="000000"/>
          <w:sz w:val="24"/>
          <w:szCs w:val="24"/>
        </w:rPr>
      </w:pPr>
      <w:r>
        <w:rPr>
          <w:rFonts w:eastAsia="宋体"/>
          <w:color w:val="000000"/>
          <w:sz w:val="24"/>
          <w:szCs w:val="24"/>
        </w:rPr>
        <w:t>充分的入选标准和排除标准对确定申报器械的适当患者人群以及最终确定上市申报的预期使用人群至关重要。植入式BCI系统的任何临床研究入组标准均根据拟定治疗的目标人群和疾病过程类型（例如SCI、肌萎缩侧索硬化（ALS）、截肢和卒中）而异。</w:t>
      </w:r>
    </w:p>
    <w:p w14:paraId="30ECAA19">
      <w:pPr>
        <w:shd w:val="clear" w:color="auto" w:fill="FFFFFF"/>
        <w:snapToGrid w:val="0"/>
        <w:ind w:left="1276" w:leftChars="638"/>
        <w:jc w:val="both"/>
        <w:rPr>
          <w:rFonts w:eastAsia="宋体"/>
          <w:color w:val="000000"/>
          <w:sz w:val="24"/>
          <w:szCs w:val="24"/>
        </w:rPr>
      </w:pPr>
    </w:p>
    <w:p w14:paraId="0246589A">
      <w:pPr>
        <w:shd w:val="clear" w:color="auto" w:fill="FFFFFF"/>
        <w:snapToGrid w:val="0"/>
        <w:ind w:left="1276" w:leftChars="638"/>
        <w:jc w:val="both"/>
        <w:rPr>
          <w:rFonts w:eastAsia="宋体"/>
          <w:sz w:val="24"/>
          <w:szCs w:val="24"/>
        </w:rPr>
      </w:pPr>
      <w:r>
        <w:rPr>
          <w:rFonts w:eastAsia="宋体"/>
          <w:color w:val="000000"/>
          <w:sz w:val="24"/>
          <w:szCs w:val="24"/>
        </w:rPr>
        <w:t>任何植入式BCI系统研究的适应证，均应考虑以下一般入选标准：</w:t>
      </w:r>
    </w:p>
    <w:p w14:paraId="5FC1C56A">
      <w:pPr>
        <w:shd w:val="clear" w:color="auto" w:fill="FFFFFF"/>
        <w:tabs>
          <w:tab w:val="left" w:pos="211"/>
        </w:tabs>
        <w:snapToGrid w:val="0"/>
        <w:jc w:val="both"/>
        <w:rPr>
          <w:rFonts w:eastAsia="宋体"/>
          <w:color w:val="000000"/>
          <w:sz w:val="24"/>
          <w:szCs w:val="24"/>
          <w:vertAlign w:val="superscript"/>
        </w:rPr>
      </w:pPr>
    </w:p>
    <w:p w14:paraId="27BF5990">
      <w:pPr>
        <w:shd w:val="clear" w:color="auto" w:fill="FFFFFF"/>
        <w:tabs>
          <w:tab w:val="left" w:pos="211"/>
        </w:tabs>
        <w:snapToGrid w:val="0"/>
        <w:jc w:val="both"/>
        <w:rPr>
          <w:rFonts w:eastAsia="宋体"/>
          <w:sz w:val="24"/>
          <w:szCs w:val="24"/>
        </w:rPr>
      </w:pPr>
    </w:p>
    <w:p w14:paraId="72DBC2ED">
      <w:pPr>
        <w:shd w:val="clear" w:color="auto" w:fill="FFFFFF"/>
        <w:tabs>
          <w:tab w:val="left" w:pos="211"/>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3D1E13A">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患者年龄范围（骨骼成熟，如适用）</w:t>
      </w:r>
    </w:p>
    <w:p w14:paraId="55BA53E6">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涉及的脊髓损伤程度（如C2-C7、L2-S1，如适用）</w:t>
      </w:r>
    </w:p>
    <w:p w14:paraId="683172B2">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临床状况类型（即诊断）和瘫痪/功能受损程度（测量取决于神经状况类型）</w:t>
      </w:r>
    </w:p>
    <w:p w14:paraId="4C0A1631">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患者入院的临床条件（例如术前功能评分、术前神经评分）</w:t>
      </w:r>
    </w:p>
    <w:p w14:paraId="3A02357C">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描述任何既往、失败、非手术或保守治疗（如物理治疗、药物试验）的建议时间范围</w:t>
      </w:r>
    </w:p>
    <w:p w14:paraId="01CAAE2B">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患者能够理解并签署知情同意书</w:t>
      </w:r>
    </w:p>
    <w:p w14:paraId="57884C1C">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患者能够口头交流或通过在计算机上键入进行交流</w:t>
      </w:r>
    </w:p>
    <w:p w14:paraId="22DCB9A0">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患者能够满足拟定随访计划</w:t>
      </w:r>
    </w:p>
    <w:p w14:paraId="08C9E560">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患者能够遵循术后管理计划</w:t>
      </w:r>
    </w:p>
    <w:p w14:paraId="44715AD5">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护理者每天监控患者手术部位合并症和行为变化的意愿和能力</w:t>
      </w:r>
    </w:p>
    <w:p w14:paraId="4BB677BE">
      <w:pPr>
        <w:shd w:val="clear" w:color="auto" w:fill="FFFFFF"/>
        <w:snapToGrid w:val="0"/>
        <w:ind w:left="1276" w:leftChars="638"/>
        <w:jc w:val="both"/>
        <w:rPr>
          <w:rFonts w:eastAsia="宋体"/>
          <w:color w:val="000000"/>
          <w:sz w:val="24"/>
          <w:szCs w:val="24"/>
        </w:rPr>
      </w:pPr>
    </w:p>
    <w:p w14:paraId="321C901D">
      <w:pPr>
        <w:shd w:val="clear" w:color="auto" w:fill="FFFFFF"/>
        <w:snapToGrid w:val="0"/>
        <w:ind w:left="1276" w:leftChars="638"/>
        <w:jc w:val="both"/>
        <w:rPr>
          <w:rFonts w:eastAsia="宋体"/>
          <w:color w:val="000000"/>
          <w:sz w:val="24"/>
          <w:szCs w:val="24"/>
        </w:rPr>
      </w:pPr>
      <w:r>
        <w:rPr>
          <w:rFonts w:eastAsia="宋体"/>
          <w:color w:val="000000"/>
          <w:sz w:val="24"/>
          <w:szCs w:val="24"/>
        </w:rPr>
        <w:t>任何BCI系统研究的适应证，均应考虑以下患者从临床研究中排除：</w:t>
      </w:r>
    </w:p>
    <w:p w14:paraId="0CD16515">
      <w:pPr>
        <w:shd w:val="clear" w:color="auto" w:fill="FFFFFF"/>
        <w:snapToGrid w:val="0"/>
        <w:ind w:left="1276" w:leftChars="638"/>
        <w:jc w:val="both"/>
        <w:rPr>
          <w:rFonts w:eastAsia="宋体"/>
          <w:sz w:val="24"/>
          <w:szCs w:val="24"/>
        </w:rPr>
      </w:pPr>
    </w:p>
    <w:p w14:paraId="581F811D">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发作史</w:t>
      </w:r>
    </w:p>
    <w:p w14:paraId="4BA90F00">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智能障碍</w:t>
      </w:r>
    </w:p>
    <w:p w14:paraId="2FB14832">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存在临床相关记忆问题</w:t>
      </w:r>
    </w:p>
    <w:p w14:paraId="3F2B6DCC">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精神疾病或慢性精神疾病，包括未经治疗的重度抑郁症（轴I或轴II诊断）</w:t>
      </w:r>
    </w:p>
    <w:p w14:paraId="001FF777">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伤口主动愈合或皮肤皲裂问题</w:t>
      </w:r>
    </w:p>
    <w:p w14:paraId="6565473A">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自主神经反射异常控制不佳病史</w:t>
      </w:r>
    </w:p>
    <w:p w14:paraId="796A6259">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全身麻醉、开颅手术或外科手术医学禁忌症</w:t>
      </w:r>
    </w:p>
    <w:p w14:paraId="014BD63D">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过去6个月内诊断为急性心肌梗死或心脏骤停</w:t>
      </w:r>
    </w:p>
    <w:p w14:paraId="556696D5">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通过磁共振成像（MRI）确定的初级运动皮层区域任何类型破坏和/或损伤</w:t>
      </w:r>
    </w:p>
    <w:p w14:paraId="5BB55DD1">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其他有源植入式器械，如心脏除颤器、起搏器、迷走神经刺激器、脊髓刺激器等。</w:t>
      </w:r>
    </w:p>
    <w:p w14:paraId="57DD0A91">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依赖通气支持</w:t>
      </w:r>
    </w:p>
    <w:p w14:paraId="55EB4F3D">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可能干扰研究活动或治疗反应的合并症，可能包括：</w:t>
      </w:r>
    </w:p>
    <w:p w14:paraId="3F4BCCF3">
      <w:pPr>
        <w:shd w:val="clear" w:color="auto" w:fill="FFFFFF"/>
        <w:snapToGrid w:val="0"/>
        <w:ind w:left="1909" w:leftChars="797" w:hanging="315"/>
        <w:jc w:val="both"/>
        <w:rPr>
          <w:rFonts w:eastAsia="宋体"/>
          <w:color w:val="000000"/>
          <w:sz w:val="24"/>
          <w:szCs w:val="24"/>
        </w:rPr>
      </w:pPr>
    </w:p>
    <w:p w14:paraId="5A024E6F">
      <w:pPr>
        <w:shd w:val="clear" w:color="auto" w:fill="FFFFFF"/>
        <w:snapToGrid w:val="0"/>
        <w:ind w:left="2197" w:leftChars="941"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严重慢性肺病</w:t>
      </w:r>
    </w:p>
    <w:p w14:paraId="2587CF18">
      <w:pPr>
        <w:shd w:val="clear" w:color="auto" w:fill="FFFFFF"/>
        <w:snapToGrid w:val="0"/>
        <w:ind w:left="2197" w:leftChars="941"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局部或全身急性或慢性传染病</w:t>
      </w:r>
    </w:p>
    <w:p w14:paraId="66208C3B">
      <w:pPr>
        <w:shd w:val="clear" w:color="auto" w:fill="FFFFFF"/>
        <w:snapToGrid w:val="0"/>
        <w:ind w:left="2197" w:leftChars="941"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危及生命的心律失常</w:t>
      </w:r>
    </w:p>
    <w:p w14:paraId="09B09C56">
      <w:pPr>
        <w:shd w:val="clear" w:color="auto" w:fill="FFFFFF"/>
        <w:snapToGrid w:val="0"/>
        <w:ind w:left="2197" w:leftChars="941"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严重胶原血管疾病</w:t>
      </w:r>
    </w:p>
    <w:p w14:paraId="576A4E1B">
      <w:pPr>
        <w:shd w:val="clear" w:color="auto" w:fill="FFFFFF"/>
        <w:snapToGrid w:val="0"/>
        <w:ind w:left="2197" w:leftChars="941"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肾衰竭或其他主要器官系统衰竭</w:t>
      </w:r>
    </w:p>
    <w:p w14:paraId="24434ADC">
      <w:pPr>
        <w:shd w:val="clear" w:color="auto" w:fill="FFFFFF"/>
        <w:snapToGrid w:val="0"/>
        <w:ind w:left="1909" w:leftChars="797" w:hanging="315"/>
        <w:jc w:val="both"/>
        <w:rPr>
          <w:rFonts w:eastAsia="宋体"/>
          <w:color w:val="000000"/>
          <w:sz w:val="24"/>
          <w:szCs w:val="24"/>
        </w:rPr>
      </w:pPr>
    </w:p>
    <w:p w14:paraId="449BA6B9">
      <w:pPr>
        <w:shd w:val="clear" w:color="auto" w:fill="FFFFFF"/>
        <w:snapToGrid w:val="0"/>
        <w:ind w:left="1909" w:leftChars="79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神经消融手术史</w:t>
      </w:r>
    </w:p>
    <w:p w14:paraId="2257E804">
      <w:pPr>
        <w:shd w:val="clear" w:color="auto" w:fill="FFFFFF"/>
        <w:tabs>
          <w:tab w:val="left" w:pos="720"/>
        </w:tabs>
        <w:snapToGrid w:val="0"/>
        <w:jc w:val="both"/>
        <w:rPr>
          <w:rFonts w:eastAsia="宋体"/>
          <w:sz w:val="24"/>
          <w:szCs w:val="24"/>
        </w:rPr>
      </w:pPr>
    </w:p>
    <w:p w14:paraId="216CAF02">
      <w:pPr>
        <w:shd w:val="clear" w:color="auto" w:fill="FFFFFF"/>
        <w:tabs>
          <w:tab w:val="left" w:pos="72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1829320">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标记MRI禁忌症</w:t>
      </w:r>
    </w:p>
    <w:p w14:paraId="695323B1">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出血性卒中病史</w:t>
      </w:r>
    </w:p>
    <w:p w14:paraId="358D1AD0">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人类免疫缺陷病毒（HIV）感染或持续慢性感染病史</w:t>
      </w:r>
    </w:p>
    <w:p w14:paraId="014A6B6B">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妊娠或具有生育能力且未采取避孕措施</w:t>
      </w:r>
    </w:p>
    <w:p w14:paraId="1F0790C9">
      <w:pPr>
        <w:shd w:val="clear" w:color="auto" w:fill="FFFFFF"/>
        <w:snapToGrid w:val="0"/>
        <w:ind w:left="1909" w:leftChars="79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同时参与另一项器械或药物试验</w:t>
      </w:r>
    </w:p>
    <w:p w14:paraId="004A293F">
      <w:pPr>
        <w:shd w:val="clear" w:color="auto" w:fill="FFFFFF"/>
        <w:snapToGrid w:val="0"/>
        <w:ind w:left="1276" w:leftChars="638"/>
        <w:jc w:val="both"/>
        <w:rPr>
          <w:rFonts w:eastAsia="宋体"/>
          <w:color w:val="000000"/>
          <w:sz w:val="24"/>
          <w:szCs w:val="24"/>
        </w:rPr>
      </w:pPr>
    </w:p>
    <w:p w14:paraId="381CF3AC">
      <w:pPr>
        <w:shd w:val="clear" w:color="auto" w:fill="FFFFFF"/>
        <w:snapToGrid w:val="0"/>
        <w:ind w:left="1276" w:leftChars="638"/>
        <w:jc w:val="both"/>
        <w:rPr>
          <w:rFonts w:eastAsia="宋体"/>
          <w:color w:val="000000"/>
          <w:sz w:val="24"/>
          <w:szCs w:val="24"/>
        </w:rPr>
      </w:pPr>
      <w:r>
        <w:rPr>
          <w:rFonts w:eastAsia="宋体"/>
          <w:color w:val="000000"/>
          <w:sz w:val="24"/>
          <w:szCs w:val="24"/>
        </w:rPr>
        <w:t>如果贵司认为上述任何纳入/排除标准不适用于贵司提出的临床研究，或打算提出新的或替代的纳入/排除标准，我们建议贵司提供临床证明。</w:t>
      </w:r>
    </w:p>
    <w:p w14:paraId="49BCDBE6">
      <w:pPr>
        <w:shd w:val="clear" w:color="auto" w:fill="FFFFFF"/>
        <w:snapToGrid w:val="0"/>
        <w:ind w:left="1276" w:leftChars="638"/>
        <w:jc w:val="both"/>
        <w:rPr>
          <w:rFonts w:eastAsia="宋体"/>
          <w:sz w:val="24"/>
          <w:szCs w:val="24"/>
        </w:rPr>
      </w:pPr>
    </w:p>
    <w:p w14:paraId="6D4CDEE5">
      <w:pPr>
        <w:pStyle w:val="6"/>
        <w:ind w:left="2309" w:hanging="323"/>
        <w:rPr>
          <w:sz w:val="24"/>
          <w:szCs w:val="24"/>
        </w:rPr>
      </w:pPr>
      <w:r>
        <w:rPr>
          <w:sz w:val="24"/>
          <w:szCs w:val="24"/>
        </w:rPr>
        <w:t>v.</w:t>
      </w:r>
      <w:r>
        <w:rPr>
          <w:sz w:val="24"/>
          <w:szCs w:val="24"/>
        </w:rPr>
        <w:tab/>
      </w:r>
      <w:r>
        <w:rPr>
          <w:sz w:val="24"/>
          <w:szCs w:val="24"/>
        </w:rPr>
        <w:t>患者人口统计资料</w:t>
      </w:r>
    </w:p>
    <w:p w14:paraId="390FD6F3">
      <w:pPr>
        <w:shd w:val="clear" w:color="auto" w:fill="FFFFFF"/>
        <w:snapToGrid w:val="0"/>
        <w:ind w:left="1276" w:leftChars="638"/>
        <w:jc w:val="both"/>
        <w:rPr>
          <w:rFonts w:eastAsia="宋体"/>
          <w:color w:val="000000"/>
          <w:sz w:val="24"/>
          <w:szCs w:val="24"/>
        </w:rPr>
      </w:pPr>
    </w:p>
    <w:p w14:paraId="2FB60783">
      <w:pPr>
        <w:shd w:val="clear" w:color="auto" w:fill="FFFFFF"/>
        <w:snapToGrid w:val="0"/>
        <w:ind w:left="1276" w:leftChars="638"/>
        <w:jc w:val="both"/>
        <w:rPr>
          <w:rFonts w:eastAsia="宋体"/>
          <w:color w:val="000000"/>
          <w:sz w:val="24"/>
          <w:szCs w:val="24"/>
        </w:rPr>
      </w:pPr>
      <w:r>
        <w:rPr>
          <w:rFonts w:eastAsia="宋体"/>
          <w:color w:val="000000"/>
          <w:sz w:val="24"/>
          <w:szCs w:val="24"/>
        </w:rPr>
        <w:t>应描述可能影响研究结果的计划患者人群的特征，包括：</w:t>
      </w:r>
    </w:p>
    <w:p w14:paraId="754B0142">
      <w:pPr>
        <w:shd w:val="clear" w:color="auto" w:fill="FFFFFF"/>
        <w:snapToGrid w:val="0"/>
        <w:ind w:left="1276" w:leftChars="638"/>
        <w:jc w:val="both"/>
        <w:rPr>
          <w:rFonts w:eastAsia="宋体"/>
          <w:sz w:val="24"/>
          <w:szCs w:val="24"/>
        </w:rPr>
      </w:pPr>
    </w:p>
    <w:p w14:paraId="597C248E">
      <w:pPr>
        <w:shd w:val="clear" w:color="auto" w:fill="FFFFFF"/>
        <w:snapToGrid w:val="0"/>
        <w:ind w:left="1909" w:leftChars="79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年龄、种族、性别、疾病等特征；</w:t>
      </w:r>
      <w:r>
        <w:rPr>
          <w:rFonts w:eastAsia="宋体"/>
          <w:color w:val="000000"/>
          <w:sz w:val="24"/>
          <w:szCs w:val="24"/>
          <w:vertAlign w:val="superscript"/>
        </w:rPr>
        <w:footnoteReference w:id="35"/>
      </w:r>
      <w:r>
        <w:rPr>
          <w:rFonts w:eastAsia="宋体"/>
          <w:color w:val="000000"/>
          <w:sz w:val="24"/>
          <w:szCs w:val="24"/>
          <w:vertAlign w:val="superscript"/>
        </w:rPr>
        <w:t>,</w:t>
      </w:r>
      <w:r>
        <w:rPr>
          <w:rFonts w:eastAsia="宋体"/>
          <w:color w:val="000000"/>
          <w:sz w:val="24"/>
          <w:szCs w:val="24"/>
          <w:vertAlign w:val="superscript"/>
        </w:rPr>
        <w:footnoteReference w:id="36"/>
      </w:r>
    </w:p>
    <w:p w14:paraId="0A9344DD">
      <w:pPr>
        <w:shd w:val="clear" w:color="auto" w:fill="FFFFFF"/>
        <w:snapToGrid w:val="0"/>
        <w:ind w:left="1909" w:leftChars="79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如果进行的研究包括美国以外地区（OUS）的非美国研究临床试验机构，根据特定人群特征、疾病进展或治疗方案，可能预期的美国与非美国人群之间的所有差异。</w:t>
      </w:r>
    </w:p>
    <w:p w14:paraId="4EC58DA1">
      <w:pPr>
        <w:shd w:val="clear" w:color="auto" w:fill="FFFFFF"/>
        <w:snapToGrid w:val="0"/>
        <w:ind w:left="1276" w:leftChars="638"/>
        <w:jc w:val="both"/>
        <w:rPr>
          <w:rFonts w:eastAsia="宋体"/>
          <w:color w:val="000000"/>
          <w:sz w:val="24"/>
          <w:szCs w:val="24"/>
        </w:rPr>
      </w:pPr>
    </w:p>
    <w:p w14:paraId="0BD72DF0">
      <w:pPr>
        <w:shd w:val="clear" w:color="auto" w:fill="FFFFFF"/>
        <w:snapToGrid w:val="0"/>
        <w:ind w:left="1276" w:leftChars="638"/>
        <w:jc w:val="both"/>
        <w:rPr>
          <w:rFonts w:eastAsia="宋体"/>
          <w:color w:val="000000"/>
          <w:sz w:val="24"/>
          <w:szCs w:val="24"/>
        </w:rPr>
      </w:pPr>
      <w:r>
        <w:rPr>
          <w:rFonts w:eastAsia="宋体"/>
          <w:color w:val="000000"/>
          <w:sz w:val="24"/>
          <w:szCs w:val="24"/>
        </w:rPr>
        <w:t>同时，贵司的描述还应解释临床研究设计或结果分析中如何解释预期差异（如有）。</w:t>
      </w:r>
    </w:p>
    <w:p w14:paraId="5909F87F">
      <w:pPr>
        <w:shd w:val="clear" w:color="auto" w:fill="FFFFFF"/>
        <w:snapToGrid w:val="0"/>
        <w:ind w:left="1276" w:leftChars="638"/>
        <w:jc w:val="both"/>
        <w:rPr>
          <w:rFonts w:eastAsia="宋体"/>
          <w:sz w:val="24"/>
          <w:szCs w:val="24"/>
        </w:rPr>
      </w:pPr>
    </w:p>
    <w:p w14:paraId="6E8F15B2">
      <w:pPr>
        <w:pStyle w:val="6"/>
        <w:ind w:left="2309" w:hanging="323"/>
        <w:rPr>
          <w:sz w:val="24"/>
          <w:szCs w:val="24"/>
        </w:rPr>
      </w:pPr>
      <w:r>
        <w:rPr>
          <w:sz w:val="24"/>
          <w:szCs w:val="24"/>
        </w:rPr>
        <w:t>vi.</w:t>
      </w:r>
      <w:r>
        <w:rPr>
          <w:sz w:val="24"/>
          <w:szCs w:val="24"/>
        </w:rPr>
        <w:tab/>
      </w:r>
      <w:r>
        <w:rPr>
          <w:sz w:val="24"/>
          <w:szCs w:val="24"/>
        </w:rPr>
        <w:t>治疗参数/方案（包括术后计划）</w:t>
      </w:r>
    </w:p>
    <w:p w14:paraId="02404DA5">
      <w:pPr>
        <w:shd w:val="clear" w:color="auto" w:fill="FFFFFF"/>
        <w:snapToGrid w:val="0"/>
        <w:ind w:left="1276" w:leftChars="638"/>
        <w:jc w:val="both"/>
        <w:rPr>
          <w:rFonts w:eastAsia="宋体"/>
          <w:color w:val="000000"/>
          <w:sz w:val="24"/>
          <w:szCs w:val="24"/>
        </w:rPr>
      </w:pPr>
    </w:p>
    <w:p w14:paraId="77EF6FB5">
      <w:pPr>
        <w:shd w:val="clear" w:color="auto" w:fill="FFFFFF"/>
        <w:snapToGrid w:val="0"/>
        <w:ind w:left="1276" w:leftChars="638"/>
        <w:jc w:val="both"/>
        <w:rPr>
          <w:rFonts w:eastAsia="宋体"/>
          <w:color w:val="000000"/>
          <w:sz w:val="24"/>
          <w:szCs w:val="24"/>
        </w:rPr>
      </w:pPr>
      <w:r>
        <w:rPr>
          <w:rFonts w:eastAsia="宋体"/>
          <w:color w:val="000000"/>
          <w:sz w:val="24"/>
          <w:szCs w:val="24"/>
        </w:rPr>
        <w:t>临床研究方案应包括植入手术、术后恢复期和方案、治疗持续时间、预期的任何其他外科手术（如器械取出）的充分信息。</w:t>
      </w:r>
    </w:p>
    <w:p w14:paraId="379D5882">
      <w:pPr>
        <w:shd w:val="clear" w:color="auto" w:fill="FFFFFF"/>
        <w:snapToGrid w:val="0"/>
        <w:ind w:left="1276" w:leftChars="638"/>
        <w:jc w:val="both"/>
        <w:rPr>
          <w:rFonts w:eastAsia="宋体"/>
          <w:sz w:val="24"/>
          <w:szCs w:val="24"/>
        </w:rPr>
      </w:pPr>
    </w:p>
    <w:p w14:paraId="2A595768">
      <w:pPr>
        <w:pStyle w:val="6"/>
        <w:ind w:left="2309" w:hanging="323"/>
        <w:rPr>
          <w:sz w:val="24"/>
          <w:szCs w:val="24"/>
        </w:rPr>
      </w:pPr>
      <w:r>
        <w:rPr>
          <w:sz w:val="24"/>
          <w:szCs w:val="24"/>
        </w:rPr>
        <w:t>vii.</w:t>
      </w:r>
      <w:r>
        <w:rPr>
          <w:sz w:val="24"/>
          <w:szCs w:val="24"/>
        </w:rPr>
        <w:tab/>
      </w:r>
      <w:r>
        <w:rPr>
          <w:sz w:val="24"/>
          <w:szCs w:val="24"/>
        </w:rPr>
        <w:t>终点和其他结局</w:t>
      </w:r>
    </w:p>
    <w:p w14:paraId="407B0500">
      <w:pPr>
        <w:shd w:val="clear" w:color="auto" w:fill="FFFFFF"/>
        <w:snapToGrid w:val="0"/>
        <w:ind w:left="1591" w:leftChars="638" w:hanging="315"/>
        <w:jc w:val="both"/>
        <w:rPr>
          <w:rFonts w:eastAsia="宋体"/>
          <w:color w:val="000000"/>
          <w:sz w:val="24"/>
          <w:szCs w:val="24"/>
        </w:rPr>
      </w:pPr>
    </w:p>
    <w:p w14:paraId="4A7BB122">
      <w:pPr>
        <w:shd w:val="clear" w:color="auto" w:fill="FFFFFF"/>
        <w:snapToGrid w:val="0"/>
        <w:ind w:left="1591" w:leftChars="638" w:hanging="315"/>
        <w:jc w:val="both"/>
        <w:rPr>
          <w:rFonts w:eastAsia="宋体"/>
          <w:sz w:val="24"/>
          <w:szCs w:val="24"/>
        </w:rPr>
      </w:pPr>
      <w:r>
        <w:rPr>
          <w:rFonts w:eastAsia="宋体"/>
          <w:color w:val="000000" w:themeColor="text1"/>
          <w:sz w:val="24"/>
          <w:szCs w:val="24"/>
        </w:rPr>
        <w:t>1.</w:t>
      </w:r>
      <w:r>
        <w:rPr>
          <w:rFonts w:eastAsia="宋体"/>
          <w:color w:val="000000" w:themeColor="text1"/>
          <w:sz w:val="24"/>
          <w:szCs w:val="24"/>
        </w:rPr>
        <w:tab/>
      </w:r>
      <w:r>
        <w:rPr>
          <w:rFonts w:eastAsia="宋体"/>
          <w:color w:val="000000"/>
          <w:sz w:val="24"/>
          <w:szCs w:val="24"/>
        </w:rPr>
        <w:t>主要安全性终点：研究安全性终点应包括所有受试者的所有不良事件（AE）特征，包括但不限于治疗组和对照组（如适用）的受试者，以及与植入手术程序、植入器械和辅助受动器组件相关的不良事件。除了确定安全性终点外，我们建议贵司在研究方案中说明不良事件发生时的应对计划，以及研究中需要移除器械或受试者停药的安全标准。</w:t>
      </w:r>
    </w:p>
    <w:p w14:paraId="064740EB">
      <w:pPr>
        <w:shd w:val="clear" w:color="auto" w:fill="FFFFFF"/>
        <w:snapToGrid w:val="0"/>
        <w:ind w:left="1591" w:leftChars="638" w:hanging="315"/>
        <w:jc w:val="both"/>
        <w:rPr>
          <w:rFonts w:eastAsia="宋体"/>
          <w:sz w:val="24"/>
          <w:szCs w:val="24"/>
        </w:rPr>
      </w:pPr>
    </w:p>
    <w:p w14:paraId="7692297F">
      <w:pPr>
        <w:shd w:val="clear" w:color="auto" w:fill="FFFFFF"/>
        <w:tabs>
          <w:tab w:val="left" w:pos="226"/>
        </w:tabs>
        <w:snapToGrid w:val="0"/>
        <w:jc w:val="both"/>
        <w:rPr>
          <w:rFonts w:eastAsia="宋体"/>
          <w:color w:val="000000"/>
          <w:sz w:val="24"/>
          <w:szCs w:val="24"/>
          <w:vertAlign w:val="superscript"/>
        </w:rPr>
      </w:pPr>
    </w:p>
    <w:p w14:paraId="604EDAD5">
      <w:pPr>
        <w:shd w:val="clear" w:color="auto" w:fill="FFFFFF"/>
        <w:tabs>
          <w:tab w:val="left" w:pos="226"/>
        </w:tabs>
        <w:snapToGrid w:val="0"/>
        <w:jc w:val="both"/>
        <w:rPr>
          <w:rFonts w:eastAsia="宋体"/>
          <w:sz w:val="24"/>
          <w:szCs w:val="24"/>
        </w:rPr>
      </w:pPr>
    </w:p>
    <w:p w14:paraId="4C2DF438">
      <w:pPr>
        <w:shd w:val="clear" w:color="auto" w:fill="FFFFFF"/>
        <w:tabs>
          <w:tab w:val="left" w:pos="226"/>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9FEF631">
      <w:pPr>
        <w:shd w:val="clear" w:color="auto" w:fill="FFFFFF"/>
        <w:snapToGrid w:val="0"/>
        <w:ind w:left="1591" w:leftChars="638"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u w:val="single"/>
        </w:rPr>
        <w:t>主要有效性终点和次要有效性终点，（如使用）</w:t>
      </w:r>
      <w:r>
        <w:rPr>
          <w:rFonts w:eastAsia="宋体"/>
          <w:color w:val="000000"/>
          <w:sz w:val="24"/>
          <w:szCs w:val="24"/>
        </w:rPr>
        <w:t>：除确定主要和次要有效性终点外，贵司还应说明如何确认预期用途人群/受试者的主要有效性终点（如适用）、最小临床重要性差值和评估时间安排的适当性和临床意义。尽管推荐使用已确认的终点，但FDA认为可使用可行性研究确认预期临床指标，且可能无需事先确认的临床终点。同样，早期可行性研究可能使用未经验证的临床终点，这是由于器械开发过程中经常采用的数据类型。对于早期可行性研究和其他可行性研究中可能使用的未经验证的终点，应包括类似信息（验证方法除外），以及其临床应用的理由。</w:t>
      </w:r>
    </w:p>
    <w:p w14:paraId="65377437">
      <w:pPr>
        <w:shd w:val="clear" w:color="auto" w:fill="FFFFFF"/>
        <w:snapToGrid w:val="0"/>
        <w:ind w:left="1591" w:leftChars="638" w:hanging="315"/>
        <w:jc w:val="both"/>
        <w:rPr>
          <w:rFonts w:eastAsia="宋体"/>
          <w:color w:val="000000"/>
          <w:sz w:val="24"/>
          <w:szCs w:val="24"/>
        </w:rPr>
      </w:pPr>
    </w:p>
    <w:p w14:paraId="1B724796">
      <w:pPr>
        <w:shd w:val="clear" w:color="auto" w:fill="FFFFFF"/>
        <w:snapToGrid w:val="0"/>
        <w:ind w:left="1591" w:leftChars="638" w:hanging="315"/>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u w:val="single"/>
        </w:rPr>
        <w:t>患者输入（患者参与、患者偏好信息、患者报告的结局指标）</w:t>
      </w:r>
      <w:r>
        <w:rPr>
          <w:rFonts w:eastAsia="宋体"/>
          <w:color w:val="000000"/>
          <w:sz w:val="24"/>
          <w:szCs w:val="24"/>
        </w:rPr>
        <w:t>：</w:t>
      </w:r>
    </w:p>
    <w:p w14:paraId="0A3104A9">
      <w:pPr>
        <w:shd w:val="clear" w:color="auto" w:fill="FFFFFF"/>
        <w:snapToGrid w:val="0"/>
        <w:ind w:left="1594" w:leftChars="797"/>
        <w:jc w:val="both"/>
        <w:rPr>
          <w:rFonts w:eastAsia="宋体"/>
          <w:color w:val="000000"/>
          <w:sz w:val="24"/>
          <w:szCs w:val="24"/>
        </w:rPr>
      </w:pPr>
    </w:p>
    <w:p w14:paraId="158C7F98">
      <w:pPr>
        <w:shd w:val="clear" w:color="auto" w:fill="FFFFFF"/>
        <w:snapToGrid w:val="0"/>
        <w:ind w:left="1594" w:leftChars="797"/>
        <w:jc w:val="both"/>
        <w:rPr>
          <w:rFonts w:eastAsia="宋体"/>
          <w:color w:val="000000"/>
          <w:sz w:val="24"/>
          <w:szCs w:val="24"/>
        </w:rPr>
      </w:pPr>
      <w:r>
        <w:rPr>
          <w:rFonts w:eastAsia="宋体"/>
          <w:color w:val="000000"/>
          <w:sz w:val="24"/>
          <w:szCs w:val="24"/>
        </w:rPr>
        <w:t>临床试验设计期间患者参与可能对植入式BCI研究的设计和实施产生积极影响。患者可提供建议，以改进患者的试验经验和提高研究结果的相关性、质量和影响。</w:t>
      </w:r>
    </w:p>
    <w:p w14:paraId="4A07A689">
      <w:pPr>
        <w:shd w:val="clear" w:color="auto" w:fill="FFFFFF"/>
        <w:snapToGrid w:val="0"/>
        <w:ind w:left="1594" w:leftChars="797"/>
        <w:jc w:val="both"/>
        <w:rPr>
          <w:rFonts w:eastAsia="宋体"/>
          <w:sz w:val="24"/>
          <w:szCs w:val="24"/>
        </w:rPr>
      </w:pPr>
    </w:p>
    <w:p w14:paraId="228CB814">
      <w:pPr>
        <w:shd w:val="clear" w:color="auto" w:fill="FFFFFF"/>
        <w:snapToGrid w:val="0"/>
        <w:ind w:left="1594" w:leftChars="797"/>
        <w:jc w:val="both"/>
        <w:rPr>
          <w:rFonts w:eastAsia="宋体"/>
          <w:sz w:val="24"/>
          <w:szCs w:val="24"/>
        </w:rPr>
      </w:pPr>
      <w:r>
        <w:rPr>
          <w:rFonts w:eastAsia="宋体"/>
          <w:color w:val="000000"/>
          <w:sz w:val="24"/>
          <w:szCs w:val="24"/>
        </w:rPr>
        <w:t>患者偏好信息（PPI）可能是医疗器械（包括植入式BCI器械）设计和获益-风险评价的重要因素。理想情况下，BCI技术应舒适、</w:t>
      </w:r>
      <w:r>
        <w:rPr>
          <w:rFonts w:hint="eastAsia" w:eastAsia="宋体"/>
          <w:color w:val="000000"/>
          <w:sz w:val="24"/>
          <w:szCs w:val="24"/>
        </w:rPr>
        <w:t>易于</w:t>
      </w:r>
      <w:r>
        <w:rPr>
          <w:rFonts w:eastAsia="宋体"/>
          <w:color w:val="000000"/>
          <w:sz w:val="24"/>
          <w:szCs w:val="24"/>
        </w:rPr>
        <w:t>穿戴（即穿脱，如适用）、用户友好、可靠、美观中立或具有吸引力，因此患者愿意接受和使用该器械。日常校准要求、使用疲劳和性能不一致等因素可能影响患者在决定治疗选择方案时愿意做出的获益-风险权衡。此外，风险耐受性可能因残疾严重度而异。例如，四肢瘫痪患者可能比单肢截肢患者更愿意接受脑植入器械相关风险。FDA建议对潜在PPI研究展开早期讨论，以确保其监管相关性；请注意，尽管可将PPI研究整合到综合研究计划中，但PPI研究通常与IDE临床研究分开进行。有关将PPI纳入研究或申报资料的更多信息，请参考GFA指南《</w:t>
      </w:r>
      <w:r>
        <w:rPr>
          <w:rFonts w:eastAsia="宋体"/>
          <w:color w:val="0000FF"/>
          <w:sz w:val="24"/>
          <w:szCs w:val="24"/>
          <w:u w:val="single"/>
        </w:rPr>
        <w:t>患者偏好信息 - 自愿申报，上市前批准申请评审，人道主义器械豁免申请和新请求以及讨论总结和器械标签纳入</w:t>
      </w:r>
      <w:r>
        <w:rPr>
          <w:rFonts w:eastAsia="宋体"/>
          <w:color w:val="000000"/>
          <w:sz w:val="24"/>
          <w:szCs w:val="24"/>
        </w:rPr>
        <w:t>》</w:t>
      </w:r>
      <w:r>
        <w:rPr>
          <w:rFonts w:eastAsia="宋体"/>
          <w:color w:val="000000"/>
          <w:sz w:val="24"/>
          <w:szCs w:val="24"/>
          <w:vertAlign w:val="superscript"/>
        </w:rPr>
        <w:footnoteReference w:id="37"/>
      </w:r>
      <w:r>
        <w:rPr>
          <w:rFonts w:eastAsia="宋体"/>
          <w:color w:val="000000"/>
          <w:sz w:val="24"/>
          <w:szCs w:val="24"/>
        </w:rPr>
        <w:t>。</w:t>
      </w:r>
    </w:p>
    <w:p w14:paraId="0B7E96BC">
      <w:pPr>
        <w:shd w:val="clear" w:color="auto" w:fill="FFFFFF"/>
        <w:snapToGrid w:val="0"/>
        <w:ind w:left="1594" w:leftChars="797"/>
        <w:jc w:val="both"/>
        <w:rPr>
          <w:rFonts w:eastAsia="宋体"/>
          <w:sz w:val="24"/>
          <w:szCs w:val="24"/>
        </w:rPr>
      </w:pPr>
    </w:p>
    <w:p w14:paraId="12695802">
      <w:pPr>
        <w:shd w:val="clear" w:color="auto" w:fill="FFFFFF"/>
        <w:snapToGrid w:val="0"/>
        <w:jc w:val="both"/>
        <w:rPr>
          <w:rFonts w:eastAsia="宋体"/>
          <w:sz w:val="24"/>
          <w:szCs w:val="24"/>
        </w:rPr>
      </w:pPr>
    </w:p>
    <w:p w14:paraId="6E61F08F">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r>
        <w:rPr>
          <w:rFonts w:eastAsia="宋体"/>
          <w:sz w:val="24"/>
          <w:szCs w:val="24"/>
        </w:rPr>
        <w:t xml:space="preserve"> </w:t>
      </w:r>
    </w:p>
    <w:p w14:paraId="3E5681C1">
      <w:pPr>
        <w:shd w:val="clear" w:color="auto" w:fill="FFFFFF"/>
        <w:snapToGrid w:val="0"/>
        <w:ind w:left="1594" w:leftChars="797"/>
        <w:jc w:val="both"/>
        <w:rPr>
          <w:rFonts w:eastAsia="宋体"/>
          <w:color w:val="000000"/>
          <w:sz w:val="24"/>
          <w:szCs w:val="24"/>
        </w:rPr>
      </w:pPr>
      <w:r>
        <w:rPr>
          <w:rFonts w:eastAsia="宋体"/>
          <w:color w:val="000000"/>
          <w:sz w:val="24"/>
          <w:szCs w:val="24"/>
        </w:rPr>
        <w:t>当关注结局和预期用途最好从患者角度进行衡量时（例如疼痛减轻），可使用患者报告的结局指标（PROM）。这种情况下，重要的是选择适当</w:t>
      </w:r>
      <w:r>
        <w:rPr>
          <w:rFonts w:ascii="宋体" w:hAnsi="宋体" w:eastAsia="宋体"/>
          <w:color w:val="000000"/>
          <w:sz w:val="24"/>
          <w:szCs w:val="24"/>
        </w:rPr>
        <w:t>“</w:t>
      </w:r>
      <w:r>
        <w:rPr>
          <w:rFonts w:eastAsia="宋体"/>
          <w:color w:val="000000"/>
          <w:sz w:val="24"/>
          <w:szCs w:val="24"/>
        </w:rPr>
        <w:t>使用背景</w:t>
      </w:r>
      <w:r>
        <w:rPr>
          <w:rFonts w:ascii="宋体" w:hAnsi="宋体" w:eastAsia="宋体"/>
          <w:color w:val="000000"/>
          <w:sz w:val="24"/>
          <w:szCs w:val="24"/>
        </w:rPr>
        <w:t>”</w:t>
      </w:r>
      <w:r>
        <w:rPr>
          <w:rFonts w:eastAsia="宋体"/>
          <w:color w:val="000000"/>
          <w:sz w:val="24"/>
          <w:szCs w:val="24"/>
        </w:rPr>
        <w:t>验证的评分评估。</w:t>
      </w:r>
      <w:r>
        <w:rPr>
          <w:rFonts w:eastAsia="宋体"/>
          <w:sz w:val="24"/>
          <w:szCs w:val="24"/>
        </w:rPr>
        <w:t xml:space="preserve"> </w:t>
      </w:r>
      <w:r>
        <w:rPr>
          <w:rFonts w:eastAsia="宋体"/>
          <w:color w:val="000000"/>
          <w:sz w:val="24"/>
          <w:szCs w:val="24"/>
          <w:vertAlign w:val="superscript"/>
        </w:rPr>
        <w:footnoteReference w:id="38"/>
      </w:r>
      <w:r>
        <w:rPr>
          <w:rFonts w:eastAsia="宋体"/>
          <w:color w:val="000000"/>
          <w:sz w:val="24"/>
          <w:szCs w:val="24"/>
        </w:rPr>
        <w:t>这种情况下，重要的是选择受试者人群和治疗的疾病和希望的预期用途。因此，在研究设计阶段与FDA进行早期讨论非常重要。这些指标通常与其他临床结局评估（COA）联合使用作为复合终点。多机构试验中使用PROM时，申办者应确保PROM可解释，衡量相同概念且不同文化和语言之间有效。见FDA指南，标题为</w:t>
      </w:r>
      <w:r>
        <w:rPr>
          <w:rFonts w:ascii="宋体" w:hAnsi="宋体" w:eastAsia="宋体"/>
          <w:color w:val="000000"/>
          <w:sz w:val="24"/>
          <w:szCs w:val="24"/>
        </w:rPr>
        <w:t>“</w:t>
      </w:r>
      <w:r>
        <w:rPr>
          <w:rFonts w:eastAsia="宋体"/>
          <w:color w:val="0000FF"/>
          <w:sz w:val="24"/>
          <w:szCs w:val="24"/>
          <w:u w:val="single"/>
        </w:rPr>
        <w:t>患者报告结局测量</w:t>
      </w:r>
      <w:r>
        <w:rPr>
          <w:rFonts w:eastAsia="宋体"/>
          <w:color w:val="0000FF"/>
          <w:sz w:val="24"/>
          <w:szCs w:val="24"/>
        </w:rPr>
        <w:t>：</w:t>
      </w:r>
      <w:r>
        <w:rPr>
          <w:rFonts w:eastAsia="宋体"/>
          <w:color w:val="0000FF"/>
          <w:sz w:val="24"/>
          <w:szCs w:val="24"/>
          <w:u w:val="single"/>
        </w:rPr>
        <w:t>在医疗产品开发中用于支持标签声明</w:t>
      </w:r>
      <w:r>
        <w:rPr>
          <w:rFonts w:ascii="宋体" w:hAnsi="宋体" w:eastAsia="宋体"/>
          <w:color w:val="000000"/>
          <w:sz w:val="24"/>
          <w:szCs w:val="24"/>
          <w:u w:val="single"/>
        </w:rPr>
        <w:t>”</w:t>
      </w:r>
      <w:r>
        <w:rPr>
          <w:rFonts w:eastAsia="宋体"/>
          <w:sz w:val="24"/>
          <w:szCs w:val="24"/>
        </w:rPr>
        <w:t xml:space="preserve"> </w:t>
      </w:r>
      <w:r>
        <w:rPr>
          <w:rFonts w:eastAsia="宋体"/>
          <w:color w:val="000000"/>
          <w:sz w:val="24"/>
          <w:szCs w:val="24"/>
          <w:vertAlign w:val="superscript"/>
        </w:rPr>
        <w:footnoteReference w:id="39"/>
      </w:r>
      <w:r>
        <w:rPr>
          <w:rFonts w:eastAsia="宋体"/>
          <w:color w:val="000000"/>
          <w:sz w:val="24"/>
          <w:szCs w:val="24"/>
        </w:rPr>
        <w:t>，以获取有关将PROM纳入研究或提交的更多信息。</w:t>
      </w:r>
    </w:p>
    <w:p w14:paraId="17BCA0DB">
      <w:pPr>
        <w:shd w:val="clear" w:color="auto" w:fill="FFFFFF"/>
        <w:snapToGrid w:val="0"/>
        <w:ind w:left="1400" w:leftChars="700"/>
        <w:jc w:val="both"/>
        <w:rPr>
          <w:rFonts w:eastAsia="宋体"/>
          <w:sz w:val="24"/>
          <w:szCs w:val="24"/>
        </w:rPr>
      </w:pPr>
    </w:p>
    <w:p w14:paraId="3A73BFEF">
      <w:pPr>
        <w:pStyle w:val="5"/>
        <w:ind w:left="1783" w:hanging="361"/>
        <w:rPr>
          <w:rFonts w:eastAsia="宋体"/>
          <w:sz w:val="24"/>
          <w:szCs w:val="24"/>
        </w:rPr>
      </w:pPr>
      <w:r>
        <w:rPr>
          <w:rFonts w:eastAsia="宋体"/>
          <w:sz w:val="24"/>
          <w:szCs w:val="24"/>
        </w:rPr>
        <w:t>d.</w:t>
      </w:r>
      <w:r>
        <w:rPr>
          <w:rFonts w:eastAsia="宋体"/>
          <w:sz w:val="24"/>
          <w:szCs w:val="24"/>
        </w:rPr>
        <w:tab/>
      </w:r>
      <w:r>
        <w:rPr>
          <w:rFonts w:eastAsia="宋体"/>
          <w:sz w:val="24"/>
          <w:szCs w:val="24"/>
        </w:rPr>
        <w:t>知情同意书文件</w:t>
      </w:r>
    </w:p>
    <w:p w14:paraId="05970D84">
      <w:pPr>
        <w:shd w:val="clear" w:color="auto" w:fill="FFFFFF"/>
        <w:snapToGrid w:val="0"/>
        <w:ind w:left="1276" w:leftChars="638"/>
        <w:jc w:val="both"/>
        <w:rPr>
          <w:rFonts w:eastAsia="宋体"/>
          <w:color w:val="000000" w:themeColor="text1"/>
          <w:sz w:val="24"/>
          <w:szCs w:val="24"/>
          <w:u w:val="single"/>
        </w:rPr>
      </w:pPr>
      <w:r>
        <w:rPr>
          <w:rFonts w:eastAsia="宋体"/>
          <w:color w:val="000000" w:themeColor="text1"/>
          <w:sz w:val="24"/>
          <w:szCs w:val="24"/>
          <w:u w:val="single"/>
        </w:rPr>
        <w:t xml:space="preserve">知情同意书文件（ICD）必须包括所有规定要素并适当措辞。 </w:t>
      </w:r>
      <w:r>
        <w:rPr>
          <w:rFonts w:eastAsia="宋体"/>
          <w:color w:val="000000" w:themeColor="text1"/>
          <w:sz w:val="24"/>
          <w:szCs w:val="24"/>
          <w:u w:val="single"/>
          <w:vertAlign w:val="superscript"/>
        </w:rPr>
        <w:footnoteReference w:id="40"/>
      </w:r>
      <w:r>
        <w:rPr>
          <w:rFonts w:eastAsia="宋体"/>
          <w:color w:val="000000" w:themeColor="text1"/>
          <w:sz w:val="24"/>
          <w:szCs w:val="24"/>
          <w:u w:val="single"/>
        </w:rPr>
        <w:t>我局建议</w:t>
      </w:r>
      <w:r>
        <w:rPr>
          <w:rFonts w:hint="eastAsia" w:eastAsia="宋体"/>
          <w:color w:val="000000" w:themeColor="text1"/>
          <w:sz w:val="24"/>
          <w:szCs w:val="24"/>
          <w:u w:val="single"/>
        </w:rPr>
        <w:t>应</w:t>
      </w:r>
      <w:r>
        <w:rPr>
          <w:rFonts w:eastAsia="宋体"/>
          <w:color w:val="000000" w:themeColor="text1"/>
          <w:sz w:val="24"/>
          <w:szCs w:val="24"/>
          <w:u w:val="single"/>
        </w:rPr>
        <w:t>确保文件仅包含普通患者能够理解的</w:t>
      </w:r>
      <w:r>
        <w:rPr>
          <w:rFonts w:hint="eastAsia" w:eastAsia="宋体"/>
          <w:color w:val="000000" w:themeColor="text1"/>
          <w:sz w:val="24"/>
          <w:szCs w:val="24"/>
          <w:u w:val="single"/>
        </w:rPr>
        <w:t>词语</w:t>
      </w:r>
      <w:r>
        <w:rPr>
          <w:rFonts w:eastAsia="宋体"/>
          <w:color w:val="000000" w:themeColor="text1"/>
          <w:sz w:val="24"/>
          <w:szCs w:val="24"/>
          <w:u w:val="single"/>
        </w:rPr>
        <w:t>和术语。ICD不得包含可能导致受试者高估个人获益机会的语言。</w:t>
      </w:r>
    </w:p>
    <w:p w14:paraId="0EEE44B1">
      <w:pPr>
        <w:shd w:val="clear" w:color="auto" w:fill="FFFFFF"/>
        <w:snapToGrid w:val="0"/>
        <w:ind w:left="1276" w:leftChars="638"/>
        <w:jc w:val="both"/>
        <w:rPr>
          <w:rFonts w:eastAsia="宋体"/>
          <w:color w:val="000000" w:themeColor="text1"/>
          <w:sz w:val="24"/>
          <w:szCs w:val="24"/>
          <w:u w:val="single"/>
        </w:rPr>
      </w:pPr>
    </w:p>
    <w:p w14:paraId="65CDF591">
      <w:pPr>
        <w:pStyle w:val="5"/>
        <w:ind w:left="1783" w:hanging="361"/>
        <w:rPr>
          <w:rFonts w:eastAsia="宋体"/>
          <w:sz w:val="24"/>
          <w:szCs w:val="24"/>
        </w:rPr>
      </w:pPr>
      <w:r>
        <w:rPr>
          <w:rFonts w:eastAsia="宋体"/>
          <w:sz w:val="24"/>
          <w:szCs w:val="24"/>
        </w:rPr>
        <w:t>e.</w:t>
      </w:r>
      <w:r>
        <w:rPr>
          <w:rFonts w:eastAsia="宋体"/>
          <w:sz w:val="24"/>
          <w:szCs w:val="24"/>
        </w:rPr>
        <w:tab/>
      </w:r>
      <w:r>
        <w:rPr>
          <w:rFonts w:eastAsia="宋体"/>
          <w:sz w:val="24"/>
          <w:szCs w:val="24"/>
        </w:rPr>
        <w:t>统计分析计划（SAP）考虑</w:t>
      </w:r>
    </w:p>
    <w:p w14:paraId="2952AF84">
      <w:pPr>
        <w:shd w:val="clear" w:color="auto" w:fill="FFFFFF"/>
        <w:snapToGrid w:val="0"/>
        <w:ind w:left="1276" w:leftChars="638"/>
        <w:jc w:val="both"/>
        <w:rPr>
          <w:rFonts w:eastAsia="宋体"/>
          <w:color w:val="000000"/>
          <w:sz w:val="24"/>
          <w:szCs w:val="24"/>
        </w:rPr>
      </w:pPr>
      <w:r>
        <w:rPr>
          <w:rFonts w:eastAsia="宋体"/>
          <w:color w:val="000000"/>
          <w:sz w:val="24"/>
          <w:szCs w:val="24"/>
        </w:rPr>
        <w:t>统计分析计划（SAP）因临床试验类型而异。例如，可行性研究的受试者人数可能较少，临床研究方案的设计可能有助于理解新疗法。因此，统计计划可能仅限于描述性统计量。</w:t>
      </w:r>
    </w:p>
    <w:p w14:paraId="64242DBF">
      <w:pPr>
        <w:shd w:val="clear" w:color="auto" w:fill="FFFFFF"/>
        <w:snapToGrid w:val="0"/>
        <w:ind w:left="1276" w:leftChars="638"/>
        <w:jc w:val="both"/>
        <w:rPr>
          <w:rFonts w:eastAsia="宋体"/>
          <w:sz w:val="24"/>
          <w:szCs w:val="24"/>
        </w:rPr>
      </w:pPr>
    </w:p>
    <w:p w14:paraId="5AFBED93">
      <w:pPr>
        <w:shd w:val="clear" w:color="auto" w:fill="FFFFFF"/>
        <w:snapToGrid w:val="0"/>
        <w:ind w:left="1276" w:leftChars="638"/>
        <w:jc w:val="both"/>
        <w:rPr>
          <w:rFonts w:eastAsia="宋体"/>
          <w:sz w:val="24"/>
          <w:szCs w:val="24"/>
        </w:rPr>
      </w:pPr>
    </w:p>
    <w:p w14:paraId="0DD5FD8B">
      <w:pPr>
        <w:shd w:val="clear" w:color="auto" w:fill="FFFFFF"/>
        <w:tabs>
          <w:tab w:val="left" w:pos="178"/>
        </w:tabs>
        <w:snapToGrid w:val="0"/>
        <w:jc w:val="both"/>
        <w:rPr>
          <w:rFonts w:eastAsia="宋体"/>
          <w:color w:val="000000"/>
          <w:sz w:val="24"/>
          <w:szCs w:val="24"/>
          <w:vertAlign w:val="superscript"/>
        </w:rPr>
      </w:pPr>
    </w:p>
    <w:p w14:paraId="656C6881">
      <w:pPr>
        <w:shd w:val="clear" w:color="auto" w:fill="FFFFFF"/>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AF200BF">
      <w:pPr>
        <w:shd w:val="clear" w:color="auto" w:fill="FFFFFF"/>
        <w:snapToGrid w:val="0"/>
        <w:ind w:left="1276" w:leftChars="638"/>
        <w:jc w:val="both"/>
        <w:rPr>
          <w:rFonts w:eastAsia="宋体"/>
          <w:color w:val="000000" w:themeColor="text1"/>
          <w:sz w:val="24"/>
          <w:szCs w:val="24"/>
        </w:rPr>
      </w:pPr>
      <w:r>
        <w:rPr>
          <w:rFonts w:eastAsia="宋体"/>
          <w:color w:val="000000" w:themeColor="text1"/>
          <w:sz w:val="24"/>
          <w:szCs w:val="24"/>
        </w:rPr>
        <w:t>对于旨在证明有效性的临床研究（例如关键性研究），研究方案应包括详细、预先规定的SAP，其中包括在研究设计中尽可能评价关键假设的计划（例如，跨临床研究机构或地理区域的汇总分析，交叉研究设计中的延滞效应评估，或生存分析中风险的比例性）。在研究完成时，在分析数据时应遵守预定SAP，以支持研究产生的</w:t>
      </w:r>
      <w:bookmarkStart w:id="65" w:name="bookmark32"/>
      <w:bookmarkEnd w:id="65"/>
      <w:r>
        <w:rPr>
          <w:rFonts w:eastAsia="宋体"/>
          <w:color w:val="000000" w:themeColor="text1"/>
          <w:sz w:val="24"/>
          <w:szCs w:val="24"/>
        </w:rPr>
        <w:t xml:space="preserve">证据的有用性 </w:t>
      </w:r>
      <w:r>
        <w:rPr>
          <w:rFonts w:eastAsia="宋体"/>
          <w:color w:val="000000" w:themeColor="text1"/>
          <w:sz w:val="24"/>
          <w:szCs w:val="24"/>
          <w:vertAlign w:val="superscript"/>
        </w:rPr>
        <w:footnoteReference w:id="41"/>
      </w:r>
      <w:r>
        <w:rPr>
          <w:rFonts w:eastAsia="宋体"/>
          <w:color w:val="000000" w:themeColor="text1"/>
          <w:sz w:val="24"/>
          <w:szCs w:val="24"/>
        </w:rPr>
        <w:t xml:space="preserve">同时，也可使用贝叶斯统计等高级分析技术适应适应性试验设计、分析复杂模型或进行敏感性分析。 </w:t>
      </w:r>
      <w:r>
        <w:rPr>
          <w:rFonts w:eastAsia="宋体"/>
          <w:color w:val="000000" w:themeColor="text1"/>
          <w:sz w:val="24"/>
          <w:szCs w:val="24"/>
          <w:vertAlign w:val="superscript"/>
        </w:rPr>
        <w:footnoteReference w:id="42"/>
      </w:r>
    </w:p>
    <w:p w14:paraId="011357BD">
      <w:pPr>
        <w:shd w:val="clear" w:color="auto" w:fill="FFFFFF"/>
        <w:tabs>
          <w:tab w:val="left" w:pos="226"/>
        </w:tabs>
        <w:snapToGrid w:val="0"/>
        <w:jc w:val="both"/>
        <w:rPr>
          <w:rFonts w:eastAsia="宋体"/>
          <w:color w:val="000000"/>
          <w:sz w:val="24"/>
          <w:szCs w:val="24"/>
          <w:vertAlign w:val="superscript"/>
        </w:rPr>
      </w:pPr>
    </w:p>
    <w:p w14:paraId="5E19918D">
      <w:pPr>
        <w:shd w:val="clear" w:color="auto" w:fill="FFFFFF"/>
        <w:tabs>
          <w:tab w:val="left" w:pos="226"/>
        </w:tabs>
        <w:snapToGrid w:val="0"/>
        <w:jc w:val="both"/>
        <w:rPr>
          <w:rFonts w:eastAsia="宋体"/>
          <w:sz w:val="24"/>
          <w:szCs w:val="24"/>
        </w:rPr>
      </w:pPr>
    </w:p>
    <w:p w14:paraId="15F1A84A">
      <w:pPr>
        <w:shd w:val="clear" w:color="auto" w:fill="FFFFFF"/>
        <w:tabs>
          <w:tab w:val="left" w:pos="226"/>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2D1EA8F">
      <w:pPr>
        <w:pStyle w:val="2"/>
        <w:spacing w:before="240" w:after="240"/>
        <w:ind w:left="618" w:hanging="618"/>
        <w:jc w:val="center"/>
        <w:rPr>
          <w:rFonts w:eastAsia="宋体"/>
        </w:rPr>
      </w:pPr>
      <w:bookmarkStart w:id="66" w:name="_Toc97494964"/>
      <w:r>
        <w:rPr>
          <w:rFonts w:eastAsia="宋体"/>
        </w:rPr>
        <w:t>附录A</w:t>
      </w:r>
      <w:r>
        <w:rPr>
          <w:rFonts w:eastAsia="宋体"/>
          <w:b w:val="0"/>
          <w:bCs w:val="0"/>
        </w:rPr>
        <w:br w:type="textWrapping"/>
      </w:r>
      <w:r>
        <w:rPr>
          <w:rFonts w:eastAsia="宋体"/>
        </w:rPr>
        <w:t>刺激输出规范</w:t>
      </w:r>
      <w:bookmarkEnd w:id="66"/>
    </w:p>
    <w:p w14:paraId="7A205B51">
      <w:pPr>
        <w:shd w:val="clear" w:color="auto" w:fill="FFFFFF"/>
        <w:snapToGrid w:val="0"/>
        <w:jc w:val="both"/>
        <w:rPr>
          <w:rFonts w:eastAsia="宋体"/>
          <w:sz w:val="24"/>
          <w:szCs w:val="24"/>
        </w:rPr>
      </w:pPr>
      <w:bookmarkStart w:id="67" w:name="bookmark33"/>
      <w:bookmarkEnd w:id="67"/>
      <w:r>
        <w:rPr>
          <w:rFonts w:eastAsia="宋体"/>
          <w:color w:val="000000"/>
          <w:sz w:val="24"/>
          <w:szCs w:val="24"/>
        </w:rPr>
        <w:t>输出模式定义为（出于报告目的）器械产生的波形。例如，双相对称和双相不对称视为</w:t>
      </w:r>
      <w:r>
        <w:rPr>
          <w:rFonts w:hint="eastAsia" w:eastAsia="宋体"/>
          <w:color w:val="000000"/>
          <w:sz w:val="24"/>
          <w:szCs w:val="24"/>
        </w:rPr>
        <w:t>不同的</w:t>
      </w:r>
      <w:r>
        <w:rPr>
          <w:rFonts w:eastAsia="宋体"/>
          <w:color w:val="000000"/>
          <w:sz w:val="24"/>
          <w:szCs w:val="24"/>
        </w:rPr>
        <w:t>输出模式。如果输出模式下的给定参数具有多个可用数值，则制造商应提供范围并确定该范围内可选择的不同步骤（如果不连续）。下表提供了如何组织每种输出模式的信息示例。本表并非参数的详尽列表；确保贵司提供了上述</w:t>
      </w:r>
      <w:r>
        <w:rPr>
          <w:rFonts w:eastAsia="宋体"/>
          <w:color w:val="0000FF"/>
          <w:sz w:val="24"/>
          <w:szCs w:val="24"/>
          <w:u w:val="single"/>
        </w:rPr>
        <w:t>第III（A）节</w:t>
      </w:r>
      <w:r>
        <w:rPr>
          <w:rFonts w:eastAsia="宋体"/>
          <w:color w:val="000000"/>
          <w:sz w:val="24"/>
          <w:szCs w:val="24"/>
        </w:rPr>
        <w:t>和</w:t>
      </w:r>
      <w:r>
        <w:rPr>
          <w:rFonts w:eastAsia="宋体"/>
          <w:color w:val="0000FF"/>
          <w:sz w:val="24"/>
          <w:szCs w:val="24"/>
          <w:u w:val="single"/>
        </w:rPr>
        <w:t>第III（L）节</w:t>
      </w:r>
      <w:r>
        <w:rPr>
          <w:rFonts w:eastAsia="宋体"/>
          <w:color w:val="000000"/>
          <w:sz w:val="24"/>
          <w:szCs w:val="24"/>
        </w:rPr>
        <w:t>所述的所有相关器械描述特征。</w:t>
      </w:r>
    </w:p>
    <w:p w14:paraId="465C3DDE">
      <w:pPr>
        <w:snapToGrid w:val="0"/>
        <w:jc w:val="both"/>
        <w:rPr>
          <w:rFonts w:eastAsia="宋体"/>
          <w:sz w:val="24"/>
          <w:szCs w:val="24"/>
        </w:rPr>
      </w:pPr>
    </w:p>
    <w:tbl>
      <w:tblPr>
        <w:tblStyle w:val="16"/>
        <w:tblW w:w="0" w:type="auto"/>
        <w:jc w:val="center"/>
        <w:tblLayout w:type="fixed"/>
        <w:tblCellMar>
          <w:top w:w="0" w:type="dxa"/>
          <w:left w:w="40" w:type="dxa"/>
          <w:bottom w:w="0" w:type="dxa"/>
          <w:right w:w="40" w:type="dxa"/>
        </w:tblCellMar>
      </w:tblPr>
      <w:tblGrid>
        <w:gridCol w:w="6307"/>
        <w:gridCol w:w="2078"/>
      </w:tblGrid>
      <w:tr w14:paraId="6138690C">
        <w:tblPrEx>
          <w:tblCellMar>
            <w:top w:w="0" w:type="dxa"/>
            <w:left w:w="40" w:type="dxa"/>
            <w:bottom w:w="0" w:type="dxa"/>
            <w:right w:w="40" w:type="dxa"/>
          </w:tblCellMar>
        </w:tblPrEx>
        <w:trPr>
          <w:jc w:val="center"/>
        </w:trPr>
        <w:tc>
          <w:tcPr>
            <w:tcW w:w="6307" w:type="dxa"/>
            <w:tcBorders>
              <w:top w:val="single" w:color="auto" w:sz="4" w:space="0"/>
              <w:left w:val="single" w:color="auto" w:sz="4" w:space="0"/>
              <w:bottom w:val="single" w:color="auto" w:sz="4" w:space="0"/>
              <w:right w:val="single" w:color="auto" w:sz="6" w:space="0"/>
            </w:tcBorders>
            <w:shd w:val="clear" w:color="auto" w:fill="E6E6E6"/>
            <w:tcMar>
              <w:left w:w="57" w:type="dxa"/>
              <w:right w:w="57" w:type="dxa"/>
            </w:tcMar>
          </w:tcPr>
          <w:p w14:paraId="5BBE48D6">
            <w:pPr>
              <w:snapToGrid w:val="0"/>
              <w:jc w:val="center"/>
              <w:rPr>
                <w:rFonts w:eastAsia="宋体"/>
                <w:sz w:val="21"/>
                <w:szCs w:val="21"/>
              </w:rPr>
            </w:pPr>
            <w:r>
              <w:rPr>
                <w:rFonts w:eastAsia="宋体"/>
                <w:color w:val="000000"/>
                <w:sz w:val="21"/>
                <w:szCs w:val="21"/>
              </w:rPr>
              <w:t>输出特征</w:t>
            </w:r>
          </w:p>
        </w:tc>
        <w:tc>
          <w:tcPr>
            <w:tcW w:w="2078" w:type="dxa"/>
            <w:tcBorders>
              <w:top w:val="single" w:color="auto" w:sz="4" w:space="0"/>
              <w:left w:val="single" w:color="auto" w:sz="6" w:space="0"/>
              <w:bottom w:val="single" w:color="auto" w:sz="4" w:space="0"/>
              <w:right w:val="single" w:color="auto" w:sz="4" w:space="0"/>
            </w:tcBorders>
            <w:shd w:val="clear" w:color="auto" w:fill="E6E6E6"/>
            <w:tcMar>
              <w:left w:w="57" w:type="dxa"/>
              <w:right w:w="57" w:type="dxa"/>
            </w:tcMar>
          </w:tcPr>
          <w:p w14:paraId="2DFD15C1">
            <w:pPr>
              <w:snapToGrid w:val="0"/>
              <w:jc w:val="center"/>
              <w:rPr>
                <w:rFonts w:eastAsia="宋体"/>
                <w:sz w:val="21"/>
                <w:szCs w:val="21"/>
              </w:rPr>
            </w:pPr>
            <w:r>
              <w:rPr>
                <w:rFonts w:eastAsia="宋体"/>
                <w:color w:val="000000"/>
                <w:sz w:val="21"/>
                <w:szCs w:val="21"/>
              </w:rPr>
              <w:t>器械输出</w:t>
            </w:r>
          </w:p>
        </w:tc>
      </w:tr>
      <w:tr w14:paraId="61073A44">
        <w:tblPrEx>
          <w:tblCellMar>
            <w:top w:w="0" w:type="dxa"/>
            <w:left w:w="40" w:type="dxa"/>
            <w:bottom w:w="0" w:type="dxa"/>
            <w:right w:w="40" w:type="dxa"/>
          </w:tblCellMar>
        </w:tblPrEx>
        <w:trPr>
          <w:jc w:val="center"/>
        </w:trPr>
        <w:tc>
          <w:tcPr>
            <w:tcW w:w="6307"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4C22ECB1">
            <w:pPr>
              <w:snapToGrid w:val="0"/>
              <w:rPr>
                <w:rFonts w:eastAsia="宋体"/>
                <w:sz w:val="21"/>
                <w:szCs w:val="21"/>
              </w:rPr>
            </w:pPr>
            <w:r>
              <w:rPr>
                <w:rFonts w:eastAsia="宋体"/>
                <w:color w:val="000000"/>
                <w:sz w:val="21"/>
                <w:szCs w:val="21"/>
              </w:rPr>
              <w:t>输出通道数量</w:t>
            </w:r>
            <w:r>
              <w:rPr>
                <w:rFonts w:eastAsia="宋体"/>
                <w:color w:val="000000"/>
                <w:sz w:val="21"/>
                <w:szCs w:val="21"/>
                <w:vertAlign w:val="superscript"/>
              </w:rPr>
              <w:t>1</w:t>
            </w:r>
          </w:p>
          <w:p w14:paraId="72DF1B63">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同步、</w:t>
            </w:r>
            <w:r>
              <w:rPr>
                <w:rFonts w:hint="eastAsia" w:eastAsia="宋体"/>
                <w:color w:val="000000"/>
                <w:sz w:val="21"/>
                <w:szCs w:val="21"/>
              </w:rPr>
              <w:t>交替</w:t>
            </w:r>
          </w:p>
          <w:p w14:paraId="742AA40A">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通道隔离方法</w:t>
            </w:r>
          </w:p>
          <w:p w14:paraId="22E4163C">
            <w:pPr>
              <w:snapToGrid w:val="0"/>
              <w:ind w:left="615" w:leftChars="150" w:hanging="315" w:hangingChars="150"/>
              <w:jc w:val="both"/>
              <w:rPr>
                <w:rFonts w:eastAsia="宋体"/>
                <w:sz w:val="21"/>
                <w:szCs w:val="21"/>
              </w:rPr>
            </w:pPr>
          </w:p>
        </w:tc>
        <w:tc>
          <w:tcPr>
            <w:tcW w:w="2078"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2335C65A">
            <w:pPr>
              <w:snapToGrid w:val="0"/>
              <w:rPr>
                <w:rFonts w:eastAsia="宋体"/>
                <w:sz w:val="21"/>
                <w:szCs w:val="21"/>
              </w:rPr>
            </w:pPr>
          </w:p>
        </w:tc>
      </w:tr>
      <w:tr w14:paraId="0DF0AE80">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533F28">
            <w:pPr>
              <w:snapToGrid w:val="0"/>
              <w:rPr>
                <w:rFonts w:eastAsia="宋体"/>
                <w:sz w:val="21"/>
                <w:szCs w:val="21"/>
              </w:rPr>
            </w:pPr>
            <w:r>
              <w:rPr>
                <w:rFonts w:eastAsia="宋体"/>
                <w:color w:val="000000"/>
                <w:sz w:val="21"/>
                <w:szCs w:val="21"/>
              </w:rPr>
              <w:t>波形</w:t>
            </w:r>
            <w:r>
              <w:rPr>
                <w:rFonts w:eastAsia="宋体"/>
                <w:color w:val="000000"/>
                <w:sz w:val="21"/>
                <w:szCs w:val="21"/>
                <w:vertAlign w:val="superscript"/>
              </w:rPr>
              <w:t>2</w:t>
            </w:r>
            <w:r>
              <w:rPr>
                <w:rFonts w:eastAsia="宋体"/>
                <w:color w:val="000000"/>
                <w:sz w:val="21"/>
                <w:szCs w:val="21"/>
              </w:rPr>
              <w:t>（例如电荷平衡双相对称、双相不对称）</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AAD66C">
            <w:pPr>
              <w:snapToGrid w:val="0"/>
              <w:rPr>
                <w:rFonts w:eastAsia="宋体"/>
                <w:sz w:val="21"/>
                <w:szCs w:val="21"/>
              </w:rPr>
            </w:pPr>
          </w:p>
        </w:tc>
      </w:tr>
      <w:tr w14:paraId="764A3476">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631FFE">
            <w:pPr>
              <w:snapToGrid w:val="0"/>
              <w:rPr>
                <w:rFonts w:eastAsia="宋体"/>
                <w:sz w:val="21"/>
                <w:szCs w:val="21"/>
              </w:rPr>
            </w:pPr>
            <w:r>
              <w:rPr>
                <w:rFonts w:eastAsia="宋体"/>
                <w:color w:val="000000"/>
                <w:sz w:val="21"/>
                <w:szCs w:val="21"/>
              </w:rPr>
              <w:t>脉冲形状（例如矩形、正弦）</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CF35A8">
            <w:pPr>
              <w:snapToGrid w:val="0"/>
              <w:rPr>
                <w:rFonts w:eastAsia="宋体"/>
                <w:sz w:val="21"/>
                <w:szCs w:val="21"/>
              </w:rPr>
            </w:pPr>
          </w:p>
        </w:tc>
      </w:tr>
      <w:tr w14:paraId="08619650">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CB892F">
            <w:pPr>
              <w:snapToGrid w:val="0"/>
              <w:rPr>
                <w:rFonts w:eastAsia="宋体"/>
                <w:color w:val="000000" w:themeColor="text1"/>
                <w:sz w:val="21"/>
                <w:szCs w:val="21"/>
              </w:rPr>
            </w:pPr>
            <w:r>
              <w:rPr>
                <w:rFonts w:eastAsia="宋体"/>
                <w:color w:val="000000" w:themeColor="text1"/>
                <w:sz w:val="21"/>
                <w:szCs w:val="21"/>
              </w:rPr>
              <w:t>是否调节电流/电压？是否为恒流输出电压（如果是电流源）？</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5A7C5B">
            <w:pPr>
              <w:snapToGrid w:val="0"/>
              <w:rPr>
                <w:rFonts w:eastAsia="宋体"/>
                <w:sz w:val="21"/>
                <w:szCs w:val="21"/>
              </w:rPr>
            </w:pPr>
          </w:p>
        </w:tc>
      </w:tr>
      <w:tr w14:paraId="7B83802A">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D03A3B">
            <w:pPr>
              <w:snapToGrid w:val="0"/>
              <w:rPr>
                <w:rFonts w:eastAsia="宋体"/>
                <w:color w:val="000000" w:themeColor="text1"/>
                <w:sz w:val="21"/>
                <w:szCs w:val="21"/>
              </w:rPr>
            </w:pPr>
            <w:r>
              <w:rPr>
                <w:rFonts w:eastAsia="宋体"/>
                <w:color w:val="000000" w:themeColor="text1"/>
                <w:sz w:val="21"/>
                <w:szCs w:val="21"/>
              </w:rPr>
              <w:t>最大输出电压（规定单位）（+/- _____ %）[</w:t>
            </w:r>
            <w:r>
              <w:rPr>
                <w:rFonts w:hint="eastAsia" w:eastAsia="宋体"/>
                <w:color w:val="000000" w:themeColor="text1"/>
                <w:sz w:val="21"/>
                <w:szCs w:val="21"/>
              </w:rPr>
              <w:t>应在</w:t>
            </w:r>
            <w:r>
              <w:rPr>
                <w:rFonts w:eastAsia="宋体"/>
                <w:color w:val="000000" w:themeColor="text1"/>
                <w:sz w:val="21"/>
                <w:szCs w:val="21"/>
              </w:rPr>
              <w:t>500</w:t>
            </w:r>
            <w:r>
              <w:rPr>
                <w:rFonts w:eastAsia="宋体"/>
                <w:color w:val="000000"/>
                <w:sz w:val="21"/>
                <w:szCs w:val="21"/>
              </w:rPr>
              <w:t>Ω</w:t>
            </w:r>
            <w:r>
              <w:rPr>
                <w:rFonts w:eastAsia="宋体"/>
                <w:b/>
                <w:bCs/>
                <w:color w:val="000000" w:themeColor="text1"/>
                <w:sz w:val="21"/>
                <w:szCs w:val="21"/>
              </w:rPr>
              <w:t xml:space="preserve"> </w:t>
            </w:r>
            <w:r>
              <w:rPr>
                <w:rFonts w:eastAsia="宋体"/>
                <w:color w:val="000000" w:themeColor="text1"/>
                <w:sz w:val="21"/>
                <w:szCs w:val="21"/>
              </w:rPr>
              <w:t>和涵盖受刺激部位生理阻抗的最小、典型和最大范围</w:t>
            </w:r>
            <w:r>
              <w:rPr>
                <w:rFonts w:hint="eastAsia" w:eastAsia="宋体"/>
                <w:color w:val="000000" w:themeColor="text1"/>
                <w:sz w:val="21"/>
                <w:szCs w:val="21"/>
              </w:rPr>
              <w:t>的阻抗报告电压</w:t>
            </w:r>
            <w:r>
              <w:rPr>
                <w:rFonts w:eastAsia="宋体"/>
                <w:color w:val="000000" w:themeColor="text1"/>
                <w:sz w:val="21"/>
                <w:szCs w:val="21"/>
              </w:rPr>
              <w:t>]</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56A1A2">
            <w:pPr>
              <w:snapToGrid w:val="0"/>
              <w:rPr>
                <w:rFonts w:eastAsia="宋体"/>
                <w:sz w:val="21"/>
                <w:szCs w:val="21"/>
              </w:rPr>
            </w:pPr>
          </w:p>
        </w:tc>
      </w:tr>
      <w:tr w14:paraId="4461283E">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D8D3EC">
            <w:pPr>
              <w:snapToGrid w:val="0"/>
              <w:rPr>
                <w:rFonts w:eastAsia="宋体"/>
                <w:color w:val="000000" w:themeColor="text1"/>
                <w:sz w:val="21"/>
                <w:szCs w:val="21"/>
              </w:rPr>
            </w:pPr>
            <w:r>
              <w:rPr>
                <w:rFonts w:eastAsia="宋体"/>
                <w:color w:val="000000" w:themeColor="text1"/>
                <w:sz w:val="21"/>
                <w:szCs w:val="21"/>
              </w:rPr>
              <w:t>最大输出电流（指定单位）（+/-_____ %）[</w:t>
            </w:r>
            <w:r>
              <w:rPr>
                <w:rFonts w:hint="eastAsia" w:eastAsia="宋体"/>
                <w:color w:val="000000" w:themeColor="text1"/>
                <w:sz w:val="21"/>
                <w:szCs w:val="21"/>
              </w:rPr>
              <w:t>应在</w:t>
            </w:r>
            <w:r>
              <w:rPr>
                <w:rFonts w:eastAsia="宋体"/>
                <w:color w:val="000000" w:themeColor="text1"/>
                <w:sz w:val="21"/>
                <w:szCs w:val="21"/>
              </w:rPr>
              <w:t>500</w:t>
            </w:r>
            <w:r>
              <w:rPr>
                <w:rFonts w:eastAsia="宋体"/>
                <w:color w:val="000000"/>
                <w:sz w:val="21"/>
                <w:szCs w:val="21"/>
              </w:rPr>
              <w:t>Ω</w:t>
            </w:r>
            <w:r>
              <w:rPr>
                <w:rFonts w:eastAsia="宋体"/>
                <w:color w:val="000000" w:themeColor="text1"/>
                <w:sz w:val="21"/>
                <w:szCs w:val="21"/>
              </w:rPr>
              <w:t>和涵盖受刺激部位生理阻抗的最小、典型和最大范围</w:t>
            </w:r>
            <w:r>
              <w:rPr>
                <w:rFonts w:hint="eastAsia" w:eastAsia="宋体"/>
                <w:color w:val="000000" w:themeColor="text1"/>
                <w:sz w:val="21"/>
                <w:szCs w:val="21"/>
              </w:rPr>
              <w:t>的阻抗报告电流</w:t>
            </w:r>
            <w:r>
              <w:rPr>
                <w:rFonts w:eastAsia="宋体"/>
                <w:color w:val="000000" w:themeColor="text1"/>
                <w:sz w:val="21"/>
                <w:szCs w:val="21"/>
              </w:rPr>
              <w:t>]</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4710EC">
            <w:pPr>
              <w:snapToGrid w:val="0"/>
              <w:rPr>
                <w:rFonts w:eastAsia="宋体"/>
                <w:sz w:val="21"/>
                <w:szCs w:val="21"/>
              </w:rPr>
            </w:pPr>
          </w:p>
        </w:tc>
      </w:tr>
      <w:tr w14:paraId="3AC6EFBA">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51ABB0">
            <w:pPr>
              <w:snapToGrid w:val="0"/>
              <w:rPr>
                <w:rFonts w:eastAsia="宋体"/>
                <w:sz w:val="21"/>
                <w:szCs w:val="21"/>
              </w:rPr>
            </w:pPr>
            <w:r>
              <w:rPr>
                <w:rFonts w:eastAsia="宋体"/>
                <w:color w:val="000000"/>
                <w:sz w:val="21"/>
                <w:szCs w:val="21"/>
              </w:rPr>
              <w:t>对于多相波形</w:t>
            </w:r>
            <w:r>
              <w:rPr>
                <w:rFonts w:eastAsia="宋体"/>
                <w:color w:val="000000"/>
                <w:sz w:val="21"/>
                <w:szCs w:val="21"/>
                <w:vertAlign w:val="superscript"/>
              </w:rPr>
              <w:t>2</w:t>
            </w:r>
            <w:r>
              <w:rPr>
                <w:rFonts w:eastAsia="宋体"/>
                <w:color w:val="000000"/>
                <w:sz w:val="21"/>
                <w:szCs w:val="21"/>
              </w:rPr>
              <w:t>：</w:t>
            </w:r>
          </w:p>
          <w:p w14:paraId="7E345E9E">
            <w:pPr>
              <w:tabs>
                <w:tab w:val="left" w:pos="254"/>
              </w:tabs>
              <w:snapToGrid w:val="0"/>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是对称相位或不对称相位？</w:t>
            </w:r>
          </w:p>
          <w:p w14:paraId="3A1ED1E1">
            <w:pPr>
              <w:tabs>
                <w:tab w:val="left" w:pos="254"/>
              </w:tabs>
              <w:snapToGrid w:val="0"/>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相位持续时间</w:t>
            </w:r>
            <w:r>
              <w:rPr>
                <w:rFonts w:eastAsia="宋体"/>
                <w:color w:val="000000"/>
                <w:sz w:val="21"/>
                <w:szCs w:val="21"/>
                <w:vertAlign w:val="superscript"/>
              </w:rPr>
              <w:t>3</w:t>
            </w:r>
            <w:r>
              <w:rPr>
                <w:rFonts w:eastAsia="宋体"/>
                <w:color w:val="000000"/>
                <w:sz w:val="21"/>
                <w:szCs w:val="21"/>
              </w:rPr>
              <w:t>（包括器械）</w:t>
            </w:r>
          </w:p>
          <w:p w14:paraId="4B666F97">
            <w:pPr>
              <w:tabs>
                <w:tab w:val="left" w:pos="254"/>
              </w:tabs>
              <w:snapToGrid w:val="0"/>
              <w:rPr>
                <w:rFonts w:eastAsia="宋体"/>
                <w:sz w:val="21"/>
                <w:szCs w:val="21"/>
              </w:rPr>
            </w:pPr>
          </w:p>
          <w:p w14:paraId="33D3DF4E">
            <w:pPr>
              <w:snapToGrid w:val="0"/>
              <w:rPr>
                <w:rFonts w:eastAsia="宋体"/>
                <w:sz w:val="21"/>
                <w:szCs w:val="21"/>
              </w:rPr>
            </w:pPr>
            <w:r>
              <w:rPr>
                <w:rFonts w:eastAsia="宋体"/>
                <w:color w:val="000000"/>
                <w:sz w:val="21"/>
                <w:szCs w:val="21"/>
              </w:rPr>
              <w:t>（指明范围，如适用）</w:t>
            </w:r>
          </w:p>
          <w:p w14:paraId="622A78F1">
            <w:pPr>
              <w:snapToGrid w:val="0"/>
              <w:rPr>
                <w:rFonts w:eastAsia="宋体"/>
                <w:sz w:val="21"/>
                <w:szCs w:val="21"/>
              </w:rPr>
            </w:pPr>
            <w:r>
              <w:rPr>
                <w:rFonts w:eastAsia="宋体"/>
                <w:color w:val="000000"/>
                <w:sz w:val="21"/>
                <w:szCs w:val="21"/>
              </w:rPr>
              <w:t>（两相，如果是不对称相位）</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6EABF1">
            <w:pPr>
              <w:snapToGrid w:val="0"/>
              <w:rPr>
                <w:rFonts w:eastAsia="宋体"/>
                <w:sz w:val="21"/>
                <w:szCs w:val="21"/>
              </w:rPr>
            </w:pPr>
          </w:p>
        </w:tc>
      </w:tr>
      <w:tr w14:paraId="04292301">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E78EBB">
            <w:pPr>
              <w:snapToGrid w:val="0"/>
              <w:rPr>
                <w:rFonts w:eastAsia="宋体"/>
                <w:sz w:val="21"/>
                <w:szCs w:val="21"/>
              </w:rPr>
            </w:pPr>
            <w:r>
              <w:rPr>
                <w:rFonts w:eastAsia="宋体"/>
                <w:color w:val="000000"/>
                <w:sz w:val="21"/>
                <w:szCs w:val="21"/>
              </w:rPr>
              <w:t>脉冲持续时间</w:t>
            </w:r>
            <w:r>
              <w:rPr>
                <w:rFonts w:eastAsia="宋体"/>
                <w:color w:val="000000"/>
                <w:sz w:val="21"/>
                <w:szCs w:val="21"/>
                <w:vertAlign w:val="superscript"/>
              </w:rPr>
              <w:t>2, 4</w:t>
            </w:r>
            <w:r>
              <w:rPr>
                <w:rFonts w:eastAsia="宋体"/>
                <w:color w:val="000000"/>
                <w:sz w:val="21"/>
                <w:szCs w:val="21"/>
              </w:rPr>
              <w:t xml:space="preserve"> （指定单位）</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5B85CE">
            <w:pPr>
              <w:snapToGrid w:val="0"/>
              <w:rPr>
                <w:rFonts w:eastAsia="宋体"/>
                <w:sz w:val="21"/>
                <w:szCs w:val="21"/>
              </w:rPr>
            </w:pPr>
          </w:p>
        </w:tc>
      </w:tr>
      <w:tr w14:paraId="6AE27883">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3097CF">
            <w:pPr>
              <w:snapToGrid w:val="0"/>
              <w:rPr>
                <w:rFonts w:eastAsia="宋体"/>
                <w:sz w:val="21"/>
                <w:szCs w:val="21"/>
              </w:rPr>
            </w:pPr>
            <w:r>
              <w:rPr>
                <w:rFonts w:eastAsia="宋体"/>
                <w:color w:val="000000"/>
                <w:sz w:val="21"/>
                <w:szCs w:val="21"/>
              </w:rPr>
              <w:t>频率（Hz）</w:t>
            </w:r>
            <w:r>
              <w:rPr>
                <w:rFonts w:eastAsia="宋体"/>
                <w:color w:val="000000"/>
                <w:sz w:val="21"/>
                <w:szCs w:val="21"/>
                <w:vertAlign w:val="superscript"/>
              </w:rPr>
              <w:t>5</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3CADC1">
            <w:pPr>
              <w:snapToGrid w:val="0"/>
              <w:rPr>
                <w:rFonts w:eastAsia="宋体"/>
                <w:sz w:val="21"/>
                <w:szCs w:val="21"/>
              </w:rPr>
            </w:pPr>
          </w:p>
        </w:tc>
      </w:tr>
      <w:tr w14:paraId="4FFB1E37">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362AA9">
            <w:pPr>
              <w:snapToGrid w:val="0"/>
              <w:rPr>
                <w:rFonts w:eastAsia="宋体"/>
                <w:sz w:val="21"/>
                <w:szCs w:val="21"/>
              </w:rPr>
            </w:pPr>
            <w:r>
              <w:rPr>
                <w:rFonts w:eastAsia="宋体"/>
                <w:color w:val="000000"/>
                <w:sz w:val="21"/>
                <w:szCs w:val="21"/>
              </w:rPr>
              <w:t>平衡电荷方法</w:t>
            </w:r>
            <w:r>
              <w:rPr>
                <w:rFonts w:eastAsia="宋体"/>
                <w:color w:val="000000"/>
                <w:sz w:val="21"/>
                <w:szCs w:val="21"/>
                <w:vertAlign w:val="superscript"/>
              </w:rPr>
              <w:t>6</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0F4C9D">
            <w:pPr>
              <w:snapToGrid w:val="0"/>
              <w:rPr>
                <w:rFonts w:eastAsia="宋体"/>
                <w:sz w:val="21"/>
                <w:szCs w:val="21"/>
              </w:rPr>
            </w:pPr>
          </w:p>
        </w:tc>
      </w:tr>
      <w:tr w14:paraId="23EA965C">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C3157F">
            <w:pPr>
              <w:snapToGrid w:val="0"/>
              <w:rPr>
                <w:rFonts w:eastAsia="宋体"/>
                <w:sz w:val="21"/>
                <w:szCs w:val="21"/>
              </w:rPr>
            </w:pPr>
            <w:r>
              <w:rPr>
                <w:rFonts w:eastAsia="宋体"/>
                <w:color w:val="000000"/>
                <w:sz w:val="21"/>
                <w:szCs w:val="21"/>
              </w:rPr>
              <w:t>是否始终完成电荷平衡循环？</w:t>
            </w:r>
            <w:r>
              <w:rPr>
                <w:rFonts w:eastAsia="宋体"/>
                <w:color w:val="000000"/>
                <w:sz w:val="21"/>
                <w:szCs w:val="21"/>
                <w:vertAlign w:val="superscript"/>
              </w:rPr>
              <w:t>7</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1C8A18">
            <w:pPr>
              <w:snapToGrid w:val="0"/>
              <w:rPr>
                <w:rFonts w:eastAsia="宋体"/>
                <w:sz w:val="21"/>
                <w:szCs w:val="21"/>
              </w:rPr>
            </w:pPr>
          </w:p>
        </w:tc>
      </w:tr>
      <w:tr w14:paraId="42D65F56">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970084">
            <w:pPr>
              <w:snapToGrid w:val="0"/>
              <w:rPr>
                <w:rFonts w:eastAsia="宋体"/>
                <w:sz w:val="21"/>
                <w:szCs w:val="21"/>
              </w:rPr>
            </w:pPr>
            <w:r>
              <w:rPr>
                <w:rFonts w:eastAsia="宋体"/>
                <w:color w:val="000000"/>
                <w:sz w:val="21"/>
                <w:szCs w:val="21"/>
              </w:rPr>
              <w:t>净电荷（µC/相）@ 500 Ω</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FBB187">
            <w:pPr>
              <w:snapToGrid w:val="0"/>
              <w:rPr>
                <w:rFonts w:eastAsia="宋体"/>
                <w:sz w:val="21"/>
                <w:szCs w:val="21"/>
              </w:rPr>
            </w:pPr>
          </w:p>
        </w:tc>
      </w:tr>
      <w:tr w14:paraId="75F90E1E">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14312C">
            <w:pPr>
              <w:snapToGrid w:val="0"/>
              <w:rPr>
                <w:rFonts w:eastAsia="宋体"/>
                <w:sz w:val="21"/>
                <w:szCs w:val="21"/>
              </w:rPr>
            </w:pPr>
            <w:r>
              <w:rPr>
                <w:rFonts w:eastAsia="宋体"/>
                <w:color w:val="000000"/>
                <w:sz w:val="21"/>
                <w:szCs w:val="21"/>
              </w:rPr>
              <w:t>泄露电流</w:t>
            </w:r>
            <w:r>
              <w:rPr>
                <w:rFonts w:eastAsia="宋体"/>
                <w:color w:val="000000"/>
                <w:sz w:val="21"/>
                <w:szCs w:val="21"/>
                <w:vertAlign w:val="superscript"/>
              </w:rPr>
              <w:t>8</w:t>
            </w:r>
            <w:r>
              <w:rPr>
                <w:rFonts w:eastAsia="宋体"/>
                <w:color w:val="000000"/>
                <w:sz w:val="21"/>
                <w:szCs w:val="21"/>
              </w:rPr>
              <w:t>（nA）@ 500 Ω</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AF3109">
            <w:pPr>
              <w:snapToGrid w:val="0"/>
              <w:rPr>
                <w:rFonts w:eastAsia="宋体"/>
                <w:sz w:val="21"/>
                <w:szCs w:val="21"/>
              </w:rPr>
            </w:pPr>
          </w:p>
        </w:tc>
      </w:tr>
    </w:tbl>
    <w:p w14:paraId="6E9F8BA8">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6"/>
        <w:tblW w:w="0" w:type="auto"/>
        <w:jc w:val="center"/>
        <w:tblLayout w:type="fixed"/>
        <w:tblCellMar>
          <w:top w:w="0" w:type="dxa"/>
          <w:left w:w="40" w:type="dxa"/>
          <w:bottom w:w="0" w:type="dxa"/>
          <w:right w:w="40" w:type="dxa"/>
        </w:tblCellMar>
      </w:tblPr>
      <w:tblGrid>
        <w:gridCol w:w="6307"/>
        <w:gridCol w:w="2078"/>
      </w:tblGrid>
      <w:tr w14:paraId="16EF4566">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79BDA87C">
            <w:pPr>
              <w:snapToGrid w:val="0"/>
              <w:jc w:val="center"/>
              <w:rPr>
                <w:rFonts w:eastAsia="宋体"/>
                <w:sz w:val="21"/>
                <w:szCs w:val="21"/>
              </w:rPr>
            </w:pPr>
            <w:r>
              <w:rPr>
                <w:rFonts w:eastAsia="宋体"/>
                <w:color w:val="000000"/>
                <w:sz w:val="21"/>
                <w:szCs w:val="21"/>
              </w:rPr>
              <w:t>输出特征</w:t>
            </w:r>
          </w:p>
        </w:tc>
        <w:tc>
          <w:tcPr>
            <w:tcW w:w="2078" w:type="dxa"/>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14:paraId="7BF59202">
            <w:pPr>
              <w:snapToGrid w:val="0"/>
              <w:jc w:val="center"/>
              <w:rPr>
                <w:rFonts w:eastAsia="宋体"/>
                <w:sz w:val="21"/>
                <w:szCs w:val="21"/>
              </w:rPr>
            </w:pPr>
            <w:r>
              <w:rPr>
                <w:rFonts w:eastAsia="宋体"/>
                <w:color w:val="000000"/>
                <w:sz w:val="21"/>
                <w:szCs w:val="21"/>
              </w:rPr>
              <w:t>器械输出</w:t>
            </w:r>
          </w:p>
        </w:tc>
      </w:tr>
      <w:tr w14:paraId="7D72F8B0">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461878">
            <w:pPr>
              <w:snapToGrid w:val="0"/>
              <w:rPr>
                <w:rFonts w:eastAsia="宋体"/>
                <w:sz w:val="21"/>
                <w:szCs w:val="21"/>
              </w:rPr>
            </w:pPr>
            <w:r>
              <w:rPr>
                <w:rFonts w:eastAsia="宋体"/>
                <w:color w:val="000000"/>
                <w:sz w:val="21"/>
                <w:szCs w:val="21"/>
              </w:rPr>
              <w:t>最大脉冲频率下的净直流电流</w:t>
            </w:r>
            <w:r>
              <w:rPr>
                <w:rFonts w:eastAsia="宋体"/>
                <w:color w:val="000000"/>
                <w:sz w:val="21"/>
                <w:szCs w:val="21"/>
                <w:vertAlign w:val="superscript"/>
              </w:rPr>
              <w:t>9</w:t>
            </w:r>
            <w:r>
              <w:rPr>
                <w:rFonts w:eastAsia="宋体"/>
                <w:color w:val="000000"/>
                <w:sz w:val="21"/>
                <w:szCs w:val="21"/>
              </w:rPr>
              <w:t>（µA）@ 500 Ω</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259932">
            <w:pPr>
              <w:snapToGrid w:val="0"/>
              <w:rPr>
                <w:rFonts w:eastAsia="宋体"/>
                <w:sz w:val="21"/>
                <w:szCs w:val="21"/>
              </w:rPr>
            </w:pPr>
          </w:p>
        </w:tc>
      </w:tr>
      <w:tr w14:paraId="78EE43FD">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BB7CDC">
            <w:pPr>
              <w:snapToGrid w:val="0"/>
              <w:rPr>
                <w:rFonts w:eastAsia="宋体"/>
                <w:sz w:val="21"/>
                <w:szCs w:val="21"/>
              </w:rPr>
            </w:pPr>
            <w:r>
              <w:rPr>
                <w:rFonts w:eastAsia="宋体"/>
                <w:color w:val="000000"/>
                <w:sz w:val="21"/>
                <w:szCs w:val="21"/>
              </w:rPr>
              <w:t>最大相位电荷（µC）@ 500 Ω</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B1E6C1">
            <w:pPr>
              <w:snapToGrid w:val="0"/>
              <w:rPr>
                <w:rFonts w:eastAsia="宋体"/>
                <w:sz w:val="21"/>
                <w:szCs w:val="21"/>
              </w:rPr>
            </w:pPr>
          </w:p>
        </w:tc>
      </w:tr>
      <w:tr w14:paraId="480BA40C">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B344DB">
            <w:pPr>
              <w:snapToGrid w:val="0"/>
              <w:rPr>
                <w:rFonts w:eastAsia="宋体"/>
                <w:sz w:val="21"/>
                <w:szCs w:val="21"/>
              </w:rPr>
            </w:pPr>
            <w:r>
              <w:rPr>
                <w:rFonts w:eastAsia="宋体"/>
                <w:color w:val="000000"/>
                <w:sz w:val="21"/>
                <w:szCs w:val="21"/>
              </w:rPr>
              <w:t>最大电荷密度</w:t>
            </w:r>
            <w:r>
              <w:rPr>
                <w:rFonts w:eastAsia="宋体"/>
                <w:color w:val="000000"/>
                <w:sz w:val="21"/>
                <w:szCs w:val="21"/>
                <w:vertAlign w:val="superscript"/>
              </w:rPr>
              <w:t>10</w:t>
            </w:r>
            <w:r>
              <w:rPr>
                <w:rFonts w:eastAsia="宋体"/>
                <w:color w:val="000000"/>
                <w:sz w:val="21"/>
                <w:szCs w:val="21"/>
              </w:rPr>
              <w:t>（µC/cm²/相）@ 500 Ω</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6580D0">
            <w:pPr>
              <w:snapToGrid w:val="0"/>
              <w:rPr>
                <w:rFonts w:eastAsia="宋体"/>
                <w:sz w:val="21"/>
                <w:szCs w:val="21"/>
              </w:rPr>
            </w:pPr>
          </w:p>
        </w:tc>
      </w:tr>
      <w:tr w14:paraId="4B70718B">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A13D33">
            <w:pPr>
              <w:snapToGrid w:val="0"/>
              <w:rPr>
                <w:rFonts w:eastAsia="宋体"/>
                <w:sz w:val="21"/>
                <w:szCs w:val="21"/>
              </w:rPr>
            </w:pPr>
            <w:r>
              <w:rPr>
                <w:rFonts w:eastAsia="宋体"/>
                <w:color w:val="000000"/>
                <w:sz w:val="21"/>
                <w:szCs w:val="21"/>
              </w:rPr>
              <w:t>最大相位功率（W/相）@ 500 Ω</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B58307">
            <w:pPr>
              <w:snapToGrid w:val="0"/>
              <w:rPr>
                <w:rFonts w:eastAsia="宋体"/>
                <w:sz w:val="21"/>
                <w:szCs w:val="21"/>
              </w:rPr>
            </w:pPr>
          </w:p>
        </w:tc>
      </w:tr>
      <w:tr w14:paraId="3737CCC2">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C0CA36">
            <w:pPr>
              <w:snapToGrid w:val="0"/>
              <w:rPr>
                <w:rFonts w:eastAsia="宋体"/>
                <w:sz w:val="21"/>
                <w:szCs w:val="21"/>
              </w:rPr>
            </w:pPr>
            <w:r>
              <w:rPr>
                <w:rFonts w:eastAsia="宋体"/>
                <w:color w:val="000000"/>
                <w:sz w:val="21"/>
                <w:szCs w:val="21"/>
              </w:rPr>
              <w:t>最大相位功率密度（W/cm²/相）@ 500 Ω</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1A3A36">
            <w:pPr>
              <w:snapToGrid w:val="0"/>
              <w:rPr>
                <w:rFonts w:eastAsia="宋体"/>
                <w:sz w:val="21"/>
                <w:szCs w:val="21"/>
              </w:rPr>
            </w:pPr>
          </w:p>
        </w:tc>
      </w:tr>
      <w:tr w14:paraId="1ACB00F1">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B70F95">
            <w:pPr>
              <w:snapToGrid w:val="0"/>
              <w:rPr>
                <w:rFonts w:eastAsia="宋体"/>
                <w:sz w:val="21"/>
                <w:szCs w:val="21"/>
              </w:rPr>
            </w:pPr>
            <w:r>
              <w:rPr>
                <w:rFonts w:eastAsia="宋体"/>
                <w:color w:val="000000"/>
                <w:sz w:val="21"/>
                <w:szCs w:val="21"/>
              </w:rPr>
              <w:t>脉冲输送模式（持续/短阵快速（</w:t>
            </w:r>
            <w:r>
              <w:rPr>
                <w:rFonts w:hint="eastAsia" w:eastAsia="宋体"/>
                <w:color w:val="000000"/>
                <w:sz w:val="21"/>
                <w:szCs w:val="21"/>
              </w:rPr>
              <w:t>脉冲串</w:t>
            </w:r>
            <w:r>
              <w:rPr>
                <w:rFonts w:eastAsia="宋体"/>
                <w:color w:val="000000"/>
                <w:sz w:val="21"/>
                <w:szCs w:val="21"/>
              </w:rPr>
              <w:t>））</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DDB08D">
            <w:pPr>
              <w:snapToGrid w:val="0"/>
              <w:rPr>
                <w:rFonts w:eastAsia="宋体"/>
                <w:sz w:val="21"/>
                <w:szCs w:val="21"/>
              </w:rPr>
            </w:pPr>
          </w:p>
        </w:tc>
      </w:tr>
      <w:tr w14:paraId="69571228">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EFF0CB">
            <w:pPr>
              <w:snapToGrid w:val="0"/>
              <w:rPr>
                <w:rFonts w:eastAsia="宋体"/>
                <w:sz w:val="21"/>
                <w:szCs w:val="21"/>
              </w:rPr>
            </w:pPr>
            <w:r>
              <w:rPr>
                <w:rFonts w:eastAsia="宋体"/>
                <w:color w:val="000000"/>
                <w:sz w:val="21"/>
                <w:szCs w:val="21"/>
              </w:rPr>
              <w:t>短阵快速脉冲输送</w:t>
            </w:r>
            <w:r>
              <w:rPr>
                <w:rFonts w:eastAsia="宋体"/>
                <w:color w:val="000000"/>
                <w:sz w:val="21"/>
                <w:szCs w:val="21"/>
                <w:vertAlign w:val="superscript"/>
              </w:rPr>
              <w:t>11</w:t>
            </w:r>
            <w:r>
              <w:rPr>
                <w:rFonts w:eastAsia="宋体"/>
                <w:color w:val="000000"/>
                <w:sz w:val="21"/>
                <w:szCs w:val="21"/>
              </w:rPr>
              <w:t>：</w:t>
            </w:r>
          </w:p>
          <w:p w14:paraId="27F59462">
            <w:pPr>
              <w:snapToGrid w:val="0"/>
              <w:ind w:left="615" w:leftChars="150" w:hanging="315" w:hangingChars="150"/>
              <w:jc w:val="both"/>
              <w:rPr>
                <w:rFonts w:eastAsia="宋体"/>
                <w:sz w:val="21"/>
                <w:szCs w:val="21"/>
              </w:rPr>
            </w:pPr>
            <w:r>
              <w:rPr>
                <w:rFonts w:eastAsia="宋体"/>
                <w:color w:val="000000"/>
                <w:sz w:val="21"/>
                <w:szCs w:val="21"/>
              </w:rPr>
              <w:t>a.</w:t>
            </w:r>
            <w:r>
              <w:rPr>
                <w:rFonts w:eastAsia="宋体"/>
                <w:color w:val="000000"/>
                <w:sz w:val="21"/>
                <w:szCs w:val="21"/>
              </w:rPr>
              <w:tab/>
            </w:r>
            <w:r>
              <w:rPr>
                <w:rFonts w:eastAsia="宋体"/>
                <w:color w:val="000000"/>
                <w:sz w:val="21"/>
                <w:szCs w:val="21"/>
              </w:rPr>
              <w:t>每个脉冲串的脉冲数；</w:t>
            </w:r>
          </w:p>
          <w:p w14:paraId="134A382A">
            <w:pPr>
              <w:snapToGrid w:val="0"/>
              <w:ind w:left="615" w:leftChars="150" w:hanging="315" w:hangingChars="150"/>
              <w:jc w:val="both"/>
              <w:rPr>
                <w:rFonts w:eastAsia="宋体"/>
                <w:sz w:val="21"/>
                <w:szCs w:val="21"/>
              </w:rPr>
            </w:pPr>
            <w:r>
              <w:rPr>
                <w:rFonts w:eastAsia="宋体"/>
                <w:color w:val="000000"/>
                <w:sz w:val="21"/>
                <w:szCs w:val="21"/>
              </w:rPr>
              <w:t>b.</w:t>
            </w:r>
            <w:r>
              <w:rPr>
                <w:rFonts w:eastAsia="宋体"/>
                <w:color w:val="000000"/>
                <w:sz w:val="21"/>
                <w:szCs w:val="21"/>
              </w:rPr>
              <w:tab/>
            </w:r>
            <w:r>
              <w:rPr>
                <w:rFonts w:eastAsia="宋体"/>
                <w:color w:val="000000"/>
                <w:sz w:val="21"/>
                <w:szCs w:val="21"/>
              </w:rPr>
              <w:t>每秒脉冲数；</w:t>
            </w:r>
          </w:p>
          <w:p w14:paraId="21595E74">
            <w:pPr>
              <w:snapToGrid w:val="0"/>
              <w:ind w:left="615" w:leftChars="150" w:hanging="315" w:hangingChars="150"/>
              <w:jc w:val="both"/>
              <w:rPr>
                <w:rFonts w:eastAsia="宋体"/>
                <w:sz w:val="21"/>
                <w:szCs w:val="21"/>
              </w:rPr>
            </w:pPr>
            <w:r>
              <w:rPr>
                <w:rFonts w:eastAsia="宋体"/>
                <w:color w:val="000000"/>
                <w:sz w:val="21"/>
                <w:szCs w:val="21"/>
              </w:rPr>
              <w:t>c.</w:t>
            </w:r>
            <w:r>
              <w:rPr>
                <w:rFonts w:eastAsia="宋体"/>
                <w:color w:val="000000"/>
                <w:sz w:val="21"/>
                <w:szCs w:val="21"/>
              </w:rPr>
              <w:tab/>
            </w:r>
            <w:r>
              <w:rPr>
                <w:rFonts w:eastAsia="宋体"/>
                <w:color w:val="000000"/>
                <w:sz w:val="21"/>
                <w:szCs w:val="21"/>
              </w:rPr>
              <w:t>脉冲持续时间（秒）；和</w:t>
            </w:r>
          </w:p>
          <w:p w14:paraId="7C894EA5">
            <w:pPr>
              <w:snapToGrid w:val="0"/>
              <w:ind w:left="615" w:leftChars="150" w:hanging="315" w:hangingChars="150"/>
              <w:jc w:val="both"/>
              <w:rPr>
                <w:rFonts w:eastAsia="宋体"/>
                <w:sz w:val="21"/>
                <w:szCs w:val="21"/>
              </w:rPr>
            </w:pPr>
            <w:r>
              <w:rPr>
                <w:rFonts w:eastAsia="宋体"/>
                <w:color w:val="000000"/>
                <w:sz w:val="21"/>
                <w:szCs w:val="21"/>
              </w:rPr>
              <w:t>d.</w:t>
            </w:r>
            <w:r>
              <w:rPr>
                <w:rFonts w:eastAsia="宋体"/>
                <w:color w:val="000000"/>
                <w:sz w:val="21"/>
                <w:szCs w:val="21"/>
              </w:rPr>
              <w:tab/>
            </w:r>
            <w:r>
              <w:rPr>
                <w:rFonts w:eastAsia="宋体"/>
                <w:color w:val="000000"/>
                <w:sz w:val="21"/>
                <w:szCs w:val="21"/>
              </w:rPr>
              <w:t>占空比[行a X行b]</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9B0D39">
            <w:pPr>
              <w:snapToGrid w:val="0"/>
              <w:rPr>
                <w:rFonts w:eastAsia="宋体"/>
                <w:sz w:val="21"/>
                <w:szCs w:val="21"/>
              </w:rPr>
            </w:pPr>
          </w:p>
        </w:tc>
      </w:tr>
      <w:tr w14:paraId="690A9083">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606930">
            <w:pPr>
              <w:snapToGrid w:val="0"/>
              <w:rPr>
                <w:rFonts w:eastAsia="宋体"/>
                <w:sz w:val="21"/>
                <w:szCs w:val="21"/>
              </w:rPr>
            </w:pPr>
            <w:r>
              <w:rPr>
                <w:rFonts w:eastAsia="宋体"/>
                <w:color w:val="000000"/>
                <w:sz w:val="21"/>
                <w:szCs w:val="21"/>
              </w:rPr>
              <w:t>开启时间</w:t>
            </w:r>
            <w:r>
              <w:rPr>
                <w:rFonts w:eastAsia="宋体"/>
                <w:color w:val="000000"/>
                <w:sz w:val="21"/>
                <w:szCs w:val="21"/>
                <w:vertAlign w:val="superscript"/>
              </w:rPr>
              <w:t>12</w:t>
            </w:r>
            <w:r>
              <w:rPr>
                <w:rFonts w:eastAsia="宋体"/>
                <w:color w:val="000000"/>
                <w:sz w:val="21"/>
                <w:szCs w:val="21"/>
              </w:rPr>
              <w:t>（秒）</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B03C6B">
            <w:pPr>
              <w:snapToGrid w:val="0"/>
              <w:rPr>
                <w:rFonts w:eastAsia="宋体"/>
                <w:sz w:val="21"/>
                <w:szCs w:val="21"/>
              </w:rPr>
            </w:pPr>
          </w:p>
        </w:tc>
      </w:tr>
      <w:tr w14:paraId="12C09371">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56E1E8">
            <w:pPr>
              <w:snapToGrid w:val="0"/>
              <w:rPr>
                <w:rFonts w:eastAsia="宋体"/>
                <w:sz w:val="21"/>
                <w:szCs w:val="21"/>
              </w:rPr>
            </w:pPr>
            <w:r>
              <w:rPr>
                <w:rFonts w:eastAsia="宋体"/>
                <w:color w:val="000000"/>
                <w:sz w:val="21"/>
                <w:szCs w:val="21"/>
              </w:rPr>
              <w:t>关闭时间</w:t>
            </w:r>
            <w:r>
              <w:rPr>
                <w:rFonts w:eastAsia="宋体"/>
                <w:color w:val="000000"/>
                <w:sz w:val="21"/>
                <w:szCs w:val="21"/>
                <w:vertAlign w:val="superscript"/>
              </w:rPr>
              <w:t>12</w:t>
            </w:r>
            <w:r>
              <w:rPr>
                <w:rFonts w:eastAsia="宋体"/>
                <w:color w:val="000000"/>
                <w:sz w:val="21"/>
                <w:szCs w:val="21"/>
              </w:rPr>
              <w:t>（秒）</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2565D7">
            <w:pPr>
              <w:snapToGrid w:val="0"/>
              <w:rPr>
                <w:rFonts w:eastAsia="宋体"/>
                <w:sz w:val="21"/>
                <w:szCs w:val="21"/>
              </w:rPr>
            </w:pPr>
          </w:p>
        </w:tc>
      </w:tr>
      <w:tr w14:paraId="286EB5ED">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E52195">
            <w:pPr>
              <w:snapToGrid w:val="0"/>
              <w:rPr>
                <w:rFonts w:eastAsia="宋体"/>
                <w:sz w:val="21"/>
                <w:szCs w:val="21"/>
              </w:rPr>
            </w:pPr>
            <w:r>
              <w:rPr>
                <w:rFonts w:eastAsia="宋体"/>
                <w:color w:val="000000"/>
                <w:sz w:val="21"/>
                <w:szCs w:val="21"/>
              </w:rPr>
              <w:t>电流路径选择</w:t>
            </w:r>
            <w:r>
              <w:rPr>
                <w:rFonts w:eastAsia="宋体"/>
                <w:color w:val="000000"/>
                <w:sz w:val="21"/>
                <w:szCs w:val="21"/>
                <w:vertAlign w:val="superscript"/>
              </w:rPr>
              <w:t>13</w:t>
            </w:r>
            <w:r>
              <w:rPr>
                <w:rFonts w:eastAsia="宋体"/>
                <w:color w:val="000000"/>
                <w:sz w:val="21"/>
                <w:szCs w:val="21"/>
              </w:rPr>
              <w:t>（双极、单极、多极）</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4613B3">
            <w:pPr>
              <w:snapToGrid w:val="0"/>
              <w:rPr>
                <w:rFonts w:eastAsia="宋体"/>
                <w:sz w:val="21"/>
                <w:szCs w:val="21"/>
              </w:rPr>
            </w:pPr>
          </w:p>
        </w:tc>
      </w:tr>
      <w:tr w14:paraId="7450DB33">
        <w:tblPrEx>
          <w:tblCellMar>
            <w:top w:w="0" w:type="dxa"/>
            <w:left w:w="40" w:type="dxa"/>
            <w:bottom w:w="0" w:type="dxa"/>
            <w:right w:w="40" w:type="dxa"/>
          </w:tblCellMar>
        </w:tblPrEx>
        <w:trPr>
          <w:jc w:val="center"/>
        </w:trPr>
        <w:tc>
          <w:tcPr>
            <w:tcW w:w="63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45FE1E">
            <w:pPr>
              <w:snapToGrid w:val="0"/>
              <w:rPr>
                <w:rFonts w:eastAsia="宋体"/>
                <w:sz w:val="21"/>
                <w:szCs w:val="21"/>
              </w:rPr>
            </w:pPr>
            <w:r>
              <w:rPr>
                <w:rFonts w:eastAsia="宋体"/>
                <w:color w:val="000000"/>
                <w:sz w:val="21"/>
                <w:szCs w:val="21"/>
              </w:rPr>
              <w:t>其他功能（如适用）</w:t>
            </w:r>
          </w:p>
        </w:tc>
        <w:tc>
          <w:tcPr>
            <w:tcW w:w="207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32A781">
            <w:pPr>
              <w:snapToGrid w:val="0"/>
              <w:rPr>
                <w:rFonts w:eastAsia="宋体"/>
                <w:sz w:val="21"/>
                <w:szCs w:val="21"/>
              </w:rPr>
            </w:pPr>
          </w:p>
        </w:tc>
      </w:tr>
    </w:tbl>
    <w:p w14:paraId="5CF61D79">
      <w:pPr>
        <w:pBdr>
          <w:bottom w:val="single" w:color="auto" w:sz="4" w:space="1"/>
        </w:pBdr>
        <w:snapToGrid w:val="0"/>
        <w:jc w:val="both"/>
        <w:rPr>
          <w:rFonts w:eastAsia="宋体"/>
          <w:color w:val="000000"/>
          <w:sz w:val="21"/>
          <w:szCs w:val="21"/>
        </w:rPr>
      </w:pPr>
    </w:p>
    <w:p w14:paraId="68D5A52A">
      <w:pPr>
        <w:snapToGrid w:val="0"/>
        <w:jc w:val="both"/>
        <w:rPr>
          <w:rFonts w:eastAsia="宋体"/>
          <w:color w:val="000000"/>
          <w:sz w:val="21"/>
          <w:szCs w:val="21"/>
        </w:rPr>
      </w:pPr>
    </w:p>
    <w:p w14:paraId="672E1FE9">
      <w:pPr>
        <w:snapToGrid w:val="0"/>
        <w:jc w:val="both"/>
        <w:rPr>
          <w:rFonts w:eastAsia="宋体"/>
          <w:color w:val="000000"/>
          <w:sz w:val="21"/>
          <w:szCs w:val="21"/>
        </w:rPr>
      </w:pPr>
      <w:r>
        <w:rPr>
          <w:rFonts w:eastAsia="宋体"/>
          <w:color w:val="000000"/>
          <w:sz w:val="21"/>
          <w:szCs w:val="21"/>
        </w:rPr>
        <w:t>注：</w:t>
      </w:r>
    </w:p>
    <w:p w14:paraId="6F8B1DCF">
      <w:pPr>
        <w:snapToGrid w:val="0"/>
        <w:jc w:val="both"/>
        <w:rPr>
          <w:rFonts w:eastAsia="宋体"/>
          <w:sz w:val="21"/>
          <w:szCs w:val="21"/>
        </w:rPr>
      </w:pPr>
    </w:p>
    <w:p w14:paraId="47038B2E">
      <w:pPr>
        <w:snapToGrid w:val="0"/>
        <w:jc w:val="both"/>
        <w:rPr>
          <w:rFonts w:eastAsia="宋体"/>
          <w:color w:val="000000"/>
          <w:sz w:val="21"/>
          <w:szCs w:val="21"/>
        </w:rPr>
      </w:pPr>
      <w:r>
        <w:rPr>
          <w:rFonts w:eastAsia="宋体"/>
          <w:color w:val="000000"/>
          <w:sz w:val="21"/>
          <w:szCs w:val="21"/>
          <w:u w:val="single"/>
        </w:rPr>
        <w:t>变量参数</w:t>
      </w:r>
      <w:r>
        <w:rPr>
          <w:rFonts w:eastAsia="宋体"/>
          <w:color w:val="000000"/>
          <w:sz w:val="21"/>
          <w:szCs w:val="21"/>
        </w:rPr>
        <w:t>：对于连续变量参数，应规定全频；对于离散设置参数，应规定所有可用选择。</w:t>
      </w:r>
    </w:p>
    <w:p w14:paraId="6DFF3CA6">
      <w:pPr>
        <w:snapToGrid w:val="0"/>
        <w:jc w:val="both"/>
        <w:rPr>
          <w:rFonts w:eastAsia="宋体"/>
          <w:sz w:val="21"/>
          <w:szCs w:val="21"/>
        </w:rPr>
      </w:pPr>
    </w:p>
    <w:p w14:paraId="73C69D72">
      <w:pPr>
        <w:snapToGrid w:val="0"/>
        <w:jc w:val="both"/>
        <w:rPr>
          <w:rFonts w:eastAsia="宋体"/>
          <w:color w:val="000000"/>
          <w:sz w:val="21"/>
          <w:szCs w:val="21"/>
        </w:rPr>
      </w:pPr>
      <w:r>
        <w:rPr>
          <w:rFonts w:eastAsia="宋体"/>
          <w:color w:val="000000"/>
          <w:sz w:val="21"/>
          <w:szCs w:val="21"/>
          <w:u w:val="single"/>
        </w:rPr>
        <w:t>密度测量结果</w:t>
      </w:r>
      <w:r>
        <w:rPr>
          <w:rFonts w:eastAsia="宋体"/>
          <w:color w:val="000000"/>
          <w:sz w:val="21"/>
          <w:szCs w:val="21"/>
        </w:rPr>
        <w:t>：应使用最小电极的导电表面积和可用的最坏情况电流路径选项计算最大密度值；应提供样本计算。最大功率密度应基于最大占空比，并且应在适当时间范围内取平均值。</w:t>
      </w:r>
    </w:p>
    <w:p w14:paraId="2593030B">
      <w:pPr>
        <w:snapToGrid w:val="0"/>
        <w:jc w:val="both"/>
        <w:rPr>
          <w:rFonts w:eastAsia="宋体"/>
          <w:sz w:val="21"/>
          <w:szCs w:val="21"/>
        </w:rPr>
      </w:pPr>
    </w:p>
    <w:p w14:paraId="13E894BD">
      <w:pPr>
        <w:snapToGrid w:val="0"/>
        <w:jc w:val="both"/>
        <w:rPr>
          <w:rFonts w:eastAsia="宋体"/>
          <w:color w:val="000000"/>
          <w:sz w:val="21"/>
          <w:szCs w:val="21"/>
        </w:rPr>
      </w:pPr>
      <w:r>
        <w:rPr>
          <w:rFonts w:eastAsia="宋体"/>
          <w:color w:val="000000"/>
          <w:sz w:val="21"/>
          <w:szCs w:val="21"/>
          <w:u w:val="single"/>
        </w:rPr>
        <w:t>输出模式</w:t>
      </w:r>
      <w:r>
        <w:rPr>
          <w:rFonts w:eastAsia="宋体"/>
          <w:color w:val="000000"/>
          <w:sz w:val="21"/>
          <w:szCs w:val="21"/>
        </w:rPr>
        <w:t>：输出模式定义为器械产生的波形版本（例如双相对称和双相不对称）。</w:t>
      </w:r>
    </w:p>
    <w:p w14:paraId="5C9EE509">
      <w:pPr>
        <w:snapToGrid w:val="0"/>
        <w:jc w:val="both"/>
        <w:rPr>
          <w:rFonts w:eastAsia="宋体"/>
          <w:sz w:val="21"/>
          <w:szCs w:val="21"/>
        </w:rPr>
      </w:pPr>
    </w:p>
    <w:p w14:paraId="56C563F5">
      <w:pPr>
        <w:snapToGrid w:val="0"/>
        <w:jc w:val="both"/>
        <w:rPr>
          <w:rFonts w:eastAsia="宋体"/>
          <w:sz w:val="21"/>
          <w:szCs w:val="21"/>
        </w:rPr>
      </w:pPr>
      <w:r>
        <w:rPr>
          <w:rFonts w:eastAsia="宋体"/>
          <w:color w:val="000000"/>
          <w:sz w:val="21"/>
          <w:szCs w:val="21"/>
          <w:vertAlign w:val="superscript"/>
        </w:rPr>
        <w:t>1</w:t>
      </w:r>
      <w:r>
        <w:rPr>
          <w:rFonts w:eastAsia="宋体"/>
          <w:color w:val="000000"/>
          <w:sz w:val="21"/>
          <w:szCs w:val="21"/>
          <w:u w:val="single"/>
        </w:rPr>
        <w:t>输出通道</w:t>
      </w:r>
      <w:r>
        <w:rPr>
          <w:rFonts w:eastAsia="宋体"/>
          <w:color w:val="000000"/>
          <w:sz w:val="21"/>
          <w:szCs w:val="21"/>
        </w:rPr>
        <w:t>：独立控制的电路数量。例如，独立控制的两根电极导线是两个通道，独立控制的8枚电极是8个通道。同步通道均在相同开/关循环上运行。交替通道在开启和关闭状态之间交替。通过门控单通道发生器的输出生成交错通道。如果具有一个以上通道，则应提供通道隔离方法。</w:t>
      </w:r>
    </w:p>
    <w:p w14:paraId="6D98981A">
      <w:pPr>
        <w:snapToGrid w:val="0"/>
        <w:jc w:val="both"/>
        <w:rPr>
          <w:rFonts w:eastAsia="宋体"/>
          <w:sz w:val="21"/>
          <w:szCs w:val="21"/>
        </w:rPr>
      </w:pPr>
    </w:p>
    <w:p w14:paraId="120FFF14">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AB96FD2">
      <w:pPr>
        <w:snapToGrid w:val="0"/>
        <w:jc w:val="both"/>
        <w:rPr>
          <w:rFonts w:eastAsia="宋体"/>
          <w:sz w:val="21"/>
          <w:szCs w:val="21"/>
        </w:rPr>
      </w:pPr>
      <w:r>
        <w:rPr>
          <w:rFonts w:eastAsia="宋体"/>
          <w:color w:val="000000"/>
          <w:sz w:val="21"/>
          <w:szCs w:val="21"/>
          <w:vertAlign w:val="superscript"/>
        </w:rPr>
        <w:t>2</w:t>
      </w:r>
      <w:r>
        <w:rPr>
          <w:rFonts w:eastAsia="宋体"/>
          <w:color w:val="000000"/>
          <w:sz w:val="21"/>
          <w:szCs w:val="21"/>
          <w:u w:val="single"/>
        </w:rPr>
        <w:t>波形</w:t>
      </w:r>
      <w:r>
        <w:rPr>
          <w:rFonts w:eastAsia="宋体"/>
          <w:color w:val="000000"/>
          <w:sz w:val="21"/>
          <w:szCs w:val="21"/>
        </w:rPr>
        <w:t>：</w:t>
      </w:r>
    </w:p>
    <w:p w14:paraId="07037EB2">
      <w:pPr>
        <w:snapToGrid w:val="0"/>
        <w:jc w:val="center"/>
        <w:rPr>
          <w:rFonts w:eastAsia="宋体"/>
          <w:sz w:val="21"/>
          <w:szCs w:val="21"/>
        </w:rPr>
      </w:pPr>
      <w:r>
        <w:rPr>
          <w:rFonts w:eastAsia="宋体"/>
          <w:sz w:val="21"/>
          <w:szCs w:val="21"/>
        </w:rPr>
        <w:pict>
          <v:rect id="矩形 3" o:spid="_x0000_s2050" o:spt="1" style="position:absolute;left:0pt;margin-left:107.45pt;margin-top:107.3pt;height:19.4pt;width:33.85pt;z-index:251661312;mso-width-relative:margin;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">
            <v:path/>
            <v:fill focussize="0,0"/>
            <v:stroke on="f"/>
            <v:imagedata o:title=""/>
            <o:lock v:ext="edit"/>
            <v:textbox inset="0mm,0mm,0mm,0mm">
              <w:txbxContent>
                <w:p w14:paraId="12FDFDEC">
                  <w:pPr>
                    <w:rPr>
                      <w:rFonts w:ascii="宋体" w:hAnsi="宋体" w:eastAsia="宋体" w:cstheme="minorBidi"/>
                      <w:color w:val="000000" w:themeColor="text1"/>
                      <w:kern w:val="24"/>
                      <w:sz w:val="16"/>
                      <w:szCs w:val="16"/>
                    </w:rPr>
                  </w:pPr>
                  <w:r>
                    <w:rPr>
                      <w:rFonts w:ascii="宋体" w:hAnsi="宋体" w:eastAsia="宋体" w:cstheme="minorBidi"/>
                      <w:color w:val="000000" w:themeColor="text1"/>
                      <w:kern w:val="24"/>
                      <w:sz w:val="16"/>
                      <w:szCs w:val="16"/>
                    </w:rPr>
                    <w:t>脉宽</w:t>
                  </w:r>
                </w:p>
              </w:txbxContent>
            </v:textbox>
          </v:rect>
        </w:pict>
      </w:r>
      <w:r>
        <w:rPr>
          <w:rFonts w:eastAsia="宋体"/>
          <w:sz w:val="21"/>
          <w:szCs w:val="21"/>
        </w:rPr>
        <w:pict>
          <v:rect id="矩形 6" o:spid="_x0000_s2051" o:spt="1" style="position:absolute;left:0pt;margin-left:283.6pt;margin-top:106pt;height:19.2pt;width:33.45pt;z-index:251664384;mso-width-relative:margin;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">
            <v:path/>
            <v:fill focussize="0,0"/>
            <v:stroke on="f"/>
            <v:imagedata o:title=""/>
            <o:lock v:ext="edit"/>
            <v:textbox inset="0mm,0mm,0mm,0mm">
              <w:txbxContent>
                <w:p w14:paraId="4D3A6751">
                  <w:pPr>
                    <w:rPr>
                      <w:rFonts w:ascii="宋体" w:hAnsi="宋体" w:eastAsia="宋体" w:cstheme="minorBidi"/>
                      <w:color w:val="000000" w:themeColor="text1"/>
                      <w:kern w:val="24"/>
                      <w:sz w:val="16"/>
                      <w:szCs w:val="16"/>
                    </w:rPr>
                  </w:pPr>
                  <w:r>
                    <w:rPr>
                      <w:rFonts w:ascii="宋体" w:hAnsi="宋体" w:eastAsia="宋体" w:cstheme="minorBidi"/>
                      <w:color w:val="000000" w:themeColor="text1"/>
                      <w:kern w:val="24"/>
                      <w:sz w:val="16"/>
                      <w:szCs w:val="16"/>
                    </w:rPr>
                    <w:t>脉宽</w:t>
                  </w:r>
                </w:p>
              </w:txbxContent>
            </v:textbox>
          </v:rect>
        </w:pict>
      </w:r>
      <w:r>
        <w:rPr>
          <w:rFonts w:eastAsia="宋体"/>
          <w:sz w:val="21"/>
          <w:szCs w:val="21"/>
        </w:rPr>
        <w:pict>
          <v:rect id="矩形 5" o:spid="_x0000_s2052" o:spt="1" style="position:absolute;left:0pt;margin-left:382.55pt;margin-top:54pt;height:10.05pt;width:23.25pt;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">
            <v:path/>
            <v:fill focussize="0,0"/>
            <v:stroke on="f"/>
            <v:imagedata o:title=""/>
            <o:lock v:ext="edit"/>
            <v:textbox inset="0mm,0mm,0mm,0mm">
              <w:txbxContent>
                <w:p w14:paraId="427F2BCC">
                  <w:pPr>
                    <w:rPr>
                      <w:rFonts w:ascii="宋体" w:hAnsi="宋体" w:eastAsia="宋体" w:cstheme="minorBidi"/>
                      <w:color w:val="000000" w:themeColor="text1"/>
                      <w:kern w:val="24"/>
                      <w:sz w:val="16"/>
                      <w:szCs w:val="16"/>
                    </w:rPr>
                  </w:pPr>
                  <w:r>
                    <w:rPr>
                      <w:rFonts w:ascii="宋体" w:hAnsi="宋体" w:eastAsia="宋体" w:cstheme="minorBidi"/>
                      <w:color w:val="000000" w:themeColor="text1"/>
                      <w:kern w:val="24"/>
                      <w:sz w:val="16"/>
                      <w:szCs w:val="16"/>
                    </w:rPr>
                    <w:t>时间</w:t>
                  </w:r>
                </w:p>
              </w:txbxContent>
            </v:textbox>
          </v:rect>
        </w:pict>
      </w:r>
      <w:r>
        <w:rPr>
          <w:rFonts w:eastAsia="宋体"/>
          <w:sz w:val="21"/>
          <w:szCs w:val="21"/>
        </w:rPr>
        <w:pict>
          <v:rect id="矩形 4" o:spid="_x0000_s2053" o:spt="1" style="position:absolute;left:0pt;margin-left:271.2pt;margin-top:18.95pt;height:10.55pt;width:29.5pt;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">
            <v:path/>
            <v:fill focussize="0,0"/>
            <v:stroke on="f"/>
            <v:imagedata o:title=""/>
            <o:lock v:ext="edit"/>
            <v:textbox inset="0mm,0mm,0mm,0mm">
              <w:txbxContent>
                <w:p w14:paraId="1A6AF2B3">
                  <w:pPr>
                    <w:rPr>
                      <w:rFonts w:ascii="宋体" w:hAnsi="宋体" w:eastAsia="宋体" w:cstheme="minorBidi"/>
                      <w:color w:val="000000" w:themeColor="text1"/>
                      <w:kern w:val="24"/>
                      <w:sz w:val="16"/>
                      <w:szCs w:val="16"/>
                    </w:rPr>
                  </w:pPr>
                  <w:r>
                    <w:rPr>
                      <w:rFonts w:ascii="宋体" w:hAnsi="宋体" w:eastAsia="宋体" w:cstheme="minorBidi"/>
                      <w:color w:val="000000" w:themeColor="text1"/>
                      <w:kern w:val="24"/>
                      <w:sz w:val="16"/>
                      <w:szCs w:val="16"/>
                    </w:rPr>
                    <w:t>相位</w:t>
                  </w:r>
                </w:p>
              </w:txbxContent>
            </v:textbox>
          </v:rect>
        </w:pict>
      </w:r>
      <w:r>
        <w:rPr>
          <w:rFonts w:eastAsia="宋体"/>
          <w:sz w:val="21"/>
          <w:szCs w:val="21"/>
        </w:rPr>
        <w:pict>
          <v:rect id="矩形 2" o:spid="_x0000_s2054" o:spt="1" style="position:absolute;left:0pt;margin-left:206.9pt;margin-top:54pt;height:8.85pt;width:24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">
            <v:path/>
            <v:fill focussize="0,0"/>
            <v:stroke on="f"/>
            <v:imagedata o:title=""/>
            <o:lock v:ext="edit"/>
            <v:textbox inset="0mm,0mm,0mm,0mm">
              <w:txbxContent>
                <w:p w14:paraId="1AB38BFD">
                  <w:pPr>
                    <w:rPr>
                      <w:rFonts w:ascii="宋体" w:hAnsi="宋体" w:eastAsia="宋体" w:cstheme="minorBidi"/>
                      <w:color w:val="000000" w:themeColor="text1"/>
                      <w:kern w:val="24"/>
                      <w:sz w:val="16"/>
                      <w:szCs w:val="16"/>
                    </w:rPr>
                  </w:pPr>
                  <w:r>
                    <w:rPr>
                      <w:rFonts w:ascii="宋体" w:hAnsi="宋体" w:eastAsia="宋体" w:cstheme="minorBidi"/>
                      <w:color w:val="000000" w:themeColor="text1"/>
                      <w:kern w:val="24"/>
                      <w:sz w:val="16"/>
                      <w:szCs w:val="16"/>
                    </w:rPr>
                    <w:t>时间</w:t>
                  </w:r>
                </w:p>
              </w:txbxContent>
            </v:textbox>
          </v:rect>
        </w:pict>
      </w:r>
      <w:r>
        <w:rPr>
          <w:rFonts w:eastAsia="宋体"/>
          <w:sz w:val="21"/>
          <w:szCs w:val="21"/>
        </w:rPr>
        <w:pict>
          <v:rect id="矩形 1" o:spid="_x0000_s2055" o:spt="1" style="position:absolute;left:0pt;margin-left:91.7pt;margin-top:5.1pt;height:10.3pt;width:29.3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">
            <v:path/>
            <v:fill focussize="0,0"/>
            <v:stroke on="f"/>
            <v:imagedata o:title=""/>
            <o:lock v:ext="edit"/>
            <v:textbox inset="0mm,0mm,0mm,0mm">
              <w:txbxContent>
                <w:p w14:paraId="3D1B48D5">
                  <w:pPr>
                    <w:rPr>
                      <w:rFonts w:ascii="宋体" w:hAnsi="宋体" w:eastAsia="宋体"/>
                      <w:sz w:val="16"/>
                      <w:szCs w:val="16"/>
                    </w:rPr>
                  </w:pPr>
                  <w:r>
                    <w:rPr>
                      <w:rFonts w:ascii="宋体" w:hAnsi="宋体" w:eastAsia="宋体" w:cstheme="minorBidi"/>
                      <w:color w:val="000000" w:themeColor="text1"/>
                      <w:kern w:val="24"/>
                      <w:sz w:val="16"/>
                      <w:szCs w:val="16"/>
                    </w:rPr>
                    <w:t>相位</w:t>
                  </w:r>
                </w:p>
              </w:txbxContent>
            </v:textbox>
          </v:rect>
        </w:pict>
      </w:r>
      <w:r>
        <w:rPr>
          <w:rFonts w:eastAsia="宋体"/>
          <w:sz w:val="21"/>
          <w:szCs w:val="21"/>
        </w:rPr>
        <w:drawing>
          <wp:inline distT="0" distB="0" distL="0" distR="0">
            <wp:extent cx="4480560" cy="16687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80560" cy="1668780"/>
                    </a:xfrm>
                    <a:prstGeom prst="rect">
                      <a:avLst/>
                    </a:prstGeom>
                    <a:noFill/>
                    <a:ln>
                      <a:noFill/>
                    </a:ln>
                  </pic:spPr>
                </pic:pic>
              </a:graphicData>
            </a:graphic>
          </wp:inline>
        </w:drawing>
      </w:r>
    </w:p>
    <w:p w14:paraId="2C201701">
      <w:pPr>
        <w:tabs>
          <w:tab w:val="left" w:pos="5103"/>
        </w:tabs>
        <w:snapToGrid w:val="0"/>
        <w:ind w:left="1700" w:leftChars="850"/>
        <w:jc w:val="both"/>
        <w:rPr>
          <w:rFonts w:eastAsia="宋体"/>
          <w:sz w:val="21"/>
          <w:szCs w:val="21"/>
        </w:rPr>
      </w:pPr>
      <w:r>
        <w:rPr>
          <w:rFonts w:eastAsia="宋体"/>
          <w:color w:val="000000"/>
          <w:sz w:val="21"/>
          <w:szCs w:val="21"/>
        </w:rPr>
        <w:t>双相不对称</w:t>
      </w:r>
      <w:r>
        <w:rPr>
          <w:rFonts w:eastAsia="宋体"/>
          <w:color w:val="000000"/>
          <w:sz w:val="21"/>
          <w:szCs w:val="21"/>
        </w:rPr>
        <w:tab/>
      </w:r>
      <w:r>
        <w:rPr>
          <w:rFonts w:eastAsia="宋体"/>
          <w:color w:val="000000"/>
          <w:sz w:val="21"/>
          <w:szCs w:val="21"/>
        </w:rPr>
        <w:t>双相对称</w:t>
      </w:r>
    </w:p>
    <w:p w14:paraId="661F5EDF">
      <w:pPr>
        <w:snapToGrid w:val="0"/>
        <w:jc w:val="both"/>
        <w:rPr>
          <w:rFonts w:eastAsia="宋体"/>
          <w:color w:val="000000"/>
          <w:sz w:val="21"/>
          <w:szCs w:val="21"/>
          <w:vertAlign w:val="superscript"/>
        </w:rPr>
      </w:pPr>
    </w:p>
    <w:p w14:paraId="5C878539">
      <w:pPr>
        <w:snapToGrid w:val="0"/>
        <w:jc w:val="both"/>
        <w:rPr>
          <w:rFonts w:eastAsia="宋体"/>
          <w:color w:val="000000"/>
          <w:sz w:val="21"/>
          <w:szCs w:val="21"/>
        </w:rPr>
      </w:pPr>
      <w:r>
        <w:rPr>
          <w:rFonts w:eastAsia="宋体"/>
          <w:color w:val="000000"/>
          <w:sz w:val="21"/>
          <w:szCs w:val="21"/>
          <w:vertAlign w:val="superscript"/>
        </w:rPr>
        <w:t>3</w:t>
      </w:r>
      <w:r>
        <w:rPr>
          <w:rFonts w:eastAsia="宋体"/>
          <w:color w:val="000000"/>
          <w:sz w:val="21"/>
          <w:szCs w:val="21"/>
          <w:u w:val="single"/>
        </w:rPr>
        <w:t>相位持续时间</w:t>
      </w:r>
      <w:r>
        <w:rPr>
          <w:rFonts w:eastAsia="宋体"/>
          <w:color w:val="000000"/>
          <w:sz w:val="21"/>
          <w:szCs w:val="21"/>
        </w:rPr>
        <w:t>：相位是在有限时间内一个方向上的电流流动。相位持续时间是从脉冲或周期的一个相位开始到结束所经过的时间。</w:t>
      </w:r>
    </w:p>
    <w:p w14:paraId="560ED158">
      <w:pPr>
        <w:snapToGrid w:val="0"/>
        <w:jc w:val="both"/>
        <w:rPr>
          <w:rFonts w:eastAsia="宋体"/>
          <w:sz w:val="21"/>
          <w:szCs w:val="21"/>
        </w:rPr>
      </w:pPr>
    </w:p>
    <w:p w14:paraId="1181FD8E">
      <w:pPr>
        <w:snapToGrid w:val="0"/>
        <w:jc w:val="both"/>
        <w:rPr>
          <w:rFonts w:eastAsia="宋体"/>
          <w:color w:val="000000"/>
          <w:sz w:val="21"/>
          <w:szCs w:val="21"/>
        </w:rPr>
      </w:pPr>
      <w:r>
        <w:rPr>
          <w:rFonts w:eastAsia="宋体"/>
          <w:color w:val="000000"/>
          <w:sz w:val="21"/>
          <w:szCs w:val="21"/>
          <w:vertAlign w:val="superscript"/>
        </w:rPr>
        <w:t>4</w:t>
      </w:r>
      <w:r>
        <w:rPr>
          <w:rFonts w:eastAsia="宋体"/>
          <w:color w:val="000000"/>
          <w:sz w:val="21"/>
          <w:szCs w:val="21"/>
          <w:u w:val="single"/>
        </w:rPr>
        <w:t>脉宽</w:t>
      </w:r>
      <w:r>
        <w:rPr>
          <w:rFonts w:eastAsia="宋体"/>
          <w:color w:val="000000"/>
          <w:sz w:val="21"/>
          <w:szCs w:val="21"/>
        </w:rPr>
        <w:t>：从所有相位开始到结束所经过的时间加上一个脉冲内的相间间隔。请注意，对于单相波形，脉冲和相位是同义词。</w:t>
      </w:r>
    </w:p>
    <w:p w14:paraId="42E8E93B">
      <w:pPr>
        <w:snapToGrid w:val="0"/>
        <w:jc w:val="both"/>
        <w:rPr>
          <w:rFonts w:eastAsia="宋体"/>
          <w:sz w:val="21"/>
          <w:szCs w:val="21"/>
        </w:rPr>
      </w:pPr>
    </w:p>
    <w:p w14:paraId="7C48628F">
      <w:pPr>
        <w:snapToGrid w:val="0"/>
        <w:jc w:val="both"/>
        <w:rPr>
          <w:rFonts w:eastAsia="宋体"/>
          <w:color w:val="000000"/>
          <w:sz w:val="21"/>
          <w:szCs w:val="21"/>
        </w:rPr>
      </w:pPr>
      <w:r>
        <w:rPr>
          <w:rFonts w:eastAsia="宋体"/>
          <w:color w:val="000000"/>
          <w:sz w:val="21"/>
          <w:szCs w:val="21"/>
          <w:vertAlign w:val="superscript"/>
        </w:rPr>
        <w:t>5</w:t>
      </w:r>
      <w:r>
        <w:rPr>
          <w:rFonts w:hint="eastAsia" w:eastAsia="宋体"/>
          <w:color w:val="000000"/>
          <w:sz w:val="21"/>
          <w:szCs w:val="21"/>
          <w:u w:val="single"/>
        </w:rPr>
        <w:t>频率</w:t>
      </w:r>
      <w:r>
        <w:rPr>
          <w:rFonts w:eastAsia="宋体"/>
          <w:color w:val="000000"/>
          <w:sz w:val="21"/>
          <w:szCs w:val="21"/>
        </w:rPr>
        <w:t>:脉冲电流的每秒脉冲数。</w:t>
      </w:r>
    </w:p>
    <w:p w14:paraId="7FF9F7E3">
      <w:pPr>
        <w:snapToGrid w:val="0"/>
        <w:jc w:val="both"/>
        <w:rPr>
          <w:rFonts w:eastAsia="宋体"/>
          <w:sz w:val="21"/>
          <w:szCs w:val="21"/>
        </w:rPr>
      </w:pPr>
    </w:p>
    <w:p w14:paraId="33A7CE0E">
      <w:pPr>
        <w:snapToGrid w:val="0"/>
        <w:jc w:val="both"/>
        <w:rPr>
          <w:rFonts w:eastAsia="宋体"/>
          <w:color w:val="000000"/>
          <w:sz w:val="21"/>
          <w:szCs w:val="21"/>
        </w:rPr>
      </w:pPr>
      <w:r>
        <w:rPr>
          <w:rFonts w:eastAsia="宋体"/>
          <w:color w:val="000000"/>
          <w:sz w:val="21"/>
          <w:szCs w:val="21"/>
          <w:vertAlign w:val="superscript"/>
        </w:rPr>
        <w:t>6</w:t>
      </w:r>
      <w:r>
        <w:rPr>
          <w:rFonts w:eastAsia="宋体"/>
          <w:color w:val="000000"/>
          <w:sz w:val="21"/>
          <w:szCs w:val="21"/>
          <w:u w:val="single"/>
        </w:rPr>
        <w:t>电荷平衡方法</w:t>
      </w:r>
      <w:r>
        <w:rPr>
          <w:rFonts w:eastAsia="宋体"/>
          <w:color w:val="000000"/>
          <w:sz w:val="21"/>
          <w:szCs w:val="21"/>
        </w:rPr>
        <w:t>：可通过电容耦合被动平衡电荷，也可通过输送相等和相反电荷的脉冲相位主动平衡电荷。两种方法也可联合使用。</w:t>
      </w:r>
    </w:p>
    <w:p w14:paraId="4798BC0A">
      <w:pPr>
        <w:snapToGrid w:val="0"/>
        <w:jc w:val="both"/>
        <w:rPr>
          <w:rFonts w:eastAsia="宋体"/>
          <w:sz w:val="21"/>
          <w:szCs w:val="21"/>
        </w:rPr>
      </w:pPr>
    </w:p>
    <w:p w14:paraId="49729403">
      <w:pPr>
        <w:snapToGrid w:val="0"/>
        <w:jc w:val="both"/>
        <w:rPr>
          <w:rFonts w:eastAsia="宋体"/>
          <w:color w:val="000000"/>
          <w:sz w:val="21"/>
          <w:szCs w:val="21"/>
        </w:rPr>
      </w:pPr>
      <w:r>
        <w:rPr>
          <w:rFonts w:eastAsia="宋体"/>
          <w:color w:val="000000"/>
          <w:sz w:val="21"/>
          <w:szCs w:val="21"/>
          <w:vertAlign w:val="superscript"/>
        </w:rPr>
        <w:t>7</w:t>
      </w:r>
      <w:r>
        <w:rPr>
          <w:rFonts w:eastAsia="宋体"/>
          <w:color w:val="000000"/>
          <w:sz w:val="21"/>
          <w:szCs w:val="21"/>
          <w:u w:val="single"/>
        </w:rPr>
        <w:t>电荷平衡阶段完成</w:t>
      </w:r>
      <w:r>
        <w:rPr>
          <w:rFonts w:eastAsia="宋体"/>
          <w:color w:val="000000"/>
          <w:sz w:val="21"/>
          <w:szCs w:val="21"/>
        </w:rPr>
        <w:t>：如果仅通过平衡脉冲相位平衡电荷，则如果在输送电荷平衡相位前终止脉冲串，则可能无法完成脉冲周期。重复短阵快速脉冲时，可能发生净电荷失衡。应通过设计输出电路设计或通过程控防止这些影响来缓解可导致电荷失衡和局部pH值变化、电极腐蚀和/或组织损伤的操作参数。</w:t>
      </w:r>
    </w:p>
    <w:p w14:paraId="4BA522C3">
      <w:pPr>
        <w:snapToGrid w:val="0"/>
        <w:jc w:val="both"/>
        <w:rPr>
          <w:rFonts w:eastAsia="宋体"/>
          <w:sz w:val="21"/>
          <w:szCs w:val="21"/>
        </w:rPr>
      </w:pPr>
    </w:p>
    <w:p w14:paraId="19336D5B">
      <w:pPr>
        <w:snapToGrid w:val="0"/>
        <w:jc w:val="both"/>
        <w:rPr>
          <w:rFonts w:eastAsia="宋体"/>
          <w:color w:val="000000"/>
          <w:sz w:val="21"/>
          <w:szCs w:val="21"/>
        </w:rPr>
      </w:pPr>
      <w:r>
        <w:rPr>
          <w:rFonts w:eastAsia="宋体"/>
          <w:color w:val="000000"/>
          <w:sz w:val="21"/>
          <w:szCs w:val="21"/>
          <w:vertAlign w:val="superscript"/>
        </w:rPr>
        <w:t>8</w:t>
      </w:r>
      <w:r>
        <w:rPr>
          <w:rFonts w:eastAsia="宋体"/>
          <w:color w:val="000000"/>
          <w:sz w:val="21"/>
          <w:szCs w:val="21"/>
          <w:u w:val="single"/>
        </w:rPr>
        <w:t>泄漏电流</w:t>
      </w:r>
      <w:r>
        <w:rPr>
          <w:rFonts w:eastAsia="宋体"/>
          <w:color w:val="000000"/>
          <w:sz w:val="21"/>
          <w:szCs w:val="21"/>
        </w:rPr>
        <w:t>：非功能电流。</w:t>
      </w:r>
    </w:p>
    <w:p w14:paraId="64F6FFB8">
      <w:pPr>
        <w:snapToGrid w:val="0"/>
        <w:jc w:val="both"/>
        <w:rPr>
          <w:rFonts w:eastAsia="宋体"/>
          <w:sz w:val="21"/>
          <w:szCs w:val="21"/>
        </w:rPr>
      </w:pPr>
    </w:p>
    <w:p w14:paraId="72BD1081">
      <w:pPr>
        <w:snapToGrid w:val="0"/>
        <w:jc w:val="both"/>
        <w:rPr>
          <w:rFonts w:eastAsia="宋体"/>
          <w:color w:val="000000"/>
          <w:sz w:val="21"/>
          <w:szCs w:val="21"/>
        </w:rPr>
      </w:pPr>
      <w:r>
        <w:rPr>
          <w:rFonts w:eastAsia="宋体"/>
          <w:color w:val="000000"/>
          <w:sz w:val="21"/>
          <w:szCs w:val="21"/>
          <w:vertAlign w:val="superscript"/>
        </w:rPr>
        <w:t>9</w:t>
      </w:r>
      <w:r>
        <w:rPr>
          <w:rFonts w:eastAsia="宋体"/>
          <w:color w:val="000000"/>
          <w:sz w:val="21"/>
          <w:szCs w:val="21"/>
          <w:u w:val="single"/>
        </w:rPr>
        <w:t>净直流电流</w:t>
      </w:r>
      <w:r>
        <w:rPr>
          <w:rFonts w:eastAsia="宋体"/>
          <w:color w:val="000000"/>
          <w:sz w:val="21"/>
          <w:szCs w:val="21"/>
        </w:rPr>
        <w:t>：器械输送脉冲时，由于电荷失衡或电荷恢复不完全产生的电流。</w:t>
      </w:r>
    </w:p>
    <w:p w14:paraId="5A2F1CD2">
      <w:pPr>
        <w:snapToGrid w:val="0"/>
        <w:jc w:val="both"/>
        <w:rPr>
          <w:rFonts w:eastAsia="宋体"/>
          <w:sz w:val="21"/>
          <w:szCs w:val="21"/>
        </w:rPr>
      </w:pPr>
    </w:p>
    <w:p w14:paraId="5C719D26">
      <w:pPr>
        <w:snapToGrid w:val="0"/>
        <w:jc w:val="both"/>
        <w:rPr>
          <w:rFonts w:eastAsia="宋体"/>
          <w:color w:val="000000"/>
          <w:sz w:val="21"/>
          <w:szCs w:val="21"/>
        </w:rPr>
      </w:pPr>
      <w:r>
        <w:rPr>
          <w:rFonts w:eastAsia="宋体"/>
          <w:color w:val="000000"/>
          <w:sz w:val="21"/>
          <w:szCs w:val="21"/>
          <w:vertAlign w:val="superscript"/>
        </w:rPr>
        <w:t>10</w:t>
      </w:r>
      <w:r>
        <w:rPr>
          <w:rFonts w:eastAsia="宋体"/>
          <w:color w:val="000000"/>
          <w:sz w:val="21"/>
          <w:szCs w:val="21"/>
          <w:u w:val="single"/>
        </w:rPr>
        <w:t>每相的最大电荷密度</w:t>
      </w:r>
      <w:r>
        <w:rPr>
          <w:rFonts w:eastAsia="宋体"/>
          <w:color w:val="000000"/>
          <w:sz w:val="21"/>
          <w:szCs w:val="21"/>
        </w:rPr>
        <w:t>：请注意，每个相位的最大电荷密度均应安全用于刺激部位。</w:t>
      </w:r>
    </w:p>
    <w:p w14:paraId="0DA6941F">
      <w:pPr>
        <w:snapToGrid w:val="0"/>
        <w:jc w:val="both"/>
        <w:rPr>
          <w:rFonts w:eastAsia="宋体"/>
          <w:sz w:val="21"/>
          <w:szCs w:val="21"/>
        </w:rPr>
      </w:pPr>
    </w:p>
    <w:p w14:paraId="4A8D3085">
      <w:pPr>
        <w:snapToGrid w:val="0"/>
        <w:jc w:val="both"/>
        <w:rPr>
          <w:rFonts w:eastAsia="宋体"/>
          <w:color w:val="000000"/>
          <w:sz w:val="21"/>
          <w:szCs w:val="21"/>
        </w:rPr>
      </w:pPr>
      <w:r>
        <w:rPr>
          <w:rFonts w:eastAsia="宋体"/>
          <w:color w:val="000000"/>
          <w:sz w:val="21"/>
          <w:szCs w:val="21"/>
          <w:vertAlign w:val="superscript"/>
        </w:rPr>
        <w:t>11</w:t>
      </w:r>
      <w:r>
        <w:rPr>
          <w:rFonts w:eastAsia="宋体"/>
          <w:color w:val="000000"/>
          <w:sz w:val="21"/>
          <w:szCs w:val="21"/>
          <w:u w:val="single"/>
        </w:rPr>
        <w:t>脉冲输送模式</w:t>
      </w:r>
      <w:r>
        <w:rPr>
          <w:rFonts w:eastAsia="宋体"/>
          <w:color w:val="000000"/>
          <w:sz w:val="21"/>
          <w:szCs w:val="21"/>
        </w:rPr>
        <w:t>：如果存在连续重复的脉冲序列，则该模式为连续模式。短阵快速脉冲是在确定持续时间内输送的有限系列脉冲。</w:t>
      </w:r>
    </w:p>
    <w:p w14:paraId="258B2E31">
      <w:pPr>
        <w:snapToGrid w:val="0"/>
        <w:jc w:val="both"/>
        <w:rPr>
          <w:rFonts w:eastAsia="宋体"/>
          <w:sz w:val="21"/>
          <w:szCs w:val="21"/>
        </w:rPr>
      </w:pPr>
    </w:p>
    <w:p w14:paraId="6777D967">
      <w:pPr>
        <w:snapToGrid w:val="0"/>
        <w:jc w:val="both"/>
        <w:rPr>
          <w:rFonts w:eastAsia="宋体"/>
          <w:sz w:val="21"/>
          <w:szCs w:val="21"/>
        </w:rPr>
      </w:pPr>
      <w:r>
        <w:rPr>
          <w:rFonts w:eastAsia="宋体"/>
          <w:color w:val="000000"/>
          <w:sz w:val="21"/>
          <w:szCs w:val="21"/>
          <w:vertAlign w:val="superscript"/>
        </w:rPr>
        <w:t>12</w:t>
      </w:r>
      <w:r>
        <w:rPr>
          <w:rFonts w:eastAsia="宋体"/>
          <w:color w:val="000000"/>
          <w:sz w:val="21"/>
          <w:szCs w:val="21"/>
          <w:u w:val="single"/>
        </w:rPr>
        <w:t>开启/关闭时间</w:t>
      </w:r>
      <w:r>
        <w:rPr>
          <w:rFonts w:eastAsia="宋体"/>
          <w:color w:val="000000"/>
          <w:sz w:val="21"/>
          <w:szCs w:val="21"/>
        </w:rPr>
        <w:t>：开启时间指输送脉冲串的时间。关闭时间指脉冲串之间的时间。</w:t>
      </w:r>
    </w:p>
    <w:p w14:paraId="7BDC28D2">
      <w:pPr>
        <w:snapToGrid w:val="0"/>
        <w:jc w:val="both"/>
        <w:rPr>
          <w:rFonts w:eastAsia="宋体"/>
          <w:sz w:val="21"/>
          <w:szCs w:val="21"/>
        </w:rPr>
      </w:pPr>
    </w:p>
    <w:p w14:paraId="4816E96A">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2055B5B">
      <w:pPr>
        <w:snapToGrid w:val="0"/>
        <w:jc w:val="both"/>
        <w:rPr>
          <w:rFonts w:eastAsia="宋体"/>
          <w:sz w:val="21"/>
          <w:szCs w:val="21"/>
        </w:rPr>
      </w:pPr>
      <w:r>
        <w:rPr>
          <w:rFonts w:eastAsia="宋体"/>
          <w:color w:val="000000"/>
          <w:sz w:val="21"/>
          <w:szCs w:val="21"/>
          <w:vertAlign w:val="superscript"/>
        </w:rPr>
        <w:t>13</w:t>
      </w:r>
      <w:r>
        <w:rPr>
          <w:rFonts w:eastAsia="宋体"/>
          <w:color w:val="000000"/>
          <w:sz w:val="21"/>
          <w:szCs w:val="21"/>
          <w:u w:val="single"/>
        </w:rPr>
        <w:t>电流路径选择</w:t>
      </w:r>
      <w:r>
        <w:rPr>
          <w:rFonts w:eastAsia="宋体"/>
          <w:color w:val="000000"/>
          <w:sz w:val="21"/>
          <w:szCs w:val="21"/>
        </w:rPr>
        <w:t>：双极包括激活彼此靠近的一个正极（阳极）和一个负极（阴极）。单极包括激活一个或多个负电极，通常IPG外壳为正电极。多极涉及两个以上电极的激活（例如，两个正极和一个负极，两个正极和两个负极）。如果包括一个以上通道，应提供电极导线之间的电流讨论。由于电流密度等输出特征可能受不同电流路径的影响，因此此类计算中应使用最坏情况的可用电流路径。</w:t>
      </w:r>
    </w:p>
    <w:p w14:paraId="50BFEF75">
      <w:pPr>
        <w:pStyle w:val="25"/>
        <w:pBdr>
          <w:bottom w:val="single" w:color="auto" w:sz="4" w:space="1"/>
        </w:pBdr>
        <w:jc w:val="center"/>
        <w:rPr>
          <w:rFonts w:hint="eastAsia" w:eastAsia="等线"/>
          <w:lang w:eastAsia="zh-CN"/>
        </w:rPr>
      </w:pPr>
    </w:p>
    <w:p w14:paraId="1107920B">
      <w:pPr>
        <w:pStyle w:val="24"/>
        <w:jc w:val="center"/>
        <w:rPr>
          <w:rFonts w:hint="eastAsia"/>
          <w:lang w:eastAsia="zh-CN"/>
        </w:rPr>
      </w:pPr>
    </w:p>
    <w:p w14:paraId="000B1D0C">
      <w:pPr>
        <w:pStyle w:val="24"/>
        <w:jc w:val="center"/>
        <w:rPr>
          <w:rFonts w:hint="eastAsia"/>
          <w:lang w:eastAsia="zh-CN"/>
        </w:rPr>
      </w:pPr>
      <w:r>
        <w:rPr>
          <w:rFonts w:hint="eastAsia"/>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3:51:00Z" w:initials="小">
    <w:p w14:paraId="1B17B8BB">
      <w:pPr>
        <w:pStyle w:val="7"/>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17B8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0561">
    <w:pPr>
      <w:pStyle w:val="10"/>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3</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6">
    <w:p>
      <w:r>
        <w:separator/>
      </w:r>
    </w:p>
  </w:footnote>
  <w:footnote w:type="continuationSeparator" w:id="87">
    <w:p>
      <w:r>
        <w:continuationSeparator/>
      </w:r>
    </w:p>
  </w:footnote>
  <w:footnote w:id="0">
    <w:p w14:paraId="3D60899C">
      <w:pPr>
        <w:shd w:val="clear" w:color="auto" w:fill="FFFFFF"/>
        <w:snapToGrid w:val="0"/>
        <w:rPr>
          <w:rFonts w:eastAsia="宋体"/>
          <w:sz w:val="18"/>
          <w:szCs w:val="18"/>
        </w:rPr>
      </w:pPr>
      <w:r>
        <w:rPr>
          <w:rStyle w:val="20"/>
          <w:sz w:val="18"/>
          <w:szCs w:val="18"/>
        </w:rPr>
        <w:footnoteRef/>
      </w:r>
      <w:r>
        <w:rPr>
          <w:sz w:val="18"/>
          <w:szCs w:val="18"/>
        </w:rPr>
        <w:t xml:space="preserve"> </w:t>
      </w:r>
      <w:bookmarkStart w:id="68" w:name="bookmark1"/>
      <w:r>
        <w:rPr>
          <w:color w:val="0000FF"/>
          <w:sz w:val="18"/>
          <w:szCs w:val="18"/>
          <w:u w:val="single"/>
        </w:rPr>
        <w:t>h</w:t>
      </w:r>
      <w:bookmarkEnd w:id="68"/>
      <w:r>
        <w:rPr>
          <w:color w:val="0000FF"/>
          <w:sz w:val="18"/>
          <w:szCs w:val="18"/>
          <w:u w:val="single"/>
        </w:rPr>
        <w:t>ttp://wayback.archive-it.org/7993/20170112091055/http://www.fda.gov/MedicalDevices/NewsEvents/</w:t>
      </w:r>
      <w:r>
        <w:rPr>
          <w:rFonts w:hint="eastAsia"/>
          <w:color w:val="0000FF"/>
          <w:sz w:val="18"/>
          <w:szCs w:val="18"/>
          <w:u w:val="single"/>
        </w:rPr>
        <w:t xml:space="preserve"> </w:t>
      </w:r>
      <w:r>
        <w:rPr>
          <w:color w:val="0000FF"/>
          <w:sz w:val="18"/>
          <w:szCs w:val="18"/>
          <w:u w:val="single"/>
        </w:rPr>
        <w:t>WorkshopsConferences/ucm410261 .htm</w:t>
      </w:r>
    </w:p>
  </w:footnote>
  <w:footnote w:id="1">
    <w:p w14:paraId="3B8C079B">
      <w:pPr>
        <w:pStyle w:val="13"/>
      </w:pPr>
      <w:r>
        <w:rPr>
          <w:rStyle w:val="20"/>
        </w:rPr>
        <w:footnoteRef/>
      </w:r>
      <w:r>
        <w:t xml:space="preserve"> </w:t>
      </w:r>
      <w:r>
        <w:rPr>
          <w:color w:val="0000FF"/>
          <w:u w:val="single"/>
        </w:rPr>
        <w:t>https://www.fda.gov/regulatory-information/search-fda-guidance-documents/requests-feedback-and-meetings-medical</w:t>
      </w:r>
      <w:r>
        <w:rPr>
          <w:rFonts w:hint="eastAsia"/>
          <w:color w:val="0000FF"/>
          <w:u w:val="single"/>
        </w:rPr>
        <w:t xml:space="preserve"> </w:t>
      </w:r>
      <w:r>
        <w:rPr>
          <w:color w:val="0000FF"/>
          <w:u w:val="single"/>
        </w:rPr>
        <w:t>-device-submissions-q-submission-program</w:t>
      </w:r>
    </w:p>
  </w:footnote>
  <w:footnote w:id="2">
    <w:p w14:paraId="060C884C">
      <w:pPr>
        <w:pStyle w:val="13"/>
      </w:pPr>
      <w:r>
        <w:rPr>
          <w:rStyle w:val="20"/>
        </w:rPr>
        <w:footnoteRef/>
      </w:r>
      <w:r>
        <w:t xml:space="preserve"> </w:t>
      </w:r>
      <w:r>
        <w:rPr>
          <w:color w:val="0000FF"/>
          <w:u w:val="single"/>
        </w:rPr>
        <w:t>https://www.accessdata.fda.gov/scripts/cdrh/cfdocs/cfStandards/search.cfm</w:t>
      </w:r>
    </w:p>
  </w:footnote>
  <w:footnote w:id="3">
    <w:p w14:paraId="29D58DEC">
      <w:pPr>
        <w:pStyle w:val="13"/>
      </w:pPr>
      <w:r>
        <w:rPr>
          <w:rStyle w:val="20"/>
        </w:rPr>
        <w:footnoteRef/>
      </w:r>
      <w:r>
        <w:t xml:space="preserve"> </w:t>
      </w:r>
      <w:r>
        <w:rPr>
          <w:color w:val="0000FF"/>
          <w:u w:val="single"/>
        </w:rPr>
        <w:t>https://www.fda.gov/regulatory-information/search-fda-guidance-documents/appropriate-use-voluntary-consensus-</w:t>
      </w:r>
      <w:r>
        <w:rPr>
          <w:rFonts w:hint="eastAsia"/>
          <w:color w:val="0000FF"/>
          <w:u w:val="single"/>
        </w:rPr>
        <w:t xml:space="preserve"> </w:t>
      </w:r>
      <w:r>
        <w:rPr>
          <w:color w:val="0000FF"/>
          <w:u w:val="single"/>
        </w:rPr>
        <w:t>standards-premarket-submissions-medical-devices</w:t>
      </w:r>
    </w:p>
  </w:footnote>
  <w:footnote w:id="4">
    <w:p w14:paraId="00B26710">
      <w:pPr>
        <w:shd w:val="clear" w:color="auto" w:fill="FFFFFF"/>
        <w:snapToGrid w:val="0"/>
        <w:rPr>
          <w:rFonts w:eastAsia="宋体"/>
          <w:sz w:val="18"/>
          <w:szCs w:val="18"/>
        </w:rPr>
      </w:pPr>
      <w:r>
        <w:rPr>
          <w:rStyle w:val="20"/>
          <w:sz w:val="18"/>
          <w:szCs w:val="18"/>
        </w:rPr>
        <w:footnoteRef/>
      </w:r>
      <w:r>
        <w:rPr>
          <w:sz w:val="18"/>
          <w:szCs w:val="18"/>
        </w:rPr>
        <w:t xml:space="preserve"> </w:t>
      </w:r>
      <w:r>
        <w:rPr>
          <w:color w:val="0000FF"/>
          <w:sz w:val="18"/>
          <w:szCs w:val="18"/>
          <w:u w:val="single"/>
        </w:rPr>
        <w:t>https://www.fda.gov/regulatory-information/search-fda-guidance-documents/investigational-device-exemptions-ides-early</w:t>
      </w:r>
      <w:r>
        <w:rPr>
          <w:rFonts w:hint="eastAsia"/>
          <w:color w:val="0000FF"/>
          <w:sz w:val="18"/>
          <w:szCs w:val="18"/>
          <w:u w:val="single"/>
        </w:rPr>
        <w:t xml:space="preserve"> </w:t>
      </w:r>
      <w:r>
        <w:rPr>
          <w:color w:val="0000FF"/>
          <w:sz w:val="18"/>
          <w:szCs w:val="18"/>
          <w:u w:val="single"/>
        </w:rPr>
        <w:t>-feasibility-medical-device-clinical-studies-including</w:t>
      </w:r>
    </w:p>
  </w:footnote>
  <w:footnote w:id="5">
    <w:p w14:paraId="5728797F">
      <w:pPr>
        <w:pStyle w:val="13"/>
      </w:pPr>
      <w:r>
        <w:rPr>
          <w:rStyle w:val="20"/>
        </w:rPr>
        <w:footnoteRef/>
      </w:r>
      <w:r>
        <w:t xml:space="preserve"> </w:t>
      </w:r>
      <w:r>
        <w:rPr>
          <w:color w:val="0000FF"/>
          <w:u w:val="single"/>
        </w:rPr>
        <w:t>https://www.fda.gov/regulatory-information/search-fda-guidance-documents/radio-frequency-wireless-technology</w:t>
      </w:r>
      <w:r>
        <w:rPr>
          <w:rFonts w:hint="eastAsia"/>
          <w:color w:val="0000FF"/>
          <w:u w:val="single"/>
        </w:rPr>
        <w:t xml:space="preserve"> </w:t>
      </w:r>
      <w:r>
        <w:rPr>
          <w:color w:val="0000FF"/>
          <w:u w:val="single"/>
        </w:rPr>
        <w:t>-medical-devices-guidance-industry-and-fda-staff</w:t>
      </w:r>
    </w:p>
  </w:footnote>
  <w:footnote w:id="6">
    <w:p w14:paraId="46C9EF2E">
      <w:pPr>
        <w:pStyle w:val="13"/>
      </w:pPr>
      <w:r>
        <w:rPr>
          <w:rStyle w:val="20"/>
        </w:rPr>
        <w:footnoteRef/>
      </w:r>
      <w:r>
        <w:t xml:space="preserve"> </w:t>
      </w:r>
      <w:r>
        <w:rPr>
          <w:color w:val="0000FF"/>
          <w:u w:val="single"/>
        </w:rPr>
        <w:t>https://www.fda.gov/regulatory-information/search-fda-guidance-documents/guidance-content-premarket-submissions</w:t>
      </w:r>
      <w:r>
        <w:rPr>
          <w:rFonts w:hint="eastAsia"/>
          <w:color w:val="0000FF"/>
          <w:u w:val="single"/>
        </w:rPr>
        <w:t xml:space="preserve"> </w:t>
      </w:r>
      <w:r>
        <w:rPr>
          <w:color w:val="0000FF"/>
          <w:u w:val="single"/>
        </w:rPr>
        <w:t>-software-contained-medical-devices</w:t>
      </w:r>
    </w:p>
  </w:footnote>
  <w:footnote w:id="7">
    <w:p w14:paraId="4BE9882F">
      <w:pPr>
        <w:pStyle w:val="13"/>
      </w:pPr>
      <w:r>
        <w:rPr>
          <w:rStyle w:val="20"/>
        </w:rPr>
        <w:footnoteRef/>
      </w:r>
      <w:r>
        <w:t xml:space="preserve"> </w:t>
      </w:r>
      <w:r>
        <w:rPr>
          <w:color w:val="0000FF"/>
          <w:u w:val="single"/>
        </w:rPr>
        <w:t>https://www.fda.gov/regulatory-information/search-fda-guidance-documents/content-premarket-submissions-</w:t>
      </w:r>
      <w:r>
        <w:rPr>
          <w:rFonts w:hint="eastAsia"/>
          <w:color w:val="0000FF"/>
          <w:u w:val="single"/>
        </w:rPr>
        <w:t xml:space="preserve"> </w:t>
      </w:r>
      <w:r>
        <w:rPr>
          <w:color w:val="0000FF"/>
          <w:u w:val="single"/>
        </w:rPr>
        <w:t>management-cybersecurity-medical-devices-0</w:t>
      </w:r>
    </w:p>
  </w:footnote>
  <w:footnote w:id="8">
    <w:p w14:paraId="591A500F">
      <w:pPr>
        <w:pStyle w:val="13"/>
      </w:pPr>
      <w:r>
        <w:rPr>
          <w:rStyle w:val="20"/>
        </w:rPr>
        <w:footnoteRef/>
      </w:r>
      <w:r>
        <w:t xml:space="preserve"> </w:t>
      </w:r>
      <w:r>
        <w:rPr>
          <w:color w:val="0000FF"/>
          <w:u w:val="single"/>
        </w:rPr>
        <w:t>https://www.fda.gov/regulatory-information/search-fda-guidance-documents/shelf-software-use-medical-devices</w:t>
      </w:r>
    </w:p>
  </w:footnote>
  <w:footnote w:id="9">
    <w:p w14:paraId="617E393F">
      <w:pPr>
        <w:pStyle w:val="13"/>
      </w:pPr>
      <w:r>
        <w:rPr>
          <w:rStyle w:val="20"/>
        </w:rPr>
        <w:footnoteRef/>
      </w:r>
      <w:r>
        <w:t xml:space="preserve"> </w:t>
      </w:r>
      <w:r>
        <w:rPr>
          <w:color w:val="0000FF"/>
          <w:u w:val="single"/>
        </w:rPr>
        <w:t>https://www.fda.gov/regulatory-information/search-fda-guidance-documents/cybersecurity-networked-medical-devices</w:t>
      </w:r>
      <w:r>
        <w:rPr>
          <w:rFonts w:hint="eastAsia"/>
          <w:color w:val="0000FF"/>
          <w:u w:val="single"/>
        </w:rPr>
        <w:t xml:space="preserve"> </w:t>
      </w:r>
      <w:r>
        <w:rPr>
          <w:color w:val="0000FF"/>
          <w:u w:val="single"/>
        </w:rPr>
        <w:t>-containing-shelf-ots-software</w:t>
      </w:r>
    </w:p>
  </w:footnote>
  <w:footnote w:id="10">
    <w:p w14:paraId="42671202">
      <w:pPr>
        <w:pStyle w:val="13"/>
      </w:pPr>
      <w:r>
        <w:rPr>
          <w:rStyle w:val="20"/>
        </w:rPr>
        <w:footnoteRef/>
      </w:r>
      <w:r>
        <w:t xml:space="preserve"> </w:t>
      </w:r>
      <w:r>
        <w:rPr>
          <w:rFonts w:eastAsia="宋体"/>
          <w:color w:val="000000"/>
        </w:rPr>
        <w:t>See FDA guidance, “Investigational Device Exemptions (IDEs) for Early Feasibility Medical Device Clinical</w:t>
      </w:r>
      <w:r>
        <w:rPr>
          <w:rFonts w:eastAsia="宋体"/>
          <w:color w:val="0000FF"/>
        </w:rPr>
        <w:t xml:space="preserve"> </w:t>
      </w:r>
      <w:r>
        <w:rPr>
          <w:rFonts w:eastAsia="宋体"/>
          <w:color w:val="000000"/>
        </w:rPr>
        <w:t>Studies, Including Certain First in Human (FIH) Studies”, available at</w:t>
      </w:r>
      <w:r>
        <w:rPr>
          <w:rFonts w:eastAsia="宋体"/>
          <w:color w:val="0000FF"/>
          <w:u w:val="single"/>
        </w:rPr>
        <w:t xml:space="preserve"> https://www.fda.gov/regulatory-information/search-fda-guidance-documents/investigational-device-exemptions-ides-early-feasibility-medical-device-clinical-studies-including.</w:t>
      </w:r>
    </w:p>
  </w:footnote>
  <w:footnote w:id="11">
    <w:p w14:paraId="072AB4B1">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https://www.fda.gov/regulatory-information/search-fda-guidance-documents/applying-human-factors-and-usability</w:t>
      </w:r>
      <w:r>
        <w:rPr>
          <w:rFonts w:hint="eastAsia" w:eastAsia="宋体"/>
          <w:color w:val="0000FF"/>
          <w:u w:val="single"/>
        </w:rPr>
        <w:t xml:space="preserve"> </w:t>
      </w:r>
      <w:r>
        <w:rPr>
          <w:rFonts w:eastAsia="宋体"/>
          <w:color w:val="0000FF"/>
          <w:u w:val="single"/>
        </w:rPr>
        <w:t>-engineering-medical-devices</w:t>
      </w:r>
    </w:p>
  </w:footnote>
  <w:footnote w:id="12">
    <w:p w14:paraId="0C62953D">
      <w:pPr>
        <w:pStyle w:val="13"/>
      </w:pPr>
      <w:r>
        <w:rPr>
          <w:rStyle w:val="20"/>
        </w:rPr>
        <w:footnoteRef/>
      </w:r>
      <w:r>
        <w:t xml:space="preserve"> </w:t>
      </w:r>
      <w:r>
        <w:rPr>
          <w:color w:val="0000FF"/>
          <w:u w:val="single"/>
        </w:rPr>
        <w:t>https://www.fda.gov/regulatory-information/search-fda-guidance-documents/use-international-standard-iso-10993-1</w:t>
      </w:r>
      <w:r>
        <w:rPr>
          <w:rFonts w:hint="eastAsia"/>
          <w:color w:val="0000FF"/>
          <w:u w:val="single"/>
        </w:rPr>
        <w:t xml:space="preserve"> </w:t>
      </w:r>
      <w:r>
        <w:rPr>
          <w:color w:val="0000FF"/>
          <w:u w:val="single"/>
        </w:rPr>
        <w:t>-biological-evaluation-medical-devices-part-1-evaluation-and</w:t>
      </w:r>
    </w:p>
  </w:footnote>
  <w:footnote w:id="13">
    <w:p w14:paraId="3D03FBB5">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https://www.fda.gov/regulatory-information/search-fda-guidance-documents/pyrogen-and-endotoxins-testing</w:t>
      </w:r>
      <w:r>
        <w:rPr>
          <w:rFonts w:hint="eastAsia" w:eastAsia="宋体"/>
          <w:color w:val="0000FF"/>
          <w:u w:val="single"/>
        </w:rPr>
        <w:t xml:space="preserve"> </w:t>
      </w:r>
      <w:r>
        <w:rPr>
          <w:rFonts w:eastAsia="宋体"/>
          <w:color w:val="0000FF"/>
          <w:u w:val="single"/>
        </w:rPr>
        <w:t>-questions-and-answers</w:t>
      </w:r>
    </w:p>
  </w:footnote>
  <w:footnote w:id="14">
    <w:p w14:paraId="5CDC3195">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https://www.fda.gov/regulatory-information/search-fda-guidance-documents/use-international-standard-iso-10993-1</w:t>
      </w:r>
      <w:r>
        <w:rPr>
          <w:rFonts w:hint="eastAsia" w:eastAsia="宋体"/>
          <w:color w:val="0000FF"/>
          <w:u w:val="single"/>
        </w:rPr>
        <w:t xml:space="preserve"> </w:t>
      </w:r>
      <w:r>
        <w:rPr>
          <w:rFonts w:eastAsia="宋体"/>
          <w:color w:val="0000FF"/>
          <w:u w:val="single"/>
        </w:rPr>
        <w:t>-biological-evaluation-medical-devices-part-1-evaluation-and</w:t>
      </w:r>
    </w:p>
  </w:footnote>
  <w:footnote w:id="15">
    <w:p w14:paraId="06671160">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https://www.fda.gov/regulatory-information/search-fda-guidance-documents/information-support-claim-</w:t>
      </w:r>
      <w:r>
        <w:rPr>
          <w:rFonts w:eastAsia="宋体"/>
          <w:color w:val="0000FF"/>
        </w:rPr>
        <w:br w:type="textWrapping"/>
      </w:r>
      <w:r>
        <w:rPr>
          <w:rFonts w:eastAsia="宋体"/>
          <w:color w:val="0000FF"/>
          <w:u w:val="single"/>
        </w:rPr>
        <w:t>电磁兼容性emc电动医疗器械</w:t>
      </w:r>
    </w:p>
  </w:footnote>
  <w:footnote w:id="16">
    <w:p w14:paraId="3B124719">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https://www.fda.gov/regulatory-information/search-fda-guidance-documents/design-considerations-devices-intended</w:t>
      </w:r>
      <w:r>
        <w:rPr>
          <w:rFonts w:hint="eastAsia" w:eastAsia="宋体"/>
          <w:color w:val="0000FF"/>
          <w:u w:val="single"/>
        </w:rPr>
        <w:t xml:space="preserve"> </w:t>
      </w:r>
      <w:r>
        <w:rPr>
          <w:rFonts w:eastAsia="宋体"/>
          <w:color w:val="0000FF"/>
          <w:u w:val="single"/>
        </w:rPr>
        <w:t>-home-use</w:t>
      </w:r>
    </w:p>
  </w:footnote>
  <w:footnote w:id="17">
    <w:p w14:paraId="473E5EE7">
      <w:pPr>
        <w:pStyle w:val="13"/>
      </w:pPr>
      <w:r>
        <w:rPr>
          <w:rStyle w:val="20"/>
        </w:rPr>
        <w:footnoteRef/>
      </w:r>
      <w:r>
        <w:t xml:space="preserve"> </w:t>
      </w:r>
      <w:r>
        <w:rPr>
          <w:color w:val="0000FF"/>
          <w:u w:val="single"/>
        </w:rPr>
        <w:t>https://www.fda.gov/regulatory-information/search-fda-guidance-documents/radio-frequency-wireless-technology</w:t>
      </w:r>
      <w:r>
        <w:rPr>
          <w:rFonts w:hint="eastAsia"/>
          <w:color w:val="0000FF"/>
          <w:u w:val="single"/>
        </w:rPr>
        <w:t xml:space="preserve"> </w:t>
      </w:r>
      <w:r>
        <w:rPr>
          <w:color w:val="0000FF"/>
          <w:u w:val="single"/>
        </w:rPr>
        <w:t>-medical-devices-guidance-industry-and-fda-staff</w:t>
      </w:r>
    </w:p>
  </w:footnote>
  <w:footnote w:id="18">
    <w:p w14:paraId="3ECB8F12">
      <w:pPr>
        <w:pStyle w:val="13"/>
      </w:pPr>
      <w:r>
        <w:rPr>
          <w:rStyle w:val="20"/>
        </w:rPr>
        <w:footnoteRef/>
      </w:r>
      <w:r>
        <w:t xml:space="preserve"> </w:t>
      </w:r>
      <w:r>
        <w:rPr>
          <w:color w:val="0000FF"/>
          <w:u w:val="single"/>
        </w:rPr>
        <w:t>https://www.fda.gov/regulatory-information/search-fda-guidance-documents/establishing-safety-and-compatibility-passive</w:t>
      </w:r>
      <w:r>
        <w:rPr>
          <w:rFonts w:hint="eastAsia"/>
          <w:color w:val="0000FF"/>
          <w:u w:val="single"/>
        </w:rPr>
        <w:t xml:space="preserve"> </w:t>
      </w:r>
      <w:r>
        <w:rPr>
          <w:color w:val="0000FF"/>
          <w:u w:val="single"/>
        </w:rPr>
        <w:t>-implants-magnetic-resonance-mr-environment</w:t>
      </w:r>
    </w:p>
  </w:footnote>
  <w:footnote w:id="19">
    <w:p w14:paraId="223C8680">
      <w:pPr>
        <w:shd w:val="clear" w:color="auto" w:fill="FFFFFF"/>
        <w:snapToGrid w:val="0"/>
        <w:rPr>
          <w:rFonts w:eastAsia="宋体"/>
          <w:sz w:val="18"/>
          <w:szCs w:val="18"/>
        </w:rPr>
      </w:pPr>
      <w:r>
        <w:rPr>
          <w:rStyle w:val="20"/>
          <w:sz w:val="18"/>
          <w:szCs w:val="18"/>
        </w:rPr>
        <w:footnoteRef/>
      </w:r>
      <w:r>
        <w:rPr>
          <w:sz w:val="18"/>
          <w:szCs w:val="18"/>
        </w:rPr>
        <w:t xml:space="preserve"> </w:t>
      </w:r>
      <w:r>
        <w:rPr>
          <w:color w:val="0000FF"/>
          <w:sz w:val="18"/>
          <w:szCs w:val="18"/>
          <w:u w:val="single"/>
        </w:rPr>
        <w:t>https://www.fda.gov/regulatory-information/search-fda-guidance-documents/recommended-content-and-format-non</w:t>
      </w:r>
      <w:r>
        <w:rPr>
          <w:rFonts w:hint="eastAsia"/>
          <w:color w:val="0000FF"/>
          <w:sz w:val="18"/>
          <w:szCs w:val="18"/>
          <w:u w:val="single"/>
        </w:rPr>
        <w:t xml:space="preserve"> </w:t>
      </w:r>
      <w:r>
        <w:rPr>
          <w:color w:val="0000FF"/>
          <w:sz w:val="18"/>
          <w:szCs w:val="18"/>
          <w:u w:val="single"/>
        </w:rPr>
        <w:t>-clinical-bench-performance-testing-information-premarket</w:t>
      </w:r>
    </w:p>
  </w:footnote>
  <w:footnote w:id="20">
    <w:p w14:paraId="070091A1">
      <w:pPr>
        <w:pStyle w:val="13"/>
        <w:rPr>
          <w:rFonts w:eastAsia="宋体"/>
        </w:rPr>
      </w:pPr>
      <w:r>
        <w:rPr>
          <w:rStyle w:val="20"/>
          <w:rFonts w:eastAsia="宋体"/>
        </w:rPr>
        <w:footnoteRef/>
      </w:r>
      <w:r>
        <w:rPr>
          <w:rFonts w:eastAsia="宋体"/>
          <w:color w:val="000000"/>
        </w:rPr>
        <w:t>请见《联邦食品、药品和化妆品法案》第514（c）节。</w:t>
      </w:r>
    </w:p>
  </w:footnote>
  <w:footnote w:id="21">
    <w:p w14:paraId="3BDF78A6">
      <w:pPr>
        <w:pStyle w:val="13"/>
      </w:pPr>
      <w:r>
        <w:rPr>
          <w:rStyle w:val="20"/>
        </w:rPr>
        <w:footnoteRef/>
      </w:r>
      <w:r>
        <w:t xml:space="preserve"> </w:t>
      </w:r>
      <w:r>
        <w:rPr>
          <w:color w:val="0000FF"/>
          <w:u w:val="single"/>
        </w:rPr>
        <w:t>https://www.fda.gov/regulatory-information/search-fda-guidance-documents/requests-feedback-and-meetings-medical</w:t>
      </w:r>
      <w:r>
        <w:rPr>
          <w:rFonts w:hint="eastAsia"/>
          <w:color w:val="0000FF"/>
          <w:u w:val="single"/>
        </w:rPr>
        <w:t xml:space="preserve"> </w:t>
      </w:r>
      <w:r>
        <w:rPr>
          <w:color w:val="0000FF"/>
          <w:u w:val="single"/>
        </w:rPr>
        <w:t>-device-submissions-q-submission-program</w:t>
      </w:r>
    </w:p>
  </w:footnote>
  <w:footnote w:id="22">
    <w:p w14:paraId="072443C3">
      <w:pPr>
        <w:pStyle w:val="13"/>
      </w:pPr>
      <w:r>
        <w:rPr>
          <w:rStyle w:val="20"/>
        </w:rPr>
        <w:footnoteRef/>
      </w:r>
      <w:r>
        <w:t xml:space="preserve"> </w:t>
      </w:r>
      <w:r>
        <w:rPr>
          <w:color w:val="0000FF"/>
          <w:u w:val="single"/>
        </w:rPr>
        <w:t>https://www.fda.gov/regulatory-information/search-fda-guidance-documents/investigational-device-exemptions-ides</w:t>
      </w:r>
      <w:r>
        <w:rPr>
          <w:rFonts w:hint="eastAsia"/>
          <w:color w:val="0000FF"/>
          <w:u w:val="single"/>
        </w:rPr>
        <w:t xml:space="preserve"> </w:t>
      </w:r>
      <w:r>
        <w:rPr>
          <w:color w:val="0000FF"/>
          <w:u w:val="single"/>
        </w:rPr>
        <w:t>-early-feasibility-medical-device-clinical-studies-including</w:t>
      </w:r>
    </w:p>
  </w:footnote>
  <w:footnote w:id="23">
    <w:p w14:paraId="15483FF2">
      <w:pPr>
        <w:pStyle w:val="13"/>
        <w:rPr>
          <w:rFonts w:eastAsia="宋体"/>
        </w:rPr>
      </w:pPr>
      <w:r>
        <w:rPr>
          <w:rStyle w:val="20"/>
          <w:rFonts w:eastAsia="宋体"/>
        </w:rPr>
        <w:footnoteRef/>
      </w:r>
      <w:r>
        <w:rPr>
          <w:rFonts w:eastAsia="宋体"/>
          <w:color w:val="000000"/>
        </w:rPr>
        <w:t>请见《美国联邦法规》第21篇第812.27（b）（3）部分。</w:t>
      </w:r>
    </w:p>
  </w:footnote>
  <w:footnote w:id="24">
    <w:p w14:paraId="0FC9F1EC">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https://www.fda.gov/regulatory-information/search-fda-guidance-documents/investigational-device-exemptions-ides</w:t>
      </w:r>
      <w:r>
        <w:rPr>
          <w:rFonts w:hint="eastAsia" w:eastAsia="宋体"/>
          <w:color w:val="0000FF"/>
          <w:u w:val="single"/>
        </w:rPr>
        <w:t xml:space="preserve"> </w:t>
      </w:r>
      <w:r>
        <w:rPr>
          <w:rFonts w:eastAsia="宋体"/>
          <w:color w:val="0000FF"/>
          <w:u w:val="single"/>
        </w:rPr>
        <w:t>-early-feasibility-medical-device-clinical-studies-including</w:t>
      </w:r>
    </w:p>
  </w:footnote>
  <w:footnote w:id="25">
    <w:p w14:paraId="51529764">
      <w:pPr>
        <w:pStyle w:val="13"/>
        <w:rPr>
          <w:rFonts w:eastAsia="宋体"/>
        </w:rPr>
      </w:pPr>
      <w:r>
        <w:rPr>
          <w:rStyle w:val="20"/>
          <w:rFonts w:eastAsia="宋体"/>
        </w:rPr>
        <w:footnoteRef/>
      </w:r>
      <w:r>
        <w:rPr>
          <w:rFonts w:eastAsia="宋体"/>
          <w:color w:val="000000"/>
        </w:rPr>
        <w:t xml:space="preserve"> 见《美国联邦法规》第21篇812.27部分。</w:t>
      </w:r>
    </w:p>
  </w:footnote>
  <w:footnote w:id="26">
    <w:p w14:paraId="6886BB0E">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https://www.fda.gov/regulatory-information/search-fda-guidance-documents/investigational-device-exemptions-ides</w:t>
      </w:r>
      <w:r>
        <w:rPr>
          <w:rFonts w:hint="eastAsia" w:eastAsia="宋体"/>
          <w:color w:val="0000FF"/>
          <w:u w:val="single"/>
        </w:rPr>
        <w:t xml:space="preserve"> </w:t>
      </w:r>
      <w:r>
        <w:rPr>
          <w:rFonts w:eastAsia="宋体"/>
          <w:color w:val="0000FF"/>
          <w:u w:val="single"/>
        </w:rPr>
        <w:t>-early-feasibility-medical-device-clinical-studies-including</w:t>
      </w:r>
    </w:p>
  </w:footnote>
  <w:footnote w:id="27">
    <w:p w14:paraId="13C2FF3A">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https://www.fda.gov/regulatory-information/search-fda-guidance-documents/design-considerations-pivotal-clinical</w:t>
      </w:r>
      <w:r>
        <w:rPr>
          <w:rFonts w:hint="eastAsia" w:eastAsia="宋体"/>
          <w:color w:val="0000FF"/>
          <w:u w:val="single"/>
        </w:rPr>
        <w:t xml:space="preserve"> </w:t>
      </w:r>
      <w:r>
        <w:rPr>
          <w:rFonts w:eastAsia="宋体"/>
          <w:color w:val="0000FF"/>
          <w:u w:val="single"/>
        </w:rPr>
        <w:t>-investigations-medical-devices</w:t>
      </w:r>
    </w:p>
  </w:footnote>
  <w:footnote w:id="28">
    <w:p w14:paraId="3AC60034">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https://www.fda.gov/regulatory-information/search-fda-guidance-documents/significant-risk-and-nonsignificant-risk-</w:t>
      </w:r>
      <w:r>
        <w:rPr>
          <w:rFonts w:hint="eastAsia" w:eastAsia="宋体"/>
          <w:color w:val="0000FF"/>
          <w:u w:val="single"/>
        </w:rPr>
        <w:t xml:space="preserve"> </w:t>
      </w:r>
      <w:r>
        <w:rPr>
          <w:rFonts w:eastAsia="宋体"/>
          <w:color w:val="0000FF"/>
          <w:u w:val="single"/>
        </w:rPr>
        <w:t>medical-device-studies</w:t>
      </w:r>
    </w:p>
  </w:footnote>
  <w:footnote w:id="29">
    <w:p w14:paraId="5902A434">
      <w:pPr>
        <w:pStyle w:val="13"/>
        <w:rPr>
          <w:rFonts w:eastAsia="宋体"/>
          <w:lang w:val="de-DE"/>
        </w:rPr>
      </w:pPr>
      <w:r>
        <w:rPr>
          <w:rStyle w:val="20"/>
          <w:rFonts w:eastAsia="宋体"/>
        </w:rPr>
        <w:footnoteRef/>
      </w:r>
      <w:r>
        <w:rPr>
          <w:rFonts w:eastAsia="宋体"/>
          <w:lang w:val="de-DE"/>
        </w:rPr>
        <w:t xml:space="preserve"> </w:t>
      </w:r>
      <w:r>
        <w:rPr>
          <w:rFonts w:eastAsia="宋体"/>
          <w:color w:val="000000"/>
        </w:rPr>
        <w:t>见</w:t>
      </w:r>
      <w:r>
        <w:rPr>
          <w:rFonts w:eastAsia="宋体"/>
          <w:color w:val="000000"/>
          <w:lang w:val="de-DE"/>
        </w:rPr>
        <w:t>FDA</w:t>
      </w:r>
      <w:r>
        <w:rPr>
          <w:rFonts w:ascii="宋体" w:hAnsi="宋体" w:eastAsia="宋体"/>
          <w:color w:val="000000"/>
          <w:lang w:val="de-DE"/>
        </w:rPr>
        <w:t>“</w:t>
      </w:r>
      <w:r>
        <w:rPr>
          <w:rFonts w:ascii="宋体" w:hAnsi="宋体" w:eastAsia="宋体"/>
          <w:color w:val="000000"/>
        </w:rPr>
        <w:t>关于医疗器械临床研究适应性设计的指南</w:t>
      </w:r>
      <w:r>
        <w:rPr>
          <w:rFonts w:ascii="宋体" w:hAnsi="宋体" w:eastAsia="宋体"/>
          <w:color w:val="000000"/>
          <w:lang w:val="de-DE"/>
        </w:rPr>
        <w:t>”</w:t>
      </w:r>
      <w:r>
        <w:rPr>
          <w:rFonts w:eastAsia="宋体"/>
          <w:color w:val="000000"/>
          <w:lang w:val="de-DE"/>
        </w:rPr>
        <w:t>，</w:t>
      </w:r>
      <w:r>
        <w:rPr>
          <w:rFonts w:eastAsia="宋体"/>
          <w:color w:val="000000"/>
        </w:rPr>
        <w:t>获取网址</w:t>
      </w:r>
      <w:r>
        <w:rPr>
          <w:rFonts w:eastAsia="宋体"/>
          <w:color w:val="0000FF"/>
          <w:u w:val="single"/>
          <w:lang w:val="de-DE"/>
        </w:rPr>
        <w:t>https://www.fda.gov/regulatory-information/search-fda-guidance-documents/adaptive-designs-medical-device-clinical</w:t>
      </w:r>
      <w:r>
        <w:rPr>
          <w:rFonts w:hint="eastAsia" w:eastAsia="宋体"/>
          <w:color w:val="0000FF"/>
          <w:u w:val="single"/>
          <w:lang w:val="de-DE"/>
        </w:rPr>
        <w:t xml:space="preserve"> </w:t>
      </w:r>
      <w:r>
        <w:rPr>
          <w:rFonts w:eastAsia="宋体"/>
          <w:color w:val="0000FF"/>
          <w:u w:val="single"/>
          <w:lang w:val="de-DE"/>
        </w:rPr>
        <w:t>-studies.</w:t>
      </w:r>
    </w:p>
  </w:footnote>
  <w:footnote w:id="30">
    <w:p w14:paraId="55624C82">
      <w:pPr>
        <w:pStyle w:val="13"/>
        <w:rPr>
          <w:rFonts w:eastAsia="宋体"/>
          <w:lang w:val="de-DE"/>
        </w:rPr>
      </w:pPr>
      <w:r>
        <w:rPr>
          <w:rStyle w:val="20"/>
          <w:rFonts w:eastAsia="宋体"/>
        </w:rPr>
        <w:footnoteRef/>
      </w:r>
      <w:r>
        <w:rPr>
          <w:rFonts w:eastAsia="宋体"/>
          <w:lang w:val="de-DE"/>
        </w:rPr>
        <w:t xml:space="preserve"> </w:t>
      </w:r>
      <w:r>
        <w:rPr>
          <w:rFonts w:eastAsia="宋体"/>
          <w:color w:val="000000"/>
        </w:rPr>
        <w:t>见</w:t>
      </w:r>
      <w:r>
        <w:rPr>
          <w:rFonts w:eastAsia="宋体"/>
          <w:color w:val="000000"/>
          <w:lang w:val="de-DE"/>
        </w:rPr>
        <w:t>FDA</w:t>
      </w:r>
      <w:r>
        <w:rPr>
          <w:rFonts w:ascii="宋体" w:hAnsi="宋体" w:eastAsia="宋体"/>
          <w:color w:val="000000"/>
          <w:lang w:val="de-DE"/>
        </w:rPr>
        <w:t>“</w:t>
      </w:r>
      <w:r>
        <w:rPr>
          <w:rFonts w:ascii="宋体" w:hAnsi="宋体" w:eastAsia="宋体"/>
          <w:color w:val="000000"/>
        </w:rPr>
        <w:t>关于对医疗器械</w:t>
      </w:r>
      <w:r>
        <w:rPr>
          <w:rFonts w:ascii="宋体" w:hAnsi="宋体" w:eastAsia="宋体"/>
          <w:color w:val="0000FF"/>
          <w:lang w:val="de-DE"/>
        </w:rPr>
        <w:t xml:space="preserve"> </w:t>
      </w:r>
      <w:r>
        <w:rPr>
          <w:rFonts w:ascii="宋体" w:hAnsi="宋体" w:eastAsia="宋体"/>
          <w:color w:val="000000"/>
        </w:rPr>
        <w:t>临床试验用器械豁免可用获益</w:t>
      </w:r>
      <w:r>
        <w:rPr>
          <w:rFonts w:ascii="宋体" w:hAnsi="宋体" w:eastAsia="宋体"/>
          <w:color w:val="000000"/>
          <w:lang w:val="de-DE"/>
        </w:rPr>
        <w:t>-</w:t>
      </w:r>
      <w:r>
        <w:rPr>
          <w:rFonts w:ascii="宋体" w:hAnsi="宋体" w:eastAsia="宋体"/>
          <w:color w:val="000000"/>
        </w:rPr>
        <w:t>风险确定时考虑因素的指南</w:t>
      </w:r>
      <w:r>
        <w:rPr>
          <w:rFonts w:ascii="宋体" w:hAnsi="宋体" w:eastAsia="宋体"/>
          <w:color w:val="000000"/>
          <w:lang w:val="de-DE"/>
        </w:rPr>
        <w:t>”</w:t>
      </w:r>
      <w:r>
        <w:rPr>
          <w:rFonts w:eastAsia="宋体"/>
          <w:color w:val="000000"/>
          <w:lang w:val="de-DE"/>
        </w:rPr>
        <w:t>，</w:t>
      </w:r>
      <w:r>
        <w:rPr>
          <w:rFonts w:eastAsia="宋体"/>
          <w:color w:val="000000"/>
        </w:rPr>
        <w:t>获取网址</w:t>
      </w:r>
      <w:r>
        <w:rPr>
          <w:rFonts w:eastAsia="宋体"/>
          <w:color w:val="000000"/>
          <w:lang w:val="de-DE"/>
        </w:rPr>
        <w:t>：</w:t>
      </w:r>
      <w:r>
        <w:rPr>
          <w:rFonts w:eastAsia="宋体"/>
          <w:color w:val="0000FF"/>
          <w:u w:val="single"/>
          <w:lang w:val="de-DE"/>
        </w:rPr>
        <w:t>https://www.fda.gov/regulatory-information/search-fda-guidance-documents/factors-consider-when-making-benefit-risk-determinations-medical-device-investigational-device.</w:t>
      </w:r>
    </w:p>
  </w:footnote>
  <w:footnote w:id="31">
    <w:p w14:paraId="371E0D77">
      <w:pPr>
        <w:pStyle w:val="13"/>
        <w:rPr>
          <w:rFonts w:eastAsia="宋体"/>
          <w:lang w:val="de-DE"/>
        </w:rPr>
      </w:pPr>
      <w:r>
        <w:rPr>
          <w:rStyle w:val="20"/>
          <w:rFonts w:eastAsia="宋体"/>
        </w:rPr>
        <w:footnoteRef/>
      </w:r>
      <w:r>
        <w:rPr>
          <w:rFonts w:eastAsia="宋体"/>
          <w:lang w:val="de-DE"/>
        </w:rPr>
        <w:t xml:space="preserve"> </w:t>
      </w:r>
      <w:r>
        <w:rPr>
          <w:rFonts w:eastAsia="宋体"/>
          <w:color w:val="0000FF"/>
          <w:u w:val="single"/>
          <w:lang w:val="de-DE"/>
        </w:rPr>
        <w:t>https://www.fda.gov/regulatory-information/search-fda-guidance-documents/design-considerations-devices-intended-home-use</w:t>
      </w:r>
    </w:p>
  </w:footnote>
  <w:footnote w:id="32">
    <w:p w14:paraId="16F759D6">
      <w:pPr>
        <w:pStyle w:val="13"/>
        <w:rPr>
          <w:rFonts w:eastAsia="宋体"/>
        </w:rPr>
      </w:pPr>
      <w:r>
        <w:rPr>
          <w:rStyle w:val="20"/>
          <w:rFonts w:eastAsia="宋体"/>
        </w:rPr>
        <w:footnoteRef/>
      </w:r>
      <w:r>
        <w:rPr>
          <w:rFonts w:eastAsia="宋体"/>
          <w:color w:val="000000"/>
        </w:rPr>
        <w:t>请见《美国联邦法规》第21篇第812.25部分</w:t>
      </w:r>
    </w:p>
  </w:footnote>
  <w:footnote w:id="33">
    <w:p w14:paraId="2A3E24C9">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https://www.fda.gov/regulatory-information/search-fda-guidance-documents/use-real-world-evidence-support-regulatory</w:t>
      </w:r>
      <w:r>
        <w:rPr>
          <w:rFonts w:hint="eastAsia" w:eastAsia="宋体"/>
          <w:color w:val="0000FF"/>
          <w:u w:val="single"/>
        </w:rPr>
        <w:t xml:space="preserve"> </w:t>
      </w:r>
      <w:r>
        <w:rPr>
          <w:rFonts w:eastAsia="宋体"/>
          <w:color w:val="0000FF"/>
          <w:u w:val="single"/>
        </w:rPr>
        <w:t>-decision-making-medical-devices</w:t>
      </w:r>
    </w:p>
  </w:footnote>
  <w:footnote w:id="34">
    <w:p w14:paraId="2D15F5C8">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https://www.fda.gov/regulatory-information/search-fda-guidance-documents/e9-statistical-principles-clinical-trials</w:t>
      </w:r>
    </w:p>
  </w:footnote>
  <w:footnote w:id="35">
    <w:p w14:paraId="3E82CD6D">
      <w:pPr>
        <w:pStyle w:val="13"/>
        <w:rPr>
          <w:rFonts w:eastAsia="宋体"/>
        </w:rPr>
      </w:pPr>
      <w:r>
        <w:rPr>
          <w:rStyle w:val="20"/>
          <w:rFonts w:eastAsia="宋体"/>
        </w:rPr>
        <w:footnoteRef/>
      </w:r>
      <w:r>
        <w:rPr>
          <w:rFonts w:eastAsia="宋体"/>
        </w:rPr>
        <w:t xml:space="preserve"> </w:t>
      </w:r>
      <w:r>
        <w:rPr>
          <w:rFonts w:eastAsia="宋体"/>
          <w:color w:val="000000"/>
        </w:rPr>
        <w:t>见FDA指南“医疗器械临床研究中的性别特异性数据评价”，获取网址：</w:t>
      </w:r>
      <w:r>
        <w:rPr>
          <w:rFonts w:eastAsia="宋体"/>
          <w:color w:val="0000FF"/>
        </w:rPr>
        <w:t xml:space="preserve"> </w:t>
      </w:r>
      <w:r>
        <w:rPr>
          <w:rFonts w:eastAsia="宋体"/>
          <w:color w:val="0000FF"/>
          <w:u w:val="single"/>
        </w:rPr>
        <w:t>https://www.fda.gov/regulatory-information/</w:t>
      </w:r>
      <w:r>
        <w:rPr>
          <w:rFonts w:hint="eastAsia" w:eastAsia="宋体"/>
          <w:color w:val="0000FF"/>
          <w:u w:val="single"/>
        </w:rPr>
        <w:t xml:space="preserve"> </w:t>
      </w:r>
      <w:r>
        <w:rPr>
          <w:rFonts w:eastAsia="宋体"/>
          <w:color w:val="0000FF"/>
          <w:u w:val="single"/>
        </w:rPr>
        <w:t>search-fda-guidance-documents/evaluation-sex-specific-data-medical-device-clinical-studies-guidance-industry-and-food-and-drug</w:t>
      </w:r>
      <w:r>
        <w:rPr>
          <w:rFonts w:eastAsia="宋体"/>
          <w:color w:val="000000"/>
        </w:rPr>
        <w:t>.</w:t>
      </w:r>
    </w:p>
  </w:footnote>
  <w:footnote w:id="36">
    <w:p w14:paraId="3B0FAB49">
      <w:pPr>
        <w:pStyle w:val="13"/>
        <w:rPr>
          <w:rFonts w:eastAsia="宋体"/>
        </w:rPr>
      </w:pPr>
      <w:r>
        <w:rPr>
          <w:rStyle w:val="20"/>
          <w:rFonts w:eastAsia="宋体"/>
        </w:rPr>
        <w:footnoteRef/>
      </w:r>
      <w:r>
        <w:rPr>
          <w:rFonts w:eastAsia="宋体"/>
        </w:rPr>
        <w:t xml:space="preserve"> </w:t>
      </w:r>
      <w:r>
        <w:rPr>
          <w:rFonts w:eastAsia="宋体"/>
          <w:color w:val="000000"/>
        </w:rPr>
        <w:t>见FDA“关于医疗器械临床研究中年龄、人种和种族特异性数据评价和报告的指南”，获取网址</w:t>
      </w:r>
      <w:r>
        <w:rPr>
          <w:rFonts w:eastAsia="宋体"/>
          <w:color w:val="0000FF"/>
          <w:u w:val="single"/>
        </w:rPr>
        <w:t>https://www.fda.gov/regulatory-information/search-fda-guidance-documents/evaluation-and-reporting-age-race-and-ethnicity-specific-data-medical-device-clinical-studies</w:t>
      </w:r>
      <w:r>
        <w:rPr>
          <w:rFonts w:eastAsia="宋体"/>
          <w:color w:val="000000"/>
        </w:rPr>
        <w:t>.</w:t>
      </w:r>
    </w:p>
  </w:footnote>
  <w:footnote w:id="37">
    <w:p w14:paraId="632ADD71">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https://www.fda.gov/regulatory-information/search-fda-guidance-documents/patient-preference-information-voluntary</w:t>
      </w:r>
      <w:r>
        <w:rPr>
          <w:rFonts w:hint="eastAsia" w:eastAsia="宋体"/>
          <w:color w:val="0000FF"/>
          <w:u w:val="single"/>
        </w:rPr>
        <w:t xml:space="preserve"> </w:t>
      </w:r>
      <w:r>
        <w:rPr>
          <w:rFonts w:eastAsia="宋体"/>
          <w:color w:val="0000FF"/>
          <w:u w:val="single"/>
        </w:rPr>
        <w:t>-submission-review-premarket-approval-applications</w:t>
      </w:r>
    </w:p>
  </w:footnote>
  <w:footnote w:id="38">
    <w:p w14:paraId="7E7E34A7">
      <w:pPr>
        <w:pStyle w:val="13"/>
        <w:rPr>
          <w:rFonts w:eastAsia="宋体"/>
        </w:rPr>
      </w:pPr>
      <w:r>
        <w:rPr>
          <w:rStyle w:val="20"/>
          <w:rFonts w:eastAsia="宋体"/>
        </w:rPr>
        <w:footnoteRef/>
      </w:r>
      <w:r>
        <w:rPr>
          <w:rFonts w:eastAsia="宋体"/>
        </w:rPr>
        <w:t xml:space="preserve"> </w:t>
      </w:r>
      <w:r>
        <w:rPr>
          <w:rFonts w:eastAsia="宋体"/>
          <w:color w:val="000000"/>
        </w:rPr>
        <w:t>使用情境：全面、清晰描述医疗产品开发工具的使用方式以及医疗产品开发相关使用目的声明。</w:t>
      </w:r>
      <w:r>
        <w:rPr>
          <w:rFonts w:eastAsia="宋体"/>
          <w:color w:val="0000FF"/>
        </w:rPr>
        <w:t xml:space="preserve"> （</w:t>
      </w:r>
      <w:r>
        <w:rPr>
          <w:rFonts w:eastAsia="宋体"/>
          <w:color w:val="0000FF"/>
          <w:u w:val="single"/>
        </w:rPr>
        <w:t>https://www.ncbi.nlm.nih.gov/books/NBK338448/#IX-C</w:t>
      </w:r>
      <w:r>
        <w:rPr>
          <w:rFonts w:eastAsia="宋体"/>
          <w:color w:val="0000FF"/>
        </w:rPr>
        <w:t>）</w:t>
      </w:r>
    </w:p>
  </w:footnote>
  <w:footnote w:id="39">
    <w:p w14:paraId="4AB6ED7E">
      <w:pPr>
        <w:pStyle w:val="13"/>
        <w:rPr>
          <w:rFonts w:eastAsia="宋体"/>
        </w:rPr>
      </w:pPr>
      <w:r>
        <w:rPr>
          <w:rStyle w:val="20"/>
          <w:rFonts w:eastAsia="宋体"/>
        </w:rPr>
        <w:footnoteRef/>
      </w:r>
      <w:r>
        <w:rPr>
          <w:rFonts w:eastAsia="宋体"/>
        </w:rPr>
        <w:t xml:space="preserve"> </w:t>
      </w:r>
      <w:r>
        <w:rPr>
          <w:rFonts w:eastAsia="宋体"/>
          <w:color w:val="0000FF"/>
          <w:u w:val="single"/>
        </w:rPr>
        <w:t>https://www.fda.gov/regulatory-information/search-fda-guidance-documents/patient-reported-outcome-measures</w:t>
      </w:r>
      <w:r>
        <w:rPr>
          <w:rFonts w:hint="eastAsia" w:eastAsia="宋体"/>
          <w:color w:val="0000FF"/>
          <w:u w:val="single"/>
        </w:rPr>
        <w:t xml:space="preserve"> </w:t>
      </w:r>
      <w:r>
        <w:rPr>
          <w:rFonts w:eastAsia="宋体"/>
          <w:color w:val="0000FF"/>
          <w:u w:val="single"/>
        </w:rPr>
        <w:t>-use-medical-product-development-support-labeling-claims</w:t>
      </w:r>
    </w:p>
  </w:footnote>
  <w:footnote w:id="40">
    <w:p w14:paraId="66C1DA4E">
      <w:pPr>
        <w:pStyle w:val="13"/>
        <w:rPr>
          <w:rFonts w:eastAsia="宋体"/>
        </w:rPr>
      </w:pPr>
      <w:r>
        <w:rPr>
          <w:rStyle w:val="20"/>
          <w:rFonts w:eastAsia="宋体"/>
        </w:rPr>
        <w:footnoteRef/>
      </w:r>
      <w:r>
        <w:rPr>
          <w:rFonts w:eastAsia="宋体"/>
          <w:color w:val="000000"/>
        </w:rPr>
        <w:t xml:space="preserve"> 见《美国联邦法规》第21篇50.25部分。</w:t>
      </w:r>
    </w:p>
  </w:footnote>
  <w:footnote w:id="41">
    <w:p w14:paraId="35E0D2E1">
      <w:pPr>
        <w:pStyle w:val="13"/>
        <w:rPr>
          <w:rFonts w:eastAsia="宋体"/>
        </w:rPr>
      </w:pPr>
      <w:r>
        <w:rPr>
          <w:rStyle w:val="20"/>
          <w:rFonts w:eastAsia="宋体"/>
        </w:rPr>
        <w:footnoteRef/>
      </w:r>
      <w:r>
        <w:rPr>
          <w:rFonts w:eastAsia="宋体"/>
        </w:rPr>
        <w:t xml:space="preserve"> </w:t>
      </w:r>
      <w:r>
        <w:rPr>
          <w:rFonts w:eastAsia="宋体"/>
          <w:color w:val="000000"/>
        </w:rPr>
        <w:t>见FDA指南，“关于医疗器械关键临床研究设计考虑因素的指南”，获取网址：</w:t>
      </w:r>
      <w:r>
        <w:rPr>
          <w:rFonts w:eastAsia="宋体"/>
          <w:color w:val="0000FF"/>
        </w:rPr>
        <w:t xml:space="preserve"> </w:t>
      </w:r>
      <w:r>
        <w:rPr>
          <w:rFonts w:eastAsia="宋体"/>
          <w:color w:val="0000FF"/>
          <w:u w:val="single"/>
        </w:rPr>
        <w:t>https://www.fda.gov/regulatory</w:t>
      </w:r>
      <w:r>
        <w:rPr>
          <w:rFonts w:hint="eastAsia" w:eastAsia="宋体"/>
          <w:color w:val="0000FF"/>
          <w:u w:val="single"/>
        </w:rPr>
        <w:t xml:space="preserve"> </w:t>
      </w:r>
      <w:r>
        <w:rPr>
          <w:rFonts w:eastAsia="宋体"/>
          <w:color w:val="0000FF"/>
          <w:u w:val="single"/>
        </w:rPr>
        <w:t>-information/search-fda-guidance-documents/design-considerations-pivotal-clinical-investigations-medical-devices.</w:t>
      </w:r>
    </w:p>
  </w:footnote>
  <w:footnote w:id="42">
    <w:p w14:paraId="0D06D4D6">
      <w:pPr>
        <w:pStyle w:val="13"/>
        <w:rPr>
          <w:rFonts w:eastAsia="宋体"/>
        </w:rPr>
      </w:pPr>
      <w:r>
        <w:rPr>
          <w:rStyle w:val="20"/>
          <w:rFonts w:eastAsia="宋体"/>
        </w:rPr>
        <w:footnoteRef/>
      </w:r>
      <w:r>
        <w:rPr>
          <w:rFonts w:eastAsia="宋体"/>
        </w:rPr>
        <w:t xml:space="preserve"> </w:t>
      </w:r>
      <w:r>
        <w:rPr>
          <w:rFonts w:eastAsia="宋体"/>
          <w:color w:val="000000"/>
        </w:rPr>
        <w:t>见FDA指南，标题为“医疗器械临床试验中贝叶斯统计使用指南”，</w:t>
      </w:r>
      <w:r>
        <w:rPr>
          <w:rFonts w:eastAsia="宋体"/>
          <w:color w:val="0000FF"/>
        </w:rPr>
        <w:t xml:space="preserve"> </w:t>
      </w:r>
      <w:r>
        <w:rPr>
          <w:rFonts w:eastAsia="宋体"/>
          <w:color w:val="000000"/>
        </w:rPr>
        <w:t>，获取网址：</w:t>
      </w:r>
      <w:r>
        <w:rPr>
          <w:rFonts w:eastAsia="宋体"/>
          <w:color w:val="0000FF"/>
          <w:u w:val="single"/>
        </w:rPr>
        <w:t xml:space="preserve"> https://www.fda.gov/regulatory-information/search-fda-guidance-documents/guidance-use-bayesian-statistics-medical-device-clinical-trials-pdf-version.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3AE5">
    <w:pPr>
      <w:shd w:val="clear" w:color="auto" w:fill="FFFFFF"/>
      <w:snapToGrid w:val="0"/>
      <w:jc w:val="center"/>
      <w:rPr>
        <w:rFonts w:eastAsia="宋体"/>
        <w:sz w:val="21"/>
        <w:szCs w:val="21"/>
      </w:rPr>
    </w:pPr>
    <w:bookmarkStart w:id="69" w:name="_Hlk99376572"/>
    <w:r>
      <w:rPr>
        <w:b/>
        <w:bCs/>
        <w:i/>
        <w:iCs/>
        <w:sz w:val="21"/>
        <w:szCs w:val="21"/>
      </w:rPr>
      <w:t>所含建议不具约束力</w:t>
    </w:r>
  </w:p>
  <w:bookmarkEnd w:id="69"/>
  <w:p w14:paraId="2F1E41AD">
    <w:pPr>
      <w:pStyle w:val="1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86"/>
    <w:footnote w:id="8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53FA1"/>
    <w:rsid w:val="000101CA"/>
    <w:rsid w:val="00020066"/>
    <w:rsid w:val="000271B4"/>
    <w:rsid w:val="00030F6A"/>
    <w:rsid w:val="00033729"/>
    <w:rsid w:val="00043DA4"/>
    <w:rsid w:val="00085A58"/>
    <w:rsid w:val="000934E0"/>
    <w:rsid w:val="000A2734"/>
    <w:rsid w:val="000A6AC2"/>
    <w:rsid w:val="000B5804"/>
    <w:rsid w:val="000C0D4C"/>
    <w:rsid w:val="000C1D3A"/>
    <w:rsid w:val="000D0564"/>
    <w:rsid w:val="000D7D0B"/>
    <w:rsid w:val="000E0E2F"/>
    <w:rsid w:val="000E518F"/>
    <w:rsid w:val="00110503"/>
    <w:rsid w:val="00116E36"/>
    <w:rsid w:val="00132DEC"/>
    <w:rsid w:val="001457B0"/>
    <w:rsid w:val="001639E4"/>
    <w:rsid w:val="0016547D"/>
    <w:rsid w:val="001961A1"/>
    <w:rsid w:val="001B1B6B"/>
    <w:rsid w:val="001D23C9"/>
    <w:rsid w:val="001D4DE3"/>
    <w:rsid w:val="001E1E62"/>
    <w:rsid w:val="001F5872"/>
    <w:rsid w:val="0021663A"/>
    <w:rsid w:val="002314BA"/>
    <w:rsid w:val="00265C34"/>
    <w:rsid w:val="00270A98"/>
    <w:rsid w:val="00271D42"/>
    <w:rsid w:val="002721D4"/>
    <w:rsid w:val="002961CE"/>
    <w:rsid w:val="002C6AD5"/>
    <w:rsid w:val="002D7E5C"/>
    <w:rsid w:val="002F7314"/>
    <w:rsid w:val="00317F72"/>
    <w:rsid w:val="00344823"/>
    <w:rsid w:val="00353D35"/>
    <w:rsid w:val="003650C4"/>
    <w:rsid w:val="00372130"/>
    <w:rsid w:val="003972CB"/>
    <w:rsid w:val="003C0D68"/>
    <w:rsid w:val="003C3B61"/>
    <w:rsid w:val="003D2BFD"/>
    <w:rsid w:val="003D311A"/>
    <w:rsid w:val="003E17DA"/>
    <w:rsid w:val="0040297D"/>
    <w:rsid w:val="004060F6"/>
    <w:rsid w:val="00412871"/>
    <w:rsid w:val="004339C2"/>
    <w:rsid w:val="0045119B"/>
    <w:rsid w:val="00453FA1"/>
    <w:rsid w:val="00471BFA"/>
    <w:rsid w:val="00476A5D"/>
    <w:rsid w:val="00481AF2"/>
    <w:rsid w:val="004C5EBF"/>
    <w:rsid w:val="00533998"/>
    <w:rsid w:val="00543C93"/>
    <w:rsid w:val="0055249B"/>
    <w:rsid w:val="0055297C"/>
    <w:rsid w:val="005623E2"/>
    <w:rsid w:val="00563C99"/>
    <w:rsid w:val="00590438"/>
    <w:rsid w:val="00593CD9"/>
    <w:rsid w:val="005B15CF"/>
    <w:rsid w:val="005B5B2A"/>
    <w:rsid w:val="005F12D0"/>
    <w:rsid w:val="005F1C77"/>
    <w:rsid w:val="0061745E"/>
    <w:rsid w:val="006540D2"/>
    <w:rsid w:val="0067059D"/>
    <w:rsid w:val="0067653D"/>
    <w:rsid w:val="00684DED"/>
    <w:rsid w:val="0069543E"/>
    <w:rsid w:val="006B49B6"/>
    <w:rsid w:val="006C786F"/>
    <w:rsid w:val="006D5DA2"/>
    <w:rsid w:val="006D7C58"/>
    <w:rsid w:val="006E1695"/>
    <w:rsid w:val="006E7C73"/>
    <w:rsid w:val="006F5A63"/>
    <w:rsid w:val="007033E3"/>
    <w:rsid w:val="00706BAF"/>
    <w:rsid w:val="00715B28"/>
    <w:rsid w:val="00736730"/>
    <w:rsid w:val="00755F9C"/>
    <w:rsid w:val="00760255"/>
    <w:rsid w:val="00767585"/>
    <w:rsid w:val="0077443A"/>
    <w:rsid w:val="00784198"/>
    <w:rsid w:val="00793C25"/>
    <w:rsid w:val="007A5C82"/>
    <w:rsid w:val="007B1529"/>
    <w:rsid w:val="007B6C79"/>
    <w:rsid w:val="007C07C7"/>
    <w:rsid w:val="007C1251"/>
    <w:rsid w:val="007C65CB"/>
    <w:rsid w:val="007D614E"/>
    <w:rsid w:val="007E20F5"/>
    <w:rsid w:val="007F3C1B"/>
    <w:rsid w:val="007F6B23"/>
    <w:rsid w:val="008220AA"/>
    <w:rsid w:val="0084324A"/>
    <w:rsid w:val="00845E31"/>
    <w:rsid w:val="00854B40"/>
    <w:rsid w:val="008669A6"/>
    <w:rsid w:val="00870A99"/>
    <w:rsid w:val="00880348"/>
    <w:rsid w:val="008904B8"/>
    <w:rsid w:val="008A7C54"/>
    <w:rsid w:val="008C49C2"/>
    <w:rsid w:val="008D4689"/>
    <w:rsid w:val="008E3370"/>
    <w:rsid w:val="008E34FF"/>
    <w:rsid w:val="008F62C3"/>
    <w:rsid w:val="009062B9"/>
    <w:rsid w:val="00913AE5"/>
    <w:rsid w:val="009227DE"/>
    <w:rsid w:val="0092552A"/>
    <w:rsid w:val="009440DD"/>
    <w:rsid w:val="009446A6"/>
    <w:rsid w:val="00964BC4"/>
    <w:rsid w:val="009854A9"/>
    <w:rsid w:val="009B3684"/>
    <w:rsid w:val="009C4464"/>
    <w:rsid w:val="009E2D17"/>
    <w:rsid w:val="009F5BF1"/>
    <w:rsid w:val="009F675E"/>
    <w:rsid w:val="00A06AAC"/>
    <w:rsid w:val="00A078E5"/>
    <w:rsid w:val="00A1476F"/>
    <w:rsid w:val="00A3394E"/>
    <w:rsid w:val="00A368E2"/>
    <w:rsid w:val="00A4288E"/>
    <w:rsid w:val="00A52A34"/>
    <w:rsid w:val="00A6188D"/>
    <w:rsid w:val="00A64EDE"/>
    <w:rsid w:val="00A9166D"/>
    <w:rsid w:val="00AB1DB7"/>
    <w:rsid w:val="00AB395D"/>
    <w:rsid w:val="00AD369D"/>
    <w:rsid w:val="00AE0A93"/>
    <w:rsid w:val="00AE47FC"/>
    <w:rsid w:val="00AF4B1E"/>
    <w:rsid w:val="00AF6A97"/>
    <w:rsid w:val="00B031E6"/>
    <w:rsid w:val="00B072FD"/>
    <w:rsid w:val="00B10301"/>
    <w:rsid w:val="00B32261"/>
    <w:rsid w:val="00B55D12"/>
    <w:rsid w:val="00B62D74"/>
    <w:rsid w:val="00B6579B"/>
    <w:rsid w:val="00BB1D52"/>
    <w:rsid w:val="00BF1600"/>
    <w:rsid w:val="00C0141C"/>
    <w:rsid w:val="00C10FD7"/>
    <w:rsid w:val="00C208E5"/>
    <w:rsid w:val="00C23E44"/>
    <w:rsid w:val="00C7277D"/>
    <w:rsid w:val="00C83086"/>
    <w:rsid w:val="00C9551D"/>
    <w:rsid w:val="00CA49D6"/>
    <w:rsid w:val="00CB101E"/>
    <w:rsid w:val="00CB105C"/>
    <w:rsid w:val="00CC67C3"/>
    <w:rsid w:val="00CE56FE"/>
    <w:rsid w:val="00CF1C30"/>
    <w:rsid w:val="00D02819"/>
    <w:rsid w:val="00D17080"/>
    <w:rsid w:val="00D40D26"/>
    <w:rsid w:val="00D46CEE"/>
    <w:rsid w:val="00D625FB"/>
    <w:rsid w:val="00D761B8"/>
    <w:rsid w:val="00D805B7"/>
    <w:rsid w:val="00DB104A"/>
    <w:rsid w:val="00DB1643"/>
    <w:rsid w:val="00DB715B"/>
    <w:rsid w:val="00DD4752"/>
    <w:rsid w:val="00E01D8C"/>
    <w:rsid w:val="00E02266"/>
    <w:rsid w:val="00E033FB"/>
    <w:rsid w:val="00E276BB"/>
    <w:rsid w:val="00E51CF5"/>
    <w:rsid w:val="00E74EDD"/>
    <w:rsid w:val="00EA5BA0"/>
    <w:rsid w:val="00EB0A37"/>
    <w:rsid w:val="00EB2DE6"/>
    <w:rsid w:val="00ED7689"/>
    <w:rsid w:val="00EE434F"/>
    <w:rsid w:val="00EF3476"/>
    <w:rsid w:val="00F1688C"/>
    <w:rsid w:val="00F173D2"/>
    <w:rsid w:val="00F25B8A"/>
    <w:rsid w:val="00F306C4"/>
    <w:rsid w:val="00F31E52"/>
    <w:rsid w:val="00F42A45"/>
    <w:rsid w:val="00F51CBB"/>
    <w:rsid w:val="00F542D3"/>
    <w:rsid w:val="00F56D72"/>
    <w:rsid w:val="00F70B64"/>
    <w:rsid w:val="00F73E1B"/>
    <w:rsid w:val="00F841DC"/>
    <w:rsid w:val="00F90017"/>
    <w:rsid w:val="00F93DF6"/>
    <w:rsid w:val="00F956EE"/>
    <w:rsid w:val="00FC0398"/>
    <w:rsid w:val="00FF303C"/>
    <w:rsid w:val="0E4777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8"/>
    <w:qFormat/>
    <w:uiPriority w:val="9"/>
    <w:pPr>
      <w:snapToGrid w:val="0"/>
      <w:spacing w:beforeLines="100" w:afterLines="100"/>
      <w:ind w:left="616" w:hanging="616" w:hangingChars="171"/>
      <w:jc w:val="both"/>
      <w:outlineLvl w:val="0"/>
    </w:pPr>
    <w:rPr>
      <w:b/>
      <w:bCs/>
      <w:sz w:val="36"/>
      <w:szCs w:val="36"/>
    </w:rPr>
  </w:style>
  <w:style w:type="paragraph" w:styleId="3">
    <w:name w:val="heading 2"/>
    <w:basedOn w:val="1"/>
    <w:next w:val="1"/>
    <w:link w:val="29"/>
    <w:unhideWhenUsed/>
    <w:qFormat/>
    <w:uiPriority w:val="9"/>
    <w:pPr>
      <w:snapToGrid w:val="0"/>
      <w:spacing w:beforeLines="100" w:afterLines="100"/>
      <w:ind w:left="1034" w:leftChars="307" w:hanging="420"/>
      <w:jc w:val="both"/>
      <w:outlineLvl w:val="1"/>
    </w:pPr>
    <w:rPr>
      <w:rFonts w:eastAsia="宋体"/>
      <w:b/>
      <w:bCs/>
      <w:color w:val="000000"/>
      <w:sz w:val="28"/>
      <w:szCs w:val="28"/>
    </w:rPr>
  </w:style>
  <w:style w:type="paragraph" w:styleId="4">
    <w:name w:val="heading 3"/>
    <w:basedOn w:val="3"/>
    <w:next w:val="1"/>
    <w:link w:val="31"/>
    <w:unhideWhenUsed/>
    <w:qFormat/>
    <w:uiPriority w:val="9"/>
    <w:pPr>
      <w:spacing w:afterLines="0"/>
      <w:ind w:left="1706" w:leftChars="510" w:hanging="686"/>
      <w:outlineLvl w:val="2"/>
    </w:pPr>
    <w:rPr>
      <w:color w:val="000000" w:themeColor="text1"/>
    </w:rPr>
  </w:style>
  <w:style w:type="paragraph" w:styleId="5">
    <w:name w:val="heading 4"/>
    <w:basedOn w:val="1"/>
    <w:next w:val="1"/>
    <w:link w:val="32"/>
    <w:unhideWhenUsed/>
    <w:qFormat/>
    <w:uiPriority w:val="9"/>
    <w:pPr>
      <w:shd w:val="clear" w:color="auto" w:fill="FFFFFF"/>
      <w:snapToGrid w:val="0"/>
      <w:spacing w:after="120"/>
      <w:ind w:left="1722" w:leftChars="711" w:hanging="300" w:hangingChars="150"/>
      <w:jc w:val="both"/>
      <w:outlineLvl w:val="3"/>
    </w:pPr>
    <w:rPr>
      <w:b/>
      <w:bCs/>
    </w:rPr>
  </w:style>
  <w:style w:type="paragraph" w:styleId="6">
    <w:name w:val="heading 5"/>
    <w:basedOn w:val="1"/>
    <w:next w:val="1"/>
    <w:link w:val="33"/>
    <w:unhideWhenUsed/>
    <w:qFormat/>
    <w:uiPriority w:val="9"/>
    <w:pPr>
      <w:shd w:val="clear" w:color="auto" w:fill="FFFFFF"/>
      <w:snapToGrid w:val="0"/>
      <w:ind w:left="2268" w:leftChars="993" w:hanging="282" w:hangingChars="134"/>
      <w:jc w:val="both"/>
      <w:outlineLvl w:val="4"/>
    </w:pPr>
    <w:rPr>
      <w:rFonts w:eastAsia="宋体"/>
      <w:b/>
      <w:bCs/>
      <w:color w:val="000000" w:themeColor="text1"/>
      <w:sz w:val="21"/>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5"/>
    <w:semiHidden/>
    <w:unhideWhenUsed/>
    <w:uiPriority w:val="99"/>
  </w:style>
  <w:style w:type="paragraph" w:styleId="8">
    <w:name w:val="toc 3"/>
    <w:basedOn w:val="1"/>
    <w:next w:val="1"/>
    <w:autoRedefine/>
    <w:unhideWhenUsed/>
    <w:uiPriority w:val="39"/>
    <w:pPr>
      <w:tabs>
        <w:tab w:val="left" w:pos="567"/>
        <w:tab w:val="right" w:leader="dot" w:pos="9062"/>
      </w:tabs>
      <w:ind w:left="142" w:leftChars="71"/>
    </w:pPr>
  </w:style>
  <w:style w:type="paragraph" w:styleId="9">
    <w:name w:val="Balloon Text"/>
    <w:basedOn w:val="1"/>
    <w:link w:val="34"/>
    <w:semiHidden/>
    <w:unhideWhenUsed/>
    <w:uiPriority w:val="99"/>
    <w:rPr>
      <w:sz w:val="18"/>
      <w:szCs w:val="18"/>
    </w:rPr>
  </w:style>
  <w:style w:type="paragraph" w:styleId="10">
    <w:name w:val="footer"/>
    <w:basedOn w:val="1"/>
    <w:link w:val="23"/>
    <w:unhideWhenUsed/>
    <w:uiPriority w:val="99"/>
    <w:pPr>
      <w:tabs>
        <w:tab w:val="center" w:pos="4153"/>
        <w:tab w:val="right" w:pos="8306"/>
      </w:tabs>
      <w:snapToGrid w:val="0"/>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uiPriority w:val="39"/>
    <w:pPr>
      <w:tabs>
        <w:tab w:val="right" w:leader="dot" w:pos="9062"/>
      </w:tabs>
      <w:ind w:left="566" w:hanging="566" w:hangingChars="236"/>
    </w:pPr>
    <w:rPr>
      <w:rFonts w:eastAsia="宋体"/>
      <w:sz w:val="24"/>
    </w:rPr>
  </w:style>
  <w:style w:type="paragraph" w:styleId="13">
    <w:name w:val="footnote text"/>
    <w:basedOn w:val="1"/>
    <w:link w:val="21"/>
    <w:semiHidden/>
    <w:unhideWhenUsed/>
    <w:qFormat/>
    <w:uiPriority w:val="99"/>
    <w:pPr>
      <w:snapToGrid w:val="0"/>
    </w:pPr>
    <w:rPr>
      <w:sz w:val="18"/>
      <w:szCs w:val="18"/>
    </w:rPr>
  </w:style>
  <w:style w:type="paragraph" w:styleId="14">
    <w:name w:val="toc 2"/>
    <w:basedOn w:val="1"/>
    <w:next w:val="1"/>
    <w:autoRedefine/>
    <w:unhideWhenUsed/>
    <w:uiPriority w:val="39"/>
    <w:pPr>
      <w:tabs>
        <w:tab w:val="left" w:pos="567"/>
        <w:tab w:val="right" w:leader="dot" w:pos="9062"/>
      </w:tabs>
      <w:ind w:left="142" w:leftChars="71"/>
    </w:pPr>
    <w:rPr>
      <w:rFonts w:eastAsia="宋体"/>
      <w:sz w:val="21"/>
    </w:rPr>
  </w:style>
  <w:style w:type="paragraph" w:styleId="15">
    <w:name w:val="annotation subject"/>
    <w:basedOn w:val="7"/>
    <w:next w:val="7"/>
    <w:link w:val="36"/>
    <w:semiHidden/>
    <w:unhideWhenUsed/>
    <w:uiPriority w:val="99"/>
    <w:rPr>
      <w:b/>
      <w:bCs/>
    </w:rPr>
  </w:style>
  <w:style w:type="character" w:styleId="18">
    <w:name w:val="Hyperlink"/>
    <w:basedOn w:val="17"/>
    <w:unhideWhenUsed/>
    <w:uiPriority w:val="99"/>
    <w:rPr>
      <w:color w:val="0563C1" w:themeColor="hyperlink"/>
      <w:u w:val="single"/>
    </w:rPr>
  </w:style>
  <w:style w:type="character" w:styleId="19">
    <w:name w:val="annotation reference"/>
    <w:basedOn w:val="17"/>
    <w:semiHidden/>
    <w:unhideWhenUsed/>
    <w:uiPriority w:val="99"/>
    <w:rPr>
      <w:sz w:val="21"/>
      <w:szCs w:val="21"/>
    </w:rPr>
  </w:style>
  <w:style w:type="character" w:styleId="20">
    <w:name w:val="footnote reference"/>
    <w:basedOn w:val="17"/>
    <w:semiHidden/>
    <w:unhideWhenUsed/>
    <w:qFormat/>
    <w:uiPriority w:val="99"/>
    <w:rPr>
      <w:vertAlign w:val="superscript"/>
    </w:rPr>
  </w:style>
  <w:style w:type="character" w:customStyle="1" w:styleId="21">
    <w:name w:val="脚注文本 字符"/>
    <w:basedOn w:val="17"/>
    <w:link w:val="13"/>
    <w:semiHidden/>
    <w:qFormat/>
    <w:uiPriority w:val="99"/>
    <w:rPr>
      <w:rFonts w:ascii="Times New Roman" w:hAnsi="Times New Roman" w:cs="Times New Roman"/>
      <w:kern w:val="0"/>
      <w:sz w:val="18"/>
      <w:szCs w:val="18"/>
    </w:rPr>
  </w:style>
  <w:style w:type="character" w:customStyle="1" w:styleId="22">
    <w:name w:val="页眉 字符"/>
    <w:basedOn w:val="17"/>
    <w:link w:val="11"/>
    <w:qFormat/>
    <w:uiPriority w:val="99"/>
    <w:rPr>
      <w:rFonts w:ascii="Times New Roman" w:hAnsi="Times New Roman" w:cs="Times New Roman"/>
      <w:kern w:val="0"/>
      <w:sz w:val="18"/>
      <w:szCs w:val="18"/>
    </w:rPr>
  </w:style>
  <w:style w:type="character" w:customStyle="1" w:styleId="23">
    <w:name w:val="页脚 字符"/>
    <w:basedOn w:val="17"/>
    <w:link w:val="10"/>
    <w:qFormat/>
    <w:uiPriority w:val="99"/>
    <w:rPr>
      <w:rFonts w:ascii="Times New Roman" w:hAnsi="Times New Roman" w:cs="Times New Roman"/>
      <w:kern w:val="0"/>
      <w:sz w:val="18"/>
      <w:szCs w:val="18"/>
    </w:rPr>
  </w:style>
  <w:style w:type="paragraph" w:customStyle="1" w:styleId="24">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25">
    <w:name w:val="CM149"/>
    <w:basedOn w:val="24"/>
    <w:next w:val="24"/>
    <w:uiPriority w:val="99"/>
    <w:rPr>
      <w:color w:val="auto"/>
    </w:rPr>
  </w:style>
  <w:style w:type="paragraph" w:customStyle="1" w:styleId="26">
    <w:name w:val="CM85"/>
    <w:basedOn w:val="24"/>
    <w:next w:val="24"/>
    <w:qFormat/>
    <w:uiPriority w:val="99"/>
    <w:rPr>
      <w:color w:val="auto"/>
    </w:rPr>
  </w:style>
  <w:style w:type="paragraph" w:customStyle="1" w:styleId="27">
    <w:name w:val="CM93"/>
    <w:basedOn w:val="24"/>
    <w:next w:val="24"/>
    <w:qFormat/>
    <w:uiPriority w:val="99"/>
    <w:pPr>
      <w:spacing w:line="553" w:lineRule="atLeast"/>
    </w:pPr>
    <w:rPr>
      <w:color w:val="auto"/>
    </w:rPr>
  </w:style>
  <w:style w:type="character" w:customStyle="1" w:styleId="28">
    <w:name w:val="标题 1 字符"/>
    <w:basedOn w:val="17"/>
    <w:link w:val="2"/>
    <w:qFormat/>
    <w:uiPriority w:val="9"/>
    <w:rPr>
      <w:rFonts w:ascii="Times New Roman" w:hAnsi="Times New Roman" w:cs="Times New Roman"/>
      <w:b/>
      <w:bCs/>
      <w:kern w:val="0"/>
      <w:sz w:val="36"/>
      <w:szCs w:val="36"/>
    </w:rPr>
  </w:style>
  <w:style w:type="character" w:customStyle="1" w:styleId="29">
    <w:name w:val="标题 2 字符"/>
    <w:basedOn w:val="17"/>
    <w:link w:val="3"/>
    <w:uiPriority w:val="9"/>
    <w:rPr>
      <w:rFonts w:ascii="Times New Roman" w:hAnsi="Times New Roman" w:eastAsia="宋体" w:cs="Times New Roman"/>
      <w:b/>
      <w:bCs/>
      <w:color w:val="000000"/>
      <w:kern w:val="0"/>
      <w:sz w:val="28"/>
      <w:szCs w:val="28"/>
    </w:rPr>
  </w:style>
  <w:style w:type="character" w:customStyle="1" w:styleId="30">
    <w:name w:val="Unresolved Mention1"/>
    <w:basedOn w:val="17"/>
    <w:semiHidden/>
    <w:unhideWhenUsed/>
    <w:uiPriority w:val="99"/>
    <w:rPr>
      <w:color w:val="605E5C"/>
      <w:shd w:val="clear" w:color="auto" w:fill="E1DFDD"/>
    </w:rPr>
  </w:style>
  <w:style w:type="character" w:customStyle="1" w:styleId="31">
    <w:name w:val="标题 3 字符"/>
    <w:basedOn w:val="17"/>
    <w:link w:val="4"/>
    <w:uiPriority w:val="9"/>
    <w:rPr>
      <w:rFonts w:ascii="Times New Roman" w:hAnsi="Times New Roman" w:eastAsia="宋体" w:cs="Times New Roman"/>
      <w:b/>
      <w:bCs/>
      <w:color w:val="000000" w:themeColor="text1"/>
      <w:kern w:val="0"/>
      <w:sz w:val="28"/>
      <w:szCs w:val="28"/>
    </w:rPr>
  </w:style>
  <w:style w:type="character" w:customStyle="1" w:styleId="32">
    <w:name w:val="标题 4 字符"/>
    <w:basedOn w:val="17"/>
    <w:link w:val="5"/>
    <w:uiPriority w:val="9"/>
    <w:rPr>
      <w:rFonts w:ascii="Times New Roman" w:hAnsi="Times New Roman" w:cs="Times New Roman"/>
      <w:b/>
      <w:bCs/>
      <w:kern w:val="0"/>
      <w:sz w:val="20"/>
      <w:szCs w:val="20"/>
      <w:shd w:val="clear" w:color="auto" w:fill="FFFFFF"/>
    </w:rPr>
  </w:style>
  <w:style w:type="character" w:customStyle="1" w:styleId="33">
    <w:name w:val="标题 5 字符"/>
    <w:basedOn w:val="17"/>
    <w:link w:val="6"/>
    <w:uiPriority w:val="9"/>
    <w:rPr>
      <w:rFonts w:ascii="Times New Roman" w:hAnsi="Times New Roman" w:eastAsia="宋体" w:cs="Times New Roman"/>
      <w:b/>
      <w:bCs/>
      <w:color w:val="000000" w:themeColor="text1"/>
      <w:kern w:val="0"/>
      <w:szCs w:val="21"/>
      <w:shd w:val="clear" w:color="auto" w:fill="FFFFFF"/>
    </w:rPr>
  </w:style>
  <w:style w:type="character" w:customStyle="1" w:styleId="34">
    <w:name w:val="批注框文本 字符"/>
    <w:basedOn w:val="17"/>
    <w:link w:val="9"/>
    <w:semiHidden/>
    <w:qFormat/>
    <w:uiPriority w:val="99"/>
    <w:rPr>
      <w:rFonts w:ascii="Times New Roman" w:hAnsi="Times New Roman" w:cs="Times New Roman"/>
      <w:kern w:val="0"/>
      <w:sz w:val="18"/>
      <w:szCs w:val="18"/>
    </w:rPr>
  </w:style>
  <w:style w:type="character" w:customStyle="1" w:styleId="35">
    <w:name w:val="批注文字 字符"/>
    <w:basedOn w:val="17"/>
    <w:link w:val="7"/>
    <w:semiHidden/>
    <w:uiPriority w:val="99"/>
    <w:rPr>
      <w:rFonts w:ascii="Times New Roman" w:hAnsi="Times New Roman" w:cs="Times New Roman"/>
      <w:kern w:val="0"/>
      <w:sz w:val="20"/>
      <w:szCs w:val="20"/>
    </w:rPr>
  </w:style>
  <w:style w:type="character" w:customStyle="1" w:styleId="36">
    <w:name w:val="批注主题 字符"/>
    <w:basedOn w:val="35"/>
    <w:link w:val="15"/>
    <w:semiHidden/>
    <w:uiPriority w:val="99"/>
    <w:rPr>
      <w:rFonts w:ascii="Times New Roman" w:hAnsi="Times New Roman" w:cs="Times New Roman"/>
      <w:b/>
      <w:bCs/>
      <w:kern w:val="0"/>
      <w:sz w:val="20"/>
      <w:szCs w:val="20"/>
    </w:rPr>
  </w:style>
  <w:style w:type="paragraph" w:customStyle="1" w:styleId="37">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ADB65-BE17-4F01-9813-CC8FF47CC83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23965</Words>
  <Characters>25507</Characters>
  <Lines>216</Lines>
  <Paragraphs>60</Paragraphs>
  <TotalTime>18</TotalTime>
  <ScaleCrop>false</ScaleCrop>
  <LinksUpToDate>false</LinksUpToDate>
  <CharactersWithSpaces>25977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2021-11-15T08:14:00Z</dcterms:created>
  <dc:creator>ann</dc:creator>
  <cp:lastModifiedBy>太极箫客</cp:lastModifiedBy>
  <dcterms:modified xsi:type="dcterms:W3CDTF">2025-08-14T07:08:52Z</dcterms:modified>
  <dc:title>Attachment E CDRH Final Guidance Cover Sheet</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23AF4A61AE9147768984B831BA146C8B_12</vt:lpwstr>
  </property>
</Properties>
</file>