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7BA4195">
      <w:pPr>
        <w:spacing w:line="520" w:lineRule="exact"/>
        <w:rPr>
          <w:rFonts w:hint="eastAsia" w:ascii="黑体" w:hAnsi="黑体" w:eastAsia="黑体"/>
          <w:sz w:val="32"/>
          <w:szCs w:val="36"/>
        </w:rPr>
      </w:pPr>
      <w:bookmarkStart w:id="2" w:name="_GoBack"/>
      <w:bookmarkEnd w:id="2"/>
      <w:r>
        <w:rPr>
          <w:rFonts w:hint="eastAsia" w:ascii="黑体" w:hAnsi="黑体" w:eastAsia="黑体"/>
          <w:sz w:val="32"/>
          <w:szCs w:val="36"/>
        </w:rPr>
        <w:t>附件1</w:t>
      </w:r>
    </w:p>
    <w:p w14:paraId="3E73C4A6">
      <w:pPr>
        <w:spacing w:line="520" w:lineRule="exact"/>
        <w:rPr>
          <w:rFonts w:hint="eastAsia" w:ascii="黑体" w:hAnsi="黑体" w:eastAsia="黑体"/>
          <w:sz w:val="32"/>
          <w:szCs w:val="36"/>
        </w:rPr>
      </w:pPr>
    </w:p>
    <w:p w14:paraId="5C9F2ED1">
      <w:pPr>
        <w:spacing w:line="520" w:lineRule="exact"/>
        <w:jc w:val="center"/>
        <w:rPr>
          <w:rFonts w:hint="eastAsia" w:ascii="方正小标宋简体" w:hAnsi="宋体" w:eastAsia="方正小标宋简体"/>
          <w:sz w:val="44"/>
          <w:szCs w:val="36"/>
        </w:rPr>
      </w:pPr>
      <w:r>
        <w:rPr>
          <w:rFonts w:hint="eastAsia" w:ascii="方正小标宋简体" w:hAnsi="宋体" w:eastAsia="方正小标宋简体"/>
          <w:sz w:val="44"/>
          <w:szCs w:val="36"/>
        </w:rPr>
        <w:t>电动病床注册技术审查指导原则</w:t>
      </w:r>
    </w:p>
    <w:p w14:paraId="5F607E67">
      <w:pPr>
        <w:spacing w:line="520" w:lineRule="exact"/>
        <w:jc w:val="center"/>
        <w:rPr>
          <w:rFonts w:hint="eastAsia" w:ascii="方正小标宋简体" w:hAnsi="宋体" w:eastAsia="方正小标宋简体"/>
          <w:sz w:val="36"/>
          <w:szCs w:val="36"/>
        </w:rPr>
      </w:pPr>
      <w:r>
        <w:rPr>
          <w:rFonts w:hint="eastAsia" w:ascii="方正小标宋简体" w:hAnsi="宋体" w:eastAsia="方正小标宋简体"/>
          <w:sz w:val="44"/>
          <w:szCs w:val="36"/>
        </w:rPr>
        <w:t>（2017年修订版）</w:t>
      </w:r>
      <w:bookmarkStart w:id="0" w:name="OLE_LINK1"/>
    </w:p>
    <w:p w14:paraId="488081C8">
      <w:pPr>
        <w:pStyle w:val="26"/>
        <w:spacing w:line="460" w:lineRule="exact"/>
        <w:ind w:firstLine="640"/>
        <w:rPr>
          <w:rFonts w:hint="eastAsia" w:eastAsia="仿宋_GB2312"/>
        </w:rPr>
      </w:pPr>
    </w:p>
    <w:p w14:paraId="20643FC9">
      <w:pPr>
        <w:pStyle w:val="26"/>
        <w:spacing w:line="460" w:lineRule="exact"/>
        <w:ind w:firstLine="640"/>
        <w:rPr>
          <w:rFonts w:eastAsia="仿宋_GB2312"/>
        </w:rPr>
      </w:pPr>
      <w:r>
        <w:rPr>
          <w:rFonts w:eastAsia="仿宋_GB2312"/>
        </w:rPr>
        <w:t>本指导原则旨在规范和明确电动病床产品技术审评过程的审查要求，并为注册申请人提交电动病床产品申报资料提供具体指导。</w:t>
      </w:r>
    </w:p>
    <w:p w14:paraId="725DEAB3">
      <w:pPr>
        <w:pStyle w:val="26"/>
        <w:spacing w:line="460" w:lineRule="exact"/>
        <w:ind w:firstLine="640"/>
        <w:rPr>
          <w:rFonts w:eastAsia="仿宋_GB2312"/>
        </w:rPr>
      </w:pPr>
      <w:r>
        <w:rPr>
          <w:rFonts w:eastAsia="仿宋_GB2312"/>
        </w:rPr>
        <w:t>本指导原则中不包括行政审批要求，不作为法规强制执行，应在遵循相关法规的前提下使用本指导原则。</w:t>
      </w:r>
    </w:p>
    <w:p w14:paraId="086698FA">
      <w:pPr>
        <w:pStyle w:val="26"/>
        <w:spacing w:line="460" w:lineRule="exact"/>
        <w:ind w:firstLine="640"/>
        <w:rPr>
          <w:rFonts w:eastAsia="仿宋_GB2312"/>
        </w:rPr>
      </w:pPr>
      <w:r>
        <w:rPr>
          <w:rFonts w:eastAsia="仿宋_GB2312"/>
        </w:rPr>
        <w:t>本指导原则系对电动病床产品的一般要求，注册申请人应依据具体产品的特性对注册申报资料的内容进行充实和细化。注册申请人还应依据具体产品的特性确定其中的具体内容是否适用，若不适用，需详细阐述其理由及相应的科学依据。</w:t>
      </w:r>
    </w:p>
    <w:p w14:paraId="46738C94">
      <w:pPr>
        <w:pStyle w:val="26"/>
        <w:spacing w:line="460" w:lineRule="exact"/>
        <w:ind w:firstLine="640"/>
        <w:rPr>
          <w:rFonts w:eastAsia="仿宋_GB2312"/>
        </w:rPr>
      </w:pPr>
      <w:r>
        <w:rPr>
          <w:rFonts w:eastAsia="仿宋_GB2312"/>
        </w:rPr>
        <w:t>本指导原则基于现行法规和标准体系以及当前认知水平进行制定，同时参考了相关国际标准、国外法规要求和技术指导文件。随着法规、标准的不断完善和科学技术的不断发展，本指导原则相关内容也将适时进行调整。</w:t>
      </w:r>
    </w:p>
    <w:p w14:paraId="7A048D72">
      <w:pPr>
        <w:pStyle w:val="25"/>
        <w:spacing w:line="460" w:lineRule="exact"/>
        <w:ind w:firstLine="640"/>
        <w:rPr>
          <w:rFonts w:ascii="黑体" w:hAnsi="黑体"/>
        </w:rPr>
      </w:pPr>
      <w:r>
        <w:rPr>
          <w:rFonts w:ascii="黑体" w:hAnsi="黑体"/>
        </w:rPr>
        <w:t>一、适用范围</w:t>
      </w:r>
    </w:p>
    <w:p w14:paraId="3A99E80A">
      <w:pPr>
        <w:pStyle w:val="26"/>
        <w:spacing w:line="460" w:lineRule="exact"/>
        <w:ind w:firstLine="640"/>
        <w:rPr>
          <w:rFonts w:eastAsia="仿宋_GB2312"/>
        </w:rPr>
      </w:pPr>
      <w:r>
        <w:rPr>
          <w:rFonts w:eastAsia="仿宋_GB2312"/>
        </w:rPr>
        <w:t>本指导原则适用于电动病床。根据《医疗器械分类目录》编码代号为6856，属于二类医疗器械。</w:t>
      </w:r>
    </w:p>
    <w:p w14:paraId="46F73174">
      <w:pPr>
        <w:pStyle w:val="25"/>
        <w:spacing w:line="460" w:lineRule="exact"/>
        <w:ind w:firstLine="640"/>
        <w:rPr>
          <w:rFonts w:ascii="黑体" w:hAnsi="黑体"/>
        </w:rPr>
      </w:pPr>
      <w:r>
        <w:rPr>
          <w:rFonts w:ascii="黑体" w:hAnsi="黑体"/>
        </w:rPr>
        <w:t>二、技术审查要点</w:t>
      </w:r>
    </w:p>
    <w:p w14:paraId="5AABF5E0">
      <w:pPr>
        <w:pStyle w:val="22"/>
        <w:spacing w:line="460" w:lineRule="exact"/>
        <w:ind w:firstLine="640" w:firstLineChars="200"/>
        <w:rPr>
          <w:rFonts w:ascii="Times New Roman" w:hAnsi="Times New Roman" w:eastAsia="楷体_GB2312" w:cs="Times New Roman"/>
        </w:rPr>
      </w:pPr>
      <w:r>
        <w:rPr>
          <w:rFonts w:ascii="Times New Roman" w:hAnsi="Times New Roman" w:eastAsia="楷体_GB2312" w:cs="Times New Roman"/>
        </w:rPr>
        <w:t>（一）产品名称要求</w:t>
      </w:r>
    </w:p>
    <w:p w14:paraId="4BD6206C">
      <w:pPr>
        <w:pStyle w:val="26"/>
        <w:spacing w:line="460" w:lineRule="exact"/>
        <w:ind w:firstLine="640"/>
        <w:rPr>
          <w:rFonts w:eastAsia="仿宋_GB2312"/>
        </w:rPr>
      </w:pPr>
      <w:r>
        <w:rPr>
          <w:rFonts w:eastAsia="仿宋_GB2312"/>
        </w:rPr>
        <w:t>产品名称通常为电动病床，也可直接采用行业标准YY 0571-2013《医用电气设备 第2部分 医院电动床安全专用要求》上的名称</w:t>
      </w:r>
      <w:r>
        <w:rPr>
          <w:rFonts w:hint="eastAsia" w:eastAsia="仿宋_GB2312"/>
        </w:rPr>
        <w:t>—</w:t>
      </w:r>
      <w:r>
        <w:rPr>
          <w:rFonts w:eastAsia="仿宋_GB2312"/>
        </w:rPr>
        <w:t>医院电动床。</w:t>
      </w:r>
      <w:bookmarkEnd w:id="0"/>
      <w:r>
        <w:rPr>
          <w:rFonts w:hint="eastAsia" w:eastAsia="仿宋_GB2312"/>
        </w:rPr>
        <w:t>应符合《医疗器械通用名称命名规则》（国家食品药品监督管理总局令第19号）等相关法规的要求。</w:t>
      </w:r>
    </w:p>
    <w:p w14:paraId="2CEAA37B">
      <w:pPr>
        <w:pStyle w:val="22"/>
        <w:spacing w:line="460" w:lineRule="exact"/>
        <w:ind w:firstLine="640" w:firstLineChars="200"/>
        <w:rPr>
          <w:rFonts w:ascii="Times New Roman" w:hAnsi="Times New Roman" w:eastAsia="楷体_GB2312" w:cs="Times New Roman"/>
        </w:rPr>
      </w:pPr>
      <w:r>
        <w:rPr>
          <w:rFonts w:ascii="Times New Roman" w:hAnsi="Times New Roman" w:eastAsia="楷体_GB2312" w:cs="Times New Roman"/>
        </w:rPr>
        <w:t>（二）产品的结构和组成</w:t>
      </w:r>
    </w:p>
    <w:p w14:paraId="2FA9E2F2">
      <w:pPr>
        <w:pStyle w:val="26"/>
        <w:spacing w:line="440" w:lineRule="exact"/>
        <w:ind w:firstLine="640"/>
        <w:rPr>
          <w:rFonts w:eastAsia="仿宋_GB2312"/>
        </w:rPr>
      </w:pPr>
      <w:r>
        <w:rPr>
          <w:rFonts w:eastAsia="仿宋_GB2312"/>
        </w:rPr>
        <w:t>电动病床由床面部分、床架部分、驱动部分、控制部分及配件组成。</w:t>
      </w:r>
    </w:p>
    <w:p w14:paraId="634D77EE">
      <w:pPr>
        <w:pStyle w:val="26"/>
        <w:spacing w:line="440" w:lineRule="exact"/>
        <w:ind w:firstLine="640"/>
        <w:rPr>
          <w:rFonts w:eastAsia="仿宋_GB2312"/>
        </w:rPr>
      </w:pPr>
      <w:r>
        <w:rPr>
          <w:rFonts w:eastAsia="仿宋_GB2312"/>
        </w:rPr>
        <w:t>床面部分、床架部分、驱动部分、控制部分及配件需要根据不同生产厂家产品的具体情况予以确定。一般情况下，床面部分主要由多块不同功能的支撑板组成，如背板、座板、大腿板、小腿板等；床架部分主要由床框、头板组件、脚板组件、左右护栏、脚轮组成；驱动部分主要由电动推杆、蓄电池组成，其中电动推杆主要由驱动电机、减速齿轮、螺杆、螺母、导套、推杆、滑座、弹簧、外壳、涡轮、涡杆、微动控制开关等组成；控制部分主要由控制器、控制手柄（有线/无线）、控制面板、CPR（背部速降机构）控制按钮组成；配件主要包括：输液架、鞋架、拉升杆、尿袋挂钩等。</w:t>
      </w:r>
    </w:p>
    <w:p w14:paraId="50485C9C">
      <w:pPr>
        <w:pStyle w:val="26"/>
        <w:spacing w:line="440" w:lineRule="exact"/>
        <w:ind w:firstLine="640"/>
        <w:rPr>
          <w:rFonts w:eastAsia="仿宋_GB2312"/>
        </w:rPr>
      </w:pPr>
      <w:r>
        <w:rPr>
          <w:rFonts w:eastAsia="仿宋_GB2312"/>
        </w:rPr>
        <w:t>图1中给出了电动病床部分动作的体位示意图，图2中给出了某厂家某型号产品及部分配件的举例，供审查人员参考。</w:t>
      </w:r>
    </w:p>
    <w:p w14:paraId="45294060">
      <w:pPr>
        <w:spacing w:line="520" w:lineRule="exact"/>
        <w:ind w:firstLine="640" w:firstLineChars="200"/>
        <w:rPr>
          <w:rFonts w:hint="eastAsia" w:eastAsia="仿宋_GB2312"/>
          <w:bCs/>
          <w:sz w:val="32"/>
          <w:szCs w:val="32"/>
        </w:rPr>
      </w:pPr>
      <w:r>
        <w:rPr>
          <w:rFonts w:eastAsia="仿宋_GB2312"/>
          <w:sz w:val="32"/>
          <w:szCs w:val="32"/>
        </w:rPr>
        <w:drawing>
          <wp:anchor distT="0" distB="0" distL="114300" distR="114300" simplePos="0" relativeHeight="251660288" behindDoc="0" locked="0" layoutInCell="1" allowOverlap="1">
            <wp:simplePos x="0" y="0"/>
            <wp:positionH relativeFrom="column">
              <wp:posOffset>3169285</wp:posOffset>
            </wp:positionH>
            <wp:positionV relativeFrom="paragraph">
              <wp:posOffset>83820</wp:posOffset>
            </wp:positionV>
            <wp:extent cx="2202815" cy="1652270"/>
            <wp:effectExtent l="19050" t="0" r="6985" b="0"/>
            <wp:wrapNone/>
            <wp:docPr id="2" name="图片 233" descr="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33" descr="升起"/>
                    <pic:cNvPicPr>
                      <a:picLocks noChangeAspect="1" noChangeArrowheads="1"/>
                    </pic:cNvPicPr>
                  </pic:nvPicPr>
                  <pic:blipFill>
                    <a:blip r:embed="rId6" cstate="print"/>
                    <a:srcRect/>
                    <a:stretch>
                      <a:fillRect/>
                    </a:stretch>
                  </pic:blipFill>
                  <pic:spPr>
                    <a:xfrm>
                      <a:off x="0" y="0"/>
                      <a:ext cx="2202815" cy="1652270"/>
                    </a:xfrm>
                    <a:prstGeom prst="rect">
                      <a:avLst/>
                    </a:prstGeom>
                    <a:noFill/>
                    <a:ln w="9525">
                      <a:noFill/>
                      <a:miter lim="800000"/>
                      <a:headEnd/>
                      <a:tailEnd/>
                    </a:ln>
                  </pic:spPr>
                </pic:pic>
              </a:graphicData>
            </a:graphic>
          </wp:anchor>
        </w:drawing>
      </w:r>
      <w:r>
        <w:rPr>
          <w:rFonts w:eastAsia="仿宋_GB2312"/>
          <w:sz w:val="32"/>
          <w:szCs w:val="32"/>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104775</wp:posOffset>
            </wp:positionV>
            <wp:extent cx="2177415" cy="1626870"/>
            <wp:effectExtent l="19050" t="0" r="0" b="0"/>
            <wp:wrapNone/>
            <wp:docPr id="3" name="图片 232" descr="平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2" descr="平床"/>
                    <pic:cNvPicPr>
                      <a:picLocks noChangeAspect="1" noChangeArrowheads="1"/>
                    </pic:cNvPicPr>
                  </pic:nvPicPr>
                  <pic:blipFill>
                    <a:blip r:embed="rId7" cstate="print"/>
                    <a:srcRect/>
                    <a:stretch>
                      <a:fillRect/>
                    </a:stretch>
                  </pic:blipFill>
                  <pic:spPr>
                    <a:xfrm>
                      <a:off x="0" y="0"/>
                      <a:ext cx="2177415" cy="1626870"/>
                    </a:xfrm>
                    <a:prstGeom prst="rect">
                      <a:avLst/>
                    </a:prstGeom>
                    <a:noFill/>
                    <a:ln w="9525">
                      <a:noFill/>
                      <a:miter lim="800000"/>
                      <a:headEnd/>
                      <a:tailEnd/>
                    </a:ln>
                  </pic:spPr>
                </pic:pic>
              </a:graphicData>
            </a:graphic>
          </wp:anchor>
        </w:drawing>
      </w:r>
    </w:p>
    <w:p w14:paraId="0D118414">
      <w:pPr>
        <w:spacing w:line="520" w:lineRule="exact"/>
        <w:ind w:firstLine="640" w:firstLineChars="200"/>
        <w:rPr>
          <w:rFonts w:hint="eastAsia" w:eastAsia="仿宋_GB2312"/>
          <w:bCs/>
          <w:sz w:val="32"/>
          <w:szCs w:val="32"/>
        </w:rPr>
      </w:pPr>
    </w:p>
    <w:p w14:paraId="0248D236">
      <w:pPr>
        <w:spacing w:line="520" w:lineRule="exact"/>
        <w:ind w:firstLine="640" w:firstLineChars="200"/>
        <w:rPr>
          <w:rFonts w:hint="eastAsia" w:eastAsia="仿宋_GB2312"/>
          <w:bCs/>
          <w:sz w:val="32"/>
          <w:szCs w:val="32"/>
        </w:rPr>
      </w:pPr>
    </w:p>
    <w:p w14:paraId="3C642FF7">
      <w:pPr>
        <w:spacing w:line="520" w:lineRule="exact"/>
        <w:ind w:firstLine="640" w:firstLineChars="200"/>
        <w:rPr>
          <w:rFonts w:hint="eastAsia" w:eastAsia="仿宋_GB2312"/>
          <w:bCs/>
          <w:sz w:val="32"/>
          <w:szCs w:val="32"/>
        </w:rPr>
      </w:pPr>
    </w:p>
    <w:p w14:paraId="135AEB4F">
      <w:pPr>
        <w:spacing w:line="520" w:lineRule="exact"/>
        <w:ind w:firstLine="640" w:firstLineChars="200"/>
        <w:rPr>
          <w:rFonts w:hint="eastAsia" w:eastAsia="仿宋_GB2312"/>
          <w:bCs/>
          <w:sz w:val="32"/>
          <w:szCs w:val="32"/>
        </w:rPr>
      </w:pPr>
    </w:p>
    <w:p w14:paraId="16F74C14">
      <w:pPr>
        <w:spacing w:line="520" w:lineRule="exact"/>
        <w:ind w:firstLine="1820" w:firstLineChars="650"/>
        <w:rPr>
          <w:rFonts w:hint="eastAsia" w:eastAsia="仿宋_GB2312"/>
          <w:bCs/>
          <w:sz w:val="32"/>
          <w:szCs w:val="32"/>
        </w:rPr>
      </w:pPr>
      <w:r>
        <w:rPr>
          <w:rFonts w:hint="eastAsia" w:ascii="仿宋_GB2312" w:hAnsi="宋体" w:eastAsia="仿宋_GB2312" w:cs="仿宋_GB2312"/>
          <w:sz w:val="28"/>
          <w:szCs w:val="28"/>
        </w:rPr>
        <w:t>1-1平床</w:t>
      </w:r>
      <w:r>
        <w:rPr>
          <w:rFonts w:hint="eastAsia" w:ascii="仿宋_GB2312" w:eastAsia="仿宋_GB2312"/>
          <w:bCs/>
          <w:sz w:val="30"/>
          <w:szCs w:val="30"/>
        </w:rPr>
        <w:t xml:space="preserve">                  </w:t>
      </w:r>
      <w:r>
        <w:rPr>
          <w:rFonts w:hint="eastAsia" w:ascii="仿宋_GB2312" w:hAnsi="宋体" w:eastAsia="仿宋_GB2312" w:cs="仿宋_GB2312"/>
          <w:sz w:val="28"/>
          <w:szCs w:val="28"/>
        </w:rPr>
        <w:t>1-2整床升起</w:t>
      </w:r>
    </w:p>
    <w:p w14:paraId="2F72F013">
      <w:pPr>
        <w:spacing w:line="520" w:lineRule="exact"/>
        <w:ind w:firstLine="420" w:firstLineChars="200"/>
        <w:rPr>
          <w:rFonts w:hint="eastAsia" w:eastAsia="仿宋_GB2312"/>
          <w:bCs/>
          <w:sz w:val="32"/>
          <w:szCs w:val="32"/>
        </w:rPr>
      </w:pPr>
      <w:r>
        <w:drawing>
          <wp:anchor distT="0" distB="0" distL="114300" distR="114300" simplePos="0" relativeHeight="251665408" behindDoc="0" locked="0" layoutInCell="1" allowOverlap="1">
            <wp:simplePos x="0" y="0"/>
            <wp:positionH relativeFrom="column">
              <wp:posOffset>3150235</wp:posOffset>
            </wp:positionH>
            <wp:positionV relativeFrom="paragraph">
              <wp:posOffset>30480</wp:posOffset>
            </wp:positionV>
            <wp:extent cx="2256155" cy="1692275"/>
            <wp:effectExtent l="19050" t="0" r="0" b="0"/>
            <wp:wrapNone/>
            <wp:docPr id="4" name="图片 261" descr="平床后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61" descr="平床后倾"/>
                    <pic:cNvPicPr>
                      <a:picLocks noChangeAspect="1" noChangeArrowheads="1"/>
                    </pic:cNvPicPr>
                  </pic:nvPicPr>
                  <pic:blipFill>
                    <a:blip r:embed="rId8" cstate="print"/>
                    <a:srcRect/>
                    <a:stretch>
                      <a:fillRect/>
                    </a:stretch>
                  </pic:blipFill>
                  <pic:spPr>
                    <a:xfrm>
                      <a:off x="0" y="0"/>
                      <a:ext cx="2256155" cy="1692275"/>
                    </a:xfrm>
                    <a:prstGeom prst="rect">
                      <a:avLst/>
                    </a:prstGeom>
                    <a:noFill/>
                    <a:ln w="9525">
                      <a:noFill/>
                      <a:miter lim="800000"/>
                      <a:headEnd/>
                      <a:tailEnd/>
                    </a:ln>
                  </pic:spPr>
                </pic:pic>
              </a:graphicData>
            </a:graphic>
          </wp:anchor>
        </w:drawing>
      </w:r>
      <w:r>
        <w:drawing>
          <wp:anchor distT="0" distB="0" distL="114300" distR="114300" simplePos="0" relativeHeight="251666432" behindDoc="0" locked="0" layoutInCell="1" allowOverlap="1">
            <wp:simplePos x="0" y="0"/>
            <wp:positionH relativeFrom="column">
              <wp:posOffset>342900</wp:posOffset>
            </wp:positionH>
            <wp:positionV relativeFrom="paragraph">
              <wp:posOffset>31115</wp:posOffset>
            </wp:positionV>
            <wp:extent cx="2255520" cy="1691640"/>
            <wp:effectExtent l="19050" t="0" r="0" b="0"/>
            <wp:wrapNone/>
            <wp:docPr id="5" name="图片 619" descr="平床前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19" descr="平床前倾"/>
                    <pic:cNvPicPr>
                      <a:picLocks noChangeAspect="1" noChangeArrowheads="1"/>
                    </pic:cNvPicPr>
                  </pic:nvPicPr>
                  <pic:blipFill>
                    <a:blip r:embed="rId9" cstate="print"/>
                    <a:srcRect/>
                    <a:stretch>
                      <a:fillRect/>
                    </a:stretch>
                  </pic:blipFill>
                  <pic:spPr>
                    <a:xfrm>
                      <a:off x="0" y="0"/>
                      <a:ext cx="2255520" cy="1691640"/>
                    </a:xfrm>
                    <a:prstGeom prst="rect">
                      <a:avLst/>
                    </a:prstGeom>
                    <a:noFill/>
                    <a:ln w="9525">
                      <a:noFill/>
                      <a:miter lim="800000"/>
                      <a:headEnd/>
                      <a:tailEnd/>
                    </a:ln>
                  </pic:spPr>
                </pic:pic>
              </a:graphicData>
            </a:graphic>
          </wp:anchor>
        </w:drawing>
      </w:r>
    </w:p>
    <w:p w14:paraId="20AE6ACB">
      <w:pPr>
        <w:spacing w:line="520" w:lineRule="exact"/>
        <w:ind w:firstLine="640" w:firstLineChars="200"/>
        <w:rPr>
          <w:rFonts w:hint="eastAsia" w:eastAsia="仿宋_GB2312"/>
          <w:bCs/>
          <w:sz w:val="32"/>
          <w:szCs w:val="32"/>
        </w:rPr>
      </w:pPr>
    </w:p>
    <w:p w14:paraId="313002C8">
      <w:pPr>
        <w:spacing w:line="520" w:lineRule="exact"/>
        <w:ind w:firstLine="640" w:firstLineChars="200"/>
        <w:rPr>
          <w:rFonts w:hint="eastAsia" w:eastAsia="仿宋_GB2312"/>
          <w:bCs/>
          <w:sz w:val="32"/>
          <w:szCs w:val="32"/>
        </w:rPr>
      </w:pPr>
    </w:p>
    <w:p w14:paraId="1CB5E2C6">
      <w:pPr>
        <w:spacing w:line="520" w:lineRule="exact"/>
        <w:ind w:firstLine="640" w:firstLineChars="200"/>
        <w:rPr>
          <w:rFonts w:hint="eastAsia" w:eastAsia="仿宋_GB2312"/>
          <w:bCs/>
          <w:sz w:val="32"/>
          <w:szCs w:val="32"/>
        </w:rPr>
      </w:pPr>
    </w:p>
    <w:p w14:paraId="582AE5CB">
      <w:pPr>
        <w:spacing w:line="520" w:lineRule="exact"/>
        <w:ind w:firstLine="1260" w:firstLineChars="450"/>
        <w:rPr>
          <w:rFonts w:hint="eastAsia" w:ascii="仿宋" w:hAnsi="仿宋" w:eastAsia="仿宋"/>
          <w:sz w:val="28"/>
          <w:szCs w:val="28"/>
        </w:rPr>
      </w:pPr>
    </w:p>
    <w:p w14:paraId="4214A7BA">
      <w:pPr>
        <w:spacing w:line="520" w:lineRule="exact"/>
        <w:ind w:firstLine="1260" w:firstLineChars="450"/>
        <w:rPr>
          <w:rFonts w:hint="eastAsia" w:ascii="仿宋_GB2312" w:hAnsi="宋体" w:eastAsia="仿宋_GB2312" w:cs="仿宋_GB2312"/>
          <w:sz w:val="28"/>
          <w:szCs w:val="28"/>
        </w:rPr>
      </w:pPr>
      <w:r>
        <w:rPr>
          <w:rFonts w:hint="eastAsia" w:ascii="仿宋_GB2312" w:hAnsi="宋体" w:eastAsia="仿宋_GB2312" w:cs="仿宋_GB2312"/>
          <w:sz w:val="28"/>
          <w:szCs w:val="28"/>
        </w:rPr>
        <w:t>1-3平床前倾</w:t>
      </w:r>
      <w:r>
        <w:rPr>
          <w:rFonts w:hint="eastAsia" w:eastAsia="仿宋_GB2312"/>
          <w:bCs/>
          <w:sz w:val="32"/>
          <w:szCs w:val="32"/>
        </w:rPr>
        <w:t xml:space="preserve">                   </w:t>
      </w:r>
      <w:r>
        <w:rPr>
          <w:rFonts w:hint="eastAsia" w:ascii="仿宋_GB2312" w:hAnsi="宋体" w:eastAsia="仿宋_GB2312" w:cs="仿宋_GB2312"/>
          <w:sz w:val="28"/>
          <w:szCs w:val="28"/>
        </w:rPr>
        <w:t>1-4平床后倾</w:t>
      </w:r>
    </w:p>
    <w:p w14:paraId="46BF5644">
      <w:pPr>
        <w:spacing w:line="520" w:lineRule="exact"/>
        <w:ind w:firstLine="1440" w:firstLineChars="450"/>
        <w:rPr>
          <w:rFonts w:hint="eastAsia" w:eastAsia="仿宋_GB2312"/>
          <w:bCs/>
          <w:sz w:val="32"/>
          <w:szCs w:val="32"/>
        </w:rPr>
      </w:pPr>
    </w:p>
    <w:p w14:paraId="7FCA7672">
      <w:pPr>
        <w:spacing w:line="520" w:lineRule="exact"/>
        <w:ind w:firstLine="1440" w:firstLineChars="450"/>
        <w:rPr>
          <w:rFonts w:hint="eastAsia" w:eastAsia="仿宋_GB2312"/>
          <w:bCs/>
          <w:sz w:val="32"/>
          <w:szCs w:val="32"/>
        </w:rPr>
      </w:pPr>
    </w:p>
    <w:p w14:paraId="68111B6C">
      <w:pPr>
        <w:spacing w:line="520" w:lineRule="exact"/>
        <w:ind w:firstLine="640" w:firstLineChars="200"/>
        <w:rPr>
          <w:rFonts w:hint="eastAsia" w:eastAsia="仿宋_GB2312"/>
          <w:bCs/>
          <w:sz w:val="32"/>
          <w:szCs w:val="32"/>
        </w:rPr>
      </w:pPr>
      <w:r>
        <w:rPr>
          <w:rFonts w:eastAsia="仿宋_GB2312"/>
          <w:sz w:val="32"/>
          <w:szCs w:val="32"/>
        </w:rPr>
        <w:drawing>
          <wp:anchor distT="0" distB="0" distL="114300" distR="114300" simplePos="0" relativeHeight="251661312" behindDoc="0" locked="0" layoutInCell="1" allowOverlap="1">
            <wp:simplePos x="0" y="0"/>
            <wp:positionH relativeFrom="column">
              <wp:posOffset>276225</wp:posOffset>
            </wp:positionH>
            <wp:positionV relativeFrom="paragraph">
              <wp:posOffset>43815</wp:posOffset>
            </wp:positionV>
            <wp:extent cx="2252980" cy="1689735"/>
            <wp:effectExtent l="19050" t="0" r="0" b="0"/>
            <wp:wrapNone/>
            <wp:docPr id="6" name="图片 234" descr="背部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4" descr="背部升起"/>
                    <pic:cNvPicPr>
                      <a:picLocks noChangeAspect="1" noChangeArrowheads="1"/>
                    </pic:cNvPicPr>
                  </pic:nvPicPr>
                  <pic:blipFill>
                    <a:blip r:embed="rId10" cstate="print"/>
                    <a:srcRect/>
                    <a:stretch>
                      <a:fillRect/>
                    </a:stretch>
                  </pic:blipFill>
                  <pic:spPr>
                    <a:xfrm>
                      <a:off x="0" y="0"/>
                      <a:ext cx="2252980" cy="1689735"/>
                    </a:xfrm>
                    <a:prstGeom prst="rect">
                      <a:avLst/>
                    </a:prstGeom>
                    <a:noFill/>
                    <a:ln w="9525">
                      <a:noFill/>
                      <a:miter lim="800000"/>
                      <a:headEnd/>
                      <a:tailEnd/>
                    </a:ln>
                  </pic:spPr>
                </pic:pic>
              </a:graphicData>
            </a:graphic>
          </wp:anchor>
        </w:drawing>
      </w:r>
      <w:r>
        <w:rPr>
          <w:rFonts w:eastAsia="仿宋_GB2312"/>
          <w:sz w:val="32"/>
          <w:szCs w:val="32"/>
        </w:rPr>
        <w:drawing>
          <wp:anchor distT="0" distB="0" distL="114300" distR="114300" simplePos="0" relativeHeight="251662336" behindDoc="0" locked="0" layoutInCell="1" allowOverlap="1">
            <wp:simplePos x="0" y="0"/>
            <wp:positionH relativeFrom="column">
              <wp:posOffset>3181350</wp:posOffset>
            </wp:positionH>
            <wp:positionV relativeFrom="paragraph">
              <wp:posOffset>34290</wp:posOffset>
            </wp:positionV>
            <wp:extent cx="2240280" cy="1680210"/>
            <wp:effectExtent l="19050" t="0" r="7620" b="0"/>
            <wp:wrapNone/>
            <wp:docPr id="7" name="图片 235" descr="腿部升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35" descr="腿部升起"/>
                    <pic:cNvPicPr>
                      <a:picLocks noChangeAspect="1" noChangeArrowheads="1"/>
                    </pic:cNvPicPr>
                  </pic:nvPicPr>
                  <pic:blipFill>
                    <a:blip r:embed="rId11" cstate="print"/>
                    <a:srcRect/>
                    <a:stretch>
                      <a:fillRect/>
                    </a:stretch>
                  </pic:blipFill>
                  <pic:spPr>
                    <a:xfrm>
                      <a:off x="0" y="0"/>
                      <a:ext cx="2240280" cy="1680210"/>
                    </a:xfrm>
                    <a:prstGeom prst="rect">
                      <a:avLst/>
                    </a:prstGeom>
                    <a:noFill/>
                    <a:ln w="9525">
                      <a:noFill/>
                      <a:miter lim="800000"/>
                      <a:headEnd/>
                      <a:tailEnd/>
                    </a:ln>
                  </pic:spPr>
                </pic:pic>
              </a:graphicData>
            </a:graphic>
          </wp:anchor>
        </w:drawing>
      </w:r>
    </w:p>
    <w:p w14:paraId="6CB04EB1">
      <w:pPr>
        <w:spacing w:line="520" w:lineRule="exact"/>
        <w:ind w:firstLine="640" w:firstLineChars="200"/>
        <w:rPr>
          <w:rFonts w:hint="eastAsia" w:eastAsia="仿宋_GB2312"/>
          <w:bCs/>
          <w:sz w:val="32"/>
          <w:szCs w:val="32"/>
        </w:rPr>
      </w:pPr>
    </w:p>
    <w:p w14:paraId="7401569F">
      <w:pPr>
        <w:spacing w:line="520" w:lineRule="exact"/>
        <w:ind w:firstLine="640" w:firstLineChars="200"/>
        <w:rPr>
          <w:rFonts w:hint="eastAsia" w:eastAsia="仿宋_GB2312"/>
          <w:bCs/>
          <w:sz w:val="32"/>
          <w:szCs w:val="32"/>
        </w:rPr>
      </w:pPr>
    </w:p>
    <w:p w14:paraId="56731E31">
      <w:pPr>
        <w:spacing w:line="520" w:lineRule="exact"/>
        <w:ind w:firstLine="1260" w:firstLineChars="450"/>
        <w:rPr>
          <w:rFonts w:hint="eastAsia" w:ascii="仿宋" w:hAnsi="仿宋" w:eastAsia="仿宋"/>
          <w:sz w:val="28"/>
          <w:szCs w:val="28"/>
        </w:rPr>
      </w:pPr>
      <w:r>
        <w:rPr>
          <w:rFonts w:hint="eastAsia" w:ascii="仿宋_GB2312" w:hAnsi="宋体" w:eastAsia="仿宋_GB2312" w:cs="仿宋_GB2312"/>
          <w:sz w:val="28"/>
          <w:szCs w:val="28"/>
        </w:rPr>
        <w:t>1-5 背部升起</w:t>
      </w:r>
      <w:r>
        <w:rPr>
          <w:rFonts w:hint="eastAsia" w:ascii="仿宋" w:hAnsi="仿宋" w:eastAsia="仿宋"/>
          <w:sz w:val="28"/>
          <w:szCs w:val="28"/>
        </w:rPr>
        <w:t xml:space="preserve"> </w:t>
      </w:r>
      <w:r>
        <w:rPr>
          <w:rFonts w:hint="eastAsia" w:eastAsia="仿宋_GB2312"/>
          <w:bCs/>
          <w:sz w:val="32"/>
          <w:szCs w:val="32"/>
        </w:rPr>
        <w:t xml:space="preserve">               </w:t>
      </w:r>
      <w:r>
        <w:rPr>
          <w:rFonts w:hint="eastAsia" w:ascii="仿宋_GB2312" w:hAnsi="宋体" w:eastAsia="仿宋_GB2312" w:cs="仿宋_GB2312"/>
          <w:sz w:val="28"/>
          <w:szCs w:val="28"/>
        </w:rPr>
        <w:t>1-6腿部、背部升起</w:t>
      </w:r>
    </w:p>
    <w:p w14:paraId="4EE770E4">
      <w:pPr>
        <w:spacing w:line="520" w:lineRule="exact"/>
        <w:ind w:firstLine="640" w:firstLineChars="200"/>
        <w:rPr>
          <w:rFonts w:hint="eastAsia" w:eastAsia="仿宋_GB2312"/>
          <w:bCs/>
          <w:sz w:val="32"/>
          <w:szCs w:val="32"/>
        </w:rPr>
      </w:pPr>
    </w:p>
    <w:p w14:paraId="7355C60B">
      <w:pPr>
        <w:spacing w:line="520" w:lineRule="exact"/>
        <w:ind w:firstLine="640" w:firstLineChars="200"/>
        <w:rPr>
          <w:rFonts w:hint="eastAsia" w:eastAsia="仿宋_GB2312"/>
          <w:bCs/>
          <w:sz w:val="32"/>
          <w:szCs w:val="32"/>
        </w:rPr>
      </w:pPr>
      <w:r>
        <w:rPr>
          <w:rFonts w:eastAsia="仿宋_GB2312"/>
          <w:sz w:val="32"/>
          <w:szCs w:val="32"/>
        </w:rPr>
        <w:drawing>
          <wp:anchor distT="0" distB="0" distL="114300" distR="114300" simplePos="0" relativeHeight="251664384" behindDoc="0" locked="0" layoutInCell="1" allowOverlap="1">
            <wp:simplePos x="0" y="0"/>
            <wp:positionH relativeFrom="column">
              <wp:posOffset>3190875</wp:posOffset>
            </wp:positionH>
            <wp:positionV relativeFrom="paragraph">
              <wp:posOffset>82550</wp:posOffset>
            </wp:positionV>
            <wp:extent cx="2282190" cy="1711960"/>
            <wp:effectExtent l="19050" t="0" r="3810" b="0"/>
            <wp:wrapNone/>
            <wp:docPr id="9" name="图片 237" descr="整体后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7" descr="整体后倾"/>
                    <pic:cNvPicPr>
                      <a:picLocks noChangeAspect="1" noChangeArrowheads="1"/>
                    </pic:cNvPicPr>
                  </pic:nvPicPr>
                  <pic:blipFill>
                    <a:blip r:embed="rId12" cstate="print"/>
                    <a:srcRect/>
                    <a:stretch>
                      <a:fillRect/>
                    </a:stretch>
                  </pic:blipFill>
                  <pic:spPr>
                    <a:xfrm>
                      <a:off x="0" y="0"/>
                      <a:ext cx="2282190" cy="1711960"/>
                    </a:xfrm>
                    <a:prstGeom prst="rect">
                      <a:avLst/>
                    </a:prstGeom>
                    <a:noFill/>
                    <a:ln w="9525">
                      <a:noFill/>
                      <a:miter lim="800000"/>
                      <a:headEnd/>
                      <a:tailEnd/>
                    </a:ln>
                  </pic:spPr>
                </pic:pic>
              </a:graphicData>
            </a:graphic>
          </wp:anchor>
        </w:drawing>
      </w:r>
      <w:r>
        <w:rPr>
          <w:rFonts w:eastAsia="仿宋_GB2312"/>
          <w:sz w:val="32"/>
          <w:szCs w:val="32"/>
        </w:rPr>
        <w:drawing>
          <wp:anchor distT="0" distB="0" distL="114300" distR="114300" simplePos="0" relativeHeight="251663360" behindDoc="0" locked="0" layoutInCell="1" allowOverlap="1">
            <wp:simplePos x="0" y="0"/>
            <wp:positionH relativeFrom="column">
              <wp:posOffset>276225</wp:posOffset>
            </wp:positionH>
            <wp:positionV relativeFrom="paragraph">
              <wp:posOffset>82550</wp:posOffset>
            </wp:positionV>
            <wp:extent cx="2234565" cy="1675765"/>
            <wp:effectExtent l="19050" t="0" r="0" b="0"/>
            <wp:wrapNone/>
            <wp:docPr id="8" name="图片 236" descr="整体前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36" descr="整体前倾"/>
                    <pic:cNvPicPr>
                      <a:picLocks noChangeAspect="1" noChangeArrowheads="1"/>
                    </pic:cNvPicPr>
                  </pic:nvPicPr>
                  <pic:blipFill>
                    <a:blip r:embed="rId13" cstate="print"/>
                    <a:srcRect/>
                    <a:stretch>
                      <a:fillRect/>
                    </a:stretch>
                  </pic:blipFill>
                  <pic:spPr>
                    <a:xfrm>
                      <a:off x="0" y="0"/>
                      <a:ext cx="2234565" cy="1675765"/>
                    </a:xfrm>
                    <a:prstGeom prst="rect">
                      <a:avLst/>
                    </a:prstGeom>
                    <a:noFill/>
                    <a:ln w="9525">
                      <a:noFill/>
                      <a:miter lim="800000"/>
                      <a:headEnd/>
                      <a:tailEnd/>
                    </a:ln>
                  </pic:spPr>
                </pic:pic>
              </a:graphicData>
            </a:graphic>
          </wp:anchor>
        </w:drawing>
      </w:r>
    </w:p>
    <w:p w14:paraId="57903764">
      <w:pPr>
        <w:spacing w:line="520" w:lineRule="exact"/>
        <w:ind w:firstLine="640" w:firstLineChars="200"/>
        <w:rPr>
          <w:rFonts w:hint="eastAsia" w:eastAsia="仿宋_GB2312"/>
          <w:bCs/>
          <w:sz w:val="32"/>
          <w:szCs w:val="32"/>
        </w:rPr>
      </w:pPr>
    </w:p>
    <w:p w14:paraId="7A53C2B9">
      <w:pPr>
        <w:spacing w:line="520" w:lineRule="exact"/>
        <w:ind w:firstLine="640" w:firstLineChars="200"/>
        <w:rPr>
          <w:rFonts w:hint="eastAsia" w:eastAsia="仿宋_GB2312"/>
          <w:bCs/>
          <w:sz w:val="32"/>
          <w:szCs w:val="32"/>
        </w:rPr>
      </w:pPr>
    </w:p>
    <w:p w14:paraId="03A07F46">
      <w:pPr>
        <w:spacing w:line="520" w:lineRule="exact"/>
        <w:ind w:firstLine="640" w:firstLineChars="200"/>
        <w:rPr>
          <w:rFonts w:hint="eastAsia" w:eastAsia="仿宋_GB2312"/>
          <w:bCs/>
          <w:sz w:val="32"/>
          <w:szCs w:val="32"/>
        </w:rPr>
      </w:pPr>
    </w:p>
    <w:p w14:paraId="5EC67920">
      <w:pPr>
        <w:spacing w:line="520" w:lineRule="exact"/>
        <w:ind w:firstLine="640" w:firstLineChars="200"/>
        <w:rPr>
          <w:rFonts w:hint="eastAsia" w:eastAsia="仿宋_GB2312"/>
          <w:bCs/>
          <w:sz w:val="32"/>
          <w:szCs w:val="32"/>
        </w:rPr>
      </w:pPr>
      <w:r>
        <w:rPr>
          <w:rFonts w:eastAsia="仿宋_GB2312"/>
          <w:bCs/>
          <w:sz w:val="32"/>
          <w:szCs w:val="32"/>
        </w:rPr>
        <w:tab/>
      </w:r>
      <w:r>
        <w:rPr>
          <w:rFonts w:hint="eastAsia" w:eastAsia="仿宋_GB2312"/>
          <w:bCs/>
          <w:sz w:val="32"/>
          <w:szCs w:val="32"/>
        </w:rPr>
        <w:t xml:space="preserve">   </w:t>
      </w:r>
    </w:p>
    <w:p w14:paraId="539C6229">
      <w:pPr>
        <w:spacing w:line="520" w:lineRule="exact"/>
        <w:ind w:firstLine="640" w:firstLineChars="200"/>
        <w:rPr>
          <w:rFonts w:hint="eastAsia" w:eastAsia="仿宋_GB2312"/>
          <w:bCs/>
          <w:sz w:val="32"/>
          <w:szCs w:val="32"/>
        </w:rPr>
      </w:pPr>
    </w:p>
    <w:p w14:paraId="6979A559">
      <w:pPr>
        <w:spacing w:line="520" w:lineRule="exact"/>
        <w:ind w:firstLine="560" w:firstLineChars="200"/>
        <w:jc w:val="center"/>
        <w:rPr>
          <w:rFonts w:hint="eastAsia" w:eastAsia="仿宋_GB2312"/>
          <w:bCs/>
          <w:sz w:val="32"/>
          <w:szCs w:val="32"/>
        </w:rPr>
      </w:pPr>
      <w:r>
        <w:rPr>
          <w:rFonts w:hint="eastAsia" w:ascii="仿宋_GB2312" w:hAnsi="宋体" w:eastAsia="仿宋_GB2312" w:cs="仿宋_GB2312"/>
          <w:sz w:val="28"/>
          <w:szCs w:val="28"/>
        </w:rPr>
        <w:t>1-7 整体前倾</w:t>
      </w:r>
      <w:r>
        <w:rPr>
          <w:rFonts w:hint="eastAsia" w:ascii="仿宋" w:hAnsi="仿宋" w:eastAsia="仿宋"/>
          <w:sz w:val="28"/>
          <w:szCs w:val="28"/>
        </w:rPr>
        <w:t xml:space="preserve">                  </w:t>
      </w:r>
      <w:r>
        <w:rPr>
          <w:rFonts w:hint="eastAsia" w:ascii="仿宋_GB2312" w:hAnsi="宋体" w:eastAsia="仿宋_GB2312" w:cs="仿宋_GB2312"/>
          <w:sz w:val="28"/>
          <w:szCs w:val="28"/>
        </w:rPr>
        <w:t>1-8整体后倾</w:t>
      </w:r>
    </w:p>
    <w:p w14:paraId="3B8F5107">
      <w:pPr>
        <w:spacing w:line="520" w:lineRule="exact"/>
        <w:rPr>
          <w:rFonts w:hint="eastAsia" w:eastAsia="仿宋_GB2312"/>
          <w:bCs/>
          <w:sz w:val="32"/>
          <w:szCs w:val="32"/>
        </w:rPr>
      </w:pPr>
    </w:p>
    <w:p w14:paraId="1B235A69">
      <w:pPr>
        <w:spacing w:line="520" w:lineRule="exact"/>
        <w:rPr>
          <w:rFonts w:hint="eastAsia" w:eastAsia="仿宋_GB2312"/>
          <w:bCs/>
          <w:sz w:val="32"/>
          <w:szCs w:val="32"/>
        </w:rPr>
      </w:pPr>
    </w:p>
    <w:p w14:paraId="20D39D44">
      <w:pPr>
        <w:spacing w:line="520" w:lineRule="exact"/>
        <w:rPr>
          <w:rFonts w:hint="eastAsia" w:eastAsia="仿宋_GB2312"/>
          <w:bCs/>
          <w:sz w:val="32"/>
          <w:szCs w:val="32"/>
        </w:rPr>
      </w:pPr>
      <w:r>
        <w:rPr>
          <w:rFonts w:eastAsia="仿宋_GB2312"/>
          <w:sz w:val="32"/>
          <w:szCs w:val="32"/>
        </w:rPr>
        <w:drawing>
          <wp:anchor distT="0" distB="0" distL="114300" distR="114300" simplePos="0" relativeHeight="251664384" behindDoc="0" locked="0" layoutInCell="1" allowOverlap="1">
            <wp:simplePos x="0" y="0"/>
            <wp:positionH relativeFrom="column">
              <wp:posOffset>1629410</wp:posOffset>
            </wp:positionH>
            <wp:positionV relativeFrom="paragraph">
              <wp:posOffset>223520</wp:posOffset>
            </wp:positionV>
            <wp:extent cx="2167255" cy="1447800"/>
            <wp:effectExtent l="19050" t="0" r="4445" b="0"/>
            <wp:wrapNone/>
            <wp:docPr id="10" name="图片 238" descr="病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38" descr="病床"/>
                    <pic:cNvPicPr>
                      <a:picLocks noChangeAspect="1" noChangeArrowheads="1"/>
                    </pic:cNvPicPr>
                  </pic:nvPicPr>
                  <pic:blipFill>
                    <a:blip r:embed="rId14" cstate="print"/>
                    <a:srcRect/>
                    <a:stretch>
                      <a:fillRect/>
                    </a:stretch>
                  </pic:blipFill>
                  <pic:spPr>
                    <a:xfrm>
                      <a:off x="0" y="0"/>
                      <a:ext cx="2167255" cy="1447800"/>
                    </a:xfrm>
                    <a:prstGeom prst="rect">
                      <a:avLst/>
                    </a:prstGeom>
                    <a:noFill/>
                    <a:ln w="9525">
                      <a:noFill/>
                      <a:miter lim="800000"/>
                      <a:headEnd/>
                      <a:tailEnd/>
                    </a:ln>
                  </pic:spPr>
                </pic:pic>
              </a:graphicData>
            </a:graphic>
          </wp:anchor>
        </w:drawing>
      </w:r>
    </w:p>
    <w:p w14:paraId="7847D304">
      <w:pPr>
        <w:spacing w:line="520" w:lineRule="exact"/>
        <w:ind w:firstLine="640" w:firstLineChars="200"/>
        <w:rPr>
          <w:rFonts w:hint="eastAsia" w:eastAsia="仿宋_GB2312"/>
          <w:bCs/>
          <w:sz w:val="32"/>
          <w:szCs w:val="32"/>
        </w:rPr>
      </w:pPr>
    </w:p>
    <w:p w14:paraId="0F847AAE">
      <w:pPr>
        <w:spacing w:line="520" w:lineRule="exact"/>
        <w:ind w:firstLine="640" w:firstLineChars="200"/>
        <w:rPr>
          <w:rFonts w:hint="eastAsia" w:eastAsia="仿宋_GB2312"/>
          <w:bCs/>
          <w:sz w:val="32"/>
          <w:szCs w:val="32"/>
        </w:rPr>
      </w:pPr>
    </w:p>
    <w:p w14:paraId="11131081">
      <w:pPr>
        <w:spacing w:line="520" w:lineRule="exact"/>
        <w:ind w:firstLine="640" w:firstLineChars="200"/>
        <w:rPr>
          <w:rFonts w:hint="eastAsia" w:eastAsia="仿宋_GB2312"/>
          <w:bCs/>
          <w:sz w:val="32"/>
          <w:szCs w:val="32"/>
        </w:rPr>
      </w:pPr>
    </w:p>
    <w:p w14:paraId="6F7C205B">
      <w:pPr>
        <w:spacing w:line="520" w:lineRule="exact"/>
        <w:ind w:firstLine="560" w:firstLineChars="200"/>
        <w:jc w:val="center"/>
        <w:rPr>
          <w:rFonts w:hint="eastAsia" w:ascii="仿宋" w:hAnsi="仿宋" w:eastAsia="仿宋"/>
          <w:sz w:val="28"/>
          <w:szCs w:val="28"/>
        </w:rPr>
      </w:pPr>
    </w:p>
    <w:p w14:paraId="318F2183">
      <w:pPr>
        <w:spacing w:line="520" w:lineRule="exact"/>
        <w:ind w:firstLine="560" w:firstLineChars="200"/>
        <w:jc w:val="center"/>
        <w:rPr>
          <w:rFonts w:hint="eastAsia" w:ascii="仿宋" w:hAnsi="仿宋" w:eastAsia="仿宋"/>
          <w:sz w:val="28"/>
          <w:szCs w:val="28"/>
        </w:rPr>
      </w:pPr>
      <w:r>
        <w:rPr>
          <w:rFonts w:hint="eastAsia" w:ascii="仿宋_GB2312" w:hAnsi="宋体" w:eastAsia="仿宋_GB2312" w:cs="仿宋_GB2312"/>
          <w:sz w:val="28"/>
          <w:szCs w:val="28"/>
        </w:rPr>
        <w:t>1-9座位</w:t>
      </w:r>
    </w:p>
    <w:p w14:paraId="603A0C2F">
      <w:pPr>
        <w:spacing w:line="520" w:lineRule="exact"/>
        <w:ind w:firstLine="560" w:firstLineChars="200"/>
        <w:jc w:val="center"/>
        <w:rPr>
          <w:rFonts w:hint="eastAsia" w:ascii="仿宋_GB2312" w:hAnsi="宋体" w:eastAsia="仿宋_GB2312" w:cs="仿宋_GB2312"/>
          <w:sz w:val="28"/>
          <w:szCs w:val="28"/>
        </w:rPr>
      </w:pPr>
      <w:r>
        <w:rPr>
          <w:rFonts w:hint="eastAsia" w:ascii="仿宋_GB2312" w:hAnsi="宋体" w:eastAsia="仿宋_GB2312" w:cs="仿宋_GB2312"/>
          <w:sz w:val="28"/>
          <w:szCs w:val="28"/>
        </w:rPr>
        <w:t>图1 电动病床部分动作的体位示意图</w:t>
      </w:r>
    </w:p>
    <w:p w14:paraId="70C9B589">
      <w:pPr>
        <w:spacing w:line="520" w:lineRule="exact"/>
        <w:ind w:firstLine="640" w:firstLineChars="200"/>
        <w:rPr>
          <w:rFonts w:hint="eastAsia" w:eastAsia="仿宋_GB2312"/>
          <w:bCs/>
          <w:sz w:val="32"/>
          <w:szCs w:val="32"/>
        </w:rPr>
      </w:pPr>
    </w:p>
    <w:p w14:paraId="7B871A2D">
      <w:pPr>
        <w:spacing w:line="520" w:lineRule="exact"/>
        <w:ind w:firstLine="640" w:firstLineChars="200"/>
        <w:rPr>
          <w:rFonts w:hint="eastAsia" w:eastAsia="仿宋_GB2312"/>
          <w:bCs/>
          <w:sz w:val="32"/>
          <w:szCs w:val="32"/>
        </w:rPr>
      </w:pPr>
    </w:p>
    <w:p w14:paraId="63807BA1">
      <w:pPr>
        <w:spacing w:line="520" w:lineRule="exact"/>
        <w:ind w:firstLine="640" w:firstLineChars="200"/>
        <w:rPr>
          <w:rFonts w:hint="eastAsia" w:eastAsia="仿宋_GB2312"/>
          <w:bCs/>
          <w:sz w:val="32"/>
          <w:szCs w:val="32"/>
        </w:rPr>
      </w:pPr>
      <w:r>
        <w:rPr>
          <w:rFonts w:hint="eastAsia" w:eastAsia="仿宋_GB2312"/>
          <w:bCs/>
          <w:sz w:val="32"/>
          <w:szCs w:val="32"/>
        </w:rPr>
        <w:pict>
          <v:group id="组合 239" o:spid="_x0000_s1082" o:spt="203" style="position:absolute;left:0pt;margin-left:31.75pt;margin-top:13.1pt;height:239.65pt;width:356.25pt;z-index:251668480;mso-width-relative:page;mso-height-relative:page;" coordsize="10080,7386">
            <o:lock v:ext="edit"/>
            <v:shape id="图片 240" o:spid="_x0000_s1083" o:spt="75" type="#_x0000_t75" style="position:absolute;left:2160;top:1671;height:4530;width:6360;" filled="f" o:preferrelative="t" stroked="f" coordsize="21600,21600">
              <v:path/>
              <v:fill on="f" focussize="0,0"/>
              <v:stroke on="f" joinstyle="miter"/>
              <v:imagedata r:id="rId15" o:title="未命名"/>
              <o:lock v:ext="edit" aspectratio="t"/>
            </v:shape>
            <v:line id="直线 241" o:spid="_x0000_s1084" o:spt="20" style="position:absolute;left:5099;top:6102;height:780;width:719;" stroked="t" coordsize="21600,21600">
              <v:path arrowok="t"/>
              <v:fill focussize="0,0"/>
              <v:stroke color="#00FF00"/>
              <v:imagedata o:title=""/>
              <o:lock v:ext="edit"/>
            </v:line>
            <v:line id="直线 242" o:spid="_x0000_s1085" o:spt="20" style="position:absolute;left:5940;top:4479;height:2340;width:2160;" stroked="t" coordsize="21600,21600">
              <v:path arrowok="t"/>
              <v:fill focussize="0,0"/>
              <v:stroke color="#00FF00"/>
              <v:imagedata o:title=""/>
              <o:lock v:ext="edit"/>
            </v:line>
            <v:line id="直线 243" o:spid="_x0000_s1086" o:spt="20" style="position:absolute;left:1649;top:4857;flip:x;height:1404;width:1396;" stroked="t" coordsize="21600,21600">
              <v:path arrowok="t"/>
              <v:fill focussize="0,0"/>
              <v:stroke color="#00FF00"/>
              <v:imagedata o:title=""/>
              <o:lock v:ext="edit"/>
            </v:line>
            <v:line id="直线 244" o:spid="_x0000_s1087" o:spt="20" style="position:absolute;left:4319;top:663;height:1461;width:1454;" stroked="t" coordsize="21600,21600">
              <v:path arrowok="t"/>
              <v:fill focussize="0,0"/>
              <v:stroke color="#00FF00"/>
              <v:imagedata o:title=""/>
              <o:lock v:ext="edit"/>
            </v:line>
            <v:line id="直线 245" o:spid="_x0000_s1088" o:spt="20" style="position:absolute;left:7889;top:714;flip:x;height:1301;width:1306;" stroked="t" coordsize="21600,21600">
              <v:path arrowok="t"/>
              <v:fill focussize="0,0"/>
              <v:stroke color="#00FF00"/>
              <v:imagedata o:title=""/>
              <o:lock v:ext="edit"/>
            </v:line>
            <v:line id="直线 246" o:spid="_x0000_s1089" o:spt="20" style="position:absolute;left:1080;top:2295;height:1872;width:3240;" stroked="t" coordsize="21600,21600">
              <v:path arrowok="t"/>
              <v:fill focussize="0,0"/>
              <v:stroke color="#00FF00"/>
              <v:imagedata o:title=""/>
              <o:lock v:ext="edit"/>
            </v:line>
            <v:line id="直线 247" o:spid="_x0000_s1090" o:spt="20" style="position:absolute;left:2547;top:483;height:2904;width:3393;" stroked="t" coordsize="21600,21600">
              <v:path arrowok="t"/>
              <v:fill focussize="0,0"/>
              <v:stroke color="#00FF00"/>
              <v:imagedata o:title=""/>
              <o:lock v:ext="edit"/>
            </v:line>
            <v:line id="直线 248" o:spid="_x0000_s1091" o:spt="20" style="position:absolute;left:6827;top:519;height:2496;width:0;" stroked="t" coordsize="21600,21600">
              <v:path arrowok="t"/>
              <v:fill focussize="0,0"/>
              <v:stroke color="#00FF00"/>
              <v:imagedata o:title=""/>
              <o:lock v:ext="edit"/>
            </v:line>
            <v:line id="直线 249" o:spid="_x0000_s1092" o:spt="20" style="position:absolute;left:1378;top:3744;flip:x;height:1404;width:1396;" stroked="t" coordsize="21600,21600">
              <v:path arrowok="t"/>
              <v:fill focussize="0,0"/>
              <v:stroke color="#00FF00"/>
              <v:imagedata o:title=""/>
              <o:lock v:ext="edit"/>
            </v:line>
            <v:shape id="文本框 250" o:spid="_x0000_s1093" o:spt="202" type="#_x0000_t202" style="position:absolute;left:540;top:1983;height:465;width:900;" stroked="f" coordsize="21600,21600">
              <v:path/>
              <v:fill focussize="0,0"/>
              <v:stroke on="f" joinstyle="miter"/>
              <v:imagedata o:title=""/>
              <o:lock v:ext="edit"/>
              <v:textbox inset="0mm,0mm,0mm,0mm">
                <w:txbxContent>
                  <w:p w14:paraId="3FF470B0">
                    <w:pPr>
                      <w:rPr>
                        <w:rFonts w:hint="eastAsia"/>
                        <w:sz w:val="28"/>
                        <w:szCs w:val="28"/>
                      </w:rPr>
                    </w:pPr>
                    <w:r>
                      <w:rPr>
                        <w:rFonts w:hint="eastAsia"/>
                        <w:sz w:val="28"/>
                        <w:szCs w:val="28"/>
                      </w:rPr>
                      <w:t>小腿板</w:t>
                    </w:r>
                  </w:p>
                </w:txbxContent>
              </v:textbox>
            </v:shape>
            <v:shape id="文本框 251" o:spid="_x0000_s1094" o:spt="202" type="#_x0000_t202" style="position:absolute;left:2069;top:0;height:465;width:691;" stroked="f" coordsize="21600,21600">
              <v:path/>
              <v:fill focussize="0,0"/>
              <v:stroke on="f" joinstyle="miter"/>
              <v:imagedata o:title=""/>
              <o:lock v:ext="edit"/>
              <v:textbox inset="0mm,0mm,0mm,0mm">
                <w:txbxContent>
                  <w:p w14:paraId="7FB4287F">
                    <w:pPr>
                      <w:rPr>
                        <w:rFonts w:hint="eastAsia"/>
                        <w:sz w:val="28"/>
                        <w:szCs w:val="28"/>
                      </w:rPr>
                    </w:pPr>
                    <w:r>
                      <w:rPr>
                        <w:rFonts w:hint="eastAsia"/>
                        <w:sz w:val="28"/>
                        <w:szCs w:val="28"/>
                      </w:rPr>
                      <w:t>座板</w:t>
                    </w:r>
                  </w:p>
                </w:txbxContent>
              </v:textbox>
            </v:shape>
            <v:shape id="文本框 252" o:spid="_x0000_s1095" o:spt="202" type="#_x0000_t202" style="position:absolute;left:6523;top:69;height:465;width:691;" stroked="f" coordsize="21600,21600">
              <v:path/>
              <v:fill focussize="0,0"/>
              <v:stroke on="f" joinstyle="miter"/>
              <v:imagedata o:title=""/>
              <o:lock v:ext="edit"/>
              <v:textbox inset="0mm,0mm,0mm,0mm">
                <w:txbxContent>
                  <w:p w14:paraId="0033C1BE">
                    <w:pPr>
                      <w:rPr>
                        <w:rFonts w:hint="eastAsia"/>
                        <w:sz w:val="28"/>
                        <w:szCs w:val="28"/>
                      </w:rPr>
                    </w:pPr>
                    <w:r>
                      <w:rPr>
                        <w:rFonts w:hint="eastAsia"/>
                        <w:sz w:val="28"/>
                        <w:szCs w:val="28"/>
                      </w:rPr>
                      <w:t>背板</w:t>
                    </w:r>
                  </w:p>
                </w:txbxContent>
              </v:textbox>
            </v:shape>
            <v:shape id="文本框 253" o:spid="_x0000_s1096" o:spt="202" type="#_x0000_t202" style="position:absolute;left:8801;top:252;height:477;width:1279;" stroked="f" coordsize="21600,21600">
              <v:path/>
              <v:fill focussize="0,0"/>
              <v:stroke on="f" joinstyle="miter"/>
              <v:imagedata o:title=""/>
              <o:lock v:ext="edit"/>
              <v:textbox inset="0mm,0mm,0mm,0mm">
                <w:txbxContent>
                  <w:p w14:paraId="4C9B7668">
                    <w:pPr>
                      <w:rPr>
                        <w:rFonts w:hint="eastAsia"/>
                        <w:sz w:val="28"/>
                        <w:szCs w:val="28"/>
                      </w:rPr>
                    </w:pPr>
                    <w:r>
                      <w:rPr>
                        <w:rFonts w:hint="eastAsia"/>
                        <w:sz w:val="28"/>
                        <w:szCs w:val="28"/>
                      </w:rPr>
                      <w:t>头板组件</w:t>
                    </w:r>
                  </w:p>
                </w:txbxContent>
              </v:textbox>
            </v:shape>
            <v:shape id="文本框 254" o:spid="_x0000_s1097" o:spt="202" type="#_x0000_t202" style="position:absolute;left:7829;top:6711;height:477;width:631;" stroked="f" coordsize="21600,21600">
              <v:path/>
              <v:fill focussize="0,0"/>
              <v:stroke on="f" joinstyle="miter"/>
              <v:imagedata o:title=""/>
              <o:lock v:ext="edit"/>
              <v:textbox inset="0mm,0mm,0mm,0mm">
                <w:txbxContent>
                  <w:p w14:paraId="4E7D0BA4">
                    <w:pPr>
                      <w:rPr>
                        <w:rFonts w:hint="eastAsia"/>
                        <w:sz w:val="28"/>
                        <w:szCs w:val="28"/>
                      </w:rPr>
                    </w:pPr>
                    <w:r>
                      <w:rPr>
                        <w:rFonts w:hint="eastAsia"/>
                        <w:sz w:val="28"/>
                        <w:szCs w:val="28"/>
                      </w:rPr>
                      <w:t>边栏</w:t>
                    </w:r>
                  </w:p>
                </w:txbxContent>
              </v:textbox>
            </v:shape>
            <v:shape id="文本框 255" o:spid="_x0000_s1098" o:spt="202" type="#_x0000_t202" style="position:absolute;left:5564;top:6903;height:483;width:1125;" stroked="f" coordsize="21600,21600">
              <v:path/>
              <v:fill focussize="0,0"/>
              <v:stroke on="f" joinstyle="miter"/>
              <v:imagedata o:title=""/>
              <o:lock v:ext="edit"/>
              <v:textbox inset="0mm,0mm,0mm,0mm">
                <w:txbxContent>
                  <w:p w14:paraId="1DCE7B3A">
                    <w:pPr>
                      <w:rPr>
                        <w:rFonts w:hint="eastAsia"/>
                        <w:sz w:val="28"/>
                        <w:szCs w:val="28"/>
                      </w:rPr>
                    </w:pPr>
                    <w:r>
                      <w:rPr>
                        <w:rFonts w:hint="eastAsia"/>
                        <w:sz w:val="28"/>
                        <w:szCs w:val="28"/>
                      </w:rPr>
                      <w:t>脚轮</w:t>
                    </w:r>
                  </w:p>
                </w:txbxContent>
              </v:textbox>
            </v:shape>
            <v:shape id="文本框 256" o:spid="_x0000_s1099" o:spt="202" type="#_x0000_t202" style="position:absolute;left:719;top:6291;height:528;width:1621;" stroked="f" coordsize="21600,21600">
              <v:path/>
              <v:fill focussize="0,0"/>
              <v:stroke on="f" joinstyle="miter"/>
              <v:imagedata o:title=""/>
              <o:lock v:ext="edit"/>
              <v:textbox inset="0mm,0mm,0mm,0mm">
                <w:txbxContent>
                  <w:p w14:paraId="1BBF9E2C">
                    <w:pPr>
                      <w:rPr>
                        <w:rFonts w:hint="eastAsia"/>
                        <w:sz w:val="28"/>
                        <w:szCs w:val="28"/>
                      </w:rPr>
                    </w:pPr>
                    <w:r>
                      <w:rPr>
                        <w:rFonts w:hint="eastAsia"/>
                        <w:sz w:val="28"/>
                        <w:szCs w:val="28"/>
                      </w:rPr>
                      <w:t>控制面板</w:t>
                    </w:r>
                  </w:p>
                </w:txbxContent>
              </v:textbox>
            </v:shape>
            <v:shape id="文本框 257" o:spid="_x0000_s1100" o:spt="202" type="#_x0000_t202" style="position:absolute;left:3599;top:126;height:528;width:1621;" stroked="f" coordsize="21600,21600">
              <v:path/>
              <v:fill focussize="0,0"/>
              <v:stroke on="f" joinstyle="miter"/>
              <v:imagedata o:title=""/>
              <o:lock v:ext="edit"/>
              <v:textbox inset="0mm,0mm,0mm,0mm">
                <w:txbxContent>
                  <w:p w14:paraId="2CA186B1">
                    <w:pPr>
                      <w:rPr>
                        <w:rFonts w:hint="eastAsia"/>
                        <w:sz w:val="28"/>
                        <w:szCs w:val="28"/>
                      </w:rPr>
                    </w:pPr>
                    <w:r>
                      <w:rPr>
                        <w:rFonts w:hint="eastAsia"/>
                        <w:sz w:val="28"/>
                        <w:szCs w:val="28"/>
                      </w:rPr>
                      <w:t>控制手板</w:t>
                    </w:r>
                  </w:p>
                </w:txbxContent>
              </v:textbox>
            </v:shape>
            <v:shape id="文本框 258" o:spid="_x0000_s1101" o:spt="202" type="#_x0000_t202" style="position:absolute;left:0;top:4947;height:477;width:1282;" stroked="f" coordsize="21600,21600">
              <v:path/>
              <v:fill focussize="0,0"/>
              <v:stroke on="f" joinstyle="miter"/>
              <v:imagedata o:title=""/>
              <o:lock v:ext="edit"/>
              <v:textbox inset="0mm,0mm,0mm,0mm">
                <w:txbxContent>
                  <w:p w14:paraId="7113ABD7">
                    <w:pPr>
                      <w:rPr>
                        <w:rFonts w:hint="eastAsia"/>
                        <w:sz w:val="28"/>
                        <w:szCs w:val="28"/>
                      </w:rPr>
                    </w:pPr>
                    <w:r>
                      <w:rPr>
                        <w:rFonts w:hint="eastAsia"/>
                        <w:sz w:val="28"/>
                        <w:szCs w:val="28"/>
                      </w:rPr>
                      <w:t>脚板组件</w:t>
                    </w:r>
                  </w:p>
                </w:txbxContent>
              </v:textbox>
            </v:shape>
            <v:shape id="文本框 259" o:spid="_x0000_s1102" o:spt="202" type="#_x0000_t202" style="position:absolute;left:1080;top:423;height:465;width:900;" stroked="f" coordsize="21600,21600">
              <v:path/>
              <v:fill focussize="0,0"/>
              <v:stroke on="f" joinstyle="miter"/>
              <v:imagedata o:title=""/>
              <o:lock v:ext="edit"/>
              <v:textbox inset="0mm,0mm,0mm,0mm">
                <w:txbxContent>
                  <w:p w14:paraId="56DF35E0">
                    <w:pPr>
                      <w:rPr>
                        <w:rFonts w:hint="eastAsia"/>
                        <w:sz w:val="28"/>
                        <w:szCs w:val="28"/>
                      </w:rPr>
                    </w:pPr>
                    <w:r>
                      <w:rPr>
                        <w:rFonts w:hint="eastAsia"/>
                        <w:sz w:val="28"/>
                        <w:szCs w:val="28"/>
                      </w:rPr>
                      <w:t>大腿板</w:t>
                    </w:r>
                  </w:p>
                </w:txbxContent>
              </v:textbox>
            </v:shape>
            <v:line id="直线 260" o:spid="_x0000_s1103" o:spt="20" style="position:absolute;left:1800;top:891;height:2496;width:3420;" stroked="t" coordsize="21600,21600">
              <v:path arrowok="t"/>
              <v:fill focussize="0,0"/>
              <v:stroke color="#00FF00"/>
              <v:imagedata o:title=""/>
              <o:lock v:ext="edit"/>
            </v:line>
          </v:group>
        </w:pict>
      </w:r>
    </w:p>
    <w:p w14:paraId="4E32FAD5">
      <w:pPr>
        <w:spacing w:line="520" w:lineRule="exact"/>
        <w:ind w:firstLine="640" w:firstLineChars="200"/>
        <w:rPr>
          <w:rFonts w:hint="eastAsia" w:eastAsia="仿宋_GB2312"/>
          <w:bCs/>
          <w:sz w:val="32"/>
          <w:szCs w:val="32"/>
        </w:rPr>
      </w:pPr>
    </w:p>
    <w:p w14:paraId="0158D816">
      <w:pPr>
        <w:spacing w:line="520" w:lineRule="exact"/>
        <w:ind w:firstLine="640" w:firstLineChars="200"/>
        <w:rPr>
          <w:rFonts w:hint="eastAsia" w:eastAsia="仿宋_GB2312"/>
          <w:bCs/>
          <w:sz w:val="32"/>
          <w:szCs w:val="32"/>
        </w:rPr>
      </w:pPr>
    </w:p>
    <w:p w14:paraId="68698AD7">
      <w:pPr>
        <w:spacing w:line="520" w:lineRule="exact"/>
        <w:ind w:firstLine="640" w:firstLineChars="200"/>
        <w:rPr>
          <w:rFonts w:hint="eastAsia" w:eastAsia="仿宋_GB2312"/>
          <w:bCs/>
          <w:sz w:val="32"/>
          <w:szCs w:val="32"/>
        </w:rPr>
      </w:pPr>
    </w:p>
    <w:p w14:paraId="159A992B">
      <w:pPr>
        <w:spacing w:line="520" w:lineRule="exact"/>
        <w:ind w:firstLine="640" w:firstLineChars="200"/>
        <w:rPr>
          <w:rFonts w:hint="eastAsia" w:eastAsia="仿宋_GB2312"/>
          <w:bCs/>
          <w:sz w:val="32"/>
          <w:szCs w:val="32"/>
        </w:rPr>
      </w:pPr>
    </w:p>
    <w:p w14:paraId="59AEA1DC">
      <w:pPr>
        <w:spacing w:line="520" w:lineRule="exact"/>
        <w:ind w:firstLine="640" w:firstLineChars="200"/>
        <w:rPr>
          <w:rFonts w:hint="eastAsia" w:eastAsia="仿宋_GB2312"/>
          <w:bCs/>
          <w:sz w:val="32"/>
          <w:szCs w:val="32"/>
        </w:rPr>
      </w:pPr>
    </w:p>
    <w:p w14:paraId="5B825FE9">
      <w:pPr>
        <w:spacing w:line="520" w:lineRule="exact"/>
        <w:ind w:firstLine="2520" w:firstLineChars="900"/>
        <w:rPr>
          <w:rFonts w:hint="eastAsia" w:eastAsia="仿宋_GB2312"/>
          <w:sz w:val="28"/>
          <w:szCs w:val="28"/>
        </w:rPr>
      </w:pPr>
    </w:p>
    <w:p w14:paraId="4FCDBE51">
      <w:pPr>
        <w:spacing w:line="520" w:lineRule="exact"/>
        <w:ind w:firstLine="2520" w:firstLineChars="900"/>
        <w:rPr>
          <w:rFonts w:hint="eastAsia" w:eastAsia="仿宋_GB2312"/>
          <w:sz w:val="28"/>
          <w:szCs w:val="28"/>
        </w:rPr>
      </w:pPr>
    </w:p>
    <w:p w14:paraId="4B8D8767">
      <w:pPr>
        <w:spacing w:line="520" w:lineRule="exact"/>
        <w:ind w:firstLine="2520" w:firstLineChars="900"/>
        <w:rPr>
          <w:rFonts w:hint="eastAsia" w:eastAsia="仿宋_GB2312"/>
          <w:sz w:val="28"/>
          <w:szCs w:val="28"/>
        </w:rPr>
      </w:pPr>
    </w:p>
    <w:p w14:paraId="0D82313C">
      <w:pPr>
        <w:spacing w:line="520" w:lineRule="exact"/>
        <w:ind w:firstLine="2520" w:firstLineChars="900"/>
        <w:rPr>
          <w:rFonts w:hint="eastAsia" w:eastAsia="仿宋_GB2312"/>
          <w:sz w:val="28"/>
          <w:szCs w:val="28"/>
        </w:rPr>
      </w:pPr>
    </w:p>
    <w:p w14:paraId="7D032676">
      <w:pPr>
        <w:spacing w:line="520" w:lineRule="exact"/>
        <w:ind w:firstLine="2520" w:firstLineChars="900"/>
        <w:rPr>
          <w:rFonts w:hint="eastAsia" w:eastAsia="仿宋_GB2312"/>
          <w:bCs/>
          <w:sz w:val="32"/>
          <w:szCs w:val="32"/>
        </w:rPr>
      </w:pPr>
      <w:r>
        <w:rPr>
          <w:rFonts w:eastAsia="仿宋_GB2312"/>
          <w:sz w:val="28"/>
          <w:szCs w:val="28"/>
        </w:rPr>
        <w:t>图2 电动病床主体示意图</w:t>
      </w:r>
    </w:p>
    <w:p w14:paraId="2C76943C">
      <w:pPr>
        <w:pStyle w:val="22"/>
        <w:spacing w:line="460" w:lineRule="exact"/>
        <w:ind w:firstLine="640" w:firstLineChars="200"/>
        <w:rPr>
          <w:rFonts w:hint="eastAsia" w:ascii="Times New Roman" w:hAnsi="Times New Roman" w:eastAsia="楷体_GB2312" w:cs="Times New Roman"/>
        </w:rPr>
      </w:pPr>
    </w:p>
    <w:p w14:paraId="4AF63FC3">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（三）产品工作原理/作用机理</w:t>
      </w:r>
    </w:p>
    <w:p w14:paraId="469E4A9C">
      <w:pPr>
        <w:pStyle w:val="26"/>
        <w:spacing w:line="600" w:lineRule="exact"/>
        <w:ind w:firstLine="640"/>
        <w:rPr>
          <w:rFonts w:eastAsia="仿宋_GB2312"/>
        </w:rPr>
      </w:pPr>
      <w:r>
        <w:rPr>
          <w:rFonts w:eastAsia="仿宋_GB2312"/>
        </w:rPr>
        <w:t>1.产品工作原理：注册申请人应详细说明产品的工作原理，可提供产品的工作原理图，并结合原理图阐述电动病床的各种动作是如何实现的。</w:t>
      </w:r>
    </w:p>
    <w:p w14:paraId="1C94D7A8">
      <w:pPr>
        <w:pStyle w:val="26"/>
        <w:spacing w:line="600" w:lineRule="exact"/>
        <w:ind w:firstLine="640"/>
        <w:rPr>
          <w:rFonts w:eastAsia="仿宋_GB2312"/>
        </w:rPr>
      </w:pPr>
      <w:r>
        <w:rPr>
          <w:rFonts w:eastAsia="仿宋_GB2312"/>
        </w:rPr>
        <w:t>2.因该产品为非治疗类医疗器械，故本指导原则不包含产品作用机理的内容。</w:t>
      </w:r>
    </w:p>
    <w:p w14:paraId="6782B336">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（四）注册单元划分的原则和实例</w:t>
      </w:r>
    </w:p>
    <w:p w14:paraId="632B1CF6">
      <w:pPr>
        <w:pStyle w:val="26"/>
        <w:spacing w:line="600" w:lineRule="exact"/>
        <w:ind w:firstLine="640"/>
        <w:rPr>
          <w:rFonts w:eastAsia="仿宋_GB2312"/>
        </w:rPr>
      </w:pPr>
      <w:r>
        <w:rPr>
          <w:rFonts w:eastAsia="仿宋_GB2312"/>
        </w:rPr>
        <w:t>原则上常规结构的电动病床可以划分为同一注册单元。如原理、结构、预期用途发生重大变化的应划分为不同的注册单元。</w:t>
      </w:r>
    </w:p>
    <w:p w14:paraId="42B9020C">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（五）产品适用的相关标准</w:t>
      </w:r>
    </w:p>
    <w:p w14:paraId="34654F04">
      <w:pPr>
        <w:pStyle w:val="26"/>
        <w:spacing w:line="600" w:lineRule="exact"/>
        <w:ind w:firstLine="640"/>
        <w:rPr>
          <w:rFonts w:eastAsia="仿宋_GB2312"/>
        </w:rPr>
      </w:pPr>
      <w:r>
        <w:rPr>
          <w:rFonts w:eastAsia="仿宋_GB2312"/>
        </w:rPr>
        <w:t>目前与电动病床相关的常用标准举例如下：</w:t>
      </w:r>
    </w:p>
    <w:p w14:paraId="07254115">
      <w:pPr>
        <w:spacing w:line="520" w:lineRule="exact"/>
        <w:ind w:left="599" w:hanging="599" w:hangingChars="214"/>
        <w:jc w:val="center"/>
        <w:rPr>
          <w:rStyle w:val="12"/>
          <w:rFonts w:hint="eastAsia" w:ascii="仿宋_GB2312" w:hAnsi="仿宋" w:eastAsia="仿宋_GB2312"/>
          <w:color w:val="000000"/>
          <w:sz w:val="28"/>
          <w:szCs w:val="28"/>
        </w:rPr>
      </w:pPr>
      <w:r>
        <w:rPr>
          <w:rStyle w:val="12"/>
          <w:rFonts w:hint="eastAsia" w:ascii="仿宋_GB2312" w:hAnsi="仿宋" w:eastAsia="仿宋_GB2312"/>
          <w:color w:val="000000"/>
          <w:sz w:val="28"/>
          <w:szCs w:val="28"/>
        </w:rPr>
        <w:t>表1相关产品标准</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9"/>
        <w:gridCol w:w="5561"/>
      </w:tblGrid>
      <w:tr w14:paraId="3877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29" w:type="dxa"/>
            <w:vAlign w:val="center"/>
          </w:tcPr>
          <w:p w14:paraId="1656B886">
            <w:pPr>
              <w:spacing w:line="520" w:lineRule="exact"/>
              <w:ind w:left="2282" w:hanging="2282" w:hangingChars="812"/>
              <w:rPr>
                <w:b/>
                <w:bCs/>
                <w:sz w:val="28"/>
                <w:szCs w:val="28"/>
              </w:rPr>
            </w:pPr>
            <w:r>
              <w:rPr>
                <w:rFonts w:hint="eastAsia"/>
                <w:b/>
                <w:bCs/>
                <w:sz w:val="28"/>
                <w:szCs w:val="28"/>
              </w:rPr>
              <w:t>标准号</w:t>
            </w:r>
          </w:p>
        </w:tc>
        <w:tc>
          <w:tcPr>
            <w:tcW w:w="5561" w:type="dxa"/>
            <w:vAlign w:val="center"/>
          </w:tcPr>
          <w:p w14:paraId="55FD051D">
            <w:pPr>
              <w:spacing w:line="520" w:lineRule="exact"/>
              <w:rPr>
                <w:rFonts w:hint="eastAsia" w:ascii="宋体" w:hAnsi="宋体"/>
                <w:b/>
                <w:bCs/>
                <w:sz w:val="28"/>
                <w:szCs w:val="21"/>
              </w:rPr>
            </w:pPr>
            <w:r>
              <w:rPr>
                <w:rFonts w:hint="eastAsia" w:ascii="宋体" w:hAnsi="宋体"/>
                <w:b/>
                <w:bCs/>
                <w:sz w:val="28"/>
                <w:szCs w:val="21"/>
              </w:rPr>
              <w:t>标准名称</w:t>
            </w:r>
          </w:p>
        </w:tc>
      </w:tr>
      <w:tr w14:paraId="47C5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39F2DCEC">
            <w:pPr>
              <w:spacing w:line="520" w:lineRule="exact"/>
              <w:ind w:left="2274" w:hanging="2273" w:hangingChars="812"/>
              <w:rPr>
                <w:bCs/>
                <w:sz w:val="28"/>
                <w:szCs w:val="28"/>
              </w:rPr>
            </w:pPr>
            <w:r>
              <w:rPr>
                <w:bCs/>
                <w:sz w:val="28"/>
                <w:szCs w:val="28"/>
              </w:rPr>
              <w:t>GB/T 191-2008</w:t>
            </w:r>
          </w:p>
        </w:tc>
        <w:tc>
          <w:tcPr>
            <w:tcW w:w="5561" w:type="dxa"/>
            <w:vAlign w:val="center"/>
          </w:tcPr>
          <w:p w14:paraId="52F41EB9">
            <w:pPr>
              <w:spacing w:line="520" w:lineRule="exact"/>
              <w:rPr>
                <w:rFonts w:hint="eastAsia" w:ascii="宋体" w:hAnsi="宋体"/>
                <w:bCs/>
                <w:sz w:val="28"/>
                <w:szCs w:val="21"/>
              </w:rPr>
            </w:pPr>
            <w:r>
              <w:rPr>
                <w:rFonts w:hint="eastAsia" w:ascii="宋体" w:hAnsi="宋体"/>
                <w:bCs/>
                <w:sz w:val="28"/>
                <w:szCs w:val="21"/>
              </w:rPr>
              <w:t>《包装储运图示标志》</w:t>
            </w:r>
          </w:p>
        </w:tc>
      </w:tr>
      <w:tr w14:paraId="10DD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58E1DC0C">
            <w:pPr>
              <w:spacing w:line="520" w:lineRule="exact"/>
              <w:ind w:left="2274" w:hanging="2273" w:hangingChars="812"/>
              <w:rPr>
                <w:bCs/>
                <w:sz w:val="28"/>
                <w:szCs w:val="28"/>
              </w:rPr>
            </w:pPr>
            <w:r>
              <w:rPr>
                <w:bCs/>
                <w:sz w:val="28"/>
                <w:szCs w:val="28"/>
              </w:rPr>
              <w:t>GB 9706.1-2007</w:t>
            </w:r>
          </w:p>
        </w:tc>
        <w:tc>
          <w:tcPr>
            <w:tcW w:w="5561" w:type="dxa"/>
            <w:vAlign w:val="center"/>
          </w:tcPr>
          <w:p w14:paraId="354C9C71">
            <w:pPr>
              <w:spacing w:line="520" w:lineRule="exact"/>
              <w:rPr>
                <w:rFonts w:hint="eastAsia" w:ascii="宋体" w:hAnsi="宋体"/>
                <w:bCs/>
                <w:sz w:val="28"/>
                <w:szCs w:val="21"/>
              </w:rPr>
            </w:pPr>
            <w:r>
              <w:rPr>
                <w:rFonts w:hint="eastAsia" w:ascii="宋体" w:hAnsi="宋体"/>
                <w:bCs/>
                <w:sz w:val="28"/>
                <w:szCs w:val="21"/>
              </w:rPr>
              <w:t>《医用电气设备 第1部分：安全通用要求》</w:t>
            </w:r>
          </w:p>
        </w:tc>
      </w:tr>
      <w:tr w14:paraId="70B3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69DF97DC">
            <w:pPr>
              <w:spacing w:line="520" w:lineRule="exact"/>
              <w:ind w:left="2274" w:hanging="2273" w:hangingChars="812"/>
              <w:rPr>
                <w:bCs/>
                <w:sz w:val="28"/>
                <w:szCs w:val="28"/>
              </w:rPr>
            </w:pPr>
            <w:r>
              <w:rPr>
                <w:bCs/>
                <w:sz w:val="28"/>
                <w:szCs w:val="28"/>
              </w:rPr>
              <w:t>GB/T 14710-2009</w:t>
            </w:r>
          </w:p>
        </w:tc>
        <w:tc>
          <w:tcPr>
            <w:tcW w:w="5561" w:type="dxa"/>
            <w:vAlign w:val="center"/>
          </w:tcPr>
          <w:p w14:paraId="32D27F1D">
            <w:pPr>
              <w:spacing w:line="520" w:lineRule="exact"/>
              <w:rPr>
                <w:rFonts w:hint="eastAsia" w:ascii="宋体" w:hAnsi="宋体"/>
                <w:bCs/>
                <w:sz w:val="28"/>
                <w:szCs w:val="21"/>
              </w:rPr>
            </w:pPr>
            <w:r>
              <w:rPr>
                <w:rFonts w:hint="eastAsia" w:ascii="宋体" w:hAnsi="宋体"/>
                <w:bCs/>
                <w:sz w:val="28"/>
                <w:szCs w:val="21"/>
              </w:rPr>
              <w:t>《医用电器环境要求及试验方法》</w:t>
            </w:r>
          </w:p>
        </w:tc>
      </w:tr>
      <w:tr w14:paraId="0AEB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7AEE814F">
            <w:pPr>
              <w:spacing w:line="520" w:lineRule="exact"/>
              <w:ind w:left="2274" w:hanging="2273" w:hangingChars="812"/>
              <w:rPr>
                <w:bCs/>
                <w:sz w:val="28"/>
                <w:szCs w:val="28"/>
              </w:rPr>
            </w:pPr>
            <w:r>
              <w:rPr>
                <w:bCs/>
                <w:sz w:val="28"/>
                <w:szCs w:val="28"/>
              </w:rPr>
              <w:t>GB/T 16886.1-2011</w:t>
            </w:r>
          </w:p>
        </w:tc>
        <w:tc>
          <w:tcPr>
            <w:tcW w:w="5561" w:type="dxa"/>
            <w:vAlign w:val="center"/>
          </w:tcPr>
          <w:p w14:paraId="32F2DD51">
            <w:pPr>
              <w:spacing w:line="520" w:lineRule="exact"/>
              <w:rPr>
                <w:rFonts w:hint="eastAsia" w:ascii="宋体" w:hAnsi="宋体"/>
                <w:bCs/>
                <w:sz w:val="28"/>
                <w:szCs w:val="21"/>
              </w:rPr>
            </w:pPr>
            <w:r>
              <w:rPr>
                <w:rFonts w:hint="eastAsia" w:ascii="宋体" w:hAnsi="宋体"/>
                <w:bCs/>
                <w:sz w:val="28"/>
                <w:szCs w:val="21"/>
              </w:rPr>
              <w:t>《医疗器械生物学评价 第1部分：风险管理过程中的评价与试验》</w:t>
            </w:r>
          </w:p>
        </w:tc>
      </w:tr>
      <w:tr w14:paraId="0834F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7B095824">
            <w:pPr>
              <w:spacing w:line="520" w:lineRule="exact"/>
              <w:ind w:left="2274" w:hanging="2273" w:hangingChars="812"/>
              <w:rPr>
                <w:bCs/>
                <w:sz w:val="28"/>
                <w:szCs w:val="28"/>
              </w:rPr>
            </w:pPr>
            <w:r>
              <w:rPr>
                <w:bCs/>
                <w:sz w:val="28"/>
                <w:szCs w:val="28"/>
              </w:rPr>
              <w:t>GB/T 16886.5-2003</w:t>
            </w:r>
          </w:p>
        </w:tc>
        <w:tc>
          <w:tcPr>
            <w:tcW w:w="5561" w:type="dxa"/>
            <w:vAlign w:val="center"/>
          </w:tcPr>
          <w:p w14:paraId="496352D9">
            <w:pPr>
              <w:spacing w:line="520" w:lineRule="exact"/>
              <w:rPr>
                <w:rFonts w:hint="eastAsia"/>
                <w:bCs/>
                <w:sz w:val="28"/>
                <w:szCs w:val="28"/>
              </w:rPr>
            </w:pPr>
            <w:r>
              <w:rPr>
                <w:rFonts w:hint="eastAsia"/>
                <w:bCs/>
                <w:sz w:val="28"/>
                <w:szCs w:val="28"/>
              </w:rPr>
              <w:t>《医疗器械生物学评价 第5部分:体外细胞毒性试验》</w:t>
            </w:r>
          </w:p>
        </w:tc>
      </w:tr>
      <w:tr w14:paraId="66B2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141373B8">
            <w:pPr>
              <w:spacing w:line="520" w:lineRule="exact"/>
              <w:ind w:left="2274" w:hanging="2273" w:hangingChars="812"/>
              <w:rPr>
                <w:bCs/>
                <w:sz w:val="28"/>
                <w:szCs w:val="28"/>
              </w:rPr>
            </w:pPr>
            <w:r>
              <w:rPr>
                <w:bCs/>
                <w:sz w:val="28"/>
                <w:szCs w:val="28"/>
              </w:rPr>
              <w:t>GB/T 16886.10-2005</w:t>
            </w:r>
          </w:p>
        </w:tc>
        <w:tc>
          <w:tcPr>
            <w:tcW w:w="5561" w:type="dxa"/>
            <w:vAlign w:val="center"/>
          </w:tcPr>
          <w:p w14:paraId="04C1FEC5">
            <w:pPr>
              <w:spacing w:line="520" w:lineRule="exact"/>
              <w:rPr>
                <w:rFonts w:hint="eastAsia" w:ascii="宋体" w:hAnsi="宋体"/>
                <w:bCs/>
                <w:sz w:val="28"/>
                <w:szCs w:val="21"/>
              </w:rPr>
            </w:pPr>
            <w:r>
              <w:rPr>
                <w:rFonts w:hint="eastAsia" w:ascii="宋体" w:hAnsi="宋体"/>
                <w:bCs/>
                <w:sz w:val="28"/>
                <w:szCs w:val="21"/>
              </w:rPr>
              <w:t>《医疗器械生物学评价 第10部分:刺激与迟发型超敏反应试验》</w:t>
            </w:r>
          </w:p>
        </w:tc>
      </w:tr>
      <w:tr w14:paraId="2E6D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5CF49BAD">
            <w:pPr>
              <w:spacing w:line="520" w:lineRule="exact"/>
              <w:ind w:left="2274" w:hanging="2273" w:hangingChars="812"/>
              <w:rPr>
                <w:bCs/>
                <w:sz w:val="28"/>
                <w:szCs w:val="28"/>
              </w:rPr>
            </w:pPr>
            <w:r>
              <w:rPr>
                <w:bCs/>
                <w:sz w:val="28"/>
                <w:szCs w:val="28"/>
              </w:rPr>
              <w:t>YY/T 0316-2008</w:t>
            </w:r>
          </w:p>
        </w:tc>
        <w:tc>
          <w:tcPr>
            <w:tcW w:w="5561" w:type="dxa"/>
            <w:vAlign w:val="center"/>
          </w:tcPr>
          <w:p w14:paraId="71000D13">
            <w:pPr>
              <w:spacing w:line="520" w:lineRule="exact"/>
              <w:rPr>
                <w:rFonts w:hint="eastAsia" w:ascii="宋体" w:hAnsi="宋体"/>
                <w:bCs/>
                <w:sz w:val="28"/>
                <w:szCs w:val="21"/>
              </w:rPr>
            </w:pPr>
            <w:r>
              <w:rPr>
                <w:rFonts w:hint="eastAsia" w:ascii="宋体" w:hAnsi="宋体"/>
                <w:bCs/>
                <w:sz w:val="28"/>
                <w:szCs w:val="21"/>
              </w:rPr>
              <w:t>《医疗器械 风险管理对医疗器械的应用》</w:t>
            </w:r>
          </w:p>
        </w:tc>
      </w:tr>
      <w:tr w14:paraId="7F471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2729" w:type="dxa"/>
            <w:vAlign w:val="center"/>
          </w:tcPr>
          <w:p w14:paraId="6A787B92">
            <w:pPr>
              <w:spacing w:line="520" w:lineRule="exact"/>
              <w:ind w:left="2274" w:hanging="2273" w:hangingChars="812"/>
              <w:rPr>
                <w:bCs/>
                <w:sz w:val="28"/>
                <w:szCs w:val="28"/>
              </w:rPr>
            </w:pPr>
            <w:r>
              <w:rPr>
                <w:bCs/>
                <w:sz w:val="28"/>
                <w:szCs w:val="28"/>
              </w:rPr>
              <w:t>YY/T 0466.1-2009</w:t>
            </w:r>
          </w:p>
        </w:tc>
        <w:tc>
          <w:tcPr>
            <w:tcW w:w="5561" w:type="dxa"/>
            <w:vAlign w:val="center"/>
          </w:tcPr>
          <w:p w14:paraId="05EB3E03">
            <w:pPr>
              <w:spacing w:line="520" w:lineRule="exact"/>
              <w:rPr>
                <w:rFonts w:hint="eastAsia" w:ascii="宋体" w:hAnsi="宋体"/>
                <w:bCs/>
                <w:sz w:val="28"/>
                <w:szCs w:val="21"/>
              </w:rPr>
            </w:pPr>
            <w:r>
              <w:rPr>
                <w:rFonts w:hint="eastAsia" w:ascii="宋体" w:hAnsi="宋体"/>
                <w:bCs/>
                <w:sz w:val="28"/>
                <w:szCs w:val="21"/>
              </w:rPr>
              <w:t>《医疗器械 用于医疗器械标签、标记和提供信息的符号第1部分：通用要求》</w:t>
            </w:r>
          </w:p>
        </w:tc>
      </w:tr>
      <w:tr w14:paraId="2CD8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2396B1E2">
            <w:pPr>
              <w:spacing w:line="520" w:lineRule="exact"/>
              <w:ind w:left="2274" w:hanging="2273" w:hangingChars="812"/>
              <w:rPr>
                <w:bCs/>
                <w:sz w:val="28"/>
                <w:szCs w:val="28"/>
              </w:rPr>
            </w:pPr>
            <w:r>
              <w:rPr>
                <w:bCs/>
                <w:sz w:val="28"/>
                <w:szCs w:val="28"/>
              </w:rPr>
              <w:t>YY 0505-2012</w:t>
            </w:r>
          </w:p>
        </w:tc>
        <w:tc>
          <w:tcPr>
            <w:tcW w:w="5561" w:type="dxa"/>
            <w:vAlign w:val="center"/>
          </w:tcPr>
          <w:p w14:paraId="4ED8901C">
            <w:pPr>
              <w:spacing w:line="520" w:lineRule="exact"/>
              <w:rPr>
                <w:rFonts w:hint="eastAsia" w:ascii="宋体" w:hAnsi="宋体"/>
                <w:bCs/>
                <w:sz w:val="28"/>
                <w:szCs w:val="21"/>
              </w:rPr>
            </w:pPr>
            <w:r>
              <w:rPr>
                <w:rFonts w:hint="eastAsia" w:ascii="宋体" w:hAnsi="宋体"/>
                <w:bCs/>
                <w:sz w:val="28"/>
                <w:szCs w:val="21"/>
              </w:rPr>
              <w:t>《医用电气设备 第1-2部分：安全通用要求-并列标准：电磁兼容-要求和试验》</w:t>
            </w:r>
          </w:p>
        </w:tc>
      </w:tr>
      <w:tr w14:paraId="7606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19540F1E">
            <w:pPr>
              <w:spacing w:line="520" w:lineRule="exact"/>
              <w:ind w:left="2274" w:hanging="2273" w:hangingChars="812"/>
              <w:rPr>
                <w:bCs/>
                <w:sz w:val="28"/>
                <w:szCs w:val="28"/>
              </w:rPr>
            </w:pPr>
            <w:r>
              <w:rPr>
                <w:bCs/>
                <w:sz w:val="28"/>
                <w:szCs w:val="28"/>
              </w:rPr>
              <w:t>YY/T 0708-2009</w:t>
            </w:r>
          </w:p>
        </w:tc>
        <w:tc>
          <w:tcPr>
            <w:tcW w:w="5561" w:type="dxa"/>
            <w:vAlign w:val="center"/>
          </w:tcPr>
          <w:p w14:paraId="5DD4E66A">
            <w:pPr>
              <w:spacing w:line="520" w:lineRule="exact"/>
              <w:rPr>
                <w:rFonts w:hint="eastAsia" w:ascii="宋体" w:hAnsi="宋体"/>
                <w:bCs/>
                <w:sz w:val="28"/>
                <w:szCs w:val="21"/>
              </w:rPr>
            </w:pPr>
            <w:r>
              <w:rPr>
                <w:rFonts w:hint="eastAsia" w:ascii="宋体" w:hAnsi="宋体"/>
                <w:bCs/>
                <w:sz w:val="28"/>
                <w:szCs w:val="21"/>
              </w:rPr>
              <w:t>医用电气设备 第1-4部分：安全通用要求：可编程医用电气系统</w:t>
            </w:r>
          </w:p>
        </w:tc>
      </w:tr>
      <w:tr w14:paraId="110AF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29" w:type="dxa"/>
            <w:vAlign w:val="center"/>
          </w:tcPr>
          <w:p w14:paraId="108FB4AD">
            <w:pPr>
              <w:spacing w:line="520" w:lineRule="exact"/>
              <w:ind w:left="2274" w:hanging="2273" w:hangingChars="812"/>
              <w:rPr>
                <w:bCs/>
                <w:sz w:val="28"/>
                <w:szCs w:val="28"/>
              </w:rPr>
            </w:pPr>
            <w:r>
              <w:rPr>
                <w:bCs/>
                <w:sz w:val="28"/>
                <w:szCs w:val="28"/>
              </w:rPr>
              <w:t>YY 0571-2013</w:t>
            </w:r>
          </w:p>
        </w:tc>
        <w:tc>
          <w:tcPr>
            <w:tcW w:w="5561" w:type="dxa"/>
            <w:vAlign w:val="center"/>
          </w:tcPr>
          <w:p w14:paraId="1C1987CB">
            <w:pPr>
              <w:spacing w:line="520" w:lineRule="exact"/>
              <w:rPr>
                <w:rFonts w:hint="eastAsia" w:ascii="宋体" w:hAnsi="宋体"/>
                <w:bCs/>
                <w:sz w:val="28"/>
                <w:szCs w:val="21"/>
              </w:rPr>
            </w:pPr>
            <w:r>
              <w:rPr>
                <w:rFonts w:hint="eastAsia" w:ascii="宋体" w:hAnsi="宋体"/>
                <w:bCs/>
                <w:sz w:val="28"/>
                <w:szCs w:val="21"/>
              </w:rPr>
              <w:t>《医用电气设备 第2部分 医院电动床安全专用要求》</w:t>
            </w:r>
          </w:p>
        </w:tc>
      </w:tr>
    </w:tbl>
    <w:p w14:paraId="20141AD7">
      <w:pPr>
        <w:spacing w:line="520" w:lineRule="exact"/>
        <w:ind w:firstLine="708" w:firstLineChars="253"/>
        <w:rPr>
          <w:rFonts w:hint="eastAsia" w:ascii="仿宋_GB2312" w:hAnsi="宋体" w:eastAsia="仿宋_GB2312" w:cs="仿宋_GB2312"/>
          <w:sz w:val="28"/>
          <w:szCs w:val="28"/>
        </w:rPr>
      </w:pPr>
      <w:r>
        <w:rPr>
          <w:rFonts w:hint="eastAsia" w:ascii="仿宋_GB2312" w:hAnsi="宋体" w:eastAsia="仿宋_GB2312" w:cs="仿宋_GB2312"/>
          <w:sz w:val="28"/>
          <w:szCs w:val="28"/>
        </w:rPr>
        <w:t>注：以上标准适用最新版本。</w:t>
      </w:r>
      <w:r>
        <w:rPr>
          <w:rFonts w:ascii="仿宋_GB2312" w:hAnsi="宋体" w:eastAsia="仿宋_GB2312" w:cs="仿宋_GB2312"/>
          <w:sz w:val="28"/>
          <w:szCs w:val="28"/>
        </w:rPr>
        <w:tab/>
      </w:r>
    </w:p>
    <w:p w14:paraId="126AC1D9">
      <w:pPr>
        <w:pStyle w:val="26"/>
        <w:spacing w:line="500" w:lineRule="exact"/>
        <w:ind w:firstLine="640"/>
        <w:rPr>
          <w:rFonts w:eastAsia="仿宋_GB2312"/>
        </w:rPr>
      </w:pPr>
      <w:r>
        <w:rPr>
          <w:rFonts w:eastAsia="仿宋_GB2312"/>
        </w:rPr>
        <w:t>上述标准包括了注册产品技术要求和其他相关材料中经常涉及到的标准。有的注册申请人还会根据产品的特点引用一些行业外的标准和一些较为特殊的标准。</w:t>
      </w:r>
    </w:p>
    <w:p w14:paraId="0255696E">
      <w:pPr>
        <w:pStyle w:val="22"/>
        <w:spacing w:line="460" w:lineRule="exact"/>
        <w:ind w:firstLine="640" w:firstLineChars="200"/>
        <w:rPr>
          <w:rFonts w:ascii="Times New Roman" w:hAnsi="Times New Roman" w:eastAsia="楷体_GB2312" w:cs="Times New Roman"/>
        </w:rPr>
      </w:pPr>
      <w:r>
        <w:rPr>
          <w:rFonts w:ascii="Times New Roman" w:hAnsi="Times New Roman" w:eastAsia="楷体_GB2312" w:cs="Times New Roman"/>
        </w:rPr>
        <w:t>（六）产品的适用范围/预期用途、禁忌症</w:t>
      </w:r>
    </w:p>
    <w:p w14:paraId="595FEEE2">
      <w:pPr>
        <w:pStyle w:val="26"/>
        <w:spacing w:line="500" w:lineRule="exact"/>
        <w:ind w:firstLine="640"/>
        <w:rPr>
          <w:rFonts w:eastAsia="仿宋_GB2312"/>
        </w:rPr>
      </w:pPr>
      <w:r>
        <w:rPr>
          <w:rFonts w:eastAsia="仿宋_GB2312"/>
        </w:rPr>
        <w:t>适用范围：在医疗监护下的成年患者的诊断、治疗或监护时使用，用以支撑患者身体，形成临床所需体位。</w:t>
      </w:r>
    </w:p>
    <w:p w14:paraId="7174994B">
      <w:pPr>
        <w:pStyle w:val="26"/>
        <w:spacing w:line="500" w:lineRule="exact"/>
        <w:ind w:firstLine="640"/>
        <w:rPr>
          <w:rFonts w:eastAsia="仿宋_GB2312"/>
        </w:rPr>
      </w:pPr>
      <w:r>
        <w:rPr>
          <w:rFonts w:eastAsia="仿宋_GB2312"/>
        </w:rPr>
        <w:t>预期使用环境:医疗机构病区（病房、观察室等）。</w:t>
      </w:r>
    </w:p>
    <w:p w14:paraId="6F95F196">
      <w:pPr>
        <w:pStyle w:val="26"/>
        <w:spacing w:line="500" w:lineRule="exact"/>
        <w:ind w:firstLine="640"/>
        <w:rPr>
          <w:rFonts w:eastAsia="仿宋_GB2312"/>
        </w:rPr>
      </w:pPr>
      <w:r>
        <w:rPr>
          <w:rFonts w:eastAsia="仿宋_GB2312"/>
        </w:rPr>
        <w:t>适用人群要求：成年患者。</w:t>
      </w:r>
    </w:p>
    <w:p w14:paraId="7FAB1A35">
      <w:pPr>
        <w:pStyle w:val="26"/>
        <w:spacing w:line="500" w:lineRule="exact"/>
        <w:ind w:firstLine="640"/>
        <w:rPr>
          <w:rFonts w:eastAsia="仿宋_GB2312"/>
        </w:rPr>
      </w:pPr>
      <w:r>
        <w:rPr>
          <w:rFonts w:eastAsia="仿宋_GB2312"/>
        </w:rPr>
        <w:t>禁忌症：暂未见相关报道。</w:t>
      </w:r>
    </w:p>
    <w:p w14:paraId="7E7EB73B">
      <w:pPr>
        <w:pStyle w:val="22"/>
        <w:spacing w:line="460" w:lineRule="exact"/>
        <w:ind w:firstLine="640" w:firstLineChars="200"/>
        <w:rPr>
          <w:rFonts w:ascii="Times New Roman" w:hAnsi="Times New Roman" w:eastAsia="楷体_GB2312" w:cs="Times New Roman"/>
        </w:rPr>
      </w:pPr>
      <w:r>
        <w:rPr>
          <w:rFonts w:ascii="Times New Roman" w:hAnsi="Times New Roman" w:eastAsia="楷体_GB2312" w:cs="Times New Roman"/>
        </w:rPr>
        <w:t>（七）产品的主要风险</w:t>
      </w:r>
    </w:p>
    <w:p w14:paraId="6C3A724B">
      <w:pPr>
        <w:pStyle w:val="26"/>
        <w:spacing w:line="500" w:lineRule="exact"/>
        <w:ind w:firstLine="640"/>
        <w:rPr>
          <w:rFonts w:eastAsia="仿宋_GB2312"/>
        </w:rPr>
      </w:pPr>
      <w:r>
        <w:rPr>
          <w:rFonts w:eastAsia="仿宋_GB2312"/>
        </w:rPr>
        <w:t>主要参考YY/T 0316-2008《医疗器械 风险管理对医疗器械的应用》。风险管理活动要贯穿产品设计、生产、上市后使用及产品处理的整个生命周期。要体现注册申请人风险管理活动计划的完整性，尤其上市管理的风险分析与评价过程。对于上市前风险管理中尚未认知的风险，应在上市后开展信息收集，一旦发现异常及时进行风险评价，采取控制措施，更新风险管理文件。</w:t>
      </w:r>
    </w:p>
    <w:p w14:paraId="406FC879">
      <w:pPr>
        <w:pStyle w:val="26"/>
        <w:spacing w:line="500" w:lineRule="exact"/>
        <w:ind w:firstLine="640"/>
        <w:rPr>
          <w:rFonts w:eastAsia="仿宋_GB2312"/>
        </w:rPr>
      </w:pPr>
      <w:r>
        <w:rPr>
          <w:rFonts w:eastAsia="仿宋_GB2312"/>
        </w:rPr>
        <w:t>电动病床的风险管理报告应符合YY/T 0316-2008《医疗器械 风险管理对医疗器械的应用》的有关要求，判断与产品有关的危害，估计和评价相关风险，控制这些风险并监视控制的有效性。</w:t>
      </w:r>
    </w:p>
    <w:p w14:paraId="6B1A2563">
      <w:pPr>
        <w:pStyle w:val="26"/>
        <w:spacing w:line="500" w:lineRule="exact"/>
        <w:ind w:firstLine="640"/>
        <w:rPr>
          <w:rFonts w:eastAsia="仿宋_GB2312"/>
        </w:rPr>
      </w:pPr>
      <w:r>
        <w:rPr>
          <w:rFonts w:eastAsia="仿宋_GB2312"/>
        </w:rPr>
        <w:t>主要的审查要点包括：</w:t>
      </w:r>
    </w:p>
    <w:p w14:paraId="187E7E2F">
      <w:pPr>
        <w:pStyle w:val="26"/>
        <w:spacing w:line="500" w:lineRule="exact"/>
        <w:ind w:firstLine="640"/>
        <w:rPr>
          <w:rFonts w:eastAsia="仿宋_GB2312"/>
        </w:rPr>
      </w:pPr>
      <w:r>
        <w:rPr>
          <w:rFonts w:eastAsia="仿宋_GB2312"/>
        </w:rPr>
        <w:t>1.与产品有关的安全性特征判定可参考YY/T 0316-2008《医疗器械 风险管理对医疗器械的应用》的附录C；</w:t>
      </w:r>
    </w:p>
    <w:p w14:paraId="1C44A3C9">
      <w:pPr>
        <w:pStyle w:val="26"/>
        <w:spacing w:line="500" w:lineRule="exact"/>
        <w:ind w:firstLine="640"/>
        <w:rPr>
          <w:rFonts w:eastAsia="仿宋_GB2312"/>
        </w:rPr>
      </w:pPr>
      <w:r>
        <w:rPr>
          <w:rFonts w:eastAsia="仿宋_GB2312"/>
        </w:rPr>
        <w:t>2.危害、可预见的事件序列和危害处境判断可参考YY/T 0316-2008《医疗器械 风险管理对医疗器械的应用》的附录E、I；</w:t>
      </w:r>
    </w:p>
    <w:p w14:paraId="59AAD72D">
      <w:pPr>
        <w:pStyle w:val="26"/>
        <w:spacing w:line="500" w:lineRule="exact"/>
        <w:ind w:firstLine="640"/>
        <w:rPr>
          <w:rFonts w:eastAsia="仿宋_GB2312"/>
        </w:rPr>
      </w:pPr>
      <w:r>
        <w:rPr>
          <w:rFonts w:eastAsia="仿宋_GB2312"/>
        </w:rPr>
        <w:t>3.风险控制的方案与实施、综合剩余风险的可接受性评价及生产和生产后监视相关方法可参考YY/T 0316-2008《医疗器械 风险管理对医疗器械的应用》的附录F、G、J。</w:t>
      </w:r>
    </w:p>
    <w:p w14:paraId="66D3DFDE">
      <w:pPr>
        <w:pStyle w:val="26"/>
        <w:spacing w:line="540" w:lineRule="exact"/>
        <w:ind w:firstLine="640"/>
        <w:rPr>
          <w:rFonts w:eastAsia="仿宋_GB2312"/>
        </w:rPr>
      </w:pPr>
      <w:r>
        <w:rPr>
          <w:rFonts w:eastAsia="仿宋_GB2312"/>
        </w:rPr>
        <w:t>4.产品的主要危害</w:t>
      </w:r>
    </w:p>
    <w:p w14:paraId="4112A6C2">
      <w:pPr>
        <w:pStyle w:val="26"/>
        <w:spacing w:line="540" w:lineRule="exact"/>
        <w:ind w:firstLine="640"/>
        <w:rPr>
          <w:rFonts w:eastAsia="仿宋_GB2312"/>
        </w:rPr>
      </w:pPr>
      <w:r>
        <w:rPr>
          <w:rFonts w:eastAsia="仿宋_GB2312"/>
        </w:rPr>
        <w:t>4.1 能量危害</w:t>
      </w:r>
    </w:p>
    <w:p w14:paraId="0CFF669E">
      <w:pPr>
        <w:pStyle w:val="26"/>
        <w:spacing w:line="580" w:lineRule="exact"/>
        <w:ind w:firstLine="640"/>
        <w:rPr>
          <w:rFonts w:eastAsia="仿宋_GB2312"/>
        </w:rPr>
      </w:pPr>
      <w:r>
        <w:rPr>
          <w:rFonts w:eastAsia="仿宋_GB2312"/>
        </w:rPr>
        <w:t>电磁能：包括网电源的波动对设备产生的影响，漏电流，可能共同使用的设备对电动病床产生的电磁干扰，电动病床产生的电磁场对可能共同使用的设备的影响等引发的危害。</w:t>
      </w:r>
    </w:p>
    <w:p w14:paraId="1E7BCBEE">
      <w:pPr>
        <w:pStyle w:val="26"/>
        <w:spacing w:line="580" w:lineRule="exact"/>
        <w:ind w:firstLine="640"/>
        <w:rPr>
          <w:rFonts w:eastAsia="仿宋_GB2312"/>
        </w:rPr>
      </w:pPr>
      <w:r>
        <w:rPr>
          <w:rFonts w:eastAsia="仿宋_GB2312"/>
        </w:rPr>
        <w:t>热能：包括与患者表面接触部分温度过高引起的灼伤，不与患者表面接触部分温度过高造成的电气危险而引发的危害。</w:t>
      </w:r>
    </w:p>
    <w:p w14:paraId="3AAA7C3C">
      <w:pPr>
        <w:pStyle w:val="26"/>
        <w:spacing w:line="580" w:lineRule="exact"/>
        <w:ind w:firstLine="640"/>
        <w:rPr>
          <w:rFonts w:eastAsia="仿宋_GB2312"/>
        </w:rPr>
      </w:pPr>
      <w:r>
        <w:rPr>
          <w:rFonts w:eastAsia="仿宋_GB2312"/>
        </w:rPr>
        <w:t>机械能：包括由于电动病床支撑强度不够，配件的松动或断裂，悬挂物的坠落，运动部件运行角度不够等引发的危害。</w:t>
      </w:r>
    </w:p>
    <w:p w14:paraId="55685608">
      <w:pPr>
        <w:pStyle w:val="26"/>
        <w:spacing w:line="580" w:lineRule="exact"/>
        <w:ind w:firstLine="640"/>
        <w:rPr>
          <w:rFonts w:eastAsia="仿宋_GB2312"/>
        </w:rPr>
      </w:pPr>
      <w:r>
        <w:rPr>
          <w:rFonts w:eastAsia="仿宋_GB2312"/>
        </w:rPr>
        <w:t xml:space="preserve">声能：主要指噪声引起的危害。 </w:t>
      </w:r>
    </w:p>
    <w:p w14:paraId="5E1F9A43">
      <w:pPr>
        <w:pStyle w:val="26"/>
        <w:spacing w:line="580" w:lineRule="exact"/>
        <w:ind w:firstLine="640"/>
        <w:rPr>
          <w:rFonts w:eastAsia="仿宋_GB2312"/>
        </w:rPr>
      </w:pPr>
      <w:r>
        <w:rPr>
          <w:rFonts w:eastAsia="仿宋_GB2312"/>
        </w:rPr>
        <w:t>4.2 生物学和化学危害</w:t>
      </w:r>
    </w:p>
    <w:p w14:paraId="47EA6A12">
      <w:pPr>
        <w:pStyle w:val="26"/>
        <w:spacing w:line="580" w:lineRule="exact"/>
        <w:ind w:firstLine="640"/>
        <w:rPr>
          <w:rFonts w:eastAsia="仿宋_GB2312"/>
        </w:rPr>
      </w:pPr>
      <w:r>
        <w:rPr>
          <w:rFonts w:eastAsia="仿宋_GB2312"/>
        </w:rPr>
        <w:t>与患者和使用者接触部分和可能接触部分的材料及清洁剂、消毒剂的残留等引发的危害。</w:t>
      </w:r>
    </w:p>
    <w:p w14:paraId="33165790">
      <w:pPr>
        <w:pStyle w:val="26"/>
        <w:spacing w:line="580" w:lineRule="exact"/>
        <w:ind w:firstLine="640"/>
        <w:rPr>
          <w:rFonts w:eastAsia="仿宋_GB2312"/>
        </w:rPr>
      </w:pPr>
      <w:r>
        <w:rPr>
          <w:rFonts w:eastAsia="仿宋_GB2312"/>
        </w:rPr>
        <w:t>4.3 操作危害</w:t>
      </w:r>
    </w:p>
    <w:p w14:paraId="199F5C3C">
      <w:pPr>
        <w:pStyle w:val="26"/>
        <w:spacing w:line="580" w:lineRule="exact"/>
        <w:ind w:firstLine="640"/>
        <w:rPr>
          <w:rFonts w:eastAsia="仿宋_GB2312"/>
        </w:rPr>
      </w:pPr>
      <w:r>
        <w:rPr>
          <w:rFonts w:eastAsia="仿宋_GB2312"/>
        </w:rPr>
        <w:t>包括控制器功能异常，机械部件磨损，电器元件损坏，不按照使用说明书的要求进行安装和操作，对控制器连接软电线的过力拖拽，控制器使用后的随意置放等引发的危害，无线控制器对其它电动病床的影响。</w:t>
      </w:r>
    </w:p>
    <w:p w14:paraId="097B087C">
      <w:pPr>
        <w:pStyle w:val="26"/>
        <w:spacing w:line="580" w:lineRule="exact"/>
        <w:ind w:firstLine="640"/>
        <w:rPr>
          <w:rFonts w:eastAsia="仿宋_GB2312"/>
        </w:rPr>
      </w:pPr>
      <w:r>
        <w:rPr>
          <w:rFonts w:eastAsia="仿宋_GB2312"/>
        </w:rPr>
        <w:t>4.4 信息危害</w:t>
      </w:r>
    </w:p>
    <w:p w14:paraId="3E41AA88">
      <w:pPr>
        <w:pStyle w:val="26"/>
        <w:spacing w:line="580" w:lineRule="exact"/>
        <w:ind w:firstLine="640"/>
        <w:rPr>
          <w:rFonts w:eastAsia="仿宋_GB2312"/>
        </w:rPr>
      </w:pPr>
      <w:r>
        <w:rPr>
          <w:rFonts w:eastAsia="仿宋_GB2312"/>
        </w:rPr>
        <w:t>标记缺少或不正确，标记的位置不正确，不能被正确的识别，不能永久贴牢和清楚易认，不符合法规及标准的说明书，未对与其它设备共同使用时易产生的危害进行警告，未对因长期使用产生功能丧失而可能引发的危害进行警告，未对合理可预见的误用进行警告等引发的危害。</w:t>
      </w:r>
      <w:bookmarkStart w:id="1" w:name="OLE_LINK2"/>
    </w:p>
    <w:p w14:paraId="7B88674D">
      <w:pPr>
        <w:spacing w:line="520" w:lineRule="exact"/>
        <w:jc w:val="center"/>
        <w:rPr>
          <w:rFonts w:hint="eastAsia" w:ascii="仿宋_GB2312" w:hAnsi="仿宋" w:eastAsia="仿宋_GB2312"/>
          <w:sz w:val="28"/>
          <w:szCs w:val="28"/>
        </w:rPr>
      </w:pPr>
      <w:r>
        <w:rPr>
          <w:rFonts w:hint="eastAsia" w:ascii="仿宋_GB2312" w:hAnsi="仿宋" w:eastAsia="仿宋_GB2312"/>
          <w:sz w:val="28"/>
          <w:szCs w:val="28"/>
        </w:rPr>
        <w:t>表2 初始事件和环境示例</w:t>
      </w:r>
      <w:bookmarkEnd w:id="1"/>
    </w:p>
    <w:tbl>
      <w:tblPr>
        <w:tblStyle w:val="8"/>
        <w:tblW w:w="0" w:type="auto"/>
        <w:jc w:val="center"/>
        <w:tblLayout w:type="fixed"/>
        <w:tblCellMar>
          <w:top w:w="0" w:type="dxa"/>
          <w:left w:w="0" w:type="dxa"/>
          <w:bottom w:w="0" w:type="dxa"/>
          <w:right w:w="0" w:type="dxa"/>
        </w:tblCellMar>
      </w:tblPr>
      <w:tblGrid>
        <w:gridCol w:w="2175"/>
        <w:gridCol w:w="7113"/>
      </w:tblGrid>
      <w:tr w14:paraId="21867CA6">
        <w:tblPrEx>
          <w:tblCellMar>
            <w:top w:w="0" w:type="dxa"/>
            <w:left w:w="0" w:type="dxa"/>
            <w:bottom w:w="0" w:type="dxa"/>
            <w:right w:w="0" w:type="dxa"/>
          </w:tblCellMar>
        </w:tblPrEx>
        <w:trPr>
          <w:trHeight w:val="279" w:hRule="atLeast"/>
          <w:tblHeader/>
          <w:jc w:val="center"/>
        </w:trPr>
        <w:tc>
          <w:tcPr>
            <w:tcW w:w="2175"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vAlign w:val="center"/>
          </w:tcPr>
          <w:p w14:paraId="1CA38F3A">
            <w:pPr>
              <w:widowControl/>
              <w:spacing w:before="120" w:line="520" w:lineRule="exact"/>
              <w:jc w:val="center"/>
              <w:rPr>
                <w:rFonts w:hint="eastAsia" w:ascii="宋体" w:hAnsi="宋体" w:cs="宋体"/>
                <w:b/>
                <w:kern w:val="0"/>
                <w:sz w:val="28"/>
                <w:szCs w:val="21"/>
              </w:rPr>
            </w:pPr>
            <w:r>
              <w:rPr>
                <w:rFonts w:hint="eastAsia" w:ascii="宋体" w:hAnsi="宋体" w:cs="宋体"/>
                <w:b/>
                <w:bCs/>
                <w:kern w:val="0"/>
                <w:sz w:val="28"/>
                <w:szCs w:val="21"/>
              </w:rPr>
              <w:t>通用类别</w:t>
            </w:r>
          </w:p>
        </w:tc>
        <w:tc>
          <w:tcPr>
            <w:tcW w:w="7113" w:type="dxa"/>
            <w:tcBorders>
              <w:top w:val="single" w:color="auto" w:sz="8" w:space="0"/>
              <w:left w:val="nil"/>
              <w:bottom w:val="single" w:color="auto" w:sz="8" w:space="0"/>
              <w:right w:val="single" w:color="auto" w:sz="8" w:space="0"/>
            </w:tcBorders>
            <w:tcMar>
              <w:top w:w="0" w:type="dxa"/>
              <w:left w:w="108" w:type="dxa"/>
              <w:bottom w:w="0" w:type="dxa"/>
              <w:right w:w="108" w:type="dxa"/>
            </w:tcMar>
            <w:vAlign w:val="center"/>
          </w:tcPr>
          <w:p w14:paraId="056EAC9C">
            <w:pPr>
              <w:widowControl/>
              <w:spacing w:before="120" w:line="520" w:lineRule="exact"/>
              <w:jc w:val="center"/>
              <w:rPr>
                <w:rFonts w:hint="eastAsia" w:ascii="宋体" w:hAnsi="宋体" w:cs="宋体"/>
                <w:b/>
                <w:kern w:val="0"/>
                <w:sz w:val="28"/>
                <w:szCs w:val="21"/>
              </w:rPr>
            </w:pPr>
            <w:r>
              <w:rPr>
                <w:rFonts w:hint="eastAsia" w:ascii="宋体" w:hAnsi="宋体" w:cs="宋体"/>
                <w:b/>
                <w:bCs/>
                <w:kern w:val="0"/>
                <w:sz w:val="28"/>
                <w:szCs w:val="21"/>
              </w:rPr>
              <w:t>初始事件和环境示例</w:t>
            </w:r>
          </w:p>
        </w:tc>
      </w:tr>
      <w:tr w14:paraId="59DCA09A">
        <w:tblPrEx>
          <w:tblCellMar>
            <w:top w:w="0" w:type="dxa"/>
            <w:left w:w="0" w:type="dxa"/>
            <w:bottom w:w="0" w:type="dxa"/>
            <w:right w:w="0" w:type="dxa"/>
          </w:tblCellMar>
        </w:tblPrEx>
        <w:trPr>
          <w:trHeight w:val="10107"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37331829">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不完整的要求</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670ABCC5">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机械部件配合不紧密；电动推杆行程不够；床框制造材料强度不能满足支撑力的要求；床面升降行程不符合要求；床面整体转角，床面和各部分倾角、折角不符合要求；配件安装架的位置及配件安装稳定性等对操作者和患者的危害；可触及金属部分、外壳、应用部分等与带电部分隔离/保护不够，电介质强度不够，导致对电击危险防护不够，可能对使用者或患者造成电击危害；进液防护能力不足，造成危害；附件和悬挂物不牢固，带脚轮设备锁定不良；设备面、角、边粗糙等可能对使用者或患者造成的机械损伤；对环境的电磁干扰超标，干扰其它设备正常工作等；无线控制器对其它病床的干扰或误动。</w:t>
            </w:r>
          </w:p>
          <w:p w14:paraId="2FC15D67">
            <w:pPr>
              <w:spacing w:line="520" w:lineRule="exact"/>
              <w:ind w:firstLine="560" w:firstLineChars="200"/>
              <w:rPr>
                <w:rFonts w:hint="eastAsia" w:ascii="宋体" w:hAnsi="宋体" w:cs="宋体"/>
                <w:kern w:val="0"/>
                <w:sz w:val="28"/>
                <w:szCs w:val="21"/>
              </w:rPr>
            </w:pPr>
            <w:r>
              <w:rPr>
                <w:rFonts w:hint="eastAsia" w:ascii="宋体" w:hAnsi="宋体" w:cs="宋体"/>
                <w:kern w:val="0"/>
                <w:sz w:val="28"/>
                <w:szCs w:val="21"/>
              </w:rPr>
              <w:t>床</w:t>
            </w:r>
            <w:r>
              <w:rPr>
                <w:rStyle w:val="12"/>
                <w:rFonts w:hint="eastAsia" w:ascii="宋体" w:hAnsi="宋体"/>
                <w:sz w:val="28"/>
                <w:szCs w:val="21"/>
              </w:rPr>
              <w:t>面的移动和各板折起角度等是否能通过控制器达到预定的要求</w:t>
            </w:r>
            <w:r>
              <w:rPr>
                <w:rFonts w:hint="eastAsia" w:ascii="宋体" w:hAnsi="宋体" w:cs="宋体"/>
                <w:kern w:val="0"/>
                <w:sz w:val="28"/>
                <w:szCs w:val="21"/>
              </w:rPr>
              <w:t>等。</w:t>
            </w:r>
          </w:p>
          <w:p w14:paraId="39C92807">
            <w:pPr>
              <w:spacing w:line="520" w:lineRule="exact"/>
              <w:ind w:firstLine="560" w:firstLineChars="200"/>
              <w:rPr>
                <w:rFonts w:hint="eastAsia" w:ascii="宋体" w:hAnsi="宋体" w:cs="宋体"/>
                <w:kern w:val="0"/>
                <w:sz w:val="28"/>
                <w:szCs w:val="21"/>
              </w:rPr>
            </w:pPr>
            <w:r>
              <w:rPr>
                <w:rStyle w:val="12"/>
                <w:rFonts w:hint="eastAsia" w:ascii="宋体" w:hAnsi="宋体"/>
                <w:sz w:val="28"/>
                <w:szCs w:val="21"/>
              </w:rPr>
              <w:t>与人体接触部件材料的生物安全性问题。</w:t>
            </w:r>
          </w:p>
          <w:p w14:paraId="28579552">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使用说明书未对设备及附件维护和保养的方式、方法、频次、消毒方法进行说明，导致设备不能正常使用等。</w:t>
            </w:r>
          </w:p>
          <w:p w14:paraId="394BE419">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使用说明书未对设备/配件的使用寿命和贮藏寿命进行规定，导致设备/配件超期非正常使用导致稳定性等指标降低，安全性能出现隐患等。</w:t>
            </w:r>
          </w:p>
        </w:tc>
      </w:tr>
      <w:tr w14:paraId="0FD4C95A">
        <w:tblPrEx>
          <w:tblCellMar>
            <w:top w:w="0" w:type="dxa"/>
            <w:left w:w="0" w:type="dxa"/>
            <w:bottom w:w="0" w:type="dxa"/>
            <w:right w:w="0" w:type="dxa"/>
          </w:tblCellMar>
        </w:tblPrEx>
        <w:trPr>
          <w:trHeight w:val="566"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79B971A">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制造过程</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13799DD6">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控制程序修改未经验证，导致设备性能参数指标不符合标准要求等。</w:t>
            </w:r>
          </w:p>
          <w:p w14:paraId="7FC6C8A5">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生产过程关键工序控制点未进行监测，导致各部件配合不符合要求等。</w:t>
            </w:r>
          </w:p>
          <w:p w14:paraId="67061889">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外购、外协件供方选择不当，外购、外协件未进行有效进货检验，导致不合格外购、外协件投入生产等，如：电动推杆行程不够，启动力矩不够，头、脚板组件、脚轮强度不合格等。</w:t>
            </w:r>
          </w:p>
        </w:tc>
      </w:tr>
      <w:tr w14:paraId="579D388C">
        <w:tblPrEx>
          <w:tblCellMar>
            <w:top w:w="0" w:type="dxa"/>
            <w:left w:w="0" w:type="dxa"/>
            <w:bottom w:w="0" w:type="dxa"/>
            <w:right w:w="0" w:type="dxa"/>
          </w:tblCellMar>
        </w:tblPrEx>
        <w:trPr>
          <w:trHeight w:val="935"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B0A2FC6">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运输和贮藏</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6FC6700E">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产品防护不当导致设备运输过程中损坏等。</w:t>
            </w:r>
          </w:p>
          <w:p w14:paraId="3D577FC7">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在超出设备规定的贮藏环境（温度、湿度、压力）贮藏设备，导致设备不能正常工作等。</w:t>
            </w:r>
          </w:p>
        </w:tc>
      </w:tr>
      <w:tr w14:paraId="109A223D">
        <w:tblPrEx>
          <w:tblCellMar>
            <w:top w:w="0" w:type="dxa"/>
            <w:left w:w="0" w:type="dxa"/>
            <w:bottom w:w="0" w:type="dxa"/>
            <w:right w:w="0" w:type="dxa"/>
          </w:tblCellMar>
        </w:tblPrEx>
        <w:trPr>
          <w:trHeight w:val="452"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56EFE96">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环境因素</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337EF704">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过热、过冷的环境可能导致设备不能正常工作等。</w:t>
            </w:r>
          </w:p>
          <w:p w14:paraId="5258F87E">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强酸强碱导致损害等。</w:t>
            </w:r>
          </w:p>
          <w:p w14:paraId="3BA62DB8">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抗电磁干扰能力差，特定环境设备工作不正常等。</w:t>
            </w:r>
          </w:p>
          <w:p w14:paraId="2975052B">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设备的供电电压不稳定，导致设备不能正常工作或损坏等。</w:t>
            </w:r>
          </w:p>
        </w:tc>
      </w:tr>
      <w:tr w14:paraId="33F023D1">
        <w:tblPrEx>
          <w:tblCellMar>
            <w:top w:w="0" w:type="dxa"/>
            <w:left w:w="0" w:type="dxa"/>
            <w:bottom w:w="0" w:type="dxa"/>
            <w:right w:w="0" w:type="dxa"/>
          </w:tblCellMar>
        </w:tblPrEx>
        <w:trPr>
          <w:trHeight w:val="927"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5F0FDAC5">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清洁、消毒和灭菌</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6E97DABE">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使用说明书中推荐的对床或其它部件的消毒方法未经确认，不能进行有效消毒等。</w:t>
            </w:r>
          </w:p>
          <w:p w14:paraId="0D4E2AD9">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使用者未按要求对床或其它部件进行防护或消毒，导致感染等。</w:t>
            </w:r>
          </w:p>
        </w:tc>
      </w:tr>
      <w:tr w14:paraId="76B55D25">
        <w:tblPrEx>
          <w:tblCellMar>
            <w:top w:w="0" w:type="dxa"/>
            <w:left w:w="0" w:type="dxa"/>
            <w:bottom w:w="0" w:type="dxa"/>
            <w:right w:w="0" w:type="dxa"/>
          </w:tblCellMar>
        </w:tblPrEx>
        <w:trPr>
          <w:trHeight w:val="449"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4DB8587C">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处置和废弃</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2EF34C08">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未在使用说明书中对床或其它部件的处置（特别是使用后的处置）和废弃方法进行说明，或信息不充分；未对设备废弃的处置进行提示性说明等。</w:t>
            </w:r>
          </w:p>
        </w:tc>
      </w:tr>
      <w:tr w14:paraId="242A0016">
        <w:tblPrEx>
          <w:tblCellMar>
            <w:top w:w="0" w:type="dxa"/>
            <w:left w:w="0" w:type="dxa"/>
            <w:bottom w:w="0" w:type="dxa"/>
            <w:right w:w="0" w:type="dxa"/>
          </w:tblCellMar>
        </w:tblPrEx>
        <w:trPr>
          <w:trHeight w:val="452"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01061A36">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人为因素</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12C4033B">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易混淆的或缺少使用说明书：</w:t>
            </w:r>
          </w:p>
          <w:p w14:paraId="04C60658">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—图示符号说明不规范；</w:t>
            </w:r>
          </w:p>
          <w:p w14:paraId="7A06C25D">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—操作使用方法不清楚；</w:t>
            </w:r>
          </w:p>
          <w:p w14:paraId="0A442398">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—技术说明不清楚；</w:t>
            </w:r>
          </w:p>
          <w:p w14:paraId="25BA665C">
            <w:pPr>
              <w:spacing w:line="520" w:lineRule="exact"/>
              <w:ind w:firstLine="560" w:firstLineChars="200"/>
              <w:rPr>
                <w:rFonts w:hint="eastAsia" w:ascii="宋体" w:hAnsi="宋体"/>
                <w:sz w:val="28"/>
                <w:szCs w:val="21"/>
              </w:rPr>
            </w:pPr>
            <w:r>
              <w:rPr>
                <w:rFonts w:hint="eastAsia" w:ascii="宋体" w:hAnsi="宋体" w:cs="宋体"/>
                <w:kern w:val="0"/>
                <w:sz w:val="28"/>
                <w:szCs w:val="21"/>
              </w:rPr>
              <w:t>—</w:t>
            </w:r>
            <w:r>
              <w:rPr>
                <w:rFonts w:hint="eastAsia" w:ascii="宋体" w:hAnsi="宋体"/>
                <w:sz w:val="28"/>
                <w:szCs w:val="21"/>
              </w:rPr>
              <w:t>重要的警告性说明或注意事项不明确；</w:t>
            </w:r>
          </w:p>
          <w:p w14:paraId="28CFC7B2">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w:t>
            </w:r>
            <w:r>
              <w:rPr>
                <w:rStyle w:val="12"/>
                <w:rFonts w:hint="eastAsia" w:ascii="宋体" w:hAnsi="宋体"/>
                <w:sz w:val="28"/>
                <w:szCs w:val="21"/>
              </w:rPr>
              <w:t>不适当的操作说明</w:t>
            </w:r>
            <w:r>
              <w:rPr>
                <w:rFonts w:hint="eastAsia" w:ascii="宋体" w:hAnsi="宋体"/>
                <w:sz w:val="28"/>
                <w:szCs w:val="21"/>
              </w:rPr>
              <w:t>等。</w:t>
            </w:r>
          </w:p>
          <w:p w14:paraId="7BC9947A">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由缺乏技术/未经培训的人员使用，不能正确使用和维护保养设备等，</w:t>
            </w:r>
            <w:r>
              <w:rPr>
                <w:rFonts w:hint="eastAsia" w:ascii="宋体" w:hAnsi="宋体"/>
                <w:sz w:val="28"/>
                <w:szCs w:val="21"/>
              </w:rPr>
              <w:t>包括</w:t>
            </w:r>
            <w:r>
              <w:rPr>
                <w:rFonts w:hint="eastAsia" w:ascii="宋体" w:hAnsi="宋体" w:cs="宋体"/>
                <w:kern w:val="0"/>
                <w:sz w:val="28"/>
                <w:szCs w:val="21"/>
              </w:rPr>
              <w:t>：</w:t>
            </w:r>
          </w:p>
          <w:p w14:paraId="7DB61D80">
            <w:pPr>
              <w:spacing w:line="520" w:lineRule="exact"/>
              <w:ind w:firstLine="560" w:firstLineChars="200"/>
              <w:rPr>
                <w:rStyle w:val="12"/>
                <w:rFonts w:hint="eastAsia" w:ascii="宋体" w:hAnsi="宋体"/>
                <w:sz w:val="28"/>
                <w:szCs w:val="21"/>
              </w:rPr>
            </w:pPr>
            <w:r>
              <w:rPr>
                <w:rFonts w:hint="eastAsia" w:ascii="宋体" w:hAnsi="宋体" w:cs="宋体"/>
                <w:kern w:val="0"/>
                <w:sz w:val="28"/>
                <w:szCs w:val="21"/>
              </w:rPr>
              <w:t>—</w:t>
            </w:r>
            <w:r>
              <w:rPr>
                <w:rStyle w:val="12"/>
                <w:rFonts w:hint="eastAsia" w:ascii="宋体" w:hAnsi="宋体"/>
                <w:sz w:val="28"/>
                <w:szCs w:val="21"/>
              </w:rPr>
              <w:t>控制器的意外操作；</w:t>
            </w:r>
          </w:p>
          <w:p w14:paraId="0E0809CB">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w:t>
            </w:r>
            <w:r>
              <w:rPr>
                <w:rFonts w:hint="eastAsia" w:ascii="宋体" w:hAnsi="宋体"/>
                <w:sz w:val="28"/>
                <w:szCs w:val="21"/>
              </w:rPr>
              <w:t>维护不当引起的不能正常发挥使用性能。</w:t>
            </w:r>
          </w:p>
        </w:tc>
      </w:tr>
      <w:tr w14:paraId="544763C9">
        <w:tblPrEx>
          <w:tblCellMar>
            <w:top w:w="0" w:type="dxa"/>
            <w:left w:w="0" w:type="dxa"/>
            <w:bottom w:w="0" w:type="dxa"/>
            <w:right w:w="0" w:type="dxa"/>
          </w:tblCellMar>
        </w:tblPrEx>
        <w:trPr>
          <w:trHeight w:val="759" w:hRule="atLeast"/>
          <w:jc w:val="center"/>
        </w:trPr>
        <w:tc>
          <w:tcPr>
            <w:tcW w:w="2175" w:type="dxa"/>
            <w:tcBorders>
              <w:top w:val="nil"/>
              <w:left w:val="single" w:color="auto" w:sz="8" w:space="0"/>
              <w:bottom w:val="single" w:color="auto" w:sz="8" w:space="0"/>
              <w:right w:val="single" w:color="auto" w:sz="8" w:space="0"/>
            </w:tcBorders>
            <w:tcMar>
              <w:top w:w="0" w:type="dxa"/>
              <w:left w:w="108" w:type="dxa"/>
              <w:bottom w:w="0" w:type="dxa"/>
              <w:right w:w="108" w:type="dxa"/>
            </w:tcMar>
          </w:tcPr>
          <w:p w14:paraId="207CFDC1">
            <w:pPr>
              <w:widowControl/>
              <w:spacing w:before="120" w:line="520" w:lineRule="exact"/>
              <w:jc w:val="left"/>
              <w:rPr>
                <w:rFonts w:hint="eastAsia" w:ascii="宋体" w:hAnsi="宋体" w:cs="宋体"/>
                <w:kern w:val="0"/>
                <w:sz w:val="28"/>
                <w:szCs w:val="21"/>
              </w:rPr>
            </w:pPr>
            <w:r>
              <w:rPr>
                <w:rFonts w:hint="eastAsia" w:ascii="宋体" w:hAnsi="宋体" w:cs="宋体"/>
                <w:kern w:val="0"/>
                <w:sz w:val="28"/>
                <w:szCs w:val="21"/>
              </w:rPr>
              <w:t>失效模式</w:t>
            </w:r>
          </w:p>
        </w:tc>
        <w:tc>
          <w:tcPr>
            <w:tcW w:w="7113" w:type="dxa"/>
            <w:tcBorders>
              <w:top w:val="nil"/>
              <w:left w:val="nil"/>
              <w:bottom w:val="single" w:color="auto" w:sz="8" w:space="0"/>
              <w:right w:val="single" w:color="auto" w:sz="8" w:space="0"/>
            </w:tcBorders>
            <w:tcMar>
              <w:top w:w="0" w:type="dxa"/>
              <w:left w:w="108" w:type="dxa"/>
              <w:bottom w:w="0" w:type="dxa"/>
              <w:right w:w="108" w:type="dxa"/>
            </w:tcMar>
          </w:tcPr>
          <w:p w14:paraId="52CE172F">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由于老化、磨损和重复使用而导致功能退化，如：注塑部件老化、连接部件磨损等。</w:t>
            </w:r>
          </w:p>
          <w:p w14:paraId="12C2FF7D">
            <w:pPr>
              <w:widowControl/>
              <w:spacing w:line="520" w:lineRule="exact"/>
              <w:ind w:firstLine="560" w:firstLineChars="200"/>
              <w:jc w:val="left"/>
              <w:rPr>
                <w:rFonts w:hint="eastAsia" w:ascii="宋体" w:hAnsi="宋体" w:cs="宋体"/>
                <w:kern w:val="0"/>
                <w:sz w:val="28"/>
                <w:szCs w:val="21"/>
              </w:rPr>
            </w:pPr>
            <w:r>
              <w:rPr>
                <w:rFonts w:hint="eastAsia" w:ascii="宋体" w:hAnsi="宋体" w:cs="宋体"/>
                <w:kern w:val="0"/>
                <w:sz w:val="28"/>
                <w:szCs w:val="21"/>
              </w:rPr>
              <w:t>疲劳失效。</w:t>
            </w:r>
          </w:p>
        </w:tc>
      </w:tr>
    </w:tbl>
    <w:p w14:paraId="6D67B854">
      <w:pPr>
        <w:spacing w:line="520" w:lineRule="exact"/>
        <w:jc w:val="center"/>
        <w:rPr>
          <w:rFonts w:hint="eastAsia" w:ascii="仿宋_GB2312" w:hAnsi="仿宋" w:eastAsia="仿宋_GB2312"/>
          <w:bCs/>
          <w:sz w:val="30"/>
          <w:szCs w:val="30"/>
        </w:rPr>
      </w:pPr>
      <w:r>
        <w:rPr>
          <w:rFonts w:hint="eastAsia" w:ascii="仿宋_GB2312" w:hAnsi="仿宋" w:eastAsia="仿宋_GB2312"/>
          <w:bCs/>
          <w:sz w:val="28"/>
          <w:szCs w:val="28"/>
        </w:rPr>
        <w:t>表3 危害、可预见的事件序列、危害处境和可发生的损害之间的关系</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076"/>
        <w:gridCol w:w="2864"/>
        <w:gridCol w:w="1980"/>
      </w:tblGrid>
      <w:tr w14:paraId="36F9E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620" w:type="dxa"/>
          </w:tcPr>
          <w:p w14:paraId="28672D22">
            <w:pPr>
              <w:spacing w:line="520" w:lineRule="exact"/>
              <w:jc w:val="center"/>
              <w:rPr>
                <w:rFonts w:hint="eastAsia" w:ascii="宋体" w:hAnsi="宋体"/>
                <w:b/>
                <w:sz w:val="28"/>
                <w:szCs w:val="21"/>
              </w:rPr>
            </w:pPr>
            <w:r>
              <w:rPr>
                <w:rFonts w:hint="eastAsia" w:ascii="宋体" w:hAnsi="宋体"/>
                <w:b/>
                <w:sz w:val="28"/>
                <w:szCs w:val="21"/>
              </w:rPr>
              <w:t>危害</w:t>
            </w:r>
          </w:p>
        </w:tc>
        <w:tc>
          <w:tcPr>
            <w:tcW w:w="3076" w:type="dxa"/>
          </w:tcPr>
          <w:p w14:paraId="421A321B">
            <w:pPr>
              <w:spacing w:line="520" w:lineRule="exact"/>
              <w:jc w:val="center"/>
              <w:rPr>
                <w:rFonts w:hint="eastAsia" w:ascii="宋体" w:hAnsi="宋体"/>
                <w:b/>
                <w:sz w:val="28"/>
                <w:szCs w:val="21"/>
              </w:rPr>
            </w:pPr>
            <w:r>
              <w:rPr>
                <w:rFonts w:hint="eastAsia" w:ascii="宋体" w:hAnsi="宋体"/>
                <w:b/>
                <w:sz w:val="28"/>
                <w:szCs w:val="21"/>
              </w:rPr>
              <w:t>可预见的事件序列</w:t>
            </w:r>
          </w:p>
        </w:tc>
        <w:tc>
          <w:tcPr>
            <w:tcW w:w="2864" w:type="dxa"/>
          </w:tcPr>
          <w:p w14:paraId="68634685">
            <w:pPr>
              <w:spacing w:line="520" w:lineRule="exact"/>
              <w:jc w:val="center"/>
              <w:rPr>
                <w:rFonts w:hint="eastAsia" w:ascii="宋体" w:hAnsi="宋体"/>
                <w:b/>
                <w:sz w:val="28"/>
                <w:szCs w:val="21"/>
              </w:rPr>
            </w:pPr>
            <w:r>
              <w:rPr>
                <w:rFonts w:hint="eastAsia" w:ascii="宋体" w:hAnsi="宋体"/>
                <w:b/>
                <w:sz w:val="28"/>
                <w:szCs w:val="21"/>
              </w:rPr>
              <w:t>危害处境</w:t>
            </w:r>
          </w:p>
        </w:tc>
        <w:tc>
          <w:tcPr>
            <w:tcW w:w="1980" w:type="dxa"/>
          </w:tcPr>
          <w:p w14:paraId="656381AE">
            <w:pPr>
              <w:spacing w:line="520" w:lineRule="exact"/>
              <w:jc w:val="center"/>
              <w:rPr>
                <w:rFonts w:hint="eastAsia" w:ascii="宋体" w:hAnsi="宋体"/>
                <w:b/>
                <w:sz w:val="28"/>
                <w:szCs w:val="21"/>
              </w:rPr>
            </w:pPr>
            <w:r>
              <w:rPr>
                <w:rFonts w:hint="eastAsia" w:ascii="宋体" w:hAnsi="宋体"/>
                <w:b/>
                <w:sz w:val="28"/>
                <w:szCs w:val="21"/>
              </w:rPr>
              <w:t>损害</w:t>
            </w:r>
          </w:p>
        </w:tc>
      </w:tr>
      <w:tr w14:paraId="188F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620" w:type="dxa"/>
          </w:tcPr>
          <w:p w14:paraId="473CB278">
            <w:pPr>
              <w:spacing w:line="520" w:lineRule="exact"/>
              <w:rPr>
                <w:rFonts w:hint="eastAsia" w:ascii="宋体" w:hAnsi="宋体"/>
                <w:sz w:val="28"/>
                <w:szCs w:val="21"/>
              </w:rPr>
            </w:pPr>
            <w:r>
              <w:rPr>
                <w:rFonts w:hint="eastAsia" w:ascii="宋体" w:hAnsi="宋体"/>
                <w:sz w:val="28"/>
                <w:szCs w:val="21"/>
              </w:rPr>
              <w:t>电磁能（电磁干扰）</w:t>
            </w:r>
          </w:p>
        </w:tc>
        <w:tc>
          <w:tcPr>
            <w:tcW w:w="3076" w:type="dxa"/>
          </w:tcPr>
          <w:p w14:paraId="00804E76">
            <w:pPr>
              <w:spacing w:line="520" w:lineRule="exact"/>
              <w:rPr>
                <w:rFonts w:hint="eastAsia" w:ascii="宋体" w:hAnsi="宋体"/>
                <w:sz w:val="28"/>
                <w:szCs w:val="21"/>
              </w:rPr>
            </w:pPr>
            <w:r>
              <w:rPr>
                <w:rFonts w:hint="eastAsia" w:ascii="宋体" w:hAnsi="宋体"/>
                <w:sz w:val="28"/>
                <w:szCs w:val="21"/>
              </w:rPr>
              <w:t>病房内其它设备对病床产生电磁干扰导致电气设备的启动、运转。</w:t>
            </w:r>
          </w:p>
        </w:tc>
        <w:tc>
          <w:tcPr>
            <w:tcW w:w="2864" w:type="dxa"/>
          </w:tcPr>
          <w:p w14:paraId="073C45A3">
            <w:pPr>
              <w:spacing w:line="520" w:lineRule="exact"/>
              <w:rPr>
                <w:rFonts w:hint="eastAsia" w:ascii="宋体" w:hAnsi="宋体"/>
                <w:sz w:val="28"/>
                <w:szCs w:val="21"/>
              </w:rPr>
            </w:pPr>
            <w:r>
              <w:rPr>
                <w:rFonts w:hint="eastAsia" w:ascii="宋体" w:hAnsi="宋体"/>
                <w:sz w:val="28"/>
                <w:szCs w:val="21"/>
              </w:rPr>
              <w:t>病床不能按控制器的操作指令运转。</w:t>
            </w:r>
          </w:p>
        </w:tc>
        <w:tc>
          <w:tcPr>
            <w:tcW w:w="1980" w:type="dxa"/>
          </w:tcPr>
          <w:p w14:paraId="6CF6D3AC">
            <w:pPr>
              <w:spacing w:line="520" w:lineRule="exact"/>
              <w:rPr>
                <w:rFonts w:hint="eastAsia" w:ascii="宋体" w:hAnsi="宋体"/>
                <w:sz w:val="28"/>
                <w:szCs w:val="21"/>
              </w:rPr>
            </w:pPr>
            <w:r>
              <w:rPr>
                <w:rFonts w:hint="eastAsia" w:ascii="宋体" w:hAnsi="宋体"/>
                <w:sz w:val="28"/>
                <w:szCs w:val="21"/>
              </w:rPr>
              <w:t>患者病情加重、死亡。</w:t>
            </w:r>
          </w:p>
        </w:tc>
      </w:tr>
      <w:tr w14:paraId="45695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tcPr>
          <w:p w14:paraId="6F21353F">
            <w:pPr>
              <w:spacing w:line="520" w:lineRule="exact"/>
              <w:rPr>
                <w:rFonts w:hint="eastAsia" w:ascii="宋体" w:hAnsi="宋体"/>
                <w:sz w:val="28"/>
                <w:szCs w:val="21"/>
              </w:rPr>
            </w:pPr>
            <w:r>
              <w:rPr>
                <w:rFonts w:hint="eastAsia" w:ascii="宋体" w:hAnsi="宋体"/>
                <w:sz w:val="28"/>
                <w:szCs w:val="21"/>
              </w:rPr>
              <w:t>运动零件（底座解锁脚踏开关位置不合理）</w:t>
            </w:r>
          </w:p>
          <w:p w14:paraId="57D0AAFE">
            <w:pPr>
              <w:spacing w:line="520" w:lineRule="exact"/>
              <w:rPr>
                <w:rFonts w:hint="eastAsia" w:ascii="宋体" w:hAnsi="宋体"/>
                <w:sz w:val="28"/>
                <w:szCs w:val="21"/>
              </w:rPr>
            </w:pPr>
          </w:p>
        </w:tc>
        <w:tc>
          <w:tcPr>
            <w:tcW w:w="3076" w:type="dxa"/>
          </w:tcPr>
          <w:p w14:paraId="675A5712">
            <w:pPr>
              <w:spacing w:line="520" w:lineRule="exact"/>
              <w:rPr>
                <w:rFonts w:hint="eastAsia" w:ascii="宋体" w:hAnsi="宋体"/>
                <w:sz w:val="28"/>
                <w:szCs w:val="21"/>
              </w:rPr>
            </w:pPr>
            <w:r>
              <w:rPr>
                <w:rFonts w:hint="eastAsia" w:ascii="宋体" w:hAnsi="宋体"/>
                <w:sz w:val="28"/>
                <w:szCs w:val="21"/>
              </w:rPr>
              <w:t>（1）意外的踩踏；</w:t>
            </w:r>
          </w:p>
          <w:p w14:paraId="4916551F">
            <w:pPr>
              <w:spacing w:line="520" w:lineRule="exact"/>
              <w:rPr>
                <w:rFonts w:hint="eastAsia" w:ascii="宋体" w:hAnsi="宋体"/>
                <w:sz w:val="28"/>
                <w:szCs w:val="21"/>
              </w:rPr>
            </w:pPr>
            <w:r>
              <w:rPr>
                <w:rFonts w:hint="eastAsia" w:ascii="宋体" w:hAnsi="宋体"/>
                <w:sz w:val="28"/>
                <w:szCs w:val="21"/>
              </w:rPr>
              <w:t>（2）地板刹车锁定装置解锁。</w:t>
            </w:r>
          </w:p>
        </w:tc>
        <w:tc>
          <w:tcPr>
            <w:tcW w:w="2864" w:type="dxa"/>
          </w:tcPr>
          <w:p w14:paraId="196B9DCA">
            <w:pPr>
              <w:spacing w:line="520" w:lineRule="exact"/>
              <w:rPr>
                <w:rFonts w:hint="eastAsia" w:ascii="宋体" w:hAnsi="宋体"/>
                <w:sz w:val="28"/>
                <w:szCs w:val="21"/>
              </w:rPr>
            </w:pPr>
            <w:r>
              <w:rPr>
                <w:rFonts w:hint="eastAsia" w:ascii="宋体" w:hAnsi="宋体"/>
                <w:sz w:val="28"/>
                <w:szCs w:val="21"/>
              </w:rPr>
              <w:t>病床移动。</w:t>
            </w:r>
          </w:p>
        </w:tc>
        <w:tc>
          <w:tcPr>
            <w:tcW w:w="1980" w:type="dxa"/>
          </w:tcPr>
          <w:p w14:paraId="758D69A0">
            <w:pPr>
              <w:spacing w:line="520" w:lineRule="exact"/>
              <w:rPr>
                <w:rFonts w:hint="eastAsia" w:ascii="宋体" w:hAnsi="宋体"/>
                <w:sz w:val="28"/>
                <w:szCs w:val="21"/>
              </w:rPr>
            </w:pPr>
            <w:r>
              <w:rPr>
                <w:rFonts w:hint="eastAsia" w:ascii="宋体" w:hAnsi="宋体"/>
                <w:sz w:val="28"/>
                <w:szCs w:val="21"/>
              </w:rPr>
              <w:t>患者器官损伤、病情加重。</w:t>
            </w:r>
          </w:p>
        </w:tc>
      </w:tr>
      <w:tr w14:paraId="2595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tcPr>
          <w:p w14:paraId="22A70E81">
            <w:pPr>
              <w:spacing w:line="520" w:lineRule="exact"/>
              <w:rPr>
                <w:rFonts w:hint="eastAsia" w:ascii="宋体" w:hAnsi="宋体"/>
                <w:sz w:val="28"/>
                <w:szCs w:val="21"/>
              </w:rPr>
            </w:pPr>
            <w:r>
              <w:rPr>
                <w:rFonts w:hint="eastAsia" w:ascii="宋体" w:hAnsi="宋体"/>
                <w:sz w:val="28"/>
                <w:szCs w:val="21"/>
              </w:rPr>
              <w:t>功能的丧失或损坏（运动连杆开焊、损坏、电动推杆损坏）</w:t>
            </w:r>
          </w:p>
        </w:tc>
        <w:tc>
          <w:tcPr>
            <w:tcW w:w="3076" w:type="dxa"/>
          </w:tcPr>
          <w:p w14:paraId="682E6EBC">
            <w:pPr>
              <w:spacing w:line="520" w:lineRule="exact"/>
              <w:rPr>
                <w:rFonts w:hint="eastAsia" w:ascii="宋体" w:hAnsi="宋体"/>
                <w:sz w:val="28"/>
                <w:szCs w:val="21"/>
              </w:rPr>
            </w:pPr>
            <w:r>
              <w:rPr>
                <w:rFonts w:hint="eastAsia" w:ascii="宋体" w:hAnsi="宋体"/>
                <w:sz w:val="28"/>
                <w:szCs w:val="21"/>
              </w:rPr>
              <w:t>（1）运动部件长期使用的磨损；</w:t>
            </w:r>
          </w:p>
          <w:p w14:paraId="228A2E46">
            <w:pPr>
              <w:spacing w:line="520" w:lineRule="exact"/>
              <w:rPr>
                <w:rFonts w:hint="eastAsia" w:ascii="宋体" w:hAnsi="宋体"/>
                <w:sz w:val="28"/>
                <w:szCs w:val="21"/>
              </w:rPr>
            </w:pPr>
            <w:r>
              <w:rPr>
                <w:rFonts w:hint="eastAsia" w:ascii="宋体" w:hAnsi="宋体"/>
                <w:sz w:val="28"/>
                <w:szCs w:val="21"/>
              </w:rPr>
              <w:t>（2）制造时不合格。</w:t>
            </w:r>
          </w:p>
        </w:tc>
        <w:tc>
          <w:tcPr>
            <w:tcW w:w="2864" w:type="dxa"/>
          </w:tcPr>
          <w:p w14:paraId="08F636C1">
            <w:pPr>
              <w:spacing w:line="520" w:lineRule="exact"/>
              <w:rPr>
                <w:rFonts w:hint="eastAsia" w:ascii="宋体" w:hAnsi="宋体"/>
                <w:sz w:val="28"/>
                <w:szCs w:val="21"/>
              </w:rPr>
            </w:pPr>
            <w:r>
              <w:rPr>
                <w:rFonts w:hint="eastAsia" w:ascii="宋体" w:hAnsi="宋体"/>
                <w:sz w:val="28"/>
                <w:szCs w:val="21"/>
              </w:rPr>
              <w:t>病床的各部件突然移动。</w:t>
            </w:r>
          </w:p>
        </w:tc>
        <w:tc>
          <w:tcPr>
            <w:tcW w:w="1980" w:type="dxa"/>
          </w:tcPr>
          <w:p w14:paraId="323016E4">
            <w:pPr>
              <w:spacing w:line="520" w:lineRule="exact"/>
              <w:rPr>
                <w:rFonts w:hint="eastAsia" w:ascii="宋体" w:hAnsi="宋体"/>
                <w:sz w:val="28"/>
                <w:szCs w:val="21"/>
              </w:rPr>
            </w:pPr>
            <w:r>
              <w:rPr>
                <w:rFonts w:hint="eastAsia" w:ascii="宋体" w:hAnsi="宋体"/>
                <w:sz w:val="28"/>
                <w:szCs w:val="21"/>
              </w:rPr>
              <w:t>患者器官受损、病情加重、死亡。</w:t>
            </w:r>
          </w:p>
        </w:tc>
      </w:tr>
      <w:tr w14:paraId="437A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tcPr>
          <w:p w14:paraId="2F081A77">
            <w:pPr>
              <w:spacing w:line="520" w:lineRule="exact"/>
              <w:rPr>
                <w:rFonts w:hint="eastAsia" w:ascii="宋体" w:hAnsi="宋体"/>
                <w:sz w:val="28"/>
                <w:szCs w:val="21"/>
              </w:rPr>
            </w:pPr>
            <w:r>
              <w:rPr>
                <w:rFonts w:hint="eastAsia" w:ascii="宋体" w:hAnsi="宋体"/>
                <w:sz w:val="28"/>
                <w:szCs w:val="21"/>
              </w:rPr>
              <w:t>操作（控制器误操作）</w:t>
            </w:r>
          </w:p>
        </w:tc>
        <w:tc>
          <w:tcPr>
            <w:tcW w:w="3076" w:type="dxa"/>
          </w:tcPr>
          <w:p w14:paraId="11FC37B1">
            <w:pPr>
              <w:spacing w:line="520" w:lineRule="exact"/>
              <w:rPr>
                <w:rFonts w:hint="eastAsia" w:ascii="宋体" w:hAnsi="宋体"/>
                <w:sz w:val="28"/>
                <w:szCs w:val="21"/>
              </w:rPr>
            </w:pPr>
            <w:r>
              <w:rPr>
                <w:rFonts w:hint="eastAsia" w:ascii="宋体" w:hAnsi="宋体"/>
                <w:sz w:val="28"/>
                <w:szCs w:val="21"/>
              </w:rPr>
              <w:t>（1）未放置在指定位置；</w:t>
            </w:r>
          </w:p>
          <w:p w14:paraId="28F86DAF">
            <w:pPr>
              <w:spacing w:line="520" w:lineRule="exact"/>
              <w:rPr>
                <w:rFonts w:hint="eastAsia" w:ascii="宋体" w:hAnsi="宋体"/>
                <w:sz w:val="28"/>
                <w:szCs w:val="21"/>
              </w:rPr>
            </w:pPr>
            <w:r>
              <w:rPr>
                <w:rFonts w:hint="eastAsia" w:ascii="宋体" w:hAnsi="宋体"/>
                <w:sz w:val="28"/>
                <w:szCs w:val="21"/>
              </w:rPr>
              <w:t>（2）误接触功能键。</w:t>
            </w:r>
          </w:p>
        </w:tc>
        <w:tc>
          <w:tcPr>
            <w:tcW w:w="2864" w:type="dxa"/>
          </w:tcPr>
          <w:p w14:paraId="67AEB8F9">
            <w:pPr>
              <w:spacing w:line="520" w:lineRule="exact"/>
              <w:rPr>
                <w:rFonts w:hint="eastAsia" w:ascii="宋体" w:hAnsi="宋体"/>
                <w:sz w:val="28"/>
                <w:szCs w:val="21"/>
              </w:rPr>
            </w:pPr>
            <w:r>
              <w:rPr>
                <w:rFonts w:hint="eastAsia" w:ascii="宋体" w:hAnsi="宋体"/>
                <w:sz w:val="28"/>
                <w:szCs w:val="21"/>
              </w:rPr>
              <w:t>电动病床活动部分意外运动。</w:t>
            </w:r>
          </w:p>
        </w:tc>
        <w:tc>
          <w:tcPr>
            <w:tcW w:w="1980" w:type="dxa"/>
          </w:tcPr>
          <w:p w14:paraId="31E7A5A0">
            <w:pPr>
              <w:spacing w:line="520" w:lineRule="exact"/>
              <w:rPr>
                <w:rFonts w:hint="eastAsia" w:ascii="宋体" w:hAnsi="宋体"/>
                <w:sz w:val="28"/>
                <w:szCs w:val="21"/>
              </w:rPr>
            </w:pPr>
            <w:r>
              <w:rPr>
                <w:rFonts w:hint="eastAsia" w:ascii="宋体" w:hAnsi="宋体"/>
                <w:sz w:val="28"/>
                <w:szCs w:val="21"/>
              </w:rPr>
              <w:t>患者摔伤、器官受损、病情加重、死亡。</w:t>
            </w:r>
          </w:p>
        </w:tc>
      </w:tr>
      <w:tr w14:paraId="08C50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0" w:type="dxa"/>
          </w:tcPr>
          <w:p w14:paraId="42052DFF">
            <w:pPr>
              <w:spacing w:line="520" w:lineRule="exact"/>
              <w:rPr>
                <w:rFonts w:hint="eastAsia" w:ascii="宋体" w:hAnsi="宋体"/>
                <w:sz w:val="28"/>
                <w:szCs w:val="21"/>
              </w:rPr>
            </w:pPr>
            <w:r>
              <w:rPr>
                <w:rFonts w:hint="eastAsia" w:ascii="宋体" w:hAnsi="宋体"/>
                <w:sz w:val="28"/>
                <w:szCs w:val="21"/>
              </w:rPr>
              <w:t>不完整的使用说明书（附件安装）</w:t>
            </w:r>
          </w:p>
        </w:tc>
        <w:tc>
          <w:tcPr>
            <w:tcW w:w="3076" w:type="dxa"/>
          </w:tcPr>
          <w:p w14:paraId="6C450DA3">
            <w:pPr>
              <w:spacing w:line="520" w:lineRule="exact"/>
              <w:rPr>
                <w:rFonts w:hint="eastAsia" w:ascii="宋体" w:hAnsi="宋体"/>
                <w:sz w:val="28"/>
                <w:szCs w:val="21"/>
              </w:rPr>
            </w:pPr>
            <w:r>
              <w:rPr>
                <w:rFonts w:hint="eastAsia" w:ascii="宋体" w:hAnsi="宋体"/>
                <w:sz w:val="28"/>
                <w:szCs w:val="21"/>
              </w:rPr>
              <w:t>（1）使用说明书未对部件/配件做出说明；</w:t>
            </w:r>
          </w:p>
          <w:p w14:paraId="57071B85">
            <w:pPr>
              <w:spacing w:line="520" w:lineRule="exact"/>
              <w:rPr>
                <w:rFonts w:hint="eastAsia" w:ascii="宋体" w:hAnsi="宋体"/>
                <w:sz w:val="28"/>
                <w:szCs w:val="21"/>
              </w:rPr>
            </w:pPr>
            <w:r>
              <w:rPr>
                <w:rFonts w:hint="eastAsia" w:ascii="宋体" w:hAnsi="宋体"/>
                <w:sz w:val="28"/>
                <w:szCs w:val="21"/>
              </w:rPr>
              <w:t>（2）使用说明书未对部件安装做出说明；</w:t>
            </w:r>
          </w:p>
          <w:p w14:paraId="6FB6FB35">
            <w:pPr>
              <w:spacing w:line="520" w:lineRule="exact"/>
              <w:rPr>
                <w:rFonts w:hint="eastAsia" w:ascii="宋体" w:hAnsi="宋体"/>
                <w:sz w:val="28"/>
                <w:szCs w:val="21"/>
              </w:rPr>
            </w:pPr>
            <w:r>
              <w:rPr>
                <w:rFonts w:hint="eastAsia" w:ascii="宋体" w:hAnsi="宋体"/>
                <w:sz w:val="28"/>
                <w:szCs w:val="21"/>
              </w:rPr>
              <w:t>（3）使用说明书未对部件承载能力做出说明；</w:t>
            </w:r>
          </w:p>
          <w:p w14:paraId="66275BD8">
            <w:pPr>
              <w:spacing w:line="520" w:lineRule="exact"/>
              <w:rPr>
                <w:rFonts w:hint="eastAsia" w:ascii="宋体" w:hAnsi="宋体"/>
                <w:sz w:val="28"/>
                <w:szCs w:val="21"/>
              </w:rPr>
            </w:pPr>
            <w:r>
              <w:rPr>
                <w:rFonts w:hint="eastAsia" w:ascii="宋体" w:hAnsi="宋体"/>
                <w:sz w:val="28"/>
                <w:szCs w:val="21"/>
              </w:rPr>
              <w:t>（4）错误的部件安装。</w:t>
            </w:r>
          </w:p>
        </w:tc>
        <w:tc>
          <w:tcPr>
            <w:tcW w:w="2864" w:type="dxa"/>
          </w:tcPr>
          <w:p w14:paraId="4B7C6A04">
            <w:pPr>
              <w:spacing w:line="520" w:lineRule="exact"/>
              <w:rPr>
                <w:rFonts w:hint="eastAsia" w:ascii="宋体" w:hAnsi="宋体"/>
                <w:sz w:val="28"/>
                <w:szCs w:val="21"/>
              </w:rPr>
            </w:pPr>
            <w:r>
              <w:rPr>
                <w:rFonts w:hint="eastAsia" w:ascii="宋体" w:hAnsi="宋体"/>
                <w:sz w:val="28"/>
                <w:szCs w:val="21"/>
              </w:rPr>
              <w:t>部件松动、不能实现正确的体位、支撑部分断裂。</w:t>
            </w:r>
          </w:p>
        </w:tc>
        <w:tc>
          <w:tcPr>
            <w:tcW w:w="1980" w:type="dxa"/>
          </w:tcPr>
          <w:p w14:paraId="6385DE90">
            <w:pPr>
              <w:spacing w:line="520" w:lineRule="exact"/>
              <w:rPr>
                <w:rFonts w:hint="eastAsia" w:ascii="宋体" w:hAnsi="宋体"/>
                <w:sz w:val="28"/>
                <w:szCs w:val="21"/>
              </w:rPr>
            </w:pPr>
            <w:r>
              <w:rPr>
                <w:rFonts w:hint="eastAsia" w:ascii="宋体" w:hAnsi="宋体"/>
                <w:sz w:val="28"/>
                <w:szCs w:val="21"/>
              </w:rPr>
              <w:t>器官受损、病情加重、死亡。</w:t>
            </w:r>
          </w:p>
        </w:tc>
      </w:tr>
    </w:tbl>
    <w:p w14:paraId="20129939">
      <w:pPr>
        <w:pStyle w:val="26"/>
        <w:spacing w:line="600" w:lineRule="exact"/>
        <w:ind w:firstLine="640"/>
        <w:rPr>
          <w:rFonts w:eastAsia="仿宋_GB2312"/>
        </w:rPr>
      </w:pPr>
      <w:r>
        <w:rPr>
          <w:rFonts w:eastAsia="仿宋_GB2312"/>
        </w:rPr>
        <w:t>表2、表3依据YY/T 0316-2008《医疗器械 风险管理对医疗器械的应用》的附录E 提示性列举了电动病床可能存在危害的初始事件和环境，示例性地给出了危害、可预见的事件序列、危害处境和可发生的损害之间的关系，给审查人员予以提示、参考。</w:t>
      </w:r>
    </w:p>
    <w:p w14:paraId="7148835E">
      <w:pPr>
        <w:pStyle w:val="26"/>
        <w:spacing w:line="600" w:lineRule="exact"/>
        <w:ind w:firstLine="640"/>
        <w:rPr>
          <w:rFonts w:eastAsia="仿宋_GB2312"/>
        </w:rPr>
      </w:pPr>
      <w:r>
        <w:rPr>
          <w:rFonts w:eastAsia="仿宋_GB2312"/>
        </w:rPr>
        <w:t>由于电动病床的原理、功能和结构的差异，本章给出的风险要素及其示例是常见的而不是全部的。上述部分只是风险管理过程的组成部分，不是风险管理的全部。注册申请人应按照YY/T 0316-2008《医疗器械 风险管理对医疗器械的应用》中规定的过程和方法，在产品整个生命周期内建立、形成文件和保持一个持续的过程，用以判定与医疗器械有关的危害、估计和评价相关的风险、控制这些风险并监视上述控制的有效性，以充分保证产品的安全和有效。</w:t>
      </w:r>
    </w:p>
    <w:p w14:paraId="50C6556F">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（八）产品的技术要求应包括的主要技术指标</w:t>
      </w:r>
    </w:p>
    <w:p w14:paraId="3F01AF0C">
      <w:pPr>
        <w:pStyle w:val="26"/>
        <w:spacing w:line="600" w:lineRule="exact"/>
        <w:ind w:firstLine="640"/>
        <w:rPr>
          <w:rFonts w:eastAsia="仿宋_GB2312"/>
        </w:rPr>
      </w:pPr>
      <w:r>
        <w:rPr>
          <w:rFonts w:eastAsia="仿宋_GB2312"/>
        </w:rPr>
        <w:t>电动病床主要技术指标应包括基本尺寸、性能指标和安全指标三部分。本条款列举的基本技术指标为典型电动病床和配件指标，注册申请人应参考相应的国家标准、行业标准，并结合临床需求、自身产品的技术特点对各项指标的具体参数做出规定。</w:t>
      </w:r>
    </w:p>
    <w:p w14:paraId="1A7A9D78">
      <w:pPr>
        <w:pStyle w:val="26"/>
        <w:spacing w:line="600" w:lineRule="exact"/>
        <w:ind w:firstLine="640"/>
        <w:rPr>
          <w:rFonts w:eastAsia="仿宋_GB2312"/>
        </w:rPr>
      </w:pPr>
      <w:r>
        <w:rPr>
          <w:rFonts w:eastAsia="仿宋_GB2312"/>
        </w:rPr>
        <w:t>1.基本尺寸</w:t>
      </w:r>
    </w:p>
    <w:p w14:paraId="6DD14077">
      <w:pPr>
        <w:pStyle w:val="26"/>
        <w:spacing w:line="600" w:lineRule="exact"/>
        <w:ind w:firstLine="640"/>
        <w:rPr>
          <w:rFonts w:eastAsia="仿宋_GB2312"/>
        </w:rPr>
      </w:pPr>
      <w:r>
        <w:rPr>
          <w:rFonts w:eastAsia="仿宋_GB2312"/>
        </w:rPr>
        <w:t>床体：床体长度、床体宽度（最外缘）、整体高度（最低位置，含床垫/不含床垫）。</w:t>
      </w:r>
    </w:p>
    <w:p w14:paraId="175EBB31">
      <w:pPr>
        <w:pStyle w:val="26"/>
        <w:spacing w:line="600" w:lineRule="exact"/>
        <w:ind w:firstLine="640"/>
        <w:rPr>
          <w:rFonts w:eastAsia="仿宋_GB2312"/>
        </w:rPr>
      </w:pPr>
      <w:r>
        <w:rPr>
          <w:rFonts w:eastAsia="仿宋_GB2312"/>
        </w:rPr>
        <w:t>床面：床面长度、床面宽度。</w:t>
      </w:r>
    </w:p>
    <w:p w14:paraId="2F722D34">
      <w:pPr>
        <w:pStyle w:val="26"/>
        <w:spacing w:line="600" w:lineRule="exact"/>
        <w:ind w:firstLine="640"/>
        <w:rPr>
          <w:rFonts w:eastAsia="仿宋_GB2312"/>
        </w:rPr>
      </w:pPr>
      <w:r>
        <w:rPr>
          <w:rFonts w:eastAsia="仿宋_GB2312"/>
        </w:rPr>
        <w:t>配件：配件的关键几何尺寸（长、宽、高、直径、角度）。</w:t>
      </w:r>
    </w:p>
    <w:p w14:paraId="2D20DC9E">
      <w:pPr>
        <w:pStyle w:val="26"/>
        <w:spacing w:line="600" w:lineRule="exact"/>
        <w:ind w:firstLine="640"/>
        <w:rPr>
          <w:rFonts w:eastAsia="仿宋_GB2312"/>
        </w:rPr>
      </w:pPr>
      <w:r>
        <w:rPr>
          <w:rFonts w:eastAsia="仿宋_GB2312"/>
        </w:rPr>
        <w:t>2.性能指标</w:t>
      </w:r>
    </w:p>
    <w:p w14:paraId="5C561290">
      <w:pPr>
        <w:pStyle w:val="26"/>
        <w:spacing w:line="600" w:lineRule="exact"/>
        <w:ind w:firstLine="640"/>
        <w:rPr>
          <w:rFonts w:eastAsia="仿宋_GB2312"/>
        </w:rPr>
      </w:pPr>
      <w:r>
        <w:rPr>
          <w:rFonts w:eastAsia="仿宋_GB2312"/>
        </w:rPr>
        <w:t>床体：</w:t>
      </w:r>
    </w:p>
    <w:p w14:paraId="16F02B97">
      <w:pPr>
        <w:pStyle w:val="26"/>
        <w:spacing w:line="600" w:lineRule="exact"/>
        <w:ind w:firstLine="640"/>
        <w:rPr>
          <w:rFonts w:eastAsia="仿宋_GB2312"/>
        </w:rPr>
      </w:pPr>
      <w:r>
        <w:rPr>
          <w:rFonts w:eastAsia="仿宋_GB2312"/>
        </w:rPr>
        <w:t>2.1 运行参数一般包含床体升降行程、床体纵向倾斜、床体横向倾斜、背板折转角度、腿板折转角度、脚板折转角度、床面纵向平移等。</w:t>
      </w:r>
    </w:p>
    <w:p w14:paraId="3A94CD0B">
      <w:pPr>
        <w:pStyle w:val="26"/>
        <w:spacing w:line="600" w:lineRule="exact"/>
        <w:ind w:firstLine="640"/>
        <w:rPr>
          <w:rFonts w:eastAsia="仿宋_GB2312"/>
        </w:rPr>
      </w:pPr>
      <w:r>
        <w:rPr>
          <w:rFonts w:eastAsia="仿宋_GB2312"/>
        </w:rPr>
        <w:t>2.2 最大安全载荷。</w:t>
      </w:r>
    </w:p>
    <w:p w14:paraId="22A17315">
      <w:pPr>
        <w:pStyle w:val="26"/>
        <w:spacing w:line="600" w:lineRule="exact"/>
        <w:ind w:firstLine="640"/>
        <w:rPr>
          <w:rFonts w:eastAsia="仿宋_GB2312"/>
        </w:rPr>
      </w:pPr>
      <w:r>
        <w:rPr>
          <w:rFonts w:eastAsia="仿宋_GB2312"/>
        </w:rPr>
        <w:t>2.3 动作平稳性。</w:t>
      </w:r>
    </w:p>
    <w:p w14:paraId="7E8A1963">
      <w:pPr>
        <w:pStyle w:val="26"/>
        <w:spacing w:line="600" w:lineRule="exact"/>
        <w:ind w:firstLine="640"/>
        <w:rPr>
          <w:rFonts w:eastAsia="仿宋_GB2312"/>
        </w:rPr>
      </w:pPr>
      <w:r>
        <w:rPr>
          <w:rFonts w:eastAsia="仿宋_GB2312"/>
        </w:rPr>
        <w:t>2.4 床体的移动和锁定。</w:t>
      </w:r>
    </w:p>
    <w:p w14:paraId="08570F44">
      <w:pPr>
        <w:pStyle w:val="26"/>
        <w:spacing w:line="600" w:lineRule="exact"/>
        <w:ind w:firstLine="640"/>
        <w:rPr>
          <w:rFonts w:eastAsia="仿宋_GB2312"/>
        </w:rPr>
      </w:pPr>
      <w:r>
        <w:rPr>
          <w:rFonts w:eastAsia="仿宋_GB2312"/>
        </w:rPr>
        <w:t>2.5  X射线透过性（若适用）。</w:t>
      </w:r>
    </w:p>
    <w:p w14:paraId="10BFEAB8">
      <w:pPr>
        <w:pStyle w:val="26"/>
        <w:spacing w:line="600" w:lineRule="exact"/>
        <w:ind w:firstLine="640"/>
        <w:rPr>
          <w:rFonts w:eastAsia="仿宋_GB2312"/>
        </w:rPr>
      </w:pPr>
      <w:r>
        <w:rPr>
          <w:rFonts w:eastAsia="仿宋_GB2312"/>
        </w:rPr>
        <w:t>2.6 外观。</w:t>
      </w:r>
    </w:p>
    <w:p w14:paraId="12B01B35">
      <w:pPr>
        <w:pStyle w:val="26"/>
        <w:spacing w:line="600" w:lineRule="exact"/>
        <w:ind w:firstLine="640"/>
        <w:rPr>
          <w:rFonts w:eastAsia="仿宋_GB2312"/>
        </w:rPr>
      </w:pPr>
      <w:r>
        <w:rPr>
          <w:rFonts w:eastAsia="仿宋_GB2312"/>
        </w:rPr>
        <w:t>2.7 液压和/或气压系统的渗露（若适用）</w:t>
      </w:r>
    </w:p>
    <w:p w14:paraId="171042B9">
      <w:pPr>
        <w:pStyle w:val="26"/>
        <w:spacing w:line="600" w:lineRule="exact"/>
        <w:ind w:firstLine="640"/>
        <w:rPr>
          <w:rFonts w:eastAsia="仿宋_GB2312"/>
        </w:rPr>
      </w:pPr>
      <w:r>
        <w:rPr>
          <w:rFonts w:eastAsia="仿宋_GB2312"/>
        </w:rPr>
        <w:t>配件：根据不同配件的具体情况做出相应要求，如：输液架的调整范围等。</w:t>
      </w:r>
    </w:p>
    <w:p w14:paraId="7ABF2D74">
      <w:pPr>
        <w:pStyle w:val="26"/>
        <w:spacing w:line="600" w:lineRule="exact"/>
        <w:ind w:firstLine="640"/>
        <w:rPr>
          <w:rFonts w:eastAsia="仿宋_GB2312"/>
        </w:rPr>
      </w:pPr>
      <w:r>
        <w:rPr>
          <w:rFonts w:eastAsia="仿宋_GB2312"/>
        </w:rPr>
        <w:t>3.环境条件</w:t>
      </w:r>
    </w:p>
    <w:p w14:paraId="5770B0EF">
      <w:pPr>
        <w:pStyle w:val="26"/>
        <w:spacing w:line="600" w:lineRule="exact"/>
        <w:ind w:firstLine="640"/>
        <w:rPr>
          <w:rFonts w:eastAsia="仿宋_GB2312"/>
        </w:rPr>
      </w:pPr>
      <w:r>
        <w:rPr>
          <w:rFonts w:eastAsia="仿宋_GB2312"/>
        </w:rPr>
        <w:t>按GB/T 14710-2009的规定进行试验后，电动病床的所有性能应符合要求。</w:t>
      </w:r>
    </w:p>
    <w:p w14:paraId="732FE086">
      <w:pPr>
        <w:pStyle w:val="26"/>
        <w:spacing w:line="600" w:lineRule="exact"/>
        <w:ind w:firstLine="640"/>
        <w:rPr>
          <w:rFonts w:eastAsia="仿宋_GB2312"/>
        </w:rPr>
      </w:pPr>
      <w:r>
        <w:rPr>
          <w:rFonts w:eastAsia="仿宋_GB2312"/>
        </w:rPr>
        <w:t>4.安全指标</w:t>
      </w:r>
    </w:p>
    <w:p w14:paraId="19B63233">
      <w:pPr>
        <w:pStyle w:val="26"/>
        <w:spacing w:line="600" w:lineRule="exact"/>
        <w:ind w:firstLine="640"/>
        <w:rPr>
          <w:rFonts w:eastAsia="仿宋_GB2312"/>
        </w:rPr>
      </w:pPr>
      <w:r>
        <w:rPr>
          <w:rFonts w:eastAsia="仿宋_GB2312"/>
        </w:rPr>
        <w:t>电动</w:t>
      </w:r>
      <w:r>
        <w:rPr>
          <w:rFonts w:eastAsia="仿宋_GB2312"/>
          <w:spacing w:val="6"/>
        </w:rPr>
        <w:t>病床的安全要求应满足GB 9706.1-2007《医用电气设备 第1部分：安全通用要求》、YY 0505-2012《医用电气设备 第</w:t>
      </w:r>
      <w:r>
        <w:rPr>
          <w:rFonts w:eastAsia="仿宋_GB2312"/>
        </w:rPr>
        <w:t>1</w:t>
      </w:r>
      <w:r>
        <w:rPr>
          <w:rFonts w:hint="eastAsia" w:eastAsia="仿宋_GB2312"/>
        </w:rPr>
        <w:t>—</w:t>
      </w:r>
      <w:r>
        <w:rPr>
          <w:rFonts w:eastAsia="仿宋_GB2312"/>
        </w:rPr>
        <w:t>2部分：安全通用要求-并列标准：电磁兼容-要求和试验》和YY 0571-2013《医用电气设备 第2部分 医院电动床安全专用要求》的要求。</w:t>
      </w:r>
    </w:p>
    <w:p w14:paraId="18C6E33F">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（九）同一注册单元中典型产品的确定原则和实例</w:t>
      </w:r>
    </w:p>
    <w:p w14:paraId="6F67FDCA">
      <w:pPr>
        <w:pStyle w:val="26"/>
        <w:spacing w:line="600" w:lineRule="exact"/>
        <w:ind w:firstLine="640"/>
        <w:rPr>
          <w:rFonts w:eastAsia="仿宋_GB2312"/>
        </w:rPr>
      </w:pPr>
      <w:r>
        <w:rPr>
          <w:rFonts w:eastAsia="仿宋_GB2312"/>
        </w:rPr>
        <w:t>1.典型产品应是同一注册单元内能够代表本单元内其它产品安全性和有效性的产品。</w:t>
      </w:r>
    </w:p>
    <w:p w14:paraId="41A8015E">
      <w:pPr>
        <w:pStyle w:val="26"/>
        <w:spacing w:line="600" w:lineRule="exact"/>
        <w:ind w:firstLine="640"/>
        <w:rPr>
          <w:rFonts w:eastAsia="仿宋_GB2312"/>
        </w:rPr>
      </w:pPr>
      <w:r>
        <w:rPr>
          <w:rFonts w:eastAsia="仿宋_GB2312"/>
        </w:rPr>
        <w:t>2.应考虑功能最齐全、结构最复杂、风险最高的产品。</w:t>
      </w:r>
    </w:p>
    <w:p w14:paraId="14627BCC">
      <w:pPr>
        <w:pStyle w:val="26"/>
        <w:spacing w:line="600" w:lineRule="exact"/>
        <w:ind w:firstLine="640"/>
        <w:rPr>
          <w:rFonts w:eastAsia="仿宋_GB2312"/>
        </w:rPr>
      </w:pPr>
      <w:r>
        <w:rPr>
          <w:rFonts w:eastAsia="仿宋_GB2312"/>
        </w:rPr>
        <w:t>3.注册单元内各种产品的主要安全指标、性能指标不能被某一产品全部涵盖时，则应选择涵盖安全指标、性能指标最多的产品作为典型产品，同时还应考虑其它产品中未被典型产品所涵盖的安全指标及性能指标。</w:t>
      </w:r>
    </w:p>
    <w:p w14:paraId="00EEDA77">
      <w:pPr>
        <w:pStyle w:val="26"/>
        <w:spacing w:line="600" w:lineRule="exact"/>
        <w:ind w:firstLine="640"/>
        <w:rPr>
          <w:rFonts w:eastAsia="仿宋_GB2312"/>
        </w:rPr>
      </w:pPr>
      <w:r>
        <w:rPr>
          <w:rFonts w:eastAsia="仿宋_GB2312"/>
        </w:rPr>
        <w:t>4.例如：同一注册单元的两个型号产品结构完全相同，性能指标中仅有X射线透过要求不同时，应选择采用能透过X射线材料制成的台面的型号作为典型产品。</w:t>
      </w:r>
    </w:p>
    <w:p w14:paraId="683F942D">
      <w:pPr>
        <w:pStyle w:val="26"/>
        <w:spacing w:line="600" w:lineRule="exact"/>
        <w:ind w:firstLine="640"/>
        <w:rPr>
          <w:rFonts w:eastAsia="仿宋_GB2312"/>
        </w:rPr>
      </w:pPr>
      <w:r>
        <w:rPr>
          <w:rFonts w:eastAsia="仿宋_GB2312"/>
        </w:rPr>
        <w:t>5.当没有充足证据能够证明同一注册单元内不同型号规格产品之间电磁兼容性能可以覆盖时，应选取每一型号规格产品进行电磁兼容项目检测。</w:t>
      </w:r>
    </w:p>
    <w:p w14:paraId="1193C418">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（十）产品生产制造相关要求</w:t>
      </w:r>
    </w:p>
    <w:p w14:paraId="094D0693">
      <w:pPr>
        <w:pStyle w:val="26"/>
        <w:spacing w:line="600" w:lineRule="exact"/>
        <w:ind w:firstLine="640"/>
        <w:rPr>
          <w:rFonts w:eastAsia="仿宋_GB2312"/>
        </w:rPr>
      </w:pPr>
      <w:r>
        <w:rPr>
          <w:rFonts w:eastAsia="仿宋_GB2312"/>
        </w:rPr>
        <w:t>电动病床在制造过程中，原材料的选择和采购对产品的性能有直接影响，注册申请人对合格供方的资质应重点审查，在进货检验过程中对原材料的材质单认真审查是否符合采购要求。对床架焊接和组装的过程检验应重点对应影响病床性能的项目进行检验（如：焊接质量、牢靠性等）。</w:t>
      </w:r>
    </w:p>
    <w:p w14:paraId="2E1931FB">
      <w:pPr>
        <w:pStyle w:val="26"/>
        <w:spacing w:line="600" w:lineRule="exact"/>
        <w:ind w:firstLine="640"/>
        <w:rPr>
          <w:rFonts w:eastAsia="仿宋_GB2312"/>
          <w:sz w:val="28"/>
        </w:rPr>
      </w:pPr>
      <w:r>
        <w:rPr>
          <w:rFonts w:eastAsia="仿宋_GB2312"/>
        </w:rPr>
        <w:t>注册申请人应根据申报产品的实际情况，以流程图的形式对生产工艺过程进行详细描述，并根据流程图逐一描述其中的过程控制点。对关键工序和特殊工艺应在作业指导书中详细描述生产操作的步骤、方法、注意事项。作业指导书描述应明确不得使生产制造人员产生歧义。关键工序检验应由经过相关培训的有一定经验的检验人员负责。以下是电动病床产品工艺流程举例说明，注册申请人应根据生产情况制定适合本企业的生产工艺流程图：</w:t>
      </w:r>
    </w:p>
    <w:p w14:paraId="6133E015">
      <w:pPr>
        <w:spacing w:line="520" w:lineRule="exact"/>
        <w:ind w:firstLine="640" w:firstLineChars="200"/>
        <w:rPr>
          <w:rFonts w:hint="eastAsia" w:ascii="仿宋_GB2312" w:hAnsi="宋体" w:eastAsia="仿宋_GB2312" w:cs="仿宋_GB2312"/>
          <w:sz w:val="28"/>
          <w:szCs w:val="28"/>
        </w:rPr>
      </w:pPr>
      <w:r>
        <w:rPr>
          <w:rFonts w:hint="eastAsia" w:eastAsia="仿宋_GB2312"/>
          <w:sz w:val="32"/>
          <w:szCs w:val="32"/>
          <w:lang w:val="en-US" w:eastAsia="zh-CN"/>
        </w:rPr>
        <w:pict>
          <v:shape id="对象 626" o:spid="_x0000_s1059" o:spt="75" type="#_x0000_t75" style="position:absolute;left:0pt;margin-left:-16.6pt;margin-top:15.3pt;height:339.8pt;width:425.7pt;mso-wrap-distance-bottom:0pt;mso-wrap-distance-left:9pt;mso-wrap-distance-right:9pt;mso-wrap-distance-top:0pt;z-index:251667456;mso-width-relative:page;mso-height-relative:page;" o:ole="t" filled="f" o:preferrelative="t" stroked="f" coordsize="21600,21600">
            <v:path/>
            <v:fill on="f" focussize="0,0"/>
            <v:stroke on="f" joinstyle="miter"/>
            <v:imagedata r:id="rId17" o:title=""/>
            <o:lock v:ext="edit" aspectratio="t"/>
            <w10:wrap type="square"/>
          </v:shape>
          <o:OLEObject Type="Embed" ProgID="" ShapeID="对象 626" DrawAspect="Content" ObjectID="_1468075725" r:id="rId16">
            <o:LockedField>false</o:LockedField>
          </o:OLEObject>
        </w:pict>
      </w:r>
    </w:p>
    <w:p w14:paraId="1A75A4EF">
      <w:pPr>
        <w:spacing w:line="560" w:lineRule="exact"/>
        <w:jc w:val="center"/>
        <w:rPr>
          <w:rFonts w:hint="eastAsia" w:eastAsia="仿宋_GB2312"/>
          <w:sz w:val="28"/>
          <w:szCs w:val="28"/>
        </w:rPr>
      </w:pPr>
    </w:p>
    <w:p w14:paraId="1DEA8B74">
      <w:pPr>
        <w:spacing w:line="560" w:lineRule="exact"/>
        <w:jc w:val="center"/>
        <w:rPr>
          <w:rFonts w:hint="eastAsia" w:eastAsia="仿宋_GB2312"/>
          <w:sz w:val="28"/>
          <w:szCs w:val="28"/>
        </w:rPr>
      </w:pPr>
    </w:p>
    <w:p w14:paraId="2D0A78C3">
      <w:pPr>
        <w:spacing w:line="560" w:lineRule="exact"/>
        <w:jc w:val="center"/>
        <w:rPr>
          <w:rFonts w:hint="eastAsia" w:eastAsia="仿宋_GB2312"/>
          <w:sz w:val="28"/>
          <w:szCs w:val="28"/>
        </w:rPr>
      </w:pPr>
    </w:p>
    <w:p w14:paraId="1E6914E8">
      <w:pPr>
        <w:spacing w:line="560" w:lineRule="exact"/>
        <w:jc w:val="center"/>
        <w:rPr>
          <w:rFonts w:hint="eastAsia" w:eastAsia="仿宋_GB2312"/>
          <w:sz w:val="28"/>
          <w:szCs w:val="28"/>
        </w:rPr>
      </w:pPr>
    </w:p>
    <w:p w14:paraId="76250BA4">
      <w:pPr>
        <w:spacing w:line="560" w:lineRule="exact"/>
        <w:jc w:val="center"/>
        <w:rPr>
          <w:rFonts w:hint="eastAsia" w:eastAsia="仿宋_GB2312"/>
          <w:sz w:val="28"/>
          <w:szCs w:val="28"/>
        </w:rPr>
      </w:pPr>
    </w:p>
    <w:p w14:paraId="056895D1">
      <w:pPr>
        <w:spacing w:line="560" w:lineRule="exact"/>
        <w:jc w:val="center"/>
        <w:rPr>
          <w:rFonts w:hint="eastAsia" w:eastAsia="仿宋_GB2312"/>
          <w:sz w:val="28"/>
          <w:szCs w:val="28"/>
        </w:rPr>
      </w:pPr>
    </w:p>
    <w:p w14:paraId="77C44846">
      <w:pPr>
        <w:spacing w:line="560" w:lineRule="exact"/>
        <w:jc w:val="center"/>
        <w:rPr>
          <w:rFonts w:hint="eastAsia" w:eastAsia="仿宋_GB2312"/>
          <w:sz w:val="28"/>
          <w:szCs w:val="28"/>
        </w:rPr>
      </w:pPr>
    </w:p>
    <w:p w14:paraId="7451AADB">
      <w:pPr>
        <w:spacing w:line="560" w:lineRule="exact"/>
        <w:jc w:val="center"/>
        <w:rPr>
          <w:rFonts w:hint="eastAsia" w:eastAsia="仿宋_GB2312"/>
          <w:sz w:val="28"/>
          <w:szCs w:val="28"/>
        </w:rPr>
      </w:pPr>
    </w:p>
    <w:p w14:paraId="640B8144">
      <w:pPr>
        <w:spacing w:line="560" w:lineRule="exact"/>
        <w:jc w:val="center"/>
        <w:rPr>
          <w:rFonts w:hint="eastAsia" w:eastAsia="仿宋_GB2312"/>
          <w:sz w:val="28"/>
          <w:szCs w:val="28"/>
        </w:rPr>
      </w:pPr>
    </w:p>
    <w:p w14:paraId="017B0E98">
      <w:pPr>
        <w:spacing w:line="560" w:lineRule="exact"/>
        <w:jc w:val="center"/>
        <w:rPr>
          <w:rFonts w:hint="eastAsia" w:eastAsia="仿宋_GB2312"/>
          <w:sz w:val="28"/>
          <w:szCs w:val="28"/>
        </w:rPr>
      </w:pPr>
    </w:p>
    <w:p w14:paraId="2DFBBCDF">
      <w:pPr>
        <w:spacing w:line="560" w:lineRule="exact"/>
        <w:jc w:val="center"/>
        <w:rPr>
          <w:rFonts w:hint="eastAsia" w:eastAsia="仿宋_GB2312"/>
          <w:sz w:val="28"/>
          <w:szCs w:val="28"/>
        </w:rPr>
      </w:pPr>
    </w:p>
    <w:p w14:paraId="6D8D9850">
      <w:pPr>
        <w:spacing w:line="560" w:lineRule="exact"/>
        <w:jc w:val="center"/>
        <w:rPr>
          <w:rFonts w:hint="eastAsia" w:eastAsia="仿宋_GB2312"/>
          <w:sz w:val="28"/>
          <w:szCs w:val="28"/>
        </w:rPr>
      </w:pPr>
    </w:p>
    <w:p w14:paraId="0D9DA996">
      <w:pPr>
        <w:spacing w:line="560" w:lineRule="exact"/>
        <w:jc w:val="center"/>
        <w:rPr>
          <w:rFonts w:eastAsia="仿宋_GB2312"/>
          <w:sz w:val="28"/>
          <w:szCs w:val="28"/>
        </w:rPr>
      </w:pPr>
      <w:r>
        <w:rPr>
          <w:rFonts w:eastAsia="仿宋_GB2312"/>
          <w:sz w:val="28"/>
          <w:szCs w:val="28"/>
        </w:rPr>
        <w:t>图3电动病床生产工艺流程图举例</w:t>
      </w:r>
    </w:p>
    <w:p w14:paraId="11A08436">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（十一）产品的临床评价要求</w:t>
      </w:r>
    </w:p>
    <w:p w14:paraId="52A902AB">
      <w:pPr>
        <w:pStyle w:val="26"/>
        <w:spacing w:line="560" w:lineRule="exact"/>
        <w:ind w:firstLine="640"/>
        <w:rPr>
          <w:rFonts w:eastAsia="仿宋_GB2312"/>
        </w:rPr>
      </w:pPr>
      <w:r>
        <w:rPr>
          <w:rFonts w:eastAsia="仿宋_GB2312"/>
        </w:rPr>
        <w:t>申请人应根据《免于进行临床试验的第二类医疗器械目录》及《医疗器械临床评价技术指导原则》的相关要求提交电动病床的临床评价资料。</w:t>
      </w:r>
    </w:p>
    <w:p w14:paraId="6BF1E810">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（十二）该类产品的不良事件历史记录</w:t>
      </w:r>
    </w:p>
    <w:p w14:paraId="6E85070D">
      <w:pPr>
        <w:pStyle w:val="26"/>
        <w:spacing w:line="560" w:lineRule="exact"/>
        <w:ind w:firstLine="640"/>
        <w:rPr>
          <w:rFonts w:eastAsia="仿宋_GB2312"/>
        </w:rPr>
      </w:pPr>
      <w:r>
        <w:rPr>
          <w:rFonts w:eastAsia="仿宋_GB2312"/>
        </w:rPr>
        <w:t>暂未见相关报道。申请人在风险分析时应关注同品种产品的不良事件历史记录。</w:t>
      </w:r>
    </w:p>
    <w:p w14:paraId="2349C781">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（十三）产品说明书和标签要求</w:t>
      </w:r>
    </w:p>
    <w:p w14:paraId="2445FFC9">
      <w:pPr>
        <w:pStyle w:val="26"/>
        <w:spacing w:line="560" w:lineRule="exact"/>
        <w:ind w:firstLine="640"/>
        <w:rPr>
          <w:rFonts w:eastAsia="仿宋_GB2312"/>
        </w:rPr>
      </w:pPr>
      <w:r>
        <w:rPr>
          <w:rFonts w:eastAsia="仿宋_GB2312"/>
        </w:rPr>
        <w:t>1.电动病床说明书的编写应符合《医疗器械说明书和标签管理规定》（国家食品药品监督管理总局令第6号）及相关标准的要求。当不同型号、规格产品分别销售时，应分别编写使用说明书。</w:t>
      </w:r>
    </w:p>
    <w:p w14:paraId="235E6040">
      <w:pPr>
        <w:pStyle w:val="26"/>
        <w:spacing w:line="560" w:lineRule="exact"/>
        <w:ind w:firstLine="640"/>
        <w:rPr>
          <w:rFonts w:eastAsia="仿宋_GB2312"/>
        </w:rPr>
      </w:pPr>
      <w:r>
        <w:rPr>
          <w:rFonts w:eastAsia="仿宋_GB2312"/>
        </w:rPr>
        <w:t>电动病床的说明书中至少还应包含以下内容：</w:t>
      </w:r>
    </w:p>
    <w:p w14:paraId="0F81BD25">
      <w:pPr>
        <w:pStyle w:val="26"/>
        <w:spacing w:line="560" w:lineRule="exact"/>
        <w:ind w:firstLine="640"/>
        <w:rPr>
          <w:rFonts w:eastAsia="仿宋_GB2312"/>
        </w:rPr>
      </w:pPr>
      <w:r>
        <w:rPr>
          <w:rFonts w:eastAsia="仿宋_GB2312"/>
        </w:rPr>
        <w:t>1.1 电动病床的工作条件，特别要提供该设备与其它设备间潜在的电磁干扰或其它干扰的相关信息及有关避免这些干扰的建议。</w:t>
      </w:r>
    </w:p>
    <w:p w14:paraId="627C7ECB">
      <w:pPr>
        <w:pStyle w:val="26"/>
        <w:spacing w:line="560" w:lineRule="exact"/>
        <w:ind w:firstLine="640"/>
        <w:rPr>
          <w:rFonts w:eastAsia="仿宋_GB2312"/>
        </w:rPr>
      </w:pPr>
      <w:r>
        <w:rPr>
          <w:rFonts w:eastAsia="仿宋_GB2312"/>
        </w:rPr>
        <w:t>1.2 安全注意事项：应明确异常情况下的紧急处理措施；特殊情况下（停电、意外移动等）的注意事项；明确电源应可靠接地；可能出现的误操作及误操作可能造成的伤害；如使用其它配件或材料会降低最低安全性，相关的配件或材料是否被说明；对不能保持在完全可用状态的附加电源的警告；安全使用期限；不可与患者或使用者直接接触部分的提示等内容。</w:t>
      </w:r>
    </w:p>
    <w:p w14:paraId="6C1AA3CD">
      <w:pPr>
        <w:pStyle w:val="26"/>
        <w:spacing w:line="560" w:lineRule="exact"/>
        <w:ind w:firstLine="640"/>
        <w:rPr>
          <w:rFonts w:eastAsia="仿宋_GB2312"/>
        </w:rPr>
      </w:pPr>
      <w:r>
        <w:rPr>
          <w:rFonts w:eastAsia="仿宋_GB2312"/>
        </w:rPr>
        <w:t>1.3 产品结构：审查产品的结构及配件是否明确，产品及各配件功能是否明确；产品的性能指标：审查产品性能指标是否被产品技术要求所涵盖，主要性能及参数是否明确，外形尺寸及安装尺寸是否明确等。</w:t>
      </w:r>
    </w:p>
    <w:p w14:paraId="03D4A2D4">
      <w:pPr>
        <w:pStyle w:val="26"/>
        <w:spacing w:line="560" w:lineRule="exact"/>
        <w:ind w:firstLine="640"/>
        <w:rPr>
          <w:rFonts w:eastAsia="仿宋_GB2312"/>
        </w:rPr>
      </w:pPr>
      <w:r>
        <w:rPr>
          <w:rFonts w:eastAsia="仿宋_GB2312"/>
        </w:rPr>
        <w:t>1.4 安装及调试：审查产品安装及调试的负责方是否明确（即是否上门安装调试）；需要用户自行安装部分（如可拆卸配件）的安装、调试方法及其注意事项是否明确；长期停用后的检修等。</w:t>
      </w:r>
    </w:p>
    <w:p w14:paraId="4901F831">
      <w:pPr>
        <w:pStyle w:val="26"/>
        <w:spacing w:line="560" w:lineRule="exact"/>
        <w:ind w:firstLine="640"/>
        <w:rPr>
          <w:rFonts w:eastAsia="仿宋_GB2312"/>
        </w:rPr>
      </w:pPr>
      <w:r>
        <w:rPr>
          <w:rFonts w:eastAsia="仿宋_GB2312"/>
        </w:rPr>
        <w:t>1.5 使用方法：主要审查使用前的检查和准备；运行过程中的操作程序、方法及注意事项；停机方法及注意事项等。</w:t>
      </w:r>
    </w:p>
    <w:p w14:paraId="1A60A641">
      <w:pPr>
        <w:pStyle w:val="26"/>
        <w:spacing w:line="560" w:lineRule="exact"/>
        <w:ind w:firstLine="640"/>
        <w:rPr>
          <w:rFonts w:eastAsia="仿宋_GB2312"/>
        </w:rPr>
      </w:pPr>
      <w:r>
        <w:rPr>
          <w:rFonts w:eastAsia="仿宋_GB2312"/>
        </w:rPr>
        <w:t>1.6 故障的分析与排除：审查可能出现的故障及对故障原因的分析；明确需要生产单位排除的故障和使用者排除的故障；需要使用者排除的故障的排除方法等。</w:t>
      </w:r>
    </w:p>
    <w:p w14:paraId="594DE356">
      <w:pPr>
        <w:pStyle w:val="26"/>
        <w:spacing w:line="560" w:lineRule="exact"/>
        <w:ind w:firstLine="640"/>
        <w:rPr>
          <w:rFonts w:eastAsia="仿宋_GB2312"/>
        </w:rPr>
      </w:pPr>
      <w:r>
        <w:rPr>
          <w:rFonts w:eastAsia="仿宋_GB2312"/>
        </w:rPr>
        <w:t>1.7 保养及维护：审查是否明确了日常保养及维护方法和周期；运行时的保养及维护方法；附加电源的检查、保养、更换周期及方法；检修周期；明确清洁方式（如：表面擦拭、喷淋清洁等）长期停用的保养及维护方法等。</w:t>
      </w:r>
    </w:p>
    <w:p w14:paraId="1ADC5D1D">
      <w:pPr>
        <w:pStyle w:val="26"/>
        <w:spacing w:line="560" w:lineRule="exact"/>
        <w:ind w:firstLine="640"/>
        <w:rPr>
          <w:rFonts w:eastAsia="仿宋_GB2312"/>
        </w:rPr>
      </w:pPr>
      <w:r>
        <w:rPr>
          <w:rFonts w:eastAsia="仿宋_GB2312"/>
        </w:rPr>
        <w:t>1.8 特殊符号的说明：审查操作及控制部件附近和各配件安装孔附近等处所使用的特殊符号，包装标识使用的符号及GB 9706.1-2007《医用电气设备 第1部分：安全通用要求》和YY 0571-2013《医用电气设备 第2部分 医院电动床安全专用要求》中6.1规定的符号等是否予以说明。</w:t>
      </w:r>
    </w:p>
    <w:p w14:paraId="6D7422F6">
      <w:pPr>
        <w:pStyle w:val="26"/>
        <w:spacing w:line="560" w:lineRule="exact"/>
        <w:ind w:firstLine="640"/>
        <w:rPr>
          <w:rFonts w:eastAsia="仿宋_GB2312"/>
        </w:rPr>
      </w:pPr>
      <w:r>
        <w:rPr>
          <w:rFonts w:eastAsia="仿宋_GB2312"/>
        </w:rPr>
        <w:t>1.9 熔断器及其它部件的更换方法（如适用）。</w:t>
      </w:r>
    </w:p>
    <w:p w14:paraId="040BD13A">
      <w:pPr>
        <w:pStyle w:val="26"/>
        <w:spacing w:line="560" w:lineRule="exact"/>
        <w:ind w:firstLine="640"/>
        <w:rPr>
          <w:rFonts w:eastAsia="仿宋_GB2312"/>
        </w:rPr>
      </w:pPr>
      <w:r>
        <w:rPr>
          <w:rFonts w:eastAsia="仿宋_GB2312"/>
        </w:rPr>
        <w:t>1.10 电路图、元器件清单：审查是否明确了可按要求提供需要使用者自行维修部分的电路图、元器件清单、图注、校正细则等所必须的资料。</w:t>
      </w:r>
    </w:p>
    <w:p w14:paraId="0AA4CE3E">
      <w:pPr>
        <w:pStyle w:val="26"/>
        <w:spacing w:line="560" w:lineRule="exact"/>
        <w:ind w:firstLine="640"/>
        <w:rPr>
          <w:rFonts w:eastAsia="仿宋_GB2312"/>
        </w:rPr>
      </w:pPr>
      <w:r>
        <w:rPr>
          <w:rFonts w:eastAsia="仿宋_GB2312"/>
        </w:rPr>
        <w:t>1.11 使用前的清洁方法：制造商应根据其产品情况列出。</w:t>
      </w:r>
    </w:p>
    <w:p w14:paraId="6AE76B04">
      <w:pPr>
        <w:pStyle w:val="26"/>
        <w:spacing w:line="560" w:lineRule="exact"/>
        <w:ind w:firstLine="640"/>
        <w:rPr>
          <w:rFonts w:eastAsia="仿宋_GB2312"/>
        </w:rPr>
      </w:pPr>
      <w:r>
        <w:rPr>
          <w:rFonts w:eastAsia="仿宋_GB2312"/>
        </w:rPr>
        <w:t>1.12 产品结构图、照片、附件及专用工具明细表等。</w:t>
      </w:r>
    </w:p>
    <w:p w14:paraId="1B41A200">
      <w:pPr>
        <w:pStyle w:val="26"/>
        <w:spacing w:line="560" w:lineRule="exact"/>
        <w:ind w:firstLine="640"/>
        <w:rPr>
          <w:rFonts w:eastAsia="仿宋_GB2312"/>
        </w:rPr>
      </w:pPr>
      <w:r>
        <w:rPr>
          <w:rFonts w:eastAsia="仿宋_GB2312"/>
        </w:rPr>
        <w:t>1.13按照YY0505-2012的要求给出符合电磁兼容性方面要求的声明。</w:t>
      </w:r>
    </w:p>
    <w:p w14:paraId="2F51F3B0">
      <w:pPr>
        <w:pStyle w:val="26"/>
        <w:spacing w:line="560" w:lineRule="exact"/>
        <w:ind w:firstLine="640"/>
        <w:rPr>
          <w:rFonts w:eastAsia="仿宋_GB2312"/>
        </w:rPr>
      </w:pPr>
      <w:r>
        <w:rPr>
          <w:rFonts w:eastAsia="仿宋_GB2312"/>
        </w:rPr>
        <w:t>1.14软件发布版本。</w:t>
      </w:r>
    </w:p>
    <w:p w14:paraId="6E90B490">
      <w:pPr>
        <w:pStyle w:val="26"/>
        <w:spacing w:line="560" w:lineRule="exact"/>
        <w:ind w:firstLine="640"/>
        <w:rPr>
          <w:rFonts w:eastAsia="仿宋_GB2312"/>
        </w:rPr>
      </w:pPr>
      <w:r>
        <w:rPr>
          <w:rFonts w:eastAsia="仿宋_GB2312"/>
        </w:rPr>
        <w:t>2.标签</w:t>
      </w:r>
    </w:p>
    <w:p w14:paraId="10EF1912">
      <w:pPr>
        <w:pStyle w:val="26"/>
        <w:spacing w:line="560" w:lineRule="exact"/>
        <w:ind w:firstLine="640"/>
        <w:rPr>
          <w:rFonts w:eastAsia="仿宋_GB2312"/>
        </w:rPr>
      </w:pPr>
      <w:r>
        <w:rPr>
          <w:rFonts w:eastAsia="仿宋_GB2312"/>
        </w:rPr>
        <w:t>产品的标签应符合《医疗器械说明书和标签管理规定》（国家食品药品监督管理总局令第6号）和YY/T 0466.1－2009《医疗器械　用于医疗器械标签、标记和提供信息的符号》等标准的要求。</w:t>
      </w:r>
    </w:p>
    <w:p w14:paraId="74DE38BC">
      <w:pPr>
        <w:pStyle w:val="22"/>
        <w:spacing w:line="600" w:lineRule="exact"/>
        <w:ind w:firstLine="640" w:firstLineChars="200"/>
        <w:rPr>
          <w:rFonts w:ascii="Times New Roman" w:hAnsi="Times New Roman" w:eastAsia="楷体_GB2312" w:cs="Times New Roman"/>
        </w:rPr>
      </w:pPr>
      <w:r>
        <w:rPr>
          <w:rFonts w:ascii="Times New Roman" w:hAnsi="Times New Roman" w:eastAsia="楷体_GB2312" w:cs="Times New Roman"/>
        </w:rPr>
        <w:t>（十四）产品的研究要求</w:t>
      </w:r>
    </w:p>
    <w:p w14:paraId="6CF8220C">
      <w:pPr>
        <w:pStyle w:val="26"/>
        <w:spacing w:line="560" w:lineRule="exact"/>
        <w:ind w:firstLine="640"/>
        <w:rPr>
          <w:rFonts w:eastAsia="仿宋_GB2312"/>
        </w:rPr>
      </w:pPr>
      <w:r>
        <w:rPr>
          <w:rFonts w:eastAsia="仿宋_GB2312"/>
        </w:rPr>
        <w:t>1.性能研究资料</w:t>
      </w:r>
    </w:p>
    <w:p w14:paraId="5AD6E967">
      <w:pPr>
        <w:pStyle w:val="26"/>
        <w:spacing w:line="560" w:lineRule="exact"/>
        <w:ind w:firstLine="640"/>
        <w:rPr>
          <w:rFonts w:eastAsia="仿宋_GB2312"/>
        </w:rPr>
      </w:pPr>
      <w:r>
        <w:rPr>
          <w:rFonts w:eastAsia="仿宋_GB2312"/>
        </w:rPr>
        <w:t>1.1 性能指标的验证应根据综述资料中有关申报产品结构组成的情况，可参考YY 0571-2013《医用电气设备 第2部分 医院电动床安全专用要求》的要求，提供功能性、安全性指标（如电气安全与电磁兼容、辐射安全）以及与质量控制相关的其他指标的确定依据，所采用的标准或方法、采用的原因及理论基础，至少应包括以下指标：床体升降行程、床体纵向倾斜、床体横向倾斜、背板折转角度、腿板折转角度、脚板折转角度、床面纵向平移、最大安全载荷、动作平稳性、床体的移动和锁定、X射线透过性（若适用）、外观、噪声等。如有配件，应根据不同配件的具体情况做出相应要求，如：输液架的调整范围等。</w:t>
      </w:r>
    </w:p>
    <w:p w14:paraId="19455A09">
      <w:pPr>
        <w:pStyle w:val="26"/>
        <w:spacing w:line="560" w:lineRule="exact"/>
        <w:ind w:firstLine="640"/>
        <w:rPr>
          <w:rFonts w:eastAsia="仿宋_GB2312"/>
        </w:rPr>
      </w:pPr>
      <w:r>
        <w:rPr>
          <w:rFonts w:eastAsia="仿宋_GB2312"/>
        </w:rPr>
        <w:t>1.2 安全性指标的验证包括电气安全指标和电磁兼容指标两大类。电气安全指标应当包括GB 9706.1-2007《医用电气设备 第1部分：安全通用要求</w:t>
      </w:r>
      <w:r>
        <w:rPr>
          <w:rFonts w:eastAsia="仿宋_GB2312"/>
          <w:spacing w:val="4"/>
        </w:rPr>
        <w:t>》和YY 0571-2013《医用电气设备 第2部分 医院电动床安全专用要求》及其他适用的国家标准和行业标准中的所有指标，电磁兼容指标应当包括YY 0505-2012《医用电气设备 第1</w:t>
      </w:r>
      <w:r>
        <w:rPr>
          <w:rFonts w:hint="eastAsia" w:eastAsia="仿宋_GB2312"/>
          <w:spacing w:val="4"/>
        </w:rPr>
        <w:t>—</w:t>
      </w:r>
      <w:r>
        <w:rPr>
          <w:rFonts w:eastAsia="仿宋_GB2312"/>
          <w:spacing w:val="4"/>
        </w:rPr>
        <w:t>2部分：安全通用要求-并列标准：电磁兼</w:t>
      </w:r>
      <w:r>
        <w:rPr>
          <w:rFonts w:eastAsia="仿宋_GB2312"/>
        </w:rPr>
        <w:t>容-要求和试验》及其他适用的国家标准和行业标准中的所有指标。</w:t>
      </w:r>
    </w:p>
    <w:p w14:paraId="691AA7FB">
      <w:pPr>
        <w:pStyle w:val="26"/>
        <w:spacing w:line="560" w:lineRule="exact"/>
        <w:ind w:firstLine="640"/>
        <w:rPr>
          <w:rFonts w:eastAsia="仿宋_GB2312"/>
        </w:rPr>
      </w:pPr>
      <w:r>
        <w:rPr>
          <w:rFonts w:eastAsia="仿宋_GB2312"/>
        </w:rPr>
        <w:t>研究资料中应详细写明通过研究验证确定的结构组成、主要部件信息、生产床架、床头、床尾用原材料名称、牌号、规格等。</w:t>
      </w:r>
    </w:p>
    <w:p w14:paraId="6872FC0D">
      <w:pPr>
        <w:pStyle w:val="26"/>
        <w:spacing w:line="560" w:lineRule="exact"/>
        <w:ind w:firstLine="640"/>
        <w:rPr>
          <w:rFonts w:eastAsia="仿宋_GB2312"/>
        </w:rPr>
      </w:pPr>
      <w:r>
        <w:rPr>
          <w:rFonts w:eastAsia="仿宋_GB2312"/>
        </w:rPr>
        <w:t>2.生物相容性的评价研究</w:t>
      </w:r>
    </w:p>
    <w:p w14:paraId="5D39C332">
      <w:pPr>
        <w:pStyle w:val="26"/>
        <w:spacing w:line="560" w:lineRule="exact"/>
        <w:ind w:firstLine="640"/>
        <w:rPr>
          <w:rFonts w:eastAsia="仿宋_GB2312"/>
        </w:rPr>
      </w:pPr>
      <w:r>
        <w:rPr>
          <w:rFonts w:eastAsia="仿宋_GB2312"/>
        </w:rPr>
        <w:t>生物学相容性评价应根据产品与人体接触部位、接触方式及接触时间，按GB/T16886.1-2011《医疗器械生物学评价 第1部分：风险管理过程中的评价与试验》的要求进行。</w:t>
      </w:r>
    </w:p>
    <w:p w14:paraId="61EF49C4">
      <w:pPr>
        <w:pStyle w:val="26"/>
        <w:spacing w:line="560" w:lineRule="exact"/>
        <w:ind w:firstLine="640"/>
        <w:rPr>
          <w:rFonts w:eastAsia="仿宋_GB2312"/>
        </w:rPr>
      </w:pPr>
      <w:r>
        <w:rPr>
          <w:rFonts w:eastAsia="仿宋_GB2312"/>
        </w:rPr>
        <w:t>3.消毒方法研究：注册申请人应结合制造产品所用材料明确推荐的消毒工艺（方法和参数）以及所推荐消毒方法确定的依据。</w:t>
      </w:r>
    </w:p>
    <w:p w14:paraId="5905C300">
      <w:pPr>
        <w:pStyle w:val="26"/>
        <w:spacing w:line="560" w:lineRule="exact"/>
        <w:ind w:firstLine="640"/>
        <w:rPr>
          <w:rFonts w:eastAsia="仿宋_GB2312"/>
        </w:rPr>
      </w:pPr>
      <w:r>
        <w:rPr>
          <w:rFonts w:eastAsia="仿宋_GB2312"/>
        </w:rPr>
        <w:t>4.产品使用期限和包装研究</w:t>
      </w:r>
    </w:p>
    <w:p w14:paraId="2A8D115C">
      <w:pPr>
        <w:pStyle w:val="26"/>
        <w:spacing w:line="560" w:lineRule="exact"/>
        <w:ind w:firstLine="640"/>
        <w:rPr>
          <w:rFonts w:eastAsia="仿宋_GB2312"/>
        </w:rPr>
      </w:pPr>
      <w:r>
        <w:rPr>
          <w:rFonts w:eastAsia="仿宋_GB2312"/>
        </w:rPr>
        <w:t>使用期限研究：应当提供产品使用期限的验证报告，报告中应对申报产品中包含的易耗、易损、需定期更换（如脚轮、制动器、蓄电池等）或者具有固定使用期限的主要元器件的情况进行详细描述，详述确定产品使用期限或者失效期的具体理由，给出产品使用期限或者产品失效期。</w:t>
      </w:r>
    </w:p>
    <w:p w14:paraId="4356466F">
      <w:pPr>
        <w:pStyle w:val="26"/>
        <w:spacing w:line="560" w:lineRule="exact"/>
        <w:ind w:firstLine="640"/>
        <w:rPr>
          <w:rFonts w:eastAsia="仿宋_GB2312"/>
        </w:rPr>
      </w:pPr>
      <w:r>
        <w:rPr>
          <w:rFonts w:eastAsia="仿宋_GB2312"/>
        </w:rPr>
        <w:t>包装研究：应明确产品包装材料；提供在宣称的运输条件下，符合运输试验要求的验证资料；并提供在宣称贮存条件下，保持包装完整性的依据。</w:t>
      </w:r>
    </w:p>
    <w:p w14:paraId="08D98ECF">
      <w:pPr>
        <w:pStyle w:val="26"/>
        <w:spacing w:line="560" w:lineRule="exact"/>
        <w:ind w:firstLine="640"/>
        <w:rPr>
          <w:rFonts w:eastAsia="仿宋_GB2312"/>
        </w:rPr>
      </w:pPr>
      <w:r>
        <w:rPr>
          <w:rFonts w:eastAsia="仿宋_GB2312"/>
        </w:rPr>
        <w:t>5.软件研究（如适用）</w:t>
      </w:r>
    </w:p>
    <w:p w14:paraId="3F7F561B">
      <w:pPr>
        <w:pStyle w:val="26"/>
        <w:spacing w:line="560" w:lineRule="exact"/>
        <w:ind w:firstLine="640"/>
        <w:rPr>
          <w:rFonts w:eastAsia="仿宋_GB2312"/>
        </w:rPr>
      </w:pPr>
      <w:r>
        <w:rPr>
          <w:rFonts w:eastAsia="仿宋_GB2312"/>
        </w:rPr>
        <w:t>参见《医疗器械软件注册申报资料指导原则》的相关要求。</w:t>
      </w:r>
    </w:p>
    <w:p w14:paraId="2712C25D">
      <w:pPr>
        <w:pStyle w:val="26"/>
        <w:spacing w:line="560" w:lineRule="exact"/>
        <w:ind w:firstLine="640"/>
        <w:rPr>
          <w:rFonts w:eastAsia="仿宋_GB2312"/>
        </w:rPr>
      </w:pPr>
      <w:r>
        <w:rPr>
          <w:rFonts w:eastAsia="仿宋_GB2312"/>
        </w:rPr>
        <w:t>5.1 该产品为含有嵌入式软件的产品，提供一份单独的电动病床软件描述文档。根据产品预期用途可能对患者造成的风险，确定申报产品软件的安全性级别，并按照确定的安全性级别提交随机软件描述文档。</w:t>
      </w:r>
    </w:p>
    <w:p w14:paraId="4B055A62">
      <w:pPr>
        <w:pStyle w:val="26"/>
        <w:spacing w:line="560" w:lineRule="exact"/>
        <w:ind w:firstLine="640"/>
        <w:rPr>
          <w:rFonts w:eastAsia="仿宋_GB2312"/>
        </w:rPr>
      </w:pPr>
      <w:r>
        <w:rPr>
          <w:rFonts w:eastAsia="仿宋_GB2312"/>
        </w:rPr>
        <w:t>5.2 提供一份关于软件版本命名规则的声明，明确写明软件版本的全部字段及字段含义，确定软件的完整版本和发行所用的标识版本。其中，软件的完整版本信息应与随机软件描述文档中的相应内容保持一致，发行所用的标识版本信息应与产品说明书、随机软件描述文档的内容保持一致。</w:t>
      </w:r>
    </w:p>
    <w:p w14:paraId="0D49B0B4">
      <w:pPr>
        <w:pStyle w:val="26"/>
        <w:ind w:firstLine="0" w:firstLineChars="0"/>
        <w:jc w:val="center"/>
        <w:rPr>
          <w:rFonts w:hint="eastAsia" w:ascii="仿宋" w:hAnsi="仿宋"/>
          <w:sz w:val="40"/>
        </w:rPr>
      </w:pPr>
      <w:r>
        <w:rPr>
          <w:rFonts w:hint="eastAsia" w:ascii="仿宋" w:hAnsi="仿宋"/>
          <w:sz w:val="40"/>
        </w:rPr>
        <w:br w:type="page"/>
      </w:r>
    </w:p>
    <w:p w14:paraId="737B0C66">
      <w:pPr>
        <w:pStyle w:val="26"/>
        <w:ind w:firstLine="0" w:firstLineChars="0"/>
        <w:jc w:val="center"/>
        <w:rPr>
          <w:rFonts w:hint="eastAsia" w:ascii="仿宋" w:hAnsi="仿宋"/>
          <w:sz w:val="40"/>
        </w:rPr>
      </w:pPr>
    </w:p>
    <w:p w14:paraId="7FF1C511">
      <w:pPr>
        <w:pStyle w:val="26"/>
        <w:ind w:firstLine="0" w:firstLineChars="0"/>
        <w:jc w:val="center"/>
        <w:rPr>
          <w:rFonts w:hint="eastAsia" w:ascii="方正小标宋简体" w:eastAsia="方正小标宋简体"/>
          <w:bCs/>
          <w:sz w:val="44"/>
          <w:szCs w:val="36"/>
        </w:rPr>
      </w:pPr>
      <w:r>
        <w:rPr>
          <w:rFonts w:hint="eastAsia" w:ascii="方正小标宋简体" w:eastAsia="方正小标宋简体"/>
          <w:bCs/>
          <w:sz w:val="44"/>
          <w:szCs w:val="36"/>
        </w:rPr>
        <w:t>电动病床产品注册技术指导原则编制说明</w:t>
      </w:r>
    </w:p>
    <w:p w14:paraId="37302EBA">
      <w:pPr>
        <w:spacing w:line="520" w:lineRule="exact"/>
        <w:ind w:firstLine="723" w:firstLineChars="200"/>
        <w:rPr>
          <w:rFonts w:hint="eastAsia" w:ascii="方正小标宋简体" w:hAnsi="宋体" w:eastAsia="方正小标宋简体"/>
          <w:b/>
          <w:bCs/>
          <w:sz w:val="36"/>
          <w:szCs w:val="36"/>
        </w:rPr>
      </w:pPr>
    </w:p>
    <w:p w14:paraId="0DC4839E">
      <w:pPr>
        <w:pStyle w:val="25"/>
        <w:spacing w:line="600" w:lineRule="exact"/>
        <w:ind w:firstLine="640"/>
        <w:rPr>
          <w:bCs/>
        </w:rPr>
      </w:pPr>
      <w:r>
        <w:rPr>
          <w:bCs/>
        </w:rPr>
        <w:t>一、</w:t>
      </w:r>
      <w:r>
        <w:t>指导原则编写的目的和背景</w:t>
      </w:r>
    </w:p>
    <w:p w14:paraId="56517B1F">
      <w:pPr>
        <w:pStyle w:val="26"/>
        <w:spacing w:line="600" w:lineRule="exact"/>
        <w:ind w:firstLine="640"/>
        <w:rPr>
          <w:rFonts w:eastAsia="仿宋_GB2312"/>
        </w:rPr>
      </w:pPr>
      <w:r>
        <w:rPr>
          <w:rFonts w:eastAsia="仿宋_GB2312"/>
        </w:rPr>
        <w:t>（一）本指导原则的编写目的是指导和规范电动病床产品的技术审评工作。旨在帮助审评人员理解和掌握该类产品原理/机理、结构、性能、预期用途等内容，把握技术审评工作基本要求和尺度，对产品安全性、有效性做出系统评价。</w:t>
      </w:r>
    </w:p>
    <w:p w14:paraId="64D1E131">
      <w:pPr>
        <w:pStyle w:val="26"/>
        <w:spacing w:line="600" w:lineRule="exact"/>
        <w:ind w:firstLine="640"/>
        <w:rPr>
          <w:rFonts w:eastAsia="仿宋_GB2312"/>
        </w:rPr>
      </w:pPr>
      <w:r>
        <w:rPr>
          <w:rFonts w:eastAsia="仿宋_GB2312"/>
        </w:rPr>
        <w:t>（二）随着《医疗器械监督管理条例》（中华人民共和国国务院令第650号）的颁布实施，《医疗器械注册管理办法》国家食品药品监督管理总局令第4号）及相关配套文件的下发，原来制定的电动病床产品注册技术指导原则已不再符合当前法规的要求，本次依照新法规进行修订，以适应当前法规要求。</w:t>
      </w:r>
    </w:p>
    <w:p w14:paraId="5B354C9F">
      <w:pPr>
        <w:pStyle w:val="25"/>
        <w:spacing w:line="600" w:lineRule="exact"/>
        <w:ind w:firstLine="640"/>
        <w:rPr>
          <w:bCs/>
        </w:rPr>
      </w:pPr>
      <w:r>
        <w:rPr>
          <w:bCs/>
        </w:rPr>
        <w:t>二、指导原则编写的依据</w:t>
      </w:r>
    </w:p>
    <w:p w14:paraId="27DFF2A6">
      <w:pPr>
        <w:pStyle w:val="26"/>
        <w:spacing w:line="600" w:lineRule="exact"/>
        <w:ind w:firstLine="640"/>
        <w:rPr>
          <w:rFonts w:eastAsia="仿宋_GB2312"/>
        </w:rPr>
      </w:pPr>
      <w:r>
        <w:rPr>
          <w:rFonts w:eastAsia="仿宋_GB2312"/>
        </w:rPr>
        <w:t>（一）《医疗器械监督管理条例》（中华人民共和国国务院令第650号）</w:t>
      </w:r>
    </w:p>
    <w:p w14:paraId="2D27AA94">
      <w:pPr>
        <w:pStyle w:val="26"/>
        <w:spacing w:line="600" w:lineRule="exact"/>
        <w:ind w:firstLine="640"/>
        <w:rPr>
          <w:rFonts w:eastAsia="仿宋_GB2312"/>
        </w:rPr>
      </w:pPr>
      <w:r>
        <w:rPr>
          <w:rFonts w:eastAsia="仿宋_GB2312"/>
        </w:rPr>
        <w:t>（二）《医疗器械注册管理办法》（</w:t>
      </w:r>
      <w:r>
        <w:rPr>
          <w:rStyle w:val="21"/>
          <w:rFonts w:eastAsia="仿宋_GB2312"/>
        </w:rPr>
        <w:t>国家食品药品监督管理总局</w:t>
      </w:r>
      <w:r>
        <w:rPr>
          <w:rFonts w:eastAsia="仿宋_GB2312"/>
        </w:rPr>
        <w:t>令第4号）</w:t>
      </w:r>
    </w:p>
    <w:p w14:paraId="13A42A44">
      <w:pPr>
        <w:pStyle w:val="26"/>
        <w:spacing w:line="600" w:lineRule="exact"/>
        <w:ind w:firstLine="640"/>
        <w:rPr>
          <w:rStyle w:val="21"/>
          <w:rFonts w:eastAsia="仿宋_GB2312"/>
        </w:rPr>
      </w:pPr>
      <w:r>
        <w:rPr>
          <w:rStyle w:val="21"/>
          <w:rFonts w:eastAsia="仿宋_GB2312"/>
        </w:rPr>
        <w:t>（三）《医疗器械说明书和标签管理规定》（国家食品药品监督管理总局令第6号）</w:t>
      </w:r>
    </w:p>
    <w:p w14:paraId="2A8B5265">
      <w:pPr>
        <w:pStyle w:val="26"/>
        <w:spacing w:line="600" w:lineRule="exact"/>
        <w:ind w:firstLine="640"/>
        <w:rPr>
          <w:rFonts w:eastAsia="仿宋_GB2312"/>
        </w:rPr>
      </w:pPr>
      <w:r>
        <w:rPr>
          <w:rStyle w:val="21"/>
          <w:rFonts w:eastAsia="仿宋_GB2312"/>
        </w:rPr>
        <w:t>（四）</w:t>
      </w:r>
      <w:r>
        <w:rPr>
          <w:rFonts w:eastAsia="仿宋_GB2312"/>
        </w:rPr>
        <w:t>《关于公布医疗器械注册申报资料要求和批准证明文件格</w:t>
      </w:r>
      <w:r>
        <w:rPr>
          <w:rFonts w:eastAsia="仿宋_GB2312"/>
          <w:spacing w:val="-8"/>
        </w:rPr>
        <w:t>式的公告》（</w:t>
      </w:r>
      <w:r>
        <w:rPr>
          <w:rStyle w:val="21"/>
          <w:rFonts w:eastAsia="仿宋_GB2312"/>
          <w:spacing w:val="-8"/>
        </w:rPr>
        <w:t>国家食品药品监督管理总局</w:t>
      </w:r>
      <w:r>
        <w:rPr>
          <w:rFonts w:eastAsia="仿宋_GB2312"/>
          <w:spacing w:val="-8"/>
        </w:rPr>
        <w:t>公告2014年第43号）</w:t>
      </w:r>
    </w:p>
    <w:p w14:paraId="50C03B28">
      <w:pPr>
        <w:pStyle w:val="26"/>
        <w:spacing w:line="600" w:lineRule="exact"/>
        <w:ind w:firstLine="640"/>
        <w:rPr>
          <w:rFonts w:eastAsia="仿宋_GB2312"/>
        </w:rPr>
      </w:pPr>
      <w:r>
        <w:rPr>
          <w:rFonts w:eastAsia="仿宋_GB2312"/>
        </w:rPr>
        <w:t>（五）《关于发布免于进行临床试验的第二类医疗器械目录的通告》（</w:t>
      </w:r>
      <w:r>
        <w:rPr>
          <w:rStyle w:val="21"/>
          <w:rFonts w:eastAsia="仿宋_GB2312"/>
        </w:rPr>
        <w:t>国家食品药品监督管理总局</w:t>
      </w:r>
      <w:r>
        <w:rPr>
          <w:rFonts w:eastAsia="仿宋_GB2312"/>
        </w:rPr>
        <w:t>通告2014年第12号）</w:t>
      </w:r>
    </w:p>
    <w:p w14:paraId="4E8CD1BA">
      <w:pPr>
        <w:pStyle w:val="26"/>
        <w:spacing w:line="600" w:lineRule="exact"/>
        <w:ind w:firstLine="640"/>
        <w:rPr>
          <w:rStyle w:val="21"/>
          <w:rFonts w:eastAsia="仿宋_GB2312"/>
        </w:rPr>
      </w:pPr>
      <w:r>
        <w:rPr>
          <w:rStyle w:val="21"/>
          <w:rFonts w:eastAsia="仿宋_GB2312"/>
        </w:rPr>
        <w:t>（六）《关于发布医疗器械产品技术要求编写指导原则的通告》（国家食品药品监督管理总局通告</w:t>
      </w:r>
      <w:r>
        <w:rPr>
          <w:rFonts w:eastAsia="仿宋_GB2312"/>
        </w:rPr>
        <w:t>2014年</w:t>
      </w:r>
      <w:r>
        <w:rPr>
          <w:rStyle w:val="21"/>
          <w:rFonts w:eastAsia="仿宋_GB2312"/>
        </w:rPr>
        <w:t>第9号）</w:t>
      </w:r>
    </w:p>
    <w:p w14:paraId="6C6EB4AF">
      <w:pPr>
        <w:pStyle w:val="26"/>
        <w:spacing w:line="600" w:lineRule="exact"/>
        <w:ind w:firstLine="640"/>
        <w:rPr>
          <w:rStyle w:val="21"/>
          <w:rFonts w:eastAsia="仿宋_GB2312"/>
        </w:rPr>
      </w:pPr>
      <w:r>
        <w:rPr>
          <w:rStyle w:val="21"/>
          <w:rFonts w:eastAsia="仿宋_GB2312"/>
        </w:rPr>
        <w:t>（七）《医疗器械临床评价技术指导原则》（国家食品药品监督管理总局通告</w:t>
      </w:r>
      <w:r>
        <w:rPr>
          <w:rFonts w:eastAsia="仿宋_GB2312"/>
        </w:rPr>
        <w:t>2015年</w:t>
      </w:r>
      <w:r>
        <w:rPr>
          <w:rStyle w:val="21"/>
          <w:rFonts w:eastAsia="仿宋_GB2312"/>
        </w:rPr>
        <w:t>第14号）</w:t>
      </w:r>
    </w:p>
    <w:p w14:paraId="65A99E26">
      <w:pPr>
        <w:pStyle w:val="26"/>
        <w:spacing w:line="600" w:lineRule="exact"/>
        <w:ind w:firstLine="640"/>
        <w:rPr>
          <w:rStyle w:val="21"/>
          <w:rFonts w:eastAsia="仿宋_GB2312"/>
        </w:rPr>
      </w:pPr>
      <w:r>
        <w:rPr>
          <w:rStyle w:val="21"/>
          <w:rFonts w:eastAsia="仿宋_GB2312"/>
        </w:rPr>
        <w:t>（八）《医疗器械软件注册技术审查指导原则》（国家食品药品监督管理总局通告</w:t>
      </w:r>
      <w:r>
        <w:rPr>
          <w:rFonts w:eastAsia="仿宋_GB2312"/>
        </w:rPr>
        <w:t>2015年</w:t>
      </w:r>
      <w:r>
        <w:rPr>
          <w:rStyle w:val="21"/>
          <w:rFonts w:eastAsia="仿宋_GB2312"/>
        </w:rPr>
        <w:t>第50号）</w:t>
      </w:r>
    </w:p>
    <w:p w14:paraId="64555A74">
      <w:pPr>
        <w:pStyle w:val="26"/>
        <w:spacing w:line="600" w:lineRule="exact"/>
        <w:ind w:firstLine="640"/>
        <w:rPr>
          <w:rFonts w:eastAsia="仿宋_GB2312"/>
        </w:rPr>
      </w:pPr>
      <w:r>
        <w:rPr>
          <w:rFonts w:eastAsia="仿宋_GB2312"/>
        </w:rPr>
        <w:t>（九）《关于印发医疗器械生物学评价和审查指南的通知》（国食药监械〔2007〕345号）</w:t>
      </w:r>
    </w:p>
    <w:p w14:paraId="5D9670FC">
      <w:pPr>
        <w:pStyle w:val="26"/>
        <w:spacing w:line="600" w:lineRule="exact"/>
        <w:ind w:firstLine="640"/>
        <w:rPr>
          <w:rFonts w:eastAsia="仿宋_GB2312"/>
        </w:rPr>
      </w:pPr>
      <w:r>
        <w:rPr>
          <w:rFonts w:eastAsia="仿宋_GB2312"/>
        </w:rPr>
        <w:t>（十）GB 9706.1-2007《医用电气设备 第1部分：安全通用要求》</w:t>
      </w:r>
    </w:p>
    <w:p w14:paraId="0CBE1607">
      <w:pPr>
        <w:pStyle w:val="26"/>
        <w:spacing w:line="600" w:lineRule="exact"/>
        <w:ind w:firstLine="640"/>
        <w:rPr>
          <w:rFonts w:eastAsia="仿宋_GB2312"/>
        </w:rPr>
      </w:pPr>
      <w:r>
        <w:rPr>
          <w:rFonts w:eastAsia="仿宋_GB2312"/>
        </w:rPr>
        <w:t>（十一） YY 0571-2013《医用电气设备 第2部分：医院电动床安全专用要求》。</w:t>
      </w:r>
    </w:p>
    <w:p w14:paraId="541BF373">
      <w:pPr>
        <w:pStyle w:val="26"/>
        <w:spacing w:line="600" w:lineRule="exact"/>
        <w:ind w:firstLine="640"/>
        <w:rPr>
          <w:rFonts w:eastAsia="仿宋_GB2312"/>
        </w:rPr>
      </w:pPr>
      <w:r>
        <w:rPr>
          <w:rFonts w:eastAsia="仿宋_GB2312"/>
        </w:rPr>
        <w:t>（十二） YY 0505-2012《医用电气设备 第1</w:t>
      </w:r>
      <w:r>
        <w:rPr>
          <w:rFonts w:hint="eastAsia" w:eastAsia="仿宋_GB2312"/>
        </w:rPr>
        <w:t>—</w:t>
      </w:r>
      <w:r>
        <w:rPr>
          <w:rFonts w:eastAsia="仿宋_GB2312"/>
        </w:rPr>
        <w:t>2部 分:安全通用要求 并列标准 电磁兼容 要求和试验 》。</w:t>
      </w:r>
    </w:p>
    <w:p w14:paraId="2CEFF4DC">
      <w:pPr>
        <w:pStyle w:val="25"/>
        <w:spacing w:line="600" w:lineRule="exact"/>
        <w:ind w:firstLine="640"/>
        <w:rPr>
          <w:bCs/>
        </w:rPr>
      </w:pPr>
      <w:r>
        <w:rPr>
          <w:bCs/>
        </w:rPr>
        <w:t>三、重点内容说明</w:t>
      </w:r>
    </w:p>
    <w:p w14:paraId="05AAC3C3">
      <w:pPr>
        <w:pStyle w:val="26"/>
        <w:spacing w:line="600" w:lineRule="exact"/>
        <w:ind w:firstLine="640"/>
        <w:rPr>
          <w:rFonts w:eastAsia="仿宋_GB2312"/>
        </w:rPr>
      </w:pPr>
      <w:r>
        <w:rPr>
          <w:rFonts w:eastAsia="仿宋_GB2312"/>
        </w:rPr>
        <w:t>（一）在产品名称要求中参照《医疗器械分类目录》、YY 0571-2013《医用电气设备 第2部分 医院电动床安全专用要求》及相关要求，规范了产品命名原则。</w:t>
      </w:r>
    </w:p>
    <w:p w14:paraId="1B6C8047">
      <w:pPr>
        <w:pStyle w:val="26"/>
        <w:spacing w:line="560" w:lineRule="exact"/>
        <w:ind w:firstLine="640"/>
        <w:rPr>
          <w:rFonts w:eastAsia="仿宋_GB2312"/>
        </w:rPr>
      </w:pPr>
      <w:r>
        <w:rPr>
          <w:rFonts w:eastAsia="仿宋_GB2312"/>
        </w:rPr>
        <w:t>（二）产品的结构和组成内容中，给出了电动病床典型产品的结构示意图，并简要介绍了电动病床的主体结构及配件。</w:t>
      </w:r>
    </w:p>
    <w:p w14:paraId="7528072F">
      <w:pPr>
        <w:pStyle w:val="26"/>
        <w:spacing w:line="560" w:lineRule="exact"/>
        <w:ind w:firstLine="640"/>
        <w:rPr>
          <w:rFonts w:eastAsia="仿宋_GB2312"/>
          <w:spacing w:val="-10"/>
        </w:rPr>
      </w:pPr>
      <w:r>
        <w:rPr>
          <w:rFonts w:eastAsia="仿宋_GB2312"/>
        </w:rPr>
        <w:t>（三）在</w:t>
      </w:r>
      <w:r>
        <w:rPr>
          <w:rFonts w:eastAsia="仿宋_GB2312"/>
          <w:spacing w:val="-10"/>
        </w:rPr>
        <w:t>产品的工作原理中，简单介绍了电动病床的工作原理。</w:t>
      </w:r>
    </w:p>
    <w:p w14:paraId="47234325">
      <w:pPr>
        <w:pStyle w:val="26"/>
        <w:spacing w:line="560" w:lineRule="exact"/>
        <w:ind w:firstLine="640"/>
        <w:rPr>
          <w:rFonts w:eastAsia="仿宋_GB2312"/>
        </w:rPr>
      </w:pPr>
      <w:r>
        <w:rPr>
          <w:rFonts w:eastAsia="仿宋_GB2312"/>
        </w:rPr>
        <w:t>（四）因产品为非治疗类医疗器械，故本指导原则不包含产品作用机理的内容。</w:t>
      </w:r>
    </w:p>
    <w:p w14:paraId="7F3FC352">
      <w:pPr>
        <w:pStyle w:val="26"/>
        <w:spacing w:line="600" w:lineRule="exact"/>
        <w:ind w:firstLine="640"/>
        <w:rPr>
          <w:rFonts w:eastAsia="仿宋_GB2312"/>
        </w:rPr>
      </w:pPr>
      <w:r>
        <w:rPr>
          <w:rFonts w:eastAsia="仿宋_GB2312"/>
        </w:rPr>
        <w:t>（五）产品应适用的相关标准中给出了现行有效的国家标准、行业标准（包括产品标准、基础标准）。</w:t>
      </w:r>
    </w:p>
    <w:p w14:paraId="6BD138FA">
      <w:pPr>
        <w:pStyle w:val="26"/>
        <w:spacing w:line="600" w:lineRule="exact"/>
        <w:ind w:firstLine="640"/>
        <w:rPr>
          <w:rFonts w:eastAsia="仿宋_GB2312"/>
        </w:rPr>
      </w:pPr>
      <w:r>
        <w:rPr>
          <w:rFonts w:eastAsia="仿宋_GB2312"/>
        </w:rPr>
        <w:t>（六）产品的主要风险中，参照YY/T 0316-2008《医疗器械 风险管理对医疗器械的应用》及其附录C、E、F、G、I、J中的相关规定，对电动病床的安全性特征，危害、可预见的事件序列和危害处境判断，风险控制的方案与实施，综合剩余风险的可接受性评价及生产和生产后监视相关方法等方面做出了审查基本要求；同时，对电动病床的危害、可预见的事件序列和危害处境判断进行了系统分析。</w:t>
      </w:r>
    </w:p>
    <w:p w14:paraId="51FB215F">
      <w:pPr>
        <w:pStyle w:val="26"/>
        <w:spacing w:line="600" w:lineRule="exact"/>
        <w:ind w:firstLine="640"/>
        <w:rPr>
          <w:rFonts w:eastAsia="仿宋_GB2312"/>
        </w:rPr>
      </w:pPr>
      <w:r>
        <w:rPr>
          <w:rFonts w:eastAsia="仿宋_GB2312"/>
        </w:rPr>
        <w:t>（七）产品的主要性能指标中给出了产品需要考虑的各个方面，有些需参照相关的国家标准、行业标准，有些则需要依据企业的技术能力。</w:t>
      </w:r>
    </w:p>
    <w:p w14:paraId="0BA0DEBA">
      <w:pPr>
        <w:pStyle w:val="26"/>
        <w:spacing w:line="600" w:lineRule="exact"/>
        <w:ind w:firstLine="640"/>
        <w:rPr>
          <w:rFonts w:eastAsia="仿宋_GB2312"/>
        </w:rPr>
      </w:pPr>
      <w:r>
        <w:rPr>
          <w:rFonts w:eastAsia="仿宋_GB2312"/>
        </w:rPr>
        <w:t>（八）针对电动病床产品特点，在使用说明书中对产品的审查重点进行了说明，如：性能、注意事项、使用、保养、维护、贮存等项目。</w:t>
      </w:r>
    </w:p>
    <w:p w14:paraId="4F0CDAE1">
      <w:pPr>
        <w:pStyle w:val="25"/>
        <w:spacing w:line="600" w:lineRule="exact"/>
        <w:ind w:firstLine="640"/>
        <w:rPr>
          <w:bCs/>
        </w:rPr>
      </w:pPr>
      <w:r>
        <w:rPr>
          <w:bCs/>
        </w:rPr>
        <w:t>四、</w:t>
      </w:r>
      <w:r>
        <w:rPr>
          <w:rFonts w:hint="eastAsia"/>
          <w:bCs/>
        </w:rPr>
        <w:t>编制单位</w:t>
      </w:r>
    </w:p>
    <w:p w14:paraId="18147179">
      <w:pPr>
        <w:pStyle w:val="26"/>
        <w:spacing w:line="600" w:lineRule="exact"/>
        <w:ind w:firstLine="640"/>
        <w:rPr>
          <w:rFonts w:eastAsia="仿宋_GB2312"/>
        </w:rPr>
      </w:pPr>
      <w:r>
        <w:rPr>
          <w:rFonts w:eastAsia="仿宋_GB2312"/>
        </w:rPr>
        <w:t>天津市医疗器械技术审评中心。</w:t>
      </w:r>
    </w:p>
    <w:p w14:paraId="0B8EE2D2">
      <w:pPr>
        <w:spacing w:line="520" w:lineRule="exact"/>
        <w:rPr>
          <w:rFonts w:hint="eastAsia" w:eastAsia="宋体"/>
          <w:lang w:eastAsia="zh-CN"/>
        </w:rPr>
      </w:pPr>
    </w:p>
    <w:p w14:paraId="499D6457">
      <w:pPr>
        <w:spacing w:line="520" w:lineRule="exact"/>
        <w:jc w:val="center"/>
        <w:rPr>
          <w:rFonts w:hint="eastAsia" w:eastAsia="宋体"/>
          <w:lang w:eastAsia="zh-CN"/>
        </w:rPr>
      </w:pPr>
    </w:p>
    <w:p w14:paraId="644909C5">
      <w:pPr>
        <w:spacing w:line="520" w:lineRule="exact"/>
        <w:jc w:val="center"/>
        <w:rPr>
          <w:rFonts w:hint="eastAsia" w:eastAsia="宋体"/>
          <w:lang w:eastAsia="zh-CN"/>
        </w:rPr>
      </w:pPr>
      <w:r>
        <w:rPr>
          <w:rFonts w:hint="eastAsia" w:eastAsia="宋体"/>
          <w:lang w:eastAsia="zh-CN"/>
        </w:rPr>
        <w:drawing>
          <wp:inline distT="0" distB="0" distL="114300" distR="114300">
            <wp:extent cx="5210175" cy="7343775"/>
            <wp:effectExtent l="0" t="0" r="9525" b="9525"/>
            <wp:docPr id="1" name="图片 1" descr="2"/>
            <wp:cNvGraphicFramePr/>
            <a:graphic xmlns:a="http://schemas.openxmlformats.org/drawingml/2006/main">
              <a:graphicData uri="http://schemas.openxmlformats.org/drawingml/2006/picture">
                <pic:pic xmlns:pic="http://schemas.openxmlformats.org/drawingml/2006/picture">
                  <pic:nvPicPr>
                    <pic:cNvPr id="1" name="图片 1" descr="2"/>
                    <pic:cNvPicPr/>
                  </pic:nvPicPr>
                  <pic:blipFill>
                    <a:blip r:embed="rId18"/>
                    <a:stretch>
                      <a:fillRect/>
                    </a:stretch>
                  </pic:blipFill>
                  <pic:spPr>
                    <a:xfrm>
                      <a:off x="0" y="0"/>
                      <a:ext cx="5210175" cy="7343775"/>
                    </a:xfrm>
                    <a:prstGeom prst="rect">
                      <a:avLst/>
                    </a:prstGeom>
                  </pic:spPr>
                </pic:pic>
              </a:graphicData>
            </a:graphic>
          </wp:inline>
        </w:drawing>
      </w:r>
    </w:p>
    <w:sectPr>
      <w:footerReference r:id="rId3" w:type="default"/>
      <w:footerReference r:id="rId4" w:type="even"/>
      <w:pgSz w:w="11906" w:h="16838"/>
      <w:pgMar w:top="1928" w:right="1531" w:bottom="1814" w:left="1531" w:header="851" w:footer="1247" w:gutter="0"/>
      <w:cols w:space="720" w:num="1"/>
      <w:docGrid w:linePitch="30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3000509000000000000"/>
    <w:charset w:val="86"/>
    <w:family w:val="script"/>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69241">
    <w:pPr>
      <w:pStyle w:val="5"/>
      <w:wordWrap w:val="0"/>
      <w:jc w:val="right"/>
      <w:rPr>
        <w:rFonts w:hint="eastAsia"/>
        <w:sz w:val="28"/>
        <w:szCs w:val="28"/>
        <w:lang w:eastAsia="zh-CN"/>
      </w:rPr>
    </w:pPr>
    <w:r>
      <w:rPr>
        <w:rFonts w:hint="eastAsia"/>
        <w:sz w:val="28"/>
        <w:szCs w:val="28"/>
        <w:lang w:eastAsia="zh-CN"/>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1</w:t>
    </w:r>
    <w:r>
      <w:rPr>
        <w:sz w:val="28"/>
        <w:szCs w:val="28"/>
      </w:rPr>
      <w:fldChar w:fldCharType="end"/>
    </w:r>
    <w:r>
      <w:rPr>
        <w:rFonts w:hint="eastAsia"/>
        <w:sz w:val="28"/>
        <w:szCs w:val="28"/>
        <w:lang w:eastAsia="zh-CN"/>
      </w:rPr>
      <w:t xml:space="preserve"> —</w:t>
    </w:r>
    <w:r>
      <w:rPr>
        <w:rFonts w:hint="eastAsia"/>
        <w:color w:val="FFFFFF"/>
        <w:sz w:val="28"/>
        <w:szCs w:val="28"/>
        <w:lang w:eastAsia="zh-CN"/>
      </w:rPr>
      <w:t>—</w:t>
    </w:r>
  </w:p>
  <w:p w14:paraId="3BD92A2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FFA103">
    <w:pPr>
      <w:pStyle w:val="5"/>
      <w:rPr>
        <w:rFonts w:hint="eastAsia"/>
        <w:sz w:val="28"/>
        <w:szCs w:val="28"/>
        <w:lang w:eastAsia="zh-CN"/>
      </w:rPr>
    </w:pPr>
    <w:r>
      <w:rPr>
        <w:rFonts w:hint="eastAsia"/>
        <w:color w:val="FFFFFF"/>
        <w:sz w:val="28"/>
        <w:szCs w:val="28"/>
        <w:lang w:eastAsia="zh-CN"/>
      </w:rPr>
      <w:t>—</w:t>
    </w:r>
    <w:r>
      <w:rPr>
        <w:rFonts w:hint="eastAsia"/>
        <w:sz w:val="28"/>
        <w:szCs w:val="28"/>
        <w:lang w:eastAsia="zh-CN"/>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eastAsia="zh-CN"/>
      </w:rPr>
      <w:t>2</w:t>
    </w:r>
    <w:r>
      <w:rPr>
        <w:sz w:val="28"/>
        <w:szCs w:val="28"/>
      </w:rPr>
      <w:fldChar w:fldCharType="end"/>
    </w:r>
    <w:r>
      <w:rPr>
        <w:rFonts w:hint="eastAsia"/>
        <w:sz w:val="28"/>
        <w:szCs w:val="28"/>
        <w:lang w:eastAsia="zh-CN"/>
      </w:rPr>
      <w:t xml:space="preserve"> —</w:t>
    </w:r>
  </w:p>
  <w:p w14:paraId="58758AEE">
    <w:pPr>
      <w:pStyle w:val="5"/>
      <w:ind w:right="360"/>
      <w:jc w:val="center"/>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01AC"/>
    <w:rsid w:val="00116F48"/>
    <w:rsid w:val="00122CA9"/>
    <w:rsid w:val="00125E4E"/>
    <w:rsid w:val="001442DB"/>
    <w:rsid w:val="00174006"/>
    <w:rsid w:val="001969FB"/>
    <w:rsid w:val="00214067"/>
    <w:rsid w:val="002A1CAD"/>
    <w:rsid w:val="002F63F9"/>
    <w:rsid w:val="00322160"/>
    <w:rsid w:val="003513EE"/>
    <w:rsid w:val="003C653C"/>
    <w:rsid w:val="004161E2"/>
    <w:rsid w:val="00456CE1"/>
    <w:rsid w:val="004B5953"/>
    <w:rsid w:val="004C3184"/>
    <w:rsid w:val="004F57DF"/>
    <w:rsid w:val="0057718C"/>
    <w:rsid w:val="00580EF1"/>
    <w:rsid w:val="0059426E"/>
    <w:rsid w:val="005D4842"/>
    <w:rsid w:val="00615C2F"/>
    <w:rsid w:val="006621D9"/>
    <w:rsid w:val="00664725"/>
    <w:rsid w:val="006B19E8"/>
    <w:rsid w:val="006B6DE6"/>
    <w:rsid w:val="006C0E4C"/>
    <w:rsid w:val="006C4E68"/>
    <w:rsid w:val="006D2BAA"/>
    <w:rsid w:val="006E7DB7"/>
    <w:rsid w:val="00754C23"/>
    <w:rsid w:val="007E30E0"/>
    <w:rsid w:val="007E7125"/>
    <w:rsid w:val="00827C03"/>
    <w:rsid w:val="00844B66"/>
    <w:rsid w:val="0085531A"/>
    <w:rsid w:val="0086062E"/>
    <w:rsid w:val="00903D2C"/>
    <w:rsid w:val="0090605E"/>
    <w:rsid w:val="009961AA"/>
    <w:rsid w:val="009A3F9D"/>
    <w:rsid w:val="009B1AFD"/>
    <w:rsid w:val="009C0E2C"/>
    <w:rsid w:val="00A4253A"/>
    <w:rsid w:val="00A80E6A"/>
    <w:rsid w:val="00AF50CD"/>
    <w:rsid w:val="00B0134F"/>
    <w:rsid w:val="00B5735A"/>
    <w:rsid w:val="00B6054E"/>
    <w:rsid w:val="00B643C7"/>
    <w:rsid w:val="00B718E0"/>
    <w:rsid w:val="00BD1B39"/>
    <w:rsid w:val="00BE3545"/>
    <w:rsid w:val="00C30BE7"/>
    <w:rsid w:val="00C52125"/>
    <w:rsid w:val="00C96658"/>
    <w:rsid w:val="00CF0D6E"/>
    <w:rsid w:val="00D47913"/>
    <w:rsid w:val="00DB220C"/>
    <w:rsid w:val="00DD0E1C"/>
    <w:rsid w:val="00E00627"/>
    <w:rsid w:val="00E02B41"/>
    <w:rsid w:val="00E04EC2"/>
    <w:rsid w:val="00E531BB"/>
    <w:rsid w:val="00E846D1"/>
    <w:rsid w:val="00EC1803"/>
    <w:rsid w:val="00ED3D47"/>
    <w:rsid w:val="00F34740"/>
    <w:rsid w:val="00F365F7"/>
    <w:rsid w:val="00F736A0"/>
    <w:rsid w:val="00F7405F"/>
    <w:rsid w:val="00F81543"/>
    <w:rsid w:val="00F83BFC"/>
    <w:rsid w:val="00FC51B2"/>
    <w:rsid w:val="00FE1A06"/>
    <w:rsid w:val="5B9D35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2pt" color="#446188"/>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nhideWhenUsed="0" w:uiPriority="0" w:semiHidden="0" w:name="annotation text"/>
    <w:lsdException w:qFormat="1" w:unhideWhenUsed="0" w:uiPriority="0" w:semiHidden="0" w:name="header"/>
    <w:lsdException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0" w:semiHidden="0"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nhideWhenUsed="0" w:uiPriority="0" w:semiHidden="0"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9">
    <w:name w:val="Default Paragraph Font"/>
    <w:uiPriority w:val="0"/>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4"/>
    <w:uiPriority w:val="0"/>
    <w:pPr>
      <w:jc w:val="left"/>
    </w:pPr>
  </w:style>
  <w:style w:type="paragraph" w:styleId="3">
    <w:name w:val="Body Text"/>
    <w:basedOn w:val="1"/>
    <w:link w:val="23"/>
    <w:qFormat/>
    <w:uiPriority w:val="0"/>
    <w:rPr>
      <w:rFonts w:ascii="仿宋_GB2312" w:eastAsia="仿宋_GB2312"/>
      <w:sz w:val="30"/>
    </w:rPr>
  </w:style>
  <w:style w:type="paragraph" w:styleId="4">
    <w:name w:val="Balloon Text"/>
    <w:basedOn w:val="1"/>
    <w:qFormat/>
    <w:uiPriority w:val="0"/>
    <w:rPr>
      <w:sz w:val="18"/>
      <w:szCs w:val="18"/>
    </w:rPr>
  </w:style>
  <w:style w:type="paragraph" w:styleId="5">
    <w:name w:val="footer"/>
    <w:basedOn w:val="1"/>
    <w:link w:val="13"/>
    <w:uiPriority w:val="99"/>
    <w:pPr>
      <w:tabs>
        <w:tab w:val="center" w:pos="4153"/>
        <w:tab w:val="right" w:pos="8306"/>
      </w:tabs>
      <w:snapToGrid w:val="0"/>
      <w:jc w:val="left"/>
    </w:pPr>
    <w:rPr>
      <w:sz w:val="18"/>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2"/>
    <w:next w:val="2"/>
    <w:link w:val="15"/>
    <w:uiPriority w:val="0"/>
    <w:rPr>
      <w:b/>
      <w:bCs/>
    </w:rPr>
  </w:style>
  <w:style w:type="character" w:styleId="10">
    <w:name w:val="page number"/>
    <w:basedOn w:val="9"/>
    <w:uiPriority w:val="0"/>
  </w:style>
  <w:style w:type="character" w:styleId="11">
    <w:name w:val="annotation reference"/>
    <w:uiPriority w:val="0"/>
    <w:rPr>
      <w:sz w:val="21"/>
      <w:szCs w:val="21"/>
    </w:rPr>
  </w:style>
  <w:style w:type="character" w:customStyle="1" w:styleId="12">
    <w:name w:val="f101"/>
    <w:uiPriority w:val="0"/>
    <w:rPr>
      <w:sz w:val="24"/>
      <w:szCs w:val="24"/>
    </w:rPr>
  </w:style>
  <w:style w:type="character" w:customStyle="1" w:styleId="13">
    <w:name w:val="页脚 Char"/>
    <w:link w:val="5"/>
    <w:uiPriority w:val="99"/>
    <w:rPr>
      <w:kern w:val="2"/>
      <w:sz w:val="18"/>
    </w:rPr>
  </w:style>
  <w:style w:type="character" w:customStyle="1" w:styleId="14">
    <w:name w:val="批注文字 Char"/>
    <w:link w:val="2"/>
    <w:uiPriority w:val="0"/>
    <w:rPr>
      <w:kern w:val="2"/>
      <w:sz w:val="21"/>
    </w:rPr>
  </w:style>
  <w:style w:type="character" w:customStyle="1" w:styleId="15">
    <w:name w:val="批注主题 Char"/>
    <w:link w:val="7"/>
    <w:uiPriority w:val="0"/>
    <w:rPr>
      <w:b/>
      <w:bCs/>
      <w:kern w:val="2"/>
      <w:sz w:val="21"/>
    </w:rPr>
  </w:style>
  <w:style w:type="paragraph" w:customStyle="1" w:styleId="16">
    <w:name w:val="Revision"/>
    <w:uiPriority w:val="0"/>
    <w:rPr>
      <w:rFonts w:ascii="Times New Roman" w:hAnsi="Times New Roman" w:eastAsia="宋体" w:cs="Times New Roman"/>
      <w:kern w:val="2"/>
      <w:sz w:val="21"/>
      <w:lang w:val="en-US" w:eastAsia="zh-CN" w:bidi="ar-SA"/>
    </w:rPr>
  </w:style>
  <w:style w:type="paragraph" w:customStyle="1" w:styleId="17">
    <w:name w:val=" Char Char Char Char Char Char1 Char"/>
    <w:basedOn w:val="1"/>
    <w:uiPriority w:val="0"/>
    <w:pPr>
      <w:widowControl/>
      <w:spacing w:after="160" w:line="240" w:lineRule="exact"/>
      <w:jc w:val="left"/>
    </w:pPr>
    <w:rPr>
      <w:szCs w:val="24"/>
    </w:rPr>
  </w:style>
  <w:style w:type="paragraph" w:customStyle="1" w:styleId="1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styleId="19">
    <w:name w:val="List Paragraph"/>
    <w:basedOn w:val="1"/>
    <w:qFormat/>
    <w:uiPriority w:val="0"/>
    <w:pPr>
      <w:ind w:firstLine="200" w:firstLineChars="200"/>
    </w:pPr>
    <w:rPr>
      <w:rFonts w:ascii="Calibri" w:hAnsi="Calibri"/>
      <w:szCs w:val="22"/>
    </w:rPr>
  </w:style>
  <w:style w:type="paragraph" w:customStyle="1" w:styleId="20">
    <w:name w:val=" Char"/>
    <w:basedOn w:val="1"/>
    <w:qFormat/>
    <w:uiPriority w:val="0"/>
    <w:rPr>
      <w:b/>
      <w:bCs/>
      <w:sz w:val="36"/>
      <w:szCs w:val="32"/>
    </w:rPr>
  </w:style>
  <w:style w:type="character" w:customStyle="1" w:styleId="21">
    <w:name w:val="new"/>
    <w:basedOn w:val="9"/>
    <w:uiPriority w:val="0"/>
  </w:style>
  <w:style w:type="paragraph" w:customStyle="1" w:styleId="22">
    <w:name w:val="二级标题"/>
    <w:basedOn w:val="1"/>
    <w:qFormat/>
    <w:uiPriority w:val="0"/>
    <w:pPr>
      <w:spacing w:line="520" w:lineRule="exact"/>
      <w:ind w:firstLine="420" w:firstLineChars="150"/>
      <w:outlineLvl w:val="0"/>
    </w:pPr>
    <w:rPr>
      <w:rFonts w:ascii="楷体" w:hAnsi="楷体" w:eastAsia="楷体" w:cs="楷体_GB2312"/>
      <w:sz w:val="32"/>
      <w:szCs w:val="28"/>
    </w:rPr>
  </w:style>
  <w:style w:type="character" w:customStyle="1" w:styleId="23">
    <w:name w:val="正文文本 Char"/>
    <w:link w:val="3"/>
    <w:qFormat/>
    <w:uiPriority w:val="0"/>
    <w:rPr>
      <w:rFonts w:ascii="仿宋_GB2312" w:eastAsia="仿宋_GB2312"/>
      <w:kern w:val="2"/>
      <w:sz w:val="30"/>
    </w:rPr>
  </w:style>
  <w:style w:type="paragraph" w:customStyle="1" w:styleId="24">
    <w:name w:val="三级标题"/>
    <w:basedOn w:val="1"/>
    <w:qFormat/>
    <w:uiPriority w:val="0"/>
    <w:pPr>
      <w:spacing w:line="520" w:lineRule="exact"/>
      <w:ind w:firstLine="200" w:firstLineChars="200"/>
    </w:pPr>
    <w:rPr>
      <w:rFonts w:ascii="仿宋" w:hAnsi="仿宋" w:eastAsia="仿宋"/>
      <w:sz w:val="32"/>
      <w:szCs w:val="28"/>
    </w:rPr>
  </w:style>
  <w:style w:type="paragraph" w:customStyle="1" w:styleId="25">
    <w:name w:val="一级标题"/>
    <w:basedOn w:val="1"/>
    <w:qFormat/>
    <w:uiPriority w:val="0"/>
    <w:pPr>
      <w:spacing w:line="520" w:lineRule="exact"/>
      <w:ind w:firstLine="200" w:firstLineChars="200"/>
    </w:pPr>
    <w:rPr>
      <w:rFonts w:eastAsia="黑体"/>
      <w:sz w:val="32"/>
      <w:szCs w:val="28"/>
    </w:rPr>
  </w:style>
  <w:style w:type="paragraph" w:customStyle="1" w:styleId="26">
    <w:name w:val="正文1"/>
    <w:basedOn w:val="1"/>
    <w:qFormat/>
    <w:uiPriority w:val="0"/>
    <w:pPr>
      <w:spacing w:line="520" w:lineRule="exact"/>
      <w:ind w:firstLine="200" w:firstLineChars="200"/>
    </w:pPr>
    <w:rPr>
      <w:rFonts w:eastAsia="仿宋"/>
      <w:sz w:val="32"/>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png"/><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082"/>
    <customShpInfo spid="_x0000_s10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23</Pages>
  <Words>9087</Words>
  <Characters>9633</Characters>
  <Lines>72</Lines>
  <Paragraphs>20</Paragraphs>
  <TotalTime>0</TotalTime>
  <ScaleCrop>false</ScaleCrop>
  <LinksUpToDate>false</LinksUpToDate>
  <CharactersWithSpaces>9827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2018-07-18T02:39:00Z</dcterms:created>
  <dc:creator>yuanpeng</dc:creator>
  <cp:lastModifiedBy>太极箫客</cp:lastModifiedBy>
  <cp:lastPrinted>2017-02-22T01:02:00Z</cp:lastPrinted>
  <dcterms:modified xsi:type="dcterms:W3CDTF">2025-08-14T07:07:42Z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eyJoZGlkIjoiMDJiMzI3ODBiNTFmMWRjNDUyMjM1ZmZjODY5NDc2MWMiLCJ1c2VySWQiOiI0NTQ4Nzg1NzAifQ==</vt:lpwstr>
  </property>
  <property fmtid="{D5CDD505-2E9C-101B-9397-08002B2CF9AE}" pid="4" name="ICV">
    <vt:lpwstr>0BF1DF2F85854578BAB0FF7551C559E8_12</vt:lpwstr>
  </property>
</Properties>
</file>