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B5AF">
      <w:pPr>
        <w:kinsoku w:val="0"/>
        <w:overflowPunct w:val="0"/>
        <w:snapToGrid w:val="0"/>
        <w:spacing w:line="360" w:lineRule="auto"/>
        <w:jc w:val="center"/>
        <w:rPr>
          <w:sz w:val="44"/>
          <w:szCs w:val="44"/>
        </w:rPr>
      </w:pPr>
      <w:bookmarkStart w:id="18" w:name="_GoBack"/>
      <w:bookmarkEnd w:id="18"/>
      <w:r>
        <w:rPr>
          <w:rFonts w:hint="eastAsia" w:hAnsi="宋体"/>
          <w:b/>
          <w:bCs/>
          <w:sz w:val="44"/>
          <w:szCs w:val="44"/>
        </w:rPr>
        <w:t>行业指南</w:t>
      </w:r>
    </w:p>
    <w:p w14:paraId="3FC0E6D9">
      <w:pPr>
        <w:kinsoku w:val="0"/>
        <w:overflowPunct w:val="0"/>
        <w:snapToGrid w:val="0"/>
        <w:spacing w:before="480" w:beforeLines="200" w:after="480" w:afterLines="200" w:line="360" w:lineRule="auto"/>
        <w:jc w:val="center"/>
        <w:rPr>
          <w:sz w:val="44"/>
          <w:szCs w:val="44"/>
        </w:rPr>
      </w:pPr>
      <w:r>
        <w:rPr>
          <w:rFonts w:hint="eastAsia" w:hAnsi="宋体"/>
          <w:b/>
          <w:bCs/>
          <w:sz w:val="44"/>
          <w:szCs w:val="44"/>
        </w:rPr>
        <w:t>用作保护阻隔的耳鼻喉内窥镜鞘寻求市场许可的制造商指南</w:t>
      </w:r>
    </w:p>
    <w:p w14:paraId="6664D85D">
      <w:pPr>
        <w:kinsoku w:val="0"/>
        <w:overflowPunct w:val="0"/>
        <w:snapToGrid w:val="0"/>
        <w:spacing w:line="360" w:lineRule="auto"/>
        <w:jc w:val="both"/>
        <w:rPr>
          <w:sz w:val="21"/>
          <w:szCs w:val="21"/>
        </w:rPr>
      </w:pPr>
    </w:p>
    <w:p w14:paraId="45CD5734">
      <w:pPr>
        <w:snapToGrid w:val="0"/>
        <w:spacing w:before="120" w:beforeLines="50" w:line="360" w:lineRule="auto"/>
        <w:jc w:val="center"/>
        <w:rPr>
          <w:b/>
          <w:bCs/>
          <w:sz w:val="21"/>
          <w:szCs w:val="21"/>
        </w:rPr>
      </w:pPr>
      <w:bookmarkStart w:id="0" w:name="_Hlk495408392"/>
      <w:r>
        <w:rPr>
          <w:rFonts w:hint="eastAsia" w:hAnsi="宋体"/>
          <w:b/>
          <w:bCs/>
          <w:sz w:val="21"/>
          <w:szCs w:val="21"/>
        </w:rPr>
        <w:t>文件发布日期：</w:t>
      </w:r>
      <w:r>
        <w:rPr>
          <w:b/>
          <w:bCs/>
          <w:sz w:val="21"/>
          <w:szCs w:val="21"/>
        </w:rPr>
        <w:t>2000</w:t>
      </w:r>
      <w:r>
        <w:rPr>
          <w:rFonts w:hint="eastAsia" w:hAnsi="宋体"/>
          <w:b/>
          <w:bCs/>
          <w:sz w:val="21"/>
          <w:szCs w:val="21"/>
        </w:rPr>
        <w:t>年</w:t>
      </w:r>
      <w:r>
        <w:rPr>
          <w:b/>
          <w:bCs/>
          <w:sz w:val="21"/>
          <w:szCs w:val="21"/>
        </w:rPr>
        <w:t>3</w:t>
      </w:r>
      <w:r>
        <w:rPr>
          <w:rFonts w:hint="eastAsia" w:hAnsi="宋体"/>
          <w:b/>
          <w:bCs/>
          <w:sz w:val="21"/>
          <w:szCs w:val="21"/>
        </w:rPr>
        <w:t>月</w:t>
      </w:r>
      <w:r>
        <w:rPr>
          <w:b/>
          <w:bCs/>
          <w:sz w:val="21"/>
          <w:szCs w:val="21"/>
        </w:rPr>
        <w:t>12</w:t>
      </w:r>
      <w:r>
        <w:rPr>
          <w:rFonts w:hint="eastAsia" w:hAnsi="宋体"/>
          <w:b/>
          <w:bCs/>
          <w:sz w:val="21"/>
          <w:szCs w:val="21"/>
        </w:rPr>
        <w:t>日</w:t>
      </w:r>
      <w:bookmarkEnd w:id="0"/>
    </w:p>
    <w:p w14:paraId="7197438C">
      <w:pPr>
        <w:kinsoku w:val="0"/>
        <w:overflowPunct w:val="0"/>
        <w:snapToGrid w:val="0"/>
        <w:spacing w:line="360" w:lineRule="auto"/>
        <w:jc w:val="both"/>
        <w:rPr>
          <w:sz w:val="21"/>
          <w:szCs w:val="21"/>
        </w:rPr>
      </w:pPr>
    </w:p>
    <w:p w14:paraId="53075402">
      <w:pPr>
        <w:kinsoku w:val="0"/>
        <w:overflowPunct w:val="0"/>
        <w:snapToGrid w:val="0"/>
        <w:spacing w:line="360" w:lineRule="auto"/>
        <w:jc w:val="both"/>
        <w:rPr>
          <w:sz w:val="21"/>
          <w:szCs w:val="21"/>
        </w:rPr>
      </w:pPr>
    </w:p>
    <w:p w14:paraId="5B2EBE32">
      <w:pPr>
        <w:kinsoku w:val="0"/>
        <w:overflowPunct w:val="0"/>
        <w:snapToGrid w:val="0"/>
        <w:spacing w:line="360" w:lineRule="auto"/>
        <w:jc w:val="center"/>
        <w:rPr>
          <w:sz w:val="21"/>
          <w:szCs w:val="21"/>
        </w:rPr>
      </w:pPr>
      <w:r>
        <w:rPr>
          <w:rFonts w:hint="eastAsia" w:hAnsi="宋体"/>
          <w:sz w:val="21"/>
          <w:szCs w:val="21"/>
        </w:rPr>
        <w:t>本文件取代</w:t>
      </w:r>
      <w:r>
        <w:rPr>
          <w:sz w:val="21"/>
          <w:szCs w:val="21"/>
        </w:rPr>
        <w:t>1996</w:t>
      </w:r>
      <w:r>
        <w:rPr>
          <w:rFonts w:hint="eastAsia" w:hAnsi="宋体"/>
          <w:sz w:val="21"/>
          <w:szCs w:val="21"/>
        </w:rPr>
        <w:t>年</w:t>
      </w:r>
      <w:r>
        <w:rPr>
          <w:sz w:val="21"/>
          <w:szCs w:val="21"/>
        </w:rPr>
        <w:t>10</w:t>
      </w:r>
      <w:r>
        <w:rPr>
          <w:rFonts w:hint="eastAsia" w:hAnsi="宋体"/>
          <w:sz w:val="21"/>
          <w:szCs w:val="21"/>
        </w:rPr>
        <w:t>月</w:t>
      </w:r>
      <w:r>
        <w:rPr>
          <w:sz w:val="21"/>
          <w:szCs w:val="21"/>
        </w:rPr>
        <w:t>21</w:t>
      </w:r>
      <w:r>
        <w:rPr>
          <w:rFonts w:hint="eastAsia" w:hAnsi="宋体"/>
          <w:sz w:val="21"/>
          <w:szCs w:val="21"/>
        </w:rPr>
        <w:t>日发布的</w:t>
      </w:r>
      <w:r>
        <w:rPr>
          <w:rFonts w:hint="eastAsia" w:hAnsi="宋体"/>
          <w:b/>
          <w:sz w:val="21"/>
          <w:szCs w:val="21"/>
        </w:rPr>
        <w:t>具有保护阻隔要求的一次性无菌耳鼻喉内窥镜鞘上市前通知内容指南</w:t>
      </w:r>
    </w:p>
    <w:p w14:paraId="2B436C77">
      <w:pPr>
        <w:kinsoku w:val="0"/>
        <w:overflowPunct w:val="0"/>
        <w:snapToGrid w:val="0"/>
        <w:spacing w:line="360" w:lineRule="auto"/>
        <w:jc w:val="both"/>
        <w:rPr>
          <w:sz w:val="21"/>
          <w:szCs w:val="21"/>
        </w:rPr>
      </w:pPr>
    </w:p>
    <w:p w14:paraId="1E8928E0">
      <w:pPr>
        <w:kinsoku w:val="0"/>
        <w:overflowPunct w:val="0"/>
        <w:snapToGrid w:val="0"/>
        <w:spacing w:line="360" w:lineRule="auto"/>
        <w:jc w:val="both"/>
        <w:rPr>
          <w:sz w:val="21"/>
          <w:szCs w:val="21"/>
        </w:rPr>
      </w:pPr>
    </w:p>
    <w:p w14:paraId="22CDE66F">
      <w:pPr>
        <w:kinsoku w:val="0"/>
        <w:overflowPunct w:val="0"/>
        <w:snapToGrid w:val="0"/>
        <w:spacing w:line="360" w:lineRule="auto"/>
        <w:jc w:val="both"/>
        <w:rPr>
          <w:sz w:val="21"/>
          <w:szCs w:val="21"/>
        </w:rPr>
      </w:pPr>
    </w:p>
    <w:p w14:paraId="500DFABA">
      <w:pPr>
        <w:kinsoku w:val="0"/>
        <w:overflowPunct w:val="0"/>
        <w:snapToGrid w:val="0"/>
        <w:spacing w:line="360" w:lineRule="auto"/>
        <w:jc w:val="both"/>
        <w:rPr>
          <w:sz w:val="21"/>
          <w:szCs w:val="21"/>
        </w:rPr>
      </w:pPr>
    </w:p>
    <w:p w14:paraId="0F99B4A7">
      <w:pPr>
        <w:kinsoku w:val="0"/>
        <w:overflowPunct w:val="0"/>
        <w:snapToGrid w:val="0"/>
        <w:spacing w:line="360" w:lineRule="auto"/>
        <w:jc w:val="both"/>
        <w:rPr>
          <w:sz w:val="21"/>
          <w:szCs w:val="21"/>
        </w:rPr>
      </w:pPr>
    </w:p>
    <w:tbl>
      <w:tblPr>
        <w:tblStyle w:val="11"/>
        <w:tblW w:w="8529" w:type="dxa"/>
        <w:tblInd w:w="0" w:type="dxa"/>
        <w:tblLayout w:type="fixed"/>
        <w:tblCellMar>
          <w:top w:w="0" w:type="dxa"/>
          <w:left w:w="108" w:type="dxa"/>
          <w:bottom w:w="0" w:type="dxa"/>
          <w:right w:w="108" w:type="dxa"/>
        </w:tblCellMar>
      </w:tblPr>
      <w:tblGrid>
        <w:gridCol w:w="2660"/>
        <w:gridCol w:w="5869"/>
      </w:tblGrid>
      <w:tr w14:paraId="656E1BE7">
        <w:tblPrEx>
          <w:tblCellMar>
            <w:top w:w="0" w:type="dxa"/>
            <w:left w:w="108" w:type="dxa"/>
            <w:bottom w:w="0" w:type="dxa"/>
            <w:right w:w="108" w:type="dxa"/>
          </w:tblCellMar>
        </w:tblPrEx>
        <w:tc>
          <w:tcPr>
            <w:tcW w:w="2660" w:type="dxa"/>
            <w:vAlign w:val="center"/>
          </w:tcPr>
          <w:p w14:paraId="16B432FA">
            <w:pPr>
              <w:kinsoku w:val="0"/>
              <w:overflowPunct w:val="0"/>
              <w:snapToGrid w:val="0"/>
              <w:spacing w:line="360" w:lineRule="auto"/>
              <w:jc w:val="both"/>
              <w:rPr>
                <w:sz w:val="21"/>
                <w:szCs w:val="21"/>
              </w:rPr>
            </w:pPr>
            <w:r>
              <w:rPr>
                <w:sz w:val="21"/>
                <w:szCs w:val="21"/>
              </w:rPr>
              <w:pict>
                <v:shape id="_x0000_i1025" o:spt="75" type="#_x0000_t75" style="height:72pt;width:79.6pt;" filled="f" o:preferrelative="t" stroked="f" coordsize="21600,21600">
                  <v:path/>
                  <v:fill on="f" focussize="0,0"/>
                  <v:stroke on="f" joinstyle="miter"/>
                  <v:imagedata r:id="rId8" o:title=""/>
                  <o:lock v:ext="edit" aspectratio="t"/>
                  <w10:wrap type="none"/>
                  <w10:anchorlock/>
                </v:shape>
              </w:pict>
            </w:r>
          </w:p>
        </w:tc>
        <w:tc>
          <w:tcPr>
            <w:tcW w:w="5869" w:type="dxa"/>
            <w:vAlign w:val="center"/>
          </w:tcPr>
          <w:p w14:paraId="197F7D7E">
            <w:pPr>
              <w:snapToGrid w:val="0"/>
              <w:spacing w:line="360" w:lineRule="auto"/>
              <w:jc w:val="right"/>
              <w:rPr>
                <w:b/>
                <w:bCs/>
                <w:sz w:val="18"/>
                <w:szCs w:val="18"/>
              </w:rPr>
            </w:pPr>
            <w:bookmarkStart w:id="1" w:name="_Hlk495408448"/>
            <w:r>
              <w:rPr>
                <w:rFonts w:hint="eastAsia" w:hAnsi="宋体"/>
                <w:b/>
                <w:bCs/>
                <w:sz w:val="18"/>
                <w:szCs w:val="18"/>
              </w:rPr>
              <w:t>美国卫生和人类服务部</w:t>
            </w:r>
          </w:p>
          <w:p w14:paraId="4AFE10E8">
            <w:pPr>
              <w:snapToGrid w:val="0"/>
              <w:spacing w:line="360" w:lineRule="auto"/>
              <w:jc w:val="right"/>
              <w:rPr>
                <w:b/>
                <w:bCs/>
                <w:sz w:val="18"/>
                <w:szCs w:val="18"/>
              </w:rPr>
            </w:pPr>
            <w:r>
              <w:rPr>
                <w:rFonts w:hint="eastAsia" w:hAnsi="宋体"/>
                <w:b/>
                <w:bCs/>
                <w:sz w:val="18"/>
                <w:szCs w:val="18"/>
              </w:rPr>
              <w:t>美国食品药品管理局</w:t>
            </w:r>
          </w:p>
          <w:p w14:paraId="0FDB6EB9">
            <w:pPr>
              <w:snapToGrid w:val="0"/>
              <w:spacing w:line="360" w:lineRule="auto"/>
              <w:jc w:val="right"/>
              <w:rPr>
                <w:b/>
                <w:bCs/>
                <w:sz w:val="18"/>
                <w:szCs w:val="18"/>
              </w:rPr>
            </w:pPr>
            <w:r>
              <w:rPr>
                <w:rFonts w:hint="eastAsia" w:hAnsi="宋体"/>
                <w:b/>
                <w:bCs/>
                <w:sz w:val="18"/>
                <w:szCs w:val="18"/>
              </w:rPr>
              <w:t>器械与放射健康中心</w:t>
            </w:r>
            <w:bookmarkEnd w:id="1"/>
          </w:p>
          <w:p w14:paraId="70336BE5">
            <w:pPr>
              <w:kinsoku w:val="0"/>
              <w:overflowPunct w:val="0"/>
              <w:snapToGrid w:val="0"/>
              <w:spacing w:before="120" w:beforeLines="50" w:line="360" w:lineRule="auto"/>
              <w:jc w:val="right"/>
              <w:rPr>
                <w:b/>
                <w:bCs/>
                <w:sz w:val="18"/>
                <w:szCs w:val="18"/>
              </w:rPr>
            </w:pPr>
            <w:r>
              <w:rPr>
                <w:rFonts w:hint="eastAsia" w:hAnsi="宋体"/>
                <w:b/>
                <w:sz w:val="18"/>
                <w:szCs w:val="18"/>
              </w:rPr>
              <w:t>耳鼻喉科</w:t>
            </w:r>
            <w:r>
              <w:rPr>
                <w:rFonts w:hint="eastAsia" w:hAnsi="宋体"/>
                <w:b/>
                <w:bCs/>
                <w:sz w:val="18"/>
                <w:szCs w:val="18"/>
              </w:rPr>
              <w:t>器械科</w:t>
            </w:r>
          </w:p>
          <w:p w14:paraId="7FBF3556">
            <w:pPr>
              <w:kinsoku w:val="0"/>
              <w:overflowPunct w:val="0"/>
              <w:snapToGrid w:val="0"/>
              <w:spacing w:line="360" w:lineRule="auto"/>
              <w:jc w:val="right"/>
              <w:rPr>
                <w:sz w:val="18"/>
                <w:szCs w:val="18"/>
              </w:rPr>
            </w:pPr>
            <w:r>
              <w:rPr>
                <w:rFonts w:hint="eastAsia" w:hAnsi="宋体"/>
                <w:b/>
                <w:bCs/>
                <w:sz w:val="18"/>
                <w:szCs w:val="18"/>
              </w:rPr>
              <w:t>眼科和耳鼻喉科器械部</w:t>
            </w:r>
          </w:p>
        </w:tc>
      </w:tr>
    </w:tbl>
    <w:p w14:paraId="4C3149E7">
      <w:pPr>
        <w:widowControl/>
        <w:autoSpaceDE/>
        <w:autoSpaceDN/>
        <w:snapToGrid w:val="0"/>
        <w:spacing w:line="360" w:lineRule="auto"/>
        <w:jc w:val="right"/>
        <w:rPr>
          <w:sz w:val="21"/>
          <w:szCs w:val="21"/>
        </w:rPr>
      </w:pPr>
      <w:r>
        <w:rPr>
          <w:sz w:val="21"/>
          <w:szCs w:val="21"/>
        </w:rPr>
        <w:br w:type="page"/>
      </w:r>
      <w:r>
        <w:rPr>
          <w:rFonts w:hint="eastAsia" w:hAnsi="宋体"/>
          <w:b/>
          <w:bCs/>
          <w:sz w:val="18"/>
          <w:szCs w:val="18"/>
        </w:rPr>
        <w:t>器械评价办公室</w:t>
      </w:r>
    </w:p>
    <w:p w14:paraId="19ED0CB8">
      <w:pPr>
        <w:widowControl/>
        <w:autoSpaceDE/>
        <w:autoSpaceDN/>
        <w:snapToGrid w:val="0"/>
        <w:spacing w:line="360" w:lineRule="auto"/>
        <w:jc w:val="center"/>
        <w:rPr>
          <w:b/>
          <w:bCs/>
        </w:rPr>
      </w:pPr>
      <w:r>
        <w:rPr>
          <w:rFonts w:hint="eastAsia" w:hAnsi="宋体"/>
          <w:b/>
          <w:bCs/>
        </w:rPr>
        <w:t>前言</w:t>
      </w:r>
    </w:p>
    <w:p w14:paraId="360DB49A">
      <w:pPr>
        <w:snapToGrid w:val="0"/>
        <w:spacing w:before="120" w:beforeLines="50" w:line="360" w:lineRule="auto"/>
        <w:jc w:val="both"/>
      </w:pPr>
      <w:r>
        <w:rPr>
          <w:rFonts w:hint="eastAsia" w:hAnsi="宋体"/>
          <w:b/>
          <w:bCs/>
        </w:rPr>
        <w:t>公众意见</w:t>
      </w:r>
    </w:p>
    <w:p w14:paraId="46D655E8">
      <w:pPr>
        <w:kinsoku w:val="0"/>
        <w:overflowPunct w:val="0"/>
        <w:snapToGrid w:val="0"/>
        <w:spacing w:before="120" w:beforeLines="50" w:line="360" w:lineRule="auto"/>
        <w:ind w:left="425" w:leftChars="177"/>
        <w:jc w:val="both"/>
        <w:rPr>
          <w:sz w:val="21"/>
          <w:szCs w:val="21"/>
        </w:rPr>
      </w:pPr>
      <w:r>
        <w:rPr>
          <w:rFonts w:hint="eastAsia" w:hAnsi="宋体"/>
          <w:sz w:val="21"/>
          <w:szCs w:val="21"/>
        </w:rPr>
        <w:t>可以在任何时间将意见和建议提交至马里兰州罗克维尔企业大道</w:t>
      </w:r>
      <w:r>
        <w:rPr>
          <w:b/>
          <w:bCs/>
          <w:sz w:val="21"/>
          <w:szCs w:val="21"/>
        </w:rPr>
        <w:t>9200</w:t>
      </w:r>
      <w:r>
        <w:rPr>
          <w:rFonts w:hint="eastAsia" w:hAnsi="宋体"/>
          <w:b/>
          <w:bCs/>
          <w:sz w:val="21"/>
          <w:szCs w:val="21"/>
        </w:rPr>
        <w:t>号</w:t>
      </w:r>
      <w:r>
        <w:rPr>
          <w:b/>
          <w:bCs/>
          <w:sz w:val="21"/>
          <w:szCs w:val="21"/>
        </w:rPr>
        <w:t>HFZ 460 Harry Sauberman</w:t>
      </w:r>
      <w:r>
        <w:rPr>
          <w:rFonts w:hint="eastAsia" w:hAnsi="宋体"/>
          <w:bCs/>
          <w:sz w:val="21"/>
          <w:szCs w:val="21"/>
        </w:rPr>
        <w:t>，</w:t>
      </w:r>
      <w:r>
        <w:rPr>
          <w:rFonts w:hint="eastAsia" w:hAnsi="宋体"/>
          <w:sz w:val="21"/>
          <w:szCs w:val="21"/>
        </w:rPr>
        <w:t>邮编为</w:t>
      </w:r>
      <w:r>
        <w:rPr>
          <w:sz w:val="21"/>
          <w:szCs w:val="21"/>
        </w:rPr>
        <w:t>20850</w:t>
      </w:r>
      <w:r>
        <w:rPr>
          <w:rFonts w:hint="eastAsia" w:hAnsi="宋体"/>
          <w:sz w:val="21"/>
          <w:szCs w:val="21"/>
        </w:rPr>
        <w:t>。在文件进行下一次修订或者更新之前，</w:t>
      </w:r>
      <w:bookmarkStart w:id="2" w:name="OLE_LINK1"/>
      <w:r>
        <w:rPr>
          <w:rFonts w:hint="eastAsia"/>
          <w:sz w:val="21"/>
        </w:rPr>
        <w:t>本局将不会依据意见行事</w:t>
      </w:r>
      <w:bookmarkEnd w:id="2"/>
      <w:r>
        <w:rPr>
          <w:rFonts w:hint="eastAsia" w:hAnsi="宋体"/>
          <w:sz w:val="21"/>
          <w:szCs w:val="21"/>
        </w:rPr>
        <w:t>。有关本指南文件的使用或解释相关问题，请联系</w:t>
      </w:r>
      <w:r>
        <w:rPr>
          <w:b/>
          <w:bCs/>
          <w:sz w:val="21"/>
          <w:szCs w:val="21"/>
        </w:rPr>
        <w:t>Karen Baker, MSN</w:t>
      </w:r>
      <w:r>
        <w:rPr>
          <w:rFonts w:hint="eastAsia" w:hAnsi="宋体"/>
          <w:b/>
          <w:bCs/>
          <w:sz w:val="21"/>
          <w:szCs w:val="21"/>
        </w:rPr>
        <w:t>，电话：</w:t>
      </w:r>
      <w:r>
        <w:rPr>
          <w:b/>
          <w:bCs/>
          <w:sz w:val="21"/>
          <w:szCs w:val="21"/>
        </w:rPr>
        <w:t>240-276-4242</w:t>
      </w:r>
      <w:r>
        <w:rPr>
          <w:rFonts w:hint="eastAsia" w:hAnsi="宋体"/>
          <w:b/>
          <w:bCs/>
          <w:sz w:val="21"/>
          <w:szCs w:val="21"/>
        </w:rPr>
        <w:t>或电子邮件：</w:t>
      </w:r>
      <w:r>
        <w:rPr>
          <w:b/>
          <w:bCs/>
          <w:sz w:val="21"/>
          <w:szCs w:val="21"/>
        </w:rPr>
        <w:t xml:space="preserve"> </w:t>
      </w:r>
      <w:r>
        <w:fldChar w:fldCharType="begin"/>
      </w:r>
      <w:r>
        <w:instrText xml:space="preserve"> HYPERLINK "mailto:karen.baker@fda.hhs.gov" </w:instrText>
      </w:r>
      <w:r>
        <w:fldChar w:fldCharType="separate"/>
      </w:r>
      <w:r>
        <w:rPr>
          <w:rStyle w:val="14"/>
          <w:b/>
          <w:bCs/>
          <w:color w:val="auto"/>
          <w:sz w:val="21"/>
          <w:szCs w:val="21"/>
        </w:rPr>
        <w:t>karen.baker@fda.hhs.gov</w:t>
      </w:r>
      <w:r>
        <w:rPr>
          <w:rStyle w:val="14"/>
          <w:b/>
          <w:bCs/>
          <w:color w:val="auto"/>
          <w:sz w:val="21"/>
          <w:szCs w:val="21"/>
        </w:rPr>
        <w:fldChar w:fldCharType="end"/>
      </w:r>
      <w:r>
        <w:rPr>
          <w:rFonts w:hint="eastAsia" w:hAnsi="宋体"/>
          <w:sz w:val="21"/>
          <w:szCs w:val="21"/>
        </w:rPr>
        <w:t>。</w:t>
      </w:r>
    </w:p>
    <w:p w14:paraId="27AA7695">
      <w:pPr>
        <w:pStyle w:val="28"/>
        <w:snapToGrid w:val="0"/>
        <w:spacing w:before="240" w:beforeLines="100" w:after="0" w:line="360" w:lineRule="auto"/>
        <w:jc w:val="both"/>
        <w:rPr>
          <w:b/>
          <w:bCs/>
        </w:rPr>
      </w:pPr>
      <w:bookmarkStart w:id="3" w:name="_Toc496720447"/>
      <w:bookmarkStart w:id="4" w:name="_Hlk495399801"/>
      <w:r>
        <w:rPr>
          <w:rFonts w:hint="eastAsia" w:hAnsi="宋体"/>
          <w:b/>
          <w:bCs/>
        </w:rPr>
        <w:t>额外副本</w:t>
      </w:r>
      <w:bookmarkEnd w:id="3"/>
      <w:bookmarkEnd w:id="4"/>
    </w:p>
    <w:p w14:paraId="5193E8AD">
      <w:pPr>
        <w:kinsoku w:val="0"/>
        <w:overflowPunct w:val="0"/>
        <w:snapToGrid w:val="0"/>
        <w:spacing w:before="120" w:beforeLines="50" w:line="360" w:lineRule="auto"/>
        <w:ind w:left="425" w:leftChars="177"/>
        <w:rPr>
          <w:sz w:val="21"/>
          <w:szCs w:val="21"/>
        </w:rPr>
      </w:pPr>
      <w:r>
        <w:rPr>
          <w:rFonts w:hint="eastAsia" w:hAnsi="宋体"/>
          <w:sz w:val="21"/>
          <w:szCs w:val="21"/>
        </w:rPr>
        <w:t>本指南的附加如本可通过万维网</w:t>
      </w:r>
      <w:r>
        <w:rPr>
          <w:sz w:val="21"/>
          <w:szCs w:val="21"/>
        </w:rPr>
        <w:t>/ CDRH</w:t>
      </w:r>
      <w:r>
        <w:rPr>
          <w:rFonts w:hint="eastAsia" w:hAnsi="宋体"/>
          <w:sz w:val="21"/>
          <w:szCs w:val="21"/>
        </w:rPr>
        <w:t>的主页获得：</w:t>
      </w:r>
      <w:r>
        <w:rPr>
          <w:sz w:val="21"/>
          <w:szCs w:val="21"/>
        </w:rPr>
        <w:t xml:space="preserve">http://www.fda.gov/cdrh/ode/guidance/954.pdf </w:t>
      </w:r>
      <w:r>
        <w:rPr>
          <w:rFonts w:hint="eastAsia" w:hAnsi="宋体"/>
          <w:sz w:val="21"/>
          <w:szCs w:val="21"/>
        </w:rPr>
        <w:t>或拨打电话</w:t>
      </w:r>
      <w:r>
        <w:rPr>
          <w:sz w:val="21"/>
          <w:szCs w:val="21"/>
        </w:rPr>
        <w:t>1-800-899-0381</w:t>
      </w:r>
      <w:r>
        <w:rPr>
          <w:rFonts w:hint="eastAsia" w:hAnsi="宋体"/>
          <w:sz w:val="21"/>
          <w:szCs w:val="21"/>
        </w:rPr>
        <w:t>或</w:t>
      </w:r>
      <w:r>
        <w:rPr>
          <w:sz w:val="21"/>
          <w:szCs w:val="21"/>
        </w:rPr>
        <w:t xml:space="preserve"> 301-827-0111</w:t>
      </w:r>
      <w:r>
        <w:rPr>
          <w:rFonts w:hint="eastAsia" w:hAnsi="宋体"/>
          <w:sz w:val="21"/>
          <w:szCs w:val="21"/>
        </w:rPr>
        <w:t>向</w:t>
      </w:r>
      <w:r>
        <w:rPr>
          <w:sz w:val="21"/>
          <w:szCs w:val="21"/>
        </w:rPr>
        <w:t>CDRH Facts</w:t>
      </w:r>
      <w:r>
        <w:rPr>
          <w:rFonts w:hint="eastAsia" w:hAnsi="宋体"/>
          <w:sz w:val="21"/>
          <w:szCs w:val="21"/>
        </w:rPr>
        <w:t>索取</w:t>
      </w:r>
      <w:r>
        <w:rPr>
          <w:rFonts w:hint="eastAsia"/>
          <w:sz w:val="21"/>
          <w:szCs w:val="21"/>
        </w:rPr>
        <w:t>，</w:t>
      </w:r>
      <w:r>
        <w:rPr>
          <w:rFonts w:hint="eastAsia" w:hAnsi="宋体"/>
          <w:sz w:val="21"/>
          <w:szCs w:val="21"/>
        </w:rPr>
        <w:t>当提示输入文件架编号时请指定号码</w:t>
      </w:r>
      <w:r>
        <w:rPr>
          <w:sz w:val="21"/>
          <w:szCs w:val="21"/>
        </w:rPr>
        <w:t>954</w:t>
      </w:r>
      <w:r>
        <w:rPr>
          <w:rFonts w:hint="eastAsia" w:hAnsi="宋体"/>
          <w:sz w:val="21"/>
          <w:szCs w:val="21"/>
        </w:rPr>
        <w:t>。</w:t>
      </w:r>
    </w:p>
    <w:p w14:paraId="325217AE">
      <w:pPr>
        <w:widowControl/>
        <w:autoSpaceDE/>
        <w:autoSpaceDN/>
        <w:snapToGrid w:val="0"/>
        <w:spacing w:line="360" w:lineRule="auto"/>
        <w:jc w:val="both"/>
        <w:rPr>
          <w:sz w:val="21"/>
          <w:szCs w:val="21"/>
        </w:rPr>
      </w:pPr>
      <w:r>
        <w:rPr>
          <w:sz w:val="21"/>
          <w:szCs w:val="21"/>
        </w:rPr>
        <w:br w:type="page"/>
      </w:r>
    </w:p>
    <w:p w14:paraId="12633818">
      <w:pPr>
        <w:pStyle w:val="29"/>
        <w:kinsoku w:val="0"/>
        <w:overflowPunct w:val="0"/>
        <w:snapToGrid w:val="0"/>
        <w:spacing w:before="0" w:line="360" w:lineRule="auto"/>
        <w:ind w:left="0"/>
        <w:jc w:val="center"/>
        <w:outlineLvl w:val="9"/>
        <w:rPr>
          <w:rFonts w:hAnsi="宋体"/>
          <w:sz w:val="24"/>
          <w:szCs w:val="24"/>
        </w:rPr>
      </w:pPr>
      <w:r>
        <w:rPr>
          <w:rFonts w:hint="eastAsia" w:hAnsi="宋体"/>
          <w:sz w:val="24"/>
          <w:szCs w:val="24"/>
        </w:rPr>
        <w:t>目录</w:t>
      </w:r>
    </w:p>
    <w:p w14:paraId="036BA7F2">
      <w:pPr>
        <w:pStyle w:val="7"/>
        <w:tabs>
          <w:tab w:val="right" w:leader="dot" w:pos="8303"/>
        </w:tabs>
        <w:snapToGrid w:val="0"/>
        <w:spacing w:line="360" w:lineRule="auto"/>
        <w:rPr>
          <w:sz w:val="21"/>
          <w:szCs w:val="21"/>
        </w:rPr>
      </w:pPr>
      <w:r>
        <w:rPr>
          <w:bCs/>
          <w:sz w:val="21"/>
          <w:szCs w:val="21"/>
        </w:rPr>
        <w:fldChar w:fldCharType="begin"/>
      </w:r>
      <w:r>
        <w:rPr>
          <w:bCs/>
          <w:sz w:val="21"/>
          <w:szCs w:val="21"/>
        </w:rPr>
        <w:instrText xml:space="preserve"> TOC \o "1-3" \h \z \u </w:instrText>
      </w:r>
      <w:r>
        <w:rPr>
          <w:bCs/>
          <w:sz w:val="21"/>
          <w:szCs w:val="21"/>
        </w:rPr>
        <w:fldChar w:fldCharType="separate"/>
      </w:r>
      <w:r>
        <w:fldChar w:fldCharType="begin"/>
      </w:r>
      <w:r>
        <w:instrText xml:space="preserve"> HYPERLINK \l "_Toc497929708" </w:instrText>
      </w:r>
      <w:r>
        <w:fldChar w:fldCharType="separate"/>
      </w:r>
      <w:r>
        <w:rPr>
          <w:rStyle w:val="14"/>
          <w:rFonts w:hint="eastAsia" w:hAnsi="宋体"/>
          <w:bCs/>
          <w:iCs/>
          <w:sz w:val="21"/>
          <w:szCs w:val="21"/>
        </w:rPr>
        <w:t>序言</w:t>
      </w:r>
      <w:r>
        <w:rPr>
          <w:sz w:val="21"/>
          <w:szCs w:val="21"/>
        </w:rPr>
        <w:tab/>
      </w:r>
      <w:r>
        <w:rPr>
          <w:rFonts w:hint="eastAsia"/>
          <w:sz w:val="21"/>
          <w:szCs w:val="21"/>
        </w:rPr>
        <w:t>1</w:t>
      </w:r>
      <w:r>
        <w:rPr>
          <w:rFonts w:hint="eastAsia"/>
          <w:sz w:val="21"/>
          <w:szCs w:val="21"/>
        </w:rPr>
        <w:fldChar w:fldCharType="end"/>
      </w:r>
    </w:p>
    <w:p w14:paraId="54169D5E">
      <w:pPr>
        <w:pStyle w:val="7"/>
        <w:tabs>
          <w:tab w:val="right" w:leader="dot" w:pos="8303"/>
        </w:tabs>
        <w:snapToGrid w:val="0"/>
        <w:spacing w:line="360" w:lineRule="auto"/>
        <w:rPr>
          <w:sz w:val="21"/>
          <w:szCs w:val="21"/>
        </w:rPr>
      </w:pPr>
      <w:r>
        <w:fldChar w:fldCharType="begin"/>
      </w:r>
      <w:r>
        <w:instrText xml:space="preserve"> HYPERLINK \l "_Toc497929709" </w:instrText>
      </w:r>
      <w:r>
        <w:fldChar w:fldCharType="separate"/>
      </w:r>
      <w:r>
        <w:rPr>
          <w:rStyle w:val="14"/>
          <w:rFonts w:hint="eastAsia" w:hAnsi="宋体"/>
          <w:bCs/>
          <w:iCs/>
          <w:sz w:val="21"/>
          <w:szCs w:val="21"/>
        </w:rPr>
        <w:t>参考资料</w:t>
      </w:r>
      <w:r>
        <w:rPr>
          <w:sz w:val="21"/>
          <w:szCs w:val="21"/>
        </w:rPr>
        <w:tab/>
      </w:r>
      <w:r>
        <w:rPr>
          <w:rFonts w:hint="eastAsia"/>
          <w:sz w:val="21"/>
          <w:szCs w:val="21"/>
        </w:rPr>
        <w:t>1</w:t>
      </w:r>
      <w:r>
        <w:rPr>
          <w:rFonts w:hint="eastAsia"/>
          <w:sz w:val="21"/>
          <w:szCs w:val="21"/>
        </w:rPr>
        <w:fldChar w:fldCharType="end"/>
      </w:r>
    </w:p>
    <w:p w14:paraId="02A010AB">
      <w:pPr>
        <w:pStyle w:val="7"/>
        <w:tabs>
          <w:tab w:val="right" w:leader="dot" w:pos="8303"/>
        </w:tabs>
        <w:snapToGrid w:val="0"/>
        <w:spacing w:line="360" w:lineRule="auto"/>
        <w:rPr>
          <w:sz w:val="21"/>
          <w:szCs w:val="21"/>
        </w:rPr>
      </w:pPr>
      <w:r>
        <w:fldChar w:fldCharType="begin"/>
      </w:r>
      <w:r>
        <w:instrText xml:space="preserve"> HYPERLINK \l "_Toc497929710" </w:instrText>
      </w:r>
      <w:r>
        <w:fldChar w:fldCharType="separate"/>
      </w:r>
      <w:r>
        <w:rPr>
          <w:rStyle w:val="14"/>
          <w:rFonts w:hint="eastAsia" w:hAnsi="宋体"/>
          <w:bCs/>
          <w:iCs/>
          <w:sz w:val="21"/>
          <w:szCs w:val="21"/>
        </w:rPr>
        <w:t>定义</w:t>
      </w:r>
      <w:r>
        <w:rPr>
          <w:sz w:val="21"/>
          <w:szCs w:val="21"/>
        </w:rPr>
        <w:tab/>
      </w:r>
      <w:r>
        <w:rPr>
          <w:rFonts w:hint="eastAsia"/>
          <w:sz w:val="21"/>
          <w:szCs w:val="21"/>
        </w:rPr>
        <w:t>1</w:t>
      </w:r>
      <w:r>
        <w:rPr>
          <w:rFonts w:hint="eastAsia"/>
          <w:sz w:val="21"/>
          <w:szCs w:val="21"/>
        </w:rPr>
        <w:fldChar w:fldCharType="end"/>
      </w:r>
    </w:p>
    <w:p w14:paraId="51AC2AB7">
      <w:pPr>
        <w:pStyle w:val="7"/>
        <w:tabs>
          <w:tab w:val="right" w:leader="dot" w:pos="8303"/>
        </w:tabs>
        <w:snapToGrid w:val="0"/>
        <w:spacing w:line="360" w:lineRule="auto"/>
        <w:rPr>
          <w:sz w:val="21"/>
          <w:szCs w:val="21"/>
        </w:rPr>
      </w:pPr>
      <w:r>
        <w:fldChar w:fldCharType="begin"/>
      </w:r>
      <w:r>
        <w:instrText xml:space="preserve"> HYPERLINK \l "_Toc497929711" </w:instrText>
      </w:r>
      <w:r>
        <w:fldChar w:fldCharType="separate"/>
      </w:r>
      <w:r>
        <w:rPr>
          <w:rStyle w:val="14"/>
          <w:rFonts w:hint="eastAsia" w:hAnsi="宋体"/>
          <w:sz w:val="21"/>
          <w:szCs w:val="21"/>
        </w:rPr>
        <w:t>符号表</w:t>
      </w:r>
      <w:r>
        <w:rPr>
          <w:sz w:val="21"/>
          <w:szCs w:val="21"/>
        </w:rPr>
        <w:tab/>
      </w:r>
      <w:r>
        <w:rPr>
          <w:sz w:val="21"/>
          <w:szCs w:val="21"/>
        </w:rPr>
        <w:fldChar w:fldCharType="begin"/>
      </w:r>
      <w:r>
        <w:rPr>
          <w:sz w:val="21"/>
          <w:szCs w:val="21"/>
        </w:rPr>
        <w:instrText xml:space="preserve"> PAGEREF _Toc497929711 \h </w:instrText>
      </w:r>
      <w:r>
        <w:rPr>
          <w:sz w:val="21"/>
          <w:szCs w:val="21"/>
        </w:rPr>
        <w:fldChar w:fldCharType="separate"/>
      </w:r>
      <w:r>
        <w:rPr>
          <w:sz w:val="21"/>
          <w:szCs w:val="21"/>
        </w:rPr>
        <w:t>2</w:t>
      </w:r>
      <w:r>
        <w:rPr>
          <w:sz w:val="21"/>
          <w:szCs w:val="21"/>
        </w:rPr>
        <w:fldChar w:fldCharType="end"/>
      </w:r>
      <w:r>
        <w:rPr>
          <w:sz w:val="21"/>
          <w:szCs w:val="21"/>
        </w:rPr>
        <w:fldChar w:fldCharType="end"/>
      </w:r>
    </w:p>
    <w:p w14:paraId="54EF89F8">
      <w:pPr>
        <w:pStyle w:val="7"/>
        <w:tabs>
          <w:tab w:val="left" w:pos="420"/>
          <w:tab w:val="right" w:leader="dot" w:pos="8303"/>
        </w:tabs>
        <w:snapToGrid w:val="0"/>
        <w:spacing w:line="360" w:lineRule="auto"/>
        <w:rPr>
          <w:sz w:val="21"/>
          <w:szCs w:val="21"/>
        </w:rPr>
      </w:pPr>
      <w:r>
        <w:fldChar w:fldCharType="begin"/>
      </w:r>
      <w:r>
        <w:instrText xml:space="preserve"> HYPERLINK \l "_Toc497929712" </w:instrText>
      </w:r>
      <w:r>
        <w:fldChar w:fldCharType="separate"/>
      </w:r>
      <w:r>
        <w:rPr>
          <w:rStyle w:val="14"/>
          <w:spacing w:val="-2"/>
          <w:sz w:val="21"/>
          <w:szCs w:val="21"/>
        </w:rPr>
        <w:t>I.</w:t>
      </w:r>
      <w:r>
        <w:rPr>
          <w:sz w:val="21"/>
          <w:szCs w:val="21"/>
        </w:rPr>
        <w:tab/>
      </w:r>
      <w:r>
        <w:rPr>
          <w:rStyle w:val="14"/>
          <w:rFonts w:hint="eastAsia" w:hAnsi="宋体"/>
          <w:sz w:val="21"/>
          <w:szCs w:val="21"/>
        </w:rPr>
        <w:t>引言</w:t>
      </w:r>
      <w:r>
        <w:rPr>
          <w:sz w:val="21"/>
          <w:szCs w:val="21"/>
        </w:rPr>
        <w:tab/>
      </w:r>
      <w:r>
        <w:rPr>
          <w:sz w:val="21"/>
          <w:szCs w:val="21"/>
        </w:rPr>
        <w:fldChar w:fldCharType="begin"/>
      </w:r>
      <w:r>
        <w:rPr>
          <w:sz w:val="21"/>
          <w:szCs w:val="21"/>
        </w:rPr>
        <w:instrText xml:space="preserve"> PAGEREF _Toc497929712 \h </w:instrText>
      </w:r>
      <w:r>
        <w:rPr>
          <w:sz w:val="21"/>
          <w:szCs w:val="21"/>
        </w:rPr>
        <w:fldChar w:fldCharType="separate"/>
      </w:r>
      <w:r>
        <w:rPr>
          <w:sz w:val="21"/>
          <w:szCs w:val="21"/>
        </w:rPr>
        <w:t>2</w:t>
      </w:r>
      <w:r>
        <w:rPr>
          <w:sz w:val="21"/>
          <w:szCs w:val="21"/>
        </w:rPr>
        <w:fldChar w:fldCharType="end"/>
      </w:r>
      <w:r>
        <w:rPr>
          <w:sz w:val="21"/>
          <w:szCs w:val="21"/>
        </w:rPr>
        <w:fldChar w:fldCharType="end"/>
      </w:r>
    </w:p>
    <w:p w14:paraId="048CD79F">
      <w:pPr>
        <w:pStyle w:val="7"/>
        <w:tabs>
          <w:tab w:val="left" w:pos="630"/>
          <w:tab w:val="right" w:leader="dot" w:pos="8303"/>
        </w:tabs>
        <w:snapToGrid w:val="0"/>
        <w:spacing w:line="360" w:lineRule="auto"/>
        <w:rPr>
          <w:sz w:val="21"/>
          <w:szCs w:val="21"/>
        </w:rPr>
      </w:pPr>
      <w:r>
        <w:fldChar w:fldCharType="begin"/>
      </w:r>
      <w:r>
        <w:instrText xml:space="preserve"> HYPERLINK \l "_Toc497929713" </w:instrText>
      </w:r>
      <w:r>
        <w:fldChar w:fldCharType="separate"/>
      </w:r>
      <w:r>
        <w:rPr>
          <w:rStyle w:val="14"/>
          <w:rFonts w:hAnsi="宋体"/>
          <w:sz w:val="21"/>
          <w:szCs w:val="21"/>
        </w:rPr>
        <w:t>Ⅱ</w:t>
      </w:r>
      <w:r>
        <w:rPr>
          <w:rStyle w:val="14"/>
          <w:sz w:val="21"/>
          <w:szCs w:val="21"/>
        </w:rPr>
        <w:t>.</w:t>
      </w:r>
      <w:r>
        <w:rPr>
          <w:sz w:val="21"/>
          <w:szCs w:val="21"/>
        </w:rPr>
        <w:tab/>
      </w:r>
      <w:r>
        <w:rPr>
          <w:rStyle w:val="14"/>
          <w:rFonts w:hint="eastAsia" w:hAnsi="宋体"/>
          <w:sz w:val="21"/>
          <w:szCs w:val="21"/>
        </w:rPr>
        <w:t>分类</w:t>
      </w:r>
      <w:r>
        <w:rPr>
          <w:sz w:val="21"/>
          <w:szCs w:val="21"/>
        </w:rPr>
        <w:tab/>
      </w:r>
      <w:r>
        <w:rPr>
          <w:sz w:val="21"/>
          <w:szCs w:val="21"/>
        </w:rPr>
        <w:fldChar w:fldCharType="begin"/>
      </w:r>
      <w:r>
        <w:rPr>
          <w:sz w:val="21"/>
          <w:szCs w:val="21"/>
        </w:rPr>
        <w:instrText xml:space="preserve"> PAGEREF _Toc497929713 \h </w:instrText>
      </w:r>
      <w:r>
        <w:rPr>
          <w:sz w:val="21"/>
          <w:szCs w:val="21"/>
        </w:rPr>
        <w:fldChar w:fldCharType="separate"/>
      </w:r>
      <w:r>
        <w:rPr>
          <w:sz w:val="21"/>
          <w:szCs w:val="21"/>
        </w:rPr>
        <w:t>4</w:t>
      </w:r>
      <w:r>
        <w:rPr>
          <w:sz w:val="21"/>
          <w:szCs w:val="21"/>
        </w:rPr>
        <w:fldChar w:fldCharType="end"/>
      </w:r>
      <w:r>
        <w:rPr>
          <w:sz w:val="21"/>
          <w:szCs w:val="21"/>
        </w:rPr>
        <w:fldChar w:fldCharType="end"/>
      </w:r>
    </w:p>
    <w:p w14:paraId="2A38B126">
      <w:pPr>
        <w:pStyle w:val="7"/>
        <w:tabs>
          <w:tab w:val="left" w:pos="630"/>
          <w:tab w:val="right" w:leader="dot" w:pos="8303"/>
        </w:tabs>
        <w:snapToGrid w:val="0"/>
        <w:spacing w:line="360" w:lineRule="auto"/>
        <w:rPr>
          <w:sz w:val="21"/>
          <w:szCs w:val="21"/>
        </w:rPr>
      </w:pPr>
      <w:r>
        <w:fldChar w:fldCharType="begin"/>
      </w:r>
      <w:r>
        <w:instrText xml:space="preserve"> HYPERLINK \l "_Toc497929714" </w:instrText>
      </w:r>
      <w:r>
        <w:fldChar w:fldCharType="separate"/>
      </w:r>
      <w:r>
        <w:rPr>
          <w:rStyle w:val="14"/>
          <w:rFonts w:hAnsi="宋体"/>
          <w:sz w:val="21"/>
          <w:szCs w:val="21"/>
        </w:rPr>
        <w:t>Ⅲ</w:t>
      </w:r>
      <w:r>
        <w:rPr>
          <w:rStyle w:val="14"/>
          <w:sz w:val="21"/>
          <w:szCs w:val="21"/>
        </w:rPr>
        <w:t>.</w:t>
      </w:r>
      <w:r>
        <w:rPr>
          <w:sz w:val="21"/>
          <w:szCs w:val="21"/>
        </w:rPr>
        <w:tab/>
      </w:r>
      <w:r>
        <w:rPr>
          <w:rStyle w:val="14"/>
          <w:rFonts w:hint="eastAsia" w:hAnsi="宋体"/>
          <w:sz w:val="21"/>
          <w:szCs w:val="21"/>
        </w:rPr>
        <w:t>可能的上市前通知已获批准的器械</w:t>
      </w:r>
      <w:r>
        <w:rPr>
          <w:sz w:val="21"/>
          <w:szCs w:val="21"/>
        </w:rPr>
        <w:tab/>
      </w:r>
      <w:r>
        <w:rPr>
          <w:sz w:val="21"/>
          <w:szCs w:val="21"/>
        </w:rPr>
        <w:fldChar w:fldCharType="begin"/>
      </w:r>
      <w:r>
        <w:rPr>
          <w:sz w:val="21"/>
          <w:szCs w:val="21"/>
        </w:rPr>
        <w:instrText xml:space="preserve"> PAGEREF _Toc497929714 \h </w:instrText>
      </w:r>
      <w:r>
        <w:rPr>
          <w:sz w:val="21"/>
          <w:szCs w:val="21"/>
        </w:rPr>
        <w:fldChar w:fldCharType="separate"/>
      </w:r>
      <w:r>
        <w:rPr>
          <w:sz w:val="21"/>
          <w:szCs w:val="21"/>
        </w:rPr>
        <w:t>4</w:t>
      </w:r>
      <w:r>
        <w:rPr>
          <w:sz w:val="21"/>
          <w:szCs w:val="21"/>
        </w:rPr>
        <w:fldChar w:fldCharType="end"/>
      </w:r>
      <w:r>
        <w:rPr>
          <w:sz w:val="21"/>
          <w:szCs w:val="21"/>
        </w:rPr>
        <w:fldChar w:fldCharType="end"/>
      </w:r>
    </w:p>
    <w:p w14:paraId="5BF0D618">
      <w:pPr>
        <w:pStyle w:val="7"/>
        <w:tabs>
          <w:tab w:val="left" w:pos="630"/>
          <w:tab w:val="right" w:leader="dot" w:pos="8303"/>
        </w:tabs>
        <w:snapToGrid w:val="0"/>
        <w:spacing w:line="360" w:lineRule="auto"/>
        <w:rPr>
          <w:sz w:val="21"/>
          <w:szCs w:val="21"/>
        </w:rPr>
      </w:pPr>
      <w:r>
        <w:fldChar w:fldCharType="begin"/>
      </w:r>
      <w:r>
        <w:instrText xml:space="preserve"> HYPERLINK \l "_Toc497929715" </w:instrText>
      </w:r>
      <w:r>
        <w:fldChar w:fldCharType="separate"/>
      </w:r>
      <w:r>
        <w:rPr>
          <w:rStyle w:val="14"/>
          <w:rFonts w:hAnsi="宋体"/>
          <w:sz w:val="21"/>
          <w:szCs w:val="21"/>
        </w:rPr>
        <w:t>Ⅳ</w:t>
      </w:r>
      <w:r>
        <w:rPr>
          <w:rStyle w:val="14"/>
          <w:sz w:val="21"/>
          <w:szCs w:val="21"/>
        </w:rPr>
        <w:t>.</w:t>
      </w:r>
      <w:r>
        <w:rPr>
          <w:sz w:val="21"/>
          <w:szCs w:val="21"/>
        </w:rPr>
        <w:tab/>
      </w:r>
      <w:r>
        <w:rPr>
          <w:rStyle w:val="14"/>
          <w:rFonts w:hint="eastAsia" w:hAnsi="宋体"/>
          <w:sz w:val="21"/>
          <w:szCs w:val="21"/>
        </w:rPr>
        <w:t>所需的</w:t>
      </w:r>
      <w:r>
        <w:rPr>
          <w:rStyle w:val="14"/>
          <w:sz w:val="21"/>
          <w:szCs w:val="21"/>
        </w:rPr>
        <w:t>510(k)</w:t>
      </w:r>
      <w:r>
        <w:rPr>
          <w:rStyle w:val="14"/>
          <w:rFonts w:hint="eastAsia" w:hAnsi="宋体"/>
          <w:sz w:val="21"/>
          <w:szCs w:val="21"/>
        </w:rPr>
        <w:t>文件信息</w:t>
      </w:r>
      <w:r>
        <w:rPr>
          <w:sz w:val="21"/>
          <w:szCs w:val="21"/>
        </w:rPr>
        <w:tab/>
      </w:r>
      <w:r>
        <w:rPr>
          <w:sz w:val="21"/>
          <w:szCs w:val="21"/>
        </w:rPr>
        <w:fldChar w:fldCharType="begin"/>
      </w:r>
      <w:r>
        <w:rPr>
          <w:sz w:val="21"/>
          <w:szCs w:val="21"/>
        </w:rPr>
        <w:instrText xml:space="preserve"> PAGEREF _Toc497929715 \h </w:instrText>
      </w:r>
      <w:r>
        <w:rPr>
          <w:sz w:val="21"/>
          <w:szCs w:val="21"/>
        </w:rPr>
        <w:fldChar w:fldCharType="separate"/>
      </w:r>
      <w:r>
        <w:rPr>
          <w:sz w:val="21"/>
          <w:szCs w:val="21"/>
        </w:rPr>
        <w:t>4</w:t>
      </w:r>
      <w:r>
        <w:rPr>
          <w:sz w:val="21"/>
          <w:szCs w:val="21"/>
        </w:rPr>
        <w:fldChar w:fldCharType="end"/>
      </w:r>
      <w:r>
        <w:rPr>
          <w:sz w:val="21"/>
          <w:szCs w:val="21"/>
        </w:rPr>
        <w:fldChar w:fldCharType="end"/>
      </w:r>
    </w:p>
    <w:p w14:paraId="41524803">
      <w:pPr>
        <w:pStyle w:val="9"/>
        <w:tabs>
          <w:tab w:val="right" w:leader="dot" w:pos="8303"/>
        </w:tabs>
        <w:snapToGrid w:val="0"/>
        <w:spacing w:line="360" w:lineRule="auto"/>
        <w:ind w:left="480"/>
        <w:rPr>
          <w:sz w:val="21"/>
          <w:szCs w:val="21"/>
        </w:rPr>
      </w:pPr>
      <w:r>
        <w:fldChar w:fldCharType="begin"/>
      </w:r>
      <w:r>
        <w:instrText xml:space="preserve"> HYPERLINK \l "_Toc497929716" </w:instrText>
      </w:r>
      <w:r>
        <w:fldChar w:fldCharType="separate"/>
      </w:r>
      <w:r>
        <w:rPr>
          <w:rStyle w:val="14"/>
          <w:rFonts w:hint="eastAsia" w:hAnsi="宋体"/>
          <w:sz w:val="21"/>
          <w:szCs w:val="21"/>
        </w:rPr>
        <w:t>取样程序</w:t>
      </w:r>
      <w:r>
        <w:rPr>
          <w:sz w:val="21"/>
          <w:szCs w:val="21"/>
        </w:rPr>
        <w:tab/>
      </w:r>
      <w:r>
        <w:rPr>
          <w:sz w:val="21"/>
          <w:szCs w:val="21"/>
        </w:rPr>
        <w:fldChar w:fldCharType="begin"/>
      </w:r>
      <w:r>
        <w:rPr>
          <w:sz w:val="21"/>
          <w:szCs w:val="21"/>
        </w:rPr>
        <w:instrText xml:space="preserve"> PAGEREF _Toc497929716 \h </w:instrText>
      </w:r>
      <w:r>
        <w:rPr>
          <w:sz w:val="21"/>
          <w:szCs w:val="21"/>
        </w:rPr>
        <w:fldChar w:fldCharType="separate"/>
      </w:r>
      <w:r>
        <w:rPr>
          <w:sz w:val="21"/>
          <w:szCs w:val="21"/>
        </w:rPr>
        <w:t>13</w:t>
      </w:r>
      <w:r>
        <w:rPr>
          <w:sz w:val="21"/>
          <w:szCs w:val="21"/>
        </w:rPr>
        <w:fldChar w:fldCharType="end"/>
      </w:r>
      <w:r>
        <w:rPr>
          <w:sz w:val="21"/>
          <w:szCs w:val="21"/>
        </w:rPr>
        <w:fldChar w:fldCharType="end"/>
      </w:r>
    </w:p>
    <w:p w14:paraId="0CA16725">
      <w:pPr>
        <w:pStyle w:val="9"/>
        <w:tabs>
          <w:tab w:val="right" w:leader="dot" w:pos="8303"/>
        </w:tabs>
        <w:snapToGrid w:val="0"/>
        <w:spacing w:line="360" w:lineRule="auto"/>
        <w:ind w:left="480"/>
        <w:rPr>
          <w:sz w:val="21"/>
          <w:szCs w:val="21"/>
        </w:rPr>
      </w:pPr>
      <w:r>
        <w:fldChar w:fldCharType="begin"/>
      </w:r>
      <w:r>
        <w:instrText xml:space="preserve"> HYPERLINK \l "_Toc497929717" </w:instrText>
      </w:r>
      <w:r>
        <w:fldChar w:fldCharType="separate"/>
      </w:r>
      <w:r>
        <w:rPr>
          <w:rStyle w:val="14"/>
          <w:rFonts w:hint="eastAsia" w:hAnsi="宋体"/>
          <w:sz w:val="21"/>
          <w:szCs w:val="21"/>
        </w:rPr>
        <w:t>检测限</w:t>
      </w:r>
      <w:r>
        <w:rPr>
          <w:sz w:val="21"/>
          <w:szCs w:val="21"/>
        </w:rPr>
        <w:tab/>
      </w:r>
      <w:r>
        <w:rPr>
          <w:sz w:val="21"/>
          <w:szCs w:val="21"/>
        </w:rPr>
        <w:fldChar w:fldCharType="begin"/>
      </w:r>
      <w:r>
        <w:rPr>
          <w:sz w:val="21"/>
          <w:szCs w:val="21"/>
        </w:rPr>
        <w:instrText xml:space="preserve"> PAGEREF _Toc497929717 \h </w:instrText>
      </w:r>
      <w:r>
        <w:rPr>
          <w:sz w:val="21"/>
          <w:szCs w:val="21"/>
        </w:rPr>
        <w:fldChar w:fldCharType="separate"/>
      </w:r>
      <w:r>
        <w:rPr>
          <w:sz w:val="21"/>
          <w:szCs w:val="21"/>
        </w:rPr>
        <w:t>13</w:t>
      </w:r>
      <w:r>
        <w:rPr>
          <w:sz w:val="21"/>
          <w:szCs w:val="21"/>
        </w:rPr>
        <w:fldChar w:fldCharType="end"/>
      </w:r>
      <w:r>
        <w:rPr>
          <w:sz w:val="21"/>
          <w:szCs w:val="21"/>
        </w:rPr>
        <w:fldChar w:fldCharType="end"/>
      </w:r>
    </w:p>
    <w:p w14:paraId="26FEB7EE">
      <w:pPr>
        <w:pStyle w:val="9"/>
        <w:tabs>
          <w:tab w:val="right" w:leader="dot" w:pos="8303"/>
        </w:tabs>
        <w:snapToGrid w:val="0"/>
        <w:spacing w:line="360" w:lineRule="auto"/>
        <w:ind w:left="480"/>
        <w:rPr>
          <w:sz w:val="21"/>
          <w:szCs w:val="21"/>
        </w:rPr>
      </w:pPr>
      <w:r>
        <w:fldChar w:fldCharType="begin"/>
      </w:r>
      <w:r>
        <w:instrText xml:space="preserve"> HYPERLINK \l "_Toc497929718" </w:instrText>
      </w:r>
      <w:r>
        <w:fldChar w:fldCharType="separate"/>
      </w:r>
      <w:r>
        <w:rPr>
          <w:rStyle w:val="14"/>
          <w:rFonts w:hint="eastAsia" w:hAnsi="宋体"/>
          <w:sz w:val="21"/>
          <w:szCs w:val="21"/>
        </w:rPr>
        <w:t>结果说明</w:t>
      </w:r>
      <w:r>
        <w:rPr>
          <w:sz w:val="21"/>
          <w:szCs w:val="21"/>
        </w:rPr>
        <w:tab/>
      </w:r>
      <w:r>
        <w:rPr>
          <w:sz w:val="21"/>
          <w:szCs w:val="21"/>
        </w:rPr>
        <w:fldChar w:fldCharType="begin"/>
      </w:r>
      <w:r>
        <w:rPr>
          <w:sz w:val="21"/>
          <w:szCs w:val="21"/>
        </w:rPr>
        <w:instrText xml:space="preserve"> PAGEREF _Toc497929718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4E2F5DD">
      <w:pPr>
        <w:pStyle w:val="9"/>
        <w:tabs>
          <w:tab w:val="right" w:leader="dot" w:pos="8303"/>
        </w:tabs>
        <w:snapToGrid w:val="0"/>
        <w:spacing w:line="360" w:lineRule="auto"/>
        <w:ind w:left="480"/>
        <w:rPr>
          <w:sz w:val="21"/>
          <w:szCs w:val="21"/>
        </w:rPr>
      </w:pPr>
      <w:r>
        <w:fldChar w:fldCharType="begin"/>
      </w:r>
      <w:r>
        <w:instrText xml:space="preserve"> HYPERLINK \l "_Toc497929719" </w:instrText>
      </w:r>
      <w:r>
        <w:fldChar w:fldCharType="separate"/>
      </w:r>
      <w:r>
        <w:rPr>
          <w:rStyle w:val="14"/>
          <w:rFonts w:hint="eastAsia" w:hAnsi="宋体"/>
          <w:sz w:val="21"/>
          <w:szCs w:val="21"/>
        </w:rPr>
        <w:t>报表</w:t>
      </w:r>
      <w:r>
        <w:rPr>
          <w:sz w:val="21"/>
          <w:szCs w:val="21"/>
        </w:rPr>
        <w:tab/>
      </w:r>
      <w:r>
        <w:rPr>
          <w:sz w:val="21"/>
          <w:szCs w:val="21"/>
        </w:rPr>
        <w:fldChar w:fldCharType="begin"/>
      </w:r>
      <w:r>
        <w:rPr>
          <w:sz w:val="21"/>
          <w:szCs w:val="21"/>
        </w:rPr>
        <w:instrText xml:space="preserve"> PAGEREF _Toc497929719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61FECEF0">
      <w:pPr>
        <w:pStyle w:val="9"/>
        <w:tabs>
          <w:tab w:val="right" w:leader="dot" w:pos="8303"/>
        </w:tabs>
        <w:snapToGrid w:val="0"/>
        <w:spacing w:line="360" w:lineRule="auto"/>
        <w:ind w:left="480"/>
        <w:rPr>
          <w:sz w:val="21"/>
          <w:szCs w:val="21"/>
        </w:rPr>
      </w:pPr>
      <w:r>
        <w:fldChar w:fldCharType="begin"/>
      </w:r>
      <w:r>
        <w:instrText xml:space="preserve"> HYPERLINK \l "_Toc497929720" </w:instrText>
      </w:r>
      <w:r>
        <w:fldChar w:fldCharType="separate"/>
      </w:r>
      <w:r>
        <w:rPr>
          <w:rStyle w:val="14"/>
          <w:rFonts w:hint="eastAsia" w:hAnsi="宋体"/>
          <w:sz w:val="21"/>
          <w:szCs w:val="21"/>
        </w:rPr>
        <w:t>对挑战病毒稳定性测试的控制</w:t>
      </w:r>
      <w:r>
        <w:rPr>
          <w:sz w:val="21"/>
          <w:szCs w:val="21"/>
        </w:rPr>
        <w:tab/>
      </w:r>
      <w:r>
        <w:rPr>
          <w:sz w:val="21"/>
          <w:szCs w:val="21"/>
        </w:rPr>
        <w:fldChar w:fldCharType="begin"/>
      </w:r>
      <w:r>
        <w:rPr>
          <w:sz w:val="21"/>
          <w:szCs w:val="21"/>
        </w:rPr>
        <w:instrText xml:space="preserve"> PAGEREF _Toc497929720 \h </w:instrText>
      </w:r>
      <w:r>
        <w:rPr>
          <w:sz w:val="21"/>
          <w:szCs w:val="21"/>
        </w:rPr>
        <w:fldChar w:fldCharType="separate"/>
      </w:r>
      <w:r>
        <w:rPr>
          <w:sz w:val="21"/>
          <w:szCs w:val="21"/>
        </w:rPr>
        <w:t>14</w:t>
      </w:r>
      <w:r>
        <w:rPr>
          <w:sz w:val="21"/>
          <w:szCs w:val="21"/>
        </w:rPr>
        <w:fldChar w:fldCharType="end"/>
      </w:r>
      <w:r>
        <w:rPr>
          <w:sz w:val="21"/>
          <w:szCs w:val="21"/>
        </w:rPr>
        <w:fldChar w:fldCharType="end"/>
      </w:r>
    </w:p>
    <w:p w14:paraId="0755BB1C">
      <w:pPr>
        <w:pStyle w:val="29"/>
        <w:kinsoku w:val="0"/>
        <w:overflowPunct w:val="0"/>
        <w:snapToGrid w:val="0"/>
        <w:spacing w:before="0" w:line="360" w:lineRule="auto"/>
        <w:ind w:left="0"/>
        <w:jc w:val="both"/>
        <w:outlineLvl w:val="9"/>
        <w:rPr>
          <w:b w:val="0"/>
          <w:bCs w:val="0"/>
          <w:sz w:val="21"/>
          <w:szCs w:val="21"/>
        </w:rPr>
      </w:pPr>
      <w:r>
        <w:rPr>
          <w:bCs w:val="0"/>
          <w:sz w:val="21"/>
          <w:szCs w:val="21"/>
        </w:rPr>
        <w:fldChar w:fldCharType="end"/>
      </w:r>
    </w:p>
    <w:p w14:paraId="7EF7E68D">
      <w:pPr>
        <w:kinsoku w:val="0"/>
        <w:overflowPunct w:val="0"/>
        <w:snapToGrid w:val="0"/>
        <w:spacing w:line="360" w:lineRule="auto"/>
        <w:jc w:val="both"/>
        <w:rPr>
          <w:sz w:val="21"/>
          <w:szCs w:val="21"/>
        </w:rPr>
      </w:pPr>
    </w:p>
    <w:p w14:paraId="7E27E898">
      <w:pPr>
        <w:kinsoku w:val="0"/>
        <w:overflowPunct w:val="0"/>
        <w:snapToGrid w:val="0"/>
        <w:spacing w:line="360" w:lineRule="auto"/>
        <w:jc w:val="both"/>
        <w:rPr>
          <w:sz w:val="21"/>
          <w:szCs w:val="21"/>
        </w:rPr>
        <w:sectPr>
          <w:headerReference r:id="rId3" w:type="default"/>
          <w:footerReference r:id="rId4" w:type="default"/>
          <w:pgSz w:w="11907" w:h="16840"/>
          <w:pgMar w:top="1440" w:right="1797" w:bottom="1440" w:left="1797" w:header="680" w:footer="680" w:gutter="0"/>
          <w:cols w:space="720" w:num="1"/>
        </w:sectPr>
      </w:pPr>
    </w:p>
    <w:p w14:paraId="5C131B42">
      <w:pPr>
        <w:pStyle w:val="17"/>
        <w:kinsoku w:val="0"/>
        <w:overflowPunct w:val="0"/>
        <w:snapToGrid w:val="0"/>
        <w:spacing w:line="360" w:lineRule="auto"/>
        <w:jc w:val="both"/>
        <w:outlineLvl w:val="9"/>
        <w:rPr>
          <w:sz w:val="36"/>
          <w:szCs w:val="36"/>
        </w:rPr>
      </w:pPr>
      <w:r>
        <w:rPr>
          <w:rFonts w:hint="eastAsia" w:hAnsi="宋体"/>
          <w:bCs/>
          <w:sz w:val="36"/>
          <w:szCs w:val="36"/>
        </w:rPr>
        <w:t>用作保护阻隔的耳鼻喉内窥镜鞘寻求市场许可的制造商指南</w:t>
      </w:r>
      <w:r>
        <w:rPr>
          <w:bCs/>
          <w:sz w:val="36"/>
          <w:szCs w:val="36"/>
          <w:vertAlign w:val="superscript"/>
        </w:rPr>
        <w:t>1</w:t>
      </w:r>
    </w:p>
    <w:p w14:paraId="64099F8C">
      <w:pPr>
        <w:pStyle w:val="3"/>
        <w:kinsoku w:val="0"/>
        <w:overflowPunct w:val="0"/>
        <w:snapToGrid w:val="0"/>
        <w:spacing w:before="240" w:beforeLines="100" w:line="360" w:lineRule="auto"/>
        <w:ind w:left="0"/>
        <w:jc w:val="both"/>
        <w:outlineLvl w:val="0"/>
        <w:rPr>
          <w:b/>
          <w:bCs/>
          <w:i/>
          <w:iCs/>
          <w:sz w:val="21"/>
          <w:szCs w:val="21"/>
        </w:rPr>
      </w:pPr>
      <w:bookmarkStart w:id="5" w:name="_Toc497929708"/>
      <w:r>
        <w:rPr>
          <w:rFonts w:hint="eastAsia" w:hAnsi="宋体"/>
          <w:b/>
          <w:bCs/>
          <w:i/>
          <w:iCs/>
          <w:sz w:val="21"/>
          <w:szCs w:val="21"/>
        </w:rPr>
        <w:t>序言</w:t>
      </w:r>
      <w:bookmarkEnd w:id="5"/>
    </w:p>
    <w:p w14:paraId="603A9F44">
      <w:pPr>
        <w:pStyle w:val="3"/>
        <w:kinsoku w:val="0"/>
        <w:overflowPunct w:val="0"/>
        <w:snapToGrid w:val="0"/>
        <w:spacing w:before="120" w:beforeLines="50" w:line="360" w:lineRule="auto"/>
        <w:ind w:left="0"/>
        <w:jc w:val="both"/>
        <w:rPr>
          <w:sz w:val="21"/>
          <w:szCs w:val="21"/>
        </w:rPr>
      </w:pPr>
      <w:r>
        <w:rPr>
          <w:rFonts w:hint="eastAsia" w:hAnsi="宋体"/>
          <w:sz w:val="21"/>
          <w:szCs w:val="21"/>
        </w:rPr>
        <w:t>本指南为协助制造商编制用作保护阻隔的内窥镜鞘</w:t>
      </w:r>
      <w:r>
        <w:rPr>
          <w:sz w:val="21"/>
          <w:szCs w:val="21"/>
        </w:rPr>
        <w:t>510(k)</w:t>
      </w:r>
      <w:r>
        <w:rPr>
          <w:rFonts w:hint="eastAsia" w:hAnsi="宋体"/>
          <w:sz w:val="21"/>
          <w:szCs w:val="21"/>
        </w:rPr>
        <w:t>上市前通知提交文件提供了详细的资料。本指南取代与主题器械有关的之前所有的</w:t>
      </w:r>
      <w:r>
        <w:rPr>
          <w:sz w:val="21"/>
          <w:szCs w:val="21"/>
        </w:rPr>
        <w:t>510(k)</w:t>
      </w:r>
      <w:r>
        <w:rPr>
          <w:rFonts w:hint="eastAsia" w:hAnsi="宋体"/>
          <w:sz w:val="21"/>
          <w:szCs w:val="21"/>
        </w:rPr>
        <w:t>指南。</w:t>
      </w:r>
    </w:p>
    <w:p w14:paraId="43FCD2A3">
      <w:pPr>
        <w:pStyle w:val="3"/>
        <w:kinsoku w:val="0"/>
        <w:overflowPunct w:val="0"/>
        <w:snapToGrid w:val="0"/>
        <w:spacing w:before="240" w:beforeLines="100" w:line="360" w:lineRule="auto"/>
        <w:ind w:left="0"/>
        <w:jc w:val="both"/>
        <w:outlineLvl w:val="0"/>
        <w:rPr>
          <w:b/>
          <w:bCs/>
          <w:i/>
          <w:iCs/>
          <w:sz w:val="21"/>
          <w:szCs w:val="21"/>
        </w:rPr>
      </w:pPr>
      <w:bookmarkStart w:id="6" w:name="_Toc497929709"/>
      <w:r>
        <w:rPr>
          <w:rFonts w:hint="eastAsia" w:hAnsi="宋体"/>
          <w:b/>
          <w:bCs/>
          <w:i/>
          <w:iCs/>
          <w:sz w:val="21"/>
          <w:szCs w:val="21"/>
        </w:rPr>
        <w:t>参考资料</w:t>
      </w:r>
      <w:bookmarkEnd w:id="6"/>
    </w:p>
    <w:p w14:paraId="5529965F">
      <w:pPr>
        <w:pStyle w:val="3"/>
        <w:kinsoku w:val="0"/>
        <w:overflowPunct w:val="0"/>
        <w:snapToGrid w:val="0"/>
        <w:spacing w:before="120" w:beforeLines="50" w:line="360" w:lineRule="auto"/>
        <w:ind w:left="0"/>
        <w:jc w:val="both"/>
        <w:rPr>
          <w:color w:val="000000"/>
          <w:sz w:val="21"/>
          <w:szCs w:val="21"/>
        </w:rPr>
      </w:pPr>
      <w:r>
        <w:fldChar w:fldCharType="begin"/>
      </w:r>
      <w:r>
        <w:instrText xml:space="preserve"> HYPERLINK "http://www.fda.gov/cdrh/manual/glovmanl.pdf" </w:instrText>
      </w:r>
      <w:r>
        <w:fldChar w:fldCharType="separate"/>
      </w:r>
      <w:r>
        <w:rPr>
          <w:rFonts w:hint="eastAsia" w:hAnsi="宋体"/>
          <w:color w:val="0000FF"/>
          <w:sz w:val="21"/>
          <w:szCs w:val="21"/>
        </w:rPr>
        <w:t>医用手套管理要求</w:t>
      </w:r>
      <w:r>
        <w:rPr>
          <w:rFonts w:hint="eastAsia"/>
          <w:color w:val="0000FF"/>
          <w:sz w:val="21"/>
          <w:szCs w:val="21"/>
        </w:rPr>
        <w:t>，</w:t>
      </w:r>
      <w:r>
        <w:rPr>
          <w:rFonts w:hint="eastAsia" w:hAnsi="宋体"/>
          <w:color w:val="0000FF"/>
          <w:sz w:val="21"/>
          <w:szCs w:val="21"/>
        </w:rPr>
        <w:t>工作间手册。</w:t>
      </w:r>
      <w:r>
        <w:rPr>
          <w:rFonts w:hint="eastAsia" w:hAnsi="宋体"/>
          <w:color w:val="0000FF"/>
          <w:sz w:val="21"/>
          <w:szCs w:val="21"/>
        </w:rPr>
        <w:fldChar w:fldCharType="end"/>
      </w:r>
      <w:r>
        <w:rPr>
          <w:rFonts w:hint="eastAsia" w:hAnsi="宋体"/>
          <w:color w:val="000000"/>
          <w:sz w:val="21"/>
          <w:szCs w:val="21"/>
        </w:rPr>
        <w:t>美国卫生和福利部出版</w:t>
      </w:r>
      <w:r>
        <w:rPr>
          <w:color w:val="000000"/>
          <w:sz w:val="21"/>
          <w:szCs w:val="21"/>
        </w:rPr>
        <w:t xml:space="preserve"> (FDA) 93-4257</w:t>
      </w:r>
      <w:r>
        <w:rPr>
          <w:rFonts w:hint="eastAsia"/>
          <w:color w:val="000000"/>
          <w:sz w:val="21"/>
          <w:szCs w:val="21"/>
        </w:rPr>
        <w:t>，</w:t>
      </w:r>
      <w:r>
        <w:rPr>
          <w:color w:val="000000"/>
          <w:sz w:val="21"/>
          <w:szCs w:val="21"/>
        </w:rPr>
        <w:t>1993</w:t>
      </w:r>
      <w:r>
        <w:rPr>
          <w:rFonts w:hint="eastAsia" w:hAnsi="宋体"/>
          <w:color w:val="000000"/>
          <w:sz w:val="21"/>
          <w:szCs w:val="21"/>
        </w:rPr>
        <w:t>年</w:t>
      </w:r>
      <w:r>
        <w:rPr>
          <w:color w:val="000000"/>
          <w:sz w:val="21"/>
          <w:szCs w:val="21"/>
        </w:rPr>
        <w:t>5</w:t>
      </w:r>
      <w:r>
        <w:rPr>
          <w:rFonts w:hint="eastAsia" w:hAnsi="宋体"/>
          <w:color w:val="000000"/>
          <w:sz w:val="21"/>
          <w:szCs w:val="21"/>
        </w:rPr>
        <w:t>月。</w:t>
      </w:r>
    </w:p>
    <w:p w14:paraId="377AAE94">
      <w:pPr>
        <w:pStyle w:val="3"/>
        <w:kinsoku w:val="0"/>
        <w:overflowPunct w:val="0"/>
        <w:snapToGrid w:val="0"/>
        <w:spacing w:before="120" w:beforeLines="50" w:line="360" w:lineRule="auto"/>
        <w:ind w:left="0"/>
        <w:jc w:val="both"/>
        <w:rPr>
          <w:color w:val="000000"/>
          <w:sz w:val="21"/>
          <w:szCs w:val="21"/>
        </w:rPr>
      </w:pPr>
      <w:r>
        <w:fldChar w:fldCharType="begin"/>
      </w:r>
      <w:r>
        <w:instrText xml:space="preserve"> HYPERLINK "http://www.fda.gov/cdrh/ode/oderp455.html" </w:instrText>
      </w:r>
      <w:r>
        <w:fldChar w:fldCharType="separate"/>
      </w:r>
      <w:r>
        <w:rPr>
          <w:rFonts w:hint="eastAsia" w:hAnsi="宋体"/>
          <w:color w:val="0000FF"/>
          <w:sz w:val="21"/>
          <w:szCs w:val="21"/>
        </w:rPr>
        <w:t>新材料制成的男性避孕套测试指南</w:t>
      </w:r>
      <w:r>
        <w:rPr>
          <w:color w:val="000000"/>
          <w:sz w:val="21"/>
          <w:szCs w:val="21"/>
        </w:rPr>
        <w:t xml:space="preserve">- </w:t>
      </w:r>
      <w:r>
        <w:rPr>
          <w:color w:val="000000"/>
          <w:sz w:val="21"/>
          <w:szCs w:val="21"/>
        </w:rPr>
        <w:fldChar w:fldCharType="end"/>
      </w:r>
      <w:r>
        <w:rPr>
          <w:rFonts w:hint="eastAsia" w:hAnsi="宋体"/>
          <w:color w:val="000000"/>
          <w:sz w:val="21"/>
          <w:szCs w:val="21"/>
        </w:rPr>
        <w:t>产科、腹部、耳鼻喉科和放射科器械部妇产科器械科，</w:t>
      </w:r>
      <w:r>
        <w:rPr>
          <w:color w:val="000000"/>
          <w:sz w:val="21"/>
          <w:szCs w:val="21"/>
        </w:rPr>
        <w:t xml:space="preserve"> 1995</w:t>
      </w:r>
      <w:r>
        <w:rPr>
          <w:rFonts w:hint="eastAsia" w:hAnsi="宋体"/>
          <w:color w:val="000000"/>
          <w:sz w:val="21"/>
          <w:szCs w:val="21"/>
        </w:rPr>
        <w:t>年</w:t>
      </w:r>
      <w:r>
        <w:rPr>
          <w:color w:val="000000"/>
          <w:sz w:val="21"/>
          <w:szCs w:val="21"/>
        </w:rPr>
        <w:t>6</w:t>
      </w:r>
      <w:r>
        <w:rPr>
          <w:rFonts w:hint="eastAsia" w:hAnsi="宋体"/>
          <w:color w:val="000000"/>
          <w:sz w:val="21"/>
          <w:szCs w:val="21"/>
        </w:rPr>
        <w:t>月</w:t>
      </w:r>
      <w:r>
        <w:rPr>
          <w:color w:val="000000"/>
          <w:sz w:val="21"/>
          <w:szCs w:val="21"/>
        </w:rPr>
        <w:t>29</w:t>
      </w:r>
      <w:r>
        <w:rPr>
          <w:rFonts w:hint="eastAsia" w:hAnsi="宋体"/>
          <w:color w:val="000000"/>
          <w:sz w:val="21"/>
          <w:szCs w:val="21"/>
        </w:rPr>
        <w:t>日。</w:t>
      </w:r>
    </w:p>
    <w:p w14:paraId="7888251A">
      <w:pPr>
        <w:pStyle w:val="3"/>
        <w:kinsoku w:val="0"/>
        <w:overflowPunct w:val="0"/>
        <w:snapToGrid w:val="0"/>
        <w:spacing w:before="120" w:beforeLines="50" w:line="360" w:lineRule="auto"/>
        <w:ind w:left="0"/>
        <w:jc w:val="both"/>
        <w:rPr>
          <w:color w:val="000000"/>
          <w:sz w:val="21"/>
          <w:szCs w:val="21"/>
        </w:rPr>
      </w:pPr>
      <w:r>
        <w:fldChar w:fldCharType="begin"/>
      </w:r>
      <w:r>
        <w:instrText xml:space="preserve"> HYPERLINK "http://www.fda.gov/cdrh/ode/198.pdf" </w:instrText>
      </w:r>
      <w:r>
        <w:fldChar w:fldCharType="separate"/>
      </w:r>
      <w:r>
        <w:rPr>
          <w:rFonts w:hint="eastAsia" w:hAnsi="宋体"/>
          <w:sz w:val="21"/>
          <w:szCs w:val="21"/>
        </w:rPr>
        <w:t>卫生保健设施中的</w:t>
      </w:r>
      <w:r>
        <w:rPr>
          <w:rFonts w:hint="eastAsia" w:hAnsi="宋体"/>
          <w:color w:val="0000FF"/>
          <w:sz w:val="21"/>
          <w:szCs w:val="21"/>
        </w:rPr>
        <w:t>可重复使用医疗器械的后处理标签</w:t>
      </w:r>
      <w:r>
        <w:rPr>
          <w:rFonts w:hint="eastAsia" w:hAnsi="宋体"/>
          <w:color w:val="0000FF"/>
          <w:sz w:val="21"/>
          <w:szCs w:val="21"/>
        </w:rPr>
        <w:fldChar w:fldCharType="end"/>
      </w:r>
      <w:r>
        <w:rPr>
          <w:color w:val="000000"/>
          <w:sz w:val="21"/>
          <w:szCs w:val="21"/>
        </w:rPr>
        <w:t>: FDA</w:t>
      </w:r>
      <w:r>
        <w:rPr>
          <w:rFonts w:hint="eastAsia" w:hAnsi="宋体"/>
          <w:color w:val="000000"/>
          <w:sz w:val="21"/>
          <w:szCs w:val="21"/>
        </w:rPr>
        <w:t>评审员指南。</w:t>
      </w:r>
      <w:r>
        <w:rPr>
          <w:color w:val="000000"/>
          <w:sz w:val="21"/>
          <w:szCs w:val="21"/>
        </w:rPr>
        <w:t>”</w:t>
      </w:r>
    </w:p>
    <w:p w14:paraId="1A043F46">
      <w:pPr>
        <w:pStyle w:val="3"/>
        <w:kinsoku w:val="0"/>
        <w:overflowPunct w:val="0"/>
        <w:snapToGrid w:val="0"/>
        <w:spacing w:before="120" w:beforeLines="50" w:line="360" w:lineRule="auto"/>
        <w:ind w:left="0"/>
        <w:jc w:val="both"/>
        <w:rPr>
          <w:color w:val="000000"/>
          <w:sz w:val="21"/>
          <w:szCs w:val="21"/>
        </w:rPr>
      </w:pPr>
      <w:r>
        <w:fldChar w:fldCharType="begin"/>
      </w:r>
      <w:r>
        <w:instrText xml:space="preserve"> HYPERLINK "http://www.fda.gov/cdrh/k90-1.html" </w:instrText>
      </w:r>
      <w:r>
        <w:fldChar w:fldCharType="separate"/>
      </w:r>
      <w:r>
        <w:rPr>
          <w:sz w:val="21"/>
          <w:szCs w:val="21"/>
        </w:rPr>
        <w:t xml:space="preserve"> </w:t>
      </w:r>
      <w:r>
        <w:rPr>
          <w:color w:val="0000FF"/>
          <w:sz w:val="21"/>
          <w:szCs w:val="21"/>
        </w:rPr>
        <w:t>ODE</w:t>
      </w:r>
      <w:r>
        <w:rPr>
          <w:rFonts w:hint="eastAsia" w:hAnsi="宋体"/>
          <w:color w:val="0000FF"/>
          <w:sz w:val="21"/>
          <w:szCs w:val="21"/>
        </w:rPr>
        <w:t>蓝皮书备忘录</w:t>
      </w:r>
      <w:r>
        <w:rPr>
          <w:color w:val="0000FF"/>
          <w:sz w:val="21"/>
          <w:szCs w:val="21"/>
        </w:rPr>
        <w:t xml:space="preserve">K90-1 "510(k) </w:t>
      </w:r>
      <w:r>
        <w:rPr>
          <w:rFonts w:hint="eastAsia" w:hAnsi="宋体"/>
          <w:color w:val="0000FF"/>
          <w:sz w:val="21"/>
          <w:szCs w:val="21"/>
        </w:rPr>
        <w:t>无菌检查指南</w:t>
      </w:r>
      <w:r>
        <w:rPr>
          <w:color w:val="0000FF"/>
          <w:sz w:val="21"/>
          <w:szCs w:val="21"/>
        </w:rPr>
        <w:t>(2/12/90)</w:t>
      </w:r>
      <w:r>
        <w:rPr>
          <w:color w:val="0000FF"/>
          <w:sz w:val="21"/>
          <w:szCs w:val="21"/>
        </w:rPr>
        <w:fldChar w:fldCharType="end"/>
      </w:r>
    </w:p>
    <w:p w14:paraId="2FFC1867">
      <w:pPr>
        <w:pStyle w:val="3"/>
        <w:kinsoku w:val="0"/>
        <w:overflowPunct w:val="0"/>
        <w:snapToGrid w:val="0"/>
        <w:spacing w:before="120" w:beforeLines="50" w:line="360" w:lineRule="auto"/>
        <w:ind w:left="0"/>
        <w:jc w:val="both"/>
        <w:rPr>
          <w:sz w:val="21"/>
          <w:szCs w:val="21"/>
        </w:rPr>
      </w:pPr>
      <w:r>
        <w:rPr>
          <w:sz w:val="21"/>
          <w:szCs w:val="21"/>
        </w:rPr>
        <w:t xml:space="preserve">MIL-STD-105E </w:t>
      </w:r>
      <w:r>
        <w:rPr>
          <w:rFonts w:hint="eastAsia" w:hAnsi="宋体"/>
          <w:sz w:val="21"/>
          <w:szCs w:val="21"/>
        </w:rPr>
        <w:t>称为按属性检查的取样程序和表格</w:t>
      </w:r>
      <w:r>
        <w:rPr>
          <w:rFonts w:hint="eastAsia"/>
          <w:sz w:val="21"/>
          <w:szCs w:val="21"/>
        </w:rPr>
        <w:t>，</w:t>
      </w:r>
      <w:r>
        <w:rPr>
          <w:sz w:val="21"/>
          <w:szCs w:val="21"/>
        </w:rPr>
        <w:t>1989</w:t>
      </w:r>
      <w:r>
        <w:rPr>
          <w:rFonts w:hint="eastAsia" w:hAnsi="宋体"/>
          <w:sz w:val="21"/>
          <w:szCs w:val="21"/>
        </w:rPr>
        <w:t>年</w:t>
      </w:r>
      <w:r>
        <w:rPr>
          <w:sz w:val="21"/>
          <w:szCs w:val="21"/>
        </w:rPr>
        <w:t>5</w:t>
      </w:r>
      <w:r>
        <w:rPr>
          <w:rFonts w:hint="eastAsia" w:hAnsi="宋体"/>
          <w:sz w:val="21"/>
          <w:szCs w:val="21"/>
        </w:rPr>
        <w:t>月</w:t>
      </w:r>
      <w:r>
        <w:rPr>
          <w:sz w:val="21"/>
          <w:szCs w:val="21"/>
        </w:rPr>
        <w:t>10</w:t>
      </w:r>
      <w:r>
        <w:rPr>
          <w:rFonts w:hint="eastAsia" w:hAnsi="宋体"/>
          <w:sz w:val="21"/>
          <w:szCs w:val="21"/>
        </w:rPr>
        <w:t>日。</w:t>
      </w:r>
      <w:r>
        <w:rPr>
          <w:sz w:val="21"/>
          <w:szCs w:val="21"/>
        </w:rPr>
        <w:t xml:space="preserve"> FDA-</w:t>
      </w:r>
      <w:r>
        <w:rPr>
          <w:rFonts w:hint="eastAsia" w:hAnsi="宋体"/>
          <w:sz w:val="21"/>
          <w:szCs w:val="21"/>
        </w:rPr>
        <w:t>修正的</w:t>
      </w:r>
      <w:r>
        <w:rPr>
          <w:sz w:val="21"/>
          <w:szCs w:val="21"/>
        </w:rPr>
        <w:t>ISO 10993</w:t>
      </w:r>
      <w:r>
        <w:rPr>
          <w:rFonts w:hint="eastAsia"/>
          <w:sz w:val="21"/>
          <w:szCs w:val="21"/>
        </w:rPr>
        <w:t>，</w:t>
      </w:r>
      <w:r>
        <w:rPr>
          <w:rFonts w:hint="eastAsia" w:hAnsi="宋体"/>
          <w:sz w:val="21"/>
          <w:szCs w:val="21"/>
        </w:rPr>
        <w:t>第</w:t>
      </w:r>
      <w:r>
        <w:rPr>
          <w:sz w:val="21"/>
          <w:szCs w:val="21"/>
        </w:rPr>
        <w:t>1</w:t>
      </w:r>
      <w:r>
        <w:rPr>
          <w:rFonts w:hint="eastAsia" w:hAnsi="宋体"/>
          <w:sz w:val="21"/>
          <w:szCs w:val="21"/>
        </w:rPr>
        <w:t>部分基质</w:t>
      </w:r>
    </w:p>
    <w:p w14:paraId="7540F531">
      <w:pPr>
        <w:pStyle w:val="3"/>
        <w:kinsoku w:val="0"/>
        <w:overflowPunct w:val="0"/>
        <w:snapToGrid w:val="0"/>
        <w:spacing w:before="120" w:beforeLines="50" w:line="360" w:lineRule="auto"/>
        <w:ind w:left="0"/>
        <w:jc w:val="both"/>
        <w:rPr>
          <w:sz w:val="21"/>
          <w:szCs w:val="21"/>
        </w:rPr>
      </w:pPr>
      <w:r>
        <w:rPr>
          <w:sz w:val="21"/>
          <w:szCs w:val="21"/>
        </w:rPr>
        <w:t>ASTM F1671-97a</w:t>
      </w:r>
      <w:r>
        <w:rPr>
          <w:rFonts w:hint="eastAsia" w:hAnsi="宋体"/>
          <w:sz w:val="21"/>
          <w:szCs w:val="21"/>
        </w:rPr>
        <w:t>采用</w:t>
      </w:r>
      <w:r>
        <w:rPr>
          <w:sz w:val="21"/>
          <w:szCs w:val="21"/>
        </w:rPr>
        <w:t>Phi-X174</w:t>
      </w:r>
      <w:r>
        <w:rPr>
          <w:rFonts w:hint="eastAsia" w:hAnsi="宋体"/>
          <w:sz w:val="21"/>
          <w:szCs w:val="21"/>
        </w:rPr>
        <w:t>噬菌体渗透作为测试系统，用于防止血源性病原体渗透防护服的电阻材料的标准测试方法。</w:t>
      </w:r>
    </w:p>
    <w:p w14:paraId="580B4778">
      <w:pPr>
        <w:pStyle w:val="3"/>
        <w:kinsoku w:val="0"/>
        <w:overflowPunct w:val="0"/>
        <w:snapToGrid w:val="0"/>
        <w:spacing w:before="120" w:beforeLines="50" w:line="360" w:lineRule="auto"/>
        <w:ind w:left="0"/>
        <w:jc w:val="both"/>
        <w:rPr>
          <w:color w:val="000000"/>
          <w:sz w:val="21"/>
          <w:szCs w:val="21"/>
        </w:rPr>
      </w:pPr>
      <w:r>
        <w:fldChar w:fldCharType="begin"/>
      </w:r>
      <w:r>
        <w:instrText xml:space="preserve"> HYPERLINK "http://www.fda.gov/cdrh/g91-1.html" </w:instrText>
      </w:r>
      <w:r>
        <w:fldChar w:fldCharType="separate"/>
      </w:r>
      <w:r>
        <w:rPr>
          <w:color w:val="0000FF"/>
          <w:sz w:val="21"/>
          <w:szCs w:val="21"/>
        </w:rPr>
        <w:t>ODE</w:t>
      </w:r>
      <w:r>
        <w:rPr>
          <w:rFonts w:hint="eastAsia" w:hAnsi="宋体"/>
          <w:color w:val="0000FF"/>
          <w:sz w:val="21"/>
          <w:szCs w:val="21"/>
        </w:rPr>
        <w:t>蓝皮书备忘录</w:t>
      </w:r>
      <w:r>
        <w:rPr>
          <w:color w:val="0000FF"/>
          <w:sz w:val="21"/>
          <w:szCs w:val="21"/>
        </w:rPr>
        <w:t xml:space="preserve"> G91-1 "</w:t>
      </w:r>
      <w:r>
        <w:rPr>
          <w:rFonts w:hint="eastAsia" w:hAnsi="宋体"/>
          <w:color w:val="0000FF"/>
          <w:sz w:val="21"/>
          <w:szCs w:val="21"/>
        </w:rPr>
        <w:t>器械标签指导</w:t>
      </w:r>
      <w:r>
        <w:rPr>
          <w:rFonts w:hint="eastAsia" w:hAnsi="宋体"/>
          <w:color w:val="0000FF"/>
          <w:sz w:val="21"/>
          <w:szCs w:val="21"/>
        </w:rPr>
        <w:fldChar w:fldCharType="end"/>
      </w:r>
      <w:r>
        <w:rPr>
          <w:rFonts w:hint="eastAsia" w:hAnsi="宋体"/>
          <w:color w:val="0000FF"/>
          <w:sz w:val="21"/>
          <w:szCs w:val="21"/>
        </w:rPr>
        <w:t>原则</w:t>
      </w:r>
      <w:r>
        <w:rPr>
          <w:color w:val="000000"/>
          <w:sz w:val="21"/>
          <w:szCs w:val="21"/>
        </w:rPr>
        <w:t>(3/18/91)</w:t>
      </w:r>
    </w:p>
    <w:p w14:paraId="43C1AB5F">
      <w:pPr>
        <w:pStyle w:val="3"/>
        <w:kinsoku w:val="0"/>
        <w:overflowPunct w:val="0"/>
        <w:snapToGrid w:val="0"/>
        <w:spacing w:before="240" w:beforeLines="100" w:line="360" w:lineRule="auto"/>
        <w:ind w:left="0"/>
        <w:jc w:val="both"/>
        <w:outlineLvl w:val="0"/>
        <w:rPr>
          <w:b/>
          <w:bCs/>
          <w:i/>
          <w:iCs/>
          <w:sz w:val="21"/>
          <w:szCs w:val="21"/>
        </w:rPr>
      </w:pPr>
      <w:bookmarkStart w:id="7" w:name="_Toc497929710"/>
      <w:r>
        <w:rPr>
          <w:rFonts w:hint="eastAsia" w:hAnsi="宋体"/>
          <w:b/>
          <w:bCs/>
          <w:i/>
          <w:iCs/>
          <w:sz w:val="21"/>
          <w:szCs w:val="21"/>
        </w:rPr>
        <w:t>定义</w:t>
      </w:r>
      <w:bookmarkEnd w:id="7"/>
    </w:p>
    <w:p w14:paraId="77D8411D">
      <w:pPr>
        <w:pStyle w:val="3"/>
        <w:kinsoku w:val="0"/>
        <w:overflowPunct w:val="0"/>
        <w:snapToGrid w:val="0"/>
        <w:spacing w:before="120" w:beforeLines="50" w:line="360" w:lineRule="auto"/>
        <w:ind w:left="0"/>
        <w:jc w:val="both"/>
        <w:rPr>
          <w:sz w:val="21"/>
          <w:szCs w:val="21"/>
        </w:rPr>
      </w:pPr>
      <w:r>
        <w:rPr>
          <w:rFonts w:hint="eastAsia" w:hAnsi="宋体"/>
          <w:sz w:val="21"/>
          <w:szCs w:val="21"/>
        </w:rPr>
        <w:t>屈光度调节环</w:t>
      </w:r>
      <w:r>
        <w:rPr>
          <w:sz w:val="21"/>
          <w:szCs w:val="21"/>
        </w:rPr>
        <w:t>-</w:t>
      </w:r>
      <w:r>
        <w:rPr>
          <w:rFonts w:hint="eastAsia" w:hAnsi="宋体"/>
          <w:sz w:val="21"/>
          <w:szCs w:val="21"/>
        </w:rPr>
        <w:t>是该器械远端的一部分，可使内窥镜远端的精密调焦光学镜片通过提供视觉、放大和光线进行单独调节。</w:t>
      </w:r>
    </w:p>
    <w:p w14:paraId="3E46DB10">
      <w:pPr>
        <w:pStyle w:val="3"/>
        <w:kinsoku w:val="0"/>
        <w:overflowPunct w:val="0"/>
        <w:snapToGrid w:val="0"/>
        <w:spacing w:line="360" w:lineRule="auto"/>
        <w:ind w:left="0"/>
        <w:jc w:val="both"/>
        <w:rPr>
          <w:sz w:val="21"/>
          <w:szCs w:val="21"/>
        </w:rPr>
      </w:pPr>
    </w:p>
    <w:p w14:paraId="3F4ED373">
      <w:pPr>
        <w:pStyle w:val="3"/>
        <w:kinsoku w:val="0"/>
        <w:overflowPunct w:val="0"/>
        <w:snapToGrid w:val="0"/>
        <w:spacing w:line="360" w:lineRule="auto"/>
        <w:ind w:left="0"/>
        <w:jc w:val="both"/>
        <w:rPr>
          <w:sz w:val="21"/>
          <w:szCs w:val="21"/>
        </w:rPr>
      </w:pPr>
    </w:p>
    <w:p w14:paraId="4E12A610">
      <w:pPr>
        <w:pStyle w:val="3"/>
        <w:kinsoku w:val="0"/>
        <w:overflowPunct w:val="0"/>
        <w:snapToGrid w:val="0"/>
        <w:spacing w:line="360" w:lineRule="auto"/>
        <w:ind w:left="0"/>
        <w:jc w:val="both"/>
        <w:rPr>
          <w:sz w:val="21"/>
          <w:szCs w:val="21"/>
        </w:rPr>
      </w:pPr>
    </w:p>
    <w:p w14:paraId="3C7991FF">
      <w:pPr>
        <w:pStyle w:val="8"/>
        <w:adjustRightInd w:val="0"/>
        <w:spacing w:line="360" w:lineRule="auto"/>
        <w:jc w:val="both"/>
        <w:rPr>
          <w:rFonts w:ascii="Times New Roman" w:hAnsi="Times New Roman" w:cs="Times New Roman"/>
          <w:color w:val="auto"/>
          <w:vertAlign w:val="superscript"/>
          <w:lang w:eastAsia="zh-CN"/>
        </w:rPr>
      </w:pPr>
    </w:p>
    <w:p w14:paraId="1EE2C9D7">
      <w:pPr>
        <w:pStyle w:val="8"/>
        <w:adjustRightInd w:val="0"/>
        <w:spacing w:line="360" w:lineRule="auto"/>
        <w:jc w:val="both"/>
        <w:rPr>
          <w:rFonts w:ascii="Times New Roman" w:hAnsi="Times New Roman" w:cs="Times New Roman"/>
          <w:color w:val="auto"/>
          <w:vertAlign w:val="superscript"/>
          <w:lang w:eastAsia="zh-CN"/>
        </w:rPr>
      </w:pPr>
    </w:p>
    <w:p w14:paraId="7D660DA6">
      <w:pPr>
        <w:pStyle w:val="8"/>
        <w:adjustRightInd w:val="0"/>
        <w:spacing w:line="360" w:lineRule="auto"/>
        <w:jc w:val="both"/>
        <w:rPr>
          <w:rFonts w:ascii="Times New Roman" w:hAnsi="Times New Roman" w:cs="Times New Roman"/>
          <w:color w:val="auto"/>
          <w:vertAlign w:val="superscript"/>
          <w:lang w:eastAsia="zh-CN"/>
        </w:rPr>
      </w:pPr>
    </w:p>
    <w:p w14:paraId="4F26A39F">
      <w:pPr>
        <w:pStyle w:val="8"/>
        <w:adjustRightInd w:val="0"/>
        <w:spacing w:line="360" w:lineRule="auto"/>
        <w:jc w:val="both"/>
        <w:rPr>
          <w:rFonts w:ascii="Times New Roman" w:hAnsi="Times New Roman" w:cs="Times New Roman"/>
          <w:color w:val="auto"/>
          <w:vertAlign w:val="superscript"/>
          <w:lang w:eastAsia="zh-CN"/>
        </w:rPr>
      </w:pPr>
    </w:p>
    <w:p w14:paraId="185FF098">
      <w:pPr>
        <w:pStyle w:val="8"/>
        <w:tabs>
          <w:tab w:val="left" w:pos="1985"/>
        </w:tabs>
        <w:adjustRightInd w:val="0"/>
        <w:spacing w:line="360" w:lineRule="auto"/>
        <w:jc w:val="both"/>
        <w:rPr>
          <w:rFonts w:ascii="Times New Roman" w:hAnsi="Times New Roman" w:cs="Times New Roman"/>
          <w:color w:val="auto"/>
          <w:u w:val="single"/>
          <w:vertAlign w:val="superscript"/>
          <w:lang w:eastAsia="zh-CN"/>
        </w:rPr>
      </w:pPr>
      <w:r>
        <w:rPr>
          <w:rFonts w:ascii="Times New Roman" w:hAnsi="Times New Roman" w:cs="Times New Roman"/>
          <w:color w:val="auto"/>
          <w:u w:val="single"/>
          <w:vertAlign w:val="superscript"/>
          <w:lang w:eastAsia="zh-CN"/>
        </w:rPr>
        <w:tab/>
      </w:r>
    </w:p>
    <w:p w14:paraId="339DA4ED">
      <w:pPr>
        <w:pStyle w:val="8"/>
        <w:adjustRightInd w:val="0"/>
        <w:spacing w:line="360" w:lineRule="auto"/>
        <w:jc w:val="both"/>
        <w:rPr>
          <w:rFonts w:ascii="Times New Roman" w:hAnsi="Times New Roman" w:cs="Times New Roman"/>
          <w:color w:val="auto"/>
          <w:lang w:eastAsia="zh-CN"/>
        </w:rPr>
      </w:pPr>
      <w:r>
        <w:rPr>
          <w:rFonts w:ascii="Times New Roman" w:hAnsi="Times New Roman" w:cs="Times New Roman"/>
          <w:color w:val="auto"/>
          <w:vertAlign w:val="superscript"/>
          <w:lang w:eastAsia="zh-CN"/>
        </w:rPr>
        <w:t>1</w:t>
      </w:r>
      <w:r>
        <w:rPr>
          <w:rFonts w:hint="eastAsia" w:ascii="Times New Roman" w:hAnsi="宋体" w:cs="Times New Roman"/>
          <w:color w:val="auto"/>
          <w:lang w:eastAsia="zh-CN"/>
        </w:rPr>
        <w:t>本文件旨在提供指南。本文件代表了管理局对上述内容的思考。本文件不为任何人或就任何人创建或授予任何权利，也不对</w:t>
      </w:r>
      <w:r>
        <w:rPr>
          <w:rFonts w:ascii="Times New Roman" w:hAnsi="Times New Roman" w:cs="Times New Roman"/>
          <w:color w:val="auto"/>
          <w:lang w:eastAsia="zh-CN"/>
        </w:rPr>
        <w:t>FDA</w:t>
      </w:r>
      <w:r>
        <w:rPr>
          <w:rFonts w:hint="eastAsia" w:ascii="Times New Roman" w:hAnsi="宋体" w:cs="Times New Roman"/>
          <w:color w:val="auto"/>
          <w:lang w:eastAsia="zh-CN"/>
        </w:rPr>
        <w:t>或公众具有约束力。如果其他方法满足适用法令、法规或二者共同的要求，则可以使用该方法。</w:t>
      </w:r>
    </w:p>
    <w:p w14:paraId="105E8178">
      <w:pPr>
        <w:pStyle w:val="3"/>
        <w:kinsoku w:val="0"/>
        <w:overflowPunct w:val="0"/>
        <w:snapToGrid w:val="0"/>
        <w:spacing w:before="120" w:beforeLines="50" w:line="360" w:lineRule="auto"/>
        <w:ind w:left="0"/>
        <w:jc w:val="both"/>
        <w:rPr>
          <w:sz w:val="21"/>
          <w:szCs w:val="21"/>
        </w:rPr>
        <w:sectPr>
          <w:footerReference r:id="rId5" w:type="default"/>
          <w:pgSz w:w="11907" w:h="16840"/>
          <w:pgMar w:top="1440" w:right="1797" w:bottom="1440" w:left="1797" w:header="680" w:footer="680" w:gutter="0"/>
          <w:pgNumType w:start="1"/>
          <w:cols w:space="720" w:num="1"/>
        </w:sectPr>
      </w:pPr>
    </w:p>
    <w:p w14:paraId="149980AF">
      <w:pPr>
        <w:pStyle w:val="3"/>
        <w:kinsoku w:val="0"/>
        <w:overflowPunct w:val="0"/>
        <w:snapToGrid w:val="0"/>
        <w:spacing w:before="120" w:beforeLines="50" w:line="360" w:lineRule="auto"/>
        <w:ind w:left="0"/>
        <w:jc w:val="both"/>
        <w:rPr>
          <w:sz w:val="21"/>
          <w:szCs w:val="21"/>
        </w:rPr>
      </w:pPr>
      <w:r>
        <w:rPr>
          <w:rFonts w:hint="eastAsia" w:hAnsi="宋体"/>
          <w:sz w:val="21"/>
          <w:szCs w:val="21"/>
        </w:rPr>
        <w:t>棒形镜片</w:t>
      </w:r>
      <w:r>
        <w:rPr>
          <w:sz w:val="21"/>
          <w:szCs w:val="21"/>
        </w:rPr>
        <w:t>-</w:t>
      </w:r>
      <w:r>
        <w:rPr>
          <w:rFonts w:hint="eastAsia" w:hAnsi="宋体"/>
          <w:sz w:val="21"/>
          <w:szCs w:val="21"/>
        </w:rPr>
        <w:t>用非弹性圆柱体包裹的光导纤维束。</w:t>
      </w:r>
    </w:p>
    <w:p w14:paraId="5FEA73DE">
      <w:pPr>
        <w:pStyle w:val="3"/>
        <w:kinsoku w:val="0"/>
        <w:overflowPunct w:val="0"/>
        <w:snapToGrid w:val="0"/>
        <w:spacing w:before="120" w:beforeLines="50" w:line="360" w:lineRule="auto"/>
        <w:ind w:left="0"/>
        <w:jc w:val="both"/>
        <w:rPr>
          <w:sz w:val="21"/>
          <w:szCs w:val="21"/>
        </w:rPr>
      </w:pPr>
      <w:r>
        <w:rPr>
          <w:rFonts w:hint="eastAsia" w:hAnsi="宋体"/>
          <w:sz w:val="21"/>
          <w:szCs w:val="21"/>
        </w:rPr>
        <w:t>替代微生物</w:t>
      </w:r>
      <w:r>
        <w:rPr>
          <w:sz w:val="21"/>
          <w:szCs w:val="21"/>
        </w:rPr>
        <w:t xml:space="preserve">– </w:t>
      </w:r>
      <w:r>
        <w:rPr>
          <w:rFonts w:hint="eastAsia" w:hAnsi="宋体"/>
          <w:sz w:val="21"/>
          <w:szCs w:val="21"/>
        </w:rPr>
        <w:t>就本指南而言</w:t>
      </w:r>
      <w:r>
        <w:rPr>
          <w:rFonts w:hint="eastAsia"/>
          <w:sz w:val="21"/>
          <w:szCs w:val="21"/>
        </w:rPr>
        <w:t>，</w:t>
      </w:r>
      <w:r>
        <w:rPr>
          <w:sz w:val="21"/>
          <w:szCs w:val="21"/>
        </w:rPr>
        <w:t xml:space="preserve"> </w:t>
      </w:r>
      <w:r>
        <w:rPr>
          <w:rFonts w:hint="eastAsia" w:hAnsi="宋体"/>
          <w:sz w:val="21"/>
          <w:szCs w:val="21"/>
        </w:rPr>
        <w:t>替代微生物是</w:t>
      </w:r>
      <w:r>
        <w:rPr>
          <w:sz w:val="21"/>
          <w:szCs w:val="21"/>
        </w:rPr>
        <w:t>Phi-X 174</w:t>
      </w:r>
      <w:r>
        <w:rPr>
          <w:rFonts w:hint="eastAsia"/>
          <w:sz w:val="21"/>
          <w:szCs w:val="21"/>
        </w:rPr>
        <w:t>，</w:t>
      </w:r>
      <w:r>
        <w:rPr>
          <w:rFonts w:hint="eastAsia" w:hAnsi="宋体"/>
          <w:sz w:val="21"/>
          <w:szCs w:val="21"/>
        </w:rPr>
        <w:t>一种对人类没有致病作用但能模拟人类致病病毒的噬菌体。</w:t>
      </w:r>
    </w:p>
    <w:p w14:paraId="406BF1A0">
      <w:pPr>
        <w:pStyle w:val="3"/>
        <w:kinsoku w:val="0"/>
        <w:overflowPunct w:val="0"/>
        <w:snapToGrid w:val="0"/>
        <w:spacing w:before="120" w:beforeLines="50" w:line="360" w:lineRule="auto"/>
        <w:ind w:left="0"/>
        <w:jc w:val="both"/>
        <w:rPr>
          <w:sz w:val="21"/>
          <w:szCs w:val="21"/>
        </w:rPr>
      </w:pPr>
      <w:r>
        <w:rPr>
          <w:rFonts w:hint="eastAsia" w:hAnsi="宋体"/>
          <w:sz w:val="21"/>
          <w:szCs w:val="21"/>
        </w:rPr>
        <w:t>噬菌体</w:t>
      </w:r>
      <w:r>
        <w:rPr>
          <w:sz w:val="21"/>
          <w:szCs w:val="21"/>
        </w:rPr>
        <w:t>–</w:t>
      </w:r>
      <w:r>
        <w:rPr>
          <w:rFonts w:hint="eastAsia" w:hAnsi="宋体"/>
          <w:sz w:val="21"/>
          <w:szCs w:val="21"/>
        </w:rPr>
        <w:t>一种能感染细菌的病毒。</w:t>
      </w:r>
    </w:p>
    <w:p w14:paraId="08216923">
      <w:pPr>
        <w:pStyle w:val="3"/>
        <w:kinsoku w:val="0"/>
        <w:overflowPunct w:val="0"/>
        <w:snapToGrid w:val="0"/>
        <w:spacing w:before="120" w:beforeLines="50" w:line="360" w:lineRule="auto"/>
        <w:ind w:left="0"/>
        <w:jc w:val="both"/>
        <w:rPr>
          <w:sz w:val="21"/>
          <w:szCs w:val="21"/>
        </w:rPr>
      </w:pPr>
      <w:r>
        <w:rPr>
          <w:rFonts w:hint="eastAsia" w:hAnsi="宋体"/>
          <w:sz w:val="21"/>
          <w:szCs w:val="21"/>
        </w:rPr>
        <w:t>滴度</w:t>
      </w:r>
      <w:r>
        <w:rPr>
          <w:sz w:val="21"/>
          <w:szCs w:val="21"/>
        </w:rPr>
        <w:t>–</w:t>
      </w:r>
      <w:r>
        <w:rPr>
          <w:rFonts w:hint="eastAsia" w:hAnsi="宋体"/>
          <w:sz w:val="21"/>
          <w:szCs w:val="21"/>
        </w:rPr>
        <w:t>与既定量的另一种物质的黏稠度</w:t>
      </w:r>
      <w:r>
        <w:rPr>
          <w:sz w:val="21"/>
          <w:szCs w:val="21"/>
        </w:rPr>
        <w:t>(</w:t>
      </w:r>
      <w:r>
        <w:rPr>
          <w:rFonts w:hint="eastAsia" w:hAnsi="宋体"/>
          <w:sz w:val="21"/>
          <w:szCs w:val="21"/>
        </w:rPr>
        <w:t>液体厚度的符合性、流动阻力</w:t>
      </w:r>
      <w:r>
        <w:rPr>
          <w:sz w:val="21"/>
          <w:szCs w:val="21"/>
        </w:rPr>
        <w:t>)</w:t>
      </w:r>
      <w:r>
        <w:rPr>
          <w:rFonts w:hint="eastAsia" w:hAnsi="宋体"/>
          <w:sz w:val="21"/>
          <w:szCs w:val="21"/>
        </w:rPr>
        <w:t>起化学反应或与其相当所需的物质量。</w:t>
      </w:r>
    </w:p>
    <w:p w14:paraId="04CB074F">
      <w:pPr>
        <w:pStyle w:val="20"/>
        <w:kinsoku w:val="0"/>
        <w:overflowPunct w:val="0"/>
        <w:snapToGrid w:val="0"/>
        <w:spacing w:before="120" w:beforeLines="50" w:line="360" w:lineRule="auto"/>
        <w:ind w:left="0"/>
        <w:jc w:val="both"/>
        <w:outlineLvl w:val="0"/>
        <w:rPr>
          <w:rFonts w:ascii="Times New Roman" w:hAnsi="Times New Roman" w:cs="Times New Roman"/>
          <w:b w:val="0"/>
          <w:bCs w:val="0"/>
          <w:i w:val="0"/>
          <w:iCs w:val="0"/>
          <w:sz w:val="21"/>
          <w:szCs w:val="21"/>
        </w:rPr>
      </w:pPr>
      <w:bookmarkStart w:id="8" w:name="_Toc497929711"/>
      <w:r>
        <w:rPr>
          <w:rFonts w:hint="eastAsia" w:ascii="Times New Roman" w:hAnsi="宋体" w:cs="Times New Roman"/>
          <w:sz w:val="21"/>
          <w:szCs w:val="21"/>
        </w:rPr>
        <w:t>符号表</w:t>
      </w:r>
      <w:bookmarkEnd w:id="8"/>
    </w:p>
    <w:p w14:paraId="7BE41FE3">
      <w:pPr>
        <w:pStyle w:val="3"/>
        <w:kinsoku w:val="0"/>
        <w:overflowPunct w:val="0"/>
        <w:snapToGrid w:val="0"/>
        <w:spacing w:before="120" w:beforeLines="50" w:line="360" w:lineRule="auto"/>
        <w:ind w:left="0"/>
        <w:jc w:val="both"/>
        <w:rPr>
          <w:sz w:val="21"/>
          <w:szCs w:val="21"/>
        </w:rPr>
      </w:pPr>
      <w:r>
        <w:rPr>
          <w:sz w:val="21"/>
          <w:szCs w:val="21"/>
        </w:rPr>
        <w:t>pfu -</w:t>
      </w:r>
      <w:r>
        <w:rPr>
          <w:rFonts w:hint="eastAsia" w:hAnsi="宋体"/>
          <w:sz w:val="21"/>
          <w:szCs w:val="21"/>
        </w:rPr>
        <w:t>空斑形成单位</w:t>
      </w:r>
    </w:p>
    <w:p w14:paraId="79A83E86">
      <w:pPr>
        <w:pStyle w:val="3"/>
        <w:kinsoku w:val="0"/>
        <w:overflowPunct w:val="0"/>
        <w:snapToGrid w:val="0"/>
        <w:spacing w:line="360" w:lineRule="auto"/>
        <w:ind w:left="0"/>
        <w:jc w:val="both"/>
        <w:rPr>
          <w:sz w:val="21"/>
          <w:szCs w:val="21"/>
        </w:rPr>
      </w:pPr>
      <w:r>
        <w:rPr>
          <w:sz w:val="21"/>
          <w:szCs w:val="21"/>
        </w:rPr>
        <w:t>mL -</w:t>
      </w:r>
      <w:r>
        <w:rPr>
          <w:rFonts w:hint="eastAsia" w:hAnsi="宋体"/>
          <w:sz w:val="21"/>
          <w:szCs w:val="21"/>
        </w:rPr>
        <w:t>毫升</w:t>
      </w:r>
    </w:p>
    <w:p w14:paraId="46738CA5">
      <w:pPr>
        <w:pStyle w:val="3"/>
        <w:kinsoku w:val="0"/>
        <w:overflowPunct w:val="0"/>
        <w:snapToGrid w:val="0"/>
        <w:spacing w:line="360" w:lineRule="auto"/>
        <w:ind w:left="0"/>
        <w:jc w:val="both"/>
        <w:rPr>
          <w:sz w:val="21"/>
          <w:szCs w:val="21"/>
        </w:rPr>
      </w:pPr>
      <w:r>
        <w:rPr>
          <w:sz w:val="21"/>
          <w:szCs w:val="21"/>
        </w:rPr>
        <w:t>(L -</w:t>
      </w:r>
      <w:r>
        <w:rPr>
          <w:rFonts w:hint="eastAsia" w:hAnsi="宋体"/>
          <w:sz w:val="21"/>
          <w:szCs w:val="21"/>
        </w:rPr>
        <w:t>微升</w:t>
      </w:r>
    </w:p>
    <w:p w14:paraId="59E77A6B">
      <w:pPr>
        <w:pStyle w:val="3"/>
        <w:kinsoku w:val="0"/>
        <w:overflowPunct w:val="0"/>
        <w:snapToGrid w:val="0"/>
        <w:spacing w:line="360" w:lineRule="auto"/>
        <w:ind w:left="0"/>
        <w:jc w:val="both"/>
        <w:rPr>
          <w:sz w:val="21"/>
          <w:szCs w:val="21"/>
        </w:rPr>
      </w:pPr>
      <w:r>
        <w:rPr>
          <w:sz w:val="21"/>
          <w:szCs w:val="21"/>
        </w:rPr>
        <w:t>pfu/10(L -</w:t>
      </w:r>
      <w:r>
        <w:rPr>
          <w:rFonts w:hint="eastAsia" w:hAnsi="宋体"/>
          <w:sz w:val="21"/>
          <w:szCs w:val="21"/>
        </w:rPr>
        <w:t>每</w:t>
      </w:r>
      <w:r>
        <w:rPr>
          <w:sz w:val="21"/>
          <w:szCs w:val="21"/>
        </w:rPr>
        <w:t>10</w:t>
      </w:r>
      <w:r>
        <w:rPr>
          <w:rFonts w:hint="eastAsia" w:hAnsi="宋体"/>
          <w:sz w:val="21"/>
          <w:szCs w:val="21"/>
        </w:rPr>
        <w:t>微升的空斑形成单位</w:t>
      </w:r>
    </w:p>
    <w:p w14:paraId="20504AF7">
      <w:pPr>
        <w:pStyle w:val="3"/>
        <w:kinsoku w:val="0"/>
        <w:overflowPunct w:val="0"/>
        <w:snapToGrid w:val="0"/>
        <w:spacing w:line="360" w:lineRule="auto"/>
        <w:ind w:left="0"/>
        <w:jc w:val="both"/>
        <w:rPr>
          <w:sz w:val="21"/>
          <w:szCs w:val="21"/>
        </w:rPr>
      </w:pPr>
      <w:r>
        <w:rPr>
          <w:sz w:val="21"/>
          <w:szCs w:val="21"/>
        </w:rPr>
        <w:t>pfu/100mL -</w:t>
      </w:r>
      <w:r>
        <w:rPr>
          <w:rFonts w:hint="eastAsia" w:hAnsi="宋体"/>
          <w:sz w:val="21"/>
          <w:szCs w:val="21"/>
        </w:rPr>
        <w:t>每</w:t>
      </w:r>
      <w:r>
        <w:rPr>
          <w:sz w:val="21"/>
          <w:szCs w:val="21"/>
        </w:rPr>
        <w:t>100</w:t>
      </w:r>
      <w:r>
        <w:rPr>
          <w:rFonts w:hint="eastAsia" w:hAnsi="宋体"/>
          <w:sz w:val="21"/>
          <w:szCs w:val="21"/>
        </w:rPr>
        <w:t>微升的空斑形成单位</w:t>
      </w:r>
    </w:p>
    <w:p w14:paraId="4358B561">
      <w:pPr>
        <w:pStyle w:val="20"/>
        <w:numPr>
          <w:ilvl w:val="0"/>
          <w:numId w:val="1"/>
        </w:numPr>
        <w:kinsoku w:val="0"/>
        <w:overflowPunct w:val="0"/>
        <w:snapToGrid w:val="0"/>
        <w:spacing w:before="120" w:beforeLines="50" w:line="360" w:lineRule="auto"/>
        <w:ind w:left="422" w:hanging="422" w:hangingChars="200"/>
        <w:jc w:val="both"/>
        <w:outlineLvl w:val="0"/>
        <w:rPr>
          <w:rFonts w:ascii="Times New Roman" w:hAnsi="Times New Roman" w:cs="Times New Roman"/>
          <w:b w:val="0"/>
          <w:bCs w:val="0"/>
          <w:i w:val="0"/>
          <w:iCs w:val="0"/>
          <w:sz w:val="21"/>
          <w:szCs w:val="21"/>
        </w:rPr>
      </w:pPr>
      <w:bookmarkStart w:id="9" w:name="_Toc497929712"/>
      <w:r>
        <w:rPr>
          <w:rFonts w:hint="eastAsia" w:ascii="Times New Roman" w:hAnsi="宋体" w:cs="Times New Roman"/>
          <w:sz w:val="21"/>
          <w:szCs w:val="21"/>
        </w:rPr>
        <w:t>引言</w:t>
      </w:r>
      <w:bookmarkEnd w:id="9"/>
    </w:p>
    <w:p w14:paraId="3D33274D">
      <w:pPr>
        <w:pStyle w:val="3"/>
        <w:numPr>
          <w:ilvl w:val="0"/>
          <w:numId w:val="2"/>
        </w:numPr>
        <w:kinsoku w:val="0"/>
        <w:overflowPunct w:val="0"/>
        <w:snapToGrid w:val="0"/>
        <w:spacing w:before="120" w:beforeLines="50" w:line="360" w:lineRule="auto"/>
        <w:ind w:left="420" w:hanging="420" w:hangingChars="200"/>
        <w:jc w:val="both"/>
        <w:rPr>
          <w:sz w:val="21"/>
          <w:szCs w:val="21"/>
        </w:rPr>
      </w:pPr>
      <w:r>
        <w:rPr>
          <w:rFonts w:hint="eastAsia" w:hAnsi="宋体"/>
          <w:sz w:val="21"/>
          <w:szCs w:val="21"/>
        </w:rPr>
        <w:t>引言和总体说明</w:t>
      </w:r>
    </w:p>
    <w:p w14:paraId="6E777F60">
      <w:pPr>
        <w:pStyle w:val="3"/>
        <w:kinsoku w:val="0"/>
        <w:overflowPunct w:val="0"/>
        <w:snapToGrid w:val="0"/>
        <w:spacing w:before="120" w:beforeLines="50" w:line="360" w:lineRule="auto"/>
        <w:ind w:left="0"/>
        <w:jc w:val="both"/>
        <w:rPr>
          <w:sz w:val="21"/>
          <w:szCs w:val="21"/>
        </w:rPr>
      </w:pPr>
      <w:r>
        <w:rPr>
          <w:rFonts w:hint="eastAsia" w:hAnsi="宋体"/>
          <w:sz w:val="21"/>
          <w:szCs w:val="21"/>
        </w:rPr>
        <w:t>本文件反映的是目前耳鼻喉</w:t>
      </w:r>
      <w:r>
        <w:rPr>
          <w:sz w:val="21"/>
          <w:szCs w:val="21"/>
        </w:rPr>
        <w:t xml:space="preserve">(ENT) </w:t>
      </w:r>
      <w:r>
        <w:rPr>
          <w:rFonts w:hint="eastAsia" w:hAnsi="宋体"/>
          <w:sz w:val="21"/>
          <w:szCs w:val="21"/>
        </w:rPr>
        <w:t>内窥镜鞘器械的审核指南。</w:t>
      </w:r>
      <w:r>
        <w:rPr>
          <w:sz w:val="21"/>
          <w:szCs w:val="21"/>
        </w:rPr>
        <w:t xml:space="preserve"> </w:t>
      </w:r>
      <w:r>
        <w:rPr>
          <w:rFonts w:hint="eastAsia" w:hAnsi="宋体"/>
          <w:sz w:val="21"/>
          <w:szCs w:val="21"/>
        </w:rPr>
        <w:t>它是基于</w:t>
      </w:r>
      <w:r>
        <w:rPr>
          <w:sz w:val="21"/>
          <w:szCs w:val="21"/>
        </w:rPr>
        <w:t xml:space="preserve"> 1) </w:t>
      </w:r>
      <w:r>
        <w:rPr>
          <w:rFonts w:hint="eastAsia" w:hAnsi="宋体"/>
          <w:sz w:val="21"/>
          <w:szCs w:val="21"/>
        </w:rPr>
        <w:t>当前的科学知识</w:t>
      </w:r>
      <w:r>
        <w:rPr>
          <w:sz w:val="21"/>
          <w:szCs w:val="21"/>
        </w:rPr>
        <w:t xml:space="preserve"> 2) </w:t>
      </w:r>
      <w:r>
        <w:rPr>
          <w:rFonts w:hint="eastAsia" w:hAnsi="宋体"/>
          <w:sz w:val="21"/>
          <w:szCs w:val="21"/>
        </w:rPr>
        <w:t>临床经验；</w:t>
      </w:r>
      <w:r>
        <w:rPr>
          <w:sz w:val="21"/>
          <w:szCs w:val="21"/>
        </w:rPr>
        <w:t xml:space="preserve">3) </w:t>
      </w:r>
      <w:r>
        <w:rPr>
          <w:rFonts w:hint="eastAsia" w:hAnsi="宋体"/>
          <w:sz w:val="21"/>
          <w:szCs w:val="21"/>
        </w:rPr>
        <w:t>制造商以前向美国食品药品管理局</w:t>
      </w:r>
      <w:r>
        <w:rPr>
          <w:sz w:val="21"/>
          <w:szCs w:val="21"/>
        </w:rPr>
        <w:t>(FDA)</w:t>
      </w:r>
      <w:r>
        <w:rPr>
          <w:rFonts w:hint="eastAsia" w:hAnsi="宋体"/>
          <w:sz w:val="21"/>
          <w:szCs w:val="21"/>
        </w:rPr>
        <w:t>提交的文件；</w:t>
      </w:r>
      <w:r>
        <w:rPr>
          <w:sz w:val="21"/>
          <w:szCs w:val="21"/>
        </w:rPr>
        <w:t>4) 1990</w:t>
      </w:r>
      <w:r>
        <w:rPr>
          <w:rFonts w:hint="eastAsia" w:hAnsi="宋体"/>
          <w:sz w:val="21"/>
          <w:szCs w:val="21"/>
        </w:rPr>
        <w:t>年的安全医疗器械法；美国食品药品管理局的现代化法；及《美国联邦法规》</w:t>
      </w:r>
      <w:r>
        <w:rPr>
          <w:sz w:val="21"/>
          <w:szCs w:val="21"/>
        </w:rPr>
        <w:t>(CFR)</w:t>
      </w:r>
      <w:r>
        <w:rPr>
          <w:rFonts w:hint="eastAsia" w:hAnsi="宋体"/>
          <w:sz w:val="21"/>
          <w:szCs w:val="21"/>
        </w:rPr>
        <w:t>中的</w:t>
      </w:r>
      <w:r>
        <w:rPr>
          <w:sz w:val="21"/>
          <w:szCs w:val="21"/>
        </w:rPr>
        <w:t>FDA</w:t>
      </w:r>
      <w:r>
        <w:rPr>
          <w:rFonts w:hint="eastAsia" w:hAnsi="宋体"/>
          <w:sz w:val="21"/>
          <w:szCs w:val="21"/>
        </w:rPr>
        <w:t>法规。随着科学和医学的进步，以及器械法规的变化，这些审核标准将会在必要时进行重新评估和修订。</w:t>
      </w:r>
    </w:p>
    <w:p w14:paraId="795E6DDF">
      <w:pPr>
        <w:pStyle w:val="3"/>
        <w:kinsoku w:val="0"/>
        <w:overflowPunct w:val="0"/>
        <w:snapToGrid w:val="0"/>
        <w:spacing w:before="120" w:beforeLines="50" w:line="360" w:lineRule="auto"/>
        <w:ind w:left="0"/>
        <w:jc w:val="both"/>
        <w:rPr>
          <w:sz w:val="21"/>
          <w:szCs w:val="21"/>
        </w:rPr>
      </w:pPr>
      <w:r>
        <w:rPr>
          <w:rFonts w:hint="eastAsia" w:hAnsi="宋体"/>
          <w:sz w:val="21"/>
          <w:szCs w:val="21"/>
        </w:rPr>
        <w:t>本文件是</w:t>
      </w:r>
      <w:r>
        <w:rPr>
          <w:sz w:val="21"/>
          <w:szCs w:val="21"/>
        </w:rPr>
        <w:t>CFR</w:t>
      </w:r>
      <w:r>
        <w:rPr>
          <w:rFonts w:hint="eastAsia" w:hAnsi="宋体"/>
          <w:sz w:val="21"/>
          <w:szCs w:val="21"/>
        </w:rPr>
        <w:t>和其他</w:t>
      </w:r>
      <w:r>
        <w:rPr>
          <w:sz w:val="21"/>
          <w:szCs w:val="21"/>
        </w:rPr>
        <w:t>FDA</w:t>
      </w:r>
      <w:r>
        <w:rPr>
          <w:rFonts w:hint="eastAsia" w:hAnsi="宋体"/>
          <w:sz w:val="21"/>
          <w:szCs w:val="21"/>
        </w:rPr>
        <w:t>指南的附件，用于编制和审核</w:t>
      </w:r>
      <w:r>
        <w:rPr>
          <w:sz w:val="21"/>
          <w:szCs w:val="21"/>
        </w:rPr>
        <w:t>510(k)</w:t>
      </w:r>
      <w:r>
        <w:rPr>
          <w:rFonts w:hint="eastAsia" w:hAnsi="宋体"/>
          <w:sz w:val="21"/>
          <w:szCs w:val="21"/>
        </w:rPr>
        <w:t>提交文件。它并没有取代这些出版文件，但针对</w:t>
      </w:r>
      <w:r>
        <w:rPr>
          <w:sz w:val="21"/>
          <w:szCs w:val="21"/>
        </w:rPr>
        <w:t>FDA</w:t>
      </w:r>
      <w:r>
        <w:rPr>
          <w:rFonts w:hint="eastAsia" w:hAnsi="宋体"/>
          <w:sz w:val="21"/>
          <w:szCs w:val="21"/>
        </w:rPr>
        <w:t>可批准这些器械上市之前的必要事宜提供了更多澄清。</w:t>
      </w:r>
      <w:r>
        <w:rPr>
          <w:sz w:val="21"/>
          <w:szCs w:val="21"/>
        </w:rPr>
        <w:t>510(k)</w:t>
      </w:r>
      <w:r>
        <w:rPr>
          <w:rFonts w:hint="eastAsia" w:hAnsi="宋体"/>
          <w:sz w:val="21"/>
          <w:szCs w:val="21"/>
        </w:rPr>
        <w:t>提交文件必须提供证据，证明该器械实质上等同于上市前通知已获批准并且在美国合法上市的器械。在某些情况下，可以通过将该器械与标准参照方法进行比较来确立该器械的性能。</w:t>
      </w:r>
    </w:p>
    <w:p w14:paraId="36AA08B6">
      <w:pPr>
        <w:pStyle w:val="3"/>
        <w:kinsoku w:val="0"/>
        <w:overflowPunct w:val="0"/>
        <w:snapToGrid w:val="0"/>
        <w:spacing w:before="120" w:beforeLines="50" w:line="360" w:lineRule="auto"/>
        <w:ind w:left="0"/>
        <w:jc w:val="both"/>
        <w:rPr>
          <w:sz w:val="21"/>
          <w:szCs w:val="21"/>
        </w:rPr>
      </w:pPr>
      <w:r>
        <w:rPr>
          <w:rFonts w:hint="eastAsia" w:hAnsi="宋体"/>
          <w:sz w:val="21"/>
          <w:szCs w:val="21"/>
        </w:rPr>
        <w:t>医疗器械上市前通知</w:t>
      </w:r>
      <w:r>
        <w:rPr>
          <w:sz w:val="21"/>
          <w:szCs w:val="21"/>
        </w:rPr>
        <w:t>(510(k)</w:t>
      </w:r>
      <w:r>
        <w:rPr>
          <w:rFonts w:hint="eastAsia" w:hAnsi="宋体"/>
          <w:sz w:val="21"/>
          <w:szCs w:val="21"/>
        </w:rPr>
        <w:t>文件</w:t>
      </w:r>
      <w:r>
        <w:rPr>
          <w:sz w:val="21"/>
          <w:szCs w:val="21"/>
        </w:rPr>
        <w:t>)</w:t>
      </w:r>
      <w:r>
        <w:rPr>
          <w:rFonts w:hint="eastAsia" w:hAnsi="宋体"/>
          <w:sz w:val="21"/>
          <w:szCs w:val="21"/>
        </w:rPr>
        <w:t>中所需信息的主要参考资料在</w:t>
      </w:r>
      <w:r>
        <w:rPr>
          <w:sz w:val="21"/>
          <w:szCs w:val="21"/>
        </w:rPr>
        <w:t>21 CFR 807.87</w:t>
      </w:r>
      <w:r>
        <w:rPr>
          <w:rFonts w:hint="eastAsia" w:hAnsi="宋体"/>
          <w:sz w:val="21"/>
          <w:szCs w:val="21"/>
        </w:rPr>
        <w:t>中。确立在实质上等同于合法上市器械是关于但不限于预期用途、设计、能源使用</w:t>
      </w:r>
      <w:r>
        <w:rPr>
          <w:sz w:val="21"/>
          <w:szCs w:val="21"/>
        </w:rPr>
        <w:t>/</w:t>
      </w:r>
      <w:r>
        <w:rPr>
          <w:rFonts w:hint="eastAsia" w:hAnsi="宋体"/>
          <w:sz w:val="21"/>
          <w:szCs w:val="21"/>
        </w:rPr>
        <w:t>交付、材料、性能、安全性、有效性、标签、和其他适用的特性。</w:t>
      </w:r>
    </w:p>
    <w:p w14:paraId="341CFBF8">
      <w:pPr>
        <w:pStyle w:val="3"/>
        <w:numPr>
          <w:ilvl w:val="0"/>
          <w:numId w:val="2"/>
        </w:numPr>
        <w:kinsoku w:val="0"/>
        <w:overflowPunct w:val="0"/>
        <w:snapToGrid w:val="0"/>
        <w:spacing w:before="120" w:beforeLines="50" w:line="360" w:lineRule="auto"/>
        <w:ind w:left="420" w:hanging="420" w:hangingChars="200"/>
        <w:jc w:val="both"/>
        <w:rPr>
          <w:sz w:val="21"/>
          <w:szCs w:val="21"/>
        </w:rPr>
      </w:pPr>
      <w:r>
        <w:rPr>
          <w:rFonts w:hint="eastAsia" w:hAnsi="宋体"/>
          <w:sz w:val="21"/>
          <w:szCs w:val="21"/>
        </w:rPr>
        <w:t>鼻内窥镜的一般描述</w:t>
      </w:r>
    </w:p>
    <w:p w14:paraId="56FB285E">
      <w:pPr>
        <w:pStyle w:val="3"/>
        <w:kinsoku w:val="0"/>
        <w:overflowPunct w:val="0"/>
        <w:snapToGrid w:val="0"/>
        <w:spacing w:before="120" w:beforeLines="50" w:line="360" w:lineRule="auto"/>
        <w:ind w:left="0"/>
        <w:jc w:val="both"/>
        <w:rPr>
          <w:sz w:val="21"/>
          <w:szCs w:val="21"/>
        </w:rPr>
      </w:pPr>
      <w:r>
        <w:rPr>
          <w:rFonts w:hint="eastAsia" w:hAnsi="宋体"/>
          <w:sz w:val="21"/>
          <w:szCs w:val="21"/>
        </w:rPr>
        <w:t>鼻咽镜</w:t>
      </w:r>
      <w:r>
        <w:rPr>
          <w:sz w:val="21"/>
          <w:szCs w:val="21"/>
        </w:rPr>
        <w:t>(</w:t>
      </w:r>
      <w:r>
        <w:rPr>
          <w:rFonts w:hint="eastAsia" w:hAnsi="宋体"/>
          <w:sz w:val="21"/>
          <w:szCs w:val="21"/>
        </w:rPr>
        <w:t>柔性或刚性</w:t>
      </w:r>
      <w:r>
        <w:rPr>
          <w:sz w:val="21"/>
          <w:szCs w:val="21"/>
        </w:rPr>
        <w:t xml:space="preserve">) </w:t>
      </w:r>
      <w:r>
        <w:rPr>
          <w:rFonts w:hint="eastAsia" w:hAnsi="宋体"/>
          <w:sz w:val="21"/>
          <w:szCs w:val="21"/>
        </w:rPr>
        <w:t>与配件</w:t>
      </w:r>
      <w:r>
        <w:rPr>
          <w:rFonts w:hint="eastAsia"/>
          <w:sz w:val="21"/>
          <w:szCs w:val="21"/>
        </w:rPr>
        <w:t>，</w:t>
      </w:r>
      <w:r>
        <w:rPr>
          <w:sz w:val="21"/>
          <w:szCs w:val="21"/>
        </w:rPr>
        <w:t>21 CFR 874.4760</w:t>
      </w:r>
      <w:r>
        <w:rPr>
          <w:rFonts w:hint="eastAsia"/>
          <w:sz w:val="21"/>
          <w:szCs w:val="21"/>
        </w:rPr>
        <w:t>，</w:t>
      </w:r>
      <w:r>
        <w:rPr>
          <w:sz w:val="21"/>
          <w:szCs w:val="21"/>
        </w:rPr>
        <w:t>II</w:t>
      </w:r>
      <w:r>
        <w:rPr>
          <w:rFonts w:hint="eastAsia" w:hAnsi="宋体"/>
          <w:sz w:val="21"/>
          <w:szCs w:val="21"/>
        </w:rPr>
        <w:t>类</w:t>
      </w:r>
      <w:r>
        <w:rPr>
          <w:rFonts w:hint="eastAsia"/>
          <w:sz w:val="21"/>
          <w:szCs w:val="21"/>
        </w:rPr>
        <w:t>，</w:t>
      </w:r>
      <w:r>
        <w:rPr>
          <w:rFonts w:hint="eastAsia" w:hAnsi="宋体"/>
          <w:sz w:val="21"/>
          <w:szCs w:val="21"/>
        </w:rPr>
        <w:t>预编码</w:t>
      </w:r>
      <w:r>
        <w:rPr>
          <w:sz w:val="21"/>
          <w:szCs w:val="21"/>
        </w:rPr>
        <w:t>77-EOB</w:t>
      </w:r>
    </w:p>
    <w:p w14:paraId="7C487EBA">
      <w:pPr>
        <w:pStyle w:val="3"/>
        <w:kinsoku w:val="0"/>
        <w:overflowPunct w:val="0"/>
        <w:snapToGrid w:val="0"/>
        <w:spacing w:before="120" w:beforeLines="50" w:line="360" w:lineRule="auto"/>
        <w:ind w:left="0"/>
        <w:jc w:val="both"/>
        <w:rPr>
          <w:sz w:val="21"/>
          <w:szCs w:val="21"/>
        </w:rPr>
      </w:pPr>
      <w:r>
        <w:rPr>
          <w:rFonts w:hint="eastAsia" w:hAnsi="宋体"/>
          <w:sz w:val="21"/>
          <w:szCs w:val="21"/>
        </w:rPr>
        <w:t>支气管镜</w:t>
      </w:r>
      <w:r>
        <w:rPr>
          <w:sz w:val="21"/>
          <w:szCs w:val="21"/>
        </w:rPr>
        <w:t>(</w:t>
      </w:r>
      <w:r>
        <w:rPr>
          <w:rFonts w:hint="eastAsia" w:hAnsi="宋体"/>
          <w:sz w:val="21"/>
          <w:szCs w:val="21"/>
        </w:rPr>
        <w:t>柔性或刚性</w:t>
      </w:r>
      <w:r>
        <w:rPr>
          <w:sz w:val="21"/>
          <w:szCs w:val="21"/>
        </w:rPr>
        <w:t xml:space="preserve">) </w:t>
      </w:r>
      <w:r>
        <w:rPr>
          <w:rFonts w:hint="eastAsia" w:hAnsi="宋体"/>
          <w:sz w:val="21"/>
          <w:szCs w:val="21"/>
        </w:rPr>
        <w:t>与配件</w:t>
      </w:r>
      <w:r>
        <w:rPr>
          <w:rFonts w:hint="eastAsia"/>
          <w:sz w:val="21"/>
          <w:szCs w:val="21"/>
        </w:rPr>
        <w:t>，</w:t>
      </w:r>
      <w:r>
        <w:rPr>
          <w:sz w:val="21"/>
          <w:szCs w:val="21"/>
        </w:rPr>
        <w:t>21 CFR 874.4680</w:t>
      </w:r>
      <w:r>
        <w:rPr>
          <w:rFonts w:hint="eastAsia"/>
          <w:sz w:val="21"/>
          <w:szCs w:val="21"/>
        </w:rPr>
        <w:t>，</w:t>
      </w:r>
      <w:r>
        <w:rPr>
          <w:sz w:val="21"/>
          <w:szCs w:val="21"/>
        </w:rPr>
        <w:t>II</w:t>
      </w:r>
      <w:r>
        <w:rPr>
          <w:rFonts w:hint="eastAsia" w:hAnsi="宋体"/>
          <w:sz w:val="21"/>
          <w:szCs w:val="21"/>
        </w:rPr>
        <w:t>类</w:t>
      </w:r>
      <w:r>
        <w:rPr>
          <w:rFonts w:hint="eastAsia"/>
          <w:sz w:val="21"/>
          <w:szCs w:val="21"/>
        </w:rPr>
        <w:t>，</w:t>
      </w:r>
      <w:r>
        <w:rPr>
          <w:rFonts w:hint="eastAsia" w:hAnsi="宋体"/>
          <w:sz w:val="21"/>
          <w:szCs w:val="21"/>
        </w:rPr>
        <w:t>预编码</w:t>
      </w:r>
      <w:r>
        <w:rPr>
          <w:sz w:val="21"/>
          <w:szCs w:val="21"/>
        </w:rPr>
        <w:t>77-EOQ</w:t>
      </w:r>
    </w:p>
    <w:p w14:paraId="0432AAF2">
      <w:pPr>
        <w:pStyle w:val="3"/>
        <w:kinsoku w:val="0"/>
        <w:overflowPunct w:val="0"/>
        <w:snapToGrid w:val="0"/>
        <w:spacing w:before="120" w:beforeLines="50" w:line="360" w:lineRule="auto"/>
        <w:ind w:left="0"/>
        <w:jc w:val="both"/>
        <w:rPr>
          <w:sz w:val="21"/>
          <w:szCs w:val="21"/>
        </w:rPr>
      </w:pPr>
      <w:r>
        <w:rPr>
          <w:rFonts w:hint="eastAsia" w:hAnsi="宋体"/>
          <w:sz w:val="21"/>
          <w:szCs w:val="21"/>
        </w:rPr>
        <w:t>食管镜</w:t>
      </w:r>
      <w:r>
        <w:rPr>
          <w:sz w:val="21"/>
          <w:szCs w:val="21"/>
        </w:rPr>
        <w:t>(</w:t>
      </w:r>
      <w:r>
        <w:rPr>
          <w:rFonts w:hint="eastAsia" w:hAnsi="宋体"/>
          <w:sz w:val="21"/>
          <w:szCs w:val="21"/>
        </w:rPr>
        <w:t>柔性或刚性</w:t>
      </w:r>
      <w:r>
        <w:rPr>
          <w:sz w:val="21"/>
          <w:szCs w:val="21"/>
        </w:rPr>
        <w:t xml:space="preserve">) </w:t>
      </w:r>
      <w:r>
        <w:rPr>
          <w:rFonts w:hint="eastAsia" w:hAnsi="宋体"/>
          <w:sz w:val="21"/>
          <w:szCs w:val="21"/>
        </w:rPr>
        <w:t>与配件</w:t>
      </w:r>
      <w:r>
        <w:rPr>
          <w:rFonts w:hint="eastAsia"/>
          <w:sz w:val="21"/>
          <w:szCs w:val="21"/>
        </w:rPr>
        <w:t>，</w:t>
      </w:r>
      <w:r>
        <w:rPr>
          <w:sz w:val="21"/>
          <w:szCs w:val="21"/>
        </w:rPr>
        <w:t xml:space="preserve"> 21 CFR 874.4710</w:t>
      </w:r>
      <w:r>
        <w:rPr>
          <w:rFonts w:hint="eastAsia"/>
          <w:sz w:val="21"/>
          <w:szCs w:val="21"/>
        </w:rPr>
        <w:t>，</w:t>
      </w:r>
      <w:r>
        <w:rPr>
          <w:rFonts w:hint="eastAsia" w:hAnsi="宋体"/>
          <w:sz w:val="21"/>
          <w:szCs w:val="21"/>
        </w:rPr>
        <w:t>预编码</w:t>
      </w:r>
      <w:r>
        <w:rPr>
          <w:sz w:val="21"/>
          <w:szCs w:val="21"/>
        </w:rPr>
        <w:t>77-EOX</w:t>
      </w:r>
    </w:p>
    <w:p w14:paraId="26D4C5AE">
      <w:pPr>
        <w:pStyle w:val="3"/>
        <w:kinsoku w:val="0"/>
        <w:overflowPunct w:val="0"/>
        <w:snapToGrid w:val="0"/>
        <w:spacing w:before="120" w:beforeLines="50" w:line="360" w:lineRule="auto"/>
        <w:ind w:left="0"/>
        <w:jc w:val="both"/>
        <w:rPr>
          <w:sz w:val="21"/>
          <w:szCs w:val="21"/>
        </w:rPr>
      </w:pPr>
      <w:r>
        <w:rPr>
          <w:rFonts w:hint="eastAsia" w:hAnsi="宋体"/>
          <w:sz w:val="21"/>
          <w:szCs w:val="21"/>
        </w:rPr>
        <w:t>纵隔腔镜与配件</w:t>
      </w:r>
      <w:r>
        <w:rPr>
          <w:rFonts w:hint="eastAsia"/>
          <w:sz w:val="21"/>
          <w:szCs w:val="21"/>
        </w:rPr>
        <w:t>，</w:t>
      </w:r>
      <w:r>
        <w:rPr>
          <w:sz w:val="21"/>
          <w:szCs w:val="21"/>
        </w:rPr>
        <w:t>21 CFR 874.4720</w:t>
      </w:r>
      <w:r>
        <w:rPr>
          <w:rFonts w:hint="eastAsia"/>
          <w:sz w:val="21"/>
          <w:szCs w:val="21"/>
        </w:rPr>
        <w:t>，</w:t>
      </w:r>
      <w:r>
        <w:rPr>
          <w:sz w:val="21"/>
          <w:szCs w:val="21"/>
        </w:rPr>
        <w:t xml:space="preserve"> II</w:t>
      </w:r>
      <w:r>
        <w:rPr>
          <w:rFonts w:hint="eastAsia" w:hAnsi="宋体"/>
          <w:sz w:val="21"/>
          <w:szCs w:val="21"/>
        </w:rPr>
        <w:t>类</w:t>
      </w:r>
      <w:r>
        <w:rPr>
          <w:rFonts w:hint="eastAsia"/>
          <w:sz w:val="21"/>
          <w:szCs w:val="21"/>
        </w:rPr>
        <w:t>，</w:t>
      </w:r>
      <w:r>
        <w:rPr>
          <w:sz w:val="21"/>
          <w:szCs w:val="21"/>
        </w:rPr>
        <w:t xml:space="preserve"> </w:t>
      </w:r>
      <w:r>
        <w:rPr>
          <w:rFonts w:hint="eastAsia" w:hAnsi="宋体"/>
          <w:sz w:val="21"/>
          <w:szCs w:val="21"/>
        </w:rPr>
        <w:t>预编码</w:t>
      </w:r>
      <w:r>
        <w:rPr>
          <w:sz w:val="21"/>
          <w:szCs w:val="21"/>
        </w:rPr>
        <w:t>77-EWY</w:t>
      </w:r>
    </w:p>
    <w:p w14:paraId="4BB06DCA">
      <w:pPr>
        <w:pStyle w:val="3"/>
        <w:kinsoku w:val="0"/>
        <w:overflowPunct w:val="0"/>
        <w:snapToGrid w:val="0"/>
        <w:spacing w:before="120" w:beforeLines="50" w:line="360" w:lineRule="auto"/>
        <w:ind w:left="0"/>
        <w:jc w:val="both"/>
        <w:rPr>
          <w:sz w:val="21"/>
          <w:szCs w:val="21"/>
        </w:rPr>
      </w:pPr>
      <w:r>
        <w:rPr>
          <w:rFonts w:hint="eastAsia" w:hAnsi="宋体"/>
          <w:sz w:val="21"/>
          <w:szCs w:val="21"/>
        </w:rPr>
        <w:t>耳镜</w:t>
      </w:r>
      <w:r>
        <w:rPr>
          <w:rFonts w:hint="eastAsia"/>
          <w:sz w:val="21"/>
          <w:szCs w:val="21"/>
        </w:rPr>
        <w:t>，</w:t>
      </w:r>
      <w:r>
        <w:rPr>
          <w:sz w:val="21"/>
          <w:szCs w:val="21"/>
        </w:rPr>
        <w:t xml:space="preserve"> 21 CFR 874.4770</w:t>
      </w:r>
      <w:r>
        <w:rPr>
          <w:rFonts w:hint="eastAsia"/>
          <w:sz w:val="21"/>
          <w:szCs w:val="21"/>
        </w:rPr>
        <w:t>，</w:t>
      </w:r>
      <w:r>
        <w:rPr>
          <w:sz w:val="21"/>
          <w:szCs w:val="21"/>
        </w:rPr>
        <w:t>I</w:t>
      </w:r>
      <w:r>
        <w:rPr>
          <w:rFonts w:hint="eastAsia" w:hAnsi="宋体"/>
          <w:sz w:val="21"/>
          <w:szCs w:val="21"/>
        </w:rPr>
        <w:t>类</w:t>
      </w:r>
      <w:r>
        <w:rPr>
          <w:sz w:val="21"/>
          <w:szCs w:val="21"/>
        </w:rPr>
        <w:t>(</w:t>
      </w:r>
      <w:r>
        <w:rPr>
          <w:rFonts w:hint="eastAsia" w:hAnsi="宋体"/>
          <w:sz w:val="21"/>
          <w:szCs w:val="21"/>
        </w:rPr>
        <w:t>免除</w:t>
      </w:r>
      <w:r>
        <w:rPr>
          <w:sz w:val="21"/>
          <w:szCs w:val="21"/>
        </w:rPr>
        <w:t>)</w:t>
      </w:r>
      <w:r>
        <w:rPr>
          <w:rFonts w:hint="eastAsia"/>
          <w:sz w:val="21"/>
          <w:szCs w:val="21"/>
        </w:rPr>
        <w:t>，</w:t>
      </w:r>
      <w:r>
        <w:rPr>
          <w:rFonts w:hint="eastAsia" w:hAnsi="宋体"/>
          <w:sz w:val="21"/>
          <w:szCs w:val="21"/>
        </w:rPr>
        <w:t>预编码</w:t>
      </w:r>
      <w:r>
        <w:rPr>
          <w:sz w:val="21"/>
          <w:szCs w:val="21"/>
        </w:rPr>
        <w:t>77-ERA</w:t>
      </w:r>
    </w:p>
    <w:p w14:paraId="4A70C675">
      <w:pPr>
        <w:pStyle w:val="3"/>
        <w:kinsoku w:val="0"/>
        <w:overflowPunct w:val="0"/>
        <w:snapToGrid w:val="0"/>
        <w:spacing w:before="120" w:beforeLines="50" w:line="360" w:lineRule="auto"/>
        <w:ind w:left="0"/>
        <w:jc w:val="both"/>
        <w:rPr>
          <w:sz w:val="21"/>
          <w:szCs w:val="21"/>
        </w:rPr>
      </w:pPr>
      <w:r>
        <w:rPr>
          <w:rFonts w:hint="eastAsia" w:hAnsi="宋体"/>
          <w:sz w:val="21"/>
          <w:szCs w:val="21"/>
        </w:rPr>
        <w:t>内窥镜常用于耳鼻喉的检查。这些内窥镜可以是柔性的或是刚性的，由柔性塑料或不锈钢制成。内窥镜的近端通常装有带有屈光度环的目镜，可单独调节精密调焦。内窥镜装有用来照明的光导纤维束。柔性内窥镜的插入管有由器械近端上的手柄控制的角度测量线，用于对上</w:t>
      </w:r>
      <w:r>
        <w:rPr>
          <w:sz w:val="21"/>
          <w:szCs w:val="21"/>
        </w:rPr>
        <w:t>/</w:t>
      </w:r>
      <w:r>
        <w:rPr>
          <w:rFonts w:hint="eastAsia" w:hAnsi="宋体"/>
          <w:sz w:val="21"/>
          <w:szCs w:val="21"/>
        </w:rPr>
        <w:t>下方向的观察。屈曲度可以变化，最大</w:t>
      </w:r>
      <w:r>
        <w:rPr>
          <w:sz w:val="21"/>
          <w:szCs w:val="21"/>
        </w:rPr>
        <w:t>180°</w:t>
      </w:r>
      <w:r>
        <w:rPr>
          <w:rFonts w:hint="eastAsia" w:hAnsi="宋体"/>
          <w:sz w:val="21"/>
          <w:szCs w:val="21"/>
        </w:rPr>
        <w:t>。刚性内窥镜的范围可以有从</w:t>
      </w:r>
      <w:r>
        <w:rPr>
          <w:sz w:val="21"/>
          <w:szCs w:val="21"/>
        </w:rPr>
        <w:t>0°</w:t>
      </w:r>
      <w:r>
        <w:rPr>
          <w:rFonts w:hint="eastAsia" w:hAnsi="宋体"/>
          <w:sz w:val="21"/>
          <w:szCs w:val="21"/>
        </w:rPr>
        <w:t>到大于</w:t>
      </w:r>
      <w:r>
        <w:rPr>
          <w:sz w:val="21"/>
          <w:szCs w:val="21"/>
        </w:rPr>
        <w:t>100°</w:t>
      </w:r>
      <w:r>
        <w:rPr>
          <w:rFonts w:hint="eastAsia" w:hAnsi="宋体"/>
          <w:sz w:val="21"/>
          <w:szCs w:val="21"/>
        </w:rPr>
        <w:t>的不同视角。内窥镜的远端可以装有光学镜片，或是棒形镜片。</w:t>
      </w:r>
    </w:p>
    <w:p w14:paraId="637A5BCE">
      <w:pPr>
        <w:pStyle w:val="3"/>
        <w:numPr>
          <w:ilvl w:val="0"/>
          <w:numId w:val="2"/>
        </w:numPr>
        <w:kinsoku w:val="0"/>
        <w:overflowPunct w:val="0"/>
        <w:snapToGrid w:val="0"/>
        <w:spacing w:before="120" w:beforeLines="50" w:line="360" w:lineRule="auto"/>
        <w:ind w:left="420" w:hanging="420" w:hangingChars="200"/>
        <w:jc w:val="both"/>
        <w:rPr>
          <w:sz w:val="21"/>
          <w:szCs w:val="21"/>
        </w:rPr>
      </w:pPr>
      <w:r>
        <w:rPr>
          <w:rFonts w:hint="eastAsia" w:hAnsi="宋体"/>
          <w:sz w:val="21"/>
          <w:szCs w:val="21"/>
        </w:rPr>
        <w:t>内窥镜鞘的一般描述</w:t>
      </w:r>
    </w:p>
    <w:p w14:paraId="6820DDDA">
      <w:pPr>
        <w:pStyle w:val="3"/>
        <w:kinsoku w:val="0"/>
        <w:overflowPunct w:val="0"/>
        <w:snapToGrid w:val="0"/>
        <w:spacing w:before="120" w:beforeLines="50" w:line="360" w:lineRule="auto"/>
        <w:ind w:left="0"/>
        <w:jc w:val="both"/>
        <w:rPr>
          <w:sz w:val="21"/>
          <w:szCs w:val="21"/>
        </w:rPr>
      </w:pPr>
      <w:r>
        <w:rPr>
          <w:rFonts w:hint="eastAsia" w:hAnsi="宋体"/>
          <w:sz w:val="21"/>
          <w:szCs w:val="21"/>
        </w:rPr>
        <w:t>内窥镜鞘通常包装成无菌的一次性覆盖物，用于各种类型的鼻内窥镜。鞘是管状的，由透明的柔性聚合物或热塑性材料制成，远端装有光学镜片。鞘可能会有空气、水或抽吸通道，但通常是单通道的。为了将鞘覆盖在内窥镜上，它必须先充气、滚压、滑动或以其他方式使用。可以通过正压力、负压力或其他方式进行充气。重复此过程以便将内窥镜从鞘中拆出。无论采取何种安装和拆除方法，都必须保证鞘的无菌性和</w:t>
      </w:r>
      <w:r>
        <w:rPr>
          <w:sz w:val="21"/>
          <w:szCs w:val="21"/>
        </w:rPr>
        <w:t>/</w:t>
      </w:r>
      <w:r>
        <w:rPr>
          <w:rFonts w:hint="eastAsia" w:hAnsi="宋体"/>
          <w:sz w:val="21"/>
          <w:szCs w:val="21"/>
        </w:rPr>
        <w:t>或完整性不受损害。当安装到内窥镜上时，鞘要贴紧安装，不能过分增加内窥镜的外径并且不得损害接合部位或光的折射或造成视觉失真。</w:t>
      </w:r>
    </w:p>
    <w:p w14:paraId="4FEBE33D">
      <w:pPr>
        <w:pStyle w:val="3"/>
        <w:kinsoku w:val="0"/>
        <w:overflowPunct w:val="0"/>
        <w:snapToGrid w:val="0"/>
        <w:spacing w:before="120" w:beforeLines="50" w:line="360" w:lineRule="auto"/>
        <w:ind w:left="0"/>
        <w:jc w:val="both"/>
        <w:rPr>
          <w:sz w:val="21"/>
          <w:szCs w:val="21"/>
        </w:rPr>
      </w:pPr>
      <w:r>
        <w:rPr>
          <w:rFonts w:hint="eastAsia" w:hAnsi="宋体"/>
          <w:sz w:val="21"/>
          <w:szCs w:val="21"/>
        </w:rPr>
        <w:t>鞘用作为一种覆盖物，有助于防止病原体从一个患者传播给另一个患者。使用鞘还可以减少消毒所需的时间，从而加快内窥镜的后处理。</w:t>
      </w:r>
    </w:p>
    <w:p w14:paraId="27797C58">
      <w:pPr>
        <w:pStyle w:val="3"/>
        <w:kinsoku w:val="0"/>
        <w:overflowPunct w:val="0"/>
        <w:snapToGrid w:val="0"/>
        <w:spacing w:before="120" w:beforeLines="50" w:line="360" w:lineRule="auto"/>
        <w:ind w:left="0"/>
        <w:jc w:val="both"/>
        <w:rPr>
          <w:sz w:val="21"/>
          <w:szCs w:val="21"/>
        </w:rPr>
      </w:pPr>
      <w:r>
        <w:rPr>
          <w:rFonts w:hint="eastAsia" w:hAnsi="宋体"/>
          <w:sz w:val="21"/>
          <w:szCs w:val="21"/>
        </w:rPr>
        <w:t>将会要求用作保护阻隔的内窥镜鞘的制造商提供实验室数据，证明该器械是不会被微生物渗透。还应当证明鞘的使用和拆除过程可以通过无菌技术完成。</w:t>
      </w:r>
    </w:p>
    <w:p w14:paraId="7AA405FF">
      <w:pPr>
        <w:pStyle w:val="3"/>
        <w:numPr>
          <w:ilvl w:val="0"/>
          <w:numId w:val="2"/>
        </w:numPr>
        <w:kinsoku w:val="0"/>
        <w:overflowPunct w:val="0"/>
        <w:snapToGrid w:val="0"/>
        <w:spacing w:before="120" w:beforeLines="50" w:line="360" w:lineRule="auto"/>
        <w:ind w:left="420" w:hanging="420" w:hangingChars="200"/>
        <w:jc w:val="both"/>
        <w:rPr>
          <w:sz w:val="21"/>
          <w:szCs w:val="21"/>
        </w:rPr>
      </w:pPr>
      <w:r>
        <w:rPr>
          <w:rFonts w:hint="eastAsia" w:hAnsi="宋体"/>
          <w:sz w:val="21"/>
          <w:szCs w:val="21"/>
        </w:rPr>
        <w:t>监管信息</w:t>
      </w:r>
    </w:p>
    <w:p w14:paraId="0186F32A">
      <w:pPr>
        <w:pStyle w:val="3"/>
        <w:kinsoku w:val="0"/>
        <w:overflowPunct w:val="0"/>
        <w:snapToGrid w:val="0"/>
        <w:spacing w:before="120" w:beforeLines="50" w:line="360" w:lineRule="auto"/>
        <w:ind w:left="0"/>
        <w:jc w:val="both"/>
        <w:rPr>
          <w:sz w:val="21"/>
          <w:szCs w:val="21"/>
        </w:rPr>
      </w:pPr>
      <w:r>
        <w:rPr>
          <w:rFonts w:hint="eastAsia" w:hAnsi="宋体"/>
          <w:sz w:val="21"/>
          <w:szCs w:val="21"/>
        </w:rPr>
        <w:t>从历史上看，耳鼻喉内窥镜鞘的应用已经依据上市前通知</w:t>
      </w:r>
      <w:r>
        <w:rPr>
          <w:sz w:val="21"/>
          <w:szCs w:val="21"/>
        </w:rPr>
        <w:t>(510(k))</w:t>
      </w:r>
      <w:r>
        <w:rPr>
          <w:rFonts w:hint="eastAsia" w:hAnsi="宋体"/>
          <w:sz w:val="21"/>
          <w:szCs w:val="21"/>
        </w:rPr>
        <w:t>法规进行审核。对于有关管理要求和测试指南的附加信息，申请人可以要求参考以下可从小型制造商服务组</w:t>
      </w:r>
      <w:r>
        <w:rPr>
          <w:sz w:val="21"/>
          <w:szCs w:val="21"/>
        </w:rPr>
        <w:t>(DSMA)</w:t>
      </w:r>
      <w:r>
        <w:rPr>
          <w:rFonts w:hint="eastAsia" w:hAnsi="宋体"/>
          <w:sz w:val="21"/>
          <w:szCs w:val="21"/>
        </w:rPr>
        <w:t>得到的文件：</w:t>
      </w:r>
    </w:p>
    <w:p w14:paraId="312B388C">
      <w:pPr>
        <w:pStyle w:val="3"/>
        <w:kinsoku w:val="0"/>
        <w:overflowPunct w:val="0"/>
        <w:snapToGrid w:val="0"/>
        <w:spacing w:before="120" w:beforeLines="50" w:line="360" w:lineRule="auto"/>
        <w:ind w:left="0"/>
        <w:jc w:val="both"/>
        <w:rPr>
          <w:sz w:val="21"/>
          <w:szCs w:val="21"/>
        </w:rPr>
      </w:pPr>
      <w:r>
        <w:rPr>
          <w:sz w:val="21"/>
          <w:szCs w:val="21"/>
        </w:rPr>
        <w:t>1993</w:t>
      </w:r>
      <w:r>
        <w:rPr>
          <w:rFonts w:hint="eastAsia" w:hAnsi="宋体"/>
          <w:sz w:val="21"/>
          <w:szCs w:val="21"/>
        </w:rPr>
        <w:t>年</w:t>
      </w:r>
      <w:r>
        <w:rPr>
          <w:sz w:val="21"/>
          <w:szCs w:val="21"/>
        </w:rPr>
        <w:t>5</w:t>
      </w:r>
      <w:r>
        <w:rPr>
          <w:rFonts w:hint="eastAsia" w:hAnsi="宋体"/>
          <w:sz w:val="21"/>
          <w:szCs w:val="21"/>
        </w:rPr>
        <w:t>月</w:t>
      </w:r>
      <w:r>
        <w:rPr>
          <w:sz w:val="21"/>
          <w:szCs w:val="21"/>
        </w:rPr>
        <w:t xml:space="preserve"> -</w:t>
      </w:r>
      <w:r>
        <w:rPr>
          <w:rFonts w:hint="eastAsia" w:hAnsi="宋体"/>
          <w:sz w:val="21"/>
          <w:szCs w:val="21"/>
        </w:rPr>
        <w:t>医用手套的管理要求</w:t>
      </w:r>
      <w:r>
        <w:rPr>
          <w:rFonts w:hint="eastAsia"/>
          <w:sz w:val="21"/>
          <w:szCs w:val="21"/>
        </w:rPr>
        <w:t>，</w:t>
      </w:r>
      <w:r>
        <w:rPr>
          <w:rFonts w:hint="eastAsia" w:hAnsi="宋体"/>
          <w:sz w:val="21"/>
          <w:szCs w:val="21"/>
        </w:rPr>
        <w:t>工作间手册。</w:t>
      </w:r>
      <w:r>
        <w:rPr>
          <w:rFonts w:hint="eastAsia" w:hAnsi="宋体"/>
          <w:color w:val="000000"/>
          <w:sz w:val="21"/>
          <w:szCs w:val="21"/>
        </w:rPr>
        <w:t>美国卫生和福利部出版</w:t>
      </w:r>
      <w:r>
        <w:rPr>
          <w:sz w:val="21"/>
          <w:szCs w:val="21"/>
        </w:rPr>
        <w:t>(FDA) 93-4257</w:t>
      </w:r>
      <w:r>
        <w:rPr>
          <w:rFonts w:hint="eastAsia" w:hAnsi="宋体"/>
          <w:sz w:val="21"/>
          <w:szCs w:val="21"/>
        </w:rPr>
        <w:t>。</w:t>
      </w:r>
    </w:p>
    <w:p w14:paraId="622525BB">
      <w:pPr>
        <w:pStyle w:val="3"/>
        <w:kinsoku w:val="0"/>
        <w:overflowPunct w:val="0"/>
        <w:snapToGrid w:val="0"/>
        <w:spacing w:before="120" w:beforeLines="50" w:line="360" w:lineRule="auto"/>
        <w:ind w:left="0"/>
        <w:jc w:val="both"/>
        <w:rPr>
          <w:sz w:val="21"/>
          <w:szCs w:val="21"/>
        </w:rPr>
      </w:pPr>
      <w:r>
        <w:rPr>
          <w:sz w:val="21"/>
          <w:szCs w:val="21"/>
        </w:rPr>
        <w:t>1995</w:t>
      </w:r>
      <w:r>
        <w:rPr>
          <w:rFonts w:hint="eastAsia" w:hAnsi="宋体"/>
          <w:sz w:val="21"/>
          <w:szCs w:val="21"/>
        </w:rPr>
        <w:t>年</w:t>
      </w:r>
      <w:r>
        <w:rPr>
          <w:sz w:val="21"/>
          <w:szCs w:val="21"/>
        </w:rPr>
        <w:t>6</w:t>
      </w:r>
      <w:r>
        <w:rPr>
          <w:rFonts w:hint="eastAsia" w:hAnsi="宋体"/>
          <w:sz w:val="21"/>
          <w:szCs w:val="21"/>
        </w:rPr>
        <w:t>月</w:t>
      </w:r>
      <w:r>
        <w:rPr>
          <w:sz w:val="21"/>
          <w:szCs w:val="21"/>
        </w:rPr>
        <w:t>29</w:t>
      </w:r>
      <w:r>
        <w:rPr>
          <w:rFonts w:hint="eastAsia" w:hAnsi="宋体"/>
          <w:sz w:val="21"/>
          <w:szCs w:val="21"/>
        </w:rPr>
        <w:t>日</w:t>
      </w:r>
      <w:r>
        <w:rPr>
          <w:sz w:val="21"/>
          <w:szCs w:val="21"/>
        </w:rPr>
        <w:t xml:space="preserve"> - </w:t>
      </w:r>
      <w:r>
        <w:fldChar w:fldCharType="begin"/>
      </w:r>
      <w:r>
        <w:instrText xml:space="preserve"> HYPERLINK "http://www.fda.gov/cdrh/ode/oderp455.html" </w:instrText>
      </w:r>
      <w:r>
        <w:fldChar w:fldCharType="separate"/>
      </w:r>
      <w:r>
        <w:rPr>
          <w:rFonts w:hint="eastAsia" w:hAnsi="宋体"/>
          <w:color w:val="000000"/>
          <w:sz w:val="21"/>
          <w:szCs w:val="21"/>
        </w:rPr>
        <w:t>新材料制成的男性避孕套测试指南</w:t>
      </w:r>
      <w:r>
        <w:rPr>
          <w:color w:val="000000"/>
          <w:sz w:val="21"/>
          <w:szCs w:val="21"/>
        </w:rPr>
        <w:t xml:space="preserve">- </w:t>
      </w:r>
      <w:r>
        <w:rPr>
          <w:color w:val="000000"/>
          <w:sz w:val="21"/>
          <w:szCs w:val="21"/>
        </w:rPr>
        <w:fldChar w:fldCharType="end"/>
      </w:r>
      <w:r>
        <w:rPr>
          <w:rFonts w:hint="eastAsia" w:hAnsi="宋体"/>
          <w:color w:val="000000"/>
          <w:sz w:val="21"/>
          <w:szCs w:val="21"/>
        </w:rPr>
        <w:t>产科、腹部、耳鼻喉科和放射科器械部，妇产科器械科。</w:t>
      </w:r>
    </w:p>
    <w:p w14:paraId="4625583A">
      <w:pPr>
        <w:pStyle w:val="20"/>
        <w:kinsoku w:val="0"/>
        <w:overflowPunct w:val="0"/>
        <w:snapToGrid w:val="0"/>
        <w:spacing w:before="120" w:beforeLines="50" w:line="360" w:lineRule="auto"/>
        <w:ind w:left="0"/>
        <w:jc w:val="both"/>
        <w:outlineLvl w:val="0"/>
        <w:rPr>
          <w:rFonts w:ascii="Times New Roman" w:hAnsi="Times New Roman" w:cs="Times New Roman"/>
          <w:b w:val="0"/>
          <w:bCs w:val="0"/>
          <w:i w:val="0"/>
          <w:iCs w:val="0"/>
          <w:sz w:val="21"/>
          <w:szCs w:val="21"/>
        </w:rPr>
      </w:pPr>
      <w:r>
        <w:rPr>
          <w:rFonts w:ascii="Times New Roman" w:hAnsi="Times New Roman" w:cs="Times New Roman"/>
          <w:sz w:val="21"/>
          <w:szCs w:val="21"/>
        </w:rPr>
        <w:br w:type="page"/>
      </w:r>
      <w:bookmarkStart w:id="10" w:name="_Toc497929713"/>
      <w:r>
        <w:rPr>
          <w:rFonts w:ascii="Times New Roman" w:hAnsi="宋体" w:cs="Times New Roman"/>
          <w:sz w:val="21"/>
          <w:szCs w:val="21"/>
        </w:rPr>
        <w:t>Ⅱ</w:t>
      </w: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宋体" w:cs="Times New Roman"/>
          <w:sz w:val="21"/>
          <w:szCs w:val="21"/>
        </w:rPr>
        <w:t>分类</w:t>
      </w:r>
      <w:bookmarkEnd w:id="10"/>
    </w:p>
    <w:p w14:paraId="21B690C6">
      <w:pPr>
        <w:pStyle w:val="3"/>
        <w:kinsoku w:val="0"/>
        <w:overflowPunct w:val="0"/>
        <w:snapToGrid w:val="0"/>
        <w:spacing w:before="120" w:beforeLines="50" w:line="360" w:lineRule="auto"/>
        <w:ind w:left="0"/>
        <w:jc w:val="both"/>
        <w:rPr>
          <w:sz w:val="21"/>
          <w:szCs w:val="21"/>
        </w:rPr>
      </w:pPr>
      <w:r>
        <w:rPr>
          <w:rFonts w:hint="eastAsia" w:hAnsi="宋体"/>
          <w:sz w:val="21"/>
          <w:szCs w:val="21"/>
        </w:rPr>
        <w:t>内窥镜鞘的适当专家咨询组是耳鼻喉科。同时也经生殖、腹部和放射科器械的胃肠科审核。</w:t>
      </w:r>
    </w:p>
    <w:p w14:paraId="73DCBE63">
      <w:pPr>
        <w:pStyle w:val="3"/>
        <w:kinsoku w:val="0"/>
        <w:overflowPunct w:val="0"/>
        <w:snapToGrid w:val="0"/>
        <w:spacing w:before="120" w:beforeLines="50" w:line="360" w:lineRule="auto"/>
        <w:ind w:left="0"/>
        <w:jc w:val="both"/>
        <w:rPr>
          <w:sz w:val="21"/>
          <w:szCs w:val="21"/>
        </w:rPr>
      </w:pPr>
      <w:r>
        <w:rPr>
          <w:rFonts w:hint="eastAsia" w:hAnsi="宋体"/>
          <w:sz w:val="21"/>
          <w:szCs w:val="21"/>
        </w:rPr>
        <w:t>耳鼻喉内窥镜的鞘被认为是配件，按照《联邦食品、药品及化妆品法案》第</w:t>
      </w:r>
      <w:r>
        <w:rPr>
          <w:sz w:val="21"/>
          <w:szCs w:val="21"/>
        </w:rPr>
        <w:t>513</w:t>
      </w:r>
      <w:r>
        <w:rPr>
          <w:rFonts w:hint="eastAsia" w:hAnsi="宋体"/>
          <w:sz w:val="21"/>
          <w:szCs w:val="21"/>
        </w:rPr>
        <w:t>节的规定归为</w:t>
      </w:r>
      <w:r>
        <w:rPr>
          <w:sz w:val="21"/>
          <w:szCs w:val="21"/>
        </w:rPr>
        <w:t>II</w:t>
      </w:r>
      <w:r>
        <w:rPr>
          <w:rFonts w:hint="eastAsia" w:hAnsi="宋体"/>
          <w:sz w:val="21"/>
          <w:szCs w:val="21"/>
        </w:rPr>
        <w:t>类器械。尽管耳镜是</w:t>
      </w:r>
      <w:r>
        <w:rPr>
          <w:sz w:val="21"/>
          <w:szCs w:val="21"/>
        </w:rPr>
        <w:t>I</w:t>
      </w:r>
      <w:r>
        <w:rPr>
          <w:rFonts w:hint="eastAsia" w:hAnsi="宋体"/>
          <w:sz w:val="21"/>
          <w:szCs w:val="21"/>
        </w:rPr>
        <w:t>类，免除，但具有阻隔功能的耳镜鞘将归为</w:t>
      </w:r>
      <w:r>
        <w:rPr>
          <w:sz w:val="21"/>
          <w:szCs w:val="21"/>
        </w:rPr>
        <w:t>II</w:t>
      </w:r>
      <w:r>
        <w:rPr>
          <w:rFonts w:hint="eastAsia" w:hAnsi="宋体"/>
          <w:sz w:val="21"/>
          <w:szCs w:val="21"/>
        </w:rPr>
        <w:t>类器械。</w:t>
      </w:r>
    </w:p>
    <w:p w14:paraId="7680E096">
      <w:pPr>
        <w:pStyle w:val="20"/>
        <w:kinsoku w:val="0"/>
        <w:overflowPunct w:val="0"/>
        <w:snapToGrid w:val="0"/>
        <w:spacing w:before="120" w:beforeLines="50" w:line="360" w:lineRule="auto"/>
        <w:ind w:left="0"/>
        <w:jc w:val="both"/>
        <w:outlineLvl w:val="0"/>
        <w:rPr>
          <w:rFonts w:ascii="Times New Roman" w:hAnsi="Times New Roman" w:cs="Times New Roman"/>
          <w:b w:val="0"/>
          <w:bCs w:val="0"/>
          <w:i w:val="0"/>
          <w:iCs w:val="0"/>
          <w:sz w:val="21"/>
          <w:szCs w:val="21"/>
        </w:rPr>
      </w:pPr>
      <w:bookmarkStart w:id="11" w:name="_Toc497929714"/>
      <w:r>
        <w:rPr>
          <w:rFonts w:ascii="Times New Roman" w:hAnsi="宋体" w:cs="Times New Roman"/>
          <w:sz w:val="21"/>
          <w:szCs w:val="21"/>
        </w:rPr>
        <w:t>Ⅲ</w:t>
      </w: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宋体" w:cs="Times New Roman"/>
          <w:sz w:val="21"/>
          <w:szCs w:val="21"/>
        </w:rPr>
        <w:t>可能的上市前通知已获批准的器械</w:t>
      </w:r>
      <w:bookmarkEnd w:id="11"/>
    </w:p>
    <w:p w14:paraId="4934C7D0">
      <w:pPr>
        <w:pStyle w:val="3"/>
        <w:kinsoku w:val="0"/>
        <w:overflowPunct w:val="0"/>
        <w:snapToGrid w:val="0"/>
        <w:spacing w:before="120" w:beforeLines="50" w:line="360" w:lineRule="auto"/>
        <w:ind w:left="0"/>
        <w:jc w:val="both"/>
        <w:rPr>
          <w:sz w:val="21"/>
          <w:szCs w:val="21"/>
        </w:rPr>
      </w:pPr>
      <w:r>
        <w:rPr>
          <w:rFonts w:hint="eastAsia" w:hAnsi="宋体"/>
          <w:sz w:val="21"/>
          <w:szCs w:val="21"/>
        </w:rPr>
        <w:t>制造商负责确定适当的上市前通知已获批准的器械。下面是鞘的几个</w:t>
      </w:r>
      <w:r>
        <w:rPr>
          <w:sz w:val="21"/>
          <w:szCs w:val="21"/>
        </w:rPr>
        <w:t>510(k)</w:t>
      </w:r>
      <w:r>
        <w:rPr>
          <w:rFonts w:hint="eastAsia" w:hAnsi="宋体"/>
          <w:sz w:val="21"/>
          <w:szCs w:val="21"/>
        </w:rPr>
        <w:t>清单，可以作为适当的上市前通知已获批准的器械。</w:t>
      </w:r>
    </w:p>
    <w:p w14:paraId="08E25101">
      <w:pPr>
        <w:pStyle w:val="3"/>
        <w:kinsoku w:val="0"/>
        <w:overflowPunct w:val="0"/>
        <w:snapToGrid w:val="0"/>
        <w:spacing w:before="120" w:beforeLines="50" w:line="360" w:lineRule="auto"/>
        <w:ind w:left="0"/>
        <w:jc w:val="both"/>
        <w:rPr>
          <w:sz w:val="21"/>
          <w:szCs w:val="21"/>
        </w:rPr>
      </w:pPr>
      <w:r>
        <w:rPr>
          <w:sz w:val="21"/>
          <w:szCs w:val="21"/>
        </w:rPr>
        <w:t>K921244</w:t>
      </w:r>
      <w:r>
        <w:rPr>
          <w:rFonts w:hint="eastAsia" w:hAnsi="宋体"/>
          <w:sz w:val="21"/>
          <w:szCs w:val="21"/>
        </w:rPr>
        <w:t>，视觉科学，一次性保护鞘</w:t>
      </w:r>
    </w:p>
    <w:p w14:paraId="6D4A500E">
      <w:pPr>
        <w:pStyle w:val="3"/>
        <w:kinsoku w:val="0"/>
        <w:overflowPunct w:val="0"/>
        <w:snapToGrid w:val="0"/>
        <w:spacing w:line="360" w:lineRule="auto"/>
        <w:ind w:left="0"/>
        <w:jc w:val="both"/>
        <w:rPr>
          <w:sz w:val="21"/>
          <w:szCs w:val="21"/>
        </w:rPr>
      </w:pPr>
      <w:r>
        <w:rPr>
          <w:sz w:val="21"/>
          <w:szCs w:val="21"/>
        </w:rPr>
        <w:t>K925421</w:t>
      </w:r>
      <w:r>
        <w:rPr>
          <w:rFonts w:hint="eastAsia" w:hAnsi="宋体"/>
          <w:sz w:val="21"/>
          <w:szCs w:val="21"/>
        </w:rPr>
        <w:t>，视觉科学，内鞘</w:t>
      </w:r>
    </w:p>
    <w:p w14:paraId="56EE07DF">
      <w:pPr>
        <w:pStyle w:val="3"/>
        <w:kinsoku w:val="0"/>
        <w:overflowPunct w:val="0"/>
        <w:snapToGrid w:val="0"/>
        <w:spacing w:line="360" w:lineRule="auto"/>
        <w:ind w:left="0"/>
        <w:jc w:val="both"/>
        <w:rPr>
          <w:sz w:val="21"/>
          <w:szCs w:val="21"/>
        </w:rPr>
      </w:pPr>
      <w:r>
        <w:rPr>
          <w:sz w:val="21"/>
          <w:szCs w:val="21"/>
        </w:rPr>
        <w:t>K933247</w:t>
      </w:r>
      <w:r>
        <w:rPr>
          <w:rFonts w:hint="eastAsia" w:hAnsi="宋体"/>
          <w:sz w:val="21"/>
          <w:szCs w:val="21"/>
        </w:rPr>
        <w:t>，视觉科学，保护鞘</w:t>
      </w:r>
    </w:p>
    <w:p w14:paraId="04B0C750">
      <w:pPr>
        <w:pStyle w:val="3"/>
        <w:kinsoku w:val="0"/>
        <w:overflowPunct w:val="0"/>
        <w:snapToGrid w:val="0"/>
        <w:spacing w:line="360" w:lineRule="auto"/>
        <w:ind w:left="0"/>
        <w:jc w:val="both"/>
        <w:rPr>
          <w:sz w:val="21"/>
          <w:szCs w:val="21"/>
        </w:rPr>
      </w:pPr>
      <w:r>
        <w:rPr>
          <w:sz w:val="21"/>
          <w:szCs w:val="21"/>
        </w:rPr>
        <w:t>K933672</w:t>
      </w:r>
      <w:r>
        <w:rPr>
          <w:rFonts w:hint="eastAsia" w:hAnsi="宋体"/>
          <w:sz w:val="21"/>
          <w:szCs w:val="21"/>
        </w:rPr>
        <w:t>，</w:t>
      </w:r>
      <w:r>
        <w:rPr>
          <w:sz w:val="21"/>
          <w:szCs w:val="21"/>
        </w:rPr>
        <w:t>Xomed-Treace</w:t>
      </w:r>
      <w:r>
        <w:rPr>
          <w:rFonts w:hint="eastAsia" w:hAnsi="宋体"/>
          <w:sz w:val="21"/>
          <w:szCs w:val="21"/>
        </w:rPr>
        <w:t>，镜鞘</w:t>
      </w:r>
    </w:p>
    <w:p w14:paraId="0CDAFE9D">
      <w:pPr>
        <w:pStyle w:val="3"/>
        <w:kinsoku w:val="0"/>
        <w:overflowPunct w:val="0"/>
        <w:snapToGrid w:val="0"/>
        <w:spacing w:line="360" w:lineRule="auto"/>
        <w:ind w:left="0"/>
        <w:jc w:val="both"/>
        <w:rPr>
          <w:sz w:val="21"/>
          <w:szCs w:val="21"/>
        </w:rPr>
      </w:pPr>
      <w:r>
        <w:rPr>
          <w:sz w:val="21"/>
          <w:szCs w:val="21"/>
        </w:rPr>
        <w:t>K940028</w:t>
      </w:r>
      <w:r>
        <w:rPr>
          <w:rFonts w:hint="eastAsia" w:hAnsi="宋体"/>
          <w:sz w:val="21"/>
          <w:szCs w:val="21"/>
        </w:rPr>
        <w:t>，</w:t>
      </w:r>
      <w:r>
        <w:rPr>
          <w:sz w:val="21"/>
          <w:szCs w:val="21"/>
        </w:rPr>
        <w:t>Xomed-Treace</w:t>
      </w:r>
      <w:r>
        <w:rPr>
          <w:rFonts w:hint="eastAsia" w:hAnsi="宋体"/>
          <w:sz w:val="21"/>
          <w:szCs w:val="21"/>
        </w:rPr>
        <w:t>，内窥镜鞘</w:t>
      </w:r>
    </w:p>
    <w:p w14:paraId="48668981">
      <w:pPr>
        <w:pStyle w:val="3"/>
        <w:kinsoku w:val="0"/>
        <w:overflowPunct w:val="0"/>
        <w:snapToGrid w:val="0"/>
        <w:spacing w:line="360" w:lineRule="auto"/>
        <w:ind w:left="0"/>
        <w:jc w:val="both"/>
        <w:rPr>
          <w:sz w:val="21"/>
          <w:szCs w:val="21"/>
        </w:rPr>
      </w:pPr>
      <w:r>
        <w:rPr>
          <w:sz w:val="21"/>
          <w:szCs w:val="21"/>
        </w:rPr>
        <w:t>K963795</w:t>
      </w:r>
      <w:r>
        <w:rPr>
          <w:rFonts w:hint="eastAsia" w:hAnsi="宋体"/>
          <w:sz w:val="21"/>
          <w:szCs w:val="21"/>
        </w:rPr>
        <w:t>，视觉科学，内鞘</w:t>
      </w:r>
    </w:p>
    <w:p w14:paraId="20B5E3BF">
      <w:pPr>
        <w:pStyle w:val="3"/>
        <w:kinsoku w:val="0"/>
        <w:overflowPunct w:val="0"/>
        <w:snapToGrid w:val="0"/>
        <w:spacing w:line="360" w:lineRule="auto"/>
        <w:ind w:left="0"/>
        <w:jc w:val="both"/>
        <w:rPr>
          <w:sz w:val="21"/>
          <w:szCs w:val="21"/>
        </w:rPr>
      </w:pPr>
      <w:r>
        <w:rPr>
          <w:sz w:val="21"/>
          <w:szCs w:val="21"/>
        </w:rPr>
        <w:t>K990354</w:t>
      </w:r>
      <w:r>
        <w:rPr>
          <w:rFonts w:hint="eastAsia" w:hAnsi="宋体"/>
          <w:sz w:val="21"/>
          <w:szCs w:val="21"/>
        </w:rPr>
        <w:t>，视觉科学，内鞘</w:t>
      </w:r>
    </w:p>
    <w:p w14:paraId="7CEECD9B">
      <w:pPr>
        <w:pStyle w:val="20"/>
        <w:kinsoku w:val="0"/>
        <w:overflowPunct w:val="0"/>
        <w:snapToGrid w:val="0"/>
        <w:spacing w:before="240" w:beforeLines="100" w:line="360" w:lineRule="auto"/>
        <w:ind w:left="0"/>
        <w:jc w:val="both"/>
        <w:outlineLvl w:val="0"/>
        <w:rPr>
          <w:rFonts w:ascii="Times New Roman" w:hAnsi="Times New Roman" w:cs="Times New Roman"/>
          <w:b w:val="0"/>
          <w:bCs w:val="0"/>
          <w:i w:val="0"/>
          <w:iCs w:val="0"/>
          <w:sz w:val="21"/>
          <w:szCs w:val="21"/>
        </w:rPr>
      </w:pPr>
      <w:bookmarkStart w:id="12" w:name="_Toc497929715"/>
      <w:r>
        <w:rPr>
          <w:rFonts w:ascii="Times New Roman" w:hAnsi="宋体" w:cs="Times New Roman"/>
          <w:sz w:val="21"/>
          <w:szCs w:val="21"/>
        </w:rPr>
        <w:t>Ⅳ</w:t>
      </w: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宋体" w:cs="Times New Roman"/>
          <w:sz w:val="21"/>
          <w:szCs w:val="21"/>
        </w:rPr>
        <w:t>所需的</w:t>
      </w:r>
      <w:r>
        <w:rPr>
          <w:rFonts w:ascii="Times New Roman" w:hAnsi="Times New Roman" w:cs="Times New Roman"/>
          <w:sz w:val="21"/>
          <w:szCs w:val="21"/>
        </w:rPr>
        <w:t>510(k)</w:t>
      </w:r>
      <w:r>
        <w:rPr>
          <w:rFonts w:hint="eastAsia" w:ascii="Times New Roman" w:hAnsi="宋体" w:cs="Times New Roman"/>
          <w:sz w:val="21"/>
          <w:szCs w:val="21"/>
        </w:rPr>
        <w:t>文件信息</w:t>
      </w:r>
      <w:bookmarkEnd w:id="12"/>
    </w:p>
    <w:p w14:paraId="7052AE7D">
      <w:pPr>
        <w:pStyle w:val="3"/>
        <w:kinsoku w:val="0"/>
        <w:overflowPunct w:val="0"/>
        <w:snapToGrid w:val="0"/>
        <w:spacing w:line="360" w:lineRule="auto"/>
        <w:ind w:left="0"/>
        <w:jc w:val="both"/>
        <w:rPr>
          <w:sz w:val="21"/>
          <w:szCs w:val="21"/>
        </w:rPr>
      </w:pPr>
      <w:r>
        <w:rPr>
          <w:sz w:val="21"/>
          <w:szCs w:val="21"/>
        </w:rPr>
        <w:t>FDA</w:t>
      </w:r>
      <w:r>
        <w:rPr>
          <w:rFonts w:hint="eastAsia" w:hAnsi="宋体"/>
          <w:sz w:val="21"/>
          <w:szCs w:val="21"/>
        </w:rPr>
        <w:t>法规</w:t>
      </w:r>
      <w:r>
        <w:rPr>
          <w:sz w:val="21"/>
          <w:szCs w:val="21"/>
        </w:rPr>
        <w:t>(21 CFR 807.87)</w:t>
      </w:r>
      <w:r>
        <w:rPr>
          <w:rFonts w:hint="eastAsia" w:hAnsi="宋体"/>
          <w:sz w:val="21"/>
          <w:szCs w:val="21"/>
        </w:rPr>
        <w:t>规定每个</w:t>
      </w:r>
      <w:r>
        <w:rPr>
          <w:sz w:val="21"/>
          <w:szCs w:val="21"/>
        </w:rPr>
        <w:t>510(k)</w:t>
      </w:r>
      <w:r>
        <w:rPr>
          <w:rFonts w:hint="eastAsia" w:hAnsi="宋体"/>
          <w:sz w:val="21"/>
          <w:szCs w:val="21"/>
        </w:rPr>
        <w:t>提交文件中必须要有的信息。这些信息包括：</w:t>
      </w:r>
    </w:p>
    <w:p w14:paraId="2EFCE2EE">
      <w:pPr>
        <w:pStyle w:val="3"/>
        <w:numPr>
          <w:ilvl w:val="0"/>
          <w:numId w:val="3"/>
        </w:numPr>
        <w:kinsoku w:val="0"/>
        <w:overflowPunct w:val="0"/>
        <w:snapToGrid w:val="0"/>
        <w:spacing w:line="360" w:lineRule="auto"/>
        <w:ind w:left="0" w:firstLine="0"/>
        <w:jc w:val="both"/>
        <w:rPr>
          <w:sz w:val="21"/>
          <w:szCs w:val="21"/>
        </w:rPr>
      </w:pPr>
      <w:r>
        <w:rPr>
          <w:rFonts w:hint="eastAsia" w:hAnsi="宋体"/>
          <w:sz w:val="21"/>
          <w:szCs w:val="21"/>
        </w:rPr>
        <w:t>申办方</w:t>
      </w:r>
      <w:r>
        <w:rPr>
          <w:sz w:val="21"/>
          <w:szCs w:val="21"/>
        </w:rPr>
        <w:t>/</w:t>
      </w:r>
      <w:r>
        <w:rPr>
          <w:rFonts w:hint="eastAsia" w:hAnsi="宋体"/>
          <w:sz w:val="21"/>
          <w:szCs w:val="21"/>
        </w:rPr>
        <w:t>制造商的信息</w:t>
      </w:r>
    </w:p>
    <w:p w14:paraId="369A7F21">
      <w:pPr>
        <w:pStyle w:val="3"/>
        <w:kinsoku w:val="0"/>
        <w:overflowPunct w:val="0"/>
        <w:snapToGrid w:val="0"/>
        <w:spacing w:line="360" w:lineRule="auto"/>
        <w:ind w:left="0"/>
        <w:jc w:val="both"/>
        <w:rPr>
          <w:sz w:val="21"/>
          <w:szCs w:val="21"/>
        </w:rPr>
      </w:pPr>
      <w:r>
        <w:rPr>
          <w:sz w:val="21"/>
          <w:szCs w:val="21"/>
        </w:rPr>
        <w:t xml:space="preserve">510(k) </w:t>
      </w:r>
      <w:r>
        <w:rPr>
          <w:rFonts w:hint="eastAsia" w:hAnsi="宋体"/>
          <w:sz w:val="21"/>
          <w:szCs w:val="21"/>
        </w:rPr>
        <w:t>文件的申办方和器械制造商的名称、联系人、地址、电话号码和传真号码</w:t>
      </w:r>
      <w:r>
        <w:rPr>
          <w:sz w:val="21"/>
          <w:szCs w:val="21"/>
        </w:rPr>
        <w:t>(</w:t>
      </w:r>
      <w:r>
        <w:rPr>
          <w:rFonts w:hint="eastAsia" w:hAnsi="宋体"/>
          <w:sz w:val="21"/>
          <w:szCs w:val="21"/>
        </w:rPr>
        <w:t>如果有的话</w:t>
      </w:r>
      <w:r>
        <w:rPr>
          <w:sz w:val="21"/>
          <w:szCs w:val="21"/>
        </w:rPr>
        <w:t>)</w:t>
      </w:r>
      <w:r>
        <w:rPr>
          <w:rFonts w:hint="eastAsia" w:hAnsi="宋体"/>
          <w:sz w:val="21"/>
          <w:szCs w:val="21"/>
        </w:rPr>
        <w:t>。</w:t>
      </w:r>
    </w:p>
    <w:p w14:paraId="600BF771">
      <w:pPr>
        <w:pStyle w:val="3"/>
        <w:numPr>
          <w:ilvl w:val="0"/>
          <w:numId w:val="3"/>
        </w:numPr>
        <w:kinsoku w:val="0"/>
        <w:overflowPunct w:val="0"/>
        <w:snapToGrid w:val="0"/>
        <w:spacing w:line="360" w:lineRule="auto"/>
        <w:ind w:left="0" w:firstLine="0"/>
        <w:jc w:val="both"/>
        <w:rPr>
          <w:sz w:val="21"/>
          <w:szCs w:val="21"/>
        </w:rPr>
      </w:pPr>
      <w:r>
        <w:rPr>
          <w:rFonts w:hint="eastAsia" w:hAnsi="宋体"/>
          <w:sz w:val="21"/>
          <w:szCs w:val="21"/>
        </w:rPr>
        <w:t>拟定器械</w:t>
      </w:r>
    </w:p>
    <w:p w14:paraId="46209DD1">
      <w:pPr>
        <w:pStyle w:val="3"/>
        <w:kinsoku w:val="0"/>
        <w:overflowPunct w:val="0"/>
        <w:snapToGrid w:val="0"/>
        <w:spacing w:line="360" w:lineRule="auto"/>
        <w:ind w:left="0"/>
        <w:jc w:val="both"/>
        <w:rPr>
          <w:sz w:val="21"/>
          <w:szCs w:val="21"/>
        </w:rPr>
      </w:pPr>
      <w:r>
        <w:rPr>
          <w:rFonts w:hint="eastAsia" w:hAnsi="宋体"/>
          <w:sz w:val="21"/>
          <w:szCs w:val="21"/>
        </w:rPr>
        <w:t>拟定上市的器械的商标名或专利商品名，以及通用器械名称。</w:t>
      </w:r>
    </w:p>
    <w:p w14:paraId="6C5326C0">
      <w:pPr>
        <w:pStyle w:val="3"/>
        <w:numPr>
          <w:ilvl w:val="0"/>
          <w:numId w:val="3"/>
        </w:numPr>
        <w:kinsoku w:val="0"/>
        <w:overflowPunct w:val="0"/>
        <w:snapToGrid w:val="0"/>
        <w:spacing w:line="360" w:lineRule="auto"/>
        <w:ind w:left="0" w:firstLine="0"/>
        <w:jc w:val="both"/>
        <w:rPr>
          <w:sz w:val="21"/>
          <w:szCs w:val="21"/>
        </w:rPr>
      </w:pPr>
      <w:r>
        <w:rPr>
          <w:rFonts w:hint="eastAsia" w:hAnsi="宋体"/>
          <w:sz w:val="21"/>
          <w:szCs w:val="21"/>
        </w:rPr>
        <w:t>上市前通知已获批准的器械</w:t>
      </w:r>
    </w:p>
    <w:p w14:paraId="4D028D0F">
      <w:pPr>
        <w:pStyle w:val="3"/>
        <w:kinsoku w:val="0"/>
        <w:overflowPunct w:val="0"/>
        <w:snapToGrid w:val="0"/>
        <w:spacing w:line="360" w:lineRule="auto"/>
        <w:ind w:left="0"/>
        <w:jc w:val="both"/>
        <w:rPr>
          <w:sz w:val="21"/>
          <w:szCs w:val="21"/>
        </w:rPr>
      </w:pPr>
      <w:r>
        <w:rPr>
          <w:rFonts w:hint="eastAsia" w:hAnsi="宋体"/>
          <w:sz w:val="21"/>
          <w:szCs w:val="21"/>
        </w:rPr>
        <w:t>用于比较的上市前通知已获批准的器械的合法上市器械。为了尽可能地具体，</w:t>
      </w:r>
      <w:r>
        <w:rPr>
          <w:sz w:val="21"/>
          <w:szCs w:val="21"/>
        </w:rPr>
        <w:t>510(k)</w:t>
      </w:r>
      <w:r>
        <w:rPr>
          <w:rFonts w:hint="eastAsia" w:hAnsi="宋体"/>
          <w:sz w:val="21"/>
          <w:szCs w:val="21"/>
        </w:rPr>
        <w:t>文件应当包括以下信息，以确定每个上市前通知已获批准的器械及支持实质等同的要求。</w:t>
      </w:r>
    </w:p>
    <w:p w14:paraId="75EA5548">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商标名</w:t>
      </w:r>
      <w:r>
        <w:rPr>
          <w:sz w:val="21"/>
          <w:szCs w:val="21"/>
        </w:rPr>
        <w:t>/</w:t>
      </w:r>
      <w:r>
        <w:rPr>
          <w:rFonts w:hint="eastAsia" w:hAnsi="宋体"/>
          <w:sz w:val="21"/>
          <w:szCs w:val="21"/>
        </w:rPr>
        <w:t>专利商品名</w:t>
      </w:r>
      <w:r>
        <w:rPr>
          <w:rFonts w:hint="eastAsia"/>
          <w:sz w:val="21"/>
          <w:szCs w:val="21"/>
        </w:rPr>
        <w:t>，</w:t>
      </w:r>
    </w:p>
    <w:p w14:paraId="39D6AD62">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通用</w:t>
      </w:r>
      <w:r>
        <w:rPr>
          <w:sz w:val="21"/>
          <w:szCs w:val="21"/>
        </w:rPr>
        <w:t>/</w:t>
      </w:r>
      <w:r>
        <w:rPr>
          <w:rFonts w:hint="eastAsia" w:hAnsi="宋体"/>
          <w:sz w:val="21"/>
          <w:szCs w:val="21"/>
        </w:rPr>
        <w:t>常用名，</w:t>
      </w:r>
    </w:p>
    <w:p w14:paraId="7BC656C0">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型号，</w:t>
      </w:r>
    </w:p>
    <w:p w14:paraId="02FAEEE7">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制造商</w:t>
      </w:r>
      <w:r>
        <w:rPr>
          <w:rFonts w:hint="eastAsia"/>
          <w:sz w:val="21"/>
          <w:szCs w:val="21"/>
        </w:rPr>
        <w:t>，</w:t>
      </w:r>
    </w:p>
    <w:p w14:paraId="6FABBDCD">
      <w:pPr>
        <w:pStyle w:val="3"/>
        <w:numPr>
          <w:ilvl w:val="0"/>
          <w:numId w:val="4"/>
        </w:numPr>
        <w:kinsoku w:val="0"/>
        <w:overflowPunct w:val="0"/>
        <w:snapToGrid w:val="0"/>
        <w:spacing w:line="360" w:lineRule="auto"/>
        <w:ind w:left="900" w:leftChars="200" w:hangingChars="200"/>
        <w:jc w:val="both"/>
        <w:rPr>
          <w:sz w:val="21"/>
          <w:szCs w:val="21"/>
        </w:rPr>
      </w:pPr>
      <w:r>
        <w:rPr>
          <w:sz w:val="21"/>
          <w:szCs w:val="21"/>
        </w:rPr>
        <w:t xml:space="preserve">510(k) </w:t>
      </w:r>
      <w:r>
        <w:rPr>
          <w:rFonts w:hint="eastAsia" w:hAnsi="宋体"/>
          <w:sz w:val="21"/>
          <w:szCs w:val="21"/>
        </w:rPr>
        <w:t>参考编号</w:t>
      </w:r>
      <w:r>
        <w:rPr>
          <w:sz w:val="21"/>
          <w:szCs w:val="21"/>
        </w:rPr>
        <w:t>(</w:t>
      </w:r>
      <w:r>
        <w:rPr>
          <w:rFonts w:hint="eastAsia" w:hAnsi="宋体"/>
          <w:sz w:val="21"/>
          <w:szCs w:val="21"/>
        </w:rPr>
        <w:t>如果已知的话</w:t>
      </w:r>
      <w:r>
        <w:rPr>
          <w:sz w:val="21"/>
          <w:szCs w:val="21"/>
        </w:rPr>
        <w:t>)</w:t>
      </w:r>
    </w:p>
    <w:p w14:paraId="2A9D4FEC">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预期用途</w:t>
      </w:r>
    </w:p>
    <w:p w14:paraId="700FD13F">
      <w:pPr>
        <w:pStyle w:val="3"/>
        <w:numPr>
          <w:ilvl w:val="0"/>
          <w:numId w:val="4"/>
        </w:numPr>
        <w:kinsoku w:val="0"/>
        <w:overflowPunct w:val="0"/>
        <w:snapToGrid w:val="0"/>
        <w:spacing w:line="360" w:lineRule="auto"/>
        <w:ind w:left="900" w:leftChars="200" w:hangingChars="200"/>
        <w:jc w:val="both"/>
        <w:rPr>
          <w:sz w:val="21"/>
          <w:szCs w:val="21"/>
        </w:rPr>
      </w:pPr>
      <w:r>
        <w:rPr>
          <w:sz w:val="21"/>
          <w:szCs w:val="21"/>
        </w:rPr>
        <w:br w:type="page"/>
      </w:r>
      <w:r>
        <w:rPr>
          <w:rFonts w:hint="eastAsia" w:hAnsi="宋体"/>
          <w:sz w:val="21"/>
          <w:szCs w:val="21"/>
        </w:rPr>
        <w:t>技术特性</w:t>
      </w:r>
      <w:r>
        <w:rPr>
          <w:sz w:val="21"/>
          <w:szCs w:val="21"/>
        </w:rPr>
        <w:t>/</w:t>
      </w:r>
      <w:r>
        <w:rPr>
          <w:rFonts w:hint="eastAsia" w:hAnsi="宋体"/>
          <w:sz w:val="21"/>
          <w:szCs w:val="21"/>
        </w:rPr>
        <w:t>性能规范，及</w:t>
      </w:r>
    </w:p>
    <w:p w14:paraId="29DB46CA">
      <w:pPr>
        <w:pStyle w:val="3"/>
        <w:numPr>
          <w:ilvl w:val="0"/>
          <w:numId w:val="4"/>
        </w:numPr>
        <w:kinsoku w:val="0"/>
        <w:overflowPunct w:val="0"/>
        <w:snapToGrid w:val="0"/>
        <w:spacing w:line="360" w:lineRule="auto"/>
        <w:ind w:left="900" w:leftChars="200" w:hangingChars="200"/>
        <w:jc w:val="both"/>
        <w:rPr>
          <w:sz w:val="21"/>
          <w:szCs w:val="21"/>
        </w:rPr>
      </w:pPr>
      <w:r>
        <w:rPr>
          <w:rFonts w:hint="eastAsia" w:hAnsi="宋体"/>
          <w:sz w:val="21"/>
          <w:szCs w:val="21"/>
        </w:rPr>
        <w:t>标签</w:t>
      </w:r>
    </w:p>
    <w:p w14:paraId="5C37723F">
      <w:pPr>
        <w:pStyle w:val="3"/>
        <w:numPr>
          <w:ilvl w:val="0"/>
          <w:numId w:val="3"/>
        </w:numPr>
        <w:kinsoku w:val="0"/>
        <w:overflowPunct w:val="0"/>
        <w:snapToGrid w:val="0"/>
        <w:spacing w:line="360" w:lineRule="auto"/>
        <w:ind w:left="420" w:hanging="420" w:hangingChars="200"/>
        <w:jc w:val="both"/>
        <w:rPr>
          <w:sz w:val="21"/>
          <w:szCs w:val="21"/>
        </w:rPr>
      </w:pPr>
      <w:r>
        <w:rPr>
          <w:rFonts w:hint="eastAsia" w:hAnsi="宋体"/>
          <w:sz w:val="21"/>
          <w:szCs w:val="21"/>
        </w:rPr>
        <w:t>真实准确的声明，据申办方所知，其所提交的所有数据和信息都是真实准确的，并且按照</w:t>
      </w:r>
      <w:r>
        <w:rPr>
          <w:sz w:val="21"/>
          <w:szCs w:val="21"/>
        </w:rPr>
        <w:t xml:space="preserve">21 CFR 807.87(j) </w:t>
      </w:r>
      <w:r>
        <w:rPr>
          <w:rFonts w:hint="eastAsia" w:hAnsi="宋体"/>
          <w:sz w:val="21"/>
          <w:szCs w:val="21"/>
        </w:rPr>
        <w:t>的规定没有重要事实被遗漏。</w:t>
      </w:r>
    </w:p>
    <w:p w14:paraId="5626C3EF">
      <w:pPr>
        <w:pStyle w:val="3"/>
        <w:numPr>
          <w:ilvl w:val="0"/>
          <w:numId w:val="3"/>
        </w:numPr>
        <w:kinsoku w:val="0"/>
        <w:overflowPunct w:val="0"/>
        <w:snapToGrid w:val="0"/>
        <w:spacing w:line="360" w:lineRule="auto"/>
        <w:ind w:left="420" w:hanging="420" w:hangingChars="200"/>
        <w:jc w:val="both"/>
        <w:rPr>
          <w:sz w:val="21"/>
          <w:szCs w:val="21"/>
        </w:rPr>
      </w:pPr>
      <w:r>
        <w:rPr>
          <w:sz w:val="21"/>
          <w:szCs w:val="21"/>
        </w:rPr>
        <w:t xml:space="preserve">510(k) </w:t>
      </w:r>
      <w:r>
        <w:rPr>
          <w:rFonts w:hint="eastAsia" w:hAnsi="宋体"/>
          <w:sz w:val="21"/>
          <w:szCs w:val="21"/>
        </w:rPr>
        <w:t>文件的总结或声明</w:t>
      </w:r>
    </w:p>
    <w:p w14:paraId="28379AFE">
      <w:pPr>
        <w:pStyle w:val="3"/>
        <w:kinsoku w:val="0"/>
        <w:overflowPunct w:val="0"/>
        <w:snapToGrid w:val="0"/>
        <w:spacing w:line="360" w:lineRule="auto"/>
        <w:ind w:left="0"/>
        <w:jc w:val="both"/>
        <w:rPr>
          <w:sz w:val="21"/>
          <w:szCs w:val="21"/>
        </w:rPr>
      </w:pPr>
      <w:r>
        <w:rPr>
          <w:sz w:val="21"/>
          <w:szCs w:val="21"/>
        </w:rPr>
        <w:t>1990</w:t>
      </w:r>
      <w:r>
        <w:rPr>
          <w:rFonts w:hint="eastAsia" w:hAnsi="宋体"/>
          <w:sz w:val="21"/>
          <w:szCs w:val="21"/>
        </w:rPr>
        <w:t>年医疗器械安全法</w:t>
      </w:r>
      <w:r>
        <w:rPr>
          <w:sz w:val="21"/>
          <w:szCs w:val="21"/>
        </w:rPr>
        <w:t>(SMDA)</w:t>
      </w:r>
      <w:r>
        <w:rPr>
          <w:rFonts w:hint="eastAsia" w:hAnsi="宋体"/>
          <w:sz w:val="21"/>
          <w:szCs w:val="21"/>
        </w:rPr>
        <w:t>要求所有人提交的上市前通知都应包括</w:t>
      </w:r>
      <w:r>
        <w:rPr>
          <w:sz w:val="21"/>
          <w:szCs w:val="21"/>
        </w:rPr>
        <w:t>(1)</w:t>
      </w:r>
      <w:r>
        <w:rPr>
          <w:rFonts w:hint="eastAsia" w:hAnsi="宋体"/>
          <w:sz w:val="21"/>
          <w:szCs w:val="21"/>
        </w:rPr>
        <w:t>依据可能基于</w:t>
      </w:r>
      <w:r>
        <w:rPr>
          <w:sz w:val="21"/>
          <w:szCs w:val="21"/>
        </w:rPr>
        <w:t>(510(k)</w:t>
      </w:r>
      <w:r>
        <w:rPr>
          <w:rFonts w:hint="eastAsia" w:hAnsi="宋体"/>
          <w:sz w:val="21"/>
          <w:szCs w:val="21"/>
        </w:rPr>
        <w:t>总结的等同确定所做的安全性和有效性信息总结；或</w:t>
      </w:r>
      <w:r>
        <w:rPr>
          <w:sz w:val="21"/>
          <w:szCs w:val="21"/>
        </w:rPr>
        <w:t xml:space="preserve"> (2) </w:t>
      </w:r>
      <w:r>
        <w:rPr>
          <w:rFonts w:hint="eastAsia" w:hAnsi="宋体"/>
          <w:sz w:val="21"/>
          <w:szCs w:val="21"/>
        </w:rPr>
        <w:t>应要求</w:t>
      </w:r>
      <w:r>
        <w:rPr>
          <w:sz w:val="21"/>
          <w:szCs w:val="21"/>
        </w:rPr>
        <w:t>(510(k)</w:t>
      </w:r>
      <w:r>
        <w:rPr>
          <w:rFonts w:hint="eastAsia" w:hAnsi="宋体"/>
          <w:sz w:val="21"/>
          <w:szCs w:val="21"/>
        </w:rPr>
        <w:t>文件声明</w:t>
      </w:r>
      <w:r>
        <w:rPr>
          <w:sz w:val="21"/>
          <w:szCs w:val="21"/>
        </w:rPr>
        <w:t>)</w:t>
      </w:r>
      <w:r>
        <w:rPr>
          <w:rFonts w:hint="eastAsia" w:hAnsi="宋体"/>
          <w:sz w:val="21"/>
          <w:szCs w:val="21"/>
        </w:rPr>
        <w:t>向利益相关人员提供安全性和有效性信息的声明。安全性和有效性信息是指上市前通知提交文件中的信息，包括与实质等同性评估相关的不良的安全性和有效性信息。这些信息可以是内容描述，也可以包括关于新的和上市前通知已获批准的器械、安全性或性能或临床测试结果信息的数据。对</w:t>
      </w:r>
      <w:r>
        <w:rPr>
          <w:sz w:val="21"/>
          <w:szCs w:val="21"/>
        </w:rPr>
        <w:t>510(k)</w:t>
      </w:r>
      <w:r>
        <w:rPr>
          <w:rFonts w:hint="eastAsia" w:hAnsi="宋体"/>
          <w:sz w:val="21"/>
          <w:szCs w:val="21"/>
        </w:rPr>
        <w:t>文件总结内容的要求包含在</w:t>
      </w:r>
      <w:r>
        <w:rPr>
          <w:sz w:val="21"/>
          <w:szCs w:val="21"/>
        </w:rPr>
        <w:t>21 CFR 807.92</w:t>
      </w:r>
      <w:r>
        <w:rPr>
          <w:rFonts w:hint="eastAsia" w:hAnsi="宋体"/>
          <w:sz w:val="21"/>
          <w:szCs w:val="21"/>
        </w:rPr>
        <w:t>中。</w:t>
      </w:r>
    </w:p>
    <w:p w14:paraId="7841BCB7">
      <w:pPr>
        <w:pStyle w:val="3"/>
        <w:numPr>
          <w:ilvl w:val="0"/>
          <w:numId w:val="3"/>
        </w:numPr>
        <w:kinsoku w:val="0"/>
        <w:overflowPunct w:val="0"/>
        <w:snapToGrid w:val="0"/>
        <w:spacing w:line="360" w:lineRule="auto"/>
        <w:ind w:left="420" w:hanging="420" w:hangingChars="200"/>
        <w:jc w:val="both"/>
        <w:rPr>
          <w:sz w:val="21"/>
          <w:szCs w:val="21"/>
        </w:rPr>
      </w:pPr>
      <w:r>
        <w:rPr>
          <w:rFonts w:hint="eastAsia" w:hAnsi="宋体"/>
          <w:sz w:val="21"/>
          <w:szCs w:val="21"/>
        </w:rPr>
        <w:t>器械描述</w:t>
      </w:r>
    </w:p>
    <w:p w14:paraId="0CF1AC66">
      <w:pPr>
        <w:pStyle w:val="3"/>
        <w:numPr>
          <w:ilvl w:val="1"/>
          <w:numId w:val="3"/>
        </w:numPr>
        <w:kinsoku w:val="0"/>
        <w:overflowPunct w:val="0"/>
        <w:snapToGrid w:val="0"/>
        <w:spacing w:line="360" w:lineRule="auto"/>
        <w:ind w:left="900" w:leftChars="200" w:hanging="420" w:hangingChars="200"/>
        <w:jc w:val="both"/>
        <w:rPr>
          <w:sz w:val="21"/>
          <w:szCs w:val="21"/>
        </w:rPr>
      </w:pPr>
      <w:r>
        <w:rPr>
          <w:rFonts w:hint="eastAsia" w:hAnsi="宋体"/>
          <w:sz w:val="21"/>
          <w:szCs w:val="21"/>
        </w:rPr>
        <w:t>提交理由</w:t>
      </w:r>
    </w:p>
    <w:p w14:paraId="2E6F7888">
      <w:pPr>
        <w:pStyle w:val="3"/>
        <w:kinsoku w:val="0"/>
        <w:overflowPunct w:val="0"/>
        <w:snapToGrid w:val="0"/>
        <w:spacing w:line="360" w:lineRule="auto"/>
        <w:ind w:left="480" w:leftChars="200"/>
        <w:jc w:val="both"/>
        <w:rPr>
          <w:sz w:val="21"/>
          <w:szCs w:val="21"/>
        </w:rPr>
      </w:pPr>
      <w:r>
        <w:rPr>
          <w:rFonts w:hint="eastAsia" w:hAnsi="宋体"/>
          <w:sz w:val="21"/>
          <w:szCs w:val="21"/>
        </w:rPr>
        <w:t>申办方应明确说明提交</w:t>
      </w:r>
      <w:r>
        <w:rPr>
          <w:sz w:val="21"/>
          <w:szCs w:val="21"/>
        </w:rPr>
        <w:t>510(k)</w:t>
      </w:r>
      <w:r>
        <w:rPr>
          <w:rFonts w:hint="eastAsia" w:hAnsi="宋体"/>
          <w:sz w:val="21"/>
          <w:szCs w:val="21"/>
        </w:rPr>
        <w:t>文件的原因，如新器械、预期用途改变或对现有鞘进行设计改型。</w:t>
      </w:r>
    </w:p>
    <w:p w14:paraId="056FCB15">
      <w:pPr>
        <w:pStyle w:val="3"/>
        <w:numPr>
          <w:ilvl w:val="1"/>
          <w:numId w:val="3"/>
        </w:numPr>
        <w:kinsoku w:val="0"/>
        <w:overflowPunct w:val="0"/>
        <w:snapToGrid w:val="0"/>
        <w:spacing w:line="360" w:lineRule="auto"/>
        <w:ind w:left="900" w:leftChars="200" w:hanging="420" w:hangingChars="200"/>
        <w:jc w:val="both"/>
        <w:rPr>
          <w:sz w:val="21"/>
          <w:szCs w:val="21"/>
        </w:rPr>
      </w:pPr>
      <w:r>
        <w:rPr>
          <w:rFonts w:hint="eastAsia" w:hAnsi="宋体"/>
          <w:sz w:val="21"/>
          <w:szCs w:val="21"/>
        </w:rPr>
        <w:t>预期用途</w:t>
      </w:r>
    </w:p>
    <w:p w14:paraId="2CCE97A8">
      <w:pPr>
        <w:pStyle w:val="3"/>
        <w:kinsoku w:val="0"/>
        <w:overflowPunct w:val="0"/>
        <w:snapToGrid w:val="0"/>
        <w:spacing w:line="360" w:lineRule="auto"/>
        <w:ind w:left="480" w:leftChars="200"/>
        <w:jc w:val="both"/>
        <w:rPr>
          <w:sz w:val="21"/>
          <w:szCs w:val="21"/>
        </w:rPr>
      </w:pPr>
      <w:r>
        <w:rPr>
          <w:sz w:val="21"/>
          <w:szCs w:val="21"/>
        </w:rPr>
        <w:t>510(k)</w:t>
      </w:r>
      <w:r>
        <w:rPr>
          <w:rFonts w:hint="eastAsia" w:hAnsi="宋体"/>
          <w:sz w:val="21"/>
          <w:szCs w:val="21"/>
        </w:rPr>
        <w:t>文件应明确说明建议的器械的预期用途。预期用途应与医师标记、</w:t>
      </w:r>
      <w:r>
        <w:rPr>
          <w:sz w:val="21"/>
          <w:szCs w:val="21"/>
        </w:rPr>
        <w:t>“</w:t>
      </w:r>
      <w:r>
        <w:rPr>
          <w:rFonts w:hint="eastAsia" w:hAnsi="宋体"/>
          <w:sz w:val="21"/>
          <w:szCs w:val="21"/>
        </w:rPr>
        <w:t>使用适应症</w:t>
      </w:r>
      <w:r>
        <w:rPr>
          <w:sz w:val="21"/>
          <w:szCs w:val="21"/>
        </w:rPr>
        <w:t>”</w:t>
      </w:r>
      <w:r>
        <w:rPr>
          <w:rFonts w:hint="eastAsia" w:hAnsi="宋体"/>
          <w:sz w:val="21"/>
          <w:szCs w:val="21"/>
        </w:rPr>
        <w:t>形式和</w:t>
      </w:r>
      <w:r>
        <w:rPr>
          <w:sz w:val="21"/>
          <w:szCs w:val="21"/>
        </w:rPr>
        <w:t>510(k)</w:t>
      </w:r>
      <w:r>
        <w:rPr>
          <w:rFonts w:hint="eastAsia" w:hAnsi="宋体"/>
          <w:sz w:val="21"/>
          <w:szCs w:val="21"/>
        </w:rPr>
        <w:t>文件总结</w:t>
      </w:r>
      <w:r>
        <w:rPr>
          <w:sz w:val="21"/>
          <w:szCs w:val="21"/>
        </w:rPr>
        <w:t>(</w:t>
      </w:r>
      <w:r>
        <w:rPr>
          <w:rFonts w:hint="eastAsia" w:hAnsi="宋体"/>
          <w:sz w:val="21"/>
          <w:szCs w:val="21"/>
        </w:rPr>
        <w:t>如果提供的话</w:t>
      </w:r>
      <w:r>
        <w:rPr>
          <w:sz w:val="21"/>
          <w:szCs w:val="21"/>
        </w:rPr>
        <w:t>)</w:t>
      </w:r>
      <w:r>
        <w:rPr>
          <w:rFonts w:hint="eastAsia" w:hAnsi="宋体"/>
          <w:sz w:val="21"/>
          <w:szCs w:val="21"/>
        </w:rPr>
        <w:t>措辞相同。</w:t>
      </w:r>
    </w:p>
    <w:p w14:paraId="0C9CD643">
      <w:pPr>
        <w:pStyle w:val="3"/>
        <w:numPr>
          <w:ilvl w:val="1"/>
          <w:numId w:val="3"/>
        </w:numPr>
        <w:kinsoku w:val="0"/>
        <w:overflowPunct w:val="0"/>
        <w:snapToGrid w:val="0"/>
        <w:spacing w:line="360" w:lineRule="auto"/>
        <w:ind w:left="900" w:leftChars="200" w:hanging="420" w:hangingChars="200"/>
        <w:jc w:val="both"/>
        <w:rPr>
          <w:sz w:val="21"/>
          <w:szCs w:val="21"/>
        </w:rPr>
      </w:pPr>
      <w:r>
        <w:rPr>
          <w:rFonts w:hint="eastAsia" w:hAnsi="宋体"/>
          <w:sz w:val="21"/>
          <w:szCs w:val="21"/>
        </w:rPr>
        <w:t>物理描述</w:t>
      </w:r>
    </w:p>
    <w:p w14:paraId="77D46DBA">
      <w:pPr>
        <w:pStyle w:val="3"/>
        <w:kinsoku w:val="0"/>
        <w:overflowPunct w:val="0"/>
        <w:snapToGrid w:val="0"/>
        <w:spacing w:line="360" w:lineRule="auto"/>
        <w:ind w:left="480" w:leftChars="200"/>
        <w:jc w:val="both"/>
        <w:rPr>
          <w:sz w:val="21"/>
          <w:szCs w:val="21"/>
        </w:rPr>
      </w:pPr>
      <w:r>
        <w:rPr>
          <w:rFonts w:hint="eastAsia" w:hAnsi="宋体"/>
          <w:sz w:val="21"/>
          <w:szCs w:val="21"/>
        </w:rPr>
        <w:t>应提供每个鞘的物理描述。描述中应包括有标记的图表、照片、示意图等，它包括所有的内部、外部、组装、未组装和可互换零件。</w:t>
      </w:r>
      <w:r>
        <w:rPr>
          <w:sz w:val="21"/>
          <w:szCs w:val="21"/>
        </w:rPr>
        <w:t xml:space="preserve"> </w:t>
      </w:r>
      <w:r>
        <w:rPr>
          <w:rFonts w:hint="eastAsia" w:hAnsi="宋体"/>
          <w:sz w:val="21"/>
          <w:szCs w:val="21"/>
        </w:rPr>
        <w:t>物理描述应包括尺寸规格，如长、宽、高、直径、重量等，以及电气特性</w:t>
      </w:r>
      <w:r>
        <w:rPr>
          <w:sz w:val="21"/>
          <w:szCs w:val="21"/>
        </w:rPr>
        <w:t>(</w:t>
      </w:r>
      <w:r>
        <w:rPr>
          <w:rFonts w:hint="eastAsia" w:hAnsi="宋体"/>
          <w:sz w:val="21"/>
          <w:szCs w:val="21"/>
        </w:rPr>
        <w:t>即功率要求</w:t>
      </w:r>
      <w:r>
        <w:rPr>
          <w:sz w:val="21"/>
          <w:szCs w:val="21"/>
        </w:rPr>
        <w:t>)</w:t>
      </w:r>
      <w:r>
        <w:rPr>
          <w:rFonts w:hint="eastAsia" w:hAnsi="宋体"/>
          <w:sz w:val="21"/>
          <w:szCs w:val="21"/>
        </w:rPr>
        <w:t>。应确定所有的一次性零件。</w:t>
      </w:r>
    </w:p>
    <w:p w14:paraId="2B826AEA">
      <w:pPr>
        <w:pStyle w:val="3"/>
        <w:kinsoku w:val="0"/>
        <w:overflowPunct w:val="0"/>
        <w:snapToGrid w:val="0"/>
        <w:spacing w:line="360" w:lineRule="auto"/>
        <w:ind w:left="480" w:leftChars="200"/>
        <w:jc w:val="both"/>
        <w:rPr>
          <w:sz w:val="21"/>
          <w:szCs w:val="21"/>
        </w:rPr>
      </w:pPr>
      <w:r>
        <w:rPr>
          <w:rFonts w:hint="eastAsia" w:hAnsi="宋体"/>
          <w:sz w:val="21"/>
          <w:szCs w:val="21"/>
        </w:rPr>
        <w:t>如果鞘是包括配件，如泵、空气压缩机、固定装置等成套出售的，则配件就被认为是医疗器械的一部分。它们应按以上相同的细节进行确认和描述。使用者指令中必须包括鞘的使用和拆除的清晰分步描述。内窥镜器械的成功后处理</w:t>
      </w:r>
      <w:r>
        <w:rPr>
          <w:sz w:val="21"/>
          <w:szCs w:val="21"/>
        </w:rPr>
        <w:t>(</w:t>
      </w:r>
      <w:r>
        <w:rPr>
          <w:rFonts w:hint="eastAsia" w:hAnsi="宋体"/>
          <w:sz w:val="21"/>
          <w:szCs w:val="21"/>
        </w:rPr>
        <w:t>清洁和消毒</w:t>
      </w:r>
      <w:r>
        <w:rPr>
          <w:sz w:val="21"/>
          <w:szCs w:val="21"/>
        </w:rPr>
        <w:t>)</w:t>
      </w:r>
      <w:r>
        <w:rPr>
          <w:rFonts w:hint="eastAsia" w:hAnsi="宋体"/>
          <w:sz w:val="21"/>
          <w:szCs w:val="21"/>
        </w:rPr>
        <w:t>取决于使用者的知识及对严格无菌技术的遵守。应考虑人类工程学和使用者指令测试，以预见和尽量减少潜在的使用者错误。</w:t>
      </w:r>
      <w:r>
        <w:rPr>
          <w:sz w:val="21"/>
          <w:szCs w:val="21"/>
        </w:rPr>
        <w:t xml:space="preserve"> </w:t>
      </w:r>
    </w:p>
    <w:p w14:paraId="454C4DAD">
      <w:pPr>
        <w:pStyle w:val="3"/>
        <w:numPr>
          <w:ilvl w:val="1"/>
          <w:numId w:val="3"/>
        </w:numPr>
        <w:kinsoku w:val="0"/>
        <w:overflowPunct w:val="0"/>
        <w:snapToGrid w:val="0"/>
        <w:spacing w:line="360" w:lineRule="auto"/>
        <w:ind w:left="900" w:leftChars="200" w:hanging="420" w:hangingChars="200"/>
        <w:jc w:val="both"/>
        <w:rPr>
          <w:sz w:val="21"/>
          <w:szCs w:val="21"/>
        </w:rPr>
      </w:pPr>
      <w:r>
        <w:rPr>
          <w:rFonts w:hint="eastAsia" w:hAnsi="宋体"/>
          <w:sz w:val="21"/>
          <w:szCs w:val="21"/>
        </w:rPr>
        <w:t>鞘材料</w:t>
      </w:r>
    </w:p>
    <w:p w14:paraId="1B4CC84E">
      <w:pPr>
        <w:pStyle w:val="3"/>
        <w:kinsoku w:val="0"/>
        <w:overflowPunct w:val="0"/>
        <w:snapToGrid w:val="0"/>
        <w:spacing w:line="360" w:lineRule="auto"/>
        <w:ind w:left="480" w:leftChars="200"/>
        <w:jc w:val="both"/>
        <w:rPr>
          <w:sz w:val="21"/>
          <w:szCs w:val="21"/>
        </w:rPr>
      </w:pPr>
      <w:r>
        <w:rPr>
          <w:rFonts w:hint="eastAsia" w:hAnsi="宋体"/>
          <w:sz w:val="21"/>
          <w:szCs w:val="21"/>
        </w:rPr>
        <w:t>应提供用于制造鞘及其配件的所有材料的精确标识，带有与预修正器械或上市前通知已获批准的器械的任何差异的说明。如果材料与预修正器械或上市前通知已获批准的器械中使用的材料相同，并经过相同的处理和灭菌，则应明确说明。这些信息应包括所有与材料直接和间接接触的患者。申请人应考虑并解决最大应力时的材料磨损，如接合点、接缝或有黏合剂的区域。</w:t>
      </w:r>
    </w:p>
    <w:p w14:paraId="6BAD25BC">
      <w:pPr>
        <w:pStyle w:val="3"/>
        <w:numPr>
          <w:ilvl w:val="1"/>
          <w:numId w:val="3"/>
        </w:numPr>
        <w:kinsoku w:val="0"/>
        <w:overflowPunct w:val="0"/>
        <w:snapToGrid w:val="0"/>
        <w:spacing w:line="360" w:lineRule="auto"/>
        <w:ind w:left="900" w:leftChars="200" w:hanging="420" w:hangingChars="200"/>
        <w:jc w:val="both"/>
        <w:rPr>
          <w:sz w:val="21"/>
          <w:szCs w:val="21"/>
        </w:rPr>
      </w:pPr>
      <w:r>
        <w:rPr>
          <w:rFonts w:hint="eastAsia" w:hAnsi="宋体"/>
          <w:sz w:val="21"/>
          <w:szCs w:val="21"/>
        </w:rPr>
        <w:t>货架期</w:t>
      </w:r>
    </w:p>
    <w:p w14:paraId="6C8D8F7C">
      <w:pPr>
        <w:pStyle w:val="3"/>
        <w:kinsoku w:val="0"/>
        <w:overflowPunct w:val="0"/>
        <w:snapToGrid w:val="0"/>
        <w:spacing w:line="360" w:lineRule="auto"/>
        <w:ind w:left="480" w:leftChars="200"/>
        <w:jc w:val="both"/>
        <w:rPr>
          <w:sz w:val="21"/>
          <w:szCs w:val="21"/>
        </w:rPr>
      </w:pPr>
      <w:r>
        <w:rPr>
          <w:rFonts w:hint="eastAsia" w:hAnsi="宋体"/>
          <w:sz w:val="21"/>
          <w:szCs w:val="21"/>
        </w:rPr>
        <w:t>申请人还应依据个别材料的预期货架期考虑鞘的预期使用货架期。可以进行加速老化试验，以确定某些材料或成分是否会比其他材料或成分的货架期短。可能需要适当的有效期标签。</w:t>
      </w:r>
    </w:p>
    <w:p w14:paraId="0DC6815C">
      <w:pPr>
        <w:pStyle w:val="3"/>
        <w:kinsoku w:val="0"/>
        <w:overflowPunct w:val="0"/>
        <w:snapToGrid w:val="0"/>
        <w:spacing w:line="360" w:lineRule="auto"/>
        <w:ind w:left="0"/>
        <w:jc w:val="both"/>
        <w:rPr>
          <w:sz w:val="21"/>
          <w:szCs w:val="21"/>
        </w:rPr>
      </w:pPr>
      <w:r>
        <w:rPr>
          <w:rFonts w:hint="eastAsia" w:hAnsi="宋体"/>
          <w:sz w:val="21"/>
          <w:szCs w:val="21"/>
        </w:rPr>
        <w:t>附录中提供了材料和成品器械的阻隔性测试指南。</w:t>
      </w:r>
    </w:p>
    <w:p w14:paraId="135D5CE6">
      <w:pPr>
        <w:pStyle w:val="3"/>
        <w:numPr>
          <w:ilvl w:val="0"/>
          <w:numId w:val="3"/>
        </w:numPr>
        <w:kinsoku w:val="0"/>
        <w:overflowPunct w:val="0"/>
        <w:snapToGrid w:val="0"/>
        <w:spacing w:line="360" w:lineRule="auto"/>
        <w:ind w:left="420" w:hanging="420" w:hangingChars="200"/>
        <w:jc w:val="both"/>
        <w:rPr>
          <w:sz w:val="21"/>
          <w:szCs w:val="21"/>
        </w:rPr>
      </w:pPr>
      <w:r>
        <w:rPr>
          <w:rFonts w:hint="eastAsia" w:hAnsi="宋体"/>
          <w:sz w:val="21"/>
          <w:szCs w:val="21"/>
        </w:rPr>
        <w:t>特殊控制</w:t>
      </w:r>
    </w:p>
    <w:p w14:paraId="7FC1990D">
      <w:pPr>
        <w:pStyle w:val="3"/>
        <w:kinsoku w:val="0"/>
        <w:overflowPunct w:val="0"/>
        <w:snapToGrid w:val="0"/>
        <w:spacing w:line="360" w:lineRule="auto"/>
        <w:ind w:left="0"/>
        <w:jc w:val="both"/>
        <w:rPr>
          <w:sz w:val="21"/>
          <w:szCs w:val="21"/>
        </w:rPr>
      </w:pPr>
      <w:r>
        <w:rPr>
          <w:rFonts w:hint="eastAsia" w:hAnsi="宋体"/>
          <w:sz w:val="21"/>
          <w:szCs w:val="21"/>
        </w:rPr>
        <w:t>内窥镜及配件</w:t>
      </w:r>
      <w:r>
        <w:rPr>
          <w:sz w:val="21"/>
          <w:szCs w:val="21"/>
        </w:rPr>
        <w:t>(</w:t>
      </w:r>
      <w:r>
        <w:rPr>
          <w:rFonts w:hint="eastAsia" w:hAnsi="宋体"/>
          <w:sz w:val="21"/>
          <w:szCs w:val="21"/>
        </w:rPr>
        <w:t>除耳镜外</w:t>
      </w:r>
      <w:r>
        <w:rPr>
          <w:sz w:val="21"/>
          <w:szCs w:val="21"/>
        </w:rPr>
        <w:t>)</w:t>
      </w:r>
      <w:r>
        <w:rPr>
          <w:rFonts w:hint="eastAsia" w:hAnsi="宋体"/>
          <w:sz w:val="21"/>
          <w:szCs w:val="21"/>
        </w:rPr>
        <w:t>是</w:t>
      </w:r>
      <w:r>
        <w:rPr>
          <w:sz w:val="21"/>
          <w:szCs w:val="21"/>
        </w:rPr>
        <w:t>II</w:t>
      </w:r>
      <w:r>
        <w:rPr>
          <w:rFonts w:hint="eastAsia" w:hAnsi="宋体"/>
          <w:sz w:val="21"/>
          <w:szCs w:val="21"/>
        </w:rPr>
        <w:t>类器械，需受特殊控制。特别控制可包括特殊标签要求、强制性能标准、患者登记和上市后监督。如果制定微生物阻隔说明，申办方应当提交适当的实验室测试支持数据。本文件附录中描述了一个适当的阻隔测试医疗方案的示例。</w:t>
      </w:r>
    </w:p>
    <w:p w14:paraId="41197C16">
      <w:pPr>
        <w:pStyle w:val="3"/>
        <w:numPr>
          <w:ilvl w:val="0"/>
          <w:numId w:val="3"/>
        </w:numPr>
        <w:kinsoku w:val="0"/>
        <w:overflowPunct w:val="0"/>
        <w:snapToGrid w:val="0"/>
        <w:spacing w:line="360" w:lineRule="auto"/>
        <w:ind w:left="420" w:hanging="420" w:hangingChars="200"/>
        <w:jc w:val="both"/>
        <w:rPr>
          <w:sz w:val="21"/>
          <w:szCs w:val="21"/>
        </w:rPr>
      </w:pPr>
      <w:r>
        <w:rPr>
          <w:rFonts w:hint="eastAsia" w:hAnsi="宋体"/>
          <w:sz w:val="21"/>
          <w:szCs w:val="21"/>
        </w:rPr>
        <w:t>无菌信息</w:t>
      </w:r>
    </w:p>
    <w:p w14:paraId="09BA3548">
      <w:pPr>
        <w:pStyle w:val="3"/>
        <w:kinsoku w:val="0"/>
        <w:overflowPunct w:val="0"/>
        <w:snapToGrid w:val="0"/>
        <w:spacing w:line="360" w:lineRule="auto"/>
        <w:ind w:left="0"/>
        <w:jc w:val="both"/>
        <w:rPr>
          <w:sz w:val="21"/>
          <w:szCs w:val="21"/>
        </w:rPr>
      </w:pPr>
      <w:r>
        <w:rPr>
          <w:rFonts w:hint="eastAsia" w:hAnsi="宋体"/>
          <w:sz w:val="21"/>
          <w:szCs w:val="21"/>
        </w:rPr>
        <w:t>应提供关于可能出售器械和配件无菌的完整信息。这些信息包括灭菌方法；</w:t>
      </w:r>
      <w:r>
        <w:rPr>
          <w:sz w:val="21"/>
          <w:szCs w:val="21"/>
        </w:rPr>
        <w:t xml:space="preserve"> </w:t>
      </w:r>
      <w:r>
        <w:rPr>
          <w:rFonts w:hint="eastAsia" w:hAnsi="宋体"/>
          <w:sz w:val="21"/>
          <w:szCs w:val="21"/>
        </w:rPr>
        <w:t>灭菌周期验证方法；包装材料和包装描述，以确保无菌；无菌保证水平</w:t>
      </w:r>
      <w:r>
        <w:rPr>
          <w:sz w:val="21"/>
          <w:szCs w:val="21"/>
        </w:rPr>
        <w:t>(SAL)</w:t>
      </w:r>
      <w:r>
        <w:rPr>
          <w:rFonts w:hint="eastAsia" w:hAnsi="宋体"/>
          <w:sz w:val="21"/>
          <w:szCs w:val="21"/>
        </w:rPr>
        <w:t>；及辐射剂量或保留在器械上的环氧乙烷、乙醇和乙二醇的最高残留水平。如果该出售器械只有部分无菌，则标签上应明确标注出无菌和无热原的部分。</w:t>
      </w:r>
    </w:p>
    <w:p w14:paraId="479AC41A">
      <w:pPr>
        <w:pStyle w:val="3"/>
        <w:kinsoku w:val="0"/>
        <w:overflowPunct w:val="0"/>
        <w:snapToGrid w:val="0"/>
        <w:spacing w:line="360" w:lineRule="auto"/>
        <w:ind w:left="0"/>
        <w:jc w:val="both"/>
        <w:rPr>
          <w:sz w:val="21"/>
          <w:szCs w:val="21"/>
        </w:rPr>
      </w:pPr>
      <w:r>
        <w:rPr>
          <w:rFonts w:hint="eastAsia" w:hAnsi="宋体"/>
          <w:sz w:val="21"/>
          <w:szCs w:val="21"/>
        </w:rPr>
        <w:t>如果该器械将被标记为无热原，则必须提供用于该检测</w:t>
      </w:r>
      <w:r>
        <w:rPr>
          <w:sz w:val="21"/>
          <w:szCs w:val="21"/>
        </w:rPr>
        <w:t>(LAL</w:t>
      </w:r>
      <w:r>
        <w:rPr>
          <w:rFonts w:hint="eastAsia" w:hAnsi="宋体"/>
          <w:sz w:val="21"/>
          <w:szCs w:val="21"/>
        </w:rPr>
        <w:t>或家兔热原试验</w:t>
      </w:r>
      <w:r>
        <w:rPr>
          <w:sz w:val="21"/>
          <w:szCs w:val="21"/>
        </w:rPr>
        <w:t>)</w:t>
      </w:r>
      <w:r>
        <w:rPr>
          <w:rFonts w:hint="eastAsia" w:hAnsi="宋体"/>
          <w:sz w:val="21"/>
          <w:szCs w:val="21"/>
        </w:rPr>
        <w:t>的方法说明。</w:t>
      </w:r>
    </w:p>
    <w:p w14:paraId="1761F516">
      <w:pPr>
        <w:pStyle w:val="3"/>
        <w:kinsoku w:val="0"/>
        <w:overflowPunct w:val="0"/>
        <w:snapToGrid w:val="0"/>
        <w:spacing w:line="360" w:lineRule="auto"/>
        <w:ind w:left="0"/>
        <w:jc w:val="both"/>
        <w:rPr>
          <w:sz w:val="21"/>
          <w:szCs w:val="21"/>
        </w:rPr>
      </w:pPr>
      <w:r>
        <w:rPr>
          <w:rFonts w:hint="eastAsia" w:hAnsi="宋体"/>
          <w:sz w:val="21"/>
          <w:szCs w:val="21"/>
        </w:rPr>
        <w:t>一次性附件应标注为一次性使用。</w:t>
      </w:r>
    </w:p>
    <w:p w14:paraId="24040617">
      <w:pPr>
        <w:pStyle w:val="3"/>
        <w:kinsoku w:val="0"/>
        <w:overflowPunct w:val="0"/>
        <w:snapToGrid w:val="0"/>
        <w:spacing w:line="360" w:lineRule="auto"/>
        <w:ind w:left="0"/>
        <w:jc w:val="both"/>
        <w:rPr>
          <w:sz w:val="21"/>
          <w:szCs w:val="21"/>
        </w:rPr>
      </w:pPr>
      <w:r>
        <w:rPr>
          <w:rFonts w:hint="eastAsia" w:hAnsi="宋体"/>
          <w:sz w:val="21"/>
          <w:szCs w:val="21"/>
        </w:rPr>
        <w:t>无菌方面的指导描述在</w:t>
      </w:r>
      <w:r>
        <w:rPr>
          <w:sz w:val="21"/>
          <w:szCs w:val="21"/>
        </w:rPr>
        <w:t>ODE</w:t>
      </w:r>
      <w:r>
        <w:rPr>
          <w:rFonts w:hint="eastAsia" w:hAnsi="宋体"/>
          <w:sz w:val="21"/>
          <w:szCs w:val="21"/>
        </w:rPr>
        <w:t>蓝皮书备忘录</w:t>
      </w:r>
      <w:r>
        <w:rPr>
          <w:sz w:val="21"/>
          <w:szCs w:val="21"/>
        </w:rPr>
        <w:t>K90-1 "510(k)</w:t>
      </w:r>
      <w:r>
        <w:rPr>
          <w:rFonts w:hint="eastAsia" w:hAnsi="宋体"/>
          <w:sz w:val="21"/>
          <w:szCs w:val="21"/>
        </w:rPr>
        <w:t>无菌审核指南</w:t>
      </w:r>
      <w:r>
        <w:rPr>
          <w:sz w:val="21"/>
          <w:szCs w:val="21"/>
        </w:rPr>
        <w:t>(2/12/90)"</w:t>
      </w:r>
      <w:r>
        <w:rPr>
          <w:rFonts w:hint="eastAsia" w:hAnsi="宋体"/>
          <w:sz w:val="21"/>
          <w:szCs w:val="21"/>
        </w:rPr>
        <w:t>和</w:t>
      </w:r>
      <w:r>
        <w:rPr>
          <w:sz w:val="21"/>
          <w:szCs w:val="21"/>
        </w:rPr>
        <w:t>1996</w:t>
      </w:r>
      <w:r>
        <w:rPr>
          <w:rFonts w:hint="eastAsia" w:hAnsi="宋体"/>
          <w:sz w:val="21"/>
          <w:szCs w:val="21"/>
        </w:rPr>
        <w:t>年</w:t>
      </w:r>
      <w:r>
        <w:rPr>
          <w:sz w:val="21"/>
          <w:szCs w:val="21"/>
        </w:rPr>
        <w:t>4</w:t>
      </w:r>
      <w:r>
        <w:rPr>
          <w:rFonts w:hint="eastAsia" w:hAnsi="宋体"/>
          <w:sz w:val="21"/>
          <w:szCs w:val="21"/>
        </w:rPr>
        <w:t>月的</w:t>
      </w:r>
      <w:r>
        <w:rPr>
          <w:sz w:val="21"/>
          <w:szCs w:val="21"/>
        </w:rPr>
        <w:t>ODE</w:t>
      </w:r>
      <w:r>
        <w:rPr>
          <w:rFonts w:hint="eastAsia" w:hAnsi="宋体"/>
          <w:sz w:val="21"/>
          <w:szCs w:val="21"/>
        </w:rPr>
        <w:t>指南</w:t>
      </w:r>
      <w:r>
        <w:rPr>
          <w:sz w:val="21"/>
          <w:szCs w:val="21"/>
        </w:rPr>
        <w:t>“</w:t>
      </w:r>
      <w:r>
        <w:rPr>
          <w:rFonts w:hint="eastAsia" w:hAnsi="宋体"/>
          <w:sz w:val="21"/>
          <w:szCs w:val="21"/>
        </w:rPr>
        <w:t>医疗保健设施中可重复使用的医疗器械后处理标签：</w:t>
      </w:r>
      <w:r>
        <w:rPr>
          <w:sz w:val="21"/>
          <w:szCs w:val="21"/>
        </w:rPr>
        <w:t xml:space="preserve">FDA </w:t>
      </w:r>
      <w:r>
        <w:rPr>
          <w:rFonts w:hint="eastAsia" w:hAnsi="宋体"/>
          <w:sz w:val="21"/>
          <w:szCs w:val="21"/>
        </w:rPr>
        <w:t>审查员指南</w:t>
      </w:r>
      <w:r>
        <w:rPr>
          <w:sz w:val="21"/>
          <w:szCs w:val="21"/>
        </w:rPr>
        <w:t>”</w:t>
      </w:r>
      <w:r>
        <w:rPr>
          <w:rFonts w:hint="eastAsia" w:hAnsi="宋体"/>
          <w:sz w:val="21"/>
          <w:szCs w:val="21"/>
        </w:rPr>
        <w:t>中。可拨打电话</w:t>
      </w:r>
      <w:r>
        <w:rPr>
          <w:sz w:val="21"/>
          <w:szCs w:val="21"/>
        </w:rPr>
        <w:t xml:space="preserve">(800) 638-2041 </w:t>
      </w:r>
      <w:r>
        <w:rPr>
          <w:rFonts w:hint="eastAsia" w:hAnsi="宋体"/>
          <w:sz w:val="21"/>
          <w:szCs w:val="21"/>
        </w:rPr>
        <w:t>或</w:t>
      </w:r>
      <w:r>
        <w:rPr>
          <w:sz w:val="21"/>
          <w:szCs w:val="21"/>
        </w:rPr>
        <w:t>(301) 443-6597</w:t>
      </w:r>
      <w:r>
        <w:rPr>
          <w:rFonts w:hint="eastAsia" w:hAnsi="宋体"/>
          <w:sz w:val="21"/>
          <w:szCs w:val="21"/>
        </w:rPr>
        <w:t>向</w:t>
      </w:r>
      <w:r>
        <w:rPr>
          <w:sz w:val="21"/>
          <w:szCs w:val="21"/>
        </w:rPr>
        <w:t>DSMA</w:t>
      </w:r>
      <w:r>
        <w:rPr>
          <w:rFonts w:hint="eastAsia" w:hAnsi="宋体"/>
          <w:sz w:val="21"/>
          <w:szCs w:val="21"/>
        </w:rPr>
        <w:t>索取这些文件的副本。</w:t>
      </w:r>
    </w:p>
    <w:p w14:paraId="496A6391">
      <w:pPr>
        <w:pStyle w:val="3"/>
        <w:kinsoku w:val="0"/>
        <w:overflowPunct w:val="0"/>
        <w:snapToGrid w:val="0"/>
        <w:spacing w:line="360" w:lineRule="auto"/>
        <w:ind w:left="0"/>
        <w:jc w:val="both"/>
        <w:rPr>
          <w:sz w:val="21"/>
          <w:szCs w:val="21"/>
        </w:rPr>
      </w:pPr>
      <w:r>
        <w:rPr>
          <w:rFonts w:hint="eastAsia" w:hAnsi="宋体"/>
          <w:sz w:val="21"/>
          <w:szCs w:val="21"/>
        </w:rPr>
        <w:t>耳鼻喉科临床工作中使用的内窥镜被认为是半关键性医疗器械，因为它们接触粘膜，而粘膜可能是完整也可能是不完整的。美国疾病控制中心</w:t>
      </w:r>
      <w:r>
        <w:rPr>
          <w:sz w:val="21"/>
          <w:szCs w:val="21"/>
        </w:rPr>
        <w:t>(CDC)</w:t>
      </w:r>
      <w:r>
        <w:rPr>
          <w:rFonts w:hint="eastAsia" w:hAnsi="宋体"/>
          <w:sz w:val="21"/>
          <w:szCs w:val="21"/>
        </w:rPr>
        <w:t>和感染控制工作者协会</w:t>
      </w:r>
      <w:r>
        <w:rPr>
          <w:sz w:val="21"/>
          <w:szCs w:val="21"/>
        </w:rPr>
        <w:t>(APIC)</w:t>
      </w:r>
      <w:r>
        <w:rPr>
          <w:rFonts w:hint="eastAsia" w:hAnsi="宋体"/>
          <w:sz w:val="21"/>
          <w:szCs w:val="21"/>
        </w:rPr>
        <w:t>推荐将高级别消毒作为半关键性医疗器械，如内窥镜后处理的可接受最低级别。高级别消毒是消除或杀灭所有营养细菌、病毒和真菌孢子及一些但不是所有的细菌芽孢。高级别消毒杀灭一些孢子，但在大多数情况下，这些都在预料之中。只有杀菌才能确保过度杀灭的安全界限。</w:t>
      </w:r>
    </w:p>
    <w:p w14:paraId="117A88E5">
      <w:pPr>
        <w:pStyle w:val="3"/>
        <w:kinsoku w:val="0"/>
        <w:overflowPunct w:val="0"/>
        <w:snapToGrid w:val="0"/>
        <w:spacing w:line="360" w:lineRule="auto"/>
        <w:ind w:left="0"/>
        <w:jc w:val="both"/>
        <w:rPr>
          <w:sz w:val="21"/>
          <w:szCs w:val="21"/>
        </w:rPr>
      </w:pPr>
      <w:r>
        <w:rPr>
          <w:rFonts w:hint="eastAsia" w:hAnsi="宋体"/>
          <w:sz w:val="21"/>
          <w:szCs w:val="21"/>
        </w:rPr>
        <w:t>拆除使用过的鞘之后和使用新鞘之前对内窥镜的后处理必须推荐和描述在使用者的信息手册中。如果申请人充分论证了成品器械的保护阻隔性能，则在清洁程序之后将需要有一个中间消毒步骤。</w:t>
      </w:r>
    </w:p>
    <w:p w14:paraId="24E27D27">
      <w:pPr>
        <w:pStyle w:val="3"/>
        <w:kinsoku w:val="0"/>
        <w:overflowPunct w:val="0"/>
        <w:snapToGrid w:val="0"/>
        <w:spacing w:line="360" w:lineRule="auto"/>
        <w:ind w:left="0"/>
        <w:jc w:val="both"/>
        <w:rPr>
          <w:sz w:val="21"/>
          <w:szCs w:val="21"/>
        </w:rPr>
      </w:pPr>
      <w:r>
        <w:rPr>
          <w:rFonts w:hint="eastAsia" w:hAnsi="宋体"/>
          <w:sz w:val="21"/>
          <w:szCs w:val="21"/>
        </w:rPr>
        <w:t>申请人应要求使用者遵守内窥镜制造商推荐的清洁程序。这应当包括清洁整个内窥镜，包括目镜和任何手动附件的用法说明。这一过程有两个目的；在使用者中断无菌操作的情况下清洁内窥镜，及在使用或拆除鞘的过程中，机械地移除可能已接触内窥镜插入管的任何材料。除清洁外，还应推荐中间消毒步骤，如使用</w:t>
      </w:r>
      <w:r>
        <w:rPr>
          <w:sz w:val="21"/>
          <w:szCs w:val="21"/>
        </w:rPr>
        <w:t>70%</w:t>
      </w:r>
      <w:r>
        <w:rPr>
          <w:rFonts w:hint="eastAsia" w:hAnsi="宋体"/>
          <w:sz w:val="21"/>
          <w:szCs w:val="21"/>
        </w:rPr>
        <w:t>异丙醇浸泡的纱布垫擦拭。增加这一步骤是为了在使用新鞘之前，减少任何活的微生物保留在内窥镜上的可能性。如果申请人希望提出一个不同的清洁方案，那应当有充分的说明和理由。</w:t>
      </w:r>
    </w:p>
    <w:p w14:paraId="1FE81158">
      <w:pPr>
        <w:kinsoku w:val="0"/>
        <w:overflowPunct w:val="0"/>
        <w:snapToGrid w:val="0"/>
        <w:spacing w:before="120" w:beforeLines="50" w:line="360" w:lineRule="auto"/>
        <w:ind w:left="420" w:hanging="420" w:hangingChars="200"/>
        <w:jc w:val="both"/>
        <w:rPr>
          <w:sz w:val="21"/>
          <w:szCs w:val="21"/>
        </w:rPr>
      </w:pPr>
      <w:r>
        <w:rPr>
          <w:sz w:val="21"/>
          <w:szCs w:val="21"/>
        </w:rPr>
        <w:br w:type="page"/>
      </w:r>
      <w:r>
        <w:rPr>
          <w:sz w:val="21"/>
          <w:szCs w:val="21"/>
        </w:rPr>
        <w:t>I.</w:t>
      </w:r>
      <w:r>
        <w:rPr>
          <w:sz w:val="21"/>
          <w:szCs w:val="21"/>
        </w:rPr>
        <w:tab/>
      </w:r>
      <w:r>
        <w:rPr>
          <w:rFonts w:hint="eastAsia" w:hAnsi="宋体"/>
          <w:sz w:val="21"/>
          <w:szCs w:val="21"/>
        </w:rPr>
        <w:t>生物相容性测试</w:t>
      </w:r>
    </w:p>
    <w:p w14:paraId="24EE1E15">
      <w:pPr>
        <w:pStyle w:val="3"/>
        <w:kinsoku w:val="0"/>
        <w:overflowPunct w:val="0"/>
        <w:snapToGrid w:val="0"/>
        <w:spacing w:before="120" w:beforeLines="50" w:line="360" w:lineRule="auto"/>
        <w:ind w:left="0"/>
        <w:jc w:val="both"/>
        <w:rPr>
          <w:sz w:val="21"/>
          <w:szCs w:val="21"/>
        </w:rPr>
      </w:pPr>
      <w:r>
        <w:rPr>
          <w:rFonts w:hint="eastAsia" w:hAnsi="宋体"/>
          <w:sz w:val="21"/>
          <w:szCs w:val="21"/>
        </w:rPr>
        <w:t>应当提供关于任何直接或间接与患者接触、与预修正或上市前通知已获批准的器械材料不同、或进行不同处理或灭菌的材料的生物相容性测试数据。如果未提供数据，则应当提供不需要这些数据的理由。生物相容性测试应遵守</w:t>
      </w:r>
      <w:r>
        <w:rPr>
          <w:sz w:val="21"/>
          <w:szCs w:val="21"/>
        </w:rPr>
        <w:t>FDA</w:t>
      </w:r>
      <w:r>
        <w:rPr>
          <w:rFonts w:hint="eastAsia" w:hAnsi="宋体"/>
          <w:sz w:val="21"/>
          <w:szCs w:val="21"/>
        </w:rPr>
        <w:t>修改的</w:t>
      </w:r>
      <w:r>
        <w:rPr>
          <w:sz w:val="21"/>
          <w:szCs w:val="21"/>
        </w:rPr>
        <w:t>ISO 10993</w:t>
      </w:r>
      <w:r>
        <w:rPr>
          <w:rFonts w:hint="eastAsia" w:hAnsi="宋体"/>
          <w:sz w:val="21"/>
          <w:szCs w:val="21"/>
        </w:rPr>
        <w:t>第</w:t>
      </w:r>
      <w:r>
        <w:rPr>
          <w:sz w:val="21"/>
          <w:szCs w:val="21"/>
        </w:rPr>
        <w:t>1</w:t>
      </w:r>
      <w:r>
        <w:rPr>
          <w:rFonts w:hint="eastAsia" w:hAnsi="宋体"/>
          <w:sz w:val="21"/>
          <w:szCs w:val="21"/>
        </w:rPr>
        <w:t>部分基质。例如，一次性使用的内窥镜鞘可以接触被破坏或受损的表面，当用在耳鼻喉科程序时，接触时间不得超过</w:t>
      </w:r>
      <w:r>
        <w:rPr>
          <w:sz w:val="21"/>
          <w:szCs w:val="21"/>
        </w:rPr>
        <w:t>24</w:t>
      </w:r>
      <w:r>
        <w:rPr>
          <w:rFonts w:hint="eastAsia" w:hAnsi="宋体"/>
          <w:sz w:val="21"/>
          <w:szCs w:val="21"/>
        </w:rPr>
        <w:t>个小时。因此，必须进行细胞毒性、致敏和刺激</w:t>
      </w:r>
      <w:r>
        <w:rPr>
          <w:sz w:val="21"/>
          <w:szCs w:val="21"/>
        </w:rPr>
        <w:t>/</w:t>
      </w:r>
      <w:r>
        <w:rPr>
          <w:rFonts w:hint="eastAsia" w:hAnsi="宋体"/>
          <w:sz w:val="21"/>
          <w:szCs w:val="21"/>
        </w:rPr>
        <w:t>皮内反应试验。如果能够证明患者接触的成品器械材料与用于合法上市的与身体有类似接触的上市前通知已获批准的器械的材料相同，就可能不需要生物相容性数据。但是，申请人必须已经确定该成品器械材料是使用与上市前通知已获批准的器械材料相同的化学配方、制造工艺和灭菌方法制成的。</w:t>
      </w:r>
    </w:p>
    <w:p w14:paraId="5E04DF8C">
      <w:pPr>
        <w:pStyle w:val="3"/>
        <w:kinsoku w:val="0"/>
        <w:overflowPunct w:val="0"/>
        <w:snapToGrid w:val="0"/>
        <w:spacing w:before="120" w:beforeLines="50" w:line="360" w:lineRule="auto"/>
        <w:ind w:left="0"/>
        <w:jc w:val="both"/>
        <w:rPr>
          <w:sz w:val="21"/>
          <w:szCs w:val="21"/>
        </w:rPr>
      </w:pPr>
      <w:r>
        <w:rPr>
          <w:rFonts w:hint="eastAsia" w:hAnsi="宋体"/>
          <w:sz w:val="21"/>
          <w:szCs w:val="21"/>
        </w:rPr>
        <w:t>可拨打电话</w:t>
      </w:r>
      <w:r>
        <w:rPr>
          <w:sz w:val="21"/>
          <w:szCs w:val="21"/>
        </w:rPr>
        <w:t xml:space="preserve">(800) 638-2041 </w:t>
      </w:r>
      <w:r>
        <w:rPr>
          <w:rFonts w:hint="eastAsia" w:hAnsi="宋体"/>
          <w:sz w:val="21"/>
          <w:szCs w:val="21"/>
        </w:rPr>
        <w:t>或</w:t>
      </w:r>
      <w:r>
        <w:rPr>
          <w:sz w:val="21"/>
          <w:szCs w:val="21"/>
        </w:rPr>
        <w:t>(301) 443-6597</w:t>
      </w:r>
      <w:r>
        <w:rPr>
          <w:rFonts w:hint="eastAsia" w:hAnsi="宋体"/>
          <w:sz w:val="21"/>
          <w:szCs w:val="21"/>
        </w:rPr>
        <w:t>向</w:t>
      </w:r>
      <w:r>
        <w:rPr>
          <w:sz w:val="21"/>
          <w:szCs w:val="21"/>
        </w:rPr>
        <w:t>DSMA</w:t>
      </w:r>
      <w:r>
        <w:rPr>
          <w:rFonts w:hint="eastAsia" w:hAnsi="宋体"/>
          <w:sz w:val="21"/>
          <w:szCs w:val="21"/>
        </w:rPr>
        <w:t>索取</w:t>
      </w:r>
      <w:r>
        <w:rPr>
          <w:sz w:val="21"/>
          <w:szCs w:val="21"/>
        </w:rPr>
        <w:t>FDA</w:t>
      </w:r>
      <w:r>
        <w:rPr>
          <w:rFonts w:hint="eastAsia" w:hAnsi="宋体"/>
          <w:sz w:val="21"/>
          <w:szCs w:val="21"/>
        </w:rPr>
        <w:t>修改的</w:t>
      </w:r>
      <w:r>
        <w:rPr>
          <w:sz w:val="21"/>
          <w:szCs w:val="21"/>
        </w:rPr>
        <w:t>ISO 10993</w:t>
      </w:r>
      <w:r>
        <w:rPr>
          <w:rFonts w:hint="eastAsia" w:hAnsi="宋体"/>
          <w:sz w:val="21"/>
          <w:szCs w:val="21"/>
        </w:rPr>
        <w:t>第</w:t>
      </w:r>
      <w:r>
        <w:rPr>
          <w:sz w:val="21"/>
          <w:szCs w:val="21"/>
        </w:rPr>
        <w:t>1</w:t>
      </w:r>
      <w:r>
        <w:rPr>
          <w:rFonts w:hint="eastAsia" w:hAnsi="宋体"/>
          <w:sz w:val="21"/>
          <w:szCs w:val="21"/>
        </w:rPr>
        <w:t>部分基质的副本。</w:t>
      </w:r>
    </w:p>
    <w:p w14:paraId="7C00E87B">
      <w:pPr>
        <w:pStyle w:val="3"/>
        <w:kinsoku w:val="0"/>
        <w:overflowPunct w:val="0"/>
        <w:snapToGrid w:val="0"/>
        <w:spacing w:before="120" w:beforeLines="50" w:line="360" w:lineRule="auto"/>
        <w:ind w:left="0"/>
        <w:jc w:val="both"/>
        <w:rPr>
          <w:sz w:val="21"/>
          <w:szCs w:val="21"/>
        </w:rPr>
      </w:pPr>
      <w:r>
        <w:rPr>
          <w:rFonts w:hint="eastAsia" w:hAnsi="宋体"/>
          <w:sz w:val="21"/>
          <w:szCs w:val="21"/>
        </w:rPr>
        <w:t>应当提供用于制作器械或配件的所有着色剂</w:t>
      </w:r>
      <w:r>
        <w:rPr>
          <w:sz w:val="21"/>
          <w:szCs w:val="21"/>
        </w:rPr>
        <w:t>(</w:t>
      </w:r>
      <w:r>
        <w:rPr>
          <w:rFonts w:hint="eastAsia" w:hAnsi="宋体"/>
          <w:sz w:val="21"/>
          <w:szCs w:val="21"/>
        </w:rPr>
        <w:t>油墨、染料、标记、造影剂等</w:t>
      </w:r>
      <w:r>
        <w:rPr>
          <w:sz w:val="21"/>
          <w:szCs w:val="21"/>
        </w:rPr>
        <w:t>)</w:t>
      </w:r>
      <w:r>
        <w:rPr>
          <w:rFonts w:hint="eastAsia" w:hAnsi="宋体"/>
          <w:sz w:val="21"/>
          <w:szCs w:val="21"/>
        </w:rPr>
        <w:t>的准确识别。如果着色剂与预修正或实质上等同的器械相同，则应明确说明。应包括关于从预修正或实质上等同的器械改变而来的任何着色剂的声明。申办方应提供关于与患者直接或间接接触的任何已实施的着色剂改变的生物相容性测试数据。这些信息应说明标记是如何被处理的</w:t>
      </w:r>
      <w:r>
        <w:rPr>
          <w:sz w:val="21"/>
          <w:szCs w:val="21"/>
        </w:rPr>
        <w:t>(</w:t>
      </w:r>
      <w:r>
        <w:rPr>
          <w:rFonts w:hint="eastAsia" w:hAnsi="宋体"/>
          <w:sz w:val="21"/>
          <w:szCs w:val="21"/>
        </w:rPr>
        <w:t>蚀刻、粘贴等</w:t>
      </w:r>
      <w:r>
        <w:rPr>
          <w:sz w:val="21"/>
          <w:szCs w:val="21"/>
        </w:rPr>
        <w:t>)</w:t>
      </w:r>
      <w:r>
        <w:rPr>
          <w:rFonts w:hint="eastAsia" w:hAnsi="宋体"/>
          <w:sz w:val="21"/>
          <w:szCs w:val="21"/>
        </w:rPr>
        <w:t>，以及颜色是否接触了皮肤、粘膜等。</w:t>
      </w:r>
    </w:p>
    <w:p w14:paraId="49E3A2BB">
      <w:pPr>
        <w:pStyle w:val="3"/>
        <w:kinsoku w:val="0"/>
        <w:overflowPunct w:val="0"/>
        <w:snapToGrid w:val="0"/>
        <w:spacing w:before="120" w:beforeLines="50" w:line="360" w:lineRule="auto"/>
        <w:ind w:left="420" w:hanging="420" w:hangingChars="200"/>
        <w:jc w:val="both"/>
        <w:rPr>
          <w:sz w:val="21"/>
          <w:szCs w:val="21"/>
        </w:rPr>
      </w:pPr>
      <w:r>
        <w:rPr>
          <w:sz w:val="21"/>
          <w:szCs w:val="21"/>
        </w:rPr>
        <w:t>J.</w:t>
      </w:r>
      <w:r>
        <w:rPr>
          <w:sz w:val="21"/>
          <w:szCs w:val="21"/>
        </w:rPr>
        <w:tab/>
      </w:r>
      <w:r>
        <w:rPr>
          <w:rFonts w:hint="eastAsia" w:hAnsi="宋体"/>
          <w:sz w:val="21"/>
          <w:szCs w:val="21"/>
        </w:rPr>
        <w:t>质量保证和质量控制方案的描述</w:t>
      </w:r>
    </w:p>
    <w:p w14:paraId="3CE6B713">
      <w:pPr>
        <w:pStyle w:val="3"/>
        <w:kinsoku w:val="0"/>
        <w:overflowPunct w:val="0"/>
        <w:snapToGrid w:val="0"/>
        <w:spacing w:before="120" w:beforeLines="50" w:line="360" w:lineRule="auto"/>
        <w:ind w:left="0"/>
        <w:jc w:val="both"/>
        <w:rPr>
          <w:sz w:val="21"/>
          <w:szCs w:val="21"/>
        </w:rPr>
      </w:pPr>
      <w:r>
        <w:rPr>
          <w:rFonts w:hint="eastAsia" w:hAnsi="宋体"/>
          <w:sz w:val="21"/>
          <w:szCs w:val="21"/>
        </w:rPr>
        <w:t>质量保证和质量控制方案应是联邦管理法规第</w:t>
      </w:r>
      <w:r>
        <w:rPr>
          <w:sz w:val="21"/>
          <w:szCs w:val="21"/>
        </w:rPr>
        <w:t>820</w:t>
      </w:r>
      <w:r>
        <w:rPr>
          <w:rFonts w:hint="eastAsia" w:hAnsi="宋体"/>
          <w:sz w:val="21"/>
          <w:szCs w:val="21"/>
        </w:rPr>
        <w:t>部分中规定的质量体系要求</w:t>
      </w:r>
      <w:r>
        <w:rPr>
          <w:sz w:val="21"/>
          <w:szCs w:val="21"/>
        </w:rPr>
        <w:t>(QSR)</w:t>
      </w:r>
      <w:r>
        <w:rPr>
          <w:rFonts w:hint="eastAsia" w:hAnsi="宋体"/>
          <w:sz w:val="21"/>
          <w:szCs w:val="21"/>
        </w:rPr>
        <w:t>的一个组成部分。除了符合</w:t>
      </w:r>
      <w:r>
        <w:rPr>
          <w:sz w:val="21"/>
          <w:szCs w:val="21"/>
        </w:rPr>
        <w:t>QSR</w:t>
      </w:r>
      <w:r>
        <w:rPr>
          <w:rFonts w:hint="eastAsia" w:hAnsi="宋体"/>
          <w:sz w:val="21"/>
          <w:szCs w:val="21"/>
        </w:rPr>
        <w:t>的符合性声明外，申办方可能还要考虑更详细的质量方案说明，如成品器械、器械完整性的过程或批量测试。申办方可能要考虑的测试类型有爆裂压力、漏水、氦泄漏、压力衰减或电气测试。有关标准符合性的信息可能包括在内。测试报告应论证选定方法的灵敏性。取样方案或计划可以遵循</w:t>
      </w:r>
      <w:r>
        <w:rPr>
          <w:sz w:val="21"/>
          <w:szCs w:val="21"/>
        </w:rPr>
        <w:t>1989</w:t>
      </w:r>
      <w:r>
        <w:rPr>
          <w:rFonts w:hint="eastAsia" w:hAnsi="宋体"/>
          <w:sz w:val="21"/>
          <w:szCs w:val="21"/>
        </w:rPr>
        <w:t>年</w:t>
      </w:r>
      <w:r>
        <w:rPr>
          <w:sz w:val="21"/>
          <w:szCs w:val="21"/>
        </w:rPr>
        <w:t>5</w:t>
      </w:r>
      <w:r>
        <w:rPr>
          <w:rFonts w:hint="eastAsia" w:hAnsi="宋体"/>
          <w:sz w:val="21"/>
          <w:szCs w:val="21"/>
        </w:rPr>
        <w:t>月</w:t>
      </w:r>
      <w:r>
        <w:rPr>
          <w:sz w:val="21"/>
          <w:szCs w:val="21"/>
        </w:rPr>
        <w:t>10</w:t>
      </w:r>
      <w:r>
        <w:rPr>
          <w:rFonts w:hint="eastAsia" w:hAnsi="宋体"/>
          <w:sz w:val="21"/>
          <w:szCs w:val="21"/>
        </w:rPr>
        <w:t>日的</w:t>
      </w:r>
      <w:r>
        <w:rPr>
          <w:sz w:val="21"/>
          <w:szCs w:val="21"/>
        </w:rPr>
        <w:t>MIL-STD-105E(</w:t>
      </w:r>
      <w:r>
        <w:rPr>
          <w:rFonts w:hint="eastAsia" w:hAnsi="宋体"/>
          <w:sz w:val="21"/>
          <w:szCs w:val="21"/>
        </w:rPr>
        <w:t>按属性进行的取样程序和检查表</w:t>
      </w:r>
      <w:r>
        <w:rPr>
          <w:sz w:val="21"/>
          <w:szCs w:val="21"/>
        </w:rPr>
        <w:t>)</w:t>
      </w:r>
      <w:r>
        <w:rPr>
          <w:rFonts w:hint="eastAsia" w:hAnsi="宋体"/>
          <w:sz w:val="21"/>
          <w:szCs w:val="21"/>
        </w:rPr>
        <w:t>。</w:t>
      </w:r>
    </w:p>
    <w:p w14:paraId="7A0A3741">
      <w:pPr>
        <w:pStyle w:val="3"/>
        <w:kinsoku w:val="0"/>
        <w:overflowPunct w:val="0"/>
        <w:snapToGrid w:val="0"/>
        <w:spacing w:before="120" w:beforeLines="50" w:line="360" w:lineRule="auto"/>
        <w:ind w:left="0"/>
        <w:jc w:val="both"/>
        <w:rPr>
          <w:sz w:val="21"/>
          <w:szCs w:val="21"/>
        </w:rPr>
      </w:pPr>
      <w:r>
        <w:rPr>
          <w:rFonts w:hint="eastAsia" w:hAnsi="宋体"/>
          <w:sz w:val="21"/>
          <w:szCs w:val="21"/>
        </w:rPr>
        <w:t>申请人应保证</w:t>
      </w:r>
      <w:r>
        <w:rPr>
          <w:sz w:val="21"/>
          <w:szCs w:val="21"/>
        </w:rPr>
        <w:t>QA</w:t>
      </w:r>
      <w:r>
        <w:rPr>
          <w:rFonts w:hint="eastAsia" w:hAnsi="宋体"/>
          <w:sz w:val="21"/>
          <w:szCs w:val="21"/>
        </w:rPr>
        <w:t>和</w:t>
      </w:r>
      <w:r>
        <w:rPr>
          <w:sz w:val="21"/>
          <w:szCs w:val="21"/>
        </w:rPr>
        <w:t>QC</w:t>
      </w:r>
      <w:r>
        <w:rPr>
          <w:rFonts w:hint="eastAsia" w:hAnsi="宋体"/>
          <w:sz w:val="21"/>
          <w:szCs w:val="21"/>
        </w:rPr>
        <w:t>测试、报告和纠正行动计划与制造过程无关。</w:t>
      </w:r>
    </w:p>
    <w:p w14:paraId="74F6B345">
      <w:pPr>
        <w:pStyle w:val="3"/>
        <w:kinsoku w:val="0"/>
        <w:overflowPunct w:val="0"/>
        <w:snapToGrid w:val="0"/>
        <w:spacing w:line="360" w:lineRule="auto"/>
        <w:ind w:left="420" w:hanging="420" w:hangingChars="200"/>
        <w:jc w:val="both"/>
        <w:rPr>
          <w:sz w:val="21"/>
          <w:szCs w:val="21"/>
        </w:rPr>
      </w:pPr>
      <w:r>
        <w:rPr>
          <w:sz w:val="21"/>
          <w:szCs w:val="21"/>
        </w:rPr>
        <w:br w:type="page"/>
      </w:r>
      <w:r>
        <w:rPr>
          <w:sz w:val="21"/>
          <w:szCs w:val="21"/>
        </w:rPr>
        <w:t>K.</w:t>
      </w:r>
      <w:r>
        <w:rPr>
          <w:sz w:val="21"/>
          <w:szCs w:val="21"/>
        </w:rPr>
        <w:tab/>
      </w:r>
      <w:r>
        <w:rPr>
          <w:rFonts w:hint="eastAsia" w:hAnsi="宋体"/>
          <w:sz w:val="21"/>
          <w:szCs w:val="21"/>
        </w:rPr>
        <w:t>实验台测试</w:t>
      </w:r>
    </w:p>
    <w:p w14:paraId="3748453E">
      <w:pPr>
        <w:pStyle w:val="3"/>
        <w:numPr>
          <w:ilvl w:val="1"/>
          <w:numId w:val="3"/>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应将鞘镜头与无盖内窥镜镜头的光学性能进行比较，以证明没有光学畸变、视觉局限或光折射受损。</w:t>
      </w:r>
    </w:p>
    <w:p w14:paraId="6A953A01">
      <w:pPr>
        <w:pStyle w:val="3"/>
        <w:numPr>
          <w:ilvl w:val="1"/>
          <w:numId w:val="3"/>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成品器械阻隔测试可能包括用高滴度的挑战微生物悬浮液对鞘内部进行病毒注射，将鞘装在内窥镜上，并将鞘</w:t>
      </w:r>
      <w:r>
        <w:rPr>
          <w:sz w:val="21"/>
          <w:szCs w:val="21"/>
        </w:rPr>
        <w:t>/</w:t>
      </w:r>
      <w:r>
        <w:rPr>
          <w:rFonts w:hint="eastAsia" w:hAnsi="宋体"/>
          <w:sz w:val="21"/>
          <w:szCs w:val="21"/>
        </w:rPr>
        <w:t>内窥镜的组合体浸入收集的液体中，在对鞘的外部进行微生物测试完成后，在指定的持续时间内将鞘</w:t>
      </w:r>
      <w:r>
        <w:rPr>
          <w:sz w:val="21"/>
          <w:szCs w:val="21"/>
        </w:rPr>
        <w:t>/</w:t>
      </w:r>
      <w:r>
        <w:rPr>
          <w:rFonts w:hint="eastAsia" w:hAnsi="宋体"/>
          <w:sz w:val="21"/>
          <w:szCs w:val="21"/>
        </w:rPr>
        <w:t>内窥镜的组合体铰接指定次数，并在测试结束时将其浸入收集的液体中。这一样品测试方法完整地描述在本文件附录</w:t>
      </w:r>
      <w:r>
        <w:rPr>
          <w:sz w:val="21"/>
          <w:szCs w:val="21"/>
        </w:rPr>
        <w:t>I</w:t>
      </w:r>
      <w:r>
        <w:rPr>
          <w:rFonts w:hint="eastAsia" w:hAnsi="宋体"/>
          <w:sz w:val="21"/>
          <w:szCs w:val="21"/>
        </w:rPr>
        <w:t>中。附录</w:t>
      </w:r>
      <w:r>
        <w:rPr>
          <w:sz w:val="21"/>
          <w:szCs w:val="21"/>
        </w:rPr>
        <w:t>I</w:t>
      </w:r>
      <w:r>
        <w:rPr>
          <w:rFonts w:hint="eastAsia" w:hAnsi="宋体"/>
          <w:sz w:val="21"/>
          <w:szCs w:val="21"/>
        </w:rPr>
        <w:t>详细介绍了建议的测试方法、测试要素、结果管理和提交。</w:t>
      </w:r>
    </w:p>
    <w:p w14:paraId="79DF3A70">
      <w:pPr>
        <w:pStyle w:val="3"/>
        <w:numPr>
          <w:ilvl w:val="1"/>
          <w:numId w:val="3"/>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此外，测量材料阻力符合</w:t>
      </w:r>
      <w:r>
        <w:rPr>
          <w:sz w:val="21"/>
          <w:szCs w:val="21"/>
        </w:rPr>
        <w:t>ASTM F1671-97a</w:t>
      </w:r>
      <w:r>
        <w:rPr>
          <w:rFonts w:hint="eastAsia" w:hAnsi="宋体"/>
          <w:sz w:val="21"/>
          <w:szCs w:val="21"/>
        </w:rPr>
        <w:t>材料阻力标准测试方法的合格测试材料用于使用</w:t>
      </w:r>
      <w:r>
        <w:rPr>
          <w:sz w:val="21"/>
          <w:szCs w:val="21"/>
        </w:rPr>
        <w:t>Phi-X174</w:t>
      </w:r>
      <w:r>
        <w:rPr>
          <w:rFonts w:hint="eastAsia" w:hAnsi="宋体"/>
          <w:sz w:val="21"/>
          <w:szCs w:val="21"/>
        </w:rPr>
        <w:t>噬菌体穿透作为测试系统防止防护服被血液传播病原体穿透。可联系美国材料试验学会，宾夕法尼亚州西康舍霍肯市</w:t>
      </w:r>
      <w:r>
        <w:rPr>
          <w:sz w:val="21"/>
          <w:szCs w:val="21"/>
        </w:rPr>
        <w:t>100 Barr Harbor</w:t>
      </w:r>
      <w:r>
        <w:rPr>
          <w:rFonts w:hint="eastAsia" w:hAnsi="宋体"/>
          <w:sz w:val="21"/>
          <w:szCs w:val="21"/>
        </w:rPr>
        <w:t>博士，邮编</w:t>
      </w:r>
      <w:r>
        <w:rPr>
          <w:sz w:val="21"/>
          <w:szCs w:val="21"/>
        </w:rPr>
        <w:t>19428(</w:t>
      </w:r>
      <w:r>
        <w:rPr>
          <w:rFonts w:hint="eastAsia" w:hAnsi="宋体"/>
          <w:sz w:val="21"/>
          <w:szCs w:val="21"/>
        </w:rPr>
        <w:t>电话</w:t>
      </w:r>
      <w:r>
        <w:rPr>
          <w:sz w:val="21"/>
          <w:szCs w:val="21"/>
        </w:rPr>
        <w:t>610-832-9500)</w:t>
      </w:r>
      <w:r>
        <w:rPr>
          <w:rFonts w:hint="eastAsia" w:hAnsi="宋体"/>
          <w:sz w:val="21"/>
          <w:szCs w:val="21"/>
        </w:rPr>
        <w:t>索取本标准的副本。</w:t>
      </w:r>
    </w:p>
    <w:p w14:paraId="03D1C11E">
      <w:pPr>
        <w:pStyle w:val="3"/>
        <w:kinsoku w:val="0"/>
        <w:overflowPunct w:val="0"/>
        <w:snapToGrid w:val="0"/>
        <w:spacing w:before="120" w:beforeLines="50" w:line="360" w:lineRule="auto"/>
        <w:ind w:left="0"/>
        <w:jc w:val="both"/>
        <w:rPr>
          <w:sz w:val="21"/>
          <w:szCs w:val="21"/>
        </w:rPr>
      </w:pPr>
      <w:r>
        <w:rPr>
          <w:rFonts w:hint="eastAsia" w:hAnsi="宋体"/>
          <w:sz w:val="21"/>
          <w:szCs w:val="21"/>
        </w:rPr>
        <w:t>申办方应当知道</w:t>
      </w:r>
      <w:r>
        <w:rPr>
          <w:sz w:val="21"/>
          <w:szCs w:val="21"/>
        </w:rPr>
        <w:t>ASTM F1671-97a</w:t>
      </w:r>
      <w:r>
        <w:rPr>
          <w:rFonts w:hint="eastAsia" w:hAnsi="宋体"/>
          <w:sz w:val="21"/>
          <w:szCs w:val="21"/>
        </w:rPr>
        <w:t>标准测试方法仅用于材料鉴定。可能会要求灵敏到足以鉴定小到</w:t>
      </w:r>
      <w:r>
        <w:rPr>
          <w:sz w:val="21"/>
          <w:szCs w:val="21"/>
        </w:rPr>
        <w:t>5</w:t>
      </w:r>
      <w:r>
        <w:rPr>
          <w:rFonts w:hint="eastAsia" w:hAnsi="宋体"/>
          <w:sz w:val="21"/>
          <w:szCs w:val="21"/>
        </w:rPr>
        <w:t>微米范围的缺陷的成品适当质量保证方法。</w:t>
      </w:r>
    </w:p>
    <w:p w14:paraId="20EA5B11">
      <w:pPr>
        <w:pStyle w:val="3"/>
        <w:kinsoku w:val="0"/>
        <w:overflowPunct w:val="0"/>
        <w:snapToGrid w:val="0"/>
        <w:spacing w:before="120" w:beforeLines="50" w:line="360" w:lineRule="auto"/>
        <w:ind w:left="0"/>
        <w:jc w:val="both"/>
        <w:rPr>
          <w:sz w:val="21"/>
          <w:szCs w:val="21"/>
        </w:rPr>
      </w:pPr>
      <w:r>
        <w:rPr>
          <w:rFonts w:hint="eastAsia" w:hAnsi="宋体"/>
          <w:sz w:val="21"/>
          <w:szCs w:val="21"/>
        </w:rPr>
        <w:t>制造商的测试方法应当考虑压力、时间、温度、微生物大小和实际使用情况。高滴度的挑战悬浮液应当模拟或夸大适当的体液特性，如粘度、表面张力和</w:t>
      </w:r>
      <w:r>
        <w:rPr>
          <w:sz w:val="21"/>
          <w:szCs w:val="21"/>
        </w:rPr>
        <w:t>pH</w:t>
      </w:r>
      <w:r>
        <w:rPr>
          <w:rFonts w:hint="eastAsia" w:hAnsi="宋体"/>
          <w:sz w:val="21"/>
          <w:szCs w:val="21"/>
        </w:rPr>
        <w:t>值。</w:t>
      </w:r>
    </w:p>
    <w:p w14:paraId="59B4535F">
      <w:pPr>
        <w:pStyle w:val="3"/>
        <w:kinsoku w:val="0"/>
        <w:overflowPunct w:val="0"/>
        <w:snapToGrid w:val="0"/>
        <w:spacing w:before="120" w:beforeLines="50" w:line="360" w:lineRule="auto"/>
        <w:ind w:left="0"/>
        <w:jc w:val="both"/>
        <w:rPr>
          <w:sz w:val="21"/>
          <w:szCs w:val="21"/>
        </w:rPr>
      </w:pPr>
      <w:r>
        <w:rPr>
          <w:rFonts w:hint="eastAsia" w:hAnsi="宋体"/>
          <w:sz w:val="21"/>
          <w:szCs w:val="21"/>
        </w:rPr>
        <w:t>应当讨论器械是否符合任何可用标准</w:t>
      </w:r>
      <w:r>
        <w:rPr>
          <w:sz w:val="21"/>
          <w:szCs w:val="21"/>
        </w:rPr>
        <w:t>/</w:t>
      </w:r>
      <w:r>
        <w:rPr>
          <w:rFonts w:hint="eastAsia" w:hAnsi="宋体"/>
          <w:sz w:val="21"/>
          <w:szCs w:val="21"/>
        </w:rPr>
        <w:t>指南，包括性能、设计和试验规定。如果没有使用可用标准</w:t>
      </w:r>
      <w:r>
        <w:rPr>
          <w:sz w:val="21"/>
          <w:szCs w:val="21"/>
        </w:rPr>
        <w:t>/</w:t>
      </w:r>
      <w:r>
        <w:rPr>
          <w:rFonts w:hint="eastAsia" w:hAnsi="宋体"/>
          <w:sz w:val="21"/>
          <w:szCs w:val="21"/>
        </w:rPr>
        <w:t>指南，则应当加以解释。</w:t>
      </w:r>
    </w:p>
    <w:p w14:paraId="75EF4630">
      <w:pPr>
        <w:pStyle w:val="3"/>
        <w:kinsoku w:val="0"/>
        <w:overflowPunct w:val="0"/>
        <w:snapToGrid w:val="0"/>
        <w:spacing w:before="120" w:beforeLines="50" w:line="360" w:lineRule="auto"/>
        <w:ind w:left="0"/>
        <w:jc w:val="both"/>
        <w:rPr>
          <w:sz w:val="21"/>
          <w:szCs w:val="21"/>
        </w:rPr>
      </w:pPr>
      <w:r>
        <w:rPr>
          <w:rFonts w:hint="eastAsia" w:hAnsi="宋体"/>
          <w:sz w:val="21"/>
          <w:szCs w:val="21"/>
        </w:rPr>
        <w:t>如果理由充分，就可以使用其他的替代测试方法。</w:t>
      </w:r>
    </w:p>
    <w:p w14:paraId="7764A81B">
      <w:pPr>
        <w:pStyle w:val="3"/>
        <w:kinsoku w:val="0"/>
        <w:overflowPunct w:val="0"/>
        <w:snapToGrid w:val="0"/>
        <w:spacing w:before="120" w:beforeLines="50" w:line="360" w:lineRule="auto"/>
        <w:ind w:left="420" w:hanging="420" w:hangingChars="200"/>
        <w:jc w:val="both"/>
        <w:rPr>
          <w:sz w:val="21"/>
          <w:szCs w:val="21"/>
        </w:rPr>
      </w:pPr>
      <w:r>
        <w:rPr>
          <w:sz w:val="21"/>
          <w:szCs w:val="21"/>
        </w:rPr>
        <w:t>L.</w:t>
      </w:r>
      <w:r>
        <w:rPr>
          <w:sz w:val="21"/>
          <w:szCs w:val="21"/>
        </w:rPr>
        <w:tab/>
      </w:r>
      <w:r>
        <w:rPr>
          <w:rFonts w:hint="eastAsia" w:hAnsi="宋体"/>
          <w:sz w:val="21"/>
          <w:szCs w:val="21"/>
        </w:rPr>
        <w:t>临床测试</w:t>
      </w:r>
    </w:p>
    <w:p w14:paraId="6B91F9A2">
      <w:pPr>
        <w:pStyle w:val="3"/>
        <w:kinsoku w:val="0"/>
        <w:overflowPunct w:val="0"/>
        <w:snapToGrid w:val="0"/>
        <w:spacing w:before="120" w:beforeLines="50" w:line="360" w:lineRule="auto"/>
        <w:ind w:left="0"/>
        <w:jc w:val="both"/>
        <w:rPr>
          <w:sz w:val="21"/>
          <w:szCs w:val="21"/>
        </w:rPr>
      </w:pPr>
      <w:r>
        <w:rPr>
          <w:rFonts w:hint="eastAsia" w:hAnsi="宋体"/>
          <w:sz w:val="21"/>
          <w:szCs w:val="21"/>
        </w:rPr>
        <w:t>如果该申请包含关于防止疾病传播的声明，可能就需要进行临床测试。数据应当包括内窥镜表面的微生物检测，或从内窥镜上拆下之后的鞘内冲洗。</w:t>
      </w:r>
    </w:p>
    <w:p w14:paraId="5A22B65C">
      <w:pPr>
        <w:pStyle w:val="3"/>
        <w:kinsoku w:val="0"/>
        <w:overflowPunct w:val="0"/>
        <w:snapToGrid w:val="0"/>
        <w:spacing w:before="120" w:beforeLines="50" w:line="360" w:lineRule="auto"/>
        <w:ind w:left="420" w:hanging="420" w:hangingChars="200"/>
        <w:jc w:val="both"/>
        <w:rPr>
          <w:sz w:val="21"/>
          <w:szCs w:val="21"/>
        </w:rPr>
      </w:pPr>
      <w:r>
        <w:rPr>
          <w:sz w:val="21"/>
          <w:szCs w:val="21"/>
        </w:rPr>
        <w:t>M.</w:t>
      </w:r>
      <w:r>
        <w:rPr>
          <w:sz w:val="21"/>
          <w:szCs w:val="21"/>
        </w:rPr>
        <w:tab/>
      </w:r>
      <w:r>
        <w:rPr>
          <w:rFonts w:hint="eastAsia" w:hAnsi="宋体"/>
          <w:sz w:val="21"/>
          <w:szCs w:val="21"/>
        </w:rPr>
        <w:t>标签</w:t>
      </w:r>
    </w:p>
    <w:p w14:paraId="00BAC0AA">
      <w:pPr>
        <w:pStyle w:val="3"/>
        <w:kinsoku w:val="0"/>
        <w:overflowPunct w:val="0"/>
        <w:snapToGrid w:val="0"/>
        <w:spacing w:before="120" w:beforeLines="50" w:line="360" w:lineRule="auto"/>
        <w:ind w:left="0"/>
        <w:jc w:val="both"/>
        <w:rPr>
          <w:sz w:val="21"/>
          <w:szCs w:val="21"/>
        </w:rPr>
      </w:pPr>
      <w:r>
        <w:rPr>
          <w:rFonts w:hint="eastAsia" w:hAnsi="宋体"/>
          <w:sz w:val="21"/>
          <w:szCs w:val="21"/>
        </w:rPr>
        <w:t>术语</w:t>
      </w:r>
      <w:r>
        <w:rPr>
          <w:sz w:val="21"/>
          <w:szCs w:val="21"/>
        </w:rPr>
        <w:t>“</w:t>
      </w:r>
      <w:r>
        <w:rPr>
          <w:rFonts w:hint="eastAsia" w:hAnsi="宋体"/>
          <w:sz w:val="21"/>
          <w:szCs w:val="21"/>
        </w:rPr>
        <w:t>标签</w:t>
      </w:r>
      <w:r>
        <w:rPr>
          <w:sz w:val="21"/>
          <w:szCs w:val="21"/>
        </w:rPr>
        <w:t>”</w:t>
      </w:r>
      <w:r>
        <w:rPr>
          <w:rFonts w:hint="eastAsia" w:hAnsi="宋体"/>
          <w:sz w:val="21"/>
          <w:szCs w:val="21"/>
        </w:rPr>
        <w:t>包括器械本身及储存和运输包装上的任何标识。如果可能的话，器械上的标签应当包括器械名称、公司名称、地址和电话号码。包装上的标签应当包括上述所有内容，还有无菌状态、有效期、一次性使用</w:t>
      </w:r>
      <w:r>
        <w:rPr>
          <w:sz w:val="21"/>
          <w:szCs w:val="21"/>
        </w:rPr>
        <w:t>/</w:t>
      </w:r>
      <w:r>
        <w:rPr>
          <w:rFonts w:hint="eastAsia" w:hAnsi="宋体"/>
          <w:sz w:val="21"/>
          <w:szCs w:val="21"/>
        </w:rPr>
        <w:t>一次应用制品、箱内数量、尺寸、预期用途等，以及器械的任何特殊事宜。</w:t>
      </w:r>
    </w:p>
    <w:p w14:paraId="177DFA0D">
      <w:pPr>
        <w:pStyle w:val="3"/>
        <w:kinsoku w:val="0"/>
        <w:overflowPunct w:val="0"/>
        <w:snapToGrid w:val="0"/>
        <w:spacing w:before="120" w:beforeLines="50" w:line="360" w:lineRule="auto"/>
        <w:ind w:left="0"/>
        <w:jc w:val="both"/>
        <w:rPr>
          <w:sz w:val="21"/>
          <w:szCs w:val="21"/>
        </w:rPr>
      </w:pPr>
      <w:r>
        <w:rPr>
          <w:rFonts w:hint="eastAsia" w:hAnsi="宋体"/>
          <w:sz w:val="21"/>
          <w:szCs w:val="21"/>
        </w:rPr>
        <w:t>器械标签必须包含</w:t>
      </w:r>
      <w:r>
        <w:rPr>
          <w:sz w:val="21"/>
          <w:szCs w:val="21"/>
        </w:rPr>
        <w:t>21 CFR 801.109(b)(1)</w:t>
      </w:r>
      <w:r>
        <w:rPr>
          <w:rFonts w:hint="eastAsia" w:hAnsi="宋体"/>
          <w:sz w:val="21"/>
          <w:szCs w:val="21"/>
        </w:rPr>
        <w:t>中规定的警告语：</w:t>
      </w:r>
      <w:r>
        <w:rPr>
          <w:sz w:val="21"/>
          <w:szCs w:val="21"/>
        </w:rPr>
        <w:t xml:space="preserve"> “</w:t>
      </w:r>
      <w:r>
        <w:rPr>
          <w:rFonts w:hint="eastAsia" w:hAnsi="宋体"/>
          <w:sz w:val="21"/>
          <w:szCs w:val="21"/>
        </w:rPr>
        <w:t>注意：联邦法律限定该器械由医生或按照医生的指令销售。</w:t>
      </w:r>
      <w:r>
        <w:rPr>
          <w:sz w:val="21"/>
          <w:szCs w:val="21"/>
        </w:rPr>
        <w:t>”</w:t>
      </w:r>
    </w:p>
    <w:p w14:paraId="56EE725B">
      <w:pPr>
        <w:pStyle w:val="3"/>
        <w:kinsoku w:val="0"/>
        <w:overflowPunct w:val="0"/>
        <w:snapToGrid w:val="0"/>
        <w:spacing w:before="120" w:beforeLines="50" w:line="360" w:lineRule="auto"/>
        <w:ind w:left="0"/>
        <w:jc w:val="both"/>
        <w:rPr>
          <w:sz w:val="21"/>
          <w:szCs w:val="21"/>
        </w:rPr>
      </w:pPr>
      <w:r>
        <w:rPr>
          <w:sz w:val="21"/>
          <w:szCs w:val="21"/>
        </w:rPr>
        <w:br w:type="page"/>
      </w:r>
      <w:r>
        <w:rPr>
          <w:rFonts w:hint="eastAsia" w:hAnsi="宋体"/>
          <w:sz w:val="21"/>
          <w:szCs w:val="21"/>
        </w:rPr>
        <w:t>器械标签必须包括</w:t>
      </w:r>
      <w:r>
        <w:rPr>
          <w:sz w:val="21"/>
          <w:szCs w:val="21"/>
        </w:rPr>
        <w:t>21 CFR 801</w:t>
      </w:r>
      <w:r>
        <w:rPr>
          <w:rFonts w:hint="eastAsia" w:hAnsi="宋体"/>
          <w:sz w:val="21"/>
          <w:szCs w:val="21"/>
        </w:rPr>
        <w:t>中所要求的所有信息。</w:t>
      </w:r>
    </w:p>
    <w:p w14:paraId="14A5E3CB">
      <w:pPr>
        <w:pStyle w:val="3"/>
        <w:kinsoku w:val="0"/>
        <w:overflowPunct w:val="0"/>
        <w:snapToGrid w:val="0"/>
        <w:spacing w:before="120" w:beforeLines="50" w:line="360" w:lineRule="auto"/>
        <w:ind w:left="480" w:leftChars="200"/>
        <w:jc w:val="both"/>
        <w:rPr>
          <w:sz w:val="21"/>
          <w:szCs w:val="21"/>
        </w:rPr>
      </w:pPr>
      <w:r>
        <w:rPr>
          <w:sz w:val="21"/>
          <w:szCs w:val="21"/>
        </w:rPr>
        <w:t>1.</w:t>
      </w:r>
      <w:r>
        <w:rPr>
          <w:sz w:val="21"/>
          <w:szCs w:val="21"/>
        </w:rPr>
        <w:tab/>
      </w:r>
      <w:r>
        <w:rPr>
          <w:rFonts w:hint="eastAsia" w:hAnsi="宋体"/>
          <w:sz w:val="21"/>
          <w:szCs w:val="21"/>
        </w:rPr>
        <w:t>预期用途说明应当包括特定的适应症、临床使用情况、目标人群和解剖部位等。</w:t>
      </w:r>
    </w:p>
    <w:p w14:paraId="3B208C8F">
      <w:pPr>
        <w:pStyle w:val="3"/>
        <w:kinsoku w:val="0"/>
        <w:overflowPunct w:val="0"/>
        <w:snapToGrid w:val="0"/>
        <w:spacing w:before="120" w:beforeLines="50" w:line="360" w:lineRule="auto"/>
        <w:ind w:left="480" w:leftChars="200"/>
        <w:jc w:val="both"/>
        <w:rPr>
          <w:sz w:val="21"/>
          <w:szCs w:val="21"/>
        </w:rPr>
      </w:pPr>
      <w:r>
        <w:rPr>
          <w:sz w:val="21"/>
          <w:szCs w:val="21"/>
        </w:rPr>
        <w:t>2.</w:t>
      </w:r>
      <w:r>
        <w:rPr>
          <w:sz w:val="21"/>
          <w:szCs w:val="21"/>
        </w:rPr>
        <w:tab/>
      </w:r>
      <w:r>
        <w:rPr>
          <w:rFonts w:hint="eastAsia" w:hAnsi="宋体"/>
          <w:sz w:val="21"/>
          <w:szCs w:val="21"/>
        </w:rPr>
        <w:t>使用说明应当包括但不限于</w:t>
      </w:r>
      <w:r>
        <w:rPr>
          <w:sz w:val="21"/>
          <w:szCs w:val="21"/>
        </w:rPr>
        <w:t>a)</w:t>
      </w:r>
      <w:r>
        <w:rPr>
          <w:rFonts w:hint="eastAsia" w:hAnsi="宋体"/>
          <w:sz w:val="21"/>
          <w:szCs w:val="21"/>
        </w:rPr>
        <w:t>关于哪些零件是一次性使用或可重复使用的说明，</w:t>
      </w:r>
      <w:r>
        <w:rPr>
          <w:sz w:val="21"/>
          <w:szCs w:val="21"/>
        </w:rPr>
        <w:t>e)</w:t>
      </w:r>
      <w:r>
        <w:rPr>
          <w:rFonts w:hint="eastAsia" w:hAnsi="宋体"/>
          <w:sz w:val="21"/>
          <w:szCs w:val="21"/>
        </w:rPr>
        <w:t>器械使用前的功能测试程序，及</w:t>
      </w:r>
      <w:r>
        <w:rPr>
          <w:sz w:val="21"/>
          <w:szCs w:val="21"/>
        </w:rPr>
        <w:t xml:space="preserve"> f)</w:t>
      </w:r>
      <w:r>
        <w:rPr>
          <w:rFonts w:hint="eastAsia" w:hAnsi="宋体"/>
          <w:sz w:val="21"/>
          <w:szCs w:val="21"/>
        </w:rPr>
        <w:t>无菌应用和器械拆除的明确说明。该器械是一次性的；但是内窥镜是再加工的。因此，内窥镜清洁、消毒或灭菌的适当建议必须包括在内。</w:t>
      </w:r>
    </w:p>
    <w:p w14:paraId="6ABD0B0F">
      <w:pPr>
        <w:pStyle w:val="3"/>
        <w:kinsoku w:val="0"/>
        <w:overflowPunct w:val="0"/>
        <w:snapToGrid w:val="0"/>
        <w:spacing w:before="120" w:beforeLines="50" w:line="360" w:lineRule="auto"/>
        <w:ind w:left="480" w:leftChars="200"/>
        <w:jc w:val="both"/>
        <w:rPr>
          <w:sz w:val="21"/>
          <w:szCs w:val="21"/>
        </w:rPr>
      </w:pPr>
      <w:r>
        <w:rPr>
          <w:sz w:val="21"/>
          <w:szCs w:val="21"/>
        </w:rPr>
        <w:t>3.</w:t>
      </w:r>
      <w:r>
        <w:rPr>
          <w:sz w:val="21"/>
          <w:szCs w:val="21"/>
        </w:rPr>
        <w:tab/>
      </w:r>
      <w:r>
        <w:rPr>
          <w:rFonts w:hint="eastAsia" w:hAnsi="宋体"/>
          <w:sz w:val="21"/>
          <w:szCs w:val="21"/>
        </w:rPr>
        <w:t>维护和故障排除程序应当是维护及多久、如何以及何时更换零件、购买替换配件说明，以及如果故障排除程序失效，公司的联络点。</w:t>
      </w:r>
    </w:p>
    <w:p w14:paraId="715E38BB">
      <w:pPr>
        <w:pStyle w:val="3"/>
        <w:kinsoku w:val="0"/>
        <w:overflowPunct w:val="0"/>
        <w:snapToGrid w:val="0"/>
        <w:spacing w:before="120" w:beforeLines="50" w:line="360" w:lineRule="auto"/>
        <w:ind w:left="480" w:leftChars="200"/>
        <w:jc w:val="both"/>
        <w:rPr>
          <w:sz w:val="21"/>
          <w:szCs w:val="21"/>
        </w:rPr>
      </w:pPr>
      <w:r>
        <w:rPr>
          <w:sz w:val="21"/>
          <w:szCs w:val="21"/>
        </w:rPr>
        <w:t>4.</w:t>
      </w:r>
      <w:r>
        <w:rPr>
          <w:sz w:val="21"/>
          <w:szCs w:val="21"/>
        </w:rPr>
        <w:tab/>
      </w:r>
      <w:r>
        <w:rPr>
          <w:rFonts w:hint="eastAsia" w:hAnsi="宋体"/>
          <w:sz w:val="21"/>
          <w:szCs w:val="21"/>
        </w:rPr>
        <w:t>器械标签中应包括禁忌症、注意事项、警告和不良反应。</w:t>
      </w:r>
    </w:p>
    <w:p w14:paraId="46B3488E">
      <w:pPr>
        <w:pStyle w:val="3"/>
        <w:kinsoku w:val="0"/>
        <w:overflowPunct w:val="0"/>
        <w:snapToGrid w:val="0"/>
        <w:spacing w:before="120" w:beforeLines="50" w:line="360" w:lineRule="auto"/>
        <w:ind w:left="480" w:leftChars="200"/>
        <w:jc w:val="both"/>
        <w:rPr>
          <w:sz w:val="21"/>
          <w:szCs w:val="21"/>
        </w:rPr>
      </w:pPr>
      <w:r>
        <w:rPr>
          <w:sz w:val="21"/>
          <w:szCs w:val="21"/>
        </w:rPr>
        <w:t>5.</w:t>
      </w:r>
      <w:r>
        <w:rPr>
          <w:sz w:val="21"/>
          <w:szCs w:val="21"/>
        </w:rPr>
        <w:tab/>
      </w:r>
      <w:r>
        <w:rPr>
          <w:rFonts w:hint="eastAsia" w:hAnsi="宋体"/>
          <w:sz w:val="21"/>
          <w:szCs w:val="21"/>
        </w:rPr>
        <w:t>应提供与该器械配套的广告或宣传材料。</w:t>
      </w:r>
    </w:p>
    <w:p w14:paraId="66F35BB5">
      <w:pPr>
        <w:pStyle w:val="3"/>
        <w:kinsoku w:val="0"/>
        <w:overflowPunct w:val="0"/>
        <w:snapToGrid w:val="0"/>
        <w:spacing w:before="120" w:beforeLines="50" w:line="360" w:lineRule="auto"/>
        <w:ind w:left="480" w:leftChars="200"/>
        <w:jc w:val="both"/>
        <w:rPr>
          <w:sz w:val="21"/>
          <w:szCs w:val="21"/>
        </w:rPr>
      </w:pPr>
      <w:r>
        <w:rPr>
          <w:sz w:val="21"/>
          <w:szCs w:val="21"/>
        </w:rPr>
        <w:t>6.</w:t>
      </w:r>
      <w:r>
        <w:rPr>
          <w:sz w:val="21"/>
          <w:szCs w:val="21"/>
        </w:rPr>
        <w:tab/>
      </w:r>
      <w:r>
        <w:rPr>
          <w:rFonts w:hint="eastAsia" w:hAnsi="宋体"/>
          <w:sz w:val="21"/>
          <w:szCs w:val="21"/>
        </w:rPr>
        <w:t>标签方面的指导描述在</w:t>
      </w:r>
      <w:r>
        <w:rPr>
          <w:sz w:val="21"/>
          <w:szCs w:val="21"/>
        </w:rPr>
        <w:t>ODE</w:t>
      </w:r>
      <w:r>
        <w:rPr>
          <w:rFonts w:hint="eastAsia" w:hAnsi="宋体"/>
          <w:sz w:val="21"/>
          <w:szCs w:val="21"/>
        </w:rPr>
        <w:t>蓝皮书备忘录</w:t>
      </w:r>
      <w:r>
        <w:rPr>
          <w:sz w:val="21"/>
          <w:szCs w:val="21"/>
        </w:rPr>
        <w:t>G91-1“</w:t>
      </w:r>
      <w:r>
        <w:rPr>
          <w:rFonts w:hint="eastAsia" w:hAnsi="宋体"/>
          <w:sz w:val="21"/>
          <w:szCs w:val="21"/>
        </w:rPr>
        <w:t>器械标签指南</w:t>
      </w:r>
      <w:r>
        <w:rPr>
          <w:sz w:val="21"/>
          <w:szCs w:val="21"/>
        </w:rPr>
        <w:t>(3/18/91)</w:t>
      </w:r>
      <w:r>
        <w:rPr>
          <w:rFonts w:hint="eastAsia" w:hAnsi="宋体"/>
          <w:sz w:val="21"/>
          <w:szCs w:val="21"/>
        </w:rPr>
        <w:t>中。</w:t>
      </w:r>
      <w:r>
        <w:rPr>
          <w:sz w:val="21"/>
          <w:szCs w:val="21"/>
        </w:rPr>
        <w:t>”</w:t>
      </w:r>
      <w:r>
        <w:rPr>
          <w:rFonts w:hint="eastAsia" w:hAnsi="宋体"/>
          <w:sz w:val="21"/>
          <w:szCs w:val="21"/>
        </w:rPr>
        <w:t>可向小型制造商服务组索取副本。</w:t>
      </w:r>
    </w:p>
    <w:p w14:paraId="21120CB7">
      <w:pPr>
        <w:pStyle w:val="22"/>
        <w:numPr>
          <w:ilvl w:val="0"/>
          <w:numId w:val="5"/>
        </w:numPr>
        <w:kinsoku w:val="0"/>
        <w:overflowPunct w:val="0"/>
        <w:snapToGrid w:val="0"/>
        <w:spacing w:before="240" w:beforeLines="100" w:line="360" w:lineRule="auto"/>
        <w:ind w:left="422" w:hanging="422" w:hangingChars="200"/>
        <w:jc w:val="both"/>
        <w:outlineLvl w:val="9"/>
        <w:rPr>
          <w:b w:val="0"/>
          <w:bCs w:val="0"/>
          <w:sz w:val="21"/>
          <w:szCs w:val="21"/>
        </w:rPr>
      </w:pPr>
      <w:r>
        <w:rPr>
          <w:rFonts w:hint="eastAsia" w:hAnsi="宋体"/>
          <w:sz w:val="21"/>
          <w:szCs w:val="21"/>
          <w:u w:val="single"/>
        </w:rPr>
        <w:t>数据说明</w:t>
      </w:r>
    </w:p>
    <w:p w14:paraId="4C7E99C7">
      <w:pPr>
        <w:pStyle w:val="3"/>
        <w:numPr>
          <w:ilvl w:val="1"/>
          <w:numId w:val="5"/>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图表</w:t>
      </w:r>
      <w:r>
        <w:rPr>
          <w:sz w:val="21"/>
          <w:szCs w:val="21"/>
        </w:rPr>
        <w:t>:</w:t>
      </w:r>
      <w:r>
        <w:rPr>
          <w:rFonts w:hint="eastAsia" w:hAnsi="宋体"/>
          <w:sz w:val="21"/>
          <w:szCs w:val="21"/>
        </w:rPr>
        <w:t>数据应当清楚地提供在带标签的表格中。所使用的任何符号都应当键入脚注或方便的参考网页，并充分阐述。图可以补充数据表，但不能取代数据表。它们也应当清楚地带有标签。</w:t>
      </w:r>
    </w:p>
    <w:p w14:paraId="2FDE4435">
      <w:pPr>
        <w:pStyle w:val="3"/>
        <w:numPr>
          <w:ilvl w:val="1"/>
          <w:numId w:val="5"/>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已发表文献：应在提交文件中提供作为参考的已发表数据或方法。重印中应当追加参考的部分。应当对所有参考报告和数据进行总结，包括解释它们与当前提交文件的关系。参考文献的引用应当是完整的</w:t>
      </w:r>
      <w:r>
        <w:rPr>
          <w:sz w:val="21"/>
          <w:szCs w:val="21"/>
        </w:rPr>
        <w:t>(</w:t>
      </w:r>
      <w:r>
        <w:rPr>
          <w:rFonts w:hint="eastAsia" w:hAnsi="宋体"/>
          <w:sz w:val="21"/>
          <w:szCs w:val="21"/>
        </w:rPr>
        <w:t>例如标题、作者、卷、页和年</w:t>
      </w:r>
      <w:r>
        <w:rPr>
          <w:sz w:val="21"/>
          <w:szCs w:val="21"/>
        </w:rPr>
        <w:t>)</w:t>
      </w:r>
      <w:r>
        <w:rPr>
          <w:rFonts w:hint="eastAsia" w:hAnsi="宋体"/>
          <w:sz w:val="21"/>
          <w:szCs w:val="21"/>
        </w:rPr>
        <w:t>。</w:t>
      </w:r>
    </w:p>
    <w:p w14:paraId="7CEB61B8">
      <w:pPr>
        <w:pStyle w:val="3"/>
        <w:numPr>
          <w:ilvl w:val="1"/>
          <w:numId w:val="5"/>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医疗方案与数据分析</w:t>
      </w:r>
      <w:r>
        <w:rPr>
          <w:sz w:val="21"/>
          <w:szCs w:val="21"/>
        </w:rPr>
        <w:t>:</w:t>
      </w:r>
      <w:r>
        <w:rPr>
          <w:rFonts w:hint="eastAsia" w:hAnsi="宋体"/>
          <w:sz w:val="21"/>
          <w:szCs w:val="21"/>
        </w:rPr>
        <w:t>由该器械进行的任何测试报告都应当包括研究医疗方案</w:t>
      </w:r>
      <w:r>
        <w:rPr>
          <w:sz w:val="21"/>
          <w:szCs w:val="21"/>
        </w:rPr>
        <w:t>(</w:t>
      </w:r>
      <w:r>
        <w:rPr>
          <w:rFonts w:hint="eastAsia" w:hAnsi="宋体"/>
          <w:sz w:val="21"/>
          <w:szCs w:val="21"/>
        </w:rPr>
        <w:t>目标、材料的精确描述、实验方法、控制</w:t>
      </w:r>
      <w:r>
        <w:rPr>
          <w:sz w:val="21"/>
          <w:szCs w:val="21"/>
        </w:rPr>
        <w:t>)</w:t>
      </w:r>
      <w:r>
        <w:rPr>
          <w:rFonts w:hint="eastAsia" w:hAnsi="宋体"/>
          <w:sz w:val="21"/>
          <w:szCs w:val="21"/>
        </w:rPr>
        <w:t>、数据</w:t>
      </w:r>
      <w:r>
        <w:rPr>
          <w:sz w:val="21"/>
          <w:szCs w:val="21"/>
        </w:rPr>
        <w:t>/</w:t>
      </w:r>
      <w:r>
        <w:rPr>
          <w:rFonts w:hint="eastAsia" w:hAnsi="宋体"/>
          <w:sz w:val="21"/>
          <w:szCs w:val="21"/>
        </w:rPr>
        <w:t>观察、统计方法和分析、结果</w:t>
      </w:r>
      <w:r>
        <w:rPr>
          <w:sz w:val="21"/>
          <w:szCs w:val="21"/>
        </w:rPr>
        <w:t>/</w:t>
      </w:r>
      <w:r>
        <w:rPr>
          <w:rFonts w:hint="eastAsia" w:hAnsi="宋体"/>
          <w:sz w:val="21"/>
          <w:szCs w:val="21"/>
        </w:rPr>
        <w:t>结论及评论。除非有要求，否则不应提交原始数据。</w:t>
      </w:r>
    </w:p>
    <w:p w14:paraId="6D10C015">
      <w:pPr>
        <w:pStyle w:val="3"/>
        <w:numPr>
          <w:ilvl w:val="1"/>
          <w:numId w:val="5"/>
        </w:numPr>
        <w:kinsoku w:val="0"/>
        <w:overflowPunct w:val="0"/>
        <w:snapToGrid w:val="0"/>
        <w:spacing w:before="120" w:beforeLines="50" w:line="360" w:lineRule="auto"/>
        <w:ind w:left="480" w:leftChars="200" w:firstLine="0"/>
        <w:jc w:val="both"/>
        <w:rPr>
          <w:sz w:val="21"/>
          <w:szCs w:val="21"/>
        </w:rPr>
      </w:pPr>
      <w:r>
        <w:rPr>
          <w:rFonts w:hint="eastAsia" w:hAnsi="宋体"/>
          <w:sz w:val="21"/>
          <w:szCs w:val="21"/>
        </w:rPr>
        <w:t>参考已提交的数据</w:t>
      </w:r>
      <w:r>
        <w:rPr>
          <w:sz w:val="21"/>
          <w:szCs w:val="21"/>
        </w:rPr>
        <w:t>:</w:t>
      </w:r>
      <w:r>
        <w:rPr>
          <w:rFonts w:hint="eastAsia" w:hAnsi="宋体"/>
          <w:sz w:val="21"/>
          <w:szCs w:val="21"/>
        </w:rPr>
        <w:t>为了支持</w:t>
      </w:r>
      <w:r>
        <w:rPr>
          <w:sz w:val="21"/>
          <w:szCs w:val="21"/>
        </w:rPr>
        <w:t>510(k)</w:t>
      </w:r>
      <w:r>
        <w:rPr>
          <w:rFonts w:hint="eastAsia" w:hAnsi="宋体"/>
          <w:sz w:val="21"/>
          <w:szCs w:val="21"/>
        </w:rPr>
        <w:t>提交文件，申请人可参考过去提交给</w:t>
      </w:r>
      <w:r>
        <w:rPr>
          <w:sz w:val="21"/>
          <w:szCs w:val="21"/>
        </w:rPr>
        <w:t>FDA</w:t>
      </w:r>
      <w:r>
        <w:rPr>
          <w:rFonts w:hint="eastAsia" w:hAnsi="宋体"/>
          <w:sz w:val="21"/>
          <w:szCs w:val="21"/>
        </w:rPr>
        <w:t>的信息。如果申请人以外的其他人提交了先前的信息，则需要授权书。该授权书可以来自申请人，也可以直接来自原始申办方。</w:t>
      </w:r>
    </w:p>
    <w:p w14:paraId="36A5E9BA">
      <w:pPr>
        <w:widowControl/>
        <w:autoSpaceDE/>
        <w:autoSpaceDN/>
        <w:snapToGrid w:val="0"/>
        <w:spacing w:line="360" w:lineRule="auto"/>
        <w:jc w:val="both"/>
      </w:pPr>
      <w:r>
        <w:br w:type="page"/>
      </w:r>
    </w:p>
    <w:p w14:paraId="16046767">
      <w:pPr>
        <w:pStyle w:val="3"/>
        <w:kinsoku w:val="0"/>
        <w:overflowPunct w:val="0"/>
        <w:snapToGrid w:val="0"/>
        <w:spacing w:line="360" w:lineRule="auto"/>
        <w:ind w:left="0"/>
        <w:jc w:val="both"/>
        <w:rPr>
          <w:sz w:val="21"/>
          <w:szCs w:val="21"/>
        </w:rPr>
      </w:pPr>
      <w:r>
        <w:rPr>
          <w:rFonts w:hint="eastAsia" w:hAnsi="宋体"/>
          <w:sz w:val="21"/>
          <w:szCs w:val="21"/>
        </w:rPr>
        <w:t>欲了解更多信息，请联系：</w:t>
      </w:r>
    </w:p>
    <w:p w14:paraId="41FFA44C">
      <w:pPr>
        <w:pStyle w:val="3"/>
        <w:kinsoku w:val="0"/>
        <w:overflowPunct w:val="0"/>
        <w:snapToGrid w:val="0"/>
        <w:spacing w:before="120" w:beforeLines="50" w:line="360" w:lineRule="auto"/>
        <w:ind w:left="0"/>
        <w:jc w:val="both"/>
        <w:rPr>
          <w:sz w:val="21"/>
          <w:szCs w:val="21"/>
        </w:rPr>
      </w:pPr>
      <w:r>
        <w:rPr>
          <w:rFonts w:hint="eastAsia" w:hAnsi="宋体"/>
          <w:sz w:val="21"/>
          <w:szCs w:val="21"/>
        </w:rPr>
        <w:t>器械评价办公室</w:t>
      </w:r>
    </w:p>
    <w:p w14:paraId="074ED533">
      <w:pPr>
        <w:pStyle w:val="3"/>
        <w:kinsoku w:val="0"/>
        <w:overflowPunct w:val="0"/>
        <w:snapToGrid w:val="0"/>
        <w:spacing w:line="360" w:lineRule="auto"/>
        <w:ind w:left="0"/>
        <w:jc w:val="both"/>
        <w:rPr>
          <w:sz w:val="21"/>
          <w:szCs w:val="21"/>
        </w:rPr>
      </w:pPr>
      <w:r>
        <w:rPr>
          <w:rFonts w:hint="eastAsia" w:hAnsi="宋体"/>
          <w:sz w:val="21"/>
          <w:szCs w:val="21"/>
        </w:rPr>
        <w:t>耳鼻喉科</w:t>
      </w:r>
    </w:p>
    <w:p w14:paraId="7655B3FB">
      <w:pPr>
        <w:pStyle w:val="3"/>
        <w:kinsoku w:val="0"/>
        <w:overflowPunct w:val="0"/>
        <w:snapToGrid w:val="0"/>
        <w:spacing w:line="360" w:lineRule="auto"/>
        <w:ind w:left="0"/>
        <w:jc w:val="both"/>
        <w:rPr>
          <w:sz w:val="21"/>
          <w:szCs w:val="21"/>
        </w:rPr>
      </w:pPr>
      <w:r>
        <w:rPr>
          <w:rFonts w:hint="eastAsia" w:hAnsi="宋体"/>
          <w:sz w:val="21"/>
          <w:szCs w:val="21"/>
        </w:rPr>
        <w:t>眼科器械部</w:t>
      </w:r>
    </w:p>
    <w:p w14:paraId="50E695B3">
      <w:pPr>
        <w:pStyle w:val="3"/>
        <w:kinsoku w:val="0"/>
        <w:overflowPunct w:val="0"/>
        <w:snapToGrid w:val="0"/>
        <w:spacing w:line="360" w:lineRule="auto"/>
        <w:ind w:left="0"/>
        <w:jc w:val="both"/>
        <w:rPr>
          <w:sz w:val="21"/>
          <w:szCs w:val="21"/>
        </w:rPr>
      </w:pPr>
      <w:r>
        <w:rPr>
          <w:sz w:val="21"/>
          <w:szCs w:val="21"/>
        </w:rPr>
        <w:t>9200 Corporate Blvd.</w:t>
      </w:r>
    </w:p>
    <w:p w14:paraId="3909D50F">
      <w:pPr>
        <w:pStyle w:val="3"/>
        <w:kinsoku w:val="0"/>
        <w:overflowPunct w:val="0"/>
        <w:snapToGrid w:val="0"/>
        <w:spacing w:line="360" w:lineRule="auto"/>
        <w:ind w:left="0"/>
        <w:jc w:val="both"/>
        <w:rPr>
          <w:sz w:val="21"/>
          <w:szCs w:val="21"/>
        </w:rPr>
      </w:pPr>
      <w:r>
        <w:rPr>
          <w:sz w:val="21"/>
          <w:szCs w:val="21"/>
        </w:rPr>
        <w:t>Rockville, Md. 20850</w:t>
      </w:r>
    </w:p>
    <w:p w14:paraId="493F82E8">
      <w:pPr>
        <w:pStyle w:val="3"/>
        <w:kinsoku w:val="0"/>
        <w:overflowPunct w:val="0"/>
        <w:snapToGrid w:val="0"/>
        <w:spacing w:line="360" w:lineRule="auto"/>
        <w:ind w:left="0"/>
        <w:jc w:val="both"/>
        <w:rPr>
          <w:sz w:val="21"/>
          <w:szCs w:val="21"/>
        </w:rPr>
      </w:pPr>
      <w:r>
        <w:rPr>
          <w:sz w:val="21"/>
          <w:szCs w:val="21"/>
        </w:rPr>
        <w:t>(301) 594-2080</w:t>
      </w:r>
    </w:p>
    <w:p w14:paraId="248DCBAF">
      <w:pPr>
        <w:pStyle w:val="3"/>
        <w:kinsoku w:val="0"/>
        <w:overflowPunct w:val="0"/>
        <w:snapToGrid w:val="0"/>
        <w:spacing w:before="120" w:beforeLines="50" w:line="360" w:lineRule="auto"/>
        <w:ind w:left="0"/>
        <w:jc w:val="both"/>
        <w:rPr>
          <w:sz w:val="21"/>
          <w:szCs w:val="21"/>
        </w:rPr>
      </w:pPr>
      <w:r>
        <w:rPr>
          <w:rFonts w:hint="eastAsia" w:hAnsi="宋体"/>
          <w:sz w:val="21"/>
          <w:szCs w:val="21"/>
        </w:rPr>
        <w:t>可拨打电话</w:t>
      </w:r>
      <w:r>
        <w:rPr>
          <w:sz w:val="21"/>
          <w:szCs w:val="21"/>
        </w:rPr>
        <w:t xml:space="preserve">(800) 638-2041 </w:t>
      </w:r>
      <w:r>
        <w:rPr>
          <w:rFonts w:hint="eastAsia" w:hAnsi="宋体"/>
          <w:sz w:val="21"/>
          <w:szCs w:val="21"/>
        </w:rPr>
        <w:t>或</w:t>
      </w:r>
      <w:r>
        <w:rPr>
          <w:sz w:val="21"/>
          <w:szCs w:val="21"/>
        </w:rPr>
        <w:t>(301) 443-6597</w:t>
      </w:r>
      <w:r>
        <w:rPr>
          <w:rFonts w:hint="eastAsia" w:hAnsi="宋体"/>
          <w:sz w:val="21"/>
          <w:szCs w:val="21"/>
        </w:rPr>
        <w:t>联系小型制造商服务组寻求帮助。</w:t>
      </w:r>
    </w:p>
    <w:p w14:paraId="6ECBC466">
      <w:pPr>
        <w:pStyle w:val="3"/>
        <w:kinsoku w:val="0"/>
        <w:overflowPunct w:val="0"/>
        <w:snapToGrid w:val="0"/>
        <w:spacing w:line="336" w:lineRule="auto"/>
        <w:ind w:left="0"/>
        <w:jc w:val="center"/>
        <w:rPr>
          <w:b/>
          <w:bCs/>
          <w:sz w:val="21"/>
          <w:szCs w:val="21"/>
        </w:rPr>
      </w:pPr>
      <w:r>
        <w:rPr>
          <w:sz w:val="21"/>
          <w:szCs w:val="21"/>
        </w:rPr>
        <w:br w:type="page"/>
      </w:r>
      <w:r>
        <w:rPr>
          <w:rFonts w:hint="eastAsia" w:hAnsi="宋体"/>
          <w:b/>
          <w:sz w:val="21"/>
          <w:szCs w:val="21"/>
        </w:rPr>
        <w:t>附录</w:t>
      </w:r>
      <w:r>
        <w:rPr>
          <w:b/>
          <w:sz w:val="21"/>
          <w:szCs w:val="21"/>
        </w:rPr>
        <w:t xml:space="preserve"> : </w:t>
      </w:r>
      <w:r>
        <w:rPr>
          <w:rFonts w:hint="eastAsia" w:hAnsi="宋体"/>
          <w:b/>
          <w:sz w:val="21"/>
          <w:szCs w:val="21"/>
        </w:rPr>
        <w:t>确定耳鼻喉内窥镜鞘</w:t>
      </w:r>
      <w:r>
        <w:rPr>
          <w:b/>
          <w:sz w:val="21"/>
          <w:szCs w:val="21"/>
        </w:rPr>
        <w:t>(</w:t>
      </w:r>
      <w:r>
        <w:rPr>
          <w:rFonts w:hint="eastAsia" w:hAnsi="宋体"/>
          <w:b/>
          <w:sz w:val="21"/>
          <w:szCs w:val="21"/>
        </w:rPr>
        <w:t>和材料</w:t>
      </w:r>
      <w:r>
        <w:rPr>
          <w:b/>
          <w:sz w:val="21"/>
          <w:szCs w:val="21"/>
        </w:rPr>
        <w:t>)</w:t>
      </w:r>
      <w:r>
        <w:rPr>
          <w:rFonts w:hint="eastAsia" w:hAnsi="宋体"/>
          <w:b/>
          <w:sz w:val="21"/>
          <w:szCs w:val="21"/>
        </w:rPr>
        <w:t>阻隔病毒穿透的性能的建议方法</w:t>
      </w:r>
    </w:p>
    <w:p w14:paraId="1A3A765E">
      <w:pPr>
        <w:pStyle w:val="3"/>
        <w:kinsoku w:val="0"/>
        <w:overflowPunct w:val="0"/>
        <w:snapToGrid w:val="0"/>
        <w:spacing w:before="120" w:beforeLines="50" w:line="336" w:lineRule="auto"/>
        <w:ind w:left="0"/>
        <w:jc w:val="both"/>
        <w:rPr>
          <w:sz w:val="21"/>
          <w:szCs w:val="21"/>
        </w:rPr>
      </w:pPr>
      <w:r>
        <w:rPr>
          <w:rFonts w:hint="eastAsia" w:hAnsi="宋体"/>
          <w:sz w:val="21"/>
          <w:szCs w:val="21"/>
        </w:rPr>
        <w:t>本指南由科学与技术局、器械和放射健康中心联合器械评价办公室共同编制的。本节阐述了耳鼻喉内窥镜鞘阻隔病原微生物，包括病毒传播能力的基本原理、方法学和所需的测试灵敏性。这一特定方法不是必需的，但是在设计不同方法时应当考虑的有关原则。</w:t>
      </w:r>
    </w:p>
    <w:p w14:paraId="4FDBAA9F">
      <w:pPr>
        <w:pStyle w:val="3"/>
        <w:kinsoku w:val="0"/>
        <w:overflowPunct w:val="0"/>
        <w:snapToGrid w:val="0"/>
        <w:spacing w:before="120" w:beforeLines="50" w:line="336" w:lineRule="auto"/>
        <w:ind w:left="0"/>
        <w:jc w:val="both"/>
        <w:rPr>
          <w:sz w:val="21"/>
          <w:szCs w:val="21"/>
        </w:rPr>
      </w:pPr>
      <w:r>
        <w:rPr>
          <w:rFonts w:hint="eastAsia" w:hAnsi="宋体"/>
          <w:sz w:val="21"/>
          <w:szCs w:val="21"/>
        </w:rPr>
        <w:t>作为有效阻隔，内窥镜鞘的医疗要求需要进行适当的实验室测试。由于病毒是最小的病原体，包括人类免疫缺陷病毒</w:t>
      </w:r>
      <w:r>
        <w:rPr>
          <w:sz w:val="21"/>
          <w:szCs w:val="21"/>
        </w:rPr>
        <w:t>(HIV)</w:t>
      </w:r>
      <w:r>
        <w:rPr>
          <w:rFonts w:hint="eastAsia" w:hAnsi="宋体"/>
          <w:sz w:val="21"/>
          <w:szCs w:val="21"/>
        </w:rPr>
        <w:t>和乙型肝炎病毒</w:t>
      </w:r>
      <w:r>
        <w:rPr>
          <w:sz w:val="21"/>
          <w:szCs w:val="21"/>
        </w:rPr>
        <w:t>(HBV)</w:t>
      </w:r>
      <w:r>
        <w:rPr>
          <w:rFonts w:hint="eastAsia" w:hAnsi="宋体"/>
          <w:sz w:val="21"/>
          <w:szCs w:val="21"/>
        </w:rPr>
        <w:t>，因此挑战微粒应当是小病毒或病毒大小的微粒。测试条件应包括尽可能多的现实生活条件中重要的参数，即适当选择挑战微粒、溶液性质、测试压力和持续时间。鞘的阻隔性能应当在动态测试中检测，即在测试过程中移动鞘</w:t>
      </w:r>
      <w:r>
        <w:rPr>
          <w:sz w:val="21"/>
          <w:szCs w:val="21"/>
        </w:rPr>
        <w:t>(</w:t>
      </w:r>
      <w:r>
        <w:rPr>
          <w:rFonts w:hint="eastAsia" w:hAnsi="宋体"/>
          <w:sz w:val="21"/>
          <w:szCs w:val="21"/>
        </w:rPr>
        <w:t>最好是由插入的内窥镜的接合引起的</w:t>
      </w:r>
      <w:r>
        <w:rPr>
          <w:sz w:val="21"/>
          <w:szCs w:val="21"/>
        </w:rPr>
        <w:t>)</w:t>
      </w:r>
      <w:r>
        <w:rPr>
          <w:rFonts w:hint="eastAsia" w:hAnsi="宋体"/>
          <w:sz w:val="21"/>
          <w:szCs w:val="21"/>
        </w:rPr>
        <w:t>。以适当的理由鼓励体外测试选择比预期现实生活中使用更为严格的参数。</w:t>
      </w:r>
    </w:p>
    <w:p w14:paraId="392D71A0">
      <w:pPr>
        <w:pStyle w:val="3"/>
        <w:kinsoku w:val="0"/>
        <w:overflowPunct w:val="0"/>
        <w:snapToGrid w:val="0"/>
        <w:spacing w:before="120" w:beforeLines="50" w:line="336" w:lineRule="auto"/>
        <w:ind w:left="0"/>
        <w:jc w:val="both"/>
        <w:rPr>
          <w:sz w:val="21"/>
          <w:szCs w:val="21"/>
        </w:rPr>
      </w:pPr>
      <w:r>
        <w:rPr>
          <w:rFonts w:hint="eastAsia" w:hAnsi="宋体"/>
          <w:sz w:val="21"/>
          <w:szCs w:val="21"/>
        </w:rPr>
        <w:t>选择挑战微粒有几个重要方面。生物检测通常是首选的，因为应当没有</w:t>
      </w:r>
      <w:r>
        <w:rPr>
          <w:sz w:val="21"/>
          <w:szCs w:val="21"/>
        </w:rPr>
        <w:t>“</w:t>
      </w:r>
      <w:r>
        <w:rPr>
          <w:rFonts w:hint="eastAsia" w:hAnsi="宋体"/>
          <w:sz w:val="21"/>
          <w:szCs w:val="21"/>
        </w:rPr>
        <w:t>背景</w:t>
      </w:r>
      <w:r>
        <w:rPr>
          <w:sz w:val="21"/>
          <w:szCs w:val="21"/>
        </w:rPr>
        <w:t>”</w:t>
      </w:r>
      <w:r>
        <w:rPr>
          <w:rFonts w:hint="eastAsia" w:hAnsi="宋体"/>
          <w:sz w:val="21"/>
          <w:szCs w:val="21"/>
        </w:rPr>
        <w:t>级的混杂</w:t>
      </w:r>
      <w:r>
        <w:rPr>
          <w:sz w:val="21"/>
          <w:szCs w:val="21"/>
        </w:rPr>
        <w:t xml:space="preserve"> “</w:t>
      </w:r>
      <w:r>
        <w:rPr>
          <w:rFonts w:hint="eastAsia" w:hAnsi="宋体"/>
          <w:sz w:val="21"/>
          <w:szCs w:val="21"/>
        </w:rPr>
        <w:t>信号</w:t>
      </w:r>
      <w:r>
        <w:rPr>
          <w:sz w:val="21"/>
          <w:szCs w:val="21"/>
        </w:rPr>
        <w:t>”</w:t>
      </w:r>
      <w:r>
        <w:rPr>
          <w:rFonts w:hint="eastAsia" w:hAnsi="宋体"/>
          <w:sz w:val="21"/>
          <w:szCs w:val="21"/>
        </w:rPr>
        <w:t>，与将被发现的带有放射性或其他标志物标签的病毒或病毒样颗粒相同。适当大小和形状的替代病毒可替代人类病原体。这样的替代物可能是细菌性病毒</w:t>
      </w:r>
      <w:r>
        <w:rPr>
          <w:sz w:val="21"/>
          <w:szCs w:val="21"/>
        </w:rPr>
        <w:t>(</w:t>
      </w:r>
      <w:r>
        <w:rPr>
          <w:rFonts w:hint="eastAsia" w:hAnsi="宋体"/>
          <w:sz w:val="21"/>
          <w:szCs w:val="21"/>
        </w:rPr>
        <w:t>噬菌体</w:t>
      </w:r>
      <w:r>
        <w:rPr>
          <w:sz w:val="21"/>
          <w:szCs w:val="21"/>
        </w:rPr>
        <w:t>)</w:t>
      </w:r>
      <w:r>
        <w:rPr>
          <w:rFonts w:hint="eastAsia" w:hAnsi="宋体"/>
          <w:sz w:val="21"/>
          <w:szCs w:val="21"/>
        </w:rPr>
        <w:t>，对于测试使用而言，它们更安全、更快和更便宜，并且易于在足够滴度时取得，以提供适当的挑战浓度。但是，为了使测试用于证明人类病原体的安全性，测试病毒应当与最小的人类致病病毒</w:t>
      </w:r>
      <w:r>
        <w:rPr>
          <w:sz w:val="21"/>
          <w:szCs w:val="21"/>
        </w:rPr>
        <w:t>-</w:t>
      </w:r>
      <w:r>
        <w:rPr>
          <w:rFonts w:hint="eastAsia" w:hAnsi="宋体"/>
          <w:sz w:val="21"/>
          <w:szCs w:val="21"/>
        </w:rPr>
        <w:t>甲型肝炎病毒</w:t>
      </w:r>
      <w:r>
        <w:rPr>
          <w:sz w:val="21"/>
          <w:szCs w:val="21"/>
        </w:rPr>
        <w:t>(</w:t>
      </w:r>
      <w:r>
        <w:rPr>
          <w:rFonts w:hint="eastAsia" w:hAnsi="宋体"/>
          <w:sz w:val="21"/>
          <w:szCs w:val="21"/>
        </w:rPr>
        <w:t>直径</w:t>
      </w:r>
      <w:r>
        <w:rPr>
          <w:sz w:val="21"/>
          <w:szCs w:val="21"/>
        </w:rPr>
        <w:t>30 nm)</w:t>
      </w:r>
      <w:r>
        <w:rPr>
          <w:rFonts w:hint="eastAsia" w:hAnsi="宋体"/>
          <w:sz w:val="21"/>
          <w:szCs w:val="21"/>
        </w:rPr>
        <w:t>一样小。出于这些原因，以下医疗方案建议使用一种小的细菌性病毒作为挑战微粒。</w:t>
      </w:r>
    </w:p>
    <w:p w14:paraId="1F6CD521">
      <w:pPr>
        <w:pStyle w:val="3"/>
        <w:kinsoku w:val="0"/>
        <w:overflowPunct w:val="0"/>
        <w:snapToGrid w:val="0"/>
        <w:spacing w:before="120" w:beforeLines="50" w:line="336" w:lineRule="auto"/>
        <w:ind w:left="0"/>
        <w:jc w:val="both"/>
        <w:rPr>
          <w:sz w:val="21"/>
          <w:szCs w:val="21"/>
        </w:rPr>
      </w:pPr>
      <w:r>
        <w:rPr>
          <w:rFonts w:hint="eastAsia" w:hAnsi="宋体"/>
          <w:sz w:val="21"/>
          <w:szCs w:val="21"/>
        </w:rPr>
        <w:t>试样制备</w:t>
      </w:r>
    </w:p>
    <w:p w14:paraId="2D3909D6">
      <w:pPr>
        <w:pStyle w:val="3"/>
        <w:kinsoku w:val="0"/>
        <w:overflowPunct w:val="0"/>
        <w:snapToGrid w:val="0"/>
        <w:spacing w:before="120" w:beforeLines="50" w:line="336" w:lineRule="auto"/>
        <w:ind w:left="0"/>
        <w:jc w:val="both"/>
        <w:rPr>
          <w:sz w:val="21"/>
          <w:szCs w:val="21"/>
        </w:rPr>
      </w:pPr>
      <w:r>
        <w:rPr>
          <w:rFonts w:hint="eastAsia" w:hAnsi="宋体"/>
          <w:sz w:val="21"/>
          <w:szCs w:val="21"/>
        </w:rPr>
        <w:t>将测试鞘置于内窥镜上，以便在测试过程中能够将它们接合起来。鞘和内窥镜应当轻拿轻放，以免在测试过程中损坏。应注意复制一个尽可能接近</w:t>
      </w:r>
      <w:r>
        <w:rPr>
          <w:sz w:val="21"/>
          <w:szCs w:val="21"/>
        </w:rPr>
        <w:t>“</w:t>
      </w:r>
      <w:r>
        <w:rPr>
          <w:rFonts w:hint="eastAsia" w:hAnsi="宋体"/>
          <w:sz w:val="21"/>
          <w:szCs w:val="21"/>
        </w:rPr>
        <w:t>更坏情况</w:t>
      </w:r>
      <w:r>
        <w:rPr>
          <w:sz w:val="21"/>
          <w:szCs w:val="21"/>
        </w:rPr>
        <w:t>”</w:t>
      </w:r>
      <w:r>
        <w:rPr>
          <w:rFonts w:hint="eastAsia" w:hAnsi="宋体"/>
          <w:sz w:val="21"/>
          <w:szCs w:val="21"/>
        </w:rPr>
        <w:t>的应用方法。</w:t>
      </w:r>
    </w:p>
    <w:p w14:paraId="003B2F16">
      <w:pPr>
        <w:pStyle w:val="3"/>
        <w:kinsoku w:val="0"/>
        <w:overflowPunct w:val="0"/>
        <w:snapToGrid w:val="0"/>
        <w:spacing w:before="120" w:beforeLines="50" w:line="336" w:lineRule="auto"/>
        <w:ind w:left="0"/>
        <w:jc w:val="both"/>
        <w:rPr>
          <w:sz w:val="21"/>
          <w:szCs w:val="21"/>
        </w:rPr>
      </w:pPr>
      <w:r>
        <w:rPr>
          <w:rFonts w:hint="eastAsia" w:hAnsi="宋体"/>
          <w:sz w:val="21"/>
          <w:szCs w:val="21"/>
        </w:rPr>
        <w:t>两个建议的测试方法，内部挑战和</w:t>
      </w:r>
      <w:r>
        <w:rPr>
          <w:sz w:val="21"/>
          <w:szCs w:val="21"/>
        </w:rPr>
        <w:t>ASTM F1671-97a</w:t>
      </w:r>
    </w:p>
    <w:p w14:paraId="798A1862">
      <w:pPr>
        <w:pStyle w:val="3"/>
        <w:kinsoku w:val="0"/>
        <w:overflowPunct w:val="0"/>
        <w:snapToGrid w:val="0"/>
        <w:spacing w:before="120" w:beforeLines="50" w:line="336" w:lineRule="auto"/>
        <w:ind w:left="0"/>
        <w:jc w:val="both"/>
        <w:rPr>
          <w:sz w:val="21"/>
          <w:szCs w:val="21"/>
        </w:rPr>
      </w:pPr>
      <w:r>
        <w:rPr>
          <w:rFonts w:hint="eastAsia" w:hAnsi="宋体"/>
          <w:sz w:val="21"/>
          <w:szCs w:val="21"/>
        </w:rPr>
        <w:t>适当的测试可能包括浸泡含有挑战病毒的鞘，并将内窥镜插入充满浸泡缓冲液的浸泡室。可以通过将无菌内窥镜插入到部分充满挑战悬浮液的鞘中来准备测试用鞘。当内窥镜插入鞘中时，悬浮液分布在鞘的内表面。装有鞘的内窥镜浸泡在适当的浸泡缓冲液中，接合指定次数并达到指定程度。浸泡缓冲液检测挑战微生物，以确定过程中是否有任何病毒穿透了鞘。</w:t>
      </w:r>
    </w:p>
    <w:p w14:paraId="41D66D0D">
      <w:pPr>
        <w:pStyle w:val="3"/>
        <w:kinsoku w:val="0"/>
        <w:overflowPunct w:val="0"/>
        <w:snapToGrid w:val="0"/>
        <w:spacing w:before="120" w:beforeLines="50" w:line="336" w:lineRule="auto"/>
        <w:ind w:left="0"/>
        <w:jc w:val="both"/>
        <w:rPr>
          <w:sz w:val="21"/>
          <w:szCs w:val="21"/>
        </w:rPr>
      </w:pPr>
      <w:r>
        <w:rPr>
          <w:rFonts w:hint="eastAsia" w:hAnsi="宋体"/>
          <w:sz w:val="21"/>
          <w:szCs w:val="21"/>
        </w:rPr>
        <w:t>或者，可以进行材料鉴定试验，以测量材料被替代微生物穿透的阻力。测量材料阻力符合</w:t>
      </w:r>
      <w:r>
        <w:rPr>
          <w:sz w:val="21"/>
          <w:szCs w:val="21"/>
        </w:rPr>
        <w:t>ASTM F1671-97a</w:t>
      </w:r>
      <w:r>
        <w:rPr>
          <w:rFonts w:hint="eastAsia" w:hAnsi="宋体"/>
          <w:sz w:val="21"/>
          <w:szCs w:val="21"/>
        </w:rPr>
        <w:t>材料阻力标准测试方法的合格测试材料用于使用</w:t>
      </w:r>
      <w:r>
        <w:rPr>
          <w:sz w:val="21"/>
          <w:szCs w:val="21"/>
        </w:rPr>
        <w:t>Phi-X174</w:t>
      </w:r>
      <w:r>
        <w:rPr>
          <w:rFonts w:hint="eastAsia" w:hAnsi="宋体"/>
          <w:sz w:val="21"/>
          <w:szCs w:val="21"/>
        </w:rPr>
        <w:t>噬菌体穿透作为测试系统防止防护服被血液传播病原体穿透。可联系美国材料试验学会，宾夕法尼亚州西康舍霍肯市</w:t>
      </w:r>
      <w:r>
        <w:rPr>
          <w:sz w:val="21"/>
          <w:szCs w:val="21"/>
        </w:rPr>
        <w:t>100 Barr Harbor</w:t>
      </w:r>
      <w:r>
        <w:rPr>
          <w:rFonts w:hint="eastAsia" w:hAnsi="宋体"/>
          <w:sz w:val="21"/>
          <w:szCs w:val="21"/>
        </w:rPr>
        <w:t>博士，邮编</w:t>
      </w:r>
      <w:r>
        <w:rPr>
          <w:sz w:val="21"/>
          <w:szCs w:val="21"/>
        </w:rPr>
        <w:t>19428(</w:t>
      </w:r>
      <w:r>
        <w:rPr>
          <w:rFonts w:hint="eastAsia" w:hAnsi="宋体"/>
          <w:sz w:val="21"/>
          <w:szCs w:val="21"/>
        </w:rPr>
        <w:t>电话</w:t>
      </w:r>
      <w:r>
        <w:rPr>
          <w:sz w:val="21"/>
          <w:szCs w:val="21"/>
        </w:rPr>
        <w:t>610-832-9500)</w:t>
      </w:r>
      <w:r>
        <w:rPr>
          <w:rFonts w:hint="eastAsia" w:hAnsi="宋体"/>
          <w:sz w:val="21"/>
          <w:szCs w:val="21"/>
        </w:rPr>
        <w:t>索取本标准的副本。</w:t>
      </w:r>
    </w:p>
    <w:p w14:paraId="5A2260EA">
      <w:pPr>
        <w:pStyle w:val="3"/>
        <w:kinsoku w:val="0"/>
        <w:overflowPunct w:val="0"/>
        <w:snapToGrid w:val="0"/>
        <w:spacing w:before="120" w:beforeLines="50" w:line="336" w:lineRule="auto"/>
        <w:ind w:left="0"/>
        <w:jc w:val="both"/>
        <w:rPr>
          <w:sz w:val="21"/>
          <w:szCs w:val="21"/>
        </w:rPr>
      </w:pPr>
      <w:r>
        <w:rPr>
          <w:rFonts w:hint="eastAsia" w:hAnsi="宋体"/>
          <w:sz w:val="21"/>
          <w:szCs w:val="21"/>
        </w:rPr>
        <w:t>在本指南之前的一个版本中，一种替代方法</w:t>
      </w:r>
      <w:r>
        <w:rPr>
          <w:sz w:val="21"/>
          <w:szCs w:val="21"/>
        </w:rPr>
        <w:t>(</w:t>
      </w:r>
      <w:r>
        <w:rPr>
          <w:rFonts w:hint="eastAsia" w:hAnsi="宋体"/>
          <w:sz w:val="21"/>
          <w:szCs w:val="21"/>
        </w:rPr>
        <w:t>称为</w:t>
      </w:r>
      <w:r>
        <w:rPr>
          <w:sz w:val="21"/>
          <w:szCs w:val="21"/>
        </w:rPr>
        <w:t>B</w:t>
      </w:r>
      <w:r>
        <w:rPr>
          <w:rFonts w:hint="eastAsia" w:hAnsi="宋体"/>
          <w:sz w:val="21"/>
          <w:szCs w:val="21"/>
        </w:rPr>
        <w:t>测试</w:t>
      </w:r>
      <w:r>
        <w:rPr>
          <w:sz w:val="21"/>
          <w:szCs w:val="21"/>
        </w:rPr>
        <w:t>)</w:t>
      </w:r>
      <w:r>
        <w:rPr>
          <w:rFonts w:hint="eastAsia" w:hAnsi="宋体"/>
          <w:sz w:val="21"/>
          <w:szCs w:val="21"/>
        </w:rPr>
        <w:t>描述了将无菌鞘</w:t>
      </w:r>
      <w:r>
        <w:rPr>
          <w:sz w:val="21"/>
          <w:szCs w:val="21"/>
        </w:rPr>
        <w:t>/</w:t>
      </w:r>
      <w:r>
        <w:rPr>
          <w:rFonts w:hint="eastAsia" w:hAnsi="宋体"/>
          <w:sz w:val="21"/>
          <w:szCs w:val="21"/>
        </w:rPr>
        <w:t>内窥镜组合体放入含有高滴度适当检定菌悬浮液的腔室中。</w:t>
      </w:r>
    </w:p>
    <w:p w14:paraId="73ECDF00">
      <w:pPr>
        <w:pStyle w:val="3"/>
        <w:kinsoku w:val="0"/>
        <w:overflowPunct w:val="0"/>
        <w:snapToGrid w:val="0"/>
        <w:spacing w:before="120" w:beforeLines="50" w:line="336" w:lineRule="auto"/>
        <w:ind w:left="0"/>
        <w:jc w:val="both"/>
        <w:rPr>
          <w:sz w:val="21"/>
          <w:szCs w:val="21"/>
        </w:rPr>
      </w:pPr>
      <w:r>
        <w:rPr>
          <w:sz w:val="21"/>
          <w:szCs w:val="21"/>
        </w:rPr>
        <w:br w:type="page"/>
      </w:r>
      <w:r>
        <w:rPr>
          <w:rFonts w:hint="eastAsia" w:hAnsi="宋体"/>
          <w:sz w:val="21"/>
          <w:szCs w:val="21"/>
        </w:rPr>
        <w:t>将内窥镜</w:t>
      </w:r>
      <w:r>
        <w:rPr>
          <w:sz w:val="21"/>
          <w:szCs w:val="21"/>
        </w:rPr>
        <w:t>/</w:t>
      </w:r>
      <w:r>
        <w:rPr>
          <w:rFonts w:hint="eastAsia" w:hAnsi="宋体"/>
          <w:sz w:val="21"/>
          <w:szCs w:val="21"/>
        </w:rPr>
        <w:t>鞘插入腔室中，接合特定次数并达到特定的程度。在将内窥镜</w:t>
      </w:r>
      <w:r>
        <w:rPr>
          <w:sz w:val="21"/>
          <w:szCs w:val="21"/>
        </w:rPr>
        <w:t>/</w:t>
      </w:r>
      <w:r>
        <w:rPr>
          <w:rFonts w:hint="eastAsia" w:hAnsi="宋体"/>
          <w:sz w:val="21"/>
          <w:szCs w:val="21"/>
        </w:rPr>
        <w:t>鞘从挑战微粒中取出并收回内窥镜后，冲洗鞘的内表面和内窥镜的表面，并对测试微生物检测冲洗情况。由于灵敏性不足以及不如</w:t>
      </w:r>
      <w:r>
        <w:rPr>
          <w:sz w:val="21"/>
          <w:szCs w:val="21"/>
        </w:rPr>
        <w:t>ASTM F1671-97a</w:t>
      </w:r>
      <w:r>
        <w:rPr>
          <w:rFonts w:hint="eastAsia" w:hAnsi="宋体"/>
          <w:sz w:val="21"/>
          <w:szCs w:val="21"/>
        </w:rPr>
        <w:t>和下述的内部挑战方法，该方法已从指南中删除。</w:t>
      </w:r>
    </w:p>
    <w:p w14:paraId="6133F5B7">
      <w:pPr>
        <w:pStyle w:val="3"/>
        <w:kinsoku w:val="0"/>
        <w:overflowPunct w:val="0"/>
        <w:snapToGrid w:val="0"/>
        <w:spacing w:before="120" w:beforeLines="50" w:line="336" w:lineRule="auto"/>
        <w:ind w:left="0"/>
        <w:jc w:val="both"/>
        <w:rPr>
          <w:sz w:val="21"/>
          <w:szCs w:val="21"/>
        </w:rPr>
      </w:pPr>
      <w:r>
        <w:rPr>
          <w:rFonts w:hint="eastAsia" w:hAnsi="宋体"/>
          <w:sz w:val="21"/>
          <w:szCs w:val="21"/>
          <w:u w:val="single"/>
        </w:rPr>
        <w:t>内部挑战方法</w:t>
      </w:r>
    </w:p>
    <w:p w14:paraId="21664AEB">
      <w:pPr>
        <w:pStyle w:val="3"/>
        <w:kinsoku w:val="0"/>
        <w:overflowPunct w:val="0"/>
        <w:snapToGrid w:val="0"/>
        <w:spacing w:before="120" w:beforeLines="50" w:line="336" w:lineRule="auto"/>
        <w:ind w:left="0"/>
        <w:jc w:val="both"/>
        <w:rPr>
          <w:sz w:val="21"/>
          <w:szCs w:val="21"/>
        </w:rPr>
      </w:pPr>
      <w:r>
        <w:rPr>
          <w:rFonts w:hint="eastAsia" w:hAnsi="宋体"/>
          <w:sz w:val="21"/>
          <w:szCs w:val="21"/>
        </w:rPr>
        <w:t>内部挑战方法的内容应包括：</w:t>
      </w:r>
    </w:p>
    <w:p w14:paraId="6C54E040">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把挑战病毒悬浮液注射到测试鞘</w:t>
      </w:r>
      <w:r>
        <w:rPr>
          <w:sz w:val="21"/>
          <w:szCs w:val="21"/>
        </w:rPr>
        <w:t>(</w:t>
      </w:r>
      <w:r>
        <w:rPr>
          <w:rFonts w:hint="eastAsia" w:hAnsi="宋体"/>
          <w:sz w:val="21"/>
          <w:szCs w:val="21"/>
        </w:rPr>
        <w:t>除了内窥镜外</w:t>
      </w:r>
      <w:r>
        <w:rPr>
          <w:sz w:val="21"/>
          <w:szCs w:val="21"/>
        </w:rPr>
        <w:t>)</w:t>
      </w:r>
      <w:r>
        <w:rPr>
          <w:rFonts w:hint="eastAsia" w:hAnsi="宋体"/>
          <w:sz w:val="21"/>
          <w:szCs w:val="21"/>
        </w:rPr>
        <w:t>中，以使鞘</w:t>
      </w:r>
      <w:r>
        <w:rPr>
          <w:sz w:val="21"/>
          <w:szCs w:val="21"/>
        </w:rPr>
        <w:t xml:space="preserve"> /</w:t>
      </w:r>
      <w:r>
        <w:rPr>
          <w:rFonts w:hint="eastAsia" w:hAnsi="宋体"/>
          <w:sz w:val="21"/>
          <w:szCs w:val="21"/>
        </w:rPr>
        <w:t>内窥镜的测试部分</w:t>
      </w:r>
      <w:r>
        <w:rPr>
          <w:sz w:val="21"/>
          <w:szCs w:val="21"/>
        </w:rPr>
        <w:t>(</w:t>
      </w:r>
      <w:r>
        <w:rPr>
          <w:rFonts w:hint="eastAsia" w:hAnsi="宋体"/>
          <w:sz w:val="21"/>
          <w:szCs w:val="21"/>
        </w:rPr>
        <w:t>验证测试部分的长度</w:t>
      </w:r>
      <w:r>
        <w:rPr>
          <w:sz w:val="21"/>
          <w:szCs w:val="21"/>
        </w:rPr>
        <w:t>)</w:t>
      </w:r>
      <w:r>
        <w:rPr>
          <w:rFonts w:hint="eastAsia" w:hAnsi="宋体"/>
          <w:sz w:val="21"/>
          <w:szCs w:val="21"/>
        </w:rPr>
        <w:t>浸泡到浸泡缓冲液中</w:t>
      </w:r>
      <w:r>
        <w:rPr>
          <w:sz w:val="21"/>
          <w:szCs w:val="21"/>
        </w:rPr>
        <w:t>(</w:t>
      </w:r>
      <w:r>
        <w:rPr>
          <w:rFonts w:hint="eastAsia" w:hAnsi="宋体"/>
          <w:sz w:val="21"/>
          <w:szCs w:val="21"/>
        </w:rPr>
        <w:t>当内窥镜就位时，足够量的挑战病毒悬浮液用于覆盖鞘的内部</w:t>
      </w:r>
      <w:r>
        <w:rPr>
          <w:sz w:val="21"/>
          <w:szCs w:val="21"/>
        </w:rPr>
        <w:t>)</w:t>
      </w:r>
      <w:r>
        <w:rPr>
          <w:rFonts w:hint="eastAsia" w:hAnsi="宋体"/>
          <w:sz w:val="21"/>
          <w:szCs w:val="21"/>
        </w:rPr>
        <w:t>，</w:t>
      </w:r>
    </w:p>
    <w:p w14:paraId="0F2BF103">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使用可使测试鞘</w:t>
      </w:r>
      <w:r>
        <w:rPr>
          <w:sz w:val="21"/>
          <w:szCs w:val="21"/>
        </w:rPr>
        <w:t>/</w:t>
      </w:r>
      <w:r>
        <w:rPr>
          <w:rFonts w:hint="eastAsia" w:hAnsi="宋体"/>
          <w:sz w:val="21"/>
          <w:szCs w:val="21"/>
        </w:rPr>
        <w:t>内窥镜完全接合的浸泡容器，</w:t>
      </w:r>
    </w:p>
    <w:p w14:paraId="23C9BA03">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利用具有适当属性的缓冲液</w:t>
      </w:r>
      <w:r>
        <w:rPr>
          <w:sz w:val="21"/>
          <w:szCs w:val="21"/>
        </w:rPr>
        <w:t>(</w:t>
      </w:r>
      <w:r>
        <w:rPr>
          <w:rFonts w:hint="eastAsia" w:hAnsi="宋体"/>
          <w:sz w:val="21"/>
          <w:szCs w:val="21"/>
        </w:rPr>
        <w:t>生理盐水，</w:t>
      </w:r>
      <w:r>
        <w:rPr>
          <w:sz w:val="21"/>
          <w:szCs w:val="21"/>
        </w:rPr>
        <w:t>pH</w:t>
      </w:r>
      <w:r>
        <w:rPr>
          <w:rFonts w:hint="eastAsia" w:hAnsi="宋体"/>
          <w:sz w:val="21"/>
          <w:szCs w:val="21"/>
        </w:rPr>
        <w:t>值约为</w:t>
      </w:r>
      <w:r>
        <w:rPr>
          <w:sz w:val="21"/>
          <w:szCs w:val="21"/>
        </w:rPr>
        <w:t>7.0</w:t>
      </w:r>
      <w:r>
        <w:rPr>
          <w:rFonts w:hint="eastAsia" w:hAnsi="宋体"/>
          <w:sz w:val="21"/>
          <w:szCs w:val="21"/>
        </w:rPr>
        <w:t>，表面张力不超过</w:t>
      </w:r>
      <w:r>
        <w:rPr>
          <w:sz w:val="21"/>
          <w:szCs w:val="21"/>
        </w:rPr>
        <w:t>0.05 N/m)</w:t>
      </w:r>
      <w:r>
        <w:rPr>
          <w:rFonts w:hint="eastAsia" w:hAnsi="宋体"/>
          <w:sz w:val="21"/>
          <w:szCs w:val="21"/>
        </w:rPr>
        <w:t>。</w:t>
      </w:r>
      <w:r>
        <w:rPr>
          <w:sz w:val="21"/>
          <w:szCs w:val="21"/>
        </w:rPr>
        <w:t xml:space="preserve"> </w:t>
      </w:r>
      <w:r>
        <w:rPr>
          <w:rFonts w:hint="eastAsia" w:hAnsi="宋体"/>
          <w:sz w:val="21"/>
          <w:szCs w:val="21"/>
        </w:rPr>
        <w:t>添加两种非离子表面活性剂</w:t>
      </w:r>
      <w:r>
        <w:rPr>
          <w:sz w:val="21"/>
          <w:szCs w:val="21"/>
        </w:rPr>
        <w:t>0.1% Tween 80</w:t>
      </w:r>
      <w:r>
        <w:rPr>
          <w:rFonts w:hint="eastAsia" w:hAnsi="宋体"/>
          <w:sz w:val="21"/>
          <w:szCs w:val="21"/>
        </w:rPr>
        <w:t>或</w:t>
      </w:r>
      <w:r>
        <w:rPr>
          <w:sz w:val="21"/>
          <w:szCs w:val="21"/>
        </w:rPr>
        <w:t>0.1% triton X-100</w:t>
      </w:r>
      <w:r>
        <w:rPr>
          <w:rFonts w:hint="eastAsia" w:hAnsi="宋体"/>
          <w:sz w:val="21"/>
          <w:szCs w:val="21"/>
        </w:rPr>
        <w:t>中的任一种，提供所需的表面张力，同时也防止病毒被离子的相互作用吸附。该缓冲液可以用作浸泡液体和挑战病毒悬浮液的悬浮液。</w:t>
      </w:r>
    </w:p>
    <w:p w14:paraId="0CF1C83B">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用</w:t>
      </w:r>
      <w:r>
        <w:rPr>
          <w:sz w:val="21"/>
          <w:szCs w:val="21"/>
        </w:rPr>
        <w:t>100ml</w:t>
      </w:r>
      <w:r>
        <w:rPr>
          <w:rFonts w:hint="eastAsia" w:hAnsi="宋体"/>
          <w:sz w:val="21"/>
          <w:szCs w:val="21"/>
        </w:rPr>
        <w:t>具有适当属性</w:t>
      </w:r>
      <w:r>
        <w:rPr>
          <w:sz w:val="21"/>
          <w:szCs w:val="21"/>
        </w:rPr>
        <w:t>(</w:t>
      </w:r>
      <w:r>
        <w:rPr>
          <w:rFonts w:hint="eastAsia" w:hAnsi="宋体"/>
          <w:sz w:val="21"/>
          <w:szCs w:val="21"/>
        </w:rPr>
        <w:t>生理盐水</w:t>
      </w:r>
      <w:r>
        <w:rPr>
          <w:rFonts w:hint="eastAsia"/>
          <w:sz w:val="21"/>
          <w:szCs w:val="21"/>
        </w:rPr>
        <w:t>，</w:t>
      </w:r>
      <w:r>
        <w:rPr>
          <w:sz w:val="21"/>
          <w:szCs w:val="21"/>
        </w:rPr>
        <w:t xml:space="preserve"> pH </w:t>
      </w:r>
      <w:r>
        <w:rPr>
          <w:rFonts w:hint="eastAsia" w:hAnsi="宋体"/>
          <w:sz w:val="21"/>
          <w:szCs w:val="21"/>
        </w:rPr>
        <w:t>值约为</w:t>
      </w:r>
      <w:r>
        <w:rPr>
          <w:sz w:val="21"/>
          <w:szCs w:val="21"/>
        </w:rPr>
        <w:t xml:space="preserve"> 7.0</w:t>
      </w:r>
      <w:r>
        <w:rPr>
          <w:rFonts w:hint="eastAsia"/>
          <w:sz w:val="21"/>
          <w:szCs w:val="21"/>
        </w:rPr>
        <w:t>，</w:t>
      </w:r>
      <w:r>
        <w:rPr>
          <w:rFonts w:hint="eastAsia" w:hAnsi="宋体"/>
          <w:sz w:val="21"/>
          <w:szCs w:val="21"/>
        </w:rPr>
        <w:t>表面张力不超过</w:t>
      </w:r>
      <w:r>
        <w:rPr>
          <w:sz w:val="21"/>
          <w:szCs w:val="21"/>
        </w:rPr>
        <w:t>0.05</w:t>
      </w:r>
      <w:r>
        <w:t xml:space="preserve"> </w:t>
      </w:r>
      <w:r>
        <w:rPr>
          <w:sz w:val="21"/>
          <w:szCs w:val="21"/>
        </w:rPr>
        <w:t>N/m</w:t>
      </w:r>
      <w:r>
        <w:rPr>
          <w:rFonts w:hint="eastAsia"/>
          <w:sz w:val="21"/>
          <w:szCs w:val="21"/>
        </w:rPr>
        <w:t>；</w:t>
      </w:r>
      <w:r>
        <w:rPr>
          <w:rFonts w:hint="eastAsia" w:hAnsi="宋体"/>
          <w:sz w:val="21"/>
          <w:szCs w:val="21"/>
        </w:rPr>
        <w:t>参见上述第</w:t>
      </w:r>
      <w:r>
        <w:rPr>
          <w:sz w:val="21"/>
          <w:szCs w:val="21"/>
        </w:rPr>
        <w:t>3</w:t>
      </w:r>
      <w:r>
        <w:rPr>
          <w:rFonts w:hint="eastAsia" w:hAnsi="宋体"/>
          <w:sz w:val="21"/>
          <w:szCs w:val="21"/>
        </w:rPr>
        <w:t>条</w:t>
      </w:r>
      <w:r>
        <w:rPr>
          <w:sz w:val="21"/>
          <w:szCs w:val="21"/>
        </w:rPr>
        <w:t>)</w:t>
      </w:r>
      <w:r>
        <w:rPr>
          <w:rFonts w:hint="eastAsia" w:hAnsi="宋体"/>
          <w:sz w:val="21"/>
          <w:szCs w:val="21"/>
        </w:rPr>
        <w:t>的缓冲液填充浸泡容器。</w:t>
      </w:r>
      <w:r>
        <w:rPr>
          <w:sz w:val="21"/>
          <w:szCs w:val="21"/>
        </w:rPr>
        <w:t xml:space="preserve"> </w:t>
      </w:r>
      <w:r>
        <w:rPr>
          <w:rFonts w:hint="eastAsia" w:hAnsi="宋体"/>
          <w:sz w:val="21"/>
          <w:szCs w:val="21"/>
        </w:rPr>
        <w:t>测试可在室温</w:t>
      </w:r>
      <w:r>
        <w:rPr>
          <w:sz w:val="21"/>
          <w:szCs w:val="21"/>
        </w:rPr>
        <w:t>[68-72°F]</w:t>
      </w:r>
      <w:r>
        <w:rPr>
          <w:rFonts w:hint="eastAsia" w:hAnsi="宋体"/>
          <w:sz w:val="21"/>
          <w:szCs w:val="21"/>
        </w:rPr>
        <w:t>下进行，</w:t>
      </w:r>
    </w:p>
    <w:p w14:paraId="329B2952">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将足够滴度的挑战病毒悬浮液注射进测试鞘中，甚至在测试结束时</w:t>
      </w:r>
      <w:r>
        <w:rPr>
          <w:sz w:val="21"/>
          <w:szCs w:val="21"/>
        </w:rPr>
        <w:t>(</w:t>
      </w:r>
      <w:r>
        <w:rPr>
          <w:rFonts w:hint="eastAsia" w:hAnsi="宋体"/>
          <w:sz w:val="21"/>
          <w:szCs w:val="21"/>
        </w:rPr>
        <w:t>小的近似球形的病毒，如噬菌体</w:t>
      </w:r>
      <w:r>
        <w:rPr>
          <w:sz w:val="21"/>
          <w:szCs w:val="21"/>
        </w:rPr>
        <w:t>PhiX174</w:t>
      </w:r>
      <w:r>
        <w:rPr>
          <w:rFonts w:hint="eastAsia" w:hAnsi="宋体"/>
          <w:sz w:val="21"/>
          <w:szCs w:val="21"/>
        </w:rPr>
        <w:t>，至少达到</w:t>
      </w:r>
      <w:r>
        <w:rPr>
          <w:sz w:val="21"/>
          <w:szCs w:val="21"/>
        </w:rPr>
        <w:t>108</w:t>
      </w:r>
      <w:r>
        <w:rPr>
          <w:rFonts w:hint="eastAsia" w:hAnsi="宋体"/>
          <w:sz w:val="21"/>
          <w:szCs w:val="21"/>
        </w:rPr>
        <w:t>个空斑形成单位</w:t>
      </w:r>
      <w:r>
        <w:rPr>
          <w:sz w:val="21"/>
          <w:szCs w:val="21"/>
        </w:rPr>
        <w:t>/ mL(pfu/mL))</w:t>
      </w:r>
      <w:r>
        <w:rPr>
          <w:rFonts w:hint="eastAsia" w:hAnsi="宋体"/>
          <w:sz w:val="21"/>
          <w:szCs w:val="21"/>
        </w:rPr>
        <w:t>，</w:t>
      </w:r>
    </w:p>
    <w:p w14:paraId="058CF6E0">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接合内窥镜以模拟实际使用的运动</w:t>
      </w:r>
      <w:r>
        <w:rPr>
          <w:sz w:val="21"/>
          <w:szCs w:val="21"/>
        </w:rPr>
        <w:t>(</w:t>
      </w:r>
      <w:r>
        <w:rPr>
          <w:rFonts w:hint="eastAsia" w:hAnsi="宋体"/>
          <w:sz w:val="21"/>
          <w:szCs w:val="21"/>
        </w:rPr>
        <w:t>两个方向的最大挠度</w:t>
      </w:r>
      <w:r>
        <w:rPr>
          <w:sz w:val="21"/>
          <w:szCs w:val="21"/>
        </w:rPr>
        <w:t>)</w:t>
      </w:r>
      <w:r>
        <w:rPr>
          <w:rFonts w:hint="eastAsia" w:hAnsi="宋体"/>
          <w:sz w:val="21"/>
          <w:szCs w:val="21"/>
        </w:rPr>
        <w:t>，并保持一段预定的时间以模拟实际使用场景中的受力。在不相连接状态下的时间合计不应超过</w:t>
      </w:r>
      <w:r>
        <w:rPr>
          <w:sz w:val="21"/>
          <w:szCs w:val="21"/>
        </w:rPr>
        <w:t>50%</w:t>
      </w:r>
      <w:r>
        <w:rPr>
          <w:rFonts w:hint="eastAsia" w:hAnsi="宋体"/>
          <w:sz w:val="21"/>
          <w:szCs w:val="21"/>
        </w:rPr>
        <w:t>的测试时间。测试持续时间至少应为</w:t>
      </w:r>
      <w:r>
        <w:rPr>
          <w:sz w:val="21"/>
          <w:szCs w:val="21"/>
        </w:rPr>
        <w:t>60</w:t>
      </w:r>
      <w:r>
        <w:rPr>
          <w:rFonts w:hint="eastAsia" w:hAnsi="宋体"/>
          <w:sz w:val="21"/>
          <w:szCs w:val="21"/>
        </w:rPr>
        <w:t>分钟。可以考虑增加病毒滴度以减少测试持续时间，</w:t>
      </w:r>
    </w:p>
    <w:p w14:paraId="0BE798D0">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小心地将内窥镜</w:t>
      </w:r>
      <w:r>
        <w:rPr>
          <w:sz w:val="21"/>
          <w:szCs w:val="21"/>
        </w:rPr>
        <w:t>/</w:t>
      </w:r>
      <w:r>
        <w:rPr>
          <w:rFonts w:hint="eastAsia" w:hAnsi="宋体"/>
          <w:sz w:val="21"/>
          <w:szCs w:val="21"/>
        </w:rPr>
        <w:t>鞘组合件拆下，并对浸泡缓冲液取样以收集穿透鞘的任何病毒</w:t>
      </w:r>
      <w:r>
        <w:rPr>
          <w:sz w:val="21"/>
          <w:szCs w:val="21"/>
        </w:rPr>
        <w:t>(</w:t>
      </w:r>
      <w:r>
        <w:rPr>
          <w:rFonts w:hint="eastAsia" w:hAnsi="宋体"/>
          <w:sz w:val="21"/>
          <w:szCs w:val="21"/>
        </w:rPr>
        <w:t>要小心防止浸泡缓冲液受到污染</w:t>
      </w:r>
      <w:r>
        <w:rPr>
          <w:sz w:val="21"/>
          <w:szCs w:val="21"/>
        </w:rPr>
        <w:t>)</w:t>
      </w:r>
      <w:r>
        <w:rPr>
          <w:rFonts w:hint="eastAsia" w:hAnsi="宋体"/>
          <w:sz w:val="21"/>
          <w:szCs w:val="21"/>
        </w:rPr>
        <w:t>，</w:t>
      </w:r>
    </w:p>
    <w:p w14:paraId="4EDE2832">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检测浸泡缓冲液以确定是否有任何挑战病毒已经穿透了鞘，</w:t>
      </w:r>
      <w:r>
        <w:rPr>
          <w:sz w:val="21"/>
          <w:szCs w:val="21"/>
        </w:rPr>
        <w:t xml:space="preserve"> </w:t>
      </w:r>
      <w:r>
        <w:rPr>
          <w:rFonts w:hint="eastAsia" w:hAnsi="宋体"/>
          <w:sz w:val="21"/>
          <w:szCs w:val="21"/>
        </w:rPr>
        <w:t>及</w:t>
      </w:r>
    </w:p>
    <w:p w14:paraId="3BB8EEB1">
      <w:pPr>
        <w:pStyle w:val="3"/>
        <w:numPr>
          <w:ilvl w:val="0"/>
          <w:numId w:val="6"/>
        </w:numPr>
        <w:kinsoku w:val="0"/>
        <w:overflowPunct w:val="0"/>
        <w:snapToGrid w:val="0"/>
        <w:spacing w:before="120" w:beforeLines="50" w:line="336" w:lineRule="auto"/>
        <w:ind w:left="0" w:firstLine="0"/>
        <w:jc w:val="both"/>
        <w:rPr>
          <w:sz w:val="21"/>
          <w:szCs w:val="21"/>
        </w:rPr>
      </w:pPr>
      <w:r>
        <w:rPr>
          <w:rFonts w:hint="eastAsia" w:hAnsi="宋体"/>
          <w:sz w:val="21"/>
          <w:szCs w:val="21"/>
        </w:rPr>
        <w:t>计算挑战病毒穿透所需的等同量，以便计算浸泡缓冲液中发现的病毒量。</w:t>
      </w:r>
    </w:p>
    <w:p w14:paraId="40A9BEB0">
      <w:pPr>
        <w:pStyle w:val="3"/>
        <w:kinsoku w:val="0"/>
        <w:overflowPunct w:val="0"/>
        <w:snapToGrid w:val="0"/>
        <w:spacing w:before="120" w:beforeLines="50" w:line="336" w:lineRule="auto"/>
        <w:ind w:left="0"/>
        <w:jc w:val="both"/>
        <w:rPr>
          <w:sz w:val="21"/>
          <w:szCs w:val="21"/>
        </w:rPr>
      </w:pPr>
      <w:r>
        <w:rPr>
          <w:rFonts w:hint="eastAsia" w:hAnsi="宋体"/>
          <w:sz w:val="21"/>
          <w:szCs w:val="21"/>
        </w:rPr>
        <w:t>控制</w:t>
      </w:r>
    </w:p>
    <w:p w14:paraId="4B053D3B">
      <w:pPr>
        <w:pStyle w:val="3"/>
        <w:kinsoku w:val="0"/>
        <w:overflowPunct w:val="0"/>
        <w:snapToGrid w:val="0"/>
        <w:spacing w:before="120" w:beforeLines="50" w:line="336" w:lineRule="auto"/>
        <w:ind w:left="0"/>
        <w:jc w:val="both"/>
        <w:rPr>
          <w:sz w:val="21"/>
          <w:szCs w:val="21"/>
        </w:rPr>
      </w:pPr>
      <w:r>
        <w:rPr>
          <w:rFonts w:hint="eastAsia" w:hAnsi="宋体"/>
          <w:sz w:val="21"/>
          <w:szCs w:val="21"/>
        </w:rPr>
        <w:t>众所周知，可以通过某些材料以不同的形式将有些病毒从悬浮液中清除，或者可以通过化学灭活而造成无法生物检测到。因此需要进行控制，以确保病毒穿透测试产生有意义的数据。需要阳性控制实验，以确保整体测试正常运行。可能要用到带有故意打有针孔的鞘。</w:t>
      </w:r>
    </w:p>
    <w:p w14:paraId="230ACB5D">
      <w:pPr>
        <w:pStyle w:val="3"/>
        <w:kinsoku w:val="0"/>
        <w:overflowPunct w:val="0"/>
        <w:snapToGrid w:val="0"/>
        <w:spacing w:before="120" w:beforeLines="50" w:line="336" w:lineRule="auto"/>
        <w:ind w:left="0"/>
        <w:jc w:val="both"/>
        <w:rPr>
          <w:sz w:val="21"/>
          <w:szCs w:val="21"/>
        </w:rPr>
      </w:pPr>
      <w:r>
        <w:rPr>
          <w:rFonts w:hint="eastAsia" w:hAnsi="宋体"/>
          <w:sz w:val="21"/>
          <w:szCs w:val="21"/>
        </w:rPr>
        <w:t>必须确定测试过程中的挑战病毒是否稳定。</w:t>
      </w:r>
      <w:r>
        <w:rPr>
          <w:sz w:val="21"/>
          <w:szCs w:val="21"/>
        </w:rPr>
        <w:t xml:space="preserve"> </w:t>
      </w:r>
      <w:r>
        <w:rPr>
          <w:rFonts w:hint="eastAsia" w:hAnsi="宋体"/>
          <w:sz w:val="21"/>
          <w:szCs w:val="21"/>
        </w:rPr>
        <w:t>收集这些数据可以作为各鞘测试的一部分。测试结束时，将内部挑战方法中</w:t>
      </w:r>
      <w:r>
        <w:rPr>
          <w:sz w:val="21"/>
          <w:szCs w:val="21"/>
        </w:rPr>
        <w:t>(</w:t>
      </w:r>
      <w:r>
        <w:rPr>
          <w:rFonts w:hint="eastAsia" w:hAnsi="宋体"/>
          <w:sz w:val="21"/>
          <w:szCs w:val="21"/>
        </w:rPr>
        <w:t>或</w:t>
      </w:r>
      <w:r>
        <w:rPr>
          <w:sz w:val="21"/>
          <w:szCs w:val="21"/>
        </w:rPr>
        <w:t>ASTM</w:t>
      </w:r>
      <w:r>
        <w:rPr>
          <w:rFonts w:hint="eastAsia" w:hAnsi="宋体"/>
          <w:sz w:val="21"/>
          <w:szCs w:val="21"/>
        </w:rPr>
        <w:t>测试中</w:t>
      </w:r>
      <w:r>
        <w:rPr>
          <w:sz w:val="21"/>
          <w:szCs w:val="21"/>
        </w:rPr>
        <w:t>)</w:t>
      </w:r>
      <w:r>
        <w:rPr>
          <w:rFonts w:hint="eastAsia" w:hAnsi="宋体"/>
          <w:sz w:val="21"/>
          <w:szCs w:val="21"/>
        </w:rPr>
        <w:t>各鞘中的挑战病毒悬浮液的滴度与原始滴度进行比较。由于测试样品和测试仪器的相互作用，就确定了测试过程中挑战病毒滴度是否发生变化以及发生了多少变化。</w:t>
      </w:r>
    </w:p>
    <w:p w14:paraId="70287AD6">
      <w:pPr>
        <w:kinsoku w:val="0"/>
        <w:overflowPunct w:val="0"/>
        <w:snapToGrid w:val="0"/>
        <w:spacing w:before="120" w:beforeLines="50" w:line="336" w:lineRule="auto"/>
        <w:jc w:val="both"/>
        <w:rPr>
          <w:sz w:val="21"/>
          <w:szCs w:val="21"/>
        </w:rPr>
      </w:pPr>
      <w:r>
        <w:rPr>
          <w:rFonts w:hint="eastAsia" w:hAnsi="宋体"/>
          <w:sz w:val="21"/>
          <w:szCs w:val="21"/>
        </w:rPr>
        <w:t>还必须确定任何穿透鞘的病毒是否仍能在本测试程序中检测到。这可以在内部挑战方法中进行，在模拟测试前将浸泡缓冲液</w:t>
      </w:r>
      <w:r>
        <w:rPr>
          <w:sz w:val="21"/>
          <w:szCs w:val="21"/>
        </w:rPr>
        <w:t>“</w:t>
      </w:r>
      <w:r>
        <w:rPr>
          <w:rFonts w:hint="eastAsia" w:hAnsi="宋体"/>
          <w:sz w:val="21"/>
          <w:szCs w:val="21"/>
        </w:rPr>
        <w:t>掺入</w:t>
      </w:r>
      <w:r>
        <w:rPr>
          <w:sz w:val="21"/>
          <w:szCs w:val="21"/>
        </w:rPr>
        <w:t>”</w:t>
      </w:r>
      <w:r>
        <w:rPr>
          <w:rFonts w:hint="eastAsia" w:hAnsi="宋体"/>
          <w:sz w:val="21"/>
          <w:szCs w:val="21"/>
        </w:rPr>
        <w:t>带有少量</w:t>
      </w:r>
      <w:r>
        <w:rPr>
          <w:sz w:val="21"/>
          <w:szCs w:val="21"/>
        </w:rPr>
        <w:t>(10</w:t>
      </w:r>
      <w:r>
        <w:rPr>
          <w:rFonts w:hint="eastAsia" w:hAnsi="宋体"/>
          <w:sz w:val="21"/>
          <w:szCs w:val="21"/>
        </w:rPr>
        <w:t>微升</w:t>
      </w:r>
      <w:r>
        <w:rPr>
          <w:sz w:val="21"/>
          <w:szCs w:val="21"/>
        </w:rPr>
        <w:t>[µL])</w:t>
      </w:r>
      <w:r>
        <w:rPr>
          <w:rFonts w:hint="eastAsia" w:hAnsi="宋体"/>
          <w:sz w:val="21"/>
          <w:szCs w:val="21"/>
        </w:rPr>
        <w:t>病毒</w:t>
      </w:r>
      <w:r>
        <w:rPr>
          <w:sz w:val="21"/>
          <w:szCs w:val="21"/>
        </w:rPr>
        <w:t>(106 pfu/mL)</w:t>
      </w:r>
      <w:r>
        <w:rPr>
          <w:rFonts w:hint="eastAsia" w:hAnsi="宋体"/>
          <w:sz w:val="21"/>
          <w:szCs w:val="21"/>
        </w:rPr>
        <w:t>的浸泡容器中，并在模拟测试结束时检测浸泡缓冲液的滴度。这样就确定了穿透病毒是否可以被恢复以及恢复了多少。</w:t>
      </w:r>
      <w:r>
        <w:rPr>
          <w:sz w:val="21"/>
          <w:szCs w:val="21"/>
        </w:rPr>
        <w:t>ASTM</w:t>
      </w:r>
      <w:r>
        <w:rPr>
          <w:rFonts w:hint="eastAsia" w:hAnsi="宋体"/>
          <w:sz w:val="21"/>
          <w:szCs w:val="21"/>
        </w:rPr>
        <w:t>测试包括类似的控制实验。</w:t>
      </w:r>
    </w:p>
    <w:p w14:paraId="5BFD4B97">
      <w:pPr>
        <w:pStyle w:val="3"/>
        <w:kinsoku w:val="0"/>
        <w:overflowPunct w:val="0"/>
        <w:snapToGrid w:val="0"/>
        <w:spacing w:before="120" w:beforeLines="50" w:line="336" w:lineRule="auto"/>
        <w:ind w:left="0"/>
        <w:jc w:val="both"/>
        <w:rPr>
          <w:sz w:val="21"/>
          <w:szCs w:val="21"/>
        </w:rPr>
      </w:pPr>
      <w:r>
        <w:rPr>
          <w:rFonts w:hint="eastAsia" w:hAnsi="宋体"/>
          <w:sz w:val="21"/>
          <w:szCs w:val="21"/>
        </w:rPr>
        <w:t>如果上述两种控制中的任一种</w:t>
      </w:r>
      <w:r>
        <w:rPr>
          <w:sz w:val="21"/>
          <w:szCs w:val="21"/>
        </w:rPr>
        <w:t>(</w:t>
      </w:r>
      <w:r>
        <w:rPr>
          <w:rFonts w:hint="eastAsia" w:hAnsi="宋体"/>
          <w:sz w:val="21"/>
          <w:szCs w:val="21"/>
        </w:rPr>
        <w:t>或两种都</w:t>
      </w:r>
      <w:r>
        <w:rPr>
          <w:sz w:val="21"/>
          <w:szCs w:val="21"/>
        </w:rPr>
        <w:t>)</w:t>
      </w:r>
      <w:r>
        <w:rPr>
          <w:rFonts w:hint="eastAsia" w:hAnsi="宋体"/>
          <w:sz w:val="21"/>
          <w:szCs w:val="21"/>
        </w:rPr>
        <w:t>显示出病毒滴度下降，则为了保持测试的整体体灵敏性，必须增加起始挑战滴度，以弥补损失。</w:t>
      </w:r>
    </w:p>
    <w:p w14:paraId="1F49D6C5">
      <w:pPr>
        <w:pStyle w:val="3"/>
        <w:kinsoku w:val="0"/>
        <w:overflowPunct w:val="0"/>
        <w:snapToGrid w:val="0"/>
        <w:spacing w:before="120" w:beforeLines="50" w:line="336" w:lineRule="auto"/>
        <w:ind w:left="0"/>
        <w:jc w:val="both"/>
        <w:outlineLvl w:val="1"/>
        <w:rPr>
          <w:sz w:val="21"/>
          <w:szCs w:val="21"/>
        </w:rPr>
      </w:pPr>
      <w:bookmarkStart w:id="13" w:name="_Toc497929716"/>
      <w:r>
        <w:rPr>
          <w:rFonts w:hint="eastAsia" w:hAnsi="宋体"/>
          <w:sz w:val="21"/>
          <w:szCs w:val="21"/>
        </w:rPr>
        <w:t>取样程序</w:t>
      </w:r>
      <w:bookmarkEnd w:id="13"/>
    </w:p>
    <w:p w14:paraId="6EC10128">
      <w:pPr>
        <w:pStyle w:val="3"/>
        <w:kinsoku w:val="0"/>
        <w:overflowPunct w:val="0"/>
        <w:snapToGrid w:val="0"/>
        <w:spacing w:before="120" w:beforeLines="50" w:line="336" w:lineRule="auto"/>
        <w:ind w:left="0"/>
        <w:jc w:val="both"/>
        <w:rPr>
          <w:sz w:val="21"/>
          <w:szCs w:val="21"/>
        </w:rPr>
      </w:pPr>
      <w:r>
        <w:rPr>
          <w:rFonts w:hint="eastAsia" w:hAnsi="宋体"/>
          <w:sz w:val="21"/>
          <w:szCs w:val="21"/>
        </w:rPr>
        <w:t>为了保证三批中每批的整体质量都令人满意，一个完整的数据集应当包括至少</w:t>
      </w:r>
      <w:r>
        <w:rPr>
          <w:sz w:val="21"/>
          <w:szCs w:val="21"/>
        </w:rPr>
        <w:t>21</w:t>
      </w:r>
      <w:r>
        <w:rPr>
          <w:rFonts w:hint="eastAsia" w:hAnsi="宋体"/>
          <w:sz w:val="21"/>
          <w:szCs w:val="21"/>
        </w:rPr>
        <w:t>个鞘</w:t>
      </w:r>
      <w:r>
        <w:rPr>
          <w:rFonts w:hAnsi="宋体"/>
          <w:sz w:val="21"/>
          <w:szCs w:val="21"/>
        </w:rPr>
        <w:t>(3</w:t>
      </w:r>
      <w:r>
        <w:rPr>
          <w:rFonts w:hint="eastAsia" w:hAnsi="宋体"/>
          <w:sz w:val="21"/>
          <w:szCs w:val="21"/>
        </w:rPr>
        <w:t>个批次各</w:t>
      </w:r>
      <w:r>
        <w:rPr>
          <w:rFonts w:hAnsi="宋体"/>
          <w:sz w:val="21"/>
          <w:szCs w:val="21"/>
        </w:rPr>
        <w:t>7</w:t>
      </w:r>
      <w:r>
        <w:rPr>
          <w:rFonts w:hint="eastAsia" w:hAnsi="宋体"/>
          <w:sz w:val="21"/>
          <w:szCs w:val="21"/>
        </w:rPr>
        <w:t>个</w:t>
      </w:r>
      <w:r>
        <w:rPr>
          <w:rFonts w:hAnsi="宋体"/>
          <w:sz w:val="21"/>
          <w:szCs w:val="21"/>
        </w:rPr>
        <w:t>)</w:t>
      </w:r>
      <w:r>
        <w:rPr>
          <w:rFonts w:hint="eastAsia" w:hAnsi="宋体"/>
          <w:sz w:val="21"/>
          <w:szCs w:val="21"/>
        </w:rPr>
        <w:t>的测试结果。</w:t>
      </w:r>
    </w:p>
    <w:p w14:paraId="2044D223">
      <w:pPr>
        <w:pStyle w:val="3"/>
        <w:kinsoku w:val="0"/>
        <w:overflowPunct w:val="0"/>
        <w:snapToGrid w:val="0"/>
        <w:spacing w:before="120" w:beforeLines="50" w:line="336" w:lineRule="auto"/>
        <w:ind w:left="0"/>
        <w:jc w:val="both"/>
        <w:outlineLvl w:val="1"/>
        <w:rPr>
          <w:sz w:val="21"/>
          <w:szCs w:val="21"/>
        </w:rPr>
      </w:pPr>
      <w:bookmarkStart w:id="14" w:name="_Toc497929717"/>
      <w:r>
        <w:rPr>
          <w:rFonts w:hint="eastAsia" w:hAnsi="宋体"/>
          <w:sz w:val="21"/>
          <w:szCs w:val="21"/>
        </w:rPr>
        <w:t>检测范围</w:t>
      </w:r>
      <w:bookmarkEnd w:id="14"/>
    </w:p>
    <w:p w14:paraId="0B3E4855">
      <w:pPr>
        <w:pStyle w:val="3"/>
        <w:kinsoku w:val="0"/>
        <w:overflowPunct w:val="0"/>
        <w:snapToGrid w:val="0"/>
        <w:spacing w:before="120" w:beforeLines="50" w:line="336" w:lineRule="auto"/>
        <w:ind w:left="0"/>
        <w:jc w:val="both"/>
        <w:rPr>
          <w:sz w:val="21"/>
          <w:szCs w:val="21"/>
        </w:rPr>
      </w:pPr>
      <w:r>
        <w:rPr>
          <w:rFonts w:hint="eastAsia" w:hAnsi="宋体"/>
          <w:sz w:val="21"/>
          <w:szCs w:val="21"/>
        </w:rPr>
        <w:t>检测范围表明穿透阻隔的挑战病毒悬浮液的量可能是最有用的测试灵敏性的方法。例如，在现实生活的风险评估中，当一种致病性病毒</w:t>
      </w:r>
      <w:r>
        <w:rPr>
          <w:sz w:val="21"/>
          <w:szCs w:val="21"/>
        </w:rPr>
        <w:t>(</w:t>
      </w:r>
      <w:r>
        <w:rPr>
          <w:rFonts w:hint="eastAsia" w:hAnsi="宋体"/>
          <w:sz w:val="21"/>
          <w:szCs w:val="21"/>
        </w:rPr>
        <w:t>在现实生活中</w:t>
      </w:r>
      <w:r>
        <w:rPr>
          <w:sz w:val="21"/>
          <w:szCs w:val="21"/>
        </w:rPr>
        <w:t>)</w:t>
      </w:r>
      <w:r>
        <w:rPr>
          <w:rFonts w:hint="eastAsia" w:hAnsi="宋体"/>
          <w:sz w:val="21"/>
          <w:szCs w:val="21"/>
        </w:rPr>
        <w:t>的滴度已知时，含有传播病毒的液体的量可以转化为感染单位。</w:t>
      </w:r>
    </w:p>
    <w:p w14:paraId="6F69A085">
      <w:pPr>
        <w:pStyle w:val="3"/>
        <w:kinsoku w:val="0"/>
        <w:overflowPunct w:val="0"/>
        <w:snapToGrid w:val="0"/>
        <w:spacing w:before="120" w:beforeLines="50" w:line="336" w:lineRule="auto"/>
        <w:ind w:left="0"/>
        <w:jc w:val="both"/>
        <w:rPr>
          <w:sz w:val="21"/>
          <w:szCs w:val="21"/>
        </w:rPr>
      </w:pPr>
      <w:r>
        <w:rPr>
          <w:rFonts w:hint="eastAsia" w:hAnsi="宋体"/>
          <w:sz w:val="21"/>
          <w:szCs w:val="21"/>
        </w:rPr>
        <w:t>测试程序应当能够检测到</w:t>
      </w:r>
      <w:r>
        <w:rPr>
          <w:sz w:val="21"/>
          <w:szCs w:val="21"/>
        </w:rPr>
        <w:t>1x10</w:t>
      </w:r>
      <w:r>
        <w:rPr>
          <w:sz w:val="21"/>
          <w:szCs w:val="21"/>
          <w:vertAlign w:val="superscript"/>
        </w:rPr>
        <w:t>-6</w:t>
      </w:r>
      <w:r>
        <w:rPr>
          <w:sz w:val="21"/>
          <w:szCs w:val="21"/>
        </w:rPr>
        <w:t xml:space="preserve"> mL</w:t>
      </w:r>
      <w:r>
        <w:rPr>
          <w:rFonts w:hint="eastAsia" w:hAnsi="宋体"/>
          <w:sz w:val="21"/>
          <w:szCs w:val="21"/>
        </w:rPr>
        <w:t>的挑战病毒悬浮液穿透量。这可以在内部挑战方法中进行，</w:t>
      </w:r>
      <w:r>
        <w:rPr>
          <w:sz w:val="21"/>
          <w:szCs w:val="21"/>
        </w:rPr>
        <w:t xml:space="preserve"> </w:t>
      </w:r>
      <w:r>
        <w:rPr>
          <w:rFonts w:hint="eastAsia" w:hAnsi="宋体"/>
          <w:sz w:val="21"/>
          <w:szCs w:val="21"/>
        </w:rPr>
        <w:t>使用</w:t>
      </w:r>
      <w:r>
        <w:rPr>
          <w:sz w:val="21"/>
          <w:szCs w:val="21"/>
        </w:rPr>
        <w:t>10</w:t>
      </w:r>
      <w:r>
        <w:rPr>
          <w:sz w:val="21"/>
          <w:szCs w:val="21"/>
          <w:vertAlign w:val="superscript"/>
        </w:rPr>
        <w:t>8</w:t>
      </w:r>
      <w:r>
        <w:rPr>
          <w:sz w:val="21"/>
          <w:szCs w:val="21"/>
        </w:rPr>
        <w:t xml:space="preserve"> pfu/mL</w:t>
      </w:r>
      <w:r>
        <w:rPr>
          <w:rFonts w:hint="eastAsia" w:hAnsi="宋体"/>
          <w:sz w:val="21"/>
          <w:szCs w:val="21"/>
        </w:rPr>
        <w:t>的挑战滴度、</w:t>
      </w:r>
      <w:r>
        <w:rPr>
          <w:sz w:val="21"/>
          <w:szCs w:val="21"/>
        </w:rPr>
        <w:t>100 mL</w:t>
      </w:r>
      <w:r>
        <w:rPr>
          <w:rFonts w:hint="eastAsia" w:hAnsi="宋体"/>
          <w:sz w:val="21"/>
          <w:szCs w:val="21"/>
        </w:rPr>
        <w:t>的浸泡缓冲液，并检测三份</w:t>
      </w:r>
      <w:r>
        <w:rPr>
          <w:sz w:val="21"/>
          <w:szCs w:val="21"/>
        </w:rPr>
        <w:t>1 mL</w:t>
      </w:r>
      <w:r>
        <w:rPr>
          <w:rFonts w:hint="eastAsia" w:hAnsi="宋体"/>
          <w:sz w:val="21"/>
          <w:szCs w:val="21"/>
        </w:rPr>
        <w:t>的浸泡缓冲液</w:t>
      </w:r>
      <w:r>
        <w:rPr>
          <w:sz w:val="21"/>
          <w:szCs w:val="21"/>
        </w:rPr>
        <w:t>(</w:t>
      </w:r>
      <w:r>
        <w:rPr>
          <w:rFonts w:hint="eastAsia" w:hAnsi="宋体"/>
          <w:sz w:val="21"/>
          <w:szCs w:val="21"/>
        </w:rPr>
        <w:t>假定挑战缓冲液和穿透病毒恢复中的病毒滴度都没有损失</w:t>
      </w:r>
      <w:r>
        <w:rPr>
          <w:sz w:val="21"/>
          <w:szCs w:val="21"/>
        </w:rPr>
        <w:t>)</w:t>
      </w:r>
      <w:r>
        <w:rPr>
          <w:rFonts w:hint="eastAsia" w:hAnsi="宋体"/>
          <w:sz w:val="21"/>
          <w:szCs w:val="21"/>
        </w:rPr>
        <w:t>：</w:t>
      </w:r>
      <w:r>
        <w:rPr>
          <w:sz w:val="21"/>
          <w:szCs w:val="21"/>
        </w:rPr>
        <w:t xml:space="preserve"> 1 pfu/mL</w:t>
      </w:r>
      <w:r>
        <w:rPr>
          <w:rFonts w:hint="eastAsia" w:hAnsi="宋体"/>
          <w:sz w:val="21"/>
          <w:szCs w:val="21"/>
        </w:rPr>
        <w:t>的检测范围等于穿透</w:t>
      </w:r>
      <w:r>
        <w:rPr>
          <w:sz w:val="21"/>
          <w:szCs w:val="21"/>
        </w:rPr>
        <w:t>100 pfu(1 pfu/mL x 100 mL)</w:t>
      </w:r>
      <w:r>
        <w:rPr>
          <w:rFonts w:hint="eastAsia" w:hAnsi="宋体"/>
          <w:sz w:val="21"/>
          <w:szCs w:val="21"/>
        </w:rPr>
        <w:t>或</w:t>
      </w:r>
      <w:r>
        <w:rPr>
          <w:sz w:val="21"/>
          <w:szCs w:val="21"/>
        </w:rPr>
        <w:t>1x10</w:t>
      </w:r>
      <w:r>
        <w:rPr>
          <w:sz w:val="21"/>
          <w:szCs w:val="21"/>
          <w:vertAlign w:val="superscript"/>
        </w:rPr>
        <w:t>-6</w:t>
      </w:r>
      <w:r>
        <w:rPr>
          <w:sz w:val="21"/>
          <w:szCs w:val="21"/>
        </w:rPr>
        <w:t xml:space="preserve"> mL(100 pfu</w:t>
      </w:r>
      <w:r>
        <w:rPr>
          <w:rFonts w:hint="eastAsia" w:hAnsi="宋体"/>
          <w:sz w:val="21"/>
          <w:szCs w:val="21"/>
        </w:rPr>
        <w:t>除以</w:t>
      </w:r>
      <w:r>
        <w:rPr>
          <w:sz w:val="21"/>
          <w:szCs w:val="21"/>
        </w:rPr>
        <w:t>10</w:t>
      </w:r>
      <w:r>
        <w:rPr>
          <w:sz w:val="21"/>
          <w:szCs w:val="21"/>
          <w:vertAlign w:val="superscript"/>
        </w:rPr>
        <w:t>8</w:t>
      </w:r>
      <w:r>
        <w:rPr>
          <w:sz w:val="21"/>
          <w:szCs w:val="21"/>
        </w:rPr>
        <w:t xml:space="preserve"> pfu/mL)</w:t>
      </w:r>
      <w:r>
        <w:rPr>
          <w:rFonts w:hint="eastAsia" w:hAnsi="宋体"/>
          <w:sz w:val="21"/>
          <w:szCs w:val="21"/>
        </w:rPr>
        <w:t>。</w:t>
      </w:r>
    </w:p>
    <w:p w14:paraId="423FFEA2">
      <w:pPr>
        <w:pStyle w:val="3"/>
        <w:kinsoku w:val="0"/>
        <w:overflowPunct w:val="0"/>
        <w:snapToGrid w:val="0"/>
        <w:spacing w:before="120" w:beforeLines="50" w:line="336" w:lineRule="auto"/>
        <w:ind w:left="0"/>
        <w:jc w:val="both"/>
        <w:outlineLvl w:val="1"/>
        <w:rPr>
          <w:sz w:val="21"/>
          <w:szCs w:val="21"/>
        </w:rPr>
      </w:pPr>
      <w:bookmarkStart w:id="15" w:name="_Toc497929718"/>
      <w:r>
        <w:rPr>
          <w:rFonts w:hint="eastAsia" w:hAnsi="宋体"/>
          <w:sz w:val="21"/>
          <w:szCs w:val="21"/>
        </w:rPr>
        <w:t>结果说明</w:t>
      </w:r>
      <w:bookmarkEnd w:id="15"/>
    </w:p>
    <w:p w14:paraId="2C18717B">
      <w:pPr>
        <w:pStyle w:val="3"/>
        <w:kinsoku w:val="0"/>
        <w:overflowPunct w:val="0"/>
        <w:snapToGrid w:val="0"/>
        <w:spacing w:before="120" w:beforeLines="50" w:line="336" w:lineRule="auto"/>
        <w:ind w:left="0"/>
        <w:jc w:val="both"/>
        <w:rPr>
          <w:sz w:val="21"/>
          <w:szCs w:val="21"/>
        </w:rPr>
      </w:pPr>
      <w:r>
        <w:rPr>
          <w:rFonts w:hint="eastAsia" w:hAnsi="宋体"/>
          <w:sz w:val="21"/>
          <w:szCs w:val="21"/>
        </w:rPr>
        <w:t>应提交包括以下内容的所有测试鞘的结果表：挑战病毒的滴度、穿透鞘的病毒的滴度或量、病毒损失的任何校正因数</w:t>
      </w:r>
      <w:r>
        <w:rPr>
          <w:sz w:val="21"/>
          <w:szCs w:val="21"/>
        </w:rPr>
        <w:t>(</w:t>
      </w:r>
      <w:r>
        <w:rPr>
          <w:rFonts w:hint="eastAsia" w:hAnsi="宋体"/>
          <w:sz w:val="21"/>
          <w:szCs w:val="21"/>
        </w:rPr>
        <w:t>在控制中确定</w:t>
      </w:r>
      <w:r>
        <w:rPr>
          <w:sz w:val="21"/>
          <w:szCs w:val="21"/>
        </w:rPr>
        <w:t>)</w:t>
      </w:r>
      <w:r>
        <w:rPr>
          <w:rFonts w:hint="eastAsia" w:hAnsi="宋体"/>
          <w:sz w:val="21"/>
          <w:szCs w:val="21"/>
        </w:rPr>
        <w:t>、和计算出的穿透鞘的挑战病毒量</w:t>
      </w:r>
      <w:r>
        <w:rPr>
          <w:sz w:val="21"/>
          <w:szCs w:val="21"/>
        </w:rPr>
        <w:t>(</w:t>
      </w:r>
      <w:r>
        <w:rPr>
          <w:rFonts w:hint="eastAsia" w:hAnsi="宋体"/>
          <w:sz w:val="21"/>
          <w:szCs w:val="21"/>
        </w:rPr>
        <w:t>允许病毒传播的鞘</w:t>
      </w:r>
      <w:r>
        <w:rPr>
          <w:sz w:val="21"/>
          <w:szCs w:val="21"/>
        </w:rPr>
        <w:t>)</w:t>
      </w:r>
      <w:r>
        <w:rPr>
          <w:rFonts w:hint="eastAsia" w:hAnsi="宋体"/>
          <w:sz w:val="21"/>
          <w:szCs w:val="21"/>
        </w:rPr>
        <w:t>。计算穿透到浸泡缓冲液中的病毒所需的挑战病毒悬浮液的量可以通过上节中说明的方法为每个鞘计算出来。如果鞘内或浸泡容器内的病毒滴度发生一些损失，则计算结果应当包括这些损失的适当修正。对于显然不允许病毒传播的鞘，则应当给出该特定测试的检测范围，如</w:t>
      </w:r>
      <w:r>
        <w:rPr>
          <w:sz w:val="21"/>
          <w:szCs w:val="21"/>
        </w:rPr>
        <w:t>&lt;1x10</w:t>
      </w:r>
      <w:r>
        <w:rPr>
          <w:sz w:val="21"/>
          <w:szCs w:val="21"/>
          <w:vertAlign w:val="superscript"/>
        </w:rPr>
        <w:t>-6</w:t>
      </w:r>
      <w:r>
        <w:rPr>
          <w:sz w:val="21"/>
          <w:szCs w:val="21"/>
        </w:rPr>
        <w:t xml:space="preserve"> mL</w:t>
      </w:r>
      <w:r>
        <w:rPr>
          <w:rFonts w:hint="eastAsia" w:hAnsi="宋体"/>
          <w:sz w:val="21"/>
          <w:szCs w:val="21"/>
        </w:rPr>
        <w:t>。</w:t>
      </w:r>
    </w:p>
    <w:p w14:paraId="40C6535A">
      <w:pPr>
        <w:pStyle w:val="3"/>
        <w:kinsoku w:val="0"/>
        <w:overflowPunct w:val="0"/>
        <w:snapToGrid w:val="0"/>
        <w:spacing w:before="120" w:beforeLines="50" w:line="336" w:lineRule="auto"/>
        <w:ind w:left="0"/>
        <w:jc w:val="both"/>
        <w:outlineLvl w:val="1"/>
        <w:rPr>
          <w:sz w:val="21"/>
          <w:szCs w:val="21"/>
        </w:rPr>
      </w:pPr>
      <w:bookmarkStart w:id="16" w:name="_Toc497929719"/>
      <w:r>
        <w:rPr>
          <w:rFonts w:hint="eastAsia" w:hAnsi="宋体"/>
          <w:sz w:val="21"/>
          <w:szCs w:val="21"/>
        </w:rPr>
        <w:t>报表</w:t>
      </w:r>
      <w:bookmarkEnd w:id="16"/>
    </w:p>
    <w:p w14:paraId="13786B1B">
      <w:pPr>
        <w:pStyle w:val="3"/>
        <w:kinsoku w:val="0"/>
        <w:overflowPunct w:val="0"/>
        <w:snapToGrid w:val="0"/>
        <w:spacing w:before="120" w:beforeLines="50" w:line="336" w:lineRule="auto"/>
        <w:ind w:left="0"/>
        <w:jc w:val="both"/>
        <w:rPr>
          <w:sz w:val="21"/>
          <w:szCs w:val="21"/>
        </w:rPr>
      </w:pPr>
      <w:r>
        <w:rPr>
          <w:rFonts w:hint="eastAsia" w:hAnsi="宋体"/>
          <w:sz w:val="21"/>
          <w:szCs w:val="21"/>
        </w:rPr>
        <w:t>请按以下方式报告内部挑战方法或</w:t>
      </w:r>
      <w:r>
        <w:rPr>
          <w:sz w:val="21"/>
          <w:szCs w:val="21"/>
        </w:rPr>
        <w:t>ASTM</w:t>
      </w:r>
      <w:r>
        <w:rPr>
          <w:rFonts w:hint="eastAsia" w:hAnsi="宋体"/>
          <w:sz w:val="21"/>
          <w:szCs w:val="21"/>
        </w:rPr>
        <w:t>方法的测试结果：</w:t>
      </w:r>
    </w:p>
    <w:p w14:paraId="0DB1A242">
      <w:pPr>
        <w:pStyle w:val="3"/>
        <w:kinsoku w:val="0"/>
        <w:overflowPunct w:val="0"/>
        <w:snapToGrid w:val="0"/>
        <w:spacing w:before="120" w:beforeLines="50" w:line="336" w:lineRule="auto"/>
        <w:ind w:left="0"/>
        <w:jc w:val="both"/>
        <w:rPr>
          <w:sz w:val="21"/>
          <w:szCs w:val="21"/>
        </w:rPr>
      </w:pPr>
      <w:r>
        <w:rPr>
          <w:rFonts w:hint="eastAsia" w:hAnsi="宋体"/>
          <w:sz w:val="21"/>
          <w:szCs w:val="21"/>
        </w:rPr>
        <w:t>鞘样品的病毒穿透测试结果应当以表格的形式提交，其中每个鞘的数据都应分别报告。给出的示例是内部挑战方法。每个测试样品的必要项有：</w:t>
      </w:r>
    </w:p>
    <w:p w14:paraId="72AA8156">
      <w:pPr>
        <w:pStyle w:val="3"/>
        <w:numPr>
          <w:ilvl w:val="1"/>
          <w:numId w:val="6"/>
        </w:numPr>
        <w:kinsoku w:val="0"/>
        <w:overflowPunct w:val="0"/>
        <w:snapToGrid w:val="0"/>
        <w:spacing w:before="120" w:beforeLines="50" w:line="336" w:lineRule="auto"/>
        <w:ind w:left="480" w:leftChars="200" w:firstLine="0"/>
        <w:jc w:val="both"/>
        <w:rPr>
          <w:sz w:val="21"/>
          <w:szCs w:val="21"/>
        </w:rPr>
      </w:pPr>
      <w:r>
        <w:rPr>
          <w:rFonts w:hint="eastAsia" w:hAnsi="宋体"/>
          <w:sz w:val="21"/>
          <w:szCs w:val="21"/>
        </w:rPr>
        <w:t>进行测试的日期，</w:t>
      </w:r>
    </w:p>
    <w:p w14:paraId="1230A566">
      <w:pPr>
        <w:pStyle w:val="3"/>
        <w:numPr>
          <w:ilvl w:val="1"/>
          <w:numId w:val="6"/>
        </w:numPr>
        <w:kinsoku w:val="0"/>
        <w:overflowPunct w:val="0"/>
        <w:snapToGrid w:val="0"/>
        <w:spacing w:line="336" w:lineRule="auto"/>
        <w:ind w:left="480" w:leftChars="200" w:firstLine="0"/>
        <w:jc w:val="both"/>
        <w:rPr>
          <w:sz w:val="21"/>
          <w:szCs w:val="21"/>
        </w:rPr>
      </w:pPr>
      <w:r>
        <w:rPr>
          <w:rFonts w:hint="eastAsia" w:hAnsi="宋体"/>
          <w:sz w:val="21"/>
          <w:szCs w:val="21"/>
        </w:rPr>
        <w:t>测试结束时挑战病毒的滴度，</w:t>
      </w:r>
    </w:p>
    <w:p w14:paraId="6F45F5EB">
      <w:pPr>
        <w:pStyle w:val="3"/>
        <w:numPr>
          <w:ilvl w:val="1"/>
          <w:numId w:val="6"/>
        </w:numPr>
        <w:kinsoku w:val="0"/>
        <w:overflowPunct w:val="0"/>
        <w:snapToGrid w:val="0"/>
        <w:spacing w:line="336" w:lineRule="auto"/>
        <w:ind w:left="480" w:leftChars="200" w:firstLine="0"/>
        <w:jc w:val="both"/>
        <w:rPr>
          <w:sz w:val="21"/>
          <w:szCs w:val="21"/>
        </w:rPr>
      </w:pPr>
      <w:r>
        <w:rPr>
          <w:rFonts w:hint="eastAsia" w:hAnsi="宋体"/>
          <w:sz w:val="21"/>
          <w:szCs w:val="21"/>
        </w:rPr>
        <w:t>基于挑战病毒滴度计算出的检测范围、浸泡缓冲液的量以及检测量，</w:t>
      </w:r>
    </w:p>
    <w:p w14:paraId="69F83D97">
      <w:pPr>
        <w:pStyle w:val="3"/>
        <w:kinsoku w:val="0"/>
        <w:overflowPunct w:val="0"/>
        <w:snapToGrid w:val="0"/>
        <w:spacing w:line="360" w:lineRule="auto"/>
        <w:ind w:left="480" w:leftChars="200"/>
        <w:jc w:val="both"/>
        <w:rPr>
          <w:sz w:val="21"/>
          <w:szCs w:val="21"/>
        </w:rPr>
      </w:pPr>
      <w:r>
        <w:rPr>
          <w:sz w:val="21"/>
          <w:szCs w:val="21"/>
        </w:rPr>
        <w:br w:type="page"/>
      </w:r>
      <w:r>
        <w:rPr>
          <w:sz w:val="21"/>
          <w:szCs w:val="21"/>
        </w:rPr>
        <w:t>iv)</w:t>
      </w:r>
      <w:r>
        <w:rPr>
          <w:sz w:val="21"/>
          <w:szCs w:val="21"/>
        </w:rPr>
        <w:tab/>
      </w:r>
      <w:r>
        <w:rPr>
          <w:rFonts w:hint="eastAsia" w:hAnsi="宋体"/>
          <w:sz w:val="21"/>
          <w:szCs w:val="21"/>
        </w:rPr>
        <w:t>在浸泡缓冲液中检测到的</w:t>
      </w:r>
      <w:r>
        <w:rPr>
          <w:sz w:val="21"/>
          <w:szCs w:val="21"/>
        </w:rPr>
        <w:t>pfu</w:t>
      </w:r>
      <w:r>
        <w:rPr>
          <w:rFonts w:hint="eastAsia" w:hAnsi="宋体"/>
          <w:sz w:val="21"/>
          <w:szCs w:val="21"/>
        </w:rPr>
        <w:t>，</w:t>
      </w:r>
    </w:p>
    <w:p w14:paraId="735FC88E">
      <w:pPr>
        <w:pStyle w:val="3"/>
        <w:kinsoku w:val="0"/>
        <w:overflowPunct w:val="0"/>
        <w:snapToGrid w:val="0"/>
        <w:spacing w:line="360" w:lineRule="auto"/>
        <w:ind w:left="480" w:leftChars="200"/>
        <w:jc w:val="both"/>
        <w:rPr>
          <w:sz w:val="21"/>
          <w:szCs w:val="21"/>
        </w:rPr>
      </w:pPr>
      <w:r>
        <w:rPr>
          <w:sz w:val="21"/>
          <w:szCs w:val="21"/>
        </w:rPr>
        <w:t>vi)</w:t>
      </w:r>
      <w:r>
        <w:rPr>
          <w:sz w:val="21"/>
          <w:szCs w:val="21"/>
        </w:rPr>
        <w:tab/>
      </w:r>
      <w:r>
        <w:rPr>
          <w:rFonts w:hint="eastAsia" w:hAnsi="宋体"/>
          <w:sz w:val="21"/>
          <w:szCs w:val="21"/>
        </w:rPr>
        <w:t>计算出的浸泡缓冲液中的穿透病毒滴度，以及为计算冲洗缓冲液中检测到的病毒量所需的挑战病毒悬浮液的量。</w:t>
      </w:r>
    </w:p>
    <w:p w14:paraId="3C9DF5B5">
      <w:pPr>
        <w:pStyle w:val="3"/>
        <w:kinsoku w:val="0"/>
        <w:overflowPunct w:val="0"/>
        <w:snapToGrid w:val="0"/>
        <w:spacing w:before="240" w:beforeLines="100" w:after="120" w:afterLines="50" w:line="360" w:lineRule="auto"/>
        <w:ind w:left="0"/>
        <w:jc w:val="both"/>
        <w:rPr>
          <w:sz w:val="21"/>
          <w:szCs w:val="21"/>
        </w:rPr>
      </w:pPr>
      <w:r>
        <w:rPr>
          <w:rFonts w:hint="eastAsia" w:hAnsi="宋体"/>
          <w:sz w:val="21"/>
          <w:szCs w:val="21"/>
        </w:rPr>
        <w:t>随表提供的信息应当包括：</w:t>
      </w:r>
    </w:p>
    <w:p w14:paraId="12E7FFFE">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挑战病毒，</w:t>
      </w:r>
    </w:p>
    <w:p w14:paraId="69546194">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挑战液体和浸泡液体</w:t>
      </w:r>
      <w:r>
        <w:rPr>
          <w:sz w:val="21"/>
          <w:szCs w:val="21"/>
        </w:rPr>
        <w:t>(</w:t>
      </w:r>
      <w:r>
        <w:rPr>
          <w:rFonts w:hint="eastAsia" w:hAnsi="宋体"/>
          <w:sz w:val="21"/>
          <w:szCs w:val="21"/>
        </w:rPr>
        <w:t>如缓冲液和表面活性剂</w:t>
      </w:r>
      <w:r>
        <w:rPr>
          <w:sz w:val="21"/>
          <w:szCs w:val="21"/>
        </w:rPr>
        <w:t>),</w:t>
      </w:r>
    </w:p>
    <w:p w14:paraId="65304E58">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挑战病毒悬浮液的滴度是如何确定的</w:t>
      </w:r>
      <w:r>
        <w:rPr>
          <w:sz w:val="21"/>
          <w:szCs w:val="21"/>
        </w:rPr>
        <w:t>(</w:t>
      </w:r>
      <w:r>
        <w:rPr>
          <w:rFonts w:hint="eastAsia" w:hAnsi="宋体"/>
          <w:sz w:val="21"/>
          <w:szCs w:val="21"/>
        </w:rPr>
        <w:t>稀释物、检测量和重复检测次数</w:t>
      </w:r>
      <w:r>
        <w:rPr>
          <w:sz w:val="21"/>
          <w:szCs w:val="21"/>
        </w:rPr>
        <w:t>),</w:t>
      </w:r>
    </w:p>
    <w:p w14:paraId="093A6F2C">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鞘的浸泡深度</w:t>
      </w:r>
      <w:r>
        <w:rPr>
          <w:sz w:val="21"/>
          <w:szCs w:val="21"/>
        </w:rPr>
        <w:t>(</w:t>
      </w:r>
      <w:r>
        <w:rPr>
          <w:rFonts w:hint="eastAsia" w:hAnsi="宋体"/>
          <w:sz w:val="21"/>
          <w:szCs w:val="21"/>
        </w:rPr>
        <w:t>如果从一个测试样品变化到另一个测试样品，它应包含在每个鞘的表中</w:t>
      </w:r>
      <w:r>
        <w:rPr>
          <w:sz w:val="21"/>
          <w:szCs w:val="21"/>
        </w:rPr>
        <w:t>)</w:t>
      </w:r>
      <w:r>
        <w:rPr>
          <w:rFonts w:hint="eastAsia"/>
          <w:sz w:val="21"/>
          <w:szCs w:val="21"/>
        </w:rPr>
        <w:t>，</w:t>
      </w:r>
    </w:p>
    <w:p w14:paraId="21C79F5D">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浸泡缓冲液的量</w:t>
      </w:r>
      <w:r>
        <w:rPr>
          <w:sz w:val="21"/>
          <w:szCs w:val="21"/>
        </w:rPr>
        <w:t xml:space="preserve"> (</w:t>
      </w:r>
      <w:r>
        <w:rPr>
          <w:rFonts w:hint="eastAsia" w:hAnsi="宋体"/>
          <w:sz w:val="21"/>
          <w:szCs w:val="21"/>
        </w:rPr>
        <w:t>如果从一个测试样品变化到另一个测试样品，它应包含在每个鞘的表中</w:t>
      </w:r>
      <w:r>
        <w:rPr>
          <w:sz w:val="21"/>
          <w:szCs w:val="21"/>
        </w:rPr>
        <w:t>),</w:t>
      </w:r>
    </w:p>
    <w:p w14:paraId="023964FE">
      <w:pPr>
        <w:pStyle w:val="3"/>
        <w:numPr>
          <w:ilvl w:val="0"/>
          <w:numId w:val="7"/>
        </w:numPr>
        <w:kinsoku w:val="0"/>
        <w:overflowPunct w:val="0"/>
        <w:snapToGrid w:val="0"/>
        <w:spacing w:line="360" w:lineRule="auto"/>
        <w:ind w:left="480" w:leftChars="200" w:firstLine="0"/>
        <w:jc w:val="both"/>
        <w:rPr>
          <w:sz w:val="21"/>
          <w:szCs w:val="21"/>
        </w:rPr>
      </w:pPr>
      <w:r>
        <w:rPr>
          <w:rFonts w:hint="eastAsia" w:hAnsi="宋体"/>
          <w:sz w:val="21"/>
          <w:szCs w:val="21"/>
        </w:rPr>
        <w:t>在任何特定测试过程中设备或程序发生故障的任何证据。</w:t>
      </w:r>
    </w:p>
    <w:p w14:paraId="6EE40C35">
      <w:pPr>
        <w:kinsoku w:val="0"/>
        <w:overflowPunct w:val="0"/>
        <w:snapToGrid w:val="0"/>
        <w:spacing w:line="360" w:lineRule="auto"/>
        <w:jc w:val="both"/>
        <w:rPr>
          <w:sz w:val="21"/>
          <w:szCs w:val="21"/>
        </w:rPr>
      </w:pPr>
    </w:p>
    <w:p w14:paraId="3DB54657">
      <w:pPr>
        <w:pStyle w:val="3"/>
        <w:kinsoku w:val="0"/>
        <w:overflowPunct w:val="0"/>
        <w:snapToGrid w:val="0"/>
        <w:spacing w:line="360" w:lineRule="auto"/>
        <w:ind w:left="0"/>
        <w:jc w:val="both"/>
        <w:rPr>
          <w:sz w:val="21"/>
          <w:szCs w:val="21"/>
        </w:rPr>
      </w:pPr>
      <w:r>
        <w:rPr>
          <w:rFonts w:hint="eastAsia" w:hAnsi="宋体"/>
          <w:sz w:val="21"/>
          <w:szCs w:val="21"/>
        </w:rPr>
        <w:t>示例</w:t>
      </w:r>
      <w:r>
        <w:rPr>
          <w:sz w:val="21"/>
          <w:szCs w:val="21"/>
        </w:rPr>
        <w:t xml:space="preserve"> </w:t>
      </w:r>
      <w:r>
        <w:rPr>
          <w:rFonts w:hint="eastAsia" w:hAnsi="宋体"/>
          <w:sz w:val="21"/>
          <w:szCs w:val="21"/>
        </w:rPr>
        <w:t>表</w:t>
      </w:r>
      <w:r>
        <w:rPr>
          <w:sz w:val="21"/>
          <w:szCs w:val="21"/>
        </w:rPr>
        <w:t xml:space="preserve"> I.</w:t>
      </w:r>
      <w:r>
        <w:rPr>
          <w:rFonts w:hint="eastAsia" w:hAnsi="宋体"/>
          <w:sz w:val="21"/>
          <w:szCs w:val="21"/>
        </w:rPr>
        <w:t>病毒穿透</w:t>
      </w:r>
      <w:r>
        <w:rPr>
          <w:sz w:val="21"/>
          <w:szCs w:val="21"/>
        </w:rPr>
        <w:t>Brand X</w:t>
      </w:r>
      <w:r>
        <w:rPr>
          <w:rFonts w:hint="eastAsia" w:hAnsi="宋体"/>
          <w:sz w:val="21"/>
          <w:szCs w:val="21"/>
        </w:rPr>
        <w:t>鞘样品的测试结果，批次</w:t>
      </w:r>
      <w:r>
        <w:rPr>
          <w:sz w:val="21"/>
          <w:szCs w:val="21"/>
        </w:rPr>
        <w:t>34068</w:t>
      </w:r>
      <w:r>
        <w:rPr>
          <w:rFonts w:hint="eastAsia" w:hAnsi="宋体"/>
          <w:sz w:val="21"/>
          <w:szCs w:val="21"/>
        </w:rPr>
        <w:t>。</w:t>
      </w:r>
    </w:p>
    <w:tbl>
      <w:tblPr>
        <w:tblStyle w:val="11"/>
        <w:tblW w:w="8524" w:type="dxa"/>
        <w:tblInd w:w="0" w:type="dxa"/>
        <w:tblLayout w:type="fixed"/>
        <w:tblCellMar>
          <w:top w:w="0" w:type="dxa"/>
          <w:left w:w="0" w:type="dxa"/>
          <w:bottom w:w="0" w:type="dxa"/>
          <w:right w:w="0" w:type="dxa"/>
        </w:tblCellMar>
      </w:tblPr>
      <w:tblGrid>
        <w:gridCol w:w="873"/>
        <w:gridCol w:w="1146"/>
        <w:gridCol w:w="1369"/>
        <w:gridCol w:w="1735"/>
        <w:gridCol w:w="1614"/>
        <w:gridCol w:w="1787"/>
      </w:tblGrid>
      <w:tr w14:paraId="760FCA18">
        <w:tblPrEx>
          <w:tblCellMar>
            <w:top w:w="0" w:type="dxa"/>
            <w:left w:w="0" w:type="dxa"/>
            <w:bottom w:w="0" w:type="dxa"/>
            <w:right w:w="0" w:type="dxa"/>
          </w:tblCellMar>
        </w:tblPrEx>
        <w:tc>
          <w:tcPr>
            <w:tcW w:w="8524" w:type="dxa"/>
            <w:gridSpan w:val="6"/>
            <w:tcBorders>
              <w:top w:val="nil"/>
              <w:left w:val="nil"/>
              <w:bottom w:val="nil"/>
            </w:tcBorders>
            <w:tcMar>
              <w:left w:w="108" w:type="dxa"/>
              <w:right w:w="108" w:type="dxa"/>
            </w:tcMar>
          </w:tcPr>
          <w:p w14:paraId="6E58568A">
            <w:pPr>
              <w:pStyle w:val="3"/>
              <w:kinsoku w:val="0"/>
              <w:overflowPunct w:val="0"/>
              <w:snapToGrid w:val="0"/>
              <w:ind w:left="0"/>
              <w:jc w:val="both"/>
              <w:rPr>
                <w:sz w:val="18"/>
                <w:szCs w:val="18"/>
              </w:rPr>
            </w:pPr>
            <w:r>
              <w:rPr>
                <w:sz w:val="18"/>
                <w:szCs w:val="18"/>
              </w:rPr>
              <w:t>-------------------------------------------------------------</w:t>
            </w:r>
          </w:p>
          <w:p w14:paraId="4DFCCB4B">
            <w:pPr>
              <w:pStyle w:val="24"/>
              <w:kinsoku w:val="0"/>
              <w:overflowPunct w:val="0"/>
              <w:snapToGrid w:val="0"/>
              <w:jc w:val="both"/>
              <w:rPr>
                <w:sz w:val="18"/>
                <w:szCs w:val="18"/>
              </w:rPr>
            </w:pPr>
          </w:p>
        </w:tc>
      </w:tr>
      <w:tr w14:paraId="192FE37F">
        <w:tblPrEx>
          <w:tblCellMar>
            <w:top w:w="0" w:type="dxa"/>
            <w:left w:w="0" w:type="dxa"/>
            <w:bottom w:w="0" w:type="dxa"/>
            <w:right w:w="0" w:type="dxa"/>
          </w:tblCellMar>
        </w:tblPrEx>
        <w:tc>
          <w:tcPr>
            <w:tcW w:w="873" w:type="dxa"/>
            <w:tcBorders>
              <w:top w:val="nil"/>
              <w:left w:val="nil"/>
              <w:bottom w:val="nil"/>
            </w:tcBorders>
            <w:tcMar>
              <w:left w:w="108" w:type="dxa"/>
              <w:right w:w="108" w:type="dxa"/>
            </w:tcMar>
          </w:tcPr>
          <w:p w14:paraId="56C8F05B">
            <w:pPr>
              <w:pStyle w:val="24"/>
              <w:kinsoku w:val="0"/>
              <w:overflowPunct w:val="0"/>
              <w:snapToGrid w:val="0"/>
              <w:jc w:val="both"/>
              <w:rPr>
                <w:sz w:val="18"/>
                <w:szCs w:val="18"/>
              </w:rPr>
            </w:pPr>
            <w:r>
              <w:rPr>
                <w:sz w:val="18"/>
                <w:szCs w:val="18"/>
              </w:rPr>
              <w:t>i</w:t>
            </w:r>
          </w:p>
        </w:tc>
        <w:tc>
          <w:tcPr>
            <w:tcW w:w="1146" w:type="dxa"/>
            <w:tcBorders>
              <w:top w:val="nil"/>
              <w:left w:val="nil"/>
              <w:bottom w:val="nil"/>
              <w:right w:val="nil"/>
            </w:tcBorders>
            <w:tcMar>
              <w:left w:w="108" w:type="dxa"/>
              <w:right w:w="108" w:type="dxa"/>
            </w:tcMar>
          </w:tcPr>
          <w:p w14:paraId="75B9B3CA">
            <w:pPr>
              <w:pStyle w:val="24"/>
              <w:kinsoku w:val="0"/>
              <w:overflowPunct w:val="0"/>
              <w:snapToGrid w:val="0"/>
              <w:jc w:val="both"/>
              <w:rPr>
                <w:sz w:val="18"/>
                <w:szCs w:val="18"/>
              </w:rPr>
            </w:pPr>
            <w:r>
              <w:rPr>
                <w:sz w:val="18"/>
                <w:szCs w:val="18"/>
              </w:rPr>
              <w:t>ii</w:t>
            </w:r>
          </w:p>
        </w:tc>
        <w:tc>
          <w:tcPr>
            <w:tcW w:w="1369" w:type="dxa"/>
            <w:tcBorders>
              <w:top w:val="nil"/>
              <w:left w:val="nil"/>
              <w:bottom w:val="nil"/>
              <w:right w:val="nil"/>
            </w:tcBorders>
            <w:tcMar>
              <w:left w:w="108" w:type="dxa"/>
              <w:right w:w="108" w:type="dxa"/>
            </w:tcMar>
          </w:tcPr>
          <w:p w14:paraId="70333953">
            <w:pPr>
              <w:pStyle w:val="24"/>
              <w:kinsoku w:val="0"/>
              <w:overflowPunct w:val="0"/>
              <w:snapToGrid w:val="0"/>
              <w:jc w:val="both"/>
              <w:rPr>
                <w:sz w:val="18"/>
                <w:szCs w:val="18"/>
              </w:rPr>
            </w:pPr>
            <w:r>
              <w:rPr>
                <w:sz w:val="18"/>
                <w:szCs w:val="18"/>
              </w:rPr>
              <w:t>iii</w:t>
            </w:r>
          </w:p>
        </w:tc>
        <w:tc>
          <w:tcPr>
            <w:tcW w:w="1735" w:type="dxa"/>
            <w:tcBorders>
              <w:top w:val="nil"/>
              <w:left w:val="nil"/>
              <w:bottom w:val="nil"/>
              <w:right w:val="nil"/>
            </w:tcBorders>
            <w:tcMar>
              <w:left w:w="108" w:type="dxa"/>
              <w:right w:w="108" w:type="dxa"/>
            </w:tcMar>
          </w:tcPr>
          <w:p w14:paraId="782B298C">
            <w:pPr>
              <w:pStyle w:val="24"/>
              <w:kinsoku w:val="0"/>
              <w:overflowPunct w:val="0"/>
              <w:snapToGrid w:val="0"/>
              <w:jc w:val="both"/>
              <w:rPr>
                <w:sz w:val="18"/>
                <w:szCs w:val="18"/>
              </w:rPr>
            </w:pPr>
            <w:r>
              <w:rPr>
                <w:sz w:val="18"/>
                <w:szCs w:val="18"/>
              </w:rPr>
              <w:t>iv</w:t>
            </w:r>
          </w:p>
        </w:tc>
        <w:tc>
          <w:tcPr>
            <w:tcW w:w="1614" w:type="dxa"/>
            <w:tcBorders>
              <w:top w:val="nil"/>
              <w:left w:val="nil"/>
              <w:bottom w:val="nil"/>
              <w:right w:val="nil"/>
            </w:tcBorders>
            <w:tcMar>
              <w:left w:w="108" w:type="dxa"/>
              <w:right w:w="108" w:type="dxa"/>
            </w:tcMar>
          </w:tcPr>
          <w:p w14:paraId="2AE5DE91">
            <w:pPr>
              <w:pStyle w:val="24"/>
              <w:kinsoku w:val="0"/>
              <w:overflowPunct w:val="0"/>
              <w:snapToGrid w:val="0"/>
              <w:jc w:val="both"/>
              <w:rPr>
                <w:sz w:val="18"/>
                <w:szCs w:val="18"/>
              </w:rPr>
            </w:pPr>
            <w:r>
              <w:rPr>
                <w:sz w:val="18"/>
                <w:szCs w:val="18"/>
              </w:rPr>
              <w:t>v</w:t>
            </w:r>
          </w:p>
        </w:tc>
        <w:tc>
          <w:tcPr>
            <w:tcW w:w="1787" w:type="dxa"/>
            <w:tcBorders>
              <w:top w:val="nil"/>
              <w:left w:val="nil"/>
              <w:bottom w:val="nil"/>
              <w:right w:val="nil"/>
            </w:tcBorders>
            <w:tcMar>
              <w:left w:w="108" w:type="dxa"/>
              <w:right w:w="108" w:type="dxa"/>
            </w:tcMar>
          </w:tcPr>
          <w:p w14:paraId="4F981A25">
            <w:pPr>
              <w:pStyle w:val="24"/>
              <w:kinsoku w:val="0"/>
              <w:overflowPunct w:val="0"/>
              <w:snapToGrid w:val="0"/>
              <w:jc w:val="both"/>
              <w:rPr>
                <w:sz w:val="18"/>
                <w:szCs w:val="18"/>
              </w:rPr>
            </w:pPr>
            <w:r>
              <w:rPr>
                <w:sz w:val="18"/>
                <w:szCs w:val="18"/>
              </w:rPr>
              <w:t>vi</w:t>
            </w:r>
          </w:p>
        </w:tc>
      </w:tr>
      <w:tr w14:paraId="1F234528">
        <w:tblPrEx>
          <w:tblCellMar>
            <w:top w:w="0" w:type="dxa"/>
            <w:left w:w="0" w:type="dxa"/>
            <w:bottom w:w="0" w:type="dxa"/>
            <w:right w:w="0" w:type="dxa"/>
          </w:tblCellMar>
        </w:tblPrEx>
        <w:tc>
          <w:tcPr>
            <w:tcW w:w="873" w:type="dxa"/>
            <w:tcBorders>
              <w:top w:val="nil"/>
              <w:left w:val="nil"/>
              <w:bottom w:val="nil"/>
            </w:tcBorders>
            <w:tcMar>
              <w:left w:w="108" w:type="dxa"/>
              <w:right w:w="108" w:type="dxa"/>
            </w:tcMar>
          </w:tcPr>
          <w:p w14:paraId="5D3741BF">
            <w:pPr>
              <w:pStyle w:val="24"/>
              <w:kinsoku w:val="0"/>
              <w:overflowPunct w:val="0"/>
              <w:snapToGrid w:val="0"/>
              <w:jc w:val="both"/>
              <w:rPr>
                <w:sz w:val="18"/>
                <w:szCs w:val="18"/>
              </w:rPr>
            </w:pPr>
            <w:r>
              <w:rPr>
                <w:rFonts w:hint="eastAsia" w:hAnsi="宋体"/>
                <w:sz w:val="18"/>
                <w:szCs w:val="18"/>
              </w:rPr>
              <w:t>日期</w:t>
            </w:r>
          </w:p>
        </w:tc>
        <w:tc>
          <w:tcPr>
            <w:tcW w:w="1146" w:type="dxa"/>
            <w:vMerge w:val="restart"/>
            <w:tcBorders>
              <w:top w:val="nil"/>
              <w:left w:val="nil"/>
              <w:right w:val="nil"/>
            </w:tcBorders>
            <w:tcMar>
              <w:left w:w="108" w:type="dxa"/>
              <w:right w:w="108" w:type="dxa"/>
            </w:tcMar>
          </w:tcPr>
          <w:p w14:paraId="2BE22896">
            <w:pPr>
              <w:pStyle w:val="24"/>
              <w:kinsoku w:val="0"/>
              <w:overflowPunct w:val="0"/>
              <w:snapToGrid w:val="0"/>
              <w:jc w:val="both"/>
              <w:rPr>
                <w:sz w:val="18"/>
                <w:szCs w:val="18"/>
              </w:rPr>
            </w:pPr>
            <w:r>
              <w:rPr>
                <w:rFonts w:hint="eastAsia" w:hAnsi="宋体"/>
                <w:sz w:val="18"/>
                <w:szCs w:val="18"/>
              </w:rPr>
              <w:t>挑战病毒滴度</w:t>
            </w:r>
          </w:p>
          <w:p w14:paraId="1E3BC10F">
            <w:pPr>
              <w:pStyle w:val="24"/>
              <w:kinsoku w:val="0"/>
              <w:overflowPunct w:val="0"/>
              <w:snapToGrid w:val="0"/>
              <w:jc w:val="both"/>
              <w:rPr>
                <w:sz w:val="18"/>
                <w:szCs w:val="18"/>
              </w:rPr>
            </w:pPr>
          </w:p>
        </w:tc>
        <w:tc>
          <w:tcPr>
            <w:tcW w:w="1369" w:type="dxa"/>
            <w:vMerge w:val="restart"/>
            <w:tcBorders>
              <w:top w:val="nil"/>
              <w:left w:val="nil"/>
              <w:right w:val="nil"/>
            </w:tcBorders>
            <w:tcMar>
              <w:left w:w="108" w:type="dxa"/>
              <w:right w:w="108" w:type="dxa"/>
            </w:tcMar>
          </w:tcPr>
          <w:p w14:paraId="756A299F">
            <w:pPr>
              <w:pStyle w:val="24"/>
              <w:kinsoku w:val="0"/>
              <w:overflowPunct w:val="0"/>
              <w:snapToGrid w:val="0"/>
              <w:jc w:val="both"/>
              <w:rPr>
                <w:sz w:val="18"/>
                <w:szCs w:val="18"/>
              </w:rPr>
            </w:pPr>
            <w:r>
              <w:rPr>
                <w:rFonts w:hint="eastAsia" w:hAnsi="宋体"/>
                <w:sz w:val="18"/>
                <w:szCs w:val="18"/>
              </w:rPr>
              <w:t>检测范围</w:t>
            </w:r>
          </w:p>
          <w:p w14:paraId="04CBBC6A">
            <w:pPr>
              <w:pStyle w:val="24"/>
              <w:kinsoku w:val="0"/>
              <w:overflowPunct w:val="0"/>
              <w:snapToGrid w:val="0"/>
              <w:jc w:val="both"/>
              <w:rPr>
                <w:sz w:val="18"/>
                <w:szCs w:val="18"/>
              </w:rPr>
            </w:pPr>
          </w:p>
        </w:tc>
        <w:tc>
          <w:tcPr>
            <w:tcW w:w="1735" w:type="dxa"/>
            <w:vMerge w:val="restart"/>
            <w:tcBorders>
              <w:top w:val="nil"/>
              <w:left w:val="nil"/>
              <w:right w:val="nil"/>
            </w:tcBorders>
            <w:tcMar>
              <w:left w:w="108" w:type="dxa"/>
              <w:right w:w="108" w:type="dxa"/>
            </w:tcMar>
          </w:tcPr>
          <w:p w14:paraId="1707E788">
            <w:pPr>
              <w:pStyle w:val="24"/>
              <w:kinsoku w:val="0"/>
              <w:overflowPunct w:val="0"/>
              <w:snapToGrid w:val="0"/>
              <w:jc w:val="both"/>
              <w:rPr>
                <w:sz w:val="18"/>
                <w:szCs w:val="18"/>
              </w:rPr>
            </w:pPr>
            <w:r>
              <w:rPr>
                <w:rFonts w:hint="eastAsia" w:hAnsi="宋体"/>
                <w:sz w:val="18"/>
                <w:szCs w:val="18"/>
              </w:rPr>
              <w:t>浸泡缓冲液中</w:t>
            </w:r>
          </w:p>
          <w:p w14:paraId="254A08A7">
            <w:pPr>
              <w:pStyle w:val="24"/>
              <w:kinsoku w:val="0"/>
              <w:overflowPunct w:val="0"/>
              <w:snapToGrid w:val="0"/>
              <w:jc w:val="both"/>
              <w:rPr>
                <w:sz w:val="18"/>
                <w:szCs w:val="18"/>
              </w:rPr>
            </w:pPr>
            <w:r>
              <w:rPr>
                <w:rFonts w:hint="eastAsia" w:hAnsi="宋体"/>
                <w:sz w:val="18"/>
                <w:szCs w:val="18"/>
              </w:rPr>
              <w:t>的病毒</w:t>
            </w:r>
          </w:p>
        </w:tc>
        <w:tc>
          <w:tcPr>
            <w:tcW w:w="1614" w:type="dxa"/>
            <w:vMerge w:val="restart"/>
            <w:tcBorders>
              <w:top w:val="nil"/>
              <w:left w:val="nil"/>
              <w:right w:val="nil"/>
            </w:tcBorders>
            <w:tcMar>
              <w:left w:w="108" w:type="dxa"/>
              <w:right w:w="108" w:type="dxa"/>
            </w:tcMar>
          </w:tcPr>
          <w:p w14:paraId="243AA3A5">
            <w:pPr>
              <w:pStyle w:val="24"/>
              <w:kinsoku w:val="0"/>
              <w:overflowPunct w:val="0"/>
              <w:snapToGrid w:val="0"/>
              <w:jc w:val="both"/>
              <w:rPr>
                <w:sz w:val="18"/>
                <w:szCs w:val="18"/>
              </w:rPr>
            </w:pPr>
            <w:r>
              <w:rPr>
                <w:rFonts w:hint="eastAsia" w:hAnsi="宋体"/>
                <w:sz w:val="18"/>
                <w:szCs w:val="18"/>
              </w:rPr>
              <w:t>浸泡缓冲液</w:t>
            </w:r>
          </w:p>
          <w:p w14:paraId="78A4B486">
            <w:pPr>
              <w:pStyle w:val="24"/>
              <w:kinsoku w:val="0"/>
              <w:overflowPunct w:val="0"/>
              <w:snapToGrid w:val="0"/>
              <w:jc w:val="both"/>
              <w:rPr>
                <w:sz w:val="18"/>
                <w:szCs w:val="18"/>
              </w:rPr>
            </w:pPr>
            <w:r>
              <w:rPr>
                <w:rFonts w:hint="eastAsia" w:hAnsi="宋体"/>
                <w:sz w:val="18"/>
                <w:szCs w:val="18"/>
              </w:rPr>
              <w:t>的滴度</w:t>
            </w:r>
          </w:p>
        </w:tc>
        <w:tc>
          <w:tcPr>
            <w:tcW w:w="1787" w:type="dxa"/>
            <w:vMerge w:val="restart"/>
            <w:tcBorders>
              <w:top w:val="nil"/>
              <w:left w:val="nil"/>
              <w:right w:val="nil"/>
            </w:tcBorders>
            <w:tcMar>
              <w:left w:w="108" w:type="dxa"/>
              <w:right w:w="108" w:type="dxa"/>
            </w:tcMar>
          </w:tcPr>
          <w:p w14:paraId="61AE72BC">
            <w:pPr>
              <w:pStyle w:val="24"/>
              <w:kinsoku w:val="0"/>
              <w:overflowPunct w:val="0"/>
              <w:snapToGrid w:val="0"/>
              <w:jc w:val="both"/>
              <w:rPr>
                <w:sz w:val="18"/>
                <w:szCs w:val="18"/>
              </w:rPr>
            </w:pPr>
            <w:r>
              <w:rPr>
                <w:rFonts w:hint="eastAsia" w:hAnsi="宋体"/>
                <w:sz w:val="18"/>
                <w:szCs w:val="18"/>
              </w:rPr>
              <w:t>穿透病毒的量</w:t>
            </w:r>
          </w:p>
          <w:p w14:paraId="7C749273">
            <w:pPr>
              <w:pStyle w:val="24"/>
              <w:kinsoku w:val="0"/>
              <w:overflowPunct w:val="0"/>
              <w:snapToGrid w:val="0"/>
              <w:jc w:val="both"/>
              <w:rPr>
                <w:sz w:val="18"/>
                <w:szCs w:val="18"/>
              </w:rPr>
            </w:pPr>
          </w:p>
        </w:tc>
      </w:tr>
      <w:tr w14:paraId="4140F1D7">
        <w:tblPrEx>
          <w:tblCellMar>
            <w:top w:w="0" w:type="dxa"/>
            <w:left w:w="0" w:type="dxa"/>
            <w:bottom w:w="0" w:type="dxa"/>
            <w:right w:w="0" w:type="dxa"/>
          </w:tblCellMar>
        </w:tblPrEx>
        <w:tc>
          <w:tcPr>
            <w:tcW w:w="873" w:type="dxa"/>
            <w:tcBorders>
              <w:top w:val="nil"/>
              <w:left w:val="nil"/>
              <w:bottom w:val="nil"/>
            </w:tcBorders>
            <w:tcMar>
              <w:left w:w="108" w:type="dxa"/>
              <w:right w:w="108" w:type="dxa"/>
            </w:tcMar>
          </w:tcPr>
          <w:p w14:paraId="2720E148">
            <w:pPr>
              <w:pStyle w:val="24"/>
              <w:kinsoku w:val="0"/>
              <w:overflowPunct w:val="0"/>
              <w:snapToGrid w:val="0"/>
              <w:jc w:val="both"/>
              <w:rPr>
                <w:sz w:val="18"/>
                <w:szCs w:val="18"/>
              </w:rPr>
            </w:pPr>
          </w:p>
        </w:tc>
        <w:tc>
          <w:tcPr>
            <w:tcW w:w="1146" w:type="dxa"/>
            <w:vMerge w:val="continue"/>
            <w:tcBorders>
              <w:left w:val="nil"/>
              <w:bottom w:val="nil"/>
              <w:right w:val="nil"/>
            </w:tcBorders>
            <w:tcMar>
              <w:left w:w="108" w:type="dxa"/>
              <w:right w:w="108" w:type="dxa"/>
            </w:tcMar>
          </w:tcPr>
          <w:p w14:paraId="336F4127">
            <w:pPr>
              <w:pStyle w:val="24"/>
              <w:kinsoku w:val="0"/>
              <w:overflowPunct w:val="0"/>
              <w:snapToGrid w:val="0"/>
              <w:jc w:val="both"/>
              <w:rPr>
                <w:sz w:val="18"/>
                <w:szCs w:val="18"/>
              </w:rPr>
            </w:pPr>
          </w:p>
        </w:tc>
        <w:tc>
          <w:tcPr>
            <w:tcW w:w="1369" w:type="dxa"/>
            <w:vMerge w:val="continue"/>
            <w:tcBorders>
              <w:left w:val="nil"/>
              <w:bottom w:val="nil"/>
              <w:right w:val="nil"/>
            </w:tcBorders>
            <w:tcMar>
              <w:left w:w="108" w:type="dxa"/>
              <w:right w:w="108" w:type="dxa"/>
            </w:tcMar>
          </w:tcPr>
          <w:p w14:paraId="4E233F46">
            <w:pPr>
              <w:pStyle w:val="24"/>
              <w:kinsoku w:val="0"/>
              <w:overflowPunct w:val="0"/>
              <w:snapToGrid w:val="0"/>
              <w:jc w:val="both"/>
              <w:rPr>
                <w:sz w:val="18"/>
                <w:szCs w:val="18"/>
              </w:rPr>
            </w:pPr>
          </w:p>
        </w:tc>
        <w:tc>
          <w:tcPr>
            <w:tcW w:w="1735" w:type="dxa"/>
            <w:vMerge w:val="continue"/>
            <w:tcBorders>
              <w:left w:val="nil"/>
              <w:bottom w:val="nil"/>
              <w:right w:val="nil"/>
            </w:tcBorders>
            <w:tcMar>
              <w:left w:w="108" w:type="dxa"/>
              <w:right w:w="108" w:type="dxa"/>
            </w:tcMar>
          </w:tcPr>
          <w:p w14:paraId="393F2C8F">
            <w:pPr>
              <w:pStyle w:val="24"/>
              <w:kinsoku w:val="0"/>
              <w:overflowPunct w:val="0"/>
              <w:snapToGrid w:val="0"/>
              <w:jc w:val="both"/>
              <w:rPr>
                <w:sz w:val="18"/>
                <w:szCs w:val="18"/>
              </w:rPr>
            </w:pPr>
          </w:p>
        </w:tc>
        <w:tc>
          <w:tcPr>
            <w:tcW w:w="1614" w:type="dxa"/>
            <w:vMerge w:val="continue"/>
            <w:tcBorders>
              <w:left w:val="nil"/>
              <w:bottom w:val="nil"/>
              <w:right w:val="nil"/>
            </w:tcBorders>
            <w:tcMar>
              <w:left w:w="108" w:type="dxa"/>
              <w:right w:w="108" w:type="dxa"/>
            </w:tcMar>
          </w:tcPr>
          <w:p w14:paraId="479D3268">
            <w:pPr>
              <w:pStyle w:val="24"/>
              <w:kinsoku w:val="0"/>
              <w:overflowPunct w:val="0"/>
              <w:snapToGrid w:val="0"/>
              <w:jc w:val="both"/>
              <w:rPr>
                <w:sz w:val="18"/>
                <w:szCs w:val="18"/>
              </w:rPr>
            </w:pPr>
          </w:p>
        </w:tc>
        <w:tc>
          <w:tcPr>
            <w:tcW w:w="1787" w:type="dxa"/>
            <w:vMerge w:val="continue"/>
            <w:tcBorders>
              <w:left w:val="nil"/>
              <w:bottom w:val="nil"/>
              <w:right w:val="nil"/>
            </w:tcBorders>
            <w:tcMar>
              <w:left w:w="108" w:type="dxa"/>
              <w:right w:w="108" w:type="dxa"/>
            </w:tcMar>
          </w:tcPr>
          <w:p w14:paraId="74A38C0E">
            <w:pPr>
              <w:pStyle w:val="24"/>
              <w:kinsoku w:val="0"/>
              <w:overflowPunct w:val="0"/>
              <w:snapToGrid w:val="0"/>
              <w:jc w:val="both"/>
              <w:rPr>
                <w:sz w:val="18"/>
                <w:szCs w:val="18"/>
              </w:rPr>
            </w:pPr>
          </w:p>
        </w:tc>
      </w:tr>
    </w:tbl>
    <w:p w14:paraId="738AAF93">
      <w:pPr>
        <w:kinsoku w:val="0"/>
        <w:overflowPunct w:val="0"/>
        <w:snapToGrid w:val="0"/>
        <w:spacing w:line="360" w:lineRule="auto"/>
        <w:jc w:val="both"/>
        <w:rPr>
          <w:sz w:val="21"/>
          <w:szCs w:val="21"/>
        </w:rPr>
      </w:pPr>
    </w:p>
    <w:tbl>
      <w:tblPr>
        <w:tblStyle w:val="11"/>
        <w:tblW w:w="8529" w:type="dxa"/>
        <w:tblInd w:w="0" w:type="dxa"/>
        <w:tblLayout w:type="fixed"/>
        <w:tblCellMar>
          <w:top w:w="0" w:type="dxa"/>
          <w:left w:w="0" w:type="dxa"/>
          <w:bottom w:w="0" w:type="dxa"/>
          <w:right w:w="0" w:type="dxa"/>
        </w:tblCellMar>
      </w:tblPr>
      <w:tblGrid>
        <w:gridCol w:w="874"/>
        <w:gridCol w:w="1162"/>
        <w:gridCol w:w="1308"/>
        <w:gridCol w:w="1748"/>
        <w:gridCol w:w="1600"/>
        <w:gridCol w:w="1837"/>
      </w:tblGrid>
      <w:tr w14:paraId="6DF3E5A6">
        <w:tblPrEx>
          <w:tblCellMar>
            <w:top w:w="0" w:type="dxa"/>
            <w:left w:w="0" w:type="dxa"/>
            <w:bottom w:w="0" w:type="dxa"/>
            <w:right w:w="0" w:type="dxa"/>
          </w:tblCellMar>
        </w:tblPrEx>
        <w:tc>
          <w:tcPr>
            <w:tcW w:w="874" w:type="dxa"/>
            <w:tcBorders>
              <w:top w:val="nil"/>
              <w:left w:val="nil"/>
              <w:bottom w:val="nil"/>
              <w:right w:val="nil"/>
            </w:tcBorders>
            <w:tcMar>
              <w:left w:w="108" w:type="dxa"/>
              <w:right w:w="108" w:type="dxa"/>
            </w:tcMar>
          </w:tcPr>
          <w:p w14:paraId="2A7E9EE1">
            <w:pPr>
              <w:pStyle w:val="24"/>
              <w:kinsoku w:val="0"/>
              <w:overflowPunct w:val="0"/>
              <w:snapToGrid w:val="0"/>
              <w:jc w:val="both"/>
              <w:rPr>
                <w:sz w:val="18"/>
                <w:szCs w:val="18"/>
              </w:rPr>
            </w:pPr>
          </w:p>
        </w:tc>
        <w:tc>
          <w:tcPr>
            <w:tcW w:w="1162" w:type="dxa"/>
            <w:tcBorders>
              <w:top w:val="nil"/>
              <w:left w:val="nil"/>
              <w:bottom w:val="nil"/>
              <w:right w:val="nil"/>
            </w:tcBorders>
            <w:tcMar>
              <w:left w:w="108" w:type="dxa"/>
              <w:right w:w="108" w:type="dxa"/>
            </w:tcMar>
          </w:tcPr>
          <w:p w14:paraId="56A1D69C">
            <w:pPr>
              <w:pStyle w:val="24"/>
              <w:kinsoku w:val="0"/>
              <w:overflowPunct w:val="0"/>
              <w:snapToGrid w:val="0"/>
              <w:jc w:val="both"/>
              <w:rPr>
                <w:sz w:val="18"/>
                <w:szCs w:val="18"/>
              </w:rPr>
            </w:pPr>
            <w:r>
              <w:rPr>
                <w:sz w:val="18"/>
                <w:szCs w:val="18"/>
              </w:rPr>
              <w:t xml:space="preserve"> (pfu/mL)</w:t>
            </w:r>
          </w:p>
        </w:tc>
        <w:tc>
          <w:tcPr>
            <w:tcW w:w="1308" w:type="dxa"/>
            <w:tcBorders>
              <w:top w:val="nil"/>
              <w:left w:val="nil"/>
              <w:bottom w:val="nil"/>
              <w:right w:val="nil"/>
            </w:tcBorders>
            <w:tcMar>
              <w:left w:w="108" w:type="dxa"/>
              <w:right w:w="108" w:type="dxa"/>
            </w:tcMar>
          </w:tcPr>
          <w:p w14:paraId="19B2F358">
            <w:pPr>
              <w:pStyle w:val="24"/>
              <w:kinsoku w:val="0"/>
              <w:overflowPunct w:val="0"/>
              <w:snapToGrid w:val="0"/>
              <w:jc w:val="both"/>
              <w:rPr>
                <w:sz w:val="18"/>
                <w:szCs w:val="18"/>
              </w:rPr>
            </w:pPr>
            <w:r>
              <w:rPr>
                <w:sz w:val="18"/>
                <w:szCs w:val="18"/>
              </w:rPr>
              <w:t>(mL)</w:t>
            </w:r>
          </w:p>
        </w:tc>
        <w:tc>
          <w:tcPr>
            <w:tcW w:w="1748" w:type="dxa"/>
            <w:tcBorders>
              <w:top w:val="nil"/>
              <w:left w:val="nil"/>
              <w:bottom w:val="nil"/>
              <w:right w:val="nil"/>
            </w:tcBorders>
            <w:tcMar>
              <w:left w:w="108" w:type="dxa"/>
              <w:right w:w="108" w:type="dxa"/>
            </w:tcMar>
          </w:tcPr>
          <w:p w14:paraId="012E3430">
            <w:pPr>
              <w:pStyle w:val="24"/>
              <w:kinsoku w:val="0"/>
              <w:overflowPunct w:val="0"/>
              <w:snapToGrid w:val="0"/>
              <w:jc w:val="both"/>
              <w:rPr>
                <w:sz w:val="18"/>
                <w:szCs w:val="18"/>
              </w:rPr>
            </w:pPr>
            <w:r>
              <w:rPr>
                <w:sz w:val="18"/>
                <w:szCs w:val="18"/>
              </w:rPr>
              <w:t>(pfu)</w:t>
            </w:r>
          </w:p>
        </w:tc>
        <w:tc>
          <w:tcPr>
            <w:tcW w:w="1600" w:type="dxa"/>
            <w:tcBorders>
              <w:top w:val="nil"/>
              <w:left w:val="nil"/>
              <w:bottom w:val="nil"/>
              <w:right w:val="nil"/>
            </w:tcBorders>
            <w:tcMar>
              <w:left w:w="108" w:type="dxa"/>
              <w:right w:w="108" w:type="dxa"/>
            </w:tcMar>
          </w:tcPr>
          <w:p w14:paraId="6494D846">
            <w:pPr>
              <w:pStyle w:val="24"/>
              <w:kinsoku w:val="0"/>
              <w:overflowPunct w:val="0"/>
              <w:snapToGrid w:val="0"/>
              <w:jc w:val="both"/>
              <w:rPr>
                <w:sz w:val="18"/>
                <w:szCs w:val="18"/>
              </w:rPr>
            </w:pPr>
            <w:r>
              <w:rPr>
                <w:sz w:val="18"/>
                <w:szCs w:val="18"/>
              </w:rPr>
              <w:t>(pfu/mL)</w:t>
            </w:r>
          </w:p>
        </w:tc>
        <w:tc>
          <w:tcPr>
            <w:tcW w:w="1837" w:type="dxa"/>
            <w:tcBorders>
              <w:top w:val="nil"/>
              <w:left w:val="nil"/>
              <w:bottom w:val="nil"/>
              <w:right w:val="nil"/>
            </w:tcBorders>
            <w:tcMar>
              <w:left w:w="108" w:type="dxa"/>
              <w:right w:w="108" w:type="dxa"/>
            </w:tcMar>
          </w:tcPr>
          <w:p w14:paraId="3D39D02B">
            <w:pPr>
              <w:pStyle w:val="24"/>
              <w:kinsoku w:val="0"/>
              <w:overflowPunct w:val="0"/>
              <w:snapToGrid w:val="0"/>
              <w:jc w:val="both"/>
              <w:rPr>
                <w:sz w:val="18"/>
                <w:szCs w:val="18"/>
              </w:rPr>
            </w:pPr>
            <w:r>
              <w:rPr>
                <w:sz w:val="18"/>
                <w:szCs w:val="18"/>
              </w:rPr>
              <w:t>(mL)</w:t>
            </w:r>
          </w:p>
        </w:tc>
      </w:tr>
      <w:tr w14:paraId="31CAFB71">
        <w:tblPrEx>
          <w:tblCellMar>
            <w:top w:w="0" w:type="dxa"/>
            <w:left w:w="0" w:type="dxa"/>
            <w:bottom w:w="0" w:type="dxa"/>
            <w:right w:w="0" w:type="dxa"/>
          </w:tblCellMar>
        </w:tblPrEx>
        <w:tc>
          <w:tcPr>
            <w:tcW w:w="874" w:type="dxa"/>
            <w:tcBorders>
              <w:top w:val="nil"/>
              <w:left w:val="nil"/>
              <w:bottom w:val="nil"/>
              <w:right w:val="nil"/>
            </w:tcBorders>
            <w:tcMar>
              <w:left w:w="108" w:type="dxa"/>
              <w:right w:w="108" w:type="dxa"/>
            </w:tcMar>
          </w:tcPr>
          <w:p w14:paraId="40BDFDF3">
            <w:pPr>
              <w:pStyle w:val="24"/>
              <w:kinsoku w:val="0"/>
              <w:overflowPunct w:val="0"/>
              <w:snapToGrid w:val="0"/>
              <w:jc w:val="both"/>
              <w:rPr>
                <w:sz w:val="18"/>
                <w:szCs w:val="18"/>
              </w:rPr>
            </w:pPr>
          </w:p>
        </w:tc>
        <w:tc>
          <w:tcPr>
            <w:tcW w:w="1162" w:type="dxa"/>
            <w:tcBorders>
              <w:top w:val="nil"/>
              <w:left w:val="nil"/>
              <w:bottom w:val="nil"/>
              <w:right w:val="nil"/>
            </w:tcBorders>
            <w:tcMar>
              <w:left w:w="108" w:type="dxa"/>
              <w:right w:w="108" w:type="dxa"/>
            </w:tcMar>
          </w:tcPr>
          <w:p w14:paraId="53C43BCD">
            <w:pPr>
              <w:pStyle w:val="24"/>
              <w:kinsoku w:val="0"/>
              <w:overflowPunct w:val="0"/>
              <w:snapToGrid w:val="0"/>
              <w:jc w:val="both"/>
              <w:rPr>
                <w:sz w:val="18"/>
                <w:szCs w:val="18"/>
              </w:rPr>
            </w:pPr>
          </w:p>
        </w:tc>
        <w:tc>
          <w:tcPr>
            <w:tcW w:w="1308" w:type="dxa"/>
            <w:tcBorders>
              <w:top w:val="nil"/>
              <w:left w:val="nil"/>
              <w:bottom w:val="nil"/>
              <w:right w:val="nil"/>
            </w:tcBorders>
            <w:tcMar>
              <w:left w:w="108" w:type="dxa"/>
              <w:right w:w="108" w:type="dxa"/>
            </w:tcMar>
          </w:tcPr>
          <w:p w14:paraId="2A371039">
            <w:pPr>
              <w:pStyle w:val="24"/>
              <w:kinsoku w:val="0"/>
              <w:overflowPunct w:val="0"/>
              <w:snapToGrid w:val="0"/>
              <w:jc w:val="both"/>
              <w:rPr>
                <w:sz w:val="18"/>
                <w:szCs w:val="18"/>
              </w:rPr>
            </w:pPr>
          </w:p>
        </w:tc>
        <w:tc>
          <w:tcPr>
            <w:tcW w:w="1748" w:type="dxa"/>
            <w:tcBorders>
              <w:top w:val="nil"/>
              <w:left w:val="nil"/>
              <w:bottom w:val="nil"/>
              <w:right w:val="nil"/>
            </w:tcBorders>
            <w:tcMar>
              <w:left w:w="108" w:type="dxa"/>
              <w:right w:w="108" w:type="dxa"/>
            </w:tcMar>
          </w:tcPr>
          <w:p w14:paraId="1D763200">
            <w:pPr>
              <w:pStyle w:val="24"/>
              <w:kinsoku w:val="0"/>
              <w:overflowPunct w:val="0"/>
              <w:snapToGrid w:val="0"/>
              <w:jc w:val="both"/>
              <w:rPr>
                <w:sz w:val="18"/>
                <w:szCs w:val="18"/>
              </w:rPr>
            </w:pPr>
          </w:p>
        </w:tc>
        <w:tc>
          <w:tcPr>
            <w:tcW w:w="1600" w:type="dxa"/>
            <w:tcBorders>
              <w:top w:val="nil"/>
              <w:left w:val="nil"/>
              <w:bottom w:val="nil"/>
              <w:right w:val="nil"/>
            </w:tcBorders>
            <w:tcMar>
              <w:left w:w="108" w:type="dxa"/>
              <w:right w:w="108" w:type="dxa"/>
            </w:tcMar>
          </w:tcPr>
          <w:p w14:paraId="5A68F4ED">
            <w:pPr>
              <w:pStyle w:val="24"/>
              <w:kinsoku w:val="0"/>
              <w:overflowPunct w:val="0"/>
              <w:snapToGrid w:val="0"/>
              <w:jc w:val="both"/>
              <w:rPr>
                <w:sz w:val="18"/>
                <w:szCs w:val="18"/>
              </w:rPr>
            </w:pPr>
          </w:p>
        </w:tc>
        <w:tc>
          <w:tcPr>
            <w:tcW w:w="1837" w:type="dxa"/>
            <w:tcBorders>
              <w:top w:val="nil"/>
              <w:left w:val="nil"/>
              <w:bottom w:val="nil"/>
              <w:right w:val="nil"/>
            </w:tcBorders>
            <w:tcMar>
              <w:left w:w="108" w:type="dxa"/>
              <w:right w:w="108" w:type="dxa"/>
            </w:tcMar>
          </w:tcPr>
          <w:p w14:paraId="07891A84">
            <w:pPr>
              <w:pStyle w:val="24"/>
              <w:kinsoku w:val="0"/>
              <w:overflowPunct w:val="0"/>
              <w:snapToGrid w:val="0"/>
              <w:jc w:val="both"/>
              <w:rPr>
                <w:sz w:val="18"/>
                <w:szCs w:val="18"/>
              </w:rPr>
            </w:pPr>
          </w:p>
        </w:tc>
      </w:tr>
      <w:tr w14:paraId="78C4B980">
        <w:tblPrEx>
          <w:tblCellMar>
            <w:top w:w="0" w:type="dxa"/>
            <w:left w:w="0" w:type="dxa"/>
            <w:bottom w:w="0" w:type="dxa"/>
            <w:right w:w="0" w:type="dxa"/>
          </w:tblCellMar>
        </w:tblPrEx>
        <w:tc>
          <w:tcPr>
            <w:tcW w:w="5092" w:type="dxa"/>
            <w:gridSpan w:val="4"/>
            <w:tcBorders>
              <w:top w:val="nil"/>
              <w:left w:val="nil"/>
              <w:bottom w:val="nil"/>
              <w:right w:val="nil"/>
            </w:tcBorders>
            <w:tcMar>
              <w:left w:w="108" w:type="dxa"/>
              <w:right w:w="108" w:type="dxa"/>
            </w:tcMar>
          </w:tcPr>
          <w:p w14:paraId="531CEE73">
            <w:pPr>
              <w:pStyle w:val="3"/>
              <w:kinsoku w:val="0"/>
              <w:overflowPunct w:val="0"/>
              <w:snapToGrid w:val="0"/>
              <w:ind w:left="0"/>
              <w:jc w:val="both"/>
              <w:rPr>
                <w:sz w:val="18"/>
                <w:szCs w:val="18"/>
              </w:rPr>
            </w:pPr>
            <w:r>
              <w:rPr>
                <w:sz w:val="18"/>
                <w:szCs w:val="18"/>
              </w:rPr>
              <w:t>--------------------------------------------------------------</w:t>
            </w:r>
          </w:p>
        </w:tc>
        <w:tc>
          <w:tcPr>
            <w:tcW w:w="1600" w:type="dxa"/>
            <w:tcBorders>
              <w:top w:val="nil"/>
              <w:left w:val="nil"/>
              <w:bottom w:val="nil"/>
              <w:right w:val="nil"/>
            </w:tcBorders>
            <w:tcMar>
              <w:left w:w="108" w:type="dxa"/>
              <w:right w:w="108" w:type="dxa"/>
            </w:tcMar>
          </w:tcPr>
          <w:p w14:paraId="17F487CC">
            <w:pPr>
              <w:pStyle w:val="24"/>
              <w:kinsoku w:val="0"/>
              <w:overflowPunct w:val="0"/>
              <w:snapToGrid w:val="0"/>
              <w:jc w:val="both"/>
              <w:rPr>
                <w:sz w:val="18"/>
                <w:szCs w:val="18"/>
              </w:rPr>
            </w:pPr>
          </w:p>
        </w:tc>
        <w:tc>
          <w:tcPr>
            <w:tcW w:w="1837" w:type="dxa"/>
            <w:tcBorders>
              <w:top w:val="nil"/>
              <w:left w:val="nil"/>
              <w:bottom w:val="nil"/>
              <w:right w:val="nil"/>
            </w:tcBorders>
            <w:tcMar>
              <w:left w:w="108" w:type="dxa"/>
              <w:right w:w="108" w:type="dxa"/>
            </w:tcMar>
          </w:tcPr>
          <w:p w14:paraId="1B0A64AB">
            <w:pPr>
              <w:pStyle w:val="24"/>
              <w:kinsoku w:val="0"/>
              <w:overflowPunct w:val="0"/>
              <w:snapToGrid w:val="0"/>
              <w:jc w:val="both"/>
              <w:rPr>
                <w:sz w:val="18"/>
                <w:szCs w:val="18"/>
              </w:rPr>
            </w:pPr>
          </w:p>
        </w:tc>
      </w:tr>
      <w:tr w14:paraId="1B52D790">
        <w:tblPrEx>
          <w:tblCellMar>
            <w:top w:w="0" w:type="dxa"/>
            <w:left w:w="0" w:type="dxa"/>
            <w:bottom w:w="0" w:type="dxa"/>
            <w:right w:w="0" w:type="dxa"/>
          </w:tblCellMar>
        </w:tblPrEx>
        <w:tc>
          <w:tcPr>
            <w:tcW w:w="2036" w:type="dxa"/>
            <w:gridSpan w:val="2"/>
            <w:tcBorders>
              <w:top w:val="nil"/>
              <w:left w:val="nil"/>
              <w:right w:val="nil"/>
            </w:tcBorders>
            <w:tcMar>
              <w:left w:w="108" w:type="dxa"/>
              <w:right w:w="108" w:type="dxa"/>
            </w:tcMar>
          </w:tcPr>
          <w:p w14:paraId="2E0D6B59">
            <w:pPr>
              <w:pStyle w:val="3"/>
              <w:kinsoku w:val="0"/>
              <w:overflowPunct w:val="0"/>
              <w:snapToGrid w:val="0"/>
              <w:ind w:left="0"/>
              <w:jc w:val="both"/>
              <w:rPr>
                <w:sz w:val="18"/>
                <w:szCs w:val="18"/>
              </w:rPr>
            </w:pPr>
            <w:r>
              <w:rPr>
                <w:sz w:val="18"/>
                <w:szCs w:val="18"/>
              </w:rPr>
              <w:t>1 10/28 1.15x10</w:t>
            </w:r>
            <w:r>
              <w:rPr>
                <w:sz w:val="18"/>
                <w:szCs w:val="18"/>
                <w:vertAlign w:val="superscript"/>
              </w:rPr>
              <w:t>8</w:t>
            </w:r>
          </w:p>
        </w:tc>
        <w:tc>
          <w:tcPr>
            <w:tcW w:w="1308" w:type="dxa"/>
            <w:tcBorders>
              <w:top w:val="nil"/>
              <w:left w:val="nil"/>
              <w:right w:val="nil"/>
            </w:tcBorders>
            <w:tcMar>
              <w:left w:w="108" w:type="dxa"/>
              <w:right w:w="108" w:type="dxa"/>
            </w:tcMar>
          </w:tcPr>
          <w:p w14:paraId="53DBF4F2">
            <w:pPr>
              <w:pStyle w:val="3"/>
              <w:kinsoku w:val="0"/>
              <w:overflowPunct w:val="0"/>
              <w:snapToGrid w:val="0"/>
              <w:ind w:left="0"/>
              <w:jc w:val="both"/>
              <w:rPr>
                <w:sz w:val="18"/>
                <w:szCs w:val="18"/>
              </w:rPr>
            </w:pPr>
            <w:r>
              <w:rPr>
                <w:sz w:val="18"/>
                <w:szCs w:val="18"/>
              </w:rPr>
              <w:t>0.87x10</w:t>
            </w:r>
            <w:r>
              <w:rPr>
                <w:sz w:val="18"/>
                <w:szCs w:val="18"/>
                <w:vertAlign w:val="superscript"/>
              </w:rPr>
              <w:t>-6</w:t>
            </w:r>
          </w:p>
        </w:tc>
        <w:tc>
          <w:tcPr>
            <w:tcW w:w="1748" w:type="dxa"/>
            <w:tcBorders>
              <w:top w:val="nil"/>
              <w:left w:val="nil"/>
              <w:right w:val="nil"/>
            </w:tcBorders>
            <w:tcMar>
              <w:left w:w="108" w:type="dxa"/>
              <w:right w:w="108" w:type="dxa"/>
            </w:tcMar>
          </w:tcPr>
          <w:p w14:paraId="3850C9EC">
            <w:pPr>
              <w:pStyle w:val="3"/>
              <w:kinsoku w:val="0"/>
              <w:overflowPunct w:val="0"/>
              <w:snapToGrid w:val="0"/>
              <w:ind w:left="0"/>
              <w:jc w:val="both"/>
              <w:rPr>
                <w:sz w:val="18"/>
                <w:szCs w:val="18"/>
              </w:rPr>
            </w:pPr>
            <w:r>
              <w:rPr>
                <w:sz w:val="18"/>
                <w:szCs w:val="18"/>
              </w:rPr>
              <w:t>29,28,33</w:t>
            </w:r>
          </w:p>
        </w:tc>
        <w:tc>
          <w:tcPr>
            <w:tcW w:w="1600" w:type="dxa"/>
            <w:tcBorders>
              <w:top w:val="nil"/>
              <w:left w:val="nil"/>
              <w:right w:val="nil"/>
            </w:tcBorders>
            <w:tcMar>
              <w:left w:w="108" w:type="dxa"/>
              <w:right w:w="108" w:type="dxa"/>
            </w:tcMar>
          </w:tcPr>
          <w:p w14:paraId="0E5F2CB1">
            <w:pPr>
              <w:pStyle w:val="3"/>
              <w:snapToGrid w:val="0"/>
              <w:ind w:left="0"/>
              <w:jc w:val="both"/>
              <w:rPr>
                <w:sz w:val="18"/>
                <w:szCs w:val="18"/>
              </w:rPr>
            </w:pPr>
            <w:r>
              <w:rPr>
                <w:sz w:val="18"/>
                <w:szCs w:val="18"/>
              </w:rPr>
              <w:t>3.0x10</w:t>
            </w:r>
            <w:r>
              <w:rPr>
                <w:sz w:val="18"/>
                <w:szCs w:val="18"/>
                <w:vertAlign w:val="superscript"/>
              </w:rPr>
              <w:t>1</w:t>
            </w:r>
          </w:p>
          <w:p w14:paraId="7442407D">
            <w:pPr>
              <w:pStyle w:val="3"/>
              <w:kinsoku w:val="0"/>
              <w:overflowPunct w:val="0"/>
              <w:snapToGrid w:val="0"/>
              <w:ind w:left="0"/>
              <w:jc w:val="both"/>
              <w:rPr>
                <w:sz w:val="18"/>
                <w:szCs w:val="18"/>
              </w:rPr>
            </w:pPr>
            <w:r>
              <w:rPr>
                <w:sz w:val="18"/>
                <w:szCs w:val="18"/>
              </w:rPr>
              <w:t>(+0.2)</w:t>
            </w:r>
          </w:p>
        </w:tc>
        <w:tc>
          <w:tcPr>
            <w:tcW w:w="1837" w:type="dxa"/>
            <w:tcBorders>
              <w:top w:val="nil"/>
              <w:left w:val="nil"/>
              <w:right w:val="nil"/>
            </w:tcBorders>
            <w:tcMar>
              <w:left w:w="108" w:type="dxa"/>
              <w:right w:w="108" w:type="dxa"/>
            </w:tcMar>
          </w:tcPr>
          <w:p w14:paraId="2CB0F279">
            <w:pPr>
              <w:pStyle w:val="24"/>
              <w:kinsoku w:val="0"/>
              <w:overflowPunct w:val="0"/>
              <w:snapToGrid w:val="0"/>
              <w:jc w:val="both"/>
              <w:rPr>
                <w:sz w:val="18"/>
                <w:szCs w:val="18"/>
              </w:rPr>
            </w:pPr>
            <w:r>
              <w:rPr>
                <w:sz w:val="18"/>
                <w:szCs w:val="18"/>
              </w:rPr>
              <w:t>2.6x10</w:t>
            </w:r>
            <w:r>
              <w:rPr>
                <w:sz w:val="18"/>
                <w:szCs w:val="18"/>
                <w:vertAlign w:val="superscript"/>
              </w:rPr>
              <w:t>-5</w:t>
            </w:r>
          </w:p>
        </w:tc>
      </w:tr>
      <w:tr w14:paraId="4B369BD2">
        <w:tblPrEx>
          <w:tblCellMar>
            <w:top w:w="0" w:type="dxa"/>
            <w:left w:w="0" w:type="dxa"/>
            <w:bottom w:w="0" w:type="dxa"/>
            <w:right w:w="0" w:type="dxa"/>
          </w:tblCellMar>
        </w:tblPrEx>
        <w:tc>
          <w:tcPr>
            <w:tcW w:w="2036" w:type="dxa"/>
            <w:gridSpan w:val="2"/>
            <w:tcBorders>
              <w:top w:val="nil"/>
              <w:left w:val="nil"/>
              <w:right w:val="nil"/>
            </w:tcBorders>
            <w:tcMar>
              <w:left w:w="108" w:type="dxa"/>
              <w:right w:w="108" w:type="dxa"/>
            </w:tcMar>
          </w:tcPr>
          <w:p w14:paraId="54246D5A">
            <w:pPr>
              <w:pStyle w:val="3"/>
              <w:kinsoku w:val="0"/>
              <w:overflowPunct w:val="0"/>
              <w:snapToGrid w:val="0"/>
              <w:ind w:left="0"/>
              <w:jc w:val="both"/>
              <w:rPr>
                <w:sz w:val="18"/>
                <w:szCs w:val="18"/>
              </w:rPr>
            </w:pPr>
            <w:r>
              <w:rPr>
                <w:sz w:val="18"/>
                <w:szCs w:val="18"/>
              </w:rPr>
              <w:t>2 10/28 1.23x10</w:t>
            </w:r>
            <w:r>
              <w:rPr>
                <w:sz w:val="18"/>
                <w:szCs w:val="18"/>
                <w:vertAlign w:val="superscript"/>
              </w:rPr>
              <w:t>8</w:t>
            </w:r>
          </w:p>
        </w:tc>
        <w:tc>
          <w:tcPr>
            <w:tcW w:w="1308" w:type="dxa"/>
            <w:tcBorders>
              <w:top w:val="nil"/>
              <w:left w:val="nil"/>
              <w:right w:val="nil"/>
            </w:tcBorders>
            <w:tcMar>
              <w:left w:w="108" w:type="dxa"/>
              <w:right w:w="108" w:type="dxa"/>
            </w:tcMar>
          </w:tcPr>
          <w:p w14:paraId="1483FED3">
            <w:pPr>
              <w:pStyle w:val="3"/>
              <w:kinsoku w:val="0"/>
              <w:overflowPunct w:val="0"/>
              <w:snapToGrid w:val="0"/>
              <w:ind w:left="0"/>
              <w:jc w:val="both"/>
              <w:rPr>
                <w:sz w:val="18"/>
                <w:szCs w:val="18"/>
              </w:rPr>
            </w:pPr>
            <w:r>
              <w:rPr>
                <w:sz w:val="18"/>
                <w:szCs w:val="18"/>
              </w:rPr>
              <w:t>0.81x10</w:t>
            </w:r>
            <w:r>
              <w:rPr>
                <w:sz w:val="18"/>
                <w:szCs w:val="18"/>
                <w:vertAlign w:val="superscript"/>
              </w:rPr>
              <w:t>-6</w:t>
            </w:r>
          </w:p>
        </w:tc>
        <w:tc>
          <w:tcPr>
            <w:tcW w:w="1748" w:type="dxa"/>
            <w:tcBorders>
              <w:top w:val="nil"/>
              <w:left w:val="nil"/>
              <w:right w:val="nil"/>
            </w:tcBorders>
            <w:tcMar>
              <w:left w:w="108" w:type="dxa"/>
              <w:right w:w="108" w:type="dxa"/>
            </w:tcMar>
          </w:tcPr>
          <w:p w14:paraId="26D39210">
            <w:pPr>
              <w:pStyle w:val="3"/>
              <w:kinsoku w:val="0"/>
              <w:overflowPunct w:val="0"/>
              <w:snapToGrid w:val="0"/>
              <w:ind w:left="0"/>
              <w:jc w:val="both"/>
              <w:rPr>
                <w:sz w:val="18"/>
                <w:szCs w:val="18"/>
              </w:rPr>
            </w:pPr>
            <w:r>
              <w:rPr>
                <w:sz w:val="18"/>
                <w:szCs w:val="18"/>
              </w:rPr>
              <w:t>0,0,0</w:t>
            </w:r>
          </w:p>
        </w:tc>
        <w:tc>
          <w:tcPr>
            <w:tcW w:w="1600" w:type="dxa"/>
            <w:tcBorders>
              <w:top w:val="nil"/>
              <w:left w:val="nil"/>
              <w:right w:val="nil"/>
            </w:tcBorders>
            <w:tcMar>
              <w:left w:w="108" w:type="dxa"/>
              <w:right w:w="108" w:type="dxa"/>
            </w:tcMar>
          </w:tcPr>
          <w:p w14:paraId="1D972623">
            <w:pPr>
              <w:pStyle w:val="3"/>
              <w:snapToGrid w:val="0"/>
              <w:ind w:left="0"/>
              <w:jc w:val="both"/>
              <w:rPr>
                <w:sz w:val="18"/>
                <w:szCs w:val="18"/>
              </w:rPr>
            </w:pPr>
            <w:r>
              <w:rPr>
                <w:sz w:val="18"/>
                <w:szCs w:val="18"/>
              </w:rPr>
              <w:t>&lt;1</w:t>
            </w:r>
          </w:p>
        </w:tc>
        <w:tc>
          <w:tcPr>
            <w:tcW w:w="1837" w:type="dxa"/>
            <w:tcBorders>
              <w:top w:val="nil"/>
              <w:left w:val="nil"/>
              <w:right w:val="nil"/>
            </w:tcBorders>
            <w:tcMar>
              <w:left w:w="108" w:type="dxa"/>
              <w:right w:w="108" w:type="dxa"/>
            </w:tcMar>
          </w:tcPr>
          <w:p w14:paraId="4A9EDAA4">
            <w:pPr>
              <w:pStyle w:val="24"/>
              <w:kinsoku w:val="0"/>
              <w:overflowPunct w:val="0"/>
              <w:snapToGrid w:val="0"/>
              <w:jc w:val="both"/>
              <w:rPr>
                <w:sz w:val="18"/>
                <w:szCs w:val="18"/>
              </w:rPr>
            </w:pPr>
            <w:r>
              <w:rPr>
                <w:sz w:val="18"/>
                <w:szCs w:val="18"/>
              </w:rPr>
              <w:t>&lt;0.8x10</w:t>
            </w:r>
            <w:r>
              <w:rPr>
                <w:sz w:val="18"/>
                <w:szCs w:val="18"/>
                <w:vertAlign w:val="superscript"/>
              </w:rPr>
              <w:t>-6</w:t>
            </w:r>
          </w:p>
        </w:tc>
      </w:tr>
      <w:tr w14:paraId="6EC82057">
        <w:tblPrEx>
          <w:tblCellMar>
            <w:top w:w="0" w:type="dxa"/>
            <w:left w:w="0" w:type="dxa"/>
            <w:bottom w:w="0" w:type="dxa"/>
            <w:right w:w="0" w:type="dxa"/>
          </w:tblCellMar>
        </w:tblPrEx>
        <w:tc>
          <w:tcPr>
            <w:tcW w:w="8529" w:type="dxa"/>
            <w:gridSpan w:val="6"/>
            <w:tcBorders>
              <w:top w:val="nil"/>
              <w:left w:val="nil"/>
              <w:bottom w:val="dashSmallGap" w:color="auto" w:sz="4" w:space="0"/>
              <w:right w:val="nil"/>
            </w:tcBorders>
            <w:tcMar>
              <w:left w:w="108" w:type="dxa"/>
              <w:right w:w="108" w:type="dxa"/>
            </w:tcMar>
          </w:tcPr>
          <w:p w14:paraId="0904A3C1">
            <w:pPr>
              <w:pStyle w:val="24"/>
              <w:kinsoku w:val="0"/>
              <w:overflowPunct w:val="0"/>
              <w:snapToGrid w:val="0"/>
              <w:jc w:val="both"/>
              <w:rPr>
                <w:sz w:val="18"/>
                <w:szCs w:val="18"/>
              </w:rPr>
            </w:pPr>
            <w:r>
              <w:rPr>
                <w:sz w:val="18"/>
                <w:szCs w:val="18"/>
              </w:rPr>
              <w:t>·</w:t>
            </w:r>
          </w:p>
          <w:p w14:paraId="120ADC23">
            <w:pPr>
              <w:pStyle w:val="24"/>
              <w:kinsoku w:val="0"/>
              <w:overflowPunct w:val="0"/>
              <w:snapToGrid w:val="0"/>
              <w:jc w:val="both"/>
              <w:rPr>
                <w:sz w:val="18"/>
                <w:szCs w:val="18"/>
              </w:rPr>
            </w:pPr>
            <w:r>
              <w:rPr>
                <w:sz w:val="18"/>
                <w:szCs w:val="18"/>
              </w:rPr>
              <w:t>·</w:t>
            </w:r>
          </w:p>
          <w:p w14:paraId="45ABE6F5">
            <w:pPr>
              <w:pStyle w:val="24"/>
              <w:kinsoku w:val="0"/>
              <w:overflowPunct w:val="0"/>
              <w:snapToGrid w:val="0"/>
              <w:jc w:val="both"/>
              <w:rPr>
                <w:sz w:val="18"/>
                <w:szCs w:val="18"/>
              </w:rPr>
            </w:pPr>
            <w:r>
              <w:rPr>
                <w:sz w:val="18"/>
                <w:szCs w:val="18"/>
              </w:rPr>
              <w:t>·</w:t>
            </w:r>
          </w:p>
        </w:tc>
      </w:tr>
    </w:tbl>
    <w:p w14:paraId="0E8D938F">
      <w:pPr>
        <w:pStyle w:val="3"/>
        <w:kinsoku w:val="0"/>
        <w:overflowPunct w:val="0"/>
        <w:snapToGrid w:val="0"/>
        <w:spacing w:before="120" w:beforeLines="50" w:line="360" w:lineRule="auto"/>
        <w:ind w:left="0"/>
        <w:jc w:val="both"/>
        <w:rPr>
          <w:sz w:val="21"/>
          <w:szCs w:val="21"/>
        </w:rPr>
      </w:pPr>
      <w:r>
        <w:rPr>
          <w:rFonts w:hint="eastAsia" w:hAnsi="宋体"/>
          <w:sz w:val="21"/>
          <w:szCs w:val="21"/>
        </w:rPr>
        <w:t>阳性控制</w:t>
      </w:r>
    </w:p>
    <w:p w14:paraId="6862826E">
      <w:pPr>
        <w:pStyle w:val="3"/>
        <w:kinsoku w:val="0"/>
        <w:overflowPunct w:val="0"/>
        <w:snapToGrid w:val="0"/>
        <w:spacing w:before="120" w:beforeLines="50" w:line="360" w:lineRule="auto"/>
        <w:ind w:left="0"/>
        <w:jc w:val="both"/>
        <w:rPr>
          <w:sz w:val="21"/>
          <w:szCs w:val="21"/>
        </w:rPr>
      </w:pPr>
      <w:r>
        <w:rPr>
          <w:rFonts w:hint="eastAsia" w:hAnsi="宋体"/>
          <w:sz w:val="21"/>
          <w:szCs w:val="21"/>
        </w:rPr>
        <w:t>应使用与测试样品病毒穿透相同的报告格式报告阳性控制实验的结果。</w:t>
      </w:r>
    </w:p>
    <w:p w14:paraId="2632999E">
      <w:pPr>
        <w:pStyle w:val="3"/>
        <w:kinsoku w:val="0"/>
        <w:overflowPunct w:val="0"/>
        <w:snapToGrid w:val="0"/>
        <w:spacing w:before="120" w:beforeLines="50" w:line="360" w:lineRule="auto"/>
        <w:ind w:left="0"/>
        <w:jc w:val="both"/>
        <w:outlineLvl w:val="1"/>
        <w:rPr>
          <w:sz w:val="21"/>
          <w:szCs w:val="21"/>
        </w:rPr>
      </w:pPr>
      <w:bookmarkStart w:id="17" w:name="_Toc497929720"/>
      <w:r>
        <w:rPr>
          <w:rFonts w:hint="eastAsia" w:hAnsi="宋体"/>
          <w:sz w:val="21"/>
          <w:szCs w:val="21"/>
        </w:rPr>
        <w:t>对挑战病毒稳定性测试的控制</w:t>
      </w:r>
      <w:bookmarkEnd w:id="17"/>
    </w:p>
    <w:p w14:paraId="7E3C0C33">
      <w:pPr>
        <w:pStyle w:val="3"/>
        <w:kinsoku w:val="0"/>
        <w:overflowPunct w:val="0"/>
        <w:snapToGrid w:val="0"/>
        <w:spacing w:before="120" w:beforeLines="50" w:line="360" w:lineRule="auto"/>
        <w:ind w:left="0"/>
        <w:jc w:val="both"/>
        <w:rPr>
          <w:sz w:val="21"/>
          <w:szCs w:val="21"/>
        </w:rPr>
      </w:pPr>
      <w:r>
        <w:rPr>
          <w:rFonts w:hint="eastAsia" w:hAnsi="宋体"/>
          <w:sz w:val="21"/>
          <w:szCs w:val="21"/>
        </w:rPr>
        <w:t>挑战病毒稳定性的测试结果应当以表格的形式提交，其中每个鞘的数据都应分别报告。每个测试样品的必要项有：</w:t>
      </w:r>
    </w:p>
    <w:p w14:paraId="60ACFD82">
      <w:pPr>
        <w:pStyle w:val="3"/>
        <w:numPr>
          <w:ilvl w:val="0"/>
          <w:numId w:val="8"/>
        </w:numPr>
        <w:kinsoku w:val="0"/>
        <w:overflowPunct w:val="0"/>
        <w:snapToGrid w:val="0"/>
        <w:spacing w:before="120" w:beforeLines="50" w:line="360" w:lineRule="auto"/>
        <w:ind w:left="900" w:leftChars="200" w:hanging="420" w:hangingChars="200"/>
        <w:jc w:val="both"/>
        <w:rPr>
          <w:sz w:val="21"/>
          <w:szCs w:val="21"/>
        </w:rPr>
      </w:pPr>
      <w:r>
        <w:rPr>
          <w:rFonts w:hint="eastAsia" w:hAnsi="宋体"/>
          <w:sz w:val="21"/>
          <w:szCs w:val="21"/>
        </w:rPr>
        <w:t>进行测试的日期，</w:t>
      </w:r>
    </w:p>
    <w:p w14:paraId="67863D2A">
      <w:pPr>
        <w:pStyle w:val="3"/>
        <w:numPr>
          <w:ilvl w:val="0"/>
          <w:numId w:val="8"/>
        </w:numPr>
        <w:kinsoku w:val="0"/>
        <w:overflowPunct w:val="0"/>
        <w:snapToGrid w:val="0"/>
        <w:spacing w:line="360" w:lineRule="auto"/>
        <w:ind w:left="900" w:leftChars="200" w:hanging="420" w:hangingChars="200"/>
        <w:jc w:val="both"/>
        <w:rPr>
          <w:sz w:val="21"/>
          <w:szCs w:val="21"/>
        </w:rPr>
      </w:pPr>
      <w:r>
        <w:rPr>
          <w:rFonts w:hint="eastAsia" w:hAnsi="宋体"/>
          <w:sz w:val="21"/>
          <w:szCs w:val="21"/>
        </w:rPr>
        <w:t>测试开始时置于鞘内的挑战病毒的滴度，</w:t>
      </w:r>
    </w:p>
    <w:p w14:paraId="23E56567">
      <w:pPr>
        <w:pStyle w:val="3"/>
        <w:numPr>
          <w:ilvl w:val="0"/>
          <w:numId w:val="8"/>
        </w:numPr>
        <w:kinsoku w:val="0"/>
        <w:overflowPunct w:val="0"/>
        <w:snapToGrid w:val="0"/>
        <w:spacing w:line="360" w:lineRule="auto"/>
        <w:ind w:left="900" w:leftChars="200" w:hanging="420" w:hangingChars="200"/>
        <w:jc w:val="both"/>
        <w:rPr>
          <w:sz w:val="21"/>
          <w:szCs w:val="21"/>
        </w:rPr>
      </w:pPr>
      <w:r>
        <w:rPr>
          <w:rFonts w:hint="eastAsia" w:hAnsi="宋体"/>
          <w:sz w:val="21"/>
          <w:szCs w:val="21"/>
        </w:rPr>
        <w:t>测试结束时挑战病毒的滴度</w:t>
      </w:r>
      <w:r>
        <w:rPr>
          <w:rFonts w:hint="eastAsia"/>
          <w:sz w:val="21"/>
          <w:szCs w:val="21"/>
        </w:rPr>
        <w:t>，</w:t>
      </w:r>
      <w:r>
        <w:rPr>
          <w:rFonts w:hint="eastAsia" w:hAnsi="宋体"/>
          <w:sz w:val="21"/>
          <w:szCs w:val="21"/>
        </w:rPr>
        <w:t>及</w:t>
      </w:r>
    </w:p>
    <w:p w14:paraId="326FDE89">
      <w:pPr>
        <w:pStyle w:val="3"/>
        <w:numPr>
          <w:ilvl w:val="0"/>
          <w:numId w:val="8"/>
        </w:numPr>
        <w:kinsoku w:val="0"/>
        <w:overflowPunct w:val="0"/>
        <w:snapToGrid w:val="0"/>
        <w:spacing w:line="360" w:lineRule="auto"/>
        <w:ind w:left="900" w:leftChars="200" w:hanging="420" w:hangingChars="200"/>
        <w:jc w:val="both"/>
        <w:rPr>
          <w:sz w:val="21"/>
          <w:szCs w:val="21"/>
        </w:rPr>
      </w:pPr>
      <w:r>
        <w:rPr>
          <w:rFonts w:hint="eastAsia" w:hAnsi="宋体"/>
          <w:sz w:val="21"/>
          <w:szCs w:val="21"/>
        </w:rPr>
        <w:t>最终滴度与起始滴度的计算比。</w:t>
      </w:r>
    </w:p>
    <w:p w14:paraId="08B8F781">
      <w:pPr>
        <w:pStyle w:val="3"/>
        <w:kinsoku w:val="0"/>
        <w:overflowPunct w:val="0"/>
        <w:snapToGrid w:val="0"/>
        <w:spacing w:line="360" w:lineRule="auto"/>
        <w:ind w:left="0"/>
        <w:jc w:val="both"/>
        <w:rPr>
          <w:sz w:val="21"/>
          <w:szCs w:val="21"/>
        </w:rPr>
      </w:pPr>
      <w:r>
        <w:rPr>
          <w:rFonts w:hint="eastAsia" w:hAnsi="宋体"/>
          <w:sz w:val="21"/>
          <w:szCs w:val="21"/>
        </w:rPr>
        <w:t>示例</w:t>
      </w:r>
      <w:r>
        <w:rPr>
          <w:sz w:val="21"/>
          <w:szCs w:val="21"/>
        </w:rPr>
        <w:t xml:space="preserve"> </w:t>
      </w:r>
      <w:r>
        <w:rPr>
          <w:rFonts w:hint="eastAsia" w:hAnsi="宋体"/>
          <w:sz w:val="21"/>
          <w:szCs w:val="21"/>
        </w:rPr>
        <w:t>表</w:t>
      </w:r>
      <w:r>
        <w:rPr>
          <w:sz w:val="21"/>
          <w:szCs w:val="21"/>
        </w:rPr>
        <w:t xml:space="preserve"> II. Brand X</w:t>
      </w:r>
      <w:r>
        <w:rPr>
          <w:rFonts w:hint="eastAsia" w:hAnsi="宋体"/>
          <w:sz w:val="21"/>
          <w:szCs w:val="21"/>
        </w:rPr>
        <w:t>样品中挑战病毒稳定性的测试结果</w:t>
      </w:r>
      <w:r>
        <w:rPr>
          <w:rFonts w:hint="eastAsia"/>
          <w:sz w:val="21"/>
          <w:szCs w:val="21"/>
        </w:rPr>
        <w:t>，</w:t>
      </w:r>
      <w:r>
        <w:rPr>
          <w:rFonts w:hint="eastAsia" w:hAnsi="宋体"/>
          <w:sz w:val="21"/>
          <w:szCs w:val="21"/>
        </w:rPr>
        <w:t>批次</w:t>
      </w:r>
      <w:r>
        <w:rPr>
          <w:sz w:val="21"/>
          <w:szCs w:val="21"/>
        </w:rPr>
        <w:t>34068</w:t>
      </w:r>
      <w:r>
        <w:rPr>
          <w:rFonts w:hint="eastAsia" w:hAnsi="宋体"/>
          <w:sz w:val="21"/>
          <w:szCs w:val="21"/>
        </w:rPr>
        <w:t>。</w:t>
      </w:r>
    </w:p>
    <w:tbl>
      <w:tblPr>
        <w:tblStyle w:val="11"/>
        <w:tblW w:w="8529" w:type="dxa"/>
        <w:tblInd w:w="0" w:type="dxa"/>
        <w:tblLayout w:type="fixed"/>
        <w:tblCellMar>
          <w:top w:w="0" w:type="dxa"/>
          <w:left w:w="0" w:type="dxa"/>
          <w:bottom w:w="0" w:type="dxa"/>
          <w:right w:w="0" w:type="dxa"/>
        </w:tblCellMar>
      </w:tblPr>
      <w:tblGrid>
        <w:gridCol w:w="1119"/>
        <w:gridCol w:w="1373"/>
        <w:gridCol w:w="1754"/>
        <w:gridCol w:w="2219"/>
        <w:gridCol w:w="2064"/>
      </w:tblGrid>
      <w:tr w14:paraId="41B22546">
        <w:tblPrEx>
          <w:tblCellMar>
            <w:top w:w="0" w:type="dxa"/>
            <w:left w:w="0" w:type="dxa"/>
            <w:bottom w:w="0" w:type="dxa"/>
            <w:right w:w="0" w:type="dxa"/>
          </w:tblCellMar>
        </w:tblPrEx>
        <w:tc>
          <w:tcPr>
            <w:tcW w:w="1119" w:type="dxa"/>
            <w:tcBorders>
              <w:top w:val="dashSmallGap" w:color="auto" w:sz="4" w:space="0"/>
            </w:tcBorders>
            <w:tcMar>
              <w:left w:w="108" w:type="dxa"/>
              <w:right w:w="108" w:type="dxa"/>
            </w:tcMar>
            <w:vAlign w:val="center"/>
          </w:tcPr>
          <w:p w14:paraId="3AFBB926">
            <w:pPr>
              <w:pStyle w:val="24"/>
              <w:kinsoku w:val="0"/>
              <w:overflowPunct w:val="0"/>
              <w:snapToGrid w:val="0"/>
              <w:spacing w:line="360" w:lineRule="auto"/>
              <w:jc w:val="both"/>
              <w:rPr>
                <w:sz w:val="18"/>
                <w:szCs w:val="18"/>
              </w:rPr>
            </w:pPr>
            <w:r>
              <w:rPr>
                <w:rFonts w:hint="eastAsia" w:hAnsi="宋体"/>
                <w:sz w:val="18"/>
                <w:szCs w:val="18"/>
              </w:rPr>
              <w:t>样品</w:t>
            </w:r>
          </w:p>
        </w:tc>
        <w:tc>
          <w:tcPr>
            <w:tcW w:w="1373" w:type="dxa"/>
            <w:tcBorders>
              <w:top w:val="dashSmallGap" w:color="auto" w:sz="4" w:space="0"/>
            </w:tcBorders>
            <w:tcMar>
              <w:left w:w="108" w:type="dxa"/>
              <w:right w:w="108" w:type="dxa"/>
            </w:tcMar>
            <w:vAlign w:val="center"/>
          </w:tcPr>
          <w:p w14:paraId="65FAC3DD">
            <w:pPr>
              <w:pStyle w:val="24"/>
              <w:kinsoku w:val="0"/>
              <w:overflowPunct w:val="0"/>
              <w:snapToGrid w:val="0"/>
              <w:spacing w:line="360" w:lineRule="auto"/>
              <w:jc w:val="both"/>
              <w:rPr>
                <w:sz w:val="18"/>
                <w:szCs w:val="18"/>
              </w:rPr>
            </w:pPr>
            <w:r>
              <w:rPr>
                <w:rFonts w:hint="eastAsia" w:hAnsi="宋体"/>
                <w:sz w:val="18"/>
                <w:szCs w:val="18"/>
              </w:rPr>
              <w:t>日期</w:t>
            </w:r>
          </w:p>
        </w:tc>
        <w:tc>
          <w:tcPr>
            <w:tcW w:w="1754" w:type="dxa"/>
            <w:vMerge w:val="restart"/>
            <w:tcBorders>
              <w:top w:val="dashSmallGap" w:color="auto" w:sz="4" w:space="0"/>
            </w:tcBorders>
            <w:tcMar>
              <w:left w:w="108" w:type="dxa"/>
              <w:right w:w="108" w:type="dxa"/>
            </w:tcMar>
            <w:vAlign w:val="center"/>
          </w:tcPr>
          <w:p w14:paraId="6038E60D">
            <w:pPr>
              <w:pStyle w:val="24"/>
              <w:kinsoku w:val="0"/>
              <w:overflowPunct w:val="0"/>
              <w:snapToGrid w:val="0"/>
              <w:spacing w:line="360" w:lineRule="auto"/>
              <w:jc w:val="both"/>
              <w:rPr>
                <w:sz w:val="18"/>
                <w:szCs w:val="18"/>
              </w:rPr>
            </w:pPr>
            <w:r>
              <w:rPr>
                <w:rFonts w:hint="eastAsia" w:hAnsi="宋体"/>
                <w:sz w:val="18"/>
                <w:szCs w:val="18"/>
              </w:rPr>
              <w:t>起始滴度</w:t>
            </w:r>
          </w:p>
        </w:tc>
        <w:tc>
          <w:tcPr>
            <w:tcW w:w="2219" w:type="dxa"/>
            <w:vMerge w:val="restart"/>
            <w:tcBorders>
              <w:top w:val="dashSmallGap" w:color="auto" w:sz="4" w:space="0"/>
            </w:tcBorders>
            <w:tcMar>
              <w:left w:w="108" w:type="dxa"/>
              <w:right w:w="108" w:type="dxa"/>
            </w:tcMar>
            <w:vAlign w:val="center"/>
          </w:tcPr>
          <w:p w14:paraId="01DE68BA">
            <w:pPr>
              <w:pStyle w:val="24"/>
              <w:kinsoku w:val="0"/>
              <w:overflowPunct w:val="0"/>
              <w:snapToGrid w:val="0"/>
              <w:spacing w:line="360" w:lineRule="auto"/>
              <w:jc w:val="both"/>
              <w:rPr>
                <w:sz w:val="18"/>
                <w:szCs w:val="18"/>
              </w:rPr>
            </w:pPr>
            <w:r>
              <w:rPr>
                <w:rFonts w:hint="eastAsia" w:hAnsi="宋体"/>
                <w:sz w:val="18"/>
                <w:szCs w:val="18"/>
              </w:rPr>
              <w:t>最终滴度</w:t>
            </w:r>
          </w:p>
        </w:tc>
        <w:tc>
          <w:tcPr>
            <w:tcW w:w="2064" w:type="dxa"/>
            <w:vMerge w:val="restart"/>
            <w:tcBorders>
              <w:top w:val="dashSmallGap" w:color="auto" w:sz="4" w:space="0"/>
            </w:tcBorders>
            <w:tcMar>
              <w:left w:w="108" w:type="dxa"/>
              <w:right w:w="108" w:type="dxa"/>
            </w:tcMar>
            <w:vAlign w:val="center"/>
          </w:tcPr>
          <w:p w14:paraId="4C645F8B">
            <w:pPr>
              <w:pStyle w:val="24"/>
              <w:kinsoku w:val="0"/>
              <w:overflowPunct w:val="0"/>
              <w:snapToGrid w:val="0"/>
              <w:spacing w:line="360" w:lineRule="auto"/>
              <w:jc w:val="both"/>
              <w:rPr>
                <w:sz w:val="18"/>
                <w:szCs w:val="18"/>
              </w:rPr>
            </w:pPr>
            <w:r>
              <w:rPr>
                <w:rFonts w:hint="eastAsia" w:hAnsi="宋体"/>
                <w:sz w:val="18"/>
                <w:szCs w:val="18"/>
              </w:rPr>
              <w:t>最终</w:t>
            </w:r>
            <w:r>
              <w:rPr>
                <w:sz w:val="18"/>
                <w:szCs w:val="18"/>
              </w:rPr>
              <w:t>/</w:t>
            </w:r>
            <w:r>
              <w:rPr>
                <w:rFonts w:hint="eastAsia" w:hAnsi="宋体"/>
                <w:sz w:val="18"/>
                <w:szCs w:val="18"/>
              </w:rPr>
              <w:t>起始计算比</w:t>
            </w:r>
          </w:p>
        </w:tc>
      </w:tr>
      <w:tr w14:paraId="72931D0D">
        <w:tblPrEx>
          <w:tblCellMar>
            <w:top w:w="0" w:type="dxa"/>
            <w:left w:w="0" w:type="dxa"/>
            <w:bottom w:w="0" w:type="dxa"/>
            <w:right w:w="0" w:type="dxa"/>
          </w:tblCellMar>
        </w:tblPrEx>
        <w:tc>
          <w:tcPr>
            <w:tcW w:w="1119" w:type="dxa"/>
            <w:tcMar>
              <w:left w:w="108" w:type="dxa"/>
              <w:right w:w="108" w:type="dxa"/>
            </w:tcMar>
            <w:vAlign w:val="center"/>
          </w:tcPr>
          <w:p w14:paraId="6A4CCDBC">
            <w:pPr>
              <w:pStyle w:val="24"/>
              <w:kinsoku w:val="0"/>
              <w:overflowPunct w:val="0"/>
              <w:snapToGrid w:val="0"/>
              <w:spacing w:line="360" w:lineRule="auto"/>
              <w:jc w:val="both"/>
              <w:rPr>
                <w:sz w:val="18"/>
                <w:szCs w:val="18"/>
              </w:rPr>
            </w:pPr>
          </w:p>
        </w:tc>
        <w:tc>
          <w:tcPr>
            <w:tcW w:w="1373" w:type="dxa"/>
            <w:tcMar>
              <w:left w:w="108" w:type="dxa"/>
              <w:right w:w="108" w:type="dxa"/>
            </w:tcMar>
            <w:vAlign w:val="center"/>
          </w:tcPr>
          <w:p w14:paraId="1F7DA74D">
            <w:pPr>
              <w:pStyle w:val="24"/>
              <w:kinsoku w:val="0"/>
              <w:overflowPunct w:val="0"/>
              <w:snapToGrid w:val="0"/>
              <w:spacing w:line="360" w:lineRule="auto"/>
              <w:jc w:val="both"/>
              <w:rPr>
                <w:sz w:val="18"/>
                <w:szCs w:val="18"/>
              </w:rPr>
            </w:pPr>
          </w:p>
        </w:tc>
        <w:tc>
          <w:tcPr>
            <w:tcW w:w="1754" w:type="dxa"/>
            <w:vMerge w:val="continue"/>
            <w:tcMar>
              <w:left w:w="108" w:type="dxa"/>
              <w:right w:w="108" w:type="dxa"/>
            </w:tcMar>
            <w:vAlign w:val="center"/>
          </w:tcPr>
          <w:p w14:paraId="3287EE12">
            <w:pPr>
              <w:pStyle w:val="24"/>
              <w:kinsoku w:val="0"/>
              <w:overflowPunct w:val="0"/>
              <w:snapToGrid w:val="0"/>
              <w:spacing w:line="360" w:lineRule="auto"/>
              <w:jc w:val="both"/>
              <w:rPr>
                <w:sz w:val="18"/>
                <w:szCs w:val="18"/>
              </w:rPr>
            </w:pPr>
          </w:p>
        </w:tc>
        <w:tc>
          <w:tcPr>
            <w:tcW w:w="2219" w:type="dxa"/>
            <w:vMerge w:val="continue"/>
            <w:tcMar>
              <w:left w:w="108" w:type="dxa"/>
              <w:right w:w="108" w:type="dxa"/>
            </w:tcMar>
            <w:vAlign w:val="center"/>
          </w:tcPr>
          <w:p w14:paraId="23C4EBC0">
            <w:pPr>
              <w:pStyle w:val="24"/>
              <w:kinsoku w:val="0"/>
              <w:overflowPunct w:val="0"/>
              <w:snapToGrid w:val="0"/>
              <w:spacing w:line="360" w:lineRule="auto"/>
              <w:jc w:val="both"/>
              <w:rPr>
                <w:sz w:val="18"/>
                <w:szCs w:val="18"/>
              </w:rPr>
            </w:pPr>
          </w:p>
        </w:tc>
        <w:tc>
          <w:tcPr>
            <w:tcW w:w="2064" w:type="dxa"/>
            <w:vMerge w:val="continue"/>
            <w:tcMar>
              <w:left w:w="108" w:type="dxa"/>
              <w:right w:w="108" w:type="dxa"/>
            </w:tcMar>
            <w:vAlign w:val="center"/>
          </w:tcPr>
          <w:p w14:paraId="5494FBF7">
            <w:pPr>
              <w:pStyle w:val="24"/>
              <w:kinsoku w:val="0"/>
              <w:overflowPunct w:val="0"/>
              <w:snapToGrid w:val="0"/>
              <w:spacing w:line="360" w:lineRule="auto"/>
              <w:jc w:val="both"/>
              <w:rPr>
                <w:sz w:val="18"/>
                <w:szCs w:val="18"/>
              </w:rPr>
            </w:pPr>
          </w:p>
        </w:tc>
      </w:tr>
      <w:tr w14:paraId="0959932C">
        <w:tblPrEx>
          <w:tblCellMar>
            <w:top w:w="0" w:type="dxa"/>
            <w:left w:w="0" w:type="dxa"/>
            <w:bottom w:w="0" w:type="dxa"/>
            <w:right w:w="0" w:type="dxa"/>
          </w:tblCellMar>
        </w:tblPrEx>
        <w:tc>
          <w:tcPr>
            <w:tcW w:w="1119" w:type="dxa"/>
            <w:tcBorders>
              <w:bottom w:val="dashSmallGap" w:color="auto" w:sz="4" w:space="0"/>
            </w:tcBorders>
            <w:tcMar>
              <w:left w:w="108" w:type="dxa"/>
              <w:right w:w="108" w:type="dxa"/>
            </w:tcMar>
            <w:vAlign w:val="center"/>
          </w:tcPr>
          <w:p w14:paraId="10CE7243">
            <w:pPr>
              <w:pStyle w:val="24"/>
              <w:kinsoku w:val="0"/>
              <w:overflowPunct w:val="0"/>
              <w:snapToGrid w:val="0"/>
              <w:spacing w:line="360" w:lineRule="auto"/>
              <w:jc w:val="both"/>
              <w:rPr>
                <w:sz w:val="18"/>
                <w:szCs w:val="18"/>
              </w:rPr>
            </w:pPr>
          </w:p>
        </w:tc>
        <w:tc>
          <w:tcPr>
            <w:tcW w:w="1373" w:type="dxa"/>
            <w:tcBorders>
              <w:bottom w:val="dashSmallGap" w:color="auto" w:sz="4" w:space="0"/>
            </w:tcBorders>
            <w:tcMar>
              <w:left w:w="108" w:type="dxa"/>
              <w:right w:w="108" w:type="dxa"/>
            </w:tcMar>
            <w:vAlign w:val="center"/>
          </w:tcPr>
          <w:p w14:paraId="5B02359A">
            <w:pPr>
              <w:pStyle w:val="24"/>
              <w:kinsoku w:val="0"/>
              <w:overflowPunct w:val="0"/>
              <w:snapToGrid w:val="0"/>
              <w:spacing w:line="360" w:lineRule="auto"/>
              <w:jc w:val="both"/>
              <w:rPr>
                <w:sz w:val="18"/>
                <w:szCs w:val="18"/>
              </w:rPr>
            </w:pPr>
          </w:p>
        </w:tc>
        <w:tc>
          <w:tcPr>
            <w:tcW w:w="1754" w:type="dxa"/>
            <w:tcBorders>
              <w:bottom w:val="dashSmallGap" w:color="auto" w:sz="4" w:space="0"/>
            </w:tcBorders>
            <w:tcMar>
              <w:left w:w="108" w:type="dxa"/>
              <w:right w:w="108" w:type="dxa"/>
            </w:tcMar>
            <w:vAlign w:val="center"/>
          </w:tcPr>
          <w:p w14:paraId="7ECF36CC">
            <w:pPr>
              <w:pStyle w:val="24"/>
              <w:kinsoku w:val="0"/>
              <w:overflowPunct w:val="0"/>
              <w:snapToGrid w:val="0"/>
              <w:spacing w:line="360" w:lineRule="auto"/>
              <w:jc w:val="both"/>
              <w:rPr>
                <w:sz w:val="18"/>
                <w:szCs w:val="18"/>
              </w:rPr>
            </w:pPr>
            <w:r>
              <w:rPr>
                <w:sz w:val="18"/>
                <w:szCs w:val="18"/>
              </w:rPr>
              <w:t>(pfu/mL)</w:t>
            </w:r>
          </w:p>
        </w:tc>
        <w:tc>
          <w:tcPr>
            <w:tcW w:w="2219" w:type="dxa"/>
            <w:tcBorders>
              <w:bottom w:val="dashSmallGap" w:color="auto" w:sz="4" w:space="0"/>
            </w:tcBorders>
            <w:tcMar>
              <w:left w:w="108" w:type="dxa"/>
              <w:right w:w="108" w:type="dxa"/>
            </w:tcMar>
            <w:vAlign w:val="center"/>
          </w:tcPr>
          <w:p w14:paraId="6E7638DA">
            <w:pPr>
              <w:pStyle w:val="24"/>
              <w:kinsoku w:val="0"/>
              <w:overflowPunct w:val="0"/>
              <w:snapToGrid w:val="0"/>
              <w:spacing w:line="360" w:lineRule="auto"/>
              <w:jc w:val="both"/>
              <w:rPr>
                <w:sz w:val="18"/>
                <w:szCs w:val="18"/>
              </w:rPr>
            </w:pPr>
            <w:r>
              <w:rPr>
                <w:sz w:val="18"/>
                <w:szCs w:val="18"/>
              </w:rPr>
              <w:t>(pfu/mL)</w:t>
            </w:r>
          </w:p>
        </w:tc>
        <w:tc>
          <w:tcPr>
            <w:tcW w:w="2064" w:type="dxa"/>
            <w:vMerge w:val="continue"/>
            <w:tcBorders>
              <w:bottom w:val="dashSmallGap" w:color="auto" w:sz="4" w:space="0"/>
            </w:tcBorders>
            <w:tcMar>
              <w:left w:w="108" w:type="dxa"/>
              <w:right w:w="108" w:type="dxa"/>
            </w:tcMar>
            <w:vAlign w:val="center"/>
          </w:tcPr>
          <w:p w14:paraId="486FF011">
            <w:pPr>
              <w:pStyle w:val="24"/>
              <w:kinsoku w:val="0"/>
              <w:overflowPunct w:val="0"/>
              <w:snapToGrid w:val="0"/>
              <w:spacing w:line="360" w:lineRule="auto"/>
              <w:jc w:val="both"/>
              <w:rPr>
                <w:sz w:val="18"/>
                <w:szCs w:val="18"/>
              </w:rPr>
            </w:pPr>
          </w:p>
        </w:tc>
      </w:tr>
      <w:tr w14:paraId="17023CB3">
        <w:tblPrEx>
          <w:tblCellMar>
            <w:top w:w="0" w:type="dxa"/>
            <w:left w:w="0" w:type="dxa"/>
            <w:bottom w:w="0" w:type="dxa"/>
            <w:right w:w="0" w:type="dxa"/>
          </w:tblCellMar>
        </w:tblPrEx>
        <w:tc>
          <w:tcPr>
            <w:tcW w:w="1119" w:type="dxa"/>
            <w:tcBorders>
              <w:top w:val="dashSmallGap" w:color="auto" w:sz="4" w:space="0"/>
            </w:tcBorders>
            <w:tcMar>
              <w:left w:w="108" w:type="dxa"/>
              <w:right w:w="108" w:type="dxa"/>
            </w:tcMar>
            <w:vAlign w:val="center"/>
          </w:tcPr>
          <w:p w14:paraId="4C6FAE0A">
            <w:pPr>
              <w:pStyle w:val="24"/>
              <w:kinsoku w:val="0"/>
              <w:overflowPunct w:val="0"/>
              <w:snapToGrid w:val="0"/>
              <w:spacing w:line="360" w:lineRule="auto"/>
              <w:jc w:val="both"/>
              <w:rPr>
                <w:sz w:val="18"/>
                <w:szCs w:val="18"/>
              </w:rPr>
            </w:pPr>
            <w:r>
              <w:rPr>
                <w:sz w:val="18"/>
                <w:szCs w:val="18"/>
              </w:rPr>
              <w:t>1</w:t>
            </w:r>
          </w:p>
        </w:tc>
        <w:tc>
          <w:tcPr>
            <w:tcW w:w="1373" w:type="dxa"/>
            <w:tcBorders>
              <w:top w:val="dashSmallGap" w:color="auto" w:sz="4" w:space="0"/>
            </w:tcBorders>
            <w:tcMar>
              <w:left w:w="108" w:type="dxa"/>
              <w:right w:w="108" w:type="dxa"/>
            </w:tcMar>
            <w:vAlign w:val="center"/>
          </w:tcPr>
          <w:p w14:paraId="7374922B">
            <w:pPr>
              <w:pStyle w:val="24"/>
              <w:kinsoku w:val="0"/>
              <w:overflowPunct w:val="0"/>
              <w:snapToGrid w:val="0"/>
              <w:spacing w:line="360" w:lineRule="auto"/>
              <w:jc w:val="both"/>
              <w:rPr>
                <w:sz w:val="18"/>
                <w:szCs w:val="18"/>
              </w:rPr>
            </w:pPr>
            <w:r>
              <w:rPr>
                <w:sz w:val="18"/>
                <w:szCs w:val="18"/>
              </w:rPr>
              <w:t>10/28/96</w:t>
            </w:r>
          </w:p>
        </w:tc>
        <w:tc>
          <w:tcPr>
            <w:tcW w:w="1754" w:type="dxa"/>
            <w:tcBorders>
              <w:top w:val="dashSmallGap" w:color="auto" w:sz="4" w:space="0"/>
            </w:tcBorders>
            <w:tcMar>
              <w:left w:w="108" w:type="dxa"/>
              <w:right w:w="108" w:type="dxa"/>
            </w:tcMar>
            <w:vAlign w:val="center"/>
          </w:tcPr>
          <w:p w14:paraId="5A1861F9">
            <w:pPr>
              <w:pStyle w:val="24"/>
              <w:kinsoku w:val="0"/>
              <w:overflowPunct w:val="0"/>
              <w:snapToGrid w:val="0"/>
              <w:spacing w:line="360" w:lineRule="auto"/>
              <w:jc w:val="both"/>
              <w:rPr>
                <w:sz w:val="18"/>
                <w:szCs w:val="18"/>
              </w:rPr>
            </w:pPr>
            <w:r>
              <w:rPr>
                <w:sz w:val="18"/>
                <w:szCs w:val="18"/>
              </w:rPr>
              <w:t>1.15x10</w:t>
            </w:r>
            <w:r>
              <w:rPr>
                <w:sz w:val="18"/>
                <w:szCs w:val="18"/>
                <w:vertAlign w:val="superscript"/>
              </w:rPr>
              <w:t>8</w:t>
            </w:r>
          </w:p>
        </w:tc>
        <w:tc>
          <w:tcPr>
            <w:tcW w:w="2219" w:type="dxa"/>
            <w:tcBorders>
              <w:top w:val="dashSmallGap" w:color="auto" w:sz="4" w:space="0"/>
            </w:tcBorders>
            <w:tcMar>
              <w:left w:w="108" w:type="dxa"/>
              <w:right w:w="108" w:type="dxa"/>
            </w:tcMar>
            <w:vAlign w:val="center"/>
          </w:tcPr>
          <w:p w14:paraId="74736C17">
            <w:pPr>
              <w:pStyle w:val="24"/>
              <w:kinsoku w:val="0"/>
              <w:overflowPunct w:val="0"/>
              <w:snapToGrid w:val="0"/>
              <w:spacing w:line="360" w:lineRule="auto"/>
              <w:jc w:val="both"/>
              <w:rPr>
                <w:sz w:val="18"/>
                <w:szCs w:val="18"/>
              </w:rPr>
            </w:pPr>
            <w:r>
              <w:rPr>
                <w:sz w:val="18"/>
                <w:szCs w:val="18"/>
              </w:rPr>
              <w:t>1.14x10</w:t>
            </w:r>
            <w:r>
              <w:rPr>
                <w:sz w:val="18"/>
                <w:szCs w:val="18"/>
                <w:vertAlign w:val="superscript"/>
              </w:rPr>
              <w:t>8</w:t>
            </w:r>
          </w:p>
        </w:tc>
        <w:tc>
          <w:tcPr>
            <w:tcW w:w="2064" w:type="dxa"/>
            <w:tcBorders>
              <w:top w:val="dashSmallGap" w:color="auto" w:sz="4" w:space="0"/>
            </w:tcBorders>
            <w:tcMar>
              <w:left w:w="108" w:type="dxa"/>
              <w:right w:w="108" w:type="dxa"/>
            </w:tcMar>
            <w:vAlign w:val="center"/>
          </w:tcPr>
          <w:p w14:paraId="0B069802">
            <w:pPr>
              <w:pStyle w:val="24"/>
              <w:kinsoku w:val="0"/>
              <w:overflowPunct w:val="0"/>
              <w:snapToGrid w:val="0"/>
              <w:spacing w:line="360" w:lineRule="auto"/>
              <w:jc w:val="both"/>
              <w:rPr>
                <w:sz w:val="18"/>
                <w:szCs w:val="18"/>
              </w:rPr>
            </w:pPr>
            <w:r>
              <w:rPr>
                <w:sz w:val="18"/>
                <w:szCs w:val="18"/>
              </w:rPr>
              <w:t>0.99</w:t>
            </w:r>
          </w:p>
        </w:tc>
      </w:tr>
      <w:tr w14:paraId="3495CE98">
        <w:tblPrEx>
          <w:tblCellMar>
            <w:top w:w="0" w:type="dxa"/>
            <w:left w:w="0" w:type="dxa"/>
            <w:bottom w:w="0" w:type="dxa"/>
            <w:right w:w="0" w:type="dxa"/>
          </w:tblCellMar>
        </w:tblPrEx>
        <w:tc>
          <w:tcPr>
            <w:tcW w:w="1119" w:type="dxa"/>
            <w:tcMar>
              <w:left w:w="108" w:type="dxa"/>
              <w:right w:w="108" w:type="dxa"/>
            </w:tcMar>
            <w:vAlign w:val="center"/>
          </w:tcPr>
          <w:p w14:paraId="4BDF6CCD">
            <w:pPr>
              <w:pStyle w:val="24"/>
              <w:kinsoku w:val="0"/>
              <w:overflowPunct w:val="0"/>
              <w:snapToGrid w:val="0"/>
              <w:spacing w:line="360" w:lineRule="auto"/>
              <w:jc w:val="both"/>
              <w:rPr>
                <w:sz w:val="18"/>
                <w:szCs w:val="18"/>
              </w:rPr>
            </w:pPr>
          </w:p>
        </w:tc>
        <w:tc>
          <w:tcPr>
            <w:tcW w:w="1373" w:type="dxa"/>
            <w:tcMar>
              <w:left w:w="108" w:type="dxa"/>
              <w:right w:w="108" w:type="dxa"/>
            </w:tcMar>
            <w:vAlign w:val="center"/>
          </w:tcPr>
          <w:p w14:paraId="555DE324">
            <w:pPr>
              <w:pStyle w:val="24"/>
              <w:kinsoku w:val="0"/>
              <w:overflowPunct w:val="0"/>
              <w:snapToGrid w:val="0"/>
              <w:spacing w:line="360" w:lineRule="auto"/>
              <w:jc w:val="both"/>
              <w:rPr>
                <w:sz w:val="18"/>
                <w:szCs w:val="18"/>
              </w:rPr>
            </w:pPr>
          </w:p>
        </w:tc>
        <w:tc>
          <w:tcPr>
            <w:tcW w:w="1754" w:type="dxa"/>
            <w:tcMar>
              <w:left w:w="108" w:type="dxa"/>
              <w:right w:w="108" w:type="dxa"/>
            </w:tcMar>
            <w:vAlign w:val="center"/>
          </w:tcPr>
          <w:p w14:paraId="0DDFC0C9">
            <w:pPr>
              <w:pStyle w:val="24"/>
              <w:kinsoku w:val="0"/>
              <w:overflowPunct w:val="0"/>
              <w:snapToGrid w:val="0"/>
              <w:spacing w:line="360" w:lineRule="auto"/>
              <w:jc w:val="both"/>
              <w:rPr>
                <w:sz w:val="18"/>
                <w:szCs w:val="18"/>
              </w:rPr>
            </w:pPr>
            <w:r>
              <w:rPr>
                <w:sz w:val="18"/>
                <w:szCs w:val="18"/>
              </w:rPr>
              <w:t>(±0.11)</w:t>
            </w:r>
          </w:p>
        </w:tc>
        <w:tc>
          <w:tcPr>
            <w:tcW w:w="2219" w:type="dxa"/>
            <w:tcMar>
              <w:left w:w="108" w:type="dxa"/>
              <w:right w:w="108" w:type="dxa"/>
            </w:tcMar>
            <w:vAlign w:val="center"/>
          </w:tcPr>
          <w:p w14:paraId="5BF3974A">
            <w:pPr>
              <w:pStyle w:val="24"/>
              <w:kinsoku w:val="0"/>
              <w:overflowPunct w:val="0"/>
              <w:snapToGrid w:val="0"/>
              <w:spacing w:line="360" w:lineRule="auto"/>
              <w:jc w:val="both"/>
              <w:rPr>
                <w:sz w:val="18"/>
                <w:szCs w:val="18"/>
              </w:rPr>
            </w:pPr>
            <w:r>
              <w:rPr>
                <w:sz w:val="18"/>
                <w:szCs w:val="18"/>
              </w:rPr>
              <w:t>(±0.13)</w:t>
            </w:r>
          </w:p>
        </w:tc>
        <w:tc>
          <w:tcPr>
            <w:tcW w:w="2064" w:type="dxa"/>
            <w:tcMar>
              <w:left w:w="108" w:type="dxa"/>
              <w:right w:w="108" w:type="dxa"/>
            </w:tcMar>
            <w:vAlign w:val="center"/>
          </w:tcPr>
          <w:p w14:paraId="2AFFDB89">
            <w:pPr>
              <w:pStyle w:val="24"/>
              <w:kinsoku w:val="0"/>
              <w:overflowPunct w:val="0"/>
              <w:snapToGrid w:val="0"/>
              <w:spacing w:line="360" w:lineRule="auto"/>
              <w:jc w:val="both"/>
              <w:rPr>
                <w:sz w:val="18"/>
                <w:szCs w:val="18"/>
              </w:rPr>
            </w:pPr>
          </w:p>
        </w:tc>
      </w:tr>
      <w:tr w14:paraId="57D207CB">
        <w:tblPrEx>
          <w:tblCellMar>
            <w:top w:w="0" w:type="dxa"/>
            <w:left w:w="0" w:type="dxa"/>
            <w:bottom w:w="0" w:type="dxa"/>
            <w:right w:w="0" w:type="dxa"/>
          </w:tblCellMar>
        </w:tblPrEx>
        <w:tc>
          <w:tcPr>
            <w:tcW w:w="8529" w:type="dxa"/>
            <w:gridSpan w:val="5"/>
            <w:tcBorders>
              <w:bottom w:val="dashSmallGap" w:color="auto" w:sz="4" w:space="0"/>
            </w:tcBorders>
            <w:tcMar>
              <w:left w:w="108" w:type="dxa"/>
              <w:right w:w="108" w:type="dxa"/>
            </w:tcMar>
            <w:vAlign w:val="center"/>
          </w:tcPr>
          <w:p w14:paraId="72235D0E">
            <w:pPr>
              <w:pStyle w:val="24"/>
              <w:kinsoku w:val="0"/>
              <w:overflowPunct w:val="0"/>
              <w:snapToGrid w:val="0"/>
              <w:spacing w:line="360" w:lineRule="auto"/>
              <w:jc w:val="both"/>
              <w:rPr>
                <w:sz w:val="18"/>
                <w:szCs w:val="18"/>
              </w:rPr>
            </w:pPr>
            <w:r>
              <w:rPr>
                <w:sz w:val="18"/>
                <w:szCs w:val="18"/>
              </w:rPr>
              <w:t>·</w:t>
            </w:r>
          </w:p>
          <w:p w14:paraId="51B5D8FF">
            <w:pPr>
              <w:pStyle w:val="24"/>
              <w:kinsoku w:val="0"/>
              <w:overflowPunct w:val="0"/>
              <w:snapToGrid w:val="0"/>
              <w:spacing w:line="360" w:lineRule="auto"/>
              <w:jc w:val="both"/>
              <w:rPr>
                <w:sz w:val="18"/>
                <w:szCs w:val="18"/>
              </w:rPr>
            </w:pPr>
            <w:r>
              <w:rPr>
                <w:sz w:val="18"/>
                <w:szCs w:val="18"/>
              </w:rPr>
              <w:t>·</w:t>
            </w:r>
          </w:p>
          <w:p w14:paraId="485292AA">
            <w:pPr>
              <w:pStyle w:val="24"/>
              <w:kinsoku w:val="0"/>
              <w:overflowPunct w:val="0"/>
              <w:snapToGrid w:val="0"/>
              <w:spacing w:line="360" w:lineRule="auto"/>
              <w:jc w:val="both"/>
              <w:rPr>
                <w:sz w:val="18"/>
                <w:szCs w:val="18"/>
              </w:rPr>
            </w:pPr>
            <w:r>
              <w:rPr>
                <w:sz w:val="18"/>
                <w:szCs w:val="18"/>
              </w:rPr>
              <w:t>·</w:t>
            </w:r>
          </w:p>
          <w:p w14:paraId="22D17068">
            <w:pPr>
              <w:pStyle w:val="24"/>
              <w:kinsoku w:val="0"/>
              <w:overflowPunct w:val="0"/>
              <w:snapToGrid w:val="0"/>
              <w:spacing w:line="360" w:lineRule="auto"/>
              <w:jc w:val="both"/>
              <w:rPr>
                <w:sz w:val="18"/>
                <w:szCs w:val="18"/>
              </w:rPr>
            </w:pPr>
          </w:p>
        </w:tc>
      </w:tr>
    </w:tbl>
    <w:p w14:paraId="2F81D18F">
      <w:pPr>
        <w:pStyle w:val="3"/>
        <w:kinsoku w:val="0"/>
        <w:overflowPunct w:val="0"/>
        <w:snapToGrid w:val="0"/>
        <w:spacing w:before="120" w:beforeLines="50" w:line="360" w:lineRule="auto"/>
        <w:ind w:left="0"/>
        <w:jc w:val="both"/>
        <w:rPr>
          <w:sz w:val="21"/>
          <w:szCs w:val="21"/>
        </w:rPr>
      </w:pPr>
      <w:r>
        <w:rPr>
          <w:rFonts w:hint="eastAsia" w:hAnsi="宋体"/>
          <w:sz w:val="21"/>
          <w:szCs w:val="21"/>
        </w:rPr>
        <w:t>对穿透鞘的病毒的可检测性测试的控制</w:t>
      </w:r>
      <w:r>
        <w:rPr>
          <w:sz w:val="21"/>
          <w:szCs w:val="21"/>
        </w:rPr>
        <w:t>(“</w:t>
      </w:r>
      <w:r>
        <w:rPr>
          <w:rFonts w:hint="eastAsia" w:hAnsi="宋体"/>
          <w:sz w:val="21"/>
          <w:szCs w:val="21"/>
        </w:rPr>
        <w:t>掺入实验</w:t>
      </w:r>
      <w:r>
        <w:rPr>
          <w:sz w:val="21"/>
          <w:szCs w:val="21"/>
        </w:rPr>
        <w:t>”)</w:t>
      </w:r>
    </w:p>
    <w:p w14:paraId="22513A7C">
      <w:pPr>
        <w:pStyle w:val="3"/>
        <w:kinsoku w:val="0"/>
        <w:overflowPunct w:val="0"/>
        <w:snapToGrid w:val="0"/>
        <w:spacing w:before="120" w:beforeLines="50" w:line="360" w:lineRule="auto"/>
        <w:ind w:left="0"/>
        <w:jc w:val="both"/>
        <w:rPr>
          <w:sz w:val="21"/>
          <w:szCs w:val="21"/>
        </w:rPr>
      </w:pPr>
      <w:r>
        <w:rPr>
          <w:rFonts w:hint="eastAsia" w:hAnsi="宋体"/>
          <w:sz w:val="21"/>
          <w:szCs w:val="21"/>
        </w:rPr>
        <w:t>确定穿透病毒的可检测性的测试结果应当以表格的形式提交，其中每个鞘的数据都应分别报告。每个测试样品的必要项有：</w:t>
      </w:r>
    </w:p>
    <w:p w14:paraId="213D713A">
      <w:pPr>
        <w:pStyle w:val="3"/>
        <w:numPr>
          <w:ilvl w:val="0"/>
          <w:numId w:val="9"/>
        </w:numPr>
        <w:kinsoku w:val="0"/>
        <w:overflowPunct w:val="0"/>
        <w:snapToGrid w:val="0"/>
        <w:spacing w:line="360" w:lineRule="auto"/>
        <w:ind w:left="900" w:leftChars="200" w:hanging="420" w:hangingChars="200"/>
        <w:jc w:val="both"/>
        <w:rPr>
          <w:sz w:val="21"/>
          <w:szCs w:val="21"/>
        </w:rPr>
      </w:pPr>
      <w:r>
        <w:rPr>
          <w:rFonts w:hint="eastAsia" w:hAnsi="宋体"/>
          <w:sz w:val="21"/>
          <w:szCs w:val="21"/>
        </w:rPr>
        <w:t>进行测试的日期，</w:t>
      </w:r>
    </w:p>
    <w:p w14:paraId="4D2D912A">
      <w:pPr>
        <w:pStyle w:val="3"/>
        <w:numPr>
          <w:ilvl w:val="0"/>
          <w:numId w:val="9"/>
        </w:numPr>
        <w:kinsoku w:val="0"/>
        <w:overflowPunct w:val="0"/>
        <w:snapToGrid w:val="0"/>
        <w:spacing w:line="360" w:lineRule="auto"/>
        <w:ind w:left="900" w:leftChars="200" w:hanging="420" w:hangingChars="200"/>
        <w:jc w:val="both"/>
        <w:rPr>
          <w:sz w:val="21"/>
          <w:szCs w:val="21"/>
        </w:rPr>
      </w:pPr>
      <w:r>
        <w:rPr>
          <w:rFonts w:hint="eastAsia" w:hAnsi="宋体"/>
          <w:sz w:val="21"/>
          <w:szCs w:val="21"/>
        </w:rPr>
        <w:t>测试开始时</w:t>
      </w:r>
      <w:r>
        <w:rPr>
          <w:sz w:val="21"/>
          <w:szCs w:val="21"/>
        </w:rPr>
        <w:t>10</w:t>
      </w:r>
      <w:r>
        <w:rPr>
          <w:rFonts w:hint="eastAsia" w:hAnsi="宋体"/>
          <w:sz w:val="21"/>
          <w:szCs w:val="21"/>
        </w:rPr>
        <w:t>微升缓冲液中的病毒</w:t>
      </w:r>
      <w:r>
        <w:rPr>
          <w:sz w:val="21"/>
          <w:szCs w:val="21"/>
        </w:rPr>
        <w:t>(pfu)</w:t>
      </w:r>
      <w:r>
        <w:rPr>
          <w:rFonts w:hint="eastAsia" w:hAnsi="宋体"/>
          <w:sz w:val="21"/>
          <w:szCs w:val="21"/>
        </w:rPr>
        <w:t>数量，</w:t>
      </w:r>
    </w:p>
    <w:p w14:paraId="6826E2F4">
      <w:pPr>
        <w:pStyle w:val="3"/>
        <w:numPr>
          <w:ilvl w:val="0"/>
          <w:numId w:val="9"/>
        </w:numPr>
        <w:kinsoku w:val="0"/>
        <w:overflowPunct w:val="0"/>
        <w:snapToGrid w:val="0"/>
        <w:spacing w:line="360" w:lineRule="auto"/>
        <w:ind w:left="900" w:leftChars="200" w:hanging="420" w:hangingChars="200"/>
        <w:jc w:val="both"/>
        <w:rPr>
          <w:sz w:val="21"/>
          <w:szCs w:val="21"/>
        </w:rPr>
      </w:pPr>
      <w:r>
        <w:rPr>
          <w:rFonts w:hint="eastAsia" w:hAnsi="宋体"/>
          <w:sz w:val="21"/>
          <w:szCs w:val="21"/>
        </w:rPr>
        <w:t>测试结束时缓冲液中的病毒</w:t>
      </w:r>
      <w:r>
        <w:rPr>
          <w:sz w:val="21"/>
          <w:szCs w:val="21"/>
        </w:rPr>
        <w:t>(pfu)</w:t>
      </w:r>
      <w:r>
        <w:rPr>
          <w:rFonts w:hint="eastAsia" w:hAnsi="宋体"/>
          <w:sz w:val="21"/>
          <w:szCs w:val="21"/>
        </w:rPr>
        <w:t>总数量</w:t>
      </w:r>
      <w:r>
        <w:rPr>
          <w:sz w:val="21"/>
          <w:szCs w:val="21"/>
        </w:rPr>
        <w:t xml:space="preserve">, </w:t>
      </w:r>
      <w:r>
        <w:rPr>
          <w:rFonts w:hint="eastAsia" w:hAnsi="宋体"/>
          <w:sz w:val="21"/>
          <w:szCs w:val="21"/>
        </w:rPr>
        <w:t>及</w:t>
      </w:r>
    </w:p>
    <w:p w14:paraId="36DD9DA8">
      <w:pPr>
        <w:pStyle w:val="3"/>
        <w:numPr>
          <w:ilvl w:val="0"/>
          <w:numId w:val="9"/>
        </w:numPr>
        <w:kinsoku w:val="0"/>
        <w:overflowPunct w:val="0"/>
        <w:snapToGrid w:val="0"/>
        <w:spacing w:line="360" w:lineRule="auto"/>
        <w:ind w:left="900" w:leftChars="200" w:hanging="420" w:hangingChars="200"/>
        <w:jc w:val="both"/>
        <w:rPr>
          <w:sz w:val="21"/>
          <w:szCs w:val="21"/>
        </w:rPr>
      </w:pPr>
      <w:r>
        <w:rPr>
          <w:rFonts w:hint="eastAsia" w:hAnsi="宋体"/>
          <w:sz w:val="21"/>
          <w:szCs w:val="21"/>
        </w:rPr>
        <w:t>最终数量与起始数量的计算比。</w:t>
      </w:r>
    </w:p>
    <w:p w14:paraId="6EF608E6">
      <w:pPr>
        <w:pStyle w:val="3"/>
        <w:kinsoku w:val="0"/>
        <w:overflowPunct w:val="0"/>
        <w:snapToGrid w:val="0"/>
        <w:spacing w:before="240" w:beforeLines="100" w:line="360" w:lineRule="auto"/>
        <w:ind w:left="0"/>
        <w:jc w:val="both"/>
        <w:rPr>
          <w:sz w:val="21"/>
          <w:szCs w:val="21"/>
        </w:rPr>
      </w:pPr>
      <w:r>
        <w:rPr>
          <w:rFonts w:hint="eastAsia" w:hAnsi="宋体"/>
          <w:sz w:val="21"/>
          <w:szCs w:val="21"/>
        </w:rPr>
        <w:t>示例</w:t>
      </w:r>
      <w:r>
        <w:rPr>
          <w:sz w:val="21"/>
          <w:szCs w:val="21"/>
        </w:rPr>
        <w:t xml:space="preserve"> </w:t>
      </w:r>
      <w:r>
        <w:rPr>
          <w:rFonts w:hint="eastAsia" w:hAnsi="宋体"/>
          <w:sz w:val="21"/>
          <w:szCs w:val="21"/>
        </w:rPr>
        <w:t>表</w:t>
      </w:r>
      <w:r>
        <w:rPr>
          <w:sz w:val="21"/>
          <w:szCs w:val="21"/>
        </w:rPr>
        <w:t xml:space="preserve"> III. </w:t>
      </w:r>
      <w:r>
        <w:rPr>
          <w:rFonts w:hint="eastAsia"/>
          <w:sz w:val="21"/>
          <w:szCs w:val="21"/>
        </w:rPr>
        <w:t>品牌</w:t>
      </w:r>
      <w:r>
        <w:rPr>
          <w:sz w:val="21"/>
          <w:szCs w:val="21"/>
        </w:rPr>
        <w:t>X</w:t>
      </w:r>
      <w:r>
        <w:rPr>
          <w:rFonts w:hint="eastAsia" w:hAnsi="宋体"/>
          <w:sz w:val="21"/>
          <w:szCs w:val="21"/>
        </w:rPr>
        <w:t>鞘样品中的穿透病毒的可恢复性的测试结果</w:t>
      </w:r>
      <w:r>
        <w:rPr>
          <w:rFonts w:hint="eastAsia"/>
          <w:sz w:val="21"/>
          <w:szCs w:val="21"/>
        </w:rPr>
        <w:t>，</w:t>
      </w:r>
      <w:r>
        <w:rPr>
          <w:sz w:val="21"/>
          <w:szCs w:val="21"/>
        </w:rPr>
        <w:t xml:space="preserve"> </w:t>
      </w:r>
      <w:r>
        <w:rPr>
          <w:rFonts w:hint="eastAsia" w:hAnsi="宋体"/>
          <w:sz w:val="21"/>
          <w:szCs w:val="21"/>
        </w:rPr>
        <w:t>批</w:t>
      </w:r>
      <w:r>
        <w:rPr>
          <w:rFonts w:hint="eastAsia"/>
          <w:sz w:val="21"/>
          <w:szCs w:val="21"/>
        </w:rPr>
        <w:t xml:space="preserve">次 </w:t>
      </w:r>
      <w:r>
        <w:rPr>
          <w:sz w:val="21"/>
          <w:szCs w:val="21"/>
        </w:rPr>
        <w:t>34068</w:t>
      </w:r>
      <w:r>
        <w:rPr>
          <w:rFonts w:hint="eastAsia" w:hAnsi="宋体"/>
          <w:sz w:val="21"/>
          <w:szCs w:val="21"/>
        </w:rPr>
        <w:t>。</w:t>
      </w:r>
    </w:p>
    <w:tbl>
      <w:tblPr>
        <w:tblStyle w:val="11"/>
        <w:tblW w:w="8529" w:type="dxa"/>
        <w:tblInd w:w="0" w:type="dxa"/>
        <w:tblLayout w:type="fixed"/>
        <w:tblCellMar>
          <w:top w:w="0" w:type="dxa"/>
          <w:left w:w="108" w:type="dxa"/>
          <w:bottom w:w="0" w:type="dxa"/>
          <w:right w:w="108" w:type="dxa"/>
        </w:tblCellMar>
      </w:tblPr>
      <w:tblGrid>
        <w:gridCol w:w="1412"/>
        <w:gridCol w:w="1436"/>
        <w:gridCol w:w="1938"/>
        <w:gridCol w:w="2192"/>
        <w:gridCol w:w="1551"/>
      </w:tblGrid>
      <w:tr w14:paraId="4E03A37F">
        <w:tblPrEx>
          <w:tblCellMar>
            <w:top w:w="0" w:type="dxa"/>
            <w:left w:w="108" w:type="dxa"/>
            <w:bottom w:w="0" w:type="dxa"/>
            <w:right w:w="108" w:type="dxa"/>
          </w:tblCellMar>
        </w:tblPrEx>
        <w:tc>
          <w:tcPr>
            <w:tcW w:w="1412" w:type="dxa"/>
            <w:tcBorders>
              <w:top w:val="dashSmallGap" w:color="auto" w:sz="4" w:space="0"/>
            </w:tcBorders>
            <w:tcMar>
              <w:left w:w="108" w:type="dxa"/>
              <w:right w:w="108" w:type="dxa"/>
            </w:tcMar>
            <w:vAlign w:val="center"/>
          </w:tcPr>
          <w:p w14:paraId="6FC05BB5">
            <w:pPr>
              <w:pStyle w:val="24"/>
              <w:kinsoku w:val="0"/>
              <w:overflowPunct w:val="0"/>
              <w:snapToGrid w:val="0"/>
              <w:spacing w:line="360" w:lineRule="auto"/>
              <w:jc w:val="both"/>
              <w:rPr>
                <w:sz w:val="18"/>
                <w:szCs w:val="18"/>
              </w:rPr>
            </w:pPr>
            <w:r>
              <w:rPr>
                <w:rFonts w:hint="eastAsia" w:hAnsi="宋体"/>
                <w:sz w:val="18"/>
                <w:szCs w:val="18"/>
              </w:rPr>
              <w:t>样品</w:t>
            </w:r>
          </w:p>
        </w:tc>
        <w:tc>
          <w:tcPr>
            <w:tcW w:w="1436" w:type="dxa"/>
            <w:tcBorders>
              <w:top w:val="dashSmallGap" w:color="auto" w:sz="4" w:space="0"/>
            </w:tcBorders>
            <w:tcMar>
              <w:left w:w="108" w:type="dxa"/>
              <w:right w:w="108" w:type="dxa"/>
            </w:tcMar>
            <w:vAlign w:val="center"/>
          </w:tcPr>
          <w:p w14:paraId="418B2E35">
            <w:pPr>
              <w:pStyle w:val="24"/>
              <w:kinsoku w:val="0"/>
              <w:overflowPunct w:val="0"/>
              <w:snapToGrid w:val="0"/>
              <w:spacing w:line="360" w:lineRule="auto"/>
              <w:jc w:val="center"/>
              <w:rPr>
                <w:sz w:val="18"/>
                <w:szCs w:val="18"/>
              </w:rPr>
            </w:pPr>
            <w:r>
              <w:rPr>
                <w:rFonts w:hint="eastAsia" w:hAnsi="宋体"/>
                <w:sz w:val="18"/>
                <w:szCs w:val="18"/>
              </w:rPr>
              <w:t>日期</w:t>
            </w:r>
          </w:p>
        </w:tc>
        <w:tc>
          <w:tcPr>
            <w:tcW w:w="1938" w:type="dxa"/>
            <w:vMerge w:val="restart"/>
            <w:tcBorders>
              <w:top w:val="dashSmallGap" w:color="auto" w:sz="4" w:space="0"/>
            </w:tcBorders>
            <w:tcMar>
              <w:left w:w="108" w:type="dxa"/>
              <w:right w:w="108" w:type="dxa"/>
            </w:tcMar>
            <w:vAlign w:val="center"/>
          </w:tcPr>
          <w:p w14:paraId="1378800C">
            <w:pPr>
              <w:pStyle w:val="3"/>
              <w:kinsoku w:val="0"/>
              <w:overflowPunct w:val="0"/>
              <w:snapToGrid w:val="0"/>
              <w:spacing w:line="360" w:lineRule="auto"/>
              <w:ind w:left="0"/>
              <w:jc w:val="center"/>
              <w:rPr>
                <w:sz w:val="18"/>
                <w:szCs w:val="18"/>
              </w:rPr>
            </w:pPr>
            <w:r>
              <w:rPr>
                <w:rFonts w:hint="eastAsia" w:hAnsi="宋体"/>
                <w:sz w:val="18"/>
                <w:szCs w:val="18"/>
              </w:rPr>
              <w:t>起始</w:t>
            </w:r>
          </w:p>
          <w:p w14:paraId="10D50934">
            <w:pPr>
              <w:pStyle w:val="24"/>
              <w:kinsoku w:val="0"/>
              <w:overflowPunct w:val="0"/>
              <w:snapToGrid w:val="0"/>
              <w:spacing w:line="360" w:lineRule="auto"/>
              <w:jc w:val="center"/>
              <w:rPr>
                <w:sz w:val="18"/>
                <w:szCs w:val="18"/>
              </w:rPr>
            </w:pPr>
            <w:r>
              <w:rPr>
                <w:rFonts w:hint="eastAsia" w:hAnsi="宋体"/>
                <w:sz w:val="18"/>
                <w:szCs w:val="18"/>
              </w:rPr>
              <w:t>病毒数量</w:t>
            </w:r>
          </w:p>
          <w:p w14:paraId="57CED63F">
            <w:pPr>
              <w:pStyle w:val="24"/>
              <w:kinsoku w:val="0"/>
              <w:overflowPunct w:val="0"/>
              <w:snapToGrid w:val="0"/>
              <w:spacing w:line="360" w:lineRule="auto"/>
              <w:jc w:val="center"/>
              <w:rPr>
                <w:sz w:val="18"/>
                <w:szCs w:val="18"/>
              </w:rPr>
            </w:pPr>
            <w:r>
              <w:rPr>
                <w:sz w:val="18"/>
                <w:szCs w:val="18"/>
              </w:rPr>
              <w:t>(pfu/10µL)</w:t>
            </w:r>
          </w:p>
        </w:tc>
        <w:tc>
          <w:tcPr>
            <w:tcW w:w="2192" w:type="dxa"/>
            <w:vMerge w:val="restart"/>
            <w:tcBorders>
              <w:top w:val="dashSmallGap" w:color="auto" w:sz="4" w:space="0"/>
            </w:tcBorders>
            <w:tcMar>
              <w:left w:w="108" w:type="dxa"/>
              <w:right w:w="108" w:type="dxa"/>
            </w:tcMar>
            <w:vAlign w:val="center"/>
          </w:tcPr>
          <w:p w14:paraId="34FE1E3B">
            <w:pPr>
              <w:pStyle w:val="3"/>
              <w:kinsoku w:val="0"/>
              <w:overflowPunct w:val="0"/>
              <w:snapToGrid w:val="0"/>
              <w:spacing w:line="360" w:lineRule="auto"/>
              <w:ind w:left="0"/>
              <w:jc w:val="center"/>
              <w:rPr>
                <w:sz w:val="18"/>
                <w:szCs w:val="18"/>
              </w:rPr>
            </w:pPr>
            <w:r>
              <w:rPr>
                <w:rFonts w:hint="eastAsia" w:hAnsi="宋体"/>
                <w:sz w:val="18"/>
                <w:szCs w:val="18"/>
              </w:rPr>
              <w:t>最终</w:t>
            </w:r>
          </w:p>
          <w:p w14:paraId="13DA9421">
            <w:pPr>
              <w:pStyle w:val="24"/>
              <w:kinsoku w:val="0"/>
              <w:overflowPunct w:val="0"/>
              <w:snapToGrid w:val="0"/>
              <w:spacing w:line="360" w:lineRule="auto"/>
              <w:jc w:val="center"/>
              <w:rPr>
                <w:sz w:val="18"/>
                <w:szCs w:val="18"/>
              </w:rPr>
            </w:pPr>
            <w:r>
              <w:rPr>
                <w:rFonts w:hint="eastAsia" w:hAnsi="宋体"/>
                <w:sz w:val="18"/>
                <w:szCs w:val="18"/>
              </w:rPr>
              <w:t>病毒数量</w:t>
            </w:r>
          </w:p>
          <w:p w14:paraId="43716F89">
            <w:pPr>
              <w:pStyle w:val="24"/>
              <w:kinsoku w:val="0"/>
              <w:overflowPunct w:val="0"/>
              <w:snapToGrid w:val="0"/>
              <w:spacing w:line="360" w:lineRule="auto"/>
              <w:jc w:val="center"/>
              <w:rPr>
                <w:sz w:val="18"/>
                <w:szCs w:val="18"/>
              </w:rPr>
            </w:pPr>
            <w:r>
              <w:rPr>
                <w:sz w:val="18"/>
                <w:szCs w:val="18"/>
              </w:rPr>
              <w:t>(pfu/100mL)</w:t>
            </w:r>
          </w:p>
        </w:tc>
        <w:tc>
          <w:tcPr>
            <w:tcW w:w="1551" w:type="dxa"/>
            <w:vMerge w:val="restart"/>
            <w:tcBorders>
              <w:top w:val="dashSmallGap" w:color="auto" w:sz="4" w:space="0"/>
            </w:tcBorders>
            <w:tcMar>
              <w:left w:w="108" w:type="dxa"/>
              <w:right w:w="108" w:type="dxa"/>
            </w:tcMar>
            <w:vAlign w:val="center"/>
          </w:tcPr>
          <w:p w14:paraId="71D0A16D">
            <w:pPr>
              <w:pStyle w:val="24"/>
              <w:kinsoku w:val="0"/>
              <w:overflowPunct w:val="0"/>
              <w:snapToGrid w:val="0"/>
              <w:spacing w:line="360" w:lineRule="auto"/>
              <w:jc w:val="center"/>
              <w:rPr>
                <w:sz w:val="18"/>
                <w:szCs w:val="18"/>
              </w:rPr>
            </w:pPr>
            <w:r>
              <w:rPr>
                <w:rFonts w:hint="eastAsia" w:hAnsi="宋体"/>
                <w:sz w:val="18"/>
                <w:szCs w:val="18"/>
              </w:rPr>
              <w:t>最终</w:t>
            </w:r>
            <w:r>
              <w:rPr>
                <w:sz w:val="18"/>
                <w:szCs w:val="18"/>
              </w:rPr>
              <w:t>/</w:t>
            </w:r>
            <w:r>
              <w:rPr>
                <w:rFonts w:hint="eastAsia" w:hAnsi="宋体"/>
                <w:sz w:val="18"/>
                <w:szCs w:val="18"/>
              </w:rPr>
              <w:t>起始计算比</w:t>
            </w:r>
          </w:p>
          <w:p w14:paraId="6BCDB773">
            <w:pPr>
              <w:pStyle w:val="24"/>
              <w:kinsoku w:val="0"/>
              <w:overflowPunct w:val="0"/>
              <w:snapToGrid w:val="0"/>
              <w:spacing w:line="360" w:lineRule="auto"/>
              <w:jc w:val="center"/>
              <w:rPr>
                <w:sz w:val="18"/>
                <w:szCs w:val="18"/>
              </w:rPr>
            </w:pPr>
          </w:p>
        </w:tc>
      </w:tr>
      <w:tr w14:paraId="313451BA">
        <w:tblPrEx>
          <w:tblCellMar>
            <w:top w:w="0" w:type="dxa"/>
            <w:left w:w="108" w:type="dxa"/>
            <w:bottom w:w="0" w:type="dxa"/>
            <w:right w:w="108" w:type="dxa"/>
          </w:tblCellMar>
        </w:tblPrEx>
        <w:tc>
          <w:tcPr>
            <w:tcW w:w="1412" w:type="dxa"/>
            <w:tcMar>
              <w:left w:w="108" w:type="dxa"/>
              <w:right w:w="108" w:type="dxa"/>
            </w:tcMar>
            <w:vAlign w:val="center"/>
          </w:tcPr>
          <w:p w14:paraId="7CA42E8D">
            <w:pPr>
              <w:pStyle w:val="3"/>
              <w:kinsoku w:val="0"/>
              <w:overflowPunct w:val="0"/>
              <w:snapToGrid w:val="0"/>
              <w:spacing w:line="360" w:lineRule="auto"/>
              <w:ind w:left="0"/>
              <w:jc w:val="both"/>
              <w:rPr>
                <w:sz w:val="18"/>
                <w:szCs w:val="18"/>
              </w:rPr>
            </w:pPr>
          </w:p>
        </w:tc>
        <w:tc>
          <w:tcPr>
            <w:tcW w:w="1436" w:type="dxa"/>
            <w:tcMar>
              <w:left w:w="108" w:type="dxa"/>
              <w:right w:w="108" w:type="dxa"/>
            </w:tcMar>
            <w:vAlign w:val="center"/>
          </w:tcPr>
          <w:p w14:paraId="419ADB3F">
            <w:pPr>
              <w:pStyle w:val="3"/>
              <w:kinsoku w:val="0"/>
              <w:overflowPunct w:val="0"/>
              <w:snapToGrid w:val="0"/>
              <w:spacing w:line="360" w:lineRule="auto"/>
              <w:ind w:left="0"/>
              <w:jc w:val="center"/>
              <w:rPr>
                <w:sz w:val="18"/>
                <w:szCs w:val="18"/>
              </w:rPr>
            </w:pPr>
          </w:p>
        </w:tc>
        <w:tc>
          <w:tcPr>
            <w:tcW w:w="1938" w:type="dxa"/>
            <w:vMerge w:val="continue"/>
            <w:tcMar>
              <w:left w:w="108" w:type="dxa"/>
              <w:right w:w="108" w:type="dxa"/>
            </w:tcMar>
            <w:vAlign w:val="center"/>
          </w:tcPr>
          <w:p w14:paraId="6CD9DBD2">
            <w:pPr>
              <w:pStyle w:val="24"/>
              <w:kinsoku w:val="0"/>
              <w:overflowPunct w:val="0"/>
              <w:snapToGrid w:val="0"/>
              <w:spacing w:line="360" w:lineRule="auto"/>
              <w:jc w:val="center"/>
              <w:rPr>
                <w:sz w:val="18"/>
                <w:szCs w:val="18"/>
              </w:rPr>
            </w:pPr>
          </w:p>
        </w:tc>
        <w:tc>
          <w:tcPr>
            <w:tcW w:w="2192" w:type="dxa"/>
            <w:vMerge w:val="continue"/>
            <w:tcMar>
              <w:left w:w="108" w:type="dxa"/>
              <w:right w:w="108" w:type="dxa"/>
            </w:tcMar>
            <w:vAlign w:val="center"/>
          </w:tcPr>
          <w:p w14:paraId="7CD3029E">
            <w:pPr>
              <w:pStyle w:val="24"/>
              <w:kinsoku w:val="0"/>
              <w:overflowPunct w:val="0"/>
              <w:snapToGrid w:val="0"/>
              <w:spacing w:line="360" w:lineRule="auto"/>
              <w:jc w:val="center"/>
              <w:rPr>
                <w:sz w:val="18"/>
                <w:szCs w:val="18"/>
              </w:rPr>
            </w:pPr>
          </w:p>
        </w:tc>
        <w:tc>
          <w:tcPr>
            <w:tcW w:w="1551" w:type="dxa"/>
            <w:vMerge w:val="continue"/>
            <w:tcMar>
              <w:left w:w="108" w:type="dxa"/>
              <w:right w:w="108" w:type="dxa"/>
            </w:tcMar>
            <w:vAlign w:val="center"/>
          </w:tcPr>
          <w:p w14:paraId="46186700">
            <w:pPr>
              <w:pStyle w:val="24"/>
              <w:kinsoku w:val="0"/>
              <w:overflowPunct w:val="0"/>
              <w:snapToGrid w:val="0"/>
              <w:spacing w:line="360" w:lineRule="auto"/>
              <w:jc w:val="center"/>
              <w:rPr>
                <w:sz w:val="18"/>
                <w:szCs w:val="18"/>
              </w:rPr>
            </w:pPr>
          </w:p>
        </w:tc>
      </w:tr>
      <w:tr w14:paraId="3B808BF5">
        <w:tblPrEx>
          <w:tblCellMar>
            <w:top w:w="0" w:type="dxa"/>
            <w:left w:w="108" w:type="dxa"/>
            <w:bottom w:w="0" w:type="dxa"/>
            <w:right w:w="108" w:type="dxa"/>
          </w:tblCellMar>
        </w:tblPrEx>
        <w:tc>
          <w:tcPr>
            <w:tcW w:w="1412" w:type="dxa"/>
            <w:tcBorders>
              <w:top w:val="dashSmallGap" w:color="auto" w:sz="4" w:space="0"/>
            </w:tcBorders>
            <w:tcMar>
              <w:left w:w="108" w:type="dxa"/>
              <w:right w:w="108" w:type="dxa"/>
            </w:tcMar>
            <w:vAlign w:val="center"/>
          </w:tcPr>
          <w:p w14:paraId="3F302789">
            <w:pPr>
              <w:pStyle w:val="3"/>
              <w:kinsoku w:val="0"/>
              <w:overflowPunct w:val="0"/>
              <w:snapToGrid w:val="0"/>
              <w:spacing w:line="360" w:lineRule="auto"/>
              <w:ind w:left="0"/>
              <w:jc w:val="both"/>
              <w:rPr>
                <w:sz w:val="18"/>
                <w:szCs w:val="18"/>
              </w:rPr>
            </w:pPr>
            <w:r>
              <w:rPr>
                <w:sz w:val="18"/>
                <w:szCs w:val="18"/>
              </w:rPr>
              <w:t>1</w:t>
            </w:r>
          </w:p>
        </w:tc>
        <w:tc>
          <w:tcPr>
            <w:tcW w:w="1436" w:type="dxa"/>
            <w:tcBorders>
              <w:top w:val="dashSmallGap" w:color="auto" w:sz="4" w:space="0"/>
            </w:tcBorders>
            <w:tcMar>
              <w:left w:w="108" w:type="dxa"/>
              <w:right w:w="108" w:type="dxa"/>
            </w:tcMar>
            <w:vAlign w:val="center"/>
          </w:tcPr>
          <w:p w14:paraId="356979E1">
            <w:pPr>
              <w:pStyle w:val="3"/>
              <w:kinsoku w:val="0"/>
              <w:overflowPunct w:val="0"/>
              <w:snapToGrid w:val="0"/>
              <w:spacing w:line="360" w:lineRule="auto"/>
              <w:ind w:left="0"/>
              <w:jc w:val="center"/>
              <w:rPr>
                <w:sz w:val="18"/>
                <w:szCs w:val="18"/>
              </w:rPr>
            </w:pPr>
            <w:r>
              <w:rPr>
                <w:sz w:val="18"/>
                <w:szCs w:val="18"/>
              </w:rPr>
              <w:t>10/28/96</w:t>
            </w:r>
          </w:p>
        </w:tc>
        <w:tc>
          <w:tcPr>
            <w:tcW w:w="1938" w:type="dxa"/>
            <w:tcBorders>
              <w:top w:val="dashSmallGap" w:color="auto" w:sz="4" w:space="0"/>
            </w:tcBorders>
            <w:tcMar>
              <w:left w:w="108" w:type="dxa"/>
              <w:right w:w="108" w:type="dxa"/>
            </w:tcMar>
            <w:vAlign w:val="center"/>
          </w:tcPr>
          <w:p w14:paraId="2A756EAD">
            <w:pPr>
              <w:pStyle w:val="24"/>
              <w:kinsoku w:val="0"/>
              <w:overflowPunct w:val="0"/>
              <w:snapToGrid w:val="0"/>
              <w:spacing w:line="360" w:lineRule="auto"/>
              <w:jc w:val="center"/>
              <w:rPr>
                <w:sz w:val="18"/>
                <w:szCs w:val="18"/>
              </w:rPr>
            </w:pPr>
            <w:r>
              <w:rPr>
                <w:sz w:val="18"/>
                <w:szCs w:val="18"/>
              </w:rPr>
              <w:t>1.2x10</w:t>
            </w:r>
            <w:r>
              <w:rPr>
                <w:sz w:val="18"/>
                <w:szCs w:val="18"/>
                <w:vertAlign w:val="superscript"/>
              </w:rPr>
              <w:t>4</w:t>
            </w:r>
          </w:p>
        </w:tc>
        <w:tc>
          <w:tcPr>
            <w:tcW w:w="2192" w:type="dxa"/>
            <w:tcBorders>
              <w:top w:val="dashSmallGap" w:color="auto" w:sz="4" w:space="0"/>
            </w:tcBorders>
            <w:tcMar>
              <w:left w:w="108" w:type="dxa"/>
              <w:right w:w="108" w:type="dxa"/>
            </w:tcMar>
            <w:vAlign w:val="center"/>
          </w:tcPr>
          <w:p w14:paraId="7623B6B0">
            <w:pPr>
              <w:pStyle w:val="24"/>
              <w:kinsoku w:val="0"/>
              <w:overflowPunct w:val="0"/>
              <w:snapToGrid w:val="0"/>
              <w:spacing w:line="360" w:lineRule="auto"/>
              <w:jc w:val="center"/>
              <w:rPr>
                <w:sz w:val="18"/>
                <w:szCs w:val="18"/>
              </w:rPr>
            </w:pPr>
            <w:r>
              <w:rPr>
                <w:sz w:val="18"/>
                <w:szCs w:val="18"/>
              </w:rPr>
              <w:t>1.1x10</w:t>
            </w:r>
            <w:r>
              <w:rPr>
                <w:sz w:val="18"/>
                <w:szCs w:val="18"/>
                <w:vertAlign w:val="superscript"/>
              </w:rPr>
              <w:t>4</w:t>
            </w:r>
          </w:p>
        </w:tc>
        <w:tc>
          <w:tcPr>
            <w:tcW w:w="1551" w:type="dxa"/>
            <w:tcBorders>
              <w:top w:val="dashSmallGap" w:color="auto" w:sz="4" w:space="0"/>
            </w:tcBorders>
            <w:tcMar>
              <w:left w:w="108" w:type="dxa"/>
              <w:right w:w="108" w:type="dxa"/>
            </w:tcMar>
            <w:vAlign w:val="center"/>
          </w:tcPr>
          <w:p w14:paraId="532487F4">
            <w:pPr>
              <w:pStyle w:val="24"/>
              <w:kinsoku w:val="0"/>
              <w:overflowPunct w:val="0"/>
              <w:snapToGrid w:val="0"/>
              <w:spacing w:line="360" w:lineRule="auto"/>
              <w:jc w:val="center"/>
              <w:rPr>
                <w:sz w:val="18"/>
                <w:szCs w:val="18"/>
              </w:rPr>
            </w:pPr>
            <w:r>
              <w:rPr>
                <w:sz w:val="18"/>
                <w:szCs w:val="18"/>
              </w:rPr>
              <w:t>0.92</w:t>
            </w:r>
          </w:p>
        </w:tc>
      </w:tr>
      <w:tr w14:paraId="240A9F99">
        <w:tblPrEx>
          <w:tblCellMar>
            <w:top w:w="0" w:type="dxa"/>
            <w:left w:w="108" w:type="dxa"/>
            <w:bottom w:w="0" w:type="dxa"/>
            <w:right w:w="108" w:type="dxa"/>
          </w:tblCellMar>
        </w:tblPrEx>
        <w:tc>
          <w:tcPr>
            <w:tcW w:w="1412" w:type="dxa"/>
            <w:tcMar>
              <w:left w:w="108" w:type="dxa"/>
              <w:right w:w="108" w:type="dxa"/>
            </w:tcMar>
            <w:vAlign w:val="center"/>
          </w:tcPr>
          <w:p w14:paraId="4D861A8F">
            <w:pPr>
              <w:pStyle w:val="3"/>
              <w:kinsoku w:val="0"/>
              <w:overflowPunct w:val="0"/>
              <w:snapToGrid w:val="0"/>
              <w:spacing w:line="360" w:lineRule="auto"/>
              <w:ind w:left="0"/>
              <w:jc w:val="both"/>
              <w:rPr>
                <w:sz w:val="18"/>
                <w:szCs w:val="18"/>
              </w:rPr>
            </w:pPr>
          </w:p>
        </w:tc>
        <w:tc>
          <w:tcPr>
            <w:tcW w:w="1436" w:type="dxa"/>
            <w:tcMar>
              <w:left w:w="108" w:type="dxa"/>
              <w:right w:w="108" w:type="dxa"/>
            </w:tcMar>
            <w:vAlign w:val="center"/>
          </w:tcPr>
          <w:p w14:paraId="2CB5B0A6">
            <w:pPr>
              <w:pStyle w:val="3"/>
              <w:kinsoku w:val="0"/>
              <w:overflowPunct w:val="0"/>
              <w:snapToGrid w:val="0"/>
              <w:spacing w:line="360" w:lineRule="auto"/>
              <w:ind w:left="0"/>
              <w:jc w:val="center"/>
              <w:rPr>
                <w:sz w:val="18"/>
                <w:szCs w:val="18"/>
              </w:rPr>
            </w:pPr>
          </w:p>
        </w:tc>
        <w:tc>
          <w:tcPr>
            <w:tcW w:w="1938" w:type="dxa"/>
            <w:tcMar>
              <w:left w:w="108" w:type="dxa"/>
              <w:right w:w="108" w:type="dxa"/>
            </w:tcMar>
            <w:vAlign w:val="center"/>
          </w:tcPr>
          <w:p w14:paraId="51469BD5">
            <w:pPr>
              <w:pStyle w:val="24"/>
              <w:kinsoku w:val="0"/>
              <w:overflowPunct w:val="0"/>
              <w:snapToGrid w:val="0"/>
              <w:spacing w:line="360" w:lineRule="auto"/>
              <w:jc w:val="center"/>
              <w:rPr>
                <w:sz w:val="18"/>
                <w:szCs w:val="18"/>
              </w:rPr>
            </w:pPr>
            <w:r>
              <w:rPr>
                <w:sz w:val="18"/>
                <w:szCs w:val="18"/>
              </w:rPr>
              <w:t>(±0.1)</w:t>
            </w:r>
          </w:p>
        </w:tc>
        <w:tc>
          <w:tcPr>
            <w:tcW w:w="2192" w:type="dxa"/>
            <w:tcMar>
              <w:left w:w="108" w:type="dxa"/>
              <w:right w:w="108" w:type="dxa"/>
            </w:tcMar>
            <w:vAlign w:val="center"/>
          </w:tcPr>
          <w:p w14:paraId="1CD517D1">
            <w:pPr>
              <w:pStyle w:val="24"/>
              <w:kinsoku w:val="0"/>
              <w:overflowPunct w:val="0"/>
              <w:snapToGrid w:val="0"/>
              <w:spacing w:line="360" w:lineRule="auto"/>
              <w:jc w:val="center"/>
              <w:rPr>
                <w:sz w:val="18"/>
                <w:szCs w:val="18"/>
              </w:rPr>
            </w:pPr>
            <w:r>
              <w:rPr>
                <w:sz w:val="18"/>
                <w:szCs w:val="18"/>
              </w:rPr>
              <w:t>±0.1)</w:t>
            </w:r>
          </w:p>
        </w:tc>
        <w:tc>
          <w:tcPr>
            <w:tcW w:w="1551" w:type="dxa"/>
            <w:tcMar>
              <w:left w:w="108" w:type="dxa"/>
              <w:right w:w="108" w:type="dxa"/>
            </w:tcMar>
            <w:vAlign w:val="center"/>
          </w:tcPr>
          <w:p w14:paraId="35FF73CF">
            <w:pPr>
              <w:pStyle w:val="24"/>
              <w:kinsoku w:val="0"/>
              <w:overflowPunct w:val="0"/>
              <w:snapToGrid w:val="0"/>
              <w:spacing w:line="360" w:lineRule="auto"/>
              <w:jc w:val="center"/>
              <w:rPr>
                <w:sz w:val="18"/>
                <w:szCs w:val="18"/>
              </w:rPr>
            </w:pPr>
          </w:p>
        </w:tc>
      </w:tr>
      <w:tr w14:paraId="1F988A50">
        <w:tblPrEx>
          <w:tblCellMar>
            <w:top w:w="0" w:type="dxa"/>
            <w:left w:w="108" w:type="dxa"/>
            <w:bottom w:w="0" w:type="dxa"/>
            <w:right w:w="108" w:type="dxa"/>
          </w:tblCellMar>
        </w:tblPrEx>
        <w:tc>
          <w:tcPr>
            <w:tcW w:w="8529" w:type="dxa"/>
            <w:gridSpan w:val="5"/>
            <w:tcBorders>
              <w:bottom w:val="dashSmallGap" w:color="auto" w:sz="4" w:space="0"/>
            </w:tcBorders>
            <w:tcMar>
              <w:left w:w="108" w:type="dxa"/>
              <w:right w:w="108" w:type="dxa"/>
            </w:tcMar>
            <w:vAlign w:val="center"/>
          </w:tcPr>
          <w:p w14:paraId="46996A6D">
            <w:pPr>
              <w:pStyle w:val="24"/>
              <w:kinsoku w:val="0"/>
              <w:overflowPunct w:val="0"/>
              <w:snapToGrid w:val="0"/>
              <w:spacing w:line="360" w:lineRule="auto"/>
              <w:jc w:val="both"/>
              <w:rPr>
                <w:sz w:val="18"/>
                <w:szCs w:val="18"/>
              </w:rPr>
            </w:pPr>
            <w:r>
              <w:rPr>
                <w:sz w:val="18"/>
                <w:szCs w:val="18"/>
              </w:rPr>
              <w:t>·</w:t>
            </w:r>
          </w:p>
          <w:p w14:paraId="0694BA22">
            <w:pPr>
              <w:pStyle w:val="24"/>
              <w:kinsoku w:val="0"/>
              <w:overflowPunct w:val="0"/>
              <w:snapToGrid w:val="0"/>
              <w:spacing w:line="360" w:lineRule="auto"/>
              <w:jc w:val="both"/>
              <w:rPr>
                <w:sz w:val="18"/>
                <w:szCs w:val="18"/>
              </w:rPr>
            </w:pPr>
            <w:r>
              <w:rPr>
                <w:sz w:val="18"/>
                <w:szCs w:val="18"/>
              </w:rPr>
              <w:t>·</w:t>
            </w:r>
          </w:p>
          <w:p w14:paraId="12B5585C">
            <w:pPr>
              <w:pStyle w:val="24"/>
              <w:kinsoku w:val="0"/>
              <w:overflowPunct w:val="0"/>
              <w:snapToGrid w:val="0"/>
              <w:spacing w:line="360" w:lineRule="auto"/>
              <w:jc w:val="both"/>
              <w:rPr>
                <w:sz w:val="18"/>
                <w:szCs w:val="18"/>
              </w:rPr>
            </w:pPr>
            <w:r>
              <w:rPr>
                <w:sz w:val="18"/>
                <w:szCs w:val="18"/>
              </w:rPr>
              <w:t>·</w:t>
            </w:r>
          </w:p>
          <w:p w14:paraId="520B8921">
            <w:pPr>
              <w:pStyle w:val="24"/>
              <w:kinsoku w:val="0"/>
              <w:overflowPunct w:val="0"/>
              <w:snapToGrid w:val="0"/>
              <w:spacing w:line="360" w:lineRule="auto"/>
              <w:jc w:val="both"/>
              <w:rPr>
                <w:sz w:val="18"/>
                <w:szCs w:val="18"/>
              </w:rPr>
            </w:pPr>
          </w:p>
        </w:tc>
      </w:tr>
    </w:tbl>
    <w:p w14:paraId="39FED1F1">
      <w:pPr>
        <w:pStyle w:val="3"/>
        <w:kinsoku w:val="0"/>
        <w:overflowPunct w:val="0"/>
        <w:snapToGrid w:val="0"/>
        <w:spacing w:line="360" w:lineRule="auto"/>
        <w:ind w:left="0"/>
        <w:jc w:val="both"/>
        <w:rPr>
          <w:sz w:val="21"/>
          <w:szCs w:val="21"/>
        </w:rPr>
      </w:pPr>
    </w:p>
    <w:p w14:paraId="2D3DB77A">
      <w:pPr>
        <w:kinsoku w:val="0"/>
        <w:overflowPunct w:val="0"/>
        <w:snapToGrid w:val="0"/>
        <w:spacing w:line="360" w:lineRule="auto"/>
        <w:jc w:val="center"/>
        <w:rPr>
          <w:rFonts w:hint="eastAsia" w:eastAsia="宋体"/>
          <w:lang w:eastAsia="zh-CN"/>
        </w:rPr>
      </w:pPr>
    </w:p>
    <w:p w14:paraId="6CBB4523">
      <w:pPr>
        <w:kinsoku w:val="0"/>
        <w:overflowPunct w:val="0"/>
        <w:snapToGrid w:val="0"/>
        <w:spacing w:line="360" w:lineRule="auto"/>
        <w:jc w:val="center"/>
        <w:rPr>
          <w:rFonts w:hint="eastAsia" w:eastAsia="宋体"/>
          <w:lang w:eastAsia="zh-CN"/>
        </w:rPr>
      </w:pPr>
    </w:p>
    <w:p w14:paraId="6080EA30">
      <w:pPr>
        <w:kinsoku w:val="0"/>
        <w:overflowPunct w:val="0"/>
        <w:snapToGrid w:val="0"/>
        <w:spacing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9" o:title="2"/>
            <o:lock v:ext="edit" aspectratio="t"/>
            <w10:wrap type="none"/>
            <w10:anchorlock/>
          </v:shape>
        </w:pict>
      </w:r>
    </w:p>
    <w:sectPr>
      <w:footerReference r:id="rId6" w:type="default"/>
      <w:pgSz w:w="11907" w:h="16840"/>
      <w:pgMar w:top="1440" w:right="1797" w:bottom="1440" w:left="1797" w:header="680" w:footer="680"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E2E9">
    <w:pPr>
      <w:pStyle w:val="5"/>
      <w:jc w:val="right"/>
      <w:rPr>
        <w:szCs w:val="20"/>
      </w:rPr>
    </w:pPr>
    <w:r>
      <w:rPr>
        <w:szCs w:val="20"/>
      </w:rPr>
      <w:fldChar w:fldCharType="begin"/>
    </w:r>
    <w:r>
      <w:rPr>
        <w:szCs w:val="20"/>
      </w:rPr>
      <w:instrText xml:space="preserve"> PAGE   \* MERGEFORMAT </w:instrText>
    </w:r>
    <w:r>
      <w:rPr>
        <w:szCs w:val="20"/>
      </w:rPr>
      <w:fldChar w:fldCharType="separate"/>
    </w:r>
    <w:r>
      <w:rPr>
        <w:szCs w:val="20"/>
        <w:lang w:val="zh-CN"/>
      </w:rPr>
      <w:t>3</w:t>
    </w:r>
    <w:r>
      <w:rP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230C">
    <w:pPr>
      <w:pStyle w:val="5"/>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6E19">
    <w:pPr>
      <w:pStyle w:val="5"/>
      <w:jc w:val="right"/>
      <w:rPr>
        <w:szCs w:val="20"/>
      </w:rPr>
    </w:pPr>
    <w:r>
      <w:rPr>
        <w:szCs w:val="20"/>
      </w:rPr>
      <w:fldChar w:fldCharType="begin"/>
    </w:r>
    <w:r>
      <w:rPr>
        <w:szCs w:val="20"/>
      </w:rPr>
      <w:instrText xml:space="preserve"> PAGE   \* MERGEFORMAT </w:instrText>
    </w:r>
    <w:r>
      <w:rPr>
        <w:szCs w:val="20"/>
      </w:rPr>
      <w:fldChar w:fldCharType="separate"/>
    </w:r>
    <w:r>
      <w:rPr>
        <w:szCs w:val="20"/>
        <w:lang w:val="zh-CN"/>
      </w:rPr>
      <w:t>15</w:t>
    </w:r>
    <w:r>
      <w:rPr>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545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upperRoman"/>
      <w:lvlText w:val="%1."/>
      <w:lvlJc w:val="left"/>
      <w:pPr>
        <w:ind w:hanging="251"/>
      </w:pPr>
      <w:rPr>
        <w:rFonts w:hint="default" w:ascii="Times New Roman" w:hAnsi="Times New Roman" w:cs="Times New Roman"/>
        <w:b/>
        <w:bCs/>
        <w:i/>
        <w:iCs/>
        <w:spacing w:val="-2"/>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4"/>
    <w:multiLevelType w:val="multilevel"/>
    <w:tmpl w:val="00000404"/>
    <w:lvl w:ilvl="0" w:tentative="0">
      <w:start w:val="1"/>
      <w:numFmt w:val="upperLetter"/>
      <w:lvlText w:val="%1."/>
      <w:lvlJc w:val="left"/>
      <w:pPr>
        <w:ind w:hanging="283"/>
      </w:pPr>
      <w:rPr>
        <w:rFonts w:ascii="Times New Roman" w:hAnsi="Times New Roman" w:cs="Times New Roman"/>
        <w:b w:val="0"/>
        <w:bCs w:val="0"/>
        <w:spacing w:val="1"/>
        <w:w w:val="102"/>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5"/>
    <w:multiLevelType w:val="multilevel"/>
    <w:tmpl w:val="00000405"/>
    <w:lvl w:ilvl="0" w:tentative="0">
      <w:start w:val="1"/>
      <w:numFmt w:val="upperLetter"/>
      <w:lvlText w:val="%1."/>
      <w:lvlJc w:val="left"/>
      <w:pPr>
        <w:ind w:hanging="285"/>
      </w:pPr>
      <w:rPr>
        <w:rFonts w:ascii="Times New Roman" w:hAnsi="Times New Roman" w:cs="Times New Roman"/>
        <w:b w:val="0"/>
        <w:bCs w:val="0"/>
        <w:spacing w:val="0"/>
        <w:w w:val="100"/>
        <w:sz w:val="19"/>
        <w:szCs w:val="19"/>
      </w:rPr>
    </w:lvl>
    <w:lvl w:ilvl="1" w:tentative="0">
      <w:start w:val="1"/>
      <w:numFmt w:val="decimal"/>
      <w:lvlText w:val="%2."/>
      <w:lvlJc w:val="left"/>
      <w:pPr>
        <w:ind w:hanging="241"/>
      </w:pPr>
      <w:rPr>
        <w:rFonts w:ascii="Times New Roman" w:hAnsi="Times New Roman" w:cs="Times New Roman"/>
        <w:b w:val="0"/>
        <w:bCs w:val="0"/>
        <w:spacing w:val="2"/>
        <w:w w:val="102"/>
        <w:sz w:val="19"/>
        <w:szCs w:val="19"/>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6"/>
    <w:multiLevelType w:val="multilevel"/>
    <w:tmpl w:val="00000406"/>
    <w:lvl w:ilvl="0" w:tentative="0">
      <w:start w:val="5"/>
      <w:numFmt w:val="upperRoman"/>
      <w:lvlText w:val="%1."/>
      <w:lvlJc w:val="left"/>
      <w:pPr>
        <w:ind w:hanging="185"/>
      </w:pPr>
      <w:rPr>
        <w:rFonts w:cs="Times New Roman"/>
        <w:spacing w:val="-3"/>
        <w:u w:val="single"/>
      </w:rPr>
    </w:lvl>
    <w:lvl w:ilvl="1" w:tentative="0">
      <w:start w:val="1"/>
      <w:numFmt w:val="upperLetter"/>
      <w:lvlText w:val="%2."/>
      <w:lvlJc w:val="left"/>
      <w:pPr>
        <w:ind w:hanging="286"/>
      </w:pPr>
      <w:rPr>
        <w:rFonts w:ascii="Times New Roman" w:hAnsi="Times New Roman" w:cs="Times New Roman"/>
        <w:b w:val="0"/>
        <w:bCs w:val="0"/>
        <w:spacing w:val="3"/>
        <w:w w:val="102"/>
        <w:sz w:val="19"/>
        <w:szCs w:val="19"/>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7"/>
    <w:multiLevelType w:val="multilevel"/>
    <w:tmpl w:val="00000407"/>
    <w:lvl w:ilvl="0" w:tentative="0">
      <w:start w:val="1"/>
      <w:numFmt w:val="decimal"/>
      <w:lvlText w:val="%1."/>
      <w:lvlJc w:val="left"/>
      <w:pPr>
        <w:ind w:hanging="225"/>
      </w:pPr>
      <w:rPr>
        <w:rFonts w:ascii="Times New Roman" w:hAnsi="Times New Roman" w:cs="Times New Roman"/>
        <w:b w:val="0"/>
        <w:bCs w:val="0"/>
        <w:spacing w:val="-6"/>
        <w:w w:val="102"/>
        <w:sz w:val="19"/>
        <w:szCs w:val="19"/>
      </w:rPr>
    </w:lvl>
    <w:lvl w:ilvl="1" w:tentative="0">
      <w:start w:val="1"/>
      <w:numFmt w:val="lowerRoman"/>
      <w:lvlText w:val="%2)"/>
      <w:lvlJc w:val="left"/>
      <w:pPr>
        <w:ind w:hanging="150"/>
      </w:pPr>
      <w:rPr>
        <w:rFonts w:ascii="Times New Roman" w:hAnsi="Times New Roman" w:cs="Times New Roman"/>
        <w:b w:val="0"/>
        <w:bCs w:val="0"/>
        <w:spacing w:val="-8"/>
        <w:w w:val="102"/>
        <w:sz w:val="19"/>
        <w:szCs w:val="19"/>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08"/>
    <w:multiLevelType w:val="multilevel"/>
    <w:tmpl w:val="00000408"/>
    <w:lvl w:ilvl="0" w:tentative="0">
      <w:start w:val="1"/>
      <w:numFmt w:val="lowerLetter"/>
      <w:lvlText w:val="%1)"/>
      <w:lvlJc w:val="left"/>
      <w:pPr>
        <w:ind w:hanging="195"/>
      </w:pPr>
      <w:rPr>
        <w:rFonts w:ascii="Times New Roman" w:hAnsi="Times New Roman" w:cs="Times New Roman"/>
        <w:b w:val="0"/>
        <w:bCs w:val="0"/>
        <w:spacing w:val="-1"/>
        <w:w w:val="102"/>
        <w:sz w:val="19"/>
        <w:szCs w:val="19"/>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0000409"/>
    <w:multiLevelType w:val="multilevel"/>
    <w:tmpl w:val="00000409"/>
    <w:lvl w:ilvl="0" w:tentative="0">
      <w:start w:val="1"/>
      <w:numFmt w:val="lowerRoman"/>
      <w:lvlText w:val="%1)"/>
      <w:lvlJc w:val="left"/>
      <w:pPr>
        <w:ind w:hanging="495"/>
      </w:pPr>
      <w:rPr>
        <w:rFonts w:ascii="Times New Roman" w:hAnsi="Times New Roman" w:cs="Times New Roman"/>
        <w:b w:val="0"/>
        <w:bCs w:val="0"/>
        <w:spacing w:val="-8"/>
        <w:w w:val="102"/>
        <w:sz w:val="19"/>
        <w:szCs w:val="19"/>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0000040A"/>
    <w:multiLevelType w:val="multilevel"/>
    <w:tmpl w:val="0000040A"/>
    <w:lvl w:ilvl="0" w:tentative="0">
      <w:start w:val="1"/>
      <w:numFmt w:val="lowerRoman"/>
      <w:lvlText w:val="%1)"/>
      <w:lvlJc w:val="left"/>
      <w:pPr>
        <w:ind w:hanging="495"/>
      </w:pPr>
      <w:rPr>
        <w:rFonts w:ascii="Times New Roman" w:hAnsi="Times New Roman" w:cs="Times New Roman"/>
        <w:b w:val="0"/>
        <w:bCs w:val="0"/>
        <w:spacing w:val="-8"/>
        <w:w w:val="102"/>
        <w:sz w:val="19"/>
        <w:szCs w:val="19"/>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38025F1F"/>
    <w:multiLevelType w:val="multilevel"/>
    <w:tmpl w:val="38025F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8"/>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169"/>
    <w:rsid w:val="00001A0A"/>
    <w:rsid w:val="0000347D"/>
    <w:rsid w:val="00014E1C"/>
    <w:rsid w:val="00015D03"/>
    <w:rsid w:val="000169BE"/>
    <w:rsid w:val="00026C68"/>
    <w:rsid w:val="00032929"/>
    <w:rsid w:val="0004736C"/>
    <w:rsid w:val="0005238A"/>
    <w:rsid w:val="00055E4C"/>
    <w:rsid w:val="00063792"/>
    <w:rsid w:val="00081F29"/>
    <w:rsid w:val="0008505B"/>
    <w:rsid w:val="00092E3C"/>
    <w:rsid w:val="00093A66"/>
    <w:rsid w:val="000A0EE4"/>
    <w:rsid w:val="000C1C9C"/>
    <w:rsid w:val="000C1E38"/>
    <w:rsid w:val="000C3578"/>
    <w:rsid w:val="000C469A"/>
    <w:rsid w:val="000C5516"/>
    <w:rsid w:val="000D2F2C"/>
    <w:rsid w:val="000D7B8B"/>
    <w:rsid w:val="000E0823"/>
    <w:rsid w:val="000E229F"/>
    <w:rsid w:val="000F091C"/>
    <w:rsid w:val="00102205"/>
    <w:rsid w:val="00111E4B"/>
    <w:rsid w:val="00126AFC"/>
    <w:rsid w:val="00131D98"/>
    <w:rsid w:val="00133779"/>
    <w:rsid w:val="00141806"/>
    <w:rsid w:val="00152059"/>
    <w:rsid w:val="001613F7"/>
    <w:rsid w:val="00173441"/>
    <w:rsid w:val="001842D8"/>
    <w:rsid w:val="00191C69"/>
    <w:rsid w:val="001925B8"/>
    <w:rsid w:val="001A3A5E"/>
    <w:rsid w:val="001B159B"/>
    <w:rsid w:val="001C4116"/>
    <w:rsid w:val="001D43DA"/>
    <w:rsid w:val="001D5E8E"/>
    <w:rsid w:val="001E4A0D"/>
    <w:rsid w:val="001F0E64"/>
    <w:rsid w:val="001F41DA"/>
    <w:rsid w:val="0021359B"/>
    <w:rsid w:val="00215F8C"/>
    <w:rsid w:val="00231DAD"/>
    <w:rsid w:val="00234499"/>
    <w:rsid w:val="00234B44"/>
    <w:rsid w:val="0025307C"/>
    <w:rsid w:val="00263A73"/>
    <w:rsid w:val="00270ABA"/>
    <w:rsid w:val="00271B36"/>
    <w:rsid w:val="00291455"/>
    <w:rsid w:val="002A317C"/>
    <w:rsid w:val="002A3C22"/>
    <w:rsid w:val="002A6D25"/>
    <w:rsid w:val="002B6750"/>
    <w:rsid w:val="002C1077"/>
    <w:rsid w:val="002C52B2"/>
    <w:rsid w:val="002D73A0"/>
    <w:rsid w:val="002E4BD6"/>
    <w:rsid w:val="002E537C"/>
    <w:rsid w:val="002F64A9"/>
    <w:rsid w:val="0030105B"/>
    <w:rsid w:val="003012CA"/>
    <w:rsid w:val="00306680"/>
    <w:rsid w:val="003113CC"/>
    <w:rsid w:val="00321425"/>
    <w:rsid w:val="00325694"/>
    <w:rsid w:val="00327F63"/>
    <w:rsid w:val="00330056"/>
    <w:rsid w:val="00351DD9"/>
    <w:rsid w:val="00360F0E"/>
    <w:rsid w:val="003657D0"/>
    <w:rsid w:val="00366D5E"/>
    <w:rsid w:val="00381A06"/>
    <w:rsid w:val="003831F1"/>
    <w:rsid w:val="003849D0"/>
    <w:rsid w:val="00385F9C"/>
    <w:rsid w:val="00395C59"/>
    <w:rsid w:val="00395D96"/>
    <w:rsid w:val="00396FB1"/>
    <w:rsid w:val="003B6C1D"/>
    <w:rsid w:val="003D0BAB"/>
    <w:rsid w:val="003E24C4"/>
    <w:rsid w:val="003E2B80"/>
    <w:rsid w:val="003F6339"/>
    <w:rsid w:val="00412E73"/>
    <w:rsid w:val="004207E3"/>
    <w:rsid w:val="00423DCD"/>
    <w:rsid w:val="004268E6"/>
    <w:rsid w:val="00434CB1"/>
    <w:rsid w:val="00440116"/>
    <w:rsid w:val="00442E98"/>
    <w:rsid w:val="00461529"/>
    <w:rsid w:val="004714FD"/>
    <w:rsid w:val="0049411C"/>
    <w:rsid w:val="004A5C1F"/>
    <w:rsid w:val="004C23A3"/>
    <w:rsid w:val="004C3880"/>
    <w:rsid w:val="004C51CC"/>
    <w:rsid w:val="004D0F0C"/>
    <w:rsid w:val="004E066A"/>
    <w:rsid w:val="004E5286"/>
    <w:rsid w:val="004E77A6"/>
    <w:rsid w:val="005209C7"/>
    <w:rsid w:val="00534A1A"/>
    <w:rsid w:val="00540C25"/>
    <w:rsid w:val="00541740"/>
    <w:rsid w:val="0055358A"/>
    <w:rsid w:val="0055643B"/>
    <w:rsid w:val="005723A2"/>
    <w:rsid w:val="0057326E"/>
    <w:rsid w:val="005737EE"/>
    <w:rsid w:val="00581A03"/>
    <w:rsid w:val="005878DE"/>
    <w:rsid w:val="00590A21"/>
    <w:rsid w:val="005927D1"/>
    <w:rsid w:val="00594662"/>
    <w:rsid w:val="005A088B"/>
    <w:rsid w:val="005A08D2"/>
    <w:rsid w:val="005A3B8C"/>
    <w:rsid w:val="005A62BA"/>
    <w:rsid w:val="005B59F0"/>
    <w:rsid w:val="005C43BA"/>
    <w:rsid w:val="005E413C"/>
    <w:rsid w:val="005E5E79"/>
    <w:rsid w:val="005F465F"/>
    <w:rsid w:val="00602E49"/>
    <w:rsid w:val="00604C74"/>
    <w:rsid w:val="006075AA"/>
    <w:rsid w:val="00616F21"/>
    <w:rsid w:val="00620182"/>
    <w:rsid w:val="006355A4"/>
    <w:rsid w:val="00641C66"/>
    <w:rsid w:val="00644957"/>
    <w:rsid w:val="00655150"/>
    <w:rsid w:val="00667481"/>
    <w:rsid w:val="00672C9B"/>
    <w:rsid w:val="00676CDD"/>
    <w:rsid w:val="00687BFB"/>
    <w:rsid w:val="00692CD7"/>
    <w:rsid w:val="006D043C"/>
    <w:rsid w:val="006D59A1"/>
    <w:rsid w:val="006D5F81"/>
    <w:rsid w:val="006D7931"/>
    <w:rsid w:val="006E4B00"/>
    <w:rsid w:val="006F19FC"/>
    <w:rsid w:val="006F2B1A"/>
    <w:rsid w:val="006F677C"/>
    <w:rsid w:val="00704EBC"/>
    <w:rsid w:val="0070729D"/>
    <w:rsid w:val="00707CD4"/>
    <w:rsid w:val="00713756"/>
    <w:rsid w:val="00716114"/>
    <w:rsid w:val="007166A8"/>
    <w:rsid w:val="00721299"/>
    <w:rsid w:val="00724F69"/>
    <w:rsid w:val="00730861"/>
    <w:rsid w:val="00732E1B"/>
    <w:rsid w:val="00733988"/>
    <w:rsid w:val="00734D3B"/>
    <w:rsid w:val="00751997"/>
    <w:rsid w:val="00752188"/>
    <w:rsid w:val="00770481"/>
    <w:rsid w:val="007754A4"/>
    <w:rsid w:val="007813DF"/>
    <w:rsid w:val="00785518"/>
    <w:rsid w:val="00797609"/>
    <w:rsid w:val="007A5600"/>
    <w:rsid w:val="007B2231"/>
    <w:rsid w:val="007B3CD4"/>
    <w:rsid w:val="007B7462"/>
    <w:rsid w:val="007C1973"/>
    <w:rsid w:val="007C645D"/>
    <w:rsid w:val="007D71B0"/>
    <w:rsid w:val="007E7BDC"/>
    <w:rsid w:val="007F0049"/>
    <w:rsid w:val="0080160A"/>
    <w:rsid w:val="008144EE"/>
    <w:rsid w:val="00816216"/>
    <w:rsid w:val="00824EEF"/>
    <w:rsid w:val="00825074"/>
    <w:rsid w:val="00827CCB"/>
    <w:rsid w:val="0083007E"/>
    <w:rsid w:val="00847084"/>
    <w:rsid w:val="00847777"/>
    <w:rsid w:val="008718CF"/>
    <w:rsid w:val="008802FA"/>
    <w:rsid w:val="00884814"/>
    <w:rsid w:val="00897BBA"/>
    <w:rsid w:val="008A07CA"/>
    <w:rsid w:val="008A18B8"/>
    <w:rsid w:val="008B0169"/>
    <w:rsid w:val="008C63A5"/>
    <w:rsid w:val="008C6852"/>
    <w:rsid w:val="008D6A3F"/>
    <w:rsid w:val="008F19D1"/>
    <w:rsid w:val="008F2738"/>
    <w:rsid w:val="008F3F1E"/>
    <w:rsid w:val="0091481A"/>
    <w:rsid w:val="009158BA"/>
    <w:rsid w:val="00917308"/>
    <w:rsid w:val="00921391"/>
    <w:rsid w:val="00932569"/>
    <w:rsid w:val="0095069B"/>
    <w:rsid w:val="00957D29"/>
    <w:rsid w:val="00964AB7"/>
    <w:rsid w:val="00966005"/>
    <w:rsid w:val="00983E9C"/>
    <w:rsid w:val="00985FBA"/>
    <w:rsid w:val="009A4B70"/>
    <w:rsid w:val="009A5DDC"/>
    <w:rsid w:val="009B080A"/>
    <w:rsid w:val="009B6625"/>
    <w:rsid w:val="009B6B0E"/>
    <w:rsid w:val="009C777B"/>
    <w:rsid w:val="009D34AC"/>
    <w:rsid w:val="009E5D52"/>
    <w:rsid w:val="009F18B6"/>
    <w:rsid w:val="00A017B7"/>
    <w:rsid w:val="00A068CE"/>
    <w:rsid w:val="00A140FE"/>
    <w:rsid w:val="00A21125"/>
    <w:rsid w:val="00A23DF4"/>
    <w:rsid w:val="00A2402D"/>
    <w:rsid w:val="00A2637E"/>
    <w:rsid w:val="00A35E26"/>
    <w:rsid w:val="00A37786"/>
    <w:rsid w:val="00A54246"/>
    <w:rsid w:val="00A55F9D"/>
    <w:rsid w:val="00A57DD7"/>
    <w:rsid w:val="00A8480D"/>
    <w:rsid w:val="00A84974"/>
    <w:rsid w:val="00A863EB"/>
    <w:rsid w:val="00AA0FE4"/>
    <w:rsid w:val="00AA1117"/>
    <w:rsid w:val="00AA3F4A"/>
    <w:rsid w:val="00AA4E6D"/>
    <w:rsid w:val="00AA7B23"/>
    <w:rsid w:val="00AB0D50"/>
    <w:rsid w:val="00AB4EB9"/>
    <w:rsid w:val="00AB72BB"/>
    <w:rsid w:val="00AC420D"/>
    <w:rsid w:val="00AC7034"/>
    <w:rsid w:val="00AD1DBD"/>
    <w:rsid w:val="00AD65C3"/>
    <w:rsid w:val="00AF072A"/>
    <w:rsid w:val="00AF1581"/>
    <w:rsid w:val="00AF2E58"/>
    <w:rsid w:val="00B1228B"/>
    <w:rsid w:val="00B20B51"/>
    <w:rsid w:val="00B3080D"/>
    <w:rsid w:val="00B45096"/>
    <w:rsid w:val="00B65F47"/>
    <w:rsid w:val="00B74808"/>
    <w:rsid w:val="00B812DF"/>
    <w:rsid w:val="00BB3640"/>
    <w:rsid w:val="00BC4BF9"/>
    <w:rsid w:val="00BC5BFB"/>
    <w:rsid w:val="00BF0B96"/>
    <w:rsid w:val="00BF650D"/>
    <w:rsid w:val="00C108DB"/>
    <w:rsid w:val="00C2144B"/>
    <w:rsid w:val="00C275AB"/>
    <w:rsid w:val="00C407B7"/>
    <w:rsid w:val="00C47824"/>
    <w:rsid w:val="00C53F1B"/>
    <w:rsid w:val="00C66ED7"/>
    <w:rsid w:val="00C76DCE"/>
    <w:rsid w:val="00C7713D"/>
    <w:rsid w:val="00C77346"/>
    <w:rsid w:val="00C85598"/>
    <w:rsid w:val="00C86176"/>
    <w:rsid w:val="00C95C25"/>
    <w:rsid w:val="00C96C24"/>
    <w:rsid w:val="00CA7E8D"/>
    <w:rsid w:val="00CD10C4"/>
    <w:rsid w:val="00CD575D"/>
    <w:rsid w:val="00CF0AD7"/>
    <w:rsid w:val="00CF79B1"/>
    <w:rsid w:val="00D108DF"/>
    <w:rsid w:val="00D109D4"/>
    <w:rsid w:val="00D160A8"/>
    <w:rsid w:val="00D345E6"/>
    <w:rsid w:val="00D374E4"/>
    <w:rsid w:val="00D41A04"/>
    <w:rsid w:val="00D52839"/>
    <w:rsid w:val="00D74052"/>
    <w:rsid w:val="00D7473E"/>
    <w:rsid w:val="00D83FAA"/>
    <w:rsid w:val="00D856D6"/>
    <w:rsid w:val="00D85D26"/>
    <w:rsid w:val="00D91CD7"/>
    <w:rsid w:val="00DA05D5"/>
    <w:rsid w:val="00DA3FEC"/>
    <w:rsid w:val="00DB1154"/>
    <w:rsid w:val="00DE53D5"/>
    <w:rsid w:val="00DE6CB1"/>
    <w:rsid w:val="00DF2483"/>
    <w:rsid w:val="00E00663"/>
    <w:rsid w:val="00E30F69"/>
    <w:rsid w:val="00E338B7"/>
    <w:rsid w:val="00E33A79"/>
    <w:rsid w:val="00E664DF"/>
    <w:rsid w:val="00E71740"/>
    <w:rsid w:val="00E803C0"/>
    <w:rsid w:val="00E8074B"/>
    <w:rsid w:val="00E81614"/>
    <w:rsid w:val="00E81CD8"/>
    <w:rsid w:val="00E91666"/>
    <w:rsid w:val="00EC01FC"/>
    <w:rsid w:val="00EC2CF0"/>
    <w:rsid w:val="00EC5DE7"/>
    <w:rsid w:val="00ED1CD4"/>
    <w:rsid w:val="00EE001F"/>
    <w:rsid w:val="00EE2FDB"/>
    <w:rsid w:val="00EE4C15"/>
    <w:rsid w:val="00EE7180"/>
    <w:rsid w:val="00F006A4"/>
    <w:rsid w:val="00F02410"/>
    <w:rsid w:val="00F062A5"/>
    <w:rsid w:val="00F11EBF"/>
    <w:rsid w:val="00F12FF4"/>
    <w:rsid w:val="00F16B6D"/>
    <w:rsid w:val="00F21555"/>
    <w:rsid w:val="00F264D3"/>
    <w:rsid w:val="00F37156"/>
    <w:rsid w:val="00F46A65"/>
    <w:rsid w:val="00F516A1"/>
    <w:rsid w:val="00F5233E"/>
    <w:rsid w:val="00F52478"/>
    <w:rsid w:val="00F63ACE"/>
    <w:rsid w:val="00F64C30"/>
    <w:rsid w:val="00F66CD8"/>
    <w:rsid w:val="00F739CB"/>
    <w:rsid w:val="00F83C38"/>
    <w:rsid w:val="00F94380"/>
    <w:rsid w:val="00F97F82"/>
    <w:rsid w:val="00FA2544"/>
    <w:rsid w:val="00FA41B0"/>
    <w:rsid w:val="00FA4E8E"/>
    <w:rsid w:val="00FB093D"/>
    <w:rsid w:val="00FB2919"/>
    <w:rsid w:val="00FD12E2"/>
    <w:rsid w:val="00FD514F"/>
    <w:rsid w:val="00FD7B13"/>
    <w:rsid w:val="00FE5643"/>
    <w:rsid w:val="00FF7DE1"/>
    <w:rsid w:val="17726BBA"/>
    <w:rsid w:val="44C829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unhideWhenUsed/>
    <w:qFormat/>
    <w:uiPriority w:val="99"/>
  </w:style>
  <w:style w:type="paragraph" w:styleId="3">
    <w:name w:val="Body Text"/>
    <w:basedOn w:val="1"/>
    <w:link w:val="16"/>
    <w:qFormat/>
    <w:uiPriority w:val="99"/>
    <w:pPr>
      <w:ind w:left="100"/>
    </w:pPr>
    <w:rPr>
      <w:sz w:val="19"/>
      <w:szCs w:val="19"/>
    </w:rPr>
  </w:style>
  <w:style w:type="paragraph" w:styleId="4">
    <w:name w:val="Balloon Text"/>
    <w:basedOn w:val="1"/>
    <w:link w:val="27"/>
    <w:semiHidden/>
    <w:qFormat/>
    <w:uiPriority w:val="99"/>
    <w:rPr>
      <w:sz w:val="18"/>
      <w:szCs w:val="18"/>
    </w:rPr>
  </w:style>
  <w:style w:type="paragraph" w:styleId="5">
    <w:name w:val="footer"/>
    <w:basedOn w:val="1"/>
    <w:link w:val="26"/>
    <w:uiPriority w:val="99"/>
    <w:pPr>
      <w:tabs>
        <w:tab w:val="center" w:pos="4153"/>
        <w:tab w:val="right" w:pos="8306"/>
      </w:tabs>
      <w:snapToGrid w:val="0"/>
    </w:pPr>
    <w:rPr>
      <w:sz w:val="18"/>
      <w:szCs w:val="18"/>
    </w:rPr>
  </w:style>
  <w:style w:type="paragraph" w:styleId="6">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locked/>
    <w:uiPriority w:val="99"/>
  </w:style>
  <w:style w:type="paragraph" w:styleId="8">
    <w:name w:val="footnote text"/>
    <w:basedOn w:val="1"/>
    <w:link w:val="30"/>
    <w:semiHidden/>
    <w:qFormat/>
    <w:uiPriority w:val="99"/>
    <w:pPr>
      <w:autoSpaceDE/>
      <w:autoSpaceDN/>
      <w:adjustRightInd/>
      <w:snapToGrid w:val="0"/>
    </w:pPr>
    <w:rPr>
      <w:rFonts w:ascii="Courier New" w:hAnsi="Courier New" w:cs="Courier New"/>
      <w:color w:val="000000"/>
      <w:sz w:val="18"/>
      <w:szCs w:val="18"/>
      <w:lang w:eastAsia="en-US"/>
    </w:rPr>
  </w:style>
  <w:style w:type="paragraph" w:styleId="9">
    <w:name w:val="toc 2"/>
    <w:basedOn w:val="1"/>
    <w:next w:val="1"/>
    <w:semiHidden/>
    <w:locked/>
    <w:uiPriority w:val="99"/>
    <w:pPr>
      <w:ind w:left="420" w:leftChars="200"/>
    </w:pPr>
  </w:style>
  <w:style w:type="paragraph" w:styleId="10">
    <w:name w:val="annotation subject"/>
    <w:basedOn w:val="2"/>
    <w:next w:val="2"/>
    <w:link w:val="34"/>
    <w:unhideWhenUsed/>
    <w:uiPriority w:val="99"/>
    <w:rPr>
      <w:b/>
      <w:bCs/>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semiHidden/>
    <w:qFormat/>
    <w:uiPriority w:val="99"/>
    <w:rPr>
      <w:rFonts w:cs="Times New Roman"/>
      <w:color w:val="0000FF"/>
      <w:u w:val="single"/>
    </w:rPr>
  </w:style>
  <w:style w:type="character" w:styleId="15">
    <w:name w:val="annotation reference"/>
    <w:unhideWhenUsed/>
    <w:qFormat/>
    <w:uiPriority w:val="99"/>
    <w:rPr>
      <w:sz w:val="21"/>
      <w:szCs w:val="21"/>
    </w:rPr>
  </w:style>
  <w:style w:type="character" w:customStyle="1" w:styleId="16">
    <w:name w:val="正文文本 Char"/>
    <w:link w:val="3"/>
    <w:semiHidden/>
    <w:qFormat/>
    <w:locked/>
    <w:uiPriority w:val="99"/>
    <w:rPr>
      <w:rFonts w:ascii="Times New Roman" w:hAnsi="Times New Roman" w:cs="Times New Roman"/>
      <w:kern w:val="0"/>
      <w:sz w:val="24"/>
      <w:szCs w:val="24"/>
    </w:rPr>
  </w:style>
  <w:style w:type="paragraph" w:customStyle="1" w:styleId="17">
    <w:name w:val="标题 11"/>
    <w:basedOn w:val="1"/>
    <w:qFormat/>
    <w:uiPriority w:val="99"/>
    <w:pPr>
      <w:outlineLvl w:val="0"/>
    </w:pPr>
    <w:rPr>
      <w:sz w:val="48"/>
      <w:szCs w:val="48"/>
    </w:rPr>
  </w:style>
  <w:style w:type="paragraph" w:customStyle="1" w:styleId="18">
    <w:name w:val="标题 21"/>
    <w:basedOn w:val="1"/>
    <w:qFormat/>
    <w:uiPriority w:val="99"/>
    <w:pPr>
      <w:spacing w:before="53"/>
      <w:ind w:left="100"/>
      <w:outlineLvl w:val="1"/>
    </w:pPr>
    <w:rPr>
      <w:b/>
      <w:bCs/>
      <w:sz w:val="36"/>
      <w:szCs w:val="36"/>
    </w:rPr>
  </w:style>
  <w:style w:type="paragraph" w:customStyle="1" w:styleId="19">
    <w:name w:val="标题 31"/>
    <w:basedOn w:val="1"/>
    <w:qFormat/>
    <w:uiPriority w:val="99"/>
    <w:pPr>
      <w:ind w:left="920"/>
      <w:outlineLvl w:val="2"/>
    </w:pPr>
    <w:rPr>
      <w:b/>
      <w:bCs/>
    </w:rPr>
  </w:style>
  <w:style w:type="paragraph" w:customStyle="1" w:styleId="20">
    <w:name w:val="标题 41"/>
    <w:basedOn w:val="1"/>
    <w:qFormat/>
    <w:uiPriority w:val="99"/>
    <w:pPr>
      <w:ind w:left="120"/>
      <w:outlineLvl w:val="3"/>
    </w:pPr>
    <w:rPr>
      <w:rFonts w:ascii="Arial" w:hAnsi="Arial" w:cs="Arial"/>
      <w:b/>
      <w:bCs/>
      <w:i/>
      <w:iCs/>
    </w:rPr>
  </w:style>
  <w:style w:type="paragraph" w:customStyle="1" w:styleId="21">
    <w:name w:val="标题 51"/>
    <w:basedOn w:val="1"/>
    <w:qFormat/>
    <w:uiPriority w:val="99"/>
    <w:pPr>
      <w:spacing w:before="137"/>
      <w:ind w:left="132"/>
      <w:outlineLvl w:val="4"/>
    </w:pPr>
    <w:rPr>
      <w:b/>
      <w:bCs/>
      <w:sz w:val="22"/>
      <w:szCs w:val="22"/>
    </w:rPr>
  </w:style>
  <w:style w:type="paragraph" w:customStyle="1" w:styleId="22">
    <w:name w:val="标题 61"/>
    <w:basedOn w:val="1"/>
    <w:qFormat/>
    <w:uiPriority w:val="99"/>
    <w:pPr>
      <w:ind w:left="284" w:hanging="2025"/>
      <w:outlineLvl w:val="5"/>
    </w:pPr>
    <w:rPr>
      <w:b/>
      <w:bCs/>
      <w:sz w:val="19"/>
      <w:szCs w:val="19"/>
    </w:rPr>
  </w:style>
  <w:style w:type="paragraph" w:styleId="23">
    <w:name w:val="List Paragraph"/>
    <w:basedOn w:val="1"/>
    <w:qFormat/>
    <w:uiPriority w:val="99"/>
  </w:style>
  <w:style w:type="paragraph" w:customStyle="1" w:styleId="24">
    <w:name w:val="Table Paragraph"/>
    <w:basedOn w:val="1"/>
    <w:qFormat/>
    <w:uiPriority w:val="99"/>
  </w:style>
  <w:style w:type="character" w:customStyle="1" w:styleId="25">
    <w:name w:val="页眉 Char"/>
    <w:link w:val="6"/>
    <w:qFormat/>
    <w:locked/>
    <w:uiPriority w:val="99"/>
    <w:rPr>
      <w:rFonts w:ascii="Times New Roman" w:hAnsi="Times New Roman" w:cs="Times New Roman"/>
      <w:kern w:val="0"/>
      <w:sz w:val="18"/>
      <w:szCs w:val="18"/>
    </w:rPr>
  </w:style>
  <w:style w:type="character" w:customStyle="1" w:styleId="26">
    <w:name w:val="页脚 Char"/>
    <w:link w:val="5"/>
    <w:qFormat/>
    <w:locked/>
    <w:uiPriority w:val="99"/>
    <w:rPr>
      <w:rFonts w:ascii="Times New Roman" w:hAnsi="Times New Roman" w:cs="Times New Roman"/>
      <w:kern w:val="0"/>
      <w:sz w:val="18"/>
      <w:szCs w:val="18"/>
    </w:rPr>
  </w:style>
  <w:style w:type="character" w:customStyle="1" w:styleId="27">
    <w:name w:val="批注框文本 Char"/>
    <w:link w:val="4"/>
    <w:semiHidden/>
    <w:qFormat/>
    <w:locked/>
    <w:uiPriority w:val="99"/>
    <w:rPr>
      <w:rFonts w:ascii="Times New Roman" w:hAnsi="Times New Roman" w:cs="Times New Roman"/>
      <w:kern w:val="0"/>
      <w:sz w:val="18"/>
      <w:szCs w:val="18"/>
    </w:rPr>
  </w:style>
  <w:style w:type="paragraph" w:customStyle="1" w:styleId="28">
    <w:name w:val="CM23"/>
    <w:basedOn w:val="1"/>
    <w:next w:val="1"/>
    <w:qFormat/>
    <w:uiPriority w:val="99"/>
    <w:pPr>
      <w:spacing w:after="420"/>
    </w:pPr>
  </w:style>
  <w:style w:type="paragraph" w:customStyle="1" w:styleId="29">
    <w:name w:val="Heading 21"/>
    <w:basedOn w:val="1"/>
    <w:qFormat/>
    <w:uiPriority w:val="99"/>
    <w:pPr>
      <w:spacing w:before="53"/>
      <w:ind w:left="100"/>
      <w:outlineLvl w:val="1"/>
    </w:pPr>
    <w:rPr>
      <w:b/>
      <w:bCs/>
      <w:sz w:val="36"/>
      <w:szCs w:val="36"/>
    </w:rPr>
  </w:style>
  <w:style w:type="character" w:customStyle="1" w:styleId="30">
    <w:name w:val="脚注文本 Char"/>
    <w:link w:val="8"/>
    <w:semiHidden/>
    <w:qFormat/>
    <w:locked/>
    <w:uiPriority w:val="99"/>
    <w:rPr>
      <w:rFonts w:ascii="Courier New" w:hAnsi="Courier New" w:cs="Courier New"/>
      <w:color w:val="000000"/>
      <w:sz w:val="18"/>
      <w:szCs w:val="18"/>
      <w:lang w:eastAsia="en-US"/>
    </w:rPr>
  </w:style>
  <w:style w:type="character" w:customStyle="1" w:styleId="31">
    <w:name w:val="脚注文本 字符"/>
    <w:semiHidden/>
    <w:qFormat/>
    <w:uiPriority w:val="99"/>
    <w:rPr>
      <w:rFonts w:ascii="Times New Roman" w:hAnsi="Times New Roman" w:cs="Times New Roman"/>
      <w:sz w:val="18"/>
      <w:szCs w:val="18"/>
    </w:rPr>
  </w:style>
  <w:style w:type="character" w:customStyle="1" w:styleId="32">
    <w:name w:val="正文文本 字符1"/>
    <w:semiHidden/>
    <w:qFormat/>
    <w:locked/>
    <w:uiPriority w:val="99"/>
    <w:rPr>
      <w:rFonts w:ascii="Times New Roman" w:hAnsi="Times New Roman" w:cs="Times New Roman"/>
      <w:sz w:val="19"/>
      <w:szCs w:val="19"/>
    </w:rPr>
  </w:style>
  <w:style w:type="character" w:customStyle="1" w:styleId="33">
    <w:name w:val="批注文字 Char"/>
    <w:link w:val="2"/>
    <w:semiHidden/>
    <w:qFormat/>
    <w:uiPriority w:val="99"/>
    <w:rPr>
      <w:rFonts w:ascii="Times New Roman" w:hAnsi="Times New Roman"/>
      <w:sz w:val="24"/>
      <w:szCs w:val="24"/>
    </w:rPr>
  </w:style>
  <w:style w:type="character" w:customStyle="1" w:styleId="34">
    <w:name w:val="批注主题 Char"/>
    <w:link w:val="10"/>
    <w:semiHidden/>
    <w:qFormat/>
    <w:uiPriority w:val="99"/>
    <w:rPr>
      <w:rFonts w:ascii="Times New Roman" w:hAnsi="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A6C3-BF81-41A3-92EC-797C066C1D1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18</Pages>
  <Words>10537</Words>
  <Characters>12236</Characters>
  <Lines>98</Lines>
  <Paragraphs>27</Paragraphs>
  <TotalTime>14</TotalTime>
  <ScaleCrop>false</ScaleCrop>
  <LinksUpToDate>false</LinksUpToDate>
  <CharactersWithSpaces>12437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2017-10-26T00:46:00Z</dcterms:created>
  <dc:creator>xlmedtrans</dc:creator>
  <cp:keywords>Posted: 03-20-2000. Endoscopes, Barriers,  Sheaths</cp:keywords>
  <cp:lastModifiedBy>太极箫客</cp:lastModifiedBy>
  <dcterms:modified xsi:type="dcterms:W3CDTF">2025-08-14T07:07:01Z</dcterms:modified>
  <dc:subject>Issued: 03-12-2000</dc:subject>
  <dc:title>Guidance for Manufacturers Seeking Marketing Clearance of Ear, Nose, and Throat Endoscope Sheaths Used as Protective Barriers</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B0D3726AC80D42C595A18B2422178FAA_12</vt:lpwstr>
  </property>
</Properties>
</file>