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0ACB5">
      <w:pPr>
        <w:spacing w:before="179"/>
        <w:rPr>
          <w:snapToGrid w:val="0"/>
          <w:lang w:eastAsia="zh-CN"/>
        </w:rPr>
      </w:pPr>
      <w:bookmarkStart w:id="8" w:name="_GoBack"/>
      <w:bookmarkEnd w:id="8"/>
      <w:r>
        <w:rPr>
          <w:snapToGrid w:val="0"/>
          <w:lang w:eastAsia="zh-CN"/>
        </w:rPr>
        <w:t>自</w:t>
      </w:r>
      <w:r>
        <w:rPr>
          <w:b/>
          <w:snapToGrid w:val="0"/>
          <w:u w:val="single"/>
          <w:lang w:eastAsia="zh-CN"/>
        </w:rPr>
        <w:t>2007年1月4日</w:t>
      </w:r>
      <w:r>
        <w:rPr>
          <w:snapToGrid w:val="0"/>
          <w:lang w:eastAsia="zh-CN"/>
        </w:rPr>
        <w:t>起，本文档的联系信息已更新为以下内容：</w:t>
      </w:r>
    </w:p>
    <w:p w14:paraId="60441205">
      <w:pPr>
        <w:spacing w:before="179"/>
        <w:rPr>
          <w:lang w:eastAsia="zh-CN"/>
        </w:rPr>
      </w:pPr>
      <w:r>
        <w:rPr>
          <w:snapToGrid w:val="0"/>
          <w:lang w:eastAsia="zh-CN"/>
        </w:rPr>
        <w:t>有关本指南使用或解释的问题，请联系Loren Zarmeba，电话：240-276-3666或电子</w:t>
      </w:r>
      <w:r>
        <w:rPr>
          <w:lang w:eastAsia="zh-CN"/>
        </w:rPr>
        <w:t>邮件：</w:t>
      </w:r>
      <w:r>
        <w:fldChar w:fldCharType="begin"/>
      </w:r>
      <w:r>
        <w:instrText xml:space="preserve"> HYPERLINK "mailto:loren.zaremba@fda.hhs.gov" </w:instrText>
      </w:r>
      <w:r>
        <w:fldChar w:fldCharType="separate"/>
      </w:r>
      <w:r>
        <w:rPr>
          <w:lang w:eastAsia="zh-CN"/>
        </w:rPr>
        <w:t>loren.zaremba@fda.hhs.gov</w:t>
      </w:r>
      <w:r>
        <w:rPr>
          <w:lang w:eastAsia="zh-CN"/>
        </w:rPr>
        <w:fldChar w:fldCharType="end"/>
      </w:r>
    </w:p>
    <w:p w14:paraId="78661581">
      <w:pPr>
        <w:spacing w:before="179"/>
        <w:rPr>
          <w:snapToGrid w:val="0"/>
          <w:lang w:eastAsia="zh-CN"/>
        </w:rPr>
      </w:pPr>
    </w:p>
    <w:p w14:paraId="09E1CB74">
      <w:pPr>
        <w:spacing w:before="179"/>
        <w:rPr>
          <w:snapToGrid w:val="0"/>
          <w:lang w:eastAsia="zh-CN"/>
        </w:rPr>
      </w:pPr>
      <w:r>
        <w:rPr>
          <w:snapToGrid w:val="0"/>
          <w:lang w:eastAsia="zh-CN"/>
        </w:rPr>
        <w:br w:type="page"/>
      </w:r>
    </w:p>
    <w:p w14:paraId="6516E5A0">
      <w:pPr>
        <w:spacing w:before="179"/>
        <w:rPr>
          <w:snapToGrid w:val="0"/>
          <w:lang w:eastAsia="zh-CN"/>
        </w:rPr>
      </w:pPr>
    </w:p>
    <w:p w14:paraId="3483D1C3">
      <w:pPr>
        <w:spacing w:before="179"/>
        <w:rPr>
          <w:snapToGrid w:val="0"/>
          <w:lang w:eastAsia="zh-CN"/>
        </w:rPr>
      </w:pPr>
    </w:p>
    <w:p w14:paraId="6EAB6D2A">
      <w:pPr>
        <w:spacing w:before="179"/>
        <w:rPr>
          <w:snapToGrid w:val="0"/>
          <w:lang w:eastAsia="zh-CN"/>
        </w:rPr>
      </w:pPr>
    </w:p>
    <w:p w14:paraId="70FF9B46">
      <w:pPr>
        <w:spacing w:before="179"/>
        <w:rPr>
          <w:snapToGrid w:val="0"/>
          <w:lang w:eastAsia="zh-CN"/>
        </w:rPr>
      </w:pPr>
    </w:p>
    <w:p w14:paraId="44E8A49A">
      <w:pPr>
        <w:spacing w:before="179"/>
        <w:rPr>
          <w:snapToGrid w:val="0"/>
          <w:lang w:eastAsia="zh-CN"/>
        </w:rPr>
      </w:pPr>
    </w:p>
    <w:p w14:paraId="7EFA84E9">
      <w:pPr>
        <w:spacing w:before="179"/>
        <w:rPr>
          <w:snapToGrid w:val="0"/>
          <w:lang w:eastAsia="zh-CN"/>
        </w:rPr>
      </w:pPr>
    </w:p>
    <w:p w14:paraId="5315C0CE">
      <w:pPr>
        <w:spacing w:before="179"/>
        <w:jc w:val="center"/>
        <w:rPr>
          <w:snapToGrid w:val="0"/>
          <w:color w:val="000000"/>
          <w:szCs w:val="18"/>
          <w:lang w:eastAsia="zh-CN"/>
        </w:rPr>
      </w:pPr>
      <w:r>
        <w:rPr>
          <w:snapToGrid w:val="0"/>
          <w:color w:val="000000"/>
          <w:szCs w:val="18"/>
          <w:lang w:eastAsia="zh-CN"/>
        </w:rPr>
        <w:t>本指南编写于1997年2月27日实施FDA的</w:t>
      </w:r>
      <w:r>
        <w:rPr>
          <w:rFonts w:hint="eastAsia"/>
          <w:snapToGrid w:val="0"/>
          <w:color w:val="000000"/>
          <w:szCs w:val="18"/>
          <w:lang w:eastAsia="zh-CN"/>
        </w:rPr>
        <w:t>良好指导规范</w:t>
      </w:r>
      <w:r>
        <w:rPr>
          <w:snapToGrid w:val="0"/>
          <w:color w:val="000000"/>
          <w:szCs w:val="18"/>
          <w:lang w:eastAsia="zh-CN"/>
        </w:rPr>
        <w:t>（GGP）之前。其不会为任何人创造或赋予任何权利，也不对FDA或公众具有约束力。如果替代方法满足适用的法律、法规</w:t>
      </w:r>
      <w:r>
        <w:rPr>
          <w:rFonts w:hint="eastAsia"/>
          <w:snapToGrid w:val="0"/>
          <w:color w:val="000000"/>
          <w:szCs w:val="18"/>
          <w:lang w:eastAsia="zh-CN"/>
        </w:rPr>
        <w:t>或其两者</w:t>
      </w:r>
      <w:r>
        <w:rPr>
          <w:snapToGrid w:val="0"/>
          <w:color w:val="000000"/>
          <w:szCs w:val="18"/>
          <w:lang w:eastAsia="zh-CN"/>
        </w:rPr>
        <w:t>的要求，可以使用替代方法。本指南将在下一版本中更新，以</w:t>
      </w:r>
      <w:r>
        <w:rPr>
          <w:rFonts w:hint="eastAsia"/>
          <w:snapToGrid w:val="0"/>
          <w:color w:val="000000"/>
          <w:szCs w:val="18"/>
          <w:lang w:eastAsia="zh-CN"/>
        </w:rPr>
        <w:t>纳入</w:t>
      </w:r>
      <w:r>
        <w:rPr>
          <w:snapToGrid w:val="0"/>
          <w:color w:val="000000"/>
          <w:szCs w:val="18"/>
          <w:lang w:eastAsia="zh-CN"/>
        </w:rPr>
        <w:t>GGP的标准</w:t>
      </w:r>
      <w:r>
        <w:rPr>
          <w:rFonts w:hint="eastAsia"/>
          <w:snapToGrid w:val="0"/>
          <w:color w:val="000000"/>
          <w:szCs w:val="18"/>
          <w:lang w:eastAsia="zh-CN"/>
        </w:rPr>
        <w:t>部分</w:t>
      </w:r>
      <w:r>
        <w:rPr>
          <w:snapToGrid w:val="0"/>
          <w:color w:val="000000"/>
          <w:szCs w:val="18"/>
          <w:lang w:eastAsia="zh-CN"/>
        </w:rPr>
        <w:t>。</w:t>
      </w:r>
    </w:p>
    <w:p w14:paraId="36CDB00B">
      <w:pPr>
        <w:tabs>
          <w:tab w:val="left" w:pos="6720"/>
        </w:tabs>
        <w:spacing w:before="179"/>
        <w:rPr>
          <w:snapToGrid w:val="0"/>
          <w:lang w:eastAsia="zh-CN"/>
        </w:rPr>
      </w:pPr>
      <w:r>
        <w:rPr>
          <w:snapToGrid w:val="0"/>
          <w:lang w:eastAsia="zh-CN"/>
        </w:rPr>
        <w:br w:type="page"/>
      </w:r>
      <w:r>
        <w:rPr>
          <w:b/>
          <w:snapToGrid w:val="0"/>
          <w:u w:val="single"/>
          <w:lang w:eastAsia="zh-CN"/>
        </w:rPr>
        <w:t>草案</w:t>
      </w:r>
      <w:r>
        <w:rPr>
          <w:rFonts w:hint="eastAsia"/>
          <w:snapToGrid w:val="0"/>
          <w:lang w:eastAsia="zh-CN"/>
        </w:rPr>
        <w:tab/>
      </w:r>
      <w:r>
        <w:rPr>
          <w:snapToGrid w:val="0"/>
          <w:lang w:eastAsia="zh-CN"/>
        </w:rPr>
        <w:t>1994年9月26日</w:t>
      </w:r>
    </w:p>
    <w:p w14:paraId="65C5826B">
      <w:pPr>
        <w:spacing w:before="179"/>
        <w:rPr>
          <w:bCs/>
          <w:snapToGrid w:val="0"/>
          <w:lang w:eastAsia="zh-CN"/>
        </w:rPr>
      </w:pPr>
    </w:p>
    <w:p w14:paraId="07B232F2">
      <w:pPr>
        <w:spacing w:before="179"/>
        <w:rPr>
          <w:b/>
          <w:bCs/>
          <w:snapToGrid w:val="0"/>
          <w:lang w:eastAsia="zh-CN"/>
        </w:rPr>
      </w:pPr>
      <w:r>
        <w:rPr>
          <w:b/>
          <w:bCs/>
          <w:snapToGrid w:val="0"/>
          <w:lang w:eastAsia="zh-CN"/>
        </w:rPr>
        <w:t>用以支持体外器械的510 (R)文档提交的数据收集所需注意的事项</w:t>
      </w:r>
    </w:p>
    <w:p w14:paraId="2DA5D318">
      <w:pPr>
        <w:spacing w:before="179"/>
        <w:rPr>
          <w:b/>
          <w:snapToGrid w:val="0"/>
          <w:lang w:eastAsia="zh-CN"/>
        </w:rPr>
      </w:pPr>
      <w:r>
        <w:rPr>
          <w:snapToGrid w:val="0"/>
          <w:lang w:eastAsia="zh-CN"/>
        </w:rPr>
        <w:t>由于1990年实施的</w:t>
      </w:r>
      <w:r>
        <w:rPr>
          <w:rFonts w:hint="eastAsia" w:ascii="宋体" w:hAnsi="宋体"/>
          <w:snapToGrid w:val="0"/>
          <w:lang w:eastAsia="zh-CN"/>
        </w:rPr>
        <w:t>“</w:t>
      </w:r>
      <w:r>
        <w:rPr>
          <w:snapToGrid w:val="0"/>
          <w:lang w:eastAsia="zh-CN"/>
        </w:rPr>
        <w:t>安全医疗器械法案</w:t>
      </w:r>
      <w:r>
        <w:rPr>
          <w:rFonts w:hint="eastAsia" w:ascii="宋体" w:hAnsi="宋体"/>
          <w:snapToGrid w:val="0"/>
          <w:lang w:eastAsia="zh-CN"/>
        </w:rPr>
        <w:t>”</w:t>
      </w:r>
      <w:r>
        <w:rPr>
          <w:snapToGrid w:val="0"/>
          <w:lang w:eastAsia="zh-CN"/>
        </w:rPr>
        <w:t>（SMDA 90）、FDA临床审查委员会的报告</w:t>
      </w:r>
      <w:r>
        <w:rPr>
          <w:rFonts w:hint="eastAsia"/>
          <w:snapToGrid w:val="0"/>
          <w:lang w:eastAsia="zh-CN"/>
        </w:rPr>
        <w:t>，</w:t>
      </w:r>
      <w:r>
        <w:rPr>
          <w:snapToGrid w:val="0"/>
          <w:lang w:eastAsia="zh-CN"/>
        </w:rPr>
        <w:t>器械评估办公室（ODE）倡议以注重实际的方式提高对上市前提交进行的科学审查的质量，</w:t>
      </w:r>
      <w:r>
        <w:rPr>
          <w:rFonts w:hint="eastAsia"/>
          <w:snapToGrid w:val="0"/>
          <w:lang w:eastAsia="zh-CN"/>
        </w:rPr>
        <w:t>对</w:t>
      </w:r>
      <w:r>
        <w:rPr>
          <w:snapToGrid w:val="0"/>
          <w:lang w:eastAsia="zh-CN"/>
        </w:rPr>
        <w:t>有关体外诊断器械的FDA法规</w:t>
      </w:r>
      <w:r>
        <w:rPr>
          <w:rFonts w:hint="eastAsia"/>
          <w:snapToGrid w:val="0"/>
          <w:lang w:eastAsia="zh-CN"/>
        </w:rPr>
        <w:t>进行了变更</w:t>
      </w:r>
      <w:r>
        <w:rPr>
          <w:snapToGrid w:val="0"/>
          <w:lang w:eastAsia="zh-CN"/>
        </w:rPr>
        <w:t>。IVD的安全性与导致患者误诊的概率成反比。SMDA 90扩大了FDA审查IVD的范围，并授予FDA在必要时</w:t>
      </w:r>
      <w:r>
        <w:rPr>
          <w:rFonts w:hint="eastAsia"/>
          <w:snapToGrid w:val="0"/>
          <w:lang w:eastAsia="zh-CN"/>
        </w:rPr>
        <w:t>请求</w:t>
      </w:r>
      <w:r>
        <w:rPr>
          <w:snapToGrid w:val="0"/>
          <w:lang w:eastAsia="zh-CN"/>
        </w:rPr>
        <w:t>临床数据的权利，以确保新型IVD与具有相同预期用途</w:t>
      </w:r>
      <w:r>
        <w:rPr>
          <w:rFonts w:hint="eastAsia"/>
          <w:snapToGrid w:val="0"/>
          <w:lang w:eastAsia="zh-CN"/>
        </w:rPr>
        <w:t>且</w:t>
      </w:r>
      <w:r>
        <w:rPr>
          <w:snapToGrid w:val="0"/>
          <w:lang w:eastAsia="zh-CN"/>
        </w:rPr>
        <w:t>合法</w:t>
      </w:r>
      <w:r>
        <w:rPr>
          <w:rFonts w:hint="eastAsia"/>
          <w:snapToGrid w:val="0"/>
          <w:lang w:eastAsia="zh-CN"/>
        </w:rPr>
        <w:t>出售</w:t>
      </w:r>
      <w:r>
        <w:rPr>
          <w:snapToGrid w:val="0"/>
          <w:lang w:eastAsia="zh-CN"/>
        </w:rPr>
        <w:t>的IVD</w:t>
      </w:r>
      <w:r>
        <w:rPr>
          <w:rFonts w:hint="eastAsia"/>
          <w:snapToGrid w:val="0"/>
          <w:lang w:eastAsia="zh-CN"/>
        </w:rPr>
        <w:t>有相同的安全性和有效性</w:t>
      </w:r>
      <w:r>
        <w:rPr>
          <w:snapToGrid w:val="0"/>
          <w:lang w:eastAsia="zh-CN"/>
        </w:rPr>
        <w:t>。</w:t>
      </w:r>
    </w:p>
    <w:p w14:paraId="50492563">
      <w:pPr>
        <w:spacing w:before="179"/>
        <w:rPr>
          <w:b/>
          <w:snapToGrid w:val="0"/>
          <w:lang w:eastAsia="zh-CN"/>
        </w:rPr>
      </w:pPr>
      <w:r>
        <w:rPr>
          <w:rFonts w:hint="eastAsia"/>
          <w:snapToGrid w:val="0"/>
          <w:lang w:eastAsia="zh-CN"/>
        </w:rPr>
        <w:t>以下几点</w:t>
      </w:r>
      <w:r>
        <w:rPr>
          <w:snapToGrid w:val="0"/>
          <w:lang w:eastAsia="zh-CN"/>
        </w:rPr>
        <w:t>代表了关于支持IVD提交510 (k)</w:t>
      </w:r>
      <w:r>
        <w:rPr>
          <w:rFonts w:hint="eastAsia"/>
          <w:snapToGrid w:val="0"/>
          <w:lang w:eastAsia="zh-CN"/>
        </w:rPr>
        <w:t>认可</w:t>
      </w:r>
      <w:r>
        <w:rPr>
          <w:snapToGrid w:val="0"/>
          <w:lang w:eastAsia="zh-CN"/>
        </w:rPr>
        <w:t>的数据收集的当前FDA政策。本文档旨在补充但不取代现有的用于上市前提交的FDA指南文档。</w:t>
      </w:r>
    </w:p>
    <w:p w14:paraId="0F55EF7D">
      <w:pPr>
        <w:spacing w:before="179"/>
        <w:rPr>
          <w:b/>
          <w:snapToGrid w:val="0"/>
          <w:lang w:eastAsia="zh-CN"/>
        </w:rPr>
      </w:pPr>
      <w:r>
        <w:rPr>
          <w:snapToGrid w:val="0"/>
          <w:lang w:eastAsia="zh-CN"/>
        </w:rPr>
        <w:t>研究方案：</w:t>
      </w:r>
    </w:p>
    <w:p w14:paraId="356EA146">
      <w:pPr>
        <w:spacing w:before="179"/>
        <w:rPr>
          <w:b/>
          <w:snapToGrid w:val="0"/>
          <w:lang w:eastAsia="zh-CN"/>
        </w:rPr>
      </w:pPr>
      <w:r>
        <w:rPr>
          <w:snapToGrid w:val="0"/>
          <w:lang w:eastAsia="zh-CN"/>
        </w:rPr>
        <w:t>在数据收集过程之前</w:t>
      </w:r>
      <w:r>
        <w:rPr>
          <w:rFonts w:hint="eastAsia"/>
          <w:snapToGrid w:val="0"/>
          <w:lang w:eastAsia="zh-CN"/>
        </w:rPr>
        <w:t>、之中</w:t>
      </w:r>
      <w:r>
        <w:rPr>
          <w:snapToGrid w:val="0"/>
          <w:lang w:eastAsia="zh-CN"/>
        </w:rPr>
        <w:t>必须为所有临床中心确定统一方案（51）。应清楚记录、说明研究设计中的任何变化并将其体现在数据解释中。应将方案副本作为510 (k)提交文档的一部分。临床研究方案应该清楚地定义研究人群</w:t>
      </w:r>
      <w:r>
        <w:rPr>
          <w:rFonts w:hint="eastAsia"/>
          <w:snapToGrid w:val="0"/>
          <w:lang w:eastAsia="zh-CN"/>
        </w:rPr>
        <w:t>以及</w:t>
      </w:r>
      <w:r>
        <w:rPr>
          <w:snapToGrid w:val="0"/>
          <w:lang w:eastAsia="zh-CN"/>
        </w:rPr>
        <w:t>纳入和排除标准。</w:t>
      </w:r>
    </w:p>
    <w:p w14:paraId="2BDFF69C">
      <w:pPr>
        <w:spacing w:before="179"/>
        <w:rPr>
          <w:b/>
          <w:snapToGrid w:val="0"/>
          <w:lang w:eastAsia="zh-CN"/>
        </w:rPr>
      </w:pPr>
      <w:r>
        <w:rPr>
          <w:snapToGrid w:val="0"/>
          <w:lang w:eastAsia="zh-CN"/>
        </w:rPr>
        <w:t>抽样方法</w:t>
      </w:r>
    </w:p>
    <w:p w14:paraId="2801A919">
      <w:pPr>
        <w:pStyle w:val="19"/>
        <w:numPr>
          <w:ilvl w:val="0"/>
          <w:numId w:val="1"/>
        </w:numPr>
        <w:spacing w:before="179"/>
        <w:ind w:left="480" w:hanging="480" w:hangingChars="200"/>
        <w:rPr>
          <w:b/>
          <w:snapToGrid w:val="0"/>
          <w:lang w:eastAsia="zh-CN"/>
        </w:rPr>
      </w:pPr>
      <w:r>
        <w:rPr>
          <w:snapToGrid w:val="0"/>
          <w:lang w:eastAsia="zh-CN"/>
        </w:rPr>
        <w:t>应在方案中明确说明用于选择患者</w:t>
      </w:r>
      <w:bookmarkStart w:id="0" w:name="OLE_LINK14"/>
      <w:bookmarkStart w:id="1" w:name="OLE_LINK15"/>
      <w:r>
        <w:rPr>
          <w:snapToGrid w:val="0"/>
          <w:lang w:eastAsia="zh-CN"/>
        </w:rPr>
        <w:t>样本的抽样</w:t>
      </w:r>
      <w:bookmarkEnd w:id="0"/>
      <w:bookmarkEnd w:id="1"/>
      <w:r>
        <w:rPr>
          <w:snapToGrid w:val="0"/>
          <w:lang w:eastAsia="zh-CN"/>
        </w:rPr>
        <w:t>方法的性质，并在提交文档中报告。抽样可具有目的性（由研究者定义的分布范围）</w:t>
      </w:r>
      <w:r>
        <w:rPr>
          <w:rFonts w:hint="eastAsia"/>
          <w:snapToGrid w:val="0"/>
          <w:lang w:eastAsia="zh-CN"/>
        </w:rPr>
        <w:t>，</w:t>
      </w:r>
      <w:r>
        <w:rPr>
          <w:snapToGrid w:val="0"/>
          <w:lang w:eastAsia="zh-CN"/>
        </w:rPr>
        <w:t>允许进行分析方法评估（其中需要大范围的正常和异常样本来表征</w:t>
      </w:r>
      <w:r>
        <w:rPr>
          <w:rFonts w:hint="eastAsia"/>
          <w:snapToGrid w:val="0"/>
          <w:lang w:eastAsia="zh-CN"/>
        </w:rPr>
        <w:t>表现</w:t>
      </w:r>
      <w:r>
        <w:rPr>
          <w:snapToGrid w:val="0"/>
          <w:lang w:eastAsia="zh-CN"/>
        </w:rPr>
        <w:t>）。设计用于说明预期临床表现的研究可能需要随机和盲（隐形）抽样。</w:t>
      </w:r>
    </w:p>
    <w:p w14:paraId="7690E8DD">
      <w:pPr>
        <w:pStyle w:val="19"/>
        <w:numPr>
          <w:ilvl w:val="0"/>
          <w:numId w:val="2"/>
        </w:numPr>
        <w:spacing w:before="179"/>
        <w:ind w:left="960" w:leftChars="200" w:hanging="480" w:hangingChars="200"/>
        <w:rPr>
          <w:b/>
          <w:snapToGrid w:val="0"/>
          <w:lang w:eastAsia="zh-CN"/>
        </w:rPr>
      </w:pPr>
      <w:r>
        <w:rPr>
          <w:snapToGrid w:val="0"/>
          <w:lang w:eastAsia="zh-CN"/>
        </w:rPr>
        <w:t>定量试验：</w:t>
      </w:r>
    </w:p>
    <w:p w14:paraId="1710299A">
      <w:pPr>
        <w:spacing w:before="179"/>
        <w:ind w:left="960" w:leftChars="400"/>
        <w:rPr>
          <w:b/>
          <w:snapToGrid w:val="0"/>
          <w:lang w:eastAsia="zh-CN"/>
        </w:rPr>
      </w:pPr>
      <w:r>
        <w:rPr>
          <w:snapToGrid w:val="0"/>
          <w:lang w:eastAsia="zh-CN"/>
        </w:rPr>
        <w:t>与合法销售的类比器械相比，使用定量测量技术对试验进行的评估应至少包括随机和系统误差的评估（1-8，12，15，20，27，29，32，36-38，40，41，43，44，46- 48，51，53，56，62-64）。与参考方法或</w:t>
      </w:r>
      <w:r>
        <w:rPr>
          <w:rFonts w:ascii="宋体" w:hAnsi="宋体"/>
          <w:snapToGrid w:val="0"/>
          <w:lang w:eastAsia="zh-CN"/>
        </w:rPr>
        <w:t>“</w:t>
      </w:r>
      <w:r>
        <w:rPr>
          <w:snapToGrid w:val="0"/>
          <w:lang w:eastAsia="zh-CN"/>
        </w:rPr>
        <w:t>黄金标准</w:t>
      </w:r>
      <w:r>
        <w:rPr>
          <w:rFonts w:ascii="宋体" w:hAnsi="宋体"/>
          <w:snapToGrid w:val="0"/>
          <w:lang w:eastAsia="zh-CN"/>
        </w:rPr>
        <w:t>”</w:t>
      </w:r>
      <w:r>
        <w:rPr>
          <w:snapToGrid w:val="0"/>
          <w:lang w:eastAsia="zh-CN"/>
        </w:rPr>
        <w:t>相比，可以在两个器械之间直接和／或在新器械和旧器械之间间接对比。这些对比研究应包括回归分析的关键参数，包括预期斜率和截距以及其95％的置信区间。对于所有试验，（在新试验和类似试验之间发现统计差异时的要求），应确定器械用途的</w:t>
      </w:r>
      <w:bookmarkStart w:id="2" w:name="OLE_LINK17"/>
      <w:bookmarkStart w:id="3" w:name="OLE_LINK16"/>
      <w:r>
        <w:rPr>
          <w:rFonts w:hint="eastAsia"/>
          <w:snapToGrid w:val="0"/>
          <w:lang w:eastAsia="zh-CN"/>
        </w:rPr>
        <w:t>决策</w:t>
      </w:r>
      <w:r>
        <w:rPr>
          <w:snapToGrid w:val="0"/>
          <w:lang w:eastAsia="zh-CN"/>
        </w:rPr>
        <w:t>点</w:t>
      </w:r>
      <w:bookmarkEnd w:id="2"/>
      <w:bookmarkEnd w:id="3"/>
      <w:r>
        <w:rPr>
          <w:snapToGrid w:val="0"/>
          <w:lang w:eastAsia="zh-CN"/>
        </w:rPr>
        <w:t>，并且应当</w:t>
      </w:r>
      <w:r>
        <w:rPr>
          <w:rFonts w:hint="eastAsia"/>
          <w:snapToGrid w:val="0"/>
          <w:lang w:eastAsia="zh-CN"/>
        </w:rPr>
        <w:t>对</w:t>
      </w:r>
      <w:r>
        <w:rPr>
          <w:snapToGrid w:val="0"/>
          <w:lang w:eastAsia="zh-CN"/>
        </w:rPr>
        <w:t>每一</w:t>
      </w:r>
      <w:r>
        <w:rPr>
          <w:rFonts w:hint="eastAsia"/>
          <w:snapToGrid w:val="0"/>
          <w:lang w:eastAsia="zh-CN"/>
        </w:rPr>
        <w:t>处决策</w:t>
      </w:r>
      <w:r>
        <w:rPr>
          <w:snapToGrid w:val="0"/>
          <w:lang w:eastAsia="zh-CN"/>
        </w:rPr>
        <w:t>点执行误差分析（52，54）。</w:t>
      </w:r>
      <w:r>
        <w:rPr>
          <w:b/>
          <w:snapToGrid w:val="0"/>
          <w:lang w:eastAsia="zh-CN"/>
        </w:rPr>
        <w:br w:type="page"/>
      </w:r>
    </w:p>
    <w:p w14:paraId="699951BA">
      <w:pPr>
        <w:spacing w:before="179"/>
        <w:ind w:left="960" w:leftChars="400"/>
        <w:rPr>
          <w:b/>
          <w:snapToGrid w:val="0"/>
          <w:lang w:eastAsia="zh-CN"/>
        </w:rPr>
      </w:pPr>
      <w:r>
        <w:rPr>
          <w:snapToGrid w:val="0"/>
          <w:lang w:eastAsia="zh-CN"/>
        </w:rPr>
        <w:t>考虑所有已知或预期的混</w:t>
      </w:r>
      <w:r>
        <w:rPr>
          <w:rFonts w:hint="eastAsia"/>
          <w:snapToGrid w:val="0"/>
          <w:lang w:eastAsia="zh-CN"/>
        </w:rPr>
        <w:t>合</w:t>
      </w:r>
      <w:r>
        <w:rPr>
          <w:snapToGrid w:val="0"/>
          <w:lang w:eastAsia="zh-CN"/>
        </w:rPr>
        <w:t>因素</w:t>
      </w:r>
      <w:r>
        <w:rPr>
          <w:rFonts w:hint="eastAsia"/>
          <w:snapToGrid w:val="0"/>
          <w:lang w:eastAsia="zh-CN"/>
        </w:rPr>
        <w:t>的</w:t>
      </w:r>
      <w:r>
        <w:rPr>
          <w:snapToGrid w:val="0"/>
          <w:lang w:eastAsia="zh-CN"/>
        </w:rPr>
        <w:t>同时</w:t>
      </w:r>
      <w:r>
        <w:rPr>
          <w:rFonts w:hint="eastAsia"/>
          <w:snapToGrid w:val="0"/>
          <w:lang w:eastAsia="zh-CN"/>
        </w:rPr>
        <w:t>，</w:t>
      </w:r>
      <w:r>
        <w:rPr>
          <w:snapToGrid w:val="0"/>
          <w:lang w:eastAsia="zh-CN"/>
        </w:rPr>
        <w:t>应该评估分析特异性。基于可报告分析范围的较低端结果</w:t>
      </w:r>
      <w:r>
        <w:rPr>
          <w:rFonts w:hint="eastAsia"/>
          <w:snapToGrid w:val="0"/>
          <w:lang w:eastAsia="zh-CN"/>
        </w:rPr>
        <w:t>进行</w:t>
      </w:r>
      <w:r>
        <w:rPr>
          <w:snapToGrid w:val="0"/>
          <w:lang w:eastAsia="zh-CN"/>
        </w:rPr>
        <w:t>预期临床决策时，还需要确定分析</w:t>
      </w:r>
      <w:r>
        <w:rPr>
          <w:rFonts w:hint="eastAsia"/>
          <w:snapToGrid w:val="0"/>
          <w:lang w:eastAsia="zh-CN"/>
        </w:rPr>
        <w:t>敏感性</w:t>
      </w:r>
      <w:r>
        <w:rPr>
          <w:snapToGrid w:val="0"/>
          <w:lang w:eastAsia="zh-CN"/>
        </w:rPr>
        <w:t>。</w:t>
      </w:r>
    </w:p>
    <w:p w14:paraId="5EE70B8D">
      <w:pPr>
        <w:spacing w:before="179"/>
        <w:ind w:left="960" w:leftChars="400"/>
        <w:rPr>
          <w:b/>
          <w:snapToGrid w:val="0"/>
          <w:lang w:eastAsia="zh-CN"/>
        </w:rPr>
      </w:pPr>
      <w:r>
        <w:rPr>
          <w:snapToGrid w:val="0"/>
          <w:lang w:eastAsia="zh-CN"/>
        </w:rPr>
        <w:t>线性回归分析的统计理论</w:t>
      </w:r>
      <w:r>
        <w:rPr>
          <w:rFonts w:hint="eastAsia"/>
          <w:snapToGrid w:val="0"/>
          <w:lang w:eastAsia="zh-CN"/>
        </w:rPr>
        <w:t>要求</w:t>
      </w:r>
      <w:r>
        <w:rPr>
          <w:snapToGrid w:val="0"/>
          <w:lang w:eastAsia="zh-CN"/>
        </w:rPr>
        <w:t>在用于计算斜率</w:t>
      </w:r>
      <w:r>
        <w:rPr>
          <w:rFonts w:hint="eastAsia"/>
          <w:snapToGrid w:val="0"/>
          <w:lang w:eastAsia="zh-CN"/>
        </w:rPr>
        <w:t>、</w:t>
      </w:r>
      <w:r>
        <w:rPr>
          <w:snapToGrid w:val="0"/>
          <w:lang w:eastAsia="zh-CN"/>
        </w:rPr>
        <w:t>截距和</w:t>
      </w:r>
      <w:r>
        <w:rPr>
          <w:rFonts w:hint="eastAsia"/>
          <w:snapToGrid w:val="0"/>
          <w:lang w:eastAsia="zh-CN"/>
        </w:rPr>
        <w:t>其</w:t>
      </w:r>
      <w:r>
        <w:rPr>
          <w:snapToGrid w:val="0"/>
          <w:lang w:eastAsia="zh-CN"/>
        </w:rPr>
        <w:t>95％</w:t>
      </w:r>
      <w:r>
        <w:rPr>
          <w:rFonts w:hint="eastAsia"/>
          <w:snapToGrid w:val="0"/>
          <w:lang w:eastAsia="zh-CN"/>
        </w:rPr>
        <w:t>的</w:t>
      </w:r>
      <w:r>
        <w:rPr>
          <w:snapToGrid w:val="0"/>
          <w:lang w:eastAsia="zh-CN"/>
        </w:rPr>
        <w:t>置信区间的各种样本对中的数据</w:t>
      </w:r>
      <w:r>
        <w:rPr>
          <w:rFonts w:hint="eastAsia"/>
          <w:snapToGrid w:val="0"/>
          <w:lang w:eastAsia="zh-CN"/>
        </w:rPr>
        <w:t>具有</w:t>
      </w:r>
      <w:r>
        <w:rPr>
          <w:snapToGrid w:val="0"/>
          <w:lang w:eastAsia="zh-CN"/>
        </w:rPr>
        <w:t>独立性（即每个患者只有一个样本对）。如果使用的多个样本对来自</w:t>
      </w:r>
      <w:r>
        <w:rPr>
          <w:rFonts w:hint="eastAsia"/>
          <w:snapToGrid w:val="0"/>
          <w:lang w:eastAsia="zh-CN"/>
        </w:rPr>
        <w:t>于</w:t>
      </w:r>
      <w:r>
        <w:rPr>
          <w:snapToGrid w:val="0"/>
          <w:lang w:eastAsia="zh-CN"/>
        </w:rPr>
        <w:t>相同</w:t>
      </w:r>
      <w:r>
        <w:rPr>
          <w:rFonts w:hint="eastAsia"/>
          <w:snapToGrid w:val="0"/>
          <w:lang w:eastAsia="zh-CN"/>
        </w:rPr>
        <w:t>的</w:t>
      </w:r>
      <w:r>
        <w:rPr>
          <w:snapToGrid w:val="0"/>
          <w:lang w:eastAsia="zh-CN"/>
        </w:rPr>
        <w:t>患者，则需要适当</w:t>
      </w:r>
      <w:r>
        <w:rPr>
          <w:rFonts w:hint="eastAsia"/>
          <w:snapToGrid w:val="0"/>
          <w:lang w:eastAsia="zh-CN"/>
        </w:rPr>
        <w:t>说明</w:t>
      </w:r>
      <w:r>
        <w:rPr>
          <w:snapToGrid w:val="0"/>
          <w:lang w:eastAsia="zh-CN"/>
        </w:rPr>
        <w:t>和统计程序来</w:t>
      </w:r>
      <w:r>
        <w:rPr>
          <w:rFonts w:hint="eastAsia"/>
          <w:snapToGrid w:val="0"/>
          <w:lang w:eastAsia="zh-CN"/>
        </w:rPr>
        <w:t>说明</w:t>
      </w:r>
      <w:r>
        <w:rPr>
          <w:snapToGrid w:val="0"/>
          <w:lang w:eastAsia="zh-CN"/>
        </w:rPr>
        <w:t>患者间和患者内的变异性。</w:t>
      </w:r>
    </w:p>
    <w:p w14:paraId="115C1AC0">
      <w:pPr>
        <w:pStyle w:val="19"/>
        <w:numPr>
          <w:ilvl w:val="0"/>
          <w:numId w:val="2"/>
        </w:numPr>
        <w:spacing w:before="179"/>
        <w:ind w:left="960" w:leftChars="200" w:hanging="480" w:hangingChars="200"/>
        <w:rPr>
          <w:snapToGrid w:val="0"/>
          <w:lang w:eastAsia="zh-CN"/>
        </w:rPr>
      </w:pPr>
      <w:r>
        <w:rPr>
          <w:rFonts w:hint="eastAsia"/>
          <w:snapToGrid w:val="0"/>
          <w:lang w:eastAsia="zh-CN"/>
        </w:rPr>
        <w:t>定性试验</w:t>
      </w:r>
      <w:r>
        <w:rPr>
          <w:snapToGrid w:val="0"/>
          <w:lang w:eastAsia="zh-CN"/>
        </w:rPr>
        <w:t>：</w:t>
      </w:r>
    </w:p>
    <w:p w14:paraId="660491FC">
      <w:pPr>
        <w:spacing w:before="179"/>
        <w:ind w:left="960" w:leftChars="400"/>
        <w:rPr>
          <w:b/>
          <w:snapToGrid w:val="0"/>
          <w:lang w:eastAsia="zh-CN"/>
        </w:rPr>
      </w:pPr>
      <w:r>
        <w:rPr>
          <w:snapToGrid w:val="0"/>
          <w:lang w:eastAsia="zh-CN"/>
        </w:rPr>
        <w:t>使用定性测量技术</w:t>
      </w:r>
      <w:r>
        <w:rPr>
          <w:rFonts w:hint="eastAsia"/>
          <w:snapToGrid w:val="0"/>
          <w:lang w:eastAsia="zh-CN"/>
        </w:rPr>
        <w:t>对</w:t>
      </w:r>
      <w:r>
        <w:rPr>
          <w:snapToGrid w:val="0"/>
          <w:lang w:eastAsia="zh-CN"/>
        </w:rPr>
        <w:t>试验</w:t>
      </w:r>
      <w:r>
        <w:rPr>
          <w:rFonts w:hint="eastAsia"/>
          <w:snapToGrid w:val="0"/>
          <w:lang w:eastAsia="zh-CN"/>
        </w:rPr>
        <w:t>进行</w:t>
      </w:r>
      <w:r>
        <w:rPr>
          <w:snapToGrid w:val="0"/>
          <w:lang w:eastAsia="zh-CN"/>
        </w:rPr>
        <w:t>的评</w:t>
      </w:r>
      <w:r>
        <w:rPr>
          <w:rFonts w:hint="eastAsia"/>
          <w:snapToGrid w:val="0"/>
          <w:lang w:eastAsia="zh-CN"/>
        </w:rPr>
        <w:t>估</w:t>
      </w:r>
      <w:r>
        <w:rPr>
          <w:snapToGrid w:val="0"/>
          <w:lang w:eastAsia="zh-CN"/>
        </w:rPr>
        <w:t>应包括使用临床／诊断特</w:t>
      </w:r>
      <w:r>
        <w:rPr>
          <w:rFonts w:hint="eastAsia"/>
          <w:snapToGrid w:val="0"/>
          <w:lang w:eastAsia="zh-CN"/>
        </w:rPr>
        <w:t>性</w:t>
      </w:r>
      <w:r>
        <w:rPr>
          <w:snapToGrid w:val="0"/>
          <w:lang w:eastAsia="zh-CN"/>
        </w:rPr>
        <w:t>的试验的</w:t>
      </w:r>
      <w:r>
        <w:rPr>
          <w:rFonts w:hint="eastAsia"/>
          <w:snapToGrid w:val="0"/>
          <w:lang w:eastAsia="zh-CN"/>
        </w:rPr>
        <w:t>特性描述（</w:t>
      </w:r>
      <w:r>
        <w:rPr>
          <w:snapToGrid w:val="0"/>
          <w:lang w:eastAsia="zh-CN"/>
        </w:rPr>
        <w:t>9，13，14，16，18，19，21-23，24，30，33-35，33-35，39，42，45，49，55，56，59-62，66）</w:t>
      </w:r>
      <w:r>
        <w:rPr>
          <w:rFonts w:hint="eastAsia"/>
          <w:snapToGrid w:val="0"/>
          <w:lang w:eastAsia="zh-CN"/>
        </w:rPr>
        <w:t>以及／</w:t>
      </w:r>
      <w:r>
        <w:rPr>
          <w:snapToGrid w:val="0"/>
          <w:lang w:eastAsia="zh-CN"/>
        </w:rPr>
        <w:t>或使用鉴别区和</w:t>
      </w:r>
      <w:r>
        <w:rPr>
          <w:rFonts w:hint="eastAsia"/>
          <w:snapToGrid w:val="0"/>
          <w:lang w:eastAsia="zh-CN"/>
        </w:rPr>
        <w:t>临界</w:t>
      </w:r>
      <w:r>
        <w:rPr>
          <w:snapToGrid w:val="0"/>
          <w:lang w:eastAsia="zh-CN"/>
        </w:rPr>
        <w:t>点的分析特性的</w:t>
      </w:r>
      <w:r>
        <w:rPr>
          <w:rFonts w:hint="eastAsia"/>
          <w:snapToGrid w:val="0"/>
          <w:lang w:eastAsia="zh-CN"/>
        </w:rPr>
        <w:t>说明（</w:t>
      </w:r>
      <w:r>
        <w:rPr>
          <w:snapToGrid w:val="0"/>
          <w:lang w:eastAsia="zh-CN"/>
        </w:rPr>
        <w:t>17，23，26）。</w:t>
      </w:r>
    </w:p>
    <w:p w14:paraId="0B0C47B1">
      <w:pPr>
        <w:spacing w:before="179"/>
        <w:ind w:left="960" w:leftChars="400"/>
        <w:rPr>
          <w:b/>
          <w:snapToGrid w:val="0"/>
          <w:lang w:eastAsia="zh-CN"/>
        </w:rPr>
      </w:pPr>
      <w:r>
        <w:rPr>
          <w:snapToGrid w:val="0"/>
          <w:lang w:eastAsia="zh-CN"/>
        </w:rPr>
        <w:t>应选择在临床相关临界值附近</w:t>
      </w:r>
      <w:r>
        <w:rPr>
          <w:rFonts w:hint="eastAsia"/>
          <w:snapToGrid w:val="0"/>
          <w:lang w:eastAsia="zh-CN"/>
        </w:rPr>
        <w:t>的</w:t>
      </w:r>
      <w:r>
        <w:rPr>
          <w:snapToGrid w:val="0"/>
          <w:lang w:eastAsia="zh-CN"/>
        </w:rPr>
        <w:t>阳性对照（校准</w:t>
      </w:r>
      <w:r>
        <w:rPr>
          <w:rFonts w:hint="eastAsia"/>
          <w:snapToGrid w:val="0"/>
          <w:lang w:eastAsia="zh-CN"/>
        </w:rPr>
        <w:t>物</w:t>
      </w:r>
      <w:r>
        <w:rPr>
          <w:snapToGrid w:val="0"/>
          <w:lang w:eastAsia="zh-CN"/>
        </w:rPr>
        <w:t>），</w:t>
      </w:r>
      <w:r>
        <w:rPr>
          <w:rFonts w:hint="eastAsia"/>
          <w:snapToGrid w:val="0"/>
          <w:lang w:eastAsia="zh-CN"/>
        </w:rPr>
        <w:t>但</w:t>
      </w:r>
      <w:r>
        <w:rPr>
          <w:snapToGrid w:val="0"/>
          <w:lang w:eastAsia="zh-CN"/>
        </w:rPr>
        <w:t>不应限于高滴度阳性对照。</w:t>
      </w:r>
    </w:p>
    <w:p w14:paraId="27876AE4">
      <w:pPr>
        <w:pStyle w:val="19"/>
        <w:numPr>
          <w:ilvl w:val="0"/>
          <w:numId w:val="2"/>
        </w:numPr>
        <w:spacing w:before="179"/>
        <w:ind w:left="960" w:leftChars="200" w:hanging="480" w:hangingChars="200"/>
        <w:rPr>
          <w:snapToGrid w:val="0"/>
          <w:lang w:eastAsia="zh-CN"/>
        </w:rPr>
      </w:pPr>
      <w:r>
        <w:rPr>
          <w:rFonts w:hint="eastAsia"/>
          <w:snapToGrid w:val="0"/>
          <w:lang w:eastAsia="zh-CN"/>
        </w:rPr>
        <w:t>评估器械的统计方法</w:t>
      </w:r>
    </w:p>
    <w:p w14:paraId="3B8F9A0F">
      <w:pPr>
        <w:spacing w:before="179"/>
        <w:ind w:left="960" w:leftChars="400"/>
        <w:rPr>
          <w:snapToGrid w:val="0"/>
          <w:lang w:eastAsia="zh-CN"/>
        </w:rPr>
      </w:pPr>
      <w:r>
        <w:rPr>
          <w:rFonts w:hint="eastAsia"/>
          <w:snapToGrid w:val="0"/>
          <w:lang w:eastAsia="zh-CN"/>
        </w:rPr>
        <w:t>用于评估</w:t>
      </w:r>
      <w:r>
        <w:rPr>
          <w:snapToGrid w:val="0"/>
          <w:lang w:eastAsia="zh-CN"/>
        </w:rPr>
        <w:t>510 (k</w:t>
      </w:r>
      <w:r>
        <w:rPr>
          <w:rFonts w:hint="eastAsia"/>
          <w:snapToGrid w:val="0"/>
          <w:lang w:eastAsia="zh-CN"/>
        </w:rPr>
        <w:t>)提交的统计方法应适用于本研究方案、收集的数据类型和</w:t>
      </w:r>
      <w:bookmarkStart w:id="4" w:name="OLE_LINK18"/>
      <w:bookmarkStart w:id="5" w:name="OLE_LINK19"/>
      <w:r>
        <w:rPr>
          <w:snapToGrid w:val="0"/>
          <w:lang w:eastAsia="zh-CN"/>
        </w:rPr>
        <w:t>IVD</w:t>
      </w:r>
      <w:bookmarkEnd w:id="4"/>
      <w:bookmarkEnd w:id="5"/>
      <w:r>
        <w:rPr>
          <w:rFonts w:hint="eastAsia"/>
          <w:snapToGrid w:val="0"/>
          <w:lang w:eastAsia="zh-CN"/>
        </w:rPr>
        <w:t>的预期用途。该方法应该是一个公认的标准方法（有关拟定方案，请参见随附参考文献）或应该清楚解释和说明。</w:t>
      </w:r>
    </w:p>
    <w:p w14:paraId="303C5B42">
      <w:pPr>
        <w:spacing w:before="179"/>
        <w:ind w:left="960" w:leftChars="400"/>
        <w:rPr>
          <w:snapToGrid w:val="0"/>
          <w:lang w:eastAsia="zh-CN"/>
        </w:rPr>
      </w:pPr>
      <w:r>
        <w:rPr>
          <w:rFonts w:hint="eastAsia"/>
          <w:snapToGrid w:val="0"/>
          <w:lang w:eastAsia="zh-CN"/>
        </w:rPr>
        <w:t>置信区间应尽可能包括在统计分析中（11，28，31）。ANOVA模型是首选方法，因为详细的ANOVA表可提供相关信息，例如指定的统计模型，效应类型（随机、固定或混合）、变异源、自由度、平方和和均方、F统计以及p值。对于ANOVA模型，应呈现来自ANOVA而非置信区间的ANOVA。（32）</w:t>
      </w:r>
    </w:p>
    <w:p w14:paraId="6C27C8CA">
      <w:pPr>
        <w:spacing w:before="179"/>
        <w:rPr>
          <w:b/>
          <w:snapToGrid w:val="0"/>
          <w:lang w:eastAsia="zh-CN"/>
        </w:rPr>
      </w:pPr>
      <w:r>
        <w:rPr>
          <w:b/>
          <w:snapToGrid w:val="0"/>
          <w:lang w:eastAsia="zh-CN"/>
        </w:rPr>
        <w:br w:type="page"/>
      </w:r>
    </w:p>
    <w:p w14:paraId="71A2C156">
      <w:pPr>
        <w:pStyle w:val="19"/>
        <w:numPr>
          <w:ilvl w:val="0"/>
          <w:numId w:val="2"/>
        </w:numPr>
        <w:spacing w:before="179"/>
        <w:ind w:left="960" w:leftChars="200" w:hanging="480" w:hangingChars="200"/>
        <w:rPr>
          <w:snapToGrid w:val="0"/>
          <w:lang w:eastAsia="zh-CN"/>
        </w:rPr>
      </w:pPr>
      <w:r>
        <w:rPr>
          <w:snapToGrid w:val="0"/>
          <w:lang w:eastAsia="zh-CN"/>
        </w:rPr>
        <w:t>III</w:t>
      </w:r>
      <w:r>
        <w:rPr>
          <w:rFonts w:hint="eastAsia"/>
          <w:snapToGrid w:val="0"/>
          <w:lang w:eastAsia="zh-CN"/>
        </w:rPr>
        <w:t>级</w:t>
      </w:r>
      <w:r>
        <w:rPr>
          <w:snapToGrid w:val="0"/>
          <w:lang w:eastAsia="zh-CN"/>
        </w:rPr>
        <w:t>510 (k)</w:t>
      </w:r>
      <w:r>
        <w:rPr>
          <w:rFonts w:hint="eastAsia"/>
          <w:snapToGrid w:val="0"/>
          <w:lang w:eastAsia="zh-CN"/>
        </w:rPr>
        <w:t>审查的应用</w:t>
      </w:r>
    </w:p>
    <w:p w14:paraId="5D23542D">
      <w:pPr>
        <w:spacing w:before="179"/>
        <w:ind w:left="960" w:leftChars="400"/>
        <w:rPr>
          <w:snapToGrid w:val="0"/>
          <w:lang w:eastAsia="zh-CN"/>
        </w:rPr>
      </w:pPr>
      <w:r>
        <w:rPr>
          <w:rFonts w:hint="eastAsia"/>
          <w:snapToGrid w:val="0"/>
          <w:lang w:eastAsia="zh-CN"/>
        </w:rPr>
        <w:t>如果以下条件适用：分析物已确定，但存有新的方法或新的矩阵，提高根据510（k）要求提供临床数据的能力可以允许FDA将一些IVD作为III级上市前通告510（k）申请而不是上市前审批申请（PMA）来处理。这些提交文档应包括临床或诊断的说明和实际结果，以及新器械对于其预期用途的分析性能特性（9，13，14，16，18，19，21-23，24，30，33-35，39，42，45，49，55，56，59-62，66）。这需要将新试验与既定实验室或临床标准进行比较，并根据诊断敏感性和诊断特异性报告新试验结果。</w:t>
      </w:r>
    </w:p>
    <w:p w14:paraId="2F432321">
      <w:pPr>
        <w:spacing w:before="179"/>
        <w:rPr>
          <w:b/>
          <w:snapToGrid w:val="0"/>
          <w:lang w:eastAsia="zh-CN"/>
        </w:rPr>
      </w:pPr>
      <w:r>
        <w:rPr>
          <w:rFonts w:hint="eastAsia"/>
          <w:snapToGrid w:val="0"/>
          <w:lang w:eastAsia="zh-CN"/>
        </w:rPr>
        <w:t>用于生成提交用数据的器械</w:t>
      </w:r>
    </w:p>
    <w:p w14:paraId="0F5A207E">
      <w:pPr>
        <w:spacing w:before="179"/>
        <w:rPr>
          <w:b/>
          <w:snapToGrid w:val="0"/>
          <w:lang w:eastAsia="zh-CN"/>
        </w:rPr>
      </w:pPr>
      <w:r>
        <w:rPr>
          <w:rFonts w:hint="eastAsia"/>
          <w:snapToGrid w:val="0"/>
          <w:lang w:eastAsia="zh-CN"/>
        </w:rPr>
        <w:t>理想情况下，研究应该使用生产模型器械（既定读头、光学器件等）的最终版本来进行，而非使用原型。仅基于原型器械的数据</w:t>
      </w:r>
      <w:bookmarkStart w:id="6" w:name="OLE_LINK20"/>
      <w:bookmarkStart w:id="7" w:name="OLE_LINK21"/>
      <w:r>
        <w:rPr>
          <w:rFonts w:hint="eastAsia"/>
          <w:snapToGrid w:val="0"/>
          <w:lang w:eastAsia="zh-CN"/>
        </w:rPr>
        <w:t>可能引起对器械在非专业环境下发挥性能的能力的担忧</w:t>
      </w:r>
      <w:bookmarkEnd w:id="6"/>
      <w:bookmarkEnd w:id="7"/>
      <w:r>
        <w:rPr>
          <w:rFonts w:hint="eastAsia"/>
          <w:snapToGrid w:val="0"/>
          <w:lang w:eastAsia="zh-CN"/>
        </w:rPr>
        <w:t>。</w:t>
      </w:r>
    </w:p>
    <w:p w14:paraId="4D85A504">
      <w:pPr>
        <w:spacing w:before="179"/>
        <w:rPr>
          <w:b/>
          <w:snapToGrid w:val="0"/>
          <w:lang w:eastAsia="zh-CN"/>
        </w:rPr>
      </w:pPr>
      <w:r>
        <w:rPr>
          <w:rFonts w:hint="eastAsia"/>
          <w:snapToGrid w:val="0"/>
          <w:lang w:eastAsia="zh-CN"/>
        </w:rPr>
        <w:t>机构审查委员会审查</w:t>
      </w:r>
    </w:p>
    <w:p w14:paraId="244FE1DF">
      <w:pPr>
        <w:spacing w:before="179"/>
        <w:rPr>
          <w:b/>
          <w:snapToGrid w:val="0"/>
          <w:lang w:eastAsia="zh-CN"/>
        </w:rPr>
      </w:pPr>
      <w:r>
        <w:rPr>
          <w:rFonts w:hint="eastAsia"/>
          <w:snapToGrid w:val="0"/>
          <w:lang w:eastAsia="zh-CN"/>
        </w:rPr>
        <w:t>所有研究必须在机构审查委员会的审查下进行。</w:t>
      </w:r>
    </w:p>
    <w:p w14:paraId="2B0A2DF7">
      <w:pPr>
        <w:spacing w:before="179"/>
        <w:rPr>
          <w:b/>
          <w:snapToGrid w:val="0"/>
          <w:lang w:eastAsia="zh-CN"/>
        </w:rPr>
      </w:pPr>
      <w:r>
        <w:rPr>
          <w:rFonts w:hint="eastAsia"/>
          <w:snapToGrid w:val="0"/>
          <w:lang w:eastAsia="zh-CN"/>
        </w:rPr>
        <w:t>提交文档中所有研究的质量控制</w:t>
      </w:r>
    </w:p>
    <w:p w14:paraId="12A35F70">
      <w:pPr>
        <w:spacing w:before="179"/>
        <w:rPr>
          <w:b/>
          <w:snapToGrid w:val="0"/>
          <w:lang w:eastAsia="zh-CN"/>
        </w:rPr>
      </w:pPr>
      <w:r>
        <w:rPr>
          <w:rFonts w:hint="eastAsia"/>
          <w:snapToGrid w:val="0"/>
          <w:lang w:eastAsia="zh-CN"/>
        </w:rPr>
        <w:t>应使用CLIA'88法规概述的公认质量控制方法进行研究。在任何运行期间（其中，试验似乎不受控）收集的数据不用于支持提交。</w:t>
      </w:r>
    </w:p>
    <w:p w14:paraId="1595D9BD">
      <w:pPr>
        <w:spacing w:before="179"/>
        <w:rPr>
          <w:b/>
          <w:snapToGrid w:val="0"/>
          <w:lang w:eastAsia="zh-CN"/>
        </w:rPr>
      </w:pPr>
      <w:r>
        <w:rPr>
          <w:rFonts w:hint="eastAsia"/>
          <w:snapToGrid w:val="0"/>
          <w:lang w:eastAsia="zh-CN"/>
        </w:rPr>
        <w:t>研究场所要求</w:t>
      </w:r>
      <w:r>
        <w:rPr>
          <w:snapToGrid w:val="0"/>
          <w:lang w:eastAsia="zh-CN"/>
        </w:rPr>
        <w:t>：</w:t>
      </w:r>
    </w:p>
    <w:p w14:paraId="2B10E14A">
      <w:pPr>
        <w:spacing w:before="179"/>
        <w:rPr>
          <w:b/>
          <w:snapToGrid w:val="0"/>
          <w:lang w:eastAsia="zh-CN"/>
        </w:rPr>
      </w:pPr>
      <w:r>
        <w:rPr>
          <w:rFonts w:hint="eastAsia"/>
          <w:snapToGrid w:val="0"/>
          <w:lang w:eastAsia="zh-CN"/>
        </w:rPr>
        <w:t>用于收集数据以及确立上述性能特征所需的研究场所的类型和数量将取决于提交类型。如果IVD的分析物、方法和预期用途已经确定，则除IVD认可外，无需进行极为严格的试验，其中，IVD的这些组件未完全确定。</w:t>
      </w:r>
    </w:p>
    <w:p w14:paraId="281F662A">
      <w:pPr>
        <w:pStyle w:val="19"/>
        <w:numPr>
          <w:ilvl w:val="1"/>
          <w:numId w:val="3"/>
        </w:numPr>
        <w:spacing w:before="179"/>
        <w:ind w:left="480" w:hanging="480" w:hangingChars="200"/>
        <w:rPr>
          <w:b/>
          <w:snapToGrid w:val="0"/>
          <w:lang w:eastAsia="zh-CN"/>
        </w:rPr>
      </w:pPr>
      <w:r>
        <w:rPr>
          <w:rFonts w:hint="eastAsia"/>
          <w:snapToGrid w:val="0"/>
          <w:lang w:eastAsia="zh-CN"/>
        </w:rPr>
        <w:t>对于具有定义不明确的参考标准或方法的IVD，且预期将出现基于人群和／或性能的场所差异，制造商应提供至少三个研究场所。所有场所应遵循统一方案。</w:t>
      </w:r>
    </w:p>
    <w:p w14:paraId="38494C03">
      <w:pPr>
        <w:spacing w:before="179"/>
        <w:rPr>
          <w:snapToGrid w:val="0"/>
          <w:lang w:eastAsia="zh-CN"/>
        </w:rPr>
      </w:pPr>
      <w:r>
        <w:rPr>
          <w:snapToGrid w:val="0"/>
          <w:lang w:eastAsia="zh-CN"/>
        </w:rPr>
        <w:br w:type="page"/>
      </w:r>
    </w:p>
    <w:p w14:paraId="43F8426F">
      <w:pPr>
        <w:pStyle w:val="19"/>
        <w:numPr>
          <w:ilvl w:val="1"/>
          <w:numId w:val="3"/>
        </w:numPr>
        <w:spacing w:before="179"/>
        <w:ind w:left="480" w:hanging="480" w:hangingChars="200"/>
        <w:rPr>
          <w:snapToGrid w:val="0"/>
          <w:lang w:eastAsia="zh-CN"/>
        </w:rPr>
      </w:pPr>
      <w:r>
        <w:rPr>
          <w:rFonts w:hint="eastAsia"/>
          <w:snapToGrid w:val="0"/>
          <w:lang w:eastAsia="zh-CN"/>
        </w:rPr>
        <w:t>对于已标准化的器械，其中，不会出现预期基于人群和／或性能的场所差异，则单个研究场所可能足够。应清楚说明和记录使用的样品来源，特别是研究场所是非临床中心的时候。</w:t>
      </w:r>
    </w:p>
    <w:p w14:paraId="4FFB2C01">
      <w:pPr>
        <w:pStyle w:val="19"/>
        <w:numPr>
          <w:ilvl w:val="1"/>
          <w:numId w:val="3"/>
        </w:numPr>
        <w:spacing w:before="179"/>
        <w:ind w:left="480" w:hanging="480" w:hangingChars="200"/>
        <w:rPr>
          <w:snapToGrid w:val="0"/>
          <w:lang w:eastAsia="zh-CN"/>
        </w:rPr>
      </w:pPr>
      <w:r>
        <w:rPr>
          <w:rFonts w:hint="eastAsia"/>
          <w:snapToGrid w:val="0"/>
          <w:lang w:eastAsia="zh-CN"/>
        </w:rPr>
        <w:t>对于在医生办公室实验室推广的器械，必须至少包括三个研究场所，并包括代表可能进行试验的个人类型的器械操作者，例如护士、医生、医疗办公室助理等。</w:t>
      </w:r>
    </w:p>
    <w:p w14:paraId="5077AC1A">
      <w:pPr>
        <w:pStyle w:val="19"/>
        <w:numPr>
          <w:ilvl w:val="1"/>
          <w:numId w:val="3"/>
        </w:numPr>
        <w:spacing w:before="179"/>
        <w:ind w:left="480" w:hanging="480" w:hangingChars="200"/>
        <w:rPr>
          <w:snapToGrid w:val="0"/>
          <w:lang w:eastAsia="zh-CN"/>
        </w:rPr>
      </w:pPr>
      <w:r>
        <w:rPr>
          <w:rFonts w:hint="eastAsia"/>
          <w:snapToGrid w:val="0"/>
          <w:lang w:eastAsia="zh-CN"/>
        </w:rPr>
        <w:t>对于非处方（OTC）或家用器械，必须至少包括三个研究场所。一般来说，几百个未经训练的外行用户或一般消费者应参与在这些场所的试验。对于所有OTC器械，即使这些器械仅为采样器械，也要必须对包装说明书标签和说明书的可读性和理解性以及外行人员对试验信息的使用进行评估。如果外行人员应实际执行OTC IVD的分析程序，则必须使用配对样品将外行人员操作时的试验性能与专业实验室人员操作时的试验性能进行比较（50，53）。</w:t>
      </w:r>
    </w:p>
    <w:p w14:paraId="4F2A0BEA">
      <w:pPr>
        <w:spacing w:before="179"/>
        <w:ind w:left="480" w:leftChars="200"/>
        <w:rPr>
          <w:b/>
          <w:snapToGrid w:val="0"/>
          <w:lang w:eastAsia="zh-CN"/>
        </w:rPr>
      </w:pPr>
      <w:r>
        <w:rPr>
          <w:rFonts w:hint="eastAsia"/>
          <w:snapToGrid w:val="0"/>
          <w:lang w:eastAsia="zh-CN"/>
        </w:rPr>
        <w:t>试验应基于IVD的设计和预期用途。器械是否限于收集和邮寄样本？试验是否由外行人员执行？谁来解释结果？制造商向普通用户提供的支持和帮助是什么，例如由医疗保健专业人员配备的免费电话号码。</w:t>
      </w:r>
    </w:p>
    <w:p w14:paraId="221C9AA6">
      <w:pPr>
        <w:spacing w:before="179"/>
        <w:rPr>
          <w:b/>
          <w:snapToGrid w:val="0"/>
          <w:lang w:eastAsia="zh-CN"/>
        </w:rPr>
      </w:pPr>
      <w:r>
        <w:rPr>
          <w:rFonts w:hint="eastAsia"/>
          <w:snapToGrid w:val="0"/>
          <w:lang w:eastAsia="zh-CN"/>
        </w:rPr>
        <w:t>临床研究主要研究者的责任：</w:t>
      </w:r>
    </w:p>
    <w:p w14:paraId="5CBB05E5">
      <w:pPr>
        <w:spacing w:before="179"/>
        <w:rPr>
          <w:b/>
          <w:snapToGrid w:val="0"/>
          <w:lang w:eastAsia="zh-CN"/>
        </w:rPr>
      </w:pPr>
      <w:r>
        <w:rPr>
          <w:rFonts w:hint="eastAsia"/>
          <w:snapToGrid w:val="0"/>
          <w:lang w:eastAsia="zh-CN"/>
        </w:rPr>
        <w:t>在制造商自己的机构之外的研究场所进行研究时，责任（主要）研究者必须在研究上签字，表明研究方案已经落实到位，并在整个研究过程中得到遵循，且研究者已经审查和验证了向FDA提交的提交文档中的数据和制造商的数据分析说明。这与同行审查的医学期刊的要求相似。</w:t>
      </w:r>
    </w:p>
    <w:p w14:paraId="5D31CAFB">
      <w:pPr>
        <w:spacing w:before="179"/>
        <w:rPr>
          <w:b/>
          <w:snapToGrid w:val="0"/>
          <w:lang w:eastAsia="zh-CN"/>
        </w:rPr>
      </w:pPr>
      <w:r>
        <w:rPr>
          <w:rFonts w:hint="eastAsia"/>
          <w:snapToGrid w:val="0"/>
          <w:lang w:eastAsia="zh-CN"/>
        </w:rPr>
        <w:t>产品说明书（包装说明书）有关研究数据的声明：</w:t>
      </w:r>
    </w:p>
    <w:p w14:paraId="3DB26A04">
      <w:pPr>
        <w:spacing w:before="179"/>
        <w:ind w:left="480" w:hanging="480" w:hangingChars="200"/>
        <w:rPr>
          <w:b/>
          <w:snapToGrid w:val="0"/>
          <w:lang w:eastAsia="zh-CN"/>
        </w:rPr>
      </w:pPr>
      <w:r>
        <w:rPr>
          <w:rFonts w:hint="eastAsia"/>
          <w:snapToGrid w:val="0"/>
          <w:lang w:eastAsia="zh-CN"/>
        </w:rPr>
        <w:t>7.</w:t>
      </w:r>
      <w:r>
        <w:rPr>
          <w:snapToGrid w:val="0"/>
          <w:lang w:eastAsia="zh-CN"/>
        </w:rPr>
        <w:tab/>
      </w:r>
      <w:r>
        <w:rPr>
          <w:rFonts w:hint="eastAsia"/>
          <w:snapToGrid w:val="0"/>
          <w:lang w:eastAsia="zh-CN"/>
        </w:rPr>
        <w:t>所有数据的性质应在510（k）和包装说明书中清楚记录。制造商应指明用于确定510（k）和包装说明书（PI）中描述性能特性的研究场所的数量和类型。制造商对IVD的声明将限于FDA认可的实际试验数据。</w:t>
      </w:r>
    </w:p>
    <w:p w14:paraId="66886B92">
      <w:pPr>
        <w:spacing w:before="179"/>
        <w:rPr>
          <w:b/>
          <w:snapToGrid w:val="0"/>
          <w:lang w:eastAsia="zh-CN"/>
        </w:rPr>
      </w:pPr>
      <w:r>
        <w:rPr>
          <w:b/>
          <w:snapToGrid w:val="0"/>
          <w:lang w:eastAsia="zh-CN"/>
        </w:rPr>
        <w:br w:type="page"/>
      </w:r>
    </w:p>
    <w:p w14:paraId="124533CE">
      <w:pPr>
        <w:spacing w:before="179"/>
        <w:ind w:left="480" w:leftChars="200"/>
        <w:rPr>
          <w:snapToGrid w:val="0"/>
          <w:lang w:eastAsia="zh-CN"/>
        </w:rPr>
      </w:pPr>
      <w:r>
        <w:rPr>
          <w:rFonts w:hint="eastAsia"/>
          <w:snapToGrid w:val="0"/>
          <w:lang w:eastAsia="zh-CN"/>
        </w:rPr>
        <w:t>示例</w:t>
      </w:r>
      <w:r>
        <w:rPr>
          <w:snapToGrid w:val="0"/>
          <w:lang w:eastAsia="zh-CN"/>
        </w:rPr>
        <w:t>：</w:t>
      </w:r>
    </w:p>
    <w:p w14:paraId="0CA1E06C">
      <w:pPr>
        <w:spacing w:before="179"/>
        <w:ind w:left="480" w:leftChars="200"/>
        <w:rPr>
          <w:snapToGrid w:val="0"/>
          <w:lang w:eastAsia="zh-CN"/>
        </w:rPr>
      </w:pPr>
      <w:r>
        <w:rPr>
          <w:rFonts w:hint="eastAsia"/>
          <w:snapToGrid w:val="0"/>
          <w:lang w:eastAsia="zh-CN"/>
        </w:rPr>
        <w:t>制造商将试验仅限于制造场所，受制于PI中的声明，例如：</w:t>
      </w:r>
    </w:p>
    <w:p w14:paraId="717FD874">
      <w:pPr>
        <w:spacing w:before="179"/>
        <w:ind w:left="480" w:leftChars="200"/>
        <w:rPr>
          <w:snapToGrid w:val="0"/>
          <w:lang w:eastAsia="zh-CN"/>
        </w:rPr>
      </w:pPr>
      <w:r>
        <w:rPr>
          <w:rFonts w:hint="eastAsia" w:ascii="宋体" w:hAnsi="宋体"/>
          <w:b/>
          <w:snapToGrid w:val="0"/>
          <w:lang w:eastAsia="zh-CN"/>
        </w:rPr>
        <w:t>“</w:t>
      </w:r>
      <w:r>
        <w:rPr>
          <w:rFonts w:hint="eastAsia"/>
          <w:b/>
          <w:snapToGrid w:val="0"/>
          <w:lang w:eastAsia="zh-CN"/>
        </w:rPr>
        <w:t>此性能数据仅在x公司的场所生成</w:t>
      </w:r>
      <w:r>
        <w:rPr>
          <w:rFonts w:hint="eastAsia" w:ascii="宋体" w:hAnsi="宋体"/>
          <w:b/>
          <w:snapToGrid w:val="0"/>
          <w:lang w:eastAsia="zh-CN"/>
        </w:rPr>
        <w:t>”</w:t>
      </w:r>
      <w:r>
        <w:rPr>
          <w:rFonts w:hint="eastAsia"/>
          <w:snapToGrid w:val="0"/>
          <w:lang w:eastAsia="zh-CN"/>
        </w:rPr>
        <w:t>或一些等同性语言。</w:t>
      </w:r>
    </w:p>
    <w:p w14:paraId="1839C40C">
      <w:pPr>
        <w:spacing w:before="179"/>
        <w:ind w:left="480" w:leftChars="200"/>
        <w:rPr>
          <w:snapToGrid w:val="0"/>
          <w:lang w:eastAsia="zh-CN"/>
        </w:rPr>
      </w:pPr>
      <w:r>
        <w:rPr>
          <w:rFonts w:hint="eastAsia"/>
          <w:snapToGrid w:val="0"/>
          <w:lang w:eastAsia="zh-CN"/>
        </w:rPr>
        <w:t>然而，制造商在制造场所和两个临床中心获得性能数据，可在PI中做出声明，例如：</w:t>
      </w:r>
    </w:p>
    <w:p w14:paraId="1390C457">
      <w:pPr>
        <w:spacing w:before="179"/>
        <w:ind w:left="480" w:leftChars="200"/>
        <w:rPr>
          <w:snapToGrid w:val="0"/>
          <w:lang w:eastAsia="zh-CN"/>
        </w:rPr>
      </w:pPr>
      <w:r>
        <w:rPr>
          <w:rFonts w:hint="eastAsia" w:ascii="宋体" w:hAnsi="宋体"/>
          <w:b/>
          <w:snapToGrid w:val="0"/>
          <w:lang w:eastAsia="zh-CN"/>
        </w:rPr>
        <w:t>“</w:t>
      </w:r>
      <w:r>
        <w:rPr>
          <w:rFonts w:hint="eastAsia"/>
          <w:b/>
          <w:snapToGrid w:val="0"/>
          <w:lang w:eastAsia="zh-CN"/>
        </w:rPr>
        <w:t>性能数据于德克萨斯州的x公司、的大型</w:t>
      </w:r>
      <w:r>
        <w:rPr>
          <w:rFonts w:hint="eastAsia"/>
          <w:snapToGrid w:val="0"/>
          <w:lang w:eastAsia="zh-CN"/>
        </w:rPr>
        <w:t>（大学，一般等）</w:t>
      </w:r>
      <w:r>
        <w:rPr>
          <w:rFonts w:hint="eastAsia"/>
          <w:b/>
          <w:snapToGrid w:val="0"/>
          <w:lang w:eastAsia="zh-CN"/>
        </w:rPr>
        <w:t>（高复杂性）医院实验室以及新泽西的小型医院实验室（中等复杂性）中生成</w:t>
      </w:r>
      <w:r>
        <w:rPr>
          <w:rFonts w:hint="eastAsia" w:ascii="宋体" w:hAnsi="宋体"/>
          <w:b/>
          <w:snapToGrid w:val="0"/>
          <w:lang w:eastAsia="zh-CN"/>
        </w:rPr>
        <w:t>”</w:t>
      </w:r>
      <w:r>
        <w:rPr>
          <w:rFonts w:hint="eastAsia"/>
          <w:snapToGrid w:val="0"/>
          <w:lang w:eastAsia="zh-CN"/>
        </w:rPr>
        <w:t>或一些等同性语言。</w:t>
      </w:r>
    </w:p>
    <w:p w14:paraId="362144FF">
      <w:pPr>
        <w:spacing w:before="179"/>
        <w:ind w:left="480" w:leftChars="200"/>
        <w:rPr>
          <w:snapToGrid w:val="0"/>
          <w:lang w:eastAsia="zh-CN"/>
        </w:rPr>
      </w:pPr>
      <w:r>
        <w:rPr>
          <w:rFonts w:hint="eastAsia"/>
          <w:snapToGrid w:val="0"/>
          <w:lang w:eastAsia="zh-CN"/>
        </w:rPr>
        <w:t>一些IVDS，特别是测量与低发病率条件相关的分析物的IVDS，可能需要超过3个试验场所。制造商可以在PI中声明FDA已批准的所有试验数据的结果。</w:t>
      </w:r>
    </w:p>
    <w:p w14:paraId="21FB736D">
      <w:pPr>
        <w:spacing w:before="179"/>
        <w:ind w:left="480" w:leftChars="200"/>
        <w:rPr>
          <w:b/>
          <w:snapToGrid w:val="0"/>
          <w:lang w:eastAsia="zh-CN"/>
        </w:rPr>
      </w:pPr>
      <w:r>
        <w:rPr>
          <w:rFonts w:hint="eastAsia"/>
          <w:snapToGrid w:val="0"/>
          <w:lang w:eastAsia="zh-CN"/>
        </w:rPr>
        <w:t>PI的目标是标记中提供真实信息。PI标签应向用户说明有关产品试验性能已知信息的实际范围。公司可以根据其产品的实际试验使用其数据来支持声明。</w:t>
      </w:r>
    </w:p>
    <w:p w14:paraId="328EB940">
      <w:pPr>
        <w:spacing w:before="179"/>
        <w:rPr>
          <w:bCs/>
          <w:snapToGrid w:val="0"/>
        </w:rPr>
      </w:pPr>
      <w:r>
        <w:rPr>
          <w:bCs/>
          <w:snapToGrid w:val="0"/>
        </w:rPr>
        <w:t>参考文献</w:t>
      </w:r>
    </w:p>
    <w:p w14:paraId="030260F0">
      <w:pPr>
        <w:pStyle w:val="19"/>
        <w:numPr>
          <w:ilvl w:val="0"/>
          <w:numId w:val="4"/>
        </w:numPr>
        <w:spacing w:before="239" w:beforeLines="80"/>
        <w:ind w:firstLineChars="0"/>
        <w:rPr>
          <w:bCs/>
          <w:snapToGrid w:val="0"/>
          <w:szCs w:val="24"/>
          <w:lang w:eastAsia="zh-CN"/>
        </w:rPr>
      </w:pPr>
      <w:r>
        <w:rPr>
          <w:bCs/>
          <w:snapToGrid w:val="0"/>
          <w:szCs w:val="24"/>
          <w:lang w:eastAsia="zh-CN"/>
        </w:rPr>
        <w:t>Barnett</w:t>
      </w:r>
      <w:r>
        <w:rPr>
          <w:rFonts w:hint="eastAsia"/>
          <w:bCs/>
          <w:snapToGrid w:val="0"/>
          <w:szCs w:val="24"/>
          <w:lang w:eastAsia="zh-CN"/>
        </w:rPr>
        <w:t>，</w:t>
      </w:r>
      <w:r>
        <w:rPr>
          <w:bCs/>
          <w:snapToGrid w:val="0"/>
          <w:szCs w:val="24"/>
          <w:lang w:eastAsia="zh-CN"/>
        </w:rPr>
        <w:t>R.N.</w:t>
      </w:r>
      <w:r>
        <w:rPr>
          <w:rFonts w:hint="eastAsia"/>
          <w:bCs/>
          <w:snapToGrid w:val="0"/>
          <w:szCs w:val="24"/>
          <w:lang w:eastAsia="zh-CN"/>
        </w:rPr>
        <w:t>，一种比较定量方法的方案。</w:t>
      </w:r>
      <w:r>
        <w:rPr>
          <w:bCs/>
          <w:snapToGrid w:val="0"/>
          <w:szCs w:val="24"/>
          <w:lang w:eastAsia="zh-CN"/>
        </w:rPr>
        <w:t>美国临床病理学杂志。43，562，1965</w:t>
      </w:r>
      <w:r>
        <w:rPr>
          <w:rFonts w:hint="eastAsia"/>
          <w:bCs/>
          <w:snapToGrid w:val="0"/>
          <w:szCs w:val="24"/>
          <w:lang w:eastAsia="zh-CN"/>
        </w:rPr>
        <w:t>。</w:t>
      </w:r>
    </w:p>
    <w:p w14:paraId="13EA2003">
      <w:pPr>
        <w:pStyle w:val="19"/>
        <w:numPr>
          <w:ilvl w:val="0"/>
          <w:numId w:val="4"/>
        </w:numPr>
        <w:spacing w:before="239" w:beforeLines="80"/>
        <w:ind w:firstLineChars="0"/>
        <w:rPr>
          <w:bCs/>
          <w:snapToGrid w:val="0"/>
          <w:szCs w:val="24"/>
          <w:lang w:eastAsia="zh-CN"/>
        </w:rPr>
      </w:pPr>
      <w:r>
        <w:rPr>
          <w:bCs/>
          <w:snapToGrid w:val="0"/>
          <w:szCs w:val="24"/>
        </w:rPr>
        <w:t xml:space="preserve">Barnett，R.N. </w:t>
      </w:r>
      <w:r>
        <w:rPr>
          <w:rFonts w:hint="eastAsia"/>
          <w:bCs/>
          <w:snapToGrid w:val="0"/>
          <w:szCs w:val="24"/>
          <w:lang w:eastAsia="zh-CN"/>
        </w:rPr>
        <w:t>和</w:t>
      </w:r>
      <w:r>
        <w:rPr>
          <w:bCs/>
          <w:snapToGrid w:val="0"/>
          <w:szCs w:val="24"/>
        </w:rPr>
        <w:t>Youden，W.J</w:t>
      </w:r>
      <w:r>
        <w:rPr>
          <w:rFonts w:hint="eastAsia"/>
          <w:bCs/>
          <w:snapToGrid w:val="0"/>
          <w:szCs w:val="24"/>
          <w:lang w:eastAsia="zh-CN"/>
        </w:rPr>
        <w:t>。比较定量方法的修订方案。</w:t>
      </w:r>
      <w:r>
        <w:rPr>
          <w:bCs/>
          <w:snapToGrid w:val="0"/>
          <w:szCs w:val="24"/>
          <w:lang w:eastAsia="zh-CN"/>
        </w:rPr>
        <w:t>美国临床病理学杂志。54</w:t>
      </w:r>
      <w:r>
        <w:rPr>
          <w:rFonts w:hint="eastAsia"/>
          <w:bCs/>
          <w:snapToGrid w:val="0"/>
          <w:szCs w:val="24"/>
          <w:lang w:eastAsia="zh-CN"/>
        </w:rPr>
        <w:t>，</w:t>
      </w:r>
      <w:r>
        <w:rPr>
          <w:bCs/>
          <w:snapToGrid w:val="0"/>
          <w:szCs w:val="24"/>
          <w:lang w:eastAsia="zh-CN"/>
        </w:rPr>
        <w:t>454，1970</w:t>
      </w:r>
      <w:r>
        <w:rPr>
          <w:rFonts w:hint="eastAsia"/>
          <w:bCs/>
          <w:snapToGrid w:val="0"/>
          <w:szCs w:val="24"/>
          <w:lang w:eastAsia="zh-CN"/>
        </w:rPr>
        <w:t>。</w:t>
      </w:r>
    </w:p>
    <w:p w14:paraId="3560CD2F">
      <w:pPr>
        <w:pStyle w:val="19"/>
        <w:numPr>
          <w:ilvl w:val="0"/>
          <w:numId w:val="4"/>
        </w:numPr>
        <w:spacing w:before="239" w:beforeLines="80"/>
        <w:ind w:firstLineChars="0"/>
        <w:rPr>
          <w:bCs/>
          <w:snapToGrid w:val="0"/>
          <w:szCs w:val="24"/>
          <w:lang w:eastAsia="zh-CN"/>
        </w:rPr>
      </w:pPr>
      <w:r>
        <w:rPr>
          <w:bCs/>
          <w:snapToGrid w:val="0"/>
          <w:szCs w:val="24"/>
          <w:lang w:eastAsia="zh-CN"/>
        </w:rPr>
        <w:t>Bauer，S.，Kennedy，J.W. ，</w:t>
      </w:r>
      <w:r>
        <w:rPr>
          <w:rFonts w:hint="eastAsia"/>
          <w:bCs/>
          <w:snapToGrid w:val="0"/>
          <w:szCs w:val="24"/>
          <w:lang w:eastAsia="zh-CN"/>
        </w:rPr>
        <w:t>临床实验室应用统计：111。随时间变化。</w:t>
      </w:r>
      <w:r>
        <w:rPr>
          <w:bCs/>
          <w:snapToGrid w:val="0"/>
          <w:szCs w:val="24"/>
          <w:lang w:eastAsia="zh-CN"/>
        </w:rPr>
        <w:t>临床实验室杂志。Autom. 1</w:t>
      </w:r>
      <w:r>
        <w:rPr>
          <w:rFonts w:hint="eastAsia"/>
          <w:bCs/>
          <w:snapToGrid w:val="0"/>
          <w:szCs w:val="24"/>
          <w:lang w:eastAsia="zh-CN"/>
        </w:rPr>
        <w:t>：</w:t>
      </w:r>
      <w:r>
        <w:rPr>
          <w:bCs/>
          <w:snapToGrid w:val="0"/>
          <w:szCs w:val="24"/>
          <w:lang w:eastAsia="zh-CN"/>
        </w:rPr>
        <w:t>35-40，1982</w:t>
      </w:r>
      <w:r>
        <w:rPr>
          <w:rFonts w:hint="eastAsia"/>
          <w:bCs/>
          <w:snapToGrid w:val="0"/>
          <w:szCs w:val="24"/>
          <w:lang w:eastAsia="zh-CN"/>
        </w:rPr>
        <w:t>。</w:t>
      </w:r>
    </w:p>
    <w:p w14:paraId="0E3D626A">
      <w:pPr>
        <w:pStyle w:val="19"/>
        <w:numPr>
          <w:ilvl w:val="0"/>
          <w:numId w:val="4"/>
        </w:numPr>
        <w:spacing w:before="239" w:beforeLines="80"/>
        <w:ind w:firstLineChars="0"/>
        <w:rPr>
          <w:bCs/>
          <w:snapToGrid w:val="0"/>
          <w:szCs w:val="24"/>
        </w:rPr>
      </w:pPr>
      <w:r>
        <w:rPr>
          <w:bCs/>
          <w:snapToGrid w:val="0"/>
          <w:szCs w:val="24"/>
          <w:lang w:eastAsia="zh-CN"/>
        </w:rPr>
        <w:t>Bauer，S.，Kennedy，J.W.，</w:t>
      </w:r>
      <w:r>
        <w:rPr>
          <w:rFonts w:hint="eastAsia"/>
          <w:bCs/>
          <w:snapToGrid w:val="0"/>
          <w:szCs w:val="24"/>
          <w:lang w:eastAsia="zh-CN"/>
        </w:rPr>
        <w:t>临床实验室应用统计：</w:t>
      </w:r>
      <w:r>
        <w:rPr>
          <w:bCs/>
          <w:snapToGrid w:val="0"/>
          <w:szCs w:val="24"/>
          <w:lang w:eastAsia="zh-CN"/>
        </w:rPr>
        <w:t>VII</w:t>
      </w:r>
      <w:r>
        <w:rPr>
          <w:rFonts w:hint="eastAsia"/>
          <w:bCs/>
          <w:snapToGrid w:val="0"/>
          <w:szCs w:val="24"/>
          <w:lang w:eastAsia="zh-CN"/>
        </w:rPr>
        <w:t>。评估准确性的初步概念。</w:t>
      </w:r>
      <w:r>
        <w:rPr>
          <w:bCs/>
          <w:snapToGrid w:val="0"/>
          <w:szCs w:val="24"/>
          <w:lang w:eastAsia="zh-CN"/>
        </w:rPr>
        <w:t xml:space="preserve">临床实验室杂志。Autom. </w:t>
      </w:r>
      <w:r>
        <w:rPr>
          <w:bCs/>
          <w:snapToGrid w:val="0"/>
          <w:szCs w:val="24"/>
        </w:rPr>
        <w:t>2</w:t>
      </w:r>
      <w:r>
        <w:rPr>
          <w:rFonts w:hint="eastAsia"/>
          <w:bCs/>
          <w:snapToGrid w:val="0"/>
          <w:szCs w:val="24"/>
        </w:rPr>
        <w:t>：</w:t>
      </w:r>
      <w:r>
        <w:rPr>
          <w:bCs/>
          <w:snapToGrid w:val="0"/>
          <w:szCs w:val="24"/>
        </w:rPr>
        <w:t>354，1982</w:t>
      </w:r>
      <w:r>
        <w:rPr>
          <w:rFonts w:hint="eastAsia"/>
          <w:bCs/>
          <w:snapToGrid w:val="0"/>
          <w:szCs w:val="24"/>
          <w:lang w:eastAsia="zh-CN"/>
        </w:rPr>
        <w:t>。</w:t>
      </w:r>
    </w:p>
    <w:p w14:paraId="446CAF99">
      <w:pPr>
        <w:pStyle w:val="19"/>
        <w:numPr>
          <w:ilvl w:val="0"/>
          <w:numId w:val="4"/>
        </w:numPr>
        <w:spacing w:before="239" w:beforeLines="80"/>
        <w:ind w:firstLineChars="0"/>
        <w:rPr>
          <w:bCs/>
          <w:snapToGrid w:val="0"/>
          <w:szCs w:val="24"/>
        </w:rPr>
      </w:pPr>
      <w:r>
        <w:rPr>
          <w:bCs/>
          <w:snapToGrid w:val="0"/>
          <w:szCs w:val="24"/>
          <w:lang w:eastAsia="zh-CN"/>
        </w:rPr>
        <w:t>Bauer，S.，Kennedy，J.W.</w:t>
      </w:r>
      <w:r>
        <w:rPr>
          <w:rFonts w:hint="eastAsia"/>
          <w:lang w:eastAsia="zh-CN"/>
        </w:rPr>
        <w:t xml:space="preserve"> </w:t>
      </w:r>
      <w:r>
        <w:rPr>
          <w:rFonts w:hint="eastAsia"/>
          <w:bCs/>
          <w:snapToGrid w:val="0"/>
          <w:szCs w:val="24"/>
          <w:lang w:eastAsia="zh-CN"/>
        </w:rPr>
        <w:t>临床实验室应用统计：</w:t>
      </w:r>
      <w:r>
        <w:rPr>
          <w:bCs/>
          <w:snapToGrid w:val="0"/>
          <w:szCs w:val="24"/>
          <w:lang w:eastAsia="zh-CN"/>
        </w:rPr>
        <w:t>VIII</w:t>
      </w:r>
      <w:r>
        <w:rPr>
          <w:rFonts w:hint="eastAsia"/>
          <w:bCs/>
          <w:snapToGrid w:val="0"/>
          <w:szCs w:val="24"/>
          <w:lang w:eastAsia="zh-CN"/>
        </w:rPr>
        <w:t>。不准确措施。</w:t>
      </w:r>
      <w:r>
        <w:rPr>
          <w:bCs/>
          <w:snapToGrid w:val="0"/>
          <w:szCs w:val="24"/>
          <w:lang w:eastAsia="zh-CN"/>
        </w:rPr>
        <w:t>临床实验室杂志。</w:t>
      </w:r>
      <w:r>
        <w:rPr>
          <w:bCs/>
          <w:snapToGrid w:val="0"/>
          <w:szCs w:val="24"/>
        </w:rPr>
        <w:t>Autom. 3:46，198</w:t>
      </w:r>
      <w:r>
        <w:rPr>
          <w:rFonts w:hint="eastAsia"/>
          <w:bCs/>
          <w:snapToGrid w:val="0"/>
          <w:szCs w:val="24"/>
          <w:lang w:eastAsia="zh-CN"/>
        </w:rPr>
        <w:t>3。</w:t>
      </w:r>
    </w:p>
    <w:p w14:paraId="178436CF">
      <w:pPr>
        <w:pStyle w:val="19"/>
        <w:numPr>
          <w:ilvl w:val="0"/>
          <w:numId w:val="4"/>
        </w:numPr>
        <w:spacing w:before="239" w:beforeLines="80"/>
        <w:ind w:firstLineChars="0"/>
        <w:rPr>
          <w:bCs/>
          <w:snapToGrid w:val="0"/>
          <w:szCs w:val="24"/>
        </w:rPr>
      </w:pPr>
      <w:r>
        <w:rPr>
          <w:bCs/>
          <w:snapToGrid w:val="0"/>
          <w:szCs w:val="24"/>
          <w:lang w:eastAsia="zh-CN"/>
        </w:rPr>
        <w:t>Bauer，S.，Kennedy，J.W.，</w:t>
      </w:r>
      <w:r>
        <w:rPr>
          <w:rFonts w:hint="eastAsia"/>
          <w:bCs/>
          <w:snapToGrid w:val="0"/>
          <w:szCs w:val="24"/>
          <w:lang w:eastAsia="zh-CN"/>
        </w:rPr>
        <w:t>临床实验室应用统计：</w:t>
      </w:r>
      <w:r>
        <w:rPr>
          <w:bCs/>
          <w:snapToGrid w:val="0"/>
          <w:szCs w:val="24"/>
          <w:lang w:eastAsia="zh-CN"/>
        </w:rPr>
        <w:t>IX</w:t>
      </w:r>
      <w:r>
        <w:rPr>
          <w:rFonts w:hint="eastAsia"/>
          <w:bCs/>
          <w:snapToGrid w:val="0"/>
          <w:szCs w:val="24"/>
          <w:lang w:eastAsia="zh-CN"/>
        </w:rPr>
        <w:t>。分布和正常性。</w:t>
      </w:r>
      <w:r>
        <w:rPr>
          <w:bCs/>
          <w:snapToGrid w:val="0"/>
          <w:szCs w:val="24"/>
          <w:lang w:eastAsia="zh-CN"/>
        </w:rPr>
        <w:t>临床实验室杂志。</w:t>
      </w:r>
      <w:r>
        <w:rPr>
          <w:bCs/>
          <w:snapToGrid w:val="0"/>
          <w:szCs w:val="24"/>
        </w:rPr>
        <w:t>Autom. 3</w:t>
      </w:r>
      <w:r>
        <w:rPr>
          <w:rFonts w:hint="eastAsia"/>
          <w:bCs/>
          <w:snapToGrid w:val="0"/>
          <w:szCs w:val="24"/>
        </w:rPr>
        <w:t>：</w:t>
      </w:r>
      <w:r>
        <w:rPr>
          <w:bCs/>
          <w:snapToGrid w:val="0"/>
          <w:szCs w:val="24"/>
        </w:rPr>
        <w:t>183</w:t>
      </w:r>
      <w:r>
        <w:rPr>
          <w:rFonts w:hint="eastAsia"/>
          <w:bCs/>
          <w:snapToGrid w:val="0"/>
          <w:szCs w:val="24"/>
        </w:rPr>
        <w:t>，</w:t>
      </w:r>
      <w:r>
        <w:rPr>
          <w:bCs/>
          <w:snapToGrid w:val="0"/>
          <w:szCs w:val="24"/>
        </w:rPr>
        <w:t>1983</w:t>
      </w:r>
      <w:r>
        <w:rPr>
          <w:rFonts w:hint="eastAsia"/>
          <w:bCs/>
          <w:snapToGrid w:val="0"/>
          <w:szCs w:val="24"/>
          <w:lang w:eastAsia="zh-CN"/>
        </w:rPr>
        <w:t>。</w:t>
      </w:r>
    </w:p>
    <w:p w14:paraId="5A9E8CEE">
      <w:pPr>
        <w:pStyle w:val="19"/>
        <w:numPr>
          <w:ilvl w:val="0"/>
          <w:numId w:val="4"/>
        </w:numPr>
        <w:spacing w:before="239" w:beforeLines="80"/>
        <w:ind w:firstLineChars="0"/>
        <w:rPr>
          <w:bCs/>
          <w:snapToGrid w:val="0"/>
          <w:szCs w:val="24"/>
        </w:rPr>
      </w:pPr>
      <w:r>
        <w:rPr>
          <w:bCs/>
          <w:snapToGrid w:val="0"/>
          <w:szCs w:val="24"/>
          <w:lang w:eastAsia="zh-CN"/>
        </w:rPr>
        <w:t>Bauer，S.，Kennedy，J.W.，临床实验室应用统计：X</w:t>
      </w:r>
      <w:r>
        <w:rPr>
          <w:rFonts w:hint="eastAsia"/>
          <w:bCs/>
          <w:snapToGrid w:val="0"/>
          <w:szCs w:val="24"/>
          <w:lang w:eastAsia="zh-CN"/>
        </w:rPr>
        <w:t>。评估不准确。</w:t>
      </w:r>
      <w:r>
        <w:rPr>
          <w:bCs/>
          <w:snapToGrid w:val="0"/>
          <w:szCs w:val="24"/>
          <w:lang w:eastAsia="zh-CN"/>
        </w:rPr>
        <w:t>临床实验室杂志。</w:t>
      </w:r>
      <w:r>
        <w:rPr>
          <w:bCs/>
          <w:snapToGrid w:val="0"/>
          <w:szCs w:val="24"/>
        </w:rPr>
        <w:t>Autom. 3:340，1983</w:t>
      </w:r>
      <w:r>
        <w:rPr>
          <w:rFonts w:hint="eastAsia"/>
          <w:bCs/>
          <w:snapToGrid w:val="0"/>
          <w:szCs w:val="24"/>
          <w:lang w:eastAsia="zh-CN"/>
        </w:rPr>
        <w:t>。</w:t>
      </w:r>
    </w:p>
    <w:p w14:paraId="17E45E4D">
      <w:pPr>
        <w:pStyle w:val="19"/>
        <w:numPr>
          <w:ilvl w:val="0"/>
          <w:numId w:val="4"/>
        </w:numPr>
        <w:spacing w:before="239" w:beforeLines="80"/>
        <w:ind w:firstLineChars="0"/>
        <w:rPr>
          <w:bCs/>
          <w:snapToGrid w:val="0"/>
          <w:szCs w:val="24"/>
        </w:rPr>
      </w:pPr>
      <w:r>
        <w:rPr>
          <w:bCs/>
          <w:snapToGrid w:val="0"/>
          <w:szCs w:val="24"/>
          <w:lang w:eastAsia="zh-CN"/>
        </w:rPr>
        <w:t>Bauer，S.，Kennedy，J.W. ，临床实验室应用统计：XI</w:t>
      </w:r>
      <w:r>
        <w:rPr>
          <w:rFonts w:hint="eastAsia"/>
          <w:bCs/>
          <w:snapToGrid w:val="0"/>
          <w:szCs w:val="24"/>
          <w:lang w:eastAsia="zh-CN"/>
        </w:rPr>
        <w:t>。学生的t试验用于评估不准确。</w:t>
      </w:r>
      <w:r>
        <w:rPr>
          <w:bCs/>
          <w:snapToGrid w:val="0"/>
          <w:szCs w:val="24"/>
          <w:lang w:eastAsia="zh-CN"/>
        </w:rPr>
        <w:t xml:space="preserve">临床实验室杂志。Autom. </w:t>
      </w:r>
      <w:r>
        <w:rPr>
          <w:bCs/>
          <w:snapToGrid w:val="0"/>
          <w:szCs w:val="24"/>
        </w:rPr>
        <w:t>4:56-63，1984</w:t>
      </w:r>
      <w:r>
        <w:rPr>
          <w:rFonts w:hint="eastAsia"/>
          <w:bCs/>
          <w:snapToGrid w:val="0"/>
          <w:szCs w:val="24"/>
          <w:lang w:eastAsia="zh-CN"/>
        </w:rPr>
        <w:t>。</w:t>
      </w:r>
    </w:p>
    <w:p w14:paraId="2E72C531">
      <w:pPr>
        <w:pStyle w:val="19"/>
        <w:numPr>
          <w:ilvl w:val="0"/>
          <w:numId w:val="4"/>
        </w:numPr>
        <w:spacing w:before="239" w:beforeLines="80"/>
        <w:ind w:firstLineChars="0"/>
        <w:rPr>
          <w:bCs/>
          <w:snapToGrid w:val="0"/>
          <w:szCs w:val="24"/>
          <w:lang w:eastAsia="zh-CN"/>
        </w:rPr>
      </w:pPr>
      <w:r>
        <w:rPr>
          <w:bCs/>
          <w:snapToGrid w:val="0"/>
          <w:szCs w:val="24"/>
          <w:lang w:eastAsia="zh-CN"/>
        </w:rPr>
        <w:t>Beck，J.R.，Shultz，K</w:t>
      </w:r>
      <w:r>
        <w:rPr>
          <w:rFonts w:hint="eastAsia"/>
          <w:bCs/>
          <w:snapToGrid w:val="0"/>
          <w:szCs w:val="24"/>
          <w:lang w:eastAsia="zh-CN"/>
        </w:rPr>
        <w:t>：在试验性能评估中使用相对工作特性曲线（ROC）。</w:t>
      </w:r>
      <w:r>
        <w:rPr>
          <w:bCs/>
          <w:snapToGrid w:val="0"/>
          <w:szCs w:val="24"/>
          <w:lang w:eastAsia="zh-CN"/>
        </w:rPr>
        <w:t>病理学与检验医学文献</w:t>
      </w:r>
      <w:r>
        <w:rPr>
          <w:rFonts w:hint="eastAsia"/>
          <w:bCs/>
          <w:snapToGrid w:val="0"/>
          <w:szCs w:val="24"/>
          <w:lang w:eastAsia="zh-CN"/>
        </w:rPr>
        <w:t>。</w:t>
      </w:r>
      <w:r>
        <w:rPr>
          <w:bCs/>
          <w:snapToGrid w:val="0"/>
          <w:szCs w:val="24"/>
          <w:lang w:eastAsia="zh-CN"/>
        </w:rPr>
        <w:t>110:13，1986</w:t>
      </w:r>
      <w:r>
        <w:rPr>
          <w:rFonts w:hint="eastAsia"/>
          <w:bCs/>
          <w:snapToGrid w:val="0"/>
          <w:szCs w:val="24"/>
          <w:lang w:eastAsia="zh-CN"/>
        </w:rPr>
        <w:t>。</w:t>
      </w:r>
    </w:p>
    <w:p w14:paraId="5FF8BBD1">
      <w:pPr>
        <w:pStyle w:val="19"/>
        <w:numPr>
          <w:ilvl w:val="0"/>
          <w:numId w:val="4"/>
        </w:numPr>
        <w:spacing w:before="239" w:beforeLines="80"/>
        <w:ind w:firstLineChars="0"/>
        <w:rPr>
          <w:bCs/>
          <w:snapToGrid w:val="0"/>
          <w:szCs w:val="24"/>
          <w:lang w:eastAsia="zh-CN"/>
        </w:rPr>
      </w:pPr>
      <w:r>
        <w:rPr>
          <w:bCs/>
          <w:snapToGrid w:val="0"/>
          <w:szCs w:val="24"/>
          <w:lang w:eastAsia="zh-CN"/>
        </w:rPr>
        <w:t>Begg，C.，</w:t>
      </w:r>
      <w:r>
        <w:rPr>
          <w:rFonts w:hint="eastAsia"/>
          <w:bCs/>
          <w:snapToGrid w:val="0"/>
          <w:szCs w:val="24"/>
          <w:lang w:eastAsia="zh-CN"/>
        </w:rPr>
        <w:t>诊断试验评估中的偏见。医学统计。</w:t>
      </w:r>
      <w:r>
        <w:rPr>
          <w:bCs/>
          <w:snapToGrid w:val="0"/>
          <w:szCs w:val="24"/>
          <w:lang w:eastAsia="zh-CN"/>
        </w:rPr>
        <w:t>6:411，1987</w:t>
      </w:r>
      <w:r>
        <w:rPr>
          <w:rFonts w:hint="eastAsia"/>
          <w:bCs/>
          <w:snapToGrid w:val="0"/>
          <w:szCs w:val="24"/>
          <w:lang w:eastAsia="zh-CN"/>
        </w:rPr>
        <w:t>。</w:t>
      </w:r>
    </w:p>
    <w:p w14:paraId="1F1CC479">
      <w:pPr>
        <w:pStyle w:val="19"/>
        <w:numPr>
          <w:ilvl w:val="0"/>
          <w:numId w:val="4"/>
        </w:numPr>
        <w:spacing w:before="239" w:beforeLines="80"/>
        <w:ind w:firstLineChars="0"/>
        <w:rPr>
          <w:bCs/>
          <w:snapToGrid w:val="0"/>
          <w:szCs w:val="24"/>
          <w:lang w:eastAsia="zh-CN"/>
        </w:rPr>
      </w:pPr>
      <w:r>
        <w:rPr>
          <w:bCs/>
          <w:snapToGrid w:val="0"/>
          <w:szCs w:val="24"/>
          <w:lang w:eastAsia="zh-CN"/>
        </w:rPr>
        <w:t>Braitman，L.E.，</w:t>
      </w:r>
      <w:r>
        <w:rPr>
          <w:rFonts w:hint="eastAsia"/>
          <w:bCs/>
          <w:snapToGrid w:val="0"/>
          <w:szCs w:val="24"/>
          <w:lang w:eastAsia="zh-CN"/>
        </w:rPr>
        <w:t>置信区间从数据中提取临床上有用的信息。</w:t>
      </w:r>
      <w:r>
        <w:rPr>
          <w:bCs/>
          <w:snapToGrid w:val="0"/>
          <w:szCs w:val="24"/>
          <w:lang w:eastAsia="zh-CN"/>
        </w:rPr>
        <w:t>内科学年鉴 108:296，1988</w:t>
      </w:r>
      <w:r>
        <w:rPr>
          <w:rFonts w:hint="eastAsia"/>
          <w:bCs/>
          <w:snapToGrid w:val="0"/>
          <w:szCs w:val="24"/>
          <w:lang w:eastAsia="zh-CN"/>
        </w:rPr>
        <w:t>。</w:t>
      </w:r>
    </w:p>
    <w:p w14:paraId="3A8AD90C">
      <w:pPr>
        <w:pStyle w:val="19"/>
        <w:numPr>
          <w:ilvl w:val="0"/>
          <w:numId w:val="4"/>
        </w:numPr>
        <w:spacing w:before="239" w:beforeLines="80"/>
        <w:ind w:firstLineChars="0"/>
        <w:rPr>
          <w:bCs/>
          <w:snapToGrid w:val="0"/>
          <w:szCs w:val="24"/>
        </w:rPr>
      </w:pPr>
      <w:r>
        <w:rPr>
          <w:bCs/>
          <w:snapToGrid w:val="0"/>
          <w:szCs w:val="24"/>
        </w:rPr>
        <w:t>Broughton，P.M.G.，Gownlock，A.H.，Mccormack，J.J.，Neill，D.W.，</w:t>
      </w:r>
      <w:r>
        <w:rPr>
          <w:rFonts w:hint="eastAsia"/>
          <w:bCs/>
          <w:snapToGrid w:val="0"/>
          <w:szCs w:val="24"/>
        </w:rPr>
        <w:t>用于评估临床化学中使用的自动仪器的修订方案。</w:t>
      </w:r>
      <w:r>
        <w:rPr>
          <w:bCs/>
          <w:snapToGrid w:val="0"/>
          <w:szCs w:val="24"/>
        </w:rPr>
        <w:t>临床生物化学 11:207-208，1974</w:t>
      </w:r>
      <w:r>
        <w:rPr>
          <w:rFonts w:hint="eastAsia"/>
          <w:bCs/>
          <w:snapToGrid w:val="0"/>
          <w:szCs w:val="24"/>
          <w:lang w:eastAsia="zh-CN"/>
        </w:rPr>
        <w:t>。</w:t>
      </w:r>
    </w:p>
    <w:p w14:paraId="4C0C92B0">
      <w:pPr>
        <w:pStyle w:val="19"/>
        <w:numPr>
          <w:ilvl w:val="0"/>
          <w:numId w:val="4"/>
        </w:numPr>
        <w:spacing w:before="239" w:beforeLines="80"/>
        <w:ind w:firstLineChars="0"/>
        <w:rPr>
          <w:bCs/>
          <w:snapToGrid w:val="0"/>
          <w:szCs w:val="24"/>
          <w:lang w:eastAsia="zh-CN"/>
        </w:rPr>
      </w:pPr>
      <w:r>
        <w:rPr>
          <w:bCs/>
          <w:snapToGrid w:val="0"/>
          <w:szCs w:val="24"/>
          <w:lang w:eastAsia="zh-CN"/>
        </w:rPr>
        <w:t>Brown，G.W.，</w:t>
      </w:r>
      <w:r>
        <w:rPr>
          <w:rFonts w:hint="eastAsia"/>
          <w:bCs/>
          <w:snapToGrid w:val="0"/>
          <w:szCs w:val="24"/>
          <w:lang w:eastAsia="zh-CN"/>
        </w:rPr>
        <w:t>比较两个试验。联合医学。</w:t>
      </w:r>
      <w:r>
        <w:rPr>
          <w:bCs/>
          <w:snapToGrid w:val="0"/>
          <w:szCs w:val="24"/>
          <w:lang w:eastAsia="zh-CN"/>
        </w:rPr>
        <w:t>pp.28- 31，1985</w:t>
      </w:r>
      <w:r>
        <w:rPr>
          <w:rFonts w:hint="eastAsia"/>
          <w:bCs/>
          <w:snapToGrid w:val="0"/>
          <w:szCs w:val="24"/>
          <w:lang w:eastAsia="zh-CN"/>
        </w:rPr>
        <w:t>。</w:t>
      </w:r>
    </w:p>
    <w:p w14:paraId="5C0B3585">
      <w:pPr>
        <w:pStyle w:val="19"/>
        <w:numPr>
          <w:ilvl w:val="0"/>
          <w:numId w:val="4"/>
        </w:numPr>
        <w:spacing w:before="239" w:beforeLines="80"/>
        <w:ind w:firstLineChars="0"/>
        <w:rPr>
          <w:bCs/>
          <w:snapToGrid w:val="0"/>
          <w:szCs w:val="24"/>
          <w:lang w:eastAsia="zh-CN"/>
        </w:rPr>
      </w:pPr>
      <w:r>
        <w:rPr>
          <w:bCs/>
          <w:snapToGrid w:val="0"/>
          <w:szCs w:val="24"/>
          <w:lang w:eastAsia="zh-CN"/>
        </w:rPr>
        <w:t>Buck，A.A.，Grant，J.J.，</w:t>
      </w:r>
      <w:r>
        <w:rPr>
          <w:rFonts w:hint="eastAsia"/>
          <w:bCs/>
          <w:snapToGrid w:val="0"/>
          <w:szCs w:val="24"/>
          <w:lang w:eastAsia="zh-CN"/>
        </w:rPr>
        <w:t>流行病学研究中筛查试验与参考试验的比较 - 1.协议指标及其与患病率的关系。</w:t>
      </w:r>
      <w:r>
        <w:rPr>
          <w:bCs/>
          <w:snapToGrid w:val="0"/>
          <w:szCs w:val="24"/>
          <w:lang w:eastAsia="zh-CN"/>
        </w:rPr>
        <w:t>美国流行病学杂志</w:t>
      </w:r>
      <w:r>
        <w:rPr>
          <w:rFonts w:hint="eastAsia"/>
          <w:bCs/>
          <w:snapToGrid w:val="0"/>
          <w:szCs w:val="24"/>
          <w:lang w:eastAsia="zh-CN"/>
        </w:rPr>
        <w:t>。</w:t>
      </w:r>
      <w:r>
        <w:rPr>
          <w:bCs/>
          <w:snapToGrid w:val="0"/>
          <w:szCs w:val="24"/>
          <w:lang w:eastAsia="zh-CN"/>
        </w:rPr>
        <w:t>83:586，1966</w:t>
      </w:r>
      <w:r>
        <w:rPr>
          <w:rFonts w:hint="eastAsia"/>
          <w:bCs/>
          <w:snapToGrid w:val="0"/>
          <w:szCs w:val="24"/>
          <w:lang w:eastAsia="zh-CN"/>
        </w:rPr>
        <w:t>。</w:t>
      </w:r>
    </w:p>
    <w:p w14:paraId="1E1668C1">
      <w:pPr>
        <w:pStyle w:val="19"/>
        <w:numPr>
          <w:ilvl w:val="0"/>
          <w:numId w:val="4"/>
        </w:numPr>
        <w:spacing w:before="239" w:beforeLines="80"/>
        <w:ind w:firstLineChars="0"/>
        <w:rPr>
          <w:bCs/>
          <w:snapToGrid w:val="0"/>
          <w:szCs w:val="24"/>
          <w:lang w:eastAsia="zh-CN"/>
        </w:rPr>
      </w:pPr>
      <w:r>
        <w:rPr>
          <w:rFonts w:hint="eastAsia"/>
          <w:bCs/>
          <w:snapToGrid w:val="0"/>
          <w:szCs w:val="24"/>
          <w:lang w:eastAsia="zh-CN"/>
        </w:rPr>
        <w:t>美国病理学家学院，实验室仪器评估，验证和维护手册，</w:t>
      </w:r>
      <w:r>
        <w:rPr>
          <w:bCs/>
          <w:snapToGrid w:val="0"/>
          <w:szCs w:val="24"/>
          <w:lang w:eastAsia="zh-CN"/>
        </w:rPr>
        <w:t>1989</w:t>
      </w:r>
      <w:r>
        <w:rPr>
          <w:rFonts w:hint="eastAsia"/>
          <w:bCs/>
          <w:snapToGrid w:val="0"/>
          <w:szCs w:val="24"/>
          <w:lang w:eastAsia="zh-CN"/>
        </w:rPr>
        <w:t>。</w:t>
      </w:r>
    </w:p>
    <w:p w14:paraId="60B80A5C">
      <w:pPr>
        <w:pStyle w:val="19"/>
        <w:numPr>
          <w:ilvl w:val="0"/>
          <w:numId w:val="4"/>
        </w:numPr>
        <w:spacing w:before="239" w:beforeLines="80"/>
        <w:ind w:firstLineChars="0"/>
        <w:rPr>
          <w:bCs/>
          <w:snapToGrid w:val="0"/>
          <w:szCs w:val="24"/>
        </w:rPr>
      </w:pPr>
      <w:r>
        <w:rPr>
          <w:bCs/>
          <w:snapToGrid w:val="0"/>
          <w:szCs w:val="24"/>
          <w:lang w:eastAsia="zh-CN"/>
        </w:rPr>
        <w:t>Coughlin，S.S.，Trock，B.，Criqui，M.H.</w:t>
      </w:r>
      <w:r>
        <w:rPr>
          <w:rFonts w:hint="eastAsia"/>
          <w:bCs/>
          <w:snapToGrid w:val="0"/>
          <w:szCs w:val="24"/>
          <w:lang w:eastAsia="zh-CN"/>
        </w:rPr>
        <w:t>等人</w:t>
      </w:r>
      <w:r>
        <w:rPr>
          <w:bCs/>
          <w:snapToGrid w:val="0"/>
          <w:szCs w:val="24"/>
          <w:lang w:eastAsia="zh-CN"/>
        </w:rPr>
        <w:t>，</w:t>
      </w:r>
      <w:r>
        <w:rPr>
          <w:rFonts w:hint="eastAsia"/>
          <w:bCs/>
          <w:snapToGrid w:val="0"/>
          <w:szCs w:val="24"/>
          <w:lang w:eastAsia="zh-CN"/>
        </w:rPr>
        <w:t>诊断试验的灵敏度，特异性和预测价值的逻辑建模。</w:t>
      </w:r>
      <w:r>
        <w:rPr>
          <w:bCs/>
          <w:snapToGrid w:val="0"/>
          <w:szCs w:val="24"/>
        </w:rPr>
        <w:t>45</w:t>
      </w:r>
      <w:r>
        <w:rPr>
          <w:rFonts w:hint="eastAsia"/>
          <w:bCs/>
          <w:snapToGrid w:val="0"/>
          <w:szCs w:val="24"/>
        </w:rPr>
        <w:t>：</w:t>
      </w:r>
      <w:r>
        <w:rPr>
          <w:bCs/>
          <w:snapToGrid w:val="0"/>
          <w:szCs w:val="24"/>
        </w:rPr>
        <w:t>l-7，1992</w:t>
      </w:r>
      <w:r>
        <w:rPr>
          <w:rFonts w:hint="eastAsia"/>
          <w:bCs/>
          <w:snapToGrid w:val="0"/>
          <w:szCs w:val="24"/>
          <w:lang w:eastAsia="zh-CN"/>
        </w:rPr>
        <w:t>。</w:t>
      </w:r>
    </w:p>
    <w:p w14:paraId="2669DED7">
      <w:pPr>
        <w:pStyle w:val="19"/>
        <w:numPr>
          <w:ilvl w:val="0"/>
          <w:numId w:val="4"/>
        </w:numPr>
        <w:spacing w:before="239" w:beforeLines="80"/>
        <w:ind w:firstLineChars="0"/>
        <w:rPr>
          <w:bCs/>
          <w:snapToGrid w:val="0"/>
          <w:szCs w:val="24"/>
        </w:rPr>
      </w:pPr>
      <w:r>
        <w:rPr>
          <w:bCs/>
          <w:snapToGrid w:val="0"/>
          <w:szCs w:val="24"/>
          <w:lang w:eastAsia="zh-CN"/>
        </w:rPr>
        <w:t>Delger，D.M.，Rea，M.R.，Kessler，G.等人，</w:t>
      </w:r>
      <w:r>
        <w:rPr>
          <w:rFonts w:hint="eastAsia"/>
          <w:bCs/>
          <w:snapToGrid w:val="0"/>
          <w:szCs w:val="24"/>
          <w:lang w:eastAsia="zh-CN"/>
        </w:rPr>
        <w:t>评估非定量测定的标准：应用于血清绒毛膜促性腺激素。临床化学。</w:t>
      </w:r>
      <w:r>
        <w:rPr>
          <w:bCs/>
          <w:snapToGrid w:val="0"/>
          <w:szCs w:val="24"/>
        </w:rPr>
        <w:t>33:150，1987</w:t>
      </w:r>
      <w:r>
        <w:rPr>
          <w:rFonts w:hint="eastAsia"/>
          <w:bCs/>
          <w:snapToGrid w:val="0"/>
          <w:szCs w:val="24"/>
          <w:lang w:eastAsia="zh-CN"/>
        </w:rPr>
        <w:t>。</w:t>
      </w:r>
    </w:p>
    <w:p w14:paraId="0626D7B6">
      <w:pPr>
        <w:pStyle w:val="19"/>
        <w:numPr>
          <w:ilvl w:val="0"/>
          <w:numId w:val="4"/>
        </w:numPr>
        <w:spacing w:before="239" w:beforeLines="80"/>
        <w:ind w:firstLineChars="0"/>
        <w:rPr>
          <w:bCs/>
          <w:snapToGrid w:val="0"/>
          <w:szCs w:val="24"/>
        </w:rPr>
      </w:pPr>
      <w:r>
        <w:rPr>
          <w:bCs/>
          <w:snapToGrid w:val="0"/>
          <w:szCs w:val="24"/>
        </w:rPr>
        <w:t>Delong，E.R.，Vernon，W.B.，Bollinger，R.R.，</w:t>
      </w:r>
      <w:r>
        <w:rPr>
          <w:rFonts w:hint="eastAsia"/>
          <w:bCs/>
          <w:snapToGrid w:val="0"/>
          <w:szCs w:val="24"/>
        </w:rPr>
        <w:t>监试验验的灵敏度和特异性。生物识别。</w:t>
      </w:r>
      <w:r>
        <w:rPr>
          <w:bCs/>
          <w:snapToGrid w:val="0"/>
          <w:szCs w:val="24"/>
        </w:rPr>
        <w:t>41:947-958，1985</w:t>
      </w:r>
      <w:r>
        <w:rPr>
          <w:rFonts w:hint="eastAsia"/>
          <w:bCs/>
          <w:snapToGrid w:val="0"/>
          <w:szCs w:val="24"/>
          <w:lang w:eastAsia="zh-CN"/>
        </w:rPr>
        <w:t>。</w:t>
      </w:r>
    </w:p>
    <w:p w14:paraId="508B7E18">
      <w:pPr>
        <w:pStyle w:val="19"/>
        <w:numPr>
          <w:ilvl w:val="0"/>
          <w:numId w:val="4"/>
        </w:numPr>
        <w:spacing w:before="239" w:beforeLines="80"/>
        <w:ind w:firstLineChars="0"/>
        <w:rPr>
          <w:bCs/>
          <w:snapToGrid w:val="0"/>
          <w:szCs w:val="24"/>
          <w:lang w:eastAsia="zh-CN"/>
        </w:rPr>
      </w:pPr>
      <w:r>
        <w:rPr>
          <w:rFonts w:hint="eastAsia"/>
          <w:bCs/>
          <w:snapToGrid w:val="0"/>
          <w:szCs w:val="24"/>
          <w:lang w:eastAsia="zh-CN"/>
        </w:rPr>
        <w:t>在制造和临床评估中考虑的要点，以检测针对人类免疫缺陷病毒的抗体，1型（1989），生物制品评估和研究中心。</w:t>
      </w:r>
    </w:p>
    <w:p w14:paraId="50A60220">
      <w:pPr>
        <w:pStyle w:val="19"/>
        <w:numPr>
          <w:ilvl w:val="0"/>
          <w:numId w:val="4"/>
        </w:numPr>
        <w:spacing w:before="239" w:beforeLines="80"/>
        <w:ind w:firstLineChars="0"/>
        <w:rPr>
          <w:bCs/>
          <w:snapToGrid w:val="0"/>
          <w:szCs w:val="24"/>
        </w:rPr>
      </w:pPr>
      <w:r>
        <w:rPr>
          <w:bCs/>
          <w:snapToGrid w:val="0"/>
          <w:szCs w:val="24"/>
        </w:rPr>
        <w:t>Emancipator，K.，Kroll，M.H ，</w:t>
      </w:r>
      <w:r>
        <w:rPr>
          <w:rFonts w:hint="eastAsia"/>
          <w:bCs/>
          <w:snapToGrid w:val="0"/>
          <w:szCs w:val="24"/>
        </w:rPr>
        <w:t>非线性的定量测量，</w:t>
      </w:r>
      <w:r>
        <w:rPr>
          <w:rFonts w:hint="eastAsia"/>
          <w:bCs/>
          <w:snapToGrid w:val="0"/>
          <w:szCs w:val="24"/>
          <w:lang w:eastAsia="zh-CN"/>
        </w:rPr>
        <w:t>临床化学。</w:t>
      </w:r>
      <w:r>
        <w:rPr>
          <w:bCs/>
          <w:snapToGrid w:val="0"/>
          <w:szCs w:val="24"/>
        </w:rPr>
        <w:t>39:766，1993</w:t>
      </w:r>
      <w:r>
        <w:rPr>
          <w:rFonts w:hint="eastAsia"/>
          <w:bCs/>
          <w:snapToGrid w:val="0"/>
          <w:szCs w:val="24"/>
          <w:lang w:eastAsia="zh-CN"/>
        </w:rPr>
        <w:t>。</w:t>
      </w:r>
    </w:p>
    <w:p w14:paraId="4854DFFA">
      <w:pPr>
        <w:pStyle w:val="19"/>
        <w:numPr>
          <w:ilvl w:val="0"/>
          <w:numId w:val="4"/>
        </w:numPr>
        <w:spacing w:before="239" w:beforeLines="80"/>
        <w:ind w:firstLineChars="0"/>
        <w:rPr>
          <w:bCs/>
          <w:snapToGrid w:val="0"/>
          <w:szCs w:val="24"/>
          <w:lang w:eastAsia="zh-CN"/>
        </w:rPr>
      </w:pPr>
      <w:r>
        <w:rPr>
          <w:bCs/>
          <w:snapToGrid w:val="0"/>
          <w:szCs w:val="24"/>
          <w:lang w:eastAsia="zh-CN"/>
        </w:rPr>
        <w:t>Gail，M.H.，</w:t>
      </w:r>
      <w:r>
        <w:rPr>
          <w:rFonts w:hint="eastAsia"/>
          <w:bCs/>
          <w:snapToGrid w:val="0"/>
          <w:szCs w:val="24"/>
          <w:lang w:eastAsia="zh-CN"/>
        </w:rPr>
        <w:t>评估患有复发性疾病风险的患者的连续癌症标志物研究。</w:t>
      </w:r>
      <w:r>
        <w:rPr>
          <w:bCs/>
          <w:snapToGrid w:val="0"/>
          <w:szCs w:val="24"/>
          <w:lang w:eastAsia="zh-CN"/>
        </w:rPr>
        <w:t>生物特征 37:67-78，1981</w:t>
      </w:r>
      <w:r>
        <w:rPr>
          <w:rFonts w:hint="eastAsia"/>
          <w:bCs/>
          <w:snapToGrid w:val="0"/>
          <w:szCs w:val="24"/>
          <w:lang w:eastAsia="zh-CN"/>
        </w:rPr>
        <w:t>。</w:t>
      </w:r>
    </w:p>
    <w:p w14:paraId="3060AED3">
      <w:pPr>
        <w:pStyle w:val="19"/>
        <w:numPr>
          <w:ilvl w:val="0"/>
          <w:numId w:val="4"/>
        </w:numPr>
        <w:spacing w:before="239" w:beforeLines="80"/>
        <w:ind w:firstLineChars="0"/>
        <w:rPr>
          <w:bCs/>
          <w:snapToGrid w:val="0"/>
          <w:szCs w:val="24"/>
        </w:rPr>
      </w:pPr>
      <w:r>
        <w:rPr>
          <w:bCs/>
          <w:snapToGrid w:val="0"/>
          <w:szCs w:val="24"/>
        </w:rPr>
        <w:t>Galen，R.S.，Gambino,S.R.</w:t>
      </w:r>
      <w:r>
        <w:rPr>
          <w:rFonts w:hint="eastAsia"/>
        </w:rPr>
        <w:t xml:space="preserve"> </w:t>
      </w:r>
      <w:r>
        <w:rPr>
          <w:rFonts w:hint="eastAsia"/>
          <w:bCs/>
          <w:snapToGrid w:val="0"/>
          <w:szCs w:val="24"/>
        </w:rPr>
        <w:t>超越正常，医学诊断的预测价值和</w:t>
      </w:r>
      <w:r>
        <w:rPr>
          <w:rFonts w:hint="eastAsia"/>
          <w:bCs/>
          <w:snapToGrid w:val="0"/>
          <w:szCs w:val="24"/>
          <w:lang w:eastAsia="zh-CN"/>
        </w:rPr>
        <w:t>有效性</w:t>
      </w:r>
      <w:r>
        <w:rPr>
          <w:rFonts w:hint="eastAsia"/>
          <w:bCs/>
          <w:snapToGrid w:val="0"/>
          <w:szCs w:val="24"/>
        </w:rPr>
        <w:t>。</w:t>
      </w:r>
      <w:r>
        <w:rPr>
          <w:bCs/>
          <w:snapToGrid w:val="0"/>
          <w:szCs w:val="24"/>
        </w:rPr>
        <w:t>New York: Wiley</w:t>
      </w:r>
      <w:r>
        <w:rPr>
          <w:rFonts w:hint="eastAsia"/>
          <w:bCs/>
          <w:snapToGrid w:val="0"/>
          <w:szCs w:val="24"/>
          <w:lang w:eastAsia="zh-CN"/>
        </w:rPr>
        <w:t>和</w:t>
      </w:r>
      <w:r>
        <w:rPr>
          <w:bCs/>
          <w:snapToGrid w:val="0"/>
          <w:szCs w:val="24"/>
        </w:rPr>
        <w:t>Sons，1975</w:t>
      </w:r>
      <w:r>
        <w:rPr>
          <w:rFonts w:hint="eastAsia"/>
          <w:bCs/>
          <w:snapToGrid w:val="0"/>
          <w:szCs w:val="24"/>
          <w:lang w:eastAsia="zh-CN"/>
        </w:rPr>
        <w:t>。</w:t>
      </w:r>
    </w:p>
    <w:p w14:paraId="320872B3">
      <w:pPr>
        <w:pStyle w:val="19"/>
        <w:numPr>
          <w:ilvl w:val="0"/>
          <w:numId w:val="4"/>
        </w:numPr>
        <w:spacing w:before="239" w:beforeLines="80"/>
        <w:ind w:firstLineChars="0"/>
        <w:rPr>
          <w:bCs/>
          <w:snapToGrid w:val="0"/>
          <w:szCs w:val="24"/>
          <w:lang w:eastAsia="zh-CN"/>
        </w:rPr>
      </w:pPr>
      <w:r>
        <w:rPr>
          <w:bCs/>
          <w:snapToGrid w:val="0"/>
          <w:szCs w:val="24"/>
          <w:lang w:eastAsia="zh-CN"/>
        </w:rPr>
        <w:t>Garrett，P.E.，</w:t>
      </w:r>
      <w:r>
        <w:rPr>
          <w:rFonts w:hint="eastAsia"/>
          <w:bCs/>
          <w:snapToGrid w:val="0"/>
          <w:szCs w:val="24"/>
          <w:lang w:eastAsia="zh-CN"/>
        </w:rPr>
        <w:t>对我来说看起来不错，还是应该评估定性免疫测定？临床免疫杂志</w:t>
      </w:r>
      <w:r>
        <w:rPr>
          <w:bCs/>
          <w:snapToGrid w:val="0"/>
          <w:szCs w:val="24"/>
          <w:lang w:eastAsia="zh-CN"/>
        </w:rPr>
        <w:t xml:space="preserve"> 10:147，1987. </w:t>
      </w:r>
    </w:p>
    <w:p w14:paraId="27F34266">
      <w:pPr>
        <w:pStyle w:val="19"/>
        <w:numPr>
          <w:ilvl w:val="0"/>
          <w:numId w:val="4"/>
        </w:numPr>
        <w:spacing w:before="239" w:beforeLines="80"/>
        <w:ind w:firstLineChars="0"/>
        <w:rPr>
          <w:bCs/>
          <w:snapToGrid w:val="0"/>
          <w:szCs w:val="24"/>
          <w:lang w:eastAsia="zh-CN"/>
        </w:rPr>
      </w:pPr>
      <w:r>
        <w:rPr>
          <w:bCs/>
          <w:snapToGrid w:val="0"/>
          <w:szCs w:val="24"/>
          <w:lang w:eastAsia="zh-CN"/>
        </w:rPr>
        <w:t>Goodman，S.N.，Berline，J.A.，</w:t>
      </w:r>
      <w:r>
        <w:rPr>
          <w:rFonts w:hint="eastAsia"/>
          <w:bCs/>
          <w:snapToGrid w:val="0"/>
          <w:szCs w:val="24"/>
          <w:lang w:eastAsia="zh-CN"/>
        </w:rPr>
        <w:t>在规划实验时使用预测的置信区间，并在解释结果时使用电力遗漏。</w:t>
      </w:r>
      <w:r>
        <w:rPr>
          <w:bCs/>
          <w:snapToGrid w:val="0"/>
          <w:szCs w:val="24"/>
          <w:lang w:eastAsia="zh-CN"/>
        </w:rPr>
        <w:t>内科学年鉴 121:200-206，1994</w:t>
      </w:r>
      <w:r>
        <w:rPr>
          <w:rFonts w:hint="eastAsia"/>
          <w:bCs/>
          <w:snapToGrid w:val="0"/>
          <w:szCs w:val="24"/>
          <w:lang w:eastAsia="zh-CN"/>
        </w:rPr>
        <w:t>。</w:t>
      </w:r>
    </w:p>
    <w:p w14:paraId="165C48D9">
      <w:pPr>
        <w:pStyle w:val="19"/>
        <w:numPr>
          <w:ilvl w:val="0"/>
          <w:numId w:val="4"/>
        </w:numPr>
        <w:spacing w:before="239" w:beforeLines="80"/>
        <w:ind w:firstLineChars="0"/>
        <w:rPr>
          <w:bCs/>
          <w:snapToGrid w:val="0"/>
          <w:szCs w:val="24"/>
          <w:lang w:eastAsia="zh-CN"/>
        </w:rPr>
      </w:pPr>
      <w:r>
        <w:rPr>
          <w:bCs/>
          <w:snapToGrid w:val="0"/>
          <w:szCs w:val="24"/>
          <w:lang w:eastAsia="zh-CN"/>
        </w:rPr>
        <w:t>Greenberg，R.A.，Jekel，J.F.，</w:t>
      </w:r>
      <w:r>
        <w:rPr>
          <w:rFonts w:hint="eastAsia"/>
          <w:bCs/>
          <w:snapToGrid w:val="0"/>
          <w:szCs w:val="24"/>
          <w:lang w:eastAsia="zh-CN"/>
        </w:rPr>
        <w:t>确定结核菌素试验的假阳性和假阴性率的一些问题。美国呼吸疾病综述</w:t>
      </w:r>
      <w:r>
        <w:rPr>
          <w:bCs/>
          <w:snapToGrid w:val="0"/>
          <w:szCs w:val="24"/>
          <w:lang w:eastAsia="zh-CN"/>
        </w:rPr>
        <w:t xml:space="preserve"> 100</w:t>
      </w:r>
      <w:r>
        <w:rPr>
          <w:rFonts w:hint="eastAsia"/>
          <w:bCs/>
          <w:snapToGrid w:val="0"/>
          <w:szCs w:val="24"/>
          <w:lang w:eastAsia="zh-CN"/>
        </w:rPr>
        <w:t>：</w:t>
      </w:r>
      <w:r>
        <w:rPr>
          <w:bCs/>
          <w:snapToGrid w:val="0"/>
          <w:szCs w:val="24"/>
          <w:lang w:eastAsia="zh-CN"/>
        </w:rPr>
        <w:t>645，1969</w:t>
      </w:r>
      <w:r>
        <w:rPr>
          <w:rFonts w:hint="eastAsia"/>
          <w:bCs/>
          <w:snapToGrid w:val="0"/>
          <w:szCs w:val="24"/>
          <w:lang w:eastAsia="zh-CN"/>
        </w:rPr>
        <w:t>。</w:t>
      </w:r>
    </w:p>
    <w:p w14:paraId="6E178657">
      <w:pPr>
        <w:pStyle w:val="19"/>
        <w:numPr>
          <w:ilvl w:val="0"/>
          <w:numId w:val="4"/>
        </w:numPr>
        <w:spacing w:before="239" w:beforeLines="80"/>
        <w:ind w:firstLineChars="0"/>
        <w:rPr>
          <w:bCs/>
          <w:snapToGrid w:val="0"/>
          <w:szCs w:val="24"/>
          <w:lang w:eastAsia="zh-CN"/>
        </w:rPr>
      </w:pPr>
      <w:r>
        <w:rPr>
          <w:rFonts w:hint="eastAsia"/>
          <w:bCs/>
          <w:snapToGrid w:val="0"/>
          <w:szCs w:val="24"/>
          <w:lang w:eastAsia="zh-CN"/>
        </w:rPr>
        <w:t>诊断试剂盒评估指南 - 第2部分：定性试验试剂盒评估的一般原则和概要程序。欧洲临床实验室标准委员会</w:t>
      </w:r>
      <w:r>
        <w:rPr>
          <w:bCs/>
          <w:snapToGrid w:val="0"/>
          <w:szCs w:val="24"/>
          <w:lang w:eastAsia="zh-CN"/>
        </w:rPr>
        <w:t>，1987</w:t>
      </w:r>
      <w:r>
        <w:rPr>
          <w:rFonts w:hint="eastAsia"/>
          <w:bCs/>
          <w:snapToGrid w:val="0"/>
          <w:szCs w:val="24"/>
          <w:lang w:eastAsia="zh-CN"/>
        </w:rPr>
        <w:t>。</w:t>
      </w:r>
    </w:p>
    <w:p w14:paraId="64F6B65B">
      <w:pPr>
        <w:pStyle w:val="19"/>
        <w:numPr>
          <w:ilvl w:val="0"/>
          <w:numId w:val="4"/>
        </w:numPr>
        <w:spacing w:before="239" w:beforeLines="80"/>
        <w:ind w:firstLineChars="0"/>
        <w:rPr>
          <w:bCs/>
          <w:snapToGrid w:val="0"/>
          <w:szCs w:val="24"/>
        </w:rPr>
      </w:pPr>
      <w:r>
        <w:rPr>
          <w:bCs/>
          <w:snapToGrid w:val="0"/>
          <w:szCs w:val="24"/>
        </w:rPr>
        <w:t>Hackney，J.R.，Cembrowsky，G.S.，</w:t>
      </w:r>
      <w:r>
        <w:rPr>
          <w:rFonts w:hint="eastAsia"/>
          <w:bCs/>
          <w:snapToGrid w:val="0"/>
          <w:szCs w:val="24"/>
        </w:rPr>
        <w:t>需要改进仪器和套件评估。</w:t>
      </w:r>
      <w:r>
        <w:rPr>
          <w:bCs/>
          <w:snapToGrid w:val="0"/>
          <w:szCs w:val="24"/>
        </w:rPr>
        <w:t>A.J.C.P. 86:391，1986</w:t>
      </w:r>
      <w:r>
        <w:rPr>
          <w:rFonts w:hint="eastAsia"/>
          <w:bCs/>
          <w:snapToGrid w:val="0"/>
          <w:szCs w:val="24"/>
          <w:lang w:eastAsia="zh-CN"/>
        </w:rPr>
        <w:t>。</w:t>
      </w:r>
    </w:p>
    <w:p w14:paraId="4DDA27E7">
      <w:pPr>
        <w:pStyle w:val="19"/>
        <w:numPr>
          <w:ilvl w:val="0"/>
          <w:numId w:val="4"/>
        </w:numPr>
        <w:spacing w:before="239" w:beforeLines="80"/>
        <w:ind w:firstLineChars="0"/>
        <w:rPr>
          <w:bCs/>
          <w:snapToGrid w:val="0"/>
          <w:szCs w:val="24"/>
          <w:lang w:eastAsia="zh-CN"/>
        </w:rPr>
      </w:pPr>
      <w:r>
        <w:rPr>
          <w:bCs/>
          <w:snapToGrid w:val="0"/>
          <w:szCs w:val="24"/>
          <w:lang w:eastAsia="zh-CN"/>
        </w:rPr>
        <w:t>Harris，E.K.，</w:t>
      </w:r>
      <w:r>
        <w:rPr>
          <w:rFonts w:hint="eastAsia"/>
          <w:bCs/>
          <w:snapToGrid w:val="0"/>
          <w:szCs w:val="24"/>
          <w:lang w:eastAsia="zh-CN"/>
        </w:rPr>
        <w:t>在P值和置信区间（为什么我们不能有更多的置信度？）临床化学</w:t>
      </w:r>
      <w:r>
        <w:rPr>
          <w:bCs/>
          <w:snapToGrid w:val="0"/>
          <w:szCs w:val="24"/>
          <w:lang w:eastAsia="zh-CN"/>
        </w:rPr>
        <w:t>39:927，1993</w:t>
      </w:r>
      <w:r>
        <w:rPr>
          <w:rFonts w:hint="eastAsia"/>
          <w:bCs/>
          <w:snapToGrid w:val="0"/>
          <w:szCs w:val="24"/>
          <w:lang w:eastAsia="zh-CN"/>
        </w:rPr>
        <w:t>。</w:t>
      </w:r>
    </w:p>
    <w:p w14:paraId="5D12DE0C">
      <w:pPr>
        <w:pStyle w:val="19"/>
        <w:numPr>
          <w:ilvl w:val="0"/>
          <w:numId w:val="4"/>
        </w:numPr>
        <w:spacing w:before="239" w:beforeLines="80"/>
        <w:ind w:firstLineChars="0"/>
        <w:rPr>
          <w:bCs/>
          <w:snapToGrid w:val="0"/>
          <w:szCs w:val="24"/>
        </w:rPr>
      </w:pPr>
      <w:r>
        <w:rPr>
          <w:bCs/>
          <w:snapToGrid w:val="0"/>
          <w:szCs w:val="24"/>
        </w:rPr>
        <w:t>Harris，E.K</w:t>
      </w:r>
      <w:r>
        <w:rPr>
          <w:rFonts w:hint="eastAsia"/>
          <w:bCs/>
          <w:snapToGrid w:val="0"/>
          <w:szCs w:val="24"/>
        </w:rPr>
        <w:t>，回归，最小二乘法和相关性。在CRC</w:t>
      </w:r>
      <w:r>
        <w:rPr>
          <w:rFonts w:hint="eastAsia"/>
          <w:bCs/>
          <w:snapToGrid w:val="0"/>
          <w:szCs w:val="24"/>
          <w:lang w:eastAsia="zh-CN"/>
        </w:rPr>
        <w:t>临床化学手册</w:t>
      </w:r>
      <w:r>
        <w:rPr>
          <w:rFonts w:hint="eastAsia"/>
          <w:bCs/>
          <w:snapToGrid w:val="0"/>
          <w:szCs w:val="24"/>
        </w:rPr>
        <w:t>第111卷。</w:t>
      </w:r>
      <w:r>
        <w:rPr>
          <w:bCs/>
          <w:snapToGrid w:val="0"/>
          <w:szCs w:val="24"/>
        </w:rPr>
        <w:t>Boca Raton，Florida，CRC Pre</w:t>
      </w:r>
      <w:r>
        <w:rPr>
          <w:rFonts w:hint="eastAsia"/>
          <w:bCs/>
          <w:snapToGrid w:val="0"/>
          <w:szCs w:val="24"/>
          <w:lang w:eastAsia="zh-CN"/>
        </w:rPr>
        <w:t>s</w:t>
      </w:r>
      <w:r>
        <w:rPr>
          <w:bCs/>
          <w:snapToGrid w:val="0"/>
          <w:szCs w:val="24"/>
        </w:rPr>
        <w:t>s</w:t>
      </w:r>
      <w:r>
        <w:rPr>
          <w:rFonts w:hint="eastAsia"/>
          <w:bCs/>
          <w:snapToGrid w:val="0"/>
          <w:szCs w:val="24"/>
          <w:lang w:eastAsia="zh-CN"/>
        </w:rPr>
        <w:t>，</w:t>
      </w:r>
      <w:r>
        <w:rPr>
          <w:bCs/>
          <w:snapToGrid w:val="0"/>
          <w:szCs w:val="24"/>
        </w:rPr>
        <w:t>pp.193-213，1982</w:t>
      </w:r>
      <w:r>
        <w:rPr>
          <w:rFonts w:hint="eastAsia"/>
          <w:bCs/>
          <w:snapToGrid w:val="0"/>
          <w:szCs w:val="24"/>
          <w:lang w:eastAsia="zh-CN"/>
        </w:rPr>
        <w:t>。</w:t>
      </w:r>
    </w:p>
    <w:p w14:paraId="2AD90E07">
      <w:pPr>
        <w:pStyle w:val="19"/>
        <w:numPr>
          <w:ilvl w:val="0"/>
          <w:numId w:val="4"/>
        </w:numPr>
        <w:spacing w:before="239" w:beforeLines="80"/>
        <w:ind w:firstLineChars="0"/>
        <w:rPr>
          <w:bCs/>
          <w:snapToGrid w:val="0"/>
          <w:szCs w:val="24"/>
          <w:lang w:eastAsia="zh-CN"/>
        </w:rPr>
      </w:pPr>
      <w:r>
        <w:rPr>
          <w:bCs/>
          <w:snapToGrid w:val="0"/>
          <w:szCs w:val="24"/>
          <w:lang w:eastAsia="zh-CN"/>
        </w:rPr>
        <w:t>Henderson，A.R.，</w:t>
      </w:r>
      <w:r>
        <w:rPr>
          <w:rFonts w:hint="eastAsia"/>
          <w:bCs/>
          <w:snapToGrid w:val="0"/>
          <w:szCs w:val="24"/>
          <w:lang w:eastAsia="zh-CN"/>
        </w:rPr>
        <w:t>评估试验准确性及其临床后果：受试者工作特征曲线分析的引物。</w:t>
      </w:r>
      <w:r>
        <w:rPr>
          <w:bCs/>
          <w:snapToGrid w:val="0"/>
          <w:szCs w:val="24"/>
          <w:lang w:eastAsia="zh-CN"/>
        </w:rPr>
        <w:t>临床生物化学 30:521，1993</w:t>
      </w:r>
      <w:r>
        <w:rPr>
          <w:rFonts w:hint="eastAsia"/>
          <w:bCs/>
          <w:snapToGrid w:val="0"/>
          <w:szCs w:val="24"/>
          <w:lang w:eastAsia="zh-CN"/>
        </w:rPr>
        <w:t>。</w:t>
      </w:r>
    </w:p>
    <w:p w14:paraId="72C392C8">
      <w:pPr>
        <w:pStyle w:val="19"/>
        <w:numPr>
          <w:ilvl w:val="0"/>
          <w:numId w:val="4"/>
        </w:numPr>
        <w:spacing w:before="239" w:beforeLines="80"/>
        <w:ind w:firstLineChars="0"/>
        <w:rPr>
          <w:bCs/>
          <w:snapToGrid w:val="0"/>
          <w:szCs w:val="24"/>
          <w:lang w:eastAsia="zh-CN"/>
        </w:rPr>
      </w:pPr>
      <w:r>
        <w:rPr>
          <w:bCs/>
          <w:snapToGrid w:val="0"/>
          <w:szCs w:val="24"/>
          <w:lang w:eastAsia="zh-CN"/>
        </w:rPr>
        <w:t>Henderson，A.R.，</w:t>
      </w:r>
      <w:r>
        <w:rPr>
          <w:rFonts w:hint="eastAsia"/>
          <w:bCs/>
          <w:snapToGrid w:val="0"/>
          <w:szCs w:val="24"/>
          <w:lang w:eastAsia="zh-CN"/>
        </w:rPr>
        <w:t>化学置信度：临床化学需要分析和其他数据的置信区间？</w:t>
      </w:r>
      <w:r>
        <w:rPr>
          <w:bCs/>
          <w:snapToGrid w:val="0"/>
          <w:szCs w:val="24"/>
          <w:lang w:eastAsia="zh-CN"/>
        </w:rPr>
        <w:t xml:space="preserve"> 临床化学。39:929，1993</w:t>
      </w:r>
      <w:r>
        <w:rPr>
          <w:rFonts w:hint="eastAsia"/>
          <w:bCs/>
          <w:snapToGrid w:val="0"/>
          <w:szCs w:val="24"/>
          <w:lang w:eastAsia="zh-CN"/>
        </w:rPr>
        <w:t>。</w:t>
      </w:r>
    </w:p>
    <w:p w14:paraId="489EF2D9">
      <w:pPr>
        <w:pStyle w:val="19"/>
        <w:numPr>
          <w:ilvl w:val="0"/>
          <w:numId w:val="4"/>
        </w:numPr>
        <w:spacing w:before="239" w:beforeLines="80"/>
        <w:ind w:firstLineChars="0"/>
        <w:rPr>
          <w:bCs/>
          <w:snapToGrid w:val="0"/>
          <w:szCs w:val="24"/>
          <w:lang w:eastAsia="zh-CN"/>
        </w:rPr>
      </w:pPr>
      <w:r>
        <w:rPr>
          <w:bCs/>
          <w:snapToGrid w:val="0"/>
          <w:szCs w:val="24"/>
        </w:rPr>
        <w:t>Henry，J.B.，Beeler，M.F.，Copeland，B.E.</w:t>
      </w:r>
      <w:r>
        <w:rPr>
          <w:rFonts w:hint="eastAsia"/>
          <w:bCs/>
          <w:snapToGrid w:val="0"/>
          <w:szCs w:val="24"/>
          <w:lang w:eastAsia="zh-CN"/>
        </w:rPr>
        <w:t>和</w:t>
      </w:r>
      <w:r>
        <w:rPr>
          <w:bCs/>
          <w:snapToGrid w:val="0"/>
          <w:szCs w:val="24"/>
        </w:rPr>
        <w:t xml:space="preserve">Wert，E.B. </w:t>
      </w:r>
      <w:r>
        <w:rPr>
          <w:rFonts w:hint="eastAsia"/>
          <w:bCs/>
          <w:snapToGrid w:val="0"/>
          <w:szCs w:val="24"/>
        </w:rPr>
        <w:t>用于描述临床病理学方法的</w:t>
      </w:r>
      <w:r>
        <w:rPr>
          <w:rFonts w:hint="eastAsia"/>
          <w:bCs/>
          <w:snapToGrid w:val="0"/>
          <w:szCs w:val="24"/>
          <w:lang w:eastAsia="zh-CN"/>
        </w:rPr>
        <w:t>形式</w:t>
      </w:r>
      <w:r>
        <w:rPr>
          <w:rFonts w:hint="eastAsia"/>
          <w:bCs/>
          <w:snapToGrid w:val="0"/>
          <w:szCs w:val="24"/>
        </w:rPr>
        <w:t>。</w:t>
      </w:r>
      <w:r>
        <w:rPr>
          <w:bCs/>
          <w:snapToGrid w:val="0"/>
          <w:szCs w:val="24"/>
          <w:lang w:eastAsia="zh-CN"/>
        </w:rPr>
        <w:t>美国临床病理学杂志。52:296，1969</w:t>
      </w:r>
      <w:r>
        <w:rPr>
          <w:rFonts w:hint="eastAsia"/>
          <w:bCs/>
          <w:snapToGrid w:val="0"/>
          <w:szCs w:val="24"/>
          <w:lang w:eastAsia="zh-CN"/>
        </w:rPr>
        <w:t>。</w:t>
      </w:r>
    </w:p>
    <w:p w14:paraId="5E5AAE3D">
      <w:pPr>
        <w:pStyle w:val="19"/>
        <w:numPr>
          <w:ilvl w:val="0"/>
          <w:numId w:val="4"/>
        </w:numPr>
        <w:spacing w:before="239" w:beforeLines="80"/>
        <w:ind w:firstLineChars="0"/>
        <w:rPr>
          <w:bCs/>
          <w:snapToGrid w:val="0"/>
          <w:szCs w:val="24"/>
          <w:lang w:eastAsia="zh-CN"/>
        </w:rPr>
      </w:pPr>
      <w:r>
        <w:rPr>
          <w:bCs/>
          <w:snapToGrid w:val="0"/>
          <w:szCs w:val="24"/>
          <w:lang w:eastAsia="zh-CN"/>
        </w:rPr>
        <w:t>Hsu，S.L.，Walter，S.D.，</w:t>
      </w:r>
      <w:r>
        <w:rPr>
          <w:rFonts w:hint="eastAsia"/>
          <w:bCs/>
          <w:snapToGrid w:val="0"/>
          <w:szCs w:val="24"/>
          <w:lang w:eastAsia="zh-CN"/>
        </w:rPr>
        <w:t>估计诊断试验的错误率。生物识别。</w:t>
      </w:r>
      <w:r>
        <w:rPr>
          <w:bCs/>
          <w:snapToGrid w:val="0"/>
          <w:szCs w:val="24"/>
          <w:lang w:eastAsia="zh-CN"/>
        </w:rPr>
        <w:t>36:167，1980</w:t>
      </w:r>
      <w:r>
        <w:rPr>
          <w:rFonts w:hint="eastAsia"/>
          <w:bCs/>
          <w:snapToGrid w:val="0"/>
          <w:szCs w:val="24"/>
          <w:lang w:eastAsia="zh-CN"/>
        </w:rPr>
        <w:t>。</w:t>
      </w:r>
    </w:p>
    <w:p w14:paraId="546ED41D">
      <w:pPr>
        <w:pStyle w:val="19"/>
        <w:numPr>
          <w:ilvl w:val="0"/>
          <w:numId w:val="4"/>
        </w:numPr>
        <w:spacing w:before="239" w:beforeLines="80"/>
        <w:ind w:firstLineChars="0"/>
        <w:rPr>
          <w:bCs/>
          <w:snapToGrid w:val="0"/>
          <w:szCs w:val="24"/>
          <w:lang w:eastAsia="zh-CN"/>
        </w:rPr>
      </w:pPr>
      <w:r>
        <w:rPr>
          <w:bCs/>
          <w:snapToGrid w:val="0"/>
          <w:szCs w:val="24"/>
          <w:lang w:eastAsia="zh-CN"/>
        </w:rPr>
        <w:t>Ilstrup，D.M.，</w:t>
      </w:r>
      <w:r>
        <w:rPr>
          <w:rFonts w:hint="eastAsia"/>
          <w:bCs/>
          <w:snapToGrid w:val="0"/>
          <w:szCs w:val="24"/>
          <w:lang w:eastAsia="zh-CN"/>
        </w:rPr>
        <w:t>微生物统计学方法。</w:t>
      </w:r>
      <w:r>
        <w:rPr>
          <w:bCs/>
          <w:snapToGrid w:val="0"/>
          <w:szCs w:val="24"/>
          <w:lang w:eastAsia="zh-CN"/>
        </w:rPr>
        <w:t>临床微生物修订版 3:219，1990</w:t>
      </w:r>
      <w:r>
        <w:rPr>
          <w:rFonts w:hint="eastAsia"/>
          <w:bCs/>
          <w:snapToGrid w:val="0"/>
          <w:szCs w:val="24"/>
          <w:lang w:eastAsia="zh-CN"/>
        </w:rPr>
        <w:t>。</w:t>
      </w:r>
    </w:p>
    <w:p w14:paraId="454B34ED">
      <w:pPr>
        <w:pStyle w:val="19"/>
        <w:numPr>
          <w:ilvl w:val="0"/>
          <w:numId w:val="4"/>
        </w:numPr>
        <w:spacing w:before="239" w:beforeLines="80"/>
        <w:ind w:firstLineChars="0"/>
        <w:rPr>
          <w:bCs/>
          <w:snapToGrid w:val="0"/>
          <w:szCs w:val="24"/>
          <w:lang w:eastAsia="zh-CN"/>
        </w:rPr>
      </w:pPr>
      <w:r>
        <w:rPr>
          <w:bCs/>
          <w:snapToGrid w:val="0"/>
          <w:szCs w:val="24"/>
          <w:lang w:eastAsia="zh-CN"/>
        </w:rPr>
        <w:t>Kent，D.L.，</w:t>
      </w:r>
      <w:r>
        <w:rPr>
          <w:rFonts w:hint="eastAsia"/>
          <w:bCs/>
          <w:snapToGrid w:val="0"/>
          <w:szCs w:val="24"/>
          <w:lang w:eastAsia="zh-CN"/>
        </w:rPr>
        <w:t>诊断试验的临床影响的决策分析和评估。</w:t>
      </w:r>
      <w:r>
        <w:rPr>
          <w:bCs/>
          <w:snapToGrid w:val="0"/>
          <w:szCs w:val="24"/>
          <w:lang w:eastAsia="zh-CN"/>
        </w:rPr>
        <w:t>实验室医学 22:718，1991</w:t>
      </w:r>
      <w:r>
        <w:rPr>
          <w:rFonts w:hint="eastAsia"/>
          <w:bCs/>
          <w:snapToGrid w:val="0"/>
          <w:szCs w:val="24"/>
          <w:lang w:eastAsia="zh-CN"/>
        </w:rPr>
        <w:t>。</w:t>
      </w:r>
    </w:p>
    <w:p w14:paraId="5BAFD48B">
      <w:pPr>
        <w:pStyle w:val="19"/>
        <w:numPr>
          <w:ilvl w:val="0"/>
          <w:numId w:val="4"/>
        </w:numPr>
        <w:spacing w:before="239" w:beforeLines="80"/>
        <w:ind w:firstLineChars="0"/>
        <w:rPr>
          <w:bCs/>
          <w:snapToGrid w:val="0"/>
          <w:szCs w:val="24"/>
        </w:rPr>
      </w:pPr>
      <w:r>
        <w:rPr>
          <w:bCs/>
          <w:snapToGrid w:val="0"/>
          <w:szCs w:val="24"/>
          <w:lang w:eastAsia="zh-CN"/>
        </w:rPr>
        <w:t>Krouwer，J.S.，Steward，W.N.，Schlain，B.，</w:t>
      </w:r>
      <w:r>
        <w:rPr>
          <w:rFonts w:hint="eastAsia"/>
          <w:bCs/>
          <w:snapToGrid w:val="0"/>
          <w:szCs w:val="24"/>
          <w:lang w:eastAsia="zh-CN"/>
        </w:rPr>
        <w:t>用于评估随机访问分析器的多因素实验设计。</w:t>
      </w:r>
      <w:r>
        <w:rPr>
          <w:bCs/>
          <w:snapToGrid w:val="0"/>
          <w:szCs w:val="24"/>
        </w:rPr>
        <w:t>临床化学。33:1894-6，1988</w:t>
      </w:r>
      <w:r>
        <w:rPr>
          <w:rFonts w:hint="eastAsia"/>
          <w:bCs/>
          <w:snapToGrid w:val="0"/>
          <w:szCs w:val="24"/>
          <w:lang w:eastAsia="zh-CN"/>
        </w:rPr>
        <w:t>。</w:t>
      </w:r>
    </w:p>
    <w:p w14:paraId="3FCC9606">
      <w:pPr>
        <w:pStyle w:val="19"/>
        <w:numPr>
          <w:ilvl w:val="0"/>
          <w:numId w:val="4"/>
        </w:numPr>
        <w:spacing w:before="239" w:beforeLines="80"/>
        <w:ind w:firstLineChars="0"/>
        <w:rPr>
          <w:bCs/>
          <w:snapToGrid w:val="0"/>
          <w:szCs w:val="24"/>
        </w:rPr>
      </w:pPr>
      <w:r>
        <w:rPr>
          <w:bCs/>
          <w:snapToGrid w:val="0"/>
          <w:szCs w:val="24"/>
          <w:lang w:eastAsia="zh-CN"/>
        </w:rPr>
        <w:t>Krouwer，J.S.，</w:t>
      </w:r>
      <w:r>
        <w:rPr>
          <w:rFonts w:hint="eastAsia"/>
          <w:bCs/>
          <w:snapToGrid w:val="0"/>
          <w:szCs w:val="24"/>
          <w:lang w:eastAsia="zh-CN"/>
        </w:rPr>
        <w:t>多因素设计IV。多因素设计如何通过考虑方案特定的偏差来改进总误差的估计。</w:t>
      </w:r>
      <w:r>
        <w:rPr>
          <w:bCs/>
          <w:snapToGrid w:val="0"/>
          <w:szCs w:val="24"/>
        </w:rPr>
        <w:t>临床化学。37: 26-29，1991</w:t>
      </w:r>
      <w:r>
        <w:rPr>
          <w:rFonts w:hint="eastAsia"/>
          <w:bCs/>
          <w:snapToGrid w:val="0"/>
          <w:szCs w:val="24"/>
          <w:lang w:eastAsia="zh-CN"/>
        </w:rPr>
        <w:t>。</w:t>
      </w:r>
    </w:p>
    <w:p w14:paraId="140E43EA">
      <w:pPr>
        <w:pStyle w:val="19"/>
        <w:numPr>
          <w:ilvl w:val="0"/>
          <w:numId w:val="4"/>
        </w:numPr>
        <w:spacing w:before="239" w:beforeLines="80"/>
        <w:ind w:firstLineChars="0"/>
        <w:rPr>
          <w:bCs/>
          <w:snapToGrid w:val="0"/>
          <w:szCs w:val="24"/>
          <w:lang w:eastAsia="zh-CN"/>
        </w:rPr>
      </w:pPr>
      <w:r>
        <w:rPr>
          <w:bCs/>
          <w:snapToGrid w:val="0"/>
          <w:szCs w:val="24"/>
          <w:lang w:eastAsia="zh-CN"/>
        </w:rPr>
        <w:t>Krouwer，J.S.，</w:t>
      </w:r>
      <w:r>
        <w:rPr>
          <w:rFonts w:hint="eastAsia"/>
          <w:bCs/>
          <w:snapToGrid w:val="0"/>
          <w:szCs w:val="24"/>
          <w:lang w:eastAsia="zh-CN"/>
        </w:rPr>
        <w:t>估算总分析误差及其来源 - 改进方法评估的技术。</w:t>
      </w:r>
      <w:r>
        <w:rPr>
          <w:bCs/>
          <w:snapToGrid w:val="0"/>
          <w:szCs w:val="24"/>
          <w:lang w:eastAsia="zh-CN"/>
        </w:rPr>
        <w:t>病理学与检验医学文献116:726，1992</w:t>
      </w:r>
      <w:r>
        <w:rPr>
          <w:rFonts w:hint="eastAsia"/>
          <w:bCs/>
          <w:snapToGrid w:val="0"/>
          <w:szCs w:val="24"/>
          <w:lang w:eastAsia="zh-CN"/>
        </w:rPr>
        <w:t>。</w:t>
      </w:r>
    </w:p>
    <w:p w14:paraId="7092DCC3">
      <w:pPr>
        <w:pStyle w:val="19"/>
        <w:numPr>
          <w:ilvl w:val="0"/>
          <w:numId w:val="4"/>
        </w:numPr>
        <w:spacing w:before="239" w:beforeLines="80"/>
        <w:ind w:firstLineChars="0"/>
        <w:rPr>
          <w:bCs/>
          <w:snapToGrid w:val="0"/>
          <w:szCs w:val="24"/>
        </w:rPr>
      </w:pPr>
      <w:r>
        <w:rPr>
          <w:bCs/>
          <w:snapToGrid w:val="0"/>
          <w:szCs w:val="24"/>
          <w:lang w:eastAsia="zh-CN"/>
        </w:rPr>
        <w:t>Lachs，M.S.，Hachamkin，I.，Edelstein，P.H.</w:t>
      </w:r>
      <w:r>
        <w:rPr>
          <w:rFonts w:hint="eastAsia"/>
          <w:bCs/>
          <w:snapToGrid w:val="0"/>
          <w:szCs w:val="24"/>
          <w:lang w:eastAsia="zh-CN"/>
        </w:rPr>
        <w:t>等人</w:t>
      </w:r>
      <w:r>
        <w:rPr>
          <w:bCs/>
          <w:snapToGrid w:val="0"/>
          <w:szCs w:val="24"/>
          <w:lang w:eastAsia="zh-CN"/>
        </w:rPr>
        <w:t>，</w:t>
      </w:r>
      <w:r>
        <w:rPr>
          <w:rFonts w:hint="eastAsia"/>
          <w:bCs/>
          <w:snapToGrid w:val="0"/>
          <w:szCs w:val="24"/>
          <w:lang w:eastAsia="zh-CN"/>
        </w:rPr>
        <w:t>诊断试验评估中的频谱偏差：尿路感染快速试验仪试验中的经验教训。</w:t>
      </w:r>
      <w:r>
        <w:rPr>
          <w:bCs/>
          <w:snapToGrid w:val="0"/>
          <w:szCs w:val="24"/>
        </w:rPr>
        <w:t>内科学年鉴 118: 230，1993</w:t>
      </w:r>
      <w:r>
        <w:rPr>
          <w:rFonts w:hint="eastAsia"/>
          <w:bCs/>
          <w:snapToGrid w:val="0"/>
          <w:szCs w:val="24"/>
          <w:lang w:eastAsia="zh-CN"/>
        </w:rPr>
        <w:t>。</w:t>
      </w:r>
    </w:p>
    <w:p w14:paraId="617A4BA3">
      <w:pPr>
        <w:pStyle w:val="19"/>
        <w:numPr>
          <w:ilvl w:val="0"/>
          <w:numId w:val="4"/>
        </w:numPr>
        <w:spacing w:before="239" w:beforeLines="80"/>
        <w:ind w:firstLineChars="0"/>
        <w:rPr>
          <w:bCs/>
          <w:snapToGrid w:val="0"/>
          <w:szCs w:val="24"/>
          <w:lang w:eastAsia="zh-CN"/>
        </w:rPr>
      </w:pPr>
      <w:r>
        <w:rPr>
          <w:bCs/>
          <w:snapToGrid w:val="0"/>
          <w:szCs w:val="24"/>
          <w:lang w:eastAsia="zh-CN"/>
        </w:rPr>
        <w:t>Lasky，F.D.，</w:t>
      </w:r>
      <w:r>
        <w:rPr>
          <w:rFonts w:hint="eastAsia"/>
          <w:bCs/>
          <w:snapToGrid w:val="0"/>
          <w:szCs w:val="24"/>
          <w:lang w:eastAsia="zh-CN"/>
        </w:rPr>
        <w:t>通过使用患者标本相关性来分配校准器值，实现常规临床化学方法的准确性。</w:t>
      </w:r>
      <w:r>
        <w:rPr>
          <w:bCs/>
          <w:snapToGrid w:val="0"/>
          <w:szCs w:val="24"/>
          <w:lang w:eastAsia="zh-CN"/>
        </w:rPr>
        <w:t>病理学与检验医学文献117:412，1993</w:t>
      </w:r>
      <w:r>
        <w:rPr>
          <w:rFonts w:hint="eastAsia"/>
          <w:bCs/>
          <w:snapToGrid w:val="0"/>
          <w:szCs w:val="24"/>
          <w:lang w:eastAsia="zh-CN"/>
        </w:rPr>
        <w:t>。</w:t>
      </w:r>
    </w:p>
    <w:p w14:paraId="179DC70A">
      <w:pPr>
        <w:pStyle w:val="19"/>
        <w:numPr>
          <w:ilvl w:val="0"/>
          <w:numId w:val="4"/>
        </w:numPr>
        <w:spacing w:before="239" w:beforeLines="80"/>
        <w:ind w:firstLineChars="0"/>
        <w:rPr>
          <w:bCs/>
          <w:snapToGrid w:val="0"/>
          <w:szCs w:val="24"/>
        </w:rPr>
      </w:pPr>
      <w:r>
        <w:rPr>
          <w:bCs/>
          <w:snapToGrid w:val="0"/>
          <w:szCs w:val="24"/>
        </w:rPr>
        <w:t>Lawton，W.H. Sylvestre</w:t>
      </w:r>
      <w:r>
        <w:rPr>
          <w:rFonts w:hint="eastAsia"/>
          <w:bCs/>
          <w:snapToGrid w:val="0"/>
          <w:szCs w:val="24"/>
        </w:rPr>
        <w:t>，</w:t>
      </w:r>
      <w:r>
        <w:rPr>
          <w:bCs/>
          <w:snapToGrid w:val="0"/>
          <w:szCs w:val="24"/>
        </w:rPr>
        <w:t>E.A.，Young-Ferraro，B.J.，</w:t>
      </w:r>
      <w:r>
        <w:rPr>
          <w:rFonts w:hint="eastAsia"/>
          <w:bCs/>
          <w:snapToGrid w:val="0"/>
          <w:szCs w:val="24"/>
        </w:rPr>
        <w:t>多重分析程序的统计比较：临床化学应用</w:t>
      </w:r>
      <w:r>
        <w:rPr>
          <w:rFonts w:hint="eastAsia"/>
          <w:bCs/>
          <w:snapToGrid w:val="0"/>
          <w:szCs w:val="24"/>
          <w:lang w:eastAsia="zh-CN"/>
        </w:rPr>
        <w:t>。</w:t>
      </w:r>
      <w:r>
        <w:rPr>
          <w:bCs/>
          <w:snapToGrid w:val="0"/>
          <w:szCs w:val="24"/>
        </w:rPr>
        <w:t>技术计量学</w:t>
      </w:r>
      <w:r>
        <w:rPr>
          <w:rFonts w:hint="eastAsia"/>
          <w:bCs/>
          <w:snapToGrid w:val="0"/>
          <w:szCs w:val="24"/>
          <w:lang w:eastAsia="zh-CN"/>
        </w:rPr>
        <w:t>。</w:t>
      </w:r>
      <w:r>
        <w:rPr>
          <w:bCs/>
          <w:snapToGrid w:val="0"/>
          <w:szCs w:val="24"/>
        </w:rPr>
        <w:t>21:397，1979</w:t>
      </w:r>
      <w:r>
        <w:rPr>
          <w:rFonts w:hint="eastAsia"/>
          <w:bCs/>
          <w:snapToGrid w:val="0"/>
          <w:szCs w:val="24"/>
          <w:lang w:eastAsia="zh-CN"/>
        </w:rPr>
        <w:t>。</w:t>
      </w:r>
    </w:p>
    <w:p w14:paraId="7D99D1B4">
      <w:pPr>
        <w:pStyle w:val="19"/>
        <w:numPr>
          <w:ilvl w:val="0"/>
          <w:numId w:val="4"/>
        </w:numPr>
        <w:spacing w:before="239" w:beforeLines="80"/>
        <w:ind w:firstLineChars="0"/>
        <w:rPr>
          <w:bCs/>
          <w:snapToGrid w:val="0"/>
          <w:szCs w:val="24"/>
          <w:lang w:eastAsia="zh-CN"/>
        </w:rPr>
      </w:pPr>
      <w:r>
        <w:rPr>
          <w:bCs/>
          <w:snapToGrid w:val="0"/>
          <w:szCs w:val="24"/>
          <w:lang w:eastAsia="zh-CN"/>
        </w:rPr>
        <w:t>Metz，C.E.，ROC</w:t>
      </w:r>
      <w:r>
        <w:rPr>
          <w:rFonts w:hint="eastAsia"/>
          <w:bCs/>
          <w:snapToGrid w:val="0"/>
          <w:szCs w:val="24"/>
          <w:lang w:eastAsia="zh-CN"/>
        </w:rPr>
        <w:t>分析的基本原则。核医学杂志</w:t>
      </w:r>
      <w:r>
        <w:rPr>
          <w:bCs/>
          <w:snapToGrid w:val="0"/>
          <w:szCs w:val="24"/>
          <w:lang w:eastAsia="zh-CN"/>
        </w:rPr>
        <w:t>8:283，1978</w:t>
      </w:r>
      <w:r>
        <w:rPr>
          <w:rFonts w:hint="eastAsia"/>
          <w:bCs/>
          <w:snapToGrid w:val="0"/>
          <w:szCs w:val="24"/>
          <w:lang w:eastAsia="zh-CN"/>
        </w:rPr>
        <w:t>。</w:t>
      </w:r>
    </w:p>
    <w:p w14:paraId="1401345D">
      <w:pPr>
        <w:pStyle w:val="19"/>
        <w:numPr>
          <w:ilvl w:val="0"/>
          <w:numId w:val="4"/>
        </w:numPr>
        <w:spacing w:before="239" w:beforeLines="80"/>
        <w:ind w:firstLineChars="0"/>
        <w:rPr>
          <w:bCs/>
          <w:snapToGrid w:val="0"/>
          <w:szCs w:val="24"/>
          <w:lang w:eastAsia="zh-CN"/>
        </w:rPr>
      </w:pPr>
      <w:r>
        <w:rPr>
          <w:rFonts w:hint="eastAsia"/>
          <w:bCs/>
          <w:snapToGrid w:val="0"/>
          <w:szCs w:val="24"/>
          <w:lang w:eastAsia="zh-CN"/>
        </w:rPr>
        <w:t>国家临床实验室标准委员会。评价定量分析方法的线性度：提议的指南</w:t>
      </w:r>
      <w:r>
        <w:rPr>
          <w:bCs/>
          <w:snapToGrid w:val="0"/>
          <w:szCs w:val="24"/>
          <w:lang w:eastAsia="zh-CN"/>
        </w:rPr>
        <w:t>，1986</w:t>
      </w:r>
      <w:r>
        <w:rPr>
          <w:rFonts w:hint="eastAsia"/>
          <w:bCs/>
          <w:snapToGrid w:val="0"/>
          <w:szCs w:val="24"/>
          <w:lang w:eastAsia="zh-CN"/>
        </w:rPr>
        <w:t>。</w:t>
      </w:r>
    </w:p>
    <w:p w14:paraId="196A7CEE">
      <w:pPr>
        <w:pStyle w:val="19"/>
        <w:numPr>
          <w:ilvl w:val="0"/>
          <w:numId w:val="4"/>
        </w:numPr>
        <w:spacing w:before="239" w:beforeLines="80"/>
        <w:ind w:firstLineChars="0"/>
        <w:rPr>
          <w:bCs/>
          <w:snapToGrid w:val="0"/>
          <w:szCs w:val="24"/>
          <w:lang w:eastAsia="zh-CN"/>
        </w:rPr>
      </w:pPr>
      <w:r>
        <w:rPr>
          <w:bCs/>
          <w:snapToGrid w:val="0"/>
          <w:szCs w:val="24"/>
          <w:lang w:eastAsia="zh-CN"/>
        </w:rPr>
        <w:t>Lasky，F.D.，</w:t>
      </w:r>
      <w:r>
        <w:rPr>
          <w:rFonts w:hint="eastAsia"/>
          <w:bCs/>
          <w:snapToGrid w:val="0"/>
          <w:szCs w:val="24"/>
          <w:lang w:eastAsia="zh-CN"/>
        </w:rPr>
        <w:t>通过使用患者标本相关性来分配校准值来实现常规临床化学方法的准确性 - 一种用于管理基质效应的方法。</w:t>
      </w:r>
      <w:r>
        <w:rPr>
          <w:bCs/>
          <w:snapToGrid w:val="0"/>
          <w:szCs w:val="24"/>
          <w:lang w:eastAsia="zh-CN"/>
        </w:rPr>
        <w:t>病理学与检验医学文献117:412-419，1993</w:t>
      </w:r>
      <w:r>
        <w:rPr>
          <w:rFonts w:hint="eastAsia"/>
          <w:bCs/>
          <w:snapToGrid w:val="0"/>
          <w:szCs w:val="24"/>
          <w:lang w:eastAsia="zh-CN"/>
        </w:rPr>
        <w:t>。</w:t>
      </w:r>
    </w:p>
    <w:p w14:paraId="1619226A">
      <w:pPr>
        <w:pStyle w:val="19"/>
        <w:numPr>
          <w:ilvl w:val="0"/>
          <w:numId w:val="4"/>
        </w:numPr>
        <w:spacing w:before="239" w:beforeLines="80"/>
        <w:ind w:firstLineChars="0"/>
        <w:rPr>
          <w:bCs/>
          <w:snapToGrid w:val="0"/>
          <w:szCs w:val="24"/>
          <w:lang w:eastAsia="zh-CN"/>
        </w:rPr>
      </w:pPr>
      <w:r>
        <w:rPr>
          <w:rFonts w:hint="eastAsia"/>
          <w:bCs/>
          <w:snapToGrid w:val="0"/>
          <w:szCs w:val="24"/>
          <w:lang w:eastAsia="zh-CN"/>
        </w:rPr>
        <w:t>国家临床实验室标准委员会。使用受试者操作特性（ROC）绘图评估实验室试验的临床精度：暂行指南</w:t>
      </w:r>
      <w:r>
        <w:rPr>
          <w:bCs/>
          <w:snapToGrid w:val="0"/>
          <w:szCs w:val="24"/>
          <w:lang w:eastAsia="zh-CN"/>
        </w:rPr>
        <w:t>，1993</w:t>
      </w:r>
      <w:r>
        <w:rPr>
          <w:rFonts w:hint="eastAsia"/>
          <w:bCs/>
          <w:snapToGrid w:val="0"/>
          <w:szCs w:val="24"/>
          <w:lang w:eastAsia="zh-CN"/>
        </w:rPr>
        <w:t>。</w:t>
      </w:r>
    </w:p>
    <w:p w14:paraId="1CE09265">
      <w:pPr>
        <w:pStyle w:val="19"/>
        <w:numPr>
          <w:ilvl w:val="0"/>
          <w:numId w:val="4"/>
        </w:numPr>
        <w:spacing w:before="239" w:beforeLines="80"/>
        <w:ind w:firstLineChars="0"/>
        <w:rPr>
          <w:bCs/>
          <w:snapToGrid w:val="0"/>
          <w:szCs w:val="24"/>
          <w:lang w:eastAsia="zh-CN"/>
        </w:rPr>
      </w:pPr>
      <w:r>
        <w:rPr>
          <w:rFonts w:hint="eastAsia"/>
          <w:bCs/>
          <w:snapToGrid w:val="0"/>
          <w:szCs w:val="24"/>
          <w:lang w:eastAsia="zh-CN"/>
        </w:rPr>
        <w:t>国家临床实验室标准委员会。使用患者样本的方法比较和偏差估计；暂行指南</w:t>
      </w:r>
      <w:r>
        <w:rPr>
          <w:bCs/>
          <w:snapToGrid w:val="0"/>
          <w:szCs w:val="24"/>
          <w:lang w:eastAsia="zh-CN"/>
        </w:rPr>
        <w:t>，1993</w:t>
      </w:r>
      <w:r>
        <w:rPr>
          <w:rFonts w:hint="eastAsia"/>
          <w:bCs/>
          <w:snapToGrid w:val="0"/>
          <w:szCs w:val="24"/>
          <w:lang w:eastAsia="zh-CN"/>
        </w:rPr>
        <w:t>。</w:t>
      </w:r>
    </w:p>
    <w:p w14:paraId="0858BD3A">
      <w:pPr>
        <w:pStyle w:val="19"/>
        <w:numPr>
          <w:ilvl w:val="0"/>
          <w:numId w:val="4"/>
        </w:numPr>
        <w:spacing w:before="239" w:beforeLines="80"/>
        <w:ind w:firstLineChars="0"/>
        <w:rPr>
          <w:bCs/>
          <w:snapToGrid w:val="0"/>
          <w:szCs w:val="24"/>
          <w:lang w:eastAsia="zh-CN"/>
        </w:rPr>
      </w:pPr>
      <w:r>
        <w:rPr>
          <w:rFonts w:hint="eastAsia"/>
          <w:bCs/>
          <w:snapToGrid w:val="0"/>
          <w:szCs w:val="24"/>
          <w:lang w:eastAsia="zh-CN"/>
        </w:rPr>
        <w:t>国家临床实验室标准委员会。临床化学中的干扰测试；提议的指南，</w:t>
      </w:r>
      <w:r>
        <w:rPr>
          <w:bCs/>
          <w:snapToGrid w:val="0"/>
          <w:szCs w:val="24"/>
          <w:lang w:eastAsia="zh-CN"/>
        </w:rPr>
        <w:t>1986</w:t>
      </w:r>
      <w:r>
        <w:rPr>
          <w:rFonts w:hint="eastAsia"/>
          <w:bCs/>
          <w:snapToGrid w:val="0"/>
          <w:szCs w:val="24"/>
          <w:lang w:eastAsia="zh-CN"/>
        </w:rPr>
        <w:t>。</w:t>
      </w:r>
    </w:p>
    <w:p w14:paraId="4C87A808">
      <w:pPr>
        <w:pStyle w:val="19"/>
        <w:numPr>
          <w:ilvl w:val="0"/>
          <w:numId w:val="4"/>
        </w:numPr>
        <w:spacing w:before="239" w:beforeLines="80"/>
        <w:ind w:firstLineChars="0"/>
        <w:rPr>
          <w:bCs/>
          <w:snapToGrid w:val="0"/>
          <w:szCs w:val="24"/>
          <w:lang w:eastAsia="zh-CN"/>
        </w:rPr>
      </w:pPr>
      <w:r>
        <w:rPr>
          <w:bCs/>
          <w:snapToGrid w:val="0"/>
          <w:szCs w:val="24"/>
          <w:lang w:eastAsia="zh-CN"/>
        </w:rPr>
        <w:t>国家临床实验室标准委员会。</w:t>
      </w:r>
      <w:r>
        <w:rPr>
          <w:rFonts w:hint="eastAsia"/>
          <w:bCs/>
          <w:snapToGrid w:val="0"/>
          <w:szCs w:val="24"/>
          <w:lang w:eastAsia="zh-CN"/>
        </w:rPr>
        <w:t>临床化学装置精度性能评估；暂行指南，</w:t>
      </w:r>
      <w:r>
        <w:rPr>
          <w:bCs/>
          <w:snapToGrid w:val="0"/>
          <w:szCs w:val="24"/>
          <w:lang w:eastAsia="zh-CN"/>
        </w:rPr>
        <w:t>1992</w:t>
      </w:r>
      <w:r>
        <w:rPr>
          <w:rFonts w:hint="eastAsia"/>
          <w:bCs/>
          <w:snapToGrid w:val="0"/>
          <w:szCs w:val="24"/>
          <w:lang w:eastAsia="zh-CN"/>
        </w:rPr>
        <w:t>。</w:t>
      </w:r>
    </w:p>
    <w:p w14:paraId="3E5D302E">
      <w:pPr>
        <w:pStyle w:val="19"/>
        <w:numPr>
          <w:ilvl w:val="0"/>
          <w:numId w:val="4"/>
        </w:numPr>
        <w:spacing w:before="239" w:beforeLines="80"/>
        <w:ind w:firstLineChars="0"/>
        <w:rPr>
          <w:bCs/>
          <w:snapToGrid w:val="0"/>
          <w:szCs w:val="24"/>
          <w:lang w:eastAsia="zh-CN"/>
        </w:rPr>
      </w:pPr>
      <w:r>
        <w:rPr>
          <w:bCs/>
          <w:snapToGrid w:val="0"/>
          <w:szCs w:val="24"/>
          <w:lang w:eastAsia="zh-CN"/>
        </w:rPr>
        <w:t>国家临床实验室标准委员会。</w:t>
      </w:r>
      <w:r>
        <w:rPr>
          <w:rFonts w:hint="eastAsia"/>
          <w:bCs/>
          <w:snapToGrid w:val="0"/>
          <w:szCs w:val="24"/>
          <w:lang w:eastAsia="zh-CN"/>
        </w:rPr>
        <w:t>传染病免疫试验规范；</w:t>
      </w:r>
      <w:r>
        <w:rPr>
          <w:bCs/>
          <w:snapToGrid w:val="0"/>
          <w:szCs w:val="24"/>
          <w:lang w:eastAsia="zh-CN"/>
        </w:rPr>
        <w:t>1991</w:t>
      </w:r>
      <w:r>
        <w:rPr>
          <w:rFonts w:hint="eastAsia"/>
          <w:bCs/>
          <w:snapToGrid w:val="0"/>
          <w:szCs w:val="24"/>
          <w:lang w:eastAsia="zh-CN"/>
        </w:rPr>
        <w:t>。</w:t>
      </w:r>
    </w:p>
    <w:p w14:paraId="06BC9FD7">
      <w:pPr>
        <w:pStyle w:val="19"/>
        <w:numPr>
          <w:ilvl w:val="0"/>
          <w:numId w:val="4"/>
        </w:numPr>
        <w:spacing w:before="239" w:beforeLines="80"/>
        <w:ind w:firstLineChars="0"/>
        <w:rPr>
          <w:bCs/>
          <w:snapToGrid w:val="0"/>
          <w:szCs w:val="24"/>
          <w:lang w:eastAsia="zh-CN"/>
        </w:rPr>
      </w:pPr>
      <w:r>
        <w:rPr>
          <w:bCs/>
          <w:snapToGrid w:val="0"/>
          <w:szCs w:val="24"/>
          <w:lang w:eastAsia="zh-CN"/>
        </w:rPr>
        <w:t>国家临床实验室标准委员会。</w:t>
      </w:r>
      <w:r>
        <w:rPr>
          <w:rFonts w:hint="eastAsia"/>
          <w:bCs/>
          <w:snapToGrid w:val="0"/>
          <w:szCs w:val="24"/>
          <w:lang w:eastAsia="zh-CN"/>
        </w:rPr>
        <w:t>家用体外试验产品的标签，拟定的指南。</w:t>
      </w:r>
    </w:p>
    <w:p w14:paraId="67828BFB">
      <w:pPr>
        <w:pStyle w:val="19"/>
        <w:numPr>
          <w:ilvl w:val="0"/>
          <w:numId w:val="4"/>
        </w:numPr>
        <w:spacing w:before="239" w:beforeLines="80"/>
        <w:ind w:firstLineChars="0"/>
        <w:rPr>
          <w:bCs/>
          <w:snapToGrid w:val="0"/>
          <w:szCs w:val="24"/>
        </w:rPr>
      </w:pPr>
      <w:r>
        <w:rPr>
          <w:bCs/>
          <w:snapToGrid w:val="0"/>
          <w:szCs w:val="24"/>
        </w:rPr>
        <w:t>Mills，J.L.，Data torturing,，N.E.J.M.，329:1196-1199，1993</w:t>
      </w:r>
      <w:r>
        <w:rPr>
          <w:rFonts w:hint="eastAsia"/>
          <w:bCs/>
          <w:snapToGrid w:val="0"/>
          <w:szCs w:val="24"/>
          <w:lang w:eastAsia="zh-CN"/>
        </w:rPr>
        <w:t>。</w:t>
      </w:r>
    </w:p>
    <w:p w14:paraId="24606543">
      <w:pPr>
        <w:pStyle w:val="19"/>
        <w:numPr>
          <w:ilvl w:val="0"/>
          <w:numId w:val="4"/>
        </w:numPr>
        <w:spacing w:before="239" w:beforeLines="80"/>
        <w:ind w:firstLineChars="0"/>
        <w:rPr>
          <w:bCs/>
          <w:snapToGrid w:val="0"/>
          <w:szCs w:val="24"/>
        </w:rPr>
      </w:pPr>
      <w:r>
        <w:rPr>
          <w:bCs/>
          <w:snapToGrid w:val="0"/>
          <w:szCs w:val="24"/>
        </w:rPr>
        <w:t>Peters，T.，Westgard，J.O.，</w:t>
      </w:r>
      <w:r>
        <w:rPr>
          <w:rFonts w:hint="eastAsia"/>
          <w:bCs/>
          <w:snapToGrid w:val="0"/>
          <w:szCs w:val="24"/>
        </w:rPr>
        <w:t>方法评估，第7章：Tietz，N.W.ed，临床化学基础，第三版：</w:t>
      </w:r>
      <w:r>
        <w:rPr>
          <w:bCs/>
          <w:snapToGrid w:val="0"/>
          <w:szCs w:val="24"/>
        </w:rPr>
        <w:t xml:space="preserve">Philadelphia，Saunders，pp.225-237，1987. </w:t>
      </w:r>
    </w:p>
    <w:p w14:paraId="30C1F039">
      <w:pPr>
        <w:pStyle w:val="19"/>
        <w:numPr>
          <w:ilvl w:val="0"/>
          <w:numId w:val="4"/>
        </w:numPr>
        <w:spacing w:before="239" w:beforeLines="80"/>
        <w:ind w:firstLineChars="0"/>
        <w:rPr>
          <w:bCs/>
          <w:snapToGrid w:val="0"/>
          <w:szCs w:val="24"/>
          <w:lang w:eastAsia="zh-CN"/>
        </w:rPr>
      </w:pPr>
      <w:r>
        <w:rPr>
          <w:rFonts w:hint="eastAsia"/>
          <w:bCs/>
          <w:snapToGrid w:val="0"/>
          <w:szCs w:val="24"/>
          <w:lang w:eastAsia="zh-CN"/>
        </w:rPr>
        <w:t>关于家用体外诊断器械的标签和上市前提交的要点，1987年，器械与放射健康中心。</w:t>
      </w:r>
    </w:p>
    <w:p w14:paraId="7A319739">
      <w:pPr>
        <w:pStyle w:val="19"/>
        <w:numPr>
          <w:ilvl w:val="0"/>
          <w:numId w:val="4"/>
        </w:numPr>
        <w:spacing w:before="239" w:beforeLines="80"/>
        <w:ind w:firstLineChars="0"/>
        <w:rPr>
          <w:bCs/>
          <w:snapToGrid w:val="0"/>
          <w:szCs w:val="24"/>
          <w:lang w:eastAsia="zh-CN"/>
        </w:rPr>
      </w:pPr>
      <w:r>
        <w:rPr>
          <w:bCs/>
          <w:snapToGrid w:val="0"/>
          <w:szCs w:val="24"/>
          <w:lang w:eastAsia="zh-CN"/>
        </w:rPr>
        <w:t>Powers，D.M.</w:t>
      </w:r>
      <w:r>
        <w:rPr>
          <w:rFonts w:hint="eastAsia"/>
          <w:lang w:eastAsia="zh-CN"/>
        </w:rPr>
        <w:t xml:space="preserve"> </w:t>
      </w:r>
      <w:r>
        <w:rPr>
          <w:rFonts w:hint="eastAsia"/>
          <w:bCs/>
          <w:snapToGrid w:val="0"/>
          <w:szCs w:val="24"/>
          <w:lang w:eastAsia="zh-CN"/>
        </w:rPr>
        <w:t>确定和维护性能声明 - 制造商的观点。病理学与检验医学文献，</w:t>
      </w:r>
      <w:r>
        <w:rPr>
          <w:bCs/>
          <w:snapToGrid w:val="0"/>
          <w:szCs w:val="24"/>
          <w:lang w:eastAsia="zh-CN"/>
        </w:rPr>
        <w:t xml:space="preserve"> 116:718，1992</w:t>
      </w:r>
      <w:r>
        <w:rPr>
          <w:rFonts w:hint="eastAsia"/>
          <w:bCs/>
          <w:snapToGrid w:val="0"/>
          <w:szCs w:val="24"/>
          <w:lang w:eastAsia="zh-CN"/>
        </w:rPr>
        <w:t>。</w:t>
      </w:r>
    </w:p>
    <w:p w14:paraId="00B76EE1">
      <w:pPr>
        <w:pStyle w:val="19"/>
        <w:numPr>
          <w:ilvl w:val="0"/>
          <w:numId w:val="4"/>
        </w:numPr>
        <w:spacing w:before="239" w:beforeLines="80"/>
        <w:ind w:firstLineChars="0"/>
        <w:rPr>
          <w:bCs/>
          <w:snapToGrid w:val="0"/>
          <w:szCs w:val="24"/>
        </w:rPr>
      </w:pPr>
      <w:r>
        <w:rPr>
          <w:bCs/>
          <w:snapToGrid w:val="0"/>
          <w:szCs w:val="24"/>
          <w:lang w:eastAsia="zh-CN"/>
        </w:rPr>
        <w:t>Poynard，T.，Chaput，J.，Etienne，J.，</w:t>
      </w:r>
      <w:r>
        <w:rPr>
          <w:rFonts w:hint="eastAsia"/>
          <w:bCs/>
          <w:snapToGrid w:val="0"/>
          <w:szCs w:val="24"/>
          <w:lang w:eastAsia="zh-CN"/>
        </w:rPr>
        <w:t>诊断测试的有效性，疾病流行率和不可解释结果百分比之间的关系。医学决策.</w:t>
      </w:r>
      <w:r>
        <w:rPr>
          <w:bCs/>
          <w:snapToGrid w:val="0"/>
          <w:szCs w:val="24"/>
          <w:lang w:eastAsia="zh-CN"/>
        </w:rPr>
        <w:t xml:space="preserve"> </w:t>
      </w:r>
      <w:r>
        <w:rPr>
          <w:bCs/>
          <w:snapToGrid w:val="0"/>
          <w:szCs w:val="24"/>
        </w:rPr>
        <w:t>2:25，1982</w:t>
      </w:r>
      <w:r>
        <w:rPr>
          <w:rFonts w:hint="eastAsia"/>
          <w:bCs/>
          <w:snapToGrid w:val="0"/>
          <w:szCs w:val="24"/>
          <w:lang w:eastAsia="zh-CN"/>
        </w:rPr>
        <w:t>。</w:t>
      </w:r>
    </w:p>
    <w:p w14:paraId="6F29EEFD">
      <w:pPr>
        <w:pStyle w:val="19"/>
        <w:numPr>
          <w:ilvl w:val="0"/>
          <w:numId w:val="4"/>
        </w:numPr>
        <w:spacing w:before="239" w:beforeLines="80"/>
        <w:ind w:firstLineChars="0"/>
        <w:rPr>
          <w:bCs/>
          <w:snapToGrid w:val="0"/>
          <w:szCs w:val="24"/>
        </w:rPr>
      </w:pPr>
      <w:r>
        <w:rPr>
          <w:bCs/>
          <w:snapToGrid w:val="0"/>
          <w:szCs w:val="24"/>
          <w:lang w:eastAsia="zh-CN"/>
        </w:rPr>
        <w:t>Ransohoff，D.F.，Feinstein，A.R.，</w:t>
      </w:r>
      <w:r>
        <w:rPr>
          <w:rFonts w:hint="eastAsia"/>
          <w:bCs/>
          <w:snapToGrid w:val="0"/>
          <w:szCs w:val="24"/>
          <w:lang w:eastAsia="zh-CN"/>
        </w:rPr>
        <w:t>评估诊断试验功效的频谱和偏倚问题。</w:t>
      </w:r>
      <w:r>
        <w:rPr>
          <w:bCs/>
          <w:snapToGrid w:val="0"/>
          <w:szCs w:val="24"/>
        </w:rPr>
        <w:t>N.E.J.M. 299:926，1978</w:t>
      </w:r>
      <w:r>
        <w:rPr>
          <w:rFonts w:hint="eastAsia"/>
          <w:bCs/>
          <w:snapToGrid w:val="0"/>
          <w:szCs w:val="24"/>
          <w:lang w:eastAsia="zh-CN"/>
        </w:rPr>
        <w:t>。</w:t>
      </w:r>
    </w:p>
    <w:p w14:paraId="0F1123A3">
      <w:pPr>
        <w:pStyle w:val="19"/>
        <w:numPr>
          <w:ilvl w:val="0"/>
          <w:numId w:val="4"/>
        </w:numPr>
        <w:spacing w:before="239" w:beforeLines="80"/>
        <w:ind w:firstLineChars="0"/>
        <w:rPr>
          <w:bCs/>
          <w:snapToGrid w:val="0"/>
          <w:szCs w:val="24"/>
        </w:rPr>
      </w:pPr>
      <w:r>
        <w:rPr>
          <w:bCs/>
          <w:snapToGrid w:val="0"/>
          <w:szCs w:val="24"/>
          <w:lang w:eastAsia="zh-CN"/>
        </w:rPr>
        <w:t>Ross，J.W.，</w:t>
      </w:r>
      <w:r>
        <w:rPr>
          <w:rFonts w:hint="eastAsia"/>
          <w:bCs/>
          <w:snapToGrid w:val="0"/>
          <w:szCs w:val="24"/>
          <w:lang w:eastAsia="zh-CN"/>
        </w:rPr>
        <w:t>精度评估。CRC临床化学手册 - 第一卷。</w:t>
      </w:r>
      <w:r>
        <w:rPr>
          <w:bCs/>
          <w:snapToGrid w:val="0"/>
          <w:szCs w:val="24"/>
        </w:rPr>
        <w:t>Boca Raton，Florida，CRC Press，pp.391-422，1982</w:t>
      </w:r>
      <w:r>
        <w:rPr>
          <w:rFonts w:hint="eastAsia"/>
          <w:bCs/>
          <w:snapToGrid w:val="0"/>
          <w:szCs w:val="24"/>
          <w:lang w:eastAsia="zh-CN"/>
        </w:rPr>
        <w:t>。</w:t>
      </w:r>
    </w:p>
    <w:p w14:paraId="43DE6FCD">
      <w:pPr>
        <w:pStyle w:val="19"/>
        <w:numPr>
          <w:ilvl w:val="0"/>
          <w:numId w:val="4"/>
        </w:numPr>
        <w:spacing w:before="239" w:beforeLines="80"/>
        <w:ind w:firstLineChars="0"/>
        <w:rPr>
          <w:bCs/>
          <w:snapToGrid w:val="0"/>
          <w:szCs w:val="24"/>
          <w:lang w:eastAsia="zh-CN"/>
        </w:rPr>
      </w:pPr>
      <w:r>
        <w:rPr>
          <w:bCs/>
          <w:snapToGrid w:val="0"/>
          <w:szCs w:val="24"/>
          <w:lang w:eastAsia="zh-CN"/>
        </w:rPr>
        <w:t>Schatzkin，A. Connor，R.J.，Taylor，P.R.，Bunnag，B.，</w:t>
      </w:r>
      <w:r>
        <w:rPr>
          <w:rFonts w:hint="eastAsia"/>
          <w:bCs/>
          <w:snapToGrid w:val="0"/>
          <w:szCs w:val="24"/>
          <w:lang w:eastAsia="zh-CN"/>
        </w:rPr>
        <w:t>比较新老筛查试验时，不能对所有筛选进行参考程序。美国流行病学杂志</w:t>
      </w:r>
      <w:r>
        <w:rPr>
          <w:bCs/>
          <w:snapToGrid w:val="0"/>
          <w:szCs w:val="24"/>
          <w:lang w:eastAsia="zh-CN"/>
        </w:rPr>
        <w:t>. 125:672，1987</w:t>
      </w:r>
      <w:r>
        <w:rPr>
          <w:rFonts w:hint="eastAsia"/>
          <w:bCs/>
          <w:snapToGrid w:val="0"/>
          <w:szCs w:val="24"/>
          <w:lang w:eastAsia="zh-CN"/>
        </w:rPr>
        <w:t>。</w:t>
      </w:r>
    </w:p>
    <w:p w14:paraId="0C0F89BF">
      <w:pPr>
        <w:pStyle w:val="19"/>
        <w:numPr>
          <w:ilvl w:val="0"/>
          <w:numId w:val="4"/>
        </w:numPr>
        <w:spacing w:before="239" w:beforeLines="80"/>
        <w:ind w:firstLineChars="0"/>
        <w:rPr>
          <w:bCs/>
          <w:snapToGrid w:val="0"/>
          <w:szCs w:val="24"/>
        </w:rPr>
      </w:pPr>
      <w:r>
        <w:rPr>
          <w:bCs/>
          <w:snapToGrid w:val="0"/>
          <w:szCs w:val="24"/>
        </w:rPr>
        <w:t>Staquet，M.，Rozencweig，Lee，Y.J.，Muggia，F.M.，</w:t>
      </w:r>
      <w:r>
        <w:rPr>
          <w:rFonts w:hint="eastAsia"/>
          <w:bCs/>
          <w:snapToGrid w:val="0"/>
          <w:szCs w:val="24"/>
        </w:rPr>
        <w:t>评估新的二分法诊断</w:t>
      </w:r>
      <w:r>
        <w:rPr>
          <w:rFonts w:hint="eastAsia"/>
          <w:bCs/>
          <w:snapToGrid w:val="0"/>
          <w:szCs w:val="24"/>
          <w:lang w:eastAsia="zh-CN"/>
        </w:rPr>
        <w:t>性试验</w:t>
      </w:r>
      <w:r>
        <w:rPr>
          <w:rFonts w:hint="eastAsia"/>
          <w:bCs/>
          <w:snapToGrid w:val="0"/>
          <w:szCs w:val="24"/>
        </w:rPr>
        <w:t>方法。</w:t>
      </w:r>
      <w:r>
        <w:rPr>
          <w:rFonts w:hint="eastAsia"/>
          <w:bCs/>
          <w:snapToGrid w:val="0"/>
          <w:szCs w:val="24"/>
          <w:lang w:eastAsia="zh-CN"/>
        </w:rPr>
        <w:t>慢性疾病杂志</w:t>
      </w:r>
      <w:r>
        <w:rPr>
          <w:bCs/>
          <w:snapToGrid w:val="0"/>
          <w:szCs w:val="24"/>
        </w:rPr>
        <w:t xml:space="preserve"> 34:599，1981</w:t>
      </w:r>
      <w:r>
        <w:rPr>
          <w:rFonts w:hint="eastAsia"/>
          <w:bCs/>
          <w:snapToGrid w:val="0"/>
          <w:szCs w:val="24"/>
          <w:lang w:eastAsia="zh-CN"/>
        </w:rPr>
        <w:t>。</w:t>
      </w:r>
    </w:p>
    <w:p w14:paraId="0F33E0C4">
      <w:pPr>
        <w:pStyle w:val="19"/>
        <w:numPr>
          <w:ilvl w:val="0"/>
          <w:numId w:val="4"/>
        </w:numPr>
        <w:spacing w:before="239" w:beforeLines="80"/>
        <w:ind w:firstLineChars="0"/>
        <w:rPr>
          <w:bCs/>
          <w:snapToGrid w:val="0"/>
          <w:szCs w:val="24"/>
          <w:lang w:eastAsia="zh-CN"/>
        </w:rPr>
      </w:pPr>
      <w:r>
        <w:rPr>
          <w:bCs/>
          <w:snapToGrid w:val="0"/>
          <w:szCs w:val="24"/>
          <w:lang w:eastAsia="zh-CN"/>
        </w:rPr>
        <w:t>Thibodeau，L.A.，</w:t>
      </w:r>
      <w:r>
        <w:rPr>
          <w:rFonts w:hint="eastAsia"/>
          <w:bCs/>
          <w:snapToGrid w:val="0"/>
          <w:szCs w:val="24"/>
          <w:lang w:eastAsia="zh-CN"/>
        </w:rPr>
        <w:t>评估诊断测试。生物识别。</w:t>
      </w:r>
      <w:r>
        <w:rPr>
          <w:bCs/>
          <w:snapToGrid w:val="0"/>
          <w:szCs w:val="24"/>
          <w:lang w:eastAsia="zh-CN"/>
        </w:rPr>
        <w:t>37:801，1981</w:t>
      </w:r>
      <w:r>
        <w:rPr>
          <w:rFonts w:hint="eastAsia"/>
          <w:bCs/>
          <w:snapToGrid w:val="0"/>
          <w:szCs w:val="24"/>
          <w:lang w:eastAsia="zh-CN"/>
        </w:rPr>
        <w:t>。</w:t>
      </w:r>
    </w:p>
    <w:p w14:paraId="6EDBE7A2">
      <w:pPr>
        <w:pStyle w:val="19"/>
        <w:numPr>
          <w:ilvl w:val="0"/>
          <w:numId w:val="4"/>
        </w:numPr>
        <w:spacing w:before="239" w:beforeLines="80"/>
        <w:ind w:firstLineChars="0"/>
        <w:rPr>
          <w:bCs/>
          <w:snapToGrid w:val="0"/>
          <w:szCs w:val="24"/>
          <w:lang w:eastAsia="zh-CN"/>
        </w:rPr>
      </w:pPr>
      <w:r>
        <w:rPr>
          <w:bCs/>
          <w:snapToGrid w:val="0"/>
          <w:szCs w:val="24"/>
          <w:lang w:eastAsia="zh-CN"/>
        </w:rPr>
        <w:t>Valenstein，P.V.，</w:t>
      </w:r>
      <w:r>
        <w:rPr>
          <w:rFonts w:hint="eastAsia"/>
          <w:bCs/>
          <w:snapToGrid w:val="0"/>
          <w:szCs w:val="24"/>
          <w:lang w:eastAsia="zh-CN"/>
        </w:rPr>
        <w:t>以不完善的标准评估诊断试验。美国临床病理学杂志</w:t>
      </w:r>
      <w:r>
        <w:rPr>
          <w:bCs/>
          <w:snapToGrid w:val="0"/>
          <w:szCs w:val="24"/>
          <w:lang w:eastAsia="zh-CN"/>
        </w:rPr>
        <w:t xml:space="preserve"> 93:252，1990</w:t>
      </w:r>
      <w:r>
        <w:rPr>
          <w:rFonts w:hint="eastAsia"/>
          <w:bCs/>
          <w:snapToGrid w:val="0"/>
          <w:szCs w:val="24"/>
          <w:lang w:eastAsia="zh-CN"/>
        </w:rPr>
        <w:t>。</w:t>
      </w:r>
    </w:p>
    <w:p w14:paraId="46D1EF7C">
      <w:pPr>
        <w:pStyle w:val="19"/>
        <w:numPr>
          <w:ilvl w:val="0"/>
          <w:numId w:val="4"/>
        </w:numPr>
        <w:spacing w:before="239" w:beforeLines="80"/>
        <w:ind w:firstLineChars="0"/>
        <w:rPr>
          <w:bCs/>
          <w:snapToGrid w:val="0"/>
          <w:szCs w:val="24"/>
          <w:lang w:eastAsia="zh-CN"/>
        </w:rPr>
      </w:pPr>
      <w:r>
        <w:rPr>
          <w:bCs/>
          <w:snapToGrid w:val="0"/>
          <w:szCs w:val="24"/>
          <w:lang w:eastAsia="zh-CN"/>
        </w:rPr>
        <w:t>Walter，S.D.，Irwig，L.M.，</w:t>
      </w:r>
      <w:r>
        <w:rPr>
          <w:rFonts w:hint="eastAsia"/>
          <w:bCs/>
          <w:snapToGrid w:val="0"/>
          <w:szCs w:val="24"/>
          <w:lang w:eastAsia="zh-CN"/>
        </w:rPr>
        <w:t>评估错误率，患病率和错误分类数据的相对风险：综述。临床流行病学杂志。</w:t>
      </w:r>
      <w:r>
        <w:rPr>
          <w:bCs/>
          <w:snapToGrid w:val="0"/>
          <w:szCs w:val="24"/>
          <w:lang w:eastAsia="zh-CN"/>
        </w:rPr>
        <w:t>41</w:t>
      </w:r>
      <w:r>
        <w:rPr>
          <w:rFonts w:hint="eastAsia"/>
          <w:bCs/>
          <w:snapToGrid w:val="0"/>
          <w:szCs w:val="24"/>
          <w:lang w:eastAsia="zh-CN"/>
        </w:rPr>
        <w:t>：</w:t>
      </w:r>
      <w:r>
        <w:rPr>
          <w:bCs/>
          <w:snapToGrid w:val="0"/>
          <w:szCs w:val="24"/>
          <w:lang w:eastAsia="zh-CN"/>
        </w:rPr>
        <w:t>923-937，1988</w:t>
      </w:r>
      <w:r>
        <w:rPr>
          <w:rFonts w:hint="eastAsia"/>
          <w:bCs/>
          <w:snapToGrid w:val="0"/>
          <w:szCs w:val="24"/>
          <w:lang w:eastAsia="zh-CN"/>
        </w:rPr>
        <w:t>。</w:t>
      </w:r>
    </w:p>
    <w:p w14:paraId="2B017762">
      <w:pPr>
        <w:pStyle w:val="19"/>
        <w:numPr>
          <w:ilvl w:val="0"/>
          <w:numId w:val="4"/>
        </w:numPr>
        <w:spacing w:before="239" w:beforeLines="80"/>
        <w:ind w:firstLineChars="0"/>
        <w:rPr>
          <w:bCs/>
          <w:snapToGrid w:val="0"/>
          <w:szCs w:val="24"/>
          <w:lang w:eastAsia="zh-CN"/>
        </w:rPr>
      </w:pPr>
      <w:r>
        <w:rPr>
          <w:bCs/>
          <w:snapToGrid w:val="0"/>
          <w:szCs w:val="24"/>
          <w:lang w:eastAsia="zh-CN"/>
        </w:rPr>
        <w:t>Westgard，J.O.，</w:t>
      </w:r>
      <w:r>
        <w:rPr>
          <w:rFonts w:hint="eastAsia"/>
          <w:bCs/>
          <w:snapToGrid w:val="0"/>
          <w:szCs w:val="24"/>
          <w:lang w:eastAsia="zh-CN"/>
        </w:rPr>
        <w:t>精度和准确性：方法评估测试的概念和评估。临床实验室科学评论</w:t>
      </w:r>
      <w:r>
        <w:rPr>
          <w:bCs/>
          <w:snapToGrid w:val="0"/>
          <w:szCs w:val="24"/>
          <w:lang w:eastAsia="zh-CN"/>
        </w:rPr>
        <w:t>. 13:283，1981</w:t>
      </w:r>
      <w:r>
        <w:rPr>
          <w:rFonts w:hint="eastAsia"/>
          <w:bCs/>
          <w:snapToGrid w:val="0"/>
          <w:szCs w:val="24"/>
          <w:lang w:eastAsia="zh-CN"/>
        </w:rPr>
        <w:t>。</w:t>
      </w:r>
    </w:p>
    <w:p w14:paraId="6D293489">
      <w:pPr>
        <w:pStyle w:val="19"/>
        <w:numPr>
          <w:ilvl w:val="0"/>
          <w:numId w:val="4"/>
        </w:numPr>
        <w:spacing w:before="239" w:beforeLines="80"/>
        <w:ind w:firstLineChars="0"/>
        <w:rPr>
          <w:bCs/>
          <w:snapToGrid w:val="0"/>
          <w:szCs w:val="24"/>
        </w:rPr>
      </w:pPr>
      <w:r>
        <w:rPr>
          <w:bCs/>
          <w:snapToGrid w:val="0"/>
          <w:szCs w:val="24"/>
          <w:lang w:eastAsia="zh-CN"/>
        </w:rPr>
        <w:t>Westgard，J.O.，Carey，R.N.</w:t>
      </w:r>
      <w:r>
        <w:rPr>
          <w:rFonts w:hint="eastAsia"/>
          <w:bCs/>
          <w:snapToGrid w:val="0"/>
          <w:szCs w:val="24"/>
          <w:lang w:eastAsia="zh-CN"/>
        </w:rPr>
        <w:t>和</w:t>
      </w:r>
      <w:r>
        <w:rPr>
          <w:bCs/>
          <w:snapToGrid w:val="0"/>
          <w:szCs w:val="24"/>
          <w:lang w:eastAsia="zh-CN"/>
        </w:rPr>
        <w:t>Wold，S.，</w:t>
      </w:r>
      <w:r>
        <w:rPr>
          <w:rFonts w:hint="eastAsia"/>
          <w:bCs/>
          <w:snapToGrid w:val="0"/>
          <w:szCs w:val="24"/>
          <w:lang w:eastAsia="zh-CN"/>
        </w:rPr>
        <w:t>判断方法开发和评估的精度和准确性的标准。</w:t>
      </w:r>
      <w:r>
        <w:rPr>
          <w:bCs/>
          <w:snapToGrid w:val="0"/>
          <w:szCs w:val="24"/>
          <w:lang w:eastAsia="zh-CN"/>
        </w:rPr>
        <w:t>临床化学。</w:t>
      </w:r>
      <w:r>
        <w:rPr>
          <w:bCs/>
          <w:snapToGrid w:val="0"/>
          <w:szCs w:val="24"/>
        </w:rPr>
        <w:t>20:825，197</w:t>
      </w:r>
      <w:r>
        <w:rPr>
          <w:rFonts w:hint="eastAsia"/>
          <w:bCs/>
          <w:snapToGrid w:val="0"/>
          <w:szCs w:val="24"/>
          <w:lang w:eastAsia="zh-CN"/>
        </w:rPr>
        <w:t>4。</w:t>
      </w:r>
    </w:p>
    <w:p w14:paraId="2E455DC0">
      <w:pPr>
        <w:pStyle w:val="19"/>
        <w:numPr>
          <w:ilvl w:val="0"/>
          <w:numId w:val="4"/>
        </w:numPr>
        <w:spacing w:before="239" w:beforeLines="80"/>
        <w:ind w:firstLineChars="0"/>
        <w:rPr>
          <w:bCs/>
          <w:snapToGrid w:val="0"/>
          <w:szCs w:val="24"/>
        </w:rPr>
      </w:pPr>
      <w:r>
        <w:rPr>
          <w:bCs/>
          <w:snapToGrid w:val="0"/>
          <w:szCs w:val="24"/>
          <w:lang w:eastAsia="zh-CN"/>
        </w:rPr>
        <w:t>Westgard，J.O.，Hunt，M.R.，</w:t>
      </w:r>
      <w:r>
        <w:rPr>
          <w:rFonts w:hint="eastAsia"/>
          <w:bCs/>
          <w:snapToGrid w:val="0"/>
          <w:szCs w:val="24"/>
          <w:lang w:eastAsia="zh-CN"/>
        </w:rPr>
        <w:t>在方法比较研究中使用和解释常见的统计检验。</w:t>
      </w:r>
      <w:r>
        <w:rPr>
          <w:bCs/>
          <w:snapToGrid w:val="0"/>
          <w:szCs w:val="24"/>
        </w:rPr>
        <w:t>临床化学。19:49-57，1973</w:t>
      </w:r>
      <w:r>
        <w:rPr>
          <w:rFonts w:hint="eastAsia"/>
          <w:bCs/>
          <w:snapToGrid w:val="0"/>
          <w:szCs w:val="24"/>
          <w:lang w:eastAsia="zh-CN"/>
        </w:rPr>
        <w:t>。</w:t>
      </w:r>
    </w:p>
    <w:p w14:paraId="4FE8C1FD">
      <w:pPr>
        <w:pStyle w:val="19"/>
        <w:numPr>
          <w:ilvl w:val="0"/>
          <w:numId w:val="4"/>
        </w:numPr>
        <w:spacing w:before="239" w:beforeLines="80"/>
        <w:ind w:firstLineChars="0"/>
        <w:rPr>
          <w:bCs/>
          <w:snapToGrid w:val="0"/>
          <w:szCs w:val="24"/>
        </w:rPr>
      </w:pPr>
      <w:r>
        <w:rPr>
          <w:bCs/>
          <w:snapToGrid w:val="0"/>
          <w:szCs w:val="24"/>
          <w:lang w:eastAsia="zh-CN"/>
        </w:rPr>
        <w:t>Zweig,M.H.，Campbell，G.，</w:t>
      </w:r>
      <w:r>
        <w:rPr>
          <w:rFonts w:hint="eastAsia"/>
          <w:bCs/>
          <w:snapToGrid w:val="0"/>
          <w:szCs w:val="24"/>
          <w:lang w:eastAsia="zh-CN"/>
        </w:rPr>
        <w:t>受试者操作特征（ROC）图：临床医学中的基础评估工具。</w:t>
      </w:r>
      <w:r>
        <w:rPr>
          <w:bCs/>
          <w:snapToGrid w:val="0"/>
          <w:szCs w:val="24"/>
        </w:rPr>
        <w:t>临床化学。29:561，1993</w:t>
      </w:r>
      <w:r>
        <w:rPr>
          <w:rFonts w:hint="eastAsia"/>
          <w:bCs/>
          <w:snapToGrid w:val="0"/>
          <w:szCs w:val="24"/>
          <w:lang w:eastAsia="zh-CN"/>
        </w:rPr>
        <w:t>。</w:t>
      </w:r>
    </w:p>
    <w:p w14:paraId="56FA10F1">
      <w:pPr>
        <w:spacing w:before="179"/>
        <w:rPr>
          <w:rFonts w:hint="eastAsia" w:eastAsia="宋体"/>
          <w:lang w:eastAsia="zh-CN"/>
        </w:rPr>
      </w:pPr>
    </w:p>
    <w:p w14:paraId="0C4D0309">
      <w:pPr>
        <w:spacing w:before="179"/>
        <w:jc w:val="center"/>
        <w:rPr>
          <w:rFonts w:hint="eastAsia" w:eastAsia="宋体"/>
          <w:lang w:eastAsia="zh-CN"/>
        </w:rPr>
      </w:pPr>
    </w:p>
    <w:p w14:paraId="117ED545">
      <w:pPr>
        <w:spacing w:before="179"/>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18" w:right="1418" w:bottom="1418" w:left="1418" w:header="720" w:footer="720" w:gutter="0"/>
      <w:cols w:space="720" w:num="1"/>
      <w:docGrid w:type="lines"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128"/>
    <w:multiLevelType w:val="multilevel"/>
    <w:tmpl w:val="0A952128"/>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CF069D"/>
    <w:multiLevelType w:val="multilevel"/>
    <w:tmpl w:val="22CF069D"/>
    <w:lvl w:ilvl="0" w:tentative="0">
      <w:start w:val="1"/>
      <w:numFmt w:val="decimal"/>
      <w:lvlText w:val="%1."/>
      <w:lvlJc w:val="left"/>
      <w:pPr>
        <w:ind w:left="420" w:hanging="420"/>
      </w:pPr>
      <w:rPr>
        <w:b w:val="0"/>
      </w:rPr>
    </w:lvl>
    <w:lvl w:ilvl="1" w:tentative="0">
      <w:start w:val="1"/>
      <w:numFmt w:val="lowerLetter"/>
      <w:lvlText w:val="%2."/>
      <w:lvlJc w:val="left"/>
      <w:pPr>
        <w:ind w:left="780" w:hanging="36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7C493D"/>
    <w:multiLevelType w:val="multilevel"/>
    <w:tmpl w:val="287C493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79085E"/>
    <w:multiLevelType w:val="multilevel"/>
    <w:tmpl w:val="397908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93"/>
    <w:rsid w:val="00030980"/>
    <w:rsid w:val="00051190"/>
    <w:rsid w:val="000635F4"/>
    <w:rsid w:val="0008486C"/>
    <w:rsid w:val="000E0BDB"/>
    <w:rsid w:val="000E2D97"/>
    <w:rsid w:val="00104EB5"/>
    <w:rsid w:val="001B064D"/>
    <w:rsid w:val="001C3343"/>
    <w:rsid w:val="0025686D"/>
    <w:rsid w:val="002A3804"/>
    <w:rsid w:val="0034657E"/>
    <w:rsid w:val="003B6C63"/>
    <w:rsid w:val="003C6393"/>
    <w:rsid w:val="003F0139"/>
    <w:rsid w:val="004C789C"/>
    <w:rsid w:val="00512081"/>
    <w:rsid w:val="0063666C"/>
    <w:rsid w:val="00643B56"/>
    <w:rsid w:val="006A0E31"/>
    <w:rsid w:val="006C4716"/>
    <w:rsid w:val="00813DAC"/>
    <w:rsid w:val="0083445E"/>
    <w:rsid w:val="0087302F"/>
    <w:rsid w:val="00887A2B"/>
    <w:rsid w:val="00891E23"/>
    <w:rsid w:val="0089331A"/>
    <w:rsid w:val="00907359"/>
    <w:rsid w:val="00A66C99"/>
    <w:rsid w:val="00AB0FD0"/>
    <w:rsid w:val="00AF6DFA"/>
    <w:rsid w:val="00B11129"/>
    <w:rsid w:val="00B127AC"/>
    <w:rsid w:val="00BD3D35"/>
    <w:rsid w:val="00C05F49"/>
    <w:rsid w:val="00CA637E"/>
    <w:rsid w:val="00CA6830"/>
    <w:rsid w:val="00CA6C43"/>
    <w:rsid w:val="00CC40C4"/>
    <w:rsid w:val="00CE65D0"/>
    <w:rsid w:val="00D76FF1"/>
    <w:rsid w:val="00DF781F"/>
    <w:rsid w:val="00EE0B38"/>
    <w:rsid w:val="00EF4685"/>
    <w:rsid w:val="00F03CCB"/>
    <w:rsid w:val="00FD3A5A"/>
    <w:rsid w:val="01E40545"/>
    <w:rsid w:val="0DCA237E"/>
    <w:rsid w:val="38E4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djustRightInd w:val="0"/>
      <w:snapToGrid w:val="0"/>
      <w:spacing w:before="60" w:beforeLines="60" w:line="312" w:lineRule="auto"/>
      <w:jc w:val="both"/>
    </w:pPr>
    <w:rPr>
      <w:rFonts w:ascii="Arial" w:hAnsi="Arial" w:eastAsia="宋体" w:cstheme="minorBidi"/>
      <w:sz w:val="24"/>
      <w:szCs w:val="22"/>
      <w:lang w:val="en-US" w:eastAsia="en-US" w:bidi="ar-SA"/>
    </w:rPr>
  </w:style>
  <w:style w:type="paragraph" w:styleId="2">
    <w:name w:val="heading 1"/>
    <w:basedOn w:val="1"/>
    <w:next w:val="1"/>
    <w:qFormat/>
    <w:uiPriority w:val="1"/>
    <w:pPr>
      <w:ind w:left="993" w:firstLine="4"/>
      <w:outlineLvl w:val="0"/>
    </w:pPr>
    <w:rPr>
      <w:rFonts w:ascii="Courier New" w:hAnsi="Courier New" w:eastAsia="Courier New"/>
      <w:b/>
      <w:bCs/>
      <w:sz w:val="25"/>
      <w:szCs w:val="25"/>
    </w:rPr>
  </w:style>
  <w:style w:type="paragraph" w:styleId="3">
    <w:name w:val="heading 2"/>
    <w:basedOn w:val="1"/>
    <w:next w:val="4"/>
    <w:qFormat/>
    <w:uiPriority w:val="1"/>
    <w:pPr>
      <w:ind w:left="108" w:hanging="10"/>
      <w:outlineLvl w:val="1"/>
    </w:pPr>
    <w:rPr>
      <w:rFonts w:ascii="Times New Roman" w:hAnsi="Times New Roman" w:eastAsia="Times New Roman"/>
      <w:sz w:val="25"/>
      <w:szCs w:val="25"/>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uiPriority w:val="99"/>
    <w:pPr>
      <w:ind w:firstLine="420" w:firstLineChars="200"/>
    </w:pPr>
  </w:style>
  <w:style w:type="paragraph" w:styleId="5">
    <w:name w:val="Body Text"/>
    <w:basedOn w:val="1"/>
    <w:qFormat/>
    <w:uiPriority w:val="1"/>
    <w:pPr>
      <w:ind w:left="77"/>
    </w:pPr>
    <w:rPr>
      <w:rFonts w:ascii="Courier New" w:hAnsi="Courier New" w:eastAsia="Courier New"/>
      <w:b/>
      <w:bCs/>
      <w:szCs w:val="24"/>
    </w:rPr>
  </w:style>
  <w:style w:type="paragraph" w:styleId="6">
    <w:name w:val="Balloon Text"/>
    <w:basedOn w:val="1"/>
    <w:link w:val="18"/>
    <w:semiHidden/>
    <w:unhideWhenUsed/>
    <w:uiPriority w:val="99"/>
    <w:rPr>
      <w:sz w:val="18"/>
      <w:szCs w:val="18"/>
    </w:rPr>
  </w:style>
  <w:style w:type="paragraph" w:styleId="7">
    <w:name w:val="footer"/>
    <w:basedOn w:val="1"/>
    <w:link w:val="17"/>
    <w:unhideWhenUsed/>
    <w:uiPriority w:val="99"/>
    <w:pPr>
      <w:tabs>
        <w:tab w:val="center" w:pos="4153"/>
        <w:tab w:val="right" w:pos="8306"/>
      </w:tabs>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jc w:val="center"/>
    </w:pPr>
    <w:rPr>
      <w:sz w:val="18"/>
      <w:szCs w:val="18"/>
    </w:rPr>
  </w:style>
  <w:style w:type="character" w:styleId="11">
    <w:name w:val="Emphasis"/>
    <w:basedOn w:val="10"/>
    <w:qFormat/>
    <w:uiPriority w:val="20"/>
    <w:rPr>
      <w:i/>
      <w:iCs/>
    </w:rPr>
  </w:style>
  <w:style w:type="character" w:styleId="12">
    <w:name w:val="Hyperlink"/>
    <w:basedOn w:val="10"/>
    <w:unhideWhenUsed/>
    <w:qFormat/>
    <w:uiPriority w:val="99"/>
    <w:rPr>
      <w:color w:val="0000FF"/>
      <w:u w:val="single"/>
    </w:rPr>
  </w:style>
  <w:style w:type="table" w:customStyle="1" w:styleId="13">
    <w:name w:val="Table Normal"/>
    <w:unhideWhenUsed/>
    <w:qFormat/>
    <w:uiPriority w:val="2"/>
    <w:tblPr>
      <w:tblCellMar>
        <w:top w:w="0" w:type="dxa"/>
        <w:left w:w="0" w:type="dxa"/>
        <w:bottom w:w="0" w:type="dxa"/>
        <w:right w:w="0" w:type="dxa"/>
      </w:tblCellMar>
    </w:tblPr>
  </w:style>
  <w:style w:type="paragraph" w:customStyle="1" w:styleId="14">
    <w:name w:val="列出段落1"/>
    <w:basedOn w:val="1"/>
    <w:qFormat/>
    <w:uiPriority w:val="1"/>
  </w:style>
  <w:style w:type="paragraph" w:customStyle="1" w:styleId="15">
    <w:name w:val="Table Paragraph"/>
    <w:basedOn w:val="1"/>
    <w:qFormat/>
    <w:uiPriority w:val="1"/>
  </w:style>
  <w:style w:type="character" w:customStyle="1" w:styleId="16">
    <w:name w:val="页眉 Char"/>
    <w:basedOn w:val="10"/>
    <w:link w:val="8"/>
    <w:uiPriority w:val="99"/>
    <w:rPr>
      <w:sz w:val="18"/>
      <w:szCs w:val="18"/>
      <w:lang w:eastAsia="en-US"/>
    </w:rPr>
  </w:style>
  <w:style w:type="character" w:customStyle="1" w:styleId="17">
    <w:name w:val="页脚 Char"/>
    <w:basedOn w:val="10"/>
    <w:link w:val="7"/>
    <w:uiPriority w:val="99"/>
    <w:rPr>
      <w:sz w:val="18"/>
      <w:szCs w:val="18"/>
      <w:lang w:eastAsia="en-US"/>
    </w:rPr>
  </w:style>
  <w:style w:type="character" w:customStyle="1" w:styleId="18">
    <w:name w:val="批注框文本 Char"/>
    <w:basedOn w:val="10"/>
    <w:link w:val="6"/>
    <w:semiHidden/>
    <w:uiPriority w:val="99"/>
    <w:rPr>
      <w:sz w:val="18"/>
      <w:szCs w:val="18"/>
      <w:lang w:eastAsia="en-US"/>
    </w:rPr>
  </w:style>
  <w:style w:type="paragraph" w:styleId="1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5517</Words>
  <Characters>7523</Characters>
  <Lines>53</Lines>
  <Paragraphs>15</Paragraphs>
  <TotalTime>0</TotalTime>
  <ScaleCrop>false</ScaleCrop>
  <LinksUpToDate>false</LinksUpToDate>
  <CharactersWithSpaces>7594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2017-04-06T09:15:00Z</dcterms:created>
  <dc:creator>webops</dc:creator>
  <cp:keywords>cdrhguidance</cp:keywords>
  <cp:lastModifiedBy>太极箫客</cp:lastModifiedBy>
  <dcterms:modified xsi:type="dcterms:W3CDTF">2025-08-14T07:06:59Z</dcterms:modified>
  <dc:title>DeskScan II</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1998-09-29T00:00:00Z</vt:filetime>
  </property>
  <property fmtid="{D5CDD505-2E9C-101B-9397-08002B2CF9AE}" pid="3" name="Creator">
    <vt:lpwstr>Adobe Acrobat 6.0</vt:lpwstr>
  </property>
  <property fmtid="{D5CDD505-2E9C-101B-9397-08002B2CF9AE}" pid="4" name="LastSaved">
    <vt:filetime>2017-02-17T00:00:00Z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328B98597C334407B736EED4C3DB7022_12</vt:lpwstr>
  </property>
</Properties>
</file>