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C16DF">
      <w:pPr>
        <w:pBdr>
          <w:bottom w:val="single" w:color="auto" w:sz="4" w:space="1"/>
        </w:pBdr>
        <w:adjustRightInd w:val="0"/>
        <w:snapToGrid w:val="0"/>
        <w:spacing w:before="120" w:beforeLines="50" w:line="300" w:lineRule="auto"/>
        <w:jc w:val="center"/>
        <w:rPr>
          <w:rFonts w:ascii="Times New Roman" w:hAnsi="Times New Roman" w:eastAsia="宋体" w:cs="Times New Roman"/>
          <w:b/>
          <w:snapToGrid w:val="0"/>
          <w:sz w:val="44"/>
          <w:szCs w:val="44"/>
          <w:lang w:eastAsia="zh-CN"/>
        </w:rPr>
      </w:pPr>
      <w:bookmarkStart w:id="26" w:name="_GoBack"/>
      <w:bookmarkEnd w:id="26"/>
      <w:r>
        <w:rPr>
          <w:rFonts w:ascii="Times New Roman" w:hAnsi="Times New Roman" w:eastAsia="宋体" w:cs="宋体"/>
          <w:b/>
          <w:sz w:val="44"/>
          <w:lang w:eastAsia="zh-CN"/>
        </w:rPr>
        <w:t>用于治疗良性前列腺增生（BPH）的器械的非临床和临床研究指南的选择更新</w:t>
      </w:r>
    </w:p>
    <w:p w14:paraId="7656184A">
      <w:pPr>
        <w:adjustRightInd w:val="0"/>
        <w:snapToGrid w:val="0"/>
        <w:spacing w:before="120" w:beforeLines="50" w:line="300" w:lineRule="auto"/>
        <w:jc w:val="center"/>
        <w:rPr>
          <w:rFonts w:ascii="Times New Roman" w:hAnsi="Times New Roman" w:eastAsia="宋体" w:cs="Times New Roman"/>
          <w:b/>
          <w:snapToGrid w:val="0"/>
          <w:sz w:val="44"/>
          <w:szCs w:val="44"/>
          <w:lang w:eastAsia="zh-CN"/>
        </w:rPr>
      </w:pPr>
      <w:r>
        <w:rPr>
          <w:rFonts w:ascii="Times New Roman" w:hAnsi="Times New Roman" w:eastAsia="宋体" w:cs="宋体"/>
          <w:b/>
          <w:sz w:val="44"/>
          <w:lang w:eastAsia="zh-CN"/>
        </w:rPr>
        <w:t>行业和美国食品药品监督管理局工作人员指南草案</w:t>
      </w:r>
    </w:p>
    <w:p w14:paraId="5FEEC053">
      <w:pPr>
        <w:pStyle w:val="21"/>
        <w:adjustRightInd w:val="0"/>
        <w:snapToGrid w:val="0"/>
        <w:spacing w:before="120" w:beforeLines="50" w:after="0" w:line="300" w:lineRule="auto"/>
        <w:jc w:val="center"/>
        <w:rPr>
          <w:rFonts w:eastAsia="宋体"/>
          <w:b/>
          <w:bCs/>
          <w:i/>
          <w:iCs/>
          <w:snapToGrid w:val="0"/>
          <w:lang w:eastAsia="zh-CN"/>
        </w:rPr>
      </w:pPr>
      <w:r>
        <w:rPr>
          <w:rFonts w:eastAsia="宋体" w:cs="宋体"/>
          <w:b/>
          <w:bCs/>
          <w:i/>
          <w:iCs/>
          <w:lang w:eastAsia="zh-CN"/>
        </w:rPr>
        <w:t>指南草案</w:t>
      </w:r>
    </w:p>
    <w:p w14:paraId="655515AE">
      <w:pPr>
        <w:adjustRightInd w:val="0"/>
        <w:snapToGrid w:val="0"/>
        <w:spacing w:before="120" w:beforeLines="50" w:line="300" w:lineRule="auto"/>
        <w:jc w:val="center"/>
        <w:rPr>
          <w:rFonts w:ascii="Times New Roman" w:hAnsi="Times New Roman" w:eastAsia="宋体" w:cs="Times New Roman"/>
          <w:b/>
          <w:snapToGrid w:val="0"/>
          <w:lang w:eastAsia="zh-CN"/>
        </w:rPr>
      </w:pPr>
      <w:r>
        <w:rPr>
          <w:rFonts w:ascii="Times New Roman" w:hAnsi="Times New Roman" w:eastAsia="宋体" w:cs="宋体"/>
          <w:b/>
          <w:lang w:eastAsia="zh-CN"/>
        </w:rPr>
        <w:t>本指南草案仅供征求意见</w:t>
      </w:r>
    </w:p>
    <w:p w14:paraId="0C2D92C6">
      <w:pPr>
        <w:adjustRightInd w:val="0"/>
        <w:snapToGrid w:val="0"/>
        <w:spacing w:before="120" w:beforeLines="50" w:line="300" w:lineRule="auto"/>
        <w:jc w:val="center"/>
        <w:rPr>
          <w:rFonts w:ascii="Times New Roman" w:hAnsi="Times New Roman" w:eastAsia="宋体" w:cs="Times New Roman"/>
          <w:b/>
          <w:snapToGrid w:val="0"/>
          <w:lang w:eastAsia="zh-CN"/>
        </w:rPr>
      </w:pPr>
      <w:r>
        <w:rPr>
          <w:rFonts w:ascii="Times New Roman" w:hAnsi="Times New Roman" w:eastAsia="宋体" w:cs="宋体"/>
          <w:b/>
          <w:lang w:eastAsia="zh-CN"/>
        </w:rPr>
        <w:t>本文件发布日期：2020年7月14日</w:t>
      </w:r>
    </w:p>
    <w:p w14:paraId="4B64723F">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应在《联邦公报》刊登通知向公众宣布已发布本指南草案后的60天之内提出针对本文件草案的意见和建议。电子版意见和建议可随时提交至：</w:t>
      </w:r>
      <w:r>
        <w:fldChar w:fldCharType="begin"/>
      </w:r>
      <w:r>
        <w:instrText xml:space="preserve"> HYPERLINK "https://www.regulations.gov/" </w:instrText>
      </w:r>
      <w:r>
        <w:fldChar w:fldCharType="separate"/>
      </w:r>
      <w:r>
        <w:rPr>
          <w:rFonts w:ascii="Times New Roman" w:hAnsi="Times New Roman" w:eastAsia="宋体" w:cs="宋体"/>
          <w:snapToGrid w:val="0"/>
          <w:color w:val="0000FF"/>
          <w:u w:val="single"/>
          <w:lang w:eastAsia="zh-CN"/>
        </w:rPr>
        <w:t>https://www.regulations.gov</w:t>
      </w:r>
      <w:r>
        <w:rPr>
          <w:rFonts w:ascii="Times New Roman" w:hAnsi="Times New Roman" w:eastAsia="宋体" w:cs="宋体"/>
          <w:snapToGrid w:val="0"/>
          <w:color w:val="0000FF"/>
          <w:u w:val="single"/>
          <w:lang w:eastAsia="zh-CN"/>
        </w:rPr>
        <w:fldChar w:fldCharType="end"/>
      </w:r>
      <w:r>
        <w:rPr>
          <w:rFonts w:ascii="宋体" w:hAnsi="宋体" w:eastAsia="宋体" w:cs="宋体"/>
          <w:snapToGrid w:val="0"/>
          <w:color w:val="0000FF"/>
          <w:u w:val="single"/>
          <w:lang w:eastAsia="zh-CN"/>
        </w:rPr>
        <w:t>，供</w:t>
      </w:r>
      <w:r>
        <w:rPr>
          <w:rFonts w:ascii="Times New Roman" w:hAnsi="Times New Roman" w:eastAsia="宋体" w:cs="Times New Roman"/>
          <w:snapToGrid w:val="0"/>
          <w:color w:val="0000FF"/>
          <w:u w:val="single"/>
          <w:lang w:eastAsia="zh-CN"/>
        </w:rPr>
        <w:t>FDA</w:t>
      </w:r>
      <w:r>
        <w:rPr>
          <w:rFonts w:hint="eastAsia" w:ascii="宋体" w:hAnsi="宋体" w:eastAsia="宋体" w:cs="宋体"/>
          <w:snapToGrid w:val="0"/>
          <w:color w:val="0000FF"/>
          <w:u w:val="single"/>
          <w:lang w:eastAsia="zh-CN"/>
        </w:rPr>
        <w:t>审议</w:t>
      </w:r>
      <w:r>
        <w:rPr>
          <w:rFonts w:ascii="Times New Roman" w:hAnsi="Times New Roman" w:eastAsia="宋体" w:cs="宋体"/>
          <w:lang w:eastAsia="zh-CN"/>
        </w:rPr>
        <w:t>。可将书面意见提交至美国食品药品监督管理局文档管理处的工作人员（HFA-305），5630 Fishers Lane, rm</w:t>
      </w:r>
      <w:r>
        <w:rPr>
          <w:rFonts w:hint="eastAsia" w:ascii="Times New Roman" w:hAnsi="Times New Roman" w:eastAsia="宋体" w:cs="宋体"/>
          <w:lang w:eastAsia="zh-CN"/>
        </w:rPr>
        <w:t>.</w:t>
      </w:r>
      <w:r>
        <w:rPr>
          <w:rFonts w:ascii="Times New Roman" w:hAnsi="Times New Roman" w:eastAsia="宋体" w:cs="宋体"/>
          <w:lang w:eastAsia="zh-CN"/>
        </w:rPr>
        <w:t xml:space="preserve"> 1061, Rockville, MD 20852</w:t>
      </w:r>
      <w:r>
        <w:rPr>
          <w:rFonts w:hint="eastAsia" w:ascii="Times New Roman" w:hAnsi="Times New Roman" w:eastAsia="宋体" w:cs="宋体"/>
          <w:lang w:eastAsia="zh-CN"/>
        </w:rPr>
        <w:t>。</w:t>
      </w:r>
      <w:r>
        <w:rPr>
          <w:rFonts w:ascii="Times New Roman" w:hAnsi="Times New Roman" w:eastAsia="宋体" w:cs="宋体"/>
          <w:lang w:eastAsia="zh-CN"/>
        </w:rPr>
        <w:t>所提交的意见中必须注明《联邦公报》发布的通知中列示的备案编号。</w:t>
      </w:r>
    </w:p>
    <w:p w14:paraId="677FBD31">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如对本文件有任何疑问，请致电(301)-796-7030联系OHT3：生殖、胃肠、泌尿综合医院器械和人为因素办公室/DHT3B：生殖和泌尿器械部。</w:t>
      </w:r>
    </w:p>
    <w:p w14:paraId="2A89E6A1">
      <w:pPr>
        <w:adjustRightInd w:val="0"/>
        <w:snapToGrid w:val="0"/>
        <w:spacing w:before="120" w:beforeLines="50" w:line="300" w:lineRule="auto"/>
        <w:jc w:val="center"/>
        <w:rPr>
          <w:rFonts w:ascii="Times New Roman" w:hAnsi="Times New Roman" w:eastAsia="宋体" w:cs="Times New Roman"/>
          <w:b/>
          <w:snapToGrid w:val="0"/>
          <w:lang w:eastAsia="zh-CN"/>
        </w:rPr>
      </w:pPr>
      <w:r>
        <w:rPr>
          <w:rFonts w:ascii="Times New Roman" w:hAnsi="Times New Roman" w:eastAsia="宋体" w:cs="宋体"/>
          <w:b/>
          <w:lang w:eastAsia="zh-CN"/>
        </w:rPr>
        <w:t>定稿后，本指南将更新并取代2010年8月17日发布的《用于治疗良性前列腺增生（BPH）的器械的非临床和临床研究指南》的适用章节。</w:t>
      </w:r>
    </w:p>
    <w:p w14:paraId="07618290">
      <w:pPr>
        <w:adjustRightInd w:val="0"/>
        <w:snapToGrid w:val="0"/>
        <w:spacing w:before="120" w:beforeLines="50" w:line="300" w:lineRule="auto"/>
        <w:jc w:val="both"/>
        <w:rPr>
          <w:rFonts w:ascii="Times New Roman" w:hAnsi="Times New Roman" w:eastAsia="宋体" w:cs="Times New Roman"/>
          <w:b/>
          <w:bCs/>
          <w:snapToGrid w:val="0"/>
          <w:lang w:eastAsia="zh-CN"/>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4"/>
      </w:tblGrid>
      <w:tr w14:paraId="091AB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tcPr>
          <w:p w14:paraId="42DA7A25">
            <w:pPr>
              <w:adjustRightInd w:val="0"/>
              <w:snapToGrid w:val="0"/>
              <w:spacing w:line="300" w:lineRule="auto"/>
              <w:jc w:val="both"/>
              <w:rPr>
                <w:rFonts w:ascii="Times New Roman" w:hAnsi="Times New Roman" w:cs="Times New Roman"/>
                <w:b/>
                <w:bCs/>
                <w:snapToGrid w:val="0"/>
                <w:sz w:val="21"/>
                <w:szCs w:val="21"/>
                <w:lang w:eastAsia="zh-CN"/>
              </w:rPr>
            </w:pPr>
            <w:r>
              <w:rPr>
                <w:rFonts w:ascii="宋体" w:hAnsi="宋体" w:eastAsia="宋体" w:cs="宋体"/>
                <w:sz w:val="21"/>
                <w:lang w:eastAsia="zh-CN" w:bidi="ar-SA"/>
              </w:rPr>
              <w:drawing>
                <wp:inline distT="0" distB="0" distL="0" distR="0">
                  <wp:extent cx="2571115" cy="742315"/>
                  <wp:effectExtent l="0" t="0" r="635" b="63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6"/>
                          <a:stretch>
                            <a:fillRect/>
                          </a:stretch>
                        </pic:blipFill>
                        <pic:spPr>
                          <a:xfrm>
                            <a:off x="0" y="0"/>
                            <a:ext cx="2571429" cy="742857"/>
                          </a:xfrm>
                          <a:prstGeom prst="rect">
                            <a:avLst/>
                          </a:prstGeom>
                        </pic:spPr>
                      </pic:pic>
                    </a:graphicData>
                  </a:graphic>
                </wp:inline>
              </w:drawing>
            </w:r>
          </w:p>
        </w:tc>
        <w:tc>
          <w:tcPr>
            <w:tcW w:w="4644" w:type="dxa"/>
          </w:tcPr>
          <w:p w14:paraId="528CC13F">
            <w:pPr>
              <w:adjustRightInd w:val="0"/>
              <w:snapToGrid w:val="0"/>
              <w:spacing w:line="300" w:lineRule="auto"/>
              <w:jc w:val="right"/>
              <w:rPr>
                <w:rFonts w:ascii="Times New Roman" w:hAnsi="Times New Roman" w:eastAsia="宋体" w:cs="Times New Roman"/>
                <w:b/>
                <w:bCs/>
                <w:snapToGrid w:val="0"/>
                <w:sz w:val="21"/>
                <w:szCs w:val="21"/>
                <w:lang w:eastAsia="zh-CN"/>
              </w:rPr>
            </w:pPr>
            <w:r>
              <w:rPr>
                <w:rFonts w:ascii="Times New Roman" w:hAnsi="Times New Roman" w:eastAsia="宋体" w:cs="宋体"/>
                <w:b/>
                <w:sz w:val="21"/>
                <w:lang w:eastAsia="zh-CN"/>
              </w:rPr>
              <w:t>美国卫生与公共服务部</w:t>
            </w:r>
          </w:p>
          <w:p w14:paraId="7CDE65A0">
            <w:pPr>
              <w:adjustRightInd w:val="0"/>
              <w:snapToGrid w:val="0"/>
              <w:spacing w:line="300" w:lineRule="auto"/>
              <w:jc w:val="right"/>
              <w:rPr>
                <w:rFonts w:ascii="Times New Roman" w:hAnsi="Times New Roman" w:eastAsia="宋体" w:cs="Times New Roman"/>
                <w:b/>
                <w:bCs/>
                <w:snapToGrid w:val="0"/>
                <w:sz w:val="21"/>
                <w:szCs w:val="21"/>
                <w:lang w:eastAsia="zh-CN"/>
              </w:rPr>
            </w:pPr>
            <w:r>
              <w:rPr>
                <w:rFonts w:ascii="Times New Roman" w:hAnsi="Times New Roman" w:eastAsia="宋体" w:cs="宋体"/>
                <w:b/>
                <w:sz w:val="21"/>
                <w:lang w:eastAsia="zh-CN"/>
              </w:rPr>
              <w:t>美国食品药品监督管理局</w:t>
            </w:r>
          </w:p>
          <w:p w14:paraId="7AED9FDC">
            <w:pPr>
              <w:adjustRightInd w:val="0"/>
              <w:snapToGrid w:val="0"/>
              <w:spacing w:line="300" w:lineRule="auto"/>
              <w:jc w:val="right"/>
              <w:rPr>
                <w:rFonts w:ascii="Times New Roman" w:hAnsi="Times New Roman" w:cs="Times New Roman"/>
                <w:b/>
                <w:bCs/>
                <w:snapToGrid w:val="0"/>
                <w:sz w:val="21"/>
                <w:szCs w:val="21"/>
                <w:lang w:eastAsia="zh-CN"/>
              </w:rPr>
            </w:pPr>
            <w:r>
              <w:rPr>
                <w:rFonts w:ascii="Times New Roman" w:hAnsi="Times New Roman" w:eastAsia="宋体" w:cs="宋体"/>
                <w:b/>
                <w:sz w:val="21"/>
                <w:lang w:eastAsia="zh-CN"/>
              </w:rPr>
              <w:t>医疗器械和辐射健康中心</w:t>
            </w:r>
          </w:p>
        </w:tc>
      </w:tr>
    </w:tbl>
    <w:p w14:paraId="61898C5F">
      <w:pPr>
        <w:adjustRightInd w:val="0"/>
        <w:snapToGrid w:val="0"/>
        <w:spacing w:before="120" w:beforeLines="50" w:line="300" w:lineRule="auto"/>
        <w:jc w:val="both"/>
        <w:rPr>
          <w:rFonts w:ascii="Times New Roman" w:hAnsi="Times New Roman" w:eastAsia="宋体" w:cs="Times New Roman"/>
          <w:b/>
          <w:bCs/>
          <w:snapToGrid w:val="0"/>
          <w:lang w:eastAsia="zh-CN"/>
        </w:rPr>
      </w:pPr>
    </w:p>
    <w:p w14:paraId="74DAF8DE">
      <w:pPr>
        <w:rPr>
          <w:rFonts w:ascii="Times New Roman" w:hAnsi="Times New Roman" w:eastAsia="宋体" w:cs="Times New Roman"/>
          <w:snapToGrid w:val="0"/>
          <w:lang w:eastAsia="zh-CN"/>
        </w:rPr>
      </w:pPr>
      <w:r>
        <w:rPr>
          <w:rFonts w:ascii="Times New Roman" w:hAnsi="Times New Roman" w:eastAsia="宋体" w:cs="宋体"/>
          <w:lang w:eastAsia="zh-CN"/>
        </w:rPr>
        <w:br w:type="page"/>
      </w:r>
    </w:p>
    <w:p w14:paraId="0F8A4D1E">
      <w:pPr>
        <w:pStyle w:val="21"/>
        <w:adjustRightInd w:val="0"/>
        <w:snapToGrid w:val="0"/>
        <w:spacing w:before="120" w:beforeLines="50" w:after="0" w:line="300" w:lineRule="auto"/>
        <w:jc w:val="center"/>
        <w:rPr>
          <w:rFonts w:eastAsia="宋体"/>
          <w:snapToGrid w:val="0"/>
          <w:sz w:val="32"/>
          <w:szCs w:val="32"/>
          <w:lang w:eastAsia="zh-CN"/>
        </w:rPr>
      </w:pPr>
      <w:r>
        <w:rPr>
          <w:rFonts w:eastAsia="宋体" w:cs="宋体"/>
          <w:b/>
          <w:sz w:val="32"/>
          <w:lang w:eastAsia="zh-CN"/>
        </w:rPr>
        <w:t>前言</w:t>
      </w:r>
    </w:p>
    <w:p w14:paraId="47BD441A">
      <w:pPr>
        <w:pStyle w:val="21"/>
        <w:adjustRightInd w:val="0"/>
        <w:snapToGrid w:val="0"/>
        <w:spacing w:before="120" w:beforeLines="50" w:after="0" w:line="300" w:lineRule="auto"/>
        <w:jc w:val="both"/>
        <w:rPr>
          <w:rFonts w:eastAsia="宋体"/>
          <w:snapToGrid w:val="0"/>
          <w:sz w:val="32"/>
          <w:szCs w:val="32"/>
          <w:lang w:eastAsia="zh-CN"/>
        </w:rPr>
      </w:pPr>
      <w:r>
        <w:rPr>
          <w:rFonts w:eastAsia="宋体" w:cs="宋体"/>
          <w:b/>
          <w:sz w:val="32"/>
          <w:lang w:eastAsia="zh-CN"/>
        </w:rPr>
        <w:t>更多副本</w:t>
      </w:r>
    </w:p>
    <w:p w14:paraId="42EA68DF">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更多副本可通过互联网</w:t>
      </w:r>
      <w:r>
        <w:rPr>
          <w:rFonts w:hint="eastAsia" w:ascii="Times New Roman" w:hAnsi="Times New Roman" w:eastAsia="宋体" w:cs="宋体"/>
          <w:lang w:eastAsia="zh-CN"/>
        </w:rPr>
        <w:t>获取</w:t>
      </w:r>
      <w:r>
        <w:rPr>
          <w:rFonts w:ascii="Times New Roman" w:hAnsi="Times New Roman" w:eastAsia="宋体" w:cs="宋体"/>
          <w:lang w:eastAsia="zh-CN"/>
        </w:rPr>
        <w:t>。也可以通过电子邮件发送请求至</w:t>
      </w:r>
      <w:r>
        <w:fldChar w:fldCharType="begin"/>
      </w:r>
      <w:r>
        <w:rPr>
          <w:lang w:eastAsia="zh-CN"/>
        </w:rPr>
        <w:instrText xml:space="preserve"> HYPERLINK "mailto:CDRH-Guidance@fda.hhs.gov" </w:instrText>
      </w:r>
      <w:r>
        <w:fldChar w:fldCharType="separate"/>
      </w:r>
      <w:r>
        <w:rPr>
          <w:rFonts w:ascii="Times New Roman" w:hAnsi="Times New Roman" w:eastAsia="宋体" w:cs="宋体"/>
          <w:snapToGrid w:val="0"/>
          <w:color w:val="0000FF"/>
          <w:u w:val="single"/>
          <w:lang w:eastAsia="zh-CN"/>
        </w:rPr>
        <w:t>CDRH-Guidance@fda.hhs.gov</w:t>
      </w:r>
      <w:r>
        <w:rPr>
          <w:rFonts w:ascii="Times New Roman" w:hAnsi="Times New Roman" w:eastAsia="宋体" w:cs="宋体"/>
          <w:snapToGrid w:val="0"/>
          <w:color w:val="0000FF"/>
          <w:u w:val="single"/>
          <w:lang w:eastAsia="zh-CN"/>
        </w:rPr>
        <w:fldChar w:fldCharType="end"/>
      </w:r>
      <w:r>
        <w:rPr>
          <w:rFonts w:ascii="Times New Roman" w:hAnsi="Times New Roman" w:eastAsia="宋体" w:cs="宋体"/>
          <w:lang w:eastAsia="zh-CN"/>
        </w:rPr>
        <w:t>获取本指南的副本。请在申请中注明文件编号1724和指南的完整标题。</w:t>
      </w:r>
    </w:p>
    <w:p w14:paraId="35C5FB2B">
      <w:pPr>
        <w:rPr>
          <w:rFonts w:ascii="Times New Roman" w:hAnsi="Times New Roman" w:eastAsia="宋体" w:cs="Times New Roman"/>
          <w:snapToGrid w:val="0"/>
          <w:lang w:eastAsia="zh-CN"/>
        </w:rPr>
      </w:pPr>
      <w:r>
        <w:rPr>
          <w:rFonts w:ascii="Times New Roman" w:hAnsi="Times New Roman" w:eastAsia="宋体" w:cs="宋体"/>
          <w:lang w:eastAsia="zh-CN"/>
        </w:rPr>
        <w:br w:type="page"/>
      </w:r>
    </w:p>
    <w:p w14:paraId="07417764">
      <w:pPr>
        <w:pStyle w:val="21"/>
        <w:adjustRightInd w:val="0"/>
        <w:snapToGrid w:val="0"/>
        <w:spacing w:before="120" w:beforeLines="50" w:after="0" w:line="300" w:lineRule="auto"/>
        <w:jc w:val="center"/>
        <w:rPr>
          <w:rFonts w:eastAsia="宋体"/>
          <w:snapToGrid w:val="0"/>
          <w:lang w:eastAsia="zh-CN"/>
        </w:rPr>
      </w:pPr>
      <w:r>
        <w:rPr>
          <w:rFonts w:eastAsia="宋体" w:cs="宋体"/>
          <w:b/>
          <w:sz w:val="32"/>
          <w:lang w:eastAsia="zh-CN"/>
        </w:rPr>
        <w:t>目录</w:t>
      </w:r>
      <w:bookmarkStart w:id="0" w:name="bookmark0"/>
      <w:bookmarkEnd w:id="0"/>
    </w:p>
    <w:p w14:paraId="758DF7D7">
      <w:pPr>
        <w:pStyle w:val="9"/>
        <w:rPr>
          <w:rFonts w:ascii="Times New Roman" w:hAnsi="Times New Roman" w:eastAsia="宋体" w:cs="Times New Roman"/>
          <w:color w:val="auto"/>
          <w:kern w:val="2"/>
          <w:sz w:val="21"/>
          <w:szCs w:val="22"/>
          <w:lang w:eastAsia="zh-CN" w:bidi="ar-SA"/>
        </w:rPr>
      </w:pPr>
      <w:r>
        <w:rPr>
          <w:rFonts w:ascii="Times New Roman" w:hAnsi="Times New Roman" w:eastAsia="宋体" w:cs="Times New Roman"/>
          <w:snapToGrid w:val="0"/>
          <w:lang w:eastAsia="zh-CN"/>
        </w:rPr>
        <w:fldChar w:fldCharType="begin"/>
      </w:r>
      <w:r>
        <w:rPr>
          <w:rFonts w:ascii="Times New Roman" w:hAnsi="Times New Roman" w:eastAsia="宋体" w:cs="Times New Roman"/>
          <w:snapToGrid w:val="0"/>
          <w:lang w:eastAsia="zh-CN"/>
        </w:rPr>
        <w:instrText xml:space="preserve"> TOC \h \z \t "样式1,1,样式2,2,样式3,3" </w:instrText>
      </w:r>
      <w:r>
        <w:rPr>
          <w:rFonts w:ascii="Times New Roman" w:hAnsi="Times New Roman" w:eastAsia="宋体" w:cs="Times New Roman"/>
          <w:snapToGrid w:val="0"/>
          <w:lang w:eastAsia="zh-CN"/>
        </w:rPr>
        <w:fldChar w:fldCharType="separate"/>
      </w:r>
      <w:r>
        <w:fldChar w:fldCharType="begin"/>
      </w:r>
      <w:r>
        <w:instrText xml:space="preserve"> HYPERLINK \l "_Toc91869235" </w:instrText>
      </w:r>
      <w:r>
        <w:fldChar w:fldCharType="separate"/>
      </w:r>
      <w:r>
        <w:rPr>
          <w:rStyle w:val="14"/>
          <w:rFonts w:ascii="Times New Roman" w:hAnsi="Times New Roman" w:eastAsia="宋体" w:cs="Times New Roman"/>
          <w:lang w:eastAsia="zh-CN"/>
        </w:rPr>
        <w:t>I.</w:t>
      </w:r>
      <w:r>
        <w:rPr>
          <w:rFonts w:ascii="Times New Roman" w:hAnsi="Times New Roman" w:eastAsia="宋体" w:cs="Times New Roman"/>
          <w:color w:val="auto"/>
          <w:kern w:val="2"/>
          <w:sz w:val="21"/>
          <w:szCs w:val="22"/>
          <w:lang w:eastAsia="zh-CN" w:bidi="ar-SA"/>
        </w:rPr>
        <w:tab/>
      </w:r>
      <w:r>
        <w:rPr>
          <w:rStyle w:val="14"/>
          <w:rFonts w:ascii="Times New Roman" w:hAnsi="Times New Roman" w:eastAsia="宋体" w:cs="Times New Roman"/>
          <w:lang w:eastAsia="zh-CN"/>
        </w:rPr>
        <w:t>引言</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_Toc91869235 \h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r>
        <w:rPr>
          <w:rFonts w:ascii="Times New Roman" w:hAnsi="Times New Roman" w:eastAsia="宋体" w:cs="Times New Roman"/>
        </w:rPr>
        <w:fldChar w:fldCharType="end"/>
      </w:r>
    </w:p>
    <w:p w14:paraId="6269DC01">
      <w:pPr>
        <w:pStyle w:val="9"/>
        <w:rPr>
          <w:rFonts w:ascii="Times New Roman" w:hAnsi="Times New Roman" w:eastAsia="宋体" w:cs="Times New Roman"/>
          <w:color w:val="auto"/>
          <w:kern w:val="2"/>
          <w:sz w:val="21"/>
          <w:szCs w:val="22"/>
          <w:lang w:eastAsia="zh-CN" w:bidi="ar-SA"/>
        </w:rPr>
      </w:pPr>
      <w:r>
        <w:fldChar w:fldCharType="begin"/>
      </w:r>
      <w:r>
        <w:instrText xml:space="preserve"> HYPERLINK \l "_Toc91869236" </w:instrText>
      </w:r>
      <w:r>
        <w:fldChar w:fldCharType="separate"/>
      </w:r>
      <w:r>
        <w:rPr>
          <w:rStyle w:val="14"/>
          <w:rFonts w:ascii="Times New Roman" w:hAnsi="Times New Roman" w:eastAsia="宋体" w:cs="Times New Roman"/>
          <w:lang w:eastAsia="zh-CN"/>
        </w:rPr>
        <w:t>II.</w:t>
      </w:r>
      <w:r>
        <w:rPr>
          <w:rFonts w:ascii="Times New Roman" w:hAnsi="Times New Roman" w:eastAsia="宋体" w:cs="Times New Roman"/>
          <w:color w:val="auto"/>
          <w:kern w:val="2"/>
          <w:sz w:val="21"/>
          <w:szCs w:val="22"/>
          <w:lang w:eastAsia="zh-CN" w:bidi="ar-SA"/>
        </w:rPr>
        <w:tab/>
      </w:r>
      <w:r>
        <w:rPr>
          <w:rStyle w:val="14"/>
          <w:rFonts w:ascii="Times New Roman" w:hAnsi="Times New Roman" w:eastAsia="宋体" w:cs="Times New Roman"/>
          <w:lang w:eastAsia="zh-CN"/>
        </w:rPr>
        <w:t>范围</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_Toc91869236 \h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r>
        <w:rPr>
          <w:rFonts w:ascii="Times New Roman" w:hAnsi="Times New Roman" w:eastAsia="宋体" w:cs="Times New Roman"/>
        </w:rPr>
        <w:fldChar w:fldCharType="end"/>
      </w:r>
    </w:p>
    <w:p w14:paraId="1229F798">
      <w:pPr>
        <w:pStyle w:val="9"/>
        <w:rPr>
          <w:rFonts w:ascii="Times New Roman" w:hAnsi="Times New Roman" w:eastAsia="宋体" w:cs="Times New Roman"/>
          <w:color w:val="auto"/>
          <w:kern w:val="2"/>
          <w:sz w:val="21"/>
          <w:szCs w:val="22"/>
          <w:lang w:eastAsia="zh-CN" w:bidi="ar-SA"/>
        </w:rPr>
      </w:pPr>
      <w:r>
        <w:fldChar w:fldCharType="begin"/>
      </w:r>
      <w:r>
        <w:instrText xml:space="preserve"> HYPERLINK \l "_Toc91869237" </w:instrText>
      </w:r>
      <w:r>
        <w:fldChar w:fldCharType="separate"/>
      </w:r>
      <w:r>
        <w:rPr>
          <w:rStyle w:val="14"/>
          <w:rFonts w:ascii="Times New Roman" w:hAnsi="Times New Roman" w:eastAsia="宋体" w:cs="Times New Roman"/>
          <w:lang w:eastAsia="zh-CN"/>
        </w:rPr>
        <w:t>III.</w:t>
      </w:r>
      <w:r>
        <w:rPr>
          <w:rFonts w:ascii="Times New Roman" w:hAnsi="Times New Roman" w:eastAsia="宋体" w:cs="Times New Roman"/>
          <w:color w:val="auto"/>
          <w:kern w:val="2"/>
          <w:sz w:val="21"/>
          <w:szCs w:val="22"/>
          <w:lang w:eastAsia="zh-CN" w:bidi="ar-SA"/>
        </w:rPr>
        <w:tab/>
      </w:r>
      <w:r>
        <w:rPr>
          <w:rStyle w:val="14"/>
          <w:rFonts w:ascii="Times New Roman" w:hAnsi="Times New Roman" w:eastAsia="宋体" w:cs="Times New Roman"/>
          <w:lang w:eastAsia="zh-CN"/>
        </w:rPr>
        <w:t>非临床试验建议</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_Toc91869237 \h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r>
        <w:rPr>
          <w:rFonts w:ascii="Times New Roman" w:hAnsi="Times New Roman" w:eastAsia="宋体" w:cs="Times New Roman"/>
        </w:rPr>
        <w:fldChar w:fldCharType="end"/>
      </w:r>
    </w:p>
    <w:p w14:paraId="6F0C44E7">
      <w:pPr>
        <w:pStyle w:val="10"/>
        <w:rPr>
          <w:rFonts w:ascii="Times New Roman" w:hAnsi="Times New Roman" w:eastAsia="宋体" w:cs="Times New Roman"/>
          <w:color w:val="auto"/>
          <w:kern w:val="2"/>
          <w:sz w:val="21"/>
          <w:szCs w:val="22"/>
          <w:lang w:eastAsia="zh-CN" w:bidi="ar-SA"/>
        </w:rPr>
      </w:pPr>
      <w:r>
        <w:fldChar w:fldCharType="begin"/>
      </w:r>
      <w:r>
        <w:instrText xml:space="preserve"> HYPERLINK \l "_Toc91869238" </w:instrText>
      </w:r>
      <w:r>
        <w:fldChar w:fldCharType="separate"/>
      </w:r>
      <w:r>
        <w:rPr>
          <w:rStyle w:val="14"/>
          <w:rFonts w:ascii="Times New Roman" w:hAnsi="Times New Roman" w:eastAsia="宋体" w:cs="Times New Roman"/>
          <w:lang w:eastAsia="zh-CN"/>
        </w:rPr>
        <w:t>K.</w:t>
      </w:r>
      <w:r>
        <w:rPr>
          <w:rFonts w:ascii="Times New Roman" w:hAnsi="Times New Roman" w:eastAsia="宋体" w:cs="Times New Roman"/>
          <w:color w:val="auto"/>
          <w:kern w:val="2"/>
          <w:sz w:val="21"/>
          <w:szCs w:val="22"/>
          <w:lang w:eastAsia="zh-CN" w:bidi="ar-SA"/>
        </w:rPr>
        <w:tab/>
      </w:r>
      <w:r>
        <w:rPr>
          <w:rStyle w:val="14"/>
          <w:rFonts w:ascii="Times New Roman" w:hAnsi="Times New Roman" w:eastAsia="宋体" w:cs="Times New Roman"/>
          <w:lang w:eastAsia="zh-CN"/>
        </w:rPr>
        <w:t>动物研究</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_Toc91869238 \h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r>
        <w:rPr>
          <w:rFonts w:ascii="Times New Roman" w:hAnsi="Times New Roman" w:eastAsia="宋体" w:cs="Times New Roman"/>
        </w:rPr>
        <w:fldChar w:fldCharType="end"/>
      </w:r>
    </w:p>
    <w:p w14:paraId="44BC4515">
      <w:pPr>
        <w:pStyle w:val="5"/>
        <w:tabs>
          <w:tab w:val="left" w:pos="1680"/>
          <w:tab w:val="right" w:leader="dot" w:pos="9061"/>
        </w:tabs>
        <w:adjustRightInd w:val="0"/>
        <w:snapToGrid w:val="0"/>
        <w:spacing w:before="120" w:beforeLines="50" w:line="300" w:lineRule="auto"/>
        <w:ind w:left="960"/>
        <w:rPr>
          <w:rFonts w:ascii="Times New Roman" w:hAnsi="Times New Roman" w:eastAsia="宋体" w:cs="Times New Roman"/>
          <w:color w:val="auto"/>
          <w:kern w:val="2"/>
          <w:sz w:val="21"/>
          <w:szCs w:val="22"/>
          <w:lang w:eastAsia="zh-CN" w:bidi="ar-SA"/>
        </w:rPr>
      </w:pPr>
      <w:r>
        <w:fldChar w:fldCharType="begin"/>
      </w:r>
      <w:r>
        <w:instrText xml:space="preserve"> HYPERLINK \l "_Toc91869239" </w:instrText>
      </w:r>
      <w:r>
        <w:fldChar w:fldCharType="separate"/>
      </w:r>
      <w:r>
        <w:rPr>
          <w:rStyle w:val="14"/>
          <w:rFonts w:ascii="Times New Roman" w:hAnsi="Times New Roman" w:eastAsia="宋体" w:cs="Times New Roman"/>
          <w:lang w:eastAsia="zh-CN"/>
        </w:rPr>
        <w:t>（1）温热疗法</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_Toc91869239 \h </w:instrText>
      </w:r>
      <w:r>
        <w:rPr>
          <w:rFonts w:ascii="Times New Roman" w:hAnsi="Times New Roman" w:eastAsia="宋体" w:cs="Times New Roman"/>
        </w:rPr>
        <w:fldChar w:fldCharType="separate"/>
      </w:r>
      <w:r>
        <w:rPr>
          <w:rFonts w:ascii="Times New Roman" w:hAnsi="Times New Roman" w:eastAsia="宋体" w:cs="Times New Roman"/>
        </w:rPr>
        <w:t>4</w:t>
      </w:r>
      <w:r>
        <w:rPr>
          <w:rFonts w:ascii="Times New Roman" w:hAnsi="Times New Roman" w:eastAsia="宋体" w:cs="Times New Roman"/>
        </w:rPr>
        <w:fldChar w:fldCharType="end"/>
      </w:r>
      <w:r>
        <w:rPr>
          <w:rFonts w:ascii="Times New Roman" w:hAnsi="Times New Roman" w:eastAsia="宋体" w:cs="Times New Roman"/>
        </w:rPr>
        <w:fldChar w:fldCharType="end"/>
      </w:r>
    </w:p>
    <w:p w14:paraId="05B31784">
      <w:pPr>
        <w:pStyle w:val="5"/>
        <w:tabs>
          <w:tab w:val="left" w:pos="1776"/>
          <w:tab w:val="right" w:leader="dot" w:pos="9061"/>
        </w:tabs>
        <w:adjustRightInd w:val="0"/>
        <w:snapToGrid w:val="0"/>
        <w:spacing w:before="120" w:beforeLines="50" w:line="300" w:lineRule="auto"/>
        <w:ind w:left="960"/>
        <w:rPr>
          <w:rFonts w:ascii="Times New Roman" w:hAnsi="Times New Roman" w:eastAsia="宋体" w:cs="Times New Roman"/>
          <w:color w:val="auto"/>
          <w:kern w:val="2"/>
          <w:sz w:val="21"/>
          <w:szCs w:val="22"/>
          <w:lang w:eastAsia="zh-CN" w:bidi="ar-SA"/>
        </w:rPr>
      </w:pPr>
      <w:r>
        <w:fldChar w:fldCharType="begin"/>
      </w:r>
      <w:r>
        <w:instrText xml:space="preserve"> HYPERLINK \l "_Toc91869240" </w:instrText>
      </w:r>
      <w:r>
        <w:fldChar w:fldCharType="separate"/>
      </w:r>
      <w:r>
        <w:rPr>
          <w:rStyle w:val="14"/>
          <w:rFonts w:ascii="Times New Roman" w:hAnsi="Times New Roman" w:eastAsia="宋体" w:cs="Times New Roman"/>
          <w:lang w:eastAsia="zh-CN"/>
        </w:rPr>
        <w:t>（2）支架</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_Toc91869240 \h </w:instrText>
      </w:r>
      <w:r>
        <w:rPr>
          <w:rFonts w:ascii="Times New Roman" w:hAnsi="Times New Roman" w:eastAsia="宋体" w:cs="Times New Roman"/>
        </w:rPr>
        <w:fldChar w:fldCharType="separate"/>
      </w:r>
      <w:r>
        <w:rPr>
          <w:rFonts w:ascii="Times New Roman" w:hAnsi="Times New Roman" w:eastAsia="宋体" w:cs="Times New Roman"/>
        </w:rPr>
        <w:t>5</w:t>
      </w:r>
      <w:r>
        <w:rPr>
          <w:rFonts w:ascii="Times New Roman" w:hAnsi="Times New Roman" w:eastAsia="宋体" w:cs="Times New Roman"/>
        </w:rPr>
        <w:fldChar w:fldCharType="end"/>
      </w:r>
      <w:r>
        <w:rPr>
          <w:rFonts w:ascii="Times New Roman" w:hAnsi="Times New Roman" w:eastAsia="宋体" w:cs="Times New Roman"/>
        </w:rPr>
        <w:fldChar w:fldCharType="end"/>
      </w:r>
    </w:p>
    <w:p w14:paraId="4299D11C">
      <w:pPr>
        <w:pStyle w:val="9"/>
        <w:rPr>
          <w:rFonts w:ascii="Times New Roman" w:hAnsi="Times New Roman" w:eastAsia="宋体" w:cs="Times New Roman"/>
          <w:color w:val="auto"/>
          <w:kern w:val="2"/>
          <w:sz w:val="21"/>
          <w:szCs w:val="22"/>
          <w:lang w:eastAsia="zh-CN" w:bidi="ar-SA"/>
        </w:rPr>
      </w:pPr>
      <w:r>
        <w:fldChar w:fldCharType="begin"/>
      </w:r>
      <w:r>
        <w:instrText xml:space="preserve"> HYPERLINK \l "_Toc91869241" </w:instrText>
      </w:r>
      <w:r>
        <w:fldChar w:fldCharType="separate"/>
      </w:r>
      <w:r>
        <w:rPr>
          <w:rStyle w:val="14"/>
          <w:rFonts w:ascii="Times New Roman" w:hAnsi="Times New Roman" w:eastAsia="宋体" w:cs="Times New Roman"/>
          <w:lang w:eastAsia="zh-CN"/>
        </w:rPr>
        <w:t>IV.</w:t>
      </w:r>
      <w:r>
        <w:rPr>
          <w:rFonts w:ascii="Times New Roman" w:hAnsi="Times New Roman" w:eastAsia="宋体" w:cs="Times New Roman"/>
          <w:color w:val="auto"/>
          <w:kern w:val="2"/>
          <w:sz w:val="21"/>
          <w:szCs w:val="22"/>
          <w:lang w:eastAsia="zh-CN" w:bidi="ar-SA"/>
        </w:rPr>
        <w:tab/>
      </w:r>
      <w:r>
        <w:rPr>
          <w:rStyle w:val="14"/>
          <w:rFonts w:ascii="Times New Roman" w:hAnsi="Times New Roman" w:eastAsia="宋体" w:cs="Times New Roman"/>
          <w:lang w:eastAsia="zh-CN"/>
        </w:rPr>
        <w:t>试点研究建议</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_Toc91869241 \h </w:instrText>
      </w:r>
      <w:r>
        <w:rPr>
          <w:rFonts w:ascii="Times New Roman" w:hAnsi="Times New Roman" w:eastAsia="宋体" w:cs="Times New Roman"/>
        </w:rPr>
        <w:fldChar w:fldCharType="separate"/>
      </w:r>
      <w:r>
        <w:rPr>
          <w:rFonts w:ascii="Times New Roman" w:hAnsi="Times New Roman" w:eastAsia="宋体" w:cs="Times New Roman"/>
        </w:rPr>
        <w:t>6</w:t>
      </w:r>
      <w:r>
        <w:rPr>
          <w:rFonts w:ascii="Times New Roman" w:hAnsi="Times New Roman" w:eastAsia="宋体" w:cs="Times New Roman"/>
        </w:rPr>
        <w:fldChar w:fldCharType="end"/>
      </w:r>
      <w:r>
        <w:rPr>
          <w:rFonts w:ascii="Times New Roman" w:hAnsi="Times New Roman" w:eastAsia="宋体" w:cs="Times New Roman"/>
        </w:rPr>
        <w:fldChar w:fldCharType="end"/>
      </w:r>
    </w:p>
    <w:p w14:paraId="21F7F4D1">
      <w:pPr>
        <w:pStyle w:val="9"/>
        <w:rPr>
          <w:rFonts w:ascii="Times New Roman" w:hAnsi="Times New Roman" w:eastAsia="宋体" w:cs="Times New Roman"/>
          <w:color w:val="auto"/>
          <w:kern w:val="2"/>
          <w:sz w:val="21"/>
          <w:szCs w:val="22"/>
          <w:lang w:eastAsia="zh-CN" w:bidi="ar-SA"/>
        </w:rPr>
      </w:pPr>
      <w:r>
        <w:fldChar w:fldCharType="begin"/>
      </w:r>
      <w:r>
        <w:instrText xml:space="preserve"> HYPERLINK \l "_Toc91869242" </w:instrText>
      </w:r>
      <w:r>
        <w:fldChar w:fldCharType="separate"/>
      </w:r>
      <w:r>
        <w:rPr>
          <w:rStyle w:val="14"/>
          <w:rFonts w:ascii="Times New Roman" w:hAnsi="Times New Roman" w:eastAsia="宋体" w:cs="Times New Roman"/>
          <w:lang w:eastAsia="zh-CN"/>
        </w:rPr>
        <w:t>V.</w:t>
      </w:r>
      <w:r>
        <w:rPr>
          <w:rFonts w:ascii="Times New Roman" w:hAnsi="Times New Roman" w:eastAsia="宋体" w:cs="Times New Roman"/>
          <w:color w:val="auto"/>
          <w:kern w:val="2"/>
          <w:sz w:val="21"/>
          <w:szCs w:val="22"/>
          <w:lang w:eastAsia="zh-CN" w:bidi="ar-SA"/>
        </w:rPr>
        <w:tab/>
      </w:r>
      <w:r>
        <w:rPr>
          <w:rStyle w:val="14"/>
          <w:rFonts w:ascii="Times New Roman" w:hAnsi="Times New Roman" w:eastAsia="宋体" w:cs="Times New Roman"/>
          <w:lang w:eastAsia="zh-CN"/>
        </w:rPr>
        <w:t>关键性研究建议</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_Toc91869242 \h </w:instrText>
      </w:r>
      <w:r>
        <w:rPr>
          <w:rFonts w:ascii="Times New Roman" w:hAnsi="Times New Roman" w:eastAsia="宋体" w:cs="Times New Roman"/>
        </w:rPr>
        <w:fldChar w:fldCharType="separate"/>
      </w:r>
      <w:r>
        <w:rPr>
          <w:rFonts w:ascii="Times New Roman" w:hAnsi="Times New Roman" w:eastAsia="宋体" w:cs="Times New Roman"/>
        </w:rPr>
        <w:t>6</w:t>
      </w:r>
      <w:r>
        <w:rPr>
          <w:rFonts w:ascii="Times New Roman" w:hAnsi="Times New Roman" w:eastAsia="宋体" w:cs="Times New Roman"/>
        </w:rPr>
        <w:fldChar w:fldCharType="end"/>
      </w:r>
      <w:r>
        <w:rPr>
          <w:rFonts w:ascii="Times New Roman" w:hAnsi="Times New Roman" w:eastAsia="宋体" w:cs="Times New Roman"/>
        </w:rPr>
        <w:fldChar w:fldCharType="end"/>
      </w:r>
    </w:p>
    <w:p w14:paraId="4077C101">
      <w:pPr>
        <w:pStyle w:val="10"/>
        <w:rPr>
          <w:rFonts w:ascii="Times New Roman" w:hAnsi="Times New Roman" w:eastAsia="宋体" w:cs="Times New Roman"/>
          <w:color w:val="auto"/>
          <w:kern w:val="2"/>
          <w:sz w:val="21"/>
          <w:szCs w:val="22"/>
          <w:lang w:eastAsia="zh-CN" w:bidi="ar-SA"/>
        </w:rPr>
      </w:pPr>
      <w:r>
        <w:fldChar w:fldCharType="begin"/>
      </w:r>
      <w:r>
        <w:instrText xml:space="preserve"> HYPERLINK \l "_Toc91869243" </w:instrText>
      </w:r>
      <w:r>
        <w:fldChar w:fldCharType="separate"/>
      </w:r>
      <w:r>
        <w:rPr>
          <w:rStyle w:val="14"/>
          <w:rFonts w:ascii="Times New Roman" w:hAnsi="Times New Roman" w:eastAsia="宋体" w:cs="Times New Roman"/>
          <w:lang w:eastAsia="zh-CN"/>
        </w:rPr>
        <w:t>C.</w:t>
      </w:r>
      <w:r>
        <w:rPr>
          <w:rFonts w:ascii="Times New Roman" w:hAnsi="Times New Roman" w:eastAsia="宋体" w:cs="Times New Roman"/>
          <w:color w:val="auto"/>
          <w:kern w:val="2"/>
          <w:sz w:val="21"/>
          <w:szCs w:val="22"/>
          <w:lang w:eastAsia="zh-CN" w:bidi="ar-SA"/>
        </w:rPr>
        <w:tab/>
      </w:r>
      <w:r>
        <w:rPr>
          <w:rStyle w:val="14"/>
          <w:rFonts w:ascii="Times New Roman" w:hAnsi="Times New Roman" w:eastAsia="宋体" w:cs="Times New Roman"/>
          <w:lang w:eastAsia="zh-CN"/>
        </w:rPr>
        <w:t>随机分组和对照组</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_Toc91869243 \h </w:instrText>
      </w:r>
      <w:r>
        <w:rPr>
          <w:rFonts w:ascii="Times New Roman" w:hAnsi="Times New Roman" w:eastAsia="宋体" w:cs="Times New Roman"/>
        </w:rPr>
        <w:fldChar w:fldCharType="separate"/>
      </w:r>
      <w:r>
        <w:rPr>
          <w:rFonts w:ascii="Times New Roman" w:hAnsi="Times New Roman" w:eastAsia="宋体" w:cs="Times New Roman"/>
        </w:rPr>
        <w:t>6</w:t>
      </w:r>
      <w:r>
        <w:rPr>
          <w:rFonts w:ascii="Times New Roman" w:hAnsi="Times New Roman" w:eastAsia="宋体" w:cs="Times New Roman"/>
        </w:rPr>
        <w:fldChar w:fldCharType="end"/>
      </w:r>
      <w:r>
        <w:rPr>
          <w:rFonts w:ascii="Times New Roman" w:hAnsi="Times New Roman" w:eastAsia="宋体" w:cs="Times New Roman"/>
        </w:rPr>
        <w:fldChar w:fldCharType="end"/>
      </w:r>
    </w:p>
    <w:p w14:paraId="4D341D5A">
      <w:pPr>
        <w:pStyle w:val="10"/>
        <w:rPr>
          <w:rFonts w:ascii="Times New Roman" w:hAnsi="Times New Roman" w:eastAsia="宋体" w:cs="Times New Roman"/>
          <w:color w:val="auto"/>
          <w:kern w:val="2"/>
          <w:sz w:val="21"/>
          <w:szCs w:val="22"/>
          <w:lang w:eastAsia="zh-CN" w:bidi="ar-SA"/>
        </w:rPr>
      </w:pPr>
      <w:r>
        <w:fldChar w:fldCharType="begin"/>
      </w:r>
      <w:r>
        <w:instrText xml:space="preserve"> HYPERLINK \l "_Toc91869244" </w:instrText>
      </w:r>
      <w:r>
        <w:fldChar w:fldCharType="separate"/>
      </w:r>
      <w:r>
        <w:rPr>
          <w:rStyle w:val="14"/>
          <w:rFonts w:ascii="Times New Roman" w:hAnsi="Times New Roman" w:eastAsia="宋体" w:cs="Times New Roman"/>
          <w:lang w:eastAsia="zh-CN"/>
        </w:rPr>
        <w:t>E.</w:t>
      </w:r>
      <w:r>
        <w:rPr>
          <w:rFonts w:ascii="Times New Roman" w:hAnsi="Times New Roman" w:eastAsia="宋体" w:cs="Times New Roman"/>
          <w:color w:val="auto"/>
          <w:kern w:val="2"/>
          <w:sz w:val="21"/>
          <w:szCs w:val="22"/>
          <w:lang w:eastAsia="zh-CN" w:bidi="ar-SA"/>
        </w:rPr>
        <w:tab/>
      </w:r>
      <w:r>
        <w:rPr>
          <w:rStyle w:val="14"/>
          <w:rFonts w:ascii="Times New Roman" w:hAnsi="Times New Roman" w:eastAsia="宋体" w:cs="Times New Roman"/>
          <w:lang w:eastAsia="zh-CN"/>
        </w:rPr>
        <w:t>研究终点</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_Toc91869244 \h </w:instrText>
      </w:r>
      <w:r>
        <w:rPr>
          <w:rFonts w:ascii="Times New Roman" w:hAnsi="Times New Roman" w:eastAsia="宋体" w:cs="Times New Roman"/>
        </w:rPr>
        <w:fldChar w:fldCharType="separate"/>
      </w:r>
      <w:r>
        <w:rPr>
          <w:rFonts w:ascii="Times New Roman" w:hAnsi="Times New Roman" w:eastAsia="宋体" w:cs="Times New Roman"/>
        </w:rPr>
        <w:t>9</w:t>
      </w:r>
      <w:r>
        <w:rPr>
          <w:rFonts w:ascii="Times New Roman" w:hAnsi="Times New Roman" w:eastAsia="宋体" w:cs="Times New Roman"/>
        </w:rPr>
        <w:fldChar w:fldCharType="end"/>
      </w:r>
      <w:r>
        <w:rPr>
          <w:rFonts w:ascii="Times New Roman" w:hAnsi="Times New Roman" w:eastAsia="宋体" w:cs="Times New Roman"/>
        </w:rPr>
        <w:fldChar w:fldCharType="end"/>
      </w:r>
    </w:p>
    <w:p w14:paraId="6356E54D">
      <w:pPr>
        <w:pStyle w:val="5"/>
        <w:tabs>
          <w:tab w:val="right" w:leader="dot" w:pos="9061"/>
        </w:tabs>
        <w:adjustRightInd w:val="0"/>
        <w:snapToGrid w:val="0"/>
        <w:spacing w:before="120" w:beforeLines="50" w:line="300" w:lineRule="auto"/>
        <w:ind w:left="960"/>
        <w:rPr>
          <w:rFonts w:ascii="Times New Roman" w:hAnsi="Times New Roman" w:eastAsia="宋体" w:cs="Times New Roman"/>
          <w:color w:val="auto"/>
          <w:kern w:val="2"/>
          <w:sz w:val="21"/>
          <w:szCs w:val="22"/>
          <w:lang w:eastAsia="zh-CN" w:bidi="ar-SA"/>
        </w:rPr>
      </w:pPr>
      <w:r>
        <w:fldChar w:fldCharType="begin"/>
      </w:r>
      <w:r>
        <w:instrText xml:space="preserve"> HYPERLINK \l "_Toc91869245" </w:instrText>
      </w:r>
      <w:r>
        <w:fldChar w:fldCharType="separate"/>
      </w:r>
      <w:r>
        <w:rPr>
          <w:rStyle w:val="14"/>
          <w:rFonts w:ascii="Times New Roman" w:hAnsi="Times New Roman" w:eastAsia="宋体" w:cs="Times New Roman"/>
          <w:lang w:eastAsia="zh-CN"/>
        </w:rPr>
        <w:t>（2）主要有效性终点</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_Toc91869245 \h </w:instrText>
      </w:r>
      <w:r>
        <w:rPr>
          <w:rFonts w:ascii="Times New Roman" w:hAnsi="Times New Roman" w:eastAsia="宋体" w:cs="Times New Roman"/>
        </w:rPr>
        <w:fldChar w:fldCharType="separate"/>
      </w:r>
      <w:r>
        <w:rPr>
          <w:rFonts w:ascii="Times New Roman" w:hAnsi="Times New Roman" w:eastAsia="宋体" w:cs="Times New Roman"/>
        </w:rPr>
        <w:t>9</w:t>
      </w:r>
      <w:r>
        <w:rPr>
          <w:rFonts w:ascii="Times New Roman" w:hAnsi="Times New Roman" w:eastAsia="宋体" w:cs="Times New Roman"/>
        </w:rPr>
        <w:fldChar w:fldCharType="end"/>
      </w:r>
      <w:r>
        <w:rPr>
          <w:rFonts w:ascii="Times New Roman" w:hAnsi="Times New Roman" w:eastAsia="宋体" w:cs="Times New Roman"/>
        </w:rPr>
        <w:fldChar w:fldCharType="end"/>
      </w:r>
    </w:p>
    <w:p w14:paraId="17A7B27C">
      <w:pPr>
        <w:pStyle w:val="5"/>
        <w:tabs>
          <w:tab w:val="right" w:leader="dot" w:pos="9061"/>
        </w:tabs>
        <w:adjustRightInd w:val="0"/>
        <w:snapToGrid w:val="0"/>
        <w:spacing w:before="120" w:beforeLines="50" w:line="300" w:lineRule="auto"/>
        <w:ind w:left="960"/>
        <w:rPr>
          <w:rFonts w:ascii="Times New Roman" w:hAnsi="Times New Roman" w:eastAsia="宋体" w:cs="Times New Roman"/>
          <w:color w:val="auto"/>
          <w:kern w:val="2"/>
          <w:sz w:val="21"/>
          <w:szCs w:val="22"/>
          <w:lang w:eastAsia="zh-CN" w:bidi="ar-SA"/>
        </w:rPr>
      </w:pPr>
      <w:r>
        <w:fldChar w:fldCharType="begin"/>
      </w:r>
      <w:r>
        <w:instrText xml:space="preserve"> HYPERLINK \l "_Toc91869246" </w:instrText>
      </w:r>
      <w:r>
        <w:fldChar w:fldCharType="separate"/>
      </w:r>
      <w:r>
        <w:rPr>
          <w:rStyle w:val="14"/>
          <w:rFonts w:ascii="Times New Roman" w:hAnsi="Times New Roman" w:eastAsia="宋体" w:cs="Times New Roman"/>
          <w:lang w:eastAsia="zh-CN"/>
        </w:rPr>
        <w:t>（3）主要安全性终点</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_Toc91869246 \h </w:instrText>
      </w:r>
      <w:r>
        <w:rPr>
          <w:rFonts w:ascii="Times New Roman" w:hAnsi="Times New Roman" w:eastAsia="宋体" w:cs="Times New Roman"/>
        </w:rPr>
        <w:fldChar w:fldCharType="separate"/>
      </w:r>
      <w:r>
        <w:rPr>
          <w:rFonts w:ascii="Times New Roman" w:hAnsi="Times New Roman" w:eastAsia="宋体" w:cs="Times New Roman"/>
        </w:rPr>
        <w:t>11</w:t>
      </w:r>
      <w:r>
        <w:rPr>
          <w:rFonts w:ascii="Times New Roman" w:hAnsi="Times New Roman" w:eastAsia="宋体" w:cs="Times New Roman"/>
        </w:rPr>
        <w:fldChar w:fldCharType="end"/>
      </w:r>
      <w:r>
        <w:rPr>
          <w:rFonts w:ascii="Times New Roman" w:hAnsi="Times New Roman" w:eastAsia="宋体" w:cs="Times New Roman"/>
        </w:rPr>
        <w:fldChar w:fldCharType="end"/>
      </w:r>
    </w:p>
    <w:p w14:paraId="17770E06">
      <w:pPr>
        <w:pStyle w:val="5"/>
        <w:tabs>
          <w:tab w:val="right" w:leader="dot" w:pos="9061"/>
        </w:tabs>
        <w:adjustRightInd w:val="0"/>
        <w:snapToGrid w:val="0"/>
        <w:spacing w:before="120" w:beforeLines="50" w:line="300" w:lineRule="auto"/>
        <w:ind w:left="960"/>
        <w:rPr>
          <w:rFonts w:ascii="Times New Roman" w:hAnsi="Times New Roman" w:eastAsia="宋体" w:cs="Times New Roman"/>
          <w:color w:val="auto"/>
          <w:kern w:val="2"/>
          <w:sz w:val="21"/>
          <w:szCs w:val="22"/>
          <w:lang w:eastAsia="zh-CN" w:bidi="ar-SA"/>
        </w:rPr>
      </w:pPr>
      <w:r>
        <w:fldChar w:fldCharType="begin"/>
      </w:r>
      <w:r>
        <w:instrText xml:space="preserve"> HYPERLINK \l "_Toc91869247" </w:instrText>
      </w:r>
      <w:r>
        <w:fldChar w:fldCharType="separate"/>
      </w:r>
      <w:r>
        <w:rPr>
          <w:rStyle w:val="14"/>
          <w:rFonts w:ascii="Times New Roman" w:hAnsi="Times New Roman" w:eastAsia="宋体" w:cs="Times New Roman"/>
          <w:lang w:eastAsia="zh-CN"/>
        </w:rPr>
        <w:t>（4）次要终点</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_Toc91869247 \h </w:instrText>
      </w:r>
      <w:r>
        <w:rPr>
          <w:rFonts w:ascii="Times New Roman" w:hAnsi="Times New Roman" w:eastAsia="宋体" w:cs="Times New Roman"/>
        </w:rPr>
        <w:fldChar w:fldCharType="separate"/>
      </w:r>
      <w:r>
        <w:rPr>
          <w:rFonts w:ascii="Times New Roman" w:hAnsi="Times New Roman" w:eastAsia="宋体" w:cs="Times New Roman"/>
        </w:rPr>
        <w:t>12</w:t>
      </w:r>
      <w:r>
        <w:rPr>
          <w:rFonts w:ascii="Times New Roman" w:hAnsi="Times New Roman" w:eastAsia="宋体" w:cs="Times New Roman"/>
        </w:rPr>
        <w:fldChar w:fldCharType="end"/>
      </w:r>
      <w:r>
        <w:rPr>
          <w:rFonts w:ascii="Times New Roman" w:hAnsi="Times New Roman" w:eastAsia="宋体" w:cs="Times New Roman"/>
        </w:rPr>
        <w:fldChar w:fldCharType="end"/>
      </w:r>
    </w:p>
    <w:p w14:paraId="4D61C0E3">
      <w:pPr>
        <w:pStyle w:val="10"/>
        <w:rPr>
          <w:rFonts w:ascii="Times New Roman" w:hAnsi="Times New Roman" w:eastAsia="宋体" w:cs="Times New Roman"/>
          <w:color w:val="auto"/>
          <w:kern w:val="2"/>
          <w:sz w:val="21"/>
          <w:szCs w:val="22"/>
          <w:lang w:eastAsia="zh-CN" w:bidi="ar-SA"/>
        </w:rPr>
      </w:pPr>
      <w:r>
        <w:fldChar w:fldCharType="begin"/>
      </w:r>
      <w:r>
        <w:instrText xml:space="preserve"> HYPERLINK \l "_Toc91869248" </w:instrText>
      </w:r>
      <w:r>
        <w:fldChar w:fldCharType="separate"/>
      </w:r>
      <w:r>
        <w:rPr>
          <w:rStyle w:val="14"/>
          <w:rFonts w:ascii="Times New Roman" w:hAnsi="Times New Roman" w:eastAsia="宋体" w:cs="Times New Roman"/>
          <w:lang w:eastAsia="zh-CN"/>
        </w:rPr>
        <w:t>G.</w:t>
      </w:r>
      <w:r>
        <w:rPr>
          <w:rFonts w:ascii="Times New Roman" w:hAnsi="Times New Roman" w:eastAsia="宋体" w:cs="Times New Roman"/>
          <w:color w:val="auto"/>
          <w:kern w:val="2"/>
          <w:sz w:val="21"/>
          <w:szCs w:val="22"/>
          <w:lang w:eastAsia="zh-CN" w:bidi="ar-SA"/>
        </w:rPr>
        <w:tab/>
      </w:r>
      <w:r>
        <w:rPr>
          <w:rStyle w:val="14"/>
          <w:rFonts w:ascii="Times New Roman" w:hAnsi="Times New Roman" w:eastAsia="宋体" w:cs="Times New Roman"/>
          <w:lang w:eastAsia="zh-CN"/>
        </w:rPr>
        <w:t>统计学假设</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_Toc91869248 \h </w:instrText>
      </w:r>
      <w:r>
        <w:rPr>
          <w:rFonts w:ascii="Times New Roman" w:hAnsi="Times New Roman" w:eastAsia="宋体" w:cs="Times New Roman"/>
        </w:rPr>
        <w:fldChar w:fldCharType="separate"/>
      </w:r>
      <w:r>
        <w:rPr>
          <w:rFonts w:ascii="Times New Roman" w:hAnsi="Times New Roman" w:eastAsia="宋体" w:cs="Times New Roman"/>
        </w:rPr>
        <w:t>13</w:t>
      </w:r>
      <w:r>
        <w:rPr>
          <w:rFonts w:ascii="Times New Roman" w:hAnsi="Times New Roman" w:eastAsia="宋体" w:cs="Times New Roman"/>
        </w:rPr>
        <w:fldChar w:fldCharType="end"/>
      </w:r>
      <w:r>
        <w:rPr>
          <w:rFonts w:ascii="Times New Roman" w:hAnsi="Times New Roman" w:eastAsia="宋体" w:cs="Times New Roman"/>
        </w:rPr>
        <w:fldChar w:fldCharType="end"/>
      </w:r>
    </w:p>
    <w:p w14:paraId="3A31B3F5">
      <w:pPr>
        <w:pStyle w:val="10"/>
        <w:rPr>
          <w:rFonts w:ascii="Times New Roman" w:hAnsi="Times New Roman" w:eastAsia="宋体" w:cs="Times New Roman"/>
          <w:color w:val="auto"/>
          <w:kern w:val="2"/>
          <w:sz w:val="21"/>
          <w:szCs w:val="22"/>
          <w:lang w:eastAsia="zh-CN" w:bidi="ar-SA"/>
        </w:rPr>
      </w:pPr>
      <w:r>
        <w:fldChar w:fldCharType="begin"/>
      </w:r>
      <w:r>
        <w:instrText xml:space="preserve"> HYPERLINK \l "_Toc91869249" </w:instrText>
      </w:r>
      <w:r>
        <w:fldChar w:fldCharType="separate"/>
      </w:r>
      <w:r>
        <w:rPr>
          <w:rStyle w:val="14"/>
          <w:rFonts w:ascii="Times New Roman" w:hAnsi="Times New Roman" w:eastAsia="宋体" w:cs="Times New Roman"/>
          <w:lang w:eastAsia="zh-CN"/>
        </w:rPr>
        <w:t>I.</w:t>
      </w:r>
      <w:r>
        <w:rPr>
          <w:rFonts w:ascii="Times New Roman" w:hAnsi="Times New Roman" w:eastAsia="宋体" w:cs="Times New Roman"/>
          <w:color w:val="auto"/>
          <w:kern w:val="2"/>
          <w:sz w:val="21"/>
          <w:szCs w:val="22"/>
          <w:lang w:eastAsia="zh-CN" w:bidi="ar-SA"/>
        </w:rPr>
        <w:tab/>
      </w:r>
      <w:r>
        <w:rPr>
          <w:rStyle w:val="14"/>
          <w:rFonts w:ascii="Times New Roman" w:hAnsi="Times New Roman" w:eastAsia="宋体" w:cs="Times New Roman"/>
          <w:lang w:eastAsia="zh-CN"/>
        </w:rPr>
        <w:t>患者选择标准</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_Toc91869249 \h </w:instrText>
      </w:r>
      <w:r>
        <w:rPr>
          <w:rFonts w:ascii="Times New Roman" w:hAnsi="Times New Roman" w:eastAsia="宋体" w:cs="Times New Roman"/>
        </w:rPr>
        <w:fldChar w:fldCharType="separate"/>
      </w:r>
      <w:r>
        <w:rPr>
          <w:rFonts w:ascii="Times New Roman" w:hAnsi="Times New Roman" w:eastAsia="宋体" w:cs="Times New Roman"/>
        </w:rPr>
        <w:t>14</w:t>
      </w:r>
      <w:r>
        <w:rPr>
          <w:rFonts w:ascii="Times New Roman" w:hAnsi="Times New Roman" w:eastAsia="宋体" w:cs="Times New Roman"/>
        </w:rPr>
        <w:fldChar w:fldCharType="end"/>
      </w:r>
      <w:r>
        <w:rPr>
          <w:rFonts w:ascii="Times New Roman" w:hAnsi="Times New Roman" w:eastAsia="宋体" w:cs="Times New Roman"/>
        </w:rPr>
        <w:fldChar w:fldCharType="end"/>
      </w:r>
    </w:p>
    <w:p w14:paraId="1FD1A2A3">
      <w:pPr>
        <w:pStyle w:val="10"/>
        <w:rPr>
          <w:rFonts w:ascii="Times New Roman" w:hAnsi="Times New Roman" w:eastAsia="宋体" w:cs="Times New Roman"/>
          <w:color w:val="auto"/>
          <w:kern w:val="2"/>
          <w:sz w:val="21"/>
          <w:szCs w:val="22"/>
          <w:lang w:eastAsia="zh-CN" w:bidi="ar-SA"/>
        </w:rPr>
      </w:pPr>
      <w:r>
        <w:fldChar w:fldCharType="begin"/>
      </w:r>
      <w:r>
        <w:instrText xml:space="preserve"> HYPERLINK \l "_Toc91869250" </w:instrText>
      </w:r>
      <w:r>
        <w:fldChar w:fldCharType="separate"/>
      </w:r>
      <w:r>
        <w:rPr>
          <w:rStyle w:val="14"/>
          <w:rFonts w:ascii="Times New Roman" w:hAnsi="Times New Roman" w:eastAsia="宋体" w:cs="Times New Roman"/>
          <w:lang w:eastAsia="zh-CN"/>
        </w:rPr>
        <w:t>M.</w:t>
      </w:r>
      <w:r>
        <w:rPr>
          <w:rFonts w:ascii="Times New Roman" w:hAnsi="Times New Roman" w:eastAsia="宋体" w:cs="Times New Roman"/>
          <w:color w:val="auto"/>
          <w:kern w:val="2"/>
          <w:sz w:val="21"/>
          <w:szCs w:val="22"/>
          <w:lang w:eastAsia="zh-CN" w:bidi="ar-SA"/>
        </w:rPr>
        <w:tab/>
      </w:r>
      <w:r>
        <w:rPr>
          <w:rStyle w:val="14"/>
          <w:rFonts w:ascii="Times New Roman" w:hAnsi="Times New Roman" w:eastAsia="宋体" w:cs="Times New Roman"/>
          <w:lang w:eastAsia="zh-CN"/>
        </w:rPr>
        <w:t>治疗后评价</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_Toc91869250 \h </w:instrText>
      </w:r>
      <w:r>
        <w:rPr>
          <w:rFonts w:ascii="Times New Roman" w:hAnsi="Times New Roman" w:eastAsia="宋体" w:cs="Times New Roman"/>
        </w:rPr>
        <w:fldChar w:fldCharType="separate"/>
      </w:r>
      <w:r>
        <w:rPr>
          <w:rFonts w:ascii="Times New Roman" w:hAnsi="Times New Roman" w:eastAsia="宋体" w:cs="Times New Roman"/>
        </w:rPr>
        <w:t>17</w:t>
      </w:r>
      <w:r>
        <w:rPr>
          <w:rFonts w:ascii="Times New Roman" w:hAnsi="Times New Roman" w:eastAsia="宋体" w:cs="Times New Roman"/>
        </w:rPr>
        <w:fldChar w:fldCharType="end"/>
      </w:r>
      <w:r>
        <w:rPr>
          <w:rFonts w:ascii="Times New Roman" w:hAnsi="Times New Roman" w:eastAsia="宋体" w:cs="Times New Roman"/>
        </w:rPr>
        <w:fldChar w:fldCharType="end"/>
      </w:r>
    </w:p>
    <w:p w14:paraId="4858F884">
      <w:pPr>
        <w:pStyle w:val="10"/>
        <w:rPr>
          <w:rFonts w:ascii="Times New Roman" w:hAnsi="Times New Roman" w:eastAsia="宋体" w:cs="Times New Roman"/>
          <w:color w:val="auto"/>
          <w:kern w:val="2"/>
          <w:sz w:val="21"/>
          <w:szCs w:val="22"/>
          <w:lang w:eastAsia="zh-CN" w:bidi="ar-SA"/>
        </w:rPr>
      </w:pPr>
      <w:r>
        <w:fldChar w:fldCharType="begin"/>
      </w:r>
      <w:r>
        <w:instrText xml:space="preserve"> HYPERLINK \l "_Toc91869251" </w:instrText>
      </w:r>
      <w:r>
        <w:fldChar w:fldCharType="separate"/>
      </w:r>
      <w:r>
        <w:rPr>
          <w:rStyle w:val="14"/>
          <w:rFonts w:ascii="Times New Roman" w:hAnsi="Times New Roman" w:eastAsia="宋体" w:cs="Times New Roman"/>
          <w:lang w:eastAsia="zh-CN"/>
        </w:rPr>
        <w:t>N.</w:t>
      </w:r>
      <w:r>
        <w:rPr>
          <w:rFonts w:ascii="Times New Roman" w:hAnsi="Times New Roman" w:eastAsia="宋体" w:cs="Times New Roman"/>
          <w:color w:val="auto"/>
          <w:kern w:val="2"/>
          <w:sz w:val="21"/>
          <w:szCs w:val="22"/>
          <w:lang w:eastAsia="zh-CN" w:bidi="ar-SA"/>
        </w:rPr>
        <w:tab/>
      </w:r>
      <w:r>
        <w:rPr>
          <w:rStyle w:val="14"/>
          <w:rFonts w:ascii="Times New Roman" w:hAnsi="Times New Roman" w:eastAsia="宋体" w:cs="Times New Roman"/>
          <w:lang w:eastAsia="zh-CN"/>
        </w:rPr>
        <w:t>统计学分析建议</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_Toc91869251 \h </w:instrText>
      </w:r>
      <w:r>
        <w:rPr>
          <w:rFonts w:ascii="Times New Roman" w:hAnsi="Times New Roman" w:eastAsia="宋体" w:cs="Times New Roman"/>
        </w:rPr>
        <w:fldChar w:fldCharType="separate"/>
      </w:r>
      <w:r>
        <w:rPr>
          <w:rFonts w:ascii="Times New Roman" w:hAnsi="Times New Roman" w:eastAsia="宋体" w:cs="Times New Roman"/>
        </w:rPr>
        <w:t>18</w:t>
      </w:r>
      <w:r>
        <w:rPr>
          <w:rFonts w:ascii="Times New Roman" w:hAnsi="Times New Roman" w:eastAsia="宋体" w:cs="Times New Roman"/>
        </w:rPr>
        <w:fldChar w:fldCharType="end"/>
      </w:r>
      <w:r>
        <w:rPr>
          <w:rFonts w:ascii="Times New Roman" w:hAnsi="Times New Roman" w:eastAsia="宋体" w:cs="Times New Roman"/>
        </w:rPr>
        <w:fldChar w:fldCharType="end"/>
      </w:r>
    </w:p>
    <w:p w14:paraId="1842CDBA">
      <w:pPr>
        <w:pStyle w:val="5"/>
        <w:tabs>
          <w:tab w:val="right" w:leader="dot" w:pos="9061"/>
        </w:tabs>
        <w:adjustRightInd w:val="0"/>
        <w:snapToGrid w:val="0"/>
        <w:spacing w:before="120" w:beforeLines="50" w:line="300" w:lineRule="auto"/>
        <w:ind w:left="960"/>
        <w:rPr>
          <w:rFonts w:ascii="Times New Roman" w:hAnsi="Times New Roman" w:eastAsia="宋体" w:cs="Times New Roman"/>
          <w:color w:val="auto"/>
          <w:kern w:val="2"/>
          <w:sz w:val="21"/>
          <w:szCs w:val="22"/>
          <w:lang w:eastAsia="zh-CN" w:bidi="ar-SA"/>
        </w:rPr>
      </w:pPr>
      <w:r>
        <w:fldChar w:fldCharType="begin"/>
      </w:r>
      <w:r>
        <w:instrText xml:space="preserve"> HYPERLINK \l "_Toc91869252" </w:instrText>
      </w:r>
      <w:r>
        <w:fldChar w:fldCharType="separate"/>
      </w:r>
      <w:r>
        <w:rPr>
          <w:rStyle w:val="14"/>
          <w:rFonts w:ascii="Times New Roman" w:hAnsi="Times New Roman" w:eastAsia="宋体" w:cs="Times New Roman"/>
          <w:lang w:eastAsia="zh-CN"/>
        </w:rPr>
        <w:t>（2）主要终点分析</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_Toc91869252 \h </w:instrText>
      </w:r>
      <w:r>
        <w:rPr>
          <w:rFonts w:ascii="Times New Roman" w:hAnsi="Times New Roman" w:eastAsia="宋体" w:cs="Times New Roman"/>
        </w:rPr>
        <w:fldChar w:fldCharType="separate"/>
      </w:r>
      <w:r>
        <w:rPr>
          <w:rFonts w:ascii="Times New Roman" w:hAnsi="Times New Roman" w:eastAsia="宋体" w:cs="Times New Roman"/>
        </w:rPr>
        <w:t>18</w:t>
      </w:r>
      <w:r>
        <w:rPr>
          <w:rFonts w:ascii="Times New Roman" w:hAnsi="Times New Roman" w:eastAsia="宋体" w:cs="Times New Roman"/>
        </w:rPr>
        <w:fldChar w:fldCharType="end"/>
      </w:r>
      <w:r>
        <w:rPr>
          <w:rFonts w:ascii="Times New Roman" w:hAnsi="Times New Roman" w:eastAsia="宋体" w:cs="Times New Roman"/>
        </w:rPr>
        <w:fldChar w:fldCharType="end"/>
      </w:r>
    </w:p>
    <w:p w14:paraId="55DB1004">
      <w:pPr>
        <w:pStyle w:val="5"/>
        <w:tabs>
          <w:tab w:val="right" w:leader="dot" w:pos="9061"/>
        </w:tabs>
        <w:adjustRightInd w:val="0"/>
        <w:snapToGrid w:val="0"/>
        <w:spacing w:before="120" w:beforeLines="50" w:line="300" w:lineRule="auto"/>
        <w:ind w:left="960"/>
        <w:rPr>
          <w:rFonts w:ascii="Times New Roman" w:hAnsi="Times New Roman" w:eastAsia="宋体" w:cs="Times New Roman"/>
          <w:color w:val="auto"/>
          <w:kern w:val="2"/>
          <w:sz w:val="21"/>
          <w:szCs w:val="22"/>
          <w:lang w:eastAsia="zh-CN" w:bidi="ar-SA"/>
        </w:rPr>
      </w:pPr>
      <w:r>
        <w:fldChar w:fldCharType="begin"/>
      </w:r>
      <w:r>
        <w:instrText xml:space="preserve"> HYPERLINK \l "_Toc91869253" </w:instrText>
      </w:r>
      <w:r>
        <w:fldChar w:fldCharType="separate"/>
      </w:r>
      <w:r>
        <w:rPr>
          <w:rStyle w:val="14"/>
          <w:rFonts w:ascii="Times New Roman" w:hAnsi="Times New Roman" w:eastAsia="宋体" w:cs="Times New Roman"/>
        </w:rPr>
        <w:t>（3）次要终点分析</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_Toc91869253 \h </w:instrText>
      </w:r>
      <w:r>
        <w:rPr>
          <w:rFonts w:ascii="Times New Roman" w:hAnsi="Times New Roman" w:eastAsia="宋体" w:cs="Times New Roman"/>
        </w:rPr>
        <w:fldChar w:fldCharType="separate"/>
      </w:r>
      <w:r>
        <w:rPr>
          <w:rFonts w:ascii="Times New Roman" w:hAnsi="Times New Roman" w:eastAsia="宋体" w:cs="Times New Roman"/>
        </w:rPr>
        <w:t>19</w:t>
      </w:r>
      <w:r>
        <w:rPr>
          <w:rFonts w:ascii="Times New Roman" w:hAnsi="Times New Roman" w:eastAsia="宋体" w:cs="Times New Roman"/>
        </w:rPr>
        <w:fldChar w:fldCharType="end"/>
      </w:r>
      <w:r>
        <w:rPr>
          <w:rFonts w:ascii="Times New Roman" w:hAnsi="Times New Roman" w:eastAsia="宋体" w:cs="Times New Roman"/>
        </w:rPr>
        <w:fldChar w:fldCharType="end"/>
      </w:r>
    </w:p>
    <w:p w14:paraId="5002532D">
      <w:pPr>
        <w:pStyle w:val="5"/>
        <w:tabs>
          <w:tab w:val="right" w:leader="dot" w:pos="9061"/>
        </w:tabs>
        <w:adjustRightInd w:val="0"/>
        <w:snapToGrid w:val="0"/>
        <w:spacing w:before="120" w:beforeLines="50" w:line="300" w:lineRule="auto"/>
        <w:ind w:left="960"/>
        <w:rPr>
          <w:rFonts w:ascii="Times New Roman" w:hAnsi="Times New Roman" w:eastAsia="宋体" w:cs="Times New Roman"/>
          <w:color w:val="auto"/>
          <w:kern w:val="2"/>
          <w:sz w:val="21"/>
          <w:szCs w:val="22"/>
          <w:lang w:eastAsia="zh-CN" w:bidi="ar-SA"/>
        </w:rPr>
      </w:pPr>
      <w:r>
        <w:fldChar w:fldCharType="begin"/>
      </w:r>
      <w:r>
        <w:instrText xml:space="preserve"> HYPERLINK \l "_Toc91869254" </w:instrText>
      </w:r>
      <w:r>
        <w:fldChar w:fldCharType="separate"/>
      </w:r>
      <w:r>
        <w:rPr>
          <w:rStyle w:val="14"/>
          <w:rFonts w:ascii="Times New Roman" w:hAnsi="Times New Roman" w:eastAsia="宋体" w:cs="Times New Roman"/>
          <w:lang w:eastAsia="zh-CN"/>
        </w:rPr>
        <w:t>（4）缺失数据</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_Toc91869254 \h </w:instrText>
      </w:r>
      <w:r>
        <w:rPr>
          <w:rFonts w:ascii="Times New Roman" w:hAnsi="Times New Roman" w:eastAsia="宋体" w:cs="Times New Roman"/>
        </w:rPr>
        <w:fldChar w:fldCharType="separate"/>
      </w:r>
      <w:r>
        <w:rPr>
          <w:rFonts w:ascii="Times New Roman" w:hAnsi="Times New Roman" w:eastAsia="宋体" w:cs="Times New Roman"/>
        </w:rPr>
        <w:t>20</w:t>
      </w:r>
      <w:r>
        <w:rPr>
          <w:rFonts w:ascii="Times New Roman" w:hAnsi="Times New Roman" w:eastAsia="宋体" w:cs="Times New Roman"/>
        </w:rPr>
        <w:fldChar w:fldCharType="end"/>
      </w:r>
      <w:r>
        <w:rPr>
          <w:rFonts w:ascii="Times New Roman" w:hAnsi="Times New Roman" w:eastAsia="宋体" w:cs="Times New Roman"/>
        </w:rPr>
        <w:fldChar w:fldCharType="end"/>
      </w:r>
    </w:p>
    <w:p w14:paraId="043DCA81">
      <w:pPr>
        <w:pStyle w:val="9"/>
        <w:rPr>
          <w:rFonts w:ascii="Times New Roman" w:hAnsi="Times New Roman" w:eastAsia="宋体" w:cs="Times New Roman"/>
          <w:color w:val="auto"/>
          <w:kern w:val="2"/>
          <w:sz w:val="21"/>
          <w:szCs w:val="22"/>
          <w:lang w:eastAsia="zh-CN" w:bidi="ar-SA"/>
        </w:rPr>
      </w:pPr>
      <w:r>
        <w:fldChar w:fldCharType="begin"/>
      </w:r>
      <w:r>
        <w:instrText xml:space="preserve"> HYPERLINK \l "_Toc91869255" </w:instrText>
      </w:r>
      <w:r>
        <w:fldChar w:fldCharType="separate"/>
      </w:r>
      <w:r>
        <w:rPr>
          <w:rStyle w:val="14"/>
          <w:rFonts w:ascii="Times New Roman" w:hAnsi="Times New Roman" w:eastAsia="宋体" w:cs="Times New Roman"/>
          <w:lang w:eastAsia="zh-CN"/>
        </w:rPr>
        <w:t>附录1</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_Toc91869255 \h </w:instrText>
      </w:r>
      <w:r>
        <w:rPr>
          <w:rFonts w:ascii="Times New Roman" w:hAnsi="Times New Roman" w:eastAsia="宋体" w:cs="Times New Roman"/>
        </w:rPr>
        <w:fldChar w:fldCharType="separate"/>
      </w:r>
      <w:r>
        <w:rPr>
          <w:rFonts w:ascii="Times New Roman" w:hAnsi="Times New Roman" w:eastAsia="宋体" w:cs="Times New Roman"/>
        </w:rPr>
        <w:t>22</w:t>
      </w:r>
      <w:r>
        <w:rPr>
          <w:rFonts w:ascii="Times New Roman" w:hAnsi="Times New Roman" w:eastAsia="宋体" w:cs="Times New Roman"/>
        </w:rPr>
        <w:fldChar w:fldCharType="end"/>
      </w:r>
      <w:r>
        <w:rPr>
          <w:rFonts w:ascii="Times New Roman" w:hAnsi="Times New Roman" w:eastAsia="宋体" w:cs="Times New Roman"/>
        </w:rPr>
        <w:fldChar w:fldCharType="end"/>
      </w:r>
    </w:p>
    <w:p w14:paraId="518E7295">
      <w:pPr>
        <w:pStyle w:val="18"/>
        <w:adjustRightInd w:val="0"/>
        <w:snapToGrid w:val="0"/>
        <w:spacing w:before="120" w:beforeLines="50" w:line="300" w:lineRule="auto"/>
        <w:jc w:val="both"/>
        <w:rPr>
          <w:rFonts w:eastAsia="宋体"/>
          <w:snapToGrid w:val="0"/>
          <w:lang w:eastAsia="zh-CN"/>
        </w:rPr>
      </w:pPr>
      <w:r>
        <w:rPr>
          <w:rFonts w:eastAsia="宋体"/>
          <w:snapToGrid w:val="0"/>
          <w:lang w:eastAsia="zh-CN"/>
        </w:rPr>
        <w:fldChar w:fldCharType="end"/>
      </w:r>
    </w:p>
    <w:p w14:paraId="60CE8F0D">
      <w:pPr>
        <w:rPr>
          <w:rFonts w:ascii="Times New Roman" w:hAnsi="Times New Roman" w:eastAsia="宋体"/>
          <w:snapToGrid w:val="0"/>
          <w:lang w:eastAsia="zh-CN"/>
        </w:rPr>
        <w:sectPr>
          <w:headerReference r:id="rId3" w:type="default"/>
          <w:pgSz w:w="11907" w:h="16839"/>
          <w:pgMar w:top="1418" w:right="1418" w:bottom="1418" w:left="1418" w:header="720" w:footer="720" w:gutter="0"/>
          <w:cols w:space="720" w:num="1"/>
          <w:docGrid w:linePitch="360" w:charSpace="0"/>
        </w:sectPr>
      </w:pPr>
      <w:r>
        <w:rPr>
          <w:rFonts w:ascii="Times New Roman" w:hAnsi="Times New Roman" w:eastAsia="宋体" w:cs="宋体"/>
        </w:rPr>
        <w:br w:type="page"/>
      </w:r>
    </w:p>
    <w:p w14:paraId="6F52C627">
      <w:pPr>
        <w:pBdr>
          <w:bottom w:val="single" w:color="auto" w:sz="4" w:space="1"/>
        </w:pBdr>
        <w:adjustRightInd w:val="0"/>
        <w:snapToGrid w:val="0"/>
        <w:spacing w:before="120" w:beforeLines="50" w:line="300" w:lineRule="auto"/>
        <w:jc w:val="center"/>
        <w:rPr>
          <w:rFonts w:ascii="Times New Roman" w:hAnsi="Times New Roman" w:eastAsia="宋体" w:cs="Times New Roman"/>
          <w:b/>
          <w:snapToGrid w:val="0"/>
          <w:sz w:val="44"/>
          <w:szCs w:val="44"/>
          <w:lang w:eastAsia="zh-CN"/>
        </w:rPr>
      </w:pPr>
      <w:r>
        <w:rPr>
          <w:rFonts w:ascii="Times New Roman" w:hAnsi="Times New Roman" w:eastAsia="宋体" w:cs="宋体"/>
          <w:b/>
          <w:sz w:val="44"/>
          <w:lang w:eastAsia="zh-CN"/>
        </w:rPr>
        <w:t>用于治疗良性前列腺增生（BPH）的器械的非临床和临床研究指南的选择更新</w:t>
      </w:r>
    </w:p>
    <w:p w14:paraId="5588BD9A">
      <w:pPr>
        <w:adjustRightInd w:val="0"/>
        <w:snapToGrid w:val="0"/>
        <w:spacing w:before="120" w:beforeLines="50" w:line="300" w:lineRule="auto"/>
        <w:jc w:val="center"/>
        <w:rPr>
          <w:rFonts w:ascii="Times New Roman" w:hAnsi="Times New Roman" w:eastAsia="宋体" w:cs="Times New Roman"/>
          <w:b/>
          <w:snapToGrid w:val="0"/>
          <w:sz w:val="44"/>
          <w:szCs w:val="44"/>
          <w:lang w:eastAsia="zh-CN"/>
        </w:rPr>
      </w:pPr>
      <w:r>
        <w:rPr>
          <w:rFonts w:ascii="Times New Roman" w:hAnsi="Times New Roman" w:eastAsia="宋体" w:cs="宋体"/>
          <w:b/>
          <w:sz w:val="44"/>
          <w:lang w:eastAsia="zh-CN"/>
        </w:rPr>
        <w:t>行业和美国食品药品监督管理局工作人员指南草案</w:t>
      </w:r>
    </w:p>
    <w:tbl>
      <w:tblPr>
        <w:tblStyle w:val="12"/>
        <w:tblW w:w="0" w:type="auto"/>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9287"/>
      </w:tblGrid>
      <w:tr w14:paraId="6E64CAFF">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c>
          <w:tcPr>
            <w:tcW w:w="9287" w:type="dxa"/>
          </w:tcPr>
          <w:p w14:paraId="79DEAB76">
            <w:pPr>
              <w:adjustRightInd w:val="0"/>
              <w:snapToGrid w:val="0"/>
              <w:spacing w:before="120" w:beforeLines="50" w:line="300" w:lineRule="auto"/>
              <w:jc w:val="both"/>
              <w:rPr>
                <w:rFonts w:ascii="Times New Roman" w:hAnsi="Times New Roman" w:cs="Times New Roman"/>
                <w:b/>
                <w:bCs/>
                <w:i/>
                <w:iCs/>
                <w:snapToGrid w:val="0"/>
                <w:sz w:val="21"/>
                <w:szCs w:val="21"/>
                <w:lang w:eastAsia="zh-CN"/>
              </w:rPr>
            </w:pPr>
            <w:r>
              <w:rPr>
                <w:rFonts w:ascii="Times New Roman" w:hAnsi="Times New Roman" w:eastAsia="宋体" w:cs="宋体"/>
                <w:b/>
                <w:i/>
                <w:sz w:val="21"/>
                <w:lang w:eastAsia="zh-CN"/>
              </w:rPr>
              <w:t>本指南草案</w:t>
            </w:r>
            <w:r>
              <w:rPr>
                <w:rFonts w:hint="eastAsia" w:ascii="Times New Roman" w:hAnsi="Times New Roman" w:eastAsia="宋体" w:cs="宋体"/>
                <w:b/>
                <w:i/>
                <w:sz w:val="21"/>
                <w:lang w:eastAsia="zh-CN"/>
              </w:rPr>
              <w:t>的</w:t>
            </w:r>
            <w:r>
              <w:rPr>
                <w:rFonts w:ascii="Times New Roman" w:hAnsi="Times New Roman" w:eastAsia="宋体" w:cs="宋体"/>
                <w:b/>
                <w:i/>
                <w:sz w:val="21"/>
                <w:lang w:eastAsia="zh-CN"/>
              </w:rPr>
              <w:t>定稿将代表</w:t>
            </w:r>
            <w:r>
              <w:rPr>
                <w:rFonts w:hint="eastAsia" w:ascii="Times New Roman" w:hAnsi="Times New Roman" w:eastAsia="宋体" w:cs="宋体"/>
                <w:b/>
                <w:i/>
                <w:sz w:val="21"/>
                <w:lang w:eastAsia="zh-CN"/>
              </w:rPr>
              <w:t>美国食品药品监督管理局（</w:t>
            </w:r>
            <w:r>
              <w:rPr>
                <w:rFonts w:ascii="Times New Roman" w:hAnsi="Times New Roman" w:eastAsia="宋体" w:cs="宋体"/>
                <w:b/>
                <w:i/>
                <w:sz w:val="21"/>
                <w:lang w:eastAsia="zh-CN"/>
              </w:rPr>
              <w:t>FDA或本机构）目前关于该主题的思考。其不会为任何人创造或赋予任何权利，也不会对FDA或公众产生约束。如果替代方法满足适用的法律法规的要求，则可以使用</w:t>
            </w:r>
            <w:r>
              <w:rPr>
                <w:rFonts w:hint="eastAsia" w:ascii="Times New Roman" w:hAnsi="Times New Roman" w:eastAsia="宋体" w:cs="宋体"/>
                <w:b/>
                <w:i/>
                <w:sz w:val="21"/>
                <w:lang w:eastAsia="zh-CN"/>
              </w:rPr>
              <w:t>替代</w:t>
            </w:r>
            <w:r>
              <w:rPr>
                <w:rFonts w:ascii="Times New Roman" w:hAnsi="Times New Roman" w:eastAsia="宋体" w:cs="宋体"/>
                <w:b/>
                <w:i/>
                <w:sz w:val="21"/>
                <w:lang w:eastAsia="zh-CN"/>
              </w:rPr>
              <w:t>方法。如需讨论替代方法，请联系标题页负责实施本指南文件的FDA工作人员或办公室。</w:t>
            </w:r>
          </w:p>
        </w:tc>
      </w:tr>
    </w:tbl>
    <w:p w14:paraId="2BCC7FAA">
      <w:pPr>
        <w:adjustRightInd w:val="0"/>
        <w:snapToGrid w:val="0"/>
        <w:spacing w:before="120" w:beforeLines="50" w:line="300" w:lineRule="auto"/>
        <w:jc w:val="both"/>
        <w:rPr>
          <w:rFonts w:ascii="Times New Roman" w:hAnsi="Times New Roman" w:eastAsia="宋体" w:cs="Times New Roman"/>
          <w:snapToGrid w:val="0"/>
          <w:lang w:eastAsia="zh-CN"/>
        </w:rPr>
      </w:pPr>
    </w:p>
    <w:p w14:paraId="5F4A6D4E">
      <w:pPr>
        <w:pStyle w:val="34"/>
        <w:rPr>
          <w:rFonts w:eastAsia="宋体"/>
          <w:lang w:eastAsia="zh-CN"/>
        </w:rPr>
      </w:pPr>
      <w:bookmarkStart w:id="1" w:name="_Toc91869235"/>
      <w:r>
        <w:rPr>
          <w:rFonts w:eastAsia="宋体" w:cs="宋体"/>
          <w:lang w:eastAsia="zh-CN"/>
        </w:rPr>
        <w:t>I.</w:t>
      </w:r>
      <w:r>
        <w:rPr>
          <w:rFonts w:eastAsia="宋体" w:cs="宋体"/>
          <w:lang w:eastAsia="zh-CN"/>
        </w:rPr>
        <w:tab/>
      </w:r>
      <w:r>
        <w:rPr>
          <w:rFonts w:eastAsia="宋体" w:cs="宋体"/>
          <w:lang w:eastAsia="zh-CN"/>
        </w:rPr>
        <w:t>引言</w:t>
      </w:r>
      <w:bookmarkEnd w:id="1"/>
    </w:p>
    <w:p w14:paraId="45502D4A">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FDA制定了本指南草案，拟对其指南文件《</w:t>
      </w:r>
      <w:r>
        <w:rPr>
          <w:rFonts w:ascii="Times New Roman" w:hAnsi="Times New Roman" w:eastAsia="宋体" w:cs="宋体"/>
          <w:color w:val="0000FF"/>
          <w:u w:val="single"/>
          <w:lang w:eastAsia="zh-CN"/>
        </w:rPr>
        <w:t>用于治疗良性前列腺增生（BPH）的器械的非临床和临床研究指南</w:t>
      </w:r>
      <w:r>
        <w:rPr>
          <w:rFonts w:ascii="Times New Roman" w:hAnsi="Times New Roman" w:eastAsia="宋体" w:cs="宋体"/>
          <w:lang w:eastAsia="zh-CN"/>
        </w:rPr>
        <w:t>》进行选择更新。</w:t>
      </w:r>
      <w:r>
        <w:rPr>
          <w:rFonts w:ascii="Times New Roman" w:hAnsi="Times New Roman" w:eastAsia="宋体" w:cs="宋体"/>
          <w:vertAlign w:val="superscript"/>
          <w:lang w:eastAsia="zh-CN"/>
        </w:rPr>
        <w:t>1</w:t>
      </w:r>
      <w:r>
        <w:rPr>
          <w:rFonts w:ascii="Times New Roman" w:hAnsi="Times New Roman" w:eastAsia="宋体" w:cs="宋体"/>
          <w:lang w:eastAsia="zh-CN"/>
        </w:rPr>
        <w:t>在本指南草案定稿之前，用于治疗BPH的器械指南的现行版本仍然有效。FDA计划在</w:t>
      </w:r>
      <w:r>
        <w:rPr>
          <w:rFonts w:hint="eastAsia" w:ascii="Times New Roman" w:hAnsi="Times New Roman" w:eastAsia="宋体" w:cs="宋体"/>
          <w:lang w:eastAsia="zh-CN"/>
        </w:rPr>
        <w:t>征集</w:t>
      </w:r>
      <w:r>
        <w:rPr>
          <w:rFonts w:ascii="Times New Roman" w:hAnsi="Times New Roman" w:eastAsia="宋体" w:cs="宋体"/>
          <w:lang w:eastAsia="zh-CN"/>
        </w:rPr>
        <w:t>并审议公众对此类选择更新的意见后，将本指南草案纳入最终指南文件。在FDA审议公众对本指南草案的意见后，计划用下文引用的拟议章节旨在取代现有BPH指南的适用章节。现有BPH指南中不受本次选择更新影响的章节不会发生实质性变化，并将继续有效。</w:t>
      </w:r>
    </w:p>
    <w:p w14:paraId="2FE65590">
      <w:pPr>
        <w:adjustRightInd w:val="0"/>
        <w:snapToGrid w:val="0"/>
        <w:spacing w:before="120" w:beforeLines="50" w:line="300" w:lineRule="auto"/>
        <w:jc w:val="both"/>
        <w:rPr>
          <w:rFonts w:ascii="Times New Roman" w:hAnsi="Times New Roman" w:eastAsia="宋体" w:cs="宋体"/>
          <w:lang w:eastAsia="zh-CN"/>
        </w:rPr>
      </w:pPr>
      <w:r>
        <w:rPr>
          <w:rFonts w:ascii="Times New Roman" w:hAnsi="Times New Roman" w:eastAsia="宋体" w:cs="宋体"/>
          <w:lang w:eastAsia="zh-CN"/>
        </w:rPr>
        <w:t>如需了解本文件中引用的FDA认可标准的现行版本，请参见</w:t>
      </w:r>
      <w:r>
        <w:rPr>
          <w:rFonts w:ascii="Times New Roman" w:hAnsi="Times New Roman" w:eastAsia="宋体" w:cs="宋体"/>
          <w:color w:val="0000FF"/>
          <w:u w:val="single"/>
          <w:lang w:eastAsia="zh-CN"/>
        </w:rPr>
        <w:t>FDA认可的共识标准数据库</w:t>
      </w:r>
      <w:r>
        <w:rPr>
          <w:rFonts w:ascii="Times New Roman" w:hAnsi="Times New Roman" w:eastAsia="宋体" w:cs="宋体"/>
          <w:lang w:eastAsia="zh-CN"/>
        </w:rPr>
        <w:t>。</w:t>
      </w:r>
      <w:r>
        <w:rPr>
          <w:rFonts w:ascii="Times New Roman" w:hAnsi="Times New Roman" w:eastAsia="宋体" w:cs="宋体"/>
          <w:vertAlign w:val="superscript"/>
          <w:lang w:eastAsia="zh-CN"/>
        </w:rPr>
        <w:t>2</w:t>
      </w:r>
      <w:r>
        <w:rPr>
          <w:rFonts w:ascii="Times New Roman" w:hAnsi="Times New Roman" w:eastAsia="宋体" w:cs="宋体"/>
          <w:lang w:eastAsia="zh-CN"/>
        </w:rPr>
        <w:t>关于在监管申请中使用共识标准的更多信息，请参见标题为</w:t>
      </w:r>
      <w:r>
        <w:fldChar w:fldCharType="begin"/>
      </w:r>
      <w:r>
        <w:rPr>
          <w:lang w:eastAsia="zh-CN"/>
        </w:rPr>
        <w:instrText xml:space="preserve"> HYPERLINK "https://www.fda.gov/regulatory-information/search-fda-guidance-documents/appropriate-use-voluntary-consensus-standards-premarket-submissions-medical-devices" </w:instrText>
      </w:r>
      <w:r>
        <w:fldChar w:fldCharType="separate"/>
      </w:r>
      <w:r>
        <w:rPr>
          <w:rFonts w:ascii="Times New Roman" w:hAnsi="Times New Roman" w:eastAsia="宋体" w:cs="宋体"/>
          <w:snapToGrid w:val="0"/>
          <w:color w:val="0000FF"/>
          <w:u w:val="single"/>
          <w:lang w:eastAsia="zh-CN"/>
        </w:rPr>
        <w:t>《在医疗器械上市前申请中适当使用自愿共识标准》</w:t>
      </w:r>
      <w:r>
        <w:rPr>
          <w:rFonts w:ascii="宋体" w:hAnsi="宋体" w:eastAsia="宋体" w:cs="宋体"/>
          <w:snapToGrid w:val="0"/>
          <w:color w:val="0000FF"/>
          <w:u w:val="single"/>
        </w:rPr>
        <w:fldChar w:fldCharType="end"/>
      </w:r>
      <w:r>
        <w:rPr>
          <w:rFonts w:ascii="Times New Roman" w:hAnsi="Times New Roman" w:eastAsia="宋体" w:cs="宋体"/>
          <w:vertAlign w:val="superscript"/>
          <w:lang w:eastAsia="zh-CN"/>
        </w:rPr>
        <w:t>3</w:t>
      </w:r>
      <w:r>
        <w:rPr>
          <w:rFonts w:ascii="Times New Roman" w:hAnsi="Times New Roman" w:eastAsia="宋体" w:cs="宋体"/>
          <w:lang w:eastAsia="zh-CN"/>
        </w:rPr>
        <w:t>的FDA指南。</w:t>
      </w:r>
    </w:p>
    <w:p w14:paraId="326D3B72">
      <w:pPr>
        <w:adjustRightInd w:val="0"/>
        <w:snapToGrid w:val="0"/>
        <w:spacing w:before="120" w:beforeLines="50" w:line="300" w:lineRule="auto"/>
        <w:jc w:val="both"/>
        <w:rPr>
          <w:rFonts w:ascii="Times New Roman" w:hAnsi="Times New Roman" w:eastAsia="宋体" w:cs="宋体"/>
          <w:lang w:eastAsia="zh-CN"/>
        </w:rPr>
      </w:pPr>
    </w:p>
    <w:p w14:paraId="238E5EDB">
      <w:pPr>
        <w:adjustRightInd w:val="0"/>
        <w:snapToGrid w:val="0"/>
        <w:spacing w:before="120" w:beforeLines="50" w:line="300" w:lineRule="auto"/>
        <w:jc w:val="both"/>
        <w:rPr>
          <w:rFonts w:ascii="Times New Roman" w:hAnsi="Times New Roman" w:eastAsia="宋体" w:cs="宋体"/>
          <w:lang w:eastAsia="zh-CN"/>
        </w:rPr>
      </w:pPr>
    </w:p>
    <w:p w14:paraId="27D9B441">
      <w:pPr>
        <w:adjustRightInd w:val="0"/>
        <w:snapToGrid w:val="0"/>
        <w:spacing w:before="120" w:beforeLines="50" w:line="300" w:lineRule="auto"/>
        <w:jc w:val="both"/>
        <w:rPr>
          <w:rFonts w:ascii="Times New Roman" w:hAnsi="Times New Roman" w:eastAsia="宋体" w:cs="Times New Roman"/>
          <w:snapToGrid w:val="0"/>
          <w:lang w:eastAsia="zh-CN"/>
        </w:rPr>
      </w:pPr>
    </w:p>
    <w:p w14:paraId="65E4DA08">
      <w:pPr>
        <w:adjustRightInd w:val="0"/>
        <w:snapToGrid w:val="0"/>
        <w:spacing w:before="120" w:beforeLines="50" w:line="300" w:lineRule="auto"/>
        <w:jc w:val="both"/>
        <w:rPr>
          <w:rFonts w:ascii="Times New Roman" w:hAnsi="Times New Roman" w:eastAsia="宋体" w:cs="Times New Roman"/>
          <w:snapToGrid w:val="0"/>
          <w:lang w:eastAsia="zh-CN"/>
        </w:rPr>
      </w:pPr>
      <w:r>
        <w:rPr>
          <w:rFonts w:hint="eastAsia" w:ascii="Times New Roman" w:hAnsi="Times New Roman" w:eastAsia="宋体" w:cs="Times New Roman"/>
          <w:snapToGrid w:val="0"/>
          <w:lang w:eastAsia="zh-CN"/>
        </w:rPr>
        <w:t>_____________________</w:t>
      </w:r>
    </w:p>
    <w:p w14:paraId="178D5C7F">
      <w:pPr>
        <w:pStyle w:val="25"/>
        <w:tabs>
          <w:tab w:val="left" w:pos="115"/>
        </w:tabs>
        <w:adjustRightInd w:val="0"/>
        <w:snapToGrid w:val="0"/>
        <w:spacing w:before="36" w:beforeLines="15" w:line="276" w:lineRule="auto"/>
        <w:jc w:val="both"/>
        <w:rPr>
          <w:rFonts w:eastAsia="宋体"/>
          <w:snapToGrid w:val="0"/>
          <w:sz w:val="21"/>
          <w:szCs w:val="21"/>
        </w:rPr>
      </w:pPr>
      <w:bookmarkStart w:id="2" w:name="bookmark18"/>
      <w:bookmarkStart w:id="3" w:name="bookmark17"/>
      <w:r>
        <w:rPr>
          <w:rFonts w:eastAsia="宋体"/>
          <w:snapToGrid w:val="0"/>
          <w:sz w:val="21"/>
          <w:szCs w:val="21"/>
          <w:vertAlign w:val="superscript"/>
        </w:rPr>
        <w:t>1</w:t>
      </w:r>
      <w:r>
        <w:rPr>
          <w:rFonts w:eastAsia="宋体"/>
          <w:snapToGrid w:val="0"/>
          <w:sz w:val="21"/>
          <w:szCs w:val="21"/>
        </w:rPr>
        <w:t xml:space="preserve"> </w:t>
      </w:r>
      <w:r>
        <w:fldChar w:fldCharType="begin"/>
      </w:r>
      <w:r>
        <w:instrText xml:space="preserve"> HYPERLINK "https://www.fda.gov/regulatory-information/search-fda-guidance-documents/guidance-non-clinical-and-%20clinical-" </w:instrText>
      </w:r>
      <w:r>
        <w:fldChar w:fldCharType="separate"/>
      </w:r>
      <w:r>
        <w:rPr>
          <w:rStyle w:val="14"/>
          <w:rFonts w:eastAsia="宋体"/>
          <w:snapToGrid w:val="0"/>
          <w:sz w:val="21"/>
          <w:szCs w:val="21"/>
        </w:rPr>
        <w:t>https://www.fda.gov/regulatory-information/search-fda-guidance-documents/guidance-non-clinical-and-</w:t>
      </w:r>
      <w:r>
        <w:rPr>
          <w:rStyle w:val="14"/>
          <w:rFonts w:hint="eastAsia" w:eastAsia="宋体"/>
          <w:snapToGrid w:val="0"/>
          <w:sz w:val="21"/>
          <w:szCs w:val="21"/>
          <w:lang w:eastAsia="zh-CN"/>
        </w:rPr>
        <w:t xml:space="preserve"> </w:t>
      </w:r>
      <w:r>
        <w:rPr>
          <w:rStyle w:val="14"/>
          <w:rFonts w:eastAsia="宋体"/>
          <w:snapToGrid w:val="0"/>
          <w:sz w:val="21"/>
          <w:szCs w:val="21"/>
        </w:rPr>
        <w:t>clinical-</w:t>
      </w:r>
      <w:r>
        <w:rPr>
          <w:rStyle w:val="14"/>
          <w:rFonts w:eastAsia="宋体"/>
          <w:snapToGrid w:val="0"/>
          <w:sz w:val="21"/>
          <w:szCs w:val="21"/>
        </w:rPr>
        <w:fldChar w:fldCharType="end"/>
      </w:r>
      <w:r>
        <w:rPr>
          <w:rFonts w:eastAsia="宋体"/>
          <w:snapToGrid w:val="0"/>
          <w:color w:val="0000FF"/>
          <w:sz w:val="21"/>
          <w:szCs w:val="21"/>
          <w:u w:val="single"/>
        </w:rPr>
        <w:t xml:space="preserve"> </w:t>
      </w:r>
      <w:r>
        <w:fldChar w:fldCharType="begin"/>
      </w:r>
      <w:r>
        <w:instrText xml:space="preserve"> HYPERLINK "https://www.fda.gov/regulatory-information/search-fda-guidance-documents/guidance-non-clinical-and-clinical-investigation-devices-used-treatment-benign-prostatic-hyperplasia" </w:instrText>
      </w:r>
      <w:r>
        <w:fldChar w:fldCharType="separate"/>
      </w:r>
      <w:r>
        <w:rPr>
          <w:rFonts w:eastAsia="宋体"/>
          <w:snapToGrid w:val="0"/>
          <w:color w:val="0000FF"/>
          <w:sz w:val="21"/>
          <w:szCs w:val="21"/>
          <w:u w:val="single"/>
        </w:rPr>
        <w:t>investigation-devices-used-treatment-benign-prostatic-hyperplasia</w:t>
      </w:r>
      <w:r>
        <w:rPr>
          <w:rFonts w:eastAsia="宋体"/>
          <w:snapToGrid w:val="0"/>
          <w:color w:val="0000FF"/>
          <w:sz w:val="21"/>
          <w:szCs w:val="21"/>
          <w:u w:val="single"/>
        </w:rPr>
        <w:fldChar w:fldCharType="end"/>
      </w:r>
      <w:r>
        <w:rPr>
          <w:rFonts w:eastAsia="宋体"/>
          <w:snapToGrid w:val="0"/>
          <w:sz w:val="21"/>
          <w:szCs w:val="21"/>
        </w:rPr>
        <w:t>.</w:t>
      </w:r>
      <w:bookmarkEnd w:id="2"/>
      <w:bookmarkEnd w:id="3"/>
    </w:p>
    <w:p w14:paraId="252223B8">
      <w:pPr>
        <w:pStyle w:val="25"/>
        <w:tabs>
          <w:tab w:val="left" w:pos="115"/>
        </w:tabs>
        <w:adjustRightInd w:val="0"/>
        <w:snapToGrid w:val="0"/>
        <w:spacing w:before="36" w:beforeLines="15" w:line="276" w:lineRule="auto"/>
        <w:jc w:val="both"/>
        <w:rPr>
          <w:rFonts w:eastAsia="宋体"/>
          <w:snapToGrid w:val="0"/>
          <w:sz w:val="21"/>
          <w:szCs w:val="21"/>
        </w:rPr>
      </w:pPr>
      <w:r>
        <w:rPr>
          <w:rFonts w:eastAsia="宋体" w:cs="宋体"/>
          <w:sz w:val="21"/>
          <w:vertAlign w:val="superscript"/>
        </w:rPr>
        <w:t>2</w:t>
      </w:r>
      <w:r>
        <w:rPr>
          <w:rFonts w:eastAsia="宋体" w:cs="宋体"/>
          <w:sz w:val="21"/>
        </w:rPr>
        <w:t xml:space="preserve"> 可登录以下网址获取：</w:t>
      </w:r>
      <w:r>
        <w:fldChar w:fldCharType="begin"/>
      </w:r>
      <w:r>
        <w:instrText xml:space="preserve"> HYPERLINK "https://www.accessdata.fda.gov/scripts/cdrh/cfdocs/cfStandards/search.cfm" </w:instrText>
      </w:r>
      <w:r>
        <w:fldChar w:fldCharType="separate"/>
      </w:r>
      <w:r>
        <w:rPr>
          <w:rFonts w:eastAsia="宋体" w:cs="宋体"/>
          <w:snapToGrid w:val="0"/>
          <w:color w:val="0000FF"/>
          <w:sz w:val="21"/>
          <w:szCs w:val="21"/>
          <w:u w:val="single"/>
        </w:rPr>
        <w:t>https://www.accessdata.fda.gov/scripts/cdrh/cfdocs/cfStandards/search.cfm</w:t>
      </w:r>
      <w:r>
        <w:rPr>
          <w:rFonts w:eastAsia="宋体" w:cs="宋体"/>
          <w:snapToGrid w:val="0"/>
          <w:color w:val="0000FF"/>
          <w:sz w:val="21"/>
          <w:szCs w:val="21"/>
          <w:u w:val="single"/>
        </w:rPr>
        <w:fldChar w:fldCharType="end"/>
      </w:r>
      <w:r>
        <w:rPr>
          <w:rFonts w:eastAsia="宋体" w:cs="宋体"/>
          <w:sz w:val="21"/>
        </w:rPr>
        <w:t>。</w:t>
      </w:r>
    </w:p>
    <w:p w14:paraId="29C10A6F">
      <w:pPr>
        <w:pStyle w:val="25"/>
        <w:tabs>
          <w:tab w:val="left" w:pos="125"/>
        </w:tabs>
        <w:adjustRightInd w:val="0"/>
        <w:snapToGrid w:val="0"/>
        <w:spacing w:before="36" w:beforeLines="15" w:line="276" w:lineRule="auto"/>
        <w:jc w:val="both"/>
        <w:rPr>
          <w:rFonts w:eastAsia="宋体"/>
          <w:snapToGrid w:val="0"/>
          <w:sz w:val="21"/>
          <w:szCs w:val="21"/>
        </w:rPr>
      </w:pPr>
      <w:r>
        <w:rPr>
          <w:rFonts w:eastAsia="宋体" w:cs="宋体"/>
          <w:sz w:val="21"/>
          <w:vertAlign w:val="superscript"/>
        </w:rPr>
        <w:t>3</w:t>
      </w:r>
      <w:r>
        <w:rPr>
          <w:rFonts w:hint="eastAsia" w:eastAsia="宋体" w:cs="宋体"/>
          <w:sz w:val="21"/>
          <w:vertAlign w:val="superscript"/>
          <w:lang w:eastAsia="zh-CN"/>
        </w:rPr>
        <w:t xml:space="preserve"> </w:t>
      </w:r>
      <w:r>
        <w:rPr>
          <w:rFonts w:eastAsia="宋体" w:cs="宋体"/>
          <w:sz w:val="21"/>
        </w:rPr>
        <w:t>可登录以下网址获取：</w:t>
      </w:r>
      <w:r>
        <w:fldChar w:fldCharType="begin"/>
      </w:r>
      <w:r>
        <w:instrText xml:space="preserve"> HYPERLINK "https://www.fda.gov/regulatory-information/search-fda-guidance-documents/%20appropriate-use-voluntary-consensus-standards-premarket-submissions-medical-devices" </w:instrText>
      </w:r>
      <w:r>
        <w:fldChar w:fldCharType="separate"/>
      </w:r>
      <w:r>
        <w:rPr>
          <w:rStyle w:val="14"/>
          <w:rFonts w:eastAsia="宋体" w:cs="宋体"/>
          <w:snapToGrid w:val="0"/>
          <w:sz w:val="21"/>
          <w:szCs w:val="21"/>
        </w:rPr>
        <w:t>https://www.fda.gov/regulatory-information/search-fda-guidance-documents/</w:t>
      </w:r>
      <w:r>
        <w:rPr>
          <w:rStyle w:val="14"/>
          <w:rFonts w:hint="eastAsia" w:eastAsia="宋体" w:cs="宋体"/>
          <w:snapToGrid w:val="0"/>
          <w:sz w:val="21"/>
          <w:szCs w:val="21"/>
          <w:lang w:eastAsia="zh-CN"/>
        </w:rPr>
        <w:t xml:space="preserve"> </w:t>
      </w:r>
      <w:r>
        <w:rPr>
          <w:rStyle w:val="14"/>
          <w:rFonts w:eastAsia="宋体" w:cs="宋体"/>
          <w:snapToGrid w:val="0"/>
          <w:sz w:val="21"/>
          <w:szCs w:val="21"/>
        </w:rPr>
        <w:t>appropriate-use-voluntary-consensus-standards-premarket-submissions-medical-devices</w:t>
      </w:r>
      <w:r>
        <w:rPr>
          <w:rStyle w:val="14"/>
          <w:rFonts w:eastAsia="宋体" w:cs="宋体"/>
          <w:snapToGrid w:val="0"/>
          <w:sz w:val="21"/>
          <w:szCs w:val="21"/>
        </w:rPr>
        <w:fldChar w:fldCharType="end"/>
      </w:r>
      <w:r>
        <w:rPr>
          <w:rFonts w:eastAsia="宋体" w:cs="宋体"/>
          <w:sz w:val="21"/>
        </w:rPr>
        <w:t>。</w:t>
      </w:r>
    </w:p>
    <w:p w14:paraId="6DBA0DD4">
      <w:pPr>
        <w:rPr>
          <w:rFonts w:ascii="Times New Roman" w:hAnsi="Times New Roman" w:eastAsia="宋体" w:cs="Times New Roman"/>
          <w:snapToGrid w:val="0"/>
          <w:lang w:eastAsia="zh-CN"/>
        </w:rPr>
      </w:pPr>
      <w:r>
        <w:rPr>
          <w:rFonts w:ascii="Times New Roman" w:hAnsi="Times New Roman" w:eastAsia="宋体" w:cs="宋体"/>
        </w:rPr>
        <w:br w:type="page"/>
      </w:r>
    </w:p>
    <w:p w14:paraId="4783BAE5">
      <w:pPr>
        <w:pStyle w:val="34"/>
        <w:rPr>
          <w:rFonts w:eastAsia="宋体" w:cs="宋体"/>
          <w:b w:val="0"/>
          <w:bCs w:val="0"/>
          <w:snapToGrid/>
          <w:sz w:val="24"/>
          <w:szCs w:val="24"/>
          <w:lang w:eastAsia="zh-CN"/>
        </w:rPr>
      </w:pPr>
      <w:bookmarkStart w:id="4" w:name="_Toc91869236"/>
      <w:r>
        <w:rPr>
          <w:rFonts w:eastAsia="宋体" w:cs="宋体"/>
          <w:b w:val="0"/>
          <w:bCs w:val="0"/>
          <w:snapToGrid/>
          <w:sz w:val="24"/>
          <w:szCs w:val="24"/>
          <w:lang w:eastAsia="zh-CN"/>
        </w:rPr>
        <w:t>FDA指导性文件，包括本指南在内，不具有法律强制责任。相反，指南表明了该机构目前关于该主题的思考，除非引用具体的法规或法律要求，否则只应视为建议。在本机构指南中使用词语“应”是指建议或推荐进行某一事项，并非强制要求。</w:t>
      </w:r>
    </w:p>
    <w:p w14:paraId="509B11AF">
      <w:pPr>
        <w:pStyle w:val="34"/>
        <w:rPr>
          <w:rFonts w:eastAsia="宋体"/>
          <w:lang w:eastAsia="zh-CN"/>
        </w:rPr>
      </w:pPr>
      <w:r>
        <w:rPr>
          <w:rFonts w:eastAsia="宋体" w:cs="宋体"/>
          <w:lang w:eastAsia="zh-CN"/>
        </w:rPr>
        <w:t>II.</w:t>
      </w:r>
      <w:r>
        <w:rPr>
          <w:rFonts w:eastAsia="宋体" w:cs="宋体"/>
          <w:lang w:eastAsia="zh-CN"/>
        </w:rPr>
        <w:tab/>
      </w:r>
      <w:r>
        <w:rPr>
          <w:rFonts w:eastAsia="宋体" w:cs="宋体"/>
          <w:lang w:eastAsia="zh-CN"/>
        </w:rPr>
        <w:t>范围</w:t>
      </w:r>
      <w:bookmarkEnd w:id="4"/>
    </w:p>
    <w:p w14:paraId="68025637">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除了目前在现有BPH指南范围内的器械外，FDA拟在更新后将以下器械纳入后续最终指南文件（第II节）的范围内：</w:t>
      </w:r>
    </w:p>
    <w:tbl>
      <w:tblPr>
        <w:tblStyle w:val="11"/>
        <w:tblW w:w="0" w:type="auto"/>
        <w:jc w:val="center"/>
        <w:tblLayout w:type="fixed"/>
        <w:tblCellMar>
          <w:top w:w="0" w:type="dxa"/>
          <w:left w:w="108" w:type="dxa"/>
          <w:bottom w:w="0" w:type="dxa"/>
          <w:right w:w="108" w:type="dxa"/>
        </w:tblCellMar>
      </w:tblPr>
      <w:tblGrid>
        <w:gridCol w:w="1690"/>
        <w:gridCol w:w="3230"/>
        <w:gridCol w:w="2731"/>
      </w:tblGrid>
      <w:tr w14:paraId="2D2A5B9E">
        <w:tblPrEx>
          <w:tblCellMar>
            <w:top w:w="0" w:type="dxa"/>
            <w:left w:w="108" w:type="dxa"/>
            <w:bottom w:w="0" w:type="dxa"/>
            <w:right w:w="108" w:type="dxa"/>
          </w:tblCellMar>
        </w:tblPrEx>
        <w:trPr>
          <w:jc w:val="center"/>
        </w:trPr>
        <w:tc>
          <w:tcPr>
            <w:tcW w:w="1690" w:type="dxa"/>
            <w:tcBorders>
              <w:top w:val="single" w:color="auto" w:sz="4" w:space="0"/>
              <w:left w:val="single" w:color="auto" w:sz="4" w:space="0"/>
            </w:tcBorders>
            <w:shd w:val="clear" w:color="auto" w:fill="FFFFFF"/>
            <w:vAlign w:val="bottom"/>
          </w:tcPr>
          <w:p w14:paraId="3CB26E8C">
            <w:pPr>
              <w:pStyle w:val="21"/>
              <w:adjustRightInd w:val="0"/>
              <w:snapToGrid w:val="0"/>
              <w:spacing w:before="36" w:beforeLines="15" w:after="0" w:line="276" w:lineRule="auto"/>
              <w:jc w:val="both"/>
              <w:rPr>
                <w:snapToGrid w:val="0"/>
                <w:sz w:val="21"/>
                <w:szCs w:val="21"/>
              </w:rPr>
            </w:pPr>
            <w:r>
              <w:rPr>
                <w:rFonts w:eastAsia="宋体" w:cs="宋体"/>
                <w:b/>
                <w:sz w:val="21"/>
              </w:rPr>
              <w:t>产品代码</w:t>
            </w:r>
          </w:p>
        </w:tc>
        <w:tc>
          <w:tcPr>
            <w:tcW w:w="3230" w:type="dxa"/>
            <w:tcBorders>
              <w:top w:val="single" w:color="auto" w:sz="4" w:space="0"/>
              <w:left w:val="single" w:color="auto" w:sz="4" w:space="0"/>
            </w:tcBorders>
            <w:shd w:val="clear" w:color="auto" w:fill="FFFFFF"/>
          </w:tcPr>
          <w:p w14:paraId="2447C049">
            <w:pPr>
              <w:pStyle w:val="21"/>
              <w:adjustRightInd w:val="0"/>
              <w:snapToGrid w:val="0"/>
              <w:spacing w:before="36" w:beforeLines="15" w:after="0" w:line="276" w:lineRule="auto"/>
              <w:jc w:val="both"/>
              <w:rPr>
                <w:snapToGrid w:val="0"/>
                <w:sz w:val="21"/>
                <w:szCs w:val="21"/>
              </w:rPr>
            </w:pPr>
            <w:r>
              <w:rPr>
                <w:rFonts w:eastAsia="宋体" w:cs="宋体"/>
                <w:b/>
                <w:sz w:val="21"/>
              </w:rPr>
              <w:t>产品代码名称</w:t>
            </w:r>
          </w:p>
        </w:tc>
        <w:tc>
          <w:tcPr>
            <w:tcW w:w="2731" w:type="dxa"/>
            <w:tcBorders>
              <w:top w:val="single" w:color="auto" w:sz="4" w:space="0"/>
              <w:left w:val="single" w:color="auto" w:sz="4" w:space="0"/>
              <w:right w:val="single" w:color="auto" w:sz="4" w:space="0"/>
            </w:tcBorders>
            <w:shd w:val="clear" w:color="auto" w:fill="FFFFFF"/>
          </w:tcPr>
          <w:p w14:paraId="6FA878AC">
            <w:pPr>
              <w:pStyle w:val="21"/>
              <w:adjustRightInd w:val="0"/>
              <w:snapToGrid w:val="0"/>
              <w:spacing w:before="36" w:beforeLines="15" w:after="0" w:line="276" w:lineRule="auto"/>
              <w:jc w:val="both"/>
              <w:rPr>
                <w:snapToGrid w:val="0"/>
                <w:sz w:val="21"/>
                <w:szCs w:val="21"/>
              </w:rPr>
            </w:pPr>
            <w:r>
              <w:rPr>
                <w:rFonts w:eastAsia="宋体" w:cs="宋体"/>
                <w:b/>
                <w:sz w:val="21"/>
              </w:rPr>
              <w:t>法规编号</w:t>
            </w:r>
          </w:p>
        </w:tc>
      </w:tr>
      <w:tr w14:paraId="30DA8EAA">
        <w:tblPrEx>
          <w:tblCellMar>
            <w:top w:w="0" w:type="dxa"/>
            <w:left w:w="108" w:type="dxa"/>
            <w:bottom w:w="0" w:type="dxa"/>
            <w:right w:w="108" w:type="dxa"/>
          </w:tblCellMar>
        </w:tblPrEx>
        <w:trPr>
          <w:jc w:val="center"/>
        </w:trPr>
        <w:tc>
          <w:tcPr>
            <w:tcW w:w="1690" w:type="dxa"/>
            <w:tcBorders>
              <w:top w:val="single" w:color="auto" w:sz="4" w:space="0"/>
              <w:left w:val="single" w:color="auto" w:sz="4" w:space="0"/>
            </w:tcBorders>
            <w:shd w:val="clear" w:color="auto" w:fill="FFFFFF"/>
          </w:tcPr>
          <w:p w14:paraId="4D097D10">
            <w:pPr>
              <w:pStyle w:val="21"/>
              <w:adjustRightInd w:val="0"/>
              <w:snapToGrid w:val="0"/>
              <w:spacing w:before="36" w:beforeLines="15" w:after="0" w:line="276" w:lineRule="auto"/>
              <w:jc w:val="both"/>
              <w:rPr>
                <w:snapToGrid w:val="0"/>
                <w:vanish/>
                <w:sz w:val="21"/>
                <w:szCs w:val="21"/>
              </w:rPr>
            </w:pPr>
            <w:r>
              <w:rPr>
                <w:rFonts w:eastAsia="宋体"/>
                <w:snapToGrid w:val="0"/>
                <w:sz w:val="21"/>
                <w:szCs w:val="21"/>
              </w:rPr>
              <w:t>KNS</w:t>
            </w:r>
          </w:p>
        </w:tc>
        <w:tc>
          <w:tcPr>
            <w:tcW w:w="3230" w:type="dxa"/>
            <w:tcBorders>
              <w:top w:val="single" w:color="auto" w:sz="4" w:space="0"/>
              <w:left w:val="single" w:color="auto" w:sz="4" w:space="0"/>
            </w:tcBorders>
            <w:shd w:val="clear" w:color="auto" w:fill="FFFFFF"/>
            <w:vAlign w:val="bottom"/>
          </w:tcPr>
          <w:p w14:paraId="000F9F4A">
            <w:pPr>
              <w:pStyle w:val="21"/>
              <w:adjustRightInd w:val="0"/>
              <w:snapToGrid w:val="0"/>
              <w:spacing w:before="36" w:beforeLines="15" w:after="0" w:line="276" w:lineRule="auto"/>
              <w:jc w:val="both"/>
              <w:rPr>
                <w:snapToGrid w:val="0"/>
                <w:sz w:val="21"/>
                <w:szCs w:val="21"/>
                <w:lang w:eastAsia="zh-CN"/>
              </w:rPr>
            </w:pPr>
            <w:r>
              <w:rPr>
                <w:rFonts w:eastAsia="宋体" w:cs="宋体"/>
                <w:sz w:val="21"/>
                <w:lang w:eastAsia="zh-CN"/>
              </w:rPr>
              <w:t>内窥镜电外科装置（配备或不配备附件）</w:t>
            </w:r>
          </w:p>
        </w:tc>
        <w:tc>
          <w:tcPr>
            <w:tcW w:w="2731" w:type="dxa"/>
            <w:tcBorders>
              <w:top w:val="single" w:color="auto" w:sz="4" w:space="0"/>
              <w:left w:val="single" w:color="auto" w:sz="4" w:space="0"/>
              <w:right w:val="single" w:color="auto" w:sz="4" w:space="0"/>
            </w:tcBorders>
            <w:shd w:val="clear" w:color="auto" w:fill="FFFFFF"/>
          </w:tcPr>
          <w:p w14:paraId="725E9081">
            <w:pPr>
              <w:pStyle w:val="21"/>
              <w:adjustRightInd w:val="0"/>
              <w:snapToGrid w:val="0"/>
              <w:spacing w:before="36" w:beforeLines="15" w:after="0" w:line="276" w:lineRule="auto"/>
              <w:jc w:val="both"/>
              <w:rPr>
                <w:snapToGrid w:val="0"/>
                <w:vanish/>
                <w:sz w:val="21"/>
                <w:szCs w:val="21"/>
              </w:rPr>
            </w:pPr>
            <w:r>
              <w:rPr>
                <w:rFonts w:eastAsia="宋体"/>
                <w:snapToGrid w:val="0"/>
                <w:sz w:val="21"/>
                <w:szCs w:val="21"/>
              </w:rPr>
              <w:t>21 CFR 876.4300</w:t>
            </w:r>
          </w:p>
        </w:tc>
      </w:tr>
      <w:tr w14:paraId="5EDD028E">
        <w:tblPrEx>
          <w:tblCellMar>
            <w:top w:w="0" w:type="dxa"/>
            <w:left w:w="108" w:type="dxa"/>
            <w:bottom w:w="0" w:type="dxa"/>
            <w:right w:w="108" w:type="dxa"/>
          </w:tblCellMar>
        </w:tblPrEx>
        <w:trPr>
          <w:jc w:val="center"/>
        </w:trPr>
        <w:tc>
          <w:tcPr>
            <w:tcW w:w="1690" w:type="dxa"/>
            <w:tcBorders>
              <w:top w:val="single" w:color="auto" w:sz="4" w:space="0"/>
              <w:left w:val="single" w:color="auto" w:sz="4" w:space="0"/>
            </w:tcBorders>
            <w:shd w:val="clear" w:color="auto" w:fill="FFFFFF"/>
          </w:tcPr>
          <w:p w14:paraId="4B9FE34D">
            <w:pPr>
              <w:pStyle w:val="21"/>
              <w:adjustRightInd w:val="0"/>
              <w:snapToGrid w:val="0"/>
              <w:spacing w:before="36" w:beforeLines="15" w:after="0" w:line="276" w:lineRule="auto"/>
              <w:jc w:val="both"/>
              <w:rPr>
                <w:snapToGrid w:val="0"/>
                <w:vanish/>
                <w:sz w:val="21"/>
                <w:szCs w:val="21"/>
              </w:rPr>
            </w:pPr>
            <w:r>
              <w:rPr>
                <w:rFonts w:eastAsia="宋体"/>
                <w:snapToGrid w:val="0"/>
                <w:sz w:val="21"/>
                <w:szCs w:val="21"/>
              </w:rPr>
              <w:t>PEW</w:t>
            </w:r>
          </w:p>
        </w:tc>
        <w:tc>
          <w:tcPr>
            <w:tcW w:w="3230" w:type="dxa"/>
            <w:tcBorders>
              <w:top w:val="single" w:color="auto" w:sz="4" w:space="0"/>
              <w:left w:val="single" w:color="auto" w:sz="4" w:space="0"/>
              <w:bottom w:val="single" w:color="auto" w:sz="4" w:space="0"/>
            </w:tcBorders>
            <w:shd w:val="clear" w:color="auto" w:fill="FFFFFF"/>
            <w:vAlign w:val="bottom"/>
          </w:tcPr>
          <w:p w14:paraId="4FDFEF1E">
            <w:pPr>
              <w:pStyle w:val="21"/>
              <w:adjustRightInd w:val="0"/>
              <w:snapToGrid w:val="0"/>
              <w:spacing w:before="36" w:beforeLines="15" w:after="0" w:line="276" w:lineRule="auto"/>
              <w:jc w:val="both"/>
              <w:rPr>
                <w:snapToGrid w:val="0"/>
                <w:sz w:val="21"/>
                <w:szCs w:val="21"/>
                <w:lang w:eastAsia="zh-CN"/>
              </w:rPr>
            </w:pPr>
            <w:r>
              <w:rPr>
                <w:rFonts w:eastAsia="宋体" w:cs="宋体"/>
                <w:sz w:val="21"/>
                <w:lang w:eastAsia="zh-CN"/>
              </w:rPr>
              <w:t>植入式经前列腺组织牵开器系统</w:t>
            </w:r>
          </w:p>
        </w:tc>
        <w:tc>
          <w:tcPr>
            <w:tcW w:w="2731" w:type="dxa"/>
            <w:tcBorders>
              <w:top w:val="single" w:color="auto" w:sz="4" w:space="0"/>
              <w:left w:val="single" w:color="auto" w:sz="4" w:space="0"/>
              <w:right w:val="single" w:color="auto" w:sz="4" w:space="0"/>
            </w:tcBorders>
            <w:shd w:val="clear" w:color="auto" w:fill="FFFFFF"/>
          </w:tcPr>
          <w:p w14:paraId="5CE52C30">
            <w:pPr>
              <w:pStyle w:val="21"/>
              <w:adjustRightInd w:val="0"/>
              <w:snapToGrid w:val="0"/>
              <w:spacing w:before="36" w:beforeLines="15" w:after="0" w:line="276" w:lineRule="auto"/>
              <w:jc w:val="both"/>
              <w:rPr>
                <w:snapToGrid w:val="0"/>
                <w:vanish/>
                <w:sz w:val="21"/>
                <w:szCs w:val="21"/>
              </w:rPr>
            </w:pPr>
            <w:r>
              <w:rPr>
                <w:rFonts w:eastAsia="宋体"/>
                <w:snapToGrid w:val="0"/>
                <w:sz w:val="21"/>
                <w:szCs w:val="21"/>
              </w:rPr>
              <w:t>21 CFR 876.5530</w:t>
            </w:r>
          </w:p>
        </w:tc>
      </w:tr>
      <w:tr w14:paraId="137FD06B">
        <w:tblPrEx>
          <w:tblCellMar>
            <w:top w:w="0" w:type="dxa"/>
            <w:left w:w="108" w:type="dxa"/>
            <w:bottom w:w="0" w:type="dxa"/>
            <w:right w:w="108" w:type="dxa"/>
          </w:tblCellMar>
        </w:tblPrEx>
        <w:trPr>
          <w:jc w:val="center"/>
        </w:trPr>
        <w:tc>
          <w:tcPr>
            <w:tcW w:w="1690" w:type="dxa"/>
            <w:tcBorders>
              <w:top w:val="single" w:color="auto" w:sz="4" w:space="0"/>
              <w:left w:val="single" w:color="auto" w:sz="4" w:space="0"/>
            </w:tcBorders>
            <w:shd w:val="clear" w:color="auto" w:fill="FFFFFF"/>
            <w:vAlign w:val="bottom"/>
          </w:tcPr>
          <w:p w14:paraId="5FB7E89C">
            <w:pPr>
              <w:pStyle w:val="21"/>
              <w:adjustRightInd w:val="0"/>
              <w:snapToGrid w:val="0"/>
              <w:spacing w:before="36" w:beforeLines="15" w:after="0" w:line="276" w:lineRule="auto"/>
              <w:jc w:val="both"/>
              <w:rPr>
                <w:snapToGrid w:val="0"/>
                <w:vanish/>
                <w:sz w:val="21"/>
                <w:szCs w:val="21"/>
              </w:rPr>
            </w:pPr>
            <w:r>
              <w:rPr>
                <w:rFonts w:eastAsia="宋体"/>
                <w:snapToGrid w:val="0"/>
                <w:sz w:val="21"/>
                <w:szCs w:val="21"/>
              </w:rPr>
              <w:t>PZP</w:t>
            </w:r>
          </w:p>
        </w:tc>
        <w:tc>
          <w:tcPr>
            <w:tcW w:w="3230" w:type="dxa"/>
            <w:tcBorders>
              <w:top w:val="single" w:color="auto" w:sz="4" w:space="0"/>
              <w:left w:val="single" w:color="auto" w:sz="4" w:space="0"/>
              <w:bottom w:val="single" w:color="auto" w:sz="4" w:space="0"/>
            </w:tcBorders>
            <w:shd w:val="clear" w:color="auto" w:fill="auto"/>
            <w:vAlign w:val="bottom"/>
          </w:tcPr>
          <w:p w14:paraId="2D639F82">
            <w:pPr>
              <w:pStyle w:val="21"/>
              <w:adjustRightInd w:val="0"/>
              <w:snapToGrid w:val="0"/>
              <w:spacing w:before="36" w:beforeLines="15" w:after="0" w:line="276" w:lineRule="auto"/>
              <w:jc w:val="both"/>
              <w:rPr>
                <w:rFonts w:eastAsia="宋体" w:cs="宋体"/>
                <w:sz w:val="21"/>
                <w:lang w:eastAsia="zh-CN"/>
              </w:rPr>
            </w:pPr>
            <w:r>
              <w:rPr>
                <w:rFonts w:eastAsia="宋体" w:cs="宋体"/>
                <w:sz w:val="21"/>
                <w:lang w:eastAsia="zh-CN"/>
              </w:rPr>
              <w:t>液体喷射清除系统</w:t>
            </w:r>
          </w:p>
        </w:tc>
        <w:tc>
          <w:tcPr>
            <w:tcW w:w="2731" w:type="dxa"/>
            <w:tcBorders>
              <w:top w:val="single" w:color="auto" w:sz="4" w:space="0"/>
              <w:left w:val="single" w:color="auto" w:sz="4" w:space="0"/>
              <w:right w:val="single" w:color="auto" w:sz="4" w:space="0"/>
            </w:tcBorders>
            <w:shd w:val="clear" w:color="auto" w:fill="FFFFFF"/>
            <w:vAlign w:val="bottom"/>
          </w:tcPr>
          <w:p w14:paraId="61EB1B36">
            <w:pPr>
              <w:pStyle w:val="21"/>
              <w:adjustRightInd w:val="0"/>
              <w:snapToGrid w:val="0"/>
              <w:spacing w:before="36" w:beforeLines="15" w:after="0" w:line="276" w:lineRule="auto"/>
              <w:jc w:val="both"/>
              <w:rPr>
                <w:snapToGrid w:val="0"/>
                <w:vanish/>
                <w:sz w:val="21"/>
                <w:szCs w:val="21"/>
              </w:rPr>
            </w:pPr>
            <w:r>
              <w:rPr>
                <w:rFonts w:eastAsia="宋体"/>
                <w:snapToGrid w:val="0"/>
                <w:sz w:val="21"/>
                <w:szCs w:val="21"/>
              </w:rPr>
              <w:t>21 CFR 876.4350</w:t>
            </w:r>
          </w:p>
        </w:tc>
      </w:tr>
      <w:tr w14:paraId="3702B2D0">
        <w:tblPrEx>
          <w:tblCellMar>
            <w:top w:w="0" w:type="dxa"/>
            <w:left w:w="108" w:type="dxa"/>
            <w:bottom w:w="0" w:type="dxa"/>
            <w:right w:w="108" w:type="dxa"/>
          </w:tblCellMar>
        </w:tblPrEx>
        <w:trPr>
          <w:jc w:val="center"/>
        </w:trPr>
        <w:tc>
          <w:tcPr>
            <w:tcW w:w="1690" w:type="dxa"/>
            <w:tcBorders>
              <w:top w:val="single" w:color="auto" w:sz="4" w:space="0"/>
              <w:left w:val="single" w:color="auto" w:sz="4" w:space="0"/>
              <w:bottom w:val="single" w:color="auto" w:sz="4" w:space="0"/>
            </w:tcBorders>
            <w:shd w:val="clear" w:color="auto" w:fill="FFFFFF"/>
          </w:tcPr>
          <w:p w14:paraId="296B5EA2">
            <w:pPr>
              <w:pStyle w:val="21"/>
              <w:adjustRightInd w:val="0"/>
              <w:snapToGrid w:val="0"/>
              <w:spacing w:before="36" w:beforeLines="15" w:after="0" w:line="276" w:lineRule="auto"/>
              <w:jc w:val="both"/>
              <w:rPr>
                <w:snapToGrid w:val="0"/>
                <w:vanish/>
                <w:sz w:val="21"/>
                <w:szCs w:val="21"/>
              </w:rPr>
            </w:pPr>
            <w:r>
              <w:rPr>
                <w:rFonts w:eastAsia="宋体"/>
                <w:snapToGrid w:val="0"/>
                <w:sz w:val="21"/>
                <w:szCs w:val="21"/>
              </w:rPr>
              <w:t>NOY</w:t>
            </w:r>
          </w:p>
        </w:tc>
        <w:tc>
          <w:tcPr>
            <w:tcW w:w="3230" w:type="dxa"/>
            <w:tcBorders>
              <w:top w:val="single" w:color="auto" w:sz="4" w:space="0"/>
              <w:left w:val="single" w:color="auto" w:sz="4" w:space="0"/>
              <w:bottom w:val="single" w:color="auto" w:sz="4" w:space="0"/>
            </w:tcBorders>
            <w:shd w:val="clear" w:color="auto" w:fill="FFFFFF"/>
            <w:vAlign w:val="bottom"/>
          </w:tcPr>
          <w:p w14:paraId="171A2474">
            <w:pPr>
              <w:pStyle w:val="21"/>
              <w:adjustRightInd w:val="0"/>
              <w:snapToGrid w:val="0"/>
              <w:spacing w:before="36" w:beforeLines="15" w:after="0" w:line="276" w:lineRule="auto"/>
              <w:jc w:val="both"/>
              <w:rPr>
                <w:snapToGrid w:val="0"/>
                <w:sz w:val="21"/>
                <w:szCs w:val="21"/>
                <w:lang w:eastAsia="zh-CN"/>
              </w:rPr>
            </w:pPr>
            <w:r>
              <w:rPr>
                <w:rFonts w:eastAsia="宋体" w:cs="宋体"/>
                <w:sz w:val="21"/>
                <w:lang w:eastAsia="zh-CN"/>
              </w:rPr>
              <w:t>治疗良性前列腺增生的栓剂</w:t>
            </w:r>
          </w:p>
        </w:tc>
        <w:tc>
          <w:tcPr>
            <w:tcW w:w="2731" w:type="dxa"/>
            <w:tcBorders>
              <w:top w:val="single" w:color="auto" w:sz="4" w:space="0"/>
              <w:left w:val="single" w:color="auto" w:sz="4" w:space="0"/>
              <w:bottom w:val="single" w:color="auto" w:sz="4" w:space="0"/>
              <w:right w:val="single" w:color="auto" w:sz="4" w:space="0"/>
            </w:tcBorders>
            <w:shd w:val="clear" w:color="auto" w:fill="FFFFFF"/>
          </w:tcPr>
          <w:p w14:paraId="60F52113">
            <w:pPr>
              <w:pStyle w:val="21"/>
              <w:adjustRightInd w:val="0"/>
              <w:snapToGrid w:val="0"/>
              <w:spacing w:before="36" w:beforeLines="15" w:after="0" w:line="276" w:lineRule="auto"/>
              <w:jc w:val="both"/>
              <w:rPr>
                <w:snapToGrid w:val="0"/>
                <w:vanish/>
                <w:sz w:val="21"/>
                <w:szCs w:val="21"/>
              </w:rPr>
            </w:pPr>
            <w:r>
              <w:rPr>
                <w:rFonts w:eastAsia="宋体"/>
                <w:snapToGrid w:val="0"/>
                <w:sz w:val="21"/>
                <w:szCs w:val="21"/>
              </w:rPr>
              <w:t>21 CFR 876.5550</w:t>
            </w:r>
          </w:p>
        </w:tc>
      </w:tr>
    </w:tbl>
    <w:p w14:paraId="7D92B864">
      <w:pPr>
        <w:pStyle w:val="34"/>
        <w:rPr>
          <w:rFonts w:eastAsia="宋体" w:cs="宋体"/>
          <w:lang w:eastAsia="zh-CN"/>
        </w:rPr>
      </w:pPr>
    </w:p>
    <w:p w14:paraId="00B8C493">
      <w:pPr>
        <w:pStyle w:val="34"/>
        <w:rPr>
          <w:rFonts w:eastAsia="宋体"/>
          <w:lang w:eastAsia="zh-CN"/>
        </w:rPr>
      </w:pPr>
      <w:bookmarkStart w:id="5" w:name="_Toc91869237"/>
      <w:r>
        <w:rPr>
          <w:rFonts w:eastAsia="宋体" w:cs="宋体"/>
          <w:lang w:eastAsia="zh-CN"/>
        </w:rPr>
        <w:t>III.</w:t>
      </w:r>
      <w:r>
        <w:rPr>
          <w:rFonts w:eastAsia="宋体" w:cs="宋体"/>
          <w:lang w:eastAsia="zh-CN"/>
        </w:rPr>
        <w:tab/>
      </w:r>
      <w:r>
        <w:rPr>
          <w:rFonts w:eastAsia="宋体" w:cs="宋体"/>
          <w:lang w:eastAsia="zh-CN"/>
        </w:rPr>
        <w:t>非临床试验建议</w:t>
      </w:r>
      <w:bookmarkEnd w:id="5"/>
    </w:p>
    <w:p w14:paraId="4B59F2C6">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FDA拟议仅更新现有BPH指南文件第III.K节中的一部分建议。</w:t>
      </w:r>
    </w:p>
    <w:p w14:paraId="54C378AF">
      <w:pPr>
        <w:pStyle w:val="35"/>
        <w:rPr>
          <w:rFonts w:eastAsia="宋体"/>
          <w:lang w:eastAsia="zh-CN"/>
        </w:rPr>
      </w:pPr>
      <w:bookmarkStart w:id="6" w:name="_Toc91869238"/>
      <w:r>
        <w:rPr>
          <w:rFonts w:eastAsia="宋体" w:cs="宋体"/>
          <w:lang w:eastAsia="zh-CN"/>
        </w:rPr>
        <w:t>K.</w:t>
      </w:r>
      <w:r>
        <w:rPr>
          <w:rFonts w:eastAsia="宋体" w:cs="宋体"/>
          <w:b w:val="0"/>
          <w:lang w:eastAsia="zh-CN"/>
        </w:rPr>
        <w:tab/>
      </w:r>
      <w:r>
        <w:rPr>
          <w:rFonts w:eastAsia="宋体" w:cs="宋体"/>
          <w:lang w:eastAsia="zh-CN"/>
        </w:rPr>
        <w:t>动物研究</w:t>
      </w:r>
      <w:bookmarkEnd w:id="6"/>
    </w:p>
    <w:p w14:paraId="69F9C64F">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动物研究</w:t>
      </w:r>
      <w:r>
        <w:rPr>
          <w:rFonts w:ascii="Times New Roman" w:hAnsi="Times New Roman" w:eastAsia="宋体" w:cs="宋体"/>
          <w:vertAlign w:val="superscript"/>
          <w:lang w:eastAsia="zh-CN"/>
        </w:rPr>
        <w:t>4</w:t>
      </w:r>
      <w:r>
        <w:rPr>
          <w:rFonts w:ascii="Times New Roman" w:hAnsi="Times New Roman" w:eastAsia="宋体" w:cs="宋体"/>
          <w:lang w:eastAsia="zh-CN"/>
        </w:rPr>
        <w:t>可以很好地评定器械的功能设计特性，并评价器械的预期用途。台架模型的局限性：仅通过台架试验难以充分评定某些安全性和有效性问题。例如，台架试验不能评定热场产生装置的组织坏死和愈合情况。对于大多数新型BPH器械，动物研究可在用于人体之前，提供数据以评价此类安全性和有效性问题。</w:t>
      </w:r>
    </w:p>
    <w:p w14:paraId="2E39C4C1">
      <w:pPr>
        <w:adjustRightInd w:val="0"/>
        <w:snapToGrid w:val="0"/>
        <w:spacing w:before="120" w:beforeLines="50" w:line="300" w:lineRule="auto"/>
        <w:jc w:val="both"/>
        <w:rPr>
          <w:rFonts w:ascii="Times New Roman" w:hAnsi="Times New Roman" w:eastAsia="宋体" w:cs="Times New Roman"/>
          <w:snapToGrid w:val="0"/>
          <w:lang w:eastAsia="zh-CN"/>
        </w:rPr>
      </w:pPr>
    </w:p>
    <w:p w14:paraId="793DE3D8">
      <w:pPr>
        <w:adjustRightInd w:val="0"/>
        <w:snapToGrid w:val="0"/>
        <w:spacing w:before="120" w:beforeLines="50" w:line="300" w:lineRule="auto"/>
        <w:jc w:val="both"/>
        <w:rPr>
          <w:rFonts w:ascii="Times New Roman" w:hAnsi="Times New Roman" w:eastAsia="宋体" w:cs="Times New Roman"/>
          <w:snapToGrid w:val="0"/>
          <w:lang w:eastAsia="zh-CN"/>
        </w:rPr>
      </w:pPr>
    </w:p>
    <w:p w14:paraId="565ADD76">
      <w:pPr>
        <w:adjustRightInd w:val="0"/>
        <w:snapToGrid w:val="0"/>
        <w:spacing w:before="120" w:beforeLines="50" w:line="300" w:lineRule="auto"/>
        <w:jc w:val="both"/>
        <w:rPr>
          <w:rFonts w:ascii="Times New Roman" w:hAnsi="Times New Roman" w:eastAsia="宋体" w:cs="Times New Roman"/>
          <w:snapToGrid w:val="0"/>
          <w:lang w:eastAsia="zh-CN"/>
        </w:rPr>
      </w:pPr>
    </w:p>
    <w:p w14:paraId="76EEEBC7">
      <w:pPr>
        <w:adjustRightInd w:val="0"/>
        <w:snapToGrid w:val="0"/>
        <w:spacing w:before="120" w:beforeLines="50" w:line="300" w:lineRule="auto"/>
        <w:jc w:val="both"/>
        <w:rPr>
          <w:rFonts w:ascii="Times New Roman" w:hAnsi="Times New Roman" w:eastAsia="宋体" w:cs="Times New Roman"/>
          <w:snapToGrid w:val="0"/>
          <w:lang w:eastAsia="zh-CN"/>
        </w:rPr>
      </w:pPr>
    </w:p>
    <w:p w14:paraId="46D8316C">
      <w:pPr>
        <w:adjustRightInd w:val="0"/>
        <w:snapToGrid w:val="0"/>
        <w:spacing w:before="120" w:beforeLines="50" w:line="300" w:lineRule="auto"/>
        <w:jc w:val="both"/>
        <w:rPr>
          <w:rFonts w:ascii="Times New Roman" w:hAnsi="Times New Roman" w:eastAsia="宋体" w:cs="Times New Roman"/>
          <w:snapToGrid w:val="0"/>
          <w:lang w:eastAsia="zh-CN"/>
        </w:rPr>
      </w:pPr>
    </w:p>
    <w:p w14:paraId="6EECC716">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_____________________</w:t>
      </w:r>
    </w:p>
    <w:p w14:paraId="0C9E8271">
      <w:pPr>
        <w:pStyle w:val="25"/>
        <w:tabs>
          <w:tab w:val="left" w:pos="115"/>
        </w:tabs>
        <w:adjustRightInd w:val="0"/>
        <w:snapToGrid w:val="0"/>
        <w:spacing w:before="36" w:beforeLines="15" w:line="276" w:lineRule="auto"/>
        <w:jc w:val="both"/>
        <w:rPr>
          <w:rFonts w:eastAsia="宋体"/>
          <w:snapToGrid w:val="0"/>
          <w:sz w:val="21"/>
          <w:szCs w:val="21"/>
          <w:lang w:eastAsia="zh-CN"/>
        </w:rPr>
      </w:pPr>
      <w:r>
        <w:rPr>
          <w:rFonts w:eastAsia="宋体" w:cs="宋体"/>
          <w:sz w:val="21"/>
          <w:vertAlign w:val="superscript"/>
          <w:lang w:eastAsia="zh-CN"/>
        </w:rPr>
        <w:t>4</w:t>
      </w:r>
      <w:r>
        <w:rPr>
          <w:rFonts w:eastAsia="宋体" w:cs="宋体"/>
          <w:sz w:val="21"/>
          <w:lang w:eastAsia="zh-CN"/>
        </w:rPr>
        <w:t xml:space="preserve"> FDA支持“3R”原则，即在可行情况下减少、改进和取代试验中的动物使用。如果</w:t>
      </w:r>
      <w:r>
        <w:rPr>
          <w:rFonts w:hint="eastAsia" w:eastAsia="宋体" w:cs="宋体"/>
          <w:sz w:val="21"/>
          <w:lang w:eastAsia="zh-CN"/>
        </w:rPr>
        <w:t>申请人</w:t>
      </w:r>
      <w:r>
        <w:rPr>
          <w:rFonts w:eastAsia="宋体" w:cs="宋体"/>
          <w:sz w:val="21"/>
          <w:lang w:eastAsia="zh-CN"/>
        </w:rPr>
        <w:t>希望使用其认为合适、充分、经确认和可行的非动物试验方法，本机构鼓励</w:t>
      </w:r>
      <w:r>
        <w:rPr>
          <w:rFonts w:hint="eastAsia" w:eastAsia="宋体" w:cs="宋体"/>
          <w:sz w:val="21"/>
          <w:lang w:eastAsia="zh-CN"/>
        </w:rPr>
        <w:t>申请人</w:t>
      </w:r>
      <w:r>
        <w:rPr>
          <w:rFonts w:eastAsia="宋体" w:cs="宋体"/>
          <w:sz w:val="21"/>
          <w:lang w:eastAsia="zh-CN"/>
        </w:rPr>
        <w:t>与本机构协商。本机构将考虑这种备选方法是否可被评价为等同于动物试验方法。</w:t>
      </w:r>
    </w:p>
    <w:p w14:paraId="37FEEECF">
      <w:pPr>
        <w:rPr>
          <w:rFonts w:ascii="Times New Roman" w:hAnsi="Times New Roman" w:eastAsia="宋体" w:cs="Times New Roman"/>
          <w:snapToGrid w:val="0"/>
          <w:lang w:eastAsia="zh-CN"/>
        </w:rPr>
      </w:pPr>
      <w:r>
        <w:rPr>
          <w:rFonts w:ascii="Times New Roman" w:hAnsi="Times New Roman" w:eastAsia="宋体" w:cs="宋体"/>
          <w:lang w:eastAsia="zh-CN"/>
        </w:rPr>
        <w:br w:type="page"/>
      </w:r>
    </w:p>
    <w:p w14:paraId="4A1C5929">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本机构建议评定是否需要动物研究用于综合非临床试验计划。对治疗BPH的新器械进行动物研究的决定因素如下：</w:t>
      </w:r>
    </w:p>
    <w:p w14:paraId="3C954B31">
      <w:pPr>
        <w:pStyle w:val="37"/>
        <w:numPr>
          <w:ilvl w:val="0"/>
          <w:numId w:val="1"/>
        </w:numPr>
        <w:adjustRightInd w:val="0"/>
        <w:snapToGrid w:val="0"/>
        <w:spacing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器械设计；</w:t>
      </w:r>
    </w:p>
    <w:p w14:paraId="467273B6">
      <w:pPr>
        <w:pStyle w:val="37"/>
        <w:numPr>
          <w:ilvl w:val="0"/>
          <w:numId w:val="1"/>
        </w:numPr>
        <w:adjustRightInd w:val="0"/>
        <w:snapToGrid w:val="0"/>
        <w:spacing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材料结构；</w:t>
      </w:r>
    </w:p>
    <w:p w14:paraId="2FCDEFF3">
      <w:pPr>
        <w:pStyle w:val="37"/>
        <w:numPr>
          <w:ilvl w:val="0"/>
          <w:numId w:val="1"/>
        </w:numPr>
        <w:adjustRightInd w:val="0"/>
        <w:snapToGrid w:val="0"/>
        <w:spacing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作用机理；</w:t>
      </w:r>
    </w:p>
    <w:p w14:paraId="0A7B0729">
      <w:pPr>
        <w:pStyle w:val="37"/>
        <w:numPr>
          <w:ilvl w:val="0"/>
          <w:numId w:val="1"/>
        </w:numPr>
        <w:adjustRightInd w:val="0"/>
        <w:snapToGrid w:val="0"/>
        <w:spacing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临床使用时间；</w:t>
      </w:r>
    </w:p>
    <w:p w14:paraId="2CCE671E">
      <w:pPr>
        <w:pStyle w:val="37"/>
        <w:numPr>
          <w:ilvl w:val="0"/>
          <w:numId w:val="1"/>
        </w:numPr>
        <w:adjustRightInd w:val="0"/>
        <w:snapToGrid w:val="0"/>
        <w:spacing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临床使用史；以及</w:t>
      </w:r>
    </w:p>
    <w:p w14:paraId="0556BEB9">
      <w:pPr>
        <w:pStyle w:val="37"/>
        <w:numPr>
          <w:ilvl w:val="0"/>
          <w:numId w:val="1"/>
        </w:numPr>
        <w:adjustRightInd w:val="0"/>
        <w:snapToGrid w:val="0"/>
        <w:spacing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既往动物研究、临床</w:t>
      </w:r>
      <w:r>
        <w:rPr>
          <w:rFonts w:hint="eastAsia" w:ascii="Times New Roman" w:hAnsi="Times New Roman" w:eastAsia="宋体" w:cs="宋体"/>
          <w:lang w:eastAsia="zh-CN"/>
        </w:rPr>
        <w:t>试验</w:t>
      </w:r>
      <w:r>
        <w:rPr>
          <w:rFonts w:ascii="Times New Roman" w:hAnsi="Times New Roman" w:eastAsia="宋体" w:cs="宋体"/>
          <w:lang w:eastAsia="zh-CN"/>
        </w:rPr>
        <w:t>（国外和国内）或其他适当研究的成果数据。</w:t>
      </w:r>
    </w:p>
    <w:p w14:paraId="6BDF63FF">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旨在评价器械安全性的动物研究应根据《美国联邦法规》第21篇第58部分进行。为了便于本机构评价研究方法和成果，</w:t>
      </w:r>
      <w:r>
        <w:rPr>
          <w:rFonts w:hint="eastAsia" w:ascii="Times New Roman" w:hAnsi="Times New Roman" w:eastAsia="宋体" w:cs="宋体"/>
          <w:lang w:eastAsia="zh-CN"/>
        </w:rPr>
        <w:t>FDA</w:t>
      </w:r>
      <w:r>
        <w:rPr>
          <w:rFonts w:ascii="Times New Roman" w:hAnsi="Times New Roman" w:eastAsia="宋体" w:cs="宋体"/>
          <w:lang w:eastAsia="zh-CN"/>
        </w:rPr>
        <w:t>建议提供以下方面的完整说明和理由：</w:t>
      </w:r>
    </w:p>
    <w:p w14:paraId="740C0E97">
      <w:pPr>
        <w:pStyle w:val="37"/>
        <w:numPr>
          <w:ilvl w:val="0"/>
          <w:numId w:val="2"/>
        </w:numPr>
        <w:adjustRightInd w:val="0"/>
        <w:snapToGrid w:val="0"/>
        <w:spacing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动物模型的选择和试验动物的数量；</w:t>
      </w:r>
      <w:r>
        <w:rPr>
          <w:rFonts w:ascii="Times New Roman" w:hAnsi="Times New Roman" w:eastAsia="宋体" w:cs="宋体"/>
          <w:vertAlign w:val="superscript"/>
          <w:lang w:eastAsia="zh-CN"/>
        </w:rPr>
        <w:t>5</w:t>
      </w:r>
    </w:p>
    <w:p w14:paraId="0D98B8DC">
      <w:pPr>
        <w:pStyle w:val="37"/>
        <w:numPr>
          <w:ilvl w:val="0"/>
          <w:numId w:val="2"/>
        </w:numPr>
        <w:adjustRightInd w:val="0"/>
        <w:snapToGrid w:val="0"/>
        <w:spacing w:line="300" w:lineRule="auto"/>
        <w:ind w:left="851" w:firstLineChars="0"/>
        <w:jc w:val="both"/>
        <w:rPr>
          <w:rFonts w:ascii="Times New Roman" w:hAnsi="Times New Roman" w:eastAsia="宋体" w:cs="Times New Roman"/>
          <w:snapToGrid w:val="0"/>
          <w:lang w:eastAsia="zh-CN"/>
        </w:rPr>
      </w:pPr>
      <w:r>
        <w:rPr>
          <w:rFonts w:hint="eastAsia" w:ascii="Times New Roman" w:hAnsi="Times New Roman" w:eastAsia="宋体" w:cs="宋体"/>
          <w:lang w:eastAsia="zh-CN"/>
        </w:rPr>
        <w:t>试验</w:t>
      </w:r>
      <w:r>
        <w:rPr>
          <w:rFonts w:ascii="Times New Roman" w:hAnsi="Times New Roman" w:eastAsia="宋体" w:cs="宋体"/>
          <w:lang w:eastAsia="zh-CN"/>
        </w:rPr>
        <w:t>方案，包括目的和程序；</w:t>
      </w:r>
    </w:p>
    <w:p w14:paraId="36F88918">
      <w:pPr>
        <w:pStyle w:val="37"/>
        <w:numPr>
          <w:ilvl w:val="0"/>
          <w:numId w:val="2"/>
        </w:numPr>
        <w:adjustRightInd w:val="0"/>
        <w:snapToGrid w:val="0"/>
        <w:spacing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研究成果，包括研究员意见；</w:t>
      </w:r>
    </w:p>
    <w:p w14:paraId="77B027E5">
      <w:pPr>
        <w:pStyle w:val="37"/>
        <w:numPr>
          <w:ilvl w:val="0"/>
          <w:numId w:val="2"/>
        </w:numPr>
        <w:adjustRightInd w:val="0"/>
        <w:snapToGrid w:val="0"/>
        <w:spacing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研究结论；</w:t>
      </w:r>
    </w:p>
    <w:p w14:paraId="3BF775A7">
      <w:pPr>
        <w:pStyle w:val="37"/>
        <w:numPr>
          <w:ilvl w:val="0"/>
          <w:numId w:val="2"/>
        </w:numPr>
        <w:adjustRightInd w:val="0"/>
        <w:snapToGrid w:val="0"/>
        <w:spacing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治疗部位；</w:t>
      </w:r>
    </w:p>
    <w:p w14:paraId="1F694C14">
      <w:pPr>
        <w:pStyle w:val="37"/>
        <w:numPr>
          <w:ilvl w:val="0"/>
          <w:numId w:val="2"/>
        </w:numPr>
        <w:adjustRightInd w:val="0"/>
        <w:snapToGrid w:val="0"/>
        <w:spacing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所有并发症；</w:t>
      </w:r>
    </w:p>
    <w:p w14:paraId="25986EE3">
      <w:pPr>
        <w:pStyle w:val="37"/>
        <w:numPr>
          <w:ilvl w:val="0"/>
          <w:numId w:val="2"/>
        </w:numPr>
        <w:adjustRightInd w:val="0"/>
        <w:snapToGrid w:val="0"/>
        <w:spacing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所有器械故障；以及</w:t>
      </w:r>
    </w:p>
    <w:p w14:paraId="63E2C936">
      <w:pPr>
        <w:pStyle w:val="37"/>
        <w:numPr>
          <w:ilvl w:val="0"/>
          <w:numId w:val="2"/>
        </w:numPr>
        <w:adjustRightInd w:val="0"/>
        <w:snapToGrid w:val="0"/>
        <w:spacing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与人体解剖学和器械预期用途有关的研究成果。</w:t>
      </w:r>
    </w:p>
    <w:p w14:paraId="0E4E1927">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此外，动物研究应包括由盲法独立病理学家对治疗区域进行的整体和组织学检查，包括以下内容：</w:t>
      </w:r>
    </w:p>
    <w:p w14:paraId="65279C4C">
      <w:pPr>
        <w:pStyle w:val="37"/>
        <w:numPr>
          <w:ilvl w:val="0"/>
          <w:numId w:val="3"/>
        </w:numPr>
        <w:adjustRightInd w:val="0"/>
        <w:snapToGrid w:val="0"/>
        <w:spacing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用于评价热损伤（视情况而定）的连续切片和苏木精-伊红染色和/或功能染色；</w:t>
      </w:r>
    </w:p>
    <w:p w14:paraId="3BA3F31D">
      <w:pPr>
        <w:pStyle w:val="37"/>
        <w:numPr>
          <w:ilvl w:val="0"/>
          <w:numId w:val="3"/>
        </w:numPr>
        <w:adjustRightInd w:val="0"/>
        <w:snapToGrid w:val="0"/>
        <w:spacing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组织病理切片的典型显微照片；以及</w:t>
      </w:r>
    </w:p>
    <w:p w14:paraId="1BB281C5">
      <w:pPr>
        <w:pStyle w:val="37"/>
        <w:numPr>
          <w:ilvl w:val="0"/>
          <w:numId w:val="3"/>
        </w:numPr>
        <w:adjustRightInd w:val="0"/>
        <w:snapToGrid w:val="0"/>
        <w:spacing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关于前列腺、直肠壁、膀胱颈、外括约肌、神经血管束和前列腺包膜的组织变化和三维变化范围的病理学家</w:t>
      </w:r>
      <w:r>
        <w:rPr>
          <w:rFonts w:hint="eastAsia" w:ascii="Times New Roman" w:hAnsi="Times New Roman" w:eastAsia="宋体" w:cs="宋体"/>
          <w:lang w:eastAsia="zh-CN"/>
        </w:rPr>
        <w:t>评价</w:t>
      </w:r>
      <w:r>
        <w:rPr>
          <w:rFonts w:ascii="Times New Roman" w:hAnsi="Times New Roman" w:eastAsia="宋体" w:cs="宋体"/>
          <w:lang w:eastAsia="zh-CN"/>
        </w:rPr>
        <w:t>和组织学</w:t>
      </w:r>
      <w:r>
        <w:rPr>
          <w:rFonts w:hint="eastAsia" w:ascii="Times New Roman" w:hAnsi="Times New Roman" w:eastAsia="宋体" w:cs="宋体"/>
          <w:lang w:eastAsia="zh-CN"/>
        </w:rPr>
        <w:t>描述</w:t>
      </w:r>
      <w:r>
        <w:rPr>
          <w:rFonts w:ascii="Times New Roman" w:hAnsi="Times New Roman" w:eastAsia="宋体" w:cs="宋体"/>
          <w:lang w:eastAsia="zh-CN"/>
        </w:rPr>
        <w:t>。</w:t>
      </w:r>
    </w:p>
    <w:p w14:paraId="2A291B10">
      <w:pPr>
        <w:adjustRightInd w:val="0"/>
        <w:snapToGrid w:val="0"/>
        <w:spacing w:before="120" w:beforeLines="50" w:line="300" w:lineRule="auto"/>
        <w:jc w:val="both"/>
        <w:rPr>
          <w:rFonts w:ascii="Times New Roman" w:hAnsi="Times New Roman" w:eastAsia="宋体" w:cs="Times New Roman"/>
          <w:snapToGrid w:val="0"/>
          <w:vertAlign w:val="superscript"/>
          <w:lang w:eastAsia="zh-CN"/>
        </w:rPr>
      </w:pPr>
      <w:r>
        <w:rPr>
          <w:rFonts w:ascii="Times New Roman" w:hAnsi="Times New Roman" w:eastAsia="宋体" w:cs="宋体"/>
          <w:lang w:eastAsia="zh-CN"/>
        </w:rPr>
        <w:t>在开始动物研究之前，本机构鼓励制造商提交Q-申请，以获取有关治疗BPH器械的任何动物研究的详细反馈。关于更多信息，请参见FDA指南文件《</w:t>
      </w:r>
      <w:r>
        <w:rPr>
          <w:rFonts w:ascii="Times New Roman" w:hAnsi="Times New Roman" w:eastAsia="宋体" w:cs="宋体"/>
          <w:color w:val="0000FF"/>
          <w:u w:val="single"/>
          <w:lang w:eastAsia="zh-CN"/>
        </w:rPr>
        <w:t>医疗器械申请的反馈和会议请求：Q-申请计划</w:t>
      </w:r>
      <w:r>
        <w:rPr>
          <w:rFonts w:ascii="Times New Roman" w:hAnsi="Times New Roman" w:eastAsia="宋体" w:cs="宋体"/>
          <w:lang w:eastAsia="zh-CN"/>
        </w:rPr>
        <w:t>》。</w:t>
      </w:r>
      <w:r>
        <w:rPr>
          <w:rFonts w:ascii="Times New Roman" w:hAnsi="Times New Roman" w:eastAsia="宋体" w:cs="宋体"/>
          <w:vertAlign w:val="superscript"/>
          <w:lang w:eastAsia="zh-CN"/>
        </w:rPr>
        <w:t>6</w:t>
      </w:r>
    </w:p>
    <w:p w14:paraId="06000D02">
      <w:pPr>
        <w:adjustRightInd w:val="0"/>
        <w:snapToGrid w:val="0"/>
        <w:spacing w:before="120" w:beforeLines="50" w:line="300" w:lineRule="auto"/>
        <w:jc w:val="both"/>
        <w:rPr>
          <w:rFonts w:ascii="Times New Roman" w:hAnsi="Times New Roman" w:eastAsia="宋体" w:cs="宋体"/>
          <w:lang w:eastAsia="zh-CN"/>
        </w:rPr>
      </w:pPr>
    </w:p>
    <w:p w14:paraId="4AFFB12F">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_____________________</w:t>
      </w:r>
    </w:p>
    <w:p w14:paraId="4E3D3F66">
      <w:pPr>
        <w:pStyle w:val="25"/>
        <w:tabs>
          <w:tab w:val="left" w:pos="115"/>
        </w:tabs>
        <w:adjustRightInd w:val="0"/>
        <w:snapToGrid w:val="0"/>
        <w:spacing w:before="36" w:beforeLines="15" w:line="276" w:lineRule="auto"/>
        <w:jc w:val="both"/>
        <w:rPr>
          <w:rFonts w:eastAsia="宋体"/>
          <w:snapToGrid w:val="0"/>
          <w:sz w:val="21"/>
          <w:szCs w:val="21"/>
          <w:lang w:eastAsia="zh-CN"/>
        </w:rPr>
      </w:pPr>
      <w:r>
        <w:rPr>
          <w:rFonts w:eastAsia="宋体" w:cs="宋体"/>
          <w:sz w:val="21"/>
          <w:vertAlign w:val="superscript"/>
          <w:lang w:eastAsia="zh-CN"/>
        </w:rPr>
        <w:t>5</w:t>
      </w:r>
      <w:r>
        <w:rPr>
          <w:rFonts w:eastAsia="宋体" w:cs="宋体"/>
          <w:sz w:val="21"/>
          <w:lang w:eastAsia="zh-CN"/>
        </w:rPr>
        <w:t xml:space="preserve"> 本机构建议在各实验条件下（即各观察时间点、各器械操作设置），用于研究的动物数量要具有分析意义。</w:t>
      </w:r>
    </w:p>
    <w:p w14:paraId="1EB61867">
      <w:pPr>
        <w:pStyle w:val="25"/>
        <w:tabs>
          <w:tab w:val="left" w:pos="115"/>
        </w:tabs>
        <w:adjustRightInd w:val="0"/>
        <w:snapToGrid w:val="0"/>
        <w:spacing w:before="36" w:beforeLines="15" w:line="276" w:lineRule="auto"/>
        <w:jc w:val="both"/>
        <w:rPr>
          <w:rFonts w:eastAsia="宋体"/>
          <w:snapToGrid w:val="0"/>
          <w:sz w:val="21"/>
          <w:szCs w:val="21"/>
        </w:rPr>
      </w:pPr>
      <w:r>
        <w:rPr>
          <w:rFonts w:eastAsia="宋体"/>
          <w:snapToGrid w:val="0"/>
          <w:sz w:val="21"/>
          <w:szCs w:val="21"/>
          <w:vertAlign w:val="superscript"/>
        </w:rPr>
        <w:t>6</w:t>
      </w:r>
      <w:r>
        <w:fldChar w:fldCharType="begin"/>
      </w:r>
      <w:r>
        <w:instrText xml:space="preserve"> HYPERLINK "https://www.fda.gov/regulatory-information/search-fda-guidance-documents/requests-feedback-and-meetings-" </w:instrText>
      </w:r>
      <w:r>
        <w:fldChar w:fldCharType="separate"/>
      </w:r>
      <w:r>
        <w:rPr>
          <w:rStyle w:val="14"/>
          <w:rFonts w:eastAsia="宋体"/>
          <w:snapToGrid w:val="0"/>
          <w:sz w:val="21"/>
          <w:szCs w:val="21"/>
        </w:rPr>
        <w:t>https://www.fda.gov/regulatory-information/search-fda-guidance-documents/requests-feedback-and-meetings-</w:t>
      </w:r>
      <w:r>
        <w:rPr>
          <w:rStyle w:val="14"/>
          <w:rFonts w:eastAsia="宋体"/>
          <w:snapToGrid w:val="0"/>
          <w:sz w:val="21"/>
          <w:szCs w:val="21"/>
        </w:rPr>
        <w:fldChar w:fldCharType="end"/>
      </w:r>
      <w:r>
        <w:fldChar w:fldCharType="begin"/>
      </w:r>
      <w:r>
        <w:instrText xml:space="preserve"> HYPERLINK "https://www.fda.gov/regulatory-information/search-fda-guidance-documents/requests-feedback-and-meetings-medical-device-submissions-q-submission-program" </w:instrText>
      </w:r>
      <w:r>
        <w:fldChar w:fldCharType="separate"/>
      </w:r>
      <w:r>
        <w:rPr>
          <w:rFonts w:eastAsia="宋体"/>
          <w:snapToGrid w:val="0"/>
          <w:color w:val="0000FF"/>
          <w:sz w:val="21"/>
          <w:szCs w:val="21"/>
          <w:u w:val="single"/>
        </w:rPr>
        <w:t>medical-device-submissions-q-submission-program</w:t>
      </w:r>
      <w:r>
        <w:rPr>
          <w:rFonts w:eastAsia="宋体"/>
          <w:snapToGrid w:val="0"/>
          <w:color w:val="0000FF"/>
          <w:sz w:val="21"/>
          <w:szCs w:val="21"/>
          <w:u w:val="single"/>
        </w:rPr>
        <w:fldChar w:fldCharType="end"/>
      </w:r>
      <w:r>
        <w:rPr>
          <w:rFonts w:eastAsia="宋体"/>
          <w:snapToGrid w:val="0"/>
          <w:sz w:val="21"/>
          <w:szCs w:val="21"/>
        </w:rPr>
        <w:t>.</w:t>
      </w:r>
    </w:p>
    <w:p w14:paraId="4AD2F3EB">
      <w:pPr>
        <w:rPr>
          <w:rFonts w:ascii="Times New Roman" w:hAnsi="Times New Roman" w:eastAsia="宋体" w:cs="Times New Roman"/>
          <w:snapToGrid w:val="0"/>
          <w:lang w:eastAsia="zh-CN"/>
        </w:rPr>
      </w:pPr>
      <w:r>
        <w:rPr>
          <w:rFonts w:ascii="Times New Roman" w:hAnsi="Times New Roman" w:eastAsia="宋体"/>
          <w:b/>
          <w:bCs/>
          <w:i/>
          <w:iCs/>
          <w:snapToGrid w:val="0"/>
          <w:lang w:eastAsia="zh-CN"/>
        </w:rPr>
        <w:br w:type="page"/>
      </w:r>
    </w:p>
    <w:p w14:paraId="6AB6A327">
      <w:pPr>
        <w:pStyle w:val="39"/>
        <w:rPr>
          <w:rFonts w:eastAsia="宋体"/>
          <w:lang w:eastAsia="zh-CN"/>
        </w:rPr>
      </w:pPr>
      <w:r>
        <w:rPr>
          <w:rFonts w:eastAsia="宋体" w:cs="宋体"/>
          <w:lang w:eastAsia="zh-CN"/>
        </w:rPr>
        <w:t>本机构建议对</w:t>
      </w:r>
      <w:r>
        <w:rPr>
          <w:rFonts w:hint="eastAsia" w:eastAsia="宋体"/>
          <w:lang w:eastAsia="zh-CN"/>
        </w:rPr>
        <w:t>新型</w:t>
      </w:r>
      <w:r>
        <w:rPr>
          <w:rFonts w:eastAsia="宋体" w:cs="宋体"/>
          <w:lang w:eastAsia="zh-CN"/>
        </w:rPr>
        <w:t>热场产生器械和支架进行以下具体的动物研究。</w:t>
      </w:r>
      <w:bookmarkStart w:id="7" w:name="_Toc91869239"/>
      <w:r>
        <w:rPr>
          <w:rFonts w:eastAsia="宋体"/>
          <w:lang w:eastAsia="zh-CN"/>
        </w:rPr>
        <w:t>（1）</w:t>
      </w:r>
      <w:r>
        <w:rPr>
          <w:rFonts w:eastAsia="宋体" w:cs="宋体"/>
          <w:lang w:eastAsia="zh-CN"/>
        </w:rPr>
        <w:t>温热疗法</w:t>
      </w:r>
      <w:bookmarkEnd w:id="7"/>
    </w:p>
    <w:p w14:paraId="7B9E0DCB">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设计用于治疗BPH的热场产生（即温热疗法）器械产生的温度会损伤组织。台架试验（如体外热成像）提供了部分证据，证明热场产生器械可以将靶组织升温到治疗温度，而不会对周围非靶组织（如直肠、膀胱）产生临床显著加热。然而，此类模型没有记录到影响器械性能和安全性的人体泌尿系统的重要特征，如血流、组织异质性和活性组织过程（如愈合）。</w:t>
      </w:r>
    </w:p>
    <w:p w14:paraId="798423E5">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本机构认为，在临床应用于人体之前，用于检查非靶组织的温度分布、组织学变化和安全性的动物研究对于评定治疗的组织效应非常重要。动物研究对于未定位加热且整个前列腺长时间暴露于加热的器械（例如，经尿道微波温热疗法（TUMT）器械）或使用新方法产生热场的器械非常重要。</w:t>
      </w:r>
    </w:p>
    <w:p w14:paraId="5D6211D5">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本机构建议进行一项体内动物研究，使用充分模仿人类前列腺解剖结构的完整雄性犬提供前列腺和非靶组织的完整热标测（即经会阴间质热标测，包括尿道、前列腺内、前列腺周围和直肠前壁组织）。治疗后应记录组织温度，直</w:t>
      </w:r>
      <w:r>
        <w:rPr>
          <w:rFonts w:hint="eastAsia" w:ascii="Times New Roman" w:hAnsi="Times New Roman" w:eastAsia="宋体" w:cs="宋体"/>
          <w:lang w:eastAsia="zh-CN"/>
        </w:rPr>
        <w:t>至</w:t>
      </w:r>
      <w:r>
        <w:rPr>
          <w:rFonts w:ascii="Times New Roman" w:hAnsi="Times New Roman" w:eastAsia="宋体" w:cs="宋体"/>
          <w:lang w:eastAsia="zh-CN"/>
        </w:rPr>
        <w:t>恢复到基线，以确保记录最高温度和时间-温度历史记录值。由于人体和动物解剖结构的差异，本机构建议对器械组件（如治疗敷贴器、温度探头）和温度传感器的位置进行图像验证。</w:t>
      </w:r>
    </w:p>
    <w:p w14:paraId="16530C25">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本机构建议为模拟人类临床使用的动物研究选择器械操作参数，以评价器械设计的安全性和功能</w:t>
      </w:r>
      <w:r>
        <w:rPr>
          <w:rFonts w:hint="eastAsia" w:ascii="Times New Roman" w:hAnsi="Times New Roman" w:eastAsia="宋体" w:cs="宋体"/>
          <w:lang w:eastAsia="zh-CN"/>
        </w:rPr>
        <w:t>性</w:t>
      </w:r>
      <w:r>
        <w:rPr>
          <w:rFonts w:ascii="Times New Roman" w:hAnsi="Times New Roman" w:eastAsia="宋体" w:cs="宋体"/>
          <w:lang w:eastAsia="zh-CN"/>
        </w:rPr>
        <w:t>，并验证器械的预期用途。应评价可实现的功率级别和温度的完整范围，包括最大功率和时间设置。如果器械包括多个治疗敷贴器设计或可变操作设置（例如治疗时间、功率），本机构建议对每个设计和设置进行完整测试。例如，如果器械同时包括冷却式治疗敷贴器和非冷却式治疗敷贴器，本机构建议在动物研究中使用最小、中等和最大设置来评价各个治疗敷贴器。如果器械同时包括多次治疗，则动物研究中使用的治疗次数应等于或超过您计划的最大治疗次数。</w:t>
      </w:r>
    </w:p>
    <w:p w14:paraId="0B05B346">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由于此类器械</w:t>
      </w:r>
      <w:r>
        <w:rPr>
          <w:rFonts w:hint="eastAsia" w:ascii="Times New Roman" w:hAnsi="Times New Roman" w:eastAsia="宋体" w:cs="宋体"/>
          <w:lang w:eastAsia="zh-CN"/>
        </w:rPr>
        <w:t>通过</w:t>
      </w:r>
      <w:r>
        <w:rPr>
          <w:rFonts w:ascii="Times New Roman" w:hAnsi="Times New Roman" w:eastAsia="宋体" w:cs="宋体"/>
          <w:lang w:eastAsia="zh-CN"/>
        </w:rPr>
        <w:t>急性组织损伤、坏死和随后的愈合来实现其预期用途，因此本机构建议评价前期组织效应和后续的前期愈合（例如治疗后24小时、治疗后三周）。</w:t>
      </w:r>
    </w:p>
    <w:p w14:paraId="74BB3102">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按照以上说明，本机构建议提供组织变化的组织学</w:t>
      </w:r>
      <w:r>
        <w:rPr>
          <w:rFonts w:hint="eastAsia" w:ascii="Times New Roman" w:hAnsi="Times New Roman" w:eastAsia="宋体" w:cs="宋体"/>
          <w:lang w:eastAsia="zh-CN"/>
        </w:rPr>
        <w:t>评价</w:t>
      </w:r>
      <w:r>
        <w:rPr>
          <w:rFonts w:ascii="Times New Roman" w:hAnsi="Times New Roman" w:eastAsia="宋体" w:cs="宋体"/>
          <w:lang w:eastAsia="zh-CN"/>
        </w:rPr>
        <w:t>，并讨论与人体解剖学相关的热效应范围。具体而言，本机构建议将观察到的组织热效应区域与相关解剖结构进行比较，包括：</w:t>
      </w:r>
    </w:p>
    <w:p w14:paraId="4C541CDA">
      <w:pPr>
        <w:rPr>
          <w:rFonts w:ascii="Times New Roman" w:hAnsi="Times New Roman" w:eastAsia="宋体" w:cs="Times New Roman"/>
          <w:snapToGrid w:val="0"/>
          <w:lang w:eastAsia="zh-CN"/>
        </w:rPr>
      </w:pPr>
      <w:r>
        <w:rPr>
          <w:rFonts w:ascii="Times New Roman" w:hAnsi="Times New Roman" w:eastAsia="宋体" w:cs="宋体"/>
          <w:lang w:eastAsia="zh-CN"/>
        </w:rPr>
        <w:br w:type="page"/>
      </w:r>
    </w:p>
    <w:p w14:paraId="51E3AC3D">
      <w:pPr>
        <w:pStyle w:val="37"/>
        <w:numPr>
          <w:ilvl w:val="0"/>
          <w:numId w:val="4"/>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靶组织与非靶组织的比较；以及</w:t>
      </w:r>
    </w:p>
    <w:p w14:paraId="26538038">
      <w:pPr>
        <w:pStyle w:val="37"/>
        <w:numPr>
          <w:ilvl w:val="0"/>
          <w:numId w:val="4"/>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靶组织与周围重要组织，包括直肠壁、尿道、神经血管束的关系。</w:t>
      </w:r>
    </w:p>
    <w:p w14:paraId="6C6AB8EF">
      <w:pPr>
        <w:pStyle w:val="39"/>
        <w:rPr>
          <w:rFonts w:eastAsia="宋体"/>
          <w:lang w:eastAsia="zh-CN"/>
        </w:rPr>
      </w:pPr>
      <w:bookmarkStart w:id="8" w:name="_Toc91869240"/>
      <w:r>
        <w:rPr>
          <w:rFonts w:eastAsia="宋体"/>
          <w:lang w:eastAsia="zh-CN"/>
        </w:rPr>
        <w:t>（</w:t>
      </w:r>
      <w:r>
        <w:rPr>
          <w:rFonts w:hint="eastAsia" w:eastAsia="宋体"/>
          <w:lang w:eastAsia="zh-CN"/>
        </w:rPr>
        <w:t>2</w:t>
      </w:r>
      <w:r>
        <w:rPr>
          <w:rFonts w:eastAsia="宋体"/>
          <w:lang w:eastAsia="zh-CN"/>
        </w:rPr>
        <w:t>）</w:t>
      </w:r>
      <w:r>
        <w:rPr>
          <w:rFonts w:eastAsia="宋体" w:cs="宋体"/>
          <w:lang w:eastAsia="zh-CN"/>
        </w:rPr>
        <w:t>支架</w:t>
      </w:r>
      <w:bookmarkEnd w:id="8"/>
    </w:p>
    <w:p w14:paraId="5545ABCC">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本机构是否建议对治疗或缓解BPH的前列腺支架进行动物研究取决于器械设计、材料结构、作用机制、使用期限和其他新型方面。例如，本机构建议在将永久性前列腺支架用于临床前，使用动物</w:t>
      </w:r>
      <w:r>
        <w:rPr>
          <w:rFonts w:hint="eastAsia" w:ascii="Times New Roman" w:hAnsi="Times New Roman" w:eastAsia="宋体" w:cs="宋体"/>
          <w:lang w:eastAsia="zh-CN"/>
        </w:rPr>
        <w:t>试验</w:t>
      </w:r>
      <w:r>
        <w:rPr>
          <w:rFonts w:ascii="Times New Roman" w:hAnsi="Times New Roman" w:eastAsia="宋体" w:cs="宋体"/>
          <w:lang w:eastAsia="zh-CN"/>
        </w:rPr>
        <w:t>数据来评价其安全性。</w:t>
      </w:r>
    </w:p>
    <w:p w14:paraId="6CDC9E6D">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本机构建议使用与预期临床方法非常接近的动物研究方案来评价程序的安全性、功能设计特征，并确认器械用于其预期用途时的性能。此外，本机构建议选择随访期和处死期，为器械</w:t>
      </w:r>
      <w:r>
        <w:rPr>
          <w:rFonts w:hint="eastAsia" w:ascii="Times New Roman" w:hAnsi="Times New Roman" w:eastAsia="宋体" w:cs="宋体"/>
          <w:lang w:eastAsia="zh-CN"/>
        </w:rPr>
        <w:t>有效性</w:t>
      </w:r>
      <w:r>
        <w:rPr>
          <w:rFonts w:ascii="Times New Roman" w:hAnsi="Times New Roman" w:eastAsia="宋体" w:cs="宋体"/>
          <w:lang w:eastAsia="zh-CN"/>
        </w:rPr>
        <w:t>提供具有临床显著性的</w:t>
      </w:r>
      <w:r>
        <w:rPr>
          <w:rFonts w:hint="eastAsia" w:ascii="Times New Roman" w:hAnsi="Times New Roman" w:eastAsia="宋体" w:cs="宋体"/>
          <w:lang w:eastAsia="zh-CN"/>
        </w:rPr>
        <w:t>评价</w:t>
      </w:r>
      <w:r>
        <w:rPr>
          <w:rFonts w:ascii="Times New Roman" w:hAnsi="Times New Roman" w:eastAsia="宋体" w:cs="宋体"/>
          <w:lang w:eastAsia="zh-CN"/>
        </w:rPr>
        <w:t>。</w:t>
      </w:r>
    </w:p>
    <w:p w14:paraId="66B6BC53">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本机构建议动物研究应包括：</w:t>
      </w:r>
    </w:p>
    <w:p w14:paraId="0B639865">
      <w:pPr>
        <w:pStyle w:val="37"/>
        <w:numPr>
          <w:ilvl w:val="0"/>
          <w:numId w:val="5"/>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按照临床方案放置单个支架；</w:t>
      </w:r>
    </w:p>
    <w:p w14:paraId="06D9FED0">
      <w:pPr>
        <w:pStyle w:val="37"/>
        <w:numPr>
          <w:ilvl w:val="0"/>
          <w:numId w:val="5"/>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临床研究中拟使用的最大数量支架的放置；</w:t>
      </w:r>
    </w:p>
    <w:p w14:paraId="741113CD">
      <w:pPr>
        <w:pStyle w:val="37"/>
        <w:numPr>
          <w:ilvl w:val="0"/>
          <w:numId w:val="5"/>
        </w:numPr>
        <w:adjustRightInd w:val="0"/>
        <w:snapToGrid w:val="0"/>
        <w:spacing w:before="120" w:beforeLines="50"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器械重新定位；以及</w:t>
      </w:r>
    </w:p>
    <w:p w14:paraId="4E31A00D">
      <w:pPr>
        <w:pStyle w:val="37"/>
        <w:numPr>
          <w:ilvl w:val="0"/>
          <w:numId w:val="5"/>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使用制造商推荐的技术进行拆卸。</w:t>
      </w:r>
    </w:p>
    <w:p w14:paraId="60D5E0DF">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本机构建议此次动物研究根据临床风险</w:t>
      </w:r>
      <w:r>
        <w:rPr>
          <w:rFonts w:hint="eastAsia" w:ascii="Times New Roman" w:hAnsi="Times New Roman" w:eastAsia="宋体" w:cs="宋体"/>
          <w:lang w:eastAsia="zh-CN"/>
        </w:rPr>
        <w:t>评价</w:t>
      </w:r>
      <w:r>
        <w:rPr>
          <w:rFonts w:ascii="Times New Roman" w:hAnsi="Times New Roman" w:eastAsia="宋体" w:cs="宋体"/>
          <w:lang w:eastAsia="zh-CN"/>
        </w:rPr>
        <w:t>，使用影像学、整体和组织学评价等</w:t>
      </w:r>
      <w:r>
        <w:rPr>
          <w:rFonts w:hint="eastAsia" w:ascii="Times New Roman" w:hAnsi="Times New Roman" w:eastAsia="宋体" w:cs="宋体"/>
          <w:lang w:eastAsia="zh-CN"/>
        </w:rPr>
        <w:t>评价</w:t>
      </w:r>
      <w:r>
        <w:rPr>
          <w:rFonts w:ascii="Times New Roman" w:hAnsi="Times New Roman" w:eastAsia="宋体" w:cs="宋体"/>
          <w:lang w:eastAsia="zh-CN"/>
        </w:rPr>
        <w:t>以下不良事件：</w:t>
      </w:r>
    </w:p>
    <w:p w14:paraId="0820B62A">
      <w:pPr>
        <w:pStyle w:val="37"/>
        <w:numPr>
          <w:ilvl w:val="0"/>
          <w:numId w:val="6"/>
        </w:numPr>
        <w:adjustRightInd w:val="0"/>
        <w:snapToGrid w:val="0"/>
        <w:spacing w:before="120" w:beforeLines="50"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支架移位；</w:t>
      </w:r>
    </w:p>
    <w:p w14:paraId="69F912FE">
      <w:pPr>
        <w:pStyle w:val="37"/>
        <w:numPr>
          <w:ilvl w:val="0"/>
          <w:numId w:val="6"/>
        </w:numPr>
        <w:adjustRightInd w:val="0"/>
        <w:snapToGrid w:val="0"/>
        <w:spacing w:before="120" w:beforeLines="50"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结垢；</w:t>
      </w:r>
    </w:p>
    <w:p w14:paraId="135A7AC9">
      <w:pPr>
        <w:pStyle w:val="37"/>
        <w:numPr>
          <w:ilvl w:val="0"/>
          <w:numId w:val="6"/>
        </w:numPr>
        <w:adjustRightInd w:val="0"/>
        <w:snapToGrid w:val="0"/>
        <w:spacing w:before="120" w:beforeLines="50"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腐蚀；</w:t>
      </w:r>
    </w:p>
    <w:p w14:paraId="112522B3">
      <w:pPr>
        <w:pStyle w:val="37"/>
        <w:numPr>
          <w:ilvl w:val="0"/>
          <w:numId w:val="6"/>
        </w:numPr>
        <w:adjustRightInd w:val="0"/>
        <w:snapToGrid w:val="0"/>
        <w:spacing w:before="120" w:beforeLines="50"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压力性坏死；</w:t>
      </w:r>
    </w:p>
    <w:p w14:paraId="58B0F0E9">
      <w:pPr>
        <w:pStyle w:val="37"/>
        <w:numPr>
          <w:ilvl w:val="0"/>
          <w:numId w:val="6"/>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尿路上皮增生/组织长入；</w:t>
      </w:r>
    </w:p>
    <w:p w14:paraId="17170A37">
      <w:pPr>
        <w:pStyle w:val="37"/>
        <w:numPr>
          <w:ilvl w:val="0"/>
          <w:numId w:val="6"/>
        </w:numPr>
        <w:adjustRightInd w:val="0"/>
        <w:snapToGrid w:val="0"/>
        <w:spacing w:before="120" w:beforeLines="50"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结石形成；</w:t>
      </w:r>
    </w:p>
    <w:p w14:paraId="69EFA536">
      <w:pPr>
        <w:pStyle w:val="37"/>
        <w:numPr>
          <w:ilvl w:val="0"/>
          <w:numId w:val="6"/>
        </w:numPr>
        <w:adjustRightInd w:val="0"/>
        <w:snapToGrid w:val="0"/>
        <w:spacing w:before="120" w:beforeLines="50"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尿道水肿；</w:t>
      </w:r>
    </w:p>
    <w:p w14:paraId="29A20287">
      <w:pPr>
        <w:pStyle w:val="37"/>
        <w:numPr>
          <w:ilvl w:val="0"/>
          <w:numId w:val="6"/>
        </w:numPr>
        <w:adjustRightInd w:val="0"/>
        <w:snapToGrid w:val="0"/>
        <w:spacing w:before="120" w:beforeLines="50"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细胞异型；以及</w:t>
      </w:r>
    </w:p>
    <w:p w14:paraId="4747BCD3">
      <w:pPr>
        <w:pStyle w:val="37"/>
        <w:numPr>
          <w:ilvl w:val="0"/>
          <w:numId w:val="6"/>
        </w:numPr>
        <w:adjustRightInd w:val="0"/>
        <w:snapToGrid w:val="0"/>
        <w:spacing w:before="120" w:beforeLines="50"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器械故障或破损。</w:t>
      </w:r>
    </w:p>
    <w:p w14:paraId="2623C4F1">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本机构建议对支架包括钙化、腐蚀和上皮化进行宏观和微观评价。</w:t>
      </w:r>
    </w:p>
    <w:p w14:paraId="454726AB">
      <w:pPr>
        <w:adjustRightInd w:val="0"/>
        <w:snapToGrid w:val="0"/>
        <w:spacing w:before="120" w:beforeLines="50" w:line="300" w:lineRule="auto"/>
        <w:jc w:val="both"/>
        <w:rPr>
          <w:rFonts w:ascii="Times New Roman" w:hAnsi="Times New Roman" w:eastAsia="宋体" w:cs="Times New Roman"/>
          <w:b/>
          <w:bCs/>
          <w:i/>
          <w:iCs/>
          <w:snapToGrid w:val="0"/>
          <w:lang w:eastAsia="zh-CN"/>
        </w:rPr>
      </w:pPr>
      <w:r>
        <w:rPr>
          <w:rFonts w:ascii="Times New Roman" w:hAnsi="Times New Roman" w:eastAsia="宋体" w:cs="宋体"/>
          <w:lang w:eastAsia="zh-CN"/>
        </w:rPr>
        <w:t>如果支架可以</w:t>
      </w:r>
      <w:r>
        <w:rPr>
          <w:rFonts w:hint="eastAsia" w:ascii="Times New Roman" w:hAnsi="Times New Roman" w:eastAsia="宋体" w:cs="宋体"/>
          <w:lang w:eastAsia="zh-CN"/>
        </w:rPr>
        <w:t>移植</w:t>
      </w:r>
      <w:r>
        <w:rPr>
          <w:rFonts w:ascii="Times New Roman" w:hAnsi="Times New Roman" w:eastAsia="宋体" w:cs="宋体"/>
          <w:lang w:eastAsia="zh-CN"/>
        </w:rPr>
        <w:t>或移除，本机构建议对</w:t>
      </w:r>
      <w:r>
        <w:rPr>
          <w:rFonts w:hint="eastAsia" w:ascii="Times New Roman" w:hAnsi="Times New Roman" w:eastAsia="宋体" w:cs="宋体"/>
          <w:lang w:eastAsia="zh-CN"/>
        </w:rPr>
        <w:t>移植</w:t>
      </w:r>
      <w:r>
        <w:rPr>
          <w:rFonts w:ascii="Times New Roman" w:hAnsi="Times New Roman" w:eastAsia="宋体" w:cs="宋体"/>
          <w:lang w:eastAsia="zh-CN"/>
        </w:rPr>
        <w:t>的支架进行类似于非临床测试的机械测试，以评价支架植入可能导致的器械结构完整性的任何变化。</w:t>
      </w:r>
      <w:r>
        <w:rPr>
          <w:rFonts w:ascii="Times New Roman" w:hAnsi="Times New Roman" w:eastAsia="宋体" w:cs="宋体"/>
          <w:lang w:eastAsia="zh-CN"/>
        </w:rPr>
        <w:br w:type="page"/>
      </w:r>
    </w:p>
    <w:p w14:paraId="55A35526">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如果支架针对原位处的再吸收或降解而设计，本机构建议评价降解过程中多个时间点的吸收或降解程度，以确保充分</w:t>
      </w:r>
      <w:r>
        <w:rPr>
          <w:rFonts w:hint="eastAsia" w:ascii="Times New Roman" w:hAnsi="Times New Roman" w:eastAsia="宋体" w:cs="宋体"/>
          <w:lang w:eastAsia="zh-CN"/>
        </w:rPr>
        <w:t>评价</w:t>
      </w:r>
      <w:r>
        <w:rPr>
          <w:rFonts w:ascii="Times New Roman" w:hAnsi="Times New Roman" w:eastAsia="宋体" w:cs="宋体"/>
          <w:lang w:eastAsia="zh-CN"/>
        </w:rPr>
        <w:t>组织对</w:t>
      </w:r>
      <w:r>
        <w:rPr>
          <w:rFonts w:hint="eastAsia" w:ascii="Times New Roman" w:hAnsi="Times New Roman" w:eastAsia="宋体" w:cs="宋体"/>
          <w:lang w:eastAsia="zh-CN"/>
        </w:rPr>
        <w:t>初始</w:t>
      </w:r>
      <w:r>
        <w:rPr>
          <w:rFonts w:ascii="Times New Roman" w:hAnsi="Times New Roman" w:eastAsia="宋体" w:cs="宋体"/>
          <w:lang w:eastAsia="zh-CN"/>
        </w:rPr>
        <w:t>、中间和最终降解产物的反应。本机构还建议评价的时间应足以确定降解率，并证明支架完全愈合和完全消除。研究时间点的选择可能取决于材料的性质，并应与预估的降解时间相关联。</w:t>
      </w:r>
    </w:p>
    <w:p w14:paraId="76066346">
      <w:pPr>
        <w:pStyle w:val="34"/>
        <w:rPr>
          <w:rFonts w:eastAsia="宋体"/>
          <w:lang w:eastAsia="zh-CN"/>
        </w:rPr>
      </w:pPr>
      <w:bookmarkStart w:id="9" w:name="_Toc91869241"/>
      <w:r>
        <w:rPr>
          <w:rFonts w:eastAsia="宋体" w:cs="宋体"/>
          <w:lang w:eastAsia="zh-CN"/>
        </w:rPr>
        <w:t>IV.</w:t>
      </w:r>
      <w:r>
        <w:rPr>
          <w:rFonts w:eastAsia="宋体" w:cs="宋体"/>
          <w:lang w:eastAsia="zh-CN"/>
        </w:rPr>
        <w:tab/>
      </w:r>
      <w:r>
        <w:rPr>
          <w:rFonts w:eastAsia="宋体" w:cs="宋体"/>
          <w:lang w:eastAsia="zh-CN"/>
        </w:rPr>
        <w:t>试点研究建议</w:t>
      </w:r>
      <w:bookmarkEnd w:id="9"/>
    </w:p>
    <w:p w14:paraId="6E1B77C7">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FDA目前无意对现有BPH指南文件第IV节的内容进行重大修改。FDA拟进行以下修改：</w:t>
      </w:r>
    </w:p>
    <w:p w14:paraId="2ECEF72B">
      <w:pPr>
        <w:pStyle w:val="37"/>
        <w:numPr>
          <w:ilvl w:val="0"/>
          <w:numId w:val="7"/>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FDA拟将本节的名称改为“试点临床研究建议”。</w:t>
      </w:r>
    </w:p>
    <w:p w14:paraId="54ECF96C">
      <w:pPr>
        <w:pStyle w:val="37"/>
        <w:numPr>
          <w:ilvl w:val="0"/>
          <w:numId w:val="7"/>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在第五段中，FDA拟修改以下建议：</w:t>
      </w:r>
      <w:r>
        <w:rPr>
          <w:rFonts w:hint="eastAsia" w:ascii="Times New Roman" w:hAnsi="Times New Roman" w:eastAsia="宋体" w:cs="宋体"/>
          <w:lang w:eastAsia="zh-CN"/>
        </w:rPr>
        <w:t>申请人</w:t>
      </w:r>
      <w:r>
        <w:rPr>
          <w:rFonts w:ascii="Times New Roman" w:hAnsi="Times New Roman" w:eastAsia="宋体" w:cs="宋体"/>
          <w:lang w:eastAsia="zh-CN"/>
        </w:rPr>
        <w:t>是否计划收集试点性和关键性研究成果，即这种收集是否具有前瞻性，并拟保留以下建议：</w:t>
      </w:r>
      <w:r>
        <w:rPr>
          <w:rFonts w:hint="eastAsia" w:ascii="Times New Roman" w:hAnsi="Times New Roman" w:eastAsia="宋体" w:cs="宋体"/>
          <w:lang w:eastAsia="zh-CN"/>
        </w:rPr>
        <w:t>申请人</w:t>
      </w:r>
      <w:r>
        <w:rPr>
          <w:rFonts w:ascii="Times New Roman" w:hAnsi="Times New Roman" w:eastAsia="宋体" w:cs="宋体"/>
          <w:lang w:eastAsia="zh-CN"/>
        </w:rPr>
        <w:t>提供的理由可以证明收集试点性和关键性研究的数据在统计学和临床上有效；且</w:t>
      </w:r>
    </w:p>
    <w:p w14:paraId="2229850B">
      <w:pPr>
        <w:pStyle w:val="37"/>
        <w:numPr>
          <w:ilvl w:val="0"/>
          <w:numId w:val="7"/>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在第七段也是最后一段中，FDA拟纳入以下建议：用于说明前列腺和前列腺周围组织中温度分布的方法包括直肠壁和尿道。目前的建议仅包括直肠壁。</w:t>
      </w:r>
    </w:p>
    <w:p w14:paraId="2DE1C48C">
      <w:pPr>
        <w:pStyle w:val="34"/>
        <w:rPr>
          <w:rFonts w:eastAsia="宋体"/>
          <w:lang w:eastAsia="zh-CN"/>
        </w:rPr>
      </w:pPr>
      <w:bookmarkStart w:id="10" w:name="_Toc91869242"/>
      <w:r>
        <w:rPr>
          <w:rFonts w:eastAsia="宋体" w:cs="宋体"/>
          <w:lang w:eastAsia="zh-CN"/>
        </w:rPr>
        <w:t>V.</w:t>
      </w:r>
      <w:r>
        <w:rPr>
          <w:rFonts w:eastAsia="宋体" w:cs="宋体"/>
          <w:lang w:eastAsia="zh-CN"/>
        </w:rPr>
        <w:tab/>
      </w:r>
      <w:r>
        <w:rPr>
          <w:rFonts w:eastAsia="宋体" w:cs="宋体"/>
          <w:lang w:eastAsia="zh-CN"/>
        </w:rPr>
        <w:t>关键性研究建议</w:t>
      </w:r>
      <w:bookmarkEnd w:id="10"/>
    </w:p>
    <w:p w14:paraId="493E08A0">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FDA拟将现有BPH指南第V节的标题改为“关键性临床研究建议”，并建议使用FDA指南《</w:t>
      </w:r>
      <w:r>
        <w:rPr>
          <w:rFonts w:ascii="Times New Roman" w:hAnsi="Times New Roman" w:eastAsia="宋体" w:cs="宋体"/>
          <w:color w:val="0000FF"/>
          <w:u w:val="single"/>
          <w:lang w:eastAsia="zh-CN"/>
        </w:rPr>
        <w:t>医疗器械关键性临床研究的设计考量</w:t>
      </w:r>
      <w:r>
        <w:rPr>
          <w:rFonts w:ascii="Times New Roman" w:hAnsi="Times New Roman" w:eastAsia="宋体" w:cs="宋体"/>
          <w:lang w:eastAsia="zh-CN"/>
        </w:rPr>
        <w:t>》</w:t>
      </w:r>
      <w:r>
        <w:rPr>
          <w:rFonts w:ascii="Times New Roman" w:hAnsi="Times New Roman" w:eastAsia="宋体" w:cs="宋体"/>
          <w:vertAlign w:val="superscript"/>
          <w:lang w:eastAsia="zh-CN"/>
        </w:rPr>
        <w:t>7</w:t>
      </w:r>
      <w:r>
        <w:rPr>
          <w:rFonts w:ascii="Times New Roman" w:hAnsi="Times New Roman" w:eastAsia="宋体" w:cs="宋体"/>
          <w:lang w:eastAsia="zh-CN"/>
        </w:rPr>
        <w:t>作为FDA当前对医疗器械临床</w:t>
      </w:r>
      <w:r>
        <w:rPr>
          <w:rFonts w:hint="eastAsia" w:ascii="Times New Roman" w:hAnsi="Times New Roman" w:eastAsia="宋体" w:cs="宋体"/>
          <w:lang w:eastAsia="zh-CN"/>
        </w:rPr>
        <w:t>试验</w:t>
      </w:r>
      <w:r>
        <w:rPr>
          <w:rFonts w:ascii="Times New Roman" w:hAnsi="Times New Roman" w:eastAsia="宋体" w:cs="宋体"/>
          <w:lang w:eastAsia="zh-CN"/>
        </w:rPr>
        <w:t>设计原则的思考。FDA预期仅对现有BPH指南文件第V节的以下小节进行重大修改。</w:t>
      </w:r>
    </w:p>
    <w:p w14:paraId="6BDDACD3">
      <w:pPr>
        <w:pStyle w:val="35"/>
        <w:rPr>
          <w:rFonts w:eastAsia="宋体"/>
          <w:lang w:eastAsia="zh-CN"/>
        </w:rPr>
      </w:pPr>
      <w:bookmarkStart w:id="11" w:name="_Toc91869243"/>
      <w:r>
        <w:rPr>
          <w:rFonts w:eastAsia="宋体" w:cs="宋体"/>
          <w:lang w:eastAsia="zh-CN"/>
        </w:rPr>
        <w:t>C.</w:t>
      </w:r>
      <w:r>
        <w:rPr>
          <w:rFonts w:eastAsia="宋体" w:cs="宋体"/>
          <w:lang w:eastAsia="zh-CN"/>
        </w:rPr>
        <w:tab/>
      </w:r>
      <w:r>
        <w:rPr>
          <w:rFonts w:eastAsia="宋体" w:cs="宋体"/>
          <w:lang w:eastAsia="zh-CN"/>
        </w:rPr>
        <w:t>随机分组和对照组</w:t>
      </w:r>
      <w:bookmarkEnd w:id="11"/>
    </w:p>
    <w:p w14:paraId="323C1E87">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FDA拟使用以下建议取代现有BPH指南文件第V.C节：</w:t>
      </w:r>
    </w:p>
    <w:p w14:paraId="476BEEE5">
      <w:pPr>
        <w:adjustRightInd w:val="0"/>
        <w:snapToGrid w:val="0"/>
        <w:spacing w:before="120" w:beforeLines="50" w:line="300" w:lineRule="auto"/>
        <w:jc w:val="both"/>
        <w:rPr>
          <w:rFonts w:ascii="Times New Roman" w:hAnsi="Times New Roman" w:eastAsia="宋体" w:cs="宋体"/>
          <w:lang w:eastAsia="zh-CN"/>
        </w:rPr>
      </w:pPr>
      <w:r>
        <w:rPr>
          <w:rFonts w:ascii="Times New Roman" w:hAnsi="Times New Roman" w:eastAsia="宋体" w:cs="宋体"/>
          <w:lang w:eastAsia="zh-CN"/>
        </w:rPr>
        <w:t>BPH治疗器械的临床研究带来了一些独特的挑战，例如安慰剂效应、自发缓解、下尿路症状（LUT）的主观性及其对生活质量的影响、难以确保LUT和生活质量的可靠测量以及BPH有效治疗的广泛可用性。</w:t>
      </w:r>
    </w:p>
    <w:p w14:paraId="12B89678">
      <w:pPr>
        <w:adjustRightInd w:val="0"/>
        <w:snapToGrid w:val="0"/>
        <w:spacing w:before="120" w:beforeLines="50" w:line="300" w:lineRule="auto"/>
        <w:jc w:val="both"/>
        <w:rPr>
          <w:rFonts w:ascii="Times New Roman" w:hAnsi="Times New Roman" w:eastAsia="宋体" w:cs="宋体"/>
          <w:lang w:eastAsia="zh-CN"/>
        </w:rPr>
      </w:pPr>
    </w:p>
    <w:p w14:paraId="4E7133D0">
      <w:pPr>
        <w:adjustRightInd w:val="0"/>
        <w:snapToGrid w:val="0"/>
        <w:spacing w:before="120" w:beforeLines="50" w:line="300" w:lineRule="auto"/>
        <w:jc w:val="both"/>
        <w:rPr>
          <w:rFonts w:ascii="Times New Roman" w:hAnsi="Times New Roman" w:eastAsia="宋体" w:cs="宋体"/>
          <w:lang w:eastAsia="zh-CN"/>
        </w:rPr>
      </w:pPr>
    </w:p>
    <w:p w14:paraId="67DD9192">
      <w:pPr>
        <w:adjustRightInd w:val="0"/>
        <w:snapToGrid w:val="0"/>
        <w:spacing w:before="120" w:beforeLines="50" w:line="300" w:lineRule="auto"/>
        <w:jc w:val="both"/>
        <w:rPr>
          <w:rFonts w:ascii="Times New Roman" w:hAnsi="Times New Roman" w:eastAsia="宋体" w:cs="宋体"/>
          <w:lang w:eastAsia="zh-CN"/>
        </w:rPr>
      </w:pPr>
    </w:p>
    <w:p w14:paraId="3A26742B">
      <w:pPr>
        <w:adjustRightInd w:val="0"/>
        <w:snapToGrid w:val="0"/>
        <w:spacing w:before="120" w:beforeLines="50" w:line="300" w:lineRule="auto"/>
        <w:jc w:val="both"/>
        <w:rPr>
          <w:rFonts w:ascii="Times New Roman" w:hAnsi="Times New Roman" w:eastAsia="宋体" w:cs="Times New Roman"/>
          <w:snapToGrid w:val="0"/>
          <w:lang w:eastAsia="zh-CN"/>
        </w:rPr>
      </w:pPr>
    </w:p>
    <w:p w14:paraId="70435F33">
      <w:pPr>
        <w:adjustRightInd w:val="0"/>
        <w:snapToGrid w:val="0"/>
        <w:spacing w:before="120" w:beforeLines="50" w:line="300" w:lineRule="auto"/>
        <w:jc w:val="both"/>
        <w:rPr>
          <w:rFonts w:ascii="Times New Roman" w:hAnsi="Times New Roman" w:eastAsia="宋体" w:cs="Times New Roman"/>
          <w:snapToGrid w:val="0"/>
          <w:lang w:eastAsia="zh-CN"/>
        </w:rPr>
      </w:pPr>
      <w:r>
        <w:rPr>
          <w:rFonts w:hint="eastAsia" w:ascii="Times New Roman" w:hAnsi="Times New Roman" w:eastAsia="宋体" w:cs="Times New Roman"/>
          <w:snapToGrid w:val="0"/>
          <w:lang w:eastAsia="zh-CN"/>
        </w:rPr>
        <w:t>_____________________</w:t>
      </w:r>
    </w:p>
    <w:p w14:paraId="63A80F9A">
      <w:pPr>
        <w:pStyle w:val="25"/>
        <w:tabs>
          <w:tab w:val="left" w:pos="115"/>
        </w:tabs>
        <w:adjustRightInd w:val="0"/>
        <w:snapToGrid w:val="0"/>
        <w:spacing w:before="36" w:beforeLines="15" w:line="276" w:lineRule="auto"/>
        <w:jc w:val="both"/>
        <w:rPr>
          <w:rFonts w:eastAsia="宋体"/>
          <w:snapToGrid w:val="0"/>
          <w:sz w:val="21"/>
          <w:szCs w:val="21"/>
        </w:rPr>
      </w:pPr>
      <w:bookmarkStart w:id="12" w:name="bookmark85"/>
      <w:r>
        <w:rPr>
          <w:rFonts w:eastAsia="宋体"/>
          <w:snapToGrid w:val="0"/>
          <w:sz w:val="21"/>
          <w:szCs w:val="21"/>
          <w:shd w:val="clear" w:color="auto" w:fill="FFFFFF"/>
          <w:vertAlign w:val="superscript"/>
        </w:rPr>
        <w:t>7</w:t>
      </w:r>
      <w:r>
        <w:fldChar w:fldCharType="begin"/>
      </w:r>
      <w:r>
        <w:instrText xml:space="preserve"> HYPERLINK "https://www.fda.gov/regulatory-information/search-fda-guidance-documents/design-considerations-pivotal-" </w:instrText>
      </w:r>
      <w:r>
        <w:fldChar w:fldCharType="separate"/>
      </w:r>
      <w:r>
        <w:rPr>
          <w:rStyle w:val="14"/>
          <w:rFonts w:eastAsia="宋体"/>
          <w:snapToGrid w:val="0"/>
          <w:sz w:val="21"/>
          <w:szCs w:val="21"/>
        </w:rPr>
        <w:t>https://www.fda.gov/regulatory-information/search-fda-guidance-documents/design-considerations-pivotal-</w:t>
      </w:r>
      <w:r>
        <w:rPr>
          <w:rStyle w:val="14"/>
          <w:rFonts w:eastAsia="宋体"/>
          <w:snapToGrid w:val="0"/>
          <w:sz w:val="21"/>
          <w:szCs w:val="21"/>
        </w:rPr>
        <w:fldChar w:fldCharType="end"/>
      </w:r>
      <w:r>
        <w:fldChar w:fldCharType="begin"/>
      </w:r>
      <w:r>
        <w:instrText xml:space="preserve"> HYPERLINK "https://www.fda.gov/regulatory-information/search-fda-guidance-documents/design-considerations-pivotal-clinical-investigations-medical-devices" </w:instrText>
      </w:r>
      <w:r>
        <w:fldChar w:fldCharType="separate"/>
      </w:r>
      <w:r>
        <w:rPr>
          <w:rFonts w:eastAsia="宋体"/>
          <w:snapToGrid w:val="0"/>
          <w:color w:val="0000FF"/>
          <w:sz w:val="21"/>
          <w:szCs w:val="21"/>
          <w:u w:val="single"/>
        </w:rPr>
        <w:t>clinical-investigations-medical-devices</w:t>
      </w:r>
      <w:r>
        <w:rPr>
          <w:rFonts w:eastAsia="宋体"/>
          <w:snapToGrid w:val="0"/>
          <w:color w:val="0000FF"/>
          <w:sz w:val="21"/>
          <w:szCs w:val="21"/>
          <w:u w:val="single"/>
        </w:rPr>
        <w:fldChar w:fldCharType="end"/>
      </w:r>
      <w:r>
        <w:rPr>
          <w:rFonts w:eastAsia="宋体"/>
          <w:snapToGrid w:val="0"/>
          <w:sz w:val="21"/>
          <w:szCs w:val="21"/>
        </w:rPr>
        <w:t>.</w:t>
      </w:r>
      <w:bookmarkEnd w:id="12"/>
    </w:p>
    <w:p w14:paraId="416B6C53">
      <w:pPr>
        <w:rPr>
          <w:rFonts w:ascii="Times New Roman" w:hAnsi="Times New Roman" w:eastAsia="宋体" w:cs="Times New Roman"/>
          <w:snapToGrid w:val="0"/>
          <w:lang w:eastAsia="zh-CN"/>
        </w:rPr>
      </w:pPr>
      <w:r>
        <w:rPr>
          <w:rFonts w:ascii="Times New Roman" w:hAnsi="Times New Roman" w:eastAsia="宋体" w:cs="宋体"/>
          <w:b/>
          <w:i/>
        </w:rPr>
        <w:br w:type="page"/>
      </w:r>
    </w:p>
    <w:p w14:paraId="51277CC6">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本机构认为，采用随机对照试验设计是克服此类挑战的最有效方法。随机对照试验的</w:t>
      </w:r>
      <w:r>
        <w:rPr>
          <w:rFonts w:hint="eastAsia" w:ascii="Times New Roman" w:hAnsi="Times New Roman" w:eastAsia="宋体" w:cs="宋体"/>
          <w:lang w:eastAsia="zh-CN"/>
        </w:rPr>
        <w:t>益处</w:t>
      </w:r>
      <w:r>
        <w:rPr>
          <w:rFonts w:ascii="Times New Roman" w:hAnsi="Times New Roman" w:eastAsia="宋体" w:cs="宋体"/>
          <w:lang w:eastAsia="zh-CN"/>
        </w:rPr>
        <w:t>是其倾向于在研究组之间平衡可测量和不可测量的混合因素，并最大限度地减少潜在偏倚。</w:t>
      </w:r>
    </w:p>
    <w:p w14:paraId="72EAA2D9">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随机对照试验设计的潜在优势不仅包括对器械有效性的评价，还包括对安全性的评价。不良事件发生率可能受到受试者特征、器械设计、不断发展的程序方法和操作员经验等因素的影响，并且在使用历史对照数据时可能更加难以评价。</w:t>
      </w:r>
    </w:p>
    <w:p w14:paraId="2E7666C1">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将受试者在研究组之间随机分组是减少选择偏倚和对照混合因素的标准方法。当具有一个或多个重要预后因素的受试者在一个研究组中出现的频率高于另一个研究组时，就会出现选择偏倚。随机分组过程是以已知的概率将受试者分配到干预组或对照组，并且每个受试者被选入组的机会均等。随机分组还可以保护试验不受研究者、可能妨碍研究组比较的有意识或潜意识行为的影响，例如，选择症状最严重的患者进行研究者认为更积极的治疗。</w:t>
      </w:r>
    </w:p>
    <w:p w14:paraId="0F50C0C6">
      <w:pPr>
        <w:adjustRightInd w:val="0"/>
        <w:snapToGrid w:val="0"/>
        <w:spacing w:before="120" w:beforeLines="50" w:line="300" w:lineRule="auto"/>
        <w:jc w:val="both"/>
        <w:rPr>
          <w:rFonts w:ascii="Times New Roman" w:hAnsi="Times New Roman" w:eastAsia="宋体" w:cs="Times New Roman"/>
          <w:snapToGrid w:val="0"/>
        </w:rPr>
      </w:pPr>
      <w:r>
        <w:rPr>
          <w:rFonts w:ascii="Times New Roman" w:hAnsi="Times New Roman" w:eastAsia="宋体" w:cs="宋体"/>
        </w:rPr>
        <w:t>本机构建议：</w:t>
      </w:r>
    </w:p>
    <w:p w14:paraId="28002A6C">
      <w:pPr>
        <w:pStyle w:val="37"/>
        <w:numPr>
          <w:ilvl w:val="0"/>
          <w:numId w:val="8"/>
        </w:numPr>
        <w:adjustRightInd w:val="0"/>
        <w:snapToGrid w:val="0"/>
        <w:spacing w:before="36" w:beforeLines="15"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在研究方案中预先指定随机分组方法；</w:t>
      </w:r>
    </w:p>
    <w:p w14:paraId="29683772">
      <w:pPr>
        <w:pStyle w:val="37"/>
        <w:numPr>
          <w:ilvl w:val="0"/>
          <w:numId w:val="8"/>
        </w:numPr>
        <w:adjustRightInd w:val="0"/>
        <w:snapToGrid w:val="0"/>
        <w:spacing w:before="36" w:beforeLines="15"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平衡每个试验点内的受试者分配，例如，按试验点分层、区组随机化；</w:t>
      </w:r>
    </w:p>
    <w:p w14:paraId="1E23CB76">
      <w:pPr>
        <w:pStyle w:val="37"/>
        <w:numPr>
          <w:ilvl w:val="0"/>
          <w:numId w:val="8"/>
        </w:numPr>
        <w:adjustRightInd w:val="0"/>
        <w:snapToGrid w:val="0"/>
        <w:spacing w:before="36" w:beforeLines="15"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阻止研究员和其他研究人员预测或影响受试者的分配；以及</w:t>
      </w:r>
    </w:p>
    <w:p w14:paraId="5E412670">
      <w:pPr>
        <w:pStyle w:val="37"/>
        <w:numPr>
          <w:ilvl w:val="0"/>
          <w:numId w:val="8"/>
        </w:numPr>
        <w:adjustRightInd w:val="0"/>
        <w:snapToGrid w:val="0"/>
        <w:spacing w:before="36" w:beforeLines="15"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防止患者行为的自然模式影响研究任务。</w:t>
      </w:r>
    </w:p>
    <w:p w14:paraId="046C75DA">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在设计随机对照研究时，本机构建议选择适当的对照疗法。对照选择可能会受到各种各样的科学和伦理问题的影响。</w:t>
      </w:r>
      <w:r>
        <w:rPr>
          <w:rFonts w:ascii="Times New Roman" w:hAnsi="Times New Roman" w:eastAsia="宋体" w:cs="宋体"/>
          <w:vertAlign w:val="superscript"/>
          <w:lang w:eastAsia="zh-CN"/>
        </w:rPr>
        <w:t>8</w:t>
      </w:r>
      <w:r>
        <w:rPr>
          <w:rFonts w:ascii="Times New Roman" w:hAnsi="Times New Roman" w:eastAsia="宋体" w:cs="宋体"/>
          <w:lang w:eastAsia="zh-CN"/>
        </w:rPr>
        <w:t>通常，针对目标患者</w:t>
      </w:r>
      <w:r>
        <w:rPr>
          <w:rFonts w:hint="eastAsia" w:ascii="Times New Roman" w:hAnsi="Times New Roman" w:eastAsia="宋体" w:cs="宋体"/>
          <w:lang w:eastAsia="zh-CN"/>
        </w:rPr>
        <w:t>人群</w:t>
      </w:r>
      <w:r>
        <w:rPr>
          <w:rFonts w:ascii="Times New Roman" w:hAnsi="Times New Roman" w:eastAsia="宋体" w:cs="宋体"/>
          <w:lang w:eastAsia="zh-CN"/>
        </w:rPr>
        <w:t>的当前护理标准代表了最具临床</w:t>
      </w:r>
      <w:r>
        <w:rPr>
          <w:rFonts w:hint="eastAsia" w:ascii="Times New Roman" w:hAnsi="Times New Roman" w:eastAsia="宋体" w:cs="宋体"/>
          <w:lang w:eastAsia="zh-CN"/>
        </w:rPr>
        <w:t>显著性</w:t>
      </w:r>
      <w:r>
        <w:rPr>
          <w:rFonts w:ascii="Times New Roman" w:hAnsi="Times New Roman" w:eastAsia="宋体" w:cs="宋体"/>
          <w:lang w:eastAsia="zh-CN"/>
        </w:rPr>
        <w:t>的对照。然而，其他因素也可能影响这一决议。本机构建议在选择对照组时考虑以下各个具体因素：</w:t>
      </w:r>
    </w:p>
    <w:p w14:paraId="4FF1D388">
      <w:pPr>
        <w:pStyle w:val="37"/>
        <w:numPr>
          <w:ilvl w:val="0"/>
          <w:numId w:val="9"/>
        </w:numPr>
        <w:adjustRightInd w:val="0"/>
        <w:snapToGrid w:val="0"/>
        <w:spacing w:before="36" w:beforeLines="15"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护理标准；</w:t>
      </w:r>
    </w:p>
    <w:p w14:paraId="0B4CF01C">
      <w:pPr>
        <w:pStyle w:val="37"/>
        <w:numPr>
          <w:ilvl w:val="0"/>
          <w:numId w:val="9"/>
        </w:numPr>
        <w:adjustRightInd w:val="0"/>
        <w:snapToGrid w:val="0"/>
        <w:spacing w:before="36" w:beforeLines="15"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试验器械的使用适应症；</w:t>
      </w:r>
    </w:p>
    <w:p w14:paraId="21A424A3">
      <w:pPr>
        <w:pStyle w:val="37"/>
        <w:numPr>
          <w:ilvl w:val="0"/>
          <w:numId w:val="9"/>
        </w:numPr>
        <w:adjustRightInd w:val="0"/>
        <w:snapToGrid w:val="0"/>
        <w:spacing w:before="36" w:beforeLines="15"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后续标签中器械性能的任何理想表示；</w:t>
      </w:r>
    </w:p>
    <w:p w14:paraId="311E391D">
      <w:pPr>
        <w:pStyle w:val="37"/>
        <w:numPr>
          <w:ilvl w:val="0"/>
          <w:numId w:val="9"/>
        </w:numPr>
        <w:adjustRightInd w:val="0"/>
        <w:snapToGrid w:val="0"/>
        <w:spacing w:before="36" w:beforeLines="15"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风险与</w:t>
      </w:r>
      <w:r>
        <w:rPr>
          <w:rFonts w:hint="eastAsia" w:ascii="Times New Roman" w:hAnsi="Times New Roman" w:eastAsia="宋体" w:cs="宋体"/>
          <w:lang w:eastAsia="zh-CN"/>
        </w:rPr>
        <w:t>获益</w:t>
      </w:r>
      <w:r>
        <w:rPr>
          <w:rFonts w:ascii="Times New Roman" w:hAnsi="Times New Roman" w:eastAsia="宋体" w:cs="宋体"/>
          <w:lang w:eastAsia="zh-CN"/>
        </w:rPr>
        <w:t>，即，为了进行具有临床</w:t>
      </w:r>
      <w:r>
        <w:rPr>
          <w:rFonts w:hint="eastAsia" w:ascii="Times New Roman" w:hAnsi="Times New Roman" w:eastAsia="宋体" w:cs="宋体"/>
          <w:lang w:eastAsia="zh-CN"/>
        </w:rPr>
        <w:t>显著性</w:t>
      </w:r>
      <w:r>
        <w:rPr>
          <w:rFonts w:ascii="Times New Roman" w:hAnsi="Times New Roman" w:eastAsia="宋体" w:cs="宋体"/>
          <w:lang w:eastAsia="zh-CN"/>
        </w:rPr>
        <w:t>的比较，希望对照治疗的风险获益比与试验器械的风险获益比；</w:t>
      </w:r>
    </w:p>
    <w:p w14:paraId="6F81D457">
      <w:pPr>
        <w:pStyle w:val="37"/>
        <w:numPr>
          <w:ilvl w:val="0"/>
          <w:numId w:val="9"/>
        </w:numPr>
        <w:adjustRightInd w:val="0"/>
        <w:snapToGrid w:val="0"/>
        <w:spacing w:before="36" w:beforeLines="15"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可有效掩盖研究者、受试者和评价者的能力；</w:t>
      </w:r>
    </w:p>
    <w:p w14:paraId="62BC0065">
      <w:pPr>
        <w:pStyle w:val="37"/>
        <w:numPr>
          <w:ilvl w:val="0"/>
          <w:numId w:val="9"/>
        </w:numPr>
        <w:adjustRightInd w:val="0"/>
        <w:snapToGrid w:val="0"/>
        <w:spacing w:before="36" w:beforeLines="15"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达到治疗效果的时间；以及</w:t>
      </w:r>
    </w:p>
    <w:p w14:paraId="61680705">
      <w:pPr>
        <w:pStyle w:val="37"/>
        <w:numPr>
          <w:ilvl w:val="0"/>
          <w:numId w:val="9"/>
        </w:numPr>
        <w:adjustRightInd w:val="0"/>
        <w:snapToGrid w:val="0"/>
        <w:spacing w:before="36" w:beforeLines="15"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rPr>
        <w:t>器械设计特点。</w:t>
      </w:r>
    </w:p>
    <w:p w14:paraId="6EE22CF8">
      <w:pPr>
        <w:tabs>
          <w:tab w:val="left" w:pos="717"/>
        </w:tabs>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rPr>
        <w:t>_____________________</w:t>
      </w:r>
    </w:p>
    <w:p w14:paraId="75E42458">
      <w:pPr>
        <w:pStyle w:val="25"/>
        <w:tabs>
          <w:tab w:val="left" w:pos="115"/>
        </w:tabs>
        <w:adjustRightInd w:val="0"/>
        <w:snapToGrid w:val="0"/>
        <w:spacing w:before="36" w:beforeLines="15" w:line="276" w:lineRule="auto"/>
        <w:jc w:val="both"/>
        <w:rPr>
          <w:rFonts w:eastAsia="宋体"/>
          <w:snapToGrid w:val="0"/>
          <w:lang w:eastAsia="zh-CN"/>
        </w:rPr>
      </w:pPr>
      <w:r>
        <w:rPr>
          <w:rFonts w:eastAsia="宋体" w:cs="宋体"/>
          <w:sz w:val="21"/>
          <w:vertAlign w:val="superscript"/>
          <w:lang w:eastAsia="zh-CN"/>
        </w:rPr>
        <w:t>8</w:t>
      </w:r>
      <w:r>
        <w:rPr>
          <w:rFonts w:eastAsia="宋体" w:cs="宋体"/>
          <w:sz w:val="21"/>
          <w:lang w:eastAsia="zh-CN"/>
        </w:rPr>
        <w:t xml:space="preserve"> Temple R，Ellenberg SS，关于新增治疗的评价中的安慰剂对照试验和主动对照试验。第1部分：伦理和科学问题。</w:t>
      </w:r>
      <w:r>
        <w:rPr>
          <w:rFonts w:eastAsia="宋体" w:cs="宋体"/>
          <w:i/>
          <w:sz w:val="21"/>
        </w:rPr>
        <w:t>Ann Intern Med,</w:t>
      </w:r>
      <w:r>
        <w:rPr>
          <w:rFonts w:eastAsia="宋体" w:cs="宋体"/>
          <w:sz w:val="21"/>
        </w:rPr>
        <w:t xml:space="preserve"> 2000, 133(6):455-461.</w:t>
      </w:r>
      <w:r>
        <w:rPr>
          <w:rFonts w:eastAsia="宋体" w:cs="宋体"/>
          <w:b/>
          <w:i/>
        </w:rPr>
        <w:br w:type="page"/>
      </w:r>
    </w:p>
    <w:p w14:paraId="4C5346B8">
      <w:pPr>
        <w:adjustRightInd w:val="0"/>
        <w:snapToGrid w:val="0"/>
        <w:spacing w:before="120" w:beforeLines="50" w:line="300" w:lineRule="auto"/>
        <w:jc w:val="both"/>
        <w:rPr>
          <w:rFonts w:ascii="Times New Roman" w:hAnsi="Times New Roman" w:eastAsia="宋体" w:cs="Times New Roman"/>
          <w:snapToGrid w:val="0"/>
        </w:rPr>
      </w:pPr>
      <w:r>
        <w:rPr>
          <w:rFonts w:ascii="Times New Roman" w:hAnsi="Times New Roman" w:eastAsia="宋体" w:cs="宋体"/>
        </w:rPr>
        <w:t>治疗BPH临床研究的潜在对照疗法包括：</w:t>
      </w:r>
    </w:p>
    <w:p w14:paraId="31CCD956">
      <w:pPr>
        <w:pStyle w:val="37"/>
        <w:numPr>
          <w:ilvl w:val="0"/>
          <w:numId w:val="10"/>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公认的外科手术，如经尿道前列腺电切术（TURP）；</w:t>
      </w:r>
    </w:p>
    <w:p w14:paraId="1ABA7F94">
      <w:pPr>
        <w:pStyle w:val="37"/>
        <w:numPr>
          <w:ilvl w:val="0"/>
          <w:numId w:val="10"/>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获批用于治疗前列腺增生的医疗器械；以及</w:t>
      </w:r>
    </w:p>
    <w:p w14:paraId="7FBD013E">
      <w:pPr>
        <w:pStyle w:val="37"/>
        <w:numPr>
          <w:ilvl w:val="0"/>
          <w:numId w:val="10"/>
        </w:numPr>
        <w:adjustRightInd w:val="0"/>
        <w:snapToGrid w:val="0"/>
        <w:spacing w:before="120" w:beforeLines="50"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假手术组治疗。</w:t>
      </w:r>
    </w:p>
    <w:p w14:paraId="10E5955F">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经尿道前列腺电切术被认为是治疗BPH的金标准手术法，有许多成功的临床试验使用经尿道前列腺电切术作为对照。</w:t>
      </w:r>
    </w:p>
    <w:p w14:paraId="52A01C13">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由合法上市、在设计上与试验器械类似的器械治疗组成的对照组通常是理想的选择，因为研究设计、患者招募和数据分析比较简单。例如，使用随机分组研究，比较植入式经前列腺组织</w:t>
      </w:r>
      <w:r>
        <w:rPr>
          <w:rFonts w:hint="eastAsia" w:ascii="Times New Roman" w:hAnsi="Times New Roman" w:eastAsia="宋体" w:cs="宋体"/>
          <w:lang w:eastAsia="zh-CN"/>
        </w:rPr>
        <w:t>牵开</w:t>
      </w:r>
      <w:r>
        <w:rPr>
          <w:rFonts w:ascii="Times New Roman" w:hAnsi="Times New Roman" w:eastAsia="宋体" w:cs="宋体"/>
          <w:lang w:eastAsia="zh-CN"/>
        </w:rPr>
        <w:t>器系统与具有类似设计和操作特征的合法上市系统的安全性和有效性可能既简单又合适。</w:t>
      </w:r>
    </w:p>
    <w:p w14:paraId="6361F871">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常用药物的变化顺序已证明BPH治疗过程中的假手术组</w:t>
      </w:r>
      <w:r>
        <w:rPr>
          <w:rFonts w:hint="eastAsia" w:ascii="Times New Roman" w:hAnsi="Times New Roman" w:eastAsia="宋体" w:cs="宋体"/>
          <w:lang w:eastAsia="zh-CN"/>
        </w:rPr>
        <w:t>有效性</w:t>
      </w:r>
      <w:r>
        <w:rPr>
          <w:rFonts w:ascii="Times New Roman" w:hAnsi="Times New Roman" w:eastAsia="宋体" w:cs="宋体"/>
          <w:lang w:eastAsia="zh-CN"/>
        </w:rPr>
        <w:t>是显著的。</w:t>
      </w:r>
      <w:r>
        <w:rPr>
          <w:rFonts w:ascii="Times New Roman" w:hAnsi="Times New Roman" w:eastAsia="宋体" w:cs="宋体"/>
          <w:vertAlign w:val="superscript"/>
          <w:lang w:eastAsia="zh-CN"/>
        </w:rPr>
        <w:t>9</w:t>
      </w:r>
      <w:r>
        <w:rPr>
          <w:rFonts w:ascii="Times New Roman" w:hAnsi="Times New Roman" w:eastAsia="宋体" w:cs="宋体"/>
          <w:lang w:eastAsia="zh-CN"/>
        </w:rPr>
        <w:t>假手术组对照研究代表了一种研究设计和对照组的选择，该对照组可以区分试验治疗引起的患者结局与其他因素（如患者或观察者的期望）引起的结局。这种类型的研究设计可能最适合于具有主观终点的研究，例如减少患者报告的症状。在药物试验中，假手术组/治疗通常比安慰剂对照组涉及更多风险，在设计临床试验时应考虑此类风险。应当在方法学上得到保证时，即当非盲设计在方法学上不可接受时（例如，因为终点是主观的），以及当“无治疗”对照在方法学上得到保证时，考虑本研究设计。此外，暂停治疗不应导致不可逆转的发病率或死亡等严重伤害。FDA认识到，</w:t>
      </w:r>
      <w:r>
        <w:rPr>
          <w:rFonts w:hint="eastAsia" w:ascii="Times New Roman" w:hAnsi="Times New Roman" w:eastAsia="宋体" w:cs="宋体"/>
          <w:lang w:eastAsia="zh-CN"/>
        </w:rPr>
        <w:t>申请人</w:t>
      </w:r>
      <w:r>
        <w:rPr>
          <w:rFonts w:ascii="Times New Roman" w:hAnsi="Times New Roman" w:eastAsia="宋体" w:cs="宋体"/>
          <w:lang w:eastAsia="zh-CN"/>
        </w:rPr>
        <w:t>可能很难用研究员、机构审查委员会和患者认为符合道德的假手术对照组来制定临床研究设计；因此，应仔细考虑和计划涉及假手术对照组的研究。</w:t>
      </w:r>
    </w:p>
    <w:p w14:paraId="4084E456">
      <w:pPr>
        <w:adjustRightInd w:val="0"/>
        <w:snapToGrid w:val="0"/>
        <w:spacing w:before="120" w:beforeLines="50" w:line="300" w:lineRule="auto"/>
        <w:jc w:val="both"/>
        <w:rPr>
          <w:rFonts w:ascii="Times New Roman" w:hAnsi="Times New Roman" w:eastAsia="宋体" w:cs="宋体"/>
          <w:lang w:eastAsia="zh-CN"/>
        </w:rPr>
      </w:pPr>
      <w:r>
        <w:rPr>
          <w:rFonts w:ascii="Times New Roman" w:hAnsi="Times New Roman" w:eastAsia="宋体" w:cs="宋体"/>
          <w:lang w:eastAsia="zh-CN"/>
        </w:rPr>
        <w:t>虽然使用获批药物治疗作为对照组可能有利于部分利益相关方，但操作复杂，因为与获批药物治疗相比，用于治疗BPH的器械通常具有明显不同的预期风险和不同的作用机制。</w:t>
      </w:r>
      <w:r>
        <w:rPr>
          <w:rFonts w:ascii="Times New Roman" w:hAnsi="Times New Roman" w:eastAsia="宋体" w:cs="宋体"/>
          <w:vertAlign w:val="superscript"/>
          <w:lang w:eastAsia="zh-CN"/>
        </w:rPr>
        <w:t>10</w:t>
      </w:r>
      <w:r>
        <w:rPr>
          <w:rFonts w:ascii="Times New Roman" w:hAnsi="Times New Roman" w:eastAsia="宋体" w:cs="宋体"/>
          <w:lang w:eastAsia="zh-CN"/>
        </w:rPr>
        <w:t>此外，治疗BPH的器械很快就能完整起效，而药物治疗通常需要数月才能达到完全有效。因此，在评定器械的安全性和有效性时，可能很难解释药物对照研究的结果。</w:t>
      </w:r>
    </w:p>
    <w:p w14:paraId="4538968D">
      <w:pPr>
        <w:adjustRightInd w:val="0"/>
        <w:snapToGrid w:val="0"/>
        <w:spacing w:before="120" w:beforeLines="50" w:line="300" w:lineRule="auto"/>
        <w:jc w:val="both"/>
        <w:rPr>
          <w:rFonts w:ascii="Times New Roman" w:hAnsi="Times New Roman" w:eastAsia="宋体" w:cs="宋体"/>
          <w:lang w:eastAsia="zh-CN"/>
        </w:rPr>
      </w:pPr>
    </w:p>
    <w:p w14:paraId="26F47ADD">
      <w:pPr>
        <w:adjustRightInd w:val="0"/>
        <w:snapToGrid w:val="0"/>
        <w:spacing w:before="120" w:beforeLines="50" w:line="300" w:lineRule="auto"/>
        <w:jc w:val="both"/>
        <w:rPr>
          <w:rFonts w:ascii="Times New Roman" w:hAnsi="Times New Roman" w:eastAsia="宋体" w:cs="Times New Roman"/>
          <w:snapToGrid w:val="0"/>
          <w:lang w:eastAsia="zh-CN"/>
        </w:rPr>
      </w:pPr>
    </w:p>
    <w:p w14:paraId="0C1A2962">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rPr>
        <w:t>_____________________</w:t>
      </w:r>
    </w:p>
    <w:p w14:paraId="62B257CF">
      <w:pPr>
        <w:pStyle w:val="25"/>
        <w:tabs>
          <w:tab w:val="left" w:pos="115"/>
        </w:tabs>
        <w:adjustRightInd w:val="0"/>
        <w:snapToGrid w:val="0"/>
        <w:spacing w:before="36" w:beforeLines="15" w:line="276" w:lineRule="auto"/>
        <w:jc w:val="both"/>
        <w:rPr>
          <w:rFonts w:eastAsia="宋体"/>
          <w:snapToGrid w:val="0"/>
          <w:sz w:val="21"/>
          <w:szCs w:val="21"/>
        </w:rPr>
      </w:pPr>
      <w:r>
        <w:rPr>
          <w:rFonts w:eastAsia="宋体" w:cs="宋体"/>
          <w:sz w:val="21"/>
          <w:vertAlign w:val="superscript"/>
        </w:rPr>
        <w:t>9</w:t>
      </w:r>
      <w:r>
        <w:rPr>
          <w:rFonts w:eastAsia="宋体" w:cs="宋体"/>
          <w:sz w:val="21"/>
        </w:rPr>
        <w:t xml:space="preserve"> Welliver C，Kottwitz M，Feustel P，McVary K，在随机对照的良性前列腺增生手术试验的假手术组中观察到的临床和统计学显著变化。J Urol, 2015, 194:1682-7。</w:t>
      </w:r>
    </w:p>
    <w:p w14:paraId="6EDF9DC7">
      <w:pPr>
        <w:pStyle w:val="25"/>
        <w:tabs>
          <w:tab w:val="left" w:pos="178"/>
        </w:tabs>
        <w:adjustRightInd w:val="0"/>
        <w:snapToGrid w:val="0"/>
        <w:spacing w:before="36" w:beforeLines="15" w:line="276" w:lineRule="auto"/>
        <w:jc w:val="both"/>
        <w:rPr>
          <w:rFonts w:eastAsia="宋体"/>
          <w:snapToGrid w:val="0"/>
          <w:sz w:val="21"/>
          <w:szCs w:val="21"/>
        </w:rPr>
      </w:pPr>
      <w:r>
        <w:rPr>
          <w:rFonts w:eastAsia="宋体" w:cs="宋体"/>
          <w:sz w:val="21"/>
          <w:vertAlign w:val="superscript"/>
        </w:rPr>
        <w:t>10</w:t>
      </w:r>
      <w:r>
        <w:rPr>
          <w:rFonts w:eastAsia="宋体" w:cs="宋体"/>
          <w:sz w:val="21"/>
        </w:rPr>
        <w:t xml:space="preserve"> AUA指南《良性前列腺增生/下尿路症状的手术治疗（2018年发布，2019年修订）》（</w:t>
      </w:r>
      <w:r>
        <w:fldChar w:fldCharType="begin"/>
      </w:r>
      <w:r>
        <w:instrText xml:space="preserve"> HYPERLINK "https://www.auanet.org/guidelines/benign-prostatic-hyperplasia/lower-urinary-tract-symptoms" </w:instrText>
      </w:r>
      <w:r>
        <w:fldChar w:fldCharType="separate"/>
      </w:r>
      <w:r>
        <w:rPr>
          <w:rFonts w:eastAsia="宋体" w:cs="宋体"/>
          <w:snapToGrid w:val="0"/>
          <w:color w:val="0000FF"/>
          <w:sz w:val="21"/>
          <w:szCs w:val="21"/>
          <w:u w:val="single"/>
        </w:rPr>
        <w:t>https://www.auanet.org/guidelines/benign-prostatic-hvperplasia/lower-urinarv-tract-svmptoms）</w:t>
      </w:r>
      <w:r>
        <w:rPr>
          <w:rFonts w:eastAsia="宋体" w:cs="宋体"/>
          <w:snapToGrid w:val="0"/>
          <w:color w:val="0000FF"/>
          <w:sz w:val="21"/>
          <w:szCs w:val="21"/>
          <w:u w:val="single"/>
        </w:rPr>
        <w:fldChar w:fldCharType="end"/>
      </w:r>
      <w:r>
        <w:rPr>
          <w:rFonts w:eastAsia="宋体" w:cs="宋体"/>
          <w:sz w:val="21"/>
        </w:rPr>
        <w:t>。</w:t>
      </w:r>
    </w:p>
    <w:p w14:paraId="13B4C59F">
      <w:pPr>
        <w:rPr>
          <w:rFonts w:ascii="Times New Roman" w:hAnsi="Times New Roman" w:eastAsia="宋体" w:cs="Times New Roman"/>
          <w:snapToGrid w:val="0"/>
          <w:lang w:eastAsia="zh-CN"/>
        </w:rPr>
      </w:pPr>
      <w:r>
        <w:rPr>
          <w:rFonts w:ascii="Times New Roman" w:hAnsi="Times New Roman" w:eastAsia="宋体" w:cs="宋体"/>
          <w:b/>
          <w:i/>
        </w:rPr>
        <w:br w:type="page"/>
      </w:r>
    </w:p>
    <w:p w14:paraId="190E0EA6">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由于患者人口统计、选择标准和评价方法的差异，通常难以从已发表的文献或预期图表回顾中获得充分、可靠和直接适用的历史信息。因此，本机构认为，在大多数研究中，使用历史对照组会使安全性和有效性的证明复杂化。</w:t>
      </w:r>
    </w:p>
    <w:p w14:paraId="4B54BE63">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可以采用多种策略来促进受试者招募和保留。例如，2:1（或其他）随机分组方案增加了既定受试者接受试验治疗的概率。例如，研究设计可允许假手术组受试者在预先规定的时间或重大疾病进展后接受试验器械治疗。</w:t>
      </w:r>
    </w:p>
    <w:p w14:paraId="0D18ABC4">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本机构通常建议进行随机对照试验来应对本指南文件中所述的挑战；如果使用替代研究设计，本机构建议讨论其科学合理性，并解决相关安全性和有效性问题。虽然本机构认识到BPH治疗的研究没有唯一的“最佳设计”，但是我们认为在本文件中讨论的元素可以作为精心设计的研究核心特征。如前所述，本机构将考虑替代的研究设计，但我们建议解释清楚支持替代设计的科学推理（例如，偏倚如何最小化？该研究如何解决安慰剂效应？如何比较对照组与当前患者特征和临床护理标准？）在开始采用替代设计的临床研究之前，FDA鼓励制造商提交Q-申请，以获得此类研究的详细反馈。关于Q-申请的更多信息，请参见指南《</w:t>
      </w:r>
      <w:r>
        <w:rPr>
          <w:rFonts w:ascii="Times New Roman" w:hAnsi="Times New Roman" w:eastAsia="宋体" w:cs="宋体"/>
          <w:color w:val="0000FF"/>
          <w:u w:val="single"/>
          <w:lang w:eastAsia="zh-CN"/>
        </w:rPr>
        <w:t>医疗器械申请的反馈和会议请求：Q-申请计划</w:t>
      </w:r>
      <w:r>
        <w:rPr>
          <w:rFonts w:ascii="Times New Roman" w:hAnsi="Times New Roman" w:eastAsia="宋体" w:cs="宋体"/>
          <w:lang w:eastAsia="zh-CN"/>
        </w:rPr>
        <w:t>》。</w:t>
      </w:r>
      <w:r>
        <w:rPr>
          <w:rFonts w:ascii="Times New Roman" w:hAnsi="Times New Roman" w:eastAsia="宋体" w:cs="宋体"/>
          <w:vertAlign w:val="superscript"/>
          <w:lang w:eastAsia="zh-CN"/>
        </w:rPr>
        <w:t>11</w:t>
      </w:r>
    </w:p>
    <w:p w14:paraId="068242D7">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对于所有研究设计，本机构建议收集所有研究受试者的详细基线和人口统计学信息，以便评定研究组的预后因素失衡情况。</w:t>
      </w:r>
    </w:p>
    <w:p w14:paraId="4E4AF444">
      <w:pPr>
        <w:pStyle w:val="35"/>
        <w:rPr>
          <w:rFonts w:eastAsia="宋体"/>
          <w:lang w:eastAsia="zh-CN"/>
        </w:rPr>
      </w:pPr>
      <w:bookmarkStart w:id="13" w:name="_Toc91869244"/>
      <w:r>
        <w:rPr>
          <w:rFonts w:eastAsia="宋体" w:cs="宋体"/>
          <w:lang w:eastAsia="zh-CN"/>
        </w:rPr>
        <w:t>E.</w:t>
      </w:r>
      <w:r>
        <w:rPr>
          <w:rFonts w:eastAsia="宋体" w:cs="宋体"/>
          <w:lang w:eastAsia="zh-CN"/>
        </w:rPr>
        <w:tab/>
      </w:r>
      <w:r>
        <w:rPr>
          <w:rFonts w:eastAsia="宋体" w:cs="宋体"/>
          <w:lang w:eastAsia="zh-CN"/>
        </w:rPr>
        <w:t>研究终点</w:t>
      </w:r>
      <w:bookmarkEnd w:id="13"/>
    </w:p>
    <w:p w14:paraId="2C89BD74">
      <w:pPr>
        <w:pStyle w:val="39"/>
        <w:rPr>
          <w:rFonts w:eastAsia="宋体"/>
          <w:lang w:eastAsia="zh-CN"/>
        </w:rPr>
      </w:pPr>
      <w:bookmarkStart w:id="14" w:name="_Toc91869245"/>
      <w:r>
        <w:rPr>
          <w:rFonts w:eastAsia="宋体" w:cs="宋体"/>
          <w:lang w:eastAsia="zh-CN"/>
        </w:rPr>
        <w:t>（2）</w:t>
      </w:r>
      <w:bookmarkEnd w:id="14"/>
      <w:r>
        <w:rPr>
          <w:rFonts w:eastAsia="宋体" w:cs="宋体"/>
          <w:lang w:eastAsia="zh-CN"/>
        </w:rPr>
        <w:t>主要有效性终点</w:t>
      </w:r>
    </w:p>
    <w:p w14:paraId="3B35E26F">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FDA拟将现有BPH指南文件的第V.E(2)节替换为以下建议：</w:t>
      </w:r>
    </w:p>
    <w:p w14:paraId="1D3C8741">
      <w:pPr>
        <w:adjustRightInd w:val="0"/>
        <w:snapToGrid w:val="0"/>
        <w:spacing w:before="120" w:beforeLines="50" w:line="300" w:lineRule="auto"/>
        <w:jc w:val="both"/>
        <w:rPr>
          <w:rFonts w:ascii="Times New Roman" w:hAnsi="Times New Roman" w:eastAsia="宋体" w:cs="宋体"/>
          <w:lang w:eastAsia="zh-CN"/>
        </w:rPr>
      </w:pPr>
      <w:r>
        <w:rPr>
          <w:rFonts w:ascii="Times New Roman" w:hAnsi="Times New Roman" w:eastAsia="宋体" w:cs="宋体"/>
          <w:lang w:eastAsia="zh-CN"/>
        </w:rPr>
        <w:t>主要有效性终点应具有临床</w:t>
      </w:r>
      <w:r>
        <w:rPr>
          <w:rFonts w:hint="eastAsia" w:ascii="Times New Roman" w:hAnsi="Times New Roman" w:eastAsia="宋体" w:cs="宋体"/>
          <w:lang w:eastAsia="zh-CN"/>
        </w:rPr>
        <w:t>显著性</w:t>
      </w:r>
      <w:r>
        <w:rPr>
          <w:rFonts w:ascii="Times New Roman" w:hAnsi="Times New Roman" w:eastAsia="宋体" w:cs="宋体"/>
          <w:lang w:eastAsia="zh-CN"/>
        </w:rPr>
        <w:t>，并应充分描述治疗效果。由于BPH症状的主观性，很难找到一个客观且可重复（即具有较低重测变异性）、对患者具有意义且与病因相关的有效性衡量标准（即具有较低重测变异性）来寻求治疗。</w:t>
      </w:r>
    </w:p>
    <w:p w14:paraId="361D94AB">
      <w:pPr>
        <w:adjustRightInd w:val="0"/>
        <w:snapToGrid w:val="0"/>
        <w:spacing w:before="120" w:beforeLines="50" w:line="300" w:lineRule="auto"/>
        <w:jc w:val="both"/>
        <w:rPr>
          <w:rFonts w:ascii="Times New Roman" w:hAnsi="Times New Roman" w:eastAsia="宋体" w:cs="宋体"/>
          <w:lang w:eastAsia="zh-CN"/>
        </w:rPr>
      </w:pPr>
    </w:p>
    <w:p w14:paraId="27DD259C">
      <w:pPr>
        <w:adjustRightInd w:val="0"/>
        <w:snapToGrid w:val="0"/>
        <w:spacing w:before="120" w:beforeLines="50" w:line="300" w:lineRule="auto"/>
        <w:jc w:val="both"/>
        <w:rPr>
          <w:rFonts w:ascii="Times New Roman" w:hAnsi="Times New Roman" w:eastAsia="宋体" w:cs="宋体"/>
          <w:lang w:eastAsia="zh-CN"/>
        </w:rPr>
      </w:pPr>
    </w:p>
    <w:p w14:paraId="69F8A211">
      <w:pPr>
        <w:adjustRightInd w:val="0"/>
        <w:snapToGrid w:val="0"/>
        <w:spacing w:before="120" w:beforeLines="50" w:line="300" w:lineRule="auto"/>
        <w:jc w:val="both"/>
        <w:rPr>
          <w:rFonts w:ascii="Times New Roman" w:hAnsi="Times New Roman" w:eastAsia="宋体" w:cs="宋体"/>
          <w:lang w:eastAsia="zh-CN"/>
        </w:rPr>
      </w:pPr>
    </w:p>
    <w:p w14:paraId="026E6290">
      <w:pPr>
        <w:adjustRightInd w:val="0"/>
        <w:snapToGrid w:val="0"/>
        <w:spacing w:before="120" w:beforeLines="50" w:line="300" w:lineRule="auto"/>
        <w:jc w:val="both"/>
        <w:rPr>
          <w:rFonts w:ascii="Times New Roman" w:hAnsi="Times New Roman" w:eastAsia="宋体" w:cs="Times New Roman"/>
          <w:snapToGrid w:val="0"/>
          <w:lang w:eastAsia="zh-CN"/>
        </w:rPr>
      </w:pPr>
    </w:p>
    <w:p w14:paraId="5FC7CF81">
      <w:pPr>
        <w:adjustRightInd w:val="0"/>
        <w:snapToGrid w:val="0"/>
        <w:spacing w:before="120" w:beforeLines="50" w:line="300" w:lineRule="auto"/>
        <w:jc w:val="both"/>
        <w:rPr>
          <w:rFonts w:ascii="Times New Roman" w:hAnsi="Times New Roman" w:eastAsia="宋体" w:cs="Times New Roman"/>
          <w:snapToGrid w:val="0"/>
          <w:lang w:eastAsia="zh-CN"/>
        </w:rPr>
      </w:pPr>
    </w:p>
    <w:p w14:paraId="0F70739E">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rPr>
        <w:t>_____________________</w:t>
      </w:r>
    </w:p>
    <w:p w14:paraId="68102028">
      <w:pPr>
        <w:pStyle w:val="25"/>
        <w:tabs>
          <w:tab w:val="left" w:pos="178"/>
        </w:tabs>
        <w:adjustRightInd w:val="0"/>
        <w:snapToGrid w:val="0"/>
        <w:spacing w:before="36" w:beforeLines="15" w:line="276" w:lineRule="auto"/>
        <w:jc w:val="both"/>
        <w:rPr>
          <w:rFonts w:eastAsia="宋体"/>
          <w:snapToGrid w:val="0"/>
          <w:sz w:val="21"/>
          <w:szCs w:val="21"/>
        </w:rPr>
      </w:pPr>
      <w:bookmarkStart w:id="15" w:name="bookmark112"/>
      <w:r>
        <w:rPr>
          <w:rFonts w:eastAsia="宋体"/>
          <w:snapToGrid w:val="0"/>
          <w:sz w:val="21"/>
          <w:szCs w:val="21"/>
          <w:shd w:val="clear" w:color="auto" w:fill="FFFFFF"/>
          <w:vertAlign w:val="superscript"/>
        </w:rPr>
        <w:t>11</w:t>
      </w:r>
      <w:r>
        <w:fldChar w:fldCharType="begin"/>
      </w:r>
      <w:r>
        <w:instrText xml:space="preserve"> HYPERLINK "https://www.fda.gov/regulatory-information/search-fda-guidance-documents/requests-feedback-and-meetings-" </w:instrText>
      </w:r>
      <w:r>
        <w:fldChar w:fldCharType="separate"/>
      </w:r>
      <w:r>
        <w:rPr>
          <w:rStyle w:val="14"/>
          <w:rFonts w:eastAsia="宋体"/>
          <w:snapToGrid w:val="0"/>
          <w:sz w:val="21"/>
          <w:szCs w:val="21"/>
        </w:rPr>
        <w:t>https://www.fda.gov/regulatory-information/search-fda-guidance-documents/requests-feedback-and-meetings-</w:t>
      </w:r>
      <w:r>
        <w:rPr>
          <w:rStyle w:val="14"/>
          <w:rFonts w:eastAsia="宋体"/>
          <w:snapToGrid w:val="0"/>
          <w:sz w:val="21"/>
          <w:szCs w:val="21"/>
        </w:rPr>
        <w:fldChar w:fldCharType="end"/>
      </w:r>
      <w:r>
        <w:fldChar w:fldCharType="begin"/>
      </w:r>
      <w:r>
        <w:instrText xml:space="preserve"> HYPERLINK "https://www.fda.gov/regulatory-information/search-fda-guidance-documents/requests-feedback-and-meetings-medical-device-submissions-q-submission-program" </w:instrText>
      </w:r>
      <w:r>
        <w:fldChar w:fldCharType="separate"/>
      </w:r>
      <w:r>
        <w:rPr>
          <w:rFonts w:eastAsia="宋体"/>
          <w:snapToGrid w:val="0"/>
          <w:color w:val="0000FF"/>
          <w:sz w:val="21"/>
          <w:szCs w:val="21"/>
          <w:u w:val="single"/>
        </w:rPr>
        <w:t>medical-device-submissions-q-submission-program</w:t>
      </w:r>
      <w:r>
        <w:rPr>
          <w:rFonts w:eastAsia="宋体"/>
          <w:snapToGrid w:val="0"/>
          <w:color w:val="0000FF"/>
          <w:sz w:val="21"/>
          <w:szCs w:val="21"/>
          <w:u w:val="single"/>
        </w:rPr>
        <w:fldChar w:fldCharType="end"/>
      </w:r>
      <w:r>
        <w:rPr>
          <w:rFonts w:eastAsia="宋体"/>
          <w:snapToGrid w:val="0"/>
          <w:sz w:val="21"/>
          <w:szCs w:val="21"/>
        </w:rPr>
        <w:t>.</w:t>
      </w:r>
      <w:bookmarkEnd w:id="15"/>
    </w:p>
    <w:p w14:paraId="4DAE7B5E">
      <w:pPr>
        <w:rPr>
          <w:rFonts w:ascii="Times New Roman" w:hAnsi="Times New Roman" w:eastAsia="宋体" w:cs="Times New Roman"/>
          <w:snapToGrid w:val="0"/>
          <w:lang w:eastAsia="zh-CN"/>
        </w:rPr>
      </w:pPr>
      <w:r>
        <w:rPr>
          <w:rFonts w:ascii="Times New Roman" w:hAnsi="Times New Roman" w:eastAsia="宋体" w:cs="宋体"/>
          <w:b/>
          <w:i/>
        </w:rPr>
        <w:br w:type="page"/>
      </w:r>
    </w:p>
    <w:p w14:paraId="39BFA103">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自制定以来，在BPH治疗研究中使用最广泛的主要</w:t>
      </w:r>
      <w:r>
        <w:rPr>
          <w:rFonts w:hint="eastAsia" w:ascii="Times New Roman" w:hAnsi="Times New Roman" w:eastAsia="宋体" w:cs="宋体"/>
          <w:lang w:eastAsia="zh-CN"/>
        </w:rPr>
        <w:t>结局</w:t>
      </w:r>
      <w:r>
        <w:rPr>
          <w:rFonts w:ascii="Times New Roman" w:hAnsi="Times New Roman" w:eastAsia="宋体" w:cs="宋体"/>
          <w:lang w:eastAsia="zh-CN"/>
        </w:rPr>
        <w:t>指标是美国泌尿学协会症状指数（AUA-SI）和等效的国际前列腺症状评分（IPSS）。此类指标包括评定与BPH相关的LUT的七个问题（即尿不尽、尿频、尿等待、尿急、尿流无力、紧张和夜尿症）。每个问题采用0-5分制评分，并相加形成0-35分制的最终得分，得分越高，症状越严重。</w:t>
      </w:r>
      <w:r>
        <w:rPr>
          <w:rFonts w:ascii="Times New Roman" w:hAnsi="Times New Roman" w:eastAsia="宋体" w:cs="宋体"/>
          <w:vertAlign w:val="superscript"/>
          <w:lang w:eastAsia="zh-CN"/>
        </w:rPr>
        <w:t>12</w:t>
      </w:r>
      <w:r>
        <w:rPr>
          <w:rFonts w:ascii="Times New Roman" w:hAnsi="Times New Roman" w:eastAsia="宋体" w:cs="宋体"/>
          <w:lang w:eastAsia="zh-CN"/>
        </w:rPr>
        <w:t xml:space="preserve"> IPSS中还包括一个按0-6分制单独评分的疾病特定生活质量问题。此类方法被认为是BPH所致LUT的可靠测量方法，并已通过多种语言验证。</w:t>
      </w:r>
      <w:r>
        <w:rPr>
          <w:rFonts w:ascii="Times New Roman" w:hAnsi="Times New Roman" w:eastAsia="宋体" w:cs="宋体"/>
          <w:vertAlign w:val="superscript"/>
          <w:lang w:eastAsia="zh-CN"/>
        </w:rPr>
        <w:t>13</w:t>
      </w:r>
    </w:p>
    <w:p w14:paraId="0790BE18">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麻烦的LUT通常是患者寻求治疗BPH的主要原因，大多数用于治疗BPH的器械均为缓解症状而设计。在大多数临床试验中，主要有效性终点应显示症状严重度的改善。具体而言，本机构建议将AUA-SI（或IPSS）相对于基线的改善作为主要有效性终点。</w:t>
      </w:r>
    </w:p>
    <w:p w14:paraId="56D95591">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通常情况下，患者无法辨别低于3分的AUA-SI（或IPSS）评分差异。</w:t>
      </w:r>
      <w:r>
        <w:rPr>
          <w:rFonts w:ascii="Times New Roman" w:hAnsi="Times New Roman" w:eastAsia="宋体" w:cs="宋体"/>
          <w:vertAlign w:val="superscript"/>
          <w:lang w:eastAsia="zh-CN"/>
        </w:rPr>
        <w:t>14</w:t>
      </w:r>
      <w:r>
        <w:rPr>
          <w:rFonts w:ascii="Times New Roman" w:hAnsi="Times New Roman" w:eastAsia="宋体" w:cs="宋体"/>
          <w:lang w:eastAsia="zh-CN"/>
        </w:rPr>
        <w:t>然而，治疗后最小的临床显著差异取决于基线症状评分。评价用于BPH药物治疗的AUA-SI最小临床显著性差异的研究。据FDA了解，尚未有研究表明在器械治疗后AUA-SI存在最小的临床显著差异。此外，许多试验纳入了多个症状严重度分类的受试者。因此，在器械治疗后很难确定AUA-SI适当的最小临床显著差异。</w:t>
      </w:r>
    </w:p>
    <w:p w14:paraId="6AB47404">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一项针对中度至重度LUTS男性的研究使用均衡的Likert评分来研究BPH症状变化对患者满意度的影响程度。</w:t>
      </w:r>
      <w:r>
        <w:rPr>
          <w:rFonts w:ascii="Times New Roman" w:hAnsi="Times New Roman" w:eastAsia="宋体" w:cs="宋体"/>
          <w:vertAlign w:val="superscript"/>
          <w:lang w:eastAsia="zh-CN"/>
        </w:rPr>
        <w:t>15</w:t>
      </w:r>
      <w:r>
        <w:rPr>
          <w:rFonts w:ascii="Times New Roman" w:hAnsi="Times New Roman" w:eastAsia="宋体" w:cs="宋体"/>
          <w:lang w:eastAsia="zh-CN"/>
        </w:rPr>
        <w:t>该研究确定了AUA-SI在症状严重度分类方面、需达到一定的满意度水平的一系列改善措施。AUA-SI中至少30%的改善措施用于“满意”或“非常满意”等响应。鉴于药物治疗和器械治疗的风险状态不同，该响应水平是</w:t>
      </w:r>
      <w:r>
        <w:rPr>
          <w:rFonts w:hint="eastAsia" w:ascii="Times New Roman" w:hAnsi="Times New Roman" w:eastAsia="宋体" w:cs="宋体"/>
          <w:lang w:eastAsia="zh-CN"/>
        </w:rPr>
        <w:t>可接受</w:t>
      </w:r>
      <w:r>
        <w:rPr>
          <w:rFonts w:ascii="Times New Roman" w:hAnsi="Times New Roman" w:eastAsia="宋体" w:cs="宋体"/>
          <w:lang w:eastAsia="zh-CN"/>
        </w:rPr>
        <w:t>的。根据此类文献，本机构建议将超过基线≥ 30%的改善措施作为器械治疗后AUA-SI的最低临床改善措施。高风险器械可能会带来更显著的获益。本机构建议对主动对照试验的主要有效性终点进行为期12个月的分析。对于不包括主动对照的研究设计，本机构建议引入假手术组对照。鉴于在12个月内很难维持假手术组对照组，本机构建议缩短治疗组和假手术组对照组之间进行头对头比较的时间。然而，在假手术组对照试验中，应证明该疗法的疗效在12个月时依旧稳定。</w:t>
      </w:r>
    </w:p>
    <w:p w14:paraId="27D39D37">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rPr>
        <w:t>_____________________</w:t>
      </w:r>
    </w:p>
    <w:p w14:paraId="7C42FFB3">
      <w:pPr>
        <w:pStyle w:val="25"/>
        <w:tabs>
          <w:tab w:val="left" w:pos="178"/>
        </w:tabs>
        <w:adjustRightInd w:val="0"/>
        <w:snapToGrid w:val="0"/>
        <w:spacing w:before="36" w:beforeLines="15" w:line="276" w:lineRule="auto"/>
        <w:jc w:val="both"/>
        <w:rPr>
          <w:rFonts w:eastAsia="宋体"/>
          <w:snapToGrid w:val="0"/>
          <w:sz w:val="21"/>
          <w:szCs w:val="21"/>
        </w:rPr>
      </w:pPr>
      <w:r>
        <w:rPr>
          <w:rFonts w:eastAsia="宋体" w:cs="宋体"/>
          <w:sz w:val="21"/>
          <w:vertAlign w:val="superscript"/>
        </w:rPr>
        <w:t>12</w:t>
      </w:r>
      <w:r>
        <w:rPr>
          <w:rFonts w:eastAsia="宋体" w:cs="宋体"/>
          <w:sz w:val="21"/>
        </w:rPr>
        <w:t xml:space="preserve"> Barry MJ，Fowler FJ Jr，O'Leary MP，Bruskewitz RC，Holtgrewe HL，Mebust WK等人，美国泌尿学协会良性前列腺增生症状指数。美国泌尿协会测量委员会。</w:t>
      </w:r>
      <w:r>
        <w:rPr>
          <w:rFonts w:eastAsia="宋体" w:cs="宋体"/>
          <w:i/>
          <w:sz w:val="21"/>
        </w:rPr>
        <w:t>J Urol,</w:t>
      </w:r>
      <w:r>
        <w:rPr>
          <w:rFonts w:eastAsia="宋体" w:cs="宋体"/>
          <w:sz w:val="21"/>
        </w:rPr>
        <w:t xml:space="preserve"> 1992, 148:1549.</w:t>
      </w:r>
    </w:p>
    <w:p w14:paraId="31586320">
      <w:pPr>
        <w:pStyle w:val="25"/>
        <w:tabs>
          <w:tab w:val="left" w:pos="178"/>
        </w:tabs>
        <w:adjustRightInd w:val="0"/>
        <w:snapToGrid w:val="0"/>
        <w:spacing w:before="36" w:beforeLines="15" w:line="276" w:lineRule="auto"/>
        <w:jc w:val="both"/>
        <w:rPr>
          <w:rFonts w:eastAsia="宋体"/>
          <w:snapToGrid w:val="0"/>
          <w:sz w:val="21"/>
          <w:szCs w:val="21"/>
        </w:rPr>
      </w:pPr>
      <w:r>
        <w:rPr>
          <w:rFonts w:eastAsia="宋体" w:cs="宋体"/>
          <w:sz w:val="21"/>
          <w:vertAlign w:val="superscript"/>
        </w:rPr>
        <w:t>13</w:t>
      </w:r>
      <w:r>
        <w:rPr>
          <w:rFonts w:eastAsia="宋体" w:cs="宋体"/>
          <w:sz w:val="21"/>
        </w:rPr>
        <w:t xml:space="preserve"> Barry MJ，Adolfsson J，Batista JE等人，良性前列腺增生及其治疗的症状和健康影响的测量。参加</w:t>
      </w:r>
      <w:r>
        <w:rPr>
          <w:rFonts w:hint="eastAsia" w:eastAsia="宋体" w:cs="宋体"/>
          <w:sz w:val="21"/>
          <w:lang w:eastAsia="zh-CN"/>
        </w:rPr>
        <w:t>：</w:t>
      </w:r>
      <w:r>
        <w:rPr>
          <w:rFonts w:eastAsia="宋体" w:cs="宋体"/>
          <w:sz w:val="21"/>
        </w:rPr>
        <w:t>Denis L, Griffiths K, Khoury S et al. (eds).第四届BPH国际磋商会。Plymouth：Plymbridge经销商：1998:265-321。</w:t>
      </w:r>
    </w:p>
    <w:p w14:paraId="26DF8816">
      <w:pPr>
        <w:pStyle w:val="25"/>
        <w:tabs>
          <w:tab w:val="left" w:pos="178"/>
        </w:tabs>
        <w:adjustRightInd w:val="0"/>
        <w:snapToGrid w:val="0"/>
        <w:spacing w:before="36" w:beforeLines="15" w:line="276" w:lineRule="auto"/>
        <w:jc w:val="both"/>
        <w:rPr>
          <w:rFonts w:eastAsia="宋体"/>
          <w:snapToGrid w:val="0"/>
          <w:sz w:val="21"/>
          <w:szCs w:val="21"/>
        </w:rPr>
      </w:pPr>
      <w:r>
        <w:rPr>
          <w:rFonts w:eastAsia="宋体" w:cs="宋体"/>
          <w:sz w:val="21"/>
          <w:vertAlign w:val="superscript"/>
        </w:rPr>
        <w:t>14</w:t>
      </w:r>
      <w:r>
        <w:rPr>
          <w:rFonts w:eastAsia="宋体" w:cs="宋体"/>
          <w:sz w:val="21"/>
        </w:rPr>
        <w:t xml:space="preserve"> Barry MJ，Willlifred WO，Chang Y等人，临床研究中的良性前列腺增生特定健康状况指标：美国泌尿学协会症状指数和患者可以感知的良性前列腺增生影响指数的变化程度。</w:t>
      </w:r>
      <w:r>
        <w:rPr>
          <w:rFonts w:eastAsia="宋体" w:cs="宋体"/>
          <w:i/>
          <w:sz w:val="21"/>
        </w:rPr>
        <w:t>J Urol,</w:t>
      </w:r>
      <w:r>
        <w:rPr>
          <w:rFonts w:eastAsia="宋体" w:cs="宋体"/>
          <w:sz w:val="21"/>
        </w:rPr>
        <w:t xml:space="preserve"> 1995, 154:1770-1774.</w:t>
      </w:r>
    </w:p>
    <w:p w14:paraId="68747614">
      <w:pPr>
        <w:pStyle w:val="25"/>
        <w:tabs>
          <w:tab w:val="left" w:pos="178"/>
        </w:tabs>
        <w:adjustRightInd w:val="0"/>
        <w:snapToGrid w:val="0"/>
        <w:spacing w:before="36" w:beforeLines="15" w:line="276" w:lineRule="auto"/>
        <w:jc w:val="both"/>
        <w:rPr>
          <w:rFonts w:eastAsia="宋体"/>
          <w:snapToGrid w:val="0"/>
          <w:lang w:eastAsia="zh-CN"/>
        </w:rPr>
      </w:pPr>
      <w:r>
        <w:rPr>
          <w:rFonts w:eastAsia="宋体" w:cs="宋体"/>
          <w:sz w:val="21"/>
          <w:vertAlign w:val="superscript"/>
        </w:rPr>
        <w:t>15</w:t>
      </w:r>
      <w:r>
        <w:rPr>
          <w:rFonts w:eastAsia="宋体" w:cs="宋体"/>
          <w:sz w:val="21"/>
        </w:rPr>
        <w:t xml:space="preserve"> Roehrborn CG，Wilson TH，Black LK，症状改善措施对中重度前列腺增生患者满意度贡献的量化：来自CombAT试验的4年期数据。</w:t>
      </w:r>
      <w:r>
        <w:rPr>
          <w:rFonts w:eastAsia="宋体" w:cs="宋体"/>
          <w:i/>
          <w:sz w:val="21"/>
        </w:rPr>
        <w:t>J Urol,</w:t>
      </w:r>
      <w:r>
        <w:rPr>
          <w:rFonts w:eastAsia="宋体" w:cs="宋体"/>
          <w:sz w:val="21"/>
        </w:rPr>
        <w:t xml:space="preserve"> 2012, 187:1732-1738.</w:t>
      </w:r>
      <w:r>
        <w:rPr>
          <w:rFonts w:eastAsia="宋体" w:cs="宋体"/>
          <w:b/>
          <w:i/>
        </w:rPr>
        <w:br w:type="page"/>
      </w:r>
    </w:p>
    <w:p w14:paraId="56E2BF0C">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AUA-SI（或IPSS）中刺激性和阻塞性症状问题的分离在心理学测量上是有效的，但目前尚不清楚此类分项评分分析是否具有临床</w:t>
      </w:r>
      <w:r>
        <w:rPr>
          <w:rFonts w:hint="eastAsia" w:ascii="Times New Roman" w:hAnsi="Times New Roman" w:eastAsia="宋体" w:cs="宋体"/>
          <w:lang w:eastAsia="zh-CN"/>
        </w:rPr>
        <w:t>显著性</w:t>
      </w:r>
      <w:r>
        <w:rPr>
          <w:rFonts w:ascii="Times New Roman" w:hAnsi="Times New Roman" w:eastAsia="宋体" w:cs="宋体"/>
          <w:lang w:eastAsia="zh-CN"/>
        </w:rPr>
        <w:t>。</w:t>
      </w:r>
      <w:r>
        <w:rPr>
          <w:rFonts w:ascii="Times New Roman" w:hAnsi="Times New Roman" w:eastAsia="宋体" w:cs="宋体"/>
          <w:vertAlign w:val="superscript"/>
          <w:lang w:eastAsia="zh-CN"/>
        </w:rPr>
        <w:t>16</w:t>
      </w:r>
    </w:p>
    <w:p w14:paraId="53C80AC5">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本机构认识到，由于特定的器械设计特征或预期的上市声明，其他</w:t>
      </w:r>
      <w:r>
        <w:rPr>
          <w:rFonts w:hint="eastAsia" w:ascii="Times New Roman" w:hAnsi="Times New Roman" w:eastAsia="宋体" w:cs="宋体"/>
          <w:lang w:eastAsia="zh-CN"/>
        </w:rPr>
        <w:t>结局</w:t>
      </w:r>
      <w:r>
        <w:rPr>
          <w:rFonts w:ascii="Times New Roman" w:hAnsi="Times New Roman" w:eastAsia="宋体" w:cs="宋体"/>
          <w:lang w:eastAsia="zh-CN"/>
        </w:rPr>
        <w:t>指标也可能是</w:t>
      </w:r>
      <w:r>
        <w:rPr>
          <w:rFonts w:hint="eastAsia" w:ascii="Times New Roman" w:hAnsi="Times New Roman" w:eastAsia="宋体" w:cs="宋体"/>
          <w:lang w:eastAsia="zh-CN"/>
        </w:rPr>
        <w:t>可接受</w:t>
      </w:r>
      <w:r>
        <w:rPr>
          <w:rFonts w:ascii="Times New Roman" w:hAnsi="Times New Roman" w:eastAsia="宋体" w:cs="宋体"/>
          <w:lang w:eastAsia="zh-CN"/>
        </w:rPr>
        <w:t>的。例如，阻塞减少的声明可以基于流速改善、“压力/流量”研究（膀胱测压）结果和排尿后残余尿量的记录。如果选择了另一种</w:t>
      </w:r>
      <w:r>
        <w:rPr>
          <w:rFonts w:hint="eastAsia" w:ascii="Times New Roman" w:hAnsi="Times New Roman" w:eastAsia="宋体" w:cs="宋体"/>
          <w:lang w:eastAsia="zh-CN"/>
        </w:rPr>
        <w:t>结局</w:t>
      </w:r>
      <w:r>
        <w:rPr>
          <w:rFonts w:ascii="Times New Roman" w:hAnsi="Times New Roman" w:eastAsia="宋体" w:cs="宋体"/>
          <w:lang w:eastAsia="zh-CN"/>
        </w:rPr>
        <w:t>指标，那么必须科学有效地举证证明其适用于该器械。</w:t>
      </w:r>
    </w:p>
    <w:p w14:paraId="3C52187C">
      <w:pPr>
        <w:pStyle w:val="39"/>
        <w:rPr>
          <w:rFonts w:eastAsia="宋体"/>
          <w:lang w:eastAsia="zh-CN"/>
        </w:rPr>
      </w:pPr>
      <w:bookmarkStart w:id="16" w:name="_Toc91869246"/>
      <w:r>
        <w:rPr>
          <w:rFonts w:eastAsia="宋体" w:cs="宋体"/>
          <w:lang w:eastAsia="zh-CN"/>
        </w:rPr>
        <w:t>（3）主要安全性终点</w:t>
      </w:r>
      <w:bookmarkEnd w:id="16"/>
    </w:p>
    <w:p w14:paraId="34821C9F">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FDA拟将现有BPH指南文件的第V.E(3)节替换为以下建议：</w:t>
      </w:r>
    </w:p>
    <w:p w14:paraId="7E90D5DA">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本机构建议根据不良事件的发生率和严重度确定主要安全性终点。然而，如果该器械与特定安全问题相关或旨在缓解特定安全问题，则可一边记录所有不良事件，一边根据与该问题相关的特定不良事件确定主要安全性终点。</w:t>
      </w:r>
    </w:p>
    <w:p w14:paraId="15690116">
      <w:pPr>
        <w:adjustRightInd w:val="0"/>
        <w:snapToGrid w:val="0"/>
        <w:spacing w:before="120" w:beforeLines="50" w:line="300" w:lineRule="auto"/>
        <w:jc w:val="both"/>
        <w:rPr>
          <w:rFonts w:ascii="Times New Roman" w:hAnsi="Times New Roman" w:eastAsia="宋体" w:cs="Times New Roman"/>
          <w:snapToGrid w:val="0"/>
        </w:rPr>
      </w:pPr>
      <w:r>
        <w:rPr>
          <w:rFonts w:ascii="Times New Roman" w:hAnsi="Times New Roman" w:eastAsia="宋体" w:cs="宋体"/>
          <w:lang w:eastAsia="zh-CN"/>
        </w:rPr>
        <w:t>为了可靠地收集安全性信息，本机构建议的方案可指导研究员记录所有不良事件，无论申请人认为此类事件是否与器械相关或符合预期。无论研究设计如何，本机构建议在上市前随访期间对受试者进行为期一年的随访，以监测不良事件。</w:t>
      </w:r>
      <w:r>
        <w:rPr>
          <w:rFonts w:ascii="Times New Roman" w:hAnsi="Times New Roman" w:eastAsia="宋体" w:cs="宋体"/>
        </w:rPr>
        <w:t>本机构建议定期记录以下事件：</w:t>
      </w:r>
    </w:p>
    <w:p w14:paraId="785B6A40">
      <w:pPr>
        <w:pStyle w:val="37"/>
        <w:numPr>
          <w:ilvl w:val="0"/>
          <w:numId w:val="11"/>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泌尿生殖系统事件，即与泌尿道和/或周围生殖区域相关的事件；</w:t>
      </w:r>
    </w:p>
    <w:p w14:paraId="66082178">
      <w:pPr>
        <w:pStyle w:val="37"/>
        <w:numPr>
          <w:ilvl w:val="0"/>
          <w:numId w:val="11"/>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膀胱底、三角区、括约肌和直肠损伤；</w:t>
      </w:r>
    </w:p>
    <w:p w14:paraId="60F8DB1F">
      <w:pPr>
        <w:pStyle w:val="37"/>
        <w:numPr>
          <w:ilvl w:val="0"/>
          <w:numId w:val="11"/>
        </w:numPr>
        <w:adjustRightInd w:val="0"/>
        <w:snapToGrid w:val="0"/>
        <w:spacing w:before="120" w:beforeLines="50"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感染；</w:t>
      </w:r>
    </w:p>
    <w:p w14:paraId="45FB2EFF">
      <w:pPr>
        <w:pStyle w:val="37"/>
        <w:numPr>
          <w:ilvl w:val="0"/>
          <w:numId w:val="11"/>
        </w:numPr>
        <w:adjustRightInd w:val="0"/>
        <w:snapToGrid w:val="0"/>
        <w:spacing w:before="120" w:beforeLines="50"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性功能障碍加重；</w:t>
      </w:r>
    </w:p>
    <w:p w14:paraId="5046B458">
      <w:pPr>
        <w:pStyle w:val="37"/>
        <w:numPr>
          <w:ilvl w:val="0"/>
          <w:numId w:val="11"/>
        </w:numPr>
        <w:adjustRightInd w:val="0"/>
        <w:snapToGrid w:val="0"/>
        <w:spacing w:before="120" w:beforeLines="50"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二期手术干预；</w:t>
      </w:r>
    </w:p>
    <w:p w14:paraId="4381674A">
      <w:pPr>
        <w:pStyle w:val="37"/>
        <w:numPr>
          <w:ilvl w:val="0"/>
          <w:numId w:val="11"/>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所有一过性术后事件；以及</w:t>
      </w:r>
    </w:p>
    <w:p w14:paraId="56645B1F">
      <w:pPr>
        <w:pStyle w:val="37"/>
        <w:numPr>
          <w:ilvl w:val="0"/>
          <w:numId w:val="11"/>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rPr>
        <w:t>死亡。</w:t>
      </w:r>
    </w:p>
    <w:p w14:paraId="63089AE9">
      <w:pPr>
        <w:tabs>
          <w:tab w:val="left" w:pos="738"/>
        </w:tabs>
        <w:adjustRightInd w:val="0"/>
        <w:snapToGrid w:val="0"/>
        <w:spacing w:before="120" w:beforeLines="50" w:line="300" w:lineRule="auto"/>
        <w:jc w:val="both"/>
        <w:rPr>
          <w:rFonts w:ascii="Times New Roman" w:hAnsi="Times New Roman" w:eastAsia="宋体" w:cs="宋体"/>
          <w:lang w:eastAsia="zh-CN"/>
        </w:rPr>
      </w:pPr>
    </w:p>
    <w:p w14:paraId="5C2BD700">
      <w:pPr>
        <w:tabs>
          <w:tab w:val="left" w:pos="738"/>
        </w:tabs>
        <w:adjustRightInd w:val="0"/>
        <w:snapToGrid w:val="0"/>
        <w:spacing w:before="120" w:beforeLines="50" w:line="300" w:lineRule="auto"/>
        <w:jc w:val="both"/>
        <w:rPr>
          <w:rFonts w:ascii="Times New Roman" w:hAnsi="Times New Roman" w:eastAsia="宋体" w:cs="宋体"/>
          <w:lang w:eastAsia="zh-CN"/>
        </w:rPr>
      </w:pPr>
    </w:p>
    <w:p w14:paraId="18E40C98">
      <w:pPr>
        <w:tabs>
          <w:tab w:val="left" w:pos="738"/>
        </w:tabs>
        <w:adjustRightInd w:val="0"/>
        <w:snapToGrid w:val="0"/>
        <w:spacing w:before="120" w:beforeLines="50" w:line="300" w:lineRule="auto"/>
        <w:jc w:val="both"/>
        <w:rPr>
          <w:rFonts w:ascii="Times New Roman" w:hAnsi="Times New Roman" w:eastAsia="宋体" w:cs="宋体"/>
          <w:lang w:eastAsia="zh-CN"/>
        </w:rPr>
      </w:pPr>
    </w:p>
    <w:p w14:paraId="7FC3E4C7">
      <w:pPr>
        <w:tabs>
          <w:tab w:val="left" w:pos="738"/>
        </w:tabs>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rPr>
        <w:t>_____________________</w:t>
      </w:r>
    </w:p>
    <w:p w14:paraId="192CA406">
      <w:pPr>
        <w:pStyle w:val="25"/>
        <w:tabs>
          <w:tab w:val="left" w:pos="182"/>
        </w:tabs>
        <w:adjustRightInd w:val="0"/>
        <w:snapToGrid w:val="0"/>
        <w:spacing w:before="36" w:beforeLines="15" w:line="276" w:lineRule="auto"/>
        <w:jc w:val="both"/>
        <w:rPr>
          <w:rFonts w:eastAsia="宋体"/>
          <w:snapToGrid w:val="0"/>
          <w:sz w:val="21"/>
          <w:szCs w:val="21"/>
          <w:lang w:eastAsia="zh-CN"/>
        </w:rPr>
      </w:pPr>
      <w:r>
        <w:rPr>
          <w:rFonts w:eastAsia="宋体" w:cs="宋体"/>
          <w:sz w:val="21"/>
          <w:vertAlign w:val="superscript"/>
          <w:lang w:eastAsia="zh-CN"/>
        </w:rPr>
        <w:t>16</w:t>
      </w:r>
      <w:r>
        <w:rPr>
          <w:rFonts w:eastAsia="宋体" w:cs="宋体"/>
          <w:sz w:val="21"/>
          <w:lang w:eastAsia="zh-CN"/>
        </w:rPr>
        <w:t>Barry M.J.等人，美国泌尿学协会症状指数中的充盈和排尿症状：在退伍军人事务部对临床诊断为良性前列腺增生的男性进行药物治疗的随机试验中，区分此类症状的价值。</w:t>
      </w:r>
      <w:r>
        <w:rPr>
          <w:rFonts w:eastAsia="宋体" w:cs="宋体"/>
          <w:i/>
          <w:sz w:val="21"/>
          <w:lang w:eastAsia="zh-CN"/>
        </w:rPr>
        <w:t>J Urol,</w:t>
      </w:r>
      <w:r>
        <w:rPr>
          <w:rFonts w:eastAsia="宋体" w:cs="宋体"/>
          <w:sz w:val="21"/>
          <w:lang w:eastAsia="zh-CN"/>
        </w:rPr>
        <w:t xml:space="preserve"> 164:1559-1564, 2000.</w:t>
      </w:r>
    </w:p>
    <w:p w14:paraId="609D4C39">
      <w:pPr>
        <w:rPr>
          <w:rFonts w:ascii="Times New Roman" w:hAnsi="Times New Roman" w:eastAsia="宋体" w:cs="Times New Roman"/>
          <w:snapToGrid w:val="0"/>
          <w:lang w:eastAsia="zh-CN"/>
        </w:rPr>
      </w:pPr>
      <w:r>
        <w:rPr>
          <w:rFonts w:ascii="Times New Roman" w:hAnsi="Times New Roman" w:eastAsia="宋体" w:cs="宋体"/>
          <w:b/>
          <w:i/>
          <w:lang w:eastAsia="zh-CN"/>
        </w:rPr>
        <w:br w:type="page"/>
      </w:r>
    </w:p>
    <w:p w14:paraId="0D8222F1">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不良事件应根据其与器械或程序的相关性及其严重度进行分类（例如，使用最新版本的不良事件通用术语标准</w:t>
      </w:r>
      <w:r>
        <w:rPr>
          <w:rFonts w:ascii="Times New Roman" w:hAnsi="Times New Roman" w:eastAsia="宋体" w:cs="宋体"/>
          <w:vertAlign w:val="superscript"/>
          <w:lang w:eastAsia="zh-CN"/>
        </w:rPr>
        <w:t>17</w:t>
      </w:r>
      <w:r>
        <w:rPr>
          <w:rFonts w:ascii="Times New Roman" w:hAnsi="Times New Roman" w:eastAsia="宋体" w:cs="宋体"/>
          <w:lang w:eastAsia="zh-CN"/>
        </w:rPr>
        <w:t>）。该分类应基于预定义的标准，并可由研究员或独立的第三方</w:t>
      </w:r>
      <w:r>
        <w:rPr>
          <w:rFonts w:hint="eastAsia" w:ascii="Times New Roman" w:hAnsi="Times New Roman" w:eastAsia="宋体" w:cs="宋体"/>
          <w:lang w:eastAsia="zh-CN"/>
        </w:rPr>
        <w:t>临床事件委员会（</w:t>
      </w:r>
      <w:r>
        <w:rPr>
          <w:rFonts w:ascii="Times New Roman" w:hAnsi="Times New Roman" w:eastAsia="宋体" w:cs="宋体"/>
          <w:lang w:eastAsia="zh-CN"/>
        </w:rPr>
        <w:t>CEC</w:t>
      </w:r>
      <w:r>
        <w:rPr>
          <w:rFonts w:hint="eastAsia" w:ascii="Times New Roman" w:hAnsi="Times New Roman" w:eastAsia="宋体" w:cs="宋体"/>
          <w:lang w:eastAsia="zh-CN"/>
        </w:rPr>
        <w:t>）</w:t>
      </w:r>
      <w:r>
        <w:rPr>
          <w:rFonts w:ascii="Times New Roman" w:hAnsi="Times New Roman" w:eastAsia="宋体" w:cs="宋体"/>
          <w:lang w:eastAsia="zh-CN"/>
        </w:rPr>
        <w:t>完成。由于难以确定泌尿生殖系统事件的根本起因，本机构建议除非有明确证据证明有其他原因，否则应保守地将事件归类为与器械或程序相关的事件。此外，本机构建议研究员记录各个不良事件的发生时间和解决时间，并注意解决方法。</w:t>
      </w:r>
    </w:p>
    <w:p w14:paraId="5483312B">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本机构建议安全性分析包括对研究中观察到的不良事件的类型和频率进行的说明性</w:t>
      </w:r>
      <w:r>
        <w:rPr>
          <w:rFonts w:hint="eastAsia" w:ascii="Times New Roman" w:hAnsi="Times New Roman" w:eastAsia="宋体" w:cs="宋体"/>
          <w:lang w:eastAsia="zh-CN"/>
        </w:rPr>
        <w:t>评价</w:t>
      </w:r>
      <w:r>
        <w:rPr>
          <w:rFonts w:ascii="Times New Roman" w:hAnsi="Times New Roman" w:eastAsia="宋体" w:cs="宋体"/>
          <w:lang w:eastAsia="zh-CN"/>
        </w:rPr>
        <w:t>，并酌情与对照治疗进行比较。</w:t>
      </w:r>
    </w:p>
    <w:p w14:paraId="4802329C">
      <w:pPr>
        <w:pStyle w:val="39"/>
        <w:rPr>
          <w:rFonts w:eastAsia="宋体"/>
          <w:lang w:eastAsia="zh-CN"/>
        </w:rPr>
      </w:pPr>
      <w:bookmarkStart w:id="17" w:name="_Toc91869247"/>
      <w:r>
        <w:rPr>
          <w:rFonts w:eastAsia="宋体" w:cs="宋体"/>
          <w:lang w:eastAsia="zh-CN"/>
        </w:rPr>
        <w:t>（4）次要终点</w:t>
      </w:r>
      <w:bookmarkEnd w:id="17"/>
    </w:p>
    <w:p w14:paraId="175C6B68">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FDA拟将现有BPH指南文件的第V.E(4)节替换为以下建议：</w:t>
      </w:r>
    </w:p>
    <w:p w14:paraId="4F913B5D">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FDA认为次要终点本身不足以充分说明治疗的获益。然而，此类指标可能提供治疗效果的其他特征。具体而言，次要终点可以：</w:t>
      </w:r>
    </w:p>
    <w:p w14:paraId="119F3CAC">
      <w:pPr>
        <w:pStyle w:val="37"/>
        <w:numPr>
          <w:ilvl w:val="0"/>
          <w:numId w:val="12"/>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提供主要终点的背景和理解；</w:t>
      </w:r>
    </w:p>
    <w:p w14:paraId="24E75CD1">
      <w:pPr>
        <w:pStyle w:val="37"/>
        <w:numPr>
          <w:ilvl w:val="0"/>
          <w:numId w:val="12"/>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作为复合型主要终点（如使用）的单个组分；</w:t>
      </w:r>
    </w:p>
    <w:p w14:paraId="5AE07898">
      <w:pPr>
        <w:pStyle w:val="37"/>
        <w:numPr>
          <w:ilvl w:val="0"/>
          <w:numId w:val="12"/>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有助于理解治疗的作用机制；</w:t>
      </w:r>
    </w:p>
    <w:p w14:paraId="707F41AC">
      <w:pPr>
        <w:pStyle w:val="37"/>
        <w:numPr>
          <w:ilvl w:val="0"/>
          <w:numId w:val="12"/>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关联相关子假设（与治疗的主要目的分开）；或</w:t>
      </w:r>
    </w:p>
    <w:p w14:paraId="5D07573F">
      <w:pPr>
        <w:pStyle w:val="37"/>
        <w:numPr>
          <w:ilvl w:val="0"/>
          <w:numId w:val="12"/>
        </w:numPr>
        <w:adjustRightInd w:val="0"/>
        <w:snapToGrid w:val="0"/>
        <w:spacing w:before="120" w:beforeLines="50"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用于执行探索性分析。</w:t>
      </w:r>
    </w:p>
    <w:p w14:paraId="7DAAFE26">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假设成功达到了本研究的主要安全性和有效性终点，本机构建议分析次要终点，以提供有关器械安全性和有效性的支持性证据支持器械性能（如果计划在标签中做出此类表示）。</w:t>
      </w:r>
    </w:p>
    <w:p w14:paraId="23E4F815">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虽然可能存在许多拟用于治疗BPH的器械临床研究的次要终点，本机构建议的方案包括以下讨论的终点：</w:t>
      </w:r>
    </w:p>
    <w:p w14:paraId="220E1645">
      <w:pPr>
        <w:pStyle w:val="37"/>
        <w:numPr>
          <w:ilvl w:val="0"/>
          <w:numId w:val="13"/>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u w:val="single"/>
          <w:lang w:eastAsia="zh-CN"/>
        </w:rPr>
        <w:t>前列腺体积</w:t>
      </w:r>
      <w:r>
        <w:rPr>
          <w:rFonts w:ascii="Times New Roman" w:hAnsi="Times New Roman" w:eastAsia="宋体" w:cs="宋体"/>
          <w:lang w:eastAsia="zh-CN"/>
        </w:rPr>
        <w:t>：许多治疗BPH的器械，如经尿道微波热疗（TUMT），可以减</w:t>
      </w:r>
      <w:r>
        <w:rPr>
          <w:rFonts w:hint="eastAsia" w:ascii="Times New Roman" w:hAnsi="Times New Roman" w:eastAsia="宋体" w:cs="宋体"/>
          <w:lang w:eastAsia="zh-CN"/>
        </w:rPr>
        <w:t>小</w:t>
      </w:r>
      <w:r>
        <w:rPr>
          <w:rFonts w:ascii="Times New Roman" w:hAnsi="Times New Roman" w:eastAsia="宋体" w:cs="宋体"/>
          <w:lang w:eastAsia="zh-CN"/>
        </w:rPr>
        <w:t>前列腺体积。前列腺体积的增加也可以指示BPH的进展。因此，本机构建议在整个研究过程中评价前列腺体积。</w:t>
      </w:r>
    </w:p>
    <w:p w14:paraId="11792A57">
      <w:pPr>
        <w:pStyle w:val="37"/>
        <w:numPr>
          <w:ilvl w:val="0"/>
          <w:numId w:val="13"/>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u w:val="single"/>
          <w:lang w:eastAsia="zh-CN"/>
        </w:rPr>
        <w:t>尿流率测定</w:t>
      </w:r>
      <w:r>
        <w:rPr>
          <w:rFonts w:ascii="Times New Roman" w:hAnsi="Times New Roman" w:eastAsia="宋体" w:cs="宋体"/>
          <w:lang w:eastAsia="zh-CN"/>
        </w:rPr>
        <w:t>：BPH患者的尿流率峰值降低是常见现象。本机构建议在每次随访时进行尿流率测定，包括峰值和平均流速、总空隙时间和总空隙体积。</w:t>
      </w:r>
    </w:p>
    <w:p w14:paraId="7059F3D7">
      <w:pPr>
        <w:tabs>
          <w:tab w:val="left" w:pos="714"/>
        </w:tabs>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rPr>
        <w:t>_____________________</w:t>
      </w:r>
    </w:p>
    <w:p w14:paraId="45EC6DB3">
      <w:pPr>
        <w:pStyle w:val="25"/>
        <w:tabs>
          <w:tab w:val="left" w:pos="168"/>
        </w:tabs>
        <w:adjustRightInd w:val="0"/>
        <w:snapToGrid w:val="0"/>
        <w:spacing w:before="36" w:beforeLines="15" w:line="276" w:lineRule="auto"/>
        <w:jc w:val="both"/>
        <w:rPr>
          <w:rFonts w:eastAsia="宋体"/>
          <w:snapToGrid w:val="0"/>
        </w:rPr>
      </w:pPr>
      <w:r>
        <w:rPr>
          <w:rFonts w:eastAsia="宋体" w:cs="宋体"/>
          <w:sz w:val="21"/>
          <w:vertAlign w:val="superscript"/>
        </w:rPr>
        <w:t>17</w:t>
      </w:r>
      <w:r>
        <w:rPr>
          <w:rFonts w:eastAsia="宋体" w:cs="宋体"/>
          <w:sz w:val="21"/>
        </w:rPr>
        <w:t xml:space="preserve"> 关于更多信息，请参见网址：</w:t>
      </w:r>
      <w:r>
        <w:fldChar w:fldCharType="begin"/>
      </w:r>
      <w:r>
        <w:instrText xml:space="preserve"> HYPERLINK "https://ctep.cancer.gov/protocolDevelopment/electronicapplications/%20ctc.htm" </w:instrText>
      </w:r>
      <w:r>
        <w:fldChar w:fldCharType="separate"/>
      </w:r>
      <w:r>
        <w:rPr>
          <w:rStyle w:val="14"/>
          <w:rFonts w:eastAsia="宋体" w:cs="宋体"/>
          <w:snapToGrid w:val="0"/>
          <w:sz w:val="21"/>
          <w:szCs w:val="21"/>
        </w:rPr>
        <w:t>https://ctep.cancer.gov/protocolDevelopment/electronicapplications/</w:t>
      </w:r>
      <w:r>
        <w:rPr>
          <w:rStyle w:val="14"/>
          <w:rFonts w:hint="eastAsia" w:eastAsia="宋体" w:cs="宋体"/>
          <w:snapToGrid w:val="0"/>
          <w:sz w:val="21"/>
          <w:szCs w:val="21"/>
          <w:lang w:eastAsia="zh-CN"/>
        </w:rPr>
        <w:t xml:space="preserve"> </w:t>
      </w:r>
      <w:r>
        <w:rPr>
          <w:rStyle w:val="14"/>
          <w:rFonts w:eastAsia="宋体" w:cs="宋体"/>
          <w:snapToGrid w:val="0"/>
          <w:sz w:val="21"/>
          <w:szCs w:val="21"/>
        </w:rPr>
        <w:t>ctc.htm</w:t>
      </w:r>
      <w:r>
        <w:rPr>
          <w:rStyle w:val="14"/>
          <w:rFonts w:eastAsia="宋体" w:cs="宋体"/>
          <w:snapToGrid w:val="0"/>
          <w:sz w:val="21"/>
          <w:szCs w:val="21"/>
        </w:rPr>
        <w:fldChar w:fldCharType="end"/>
      </w:r>
      <w:r>
        <w:rPr>
          <w:rFonts w:eastAsia="宋体" w:cs="宋体"/>
          <w:sz w:val="21"/>
        </w:rPr>
        <w:t>。</w:t>
      </w:r>
    </w:p>
    <w:p w14:paraId="1A3949C4">
      <w:pPr>
        <w:rPr>
          <w:rFonts w:ascii="Times New Roman" w:hAnsi="Times New Roman" w:eastAsia="宋体" w:cs="Times New Roman"/>
          <w:snapToGrid w:val="0"/>
        </w:rPr>
      </w:pPr>
      <w:r>
        <w:rPr>
          <w:rFonts w:ascii="Times New Roman" w:hAnsi="Times New Roman" w:eastAsia="宋体" w:cs="宋体"/>
        </w:rPr>
        <w:br w:type="page"/>
      </w:r>
    </w:p>
    <w:p w14:paraId="22CFA099">
      <w:pPr>
        <w:pStyle w:val="37"/>
        <w:numPr>
          <w:ilvl w:val="0"/>
          <w:numId w:val="14"/>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u w:val="single"/>
          <w:lang w:eastAsia="zh-CN"/>
        </w:rPr>
        <w:t>空隙后残余（PVR）尿量</w:t>
      </w:r>
      <w:r>
        <w:rPr>
          <w:rFonts w:ascii="Times New Roman" w:hAnsi="Times New Roman" w:eastAsia="宋体" w:cs="宋体"/>
          <w:lang w:eastAsia="zh-CN"/>
        </w:rPr>
        <w:t>：PVR通常被认为反映膀胱出口梗阻的严重度。本机构建议在每次随访时测量PVR，以监测由于治疗或疾病进展导致的膀胱排空障碍或改善。</w:t>
      </w:r>
    </w:p>
    <w:p w14:paraId="1250D07F">
      <w:pPr>
        <w:pStyle w:val="37"/>
        <w:numPr>
          <w:ilvl w:val="0"/>
          <w:numId w:val="14"/>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u w:val="single"/>
          <w:lang w:eastAsia="zh-CN"/>
        </w:rPr>
        <w:t>生活质量</w:t>
      </w:r>
      <w:r>
        <w:rPr>
          <w:rFonts w:ascii="Times New Roman" w:hAnsi="Times New Roman" w:eastAsia="宋体" w:cs="宋体"/>
          <w:lang w:eastAsia="zh-CN"/>
        </w:rPr>
        <w:t>：BPH与生活质量受损有关。因此，本机构建议在研究中引入经验证的针对BPH的生活质量指标。最常用的指标是AUA-SI（或IPSS）问卷中包含的疾病特异性生活质量问题。</w:t>
      </w:r>
    </w:p>
    <w:p w14:paraId="415B537B">
      <w:pPr>
        <w:pStyle w:val="37"/>
        <w:numPr>
          <w:ilvl w:val="0"/>
          <w:numId w:val="14"/>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u w:val="single"/>
          <w:lang w:eastAsia="zh-CN"/>
        </w:rPr>
        <w:t>恢复到“正常”的症状严重度</w:t>
      </w:r>
      <w:r>
        <w:rPr>
          <w:rFonts w:ascii="Times New Roman" w:hAnsi="Times New Roman" w:eastAsia="宋体" w:cs="宋体"/>
          <w:lang w:eastAsia="zh-CN"/>
        </w:rPr>
        <w:t>：了解治疗后症状改善到“正常”（即AUA-SI &lt; 8）的受试者比例非常有价值。相反，了解治疗后症状恶化的受试者比例也很重要。因此，本机构建议收集治疗前后AUA-SI评分。</w:t>
      </w:r>
    </w:p>
    <w:p w14:paraId="679E6A20">
      <w:pPr>
        <w:pStyle w:val="37"/>
        <w:numPr>
          <w:ilvl w:val="0"/>
          <w:numId w:val="14"/>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u w:val="single"/>
          <w:lang w:eastAsia="zh-CN"/>
        </w:rPr>
        <w:t>性功能和功能障碍</w:t>
      </w:r>
      <w:r>
        <w:rPr>
          <w:rFonts w:ascii="Times New Roman" w:hAnsi="Times New Roman" w:eastAsia="宋体" w:cs="宋体"/>
          <w:lang w:eastAsia="zh-CN"/>
        </w:rPr>
        <w:t>：BPH及其许多疗法都会对性功能产生不利影响。因此，本机构建议在每次随访中引入经验证、针对性别的性功能评定指标。</w:t>
      </w:r>
    </w:p>
    <w:p w14:paraId="435A42AA">
      <w:pPr>
        <w:pStyle w:val="37"/>
        <w:numPr>
          <w:ilvl w:val="0"/>
          <w:numId w:val="14"/>
        </w:numPr>
        <w:adjustRightInd w:val="0"/>
        <w:snapToGrid w:val="0"/>
        <w:spacing w:before="120" w:beforeLines="50" w:line="300" w:lineRule="auto"/>
        <w:ind w:left="1276"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建议使用国际勃起功能指数，特别是勃起功能域（IIEF-5）</w:t>
      </w:r>
      <w:r>
        <w:rPr>
          <w:rFonts w:ascii="Times New Roman" w:hAnsi="Times New Roman" w:eastAsia="宋体" w:cs="宋体"/>
          <w:vertAlign w:val="superscript"/>
          <w:lang w:eastAsia="zh-CN"/>
        </w:rPr>
        <w:t>18</w:t>
      </w:r>
      <w:r>
        <w:rPr>
          <w:rFonts w:ascii="Times New Roman" w:hAnsi="Times New Roman" w:eastAsia="宋体" w:cs="宋体"/>
          <w:lang w:eastAsia="zh-CN"/>
        </w:rPr>
        <w:t>来评定性功能。最小临床重要性差异（MCID）为4分。</w:t>
      </w:r>
      <w:r>
        <w:rPr>
          <w:rFonts w:ascii="Times New Roman" w:hAnsi="Times New Roman" w:eastAsia="宋体" w:cs="宋体"/>
          <w:vertAlign w:val="superscript"/>
          <w:lang w:eastAsia="zh-CN"/>
        </w:rPr>
        <w:t>19</w:t>
      </w:r>
      <w:r>
        <w:rPr>
          <w:rFonts w:ascii="Times New Roman" w:hAnsi="Times New Roman" w:eastAsia="宋体" w:cs="宋体"/>
          <w:lang w:eastAsia="zh-CN"/>
        </w:rPr>
        <w:t>然而，MCID是基线勃起功能的函数。例如，轻度、中度或重度勃起功能障碍男性的MCID分别为2、5或7。如果研究人群仅限于勃起功能障碍的一个亚组（轻度、中度或重度）中的男性，则适合在研究组中使用特定的MCID。但是，如果选择包括两个或两个以上勃起功能障碍范围的男性（例如，轻度和中度、中度和重度，或轻度、中度和重度），则鉴于基线值，使用适当的MCID进行响应者分析更为合适。</w:t>
      </w:r>
    </w:p>
    <w:p w14:paraId="78BC42F4">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关于次要终点统计学分析的建议在现有BPH指南文件的第IV.N节中加以讨论。</w:t>
      </w:r>
    </w:p>
    <w:p w14:paraId="69618A9E">
      <w:pPr>
        <w:pStyle w:val="35"/>
        <w:rPr>
          <w:rFonts w:eastAsia="宋体"/>
          <w:lang w:eastAsia="zh-CN"/>
        </w:rPr>
      </w:pPr>
      <w:bookmarkStart w:id="18" w:name="_Toc91869248"/>
      <w:r>
        <w:rPr>
          <w:rFonts w:eastAsia="宋体" w:cs="宋体"/>
          <w:lang w:eastAsia="zh-CN"/>
        </w:rPr>
        <w:t>G.</w:t>
      </w:r>
      <w:r>
        <w:rPr>
          <w:rFonts w:eastAsia="宋体" w:cs="宋体"/>
          <w:lang w:eastAsia="zh-CN"/>
        </w:rPr>
        <w:tab/>
      </w:r>
      <w:r>
        <w:rPr>
          <w:rFonts w:eastAsia="宋体" w:cs="宋体"/>
          <w:lang w:eastAsia="zh-CN"/>
        </w:rPr>
        <w:t>统计学假设</w:t>
      </w:r>
      <w:bookmarkEnd w:id="18"/>
    </w:p>
    <w:p w14:paraId="5E0FB287">
      <w:pPr>
        <w:adjustRightInd w:val="0"/>
        <w:snapToGrid w:val="0"/>
        <w:spacing w:before="120" w:beforeLines="50" w:line="300" w:lineRule="auto"/>
        <w:jc w:val="both"/>
        <w:rPr>
          <w:rFonts w:ascii="Times New Roman" w:hAnsi="Times New Roman" w:eastAsia="宋体" w:cs="宋体"/>
          <w:lang w:eastAsia="zh-CN"/>
        </w:rPr>
      </w:pPr>
      <w:r>
        <w:rPr>
          <w:rFonts w:ascii="Times New Roman" w:hAnsi="Times New Roman" w:eastAsia="宋体" w:cs="宋体"/>
          <w:lang w:eastAsia="zh-CN"/>
        </w:rPr>
        <w:t>FDA拟使用以下建议取代现有BPH指南文件第V.G节：</w:t>
      </w:r>
    </w:p>
    <w:p w14:paraId="1B40CACC">
      <w:pPr>
        <w:adjustRightInd w:val="0"/>
        <w:snapToGrid w:val="0"/>
        <w:spacing w:before="120" w:beforeLines="50" w:line="300" w:lineRule="auto"/>
        <w:jc w:val="both"/>
        <w:rPr>
          <w:rFonts w:ascii="Times New Roman" w:hAnsi="Times New Roman" w:eastAsia="宋体" w:cs="宋体"/>
          <w:lang w:eastAsia="zh-CN"/>
        </w:rPr>
      </w:pPr>
    </w:p>
    <w:p w14:paraId="1FB0C136">
      <w:pPr>
        <w:adjustRightInd w:val="0"/>
        <w:snapToGrid w:val="0"/>
        <w:spacing w:before="120" w:beforeLines="50" w:line="300" w:lineRule="auto"/>
        <w:jc w:val="both"/>
        <w:rPr>
          <w:rFonts w:ascii="Times New Roman" w:hAnsi="Times New Roman" w:eastAsia="宋体" w:cs="宋体"/>
          <w:lang w:eastAsia="zh-CN"/>
        </w:rPr>
      </w:pPr>
    </w:p>
    <w:p w14:paraId="5AF10AEF">
      <w:pPr>
        <w:adjustRightInd w:val="0"/>
        <w:snapToGrid w:val="0"/>
        <w:spacing w:before="120" w:beforeLines="50" w:line="300" w:lineRule="auto"/>
        <w:jc w:val="both"/>
        <w:rPr>
          <w:rFonts w:ascii="Times New Roman" w:hAnsi="Times New Roman" w:eastAsia="宋体" w:cs="宋体"/>
          <w:lang w:eastAsia="zh-CN"/>
        </w:rPr>
      </w:pPr>
    </w:p>
    <w:p w14:paraId="6C3D5640">
      <w:pPr>
        <w:adjustRightInd w:val="0"/>
        <w:snapToGrid w:val="0"/>
        <w:spacing w:before="120" w:beforeLines="50" w:line="300" w:lineRule="auto"/>
        <w:jc w:val="both"/>
        <w:rPr>
          <w:rFonts w:ascii="Times New Roman" w:hAnsi="Times New Roman" w:eastAsia="宋体" w:cs="Times New Roman"/>
          <w:snapToGrid w:val="0"/>
          <w:lang w:eastAsia="zh-CN"/>
        </w:rPr>
      </w:pPr>
    </w:p>
    <w:p w14:paraId="0822D6E1">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rPr>
        <w:t>_____________________</w:t>
      </w:r>
    </w:p>
    <w:p w14:paraId="3B9A3281">
      <w:pPr>
        <w:pStyle w:val="25"/>
        <w:tabs>
          <w:tab w:val="left" w:pos="168"/>
        </w:tabs>
        <w:adjustRightInd w:val="0"/>
        <w:snapToGrid w:val="0"/>
        <w:spacing w:before="36" w:beforeLines="15" w:line="276" w:lineRule="auto"/>
        <w:jc w:val="both"/>
        <w:rPr>
          <w:rFonts w:eastAsia="宋体"/>
          <w:snapToGrid w:val="0"/>
          <w:sz w:val="21"/>
          <w:szCs w:val="21"/>
          <w:lang w:eastAsia="zh-CN"/>
        </w:rPr>
      </w:pPr>
      <w:r>
        <w:rPr>
          <w:rFonts w:eastAsia="宋体" w:cs="宋体"/>
          <w:sz w:val="21"/>
          <w:vertAlign w:val="superscript"/>
        </w:rPr>
        <w:t>18</w:t>
      </w:r>
      <w:r>
        <w:rPr>
          <w:rFonts w:eastAsia="宋体" w:cs="宋体"/>
          <w:sz w:val="21"/>
        </w:rPr>
        <w:t xml:space="preserve"> Rosen RC，Riley A，Wagner G等人。</w:t>
      </w:r>
      <w:r>
        <w:rPr>
          <w:rFonts w:eastAsia="宋体" w:cs="宋体"/>
          <w:sz w:val="21"/>
          <w:lang w:eastAsia="zh-CN"/>
        </w:rPr>
        <w:t>国际勃起功能指数（IIEF）：评估勃起功能障碍的多维量表。</w:t>
      </w:r>
      <w:r>
        <w:rPr>
          <w:rFonts w:eastAsia="宋体" w:cs="宋体"/>
          <w:i/>
          <w:sz w:val="21"/>
          <w:lang w:eastAsia="zh-CN"/>
        </w:rPr>
        <w:t>Urology,</w:t>
      </w:r>
      <w:r>
        <w:rPr>
          <w:rFonts w:eastAsia="宋体" w:cs="宋体"/>
          <w:sz w:val="21"/>
          <w:lang w:eastAsia="zh-CN"/>
        </w:rPr>
        <w:t xml:space="preserve"> 1997,49:822-30.</w:t>
      </w:r>
    </w:p>
    <w:p w14:paraId="2590649E">
      <w:pPr>
        <w:pStyle w:val="25"/>
        <w:tabs>
          <w:tab w:val="left" w:pos="178"/>
        </w:tabs>
        <w:adjustRightInd w:val="0"/>
        <w:snapToGrid w:val="0"/>
        <w:spacing w:before="36" w:beforeLines="15" w:line="276" w:lineRule="auto"/>
        <w:jc w:val="both"/>
        <w:rPr>
          <w:rFonts w:eastAsia="宋体" w:cs="宋体"/>
          <w:sz w:val="21"/>
          <w:lang w:eastAsia="zh-CN"/>
        </w:rPr>
      </w:pPr>
      <w:r>
        <w:rPr>
          <w:rFonts w:eastAsia="宋体" w:cs="宋体"/>
          <w:sz w:val="21"/>
          <w:vertAlign w:val="superscript"/>
          <w:lang w:eastAsia="zh-CN"/>
        </w:rPr>
        <w:t>19</w:t>
      </w:r>
      <w:r>
        <w:rPr>
          <w:rFonts w:eastAsia="宋体" w:cs="宋体"/>
          <w:sz w:val="21"/>
          <w:lang w:eastAsia="zh-CN"/>
        </w:rPr>
        <w:t xml:space="preserve"> Rosen RC, Allen KR, Ni X, Araujo AB.国际勃起功能指数量表中勃起功能领域的最小临床重要差异。</w:t>
      </w:r>
      <w:r>
        <w:rPr>
          <w:rFonts w:eastAsia="宋体" w:cs="宋体"/>
          <w:i/>
          <w:sz w:val="21"/>
          <w:lang w:eastAsia="zh-CN"/>
        </w:rPr>
        <w:t>Eur Urol,</w:t>
      </w:r>
      <w:r>
        <w:rPr>
          <w:rFonts w:eastAsia="宋体" w:cs="宋体"/>
          <w:sz w:val="21"/>
          <w:lang w:eastAsia="zh-CN"/>
        </w:rPr>
        <w:t xml:space="preserve"> 2011, 60:1010-1016.</w:t>
      </w:r>
    </w:p>
    <w:p w14:paraId="2F70CE80">
      <w:pPr>
        <w:pStyle w:val="25"/>
        <w:tabs>
          <w:tab w:val="left" w:pos="178"/>
        </w:tabs>
        <w:adjustRightInd w:val="0"/>
        <w:snapToGrid w:val="0"/>
        <w:spacing w:before="36" w:beforeLines="15" w:line="276" w:lineRule="auto"/>
        <w:jc w:val="both"/>
        <w:rPr>
          <w:rFonts w:eastAsia="宋体"/>
          <w:snapToGrid w:val="0"/>
          <w:sz w:val="21"/>
          <w:szCs w:val="21"/>
          <w:lang w:eastAsia="zh-CN"/>
        </w:rPr>
      </w:pPr>
      <w:r>
        <w:rPr>
          <w:rFonts w:eastAsia="宋体" w:cs="宋体"/>
          <w:sz w:val="21"/>
          <w:lang w:eastAsia="zh-CN"/>
        </w:rPr>
        <w:br w:type="page"/>
      </w:r>
    </w:p>
    <w:p w14:paraId="15AEDAD2">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本研究的主要目的直接源自统计学假设，并为研究设计建立了框架。统计学假设也用于计算样本量，并有助于确定用于分析主要研究终点的统计学方法。因此，在设计关键临床试验并将其纳入方案时，应该制定一个与研究主要目的一致的明确统计学假设。临床研究设计的其他所有要素应与统计学假设一致。</w:t>
      </w:r>
    </w:p>
    <w:p w14:paraId="700D675A">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对于非劣效性研究，本机构建议假设引入一个非劣效性界限，而该界限要反映主要有效性终点分析中“临床无</w:t>
      </w:r>
      <w:r>
        <w:rPr>
          <w:rFonts w:hint="eastAsia" w:ascii="Times New Roman" w:hAnsi="Times New Roman" w:eastAsia="宋体" w:cs="宋体"/>
          <w:lang w:eastAsia="zh-CN"/>
        </w:rPr>
        <w:t>显著性</w:t>
      </w:r>
      <w:r>
        <w:rPr>
          <w:rFonts w:ascii="Times New Roman" w:hAnsi="Times New Roman" w:eastAsia="宋体" w:cs="宋体"/>
          <w:lang w:eastAsia="zh-CN"/>
        </w:rPr>
        <w:t>”（即“无临床</w:t>
      </w:r>
      <w:r>
        <w:rPr>
          <w:rFonts w:hint="eastAsia" w:ascii="Times New Roman" w:hAnsi="Times New Roman" w:eastAsia="宋体" w:cs="宋体"/>
          <w:lang w:eastAsia="zh-CN"/>
        </w:rPr>
        <w:t>显著性</w:t>
      </w:r>
      <w:r>
        <w:rPr>
          <w:rFonts w:ascii="Times New Roman" w:hAnsi="Times New Roman" w:eastAsia="宋体" w:cs="宋体"/>
          <w:lang w:eastAsia="zh-CN"/>
        </w:rPr>
        <w:t>”）的最大可耐受差异。可以通过证明研究器械在安全性方面的显著获益，选择更大的非劣效性界限值。</w:t>
      </w:r>
    </w:p>
    <w:p w14:paraId="4D42E952">
      <w:pPr>
        <w:pStyle w:val="35"/>
        <w:rPr>
          <w:rFonts w:eastAsia="宋体"/>
          <w:lang w:eastAsia="zh-CN"/>
        </w:rPr>
      </w:pPr>
      <w:bookmarkStart w:id="19" w:name="_Toc91869249"/>
      <w:r>
        <w:rPr>
          <w:rFonts w:eastAsia="宋体" w:cs="宋体"/>
          <w:lang w:eastAsia="zh-CN"/>
        </w:rPr>
        <w:t>I.</w:t>
      </w:r>
      <w:r>
        <w:rPr>
          <w:rFonts w:eastAsia="宋体" w:cs="宋体"/>
          <w:lang w:eastAsia="zh-CN"/>
        </w:rPr>
        <w:tab/>
      </w:r>
      <w:r>
        <w:rPr>
          <w:rFonts w:eastAsia="宋体" w:cs="宋体"/>
          <w:lang w:eastAsia="zh-CN"/>
        </w:rPr>
        <w:t>患者选择标准</w:t>
      </w:r>
      <w:bookmarkEnd w:id="19"/>
    </w:p>
    <w:p w14:paraId="1AFDD1EC">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FDA拟使用以下建议取代现有BPH指南文件第V.I节：</w:t>
      </w:r>
    </w:p>
    <w:p w14:paraId="166B0A20">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尽管BPH主要局限于老年男性，但患者</w:t>
      </w:r>
      <w:r>
        <w:rPr>
          <w:rFonts w:hint="eastAsia" w:ascii="Times New Roman" w:hAnsi="Times New Roman" w:eastAsia="宋体" w:cs="宋体"/>
          <w:lang w:eastAsia="zh-CN"/>
        </w:rPr>
        <w:t>人群</w:t>
      </w:r>
      <w:r>
        <w:rPr>
          <w:rFonts w:ascii="Times New Roman" w:hAnsi="Times New Roman" w:eastAsia="宋体" w:cs="宋体"/>
          <w:lang w:eastAsia="zh-CN"/>
        </w:rPr>
        <w:t>的年龄和其他基线特征可能会影响不同器械治疗BPH的有效性和安全性。因此，本机构建议</w:t>
      </w:r>
      <w:r>
        <w:rPr>
          <w:rFonts w:hint="eastAsia" w:ascii="Times New Roman" w:hAnsi="Times New Roman" w:eastAsia="宋体" w:cs="宋体"/>
          <w:lang w:eastAsia="zh-CN"/>
        </w:rPr>
        <w:t>一边</w:t>
      </w:r>
      <w:r>
        <w:rPr>
          <w:rFonts w:ascii="Times New Roman" w:hAnsi="Times New Roman" w:eastAsia="宋体" w:cs="宋体"/>
          <w:lang w:eastAsia="zh-CN"/>
        </w:rPr>
        <w:t>限制可能混淆数据解读的特征，一边通过选择要接受临床治疗人群的代表，为临床试验制定</w:t>
      </w:r>
      <w:r>
        <w:rPr>
          <w:rFonts w:hint="eastAsia" w:ascii="Times New Roman" w:hAnsi="Times New Roman" w:eastAsia="宋体" w:cs="宋体"/>
          <w:lang w:eastAsia="zh-CN"/>
        </w:rPr>
        <w:t>纳入</w:t>
      </w:r>
      <w:r>
        <w:rPr>
          <w:rFonts w:ascii="Times New Roman" w:hAnsi="Times New Roman" w:eastAsia="宋体" w:cs="宋体"/>
          <w:lang w:eastAsia="zh-CN"/>
        </w:rPr>
        <w:t>和排除标准。</w:t>
      </w:r>
    </w:p>
    <w:p w14:paraId="23703ABA">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本机构建议的方案规定用来确立适当目标人群的纳入标准。具体而言，研究应包括临床诊断为BPH、建议对其进行治疗的男性。本机构建议在制定纳入研究标准时审议以下患者特征：</w:t>
      </w:r>
    </w:p>
    <w:p w14:paraId="2389C7E4">
      <w:pPr>
        <w:pStyle w:val="37"/>
        <w:numPr>
          <w:ilvl w:val="0"/>
          <w:numId w:val="15"/>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u w:val="single"/>
          <w:lang w:eastAsia="zh-CN"/>
        </w:rPr>
        <w:t>年龄</w:t>
      </w:r>
      <w:r>
        <w:rPr>
          <w:rFonts w:ascii="Times New Roman" w:hAnsi="Times New Roman" w:eastAsia="宋体" w:cs="宋体"/>
          <w:lang w:eastAsia="zh-CN"/>
        </w:rPr>
        <w:t>：方案应说明符合入组条件的年龄范围。由于BPH通常只限于老年男性，本机构建议纳入50岁以上的男性。</w:t>
      </w:r>
    </w:p>
    <w:p w14:paraId="77C632E4">
      <w:pPr>
        <w:pStyle w:val="37"/>
        <w:numPr>
          <w:ilvl w:val="0"/>
          <w:numId w:val="15"/>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u w:val="single"/>
          <w:lang w:eastAsia="zh-CN"/>
        </w:rPr>
        <w:t>诊断</w:t>
      </w:r>
      <w:r>
        <w:rPr>
          <w:rFonts w:ascii="Times New Roman" w:hAnsi="Times New Roman" w:eastAsia="宋体" w:cs="宋体"/>
          <w:lang w:eastAsia="zh-CN"/>
        </w:rPr>
        <w:t>：研究员应将受试者诊断为患有带症状的良性前列腺增生。本机构建议方案中规定的诊断标准与当前的护理标准一致。</w:t>
      </w:r>
    </w:p>
    <w:p w14:paraId="099B5675">
      <w:pPr>
        <w:pStyle w:val="37"/>
        <w:numPr>
          <w:ilvl w:val="0"/>
          <w:numId w:val="15"/>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u w:val="single"/>
          <w:lang w:eastAsia="zh-CN"/>
        </w:rPr>
        <w:t>前列腺大小</w:t>
      </w:r>
      <w:r>
        <w:rPr>
          <w:rFonts w:ascii="Times New Roman" w:hAnsi="Times New Roman" w:eastAsia="宋体" w:cs="宋体"/>
          <w:lang w:eastAsia="zh-CN"/>
        </w:rPr>
        <w:t>：通常，治疗BPH的器械专门设计治疗的前列腺体积和长度都是特定的。本机构建议的纳入标准要根据特定疗法的参数，前瞻性地将计划前列腺大小限定在下限和上限范围内。</w:t>
      </w:r>
    </w:p>
    <w:p w14:paraId="27508346">
      <w:pPr>
        <w:pStyle w:val="37"/>
        <w:numPr>
          <w:ilvl w:val="0"/>
          <w:numId w:val="15"/>
        </w:numPr>
        <w:adjustRightInd w:val="0"/>
        <w:snapToGrid w:val="0"/>
        <w:spacing w:before="120" w:beforeLines="50" w:line="300" w:lineRule="auto"/>
        <w:ind w:left="851" w:firstLineChars="0"/>
        <w:jc w:val="both"/>
        <w:rPr>
          <w:rFonts w:ascii="Times New Roman" w:hAnsi="Times New Roman" w:eastAsia="宋体" w:cs="Times New Roman"/>
          <w:snapToGrid w:val="0"/>
          <w:vertAlign w:val="superscript"/>
          <w:lang w:eastAsia="zh-CN"/>
        </w:rPr>
      </w:pPr>
      <w:r>
        <w:rPr>
          <w:rFonts w:ascii="Times New Roman" w:hAnsi="Times New Roman" w:eastAsia="宋体" w:cs="宋体"/>
          <w:u w:val="single"/>
          <w:lang w:eastAsia="zh-CN"/>
        </w:rPr>
        <w:t>症状严重度</w:t>
      </w:r>
      <w:r>
        <w:rPr>
          <w:rFonts w:ascii="Times New Roman" w:hAnsi="Times New Roman" w:eastAsia="宋体" w:cs="宋体"/>
          <w:lang w:eastAsia="zh-CN"/>
        </w:rPr>
        <w:t>：一般情况下，患者因麻烦的症状而寻求BPH的治疗。本机构建议的方案要预先限定一系列AUA-SI（或IPSS）评分，该评分要与器械拟治疗症状的严重度一致。例如，AUA-SI &gt; 20与当前严重BPH的临床限定一致。</w:t>
      </w:r>
      <w:r>
        <w:rPr>
          <w:rFonts w:ascii="Times New Roman" w:hAnsi="Times New Roman" w:eastAsia="宋体" w:cs="宋体"/>
          <w:vertAlign w:val="superscript"/>
        </w:rPr>
        <w:t>2012</w:t>
      </w:r>
    </w:p>
    <w:p w14:paraId="56C8D3D1">
      <w:pPr>
        <w:tabs>
          <w:tab w:val="left" w:pos="736"/>
        </w:tabs>
        <w:adjustRightInd w:val="0"/>
        <w:snapToGrid w:val="0"/>
        <w:spacing w:before="120" w:beforeLines="50" w:line="300" w:lineRule="auto"/>
        <w:jc w:val="both"/>
        <w:rPr>
          <w:rFonts w:ascii="Times New Roman" w:hAnsi="Times New Roman" w:eastAsia="宋体" w:cs="宋体"/>
          <w:lang w:eastAsia="zh-CN"/>
        </w:rPr>
      </w:pPr>
    </w:p>
    <w:p w14:paraId="7172EC63">
      <w:pPr>
        <w:tabs>
          <w:tab w:val="left" w:pos="736"/>
        </w:tabs>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rPr>
        <w:t>_____________________</w:t>
      </w:r>
    </w:p>
    <w:p w14:paraId="60E38EA5">
      <w:pPr>
        <w:pStyle w:val="25"/>
        <w:tabs>
          <w:tab w:val="left" w:pos="178"/>
        </w:tabs>
        <w:adjustRightInd w:val="0"/>
        <w:snapToGrid w:val="0"/>
        <w:spacing w:before="36" w:beforeLines="15" w:line="276" w:lineRule="auto"/>
        <w:jc w:val="both"/>
        <w:rPr>
          <w:rFonts w:eastAsia="宋体"/>
          <w:snapToGrid w:val="0"/>
          <w:sz w:val="21"/>
          <w:szCs w:val="21"/>
        </w:rPr>
      </w:pPr>
      <w:r>
        <w:rPr>
          <w:rFonts w:eastAsia="宋体" w:cs="宋体"/>
          <w:sz w:val="21"/>
          <w:vertAlign w:val="superscript"/>
        </w:rPr>
        <w:t xml:space="preserve">20 </w:t>
      </w:r>
      <w:r>
        <w:rPr>
          <w:rFonts w:eastAsia="宋体" w:cs="宋体"/>
          <w:sz w:val="21"/>
        </w:rPr>
        <w:tab/>
      </w:r>
      <w:r>
        <w:rPr>
          <w:rFonts w:eastAsia="宋体" w:cs="宋体"/>
          <w:sz w:val="21"/>
        </w:rPr>
        <w:t>Barry MJ，Fowler FJ Jr，O'Leary MP，Bruskewitz RC，Holtgrewe HL，Mebust WK等人，美国泌尿学协会良性前列腺增生症状指数。美国泌尿协会测量委员会。J Urol, 1992, 148:1549.</w:t>
      </w:r>
    </w:p>
    <w:p w14:paraId="14E43360">
      <w:pPr>
        <w:rPr>
          <w:rFonts w:ascii="Times New Roman" w:hAnsi="Times New Roman" w:eastAsia="宋体" w:cs="Times New Roman"/>
          <w:snapToGrid w:val="0"/>
          <w:lang w:eastAsia="zh-CN"/>
        </w:rPr>
      </w:pPr>
      <w:r>
        <w:rPr>
          <w:rFonts w:ascii="Times New Roman" w:hAnsi="Times New Roman" w:eastAsia="宋体" w:cs="宋体"/>
          <w:b/>
          <w:i/>
        </w:rPr>
        <w:br w:type="page"/>
      </w:r>
    </w:p>
    <w:p w14:paraId="11939EC7">
      <w:pPr>
        <w:pStyle w:val="37"/>
        <w:numPr>
          <w:ilvl w:val="0"/>
          <w:numId w:val="16"/>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u w:val="single"/>
        </w:rPr>
        <w:t>峰值尿流速</w:t>
      </w:r>
      <w:r>
        <w:rPr>
          <w:rFonts w:ascii="Times New Roman" w:hAnsi="Times New Roman" w:eastAsia="宋体" w:cs="宋体"/>
        </w:rPr>
        <w:t>：尿流速降低</w:t>
      </w:r>
      <w:r>
        <w:rPr>
          <w:rFonts w:hint="eastAsia" w:ascii="Times New Roman" w:hAnsi="Times New Roman" w:eastAsia="宋体" w:cs="宋体"/>
          <w:lang w:eastAsia="zh-CN"/>
        </w:rPr>
        <w:t>表明</w:t>
      </w:r>
      <w:r>
        <w:rPr>
          <w:rFonts w:ascii="Times New Roman" w:hAnsi="Times New Roman" w:eastAsia="宋体" w:cs="宋体"/>
        </w:rPr>
        <w:t>膀胱出口梗阻，表明患有BPH。</w:t>
      </w:r>
      <w:r>
        <w:rPr>
          <w:rFonts w:ascii="Times New Roman" w:hAnsi="Times New Roman" w:eastAsia="宋体" w:cs="宋体"/>
          <w:lang w:eastAsia="zh-CN"/>
        </w:rPr>
        <w:t>本机构建议纳入尿液流速峰值（例如&lt; 12 mL/sec）</w:t>
      </w:r>
      <w:r>
        <w:rPr>
          <w:rFonts w:ascii="Times New Roman" w:hAnsi="Times New Roman" w:eastAsia="宋体" w:cs="宋体"/>
          <w:vertAlign w:val="superscript"/>
          <w:lang w:eastAsia="zh-CN"/>
        </w:rPr>
        <w:t>21</w:t>
      </w:r>
      <w:r>
        <w:rPr>
          <w:rFonts w:ascii="Times New Roman" w:hAnsi="Times New Roman" w:eastAsia="宋体" w:cs="宋体"/>
          <w:lang w:eastAsia="zh-CN"/>
        </w:rPr>
        <w:t>指示梗阻的受试者。</w:t>
      </w:r>
    </w:p>
    <w:p w14:paraId="673EF4E8">
      <w:pPr>
        <w:pStyle w:val="37"/>
        <w:numPr>
          <w:ilvl w:val="0"/>
          <w:numId w:val="16"/>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u w:val="single"/>
          <w:lang w:eastAsia="zh-CN"/>
        </w:rPr>
        <w:t>受试者依从性和适用性</w:t>
      </w:r>
      <w:r>
        <w:rPr>
          <w:rFonts w:ascii="Times New Roman" w:hAnsi="Times New Roman" w:eastAsia="宋体" w:cs="宋体"/>
          <w:lang w:eastAsia="zh-CN"/>
        </w:rPr>
        <w:t>：本机构建议招募能够理解所有研究要求且预期寿命长于研究期的受试者。此外，本机构建议招募能够耐受手术的受试者（例如，良好的手术适宜者），并同意方案中规定的基线和随访评价。</w:t>
      </w:r>
    </w:p>
    <w:p w14:paraId="75466675">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研究器械对研究对象存在一些未知风险。因此，患有大量合并症的患者更容易受到影响，应通过适当设计临床试验的排除标准来保护其免受此类未知风险的影响。然而，FDA认识到，治疗BPH的器械可能具有潜在优势，尤其适用于有严重合并症（例如，手术时间较短，局部麻醉代替全身麻醉，出血风险最小）的受试者。如果拟将此类患者纳入研究，本机构建议将此类受试者纳入研究，并明确解释其预期获益和风险。</w:t>
      </w:r>
    </w:p>
    <w:p w14:paraId="28D59236">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本机构建议的研究方案限定排除标准，以防止受试者的特征可能会混淆数据的解读，或表明器械会造成过度风险。本机构建议在为研究制定排除标准时审议以下患者特征：</w:t>
      </w:r>
    </w:p>
    <w:p w14:paraId="2456F743">
      <w:pPr>
        <w:pStyle w:val="37"/>
        <w:numPr>
          <w:ilvl w:val="0"/>
          <w:numId w:val="17"/>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u w:val="single"/>
          <w:lang w:eastAsia="zh-CN"/>
        </w:rPr>
        <w:t>混淆情况</w:t>
      </w:r>
      <w:r>
        <w:rPr>
          <w:rFonts w:ascii="Times New Roman" w:hAnsi="Times New Roman" w:eastAsia="宋体" w:cs="宋体"/>
          <w:lang w:eastAsia="zh-CN"/>
        </w:rPr>
        <w:t>：本机构建议的方案排除患有任何以下病史的男性</w:t>
      </w:r>
      <w:r>
        <w:rPr>
          <w:rFonts w:hint="eastAsia" w:ascii="Times New Roman" w:hAnsi="Times New Roman" w:eastAsia="宋体" w:cs="宋体"/>
          <w:lang w:eastAsia="zh-CN"/>
        </w:rPr>
        <w:t>，</w:t>
      </w:r>
      <w:r>
        <w:rPr>
          <w:rFonts w:ascii="Times New Roman" w:hAnsi="Times New Roman" w:eastAsia="宋体" w:cs="宋体"/>
          <w:lang w:eastAsia="zh-CN"/>
        </w:rPr>
        <w:t>即可能会混淆研究结果，产生可能与BPH混淆的症状，或根据器械设计对患者造成其他风险的疾病。示例包括：</w:t>
      </w:r>
    </w:p>
    <w:p w14:paraId="3758906B">
      <w:pPr>
        <w:pStyle w:val="37"/>
        <w:numPr>
          <w:ilvl w:val="0"/>
          <w:numId w:val="17"/>
        </w:numPr>
        <w:adjustRightInd w:val="0"/>
        <w:snapToGrid w:val="0"/>
        <w:spacing w:before="120" w:beforeLines="50" w:line="300" w:lineRule="auto"/>
        <w:ind w:left="1560"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心律失常、心脏病，包括充血性心力衰竭、未控制的糖尿病、严重的呼吸系统疾病、已知的免疫抑制或出血性疾病；</w:t>
      </w:r>
    </w:p>
    <w:p w14:paraId="5BA932DC">
      <w:pPr>
        <w:pStyle w:val="37"/>
        <w:numPr>
          <w:ilvl w:val="0"/>
          <w:numId w:val="17"/>
        </w:numPr>
        <w:adjustRightInd w:val="0"/>
        <w:snapToGrid w:val="0"/>
        <w:spacing w:before="120" w:beforeLines="50" w:line="300" w:lineRule="auto"/>
        <w:ind w:left="1560"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帕金森病、多发性硬化症、脑血管意外、糖尿病引起的神经源性膀胱和/或括约肌异常；</w:t>
      </w:r>
    </w:p>
    <w:p w14:paraId="05110189">
      <w:pPr>
        <w:pStyle w:val="37"/>
        <w:numPr>
          <w:ilvl w:val="0"/>
          <w:numId w:val="17"/>
        </w:numPr>
        <w:adjustRightInd w:val="0"/>
        <w:snapToGrid w:val="0"/>
        <w:spacing w:before="120" w:beforeLines="50" w:line="300" w:lineRule="auto"/>
        <w:ind w:left="1560"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通过超声或急性尿潴留测量的空隙后残余（PVR）体积&gt; 250 mL；</w:t>
      </w:r>
      <w:r>
        <w:rPr>
          <w:rFonts w:ascii="Times New Roman" w:hAnsi="Times New Roman" w:eastAsia="宋体" w:cs="宋体"/>
          <w:vertAlign w:val="superscript"/>
          <w:lang w:eastAsia="zh-CN"/>
        </w:rPr>
        <w:t>22</w:t>
      </w:r>
    </w:p>
    <w:p w14:paraId="78748F8D">
      <w:pPr>
        <w:pStyle w:val="37"/>
        <w:numPr>
          <w:ilvl w:val="0"/>
          <w:numId w:val="17"/>
        </w:numPr>
        <w:adjustRightInd w:val="0"/>
        <w:snapToGrid w:val="0"/>
        <w:spacing w:before="120" w:beforeLines="50" w:line="300" w:lineRule="auto"/>
        <w:ind w:left="1560"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肾功能受损（即血清肌酐水平&gt; 1.8 mg/dL，或上呼吸道疾病）；</w:t>
      </w:r>
    </w:p>
    <w:p w14:paraId="2AB40990">
      <w:pPr>
        <w:pStyle w:val="37"/>
        <w:numPr>
          <w:ilvl w:val="0"/>
          <w:numId w:val="17"/>
        </w:numPr>
        <w:adjustRightInd w:val="0"/>
        <w:snapToGrid w:val="0"/>
        <w:spacing w:before="120" w:beforeLines="50" w:line="300" w:lineRule="auto"/>
        <w:ind w:left="1560" w:firstLineChars="0"/>
        <w:jc w:val="both"/>
        <w:rPr>
          <w:rFonts w:ascii="Times New Roman" w:hAnsi="Times New Roman" w:eastAsia="宋体" w:cs="Times New Roman"/>
          <w:snapToGrid w:val="0"/>
        </w:rPr>
      </w:pPr>
      <w:r>
        <w:rPr>
          <w:rFonts w:ascii="Times New Roman" w:hAnsi="Times New Roman" w:eastAsia="宋体" w:cs="宋体"/>
        </w:rPr>
        <w:t>确诊或疑似膀胱癌；</w:t>
      </w:r>
    </w:p>
    <w:p w14:paraId="57DF9E2C">
      <w:pPr>
        <w:pStyle w:val="37"/>
        <w:numPr>
          <w:ilvl w:val="0"/>
          <w:numId w:val="17"/>
        </w:numPr>
        <w:adjustRightInd w:val="0"/>
        <w:snapToGrid w:val="0"/>
        <w:spacing w:before="120" w:beforeLines="50" w:line="300" w:lineRule="auto"/>
        <w:ind w:left="1560"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近期（三个月内）膀胱结石或血尿；</w:t>
      </w:r>
    </w:p>
    <w:p w14:paraId="38C3D50D">
      <w:pPr>
        <w:tabs>
          <w:tab w:val="left" w:pos="1438"/>
        </w:tabs>
        <w:adjustRightInd w:val="0"/>
        <w:snapToGrid w:val="0"/>
        <w:spacing w:before="120" w:beforeLines="50" w:line="300" w:lineRule="auto"/>
        <w:jc w:val="both"/>
        <w:rPr>
          <w:rFonts w:ascii="Times New Roman" w:hAnsi="Times New Roman" w:eastAsia="宋体" w:cs="宋体"/>
          <w:lang w:eastAsia="zh-CN"/>
        </w:rPr>
      </w:pPr>
    </w:p>
    <w:p w14:paraId="4BD1301C">
      <w:pPr>
        <w:tabs>
          <w:tab w:val="left" w:pos="1438"/>
        </w:tabs>
        <w:adjustRightInd w:val="0"/>
        <w:snapToGrid w:val="0"/>
        <w:spacing w:before="120" w:beforeLines="50" w:line="300" w:lineRule="auto"/>
        <w:jc w:val="both"/>
        <w:rPr>
          <w:rFonts w:ascii="Times New Roman" w:hAnsi="Times New Roman" w:eastAsia="宋体" w:cs="宋体"/>
          <w:lang w:eastAsia="zh-CN"/>
        </w:rPr>
      </w:pPr>
    </w:p>
    <w:p w14:paraId="332F7A97">
      <w:pPr>
        <w:tabs>
          <w:tab w:val="left" w:pos="1438"/>
        </w:tabs>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_____________________</w:t>
      </w:r>
    </w:p>
    <w:p w14:paraId="3F7EB338">
      <w:pPr>
        <w:pStyle w:val="25"/>
        <w:tabs>
          <w:tab w:val="left" w:pos="173"/>
        </w:tabs>
        <w:adjustRightInd w:val="0"/>
        <w:snapToGrid w:val="0"/>
        <w:spacing w:before="36" w:beforeLines="15" w:line="276" w:lineRule="auto"/>
        <w:jc w:val="both"/>
        <w:rPr>
          <w:rFonts w:eastAsia="宋体"/>
          <w:snapToGrid w:val="0"/>
          <w:sz w:val="21"/>
          <w:szCs w:val="21"/>
          <w:lang w:eastAsia="zh-CN"/>
        </w:rPr>
      </w:pPr>
      <w:r>
        <w:rPr>
          <w:rFonts w:eastAsia="宋体" w:cs="宋体"/>
          <w:sz w:val="21"/>
          <w:vertAlign w:val="superscript"/>
          <w:lang w:eastAsia="zh-CN"/>
        </w:rPr>
        <w:t>21</w:t>
      </w:r>
      <w:r>
        <w:rPr>
          <w:rFonts w:eastAsia="宋体" w:cs="宋体"/>
          <w:sz w:val="21"/>
          <w:lang w:eastAsia="zh-CN"/>
        </w:rPr>
        <w:t xml:space="preserve"> 使用当前技术，需要足够的最小空隙体积（即125 mL）来获得准确的流速测量值。此外，本机构建议根据两个单独的测量值确定基线流速。</w:t>
      </w:r>
    </w:p>
    <w:p w14:paraId="7AAE464E">
      <w:pPr>
        <w:pStyle w:val="25"/>
        <w:tabs>
          <w:tab w:val="left" w:pos="192"/>
        </w:tabs>
        <w:adjustRightInd w:val="0"/>
        <w:snapToGrid w:val="0"/>
        <w:spacing w:before="36" w:beforeLines="15" w:line="276" w:lineRule="auto"/>
        <w:jc w:val="both"/>
        <w:rPr>
          <w:rFonts w:eastAsia="宋体"/>
          <w:snapToGrid w:val="0"/>
          <w:sz w:val="21"/>
          <w:szCs w:val="21"/>
          <w:lang w:eastAsia="zh-CN"/>
        </w:rPr>
      </w:pPr>
      <w:r>
        <w:rPr>
          <w:rFonts w:eastAsia="宋体" w:cs="宋体"/>
          <w:sz w:val="21"/>
          <w:vertAlign w:val="superscript"/>
          <w:lang w:eastAsia="zh-CN"/>
        </w:rPr>
        <w:t>22</w:t>
      </w:r>
      <w:r>
        <w:rPr>
          <w:rFonts w:eastAsia="宋体" w:cs="宋体"/>
          <w:sz w:val="21"/>
          <w:lang w:eastAsia="zh-CN"/>
        </w:rPr>
        <w:t xml:space="preserve"> 因为存在混淆问题，急性尿潴留的受试者应排除在外，或作为一个单独的队列进行治疗。</w:t>
      </w:r>
    </w:p>
    <w:p w14:paraId="0ACC0BCF">
      <w:pPr>
        <w:rPr>
          <w:rFonts w:ascii="Times New Roman" w:hAnsi="Times New Roman" w:eastAsia="宋体" w:cs="Times New Roman"/>
          <w:snapToGrid w:val="0"/>
          <w:lang w:eastAsia="zh-CN"/>
        </w:rPr>
      </w:pPr>
      <w:r>
        <w:rPr>
          <w:rFonts w:ascii="Times New Roman" w:hAnsi="Times New Roman" w:eastAsia="宋体" w:cs="宋体"/>
          <w:b/>
          <w:i/>
          <w:lang w:eastAsia="zh-CN"/>
        </w:rPr>
        <w:br w:type="page"/>
      </w:r>
    </w:p>
    <w:p w14:paraId="50EDC636">
      <w:pPr>
        <w:pStyle w:val="37"/>
        <w:numPr>
          <w:ilvl w:val="0"/>
          <w:numId w:val="18"/>
        </w:numPr>
        <w:adjustRightInd w:val="0"/>
        <w:snapToGrid w:val="0"/>
        <w:spacing w:before="120" w:beforeLines="50" w:line="288" w:lineRule="auto"/>
        <w:ind w:left="1560"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尿道狭窄、膀胱颈挛缩或其他可能混淆的膀胱病理学；</w:t>
      </w:r>
    </w:p>
    <w:p w14:paraId="4CD9E06E">
      <w:pPr>
        <w:pStyle w:val="37"/>
        <w:numPr>
          <w:ilvl w:val="0"/>
          <w:numId w:val="18"/>
        </w:numPr>
        <w:adjustRightInd w:val="0"/>
        <w:snapToGrid w:val="0"/>
        <w:spacing w:before="36" w:beforeLines="15" w:line="288" w:lineRule="auto"/>
        <w:ind w:left="1560"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最近两年内的前列腺炎病史；或</w:t>
      </w:r>
    </w:p>
    <w:p w14:paraId="5D83BB7E">
      <w:pPr>
        <w:pStyle w:val="37"/>
        <w:numPr>
          <w:ilvl w:val="0"/>
          <w:numId w:val="18"/>
        </w:numPr>
        <w:adjustRightInd w:val="0"/>
        <w:snapToGrid w:val="0"/>
        <w:spacing w:before="36" w:beforeLines="15" w:line="288" w:lineRule="auto"/>
        <w:ind w:left="1560" w:firstLineChars="0"/>
        <w:jc w:val="both"/>
        <w:rPr>
          <w:rFonts w:ascii="Times New Roman" w:hAnsi="Times New Roman" w:eastAsia="宋体" w:cs="Times New Roman"/>
          <w:snapToGrid w:val="0"/>
        </w:rPr>
      </w:pPr>
      <w:r>
        <w:rPr>
          <w:rFonts w:ascii="Times New Roman" w:hAnsi="Times New Roman" w:eastAsia="宋体" w:cs="宋体"/>
        </w:rPr>
        <w:t>活动性尿路感染。</w:t>
      </w:r>
    </w:p>
    <w:p w14:paraId="21BCC151">
      <w:pPr>
        <w:pStyle w:val="37"/>
        <w:numPr>
          <w:ilvl w:val="0"/>
          <w:numId w:val="18"/>
        </w:numPr>
        <w:adjustRightInd w:val="0"/>
        <w:snapToGrid w:val="0"/>
        <w:spacing w:before="36" w:beforeLines="15" w:line="288"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u w:val="single"/>
          <w:lang w:eastAsia="zh-CN"/>
        </w:rPr>
        <w:t>前列腺癌</w:t>
      </w:r>
      <w:r>
        <w:rPr>
          <w:rFonts w:ascii="Times New Roman" w:hAnsi="Times New Roman" w:eastAsia="宋体" w:cs="宋体"/>
          <w:lang w:eastAsia="zh-CN"/>
        </w:rPr>
        <w:t>：根据直肠指检（DRE）、前列腺活检、经直肠超声（TRUS）或前列腺特异性抗原（PSA）水平，本机构建议的方案排除确诊或怀疑患有前列腺恶性肿瘤的男性。本机构建议的方案包括对所有受试者PSA水平的测试。目前的临床指南表明PSA水平&gt; 10 ng/mL表示患有前列腺癌。本机构建议的方案包括在入组前进行前列腺活检，如果有指征，基于DRE，或者如果受试者的PSA水平&gt; 2.5 ng/mL且≤ 10 ng/mL，并且他的游离PSA &lt;总PSA的25%。</w:t>
      </w:r>
      <w:r>
        <w:rPr>
          <w:rFonts w:ascii="Times New Roman" w:hAnsi="Times New Roman" w:eastAsia="宋体" w:cs="宋体"/>
          <w:vertAlign w:val="superscript"/>
          <w:lang w:eastAsia="zh-CN"/>
        </w:rPr>
        <w:t>23</w:t>
      </w:r>
      <w:r>
        <w:rPr>
          <w:rFonts w:ascii="Times New Roman" w:hAnsi="Times New Roman" w:eastAsia="宋体" w:cs="宋体"/>
          <w:lang w:eastAsia="zh-CN"/>
        </w:rPr>
        <w:t>最后，本机构建议遵循上述美国泌尿外科协会（AUA）指南，以帮助根据年龄、种族、家族史确定哪些受试者适合进行前列腺癌筛查。</w:t>
      </w:r>
    </w:p>
    <w:p w14:paraId="61511385">
      <w:pPr>
        <w:pStyle w:val="37"/>
        <w:numPr>
          <w:ilvl w:val="0"/>
          <w:numId w:val="18"/>
        </w:numPr>
        <w:adjustRightInd w:val="0"/>
        <w:snapToGrid w:val="0"/>
        <w:spacing w:before="36" w:beforeLines="15" w:line="288"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u w:val="single"/>
          <w:lang w:eastAsia="zh-CN"/>
        </w:rPr>
        <w:t>手术史</w:t>
      </w:r>
      <w:r>
        <w:rPr>
          <w:rFonts w:ascii="Times New Roman" w:hAnsi="Times New Roman" w:eastAsia="宋体" w:cs="宋体"/>
          <w:lang w:eastAsia="zh-CN"/>
        </w:rPr>
        <w:t>：本机构建议的方案排除有可能混淆研究结果或根据器械设计对患者造成其他风险手术史的男性。示例包括：</w:t>
      </w:r>
    </w:p>
    <w:p w14:paraId="7E66C003">
      <w:pPr>
        <w:pStyle w:val="37"/>
        <w:numPr>
          <w:ilvl w:val="0"/>
          <w:numId w:val="18"/>
        </w:numPr>
        <w:adjustRightInd w:val="0"/>
        <w:snapToGrid w:val="0"/>
        <w:spacing w:before="36" w:beforeLines="15" w:line="288" w:lineRule="auto"/>
        <w:ind w:left="1560"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既往直肠手术（痔疮切除术除外）或直肠疾病史，如果治疗可能导致既往直肠手术部位损伤，例如，如果使用经直肠探头；</w:t>
      </w:r>
    </w:p>
    <w:p w14:paraId="46E1261B">
      <w:pPr>
        <w:pStyle w:val="37"/>
        <w:numPr>
          <w:ilvl w:val="0"/>
          <w:numId w:val="18"/>
        </w:numPr>
        <w:adjustRightInd w:val="0"/>
        <w:snapToGrid w:val="0"/>
        <w:spacing w:before="36" w:beforeLines="15" w:line="288" w:lineRule="auto"/>
        <w:ind w:left="1560"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既往盆腔放疗或根治性骨盆手术；</w:t>
      </w:r>
    </w:p>
    <w:p w14:paraId="467FACC1">
      <w:pPr>
        <w:pStyle w:val="37"/>
        <w:numPr>
          <w:ilvl w:val="0"/>
          <w:numId w:val="18"/>
        </w:numPr>
        <w:adjustRightInd w:val="0"/>
        <w:snapToGrid w:val="0"/>
        <w:spacing w:before="36" w:beforeLines="15" w:line="288" w:lineRule="auto"/>
        <w:ind w:left="1560"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既往前列腺手术、球囊扩张、支架植入、激光前列腺切除术、热疗或任何其他前列腺侵入性治疗；或</w:t>
      </w:r>
    </w:p>
    <w:p w14:paraId="2B1344E0">
      <w:pPr>
        <w:pStyle w:val="37"/>
        <w:numPr>
          <w:ilvl w:val="0"/>
          <w:numId w:val="18"/>
        </w:numPr>
        <w:adjustRightInd w:val="0"/>
        <w:snapToGrid w:val="0"/>
        <w:spacing w:before="36" w:beforeLines="15" w:line="288" w:lineRule="auto"/>
        <w:ind w:left="1560"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根据器械设计，在骨盆/股骨区域安装心脏起搏器或金属植入物（除非预先证明了此类植入物的电磁兼容性和安全性）。</w:t>
      </w:r>
    </w:p>
    <w:p w14:paraId="1D461A45">
      <w:pPr>
        <w:pStyle w:val="37"/>
        <w:numPr>
          <w:ilvl w:val="0"/>
          <w:numId w:val="18"/>
        </w:numPr>
        <w:adjustRightInd w:val="0"/>
        <w:snapToGrid w:val="0"/>
        <w:spacing w:before="36" w:beforeLines="15" w:line="288"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u w:val="single"/>
          <w:lang w:eastAsia="zh-CN"/>
        </w:rPr>
        <w:t>后续生育能力</w:t>
      </w:r>
      <w:r>
        <w:rPr>
          <w:rFonts w:ascii="Times New Roman" w:hAnsi="Times New Roman" w:eastAsia="宋体" w:cs="宋体"/>
          <w:lang w:eastAsia="zh-CN"/>
        </w:rPr>
        <w:t>：如果器械有可能影响生育能力，本机构建议的方案中排除对关注后续生育能力的男性。</w:t>
      </w:r>
    </w:p>
    <w:p w14:paraId="256A9B31">
      <w:pPr>
        <w:pStyle w:val="37"/>
        <w:numPr>
          <w:ilvl w:val="0"/>
          <w:numId w:val="18"/>
        </w:numPr>
        <w:adjustRightInd w:val="0"/>
        <w:snapToGrid w:val="0"/>
        <w:spacing w:before="36" w:beforeLines="15" w:line="288"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u w:val="single"/>
          <w:lang w:eastAsia="zh-CN"/>
        </w:rPr>
        <w:t>联合用药</w:t>
      </w:r>
      <w:r>
        <w:rPr>
          <w:rFonts w:ascii="Times New Roman" w:hAnsi="Times New Roman" w:eastAsia="宋体" w:cs="宋体"/>
          <w:lang w:eastAsia="zh-CN"/>
        </w:rPr>
        <w:t>：本机构建议的方案排除男性服用影响BPH症状的药物，因为此类药物可能会混淆研究结果。然而，本机构认识到，要求男性停止服用BPH药物参与研究可能会使</w:t>
      </w:r>
      <w:r>
        <w:rPr>
          <w:rFonts w:hint="eastAsia" w:ascii="Times New Roman" w:hAnsi="Times New Roman" w:eastAsia="宋体" w:cs="宋体"/>
          <w:lang w:eastAsia="zh-CN"/>
        </w:rPr>
        <w:t>其</w:t>
      </w:r>
      <w:r>
        <w:rPr>
          <w:rFonts w:ascii="Times New Roman" w:hAnsi="Times New Roman" w:eastAsia="宋体" w:cs="宋体"/>
          <w:lang w:eastAsia="zh-CN"/>
        </w:rPr>
        <w:t>面临不良事件的风险，包括LUTS恶化、血尿、感染或尿潴留。此外，将不能或不会停止此类药物治疗的男性排除在外，会排除可能从研究中获益最多的男性。因此，如果男性服用BPH药物，服用剂量在一段适当的时间后保持稳定，并且在整个研究过程中没有变化，除非具备医学许可，那么将这类男性纳入方案是合理的。</w:t>
      </w:r>
    </w:p>
    <w:p w14:paraId="05D05D47">
      <w:pPr>
        <w:tabs>
          <w:tab w:val="left" w:pos="718"/>
        </w:tabs>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_____________________</w:t>
      </w:r>
    </w:p>
    <w:p w14:paraId="2597224B">
      <w:pPr>
        <w:pStyle w:val="25"/>
        <w:tabs>
          <w:tab w:val="left" w:pos="182"/>
        </w:tabs>
        <w:adjustRightInd w:val="0"/>
        <w:snapToGrid w:val="0"/>
        <w:spacing w:before="36" w:beforeLines="15" w:line="276" w:lineRule="auto"/>
        <w:jc w:val="both"/>
        <w:rPr>
          <w:rFonts w:eastAsia="宋体"/>
          <w:snapToGrid w:val="0"/>
          <w:lang w:eastAsia="zh-CN"/>
        </w:rPr>
      </w:pPr>
      <w:r>
        <w:rPr>
          <w:rFonts w:eastAsia="宋体" w:cs="宋体"/>
          <w:sz w:val="21"/>
          <w:vertAlign w:val="superscript"/>
          <w:lang w:eastAsia="zh-CN"/>
        </w:rPr>
        <w:t>23</w:t>
      </w:r>
      <w:r>
        <w:rPr>
          <w:rFonts w:eastAsia="宋体" w:cs="宋体"/>
          <w:sz w:val="21"/>
          <w:lang w:eastAsia="zh-CN"/>
        </w:rPr>
        <w:t xml:space="preserve"> 本机构认识到，目前临床界对使用PSA筛查前列腺癌和PSA最低正常值实施最佳临床实践的想法存在争议（参见Barry MJ，前列腺癌前期诊断的前列腺特异性抗原检测，</w:t>
      </w:r>
      <w:r>
        <w:rPr>
          <w:rFonts w:eastAsia="宋体" w:cs="宋体"/>
          <w:i/>
          <w:sz w:val="21"/>
          <w:lang w:eastAsia="zh-CN"/>
        </w:rPr>
        <w:t>N Engl J Med</w:t>
      </w:r>
      <w:r>
        <w:rPr>
          <w:rFonts w:eastAsia="宋体" w:cs="宋体"/>
          <w:sz w:val="21"/>
          <w:lang w:eastAsia="zh-CN"/>
        </w:rPr>
        <w:t>，2001年，344:1373-1377；以及“前列腺癌的前期检测（2018年）”，AUA指南，</w:t>
      </w:r>
      <w:r>
        <w:fldChar w:fldCharType="begin"/>
      </w:r>
      <w:r>
        <w:rPr>
          <w:lang w:eastAsia="zh-CN"/>
        </w:rPr>
        <w:instrText xml:space="preserve"> HYPERLINK "https://www.auanet.org/guidelines/prostate-cancer-early-detection-guideline" </w:instrText>
      </w:r>
      <w:r>
        <w:fldChar w:fldCharType="separate"/>
      </w:r>
      <w:r>
        <w:rPr>
          <w:rFonts w:eastAsia="宋体" w:cs="宋体"/>
          <w:snapToGrid w:val="0"/>
          <w:color w:val="0000FF"/>
          <w:sz w:val="21"/>
          <w:szCs w:val="21"/>
          <w:u w:val="single"/>
          <w:lang w:eastAsia="zh-CN"/>
        </w:rPr>
        <w:t>https://www.auanet.org/guidelines/prostate-cancer-early-detection-</w:t>
      </w:r>
      <w:r>
        <w:rPr>
          <w:rFonts w:ascii="宋体" w:hAnsi="宋体" w:eastAsia="宋体" w:cs="宋体"/>
          <w:snapToGrid w:val="0"/>
          <w:color w:val="0000FF"/>
          <w:sz w:val="21"/>
          <w:szCs w:val="21"/>
          <w:u w:val="single"/>
        </w:rPr>
        <w:fldChar w:fldCharType="end"/>
      </w:r>
      <w:r>
        <w:fldChar w:fldCharType="begin"/>
      </w:r>
      <w:r>
        <w:instrText xml:space="preserve"> HYPERLINK "https://www.auanet.org/guidelines/prostate-cancer-early-detection-guideline" </w:instrText>
      </w:r>
      <w:r>
        <w:fldChar w:fldCharType="separate"/>
      </w:r>
      <w:r>
        <w:rPr>
          <w:rFonts w:eastAsia="宋体" w:cs="宋体"/>
          <w:snapToGrid w:val="0"/>
          <w:color w:val="0000FF"/>
          <w:sz w:val="21"/>
          <w:szCs w:val="21"/>
          <w:u w:val="single"/>
          <w:lang w:eastAsia="zh-CN"/>
        </w:rPr>
        <w:t>guideline）</w:t>
      </w:r>
      <w:r>
        <w:rPr>
          <w:rFonts w:eastAsia="宋体" w:cs="宋体"/>
          <w:snapToGrid w:val="0"/>
          <w:color w:val="0000FF"/>
          <w:sz w:val="21"/>
          <w:szCs w:val="21"/>
          <w:u w:val="single"/>
          <w:lang w:eastAsia="zh-CN"/>
        </w:rPr>
        <w:fldChar w:fldCharType="end"/>
      </w:r>
      <w:r>
        <w:rPr>
          <w:rFonts w:eastAsia="宋体" w:cs="宋体"/>
          <w:sz w:val="21"/>
          <w:lang w:eastAsia="zh-CN"/>
        </w:rPr>
        <w:t>。本机构认为将患有前列腺癌的受试者排除在用于治疗BPH的器械的临床研究之外非常重要，因此，建议对PSA采用上述更保守的限值。</w:t>
      </w:r>
      <w:r>
        <w:rPr>
          <w:rFonts w:eastAsia="宋体" w:cs="宋体"/>
          <w:lang w:eastAsia="zh-CN"/>
        </w:rPr>
        <w:br w:type="page"/>
      </w:r>
    </w:p>
    <w:p w14:paraId="320B653F">
      <w:pPr>
        <w:adjustRightInd w:val="0"/>
        <w:snapToGrid w:val="0"/>
        <w:spacing w:before="120" w:beforeLines="50" w:line="300" w:lineRule="auto"/>
        <w:ind w:left="850" w:leftChars="354"/>
        <w:jc w:val="both"/>
        <w:rPr>
          <w:rFonts w:ascii="Times New Roman" w:hAnsi="Times New Roman" w:eastAsia="宋体" w:cs="Times New Roman"/>
          <w:snapToGrid w:val="0"/>
          <w:lang w:eastAsia="zh-CN"/>
        </w:rPr>
      </w:pPr>
      <w:r>
        <w:rPr>
          <w:rFonts w:ascii="Times New Roman" w:hAnsi="Times New Roman" w:eastAsia="宋体" w:cs="宋体"/>
          <w:lang w:eastAsia="zh-CN"/>
        </w:rPr>
        <w:t>BPH药物包括处方药、非处方药和膳食补充剂。如果潜在的</w:t>
      </w:r>
      <w:r>
        <w:rPr>
          <w:rFonts w:hint="eastAsia" w:ascii="Times New Roman" w:hAnsi="Times New Roman" w:eastAsia="宋体" w:cs="宋体"/>
          <w:lang w:eastAsia="zh-CN"/>
        </w:rPr>
        <w:t>混杂药物</w:t>
      </w:r>
      <w:r>
        <w:rPr>
          <w:rFonts w:ascii="Times New Roman" w:hAnsi="Times New Roman" w:eastAsia="宋体" w:cs="宋体"/>
          <w:lang w:eastAsia="zh-CN"/>
        </w:rPr>
        <w:t>在临床上适合在进行本研究时服用，本机构建议的方案表明，除非具备医学许可，否则在研究期间不应改变剂量。如果计划将此类药物纳入研究，受试者应在研究前至少服用一段时间（“洗入”），并应指定建议的洗入期。建议的洗入期和洗脱期相同，皆如下所述。如果计划从研究中排除特定药物，本机构建议在招募或治疗受试者后，在方案中规定洗脱期。</w:t>
      </w:r>
    </w:p>
    <w:p w14:paraId="7A37FF18">
      <w:pPr>
        <w:adjustRightInd w:val="0"/>
        <w:snapToGrid w:val="0"/>
        <w:spacing w:before="120" w:beforeLines="50" w:line="300" w:lineRule="auto"/>
        <w:ind w:left="850" w:leftChars="354"/>
        <w:jc w:val="both"/>
        <w:rPr>
          <w:rFonts w:ascii="Times New Roman" w:hAnsi="Times New Roman" w:eastAsia="宋体" w:cs="Times New Roman"/>
          <w:snapToGrid w:val="0"/>
          <w:lang w:eastAsia="zh-CN"/>
        </w:rPr>
      </w:pPr>
      <w:r>
        <w:rPr>
          <w:rFonts w:ascii="Times New Roman" w:hAnsi="Times New Roman" w:eastAsia="宋体" w:cs="宋体"/>
          <w:lang w:eastAsia="zh-CN"/>
        </w:rPr>
        <w:t>例如，本机构建议排除使用以下药物的男性：</w:t>
      </w:r>
    </w:p>
    <w:p w14:paraId="51423A6C">
      <w:pPr>
        <w:pStyle w:val="37"/>
        <w:numPr>
          <w:ilvl w:val="0"/>
          <w:numId w:val="19"/>
        </w:numPr>
        <w:adjustRightInd w:val="0"/>
        <w:snapToGrid w:val="0"/>
        <w:spacing w:before="120" w:beforeLines="50" w:line="300" w:lineRule="auto"/>
        <w:ind w:left="1560"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治疗后一周内服用抗组胺药、抗惊厥药和解痉药，除非有文件证明患者服用相同剂量的药物至少六个月且排尿模式稳定（进入研究或整个研究过程中不应改变或中断药物剂量）；</w:t>
      </w:r>
    </w:p>
    <w:p w14:paraId="74C82111">
      <w:pPr>
        <w:pStyle w:val="37"/>
        <w:numPr>
          <w:ilvl w:val="0"/>
          <w:numId w:val="19"/>
        </w:numPr>
        <w:adjustRightInd w:val="0"/>
        <w:snapToGrid w:val="0"/>
        <w:spacing w:before="120" w:beforeLines="50" w:line="300" w:lineRule="auto"/>
        <w:ind w:left="1560"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在治疗四周内服用</w:t>
      </w:r>
      <w:r>
        <w:rPr>
          <w:rFonts w:ascii="Times New Roman" w:hAnsi="Times New Roman" w:eastAsia="宋体" w:cs="宋体"/>
        </w:rPr>
        <w:t>α</w:t>
      </w:r>
      <w:r>
        <w:rPr>
          <w:rFonts w:ascii="Times New Roman" w:hAnsi="Times New Roman" w:eastAsia="宋体" w:cs="宋体"/>
          <w:lang w:eastAsia="zh-CN"/>
        </w:rPr>
        <w:t>受体阻滞剂；</w:t>
      </w:r>
    </w:p>
    <w:p w14:paraId="3CA96F3B">
      <w:pPr>
        <w:pStyle w:val="37"/>
        <w:numPr>
          <w:ilvl w:val="0"/>
          <w:numId w:val="19"/>
        </w:numPr>
        <w:adjustRightInd w:val="0"/>
        <w:snapToGrid w:val="0"/>
        <w:spacing w:before="120" w:beforeLines="50" w:line="300" w:lineRule="auto"/>
        <w:ind w:left="1560"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治疗后两个月内服用抗胆碱药；</w:t>
      </w:r>
    </w:p>
    <w:p w14:paraId="4B1CED32">
      <w:pPr>
        <w:pStyle w:val="37"/>
        <w:numPr>
          <w:ilvl w:val="0"/>
          <w:numId w:val="19"/>
        </w:numPr>
        <w:adjustRightInd w:val="0"/>
        <w:snapToGrid w:val="0"/>
        <w:spacing w:before="120" w:beforeLines="50" w:line="300" w:lineRule="auto"/>
        <w:ind w:left="1560"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治疗两个月内服用雄激素和促性腺激素释放激素类似物；以及</w:t>
      </w:r>
    </w:p>
    <w:p w14:paraId="2FC46AEF">
      <w:pPr>
        <w:pStyle w:val="37"/>
        <w:numPr>
          <w:ilvl w:val="0"/>
          <w:numId w:val="19"/>
        </w:numPr>
        <w:adjustRightInd w:val="0"/>
        <w:snapToGrid w:val="0"/>
        <w:spacing w:before="120" w:beforeLines="50" w:line="300" w:lineRule="auto"/>
        <w:ind w:left="1560"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治疗六个月内服用5-</w:t>
      </w:r>
      <w:r>
        <w:rPr>
          <w:rFonts w:ascii="Times New Roman" w:hAnsi="Times New Roman" w:eastAsia="宋体" w:cs="宋体"/>
        </w:rPr>
        <w:t>α</w:t>
      </w:r>
      <w:r>
        <w:rPr>
          <w:rFonts w:ascii="Times New Roman" w:hAnsi="Times New Roman" w:eastAsia="宋体" w:cs="宋体"/>
          <w:lang w:eastAsia="zh-CN"/>
        </w:rPr>
        <w:t>还原酶抑制剂。</w:t>
      </w:r>
    </w:p>
    <w:p w14:paraId="1D472F83">
      <w:pPr>
        <w:adjustRightInd w:val="0"/>
        <w:snapToGrid w:val="0"/>
        <w:spacing w:before="120" w:beforeLines="50" w:line="300" w:lineRule="auto"/>
        <w:ind w:left="850" w:leftChars="354"/>
        <w:jc w:val="both"/>
        <w:rPr>
          <w:rFonts w:ascii="Times New Roman" w:hAnsi="Times New Roman" w:eastAsia="宋体" w:cs="Times New Roman"/>
          <w:snapToGrid w:val="0"/>
          <w:lang w:eastAsia="zh-CN"/>
        </w:rPr>
      </w:pPr>
      <w:r>
        <w:rPr>
          <w:rFonts w:ascii="Times New Roman" w:hAnsi="Times New Roman" w:eastAsia="宋体" w:cs="宋体"/>
          <w:lang w:eastAsia="zh-CN"/>
        </w:rPr>
        <w:t>临床研究方案应证明上述未列出药物（例如PDE-5抑制剂、P3激动剂、三环类抗抑郁药）的洗入期或洗脱期是合理的。</w:t>
      </w:r>
    </w:p>
    <w:p w14:paraId="4EF68284">
      <w:pPr>
        <w:adjustRightInd w:val="0"/>
        <w:snapToGrid w:val="0"/>
        <w:spacing w:before="120" w:beforeLines="50" w:line="300" w:lineRule="auto"/>
        <w:ind w:left="850" w:leftChars="354"/>
        <w:jc w:val="both"/>
        <w:rPr>
          <w:rFonts w:ascii="Times New Roman" w:hAnsi="Times New Roman" w:eastAsia="宋体" w:cs="Times New Roman"/>
          <w:snapToGrid w:val="0"/>
          <w:lang w:eastAsia="zh-CN"/>
        </w:rPr>
      </w:pPr>
      <w:r>
        <w:rPr>
          <w:rFonts w:ascii="Times New Roman" w:hAnsi="Times New Roman" w:eastAsia="宋体" w:cs="宋体"/>
          <w:lang w:eastAsia="zh-CN"/>
        </w:rPr>
        <w:t>在试验过程中接受新BPH药物或增加当前BPH药物剂量的受试者应被视为治疗失败。</w:t>
      </w:r>
    </w:p>
    <w:p w14:paraId="61F9D832">
      <w:pPr>
        <w:pStyle w:val="35"/>
        <w:rPr>
          <w:rFonts w:eastAsia="宋体"/>
          <w:lang w:eastAsia="zh-CN"/>
        </w:rPr>
      </w:pPr>
      <w:bookmarkStart w:id="20" w:name="_Toc91869250"/>
      <w:r>
        <w:rPr>
          <w:rFonts w:eastAsia="宋体" w:cs="宋体"/>
          <w:lang w:eastAsia="zh-CN"/>
        </w:rPr>
        <w:t>M.</w:t>
      </w:r>
      <w:r>
        <w:rPr>
          <w:rFonts w:eastAsia="宋体" w:cs="宋体"/>
          <w:b w:val="0"/>
          <w:lang w:eastAsia="zh-CN"/>
        </w:rPr>
        <w:tab/>
      </w:r>
      <w:r>
        <w:rPr>
          <w:rFonts w:eastAsia="宋体" w:cs="宋体"/>
          <w:lang w:eastAsia="zh-CN"/>
        </w:rPr>
        <w:t>治疗后评价</w:t>
      </w:r>
      <w:bookmarkEnd w:id="20"/>
    </w:p>
    <w:p w14:paraId="48E7D2A0">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FDA拟使用以下建议取代现有BPH指南文件第V.M节：</w:t>
      </w:r>
    </w:p>
    <w:p w14:paraId="00882383">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本机构建议治疗后评价计划包括整个研究期间，例如治疗后一个月、三个月、六个月和十二个月的多次随访访视。对于热疗器械，本机构建议在治疗后不久（例如，治疗后拔除导管8-10天）根据护理标准进行随访访视。对于可能进行或预期进行上市后研究的器械，本机构建议治疗后评价计划要包括定期随访访视，例如，每年对所有受试者进行一次随访，直到获得上市批准。</w:t>
      </w:r>
    </w:p>
    <w:p w14:paraId="01C714D6">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方案应明确说明随访计划，并确定计划在每次治疗后评价中进行的所有试验、测量和检查。为确保与研究者和试验地点的一致性，本机构建议所有试验和测量均采用方案中明确规定的公认方法进行。</w:t>
      </w:r>
    </w:p>
    <w:p w14:paraId="4D770AB8">
      <w:pPr>
        <w:rPr>
          <w:rFonts w:ascii="Times New Roman" w:hAnsi="Times New Roman" w:eastAsia="宋体" w:cs="Times New Roman"/>
          <w:snapToGrid w:val="0"/>
          <w:lang w:eastAsia="zh-CN"/>
        </w:rPr>
      </w:pPr>
      <w:r>
        <w:rPr>
          <w:rFonts w:ascii="Times New Roman" w:hAnsi="Times New Roman" w:eastAsia="宋体" w:cs="宋体"/>
          <w:lang w:eastAsia="zh-CN"/>
        </w:rPr>
        <w:br w:type="page"/>
      </w:r>
    </w:p>
    <w:p w14:paraId="6AE303ED">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为了与基线数据进行比较，本机构建议使用与治疗前评价相同的方法进行所有适用的治疗后试验。此外，本机构建议对照组进行与研究组相同的评价。</w:t>
      </w:r>
    </w:p>
    <w:p w14:paraId="221A8CD7">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本机构建议治疗后评价包括以下试验和评定：</w:t>
      </w:r>
    </w:p>
    <w:p w14:paraId="6F99E3C0">
      <w:pPr>
        <w:pStyle w:val="37"/>
        <w:numPr>
          <w:ilvl w:val="0"/>
          <w:numId w:val="20"/>
        </w:numPr>
        <w:adjustRightInd w:val="0"/>
        <w:snapToGrid w:val="0"/>
        <w:spacing w:before="120" w:beforeLines="50"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体格检查；</w:t>
      </w:r>
    </w:p>
    <w:p w14:paraId="7DC3402C">
      <w:pPr>
        <w:pStyle w:val="37"/>
        <w:numPr>
          <w:ilvl w:val="0"/>
          <w:numId w:val="20"/>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更新的</w:t>
      </w:r>
      <w:r>
        <w:rPr>
          <w:rFonts w:hint="eastAsia" w:ascii="Times New Roman" w:hAnsi="Times New Roman" w:eastAsia="宋体" w:cs="宋体"/>
          <w:lang w:eastAsia="zh-CN"/>
        </w:rPr>
        <w:t>就医</w:t>
      </w:r>
      <w:r>
        <w:rPr>
          <w:rFonts w:ascii="Times New Roman" w:hAnsi="Times New Roman" w:eastAsia="宋体" w:cs="宋体"/>
          <w:lang w:eastAsia="zh-CN"/>
        </w:rPr>
        <w:t>和手术史，包括药物；</w:t>
      </w:r>
    </w:p>
    <w:p w14:paraId="4681C8E7">
      <w:pPr>
        <w:pStyle w:val="37"/>
        <w:numPr>
          <w:ilvl w:val="0"/>
          <w:numId w:val="20"/>
        </w:numPr>
        <w:adjustRightInd w:val="0"/>
        <w:snapToGrid w:val="0"/>
        <w:spacing w:before="120" w:beforeLines="50"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AUA-SI（或IPSS）；</w:t>
      </w:r>
    </w:p>
    <w:p w14:paraId="7C051590">
      <w:pPr>
        <w:pStyle w:val="37"/>
        <w:numPr>
          <w:ilvl w:val="0"/>
          <w:numId w:val="20"/>
        </w:numPr>
        <w:adjustRightInd w:val="0"/>
        <w:snapToGrid w:val="0"/>
        <w:spacing w:before="120" w:beforeLines="50"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生活质量评定；</w:t>
      </w:r>
    </w:p>
    <w:p w14:paraId="6A1938BC">
      <w:pPr>
        <w:pStyle w:val="37"/>
        <w:numPr>
          <w:ilvl w:val="0"/>
          <w:numId w:val="20"/>
        </w:numPr>
        <w:adjustRightInd w:val="0"/>
        <w:snapToGrid w:val="0"/>
        <w:spacing w:before="120" w:beforeLines="50"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性功能评定；</w:t>
      </w:r>
    </w:p>
    <w:p w14:paraId="64A27536">
      <w:pPr>
        <w:pStyle w:val="37"/>
        <w:numPr>
          <w:ilvl w:val="0"/>
          <w:numId w:val="20"/>
        </w:numPr>
        <w:adjustRightInd w:val="0"/>
        <w:snapToGrid w:val="0"/>
        <w:spacing w:before="120" w:beforeLines="50"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不良事件；</w:t>
      </w:r>
    </w:p>
    <w:p w14:paraId="47778E8E">
      <w:pPr>
        <w:pStyle w:val="37"/>
        <w:numPr>
          <w:ilvl w:val="0"/>
          <w:numId w:val="20"/>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尿流率测定，包括预期限定的最小尿量，以确保有意义的分析（例如125 mL）、总尿时间、峰值流速、平均流速和尿后残余体积；</w:t>
      </w:r>
    </w:p>
    <w:p w14:paraId="50A4B3AE">
      <w:pPr>
        <w:pStyle w:val="37"/>
        <w:numPr>
          <w:ilvl w:val="0"/>
          <w:numId w:val="20"/>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所有患者在后期就诊时（例如治疗后6个月和12个月）进行膀胱测压，同时评定膀胱内压和腹内压，以确定逼尿肌压力；</w:t>
      </w:r>
      <w:r>
        <w:rPr>
          <w:rFonts w:ascii="Times New Roman" w:hAnsi="Times New Roman" w:eastAsia="宋体" w:cs="宋体"/>
          <w:vertAlign w:val="superscript"/>
          <w:lang w:eastAsia="zh-CN"/>
        </w:rPr>
        <w:t>24</w:t>
      </w:r>
    </w:p>
    <w:p w14:paraId="598DE8BC">
      <w:pPr>
        <w:pStyle w:val="37"/>
        <w:numPr>
          <w:ilvl w:val="0"/>
          <w:numId w:val="20"/>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血液和尿液化学性，例如尿液分析、尿液培养、CBC、PSA、BUN、肌酐和电解质；</w:t>
      </w:r>
    </w:p>
    <w:p w14:paraId="34265BEC">
      <w:pPr>
        <w:pStyle w:val="37"/>
        <w:numPr>
          <w:ilvl w:val="0"/>
          <w:numId w:val="20"/>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有临床指示时进行活检；</w:t>
      </w:r>
    </w:p>
    <w:p w14:paraId="3EA14E97">
      <w:pPr>
        <w:pStyle w:val="37"/>
        <w:numPr>
          <w:ilvl w:val="0"/>
          <w:numId w:val="20"/>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在每次随访时酌情进行DRE；</w:t>
      </w:r>
    </w:p>
    <w:p w14:paraId="4D50D93C">
      <w:pPr>
        <w:pStyle w:val="37"/>
        <w:numPr>
          <w:ilvl w:val="0"/>
          <w:numId w:val="20"/>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治疗后6个月和12个月的TRU（包括前列腺体积和其他相关尺寸的测量）；</w:t>
      </w:r>
    </w:p>
    <w:p w14:paraId="31AABF98">
      <w:pPr>
        <w:pStyle w:val="37"/>
        <w:numPr>
          <w:ilvl w:val="0"/>
          <w:numId w:val="20"/>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医学上或技术上有保证的膀胱镜检查；</w:t>
      </w:r>
      <w:r>
        <w:rPr>
          <w:rFonts w:ascii="Times New Roman" w:hAnsi="Times New Roman" w:eastAsia="宋体" w:cs="宋体"/>
          <w:vertAlign w:val="superscript"/>
          <w:lang w:eastAsia="zh-CN"/>
        </w:rPr>
        <w:t>25</w:t>
      </w:r>
      <w:r>
        <w:rPr>
          <w:rFonts w:ascii="Times New Roman" w:hAnsi="Times New Roman" w:eastAsia="宋体" w:cs="宋体"/>
          <w:lang w:eastAsia="zh-CN"/>
        </w:rPr>
        <w:t>以及</w:t>
      </w:r>
    </w:p>
    <w:p w14:paraId="7E84FA2A">
      <w:pPr>
        <w:pStyle w:val="37"/>
        <w:numPr>
          <w:ilvl w:val="0"/>
          <w:numId w:val="20"/>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直肠镜检查，如果医学上或技术上有保证，可监测任何观察到的直肠损伤。</w:t>
      </w:r>
    </w:p>
    <w:p w14:paraId="4E7E1631">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除非计划禁止患者关注治疗后的生育能力，否则本机构建议通过评价精液质量和数量来评定器械对后续生育能力的影响。</w:t>
      </w:r>
    </w:p>
    <w:p w14:paraId="5626363C">
      <w:pPr>
        <w:pStyle w:val="35"/>
        <w:rPr>
          <w:rFonts w:eastAsia="宋体"/>
          <w:lang w:eastAsia="zh-CN"/>
        </w:rPr>
      </w:pPr>
      <w:bookmarkStart w:id="21" w:name="_Toc91869251"/>
      <w:r>
        <w:rPr>
          <w:rFonts w:eastAsia="宋体" w:cs="宋体"/>
          <w:lang w:eastAsia="zh-CN"/>
        </w:rPr>
        <w:t>N.</w:t>
      </w:r>
      <w:r>
        <w:rPr>
          <w:rFonts w:eastAsia="宋体" w:cs="宋体"/>
          <w:b w:val="0"/>
          <w:lang w:eastAsia="zh-CN"/>
        </w:rPr>
        <w:tab/>
      </w:r>
      <w:r>
        <w:rPr>
          <w:rFonts w:eastAsia="宋体" w:cs="宋体"/>
          <w:lang w:eastAsia="zh-CN"/>
        </w:rPr>
        <w:t>统计学分析建议</w:t>
      </w:r>
      <w:bookmarkEnd w:id="21"/>
    </w:p>
    <w:p w14:paraId="12FB6CDF">
      <w:pPr>
        <w:pStyle w:val="39"/>
        <w:rPr>
          <w:rFonts w:eastAsia="宋体"/>
          <w:lang w:eastAsia="zh-CN"/>
        </w:rPr>
      </w:pPr>
      <w:bookmarkStart w:id="22" w:name="_Toc91869252"/>
      <w:r>
        <w:rPr>
          <w:rFonts w:eastAsia="宋体" w:cs="宋体"/>
          <w:lang w:eastAsia="zh-CN"/>
        </w:rPr>
        <w:t>（2）主要终点分析</w:t>
      </w:r>
      <w:bookmarkEnd w:id="22"/>
    </w:p>
    <w:p w14:paraId="528C6F04">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FDA拟将现有BPH指南文件第V.N(2)节替换为以下建议：</w:t>
      </w:r>
    </w:p>
    <w:p w14:paraId="708BDBA5">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_____________________</w:t>
      </w:r>
    </w:p>
    <w:p w14:paraId="4076380F">
      <w:pPr>
        <w:pStyle w:val="25"/>
        <w:tabs>
          <w:tab w:val="left" w:pos="173"/>
        </w:tabs>
        <w:adjustRightInd w:val="0"/>
        <w:snapToGrid w:val="0"/>
        <w:spacing w:before="36" w:beforeLines="15" w:line="276" w:lineRule="auto"/>
        <w:jc w:val="both"/>
        <w:rPr>
          <w:rFonts w:eastAsia="宋体"/>
          <w:snapToGrid w:val="0"/>
          <w:sz w:val="21"/>
          <w:szCs w:val="21"/>
          <w:lang w:eastAsia="zh-CN"/>
        </w:rPr>
      </w:pPr>
      <w:r>
        <w:rPr>
          <w:rFonts w:eastAsia="宋体" w:cs="宋体"/>
          <w:sz w:val="21"/>
          <w:vertAlign w:val="superscript"/>
          <w:lang w:eastAsia="zh-CN"/>
        </w:rPr>
        <w:t>24</w:t>
      </w:r>
      <w:r>
        <w:rPr>
          <w:rFonts w:eastAsia="宋体" w:cs="宋体"/>
          <w:sz w:val="21"/>
          <w:lang w:eastAsia="zh-CN"/>
        </w:rPr>
        <w:t xml:space="preserve"> 逼尿肌压力-流量研究应在治疗前评价的患者亚组中进行。</w:t>
      </w:r>
    </w:p>
    <w:p w14:paraId="12517FAD">
      <w:pPr>
        <w:pStyle w:val="25"/>
        <w:tabs>
          <w:tab w:val="left" w:pos="173"/>
        </w:tabs>
        <w:adjustRightInd w:val="0"/>
        <w:snapToGrid w:val="0"/>
        <w:spacing w:before="36" w:beforeLines="15" w:line="276" w:lineRule="auto"/>
        <w:jc w:val="both"/>
        <w:rPr>
          <w:rFonts w:eastAsia="宋体"/>
          <w:snapToGrid w:val="0"/>
          <w:lang w:eastAsia="zh-CN"/>
        </w:rPr>
      </w:pPr>
      <w:r>
        <w:rPr>
          <w:rFonts w:eastAsia="宋体" w:cs="宋体"/>
          <w:sz w:val="21"/>
          <w:vertAlign w:val="superscript"/>
          <w:lang w:eastAsia="zh-CN"/>
        </w:rPr>
        <w:t>25</w:t>
      </w:r>
      <w:r>
        <w:rPr>
          <w:rFonts w:eastAsia="宋体" w:cs="宋体"/>
          <w:sz w:val="21"/>
          <w:lang w:eastAsia="zh-CN"/>
        </w:rPr>
        <w:t xml:space="preserve"> 对于某些器械，可以接受在亚组中进行膀胱镜随访检查。该亚组应随机选择，以尽量减少偏倚，并由至少30%的研究患者组成。</w:t>
      </w:r>
      <w:r>
        <w:rPr>
          <w:rFonts w:eastAsia="宋体" w:cs="宋体"/>
          <w:b/>
          <w:i/>
          <w:lang w:eastAsia="zh-CN"/>
        </w:rPr>
        <w:br w:type="page"/>
      </w:r>
    </w:p>
    <w:p w14:paraId="5B9BDCB9">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研究的主要统计学分析通常使用主要终点来评定研究的总体成功或失败。因此，本机构建议在方案中说明并记录此分析的详细信息。为了减少偏倚，本机构建议使用意向治疗（ITT）人群进行主要分析。ITT人群包括随机入组研究的所有受试者，无论受试者是否接受随机分配的治疗。使用ITT人群可以保持患者在（观察到和未观察到的）基线特征方面的可比性。ITT人群通常被视为评价新疗法的首选方法。</w:t>
      </w:r>
      <w:r>
        <w:rPr>
          <w:rFonts w:ascii="Times New Roman" w:hAnsi="Times New Roman" w:eastAsia="宋体" w:cs="宋体"/>
          <w:vertAlign w:val="superscript"/>
          <w:lang w:eastAsia="zh-CN"/>
        </w:rPr>
        <w:t>26</w:t>
      </w:r>
    </w:p>
    <w:p w14:paraId="056F8CFD">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除了ITT分析外，本机构建议的方案指定主要终点的其他分析，以评定研究结果的稳健性。本机构建议进行此类其他分析，以评定结果是否与主要ITT分析的结论一致，从而支持研究结论。应该评定各敏感性分析的基本假设的合理性。本机构建议此类其他分析至少包括以下内容：</w:t>
      </w:r>
    </w:p>
    <w:p w14:paraId="238068FB">
      <w:pPr>
        <w:pStyle w:val="37"/>
        <w:numPr>
          <w:ilvl w:val="0"/>
          <w:numId w:val="21"/>
        </w:numPr>
        <w:adjustRightInd w:val="0"/>
        <w:snapToGrid w:val="0"/>
        <w:spacing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“按方案”人群的分析（例如，按照方案治疗和随访的受试者）；</w:t>
      </w:r>
    </w:p>
    <w:p w14:paraId="104818F6">
      <w:pPr>
        <w:pStyle w:val="37"/>
        <w:numPr>
          <w:ilvl w:val="0"/>
          <w:numId w:val="21"/>
        </w:numPr>
        <w:adjustRightInd w:val="0"/>
        <w:snapToGrid w:val="0"/>
        <w:spacing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使用预先指定的各种方法对缺失数据进行敏感性分析；</w:t>
      </w:r>
    </w:p>
    <w:p w14:paraId="38F25C8D">
      <w:pPr>
        <w:pStyle w:val="37"/>
        <w:numPr>
          <w:ilvl w:val="0"/>
          <w:numId w:val="21"/>
        </w:numPr>
        <w:adjustRightInd w:val="0"/>
        <w:snapToGrid w:val="0"/>
        <w:spacing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纵向或重复指标分析，以评定“治疗后时间”对结果的影响；以及</w:t>
      </w:r>
    </w:p>
    <w:p w14:paraId="44D55621">
      <w:pPr>
        <w:pStyle w:val="37"/>
        <w:numPr>
          <w:ilvl w:val="0"/>
          <w:numId w:val="21"/>
        </w:numPr>
        <w:adjustRightInd w:val="0"/>
        <w:snapToGrid w:val="0"/>
        <w:spacing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评定各随访期内相对于基线的“显著改善”、“</w:t>
      </w:r>
      <w:r>
        <w:rPr>
          <w:rFonts w:hint="eastAsia" w:ascii="Times New Roman" w:hAnsi="Times New Roman" w:eastAsia="宋体" w:cs="宋体"/>
          <w:lang w:eastAsia="zh-CN"/>
        </w:rPr>
        <w:t>无</w:t>
      </w:r>
      <w:r>
        <w:rPr>
          <w:rFonts w:ascii="Times New Roman" w:hAnsi="Times New Roman" w:eastAsia="宋体" w:cs="宋体"/>
          <w:lang w:eastAsia="zh-CN"/>
        </w:rPr>
        <w:t>显著改善”和“更差”的受试者人数。</w:t>
      </w:r>
    </w:p>
    <w:p w14:paraId="4755FFB6">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为了研究主题相关和治疗相关因素对主要安全性和有效性终点的潜在影响，并揭示任何重要的预后因素，本机构建议</w:t>
      </w:r>
      <w:r>
        <w:rPr>
          <w:rFonts w:hint="eastAsia" w:ascii="Times New Roman" w:hAnsi="Times New Roman" w:eastAsia="宋体" w:cs="宋体"/>
          <w:lang w:eastAsia="zh-CN"/>
        </w:rPr>
        <w:t>考虑</w:t>
      </w:r>
      <w:r>
        <w:rPr>
          <w:rFonts w:ascii="Times New Roman" w:hAnsi="Times New Roman" w:eastAsia="宋体" w:cs="宋体"/>
          <w:lang w:eastAsia="zh-CN"/>
        </w:rPr>
        <w:t>亚组分析。为了尽量减少与此类分析相关的偏倚，本机构建议的方案预先限定所有重要因素。</w:t>
      </w:r>
      <w:r>
        <w:rPr>
          <w:rFonts w:hint="eastAsia" w:ascii="Times New Roman" w:hAnsi="Times New Roman" w:eastAsia="宋体" w:cs="宋体"/>
          <w:lang w:eastAsia="zh-CN"/>
        </w:rPr>
        <w:t>该</w:t>
      </w:r>
      <w:r>
        <w:rPr>
          <w:rFonts w:ascii="Times New Roman" w:hAnsi="Times New Roman" w:eastAsia="宋体" w:cs="宋体"/>
          <w:lang w:eastAsia="zh-CN"/>
        </w:rPr>
        <w:t>类重要因素可能包括但不限于：</w:t>
      </w:r>
    </w:p>
    <w:p w14:paraId="493FCD25">
      <w:pPr>
        <w:pStyle w:val="37"/>
        <w:numPr>
          <w:ilvl w:val="0"/>
          <w:numId w:val="22"/>
        </w:numPr>
        <w:adjustRightInd w:val="0"/>
        <w:snapToGrid w:val="0"/>
        <w:spacing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研究地点；</w:t>
      </w:r>
    </w:p>
    <w:p w14:paraId="2FADF117">
      <w:pPr>
        <w:pStyle w:val="37"/>
        <w:numPr>
          <w:ilvl w:val="0"/>
          <w:numId w:val="22"/>
        </w:numPr>
        <w:adjustRightInd w:val="0"/>
        <w:snapToGrid w:val="0"/>
        <w:spacing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年龄；</w:t>
      </w:r>
    </w:p>
    <w:p w14:paraId="3F06C15E">
      <w:pPr>
        <w:pStyle w:val="37"/>
        <w:numPr>
          <w:ilvl w:val="0"/>
          <w:numId w:val="22"/>
        </w:numPr>
        <w:adjustRightInd w:val="0"/>
        <w:snapToGrid w:val="0"/>
        <w:spacing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体重或体重指数；</w:t>
      </w:r>
    </w:p>
    <w:p w14:paraId="01350DF7">
      <w:pPr>
        <w:pStyle w:val="37"/>
        <w:numPr>
          <w:ilvl w:val="0"/>
          <w:numId w:val="22"/>
        </w:numPr>
        <w:adjustRightInd w:val="0"/>
        <w:snapToGrid w:val="0"/>
        <w:spacing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种族；</w:t>
      </w:r>
    </w:p>
    <w:p w14:paraId="6B6575E6">
      <w:pPr>
        <w:pStyle w:val="37"/>
        <w:numPr>
          <w:ilvl w:val="0"/>
          <w:numId w:val="22"/>
        </w:numPr>
        <w:adjustRightInd w:val="0"/>
        <w:snapToGrid w:val="0"/>
        <w:spacing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BPH症状持续时间；</w:t>
      </w:r>
    </w:p>
    <w:p w14:paraId="2E68E919">
      <w:pPr>
        <w:pStyle w:val="37"/>
        <w:numPr>
          <w:ilvl w:val="0"/>
          <w:numId w:val="22"/>
        </w:numPr>
        <w:adjustRightInd w:val="0"/>
        <w:snapToGrid w:val="0"/>
        <w:spacing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BPH的所有基线指数（例如，前列腺大小/体积、峰值和平均流速、PVR、AUA-SI（或IPSS）和BPH特定的生活质量评分）；</w:t>
      </w:r>
    </w:p>
    <w:p w14:paraId="09C342B8">
      <w:pPr>
        <w:pStyle w:val="37"/>
        <w:numPr>
          <w:ilvl w:val="0"/>
          <w:numId w:val="22"/>
        </w:numPr>
        <w:adjustRightInd w:val="0"/>
        <w:snapToGrid w:val="0"/>
        <w:spacing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二次治疗；</w:t>
      </w:r>
    </w:p>
    <w:p w14:paraId="22E35022">
      <w:pPr>
        <w:pStyle w:val="37"/>
        <w:numPr>
          <w:ilvl w:val="0"/>
          <w:numId w:val="22"/>
        </w:numPr>
        <w:adjustRightInd w:val="0"/>
        <w:snapToGrid w:val="0"/>
        <w:spacing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药物使用；以及</w:t>
      </w:r>
    </w:p>
    <w:p w14:paraId="0585E02D">
      <w:pPr>
        <w:pStyle w:val="37"/>
        <w:numPr>
          <w:ilvl w:val="0"/>
          <w:numId w:val="22"/>
        </w:numPr>
        <w:adjustRightInd w:val="0"/>
        <w:snapToGrid w:val="0"/>
        <w:spacing w:line="300" w:lineRule="auto"/>
        <w:ind w:left="851" w:firstLineChars="0"/>
        <w:jc w:val="both"/>
        <w:rPr>
          <w:rFonts w:ascii="Times New Roman" w:hAnsi="Times New Roman" w:eastAsia="宋体" w:cs="Times New Roman"/>
          <w:snapToGrid w:val="0"/>
        </w:rPr>
      </w:pPr>
      <w:r>
        <w:rPr>
          <w:rFonts w:ascii="Times New Roman" w:hAnsi="Times New Roman" w:eastAsia="宋体" w:cs="宋体"/>
          <w:lang w:eastAsia="zh-CN"/>
        </w:rPr>
        <w:t>重要的器械相关协变量（例如，器械设置、尺寸）。</w:t>
      </w:r>
      <w:r>
        <w:rPr>
          <w:rFonts w:ascii="Times New Roman" w:hAnsi="Times New Roman" w:eastAsia="宋体" w:cs="宋体"/>
          <w:vertAlign w:val="superscript"/>
        </w:rPr>
        <w:t>27</w:t>
      </w:r>
    </w:p>
    <w:p w14:paraId="7BF5DE2F">
      <w:pPr>
        <w:pStyle w:val="39"/>
        <w:rPr>
          <w:rFonts w:eastAsia="宋体"/>
        </w:rPr>
      </w:pPr>
      <w:bookmarkStart w:id="23" w:name="_Toc91869253"/>
      <w:r>
        <w:rPr>
          <w:rFonts w:eastAsia="宋体" w:cs="宋体"/>
        </w:rPr>
        <w:t>（3）次要终点分析</w:t>
      </w:r>
      <w:bookmarkEnd w:id="23"/>
    </w:p>
    <w:p w14:paraId="2259A7FD">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FDA拟用以下建议取代现有BPH指南文件第V.N(3)节：</w:t>
      </w:r>
    </w:p>
    <w:p w14:paraId="648E5293">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_____________________</w:t>
      </w:r>
    </w:p>
    <w:p w14:paraId="4302BE0C">
      <w:pPr>
        <w:pStyle w:val="25"/>
        <w:tabs>
          <w:tab w:val="left" w:pos="173"/>
        </w:tabs>
        <w:adjustRightInd w:val="0"/>
        <w:snapToGrid w:val="0"/>
        <w:spacing w:before="36" w:beforeLines="15" w:line="276" w:lineRule="auto"/>
        <w:jc w:val="both"/>
        <w:rPr>
          <w:rFonts w:eastAsia="宋体"/>
          <w:snapToGrid w:val="0"/>
          <w:sz w:val="21"/>
          <w:szCs w:val="21"/>
          <w:lang w:eastAsia="zh-CN"/>
        </w:rPr>
      </w:pPr>
      <w:r>
        <w:rPr>
          <w:rFonts w:eastAsia="宋体" w:cs="宋体"/>
          <w:sz w:val="21"/>
          <w:vertAlign w:val="superscript"/>
          <w:lang w:eastAsia="zh-CN"/>
        </w:rPr>
        <w:t>26</w:t>
      </w:r>
      <w:r>
        <w:rPr>
          <w:rFonts w:eastAsia="宋体" w:cs="宋体"/>
          <w:sz w:val="21"/>
          <w:lang w:eastAsia="zh-CN"/>
        </w:rPr>
        <w:t xml:space="preserve"> Ellenberg JH，Ellenberg JH, Intent-to-treat analysis versus as-treated analysis.</w:t>
      </w:r>
      <w:r>
        <w:t xml:space="preserve"> </w:t>
      </w:r>
      <w:r>
        <w:rPr>
          <w:rFonts w:eastAsia="宋体" w:cs="宋体"/>
          <w:sz w:val="21"/>
          <w:lang w:eastAsia="zh-CN"/>
        </w:rPr>
        <w:t>Drug Inf J, 1996, 30:535-44.</w:t>
      </w:r>
    </w:p>
    <w:p w14:paraId="5B41BABC">
      <w:pPr>
        <w:pStyle w:val="25"/>
        <w:tabs>
          <w:tab w:val="left" w:pos="178"/>
        </w:tabs>
        <w:adjustRightInd w:val="0"/>
        <w:snapToGrid w:val="0"/>
        <w:spacing w:before="36" w:beforeLines="15" w:line="276" w:lineRule="auto"/>
        <w:jc w:val="both"/>
        <w:rPr>
          <w:rFonts w:eastAsia="宋体"/>
          <w:snapToGrid w:val="0"/>
          <w:sz w:val="21"/>
          <w:szCs w:val="21"/>
          <w:lang w:eastAsia="zh-CN"/>
        </w:rPr>
      </w:pPr>
      <w:r>
        <w:rPr>
          <w:rFonts w:eastAsia="宋体" w:cs="宋体"/>
          <w:sz w:val="21"/>
          <w:vertAlign w:val="superscript"/>
          <w:lang w:eastAsia="zh-CN"/>
        </w:rPr>
        <w:t>27</w:t>
      </w:r>
      <w:r>
        <w:rPr>
          <w:rFonts w:eastAsia="宋体" w:cs="宋体"/>
          <w:sz w:val="21"/>
          <w:lang w:eastAsia="zh-CN"/>
        </w:rPr>
        <w:t xml:space="preserve"> 应分析治疗模式的所有特征（例如，尺寸、功率等级、治疗时间）。数据应支持可用的器械尺寸和治疗参数的完整范围。</w:t>
      </w:r>
    </w:p>
    <w:p w14:paraId="03A5991D">
      <w:pPr>
        <w:rPr>
          <w:rFonts w:ascii="Times New Roman" w:hAnsi="Times New Roman" w:eastAsia="宋体" w:cs="Times New Roman"/>
          <w:snapToGrid w:val="0"/>
          <w:lang w:eastAsia="zh-CN"/>
        </w:rPr>
      </w:pPr>
      <w:r>
        <w:rPr>
          <w:rFonts w:ascii="Times New Roman" w:hAnsi="Times New Roman" w:eastAsia="宋体" w:cs="宋体"/>
          <w:b/>
          <w:i/>
          <w:lang w:eastAsia="zh-CN"/>
        </w:rPr>
        <w:br w:type="page"/>
      </w:r>
    </w:p>
    <w:p w14:paraId="02EFA6B6">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如果计划将次要终点纳入标签，本机构建议的方案预先限定重要次要终点的统计学分析计划。如果任意次要终点分析旨在支持适应症或说明标签中的器械性能（例如，使用p值或置信区间比较治疗组和对照组），本机构建议在研究方案中预先说明该计划，并提供计划采用的统计学方法的详细说明。本机构建议在计划此类分析时，确保控制总体I类错误率。如果次要终点分析旨在作为探索性分析，或无意支持适应症或器械性能表征，本机构建议提交该分析的简要说明。</w:t>
      </w:r>
    </w:p>
    <w:p w14:paraId="3EDB37EF">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通过多项统计学试验支持适应症或器械性能的统计困难之一是将总体I类错误率控制在0.05或以下。有许多有效的多重性调整策略可用于将I类错误率保持在p = 0.05或以下，包括：</w:t>
      </w:r>
    </w:p>
    <w:p w14:paraId="7AFD9EEB">
      <w:pPr>
        <w:pStyle w:val="37"/>
        <w:numPr>
          <w:ilvl w:val="0"/>
          <w:numId w:val="23"/>
        </w:numPr>
        <w:tabs>
          <w:tab w:val="left" w:pos="1430"/>
        </w:tabs>
        <w:adjustRightInd w:val="0"/>
        <w:snapToGrid w:val="0"/>
        <w:spacing w:before="120" w:beforeLines="50" w:line="300" w:lineRule="auto"/>
        <w:ind w:left="1276" w:firstLineChars="0"/>
        <w:jc w:val="both"/>
        <w:rPr>
          <w:rFonts w:ascii="Times New Roman" w:hAnsi="Times New Roman" w:eastAsia="宋体" w:cs="Times New Roman"/>
          <w:snapToGrid w:val="0"/>
        </w:rPr>
      </w:pPr>
      <w:r>
        <w:rPr>
          <w:rFonts w:ascii="Times New Roman" w:hAnsi="Times New Roman" w:eastAsia="宋体" w:cs="宋体"/>
        </w:rPr>
        <w:t>Bonferroni程序；</w:t>
      </w:r>
    </w:p>
    <w:p w14:paraId="6EC69F12">
      <w:pPr>
        <w:pStyle w:val="37"/>
        <w:numPr>
          <w:ilvl w:val="0"/>
          <w:numId w:val="23"/>
        </w:numPr>
        <w:tabs>
          <w:tab w:val="left" w:pos="1430"/>
        </w:tabs>
        <w:adjustRightInd w:val="0"/>
        <w:snapToGrid w:val="0"/>
        <w:spacing w:before="120" w:beforeLines="50" w:line="300" w:lineRule="auto"/>
        <w:ind w:left="1276"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分层封闭测试程序；以及</w:t>
      </w:r>
    </w:p>
    <w:p w14:paraId="54D15F90">
      <w:pPr>
        <w:pStyle w:val="37"/>
        <w:numPr>
          <w:ilvl w:val="0"/>
          <w:numId w:val="23"/>
        </w:numPr>
        <w:tabs>
          <w:tab w:val="left" w:pos="1430"/>
        </w:tabs>
        <w:adjustRightInd w:val="0"/>
        <w:snapToGrid w:val="0"/>
        <w:spacing w:before="120" w:beforeLines="50" w:line="300" w:lineRule="auto"/>
        <w:ind w:left="1276" w:firstLineChars="0"/>
        <w:jc w:val="both"/>
        <w:rPr>
          <w:rFonts w:ascii="Times New Roman" w:hAnsi="Times New Roman" w:eastAsia="宋体" w:cs="Times New Roman"/>
          <w:snapToGrid w:val="0"/>
        </w:rPr>
      </w:pPr>
      <w:r>
        <w:rPr>
          <w:rFonts w:ascii="Times New Roman" w:hAnsi="Times New Roman" w:eastAsia="宋体" w:cs="宋体"/>
        </w:rPr>
        <w:t>Holm递减程序。</w:t>
      </w:r>
    </w:p>
    <w:p w14:paraId="7F4BF20C">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因为此类多样性调整策略中的每一个都涉及平衡不同的潜在优点和缺点，所以本机构建议在设计临床研究和预先限定计划使用的策略时仔细审议各个调整策略。本机构建议的方案预先为计划在标签中表示器械性能的每个次要终点设定一个统计学假设。</w:t>
      </w:r>
    </w:p>
    <w:p w14:paraId="1F91B54A">
      <w:pPr>
        <w:pStyle w:val="39"/>
        <w:rPr>
          <w:rFonts w:eastAsia="宋体"/>
          <w:lang w:eastAsia="zh-CN"/>
        </w:rPr>
      </w:pPr>
      <w:bookmarkStart w:id="24" w:name="_Toc91869254"/>
      <w:r>
        <w:rPr>
          <w:rFonts w:eastAsia="宋体" w:cs="宋体"/>
          <w:lang w:eastAsia="zh-CN"/>
        </w:rPr>
        <w:t>（4）缺失数据</w:t>
      </w:r>
      <w:bookmarkEnd w:id="24"/>
    </w:p>
    <w:p w14:paraId="33E4A655">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FDA拟用以下建议取代现有BPH指南文件第V.N(4)节：</w:t>
      </w:r>
    </w:p>
    <w:p w14:paraId="65CDEB89">
      <w:pPr>
        <w:adjustRightInd w:val="0"/>
        <w:snapToGrid w:val="0"/>
        <w:spacing w:before="120" w:beforeLines="50" w:line="300" w:lineRule="auto"/>
        <w:jc w:val="both"/>
        <w:rPr>
          <w:rFonts w:ascii="Times New Roman" w:hAnsi="Times New Roman" w:eastAsia="宋体" w:cs="宋体"/>
          <w:lang w:eastAsia="zh-CN"/>
        </w:rPr>
      </w:pPr>
      <w:r>
        <w:rPr>
          <w:rFonts w:ascii="Times New Roman" w:hAnsi="Times New Roman" w:eastAsia="宋体" w:cs="宋体"/>
          <w:lang w:eastAsia="zh-CN"/>
        </w:rPr>
        <w:t>缺失数据可能代表潜在偏倚的重要来源。尽管有许多统计学方法可以</w:t>
      </w:r>
      <w:r>
        <w:rPr>
          <w:rFonts w:hint="eastAsia" w:ascii="Times New Roman" w:hAnsi="Times New Roman" w:eastAsia="宋体" w:cs="宋体"/>
          <w:lang w:eastAsia="zh-CN"/>
        </w:rPr>
        <w:t>插补</w:t>
      </w:r>
      <w:r>
        <w:rPr>
          <w:rFonts w:ascii="Times New Roman" w:hAnsi="Times New Roman" w:eastAsia="宋体" w:cs="宋体"/>
          <w:lang w:eastAsia="zh-CN"/>
        </w:rPr>
        <w:t>缺失数据，但过多的缺失数据可能会在结果中引入不可接受的不确定性水平，并使研究结论无效。因此，本机构建议尽一切努力通过试验设计和实施来尽量减少数据丢失的发生率。</w:t>
      </w:r>
      <w:r>
        <w:rPr>
          <w:rFonts w:ascii="Times New Roman" w:hAnsi="Times New Roman" w:eastAsia="宋体" w:cs="宋体"/>
          <w:vertAlign w:val="superscript"/>
          <w:lang w:eastAsia="zh-CN"/>
        </w:rPr>
        <w:t>28</w:t>
      </w:r>
      <w:r>
        <w:rPr>
          <w:rFonts w:ascii="Times New Roman" w:hAnsi="Times New Roman" w:eastAsia="宋体" w:cs="宋体"/>
          <w:lang w:eastAsia="zh-CN"/>
        </w:rPr>
        <w:t>本机构建议的方案包含以下要素。</w:t>
      </w:r>
    </w:p>
    <w:p w14:paraId="27D1CCC0">
      <w:pPr>
        <w:adjustRightInd w:val="0"/>
        <w:snapToGrid w:val="0"/>
        <w:spacing w:before="120" w:beforeLines="50" w:line="300" w:lineRule="auto"/>
        <w:jc w:val="both"/>
        <w:rPr>
          <w:rFonts w:ascii="Times New Roman" w:hAnsi="Times New Roman" w:eastAsia="宋体" w:cs="宋体"/>
          <w:lang w:eastAsia="zh-CN"/>
        </w:rPr>
      </w:pPr>
    </w:p>
    <w:p w14:paraId="36A89D65">
      <w:pPr>
        <w:adjustRightInd w:val="0"/>
        <w:snapToGrid w:val="0"/>
        <w:spacing w:before="120" w:beforeLines="50" w:line="300" w:lineRule="auto"/>
        <w:jc w:val="both"/>
        <w:rPr>
          <w:rFonts w:ascii="Times New Roman" w:hAnsi="Times New Roman" w:eastAsia="宋体" w:cs="宋体"/>
          <w:lang w:eastAsia="zh-CN"/>
        </w:rPr>
      </w:pPr>
    </w:p>
    <w:p w14:paraId="7DAAF5A4">
      <w:pPr>
        <w:adjustRightInd w:val="0"/>
        <w:snapToGrid w:val="0"/>
        <w:spacing w:before="120" w:beforeLines="50" w:line="300" w:lineRule="auto"/>
        <w:jc w:val="both"/>
        <w:rPr>
          <w:rFonts w:ascii="Times New Roman" w:hAnsi="Times New Roman" w:eastAsia="宋体" w:cs="宋体"/>
          <w:lang w:eastAsia="zh-CN"/>
        </w:rPr>
      </w:pPr>
    </w:p>
    <w:p w14:paraId="229E9F7F">
      <w:pPr>
        <w:adjustRightInd w:val="0"/>
        <w:snapToGrid w:val="0"/>
        <w:spacing w:before="120" w:beforeLines="50" w:line="300" w:lineRule="auto"/>
        <w:jc w:val="both"/>
        <w:rPr>
          <w:rFonts w:ascii="Times New Roman" w:hAnsi="Times New Roman" w:eastAsia="宋体" w:cs="宋体"/>
          <w:lang w:eastAsia="zh-CN"/>
        </w:rPr>
      </w:pPr>
    </w:p>
    <w:p w14:paraId="3A599BFC">
      <w:pPr>
        <w:adjustRightInd w:val="0"/>
        <w:snapToGrid w:val="0"/>
        <w:spacing w:before="120" w:beforeLines="50" w:line="300" w:lineRule="auto"/>
        <w:jc w:val="both"/>
        <w:rPr>
          <w:rFonts w:ascii="Times New Roman" w:hAnsi="Times New Roman" w:eastAsia="宋体" w:cs="宋体"/>
          <w:lang w:eastAsia="zh-CN"/>
        </w:rPr>
      </w:pPr>
    </w:p>
    <w:p w14:paraId="1AC1EC04">
      <w:pPr>
        <w:adjustRightInd w:val="0"/>
        <w:snapToGrid w:val="0"/>
        <w:spacing w:before="120" w:beforeLines="50" w:line="300" w:lineRule="auto"/>
        <w:jc w:val="both"/>
        <w:rPr>
          <w:rFonts w:ascii="Times New Roman" w:hAnsi="Times New Roman" w:eastAsia="宋体" w:cs="Times New Roman"/>
          <w:snapToGrid w:val="0"/>
          <w:lang w:eastAsia="zh-CN"/>
        </w:rPr>
      </w:pPr>
    </w:p>
    <w:p w14:paraId="1C880449">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_____________________</w:t>
      </w:r>
    </w:p>
    <w:p w14:paraId="29192C27">
      <w:pPr>
        <w:pStyle w:val="25"/>
        <w:tabs>
          <w:tab w:val="left" w:pos="178"/>
        </w:tabs>
        <w:adjustRightInd w:val="0"/>
        <w:snapToGrid w:val="0"/>
        <w:spacing w:before="36" w:beforeLines="15" w:line="276" w:lineRule="auto"/>
        <w:jc w:val="both"/>
        <w:rPr>
          <w:rFonts w:eastAsia="宋体"/>
          <w:snapToGrid w:val="0"/>
          <w:sz w:val="21"/>
          <w:szCs w:val="21"/>
          <w:lang w:eastAsia="zh-CN"/>
        </w:rPr>
      </w:pPr>
      <w:r>
        <w:rPr>
          <w:rFonts w:eastAsia="宋体" w:cs="宋体"/>
          <w:sz w:val="21"/>
          <w:vertAlign w:val="superscript"/>
          <w:lang w:eastAsia="zh-CN"/>
        </w:rPr>
        <w:t>28</w:t>
      </w:r>
      <w:r>
        <w:rPr>
          <w:rFonts w:eastAsia="宋体" w:cs="宋体"/>
          <w:sz w:val="21"/>
          <w:lang w:eastAsia="zh-CN"/>
        </w:rPr>
        <w:t>美国国家研究委员会</w:t>
      </w:r>
      <w:r>
        <w:rPr>
          <w:rFonts w:hint="eastAsia" w:eastAsia="宋体" w:cs="宋体"/>
          <w:sz w:val="21"/>
          <w:lang w:eastAsia="zh-CN"/>
        </w:rPr>
        <w:t>（2</w:t>
      </w:r>
      <w:r>
        <w:rPr>
          <w:rFonts w:eastAsia="宋体" w:cs="宋体"/>
          <w:sz w:val="21"/>
          <w:lang w:eastAsia="zh-CN"/>
        </w:rPr>
        <w:t>010</w:t>
      </w:r>
      <w:r>
        <w:rPr>
          <w:rFonts w:hint="eastAsia" w:eastAsia="宋体" w:cs="宋体"/>
          <w:sz w:val="21"/>
          <w:lang w:eastAsia="zh-CN"/>
        </w:rPr>
        <w:t>），</w:t>
      </w:r>
      <w:r>
        <w:rPr>
          <w:rFonts w:eastAsia="宋体" w:cs="宋体"/>
          <w:sz w:val="21"/>
          <w:lang w:eastAsia="zh-CN"/>
        </w:rPr>
        <w:t>“临床试验中缺失数据的预防和处理。”临床试验缺失数据处理小组。国家统计委员会，行为和社会科学及教育司。华盛顿特区：国家科学院出版社。</w:t>
      </w:r>
    </w:p>
    <w:p w14:paraId="45BFA085">
      <w:pPr>
        <w:rPr>
          <w:rFonts w:ascii="Times New Roman" w:hAnsi="Times New Roman" w:eastAsia="宋体" w:cs="Times New Roman"/>
          <w:snapToGrid w:val="0"/>
          <w:lang w:eastAsia="zh-CN"/>
        </w:rPr>
      </w:pPr>
      <w:r>
        <w:rPr>
          <w:rFonts w:ascii="Times New Roman" w:hAnsi="Times New Roman" w:eastAsia="宋体" w:cs="宋体"/>
          <w:b/>
          <w:i/>
          <w:lang w:eastAsia="zh-CN"/>
        </w:rPr>
        <w:br w:type="page"/>
      </w:r>
    </w:p>
    <w:p w14:paraId="637DEBAD">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u w:val="single"/>
          <w:lang w:eastAsia="zh-CN"/>
        </w:rPr>
        <w:t>尽量减少漏访和支架脱落的措施：</w:t>
      </w:r>
      <w:r>
        <w:rPr>
          <w:rFonts w:ascii="Times New Roman" w:hAnsi="Times New Roman" w:eastAsia="宋体" w:cs="宋体"/>
          <w:lang w:eastAsia="zh-CN"/>
        </w:rPr>
        <w:t>本机构建议通过研究设计，减少缺失数据。待议策略包括激励患者继续参与研究，例如，用于控制患者在完成随访之后切换到研究器械或评定主要有效性终点的随机化分组（如2:1）方案或选项。本机构建议在方案中说明在研究过程中如何为监测和减少患者支架脱落的发生率，如监测活动、对受试者的特殊激励措施、如何告知受试者受访计划以及具体如何联系漏访的受试者（例如电话、明信片、联系近亲）；以及</w:t>
      </w:r>
    </w:p>
    <w:p w14:paraId="70C7321F">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u w:val="single"/>
          <w:lang w:eastAsia="zh-CN"/>
        </w:rPr>
        <w:t>记录缺失数据原因的工作：</w:t>
      </w:r>
      <w:r>
        <w:rPr>
          <w:rFonts w:hint="eastAsia" w:ascii="Times New Roman" w:hAnsi="Times New Roman" w:eastAsia="宋体" w:cs="宋体"/>
          <w:lang w:eastAsia="zh-CN"/>
        </w:rPr>
        <w:t>本机构</w:t>
      </w:r>
      <w:r>
        <w:rPr>
          <w:rFonts w:ascii="Times New Roman" w:hAnsi="Times New Roman" w:eastAsia="宋体" w:cs="宋体"/>
          <w:lang w:eastAsia="zh-CN"/>
        </w:rPr>
        <w:t>建议确立记录步骤：</w:t>
      </w:r>
    </w:p>
    <w:p w14:paraId="24DACD25">
      <w:pPr>
        <w:pStyle w:val="37"/>
        <w:numPr>
          <w:ilvl w:val="0"/>
          <w:numId w:val="24"/>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每次漏访的原因，例如，并发症、难以到达现场；</w:t>
      </w:r>
    </w:p>
    <w:p w14:paraId="78FCBDE9">
      <w:pPr>
        <w:pStyle w:val="37"/>
        <w:numPr>
          <w:ilvl w:val="0"/>
          <w:numId w:val="24"/>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每次支架脱落的原因，例如，寻求替代治疗、并发症或器械不耐受、对器械不满意、离场；以及</w:t>
      </w:r>
    </w:p>
    <w:p w14:paraId="130E79B3">
      <w:pPr>
        <w:pStyle w:val="37"/>
        <w:numPr>
          <w:ilvl w:val="0"/>
          <w:numId w:val="24"/>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死亡原因，例如尸检报告或死亡证明。</w:t>
      </w:r>
    </w:p>
    <w:p w14:paraId="2D5F8ACA">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为了便于对所有研究中受试者进行全面、详细的统计，本机构建议在研究期间收集关于每个受试者随访状况的完整信息。由于随访失败不利于得出关于器械长期安全性和有效性的结论，因此本机构建议在研究过程中将随访失败率限制在20%以下。</w:t>
      </w:r>
    </w:p>
    <w:p w14:paraId="455C3B27">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方案应规定计划如何处理主要分析中缺失的主要有效性终点数据。为了在主要终点数据缺失的情况下进行ITT分析，本机构建议对缺失数据使用多重插补等现有统计学方法。</w:t>
      </w:r>
      <w:r>
        <w:rPr>
          <w:rFonts w:ascii="Times New Roman" w:hAnsi="Times New Roman" w:eastAsia="宋体" w:cs="宋体"/>
          <w:vertAlign w:val="superscript"/>
          <w:lang w:eastAsia="zh-CN"/>
        </w:rPr>
        <w:t>29</w:t>
      </w:r>
      <w:r>
        <w:rPr>
          <w:rFonts w:ascii="Times New Roman" w:hAnsi="Times New Roman" w:eastAsia="宋体" w:cs="宋体"/>
          <w:lang w:eastAsia="zh-CN"/>
        </w:rPr>
        <w:t>由于此类方法通常涉及关于缺失数据机制的假设，因此应评定假设的合理性。应按照第V.N(2)节所述进行敏感性分析，比较在关于缺失数据机制的各种假设下获得的结果。</w:t>
      </w:r>
    </w:p>
    <w:p w14:paraId="7E5623DA">
      <w:pPr>
        <w:adjustRightInd w:val="0"/>
        <w:snapToGrid w:val="0"/>
        <w:spacing w:before="120" w:beforeLines="50" w:line="300" w:lineRule="auto"/>
        <w:jc w:val="both"/>
        <w:rPr>
          <w:rFonts w:ascii="Times New Roman" w:hAnsi="Times New Roman" w:eastAsia="宋体" w:cs="Times New Roman"/>
          <w:snapToGrid w:val="0"/>
          <w:lang w:eastAsia="zh-CN"/>
        </w:rPr>
      </w:pPr>
    </w:p>
    <w:p w14:paraId="49AA567C">
      <w:pPr>
        <w:adjustRightInd w:val="0"/>
        <w:snapToGrid w:val="0"/>
        <w:spacing w:before="120" w:beforeLines="50" w:line="300" w:lineRule="auto"/>
        <w:jc w:val="both"/>
        <w:rPr>
          <w:rFonts w:ascii="Times New Roman" w:hAnsi="Times New Roman" w:eastAsia="宋体" w:cs="Times New Roman"/>
          <w:snapToGrid w:val="0"/>
          <w:lang w:eastAsia="zh-CN"/>
        </w:rPr>
      </w:pPr>
    </w:p>
    <w:p w14:paraId="26C4A94B">
      <w:pPr>
        <w:adjustRightInd w:val="0"/>
        <w:snapToGrid w:val="0"/>
        <w:spacing w:before="120" w:beforeLines="50" w:line="300" w:lineRule="auto"/>
        <w:jc w:val="both"/>
        <w:rPr>
          <w:rFonts w:ascii="Times New Roman" w:hAnsi="Times New Roman" w:eastAsia="宋体" w:cs="Times New Roman"/>
          <w:snapToGrid w:val="0"/>
          <w:lang w:eastAsia="zh-CN"/>
        </w:rPr>
      </w:pPr>
    </w:p>
    <w:p w14:paraId="619F5858">
      <w:pPr>
        <w:adjustRightInd w:val="0"/>
        <w:snapToGrid w:val="0"/>
        <w:spacing w:before="120" w:beforeLines="50" w:line="300" w:lineRule="auto"/>
        <w:jc w:val="both"/>
        <w:rPr>
          <w:rFonts w:ascii="Times New Roman" w:hAnsi="Times New Roman" w:eastAsia="宋体" w:cs="Times New Roman"/>
          <w:snapToGrid w:val="0"/>
          <w:lang w:eastAsia="zh-CN"/>
        </w:rPr>
      </w:pPr>
    </w:p>
    <w:p w14:paraId="390D075A">
      <w:pPr>
        <w:adjustRightInd w:val="0"/>
        <w:snapToGrid w:val="0"/>
        <w:spacing w:before="120" w:beforeLines="50" w:line="300" w:lineRule="auto"/>
        <w:jc w:val="both"/>
        <w:rPr>
          <w:rFonts w:ascii="Times New Roman" w:hAnsi="Times New Roman" w:eastAsia="宋体" w:cs="Times New Roman"/>
          <w:snapToGrid w:val="0"/>
          <w:lang w:eastAsia="zh-CN"/>
        </w:rPr>
      </w:pPr>
    </w:p>
    <w:p w14:paraId="43DFEA4D">
      <w:pPr>
        <w:adjustRightInd w:val="0"/>
        <w:snapToGrid w:val="0"/>
        <w:spacing w:before="120" w:beforeLines="50" w:line="300" w:lineRule="auto"/>
        <w:jc w:val="both"/>
        <w:rPr>
          <w:rFonts w:ascii="Times New Roman" w:hAnsi="Times New Roman" w:eastAsia="宋体" w:cs="Times New Roman"/>
          <w:snapToGrid w:val="0"/>
          <w:lang w:eastAsia="zh-CN"/>
        </w:rPr>
      </w:pPr>
    </w:p>
    <w:p w14:paraId="002C6751">
      <w:pPr>
        <w:adjustRightInd w:val="0"/>
        <w:snapToGrid w:val="0"/>
        <w:spacing w:before="120" w:beforeLines="50" w:line="300" w:lineRule="auto"/>
        <w:jc w:val="both"/>
        <w:rPr>
          <w:rFonts w:ascii="Times New Roman" w:hAnsi="Times New Roman" w:eastAsia="宋体" w:cs="Times New Roman"/>
          <w:snapToGrid w:val="0"/>
          <w:lang w:eastAsia="zh-CN"/>
        </w:rPr>
      </w:pPr>
    </w:p>
    <w:p w14:paraId="42842BA6">
      <w:pPr>
        <w:adjustRightInd w:val="0"/>
        <w:snapToGrid w:val="0"/>
        <w:spacing w:before="120" w:beforeLines="50" w:line="300" w:lineRule="auto"/>
        <w:jc w:val="both"/>
        <w:rPr>
          <w:rFonts w:ascii="Times New Roman" w:hAnsi="Times New Roman" w:eastAsia="宋体" w:cs="Times New Roman"/>
          <w:snapToGrid w:val="0"/>
          <w:lang w:eastAsia="zh-CN"/>
        </w:rPr>
      </w:pPr>
    </w:p>
    <w:p w14:paraId="638B5300">
      <w:pPr>
        <w:adjustRightInd w:val="0"/>
        <w:snapToGrid w:val="0"/>
        <w:spacing w:before="120" w:beforeLines="50" w:line="300" w:lineRule="auto"/>
        <w:jc w:val="both"/>
        <w:rPr>
          <w:rFonts w:ascii="Times New Roman" w:hAnsi="Times New Roman" w:eastAsia="宋体" w:cs="Times New Roman"/>
          <w:snapToGrid w:val="0"/>
          <w:lang w:eastAsia="zh-CN"/>
        </w:rPr>
      </w:pPr>
    </w:p>
    <w:p w14:paraId="72FC0B1A">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_____________________</w:t>
      </w:r>
    </w:p>
    <w:p w14:paraId="4A42D80F">
      <w:pPr>
        <w:pStyle w:val="25"/>
        <w:tabs>
          <w:tab w:val="left" w:pos="178"/>
        </w:tabs>
        <w:adjustRightInd w:val="0"/>
        <w:snapToGrid w:val="0"/>
        <w:spacing w:before="36" w:beforeLines="15" w:line="276" w:lineRule="auto"/>
        <w:jc w:val="both"/>
        <w:rPr>
          <w:rFonts w:eastAsia="宋体"/>
          <w:snapToGrid w:val="0"/>
          <w:sz w:val="21"/>
          <w:szCs w:val="21"/>
          <w:lang w:eastAsia="zh-CN"/>
        </w:rPr>
      </w:pPr>
      <w:r>
        <w:rPr>
          <w:rFonts w:eastAsia="宋体" w:cs="宋体"/>
          <w:sz w:val="21"/>
          <w:vertAlign w:val="superscript"/>
          <w:lang w:eastAsia="zh-CN"/>
        </w:rPr>
        <w:t>29</w:t>
      </w:r>
      <w:r>
        <w:rPr>
          <w:rFonts w:eastAsia="宋体" w:cs="宋体"/>
          <w:sz w:val="21"/>
          <w:lang w:eastAsia="zh-CN"/>
        </w:rPr>
        <w:t xml:space="preserve"> 美国国家研究委员会</w:t>
      </w:r>
      <w:r>
        <w:rPr>
          <w:rFonts w:hint="eastAsia" w:eastAsia="宋体" w:cs="宋体"/>
          <w:sz w:val="21"/>
          <w:lang w:eastAsia="zh-CN"/>
        </w:rPr>
        <w:t>（2</w:t>
      </w:r>
      <w:r>
        <w:rPr>
          <w:rFonts w:eastAsia="宋体" w:cs="宋体"/>
          <w:sz w:val="21"/>
          <w:lang w:eastAsia="zh-CN"/>
        </w:rPr>
        <w:t>0</w:t>
      </w:r>
      <w:r>
        <w:rPr>
          <w:rFonts w:hint="eastAsia" w:eastAsia="宋体" w:cs="宋体"/>
          <w:sz w:val="21"/>
          <w:lang w:eastAsia="zh-CN"/>
        </w:rPr>
        <w:t>1</w:t>
      </w:r>
      <w:r>
        <w:rPr>
          <w:rFonts w:eastAsia="宋体" w:cs="宋体"/>
          <w:sz w:val="21"/>
          <w:lang w:eastAsia="zh-CN"/>
        </w:rPr>
        <w:t>0</w:t>
      </w:r>
      <w:r>
        <w:rPr>
          <w:rFonts w:hint="eastAsia" w:eastAsia="宋体" w:cs="宋体"/>
          <w:sz w:val="21"/>
          <w:lang w:eastAsia="zh-CN"/>
        </w:rPr>
        <w:t>），</w:t>
      </w:r>
      <w:r>
        <w:rPr>
          <w:rFonts w:eastAsia="宋体" w:cs="宋体"/>
          <w:sz w:val="21"/>
          <w:lang w:eastAsia="zh-CN"/>
        </w:rPr>
        <w:t>“临床试验中缺失数据的预防和处理。”临床试验缺失数据处理小组。国家统计委员会，行为和社会科学及教育司。华盛顿特区：国家科学院出版社。</w:t>
      </w:r>
    </w:p>
    <w:p w14:paraId="01679BC8">
      <w:pPr>
        <w:rPr>
          <w:rFonts w:ascii="Times New Roman" w:hAnsi="Times New Roman" w:eastAsia="宋体" w:cs="Times New Roman"/>
          <w:snapToGrid w:val="0"/>
          <w:lang w:eastAsia="zh-CN"/>
        </w:rPr>
      </w:pPr>
      <w:r>
        <w:rPr>
          <w:rFonts w:ascii="Times New Roman" w:hAnsi="Times New Roman" w:eastAsia="宋体" w:cs="宋体"/>
          <w:lang w:eastAsia="zh-CN"/>
        </w:rPr>
        <w:br w:type="page"/>
      </w:r>
    </w:p>
    <w:p w14:paraId="7ED00372">
      <w:pPr>
        <w:pStyle w:val="34"/>
        <w:rPr>
          <w:rFonts w:eastAsia="宋体"/>
          <w:lang w:eastAsia="zh-CN"/>
        </w:rPr>
      </w:pPr>
      <w:bookmarkStart w:id="25" w:name="_Toc91869255"/>
      <w:r>
        <w:rPr>
          <w:rFonts w:eastAsia="宋体" w:cs="宋体"/>
          <w:lang w:eastAsia="zh-CN"/>
        </w:rPr>
        <w:t>附录1</w:t>
      </w:r>
      <w:bookmarkEnd w:id="25"/>
    </w:p>
    <w:p w14:paraId="0D212AAC">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FDA拟将现有BPH指南文件附录1中的表格替换为下表：</w:t>
      </w:r>
    </w:p>
    <w:tbl>
      <w:tblPr>
        <w:tblStyle w:val="11"/>
        <w:tblW w:w="0" w:type="auto"/>
        <w:jc w:val="center"/>
        <w:tblLayout w:type="fixed"/>
        <w:tblCellMar>
          <w:top w:w="0" w:type="dxa"/>
          <w:left w:w="108" w:type="dxa"/>
          <w:bottom w:w="0" w:type="dxa"/>
          <w:right w:w="108" w:type="dxa"/>
        </w:tblCellMar>
      </w:tblPr>
      <w:tblGrid>
        <w:gridCol w:w="3493"/>
        <w:gridCol w:w="4907"/>
      </w:tblGrid>
      <w:tr w14:paraId="1FCA8278">
        <w:tblPrEx>
          <w:tblCellMar>
            <w:top w:w="0" w:type="dxa"/>
            <w:left w:w="108" w:type="dxa"/>
            <w:bottom w:w="0" w:type="dxa"/>
            <w:right w:w="108" w:type="dxa"/>
          </w:tblCellMar>
        </w:tblPrEx>
        <w:trPr>
          <w:jc w:val="center"/>
        </w:trPr>
        <w:tc>
          <w:tcPr>
            <w:tcW w:w="3493" w:type="dxa"/>
            <w:tcBorders>
              <w:top w:val="single" w:color="auto" w:sz="4" w:space="0"/>
              <w:left w:val="single" w:color="auto" w:sz="4" w:space="0"/>
            </w:tcBorders>
            <w:shd w:val="clear" w:color="auto" w:fill="FFFFFF"/>
            <w:vAlign w:val="center"/>
          </w:tcPr>
          <w:p w14:paraId="4C6ECA0C">
            <w:pPr>
              <w:pStyle w:val="21"/>
              <w:adjustRightInd w:val="0"/>
              <w:snapToGrid w:val="0"/>
              <w:spacing w:before="36" w:beforeLines="15" w:after="0" w:line="276" w:lineRule="auto"/>
              <w:jc w:val="center"/>
              <w:rPr>
                <w:snapToGrid w:val="0"/>
                <w:sz w:val="21"/>
                <w:szCs w:val="21"/>
              </w:rPr>
            </w:pPr>
            <w:r>
              <w:rPr>
                <w:rFonts w:eastAsia="宋体" w:cs="宋体"/>
                <w:b/>
                <w:sz w:val="21"/>
              </w:rPr>
              <w:t>偏倚来源</w:t>
            </w:r>
          </w:p>
        </w:tc>
        <w:tc>
          <w:tcPr>
            <w:tcW w:w="4907" w:type="dxa"/>
            <w:tcBorders>
              <w:top w:val="single" w:color="auto" w:sz="4" w:space="0"/>
              <w:left w:val="single" w:color="auto" w:sz="4" w:space="0"/>
              <w:right w:val="single" w:color="auto" w:sz="4" w:space="0"/>
            </w:tcBorders>
            <w:shd w:val="clear" w:color="auto" w:fill="FFFFFF"/>
            <w:vAlign w:val="center"/>
          </w:tcPr>
          <w:p w14:paraId="514A05BA">
            <w:pPr>
              <w:pStyle w:val="21"/>
              <w:adjustRightInd w:val="0"/>
              <w:snapToGrid w:val="0"/>
              <w:spacing w:before="36" w:beforeLines="15" w:after="0" w:line="276" w:lineRule="auto"/>
              <w:jc w:val="both"/>
              <w:rPr>
                <w:snapToGrid w:val="0"/>
                <w:sz w:val="21"/>
                <w:szCs w:val="21"/>
              </w:rPr>
            </w:pPr>
            <w:r>
              <w:rPr>
                <w:rFonts w:eastAsia="宋体" w:cs="宋体"/>
                <w:b/>
                <w:sz w:val="21"/>
              </w:rPr>
              <w:t>常见</w:t>
            </w:r>
            <w:r>
              <w:rPr>
                <w:rFonts w:hint="eastAsia" w:eastAsia="宋体" w:cs="宋体"/>
                <w:b/>
                <w:sz w:val="21"/>
                <w:lang w:eastAsia="zh-CN"/>
              </w:rPr>
              <w:t>减小</w:t>
            </w:r>
            <w:r>
              <w:rPr>
                <w:rFonts w:eastAsia="宋体" w:cs="宋体"/>
                <w:b/>
                <w:sz w:val="21"/>
              </w:rPr>
              <w:t>偏倚的方法</w:t>
            </w:r>
          </w:p>
        </w:tc>
      </w:tr>
      <w:tr w14:paraId="51921FE8">
        <w:tblPrEx>
          <w:tblCellMar>
            <w:top w:w="0" w:type="dxa"/>
            <w:left w:w="108" w:type="dxa"/>
            <w:bottom w:w="0" w:type="dxa"/>
            <w:right w:w="108" w:type="dxa"/>
          </w:tblCellMar>
        </w:tblPrEx>
        <w:trPr>
          <w:jc w:val="center"/>
        </w:trPr>
        <w:tc>
          <w:tcPr>
            <w:tcW w:w="3493" w:type="dxa"/>
            <w:tcBorders>
              <w:top w:val="single" w:color="auto" w:sz="4" w:space="0"/>
              <w:left w:val="single" w:color="auto" w:sz="4" w:space="0"/>
            </w:tcBorders>
            <w:shd w:val="clear" w:color="auto" w:fill="FFFFFF"/>
            <w:vAlign w:val="bottom"/>
          </w:tcPr>
          <w:p w14:paraId="36FBFD87">
            <w:pPr>
              <w:pStyle w:val="21"/>
              <w:adjustRightInd w:val="0"/>
              <w:snapToGrid w:val="0"/>
              <w:spacing w:before="36" w:beforeLines="15" w:after="0" w:line="276" w:lineRule="auto"/>
              <w:jc w:val="both"/>
              <w:rPr>
                <w:snapToGrid w:val="0"/>
                <w:sz w:val="21"/>
                <w:szCs w:val="21"/>
                <w:lang w:eastAsia="zh-CN"/>
              </w:rPr>
            </w:pPr>
            <w:r>
              <w:rPr>
                <w:rFonts w:eastAsia="宋体" w:cs="宋体"/>
                <w:sz w:val="21"/>
                <w:lang w:eastAsia="zh-CN"/>
              </w:rPr>
              <w:t>当具有一个或多个重要预后因素的患者在其中一个对照组中出现的频率高于其他对照组时，就会出现</w:t>
            </w:r>
            <w:r>
              <w:rPr>
                <w:rFonts w:eastAsia="宋体" w:cs="宋体"/>
                <w:b/>
                <w:sz w:val="21"/>
                <w:lang w:eastAsia="zh-CN"/>
              </w:rPr>
              <w:t>选择偏倚</w:t>
            </w:r>
            <w:r>
              <w:rPr>
                <w:rFonts w:eastAsia="宋体" w:cs="宋体"/>
                <w:sz w:val="21"/>
                <w:lang w:eastAsia="zh-CN"/>
              </w:rPr>
              <w:t>。</w:t>
            </w:r>
          </w:p>
        </w:tc>
        <w:tc>
          <w:tcPr>
            <w:tcW w:w="4907" w:type="dxa"/>
            <w:tcBorders>
              <w:top w:val="single" w:color="auto" w:sz="4" w:space="0"/>
              <w:left w:val="single" w:color="auto" w:sz="4" w:space="0"/>
              <w:right w:val="single" w:color="auto" w:sz="4" w:space="0"/>
            </w:tcBorders>
            <w:shd w:val="clear" w:color="auto" w:fill="FFFFFF"/>
            <w:vAlign w:val="center"/>
          </w:tcPr>
          <w:p w14:paraId="7C39E5E7">
            <w:pPr>
              <w:pStyle w:val="21"/>
              <w:numPr>
                <w:ilvl w:val="0"/>
                <w:numId w:val="25"/>
              </w:numPr>
              <w:tabs>
                <w:tab w:val="left" w:pos="610"/>
              </w:tabs>
              <w:adjustRightInd w:val="0"/>
              <w:snapToGrid w:val="0"/>
              <w:spacing w:before="36" w:beforeLines="15" w:after="0" w:line="276" w:lineRule="auto"/>
              <w:jc w:val="both"/>
              <w:rPr>
                <w:rFonts w:eastAsia="宋体"/>
                <w:snapToGrid w:val="0"/>
                <w:sz w:val="21"/>
                <w:szCs w:val="21"/>
              </w:rPr>
            </w:pPr>
            <w:r>
              <w:rPr>
                <w:rFonts w:eastAsia="宋体" w:cs="宋体"/>
                <w:sz w:val="21"/>
              </w:rPr>
              <w:t>随机化</w:t>
            </w:r>
          </w:p>
          <w:p w14:paraId="5435C228">
            <w:pPr>
              <w:pStyle w:val="21"/>
              <w:numPr>
                <w:ilvl w:val="0"/>
                <w:numId w:val="25"/>
              </w:numPr>
              <w:tabs>
                <w:tab w:val="left" w:pos="620"/>
              </w:tabs>
              <w:adjustRightInd w:val="0"/>
              <w:snapToGrid w:val="0"/>
              <w:spacing w:before="36" w:beforeLines="15" w:after="0" w:line="276" w:lineRule="auto"/>
              <w:jc w:val="both"/>
              <w:rPr>
                <w:rFonts w:eastAsia="宋体"/>
                <w:snapToGrid w:val="0"/>
                <w:sz w:val="21"/>
                <w:szCs w:val="21"/>
              </w:rPr>
            </w:pPr>
            <w:r>
              <w:rPr>
                <w:rFonts w:eastAsia="宋体" w:cs="宋体"/>
                <w:sz w:val="21"/>
              </w:rPr>
              <w:t>客观诊断和</w:t>
            </w:r>
            <w:r>
              <w:rPr>
                <w:rFonts w:hint="eastAsia" w:eastAsia="宋体" w:cs="宋体"/>
                <w:sz w:val="21"/>
                <w:lang w:eastAsia="zh-CN"/>
              </w:rPr>
              <w:t>结局</w:t>
            </w:r>
            <w:r>
              <w:rPr>
                <w:rFonts w:eastAsia="宋体" w:cs="宋体"/>
                <w:sz w:val="21"/>
              </w:rPr>
              <w:t>指标</w:t>
            </w:r>
          </w:p>
          <w:p w14:paraId="2D666075">
            <w:pPr>
              <w:pStyle w:val="21"/>
              <w:numPr>
                <w:ilvl w:val="0"/>
                <w:numId w:val="25"/>
              </w:numPr>
              <w:tabs>
                <w:tab w:val="left" w:pos="610"/>
              </w:tabs>
              <w:adjustRightInd w:val="0"/>
              <w:snapToGrid w:val="0"/>
              <w:spacing w:before="36" w:beforeLines="15" w:after="0" w:line="276" w:lineRule="auto"/>
              <w:jc w:val="both"/>
              <w:rPr>
                <w:rFonts w:eastAsia="宋体"/>
                <w:snapToGrid w:val="0"/>
                <w:sz w:val="21"/>
                <w:szCs w:val="21"/>
              </w:rPr>
            </w:pPr>
            <w:r>
              <w:rPr>
                <w:rFonts w:eastAsia="宋体" w:cs="宋体"/>
                <w:sz w:val="21"/>
              </w:rPr>
              <w:t>同质研究人群</w:t>
            </w:r>
          </w:p>
          <w:p w14:paraId="4B8F3FDF">
            <w:pPr>
              <w:pStyle w:val="21"/>
              <w:numPr>
                <w:ilvl w:val="0"/>
                <w:numId w:val="25"/>
              </w:numPr>
              <w:tabs>
                <w:tab w:val="left" w:pos="610"/>
              </w:tabs>
              <w:adjustRightInd w:val="0"/>
              <w:snapToGrid w:val="0"/>
              <w:spacing w:before="36" w:beforeLines="15" w:after="0" w:line="276" w:lineRule="auto"/>
              <w:jc w:val="both"/>
              <w:rPr>
                <w:snapToGrid w:val="0"/>
                <w:sz w:val="21"/>
                <w:szCs w:val="21"/>
                <w:lang w:eastAsia="zh-CN"/>
              </w:rPr>
            </w:pPr>
            <w:r>
              <w:rPr>
                <w:rFonts w:eastAsia="宋体" w:cs="宋体"/>
                <w:sz w:val="21"/>
                <w:lang w:eastAsia="zh-CN"/>
              </w:rPr>
              <w:t>预定的方案、终点和统计学计划</w:t>
            </w:r>
          </w:p>
        </w:tc>
      </w:tr>
      <w:tr w14:paraId="2059406F">
        <w:tblPrEx>
          <w:tblCellMar>
            <w:top w:w="0" w:type="dxa"/>
            <w:left w:w="108" w:type="dxa"/>
            <w:bottom w:w="0" w:type="dxa"/>
            <w:right w:w="108" w:type="dxa"/>
          </w:tblCellMar>
        </w:tblPrEx>
        <w:trPr>
          <w:jc w:val="center"/>
        </w:trPr>
        <w:tc>
          <w:tcPr>
            <w:tcW w:w="3493" w:type="dxa"/>
            <w:tcBorders>
              <w:top w:val="single" w:color="auto" w:sz="4" w:space="0"/>
              <w:left w:val="single" w:color="auto" w:sz="4" w:space="0"/>
            </w:tcBorders>
            <w:shd w:val="clear" w:color="auto" w:fill="FFFFFF"/>
            <w:vAlign w:val="bottom"/>
          </w:tcPr>
          <w:p w14:paraId="6DDEF593">
            <w:pPr>
              <w:pStyle w:val="21"/>
              <w:adjustRightInd w:val="0"/>
              <w:snapToGrid w:val="0"/>
              <w:spacing w:before="36" w:beforeLines="15" w:after="0" w:line="276" w:lineRule="auto"/>
              <w:jc w:val="both"/>
              <w:rPr>
                <w:snapToGrid w:val="0"/>
                <w:sz w:val="21"/>
                <w:szCs w:val="21"/>
                <w:lang w:eastAsia="zh-CN"/>
              </w:rPr>
            </w:pPr>
            <w:r>
              <w:rPr>
                <w:rFonts w:eastAsia="宋体" w:cs="宋体"/>
                <w:sz w:val="21"/>
                <w:lang w:eastAsia="zh-CN"/>
              </w:rPr>
              <w:t>当研究员有意或无意地偏袒一个研究组而牺牲其他研究组时，就会出现</w:t>
            </w:r>
            <w:r>
              <w:rPr>
                <w:rFonts w:eastAsia="宋体" w:cs="宋体"/>
                <w:b/>
                <w:sz w:val="21"/>
                <w:lang w:eastAsia="zh-CN"/>
              </w:rPr>
              <w:t>研究员偏倚</w:t>
            </w:r>
            <w:r>
              <w:rPr>
                <w:rFonts w:eastAsia="宋体" w:cs="宋体"/>
                <w:sz w:val="21"/>
                <w:lang w:eastAsia="zh-CN"/>
              </w:rPr>
              <w:t>。</w:t>
            </w:r>
          </w:p>
        </w:tc>
        <w:tc>
          <w:tcPr>
            <w:tcW w:w="4907" w:type="dxa"/>
            <w:tcBorders>
              <w:top w:val="single" w:color="auto" w:sz="4" w:space="0"/>
              <w:left w:val="single" w:color="auto" w:sz="4" w:space="0"/>
              <w:right w:val="single" w:color="auto" w:sz="4" w:space="0"/>
            </w:tcBorders>
            <w:shd w:val="clear" w:color="auto" w:fill="FFFFFF"/>
            <w:vAlign w:val="center"/>
          </w:tcPr>
          <w:p w14:paraId="1D7FF0A1">
            <w:pPr>
              <w:pStyle w:val="21"/>
              <w:numPr>
                <w:ilvl w:val="0"/>
                <w:numId w:val="25"/>
              </w:numPr>
              <w:tabs>
                <w:tab w:val="left" w:pos="610"/>
              </w:tabs>
              <w:adjustRightInd w:val="0"/>
              <w:snapToGrid w:val="0"/>
              <w:spacing w:before="36" w:beforeLines="15" w:after="0" w:line="276" w:lineRule="auto"/>
              <w:jc w:val="both"/>
              <w:rPr>
                <w:rFonts w:eastAsia="宋体"/>
                <w:snapToGrid w:val="0"/>
                <w:sz w:val="21"/>
                <w:szCs w:val="21"/>
              </w:rPr>
            </w:pPr>
            <w:r>
              <w:rPr>
                <w:rFonts w:eastAsia="宋体" w:cs="宋体"/>
                <w:sz w:val="21"/>
              </w:rPr>
              <w:t>设盲</w:t>
            </w:r>
          </w:p>
          <w:p w14:paraId="503F1D70">
            <w:pPr>
              <w:pStyle w:val="21"/>
              <w:numPr>
                <w:ilvl w:val="0"/>
                <w:numId w:val="25"/>
              </w:numPr>
              <w:tabs>
                <w:tab w:val="left" w:pos="610"/>
              </w:tabs>
              <w:adjustRightInd w:val="0"/>
              <w:snapToGrid w:val="0"/>
              <w:spacing w:before="36" w:beforeLines="15" w:after="0" w:line="276" w:lineRule="auto"/>
              <w:jc w:val="both"/>
              <w:rPr>
                <w:snapToGrid w:val="0"/>
                <w:sz w:val="21"/>
                <w:szCs w:val="21"/>
                <w:lang w:eastAsia="zh-CN"/>
              </w:rPr>
            </w:pPr>
            <w:r>
              <w:rPr>
                <w:rFonts w:eastAsia="宋体" w:cs="宋体"/>
                <w:sz w:val="21"/>
                <w:lang w:eastAsia="zh-CN"/>
              </w:rPr>
              <w:t>预定的方案、终点和统计学计划</w:t>
            </w:r>
          </w:p>
        </w:tc>
      </w:tr>
      <w:tr w14:paraId="7F4EE0DC">
        <w:tblPrEx>
          <w:tblCellMar>
            <w:top w:w="0" w:type="dxa"/>
            <w:left w:w="108" w:type="dxa"/>
            <w:bottom w:w="0" w:type="dxa"/>
            <w:right w:w="108" w:type="dxa"/>
          </w:tblCellMar>
        </w:tblPrEx>
        <w:trPr>
          <w:jc w:val="center"/>
        </w:trPr>
        <w:tc>
          <w:tcPr>
            <w:tcW w:w="3493" w:type="dxa"/>
            <w:tcBorders>
              <w:top w:val="single" w:color="auto" w:sz="4" w:space="0"/>
              <w:left w:val="single" w:color="auto" w:sz="4" w:space="0"/>
            </w:tcBorders>
            <w:shd w:val="clear" w:color="auto" w:fill="FFFFFF"/>
            <w:vAlign w:val="bottom"/>
          </w:tcPr>
          <w:p w14:paraId="1B09A7A3">
            <w:pPr>
              <w:pStyle w:val="21"/>
              <w:adjustRightInd w:val="0"/>
              <w:snapToGrid w:val="0"/>
              <w:spacing w:before="36" w:beforeLines="15" w:after="0" w:line="276" w:lineRule="auto"/>
              <w:jc w:val="both"/>
              <w:rPr>
                <w:snapToGrid w:val="0"/>
                <w:sz w:val="21"/>
                <w:szCs w:val="21"/>
                <w:lang w:eastAsia="zh-CN"/>
              </w:rPr>
            </w:pPr>
            <w:r>
              <w:rPr>
                <w:rFonts w:eastAsia="宋体" w:cs="宋体"/>
                <w:b/>
                <w:sz w:val="21"/>
                <w:lang w:eastAsia="zh-CN"/>
              </w:rPr>
              <w:t>评价者偏倚</w:t>
            </w:r>
            <w:r>
              <w:rPr>
                <w:rFonts w:eastAsia="宋体" w:cs="宋体"/>
                <w:sz w:val="21"/>
                <w:lang w:eastAsia="zh-CN"/>
              </w:rPr>
              <w:t>其实是一种研究员偏倚，当测量结局变量的人有意或无意地记录了有利于一种干预而不太利于另一种干预的测量结果时就会发生评价者偏倚。具有主观终点（如生活质量）的研究特别容易受到这种形式偏倚的影响。</w:t>
            </w:r>
          </w:p>
        </w:tc>
        <w:tc>
          <w:tcPr>
            <w:tcW w:w="4907" w:type="dxa"/>
            <w:tcBorders>
              <w:top w:val="single" w:color="auto" w:sz="4" w:space="0"/>
              <w:left w:val="single" w:color="auto" w:sz="4" w:space="0"/>
              <w:right w:val="single" w:color="auto" w:sz="4" w:space="0"/>
            </w:tcBorders>
            <w:shd w:val="clear" w:color="auto" w:fill="FFFFFF"/>
            <w:vAlign w:val="center"/>
          </w:tcPr>
          <w:p w14:paraId="5C70CC5D">
            <w:pPr>
              <w:pStyle w:val="21"/>
              <w:numPr>
                <w:ilvl w:val="0"/>
                <w:numId w:val="25"/>
              </w:numPr>
              <w:tabs>
                <w:tab w:val="left" w:pos="610"/>
              </w:tabs>
              <w:adjustRightInd w:val="0"/>
              <w:snapToGrid w:val="0"/>
              <w:spacing w:before="36" w:beforeLines="15" w:after="0" w:line="276" w:lineRule="auto"/>
              <w:jc w:val="both"/>
              <w:rPr>
                <w:rFonts w:eastAsia="宋体"/>
                <w:snapToGrid w:val="0"/>
                <w:sz w:val="21"/>
                <w:szCs w:val="21"/>
              </w:rPr>
            </w:pPr>
            <w:r>
              <w:rPr>
                <w:rFonts w:eastAsia="宋体" w:cs="宋体"/>
                <w:sz w:val="21"/>
              </w:rPr>
              <w:t>设盲</w:t>
            </w:r>
          </w:p>
          <w:p w14:paraId="6E5CF5CE">
            <w:pPr>
              <w:pStyle w:val="21"/>
              <w:numPr>
                <w:ilvl w:val="0"/>
                <w:numId w:val="25"/>
              </w:numPr>
              <w:tabs>
                <w:tab w:val="left" w:pos="620"/>
              </w:tabs>
              <w:adjustRightInd w:val="0"/>
              <w:snapToGrid w:val="0"/>
              <w:spacing w:before="36" w:beforeLines="15" w:after="0" w:line="276" w:lineRule="auto"/>
              <w:jc w:val="both"/>
              <w:rPr>
                <w:snapToGrid w:val="0"/>
                <w:sz w:val="21"/>
                <w:szCs w:val="21"/>
              </w:rPr>
            </w:pPr>
            <w:r>
              <w:rPr>
                <w:rFonts w:eastAsia="宋体" w:cs="宋体"/>
                <w:sz w:val="21"/>
              </w:rPr>
              <w:t>客观诊断和结局指标</w:t>
            </w:r>
          </w:p>
        </w:tc>
      </w:tr>
      <w:tr w14:paraId="6F12A81A">
        <w:tblPrEx>
          <w:tblCellMar>
            <w:top w:w="0" w:type="dxa"/>
            <w:left w:w="108" w:type="dxa"/>
            <w:bottom w:w="0" w:type="dxa"/>
            <w:right w:w="108" w:type="dxa"/>
          </w:tblCellMar>
        </w:tblPrEx>
        <w:trPr>
          <w:jc w:val="center"/>
        </w:trPr>
        <w:tc>
          <w:tcPr>
            <w:tcW w:w="3493" w:type="dxa"/>
            <w:tcBorders>
              <w:top w:val="single" w:color="auto" w:sz="4" w:space="0"/>
              <w:left w:val="single" w:color="auto" w:sz="4" w:space="0"/>
            </w:tcBorders>
            <w:shd w:val="clear" w:color="auto" w:fill="FFFFFF"/>
            <w:vAlign w:val="bottom"/>
          </w:tcPr>
          <w:p w14:paraId="10155009">
            <w:pPr>
              <w:pStyle w:val="21"/>
              <w:adjustRightInd w:val="0"/>
              <w:snapToGrid w:val="0"/>
              <w:spacing w:before="36" w:beforeLines="15" w:after="0" w:line="276" w:lineRule="auto"/>
              <w:jc w:val="both"/>
              <w:rPr>
                <w:snapToGrid w:val="0"/>
                <w:sz w:val="21"/>
                <w:szCs w:val="21"/>
                <w:lang w:eastAsia="zh-CN"/>
              </w:rPr>
            </w:pPr>
            <w:r>
              <w:rPr>
                <w:rFonts w:eastAsia="宋体" w:cs="宋体"/>
                <w:b/>
                <w:sz w:val="21"/>
                <w:lang w:eastAsia="zh-CN"/>
              </w:rPr>
              <w:t>安慰剂或假效应</w:t>
            </w:r>
            <w:r>
              <w:rPr>
                <w:rFonts w:eastAsia="宋体" w:cs="宋体"/>
                <w:sz w:val="21"/>
                <w:lang w:eastAsia="zh-CN"/>
              </w:rPr>
              <w:t>也是一种偏倚，当暴露于非活性治疗的患者认为其正在接受干预治疗，并随后显示或报告改善措施时，就会发生这种偏倚。</w:t>
            </w:r>
          </w:p>
        </w:tc>
        <w:tc>
          <w:tcPr>
            <w:tcW w:w="4907" w:type="dxa"/>
            <w:tcBorders>
              <w:top w:val="single" w:color="auto" w:sz="4" w:space="0"/>
              <w:left w:val="single" w:color="auto" w:sz="4" w:space="0"/>
              <w:right w:val="single" w:color="auto" w:sz="4" w:space="0"/>
            </w:tcBorders>
            <w:shd w:val="clear" w:color="auto" w:fill="FFFFFF"/>
            <w:vAlign w:val="center"/>
          </w:tcPr>
          <w:p w14:paraId="1CAC2357">
            <w:pPr>
              <w:pStyle w:val="21"/>
              <w:numPr>
                <w:ilvl w:val="0"/>
                <w:numId w:val="25"/>
              </w:numPr>
              <w:tabs>
                <w:tab w:val="left" w:pos="615"/>
              </w:tabs>
              <w:adjustRightInd w:val="0"/>
              <w:snapToGrid w:val="0"/>
              <w:spacing w:before="36" w:beforeLines="15" w:after="0" w:line="276" w:lineRule="auto"/>
              <w:jc w:val="both"/>
              <w:rPr>
                <w:rFonts w:eastAsia="宋体"/>
                <w:snapToGrid w:val="0"/>
                <w:sz w:val="21"/>
                <w:szCs w:val="21"/>
              </w:rPr>
            </w:pPr>
            <w:r>
              <w:rPr>
                <w:rFonts w:eastAsia="宋体" w:cs="宋体"/>
                <w:sz w:val="21"/>
              </w:rPr>
              <w:t>纳入假对照组</w:t>
            </w:r>
          </w:p>
          <w:p w14:paraId="12D491AE">
            <w:pPr>
              <w:pStyle w:val="21"/>
              <w:numPr>
                <w:ilvl w:val="0"/>
                <w:numId w:val="25"/>
              </w:numPr>
              <w:tabs>
                <w:tab w:val="left" w:pos="610"/>
              </w:tabs>
              <w:adjustRightInd w:val="0"/>
              <w:snapToGrid w:val="0"/>
              <w:spacing w:before="36" w:beforeLines="15" w:after="0" w:line="276" w:lineRule="auto"/>
              <w:jc w:val="both"/>
              <w:rPr>
                <w:rFonts w:eastAsia="宋体"/>
                <w:snapToGrid w:val="0"/>
                <w:sz w:val="21"/>
                <w:szCs w:val="21"/>
              </w:rPr>
            </w:pPr>
            <w:r>
              <w:rPr>
                <w:rFonts w:eastAsia="宋体" w:cs="宋体"/>
                <w:sz w:val="21"/>
              </w:rPr>
              <w:t>随机化</w:t>
            </w:r>
          </w:p>
          <w:p w14:paraId="7FE58837">
            <w:pPr>
              <w:pStyle w:val="21"/>
              <w:numPr>
                <w:ilvl w:val="0"/>
                <w:numId w:val="25"/>
              </w:numPr>
              <w:tabs>
                <w:tab w:val="left" w:pos="610"/>
              </w:tabs>
              <w:adjustRightInd w:val="0"/>
              <w:snapToGrid w:val="0"/>
              <w:spacing w:before="36" w:beforeLines="15" w:after="0" w:line="276" w:lineRule="auto"/>
              <w:jc w:val="both"/>
              <w:rPr>
                <w:rFonts w:eastAsia="宋体"/>
                <w:snapToGrid w:val="0"/>
                <w:sz w:val="21"/>
                <w:szCs w:val="21"/>
              </w:rPr>
            </w:pPr>
            <w:r>
              <w:rPr>
                <w:rFonts w:eastAsia="宋体" w:cs="宋体"/>
                <w:sz w:val="21"/>
              </w:rPr>
              <w:t>设盲</w:t>
            </w:r>
          </w:p>
          <w:p w14:paraId="23A7952D">
            <w:pPr>
              <w:pStyle w:val="21"/>
              <w:numPr>
                <w:ilvl w:val="0"/>
                <w:numId w:val="25"/>
              </w:numPr>
              <w:tabs>
                <w:tab w:val="left" w:pos="620"/>
              </w:tabs>
              <w:adjustRightInd w:val="0"/>
              <w:snapToGrid w:val="0"/>
              <w:spacing w:before="36" w:beforeLines="15" w:after="0" w:line="276" w:lineRule="auto"/>
              <w:jc w:val="both"/>
              <w:rPr>
                <w:snapToGrid w:val="0"/>
                <w:sz w:val="21"/>
                <w:szCs w:val="21"/>
              </w:rPr>
            </w:pPr>
            <w:r>
              <w:rPr>
                <w:rFonts w:eastAsia="宋体" w:cs="宋体"/>
                <w:sz w:val="21"/>
              </w:rPr>
              <w:t>客观诊断和</w:t>
            </w:r>
            <w:r>
              <w:rPr>
                <w:rFonts w:hint="eastAsia" w:eastAsia="宋体" w:cs="宋体"/>
                <w:sz w:val="21"/>
                <w:lang w:eastAsia="zh-CN"/>
              </w:rPr>
              <w:t>结局</w:t>
            </w:r>
            <w:r>
              <w:rPr>
                <w:rFonts w:eastAsia="宋体" w:cs="宋体"/>
                <w:sz w:val="21"/>
              </w:rPr>
              <w:t>指标</w:t>
            </w:r>
          </w:p>
        </w:tc>
      </w:tr>
      <w:tr w14:paraId="0BD5B02F">
        <w:tblPrEx>
          <w:tblCellMar>
            <w:top w:w="0" w:type="dxa"/>
            <w:left w:w="108" w:type="dxa"/>
            <w:bottom w:w="0" w:type="dxa"/>
            <w:right w:w="108" w:type="dxa"/>
          </w:tblCellMar>
        </w:tblPrEx>
        <w:trPr>
          <w:jc w:val="center"/>
        </w:trPr>
        <w:tc>
          <w:tcPr>
            <w:tcW w:w="3493" w:type="dxa"/>
            <w:tcBorders>
              <w:top w:val="single" w:color="auto" w:sz="4" w:space="0"/>
              <w:left w:val="single" w:color="auto" w:sz="4" w:space="0"/>
              <w:bottom w:val="single" w:color="auto" w:sz="4" w:space="0"/>
            </w:tcBorders>
            <w:shd w:val="clear" w:color="auto" w:fill="FFFFFF"/>
            <w:vAlign w:val="center"/>
          </w:tcPr>
          <w:p w14:paraId="39C7D599">
            <w:pPr>
              <w:pStyle w:val="21"/>
              <w:adjustRightInd w:val="0"/>
              <w:snapToGrid w:val="0"/>
              <w:spacing w:before="36" w:beforeLines="15" w:after="0" w:line="276" w:lineRule="auto"/>
              <w:jc w:val="both"/>
              <w:rPr>
                <w:snapToGrid w:val="0"/>
                <w:sz w:val="21"/>
                <w:szCs w:val="21"/>
                <w:lang w:eastAsia="zh-CN"/>
              </w:rPr>
            </w:pPr>
            <w:r>
              <w:rPr>
                <w:rFonts w:eastAsia="宋体" w:cs="宋体"/>
                <w:sz w:val="21"/>
                <w:lang w:eastAsia="zh-CN"/>
              </w:rPr>
              <w:t>当未报告随访受试者出现与报告随访受试者不同的结局时，</w:t>
            </w:r>
            <w:r>
              <w:rPr>
                <w:rFonts w:eastAsia="宋体" w:cs="宋体"/>
                <w:b/>
                <w:sz w:val="21"/>
                <w:lang w:eastAsia="zh-CN"/>
              </w:rPr>
              <w:t>缺失数据</w:t>
            </w:r>
            <w:r>
              <w:rPr>
                <w:rFonts w:eastAsia="宋体" w:cs="宋体"/>
                <w:sz w:val="21"/>
                <w:lang w:eastAsia="zh-CN"/>
              </w:rPr>
              <w:t>可能会引入偏倚。</w:t>
            </w:r>
          </w:p>
        </w:tc>
        <w:tc>
          <w:tcPr>
            <w:tcW w:w="4907" w:type="dxa"/>
            <w:tcBorders>
              <w:top w:val="single" w:color="auto" w:sz="4" w:space="0"/>
              <w:left w:val="single" w:color="auto" w:sz="4" w:space="0"/>
              <w:bottom w:val="single" w:color="auto" w:sz="4" w:space="0"/>
              <w:right w:val="single" w:color="auto" w:sz="4" w:space="0"/>
            </w:tcBorders>
            <w:shd w:val="clear" w:color="auto" w:fill="FFFFFF"/>
            <w:vAlign w:val="center"/>
          </w:tcPr>
          <w:p w14:paraId="425A14A4">
            <w:pPr>
              <w:pStyle w:val="21"/>
              <w:numPr>
                <w:ilvl w:val="0"/>
                <w:numId w:val="25"/>
              </w:numPr>
              <w:tabs>
                <w:tab w:val="left" w:pos="620"/>
              </w:tabs>
              <w:adjustRightInd w:val="0"/>
              <w:snapToGrid w:val="0"/>
              <w:spacing w:before="36" w:beforeLines="15" w:after="0" w:line="276" w:lineRule="auto"/>
              <w:jc w:val="both"/>
              <w:rPr>
                <w:rFonts w:eastAsia="宋体"/>
                <w:snapToGrid w:val="0"/>
                <w:sz w:val="21"/>
                <w:szCs w:val="21"/>
                <w:lang w:eastAsia="zh-CN"/>
              </w:rPr>
            </w:pPr>
            <w:r>
              <w:rPr>
                <w:rFonts w:eastAsia="宋体" w:cs="宋体"/>
                <w:sz w:val="21"/>
                <w:lang w:eastAsia="zh-CN"/>
              </w:rPr>
              <w:t>完成随访后，为假对照组患者选择有源器械</w:t>
            </w:r>
          </w:p>
          <w:p w14:paraId="14D6AB0D">
            <w:pPr>
              <w:pStyle w:val="21"/>
              <w:numPr>
                <w:ilvl w:val="0"/>
                <w:numId w:val="25"/>
              </w:numPr>
              <w:tabs>
                <w:tab w:val="left" w:pos="610"/>
              </w:tabs>
              <w:adjustRightInd w:val="0"/>
              <w:snapToGrid w:val="0"/>
              <w:spacing w:before="36" w:beforeLines="15" w:after="0" w:line="276" w:lineRule="auto"/>
              <w:jc w:val="both"/>
              <w:rPr>
                <w:rFonts w:eastAsia="宋体"/>
                <w:snapToGrid w:val="0"/>
                <w:sz w:val="21"/>
                <w:szCs w:val="21"/>
              </w:rPr>
            </w:pPr>
            <w:r>
              <w:rPr>
                <w:rFonts w:eastAsia="宋体" w:cs="宋体"/>
                <w:sz w:val="21"/>
              </w:rPr>
              <w:t>文件和已强化的合规性</w:t>
            </w:r>
          </w:p>
          <w:p w14:paraId="0A6CD28A">
            <w:pPr>
              <w:pStyle w:val="21"/>
              <w:numPr>
                <w:ilvl w:val="0"/>
                <w:numId w:val="25"/>
              </w:numPr>
              <w:tabs>
                <w:tab w:val="left" w:pos="610"/>
              </w:tabs>
              <w:adjustRightInd w:val="0"/>
              <w:snapToGrid w:val="0"/>
              <w:spacing w:before="36" w:beforeLines="15" w:after="0" w:line="276" w:lineRule="auto"/>
              <w:jc w:val="both"/>
              <w:rPr>
                <w:snapToGrid w:val="0"/>
                <w:sz w:val="21"/>
                <w:szCs w:val="21"/>
              </w:rPr>
            </w:pPr>
            <w:r>
              <w:rPr>
                <w:rFonts w:eastAsia="宋体" w:cs="宋体"/>
                <w:sz w:val="21"/>
              </w:rPr>
              <w:t>计划进行敏感性分析</w:t>
            </w:r>
          </w:p>
        </w:tc>
      </w:tr>
    </w:tbl>
    <w:p w14:paraId="1FD4A975">
      <w:pPr>
        <w:adjustRightInd w:val="0"/>
        <w:snapToGrid w:val="0"/>
        <w:spacing w:before="120" w:beforeLines="50" w:line="300" w:lineRule="auto"/>
        <w:jc w:val="both"/>
        <w:rPr>
          <w:rFonts w:ascii="Times New Roman" w:hAnsi="Times New Roman" w:eastAsia="宋体" w:cs="Times New Roman"/>
          <w:snapToGrid w:val="0"/>
          <w:lang w:eastAsia="zh-CN"/>
        </w:rPr>
      </w:pPr>
    </w:p>
    <w:p w14:paraId="38E47F74">
      <w:pPr>
        <w:pBdr>
          <w:bottom w:val="single" w:color="auto" w:sz="4" w:space="1"/>
        </w:pBdr>
        <w:adjustRightInd w:val="0"/>
        <w:snapToGrid w:val="0"/>
        <w:spacing w:before="120" w:beforeLines="50" w:line="300" w:lineRule="auto"/>
        <w:jc w:val="center"/>
        <w:rPr>
          <w:rFonts w:hint="eastAsia" w:eastAsia="等线"/>
          <w:lang w:eastAsia="zh-CN"/>
        </w:rPr>
      </w:pPr>
    </w:p>
    <w:p w14:paraId="55BEBABE">
      <w:pPr>
        <w:pBdr>
          <w:bottom w:val="single" w:color="auto" w:sz="4" w:space="1"/>
        </w:pBdr>
        <w:adjustRightInd w:val="0"/>
        <w:snapToGrid w:val="0"/>
        <w:spacing w:before="120" w:beforeLines="50" w:line="300" w:lineRule="auto"/>
        <w:jc w:val="center"/>
        <w:rPr>
          <w:rFonts w:hint="eastAsia" w:eastAsia="等线"/>
          <w:lang w:eastAsia="zh-CN"/>
        </w:rPr>
      </w:pPr>
    </w:p>
    <w:p w14:paraId="7702DC36">
      <w:pPr>
        <w:pBdr>
          <w:bottom w:val="single" w:color="auto" w:sz="4" w:space="1"/>
        </w:pBdr>
        <w:adjustRightInd w:val="0"/>
        <w:snapToGrid w:val="0"/>
        <w:spacing w:before="120" w:beforeLines="50" w:line="30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4" w:type="default"/>
      <w:pgSz w:w="11907" w:h="16839"/>
      <w:pgMar w:top="1418" w:right="1418" w:bottom="1418" w:left="1418"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C69F6">
    <w:pPr>
      <w:pStyle w:val="7"/>
      <w:jc w:val="right"/>
      <w:rPr>
        <w:rFonts w:ascii="Times New Roman" w:hAnsi="Times New Roman" w:eastAsia="宋体" w:cs="Times New Roman"/>
        <w:sz w:val="21"/>
        <w:szCs w:val="21"/>
      </w:rPr>
    </w:pPr>
    <w:r>
      <w:rPr>
        <w:rFonts w:ascii="Times New Roman" w:hAnsi="Times New Roman" w:cs="Times New Roman"/>
        <w:vanish/>
        <w:sz w:val="21"/>
        <w:szCs w:val="21"/>
      </w:rPr>
      <w:fldChar w:fldCharType="begin"/>
    </w:r>
    <w:r>
      <w:rPr>
        <w:rFonts w:ascii="Times New Roman" w:hAnsi="Times New Roman" w:cs="Times New Roman"/>
        <w:vanish/>
        <w:sz w:val="21"/>
        <w:szCs w:val="21"/>
      </w:rPr>
      <w:instrText xml:space="preserve">PAGE   \* MERGEFORMAT</w:instrText>
    </w:r>
    <w:r>
      <w:rPr>
        <w:rFonts w:ascii="Times New Roman" w:hAnsi="Times New Roman" w:cs="Times New Roman"/>
        <w:vanish/>
        <w:sz w:val="21"/>
        <w:szCs w:val="21"/>
      </w:rPr>
      <w:fldChar w:fldCharType="separate"/>
    </w:r>
    <w:r>
      <w:rPr>
        <w:rFonts w:ascii="Times New Roman" w:hAnsi="Times New Roman" w:eastAsia="宋体" w:cs="Times New Roman"/>
        <w:sz w:val="21"/>
        <w:szCs w:val="21"/>
        <w:lang w:val="zh-CN" w:eastAsia="zh-CN"/>
      </w:rPr>
      <w:t>22</w:t>
    </w:r>
    <w:r>
      <w:rPr>
        <w:rFonts w:ascii="Times New Roman" w:hAnsi="Times New Roman" w:cs="Times New Roman"/>
        <w:vanish/>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31B27">
    <w:pPr>
      <w:pStyle w:val="18"/>
      <w:adjustRightInd w:val="0"/>
      <w:snapToGrid w:val="0"/>
      <w:spacing w:before="120" w:beforeLines="50" w:line="300" w:lineRule="auto"/>
      <w:rPr>
        <w:rFonts w:eastAsia="宋体"/>
        <w:snapToGrid w:val="0"/>
        <w:sz w:val="21"/>
        <w:szCs w:val="21"/>
        <w:lang w:eastAsia="zh-CN"/>
      </w:rPr>
    </w:pPr>
    <w:r>
      <w:rPr>
        <w:rFonts w:hint="eastAsia" w:eastAsia="宋体" w:cs="宋体"/>
        <w:sz w:val="21"/>
        <w:lang w:eastAsia="zh-CN"/>
      </w:rPr>
      <w:t>所含建议不具约束力</w:t>
    </w:r>
  </w:p>
  <w:p w14:paraId="72E59E60">
    <w:pPr>
      <w:adjustRightInd w:val="0"/>
      <w:snapToGrid w:val="0"/>
      <w:spacing w:before="120" w:beforeLines="50" w:line="300" w:lineRule="auto"/>
      <w:jc w:val="center"/>
      <w:rPr>
        <w:rFonts w:ascii="Times New Roman" w:hAnsi="Times New Roman" w:eastAsia="宋体" w:cs="Times New Roman"/>
        <w:snapToGrid w:val="0"/>
        <w:sz w:val="21"/>
        <w:szCs w:val="21"/>
        <w:lang w:eastAsia="zh-CN"/>
      </w:rPr>
    </w:pPr>
    <w:r>
      <w:rPr>
        <w:rFonts w:ascii="Times New Roman" w:hAnsi="Times New Roman" w:eastAsia="宋体" w:cs="宋体"/>
        <w:b/>
        <w:i/>
        <w:sz w:val="21"/>
        <w:lang w:eastAsia="zh-CN"/>
      </w:rPr>
      <w:t>草案—非执行版</w:t>
    </w:r>
  </w:p>
  <w:p w14:paraId="6DF9C8C6">
    <w:pPr>
      <w:pStyle w:val="8"/>
      <w:pBdr>
        <w:bottom w:val="none" w:color="auto" w:sz="0" w:space="0"/>
      </w:pBdr>
      <w:rPr>
        <w:rFonts w:ascii="Times New Roman" w:hAnsi="Times New Roman" w:eastAsia="宋体"/>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C232B"/>
    <w:multiLevelType w:val="multilevel"/>
    <w:tmpl w:val="074C232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94121EF"/>
    <w:multiLevelType w:val="multilevel"/>
    <w:tmpl w:val="094121EF"/>
    <w:lvl w:ilvl="0" w:tentative="0">
      <w:start w:val="1"/>
      <w:numFmt w:val="bullet"/>
      <w:lvlText w:val=""/>
      <w:lvlJc w:val="left"/>
      <w:pPr>
        <w:ind w:left="420" w:hanging="420"/>
      </w:pPr>
      <w:rPr>
        <w:rFonts w:hint="default" w:ascii="Wingdings" w:hAnsi="Wingdings"/>
        <w:vertAlign w:val="baseline"/>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9DE3909"/>
    <w:multiLevelType w:val="multilevel"/>
    <w:tmpl w:val="09DE3909"/>
    <w:lvl w:ilvl="0" w:tentative="0">
      <w:start w:val="1"/>
      <w:numFmt w:val="bullet"/>
      <w:lvlText w:val=""/>
      <w:lvlJc w:val="left"/>
      <w:pPr>
        <w:ind w:left="1270" w:hanging="420"/>
      </w:pPr>
      <w:rPr>
        <w:rFonts w:hint="default" w:ascii="Wingdings" w:hAnsi="Wingdings"/>
      </w:rPr>
    </w:lvl>
    <w:lvl w:ilvl="1" w:tentative="0">
      <w:start w:val="1"/>
      <w:numFmt w:val="bullet"/>
      <w:lvlText w:val=""/>
      <w:lvlJc w:val="left"/>
      <w:pPr>
        <w:ind w:left="1690" w:hanging="420"/>
      </w:pPr>
      <w:rPr>
        <w:rFonts w:hint="default" w:ascii="Wingdings" w:hAnsi="Wingdings"/>
      </w:rPr>
    </w:lvl>
    <w:lvl w:ilvl="2" w:tentative="0">
      <w:start w:val="1"/>
      <w:numFmt w:val="bullet"/>
      <w:lvlText w:val=""/>
      <w:lvlJc w:val="left"/>
      <w:pPr>
        <w:ind w:left="2110" w:hanging="420"/>
      </w:pPr>
      <w:rPr>
        <w:rFonts w:hint="default" w:ascii="Wingdings" w:hAnsi="Wingdings"/>
      </w:rPr>
    </w:lvl>
    <w:lvl w:ilvl="3" w:tentative="0">
      <w:start w:val="1"/>
      <w:numFmt w:val="bullet"/>
      <w:lvlText w:val=""/>
      <w:lvlJc w:val="left"/>
      <w:pPr>
        <w:ind w:left="2530" w:hanging="420"/>
      </w:pPr>
      <w:rPr>
        <w:rFonts w:hint="default" w:ascii="Wingdings" w:hAnsi="Wingdings"/>
      </w:rPr>
    </w:lvl>
    <w:lvl w:ilvl="4" w:tentative="0">
      <w:start w:val="1"/>
      <w:numFmt w:val="bullet"/>
      <w:lvlText w:val=""/>
      <w:lvlJc w:val="left"/>
      <w:pPr>
        <w:ind w:left="2950" w:hanging="420"/>
      </w:pPr>
      <w:rPr>
        <w:rFonts w:hint="default" w:ascii="Wingdings" w:hAnsi="Wingdings"/>
      </w:rPr>
    </w:lvl>
    <w:lvl w:ilvl="5" w:tentative="0">
      <w:start w:val="1"/>
      <w:numFmt w:val="bullet"/>
      <w:lvlText w:val=""/>
      <w:lvlJc w:val="left"/>
      <w:pPr>
        <w:ind w:left="3370" w:hanging="420"/>
      </w:pPr>
      <w:rPr>
        <w:rFonts w:hint="default" w:ascii="Wingdings" w:hAnsi="Wingdings"/>
      </w:rPr>
    </w:lvl>
    <w:lvl w:ilvl="6" w:tentative="0">
      <w:start w:val="1"/>
      <w:numFmt w:val="bullet"/>
      <w:lvlText w:val=""/>
      <w:lvlJc w:val="left"/>
      <w:pPr>
        <w:ind w:left="3790" w:hanging="420"/>
      </w:pPr>
      <w:rPr>
        <w:rFonts w:hint="default" w:ascii="Wingdings" w:hAnsi="Wingdings"/>
      </w:rPr>
    </w:lvl>
    <w:lvl w:ilvl="7" w:tentative="0">
      <w:start w:val="1"/>
      <w:numFmt w:val="bullet"/>
      <w:lvlText w:val=""/>
      <w:lvlJc w:val="left"/>
      <w:pPr>
        <w:ind w:left="4210" w:hanging="420"/>
      </w:pPr>
      <w:rPr>
        <w:rFonts w:hint="default" w:ascii="Wingdings" w:hAnsi="Wingdings"/>
      </w:rPr>
    </w:lvl>
    <w:lvl w:ilvl="8" w:tentative="0">
      <w:start w:val="1"/>
      <w:numFmt w:val="bullet"/>
      <w:lvlText w:val=""/>
      <w:lvlJc w:val="left"/>
      <w:pPr>
        <w:ind w:left="4630" w:hanging="420"/>
      </w:pPr>
      <w:rPr>
        <w:rFonts w:hint="default" w:ascii="Wingdings" w:hAnsi="Wingdings"/>
      </w:rPr>
    </w:lvl>
  </w:abstractNum>
  <w:abstractNum w:abstractNumId="3">
    <w:nsid w:val="0C717ADC"/>
    <w:multiLevelType w:val="multilevel"/>
    <w:tmpl w:val="0C717AD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CA549A7"/>
    <w:multiLevelType w:val="multilevel"/>
    <w:tmpl w:val="0CA549A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13B24E35"/>
    <w:multiLevelType w:val="multilevel"/>
    <w:tmpl w:val="13B24E3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84C59CB"/>
    <w:multiLevelType w:val="multilevel"/>
    <w:tmpl w:val="184C59C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D824BE5"/>
    <w:multiLevelType w:val="multilevel"/>
    <w:tmpl w:val="1D824BE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D8E783F"/>
    <w:multiLevelType w:val="multilevel"/>
    <w:tmpl w:val="1D8E783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224440BF"/>
    <w:multiLevelType w:val="multilevel"/>
    <w:tmpl w:val="224440B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29914E7F"/>
    <w:multiLevelType w:val="multilevel"/>
    <w:tmpl w:val="29914E7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2AF77B86"/>
    <w:multiLevelType w:val="multilevel"/>
    <w:tmpl w:val="2AF77B8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342B2328"/>
    <w:multiLevelType w:val="multilevel"/>
    <w:tmpl w:val="342B232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445C4413"/>
    <w:multiLevelType w:val="multilevel"/>
    <w:tmpl w:val="445C441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484E2D31"/>
    <w:multiLevelType w:val="multilevel"/>
    <w:tmpl w:val="484E2D3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48B75231"/>
    <w:multiLevelType w:val="multilevel"/>
    <w:tmpl w:val="48B7523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50F21A65"/>
    <w:multiLevelType w:val="multilevel"/>
    <w:tmpl w:val="50F21A6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576F068B"/>
    <w:multiLevelType w:val="multilevel"/>
    <w:tmpl w:val="576F068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5C130375"/>
    <w:multiLevelType w:val="multilevel"/>
    <w:tmpl w:val="5C13037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61E6053B"/>
    <w:multiLevelType w:val="multilevel"/>
    <w:tmpl w:val="61E6053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6EB43C40"/>
    <w:multiLevelType w:val="multilevel"/>
    <w:tmpl w:val="6EB43C4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70096C0A"/>
    <w:multiLevelType w:val="multilevel"/>
    <w:tmpl w:val="70096C0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71134842"/>
    <w:multiLevelType w:val="multilevel"/>
    <w:tmpl w:val="7113484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75801287"/>
    <w:multiLevelType w:val="multilevel"/>
    <w:tmpl w:val="7580128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75B159A9"/>
    <w:multiLevelType w:val="multilevel"/>
    <w:tmpl w:val="75B159A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9"/>
  </w:num>
  <w:num w:numId="3">
    <w:abstractNumId w:val="18"/>
  </w:num>
  <w:num w:numId="4">
    <w:abstractNumId w:val="12"/>
  </w:num>
  <w:num w:numId="5">
    <w:abstractNumId w:val="4"/>
  </w:num>
  <w:num w:numId="6">
    <w:abstractNumId w:val="16"/>
  </w:num>
  <w:num w:numId="7">
    <w:abstractNumId w:val="6"/>
  </w:num>
  <w:num w:numId="8">
    <w:abstractNumId w:val="24"/>
  </w:num>
  <w:num w:numId="9">
    <w:abstractNumId w:val="15"/>
  </w:num>
  <w:num w:numId="10">
    <w:abstractNumId w:val="14"/>
  </w:num>
  <w:num w:numId="11">
    <w:abstractNumId w:val="8"/>
  </w:num>
  <w:num w:numId="12">
    <w:abstractNumId w:val="20"/>
  </w:num>
  <w:num w:numId="13">
    <w:abstractNumId w:val="7"/>
  </w:num>
  <w:num w:numId="14">
    <w:abstractNumId w:val="5"/>
  </w:num>
  <w:num w:numId="15">
    <w:abstractNumId w:val="1"/>
  </w:num>
  <w:num w:numId="16">
    <w:abstractNumId w:val="17"/>
  </w:num>
  <w:num w:numId="17">
    <w:abstractNumId w:val="11"/>
  </w:num>
  <w:num w:numId="18">
    <w:abstractNumId w:val="22"/>
  </w:num>
  <w:num w:numId="19">
    <w:abstractNumId w:val="2"/>
  </w:num>
  <w:num w:numId="20">
    <w:abstractNumId w:val="10"/>
  </w:num>
  <w:num w:numId="21">
    <w:abstractNumId w:val="3"/>
  </w:num>
  <w:num w:numId="22">
    <w:abstractNumId w:val="9"/>
  </w:num>
  <w:num w:numId="23">
    <w:abstractNumId w:val="21"/>
  </w:num>
  <w:num w:numId="24">
    <w:abstractNumId w:val="1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420"/>
  <w:drawingGridHorizontalSpacing w:val="181"/>
  <w:drawingGridVerticalSpacing w:val="181"/>
  <w:characterSpacingControl w:val="compressPunctuation"/>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F29"/>
    <w:rsid w:val="000027FE"/>
    <w:rsid w:val="00032EDE"/>
    <w:rsid w:val="000B26D5"/>
    <w:rsid w:val="000B3108"/>
    <w:rsid w:val="000D305D"/>
    <w:rsid w:val="000F3FAE"/>
    <w:rsid w:val="00147731"/>
    <w:rsid w:val="001710F6"/>
    <w:rsid w:val="00175500"/>
    <w:rsid w:val="001A0992"/>
    <w:rsid w:val="001B27C4"/>
    <w:rsid w:val="001C5507"/>
    <w:rsid w:val="001E0F29"/>
    <w:rsid w:val="001E2CA0"/>
    <w:rsid w:val="0021304D"/>
    <w:rsid w:val="0023445C"/>
    <w:rsid w:val="00240727"/>
    <w:rsid w:val="00265BA8"/>
    <w:rsid w:val="0027596F"/>
    <w:rsid w:val="00284CB2"/>
    <w:rsid w:val="002A1B4B"/>
    <w:rsid w:val="002C1580"/>
    <w:rsid w:val="00360092"/>
    <w:rsid w:val="00384103"/>
    <w:rsid w:val="003960A7"/>
    <w:rsid w:val="003972D3"/>
    <w:rsid w:val="003D0637"/>
    <w:rsid w:val="003D2060"/>
    <w:rsid w:val="003D67F0"/>
    <w:rsid w:val="00441672"/>
    <w:rsid w:val="004756A2"/>
    <w:rsid w:val="004A28BB"/>
    <w:rsid w:val="004B45FF"/>
    <w:rsid w:val="004B4707"/>
    <w:rsid w:val="004F16A0"/>
    <w:rsid w:val="005154AD"/>
    <w:rsid w:val="00533108"/>
    <w:rsid w:val="00575EDD"/>
    <w:rsid w:val="0059226A"/>
    <w:rsid w:val="005B36A5"/>
    <w:rsid w:val="00622E48"/>
    <w:rsid w:val="00642E87"/>
    <w:rsid w:val="00670B76"/>
    <w:rsid w:val="00683282"/>
    <w:rsid w:val="007061FA"/>
    <w:rsid w:val="0071671B"/>
    <w:rsid w:val="007333CD"/>
    <w:rsid w:val="007C0051"/>
    <w:rsid w:val="007C2DC2"/>
    <w:rsid w:val="007C7599"/>
    <w:rsid w:val="00856382"/>
    <w:rsid w:val="0085760D"/>
    <w:rsid w:val="00866886"/>
    <w:rsid w:val="008862E0"/>
    <w:rsid w:val="00897116"/>
    <w:rsid w:val="00920EAD"/>
    <w:rsid w:val="0092403B"/>
    <w:rsid w:val="009538FB"/>
    <w:rsid w:val="00970797"/>
    <w:rsid w:val="009860F9"/>
    <w:rsid w:val="00990D66"/>
    <w:rsid w:val="009A525E"/>
    <w:rsid w:val="009D11DE"/>
    <w:rsid w:val="00A234F0"/>
    <w:rsid w:val="00A257E6"/>
    <w:rsid w:val="00A86003"/>
    <w:rsid w:val="00AC49D2"/>
    <w:rsid w:val="00AE3BA7"/>
    <w:rsid w:val="00AF131C"/>
    <w:rsid w:val="00B0329A"/>
    <w:rsid w:val="00B16D2F"/>
    <w:rsid w:val="00B24806"/>
    <w:rsid w:val="00B36F97"/>
    <w:rsid w:val="00B66D47"/>
    <w:rsid w:val="00B847E3"/>
    <w:rsid w:val="00B934CC"/>
    <w:rsid w:val="00BA33D9"/>
    <w:rsid w:val="00BB1ED9"/>
    <w:rsid w:val="00BC6908"/>
    <w:rsid w:val="00BD2B7E"/>
    <w:rsid w:val="00C45561"/>
    <w:rsid w:val="00C61146"/>
    <w:rsid w:val="00CA52B0"/>
    <w:rsid w:val="00CE5ACA"/>
    <w:rsid w:val="00CF1FFC"/>
    <w:rsid w:val="00D20A77"/>
    <w:rsid w:val="00D4165A"/>
    <w:rsid w:val="00D61711"/>
    <w:rsid w:val="00D75381"/>
    <w:rsid w:val="00DA4B00"/>
    <w:rsid w:val="00DA7481"/>
    <w:rsid w:val="00DB23CB"/>
    <w:rsid w:val="00DC7588"/>
    <w:rsid w:val="00E62393"/>
    <w:rsid w:val="00E925C1"/>
    <w:rsid w:val="00EB363F"/>
    <w:rsid w:val="00F21482"/>
    <w:rsid w:val="00F31384"/>
    <w:rsid w:val="00F605A4"/>
    <w:rsid w:val="00F7227A"/>
    <w:rsid w:val="00F72F10"/>
    <w:rsid w:val="00F77743"/>
    <w:rsid w:val="00F90292"/>
    <w:rsid w:val="00F95FBB"/>
    <w:rsid w:val="00F97860"/>
    <w:rsid w:val="7CF64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等线" w:hAnsi="等线" w:eastAsia="等线" w:cs="等线"/>
      <w:color w:val="000000"/>
      <w:sz w:val="24"/>
      <w:szCs w:val="24"/>
      <w:lang w:val="en-US" w:eastAsia="en-US" w:bidi="en-US"/>
    </w:rPr>
  </w:style>
  <w:style w:type="paragraph" w:styleId="2">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3"/>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autoRedefine/>
    <w:unhideWhenUsed/>
    <w:qFormat/>
    <w:uiPriority w:val="39"/>
    <w:pPr>
      <w:ind w:left="840" w:leftChars="400"/>
    </w:pPr>
  </w:style>
  <w:style w:type="paragraph" w:styleId="6">
    <w:name w:val="Balloon Text"/>
    <w:basedOn w:val="1"/>
    <w:link w:val="33"/>
    <w:semiHidden/>
    <w:unhideWhenUsed/>
    <w:qFormat/>
    <w:uiPriority w:val="99"/>
    <w:rPr>
      <w:sz w:val="18"/>
      <w:szCs w:val="18"/>
    </w:rPr>
  </w:style>
  <w:style w:type="paragraph" w:styleId="7">
    <w:name w:val="footer"/>
    <w:basedOn w:val="1"/>
    <w:link w:val="32"/>
    <w:unhideWhenUsed/>
    <w:qFormat/>
    <w:uiPriority w:val="99"/>
    <w:pPr>
      <w:tabs>
        <w:tab w:val="center" w:pos="4153"/>
        <w:tab w:val="right" w:pos="8306"/>
      </w:tabs>
      <w:snapToGrid w:val="0"/>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pPr>
      <w:tabs>
        <w:tab w:val="left" w:pos="426"/>
        <w:tab w:val="right" w:leader="dot" w:pos="9061"/>
      </w:tabs>
      <w:adjustRightInd w:val="0"/>
      <w:snapToGrid w:val="0"/>
      <w:spacing w:before="120" w:beforeLines="50" w:line="300" w:lineRule="auto"/>
    </w:pPr>
  </w:style>
  <w:style w:type="paragraph" w:styleId="10">
    <w:name w:val="toc 2"/>
    <w:basedOn w:val="1"/>
    <w:next w:val="1"/>
    <w:autoRedefine/>
    <w:unhideWhenUsed/>
    <w:qFormat/>
    <w:uiPriority w:val="39"/>
    <w:pPr>
      <w:tabs>
        <w:tab w:val="left" w:pos="851"/>
        <w:tab w:val="right" w:leader="dot" w:pos="9061"/>
      </w:tabs>
      <w:adjustRightInd w:val="0"/>
      <w:snapToGrid w:val="0"/>
      <w:spacing w:before="120" w:beforeLines="50" w:line="300" w:lineRule="auto"/>
      <w:ind w:left="480" w:leftChars="2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customStyle="1" w:styleId="15">
    <w:name w:val="页眉或页脚 (2)_"/>
    <w:basedOn w:val="13"/>
    <w:link w:val="16"/>
    <w:qFormat/>
    <w:uiPriority w:val="0"/>
    <w:rPr>
      <w:rFonts w:ascii="Times New Roman" w:hAnsi="Times New Roman" w:eastAsia="Times New Roman" w:cs="Times New Roman"/>
      <w:sz w:val="20"/>
      <w:szCs w:val="20"/>
      <w:u w:val="none"/>
      <w:shd w:val="clear" w:color="auto" w:fill="auto"/>
    </w:rPr>
  </w:style>
  <w:style w:type="paragraph" w:customStyle="1" w:styleId="16">
    <w:name w:val="页眉或页脚 (2)"/>
    <w:basedOn w:val="1"/>
    <w:link w:val="15"/>
    <w:qFormat/>
    <w:uiPriority w:val="0"/>
    <w:rPr>
      <w:rFonts w:ascii="Times New Roman" w:hAnsi="Times New Roman" w:eastAsia="Times New Roman" w:cs="Times New Roman"/>
      <w:sz w:val="20"/>
      <w:szCs w:val="20"/>
    </w:rPr>
  </w:style>
  <w:style w:type="character" w:customStyle="1" w:styleId="17">
    <w:name w:val="页眉或页脚_"/>
    <w:basedOn w:val="13"/>
    <w:link w:val="18"/>
    <w:qFormat/>
    <w:uiPriority w:val="0"/>
    <w:rPr>
      <w:rFonts w:ascii="Times New Roman" w:hAnsi="Times New Roman" w:eastAsia="Times New Roman" w:cs="Times New Roman"/>
      <w:b/>
      <w:bCs/>
      <w:i/>
      <w:iCs/>
      <w:u w:val="none"/>
      <w:shd w:val="clear" w:color="auto" w:fill="auto"/>
    </w:rPr>
  </w:style>
  <w:style w:type="paragraph" w:customStyle="1" w:styleId="18">
    <w:name w:val="页眉或页脚"/>
    <w:basedOn w:val="1"/>
    <w:link w:val="17"/>
    <w:qFormat/>
    <w:uiPriority w:val="0"/>
    <w:pPr>
      <w:jc w:val="center"/>
    </w:pPr>
    <w:rPr>
      <w:rFonts w:ascii="Times New Roman" w:hAnsi="Times New Roman" w:eastAsia="Times New Roman" w:cs="Times New Roman"/>
      <w:b/>
      <w:bCs/>
      <w:i/>
      <w:iCs/>
    </w:rPr>
  </w:style>
  <w:style w:type="character" w:customStyle="1" w:styleId="19">
    <w:name w:val="页眉 Char"/>
    <w:basedOn w:val="13"/>
    <w:link w:val="8"/>
    <w:qFormat/>
    <w:uiPriority w:val="99"/>
    <w:rPr>
      <w:color w:val="000000"/>
      <w:sz w:val="18"/>
      <w:szCs w:val="18"/>
    </w:rPr>
  </w:style>
  <w:style w:type="character" w:customStyle="1" w:styleId="20">
    <w:name w:val="其他_"/>
    <w:basedOn w:val="13"/>
    <w:link w:val="21"/>
    <w:qFormat/>
    <w:uiPriority w:val="0"/>
    <w:rPr>
      <w:rFonts w:ascii="Times New Roman" w:hAnsi="Times New Roman" w:eastAsia="Times New Roman" w:cs="Times New Roman"/>
      <w:u w:val="none"/>
      <w:shd w:val="clear" w:color="auto" w:fill="auto"/>
    </w:rPr>
  </w:style>
  <w:style w:type="paragraph" w:customStyle="1" w:styleId="21">
    <w:name w:val="其他"/>
    <w:basedOn w:val="1"/>
    <w:link w:val="20"/>
    <w:qFormat/>
    <w:uiPriority w:val="0"/>
    <w:pPr>
      <w:spacing w:after="240"/>
    </w:pPr>
    <w:rPr>
      <w:rFonts w:ascii="Times New Roman" w:hAnsi="Times New Roman" w:eastAsia="Times New Roman" w:cs="Times New Roman"/>
    </w:rPr>
  </w:style>
  <w:style w:type="character" w:customStyle="1" w:styleId="22">
    <w:name w:val="目录_"/>
    <w:basedOn w:val="13"/>
    <w:link w:val="23"/>
    <w:qFormat/>
    <w:uiPriority w:val="0"/>
    <w:rPr>
      <w:rFonts w:ascii="Times New Roman" w:hAnsi="Times New Roman" w:eastAsia="Times New Roman" w:cs="Times New Roman"/>
      <w:u w:val="none"/>
      <w:shd w:val="clear" w:color="auto" w:fill="auto"/>
    </w:rPr>
  </w:style>
  <w:style w:type="paragraph" w:customStyle="1" w:styleId="23">
    <w:name w:val="目录"/>
    <w:basedOn w:val="1"/>
    <w:link w:val="22"/>
    <w:qFormat/>
    <w:uiPriority w:val="0"/>
    <w:pPr>
      <w:spacing w:after="60"/>
      <w:ind w:firstLine="260"/>
    </w:pPr>
    <w:rPr>
      <w:rFonts w:ascii="Times New Roman" w:hAnsi="Times New Roman" w:eastAsia="Times New Roman" w:cs="Times New Roman"/>
    </w:rPr>
  </w:style>
  <w:style w:type="character" w:customStyle="1" w:styleId="24">
    <w:name w:val="脚注_"/>
    <w:basedOn w:val="13"/>
    <w:link w:val="25"/>
    <w:qFormat/>
    <w:uiPriority w:val="0"/>
    <w:rPr>
      <w:rFonts w:ascii="Times New Roman" w:hAnsi="Times New Roman" w:eastAsia="Times New Roman" w:cs="Times New Roman"/>
      <w:sz w:val="20"/>
      <w:szCs w:val="20"/>
      <w:u w:val="none"/>
      <w:shd w:val="clear" w:color="auto" w:fill="auto"/>
    </w:rPr>
  </w:style>
  <w:style w:type="paragraph" w:customStyle="1" w:styleId="25">
    <w:name w:val="脚注"/>
    <w:basedOn w:val="1"/>
    <w:link w:val="24"/>
    <w:qFormat/>
    <w:uiPriority w:val="0"/>
    <w:rPr>
      <w:rFonts w:ascii="Times New Roman" w:hAnsi="Times New Roman" w:eastAsia="Times New Roman" w:cs="Times New Roman"/>
      <w:sz w:val="20"/>
      <w:szCs w:val="20"/>
    </w:rPr>
  </w:style>
  <w:style w:type="character" w:customStyle="1" w:styleId="26">
    <w:name w:val="标题 #1_"/>
    <w:basedOn w:val="13"/>
    <w:link w:val="27"/>
    <w:qFormat/>
    <w:uiPriority w:val="0"/>
    <w:rPr>
      <w:rFonts w:ascii="Times New Roman" w:hAnsi="Times New Roman" w:eastAsia="Times New Roman" w:cs="Times New Roman"/>
      <w:b/>
      <w:bCs/>
      <w:sz w:val="36"/>
      <w:szCs w:val="36"/>
      <w:u w:val="none"/>
      <w:shd w:val="clear" w:color="auto" w:fill="auto"/>
    </w:rPr>
  </w:style>
  <w:style w:type="paragraph" w:customStyle="1" w:styleId="27">
    <w:name w:val="标题 #1"/>
    <w:basedOn w:val="1"/>
    <w:link w:val="26"/>
    <w:qFormat/>
    <w:uiPriority w:val="0"/>
    <w:pPr>
      <w:spacing w:after="80"/>
      <w:outlineLvl w:val="0"/>
    </w:pPr>
    <w:rPr>
      <w:rFonts w:ascii="Times New Roman" w:hAnsi="Times New Roman" w:eastAsia="Times New Roman" w:cs="Times New Roman"/>
      <w:b/>
      <w:bCs/>
      <w:sz w:val="36"/>
      <w:szCs w:val="36"/>
    </w:rPr>
  </w:style>
  <w:style w:type="character" w:customStyle="1" w:styleId="28">
    <w:name w:val="标题 #2_"/>
    <w:basedOn w:val="13"/>
    <w:link w:val="29"/>
    <w:qFormat/>
    <w:uiPriority w:val="0"/>
    <w:rPr>
      <w:rFonts w:ascii="Times New Roman" w:hAnsi="Times New Roman" w:eastAsia="Times New Roman" w:cs="Times New Roman"/>
      <w:b/>
      <w:bCs/>
      <w:sz w:val="32"/>
      <w:szCs w:val="32"/>
      <w:u w:val="none"/>
      <w:shd w:val="clear" w:color="auto" w:fill="auto"/>
    </w:rPr>
  </w:style>
  <w:style w:type="paragraph" w:customStyle="1" w:styleId="29">
    <w:name w:val="标题 #2"/>
    <w:basedOn w:val="1"/>
    <w:link w:val="28"/>
    <w:qFormat/>
    <w:uiPriority w:val="0"/>
    <w:pPr>
      <w:spacing w:after="80"/>
      <w:ind w:firstLine="730"/>
      <w:outlineLvl w:val="1"/>
    </w:pPr>
    <w:rPr>
      <w:rFonts w:ascii="Times New Roman" w:hAnsi="Times New Roman" w:eastAsia="Times New Roman" w:cs="Times New Roman"/>
      <w:b/>
      <w:bCs/>
      <w:sz w:val="32"/>
      <w:szCs w:val="32"/>
    </w:rPr>
  </w:style>
  <w:style w:type="character" w:customStyle="1" w:styleId="30">
    <w:name w:val="标题 #3_"/>
    <w:basedOn w:val="13"/>
    <w:link w:val="31"/>
    <w:qFormat/>
    <w:uiPriority w:val="0"/>
    <w:rPr>
      <w:rFonts w:ascii="Times New Roman" w:hAnsi="Times New Roman" w:eastAsia="Times New Roman" w:cs="Times New Roman"/>
      <w:b/>
      <w:bCs/>
      <w:sz w:val="28"/>
      <w:szCs w:val="28"/>
      <w:u w:val="none"/>
      <w:shd w:val="clear" w:color="auto" w:fill="auto"/>
    </w:rPr>
  </w:style>
  <w:style w:type="paragraph" w:customStyle="1" w:styleId="31">
    <w:name w:val="标题 #3"/>
    <w:basedOn w:val="1"/>
    <w:link w:val="30"/>
    <w:qFormat/>
    <w:uiPriority w:val="0"/>
    <w:pPr>
      <w:spacing w:after="80"/>
      <w:ind w:left="1460"/>
      <w:outlineLvl w:val="2"/>
    </w:pPr>
    <w:rPr>
      <w:rFonts w:ascii="Times New Roman" w:hAnsi="Times New Roman" w:eastAsia="Times New Roman" w:cs="Times New Roman"/>
      <w:b/>
      <w:bCs/>
      <w:sz w:val="28"/>
      <w:szCs w:val="28"/>
    </w:rPr>
  </w:style>
  <w:style w:type="character" w:customStyle="1" w:styleId="32">
    <w:name w:val="页脚 Char"/>
    <w:basedOn w:val="13"/>
    <w:link w:val="7"/>
    <w:qFormat/>
    <w:uiPriority w:val="99"/>
    <w:rPr>
      <w:color w:val="000000"/>
      <w:sz w:val="18"/>
      <w:szCs w:val="18"/>
    </w:rPr>
  </w:style>
  <w:style w:type="character" w:customStyle="1" w:styleId="33">
    <w:name w:val="批注框文本 Char"/>
    <w:basedOn w:val="13"/>
    <w:link w:val="6"/>
    <w:semiHidden/>
    <w:qFormat/>
    <w:uiPriority w:val="99"/>
    <w:rPr>
      <w:color w:val="000000"/>
      <w:sz w:val="18"/>
      <w:szCs w:val="18"/>
    </w:rPr>
  </w:style>
  <w:style w:type="paragraph" w:customStyle="1" w:styleId="34">
    <w:name w:val="样式1"/>
    <w:basedOn w:val="27"/>
    <w:link w:val="36"/>
    <w:qFormat/>
    <w:uiPriority w:val="0"/>
    <w:pPr>
      <w:tabs>
        <w:tab w:val="left" w:pos="567"/>
      </w:tabs>
      <w:adjustRightInd w:val="0"/>
      <w:snapToGrid w:val="0"/>
      <w:spacing w:before="120" w:beforeLines="50" w:after="0" w:line="300" w:lineRule="auto"/>
      <w:jc w:val="both"/>
    </w:pPr>
    <w:rPr>
      <w:snapToGrid w:val="0"/>
      <w:sz w:val="32"/>
      <w:szCs w:val="32"/>
    </w:rPr>
  </w:style>
  <w:style w:type="paragraph" w:customStyle="1" w:styleId="35">
    <w:name w:val="样式2"/>
    <w:basedOn w:val="21"/>
    <w:link w:val="38"/>
    <w:qFormat/>
    <w:uiPriority w:val="0"/>
    <w:pPr>
      <w:adjustRightInd w:val="0"/>
      <w:snapToGrid w:val="0"/>
      <w:spacing w:before="120" w:beforeLines="50" w:after="0" w:line="300" w:lineRule="auto"/>
      <w:ind w:left="1132" w:leftChars="235" w:hanging="568" w:hangingChars="202"/>
      <w:jc w:val="both"/>
    </w:pPr>
    <w:rPr>
      <w:b/>
      <w:bCs/>
      <w:snapToGrid w:val="0"/>
      <w:sz w:val="28"/>
      <w:szCs w:val="28"/>
    </w:rPr>
  </w:style>
  <w:style w:type="character" w:customStyle="1" w:styleId="36">
    <w:name w:val="样式1 Char"/>
    <w:basedOn w:val="26"/>
    <w:link w:val="34"/>
    <w:qFormat/>
    <w:uiPriority w:val="0"/>
    <w:rPr>
      <w:rFonts w:ascii="Times New Roman" w:hAnsi="Times New Roman" w:eastAsia="Times New Roman" w:cs="Times New Roman"/>
      <w:snapToGrid w:val="0"/>
      <w:color w:val="000000"/>
      <w:sz w:val="32"/>
      <w:szCs w:val="32"/>
      <w:u w:val="none"/>
      <w:shd w:val="clear" w:color="auto" w:fill="auto"/>
    </w:rPr>
  </w:style>
  <w:style w:type="paragraph" w:styleId="37">
    <w:name w:val="List Paragraph"/>
    <w:basedOn w:val="1"/>
    <w:qFormat/>
    <w:uiPriority w:val="34"/>
    <w:pPr>
      <w:ind w:firstLine="420" w:firstLineChars="200"/>
    </w:pPr>
  </w:style>
  <w:style w:type="character" w:customStyle="1" w:styleId="38">
    <w:name w:val="样式2 Char"/>
    <w:basedOn w:val="20"/>
    <w:link w:val="35"/>
    <w:qFormat/>
    <w:uiPriority w:val="0"/>
    <w:rPr>
      <w:rFonts w:ascii="Times New Roman" w:hAnsi="Times New Roman" w:eastAsia="Times New Roman" w:cs="Times New Roman"/>
      <w:b/>
      <w:bCs/>
      <w:snapToGrid w:val="0"/>
      <w:color w:val="000000"/>
      <w:sz w:val="28"/>
      <w:szCs w:val="28"/>
      <w:u w:val="none"/>
      <w:shd w:val="clear" w:color="auto" w:fill="auto"/>
    </w:rPr>
  </w:style>
  <w:style w:type="paragraph" w:customStyle="1" w:styleId="39">
    <w:name w:val="样式3"/>
    <w:basedOn w:val="35"/>
    <w:link w:val="41"/>
    <w:qFormat/>
    <w:uiPriority w:val="0"/>
    <w:pPr>
      <w:ind w:left="1620" w:leftChars="472" w:hanging="487"/>
    </w:pPr>
    <w:rPr>
      <w:sz w:val="24"/>
      <w:szCs w:val="24"/>
      <w:shd w:val="clear" w:color="auto" w:fill="FFFFFF"/>
    </w:rPr>
  </w:style>
  <w:style w:type="character" w:customStyle="1" w:styleId="40">
    <w:name w:val="标题 1 Char"/>
    <w:basedOn w:val="13"/>
    <w:link w:val="2"/>
    <w:qFormat/>
    <w:uiPriority w:val="9"/>
    <w:rPr>
      <w:b/>
      <w:bCs/>
      <w:color w:val="000000"/>
      <w:kern w:val="44"/>
      <w:sz w:val="44"/>
      <w:szCs w:val="44"/>
    </w:rPr>
  </w:style>
  <w:style w:type="character" w:customStyle="1" w:styleId="41">
    <w:name w:val="样式3 Char"/>
    <w:basedOn w:val="38"/>
    <w:link w:val="39"/>
    <w:qFormat/>
    <w:uiPriority w:val="0"/>
    <w:rPr>
      <w:rFonts w:ascii="Times New Roman" w:hAnsi="Times New Roman" w:eastAsia="Times New Roman" w:cs="Times New Roman"/>
      <w:snapToGrid w:val="0"/>
      <w:color w:val="000000"/>
      <w:sz w:val="28"/>
      <w:szCs w:val="28"/>
      <w:u w:val="none"/>
      <w:shd w:val="clear" w:color="auto" w:fill="auto"/>
    </w:rPr>
  </w:style>
  <w:style w:type="character" w:customStyle="1" w:styleId="42">
    <w:name w:val="标题 2 Char"/>
    <w:basedOn w:val="13"/>
    <w:link w:val="3"/>
    <w:semiHidden/>
    <w:qFormat/>
    <w:uiPriority w:val="9"/>
    <w:rPr>
      <w:rFonts w:asciiTheme="majorHAnsi" w:hAnsiTheme="majorHAnsi" w:eastAsiaTheme="majorEastAsia" w:cstheme="majorBidi"/>
      <w:b/>
      <w:bCs/>
      <w:color w:val="000000"/>
      <w:sz w:val="32"/>
      <w:szCs w:val="32"/>
    </w:rPr>
  </w:style>
  <w:style w:type="character" w:customStyle="1" w:styleId="43">
    <w:name w:val="标题 3 Char"/>
    <w:basedOn w:val="13"/>
    <w:link w:val="4"/>
    <w:semiHidden/>
    <w:qFormat/>
    <w:uiPriority w:val="9"/>
    <w:rPr>
      <w:b/>
      <w:bCs/>
      <w:color w:val="000000"/>
      <w:sz w:val="32"/>
      <w:szCs w:val="32"/>
    </w:rPr>
  </w:style>
  <w:style w:type="character" w:customStyle="1" w:styleId="44">
    <w:name w:val="Unresolved Mention1"/>
    <w:basedOn w:val="13"/>
    <w:semiHidden/>
    <w:unhideWhenUsed/>
    <w:qFormat/>
    <w:uiPriority w:val="99"/>
    <w:rPr>
      <w:color w:val="605E5C"/>
      <w:shd w:val="clear" w:color="auto" w:fill="E1DFDD"/>
    </w:rPr>
  </w:style>
  <w:style w:type="paragraph" w:customStyle="1" w:styleId="45">
    <w:name w:val="Revision"/>
    <w:hidden/>
    <w:semiHidden/>
    <w:qFormat/>
    <w:uiPriority w:val="99"/>
    <w:pPr>
      <w:widowControl/>
    </w:pPr>
    <w:rPr>
      <w:rFonts w:ascii="等线" w:hAnsi="等线" w:eastAsia="等线" w:cs="等线"/>
      <w:color w:val="000000"/>
      <w:sz w:val="24"/>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1AD0D-66BD-4C94-A7A3-38C65EC2DC3F}">
  <ds:schemaRefs/>
</ds:datastoreItem>
</file>

<file path=docProps/app.xml><?xml version="1.0" encoding="utf-8"?>
<Properties xmlns="http://schemas.openxmlformats.org/officeDocument/2006/extended-properties" xmlns:vt="http://schemas.openxmlformats.org/officeDocument/2006/docPropsVTypes">
  <Template>Normal</Template>
  <Pages>25</Pages>
  <Words>15692</Words>
  <Characters>18739</Characters>
  <Lines>160</Lines>
  <Paragraphs>45</Paragraphs>
  <TotalTime>489</TotalTime>
  <ScaleCrop>false</ScaleCrop>
  <LinksUpToDate>false</LinksUpToDate>
  <CharactersWithSpaces>18941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2022-03-05T01:58:00Z</dcterms:created>
  <dc:creator>CDRH</dc:creator>
  <cp:lastModifiedBy>太极箫客</cp:lastModifiedBy>
  <dcterms:modified xsi:type="dcterms:W3CDTF">2025-08-14T07:06:48Z</dcterms:modified>
  <dc:title>Select Updates for Guidance for the Non-Clinical and Clinical Investigation of Devices Used for the Treatment of Benign Prostatic Hyperplasia (BPH) - Draft Guidance for Industry and Food and Drug Administration Staff</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2022-03-05T01:57:00Z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84cbb724-f5e6-47f7-8308-1e54af42887d</vt:lpwstr>
  </property>
  <property fmtid="{D5CDD505-2E9C-101B-9397-08002B2CF9AE}" pid="8" name="MSIP_Label_ff6dbec8-95a8-4638-9f5f-bd076536645c_ContentBits">
    <vt:lpwstr>0</vt:lpwstr>
  </property>
  <property fmtid="{D5CDD505-2E9C-101B-9397-08002B2CF9AE}" pid="9" name="KSOTemplateDocerSaveRecord">
    <vt:lpwstr>eyJoZGlkIjoiMDJiMzI3ODBiNTFmMWRjNDUyMjM1ZmZjODY5NDc2MWMiLCJ1c2VySWQiOiI0NTQ4Nzg1NzAifQ==</vt:lpwstr>
  </property>
  <property fmtid="{D5CDD505-2E9C-101B-9397-08002B2CF9AE}" pid="10" name="KSOProductBuildVer">
    <vt:lpwstr>2052-12.1.0.21915</vt:lpwstr>
  </property>
  <property fmtid="{D5CDD505-2E9C-101B-9397-08002B2CF9AE}" pid="11" name="ICV">
    <vt:lpwstr>F2760E07B0D941178FDCCBE7FEADB46E_12</vt:lpwstr>
  </property>
</Properties>
</file>