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CD576">
      <w:pPr>
        <w:snapToGrid w:val="0"/>
        <w:spacing w:line="300" w:lineRule="auto"/>
        <w:rPr>
          <w:rFonts w:ascii="Arial" w:hAnsi="Arial" w:eastAsia="宋体" w:cs="Arial"/>
          <w:b/>
        </w:rPr>
      </w:pPr>
      <w:bookmarkStart w:id="41" w:name="_GoBack"/>
      <w:bookmarkEnd w:id="41"/>
    </w:p>
    <w:p w14:paraId="20BF4BD2">
      <w:pPr>
        <w:snapToGrid w:val="0"/>
        <w:spacing w:line="300" w:lineRule="auto"/>
        <w:jc w:val="center"/>
        <w:rPr>
          <w:rFonts w:ascii="Arial" w:hAnsi="Arial" w:eastAsia="宋体" w:cs="Arial"/>
          <w:b/>
          <w:sz w:val="44"/>
          <w:szCs w:val="44"/>
        </w:rPr>
      </w:pPr>
      <w:bookmarkStart w:id="0" w:name="OLE_LINK137"/>
      <w:bookmarkStart w:id="1" w:name="OLE_LINK1"/>
      <w:r>
        <w:rPr>
          <w:rFonts w:ascii="Arial" w:hAnsi="Arial" w:eastAsia="宋体" w:cs="Arial"/>
          <w:b/>
          <w:sz w:val="44"/>
          <w:szCs w:val="44"/>
        </w:rPr>
        <w:t>行业和食品药品监督管理局工作人员指南</w:t>
      </w:r>
    </w:p>
    <w:p w14:paraId="6B50DB4B">
      <w:pPr>
        <w:snapToGrid w:val="0"/>
        <w:spacing w:line="300" w:lineRule="auto"/>
        <w:jc w:val="center"/>
        <w:rPr>
          <w:rFonts w:ascii="Arial" w:hAnsi="Arial" w:eastAsia="宋体" w:cs="Arial"/>
          <w:sz w:val="44"/>
          <w:szCs w:val="44"/>
        </w:rPr>
      </w:pPr>
      <w:r>
        <w:rPr>
          <w:rFonts w:ascii="Arial" w:hAnsi="Arial" w:eastAsia="宋体" w:cs="Arial"/>
          <w:sz w:val="44"/>
          <w:szCs w:val="44"/>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161290</wp:posOffset>
                </wp:positionV>
                <wp:extent cx="5280025" cy="0"/>
                <wp:effectExtent l="0" t="0" r="35560" b="19050"/>
                <wp:wrapNone/>
                <wp:docPr id="2" name="直接连接符 2"/>
                <wp:cNvGraphicFramePr/>
                <a:graphic xmlns:a="http://schemas.openxmlformats.org/drawingml/2006/main">
                  <a:graphicData uri="http://schemas.microsoft.com/office/word/2010/wordprocessingShape">
                    <wps:wsp>
                      <wps:cNvCnPr/>
                      <wps:spPr>
                        <a:xfrm>
                          <a:off x="0" y="0"/>
                          <a:ext cx="52799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12.7pt;height:0pt;width:415.75pt;z-index:251659264;mso-width-relative:page;mso-height-relative:page;" filled="f" stroked="t" coordsize="21600,21600" o:gfxdata="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c7xxdQAAAAHAQAADwAAAAAAAAABACAA&#10;AAAiAAAAZHJzL2Rvd25yZXYueG1sUEsBAhQAFAAAAAgAh07iQB2oou7YAQAAmgMAAA4AAAAAAAAA&#10;AQAgAAAAIwEAAGRycy9lMm9Eb2MueG1sUEsFBgAAAAAGAAYAWQEAAG0FAAAAAA==&#10;">
                <v:fill on="f" focussize="0,0"/>
                <v:stroke color="#000000 [3213]" joinstyle="round"/>
                <v:imagedata o:title=""/>
                <o:lock v:ext="edit" aspectratio="f"/>
              </v:line>
            </w:pict>
          </mc:Fallback>
        </mc:AlternateContent>
      </w:r>
    </w:p>
    <w:p w14:paraId="6B1E3671">
      <w:pPr>
        <w:snapToGrid w:val="0"/>
        <w:spacing w:line="300" w:lineRule="auto"/>
        <w:jc w:val="center"/>
        <w:rPr>
          <w:rFonts w:ascii="Arial" w:hAnsi="Arial" w:eastAsia="宋体" w:cs="Arial"/>
          <w:b/>
          <w:sz w:val="44"/>
          <w:szCs w:val="44"/>
        </w:rPr>
      </w:pPr>
      <w:r>
        <w:rPr>
          <w:rFonts w:ascii="Arial" w:hAnsi="Arial" w:eastAsia="宋体" w:cs="Arial"/>
          <w:b/>
          <w:sz w:val="44"/>
          <w:szCs w:val="44"/>
        </w:rPr>
        <w:t>用于检测甲型流感病毒的体外诊断器械：</w:t>
      </w:r>
      <w:r>
        <w:rPr>
          <w:rFonts w:ascii="Arial" w:hAnsi="Arial" w:eastAsia="宋体" w:cs="Arial"/>
          <w:b/>
          <w:sz w:val="44"/>
          <w:szCs w:val="44"/>
        </w:rPr>
        <w:br w:type="textWrapping"/>
      </w:r>
      <w:r>
        <w:rPr>
          <w:rFonts w:ascii="Arial" w:hAnsi="Arial" w:eastAsia="宋体" w:cs="Arial"/>
          <w:b/>
          <w:sz w:val="44"/>
          <w:szCs w:val="44"/>
        </w:rPr>
        <w:t>贴标和监管路径</w:t>
      </w:r>
    </w:p>
    <w:bookmarkEnd w:id="0"/>
    <w:bookmarkEnd w:id="1"/>
    <w:p w14:paraId="34152A66">
      <w:pPr>
        <w:snapToGrid w:val="0"/>
        <w:spacing w:line="300" w:lineRule="auto"/>
        <w:rPr>
          <w:rFonts w:ascii="Arial" w:hAnsi="Arial" w:eastAsia="宋体" w:cs="Arial"/>
        </w:rPr>
      </w:pPr>
    </w:p>
    <w:p w14:paraId="6AA7A3EE">
      <w:pPr>
        <w:snapToGrid w:val="0"/>
        <w:spacing w:line="300" w:lineRule="auto"/>
        <w:jc w:val="center"/>
        <w:rPr>
          <w:rFonts w:ascii="Arial" w:hAnsi="Arial" w:eastAsia="宋体" w:cs="Arial"/>
          <w:b/>
        </w:rPr>
      </w:pPr>
      <w:r>
        <w:rPr>
          <w:rFonts w:ascii="Arial" w:hAnsi="Arial" w:eastAsia="宋体" w:cs="Arial"/>
          <w:b/>
        </w:rPr>
        <w:t>文件发布日期：2007年5月1日</w:t>
      </w:r>
    </w:p>
    <w:p w14:paraId="2B0D4929">
      <w:pPr>
        <w:snapToGrid w:val="0"/>
        <w:spacing w:line="300" w:lineRule="auto"/>
        <w:jc w:val="center"/>
        <w:rPr>
          <w:rFonts w:ascii="Arial" w:hAnsi="Arial" w:eastAsia="宋体" w:cs="Arial"/>
          <w:b/>
        </w:rPr>
      </w:pPr>
    </w:p>
    <w:p w14:paraId="6BFE7F57">
      <w:pPr>
        <w:snapToGrid w:val="0"/>
        <w:spacing w:line="300" w:lineRule="auto"/>
        <w:jc w:val="center"/>
        <w:rPr>
          <w:rFonts w:ascii="Arial" w:hAnsi="Arial" w:eastAsia="宋体" w:cs="Arial"/>
          <w:b/>
        </w:rPr>
      </w:pPr>
      <w:r>
        <w:rPr>
          <w:rFonts w:ascii="Arial" w:hAnsi="Arial" w:eastAsia="宋体" w:cs="Arial"/>
          <w:b/>
        </w:rPr>
        <w:t>本指南取代2006年4月10日以本标题发布的文件</w:t>
      </w:r>
    </w:p>
    <w:p w14:paraId="22229646">
      <w:pPr>
        <w:snapToGrid w:val="0"/>
        <w:spacing w:line="300" w:lineRule="auto"/>
        <w:rPr>
          <w:rFonts w:ascii="Arial" w:hAnsi="Arial" w:eastAsia="宋体" w:cs="Arial"/>
        </w:rPr>
      </w:pPr>
    </w:p>
    <w:p w14:paraId="73595DC7">
      <w:pPr>
        <w:pStyle w:val="21"/>
        <w:rPr>
          <w:rFonts w:ascii="Arial" w:hAnsi="Arial" w:eastAsia="宋体" w:cs="Arial"/>
        </w:rPr>
      </w:pPr>
      <w:r>
        <w:rPr>
          <w:rFonts w:ascii="Arial" w:hAnsi="Arial" w:eastAsia="宋体" w:cs="Arial"/>
        </w:rPr>
        <w:t>若对本文件有疑问，</w:t>
      </w:r>
      <w:bookmarkStart w:id="2" w:name="OLE_LINK129"/>
      <w:bookmarkStart w:id="3" w:name="OLE_LINK130"/>
      <w:r>
        <w:rPr>
          <w:rFonts w:ascii="Arial" w:hAnsi="Arial" w:eastAsia="宋体" w:cs="Arial"/>
        </w:rPr>
        <w:t>请与Sally Hojvat博士联系。联系电话：240-276-0711，电子信箱：</w:t>
      </w:r>
      <w:r>
        <w:rPr>
          <w:rFonts w:ascii="Arial" w:hAnsi="Arial" w:cs="Arial"/>
          <w:color w:val="0000FF"/>
          <w:sz w:val="23"/>
          <w:szCs w:val="23"/>
          <w:u w:val="single"/>
        </w:rPr>
        <w:t>sally.hojvat@fda.hhs.gov</w:t>
      </w:r>
      <w:r>
        <w:rPr>
          <w:rFonts w:ascii="Arial" w:hAnsi="Arial" w:eastAsia="宋体" w:cs="Arial"/>
        </w:rPr>
        <w:t>。</w:t>
      </w:r>
    </w:p>
    <w:bookmarkEnd w:id="2"/>
    <w:bookmarkEnd w:id="3"/>
    <w:p w14:paraId="5D98C609">
      <w:pPr>
        <w:snapToGrid w:val="0"/>
        <w:spacing w:line="300" w:lineRule="auto"/>
        <w:rPr>
          <w:rFonts w:ascii="Arial" w:hAnsi="Arial" w:eastAsia="宋体" w:cs="Arial"/>
        </w:rPr>
      </w:pPr>
    </w:p>
    <w:p w14:paraId="35A4C350">
      <w:pPr>
        <w:snapToGrid w:val="0"/>
        <w:spacing w:line="300" w:lineRule="auto"/>
        <w:jc w:val="right"/>
        <w:rPr>
          <w:rFonts w:ascii="Arial" w:hAnsi="Arial" w:eastAsia="宋体" w:cs="Arial"/>
        </w:rPr>
      </w:pPr>
    </w:p>
    <w:p w14:paraId="317BB384">
      <w:pPr>
        <w:snapToGrid w:val="0"/>
        <w:spacing w:line="300" w:lineRule="auto"/>
        <w:jc w:val="right"/>
        <w:rPr>
          <w:rFonts w:ascii="Arial" w:hAnsi="Arial" w:eastAsia="宋体" w:cs="Arial"/>
        </w:rPr>
      </w:pPr>
    </w:p>
    <w:p w14:paraId="7CB54419">
      <w:pPr>
        <w:snapToGrid w:val="0"/>
        <w:spacing w:line="300" w:lineRule="auto"/>
        <w:jc w:val="right"/>
        <w:rPr>
          <w:rFonts w:ascii="Arial" w:hAnsi="Arial" w:eastAsia="宋体" w:cs="Arial"/>
        </w:rPr>
      </w:pPr>
    </w:p>
    <w:p w14:paraId="7DECD803">
      <w:pPr>
        <w:snapToGrid w:val="0"/>
        <w:spacing w:line="300" w:lineRule="auto"/>
        <w:jc w:val="right"/>
        <w:rPr>
          <w:rFonts w:ascii="Arial" w:hAnsi="Arial" w:eastAsia="宋体" w:cs="Arial"/>
        </w:rPr>
      </w:pPr>
      <w:r>
        <w:rPr>
          <w:rFonts w:ascii="Arial" w:hAnsi="Arial" w:eastAsia="宋体" w:cs="Arial"/>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114935</wp:posOffset>
                </wp:positionV>
                <wp:extent cx="1642110" cy="13963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41987" cy="13961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49D7D9">
                            <w:r>
                              <w:rPr>
                                <w:rFonts w:ascii="Arial" w:hAnsi="Arial" w:eastAsia="宋体" w:cs="Arial"/>
                              </w:rPr>
                              <w:drawing>
                                <wp:inline distT="0" distB="0" distL="0" distR="0">
                                  <wp:extent cx="1104900" cy="121158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104996" cy="1211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5pt;margin-top:9.05pt;height:109.95pt;width:129.3pt;z-index:251660288;mso-width-relative:page;mso-height-relative:page;" filled="f" stroked="f" coordsize="21600,21600" o:gfxdata="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MRJ69oAAAAIAQAADwAAAAAAAAABACAA&#10;AAAiAAAAZHJzL2Rvd25yZXYueG1sUEsBAhQAFAAAAAgAh07iQCbsNwpEAgAAdQQAAA4AAAAAAAAA&#10;AQAgAAAAKQEAAGRycy9lMm9Eb2MueG1sUEsFBgAAAAAGAAYAWQEAAN8FAAAAAA==&#10;">
                <v:fill on="f" focussize="0,0"/>
                <v:stroke on="f" weight="0.5pt"/>
                <v:imagedata o:title=""/>
                <o:lock v:ext="edit" aspectratio="f"/>
                <v:textbox>
                  <w:txbxContent>
                    <w:p w14:paraId="7149D7D9">
                      <w:r>
                        <w:rPr>
                          <w:rFonts w:ascii="Arial" w:hAnsi="Arial" w:eastAsia="宋体" w:cs="Arial"/>
                        </w:rPr>
                        <w:drawing>
                          <wp:inline distT="0" distB="0" distL="0" distR="0">
                            <wp:extent cx="1104900" cy="121158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104996" cy="1211685"/>
                                    </a:xfrm>
                                    <a:prstGeom prst="rect">
                                      <a:avLst/>
                                    </a:prstGeom>
                                  </pic:spPr>
                                </pic:pic>
                              </a:graphicData>
                            </a:graphic>
                          </wp:inline>
                        </w:drawing>
                      </w:r>
                    </w:p>
                  </w:txbxContent>
                </v:textbox>
              </v:shape>
            </w:pict>
          </mc:Fallback>
        </mc:AlternateContent>
      </w:r>
    </w:p>
    <w:p w14:paraId="72BE28FA">
      <w:pPr>
        <w:snapToGrid w:val="0"/>
        <w:spacing w:line="300" w:lineRule="auto"/>
        <w:jc w:val="right"/>
        <w:rPr>
          <w:rFonts w:ascii="Arial" w:hAnsi="Arial" w:eastAsia="宋体" w:cs="Arial"/>
          <w:b/>
        </w:rPr>
      </w:pPr>
      <w:r>
        <w:rPr>
          <w:rFonts w:ascii="Arial" w:hAnsi="Arial" w:eastAsia="宋体" w:cs="Arial"/>
          <w:b/>
        </w:rPr>
        <w:t>美国卫生</w:t>
      </w:r>
      <w:r>
        <w:rPr>
          <w:rFonts w:hint="eastAsia" w:ascii="Arial" w:hAnsi="Arial" w:eastAsia="宋体" w:cs="Arial"/>
          <w:b/>
        </w:rPr>
        <w:t>与</w:t>
      </w:r>
      <w:r>
        <w:rPr>
          <w:rFonts w:ascii="Arial" w:hAnsi="Arial" w:eastAsia="宋体" w:cs="Arial"/>
          <w:b/>
        </w:rPr>
        <w:t>公众服务部</w:t>
      </w:r>
    </w:p>
    <w:p w14:paraId="7706308A">
      <w:pPr>
        <w:snapToGrid w:val="0"/>
        <w:spacing w:line="300" w:lineRule="auto"/>
        <w:jc w:val="right"/>
        <w:rPr>
          <w:rFonts w:ascii="Arial" w:hAnsi="Arial" w:eastAsia="宋体" w:cs="Arial"/>
          <w:b/>
        </w:rPr>
      </w:pPr>
      <w:r>
        <w:rPr>
          <w:rFonts w:ascii="Arial" w:hAnsi="Arial" w:eastAsia="宋体" w:cs="Arial"/>
          <w:b/>
        </w:rPr>
        <w:t>食品药品监督管理局</w:t>
      </w:r>
    </w:p>
    <w:p w14:paraId="6AC8F167">
      <w:pPr>
        <w:snapToGrid w:val="0"/>
        <w:spacing w:line="300" w:lineRule="auto"/>
        <w:jc w:val="right"/>
        <w:rPr>
          <w:rFonts w:ascii="Arial" w:hAnsi="Arial" w:eastAsia="宋体" w:cs="Arial"/>
          <w:b/>
        </w:rPr>
      </w:pPr>
      <w:r>
        <w:rPr>
          <w:rFonts w:ascii="Arial" w:hAnsi="Arial" w:eastAsia="宋体" w:cs="Arial"/>
          <w:b/>
        </w:rPr>
        <w:t>器械</w:t>
      </w:r>
      <w:r>
        <w:rPr>
          <w:rFonts w:hint="eastAsia" w:ascii="Arial" w:hAnsi="Arial" w:eastAsia="宋体" w:cs="Arial"/>
          <w:b/>
        </w:rPr>
        <w:t>与</w:t>
      </w:r>
      <w:r>
        <w:rPr>
          <w:rFonts w:ascii="Arial" w:hAnsi="Arial" w:eastAsia="宋体" w:cs="Arial"/>
          <w:b/>
        </w:rPr>
        <w:t>放射健康中心</w:t>
      </w:r>
    </w:p>
    <w:p w14:paraId="489400A7">
      <w:pPr>
        <w:snapToGrid w:val="0"/>
        <w:spacing w:line="300" w:lineRule="auto"/>
        <w:jc w:val="right"/>
        <w:rPr>
          <w:rFonts w:ascii="Arial" w:hAnsi="Arial" w:eastAsia="宋体" w:cs="Arial"/>
          <w:b/>
        </w:rPr>
      </w:pPr>
      <w:r>
        <w:rPr>
          <w:rFonts w:ascii="Arial" w:hAnsi="Arial" w:eastAsia="宋体" w:cs="Arial"/>
          <w:b/>
        </w:rPr>
        <w:t>体外诊断器械评</w:t>
      </w:r>
      <w:r>
        <w:rPr>
          <w:rFonts w:hint="eastAsia" w:ascii="Arial" w:hAnsi="Arial" w:eastAsia="宋体" w:cs="Arial"/>
          <w:b/>
        </w:rPr>
        <w:t>估</w:t>
      </w:r>
      <w:r>
        <w:rPr>
          <w:rFonts w:ascii="Arial" w:hAnsi="Arial" w:eastAsia="宋体" w:cs="Arial"/>
          <w:b/>
        </w:rPr>
        <w:t>和安全办公室</w:t>
      </w:r>
    </w:p>
    <w:p w14:paraId="0173B3E9">
      <w:pPr>
        <w:snapToGrid w:val="0"/>
        <w:spacing w:line="300" w:lineRule="auto"/>
        <w:jc w:val="right"/>
        <w:rPr>
          <w:rFonts w:ascii="Arial" w:hAnsi="Arial" w:eastAsia="宋体" w:cs="Arial"/>
          <w:b/>
        </w:rPr>
      </w:pPr>
      <w:r>
        <w:rPr>
          <w:rFonts w:ascii="Arial" w:hAnsi="Arial" w:eastAsia="宋体" w:cs="Arial"/>
          <w:b/>
        </w:rPr>
        <w:t>微生物检测器械处</w:t>
      </w:r>
    </w:p>
    <w:p w14:paraId="06FE02CB">
      <w:pPr>
        <w:snapToGrid w:val="0"/>
        <w:spacing w:line="300" w:lineRule="auto"/>
        <w:rPr>
          <w:rFonts w:ascii="Arial" w:hAnsi="Arial" w:eastAsia="宋体" w:cs="Arial"/>
        </w:rPr>
      </w:pPr>
    </w:p>
    <w:p w14:paraId="427CB37D">
      <w:pPr>
        <w:snapToGrid w:val="0"/>
        <w:spacing w:line="300" w:lineRule="auto"/>
        <w:rPr>
          <w:rFonts w:ascii="Arial" w:hAnsi="Arial" w:eastAsia="宋体" w:cs="Arial"/>
        </w:rPr>
      </w:pPr>
    </w:p>
    <w:p w14:paraId="39496C02">
      <w:pPr>
        <w:snapToGrid w:val="0"/>
        <w:spacing w:line="300" w:lineRule="auto"/>
        <w:rPr>
          <w:rFonts w:ascii="Arial" w:hAnsi="Arial" w:eastAsia="宋体" w:cs="Arial"/>
        </w:rPr>
      </w:pPr>
    </w:p>
    <w:p w14:paraId="460F0A3F">
      <w:pPr>
        <w:widowControl/>
        <w:jc w:val="left"/>
        <w:rPr>
          <w:rFonts w:ascii="Arial" w:hAnsi="Arial" w:eastAsia="宋体" w:cs="Arial"/>
          <w:b/>
        </w:rPr>
      </w:pPr>
      <w:r>
        <w:rPr>
          <w:rFonts w:ascii="Arial" w:hAnsi="Arial" w:eastAsia="宋体" w:cs="Arial"/>
          <w:b/>
        </w:rPr>
        <w:br w:type="page"/>
      </w:r>
    </w:p>
    <w:p w14:paraId="24B9AACF">
      <w:pPr>
        <w:snapToGrid w:val="0"/>
        <w:spacing w:line="300" w:lineRule="auto"/>
        <w:jc w:val="center"/>
        <w:rPr>
          <w:rFonts w:ascii="Arial" w:hAnsi="Arial" w:eastAsia="宋体" w:cs="Arial"/>
          <w:b/>
          <w:sz w:val="36"/>
          <w:szCs w:val="36"/>
        </w:rPr>
      </w:pPr>
      <w:r>
        <w:rPr>
          <w:rFonts w:ascii="Arial" w:hAnsi="Arial" w:eastAsia="宋体" w:cs="Arial"/>
          <w:b/>
          <w:sz w:val="36"/>
          <w:szCs w:val="36"/>
        </w:rPr>
        <w:t>前言</w:t>
      </w:r>
    </w:p>
    <w:p w14:paraId="11DFE2D2">
      <w:pPr>
        <w:snapToGrid w:val="0"/>
        <w:spacing w:line="300" w:lineRule="auto"/>
        <w:rPr>
          <w:rFonts w:ascii="Arial" w:hAnsi="Arial" w:eastAsia="宋体" w:cs="Arial"/>
        </w:rPr>
      </w:pPr>
    </w:p>
    <w:p w14:paraId="6E49F8B6">
      <w:pPr>
        <w:snapToGrid w:val="0"/>
        <w:spacing w:line="300" w:lineRule="auto"/>
        <w:rPr>
          <w:rFonts w:ascii="Arial" w:hAnsi="Arial" w:eastAsia="宋体" w:cs="Arial"/>
          <w:b/>
        </w:rPr>
      </w:pPr>
      <w:r>
        <w:rPr>
          <w:rFonts w:ascii="Arial" w:hAnsi="Arial" w:eastAsia="宋体" w:cs="Arial"/>
          <w:b/>
        </w:rPr>
        <w:t>公众评论</w:t>
      </w:r>
    </w:p>
    <w:p w14:paraId="2B7EEDBE">
      <w:pPr>
        <w:snapToGrid w:val="0"/>
        <w:spacing w:line="300" w:lineRule="auto"/>
        <w:rPr>
          <w:rFonts w:ascii="Arial" w:hAnsi="Arial" w:eastAsia="宋体" w:cs="Arial"/>
        </w:rPr>
      </w:pPr>
    </w:p>
    <w:p w14:paraId="5FF77D34">
      <w:pPr>
        <w:snapToGrid w:val="0"/>
        <w:spacing w:line="300" w:lineRule="auto"/>
        <w:rPr>
          <w:rFonts w:ascii="Arial" w:hAnsi="Arial" w:eastAsia="宋体" w:cs="Arial"/>
        </w:rPr>
      </w:pPr>
      <w:r>
        <w:rPr>
          <w:rFonts w:ascii="Arial" w:hAnsi="Arial" w:eastAsia="宋体" w:cs="Arial"/>
        </w:rPr>
        <w:t>若有书面评论和建议可随时提交至食品药品监督管理局待审问题管理科</w:t>
      </w:r>
      <w:r>
        <w:rPr>
          <w:rFonts w:hint="eastAsia" w:ascii="Arial" w:hAnsi="Arial" w:eastAsia="宋体" w:cs="Arial"/>
        </w:rPr>
        <w:t>，供部门审议</w:t>
      </w:r>
      <w:r>
        <w:rPr>
          <w:rFonts w:ascii="Arial" w:hAnsi="Arial" w:eastAsia="宋体" w:cs="Arial"/>
        </w:rPr>
        <w:t>。通讯地址：5630 Fishers Lane, Room 1061, （HFA-305）, Rockville, MD, 20852。若为电子评论可提交至</w:t>
      </w:r>
      <w:r>
        <w:rPr>
          <w:rFonts w:ascii="Arial" w:hAnsi="Arial" w:eastAsia="宋体" w:cs="Arial"/>
          <w:color w:val="0000FF"/>
          <w:u w:val="single"/>
        </w:rPr>
        <w:t>http://www.fda.gov/dockets/ecomments</w:t>
      </w:r>
      <w:r>
        <w:rPr>
          <w:rFonts w:ascii="Arial" w:hAnsi="Arial" w:eastAsia="宋体" w:cs="Arial"/>
        </w:rPr>
        <w:t>网站。提交评论时，请注明备审案件编号2006D-0121。</w:t>
      </w:r>
      <w:r>
        <w:rPr>
          <w:rFonts w:hint="eastAsia" w:ascii="Arial" w:hAnsi="Arial" w:eastAsia="宋体" w:cs="Arial"/>
        </w:rPr>
        <w:t>可能直到文件下次修订或更新时，评论才会被机构受理。</w:t>
      </w:r>
    </w:p>
    <w:p w14:paraId="38DD4527">
      <w:pPr>
        <w:snapToGrid w:val="0"/>
        <w:spacing w:line="300" w:lineRule="auto"/>
        <w:rPr>
          <w:rFonts w:ascii="Arial" w:hAnsi="Arial" w:eastAsia="宋体" w:cs="Arial"/>
        </w:rPr>
      </w:pPr>
    </w:p>
    <w:p w14:paraId="7A45216B">
      <w:pPr>
        <w:snapToGrid w:val="0"/>
        <w:spacing w:line="300" w:lineRule="auto"/>
        <w:rPr>
          <w:rFonts w:ascii="Arial" w:hAnsi="Arial" w:eastAsia="宋体" w:cs="Arial"/>
          <w:b/>
        </w:rPr>
      </w:pPr>
      <w:bookmarkStart w:id="4" w:name="OLE_LINK146"/>
      <w:bookmarkStart w:id="5" w:name="OLE_LINK147"/>
      <w:r>
        <w:rPr>
          <w:rFonts w:ascii="Arial" w:hAnsi="Arial" w:eastAsia="宋体" w:cs="Arial"/>
          <w:b/>
        </w:rPr>
        <w:t>其他副本</w:t>
      </w:r>
    </w:p>
    <w:p w14:paraId="4EA53ABD">
      <w:pPr>
        <w:snapToGrid w:val="0"/>
        <w:spacing w:line="300" w:lineRule="auto"/>
        <w:rPr>
          <w:rFonts w:ascii="Arial" w:hAnsi="Arial" w:eastAsia="宋体" w:cs="Arial"/>
        </w:rPr>
      </w:pPr>
    </w:p>
    <w:p w14:paraId="4751E4E7">
      <w:pPr>
        <w:snapToGrid w:val="0"/>
        <w:spacing w:line="300" w:lineRule="auto"/>
        <w:rPr>
          <w:rFonts w:ascii="Arial" w:hAnsi="Arial" w:eastAsia="宋体" w:cs="Arial"/>
        </w:rPr>
      </w:pPr>
      <w:r>
        <w:rPr>
          <w:rFonts w:ascii="Arial" w:hAnsi="Arial" w:eastAsia="宋体" w:cs="Arial"/>
        </w:rPr>
        <w:t>其他副本可从网上下载，网址：</w:t>
      </w:r>
      <w:r>
        <w:rPr>
          <w:rFonts w:ascii="Arial" w:hAnsi="Arial" w:eastAsia="宋体" w:cs="Arial"/>
          <w:color w:val="0000FF"/>
          <w:u w:val="single"/>
        </w:rPr>
        <w:t>http://www.fda.gov/cdrh/oivd/guidance/1594.pdf</w:t>
      </w:r>
      <w:r>
        <w:rPr>
          <w:rFonts w:ascii="Arial" w:hAnsi="Arial" w:eastAsia="宋体" w:cs="Arial"/>
        </w:rPr>
        <w:t>。贵公司还可发送电邮申请至dsmica@fda.hhs.gov获取本指南的电子副本或发送传真申请至240-276-3151获取复印件。请用文件编号1594确认贵公司索取的指南。</w:t>
      </w:r>
    </w:p>
    <w:bookmarkEnd w:id="4"/>
    <w:bookmarkEnd w:id="5"/>
    <w:p w14:paraId="3D800750">
      <w:pPr>
        <w:snapToGrid w:val="0"/>
        <w:spacing w:line="300" w:lineRule="auto"/>
        <w:rPr>
          <w:rFonts w:ascii="Arial" w:hAnsi="Arial" w:eastAsia="宋体" w:cs="Arial"/>
        </w:rPr>
      </w:pPr>
    </w:p>
    <w:p w14:paraId="339F9A85">
      <w:pPr>
        <w:snapToGrid w:val="0"/>
        <w:spacing w:line="300" w:lineRule="auto"/>
        <w:rPr>
          <w:rFonts w:ascii="Arial" w:hAnsi="Arial" w:eastAsia="宋体" w:cs="Arial"/>
        </w:rPr>
      </w:pPr>
      <w:r>
        <w:rPr>
          <w:rFonts w:ascii="Arial" w:hAnsi="Arial" w:eastAsia="宋体" w:cs="Arial"/>
        </w:rPr>
        <w:t>对本指南的使用或解释若有疑问，请与Sally Hojvat博士联系。联系电话：240-276-0711，电子信箱：</w:t>
      </w:r>
      <w:r>
        <w:rPr>
          <w:rFonts w:ascii="Arial" w:hAnsi="Arial" w:eastAsia="宋体" w:cs="Arial"/>
          <w:color w:val="0000FF"/>
          <w:u w:val="single"/>
        </w:rPr>
        <w:t>sally.hojvat @fda.hhs.gov</w:t>
      </w:r>
      <w:r>
        <w:rPr>
          <w:rFonts w:ascii="Arial" w:hAnsi="Arial" w:eastAsia="宋体" w:cs="Arial"/>
        </w:rPr>
        <w:t>。</w:t>
      </w:r>
    </w:p>
    <w:p w14:paraId="66B68172">
      <w:pPr>
        <w:snapToGrid w:val="0"/>
        <w:spacing w:line="300" w:lineRule="auto"/>
        <w:rPr>
          <w:rFonts w:ascii="Arial" w:hAnsi="Arial" w:eastAsia="宋体" w:cs="Arial"/>
        </w:rPr>
      </w:pPr>
    </w:p>
    <w:p w14:paraId="4FE696A6">
      <w:pPr>
        <w:snapToGrid w:val="0"/>
        <w:spacing w:line="300" w:lineRule="auto"/>
        <w:rPr>
          <w:rFonts w:ascii="Arial" w:hAnsi="Arial" w:eastAsia="宋体" w:cs="Arial"/>
        </w:rPr>
      </w:pPr>
    </w:p>
    <w:p w14:paraId="2EFD5F3F">
      <w:pPr>
        <w:snapToGrid w:val="0"/>
        <w:spacing w:line="300" w:lineRule="auto"/>
        <w:rPr>
          <w:rFonts w:ascii="Arial" w:hAnsi="Arial" w:eastAsia="宋体" w:cs="Arial"/>
        </w:rPr>
      </w:pPr>
    </w:p>
    <w:p w14:paraId="3772070C">
      <w:pPr>
        <w:widowControl/>
        <w:jc w:val="left"/>
        <w:rPr>
          <w:rFonts w:ascii="Arial" w:hAnsi="Arial" w:eastAsia="宋体" w:cs="Arial"/>
          <w:b/>
        </w:rPr>
      </w:pPr>
    </w:p>
    <w:p w14:paraId="4D66338F">
      <w:pPr>
        <w:snapToGrid w:val="0"/>
        <w:spacing w:line="300" w:lineRule="auto"/>
        <w:rPr>
          <w:rFonts w:ascii="Arial" w:hAnsi="Arial" w:eastAsia="宋体" w:cs="Arial"/>
          <w:b/>
        </w:rPr>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pPr>
    </w:p>
    <w:sdt>
      <w:sdtPr>
        <w:rPr>
          <w:rFonts w:asciiTheme="minorHAnsi" w:hAnsiTheme="minorHAnsi" w:eastAsiaTheme="minorEastAsia" w:cstheme="minorBidi"/>
          <w:b/>
          <w:color w:val="000000" w:themeColor="text1"/>
          <w:kern w:val="2"/>
          <w:sz w:val="21"/>
          <w:szCs w:val="22"/>
          <w:lang w:val="zh-CN"/>
          <w14:textFill>
            <w14:solidFill>
              <w14:schemeClr w14:val="tx1"/>
            </w14:solidFill>
          </w14:textFill>
        </w:rPr>
        <w:id w:val="2051421160"/>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0D09D3D3">
          <w:pPr>
            <w:pStyle w:val="24"/>
            <w:jc w:val="center"/>
            <w:rPr>
              <w:b/>
              <w:color w:val="000000" w:themeColor="text1"/>
              <w14:textFill>
                <w14:solidFill>
                  <w14:schemeClr w14:val="tx1"/>
                </w14:solidFill>
              </w14:textFill>
            </w:rPr>
          </w:pPr>
          <w:r>
            <w:rPr>
              <w:b/>
              <w:color w:val="000000" w:themeColor="text1"/>
              <w:lang w:val="zh-CN"/>
              <w14:textFill>
                <w14:solidFill>
                  <w14:schemeClr w14:val="tx1"/>
                </w14:solidFill>
              </w14:textFill>
            </w:rPr>
            <w:t>目录</w:t>
          </w:r>
        </w:p>
        <w:p w14:paraId="7B082FB1">
          <w:pPr>
            <w:pStyle w:val="7"/>
            <w:rPr>
              <w:rFonts w:ascii="Arial" w:hAnsi="Arial" w:eastAsia="宋体" w:cs="Arial"/>
            </w:rPr>
          </w:pPr>
          <w:r>
            <w:rPr>
              <w:rFonts w:ascii="Arial" w:hAnsi="Arial" w:eastAsia="宋体" w:cs="Arial"/>
            </w:rPr>
            <w:fldChar w:fldCharType="begin"/>
          </w:r>
          <w:r>
            <w:rPr>
              <w:rFonts w:ascii="Arial" w:hAnsi="Arial" w:eastAsia="宋体" w:cs="Arial"/>
            </w:rPr>
            <w:instrText xml:space="preserve"> TOC \o "1-3" \h \z \u </w:instrText>
          </w:r>
          <w:r>
            <w:rPr>
              <w:rFonts w:ascii="Arial" w:hAnsi="Arial" w:eastAsia="宋体" w:cs="Arial"/>
            </w:rPr>
            <w:fldChar w:fldCharType="separate"/>
          </w:r>
          <w:r>
            <w:fldChar w:fldCharType="begin"/>
          </w:r>
          <w:r>
            <w:instrText xml:space="preserve"> HYPERLINK \l "_Toc479582835" </w:instrText>
          </w:r>
          <w:r>
            <w:fldChar w:fldCharType="separate"/>
          </w:r>
          <w:r>
            <w:rPr>
              <w:rStyle w:val="13"/>
              <w:rFonts w:ascii="Arial" w:hAnsi="Arial" w:eastAsia="宋体" w:cs="Arial"/>
              <w:b/>
            </w:rPr>
            <w:t>I. 简介</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_Toc479582835 \h </w:instrText>
          </w:r>
          <w:r>
            <w:rPr>
              <w:rFonts w:ascii="Arial" w:hAnsi="Arial" w:eastAsia="宋体" w:cs="Arial"/>
            </w:rPr>
            <w:fldChar w:fldCharType="separate"/>
          </w:r>
          <w:r>
            <w:rPr>
              <w:rFonts w:ascii="Arial" w:hAnsi="Arial" w:eastAsia="宋体" w:cs="Arial"/>
            </w:rPr>
            <w:t>4</w:t>
          </w:r>
          <w:r>
            <w:rPr>
              <w:rFonts w:ascii="Arial" w:hAnsi="Arial" w:eastAsia="宋体" w:cs="Arial"/>
            </w:rPr>
            <w:fldChar w:fldCharType="end"/>
          </w:r>
          <w:r>
            <w:rPr>
              <w:rFonts w:ascii="Arial" w:hAnsi="Arial" w:eastAsia="宋体" w:cs="Arial"/>
            </w:rPr>
            <w:fldChar w:fldCharType="end"/>
          </w:r>
        </w:p>
        <w:p w14:paraId="0E18E953">
          <w:pPr>
            <w:pStyle w:val="7"/>
            <w:rPr>
              <w:rFonts w:ascii="Arial" w:hAnsi="Arial" w:eastAsia="宋体" w:cs="Arial"/>
            </w:rPr>
          </w:pPr>
          <w:r>
            <w:fldChar w:fldCharType="begin"/>
          </w:r>
          <w:r>
            <w:instrText xml:space="preserve"> HYPERLINK \l "_Toc479582836" </w:instrText>
          </w:r>
          <w:r>
            <w:fldChar w:fldCharType="separate"/>
          </w:r>
          <w:r>
            <w:rPr>
              <w:rStyle w:val="13"/>
              <w:rFonts w:ascii="Arial" w:hAnsi="Arial" w:eastAsia="宋体" w:cs="Arial"/>
              <w:b/>
            </w:rPr>
            <w:t>II. 背景</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_Toc479582836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517A5A64">
          <w:pPr>
            <w:pStyle w:val="7"/>
            <w:rPr>
              <w:rFonts w:ascii="Arial" w:hAnsi="Arial" w:eastAsia="宋体" w:cs="Arial"/>
            </w:rPr>
          </w:pPr>
          <w:r>
            <w:fldChar w:fldCharType="begin"/>
          </w:r>
          <w:r>
            <w:instrText xml:space="preserve"> HYPERLINK \l "_Toc479582837" </w:instrText>
          </w:r>
          <w:r>
            <w:fldChar w:fldCharType="separate"/>
          </w:r>
          <w:r>
            <w:rPr>
              <w:rStyle w:val="13"/>
              <w:rFonts w:ascii="Arial" w:hAnsi="Arial" w:eastAsia="宋体" w:cs="Arial"/>
              <w:b/>
            </w:rPr>
            <w:t>III. 最小负担法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_Toc479582837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77E0B657">
          <w:pPr>
            <w:pStyle w:val="7"/>
            <w:rPr>
              <w:rFonts w:ascii="Arial" w:hAnsi="Arial" w:eastAsia="宋体" w:cs="Arial"/>
            </w:rPr>
          </w:pPr>
          <w:r>
            <w:fldChar w:fldCharType="begin"/>
          </w:r>
          <w:r>
            <w:instrText xml:space="preserve"> HYPERLINK \l "_Toc479582838" </w:instrText>
          </w:r>
          <w:r>
            <w:fldChar w:fldCharType="separate"/>
          </w:r>
          <w:r>
            <w:rPr>
              <w:rStyle w:val="13"/>
              <w:rFonts w:ascii="Arial" w:hAnsi="Arial" w:eastAsia="宋体" w:cs="Arial"/>
              <w:b/>
            </w:rPr>
            <w:t>IV. 适用范围</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_Toc479582838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37848850">
          <w:pPr>
            <w:pStyle w:val="7"/>
            <w:rPr>
              <w:rFonts w:ascii="Arial" w:hAnsi="Arial" w:eastAsia="宋体" w:cs="Arial"/>
            </w:rPr>
          </w:pPr>
          <w:r>
            <w:fldChar w:fldCharType="begin"/>
          </w:r>
          <w:r>
            <w:instrText xml:space="preserve"> HYPERLINK \l "_Toc479582839" </w:instrText>
          </w:r>
          <w:r>
            <w:fldChar w:fldCharType="separate"/>
          </w:r>
          <w:r>
            <w:rPr>
              <w:rStyle w:val="13"/>
              <w:rFonts w:ascii="Arial" w:hAnsi="Arial" w:eastAsia="宋体" w:cs="Arial"/>
              <w:b/>
            </w:rPr>
            <w:t>V. 贴标信息</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_Toc479582839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564718D7">
          <w:pPr>
            <w:pStyle w:val="8"/>
            <w:tabs>
              <w:tab w:val="right" w:leader="dot" w:pos="8296"/>
            </w:tabs>
            <w:rPr>
              <w:rFonts w:ascii="Arial" w:hAnsi="Arial" w:eastAsia="宋体" w:cs="Arial"/>
            </w:rPr>
          </w:pPr>
          <w:r>
            <w:fldChar w:fldCharType="begin"/>
          </w:r>
          <w:r>
            <w:instrText xml:space="preserve"> HYPERLINK \l "_Toc479582840" </w:instrText>
          </w:r>
          <w:r>
            <w:fldChar w:fldCharType="separate"/>
          </w:r>
          <w:r>
            <w:rPr>
              <w:rStyle w:val="13"/>
              <w:rFonts w:ascii="Arial" w:hAnsi="Arial" w:eastAsia="宋体" w:cs="Arial"/>
            </w:rPr>
            <w:t>A. 标签推荐规范</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_Toc479582840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354D4E1A">
          <w:pPr>
            <w:pStyle w:val="8"/>
            <w:tabs>
              <w:tab w:val="right" w:leader="dot" w:pos="8296"/>
            </w:tabs>
            <w:rPr>
              <w:rFonts w:ascii="Arial" w:hAnsi="Arial" w:eastAsia="宋体" w:cs="Arial"/>
            </w:rPr>
          </w:pPr>
          <w:r>
            <w:fldChar w:fldCharType="begin"/>
          </w:r>
          <w:r>
            <w:instrText xml:space="preserve"> HYPERLINK \l "_Toc479582841" </w:instrText>
          </w:r>
          <w:r>
            <w:fldChar w:fldCharType="separate"/>
          </w:r>
          <w:r>
            <w:rPr>
              <w:rStyle w:val="13"/>
              <w:rFonts w:ascii="Arial" w:hAnsi="Arial" w:eastAsia="宋体" w:cs="Arial"/>
            </w:rPr>
            <w:t>B. 贴标推荐规范</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_Toc479582841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6049C380">
          <w:pPr>
            <w:pStyle w:val="7"/>
            <w:rPr>
              <w:rFonts w:ascii="Arial" w:hAnsi="Arial" w:eastAsia="宋体" w:cs="Arial"/>
            </w:rPr>
          </w:pPr>
          <w:r>
            <w:fldChar w:fldCharType="begin"/>
          </w:r>
          <w:r>
            <w:instrText xml:space="preserve"> HYPERLINK \l "_Toc479582842" </w:instrText>
          </w:r>
          <w:r>
            <w:fldChar w:fldCharType="separate"/>
          </w:r>
          <w:r>
            <w:rPr>
              <w:rStyle w:val="13"/>
              <w:rFonts w:ascii="Arial" w:hAnsi="Arial" w:eastAsia="宋体" w:cs="Arial"/>
              <w:b/>
            </w:rPr>
            <w:t>VI. 拟用于检测甲型流感病毒（包括新型甲型流感病毒）或检测并鉴别某种具体甲型流感病毒的新产品或改良产品的上市前申请路径</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_Toc479582842 \h </w:instrText>
          </w:r>
          <w:r>
            <w:rPr>
              <w:rFonts w:ascii="Arial" w:hAnsi="Arial" w:eastAsia="宋体" w:cs="Arial"/>
            </w:rPr>
            <w:fldChar w:fldCharType="separate"/>
          </w:r>
          <w:r>
            <w:rPr>
              <w:rFonts w:ascii="Arial" w:hAnsi="Arial" w:eastAsia="宋体" w:cs="Arial"/>
            </w:rPr>
            <w:t>11</w:t>
          </w:r>
          <w:r>
            <w:rPr>
              <w:rFonts w:ascii="Arial" w:hAnsi="Arial" w:eastAsia="宋体" w:cs="Arial"/>
            </w:rPr>
            <w:fldChar w:fldCharType="end"/>
          </w:r>
          <w:r>
            <w:rPr>
              <w:rFonts w:ascii="Arial" w:hAnsi="Arial" w:eastAsia="宋体" w:cs="Arial"/>
            </w:rPr>
            <w:fldChar w:fldCharType="end"/>
          </w:r>
        </w:p>
        <w:p w14:paraId="35897D20">
          <w:r>
            <w:rPr>
              <w:rFonts w:ascii="Arial" w:hAnsi="Arial" w:eastAsia="宋体" w:cs="Arial"/>
              <w:b/>
              <w:bCs/>
              <w:lang w:val="zh-CN"/>
            </w:rPr>
            <w:fldChar w:fldCharType="end"/>
          </w:r>
        </w:p>
      </w:sdtContent>
    </w:sdt>
    <w:p w14:paraId="54CBD1CC">
      <w:pPr>
        <w:snapToGrid w:val="0"/>
        <w:spacing w:line="300" w:lineRule="auto"/>
        <w:rPr>
          <w:rFonts w:ascii="Arial" w:hAnsi="Arial" w:eastAsia="宋体" w:cs="Arial"/>
          <w:b/>
        </w:rPr>
        <w:sectPr>
          <w:footerReference r:id="rId7" w:type="first"/>
          <w:pgSz w:w="11906" w:h="16838"/>
          <w:pgMar w:top="1440" w:right="1800" w:bottom="1440" w:left="1800" w:header="851" w:footer="992" w:gutter="0"/>
          <w:cols w:space="425" w:num="1"/>
          <w:titlePg/>
          <w:docGrid w:type="lines" w:linePitch="312" w:charSpace="0"/>
        </w:sectPr>
      </w:pPr>
    </w:p>
    <w:p w14:paraId="14667A36">
      <w:pPr>
        <w:snapToGrid w:val="0"/>
        <w:spacing w:line="300" w:lineRule="auto"/>
        <w:jc w:val="center"/>
        <w:rPr>
          <w:rFonts w:ascii="Arial" w:hAnsi="Arial" w:eastAsia="宋体" w:cs="Arial"/>
          <w:b/>
          <w:sz w:val="44"/>
          <w:szCs w:val="44"/>
        </w:rPr>
      </w:pPr>
      <w:r>
        <w:rPr>
          <w:rFonts w:ascii="Arial" w:hAnsi="Arial" w:eastAsia="宋体" w:cs="Arial"/>
          <w:b/>
          <w:sz w:val="44"/>
          <w:szCs w:val="44"/>
        </w:rPr>
        <w:t>行业和食品药品监督管理局工作人员指南</w:t>
      </w:r>
    </w:p>
    <w:p w14:paraId="2DADF6E5">
      <w:pPr>
        <w:snapToGrid w:val="0"/>
        <w:spacing w:line="300" w:lineRule="auto"/>
        <w:jc w:val="center"/>
        <w:rPr>
          <w:rFonts w:ascii="Arial" w:hAnsi="Arial" w:eastAsia="宋体" w:cs="Arial"/>
          <w:sz w:val="44"/>
          <w:szCs w:val="44"/>
        </w:rPr>
      </w:pPr>
      <w:r>
        <w:rPr>
          <w:rFonts w:ascii="Arial" w:hAnsi="Arial" w:eastAsia="宋体" w:cs="Arial"/>
          <w:sz w:val="44"/>
          <w:szCs w:val="44"/>
        </w:rPr>
        <mc:AlternateContent>
          <mc:Choice Requires="wps">
            <w:drawing>
              <wp:anchor distT="0" distB="0" distL="114300" distR="114300" simplePos="0" relativeHeight="251661312" behindDoc="0" locked="0" layoutInCell="1" allowOverlap="1">
                <wp:simplePos x="0" y="0"/>
                <wp:positionH relativeFrom="column">
                  <wp:posOffset>26670</wp:posOffset>
                </wp:positionH>
                <wp:positionV relativeFrom="paragraph">
                  <wp:posOffset>186055</wp:posOffset>
                </wp:positionV>
                <wp:extent cx="5201285" cy="0"/>
                <wp:effectExtent l="0" t="0" r="19050" b="19050"/>
                <wp:wrapNone/>
                <wp:docPr id="5" name="直接连接符 5"/>
                <wp:cNvGraphicFramePr/>
                <a:graphic xmlns:a="http://schemas.openxmlformats.org/drawingml/2006/main">
                  <a:graphicData uri="http://schemas.microsoft.com/office/word/2010/wordprocessingShape">
                    <wps:wsp>
                      <wps:cNvCnPr/>
                      <wps:spPr>
                        <a:xfrm>
                          <a:off x="0" y="0"/>
                          <a:ext cx="52012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1pt;margin-top:14.65pt;height:0pt;width:409.55pt;z-index:251661312;mso-width-relative:page;mso-height-relative:page;" filled="f" stroked="t" coordsize="21600,21600" o:gfxdata="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5esgQ1AAAAAcBAAAPAAAAAAAAAAEAIAAA&#10;ACIAAABkcnMvZG93bnJldi54bWxQSwECFAAUAAAACACHTuJAPHiprtcBAACaAwAADgAAAAAAAAAB&#10;ACAAAAAjAQAAZHJzL2Uyb0RvYy54bWxQSwUGAAAAAAYABgBZAQAAbAUAAAAA&#10;">
                <v:fill on="f" focussize="0,0"/>
                <v:stroke color="#000000 [3213]" joinstyle="round"/>
                <v:imagedata o:title=""/>
                <o:lock v:ext="edit" aspectratio="f"/>
              </v:line>
            </w:pict>
          </mc:Fallback>
        </mc:AlternateContent>
      </w:r>
    </w:p>
    <w:p w14:paraId="7C967D11">
      <w:pPr>
        <w:snapToGrid w:val="0"/>
        <w:spacing w:line="300" w:lineRule="auto"/>
        <w:jc w:val="center"/>
        <w:rPr>
          <w:rFonts w:ascii="Arial" w:hAnsi="Arial" w:eastAsia="宋体" w:cs="Arial"/>
          <w:b/>
          <w:sz w:val="44"/>
          <w:szCs w:val="44"/>
        </w:rPr>
      </w:pPr>
      <w:r>
        <w:rPr>
          <w:rFonts w:ascii="Arial" w:hAnsi="Arial" w:eastAsia="宋体" w:cs="Arial"/>
          <w:b/>
          <w:sz w:val="44"/>
          <w:szCs w:val="44"/>
        </w:rPr>
        <w:t>用于检测甲型流感病毒的体外诊断器械：</w:t>
      </w:r>
      <w:r>
        <w:rPr>
          <w:rFonts w:ascii="Arial" w:hAnsi="Arial" w:eastAsia="宋体" w:cs="Arial"/>
          <w:b/>
          <w:sz w:val="44"/>
          <w:szCs w:val="44"/>
        </w:rPr>
        <w:br w:type="textWrapping"/>
      </w:r>
      <w:r>
        <w:rPr>
          <w:rFonts w:ascii="Arial" w:hAnsi="Arial" w:eastAsia="宋体" w:cs="Arial"/>
          <w:b/>
          <w:sz w:val="44"/>
          <w:szCs w:val="44"/>
        </w:rPr>
        <w:t>贴标和监管路径</w:t>
      </w:r>
    </w:p>
    <w:p w14:paraId="58AEAC41">
      <w:pPr>
        <w:snapToGrid w:val="0"/>
        <w:spacing w:line="300" w:lineRule="auto"/>
        <w:rPr>
          <w:rFonts w:ascii="Arial" w:hAnsi="Arial" w:eastAsia="宋体" w:cs="Arial"/>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B31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24" w:space="0"/>
              <w:left w:val="single" w:color="auto" w:sz="24" w:space="0"/>
              <w:bottom w:val="single" w:color="auto" w:sz="24" w:space="0"/>
              <w:right w:val="single" w:color="auto" w:sz="24" w:space="0"/>
            </w:tcBorders>
          </w:tcPr>
          <w:p w14:paraId="32CB5556">
            <w:pPr>
              <w:snapToGrid w:val="0"/>
              <w:spacing w:line="300" w:lineRule="auto"/>
              <w:rPr>
                <w:rFonts w:ascii="Arial" w:hAnsi="Arial" w:eastAsia="宋体" w:cs="Arial"/>
                <w:i/>
              </w:rPr>
            </w:pPr>
            <w:r>
              <w:rPr>
                <w:rFonts w:ascii="Arial" w:hAnsi="Arial" w:eastAsia="宋体" w:cs="Arial"/>
                <w:i/>
              </w:rPr>
              <w:t>本指南代表食品药品监督管理局目前对该主题的意见。</w:t>
            </w:r>
            <w:r>
              <w:rPr>
                <w:rFonts w:hint="eastAsia" w:ascii="Arial" w:hAnsi="Arial" w:eastAsia="宋体" w:cs="Arial"/>
                <w:i/>
              </w:rPr>
              <w:t>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合适的电话号码。</w:t>
            </w:r>
          </w:p>
        </w:tc>
      </w:tr>
    </w:tbl>
    <w:p w14:paraId="00D238B6">
      <w:pPr>
        <w:snapToGrid w:val="0"/>
        <w:spacing w:line="300" w:lineRule="auto"/>
        <w:rPr>
          <w:rFonts w:ascii="Arial" w:hAnsi="Arial" w:eastAsia="宋体" w:cs="Arial"/>
        </w:rPr>
      </w:pPr>
    </w:p>
    <w:p w14:paraId="44F3CBB0">
      <w:pPr>
        <w:snapToGrid w:val="0"/>
        <w:spacing w:line="300" w:lineRule="auto"/>
        <w:outlineLvl w:val="0"/>
        <w:rPr>
          <w:rFonts w:ascii="Arial" w:hAnsi="Arial" w:eastAsia="宋体" w:cs="Arial"/>
          <w:b/>
        </w:rPr>
      </w:pPr>
      <w:bookmarkStart w:id="6" w:name="_Toc479582835"/>
      <w:r>
        <w:rPr>
          <w:rFonts w:ascii="Arial" w:hAnsi="Arial" w:eastAsia="宋体" w:cs="Arial"/>
          <w:b/>
        </w:rPr>
        <w:t>I. 简介</w:t>
      </w:r>
      <w:bookmarkEnd w:id="6"/>
    </w:p>
    <w:p w14:paraId="7DE07B9D">
      <w:pPr>
        <w:snapToGrid w:val="0"/>
        <w:spacing w:line="300" w:lineRule="auto"/>
        <w:rPr>
          <w:rFonts w:ascii="Arial" w:hAnsi="Arial" w:eastAsia="宋体" w:cs="Arial"/>
        </w:rPr>
      </w:pPr>
    </w:p>
    <w:p w14:paraId="6836A5E6">
      <w:pPr>
        <w:snapToGrid w:val="0"/>
        <w:spacing w:line="300" w:lineRule="auto"/>
        <w:rPr>
          <w:rFonts w:ascii="Arial" w:hAnsi="Arial" w:eastAsia="宋体" w:cs="Arial"/>
        </w:rPr>
      </w:pPr>
      <w:r>
        <w:rPr>
          <w:rFonts w:ascii="Arial" w:hAnsi="Arial" w:eastAsia="宋体" w:cs="Arial"/>
        </w:rPr>
        <w:t>食品药品监督管理局发布本指南的目的是将确保安全、有效地使用拟直接从人体标本中检测甲型流感（或甲型/乙型流感）病毒的体外诊断（IVD）器械所需的推荐步骤</w:t>
      </w:r>
      <w:bookmarkStart w:id="7" w:name="OLE_LINK141"/>
      <w:r>
        <w:rPr>
          <w:rFonts w:ascii="Arial" w:hAnsi="Arial" w:eastAsia="宋体" w:cs="Arial"/>
        </w:rPr>
        <w:t>告知行业和本局工作人员</w:t>
      </w:r>
      <w:bookmarkEnd w:id="7"/>
      <w:r>
        <w:rPr>
          <w:rFonts w:ascii="Arial" w:hAnsi="Arial" w:eastAsia="宋体" w:cs="Arial"/>
        </w:rPr>
        <w:t>。食品药品监督管理局本次采取行动是因为最近出现了严重的公共卫生问题，这个问题涉及一种在东南亚作为一种人类病原体而出现的甲型禽流感病毒株。</w:t>
      </w:r>
    </w:p>
    <w:p w14:paraId="4CC51875">
      <w:pPr>
        <w:snapToGrid w:val="0"/>
        <w:spacing w:line="300" w:lineRule="auto"/>
        <w:rPr>
          <w:rFonts w:ascii="Arial" w:hAnsi="Arial" w:eastAsia="宋体" w:cs="Arial"/>
        </w:rPr>
      </w:pPr>
    </w:p>
    <w:p w14:paraId="020D3108">
      <w:pPr>
        <w:snapToGrid w:val="0"/>
        <w:spacing w:line="300" w:lineRule="auto"/>
        <w:rPr>
          <w:rFonts w:ascii="Arial" w:hAnsi="Arial" w:eastAsia="宋体" w:cs="Arial"/>
        </w:rPr>
      </w:pPr>
      <w:r>
        <w:rPr>
          <w:rFonts w:ascii="Arial" w:hAnsi="Arial" w:eastAsia="宋体" w:cs="Arial"/>
        </w:rPr>
        <w:t>本指南描述的贴标要求适合于拟直接从人体标本中一般检测</w:t>
      </w:r>
      <w:bookmarkStart w:id="8" w:name="OLE_LINK148"/>
      <w:bookmarkStart w:id="9" w:name="OLE_LINK149"/>
      <w:bookmarkStart w:id="10" w:name="OLE_LINK150"/>
      <w:r>
        <w:rPr>
          <w:rFonts w:ascii="Arial" w:hAnsi="Arial" w:eastAsia="宋体" w:cs="Arial"/>
        </w:rPr>
        <w:t>甲型流感（或甲型/乙型流感）</w:t>
      </w:r>
      <w:bookmarkEnd w:id="8"/>
      <w:bookmarkEnd w:id="9"/>
      <w:bookmarkEnd w:id="10"/>
      <w:r>
        <w:rPr>
          <w:rFonts w:ascii="Arial" w:hAnsi="Arial" w:eastAsia="宋体" w:cs="Arial"/>
        </w:rPr>
        <w:t>病毒的所有体外诊断产品。本指南描述了满足这些要求的推荐规范并特别强调要确保合法销售的甲型流感（</w:t>
      </w:r>
      <w:bookmarkStart w:id="11" w:name="OLE_LINK19"/>
      <w:bookmarkStart w:id="12" w:name="OLE_LINK20"/>
      <w:r>
        <w:rPr>
          <w:rFonts w:ascii="Arial" w:hAnsi="Arial" w:eastAsia="宋体" w:cs="Arial"/>
        </w:rPr>
        <w:t>或甲型/乙型流感</w:t>
      </w:r>
      <w:bookmarkEnd w:id="11"/>
      <w:bookmarkEnd w:id="12"/>
      <w:r>
        <w:rPr>
          <w:rFonts w:ascii="Arial" w:hAnsi="Arial" w:eastAsia="宋体" w:cs="Arial"/>
        </w:rPr>
        <w:t>）检验器械拥有正确的贴标。这些器械获得销售许可与导致人类感染的新型甲型流感病毒（如H5N1、H9N2、H7N7）的特性数据无关。[此类器械已按21 CFR 866.3330的规定进行了分类。] 本指南还对拟一般检测甲型流感病毒或拟检测和鉴别导致人类感染某种特定新型甲型流感病毒的新型或改良器械的上市前监管路径进行了概述。在本指南中还包含了丰富的对所有此类器械的临床性能和有效性进行评估所需信息的推荐规范。</w:t>
      </w:r>
    </w:p>
    <w:p w14:paraId="70B71F80">
      <w:pPr>
        <w:snapToGrid w:val="0"/>
        <w:spacing w:line="300" w:lineRule="auto"/>
        <w:rPr>
          <w:rFonts w:ascii="Arial" w:hAnsi="Arial" w:eastAsia="宋体" w:cs="Arial"/>
        </w:rPr>
      </w:pPr>
    </w:p>
    <w:p w14:paraId="58FF90DD">
      <w:pPr>
        <w:snapToGrid w:val="0"/>
        <w:spacing w:line="300" w:lineRule="auto"/>
        <w:rPr>
          <w:rFonts w:ascii="Arial" w:hAnsi="Arial" w:eastAsia="宋体" w:cs="Arial"/>
        </w:rPr>
      </w:pPr>
    </w:p>
    <w:p w14:paraId="69B6B131">
      <w:pPr>
        <w:snapToGrid w:val="0"/>
        <w:spacing w:line="300" w:lineRule="auto"/>
        <w:rPr>
          <w:rFonts w:ascii="Arial" w:hAnsi="Arial" w:eastAsia="宋体" w:cs="Arial"/>
        </w:rPr>
      </w:pPr>
    </w:p>
    <w:p w14:paraId="187ADECA">
      <w:pPr>
        <w:snapToGrid w:val="0"/>
        <w:spacing w:line="300" w:lineRule="auto"/>
        <w:rPr>
          <w:rFonts w:ascii="Arial" w:hAnsi="Arial" w:eastAsia="宋体" w:cs="Arial"/>
        </w:rPr>
      </w:pPr>
    </w:p>
    <w:p w14:paraId="06EA5D2C">
      <w:pPr>
        <w:snapToGrid w:val="0"/>
        <w:spacing w:line="300" w:lineRule="auto"/>
        <w:rPr>
          <w:rFonts w:ascii="Arial" w:hAnsi="Arial" w:eastAsia="宋体" w:cs="Arial"/>
        </w:rPr>
      </w:pPr>
    </w:p>
    <w:p w14:paraId="4284F9C9">
      <w:pPr>
        <w:snapToGrid w:val="0"/>
        <w:spacing w:line="300" w:lineRule="auto"/>
        <w:rPr>
          <w:rFonts w:ascii="Arial" w:hAnsi="Arial" w:eastAsia="宋体" w:cs="Arial"/>
        </w:rPr>
      </w:pPr>
    </w:p>
    <w:p w14:paraId="59354FF7">
      <w:pPr>
        <w:snapToGrid w:val="0"/>
        <w:spacing w:line="300" w:lineRule="auto"/>
        <w:rPr>
          <w:rFonts w:ascii="Arial" w:hAnsi="Arial" w:eastAsia="宋体" w:cs="Arial"/>
        </w:rPr>
      </w:pPr>
    </w:p>
    <w:p w14:paraId="2E0114C7">
      <w:pPr>
        <w:snapToGrid w:val="0"/>
        <w:spacing w:line="300" w:lineRule="auto"/>
        <w:rPr>
          <w:rFonts w:ascii="Arial" w:hAnsi="Arial" w:eastAsia="宋体" w:cs="Arial"/>
        </w:rPr>
      </w:pPr>
      <w:r>
        <w:rPr>
          <w:rFonts w:ascii="Arial" w:hAnsi="Arial" w:eastAsia="宋体" w:cs="Arial"/>
        </w:rPr>
        <w:t>________________________</w:t>
      </w:r>
    </w:p>
    <w:p w14:paraId="721C5824">
      <w:pPr>
        <w:snapToGrid w:val="0"/>
        <w:spacing w:line="300" w:lineRule="auto"/>
        <w:rPr>
          <w:rFonts w:ascii="Arial" w:hAnsi="Arial" w:eastAsia="宋体" w:cs="Arial"/>
          <w:sz w:val="18"/>
          <w:szCs w:val="18"/>
        </w:rPr>
      </w:pPr>
      <w:r>
        <w:rPr>
          <w:rFonts w:ascii="Arial" w:hAnsi="Arial" w:eastAsia="宋体" w:cs="Arial"/>
          <w:sz w:val="18"/>
          <w:szCs w:val="18"/>
          <w:vertAlign w:val="superscript"/>
        </w:rPr>
        <w:t>1</w:t>
      </w:r>
      <w:bookmarkStart w:id="13" w:name="OLE_LINK7"/>
      <w:bookmarkStart w:id="14" w:name="OLE_LINK6"/>
      <w:r>
        <w:rPr>
          <w:rFonts w:ascii="Arial" w:hAnsi="Arial" w:eastAsia="宋体" w:cs="Arial"/>
          <w:sz w:val="18"/>
          <w:szCs w:val="18"/>
        </w:rPr>
        <w:t>新型甲型流感病毒</w:t>
      </w:r>
      <w:bookmarkEnd w:id="13"/>
      <w:bookmarkEnd w:id="14"/>
      <w:r>
        <w:rPr>
          <w:rFonts w:ascii="Arial" w:hAnsi="Arial" w:eastAsia="宋体" w:cs="Arial"/>
          <w:sz w:val="18"/>
          <w:szCs w:val="18"/>
        </w:rPr>
        <w:t>是新出现或再现的甲型流感人类株，可产生人类疾病的病例或病例群。其与平时循环的人类株不同，这些人类株可导致季节性流感，人群对其保有残留免疫力或有限免疫力（由接种疫苗或既往感染所致）。</w:t>
      </w:r>
    </w:p>
    <w:p w14:paraId="48B13FFF">
      <w:pPr>
        <w:widowControl/>
        <w:jc w:val="left"/>
        <w:rPr>
          <w:rFonts w:ascii="Arial" w:hAnsi="Arial" w:eastAsia="宋体" w:cs="Arial"/>
          <w:b/>
        </w:rPr>
      </w:pPr>
      <w:r>
        <w:rPr>
          <w:rFonts w:ascii="Arial" w:hAnsi="Arial" w:eastAsia="宋体" w:cs="Arial"/>
          <w:b/>
        </w:rPr>
        <w:br w:type="page"/>
      </w:r>
    </w:p>
    <w:p w14:paraId="4939BE8E">
      <w:pPr>
        <w:snapToGrid w:val="0"/>
        <w:spacing w:line="300" w:lineRule="auto"/>
        <w:outlineLvl w:val="0"/>
        <w:rPr>
          <w:rFonts w:ascii="Arial" w:hAnsi="Arial" w:eastAsia="宋体" w:cs="Arial"/>
          <w:b/>
        </w:rPr>
      </w:pPr>
      <w:bookmarkStart w:id="15" w:name="_Toc479582836"/>
      <w:r>
        <w:rPr>
          <w:rFonts w:ascii="Arial" w:hAnsi="Arial" w:eastAsia="宋体" w:cs="Arial"/>
          <w:b/>
        </w:rPr>
        <w:t>II. 背景</w:t>
      </w:r>
      <w:bookmarkEnd w:id="15"/>
    </w:p>
    <w:p w14:paraId="0606F372">
      <w:pPr>
        <w:snapToGrid w:val="0"/>
        <w:spacing w:line="300" w:lineRule="auto"/>
        <w:rPr>
          <w:rFonts w:ascii="Arial" w:hAnsi="Arial" w:eastAsia="宋体" w:cs="Arial"/>
        </w:rPr>
      </w:pPr>
    </w:p>
    <w:p w14:paraId="54E12D96">
      <w:pPr>
        <w:snapToGrid w:val="0"/>
        <w:spacing w:line="300" w:lineRule="auto"/>
        <w:rPr>
          <w:rFonts w:ascii="Arial" w:hAnsi="Arial" w:eastAsia="宋体" w:cs="Arial"/>
        </w:rPr>
      </w:pPr>
      <w:r>
        <w:rPr>
          <w:rFonts w:ascii="Arial" w:hAnsi="Arial" w:eastAsia="宋体" w:cs="Arial"/>
        </w:rPr>
        <w:t>有几种甲型流感亚型平时在鸟类和其它动物中循环。它们均有通过抗原类型的漂移或转变导致疾病流行的能力，疾病的流行强度和病情严重程度可有所不同。抗原类型的漂移或转变可影响病毒的抗原性和致病性，程度从轻微至严重不等。过去的几十年里，在全世界感染人类的主要是两种亚型的甲型流感病毒（H3N2和H1N1）。甲型流感H5N1病毒在鸟类中的传播和零星传播至人类的事实引起了人们的警觉，一种新型甲型流感病毒将会引发一次人类流感大流行的潜在威胁似将成为现实。</w:t>
      </w:r>
    </w:p>
    <w:p w14:paraId="79891F7B">
      <w:pPr>
        <w:snapToGrid w:val="0"/>
        <w:spacing w:line="300" w:lineRule="auto"/>
        <w:rPr>
          <w:rFonts w:ascii="Arial" w:hAnsi="Arial" w:eastAsia="宋体" w:cs="Arial"/>
        </w:rPr>
      </w:pPr>
    </w:p>
    <w:p w14:paraId="683742C0">
      <w:pPr>
        <w:snapToGrid w:val="0"/>
        <w:spacing w:line="300" w:lineRule="auto"/>
        <w:rPr>
          <w:rFonts w:ascii="Arial" w:hAnsi="Arial" w:eastAsia="宋体" w:cs="Arial"/>
        </w:rPr>
      </w:pPr>
      <w:r>
        <w:rPr>
          <w:rFonts w:ascii="Arial" w:hAnsi="Arial" w:eastAsia="宋体" w:cs="Arial"/>
        </w:rPr>
        <w:t>本指南发布前经食品药品监督管理局许可并按21 CFR 866.3330的规定予以分类的所有甲型流感（或甲型/乙型流感）检测器械均是为一般检测人类呼吸道标本（如洗液、吸出物和拭子）中的甲型流感病毒而设计的。这些器械在设计时通常是以所有甲型流感病毒共有的核蛋白抗原为目标，而不是针对甲型流感病毒任何一个特殊亚型的两种表面糖蛋白－血凝素（HA）和神经氨酸酶（NA）的唯一抗原，因此，理论上它们可与任何血凝素或神经氨酸酶亚型发生反应。这些器械均不是为检测某种具体的甲型流感病毒或为检测一种具体的甲型流感病毒并将其与另一种具体的甲型流感病毒加以区分而设计或准备的（如区分H5N1和H3N2）。</w:t>
      </w:r>
    </w:p>
    <w:p w14:paraId="45773908">
      <w:pPr>
        <w:snapToGrid w:val="0"/>
        <w:spacing w:line="300" w:lineRule="auto"/>
        <w:rPr>
          <w:rFonts w:ascii="Arial" w:hAnsi="Arial" w:eastAsia="宋体" w:cs="Arial"/>
        </w:rPr>
      </w:pPr>
    </w:p>
    <w:p w14:paraId="1B457E07">
      <w:pPr>
        <w:snapToGrid w:val="0"/>
        <w:spacing w:line="300" w:lineRule="auto"/>
        <w:rPr>
          <w:rFonts w:ascii="Arial" w:hAnsi="Arial" w:eastAsia="宋体" w:cs="Arial"/>
        </w:rPr>
      </w:pPr>
      <w:r>
        <w:rPr>
          <w:rFonts w:ascii="Arial" w:hAnsi="Arial" w:eastAsia="宋体" w:cs="Arial"/>
        </w:rPr>
        <w:t>这些器械检测甲型流感病毒的灵敏度均取决于与病毒及其人类宿主有关的生物因素和病理生理因素。这些因素包括疾病的临床过程、病毒复制率、病毒的组织特异性和人类宿主的易感性。当疾病是由一种新亚型（如H7N7或H5N1）所致时，这些因素可能不同于流感的季节性循环株，可能会对器械性能造成影响。尤其是出现一种新型甲型流感病毒时，对检测该病毒所需的最佳标本或标本采集时机可能是未知的。对于根据仅有甲型流感/H3病毒和甲型流感/H1病毒循环时确立的性能特征获得许可的器械，没有证据可以证明它们能可靠地从人类呼吸道标本中检出新型甲型流感病毒。此外，并未打算将这些检测器械用于检测和鉴别人类感染的某种具体的新型甲型流感病毒。</w:t>
      </w:r>
    </w:p>
    <w:p w14:paraId="3FA0D349">
      <w:pPr>
        <w:snapToGrid w:val="0"/>
        <w:spacing w:line="300" w:lineRule="auto"/>
        <w:rPr>
          <w:rFonts w:ascii="Arial" w:hAnsi="Arial" w:eastAsia="宋体" w:cs="Arial"/>
        </w:rPr>
      </w:pPr>
    </w:p>
    <w:p w14:paraId="0813834A">
      <w:pPr>
        <w:snapToGrid w:val="0"/>
        <w:spacing w:line="300" w:lineRule="auto"/>
        <w:outlineLvl w:val="0"/>
        <w:rPr>
          <w:rFonts w:ascii="Arial" w:hAnsi="Arial" w:eastAsia="宋体" w:cs="Arial"/>
          <w:b/>
        </w:rPr>
      </w:pPr>
      <w:bookmarkStart w:id="16" w:name="_Toc479582837"/>
      <w:r>
        <w:rPr>
          <w:rFonts w:ascii="Arial" w:hAnsi="Arial" w:eastAsia="宋体" w:cs="Arial"/>
          <w:b/>
        </w:rPr>
        <w:t>III. 最小负担法</w:t>
      </w:r>
      <w:bookmarkEnd w:id="16"/>
    </w:p>
    <w:p w14:paraId="136C2B9C">
      <w:pPr>
        <w:snapToGrid w:val="0"/>
        <w:spacing w:line="300" w:lineRule="auto"/>
        <w:rPr>
          <w:rFonts w:ascii="Arial" w:hAnsi="Arial" w:eastAsia="宋体" w:cs="Arial"/>
        </w:rPr>
      </w:pPr>
    </w:p>
    <w:p w14:paraId="2BB4DBE0">
      <w:pPr>
        <w:snapToGrid w:val="0"/>
        <w:spacing w:line="300" w:lineRule="auto"/>
        <w:rPr>
          <w:rFonts w:ascii="Arial" w:hAnsi="Arial" w:eastAsia="宋体" w:cs="Arial"/>
        </w:rPr>
      </w:pPr>
      <w:r>
        <w:rPr>
          <w:rFonts w:ascii="Arial" w:hAnsi="Arial" w:eastAsia="宋体" w:cs="Arial"/>
        </w:rPr>
        <w:t>在编制本指南的过程中，我们仔细斟酌了本局决策采用的相关法定标准。另外，我们还斟酌了贵公司在努力遵从法定监管标准的过程中可能产生的负担。我们认为我们已考虑采用最小负担法解决本指南呈现的问题。然而，如果贵公司认为有负担更小的方法可用于解决这些问题，应遵守文件“解决最小负担问题的一个建议方法”中描述的规程予以实施。该文件可在我们中心的网页上下载：</w:t>
      </w:r>
      <w:r>
        <w:rPr>
          <w:rFonts w:ascii="Arial" w:hAnsi="Arial" w:eastAsia="宋体" w:cs="Arial"/>
          <w:color w:val="0000FF"/>
          <w:u w:val="single"/>
        </w:rPr>
        <w:t>http://www.fda.gov/cdrh/modact/leastburdensome.html</w:t>
      </w:r>
      <w:r>
        <w:rPr>
          <w:rFonts w:ascii="Arial" w:hAnsi="Arial" w:eastAsia="宋体" w:cs="Arial"/>
        </w:rPr>
        <w:t>.</w:t>
      </w:r>
    </w:p>
    <w:p w14:paraId="30C41A58">
      <w:pPr>
        <w:snapToGrid w:val="0"/>
        <w:spacing w:line="300" w:lineRule="auto"/>
        <w:rPr>
          <w:rFonts w:ascii="Arial" w:hAnsi="Arial" w:eastAsia="宋体" w:cs="Arial"/>
        </w:rPr>
      </w:pPr>
    </w:p>
    <w:p w14:paraId="2CD28E63">
      <w:pPr>
        <w:snapToGrid w:val="0"/>
        <w:spacing w:line="300" w:lineRule="auto"/>
        <w:rPr>
          <w:rFonts w:ascii="Arial" w:hAnsi="Arial" w:eastAsia="宋体" w:cs="Arial"/>
        </w:rPr>
      </w:pPr>
    </w:p>
    <w:p w14:paraId="0C33B154">
      <w:pPr>
        <w:snapToGrid w:val="0"/>
        <w:spacing w:line="300" w:lineRule="auto"/>
        <w:rPr>
          <w:rFonts w:ascii="Arial" w:hAnsi="Arial" w:eastAsia="宋体" w:cs="Arial"/>
        </w:rPr>
      </w:pPr>
    </w:p>
    <w:p w14:paraId="345E1AD1">
      <w:pPr>
        <w:snapToGrid w:val="0"/>
        <w:spacing w:line="300" w:lineRule="auto"/>
        <w:rPr>
          <w:rFonts w:ascii="Arial" w:hAnsi="Arial" w:eastAsia="宋体" w:cs="Arial"/>
        </w:rPr>
      </w:pPr>
    </w:p>
    <w:p w14:paraId="20442802">
      <w:pPr>
        <w:snapToGrid w:val="0"/>
        <w:spacing w:line="300" w:lineRule="auto"/>
        <w:rPr>
          <w:rFonts w:ascii="Arial" w:hAnsi="Arial" w:eastAsia="宋体" w:cs="Arial"/>
        </w:rPr>
      </w:pPr>
      <w:r>
        <w:rPr>
          <w:rFonts w:ascii="Arial" w:hAnsi="Arial" w:eastAsia="宋体" w:cs="Arial"/>
        </w:rPr>
        <w:t>___________________________</w:t>
      </w:r>
    </w:p>
    <w:p w14:paraId="1A27D844">
      <w:pPr>
        <w:snapToGrid w:val="0"/>
        <w:spacing w:line="300" w:lineRule="auto"/>
        <w:rPr>
          <w:rFonts w:ascii="Arial" w:hAnsi="Arial" w:eastAsia="宋体" w:cs="Arial"/>
          <w:sz w:val="18"/>
          <w:szCs w:val="18"/>
        </w:rPr>
      </w:pPr>
      <w:r>
        <w:rPr>
          <w:rFonts w:ascii="Arial" w:hAnsi="Arial" w:eastAsia="宋体" w:cs="Arial"/>
          <w:sz w:val="18"/>
          <w:szCs w:val="18"/>
          <w:vertAlign w:val="superscript"/>
        </w:rPr>
        <w:t>2</w:t>
      </w:r>
      <w:bookmarkStart w:id="17" w:name="OLE_LINK17"/>
      <w:bookmarkStart w:id="18" w:name="OLE_LINK18"/>
      <w:r>
        <w:rPr>
          <w:rFonts w:ascii="Arial" w:hAnsi="Arial" w:eastAsia="宋体" w:cs="Arial"/>
          <w:sz w:val="18"/>
          <w:szCs w:val="18"/>
        </w:rPr>
        <w:t>根据21 CFR 866.3332“</w:t>
      </w:r>
      <w:bookmarkStart w:id="19" w:name="OLE_LINK22"/>
      <w:bookmarkStart w:id="20" w:name="OLE_LINK23"/>
      <w:r>
        <w:rPr>
          <w:rFonts w:ascii="Arial" w:hAnsi="Arial" w:eastAsia="宋体" w:cs="Arial"/>
          <w:sz w:val="18"/>
          <w:szCs w:val="18"/>
        </w:rPr>
        <w:t>检测特定新型甲型流感病毒用试剂</w:t>
      </w:r>
      <w:bookmarkEnd w:id="19"/>
      <w:bookmarkEnd w:id="20"/>
      <w:r>
        <w:rPr>
          <w:rFonts w:ascii="Arial" w:hAnsi="Arial" w:eastAsia="宋体" w:cs="Arial"/>
          <w:sz w:val="18"/>
          <w:szCs w:val="18"/>
        </w:rPr>
        <w:t>”的规定将拟专门用于检测新型甲型流感病毒的器械归入II类器械。</w:t>
      </w:r>
      <w:bookmarkEnd w:id="17"/>
      <w:bookmarkEnd w:id="18"/>
      <w:bookmarkStart w:id="21" w:name="OLE_LINK15"/>
      <w:bookmarkStart w:id="22" w:name="OLE_LINK16"/>
      <w:r>
        <w:rPr>
          <w:rFonts w:ascii="Arial" w:hAnsi="Arial" w:eastAsia="宋体" w:cs="Arial"/>
          <w:sz w:val="18"/>
          <w:szCs w:val="18"/>
        </w:rPr>
        <w:t>这些器械的附加指南可见“II类特殊控制指南：检测特定新型甲型流感病毒用试剂”</w:t>
      </w:r>
      <w:bookmarkEnd w:id="21"/>
      <w:bookmarkEnd w:id="22"/>
      <w:r>
        <w:rPr>
          <w:rFonts w:ascii="Arial" w:hAnsi="Arial" w:eastAsia="宋体" w:cs="Arial"/>
          <w:sz w:val="18"/>
          <w:szCs w:val="18"/>
        </w:rPr>
        <w:t>，其中包含了上市前通告申请、贴标、上市后数据收集和分析相关内容的推荐规范。</w:t>
      </w:r>
    </w:p>
    <w:p w14:paraId="4F4FBCCB">
      <w:pPr>
        <w:snapToGrid w:val="0"/>
        <w:spacing w:line="300" w:lineRule="auto"/>
        <w:outlineLvl w:val="0"/>
        <w:rPr>
          <w:rFonts w:ascii="Arial" w:hAnsi="Arial" w:eastAsia="宋体" w:cs="Arial"/>
          <w:b/>
        </w:rPr>
      </w:pPr>
      <w:bookmarkStart w:id="23" w:name="_Toc479582838"/>
      <w:r>
        <w:rPr>
          <w:rFonts w:ascii="Arial" w:hAnsi="Arial" w:eastAsia="宋体" w:cs="Arial"/>
          <w:b/>
        </w:rPr>
        <w:t>IV. 适用范围</w:t>
      </w:r>
      <w:bookmarkEnd w:id="23"/>
    </w:p>
    <w:p w14:paraId="0428A25A">
      <w:pPr>
        <w:snapToGrid w:val="0"/>
        <w:spacing w:line="300" w:lineRule="auto"/>
        <w:rPr>
          <w:rFonts w:ascii="Arial" w:hAnsi="Arial" w:eastAsia="宋体" w:cs="Arial"/>
        </w:rPr>
      </w:pPr>
    </w:p>
    <w:p w14:paraId="726BF5C2">
      <w:pPr>
        <w:snapToGrid w:val="0"/>
        <w:spacing w:line="300" w:lineRule="auto"/>
        <w:rPr>
          <w:rFonts w:ascii="Arial" w:hAnsi="Arial" w:eastAsia="宋体" w:cs="Arial"/>
        </w:rPr>
      </w:pPr>
      <w:r>
        <w:rPr>
          <w:rFonts w:ascii="Arial" w:hAnsi="Arial" w:eastAsia="宋体" w:cs="Arial"/>
        </w:rPr>
        <w:t>本指南适用于解决拟用于直接从患者标本中一般检测甲型流感（或甲型/乙型流感）病毒的体外诊断器械的贴标问题。这些器械已按21 CFR 866.3330的规定进行了分类。目前这些器械包括用于甲型流感病毒抗原检测的显微镜免疫荧光检验器械、酶免疫测定器械和流感快速检验器械（包括享受临床实验室改进法案豁免待遇的器械）。本指南还适用于处理按临床实验室改进法案分类器械以及拟用于检测某种特定新型甲型流感病毒并按21 CFR 866.3332规定予以分类器械的上市前申请路径问题。</w:t>
      </w:r>
    </w:p>
    <w:p w14:paraId="6218459F">
      <w:pPr>
        <w:snapToGrid w:val="0"/>
        <w:spacing w:line="300" w:lineRule="auto"/>
        <w:rPr>
          <w:rFonts w:ascii="Arial" w:hAnsi="Arial" w:eastAsia="宋体" w:cs="Arial"/>
        </w:rPr>
      </w:pPr>
    </w:p>
    <w:p w14:paraId="64A5D78A">
      <w:pPr>
        <w:snapToGrid w:val="0"/>
        <w:spacing w:line="300" w:lineRule="auto"/>
        <w:outlineLvl w:val="0"/>
        <w:rPr>
          <w:rFonts w:ascii="Arial" w:hAnsi="Arial" w:eastAsia="宋体" w:cs="Arial"/>
          <w:b/>
        </w:rPr>
      </w:pPr>
      <w:bookmarkStart w:id="24" w:name="_Toc479582839"/>
      <w:r>
        <w:rPr>
          <w:rFonts w:ascii="Arial" w:hAnsi="Arial" w:eastAsia="宋体" w:cs="Arial"/>
          <w:b/>
        </w:rPr>
        <w:t>V. 贴标信息</w:t>
      </w:r>
      <w:bookmarkEnd w:id="24"/>
    </w:p>
    <w:p w14:paraId="78190036">
      <w:pPr>
        <w:snapToGrid w:val="0"/>
        <w:spacing w:line="300" w:lineRule="auto"/>
        <w:rPr>
          <w:rFonts w:ascii="Arial" w:hAnsi="Arial" w:eastAsia="宋体" w:cs="Arial"/>
        </w:rPr>
      </w:pPr>
    </w:p>
    <w:p w14:paraId="6C65243D">
      <w:pPr>
        <w:snapToGrid w:val="0"/>
        <w:spacing w:line="300" w:lineRule="auto"/>
        <w:rPr>
          <w:rFonts w:ascii="Arial" w:hAnsi="Arial" w:eastAsia="宋体" w:cs="Arial"/>
        </w:rPr>
      </w:pPr>
      <w:r>
        <w:rPr>
          <w:rFonts w:ascii="Arial" w:hAnsi="Arial" w:eastAsia="宋体" w:cs="Arial"/>
        </w:rPr>
        <w:t>与其它器械一样，用于直接从人体标本中检测甲型流感（或甲型/乙型流感）病毒的体外诊断器械受法定要求的支配。这些法定要求是其贴标不能是假的或不能刻意误导用户。制造商在提供贴标时可通过忽略对贴标陈述至关重要或对所标注或常见的使用条件至关重要的信息而误导用户（联邦食品、药品和化妆品法案（简称法案）第502（a）和201（n）部分；21 USC §§ 352（a）, 321（n））。用于流感检测的体外诊断器械还必须提供适当的使用说明、警告信息和预防措施（法案第502（f）部分；21 USC § 352（f））。在21 CFR 809.10中对体外诊断器械的具体贴标要求进行了描述。本指南对拟直接从人体标本中一般检测甲型流感病毒的体外诊断器械的贴标推荐规范进行了详细描述，以帮助确保它们继续遵从这些法定要求。为实验室工作人员和临床医生提供客观、清晰的贴标信息对确保出现新型甲型流感病毒时安全、有效地使用这些器械具有特别重要的意义。</w:t>
      </w:r>
    </w:p>
    <w:p w14:paraId="6EF63098">
      <w:pPr>
        <w:snapToGrid w:val="0"/>
        <w:spacing w:line="300" w:lineRule="auto"/>
        <w:rPr>
          <w:rFonts w:ascii="Arial" w:hAnsi="Arial" w:eastAsia="宋体" w:cs="Arial"/>
        </w:rPr>
      </w:pPr>
    </w:p>
    <w:p w14:paraId="087978FC">
      <w:pPr>
        <w:snapToGrid w:val="0"/>
        <w:spacing w:line="300" w:lineRule="auto"/>
        <w:rPr>
          <w:rFonts w:ascii="Arial" w:hAnsi="Arial" w:eastAsia="宋体" w:cs="Arial"/>
        </w:rPr>
      </w:pPr>
      <w:r>
        <w:rPr>
          <w:rFonts w:ascii="Arial" w:hAnsi="Arial" w:eastAsia="宋体" w:cs="Arial"/>
        </w:rPr>
        <w:t>食品药品监督管理局认识到，在用于一般检测</w:t>
      </w:r>
      <w:bookmarkStart w:id="25" w:name="OLE_LINK14"/>
      <w:bookmarkStart w:id="26" w:name="OLE_LINK13"/>
      <w:r>
        <w:rPr>
          <w:rFonts w:ascii="Arial" w:hAnsi="Arial" w:eastAsia="宋体" w:cs="Arial"/>
        </w:rPr>
        <w:t>甲型流感（或甲型/乙型流感）</w:t>
      </w:r>
      <w:bookmarkEnd w:id="25"/>
      <w:bookmarkEnd w:id="26"/>
      <w:r>
        <w:rPr>
          <w:rFonts w:ascii="Arial" w:hAnsi="Arial" w:eastAsia="宋体" w:cs="Arial"/>
        </w:rPr>
        <w:t>病毒并在本指南发布前按21 CFR 866.3330的规定予以核准的甲型流感（或甲型/乙型流感）体外诊断器械的贴标中不可能提供出现新型甲型流感病毒时对使用这些体外诊断器械至关重要的信息。食品药品监督管理局建议制造商在本指南发布后6个月内根据当前情况对印制好的贴标做出遵从贴标法定监管基本要求所必需的任何修订并鼓励制造商尽快实施贴标变更行动，以帮助确保用户便于获得信息。</w:t>
      </w:r>
    </w:p>
    <w:p w14:paraId="1F330D2A">
      <w:pPr>
        <w:snapToGrid w:val="0"/>
        <w:spacing w:line="300" w:lineRule="auto"/>
        <w:rPr>
          <w:rFonts w:ascii="Arial" w:hAnsi="Arial" w:eastAsia="宋体" w:cs="Arial"/>
        </w:rPr>
      </w:pPr>
    </w:p>
    <w:p w14:paraId="0340EF55">
      <w:pPr>
        <w:snapToGrid w:val="0"/>
        <w:spacing w:line="300" w:lineRule="auto"/>
        <w:rPr>
          <w:rFonts w:ascii="Arial" w:hAnsi="Arial" w:eastAsia="宋体" w:cs="Arial"/>
        </w:rPr>
      </w:pPr>
    </w:p>
    <w:p w14:paraId="3951780F">
      <w:pPr>
        <w:snapToGrid w:val="0"/>
        <w:spacing w:line="300" w:lineRule="auto"/>
        <w:rPr>
          <w:rFonts w:ascii="Arial" w:hAnsi="Arial" w:eastAsia="宋体" w:cs="Arial"/>
        </w:rPr>
      </w:pPr>
    </w:p>
    <w:p w14:paraId="1143AD9B">
      <w:pPr>
        <w:snapToGrid w:val="0"/>
        <w:spacing w:line="300" w:lineRule="auto"/>
        <w:rPr>
          <w:rFonts w:ascii="Arial" w:hAnsi="Arial" w:eastAsia="宋体" w:cs="Arial"/>
        </w:rPr>
      </w:pPr>
    </w:p>
    <w:p w14:paraId="5365F555">
      <w:pPr>
        <w:snapToGrid w:val="0"/>
        <w:spacing w:line="300" w:lineRule="auto"/>
        <w:rPr>
          <w:rFonts w:ascii="Arial" w:hAnsi="Arial" w:eastAsia="宋体" w:cs="Arial"/>
        </w:rPr>
      </w:pPr>
    </w:p>
    <w:p w14:paraId="0B269D72">
      <w:pPr>
        <w:snapToGrid w:val="0"/>
        <w:spacing w:line="300" w:lineRule="auto"/>
        <w:rPr>
          <w:rFonts w:ascii="Arial" w:hAnsi="Arial" w:eastAsia="宋体" w:cs="Arial"/>
        </w:rPr>
      </w:pPr>
    </w:p>
    <w:p w14:paraId="4FA5CC64">
      <w:pPr>
        <w:snapToGrid w:val="0"/>
        <w:spacing w:line="300" w:lineRule="auto"/>
        <w:rPr>
          <w:rFonts w:ascii="Arial" w:hAnsi="Arial" w:eastAsia="宋体" w:cs="Arial"/>
        </w:rPr>
      </w:pPr>
    </w:p>
    <w:p w14:paraId="4724BF86">
      <w:pPr>
        <w:snapToGrid w:val="0"/>
        <w:spacing w:line="300" w:lineRule="auto"/>
        <w:rPr>
          <w:rFonts w:ascii="Arial" w:hAnsi="Arial" w:eastAsia="宋体" w:cs="Arial"/>
        </w:rPr>
      </w:pPr>
    </w:p>
    <w:p w14:paraId="77541D19">
      <w:pPr>
        <w:snapToGrid w:val="0"/>
        <w:spacing w:line="300" w:lineRule="auto"/>
        <w:rPr>
          <w:rFonts w:ascii="Arial" w:hAnsi="Arial" w:eastAsia="宋体" w:cs="Arial"/>
        </w:rPr>
      </w:pPr>
    </w:p>
    <w:p w14:paraId="7AF190CA">
      <w:pPr>
        <w:snapToGrid w:val="0"/>
        <w:spacing w:line="300" w:lineRule="auto"/>
        <w:rPr>
          <w:rFonts w:ascii="Arial" w:hAnsi="Arial" w:eastAsia="宋体" w:cs="Arial"/>
        </w:rPr>
      </w:pPr>
    </w:p>
    <w:p w14:paraId="31E2CD78">
      <w:pPr>
        <w:snapToGrid w:val="0"/>
        <w:spacing w:line="300" w:lineRule="auto"/>
        <w:rPr>
          <w:rFonts w:ascii="Arial" w:hAnsi="Arial" w:eastAsia="宋体" w:cs="Arial"/>
        </w:rPr>
      </w:pPr>
    </w:p>
    <w:p w14:paraId="5316C986">
      <w:pPr>
        <w:snapToGrid w:val="0"/>
        <w:spacing w:line="300" w:lineRule="auto"/>
        <w:rPr>
          <w:rFonts w:ascii="Arial" w:hAnsi="Arial" w:eastAsia="宋体" w:cs="Arial"/>
        </w:rPr>
      </w:pPr>
      <w:r>
        <w:rPr>
          <w:rFonts w:ascii="Arial" w:hAnsi="Arial" w:eastAsia="宋体" w:cs="Arial"/>
        </w:rPr>
        <w:t>_________________________</w:t>
      </w:r>
    </w:p>
    <w:p w14:paraId="1E347526">
      <w:pPr>
        <w:snapToGrid w:val="0"/>
        <w:spacing w:line="300" w:lineRule="auto"/>
        <w:rPr>
          <w:rFonts w:ascii="Arial" w:hAnsi="Arial" w:eastAsia="宋体" w:cs="Arial"/>
          <w:sz w:val="18"/>
          <w:szCs w:val="18"/>
        </w:rPr>
      </w:pPr>
      <w:r>
        <w:rPr>
          <w:rFonts w:ascii="Arial" w:hAnsi="Arial" w:eastAsia="宋体" w:cs="Arial"/>
          <w:sz w:val="18"/>
          <w:szCs w:val="18"/>
          <w:vertAlign w:val="superscript"/>
        </w:rPr>
        <w:t>3</w:t>
      </w:r>
      <w:r>
        <w:rPr>
          <w:rFonts w:ascii="Arial" w:hAnsi="Arial" w:eastAsia="宋体" w:cs="Arial"/>
          <w:sz w:val="18"/>
          <w:szCs w:val="18"/>
        </w:rPr>
        <w:t>按21 CFR 866.3332规定予以分类器械的附加指南见“II类特殊控制指南：检测特定新型甲型流感病毒用试剂”。</w:t>
      </w:r>
    </w:p>
    <w:p w14:paraId="317F7E78">
      <w:pPr>
        <w:widowControl/>
        <w:jc w:val="left"/>
        <w:rPr>
          <w:rFonts w:ascii="Arial" w:hAnsi="Arial" w:eastAsia="宋体" w:cs="Arial"/>
        </w:rPr>
      </w:pPr>
      <w:r>
        <w:rPr>
          <w:rFonts w:ascii="Arial" w:hAnsi="Arial" w:eastAsia="宋体" w:cs="Arial"/>
        </w:rPr>
        <w:br w:type="page"/>
      </w:r>
    </w:p>
    <w:p w14:paraId="1B9CE3C4">
      <w:pPr>
        <w:snapToGrid w:val="0"/>
        <w:spacing w:line="300" w:lineRule="auto"/>
        <w:rPr>
          <w:rFonts w:ascii="Arial" w:hAnsi="Arial" w:eastAsia="宋体" w:cs="Arial"/>
        </w:rPr>
      </w:pPr>
      <w:r>
        <w:rPr>
          <w:rFonts w:ascii="Arial" w:hAnsi="Arial" w:eastAsia="宋体" w:cs="Arial"/>
        </w:rPr>
        <w:t>为确保遵从法案第502节和21 CFR 809.10的规定，食品药品监督管理局建议对拟作为流感诊断辅助手段用于一般检测甲型流感（或甲型/乙型流感）的体外诊断器械的标签和贴标应解决下面确认的事项。</w:t>
      </w:r>
      <w:r>
        <w:rPr>
          <w:rFonts w:ascii="Arial" w:hAnsi="Arial" w:eastAsia="宋体" w:cs="Arial"/>
          <w:vertAlign w:val="superscript"/>
        </w:rPr>
        <w:t>4</w:t>
      </w:r>
      <w:r>
        <w:rPr>
          <w:rFonts w:ascii="Arial" w:hAnsi="Arial" w:eastAsia="宋体" w:cs="Arial"/>
        </w:rPr>
        <w:t>根据贵公司产品的具体技术特征，这些推荐规范中可能有一些是不适用的。</w:t>
      </w:r>
    </w:p>
    <w:p w14:paraId="4480B1D4">
      <w:pPr>
        <w:snapToGrid w:val="0"/>
        <w:spacing w:line="300" w:lineRule="auto"/>
        <w:rPr>
          <w:rFonts w:ascii="Arial" w:hAnsi="Arial" w:eastAsia="宋体" w:cs="Arial"/>
        </w:rPr>
      </w:pPr>
    </w:p>
    <w:p w14:paraId="09D35AEF">
      <w:pPr>
        <w:snapToGrid w:val="0"/>
        <w:spacing w:line="300" w:lineRule="auto"/>
        <w:outlineLvl w:val="1"/>
        <w:rPr>
          <w:rFonts w:ascii="Arial" w:hAnsi="Arial" w:eastAsia="宋体" w:cs="Arial"/>
        </w:rPr>
      </w:pPr>
      <w:bookmarkStart w:id="27" w:name="_Toc479582840"/>
      <w:r>
        <w:rPr>
          <w:rFonts w:ascii="Arial" w:hAnsi="Arial" w:eastAsia="宋体" w:cs="Arial"/>
        </w:rPr>
        <w:t>A. 标签推荐规范</w:t>
      </w:r>
      <w:bookmarkEnd w:id="27"/>
    </w:p>
    <w:p w14:paraId="7A77EAAB">
      <w:pPr>
        <w:snapToGrid w:val="0"/>
        <w:spacing w:line="300" w:lineRule="auto"/>
        <w:rPr>
          <w:rFonts w:ascii="Arial" w:hAnsi="Arial" w:eastAsia="宋体" w:cs="Arial"/>
        </w:rPr>
      </w:pPr>
    </w:p>
    <w:p w14:paraId="2D4F40B4">
      <w:pPr>
        <w:snapToGrid w:val="0"/>
        <w:spacing w:line="300" w:lineRule="auto"/>
        <w:rPr>
          <w:rFonts w:ascii="Arial" w:hAnsi="Arial" w:eastAsia="宋体" w:cs="Arial"/>
        </w:rPr>
      </w:pPr>
      <w:r>
        <w:rPr>
          <w:rFonts w:ascii="Arial" w:hAnsi="Arial" w:eastAsia="宋体" w:cs="Arial"/>
        </w:rPr>
        <w:t>在21 CFR 809.10（a）中对需在体外诊断器械的标签上显示的信息进行了描述。根据这些要求，体外诊断器械的标签中必须包含对产品预期用途的陈述。</w:t>
      </w:r>
      <w:r>
        <w:rPr>
          <w:rFonts w:ascii="Arial" w:hAnsi="Arial" w:eastAsia="宋体" w:cs="Arial"/>
          <w:vertAlign w:val="superscript"/>
        </w:rPr>
        <w:t>5</w:t>
      </w:r>
      <w:r>
        <w:rPr>
          <w:rFonts w:ascii="Arial" w:hAnsi="Arial" w:eastAsia="宋体" w:cs="Arial"/>
        </w:rPr>
        <w:t>在对拟直接从人体标本中一般检测甲型流感或甲型/乙型流感且在本指南发布前已获销售许可的每种体外诊断器械预期用途的陈述中可能包括了有关需确认阴性检验结果的陈述。食品药品监督管理局建议标签上对拟一般检测甲型流感的流感体外诊断器械预期用途的陈述应当以</w:t>
      </w:r>
      <w:bookmarkStart w:id="28" w:name="OLE_LINK10"/>
      <w:bookmarkStart w:id="29" w:name="OLE_LINK11"/>
      <w:r>
        <w:rPr>
          <w:rFonts w:ascii="Arial" w:hAnsi="Arial" w:eastAsia="宋体" w:cs="Arial"/>
        </w:rPr>
        <w:t>此类陈述予以阐明：“阴性检验结果为推测结果，建议通过细胞培养对结果予以确认。阴性结果不排除存在流感病毒感染，不应将其作为治疗或其它管理决策的唯一基础。”</w:t>
      </w:r>
    </w:p>
    <w:bookmarkEnd w:id="28"/>
    <w:bookmarkEnd w:id="29"/>
    <w:p w14:paraId="67F140AF">
      <w:pPr>
        <w:snapToGrid w:val="0"/>
        <w:spacing w:line="300" w:lineRule="auto"/>
        <w:rPr>
          <w:rFonts w:ascii="Arial" w:hAnsi="Arial" w:eastAsia="宋体" w:cs="Arial"/>
        </w:rPr>
      </w:pPr>
    </w:p>
    <w:p w14:paraId="4FDC5F67">
      <w:pPr>
        <w:snapToGrid w:val="0"/>
        <w:spacing w:line="300" w:lineRule="auto"/>
        <w:rPr>
          <w:rFonts w:ascii="Arial" w:hAnsi="Arial" w:eastAsia="宋体" w:cs="Arial"/>
        </w:rPr>
      </w:pPr>
      <w:bookmarkStart w:id="30" w:name="OLE_LINK31"/>
      <w:bookmarkStart w:id="31" w:name="OLE_LINK32"/>
      <w:r>
        <w:rPr>
          <w:rFonts w:ascii="Arial" w:hAnsi="Arial" w:eastAsia="宋体" w:cs="Arial"/>
        </w:rPr>
        <w:t>对以前获得许可的器械，我们建议制造商在预期用途陈述中做出相应变更，不必重新提交510（k）文件。见21 CFR 807.81（a）（3）（ii）（只有对预期用途做出重大变更时才需重新提交510（k）文件）。</w:t>
      </w:r>
    </w:p>
    <w:bookmarkEnd w:id="30"/>
    <w:bookmarkEnd w:id="31"/>
    <w:p w14:paraId="49C07FA2">
      <w:pPr>
        <w:snapToGrid w:val="0"/>
        <w:spacing w:line="300" w:lineRule="auto"/>
        <w:rPr>
          <w:rFonts w:ascii="Arial" w:hAnsi="Arial" w:eastAsia="宋体" w:cs="Arial"/>
        </w:rPr>
      </w:pPr>
    </w:p>
    <w:p w14:paraId="0D522493">
      <w:pPr>
        <w:snapToGrid w:val="0"/>
        <w:spacing w:line="300" w:lineRule="auto"/>
        <w:outlineLvl w:val="1"/>
        <w:rPr>
          <w:rFonts w:ascii="Arial" w:hAnsi="Arial" w:eastAsia="宋体" w:cs="Arial"/>
        </w:rPr>
      </w:pPr>
      <w:bookmarkStart w:id="32" w:name="_Toc479582841"/>
      <w:r>
        <w:rPr>
          <w:rFonts w:ascii="Arial" w:hAnsi="Arial" w:eastAsia="宋体" w:cs="Arial"/>
        </w:rPr>
        <w:t>B. 贴标推荐规范</w:t>
      </w:r>
      <w:bookmarkEnd w:id="32"/>
    </w:p>
    <w:p w14:paraId="4740BB75">
      <w:pPr>
        <w:snapToGrid w:val="0"/>
        <w:spacing w:line="300" w:lineRule="auto"/>
        <w:rPr>
          <w:rFonts w:ascii="Arial" w:hAnsi="Arial" w:eastAsia="宋体" w:cs="Arial"/>
        </w:rPr>
      </w:pPr>
    </w:p>
    <w:p w14:paraId="69B848DC">
      <w:pPr>
        <w:snapToGrid w:val="0"/>
        <w:spacing w:line="300" w:lineRule="auto"/>
        <w:rPr>
          <w:rFonts w:ascii="Arial" w:hAnsi="Arial" w:eastAsia="宋体" w:cs="Arial"/>
        </w:rPr>
      </w:pPr>
      <w:r>
        <w:rPr>
          <w:rFonts w:ascii="Arial" w:hAnsi="Arial" w:eastAsia="宋体" w:cs="Arial"/>
        </w:rPr>
        <w:t>对体外诊断器械贴标的要求见21 CFR 809.10（b）。这些要求通常借助包装说明书予以满足。下列推荐规范对所要求的贴标的具体内容进行了描述。</w:t>
      </w:r>
    </w:p>
    <w:p w14:paraId="6164BF57">
      <w:pPr>
        <w:snapToGrid w:val="0"/>
        <w:spacing w:line="300" w:lineRule="auto"/>
        <w:rPr>
          <w:rFonts w:ascii="Arial" w:hAnsi="Arial" w:eastAsia="宋体" w:cs="Arial"/>
        </w:rPr>
      </w:pPr>
    </w:p>
    <w:p w14:paraId="4341CBDA">
      <w:pPr>
        <w:snapToGrid w:val="0"/>
        <w:spacing w:line="300" w:lineRule="auto"/>
        <w:rPr>
          <w:rFonts w:ascii="Arial" w:hAnsi="Arial" w:eastAsia="宋体" w:cs="Arial"/>
        </w:rPr>
      </w:pPr>
      <w:r>
        <w:rPr>
          <w:rFonts w:ascii="Arial" w:hAnsi="Arial" w:eastAsia="宋体" w:cs="Arial"/>
        </w:rPr>
        <w:t xml:space="preserve">1. </w:t>
      </w:r>
      <w:r>
        <w:rPr>
          <w:rFonts w:ascii="Arial" w:hAnsi="Arial" w:eastAsia="宋体" w:cs="Arial"/>
          <w:u w:val="single"/>
        </w:rPr>
        <w:t>预期用途</w:t>
      </w:r>
    </w:p>
    <w:p w14:paraId="08A79E08">
      <w:pPr>
        <w:snapToGrid w:val="0"/>
        <w:spacing w:line="300" w:lineRule="auto"/>
        <w:rPr>
          <w:rFonts w:ascii="Arial" w:hAnsi="Arial" w:eastAsia="宋体" w:cs="Arial"/>
        </w:rPr>
      </w:pPr>
    </w:p>
    <w:p w14:paraId="425B1FF4">
      <w:pPr>
        <w:snapToGrid w:val="0"/>
        <w:spacing w:line="300" w:lineRule="auto"/>
        <w:rPr>
          <w:rFonts w:ascii="Arial" w:hAnsi="Arial" w:eastAsia="宋体" w:cs="Arial"/>
        </w:rPr>
      </w:pPr>
      <w:r>
        <w:rPr>
          <w:rFonts w:ascii="Arial" w:hAnsi="Arial" w:eastAsia="宋体" w:cs="Arial"/>
        </w:rPr>
        <w:t>在体外诊断器械的贴标中必须包含对产品预期用途的陈述。</w:t>
      </w:r>
      <w:r>
        <w:rPr>
          <w:rFonts w:ascii="Arial" w:hAnsi="Arial" w:eastAsia="宋体" w:cs="Arial"/>
          <w:vertAlign w:val="superscript"/>
        </w:rPr>
        <w:t>6</w:t>
      </w:r>
      <w:r>
        <w:rPr>
          <w:rFonts w:ascii="Arial" w:hAnsi="Arial" w:eastAsia="宋体" w:cs="Arial"/>
        </w:rPr>
        <w:t>在所有已获许可510（k）提交资料的贴标中都包含了对预期用途的具体陈述。在本指南发布前已按21 CFR 866.3330的规定给予许可的流感检测器械可能包含的有关需对阴性检验结果进行确认的陈述。与体外诊断器械的标签一样，食品药品监督管理局建议在拟一般检测甲型流感（或甲型/乙型流感）的体外诊断器械的贴标中对预期用途的陈述应以此类陈述予以阐明：“阴性检验结果为推测结果，建议通过细胞培养对结果予以确认。阴性结果不排除存在流感病毒感染，不应将其作为治疗或其它管理决策的唯一基础。”</w:t>
      </w:r>
    </w:p>
    <w:p w14:paraId="1E4AFC72">
      <w:pPr>
        <w:snapToGrid w:val="0"/>
        <w:spacing w:line="300" w:lineRule="auto"/>
        <w:rPr>
          <w:rFonts w:ascii="Arial" w:hAnsi="Arial" w:eastAsia="宋体" w:cs="Arial"/>
        </w:rPr>
      </w:pPr>
      <w:r>
        <w:rPr>
          <w:rFonts w:ascii="Arial" w:hAnsi="Arial" w:eastAsia="宋体" w:cs="Arial"/>
        </w:rPr>
        <w:t>________________________________</w:t>
      </w:r>
    </w:p>
    <w:p w14:paraId="2608D4F3">
      <w:pPr>
        <w:snapToGrid w:val="0"/>
        <w:spacing w:line="300" w:lineRule="auto"/>
        <w:rPr>
          <w:rFonts w:ascii="Arial" w:hAnsi="Arial" w:eastAsia="宋体" w:cs="Arial"/>
          <w:sz w:val="18"/>
          <w:szCs w:val="18"/>
        </w:rPr>
      </w:pPr>
      <w:r>
        <w:rPr>
          <w:rFonts w:ascii="Arial" w:hAnsi="Arial" w:eastAsia="宋体" w:cs="Arial"/>
          <w:sz w:val="18"/>
          <w:szCs w:val="18"/>
          <w:vertAlign w:val="superscript"/>
        </w:rPr>
        <w:t>4</w:t>
      </w:r>
      <w:r>
        <w:rPr>
          <w:rFonts w:ascii="Arial" w:hAnsi="Arial" w:eastAsia="宋体" w:cs="Arial"/>
          <w:sz w:val="18"/>
          <w:szCs w:val="18"/>
        </w:rPr>
        <w:t>法案将“标签（label）”定义为“在任何物品的直接包装上显示的书面、印刷或图形材料”并提出了一个具体要求：“除非该物品的零售包装上有任何信息或该信息通过外包装容易读出，否则贴标上出现的任何单词、陈述或其他信息不得视为符合规定。”（法案第201（k）部分、21 USC 321（k））法案将“贴标（labeling）”定义为“（1）在任何物品或物品的任何包装上显示的或（2）与物品相伴随的所有标签和其它书面、印刷或图形材料。”（第201（m）部分、201 USC 321（m））在21 CFR 809.10部分描述的体外诊断器械贴标规则遵循了这种区分并对标签提出了一些要求，而其它要求通常适用于贴标。本指南制定了与该监管规定有关的推荐规范。</w:t>
      </w:r>
    </w:p>
    <w:p w14:paraId="7A5C4A70">
      <w:pPr>
        <w:snapToGrid w:val="0"/>
        <w:spacing w:line="300" w:lineRule="auto"/>
        <w:rPr>
          <w:rFonts w:ascii="Arial" w:hAnsi="Arial" w:eastAsia="宋体" w:cs="Arial"/>
          <w:sz w:val="18"/>
          <w:szCs w:val="18"/>
        </w:rPr>
      </w:pPr>
      <w:r>
        <w:rPr>
          <w:rFonts w:ascii="Arial" w:hAnsi="Arial" w:eastAsia="宋体" w:cs="Arial"/>
          <w:sz w:val="18"/>
          <w:szCs w:val="18"/>
          <w:vertAlign w:val="superscript"/>
        </w:rPr>
        <w:t xml:space="preserve">5 </w:t>
      </w:r>
      <w:r>
        <w:rPr>
          <w:rFonts w:ascii="Arial" w:hAnsi="Arial" w:eastAsia="宋体" w:cs="Arial"/>
          <w:sz w:val="18"/>
          <w:szCs w:val="18"/>
        </w:rPr>
        <w:t>21 CFR 809.10（a）（2）</w:t>
      </w:r>
    </w:p>
    <w:p w14:paraId="47C67A04">
      <w:pPr>
        <w:snapToGrid w:val="0"/>
        <w:spacing w:line="300" w:lineRule="auto"/>
        <w:rPr>
          <w:rFonts w:ascii="Arial" w:hAnsi="Arial" w:eastAsia="宋体" w:cs="Arial"/>
          <w:sz w:val="18"/>
          <w:szCs w:val="18"/>
        </w:rPr>
      </w:pPr>
      <w:r>
        <w:rPr>
          <w:rFonts w:ascii="Arial" w:hAnsi="Arial" w:eastAsia="宋体" w:cs="Arial"/>
          <w:sz w:val="18"/>
          <w:szCs w:val="18"/>
          <w:vertAlign w:val="superscript"/>
        </w:rPr>
        <w:t>6</w:t>
      </w:r>
      <w:r>
        <w:rPr>
          <w:rFonts w:ascii="Arial" w:hAnsi="Arial" w:eastAsia="宋体" w:cs="Arial"/>
          <w:sz w:val="18"/>
          <w:szCs w:val="18"/>
        </w:rPr>
        <w:t xml:space="preserve"> 21 CFR 809.10（b）（2）</w:t>
      </w:r>
    </w:p>
    <w:p w14:paraId="35D341B4">
      <w:pPr>
        <w:snapToGrid w:val="0"/>
        <w:spacing w:line="300" w:lineRule="auto"/>
        <w:rPr>
          <w:rFonts w:ascii="Arial" w:hAnsi="Arial" w:eastAsia="宋体" w:cs="Arial"/>
        </w:rPr>
      </w:pPr>
      <w:r>
        <w:rPr>
          <w:rFonts w:ascii="Arial" w:hAnsi="Arial" w:eastAsia="宋体" w:cs="Arial"/>
        </w:rPr>
        <w:t>对已获许可的器械，我们建议制造商在预期用途陈述中做出相应变更，不必重新提交510（k）文件。见21 CFR 807.87（a）（3）（ii）（只有对预期用途做出重大变更时才需重新提交510（k）文件）。</w:t>
      </w:r>
    </w:p>
    <w:p w14:paraId="61E9D38E">
      <w:pPr>
        <w:snapToGrid w:val="0"/>
        <w:spacing w:line="300" w:lineRule="auto"/>
        <w:rPr>
          <w:rFonts w:ascii="Arial" w:hAnsi="Arial" w:eastAsia="宋体" w:cs="Arial"/>
        </w:rPr>
      </w:pPr>
    </w:p>
    <w:p w14:paraId="7FDB2C97">
      <w:pPr>
        <w:snapToGrid w:val="0"/>
        <w:spacing w:line="300" w:lineRule="auto"/>
        <w:rPr>
          <w:rFonts w:ascii="Arial" w:hAnsi="Arial" w:eastAsia="宋体" w:cs="Arial"/>
        </w:rPr>
      </w:pPr>
      <w:r>
        <w:rPr>
          <w:rFonts w:ascii="Arial" w:hAnsi="Arial" w:eastAsia="宋体" w:cs="Arial"/>
        </w:rPr>
        <w:t>另外，我们建议贵公司的包装说明书应在预期用途陈述后包含下列陈述：</w:t>
      </w:r>
    </w:p>
    <w:p w14:paraId="5ECF8E67">
      <w:pPr>
        <w:snapToGrid w:val="0"/>
        <w:spacing w:line="300" w:lineRule="auto"/>
        <w:rPr>
          <w:rFonts w:ascii="Arial" w:hAnsi="Arial" w:eastAsia="宋体" w:cs="Arial"/>
        </w:rPr>
      </w:pPr>
    </w:p>
    <w:p w14:paraId="2C3C10DF">
      <w:pPr>
        <w:pStyle w:val="22"/>
        <w:numPr>
          <w:ilvl w:val="0"/>
          <w:numId w:val="1"/>
        </w:numPr>
        <w:snapToGrid w:val="0"/>
        <w:spacing w:line="300" w:lineRule="auto"/>
        <w:ind w:firstLine="0" w:firstLineChars="0"/>
        <w:rPr>
          <w:rFonts w:ascii="Arial" w:hAnsi="Arial" w:eastAsia="宋体" w:cs="Arial"/>
        </w:rPr>
      </w:pPr>
      <w:r>
        <w:rPr>
          <w:rFonts w:ascii="Arial" w:hAnsi="Arial" w:eastAsia="宋体" w:cs="Arial"/>
        </w:rPr>
        <w:t>“当甲型流感/H3病毒和甲型流感/H1病毒处于循环中的优势甲型流感病毒时，甲型流感的性能特征得以确立。当出现其它甲型流感病毒时，性能特征可能会有变化。”</w:t>
      </w:r>
    </w:p>
    <w:p w14:paraId="3C301BA4">
      <w:pPr>
        <w:pStyle w:val="22"/>
        <w:numPr>
          <w:ilvl w:val="0"/>
          <w:numId w:val="1"/>
        </w:numPr>
        <w:snapToGrid w:val="0"/>
        <w:spacing w:line="300" w:lineRule="auto"/>
        <w:ind w:firstLine="0" w:firstLineChars="0"/>
        <w:rPr>
          <w:rFonts w:ascii="Arial" w:hAnsi="Arial" w:eastAsia="宋体" w:cs="Arial"/>
        </w:rPr>
      </w:pPr>
      <w:r>
        <w:rPr>
          <w:rFonts w:ascii="Arial" w:hAnsi="Arial" w:eastAsia="宋体" w:cs="Arial"/>
        </w:rPr>
        <w:t>“如果根据公共卫生当局推荐的临床和流行病学现行筛检标准怀疑出现了一种新型甲型流感病毒感染，采集标本时应适当采取适用于新型高致病性流感病毒的感染控制措施并将标本送至所在州或当地的卫生行政机关进行检测。在这种情况下不要尝试进行病毒培养，除非有生物安全等级为3级以上的设施可用来接收和培养标本。”</w:t>
      </w:r>
    </w:p>
    <w:p w14:paraId="2BA8F918">
      <w:pPr>
        <w:snapToGrid w:val="0"/>
        <w:spacing w:line="300" w:lineRule="auto"/>
        <w:rPr>
          <w:rFonts w:ascii="Arial" w:hAnsi="Arial" w:eastAsia="宋体" w:cs="Arial"/>
        </w:rPr>
      </w:pPr>
    </w:p>
    <w:p w14:paraId="3742FFF6">
      <w:pPr>
        <w:snapToGrid w:val="0"/>
        <w:spacing w:line="300" w:lineRule="auto"/>
        <w:rPr>
          <w:rFonts w:ascii="Arial" w:hAnsi="Arial" w:eastAsia="宋体" w:cs="Arial"/>
        </w:rPr>
      </w:pPr>
      <w:r>
        <w:rPr>
          <w:rFonts w:ascii="Arial" w:hAnsi="Arial" w:eastAsia="宋体" w:cs="Arial"/>
        </w:rPr>
        <w:t xml:space="preserve">2. </w:t>
      </w:r>
      <w:r>
        <w:rPr>
          <w:rFonts w:ascii="Arial" w:hAnsi="Arial" w:eastAsia="宋体" w:cs="Arial"/>
          <w:u w:val="single"/>
        </w:rPr>
        <w:t>概要和说明</w:t>
      </w:r>
    </w:p>
    <w:p w14:paraId="737D15BE">
      <w:pPr>
        <w:snapToGrid w:val="0"/>
        <w:spacing w:line="300" w:lineRule="auto"/>
        <w:rPr>
          <w:rFonts w:ascii="Arial" w:hAnsi="Arial" w:eastAsia="宋体" w:cs="Arial"/>
        </w:rPr>
      </w:pPr>
    </w:p>
    <w:p w14:paraId="18B843BE">
      <w:pPr>
        <w:snapToGrid w:val="0"/>
        <w:spacing w:line="300" w:lineRule="auto"/>
        <w:rPr>
          <w:rFonts w:ascii="Arial" w:hAnsi="Arial" w:eastAsia="宋体" w:cs="Arial"/>
        </w:rPr>
      </w:pPr>
      <w:r>
        <w:rPr>
          <w:rFonts w:ascii="Arial" w:hAnsi="Arial" w:eastAsia="宋体" w:cs="Arial"/>
        </w:rPr>
        <w:t>在贵公司的产品使用说明书</w:t>
      </w:r>
      <w:r>
        <w:rPr>
          <w:rFonts w:ascii="Arial" w:hAnsi="Arial" w:eastAsia="宋体" w:cs="Arial"/>
          <w:vertAlign w:val="superscript"/>
        </w:rPr>
        <w:t>7</w:t>
      </w:r>
      <w:r>
        <w:rPr>
          <w:rFonts w:ascii="Arial" w:hAnsi="Arial" w:eastAsia="宋体" w:cs="Arial"/>
        </w:rPr>
        <w:t>中，概要和说明部分应真实可信，不要将某种特定新型甲型流感病毒（如甲型流感/H5N1）作为人类感染大流行的原因加以讨论。当贵公司已证明贵公司的器械可对甲型流感病毒（如甲型流感病毒/H5）进行分析性检测时，对某种具体的新型甲型流感病毒进行讨论可能会误导用户此处描述的分析性检测（在贵公司的器械包装说明书的其它地方）适用于对甲型流感/H5N1病毒进行临床检测。然而，对在本指南发布前已按21 CFR 866.3330的规定给予许可的流感体外诊断器械来说，尚未确立其用于从人体标本中检测甲型流感/H5N1病毒或任何其它具体的新型甲型流感病毒的性能特征。此类讨论还可能误导用户相信只要结果呈阳性就意味着存在一种新型流感病毒，而实际上并未打算用该器械确认或鉴别具体的新型甲型流感病毒。</w:t>
      </w:r>
    </w:p>
    <w:p w14:paraId="57123A6C">
      <w:pPr>
        <w:snapToGrid w:val="0"/>
        <w:spacing w:line="300" w:lineRule="auto"/>
        <w:rPr>
          <w:rFonts w:ascii="Arial" w:hAnsi="Arial" w:eastAsia="宋体" w:cs="Arial"/>
        </w:rPr>
      </w:pPr>
    </w:p>
    <w:p w14:paraId="25960181">
      <w:pPr>
        <w:snapToGrid w:val="0"/>
        <w:spacing w:line="300" w:lineRule="auto"/>
        <w:rPr>
          <w:rFonts w:ascii="Arial" w:hAnsi="Arial" w:eastAsia="宋体" w:cs="Arial"/>
        </w:rPr>
      </w:pPr>
      <w:r>
        <w:rPr>
          <w:rFonts w:ascii="Arial" w:hAnsi="Arial" w:eastAsia="宋体" w:cs="Arial"/>
        </w:rPr>
        <w:t xml:space="preserve">3. </w:t>
      </w:r>
      <w:r>
        <w:rPr>
          <w:rFonts w:ascii="Arial" w:hAnsi="Arial" w:eastAsia="宋体" w:cs="Arial"/>
          <w:u w:val="single"/>
        </w:rPr>
        <w:t>试剂和材料</w:t>
      </w:r>
    </w:p>
    <w:p w14:paraId="6B730F5B">
      <w:pPr>
        <w:snapToGrid w:val="0"/>
        <w:spacing w:line="300" w:lineRule="auto"/>
        <w:rPr>
          <w:rFonts w:ascii="Arial" w:hAnsi="Arial" w:eastAsia="宋体" w:cs="Arial"/>
        </w:rPr>
      </w:pPr>
    </w:p>
    <w:p w14:paraId="531E152F">
      <w:pPr>
        <w:snapToGrid w:val="0"/>
        <w:spacing w:line="300" w:lineRule="auto"/>
        <w:rPr>
          <w:rFonts w:ascii="Arial" w:hAnsi="Arial" w:eastAsia="宋体" w:cs="Arial"/>
        </w:rPr>
      </w:pPr>
      <w:r>
        <w:rPr>
          <w:rFonts w:ascii="Arial" w:hAnsi="Arial" w:eastAsia="宋体" w:cs="Arial"/>
        </w:rPr>
        <w:t>如果适用的话，我们建议贵公司在试剂和材料部分</w:t>
      </w:r>
      <w:r>
        <w:rPr>
          <w:rFonts w:ascii="Arial" w:hAnsi="Arial" w:eastAsia="宋体" w:cs="Arial"/>
          <w:vertAlign w:val="superscript"/>
        </w:rPr>
        <w:t>8</w:t>
      </w:r>
      <w:r>
        <w:rPr>
          <w:rFonts w:ascii="Arial" w:hAnsi="Arial" w:eastAsia="宋体" w:cs="Arial"/>
        </w:rPr>
        <w:t>对用来开发作为贵公司器械组成部分的单克隆抗体或多克隆抗体的流感病毒主要毒株和质控材料的技术参数（包括病毒水平、病毒来源、灭活方法和确定无传染性的方法）做出说明。</w:t>
      </w:r>
    </w:p>
    <w:p w14:paraId="41F68148">
      <w:pPr>
        <w:snapToGrid w:val="0"/>
        <w:spacing w:line="300" w:lineRule="auto"/>
        <w:rPr>
          <w:rFonts w:ascii="Arial" w:hAnsi="Arial" w:eastAsia="宋体" w:cs="Arial"/>
        </w:rPr>
      </w:pPr>
    </w:p>
    <w:p w14:paraId="5F3A85A4">
      <w:pPr>
        <w:snapToGrid w:val="0"/>
        <w:spacing w:line="300" w:lineRule="auto"/>
        <w:rPr>
          <w:rFonts w:ascii="Arial" w:hAnsi="Arial" w:eastAsia="宋体" w:cs="Arial"/>
        </w:rPr>
      </w:pPr>
    </w:p>
    <w:p w14:paraId="273E3B10">
      <w:pPr>
        <w:snapToGrid w:val="0"/>
        <w:spacing w:line="300" w:lineRule="auto"/>
        <w:rPr>
          <w:rFonts w:ascii="Arial" w:hAnsi="Arial" w:eastAsia="宋体" w:cs="Arial"/>
        </w:rPr>
      </w:pPr>
    </w:p>
    <w:p w14:paraId="18A30CDC">
      <w:pPr>
        <w:snapToGrid w:val="0"/>
        <w:spacing w:line="300" w:lineRule="auto"/>
        <w:rPr>
          <w:rFonts w:ascii="Arial" w:hAnsi="Arial" w:eastAsia="宋体" w:cs="Arial"/>
        </w:rPr>
      </w:pPr>
    </w:p>
    <w:p w14:paraId="6ACC29C3">
      <w:pPr>
        <w:snapToGrid w:val="0"/>
        <w:spacing w:line="300" w:lineRule="auto"/>
        <w:rPr>
          <w:rFonts w:ascii="Arial" w:hAnsi="Arial" w:eastAsia="宋体" w:cs="Arial"/>
        </w:rPr>
      </w:pPr>
    </w:p>
    <w:p w14:paraId="0CCB0985">
      <w:pPr>
        <w:snapToGrid w:val="0"/>
        <w:spacing w:line="300" w:lineRule="auto"/>
        <w:rPr>
          <w:rFonts w:ascii="Arial" w:hAnsi="Arial" w:eastAsia="宋体" w:cs="Arial"/>
        </w:rPr>
      </w:pPr>
    </w:p>
    <w:p w14:paraId="11FB33EC">
      <w:pPr>
        <w:snapToGrid w:val="0"/>
        <w:spacing w:line="300" w:lineRule="auto"/>
        <w:rPr>
          <w:rFonts w:ascii="Arial" w:hAnsi="Arial" w:eastAsia="宋体" w:cs="Arial"/>
        </w:rPr>
      </w:pPr>
    </w:p>
    <w:p w14:paraId="4E6479B6">
      <w:pPr>
        <w:snapToGrid w:val="0"/>
        <w:spacing w:line="300" w:lineRule="auto"/>
        <w:rPr>
          <w:rFonts w:ascii="Arial" w:hAnsi="Arial" w:eastAsia="宋体" w:cs="Arial"/>
        </w:rPr>
      </w:pPr>
    </w:p>
    <w:p w14:paraId="0BFE2907">
      <w:pPr>
        <w:snapToGrid w:val="0"/>
        <w:spacing w:line="300" w:lineRule="auto"/>
        <w:rPr>
          <w:rFonts w:ascii="Arial" w:hAnsi="Arial" w:eastAsia="宋体" w:cs="Arial"/>
        </w:rPr>
      </w:pPr>
    </w:p>
    <w:p w14:paraId="40E265D3">
      <w:pPr>
        <w:snapToGrid w:val="0"/>
        <w:spacing w:line="300" w:lineRule="auto"/>
        <w:rPr>
          <w:rFonts w:ascii="Arial" w:hAnsi="Arial" w:eastAsia="宋体" w:cs="Arial"/>
        </w:rPr>
      </w:pPr>
      <w:r>
        <w:rPr>
          <w:rFonts w:ascii="Arial" w:hAnsi="Arial" w:eastAsia="宋体" w:cs="Arial"/>
        </w:rPr>
        <w:t>_____________________</w:t>
      </w:r>
    </w:p>
    <w:p w14:paraId="1693360A">
      <w:pPr>
        <w:snapToGrid w:val="0"/>
        <w:spacing w:line="300" w:lineRule="auto"/>
        <w:rPr>
          <w:rFonts w:ascii="Arial" w:hAnsi="Arial" w:eastAsia="宋体" w:cs="Arial"/>
          <w:sz w:val="18"/>
          <w:szCs w:val="18"/>
        </w:rPr>
      </w:pPr>
      <w:r>
        <w:rPr>
          <w:rFonts w:ascii="Arial" w:hAnsi="Arial" w:eastAsia="宋体" w:cs="Arial"/>
          <w:sz w:val="18"/>
          <w:szCs w:val="18"/>
          <w:vertAlign w:val="superscript"/>
        </w:rPr>
        <w:t>7</w:t>
      </w:r>
      <w:r>
        <w:rPr>
          <w:rFonts w:ascii="Arial" w:hAnsi="Arial" w:eastAsia="宋体" w:cs="Arial"/>
          <w:sz w:val="18"/>
          <w:szCs w:val="18"/>
        </w:rPr>
        <w:t>21 CFR 809.10（b）（3）</w:t>
      </w:r>
    </w:p>
    <w:p w14:paraId="17BB949E">
      <w:pPr>
        <w:snapToGrid w:val="0"/>
        <w:spacing w:line="300" w:lineRule="auto"/>
        <w:rPr>
          <w:rFonts w:ascii="Arial" w:hAnsi="Arial" w:eastAsia="宋体" w:cs="Arial"/>
          <w:sz w:val="18"/>
          <w:szCs w:val="18"/>
        </w:rPr>
      </w:pPr>
      <w:r>
        <w:rPr>
          <w:rFonts w:ascii="Arial" w:hAnsi="Arial" w:eastAsia="宋体" w:cs="Arial"/>
          <w:sz w:val="18"/>
          <w:szCs w:val="18"/>
          <w:vertAlign w:val="superscript"/>
        </w:rPr>
        <w:t>8</w:t>
      </w:r>
      <w:r>
        <w:rPr>
          <w:rFonts w:ascii="Arial" w:hAnsi="Arial" w:eastAsia="宋体" w:cs="Arial"/>
          <w:sz w:val="18"/>
          <w:szCs w:val="18"/>
        </w:rPr>
        <w:t>21 CFR 809.10（b）（5）（i）</w:t>
      </w:r>
    </w:p>
    <w:p w14:paraId="01DEDD4E">
      <w:pPr>
        <w:widowControl/>
        <w:jc w:val="left"/>
        <w:rPr>
          <w:rFonts w:ascii="Arial" w:hAnsi="Arial" w:eastAsia="宋体" w:cs="Arial"/>
          <w:sz w:val="18"/>
          <w:szCs w:val="18"/>
        </w:rPr>
      </w:pPr>
      <w:r>
        <w:rPr>
          <w:rFonts w:ascii="Arial" w:hAnsi="Arial" w:eastAsia="宋体" w:cs="Arial"/>
          <w:sz w:val="18"/>
          <w:szCs w:val="18"/>
        </w:rPr>
        <w:br w:type="page"/>
      </w:r>
    </w:p>
    <w:p w14:paraId="2920A7B0">
      <w:pPr>
        <w:snapToGrid w:val="0"/>
        <w:spacing w:line="300" w:lineRule="auto"/>
        <w:rPr>
          <w:rFonts w:ascii="Arial" w:hAnsi="Arial" w:eastAsia="宋体" w:cs="Arial"/>
        </w:rPr>
      </w:pPr>
      <w:r>
        <w:rPr>
          <w:rFonts w:ascii="Arial" w:hAnsi="Arial" w:eastAsia="宋体" w:cs="Arial"/>
        </w:rPr>
        <w:t xml:space="preserve">4. </w:t>
      </w:r>
      <w:r>
        <w:rPr>
          <w:rFonts w:ascii="Arial" w:hAnsi="Arial" w:eastAsia="宋体" w:cs="Arial"/>
          <w:u w:val="single"/>
        </w:rPr>
        <w:t>预防措施</w:t>
      </w:r>
    </w:p>
    <w:p w14:paraId="45C63FF5">
      <w:pPr>
        <w:snapToGrid w:val="0"/>
        <w:spacing w:line="300" w:lineRule="auto"/>
        <w:rPr>
          <w:rFonts w:ascii="Arial" w:hAnsi="Arial" w:eastAsia="宋体" w:cs="Arial"/>
        </w:rPr>
      </w:pPr>
    </w:p>
    <w:p w14:paraId="4C1D81D5">
      <w:pPr>
        <w:snapToGrid w:val="0"/>
        <w:spacing w:line="300" w:lineRule="auto"/>
        <w:rPr>
          <w:rFonts w:ascii="Arial" w:hAnsi="Arial" w:eastAsia="宋体" w:cs="Arial"/>
        </w:rPr>
      </w:pPr>
      <w:r>
        <w:rPr>
          <w:rFonts w:ascii="Arial" w:hAnsi="Arial" w:eastAsia="宋体" w:cs="Arial"/>
        </w:rPr>
        <w:t>我们建议贵公司在预防措施部分</w:t>
      </w:r>
      <w:r>
        <w:rPr>
          <w:rFonts w:ascii="Arial" w:hAnsi="Arial" w:eastAsia="宋体" w:cs="Arial"/>
          <w:vertAlign w:val="superscript"/>
        </w:rPr>
        <w:t>9</w:t>
      </w:r>
      <w:r>
        <w:rPr>
          <w:rFonts w:ascii="Arial" w:hAnsi="Arial" w:eastAsia="宋体" w:cs="Arial"/>
        </w:rPr>
        <w:t>对标本的处理、储存和销毁规程做出详细描述，其中包括对怀疑感染新型流感病毒株的标本进行处理时应遵守规程的重申和阐述（见本指南V. B.1部分关于注意事项的推荐规范）。</w:t>
      </w:r>
    </w:p>
    <w:p w14:paraId="455F4FBA">
      <w:pPr>
        <w:snapToGrid w:val="0"/>
        <w:spacing w:line="300" w:lineRule="auto"/>
        <w:rPr>
          <w:rFonts w:ascii="Arial" w:hAnsi="Arial" w:eastAsia="宋体" w:cs="Arial"/>
        </w:rPr>
      </w:pPr>
    </w:p>
    <w:p w14:paraId="4C764138">
      <w:pPr>
        <w:snapToGrid w:val="0"/>
        <w:spacing w:line="300" w:lineRule="auto"/>
        <w:rPr>
          <w:rFonts w:ascii="Arial" w:hAnsi="Arial" w:eastAsia="宋体" w:cs="Arial"/>
        </w:rPr>
      </w:pPr>
      <w:r>
        <w:rPr>
          <w:rFonts w:ascii="Arial" w:hAnsi="Arial" w:eastAsia="宋体" w:cs="Arial"/>
        </w:rPr>
        <w:t xml:space="preserve">5. </w:t>
      </w:r>
      <w:r>
        <w:rPr>
          <w:rFonts w:ascii="Arial" w:hAnsi="Arial" w:eastAsia="宋体" w:cs="Arial"/>
          <w:u w:val="single"/>
        </w:rPr>
        <w:t>标本采集</w:t>
      </w:r>
    </w:p>
    <w:p w14:paraId="1BF38A26">
      <w:pPr>
        <w:snapToGrid w:val="0"/>
        <w:spacing w:line="300" w:lineRule="auto"/>
        <w:rPr>
          <w:rFonts w:ascii="Arial" w:hAnsi="Arial" w:eastAsia="宋体" w:cs="Arial"/>
        </w:rPr>
      </w:pPr>
    </w:p>
    <w:p w14:paraId="7B021D39">
      <w:pPr>
        <w:snapToGrid w:val="0"/>
        <w:spacing w:line="300" w:lineRule="auto"/>
        <w:rPr>
          <w:rFonts w:ascii="Arial" w:hAnsi="Arial" w:eastAsia="宋体" w:cs="Arial"/>
        </w:rPr>
      </w:pPr>
      <w:r>
        <w:rPr>
          <w:rFonts w:ascii="Arial" w:hAnsi="Arial" w:eastAsia="宋体" w:cs="Arial"/>
        </w:rPr>
        <w:t>我们建议贵公司在标本采集部分</w:t>
      </w:r>
      <w:r>
        <w:rPr>
          <w:rFonts w:ascii="Arial" w:hAnsi="Arial" w:eastAsia="宋体" w:cs="Arial"/>
          <w:vertAlign w:val="superscript"/>
        </w:rPr>
        <w:t>10</w:t>
      </w:r>
      <w:r>
        <w:rPr>
          <w:rFonts w:ascii="Arial" w:hAnsi="Arial" w:eastAsia="宋体" w:cs="Arial"/>
        </w:rPr>
        <w:t>对标本采集数量不足或标本采集不当、标本储存和运输不当可能产生假阴性检验结果做出说明。我们还建议贵公司明确说明，鉴于标本质量的重要性，强烈建议进行标本采集培训。</w:t>
      </w:r>
    </w:p>
    <w:p w14:paraId="0263F1A3">
      <w:pPr>
        <w:snapToGrid w:val="0"/>
        <w:spacing w:line="300" w:lineRule="auto"/>
        <w:rPr>
          <w:rFonts w:ascii="Arial" w:hAnsi="Arial" w:eastAsia="宋体" w:cs="Arial"/>
        </w:rPr>
      </w:pPr>
    </w:p>
    <w:p w14:paraId="5065BF29">
      <w:pPr>
        <w:snapToGrid w:val="0"/>
        <w:spacing w:line="300" w:lineRule="auto"/>
        <w:rPr>
          <w:rFonts w:ascii="Arial" w:hAnsi="Arial" w:eastAsia="宋体" w:cs="Arial"/>
        </w:rPr>
      </w:pPr>
      <w:r>
        <w:rPr>
          <w:rFonts w:ascii="Arial" w:hAnsi="Arial" w:eastAsia="宋体" w:cs="Arial"/>
        </w:rPr>
        <w:t xml:space="preserve">6. </w:t>
      </w:r>
      <w:r>
        <w:rPr>
          <w:rFonts w:ascii="Arial" w:hAnsi="Arial" w:eastAsia="宋体" w:cs="Arial"/>
          <w:u w:val="single"/>
        </w:rPr>
        <w:t>结果</w:t>
      </w:r>
    </w:p>
    <w:p w14:paraId="6E501093">
      <w:pPr>
        <w:snapToGrid w:val="0"/>
        <w:spacing w:line="300" w:lineRule="auto"/>
        <w:rPr>
          <w:rFonts w:ascii="Arial" w:hAnsi="Arial" w:eastAsia="宋体" w:cs="Arial"/>
        </w:rPr>
      </w:pPr>
    </w:p>
    <w:p w14:paraId="5AFF107F">
      <w:pPr>
        <w:snapToGrid w:val="0"/>
        <w:spacing w:line="300" w:lineRule="auto"/>
        <w:rPr>
          <w:rFonts w:ascii="Arial" w:hAnsi="Arial" w:eastAsia="宋体" w:cs="Arial"/>
        </w:rPr>
      </w:pPr>
      <w:r>
        <w:rPr>
          <w:rFonts w:ascii="Arial" w:hAnsi="Arial" w:eastAsia="宋体" w:cs="Arial"/>
        </w:rPr>
        <w:t>我们建议贵公司在结果部分</w:t>
      </w:r>
      <w:r>
        <w:rPr>
          <w:rFonts w:ascii="Arial" w:hAnsi="Arial" w:eastAsia="宋体" w:cs="Arial"/>
          <w:vertAlign w:val="superscript"/>
        </w:rPr>
        <w:t>11</w:t>
      </w:r>
      <w:r>
        <w:rPr>
          <w:rFonts w:ascii="Arial" w:hAnsi="Arial" w:eastAsia="宋体" w:cs="Arial"/>
        </w:rPr>
        <w:t>包含对结果报告的说明，其中应包括下列陈述：</w:t>
      </w:r>
    </w:p>
    <w:p w14:paraId="7DAD8626">
      <w:pPr>
        <w:snapToGrid w:val="0"/>
        <w:spacing w:line="300" w:lineRule="auto"/>
        <w:rPr>
          <w:rFonts w:ascii="Arial" w:hAnsi="Arial" w:eastAsia="宋体" w:cs="Arial"/>
        </w:rPr>
      </w:pPr>
    </w:p>
    <w:p w14:paraId="4DF3DFF7">
      <w:pPr>
        <w:pStyle w:val="22"/>
        <w:numPr>
          <w:ilvl w:val="0"/>
          <w:numId w:val="2"/>
        </w:numPr>
        <w:snapToGrid w:val="0"/>
        <w:spacing w:line="300" w:lineRule="auto"/>
        <w:ind w:left="896" w:hanging="448" w:firstLineChars="0"/>
        <w:rPr>
          <w:rFonts w:ascii="Arial" w:hAnsi="Arial" w:eastAsia="宋体" w:cs="Arial"/>
        </w:rPr>
      </w:pPr>
      <w:r>
        <w:rPr>
          <w:rFonts w:ascii="Arial" w:hAnsi="Arial" w:eastAsia="宋体" w:cs="Arial"/>
        </w:rPr>
        <w:t>“未检出</w:t>
      </w:r>
      <w:bookmarkStart w:id="33" w:name="OLE_LINK21"/>
      <w:bookmarkStart w:id="34" w:name="OLE_LINK24"/>
      <w:r>
        <w:rPr>
          <w:rFonts w:ascii="Arial" w:hAnsi="Arial" w:eastAsia="宋体" w:cs="Arial"/>
        </w:rPr>
        <w:t>甲型或乙型流感病毒抗原时</w:t>
      </w:r>
      <w:bookmarkEnd w:id="33"/>
      <w:bookmarkEnd w:id="34"/>
      <w:r>
        <w:rPr>
          <w:rFonts w:ascii="Arial" w:hAnsi="Arial" w:eastAsia="宋体" w:cs="Arial"/>
        </w:rPr>
        <w:t>报告阴性检验结果。该结果并不排除存在流感病毒感染。”</w:t>
      </w:r>
    </w:p>
    <w:p w14:paraId="0C576217">
      <w:pPr>
        <w:pStyle w:val="22"/>
        <w:numPr>
          <w:ilvl w:val="0"/>
          <w:numId w:val="2"/>
        </w:numPr>
        <w:snapToGrid w:val="0"/>
        <w:spacing w:line="300" w:lineRule="auto"/>
        <w:ind w:left="896" w:hanging="448" w:firstLineChars="0"/>
        <w:rPr>
          <w:rFonts w:ascii="Arial" w:hAnsi="Arial" w:eastAsia="宋体" w:cs="Arial"/>
        </w:rPr>
      </w:pPr>
      <w:r>
        <w:rPr>
          <w:rFonts w:ascii="Arial" w:hAnsi="Arial" w:eastAsia="宋体" w:cs="Arial"/>
        </w:rPr>
        <w:t>“甲型或乙型流感病毒抗原呈阳性反应时报告阳性检验结果。该结果并不排除存在其它病原体协同感染的可能性或并不能确认任何具体的甲型流感病毒亚型。”</w:t>
      </w:r>
    </w:p>
    <w:p w14:paraId="78951D4C">
      <w:pPr>
        <w:snapToGrid w:val="0"/>
        <w:spacing w:line="300" w:lineRule="auto"/>
        <w:rPr>
          <w:rFonts w:ascii="Arial" w:hAnsi="Arial" w:eastAsia="宋体" w:cs="Arial"/>
        </w:rPr>
      </w:pPr>
    </w:p>
    <w:p w14:paraId="2D283E92">
      <w:pPr>
        <w:snapToGrid w:val="0"/>
        <w:spacing w:line="300" w:lineRule="auto"/>
        <w:rPr>
          <w:rFonts w:ascii="Arial" w:hAnsi="Arial" w:eastAsia="宋体" w:cs="Arial"/>
        </w:rPr>
      </w:pPr>
      <w:r>
        <w:rPr>
          <w:rFonts w:ascii="Arial" w:hAnsi="Arial" w:eastAsia="宋体" w:cs="Arial"/>
        </w:rPr>
        <w:t xml:space="preserve">7. </w:t>
      </w:r>
      <w:r>
        <w:rPr>
          <w:rFonts w:ascii="Arial" w:hAnsi="Arial" w:eastAsia="宋体" w:cs="Arial"/>
          <w:u w:val="single"/>
        </w:rPr>
        <w:t>局限性</w:t>
      </w:r>
    </w:p>
    <w:p w14:paraId="6D4052E3">
      <w:pPr>
        <w:snapToGrid w:val="0"/>
        <w:spacing w:line="300" w:lineRule="auto"/>
        <w:rPr>
          <w:rFonts w:ascii="Arial" w:hAnsi="Arial" w:eastAsia="宋体" w:cs="Arial"/>
        </w:rPr>
      </w:pPr>
    </w:p>
    <w:p w14:paraId="4268F5BB">
      <w:pPr>
        <w:snapToGrid w:val="0"/>
        <w:spacing w:line="300" w:lineRule="auto"/>
        <w:rPr>
          <w:rFonts w:ascii="Arial" w:hAnsi="Arial" w:eastAsia="宋体" w:cs="Arial"/>
        </w:rPr>
      </w:pPr>
      <w:r>
        <w:rPr>
          <w:rFonts w:ascii="Arial" w:hAnsi="Arial" w:eastAsia="宋体" w:cs="Arial"/>
        </w:rPr>
        <w:t>我们建议在局限性部分提供下列陈述</w:t>
      </w:r>
      <w:r>
        <w:rPr>
          <w:rFonts w:ascii="Arial" w:hAnsi="Arial" w:eastAsia="宋体" w:cs="Arial"/>
          <w:vertAlign w:val="superscript"/>
        </w:rPr>
        <w:t>12</w:t>
      </w:r>
      <w:r>
        <w:rPr>
          <w:rFonts w:ascii="Arial" w:hAnsi="Arial" w:eastAsia="宋体" w:cs="Arial"/>
        </w:rPr>
        <w:t>：</w:t>
      </w:r>
    </w:p>
    <w:p w14:paraId="6835C9C3">
      <w:pPr>
        <w:snapToGrid w:val="0"/>
        <w:spacing w:line="300" w:lineRule="auto"/>
        <w:rPr>
          <w:rFonts w:ascii="Arial" w:hAnsi="Arial" w:eastAsia="宋体" w:cs="Arial"/>
        </w:rPr>
      </w:pPr>
    </w:p>
    <w:p w14:paraId="460FB8AE">
      <w:pPr>
        <w:pStyle w:val="22"/>
        <w:numPr>
          <w:ilvl w:val="0"/>
          <w:numId w:val="2"/>
        </w:numPr>
        <w:snapToGrid w:val="0"/>
        <w:spacing w:line="300" w:lineRule="auto"/>
        <w:ind w:left="896" w:hanging="448" w:firstLineChars="0"/>
        <w:rPr>
          <w:rFonts w:ascii="Arial" w:hAnsi="Arial" w:eastAsia="宋体" w:cs="Arial"/>
        </w:rPr>
      </w:pPr>
      <w:r>
        <w:rPr>
          <w:rFonts w:ascii="Arial" w:hAnsi="Arial" w:eastAsia="宋体" w:cs="Arial"/>
        </w:rPr>
        <w:t>如果贵公司的器械可检测甲型和乙型流感病毒，但并不对两种病毒做出鉴别，应给出这样的陈述：“如果要对甲型和乙型流感病毒做出鉴别，需另做检验。”</w:t>
      </w:r>
    </w:p>
    <w:p w14:paraId="72D1ED9E">
      <w:pPr>
        <w:pStyle w:val="22"/>
        <w:numPr>
          <w:ilvl w:val="0"/>
          <w:numId w:val="2"/>
        </w:numPr>
        <w:snapToGrid w:val="0"/>
        <w:spacing w:line="300" w:lineRule="auto"/>
        <w:ind w:left="896" w:hanging="448" w:firstLineChars="0"/>
        <w:rPr>
          <w:rFonts w:ascii="Arial" w:hAnsi="Arial" w:eastAsia="宋体" w:cs="Arial"/>
        </w:rPr>
      </w:pPr>
      <w:r>
        <w:rPr>
          <w:rFonts w:ascii="Arial" w:hAnsi="Arial" w:eastAsia="宋体" w:cs="Arial"/>
        </w:rPr>
        <w:t>如果贵公司的器械可检测甲型流感病毒并可将其与乙型流感病毒区分开来，应给出这样的陈述：“经与所在州或当地公共卫生行政机关协商，要对任何具体的甲型流感病毒亚型或毒株做出鉴别时，需另做检验。”</w:t>
      </w:r>
    </w:p>
    <w:p w14:paraId="479F7F1F">
      <w:pPr>
        <w:snapToGrid w:val="0"/>
        <w:spacing w:line="300" w:lineRule="auto"/>
        <w:rPr>
          <w:rFonts w:ascii="Arial" w:hAnsi="Arial" w:eastAsia="宋体" w:cs="Arial"/>
          <w:vertAlign w:val="superscript"/>
        </w:rPr>
      </w:pPr>
    </w:p>
    <w:p w14:paraId="2372CC51">
      <w:pPr>
        <w:snapToGrid w:val="0"/>
        <w:spacing w:line="300" w:lineRule="auto"/>
        <w:rPr>
          <w:rFonts w:ascii="Arial" w:hAnsi="Arial" w:eastAsia="宋体" w:cs="Arial"/>
          <w:vertAlign w:val="superscript"/>
        </w:rPr>
      </w:pPr>
    </w:p>
    <w:p w14:paraId="2AD1D0AD">
      <w:pPr>
        <w:snapToGrid w:val="0"/>
        <w:spacing w:line="300" w:lineRule="auto"/>
        <w:rPr>
          <w:rFonts w:ascii="Arial" w:hAnsi="Arial" w:eastAsia="宋体" w:cs="Arial"/>
          <w:vertAlign w:val="superscript"/>
        </w:rPr>
      </w:pPr>
    </w:p>
    <w:p w14:paraId="11474F0B">
      <w:pPr>
        <w:snapToGrid w:val="0"/>
        <w:spacing w:line="300" w:lineRule="auto"/>
        <w:rPr>
          <w:rFonts w:ascii="Arial" w:hAnsi="Arial" w:eastAsia="宋体" w:cs="Arial"/>
          <w:vertAlign w:val="superscript"/>
        </w:rPr>
      </w:pPr>
    </w:p>
    <w:p w14:paraId="59072BD0">
      <w:pPr>
        <w:snapToGrid w:val="0"/>
        <w:spacing w:line="300" w:lineRule="auto"/>
        <w:rPr>
          <w:rFonts w:ascii="Arial" w:hAnsi="Arial" w:eastAsia="宋体" w:cs="Arial"/>
          <w:vertAlign w:val="superscript"/>
        </w:rPr>
      </w:pPr>
    </w:p>
    <w:p w14:paraId="3B7B9A6C">
      <w:pPr>
        <w:snapToGrid w:val="0"/>
        <w:spacing w:line="300" w:lineRule="auto"/>
        <w:rPr>
          <w:rFonts w:ascii="Arial" w:hAnsi="Arial" w:eastAsia="宋体" w:cs="Arial"/>
          <w:vertAlign w:val="superscript"/>
        </w:rPr>
      </w:pPr>
    </w:p>
    <w:p w14:paraId="0FBD72D1">
      <w:pPr>
        <w:snapToGrid w:val="0"/>
        <w:spacing w:line="300" w:lineRule="auto"/>
        <w:rPr>
          <w:rFonts w:ascii="Arial" w:hAnsi="Arial" w:eastAsia="宋体" w:cs="Arial"/>
          <w:vertAlign w:val="superscript"/>
        </w:rPr>
      </w:pPr>
    </w:p>
    <w:p w14:paraId="6C823FAE">
      <w:pPr>
        <w:snapToGrid w:val="0"/>
        <w:spacing w:line="300" w:lineRule="auto"/>
        <w:rPr>
          <w:rFonts w:ascii="Arial" w:hAnsi="Arial" w:eastAsia="宋体" w:cs="Arial"/>
          <w:vertAlign w:val="superscript"/>
        </w:rPr>
      </w:pPr>
    </w:p>
    <w:p w14:paraId="0B2E6394">
      <w:pPr>
        <w:snapToGrid w:val="0"/>
        <w:spacing w:line="300" w:lineRule="auto"/>
        <w:rPr>
          <w:rFonts w:ascii="Arial" w:hAnsi="Arial" w:eastAsia="宋体" w:cs="Arial"/>
          <w:vertAlign w:val="superscript"/>
        </w:rPr>
      </w:pPr>
    </w:p>
    <w:p w14:paraId="1B265F29">
      <w:pPr>
        <w:snapToGrid w:val="0"/>
        <w:spacing w:line="300" w:lineRule="auto"/>
        <w:rPr>
          <w:rFonts w:ascii="Arial" w:hAnsi="Arial" w:eastAsia="宋体" w:cs="Arial"/>
          <w:vertAlign w:val="superscript"/>
        </w:rPr>
      </w:pPr>
      <w:r>
        <w:rPr>
          <w:rFonts w:ascii="Arial" w:hAnsi="Arial" w:eastAsia="宋体" w:cs="Arial"/>
          <w:vertAlign w:val="superscript"/>
        </w:rPr>
        <w:t>_______________________________________</w:t>
      </w:r>
    </w:p>
    <w:p w14:paraId="6C5DFB8D">
      <w:pPr>
        <w:snapToGrid w:val="0"/>
        <w:spacing w:line="300" w:lineRule="auto"/>
        <w:rPr>
          <w:rFonts w:ascii="Arial" w:hAnsi="Arial" w:eastAsia="宋体" w:cs="Arial"/>
          <w:sz w:val="18"/>
          <w:szCs w:val="18"/>
        </w:rPr>
      </w:pPr>
      <w:r>
        <w:rPr>
          <w:rFonts w:ascii="Arial" w:hAnsi="Arial" w:eastAsia="宋体" w:cs="Arial"/>
          <w:sz w:val="18"/>
          <w:szCs w:val="18"/>
          <w:vertAlign w:val="superscript"/>
        </w:rPr>
        <w:t>9</w:t>
      </w:r>
      <w:r>
        <w:rPr>
          <w:rFonts w:ascii="Arial" w:hAnsi="Arial" w:eastAsia="宋体" w:cs="Arial"/>
          <w:sz w:val="18"/>
          <w:szCs w:val="18"/>
        </w:rPr>
        <w:t>21 CFR 809.10（b）（5）（ii）</w:t>
      </w:r>
    </w:p>
    <w:p w14:paraId="3F878C54">
      <w:pPr>
        <w:snapToGrid w:val="0"/>
        <w:spacing w:line="300" w:lineRule="auto"/>
        <w:rPr>
          <w:rFonts w:ascii="Arial" w:hAnsi="Arial" w:eastAsia="宋体" w:cs="Arial"/>
          <w:sz w:val="18"/>
          <w:szCs w:val="18"/>
        </w:rPr>
      </w:pPr>
      <w:r>
        <w:rPr>
          <w:rFonts w:ascii="Arial" w:hAnsi="Arial" w:eastAsia="宋体" w:cs="Arial"/>
          <w:sz w:val="18"/>
          <w:szCs w:val="18"/>
          <w:vertAlign w:val="superscript"/>
        </w:rPr>
        <w:t>10</w:t>
      </w:r>
      <w:r>
        <w:rPr>
          <w:rFonts w:ascii="Arial" w:hAnsi="Arial" w:eastAsia="宋体" w:cs="Arial"/>
          <w:sz w:val="18"/>
          <w:szCs w:val="18"/>
        </w:rPr>
        <w:t>21 CFR 809.10（b）（7）</w:t>
      </w:r>
    </w:p>
    <w:p w14:paraId="77AC8AD8">
      <w:pPr>
        <w:snapToGrid w:val="0"/>
        <w:spacing w:line="300" w:lineRule="auto"/>
        <w:rPr>
          <w:rFonts w:ascii="Arial" w:hAnsi="Arial" w:eastAsia="宋体" w:cs="Arial"/>
          <w:sz w:val="18"/>
          <w:szCs w:val="18"/>
        </w:rPr>
      </w:pPr>
      <w:r>
        <w:rPr>
          <w:rFonts w:ascii="Arial" w:hAnsi="Arial" w:eastAsia="宋体" w:cs="Arial"/>
          <w:sz w:val="18"/>
          <w:szCs w:val="18"/>
          <w:vertAlign w:val="superscript"/>
        </w:rPr>
        <w:t>11</w:t>
      </w:r>
      <w:r>
        <w:rPr>
          <w:rFonts w:ascii="Arial" w:hAnsi="Arial" w:eastAsia="宋体" w:cs="Arial"/>
          <w:sz w:val="18"/>
          <w:szCs w:val="18"/>
        </w:rPr>
        <w:t>21 CFR 809.10（b）（9）</w:t>
      </w:r>
    </w:p>
    <w:p w14:paraId="534DAE93">
      <w:pPr>
        <w:snapToGrid w:val="0"/>
        <w:spacing w:line="300" w:lineRule="auto"/>
        <w:rPr>
          <w:rFonts w:ascii="Arial" w:hAnsi="Arial" w:eastAsia="宋体" w:cs="Arial"/>
          <w:sz w:val="18"/>
          <w:szCs w:val="18"/>
        </w:rPr>
      </w:pPr>
      <w:r>
        <w:rPr>
          <w:rFonts w:ascii="Arial" w:hAnsi="Arial" w:eastAsia="宋体" w:cs="Arial"/>
          <w:sz w:val="18"/>
          <w:szCs w:val="18"/>
          <w:vertAlign w:val="superscript"/>
        </w:rPr>
        <w:t>12</w:t>
      </w:r>
      <w:r>
        <w:rPr>
          <w:rFonts w:ascii="Arial" w:hAnsi="Arial" w:eastAsia="宋体" w:cs="Arial"/>
          <w:sz w:val="18"/>
          <w:szCs w:val="18"/>
        </w:rPr>
        <w:t>21 CFR 809.10（b）（10）</w:t>
      </w:r>
    </w:p>
    <w:p w14:paraId="5C202D6C">
      <w:pPr>
        <w:pStyle w:val="22"/>
        <w:numPr>
          <w:ilvl w:val="0"/>
          <w:numId w:val="2"/>
        </w:numPr>
        <w:snapToGrid w:val="0"/>
        <w:spacing w:line="300" w:lineRule="auto"/>
        <w:ind w:left="896" w:hanging="448" w:firstLineChars="0"/>
        <w:rPr>
          <w:rFonts w:ascii="Arial" w:hAnsi="Arial" w:eastAsia="宋体" w:cs="Arial"/>
        </w:rPr>
      </w:pPr>
      <w:r>
        <w:rPr>
          <w:rFonts w:ascii="Arial" w:hAnsi="Arial" w:eastAsia="宋体" w:cs="Arial"/>
        </w:rPr>
        <w:t>“儿童倾向于比成人排出病毒的量更多，时间更长。因此，检测成人标本的灵敏度将会低于检测儿童标本的灵敏度。”</w:t>
      </w:r>
    </w:p>
    <w:p w14:paraId="24B0D557">
      <w:pPr>
        <w:pStyle w:val="22"/>
        <w:numPr>
          <w:ilvl w:val="0"/>
          <w:numId w:val="2"/>
        </w:numPr>
        <w:snapToGrid w:val="0"/>
        <w:spacing w:line="300" w:lineRule="auto"/>
        <w:ind w:left="896" w:hanging="448" w:firstLineChars="0"/>
        <w:rPr>
          <w:rFonts w:ascii="Arial" w:hAnsi="Arial" w:eastAsia="宋体" w:cs="Arial"/>
        </w:rPr>
      </w:pPr>
      <w:r>
        <w:rPr>
          <w:rFonts w:ascii="Arial" w:hAnsi="Arial" w:eastAsia="宋体" w:cs="Arial"/>
        </w:rPr>
        <w:t>“阳性预测值和阴性预测值高度取决于患病率。当疾病患病率高时，在流感活动的高峰期更有可能出现假阴性检验结果。当疾病患病率处于中等至低水平时，在流感的低活动期更有可能出现假阳性检验结果。”</w:t>
      </w:r>
    </w:p>
    <w:p w14:paraId="56D2BA36">
      <w:pPr>
        <w:pStyle w:val="22"/>
        <w:numPr>
          <w:ilvl w:val="0"/>
          <w:numId w:val="2"/>
        </w:numPr>
        <w:snapToGrid w:val="0"/>
        <w:spacing w:line="300" w:lineRule="auto"/>
        <w:ind w:left="896" w:hanging="448" w:firstLineChars="0"/>
        <w:rPr>
          <w:rFonts w:ascii="Arial" w:hAnsi="Arial" w:eastAsia="宋体" w:cs="Arial"/>
        </w:rPr>
      </w:pPr>
      <w:r>
        <w:rPr>
          <w:rFonts w:ascii="Arial" w:hAnsi="Arial" w:eastAsia="宋体" w:cs="Arial"/>
        </w:rPr>
        <w:t>“经鼻腔接受甲型流感疫苗接种的个体可能在接种后3天出现阳性检验结果。”</w:t>
      </w:r>
    </w:p>
    <w:p w14:paraId="3F452439">
      <w:pPr>
        <w:pStyle w:val="22"/>
        <w:numPr>
          <w:ilvl w:val="0"/>
          <w:numId w:val="2"/>
        </w:numPr>
        <w:snapToGrid w:val="0"/>
        <w:spacing w:line="300" w:lineRule="auto"/>
        <w:ind w:left="896" w:hanging="448" w:firstLineChars="0"/>
        <w:rPr>
          <w:rFonts w:ascii="Arial" w:hAnsi="Arial" w:eastAsia="宋体" w:cs="Arial"/>
        </w:rPr>
      </w:pPr>
      <w:r>
        <w:rPr>
          <w:rFonts w:ascii="Arial" w:hAnsi="Arial" w:eastAsia="宋体" w:cs="Arial"/>
        </w:rPr>
        <w:t>如果在贵公司的检验产品中使用了单克隆抗体，应给出这样的陈述：“单克隆抗体可能无法检出或以较低灵敏度检出在靶抗原决定基区出现过轻度氨基酸变化的甲型流感病毒。”</w:t>
      </w:r>
    </w:p>
    <w:p w14:paraId="16837647">
      <w:pPr>
        <w:pStyle w:val="22"/>
        <w:numPr>
          <w:ilvl w:val="0"/>
          <w:numId w:val="2"/>
        </w:numPr>
        <w:snapToGrid w:val="0"/>
        <w:spacing w:line="300" w:lineRule="auto"/>
        <w:ind w:left="896" w:hanging="448" w:firstLineChars="0"/>
        <w:rPr>
          <w:rFonts w:ascii="Arial" w:hAnsi="Arial" w:eastAsia="宋体" w:cs="Arial"/>
        </w:rPr>
      </w:pPr>
      <w:r>
        <w:rPr>
          <w:rFonts w:ascii="Arial" w:hAnsi="Arial" w:eastAsia="宋体" w:cs="Arial"/>
        </w:rPr>
        <w:t>检测前可能会在标本中引入内源性或外源性常用采集材料或化学物质。如果这些材料或化学物质已被报告会对结果产生阳性或阴性干扰，贵公司应告知用户因这种干扰的存在可能会出现的假阴性或假阳性结果。</w:t>
      </w:r>
    </w:p>
    <w:p w14:paraId="10BEEE89">
      <w:pPr>
        <w:snapToGrid w:val="0"/>
        <w:spacing w:line="300" w:lineRule="auto"/>
        <w:rPr>
          <w:rFonts w:ascii="Arial" w:hAnsi="Arial" w:eastAsia="宋体" w:cs="Arial"/>
        </w:rPr>
      </w:pPr>
    </w:p>
    <w:p w14:paraId="46A1C73F">
      <w:pPr>
        <w:snapToGrid w:val="0"/>
        <w:spacing w:line="300" w:lineRule="auto"/>
        <w:rPr>
          <w:rFonts w:ascii="Arial" w:hAnsi="Arial" w:eastAsia="宋体" w:cs="Arial"/>
        </w:rPr>
      </w:pPr>
      <w:r>
        <w:rPr>
          <w:rFonts w:ascii="Arial" w:hAnsi="Arial" w:eastAsia="宋体" w:cs="Arial"/>
        </w:rPr>
        <w:t xml:space="preserve">8. </w:t>
      </w:r>
      <w:r>
        <w:rPr>
          <w:rFonts w:ascii="Arial" w:hAnsi="Arial" w:eastAsia="宋体" w:cs="Arial"/>
          <w:u w:val="single"/>
        </w:rPr>
        <w:t>性能特征</w:t>
      </w:r>
    </w:p>
    <w:p w14:paraId="02320128">
      <w:pPr>
        <w:snapToGrid w:val="0"/>
        <w:spacing w:line="300" w:lineRule="auto"/>
        <w:rPr>
          <w:rFonts w:ascii="Arial" w:hAnsi="Arial" w:eastAsia="宋体" w:cs="Arial"/>
        </w:rPr>
      </w:pPr>
    </w:p>
    <w:p w14:paraId="7E5AD8DB">
      <w:pPr>
        <w:snapToGrid w:val="0"/>
        <w:spacing w:line="300" w:lineRule="auto"/>
        <w:rPr>
          <w:rFonts w:ascii="Arial" w:hAnsi="Arial" w:eastAsia="宋体" w:cs="Arial"/>
        </w:rPr>
      </w:pPr>
      <w:r>
        <w:rPr>
          <w:rFonts w:ascii="Arial" w:hAnsi="Arial" w:eastAsia="宋体" w:cs="Arial"/>
        </w:rPr>
        <w:t>我们建议贵公司在性能特征部分对用来确立该器械性能特征的人群（即地理位置、标本类型和年龄组）做出描述并提供评价时所处的流感季节（日历年度），同时还要提供当时所见的流感优势亚型。</w:t>
      </w:r>
    </w:p>
    <w:p w14:paraId="2431FCF1">
      <w:pPr>
        <w:snapToGrid w:val="0"/>
        <w:spacing w:line="300" w:lineRule="auto"/>
        <w:rPr>
          <w:rFonts w:ascii="Arial" w:hAnsi="Arial" w:eastAsia="宋体" w:cs="Arial"/>
        </w:rPr>
      </w:pPr>
    </w:p>
    <w:p w14:paraId="71B6A7C4">
      <w:pPr>
        <w:snapToGrid w:val="0"/>
        <w:spacing w:line="300" w:lineRule="auto"/>
        <w:rPr>
          <w:rFonts w:ascii="Arial" w:hAnsi="Arial" w:eastAsia="宋体" w:cs="Arial"/>
        </w:rPr>
      </w:pPr>
      <w:r>
        <w:rPr>
          <w:rFonts w:ascii="Arial" w:hAnsi="Arial" w:eastAsia="宋体" w:cs="Arial"/>
        </w:rPr>
        <w:t>我们建议贵公司对所提交的临床研究的阳性和阴性检验结果按标本来源与年龄进行分层。我们还建议贵公司按＜5岁儿童、年长儿童和成人分别提供检验结果。如果缺乏这些信息，贵公司应增加一个这样的警告陈述：“这些检验产品用于成人标本和儿童标本时其性能预期会有差异，但具体差异尚属未知。”</w:t>
      </w:r>
    </w:p>
    <w:p w14:paraId="6771687D">
      <w:pPr>
        <w:snapToGrid w:val="0"/>
        <w:spacing w:line="300" w:lineRule="auto"/>
        <w:rPr>
          <w:rFonts w:ascii="Arial" w:hAnsi="Arial" w:eastAsia="宋体" w:cs="Arial"/>
        </w:rPr>
      </w:pPr>
    </w:p>
    <w:p w14:paraId="5E6DE61B">
      <w:pPr>
        <w:snapToGrid w:val="0"/>
        <w:spacing w:line="300" w:lineRule="auto"/>
        <w:rPr>
          <w:rFonts w:ascii="Arial" w:hAnsi="Arial" w:eastAsia="宋体" w:cs="Arial"/>
        </w:rPr>
      </w:pPr>
      <w:r>
        <w:rPr>
          <w:rFonts w:ascii="Arial" w:hAnsi="Arial" w:eastAsia="宋体" w:cs="Arial"/>
        </w:rPr>
        <w:t>另外，对甲型流感病毒检测器械来说，通常在本部分对分析的灵敏度水平（检测极限）加以描述。这些信息建立在一种或多种甲型流感培养毒株检测稀释度的基础之上。获得这些信息的方式在不同制造商间并不一致。如果贵公司已经用文字或表格指出贵公司的器械可检测各种甲型流感病毒亚型，我们建议从贵公司的贴标中去掉这部分内容，除非贵公司采用了一种标准化病毒定量方法（如世界卫生组织动物流感诊断和监测手册中提供的病毒滴定规程）并遵从了CLSI-EP 17A（检测极限和定量极限测定方案；获批操作指南）或其更新版本推荐的方法。</w:t>
      </w:r>
    </w:p>
    <w:p w14:paraId="4D151563">
      <w:pPr>
        <w:snapToGrid w:val="0"/>
        <w:spacing w:line="300" w:lineRule="auto"/>
        <w:rPr>
          <w:rFonts w:ascii="Arial" w:hAnsi="Arial" w:eastAsia="宋体" w:cs="Arial"/>
        </w:rPr>
      </w:pPr>
    </w:p>
    <w:p w14:paraId="7F1E9AB2">
      <w:pPr>
        <w:snapToGrid w:val="0"/>
        <w:spacing w:line="300" w:lineRule="auto"/>
        <w:rPr>
          <w:rFonts w:ascii="Arial" w:hAnsi="Arial" w:eastAsia="宋体" w:cs="Arial"/>
        </w:rPr>
      </w:pPr>
    </w:p>
    <w:p w14:paraId="7A18E8CB">
      <w:pPr>
        <w:snapToGrid w:val="0"/>
        <w:spacing w:line="300" w:lineRule="auto"/>
        <w:rPr>
          <w:rFonts w:ascii="Arial" w:hAnsi="Arial" w:eastAsia="宋体" w:cs="Arial"/>
        </w:rPr>
      </w:pPr>
    </w:p>
    <w:p w14:paraId="2B939C3B">
      <w:pPr>
        <w:snapToGrid w:val="0"/>
        <w:spacing w:line="300" w:lineRule="auto"/>
        <w:rPr>
          <w:rFonts w:ascii="Arial" w:hAnsi="Arial" w:eastAsia="宋体" w:cs="Arial"/>
        </w:rPr>
      </w:pPr>
    </w:p>
    <w:p w14:paraId="003A4511">
      <w:pPr>
        <w:snapToGrid w:val="0"/>
        <w:spacing w:line="300" w:lineRule="auto"/>
        <w:rPr>
          <w:rFonts w:ascii="Arial" w:hAnsi="Arial" w:eastAsia="宋体" w:cs="Arial"/>
        </w:rPr>
      </w:pPr>
    </w:p>
    <w:p w14:paraId="4C1A2408">
      <w:pPr>
        <w:snapToGrid w:val="0"/>
        <w:spacing w:line="300" w:lineRule="auto"/>
        <w:rPr>
          <w:rFonts w:ascii="Arial" w:hAnsi="Arial" w:eastAsia="宋体" w:cs="Arial"/>
        </w:rPr>
      </w:pPr>
    </w:p>
    <w:p w14:paraId="0E13F3EA">
      <w:pPr>
        <w:snapToGrid w:val="0"/>
        <w:spacing w:line="300" w:lineRule="auto"/>
        <w:rPr>
          <w:rFonts w:ascii="Arial" w:hAnsi="Arial" w:eastAsia="宋体" w:cs="Arial"/>
        </w:rPr>
      </w:pPr>
    </w:p>
    <w:p w14:paraId="502F650A">
      <w:pPr>
        <w:snapToGrid w:val="0"/>
        <w:spacing w:line="300" w:lineRule="auto"/>
        <w:rPr>
          <w:rFonts w:ascii="Arial" w:hAnsi="Arial" w:eastAsia="宋体" w:cs="Arial"/>
        </w:rPr>
      </w:pPr>
    </w:p>
    <w:p w14:paraId="02E483D8">
      <w:pPr>
        <w:snapToGrid w:val="0"/>
        <w:spacing w:line="300" w:lineRule="auto"/>
        <w:rPr>
          <w:rFonts w:ascii="Arial" w:hAnsi="Arial" w:eastAsia="宋体" w:cs="Arial"/>
        </w:rPr>
      </w:pPr>
    </w:p>
    <w:p w14:paraId="00B7F460">
      <w:pPr>
        <w:snapToGrid w:val="0"/>
        <w:spacing w:line="300" w:lineRule="auto"/>
        <w:rPr>
          <w:rFonts w:ascii="Arial" w:hAnsi="Arial" w:eastAsia="宋体" w:cs="Arial"/>
        </w:rPr>
      </w:pPr>
    </w:p>
    <w:p w14:paraId="0F25AE11">
      <w:pPr>
        <w:snapToGrid w:val="0"/>
        <w:spacing w:line="300" w:lineRule="auto"/>
        <w:rPr>
          <w:rFonts w:ascii="Arial" w:hAnsi="Arial" w:eastAsia="宋体" w:cs="Arial"/>
        </w:rPr>
      </w:pPr>
    </w:p>
    <w:p w14:paraId="731AC165">
      <w:pPr>
        <w:snapToGrid w:val="0"/>
        <w:spacing w:line="300" w:lineRule="auto"/>
        <w:rPr>
          <w:rFonts w:ascii="Arial" w:hAnsi="Arial" w:eastAsia="宋体" w:cs="Arial"/>
        </w:rPr>
      </w:pPr>
      <w:r>
        <w:rPr>
          <w:rFonts w:ascii="Arial" w:hAnsi="Arial" w:eastAsia="宋体" w:cs="Arial"/>
        </w:rPr>
        <w:t>_________________________</w:t>
      </w:r>
    </w:p>
    <w:p w14:paraId="451607A5">
      <w:pPr>
        <w:snapToGrid w:val="0"/>
        <w:spacing w:line="300" w:lineRule="auto"/>
        <w:rPr>
          <w:rFonts w:ascii="Arial" w:hAnsi="Arial" w:eastAsia="宋体" w:cs="Arial"/>
          <w:sz w:val="18"/>
          <w:szCs w:val="18"/>
        </w:rPr>
      </w:pPr>
      <w:r>
        <w:rPr>
          <w:rFonts w:ascii="Arial" w:hAnsi="Arial" w:eastAsia="宋体" w:cs="Arial"/>
          <w:sz w:val="18"/>
          <w:szCs w:val="18"/>
          <w:vertAlign w:val="superscript"/>
        </w:rPr>
        <w:t>13</w:t>
      </w:r>
      <w:r>
        <w:rPr>
          <w:rFonts w:ascii="Arial" w:hAnsi="Arial" w:eastAsia="宋体" w:cs="Arial"/>
          <w:sz w:val="18"/>
          <w:szCs w:val="18"/>
        </w:rPr>
        <w:t>21 CFR 809.10（b）（12）</w:t>
      </w:r>
    </w:p>
    <w:p w14:paraId="5209AA7A">
      <w:pPr>
        <w:snapToGrid w:val="0"/>
        <w:spacing w:line="300" w:lineRule="auto"/>
        <w:rPr>
          <w:rFonts w:ascii="Arial" w:hAnsi="Arial" w:eastAsia="宋体" w:cs="Arial"/>
        </w:rPr>
      </w:pPr>
      <w:r>
        <w:rPr>
          <w:rFonts w:ascii="Arial" w:hAnsi="Arial" w:eastAsia="宋体" w:cs="Arial"/>
        </w:rPr>
        <w:t>如果贵公司在贴标中对这些标准化定量方法用于对各种甲型流感病毒亚型的结果做出描述，我们还建议贵公司用这样的陈述对该信息做出详细说明：“当这些或其它甲型流感病毒亚型作为人类病原体出现时，尚未确认从人体标本中检测甲型流感病毒的性能特征。”此类陈述可能有助于避免误导用户认为关于具体甲型流感病毒检测的这种分析性信息适用于对人体临床标本中这些具体甲型流感病毒的检测。</w:t>
      </w:r>
    </w:p>
    <w:p w14:paraId="280E8574">
      <w:pPr>
        <w:snapToGrid w:val="0"/>
        <w:spacing w:line="300" w:lineRule="auto"/>
        <w:rPr>
          <w:rFonts w:ascii="Arial" w:hAnsi="Arial" w:eastAsia="宋体" w:cs="Arial"/>
        </w:rPr>
      </w:pPr>
    </w:p>
    <w:p w14:paraId="6187E9A1">
      <w:pPr>
        <w:snapToGrid w:val="0"/>
        <w:spacing w:line="300" w:lineRule="auto"/>
        <w:outlineLvl w:val="0"/>
        <w:rPr>
          <w:rFonts w:ascii="Arial" w:hAnsi="Arial" w:eastAsia="宋体" w:cs="Arial"/>
          <w:b/>
        </w:rPr>
      </w:pPr>
      <w:bookmarkStart w:id="35" w:name="_Toc479582842"/>
      <w:r>
        <w:rPr>
          <w:rFonts w:ascii="Arial" w:hAnsi="Arial" w:eastAsia="宋体" w:cs="Arial"/>
          <w:b/>
        </w:rPr>
        <w:t>VI. 拟用于检测甲型流感病毒（包括新型甲型流感病毒）或检测并鉴别某种具体甲型流感病毒的新产品或改良产品的上市前申请路径</w:t>
      </w:r>
      <w:bookmarkEnd w:id="35"/>
    </w:p>
    <w:p w14:paraId="4330A119">
      <w:pPr>
        <w:snapToGrid w:val="0"/>
        <w:spacing w:line="300" w:lineRule="auto"/>
        <w:rPr>
          <w:rFonts w:ascii="Arial" w:hAnsi="Arial" w:eastAsia="宋体" w:cs="Arial"/>
        </w:rPr>
      </w:pPr>
    </w:p>
    <w:p w14:paraId="0BCB87D2">
      <w:pPr>
        <w:snapToGrid w:val="0"/>
        <w:spacing w:line="300" w:lineRule="auto"/>
        <w:rPr>
          <w:rFonts w:ascii="Arial" w:hAnsi="Arial" w:eastAsia="宋体" w:cs="Arial"/>
        </w:rPr>
      </w:pPr>
      <w:r>
        <w:rPr>
          <w:rFonts w:ascii="Arial" w:hAnsi="Arial" w:eastAsia="宋体" w:cs="Arial"/>
        </w:rPr>
        <w:t>食品药品监督管理局认识到了市场对甲型流感检测器械的两种需求，其一是临床和公共卫生需求，它们要求检测器械能可靠地对甲型流感进行一般检测；其二是检测和鉴别需求，它们要求检测器械能对某种具体的有临床意义的新型甲型流感病毒和其它甲型流感病毒进行检测并做出鉴别。（注：请参阅第4页脚注中新型甲型流感病毒的定义）</w:t>
      </w:r>
    </w:p>
    <w:p w14:paraId="36731247">
      <w:pPr>
        <w:snapToGrid w:val="0"/>
        <w:spacing w:line="300" w:lineRule="auto"/>
        <w:rPr>
          <w:rFonts w:ascii="Arial" w:hAnsi="Arial" w:eastAsia="宋体" w:cs="Arial"/>
        </w:rPr>
      </w:pPr>
    </w:p>
    <w:p w14:paraId="7C1056BF">
      <w:pPr>
        <w:snapToGrid w:val="0"/>
        <w:spacing w:line="300" w:lineRule="auto"/>
        <w:rPr>
          <w:rFonts w:ascii="Arial" w:hAnsi="Arial" w:eastAsia="宋体" w:cs="Arial"/>
          <w:spacing w:val="-2"/>
        </w:rPr>
      </w:pPr>
      <w:r>
        <w:rPr>
          <w:rFonts w:ascii="Arial" w:hAnsi="Arial" w:eastAsia="宋体" w:cs="Arial"/>
          <w:spacing w:val="-2"/>
        </w:rPr>
        <w:t>目前有两类器械可用于流感检验。拟用于一般检测甲型流感（或甲型/乙型流感）病毒的器械已按21 CFR 866.3330的规定将其归入I类器械。最近通过对法案第513（f）（2）部分自动化III类名称的评价，食品药品监督管理局按21 CFR 866.3332的规定将用于检测具体新型甲型流感病毒的试剂归入了II类器械。寻求销售流感检验产品的制造商可争取</w:t>
      </w:r>
      <w:bookmarkStart w:id="36" w:name="OLE_LINK30"/>
      <w:r>
        <w:rPr>
          <w:rFonts w:ascii="Arial" w:hAnsi="Arial" w:eastAsia="宋体" w:cs="Arial"/>
          <w:spacing w:val="-2"/>
        </w:rPr>
        <w:t>确立其产品与已按这些法规予以分类的基准器械间存在实质等同性，</w:t>
      </w:r>
      <w:bookmarkEnd w:id="36"/>
      <w:r>
        <w:rPr>
          <w:rFonts w:ascii="Arial" w:hAnsi="Arial" w:eastAsia="宋体" w:cs="Arial"/>
          <w:spacing w:val="-2"/>
        </w:rPr>
        <w:t>这取决于其新产品的预期用途。（这种做法不保证任何特定检验产品均能与按这两个法规之一予以分类的器械确立实质等同性。）</w:t>
      </w:r>
      <w:r>
        <w:rPr>
          <w:rFonts w:ascii="Arial" w:hAnsi="Arial" w:eastAsia="宋体" w:cs="Arial"/>
          <w:spacing w:val="-2"/>
          <w:vertAlign w:val="superscript"/>
        </w:rPr>
        <w:t>14</w:t>
      </w:r>
    </w:p>
    <w:p w14:paraId="1ADA81D8">
      <w:pPr>
        <w:snapToGrid w:val="0"/>
        <w:spacing w:line="300" w:lineRule="auto"/>
        <w:rPr>
          <w:rFonts w:ascii="Arial" w:hAnsi="Arial" w:eastAsia="宋体" w:cs="Arial"/>
        </w:rPr>
      </w:pPr>
    </w:p>
    <w:p w14:paraId="0B3C0137">
      <w:pPr>
        <w:snapToGrid w:val="0"/>
        <w:spacing w:line="300" w:lineRule="auto"/>
        <w:rPr>
          <w:rFonts w:ascii="Arial" w:hAnsi="Arial" w:eastAsia="宋体" w:cs="Arial"/>
        </w:rPr>
      </w:pPr>
      <w:r>
        <w:rPr>
          <w:rFonts w:ascii="Arial" w:hAnsi="Arial" w:eastAsia="宋体" w:cs="Arial"/>
        </w:rPr>
        <w:t>制造商如果寻求销售拟用于直接从人体标本中检测某种具体新型流感病毒的检验产品，食品药品监督管理局建议他们争取确立其产品与已按21 CFR 866.3332规定分类的基准器械间存在实质等同性。制造商如果寻求销售用于一般检测甲型流感的检验产品，食品药品监督管理局建议他们争取确立其产品与已按21 CFR 866.3330规定分类的基准器械间存在实质等同性。这些制造商中包括了这样一类制造商，即他们寻求销售拟用于一般检测甲型流感的检验产品，但他们想要确立检验产品的性能，而且除了其产品用于季节性循环株的性能外，还包括其产品用于处于循环中的新型甲型流感病毒的性能。（如果此类性能得以确立，且在获得许可时其预期用途中包含了此类信息，则本指南中为避免就该器械的已知性能误导用户而提出的贴标推荐规范可能不适用于此。）</w:t>
      </w:r>
    </w:p>
    <w:p w14:paraId="103FA8AB">
      <w:pPr>
        <w:snapToGrid w:val="0"/>
        <w:spacing w:line="300" w:lineRule="auto"/>
        <w:rPr>
          <w:rFonts w:ascii="Arial" w:hAnsi="Arial" w:eastAsia="宋体" w:cs="Arial"/>
        </w:rPr>
      </w:pPr>
    </w:p>
    <w:p w14:paraId="095F05D5">
      <w:pPr>
        <w:snapToGrid w:val="0"/>
        <w:spacing w:line="300" w:lineRule="auto"/>
        <w:rPr>
          <w:rFonts w:ascii="Arial" w:hAnsi="Arial" w:eastAsia="宋体" w:cs="Arial"/>
        </w:rPr>
      </w:pPr>
    </w:p>
    <w:p w14:paraId="403F3107">
      <w:pPr>
        <w:snapToGrid w:val="0"/>
        <w:spacing w:line="300" w:lineRule="auto"/>
        <w:rPr>
          <w:rFonts w:ascii="Arial" w:hAnsi="Arial" w:eastAsia="宋体" w:cs="Arial"/>
        </w:rPr>
      </w:pPr>
    </w:p>
    <w:p w14:paraId="6F96214B">
      <w:pPr>
        <w:snapToGrid w:val="0"/>
        <w:spacing w:line="300" w:lineRule="auto"/>
        <w:rPr>
          <w:rFonts w:ascii="Arial" w:hAnsi="Arial" w:eastAsia="宋体" w:cs="Arial"/>
        </w:rPr>
      </w:pPr>
    </w:p>
    <w:p w14:paraId="280189C1">
      <w:pPr>
        <w:snapToGrid w:val="0"/>
        <w:spacing w:line="300" w:lineRule="auto"/>
        <w:rPr>
          <w:rFonts w:ascii="Arial" w:hAnsi="Arial" w:eastAsia="宋体" w:cs="Arial"/>
        </w:rPr>
      </w:pPr>
    </w:p>
    <w:p w14:paraId="30B9B09E">
      <w:pPr>
        <w:snapToGrid w:val="0"/>
        <w:spacing w:line="300" w:lineRule="auto"/>
        <w:rPr>
          <w:rFonts w:ascii="Arial" w:hAnsi="Arial" w:eastAsia="宋体" w:cs="Arial"/>
        </w:rPr>
      </w:pPr>
      <w:r>
        <w:rPr>
          <w:rFonts w:ascii="Arial" w:hAnsi="Arial" w:eastAsia="宋体" w:cs="Arial"/>
        </w:rPr>
        <w:t>__________________</w:t>
      </w:r>
    </w:p>
    <w:p w14:paraId="7AAC99C0">
      <w:pPr>
        <w:snapToGrid w:val="0"/>
        <w:spacing w:line="300" w:lineRule="auto"/>
        <w:rPr>
          <w:rFonts w:ascii="Arial" w:hAnsi="Arial" w:eastAsia="宋体" w:cs="Arial"/>
          <w:sz w:val="18"/>
          <w:szCs w:val="18"/>
        </w:rPr>
      </w:pPr>
      <w:r>
        <w:rPr>
          <w:rFonts w:ascii="Arial" w:hAnsi="Arial" w:eastAsia="宋体" w:cs="Arial"/>
          <w:sz w:val="18"/>
          <w:szCs w:val="18"/>
          <w:vertAlign w:val="superscript"/>
        </w:rPr>
        <w:t>14</w:t>
      </w:r>
      <w:r>
        <w:rPr>
          <w:rFonts w:ascii="Arial" w:hAnsi="Arial" w:eastAsia="宋体" w:cs="Arial"/>
          <w:sz w:val="18"/>
          <w:szCs w:val="18"/>
        </w:rPr>
        <w:t>此外，如果发现一种新型流感检验器械与其贴标用途实质等同，但根据法案第513（i）（1）（E）部分和21 USC 360c（i）（1）（E）的规定，存在该器械将用于未在建议贴标中确认的预期用途且可产生危害的合理可能性，则应在实质等同认定函中详细说明相应的局限性，并将这些信息包含在该器械的贴标中。对此问题的处理意见亦见2002年12月3日发布的文件：510（k）器械预期用途的认定；供医疗器械和放射卫生中心工作人员用指南。该文件可在该网址下载：</w:t>
      </w:r>
      <w:r>
        <w:fldChar w:fldCharType="begin"/>
      </w:r>
      <w:r>
        <w:instrText xml:space="preserve"> HYPERLINK "http://www.fda.gov/cdrh/ode/guidance/857.html" </w:instrText>
      </w:r>
      <w:r>
        <w:fldChar w:fldCharType="separate"/>
      </w:r>
      <w:r>
        <w:rPr>
          <w:rStyle w:val="13"/>
          <w:rFonts w:ascii="Arial" w:hAnsi="Arial" w:eastAsia="宋体" w:cs="Arial"/>
          <w:sz w:val="18"/>
          <w:szCs w:val="18"/>
        </w:rPr>
        <w:t>http://www.fda.gov/cdrh/ode/guidance/857.html</w:t>
      </w:r>
      <w:r>
        <w:rPr>
          <w:rStyle w:val="13"/>
          <w:rFonts w:ascii="Arial" w:hAnsi="Arial" w:eastAsia="宋体" w:cs="Arial"/>
          <w:sz w:val="18"/>
          <w:szCs w:val="18"/>
        </w:rPr>
        <w:fldChar w:fldCharType="end"/>
      </w:r>
      <w:r>
        <w:rPr>
          <w:rFonts w:ascii="Arial" w:hAnsi="Arial" w:eastAsia="宋体" w:cs="Arial"/>
          <w:sz w:val="18"/>
          <w:szCs w:val="18"/>
        </w:rPr>
        <w:t>。</w:t>
      </w:r>
    </w:p>
    <w:p w14:paraId="2F3D5C31">
      <w:pPr>
        <w:snapToGrid w:val="0"/>
        <w:spacing w:line="300" w:lineRule="auto"/>
        <w:rPr>
          <w:rFonts w:ascii="Arial" w:hAnsi="Arial" w:eastAsia="宋体" w:cs="Arial"/>
        </w:rPr>
      </w:pPr>
      <w:r>
        <w:rPr>
          <w:rFonts w:ascii="Arial" w:hAnsi="Arial" w:eastAsia="宋体" w:cs="Arial"/>
        </w:rPr>
        <w:t>尽管在21 CFR 866.3330描述的分类范围内的器械是按食品药品监督管理局法规通常享受上市前通告豁免待遇的I类器械，但必须提交上市前通告，而且在一种流感检验器械拟用于直接从人体标本中检测感染人类的某种甲型流感病毒前发现的与合法销售的基准器械实质等同的新型检验产品可合法销售。</w:t>
      </w:r>
      <w:r>
        <w:rPr>
          <w:rFonts w:ascii="Arial" w:hAnsi="Arial" w:eastAsia="宋体" w:cs="Arial"/>
          <w:vertAlign w:val="superscript"/>
        </w:rPr>
        <w:t>15</w:t>
      </w:r>
      <w:r>
        <w:rPr>
          <w:rFonts w:ascii="Arial" w:hAnsi="Arial" w:eastAsia="宋体" w:cs="Arial"/>
        </w:rPr>
        <w:t>特别是：</w:t>
      </w:r>
    </w:p>
    <w:p w14:paraId="6EBF4EEF">
      <w:pPr>
        <w:snapToGrid w:val="0"/>
        <w:spacing w:line="300" w:lineRule="auto"/>
        <w:rPr>
          <w:rFonts w:ascii="Arial" w:hAnsi="Arial" w:eastAsia="宋体" w:cs="Arial"/>
        </w:rPr>
      </w:pPr>
    </w:p>
    <w:p w14:paraId="190C71E1">
      <w:pPr>
        <w:snapToGrid w:val="0"/>
        <w:spacing w:line="300" w:lineRule="auto"/>
        <w:rPr>
          <w:rFonts w:ascii="Arial" w:hAnsi="Arial" w:eastAsia="宋体" w:cs="Arial"/>
        </w:rPr>
      </w:pPr>
    </w:p>
    <w:p w14:paraId="3D70E2DA">
      <w:pPr>
        <w:pStyle w:val="22"/>
        <w:numPr>
          <w:ilvl w:val="0"/>
          <w:numId w:val="3"/>
        </w:numPr>
        <w:snapToGrid w:val="0"/>
        <w:spacing w:line="300" w:lineRule="auto"/>
        <w:ind w:left="910" w:hanging="462" w:firstLineChars="0"/>
        <w:rPr>
          <w:rFonts w:ascii="Arial" w:hAnsi="Arial" w:eastAsia="宋体" w:cs="Arial"/>
        </w:rPr>
      </w:pPr>
      <w:r>
        <w:rPr>
          <w:rFonts w:ascii="Arial" w:hAnsi="Arial" w:eastAsia="宋体" w:cs="Arial"/>
        </w:rPr>
        <w:t>一种用于流感检测的体外诊断器械不享受510（k）豁免待遇，但在一定程度上符合21 CFR 866.9规定的豁免限制条件。</w:t>
      </w:r>
    </w:p>
    <w:p w14:paraId="30AF0BAF">
      <w:pPr>
        <w:snapToGrid w:val="0"/>
        <w:spacing w:line="300" w:lineRule="auto"/>
        <w:ind w:left="910" w:hanging="462"/>
        <w:rPr>
          <w:rFonts w:ascii="Arial" w:hAnsi="Arial" w:eastAsia="宋体" w:cs="Arial"/>
        </w:rPr>
      </w:pPr>
    </w:p>
    <w:p w14:paraId="5FC634D4">
      <w:pPr>
        <w:pStyle w:val="22"/>
        <w:numPr>
          <w:ilvl w:val="0"/>
          <w:numId w:val="4"/>
        </w:numPr>
        <w:snapToGrid w:val="0"/>
        <w:spacing w:line="300" w:lineRule="auto"/>
        <w:ind w:left="1652" w:hanging="336" w:firstLineChars="0"/>
        <w:rPr>
          <w:rFonts w:ascii="Arial" w:hAnsi="Arial" w:eastAsia="宋体" w:cs="Arial"/>
        </w:rPr>
      </w:pPr>
      <w:r>
        <w:rPr>
          <w:rFonts w:ascii="Arial" w:hAnsi="Arial" w:eastAsia="宋体" w:cs="Arial"/>
        </w:rPr>
        <w:t>根据21 CFR 866.9（c）（6）的规定，拟用于直接从临床材料中确认或推断某种微生物特性的某种体外诊断器械不享受上市前通告要求豁免待遇。</w:t>
      </w:r>
    </w:p>
    <w:p w14:paraId="0AC0C2EC">
      <w:pPr>
        <w:pStyle w:val="22"/>
        <w:numPr>
          <w:ilvl w:val="0"/>
          <w:numId w:val="4"/>
        </w:numPr>
        <w:snapToGrid w:val="0"/>
        <w:spacing w:line="300" w:lineRule="auto"/>
        <w:ind w:left="1652" w:hanging="336" w:firstLineChars="0"/>
        <w:rPr>
          <w:rFonts w:ascii="Arial" w:hAnsi="Arial" w:eastAsia="宋体" w:cs="Arial"/>
        </w:rPr>
      </w:pPr>
      <w:r>
        <w:rPr>
          <w:rFonts w:ascii="Arial" w:hAnsi="Arial" w:eastAsia="宋体" w:cs="Arial"/>
        </w:rPr>
        <w:t>另外，用于流感检测的某种体外诊断器械可能触发21 CFR 866.9（a）（如果其在预期用途方面与按21 CFR 866.3330规定分类的现有合法销售器械不同的话）或21 CFR 866.9（b）（如果其采用与该分类中现有流感检验产品不同的基础科学技术的话）描述的限制条件。</w:t>
      </w:r>
    </w:p>
    <w:p w14:paraId="13AF28CD">
      <w:pPr>
        <w:snapToGrid w:val="0"/>
        <w:spacing w:line="300" w:lineRule="auto"/>
        <w:rPr>
          <w:rFonts w:ascii="Arial" w:hAnsi="Arial" w:eastAsia="宋体" w:cs="Arial"/>
        </w:rPr>
      </w:pPr>
    </w:p>
    <w:p w14:paraId="5EAB2C21">
      <w:pPr>
        <w:snapToGrid w:val="0"/>
        <w:spacing w:line="300" w:lineRule="auto"/>
        <w:rPr>
          <w:rFonts w:ascii="Arial" w:hAnsi="Arial" w:eastAsia="宋体" w:cs="Arial"/>
        </w:rPr>
      </w:pPr>
      <w:r>
        <w:rPr>
          <w:rFonts w:ascii="Arial" w:hAnsi="Arial" w:eastAsia="宋体" w:cs="Arial"/>
        </w:rPr>
        <w:t>另外，对已按21 CFR 866.3330规定获销售许可的器械来说，食品药品监督管理局建议制造商在提出该器械可检测甲型流感病毒（包括任何新型甲型流感病毒）的主张前提交新的510（k）提交资料。见21 CFR 807.81（a）（3）（ii）（对预期用途的重大变更需提交新的510（k）提交资料）。</w:t>
      </w:r>
    </w:p>
    <w:p w14:paraId="6C271C95">
      <w:pPr>
        <w:snapToGrid w:val="0"/>
        <w:spacing w:line="300" w:lineRule="auto"/>
        <w:rPr>
          <w:rFonts w:ascii="Arial" w:hAnsi="Arial" w:eastAsia="宋体" w:cs="Arial"/>
        </w:rPr>
      </w:pPr>
    </w:p>
    <w:p w14:paraId="11DBA859">
      <w:pPr>
        <w:snapToGrid w:val="0"/>
        <w:spacing w:line="300" w:lineRule="auto"/>
        <w:rPr>
          <w:rFonts w:ascii="Arial" w:hAnsi="Arial" w:eastAsia="宋体" w:cs="Arial"/>
        </w:rPr>
      </w:pPr>
      <w:r>
        <w:rPr>
          <w:rFonts w:ascii="Arial" w:hAnsi="Arial" w:eastAsia="宋体" w:cs="Arial"/>
        </w:rPr>
        <w:t>鉴于新型甲型流感病毒与季节性流感病毒在诸如疾病的临床过程、病毒复制率、病毒的组织特异性和人类宿主的易感性等因素方面存在差异，我们预料拟在有新型甲型流感病毒循环的地方用于一般流感检测的某种检验产品，其总体性能可能与已获许可的检验产品有所不同。对此可能需在使用说明和解释部分做出变更。所有变更都能对该器械的安全性或有效性造成明显影响。因此，需对这些变更进行评价，以判定该器械是否与该分类（即21 CFR 866.3330）范围内的其它合法销售器械仍然实质等同。</w:t>
      </w:r>
    </w:p>
    <w:p w14:paraId="17054F85">
      <w:pPr>
        <w:snapToGrid w:val="0"/>
        <w:spacing w:line="300" w:lineRule="auto"/>
        <w:rPr>
          <w:rFonts w:ascii="Arial" w:hAnsi="Arial" w:eastAsia="宋体" w:cs="Arial"/>
        </w:rPr>
      </w:pPr>
    </w:p>
    <w:p w14:paraId="64E1B4AE">
      <w:pPr>
        <w:snapToGrid w:val="0"/>
        <w:spacing w:line="300" w:lineRule="auto"/>
        <w:rPr>
          <w:rFonts w:ascii="Arial" w:hAnsi="Arial" w:eastAsia="宋体" w:cs="Arial"/>
        </w:rPr>
      </w:pPr>
    </w:p>
    <w:p w14:paraId="2753E083">
      <w:pPr>
        <w:snapToGrid w:val="0"/>
        <w:spacing w:line="300" w:lineRule="auto"/>
        <w:rPr>
          <w:rFonts w:ascii="Arial" w:hAnsi="Arial" w:eastAsia="宋体" w:cs="Arial"/>
        </w:rPr>
      </w:pPr>
    </w:p>
    <w:p w14:paraId="30853ADF">
      <w:pPr>
        <w:snapToGrid w:val="0"/>
        <w:spacing w:line="300" w:lineRule="auto"/>
        <w:rPr>
          <w:rFonts w:ascii="Arial" w:hAnsi="Arial" w:eastAsia="宋体" w:cs="Arial"/>
        </w:rPr>
      </w:pPr>
    </w:p>
    <w:p w14:paraId="6B318E0F">
      <w:pPr>
        <w:snapToGrid w:val="0"/>
        <w:spacing w:line="300" w:lineRule="auto"/>
        <w:rPr>
          <w:rFonts w:ascii="Arial" w:hAnsi="Arial" w:eastAsia="宋体" w:cs="Arial"/>
        </w:rPr>
      </w:pPr>
    </w:p>
    <w:p w14:paraId="01F27B36">
      <w:pPr>
        <w:snapToGrid w:val="0"/>
        <w:spacing w:line="300" w:lineRule="auto"/>
        <w:rPr>
          <w:rFonts w:ascii="Arial" w:hAnsi="Arial" w:eastAsia="宋体" w:cs="Arial"/>
        </w:rPr>
      </w:pPr>
    </w:p>
    <w:p w14:paraId="619AECC6">
      <w:pPr>
        <w:snapToGrid w:val="0"/>
        <w:spacing w:line="300" w:lineRule="auto"/>
        <w:rPr>
          <w:rFonts w:ascii="Arial" w:hAnsi="Arial" w:eastAsia="宋体" w:cs="Arial"/>
        </w:rPr>
      </w:pPr>
    </w:p>
    <w:p w14:paraId="65F9881C">
      <w:pPr>
        <w:snapToGrid w:val="0"/>
        <w:spacing w:line="300" w:lineRule="auto"/>
        <w:rPr>
          <w:rFonts w:ascii="Arial" w:hAnsi="Arial" w:eastAsia="宋体" w:cs="Arial"/>
        </w:rPr>
      </w:pPr>
    </w:p>
    <w:p w14:paraId="5F6B09EC">
      <w:pPr>
        <w:snapToGrid w:val="0"/>
        <w:spacing w:line="300" w:lineRule="auto"/>
        <w:rPr>
          <w:rFonts w:ascii="Arial" w:hAnsi="Arial" w:eastAsia="宋体" w:cs="Arial"/>
        </w:rPr>
      </w:pPr>
    </w:p>
    <w:p w14:paraId="27E6454F">
      <w:pPr>
        <w:snapToGrid w:val="0"/>
        <w:spacing w:line="300" w:lineRule="auto"/>
        <w:rPr>
          <w:rFonts w:ascii="Arial" w:hAnsi="Arial" w:eastAsia="宋体" w:cs="Arial"/>
        </w:rPr>
      </w:pPr>
      <w:r>
        <w:rPr>
          <w:rFonts w:ascii="Arial" w:hAnsi="Arial" w:eastAsia="宋体" w:cs="Arial"/>
        </w:rPr>
        <w:t>__________________</w:t>
      </w:r>
    </w:p>
    <w:p w14:paraId="36DE8830">
      <w:pPr>
        <w:snapToGrid w:val="0"/>
        <w:spacing w:line="300" w:lineRule="auto"/>
        <w:rPr>
          <w:rFonts w:ascii="Arial" w:hAnsi="Arial" w:eastAsia="宋体" w:cs="Arial"/>
          <w:sz w:val="18"/>
          <w:szCs w:val="18"/>
        </w:rPr>
      </w:pPr>
      <w:r>
        <w:rPr>
          <w:rFonts w:ascii="Arial" w:hAnsi="Arial" w:eastAsia="宋体" w:cs="Arial"/>
          <w:sz w:val="18"/>
          <w:szCs w:val="18"/>
          <w:vertAlign w:val="superscript"/>
        </w:rPr>
        <w:t>15</w:t>
      </w:r>
      <w:r>
        <w:rPr>
          <w:rFonts w:ascii="Arial" w:hAnsi="Arial" w:eastAsia="宋体" w:cs="Arial"/>
          <w:sz w:val="18"/>
          <w:szCs w:val="18"/>
        </w:rPr>
        <w:t>对510（k）提交资料进行评价后，如果食品药品监督管理局得出的结论是该新器械与合法销售的I类基准器械不具有实质等同性，则将该新型流感检验产品归为III类器械，除非随后重新将其归为I类或II类器械。见法案第Section 513（f）（1）部分和</w:t>
      </w:r>
      <w:bookmarkStart w:id="37" w:name="OLE_LINK69"/>
      <w:bookmarkStart w:id="38" w:name="OLE_LINK70"/>
      <w:r>
        <w:rPr>
          <w:rFonts w:ascii="Arial" w:hAnsi="Arial" w:eastAsia="宋体" w:cs="Arial"/>
          <w:sz w:val="18"/>
          <w:szCs w:val="18"/>
        </w:rPr>
        <w:t>21 U.S.C</w:t>
      </w:r>
      <w:bookmarkEnd w:id="37"/>
      <w:bookmarkEnd w:id="38"/>
      <w:r>
        <w:rPr>
          <w:rFonts w:ascii="Arial" w:hAnsi="Arial" w:eastAsia="宋体" w:cs="Arial"/>
          <w:sz w:val="18"/>
          <w:szCs w:val="18"/>
        </w:rPr>
        <w:t xml:space="preserve">. </w:t>
      </w:r>
      <w:bookmarkStart w:id="39" w:name="OLE_LINK71"/>
      <w:bookmarkStart w:id="40" w:name="OLE_LINK72"/>
      <w:r>
        <w:rPr>
          <w:rFonts w:ascii="Arial" w:hAnsi="Arial" w:eastAsia="宋体" w:cs="Arial"/>
          <w:sz w:val="18"/>
          <w:szCs w:val="18"/>
        </w:rPr>
        <w:t>360c（f）（1）</w:t>
      </w:r>
      <w:bookmarkEnd w:id="39"/>
      <w:bookmarkEnd w:id="40"/>
      <w:r>
        <w:rPr>
          <w:rFonts w:ascii="Arial" w:hAnsi="Arial" w:eastAsia="宋体" w:cs="Arial"/>
          <w:sz w:val="18"/>
          <w:szCs w:val="18"/>
        </w:rPr>
        <w:t>。</w:t>
      </w:r>
    </w:p>
    <w:p w14:paraId="6B1F0B8D">
      <w:pPr>
        <w:snapToGrid w:val="0"/>
        <w:spacing w:line="300" w:lineRule="auto"/>
        <w:rPr>
          <w:rFonts w:ascii="Arial" w:hAnsi="Arial" w:eastAsia="宋体" w:cs="Arial"/>
          <w:sz w:val="18"/>
          <w:szCs w:val="18"/>
        </w:rPr>
      </w:pPr>
      <w:r>
        <w:rPr>
          <w:rFonts w:ascii="Arial" w:hAnsi="Arial" w:eastAsia="宋体" w:cs="Arial"/>
          <w:sz w:val="18"/>
          <w:szCs w:val="18"/>
          <w:vertAlign w:val="superscript"/>
        </w:rPr>
        <w:t>16</w:t>
      </w:r>
      <w:r>
        <w:rPr>
          <w:rFonts w:ascii="Arial" w:hAnsi="Arial" w:eastAsia="宋体" w:cs="Arial"/>
          <w:sz w:val="18"/>
          <w:szCs w:val="18"/>
        </w:rPr>
        <w:t>如果贵公司打算变更预期用途，以指出该器械可检测并鉴别具体新型甲型流感病毒而不是继续仅笼统提供存在甲型流感的信息，我们建议贵公司尝试与按21 CFR 866.3332规定予以分类的某种器械间确立实质等同性。</w:t>
      </w:r>
    </w:p>
    <w:p w14:paraId="70E1D00F">
      <w:pPr>
        <w:snapToGrid w:val="0"/>
        <w:spacing w:line="300" w:lineRule="auto"/>
        <w:rPr>
          <w:rFonts w:ascii="Arial" w:hAnsi="Arial" w:eastAsia="宋体" w:cs="Arial"/>
        </w:rPr>
      </w:pPr>
      <w:r>
        <w:rPr>
          <w:rFonts w:ascii="Arial" w:hAnsi="Arial" w:eastAsia="宋体" w:cs="Arial"/>
        </w:rPr>
        <w:t>如果未发现某种新型流感检验产品与按21 CFR 866.3330或866.3332规定予以分类的某种现有器械存在实质等同性，将按法案第513（f）（1）部分的规定自动将其归为III类器械。然而，申请人可依据法案第513（f）（2）部分的规定请求食品药品监督管理局对与某种基准器械不存在实质等同性的器械“重新”做出基于风险的分类。该路径可能尤其适合于用来笼统或专门检测几种甲型流感病毒并可对某种具体的新型甲型流感病毒与其它甲型流感病毒做出鉴别的新器械。此时适用该路径的前提是发现该产品与现有的任何流感检验器械间不存在实质等同性。该路径可能还适合于可检测新型流感病毒并拟用于患者床边检验（即时检验）的某种新器械。</w:t>
      </w:r>
    </w:p>
    <w:p w14:paraId="247C200B">
      <w:pPr>
        <w:snapToGrid w:val="0"/>
        <w:spacing w:line="300" w:lineRule="auto"/>
        <w:rPr>
          <w:rFonts w:ascii="Arial" w:hAnsi="Arial" w:eastAsia="宋体" w:cs="Arial"/>
        </w:rPr>
      </w:pPr>
    </w:p>
    <w:p w14:paraId="1EA6E32B">
      <w:pPr>
        <w:snapToGrid w:val="0"/>
        <w:spacing w:line="300" w:lineRule="auto"/>
        <w:rPr>
          <w:rFonts w:ascii="Arial" w:hAnsi="Arial" w:eastAsia="宋体" w:cs="Arial"/>
        </w:rPr>
      </w:pPr>
      <w:r>
        <w:rPr>
          <w:rFonts w:ascii="Arial" w:hAnsi="Arial" w:eastAsia="宋体" w:cs="Arial"/>
        </w:rPr>
        <w:t>使用该器械与临床实践中使用的相同方法，并使用从患有类似流感疾病的患者处取得的样本，应通过将器械测试结果与在标准条件下进行的培养或其他可接受的方法进行比较来建立一般检测甲型流感病毒的性能特征。</w:t>
      </w:r>
      <w:r>
        <w:rPr>
          <w:rStyle w:val="20"/>
          <w:rFonts w:ascii="Arial" w:hAnsi="Arial" w:eastAsia="宋体" w:cs="Arial"/>
        </w:rPr>
        <w:t>因此，应该在进行评估的流感季节期间对表现感染人类的A型亚型的症状进行描述</w:t>
      </w:r>
      <w:r>
        <w:rPr>
          <w:rFonts w:ascii="Arial" w:hAnsi="Arial" w:eastAsia="宋体" w:cs="Arial"/>
        </w:rPr>
        <w:t>器械器械器械器械。</w:t>
      </w:r>
    </w:p>
    <w:p w14:paraId="50D1F34B">
      <w:pPr>
        <w:snapToGrid w:val="0"/>
        <w:spacing w:line="300" w:lineRule="auto"/>
        <w:rPr>
          <w:rFonts w:ascii="Arial" w:hAnsi="Arial" w:eastAsia="宋体" w:cs="Arial"/>
        </w:rPr>
      </w:pPr>
    </w:p>
    <w:p w14:paraId="067659B8">
      <w:pPr>
        <w:snapToGrid w:val="0"/>
        <w:spacing w:line="300" w:lineRule="auto"/>
        <w:rPr>
          <w:rFonts w:ascii="Arial" w:hAnsi="Arial" w:eastAsia="宋体" w:cs="Arial"/>
        </w:rPr>
      </w:pPr>
      <w:r>
        <w:rPr>
          <w:rFonts w:ascii="Arial" w:hAnsi="Arial" w:eastAsia="宋体" w:cs="Arial"/>
        </w:rPr>
        <w:t>为了给食品药品监督管理局对用于检测某种具体新型甲型流感病毒（亚型或毒株）的器械性能进行评估提供基础，我们建议贵公司提交临床评价数据。进行临床评价时应使用新鲜标本，这些标本应采自两类患者，其一是由该新型甲型流感病毒和其它经常处于循环中的流感病毒所致流感患者，其二是由非流感病毒所致的类似流感疾病患者。首选选择使用新鲜标本获取这些数据。然而，为增加标本的代表性（如地理多样、推荐采用不同标本类型），存档标本可能是有用的。为提供具有多样性的患者标本类型，存档标本可能是有用的。这些患者可以是患有其它呼吸道感染的患者，亦可是不易取得新鲜标本的患者。</w:t>
      </w:r>
    </w:p>
    <w:p w14:paraId="5C0C22FC">
      <w:pPr>
        <w:snapToGrid w:val="0"/>
        <w:spacing w:line="300" w:lineRule="auto"/>
        <w:rPr>
          <w:rFonts w:ascii="Arial" w:hAnsi="Arial" w:eastAsia="宋体" w:cs="Arial"/>
        </w:rPr>
      </w:pPr>
    </w:p>
    <w:p w14:paraId="27FD242B">
      <w:pPr>
        <w:snapToGrid w:val="0"/>
        <w:spacing w:line="300" w:lineRule="auto"/>
        <w:jc w:val="left"/>
        <w:rPr>
          <w:rFonts w:ascii="Arial" w:hAnsi="Arial" w:eastAsia="宋体" w:cs="Arial"/>
        </w:rPr>
      </w:pPr>
      <w:r>
        <w:rPr>
          <w:rFonts w:ascii="Arial" w:hAnsi="Arial" w:eastAsia="宋体" w:cs="Arial"/>
        </w:rPr>
        <w:t>为收集所有此类流感诊断器械的信息/数据支持做出实质等同的判定结果并同时使这些信息/数据在有医疗需求时可供利用，适当的监管路径是法案第520（g）部分和21 CFR第812部分提供的研究性器械豁免（IDE）。可能适用于某种新型甲型流感检验器械研究的特殊要求将取决于与研究方式有关的风险（即该诊断实验是否要经医学意义明确的另一个诊断产品或规程确认）、应向患者的医生报告结果的情形和该信息的临床意义。根据所采取的研究方式的不同，在开始研究前，贵公司可能需要向食品药品监督管理局提交研究性器械豁免申请请求审批。关于如何提交研究性器械豁免申请方面的信息，见1998年1月20日发布的“研究性器械豁免政策和规程指南”。该文件可在该网址下载：</w:t>
      </w:r>
      <w:r>
        <w:fldChar w:fldCharType="begin"/>
      </w:r>
      <w:r>
        <w:instrText xml:space="preserve"> HYPERLINK "http://www.fda.gov/cdrh/ode/idepolcy.html" </w:instrText>
      </w:r>
      <w:r>
        <w:fldChar w:fldCharType="separate"/>
      </w:r>
      <w:r>
        <w:rPr>
          <w:rStyle w:val="13"/>
          <w:rFonts w:ascii="Arial" w:hAnsi="Arial" w:eastAsia="宋体" w:cs="Arial"/>
        </w:rPr>
        <w:t>http://www.fda.gov/cdrh/ode/idepolcy.html</w:t>
      </w:r>
      <w:r>
        <w:rPr>
          <w:rStyle w:val="13"/>
          <w:rFonts w:ascii="Arial" w:hAnsi="Arial" w:eastAsia="宋体" w:cs="Arial"/>
        </w:rPr>
        <w:fldChar w:fldCharType="end"/>
      </w:r>
      <w:r>
        <w:rPr>
          <w:rFonts w:ascii="Arial" w:hAnsi="Arial" w:eastAsia="宋体" w:cs="Arial"/>
        </w:rPr>
        <w:t>。对研究性器械豁免提交资料若有疑问，请致电301-594-1190与研究性器械豁免工作人员联系。</w:t>
      </w:r>
    </w:p>
    <w:p w14:paraId="224590F4">
      <w:pPr>
        <w:snapToGrid w:val="0"/>
        <w:spacing w:line="300" w:lineRule="auto"/>
        <w:rPr>
          <w:rFonts w:ascii="Arial" w:hAnsi="Arial" w:eastAsia="宋体" w:cs="Arial"/>
        </w:rPr>
      </w:pPr>
    </w:p>
    <w:p w14:paraId="3BF706D7">
      <w:pPr>
        <w:snapToGrid w:val="0"/>
        <w:spacing w:line="300" w:lineRule="auto"/>
        <w:rPr>
          <w:rFonts w:ascii="Arial" w:hAnsi="Arial" w:eastAsia="宋体" w:cs="Arial"/>
        </w:rPr>
      </w:pPr>
    </w:p>
    <w:p w14:paraId="245A63C8">
      <w:pPr>
        <w:snapToGrid w:val="0"/>
        <w:spacing w:line="300" w:lineRule="auto"/>
        <w:rPr>
          <w:rFonts w:ascii="Arial" w:hAnsi="Arial" w:eastAsia="宋体" w:cs="Arial"/>
        </w:rPr>
      </w:pPr>
    </w:p>
    <w:p w14:paraId="50F2C00C">
      <w:pPr>
        <w:snapToGrid w:val="0"/>
        <w:spacing w:line="300" w:lineRule="auto"/>
        <w:rPr>
          <w:rFonts w:ascii="Arial" w:hAnsi="Arial" w:eastAsia="宋体" w:cs="Arial"/>
        </w:rPr>
      </w:pPr>
    </w:p>
    <w:p w14:paraId="223C90BD">
      <w:pPr>
        <w:snapToGrid w:val="0"/>
        <w:spacing w:line="300" w:lineRule="auto"/>
        <w:rPr>
          <w:rFonts w:ascii="Arial" w:hAnsi="Arial" w:eastAsia="宋体" w:cs="Arial"/>
        </w:rPr>
      </w:pPr>
    </w:p>
    <w:p w14:paraId="1634E153">
      <w:pPr>
        <w:snapToGrid w:val="0"/>
        <w:spacing w:line="300" w:lineRule="auto"/>
        <w:rPr>
          <w:rFonts w:hint="eastAsia" w:eastAsia="宋体"/>
          <w:lang w:eastAsia="zh-CN"/>
        </w:rPr>
      </w:pPr>
    </w:p>
    <w:p w14:paraId="6BE84483">
      <w:pPr>
        <w:snapToGrid w:val="0"/>
        <w:spacing w:line="300" w:lineRule="auto"/>
        <w:jc w:val="center"/>
        <w:rPr>
          <w:rFonts w:hint="eastAsia" w:eastAsia="宋体"/>
          <w:lang w:eastAsia="zh-CN"/>
        </w:rPr>
      </w:pPr>
    </w:p>
    <w:p w14:paraId="73892E9C">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10"/>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322571716"/>
      <w:docPartObj>
        <w:docPartGallery w:val="AutoText"/>
      </w:docPartObj>
    </w:sdtPr>
    <w:sdtEndPr>
      <w:rPr>
        <w:rFonts w:ascii="Arial" w:hAnsi="Arial" w:cs="Arial"/>
        <w:sz w:val="21"/>
        <w:szCs w:val="21"/>
      </w:rPr>
    </w:sdtEndPr>
    <w:sdtContent>
      <w:p w14:paraId="658E7C1F">
        <w:pPr>
          <w:pStyle w:val="5"/>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13</w:t>
        </w:r>
        <w:r>
          <w:rPr>
            <w:rFonts w:ascii="Arial" w:hAnsi="Arial" w:cs="Arial"/>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A5B6D">
    <w:pPr>
      <w:pStyle w:val="5"/>
      <w:jc w:val="center"/>
      <w:rPr>
        <w:rFonts w:ascii="Arial" w:hAnsi="Arial" w:cs="Arial"/>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710499955"/>
      <w:docPartObj>
        <w:docPartGallery w:val="AutoText"/>
      </w:docPartObj>
    </w:sdtPr>
    <w:sdtEndPr>
      <w:rPr>
        <w:rFonts w:ascii="Arial" w:hAnsi="Arial" w:cs="Arial"/>
        <w:sz w:val="21"/>
        <w:szCs w:val="21"/>
      </w:rPr>
    </w:sdtEndPr>
    <w:sdtContent>
      <w:p w14:paraId="6E511B9F">
        <w:pPr>
          <w:pStyle w:val="5"/>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4</w:t>
        </w:r>
        <w:r>
          <w:rPr>
            <w:rFonts w:ascii="Arial" w:hAnsi="Arial" w:cs="Arial"/>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7B7BD">
    <w:pPr>
      <w:pStyle w:val="6"/>
      <w:pBdr>
        <w:bottom w:val="none" w:color="auto" w:sz="0" w:space="0"/>
      </w:pBdr>
      <w:rPr>
        <w:i/>
      </w:rPr>
    </w:pPr>
    <w:r>
      <w:rPr>
        <w:rFonts w:ascii="Arial" w:hAnsi="Arial" w:eastAsia="宋体" w:cs="Arial"/>
        <w:i/>
      </w:rPr>
      <w:t>内含无约束力推荐规范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5E69D">
    <w:pPr>
      <w:pStyle w:val="6"/>
      <w:pBdr>
        <w:bottom w:val="none" w:color="auto" w:sz="0" w:space="0"/>
      </w:pBdr>
      <w:rPr>
        <w:i/>
      </w:rPr>
    </w:pPr>
    <w:r>
      <w:rPr>
        <w:rFonts w:ascii="Arial" w:hAnsi="Arial" w:eastAsia="宋体" w:cs="Arial"/>
        <w:i/>
      </w:rPr>
      <w:t>内含无约束力推荐规范</w:t>
    </w:r>
  </w:p>
  <w:p w14:paraId="012D02A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C7272"/>
    <w:multiLevelType w:val="multilevel"/>
    <w:tmpl w:val="179C7272"/>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58E6652"/>
    <w:multiLevelType w:val="multilevel"/>
    <w:tmpl w:val="558E665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4C103DB"/>
    <w:multiLevelType w:val="multilevel"/>
    <w:tmpl w:val="64C103DB"/>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DB03B7E"/>
    <w:multiLevelType w:val="multilevel"/>
    <w:tmpl w:val="6DB03B7E"/>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B77"/>
    <w:rsid w:val="0000599F"/>
    <w:rsid w:val="00016601"/>
    <w:rsid w:val="0002390B"/>
    <w:rsid w:val="00025903"/>
    <w:rsid w:val="000262CE"/>
    <w:rsid w:val="00036DD0"/>
    <w:rsid w:val="00040DD0"/>
    <w:rsid w:val="0004406E"/>
    <w:rsid w:val="00047C7A"/>
    <w:rsid w:val="00052156"/>
    <w:rsid w:val="0005391F"/>
    <w:rsid w:val="00054608"/>
    <w:rsid w:val="0006517E"/>
    <w:rsid w:val="000666C6"/>
    <w:rsid w:val="00080B56"/>
    <w:rsid w:val="00082B95"/>
    <w:rsid w:val="00084C71"/>
    <w:rsid w:val="00092CE6"/>
    <w:rsid w:val="0009619C"/>
    <w:rsid w:val="000A63A3"/>
    <w:rsid w:val="000B0DCB"/>
    <w:rsid w:val="000B2A96"/>
    <w:rsid w:val="000C2E8F"/>
    <w:rsid w:val="000C5F33"/>
    <w:rsid w:val="000C6C88"/>
    <w:rsid w:val="000C739A"/>
    <w:rsid w:val="000D073C"/>
    <w:rsid w:val="000E6F6E"/>
    <w:rsid w:val="000E7701"/>
    <w:rsid w:val="000F6360"/>
    <w:rsid w:val="00102E2D"/>
    <w:rsid w:val="00111548"/>
    <w:rsid w:val="00113647"/>
    <w:rsid w:val="00116B43"/>
    <w:rsid w:val="00120FCD"/>
    <w:rsid w:val="00124754"/>
    <w:rsid w:val="00124D4A"/>
    <w:rsid w:val="001261E2"/>
    <w:rsid w:val="001269FE"/>
    <w:rsid w:val="0012701E"/>
    <w:rsid w:val="00131696"/>
    <w:rsid w:val="001350BB"/>
    <w:rsid w:val="00140D42"/>
    <w:rsid w:val="001465C7"/>
    <w:rsid w:val="00151414"/>
    <w:rsid w:val="0015335D"/>
    <w:rsid w:val="00153B83"/>
    <w:rsid w:val="00155523"/>
    <w:rsid w:val="001758D1"/>
    <w:rsid w:val="001828F9"/>
    <w:rsid w:val="0018658F"/>
    <w:rsid w:val="00187F00"/>
    <w:rsid w:val="00191238"/>
    <w:rsid w:val="0019627D"/>
    <w:rsid w:val="00197B77"/>
    <w:rsid w:val="001A4A56"/>
    <w:rsid w:val="001B13ED"/>
    <w:rsid w:val="001C1873"/>
    <w:rsid w:val="001C2407"/>
    <w:rsid w:val="001C5180"/>
    <w:rsid w:val="001D2047"/>
    <w:rsid w:val="001D4B6B"/>
    <w:rsid w:val="001E1EC9"/>
    <w:rsid w:val="001E201E"/>
    <w:rsid w:val="001E2170"/>
    <w:rsid w:val="001E3EF9"/>
    <w:rsid w:val="001E5E13"/>
    <w:rsid w:val="001F3C0C"/>
    <w:rsid w:val="001F44DC"/>
    <w:rsid w:val="0020711F"/>
    <w:rsid w:val="002104D1"/>
    <w:rsid w:val="00210FCB"/>
    <w:rsid w:val="0021240D"/>
    <w:rsid w:val="00214203"/>
    <w:rsid w:val="00221A6D"/>
    <w:rsid w:val="00222679"/>
    <w:rsid w:val="002229F2"/>
    <w:rsid w:val="00222E36"/>
    <w:rsid w:val="00223DEF"/>
    <w:rsid w:val="00233AB5"/>
    <w:rsid w:val="00236150"/>
    <w:rsid w:val="00240840"/>
    <w:rsid w:val="0025766D"/>
    <w:rsid w:val="0026011A"/>
    <w:rsid w:val="0026364C"/>
    <w:rsid w:val="00266B47"/>
    <w:rsid w:val="00281B45"/>
    <w:rsid w:val="002830F3"/>
    <w:rsid w:val="0028388F"/>
    <w:rsid w:val="00284C17"/>
    <w:rsid w:val="00284FA4"/>
    <w:rsid w:val="002853AB"/>
    <w:rsid w:val="00287E14"/>
    <w:rsid w:val="002932E5"/>
    <w:rsid w:val="002A0BCA"/>
    <w:rsid w:val="002B2164"/>
    <w:rsid w:val="002B25D8"/>
    <w:rsid w:val="002B6D00"/>
    <w:rsid w:val="002B6D58"/>
    <w:rsid w:val="002C0BB8"/>
    <w:rsid w:val="002C5D1C"/>
    <w:rsid w:val="002E47D4"/>
    <w:rsid w:val="002E5D67"/>
    <w:rsid w:val="002E7D68"/>
    <w:rsid w:val="002F4309"/>
    <w:rsid w:val="003015DD"/>
    <w:rsid w:val="0030453F"/>
    <w:rsid w:val="00313D9B"/>
    <w:rsid w:val="0031725B"/>
    <w:rsid w:val="00317489"/>
    <w:rsid w:val="00330343"/>
    <w:rsid w:val="00330D9F"/>
    <w:rsid w:val="00330E1D"/>
    <w:rsid w:val="00332FB2"/>
    <w:rsid w:val="0033454E"/>
    <w:rsid w:val="003374A8"/>
    <w:rsid w:val="003408BA"/>
    <w:rsid w:val="0034377D"/>
    <w:rsid w:val="00362D05"/>
    <w:rsid w:val="0037665C"/>
    <w:rsid w:val="00377AC3"/>
    <w:rsid w:val="00381930"/>
    <w:rsid w:val="00390E4D"/>
    <w:rsid w:val="00392781"/>
    <w:rsid w:val="003977C0"/>
    <w:rsid w:val="003A08DD"/>
    <w:rsid w:val="003A1E0B"/>
    <w:rsid w:val="003A2F4D"/>
    <w:rsid w:val="003A3618"/>
    <w:rsid w:val="003B0B2E"/>
    <w:rsid w:val="003B2446"/>
    <w:rsid w:val="003B3067"/>
    <w:rsid w:val="003B3D0A"/>
    <w:rsid w:val="003D567C"/>
    <w:rsid w:val="003D6B42"/>
    <w:rsid w:val="003E129A"/>
    <w:rsid w:val="003E3EFD"/>
    <w:rsid w:val="003E6052"/>
    <w:rsid w:val="003F0948"/>
    <w:rsid w:val="00403BCD"/>
    <w:rsid w:val="0042156C"/>
    <w:rsid w:val="00423A2E"/>
    <w:rsid w:val="00430609"/>
    <w:rsid w:val="004306F9"/>
    <w:rsid w:val="00433A16"/>
    <w:rsid w:val="004412F8"/>
    <w:rsid w:val="00444C95"/>
    <w:rsid w:val="004515C9"/>
    <w:rsid w:val="00455FCF"/>
    <w:rsid w:val="00462AF2"/>
    <w:rsid w:val="00482F97"/>
    <w:rsid w:val="004B2DB7"/>
    <w:rsid w:val="004B37A8"/>
    <w:rsid w:val="004D0472"/>
    <w:rsid w:val="004D1530"/>
    <w:rsid w:val="004D3826"/>
    <w:rsid w:val="004D3D8F"/>
    <w:rsid w:val="004D76A1"/>
    <w:rsid w:val="004D7F00"/>
    <w:rsid w:val="004E664C"/>
    <w:rsid w:val="004F1EC4"/>
    <w:rsid w:val="004F7759"/>
    <w:rsid w:val="00505485"/>
    <w:rsid w:val="00513C73"/>
    <w:rsid w:val="00526743"/>
    <w:rsid w:val="0054478B"/>
    <w:rsid w:val="005452D4"/>
    <w:rsid w:val="00556C7C"/>
    <w:rsid w:val="00561910"/>
    <w:rsid w:val="005643FC"/>
    <w:rsid w:val="00566DF4"/>
    <w:rsid w:val="005712AA"/>
    <w:rsid w:val="0058164A"/>
    <w:rsid w:val="00582CEC"/>
    <w:rsid w:val="005879A8"/>
    <w:rsid w:val="00594FF9"/>
    <w:rsid w:val="005B044B"/>
    <w:rsid w:val="005B1E86"/>
    <w:rsid w:val="005C0A79"/>
    <w:rsid w:val="005C4246"/>
    <w:rsid w:val="005C5ECF"/>
    <w:rsid w:val="005D5FCC"/>
    <w:rsid w:val="005E17E8"/>
    <w:rsid w:val="005E4F43"/>
    <w:rsid w:val="005E5DAD"/>
    <w:rsid w:val="005E71D8"/>
    <w:rsid w:val="005E7819"/>
    <w:rsid w:val="005F029D"/>
    <w:rsid w:val="005F73FB"/>
    <w:rsid w:val="00606122"/>
    <w:rsid w:val="006100FC"/>
    <w:rsid w:val="006229C2"/>
    <w:rsid w:val="00622EB3"/>
    <w:rsid w:val="00624BCF"/>
    <w:rsid w:val="00645336"/>
    <w:rsid w:val="006565C4"/>
    <w:rsid w:val="00661444"/>
    <w:rsid w:val="00666B07"/>
    <w:rsid w:val="00672FF5"/>
    <w:rsid w:val="00684FA6"/>
    <w:rsid w:val="00685B1B"/>
    <w:rsid w:val="0069611C"/>
    <w:rsid w:val="006B0080"/>
    <w:rsid w:val="006B1139"/>
    <w:rsid w:val="006C32B9"/>
    <w:rsid w:val="006E07C1"/>
    <w:rsid w:val="00700DE4"/>
    <w:rsid w:val="007058D2"/>
    <w:rsid w:val="00705E52"/>
    <w:rsid w:val="00707FFD"/>
    <w:rsid w:val="00711443"/>
    <w:rsid w:val="00711949"/>
    <w:rsid w:val="007148DC"/>
    <w:rsid w:val="007175D2"/>
    <w:rsid w:val="00717669"/>
    <w:rsid w:val="00720E46"/>
    <w:rsid w:val="007264C3"/>
    <w:rsid w:val="00726A10"/>
    <w:rsid w:val="00743AC7"/>
    <w:rsid w:val="00745AE2"/>
    <w:rsid w:val="00752375"/>
    <w:rsid w:val="00757814"/>
    <w:rsid w:val="00764F81"/>
    <w:rsid w:val="00772839"/>
    <w:rsid w:val="00776DC8"/>
    <w:rsid w:val="00783F5E"/>
    <w:rsid w:val="00786A1A"/>
    <w:rsid w:val="007875C9"/>
    <w:rsid w:val="007B168B"/>
    <w:rsid w:val="007B23B3"/>
    <w:rsid w:val="007B6101"/>
    <w:rsid w:val="007B681F"/>
    <w:rsid w:val="007C0D05"/>
    <w:rsid w:val="007C3D7C"/>
    <w:rsid w:val="007C483E"/>
    <w:rsid w:val="007D3FB5"/>
    <w:rsid w:val="007D431C"/>
    <w:rsid w:val="007E3C64"/>
    <w:rsid w:val="007E75B2"/>
    <w:rsid w:val="007F081E"/>
    <w:rsid w:val="00805614"/>
    <w:rsid w:val="00815AE3"/>
    <w:rsid w:val="00815ECA"/>
    <w:rsid w:val="008236C7"/>
    <w:rsid w:val="008238C4"/>
    <w:rsid w:val="0083473B"/>
    <w:rsid w:val="00834CAE"/>
    <w:rsid w:val="00841644"/>
    <w:rsid w:val="00851C77"/>
    <w:rsid w:val="008537EF"/>
    <w:rsid w:val="00855F0A"/>
    <w:rsid w:val="008607E2"/>
    <w:rsid w:val="00865214"/>
    <w:rsid w:val="008723B2"/>
    <w:rsid w:val="00872ACD"/>
    <w:rsid w:val="00880196"/>
    <w:rsid w:val="00885D03"/>
    <w:rsid w:val="008A474D"/>
    <w:rsid w:val="008A56E7"/>
    <w:rsid w:val="008D40E3"/>
    <w:rsid w:val="008D4437"/>
    <w:rsid w:val="008E216E"/>
    <w:rsid w:val="008E2F9C"/>
    <w:rsid w:val="008E60E7"/>
    <w:rsid w:val="008E69AD"/>
    <w:rsid w:val="008E6D49"/>
    <w:rsid w:val="00902DE6"/>
    <w:rsid w:val="00905D86"/>
    <w:rsid w:val="00915BBB"/>
    <w:rsid w:val="00916C67"/>
    <w:rsid w:val="00930545"/>
    <w:rsid w:val="00932D6A"/>
    <w:rsid w:val="0093464C"/>
    <w:rsid w:val="00935CDF"/>
    <w:rsid w:val="00940635"/>
    <w:rsid w:val="00940FA4"/>
    <w:rsid w:val="00962125"/>
    <w:rsid w:val="009655CF"/>
    <w:rsid w:val="009672E4"/>
    <w:rsid w:val="009744B9"/>
    <w:rsid w:val="009821AE"/>
    <w:rsid w:val="00990F00"/>
    <w:rsid w:val="00994185"/>
    <w:rsid w:val="0099684D"/>
    <w:rsid w:val="009A0CFF"/>
    <w:rsid w:val="009C25B3"/>
    <w:rsid w:val="009D126F"/>
    <w:rsid w:val="009D1F52"/>
    <w:rsid w:val="009E24FC"/>
    <w:rsid w:val="009E40A8"/>
    <w:rsid w:val="009E7CDF"/>
    <w:rsid w:val="009F115D"/>
    <w:rsid w:val="00A04E6E"/>
    <w:rsid w:val="00A147CA"/>
    <w:rsid w:val="00A160AA"/>
    <w:rsid w:val="00A16F54"/>
    <w:rsid w:val="00A245D3"/>
    <w:rsid w:val="00A24F91"/>
    <w:rsid w:val="00A26E54"/>
    <w:rsid w:val="00A27E53"/>
    <w:rsid w:val="00A50D03"/>
    <w:rsid w:val="00A531E0"/>
    <w:rsid w:val="00A56DAD"/>
    <w:rsid w:val="00A577E9"/>
    <w:rsid w:val="00A616B9"/>
    <w:rsid w:val="00A768A9"/>
    <w:rsid w:val="00A80052"/>
    <w:rsid w:val="00A8203E"/>
    <w:rsid w:val="00A83F44"/>
    <w:rsid w:val="00AA5543"/>
    <w:rsid w:val="00AA6CC6"/>
    <w:rsid w:val="00AB1E3C"/>
    <w:rsid w:val="00AD2401"/>
    <w:rsid w:val="00AD4D43"/>
    <w:rsid w:val="00AE3C2E"/>
    <w:rsid w:val="00B061A1"/>
    <w:rsid w:val="00B100D2"/>
    <w:rsid w:val="00B121AD"/>
    <w:rsid w:val="00B13F78"/>
    <w:rsid w:val="00B33E2D"/>
    <w:rsid w:val="00B47FF0"/>
    <w:rsid w:val="00B53A43"/>
    <w:rsid w:val="00B54403"/>
    <w:rsid w:val="00B5499E"/>
    <w:rsid w:val="00B56C9E"/>
    <w:rsid w:val="00B57333"/>
    <w:rsid w:val="00B574DF"/>
    <w:rsid w:val="00B62883"/>
    <w:rsid w:val="00B64B81"/>
    <w:rsid w:val="00B700CE"/>
    <w:rsid w:val="00B70721"/>
    <w:rsid w:val="00B71938"/>
    <w:rsid w:val="00B73003"/>
    <w:rsid w:val="00B80EBF"/>
    <w:rsid w:val="00B810D4"/>
    <w:rsid w:val="00B87331"/>
    <w:rsid w:val="00B9056C"/>
    <w:rsid w:val="00B909FB"/>
    <w:rsid w:val="00B948A2"/>
    <w:rsid w:val="00B954AA"/>
    <w:rsid w:val="00BA123D"/>
    <w:rsid w:val="00BB2D51"/>
    <w:rsid w:val="00BB3C90"/>
    <w:rsid w:val="00BC3DE2"/>
    <w:rsid w:val="00BC482D"/>
    <w:rsid w:val="00BC55DA"/>
    <w:rsid w:val="00BC72C8"/>
    <w:rsid w:val="00BD0FC6"/>
    <w:rsid w:val="00BE1632"/>
    <w:rsid w:val="00BE4BD0"/>
    <w:rsid w:val="00BE501C"/>
    <w:rsid w:val="00BE6904"/>
    <w:rsid w:val="00BE6F54"/>
    <w:rsid w:val="00BF0EC8"/>
    <w:rsid w:val="00BF4AD4"/>
    <w:rsid w:val="00BF72A9"/>
    <w:rsid w:val="00C0594E"/>
    <w:rsid w:val="00C163E3"/>
    <w:rsid w:val="00C21156"/>
    <w:rsid w:val="00C21FE3"/>
    <w:rsid w:val="00C23AD7"/>
    <w:rsid w:val="00C272DF"/>
    <w:rsid w:val="00C27F78"/>
    <w:rsid w:val="00C33DFF"/>
    <w:rsid w:val="00C347E4"/>
    <w:rsid w:val="00C37C99"/>
    <w:rsid w:val="00C40F9F"/>
    <w:rsid w:val="00C664E0"/>
    <w:rsid w:val="00C6792E"/>
    <w:rsid w:val="00C7636B"/>
    <w:rsid w:val="00C81D6C"/>
    <w:rsid w:val="00C90654"/>
    <w:rsid w:val="00C975A0"/>
    <w:rsid w:val="00CA1429"/>
    <w:rsid w:val="00CA386C"/>
    <w:rsid w:val="00CA7218"/>
    <w:rsid w:val="00CB3576"/>
    <w:rsid w:val="00CC3CF6"/>
    <w:rsid w:val="00CE192D"/>
    <w:rsid w:val="00CF672A"/>
    <w:rsid w:val="00D070F9"/>
    <w:rsid w:val="00D12049"/>
    <w:rsid w:val="00D1232F"/>
    <w:rsid w:val="00D15FED"/>
    <w:rsid w:val="00D27411"/>
    <w:rsid w:val="00D32A53"/>
    <w:rsid w:val="00D34153"/>
    <w:rsid w:val="00D3423B"/>
    <w:rsid w:val="00D3680B"/>
    <w:rsid w:val="00D46003"/>
    <w:rsid w:val="00D54F6D"/>
    <w:rsid w:val="00D57600"/>
    <w:rsid w:val="00D67B95"/>
    <w:rsid w:val="00D727E5"/>
    <w:rsid w:val="00D7379D"/>
    <w:rsid w:val="00D743D3"/>
    <w:rsid w:val="00D80B37"/>
    <w:rsid w:val="00D817DD"/>
    <w:rsid w:val="00D922F2"/>
    <w:rsid w:val="00D947DA"/>
    <w:rsid w:val="00D9665F"/>
    <w:rsid w:val="00DA06D7"/>
    <w:rsid w:val="00DA37F1"/>
    <w:rsid w:val="00DB195A"/>
    <w:rsid w:val="00DB3D15"/>
    <w:rsid w:val="00DB4C32"/>
    <w:rsid w:val="00DC0BFF"/>
    <w:rsid w:val="00DC6AEB"/>
    <w:rsid w:val="00DD231F"/>
    <w:rsid w:val="00DE1B32"/>
    <w:rsid w:val="00DE5E8F"/>
    <w:rsid w:val="00DE600F"/>
    <w:rsid w:val="00DE7EAB"/>
    <w:rsid w:val="00E01B3F"/>
    <w:rsid w:val="00E01EA3"/>
    <w:rsid w:val="00E02B3A"/>
    <w:rsid w:val="00E10C72"/>
    <w:rsid w:val="00E33B8B"/>
    <w:rsid w:val="00E37A5B"/>
    <w:rsid w:val="00E47176"/>
    <w:rsid w:val="00E50D06"/>
    <w:rsid w:val="00E5340A"/>
    <w:rsid w:val="00E57444"/>
    <w:rsid w:val="00E63A53"/>
    <w:rsid w:val="00E6471A"/>
    <w:rsid w:val="00E650F6"/>
    <w:rsid w:val="00E737A8"/>
    <w:rsid w:val="00E74372"/>
    <w:rsid w:val="00E84863"/>
    <w:rsid w:val="00E8735A"/>
    <w:rsid w:val="00E928EC"/>
    <w:rsid w:val="00E93797"/>
    <w:rsid w:val="00EA2FB1"/>
    <w:rsid w:val="00EA6420"/>
    <w:rsid w:val="00EB21E0"/>
    <w:rsid w:val="00EC4EFC"/>
    <w:rsid w:val="00EC621E"/>
    <w:rsid w:val="00ED7D9D"/>
    <w:rsid w:val="00EE19EE"/>
    <w:rsid w:val="00EE77D4"/>
    <w:rsid w:val="00EF2A7C"/>
    <w:rsid w:val="00F1516F"/>
    <w:rsid w:val="00F16DA5"/>
    <w:rsid w:val="00F21646"/>
    <w:rsid w:val="00F308E4"/>
    <w:rsid w:val="00F372F2"/>
    <w:rsid w:val="00F46E5B"/>
    <w:rsid w:val="00F503D8"/>
    <w:rsid w:val="00F56110"/>
    <w:rsid w:val="00F56B81"/>
    <w:rsid w:val="00F67E6E"/>
    <w:rsid w:val="00F721B8"/>
    <w:rsid w:val="00F72547"/>
    <w:rsid w:val="00F7766B"/>
    <w:rsid w:val="00F85F94"/>
    <w:rsid w:val="00F91E9D"/>
    <w:rsid w:val="00FA7023"/>
    <w:rsid w:val="00FB0363"/>
    <w:rsid w:val="00FB04A2"/>
    <w:rsid w:val="00FB2045"/>
    <w:rsid w:val="00FB40B1"/>
    <w:rsid w:val="00FB4FDE"/>
    <w:rsid w:val="00FC27C3"/>
    <w:rsid w:val="00FC3BDC"/>
    <w:rsid w:val="00FC3D59"/>
    <w:rsid w:val="00FC4E34"/>
    <w:rsid w:val="00FC739C"/>
    <w:rsid w:val="00FD09BB"/>
    <w:rsid w:val="00FD62DF"/>
    <w:rsid w:val="00FE28CE"/>
    <w:rsid w:val="00FE4328"/>
    <w:rsid w:val="00FF1217"/>
    <w:rsid w:val="00FF28A4"/>
    <w:rsid w:val="00FF304E"/>
    <w:rsid w:val="00FF3FD5"/>
    <w:rsid w:val="00FF5E77"/>
    <w:rsid w:val="44937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8"/>
    <w:semiHidden/>
    <w:unhideWhenUsed/>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uiPriority w:val="39"/>
    <w:pPr>
      <w:tabs>
        <w:tab w:val="right" w:leader="dot" w:pos="8296"/>
      </w:tabs>
      <w:ind w:left="363" w:hanging="363" w:hangingChars="173"/>
    </w:pPr>
  </w:style>
  <w:style w:type="paragraph" w:styleId="8">
    <w:name w:val="toc 2"/>
    <w:basedOn w:val="1"/>
    <w:next w:val="1"/>
    <w:autoRedefine/>
    <w:unhideWhenUsed/>
    <w:uiPriority w:val="39"/>
    <w:pPr>
      <w:ind w:left="420" w:leftChars="200"/>
    </w:pPr>
  </w:style>
  <w:style w:type="paragraph" w:styleId="9">
    <w:name w:val="annotation subject"/>
    <w:basedOn w:val="3"/>
    <w:next w:val="3"/>
    <w:link w:val="19"/>
    <w:semiHidden/>
    <w:unhideWhenUsed/>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character" w:customStyle="1" w:styleId="15">
    <w:name w:val="批注框文本 Char"/>
    <w:basedOn w:val="12"/>
    <w:link w:val="4"/>
    <w:semiHidden/>
    <w:qFormat/>
    <w:uiPriority w:val="99"/>
    <w:rPr>
      <w:sz w:val="18"/>
      <w:szCs w:val="18"/>
    </w:rPr>
  </w:style>
  <w:style w:type="character" w:customStyle="1" w:styleId="16">
    <w:name w:val="页眉 Char"/>
    <w:basedOn w:val="12"/>
    <w:link w:val="6"/>
    <w:uiPriority w:val="99"/>
    <w:rPr>
      <w:sz w:val="18"/>
      <w:szCs w:val="18"/>
    </w:rPr>
  </w:style>
  <w:style w:type="character" w:customStyle="1" w:styleId="17">
    <w:name w:val="页脚 Char"/>
    <w:basedOn w:val="12"/>
    <w:link w:val="5"/>
    <w:uiPriority w:val="99"/>
    <w:rPr>
      <w:sz w:val="18"/>
      <w:szCs w:val="18"/>
    </w:rPr>
  </w:style>
  <w:style w:type="character" w:customStyle="1" w:styleId="18">
    <w:name w:val="批注文字 Char"/>
    <w:basedOn w:val="12"/>
    <w:link w:val="3"/>
    <w:semiHidden/>
    <w:qFormat/>
    <w:uiPriority w:val="99"/>
  </w:style>
  <w:style w:type="character" w:customStyle="1" w:styleId="19">
    <w:name w:val="批注主题 Char"/>
    <w:basedOn w:val="18"/>
    <w:link w:val="9"/>
    <w:semiHidden/>
    <w:qFormat/>
    <w:uiPriority w:val="99"/>
    <w:rPr>
      <w:b/>
      <w:bCs/>
    </w:rPr>
  </w:style>
  <w:style w:type="character" w:customStyle="1" w:styleId="20">
    <w:name w:val="short_text"/>
    <w:basedOn w:val="12"/>
    <w:qFormat/>
    <w:uiPriority w:val="0"/>
  </w:style>
  <w:style w:type="paragraph" w:customStyle="1" w:styleId="21">
    <w:name w:val="Defaul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paragraph" w:styleId="22">
    <w:name w:val="List Paragraph"/>
    <w:basedOn w:val="1"/>
    <w:qFormat/>
    <w:uiPriority w:val="34"/>
    <w:pPr>
      <w:ind w:firstLine="420" w:firstLineChars="200"/>
    </w:pPr>
  </w:style>
  <w:style w:type="character" w:customStyle="1" w:styleId="23">
    <w:name w:val="标题 1 Char"/>
    <w:basedOn w:val="12"/>
    <w:link w:val="2"/>
    <w:uiPriority w:val="9"/>
    <w:rPr>
      <w:b/>
      <w:bCs/>
      <w:kern w:val="44"/>
      <w:sz w:val="44"/>
      <w:szCs w:val="44"/>
    </w:rPr>
  </w:style>
  <w:style w:type="paragraph" w:customStyle="1" w:styleId="24">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FA3A7A-5DAB-4479-9992-0FE29ECFA576}">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9523</Words>
  <Characters>10779</Characters>
  <Lines>83</Lines>
  <Paragraphs>23</Paragraphs>
  <TotalTime>0</TotalTime>
  <ScaleCrop>false</ScaleCrop>
  <LinksUpToDate>false</LinksUpToDate>
  <CharactersWithSpaces>10940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2017-04-10T03:21:00Z</dcterms:created>
  <dc:creator>BH</dc:creator>
  <cp:lastModifiedBy>太极箫客</cp:lastModifiedBy>
  <dcterms:modified xsi:type="dcterms:W3CDTF">2025-08-14T07:06:46Z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C42129677D4D4E5191F7D62ED5E4B13E_12</vt:lpwstr>
  </property>
</Properties>
</file>