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E3A57">
      <w:pPr>
        <w:snapToGrid w:val="0"/>
        <w:spacing w:before="156" w:beforeLines="50" w:line="300" w:lineRule="auto"/>
        <w:ind w:firstLine="14"/>
        <w:rPr>
          <w:rFonts w:ascii="Arial" w:hAnsi="Arial" w:cs="Arial"/>
          <w:szCs w:val="21"/>
          <w:shd w:val="clear" w:color="auto" w:fill="FFFFFF"/>
        </w:rPr>
      </w:pPr>
      <w:bookmarkStart w:id="25" w:name="_GoBack"/>
      <w:bookmarkEnd w:id="25"/>
    </w:p>
    <w:p w14:paraId="77EC6B7A">
      <w:pPr>
        <w:snapToGrid w:val="0"/>
        <w:spacing w:before="156" w:beforeLines="50" w:line="300" w:lineRule="auto"/>
        <w:ind w:firstLine="14"/>
        <w:rPr>
          <w:rFonts w:ascii="Arial" w:hAnsi="Arial" w:cs="Arial"/>
          <w:szCs w:val="21"/>
          <w:shd w:val="clear" w:color="auto" w:fill="FFFFFF"/>
        </w:rPr>
      </w:pPr>
    </w:p>
    <w:p w14:paraId="6E0FCB8A">
      <w:pPr>
        <w:snapToGrid w:val="0"/>
        <w:spacing w:before="156" w:beforeLines="50" w:line="300" w:lineRule="auto"/>
        <w:ind w:firstLine="14"/>
        <w:rPr>
          <w:rFonts w:ascii="Arial" w:hAnsi="Arial" w:cs="Arial"/>
          <w:szCs w:val="21"/>
          <w:shd w:val="clear" w:color="auto" w:fill="FFFFFF"/>
        </w:rPr>
      </w:pPr>
    </w:p>
    <w:p w14:paraId="37143C59">
      <w:pPr>
        <w:snapToGrid w:val="0"/>
        <w:spacing w:before="156" w:beforeLines="50" w:line="300" w:lineRule="auto"/>
        <w:ind w:firstLine="14"/>
        <w:rPr>
          <w:rFonts w:ascii="Arial" w:hAnsi="Arial" w:cs="Arial"/>
          <w:szCs w:val="21"/>
          <w:shd w:val="clear" w:color="auto" w:fill="FFFFFF"/>
        </w:rPr>
      </w:pPr>
    </w:p>
    <w:p w14:paraId="7E0C4FA7">
      <w:pPr>
        <w:snapToGrid w:val="0"/>
        <w:spacing w:before="156" w:beforeLines="50" w:line="300" w:lineRule="auto"/>
        <w:ind w:firstLine="14"/>
        <w:rPr>
          <w:rFonts w:ascii="Arial" w:hAnsi="Arial" w:cs="Arial"/>
          <w:szCs w:val="21"/>
          <w:shd w:val="clear" w:color="auto" w:fill="FFFFFF"/>
        </w:rPr>
      </w:pPr>
    </w:p>
    <w:p w14:paraId="50331376">
      <w:pPr>
        <w:snapToGrid w:val="0"/>
        <w:spacing w:before="156" w:beforeLines="50" w:line="300" w:lineRule="auto"/>
        <w:ind w:firstLine="14"/>
        <w:rPr>
          <w:rFonts w:ascii="Arial" w:hAnsi="Arial" w:cs="Arial"/>
          <w:szCs w:val="21"/>
          <w:shd w:val="clear" w:color="auto" w:fill="FFFFFF"/>
        </w:rPr>
      </w:pPr>
    </w:p>
    <w:p w14:paraId="359705DD">
      <w:pPr>
        <w:snapToGrid w:val="0"/>
        <w:spacing w:before="156" w:beforeLines="50" w:line="300" w:lineRule="auto"/>
        <w:ind w:firstLine="14"/>
        <w:rPr>
          <w:rFonts w:ascii="Arial" w:hAnsi="Arial" w:cs="Arial"/>
          <w:szCs w:val="21"/>
          <w:shd w:val="clear" w:color="auto" w:fill="FFFFFF"/>
        </w:rPr>
      </w:pPr>
    </w:p>
    <w:p w14:paraId="6D9995D1">
      <w:pPr>
        <w:snapToGrid w:val="0"/>
        <w:spacing w:before="156" w:beforeLines="50" w:line="300" w:lineRule="auto"/>
        <w:ind w:firstLine="14"/>
        <w:rPr>
          <w:rFonts w:ascii="Arial" w:hAnsi="Arial" w:cs="Arial"/>
          <w:szCs w:val="21"/>
          <w:shd w:val="clear" w:color="auto" w:fill="FFFFFF"/>
        </w:rPr>
      </w:pPr>
    </w:p>
    <w:p w14:paraId="3310E6E9">
      <w:pPr>
        <w:snapToGrid w:val="0"/>
        <w:spacing w:before="156" w:beforeLines="50" w:line="300" w:lineRule="auto"/>
        <w:ind w:firstLine="14"/>
        <w:rPr>
          <w:rFonts w:ascii="Arial" w:hAnsi="Arial" w:cs="Arial"/>
          <w:szCs w:val="21"/>
          <w:shd w:val="clear" w:color="auto" w:fill="FFFFFF"/>
        </w:rPr>
      </w:pPr>
    </w:p>
    <w:p w14:paraId="5106D6EB">
      <w:pPr>
        <w:snapToGrid w:val="0"/>
        <w:spacing w:before="156" w:beforeLines="50" w:line="300" w:lineRule="auto"/>
        <w:ind w:firstLine="14"/>
        <w:rPr>
          <w:rFonts w:ascii="Arial" w:hAnsi="Arial" w:cs="Arial"/>
          <w:szCs w:val="21"/>
          <w:shd w:val="clear" w:color="auto" w:fill="FFFFFF"/>
        </w:rPr>
      </w:pPr>
    </w:p>
    <w:p w14:paraId="5AC55E37">
      <w:pPr>
        <w:snapToGrid w:val="0"/>
        <w:spacing w:before="144" w:line="300" w:lineRule="auto"/>
        <w:ind w:firstLine="14"/>
        <w:rPr>
          <w:rFonts w:ascii="Arial" w:hAnsi="Arial" w:cs="Arial"/>
        </w:rPr>
      </w:pPr>
      <w:r>
        <w:rPr>
          <w:rFonts w:ascii="Arial" w:hAnsi="Arial" w:cs="Arial"/>
        </w:rPr>
        <w:t>本指南编写于1997年2月27日实施FDA的良好指导规范（GGP）之前。其不会为任何人创造或赋予任何权利，也不对FDA或公众具有约束力。如果替代方法满足适用的法律、法规或其两者的要求，可以使用替代方法。本指南将在下一版本中更新，以纳入GGP的标准部分。</w:t>
      </w:r>
    </w:p>
    <w:p w14:paraId="01F61708">
      <w:pPr>
        <w:snapToGrid w:val="0"/>
        <w:spacing w:before="156" w:beforeLines="50" w:line="300" w:lineRule="auto"/>
        <w:ind w:firstLine="14"/>
        <w:rPr>
          <w:rFonts w:ascii="Arial" w:hAnsi="Arial" w:cs="Arial"/>
          <w:szCs w:val="21"/>
          <w:shd w:val="clear" w:color="auto" w:fill="FFFFFF"/>
        </w:rPr>
      </w:pPr>
    </w:p>
    <w:p w14:paraId="01318DC7">
      <w:pPr>
        <w:snapToGrid w:val="0"/>
        <w:spacing w:before="156" w:beforeLines="50" w:line="300" w:lineRule="auto"/>
        <w:ind w:firstLine="14"/>
        <w:rPr>
          <w:rFonts w:ascii="Arial" w:hAnsi="Arial" w:cs="Arial"/>
          <w:szCs w:val="21"/>
          <w:shd w:val="clear" w:color="auto" w:fill="FFFFFF"/>
        </w:rPr>
      </w:pPr>
    </w:p>
    <w:p w14:paraId="40145F14">
      <w:pPr>
        <w:snapToGrid w:val="0"/>
        <w:spacing w:before="156" w:beforeLines="50" w:line="300" w:lineRule="auto"/>
        <w:ind w:firstLine="14"/>
        <w:rPr>
          <w:rFonts w:ascii="Arial" w:hAnsi="Arial" w:cs="Arial"/>
          <w:szCs w:val="21"/>
          <w:shd w:val="clear" w:color="auto" w:fill="FFFFFF"/>
        </w:rPr>
      </w:pPr>
    </w:p>
    <w:p w14:paraId="0A13E99A">
      <w:pPr>
        <w:snapToGrid w:val="0"/>
        <w:spacing w:before="156" w:beforeLines="50" w:line="300" w:lineRule="auto"/>
        <w:ind w:firstLine="14"/>
        <w:rPr>
          <w:rFonts w:ascii="Arial" w:hAnsi="Arial" w:cs="Arial"/>
          <w:szCs w:val="21"/>
          <w:shd w:val="clear" w:color="auto" w:fill="FFFFFF"/>
        </w:rPr>
      </w:pPr>
    </w:p>
    <w:p w14:paraId="1E68FB6D">
      <w:pPr>
        <w:snapToGrid w:val="0"/>
        <w:spacing w:before="156" w:beforeLines="50" w:line="300" w:lineRule="auto"/>
        <w:ind w:firstLine="14"/>
        <w:rPr>
          <w:rFonts w:ascii="Arial" w:hAnsi="Arial" w:cs="Arial"/>
          <w:szCs w:val="21"/>
          <w:shd w:val="clear" w:color="auto" w:fill="FFFFFF"/>
        </w:rPr>
      </w:pPr>
    </w:p>
    <w:p w14:paraId="316D1D44">
      <w:pPr>
        <w:snapToGrid w:val="0"/>
        <w:spacing w:before="156" w:beforeLines="50" w:line="300" w:lineRule="auto"/>
        <w:ind w:firstLine="14"/>
        <w:rPr>
          <w:rFonts w:ascii="Arial" w:hAnsi="Arial" w:cs="Arial"/>
          <w:szCs w:val="21"/>
          <w:shd w:val="clear" w:color="auto" w:fill="FFFFFF"/>
        </w:rPr>
      </w:pPr>
    </w:p>
    <w:p w14:paraId="701D07FA">
      <w:pPr>
        <w:snapToGrid w:val="0"/>
        <w:spacing w:before="156" w:beforeLines="50" w:line="300" w:lineRule="auto"/>
        <w:ind w:firstLine="14"/>
        <w:rPr>
          <w:rFonts w:ascii="Arial" w:hAnsi="Arial" w:cs="Arial"/>
          <w:szCs w:val="21"/>
          <w:shd w:val="clear" w:color="auto" w:fill="FFFFFF"/>
        </w:rPr>
      </w:pPr>
    </w:p>
    <w:p w14:paraId="4E2A3A3D">
      <w:pPr>
        <w:snapToGrid w:val="0"/>
        <w:spacing w:before="156" w:beforeLines="50" w:line="300" w:lineRule="auto"/>
        <w:ind w:firstLine="14"/>
        <w:rPr>
          <w:rFonts w:ascii="Arial" w:hAnsi="Arial" w:cs="Arial"/>
          <w:szCs w:val="21"/>
          <w:shd w:val="clear" w:color="auto" w:fill="FFFFFF"/>
        </w:rPr>
      </w:pPr>
    </w:p>
    <w:p w14:paraId="73390000">
      <w:pPr>
        <w:snapToGrid w:val="0"/>
        <w:spacing w:before="156" w:beforeLines="50" w:line="300" w:lineRule="auto"/>
        <w:ind w:firstLine="14"/>
        <w:rPr>
          <w:rFonts w:ascii="Arial" w:hAnsi="Arial" w:cs="Arial"/>
          <w:szCs w:val="21"/>
          <w:shd w:val="clear" w:color="auto" w:fill="FFFFFF"/>
        </w:rPr>
      </w:pPr>
    </w:p>
    <w:p w14:paraId="623DCD9A">
      <w:pPr>
        <w:snapToGrid w:val="0"/>
        <w:spacing w:before="156" w:beforeLines="50" w:line="300" w:lineRule="auto"/>
        <w:ind w:firstLine="14"/>
        <w:rPr>
          <w:rFonts w:ascii="Arial" w:hAnsi="Arial" w:cs="Arial"/>
          <w:szCs w:val="21"/>
          <w:shd w:val="clear" w:color="auto" w:fill="FFFFFF"/>
        </w:rPr>
      </w:pPr>
    </w:p>
    <w:p w14:paraId="1FE11633">
      <w:pPr>
        <w:snapToGrid w:val="0"/>
        <w:spacing w:before="156" w:beforeLines="50" w:line="300" w:lineRule="auto"/>
        <w:ind w:firstLine="14"/>
        <w:rPr>
          <w:rFonts w:ascii="Arial" w:hAnsi="Arial" w:cs="Arial"/>
          <w:b/>
          <w:szCs w:val="21"/>
          <w:shd w:val="clear" w:color="auto" w:fill="FFFFFF"/>
        </w:rPr>
        <w:sectPr>
          <w:headerReference r:id="rId3" w:type="default"/>
          <w:pgSz w:w="11906" w:h="16838"/>
          <w:pgMar w:top="1134" w:right="1134" w:bottom="1134" w:left="1134" w:header="851" w:footer="992" w:gutter="0"/>
          <w:cols w:space="425" w:num="1"/>
          <w:docGrid w:type="lines" w:linePitch="312" w:charSpace="0"/>
        </w:sectPr>
      </w:pPr>
    </w:p>
    <w:p w14:paraId="6C771CFC">
      <w:pPr>
        <w:snapToGrid w:val="0"/>
        <w:spacing w:before="156" w:beforeLines="50" w:line="300" w:lineRule="auto"/>
        <w:ind w:firstLine="14"/>
        <w:jc w:val="center"/>
        <w:rPr>
          <w:rFonts w:ascii="Arial" w:hAnsi="Arial" w:cs="Arial"/>
          <w:b/>
          <w:sz w:val="28"/>
          <w:szCs w:val="28"/>
          <w:shd w:val="clear" w:color="auto" w:fill="FFFFFF"/>
        </w:rPr>
      </w:pPr>
      <w:r>
        <w:rPr>
          <w:rFonts w:ascii="Arial" w:hAnsi="Arial" w:cs="Arial"/>
          <w:b/>
          <w:sz w:val="28"/>
          <w:szCs w:val="28"/>
          <w:shd w:val="clear" w:color="auto" w:fill="FFFFFF"/>
        </w:rPr>
        <w:t>用于</w:t>
      </w:r>
      <w:bookmarkStart w:id="0" w:name="OLE_LINK1"/>
      <w:r>
        <w:rPr>
          <w:rFonts w:ascii="Arial" w:hAnsi="Arial" w:cs="Arial"/>
          <w:b/>
          <w:sz w:val="28"/>
          <w:szCs w:val="28"/>
          <w:shd w:val="clear" w:color="auto" w:fill="FFFFFF"/>
        </w:rPr>
        <w:t>抗病毒制剂IgM抗体检测的</w:t>
      </w:r>
      <w:bookmarkEnd w:id="0"/>
      <w:r>
        <w:rPr>
          <w:rFonts w:ascii="Arial" w:hAnsi="Arial" w:cs="Arial"/>
          <w:b/>
          <w:sz w:val="28"/>
          <w:szCs w:val="28"/>
          <w:shd w:val="clear" w:color="auto" w:fill="FFFFFF"/>
        </w:rPr>
        <w:t>体外诊断器械审查标准</w:t>
      </w:r>
    </w:p>
    <w:p w14:paraId="054FCB0B">
      <w:pPr>
        <w:snapToGrid w:val="0"/>
        <w:spacing w:before="156" w:beforeLines="50" w:line="300" w:lineRule="auto"/>
        <w:ind w:firstLine="14"/>
        <w:rPr>
          <w:rFonts w:ascii="Arial" w:hAnsi="Arial" w:cs="Arial"/>
          <w:sz w:val="28"/>
          <w:szCs w:val="28"/>
          <w:u w:val="single"/>
          <w:shd w:val="clear" w:color="auto" w:fill="FFFFFF"/>
        </w:rPr>
      </w:pPr>
    </w:p>
    <w:p w14:paraId="3FE60C9C">
      <w:pPr>
        <w:snapToGrid w:val="0"/>
        <w:spacing w:before="156" w:beforeLines="50" w:line="300" w:lineRule="auto"/>
        <w:rPr>
          <w:rFonts w:ascii="Arial" w:hAnsi="Arial" w:cs="Arial"/>
          <w:szCs w:val="21"/>
          <w:shd w:val="clear" w:color="auto" w:fill="FFFFFF"/>
        </w:rPr>
      </w:pPr>
      <w:r>
        <w:rPr>
          <w:rFonts w:ascii="Arial" w:hAnsi="Arial" w:cs="Arial"/>
          <w:szCs w:val="21"/>
          <w:shd w:val="clear" w:color="auto" w:fill="FFFFFF"/>
        </w:rPr>
        <w:t>这是一个代表当前重大关切和建议的灵活文件，该文件是关于采用免疫化学方法或其他方法检测人体血清或血浆样本中特异性病毒IgM 抗体体外诊断器械。本文件基于以下内容：1）最新基础科学；2）临床经验；3）1990年安全医疗器械法案（SMDA）和在美国联邦法规（CFR）中的食品药品监督管理局（FDA）法规。随着科学和医学的不断进步，这些审查标准将进行重新评估，并在必要时进行修订以适应新的知识。</w:t>
      </w:r>
    </w:p>
    <w:p w14:paraId="202555F0">
      <w:pPr>
        <w:snapToGrid w:val="0"/>
        <w:spacing w:before="156" w:beforeLines="50" w:line="300" w:lineRule="auto"/>
        <w:rPr>
          <w:rFonts w:ascii="Arial" w:hAnsi="Arial" w:cs="Arial"/>
          <w:szCs w:val="21"/>
          <w:shd w:val="clear" w:color="auto" w:fill="FFFFFF"/>
        </w:rPr>
      </w:pPr>
      <w:r>
        <w:rPr>
          <w:rFonts w:ascii="Arial" w:hAnsi="Arial" w:cs="Arial"/>
          <w:b/>
          <w:szCs w:val="21"/>
          <w:shd w:val="clear" w:color="auto" w:fill="FFFFFF"/>
        </w:rPr>
        <w:t>目的：</w:t>
      </w:r>
      <w:r>
        <w:rPr>
          <w:rFonts w:ascii="Arial" w:hAnsi="Arial" w:cs="Arial"/>
          <w:szCs w:val="21"/>
          <w:shd w:val="clear" w:color="auto" w:fill="FFFFFF"/>
        </w:rPr>
        <w:t>本文件的目的是在获得用于检测血清或血浆样本中抗病毒制剂IgM抗体医疗器械的销售批准之前，为所需提交给食品药品监督管理局（FDA）的资料提供指南。本文件是CFR和FDA87-4214上市前批准（PMA）手册的附件。</w:t>
      </w:r>
    </w:p>
    <w:p w14:paraId="6B5D5AA8">
      <w:pPr>
        <w:snapToGrid w:val="0"/>
        <w:spacing w:before="156" w:beforeLines="50" w:line="300" w:lineRule="auto"/>
        <w:rPr>
          <w:rFonts w:ascii="Arial" w:hAnsi="Arial" w:cs="Arial"/>
          <w:szCs w:val="21"/>
          <w:shd w:val="clear" w:color="auto" w:fill="FFFFFF"/>
        </w:rPr>
      </w:pPr>
      <w:r>
        <w:rPr>
          <w:rFonts w:ascii="Arial" w:hAnsi="Arial" w:cs="Arial"/>
          <w:b/>
          <w:szCs w:val="21"/>
          <w:shd w:val="clear" w:color="auto" w:fill="FFFFFF"/>
        </w:rPr>
        <w:t>定义：</w:t>
      </w:r>
      <w:r>
        <w:rPr>
          <w:rFonts w:ascii="Arial" w:hAnsi="Arial" w:cs="Arial"/>
          <w:szCs w:val="21"/>
          <w:shd w:val="clear" w:color="auto" w:fill="FFFFFF"/>
        </w:rPr>
        <w:t>这种通用类型的医疗器械可以用在临床实验室中作为一种体外诊断测试，用于通过免疫化学法和其他方法定性或半定量测量人体血清或血浆样本中特异型病毒IgM 类抗体。</w:t>
      </w:r>
    </w:p>
    <w:p w14:paraId="7BEDDD2F">
      <w:pPr>
        <w:snapToGrid w:val="0"/>
        <w:spacing w:before="156" w:beforeLines="50" w:line="300" w:lineRule="auto"/>
        <w:rPr>
          <w:rFonts w:ascii="Arial" w:hAnsi="Arial" w:cs="Arial"/>
          <w:szCs w:val="21"/>
          <w:shd w:val="clear" w:color="auto" w:fill="FFFFFF"/>
        </w:rPr>
      </w:pPr>
      <w:r>
        <w:rPr>
          <w:rFonts w:ascii="Arial" w:hAnsi="Arial" w:cs="Arial"/>
          <w:szCs w:val="21"/>
          <w:shd w:val="clear" w:color="auto" w:fill="FFFFFF"/>
        </w:rPr>
        <w:t>除本指南以外，请参阅美国国家临床实验室标准委员会（NCCLS），《传染病免疫学检验规范》</w:t>
      </w:r>
      <w:r>
        <w:rPr>
          <w:rFonts w:ascii="Arial" w:hAnsi="Arial" w:cs="Arial"/>
          <w:szCs w:val="21"/>
          <w:shd w:val="clear" w:color="auto" w:fill="FFFFFF"/>
          <w:vertAlign w:val="superscript"/>
        </w:rPr>
        <w:t>1</w:t>
      </w:r>
      <w:r>
        <w:rPr>
          <w:rFonts w:ascii="Arial" w:hAnsi="Arial" w:cs="Arial"/>
          <w:szCs w:val="21"/>
          <w:shd w:val="clear" w:color="auto" w:fill="FFFFFF"/>
        </w:rPr>
        <w:t>。国家临床实验室标准委员会（NCCLS）文件可用于本指南文件中使用的术语的定义。</w:t>
      </w:r>
    </w:p>
    <w:p w14:paraId="78651D21">
      <w:pPr>
        <w:snapToGrid w:val="0"/>
        <w:spacing w:before="156" w:beforeLines="50" w:line="300" w:lineRule="auto"/>
        <w:rPr>
          <w:rFonts w:ascii="Arial" w:hAnsi="Arial" w:cs="Arial"/>
          <w:szCs w:val="21"/>
          <w:shd w:val="clear" w:color="auto" w:fill="FFFFFF"/>
        </w:rPr>
      </w:pPr>
      <w:r>
        <w:rPr>
          <w:rFonts w:ascii="Arial" w:hAnsi="Arial" w:cs="Arial"/>
          <w:szCs w:val="21"/>
          <w:shd w:val="clear" w:color="auto" w:fill="FFFFFF"/>
        </w:rPr>
        <w:t>本文件可用于生产企业提交病毒特异性人免疫球蛋白M类（IgM）血清学检测器械时应考虑的基本指南。该文件的起草是基于这些检验是定性的，但在特殊的事例中是半定量的。定性是指确定可检测抗体的存在或不存在的能力，如“一个积极的测试意味着检测信号超过阈值或截止，该阈值或临界点可设置为确定任意组合的敏感性和特异性”</w:t>
      </w:r>
      <w:r>
        <w:rPr>
          <w:rFonts w:ascii="Arial" w:hAnsi="Arial" w:cs="Arial"/>
          <w:szCs w:val="21"/>
          <w:shd w:val="clear" w:color="auto" w:fill="FFFFFF"/>
          <w:vertAlign w:val="superscript"/>
        </w:rPr>
        <w:t>1</w:t>
      </w:r>
      <w:r>
        <w:rPr>
          <w:rFonts w:ascii="Arial" w:hAnsi="Arial" w:cs="Arial"/>
          <w:szCs w:val="21"/>
          <w:shd w:val="clear" w:color="auto" w:fill="FFFFFF"/>
        </w:rPr>
        <w:t>。半定量是指测定可检测抗体增加或减少的能力，如“在一定响应范围，具有附加选项的定性分析本质上”提供单个实验中IgM抗体的对比标准水平或稀释的患者样本的相对量。</w:t>
      </w:r>
    </w:p>
    <w:p w14:paraId="2F9DE7B2">
      <w:pPr>
        <w:snapToGrid w:val="0"/>
        <w:spacing w:before="156" w:beforeLines="50" w:line="300" w:lineRule="auto"/>
        <w:rPr>
          <w:rFonts w:ascii="Arial" w:hAnsi="Arial" w:cs="Arial"/>
          <w:szCs w:val="21"/>
          <w:shd w:val="clear" w:color="auto" w:fill="FFFFFF"/>
        </w:rPr>
      </w:pPr>
      <w:r>
        <w:rPr>
          <w:rFonts w:ascii="Arial" w:hAnsi="Arial" w:cs="Arial"/>
          <w:szCs w:val="21"/>
          <w:shd w:val="clear" w:color="auto" w:fill="FFFFFF"/>
        </w:rPr>
        <w:t>根据定量的真正定义“检测是基于目标检测物的浓度所产生的光学信号的响应，当分析物制备浓度已知而适用于校正时，则可测出实际测定物的浓度”，定量</w:t>
      </w:r>
      <w:bookmarkStart w:id="1" w:name="OLE_LINK18"/>
      <w:r>
        <w:rPr>
          <w:rFonts w:ascii="Arial" w:hAnsi="Arial" w:cs="Arial"/>
          <w:szCs w:val="21"/>
          <w:shd w:val="clear" w:color="auto" w:fill="FFFFFF"/>
        </w:rPr>
        <w:t>分析</w:t>
      </w:r>
      <w:bookmarkEnd w:id="1"/>
      <w:r>
        <w:rPr>
          <w:rFonts w:ascii="Arial" w:hAnsi="Arial" w:cs="Arial"/>
          <w:szCs w:val="21"/>
          <w:shd w:val="clear" w:color="auto" w:fill="FFFFFF"/>
        </w:rPr>
        <w:t>在病毒血清的检测中是不常见的。检验采用一个公认的标准，如世界卫生组织（WHO）每毫升国际单位标准（IU/mL），如果根据WHO标准能够证明二次校准和对照呈线性，且从病人血清中获得的结果与新器械和某一标准建立方法在实验范围内具有相关性，则可认为该检验是定量的。报告这些结果的方法应根据国际单位术语表达。</w:t>
      </w:r>
    </w:p>
    <w:p w14:paraId="68FDCA91">
      <w:pPr>
        <w:snapToGrid w:val="0"/>
        <w:spacing w:before="156" w:beforeLines="50" w:line="300" w:lineRule="auto"/>
        <w:rPr>
          <w:rFonts w:ascii="Arial" w:hAnsi="Arial" w:cs="Arial"/>
          <w:szCs w:val="21"/>
          <w:shd w:val="clear" w:color="auto" w:fill="FFFFFF"/>
        </w:rPr>
      </w:pPr>
      <w:r>
        <w:rPr>
          <w:rFonts w:ascii="Arial" w:hAnsi="Arial" w:cs="Arial"/>
          <w:szCs w:val="21"/>
          <w:shd w:val="clear" w:color="auto" w:fill="FFFFFF"/>
        </w:rPr>
        <w:br w:type="page"/>
      </w:r>
      <w:r>
        <w:rPr>
          <w:rFonts w:ascii="Arial" w:hAnsi="Arial" w:cs="Arial"/>
          <w:szCs w:val="21"/>
          <w:shd w:val="clear" w:color="auto" w:fill="FFFFFF"/>
        </w:rPr>
        <w:t>食品药品监督管理局（FDA）对在临床实验室中采用IgM测试的安全性和有效性有所疑虑。由于不具备能够分离和鉴定病毒的病毒学单位，临床实验室可能会依靠IgM检测进行病毒感染的诊断。如果IgM测试在特定的测试人群中不能真正区分真阳性和假阳性，其可能对病人产生不利的影响。随着抗病毒疗法的不断使用，假阳性结果可能使病人接受不必要的治疗，假阴性结果可能延误治疗或使治疗中止。漏诊或误诊可能对孕妇和胎儿带来不良影响。考虑到这些因素，生产企业必须以这种方式对器械进行测试，以确保提供给患者使用的器械的安全性和有效性。该器械必须明确标明使用人群。</w:t>
      </w:r>
    </w:p>
    <w:p w14:paraId="6B9DCB06">
      <w:pPr>
        <w:snapToGrid w:val="0"/>
        <w:spacing w:before="156" w:beforeLines="50" w:line="300" w:lineRule="auto"/>
        <w:rPr>
          <w:rFonts w:ascii="Arial" w:hAnsi="Arial" w:cs="Arial"/>
          <w:szCs w:val="21"/>
          <w:shd w:val="clear" w:color="auto" w:fill="FFFFFF"/>
        </w:rPr>
      </w:pPr>
      <w:r>
        <w:rPr>
          <w:rFonts w:ascii="Arial" w:hAnsi="Arial" w:cs="Arial"/>
          <w:b/>
          <w:szCs w:val="21"/>
          <w:shd w:val="clear" w:color="auto" w:fill="FFFFFF"/>
        </w:rPr>
        <w:t>产品代码：</w:t>
      </w:r>
      <w:bookmarkStart w:id="2" w:name="OLE_LINK2"/>
      <w:r>
        <w:rPr>
          <w:rFonts w:ascii="Arial" w:hAnsi="Arial" w:cs="Arial"/>
          <w:szCs w:val="21"/>
          <w:shd w:val="clear" w:color="auto" w:fill="FFFFFF"/>
        </w:rPr>
        <w:t>依据特异性病毒</w:t>
      </w:r>
      <w:bookmarkEnd w:id="2"/>
    </w:p>
    <w:p w14:paraId="2261B5F4">
      <w:pPr>
        <w:snapToGrid w:val="0"/>
        <w:spacing w:before="156" w:beforeLines="50" w:line="300" w:lineRule="auto"/>
        <w:rPr>
          <w:rFonts w:ascii="Arial" w:hAnsi="Arial" w:cs="Arial"/>
          <w:szCs w:val="21"/>
          <w:shd w:val="clear" w:color="auto" w:fill="FFFFFF"/>
        </w:rPr>
      </w:pPr>
      <w:r>
        <w:rPr>
          <w:rFonts w:ascii="Arial" w:hAnsi="Arial" w:cs="Arial"/>
          <w:b/>
          <w:szCs w:val="21"/>
          <w:shd w:val="clear" w:color="auto" w:fill="FFFFFF"/>
        </w:rPr>
        <w:t>分类：</w:t>
      </w:r>
      <w:r>
        <w:rPr>
          <w:rFonts w:hint="eastAsia" w:ascii="宋体" w:hAnsi="宋体" w:cs="宋体"/>
          <w:bCs/>
          <w:szCs w:val="21"/>
          <w:shd w:val="clear" w:color="auto" w:fill="FFFFFF"/>
        </w:rPr>
        <w:t>Ⅰ</w:t>
      </w:r>
      <w:r>
        <w:rPr>
          <w:rFonts w:ascii="Arial" w:hAnsi="Arial" w:cs="Arial"/>
          <w:bCs/>
          <w:szCs w:val="21"/>
          <w:shd w:val="clear" w:color="auto" w:fill="FFFFFF"/>
        </w:rPr>
        <w:t>/</w:t>
      </w:r>
      <w:r>
        <w:rPr>
          <w:rFonts w:hint="eastAsia" w:ascii="宋体" w:hAnsi="宋体" w:cs="宋体"/>
          <w:bCs/>
          <w:szCs w:val="21"/>
          <w:shd w:val="clear" w:color="auto" w:fill="FFFFFF"/>
        </w:rPr>
        <w:t>Ⅱ</w:t>
      </w:r>
      <w:r>
        <w:rPr>
          <w:rFonts w:ascii="Arial" w:hAnsi="Arial" w:cs="Arial"/>
          <w:bCs/>
          <w:szCs w:val="21"/>
          <w:shd w:val="clear" w:color="auto" w:fill="FFFFFF"/>
        </w:rPr>
        <w:t>/</w:t>
      </w:r>
      <w:r>
        <w:rPr>
          <w:rFonts w:hint="eastAsia" w:ascii="宋体" w:hAnsi="宋体" w:cs="宋体"/>
          <w:bCs/>
          <w:szCs w:val="21"/>
          <w:shd w:val="clear" w:color="auto" w:fill="FFFFFF"/>
        </w:rPr>
        <w:t>Ⅲ</w:t>
      </w:r>
      <w:r>
        <w:rPr>
          <w:rFonts w:ascii="Arial" w:hAnsi="Arial" w:cs="Arial"/>
          <w:bCs/>
          <w:szCs w:val="21"/>
          <w:shd w:val="clear" w:color="auto" w:fill="FFFFFF"/>
        </w:rPr>
        <w:t>类（</w:t>
      </w:r>
      <w:r>
        <w:rPr>
          <w:rFonts w:ascii="Arial" w:hAnsi="Arial" w:cs="Arial"/>
          <w:szCs w:val="21"/>
          <w:shd w:val="clear" w:color="auto" w:fill="FFFFFF"/>
        </w:rPr>
        <w:t>依据特异性病毒</w:t>
      </w:r>
      <w:r>
        <w:rPr>
          <w:rFonts w:ascii="Arial" w:hAnsi="Arial" w:cs="Arial"/>
          <w:bCs/>
          <w:szCs w:val="21"/>
          <w:shd w:val="clear" w:color="auto" w:fill="FFFFFF"/>
        </w:rPr>
        <w:t>）</w:t>
      </w:r>
    </w:p>
    <w:p w14:paraId="54EDD63F">
      <w:pPr>
        <w:snapToGrid w:val="0"/>
        <w:spacing w:before="156" w:beforeLines="50" w:line="300" w:lineRule="auto"/>
        <w:rPr>
          <w:rFonts w:ascii="Arial" w:hAnsi="Arial" w:cs="Arial"/>
          <w:szCs w:val="21"/>
          <w:shd w:val="clear" w:color="auto" w:fill="FFFFFF"/>
        </w:rPr>
      </w:pPr>
      <w:r>
        <w:rPr>
          <w:rFonts w:ascii="Arial" w:hAnsi="Arial" w:cs="Arial"/>
          <w:b/>
          <w:szCs w:val="21"/>
          <w:shd w:val="clear" w:color="auto" w:fill="FFFFFF"/>
        </w:rPr>
        <w:t>小组：</w:t>
      </w:r>
      <w:r>
        <w:rPr>
          <w:rFonts w:ascii="Arial" w:hAnsi="Arial" w:cs="Arial"/>
          <w:szCs w:val="21"/>
          <w:shd w:val="clear" w:color="auto" w:fill="FFFFFF"/>
        </w:rPr>
        <w:t>微生物学（83）</w:t>
      </w:r>
    </w:p>
    <w:p w14:paraId="4CADE5BA">
      <w:pPr>
        <w:snapToGrid w:val="0"/>
        <w:spacing w:before="156" w:beforeLines="50" w:line="300" w:lineRule="auto"/>
        <w:rPr>
          <w:rFonts w:ascii="Arial" w:hAnsi="Arial" w:cs="Arial"/>
          <w:bCs/>
          <w:szCs w:val="21"/>
          <w:shd w:val="clear" w:color="auto" w:fill="FFFFFF"/>
        </w:rPr>
      </w:pPr>
      <w:r>
        <w:rPr>
          <w:rFonts w:ascii="Arial" w:hAnsi="Arial" w:cs="Arial"/>
          <w:b/>
          <w:szCs w:val="21"/>
          <w:shd w:val="clear" w:color="auto" w:fill="FFFFFF"/>
        </w:rPr>
        <w:t>审查要求：</w:t>
      </w:r>
      <w:r>
        <w:rPr>
          <w:rFonts w:ascii="Arial" w:hAnsi="Arial" w:cs="Arial"/>
          <w:bCs/>
          <w:szCs w:val="21"/>
          <w:shd w:val="clear" w:color="auto" w:fill="FFFFFF"/>
        </w:rPr>
        <w:t>上市前通告[510(K)]，或者与安全性和有效性问题相关时需上市前批准（PMA）</w:t>
      </w:r>
    </w:p>
    <w:p w14:paraId="7497EA7D">
      <w:pPr>
        <w:snapToGrid w:val="0"/>
        <w:spacing w:before="156" w:beforeLines="50" w:line="300" w:lineRule="auto"/>
        <w:rPr>
          <w:rFonts w:ascii="Arial" w:hAnsi="Arial" w:cs="Arial"/>
          <w:b/>
          <w:szCs w:val="21"/>
          <w:shd w:val="clear" w:color="auto" w:fill="FFFFFF"/>
        </w:rPr>
      </w:pPr>
      <w:r>
        <w:rPr>
          <w:rFonts w:hint="eastAsia" w:ascii="宋体" w:hAnsi="宋体" w:cs="宋体"/>
          <w:b/>
          <w:szCs w:val="21"/>
          <w:shd w:val="clear" w:color="auto" w:fill="FFFFFF"/>
        </w:rPr>
        <w:t>Ⅰ</w:t>
      </w:r>
      <w:r>
        <w:rPr>
          <w:rFonts w:ascii="Arial" w:hAnsi="Arial" w:cs="Arial"/>
          <w:b/>
          <w:szCs w:val="21"/>
          <w:shd w:val="clear" w:color="auto" w:fill="FFFFFF"/>
        </w:rPr>
        <w:t>.</w:t>
      </w:r>
      <w:bookmarkStart w:id="3" w:name="OLE_LINK17"/>
      <w:bookmarkStart w:id="4" w:name="OLE_LINK23"/>
      <w:r>
        <w:rPr>
          <w:rFonts w:ascii="Arial" w:hAnsi="Arial" w:cs="Arial"/>
          <w:b/>
          <w:szCs w:val="21"/>
          <w:shd w:val="clear" w:color="auto" w:fill="FFFFFF"/>
        </w:rPr>
        <w:tab/>
      </w:r>
      <w:r>
        <w:rPr>
          <w:rFonts w:ascii="Arial" w:hAnsi="Arial" w:cs="Arial"/>
          <w:b/>
          <w:szCs w:val="21"/>
          <w:shd w:val="clear" w:color="auto" w:fill="FFFFFF"/>
        </w:rPr>
        <w:t>临床适应症/显著性/预期用途</w:t>
      </w:r>
      <w:bookmarkEnd w:id="3"/>
      <w:bookmarkEnd w:id="4"/>
    </w:p>
    <w:p w14:paraId="08607345">
      <w:pPr>
        <w:snapToGrid w:val="0"/>
        <w:spacing w:before="156" w:beforeLines="50" w:line="300" w:lineRule="auto"/>
        <w:rPr>
          <w:rFonts w:ascii="Arial" w:hAnsi="Arial" w:cs="Arial"/>
          <w:szCs w:val="21"/>
          <w:shd w:val="clear" w:color="auto" w:fill="FFFFFF"/>
        </w:rPr>
      </w:pPr>
      <w:r>
        <w:rPr>
          <w:rFonts w:ascii="Arial" w:hAnsi="Arial" w:cs="Arial"/>
          <w:szCs w:val="21"/>
          <w:shd w:val="clear" w:color="auto" w:fill="FFFFFF"/>
        </w:rPr>
        <w:t>提供简要的讨论，酌情包括以下内容。采用主要文献引文支持讨论。</w:t>
      </w:r>
    </w:p>
    <w:p w14:paraId="7588CE0D">
      <w:pPr>
        <w:numPr>
          <w:ilvl w:val="0"/>
          <w:numId w:val="3"/>
        </w:numPr>
        <w:snapToGrid w:val="0"/>
        <w:spacing w:before="156" w:beforeLines="50" w:line="300" w:lineRule="auto"/>
        <w:ind w:left="0" w:firstLine="0"/>
        <w:rPr>
          <w:rFonts w:ascii="Arial" w:hAnsi="Arial" w:cs="Arial"/>
          <w:szCs w:val="21"/>
          <w:shd w:val="clear" w:color="auto" w:fill="FFFFFF"/>
        </w:rPr>
      </w:pPr>
      <w:r>
        <w:rPr>
          <w:rFonts w:ascii="Arial" w:hAnsi="Arial" w:cs="Arial"/>
          <w:szCs w:val="21"/>
          <w:shd w:val="clear" w:color="auto" w:fill="FFFFFF"/>
        </w:rPr>
        <w:t>病毒、传染过程和病理学背景描述。</w:t>
      </w:r>
    </w:p>
    <w:p w14:paraId="5ADAFA2B">
      <w:pPr>
        <w:numPr>
          <w:ilvl w:val="0"/>
          <w:numId w:val="3"/>
        </w:numPr>
        <w:snapToGrid w:val="0"/>
        <w:spacing w:before="156" w:beforeLines="50" w:line="300" w:lineRule="auto"/>
        <w:ind w:left="0" w:firstLine="0"/>
        <w:rPr>
          <w:rFonts w:ascii="Arial" w:hAnsi="Arial" w:cs="Arial"/>
          <w:szCs w:val="21"/>
          <w:shd w:val="clear" w:color="auto" w:fill="FFFFFF"/>
        </w:rPr>
      </w:pPr>
      <w:r>
        <w:rPr>
          <w:rFonts w:ascii="Arial" w:hAnsi="Arial" w:cs="Arial"/>
          <w:szCs w:val="21"/>
          <w:shd w:val="clear" w:color="auto" w:fill="FFFFFF"/>
        </w:rPr>
        <w:t>特异性病毒因子感染相关疾病综合征的描述。</w:t>
      </w:r>
    </w:p>
    <w:p w14:paraId="3D2ED80D">
      <w:pPr>
        <w:numPr>
          <w:ilvl w:val="0"/>
          <w:numId w:val="3"/>
        </w:numPr>
        <w:snapToGrid w:val="0"/>
        <w:spacing w:before="156" w:beforeLines="50" w:line="300" w:lineRule="auto"/>
        <w:ind w:left="0" w:firstLine="0"/>
        <w:rPr>
          <w:rFonts w:ascii="Arial" w:hAnsi="Arial" w:cs="Arial"/>
          <w:szCs w:val="21"/>
          <w:shd w:val="clear" w:color="auto" w:fill="FFFFFF"/>
        </w:rPr>
      </w:pPr>
      <w:r>
        <w:rPr>
          <w:rFonts w:ascii="Arial" w:hAnsi="Arial" w:cs="Arial"/>
          <w:szCs w:val="21"/>
          <w:shd w:val="clear" w:color="auto" w:fill="FFFFFF"/>
        </w:rPr>
        <w:t>可能会影响审查程序或公共政策可能发展的医学界突出关注，包括相关的医疗/社会问题。</w:t>
      </w:r>
    </w:p>
    <w:p w14:paraId="3468C66E">
      <w:pPr>
        <w:numPr>
          <w:ilvl w:val="0"/>
          <w:numId w:val="3"/>
        </w:numPr>
        <w:snapToGrid w:val="0"/>
        <w:spacing w:before="156" w:beforeLines="50" w:line="300" w:lineRule="auto"/>
        <w:ind w:left="0" w:firstLine="0"/>
        <w:rPr>
          <w:rFonts w:ascii="Arial" w:hAnsi="Arial" w:cs="Arial"/>
          <w:szCs w:val="21"/>
          <w:shd w:val="clear" w:color="auto" w:fill="FFFFFF"/>
        </w:rPr>
      </w:pPr>
      <w:r>
        <w:rPr>
          <w:rFonts w:ascii="Arial" w:hAnsi="Arial" w:cs="Arial"/>
          <w:szCs w:val="21"/>
          <w:shd w:val="clear" w:color="auto" w:fill="FFFFFF"/>
        </w:rPr>
        <w:t>假阳性和假阴性结果的临床影响和重要性。</w:t>
      </w:r>
    </w:p>
    <w:p w14:paraId="1EDC0566">
      <w:pPr>
        <w:numPr>
          <w:ilvl w:val="0"/>
          <w:numId w:val="3"/>
        </w:numPr>
        <w:snapToGrid w:val="0"/>
        <w:spacing w:before="156" w:beforeLines="50" w:line="300" w:lineRule="auto"/>
        <w:ind w:left="0" w:firstLine="0"/>
        <w:rPr>
          <w:rFonts w:ascii="Arial" w:hAnsi="Arial" w:cs="Arial"/>
          <w:szCs w:val="21"/>
          <w:shd w:val="clear" w:color="auto" w:fill="FFFFFF"/>
        </w:rPr>
      </w:pPr>
      <w:r>
        <w:rPr>
          <w:rFonts w:ascii="Arial" w:hAnsi="Arial" w:cs="Arial"/>
          <w:szCs w:val="21"/>
          <w:shd w:val="clear" w:color="auto" w:fill="FFFFFF"/>
        </w:rPr>
        <w:t>用于特异性病毒IgM抗体检测的所有测试方法的历史汇总。</w:t>
      </w:r>
    </w:p>
    <w:p w14:paraId="44AA232A">
      <w:pPr>
        <w:numPr>
          <w:ilvl w:val="0"/>
          <w:numId w:val="3"/>
        </w:numPr>
        <w:snapToGrid w:val="0"/>
        <w:spacing w:before="156" w:beforeLines="50" w:line="300" w:lineRule="auto"/>
        <w:ind w:left="0" w:firstLine="0"/>
        <w:rPr>
          <w:rFonts w:ascii="Arial" w:hAnsi="Arial" w:cs="Arial"/>
          <w:szCs w:val="21"/>
          <w:shd w:val="clear" w:color="auto" w:fill="FFFFFF"/>
        </w:rPr>
      </w:pPr>
      <w:bookmarkStart w:id="5" w:name="OLE_LINK4"/>
      <w:r>
        <w:rPr>
          <w:rFonts w:ascii="Arial" w:hAnsi="Arial" w:cs="Arial"/>
          <w:szCs w:val="21"/>
          <w:shd w:val="clear" w:color="auto" w:fill="FFFFFF"/>
        </w:rPr>
        <w:t>疾病流行病学、人口患病率及风险感染人群描述。</w:t>
      </w:r>
    </w:p>
    <w:bookmarkEnd w:id="5"/>
    <w:p w14:paraId="6641DDA7">
      <w:pPr>
        <w:snapToGrid w:val="0"/>
        <w:spacing w:before="156" w:beforeLines="50" w:line="300" w:lineRule="auto"/>
        <w:rPr>
          <w:rFonts w:ascii="Arial" w:hAnsi="Arial" w:cs="Arial"/>
          <w:b/>
          <w:szCs w:val="21"/>
          <w:shd w:val="clear" w:color="auto" w:fill="FFFFFF"/>
        </w:rPr>
      </w:pPr>
      <w:r>
        <w:rPr>
          <w:rFonts w:ascii="Arial" w:hAnsi="Arial" w:cs="Arial"/>
          <w:b/>
          <w:szCs w:val="21"/>
          <w:shd w:val="clear" w:color="auto" w:fill="FFFFFF"/>
        </w:rPr>
        <w:br w:type="page"/>
      </w:r>
      <w:r>
        <w:rPr>
          <w:rFonts w:hint="eastAsia" w:ascii="Arial" w:hAnsi="Arial" w:cs="Arial"/>
          <w:b/>
          <w:szCs w:val="21"/>
          <w:shd w:val="clear" w:color="auto" w:fill="FFFFFF"/>
        </w:rPr>
        <w:t>Ⅱ</w:t>
      </w:r>
      <w:r>
        <w:rPr>
          <w:rFonts w:ascii="Arial" w:hAnsi="Arial" w:cs="Arial"/>
          <w:b/>
          <w:szCs w:val="21"/>
          <w:shd w:val="clear" w:color="auto" w:fill="FFFFFF"/>
        </w:rPr>
        <w:t>.</w:t>
      </w:r>
      <w:r>
        <w:rPr>
          <w:rFonts w:ascii="Arial" w:hAnsi="Arial" w:cs="Arial"/>
          <w:b/>
          <w:szCs w:val="21"/>
          <w:shd w:val="clear" w:color="auto" w:fill="FFFFFF"/>
        </w:rPr>
        <w:tab/>
      </w:r>
      <w:r>
        <w:rPr>
          <w:rFonts w:ascii="Arial" w:hAnsi="Arial" w:cs="Arial"/>
          <w:b/>
          <w:szCs w:val="21"/>
          <w:shd w:val="clear" w:color="auto" w:fill="FFFFFF"/>
        </w:rPr>
        <w:t>器械描述</w:t>
      </w:r>
    </w:p>
    <w:p w14:paraId="59387F39">
      <w:pPr>
        <w:snapToGrid w:val="0"/>
        <w:spacing w:before="156" w:beforeLines="50" w:line="300" w:lineRule="auto"/>
        <w:rPr>
          <w:rFonts w:ascii="Arial" w:hAnsi="Arial" w:cs="Arial"/>
          <w:szCs w:val="21"/>
          <w:shd w:val="clear" w:color="auto" w:fill="FFFFFF"/>
        </w:rPr>
      </w:pPr>
      <w:r>
        <w:rPr>
          <w:rFonts w:ascii="Arial" w:hAnsi="Arial" w:cs="Arial"/>
          <w:szCs w:val="21"/>
          <w:shd w:val="clear" w:color="auto" w:fill="FFFFFF"/>
        </w:rPr>
        <w:t>新医疗器械审查的关键问题是特定的预期用途（所检测的分析物、临床有效性和使用适应症），所测试样本的类型和所使用的技术。以下描述信息必须包含在内，以充分表征新的体外医疗器械。应附带受到同行评议的相应的参考文献、某一或其他类似商业检测分析说明书。</w:t>
      </w:r>
    </w:p>
    <w:p w14:paraId="57F357E8">
      <w:pPr>
        <w:numPr>
          <w:ilvl w:val="0"/>
          <w:numId w:val="4"/>
        </w:numPr>
        <w:snapToGrid w:val="0"/>
        <w:spacing w:before="156" w:beforeLines="50" w:line="300" w:lineRule="auto"/>
        <w:ind w:left="0" w:firstLine="0"/>
        <w:rPr>
          <w:rFonts w:ascii="Arial" w:hAnsi="Arial" w:cs="Arial"/>
          <w:b/>
          <w:szCs w:val="21"/>
          <w:shd w:val="clear" w:color="auto" w:fill="FFFFFF"/>
        </w:rPr>
      </w:pPr>
      <w:r>
        <w:rPr>
          <w:rFonts w:ascii="Arial" w:hAnsi="Arial" w:cs="Arial"/>
          <w:b/>
          <w:szCs w:val="21"/>
          <w:shd w:val="clear" w:color="auto" w:fill="FFFFFF"/>
        </w:rPr>
        <w:t>预期用途</w:t>
      </w:r>
    </w:p>
    <w:p w14:paraId="531B44C2">
      <w:pPr>
        <w:snapToGrid w:val="0"/>
        <w:spacing w:before="156" w:beforeLines="50" w:line="300" w:lineRule="auto"/>
        <w:ind w:firstLine="390" w:firstLineChars="186"/>
        <w:rPr>
          <w:rFonts w:ascii="Arial" w:hAnsi="Arial" w:cs="Arial"/>
          <w:szCs w:val="21"/>
          <w:shd w:val="clear" w:color="auto" w:fill="FFFFFF"/>
        </w:rPr>
      </w:pPr>
      <w:r>
        <w:rPr>
          <w:rFonts w:ascii="Arial" w:hAnsi="Arial" w:cs="Arial"/>
          <w:szCs w:val="21"/>
          <w:shd w:val="clear" w:color="auto" w:fill="FFFFFF"/>
        </w:rPr>
        <w:t>基于在医疗器械中所适应的技术/方法来描述预期用途。应当解决以下问题：</w:t>
      </w:r>
    </w:p>
    <w:p w14:paraId="715032A6">
      <w:pPr>
        <w:numPr>
          <w:ilvl w:val="0"/>
          <w:numId w:val="5"/>
        </w:numPr>
        <w:snapToGrid w:val="0"/>
        <w:spacing w:before="156" w:beforeLines="50" w:line="300" w:lineRule="auto"/>
        <w:ind w:left="1022" w:hanging="602"/>
        <w:rPr>
          <w:rFonts w:ascii="Arial" w:hAnsi="Arial" w:cs="Arial"/>
          <w:szCs w:val="21"/>
          <w:shd w:val="clear" w:color="auto" w:fill="FFFFFF"/>
        </w:rPr>
      </w:pPr>
      <w:r>
        <w:rPr>
          <w:rFonts w:ascii="Arial" w:hAnsi="Arial" w:cs="Arial"/>
          <w:szCs w:val="21"/>
          <w:shd w:val="clear" w:color="auto" w:fill="FFFFFF"/>
        </w:rPr>
        <w:t>应当测试哪种患者人群？</w:t>
      </w:r>
    </w:p>
    <w:p w14:paraId="257F03B2">
      <w:pPr>
        <w:numPr>
          <w:ilvl w:val="0"/>
          <w:numId w:val="5"/>
        </w:numPr>
        <w:snapToGrid w:val="0"/>
        <w:spacing w:before="156" w:beforeLines="50" w:line="300" w:lineRule="auto"/>
        <w:ind w:left="1022" w:hanging="602"/>
        <w:rPr>
          <w:rFonts w:ascii="Arial" w:hAnsi="Arial" w:cs="Arial"/>
          <w:szCs w:val="21"/>
          <w:shd w:val="clear" w:color="auto" w:fill="FFFFFF"/>
        </w:rPr>
      </w:pPr>
      <w:r>
        <w:rPr>
          <w:rFonts w:ascii="Arial" w:hAnsi="Arial" w:cs="Arial"/>
          <w:szCs w:val="21"/>
          <w:shd w:val="clear" w:color="auto" w:fill="FFFFFF"/>
        </w:rPr>
        <w:t>用于诊断或管理特定综合征时，医疗器械使用的条件和限制是什么？</w:t>
      </w:r>
    </w:p>
    <w:p w14:paraId="772BB588">
      <w:pPr>
        <w:numPr>
          <w:ilvl w:val="0"/>
          <w:numId w:val="5"/>
        </w:numPr>
        <w:snapToGrid w:val="0"/>
        <w:spacing w:before="156" w:beforeLines="50" w:line="300" w:lineRule="auto"/>
        <w:ind w:left="1022" w:hanging="602"/>
        <w:rPr>
          <w:rFonts w:ascii="Arial" w:hAnsi="Arial" w:cs="Arial"/>
          <w:szCs w:val="21"/>
          <w:shd w:val="clear" w:color="auto" w:fill="FFFFFF"/>
        </w:rPr>
      </w:pPr>
      <w:r>
        <w:rPr>
          <w:rFonts w:ascii="Arial" w:hAnsi="Arial" w:cs="Arial"/>
          <w:szCs w:val="21"/>
          <w:shd w:val="clear" w:color="auto" w:fill="FFFFFF"/>
        </w:rPr>
        <w:t>该医疗器械的临床有效性是什么？</w:t>
      </w:r>
    </w:p>
    <w:p w14:paraId="49BCB7FC">
      <w:pPr>
        <w:numPr>
          <w:ilvl w:val="0"/>
          <w:numId w:val="4"/>
        </w:numPr>
        <w:snapToGrid w:val="0"/>
        <w:spacing w:before="156" w:beforeLines="50" w:line="300" w:lineRule="auto"/>
        <w:ind w:left="0" w:firstLine="0"/>
        <w:rPr>
          <w:rFonts w:ascii="Arial" w:hAnsi="Arial" w:cs="Arial"/>
          <w:b/>
          <w:szCs w:val="21"/>
          <w:shd w:val="clear" w:color="auto" w:fill="FFFFFF"/>
        </w:rPr>
      </w:pPr>
      <w:r>
        <w:rPr>
          <w:rFonts w:ascii="Arial" w:hAnsi="Arial" w:cs="Arial"/>
          <w:b/>
          <w:szCs w:val="21"/>
          <w:shd w:val="clear" w:color="auto" w:fill="FFFFFF"/>
        </w:rPr>
        <w:t>测试方法的详细原理</w:t>
      </w:r>
    </w:p>
    <w:p w14:paraId="2EBE2B99">
      <w:pPr>
        <w:snapToGrid w:val="0"/>
        <w:spacing w:before="156" w:beforeLines="50" w:line="300" w:lineRule="auto"/>
        <w:rPr>
          <w:rFonts w:ascii="Arial" w:hAnsi="Arial" w:cs="Arial"/>
          <w:szCs w:val="21"/>
          <w:shd w:val="clear" w:color="auto" w:fill="FFFFFF"/>
        </w:rPr>
      </w:pPr>
      <w:r>
        <w:rPr>
          <w:rFonts w:ascii="Arial" w:hAnsi="Arial" w:cs="Arial"/>
          <w:szCs w:val="21"/>
          <w:shd w:val="clear" w:color="auto" w:fill="FFFFFF"/>
        </w:rPr>
        <w:t>讨论了所测试方法的基本原理。对于新类型的技术，提供信息以证明该方法测定特定类型抗体的应用。适当情况下列举参考文献。如果可用，提供任何使用的重组核酸、合成蛋白或单克隆抗体适当的科学依据。如相关科学依据难以提供，应讨论器械抗原是如何被确定为具有代表性的天然抗原。适时提供以下器械或程序组件的完整描述：</w:t>
      </w:r>
    </w:p>
    <w:p w14:paraId="08A03B0D">
      <w:pPr>
        <w:numPr>
          <w:ilvl w:val="0"/>
          <w:numId w:val="6"/>
        </w:numPr>
        <w:snapToGrid w:val="0"/>
        <w:spacing w:before="156" w:beforeLines="50" w:line="300" w:lineRule="auto"/>
        <w:ind w:hanging="150"/>
        <w:rPr>
          <w:rFonts w:ascii="Arial" w:hAnsi="Arial" w:cs="Arial"/>
          <w:szCs w:val="21"/>
          <w:shd w:val="clear" w:color="auto" w:fill="FFFFFF"/>
        </w:rPr>
      </w:pPr>
      <w:r>
        <w:rPr>
          <w:rFonts w:ascii="Arial" w:hAnsi="Arial" w:cs="Arial"/>
          <w:szCs w:val="21"/>
          <w:shd w:val="clear" w:color="auto" w:fill="FFFFFF"/>
        </w:rPr>
        <w:t>任何样本预处理程序。</w:t>
      </w:r>
    </w:p>
    <w:p w14:paraId="68CAAC1E">
      <w:pPr>
        <w:numPr>
          <w:ilvl w:val="0"/>
          <w:numId w:val="6"/>
        </w:numPr>
        <w:snapToGrid w:val="0"/>
        <w:spacing w:before="156" w:beforeLines="50" w:line="300" w:lineRule="auto"/>
        <w:ind w:hanging="150"/>
        <w:rPr>
          <w:rFonts w:ascii="Arial" w:hAnsi="Arial" w:cs="Arial"/>
          <w:szCs w:val="21"/>
          <w:shd w:val="clear" w:color="auto" w:fill="FFFFFF"/>
        </w:rPr>
      </w:pPr>
      <w:r>
        <w:rPr>
          <w:rFonts w:ascii="Arial" w:hAnsi="Arial" w:cs="Arial"/>
          <w:szCs w:val="21"/>
          <w:shd w:val="clear" w:color="auto" w:fill="FFFFFF"/>
        </w:rPr>
        <w:t>在检测中所使用的抗原。</w:t>
      </w:r>
    </w:p>
    <w:p w14:paraId="4F8A5695">
      <w:pPr>
        <w:numPr>
          <w:ilvl w:val="0"/>
          <w:numId w:val="7"/>
        </w:numPr>
        <w:snapToGrid w:val="0"/>
        <w:spacing w:before="156" w:beforeLines="50" w:line="300" w:lineRule="auto"/>
        <w:ind w:left="1204" w:hanging="364"/>
        <w:rPr>
          <w:rFonts w:ascii="Arial" w:hAnsi="Arial" w:cs="Arial"/>
          <w:szCs w:val="21"/>
          <w:shd w:val="clear" w:color="auto" w:fill="FFFFFF"/>
        </w:rPr>
      </w:pPr>
      <w:r>
        <w:rPr>
          <w:rFonts w:ascii="Arial" w:hAnsi="Arial" w:cs="Arial"/>
          <w:szCs w:val="21"/>
          <w:shd w:val="clear" w:color="auto" w:fill="FFFFFF"/>
        </w:rPr>
        <w:t>如果是一个天然抗原，则该抗原是从什么来源获得的。</w:t>
      </w:r>
    </w:p>
    <w:p w14:paraId="47C642EC">
      <w:pPr>
        <w:numPr>
          <w:ilvl w:val="0"/>
          <w:numId w:val="7"/>
        </w:numPr>
        <w:snapToGrid w:val="0"/>
        <w:spacing w:before="156" w:beforeLines="50" w:line="300" w:lineRule="auto"/>
        <w:ind w:left="1204" w:hanging="364"/>
        <w:rPr>
          <w:rFonts w:ascii="Arial" w:hAnsi="Arial" w:cs="Arial"/>
          <w:szCs w:val="21"/>
          <w:shd w:val="clear" w:color="auto" w:fill="FFFFFF"/>
        </w:rPr>
      </w:pPr>
      <w:r>
        <w:rPr>
          <w:rFonts w:ascii="Arial" w:hAnsi="Arial" w:cs="Arial"/>
          <w:szCs w:val="21"/>
          <w:shd w:val="clear" w:color="auto" w:fill="FFFFFF"/>
        </w:rPr>
        <w:t>如果是一个重组抗原或合成肽（寡核苷酸），则该天然抗原是从什么来源衍生的，是用什么核酸或蛋白质序列制备重组抗原的。</w:t>
      </w:r>
    </w:p>
    <w:p w14:paraId="2134D962">
      <w:pPr>
        <w:numPr>
          <w:ilvl w:val="0"/>
          <w:numId w:val="7"/>
        </w:numPr>
        <w:snapToGrid w:val="0"/>
        <w:spacing w:before="156" w:beforeLines="50" w:line="300" w:lineRule="auto"/>
        <w:ind w:left="1204" w:hanging="364"/>
        <w:rPr>
          <w:rFonts w:ascii="Arial" w:hAnsi="Arial" w:cs="Arial"/>
          <w:szCs w:val="21"/>
          <w:shd w:val="clear" w:color="auto" w:fill="FFFFFF"/>
        </w:rPr>
      </w:pPr>
      <w:r>
        <w:rPr>
          <w:rFonts w:ascii="Arial" w:hAnsi="Arial" w:cs="Arial"/>
          <w:szCs w:val="21"/>
          <w:shd w:val="clear" w:color="auto" w:fill="FFFFFF"/>
        </w:rPr>
        <w:t>提供抗原选择依据。</w:t>
      </w:r>
    </w:p>
    <w:p w14:paraId="45F6065C">
      <w:pPr>
        <w:numPr>
          <w:ilvl w:val="0"/>
          <w:numId w:val="6"/>
        </w:numPr>
        <w:snapToGrid w:val="0"/>
        <w:spacing w:before="156" w:beforeLines="50" w:line="300" w:lineRule="auto"/>
        <w:ind w:hanging="150"/>
        <w:rPr>
          <w:rFonts w:ascii="Arial" w:hAnsi="Arial" w:cs="Arial"/>
          <w:szCs w:val="21"/>
          <w:shd w:val="clear" w:color="auto" w:fill="FFFFFF"/>
        </w:rPr>
      </w:pPr>
      <w:r>
        <w:rPr>
          <w:rFonts w:ascii="Arial" w:hAnsi="Arial" w:cs="Arial"/>
          <w:szCs w:val="21"/>
          <w:shd w:val="clear" w:color="auto" w:fill="FFFFFF"/>
        </w:rPr>
        <w:t>检测中使用的抗血清。</w:t>
      </w:r>
    </w:p>
    <w:p w14:paraId="3013B33C">
      <w:pPr>
        <w:numPr>
          <w:ilvl w:val="0"/>
          <w:numId w:val="8"/>
        </w:numPr>
        <w:snapToGrid w:val="0"/>
        <w:spacing w:before="156" w:beforeLines="50" w:line="300" w:lineRule="auto"/>
        <w:ind w:left="1218" w:hanging="378"/>
        <w:rPr>
          <w:rFonts w:ascii="Arial" w:hAnsi="Arial" w:cs="Arial"/>
          <w:szCs w:val="21"/>
          <w:shd w:val="clear" w:color="auto" w:fill="FFFFFF"/>
        </w:rPr>
      </w:pPr>
      <w:r>
        <w:rPr>
          <w:rFonts w:ascii="Arial" w:hAnsi="Arial" w:cs="Arial"/>
          <w:szCs w:val="21"/>
          <w:shd w:val="clear" w:color="auto" w:fill="FFFFFF"/>
        </w:rPr>
        <w:t>详细说明抗血清是采用哪种物种生产的。</w:t>
      </w:r>
    </w:p>
    <w:p w14:paraId="334CA124">
      <w:pPr>
        <w:numPr>
          <w:ilvl w:val="0"/>
          <w:numId w:val="8"/>
        </w:numPr>
        <w:snapToGrid w:val="0"/>
        <w:spacing w:before="156" w:beforeLines="50" w:line="300" w:lineRule="auto"/>
        <w:ind w:left="1218" w:hanging="378"/>
        <w:rPr>
          <w:rFonts w:ascii="Arial" w:hAnsi="Arial" w:cs="Arial"/>
          <w:szCs w:val="21"/>
          <w:shd w:val="clear" w:color="auto" w:fill="FFFFFF"/>
        </w:rPr>
      </w:pPr>
      <w:r>
        <w:rPr>
          <w:rFonts w:ascii="Arial" w:hAnsi="Arial" w:cs="Arial"/>
          <w:szCs w:val="21"/>
          <w:shd w:val="clear" w:color="auto" w:fill="FFFFFF"/>
        </w:rPr>
        <w:br w:type="page"/>
      </w:r>
      <w:r>
        <w:rPr>
          <w:rFonts w:ascii="Arial" w:hAnsi="Arial" w:cs="Arial"/>
          <w:szCs w:val="21"/>
          <w:shd w:val="clear" w:color="auto" w:fill="FFFFFF"/>
        </w:rPr>
        <w:t>如果一个天然抗原作为免疫原，确定获得抗原的来源。</w:t>
      </w:r>
    </w:p>
    <w:p w14:paraId="743C04A1">
      <w:pPr>
        <w:numPr>
          <w:ilvl w:val="0"/>
          <w:numId w:val="8"/>
        </w:numPr>
        <w:snapToGrid w:val="0"/>
        <w:spacing w:before="156" w:beforeLines="50" w:line="300" w:lineRule="auto"/>
        <w:ind w:left="1218" w:hanging="378"/>
        <w:rPr>
          <w:rFonts w:ascii="Arial" w:hAnsi="Arial" w:cs="Arial"/>
          <w:szCs w:val="21"/>
          <w:shd w:val="clear" w:color="auto" w:fill="FFFFFF"/>
        </w:rPr>
      </w:pPr>
      <w:r>
        <w:rPr>
          <w:rFonts w:ascii="Arial" w:hAnsi="Arial" w:cs="Arial"/>
          <w:szCs w:val="21"/>
          <w:shd w:val="clear" w:color="auto" w:fill="FFFFFF"/>
        </w:rPr>
        <w:t>如果一个重组抗原或人工抗原作为免疫原，提供天然核酸的来源，并提供衍生的重组抗原序列。</w:t>
      </w:r>
    </w:p>
    <w:p w14:paraId="7A9E149B">
      <w:pPr>
        <w:numPr>
          <w:ilvl w:val="0"/>
          <w:numId w:val="8"/>
        </w:numPr>
        <w:snapToGrid w:val="0"/>
        <w:spacing w:before="156" w:beforeLines="50" w:line="300" w:lineRule="auto"/>
        <w:ind w:left="1218" w:hanging="378"/>
        <w:rPr>
          <w:rFonts w:ascii="Arial" w:hAnsi="Arial" w:cs="Arial"/>
          <w:szCs w:val="21"/>
          <w:shd w:val="clear" w:color="auto" w:fill="FFFFFF"/>
        </w:rPr>
      </w:pPr>
      <w:r>
        <w:rPr>
          <w:rFonts w:ascii="Arial" w:hAnsi="Arial" w:cs="Arial"/>
          <w:szCs w:val="21"/>
          <w:shd w:val="clear" w:color="auto" w:fill="FFFFFF"/>
        </w:rPr>
        <w:t>解释并提供文件说明抗血清的特异性如何测定。</w:t>
      </w:r>
    </w:p>
    <w:p w14:paraId="7D813305">
      <w:pPr>
        <w:numPr>
          <w:ilvl w:val="0"/>
          <w:numId w:val="6"/>
        </w:numPr>
        <w:snapToGrid w:val="0"/>
        <w:spacing w:before="156" w:beforeLines="50" w:line="300" w:lineRule="auto"/>
        <w:ind w:hanging="150"/>
        <w:rPr>
          <w:rFonts w:ascii="Arial" w:hAnsi="Arial" w:cs="Arial"/>
          <w:szCs w:val="21"/>
          <w:shd w:val="clear" w:color="auto" w:fill="FFFFFF"/>
        </w:rPr>
      </w:pPr>
      <w:r>
        <w:rPr>
          <w:rFonts w:ascii="Arial" w:hAnsi="Arial" w:cs="Arial"/>
          <w:szCs w:val="21"/>
          <w:shd w:val="clear" w:color="auto" w:fill="FFFFFF"/>
        </w:rPr>
        <w:t>用于抗原抗体的复合物检测的酶、荧光或其他基质。</w:t>
      </w:r>
    </w:p>
    <w:p w14:paraId="3D9EB76C">
      <w:pPr>
        <w:numPr>
          <w:ilvl w:val="0"/>
          <w:numId w:val="6"/>
        </w:numPr>
        <w:snapToGrid w:val="0"/>
        <w:spacing w:before="156" w:beforeLines="50" w:line="300" w:lineRule="auto"/>
        <w:ind w:hanging="150"/>
        <w:rPr>
          <w:rFonts w:ascii="Arial" w:hAnsi="Arial" w:cs="Arial"/>
          <w:szCs w:val="21"/>
          <w:shd w:val="clear" w:color="auto" w:fill="FFFFFF"/>
        </w:rPr>
      </w:pPr>
      <w:r>
        <w:rPr>
          <w:rFonts w:ascii="Arial" w:hAnsi="Arial" w:cs="Arial"/>
          <w:szCs w:val="21"/>
          <w:shd w:val="clear" w:color="auto" w:fill="FFFFFF"/>
        </w:rPr>
        <w:t>测定检测的临界点或终点。按照</w:t>
      </w:r>
      <w:r>
        <w:rPr>
          <w:rFonts w:hint="eastAsia" w:ascii="宋体" w:hAnsi="宋体" w:cs="宋体"/>
          <w:szCs w:val="21"/>
          <w:shd w:val="clear" w:color="auto" w:fill="FFFFFF"/>
        </w:rPr>
        <w:t>Ⅲ</w:t>
      </w:r>
      <w:r>
        <w:rPr>
          <w:rFonts w:ascii="Arial" w:hAnsi="Arial" w:cs="Arial"/>
          <w:szCs w:val="21"/>
          <w:shd w:val="clear" w:color="auto" w:fill="FFFFFF"/>
        </w:rPr>
        <w:t>.A.1中描述提供验证数据。</w:t>
      </w:r>
    </w:p>
    <w:p w14:paraId="1F9FCD2C">
      <w:pPr>
        <w:numPr>
          <w:ilvl w:val="0"/>
          <w:numId w:val="6"/>
        </w:numPr>
        <w:snapToGrid w:val="0"/>
        <w:spacing w:before="156" w:beforeLines="50" w:line="300" w:lineRule="auto"/>
        <w:ind w:hanging="150"/>
        <w:rPr>
          <w:rFonts w:ascii="Arial" w:hAnsi="Arial" w:cs="Arial"/>
          <w:szCs w:val="21"/>
          <w:shd w:val="clear" w:color="auto" w:fill="FFFFFF"/>
        </w:rPr>
      </w:pPr>
      <w:r>
        <w:rPr>
          <w:rFonts w:ascii="Arial" w:hAnsi="Arial" w:cs="Arial"/>
          <w:szCs w:val="21"/>
          <w:shd w:val="clear" w:color="auto" w:fill="FFFFFF"/>
        </w:rPr>
        <w:t>包括在检测试剂盒中的控件/校准器，以及对哪些方面的程序进行验证。</w:t>
      </w:r>
    </w:p>
    <w:p w14:paraId="19E9C6B3">
      <w:pPr>
        <w:snapToGrid w:val="0"/>
        <w:spacing w:before="156" w:beforeLines="50" w:line="300" w:lineRule="auto"/>
        <w:ind w:left="866" w:leftChars="412" w:hanging="1"/>
        <w:rPr>
          <w:rFonts w:ascii="Arial" w:hAnsi="Arial" w:cs="Arial"/>
          <w:szCs w:val="21"/>
          <w:shd w:val="clear" w:color="auto" w:fill="FFFFFF"/>
        </w:rPr>
      </w:pPr>
      <w:r>
        <w:rPr>
          <w:rFonts w:ascii="Arial" w:hAnsi="Arial" w:cs="Arial"/>
          <w:szCs w:val="21"/>
          <w:shd w:val="clear" w:color="auto" w:fill="FFFFFF"/>
        </w:rPr>
        <w:t>质量控制材料应具有代表性并与该医疗器械的预期用途和临床有效性相关。除了列在下面的具体要求以外，生产商应当参考当前FDA CLIA’88质量控制指南。</w:t>
      </w:r>
    </w:p>
    <w:p w14:paraId="72527980">
      <w:pPr>
        <w:snapToGrid w:val="0"/>
        <w:spacing w:before="156" w:beforeLines="50" w:line="300" w:lineRule="auto"/>
        <w:ind w:left="868" w:leftChars="413" w:hanging="1"/>
        <w:rPr>
          <w:rFonts w:ascii="Arial" w:hAnsi="Arial" w:cs="Arial"/>
          <w:szCs w:val="21"/>
          <w:shd w:val="clear" w:color="auto" w:fill="FFFFFF"/>
        </w:rPr>
      </w:pPr>
      <w:r>
        <w:rPr>
          <w:rFonts w:ascii="Arial" w:hAnsi="Arial" w:cs="Arial"/>
          <w:szCs w:val="21"/>
          <w:shd w:val="clear" w:color="auto" w:fill="FFFFFF"/>
        </w:rPr>
        <w:t>定性检测：</w:t>
      </w:r>
    </w:p>
    <w:p w14:paraId="4794FC5F">
      <w:pPr>
        <w:numPr>
          <w:ilvl w:val="0"/>
          <w:numId w:val="9"/>
        </w:numPr>
        <w:snapToGrid w:val="0"/>
        <w:spacing w:before="156" w:beforeLines="50" w:line="300" w:lineRule="auto"/>
        <w:ind w:left="1216" w:leftChars="412" w:hanging="351"/>
        <w:rPr>
          <w:rFonts w:ascii="Arial" w:hAnsi="Arial" w:cs="Arial"/>
          <w:b/>
          <w:szCs w:val="21"/>
          <w:u w:val="single"/>
          <w:shd w:val="clear" w:color="auto" w:fill="FFFFFF"/>
        </w:rPr>
      </w:pPr>
      <w:r>
        <w:rPr>
          <w:rFonts w:ascii="Arial" w:hAnsi="Arial" w:cs="Arial"/>
          <w:szCs w:val="21"/>
          <w:shd w:val="clear" w:color="auto" w:fill="FFFFFF"/>
        </w:rPr>
        <w:t>在相同的基质中至少包括在器械中或可推荐使用两种对照（阳性和阴性对照），如试样所述用于检测。对照应当在具有统计学意义的截止范围内。这个范围应该是适合用于确定截止的统计方法。提供对照的值选择的证明资料及选择依据。</w:t>
      </w:r>
    </w:p>
    <w:p w14:paraId="7553B54D">
      <w:pPr>
        <w:numPr>
          <w:ilvl w:val="0"/>
          <w:numId w:val="9"/>
        </w:numPr>
        <w:snapToGrid w:val="0"/>
        <w:spacing w:before="156" w:beforeLines="50" w:line="300" w:lineRule="auto"/>
        <w:ind w:left="868" w:leftChars="413" w:hanging="1"/>
        <w:rPr>
          <w:rFonts w:ascii="Arial" w:hAnsi="Arial" w:cs="Arial"/>
          <w:b/>
          <w:szCs w:val="21"/>
          <w:u w:val="single"/>
          <w:shd w:val="clear" w:color="auto" w:fill="FFFFFF"/>
        </w:rPr>
      </w:pPr>
      <w:r>
        <w:rPr>
          <w:rFonts w:ascii="Arial" w:hAnsi="Arial" w:cs="Arial"/>
          <w:szCs w:val="21"/>
          <w:shd w:val="clear" w:color="auto" w:fill="FFFFFF"/>
        </w:rPr>
        <w:t>提出建议并证明控制材料的测试频率。</w:t>
      </w:r>
    </w:p>
    <w:p w14:paraId="70098C3D">
      <w:pPr>
        <w:snapToGrid w:val="0"/>
        <w:spacing w:before="156" w:beforeLines="50" w:line="300" w:lineRule="auto"/>
        <w:ind w:left="868" w:leftChars="413" w:hanging="1"/>
        <w:rPr>
          <w:rFonts w:ascii="Arial" w:hAnsi="Arial" w:cs="Arial"/>
          <w:szCs w:val="21"/>
          <w:shd w:val="clear" w:color="auto" w:fill="FFFFFF"/>
        </w:rPr>
      </w:pPr>
      <w:r>
        <w:rPr>
          <w:rFonts w:ascii="Arial" w:hAnsi="Arial" w:cs="Arial"/>
          <w:szCs w:val="21"/>
          <w:shd w:val="clear" w:color="auto" w:fill="FFFFFF"/>
        </w:rPr>
        <w:t>半定量检测：</w:t>
      </w:r>
    </w:p>
    <w:p w14:paraId="2C717001">
      <w:pPr>
        <w:snapToGrid w:val="0"/>
        <w:spacing w:before="156" w:beforeLines="50" w:line="300" w:lineRule="auto"/>
        <w:ind w:left="868" w:leftChars="413" w:hanging="1"/>
        <w:rPr>
          <w:rFonts w:ascii="Arial" w:hAnsi="Arial" w:cs="Arial"/>
          <w:szCs w:val="21"/>
          <w:shd w:val="clear" w:color="auto" w:fill="FFFFFF"/>
        </w:rPr>
      </w:pPr>
      <w:r>
        <w:rPr>
          <w:rFonts w:ascii="Arial" w:hAnsi="Arial" w:cs="Arial"/>
          <w:szCs w:val="21"/>
          <w:shd w:val="clear" w:color="auto" w:fill="FFFFFF"/>
        </w:rPr>
        <w:t>除了对照及定性检测所推荐的资料外，还应包括一个已知预期值的在线性范围上端的对照。</w:t>
      </w:r>
    </w:p>
    <w:p w14:paraId="719441E5">
      <w:pPr>
        <w:numPr>
          <w:ilvl w:val="0"/>
          <w:numId w:val="6"/>
        </w:numPr>
        <w:snapToGrid w:val="0"/>
        <w:spacing w:before="156" w:beforeLines="50" w:line="300" w:lineRule="auto"/>
        <w:ind w:hanging="150"/>
        <w:rPr>
          <w:rFonts w:ascii="Arial" w:hAnsi="Arial" w:cs="Arial"/>
          <w:szCs w:val="21"/>
          <w:shd w:val="clear" w:color="auto" w:fill="FFFFFF"/>
        </w:rPr>
      </w:pPr>
      <w:r>
        <w:rPr>
          <w:rFonts w:ascii="Arial" w:hAnsi="Arial" w:cs="Arial"/>
          <w:szCs w:val="21"/>
          <w:shd w:val="clear" w:color="auto" w:fill="FFFFFF"/>
        </w:rPr>
        <w:t>任何对器械的有效性有作用的其他试剂或方法。</w:t>
      </w:r>
    </w:p>
    <w:p w14:paraId="50A23897">
      <w:pPr>
        <w:numPr>
          <w:ilvl w:val="0"/>
          <w:numId w:val="6"/>
        </w:numPr>
        <w:snapToGrid w:val="0"/>
        <w:spacing w:before="156" w:beforeLines="50" w:line="300" w:lineRule="auto"/>
        <w:ind w:hanging="150"/>
        <w:rPr>
          <w:rFonts w:ascii="Arial" w:hAnsi="Arial" w:cs="Arial"/>
          <w:szCs w:val="21"/>
          <w:shd w:val="clear" w:color="auto" w:fill="FFFFFF"/>
        </w:rPr>
      </w:pPr>
      <w:r>
        <w:rPr>
          <w:rFonts w:ascii="Arial" w:hAnsi="Arial" w:cs="Arial"/>
          <w:szCs w:val="21"/>
          <w:shd w:val="clear" w:color="auto" w:fill="FFFFFF"/>
        </w:rPr>
        <w:t>提供在试剂盒或推荐使用的收集和运输材料。</w:t>
      </w:r>
    </w:p>
    <w:p w14:paraId="3A087F4A">
      <w:pPr>
        <w:numPr>
          <w:ilvl w:val="0"/>
          <w:numId w:val="6"/>
        </w:numPr>
        <w:snapToGrid w:val="0"/>
        <w:spacing w:before="156" w:beforeLines="50" w:line="300" w:lineRule="auto"/>
        <w:ind w:left="826" w:hanging="406"/>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负责样本</w:t>
      </w:r>
      <w:r>
        <w:rPr>
          <w:rFonts w:ascii="Arial" w:hAnsi="Arial" w:cs="Arial"/>
          <w:szCs w:val="21"/>
          <w:shd w:val="clear" w:color="auto" w:fill="FFFFFF"/>
        </w:rPr>
        <w:t>处理</w:t>
      </w:r>
      <w:r>
        <w:rPr>
          <w:rFonts w:ascii="Arial" w:hAnsi="Arial" w:cs="Arial"/>
          <w:color w:val="000000" w:themeColor="text1"/>
          <w:szCs w:val="21"/>
          <w:shd w:val="clear" w:color="auto" w:fill="FFFFFF"/>
          <w14:textFill>
            <w14:solidFill>
              <w14:schemeClr w14:val="tx1"/>
            </w14:solidFill>
          </w14:textFill>
        </w:rPr>
        <w:t>和/或用于计算检测结果的软件元素和专用仪器。参见在接受510（k）审核的计算机控制医疗器械的审查员指南中的关注程度小的要求（可从</w:t>
      </w:r>
      <w:r>
        <w:rPr>
          <w:rFonts w:ascii="Arial" w:hAnsi="Arial" w:cs="Arial"/>
          <w:color w:val="000000" w:themeColor="text1"/>
          <w:szCs w:val="21"/>
          <w14:textFill>
            <w14:solidFill>
              <w14:schemeClr w14:val="tx1"/>
            </w14:solidFill>
          </w14:textFill>
        </w:rPr>
        <w:t>小型制造商服务</w:t>
      </w:r>
      <w:r>
        <w:rPr>
          <w:rFonts w:ascii="Arial" w:hAnsi="Arial" w:cs="Arial"/>
          <w:color w:val="000000" w:themeColor="text1"/>
          <w:szCs w:val="21"/>
          <w:shd w:val="clear" w:color="auto" w:fill="FFFFFF"/>
          <w14:textFill>
            <w14:solidFill>
              <w14:schemeClr w14:val="tx1"/>
            </w14:solidFill>
          </w14:textFill>
        </w:rPr>
        <w:t>组获得）。为专用仪器和软件元素提供以下内容：</w:t>
      </w:r>
    </w:p>
    <w:p w14:paraId="44C7FA1C">
      <w:pPr>
        <w:numPr>
          <w:ilvl w:val="1"/>
          <w:numId w:val="6"/>
        </w:numPr>
        <w:snapToGrid w:val="0"/>
        <w:spacing w:before="156" w:beforeLines="50" w:line="300" w:lineRule="auto"/>
        <w:ind w:left="1274" w:hanging="406"/>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br w:type="page"/>
      </w:r>
      <w:r>
        <w:rPr>
          <w:rFonts w:ascii="Arial" w:hAnsi="Arial" w:cs="Arial"/>
          <w:color w:val="000000" w:themeColor="text1"/>
          <w:szCs w:val="21"/>
          <w:shd w:val="clear" w:color="auto" w:fill="FFFFFF"/>
          <w14:textFill>
            <w14:solidFill>
              <w14:schemeClr w14:val="tx1"/>
            </w14:solidFill>
          </w14:textFill>
        </w:rPr>
        <w:t>参考任何</w:t>
      </w:r>
      <w:bookmarkStart w:id="6" w:name="OLE_LINK3"/>
      <w:r>
        <w:rPr>
          <w:rFonts w:ascii="Arial" w:hAnsi="Arial" w:cs="Arial"/>
          <w:color w:val="000000" w:themeColor="text1"/>
          <w:szCs w:val="21"/>
          <w:shd w:val="clear" w:color="auto" w:fill="FFFFFF"/>
          <w14:textFill>
            <w14:solidFill>
              <w14:schemeClr w14:val="tx1"/>
            </w14:solidFill>
          </w14:textFill>
        </w:rPr>
        <w:t>专用仪器的上市前通告[510（k）]</w:t>
      </w:r>
      <w:bookmarkEnd w:id="6"/>
      <w:r>
        <w:rPr>
          <w:rFonts w:ascii="Arial" w:hAnsi="Arial" w:cs="Arial"/>
          <w:color w:val="000000" w:themeColor="text1"/>
          <w:szCs w:val="21"/>
          <w:shd w:val="clear" w:color="auto" w:fill="FFFFFF"/>
          <w14:textFill>
            <w14:solidFill>
              <w14:schemeClr w14:val="tx1"/>
            </w14:solidFill>
          </w14:textFill>
        </w:rPr>
        <w:t>提交号。</w:t>
      </w:r>
    </w:p>
    <w:p w14:paraId="77DB4C2D">
      <w:pPr>
        <w:numPr>
          <w:ilvl w:val="1"/>
          <w:numId w:val="6"/>
        </w:numPr>
        <w:snapToGrid w:val="0"/>
        <w:spacing w:before="156" w:beforeLines="50" w:line="300" w:lineRule="auto"/>
        <w:ind w:left="1274" w:hanging="406"/>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提供用于在专用或非专用仪器中计算结果的算法。</w:t>
      </w:r>
    </w:p>
    <w:p w14:paraId="193FE92E">
      <w:pPr>
        <w:numPr>
          <w:ilvl w:val="1"/>
          <w:numId w:val="6"/>
        </w:numPr>
        <w:snapToGrid w:val="0"/>
        <w:spacing w:before="156" w:beforeLines="50" w:line="300" w:lineRule="auto"/>
        <w:ind w:left="1274" w:hanging="406"/>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当采用仪器相关软件计算结果时，提供所使用的数学曲线拟合方法。</w:t>
      </w:r>
    </w:p>
    <w:p w14:paraId="6314B28F">
      <w:pPr>
        <w:numPr>
          <w:ilvl w:val="0"/>
          <w:numId w:val="4"/>
        </w:numPr>
        <w:snapToGrid w:val="0"/>
        <w:spacing w:before="156" w:beforeLines="50" w:line="300" w:lineRule="auto"/>
        <w:ind w:left="0" w:firstLine="0"/>
        <w:rPr>
          <w:rFonts w:ascii="Arial" w:hAnsi="Arial" w:cs="Arial"/>
          <w:b/>
          <w:szCs w:val="21"/>
          <w:shd w:val="clear" w:color="auto" w:fill="FFFFFF"/>
        </w:rPr>
      </w:pPr>
      <w:r>
        <w:rPr>
          <w:rFonts w:ascii="Arial" w:hAnsi="Arial" w:cs="Arial"/>
          <w:b/>
          <w:szCs w:val="21"/>
          <w:shd w:val="clear" w:color="auto" w:fill="FFFFFF"/>
        </w:rPr>
        <w:t>方法的优点和局限性</w:t>
      </w:r>
    </w:p>
    <w:p w14:paraId="6E2D884E">
      <w:pPr>
        <w:snapToGrid w:val="0"/>
        <w:spacing w:before="156" w:beforeLines="50" w:line="300" w:lineRule="auto"/>
        <w:ind w:firstLine="405" w:firstLineChars="193"/>
        <w:rPr>
          <w:rFonts w:ascii="Arial" w:hAnsi="Arial" w:cs="Arial"/>
          <w:szCs w:val="21"/>
          <w:shd w:val="clear" w:color="auto" w:fill="FFFFFF"/>
        </w:rPr>
      </w:pPr>
      <w:r>
        <w:rPr>
          <w:rFonts w:ascii="Arial" w:hAnsi="Arial" w:cs="Arial"/>
          <w:szCs w:val="21"/>
          <w:shd w:val="clear" w:color="auto" w:fill="FFFFFF"/>
        </w:rPr>
        <w:t>讨论新器械的测试方法的优点和局限性/优势/劣势。</w:t>
      </w:r>
    </w:p>
    <w:p w14:paraId="6E849A5A">
      <w:pPr>
        <w:numPr>
          <w:ilvl w:val="0"/>
          <w:numId w:val="4"/>
        </w:numPr>
        <w:snapToGrid w:val="0"/>
        <w:spacing w:before="156" w:beforeLines="50" w:line="300" w:lineRule="auto"/>
        <w:ind w:left="0" w:firstLine="0"/>
        <w:rPr>
          <w:rFonts w:ascii="Arial" w:hAnsi="Arial" w:cs="Arial"/>
          <w:b/>
          <w:szCs w:val="21"/>
          <w:shd w:val="clear" w:color="auto" w:fill="FFFFFF"/>
        </w:rPr>
      </w:pPr>
      <w:r>
        <w:rPr>
          <w:rFonts w:ascii="Arial" w:hAnsi="Arial" w:cs="Arial"/>
          <w:b/>
          <w:szCs w:val="21"/>
          <w:shd w:val="clear" w:color="auto" w:fill="FFFFFF"/>
        </w:rPr>
        <w:t>样本类型</w:t>
      </w:r>
    </w:p>
    <w:p w14:paraId="1C47E4FD">
      <w:pPr>
        <w:snapToGrid w:val="0"/>
        <w:spacing w:before="156" w:beforeLines="50" w:line="300" w:lineRule="auto"/>
        <w:ind w:firstLine="405" w:firstLineChars="193"/>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列出所有器械使用相关的样本类型（基质）。</w:t>
      </w:r>
    </w:p>
    <w:p w14:paraId="444D09A9">
      <w:pPr>
        <w:numPr>
          <w:ilvl w:val="0"/>
          <w:numId w:val="4"/>
        </w:numPr>
        <w:snapToGrid w:val="0"/>
        <w:spacing w:before="156" w:beforeLines="50" w:line="300" w:lineRule="auto"/>
        <w:rPr>
          <w:rFonts w:ascii="Arial" w:hAnsi="Arial" w:cs="Arial"/>
          <w:b/>
          <w:bCs/>
          <w:color w:val="000000" w:themeColor="text1"/>
          <w:szCs w:val="21"/>
          <w:shd w:val="clear" w:color="auto" w:fill="FFFFFF"/>
          <w14:textFill>
            <w14:solidFill>
              <w14:schemeClr w14:val="tx1"/>
            </w14:solidFill>
          </w14:textFill>
        </w:rPr>
      </w:pPr>
      <w:r>
        <w:rPr>
          <w:rFonts w:ascii="Arial" w:hAnsi="Arial" w:cs="Arial"/>
          <w:b/>
          <w:bCs/>
          <w:color w:val="000000" w:themeColor="text1"/>
          <w:szCs w:val="21"/>
          <w:shd w:val="clear" w:color="auto" w:fill="FFFFFF"/>
          <w14:textFill>
            <w14:solidFill>
              <w14:schemeClr w14:val="tx1"/>
            </w14:solidFill>
          </w14:textFill>
        </w:rPr>
        <w:t>样本采集、转移和储存</w:t>
      </w:r>
    </w:p>
    <w:p w14:paraId="5938D501">
      <w:pPr>
        <w:snapToGrid w:val="0"/>
        <w:spacing w:before="156" w:beforeLines="50" w:line="300" w:lineRule="auto"/>
        <w:ind w:firstLine="405" w:firstLineChars="193"/>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如合适，讨论与器械测试样本的采集、转移和储存相关问题。</w:t>
      </w:r>
    </w:p>
    <w:p w14:paraId="44BA81C7">
      <w:pPr>
        <w:snapToGrid w:val="0"/>
        <w:spacing w:before="156" w:beforeLines="50" w:line="300" w:lineRule="auto"/>
        <w:rPr>
          <w:rFonts w:ascii="Arial" w:hAnsi="Arial" w:cs="Arial"/>
          <w:b/>
          <w:szCs w:val="21"/>
          <w:shd w:val="clear" w:color="auto" w:fill="FFFFFF"/>
        </w:rPr>
      </w:pPr>
      <w:r>
        <w:rPr>
          <w:rFonts w:hint="eastAsia" w:ascii="宋体" w:hAnsi="宋体" w:cs="宋体"/>
          <w:b/>
          <w:szCs w:val="21"/>
          <w:shd w:val="clear" w:color="auto" w:fill="FFFFFF"/>
        </w:rPr>
        <w:t>Ⅲ</w:t>
      </w:r>
      <w:r>
        <w:rPr>
          <w:rFonts w:ascii="Arial" w:hAnsi="Arial" w:cs="Arial"/>
          <w:b/>
          <w:szCs w:val="21"/>
          <w:shd w:val="clear" w:color="auto" w:fill="FFFFFF"/>
        </w:rPr>
        <w:t>.</w:t>
      </w:r>
      <w:r>
        <w:rPr>
          <w:rFonts w:ascii="Arial" w:hAnsi="Arial" w:cs="Arial"/>
          <w:b/>
          <w:szCs w:val="21"/>
          <w:shd w:val="clear" w:color="auto" w:fill="FFFFFF"/>
        </w:rPr>
        <w:tab/>
      </w:r>
      <w:r>
        <w:rPr>
          <w:rFonts w:ascii="Arial" w:hAnsi="Arial" w:cs="Arial"/>
          <w:b/>
          <w:szCs w:val="21"/>
          <w:shd w:val="clear" w:color="auto" w:fill="FFFFFF"/>
        </w:rPr>
        <w:t>具体性能特点</w:t>
      </w:r>
    </w:p>
    <w:p w14:paraId="55DC7A49">
      <w:pPr>
        <w:snapToGrid w:val="0"/>
        <w:spacing w:before="156" w:beforeLines="50" w:line="300" w:lineRule="auto"/>
        <w:rPr>
          <w:rFonts w:ascii="Arial" w:hAnsi="Arial" w:cs="Arial"/>
          <w:color w:val="000000" w:themeColor="text1"/>
          <w:szCs w:val="21"/>
          <w:shd w:val="clear" w:color="auto" w:fill="FFFFFF"/>
          <w14:textFill>
            <w14:solidFill>
              <w14:schemeClr w14:val="tx1"/>
            </w14:solidFill>
          </w14:textFill>
        </w:rPr>
      </w:pPr>
      <w:r>
        <w:rPr>
          <w:rFonts w:ascii="Arial" w:hAnsi="Arial" w:cs="Arial"/>
          <w:szCs w:val="21"/>
          <w:shd w:val="clear" w:color="auto" w:fill="FFFFFF"/>
        </w:rPr>
        <w:t>食品药品监督管理局（FDA）</w:t>
      </w:r>
      <w:r>
        <w:rPr>
          <w:rFonts w:ascii="Arial" w:hAnsi="Arial" w:cs="Arial"/>
          <w:color w:val="000000" w:themeColor="text1"/>
          <w:szCs w:val="21"/>
          <w:shd w:val="clear" w:color="auto" w:fill="FFFFFF"/>
          <w14:textFill>
            <w14:solidFill>
              <w14:schemeClr w14:val="tx1"/>
            </w14:solidFill>
          </w14:textFill>
        </w:rPr>
        <w:t>要求不同类型、大量的数据和统计分析来销售</w:t>
      </w:r>
      <w:r>
        <w:rPr>
          <w:rFonts w:ascii="Arial" w:hAnsi="Arial" w:cs="Arial"/>
          <w:color w:val="000000" w:themeColor="text1"/>
          <w:szCs w:val="21"/>
          <w:u w:val="single"/>
          <w:shd w:val="clear" w:color="auto" w:fill="FFFFFF"/>
          <w14:textFill>
            <w14:solidFill>
              <w14:schemeClr w14:val="tx1"/>
            </w14:solidFill>
          </w14:textFill>
        </w:rPr>
        <w:t>体外</w:t>
      </w:r>
      <w:r>
        <w:rPr>
          <w:rFonts w:ascii="Arial" w:hAnsi="Arial" w:cs="Arial"/>
          <w:color w:val="000000" w:themeColor="text1"/>
          <w:szCs w:val="21"/>
          <w:shd w:val="clear" w:color="auto" w:fill="FFFFFF"/>
          <w14:textFill>
            <w14:solidFill>
              <w14:schemeClr w14:val="tx1"/>
            </w14:solidFill>
          </w14:textFill>
        </w:rPr>
        <w:t>诊断器械。所要求的数据的数量和类型取决于新器械的预期用途和技术特点。数据和统计评价应当能够充分表明该器械对于所有声明的样本类型均具有安全性和有效性。必要的额外数据应提供以证实某些声明的预期用途或临床意义，以及用于确认新技术的使用。</w:t>
      </w:r>
    </w:p>
    <w:p w14:paraId="75B76550">
      <w:pPr>
        <w:snapToGrid w:val="0"/>
        <w:spacing w:before="156" w:beforeLines="50" w:line="300" w:lineRule="auto"/>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由于病毒IgM血清主要是用于取代分离方法并快速诊断急性感染，以此该器械应必须能够检测真正的疾病状态（感染）。应进行适当的临床研究揭示测试结果与疾病状态之间的关系（定性=疾病存在或消失，半定量=早期、急性、感染减弱）。</w:t>
      </w:r>
    </w:p>
    <w:p w14:paraId="3ED4A9B7">
      <w:pPr>
        <w:snapToGrid w:val="0"/>
        <w:spacing w:before="156" w:beforeLines="50" w:line="300" w:lineRule="auto"/>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清楚地记录所有体外试验的方案。提交测试数据的分析和结论。汇总结果并包括非预期结果和执行的任何额外测试的的解释。当合适时，图表（散点图，直方图，ROC曲线，等等）可能作为分析和总结的一部分。当每天每个测试中心的性能测试完成后，应提供原始实验数据与质量控制结果。</w:t>
      </w:r>
    </w:p>
    <w:p w14:paraId="186A8278">
      <w:pPr>
        <w:snapToGrid w:val="0"/>
        <w:spacing w:before="156" w:beforeLines="50" w:line="300" w:lineRule="auto"/>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br w:type="page"/>
      </w:r>
      <w:r>
        <w:rPr>
          <w:rFonts w:ascii="Arial" w:hAnsi="Arial" w:cs="Arial"/>
          <w:color w:val="000000" w:themeColor="text1"/>
          <w:szCs w:val="21"/>
          <w:shd w:val="clear" w:color="auto" w:fill="FFFFFF"/>
          <w14:textFill>
            <w14:solidFill>
              <w14:schemeClr w14:val="tx1"/>
            </w14:solidFill>
          </w14:textFill>
        </w:rPr>
        <w:t>需要提交下列数据来确定器械检测特异性病毒IgM抗体的能力：</w:t>
      </w:r>
    </w:p>
    <w:p w14:paraId="16D5F6CA">
      <w:pPr>
        <w:numPr>
          <w:ilvl w:val="0"/>
          <w:numId w:val="10"/>
        </w:numPr>
        <w:snapToGrid w:val="0"/>
        <w:spacing w:before="156" w:beforeLines="50" w:line="300" w:lineRule="auto"/>
        <w:ind w:left="0" w:firstLine="0"/>
        <w:rPr>
          <w:rFonts w:ascii="Arial" w:hAnsi="Arial" w:cs="Arial"/>
          <w:b/>
          <w:szCs w:val="21"/>
          <w:shd w:val="clear" w:color="auto" w:fill="FFFFFF"/>
        </w:rPr>
      </w:pPr>
      <w:r>
        <w:rPr>
          <w:rFonts w:ascii="Arial" w:hAnsi="Arial" w:cs="Arial"/>
          <w:b/>
          <w:szCs w:val="21"/>
          <w:shd w:val="clear" w:color="auto" w:fill="FFFFFF"/>
        </w:rPr>
        <w:t>分析实验室研究</w:t>
      </w:r>
    </w:p>
    <w:p w14:paraId="2D4DA685">
      <w:pPr>
        <w:numPr>
          <w:ilvl w:val="0"/>
          <w:numId w:val="11"/>
        </w:numPr>
        <w:snapToGrid w:val="0"/>
        <w:spacing w:before="156" w:beforeLines="50" w:line="300" w:lineRule="auto"/>
        <w:ind w:left="0" w:firstLine="0"/>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临界点和/或校准曲线的确认。</w:t>
      </w:r>
    </w:p>
    <w:p w14:paraId="09105061">
      <w:pPr>
        <w:snapToGrid w:val="0"/>
        <w:spacing w:before="156" w:beforeLines="50" w:line="300" w:lineRule="auto"/>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描述确定检测临界点的基本原理。提供描述信息和实验室数据，以证明检测的临界点（CO）（区分阳性和阴性）是如何确定的。每个疾病综合症样本的数量应具有统计学意义以表明器械预期用途和提出的临床应用。根据样本表征方式提交资料。</w:t>
      </w:r>
    </w:p>
    <w:p w14:paraId="0B22E114">
      <w:pPr>
        <w:snapToGrid w:val="0"/>
        <w:spacing w:before="156" w:beforeLines="50" w:line="300" w:lineRule="auto"/>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如果存在目标病毒的疫苗，疫苗接受者可以用于记录研究。如果血浆而非血清用于测试，这些样本应进行鉴别。</w:t>
      </w:r>
    </w:p>
    <w:p w14:paraId="2F73BC1C">
      <w:pPr>
        <w:numPr>
          <w:ilvl w:val="1"/>
          <w:numId w:val="5"/>
        </w:numPr>
        <w:snapToGrid w:val="0"/>
        <w:spacing w:before="156" w:beforeLines="50" w:line="300" w:lineRule="auto"/>
        <w:ind w:hanging="976"/>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定义使用的人口，包括以下信息：</w:t>
      </w:r>
    </w:p>
    <w:p w14:paraId="771E7D5D">
      <w:pPr>
        <w:numPr>
          <w:ilvl w:val="0"/>
          <w:numId w:val="12"/>
        </w:numPr>
        <w:snapToGrid w:val="0"/>
        <w:spacing w:before="156" w:beforeLines="50" w:line="300" w:lineRule="auto"/>
        <w:ind w:left="378" w:firstLine="42"/>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人口来源的地理区域；</w:t>
      </w:r>
    </w:p>
    <w:p w14:paraId="32A30648">
      <w:pPr>
        <w:numPr>
          <w:ilvl w:val="0"/>
          <w:numId w:val="12"/>
        </w:numPr>
        <w:snapToGrid w:val="0"/>
        <w:spacing w:before="156" w:beforeLines="50" w:line="300" w:lineRule="auto"/>
        <w:ind w:left="378" w:firstLine="42"/>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组成人群的样本数量，按照年龄和性别分组的几十年来的样本汇总。</w:t>
      </w:r>
    </w:p>
    <w:p w14:paraId="5808F1B5">
      <w:pPr>
        <w:numPr>
          <w:ilvl w:val="0"/>
          <w:numId w:val="12"/>
        </w:numPr>
        <w:snapToGrid w:val="0"/>
        <w:spacing w:before="156" w:beforeLines="50" w:line="300" w:lineRule="auto"/>
        <w:ind w:left="378" w:firstLine="42"/>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人口特征的表观图形（例如，直方图、散点图，等等）。</w:t>
      </w:r>
    </w:p>
    <w:p w14:paraId="4D34A74C">
      <w:pPr>
        <w:numPr>
          <w:ilvl w:val="1"/>
          <w:numId w:val="5"/>
        </w:numPr>
        <w:snapToGrid w:val="0"/>
        <w:spacing w:before="156" w:beforeLines="50" w:line="300" w:lineRule="auto"/>
        <w:ind w:hanging="976"/>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定义用于确定临界点的统计方法。</w:t>
      </w:r>
    </w:p>
    <w:p w14:paraId="6C81783F">
      <w:pPr>
        <w:numPr>
          <w:ilvl w:val="1"/>
          <w:numId w:val="5"/>
        </w:numPr>
        <w:snapToGrid w:val="0"/>
        <w:spacing w:before="156" w:beforeLines="50" w:line="300" w:lineRule="auto"/>
        <w:ind w:hanging="976"/>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提供临界点选择的ROC分析和其他适当的图形表示。</w:t>
      </w:r>
    </w:p>
    <w:p w14:paraId="377E6FE1">
      <w:pPr>
        <w:numPr>
          <w:ilvl w:val="1"/>
          <w:numId w:val="5"/>
        </w:numPr>
        <w:snapToGrid w:val="0"/>
        <w:spacing w:before="156" w:beforeLines="50" w:line="300" w:lineRule="auto"/>
        <w:ind w:hanging="976"/>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定义不确定的区域的基础。</w:t>
      </w:r>
    </w:p>
    <w:p w14:paraId="38F42374">
      <w:pPr>
        <w:numPr>
          <w:ilvl w:val="1"/>
          <w:numId w:val="5"/>
        </w:numPr>
        <w:snapToGrid w:val="0"/>
        <w:spacing w:before="156" w:beforeLines="50" w:line="300" w:lineRule="auto"/>
        <w:ind w:left="420" w:hanging="406"/>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如果是半定量，进行适当的临床研究，以证明对于已建立的值范围的结果与感染的阶段（例如，早期、急性、减弱感染）之间的关系。对于感染，应提供最少10个患者的研究结果。</w:t>
      </w:r>
    </w:p>
    <w:p w14:paraId="1A0A2771">
      <w:pPr>
        <w:numPr>
          <w:ilvl w:val="1"/>
          <w:numId w:val="5"/>
        </w:numPr>
        <w:snapToGrid w:val="0"/>
        <w:spacing w:before="156" w:beforeLines="50" w:line="300" w:lineRule="auto"/>
        <w:ind w:left="420" w:hanging="406"/>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用于确定内插值（例如，ELISA）的器械，通过连续稀释患者样本来验证所适应校准曲线的准确度和工作范围。</w:t>
      </w:r>
    </w:p>
    <w:p w14:paraId="4A282B26">
      <w:pPr>
        <w:numPr>
          <w:ilvl w:val="0"/>
          <w:numId w:val="11"/>
        </w:numPr>
        <w:snapToGrid w:val="0"/>
        <w:spacing w:before="156" w:beforeLines="50" w:line="300" w:lineRule="auto"/>
        <w:ind w:left="0" w:firstLine="0"/>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采用确定的临界点（CO）建立在正常人群（无临床症状的健康人群）中分析物的患病率。</w:t>
      </w:r>
    </w:p>
    <w:p w14:paraId="12F21D01">
      <w:pPr>
        <w:numPr>
          <w:ilvl w:val="1"/>
          <w:numId w:val="12"/>
        </w:numPr>
        <w:snapToGrid w:val="0"/>
        <w:spacing w:before="156" w:beforeLines="50" w:line="300" w:lineRule="auto"/>
        <w:ind w:left="770" w:hanging="336"/>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br w:type="page"/>
      </w:r>
      <w:r>
        <w:rPr>
          <w:rFonts w:ascii="Arial" w:hAnsi="Arial" w:cs="Arial"/>
          <w:color w:val="000000" w:themeColor="text1"/>
          <w:szCs w:val="21"/>
          <w:shd w:val="clear" w:color="auto" w:fill="FFFFFF"/>
          <w14:textFill>
            <w14:solidFill>
              <w14:schemeClr w14:val="tx1"/>
            </w14:solidFill>
          </w14:textFill>
        </w:rPr>
        <w:t>检测有统计学意义的样本数量，这些样本应能代表器械的预期用途、临床有效性和样本基质。</w:t>
      </w:r>
    </w:p>
    <w:p w14:paraId="6BAF36EB">
      <w:pPr>
        <w:numPr>
          <w:ilvl w:val="1"/>
          <w:numId w:val="12"/>
        </w:numPr>
        <w:snapToGrid w:val="0"/>
        <w:spacing w:before="156" w:beforeLines="50" w:line="300" w:lineRule="auto"/>
        <w:ind w:left="770" w:hanging="336"/>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提供新器械和已有器械的结果或来源于已发表的具有同样方法的器械对一般人群所进行研究结果。</w:t>
      </w:r>
    </w:p>
    <w:p w14:paraId="1E046B13">
      <w:pPr>
        <w:numPr>
          <w:ilvl w:val="1"/>
          <w:numId w:val="12"/>
        </w:numPr>
        <w:snapToGrid w:val="0"/>
        <w:spacing w:before="156" w:beforeLines="50" w:line="300" w:lineRule="auto"/>
        <w:ind w:left="770" w:hanging="336"/>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根据年龄组对几十年来男性和女性的分布、地理区域、所收集样本的年月和阳性、阴性及不确定的结果进行总结。</w:t>
      </w:r>
    </w:p>
    <w:p w14:paraId="0FF06211">
      <w:pPr>
        <w:numPr>
          <w:ilvl w:val="0"/>
          <w:numId w:val="11"/>
        </w:numPr>
        <w:snapToGrid w:val="0"/>
        <w:spacing w:before="156" w:beforeLines="50" w:line="300" w:lineRule="auto"/>
        <w:ind w:left="0" w:firstLine="0"/>
        <w:rPr>
          <w:rFonts w:ascii="Arial" w:hAnsi="Arial" w:cs="Arial"/>
          <w:szCs w:val="21"/>
          <w:shd w:val="clear" w:color="auto" w:fill="FFFFFF"/>
        </w:rPr>
      </w:pPr>
      <w:r>
        <w:rPr>
          <w:rFonts w:ascii="Arial" w:hAnsi="Arial" w:cs="Arial"/>
          <w:szCs w:val="21"/>
          <w:shd w:val="clear" w:color="auto" w:fill="FFFFFF"/>
        </w:rPr>
        <w:t>检测特异性确认</w:t>
      </w:r>
    </w:p>
    <w:p w14:paraId="19DA5A9E">
      <w:pPr>
        <w:numPr>
          <w:ilvl w:val="2"/>
          <w:numId w:val="13"/>
        </w:numPr>
        <w:snapToGrid w:val="0"/>
        <w:spacing w:before="156" w:beforeLines="50" w:line="300" w:lineRule="auto"/>
        <w:ind w:left="798" w:hanging="364"/>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对含有相对较高水平的同类其他病毒</w:t>
      </w:r>
      <w:bookmarkStart w:id="7" w:name="OLE_LINK5"/>
      <w:r>
        <w:rPr>
          <w:rFonts w:ascii="Arial" w:hAnsi="Arial" w:cs="Arial"/>
          <w:color w:val="000000" w:themeColor="text1"/>
          <w:szCs w:val="21"/>
          <w:shd w:val="clear" w:color="auto" w:fill="FFFFFF"/>
          <w14:textFill>
            <w14:solidFill>
              <w14:schemeClr w14:val="tx1"/>
            </w14:solidFill>
          </w14:textFill>
        </w:rPr>
        <w:t>IgM抗体</w:t>
      </w:r>
      <w:bookmarkEnd w:id="7"/>
      <w:r>
        <w:rPr>
          <w:rFonts w:ascii="Arial" w:hAnsi="Arial" w:cs="Arial"/>
          <w:color w:val="000000" w:themeColor="text1"/>
          <w:szCs w:val="21"/>
          <w:shd w:val="clear" w:color="auto" w:fill="FFFFFF"/>
          <w14:textFill>
            <w14:solidFill>
              <w14:schemeClr w14:val="tx1"/>
            </w14:solidFill>
          </w14:textFill>
        </w:rPr>
        <w:t>血清和含有已知的能导致人体感染（除了猴B病毒）、流行性感冒和副粘病毒的疱疹病毒IgM抗体血清进行交叉反应研究。提供测定的水平（如滴度），说明用于测定病毒特异性IgM抗体数量的方法（如合法上市器械）。</w:t>
      </w:r>
    </w:p>
    <w:p w14:paraId="11BF0880">
      <w:pPr>
        <w:numPr>
          <w:ilvl w:val="2"/>
          <w:numId w:val="13"/>
        </w:numPr>
        <w:snapToGrid w:val="0"/>
        <w:spacing w:before="156" w:beforeLines="50" w:line="300" w:lineRule="auto"/>
        <w:ind w:left="798" w:hanging="364"/>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如果该器械中使用的抗原是一个重组体，</w:t>
      </w:r>
      <w:bookmarkStart w:id="8" w:name="OLE_LINK6"/>
      <w:r>
        <w:rPr>
          <w:rFonts w:ascii="Arial" w:hAnsi="Arial" w:cs="Arial"/>
          <w:color w:val="000000" w:themeColor="text1"/>
          <w:szCs w:val="21"/>
          <w:shd w:val="clear" w:color="auto" w:fill="FFFFFF"/>
          <w14:textFill>
            <w14:solidFill>
              <w14:schemeClr w14:val="tx1"/>
            </w14:solidFill>
          </w14:textFill>
        </w:rPr>
        <w:t>测试血清中含有生物抗体的载体被诱导。</w:t>
      </w:r>
      <w:bookmarkEnd w:id="8"/>
    </w:p>
    <w:p w14:paraId="77C23DE2">
      <w:pPr>
        <w:numPr>
          <w:ilvl w:val="2"/>
          <w:numId w:val="13"/>
        </w:numPr>
        <w:snapToGrid w:val="0"/>
        <w:spacing w:before="156" w:beforeLines="50" w:line="300" w:lineRule="auto"/>
        <w:ind w:left="798" w:hanging="364"/>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如果器械中所使用的抗血清是利用重组体作为免疫原产生的，测试血清中含有生物抗体的载体被诱导。</w:t>
      </w:r>
    </w:p>
    <w:p w14:paraId="643BF032">
      <w:pPr>
        <w:numPr>
          <w:ilvl w:val="0"/>
          <w:numId w:val="11"/>
        </w:numPr>
        <w:snapToGrid w:val="0"/>
        <w:spacing w:before="156" w:beforeLines="50" w:line="300" w:lineRule="auto"/>
        <w:ind w:left="0" w:firstLine="0"/>
        <w:rPr>
          <w:rFonts w:ascii="Arial" w:hAnsi="Arial" w:cs="Arial"/>
          <w:szCs w:val="21"/>
          <w:shd w:val="clear" w:color="auto" w:fill="FFFFFF"/>
        </w:rPr>
      </w:pPr>
      <w:r>
        <w:rPr>
          <w:rFonts w:ascii="Arial" w:hAnsi="Arial" w:cs="Arial"/>
          <w:szCs w:val="21"/>
          <w:shd w:val="clear" w:color="auto" w:fill="FFFFFF"/>
        </w:rPr>
        <w:t>干扰研究。</w:t>
      </w:r>
    </w:p>
    <w:p w14:paraId="089157C1">
      <w:pPr>
        <w:snapToGrid w:val="0"/>
        <w:spacing w:before="156" w:beforeLines="50" w:line="300" w:lineRule="auto"/>
        <w:ind w:left="432" w:leftChars="205" w:hanging="2" w:hangingChars="1"/>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任何潜在的交叉反应或在特定样品类型中可能遇到的干扰物质或条件，应当采用检验系统进行测试，例如，存储条件、溶血、脂血、冻融，等等。</w:t>
      </w:r>
    </w:p>
    <w:p w14:paraId="16E6CD41">
      <w:pPr>
        <w:numPr>
          <w:ilvl w:val="1"/>
          <w:numId w:val="14"/>
        </w:numPr>
        <w:snapToGrid w:val="0"/>
        <w:spacing w:before="156" w:beforeLines="50" w:line="300" w:lineRule="auto"/>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验证推荐的存储条件是否与检测兼容。声明基于试样贮存稳定性研究的最佳条件。由于储藏条件导致可能的假阳性和假阴性均应进行评价。标本被冻结和解冻一次或多次不影响分析物的定性或半定量检测吗?</w:t>
      </w:r>
    </w:p>
    <w:p w14:paraId="784363AD">
      <w:pPr>
        <w:numPr>
          <w:ilvl w:val="1"/>
          <w:numId w:val="14"/>
        </w:numPr>
        <w:snapToGrid w:val="0"/>
        <w:spacing w:before="156" w:beforeLines="50" w:line="300" w:lineRule="auto"/>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如果声称使用血浆，必须使用每种抗凝剂进行研究，以显示抗凝剂不会干扰检测。</w:t>
      </w:r>
    </w:p>
    <w:p w14:paraId="0C6CC3C1">
      <w:pPr>
        <w:snapToGrid w:val="0"/>
        <w:spacing w:before="156" w:beforeLines="50" w:line="300" w:lineRule="auto"/>
        <w:ind w:left="798" w:firstLine="25" w:firstLineChars="12"/>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（1）对于每种抗凝剂，同时测试10个活性接近临界点（CO）的合并血清和血浆标本。这些样本可能是通过人工合成的，只要保留基质并在提交资料中注明样品通过人工制造。</w:t>
      </w:r>
    </w:p>
    <w:p w14:paraId="1AB18C8C">
      <w:pPr>
        <w:snapToGrid w:val="0"/>
        <w:spacing w:before="156" w:beforeLines="50" w:line="300" w:lineRule="auto"/>
        <w:ind w:firstLine="825" w:firstLineChars="393"/>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br w:type="page"/>
      </w:r>
      <w:r>
        <w:rPr>
          <w:rFonts w:ascii="Arial" w:hAnsi="Arial" w:cs="Arial"/>
          <w:color w:val="000000" w:themeColor="text1"/>
          <w:szCs w:val="21"/>
          <w:shd w:val="clear" w:color="auto" w:fill="FFFFFF"/>
          <w14:textFill>
            <w14:solidFill>
              <w14:schemeClr w14:val="tx1"/>
            </w14:solidFill>
          </w14:textFill>
        </w:rPr>
        <w:t>（2）对于每种抗凝剂，同时测试10个合并</w:t>
      </w:r>
      <w:bookmarkStart w:id="9" w:name="OLE_LINK19"/>
      <w:r>
        <w:rPr>
          <w:rFonts w:ascii="Arial" w:hAnsi="Arial" w:cs="Arial"/>
          <w:color w:val="000000" w:themeColor="text1"/>
          <w:szCs w:val="21"/>
          <w:shd w:val="clear" w:color="auto" w:fill="FFFFFF"/>
          <w14:textFill>
            <w14:solidFill>
              <w14:schemeClr w14:val="tx1"/>
            </w14:solidFill>
          </w14:textFill>
        </w:rPr>
        <w:t>非反应性</w:t>
      </w:r>
      <w:bookmarkEnd w:id="9"/>
      <w:r>
        <w:rPr>
          <w:rFonts w:ascii="Arial" w:hAnsi="Arial" w:cs="Arial"/>
          <w:color w:val="000000" w:themeColor="text1"/>
          <w:szCs w:val="21"/>
          <w:shd w:val="clear" w:color="auto" w:fill="FFFFFF"/>
          <w14:textFill>
            <w14:solidFill>
              <w14:schemeClr w14:val="tx1"/>
            </w14:solidFill>
          </w14:textFill>
        </w:rPr>
        <w:t>血清和血浆样本。</w:t>
      </w:r>
    </w:p>
    <w:p w14:paraId="61200441">
      <w:pPr>
        <w:numPr>
          <w:ilvl w:val="1"/>
          <w:numId w:val="14"/>
        </w:numPr>
        <w:snapToGrid w:val="0"/>
        <w:spacing w:before="156" w:beforeLines="50" w:line="300" w:lineRule="auto"/>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如果声明加热样本不会干扰检测：</w:t>
      </w:r>
    </w:p>
    <w:p w14:paraId="79D2A8B2">
      <w:pPr>
        <w:snapToGrid w:val="0"/>
        <w:spacing w:before="156" w:beforeLines="50" w:line="300" w:lineRule="auto"/>
        <w:ind w:left="951" w:leftChars="393" w:hanging="126" w:hangingChars="60"/>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（1）对于每种基质类型、加热和不加热的，测试10个反应活性接近临界点（CO）的样本。这些样本可能是通过人工合成的，只要保留基质并在提交资料中注明样品是通过人工制造的。</w:t>
      </w:r>
    </w:p>
    <w:p w14:paraId="65096AED">
      <w:pPr>
        <w:snapToGrid w:val="0"/>
        <w:spacing w:before="156" w:beforeLines="50" w:line="300" w:lineRule="auto"/>
        <w:ind w:firstLine="825" w:firstLineChars="393"/>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（2）对于每种基质类型、加热和不加热的，测试10个</w:t>
      </w:r>
      <w:bookmarkStart w:id="10" w:name="OLE_LINK21"/>
      <w:r>
        <w:rPr>
          <w:rFonts w:ascii="Arial" w:hAnsi="Arial" w:cs="Arial"/>
          <w:color w:val="000000" w:themeColor="text1"/>
          <w:szCs w:val="21"/>
          <w:shd w:val="clear" w:color="auto" w:fill="FFFFFF"/>
          <w14:textFill>
            <w14:solidFill>
              <w14:schemeClr w14:val="tx1"/>
            </w14:solidFill>
          </w14:textFill>
        </w:rPr>
        <w:t>非反应性</w:t>
      </w:r>
      <w:bookmarkEnd w:id="10"/>
      <w:r>
        <w:rPr>
          <w:rFonts w:ascii="Arial" w:hAnsi="Arial" w:cs="Arial"/>
          <w:color w:val="000000" w:themeColor="text1"/>
          <w:szCs w:val="21"/>
          <w:shd w:val="clear" w:color="auto" w:fill="FFFFFF"/>
          <w14:textFill>
            <w14:solidFill>
              <w14:schemeClr w14:val="tx1"/>
            </w14:solidFill>
          </w14:textFill>
        </w:rPr>
        <w:t>样本。</w:t>
      </w:r>
    </w:p>
    <w:p w14:paraId="1913EFE3">
      <w:pPr>
        <w:numPr>
          <w:ilvl w:val="1"/>
          <w:numId w:val="14"/>
        </w:numPr>
        <w:snapToGrid w:val="0"/>
        <w:spacing w:before="156" w:beforeLines="50" w:line="300" w:lineRule="auto"/>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确定类风湿因子（RF）、抗核抗体（ANA）、</w:t>
      </w:r>
      <w:bookmarkStart w:id="11" w:name="OLE_LINK7"/>
      <w:r>
        <w:rPr>
          <w:rFonts w:ascii="Arial" w:hAnsi="Arial" w:cs="Arial"/>
          <w:color w:val="000000" w:themeColor="text1"/>
          <w:szCs w:val="21"/>
          <w:shd w:val="clear" w:color="auto" w:fill="FFFFFF"/>
          <w14:textFill>
            <w14:solidFill>
              <w14:schemeClr w14:val="tx1"/>
            </w14:solidFill>
          </w14:textFill>
        </w:rPr>
        <w:t>特异性病毒免疫球蛋白和异嗜性抗体</w:t>
      </w:r>
      <w:bookmarkEnd w:id="11"/>
      <w:r>
        <w:rPr>
          <w:rFonts w:ascii="Arial" w:hAnsi="Arial" w:cs="Arial"/>
          <w:color w:val="000000" w:themeColor="text1"/>
          <w:szCs w:val="21"/>
          <w:shd w:val="clear" w:color="auto" w:fill="FFFFFF"/>
          <w14:textFill>
            <w14:solidFill>
              <w14:schemeClr w14:val="tx1"/>
            </w14:solidFill>
          </w14:textFill>
        </w:rPr>
        <w:t>等缺乏干扰/交叉反应。推荐进行如下测试：</w:t>
      </w:r>
    </w:p>
    <w:p w14:paraId="765F0B70">
      <w:pPr>
        <w:numPr>
          <w:ilvl w:val="2"/>
          <w:numId w:val="14"/>
        </w:numPr>
        <w:snapToGrid w:val="0"/>
        <w:spacing w:before="156" w:beforeLines="50" w:line="300" w:lineRule="auto"/>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如采用吸收剂消除RF、ANA、或特异性病毒免疫球蛋白，文件应证明总的免疫球蛋白消除量（以mg/dL或mg/样品量的形式）。在说明书中限度部分中说明该数值。</w:t>
      </w:r>
    </w:p>
    <w:p w14:paraId="3BD7DF74">
      <w:pPr>
        <w:numPr>
          <w:ilvl w:val="2"/>
          <w:numId w:val="14"/>
        </w:numPr>
        <w:snapToGrid w:val="0"/>
        <w:spacing w:before="156" w:beforeLines="50" w:line="300" w:lineRule="auto"/>
        <w:rPr>
          <w:rFonts w:ascii="Arial" w:hAnsi="Arial" w:cs="Arial"/>
          <w:color w:val="000000" w:themeColor="text1"/>
          <w:szCs w:val="21"/>
          <w:shd w:val="clear" w:color="auto" w:fill="FFFFFF"/>
          <w14:textFill>
            <w14:solidFill>
              <w14:schemeClr w14:val="tx1"/>
            </w14:solidFill>
          </w14:textFill>
        </w:rPr>
      </w:pPr>
      <w:bookmarkStart w:id="12" w:name="OLE_LINK8"/>
      <w:r>
        <w:rPr>
          <w:rFonts w:ascii="Arial" w:hAnsi="Arial" w:cs="Arial"/>
          <w:color w:val="000000" w:themeColor="text1"/>
          <w:szCs w:val="21"/>
          <w:shd w:val="clear" w:color="auto" w:fill="FFFFFF"/>
          <w14:textFill>
            <w14:solidFill>
              <w14:schemeClr w14:val="tx1"/>
            </w14:solidFill>
          </w14:textFill>
        </w:rPr>
        <w:t>分析所要求的所有基质中的五个样本</w:t>
      </w:r>
      <w:bookmarkEnd w:id="12"/>
      <w:r>
        <w:rPr>
          <w:rFonts w:ascii="Arial" w:hAnsi="Arial" w:cs="Arial"/>
          <w:color w:val="000000" w:themeColor="text1"/>
          <w:szCs w:val="21"/>
          <w:shd w:val="clear" w:color="auto" w:fill="FFFFFF"/>
          <w14:textFill>
            <w14:solidFill>
              <w14:schemeClr w14:val="tx1"/>
            </w14:solidFill>
          </w14:textFill>
        </w:rPr>
        <w:t>，包含CO值或接近CO值处病毒特异性IgM中不同程度的病毒特异性免疫球蛋白（</w:t>
      </w:r>
      <w:bookmarkStart w:id="13" w:name="OLE_LINK20"/>
      <w:r>
        <w:rPr>
          <w:rFonts w:ascii="Arial" w:hAnsi="Arial" w:cs="Arial"/>
          <w:color w:val="000000" w:themeColor="text1"/>
          <w:szCs w:val="21"/>
          <w:shd w:val="clear" w:color="auto" w:fill="FFFFFF"/>
          <w14:textFill>
            <w14:solidFill>
              <w14:schemeClr w14:val="tx1"/>
            </w14:solidFill>
          </w14:textFill>
        </w:rPr>
        <w:t>这些样本可能是人造的</w:t>
      </w:r>
      <w:bookmarkEnd w:id="13"/>
      <w:r>
        <w:rPr>
          <w:rFonts w:ascii="Arial" w:hAnsi="Arial" w:cs="Arial"/>
          <w:color w:val="000000" w:themeColor="text1"/>
          <w:szCs w:val="21"/>
          <w:shd w:val="clear" w:color="auto" w:fill="FFFFFF"/>
          <w14:textFill>
            <w14:solidFill>
              <w14:schemeClr w14:val="tx1"/>
            </w14:solidFill>
          </w14:textFill>
        </w:rPr>
        <w:t>）。测试这些样品之前和之后去除总免疫球蛋白。提供该两项研究资料。</w:t>
      </w:r>
    </w:p>
    <w:p w14:paraId="1216FFFF">
      <w:pPr>
        <w:numPr>
          <w:ilvl w:val="2"/>
          <w:numId w:val="14"/>
        </w:numPr>
        <w:snapToGrid w:val="0"/>
        <w:spacing w:before="156" w:beforeLines="50" w:line="300" w:lineRule="auto"/>
        <w:rPr>
          <w:rFonts w:ascii="Arial" w:hAnsi="Arial" w:cs="Arial"/>
          <w:color w:val="000000" w:themeColor="text1"/>
          <w:szCs w:val="21"/>
          <w:shd w:val="clear" w:color="auto" w:fill="FFFFFF"/>
          <w14:textFill>
            <w14:solidFill>
              <w14:schemeClr w14:val="tx1"/>
            </w14:solidFill>
          </w14:textFill>
        </w:rPr>
      </w:pPr>
      <w:r>
        <w:rPr>
          <w:rFonts w:ascii="Arial" w:hAnsi="Arial" w:cs="Arial"/>
          <w:szCs w:val="21"/>
          <w:shd w:val="clear" w:color="auto" w:fill="FFFFFF"/>
        </w:rPr>
        <w:t>分析</w:t>
      </w:r>
      <w:r>
        <w:rPr>
          <w:rFonts w:ascii="Arial" w:hAnsi="Arial" w:cs="Arial"/>
          <w:color w:val="000000" w:themeColor="text1"/>
          <w:szCs w:val="21"/>
          <w:shd w:val="clear" w:color="auto" w:fill="FFFFFF"/>
          <w14:textFill>
            <w14:solidFill>
              <w14:schemeClr w14:val="tx1"/>
            </w14:solidFill>
          </w14:textFill>
        </w:rPr>
        <w:t>所要求的所有基质中的五个样本及不含特异性病毒免疫球蛋白的高水平RF和ANA的样本，</w:t>
      </w:r>
      <w:bookmarkStart w:id="14" w:name="OLE_LINK9"/>
      <w:r>
        <w:rPr>
          <w:rFonts w:ascii="Arial" w:hAnsi="Arial" w:cs="Arial"/>
          <w:color w:val="000000" w:themeColor="text1"/>
          <w:szCs w:val="21"/>
          <w:shd w:val="clear" w:color="auto" w:fill="FFFFFF"/>
          <w14:textFill>
            <w14:solidFill>
              <w14:schemeClr w14:val="tx1"/>
            </w14:solidFill>
          </w14:textFill>
        </w:rPr>
        <w:t>表明</w:t>
      </w:r>
      <w:bookmarkEnd w:id="14"/>
      <w:r>
        <w:rPr>
          <w:rFonts w:ascii="Arial" w:hAnsi="Arial" w:cs="Arial"/>
          <w:color w:val="000000" w:themeColor="text1"/>
          <w:szCs w:val="21"/>
          <w:shd w:val="clear" w:color="auto" w:fill="FFFFFF"/>
          <w14:textFill>
            <w14:solidFill>
              <w14:schemeClr w14:val="tx1"/>
            </w14:solidFill>
          </w14:textFill>
        </w:rPr>
        <w:t>无干扰或确定干扰量。</w:t>
      </w:r>
    </w:p>
    <w:p w14:paraId="76AD200F">
      <w:pPr>
        <w:numPr>
          <w:ilvl w:val="2"/>
          <w:numId w:val="14"/>
        </w:numPr>
        <w:snapToGrid w:val="0"/>
        <w:spacing w:before="156" w:beforeLines="50" w:line="300" w:lineRule="auto"/>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提供测试的水平并说明用于测定特异性病毒免疫球蛋白、RF和ANA量的方法，该方法应该是采用合法上市的器械。</w:t>
      </w:r>
    </w:p>
    <w:p w14:paraId="02202E5F">
      <w:pPr>
        <w:numPr>
          <w:ilvl w:val="2"/>
          <w:numId w:val="14"/>
        </w:numPr>
        <w:snapToGrid w:val="0"/>
        <w:spacing w:before="156" w:beforeLines="50" w:line="300" w:lineRule="auto"/>
        <w:rPr>
          <w:rFonts w:ascii="Arial" w:hAnsi="Arial" w:cs="Arial"/>
          <w:szCs w:val="21"/>
          <w:shd w:val="clear" w:color="auto" w:fill="FFFFFF"/>
        </w:rPr>
      </w:pPr>
      <w:r>
        <w:rPr>
          <w:rFonts w:ascii="Arial" w:hAnsi="Arial" w:cs="Arial"/>
          <w:color w:val="000000" w:themeColor="text1"/>
          <w:szCs w:val="21"/>
          <w:shd w:val="clear" w:color="auto" w:fill="FFFFFF"/>
          <w14:textFill>
            <w14:solidFill>
              <w14:schemeClr w14:val="tx1"/>
            </w14:solidFill>
          </w14:textFill>
        </w:rPr>
        <w:t>证明IgM类抗体的检测是通过分析至少10个含有特异性病毒IgM抗体血清。破坏IgM抗体（例如2巯基乙醇或</w:t>
      </w:r>
      <w:r>
        <w:rPr>
          <w:rFonts w:ascii="Arial" w:hAnsi="Arial" w:cs="Arial"/>
          <w:szCs w:val="21"/>
          <w:shd w:val="clear" w:color="auto" w:fill="FFFFFF"/>
        </w:rPr>
        <w:t>二硫苏糖醇（克莱兰德试剂）），然后重新测试，表明样本具有非反应性。</w:t>
      </w:r>
    </w:p>
    <w:p w14:paraId="4C891D4D">
      <w:pPr>
        <w:numPr>
          <w:ilvl w:val="0"/>
          <w:numId w:val="11"/>
        </w:numPr>
        <w:snapToGrid w:val="0"/>
        <w:spacing w:before="156" w:beforeLines="50" w:line="300" w:lineRule="auto"/>
        <w:ind w:left="405" w:hanging="405" w:hangingChars="193"/>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如果</w:t>
      </w:r>
      <w:r>
        <w:rPr>
          <w:rFonts w:ascii="Arial" w:hAnsi="Arial" w:cs="Arial"/>
          <w:szCs w:val="21"/>
          <w:shd w:val="clear" w:color="auto" w:fill="FFFFFF"/>
        </w:rPr>
        <w:t>需要</w:t>
      </w:r>
      <w:r>
        <w:rPr>
          <w:rFonts w:ascii="Arial" w:hAnsi="Arial" w:cs="Arial"/>
          <w:color w:val="000000" w:themeColor="text1"/>
          <w:szCs w:val="21"/>
          <w:shd w:val="clear" w:color="auto" w:fill="FFFFFF"/>
          <w14:textFill>
            <w14:solidFill>
              <w14:schemeClr w14:val="tx1"/>
            </w14:solidFill>
          </w14:textFill>
        </w:rPr>
        <w:t>进行半定量，必须在要求的范围内证明器械的线性。对于每个要求的基质，试验应采用至少5个患者样本，3-5个对照样本，每个样本在适当的基质中各稀释2份，每个样本测试3次[5个患者样本+5个对照样本x2次单独稀释x3次测定)。对数据进行回归系数分析数据并提供截距、斜率和r</w:t>
      </w:r>
      <w:r>
        <w:rPr>
          <w:rFonts w:ascii="Arial" w:hAnsi="Arial" w:cs="Arial"/>
          <w:color w:val="000000" w:themeColor="text1"/>
          <w:szCs w:val="21"/>
          <w:shd w:val="clear" w:color="auto" w:fill="FFFFFF"/>
          <w:vertAlign w:val="superscript"/>
          <w14:textFill>
            <w14:solidFill>
              <w14:schemeClr w14:val="tx1"/>
            </w14:solidFill>
          </w14:textFill>
        </w:rPr>
        <w:t>2</w:t>
      </w:r>
      <w:r>
        <w:rPr>
          <w:rFonts w:ascii="Arial" w:hAnsi="Arial" w:cs="Arial"/>
          <w:color w:val="000000" w:themeColor="text1"/>
          <w:szCs w:val="21"/>
          <w:shd w:val="clear" w:color="auto" w:fill="FFFFFF"/>
          <w14:textFill>
            <w14:solidFill>
              <w14:schemeClr w14:val="tx1"/>
            </w14:solidFill>
          </w14:textFill>
        </w:rPr>
        <w:t>值。</w:t>
      </w:r>
    </w:p>
    <w:p w14:paraId="4B9DA0EB">
      <w:pPr>
        <w:snapToGrid w:val="0"/>
        <w:spacing w:before="156" w:beforeLines="50" w:line="300" w:lineRule="auto"/>
        <w:ind w:firstLine="405" w:firstLineChars="193"/>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在说明书性能特性项提供均值95%置信区间散点图。</w:t>
      </w:r>
    </w:p>
    <w:p w14:paraId="79A946D4">
      <w:pPr>
        <w:numPr>
          <w:ilvl w:val="0"/>
          <w:numId w:val="11"/>
        </w:numPr>
        <w:snapToGrid w:val="0"/>
        <w:spacing w:before="156" w:beforeLines="50" w:line="300" w:lineRule="auto"/>
        <w:ind w:left="0" w:firstLine="0"/>
        <w:rPr>
          <w:rFonts w:ascii="Arial" w:hAnsi="Arial" w:cs="Arial"/>
          <w:color w:val="000000" w:themeColor="text1"/>
          <w:szCs w:val="21"/>
          <w:shd w:val="clear" w:color="auto" w:fill="FFFFFF"/>
          <w14:textFill>
            <w14:solidFill>
              <w14:schemeClr w14:val="tx1"/>
            </w14:solidFill>
          </w14:textFill>
        </w:rPr>
      </w:pPr>
      <w:r>
        <w:rPr>
          <w:rFonts w:ascii="Arial" w:hAnsi="Arial" w:cs="Arial"/>
          <w:szCs w:val="21"/>
          <w:shd w:val="clear" w:color="auto" w:fill="FFFFFF"/>
        </w:rPr>
        <w:br w:type="page"/>
      </w:r>
      <w:r>
        <w:rPr>
          <w:rFonts w:ascii="Arial" w:hAnsi="Arial" w:cs="Arial"/>
          <w:szCs w:val="21"/>
          <w:shd w:val="clear" w:color="auto" w:fill="FFFFFF"/>
        </w:rPr>
        <w:t>重现</w:t>
      </w:r>
      <w:r>
        <w:rPr>
          <w:rFonts w:ascii="Arial" w:hAnsi="Arial" w:cs="Arial"/>
          <w:color w:val="000000" w:themeColor="text1"/>
          <w:szCs w:val="21"/>
          <w:shd w:val="clear" w:color="auto" w:fill="FFFFFF"/>
          <w14:textFill>
            <w14:solidFill>
              <w14:schemeClr w14:val="tx1"/>
            </w14:solidFill>
          </w14:textFill>
        </w:rPr>
        <w:t>性</w:t>
      </w:r>
    </w:p>
    <w:p w14:paraId="788757AF">
      <w:pPr>
        <w:snapToGrid w:val="0"/>
        <w:spacing w:before="156" w:beforeLines="50" w:line="300" w:lineRule="auto"/>
        <w:ind w:left="374" w:leftChars="177" w:hanging="2" w:hangingChars="1"/>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美国国家临床实验室标准委员会（NCCLS）建议方法分析实验，其可以估计批内和总标准偏差（SD）。</w:t>
      </w:r>
      <w:r>
        <w:rPr>
          <w:rFonts w:ascii="Arial" w:hAnsi="Arial" w:cs="Arial"/>
          <w:color w:val="000000" w:themeColor="text1"/>
          <w:szCs w:val="21"/>
          <w:shd w:val="clear" w:color="auto" w:fill="FFFFFF"/>
          <w:vertAlign w:val="superscript"/>
          <w14:textFill>
            <w14:solidFill>
              <w14:schemeClr w14:val="tx1"/>
            </w14:solidFill>
          </w14:textFill>
        </w:rPr>
        <w:t>2</w:t>
      </w:r>
      <w:r>
        <w:rPr>
          <w:rFonts w:ascii="Arial" w:hAnsi="Arial" w:cs="Arial"/>
          <w:color w:val="000000" w:themeColor="text1"/>
          <w:szCs w:val="21"/>
          <w:shd w:val="clear" w:color="auto" w:fill="FFFFFF"/>
          <w14:textFill>
            <w14:solidFill>
              <w14:schemeClr w14:val="tx1"/>
            </w14:solidFill>
          </w14:textFill>
        </w:rPr>
        <w:t>参见美国国家临床实验室标准委员会（NCCLS）指南中的推荐数据收集格式和计算。单独计算每种样本的批内和总精密度。</w:t>
      </w:r>
    </w:p>
    <w:p w14:paraId="4F9DB215">
      <w:pPr>
        <w:snapToGrid w:val="0"/>
        <w:spacing w:before="156" w:beforeLines="50" w:line="300" w:lineRule="auto"/>
        <w:ind w:left="374" w:leftChars="177" w:hanging="2" w:hangingChars="1"/>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测试六至十个不同程度的反应性的盲患者血清，加上随器械提供的一式三份、在三个不同实验室中心的三个不同日子的对照（6-10个测试样本×3×3天×3个中心）。其中一个中心可能是内部的。如使用了其它基质，每个基质应包括3个额外的样本（非反应性、低活性和阳性）。</w:t>
      </w:r>
    </w:p>
    <w:p w14:paraId="4AC2B71A">
      <w:pPr>
        <w:snapToGrid w:val="0"/>
        <w:spacing w:before="156" w:beforeLines="50" w:line="300" w:lineRule="auto"/>
        <w:ind w:left="374" w:leftChars="177" w:hanging="2" w:hangingChars="1"/>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对于计算终点测试（例如，ELISA），使用在测试过程中定义的吸光度值和报告单位，提供每一组数值的批内和总精密度的变异系数。</w:t>
      </w:r>
    </w:p>
    <w:p w14:paraId="5C08B585">
      <w:pPr>
        <w:snapToGrid w:val="0"/>
        <w:spacing w:before="156" w:beforeLines="50" w:line="300" w:lineRule="auto"/>
        <w:ind w:left="374" w:leftChars="177" w:hanging="2" w:hangingChars="1"/>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对于单一终点检测，提供每组测试的阴性、不明确的/不确定的或阳性的结果的百分比。</w:t>
      </w:r>
    </w:p>
    <w:p w14:paraId="032E3B24">
      <w:pPr>
        <w:snapToGrid w:val="0"/>
        <w:spacing w:before="156" w:beforeLines="50" w:line="300" w:lineRule="auto"/>
        <w:ind w:left="374" w:leftChars="177" w:hanging="2" w:hangingChars="1"/>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如果使用了专用仪器用于样本处理或读取和解释结果，则在每个中心使用一个不同的仪器。如果使用了非专用的仪器，则声明在每个中心所使用仪器的规格。</w:t>
      </w:r>
    </w:p>
    <w:p w14:paraId="1D9F3ED6">
      <w:pPr>
        <w:numPr>
          <w:ilvl w:val="0"/>
          <w:numId w:val="10"/>
        </w:numPr>
        <w:snapToGrid w:val="0"/>
        <w:spacing w:before="156" w:beforeLines="50" w:line="300" w:lineRule="auto"/>
        <w:ind w:left="0" w:firstLine="0"/>
        <w:rPr>
          <w:rFonts w:ascii="Arial" w:hAnsi="Arial" w:cs="Arial"/>
          <w:b/>
          <w:szCs w:val="21"/>
          <w:shd w:val="clear" w:color="auto" w:fill="FFFFFF"/>
        </w:rPr>
      </w:pPr>
      <w:r>
        <w:rPr>
          <w:rFonts w:ascii="Arial" w:hAnsi="Arial" w:cs="Arial"/>
          <w:b/>
          <w:szCs w:val="21"/>
          <w:shd w:val="clear" w:color="auto" w:fill="FFFFFF"/>
        </w:rPr>
        <w:t>临床研究</w:t>
      </w:r>
    </w:p>
    <w:p w14:paraId="65FCD38A">
      <w:pPr>
        <w:snapToGrid w:val="0"/>
        <w:spacing w:before="156" w:beforeLines="50" w:line="300" w:lineRule="auto"/>
        <w:ind w:left="374" w:leftChars="177" w:hanging="2" w:hangingChars="1"/>
        <w:rPr>
          <w:rFonts w:ascii="Arial" w:hAnsi="Arial" w:cs="Arial"/>
          <w:szCs w:val="21"/>
          <w:shd w:val="clear" w:color="auto" w:fill="FFFFFF"/>
        </w:rPr>
      </w:pPr>
      <w:r>
        <w:rPr>
          <w:rFonts w:ascii="Arial" w:hAnsi="Arial" w:cs="Arial"/>
          <w:szCs w:val="21"/>
          <w:shd w:val="clear" w:color="auto" w:fill="FFFFFF"/>
        </w:rPr>
        <w:t>临床研究提供关于系统准确检测病毒特异性IgM抗体的能力的数据。其应当证实当该器械作为一种辅助设施用于诊断</w:t>
      </w:r>
      <w:r>
        <w:rPr>
          <w:rFonts w:ascii="Arial" w:hAnsi="Arial" w:cs="Arial"/>
          <w:color w:val="000000" w:themeColor="text1"/>
          <w:szCs w:val="21"/>
          <w:shd w:val="clear" w:color="auto" w:fill="FFFFFF"/>
          <w14:textFill>
            <w14:solidFill>
              <w14:schemeClr w14:val="tx1"/>
            </w14:solidFill>
          </w14:textFill>
        </w:rPr>
        <w:t>特异性</w:t>
      </w:r>
      <w:r>
        <w:rPr>
          <w:rFonts w:ascii="Arial" w:hAnsi="Arial" w:cs="Arial"/>
          <w:szCs w:val="21"/>
          <w:shd w:val="clear" w:color="auto" w:fill="FFFFFF"/>
        </w:rPr>
        <w:t>病毒感染时的性能是安全和有效的。</w:t>
      </w:r>
    </w:p>
    <w:p w14:paraId="4EC2E99F">
      <w:pPr>
        <w:snapToGrid w:val="0"/>
        <w:spacing w:before="156" w:beforeLines="50" w:line="300" w:lineRule="auto"/>
        <w:ind w:left="374" w:leftChars="177" w:hanging="2" w:hangingChars="1"/>
        <w:rPr>
          <w:rFonts w:ascii="Arial" w:hAnsi="Arial" w:cs="Arial"/>
          <w:szCs w:val="21"/>
          <w:shd w:val="clear" w:color="auto" w:fill="FFFFFF"/>
        </w:rPr>
      </w:pPr>
      <w:r>
        <w:rPr>
          <w:rFonts w:ascii="Arial" w:hAnsi="Arial" w:cs="Arial"/>
          <w:szCs w:val="21"/>
          <w:shd w:val="clear" w:color="auto" w:fill="FFFFFF"/>
        </w:rPr>
        <w:t>提供进行测试的主要研究者和临床试验中心的名称和电话号码。临床测试应当至少由2名独立的研究者（PMA提交要求3个）在不同的独立地点进行，这些地点不得是生产商的附属机构。通过机构名称和地址来识别临床实验室</w:t>
      </w:r>
      <w:r>
        <w:rPr>
          <w:rFonts w:ascii="Arial" w:hAnsi="Arial" w:cs="Arial"/>
          <w:color w:val="000000" w:themeColor="text1"/>
          <w:szCs w:val="21"/>
          <w:shd w:val="clear" w:color="auto" w:fill="FFFFFF"/>
          <w14:textFill>
            <w14:solidFill>
              <w14:schemeClr w14:val="tx1"/>
            </w14:solidFill>
          </w14:textFill>
        </w:rPr>
        <w:t>中心</w:t>
      </w:r>
      <w:r>
        <w:rPr>
          <w:rFonts w:ascii="Arial" w:hAnsi="Arial" w:cs="Arial"/>
          <w:szCs w:val="21"/>
          <w:shd w:val="clear" w:color="auto" w:fill="FFFFFF"/>
        </w:rPr>
        <w:t>；包括在每个临床试验中心的负责研究者的姓名、职位和电话号码。</w:t>
      </w:r>
    </w:p>
    <w:p w14:paraId="2C6561E4">
      <w:pPr>
        <w:numPr>
          <w:ilvl w:val="3"/>
          <w:numId w:val="14"/>
        </w:numPr>
        <w:autoSpaceDE w:val="0"/>
        <w:autoSpaceDN w:val="0"/>
        <w:adjustRightInd w:val="0"/>
        <w:snapToGrid w:val="0"/>
        <w:spacing w:before="50" w:line="300" w:lineRule="auto"/>
        <w:ind w:left="952" w:hanging="574"/>
        <w:rPr>
          <w:rFonts w:ascii="Arial" w:hAnsi="Arial" w:cs="Arial"/>
          <w:szCs w:val="21"/>
          <w:shd w:val="clear" w:color="auto" w:fill="FFFFFF"/>
        </w:rPr>
      </w:pPr>
      <w:r>
        <w:rPr>
          <w:rFonts w:ascii="Arial" w:hAnsi="Arial" w:cs="Arial"/>
          <w:szCs w:val="21"/>
          <w:shd w:val="clear" w:color="auto" w:fill="FFFFFF"/>
        </w:rPr>
        <w:t>证明器械的临床有效性</w:t>
      </w:r>
    </w:p>
    <w:p w14:paraId="2781AE28">
      <w:pPr>
        <w:snapToGrid w:val="0"/>
        <w:spacing w:before="156" w:beforeLines="50" w:line="300" w:lineRule="auto"/>
        <w:ind w:left="853" w:leftChars="406" w:firstLine="10" w:firstLineChars="5"/>
        <w:rPr>
          <w:rFonts w:ascii="Arial" w:hAnsi="Arial" w:cs="Arial"/>
          <w:szCs w:val="21"/>
          <w:shd w:val="clear" w:color="auto" w:fill="FFFFFF"/>
        </w:rPr>
      </w:pPr>
      <w:r>
        <w:rPr>
          <w:rFonts w:ascii="Arial" w:hAnsi="Arial" w:cs="Arial"/>
          <w:szCs w:val="21"/>
          <w:shd w:val="clear" w:color="auto" w:fill="FFFFFF"/>
        </w:rPr>
        <w:t>测试应当在来自符合器械预期使用人群的足够数量的阳性和阴性临床样本（遵从使用说明书中有关采集、存储和测试等方面的指导）中进行。对每个点位收集的样本进行如下研究：</w:t>
      </w:r>
    </w:p>
    <w:p w14:paraId="6755AC88">
      <w:pPr>
        <w:snapToGrid w:val="0"/>
        <w:spacing w:before="156" w:beforeLines="50" w:line="300" w:lineRule="auto"/>
        <w:ind w:left="853" w:leftChars="406" w:firstLine="10" w:firstLineChars="5"/>
        <w:rPr>
          <w:rFonts w:ascii="Arial" w:hAnsi="Arial" w:cs="Arial"/>
          <w:szCs w:val="21"/>
          <w:shd w:val="clear" w:color="auto" w:fill="FFFFFF"/>
        </w:rPr>
      </w:pPr>
      <w:r>
        <w:rPr>
          <w:rFonts w:ascii="Arial" w:hAnsi="Arial" w:cs="Arial"/>
          <w:szCs w:val="21"/>
          <w:shd w:val="clear" w:color="auto" w:fill="FFFFFF"/>
        </w:rPr>
        <w:br w:type="page"/>
      </w:r>
      <w:bookmarkStart w:id="15" w:name="OLE_LINK10"/>
      <w:r>
        <w:rPr>
          <w:rFonts w:ascii="Arial" w:hAnsi="Arial" w:cs="Arial"/>
          <w:szCs w:val="21"/>
          <w:shd w:val="clear" w:color="auto" w:fill="FFFFFF"/>
        </w:rPr>
        <w:t>测试样本应来源于处于急性期的感染期且病毒已被分离的个体患者。</w:t>
      </w:r>
      <w:bookmarkEnd w:id="15"/>
      <w:r>
        <w:rPr>
          <w:rFonts w:ascii="Arial" w:hAnsi="Arial" w:cs="Arial"/>
          <w:szCs w:val="21"/>
          <w:shd w:val="clear" w:color="auto" w:fill="FFFFFF"/>
        </w:rPr>
        <w:t>如可能，应使用细胞培养分离和鉴定来识别这些患者。如果细胞培养难以对特定的病毒进行分离，可以使用其他可被普遍接受的方法。应提供方法使用依据和说明。</w:t>
      </w:r>
    </w:p>
    <w:p w14:paraId="6DDC6A87">
      <w:pPr>
        <w:numPr>
          <w:ilvl w:val="0"/>
          <w:numId w:val="15"/>
        </w:numPr>
        <w:autoSpaceDE w:val="0"/>
        <w:autoSpaceDN w:val="0"/>
        <w:adjustRightInd w:val="0"/>
        <w:snapToGrid w:val="0"/>
        <w:spacing w:before="50" w:line="300" w:lineRule="auto"/>
        <w:ind w:left="1102" w:leftChars="419" w:hanging="222" w:hangingChars="106"/>
        <w:rPr>
          <w:rFonts w:ascii="Arial" w:hAnsi="Arial" w:cs="Arial"/>
          <w:szCs w:val="21"/>
          <w:shd w:val="clear" w:color="auto" w:fill="FFFFFF"/>
        </w:rPr>
      </w:pPr>
      <w:r>
        <w:rPr>
          <w:rFonts w:ascii="Arial" w:hAnsi="Arial" w:cs="Arial"/>
          <w:szCs w:val="21"/>
          <w:shd w:val="clear" w:color="auto" w:fill="FFFFFF"/>
        </w:rPr>
        <w:t>测试样本应来源于处于急性期的感染期且其它病毒已被分离的个体患者。列出每位患者分离出来的病毒并标注分离日期。</w:t>
      </w:r>
    </w:p>
    <w:p w14:paraId="47DA44FE">
      <w:pPr>
        <w:numPr>
          <w:ilvl w:val="0"/>
          <w:numId w:val="15"/>
        </w:numPr>
        <w:autoSpaceDE w:val="0"/>
        <w:autoSpaceDN w:val="0"/>
        <w:adjustRightInd w:val="0"/>
        <w:snapToGrid w:val="0"/>
        <w:spacing w:before="50" w:line="300" w:lineRule="auto"/>
        <w:ind w:left="1102" w:leftChars="419" w:hanging="222" w:hangingChars="106"/>
        <w:rPr>
          <w:rFonts w:ascii="Arial" w:hAnsi="Arial" w:cs="Arial"/>
          <w:szCs w:val="21"/>
          <w:shd w:val="clear" w:color="auto" w:fill="FFFFFF"/>
        </w:rPr>
      </w:pPr>
      <w:r>
        <w:rPr>
          <w:rFonts w:ascii="Arial" w:hAnsi="Arial" w:cs="Arial"/>
          <w:szCs w:val="21"/>
          <w:shd w:val="clear" w:color="auto" w:fill="FFFFFF"/>
        </w:rPr>
        <w:t>测试样本应来源于非病毒感染但却具有类似的症状和诊断标准的个体疾病综合症患者。列出每个病人的疾病，表明疾病状态是否被血清检测结果、临床诊断或病原体分离所确定。</w:t>
      </w:r>
    </w:p>
    <w:p w14:paraId="3ADC469C">
      <w:pPr>
        <w:snapToGrid w:val="0"/>
        <w:spacing w:before="156" w:beforeLines="50" w:line="300" w:lineRule="auto"/>
        <w:ind w:left="853" w:leftChars="406" w:firstLine="10" w:firstLineChars="5"/>
        <w:rPr>
          <w:rFonts w:ascii="Arial" w:hAnsi="Arial" w:cs="Arial"/>
          <w:szCs w:val="21"/>
          <w:shd w:val="clear" w:color="auto" w:fill="FFFFFF"/>
        </w:rPr>
      </w:pPr>
      <w:r>
        <w:rPr>
          <w:rFonts w:ascii="Arial" w:hAnsi="Arial" w:cs="Arial"/>
          <w:szCs w:val="21"/>
          <w:shd w:val="clear" w:color="auto" w:fill="FFFFFF"/>
        </w:rPr>
        <w:t>根据以上信息计算临床敏感性和特异性值。</w:t>
      </w:r>
    </w:p>
    <w:p w14:paraId="5287E7F0">
      <w:pPr>
        <w:snapToGrid w:val="0"/>
        <w:spacing w:before="156" w:beforeLines="50" w:line="300" w:lineRule="auto"/>
        <w:ind w:left="853" w:leftChars="406" w:firstLine="10" w:firstLineChars="5"/>
        <w:rPr>
          <w:rFonts w:ascii="Arial" w:hAnsi="Arial" w:cs="Arial"/>
          <w:color w:val="FF0000"/>
          <w:szCs w:val="21"/>
          <w:shd w:val="clear" w:color="auto" w:fill="FFFFFF"/>
        </w:rPr>
      </w:pPr>
      <w:r>
        <w:rPr>
          <w:rFonts w:ascii="Arial" w:hAnsi="Arial" w:cs="Arial"/>
          <w:szCs w:val="21"/>
          <w:shd w:val="clear" w:color="auto" w:fill="FFFFFF"/>
        </w:rPr>
        <w:t>按照</w:t>
      </w:r>
      <w:bookmarkStart w:id="16" w:name="OLE_LINK22"/>
      <w:r>
        <w:rPr>
          <w:rFonts w:hint="eastAsia" w:ascii="宋体" w:hAnsi="宋体" w:cs="宋体"/>
          <w:szCs w:val="21"/>
          <w:shd w:val="clear" w:color="auto" w:fill="FFFFFF"/>
        </w:rPr>
        <w:t>Ⅲ</w:t>
      </w:r>
      <w:r>
        <w:rPr>
          <w:rFonts w:ascii="Arial" w:hAnsi="Arial" w:cs="Arial"/>
          <w:szCs w:val="21"/>
          <w:shd w:val="clear" w:color="auto" w:fill="FFFFFF"/>
        </w:rPr>
        <w:t>.B. 1 .a.</w:t>
      </w:r>
      <w:bookmarkEnd w:id="16"/>
      <w:r>
        <w:rPr>
          <w:rFonts w:ascii="Arial" w:hAnsi="Arial" w:cs="Arial"/>
          <w:szCs w:val="21"/>
          <w:shd w:val="clear" w:color="auto" w:fill="FFFFFF"/>
        </w:rPr>
        <w:t>要求提供测试人群来自其他病毒</w:t>
      </w:r>
      <w:bookmarkStart w:id="17" w:name="OLE_LINK11"/>
      <w:r>
        <w:rPr>
          <w:rFonts w:ascii="Arial" w:hAnsi="Arial" w:cs="Arial"/>
          <w:szCs w:val="21"/>
          <w:shd w:val="clear" w:color="auto" w:fill="FFFFFF"/>
        </w:rPr>
        <w:t>患病率</w:t>
      </w:r>
      <w:bookmarkEnd w:id="17"/>
      <w:r>
        <w:rPr>
          <w:rFonts w:ascii="Arial" w:hAnsi="Arial" w:cs="Arial"/>
          <w:szCs w:val="21"/>
          <w:shd w:val="clear" w:color="auto" w:fill="FFFFFF"/>
        </w:rPr>
        <w:t>信息。</w:t>
      </w:r>
    </w:p>
    <w:p w14:paraId="4924970B">
      <w:pPr>
        <w:numPr>
          <w:ilvl w:val="0"/>
          <w:numId w:val="16"/>
        </w:numPr>
        <w:autoSpaceDE w:val="0"/>
        <w:autoSpaceDN w:val="0"/>
        <w:adjustRightInd w:val="0"/>
        <w:snapToGrid w:val="0"/>
        <w:spacing w:before="50" w:line="300" w:lineRule="auto"/>
        <w:ind w:left="321" w:hanging="321" w:hangingChars="153"/>
        <w:rPr>
          <w:rFonts w:ascii="Arial" w:hAnsi="Arial" w:cs="Arial"/>
          <w:szCs w:val="21"/>
          <w:shd w:val="clear" w:color="auto" w:fill="FFFFFF"/>
        </w:rPr>
      </w:pPr>
      <w:r>
        <w:rPr>
          <w:rFonts w:ascii="Arial" w:hAnsi="Arial" w:cs="Arial"/>
          <w:szCs w:val="21"/>
          <w:shd w:val="clear" w:color="auto" w:fill="FFFFFF"/>
        </w:rPr>
        <w:t>对于510（K）提交资料，应进行本器械与已批准上市器械的对比。理想情况下这项研究应该在独立的临床实验室完成。包括该两个器械在内的所有的测试都必须进行说明书中所明确的使用测试、存储、采集过程和解释标准。</w:t>
      </w:r>
    </w:p>
    <w:p w14:paraId="182A6711">
      <w:pPr>
        <w:numPr>
          <w:ilvl w:val="0"/>
          <w:numId w:val="17"/>
        </w:numPr>
        <w:autoSpaceDE w:val="0"/>
        <w:autoSpaceDN w:val="0"/>
        <w:adjustRightInd w:val="0"/>
        <w:snapToGrid w:val="0"/>
        <w:spacing w:before="50" w:line="300" w:lineRule="auto"/>
        <w:ind w:left="1117" w:leftChars="411" w:hanging="254" w:hangingChars="121"/>
        <w:rPr>
          <w:rFonts w:ascii="Arial" w:hAnsi="Arial" w:cs="Arial"/>
          <w:szCs w:val="21"/>
          <w:shd w:val="clear" w:color="auto" w:fill="FFFFFF"/>
        </w:rPr>
      </w:pPr>
      <w:r>
        <w:rPr>
          <w:rFonts w:ascii="Arial" w:hAnsi="Arial" w:cs="Arial"/>
          <w:szCs w:val="21"/>
          <w:shd w:val="clear" w:color="auto" w:fill="FFFFFF"/>
        </w:rPr>
        <w:t>采用新器械和在美国合法上市的器械对血清同时进行测试。这组样本应该专门来自于病人提交的用于病毒感染诊断。该群体50%的样本应没有被冻结，并在标签上注明的生产商所建立的范围内进行测试。</w:t>
      </w:r>
    </w:p>
    <w:p w14:paraId="65D85763">
      <w:pPr>
        <w:numPr>
          <w:ilvl w:val="0"/>
          <w:numId w:val="17"/>
        </w:numPr>
        <w:autoSpaceDE w:val="0"/>
        <w:autoSpaceDN w:val="0"/>
        <w:adjustRightInd w:val="0"/>
        <w:snapToGrid w:val="0"/>
        <w:spacing w:before="50" w:line="300" w:lineRule="auto"/>
        <w:ind w:left="1119" w:leftChars="413" w:hanging="252" w:hangingChars="120"/>
        <w:rPr>
          <w:rFonts w:ascii="Arial" w:hAnsi="Arial" w:cs="Arial"/>
          <w:szCs w:val="21"/>
          <w:shd w:val="clear" w:color="auto" w:fill="FFFFFF"/>
        </w:rPr>
      </w:pPr>
      <w:r>
        <w:rPr>
          <w:rFonts w:ascii="Arial" w:hAnsi="Arial" w:cs="Arial"/>
          <w:szCs w:val="21"/>
          <w:shd w:val="clear" w:color="auto" w:fill="FFFFFF"/>
        </w:rPr>
        <w:t>新器械和对比器械之间的差异应重新进行现场测试来明确，复测应采用另一个合法上市的器械（生产企业现场）或证明病毒存在进行一致性测试。在进行一致性测试时，新器械和合法上市器械的样本百分比应该是一致的，同时采用第三个试验进行测试。</w:t>
      </w:r>
    </w:p>
    <w:p w14:paraId="1A9D15E2">
      <w:pPr>
        <w:autoSpaceDE w:val="0"/>
        <w:autoSpaceDN w:val="0"/>
        <w:adjustRightInd w:val="0"/>
        <w:snapToGrid w:val="0"/>
        <w:spacing w:before="50" w:line="300" w:lineRule="auto"/>
        <w:ind w:firstLine="321" w:firstLineChars="153"/>
        <w:rPr>
          <w:rFonts w:ascii="Arial" w:hAnsi="Arial" w:cs="Arial"/>
          <w:szCs w:val="21"/>
          <w:shd w:val="clear" w:color="auto" w:fill="FFFFFF"/>
        </w:rPr>
      </w:pPr>
      <w:r>
        <w:rPr>
          <w:rFonts w:ascii="Arial" w:hAnsi="Arial" w:cs="Arial"/>
          <w:szCs w:val="21"/>
          <w:shd w:val="clear" w:color="auto" w:fill="FFFFFF"/>
        </w:rPr>
        <w:t>根据以上a和b的试验结果，计算相对灵敏度和相对特异性。并在说明书性能特性项下注明以上结果。</w:t>
      </w:r>
    </w:p>
    <w:p w14:paraId="3F6BFE28">
      <w:pPr>
        <w:numPr>
          <w:ilvl w:val="0"/>
          <w:numId w:val="16"/>
        </w:numPr>
        <w:autoSpaceDE w:val="0"/>
        <w:autoSpaceDN w:val="0"/>
        <w:adjustRightInd w:val="0"/>
        <w:snapToGrid w:val="0"/>
        <w:spacing w:before="50" w:line="300" w:lineRule="auto"/>
        <w:ind w:left="321" w:hanging="321" w:hangingChars="153"/>
        <w:rPr>
          <w:rFonts w:ascii="Arial" w:hAnsi="Arial" w:cs="Arial"/>
          <w:color w:val="000000" w:themeColor="text1"/>
          <w:szCs w:val="21"/>
          <w:shd w:val="clear" w:color="auto" w:fill="FFFFFF"/>
          <w14:textFill>
            <w14:solidFill>
              <w14:schemeClr w14:val="tx1"/>
            </w14:solidFill>
          </w14:textFill>
        </w:rPr>
      </w:pPr>
      <w:r>
        <w:rPr>
          <w:rFonts w:ascii="Arial" w:hAnsi="Arial" w:cs="Arial"/>
          <w:szCs w:val="21"/>
          <w:shd w:val="clear" w:color="auto" w:fill="FFFFFF"/>
        </w:rPr>
        <w:br w:type="page"/>
      </w:r>
      <w:r>
        <w:rPr>
          <w:rFonts w:ascii="Arial" w:hAnsi="Arial" w:cs="Arial"/>
          <w:szCs w:val="21"/>
          <w:shd w:val="clear" w:color="auto" w:fill="FFFFFF"/>
        </w:rPr>
        <w:t>作为一个选项，还可采用疾病预防控制中心或其他来源有充分的证据的血清板进行测试。该研究可以在生产企业或在临床实验室进行。如果使用制造商的血清板，应提供样本来源患者的诊断和/或疾病阶段的确定标准。</w:t>
      </w:r>
    </w:p>
    <w:p w14:paraId="528C7A9D">
      <w:pPr>
        <w:snapToGrid w:val="0"/>
        <w:spacing w:before="156" w:beforeLines="50" w:line="300" w:lineRule="auto"/>
        <w:rPr>
          <w:rFonts w:ascii="Arial" w:hAnsi="Arial" w:cs="Arial"/>
          <w:b/>
          <w:szCs w:val="21"/>
          <w:shd w:val="clear" w:color="auto" w:fill="FFFFFF"/>
        </w:rPr>
      </w:pPr>
      <w:r>
        <w:rPr>
          <w:rFonts w:hint="eastAsia" w:ascii="宋体" w:hAnsi="宋体" w:cs="宋体"/>
          <w:b/>
          <w:szCs w:val="21"/>
          <w:shd w:val="clear" w:color="auto" w:fill="FFFFFF"/>
        </w:rPr>
        <w:t>Ⅳ</w:t>
      </w:r>
      <w:r>
        <w:rPr>
          <w:rFonts w:ascii="Arial" w:hAnsi="Arial" w:cs="Arial"/>
          <w:b/>
          <w:szCs w:val="21"/>
          <w:shd w:val="clear" w:color="auto" w:fill="FFFFFF"/>
        </w:rPr>
        <w:t>.标签注意事项</w:t>
      </w:r>
    </w:p>
    <w:p w14:paraId="33CE151D">
      <w:pPr>
        <w:snapToGrid w:val="0"/>
        <w:spacing w:before="156" w:beforeLines="50" w:line="300" w:lineRule="auto"/>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以下是法令[502（f）（1）]和法规[21 CFR§809.10（b）]中的一些要点的附加细节。</w:t>
      </w:r>
    </w:p>
    <w:p w14:paraId="34890C01">
      <w:pPr>
        <w:numPr>
          <w:ilvl w:val="0"/>
          <w:numId w:val="18"/>
        </w:numPr>
        <w:snapToGrid w:val="0"/>
        <w:spacing w:before="156" w:beforeLines="50" w:line="300" w:lineRule="auto"/>
        <w:ind w:left="0" w:firstLine="0"/>
        <w:rPr>
          <w:rFonts w:ascii="Arial" w:hAnsi="Arial" w:cs="Arial"/>
          <w:b/>
          <w:szCs w:val="21"/>
          <w:shd w:val="clear" w:color="auto" w:fill="FFFFFF"/>
        </w:rPr>
      </w:pPr>
      <w:r>
        <w:rPr>
          <w:rFonts w:ascii="Arial" w:hAnsi="Arial" w:cs="Arial"/>
          <w:b/>
          <w:szCs w:val="21"/>
          <w:shd w:val="clear" w:color="auto" w:fill="FFFFFF"/>
        </w:rPr>
        <w:t>预期用途声明</w:t>
      </w:r>
    </w:p>
    <w:p w14:paraId="5FCE015F">
      <w:pPr>
        <w:snapToGrid w:val="0"/>
        <w:spacing w:before="156" w:beforeLines="50" w:line="300" w:lineRule="auto"/>
        <w:ind w:firstLine="390" w:firstLineChars="186"/>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预期使用描述应是对产品基本信息的简明描述。其应该传达以下信息：</w:t>
      </w:r>
    </w:p>
    <w:p w14:paraId="75026E37">
      <w:pPr>
        <w:numPr>
          <w:ilvl w:val="0"/>
          <w:numId w:val="19"/>
        </w:numPr>
        <w:snapToGrid w:val="0"/>
        <w:spacing w:before="156" w:beforeLines="50" w:line="300" w:lineRule="auto"/>
        <w:ind w:left="0" w:firstLine="420" w:firstLineChars="200"/>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检测方法。</w:t>
      </w:r>
    </w:p>
    <w:p w14:paraId="3F73F361">
      <w:pPr>
        <w:numPr>
          <w:ilvl w:val="0"/>
          <w:numId w:val="19"/>
        </w:numPr>
        <w:snapToGrid w:val="0"/>
        <w:spacing w:before="156" w:beforeLines="50" w:line="300" w:lineRule="auto"/>
        <w:ind w:left="0" w:firstLine="420" w:firstLineChars="200"/>
        <w:rPr>
          <w:rFonts w:ascii="Arial" w:hAnsi="Arial" w:cs="Arial"/>
          <w:b/>
          <w:color w:val="000000" w:themeColor="text1"/>
          <w:szCs w:val="21"/>
          <w:u w:val="single"/>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该方法检测病毒特异性IgM类抗体。</w:t>
      </w:r>
    </w:p>
    <w:p w14:paraId="4252D183">
      <w:pPr>
        <w:numPr>
          <w:ilvl w:val="0"/>
          <w:numId w:val="19"/>
        </w:numPr>
        <w:snapToGrid w:val="0"/>
        <w:spacing w:before="156" w:beforeLines="50" w:line="300" w:lineRule="auto"/>
        <w:ind w:left="0" w:firstLine="420" w:firstLineChars="200"/>
        <w:rPr>
          <w:rFonts w:ascii="Arial" w:hAnsi="Arial" w:cs="Arial"/>
          <w:b/>
          <w:color w:val="000000" w:themeColor="text1"/>
          <w:szCs w:val="21"/>
          <w:u w:val="single"/>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适应症。</w:t>
      </w:r>
    </w:p>
    <w:p w14:paraId="4CC47B80">
      <w:pPr>
        <w:snapToGrid w:val="0"/>
        <w:spacing w:before="156" w:beforeLines="50" w:line="300" w:lineRule="auto"/>
        <w:ind w:firstLine="840" w:firstLineChars="400"/>
        <w:rPr>
          <w:rFonts w:ascii="Arial" w:hAnsi="Arial" w:cs="Arial"/>
          <w:b/>
          <w:color w:val="000000" w:themeColor="text1"/>
          <w:szCs w:val="21"/>
          <w:u w:val="single"/>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这些使用条件可以在使用说明书中的汇总和解释、局限性或性能特点部分中进一步讨论。</w:t>
      </w:r>
    </w:p>
    <w:p w14:paraId="43BFF883">
      <w:pPr>
        <w:numPr>
          <w:ilvl w:val="0"/>
          <w:numId w:val="19"/>
        </w:numPr>
        <w:snapToGrid w:val="0"/>
        <w:spacing w:before="156" w:beforeLines="50" w:line="300" w:lineRule="auto"/>
        <w:ind w:left="0" w:firstLine="420" w:firstLineChars="200"/>
        <w:rPr>
          <w:rFonts w:ascii="Arial" w:hAnsi="Arial" w:cs="Arial"/>
          <w:b/>
          <w:color w:val="000000" w:themeColor="text1"/>
          <w:szCs w:val="21"/>
          <w:u w:val="single"/>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可以测试的样本源。</w:t>
      </w:r>
    </w:p>
    <w:p w14:paraId="36ED470A">
      <w:pPr>
        <w:numPr>
          <w:ilvl w:val="0"/>
          <w:numId w:val="19"/>
        </w:numPr>
        <w:snapToGrid w:val="0"/>
        <w:spacing w:before="156" w:beforeLines="50" w:line="300" w:lineRule="auto"/>
        <w:ind w:left="0" w:firstLine="420" w:firstLineChars="200"/>
        <w:rPr>
          <w:rFonts w:ascii="Arial" w:hAnsi="Arial" w:cs="Arial"/>
          <w:b/>
          <w:color w:val="000000" w:themeColor="text1"/>
          <w:szCs w:val="21"/>
          <w:u w:val="single"/>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检测是否仅用于专用仪器。</w:t>
      </w:r>
    </w:p>
    <w:p w14:paraId="473A585E">
      <w:pPr>
        <w:snapToGrid w:val="0"/>
        <w:spacing w:before="156" w:beforeLines="50" w:line="300" w:lineRule="auto"/>
        <w:ind w:firstLine="840" w:firstLineChars="400"/>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如：</w:t>
      </w:r>
      <w:r>
        <w:rPr>
          <w:rFonts w:ascii="Arial" w:hAnsi="Arial" w:cs="Arial"/>
          <w:color w:val="000000" w:themeColor="text1"/>
          <w:szCs w:val="21"/>
          <w:u w:val="single"/>
          <w:shd w:val="clear" w:color="auto" w:fill="FFFFFF"/>
          <w14:textFill>
            <w14:solidFill>
              <w14:schemeClr w14:val="tx1"/>
            </w14:solidFill>
          </w14:textFill>
        </w:rPr>
        <w:t xml:space="preserve">  </w:t>
      </w:r>
      <w:r>
        <w:rPr>
          <w:rFonts w:ascii="Arial" w:hAnsi="Arial" w:cs="Arial"/>
          <w:color w:val="000000" w:themeColor="text1"/>
          <w:szCs w:val="21"/>
          <w:shd w:val="clear" w:color="auto" w:fill="FFFFFF"/>
          <w14:textFill>
            <w14:solidFill>
              <w14:schemeClr w14:val="tx1"/>
            </w14:solidFill>
          </w14:textFill>
        </w:rPr>
        <w:t>检测作为近期</w:t>
      </w:r>
      <w:r>
        <w:rPr>
          <w:rFonts w:ascii="Arial" w:hAnsi="Arial" w:cs="Arial"/>
          <w:color w:val="000000" w:themeColor="text1"/>
          <w:szCs w:val="21"/>
          <w:u w:val="single"/>
          <w:shd w:val="clear" w:color="auto" w:fill="FFFFFF"/>
          <w14:textFill>
            <w14:solidFill>
              <w14:schemeClr w14:val="tx1"/>
            </w14:solidFill>
          </w14:textFill>
        </w:rPr>
        <w:t xml:space="preserve">  </w:t>
      </w:r>
      <w:r>
        <w:rPr>
          <w:rFonts w:ascii="Arial" w:hAnsi="Arial" w:cs="Arial"/>
          <w:color w:val="000000" w:themeColor="text1"/>
          <w:szCs w:val="21"/>
          <w:shd w:val="clear" w:color="auto" w:fill="FFFFFF"/>
          <w14:textFill>
            <w14:solidFill>
              <w14:schemeClr w14:val="tx1"/>
            </w14:solidFill>
          </w14:textFill>
        </w:rPr>
        <w:t>感染诊断的辅助手段，采用</w:t>
      </w:r>
      <w:r>
        <w:rPr>
          <w:rFonts w:ascii="Arial" w:hAnsi="Arial" w:cs="Arial"/>
          <w:color w:val="000000" w:themeColor="text1"/>
          <w:szCs w:val="21"/>
          <w:u w:val="single"/>
          <w:shd w:val="clear" w:color="auto" w:fill="FFFFFF"/>
          <w14:textFill>
            <w14:solidFill>
              <w14:schemeClr w14:val="tx1"/>
            </w14:solidFill>
          </w14:textFill>
        </w:rPr>
        <w:t xml:space="preserve">  </w:t>
      </w:r>
      <w:r>
        <w:rPr>
          <w:rFonts w:ascii="Arial" w:hAnsi="Arial" w:cs="Arial"/>
          <w:color w:val="000000" w:themeColor="text1"/>
          <w:szCs w:val="21"/>
          <w:shd w:val="clear" w:color="auto" w:fill="FFFFFF"/>
          <w14:textFill>
            <w14:solidFill>
              <w14:schemeClr w14:val="tx1"/>
            </w14:solidFill>
          </w14:textFill>
        </w:rPr>
        <w:t>方法用于人体血清</w:t>
      </w:r>
      <w:r>
        <w:rPr>
          <w:rFonts w:ascii="Arial" w:hAnsi="Arial" w:cs="Arial"/>
          <w:color w:val="000000" w:themeColor="text1"/>
          <w:szCs w:val="21"/>
          <w:u w:val="single"/>
          <w:shd w:val="clear" w:color="auto" w:fill="FFFFFF"/>
          <w14:textFill>
            <w14:solidFill>
              <w14:schemeClr w14:val="tx1"/>
            </w14:solidFill>
          </w14:textFill>
        </w:rPr>
        <w:t xml:space="preserve">  </w:t>
      </w:r>
      <w:r>
        <w:rPr>
          <w:rFonts w:ascii="Arial" w:hAnsi="Arial" w:cs="Arial"/>
          <w:color w:val="000000" w:themeColor="text1"/>
          <w:szCs w:val="21"/>
          <w:shd w:val="clear" w:color="auto" w:fill="FFFFFF"/>
          <w14:textFill>
            <w14:solidFill>
              <w14:schemeClr w14:val="tx1"/>
            </w14:solidFill>
          </w14:textFill>
        </w:rPr>
        <w:t>的IgM抗体的定性测定。</w:t>
      </w:r>
    </w:p>
    <w:p w14:paraId="1364697B">
      <w:pPr>
        <w:snapToGrid w:val="0"/>
        <w:spacing w:before="156" w:beforeLines="50" w:line="300" w:lineRule="auto"/>
        <w:rPr>
          <w:rFonts w:ascii="Arial" w:hAnsi="Arial" w:cs="Arial"/>
          <w:b/>
          <w:bCs/>
          <w:color w:val="000000" w:themeColor="text1"/>
          <w:szCs w:val="21"/>
          <w:shd w:val="clear" w:color="auto" w:fill="FFFFFF"/>
          <w14:textFill>
            <w14:solidFill>
              <w14:schemeClr w14:val="tx1"/>
            </w14:solidFill>
          </w14:textFill>
        </w:rPr>
      </w:pPr>
      <w:r>
        <w:rPr>
          <w:rFonts w:ascii="Arial" w:hAnsi="Arial" w:cs="Arial"/>
          <w:b/>
          <w:bCs/>
          <w:color w:val="000000" w:themeColor="text1"/>
          <w:szCs w:val="21"/>
          <w:shd w:val="clear" w:color="auto" w:fill="FFFFFF"/>
          <w14:textFill>
            <w14:solidFill>
              <w14:schemeClr w14:val="tx1"/>
            </w14:solidFill>
          </w14:textFill>
        </w:rPr>
        <w:t>B. 警告和注意事项</w:t>
      </w:r>
    </w:p>
    <w:p w14:paraId="0E82C983">
      <w:pPr>
        <w:snapToGrid w:val="0"/>
        <w:spacing w:before="156" w:beforeLines="50" w:line="300" w:lineRule="auto"/>
        <w:ind w:firstLine="390" w:firstLineChars="186"/>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已冷冻样本应在使用前融化并彻底混合后使用。</w:t>
      </w:r>
    </w:p>
    <w:p w14:paraId="1D915C2D">
      <w:pPr>
        <w:numPr>
          <w:ilvl w:val="0"/>
          <w:numId w:val="10"/>
        </w:numPr>
        <w:snapToGrid w:val="0"/>
        <w:spacing w:before="156" w:beforeLines="50" w:line="300" w:lineRule="auto"/>
        <w:ind w:left="0" w:firstLine="0"/>
        <w:rPr>
          <w:rFonts w:ascii="Arial" w:hAnsi="Arial" w:cs="Arial"/>
          <w:b/>
          <w:szCs w:val="21"/>
          <w:shd w:val="clear" w:color="auto" w:fill="FFFFFF"/>
        </w:rPr>
      </w:pPr>
      <w:r>
        <w:rPr>
          <w:rFonts w:ascii="Arial" w:hAnsi="Arial" w:cs="Arial"/>
          <w:b/>
          <w:szCs w:val="21"/>
          <w:shd w:val="clear" w:color="auto" w:fill="FFFFFF"/>
        </w:rPr>
        <w:t>样本采集和处理</w:t>
      </w:r>
    </w:p>
    <w:p w14:paraId="2686A7C3">
      <w:pPr>
        <w:numPr>
          <w:ilvl w:val="0"/>
          <w:numId w:val="20"/>
        </w:numPr>
        <w:snapToGrid w:val="0"/>
        <w:spacing w:before="156" w:beforeLines="50" w:line="300" w:lineRule="auto"/>
        <w:ind w:left="0" w:firstLine="405" w:firstLineChars="193"/>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声明要采集的样本类型，以及可能使用的采集器械的类型。</w:t>
      </w:r>
    </w:p>
    <w:p w14:paraId="33A90FD1">
      <w:pPr>
        <w:numPr>
          <w:ilvl w:val="0"/>
          <w:numId w:val="20"/>
        </w:numPr>
        <w:snapToGrid w:val="0"/>
        <w:spacing w:before="156" w:beforeLines="50" w:line="300" w:lineRule="auto"/>
        <w:ind w:left="0" w:firstLine="405" w:firstLineChars="193"/>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声明患者准备的条件，例如，采集时间，采集顺序，等等。</w:t>
      </w:r>
    </w:p>
    <w:p w14:paraId="6C70A1E3">
      <w:pPr>
        <w:numPr>
          <w:ilvl w:val="0"/>
          <w:numId w:val="20"/>
        </w:numPr>
        <w:snapToGrid w:val="0"/>
        <w:spacing w:before="156" w:beforeLines="50" w:line="300" w:lineRule="auto"/>
        <w:ind w:left="0" w:firstLine="405" w:firstLineChars="193"/>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br w:type="page"/>
      </w:r>
      <w:r>
        <w:rPr>
          <w:rFonts w:ascii="Arial" w:hAnsi="Arial" w:cs="Arial"/>
          <w:color w:val="000000" w:themeColor="text1"/>
          <w:szCs w:val="21"/>
          <w:shd w:val="clear" w:color="auto" w:fill="FFFFFF"/>
          <w14:textFill>
            <w14:solidFill>
              <w14:schemeClr w14:val="tx1"/>
            </w14:solidFill>
          </w14:textFill>
        </w:rPr>
        <w:t>提供充分的样本采集指导和/或适当的收集程序的参考文件，例如，教科书、期刊，等等。</w:t>
      </w:r>
    </w:p>
    <w:p w14:paraId="18A2D7A1">
      <w:pPr>
        <w:numPr>
          <w:ilvl w:val="0"/>
          <w:numId w:val="20"/>
        </w:numPr>
        <w:snapToGrid w:val="0"/>
        <w:spacing w:before="156" w:beforeLines="50" w:line="300" w:lineRule="auto"/>
        <w:ind w:left="0" w:firstLine="405" w:firstLineChars="193"/>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识别干扰物质或条件。</w:t>
      </w:r>
    </w:p>
    <w:p w14:paraId="1F135E60">
      <w:pPr>
        <w:numPr>
          <w:ilvl w:val="0"/>
          <w:numId w:val="20"/>
        </w:numPr>
        <w:snapToGrid w:val="0"/>
        <w:spacing w:before="156" w:beforeLines="50" w:line="300" w:lineRule="auto"/>
        <w:ind w:left="0" w:firstLine="405" w:firstLineChars="193"/>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声明样本存储条件和稳定期。</w:t>
      </w:r>
    </w:p>
    <w:p w14:paraId="72B75136">
      <w:pPr>
        <w:numPr>
          <w:ilvl w:val="0"/>
          <w:numId w:val="10"/>
        </w:numPr>
        <w:snapToGrid w:val="0"/>
        <w:spacing w:before="156" w:beforeLines="50" w:line="300" w:lineRule="auto"/>
        <w:ind w:left="0" w:firstLine="0"/>
        <w:rPr>
          <w:rFonts w:ascii="Arial" w:hAnsi="Arial" w:cs="Arial"/>
          <w:b/>
          <w:szCs w:val="21"/>
          <w:shd w:val="clear" w:color="auto" w:fill="FFFFFF"/>
        </w:rPr>
      </w:pPr>
      <w:r>
        <w:rPr>
          <w:rFonts w:ascii="Arial" w:hAnsi="Arial" w:cs="Arial"/>
          <w:b/>
          <w:szCs w:val="21"/>
          <w:shd w:val="clear" w:color="auto" w:fill="FFFFFF"/>
        </w:rPr>
        <w:t>质量控制</w:t>
      </w:r>
    </w:p>
    <w:p w14:paraId="46914BF5">
      <w:pPr>
        <w:snapToGrid w:val="0"/>
        <w:spacing w:before="156" w:beforeLines="50" w:line="300" w:lineRule="auto"/>
        <w:ind w:firstLine="405" w:firstLineChars="193"/>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提供在质量控制部分的信息应当包括以下信息：</w:t>
      </w:r>
    </w:p>
    <w:p w14:paraId="5D913132">
      <w:pPr>
        <w:numPr>
          <w:ilvl w:val="0"/>
          <w:numId w:val="21"/>
        </w:numPr>
        <w:snapToGrid w:val="0"/>
        <w:spacing w:before="156" w:beforeLines="50" w:line="300" w:lineRule="auto"/>
        <w:ind w:left="881" w:leftChars="193" w:hanging="476" w:hangingChars="227"/>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提供关于质量控制的频次的建议。</w:t>
      </w:r>
    </w:p>
    <w:p w14:paraId="00E14498">
      <w:pPr>
        <w:numPr>
          <w:ilvl w:val="0"/>
          <w:numId w:val="21"/>
        </w:numPr>
        <w:snapToGrid w:val="0"/>
        <w:spacing w:before="156" w:beforeLines="50" w:line="300" w:lineRule="auto"/>
        <w:ind w:left="881" w:leftChars="193" w:hanging="476" w:hangingChars="227"/>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提供解释质量控制样品的结果的指导。</w:t>
      </w:r>
    </w:p>
    <w:p w14:paraId="069244E0">
      <w:pPr>
        <w:numPr>
          <w:ilvl w:val="0"/>
          <w:numId w:val="21"/>
        </w:numPr>
        <w:snapToGrid w:val="0"/>
        <w:spacing w:before="156" w:beforeLines="50" w:line="300" w:lineRule="auto"/>
        <w:ind w:left="881" w:leftChars="193" w:hanging="476" w:hangingChars="227"/>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质量控制部分应当以与下面类似的一段声明结束：“如果未能按预期进行控制，结果是无</w:t>
      </w:r>
    </w:p>
    <w:p w14:paraId="65283386">
      <w:pPr>
        <w:snapToGrid w:val="0"/>
        <w:spacing w:before="156" w:beforeLines="50" w:line="300" w:lineRule="auto"/>
        <w:ind w:left="1314" w:leftChars="399" w:hanging="476" w:hangingChars="227"/>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效的，患者结果不得用于报告”。</w:t>
      </w:r>
    </w:p>
    <w:p w14:paraId="4997B4D9">
      <w:pPr>
        <w:numPr>
          <w:ilvl w:val="0"/>
          <w:numId w:val="21"/>
        </w:numPr>
        <w:snapToGrid w:val="0"/>
        <w:spacing w:before="156" w:beforeLines="50" w:line="300" w:lineRule="auto"/>
        <w:ind w:left="881" w:leftChars="193" w:hanging="476" w:hangingChars="227"/>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有关其他参考信息，请参阅当前CLIA’88 FDA质量控制指南。</w:t>
      </w:r>
    </w:p>
    <w:p w14:paraId="2EB083CD">
      <w:pPr>
        <w:numPr>
          <w:ilvl w:val="0"/>
          <w:numId w:val="10"/>
        </w:numPr>
        <w:snapToGrid w:val="0"/>
        <w:spacing w:before="156" w:beforeLines="50" w:line="300" w:lineRule="auto"/>
        <w:ind w:left="0" w:firstLine="0"/>
        <w:rPr>
          <w:rFonts w:ascii="Arial" w:hAnsi="Arial" w:cs="Arial"/>
          <w:b/>
          <w:szCs w:val="21"/>
          <w:shd w:val="clear" w:color="auto" w:fill="FFFFFF"/>
        </w:rPr>
      </w:pPr>
      <w:r>
        <w:rPr>
          <w:rFonts w:ascii="Arial" w:hAnsi="Arial" w:cs="Arial"/>
          <w:b/>
          <w:szCs w:val="21"/>
          <w:shd w:val="clear" w:color="auto" w:fill="FFFFFF"/>
        </w:rPr>
        <w:t>预期值</w:t>
      </w:r>
    </w:p>
    <w:p w14:paraId="6104E5D8">
      <w:pPr>
        <w:numPr>
          <w:ilvl w:val="0"/>
          <w:numId w:val="22"/>
        </w:numPr>
        <w:snapToGrid w:val="0"/>
        <w:spacing w:before="156" w:beforeLines="50" w:line="300" w:lineRule="auto"/>
        <w:ind w:left="837" w:leftChars="192" w:hanging="434" w:hangingChars="207"/>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参考在不同人群中病毒特异性IgM抗体的预期患病率。</w:t>
      </w:r>
    </w:p>
    <w:p w14:paraId="3A1EB22B">
      <w:pPr>
        <w:numPr>
          <w:ilvl w:val="0"/>
          <w:numId w:val="22"/>
        </w:numPr>
        <w:snapToGrid w:val="0"/>
        <w:spacing w:before="156" w:beforeLines="50" w:line="300" w:lineRule="auto"/>
        <w:ind w:left="837" w:leftChars="192" w:hanging="434" w:hangingChars="207"/>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表明患病率可能会有所不同，其取决于研究人群的地理位置、年龄、性别、所测试的类型、样本采集和处理方法、个别患者的临床和流行病学史，等等。</w:t>
      </w:r>
    </w:p>
    <w:p w14:paraId="395254B3">
      <w:pPr>
        <w:snapToGrid w:val="0"/>
        <w:spacing w:before="156" w:beforeLines="50" w:line="300" w:lineRule="auto"/>
        <w:rPr>
          <w:rFonts w:ascii="Arial" w:hAnsi="Arial" w:cs="Arial"/>
          <w:b/>
          <w:bCs/>
          <w:color w:val="000000" w:themeColor="text1"/>
          <w:szCs w:val="21"/>
          <w:u w:val="single"/>
          <w:shd w:val="clear" w:color="auto" w:fill="FFFFFF"/>
          <w14:textFill>
            <w14:solidFill>
              <w14:schemeClr w14:val="tx1"/>
            </w14:solidFill>
          </w14:textFill>
        </w:rPr>
      </w:pPr>
      <w:r>
        <w:rPr>
          <w:rFonts w:ascii="Arial" w:hAnsi="Arial" w:cs="Arial"/>
          <w:b/>
          <w:bCs/>
          <w:color w:val="000000" w:themeColor="text1"/>
          <w:szCs w:val="21"/>
          <w:shd w:val="clear" w:color="auto" w:fill="FFFFFF"/>
          <w14:textFill>
            <w14:solidFill>
              <w14:schemeClr w14:val="tx1"/>
            </w14:solidFill>
          </w14:textFill>
        </w:rPr>
        <w:t>F.</w:t>
      </w:r>
      <w:bookmarkStart w:id="18" w:name="OLE_LINK12"/>
      <w:r>
        <w:rPr>
          <w:rFonts w:ascii="Arial" w:hAnsi="Arial" w:cs="Arial"/>
          <w:b/>
          <w:bCs/>
          <w:color w:val="000000" w:themeColor="text1"/>
          <w:szCs w:val="21"/>
          <w:shd w:val="clear" w:color="auto" w:fill="FFFFFF"/>
          <w14:textFill>
            <w14:solidFill>
              <w14:schemeClr w14:val="tx1"/>
            </w14:solidFill>
          </w14:textFill>
        </w:rPr>
        <w:tab/>
      </w:r>
      <w:r>
        <w:rPr>
          <w:rFonts w:ascii="Arial" w:hAnsi="Arial" w:cs="Arial"/>
          <w:b/>
          <w:bCs/>
          <w:color w:val="000000" w:themeColor="text1"/>
          <w:szCs w:val="21"/>
          <w:u w:val="single"/>
          <w:shd w:val="clear" w:color="auto" w:fill="FFFFFF"/>
          <w14:textFill>
            <w14:solidFill>
              <w14:schemeClr w14:val="tx1"/>
            </w14:solidFill>
          </w14:textFill>
        </w:rPr>
        <w:t>结果</w:t>
      </w:r>
      <w:bookmarkEnd w:id="18"/>
    </w:p>
    <w:p w14:paraId="60595861">
      <w:pPr>
        <w:snapToGrid w:val="0"/>
        <w:spacing w:before="156" w:beforeLines="50" w:line="300" w:lineRule="auto"/>
        <w:ind w:left="741" w:leftChars="186" w:hanging="350" w:hangingChars="167"/>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1、应包括对结果解释的适当说明。</w:t>
      </w:r>
    </w:p>
    <w:p w14:paraId="4129C4DC">
      <w:pPr>
        <w:snapToGrid w:val="0"/>
        <w:spacing w:before="156" w:beforeLines="50" w:line="300" w:lineRule="auto"/>
        <w:ind w:left="741" w:leftChars="186" w:hanging="350" w:hangingChars="167"/>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2、应包括用于患者结果报告的推荐术语（不要简单地表述为阳性和阴性）。报告非反应性结果时可表述为“未检测到抗体”、“小于X倍稀释时表现非反应性”。“阴性”一词应避免单独使用。大于CO值的结果的报告应采用类似的方法。</w:t>
      </w:r>
    </w:p>
    <w:p w14:paraId="150D263F">
      <w:pPr>
        <w:snapToGrid w:val="0"/>
        <w:spacing w:before="156" w:beforeLines="50" w:line="300" w:lineRule="auto"/>
        <w:ind w:left="741" w:leftChars="186" w:hanging="350" w:hangingChars="167"/>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3、提供不确定的/边界结果推荐的补充（如“一周内重复取样患者样本不确定或重新测试”或“采用不同的方法重复测定样本不确定”）。</w:t>
      </w:r>
    </w:p>
    <w:p w14:paraId="2EFD80BA">
      <w:pPr>
        <w:numPr>
          <w:ilvl w:val="0"/>
          <w:numId w:val="3"/>
        </w:numPr>
        <w:snapToGrid w:val="0"/>
        <w:spacing w:before="156" w:beforeLines="50" w:line="300" w:lineRule="auto"/>
        <w:ind w:left="0" w:firstLine="0"/>
        <w:rPr>
          <w:rFonts w:ascii="Arial" w:hAnsi="Arial" w:cs="Arial"/>
          <w:b/>
          <w:szCs w:val="21"/>
          <w:shd w:val="clear" w:color="auto" w:fill="FFFFFF"/>
        </w:rPr>
      </w:pPr>
      <w:r>
        <w:rPr>
          <w:rFonts w:ascii="Arial" w:hAnsi="Arial" w:cs="Arial"/>
          <w:b/>
          <w:szCs w:val="21"/>
          <w:u w:val="single"/>
          <w:shd w:val="clear" w:color="auto" w:fill="FFFFFF"/>
        </w:rPr>
        <w:br w:type="page"/>
      </w:r>
      <w:r>
        <w:rPr>
          <w:rFonts w:ascii="Arial" w:hAnsi="Arial" w:cs="Arial"/>
          <w:b/>
          <w:szCs w:val="21"/>
          <w:shd w:val="clear" w:color="auto" w:fill="FFFFFF"/>
        </w:rPr>
        <w:t>程序的局限性。</w:t>
      </w:r>
    </w:p>
    <w:p w14:paraId="433865B9">
      <w:pPr>
        <w:snapToGrid w:val="0"/>
        <w:spacing w:before="156" w:beforeLines="50" w:line="300" w:lineRule="auto"/>
        <w:ind w:left="640" w:leftChars="199" w:hanging="222" w:hangingChars="106"/>
        <w:rPr>
          <w:rFonts w:ascii="Arial" w:hAnsi="Arial" w:cs="Arial"/>
          <w:szCs w:val="21"/>
          <w:shd w:val="clear" w:color="auto" w:fill="FFFFFF"/>
        </w:rPr>
      </w:pPr>
      <w:r>
        <w:rPr>
          <w:rFonts w:ascii="Arial" w:hAnsi="Arial" w:cs="Arial"/>
          <w:szCs w:val="21"/>
          <w:shd w:val="clear" w:color="auto" w:fill="FFFFFF"/>
        </w:rPr>
        <w:t>列出重要的测试局限性和所有已知的禁忌，适当的时候进行引用。下面是可以应用的声明的例子：</w:t>
      </w:r>
    </w:p>
    <w:p w14:paraId="06B83F15">
      <w:pPr>
        <w:numPr>
          <w:ilvl w:val="0"/>
          <w:numId w:val="23"/>
        </w:numPr>
        <w:snapToGrid w:val="0"/>
        <w:spacing w:before="156" w:beforeLines="50" w:line="300" w:lineRule="auto"/>
        <w:ind w:left="640" w:leftChars="199" w:hanging="222" w:hangingChars="106"/>
        <w:rPr>
          <w:rFonts w:ascii="Arial" w:hAnsi="Arial" w:cs="Arial"/>
          <w:szCs w:val="21"/>
          <w:shd w:val="clear" w:color="auto" w:fill="FFFFFF"/>
        </w:rPr>
      </w:pPr>
      <w:r>
        <w:rPr>
          <w:rFonts w:ascii="Arial" w:hAnsi="Arial" w:cs="Arial"/>
          <w:szCs w:val="21"/>
          <w:shd w:val="clear" w:color="auto" w:fill="FFFFFF"/>
        </w:rPr>
        <w:t>测试结果应该与患者临床评估和其他可用的诊断程序结合起来使用。</w:t>
      </w:r>
    </w:p>
    <w:p w14:paraId="7DDE5FF7">
      <w:pPr>
        <w:numPr>
          <w:ilvl w:val="0"/>
          <w:numId w:val="23"/>
        </w:numPr>
        <w:snapToGrid w:val="0"/>
        <w:spacing w:before="156" w:beforeLines="50" w:line="300" w:lineRule="auto"/>
        <w:ind w:left="640" w:leftChars="199" w:hanging="222" w:hangingChars="106"/>
        <w:rPr>
          <w:rFonts w:ascii="Arial" w:hAnsi="Arial" w:cs="Arial"/>
          <w:szCs w:val="21"/>
          <w:shd w:val="clear" w:color="auto" w:fill="FFFFFF"/>
        </w:rPr>
      </w:pPr>
      <w:r>
        <w:rPr>
          <w:rFonts w:ascii="Arial" w:hAnsi="Arial" w:cs="Arial"/>
          <w:szCs w:val="21"/>
          <w:shd w:val="clear" w:color="auto" w:fill="FFFFFF"/>
        </w:rPr>
        <w:t>全血或血清干燥至灭活滤纸上产生不同区段的IgM类抗体</w:t>
      </w:r>
      <w:r>
        <w:rPr>
          <w:rFonts w:ascii="Arial" w:hAnsi="Arial" w:cs="Arial"/>
          <w:szCs w:val="21"/>
          <w:shd w:val="clear" w:color="auto" w:fill="FFFFFF"/>
          <w:vertAlign w:val="superscript"/>
        </w:rPr>
        <w:t>3</w:t>
      </w:r>
      <w:r>
        <w:rPr>
          <w:rFonts w:ascii="Arial" w:hAnsi="Arial" w:cs="Arial"/>
          <w:szCs w:val="21"/>
          <w:shd w:val="clear" w:color="auto" w:fill="FFFFFF"/>
        </w:rPr>
        <w:t>。</w:t>
      </w:r>
    </w:p>
    <w:p w14:paraId="6A6DBB39">
      <w:pPr>
        <w:numPr>
          <w:ilvl w:val="0"/>
          <w:numId w:val="23"/>
        </w:numPr>
        <w:snapToGrid w:val="0"/>
        <w:spacing w:before="156" w:beforeLines="50" w:line="300" w:lineRule="auto"/>
        <w:ind w:left="640" w:leftChars="199" w:hanging="222" w:hangingChars="106"/>
        <w:rPr>
          <w:rFonts w:ascii="Arial" w:hAnsi="Arial" w:cs="Arial"/>
          <w:szCs w:val="21"/>
          <w:shd w:val="clear" w:color="auto" w:fill="FFFFFF"/>
        </w:rPr>
      </w:pPr>
      <w:r>
        <w:rPr>
          <w:rFonts w:ascii="Arial" w:hAnsi="Arial" w:cs="Arial"/>
          <w:szCs w:val="21"/>
          <w:shd w:val="clear" w:color="auto" w:fill="FFFFFF"/>
        </w:rPr>
        <w:t>感染期间，样本取样太早可能不含可检测到的IgM抗体。如怀疑病毒感染，应在7-14天后     获取第二个样本并与第一个样本同时测试，如血清转换或病毒特异性IgM或病毒特异性IgG滴度显著上升，这表明第一个样本感染。</w:t>
      </w:r>
    </w:p>
    <w:p w14:paraId="15C87427">
      <w:pPr>
        <w:numPr>
          <w:ilvl w:val="0"/>
          <w:numId w:val="23"/>
        </w:numPr>
        <w:snapToGrid w:val="0"/>
        <w:spacing w:before="156" w:beforeLines="50" w:line="300" w:lineRule="auto"/>
        <w:ind w:left="640" w:leftChars="199" w:hanging="222" w:hangingChars="106"/>
        <w:rPr>
          <w:rFonts w:ascii="Arial" w:hAnsi="Arial" w:cs="Arial"/>
          <w:szCs w:val="21"/>
          <w:shd w:val="clear" w:color="auto" w:fill="FFFFFF"/>
        </w:rPr>
      </w:pPr>
      <w:r>
        <w:rPr>
          <w:rFonts w:ascii="Arial" w:hAnsi="Arial" w:cs="Arial"/>
          <w:szCs w:val="21"/>
          <w:shd w:val="clear" w:color="auto" w:fill="FFFFFF"/>
        </w:rPr>
        <w:t>由于抗原结合位点的病毒特异性IgG抗体高滴度竞争，假低或假阴性IgM结果可能会出现</w:t>
      </w:r>
      <w:r>
        <w:rPr>
          <w:rFonts w:ascii="Arial" w:hAnsi="Arial" w:cs="Arial"/>
          <w:szCs w:val="21"/>
          <w:shd w:val="clear" w:color="auto" w:fill="FFFFFF"/>
          <w:vertAlign w:val="superscript"/>
        </w:rPr>
        <w:t>4</w:t>
      </w:r>
      <w:r>
        <w:rPr>
          <w:rFonts w:ascii="Arial" w:hAnsi="Arial" w:cs="Arial"/>
          <w:szCs w:val="21"/>
          <w:shd w:val="clear" w:color="auto" w:fill="FFFFFF"/>
        </w:rPr>
        <w:t>。“这是先天性病毒感染的新生儿血清中的一个特殊问题，因为他们的血清中含有高水平的母体来源病毒特异性IgG和胎儿产生的相对低水平的病毒特异性IgM”</w:t>
      </w:r>
      <w:r>
        <w:rPr>
          <w:rFonts w:ascii="Arial" w:hAnsi="Arial" w:cs="Arial"/>
          <w:szCs w:val="21"/>
          <w:shd w:val="clear" w:color="auto" w:fill="FFFFFF"/>
          <w:vertAlign w:val="superscript"/>
        </w:rPr>
        <w:t>5</w:t>
      </w:r>
      <w:r>
        <w:rPr>
          <w:rFonts w:ascii="Arial" w:hAnsi="Arial" w:cs="Arial"/>
          <w:szCs w:val="21"/>
          <w:shd w:val="clear" w:color="auto" w:fill="FFFFFF"/>
        </w:rPr>
        <w:t>。</w:t>
      </w:r>
    </w:p>
    <w:p w14:paraId="6ED2B6F7">
      <w:pPr>
        <w:numPr>
          <w:ilvl w:val="0"/>
          <w:numId w:val="23"/>
        </w:numPr>
        <w:snapToGrid w:val="0"/>
        <w:spacing w:before="156" w:beforeLines="50" w:line="300" w:lineRule="auto"/>
        <w:ind w:left="640" w:leftChars="199" w:hanging="222" w:hangingChars="106"/>
        <w:rPr>
          <w:rFonts w:ascii="Arial" w:hAnsi="Arial" w:cs="Arial"/>
          <w:szCs w:val="21"/>
          <w:shd w:val="clear" w:color="auto" w:fill="FFFFFF"/>
        </w:rPr>
      </w:pPr>
      <w:r>
        <w:rPr>
          <w:rFonts w:ascii="Arial" w:hAnsi="Arial" w:cs="Arial"/>
          <w:szCs w:val="21"/>
          <w:shd w:val="clear" w:color="auto" w:fill="FFFFFF"/>
        </w:rPr>
        <w:t>由于脐带血与母体IgM污染的可能性，应</w:t>
      </w:r>
      <w:bookmarkStart w:id="19" w:name="OLE_LINK13"/>
      <w:r>
        <w:rPr>
          <w:rFonts w:ascii="Arial" w:hAnsi="Arial" w:cs="Arial"/>
          <w:szCs w:val="21"/>
          <w:shd w:val="clear" w:color="auto" w:fill="FFFFFF"/>
        </w:rPr>
        <w:t>通过测试出生5天内的婴儿样</w:t>
      </w:r>
      <w:bookmarkEnd w:id="19"/>
      <w:r>
        <w:rPr>
          <w:rFonts w:ascii="Arial" w:hAnsi="Arial" w:cs="Arial"/>
          <w:szCs w:val="21"/>
          <w:shd w:val="clear" w:color="auto" w:fill="FFFFFF"/>
        </w:rPr>
        <w:t>本</w:t>
      </w:r>
      <w:r>
        <w:rPr>
          <w:rFonts w:ascii="Arial" w:hAnsi="Arial" w:cs="Arial"/>
          <w:szCs w:val="21"/>
          <w:shd w:val="clear" w:color="auto" w:fill="FFFFFF"/>
          <w:vertAlign w:val="superscript"/>
        </w:rPr>
        <w:t>5</w:t>
      </w:r>
      <w:r>
        <w:rPr>
          <w:rFonts w:ascii="Arial" w:hAnsi="Arial" w:cs="Arial"/>
          <w:szCs w:val="21"/>
          <w:shd w:val="clear" w:color="auto" w:fill="FFFFFF"/>
        </w:rPr>
        <w:t>，审慎确认脐带血样本的阳性病毒IgM抗体结果。</w:t>
      </w:r>
    </w:p>
    <w:p w14:paraId="7AE32265">
      <w:pPr>
        <w:numPr>
          <w:ilvl w:val="0"/>
          <w:numId w:val="23"/>
        </w:numPr>
        <w:snapToGrid w:val="0"/>
        <w:spacing w:before="156" w:beforeLines="50" w:line="300" w:lineRule="auto"/>
        <w:ind w:left="640" w:leftChars="199" w:hanging="222" w:hangingChars="106"/>
        <w:rPr>
          <w:rFonts w:ascii="Arial" w:hAnsi="Arial" w:cs="Arial"/>
          <w:szCs w:val="21"/>
          <w:shd w:val="clear" w:color="auto" w:fill="FFFFFF"/>
        </w:rPr>
      </w:pPr>
      <w:r>
        <w:rPr>
          <w:rFonts w:ascii="Arial" w:hAnsi="Arial" w:cs="Arial"/>
          <w:szCs w:val="21"/>
          <w:shd w:val="clear" w:color="auto" w:fill="FFFFFF"/>
        </w:rPr>
        <w:t>由于怀孕妇女的实验室检测不能可靠地反映胎儿疾病的风险，不推荐进行无症状母体感染合并终止妊娠的筛查。</w:t>
      </w:r>
    </w:p>
    <w:p w14:paraId="3EE2B0F7">
      <w:pPr>
        <w:numPr>
          <w:ilvl w:val="0"/>
          <w:numId w:val="23"/>
        </w:numPr>
        <w:snapToGrid w:val="0"/>
        <w:spacing w:before="156" w:beforeLines="50" w:line="300" w:lineRule="auto"/>
        <w:ind w:left="640" w:leftChars="199" w:hanging="222" w:hangingChars="106"/>
        <w:rPr>
          <w:rFonts w:ascii="Arial" w:hAnsi="Arial" w:cs="Arial"/>
          <w:szCs w:val="21"/>
          <w:shd w:val="clear" w:color="auto" w:fill="FFFFFF"/>
        </w:rPr>
      </w:pPr>
      <w:r>
        <w:rPr>
          <w:rFonts w:ascii="Arial" w:hAnsi="Arial" w:cs="Arial"/>
          <w:szCs w:val="21"/>
          <w:shd w:val="clear" w:color="auto" w:fill="FFFFFF"/>
        </w:rPr>
        <w:t>抑制免疫反应患者样本测试结果可能会很难解释。</w:t>
      </w:r>
    </w:p>
    <w:p w14:paraId="1F538F8C">
      <w:pPr>
        <w:numPr>
          <w:ilvl w:val="0"/>
          <w:numId w:val="23"/>
        </w:numPr>
        <w:snapToGrid w:val="0"/>
        <w:spacing w:before="156" w:beforeLines="50" w:line="300" w:lineRule="auto"/>
        <w:ind w:left="640" w:leftChars="199" w:hanging="222" w:hangingChars="106"/>
        <w:rPr>
          <w:rFonts w:ascii="Arial" w:hAnsi="Arial" w:cs="Arial"/>
          <w:szCs w:val="21"/>
          <w:shd w:val="clear" w:color="auto" w:fill="FFFFFF"/>
        </w:rPr>
      </w:pPr>
      <w:r>
        <w:rPr>
          <w:rFonts w:ascii="Arial" w:hAnsi="Arial" w:cs="Arial"/>
          <w:szCs w:val="21"/>
          <w:shd w:val="clear" w:color="auto" w:fill="FFFFFF"/>
        </w:rPr>
        <w:t>在过去数月内，接受过输血或其他血液制品的人，阳性结果可能无效。</w:t>
      </w:r>
    </w:p>
    <w:p w14:paraId="7FC19BFC">
      <w:pPr>
        <w:numPr>
          <w:ilvl w:val="0"/>
          <w:numId w:val="23"/>
        </w:numPr>
        <w:snapToGrid w:val="0"/>
        <w:spacing w:before="156" w:beforeLines="50" w:line="300" w:lineRule="auto"/>
        <w:ind w:left="640" w:leftChars="199" w:hanging="222" w:hangingChars="106"/>
        <w:rPr>
          <w:rFonts w:ascii="Arial" w:hAnsi="Arial" w:cs="Arial"/>
          <w:szCs w:val="21"/>
          <w:shd w:val="clear" w:color="auto" w:fill="FFFFFF"/>
        </w:rPr>
      </w:pPr>
      <w:r>
        <w:rPr>
          <w:rFonts w:ascii="Arial" w:hAnsi="Arial" w:cs="Arial"/>
          <w:szCs w:val="21"/>
          <w:shd w:val="clear" w:color="auto" w:fill="FFFFFF"/>
        </w:rPr>
        <w:t>抗靶向特异性的病毒IgG抗体可能与较低的目标特异性病毒IgM抗体相竞争，这将降低检测的灵敏度</w:t>
      </w:r>
      <w:bookmarkStart w:id="20" w:name="OLE_LINK14"/>
      <w:r>
        <w:rPr>
          <w:rFonts w:ascii="Arial" w:hAnsi="Arial" w:cs="Arial"/>
          <w:szCs w:val="21"/>
          <w:shd w:val="clear" w:color="auto" w:fill="FFFFFF"/>
          <w:vertAlign w:val="superscript"/>
        </w:rPr>
        <w:t>3</w:t>
      </w:r>
      <w:bookmarkEnd w:id="20"/>
      <w:r>
        <w:rPr>
          <w:rFonts w:ascii="Arial" w:hAnsi="Arial" w:cs="Arial"/>
          <w:szCs w:val="21"/>
          <w:shd w:val="clear" w:color="auto" w:fill="FFFFFF"/>
        </w:rPr>
        <w:t>。</w:t>
      </w:r>
    </w:p>
    <w:p w14:paraId="565A556F">
      <w:pPr>
        <w:numPr>
          <w:ilvl w:val="0"/>
          <w:numId w:val="23"/>
        </w:numPr>
        <w:snapToGrid w:val="0"/>
        <w:spacing w:before="156" w:beforeLines="50" w:line="300" w:lineRule="auto"/>
        <w:ind w:left="640" w:leftChars="199" w:hanging="222" w:hangingChars="106"/>
        <w:rPr>
          <w:rFonts w:ascii="Arial" w:hAnsi="Arial" w:cs="Arial"/>
          <w:szCs w:val="21"/>
          <w:shd w:val="clear" w:color="auto" w:fill="FFFFFF"/>
        </w:rPr>
      </w:pPr>
      <w:r>
        <w:rPr>
          <w:rFonts w:ascii="Arial" w:hAnsi="Arial" w:cs="Arial"/>
          <w:szCs w:val="21"/>
          <w:shd w:val="clear" w:color="auto" w:fill="FFFFFF"/>
        </w:rPr>
        <w:t>抗靶向特异性病毒IgM反应并不仅仅发生在原发性感染中，应认识到IgM反应可能发生在继发性和再活化感染中</w:t>
      </w:r>
      <w:r>
        <w:rPr>
          <w:rFonts w:ascii="Arial" w:hAnsi="Arial" w:cs="Arial"/>
          <w:szCs w:val="21"/>
          <w:shd w:val="clear" w:color="auto" w:fill="FFFFFF"/>
          <w:vertAlign w:val="superscript"/>
        </w:rPr>
        <w:t>3</w:t>
      </w:r>
      <w:r>
        <w:rPr>
          <w:rFonts w:ascii="Arial" w:hAnsi="Arial" w:cs="Arial"/>
          <w:szCs w:val="21"/>
          <w:shd w:val="clear" w:color="auto" w:fill="FFFFFF"/>
        </w:rPr>
        <w:t>。</w:t>
      </w:r>
    </w:p>
    <w:p w14:paraId="7A488DEC">
      <w:pPr>
        <w:numPr>
          <w:ilvl w:val="0"/>
          <w:numId w:val="23"/>
        </w:numPr>
        <w:snapToGrid w:val="0"/>
        <w:spacing w:before="156" w:beforeLines="50" w:line="300" w:lineRule="auto"/>
        <w:ind w:left="640" w:leftChars="199" w:hanging="222" w:hangingChars="106"/>
        <w:rPr>
          <w:rFonts w:ascii="Arial" w:hAnsi="Arial" w:cs="Arial"/>
          <w:szCs w:val="21"/>
          <w:shd w:val="clear" w:color="auto" w:fill="FFFFFF"/>
        </w:rPr>
      </w:pPr>
      <w:r>
        <w:rPr>
          <w:rFonts w:ascii="Arial" w:hAnsi="Arial" w:cs="Arial"/>
          <w:szCs w:val="21"/>
          <w:shd w:val="clear" w:color="auto" w:fill="FFFFFF"/>
        </w:rPr>
        <w:t>阳性试验的预测值下降时患病率降低。在低风险的患者人群阳性结果的解释应当心。这项测试的用处只在于建立在检测XXX患者（说明患者人群）的血清。</w:t>
      </w:r>
    </w:p>
    <w:p w14:paraId="3C6AB1C4">
      <w:pPr>
        <w:numPr>
          <w:ilvl w:val="0"/>
          <w:numId w:val="23"/>
        </w:numPr>
        <w:snapToGrid w:val="0"/>
        <w:spacing w:before="156" w:beforeLines="50" w:line="300" w:lineRule="auto"/>
        <w:ind w:left="640" w:leftChars="199" w:hanging="222" w:hangingChars="106"/>
        <w:rPr>
          <w:rFonts w:ascii="Arial" w:hAnsi="Arial" w:cs="Arial"/>
          <w:szCs w:val="21"/>
          <w:shd w:val="clear" w:color="auto" w:fill="FFFFFF"/>
        </w:rPr>
      </w:pPr>
      <w:r>
        <w:rPr>
          <w:rFonts w:ascii="Arial" w:hAnsi="Arial" w:cs="Arial"/>
          <w:szCs w:val="21"/>
          <w:shd w:val="clear" w:color="auto" w:fill="FFFFFF"/>
        </w:rPr>
        <w:t>特异性IgM抗体通常检测到在最近的原发感染的患者，但是也可能会在患者的再活化或继发性感染是检测到，并且有时没有发现患者最近感染的证据。</w:t>
      </w:r>
    </w:p>
    <w:p w14:paraId="6B9053C8">
      <w:pPr>
        <w:numPr>
          <w:ilvl w:val="0"/>
          <w:numId w:val="3"/>
        </w:numPr>
        <w:snapToGrid w:val="0"/>
        <w:spacing w:before="156" w:beforeLines="50" w:line="300" w:lineRule="auto"/>
        <w:ind w:left="0" w:firstLine="0"/>
        <w:rPr>
          <w:rFonts w:ascii="Arial" w:hAnsi="Arial" w:cs="Arial"/>
          <w:b/>
          <w:szCs w:val="21"/>
          <w:shd w:val="clear" w:color="auto" w:fill="FFFFFF"/>
        </w:rPr>
      </w:pPr>
      <w:r>
        <w:rPr>
          <w:rFonts w:ascii="Arial" w:hAnsi="Arial" w:cs="Arial"/>
          <w:b/>
          <w:szCs w:val="21"/>
          <w:u w:val="single"/>
          <w:shd w:val="clear" w:color="auto" w:fill="FFFFFF"/>
        </w:rPr>
        <w:br w:type="page"/>
      </w:r>
      <w:r>
        <w:rPr>
          <w:rFonts w:ascii="Arial" w:hAnsi="Arial" w:cs="Arial"/>
          <w:b/>
          <w:szCs w:val="21"/>
          <w:shd w:val="clear" w:color="auto" w:fill="FFFFFF"/>
        </w:rPr>
        <w:t>性能特征：</w:t>
      </w:r>
    </w:p>
    <w:p w14:paraId="7058F6B5">
      <w:pPr>
        <w:snapToGrid w:val="0"/>
        <w:spacing w:before="156" w:beforeLines="50" w:line="300" w:lineRule="auto"/>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总结基于性能特性的数据，如对比临床诊断的临床灵敏度和特异性；另包括重复性研究的总结。阳性和阴性预测值应根据每个疾病综合征抽样的特定人群。表明每个测试中心的患病率。还应说明不同的测试人群患病率对阳性和阴性预测值的影响。</w:t>
      </w:r>
    </w:p>
    <w:p w14:paraId="7CD2AD3E">
      <w:pPr>
        <w:numPr>
          <w:ilvl w:val="0"/>
          <w:numId w:val="24"/>
        </w:numPr>
        <w:snapToGrid w:val="0"/>
        <w:spacing w:before="156" w:beforeLines="50" w:line="300" w:lineRule="auto"/>
        <w:ind w:left="321" w:hanging="321" w:hangingChars="153"/>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以表格的形式提供交叉反应研究，指出每个条件/疾病的阴性、阳性和</w:t>
      </w:r>
      <w:bookmarkStart w:id="21" w:name="OLE_LINK15"/>
      <w:r>
        <w:rPr>
          <w:rFonts w:ascii="Arial" w:hAnsi="Arial" w:cs="Arial"/>
          <w:color w:val="000000" w:themeColor="text1"/>
          <w:szCs w:val="21"/>
          <w:shd w:val="clear" w:color="auto" w:fill="FFFFFF"/>
          <w14:textFill>
            <w14:solidFill>
              <w14:schemeClr w14:val="tx1"/>
            </w14:solidFill>
          </w14:textFill>
        </w:rPr>
        <w:t>边界/不确定/不确定的结果</w:t>
      </w:r>
      <w:bookmarkEnd w:id="21"/>
      <w:r>
        <w:rPr>
          <w:rFonts w:ascii="Arial" w:hAnsi="Arial" w:cs="Arial"/>
          <w:color w:val="000000" w:themeColor="text1"/>
          <w:szCs w:val="21"/>
          <w:shd w:val="clear" w:color="auto" w:fill="FFFFFF"/>
          <w14:textFill>
            <w14:solidFill>
              <w14:schemeClr w14:val="tx1"/>
            </w14:solidFill>
          </w14:textFill>
        </w:rPr>
        <w:t>。</w:t>
      </w:r>
    </w:p>
    <w:p w14:paraId="4D250698">
      <w:pPr>
        <w:numPr>
          <w:ilvl w:val="0"/>
          <w:numId w:val="24"/>
        </w:numPr>
        <w:snapToGrid w:val="0"/>
        <w:spacing w:before="156" w:beforeLines="50" w:line="300" w:lineRule="auto"/>
        <w:ind w:left="321" w:hanging="321" w:hangingChars="153"/>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总结批内和总的重复性。</w:t>
      </w:r>
    </w:p>
    <w:p w14:paraId="38EFA73D">
      <w:pPr>
        <w:numPr>
          <w:ilvl w:val="0"/>
          <w:numId w:val="24"/>
        </w:numPr>
        <w:snapToGrid w:val="0"/>
        <w:spacing w:before="156" w:beforeLines="50" w:line="300" w:lineRule="auto"/>
        <w:ind w:left="321" w:hanging="321" w:hangingChars="153"/>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根据不同的患者类别，提供临床研究数据。</w:t>
      </w:r>
      <w:bookmarkStart w:id="22" w:name="OLE_LINK16"/>
      <w:r>
        <w:rPr>
          <w:rFonts w:ascii="Arial" w:hAnsi="Arial" w:cs="Arial"/>
          <w:color w:val="000000" w:themeColor="text1"/>
          <w:szCs w:val="21"/>
          <w:shd w:val="clear" w:color="auto" w:fill="FFFFFF"/>
          <w14:textFill>
            <w14:solidFill>
              <w14:schemeClr w14:val="tx1"/>
            </w14:solidFill>
          </w14:textFill>
        </w:rPr>
        <w:t>明确列出所有边界的/不确定的/不确定的结果。</w:t>
      </w:r>
      <w:bookmarkEnd w:id="22"/>
      <w:r>
        <w:rPr>
          <w:rFonts w:ascii="Arial" w:hAnsi="Arial" w:cs="Arial"/>
          <w:color w:val="000000" w:themeColor="text1"/>
          <w:szCs w:val="21"/>
          <w:shd w:val="clear" w:color="auto" w:fill="FFFFFF"/>
          <w14:textFill>
            <w14:solidFill>
              <w14:schemeClr w14:val="tx1"/>
            </w14:solidFill>
          </w14:textFill>
        </w:rPr>
        <w:t>测试和临床诊断之间的差异应进行讨论，并作为脚注。</w:t>
      </w:r>
    </w:p>
    <w:p w14:paraId="363E9F52">
      <w:pPr>
        <w:numPr>
          <w:ilvl w:val="0"/>
          <w:numId w:val="24"/>
        </w:numPr>
        <w:snapToGrid w:val="0"/>
        <w:spacing w:before="156" w:beforeLines="50" w:line="300" w:lineRule="auto"/>
        <w:ind w:left="321" w:hanging="321" w:hangingChars="153"/>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提供对比研究数据。明确列出所有边界/模糊/不确定的结果。测试和参考方法之间的差异可以作为脚注或单独的表格来处理和呈现。</w:t>
      </w:r>
    </w:p>
    <w:p w14:paraId="27384B25">
      <w:pPr>
        <w:snapToGrid w:val="0"/>
        <w:spacing w:before="156" w:beforeLines="50" w:line="300" w:lineRule="auto"/>
        <w:rPr>
          <w:rFonts w:ascii="Arial" w:hAnsi="Arial" w:cs="Arial"/>
          <w:b/>
          <w:szCs w:val="21"/>
          <w:shd w:val="clear" w:color="auto" w:fill="FFFFFF"/>
        </w:rPr>
      </w:pPr>
      <w:r>
        <w:rPr>
          <w:rFonts w:hint="eastAsia" w:ascii="宋体" w:hAnsi="宋体" w:cs="宋体"/>
          <w:b/>
          <w:szCs w:val="21"/>
          <w:shd w:val="clear" w:color="auto" w:fill="FFFFFF"/>
        </w:rPr>
        <w:t>Ⅴ</w:t>
      </w:r>
      <w:r>
        <w:rPr>
          <w:rFonts w:ascii="Arial" w:hAnsi="Arial" w:cs="Arial"/>
          <w:b/>
          <w:szCs w:val="21"/>
          <w:shd w:val="clear" w:color="auto" w:fill="FFFFFF"/>
        </w:rPr>
        <w:t>.</w:t>
      </w:r>
      <w:r>
        <w:rPr>
          <w:rFonts w:ascii="Arial" w:hAnsi="Arial" w:cs="Arial"/>
          <w:b/>
          <w:szCs w:val="21"/>
          <w:shd w:val="clear" w:color="auto" w:fill="FFFFFF"/>
        </w:rPr>
        <w:tab/>
      </w:r>
      <w:r>
        <w:rPr>
          <w:rFonts w:hint="eastAsia" w:ascii="Arial" w:hAnsi="Arial" w:cs="Arial"/>
          <w:b/>
          <w:szCs w:val="21"/>
          <w:shd w:val="clear" w:color="auto" w:fill="FFFFFF"/>
        </w:rPr>
        <w:t>参考书目</w:t>
      </w:r>
    </w:p>
    <w:p w14:paraId="19DA2509">
      <w:pPr>
        <w:numPr>
          <w:ilvl w:val="3"/>
          <w:numId w:val="3"/>
        </w:numPr>
        <w:snapToGrid w:val="0"/>
        <w:spacing w:before="156" w:beforeLines="50" w:line="300" w:lineRule="auto"/>
        <w:ind w:left="420" w:hangingChars="200"/>
        <w:rPr>
          <w:rFonts w:ascii="Arial" w:hAnsi="Arial" w:cs="Arial"/>
          <w:szCs w:val="21"/>
          <w:shd w:val="clear" w:color="auto" w:fill="FFFFFF"/>
        </w:rPr>
      </w:pPr>
      <w:r>
        <w:rPr>
          <w:rFonts w:hint="eastAsia" w:ascii="Arial" w:hAnsi="Arial" w:cs="Arial"/>
          <w:szCs w:val="21"/>
          <w:shd w:val="clear" w:color="auto" w:fill="FFFFFF"/>
        </w:rPr>
        <w:t>国家临床实验室标准委员会</w:t>
      </w:r>
      <w:r>
        <w:rPr>
          <w:rFonts w:ascii="Arial" w:hAnsi="Arial" w:cs="Arial"/>
          <w:szCs w:val="21"/>
          <w:shd w:val="clear" w:color="auto" w:fill="FFFFFF"/>
        </w:rPr>
        <w:t>。</w:t>
      </w:r>
      <w:r>
        <w:rPr>
          <w:rFonts w:hint="eastAsia" w:ascii="Arial" w:hAnsi="Arial" w:cs="Arial"/>
          <w:szCs w:val="21"/>
          <w:shd w:val="clear" w:color="auto" w:fill="FFFFFF"/>
        </w:rPr>
        <w:t>传染病的免疫测试规范，指导方针。</w:t>
      </w:r>
      <w:r>
        <w:rPr>
          <w:rFonts w:ascii="Arial" w:hAnsi="Arial" w:cs="Arial"/>
          <w:szCs w:val="21"/>
          <w:shd w:val="clear" w:color="auto" w:fill="FFFFFF"/>
        </w:rPr>
        <w:t xml:space="preserve">1991. </w:t>
      </w:r>
      <w:bookmarkStart w:id="23" w:name="OLE_LINK24"/>
      <w:bookmarkStart w:id="24" w:name="OLE_LINK25"/>
      <w:r>
        <w:rPr>
          <w:rFonts w:hint="eastAsia" w:ascii="Arial" w:hAnsi="Arial" w:cs="Arial"/>
          <w:szCs w:val="21"/>
          <w:shd w:val="clear" w:color="auto" w:fill="FFFFFF"/>
        </w:rPr>
        <w:t>法令代码</w:t>
      </w:r>
      <w:bookmarkEnd w:id="23"/>
      <w:bookmarkEnd w:id="24"/>
      <w:r>
        <w:rPr>
          <w:rFonts w:ascii="Arial" w:hAnsi="Arial" w:cs="Arial"/>
          <w:szCs w:val="21"/>
          <w:shd w:val="clear" w:color="auto" w:fill="FFFFFF"/>
        </w:rPr>
        <w:t>I/LA 18-P</w:t>
      </w:r>
      <w:r>
        <w:rPr>
          <w:rFonts w:hint="eastAsia" w:ascii="Arial" w:hAnsi="Arial" w:cs="Arial"/>
          <w:szCs w:val="21"/>
          <w:shd w:val="clear" w:color="auto" w:fill="FFFFFF"/>
        </w:rPr>
        <w:t>。</w:t>
      </w:r>
    </w:p>
    <w:p w14:paraId="5B8DB6C4">
      <w:pPr>
        <w:numPr>
          <w:ilvl w:val="3"/>
          <w:numId w:val="3"/>
        </w:numPr>
        <w:snapToGrid w:val="0"/>
        <w:spacing w:before="156" w:beforeLines="50" w:line="300" w:lineRule="auto"/>
        <w:ind w:left="420" w:hangingChars="200"/>
        <w:rPr>
          <w:rFonts w:ascii="Arial" w:hAnsi="Arial" w:cs="Arial"/>
          <w:szCs w:val="21"/>
          <w:shd w:val="clear" w:color="auto" w:fill="FFFFFF"/>
        </w:rPr>
      </w:pPr>
      <w:r>
        <w:rPr>
          <w:rFonts w:hint="eastAsia" w:ascii="Arial" w:hAnsi="Arial" w:cs="Arial"/>
          <w:szCs w:val="21"/>
          <w:shd w:val="clear" w:color="auto" w:fill="FFFFFF"/>
        </w:rPr>
        <w:t>国家临床实验室标准委员会。临床化学器械的精确度性能评估，暂行指南</w:t>
      </w:r>
      <w:r>
        <w:rPr>
          <w:rFonts w:ascii="Arial" w:hAnsi="Arial" w:cs="Arial"/>
          <w:szCs w:val="21"/>
          <w:shd w:val="clear" w:color="auto" w:fill="FFFFFF"/>
        </w:rPr>
        <w:t xml:space="preserve">。1991. </w:t>
      </w:r>
      <w:r>
        <w:rPr>
          <w:rFonts w:hint="eastAsia" w:ascii="Arial" w:hAnsi="Arial" w:cs="Arial"/>
          <w:szCs w:val="21"/>
          <w:shd w:val="clear" w:color="auto" w:fill="FFFFFF"/>
        </w:rPr>
        <w:t>法令代码</w:t>
      </w:r>
      <w:r>
        <w:rPr>
          <w:rFonts w:ascii="Arial" w:hAnsi="Arial" w:cs="Arial"/>
          <w:szCs w:val="21"/>
          <w:shd w:val="clear" w:color="auto" w:fill="FFFFFF"/>
        </w:rPr>
        <w:t>EP5-T2</w:t>
      </w:r>
      <w:r>
        <w:rPr>
          <w:rFonts w:hint="eastAsia" w:ascii="Arial" w:hAnsi="Arial" w:cs="Arial"/>
          <w:szCs w:val="21"/>
          <w:shd w:val="clear" w:color="auto" w:fill="FFFFFF"/>
        </w:rPr>
        <w:t>。</w:t>
      </w:r>
    </w:p>
    <w:p w14:paraId="5E25C9BF">
      <w:pPr>
        <w:numPr>
          <w:ilvl w:val="3"/>
          <w:numId w:val="3"/>
        </w:numPr>
        <w:snapToGrid w:val="0"/>
        <w:spacing w:before="156" w:beforeLines="50" w:line="300" w:lineRule="auto"/>
        <w:ind w:left="420" w:hangingChars="200"/>
        <w:rPr>
          <w:rFonts w:ascii="Arial" w:hAnsi="Arial" w:cs="Arial"/>
          <w:szCs w:val="21"/>
          <w:shd w:val="clear" w:color="auto" w:fill="FFFFFF"/>
        </w:rPr>
      </w:pPr>
      <w:r>
        <w:rPr>
          <w:rFonts w:ascii="Arial" w:hAnsi="Arial" w:cs="Arial"/>
          <w:szCs w:val="21"/>
          <w:shd w:val="clear" w:color="auto" w:fill="FFFFFF"/>
        </w:rPr>
        <w:t>Schmidt NJ</w:t>
      </w:r>
      <w:r>
        <w:rPr>
          <w:rFonts w:hint="eastAsia" w:ascii="Arial" w:hAnsi="Arial" w:cs="Arial"/>
          <w:szCs w:val="21"/>
          <w:shd w:val="clear" w:color="auto" w:fill="FFFFFF"/>
        </w:rPr>
        <w:t>，</w:t>
      </w:r>
      <w:r>
        <w:rPr>
          <w:rFonts w:ascii="Arial" w:hAnsi="Arial" w:cs="Arial"/>
          <w:szCs w:val="21"/>
          <w:shd w:val="clear" w:color="auto" w:fill="FFFFFF"/>
        </w:rPr>
        <w:t>Emmons RW。</w:t>
      </w:r>
      <w:r>
        <w:rPr>
          <w:rFonts w:hint="eastAsia" w:ascii="Arial" w:hAnsi="Arial" w:cs="Arial"/>
          <w:szCs w:val="21"/>
          <w:shd w:val="clear" w:color="auto" w:fill="FFFFFF"/>
        </w:rPr>
        <w:t>病毒，立克次体和衣原体感染实验室诊断方法的一般原则</w:t>
      </w:r>
      <w:r>
        <w:rPr>
          <w:rFonts w:ascii="Arial" w:hAnsi="Arial" w:cs="Arial"/>
          <w:szCs w:val="21"/>
          <w:shd w:val="clear" w:color="auto" w:fill="FFFFFF"/>
        </w:rPr>
        <w:t>。</w:t>
      </w:r>
      <w:r>
        <w:rPr>
          <w:rFonts w:hint="eastAsia" w:ascii="Arial" w:hAnsi="Arial" w:cs="Arial"/>
          <w:szCs w:val="21"/>
          <w:shd w:val="clear" w:color="auto" w:fill="FFFFFF"/>
        </w:rPr>
        <w:t>在：</w:t>
      </w:r>
      <w:r>
        <w:rPr>
          <w:rFonts w:ascii="Arial" w:hAnsi="Arial" w:cs="Arial"/>
          <w:szCs w:val="21"/>
          <w:shd w:val="clear" w:color="auto" w:fill="FFFFFF"/>
        </w:rPr>
        <w:t>Schmidt NJ</w:t>
      </w:r>
      <w:r>
        <w:rPr>
          <w:rFonts w:hint="eastAsia" w:ascii="Arial" w:hAnsi="Arial" w:cs="Arial"/>
          <w:szCs w:val="21"/>
          <w:shd w:val="clear" w:color="auto" w:fill="FFFFFF"/>
        </w:rPr>
        <w:t>，</w:t>
      </w:r>
      <w:r>
        <w:rPr>
          <w:rFonts w:ascii="Arial" w:hAnsi="Arial" w:cs="Arial"/>
          <w:szCs w:val="21"/>
          <w:shd w:val="clear" w:color="auto" w:fill="FFFFFF"/>
        </w:rPr>
        <w:t>Emmons</w:t>
      </w:r>
      <w:r>
        <w:rPr>
          <w:rFonts w:hint="eastAsia" w:ascii="Arial" w:hAnsi="Arial" w:cs="Arial"/>
          <w:szCs w:val="21"/>
          <w:shd w:val="clear" w:color="auto" w:fill="FFFFFF"/>
        </w:rPr>
        <w:t>，</w:t>
      </w:r>
      <w:r>
        <w:rPr>
          <w:rFonts w:ascii="Arial" w:hAnsi="Arial" w:cs="Arial"/>
          <w:szCs w:val="21"/>
          <w:shd w:val="clear" w:color="auto" w:fill="FFFFFF"/>
        </w:rPr>
        <w:t>RW</w:t>
      </w:r>
      <w:r>
        <w:rPr>
          <w:rFonts w:hint="eastAsia" w:ascii="Arial" w:hAnsi="Arial" w:cs="Arial"/>
          <w:szCs w:val="21"/>
          <w:shd w:val="clear" w:color="auto" w:fill="FFFFFF"/>
        </w:rPr>
        <w:t>，</w:t>
      </w:r>
      <w:r>
        <w:rPr>
          <w:rFonts w:ascii="Arial" w:hAnsi="Arial" w:cs="Arial"/>
          <w:szCs w:val="21"/>
          <w:shd w:val="clear" w:color="auto" w:fill="FFFFFF"/>
        </w:rPr>
        <w:t>eds</w:t>
      </w:r>
      <w:r>
        <w:rPr>
          <w:rFonts w:hint="eastAsia" w:ascii="Arial" w:hAnsi="Arial" w:cs="Arial"/>
          <w:szCs w:val="21"/>
          <w:shd w:val="clear" w:color="auto" w:fill="FFFFFF"/>
        </w:rPr>
        <w:t>，用于病毒，立克次体和衣原体感染的诊断程序，第</w:t>
      </w:r>
      <w:r>
        <w:rPr>
          <w:rFonts w:ascii="Arial" w:hAnsi="Arial" w:cs="Arial"/>
          <w:szCs w:val="21"/>
          <w:shd w:val="clear" w:color="auto" w:fill="FFFFFF"/>
        </w:rPr>
        <w:t>6</w:t>
      </w:r>
      <w:r>
        <w:rPr>
          <w:rFonts w:hint="eastAsia" w:ascii="Arial" w:hAnsi="Arial" w:cs="Arial"/>
          <w:szCs w:val="21"/>
          <w:shd w:val="clear" w:color="auto" w:fill="FFFFFF"/>
        </w:rPr>
        <w:t>版</w:t>
      </w:r>
      <w:r>
        <w:rPr>
          <w:rFonts w:ascii="Arial" w:hAnsi="Arial" w:cs="Arial"/>
          <w:szCs w:val="21"/>
          <w:shd w:val="clear" w:color="auto" w:fill="FFFFFF"/>
        </w:rPr>
        <w:t>。</w:t>
      </w:r>
      <w:r>
        <w:rPr>
          <w:rFonts w:hint="eastAsia" w:ascii="Arial" w:hAnsi="Arial" w:cs="Arial"/>
          <w:szCs w:val="21"/>
          <w:shd w:val="clear" w:color="auto" w:fill="FFFFFF"/>
        </w:rPr>
        <w:t>华盛顿特区：美国公众健康协会</w:t>
      </w:r>
      <w:r>
        <w:rPr>
          <w:rFonts w:ascii="Arial" w:hAnsi="Arial" w:cs="Arial"/>
          <w:szCs w:val="21"/>
          <w:shd w:val="clear" w:color="auto" w:fill="FFFFFF"/>
        </w:rPr>
        <w:t xml:space="preserve"> 1989</w:t>
      </w:r>
      <w:r>
        <w:rPr>
          <w:rFonts w:hint="eastAsia" w:ascii="Arial" w:hAnsi="Arial" w:cs="Arial"/>
          <w:szCs w:val="21"/>
          <w:shd w:val="clear" w:color="auto" w:fill="FFFFFF"/>
        </w:rPr>
        <w:t>：</w:t>
      </w:r>
      <w:r>
        <w:rPr>
          <w:rFonts w:ascii="Arial" w:hAnsi="Arial" w:cs="Arial"/>
          <w:szCs w:val="21"/>
          <w:shd w:val="clear" w:color="auto" w:fill="FFFFFF"/>
        </w:rPr>
        <w:t>1-35</w:t>
      </w:r>
      <w:r>
        <w:rPr>
          <w:rFonts w:hint="eastAsia" w:ascii="Arial" w:hAnsi="Arial" w:cs="Arial"/>
          <w:szCs w:val="21"/>
          <w:shd w:val="clear" w:color="auto" w:fill="FFFFFF"/>
        </w:rPr>
        <w:t>。</w:t>
      </w:r>
    </w:p>
    <w:p w14:paraId="33BB5A88">
      <w:pPr>
        <w:snapToGrid w:val="0"/>
        <w:spacing w:before="156" w:beforeLines="50" w:line="300" w:lineRule="auto"/>
        <w:ind w:left="420"/>
        <w:rPr>
          <w:rFonts w:ascii="Arial" w:hAnsi="Arial" w:cs="Arial"/>
          <w:szCs w:val="21"/>
          <w:shd w:val="clear" w:color="auto" w:fill="FFFFFF"/>
        </w:rPr>
      </w:pPr>
      <w:r>
        <w:rPr>
          <w:rFonts w:ascii="Arial" w:hAnsi="Arial" w:cs="Arial"/>
          <w:szCs w:val="21"/>
          <w:shd w:val="clear" w:color="auto" w:fill="FFFFFF"/>
        </w:rPr>
        <w:br w:type="page"/>
      </w:r>
    </w:p>
    <w:p w14:paraId="3CE8FBE1">
      <w:pPr>
        <w:numPr>
          <w:ilvl w:val="3"/>
          <w:numId w:val="3"/>
        </w:numPr>
        <w:snapToGrid w:val="0"/>
        <w:spacing w:before="156" w:beforeLines="50" w:line="300" w:lineRule="auto"/>
        <w:ind w:left="420" w:hangingChars="200"/>
        <w:rPr>
          <w:rFonts w:ascii="Arial" w:hAnsi="Arial" w:cs="Arial"/>
          <w:szCs w:val="21"/>
          <w:shd w:val="clear" w:color="auto" w:fill="FFFFFF"/>
        </w:rPr>
      </w:pPr>
      <w:r>
        <w:rPr>
          <w:rFonts w:ascii="Arial" w:hAnsi="Arial" w:cs="Arial"/>
          <w:szCs w:val="21"/>
          <w:shd w:val="clear" w:color="auto" w:fill="FFFFFF"/>
        </w:rPr>
        <w:t>Chernesky MA</w:t>
      </w:r>
      <w:r>
        <w:rPr>
          <w:rFonts w:hint="eastAsia" w:ascii="Arial" w:hAnsi="Arial" w:cs="Arial"/>
          <w:szCs w:val="21"/>
          <w:shd w:val="clear" w:color="auto" w:fill="FFFFFF"/>
        </w:rPr>
        <w:t>，</w:t>
      </w:r>
      <w:r>
        <w:rPr>
          <w:rFonts w:ascii="Arial" w:hAnsi="Arial" w:cs="Arial"/>
          <w:szCs w:val="21"/>
          <w:shd w:val="clear" w:color="auto" w:fill="FFFFFF"/>
        </w:rPr>
        <w:t>Ray CG</w:t>
      </w:r>
      <w:r>
        <w:rPr>
          <w:rFonts w:hint="eastAsia" w:ascii="Arial" w:hAnsi="Arial" w:cs="Arial"/>
          <w:szCs w:val="21"/>
          <w:shd w:val="clear" w:color="auto" w:fill="FFFFFF"/>
        </w:rPr>
        <w:t>，</w:t>
      </w:r>
      <w:r>
        <w:rPr>
          <w:rFonts w:ascii="Arial" w:hAnsi="Arial" w:cs="Arial"/>
          <w:szCs w:val="21"/>
          <w:shd w:val="clear" w:color="auto" w:fill="FFFFFF"/>
        </w:rPr>
        <w:t>Smith TF。</w:t>
      </w:r>
      <w:r>
        <w:rPr>
          <w:rFonts w:hint="eastAsia" w:ascii="Arial" w:hAnsi="Arial" w:cs="Arial"/>
          <w:szCs w:val="21"/>
          <w:shd w:val="clear" w:color="auto" w:fill="FFFFFF"/>
        </w:rPr>
        <w:t>病毒感染实验室诊断</w:t>
      </w:r>
      <w:r>
        <w:rPr>
          <w:rFonts w:ascii="Arial" w:hAnsi="Arial" w:cs="Arial"/>
          <w:szCs w:val="21"/>
          <w:shd w:val="clear" w:color="auto" w:fill="FFFFFF"/>
        </w:rPr>
        <w:t>。Cumitech 15</w:t>
      </w:r>
      <w:r>
        <w:rPr>
          <w:rFonts w:hint="eastAsia" w:ascii="Arial" w:hAnsi="Arial" w:cs="Arial"/>
          <w:szCs w:val="21"/>
          <w:shd w:val="clear" w:color="auto" w:fill="FFFFFF"/>
        </w:rPr>
        <w:t>，页码</w:t>
      </w:r>
      <w:r>
        <w:rPr>
          <w:rFonts w:ascii="Arial" w:hAnsi="Arial" w:cs="Arial"/>
          <w:szCs w:val="21"/>
          <w:shd w:val="clear" w:color="auto" w:fill="FFFFFF"/>
        </w:rPr>
        <w:t>10.</w:t>
      </w:r>
      <w:r>
        <w:rPr>
          <w:rFonts w:hint="eastAsia" w:ascii="Arial" w:hAnsi="Arial" w:cs="Arial"/>
          <w:szCs w:val="21"/>
          <w:shd w:val="clear" w:color="auto" w:fill="FFFFFF"/>
        </w:rPr>
        <w:t>临床微生物学的累积技术和程序</w:t>
      </w:r>
      <w:r>
        <w:rPr>
          <w:rFonts w:ascii="Arial" w:hAnsi="Arial" w:cs="Arial"/>
          <w:szCs w:val="21"/>
          <w:shd w:val="clear" w:color="auto" w:fill="FFFFFF"/>
        </w:rPr>
        <w:t>。ASM。</w:t>
      </w:r>
      <w:r>
        <w:rPr>
          <w:rFonts w:hint="eastAsia" w:ascii="Arial" w:hAnsi="Arial" w:cs="Arial"/>
          <w:szCs w:val="21"/>
          <w:shd w:val="clear" w:color="auto" w:fill="FFFFFF"/>
        </w:rPr>
        <w:t>华盛顿。</w:t>
      </w:r>
      <w:r>
        <w:rPr>
          <w:rFonts w:ascii="Arial" w:hAnsi="Arial" w:cs="Arial"/>
          <w:szCs w:val="21"/>
          <w:shd w:val="clear" w:color="auto" w:fill="FFFFFF"/>
        </w:rPr>
        <w:t>1982</w:t>
      </w:r>
      <w:r>
        <w:rPr>
          <w:rFonts w:hint="eastAsia" w:ascii="Arial" w:hAnsi="Arial" w:cs="Arial"/>
          <w:szCs w:val="21"/>
          <w:shd w:val="clear" w:color="auto" w:fill="FFFFFF"/>
        </w:rPr>
        <w:t>年</w:t>
      </w:r>
      <w:r>
        <w:rPr>
          <w:rFonts w:ascii="Arial" w:hAnsi="Arial" w:cs="Arial"/>
          <w:szCs w:val="21"/>
          <w:shd w:val="clear" w:color="auto" w:fill="FFFFFF"/>
        </w:rPr>
        <w:t>3</w:t>
      </w:r>
      <w:r>
        <w:rPr>
          <w:rFonts w:hint="eastAsia" w:ascii="Arial" w:hAnsi="Arial" w:cs="Arial"/>
          <w:szCs w:val="21"/>
          <w:shd w:val="clear" w:color="auto" w:fill="FFFFFF"/>
        </w:rPr>
        <w:t>月。</w:t>
      </w:r>
    </w:p>
    <w:p w14:paraId="48C12EB0">
      <w:pPr>
        <w:numPr>
          <w:ilvl w:val="3"/>
          <w:numId w:val="3"/>
        </w:numPr>
        <w:snapToGrid w:val="0"/>
        <w:spacing w:before="156" w:beforeLines="50" w:line="300" w:lineRule="auto"/>
        <w:ind w:left="420" w:hangingChars="200"/>
        <w:rPr>
          <w:rFonts w:ascii="Arial" w:hAnsi="Arial" w:cs="Arial"/>
          <w:szCs w:val="21"/>
          <w:shd w:val="clear" w:color="auto" w:fill="FFFFFF"/>
        </w:rPr>
      </w:pPr>
      <w:r>
        <w:rPr>
          <w:rFonts w:ascii="Arial" w:hAnsi="Arial" w:cs="Arial"/>
          <w:szCs w:val="21"/>
          <w:shd w:val="clear" w:color="auto" w:fill="FFFFFF"/>
        </w:rPr>
        <w:t>Schmidt NJ.</w:t>
      </w:r>
      <w:r>
        <w:rPr>
          <w:rFonts w:hint="eastAsia" w:ascii="Arial" w:hAnsi="Arial" w:cs="Arial"/>
          <w:szCs w:val="21"/>
          <w:shd w:val="clear" w:color="auto" w:fill="FFFFFF"/>
        </w:rPr>
        <w:t>针对特异性病毒抗体测定的更新。临床免疫学通讯。</w:t>
      </w:r>
      <w:r>
        <w:rPr>
          <w:rFonts w:ascii="Arial" w:hAnsi="Arial" w:cs="Arial"/>
          <w:szCs w:val="21"/>
          <w:shd w:val="clear" w:color="auto" w:fill="FFFFFF"/>
        </w:rPr>
        <w:t>1984</w:t>
      </w:r>
      <w:r>
        <w:rPr>
          <w:rFonts w:hint="eastAsia" w:ascii="Arial" w:hAnsi="Arial" w:cs="Arial"/>
          <w:szCs w:val="21"/>
          <w:shd w:val="clear" w:color="auto" w:fill="FFFFFF"/>
        </w:rPr>
        <w:t>年</w:t>
      </w:r>
      <w:r>
        <w:rPr>
          <w:rFonts w:ascii="Arial" w:hAnsi="Arial" w:cs="Arial"/>
          <w:szCs w:val="21"/>
          <w:shd w:val="clear" w:color="auto" w:fill="FFFFFF"/>
        </w:rPr>
        <w:t>6</w:t>
      </w:r>
      <w:r>
        <w:rPr>
          <w:rFonts w:hint="eastAsia" w:ascii="Arial" w:hAnsi="Arial" w:cs="Arial"/>
          <w:szCs w:val="21"/>
          <w:shd w:val="clear" w:color="auto" w:fill="FFFFFF"/>
        </w:rPr>
        <w:t>月；</w:t>
      </w:r>
      <w:r>
        <w:rPr>
          <w:rFonts w:ascii="Arial" w:hAnsi="Arial" w:cs="Arial"/>
          <w:szCs w:val="21"/>
          <w:shd w:val="clear" w:color="auto" w:fill="FFFFFF"/>
        </w:rPr>
        <w:t>5(6): 8 1-85.</w:t>
      </w:r>
    </w:p>
    <w:p w14:paraId="143C5FCB">
      <w:pPr>
        <w:numPr>
          <w:ilvl w:val="3"/>
          <w:numId w:val="3"/>
        </w:numPr>
        <w:snapToGrid w:val="0"/>
        <w:spacing w:before="156" w:beforeLines="50" w:line="300" w:lineRule="auto"/>
        <w:ind w:left="420" w:hangingChars="200"/>
        <w:rPr>
          <w:rFonts w:ascii="Arial" w:hAnsi="Arial" w:cs="Arial"/>
          <w:szCs w:val="21"/>
          <w:shd w:val="clear" w:color="auto" w:fill="FFFFFF"/>
        </w:rPr>
      </w:pPr>
      <w:r>
        <w:rPr>
          <w:rFonts w:ascii="Arial" w:hAnsi="Arial" w:cs="Arial"/>
          <w:szCs w:val="21"/>
          <w:shd w:val="clear" w:color="auto" w:fill="FFFFFF"/>
        </w:rPr>
        <w:t>Griffiths PD</w:t>
      </w:r>
      <w:r>
        <w:rPr>
          <w:rFonts w:hint="eastAsia" w:ascii="Arial" w:hAnsi="Arial" w:cs="Arial"/>
          <w:szCs w:val="21"/>
          <w:shd w:val="clear" w:color="auto" w:fill="FFFFFF"/>
        </w:rPr>
        <w:t>，</w:t>
      </w:r>
      <w:r>
        <w:rPr>
          <w:rFonts w:ascii="Arial" w:hAnsi="Arial" w:cs="Arial"/>
          <w:szCs w:val="21"/>
          <w:shd w:val="clear" w:color="auto" w:fill="FFFFFF"/>
        </w:rPr>
        <w:t>Baboonian C</w:t>
      </w:r>
      <w:r>
        <w:rPr>
          <w:rFonts w:hint="eastAsia" w:ascii="Arial" w:hAnsi="Arial" w:cs="Arial"/>
          <w:szCs w:val="21"/>
          <w:shd w:val="clear" w:color="auto" w:fill="FFFFFF"/>
        </w:rPr>
        <w:t>，</w:t>
      </w:r>
      <w:r>
        <w:rPr>
          <w:rFonts w:ascii="Arial" w:hAnsi="Arial" w:cs="Arial"/>
          <w:szCs w:val="21"/>
          <w:shd w:val="clear" w:color="auto" w:fill="FFFFFF"/>
        </w:rPr>
        <w:t>Butler D</w:t>
      </w:r>
      <w:r>
        <w:rPr>
          <w:rFonts w:hint="eastAsia" w:ascii="Arial" w:hAnsi="Arial" w:cs="Arial"/>
          <w:szCs w:val="21"/>
          <w:shd w:val="clear" w:color="auto" w:fill="FFFFFF"/>
        </w:rPr>
        <w:t>，</w:t>
      </w:r>
      <w:r>
        <w:rPr>
          <w:rFonts w:ascii="Arial" w:hAnsi="Arial" w:cs="Arial"/>
          <w:szCs w:val="21"/>
          <w:shd w:val="clear" w:color="auto" w:fill="FFFFFF"/>
        </w:rPr>
        <w:t xml:space="preserve">Peckham C. </w:t>
      </w:r>
      <w:r>
        <w:rPr>
          <w:rFonts w:hint="eastAsia" w:ascii="Arial" w:hAnsi="Arial" w:cs="Arial"/>
          <w:szCs w:val="21"/>
          <w:shd w:val="clear" w:color="auto" w:fill="FFFFFF"/>
        </w:rPr>
        <w:t>伦敦人口的先天性和母体巨细胞病毒感染</w:t>
      </w:r>
      <w:r>
        <w:rPr>
          <w:rFonts w:ascii="Arial" w:hAnsi="Arial" w:cs="Arial"/>
          <w:szCs w:val="21"/>
          <w:shd w:val="clear" w:color="auto" w:fill="FFFFFF"/>
        </w:rPr>
        <w:t>。Br J Obstet Gynaecol。1991; 98</w:t>
      </w:r>
      <w:r>
        <w:rPr>
          <w:rFonts w:hint="eastAsia" w:ascii="Arial" w:hAnsi="Arial" w:cs="Arial"/>
          <w:szCs w:val="21"/>
          <w:shd w:val="clear" w:color="auto" w:fill="FFFFFF"/>
        </w:rPr>
        <w:t>（</w:t>
      </w:r>
      <w:r>
        <w:rPr>
          <w:rFonts w:ascii="Arial" w:hAnsi="Arial" w:cs="Arial"/>
          <w:szCs w:val="21"/>
          <w:shd w:val="clear" w:color="auto" w:fill="FFFFFF"/>
        </w:rPr>
        <w:t>2</w:t>
      </w:r>
      <w:r>
        <w:rPr>
          <w:rFonts w:hint="eastAsia" w:ascii="Arial" w:hAnsi="Arial" w:cs="Arial"/>
          <w:szCs w:val="21"/>
          <w:shd w:val="clear" w:color="auto" w:fill="FFFFFF"/>
        </w:rPr>
        <w:t>）：</w:t>
      </w:r>
      <w:r>
        <w:rPr>
          <w:rFonts w:ascii="Arial" w:hAnsi="Arial" w:cs="Arial"/>
          <w:szCs w:val="21"/>
          <w:shd w:val="clear" w:color="auto" w:fill="FFFFFF"/>
        </w:rPr>
        <w:t>135-140</w:t>
      </w:r>
      <w:r>
        <w:rPr>
          <w:rFonts w:hint="eastAsia" w:ascii="Arial" w:hAnsi="Arial" w:cs="Arial"/>
          <w:szCs w:val="21"/>
          <w:shd w:val="clear" w:color="auto" w:fill="FFFFFF"/>
        </w:rPr>
        <w:t>。</w:t>
      </w:r>
    </w:p>
    <w:p w14:paraId="6596D56C">
      <w:pPr>
        <w:snapToGrid w:val="0"/>
        <w:spacing w:before="156" w:beforeLines="50" w:line="300" w:lineRule="auto"/>
        <w:rPr>
          <w:rFonts w:ascii="Arial" w:hAnsi="Arial" w:cs="Arial"/>
          <w:b/>
          <w:szCs w:val="21"/>
          <w:u w:val="single"/>
          <w:shd w:val="clear" w:color="auto" w:fill="FFFFFF"/>
        </w:rPr>
      </w:pPr>
    </w:p>
    <w:p w14:paraId="2D8922D0">
      <w:pPr>
        <w:snapToGrid w:val="0"/>
        <w:spacing w:before="156" w:beforeLines="50" w:line="300" w:lineRule="auto"/>
        <w:ind w:firstLine="14"/>
        <w:rPr>
          <w:rFonts w:hint="eastAsia" w:eastAsia="宋体"/>
          <w:lang w:eastAsia="zh-CN"/>
        </w:rPr>
      </w:pPr>
    </w:p>
    <w:p w14:paraId="23E292D7">
      <w:pPr>
        <w:snapToGrid w:val="0"/>
        <w:spacing w:before="156" w:beforeLines="50" w:line="300" w:lineRule="auto"/>
        <w:ind w:firstLine="14"/>
        <w:jc w:val="center"/>
        <w:rPr>
          <w:rFonts w:hint="eastAsia" w:eastAsia="宋体"/>
          <w:lang w:eastAsia="zh-CN"/>
        </w:rPr>
      </w:pPr>
    </w:p>
    <w:p w14:paraId="6D64A7BE">
      <w:pPr>
        <w:snapToGrid w:val="0"/>
        <w:spacing w:before="156" w:beforeLines="50" w:line="300" w:lineRule="auto"/>
        <w:ind w:firstLine="14"/>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4" w:type="default"/>
      <w:footerReference r:id="rId5" w:type="default"/>
      <w:pgSz w:w="11906" w:h="16838"/>
      <w:pgMar w:top="1134" w:right="1134" w:bottom="1134" w:left="1134" w:header="851"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roman"/>
    <w:pitch w:val="default"/>
    <w:sig w:usb0="00000000" w:usb1="00000000" w:usb2="00000010" w:usb3="00000000" w:csb0="00020000" w:csb1="00000000"/>
  </w:font>
  <w:font w:name="ＭＳ 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B1BCA">
    <w:pPr>
      <w:pStyle w:val="7"/>
      <w:jc w:val="center"/>
      <w:rPr>
        <w:rFonts w:ascii="Arial" w:hAnsi="Arial" w:cs="Arial"/>
        <w:sz w:val="21"/>
        <w:szCs w:val="21"/>
      </w:rPr>
    </w:pPr>
    <w:r>
      <w:rPr>
        <w:rFonts w:ascii="Arial" w:hAnsi="Arial" w:cs="Arial"/>
        <w:sz w:val="21"/>
        <w:szCs w:val="21"/>
      </w:rPr>
      <mc:AlternateContent>
        <mc:Choice Requires="wps">
          <w:drawing>
            <wp:anchor distT="0" distB="0" distL="114300" distR="114300" simplePos="0" relativeHeight="251659264" behindDoc="0" locked="0" layoutInCell="1" allowOverlap="1">
              <wp:simplePos x="0" y="0"/>
              <wp:positionH relativeFrom="column">
                <wp:posOffset>147955</wp:posOffset>
              </wp:positionH>
              <wp:positionV relativeFrom="paragraph">
                <wp:posOffset>-9525</wp:posOffset>
              </wp:positionV>
              <wp:extent cx="1402715" cy="240030"/>
              <wp:effectExtent l="0" t="0" r="1905" b="0"/>
              <wp:wrapNone/>
              <wp:docPr id="4" name="Text Box 1"/>
              <wp:cNvGraphicFramePr/>
              <a:graphic xmlns:a="http://schemas.openxmlformats.org/drawingml/2006/main">
                <a:graphicData uri="http://schemas.microsoft.com/office/word/2010/wordprocessingShape">
                  <wps:wsp>
                    <wps:cNvSpPr txBox="1">
                      <a:spLocks noChangeArrowheads="1"/>
                    </wps:cNvSpPr>
                    <wps:spPr bwMode="auto">
                      <a:xfrm>
                        <a:off x="0" y="0"/>
                        <a:ext cx="1402715" cy="240030"/>
                      </a:xfrm>
                      <a:prstGeom prst="rect">
                        <a:avLst/>
                      </a:prstGeom>
                      <a:noFill/>
                      <a:ln>
                        <a:noFill/>
                      </a:ln>
                    </wps:spPr>
                    <wps:txbx>
                      <w:txbxContent>
                        <w:p w14:paraId="1E4240AA">
                          <w:r>
                            <w:drawing>
                              <wp:inline distT="0" distB="0" distL="0" distR="0">
                                <wp:extent cx="925195" cy="139065"/>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925195" cy="13906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11.65pt;margin-top:-0.75pt;height:18.9pt;width:110.45pt;z-index:251659264;mso-width-relative:page;mso-height-relative:page;" filled="f" stroked="f" coordsize="21600,21600" o:gfxdata="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p8mRtYAAAAIAQAADwAAAAAAAAABACAAAAAiAAAAZHJz&#10;L2Rvd25yZXYueG1sUEsBAhQAFAAAAAgAh07iQOTtH4oGAgAAFAQAAA4AAAAAAAAAAQAgAAAAJQEA&#10;AGRycy9lMm9Eb2MueG1sUEsFBgAAAAAGAAYAWQEAAJ0FAAAAAA==&#10;">
              <v:fill on="f" focussize="0,0"/>
              <v:stroke on="f"/>
              <v:imagedata o:title=""/>
              <o:lock v:ext="edit" aspectratio="f"/>
              <v:textbox>
                <w:txbxContent>
                  <w:p w14:paraId="1E4240AA">
                    <w:r>
                      <w:drawing>
                        <wp:inline distT="0" distB="0" distL="0" distR="0">
                          <wp:extent cx="925195" cy="139065"/>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925195" cy="139065"/>
                                  </a:xfrm>
                                  <a:prstGeom prst="rect">
                                    <a:avLst/>
                                  </a:prstGeom>
                                </pic:spPr>
                              </pic:pic>
                            </a:graphicData>
                          </a:graphic>
                        </wp:inline>
                      </w:drawing>
                    </w:r>
                  </w:p>
                </w:txbxContent>
              </v:textbox>
            </v:shape>
          </w:pict>
        </mc:Fallback>
      </mc:AlternateContent>
    </w:r>
    <w:r>
      <w:rPr>
        <w:rFonts w:ascii="Arial" w:hAnsi="Arial" w:cs="Arial"/>
        <w:sz w:val="21"/>
        <w:szCs w:val="21"/>
      </w:rPr>
      <w:t>页码</w:t>
    </w: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15</w:t>
    </w:r>
    <w:r>
      <w:rPr>
        <w:rFonts w:ascii="Arial" w:hAnsi="Arial" w:cs="Arial"/>
        <w:sz w:val="21"/>
        <w:szCs w:val="21"/>
      </w:rPr>
      <w:fldChar w:fldCharType="end"/>
    </w:r>
  </w:p>
  <w:p w14:paraId="53B29628">
    <w:pPr>
      <w:pStyle w:val="7"/>
      <w:tabs>
        <w:tab w:val="left" w:pos="1513"/>
        <w:tab w:val="clear" w:pos="4153"/>
        <w:tab w:val="clear" w:pos="8306"/>
      </w:tabs>
      <w:rPr>
        <w:rFonts w:ascii="Arial" w:hAnsi="Arial" w:cs="Arial"/>
      </w:rPr>
    </w:pPr>
    <w:r>
      <w:rPr>
        <w:rFonts w:ascii="Arial" w:hAnsi="Arial" w:cs="Arial"/>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CADC4">
    <w:pPr>
      <w:pStyle w:val="8"/>
      <w:pBdr>
        <w:bottom w:val="none" w:color="auto" w:sz="0" w:space="0"/>
      </w:pBdr>
      <w:jc w:val="right"/>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76A7D">
    <w:pPr>
      <w:tabs>
        <w:tab w:val="left" w:pos="7513"/>
      </w:tabs>
      <w:snapToGrid w:val="0"/>
      <w:spacing w:before="120" w:beforeLines="50" w:line="300" w:lineRule="auto"/>
      <w:ind w:firstLine="14"/>
      <w:rPr>
        <w:rFonts w:ascii="Arial" w:hAnsi="Arial" w:cs="Arial"/>
        <w:szCs w:val="21"/>
        <w:shd w:val="clear" w:color="auto" w:fill="FFFFFF"/>
      </w:rPr>
    </w:pPr>
    <w:r>
      <w:rPr>
        <w:rFonts w:ascii="Arial" w:hAnsi="Arial" w:cs="Arial"/>
        <w:b/>
        <w:szCs w:val="21"/>
        <w:shd w:val="clear" w:color="auto" w:fill="FFFFFF"/>
      </w:rPr>
      <w:t>草案</w:t>
    </w:r>
    <w:r>
      <w:rPr>
        <w:rFonts w:ascii="Arial" w:hAnsi="Arial" w:cs="Arial"/>
        <w:b/>
        <w:szCs w:val="21"/>
        <w:shd w:val="clear" w:color="auto" w:fill="FFFFFF"/>
      </w:rPr>
      <w:tab/>
    </w:r>
    <w:r>
      <w:rPr>
        <w:rFonts w:ascii="Arial" w:hAnsi="Arial" w:cs="Arial"/>
        <w:szCs w:val="21"/>
        <w:shd w:val="clear" w:color="auto" w:fill="FFFFFF"/>
      </w:rPr>
      <w:t>原始版本1992年8月</w:t>
    </w:r>
  </w:p>
  <w:p w14:paraId="0AE14238">
    <w:pPr>
      <w:pStyle w:val="8"/>
      <w:pBdr>
        <w:bottom w:val="none" w:color="auto" w:sz="0" w:space="0"/>
      </w:pBdr>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80263"/>
    <w:multiLevelType w:val="multilevel"/>
    <w:tmpl w:val="00980263"/>
    <w:lvl w:ilvl="0" w:tentative="0">
      <w:start w:val="1"/>
      <w:numFmt w:val="lowerLetter"/>
      <w:lvlText w:val="%1."/>
      <w:lvlJc w:val="left"/>
      <w:pPr>
        <w:ind w:left="780" w:hanging="360"/>
      </w:pPr>
      <w:rPr>
        <w:rFonts w:hint="default"/>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AE762EF"/>
    <w:multiLevelType w:val="multilevel"/>
    <w:tmpl w:val="0AE762EF"/>
    <w:lvl w:ilvl="0" w:tentative="0">
      <w:start w:val="1"/>
      <w:numFmt w:val="decimal"/>
      <w:lvlText w:val="%1、"/>
      <w:lvlJc w:val="left"/>
      <w:pPr>
        <w:ind w:left="870" w:hanging="360"/>
      </w:pPr>
      <w:rPr>
        <w:rFonts w:hint="default"/>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2">
    <w:nsid w:val="16E15F99"/>
    <w:multiLevelType w:val="multilevel"/>
    <w:tmpl w:val="16E15F99"/>
    <w:lvl w:ilvl="0" w:tentative="0">
      <w:start w:val="1"/>
      <w:numFmt w:val="upperLetter"/>
      <w:lvlText w:val="%1."/>
      <w:lvlJc w:val="left"/>
      <w:pPr>
        <w:ind w:left="510" w:hanging="510"/>
      </w:pPr>
      <w:rPr>
        <w:rFonts w:hint="default" w:hAnsi="Times New Roman"/>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425897"/>
    <w:multiLevelType w:val="multilevel"/>
    <w:tmpl w:val="1F425897"/>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C1673BB"/>
    <w:multiLevelType w:val="singleLevel"/>
    <w:tmpl w:val="2C1673BB"/>
    <w:lvl w:ilvl="0" w:tentative="0">
      <w:start w:val="1"/>
      <w:numFmt w:val="bullet"/>
      <w:pStyle w:val="3"/>
      <w:lvlText w:val="●"/>
      <w:lvlJc w:val="left"/>
      <w:pPr>
        <w:tabs>
          <w:tab w:val="left" w:pos="1080"/>
        </w:tabs>
        <w:ind w:left="1080" w:hanging="360"/>
      </w:pPr>
      <w:rPr>
        <w:rFonts w:ascii="Times New Roman" w:hAnsi="Times New Roman" w:cs="Times New Roman"/>
        <w:b w:val="0"/>
        <w:i w:val="0"/>
        <w:caps w:val="0"/>
        <w:sz w:val="24"/>
        <w:u w:val="none"/>
        <w:vertAlign w:val="baseline"/>
      </w:rPr>
    </w:lvl>
  </w:abstractNum>
  <w:abstractNum w:abstractNumId="5">
    <w:nsid w:val="31140023"/>
    <w:multiLevelType w:val="multilevel"/>
    <w:tmpl w:val="31140023"/>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decimal"/>
      <w:lvlText w:val="（%3）"/>
      <w:lvlJc w:val="left"/>
      <w:pPr>
        <w:ind w:left="1560" w:hanging="720"/>
      </w:pPr>
      <w:rPr>
        <w:rFonts w:hint="default"/>
      </w:rPr>
    </w:lvl>
    <w:lvl w:ilvl="3" w:tentative="0">
      <w:start w:val="1"/>
      <w:numFmt w:val="decimal"/>
      <w:lvlText w:val="%4、"/>
      <w:lvlJc w:val="left"/>
      <w:pPr>
        <w:ind w:left="1620" w:hanging="36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951275D"/>
    <w:multiLevelType w:val="multilevel"/>
    <w:tmpl w:val="3951275D"/>
    <w:lvl w:ilvl="0" w:tentative="0">
      <w:start w:val="1"/>
      <w:numFmt w:val="decimal"/>
      <w:lvlText w:val="%1、"/>
      <w:lvlJc w:val="left"/>
      <w:pPr>
        <w:ind w:left="570" w:hanging="360"/>
      </w:pPr>
      <w:rPr>
        <w:rFonts w:hint="default"/>
      </w:rPr>
    </w:lvl>
    <w:lvl w:ilvl="1" w:tentative="0">
      <w:start w:val="1"/>
      <w:numFmt w:val="lowerLetter"/>
      <w:lvlText w:val="%2."/>
      <w:lvlJc w:val="left"/>
      <w:pPr>
        <w:ind w:left="990" w:hanging="360"/>
      </w:pPr>
      <w:rPr>
        <w:rFonts w:hint="default"/>
      </w:r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7">
    <w:nsid w:val="396C2E48"/>
    <w:multiLevelType w:val="multilevel"/>
    <w:tmpl w:val="396C2E48"/>
    <w:lvl w:ilvl="0" w:tentative="0">
      <w:start w:val="1"/>
      <w:numFmt w:val="decimal"/>
      <w:lvlText w:val="%1、"/>
      <w:lvlJc w:val="left"/>
      <w:pPr>
        <w:ind w:left="870" w:hanging="360"/>
      </w:pPr>
      <w:rPr>
        <w:rFonts w:hint="default"/>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8">
    <w:nsid w:val="410B0450"/>
    <w:multiLevelType w:val="singleLevel"/>
    <w:tmpl w:val="410B0450"/>
    <w:lvl w:ilvl="0" w:tentative="0">
      <w:start w:val="1"/>
      <w:numFmt w:val="decimal"/>
      <w:pStyle w:val="26"/>
      <w:lvlText w:val="%1."/>
      <w:lvlJc w:val="right"/>
      <w:pPr>
        <w:tabs>
          <w:tab w:val="left" w:pos="648"/>
        </w:tabs>
        <w:ind w:left="648" w:hanging="360"/>
      </w:pPr>
      <w:rPr>
        <w:rFonts w:ascii="Times New Roman" w:hAnsi="Times New Roman" w:cs="Times New Roman"/>
        <w:b w:val="0"/>
        <w:i w:val="0"/>
        <w:caps w:val="0"/>
        <w:sz w:val="24"/>
        <w:u w:val="none"/>
        <w:vertAlign w:val="baseline"/>
      </w:rPr>
    </w:lvl>
  </w:abstractNum>
  <w:abstractNum w:abstractNumId="9">
    <w:nsid w:val="4B24580E"/>
    <w:multiLevelType w:val="multilevel"/>
    <w:tmpl w:val="4B24580E"/>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2BD6765"/>
    <w:multiLevelType w:val="multilevel"/>
    <w:tmpl w:val="52BD6765"/>
    <w:lvl w:ilvl="0" w:tentative="0">
      <w:start w:val="1"/>
      <w:numFmt w:val="decimal"/>
      <w:lvlText w:val="（%1）"/>
      <w:lvlJc w:val="left"/>
      <w:pPr>
        <w:ind w:left="720" w:hanging="720"/>
      </w:pPr>
      <w:rPr>
        <w:rFonts w:hint="default"/>
      </w:rPr>
    </w:lvl>
    <w:lvl w:ilvl="1" w:tentative="0">
      <w:start w:val="1"/>
      <w:numFmt w:val="lowerLetter"/>
      <w:lvlText w:val="%2."/>
      <w:lvlJc w:val="left"/>
      <w:pPr>
        <w:ind w:left="780" w:hanging="360"/>
      </w:pPr>
      <w:rPr>
        <w:rFonts w:hint="default"/>
      </w:rPr>
    </w:lvl>
    <w:lvl w:ilvl="2" w:tentative="0">
      <w:start w:val="1"/>
      <w:numFmt w:val="lowerLetter"/>
      <w:lvlText w:val="%3."/>
      <w:lvlJc w:val="left"/>
      <w:pPr>
        <w:ind w:left="1560" w:hanging="7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87B3E02"/>
    <w:multiLevelType w:val="multilevel"/>
    <w:tmpl w:val="587B3E02"/>
    <w:lvl w:ilvl="0" w:tentative="0">
      <w:start w:val="1"/>
      <w:numFmt w:val="upperLetter"/>
      <w:lvlText w:val="%1."/>
      <w:lvlJc w:val="left"/>
      <w:pPr>
        <w:ind w:left="360" w:hanging="360"/>
      </w:pPr>
      <w:rPr>
        <w:rFonts w:hint="default" w:hAnsi="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8E39983"/>
    <w:multiLevelType w:val="singleLevel"/>
    <w:tmpl w:val="58E39983"/>
    <w:lvl w:ilvl="0" w:tentative="0">
      <w:start w:val="1"/>
      <w:numFmt w:val="lowerLetter"/>
      <w:suff w:val="space"/>
      <w:lvlText w:val="%1."/>
      <w:lvlJc w:val="left"/>
    </w:lvl>
  </w:abstractNum>
  <w:abstractNum w:abstractNumId="13">
    <w:nsid w:val="58E3A0F9"/>
    <w:multiLevelType w:val="singleLevel"/>
    <w:tmpl w:val="58E3A0F9"/>
    <w:lvl w:ilvl="0" w:tentative="0">
      <w:start w:val="2"/>
      <w:numFmt w:val="decimal"/>
      <w:suff w:val="nothing"/>
      <w:lvlText w:val="%1、"/>
      <w:lvlJc w:val="left"/>
    </w:lvl>
  </w:abstractNum>
  <w:abstractNum w:abstractNumId="14">
    <w:nsid w:val="58E3A6BF"/>
    <w:multiLevelType w:val="singleLevel"/>
    <w:tmpl w:val="58E3A6BF"/>
    <w:lvl w:ilvl="0" w:tentative="0">
      <w:start w:val="1"/>
      <w:numFmt w:val="lowerLetter"/>
      <w:suff w:val="space"/>
      <w:lvlText w:val="%1."/>
      <w:lvlJc w:val="left"/>
    </w:lvl>
  </w:abstractNum>
  <w:abstractNum w:abstractNumId="15">
    <w:nsid w:val="58E3B727"/>
    <w:multiLevelType w:val="singleLevel"/>
    <w:tmpl w:val="58E3B727"/>
    <w:lvl w:ilvl="0" w:tentative="0">
      <w:start w:val="1"/>
      <w:numFmt w:val="lowerLetter"/>
      <w:suff w:val="space"/>
      <w:lvlText w:val="%1."/>
      <w:lvlJc w:val="left"/>
    </w:lvl>
  </w:abstractNum>
  <w:abstractNum w:abstractNumId="16">
    <w:nsid w:val="58E3C815"/>
    <w:multiLevelType w:val="singleLevel"/>
    <w:tmpl w:val="58E3C815"/>
    <w:lvl w:ilvl="0" w:tentative="0">
      <w:start w:val="1"/>
      <w:numFmt w:val="decimal"/>
      <w:suff w:val="nothing"/>
      <w:lvlText w:val="%1、"/>
      <w:lvlJc w:val="left"/>
    </w:lvl>
  </w:abstractNum>
  <w:abstractNum w:abstractNumId="17">
    <w:nsid w:val="61636B21"/>
    <w:multiLevelType w:val="multilevel"/>
    <w:tmpl w:val="61636B21"/>
    <w:lvl w:ilvl="0" w:tentative="0">
      <w:start w:val="1"/>
      <w:numFmt w:val="decimal"/>
      <w:lvlText w:val="（%1）"/>
      <w:lvlJc w:val="left"/>
      <w:pPr>
        <w:ind w:left="720" w:hanging="720"/>
      </w:pPr>
      <w:rPr>
        <w:rFonts w:hint="default"/>
      </w:rPr>
    </w:lvl>
    <w:lvl w:ilvl="1" w:tentative="0">
      <w:start w:val="1"/>
      <w:numFmt w:val="lowerLetter"/>
      <w:lvlText w:val="%2."/>
      <w:lvlJc w:val="left"/>
      <w:pPr>
        <w:ind w:left="780" w:hanging="360"/>
      </w:pPr>
      <w:rPr>
        <w:rFonts w:hint="default"/>
      </w:rPr>
    </w:lvl>
    <w:lvl w:ilvl="2" w:tentative="0">
      <w:start w:val="1"/>
      <w:numFmt w:val="lowerLetter"/>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C0C4675"/>
    <w:multiLevelType w:val="multilevel"/>
    <w:tmpl w:val="6C0C4675"/>
    <w:lvl w:ilvl="0" w:tentative="0">
      <w:start w:val="1"/>
      <w:numFmt w:val="decimal"/>
      <w:lvlText w:val="%1、"/>
      <w:lvlJc w:val="left"/>
      <w:pPr>
        <w:ind w:left="570" w:hanging="360"/>
      </w:pPr>
      <w:rPr>
        <w:rFonts w:hint="default"/>
      </w:rPr>
    </w:lvl>
    <w:lvl w:ilvl="1" w:tentative="0">
      <w:start w:val="1"/>
      <w:numFmt w:val="lowerLetter"/>
      <w:lvlText w:val="%2."/>
      <w:lvlJc w:val="left"/>
      <w:pPr>
        <w:ind w:left="990" w:hanging="360"/>
      </w:pPr>
      <w:rPr>
        <w:rFonts w:hint="default"/>
      </w:r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9">
    <w:nsid w:val="6D4405E7"/>
    <w:multiLevelType w:val="multilevel"/>
    <w:tmpl w:val="6D4405E7"/>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707344AF"/>
    <w:multiLevelType w:val="multilevel"/>
    <w:tmpl w:val="707344AF"/>
    <w:lvl w:ilvl="0" w:tentative="0">
      <w:start w:val="1"/>
      <w:numFmt w:val="decimal"/>
      <w:lvlText w:val="%1、"/>
      <w:lvlJc w:val="left"/>
      <w:pPr>
        <w:ind w:left="870" w:hanging="360"/>
      </w:pPr>
      <w:rPr>
        <w:rFonts w:hint="default"/>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21">
    <w:nsid w:val="748569A9"/>
    <w:multiLevelType w:val="multilevel"/>
    <w:tmpl w:val="748569A9"/>
    <w:lvl w:ilvl="0" w:tentative="0">
      <w:start w:val="1"/>
      <w:numFmt w:val="decimal"/>
      <w:lvlText w:val="%1、"/>
      <w:lvlJc w:val="left"/>
      <w:pPr>
        <w:ind w:left="780" w:hanging="360"/>
      </w:pPr>
      <w:rPr>
        <w:rFonts w:hint="default"/>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7851199D"/>
    <w:multiLevelType w:val="multilevel"/>
    <w:tmpl w:val="7851199D"/>
    <w:lvl w:ilvl="0" w:tentative="0">
      <w:start w:val="1"/>
      <w:numFmt w:val="decimal"/>
      <w:lvlText w:val="%1、"/>
      <w:lvlJc w:val="left"/>
      <w:pPr>
        <w:ind w:left="870" w:hanging="360"/>
      </w:pPr>
      <w:rPr>
        <w:rFonts w:hint="default"/>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23">
    <w:nsid w:val="7E960426"/>
    <w:multiLevelType w:val="multilevel"/>
    <w:tmpl w:val="7E960426"/>
    <w:lvl w:ilvl="0" w:tentative="0">
      <w:start w:val="1"/>
      <w:numFmt w:val="lowerLetter"/>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4"/>
  </w:num>
  <w:num w:numId="2">
    <w:abstractNumId w:val="8"/>
  </w:num>
  <w:num w:numId="3">
    <w:abstractNumId w:val="11"/>
  </w:num>
  <w:num w:numId="4">
    <w:abstractNumId w:val="3"/>
  </w:num>
  <w:num w:numId="5">
    <w:abstractNumId w:val="6"/>
  </w:num>
  <w:num w:numId="6">
    <w:abstractNumId w:val="18"/>
  </w:num>
  <w:num w:numId="7">
    <w:abstractNumId w:val="19"/>
  </w:num>
  <w:num w:numId="8">
    <w:abstractNumId w:val="23"/>
  </w:num>
  <w:num w:numId="9">
    <w:abstractNumId w:val="0"/>
  </w:num>
  <w:num w:numId="10">
    <w:abstractNumId w:val="2"/>
  </w:num>
  <w:num w:numId="11">
    <w:abstractNumId w:val="7"/>
  </w:num>
  <w:num w:numId="12">
    <w:abstractNumId w:val="17"/>
  </w:num>
  <w:num w:numId="13">
    <w:abstractNumId w:val="10"/>
  </w:num>
  <w:num w:numId="14">
    <w:abstractNumId w:val="5"/>
  </w:num>
  <w:num w:numId="15">
    <w:abstractNumId w:val="12"/>
  </w:num>
  <w:num w:numId="16">
    <w:abstractNumId w:val="13"/>
  </w:num>
  <w:num w:numId="17">
    <w:abstractNumId w:val="14"/>
  </w:num>
  <w:num w:numId="18">
    <w:abstractNumId w:val="9"/>
  </w:num>
  <w:num w:numId="19">
    <w:abstractNumId w:val="21"/>
  </w:num>
  <w:num w:numId="20">
    <w:abstractNumId w:val="22"/>
  </w:num>
  <w:num w:numId="21">
    <w:abstractNumId w:val="1"/>
  </w:num>
  <w:num w:numId="22">
    <w:abstractNumId w:val="20"/>
  </w:num>
  <w:num w:numId="23">
    <w:abstractNumId w:val="1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52"/>
    <w:rsid w:val="0000207D"/>
    <w:rsid w:val="000050D4"/>
    <w:rsid w:val="000159A0"/>
    <w:rsid w:val="000208C1"/>
    <w:rsid w:val="00021FBB"/>
    <w:rsid w:val="00023D33"/>
    <w:rsid w:val="00027B74"/>
    <w:rsid w:val="00031795"/>
    <w:rsid w:val="00031E49"/>
    <w:rsid w:val="0003236D"/>
    <w:rsid w:val="00037F94"/>
    <w:rsid w:val="00040083"/>
    <w:rsid w:val="00041310"/>
    <w:rsid w:val="00043A2E"/>
    <w:rsid w:val="00045A69"/>
    <w:rsid w:val="00052D66"/>
    <w:rsid w:val="00054336"/>
    <w:rsid w:val="00056886"/>
    <w:rsid w:val="00060B9E"/>
    <w:rsid w:val="00063D88"/>
    <w:rsid w:val="000643EA"/>
    <w:rsid w:val="0006541F"/>
    <w:rsid w:val="00070AFF"/>
    <w:rsid w:val="000716DB"/>
    <w:rsid w:val="00073100"/>
    <w:rsid w:val="00073C5D"/>
    <w:rsid w:val="00074659"/>
    <w:rsid w:val="00076963"/>
    <w:rsid w:val="000770B1"/>
    <w:rsid w:val="00077F43"/>
    <w:rsid w:val="00080C71"/>
    <w:rsid w:val="00080C98"/>
    <w:rsid w:val="000839CB"/>
    <w:rsid w:val="00084373"/>
    <w:rsid w:val="00085053"/>
    <w:rsid w:val="0008578E"/>
    <w:rsid w:val="00085DE2"/>
    <w:rsid w:val="00093F37"/>
    <w:rsid w:val="00095A57"/>
    <w:rsid w:val="000A3678"/>
    <w:rsid w:val="000A4F23"/>
    <w:rsid w:val="000A5FDE"/>
    <w:rsid w:val="000B2241"/>
    <w:rsid w:val="000B26C8"/>
    <w:rsid w:val="000B41D4"/>
    <w:rsid w:val="000B6C86"/>
    <w:rsid w:val="000B6E4A"/>
    <w:rsid w:val="000B7649"/>
    <w:rsid w:val="000C2A98"/>
    <w:rsid w:val="000C4968"/>
    <w:rsid w:val="000C6BAB"/>
    <w:rsid w:val="000C7C34"/>
    <w:rsid w:val="000D2660"/>
    <w:rsid w:val="000D304D"/>
    <w:rsid w:val="000D3B68"/>
    <w:rsid w:val="000D4093"/>
    <w:rsid w:val="000D502A"/>
    <w:rsid w:val="000D6AAC"/>
    <w:rsid w:val="000D7194"/>
    <w:rsid w:val="000D7FB3"/>
    <w:rsid w:val="000E0DF4"/>
    <w:rsid w:val="000E0F7F"/>
    <w:rsid w:val="000E11E9"/>
    <w:rsid w:val="000E5F16"/>
    <w:rsid w:val="000E6172"/>
    <w:rsid w:val="000E7541"/>
    <w:rsid w:val="000E7A1B"/>
    <w:rsid w:val="000F0707"/>
    <w:rsid w:val="000F0BAA"/>
    <w:rsid w:val="000F2CEF"/>
    <w:rsid w:val="000F3EBE"/>
    <w:rsid w:val="000F50D5"/>
    <w:rsid w:val="000F7CB2"/>
    <w:rsid w:val="00100465"/>
    <w:rsid w:val="00100FE4"/>
    <w:rsid w:val="00101686"/>
    <w:rsid w:val="00104035"/>
    <w:rsid w:val="00104E38"/>
    <w:rsid w:val="001052CD"/>
    <w:rsid w:val="001069EB"/>
    <w:rsid w:val="001069F8"/>
    <w:rsid w:val="001076C5"/>
    <w:rsid w:val="00112035"/>
    <w:rsid w:val="001123B5"/>
    <w:rsid w:val="00112865"/>
    <w:rsid w:val="00112B5B"/>
    <w:rsid w:val="00113549"/>
    <w:rsid w:val="001260B1"/>
    <w:rsid w:val="001276F0"/>
    <w:rsid w:val="001337F6"/>
    <w:rsid w:val="001349CA"/>
    <w:rsid w:val="00141701"/>
    <w:rsid w:val="00142A99"/>
    <w:rsid w:val="00143E39"/>
    <w:rsid w:val="00145889"/>
    <w:rsid w:val="00146594"/>
    <w:rsid w:val="001473E7"/>
    <w:rsid w:val="001515F7"/>
    <w:rsid w:val="001542C7"/>
    <w:rsid w:val="00155326"/>
    <w:rsid w:val="00155B41"/>
    <w:rsid w:val="0016132A"/>
    <w:rsid w:val="0017165A"/>
    <w:rsid w:val="00172A9F"/>
    <w:rsid w:val="001732E6"/>
    <w:rsid w:val="001778BA"/>
    <w:rsid w:val="00177B28"/>
    <w:rsid w:val="00183C23"/>
    <w:rsid w:val="00185B36"/>
    <w:rsid w:val="00186401"/>
    <w:rsid w:val="00186F2A"/>
    <w:rsid w:val="00194631"/>
    <w:rsid w:val="00196E72"/>
    <w:rsid w:val="00196FC5"/>
    <w:rsid w:val="001A0E56"/>
    <w:rsid w:val="001A1A20"/>
    <w:rsid w:val="001A6902"/>
    <w:rsid w:val="001A7496"/>
    <w:rsid w:val="001A7AC2"/>
    <w:rsid w:val="001A7BC9"/>
    <w:rsid w:val="001B351B"/>
    <w:rsid w:val="001B452C"/>
    <w:rsid w:val="001B56B4"/>
    <w:rsid w:val="001B784B"/>
    <w:rsid w:val="001B7EEF"/>
    <w:rsid w:val="001C17BD"/>
    <w:rsid w:val="001C1DE5"/>
    <w:rsid w:val="001C66AD"/>
    <w:rsid w:val="001D0007"/>
    <w:rsid w:val="001D30E0"/>
    <w:rsid w:val="001D41BD"/>
    <w:rsid w:val="001D796D"/>
    <w:rsid w:val="001D7ECC"/>
    <w:rsid w:val="001E61F6"/>
    <w:rsid w:val="001F0DFA"/>
    <w:rsid w:val="001F1A90"/>
    <w:rsid w:val="001F2138"/>
    <w:rsid w:val="001F3DC9"/>
    <w:rsid w:val="001F66C0"/>
    <w:rsid w:val="00201C7F"/>
    <w:rsid w:val="00210DBC"/>
    <w:rsid w:val="002121F8"/>
    <w:rsid w:val="00214347"/>
    <w:rsid w:val="00214542"/>
    <w:rsid w:val="00215D6B"/>
    <w:rsid w:val="00217EBB"/>
    <w:rsid w:val="00220D6F"/>
    <w:rsid w:val="002219AE"/>
    <w:rsid w:val="002231DA"/>
    <w:rsid w:val="00224A4F"/>
    <w:rsid w:val="00227042"/>
    <w:rsid w:val="00227F5D"/>
    <w:rsid w:val="00231C1E"/>
    <w:rsid w:val="002326B7"/>
    <w:rsid w:val="002375EB"/>
    <w:rsid w:val="00237B18"/>
    <w:rsid w:val="002416B7"/>
    <w:rsid w:val="00241C09"/>
    <w:rsid w:val="0024250C"/>
    <w:rsid w:val="00243245"/>
    <w:rsid w:val="0024650A"/>
    <w:rsid w:val="00247DC1"/>
    <w:rsid w:val="00251B2A"/>
    <w:rsid w:val="00252C09"/>
    <w:rsid w:val="002614E2"/>
    <w:rsid w:val="0026593B"/>
    <w:rsid w:val="00270493"/>
    <w:rsid w:val="00270AB9"/>
    <w:rsid w:val="00276E31"/>
    <w:rsid w:val="0027753A"/>
    <w:rsid w:val="0028296D"/>
    <w:rsid w:val="00284AD0"/>
    <w:rsid w:val="0028538A"/>
    <w:rsid w:val="00285E1E"/>
    <w:rsid w:val="00286ED2"/>
    <w:rsid w:val="0029260B"/>
    <w:rsid w:val="002A4B76"/>
    <w:rsid w:val="002B0FEC"/>
    <w:rsid w:val="002B19C1"/>
    <w:rsid w:val="002B2FF7"/>
    <w:rsid w:val="002B5657"/>
    <w:rsid w:val="002B5DCA"/>
    <w:rsid w:val="002B75B9"/>
    <w:rsid w:val="002C4539"/>
    <w:rsid w:val="002C5DFE"/>
    <w:rsid w:val="002C5E74"/>
    <w:rsid w:val="002D0061"/>
    <w:rsid w:val="002D2AEE"/>
    <w:rsid w:val="002D366C"/>
    <w:rsid w:val="002D3E67"/>
    <w:rsid w:val="002D426E"/>
    <w:rsid w:val="002D4BBB"/>
    <w:rsid w:val="002E0F2B"/>
    <w:rsid w:val="002E1255"/>
    <w:rsid w:val="002E34B4"/>
    <w:rsid w:val="002F13A6"/>
    <w:rsid w:val="002F3E86"/>
    <w:rsid w:val="002F4B09"/>
    <w:rsid w:val="003012AE"/>
    <w:rsid w:val="003051AA"/>
    <w:rsid w:val="003059D5"/>
    <w:rsid w:val="00311430"/>
    <w:rsid w:val="00314B95"/>
    <w:rsid w:val="0031767A"/>
    <w:rsid w:val="003176D3"/>
    <w:rsid w:val="00323283"/>
    <w:rsid w:val="00323AAF"/>
    <w:rsid w:val="00327330"/>
    <w:rsid w:val="003317D8"/>
    <w:rsid w:val="00335D8D"/>
    <w:rsid w:val="00336066"/>
    <w:rsid w:val="003377A4"/>
    <w:rsid w:val="00341AB4"/>
    <w:rsid w:val="00342B1A"/>
    <w:rsid w:val="00346E2A"/>
    <w:rsid w:val="00352A0F"/>
    <w:rsid w:val="00355A2C"/>
    <w:rsid w:val="00361926"/>
    <w:rsid w:val="00367494"/>
    <w:rsid w:val="00367876"/>
    <w:rsid w:val="00367C15"/>
    <w:rsid w:val="003715B9"/>
    <w:rsid w:val="003732C8"/>
    <w:rsid w:val="0037445B"/>
    <w:rsid w:val="00380086"/>
    <w:rsid w:val="003807D1"/>
    <w:rsid w:val="003867EB"/>
    <w:rsid w:val="00386C7C"/>
    <w:rsid w:val="00386E95"/>
    <w:rsid w:val="00387CE8"/>
    <w:rsid w:val="00390529"/>
    <w:rsid w:val="00391FA9"/>
    <w:rsid w:val="00392BF4"/>
    <w:rsid w:val="00397030"/>
    <w:rsid w:val="003A137A"/>
    <w:rsid w:val="003A2360"/>
    <w:rsid w:val="003A3AE5"/>
    <w:rsid w:val="003A44AF"/>
    <w:rsid w:val="003B2FAC"/>
    <w:rsid w:val="003B562D"/>
    <w:rsid w:val="003B613B"/>
    <w:rsid w:val="003B7B71"/>
    <w:rsid w:val="003C4141"/>
    <w:rsid w:val="003C4F8D"/>
    <w:rsid w:val="003C523F"/>
    <w:rsid w:val="003C564A"/>
    <w:rsid w:val="003C6B1A"/>
    <w:rsid w:val="003C77F6"/>
    <w:rsid w:val="003D6385"/>
    <w:rsid w:val="003D71EF"/>
    <w:rsid w:val="003E0E5A"/>
    <w:rsid w:val="003E44C8"/>
    <w:rsid w:val="003F25F4"/>
    <w:rsid w:val="003F26BF"/>
    <w:rsid w:val="003F32A8"/>
    <w:rsid w:val="003F5AAD"/>
    <w:rsid w:val="003F6621"/>
    <w:rsid w:val="00400222"/>
    <w:rsid w:val="00401D7D"/>
    <w:rsid w:val="0040231F"/>
    <w:rsid w:val="00403929"/>
    <w:rsid w:val="00403C11"/>
    <w:rsid w:val="00405A9A"/>
    <w:rsid w:val="00406AD7"/>
    <w:rsid w:val="00407B0A"/>
    <w:rsid w:val="00410143"/>
    <w:rsid w:val="00411C23"/>
    <w:rsid w:val="00412991"/>
    <w:rsid w:val="0041498F"/>
    <w:rsid w:val="00415AB7"/>
    <w:rsid w:val="0041778A"/>
    <w:rsid w:val="00417E8F"/>
    <w:rsid w:val="00417F3D"/>
    <w:rsid w:val="0042489B"/>
    <w:rsid w:val="00425DD9"/>
    <w:rsid w:val="004269B8"/>
    <w:rsid w:val="004272F2"/>
    <w:rsid w:val="00430DC7"/>
    <w:rsid w:val="004322E6"/>
    <w:rsid w:val="00432BEF"/>
    <w:rsid w:val="004337E2"/>
    <w:rsid w:val="0043750C"/>
    <w:rsid w:val="0043773A"/>
    <w:rsid w:val="00437F8A"/>
    <w:rsid w:val="004405DF"/>
    <w:rsid w:val="00443C8F"/>
    <w:rsid w:val="004462A6"/>
    <w:rsid w:val="004465C8"/>
    <w:rsid w:val="004509CD"/>
    <w:rsid w:val="004510CA"/>
    <w:rsid w:val="00453B59"/>
    <w:rsid w:val="00457522"/>
    <w:rsid w:val="00457E27"/>
    <w:rsid w:val="00460121"/>
    <w:rsid w:val="00460823"/>
    <w:rsid w:val="00460F74"/>
    <w:rsid w:val="004610BD"/>
    <w:rsid w:val="00467E6D"/>
    <w:rsid w:val="00472842"/>
    <w:rsid w:val="0047688D"/>
    <w:rsid w:val="00480FEC"/>
    <w:rsid w:val="004824D7"/>
    <w:rsid w:val="00484D37"/>
    <w:rsid w:val="00485F09"/>
    <w:rsid w:val="004919BA"/>
    <w:rsid w:val="00493123"/>
    <w:rsid w:val="004937BD"/>
    <w:rsid w:val="004A521F"/>
    <w:rsid w:val="004B3D12"/>
    <w:rsid w:val="004B6F70"/>
    <w:rsid w:val="004B7B1E"/>
    <w:rsid w:val="004B7C7A"/>
    <w:rsid w:val="004C04FB"/>
    <w:rsid w:val="004C1064"/>
    <w:rsid w:val="004C1BF3"/>
    <w:rsid w:val="004C3CB6"/>
    <w:rsid w:val="004C5C14"/>
    <w:rsid w:val="004C6A76"/>
    <w:rsid w:val="004C7C02"/>
    <w:rsid w:val="004D1FC4"/>
    <w:rsid w:val="004D201A"/>
    <w:rsid w:val="004E2768"/>
    <w:rsid w:val="004E461B"/>
    <w:rsid w:val="004E76CF"/>
    <w:rsid w:val="004F045E"/>
    <w:rsid w:val="004F31D7"/>
    <w:rsid w:val="004F3F25"/>
    <w:rsid w:val="004F4EAB"/>
    <w:rsid w:val="004F757F"/>
    <w:rsid w:val="0050088B"/>
    <w:rsid w:val="00500A9E"/>
    <w:rsid w:val="00501A0E"/>
    <w:rsid w:val="00502B20"/>
    <w:rsid w:val="00503200"/>
    <w:rsid w:val="0050648C"/>
    <w:rsid w:val="00511B6F"/>
    <w:rsid w:val="0051390C"/>
    <w:rsid w:val="00513B53"/>
    <w:rsid w:val="00514957"/>
    <w:rsid w:val="0051521D"/>
    <w:rsid w:val="005162E7"/>
    <w:rsid w:val="00516B1B"/>
    <w:rsid w:val="005225C7"/>
    <w:rsid w:val="005236FC"/>
    <w:rsid w:val="00531C3E"/>
    <w:rsid w:val="00541B95"/>
    <w:rsid w:val="00545D6E"/>
    <w:rsid w:val="00545EDD"/>
    <w:rsid w:val="00551DC3"/>
    <w:rsid w:val="005522D3"/>
    <w:rsid w:val="00553299"/>
    <w:rsid w:val="0055349B"/>
    <w:rsid w:val="00561085"/>
    <w:rsid w:val="00566867"/>
    <w:rsid w:val="00566B0A"/>
    <w:rsid w:val="00567391"/>
    <w:rsid w:val="0057228D"/>
    <w:rsid w:val="005731AB"/>
    <w:rsid w:val="0057741C"/>
    <w:rsid w:val="00580D74"/>
    <w:rsid w:val="0058100F"/>
    <w:rsid w:val="00582731"/>
    <w:rsid w:val="00590AF7"/>
    <w:rsid w:val="00592B54"/>
    <w:rsid w:val="005A3850"/>
    <w:rsid w:val="005A4489"/>
    <w:rsid w:val="005A69EF"/>
    <w:rsid w:val="005B6C8F"/>
    <w:rsid w:val="005C0CD8"/>
    <w:rsid w:val="005C0CEF"/>
    <w:rsid w:val="005C1AC5"/>
    <w:rsid w:val="005C2097"/>
    <w:rsid w:val="005C4A64"/>
    <w:rsid w:val="005C5F11"/>
    <w:rsid w:val="005C643A"/>
    <w:rsid w:val="005C7713"/>
    <w:rsid w:val="005D6314"/>
    <w:rsid w:val="005D63B3"/>
    <w:rsid w:val="005D700F"/>
    <w:rsid w:val="005E0E2F"/>
    <w:rsid w:val="005E1362"/>
    <w:rsid w:val="005F13CD"/>
    <w:rsid w:val="005F2A66"/>
    <w:rsid w:val="005F34A0"/>
    <w:rsid w:val="005F4F9C"/>
    <w:rsid w:val="005F69DF"/>
    <w:rsid w:val="006009FD"/>
    <w:rsid w:val="006020EE"/>
    <w:rsid w:val="00603478"/>
    <w:rsid w:val="00606AB0"/>
    <w:rsid w:val="00607A81"/>
    <w:rsid w:val="006148B6"/>
    <w:rsid w:val="006166D1"/>
    <w:rsid w:val="006177B0"/>
    <w:rsid w:val="00620155"/>
    <w:rsid w:val="00622870"/>
    <w:rsid w:val="0062761D"/>
    <w:rsid w:val="00630452"/>
    <w:rsid w:val="0063049C"/>
    <w:rsid w:val="00630FBF"/>
    <w:rsid w:val="00633684"/>
    <w:rsid w:val="00633F39"/>
    <w:rsid w:val="006368A4"/>
    <w:rsid w:val="00637552"/>
    <w:rsid w:val="00637E94"/>
    <w:rsid w:val="00641E67"/>
    <w:rsid w:val="00647D91"/>
    <w:rsid w:val="00652F6B"/>
    <w:rsid w:val="006544F1"/>
    <w:rsid w:val="00661E5C"/>
    <w:rsid w:val="00664774"/>
    <w:rsid w:val="00677EB6"/>
    <w:rsid w:val="00682A97"/>
    <w:rsid w:val="006835DC"/>
    <w:rsid w:val="00684152"/>
    <w:rsid w:val="00684670"/>
    <w:rsid w:val="00685581"/>
    <w:rsid w:val="0068700F"/>
    <w:rsid w:val="00693124"/>
    <w:rsid w:val="006946B7"/>
    <w:rsid w:val="00694A01"/>
    <w:rsid w:val="00697663"/>
    <w:rsid w:val="006A23BC"/>
    <w:rsid w:val="006A3356"/>
    <w:rsid w:val="006A6814"/>
    <w:rsid w:val="006B1AA3"/>
    <w:rsid w:val="006B3261"/>
    <w:rsid w:val="006C01C2"/>
    <w:rsid w:val="006C2ACF"/>
    <w:rsid w:val="006C55AC"/>
    <w:rsid w:val="006D056F"/>
    <w:rsid w:val="006D097E"/>
    <w:rsid w:val="006D7010"/>
    <w:rsid w:val="006D7CFD"/>
    <w:rsid w:val="006E12DB"/>
    <w:rsid w:val="006E2FF0"/>
    <w:rsid w:val="006E3131"/>
    <w:rsid w:val="006E3245"/>
    <w:rsid w:val="006F0981"/>
    <w:rsid w:val="006F0985"/>
    <w:rsid w:val="006F12FC"/>
    <w:rsid w:val="006F2A89"/>
    <w:rsid w:val="006F31C6"/>
    <w:rsid w:val="006F657A"/>
    <w:rsid w:val="006F6902"/>
    <w:rsid w:val="006F6A73"/>
    <w:rsid w:val="006F70A6"/>
    <w:rsid w:val="0070169E"/>
    <w:rsid w:val="00705449"/>
    <w:rsid w:val="00707024"/>
    <w:rsid w:val="00710791"/>
    <w:rsid w:val="007150E2"/>
    <w:rsid w:val="00727B8E"/>
    <w:rsid w:val="007305AF"/>
    <w:rsid w:val="00730C42"/>
    <w:rsid w:val="0073265B"/>
    <w:rsid w:val="00734495"/>
    <w:rsid w:val="007353B4"/>
    <w:rsid w:val="00736730"/>
    <w:rsid w:val="00741AFE"/>
    <w:rsid w:val="00743F95"/>
    <w:rsid w:val="007451F8"/>
    <w:rsid w:val="007472C9"/>
    <w:rsid w:val="007476A7"/>
    <w:rsid w:val="00752312"/>
    <w:rsid w:val="007607A7"/>
    <w:rsid w:val="0076221A"/>
    <w:rsid w:val="00763B6D"/>
    <w:rsid w:val="00763D4B"/>
    <w:rsid w:val="00764A91"/>
    <w:rsid w:val="00765C81"/>
    <w:rsid w:val="007663C8"/>
    <w:rsid w:val="00766752"/>
    <w:rsid w:val="007678DD"/>
    <w:rsid w:val="007713C7"/>
    <w:rsid w:val="0077206C"/>
    <w:rsid w:val="007741BB"/>
    <w:rsid w:val="00774520"/>
    <w:rsid w:val="0077722D"/>
    <w:rsid w:val="00782226"/>
    <w:rsid w:val="00782EAA"/>
    <w:rsid w:val="00786802"/>
    <w:rsid w:val="007874FB"/>
    <w:rsid w:val="00787A6B"/>
    <w:rsid w:val="00791E23"/>
    <w:rsid w:val="0079688D"/>
    <w:rsid w:val="007A1071"/>
    <w:rsid w:val="007A1BF2"/>
    <w:rsid w:val="007A233E"/>
    <w:rsid w:val="007A678D"/>
    <w:rsid w:val="007A7568"/>
    <w:rsid w:val="007A7D62"/>
    <w:rsid w:val="007B02BA"/>
    <w:rsid w:val="007B5DE4"/>
    <w:rsid w:val="007B7E11"/>
    <w:rsid w:val="007B7FD0"/>
    <w:rsid w:val="007C06FC"/>
    <w:rsid w:val="007C24FF"/>
    <w:rsid w:val="007C2AB8"/>
    <w:rsid w:val="007C400E"/>
    <w:rsid w:val="007C47DD"/>
    <w:rsid w:val="007C4FEB"/>
    <w:rsid w:val="007D0D52"/>
    <w:rsid w:val="007D1D5C"/>
    <w:rsid w:val="007D1FAD"/>
    <w:rsid w:val="007D543B"/>
    <w:rsid w:val="007E0CF2"/>
    <w:rsid w:val="007E2BD7"/>
    <w:rsid w:val="007E4411"/>
    <w:rsid w:val="007E552B"/>
    <w:rsid w:val="007F2363"/>
    <w:rsid w:val="007F509D"/>
    <w:rsid w:val="007F53E7"/>
    <w:rsid w:val="007F60E4"/>
    <w:rsid w:val="007F754C"/>
    <w:rsid w:val="00801E16"/>
    <w:rsid w:val="0080252B"/>
    <w:rsid w:val="008044E9"/>
    <w:rsid w:val="0080554F"/>
    <w:rsid w:val="00806A06"/>
    <w:rsid w:val="008078ED"/>
    <w:rsid w:val="0081096F"/>
    <w:rsid w:val="008111D9"/>
    <w:rsid w:val="00811439"/>
    <w:rsid w:val="00812368"/>
    <w:rsid w:val="008145B1"/>
    <w:rsid w:val="00817537"/>
    <w:rsid w:val="00821253"/>
    <w:rsid w:val="00821BBF"/>
    <w:rsid w:val="0082442D"/>
    <w:rsid w:val="008249E9"/>
    <w:rsid w:val="008252E3"/>
    <w:rsid w:val="00826B5D"/>
    <w:rsid w:val="0082710F"/>
    <w:rsid w:val="00830B5D"/>
    <w:rsid w:val="00831010"/>
    <w:rsid w:val="00832848"/>
    <w:rsid w:val="0083295F"/>
    <w:rsid w:val="00833874"/>
    <w:rsid w:val="00837301"/>
    <w:rsid w:val="008376C1"/>
    <w:rsid w:val="00850029"/>
    <w:rsid w:val="00852486"/>
    <w:rsid w:val="00854FEA"/>
    <w:rsid w:val="00857723"/>
    <w:rsid w:val="008636E0"/>
    <w:rsid w:val="00866349"/>
    <w:rsid w:val="00870187"/>
    <w:rsid w:val="008704B5"/>
    <w:rsid w:val="008726E8"/>
    <w:rsid w:val="00874329"/>
    <w:rsid w:val="00874D04"/>
    <w:rsid w:val="008755BB"/>
    <w:rsid w:val="008757FC"/>
    <w:rsid w:val="008760D2"/>
    <w:rsid w:val="00884982"/>
    <w:rsid w:val="008859F4"/>
    <w:rsid w:val="00885E46"/>
    <w:rsid w:val="00886BEE"/>
    <w:rsid w:val="008870DE"/>
    <w:rsid w:val="00887157"/>
    <w:rsid w:val="00887651"/>
    <w:rsid w:val="00893663"/>
    <w:rsid w:val="00893AD6"/>
    <w:rsid w:val="00893EF6"/>
    <w:rsid w:val="008A00BA"/>
    <w:rsid w:val="008A29C7"/>
    <w:rsid w:val="008A2C9B"/>
    <w:rsid w:val="008A3957"/>
    <w:rsid w:val="008A577D"/>
    <w:rsid w:val="008A6C55"/>
    <w:rsid w:val="008B144E"/>
    <w:rsid w:val="008B44D6"/>
    <w:rsid w:val="008B4B9A"/>
    <w:rsid w:val="008B7883"/>
    <w:rsid w:val="008B7C30"/>
    <w:rsid w:val="008C35AE"/>
    <w:rsid w:val="008C3A32"/>
    <w:rsid w:val="008C3C65"/>
    <w:rsid w:val="008C4C49"/>
    <w:rsid w:val="008C52DF"/>
    <w:rsid w:val="008C640F"/>
    <w:rsid w:val="008C7175"/>
    <w:rsid w:val="008D2CEC"/>
    <w:rsid w:val="008D33C9"/>
    <w:rsid w:val="008D4374"/>
    <w:rsid w:val="008D443B"/>
    <w:rsid w:val="008D57F9"/>
    <w:rsid w:val="008D7003"/>
    <w:rsid w:val="008E142A"/>
    <w:rsid w:val="008E155F"/>
    <w:rsid w:val="008E1F52"/>
    <w:rsid w:val="008E1FFB"/>
    <w:rsid w:val="008E20D3"/>
    <w:rsid w:val="008E336C"/>
    <w:rsid w:val="008F4770"/>
    <w:rsid w:val="008F5B8E"/>
    <w:rsid w:val="008F5DAB"/>
    <w:rsid w:val="00902321"/>
    <w:rsid w:val="0090492B"/>
    <w:rsid w:val="00905630"/>
    <w:rsid w:val="00905C8A"/>
    <w:rsid w:val="00907456"/>
    <w:rsid w:val="00907DD6"/>
    <w:rsid w:val="00912DCE"/>
    <w:rsid w:val="009136D7"/>
    <w:rsid w:val="00913AB4"/>
    <w:rsid w:val="009143EE"/>
    <w:rsid w:val="00914A6D"/>
    <w:rsid w:val="00914A87"/>
    <w:rsid w:val="009172A7"/>
    <w:rsid w:val="00921D03"/>
    <w:rsid w:val="0092475F"/>
    <w:rsid w:val="00924DF4"/>
    <w:rsid w:val="009264F3"/>
    <w:rsid w:val="00927367"/>
    <w:rsid w:val="00934480"/>
    <w:rsid w:val="0094200D"/>
    <w:rsid w:val="00942520"/>
    <w:rsid w:val="00944A35"/>
    <w:rsid w:val="00945E68"/>
    <w:rsid w:val="00947352"/>
    <w:rsid w:val="009475E2"/>
    <w:rsid w:val="0095091C"/>
    <w:rsid w:val="00952A15"/>
    <w:rsid w:val="00952FE3"/>
    <w:rsid w:val="009579E0"/>
    <w:rsid w:val="00961504"/>
    <w:rsid w:val="00961DC4"/>
    <w:rsid w:val="0096202B"/>
    <w:rsid w:val="009653AF"/>
    <w:rsid w:val="00966B35"/>
    <w:rsid w:val="00971951"/>
    <w:rsid w:val="00972166"/>
    <w:rsid w:val="009766FA"/>
    <w:rsid w:val="009804D9"/>
    <w:rsid w:val="009815CF"/>
    <w:rsid w:val="0098378B"/>
    <w:rsid w:val="00993EEC"/>
    <w:rsid w:val="009965BC"/>
    <w:rsid w:val="00996F20"/>
    <w:rsid w:val="00997E59"/>
    <w:rsid w:val="009A0DC7"/>
    <w:rsid w:val="009A284A"/>
    <w:rsid w:val="009A3278"/>
    <w:rsid w:val="009A4460"/>
    <w:rsid w:val="009A746E"/>
    <w:rsid w:val="009A7D7D"/>
    <w:rsid w:val="009B003C"/>
    <w:rsid w:val="009B01EC"/>
    <w:rsid w:val="009B0200"/>
    <w:rsid w:val="009B0E06"/>
    <w:rsid w:val="009B6592"/>
    <w:rsid w:val="009B7D85"/>
    <w:rsid w:val="009C1024"/>
    <w:rsid w:val="009C1A46"/>
    <w:rsid w:val="009C1F0E"/>
    <w:rsid w:val="009C46BF"/>
    <w:rsid w:val="009C4E22"/>
    <w:rsid w:val="009C53D4"/>
    <w:rsid w:val="009C59BA"/>
    <w:rsid w:val="009D0AE3"/>
    <w:rsid w:val="009D31D4"/>
    <w:rsid w:val="009D5AE0"/>
    <w:rsid w:val="009D67D2"/>
    <w:rsid w:val="009E2410"/>
    <w:rsid w:val="009E378F"/>
    <w:rsid w:val="009E5181"/>
    <w:rsid w:val="009F0ED8"/>
    <w:rsid w:val="009F1146"/>
    <w:rsid w:val="009F44FA"/>
    <w:rsid w:val="009F4C67"/>
    <w:rsid w:val="009F6F06"/>
    <w:rsid w:val="009F7A02"/>
    <w:rsid w:val="00A06353"/>
    <w:rsid w:val="00A1052D"/>
    <w:rsid w:val="00A10B98"/>
    <w:rsid w:val="00A11364"/>
    <w:rsid w:val="00A12697"/>
    <w:rsid w:val="00A16008"/>
    <w:rsid w:val="00A23A75"/>
    <w:rsid w:val="00A31147"/>
    <w:rsid w:val="00A31A49"/>
    <w:rsid w:val="00A3395A"/>
    <w:rsid w:val="00A41D40"/>
    <w:rsid w:val="00A46528"/>
    <w:rsid w:val="00A5361A"/>
    <w:rsid w:val="00A552DD"/>
    <w:rsid w:val="00A57716"/>
    <w:rsid w:val="00A75E0D"/>
    <w:rsid w:val="00A8125A"/>
    <w:rsid w:val="00A81EEC"/>
    <w:rsid w:val="00A82FD1"/>
    <w:rsid w:val="00A8705C"/>
    <w:rsid w:val="00A929B8"/>
    <w:rsid w:val="00A92BAD"/>
    <w:rsid w:val="00AA5C22"/>
    <w:rsid w:val="00AA5FC6"/>
    <w:rsid w:val="00AA6964"/>
    <w:rsid w:val="00AA704A"/>
    <w:rsid w:val="00AB03E9"/>
    <w:rsid w:val="00AB091A"/>
    <w:rsid w:val="00AB0E58"/>
    <w:rsid w:val="00AB4866"/>
    <w:rsid w:val="00AC2E35"/>
    <w:rsid w:val="00AC36CB"/>
    <w:rsid w:val="00AC39AD"/>
    <w:rsid w:val="00AC66D8"/>
    <w:rsid w:val="00AD042D"/>
    <w:rsid w:val="00AD11A8"/>
    <w:rsid w:val="00AD35ED"/>
    <w:rsid w:val="00AD444A"/>
    <w:rsid w:val="00AE0E80"/>
    <w:rsid w:val="00AE144A"/>
    <w:rsid w:val="00AE2EFF"/>
    <w:rsid w:val="00AE3367"/>
    <w:rsid w:val="00AF036B"/>
    <w:rsid w:val="00AF0DCD"/>
    <w:rsid w:val="00AF47D1"/>
    <w:rsid w:val="00B00141"/>
    <w:rsid w:val="00B04D3C"/>
    <w:rsid w:val="00B0718E"/>
    <w:rsid w:val="00B17A4B"/>
    <w:rsid w:val="00B21847"/>
    <w:rsid w:val="00B232BB"/>
    <w:rsid w:val="00B25478"/>
    <w:rsid w:val="00B31E1A"/>
    <w:rsid w:val="00B325FC"/>
    <w:rsid w:val="00B35F80"/>
    <w:rsid w:val="00B43D3A"/>
    <w:rsid w:val="00B447F8"/>
    <w:rsid w:val="00B47939"/>
    <w:rsid w:val="00B504CA"/>
    <w:rsid w:val="00B50BBF"/>
    <w:rsid w:val="00B5102B"/>
    <w:rsid w:val="00B53405"/>
    <w:rsid w:val="00B549D9"/>
    <w:rsid w:val="00B54DDE"/>
    <w:rsid w:val="00B60168"/>
    <w:rsid w:val="00B604BF"/>
    <w:rsid w:val="00B623D3"/>
    <w:rsid w:val="00B639B4"/>
    <w:rsid w:val="00B647E7"/>
    <w:rsid w:val="00B66A06"/>
    <w:rsid w:val="00B709E4"/>
    <w:rsid w:val="00B729BF"/>
    <w:rsid w:val="00B8006A"/>
    <w:rsid w:val="00B803EF"/>
    <w:rsid w:val="00B820A5"/>
    <w:rsid w:val="00B83DFB"/>
    <w:rsid w:val="00B879B7"/>
    <w:rsid w:val="00B87EFA"/>
    <w:rsid w:val="00B96D45"/>
    <w:rsid w:val="00BA3CE1"/>
    <w:rsid w:val="00BA4ECC"/>
    <w:rsid w:val="00BB2D22"/>
    <w:rsid w:val="00BB4350"/>
    <w:rsid w:val="00BC1316"/>
    <w:rsid w:val="00BC193D"/>
    <w:rsid w:val="00BC3E66"/>
    <w:rsid w:val="00BC469F"/>
    <w:rsid w:val="00BD0E40"/>
    <w:rsid w:val="00BD48E4"/>
    <w:rsid w:val="00BD68E3"/>
    <w:rsid w:val="00BE0191"/>
    <w:rsid w:val="00BE258D"/>
    <w:rsid w:val="00BF158F"/>
    <w:rsid w:val="00BF19DF"/>
    <w:rsid w:val="00BF1FAA"/>
    <w:rsid w:val="00BF2EDE"/>
    <w:rsid w:val="00BF3FB6"/>
    <w:rsid w:val="00BF42CE"/>
    <w:rsid w:val="00C00921"/>
    <w:rsid w:val="00C0167A"/>
    <w:rsid w:val="00C05661"/>
    <w:rsid w:val="00C15916"/>
    <w:rsid w:val="00C20DFB"/>
    <w:rsid w:val="00C244FD"/>
    <w:rsid w:val="00C25612"/>
    <w:rsid w:val="00C34B31"/>
    <w:rsid w:val="00C34B4F"/>
    <w:rsid w:val="00C37BB5"/>
    <w:rsid w:val="00C4076F"/>
    <w:rsid w:val="00C42CBD"/>
    <w:rsid w:val="00C45071"/>
    <w:rsid w:val="00C5145B"/>
    <w:rsid w:val="00C5451B"/>
    <w:rsid w:val="00C55F6D"/>
    <w:rsid w:val="00C56F85"/>
    <w:rsid w:val="00C57233"/>
    <w:rsid w:val="00C6063E"/>
    <w:rsid w:val="00C61019"/>
    <w:rsid w:val="00C61B1C"/>
    <w:rsid w:val="00C62199"/>
    <w:rsid w:val="00C63375"/>
    <w:rsid w:val="00C648DE"/>
    <w:rsid w:val="00C65803"/>
    <w:rsid w:val="00C662C4"/>
    <w:rsid w:val="00C6644B"/>
    <w:rsid w:val="00C66E46"/>
    <w:rsid w:val="00C7040C"/>
    <w:rsid w:val="00C71E98"/>
    <w:rsid w:val="00C733E6"/>
    <w:rsid w:val="00C73568"/>
    <w:rsid w:val="00C736EA"/>
    <w:rsid w:val="00C75AD7"/>
    <w:rsid w:val="00C830F5"/>
    <w:rsid w:val="00C83B88"/>
    <w:rsid w:val="00C85BF6"/>
    <w:rsid w:val="00C8733D"/>
    <w:rsid w:val="00C91AD9"/>
    <w:rsid w:val="00C94828"/>
    <w:rsid w:val="00C949B5"/>
    <w:rsid w:val="00C95B63"/>
    <w:rsid w:val="00CA157D"/>
    <w:rsid w:val="00CA3488"/>
    <w:rsid w:val="00CA3A3F"/>
    <w:rsid w:val="00CA4923"/>
    <w:rsid w:val="00CB7AFF"/>
    <w:rsid w:val="00CC0707"/>
    <w:rsid w:val="00CC0D07"/>
    <w:rsid w:val="00CD111E"/>
    <w:rsid w:val="00CD1A01"/>
    <w:rsid w:val="00CD2649"/>
    <w:rsid w:val="00CD3894"/>
    <w:rsid w:val="00CD4B21"/>
    <w:rsid w:val="00CE21D5"/>
    <w:rsid w:val="00CE48B2"/>
    <w:rsid w:val="00CF0992"/>
    <w:rsid w:val="00CF1111"/>
    <w:rsid w:val="00CF3509"/>
    <w:rsid w:val="00CF42D9"/>
    <w:rsid w:val="00CF681B"/>
    <w:rsid w:val="00CF71E0"/>
    <w:rsid w:val="00D005BE"/>
    <w:rsid w:val="00D06330"/>
    <w:rsid w:val="00D20AF5"/>
    <w:rsid w:val="00D23EAB"/>
    <w:rsid w:val="00D25808"/>
    <w:rsid w:val="00D260F4"/>
    <w:rsid w:val="00D3466C"/>
    <w:rsid w:val="00D359A2"/>
    <w:rsid w:val="00D37DAA"/>
    <w:rsid w:val="00D4279D"/>
    <w:rsid w:val="00D43017"/>
    <w:rsid w:val="00D45228"/>
    <w:rsid w:val="00D51BE9"/>
    <w:rsid w:val="00D56B9C"/>
    <w:rsid w:val="00D57846"/>
    <w:rsid w:val="00D5792F"/>
    <w:rsid w:val="00D66A90"/>
    <w:rsid w:val="00D671AB"/>
    <w:rsid w:val="00D7231D"/>
    <w:rsid w:val="00D72DEB"/>
    <w:rsid w:val="00D849FD"/>
    <w:rsid w:val="00D874AC"/>
    <w:rsid w:val="00D87569"/>
    <w:rsid w:val="00D87D06"/>
    <w:rsid w:val="00D92306"/>
    <w:rsid w:val="00D94D7F"/>
    <w:rsid w:val="00D950FD"/>
    <w:rsid w:val="00DA05F6"/>
    <w:rsid w:val="00DA3BEF"/>
    <w:rsid w:val="00DA3EF7"/>
    <w:rsid w:val="00DA4896"/>
    <w:rsid w:val="00DA59AE"/>
    <w:rsid w:val="00DA6482"/>
    <w:rsid w:val="00DA6AB0"/>
    <w:rsid w:val="00DB276F"/>
    <w:rsid w:val="00DB421F"/>
    <w:rsid w:val="00DC1CDD"/>
    <w:rsid w:val="00DC2AE3"/>
    <w:rsid w:val="00DC32CE"/>
    <w:rsid w:val="00DC50F1"/>
    <w:rsid w:val="00DC5EE5"/>
    <w:rsid w:val="00DD392B"/>
    <w:rsid w:val="00DD420D"/>
    <w:rsid w:val="00DD56EE"/>
    <w:rsid w:val="00DE4176"/>
    <w:rsid w:val="00DE53A5"/>
    <w:rsid w:val="00DE7C2F"/>
    <w:rsid w:val="00DF3937"/>
    <w:rsid w:val="00E015FF"/>
    <w:rsid w:val="00E03F52"/>
    <w:rsid w:val="00E03FFB"/>
    <w:rsid w:val="00E109A7"/>
    <w:rsid w:val="00E10A5B"/>
    <w:rsid w:val="00E11725"/>
    <w:rsid w:val="00E12EE8"/>
    <w:rsid w:val="00E203D1"/>
    <w:rsid w:val="00E253EF"/>
    <w:rsid w:val="00E30555"/>
    <w:rsid w:val="00E3290C"/>
    <w:rsid w:val="00E33998"/>
    <w:rsid w:val="00E347AB"/>
    <w:rsid w:val="00E35FAC"/>
    <w:rsid w:val="00E41BC5"/>
    <w:rsid w:val="00E4362E"/>
    <w:rsid w:val="00E44C33"/>
    <w:rsid w:val="00E453DA"/>
    <w:rsid w:val="00E53192"/>
    <w:rsid w:val="00E53F47"/>
    <w:rsid w:val="00E54CD1"/>
    <w:rsid w:val="00E6021F"/>
    <w:rsid w:val="00E604A4"/>
    <w:rsid w:val="00E63473"/>
    <w:rsid w:val="00E63A36"/>
    <w:rsid w:val="00E64E27"/>
    <w:rsid w:val="00E65478"/>
    <w:rsid w:val="00E65651"/>
    <w:rsid w:val="00E65AAE"/>
    <w:rsid w:val="00E664CD"/>
    <w:rsid w:val="00E67928"/>
    <w:rsid w:val="00E70596"/>
    <w:rsid w:val="00E74B58"/>
    <w:rsid w:val="00E75994"/>
    <w:rsid w:val="00E75D38"/>
    <w:rsid w:val="00E80124"/>
    <w:rsid w:val="00E81B2C"/>
    <w:rsid w:val="00E82FCB"/>
    <w:rsid w:val="00E8303B"/>
    <w:rsid w:val="00E84DF3"/>
    <w:rsid w:val="00E869CE"/>
    <w:rsid w:val="00E86C7E"/>
    <w:rsid w:val="00E86F2A"/>
    <w:rsid w:val="00E92C3C"/>
    <w:rsid w:val="00E95595"/>
    <w:rsid w:val="00E9648A"/>
    <w:rsid w:val="00E977E6"/>
    <w:rsid w:val="00EA12BA"/>
    <w:rsid w:val="00EA1BBF"/>
    <w:rsid w:val="00EA44B2"/>
    <w:rsid w:val="00EA7A4E"/>
    <w:rsid w:val="00EB0049"/>
    <w:rsid w:val="00EB14D7"/>
    <w:rsid w:val="00EB4C69"/>
    <w:rsid w:val="00EB5180"/>
    <w:rsid w:val="00EB66C9"/>
    <w:rsid w:val="00EB6A4A"/>
    <w:rsid w:val="00EB6D83"/>
    <w:rsid w:val="00EC1F95"/>
    <w:rsid w:val="00EC461D"/>
    <w:rsid w:val="00EC527B"/>
    <w:rsid w:val="00EC68FB"/>
    <w:rsid w:val="00ED1426"/>
    <w:rsid w:val="00ED2305"/>
    <w:rsid w:val="00ED2E7D"/>
    <w:rsid w:val="00ED6648"/>
    <w:rsid w:val="00ED7B9A"/>
    <w:rsid w:val="00EE108C"/>
    <w:rsid w:val="00EE194D"/>
    <w:rsid w:val="00EE2E79"/>
    <w:rsid w:val="00EE4130"/>
    <w:rsid w:val="00EE6B30"/>
    <w:rsid w:val="00EE759F"/>
    <w:rsid w:val="00EF6BB4"/>
    <w:rsid w:val="00EF6BF3"/>
    <w:rsid w:val="00F03BFA"/>
    <w:rsid w:val="00F056FC"/>
    <w:rsid w:val="00F10675"/>
    <w:rsid w:val="00F20DAA"/>
    <w:rsid w:val="00F2475F"/>
    <w:rsid w:val="00F27475"/>
    <w:rsid w:val="00F31084"/>
    <w:rsid w:val="00F310C5"/>
    <w:rsid w:val="00F32218"/>
    <w:rsid w:val="00F34C66"/>
    <w:rsid w:val="00F403FF"/>
    <w:rsid w:val="00F412D5"/>
    <w:rsid w:val="00F4486B"/>
    <w:rsid w:val="00F47757"/>
    <w:rsid w:val="00F500BC"/>
    <w:rsid w:val="00F533A1"/>
    <w:rsid w:val="00F53E02"/>
    <w:rsid w:val="00F56C18"/>
    <w:rsid w:val="00F62CB1"/>
    <w:rsid w:val="00F63F7F"/>
    <w:rsid w:val="00F6462B"/>
    <w:rsid w:val="00F65F39"/>
    <w:rsid w:val="00F70BB8"/>
    <w:rsid w:val="00F715FB"/>
    <w:rsid w:val="00F71674"/>
    <w:rsid w:val="00F72A80"/>
    <w:rsid w:val="00F73838"/>
    <w:rsid w:val="00F74126"/>
    <w:rsid w:val="00F77035"/>
    <w:rsid w:val="00F77095"/>
    <w:rsid w:val="00F8191C"/>
    <w:rsid w:val="00F83381"/>
    <w:rsid w:val="00F83FD6"/>
    <w:rsid w:val="00F84C2A"/>
    <w:rsid w:val="00F852FD"/>
    <w:rsid w:val="00F870AC"/>
    <w:rsid w:val="00F90BC6"/>
    <w:rsid w:val="00F922A2"/>
    <w:rsid w:val="00F9313E"/>
    <w:rsid w:val="00F943BE"/>
    <w:rsid w:val="00FA5087"/>
    <w:rsid w:val="00FA51B8"/>
    <w:rsid w:val="00FA5526"/>
    <w:rsid w:val="00FA5F13"/>
    <w:rsid w:val="00FB372D"/>
    <w:rsid w:val="00FB3A52"/>
    <w:rsid w:val="00FB3AD0"/>
    <w:rsid w:val="00FB5DE7"/>
    <w:rsid w:val="00FC094C"/>
    <w:rsid w:val="00FC0AA5"/>
    <w:rsid w:val="00FC1EB5"/>
    <w:rsid w:val="00FC1F27"/>
    <w:rsid w:val="00FC34A7"/>
    <w:rsid w:val="00FC3F3E"/>
    <w:rsid w:val="00FC54EA"/>
    <w:rsid w:val="00FC6488"/>
    <w:rsid w:val="00FD21AF"/>
    <w:rsid w:val="00FD237E"/>
    <w:rsid w:val="00FD45A2"/>
    <w:rsid w:val="00FD5B6A"/>
    <w:rsid w:val="00FD5D87"/>
    <w:rsid w:val="00FD6A82"/>
    <w:rsid w:val="00FE48BB"/>
    <w:rsid w:val="00FE492A"/>
    <w:rsid w:val="00FE6AEE"/>
    <w:rsid w:val="00FE6F2A"/>
    <w:rsid w:val="00FE79B6"/>
    <w:rsid w:val="00FF2DA3"/>
    <w:rsid w:val="04AE63DC"/>
    <w:rsid w:val="06040F84"/>
    <w:rsid w:val="07C34C87"/>
    <w:rsid w:val="08A80B7D"/>
    <w:rsid w:val="095838BC"/>
    <w:rsid w:val="0A953279"/>
    <w:rsid w:val="0E977D39"/>
    <w:rsid w:val="110F1502"/>
    <w:rsid w:val="15A1464E"/>
    <w:rsid w:val="16910164"/>
    <w:rsid w:val="17BE5021"/>
    <w:rsid w:val="17FD6C39"/>
    <w:rsid w:val="1E703D60"/>
    <w:rsid w:val="25A14BD5"/>
    <w:rsid w:val="27393103"/>
    <w:rsid w:val="2D9F56C4"/>
    <w:rsid w:val="309265C3"/>
    <w:rsid w:val="31C06405"/>
    <w:rsid w:val="347F1B6F"/>
    <w:rsid w:val="380D2AD4"/>
    <w:rsid w:val="3DDA03FE"/>
    <w:rsid w:val="42251C47"/>
    <w:rsid w:val="47AC69A6"/>
    <w:rsid w:val="547171A6"/>
    <w:rsid w:val="549478F2"/>
    <w:rsid w:val="62D20FC3"/>
    <w:rsid w:val="65573EFC"/>
    <w:rsid w:val="67A36FDD"/>
    <w:rsid w:val="68111E03"/>
    <w:rsid w:val="682D6C1B"/>
    <w:rsid w:val="69F20376"/>
    <w:rsid w:val="722B5A83"/>
    <w:rsid w:val="72480D1E"/>
    <w:rsid w:val="7E150B2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locked/>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List Bullet"/>
    <w:uiPriority w:val="0"/>
    <w:pPr>
      <w:numPr>
        <w:ilvl w:val="0"/>
        <w:numId w:val="1"/>
      </w:numPr>
      <w:spacing w:before="60" w:after="60" w:line="320" w:lineRule="exact"/>
    </w:pPr>
    <w:rPr>
      <w:rFonts w:ascii="Times New Roman" w:hAnsi="Times New Roman" w:eastAsia="MS Mincho" w:cs="Times New Roman"/>
      <w:sz w:val="24"/>
      <w:szCs w:val="24"/>
      <w:lang w:val="en-US" w:eastAsia="ja-JP" w:bidi="ar-SA"/>
    </w:rPr>
  </w:style>
  <w:style w:type="paragraph" w:styleId="4">
    <w:name w:val="annotation text"/>
    <w:basedOn w:val="1"/>
    <w:link w:val="23"/>
    <w:semiHidden/>
    <w:uiPriority w:val="99"/>
    <w:pPr>
      <w:widowControl/>
      <w:spacing w:after="200"/>
      <w:jc w:val="left"/>
    </w:pPr>
    <w:rPr>
      <w:kern w:val="0"/>
      <w:sz w:val="20"/>
      <w:szCs w:val="20"/>
      <w:lang w:eastAsia="en-US"/>
    </w:rPr>
  </w:style>
  <w:style w:type="paragraph" w:styleId="5">
    <w:name w:val="Date"/>
    <w:basedOn w:val="1"/>
    <w:next w:val="1"/>
    <w:link w:val="21"/>
    <w:uiPriority w:val="99"/>
    <w:pPr>
      <w:ind w:left="100" w:leftChars="2500"/>
    </w:pPr>
  </w:style>
  <w:style w:type="paragraph" w:styleId="6">
    <w:name w:val="Balloon Text"/>
    <w:basedOn w:val="1"/>
    <w:link w:val="24"/>
    <w:semiHidden/>
    <w:uiPriority w:val="99"/>
    <w:rPr>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19"/>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99"/>
    <w:rPr>
      <w:rFonts w:cs="Times New Roman"/>
      <w:b/>
      <w:bCs/>
    </w:rPr>
  </w:style>
  <w:style w:type="character" w:styleId="14">
    <w:name w:val="Emphasis"/>
    <w:basedOn w:val="12"/>
    <w:qFormat/>
    <w:locked/>
    <w:uiPriority w:val="20"/>
    <w:rPr>
      <w:rFonts w:cs="Times New Roman"/>
      <w:i/>
      <w:iCs/>
    </w:rPr>
  </w:style>
  <w:style w:type="character" w:styleId="15">
    <w:name w:val="Hyperlink"/>
    <w:basedOn w:val="12"/>
    <w:qFormat/>
    <w:uiPriority w:val="99"/>
    <w:rPr>
      <w:rFonts w:cs="Times New Roman"/>
      <w:color w:val="0000FF"/>
      <w:u w:val="single"/>
    </w:rPr>
  </w:style>
  <w:style w:type="character" w:styleId="16">
    <w:name w:val="annotation reference"/>
    <w:basedOn w:val="12"/>
    <w:semiHidden/>
    <w:uiPriority w:val="99"/>
    <w:rPr>
      <w:rFonts w:cs="Times New Roman"/>
      <w:sz w:val="16"/>
      <w:szCs w:val="16"/>
    </w:rPr>
  </w:style>
  <w:style w:type="character" w:customStyle="1" w:styleId="17">
    <w:name w:val="标题 1 Char"/>
    <w:basedOn w:val="12"/>
    <w:link w:val="2"/>
    <w:locked/>
    <w:uiPriority w:val="99"/>
    <w:rPr>
      <w:rFonts w:ascii="宋体" w:eastAsia="宋体" w:cs="宋体"/>
      <w:b/>
      <w:bCs/>
      <w:kern w:val="36"/>
      <w:sz w:val="48"/>
      <w:szCs w:val="48"/>
    </w:rPr>
  </w:style>
  <w:style w:type="character" w:customStyle="1" w:styleId="18">
    <w:name w:val="apple-converted-space"/>
    <w:basedOn w:val="12"/>
    <w:uiPriority w:val="0"/>
    <w:rPr>
      <w:rFonts w:cs="Times New Roman"/>
    </w:rPr>
  </w:style>
  <w:style w:type="character" w:customStyle="1" w:styleId="19">
    <w:name w:val="页眉 Char"/>
    <w:basedOn w:val="12"/>
    <w:link w:val="8"/>
    <w:locked/>
    <w:uiPriority w:val="99"/>
    <w:rPr>
      <w:rFonts w:cs="Times New Roman"/>
      <w:sz w:val="18"/>
      <w:szCs w:val="18"/>
    </w:rPr>
  </w:style>
  <w:style w:type="character" w:customStyle="1" w:styleId="20">
    <w:name w:val="页脚 Char"/>
    <w:basedOn w:val="12"/>
    <w:link w:val="7"/>
    <w:qFormat/>
    <w:locked/>
    <w:uiPriority w:val="99"/>
    <w:rPr>
      <w:rFonts w:cs="Times New Roman"/>
      <w:sz w:val="18"/>
      <w:szCs w:val="18"/>
    </w:rPr>
  </w:style>
  <w:style w:type="character" w:customStyle="1" w:styleId="21">
    <w:name w:val="日期 Char"/>
    <w:basedOn w:val="12"/>
    <w:link w:val="5"/>
    <w:semiHidden/>
    <w:locked/>
    <w:uiPriority w:val="99"/>
    <w:rPr>
      <w:rFonts w:cs="Times New Roman"/>
    </w:rPr>
  </w:style>
  <w:style w:type="paragraph" w:customStyle="1" w:styleId="22">
    <w:name w:val="op_sp_fanyi_line_two"/>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23">
    <w:name w:val="批注文字 Char"/>
    <w:basedOn w:val="12"/>
    <w:link w:val="4"/>
    <w:semiHidden/>
    <w:locked/>
    <w:uiPriority w:val="99"/>
    <w:rPr>
      <w:rFonts w:ascii="Calibri" w:hAnsi="Calibri" w:eastAsia="宋体" w:cs="Times New Roman"/>
      <w:lang w:val="en-US" w:eastAsia="en-US" w:bidi="ar-SA"/>
    </w:rPr>
  </w:style>
  <w:style w:type="character" w:customStyle="1" w:styleId="24">
    <w:name w:val="批注框文本 Char"/>
    <w:basedOn w:val="12"/>
    <w:link w:val="6"/>
    <w:semiHidden/>
    <w:locked/>
    <w:uiPriority w:val="99"/>
    <w:rPr>
      <w:rFonts w:cs="Times New Roman"/>
      <w:sz w:val="2"/>
    </w:rPr>
  </w:style>
  <w:style w:type="paragraph" w:customStyle="1" w:styleId="25">
    <w:name w:val="HeaderText"/>
    <w:uiPriority w:val="0"/>
    <w:pPr>
      <w:keepLines/>
    </w:pPr>
    <w:rPr>
      <w:rFonts w:ascii="Times New Roman" w:hAnsi="Times New Roman" w:eastAsia="MS Mincho" w:cs="Times New Roman"/>
      <w:lang w:val="en-US" w:eastAsia="ja-JP" w:bidi="ar-SA"/>
    </w:rPr>
  </w:style>
  <w:style w:type="paragraph" w:customStyle="1" w:styleId="26">
    <w:name w:val="References"/>
    <w:uiPriority w:val="0"/>
    <w:pPr>
      <w:numPr>
        <w:ilvl w:val="0"/>
        <w:numId w:val="2"/>
      </w:numPr>
      <w:spacing w:before="60" w:after="60" w:line="360" w:lineRule="exact"/>
    </w:pPr>
    <w:rPr>
      <w:rFonts w:ascii="Times New Roman" w:hAnsi="Times New Roman" w:eastAsia="MS Mincho" w:cs="Times New Roman"/>
      <w:sz w:val="24"/>
      <w:szCs w:val="24"/>
      <w:lang w:val="en-US" w:eastAsia="ja-JP"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6130D8-F4E8-433E-8C67-BF1825D2BE5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8373</Words>
  <Characters>9054</Characters>
  <Lines>64</Lines>
  <Paragraphs>18</Paragraphs>
  <TotalTime>1</TotalTime>
  <ScaleCrop>false</ScaleCrop>
  <LinksUpToDate>false</LinksUpToDate>
  <CharactersWithSpaces>9103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2017-04-08T02:16:00Z</dcterms:created>
  <dc:creator>Administrator</dc:creator>
  <cp:lastModifiedBy>太极箫客</cp:lastModifiedBy>
  <dcterms:modified xsi:type="dcterms:W3CDTF">2025-08-14T07:06:35Z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6BDC43DF602F40FDA3E8D85271059A63_12</vt:lpwstr>
  </property>
</Properties>
</file>