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A9790">
      <w:pPr>
        <w:spacing w:line="520" w:lineRule="exact"/>
        <w:rPr>
          <w:rFonts w:ascii="黑体" w:eastAsia="黑体"/>
          <w:sz w:val="32"/>
          <w:szCs w:val="32"/>
        </w:rPr>
      </w:pPr>
      <w:bookmarkStart w:id="1" w:name="_GoBack"/>
      <w:bookmarkEnd w:id="1"/>
      <w:r>
        <w:rPr>
          <w:rFonts w:hint="eastAsia" w:ascii="黑体" w:eastAsia="黑体"/>
          <w:sz w:val="32"/>
          <w:szCs w:val="32"/>
        </w:rPr>
        <w:t>附件5</w:t>
      </w:r>
    </w:p>
    <w:p w14:paraId="6185E5DC">
      <w:pPr>
        <w:spacing w:line="520" w:lineRule="exact"/>
        <w:rPr>
          <w:rFonts w:ascii="黑体" w:eastAsia="黑体"/>
          <w:sz w:val="32"/>
          <w:szCs w:val="32"/>
        </w:rPr>
      </w:pPr>
    </w:p>
    <w:p w14:paraId="37F969BD">
      <w:pPr>
        <w:autoSpaceDE w:val="0"/>
        <w:autoSpaceDN w:val="0"/>
        <w:spacing w:line="52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甘油三酯测定试剂盒注册技术审查指导原则</w:t>
      </w:r>
    </w:p>
    <w:p w14:paraId="59E0CF9A">
      <w:pPr>
        <w:spacing w:line="520" w:lineRule="exact"/>
        <w:jc w:val="center"/>
        <w:rPr>
          <w:rFonts w:ascii="小标宋" w:eastAsia="小标宋"/>
          <w:sz w:val="36"/>
          <w:szCs w:val="36"/>
        </w:rPr>
      </w:pPr>
    </w:p>
    <w:p w14:paraId="2F24777C">
      <w:pPr>
        <w:spacing w:line="520" w:lineRule="exact"/>
        <w:ind w:firstLine="640" w:firstLineChars="200"/>
        <w:rPr>
          <w:rFonts w:eastAsia="仿宋_GB2312"/>
          <w:kern w:val="0"/>
          <w:sz w:val="32"/>
          <w:szCs w:val="32"/>
        </w:rPr>
      </w:pPr>
      <w:r>
        <w:rPr>
          <w:rFonts w:eastAsia="仿宋_GB2312"/>
          <w:kern w:val="0"/>
          <w:sz w:val="32"/>
          <w:szCs w:val="32"/>
        </w:rPr>
        <w:t>本指导原则旨在指导注册申请人对</w:t>
      </w:r>
      <w:r>
        <w:rPr>
          <w:rFonts w:eastAsia="仿宋_GB2312"/>
          <w:bCs/>
          <w:color w:val="000000"/>
          <w:sz w:val="32"/>
          <w:szCs w:val="32"/>
        </w:rPr>
        <w:t>甘油三酯（Triglyceride</w:t>
      </w:r>
      <w:r>
        <w:rPr>
          <w:rFonts w:hint="eastAsia" w:eastAsia="仿宋_GB2312"/>
          <w:bCs/>
          <w:color w:val="000000"/>
          <w:sz w:val="32"/>
          <w:szCs w:val="32"/>
        </w:rPr>
        <w:t>，</w:t>
      </w:r>
      <w:r>
        <w:rPr>
          <w:rFonts w:eastAsia="仿宋_GB2312"/>
          <w:bCs/>
          <w:color w:val="000000"/>
          <w:sz w:val="32"/>
          <w:szCs w:val="32"/>
        </w:rPr>
        <w:t>TG）测定试剂盒</w:t>
      </w:r>
      <w:r>
        <w:rPr>
          <w:rFonts w:eastAsia="仿宋_GB2312"/>
          <w:kern w:val="0"/>
          <w:sz w:val="32"/>
          <w:szCs w:val="32"/>
        </w:rPr>
        <w:t>注册申报资料的准备及撰写，同时也为技术审评部门审评注册申报资料提供参考。</w:t>
      </w:r>
    </w:p>
    <w:p w14:paraId="673F339E">
      <w:pPr>
        <w:spacing w:line="520" w:lineRule="exact"/>
        <w:ind w:firstLine="640" w:firstLineChars="200"/>
        <w:rPr>
          <w:rFonts w:eastAsia="仿宋_GB2312"/>
          <w:kern w:val="0"/>
          <w:sz w:val="32"/>
          <w:szCs w:val="32"/>
        </w:rPr>
      </w:pPr>
      <w:r>
        <w:rPr>
          <w:rFonts w:eastAsia="仿宋_GB2312"/>
          <w:kern w:val="0"/>
          <w:sz w:val="32"/>
          <w:szCs w:val="32"/>
        </w:rPr>
        <w:t>本指导原则是对</w:t>
      </w:r>
      <w:r>
        <w:rPr>
          <w:rFonts w:eastAsia="仿宋_GB2312"/>
          <w:bCs/>
          <w:color w:val="000000"/>
          <w:sz w:val="32"/>
          <w:szCs w:val="32"/>
        </w:rPr>
        <w:t>甘油三酯测定试剂盒</w:t>
      </w:r>
      <w:r>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14:paraId="2F46D515">
      <w:pPr>
        <w:spacing w:line="520" w:lineRule="exact"/>
        <w:ind w:firstLine="640" w:firstLineChars="200"/>
        <w:rPr>
          <w:rFonts w:eastAsia="仿宋_GB2312"/>
          <w:kern w:val="0"/>
          <w:sz w:val="32"/>
          <w:szCs w:val="32"/>
        </w:rPr>
      </w:pPr>
      <w:r>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21E09832">
      <w:pPr>
        <w:spacing w:line="520" w:lineRule="exact"/>
        <w:ind w:firstLine="640" w:firstLineChars="200"/>
        <w:rPr>
          <w:rFonts w:eastAsia="仿宋_GB2312"/>
          <w:kern w:val="0"/>
          <w:sz w:val="32"/>
          <w:szCs w:val="32"/>
        </w:rPr>
      </w:pPr>
      <w:r>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05066367">
      <w:pPr>
        <w:spacing w:line="520" w:lineRule="exact"/>
        <w:ind w:firstLine="640" w:firstLineChars="200"/>
        <w:rPr>
          <w:rFonts w:ascii="黑体" w:eastAsia="黑体"/>
          <w:sz w:val="32"/>
          <w:szCs w:val="32"/>
        </w:rPr>
      </w:pPr>
      <w:r>
        <w:rPr>
          <w:rFonts w:hint="eastAsia" w:ascii="黑体" w:eastAsia="黑体"/>
          <w:sz w:val="32"/>
          <w:szCs w:val="32"/>
        </w:rPr>
        <w:t>一、适用范围</w:t>
      </w:r>
    </w:p>
    <w:p w14:paraId="796859BF">
      <w:pPr>
        <w:spacing w:line="520" w:lineRule="exact"/>
        <w:ind w:firstLine="640" w:firstLineChars="200"/>
        <w:rPr>
          <w:rFonts w:eastAsia="仿宋_GB2312"/>
          <w:kern w:val="0"/>
          <w:sz w:val="32"/>
          <w:szCs w:val="32"/>
        </w:rPr>
      </w:pPr>
      <w:r>
        <w:rPr>
          <w:rFonts w:hint="eastAsia" w:eastAsia="仿宋_GB2312"/>
          <w:kern w:val="0"/>
          <w:sz w:val="32"/>
          <w:szCs w:val="32"/>
        </w:rPr>
        <w:t>甘油三酯测定试剂盒是指利用酶法对人</w:t>
      </w:r>
      <w:bookmarkStart w:id="0" w:name="OLE_LINK1"/>
      <w:r>
        <w:rPr>
          <w:rFonts w:hint="eastAsia" w:eastAsia="仿宋_GB2312"/>
          <w:kern w:val="0"/>
          <w:sz w:val="32"/>
          <w:szCs w:val="32"/>
        </w:rPr>
        <w:t>血清、血浆或其他体液</w:t>
      </w:r>
      <w:bookmarkEnd w:id="0"/>
      <w:r>
        <w:rPr>
          <w:rFonts w:hint="eastAsia" w:eastAsia="仿宋_GB2312"/>
          <w:kern w:val="0"/>
          <w:sz w:val="32"/>
          <w:szCs w:val="32"/>
        </w:rPr>
        <w:t>中的甘油三酯含量进行体外定量测定的试剂。本指导原则适用于进行产品注册和相关许可事项变更的产品。</w:t>
      </w:r>
    </w:p>
    <w:p w14:paraId="4A1C4E96">
      <w:pPr>
        <w:spacing w:line="520" w:lineRule="exact"/>
        <w:ind w:firstLine="640" w:firstLineChars="200"/>
        <w:rPr>
          <w:rFonts w:eastAsia="仿宋_GB2312"/>
          <w:kern w:val="0"/>
          <w:sz w:val="32"/>
          <w:szCs w:val="32"/>
        </w:rPr>
      </w:pPr>
      <w:r>
        <w:rPr>
          <w:rFonts w:hint="eastAsia" w:eastAsia="仿宋_GB2312"/>
          <w:kern w:val="0"/>
          <w:sz w:val="32"/>
          <w:szCs w:val="32"/>
        </w:rPr>
        <w:t>脂肪酶分解血清中甘油三酯为甘油和脂肪酸。在ATP存在下，甘油激酶将甘油磷酸化成3-磷酸甘油。后者被磷酸甘油氧化酶氧化生成磷酸二羟丙酮和过氧化氢。过氧化氢与过氧化物酶、</w:t>
      </w:r>
      <w:r>
        <w:rPr>
          <w:rFonts w:hint="eastAsia" w:eastAsia="仿宋_GB2312"/>
          <w:spacing w:val="8"/>
          <w:kern w:val="0"/>
          <w:sz w:val="32"/>
          <w:szCs w:val="32"/>
        </w:rPr>
        <w:t>4-氨基比林进行显色反应，生成有色苯醌亚胺，在500nm</w:t>
      </w:r>
      <w:r>
        <w:rPr>
          <w:rFonts w:hint="eastAsia" w:eastAsia="仿宋_GB2312"/>
          <w:kern w:val="0"/>
          <w:sz w:val="32"/>
          <w:szCs w:val="32"/>
        </w:rPr>
        <w:t>（480nm—550nm）处吸光度值与甘油三酯含量成正比。本文不适用于干化学类测定试剂。</w:t>
      </w:r>
    </w:p>
    <w:p w14:paraId="345EC3D6">
      <w:pPr>
        <w:spacing w:line="520" w:lineRule="exact"/>
        <w:ind w:firstLine="640" w:firstLineChars="200"/>
        <w:rPr>
          <w:rFonts w:eastAsia="仿宋_GB2312"/>
          <w:kern w:val="0"/>
          <w:sz w:val="32"/>
          <w:szCs w:val="32"/>
        </w:rPr>
      </w:pPr>
      <w:r>
        <w:rPr>
          <w:rFonts w:hint="eastAsia" w:eastAsia="仿宋_GB2312"/>
          <w:kern w:val="0"/>
          <w:sz w:val="32"/>
          <w:szCs w:val="32"/>
        </w:rPr>
        <w:t>依据《体外诊断试剂注册管理办法》（国家食品药品监督管理总局令第5号）、《食品药品监管总局关于印发体外诊断试剂分类子目录的通知》（食药监械管〔2013〕242号），甘油三酯检测试剂属于酯类检测试剂，管理类别为Ⅱ类，分类代号为6840。</w:t>
      </w:r>
    </w:p>
    <w:p w14:paraId="1CEEE151">
      <w:pPr>
        <w:widowControl/>
        <w:spacing w:line="520" w:lineRule="exact"/>
        <w:ind w:right="-178" w:rightChars="-85" w:firstLine="640" w:firstLineChars="200"/>
        <w:rPr>
          <w:rFonts w:ascii="黑体" w:eastAsia="黑体"/>
          <w:sz w:val="32"/>
          <w:szCs w:val="32"/>
        </w:rPr>
      </w:pPr>
      <w:r>
        <w:rPr>
          <w:rFonts w:hint="eastAsia" w:ascii="黑体" w:eastAsia="黑体"/>
          <w:sz w:val="32"/>
          <w:szCs w:val="32"/>
        </w:rPr>
        <w:t>二、注册申报资料要求</w:t>
      </w:r>
    </w:p>
    <w:p w14:paraId="0F332059">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（一）综述资料</w:t>
      </w:r>
    </w:p>
    <w:p w14:paraId="66A4551B">
      <w:pPr>
        <w:spacing w:line="520" w:lineRule="exact"/>
        <w:ind w:firstLine="640" w:firstLineChars="200"/>
        <w:rPr>
          <w:rFonts w:eastAsia="仿宋_GB2312"/>
          <w:kern w:val="0"/>
          <w:sz w:val="32"/>
          <w:szCs w:val="32"/>
        </w:rPr>
      </w:pPr>
      <w:r>
        <w:rPr>
          <w:rFonts w:hint="eastAsia" w:eastAsia="仿宋_GB2312"/>
          <w:kern w:val="0"/>
          <w:sz w:val="32"/>
          <w:szCs w:val="32"/>
        </w:rPr>
        <w:t>甘油三酯（Triglyceride，TG）是3分子</w:t>
      </w:r>
      <w:r>
        <w:fldChar w:fldCharType="begin"/>
      </w:r>
      <w:r>
        <w:instrText xml:space="preserve"> HYPERLINK "http://baike.baidu.com/item/%E9%95%BF%E9%93%BE%E8%84%82%E8%82%AA%E9%85%B8" \t "_blank" </w:instrText>
      </w:r>
      <w:r>
        <w:fldChar w:fldCharType="separate"/>
      </w:r>
      <w:r>
        <w:rPr>
          <w:rFonts w:hint="eastAsia" w:eastAsia="仿宋_GB2312"/>
          <w:kern w:val="0"/>
          <w:sz w:val="32"/>
          <w:szCs w:val="32"/>
        </w:rPr>
        <w:t>长链脂肪酸</w:t>
      </w:r>
      <w:r>
        <w:rPr>
          <w:rFonts w:hint="eastAsia" w:eastAsia="仿宋_GB2312"/>
          <w:kern w:val="0"/>
          <w:sz w:val="32"/>
          <w:szCs w:val="32"/>
        </w:rPr>
        <w:fldChar w:fldCharType="end"/>
      </w:r>
      <w:r>
        <w:rPr>
          <w:rFonts w:hint="eastAsia" w:eastAsia="仿宋_GB2312"/>
          <w:kern w:val="0"/>
          <w:sz w:val="32"/>
          <w:szCs w:val="32"/>
        </w:rPr>
        <w:t>和甘油形成的脂肪分子。甘油三酯是人体内含量最多的脂类，大部分组织均可以利用甘油三酯分解产物供给能量，同时肝脏、脂肪等组织还可以进行甘油三酯的合成，在</w:t>
      </w:r>
      <w:r>
        <w:fldChar w:fldCharType="begin"/>
      </w:r>
      <w:r>
        <w:instrText xml:space="preserve"> HYPERLINK "http://baike.baidu.com/view/210113.htm" \t "_blank" </w:instrText>
      </w:r>
      <w:r>
        <w:fldChar w:fldCharType="separate"/>
      </w:r>
      <w:r>
        <w:rPr>
          <w:rFonts w:hint="eastAsia" w:eastAsia="仿宋_GB2312"/>
          <w:kern w:val="0"/>
          <w:sz w:val="32"/>
          <w:szCs w:val="32"/>
        </w:rPr>
        <w:t>脂肪组织</w:t>
      </w:r>
      <w:r>
        <w:rPr>
          <w:rFonts w:hint="eastAsia" w:eastAsia="仿宋_GB2312"/>
          <w:kern w:val="0"/>
          <w:sz w:val="32"/>
          <w:szCs w:val="32"/>
        </w:rPr>
        <w:fldChar w:fldCharType="end"/>
      </w:r>
      <w:r>
        <w:rPr>
          <w:rFonts w:hint="eastAsia" w:eastAsia="仿宋_GB2312"/>
          <w:kern w:val="0"/>
          <w:sz w:val="32"/>
          <w:szCs w:val="32"/>
        </w:rPr>
        <w:t>中贮存。人血清中甘油三酯水平呈明显正偏态分布。病理性升高：原发性见于家族性高甘油三酯血症与家族性混合型高脂（蛋白）血症等。继发性见于糖尿病、糖尿累积病，甲状腺功能衰退、肾病综合征、妊娠、口服避孕药、酗酒等。病理性降低：原发性见于无β-脂蛋白血症和低β-脂蛋白血症。继发性见于继发性脂质代谢异常，如消化道疾病（肝疾患、吸收不良综合征）、内分泌疾患（甲状腺功能亢进症、慢性肾上腺皮质不全）及肝素等药物的应用。综述资料主要包括产品预期用途、产品描述、方法学特征、生物安全性评价、研究结果总结以及同类产品上市情况介绍等内容，应符合《体外诊断试剂注册管理办法》和《关于公布体外诊断试剂注册申报资料要求和批准证明文件格式的公告》（国家食品药品监督管理总局公告2014年第44号）的相关要求。</w:t>
      </w:r>
    </w:p>
    <w:p w14:paraId="7E2AB5F9">
      <w:pPr>
        <w:spacing w:line="50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（二）主要原材料的研究资料（如需提供）</w:t>
      </w:r>
    </w:p>
    <w:p w14:paraId="606D7472">
      <w:pPr>
        <w:spacing w:line="500" w:lineRule="exact"/>
        <w:ind w:firstLine="640" w:firstLineChars="200"/>
        <w:rPr>
          <w:rFonts w:ascii="仿宋_GB2312" w:eastAsia="仿宋_GB2312" w:cs="仿宋_GB2312"/>
          <w:bCs/>
          <w:color w:val="000000"/>
          <w:sz w:val="32"/>
          <w:szCs w:val="32"/>
        </w:rPr>
      </w:pPr>
      <w:r>
        <w:rPr>
          <w:rFonts w:hint="eastAsia" w:eastAsia="仿宋_GB2312"/>
          <w:kern w:val="0"/>
          <w:sz w:val="32"/>
          <w:szCs w:val="32"/>
        </w:rPr>
        <w:t>包括主要反应成分、质控品、校准品等的选择、制备、质量标准确定的方法及研究资料；校准品应提供详细的量值溯源资料，包括定值试验资料和溯源性文件等；质控品应提供详细的定值资料。</w:t>
      </w:r>
    </w:p>
    <w:p w14:paraId="615983C7">
      <w:pPr>
        <w:spacing w:line="50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（三）主要生产工艺和反应体系的研究资料（如需提供）</w:t>
      </w:r>
    </w:p>
    <w:p w14:paraId="3E201604">
      <w:pPr>
        <w:spacing w:line="500" w:lineRule="exact"/>
        <w:ind w:firstLine="640" w:firstLineChars="200"/>
        <w:rPr>
          <w:rFonts w:eastAsia="仿宋_GB2312"/>
          <w:kern w:val="0"/>
          <w:sz w:val="32"/>
          <w:szCs w:val="32"/>
        </w:rPr>
      </w:pPr>
      <w:r>
        <w:rPr>
          <w:rFonts w:hint="eastAsia" w:eastAsia="仿宋_GB2312"/>
          <w:kern w:val="0"/>
          <w:sz w:val="32"/>
          <w:szCs w:val="32"/>
        </w:rPr>
        <w:t>1.主要生产工艺介绍，可用流程图方式表示，并说明主要生产工艺过程的研究资料、每一步生产工艺的确认资料及试验数据。包括：工作液的配制和分装，显色系统的描述和确定依据等。</w:t>
      </w:r>
    </w:p>
    <w:p w14:paraId="18BA0C4C">
      <w:pPr>
        <w:spacing w:line="500" w:lineRule="exact"/>
        <w:ind w:firstLine="640" w:firstLineChars="200"/>
        <w:rPr>
          <w:rFonts w:eastAsia="仿宋_GB2312"/>
          <w:kern w:val="0"/>
          <w:sz w:val="32"/>
          <w:szCs w:val="32"/>
        </w:rPr>
      </w:pPr>
      <w:r>
        <w:rPr>
          <w:rFonts w:hint="eastAsia" w:eastAsia="仿宋_GB2312"/>
          <w:kern w:val="0"/>
          <w:sz w:val="32"/>
          <w:szCs w:val="32"/>
        </w:rPr>
        <w:t>2.主要反应体系的研究资料，包括：样本采集及处理、样本要求，确定反应温度、时间、缓冲体系比较等条件的确认资料及试验数据，确定样本和试剂盒组分加样量的确认资料及试验数据，校准方法、质控方法等。</w:t>
      </w:r>
    </w:p>
    <w:p w14:paraId="1AFD8A8B">
      <w:pPr>
        <w:spacing w:line="50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（四）分析性能评估资料</w:t>
      </w:r>
    </w:p>
    <w:p w14:paraId="7CD61321">
      <w:pPr>
        <w:spacing w:line="500" w:lineRule="exact"/>
        <w:ind w:firstLine="640" w:firstLineChars="200"/>
        <w:rPr>
          <w:rFonts w:eastAsia="仿宋_GB2312"/>
          <w:kern w:val="0"/>
          <w:sz w:val="32"/>
          <w:szCs w:val="32"/>
        </w:rPr>
      </w:pPr>
      <w:r>
        <w:rPr>
          <w:rFonts w:hint="eastAsia" w:eastAsia="仿宋_GB2312"/>
          <w:kern w:val="0"/>
          <w:sz w:val="32"/>
          <w:szCs w:val="32"/>
        </w:rPr>
        <w:t>申请人应当提交产品研制或成品验证阶段对试剂盒进行的所有性能验证的研究资料，对于每项分析性能的评价都应包括具体的研究项目、实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实验地点、适用仪器、试剂规格和批号、所选用的校准品和质控品、临床样本来源等。</w:t>
      </w:r>
    </w:p>
    <w:p w14:paraId="443592C0">
      <w:pPr>
        <w:spacing w:line="500" w:lineRule="exact"/>
        <w:ind w:firstLine="640" w:firstLineChars="200"/>
        <w:rPr>
          <w:rFonts w:eastAsia="仿宋_GB2312"/>
          <w:kern w:val="0"/>
          <w:sz w:val="32"/>
          <w:szCs w:val="32"/>
        </w:rPr>
      </w:pPr>
      <w:r>
        <w:rPr>
          <w:rFonts w:hint="eastAsia" w:eastAsia="仿宋_GB2312"/>
          <w:kern w:val="0"/>
          <w:sz w:val="32"/>
          <w:szCs w:val="32"/>
        </w:rPr>
        <w:t>性能评估应至少包括准确度、精密度、线性范围、最低检测限、分析灵敏度、分析特异性、其他影响检测的因素等。</w:t>
      </w:r>
    </w:p>
    <w:p w14:paraId="65AEF67F">
      <w:pPr>
        <w:spacing w:line="520" w:lineRule="exact"/>
        <w:ind w:firstLine="640" w:firstLineChars="200"/>
        <w:rPr>
          <w:rFonts w:eastAsia="仿宋_GB2312"/>
          <w:kern w:val="0"/>
          <w:sz w:val="32"/>
          <w:szCs w:val="32"/>
        </w:rPr>
      </w:pPr>
      <w:r>
        <w:rPr>
          <w:rFonts w:hint="eastAsia" w:eastAsia="仿宋_GB2312"/>
          <w:kern w:val="0"/>
          <w:sz w:val="32"/>
          <w:szCs w:val="32"/>
        </w:rPr>
        <w:t>1.准确度</w:t>
      </w:r>
    </w:p>
    <w:p w14:paraId="6DF23811">
      <w:pPr>
        <w:spacing w:line="520" w:lineRule="exact"/>
        <w:ind w:firstLine="640" w:firstLineChars="200"/>
        <w:rPr>
          <w:rFonts w:eastAsia="仿宋_GB2312"/>
          <w:kern w:val="0"/>
          <w:sz w:val="32"/>
          <w:szCs w:val="32"/>
        </w:rPr>
      </w:pPr>
      <w:r>
        <w:rPr>
          <w:rFonts w:hint="eastAsia" w:eastAsia="仿宋_GB2312"/>
          <w:kern w:val="0"/>
          <w:sz w:val="32"/>
          <w:szCs w:val="32"/>
        </w:rPr>
        <w:t>对测量准确度的评价方法依次包括：相对偏差、回收试验、比对试验等方法，甘油三酯项目目前有国家标准品和国际参考物质，建议申请人优先采用相对偏差的方法，申请人也可根据实际情况选择其他合理方法进行研究。</w:t>
      </w:r>
    </w:p>
    <w:p w14:paraId="5339CB25">
      <w:pPr>
        <w:spacing w:line="520" w:lineRule="exact"/>
        <w:ind w:firstLine="640" w:firstLineChars="200"/>
        <w:rPr>
          <w:rFonts w:eastAsia="仿宋_GB2312"/>
          <w:kern w:val="0"/>
          <w:sz w:val="32"/>
          <w:szCs w:val="32"/>
        </w:rPr>
      </w:pPr>
      <w:r>
        <w:rPr>
          <w:rFonts w:hint="eastAsia" w:eastAsia="仿宋_GB2312"/>
          <w:kern w:val="0"/>
          <w:sz w:val="32"/>
          <w:szCs w:val="32"/>
        </w:rPr>
        <w:t>1.1相对偏差</w:t>
      </w:r>
    </w:p>
    <w:p w14:paraId="45F64838">
      <w:pPr>
        <w:spacing w:line="520" w:lineRule="exact"/>
        <w:ind w:firstLine="640" w:firstLineChars="200"/>
        <w:rPr>
          <w:rFonts w:eastAsia="仿宋_GB2312"/>
          <w:kern w:val="0"/>
          <w:sz w:val="32"/>
          <w:szCs w:val="32"/>
        </w:rPr>
      </w:pPr>
      <w:r>
        <w:rPr>
          <w:rFonts w:hint="eastAsia" w:eastAsia="仿宋_GB2312"/>
          <w:kern w:val="0"/>
          <w:sz w:val="32"/>
          <w:szCs w:val="32"/>
        </w:rPr>
        <w:t>使用国家标准品或国际参考物质作为样本进行测试，重复测定3次，计算平均值与标示值的相对偏差。</w:t>
      </w:r>
    </w:p>
    <w:p w14:paraId="2D7FDBAA">
      <w:pPr>
        <w:spacing w:line="520" w:lineRule="exact"/>
        <w:ind w:firstLine="640" w:firstLineChars="200"/>
        <w:rPr>
          <w:rFonts w:eastAsia="仿宋_GB2312"/>
          <w:kern w:val="0"/>
          <w:sz w:val="32"/>
          <w:szCs w:val="32"/>
        </w:rPr>
      </w:pPr>
      <w:r>
        <w:rPr>
          <w:rFonts w:hint="eastAsia" w:eastAsia="仿宋_GB2312"/>
          <w:kern w:val="0"/>
          <w:sz w:val="32"/>
          <w:szCs w:val="32"/>
        </w:rPr>
        <w:t>或用由参考方法定值的高、低2个浓度的人血清对试剂盒进行测试，每个浓度样品重复测定3次，分别取测试结果均值，计算相对偏差。</w:t>
      </w:r>
    </w:p>
    <w:p w14:paraId="41DDAD02">
      <w:pPr>
        <w:spacing w:line="520" w:lineRule="exact"/>
        <w:ind w:firstLine="640" w:firstLineChars="200"/>
        <w:rPr>
          <w:rFonts w:eastAsia="仿宋_GB2312"/>
          <w:kern w:val="0"/>
          <w:sz w:val="32"/>
          <w:szCs w:val="32"/>
        </w:rPr>
      </w:pPr>
      <w:r>
        <w:rPr>
          <w:rFonts w:hint="eastAsia" w:eastAsia="仿宋_GB2312"/>
          <w:kern w:val="0"/>
          <w:sz w:val="32"/>
          <w:szCs w:val="32"/>
        </w:rPr>
        <w:t>1.2回收试验</w:t>
      </w:r>
    </w:p>
    <w:p w14:paraId="08F133CF">
      <w:pPr>
        <w:spacing w:line="520" w:lineRule="exact"/>
        <w:ind w:firstLine="640" w:firstLineChars="200"/>
        <w:rPr>
          <w:rFonts w:eastAsia="仿宋_GB2312"/>
          <w:kern w:val="0"/>
          <w:sz w:val="32"/>
          <w:szCs w:val="32"/>
        </w:rPr>
      </w:pPr>
      <w:r>
        <w:rPr>
          <w:rFonts w:hint="eastAsia" w:eastAsia="仿宋_GB2312"/>
          <w:kern w:val="0"/>
          <w:sz w:val="32"/>
          <w:szCs w:val="32"/>
        </w:rPr>
        <w:t>在人血清样品中加入一定体积标准或校准品溶液或纯品，每个浓度重复测定3次，计算回收率。</w:t>
      </w:r>
    </w:p>
    <w:p w14:paraId="4E9AFE58">
      <w:pPr>
        <w:spacing w:line="520" w:lineRule="exact"/>
        <w:ind w:firstLine="640" w:firstLineChars="200"/>
        <w:rPr>
          <w:rFonts w:eastAsia="仿宋_GB2312"/>
          <w:kern w:val="0"/>
          <w:sz w:val="32"/>
          <w:szCs w:val="32"/>
        </w:rPr>
      </w:pPr>
      <w:r>
        <w:rPr>
          <w:rFonts w:hint="eastAsia" w:eastAsia="仿宋_GB2312"/>
          <w:kern w:val="0"/>
          <w:sz w:val="32"/>
          <w:szCs w:val="32"/>
        </w:rPr>
        <w:t>回收试验注意事项：</w:t>
      </w:r>
    </w:p>
    <w:p w14:paraId="7DCF9569">
      <w:pPr>
        <w:spacing w:line="520" w:lineRule="exact"/>
        <w:ind w:firstLine="640" w:firstLineChars="200"/>
        <w:rPr>
          <w:rFonts w:eastAsia="仿宋_GB2312"/>
          <w:kern w:val="0"/>
          <w:sz w:val="32"/>
          <w:szCs w:val="32"/>
        </w:rPr>
      </w:pPr>
      <w:r>
        <w:rPr>
          <w:rFonts w:hint="eastAsia" w:eastAsia="仿宋_GB2312"/>
          <w:kern w:val="0"/>
          <w:sz w:val="32"/>
          <w:szCs w:val="32"/>
        </w:rPr>
        <w:t>1.2.1加入的标准液体积与血清体积比应不大于1:20或其体积比不会产生基质的变化；</w:t>
      </w:r>
    </w:p>
    <w:p w14:paraId="6E9667A4">
      <w:pPr>
        <w:spacing w:line="520" w:lineRule="exact"/>
        <w:ind w:firstLine="640" w:firstLineChars="200"/>
        <w:rPr>
          <w:rFonts w:eastAsia="仿宋_GB2312"/>
          <w:kern w:val="0"/>
          <w:sz w:val="32"/>
          <w:szCs w:val="32"/>
        </w:rPr>
      </w:pPr>
      <w:r>
        <w:rPr>
          <w:rFonts w:hint="eastAsia" w:eastAsia="仿宋_GB2312"/>
          <w:kern w:val="0"/>
          <w:sz w:val="32"/>
          <w:szCs w:val="32"/>
        </w:rPr>
        <w:t>1.2.2加入标准或校准品溶液后样品总浓度应在试剂盒测定线性范围内；</w:t>
      </w:r>
    </w:p>
    <w:p w14:paraId="6F15186B">
      <w:pPr>
        <w:spacing w:line="520" w:lineRule="exact"/>
        <w:ind w:firstLine="640" w:firstLineChars="200"/>
        <w:rPr>
          <w:rFonts w:eastAsia="仿宋_GB2312"/>
          <w:kern w:val="0"/>
          <w:sz w:val="32"/>
          <w:szCs w:val="32"/>
        </w:rPr>
      </w:pPr>
      <w:r>
        <w:rPr>
          <w:rFonts w:hint="eastAsia" w:eastAsia="仿宋_GB2312"/>
          <w:kern w:val="0"/>
          <w:sz w:val="32"/>
          <w:szCs w:val="32"/>
        </w:rPr>
        <w:t>1.2.3标准品或校准品应有溯源性；</w:t>
      </w:r>
    </w:p>
    <w:p w14:paraId="4C8CCB0A">
      <w:pPr>
        <w:spacing w:line="520" w:lineRule="exact"/>
        <w:ind w:firstLine="640" w:firstLineChars="200"/>
        <w:rPr>
          <w:rFonts w:eastAsia="仿宋_GB2312"/>
          <w:kern w:val="0"/>
          <w:sz w:val="32"/>
          <w:szCs w:val="32"/>
        </w:rPr>
      </w:pPr>
      <w:r>
        <w:rPr>
          <w:rFonts w:hint="eastAsia" w:eastAsia="仿宋_GB2312"/>
          <w:kern w:val="0"/>
          <w:sz w:val="32"/>
          <w:szCs w:val="32"/>
        </w:rPr>
        <w:t>1.3比对试验</w:t>
      </w:r>
    </w:p>
    <w:p w14:paraId="336EB2DF">
      <w:pPr>
        <w:spacing w:line="520" w:lineRule="exact"/>
        <w:ind w:firstLine="640" w:firstLineChars="200"/>
        <w:rPr>
          <w:rFonts w:eastAsia="仿宋_GB2312"/>
          <w:kern w:val="0"/>
          <w:sz w:val="32"/>
          <w:szCs w:val="32"/>
        </w:rPr>
      </w:pPr>
      <w:r>
        <w:rPr>
          <w:rFonts w:hint="eastAsia" w:eastAsia="仿宋_GB2312"/>
          <w:kern w:val="0"/>
          <w:sz w:val="32"/>
          <w:szCs w:val="32"/>
        </w:rPr>
        <w:t>采用参考方法或国内/国际普遍认为质量较好的已上市同类试剂作为参比方法，与拟申报试剂同时检测一批病人样品（至少40例样本），从测定结果间的差异了解拟申报试剂与参比方法间的偏倚。如偏倚很小或在允许的误差范围内，说明两检测系统对病人标本测定结果基本相符，对同一份临床样本的医学解释，拟申报试剂与参比方法相比不会产生差异结果。</w:t>
      </w:r>
    </w:p>
    <w:p w14:paraId="0A972A09">
      <w:pPr>
        <w:spacing w:line="520" w:lineRule="exact"/>
        <w:ind w:firstLine="640" w:firstLineChars="200"/>
        <w:rPr>
          <w:rFonts w:eastAsia="仿宋_GB2312"/>
          <w:kern w:val="0"/>
          <w:sz w:val="32"/>
          <w:szCs w:val="32"/>
        </w:rPr>
      </w:pPr>
      <w:r>
        <w:rPr>
          <w:rFonts w:hint="eastAsia" w:eastAsia="仿宋_GB2312"/>
          <w:kern w:val="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w:t>
      </w:r>
    </w:p>
    <w:p w14:paraId="679F77EF">
      <w:pPr>
        <w:spacing w:line="520" w:lineRule="exact"/>
        <w:ind w:firstLine="640" w:firstLineChars="200"/>
        <w:rPr>
          <w:rFonts w:eastAsia="仿宋_GB2312"/>
          <w:kern w:val="0"/>
          <w:sz w:val="32"/>
          <w:szCs w:val="32"/>
        </w:rPr>
      </w:pPr>
      <w:r>
        <w:rPr>
          <w:rFonts w:hint="eastAsia" w:eastAsia="仿宋_GB2312"/>
          <w:kern w:val="0"/>
          <w:sz w:val="32"/>
          <w:szCs w:val="32"/>
        </w:rPr>
        <w:t>2.精密度</w:t>
      </w:r>
    </w:p>
    <w:p w14:paraId="3EBDF044">
      <w:pPr>
        <w:spacing w:line="520" w:lineRule="exact"/>
        <w:ind w:firstLine="640" w:firstLineChars="200"/>
        <w:rPr>
          <w:rFonts w:eastAsia="仿宋_GB2312"/>
          <w:kern w:val="0"/>
          <w:sz w:val="32"/>
          <w:szCs w:val="32"/>
        </w:rPr>
      </w:pPr>
      <w:r>
        <w:rPr>
          <w:rFonts w:hint="eastAsia" w:eastAsia="仿宋_GB2312"/>
          <w:kern w:val="0"/>
          <w:sz w:val="32"/>
          <w:szCs w:val="32"/>
        </w:rPr>
        <w:t>测量精密度的评估应至少包括两个浓度水平的样本进行，两个浓度都应在试剂盒的测量范围内且有一定的临床意义，通常选用该检测指标的临界值附近样本和异常高值样本。</w:t>
      </w:r>
    </w:p>
    <w:p w14:paraId="4D026C29">
      <w:pPr>
        <w:spacing w:line="520" w:lineRule="exact"/>
        <w:ind w:firstLine="640" w:firstLineChars="200"/>
        <w:rPr>
          <w:rFonts w:eastAsia="仿宋_GB2312"/>
          <w:kern w:val="0"/>
          <w:sz w:val="32"/>
          <w:szCs w:val="32"/>
        </w:rPr>
      </w:pPr>
      <w:r>
        <w:rPr>
          <w:rFonts w:hint="eastAsia" w:eastAsia="仿宋_GB2312"/>
          <w:kern w:val="0"/>
          <w:sz w:val="32"/>
          <w:szCs w:val="32"/>
        </w:rPr>
        <w:t>3.线性范围</w:t>
      </w:r>
    </w:p>
    <w:p w14:paraId="2504937F">
      <w:pPr>
        <w:spacing w:line="520" w:lineRule="exact"/>
        <w:ind w:firstLine="640" w:firstLineChars="200"/>
        <w:rPr>
          <w:rFonts w:eastAsia="仿宋_GB2312"/>
          <w:kern w:val="0"/>
          <w:sz w:val="32"/>
          <w:szCs w:val="32"/>
        </w:rPr>
      </w:pPr>
      <w:r>
        <w:rPr>
          <w:rFonts w:hint="eastAsia" w:eastAsia="仿宋_GB2312"/>
          <w:kern w:val="0"/>
          <w:sz w:val="32"/>
          <w:szCs w:val="32"/>
        </w:rPr>
        <w:t>建立试剂线性范围所用的样本基质应尽可能与临床实际检测的样本相似，理想的样本为分析物浓度接近预期测定上限的混合人血清，且应充分考虑多倍稀释对样本基质的影响。</w:t>
      </w:r>
    </w:p>
    <w:p w14:paraId="6D37288C">
      <w:pPr>
        <w:spacing w:line="520" w:lineRule="exact"/>
        <w:ind w:firstLine="640" w:firstLineChars="200"/>
        <w:rPr>
          <w:rFonts w:eastAsia="仿宋_GB2312"/>
          <w:kern w:val="0"/>
          <w:sz w:val="32"/>
          <w:szCs w:val="32"/>
        </w:rPr>
      </w:pPr>
      <w:r>
        <w:rPr>
          <w:rFonts w:hint="eastAsia" w:eastAsia="仿宋_GB2312"/>
          <w:kern w:val="0"/>
          <w:sz w:val="32"/>
          <w:szCs w:val="32"/>
        </w:rPr>
        <w:t>超出线性范围的样本如需稀释后测定，应做相关研究，明确稀释液类型及最大可稀释倍数，研究过程应注意基质效应影响，必要时应提供基质效应研究有关的资料。</w:t>
      </w:r>
    </w:p>
    <w:p w14:paraId="2EC70816">
      <w:pPr>
        <w:spacing w:line="520" w:lineRule="exact"/>
        <w:ind w:firstLine="640" w:firstLineChars="200"/>
        <w:rPr>
          <w:rFonts w:eastAsia="仿宋_GB2312"/>
          <w:kern w:val="0"/>
          <w:sz w:val="32"/>
          <w:szCs w:val="32"/>
        </w:rPr>
      </w:pPr>
      <w:r>
        <w:rPr>
          <w:rFonts w:hint="eastAsia" w:eastAsia="仿宋_GB2312"/>
          <w:kern w:val="0"/>
          <w:sz w:val="32"/>
          <w:szCs w:val="32"/>
        </w:rPr>
        <w:t>4.最低检测限</w:t>
      </w:r>
    </w:p>
    <w:p w14:paraId="51DC698A">
      <w:pPr>
        <w:spacing w:line="520" w:lineRule="exact"/>
        <w:ind w:firstLine="640" w:firstLineChars="200"/>
        <w:rPr>
          <w:rFonts w:eastAsia="仿宋_GB2312"/>
          <w:kern w:val="0"/>
          <w:sz w:val="32"/>
          <w:szCs w:val="32"/>
        </w:rPr>
      </w:pPr>
      <w:r>
        <w:rPr>
          <w:rFonts w:hint="eastAsia" w:eastAsia="仿宋_GB2312"/>
          <w:kern w:val="0"/>
          <w:sz w:val="32"/>
          <w:szCs w:val="32"/>
        </w:rPr>
        <w:t>最低检测限的确定常使用同批号试剂对零浓度校准品（或样品稀释液）进行至少20次重复检测，平均值加2倍SD（≥95%置信区间）即试剂的最低检测限。</w:t>
      </w:r>
    </w:p>
    <w:p w14:paraId="5E78EF66">
      <w:pPr>
        <w:spacing w:line="520" w:lineRule="exact"/>
        <w:ind w:firstLine="640" w:firstLineChars="200"/>
        <w:rPr>
          <w:rFonts w:eastAsia="仿宋_GB2312"/>
          <w:kern w:val="0"/>
          <w:sz w:val="32"/>
          <w:szCs w:val="32"/>
        </w:rPr>
      </w:pPr>
      <w:r>
        <w:rPr>
          <w:rFonts w:hint="eastAsia" w:eastAsia="仿宋_GB2312"/>
          <w:kern w:val="0"/>
          <w:sz w:val="32"/>
          <w:szCs w:val="32"/>
        </w:rPr>
        <w:t>5.分析灵敏度</w:t>
      </w:r>
    </w:p>
    <w:p w14:paraId="7939B4AA">
      <w:pPr>
        <w:spacing w:line="520" w:lineRule="exact"/>
        <w:ind w:firstLine="640" w:firstLineChars="200"/>
        <w:rPr>
          <w:rFonts w:eastAsia="仿宋_GB2312"/>
          <w:kern w:val="0"/>
          <w:sz w:val="32"/>
          <w:szCs w:val="32"/>
        </w:rPr>
      </w:pPr>
      <w:r>
        <w:rPr>
          <w:rFonts w:hint="eastAsia" w:eastAsia="仿宋_GB2312"/>
          <w:kern w:val="0"/>
          <w:sz w:val="32"/>
          <w:szCs w:val="32"/>
        </w:rPr>
        <w:t>试剂盒测试给定浓度的被测物时，吸光度差值（Δ</w:t>
      </w:r>
      <w:r>
        <w:rPr>
          <w:rFonts w:eastAsia="仿宋_GB2312"/>
          <w:kern w:val="0"/>
          <w:sz w:val="32"/>
          <w:szCs w:val="32"/>
        </w:rPr>
        <w:t>A</w:t>
      </w:r>
      <w:r>
        <w:rPr>
          <w:rFonts w:hint="eastAsia" w:eastAsia="仿宋_GB2312"/>
          <w:kern w:val="0"/>
          <w:sz w:val="32"/>
          <w:szCs w:val="32"/>
        </w:rPr>
        <w:t>）应符合生产企业给定范围。</w:t>
      </w:r>
    </w:p>
    <w:p w14:paraId="380EAAEB">
      <w:pPr>
        <w:spacing w:line="520" w:lineRule="exact"/>
        <w:ind w:firstLine="640" w:firstLineChars="200"/>
        <w:rPr>
          <w:rFonts w:eastAsia="仿宋_GB2312"/>
          <w:kern w:val="0"/>
          <w:sz w:val="32"/>
          <w:szCs w:val="32"/>
        </w:rPr>
      </w:pPr>
      <w:r>
        <w:rPr>
          <w:rFonts w:hint="eastAsia" w:eastAsia="仿宋_GB2312"/>
          <w:kern w:val="0"/>
          <w:sz w:val="32"/>
          <w:szCs w:val="32"/>
        </w:rPr>
        <w:t>6.分析特异性</w:t>
      </w:r>
    </w:p>
    <w:p w14:paraId="78990754">
      <w:pPr>
        <w:spacing w:line="520" w:lineRule="exact"/>
        <w:ind w:firstLine="640" w:firstLineChars="200"/>
        <w:rPr>
          <w:rFonts w:eastAsia="仿宋_GB2312"/>
          <w:kern w:val="0"/>
          <w:sz w:val="32"/>
          <w:szCs w:val="32"/>
        </w:rPr>
      </w:pPr>
      <w:r>
        <w:rPr>
          <w:rFonts w:hint="eastAsia" w:eastAsia="仿宋_GB2312"/>
          <w:kern w:val="0"/>
          <w:sz w:val="32"/>
          <w:szCs w:val="32"/>
        </w:rPr>
        <w:t>应明确已知干扰因素对测定结果的影响：可采用回收实验对不同浓度的溶血、黄疸对检测结果的影响进行评价，干扰物浓度的分布应覆盖人体生理及病理状态下可能出现的物质浓度。待评价的甘油三酯样本浓度至少应为高、中、低三个水平，选取线性范围内有临床代表性意义的浓度。</w:t>
      </w:r>
    </w:p>
    <w:p w14:paraId="22F8C61D">
      <w:pPr>
        <w:spacing w:line="520" w:lineRule="exact"/>
        <w:ind w:firstLine="640" w:firstLineChars="200"/>
        <w:rPr>
          <w:rFonts w:eastAsia="仿宋_GB2312"/>
          <w:kern w:val="0"/>
          <w:sz w:val="32"/>
          <w:szCs w:val="32"/>
        </w:rPr>
      </w:pPr>
      <w:r>
        <w:rPr>
          <w:rFonts w:hint="eastAsia" w:eastAsia="仿宋_GB2312"/>
          <w:kern w:val="0"/>
          <w:sz w:val="32"/>
          <w:szCs w:val="32"/>
        </w:rPr>
        <w:t>药物干扰的研究可根据需要由申请人选择是否进行或选择何种药物及其浓度进行。</w:t>
      </w:r>
    </w:p>
    <w:p w14:paraId="14417D28">
      <w:pPr>
        <w:spacing w:line="520" w:lineRule="exact"/>
        <w:ind w:firstLine="640" w:firstLineChars="200"/>
        <w:rPr>
          <w:rFonts w:eastAsia="仿宋_GB2312"/>
          <w:kern w:val="0"/>
          <w:sz w:val="32"/>
          <w:szCs w:val="32"/>
        </w:rPr>
      </w:pPr>
      <w:r>
        <w:rPr>
          <w:rFonts w:hint="eastAsia" w:eastAsia="仿宋_GB2312"/>
          <w:kern w:val="0"/>
          <w:sz w:val="32"/>
          <w:szCs w:val="32"/>
        </w:rPr>
        <w:t>7.校准品溯源及质控品赋值（如产品中包含）</w:t>
      </w:r>
    </w:p>
    <w:p w14:paraId="5E3EE6D4">
      <w:pPr>
        <w:spacing w:line="520" w:lineRule="exact"/>
        <w:ind w:firstLine="656" w:firstLineChars="200"/>
        <w:rPr>
          <w:rFonts w:eastAsia="仿宋_GB2312"/>
          <w:spacing w:val="4"/>
          <w:kern w:val="0"/>
          <w:sz w:val="32"/>
          <w:szCs w:val="32"/>
        </w:rPr>
      </w:pPr>
      <w:r>
        <w:rPr>
          <w:rFonts w:hint="eastAsia" w:eastAsia="仿宋_GB2312"/>
          <w:spacing w:val="4"/>
          <w:kern w:val="0"/>
          <w:sz w:val="32"/>
          <w:szCs w:val="32"/>
        </w:rPr>
        <w:t>校准品应提供详细的量值溯源资料，包括定值试验资料和溯源性文件等；质控品应提供详细的定值资料。应参照GB/T 21415—2008《体外诊断医疗器械 生物样品中量的测量 校准品和控制物质赋值的计量学溯源性》的要求，提供企业（工作）校准品及试剂盒配套校准品定值及不确定度计算记录，提供质控品赋值及其靶值范围确定的记录。</w:t>
      </w:r>
    </w:p>
    <w:p w14:paraId="57172097">
      <w:pPr>
        <w:spacing w:line="520" w:lineRule="exact"/>
        <w:ind w:firstLine="640" w:firstLineChars="200"/>
        <w:rPr>
          <w:rFonts w:eastAsia="仿宋_GB2312"/>
          <w:kern w:val="0"/>
          <w:sz w:val="32"/>
          <w:szCs w:val="32"/>
        </w:rPr>
      </w:pPr>
      <w:r>
        <w:rPr>
          <w:rFonts w:hint="eastAsia" w:eastAsia="仿宋_GB2312"/>
          <w:kern w:val="0"/>
          <w:sz w:val="32"/>
          <w:szCs w:val="32"/>
        </w:rPr>
        <w:t>8.其他需注意问题</w:t>
      </w:r>
    </w:p>
    <w:p w14:paraId="77FDA1C7">
      <w:pPr>
        <w:spacing w:line="520" w:lineRule="exact"/>
        <w:ind w:firstLine="640" w:firstLineChars="200"/>
        <w:rPr>
          <w:rFonts w:eastAsia="仿宋_GB2312"/>
          <w:kern w:val="0"/>
          <w:sz w:val="32"/>
          <w:szCs w:val="32"/>
        </w:rPr>
      </w:pPr>
      <w:r>
        <w:rPr>
          <w:rFonts w:hint="eastAsia" w:eastAsia="仿宋_GB2312"/>
          <w:kern w:val="0"/>
          <w:sz w:val="32"/>
          <w:szCs w:val="32"/>
        </w:rPr>
        <w:t>不同适用机型、不同包装规格，应分别提交分析性能评估报告。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14:paraId="1FD3FC4F">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（五）参考区间确定资料</w:t>
      </w:r>
    </w:p>
    <w:p w14:paraId="1B54CE92">
      <w:pPr>
        <w:spacing w:line="520" w:lineRule="exact"/>
        <w:ind w:firstLine="640" w:firstLineChars="200"/>
        <w:rPr>
          <w:rFonts w:eastAsia="仿宋_GB2312"/>
          <w:bCs/>
          <w:color w:val="000000"/>
          <w:sz w:val="32"/>
          <w:szCs w:val="32"/>
        </w:rPr>
      </w:pPr>
      <w:r>
        <w:rPr>
          <w:rFonts w:hint="eastAsia" w:ascii="仿宋_GB2312" w:eastAsia="仿宋_GB2312" w:cs="仿宋_GB2312"/>
          <w:bCs/>
          <w:color w:val="000000"/>
          <w:sz w:val="32"/>
          <w:szCs w:val="32"/>
        </w:rPr>
        <w:t>应明确研究采用的样本</w:t>
      </w:r>
      <w:r>
        <w:rPr>
          <w:rFonts w:eastAsia="仿宋_GB2312"/>
          <w:bCs/>
          <w:color w:val="000000"/>
          <w:sz w:val="32"/>
          <w:szCs w:val="32"/>
        </w:rPr>
        <w:t>来源、详细的试验资料、统计方法等，参考区间可参考文献资料，但应当对至少120例的健康个体进行验证。研究结论应与产品说明书【参考区间】的相应描述保持一致。</w:t>
      </w:r>
    </w:p>
    <w:p w14:paraId="7302673A">
      <w:pPr>
        <w:spacing w:line="520" w:lineRule="exact"/>
        <w:ind w:firstLine="640" w:firstLineChars="200"/>
        <w:outlineLvl w:val="0"/>
        <w:rPr>
          <w:rFonts w:eastAsia="楷体_GB2312"/>
          <w:kern w:val="0"/>
          <w:sz w:val="32"/>
          <w:szCs w:val="32"/>
        </w:rPr>
      </w:pPr>
      <w:r>
        <w:rPr>
          <w:rFonts w:eastAsia="楷体_GB2312"/>
          <w:kern w:val="0"/>
          <w:sz w:val="32"/>
          <w:szCs w:val="32"/>
        </w:rPr>
        <w:t>（六）稳定性研究资料</w:t>
      </w:r>
    </w:p>
    <w:p w14:paraId="52839DCB">
      <w:pPr>
        <w:spacing w:line="520" w:lineRule="exact"/>
        <w:ind w:firstLine="640" w:firstLineChars="200"/>
        <w:rPr>
          <w:rFonts w:eastAsia="仿宋_GB2312"/>
          <w:bCs/>
          <w:color w:val="000000"/>
          <w:sz w:val="32"/>
          <w:szCs w:val="32"/>
        </w:rPr>
      </w:pPr>
      <w:r>
        <w:rPr>
          <w:rFonts w:eastAsia="仿宋_GB2312"/>
          <w:bCs/>
          <w:color w:val="000000"/>
          <w:sz w:val="32"/>
          <w:szCs w:val="32"/>
        </w:rPr>
        <w:t>稳定性研究资料主要涉及两部分内容，申报试剂的稳定性和适用样本的稳定性研究。</w:t>
      </w:r>
    </w:p>
    <w:p w14:paraId="127E4C70">
      <w:pPr>
        <w:spacing w:line="520" w:lineRule="exact"/>
        <w:ind w:firstLine="640" w:firstLineChars="200"/>
        <w:rPr>
          <w:rFonts w:ascii="仿宋_GB2312" w:eastAsia="仿宋_GB2312" w:cs="仿宋_GB2312"/>
          <w:bCs/>
          <w:color w:val="000000"/>
          <w:sz w:val="32"/>
          <w:szCs w:val="32"/>
        </w:rPr>
      </w:pPr>
      <w:r>
        <w:rPr>
          <w:rFonts w:eastAsia="仿宋_GB2312"/>
          <w:bCs/>
          <w:color w:val="000000"/>
          <w:sz w:val="32"/>
          <w:szCs w:val="32"/>
        </w:rPr>
        <w:t>试剂的稳定性包括实时稳定性、运输稳定性、开瓶（待机）稳定性等，申请人应至少提供3个生</w:t>
      </w:r>
      <w:r>
        <w:rPr>
          <w:rFonts w:hint="eastAsia" w:ascii="仿宋_GB2312" w:eastAsia="仿宋_GB2312" w:cs="仿宋_GB2312"/>
          <w:bCs/>
          <w:color w:val="000000"/>
          <w:sz w:val="32"/>
          <w:szCs w:val="32"/>
        </w:rPr>
        <w:t>产批次的实时稳定性、开瓶稳定性和运输稳定性研究资料，包括研究目的、材料和方法、研究结论等。试剂的稳定性研究应注意选取代表性包装规格进行研究（例如：校准品稳定性应选取最易受影响的最小装量）。</w:t>
      </w:r>
    </w:p>
    <w:p w14:paraId="725DDD52">
      <w:pPr>
        <w:spacing w:line="520"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适用样本的稳定性主要包括室温保存、冷藏和冷冻条件下的有效期验证，可以在合理温度范围内选择温度点（温度范围），每间隔一定的时间段即对储存样本进行性能的分析验证，从而确认不同类型样本的效期稳定性。适于冷冻保存的样本还应对冻融次数进行评价。</w:t>
      </w:r>
    </w:p>
    <w:p w14:paraId="29B428A2">
      <w:pPr>
        <w:spacing w:line="520"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试剂稳定性和样本稳定性两部分内容的研究结果均应在说明书【储存条件及有效期】和【样本要求】两项中进行详细说明。</w:t>
      </w:r>
    </w:p>
    <w:p w14:paraId="431AD8A0">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（七）临床评价资料</w:t>
      </w:r>
    </w:p>
    <w:p w14:paraId="79DAEB1C">
      <w:pPr>
        <w:spacing w:line="520" w:lineRule="exact"/>
        <w:ind w:firstLine="640" w:firstLineChars="200"/>
        <w:rPr>
          <w:rFonts w:eastAsia="仿宋_GB2312"/>
          <w:bCs/>
          <w:color w:val="000000"/>
          <w:sz w:val="32"/>
          <w:szCs w:val="32"/>
        </w:rPr>
      </w:pPr>
      <w:r>
        <w:rPr>
          <w:rFonts w:eastAsia="仿宋_GB2312"/>
          <w:bCs/>
          <w:color w:val="000000"/>
          <w:sz w:val="32"/>
          <w:szCs w:val="32"/>
        </w:rPr>
        <w:t>临床试验资料应符合《关于发布体外诊断试剂临床试验技术指导原则的通告》（国家食品药品监督管理总局通告2014年第16号）的要求，同时研究资料的形式应符合《关于公布体外诊断试剂注册申报资料要求和批准证明文件格式的公告》（国家食品药品监督管理总局公告2014年第44号）临床研究资料有关的规定。下面仅对临床实验中的基本问题进行阐述。</w:t>
      </w:r>
    </w:p>
    <w:p w14:paraId="06E6C577">
      <w:pPr>
        <w:spacing w:line="520" w:lineRule="exact"/>
        <w:ind w:firstLine="640" w:firstLineChars="200"/>
        <w:rPr>
          <w:rFonts w:eastAsia="仿宋_GB2312"/>
          <w:bCs/>
          <w:color w:val="000000"/>
          <w:sz w:val="32"/>
          <w:szCs w:val="32"/>
        </w:rPr>
      </w:pPr>
      <w:r>
        <w:rPr>
          <w:rFonts w:eastAsia="仿宋_GB2312"/>
          <w:bCs/>
          <w:color w:val="000000"/>
          <w:sz w:val="32"/>
          <w:szCs w:val="32"/>
        </w:rPr>
        <w:t>1.研究方法</w:t>
      </w:r>
    </w:p>
    <w:p w14:paraId="6AA038A3">
      <w:pPr>
        <w:spacing w:line="520" w:lineRule="exact"/>
        <w:ind w:firstLine="640" w:firstLineChars="200"/>
        <w:rPr>
          <w:rFonts w:eastAsia="仿宋_GB2312"/>
          <w:bCs/>
          <w:color w:val="000000"/>
          <w:sz w:val="32"/>
          <w:szCs w:val="32"/>
        </w:rPr>
      </w:pPr>
      <w:r>
        <w:rPr>
          <w:rFonts w:eastAsia="仿宋_GB2312"/>
          <w:bCs/>
          <w:color w:val="000000"/>
          <w:sz w:val="32"/>
          <w:szCs w:val="32"/>
        </w:rPr>
        <w:t>选择境内已批准上市的性能不低于试验用体外诊断试剂的同类产品作为参比试剂，采用试验用体外诊断试剂（以下称待评试剂）与之进行对比试验研究，证明本品与已上市产品等效。</w:t>
      </w:r>
    </w:p>
    <w:p w14:paraId="3F36A87F">
      <w:pPr>
        <w:spacing w:line="520" w:lineRule="exact"/>
        <w:ind w:firstLine="640" w:firstLineChars="200"/>
        <w:rPr>
          <w:rFonts w:eastAsia="仿宋_GB2312"/>
          <w:bCs/>
          <w:color w:val="000000"/>
          <w:sz w:val="32"/>
          <w:szCs w:val="32"/>
        </w:rPr>
      </w:pPr>
      <w:r>
        <w:rPr>
          <w:rFonts w:eastAsia="仿宋_GB2312"/>
          <w:bCs/>
          <w:color w:val="000000"/>
          <w:sz w:val="32"/>
          <w:szCs w:val="32"/>
        </w:rPr>
        <w:t>2.临床试验机构的选择</w:t>
      </w:r>
    </w:p>
    <w:p w14:paraId="5A5B43B0">
      <w:pPr>
        <w:spacing w:line="520" w:lineRule="exact"/>
        <w:ind w:firstLine="640" w:firstLineChars="200"/>
        <w:rPr>
          <w:rFonts w:eastAsia="仿宋_GB2312"/>
          <w:bCs/>
          <w:color w:val="000000"/>
          <w:sz w:val="32"/>
          <w:szCs w:val="32"/>
        </w:rPr>
      </w:pPr>
      <w:r>
        <w:rPr>
          <w:rFonts w:eastAsia="仿宋_GB2312"/>
          <w:bCs/>
          <w:color w:val="000000"/>
          <w:sz w:val="32"/>
          <w:szCs w:val="32"/>
        </w:rPr>
        <w:t>应选择至少两家经国家食品药品监督管理总局资质认可的临床试验机构，临床试验机构实验操作人员应有足够的时间熟悉检测系统的各环节（试剂、质控及操作程序等），熟悉评价方案。在整个实验中，待评试剂和参比试剂都应处于有效的质量控制下，最大限度保证试验数据的准确性及可重复性。</w:t>
      </w:r>
    </w:p>
    <w:p w14:paraId="1B0A1303">
      <w:pPr>
        <w:spacing w:line="520" w:lineRule="exact"/>
        <w:ind w:firstLine="640" w:firstLineChars="200"/>
        <w:rPr>
          <w:rFonts w:eastAsia="仿宋_GB2312"/>
          <w:bCs/>
          <w:color w:val="000000"/>
          <w:sz w:val="32"/>
          <w:szCs w:val="32"/>
        </w:rPr>
      </w:pPr>
      <w:r>
        <w:rPr>
          <w:rFonts w:eastAsia="仿宋_GB2312"/>
          <w:bCs/>
          <w:color w:val="000000"/>
          <w:sz w:val="32"/>
          <w:szCs w:val="32"/>
        </w:rPr>
        <w:t>3.临床试验方案</w:t>
      </w:r>
    </w:p>
    <w:p w14:paraId="594EE7FC">
      <w:pPr>
        <w:spacing w:line="520" w:lineRule="exact"/>
        <w:ind w:firstLine="640" w:firstLineChars="200"/>
        <w:rPr>
          <w:rFonts w:eastAsia="仿宋_GB2312"/>
          <w:bCs/>
          <w:color w:val="000000"/>
          <w:sz w:val="32"/>
          <w:szCs w:val="32"/>
        </w:rPr>
      </w:pPr>
      <w:r>
        <w:rPr>
          <w:rFonts w:eastAsia="仿宋_GB2312"/>
          <w:bCs/>
          <w:color w:val="000000"/>
          <w:sz w:val="32"/>
          <w:szCs w:val="32"/>
        </w:rPr>
        <w:t>临床试验实施前，研究人员应从流行病学、统计学、临床医学、检验医学等多方面考虑，设计科学合理的临床研究方案。建议临床前开展预试验工作，最大限度地控制试验误差。各临床试验机构的方案设置应保持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29FA3F4F">
      <w:pPr>
        <w:spacing w:line="520" w:lineRule="exact"/>
        <w:ind w:firstLine="640" w:firstLineChars="200"/>
        <w:rPr>
          <w:rFonts w:eastAsia="仿宋_GB2312"/>
          <w:bCs/>
          <w:color w:val="000000"/>
          <w:sz w:val="32"/>
          <w:szCs w:val="32"/>
        </w:rPr>
      </w:pPr>
      <w:r>
        <w:rPr>
          <w:rFonts w:eastAsia="仿宋_GB2312"/>
          <w:bCs/>
          <w:color w:val="000000"/>
          <w:sz w:val="32"/>
          <w:szCs w:val="32"/>
        </w:rPr>
        <w:t>试验方案中应确定严格的病例纳入/排除标准，任何已经入选的病例再被排除出临床研究都应记录在案并明确说明原因。在试验操作过程中和判定试验结果时应采用盲法以保证试验结果的客观性。各临床试验机构选用的参比试剂应保持一致，以便进行合理的统计学分析。另外，待评试剂的样本类型应不超越参比试剂的样本类型。</w:t>
      </w:r>
    </w:p>
    <w:p w14:paraId="5D017CBB">
      <w:pPr>
        <w:spacing w:line="520" w:lineRule="exact"/>
        <w:ind w:firstLine="640" w:firstLineChars="200"/>
        <w:rPr>
          <w:rFonts w:eastAsia="仿宋_GB2312"/>
          <w:bCs/>
          <w:color w:val="000000"/>
          <w:sz w:val="32"/>
          <w:szCs w:val="32"/>
        </w:rPr>
      </w:pPr>
      <w:r>
        <w:rPr>
          <w:rFonts w:eastAsia="仿宋_GB2312"/>
          <w:bCs/>
          <w:color w:val="000000"/>
          <w:sz w:val="32"/>
          <w:szCs w:val="32"/>
        </w:rPr>
        <w:t>临床试验方案必须获得临床试验机构伦理委员会的同意。</w:t>
      </w:r>
    </w:p>
    <w:p w14:paraId="7B9A928C">
      <w:pPr>
        <w:spacing w:line="520" w:lineRule="exact"/>
        <w:ind w:firstLine="640" w:firstLineChars="200"/>
        <w:rPr>
          <w:rFonts w:eastAsia="仿宋_GB2312"/>
          <w:bCs/>
          <w:color w:val="000000"/>
          <w:sz w:val="32"/>
          <w:szCs w:val="32"/>
        </w:rPr>
      </w:pPr>
      <w:r>
        <w:rPr>
          <w:rFonts w:eastAsia="仿宋_GB2312"/>
          <w:bCs/>
          <w:color w:val="000000"/>
          <w:sz w:val="32"/>
          <w:szCs w:val="32"/>
        </w:rPr>
        <w:t>4.研究对象选择</w:t>
      </w:r>
    </w:p>
    <w:p w14:paraId="1EFB614D">
      <w:pPr>
        <w:spacing w:line="520" w:lineRule="exact"/>
        <w:ind w:firstLine="640" w:firstLineChars="200"/>
        <w:rPr>
          <w:rFonts w:eastAsia="仿宋_GB2312"/>
          <w:bCs/>
          <w:color w:val="000000"/>
          <w:sz w:val="32"/>
          <w:szCs w:val="32"/>
        </w:rPr>
      </w:pPr>
      <w:r>
        <w:rPr>
          <w:rFonts w:eastAsia="仿宋_GB2312"/>
          <w:bCs/>
          <w:color w:val="000000"/>
          <w:sz w:val="32"/>
          <w:szCs w:val="32"/>
        </w:rPr>
        <w:t>临床试验应选择具有特定症状/体征人群作为研究对象。企业在建立病例纳入标准时，应考虑到不同人群的差异，尽量覆盖各类适用人群。在进行结果统计分析时，建议对各类人群分别进行数据统计分析。总体样本数不少于200例，异常值样本数不少于80例。样本中待测物浓度应覆盖待评试剂线性范围，且尽可能均匀分布。</w:t>
      </w:r>
    </w:p>
    <w:p w14:paraId="03E6B34D">
      <w:pPr>
        <w:spacing w:line="520" w:lineRule="exact"/>
        <w:ind w:firstLine="640" w:firstLineChars="200"/>
        <w:rPr>
          <w:rFonts w:eastAsia="仿宋_GB2312"/>
          <w:bCs/>
          <w:color w:val="000000"/>
          <w:sz w:val="32"/>
          <w:szCs w:val="32"/>
        </w:rPr>
      </w:pPr>
      <w:r>
        <w:rPr>
          <w:rFonts w:eastAsia="仿宋_GB2312"/>
          <w:bCs/>
          <w:color w:val="000000"/>
          <w:sz w:val="32"/>
          <w:szCs w:val="32"/>
        </w:rPr>
        <w:t>应明确样本存贮条件、可否冻融等要求及避免使用的样本，血浆应明确抗凝剂的要求。实验中，尽可能使用新鲜样本，避免贮存。如无法避免使用贮存样品时，注明贮存条件及时间，在数据分析时应考虑其影响。</w:t>
      </w:r>
    </w:p>
    <w:p w14:paraId="5089161C">
      <w:pPr>
        <w:spacing w:line="520" w:lineRule="exact"/>
        <w:ind w:firstLine="640" w:firstLineChars="200"/>
        <w:rPr>
          <w:rFonts w:eastAsia="仿宋_GB2312"/>
          <w:bCs/>
          <w:color w:val="000000"/>
          <w:sz w:val="32"/>
          <w:szCs w:val="32"/>
        </w:rPr>
      </w:pPr>
      <w:r>
        <w:rPr>
          <w:rFonts w:eastAsia="仿宋_GB2312"/>
          <w:bCs/>
          <w:color w:val="000000"/>
          <w:sz w:val="32"/>
          <w:szCs w:val="32"/>
        </w:rPr>
        <w:t>如果声称待评试剂同时适用于血清或血浆样本类型，可完成一个样本类型（血清或血浆）不少于200例的临床研究，同时可选至少100例血清或血浆同源样本进行比对研究，异常值样本不少于40例进行临床研究，其中不同浓度样本分布情况与总例数中分布情况应一致。也可以分别对同时适用的多个样本类型按照《体外诊断试剂临床试验技术指导原则》（国家食品药品监督管理总局通告2014年第16号）中试验样本量一般要求规定的200例进行试验，异常值样本数不少于80例。</w:t>
      </w:r>
    </w:p>
    <w:p w14:paraId="5353BD88">
      <w:pPr>
        <w:spacing w:line="520" w:lineRule="exact"/>
        <w:ind w:firstLine="640" w:firstLineChars="200"/>
        <w:rPr>
          <w:rFonts w:eastAsia="仿宋_GB2312"/>
          <w:bCs/>
          <w:color w:val="000000"/>
          <w:sz w:val="32"/>
          <w:szCs w:val="32"/>
        </w:rPr>
      </w:pPr>
      <w:r>
        <w:rPr>
          <w:rFonts w:eastAsia="仿宋_GB2312"/>
          <w:bCs/>
          <w:color w:val="000000"/>
          <w:sz w:val="32"/>
          <w:szCs w:val="32"/>
        </w:rPr>
        <w:t>涉及产品检测条件优化、增加与原样本类型具有可比性的其他样本类型等变更事项，临床试验采用变更后产品与变更前产品或者已上市同类产品进行比对试验，在至少2家（含2家）临床试验机构开展临床试验，总样本数不少于100例，异常值样本数不少于40例。</w:t>
      </w:r>
    </w:p>
    <w:p w14:paraId="4B93B1ED">
      <w:pPr>
        <w:spacing w:line="520" w:lineRule="exact"/>
        <w:ind w:firstLine="640" w:firstLineChars="200"/>
        <w:rPr>
          <w:rFonts w:eastAsia="仿宋_GB2312"/>
          <w:bCs/>
          <w:color w:val="000000"/>
          <w:sz w:val="32"/>
          <w:szCs w:val="32"/>
        </w:rPr>
      </w:pPr>
      <w:r>
        <w:rPr>
          <w:rFonts w:eastAsia="仿宋_GB2312"/>
          <w:bCs/>
          <w:color w:val="000000"/>
          <w:sz w:val="32"/>
          <w:szCs w:val="32"/>
        </w:rPr>
        <w:t>5.统计学分析</w:t>
      </w:r>
    </w:p>
    <w:p w14:paraId="5A787BFF">
      <w:pPr>
        <w:spacing w:line="520" w:lineRule="exact"/>
        <w:ind w:firstLine="640" w:firstLineChars="200"/>
        <w:rPr>
          <w:rFonts w:eastAsia="仿宋_GB2312"/>
          <w:bCs/>
          <w:color w:val="000000"/>
          <w:sz w:val="32"/>
          <w:szCs w:val="32"/>
        </w:rPr>
      </w:pPr>
      <w:r>
        <w:rPr>
          <w:rFonts w:eastAsia="仿宋_GB2312"/>
          <w:bCs/>
          <w:color w:val="000000"/>
          <w:sz w:val="32"/>
          <w:szCs w:val="32"/>
        </w:rPr>
        <w:t>对临床试验结果的统计应选择合适的统计方法，如相关分析、线性回归、绝对偏倚/偏差及相对偏倚/偏差分析等。对于对比实验的等效性研究，最常用是对待评试剂和参比试剂两组检测结果的相关及线性回归分析，应重点观察相关系数（r值）或判定系数（R</w:t>
      </w:r>
      <w:r>
        <w:rPr>
          <w:rFonts w:eastAsia="仿宋_GB2312"/>
          <w:bCs/>
          <w:color w:val="000000"/>
          <w:sz w:val="32"/>
          <w:szCs w:val="32"/>
          <w:vertAlign w:val="superscript"/>
        </w:rPr>
        <w:t>2</w:t>
      </w:r>
      <w:r>
        <w:rPr>
          <w:rFonts w:eastAsia="仿宋_GB2312"/>
          <w:bCs/>
          <w:color w:val="000000"/>
          <w:sz w:val="32"/>
          <w:szCs w:val="32"/>
        </w:rPr>
        <w:t>）、回归拟合方程（斜率和y轴截距）等指标。结合临床试验数据的正/偏态分布情况，建议统计学负责人选择合理的统计学方法进行分析，统计分析应可以证明两种方法的检测结果无明显统计学差异。在临床研究方案中应明确统计检验假设，即评价待评试剂与参比试剂是否等效的标准。</w:t>
      </w:r>
    </w:p>
    <w:p w14:paraId="2C6ADFBF">
      <w:pPr>
        <w:spacing w:line="520" w:lineRule="exact"/>
        <w:ind w:firstLine="640" w:firstLineChars="200"/>
        <w:rPr>
          <w:rFonts w:eastAsia="仿宋_GB2312"/>
          <w:bCs/>
          <w:color w:val="000000"/>
          <w:sz w:val="32"/>
          <w:szCs w:val="32"/>
        </w:rPr>
      </w:pPr>
      <w:r>
        <w:rPr>
          <w:rFonts w:eastAsia="仿宋_GB2312"/>
          <w:bCs/>
          <w:color w:val="000000"/>
          <w:sz w:val="32"/>
          <w:szCs w:val="32"/>
        </w:rPr>
        <w:t>6.临床试验总结报告撰写</w:t>
      </w:r>
    </w:p>
    <w:p w14:paraId="63B1865F">
      <w:pPr>
        <w:spacing w:line="520" w:lineRule="exact"/>
        <w:ind w:firstLine="640" w:firstLineChars="200"/>
        <w:rPr>
          <w:rFonts w:eastAsia="仿宋_GB2312"/>
          <w:bCs/>
          <w:color w:val="000000"/>
          <w:sz w:val="32"/>
          <w:szCs w:val="32"/>
        </w:rPr>
      </w:pPr>
      <w:r>
        <w:rPr>
          <w:rFonts w:eastAsia="仿宋_GB2312"/>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7F62A670">
      <w:pPr>
        <w:spacing w:line="520" w:lineRule="exact"/>
        <w:ind w:firstLine="640" w:firstLineChars="200"/>
        <w:rPr>
          <w:rFonts w:eastAsia="仿宋_GB2312"/>
          <w:bCs/>
          <w:color w:val="000000"/>
          <w:sz w:val="32"/>
          <w:szCs w:val="32"/>
        </w:rPr>
      </w:pPr>
      <w:r>
        <w:rPr>
          <w:rFonts w:eastAsia="仿宋_GB2312"/>
          <w:bCs/>
          <w:color w:val="000000"/>
          <w:sz w:val="32"/>
          <w:szCs w:val="32"/>
        </w:rPr>
        <w:t>6.1临床试验总体设计及方案描述</w:t>
      </w:r>
    </w:p>
    <w:p w14:paraId="6C3DA43F">
      <w:pPr>
        <w:spacing w:line="520" w:lineRule="exact"/>
        <w:ind w:firstLine="640" w:firstLineChars="200"/>
        <w:rPr>
          <w:rFonts w:eastAsia="仿宋_GB2312"/>
          <w:bCs/>
          <w:color w:val="000000"/>
          <w:sz w:val="32"/>
          <w:szCs w:val="32"/>
        </w:rPr>
      </w:pPr>
      <w:r>
        <w:rPr>
          <w:rFonts w:eastAsia="仿宋_GB2312"/>
          <w:bCs/>
          <w:color w:val="000000"/>
          <w:sz w:val="32"/>
          <w:szCs w:val="32"/>
        </w:rPr>
        <w:t>6.1.1临床试验的整体管理情况、临床试验机构选择、临床主要研究人员简介等基本情况介绍。</w:t>
      </w:r>
    </w:p>
    <w:p w14:paraId="00352C6E">
      <w:pPr>
        <w:spacing w:line="520" w:lineRule="exact"/>
        <w:ind w:firstLine="640" w:firstLineChars="200"/>
        <w:rPr>
          <w:rFonts w:eastAsia="仿宋_GB2312"/>
          <w:bCs/>
          <w:color w:val="000000"/>
          <w:sz w:val="32"/>
          <w:szCs w:val="32"/>
        </w:rPr>
      </w:pPr>
      <w:r>
        <w:rPr>
          <w:rFonts w:eastAsia="仿宋_GB2312"/>
          <w:bCs/>
          <w:color w:val="000000"/>
          <w:sz w:val="32"/>
          <w:szCs w:val="32"/>
        </w:rPr>
        <w:t>6.1.2纳入/排除标准、不同人群的预期选择例数及标准。</w:t>
      </w:r>
    </w:p>
    <w:p w14:paraId="44D49738">
      <w:pPr>
        <w:spacing w:line="520" w:lineRule="exact"/>
        <w:ind w:firstLine="640" w:firstLineChars="200"/>
        <w:rPr>
          <w:rFonts w:eastAsia="仿宋_GB2312"/>
          <w:bCs/>
          <w:color w:val="000000"/>
          <w:sz w:val="32"/>
          <w:szCs w:val="32"/>
        </w:rPr>
      </w:pPr>
      <w:r>
        <w:rPr>
          <w:rFonts w:eastAsia="仿宋_GB2312"/>
          <w:bCs/>
          <w:color w:val="000000"/>
          <w:sz w:val="32"/>
          <w:szCs w:val="32"/>
        </w:rPr>
        <w:t>6.1.3样本类型，样本的收集、处理及保存等。</w:t>
      </w:r>
    </w:p>
    <w:p w14:paraId="083CB515">
      <w:pPr>
        <w:spacing w:line="520" w:lineRule="exact"/>
        <w:ind w:firstLine="640" w:firstLineChars="200"/>
        <w:rPr>
          <w:rFonts w:eastAsia="仿宋_GB2312"/>
          <w:bCs/>
          <w:color w:val="000000"/>
          <w:sz w:val="32"/>
          <w:szCs w:val="32"/>
        </w:rPr>
      </w:pPr>
      <w:r>
        <w:rPr>
          <w:rFonts w:eastAsia="仿宋_GB2312"/>
          <w:bCs/>
          <w:color w:val="000000"/>
          <w:sz w:val="32"/>
          <w:szCs w:val="32"/>
        </w:rPr>
        <w:t>6.1.4统计学方法、统计软件、评价统计结果的标准。</w:t>
      </w:r>
    </w:p>
    <w:p w14:paraId="2B54F369">
      <w:pPr>
        <w:spacing w:line="520" w:lineRule="exact"/>
        <w:ind w:firstLine="640" w:firstLineChars="200"/>
        <w:rPr>
          <w:rFonts w:eastAsia="仿宋_GB2312"/>
          <w:bCs/>
          <w:color w:val="000000"/>
          <w:sz w:val="32"/>
          <w:szCs w:val="32"/>
        </w:rPr>
      </w:pPr>
      <w:r>
        <w:rPr>
          <w:rFonts w:eastAsia="仿宋_GB2312"/>
          <w:bCs/>
          <w:color w:val="000000"/>
          <w:sz w:val="32"/>
          <w:szCs w:val="32"/>
        </w:rPr>
        <w:t>6.2具体的临床试验情况</w:t>
      </w:r>
    </w:p>
    <w:p w14:paraId="67A4E891">
      <w:pPr>
        <w:spacing w:line="520" w:lineRule="exact"/>
        <w:ind w:firstLine="640" w:firstLineChars="200"/>
        <w:rPr>
          <w:rFonts w:eastAsia="仿宋_GB2312"/>
          <w:bCs/>
          <w:color w:val="000000"/>
          <w:sz w:val="32"/>
          <w:szCs w:val="32"/>
        </w:rPr>
      </w:pPr>
      <w:r>
        <w:rPr>
          <w:rFonts w:eastAsia="仿宋_GB2312"/>
          <w:bCs/>
          <w:color w:val="000000"/>
          <w:sz w:val="32"/>
          <w:szCs w:val="32"/>
        </w:rPr>
        <w:t>6.2.1待评试剂和参比试剂的名称、批号、有效期及所用机型等信息。</w:t>
      </w:r>
    </w:p>
    <w:p w14:paraId="0D2BDB9B">
      <w:pPr>
        <w:spacing w:line="520" w:lineRule="exact"/>
        <w:ind w:firstLine="640" w:firstLineChars="200"/>
        <w:rPr>
          <w:rFonts w:eastAsia="仿宋_GB2312"/>
          <w:bCs/>
          <w:color w:val="000000"/>
          <w:sz w:val="32"/>
          <w:szCs w:val="32"/>
        </w:rPr>
      </w:pPr>
      <w:r>
        <w:rPr>
          <w:rFonts w:eastAsia="仿宋_GB2312"/>
          <w:bCs/>
          <w:color w:val="000000"/>
          <w:sz w:val="32"/>
          <w:szCs w:val="32"/>
        </w:rPr>
        <w:t>6.2.2对各研究单位的病例数、人群分布情况进行总合，建议以列表或图示方式给出具体例数及百分比。</w:t>
      </w:r>
    </w:p>
    <w:p w14:paraId="0ABE51C0">
      <w:pPr>
        <w:spacing w:line="520" w:lineRule="exact"/>
        <w:ind w:firstLine="640" w:firstLineChars="200"/>
        <w:rPr>
          <w:rFonts w:eastAsia="仿宋_GB2312"/>
          <w:bCs/>
          <w:color w:val="000000"/>
          <w:sz w:val="32"/>
          <w:szCs w:val="32"/>
        </w:rPr>
      </w:pPr>
      <w:r>
        <w:rPr>
          <w:rFonts w:eastAsia="仿宋_GB2312"/>
          <w:bCs/>
          <w:color w:val="000000"/>
          <w:sz w:val="32"/>
          <w:szCs w:val="32"/>
        </w:rPr>
        <w:t>6.2.3质量控制，试验人员培训、仪器日常维护、仪器校准、质控品运行情况，对检测精密度、质控品回收（或测量值）、抽查结果评估。</w:t>
      </w:r>
    </w:p>
    <w:p w14:paraId="2CA5B6D5">
      <w:pPr>
        <w:spacing w:line="520" w:lineRule="exact"/>
        <w:ind w:firstLine="640" w:firstLineChars="200"/>
        <w:rPr>
          <w:rFonts w:eastAsia="仿宋_GB2312"/>
          <w:bCs/>
          <w:color w:val="000000"/>
          <w:sz w:val="32"/>
          <w:szCs w:val="32"/>
        </w:rPr>
      </w:pPr>
      <w:r>
        <w:rPr>
          <w:rFonts w:eastAsia="仿宋_GB2312"/>
          <w:bCs/>
          <w:color w:val="000000"/>
          <w:sz w:val="32"/>
          <w:szCs w:val="32"/>
        </w:rPr>
        <w:t>6.2.4具体试验过程，样本检测、数据收集、样本长期保存等。</w:t>
      </w:r>
    </w:p>
    <w:p w14:paraId="23F9F293">
      <w:pPr>
        <w:spacing w:line="520" w:lineRule="exact"/>
        <w:ind w:firstLine="640" w:firstLineChars="200"/>
        <w:rPr>
          <w:rFonts w:eastAsia="仿宋_GB2312"/>
          <w:bCs/>
          <w:color w:val="000000"/>
          <w:sz w:val="32"/>
          <w:szCs w:val="32"/>
        </w:rPr>
      </w:pPr>
      <w:r>
        <w:rPr>
          <w:rFonts w:eastAsia="仿宋_GB2312"/>
          <w:bCs/>
          <w:color w:val="000000"/>
          <w:sz w:val="32"/>
          <w:szCs w:val="32"/>
        </w:rPr>
        <w:t>6.3统计学分析</w:t>
      </w:r>
    </w:p>
    <w:p w14:paraId="51596F53">
      <w:pPr>
        <w:spacing w:line="520" w:lineRule="exact"/>
        <w:ind w:firstLine="640" w:firstLineChars="200"/>
        <w:rPr>
          <w:rFonts w:eastAsia="仿宋_GB2312"/>
          <w:bCs/>
          <w:color w:val="000000"/>
          <w:sz w:val="32"/>
          <w:szCs w:val="32"/>
        </w:rPr>
      </w:pPr>
      <w:r>
        <w:rPr>
          <w:rFonts w:eastAsia="仿宋_GB2312"/>
          <w:bCs/>
          <w:color w:val="000000"/>
          <w:sz w:val="32"/>
          <w:szCs w:val="32"/>
        </w:rPr>
        <w:t>6.3.1数据预处理、对异常值或离群值的处理、研究过程中是否涉及对方案的修改。</w:t>
      </w:r>
    </w:p>
    <w:p w14:paraId="5411083A">
      <w:pPr>
        <w:spacing w:line="520" w:lineRule="exact"/>
        <w:ind w:firstLine="640" w:firstLineChars="200"/>
        <w:rPr>
          <w:rFonts w:eastAsia="仿宋_GB2312"/>
          <w:bCs/>
          <w:color w:val="000000"/>
          <w:sz w:val="32"/>
          <w:szCs w:val="32"/>
        </w:rPr>
      </w:pPr>
      <w:r>
        <w:rPr>
          <w:rFonts w:eastAsia="仿宋_GB2312"/>
          <w:bCs/>
          <w:color w:val="000000"/>
          <w:sz w:val="32"/>
          <w:szCs w:val="32"/>
        </w:rPr>
        <w:t>6.3.2定量值相关性和一致性分析</w:t>
      </w:r>
    </w:p>
    <w:p w14:paraId="714F5A01">
      <w:pPr>
        <w:spacing w:line="520" w:lineRule="exact"/>
        <w:ind w:firstLine="640" w:firstLineChars="200"/>
        <w:rPr>
          <w:rFonts w:eastAsia="仿宋_GB2312"/>
          <w:bCs/>
          <w:color w:val="000000"/>
          <w:sz w:val="32"/>
          <w:szCs w:val="32"/>
        </w:rPr>
      </w:pPr>
      <w:r>
        <w:rPr>
          <w:rFonts w:eastAsia="仿宋_GB2312"/>
          <w:bCs/>
          <w:color w:val="000000"/>
          <w:sz w:val="32"/>
          <w:szCs w:val="32"/>
        </w:rPr>
        <w:t>用回归分析验证两种试剂结果的相关性，以y=a+bx和R</w:t>
      </w:r>
      <w:r>
        <w:rPr>
          <w:rFonts w:eastAsia="仿宋_GB2312"/>
          <w:bCs/>
          <w:color w:val="000000"/>
          <w:sz w:val="32"/>
          <w:szCs w:val="32"/>
          <w:vertAlign w:val="superscript"/>
        </w:rPr>
        <w:t>2</w:t>
      </w:r>
      <w:r>
        <w:rPr>
          <w:rFonts w:eastAsia="仿宋_GB2312"/>
          <w:bCs/>
          <w:color w:val="000000"/>
          <w:sz w:val="32"/>
          <w:szCs w:val="32"/>
        </w:rPr>
        <w:t>的形式给出回归分析的拟合方程，其中：y是待评试剂结果，x是参比试剂结果，b是方程斜率，a是y轴截距，R</w:t>
      </w:r>
      <w:r>
        <w:rPr>
          <w:rFonts w:eastAsia="仿宋_GB2312"/>
          <w:bCs/>
          <w:color w:val="000000"/>
          <w:sz w:val="32"/>
          <w:szCs w:val="32"/>
          <w:vertAlign w:val="superscript"/>
        </w:rPr>
        <w:t>2</w:t>
      </w:r>
      <w:r>
        <w:rPr>
          <w:rFonts w:eastAsia="仿宋_GB2312"/>
          <w:bCs/>
          <w:color w:val="000000"/>
          <w:sz w:val="32"/>
          <w:szCs w:val="32"/>
        </w:rPr>
        <w:t>是判定系数（通常要求R</w:t>
      </w:r>
      <w:r>
        <w:rPr>
          <w:rFonts w:eastAsia="仿宋_GB2312"/>
          <w:bCs/>
          <w:color w:val="000000"/>
          <w:sz w:val="32"/>
          <w:szCs w:val="32"/>
          <w:vertAlign w:val="superscript"/>
        </w:rPr>
        <w:t>2</w:t>
      </w:r>
      <w:r>
        <w:rPr>
          <w:rFonts w:eastAsia="仿宋_GB2312"/>
          <w:bCs/>
          <w:color w:val="000000"/>
          <w:sz w:val="32"/>
          <w:szCs w:val="32"/>
        </w:rPr>
        <w:t>≥0.95）。</w:t>
      </w:r>
    </w:p>
    <w:p w14:paraId="2855946E">
      <w:pPr>
        <w:spacing w:line="520" w:lineRule="exact"/>
        <w:ind w:firstLine="640" w:firstLineChars="200"/>
        <w:rPr>
          <w:rFonts w:eastAsia="仿宋_GB2312"/>
          <w:bCs/>
          <w:color w:val="000000"/>
          <w:sz w:val="32"/>
          <w:szCs w:val="32"/>
        </w:rPr>
      </w:pPr>
      <w:r>
        <w:rPr>
          <w:rFonts w:eastAsia="仿宋_GB2312"/>
          <w:bCs/>
          <w:color w:val="000000"/>
          <w:sz w:val="32"/>
          <w:szCs w:val="32"/>
        </w:rPr>
        <w:t>6.4讨论和结论</w:t>
      </w:r>
    </w:p>
    <w:p w14:paraId="0AC2E133">
      <w:pPr>
        <w:spacing w:line="520" w:lineRule="exact"/>
        <w:ind w:firstLine="640" w:firstLineChars="200"/>
        <w:rPr>
          <w:rFonts w:eastAsia="仿宋_GB2312"/>
          <w:bCs/>
          <w:color w:val="000000"/>
          <w:sz w:val="32"/>
          <w:szCs w:val="32"/>
        </w:rPr>
      </w:pPr>
      <w:r>
        <w:rPr>
          <w:rFonts w:eastAsia="仿宋_GB2312"/>
          <w:bCs/>
          <w:color w:val="000000"/>
          <w:sz w:val="32"/>
          <w:szCs w:val="32"/>
        </w:rPr>
        <w:t>对总体结果进行总结性描述并简要分析试验结果，对本次临床研究有无特别说明，最后得出临床试验结论。</w:t>
      </w:r>
    </w:p>
    <w:p w14:paraId="239BCF89">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（八）产品风险分析资料</w:t>
      </w:r>
    </w:p>
    <w:p w14:paraId="3F999487">
      <w:pPr>
        <w:spacing w:line="520"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对体外诊断试剂产品寿命周期的各个环节,从预期用途、可能的使用错误、与安全性有关的特征、已知和可预见的危害等方面的判定以及对患者风险的估计进行风险分析、风险评价和相应的风险控制基础上，形成风险管理报告。应当符合相关行业标准的要求。</w:t>
      </w:r>
    </w:p>
    <w:p w14:paraId="5EBDF92A">
      <w:pPr>
        <w:spacing w:line="520" w:lineRule="exact"/>
        <w:ind w:firstLine="640" w:firstLineChars="200"/>
        <w:rPr>
          <w:rFonts w:ascii="仿宋_GB2312" w:eastAsia="仿宋_GB2312" w:cs="仿宋_GB2312"/>
          <w:bCs/>
          <w:color w:val="000000"/>
          <w:sz w:val="32"/>
          <w:szCs w:val="32"/>
        </w:rPr>
      </w:pPr>
      <w:r>
        <w:rPr>
          <w:rFonts w:hint="eastAsia" w:ascii="仿宋_GB2312" w:eastAsia="仿宋_GB2312" w:cs="仿宋_GB2312"/>
          <w:bCs/>
          <w:color w:val="000000"/>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性/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14:paraId="6CA610B0">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（九）产品技术要求</w:t>
      </w:r>
    </w:p>
    <w:p w14:paraId="516411F1">
      <w:pPr>
        <w:spacing w:line="520" w:lineRule="exact"/>
        <w:ind w:firstLine="640" w:firstLineChars="200"/>
        <w:rPr>
          <w:rFonts w:eastAsia="仿宋_GB2312"/>
          <w:bCs/>
          <w:color w:val="000000"/>
          <w:sz w:val="32"/>
          <w:szCs w:val="32"/>
        </w:rPr>
      </w:pPr>
      <w:r>
        <w:rPr>
          <w:rFonts w:eastAsia="仿宋_GB2312"/>
          <w:bCs/>
          <w:color w:val="000000"/>
          <w:sz w:val="32"/>
          <w:szCs w:val="32"/>
        </w:rPr>
        <w:t>申请人应当在原材料质量和生产工艺稳定的前提下，根据申请人产品研制、前期临床评价等结果，依据国家标准、行业标准及有关文献，按照《关于发布医疗器械产品技术要求编写指导原则的通告》（国家食品药品监督管理总局通告2014年第9号）的有关要求，编写产品技术要求，内容主要包含产品性能指标和检验方法。</w:t>
      </w:r>
    </w:p>
    <w:p w14:paraId="27548C9A">
      <w:pPr>
        <w:spacing w:line="520" w:lineRule="exact"/>
        <w:ind w:firstLine="640" w:firstLineChars="200"/>
        <w:rPr>
          <w:rFonts w:eastAsia="仿宋_GB2312"/>
          <w:bCs/>
          <w:color w:val="000000"/>
          <w:sz w:val="32"/>
          <w:szCs w:val="32"/>
        </w:rPr>
      </w:pPr>
      <w:r>
        <w:rPr>
          <w:rFonts w:eastAsia="仿宋_GB2312"/>
          <w:bCs/>
          <w:color w:val="000000"/>
          <w:sz w:val="32"/>
          <w:szCs w:val="32"/>
        </w:rPr>
        <w:t>进口产品的产品技术要求应当包括英文版和中文版，英文版应当由申请人签章，中文版由申请人或其代理人签章。</w:t>
      </w:r>
    </w:p>
    <w:p w14:paraId="3F169C98">
      <w:pPr>
        <w:spacing w:line="520" w:lineRule="exact"/>
        <w:ind w:firstLine="640" w:firstLineChars="200"/>
        <w:rPr>
          <w:rFonts w:eastAsia="仿宋_GB2312"/>
          <w:bCs/>
          <w:color w:val="000000"/>
          <w:sz w:val="32"/>
          <w:szCs w:val="32"/>
        </w:rPr>
      </w:pPr>
      <w:r>
        <w:rPr>
          <w:rFonts w:eastAsia="仿宋_GB2312"/>
          <w:bCs/>
          <w:color w:val="000000"/>
          <w:sz w:val="32"/>
          <w:szCs w:val="32"/>
        </w:rPr>
        <w:t>下面就产品技术要求中涉及的产品适用的相关标准和主要性能指标等相关内容作简要叙述。</w:t>
      </w:r>
    </w:p>
    <w:p w14:paraId="3F5B28C8">
      <w:pPr>
        <w:spacing w:line="520" w:lineRule="exact"/>
        <w:ind w:firstLine="640" w:firstLineChars="200"/>
        <w:rPr>
          <w:rFonts w:eastAsia="仿宋_GB2312"/>
          <w:bCs/>
          <w:color w:val="000000"/>
          <w:sz w:val="32"/>
          <w:szCs w:val="32"/>
        </w:rPr>
      </w:pPr>
      <w:r>
        <w:rPr>
          <w:rFonts w:eastAsia="仿宋_GB2312"/>
          <w:bCs/>
          <w:color w:val="000000"/>
          <w:sz w:val="32"/>
          <w:szCs w:val="32"/>
        </w:rPr>
        <w:t>1.产品适用的相关标准：</w:t>
      </w:r>
    </w:p>
    <w:p w14:paraId="4A6C0A10">
      <w:pPr>
        <w:spacing w:line="520" w:lineRule="exact"/>
        <w:ind w:firstLine="640" w:firstLineChars="200"/>
        <w:rPr>
          <w:rFonts w:eastAsia="仿宋_GB2312"/>
          <w:bCs/>
          <w:color w:val="000000"/>
          <w:sz w:val="32"/>
          <w:szCs w:val="32"/>
        </w:rPr>
      </w:pPr>
      <w:r>
        <w:rPr>
          <w:rFonts w:eastAsia="仿宋_GB2312"/>
          <w:bCs/>
          <w:color w:val="000000"/>
          <w:sz w:val="32"/>
          <w:szCs w:val="32"/>
        </w:rPr>
        <w:t>（1）GB/T 21415—2008体外诊断医疗器械 生物样品中量的测量 校准品和控制物质赋值的计量学溯源性</w:t>
      </w:r>
    </w:p>
    <w:p w14:paraId="6CC589BA">
      <w:pPr>
        <w:spacing w:line="520" w:lineRule="exact"/>
        <w:ind w:firstLine="640" w:firstLineChars="200"/>
        <w:rPr>
          <w:rFonts w:eastAsia="仿宋_GB2312"/>
          <w:bCs/>
          <w:color w:val="000000"/>
          <w:sz w:val="32"/>
          <w:szCs w:val="32"/>
        </w:rPr>
      </w:pPr>
      <w:r>
        <w:rPr>
          <w:rFonts w:eastAsia="仿宋_GB2312"/>
          <w:bCs/>
          <w:color w:val="000000"/>
          <w:sz w:val="32"/>
          <w:szCs w:val="32"/>
        </w:rPr>
        <w:t>（2）GB/T 26124—2011临床化学体外诊断试剂（盒）</w:t>
      </w:r>
    </w:p>
    <w:p w14:paraId="36EB3162">
      <w:pPr>
        <w:spacing w:line="520" w:lineRule="exact"/>
        <w:ind w:firstLine="640" w:firstLineChars="200"/>
        <w:rPr>
          <w:rFonts w:eastAsia="仿宋_GB2312"/>
          <w:bCs/>
          <w:color w:val="000000"/>
          <w:sz w:val="32"/>
          <w:szCs w:val="32"/>
        </w:rPr>
      </w:pPr>
      <w:r>
        <w:rPr>
          <w:rFonts w:eastAsia="仿宋_GB2312"/>
          <w:bCs/>
          <w:color w:val="000000"/>
          <w:sz w:val="32"/>
          <w:szCs w:val="32"/>
        </w:rPr>
        <w:t>（3）YY/T 1199—2013甘油三酯测定试剂盒（酶法）</w:t>
      </w:r>
    </w:p>
    <w:p w14:paraId="1A3BC7F6">
      <w:pPr>
        <w:spacing w:line="520" w:lineRule="exact"/>
        <w:ind w:firstLine="640" w:firstLineChars="200"/>
        <w:rPr>
          <w:rFonts w:eastAsia="仿宋_GB2312"/>
          <w:bCs/>
          <w:color w:val="000000"/>
          <w:sz w:val="32"/>
          <w:szCs w:val="32"/>
        </w:rPr>
      </w:pPr>
      <w:r>
        <w:rPr>
          <w:rFonts w:eastAsia="仿宋_GB2312"/>
          <w:bCs/>
          <w:color w:val="000000"/>
          <w:sz w:val="32"/>
          <w:szCs w:val="32"/>
        </w:rPr>
        <w:t>2.主要性能指标：</w:t>
      </w:r>
    </w:p>
    <w:p w14:paraId="19D8F5BC">
      <w:pPr>
        <w:spacing w:line="520" w:lineRule="exact"/>
        <w:ind w:firstLine="640" w:firstLineChars="200"/>
        <w:rPr>
          <w:rFonts w:eastAsia="仿宋_GB2312"/>
          <w:bCs/>
          <w:color w:val="000000"/>
          <w:sz w:val="32"/>
          <w:szCs w:val="32"/>
        </w:rPr>
      </w:pPr>
      <w:r>
        <w:rPr>
          <w:rFonts w:eastAsia="仿宋_GB2312"/>
          <w:bCs/>
          <w:color w:val="000000"/>
          <w:sz w:val="32"/>
          <w:szCs w:val="32"/>
        </w:rPr>
        <w:t>2.1外观</w:t>
      </w:r>
    </w:p>
    <w:p w14:paraId="64730A91">
      <w:pPr>
        <w:spacing w:line="520" w:lineRule="exact"/>
        <w:ind w:firstLine="640" w:firstLineChars="200"/>
        <w:rPr>
          <w:rFonts w:eastAsia="仿宋_GB2312"/>
          <w:bCs/>
          <w:color w:val="000000"/>
          <w:sz w:val="32"/>
          <w:szCs w:val="32"/>
        </w:rPr>
      </w:pPr>
      <w:r>
        <w:rPr>
          <w:rFonts w:eastAsia="仿宋_GB2312"/>
          <w:bCs/>
          <w:color w:val="000000"/>
          <w:sz w:val="32"/>
          <w:szCs w:val="32"/>
        </w:rPr>
        <w:t>应与申请人声称试剂外观一致。这里可以包括试剂盒包装外观、试剂内包装外观、试剂的外观。</w:t>
      </w:r>
    </w:p>
    <w:p w14:paraId="2B8B027B">
      <w:pPr>
        <w:spacing w:line="520" w:lineRule="exact"/>
        <w:ind w:firstLine="640" w:firstLineChars="200"/>
        <w:rPr>
          <w:rFonts w:eastAsia="仿宋_GB2312"/>
          <w:bCs/>
          <w:color w:val="000000"/>
          <w:sz w:val="32"/>
          <w:szCs w:val="32"/>
        </w:rPr>
      </w:pPr>
      <w:r>
        <w:rPr>
          <w:rFonts w:eastAsia="仿宋_GB2312"/>
          <w:bCs/>
          <w:color w:val="000000"/>
          <w:sz w:val="32"/>
          <w:szCs w:val="32"/>
        </w:rPr>
        <w:t>2.2装量</w:t>
      </w:r>
    </w:p>
    <w:p w14:paraId="1AB8DD5E">
      <w:pPr>
        <w:spacing w:line="520" w:lineRule="exact"/>
        <w:ind w:firstLine="640" w:firstLineChars="200"/>
        <w:rPr>
          <w:rFonts w:eastAsia="仿宋_GB2312"/>
          <w:bCs/>
          <w:color w:val="000000"/>
          <w:sz w:val="32"/>
          <w:szCs w:val="32"/>
        </w:rPr>
      </w:pPr>
      <w:r>
        <w:rPr>
          <w:rFonts w:eastAsia="仿宋_GB2312"/>
          <w:bCs/>
          <w:color w:val="000000"/>
          <w:sz w:val="32"/>
          <w:szCs w:val="32"/>
        </w:rPr>
        <w:t>试剂装量应不少于标示装量。</w:t>
      </w:r>
    </w:p>
    <w:p w14:paraId="476F1CEC">
      <w:pPr>
        <w:spacing w:line="520" w:lineRule="exact"/>
        <w:ind w:firstLine="640" w:firstLineChars="200"/>
        <w:rPr>
          <w:rFonts w:eastAsia="仿宋_GB2312"/>
          <w:bCs/>
          <w:color w:val="000000"/>
          <w:sz w:val="32"/>
          <w:szCs w:val="32"/>
        </w:rPr>
      </w:pPr>
      <w:r>
        <w:rPr>
          <w:rFonts w:eastAsia="仿宋_GB2312"/>
          <w:bCs/>
          <w:color w:val="000000"/>
          <w:sz w:val="32"/>
          <w:szCs w:val="32"/>
        </w:rPr>
        <w:t>2.3试剂空白吸光度</w:t>
      </w:r>
    </w:p>
    <w:p w14:paraId="1B03DD7C">
      <w:pPr>
        <w:spacing w:line="520" w:lineRule="exact"/>
        <w:ind w:firstLine="640" w:firstLineChars="200"/>
        <w:rPr>
          <w:rFonts w:eastAsia="仿宋_GB2312"/>
          <w:bCs/>
          <w:color w:val="000000"/>
          <w:sz w:val="32"/>
          <w:szCs w:val="32"/>
        </w:rPr>
      </w:pPr>
      <w:r>
        <w:rPr>
          <w:rFonts w:eastAsia="仿宋_GB2312"/>
          <w:bCs/>
          <w:color w:val="000000"/>
          <w:sz w:val="32"/>
          <w:szCs w:val="32"/>
        </w:rPr>
        <w:t>用蒸馏水、去离子水或其他指定溶液作为空白加入工作试剂作为样品测试时，试剂空白吸光度A(申请人指定的波长，37</w:t>
      </w:r>
      <w:r>
        <w:rPr>
          <w:rFonts w:hint="eastAsia" w:ascii="宋体" w:hAnsi="宋体" w:cs="宋体"/>
          <w:bCs/>
          <w:color w:val="000000"/>
          <w:sz w:val="32"/>
          <w:szCs w:val="32"/>
        </w:rPr>
        <w:t>℃</w:t>
      </w:r>
      <w:r>
        <w:rPr>
          <w:rFonts w:eastAsia="仿宋_GB2312"/>
          <w:bCs/>
          <w:color w:val="000000"/>
          <w:sz w:val="32"/>
          <w:szCs w:val="32"/>
        </w:rPr>
        <w:t>，1.0 cm)≤0.2。</w:t>
      </w:r>
    </w:p>
    <w:p w14:paraId="362C4EB2">
      <w:pPr>
        <w:spacing w:line="520" w:lineRule="exact"/>
        <w:ind w:firstLine="640" w:firstLineChars="200"/>
        <w:rPr>
          <w:rFonts w:eastAsia="仿宋_GB2312"/>
          <w:bCs/>
          <w:color w:val="000000"/>
          <w:sz w:val="32"/>
          <w:szCs w:val="32"/>
        </w:rPr>
      </w:pPr>
      <w:r>
        <w:rPr>
          <w:rFonts w:eastAsia="仿宋_GB2312"/>
          <w:bCs/>
          <w:color w:val="000000"/>
          <w:sz w:val="32"/>
          <w:szCs w:val="32"/>
        </w:rPr>
        <w:t>2.4分析灵敏度</w:t>
      </w:r>
    </w:p>
    <w:p w14:paraId="65377A3D">
      <w:pPr>
        <w:spacing w:line="520" w:lineRule="exact"/>
        <w:ind w:firstLine="640" w:firstLineChars="200"/>
        <w:rPr>
          <w:rFonts w:eastAsia="仿宋_GB2312"/>
          <w:bCs/>
          <w:color w:val="000000"/>
          <w:sz w:val="32"/>
          <w:szCs w:val="32"/>
        </w:rPr>
      </w:pPr>
      <w:r>
        <w:rPr>
          <w:rFonts w:eastAsia="仿宋_GB2312"/>
          <w:bCs/>
          <w:color w:val="000000"/>
          <w:sz w:val="32"/>
          <w:szCs w:val="32"/>
        </w:rPr>
        <w:t>试剂盒测试给定浓度的被测物时，吸光度差值（ΔA）应符合生产企业给定范围。</w:t>
      </w:r>
    </w:p>
    <w:p w14:paraId="5F5FB0A7">
      <w:pPr>
        <w:spacing w:line="520" w:lineRule="exact"/>
        <w:ind w:firstLine="640" w:firstLineChars="200"/>
        <w:rPr>
          <w:rFonts w:eastAsia="仿宋_GB2312"/>
          <w:bCs/>
          <w:color w:val="000000"/>
          <w:sz w:val="32"/>
          <w:szCs w:val="32"/>
        </w:rPr>
      </w:pPr>
      <w:r>
        <w:rPr>
          <w:rFonts w:eastAsia="仿宋_GB2312"/>
          <w:bCs/>
          <w:color w:val="000000"/>
          <w:sz w:val="32"/>
          <w:szCs w:val="32"/>
        </w:rPr>
        <w:t>2.5线性范围</w:t>
      </w:r>
    </w:p>
    <w:p w14:paraId="423FD43D">
      <w:pPr>
        <w:spacing w:line="520" w:lineRule="exact"/>
        <w:ind w:firstLine="640" w:firstLineChars="200"/>
        <w:rPr>
          <w:rFonts w:eastAsia="仿宋_GB2312"/>
          <w:bCs/>
          <w:color w:val="000000"/>
          <w:sz w:val="32"/>
          <w:szCs w:val="32"/>
        </w:rPr>
      </w:pPr>
      <w:r>
        <w:rPr>
          <w:rFonts w:eastAsia="仿宋_GB2312"/>
          <w:bCs/>
          <w:color w:val="000000"/>
          <w:sz w:val="32"/>
          <w:szCs w:val="32"/>
        </w:rPr>
        <w:t>线性范围应至少达到1.13 mmol/L</w:t>
      </w:r>
      <w:r>
        <w:rPr>
          <w:rFonts w:hint="eastAsia" w:eastAsia="仿宋_GB2312"/>
          <w:bCs/>
          <w:color w:val="000000"/>
          <w:sz w:val="32"/>
          <w:szCs w:val="32"/>
        </w:rPr>
        <w:t>—</w:t>
      </w:r>
      <w:r>
        <w:rPr>
          <w:rFonts w:eastAsia="仿宋_GB2312"/>
          <w:bCs/>
          <w:color w:val="000000"/>
          <w:sz w:val="32"/>
          <w:szCs w:val="32"/>
        </w:rPr>
        <w:t>9.04 mmol/L。</w:t>
      </w:r>
    </w:p>
    <w:p w14:paraId="238A4CFF">
      <w:pPr>
        <w:spacing w:line="520" w:lineRule="exact"/>
        <w:ind w:firstLine="640" w:firstLineChars="200"/>
        <w:rPr>
          <w:rFonts w:eastAsia="仿宋_GB2312"/>
          <w:bCs/>
          <w:color w:val="000000"/>
          <w:sz w:val="32"/>
          <w:szCs w:val="32"/>
        </w:rPr>
      </w:pPr>
      <w:r>
        <w:rPr>
          <w:rFonts w:eastAsia="仿宋_GB2312"/>
          <w:bCs/>
          <w:color w:val="000000"/>
          <w:sz w:val="32"/>
          <w:szCs w:val="32"/>
        </w:rPr>
        <w:t>2.5.1相关系数（r）</w:t>
      </w:r>
    </w:p>
    <w:p w14:paraId="5EF84ADB">
      <w:pPr>
        <w:spacing w:line="520" w:lineRule="exact"/>
        <w:ind w:firstLine="640" w:firstLineChars="200"/>
        <w:rPr>
          <w:rFonts w:eastAsia="仿宋_GB2312"/>
          <w:bCs/>
          <w:color w:val="000000"/>
          <w:sz w:val="32"/>
          <w:szCs w:val="32"/>
        </w:rPr>
      </w:pPr>
      <w:r>
        <w:rPr>
          <w:rFonts w:eastAsia="仿宋_GB2312"/>
          <w:bCs/>
          <w:color w:val="000000"/>
          <w:sz w:val="32"/>
          <w:szCs w:val="32"/>
        </w:rPr>
        <w:t>线性相关系数r应不小于0.990（线性范围下限应不低于产品的最低检测线，不高于参考区间下限）。</w:t>
      </w:r>
    </w:p>
    <w:p w14:paraId="5AFB9961">
      <w:pPr>
        <w:spacing w:line="520" w:lineRule="exact"/>
        <w:ind w:firstLine="640" w:firstLineChars="200"/>
        <w:rPr>
          <w:rFonts w:eastAsia="仿宋_GB2312"/>
          <w:bCs/>
          <w:color w:val="000000"/>
          <w:sz w:val="32"/>
          <w:szCs w:val="32"/>
        </w:rPr>
      </w:pPr>
      <w:r>
        <w:rPr>
          <w:rFonts w:eastAsia="仿宋_GB2312"/>
          <w:bCs/>
          <w:color w:val="000000"/>
          <w:sz w:val="32"/>
          <w:szCs w:val="32"/>
        </w:rPr>
        <w:t>2.5.2线性偏差</w:t>
      </w:r>
    </w:p>
    <w:p w14:paraId="060D664C">
      <w:pPr>
        <w:spacing w:line="520" w:lineRule="exact"/>
        <w:ind w:firstLine="640" w:firstLineChars="200"/>
        <w:rPr>
          <w:rFonts w:eastAsia="仿宋_GB2312"/>
          <w:bCs/>
          <w:color w:val="000000"/>
          <w:sz w:val="32"/>
          <w:szCs w:val="32"/>
        </w:rPr>
      </w:pPr>
      <w:r>
        <w:rPr>
          <w:rFonts w:eastAsia="仿宋_GB2312"/>
          <w:bCs/>
          <w:color w:val="000000"/>
          <w:sz w:val="32"/>
          <w:szCs w:val="32"/>
        </w:rPr>
        <w:t>线性偏差应不超过申请人给定值。线性偏差可分段描述或连续描述，若分段描述，应注意分段点的确定。</w:t>
      </w:r>
    </w:p>
    <w:p w14:paraId="7DA8B4A5">
      <w:pPr>
        <w:spacing w:line="520" w:lineRule="exact"/>
        <w:ind w:firstLine="640" w:firstLineChars="200"/>
        <w:rPr>
          <w:rFonts w:eastAsia="仿宋_GB2312"/>
          <w:bCs/>
          <w:color w:val="000000"/>
          <w:sz w:val="32"/>
          <w:szCs w:val="32"/>
        </w:rPr>
      </w:pPr>
      <w:r>
        <w:rPr>
          <w:rFonts w:eastAsia="仿宋_GB2312"/>
          <w:bCs/>
          <w:color w:val="000000"/>
          <w:sz w:val="32"/>
          <w:szCs w:val="32"/>
        </w:rPr>
        <w:t>2.6精密度</w:t>
      </w:r>
    </w:p>
    <w:p w14:paraId="7BB64A0B">
      <w:pPr>
        <w:spacing w:line="520" w:lineRule="exact"/>
        <w:ind w:firstLine="640" w:firstLineChars="200"/>
        <w:rPr>
          <w:rFonts w:eastAsia="仿宋_GB2312"/>
          <w:bCs/>
          <w:color w:val="000000"/>
          <w:sz w:val="32"/>
          <w:szCs w:val="32"/>
        </w:rPr>
      </w:pPr>
      <w:r>
        <w:rPr>
          <w:rFonts w:eastAsia="仿宋_GB2312"/>
          <w:bCs/>
          <w:color w:val="000000"/>
          <w:sz w:val="32"/>
          <w:szCs w:val="32"/>
        </w:rPr>
        <w:t>2.6.1重复性</w:t>
      </w:r>
    </w:p>
    <w:p w14:paraId="741F119A">
      <w:pPr>
        <w:spacing w:line="520" w:lineRule="exact"/>
        <w:ind w:firstLine="640" w:firstLineChars="200"/>
        <w:rPr>
          <w:rFonts w:eastAsia="仿宋_GB2312"/>
          <w:bCs/>
          <w:color w:val="000000"/>
          <w:sz w:val="32"/>
          <w:szCs w:val="32"/>
        </w:rPr>
      </w:pPr>
      <w:r>
        <w:rPr>
          <w:rFonts w:eastAsia="仿宋_GB2312"/>
          <w:bCs/>
          <w:color w:val="000000"/>
          <w:sz w:val="32"/>
          <w:szCs w:val="32"/>
        </w:rPr>
        <w:t>用同一样本或质控品重复测试至少10次，所得结果的精密度（变异系数CV）应≤5.0%。</w:t>
      </w:r>
    </w:p>
    <w:p w14:paraId="5A4F1703">
      <w:pPr>
        <w:spacing w:line="520" w:lineRule="exact"/>
        <w:ind w:firstLine="640" w:firstLineChars="200"/>
        <w:rPr>
          <w:rFonts w:eastAsia="仿宋_GB2312"/>
          <w:bCs/>
          <w:color w:val="000000"/>
          <w:sz w:val="32"/>
          <w:szCs w:val="32"/>
        </w:rPr>
      </w:pPr>
      <w:r>
        <w:rPr>
          <w:rFonts w:eastAsia="仿宋_GB2312"/>
          <w:bCs/>
          <w:color w:val="000000"/>
          <w:sz w:val="32"/>
          <w:szCs w:val="32"/>
        </w:rPr>
        <w:t>测定样本应至少包含两个浓度点，一般应按医学决定水平取甘油三酯临界值和异常高值浓度点。</w:t>
      </w:r>
    </w:p>
    <w:p w14:paraId="02E5D69B">
      <w:pPr>
        <w:spacing w:line="520" w:lineRule="exact"/>
        <w:ind w:firstLine="640" w:firstLineChars="200"/>
        <w:rPr>
          <w:rFonts w:eastAsia="仿宋_GB2312"/>
          <w:bCs/>
          <w:color w:val="000000"/>
          <w:sz w:val="32"/>
          <w:szCs w:val="32"/>
        </w:rPr>
      </w:pPr>
      <w:r>
        <w:rPr>
          <w:rFonts w:eastAsia="仿宋_GB2312"/>
          <w:bCs/>
          <w:color w:val="000000"/>
          <w:sz w:val="32"/>
          <w:szCs w:val="32"/>
        </w:rPr>
        <w:t>2.6.2批间差</w:t>
      </w:r>
    </w:p>
    <w:p w14:paraId="21792927">
      <w:pPr>
        <w:spacing w:line="520" w:lineRule="exact"/>
        <w:ind w:firstLine="640" w:firstLineChars="200"/>
        <w:rPr>
          <w:rFonts w:eastAsia="仿宋_GB2312"/>
          <w:bCs/>
          <w:color w:val="000000"/>
          <w:sz w:val="32"/>
          <w:szCs w:val="32"/>
        </w:rPr>
      </w:pPr>
      <w:r>
        <w:rPr>
          <w:rFonts w:eastAsia="仿宋_GB2312"/>
          <w:bCs/>
          <w:color w:val="000000"/>
          <w:sz w:val="32"/>
          <w:szCs w:val="32"/>
        </w:rPr>
        <w:t>试剂（盒）批间相对极差应≤10.0%。样本选取同前。</w:t>
      </w:r>
    </w:p>
    <w:p w14:paraId="10371720">
      <w:pPr>
        <w:spacing w:line="520" w:lineRule="exact"/>
        <w:ind w:firstLine="640" w:firstLineChars="200"/>
        <w:rPr>
          <w:rFonts w:eastAsia="仿宋_GB2312"/>
          <w:bCs/>
          <w:color w:val="000000"/>
          <w:sz w:val="32"/>
          <w:szCs w:val="32"/>
        </w:rPr>
      </w:pPr>
      <w:r>
        <w:rPr>
          <w:rFonts w:eastAsia="仿宋_GB2312"/>
          <w:bCs/>
          <w:color w:val="000000"/>
          <w:sz w:val="32"/>
          <w:szCs w:val="32"/>
        </w:rPr>
        <w:t>2.7准确度</w:t>
      </w:r>
    </w:p>
    <w:p w14:paraId="4BAC9352">
      <w:pPr>
        <w:spacing w:line="520" w:lineRule="exact"/>
        <w:ind w:firstLine="640" w:firstLineChars="200"/>
        <w:rPr>
          <w:rFonts w:eastAsia="仿宋_GB2312"/>
          <w:bCs/>
          <w:color w:val="000000"/>
          <w:sz w:val="32"/>
          <w:szCs w:val="32"/>
        </w:rPr>
      </w:pPr>
      <w:r>
        <w:rPr>
          <w:rFonts w:eastAsia="仿宋_GB2312"/>
          <w:bCs/>
          <w:color w:val="000000"/>
          <w:sz w:val="32"/>
          <w:szCs w:val="32"/>
        </w:rPr>
        <w:t>2.7.1相对偏差 提供参考物质或用参考方法定值的血清测定，实测值与标示值偏差应在±15.0%范围内。</w:t>
      </w:r>
    </w:p>
    <w:p w14:paraId="383EEF9F">
      <w:pPr>
        <w:spacing w:line="520" w:lineRule="exact"/>
        <w:ind w:firstLine="640" w:firstLineChars="200"/>
        <w:rPr>
          <w:rFonts w:eastAsia="仿宋_GB2312"/>
          <w:bCs/>
          <w:color w:val="000000"/>
          <w:sz w:val="32"/>
          <w:szCs w:val="32"/>
        </w:rPr>
      </w:pPr>
      <w:r>
        <w:rPr>
          <w:rFonts w:eastAsia="仿宋_GB2312"/>
          <w:bCs/>
          <w:color w:val="000000"/>
          <w:sz w:val="32"/>
          <w:szCs w:val="32"/>
        </w:rPr>
        <w:t>2.7.2回收试验 在临床样本中加入一定体积标准溶液（标准溶液体积与临床样本体积应不会产生基质的变化，加入标准溶液后样品总浓度必须在试剂（盒）测定线性范围内）或纯品，回收</w:t>
      </w:r>
      <w:r>
        <w:rPr>
          <w:rFonts w:eastAsia="仿宋_GB2312"/>
          <w:bCs/>
          <w:color w:val="000000"/>
          <w:spacing w:val="-4"/>
          <w:sz w:val="32"/>
          <w:szCs w:val="32"/>
        </w:rPr>
        <w:t>试验一般选取两个或两个以上浓度进行，回收率应在90%</w:t>
      </w:r>
      <w:r>
        <w:rPr>
          <w:rFonts w:hint="eastAsia" w:eastAsia="仿宋_GB2312"/>
          <w:bCs/>
          <w:color w:val="000000"/>
          <w:spacing w:val="-4"/>
          <w:sz w:val="32"/>
          <w:szCs w:val="32"/>
        </w:rPr>
        <w:t>—</w:t>
      </w:r>
      <w:r>
        <w:rPr>
          <w:rFonts w:eastAsia="仿宋_GB2312"/>
          <w:bCs/>
          <w:color w:val="000000"/>
          <w:spacing w:val="-4"/>
          <w:sz w:val="32"/>
          <w:szCs w:val="32"/>
        </w:rPr>
        <w:t>110%之间。</w:t>
      </w:r>
    </w:p>
    <w:p w14:paraId="0C51EFBD">
      <w:pPr>
        <w:spacing w:line="520" w:lineRule="exact"/>
        <w:ind w:firstLine="640" w:firstLineChars="200"/>
        <w:rPr>
          <w:rFonts w:eastAsia="仿宋_GB2312"/>
          <w:bCs/>
          <w:color w:val="000000"/>
          <w:sz w:val="32"/>
          <w:szCs w:val="32"/>
        </w:rPr>
      </w:pPr>
      <w:r>
        <w:rPr>
          <w:rFonts w:eastAsia="仿宋_GB2312"/>
          <w:bCs/>
          <w:color w:val="000000"/>
          <w:sz w:val="32"/>
          <w:szCs w:val="32"/>
        </w:rPr>
        <w:t>2.7.3比对试验 用待测试剂盒与申请人选定分析系统（已在国内上市）分别检测不少于40个在检测范围内的人源样品，用线性回归方法计算两组结果的相关系数r≥0.990以及每个浓度点的偏差，偏差应不超过申请人给定值。偏差可分段描述或连续描述，若分段描述，应注意分段点的确定。</w:t>
      </w:r>
    </w:p>
    <w:p w14:paraId="146AC7B2">
      <w:pPr>
        <w:spacing w:line="520" w:lineRule="exact"/>
        <w:ind w:firstLine="640" w:firstLineChars="200"/>
        <w:rPr>
          <w:rFonts w:eastAsia="仿宋_GB2312"/>
          <w:bCs/>
          <w:color w:val="000000"/>
          <w:sz w:val="32"/>
          <w:szCs w:val="32"/>
        </w:rPr>
      </w:pPr>
      <w:r>
        <w:rPr>
          <w:rFonts w:eastAsia="仿宋_GB2312"/>
          <w:bCs/>
          <w:color w:val="000000"/>
          <w:sz w:val="32"/>
          <w:szCs w:val="32"/>
        </w:rPr>
        <w:t>建议按上述优先顺序，采用上述方法之一测试试剂盒的准确度。</w:t>
      </w:r>
    </w:p>
    <w:p w14:paraId="6572AAEA">
      <w:pPr>
        <w:spacing w:line="520" w:lineRule="exact"/>
        <w:ind w:firstLine="640" w:firstLineChars="200"/>
        <w:rPr>
          <w:rFonts w:eastAsia="仿宋_GB2312"/>
          <w:bCs/>
          <w:color w:val="000000"/>
          <w:sz w:val="32"/>
          <w:szCs w:val="32"/>
        </w:rPr>
      </w:pPr>
      <w:r>
        <w:rPr>
          <w:rFonts w:eastAsia="仿宋_GB2312"/>
          <w:bCs/>
          <w:color w:val="000000"/>
          <w:sz w:val="32"/>
          <w:szCs w:val="32"/>
        </w:rPr>
        <w:t>2.8稳定性</w:t>
      </w:r>
    </w:p>
    <w:p w14:paraId="75CD7C9E">
      <w:pPr>
        <w:spacing w:line="520" w:lineRule="exact"/>
        <w:ind w:firstLine="640" w:firstLineChars="200"/>
        <w:rPr>
          <w:rFonts w:eastAsia="仿宋_GB2312"/>
          <w:bCs/>
          <w:color w:val="000000"/>
          <w:sz w:val="32"/>
          <w:szCs w:val="32"/>
        </w:rPr>
      </w:pPr>
      <w:r>
        <w:rPr>
          <w:rFonts w:eastAsia="仿宋_GB2312"/>
          <w:bCs/>
          <w:color w:val="000000"/>
          <w:sz w:val="32"/>
          <w:szCs w:val="32"/>
        </w:rPr>
        <w:t>检测申请人声称已到期试剂，产品性能应符合试剂空白吸光度、分析灵敏度、线性范围、精密度、准确度要求。冻干品应同时进行复溶稳定性试验，复溶后放置到有效期末，产品性能应符合试剂空白吸光度、分析灵敏度、线性、测量精密度、准确度要求。</w:t>
      </w:r>
    </w:p>
    <w:p w14:paraId="1FE9962B">
      <w:pPr>
        <w:spacing w:line="520" w:lineRule="exact"/>
        <w:ind w:firstLine="640" w:firstLineChars="200"/>
        <w:rPr>
          <w:rFonts w:eastAsia="仿宋_GB2312"/>
          <w:bCs/>
          <w:color w:val="000000"/>
          <w:sz w:val="32"/>
          <w:szCs w:val="32"/>
        </w:rPr>
      </w:pPr>
      <w:r>
        <w:rPr>
          <w:rFonts w:eastAsia="仿宋_GB2312"/>
          <w:bCs/>
          <w:color w:val="000000"/>
          <w:sz w:val="32"/>
          <w:szCs w:val="32"/>
        </w:rPr>
        <w:t>2.9校准品和质控品的性能指标（如产品中包含）</w:t>
      </w:r>
    </w:p>
    <w:p w14:paraId="32C8085B">
      <w:pPr>
        <w:spacing w:line="520" w:lineRule="exact"/>
        <w:ind w:firstLine="640" w:firstLineChars="200"/>
        <w:rPr>
          <w:rFonts w:eastAsia="仿宋_GB2312"/>
          <w:bCs/>
          <w:color w:val="000000"/>
          <w:sz w:val="32"/>
          <w:szCs w:val="32"/>
        </w:rPr>
      </w:pPr>
      <w:r>
        <w:rPr>
          <w:rFonts w:eastAsia="仿宋_GB2312"/>
          <w:bCs/>
          <w:color w:val="000000"/>
          <w:sz w:val="32"/>
          <w:szCs w:val="32"/>
        </w:rPr>
        <w:t>应至少包含外观、装量（干粉试剂可不做）、准确性、均一性、稳定性。冻干型校准品和质控品还应检测批内瓶间差和复溶稳定性。</w:t>
      </w:r>
    </w:p>
    <w:p w14:paraId="344F6688">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（十）产品注册检验报告</w:t>
      </w:r>
    </w:p>
    <w:p w14:paraId="7DB01F5D">
      <w:pPr>
        <w:spacing w:line="520" w:lineRule="exact"/>
        <w:ind w:firstLine="640" w:firstLineChars="200"/>
        <w:rPr>
          <w:rFonts w:ascii="仿宋_GB2312" w:eastAsia="仿宋_GB2312" w:cs="仿宋_GB2312"/>
          <w:bCs/>
          <w:color w:val="000000"/>
          <w:sz w:val="32"/>
          <w:szCs w:val="32"/>
        </w:rPr>
      </w:pPr>
      <w:r>
        <w:rPr>
          <w:rFonts w:hint="eastAsia" w:eastAsia="仿宋_GB2312"/>
          <w:kern w:val="0"/>
          <w:sz w:val="32"/>
          <w:szCs w:val="32"/>
        </w:rPr>
        <w:t>具有相应医疗器械检验资质和承检范围的</w:t>
      </w:r>
      <w:r>
        <w:rPr>
          <w:rFonts w:hint="eastAsia" w:ascii="仿宋_GB2312" w:eastAsia="仿宋_GB2312" w:cs="仿宋_GB2312"/>
          <w:bCs/>
          <w:color w:val="000000"/>
          <w:sz w:val="32"/>
          <w:szCs w:val="32"/>
        </w:rPr>
        <w:t>医疗器械检验机构出具的注册检验报告和产品技术要求预评价意见。甘油三酯项目目前有国家标准品，应当使用国家标准品进行注册检验，并符合相关要求。</w:t>
      </w:r>
    </w:p>
    <w:p w14:paraId="54F0403C">
      <w:pPr>
        <w:spacing w:line="520" w:lineRule="exact"/>
        <w:ind w:firstLine="640" w:firstLineChars="200"/>
        <w:outlineLvl w:val="0"/>
        <w:rPr>
          <w:rFonts w:ascii="楷体_GB2312" w:eastAsia="楷体_GB2312"/>
          <w:kern w:val="0"/>
          <w:sz w:val="32"/>
          <w:szCs w:val="32"/>
        </w:rPr>
      </w:pPr>
      <w:r>
        <w:rPr>
          <w:rFonts w:hint="eastAsia" w:ascii="楷体_GB2312" w:eastAsia="楷体_GB2312"/>
          <w:kern w:val="0"/>
          <w:sz w:val="32"/>
          <w:szCs w:val="32"/>
        </w:rPr>
        <w:t>（十一）产品说明书</w:t>
      </w:r>
    </w:p>
    <w:p w14:paraId="499E1145">
      <w:pPr>
        <w:spacing w:line="520" w:lineRule="exact"/>
        <w:ind w:firstLine="640" w:firstLineChars="200"/>
        <w:rPr>
          <w:rFonts w:eastAsia="仿宋_GB2312"/>
          <w:bCs/>
          <w:color w:val="000000"/>
          <w:sz w:val="32"/>
          <w:szCs w:val="32"/>
        </w:rPr>
      </w:pPr>
      <w:r>
        <w:rPr>
          <w:rFonts w:eastAsia="仿宋_GB2312"/>
          <w:bCs/>
          <w:color w:val="000000"/>
          <w:sz w:val="32"/>
          <w:szCs w:val="32"/>
        </w:rPr>
        <w:t>说明书承载了产品预期用途、检验方法、对检验结果的解释以及注意事项等重要信息，是指导实验室工作人员正确操作、临床医生针对检验结果给出合理医学解释的重要依据，因此，产品说明书是体外诊断试剂注册申报最重要的文件之一。</w:t>
      </w:r>
    </w:p>
    <w:p w14:paraId="14FBAD0E">
      <w:pPr>
        <w:spacing w:line="520" w:lineRule="exact"/>
        <w:ind w:firstLine="640" w:firstLineChars="200"/>
        <w:rPr>
          <w:rFonts w:eastAsia="仿宋_GB2312"/>
          <w:bCs/>
          <w:color w:val="000000"/>
          <w:sz w:val="32"/>
          <w:szCs w:val="32"/>
        </w:rPr>
      </w:pPr>
      <w:r>
        <w:rPr>
          <w:rFonts w:eastAsia="仿宋_GB2312"/>
          <w:bCs/>
          <w:color w:val="000000"/>
          <w:sz w:val="32"/>
          <w:szCs w:val="32"/>
        </w:rPr>
        <w:t>结合《关于发布体外诊断试剂说明书编写指导原则的通告》（国家食品药品监督管理总局通告2014年第17号）的要求，下面对甘油三酯测定试剂盒说明书的重点内容进行详细说明。</w:t>
      </w:r>
    </w:p>
    <w:p w14:paraId="5B21C0D5">
      <w:pPr>
        <w:spacing w:line="520" w:lineRule="exact"/>
        <w:ind w:firstLine="640" w:firstLineChars="200"/>
        <w:rPr>
          <w:rFonts w:eastAsia="仿宋_GB2312"/>
          <w:bCs/>
          <w:color w:val="000000"/>
          <w:sz w:val="32"/>
          <w:szCs w:val="32"/>
        </w:rPr>
      </w:pPr>
      <w:r>
        <w:rPr>
          <w:rFonts w:eastAsia="仿宋_GB2312"/>
          <w:bCs/>
          <w:color w:val="000000"/>
          <w:sz w:val="32"/>
          <w:szCs w:val="32"/>
        </w:rPr>
        <w:t>1.【产品名称】</w:t>
      </w:r>
    </w:p>
    <w:p w14:paraId="07EEBACE">
      <w:pPr>
        <w:spacing w:line="520" w:lineRule="exact"/>
        <w:ind w:firstLine="640" w:firstLineChars="200"/>
        <w:rPr>
          <w:rFonts w:eastAsia="仿宋_GB2312"/>
          <w:bCs/>
          <w:color w:val="000000"/>
          <w:sz w:val="32"/>
          <w:szCs w:val="32"/>
        </w:rPr>
      </w:pPr>
      <w:r>
        <w:rPr>
          <w:rFonts w:eastAsia="仿宋_GB2312"/>
          <w:bCs/>
          <w:color w:val="000000"/>
          <w:sz w:val="32"/>
          <w:szCs w:val="32"/>
        </w:rPr>
        <w:t>根据《体外诊断试剂注册管理办法》中的命名原则，产品名称通常由被测物质的名称、用途、方法或原理三部分组成，方法或原理部分应能体现具体反应原理，建议参考分类目录或行业标准。</w:t>
      </w:r>
    </w:p>
    <w:p w14:paraId="135EB234">
      <w:pPr>
        <w:spacing w:line="520" w:lineRule="exact"/>
        <w:ind w:firstLine="640" w:firstLineChars="200"/>
        <w:rPr>
          <w:rFonts w:eastAsia="仿宋_GB2312"/>
          <w:bCs/>
          <w:color w:val="000000"/>
          <w:sz w:val="32"/>
          <w:szCs w:val="32"/>
        </w:rPr>
      </w:pPr>
      <w:r>
        <w:rPr>
          <w:rFonts w:eastAsia="仿宋_GB2312"/>
          <w:bCs/>
          <w:color w:val="000000"/>
          <w:sz w:val="32"/>
          <w:szCs w:val="32"/>
        </w:rPr>
        <w:t xml:space="preserve">2.【包装规格】  </w:t>
      </w:r>
    </w:p>
    <w:p w14:paraId="5169B2C6">
      <w:pPr>
        <w:spacing w:line="520" w:lineRule="exact"/>
        <w:ind w:firstLine="640" w:firstLineChars="200"/>
        <w:rPr>
          <w:rFonts w:eastAsia="仿宋_GB2312"/>
          <w:bCs/>
          <w:color w:val="000000"/>
          <w:sz w:val="32"/>
          <w:szCs w:val="32"/>
        </w:rPr>
      </w:pPr>
      <w:r>
        <w:rPr>
          <w:rFonts w:eastAsia="仿宋_GB2312"/>
          <w:bCs/>
          <w:color w:val="000000"/>
          <w:sz w:val="32"/>
          <w:szCs w:val="32"/>
        </w:rPr>
        <w:t>包装规格应明确单、双或其他多试剂类型；如不同包装规格有与之特定对应的机型，则应同时明确适用机型。如有货号，可增加货号信息。</w:t>
      </w:r>
    </w:p>
    <w:p w14:paraId="4B95DF3C">
      <w:pPr>
        <w:spacing w:line="560" w:lineRule="exact"/>
        <w:ind w:firstLine="640" w:firstLineChars="200"/>
        <w:rPr>
          <w:rFonts w:eastAsia="仿宋_GB2312"/>
          <w:bCs/>
          <w:color w:val="000000"/>
          <w:sz w:val="32"/>
          <w:szCs w:val="32"/>
        </w:rPr>
      </w:pPr>
      <w:r>
        <w:rPr>
          <w:rFonts w:eastAsia="仿宋_GB2312"/>
          <w:bCs/>
          <w:color w:val="000000"/>
          <w:sz w:val="32"/>
          <w:szCs w:val="32"/>
        </w:rPr>
        <w:t xml:space="preserve">如:试剂1:1×40 mL,试剂2: 1×20 mL  日立7170生化分析仪 </w:t>
      </w:r>
    </w:p>
    <w:p w14:paraId="0658988A">
      <w:pPr>
        <w:spacing w:line="560" w:lineRule="exact"/>
        <w:ind w:firstLine="640" w:firstLineChars="200"/>
        <w:rPr>
          <w:rFonts w:eastAsia="仿宋_GB2312"/>
          <w:bCs/>
          <w:color w:val="000000"/>
          <w:sz w:val="32"/>
          <w:szCs w:val="32"/>
        </w:rPr>
      </w:pPr>
      <w:r>
        <w:rPr>
          <w:rFonts w:eastAsia="仿宋_GB2312"/>
          <w:bCs/>
          <w:color w:val="000000"/>
          <w:sz w:val="32"/>
          <w:szCs w:val="32"/>
        </w:rPr>
        <w:t>3.【预期用途】应至少包括以下几部分内容：</w:t>
      </w:r>
    </w:p>
    <w:p w14:paraId="3A4E55EF">
      <w:pPr>
        <w:spacing w:line="560" w:lineRule="exact"/>
        <w:ind w:firstLine="640" w:firstLineChars="200"/>
        <w:rPr>
          <w:rFonts w:eastAsia="仿宋_GB2312"/>
          <w:bCs/>
          <w:color w:val="000000"/>
          <w:sz w:val="32"/>
          <w:szCs w:val="32"/>
        </w:rPr>
      </w:pPr>
      <w:r>
        <w:rPr>
          <w:rFonts w:eastAsia="仿宋_GB2312"/>
          <w:bCs/>
          <w:color w:val="000000"/>
          <w:sz w:val="32"/>
          <w:szCs w:val="32"/>
        </w:rPr>
        <w:t>3.1说明试剂盒用于体外定量检测人血清、血浆或其他体液中甘油三酯的含量。</w:t>
      </w:r>
    </w:p>
    <w:p w14:paraId="7339761F">
      <w:pPr>
        <w:spacing w:line="560" w:lineRule="exact"/>
        <w:ind w:firstLine="640" w:firstLineChars="200"/>
        <w:rPr>
          <w:rFonts w:eastAsia="仿宋_GB2312"/>
          <w:bCs/>
          <w:color w:val="000000"/>
          <w:sz w:val="32"/>
          <w:szCs w:val="32"/>
        </w:rPr>
      </w:pPr>
      <w:r>
        <w:rPr>
          <w:rFonts w:eastAsia="仿宋_GB2312"/>
          <w:bCs/>
          <w:color w:val="000000"/>
          <w:sz w:val="32"/>
          <w:szCs w:val="32"/>
        </w:rPr>
        <w:t>3.2明确与甘油三酯检测相关的临床适应症背景情况。</w:t>
      </w:r>
    </w:p>
    <w:p w14:paraId="1ABBC4F9">
      <w:pPr>
        <w:spacing w:line="560" w:lineRule="exact"/>
        <w:ind w:firstLine="640" w:firstLineChars="200"/>
        <w:rPr>
          <w:rFonts w:eastAsia="仿宋_GB2312"/>
          <w:bCs/>
          <w:color w:val="000000"/>
          <w:sz w:val="32"/>
          <w:szCs w:val="32"/>
        </w:rPr>
      </w:pPr>
      <w:r>
        <w:rPr>
          <w:rFonts w:eastAsia="仿宋_GB2312"/>
          <w:bCs/>
          <w:color w:val="000000"/>
          <w:sz w:val="32"/>
          <w:szCs w:val="32"/>
        </w:rPr>
        <w:t>如：病理性升高：原发性见于家族性高甘油三酯血症与家族性混合型高脂（蛋白）血症等。继发性见于糖尿病、糖尿累积病，甲状腺功能衰退、肾病综合征、妊娠、口服避孕药、酗酒等。病理性降低：原发性见于无β-脂蛋白血症和低β-脂蛋白血症。继发性见于继发性脂质代谢异常，如消化道疾病（肝疾患、吸收不良综合征）、内分泌疾患（甲状腺功能亢进症、慢性肾上腺皮质不全）及肝素等药物的应用。</w:t>
      </w:r>
    </w:p>
    <w:p w14:paraId="01331D9D">
      <w:pPr>
        <w:spacing w:line="560" w:lineRule="exact"/>
        <w:ind w:firstLine="640" w:firstLineChars="200"/>
        <w:rPr>
          <w:rFonts w:eastAsia="仿宋_GB2312"/>
          <w:bCs/>
          <w:color w:val="000000"/>
          <w:sz w:val="32"/>
          <w:szCs w:val="32"/>
        </w:rPr>
      </w:pPr>
      <w:r>
        <w:rPr>
          <w:rFonts w:eastAsia="仿宋_GB2312"/>
          <w:bCs/>
          <w:color w:val="000000"/>
          <w:sz w:val="32"/>
          <w:szCs w:val="32"/>
        </w:rPr>
        <w:t>4.【检验原理】应结合产品主要成分简要说明检验的原理、方法，必要时可采取图示方法表示，检验原理的描述应结合产品主要组成成分、被测物和产物的关系进行描述：</w:t>
      </w:r>
    </w:p>
    <w:p w14:paraId="6215AB2E">
      <w:pPr>
        <w:spacing w:line="560" w:lineRule="exact"/>
        <w:ind w:firstLine="640" w:firstLineChars="200"/>
        <w:rPr>
          <w:rFonts w:eastAsia="仿宋_GB2312"/>
          <w:bCs/>
          <w:color w:val="000000"/>
          <w:sz w:val="32"/>
          <w:szCs w:val="32"/>
        </w:rPr>
      </w:pPr>
      <w:r>
        <w:rPr>
          <w:rFonts w:eastAsia="仿宋_GB2312"/>
          <w:bCs/>
          <w:color w:val="000000"/>
          <w:sz w:val="32"/>
          <w:szCs w:val="32"/>
        </w:rPr>
        <w:t>如：用脂蛋白酯酶（LPL）使血清中的甘油三酯（TG）水解成甘油与脂肪酸，将生成的甘油用甘油激酶（GK）及三磷酸腺苷（ATP）磷酸化。以磷酸甘油氧化酶（GPO）氧化3-磷酸甘油（G-3-P），然后以过氧化物酶（POD），4-氨基安替比林（4-AAP）与4-氯酚（三者合称PAP）反应显色，在特定波长处监测吸光度值，可计算甘油三酯含量。</w:t>
      </w:r>
    </w:p>
    <w:p w14:paraId="11B49A84">
      <w:pPr>
        <w:spacing w:line="560" w:lineRule="exact"/>
        <w:ind w:firstLine="640" w:firstLineChars="200"/>
        <w:rPr>
          <w:rFonts w:eastAsia="仿宋_GB2312"/>
          <w:bCs/>
          <w:color w:val="000000"/>
          <w:sz w:val="32"/>
          <w:szCs w:val="32"/>
        </w:rPr>
      </w:pPr>
      <w:r>
        <w:rPr>
          <w:rFonts w:eastAsia="仿宋_GB2312"/>
          <w:bCs/>
          <w:color w:val="000000"/>
          <w:sz w:val="32"/>
          <w:szCs w:val="32"/>
        </w:rPr>
        <w:t>反应式如下：</w:t>
      </w:r>
    </w:p>
    <w:p w14:paraId="5C2EFA2B">
      <w:pPr>
        <w:spacing w:line="520" w:lineRule="exact"/>
        <w:ind w:firstLine="640" w:firstLineChars="200"/>
        <w:rPr>
          <w:rFonts w:ascii="仿宋_GB2312" w:eastAsia="仿宋_GB2312" w:cs="仿宋_GB2312"/>
          <w:bCs/>
          <w:color w:val="000000"/>
          <w:sz w:val="32"/>
          <w:szCs w:val="32"/>
        </w:rPr>
      </w:pPr>
    </w:p>
    <w:p w14:paraId="1751F1BC">
      <w:pPr>
        <w:spacing w:line="520" w:lineRule="exact"/>
        <w:ind w:firstLine="420" w:firstLineChars="200"/>
        <w:rPr>
          <w:rFonts w:ascii="仿宋_GB2312" w:eastAsia="仿宋_GB2312" w:cs="仿宋_GB2312"/>
          <w:bCs/>
          <w:color w:val="000000"/>
          <w:sz w:val="30"/>
          <w:szCs w:val="30"/>
        </w:rPr>
      </w:pPr>
      <w:r>
        <w:drawing>
          <wp:anchor distT="0" distB="0" distL="114300" distR="114300" simplePos="0" relativeHeight="251659264" behindDoc="0" locked="0" layoutInCell="1" allowOverlap="0">
            <wp:simplePos x="0" y="0"/>
            <wp:positionH relativeFrom="column">
              <wp:posOffset>75565</wp:posOffset>
            </wp:positionH>
            <wp:positionV relativeFrom="paragraph">
              <wp:posOffset>-118110</wp:posOffset>
            </wp:positionV>
            <wp:extent cx="5276850" cy="2362200"/>
            <wp:effectExtent l="19050" t="0" r="0" b="0"/>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noChangeArrowheads="1"/>
                    </pic:cNvPicPr>
                  </pic:nvPicPr>
                  <pic:blipFill>
                    <a:blip r:embed="rId4"/>
                    <a:srcRect/>
                    <a:stretch>
                      <a:fillRect/>
                    </a:stretch>
                  </pic:blipFill>
                  <pic:spPr>
                    <a:xfrm>
                      <a:off x="0" y="0"/>
                      <a:ext cx="5276850" cy="2362200"/>
                    </a:xfrm>
                    <a:prstGeom prst="rect">
                      <a:avLst/>
                    </a:prstGeom>
                    <a:noFill/>
                    <a:ln w="9525">
                      <a:noFill/>
                      <a:miter lim="800000"/>
                      <a:headEnd/>
                      <a:tailEnd/>
                    </a:ln>
                  </pic:spPr>
                </pic:pic>
              </a:graphicData>
            </a:graphic>
          </wp:anchor>
        </w:drawing>
      </w:r>
    </w:p>
    <w:p w14:paraId="286A74FE">
      <w:pPr>
        <w:spacing w:line="520" w:lineRule="exact"/>
        <w:ind w:firstLine="640" w:firstLineChars="200"/>
        <w:rPr>
          <w:rFonts w:eastAsia="仿宋_GB2312"/>
          <w:bCs/>
          <w:color w:val="000000"/>
          <w:sz w:val="32"/>
          <w:szCs w:val="30"/>
        </w:rPr>
      </w:pPr>
      <w:r>
        <w:rPr>
          <w:rFonts w:eastAsia="仿宋_GB2312"/>
          <w:bCs/>
          <w:color w:val="000000"/>
          <w:sz w:val="32"/>
          <w:szCs w:val="30"/>
        </w:rPr>
        <w:t>5.【主要组成成分】应明确以下内容：</w:t>
      </w:r>
    </w:p>
    <w:p w14:paraId="61FD8429">
      <w:pPr>
        <w:spacing w:line="520" w:lineRule="exact"/>
        <w:ind w:firstLine="640" w:firstLineChars="200"/>
        <w:rPr>
          <w:rFonts w:eastAsia="仿宋_GB2312"/>
          <w:bCs/>
          <w:color w:val="000000"/>
          <w:sz w:val="32"/>
          <w:szCs w:val="30"/>
        </w:rPr>
      </w:pPr>
      <w:r>
        <w:rPr>
          <w:rFonts w:eastAsia="仿宋_GB2312"/>
          <w:bCs/>
          <w:color w:val="000000"/>
          <w:sz w:val="32"/>
          <w:szCs w:val="30"/>
        </w:rPr>
        <w:t>试剂盒提供的试剂组分的名称、比例或浓度，各组分是否可以互换；如含有校准品或质控品，除明确组成成份及生物学来源外，还应明确其定值及溯源性，溯源性应写明溯源的最高级别，包括标准物质或参考物的发布单位及编号，质控品应明确靶值范围。</w:t>
      </w:r>
    </w:p>
    <w:p w14:paraId="46BF9922">
      <w:pPr>
        <w:spacing w:line="520" w:lineRule="exact"/>
        <w:ind w:firstLine="640" w:firstLineChars="200"/>
        <w:rPr>
          <w:rFonts w:eastAsia="仿宋_GB2312"/>
          <w:bCs/>
          <w:color w:val="000000"/>
          <w:sz w:val="32"/>
          <w:szCs w:val="30"/>
        </w:rPr>
      </w:pPr>
      <w:r>
        <w:rPr>
          <w:rFonts w:eastAsia="仿宋_GB2312"/>
          <w:bCs/>
          <w:color w:val="000000"/>
          <w:sz w:val="32"/>
          <w:szCs w:val="30"/>
        </w:rPr>
        <w:t>例如：</w:t>
      </w:r>
    </w:p>
    <w:p w14:paraId="6B041F01">
      <w:pPr>
        <w:spacing w:line="520" w:lineRule="exact"/>
        <w:ind w:firstLine="640" w:firstLineChars="200"/>
        <w:rPr>
          <w:rFonts w:eastAsia="仿宋_GB2312"/>
          <w:bCs/>
          <w:color w:val="000000"/>
          <w:sz w:val="32"/>
          <w:szCs w:val="30"/>
        </w:rPr>
      </w:pPr>
      <w:r>
        <w:rPr>
          <w:rFonts w:eastAsia="仿宋_GB2312"/>
          <w:bCs/>
          <w:color w:val="000000"/>
          <w:sz w:val="32"/>
          <w:szCs w:val="30"/>
        </w:rPr>
        <w:t>本试剂盒由试剂1、2和校准品组成：</w:t>
      </w:r>
    </w:p>
    <w:p w14:paraId="06FAC8E4">
      <w:pPr>
        <w:spacing w:line="520" w:lineRule="exact"/>
        <w:ind w:firstLine="640" w:firstLineChars="200"/>
        <w:rPr>
          <w:rFonts w:eastAsia="仿宋_GB2312"/>
          <w:bCs/>
          <w:color w:val="000000"/>
          <w:sz w:val="32"/>
          <w:szCs w:val="30"/>
        </w:rPr>
      </w:pPr>
      <w:r>
        <w:rPr>
          <w:rFonts w:eastAsia="仿宋_GB2312"/>
          <w:bCs/>
          <w:color w:val="000000"/>
          <w:sz w:val="32"/>
          <w:szCs w:val="30"/>
        </w:rPr>
        <w:t>试剂1：三羟甲基氨基甲烷缓冲液100 mmol/L、三磷酸腺苷（ATP）0.20 mmol/L、甘油激酶（GK）1200 U/L、甘油磷酸氧化酶4000 U/L、氯化镁23 mmol/L、过氧化物酶5 KU/L；</w:t>
      </w:r>
    </w:p>
    <w:p w14:paraId="72F0BF06">
      <w:pPr>
        <w:spacing w:line="520" w:lineRule="exact"/>
        <w:ind w:firstLine="640" w:firstLineChars="200"/>
        <w:rPr>
          <w:rFonts w:eastAsia="仿宋_GB2312"/>
          <w:bCs/>
          <w:color w:val="000000"/>
          <w:sz w:val="32"/>
          <w:szCs w:val="30"/>
        </w:rPr>
      </w:pPr>
      <w:r>
        <w:rPr>
          <w:rFonts w:eastAsia="仿宋_GB2312"/>
          <w:bCs/>
          <w:color w:val="000000"/>
          <w:sz w:val="32"/>
          <w:szCs w:val="30"/>
        </w:rPr>
        <w:t>试剂2：三羟甲基氨基甲烷缓冲液100 mmol/L、4-氨基安替比林1.0 mmol/L、脂蛋白脂酶2500 U/L、三磷酸腺苷0.20 mmol/L、3，5-二氯-2-羟基苯磺酸钠2.0 mmol/L；</w:t>
      </w:r>
    </w:p>
    <w:p w14:paraId="6BC76FAB">
      <w:pPr>
        <w:spacing w:line="520" w:lineRule="exact"/>
        <w:ind w:firstLine="640" w:firstLineChars="200"/>
        <w:rPr>
          <w:rFonts w:eastAsia="仿宋_GB2312"/>
          <w:bCs/>
          <w:color w:val="000000"/>
          <w:sz w:val="32"/>
          <w:szCs w:val="30"/>
        </w:rPr>
      </w:pPr>
      <w:r>
        <w:rPr>
          <w:rFonts w:eastAsia="仿宋_GB2312"/>
          <w:bCs/>
          <w:color w:val="000000"/>
          <w:sz w:val="32"/>
          <w:szCs w:val="30"/>
        </w:rPr>
        <w:t>校准品：为甘油三酯溶液，校准品具有批特异性，每批定值，定值见瓶签标示，量值可溯源至GBW09148或国际参考物质SRM1595。</w:t>
      </w:r>
    </w:p>
    <w:p w14:paraId="6245153C">
      <w:pPr>
        <w:spacing w:line="520" w:lineRule="exact"/>
        <w:ind w:firstLine="640" w:firstLineChars="200"/>
        <w:rPr>
          <w:rFonts w:eastAsia="仿宋_GB2312"/>
          <w:bCs/>
          <w:color w:val="000000"/>
          <w:sz w:val="32"/>
          <w:szCs w:val="30"/>
        </w:rPr>
      </w:pPr>
      <w:r>
        <w:rPr>
          <w:rFonts w:eastAsia="仿宋_GB2312"/>
          <w:bCs/>
          <w:color w:val="000000"/>
          <w:sz w:val="32"/>
          <w:szCs w:val="30"/>
        </w:rPr>
        <w:t>6.【储存条件及有效期】应明确未开封的试剂实际储存条件及有效期，开封后在生化分析仪上待机稳定期。干粉校准品（如适用）应明确复溶稳定性。</w:t>
      </w:r>
    </w:p>
    <w:p w14:paraId="3FC80C16">
      <w:pPr>
        <w:spacing w:line="520" w:lineRule="exact"/>
        <w:ind w:firstLine="640" w:firstLineChars="200"/>
        <w:rPr>
          <w:rFonts w:eastAsia="仿宋_GB2312"/>
          <w:bCs/>
          <w:color w:val="000000"/>
          <w:sz w:val="32"/>
          <w:szCs w:val="30"/>
        </w:rPr>
      </w:pPr>
      <w:r>
        <w:rPr>
          <w:rFonts w:eastAsia="仿宋_GB2312"/>
          <w:bCs/>
          <w:color w:val="000000"/>
          <w:sz w:val="32"/>
          <w:szCs w:val="30"/>
        </w:rPr>
        <w:t>注：保存条件不应有模糊表述，如“室温”、“常温”。</w:t>
      </w:r>
    </w:p>
    <w:p w14:paraId="11179D1C">
      <w:pPr>
        <w:spacing w:line="520" w:lineRule="exact"/>
        <w:ind w:firstLine="640" w:firstLineChars="200"/>
        <w:rPr>
          <w:rFonts w:eastAsia="仿宋_GB2312"/>
          <w:bCs/>
          <w:color w:val="000000"/>
          <w:sz w:val="32"/>
          <w:szCs w:val="30"/>
        </w:rPr>
      </w:pPr>
      <w:r>
        <w:rPr>
          <w:rFonts w:eastAsia="仿宋_GB2312"/>
          <w:bCs/>
          <w:color w:val="000000"/>
          <w:sz w:val="32"/>
          <w:szCs w:val="30"/>
        </w:rPr>
        <w:t>7.【适用仪器】应明确可适用的具体品牌、型号的仪器。</w:t>
      </w:r>
    </w:p>
    <w:p w14:paraId="37027127">
      <w:pPr>
        <w:spacing w:line="520" w:lineRule="exact"/>
        <w:ind w:firstLine="640" w:firstLineChars="200"/>
        <w:rPr>
          <w:rFonts w:eastAsia="仿宋_GB2312"/>
          <w:bCs/>
          <w:color w:val="000000"/>
          <w:sz w:val="32"/>
          <w:szCs w:val="30"/>
        </w:rPr>
      </w:pPr>
      <w:r>
        <w:rPr>
          <w:rFonts w:eastAsia="仿宋_GB2312"/>
          <w:bCs/>
          <w:color w:val="000000"/>
          <w:sz w:val="32"/>
          <w:szCs w:val="30"/>
        </w:rPr>
        <w:t>8.【样本要求】重点明确以下内容：样本类型、处理、保存期限及保存条件（短期、长期），运输条件等。如有血浆样本，应注明对抗凝剂的要求（如果草酸盐、柠檬酸盐、EDTA钠盐等对甘油三酯浓度造成干扰，应明确避免使用的提示）。冷藏/冷冻样本检测前是否须恢复室温，可冻融次数。特殊体液标本还应详细描述对采集条件、保存液、容器要求等可能影响检测结果的要求。应对已知的干扰物进行说明，如：存在的干扰因素，明确黄疸、溶血、药物等干扰物对测定的影响，同时列出干扰物的具体浓度。</w:t>
      </w:r>
    </w:p>
    <w:p w14:paraId="6F620F8C">
      <w:pPr>
        <w:spacing w:line="520" w:lineRule="exact"/>
        <w:ind w:firstLine="640" w:firstLineChars="200"/>
        <w:rPr>
          <w:rFonts w:eastAsia="仿宋_GB2312"/>
          <w:bCs/>
          <w:color w:val="000000"/>
          <w:sz w:val="32"/>
          <w:szCs w:val="30"/>
        </w:rPr>
      </w:pPr>
      <w:r>
        <w:rPr>
          <w:rFonts w:eastAsia="仿宋_GB2312"/>
          <w:bCs/>
          <w:color w:val="000000"/>
          <w:sz w:val="32"/>
          <w:szCs w:val="30"/>
        </w:rPr>
        <w:t>9.【检验方法】详细说明试验操作的各个步骤，包括：</w:t>
      </w:r>
    </w:p>
    <w:p w14:paraId="6305C8FC">
      <w:pPr>
        <w:spacing w:line="520" w:lineRule="exact"/>
        <w:ind w:firstLine="640" w:firstLineChars="200"/>
        <w:rPr>
          <w:rFonts w:eastAsia="仿宋_GB2312"/>
          <w:bCs/>
          <w:color w:val="000000"/>
          <w:sz w:val="32"/>
          <w:szCs w:val="30"/>
        </w:rPr>
      </w:pPr>
      <w:r>
        <w:rPr>
          <w:rFonts w:eastAsia="仿宋_GB2312"/>
          <w:bCs/>
          <w:color w:val="000000"/>
          <w:sz w:val="32"/>
          <w:szCs w:val="30"/>
        </w:rPr>
        <w:t>9.1试剂配制方法、注意事项。</w:t>
      </w:r>
    </w:p>
    <w:p w14:paraId="0AD92E31">
      <w:pPr>
        <w:spacing w:line="520" w:lineRule="exact"/>
        <w:ind w:firstLine="640" w:firstLineChars="200"/>
        <w:rPr>
          <w:rFonts w:eastAsia="仿宋_GB2312"/>
          <w:bCs/>
          <w:color w:val="000000"/>
          <w:sz w:val="32"/>
          <w:szCs w:val="30"/>
        </w:rPr>
      </w:pPr>
      <w:r>
        <w:rPr>
          <w:rFonts w:eastAsia="仿宋_GB2312"/>
          <w:bCs/>
          <w:color w:val="000000"/>
          <w:sz w:val="32"/>
          <w:szCs w:val="30"/>
        </w:rPr>
        <w:t>9.2试验条件：温度、时间、测定主/副波长、试剂用量、样本用量、测定方法、反应类型、反应方向、反应时间等以及试验过程中的注意事项。</w:t>
      </w:r>
    </w:p>
    <w:p w14:paraId="4289242B">
      <w:pPr>
        <w:spacing w:line="520" w:lineRule="exact"/>
        <w:ind w:firstLine="640" w:firstLineChars="200"/>
        <w:rPr>
          <w:rFonts w:eastAsia="仿宋_GB2312"/>
          <w:bCs/>
          <w:color w:val="000000"/>
          <w:sz w:val="32"/>
          <w:szCs w:val="30"/>
        </w:rPr>
      </w:pPr>
      <w:r>
        <w:rPr>
          <w:rFonts w:eastAsia="仿宋_GB2312"/>
          <w:bCs/>
          <w:color w:val="000000"/>
          <w:sz w:val="32"/>
          <w:szCs w:val="30"/>
        </w:rPr>
        <w:t>9.3校准：校准品的使用方法、注意事项、校准曲线的绘制。</w:t>
      </w:r>
    </w:p>
    <w:p w14:paraId="74214FB3">
      <w:pPr>
        <w:spacing w:line="520" w:lineRule="exact"/>
        <w:ind w:firstLine="640" w:firstLineChars="200"/>
        <w:rPr>
          <w:rFonts w:eastAsia="仿宋_GB2312"/>
          <w:bCs/>
          <w:color w:val="000000"/>
          <w:sz w:val="32"/>
          <w:szCs w:val="30"/>
        </w:rPr>
      </w:pPr>
      <w:r>
        <w:rPr>
          <w:rFonts w:eastAsia="仿宋_GB2312"/>
          <w:bCs/>
          <w:color w:val="000000"/>
          <w:sz w:val="32"/>
          <w:szCs w:val="30"/>
        </w:rPr>
        <w:t>9.4质量控制：质控品的使用方法、对质控结果的必要解释以及推荐的质控周期等；建议在本部分注明以下字样：如果质控结果与预期不符，提示检测结果不可靠，不应出具检测报告。</w:t>
      </w:r>
    </w:p>
    <w:p w14:paraId="6A2C508D">
      <w:pPr>
        <w:spacing w:line="520" w:lineRule="exact"/>
        <w:ind w:firstLine="640" w:firstLineChars="200"/>
        <w:rPr>
          <w:rFonts w:eastAsia="仿宋_GB2312"/>
          <w:bCs/>
          <w:color w:val="000000"/>
          <w:sz w:val="32"/>
          <w:szCs w:val="30"/>
        </w:rPr>
      </w:pPr>
      <w:r>
        <w:rPr>
          <w:rFonts w:eastAsia="仿宋_GB2312"/>
          <w:bCs/>
          <w:color w:val="000000"/>
          <w:sz w:val="32"/>
          <w:szCs w:val="30"/>
        </w:rPr>
        <w:t>9.5检验结果的计算：应明确检验结果的计算方法。超出线性范围的样本如进行稀释，应结合可检测范围研究结果明确稀释液类型和最大可稀释比例。</w:t>
      </w:r>
    </w:p>
    <w:p w14:paraId="57B3C773">
      <w:pPr>
        <w:spacing w:line="520" w:lineRule="exact"/>
        <w:ind w:firstLine="640" w:firstLineChars="200"/>
        <w:rPr>
          <w:rFonts w:eastAsia="仿宋_GB2312"/>
          <w:bCs/>
          <w:color w:val="000000"/>
          <w:sz w:val="32"/>
          <w:szCs w:val="30"/>
        </w:rPr>
      </w:pPr>
      <w:r>
        <w:rPr>
          <w:rFonts w:eastAsia="仿宋_GB2312"/>
          <w:bCs/>
          <w:color w:val="000000"/>
          <w:sz w:val="32"/>
          <w:szCs w:val="30"/>
        </w:rPr>
        <w:t>10.【参考区间】应注明常用样本类型的参考区间，并简要说明其确定方法。建议注明“由于地理、人种、性别和年龄等差异，建议各实验室建立自己的参考区间”。</w:t>
      </w:r>
    </w:p>
    <w:p w14:paraId="7F6089B6">
      <w:pPr>
        <w:spacing w:line="520" w:lineRule="exact"/>
        <w:ind w:firstLine="640" w:firstLineChars="200"/>
        <w:rPr>
          <w:rFonts w:eastAsia="仿宋_GB2312"/>
          <w:bCs/>
          <w:color w:val="000000"/>
          <w:sz w:val="32"/>
          <w:szCs w:val="30"/>
        </w:rPr>
      </w:pPr>
      <w:r>
        <w:rPr>
          <w:rFonts w:eastAsia="仿宋_GB2312"/>
          <w:bCs/>
          <w:color w:val="000000"/>
          <w:sz w:val="32"/>
          <w:szCs w:val="30"/>
        </w:rPr>
        <w:t>11.【检验结果的解释】说明可能对检验结果产生影响的因素，在何种情况下需要进行确认试验。</w:t>
      </w:r>
    </w:p>
    <w:p w14:paraId="66AE52EF">
      <w:pPr>
        <w:spacing w:line="520" w:lineRule="exact"/>
        <w:ind w:firstLine="640" w:firstLineChars="200"/>
        <w:rPr>
          <w:rFonts w:eastAsia="仿宋_GB2312"/>
          <w:bCs/>
          <w:color w:val="000000"/>
          <w:sz w:val="32"/>
          <w:szCs w:val="30"/>
        </w:rPr>
      </w:pPr>
      <w:r>
        <w:rPr>
          <w:rFonts w:eastAsia="仿宋_GB2312"/>
          <w:bCs/>
          <w:color w:val="000000"/>
          <w:sz w:val="32"/>
          <w:szCs w:val="30"/>
        </w:rPr>
        <w:t xml:space="preserve">12.【检验方法的局限性】说明该检验方法的局限性。 </w:t>
      </w:r>
    </w:p>
    <w:p w14:paraId="521725D9">
      <w:pPr>
        <w:spacing w:line="520" w:lineRule="exact"/>
        <w:ind w:firstLine="640" w:firstLineChars="200"/>
        <w:rPr>
          <w:rFonts w:eastAsia="仿宋_GB2312"/>
          <w:bCs/>
          <w:color w:val="000000"/>
          <w:sz w:val="32"/>
          <w:szCs w:val="30"/>
        </w:rPr>
      </w:pPr>
      <w:r>
        <w:rPr>
          <w:rFonts w:eastAsia="仿宋_GB2312"/>
          <w:bCs/>
          <w:color w:val="000000"/>
          <w:sz w:val="32"/>
          <w:szCs w:val="30"/>
        </w:rPr>
        <w:t>13.【产品性能指标】 至少应详述以下性能指标，性能指标应与产品技术要求中相关技术指标保持一致。</w:t>
      </w:r>
    </w:p>
    <w:p w14:paraId="558852F8">
      <w:pPr>
        <w:spacing w:line="520" w:lineRule="exact"/>
        <w:ind w:firstLine="640" w:firstLineChars="200"/>
        <w:rPr>
          <w:rFonts w:eastAsia="仿宋_GB2312"/>
          <w:bCs/>
          <w:color w:val="000000"/>
          <w:sz w:val="32"/>
          <w:szCs w:val="30"/>
        </w:rPr>
      </w:pPr>
      <w:r>
        <w:rPr>
          <w:rFonts w:eastAsia="仿宋_GB2312"/>
          <w:bCs/>
          <w:color w:val="000000"/>
          <w:sz w:val="32"/>
          <w:szCs w:val="30"/>
        </w:rPr>
        <w:t>13.1试剂空白吸光度；</w:t>
      </w:r>
    </w:p>
    <w:p w14:paraId="3C812C3F">
      <w:pPr>
        <w:spacing w:line="520" w:lineRule="exact"/>
        <w:ind w:firstLine="640" w:firstLineChars="200"/>
        <w:rPr>
          <w:rFonts w:eastAsia="仿宋_GB2312"/>
          <w:bCs/>
          <w:color w:val="000000"/>
          <w:sz w:val="32"/>
          <w:szCs w:val="30"/>
        </w:rPr>
      </w:pPr>
      <w:r>
        <w:rPr>
          <w:rFonts w:eastAsia="仿宋_GB2312"/>
          <w:bCs/>
          <w:color w:val="000000"/>
          <w:sz w:val="32"/>
          <w:szCs w:val="30"/>
        </w:rPr>
        <w:t>13.2分析灵敏度；</w:t>
      </w:r>
    </w:p>
    <w:p w14:paraId="2C63849A">
      <w:pPr>
        <w:spacing w:line="520" w:lineRule="exact"/>
        <w:ind w:firstLine="640" w:firstLineChars="200"/>
        <w:rPr>
          <w:rFonts w:eastAsia="仿宋_GB2312"/>
          <w:bCs/>
          <w:color w:val="000000"/>
          <w:sz w:val="32"/>
          <w:szCs w:val="30"/>
        </w:rPr>
      </w:pPr>
      <w:r>
        <w:rPr>
          <w:rFonts w:eastAsia="仿宋_GB2312"/>
          <w:bCs/>
          <w:color w:val="000000"/>
          <w:sz w:val="32"/>
          <w:szCs w:val="30"/>
        </w:rPr>
        <w:t>13.3准确度；</w:t>
      </w:r>
    </w:p>
    <w:p w14:paraId="3F6D04F5">
      <w:pPr>
        <w:spacing w:line="520" w:lineRule="exact"/>
        <w:ind w:firstLine="640" w:firstLineChars="200"/>
        <w:rPr>
          <w:rFonts w:eastAsia="仿宋_GB2312"/>
          <w:bCs/>
          <w:color w:val="000000"/>
          <w:sz w:val="32"/>
          <w:szCs w:val="30"/>
        </w:rPr>
      </w:pPr>
      <w:r>
        <w:rPr>
          <w:rFonts w:eastAsia="仿宋_GB2312"/>
          <w:bCs/>
          <w:color w:val="000000"/>
          <w:sz w:val="32"/>
          <w:szCs w:val="30"/>
        </w:rPr>
        <w:t>13.4精密度（重复性和批间差）；</w:t>
      </w:r>
    </w:p>
    <w:p w14:paraId="64B43FA9">
      <w:pPr>
        <w:spacing w:line="520" w:lineRule="exact"/>
        <w:ind w:firstLine="640" w:firstLineChars="200"/>
        <w:rPr>
          <w:rFonts w:eastAsia="仿宋_GB2312"/>
          <w:bCs/>
          <w:color w:val="000000"/>
          <w:sz w:val="32"/>
          <w:szCs w:val="30"/>
        </w:rPr>
      </w:pPr>
      <w:r>
        <w:rPr>
          <w:rFonts w:eastAsia="仿宋_GB2312"/>
          <w:bCs/>
          <w:color w:val="000000"/>
          <w:sz w:val="32"/>
          <w:szCs w:val="30"/>
        </w:rPr>
        <w:t>13.5线性范围；</w:t>
      </w:r>
    </w:p>
    <w:p w14:paraId="5CD89291">
      <w:pPr>
        <w:spacing w:line="520" w:lineRule="exact"/>
        <w:ind w:firstLine="640" w:firstLineChars="200"/>
        <w:rPr>
          <w:rFonts w:eastAsia="仿宋_GB2312"/>
          <w:bCs/>
          <w:color w:val="000000"/>
          <w:sz w:val="32"/>
          <w:szCs w:val="30"/>
        </w:rPr>
      </w:pPr>
      <w:r>
        <w:rPr>
          <w:rFonts w:eastAsia="仿宋_GB2312"/>
          <w:bCs/>
          <w:color w:val="000000"/>
          <w:sz w:val="32"/>
          <w:szCs w:val="30"/>
        </w:rPr>
        <w:t>13.6特异性。</w:t>
      </w:r>
    </w:p>
    <w:p w14:paraId="40667F90">
      <w:pPr>
        <w:spacing w:line="520" w:lineRule="exact"/>
        <w:ind w:firstLine="640" w:firstLineChars="200"/>
        <w:rPr>
          <w:rFonts w:eastAsia="仿宋_GB2312"/>
          <w:bCs/>
          <w:color w:val="000000"/>
          <w:sz w:val="32"/>
          <w:szCs w:val="30"/>
        </w:rPr>
      </w:pPr>
      <w:r>
        <w:rPr>
          <w:rFonts w:eastAsia="仿宋_GB2312"/>
          <w:bCs/>
          <w:color w:val="000000"/>
          <w:sz w:val="32"/>
          <w:szCs w:val="30"/>
        </w:rPr>
        <w:t>14.【注意事项】应至少包括以下内容：</w:t>
      </w:r>
    </w:p>
    <w:p w14:paraId="7F003448">
      <w:pPr>
        <w:spacing w:line="520" w:lineRule="exact"/>
        <w:ind w:firstLine="640" w:firstLineChars="200"/>
        <w:rPr>
          <w:rFonts w:eastAsia="仿宋_GB2312"/>
          <w:bCs/>
          <w:color w:val="000000"/>
          <w:sz w:val="32"/>
          <w:szCs w:val="30"/>
        </w:rPr>
      </w:pPr>
      <w:r>
        <w:rPr>
          <w:rFonts w:eastAsia="仿宋_GB2312"/>
          <w:bCs/>
          <w:color w:val="000000"/>
          <w:sz w:val="32"/>
          <w:szCs w:val="30"/>
        </w:rPr>
        <w:t>14.1本试剂盒的检测结果仅供临床参考，对患者的临床管理应结合其症状/体征、病史、其他实验室检查及治疗反应等情况综合考虑。</w:t>
      </w:r>
    </w:p>
    <w:p w14:paraId="4563C318">
      <w:pPr>
        <w:spacing w:line="520" w:lineRule="exact"/>
        <w:ind w:firstLine="640" w:firstLineChars="200"/>
        <w:rPr>
          <w:rFonts w:eastAsia="仿宋_GB2312"/>
          <w:bCs/>
          <w:color w:val="000000"/>
          <w:sz w:val="32"/>
          <w:szCs w:val="30"/>
        </w:rPr>
      </w:pPr>
      <w:r>
        <w:rPr>
          <w:rFonts w:eastAsia="仿宋_GB2312"/>
          <w:bCs/>
          <w:color w:val="000000"/>
          <w:sz w:val="32"/>
          <w:szCs w:val="30"/>
        </w:rPr>
        <w:t>14.2本试剂盒仅供体外诊断用，试剂中含有的化学成分接触人体后是否会产生不良的影响后果。</w:t>
      </w:r>
    </w:p>
    <w:p w14:paraId="68672521">
      <w:pPr>
        <w:spacing w:line="520" w:lineRule="exact"/>
        <w:ind w:firstLine="640" w:firstLineChars="200"/>
        <w:rPr>
          <w:rFonts w:eastAsia="仿宋_GB2312"/>
          <w:bCs/>
          <w:color w:val="000000"/>
          <w:sz w:val="32"/>
          <w:szCs w:val="30"/>
        </w:rPr>
      </w:pPr>
      <w:r>
        <w:rPr>
          <w:rFonts w:eastAsia="仿宋_GB2312"/>
          <w:bCs/>
          <w:color w:val="000000"/>
          <w:sz w:val="32"/>
          <w:szCs w:val="30"/>
        </w:rPr>
        <w:t>14.3采用不同方法学的试剂检测所得结果不应直接相互比较，以免造成错误的医学解释；建议实验室在发给临床医生的检测报告注明所用试剂特征。</w:t>
      </w:r>
    </w:p>
    <w:p w14:paraId="01DE90B3">
      <w:pPr>
        <w:spacing w:line="520" w:lineRule="exact"/>
        <w:ind w:firstLine="640" w:firstLineChars="200"/>
        <w:rPr>
          <w:rFonts w:eastAsia="仿宋_GB2312"/>
          <w:bCs/>
          <w:color w:val="000000"/>
          <w:sz w:val="32"/>
          <w:szCs w:val="30"/>
        </w:rPr>
      </w:pPr>
      <w:r>
        <w:rPr>
          <w:rFonts w:eastAsia="仿宋_GB2312"/>
          <w:bCs/>
          <w:color w:val="000000"/>
          <w:sz w:val="32"/>
          <w:szCs w:val="30"/>
        </w:rPr>
        <w:t>14.4有关人源组分的警告，如：试剂盒内的质控品、校准品或其他人源组分，虽已经通过了HBs-Ag、HIV1/2-Ab、HCV-Ab等项目的检测，但截至目前，没有任何一项检测可以确保绝对安全，故仍应将这些组份作为潜在传染源对待。</w:t>
      </w:r>
    </w:p>
    <w:p w14:paraId="35A93210">
      <w:pPr>
        <w:spacing w:line="520" w:lineRule="exact"/>
        <w:ind w:firstLine="640" w:firstLineChars="200"/>
        <w:rPr>
          <w:rFonts w:eastAsia="仿宋_GB2312"/>
          <w:bCs/>
          <w:color w:val="000000"/>
          <w:sz w:val="32"/>
          <w:szCs w:val="30"/>
        </w:rPr>
      </w:pPr>
      <w:r>
        <w:rPr>
          <w:rFonts w:eastAsia="仿宋_GB2312"/>
          <w:bCs/>
          <w:color w:val="000000"/>
          <w:sz w:val="32"/>
          <w:szCs w:val="30"/>
        </w:rPr>
        <w:t>14.5样本：（1）采集时间要求、与用药的先后顺序或用药后时间间隔等；（2）对所有样本和反应废弃物都应视为传染源对待。</w:t>
      </w:r>
    </w:p>
    <w:p w14:paraId="7935F541">
      <w:pPr>
        <w:spacing w:line="520" w:lineRule="exact"/>
        <w:ind w:firstLine="640" w:firstLineChars="200"/>
        <w:rPr>
          <w:rFonts w:eastAsia="仿宋_GB2312"/>
          <w:bCs/>
          <w:color w:val="000000"/>
          <w:sz w:val="32"/>
          <w:szCs w:val="30"/>
        </w:rPr>
      </w:pPr>
      <w:r>
        <w:rPr>
          <w:rFonts w:eastAsia="仿宋_GB2312"/>
          <w:bCs/>
          <w:color w:val="000000"/>
          <w:sz w:val="32"/>
          <w:szCs w:val="30"/>
        </w:rPr>
        <w:t>14.6其他有关甘油三酯测定的注意事项。</w:t>
      </w:r>
    </w:p>
    <w:p w14:paraId="5A242408">
      <w:pPr>
        <w:spacing w:line="520" w:lineRule="exact"/>
        <w:ind w:firstLine="640" w:firstLineChars="200"/>
        <w:rPr>
          <w:rFonts w:eastAsia="仿宋_GB2312"/>
          <w:bCs/>
          <w:color w:val="000000"/>
          <w:sz w:val="32"/>
          <w:szCs w:val="30"/>
        </w:rPr>
      </w:pPr>
      <w:r>
        <w:rPr>
          <w:rFonts w:eastAsia="仿宋_GB2312"/>
          <w:bCs/>
          <w:color w:val="000000"/>
          <w:sz w:val="32"/>
          <w:szCs w:val="30"/>
        </w:rPr>
        <w:t>15.【标识的解释】如有图形或符号，请解释其代表的意义。</w:t>
      </w:r>
    </w:p>
    <w:p w14:paraId="6B68EECC">
      <w:pPr>
        <w:spacing w:line="520" w:lineRule="exact"/>
        <w:ind w:firstLine="640" w:firstLineChars="200"/>
        <w:rPr>
          <w:rFonts w:eastAsia="仿宋_GB2312"/>
          <w:bCs/>
          <w:color w:val="000000"/>
          <w:sz w:val="32"/>
          <w:szCs w:val="30"/>
        </w:rPr>
      </w:pPr>
      <w:r>
        <w:rPr>
          <w:rFonts w:eastAsia="仿宋_GB2312"/>
          <w:bCs/>
          <w:color w:val="000000"/>
          <w:sz w:val="32"/>
          <w:szCs w:val="30"/>
        </w:rPr>
        <w:t>16.【参考文献】应当注明在编制说明书时所引用的参考文献。</w:t>
      </w:r>
    </w:p>
    <w:p w14:paraId="6EAD4F49">
      <w:pPr>
        <w:spacing w:line="520" w:lineRule="exact"/>
        <w:ind w:firstLine="640" w:firstLineChars="200"/>
        <w:rPr>
          <w:rFonts w:eastAsia="仿宋_GB2312"/>
          <w:bCs/>
          <w:color w:val="000000"/>
          <w:sz w:val="32"/>
          <w:szCs w:val="30"/>
        </w:rPr>
      </w:pPr>
      <w:r>
        <w:rPr>
          <w:rFonts w:eastAsia="仿宋_GB2312"/>
          <w:bCs/>
          <w:color w:val="000000"/>
          <w:sz w:val="32"/>
          <w:szCs w:val="30"/>
        </w:rPr>
        <w:t>17.【基本信息】</w:t>
      </w:r>
    </w:p>
    <w:p w14:paraId="69E8878E">
      <w:pPr>
        <w:spacing w:line="520" w:lineRule="exact"/>
        <w:ind w:firstLine="640" w:firstLineChars="200"/>
        <w:rPr>
          <w:rFonts w:eastAsia="仿宋_GB2312"/>
          <w:bCs/>
          <w:color w:val="000000"/>
          <w:sz w:val="32"/>
          <w:szCs w:val="30"/>
        </w:rPr>
      </w:pPr>
      <w:r>
        <w:rPr>
          <w:rFonts w:eastAsia="仿宋_GB2312"/>
          <w:bCs/>
          <w:color w:val="000000"/>
          <w:sz w:val="32"/>
          <w:szCs w:val="30"/>
        </w:rPr>
        <w:t>17.1境内体外诊断试剂</w:t>
      </w:r>
    </w:p>
    <w:p w14:paraId="0E716980">
      <w:pPr>
        <w:spacing w:line="520" w:lineRule="exact"/>
        <w:ind w:firstLine="640" w:firstLineChars="200"/>
        <w:rPr>
          <w:rFonts w:eastAsia="仿宋_GB2312"/>
          <w:bCs/>
          <w:color w:val="000000"/>
          <w:sz w:val="32"/>
          <w:szCs w:val="30"/>
        </w:rPr>
      </w:pPr>
      <w:r>
        <w:rPr>
          <w:rFonts w:eastAsia="仿宋_GB2312"/>
          <w:bCs/>
          <w:color w:val="000000"/>
          <w:sz w:val="32"/>
          <w:szCs w:val="30"/>
        </w:rPr>
        <w:t>17.1.1注册人与生产企业为同一企业的，按以下格式标注基本信息：</w:t>
      </w:r>
    </w:p>
    <w:p w14:paraId="34CB6F0B">
      <w:pPr>
        <w:spacing w:line="520" w:lineRule="exact"/>
        <w:ind w:firstLine="640" w:firstLineChars="200"/>
        <w:rPr>
          <w:rFonts w:eastAsia="仿宋_GB2312"/>
          <w:bCs/>
          <w:color w:val="000000"/>
          <w:sz w:val="32"/>
          <w:szCs w:val="30"/>
        </w:rPr>
      </w:pPr>
      <w:r>
        <w:rPr>
          <w:rFonts w:eastAsia="仿宋_GB2312"/>
          <w:bCs/>
          <w:color w:val="000000"/>
          <w:sz w:val="32"/>
          <w:szCs w:val="30"/>
        </w:rPr>
        <w:t>注册人/生产企业名称，住所，联系方式，售后服务单位名称，联系方式，生产地址，生产许可证编号</w:t>
      </w:r>
    </w:p>
    <w:p w14:paraId="4D9AD7D7">
      <w:pPr>
        <w:spacing w:line="520" w:lineRule="exact"/>
        <w:ind w:firstLine="640" w:firstLineChars="200"/>
        <w:rPr>
          <w:rFonts w:eastAsia="仿宋_GB2312"/>
          <w:bCs/>
          <w:color w:val="000000"/>
          <w:sz w:val="32"/>
          <w:szCs w:val="30"/>
        </w:rPr>
      </w:pPr>
      <w:r>
        <w:rPr>
          <w:rFonts w:eastAsia="仿宋_GB2312"/>
          <w:bCs/>
          <w:color w:val="000000"/>
          <w:sz w:val="32"/>
          <w:szCs w:val="30"/>
        </w:rPr>
        <w:t>17.1.2委托生产的按照以下格式标注基本信息：</w:t>
      </w:r>
    </w:p>
    <w:p w14:paraId="77581583">
      <w:pPr>
        <w:spacing w:line="520" w:lineRule="exact"/>
        <w:ind w:firstLine="640" w:firstLineChars="200"/>
        <w:rPr>
          <w:rFonts w:eastAsia="仿宋_GB2312"/>
          <w:bCs/>
          <w:color w:val="000000"/>
          <w:sz w:val="32"/>
          <w:szCs w:val="30"/>
        </w:rPr>
      </w:pPr>
      <w:r>
        <w:rPr>
          <w:rFonts w:eastAsia="仿宋_GB2312"/>
          <w:bCs/>
          <w:color w:val="000000"/>
          <w:sz w:val="32"/>
          <w:szCs w:val="30"/>
        </w:rPr>
        <w:t>注册人名称，住所，联系方式，售后服务单位名称，联系方式，受托企业的名称，住所，生产地址，生产许可证编号</w:t>
      </w:r>
    </w:p>
    <w:p w14:paraId="4B325E5E">
      <w:pPr>
        <w:spacing w:line="520" w:lineRule="exact"/>
        <w:ind w:firstLine="640" w:firstLineChars="200"/>
        <w:rPr>
          <w:rFonts w:eastAsia="仿宋_GB2312"/>
          <w:bCs/>
          <w:color w:val="000000"/>
          <w:sz w:val="32"/>
          <w:szCs w:val="30"/>
        </w:rPr>
      </w:pPr>
      <w:r>
        <w:rPr>
          <w:rFonts w:eastAsia="仿宋_GB2312"/>
          <w:bCs/>
          <w:color w:val="000000"/>
          <w:sz w:val="32"/>
          <w:szCs w:val="30"/>
        </w:rPr>
        <w:t>17.2进口体外诊断试剂</w:t>
      </w:r>
    </w:p>
    <w:p w14:paraId="474589BA">
      <w:pPr>
        <w:spacing w:line="520" w:lineRule="exact"/>
        <w:ind w:firstLine="640" w:firstLineChars="200"/>
        <w:rPr>
          <w:rFonts w:eastAsia="仿宋_GB2312"/>
          <w:bCs/>
          <w:color w:val="000000"/>
          <w:sz w:val="32"/>
          <w:szCs w:val="30"/>
        </w:rPr>
      </w:pPr>
      <w:r>
        <w:rPr>
          <w:rFonts w:eastAsia="仿宋_GB2312"/>
          <w:bCs/>
          <w:color w:val="000000"/>
          <w:sz w:val="32"/>
          <w:szCs w:val="30"/>
        </w:rPr>
        <w:t>按照以下格式标注基本信息：</w:t>
      </w:r>
    </w:p>
    <w:p w14:paraId="445839B2">
      <w:pPr>
        <w:spacing w:line="520" w:lineRule="exact"/>
        <w:ind w:firstLine="640" w:firstLineChars="200"/>
        <w:rPr>
          <w:rFonts w:eastAsia="仿宋_GB2312"/>
          <w:bCs/>
          <w:color w:val="000000"/>
          <w:sz w:val="32"/>
          <w:szCs w:val="30"/>
        </w:rPr>
      </w:pPr>
      <w:r>
        <w:rPr>
          <w:rFonts w:eastAsia="仿宋_GB2312"/>
          <w:bCs/>
          <w:color w:val="000000"/>
          <w:sz w:val="32"/>
          <w:szCs w:val="30"/>
        </w:rPr>
        <w:t>注册人/生产企业名称，住所，生产地址，联系方式，售后服务单位名称，联系方式，代理人的名称，住所，联系方式</w:t>
      </w:r>
    </w:p>
    <w:p w14:paraId="3561564E">
      <w:pPr>
        <w:spacing w:line="520" w:lineRule="exact"/>
        <w:ind w:firstLine="640" w:firstLineChars="200"/>
        <w:rPr>
          <w:rFonts w:eastAsia="仿宋_GB2312"/>
          <w:bCs/>
          <w:color w:val="000000"/>
          <w:sz w:val="32"/>
          <w:szCs w:val="30"/>
        </w:rPr>
      </w:pPr>
      <w:r>
        <w:rPr>
          <w:rFonts w:eastAsia="仿宋_GB2312"/>
          <w:bCs/>
          <w:color w:val="000000"/>
          <w:sz w:val="32"/>
          <w:szCs w:val="30"/>
        </w:rPr>
        <w:t>18.【医疗器械注册证编号/产品技术要求编号】应当写明医疗器械注册证编号/产品技术要求编号。</w:t>
      </w:r>
    </w:p>
    <w:p w14:paraId="02A50B5E">
      <w:pPr>
        <w:spacing w:line="520" w:lineRule="exact"/>
        <w:ind w:firstLine="640" w:firstLineChars="200"/>
        <w:rPr>
          <w:rFonts w:eastAsia="仿宋_GB2312"/>
          <w:bCs/>
          <w:color w:val="000000"/>
          <w:sz w:val="32"/>
          <w:szCs w:val="30"/>
        </w:rPr>
      </w:pPr>
      <w:r>
        <w:rPr>
          <w:rFonts w:eastAsia="仿宋_GB2312"/>
          <w:bCs/>
          <w:color w:val="000000"/>
          <w:sz w:val="32"/>
          <w:szCs w:val="30"/>
        </w:rPr>
        <w:t>19.【说明书核准日期及修改日期】应注明该产品说明书的核准日期。如曾进行过说明书的变更申请，还应该同时注明说明书的修改日期。</w:t>
      </w:r>
    </w:p>
    <w:p w14:paraId="296D1863">
      <w:pPr>
        <w:spacing w:line="520" w:lineRule="exact"/>
        <w:ind w:firstLine="640" w:firstLineChars="200"/>
        <w:outlineLvl w:val="0"/>
        <w:rPr>
          <w:rFonts w:eastAsia="黑体"/>
          <w:sz w:val="32"/>
          <w:szCs w:val="30"/>
        </w:rPr>
      </w:pPr>
      <w:r>
        <w:rPr>
          <w:rFonts w:eastAsia="黑体"/>
          <w:sz w:val="32"/>
          <w:szCs w:val="30"/>
        </w:rPr>
        <w:t>三、参考文献</w:t>
      </w:r>
    </w:p>
    <w:p w14:paraId="20254922">
      <w:pPr>
        <w:spacing w:line="520" w:lineRule="exact"/>
        <w:ind w:firstLine="640" w:firstLineChars="200"/>
        <w:rPr>
          <w:rFonts w:eastAsia="仿宋_GB2312"/>
          <w:bCs/>
          <w:color w:val="000000"/>
          <w:sz w:val="32"/>
          <w:szCs w:val="30"/>
        </w:rPr>
      </w:pPr>
      <w:r>
        <w:rPr>
          <w:rFonts w:eastAsia="仿宋_GB2312"/>
          <w:bCs/>
          <w:color w:val="000000"/>
          <w:sz w:val="32"/>
          <w:szCs w:val="30"/>
        </w:rPr>
        <w:t>（一）《体外诊断试剂注册管理办法》（国家食品药品监督管理总局令第5号）</w:t>
      </w:r>
    </w:p>
    <w:p w14:paraId="70B78C29">
      <w:pPr>
        <w:spacing w:line="520" w:lineRule="exact"/>
        <w:ind w:firstLine="640" w:firstLineChars="200"/>
        <w:rPr>
          <w:rFonts w:eastAsia="仿宋_GB2312"/>
          <w:bCs/>
          <w:color w:val="000000"/>
          <w:sz w:val="32"/>
          <w:szCs w:val="30"/>
        </w:rPr>
      </w:pPr>
      <w:r>
        <w:rPr>
          <w:rFonts w:eastAsia="仿宋_GB2312"/>
          <w:bCs/>
          <w:color w:val="000000"/>
          <w:sz w:val="32"/>
          <w:szCs w:val="30"/>
        </w:rPr>
        <w:t>（二）《医疗器械说明书和标签管理规定》（国家食品药品监督管理总局令第6号）</w:t>
      </w:r>
    </w:p>
    <w:p w14:paraId="4B32F212">
      <w:pPr>
        <w:spacing w:line="520" w:lineRule="exact"/>
        <w:ind w:firstLine="640" w:firstLineChars="200"/>
        <w:rPr>
          <w:rFonts w:eastAsia="仿宋_GB2312"/>
          <w:bCs/>
          <w:color w:val="000000"/>
          <w:sz w:val="32"/>
          <w:szCs w:val="30"/>
        </w:rPr>
      </w:pPr>
      <w:r>
        <w:rPr>
          <w:rFonts w:eastAsia="仿宋_GB2312"/>
          <w:bCs/>
          <w:color w:val="000000"/>
          <w:sz w:val="32"/>
          <w:szCs w:val="30"/>
        </w:rPr>
        <w:t>（三）《关于发布医疗器械产品技术要求编写指导原则的通告》（国家食品药品监督管理总局通告2014年第9号）</w:t>
      </w:r>
    </w:p>
    <w:p w14:paraId="6D4CBDDE">
      <w:pPr>
        <w:spacing w:line="520" w:lineRule="exact"/>
        <w:ind w:firstLine="640" w:firstLineChars="200"/>
        <w:rPr>
          <w:rFonts w:eastAsia="仿宋_GB2312"/>
          <w:bCs/>
          <w:color w:val="000000"/>
          <w:sz w:val="32"/>
          <w:szCs w:val="30"/>
        </w:rPr>
      </w:pPr>
      <w:r>
        <w:rPr>
          <w:rFonts w:eastAsia="仿宋_GB2312"/>
          <w:bCs/>
          <w:color w:val="000000"/>
          <w:sz w:val="32"/>
          <w:szCs w:val="30"/>
        </w:rPr>
        <w:t>（四）《关于发布体外诊断试剂临床试验技术指导原则的那广告》（国家食品药品监督管理总局通告2014年第16号）</w:t>
      </w:r>
    </w:p>
    <w:p w14:paraId="0DCC1BE0">
      <w:pPr>
        <w:spacing w:line="520" w:lineRule="exact"/>
        <w:ind w:firstLine="640" w:firstLineChars="200"/>
        <w:rPr>
          <w:rFonts w:eastAsia="仿宋_GB2312"/>
          <w:bCs/>
          <w:color w:val="000000"/>
          <w:sz w:val="32"/>
          <w:szCs w:val="30"/>
        </w:rPr>
      </w:pPr>
      <w:r>
        <w:rPr>
          <w:rFonts w:eastAsia="仿宋_GB2312"/>
          <w:bCs/>
          <w:color w:val="000000"/>
          <w:sz w:val="32"/>
          <w:szCs w:val="30"/>
        </w:rPr>
        <w:t>（五）《关于发布体外诊断试剂说明书编写指导原则的通告》（国家食品药品监督管理总局通告2014年第17号）</w:t>
      </w:r>
    </w:p>
    <w:p w14:paraId="78193667">
      <w:pPr>
        <w:spacing w:line="520" w:lineRule="exact"/>
        <w:ind w:firstLine="640" w:firstLineChars="200"/>
        <w:rPr>
          <w:rFonts w:eastAsia="仿宋_GB2312"/>
          <w:bCs/>
          <w:color w:val="000000"/>
          <w:sz w:val="32"/>
          <w:szCs w:val="30"/>
        </w:rPr>
      </w:pPr>
      <w:r>
        <w:rPr>
          <w:rFonts w:eastAsia="仿宋_GB2312"/>
          <w:bCs/>
          <w:color w:val="000000"/>
          <w:sz w:val="32"/>
          <w:szCs w:val="30"/>
        </w:rPr>
        <w:t>（六）《关于公布体外诊断试剂注册申报资料要求和批准证明文件格式的公告》（国家食品药品监督管理总局公告2014年第44号）</w:t>
      </w:r>
    </w:p>
    <w:p w14:paraId="4F64866E">
      <w:pPr>
        <w:spacing w:line="520" w:lineRule="exact"/>
        <w:ind w:firstLine="640" w:firstLineChars="200"/>
        <w:rPr>
          <w:rFonts w:eastAsia="仿宋_GB2312"/>
          <w:bCs/>
          <w:color w:val="000000"/>
          <w:sz w:val="32"/>
          <w:szCs w:val="30"/>
        </w:rPr>
      </w:pPr>
      <w:r>
        <w:rPr>
          <w:rFonts w:eastAsia="仿宋_GB2312"/>
          <w:bCs/>
          <w:color w:val="000000"/>
          <w:sz w:val="32"/>
          <w:szCs w:val="30"/>
        </w:rPr>
        <w:t>（七）《关于含有牛、羊源性材料医疗器械注册有关事宜的公告》（国食药监械〔2006〕407号）</w:t>
      </w:r>
    </w:p>
    <w:p w14:paraId="7EF3BB40">
      <w:pPr>
        <w:spacing w:line="520" w:lineRule="exact"/>
        <w:ind w:firstLine="640" w:firstLineChars="200"/>
        <w:rPr>
          <w:rFonts w:eastAsia="仿宋_GB2312"/>
          <w:bCs/>
          <w:color w:val="000000"/>
          <w:sz w:val="32"/>
          <w:szCs w:val="30"/>
        </w:rPr>
      </w:pPr>
      <w:r>
        <w:rPr>
          <w:rFonts w:eastAsia="仿宋_GB2312"/>
          <w:bCs/>
          <w:color w:val="000000"/>
          <w:sz w:val="32"/>
          <w:szCs w:val="30"/>
        </w:rPr>
        <w:t>（八）国家食品药品监督管理部门发布的其他规范性文件</w:t>
      </w:r>
    </w:p>
    <w:p w14:paraId="0942548B">
      <w:pPr>
        <w:spacing w:line="520" w:lineRule="exact"/>
        <w:ind w:firstLine="640" w:firstLineChars="200"/>
        <w:rPr>
          <w:rFonts w:eastAsia="仿宋_GB2312"/>
          <w:bCs/>
          <w:color w:val="000000"/>
          <w:sz w:val="32"/>
          <w:szCs w:val="30"/>
        </w:rPr>
      </w:pPr>
      <w:r>
        <w:rPr>
          <w:rFonts w:eastAsia="仿宋_GB2312"/>
          <w:bCs/>
          <w:color w:val="000000"/>
          <w:sz w:val="32"/>
          <w:szCs w:val="30"/>
        </w:rPr>
        <w:t xml:space="preserve">（九）GB/T 21415—2008体外诊断医疗器械 生物样品中量的测量 校准品和控制物质赋值的计量学溯源性 </w:t>
      </w:r>
    </w:p>
    <w:p w14:paraId="1DEF52DD">
      <w:pPr>
        <w:spacing w:line="520" w:lineRule="exact"/>
        <w:ind w:firstLine="640" w:firstLineChars="200"/>
        <w:rPr>
          <w:rFonts w:eastAsia="仿宋_GB2312"/>
          <w:bCs/>
          <w:color w:val="000000"/>
          <w:sz w:val="32"/>
          <w:szCs w:val="30"/>
        </w:rPr>
      </w:pPr>
      <w:r>
        <w:rPr>
          <w:rFonts w:eastAsia="仿宋_GB2312"/>
          <w:bCs/>
          <w:color w:val="000000"/>
          <w:sz w:val="32"/>
          <w:szCs w:val="30"/>
        </w:rPr>
        <w:t xml:space="preserve">（十）GB/T 26124-2011临床化学体外诊断试剂（盒） </w:t>
      </w:r>
    </w:p>
    <w:p w14:paraId="436F7CC7">
      <w:pPr>
        <w:spacing w:line="520" w:lineRule="exact"/>
        <w:ind w:firstLine="640" w:firstLineChars="200"/>
        <w:rPr>
          <w:rFonts w:eastAsia="仿宋_GB2312"/>
          <w:bCs/>
          <w:color w:val="000000"/>
          <w:sz w:val="32"/>
          <w:szCs w:val="30"/>
        </w:rPr>
      </w:pPr>
      <w:r>
        <w:rPr>
          <w:rFonts w:eastAsia="仿宋_GB2312"/>
          <w:bCs/>
          <w:color w:val="000000"/>
          <w:sz w:val="32"/>
          <w:szCs w:val="30"/>
        </w:rPr>
        <w:t>（十一）YY/T 0316—2008医疗器械 风险管理对医疗器械的应用</w:t>
      </w:r>
    </w:p>
    <w:p w14:paraId="164AB3D2">
      <w:pPr>
        <w:spacing w:line="520" w:lineRule="exact"/>
        <w:ind w:firstLine="640" w:firstLineChars="200"/>
        <w:rPr>
          <w:rFonts w:eastAsia="仿宋_GB2312"/>
          <w:bCs/>
          <w:color w:val="000000"/>
          <w:sz w:val="32"/>
          <w:szCs w:val="30"/>
        </w:rPr>
      </w:pPr>
      <w:r>
        <w:rPr>
          <w:rFonts w:eastAsia="仿宋_GB2312"/>
          <w:bCs/>
          <w:color w:val="000000"/>
          <w:sz w:val="32"/>
          <w:szCs w:val="30"/>
        </w:rPr>
        <w:t>（十二）YY/T 1199—2013甘油三酯测定试剂盒（酶法）</w:t>
      </w:r>
    </w:p>
    <w:p w14:paraId="4FB849C6">
      <w:pPr>
        <w:autoSpaceDE w:val="0"/>
        <w:autoSpaceDN w:val="0"/>
        <w:spacing w:line="520" w:lineRule="exact"/>
        <w:jc w:val="center"/>
        <w:rPr>
          <w:rFonts w:ascii="仿宋_GB2312" w:hAnsi="仿宋_GB2312" w:eastAsia="仿宋_GB2312"/>
          <w:sz w:val="32"/>
          <w:szCs w:val="28"/>
        </w:rPr>
      </w:pPr>
      <w:r>
        <w:rPr>
          <w:rFonts w:eastAsia="仿宋_GB2312"/>
          <w:sz w:val="32"/>
          <w:szCs w:val="28"/>
        </w:rPr>
        <w:br w:type="page"/>
      </w:r>
    </w:p>
    <w:p w14:paraId="1EB5B9D8">
      <w:pPr>
        <w:autoSpaceDE w:val="0"/>
        <w:autoSpaceDN w:val="0"/>
        <w:spacing w:line="52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甘油三酯测定试剂盒注册技术审查指导原则编写说明</w:t>
      </w:r>
    </w:p>
    <w:p w14:paraId="44AF8A84">
      <w:pPr>
        <w:spacing w:line="540" w:lineRule="exact"/>
        <w:ind w:firstLine="880" w:firstLineChars="200"/>
        <w:rPr>
          <w:rFonts w:ascii="黑体" w:hAnsi="宋体" w:eastAsia="黑体"/>
          <w:sz w:val="44"/>
          <w:szCs w:val="44"/>
        </w:rPr>
      </w:pPr>
    </w:p>
    <w:p w14:paraId="5255EEBB">
      <w:pPr>
        <w:numPr>
          <w:ilvl w:val="0"/>
          <w:numId w:val="1"/>
        </w:numPr>
        <w:spacing w:line="520" w:lineRule="exact"/>
        <w:outlineLvl w:val="0"/>
        <w:rPr>
          <w:rFonts w:eastAsia="黑体"/>
          <w:sz w:val="32"/>
          <w:szCs w:val="30"/>
        </w:rPr>
      </w:pPr>
      <w:r>
        <w:rPr>
          <w:rFonts w:eastAsia="黑体"/>
          <w:sz w:val="32"/>
          <w:szCs w:val="30"/>
        </w:rPr>
        <w:t>指导原则编写目的</w:t>
      </w:r>
    </w:p>
    <w:p w14:paraId="3985DC13">
      <w:pPr>
        <w:spacing w:line="520" w:lineRule="exact"/>
        <w:ind w:firstLine="640" w:firstLineChars="200"/>
        <w:rPr>
          <w:rFonts w:eastAsia="仿宋_GB2312"/>
          <w:bCs/>
          <w:color w:val="000000"/>
          <w:sz w:val="32"/>
          <w:szCs w:val="30"/>
        </w:rPr>
      </w:pPr>
      <w:r>
        <w:rPr>
          <w:rFonts w:eastAsia="仿宋_GB2312"/>
          <w:bCs/>
          <w:color w:val="000000"/>
          <w:sz w:val="32"/>
          <w:szCs w:val="30"/>
        </w:rPr>
        <w:t>编制本指导原则旨在指导和规范注册申请人对甘油三酯（Triglyceride，TG）测定试剂盒注册申报资料的准备及撰写工作，同时帮助审查人员理解和掌握该类产品原理、组成、性能、预期用途等内容，把握技术审评工作基本要求和尺度，对产品安全性、有效性作出系统评价。</w:t>
      </w:r>
    </w:p>
    <w:p w14:paraId="4F3DE637">
      <w:pPr>
        <w:spacing w:line="520" w:lineRule="exact"/>
        <w:ind w:firstLine="640" w:firstLineChars="200"/>
        <w:rPr>
          <w:rFonts w:eastAsia="仿宋_GB2312"/>
          <w:bCs/>
          <w:color w:val="000000"/>
          <w:sz w:val="32"/>
          <w:szCs w:val="30"/>
        </w:rPr>
      </w:pPr>
      <w:r>
        <w:rPr>
          <w:rFonts w:eastAsia="仿宋_GB2312"/>
          <w:bCs/>
          <w:color w:val="000000"/>
          <w:sz w:val="32"/>
          <w:szCs w:val="30"/>
        </w:rPr>
        <w:t>由于甘油三酯测定试剂盒产品仍在不断发展，审查人员仍需从风险分析的角度认真确定申报产品的预期用途与风险管理是否相当；由于我国医疗器械法规框架仍在构建中，审查人员仍需密切关注相关法规、标准及最新进展，关注审评产品实际组成、原理、预期用途等方面的个性特征，以保证产品审评符合现行法规安全、有效的要求。</w:t>
      </w:r>
    </w:p>
    <w:p w14:paraId="1F3EA5DD">
      <w:pPr>
        <w:spacing w:line="520" w:lineRule="exact"/>
        <w:ind w:firstLine="633" w:firstLineChars="198"/>
        <w:outlineLvl w:val="0"/>
        <w:rPr>
          <w:rFonts w:eastAsia="黑体"/>
          <w:sz w:val="32"/>
          <w:szCs w:val="30"/>
        </w:rPr>
      </w:pPr>
      <w:r>
        <w:rPr>
          <w:rFonts w:eastAsia="黑体"/>
          <w:sz w:val="32"/>
          <w:szCs w:val="30"/>
        </w:rPr>
        <w:t>二、指导原则部分内容说明</w:t>
      </w:r>
    </w:p>
    <w:p w14:paraId="258D842A">
      <w:pPr>
        <w:spacing w:line="520" w:lineRule="exact"/>
        <w:ind w:firstLine="640" w:firstLineChars="200"/>
        <w:rPr>
          <w:rFonts w:eastAsia="仿宋_GB2312"/>
          <w:bCs/>
          <w:color w:val="000000"/>
          <w:sz w:val="32"/>
          <w:szCs w:val="30"/>
        </w:rPr>
      </w:pPr>
      <w:r>
        <w:rPr>
          <w:rFonts w:eastAsia="仿宋_GB2312"/>
          <w:bCs/>
          <w:color w:val="000000"/>
          <w:sz w:val="32"/>
          <w:szCs w:val="30"/>
        </w:rPr>
        <w:t>（一）指导原则主要根据体外诊断试剂产品注册申报资料的要求，借鉴国家食品药品监督管理部门已发布的相关产品注册技术审查指导原则的体例进行编写，以便于注册技术审评人员理解。</w:t>
      </w:r>
    </w:p>
    <w:p w14:paraId="41AD2FE2">
      <w:pPr>
        <w:spacing w:line="520" w:lineRule="exact"/>
        <w:ind w:firstLine="640" w:firstLineChars="200"/>
        <w:rPr>
          <w:rFonts w:eastAsia="仿宋_GB2312"/>
          <w:bCs/>
          <w:color w:val="000000"/>
          <w:sz w:val="32"/>
          <w:szCs w:val="30"/>
        </w:rPr>
      </w:pPr>
      <w:r>
        <w:rPr>
          <w:rFonts w:eastAsia="仿宋_GB2312"/>
          <w:bCs/>
          <w:color w:val="000000"/>
          <w:sz w:val="32"/>
          <w:szCs w:val="30"/>
        </w:rPr>
        <w:t>（二）产品应适用相关标准中给出了现行有效的国家标准、行业标准（包括产品标准、基础标准）。</w:t>
      </w:r>
    </w:p>
    <w:p w14:paraId="44075FE0">
      <w:pPr>
        <w:spacing w:line="520" w:lineRule="exact"/>
        <w:ind w:firstLine="640" w:firstLineChars="200"/>
        <w:rPr>
          <w:rFonts w:eastAsia="仿宋_GB2312"/>
          <w:bCs/>
          <w:color w:val="000000"/>
          <w:sz w:val="32"/>
          <w:szCs w:val="30"/>
        </w:rPr>
      </w:pPr>
      <w:r>
        <w:rPr>
          <w:rFonts w:eastAsia="仿宋_GB2312"/>
          <w:bCs/>
          <w:color w:val="000000"/>
          <w:sz w:val="32"/>
          <w:szCs w:val="30"/>
        </w:rPr>
        <w:t>（三）产品的主要性能指标中给出了产品需要考虑的各个方面，主要提出共性要求，具体量化指标需要参照相关的国家标准、行业标准和生产商技术能力予以确定。</w:t>
      </w:r>
    </w:p>
    <w:p w14:paraId="60FAE36D">
      <w:pPr>
        <w:spacing w:line="520" w:lineRule="exact"/>
        <w:ind w:firstLine="640" w:firstLineChars="200"/>
        <w:rPr>
          <w:rFonts w:eastAsia="仿宋_GB2312"/>
          <w:bCs/>
          <w:color w:val="000000"/>
          <w:sz w:val="32"/>
          <w:szCs w:val="30"/>
        </w:rPr>
      </w:pPr>
      <w:r>
        <w:rPr>
          <w:rFonts w:eastAsia="仿宋_GB2312"/>
          <w:bCs/>
          <w:color w:val="000000"/>
          <w:sz w:val="32"/>
          <w:szCs w:val="30"/>
        </w:rPr>
        <w:t>（四）关于线性偏差以及准确度偏差说明：考虑到，如技术要求中线性偏差以及准确度（比对试验）偏差均采用相对偏差进行表述，当对线性范围中某一极低值样本进行线性范围以及准确度（比对试验）试验时，其试验结果采用绝对偏差符合申请人的规定更为合理。因此，本指导原则建议企业可对产品线性偏差以及准确度（比对试验）偏差进行分段要求，分别采用绝对偏差和相对偏差进行表述。</w:t>
      </w:r>
    </w:p>
    <w:p w14:paraId="47EF0927">
      <w:pPr>
        <w:spacing w:line="520" w:lineRule="exact"/>
        <w:ind w:firstLine="640" w:firstLineChars="200"/>
        <w:rPr>
          <w:rFonts w:eastAsia="仿宋_GB2312"/>
          <w:bCs/>
          <w:color w:val="000000"/>
          <w:sz w:val="32"/>
          <w:szCs w:val="30"/>
        </w:rPr>
      </w:pPr>
      <w:r>
        <w:rPr>
          <w:rFonts w:eastAsia="仿宋_GB2312"/>
          <w:bCs/>
          <w:color w:val="000000"/>
          <w:sz w:val="32"/>
          <w:szCs w:val="30"/>
        </w:rPr>
        <w:t>（五）关于产品技术要求中分析灵敏度描述的说明：行业标准YY/T 1199—2013中分析灵敏度指的是产品功能灵敏度，而国家标准GB/T 26124—2011中分析灵敏度，指的是产品校准曲线斜率。鉴于甘油三酯测定试剂盒功能灵敏度指标目前并没有实际临床意义，本指导原则中分析灵敏度要求采用国家标准GB/T 26124—2011中校准曲线斜率的描述。</w:t>
      </w:r>
    </w:p>
    <w:p w14:paraId="23BF497F">
      <w:pPr>
        <w:spacing w:line="520" w:lineRule="exact"/>
        <w:ind w:firstLine="640" w:firstLineChars="200"/>
        <w:rPr>
          <w:rFonts w:eastAsia="仿宋_GB2312"/>
          <w:bCs/>
          <w:color w:val="000000"/>
          <w:sz w:val="32"/>
          <w:szCs w:val="30"/>
        </w:rPr>
      </w:pPr>
      <w:r>
        <w:rPr>
          <w:rFonts w:eastAsia="仿宋_GB2312"/>
          <w:bCs/>
          <w:color w:val="000000"/>
          <w:sz w:val="32"/>
          <w:szCs w:val="30"/>
        </w:rPr>
        <w:t>（六）关于参考区间的验证资料中对健康个体至少120例的说明：此例数的规定，结合已发布产品技术审查指导原则，并参考《WS/T 402—2012临床实验室检验项目参考区间的制定》以及《C28-A2 如何确定临床检验的参考区间：批准指南（2000）》。</w:t>
      </w:r>
    </w:p>
    <w:p w14:paraId="2511BA0E">
      <w:pPr>
        <w:spacing w:line="520" w:lineRule="exact"/>
        <w:ind w:firstLine="640" w:firstLineChars="200"/>
        <w:rPr>
          <w:rFonts w:eastAsia="仿宋_GB2312"/>
          <w:bCs/>
          <w:color w:val="000000"/>
          <w:sz w:val="32"/>
          <w:szCs w:val="30"/>
        </w:rPr>
      </w:pPr>
      <w:r>
        <w:rPr>
          <w:rFonts w:eastAsia="仿宋_GB2312"/>
          <w:bCs/>
          <w:color w:val="000000"/>
          <w:sz w:val="32"/>
          <w:szCs w:val="30"/>
        </w:rPr>
        <w:t>（七）关于临床试验“总体样本数不少于200例，异常值样本数不少于80例”的说明：参照国家局已发布实施的缺血修饰白蛋白、肌酸激酶、碱性磷酸酶产品注册技术指导原则。</w:t>
      </w:r>
    </w:p>
    <w:p w14:paraId="498FD533">
      <w:pPr>
        <w:spacing w:line="520" w:lineRule="exact"/>
        <w:ind w:firstLine="640" w:firstLineChars="200"/>
        <w:rPr>
          <w:rFonts w:eastAsia="仿宋_GB2312"/>
          <w:bCs/>
          <w:color w:val="000000"/>
          <w:sz w:val="32"/>
          <w:szCs w:val="30"/>
        </w:rPr>
      </w:pPr>
      <w:r>
        <w:rPr>
          <w:rFonts w:eastAsia="仿宋_GB2312"/>
          <w:bCs/>
          <w:color w:val="000000"/>
          <w:sz w:val="32"/>
          <w:szCs w:val="30"/>
        </w:rPr>
        <w:t>（八）关于综述资料、产品说明书中有关与甘油三酯检测相关的临床适应症背景的说明：临床意义的描述参考自《全国临床检验操作规程（第4版）》。</w:t>
      </w:r>
    </w:p>
    <w:p w14:paraId="1E095BF2">
      <w:pPr>
        <w:spacing w:line="520" w:lineRule="exact"/>
        <w:ind w:firstLine="633" w:firstLineChars="198"/>
        <w:outlineLvl w:val="0"/>
        <w:rPr>
          <w:rFonts w:eastAsia="黑体"/>
          <w:sz w:val="32"/>
          <w:szCs w:val="30"/>
        </w:rPr>
      </w:pPr>
      <w:r>
        <w:rPr>
          <w:rFonts w:eastAsia="黑体"/>
          <w:sz w:val="32"/>
          <w:szCs w:val="30"/>
        </w:rPr>
        <w:t>三、指导原则编写单位和人员</w:t>
      </w:r>
    </w:p>
    <w:p w14:paraId="7545EDCC">
      <w:pPr>
        <w:spacing w:line="520" w:lineRule="exact"/>
        <w:ind w:firstLine="640" w:firstLineChars="200"/>
        <w:rPr>
          <w:rFonts w:eastAsia="仿宋"/>
          <w:sz w:val="32"/>
          <w:szCs w:val="28"/>
        </w:rPr>
      </w:pPr>
      <w:r>
        <w:rPr>
          <w:rFonts w:eastAsia="仿宋_GB2312"/>
          <w:bCs/>
          <w:color w:val="000000"/>
          <w:sz w:val="32"/>
          <w:szCs w:val="30"/>
        </w:rPr>
        <w:t>本指导原则编写人员由浙江省医疗器械技术审评人员、行政审批人员、检验和临床专家、产品专业厂家代表等共同组成。</w:t>
      </w:r>
    </w:p>
    <w:p w14:paraId="5E8548A6"/>
    <w:p w14:paraId="1C683F80">
      <w:pPr>
        <w:spacing w:line="520" w:lineRule="exact"/>
        <w:rPr>
          <w:rFonts w:hint="eastAsia" w:eastAsia="宋体"/>
          <w:lang w:eastAsia="zh-CN"/>
        </w:rPr>
      </w:pPr>
    </w:p>
    <w:p w14:paraId="5C03A718">
      <w:pPr>
        <w:spacing w:line="520" w:lineRule="exact"/>
        <w:jc w:val="center"/>
        <w:rPr>
          <w:rFonts w:hint="eastAsia" w:eastAsia="宋体"/>
          <w:lang w:eastAsia="zh-CN"/>
        </w:rPr>
      </w:pPr>
    </w:p>
    <w:p w14:paraId="38C70C71">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小标宋">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6744"/>
    <w:multiLevelType w:val="multilevel"/>
    <w:tmpl w:val="51836744"/>
    <w:lvl w:ilvl="0" w:tentative="0">
      <w:start w:val="1"/>
      <w:numFmt w:val="japaneseCounting"/>
      <w:lvlText w:val="%1、"/>
      <w:lvlJc w:val="left"/>
      <w:pPr>
        <w:ind w:left="1354" w:hanging="720"/>
      </w:pPr>
      <w:rPr>
        <w:rFonts w:hint="default"/>
      </w:rPr>
    </w:lvl>
    <w:lvl w:ilvl="1" w:tentative="0">
      <w:start w:val="1"/>
      <w:numFmt w:val="lowerLetter"/>
      <w:lvlText w:val="%2)"/>
      <w:lvlJc w:val="left"/>
      <w:pPr>
        <w:ind w:left="1474" w:hanging="420"/>
      </w:pPr>
    </w:lvl>
    <w:lvl w:ilvl="2" w:tentative="0">
      <w:start w:val="1"/>
      <w:numFmt w:val="lowerRoman"/>
      <w:lvlText w:val="%3."/>
      <w:lvlJc w:val="right"/>
      <w:pPr>
        <w:ind w:left="1894" w:hanging="420"/>
      </w:pPr>
    </w:lvl>
    <w:lvl w:ilvl="3" w:tentative="0">
      <w:start w:val="1"/>
      <w:numFmt w:val="decimal"/>
      <w:lvlText w:val="%4."/>
      <w:lvlJc w:val="left"/>
      <w:pPr>
        <w:ind w:left="2314" w:hanging="420"/>
      </w:pPr>
    </w:lvl>
    <w:lvl w:ilvl="4" w:tentative="0">
      <w:start w:val="1"/>
      <w:numFmt w:val="lowerLetter"/>
      <w:lvlText w:val="%5)"/>
      <w:lvlJc w:val="left"/>
      <w:pPr>
        <w:ind w:left="2734" w:hanging="420"/>
      </w:pPr>
    </w:lvl>
    <w:lvl w:ilvl="5" w:tentative="0">
      <w:start w:val="1"/>
      <w:numFmt w:val="lowerRoman"/>
      <w:lvlText w:val="%6."/>
      <w:lvlJc w:val="right"/>
      <w:pPr>
        <w:ind w:left="3154" w:hanging="420"/>
      </w:pPr>
    </w:lvl>
    <w:lvl w:ilvl="6" w:tentative="0">
      <w:start w:val="1"/>
      <w:numFmt w:val="decimal"/>
      <w:lvlText w:val="%7."/>
      <w:lvlJc w:val="left"/>
      <w:pPr>
        <w:ind w:left="3574" w:hanging="420"/>
      </w:pPr>
    </w:lvl>
    <w:lvl w:ilvl="7" w:tentative="0">
      <w:start w:val="1"/>
      <w:numFmt w:val="lowerLetter"/>
      <w:lvlText w:val="%8)"/>
      <w:lvlJc w:val="left"/>
      <w:pPr>
        <w:ind w:left="3994" w:hanging="420"/>
      </w:pPr>
    </w:lvl>
    <w:lvl w:ilvl="8" w:tentative="0">
      <w:start w:val="1"/>
      <w:numFmt w:val="lowerRoman"/>
      <w:lvlText w:val="%9."/>
      <w:lvlJc w:val="right"/>
      <w:pPr>
        <w:ind w:left="44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1411A"/>
    <w:rsid w:val="001F2344"/>
    <w:rsid w:val="009C167A"/>
    <w:rsid w:val="00A63CDA"/>
    <w:rsid w:val="00B1411A"/>
    <w:rsid w:val="00F93752"/>
    <w:rsid w:val="37EE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11945</Words>
  <Characters>12673</Characters>
  <Lines>93</Lines>
  <Paragraphs>26</Paragraphs>
  <TotalTime>0</TotalTime>
  <ScaleCrop>false</ScaleCrop>
  <LinksUpToDate>false</LinksUpToDate>
  <CharactersWithSpaces>12722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2016-03-03T11:03:00Z</dcterms:created>
  <dc:creator>wxl</dc:creator>
  <cp:lastModifiedBy>太极箫客</cp:lastModifiedBy>
  <dcterms:modified xsi:type="dcterms:W3CDTF">2025-08-14T07:05:50Z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EF0FE9F256414F65B095DD8B76A599AB_12</vt:lpwstr>
  </property>
</Properties>
</file>